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1AFDB" w14:textId="55EC62B9" w:rsidR="00865BC7" w:rsidRDefault="00865BC7" w:rsidP="00865BC7">
      <w:r>
        <w:rPr>
          <w:noProof/>
          <w:lang w:val="en-AU" w:eastAsia="en-AU"/>
        </w:rPr>
        <w:drawing>
          <wp:inline distT="0" distB="0" distL="0" distR="0" wp14:anchorId="242A6ADF" wp14:editId="6894495E">
            <wp:extent cx="3488400" cy="612000"/>
            <wp:effectExtent l="0" t="0" r="0" b="0"/>
            <wp:docPr id="39" name="Picture 39"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pic:nvPicPr>
                  <pic:blipFill>
                    <a:blip r:embed="rId7">
                      <a:extLst>
                        <a:ext uri="{28A0092B-C50C-407E-A947-70E740481C1C}">
                          <a14:useLocalDpi xmlns:a14="http://schemas.microsoft.com/office/drawing/2010/main" val="0"/>
                        </a:ext>
                      </a:extLst>
                    </a:blip>
                    <a:stretch>
                      <a:fillRect/>
                    </a:stretch>
                  </pic:blipFill>
                  <pic:spPr>
                    <a:xfrm>
                      <a:off x="0" y="0"/>
                      <a:ext cx="3488400" cy="612000"/>
                    </a:xfrm>
                    <a:prstGeom prst="rect">
                      <a:avLst/>
                    </a:prstGeom>
                  </pic:spPr>
                </pic:pic>
              </a:graphicData>
            </a:graphic>
          </wp:inline>
        </w:drawing>
      </w:r>
    </w:p>
    <w:p w14:paraId="17E2BA90" w14:textId="588D772F" w:rsidR="00DF76D1" w:rsidRDefault="00CF035A" w:rsidP="002B0F5A">
      <w:pPr>
        <w:spacing w:before="240" w:after="0"/>
        <w:rPr>
          <w:rFonts w:ascii="Arial" w:hAnsi="Arial" w:cs="Arial"/>
          <w:b/>
          <w:sz w:val="28"/>
          <w:szCs w:val="28"/>
        </w:rPr>
      </w:pPr>
      <w:r>
        <w:rPr>
          <w:rFonts w:ascii="Arial" w:hAnsi="Arial" w:cs="Arial"/>
          <w:b/>
          <w:sz w:val="28"/>
          <w:szCs w:val="28"/>
        </w:rPr>
        <w:t xml:space="preserve">7 </w:t>
      </w:r>
      <w:r w:rsidR="00E32DDF">
        <w:rPr>
          <w:rFonts w:ascii="Arial" w:hAnsi="Arial" w:cs="Arial"/>
          <w:b/>
          <w:sz w:val="28"/>
          <w:szCs w:val="28"/>
        </w:rPr>
        <w:t>April</w:t>
      </w:r>
      <w:r w:rsidR="001428D6" w:rsidRPr="0038771F">
        <w:rPr>
          <w:rFonts w:ascii="Arial" w:hAnsi="Arial" w:cs="Arial"/>
          <w:b/>
          <w:sz w:val="28"/>
          <w:szCs w:val="28"/>
        </w:rPr>
        <w:t xml:space="preserve"> </w:t>
      </w:r>
      <w:r w:rsidR="003140AB" w:rsidRPr="0038771F">
        <w:rPr>
          <w:rFonts w:ascii="Arial" w:hAnsi="Arial" w:cs="Arial"/>
          <w:b/>
          <w:sz w:val="28"/>
          <w:szCs w:val="28"/>
        </w:rPr>
        <w:t>202</w:t>
      </w:r>
      <w:r w:rsidR="001428D6" w:rsidRPr="0038771F">
        <w:rPr>
          <w:rFonts w:ascii="Arial" w:hAnsi="Arial" w:cs="Arial"/>
          <w:b/>
          <w:sz w:val="28"/>
          <w:szCs w:val="28"/>
        </w:rPr>
        <w:t>5</w:t>
      </w:r>
    </w:p>
    <w:p w14:paraId="07CC1650" w14:textId="296A6CA4" w:rsidR="00CF035A" w:rsidRPr="0038771F" w:rsidRDefault="00CF035A" w:rsidP="002B0F5A">
      <w:pPr>
        <w:spacing w:before="240" w:after="0"/>
        <w:rPr>
          <w:rFonts w:ascii="Arial" w:hAnsi="Arial" w:cs="Arial"/>
          <w:b/>
          <w:sz w:val="28"/>
          <w:szCs w:val="28"/>
        </w:rPr>
      </w:pPr>
      <w:r>
        <w:rPr>
          <w:rFonts w:ascii="Arial" w:hAnsi="Arial" w:cs="Arial"/>
          <w:b/>
          <w:sz w:val="28"/>
          <w:szCs w:val="28"/>
        </w:rPr>
        <w:t>336-25</w:t>
      </w:r>
    </w:p>
    <w:p w14:paraId="3FC752F6" w14:textId="52B7334D" w:rsidR="00DF76D1" w:rsidRPr="0049020A" w:rsidRDefault="00DF76D1" w:rsidP="0049020A">
      <w:pPr>
        <w:pStyle w:val="FSTitle"/>
        <w:spacing w:before="240" w:after="240"/>
        <w:rPr>
          <w:color w:val="000000" w:themeColor="text1"/>
        </w:rPr>
      </w:pPr>
      <w:r w:rsidRPr="00B87D0B">
        <w:rPr>
          <w:bCs w:val="0"/>
          <w:lang w:val="en-AU"/>
        </w:rPr>
        <w:t xml:space="preserve">Approval </w:t>
      </w:r>
      <w:r w:rsidR="00B74CA2">
        <w:rPr>
          <w:bCs w:val="0"/>
          <w:lang w:val="en-AU"/>
        </w:rPr>
        <w:t>r</w:t>
      </w:r>
      <w:r w:rsidRPr="00B87D0B">
        <w:rPr>
          <w:bCs w:val="0"/>
          <w:lang w:val="en-AU"/>
        </w:rPr>
        <w:t>eport</w:t>
      </w:r>
      <w:r w:rsidR="00E9011E">
        <w:rPr>
          <w:bCs w:val="0"/>
          <w:lang w:val="en-AU"/>
        </w:rPr>
        <w:t xml:space="preserve"> </w:t>
      </w:r>
      <w:r w:rsidRPr="00B87D0B">
        <w:rPr>
          <w:bCs w:val="0"/>
          <w:lang w:val="en-AU"/>
        </w:rPr>
        <w:t xml:space="preserve">– </w:t>
      </w:r>
      <w:r w:rsidRPr="000E6F50">
        <w:rPr>
          <w:color w:val="000000" w:themeColor="text1"/>
        </w:rPr>
        <w:t>Proposal P1059</w:t>
      </w:r>
      <w:r w:rsidR="00005D71">
        <w:rPr>
          <w:color w:val="000000" w:themeColor="text1"/>
        </w:rPr>
        <w:t>:</w:t>
      </w:r>
      <w:r w:rsidRPr="000E6F50">
        <w:rPr>
          <w:color w:val="000000" w:themeColor="text1"/>
        </w:rPr>
        <w:t xml:space="preserve"> Energy labelling on alcoholic beverages  </w:t>
      </w:r>
    </w:p>
    <w:p w14:paraId="77BFD18D" w14:textId="732BBBCE" w:rsidR="00C41C80" w:rsidRDefault="00DF76D1" w:rsidP="0049020A">
      <w:pPr>
        <w:pStyle w:val="FSTitle"/>
        <w:spacing w:before="240" w:after="240"/>
        <w:rPr>
          <w:lang w:val="en-AU"/>
        </w:rPr>
      </w:pPr>
      <w:r w:rsidRPr="00850D3A">
        <w:rPr>
          <w:b/>
          <w:bCs w:val="0"/>
          <w:lang w:val="en-AU"/>
        </w:rPr>
        <w:t xml:space="preserve">Supporting </w:t>
      </w:r>
      <w:r w:rsidR="00B326BA">
        <w:rPr>
          <w:b/>
          <w:bCs w:val="0"/>
          <w:lang w:val="en-AU"/>
        </w:rPr>
        <w:t>d</w:t>
      </w:r>
      <w:r w:rsidRPr="00850D3A">
        <w:rPr>
          <w:b/>
          <w:bCs w:val="0"/>
          <w:lang w:val="en-AU"/>
        </w:rPr>
        <w:t>ocument 1</w:t>
      </w:r>
      <w:r w:rsidR="00E9011E">
        <w:rPr>
          <w:b/>
          <w:bCs w:val="0"/>
          <w:lang w:val="en-AU"/>
        </w:rPr>
        <w:t xml:space="preserve"> </w:t>
      </w:r>
      <w:r w:rsidR="00D64FC1" w:rsidRPr="00B87D0B">
        <w:rPr>
          <w:bCs w:val="0"/>
          <w:lang w:val="en-AU"/>
        </w:rPr>
        <w:t>–</w:t>
      </w:r>
      <w:r w:rsidRPr="00B87D0B">
        <w:rPr>
          <w:bCs w:val="0"/>
          <w:lang w:val="en-AU"/>
        </w:rPr>
        <w:t xml:space="preserve"> </w:t>
      </w:r>
      <w:r w:rsidRPr="00B87D0B">
        <w:rPr>
          <w:lang w:val="en-AU"/>
        </w:rPr>
        <w:t>Decision Regulation Impact Statement</w:t>
      </w:r>
    </w:p>
    <w:p w14:paraId="0E91F7EC" w14:textId="486E05DF" w:rsidR="00DF76D1" w:rsidRPr="0049020A" w:rsidRDefault="00DF76D1" w:rsidP="0049020A">
      <w:pPr>
        <w:pStyle w:val="FSTitle"/>
        <w:spacing w:before="240" w:after="240"/>
        <w:rPr>
          <w:lang w:val="en-AU"/>
        </w:rPr>
      </w:pPr>
      <w:r w:rsidRPr="00975AC6">
        <w:rPr>
          <w:lang w:val="en-AU"/>
        </w:rPr>
        <w:t>Office of Impact Analysis ID</w:t>
      </w:r>
      <w:r w:rsidR="00D7455B">
        <w:rPr>
          <w:lang w:val="en-AU"/>
        </w:rPr>
        <w:t>:</w:t>
      </w:r>
      <w:r w:rsidRPr="00975AC6">
        <w:rPr>
          <w:lang w:val="en-AU"/>
        </w:rPr>
        <w:t xml:space="preserve"> </w:t>
      </w:r>
      <w:r w:rsidR="00D7455B" w:rsidRPr="00990718">
        <w:rPr>
          <w:rFonts w:cs="Arial"/>
          <w:snapToGrid w:val="0"/>
        </w:rPr>
        <w:t>OBPR22-02135</w:t>
      </w:r>
    </w:p>
    <w:p w14:paraId="55DA9F7F" w14:textId="77777777" w:rsidR="003140AB" w:rsidRPr="00B37BF0" w:rsidRDefault="003140AB" w:rsidP="003140AB">
      <w:pPr>
        <w:pBdr>
          <w:bottom w:val="single" w:sz="12" w:space="1" w:color="auto"/>
        </w:pBdr>
        <w:spacing w:line="280" w:lineRule="exact"/>
        <w:rPr>
          <w:rFonts w:cs="Arial"/>
          <w:bCs/>
        </w:rPr>
      </w:pPr>
    </w:p>
    <w:p w14:paraId="35D738F9" w14:textId="77777777" w:rsidR="00770035" w:rsidRDefault="00770035" w:rsidP="00FC274D">
      <w:pPr>
        <w:pStyle w:val="Heading2"/>
        <w:spacing w:before="480"/>
        <w:ind w:left="578" w:hanging="578"/>
        <w:rPr>
          <w:rFonts w:eastAsia="Arial"/>
        </w:rPr>
      </w:pPr>
      <w:bookmarkStart w:id="0" w:name="_Toc194475983"/>
      <w:r>
        <w:rPr>
          <w:rFonts w:eastAsia="Arial"/>
        </w:rPr>
        <w:t>Executive Summary</w:t>
      </w:r>
      <w:bookmarkEnd w:id="0"/>
    </w:p>
    <w:p w14:paraId="1CB17F27" w14:textId="77777777" w:rsidR="00770035" w:rsidRDefault="00770035" w:rsidP="00770035">
      <w:pPr>
        <w:spacing w:after="240"/>
        <w:rPr>
          <w:rFonts w:ascii="Arial" w:hAnsi="Arial" w:cs="Arial"/>
          <w:snapToGrid w:val="0"/>
        </w:rPr>
      </w:pPr>
      <w:r>
        <w:rPr>
          <w:rFonts w:ascii="Arial" w:hAnsi="Arial" w:cs="Arial"/>
          <w:lang w:val="en-AU" w:eastAsia="en-AU"/>
        </w:rPr>
        <w:t>This Decision Regulation Impact Statement (DRIS) has been prepared by Food Standards Australia New Zealand (FSANZ) for Proposal P1059 that considers amending the Australia New Zealand Food Standards Code (the Code) to require energy labelling on alcoholic beverages.</w:t>
      </w:r>
    </w:p>
    <w:p w14:paraId="6067B4B6" w14:textId="77777777" w:rsidR="00770035" w:rsidRDefault="00770035" w:rsidP="00770035">
      <w:pPr>
        <w:spacing w:before="120" w:after="240"/>
        <w:rPr>
          <w:rFonts w:ascii="Arial" w:hAnsi="Arial" w:cs="Arial"/>
          <w:snapToGrid w:val="0"/>
        </w:rPr>
      </w:pPr>
      <w:bookmarkStart w:id="1" w:name="_Hlk176934461"/>
      <w:r>
        <w:rPr>
          <w:rFonts w:ascii="Arial" w:hAnsi="Arial" w:cs="Arial"/>
          <w:snapToGrid w:val="0"/>
        </w:rPr>
        <w:t xml:space="preserve">The underlying problem that P1059 seeks to address is: </w:t>
      </w:r>
      <w:r w:rsidRPr="00ED11A6">
        <w:rPr>
          <w:rFonts w:ascii="Arial" w:hAnsi="Arial" w:cs="Arial"/>
          <w:snapToGrid w:val="0"/>
        </w:rPr>
        <w:t>Unlike most other packaged food and beverages, labels on most packaged alcoholic beverages do not provide information about energy content to enable consumers to make informed choices in line with dietary guidelines.</w:t>
      </w:r>
      <w:r>
        <w:rPr>
          <w:rFonts w:ascii="Arial" w:hAnsi="Arial" w:cs="Arial"/>
          <w:snapToGrid w:val="0"/>
        </w:rPr>
        <w:t xml:space="preserve"> </w:t>
      </w:r>
      <w:bookmarkStart w:id="2" w:name="_Hlk176934440"/>
      <w:bookmarkEnd w:id="1"/>
      <w:r>
        <w:rPr>
          <w:rFonts w:ascii="Arial" w:hAnsi="Arial" w:cs="Arial"/>
          <w:snapToGrid w:val="0"/>
        </w:rPr>
        <w:t xml:space="preserve">That could potentially hinder a consumer from </w:t>
      </w:r>
      <w:r w:rsidRPr="00667A33">
        <w:rPr>
          <w:rFonts w:ascii="Arial" w:hAnsi="Arial" w:cs="Arial"/>
          <w:snapToGrid w:val="0"/>
          <w:lang w:val="en-GB"/>
        </w:rPr>
        <w:t>achieving and maintaining a healthy body weight</w:t>
      </w:r>
      <w:r w:rsidRPr="007F5A53">
        <w:rPr>
          <w:rFonts w:ascii="Arial" w:hAnsi="Arial" w:cs="Arial"/>
          <w:snapToGrid w:val="0"/>
        </w:rPr>
        <w:t>.</w:t>
      </w:r>
      <w:bookmarkEnd w:id="2"/>
    </w:p>
    <w:p w14:paraId="058C9724" w14:textId="77777777" w:rsidR="00770035" w:rsidRDefault="00770035" w:rsidP="00770035">
      <w:pPr>
        <w:rPr>
          <w:rFonts w:ascii="Arial" w:hAnsi="Arial" w:cs="Arial"/>
          <w:snapToGrid w:val="0"/>
        </w:rPr>
      </w:pPr>
      <w:r>
        <w:rPr>
          <w:rFonts w:ascii="Arial" w:hAnsi="Arial" w:cs="Arial"/>
          <w:snapToGrid w:val="0"/>
        </w:rPr>
        <w:t xml:space="preserve">Available evidence suggests 69% of consumers support energy labelling on alcoholic beverages (FSANZ 2021b) and yet energy content information is only included on the label of around 2% of alcoholic beverage SKUs via a voluntary nutrition information panel (NIP) (and a further 6% of SKUs include that information because a voluntary claim triggers the requirement for a NIP). Therefore, </w:t>
      </w:r>
      <w:r w:rsidRPr="006D13F8">
        <w:rPr>
          <w:rFonts w:ascii="Arial" w:hAnsi="Arial" w:cs="Arial"/>
          <w:snapToGrid w:val="0"/>
        </w:rPr>
        <w:t>the market is underproviding this information that a range of consumers would value and there is a market failure</w:t>
      </w:r>
      <w:r>
        <w:rPr>
          <w:rFonts w:ascii="Arial" w:hAnsi="Arial" w:cs="Arial"/>
          <w:snapToGrid w:val="0"/>
        </w:rPr>
        <w:t xml:space="preserve">. </w:t>
      </w:r>
    </w:p>
    <w:p w14:paraId="7D8EFE91" w14:textId="77777777" w:rsidR="00770035" w:rsidRDefault="00770035" w:rsidP="00770035">
      <w:pPr>
        <w:rPr>
          <w:rFonts w:ascii="Arial" w:hAnsi="Arial" w:cs="Arial"/>
          <w:snapToGrid w:val="0"/>
          <w:sz w:val="20"/>
          <w:szCs w:val="20"/>
        </w:rPr>
      </w:pPr>
      <w:r w:rsidRPr="00F31A99">
        <w:rPr>
          <w:rFonts w:ascii="Arial" w:hAnsi="Arial" w:cs="Arial"/>
          <w:snapToGrid w:val="0"/>
        </w:rPr>
        <w:t xml:space="preserve">There has been extensive consultation </w:t>
      </w:r>
      <w:r>
        <w:rPr>
          <w:rFonts w:ascii="Arial" w:hAnsi="Arial" w:cs="Arial"/>
          <w:snapToGrid w:val="0"/>
        </w:rPr>
        <w:t xml:space="preserve">over several years </w:t>
      </w:r>
      <w:r w:rsidRPr="00F31A99">
        <w:rPr>
          <w:rFonts w:ascii="Arial" w:hAnsi="Arial" w:cs="Arial"/>
          <w:snapToGrid w:val="0"/>
        </w:rPr>
        <w:t>on the problem and options to address the problem</w:t>
      </w:r>
      <w:r w:rsidRPr="00261165">
        <w:rPr>
          <w:rFonts w:ascii="Arial" w:hAnsi="Arial" w:cs="Arial"/>
          <w:snapToGrid w:val="0"/>
        </w:rPr>
        <w:t>. That has included:</w:t>
      </w:r>
    </w:p>
    <w:p w14:paraId="71C8ED3F" w14:textId="3B6CA5E6" w:rsidR="00770035" w:rsidRPr="00181A7E" w:rsidRDefault="00770035" w:rsidP="00770035">
      <w:pPr>
        <w:pStyle w:val="ListParagraph"/>
        <w:numPr>
          <w:ilvl w:val="0"/>
          <w:numId w:val="41"/>
        </w:numPr>
        <w:rPr>
          <w:rFonts w:ascii="Arial" w:hAnsi="Arial" w:cs="Arial"/>
          <w:snapToGrid w:val="0"/>
          <w:sz w:val="20"/>
          <w:szCs w:val="20"/>
        </w:rPr>
      </w:pPr>
      <w:r w:rsidRPr="00181A7E">
        <w:rPr>
          <w:rFonts w:ascii="Arial" w:eastAsia="Times New Roman" w:hAnsi="Arial" w:cs="Times New Roman"/>
          <w:lang w:val="en-GB" w:bidi="en-US"/>
        </w:rPr>
        <w:t>three rounds of targeted consultation with key stakeholders from the alcohol industry, public health and consumer groups and jurisdictions between October 2020 and October 2021</w:t>
      </w:r>
      <w:r>
        <w:rPr>
          <w:rFonts w:ascii="Arial" w:eastAsia="Times New Roman" w:hAnsi="Arial" w:cs="Times New Roman"/>
          <w:lang w:val="en-GB" w:bidi="en-US"/>
        </w:rPr>
        <w:t xml:space="preserve">, plus </w:t>
      </w:r>
      <w:r w:rsidR="00646F99">
        <w:rPr>
          <w:rFonts w:ascii="Arial" w:eastAsia="Times New Roman" w:hAnsi="Arial" w:cs="Times New Roman"/>
          <w:lang w:val="en-GB" w:bidi="en-US"/>
        </w:rPr>
        <w:t xml:space="preserve">another </w:t>
      </w:r>
      <w:r>
        <w:rPr>
          <w:rFonts w:ascii="Arial" w:eastAsia="Times New Roman" w:hAnsi="Arial" w:cs="Times New Roman"/>
          <w:lang w:val="en-GB" w:bidi="en-US"/>
        </w:rPr>
        <w:t>t</w:t>
      </w:r>
      <w:r w:rsidR="00646F99">
        <w:rPr>
          <w:rFonts w:ascii="Arial" w:eastAsia="Times New Roman" w:hAnsi="Arial" w:cs="Times New Roman"/>
          <w:lang w:val="en-GB" w:bidi="en-US"/>
        </w:rPr>
        <w:t xml:space="preserve">hree </w:t>
      </w:r>
      <w:r>
        <w:rPr>
          <w:rFonts w:ascii="Arial" w:eastAsia="Times New Roman" w:hAnsi="Arial" w:cs="Times New Roman"/>
          <w:lang w:val="en-GB" w:bidi="en-US"/>
        </w:rPr>
        <w:t>rounds in July 2022</w:t>
      </w:r>
      <w:r w:rsidR="00646F99">
        <w:rPr>
          <w:rFonts w:ascii="Arial" w:eastAsia="Times New Roman" w:hAnsi="Arial" w:cs="Times New Roman"/>
          <w:lang w:val="en-GB" w:bidi="en-US"/>
        </w:rPr>
        <w:t>,</w:t>
      </w:r>
      <w:r>
        <w:rPr>
          <w:rFonts w:ascii="Arial" w:eastAsia="Times New Roman" w:hAnsi="Arial" w:cs="Times New Roman"/>
          <w:lang w:val="en-GB" w:bidi="en-US"/>
        </w:rPr>
        <w:t xml:space="preserve"> November 2023</w:t>
      </w:r>
      <w:r w:rsidR="00646F99">
        <w:rPr>
          <w:rFonts w:ascii="Arial" w:eastAsia="Times New Roman" w:hAnsi="Arial" w:cs="Times New Roman"/>
          <w:lang w:val="en-GB" w:bidi="en-US"/>
        </w:rPr>
        <w:t xml:space="preserve"> and November 2024</w:t>
      </w:r>
      <w:r>
        <w:rPr>
          <w:rFonts w:ascii="Arial" w:eastAsia="Times New Roman" w:hAnsi="Arial" w:cs="Times New Roman"/>
          <w:lang w:val="en-GB" w:bidi="en-US"/>
        </w:rPr>
        <w:t>;</w:t>
      </w:r>
    </w:p>
    <w:p w14:paraId="44426B5E" w14:textId="77777777" w:rsidR="00770035" w:rsidRPr="002D7D01" w:rsidRDefault="00770035" w:rsidP="00770035">
      <w:pPr>
        <w:pStyle w:val="ListParagraph"/>
        <w:numPr>
          <w:ilvl w:val="0"/>
          <w:numId w:val="41"/>
        </w:numPr>
        <w:rPr>
          <w:rFonts w:ascii="Arial" w:hAnsi="Arial" w:cs="Arial"/>
          <w:snapToGrid w:val="0"/>
          <w:sz w:val="20"/>
          <w:szCs w:val="20"/>
        </w:rPr>
      </w:pPr>
      <w:r>
        <w:rPr>
          <w:rFonts w:ascii="Arial" w:eastAsia="Times New Roman" w:hAnsi="Arial" w:cs="Times New Roman"/>
          <w:lang w:val="en-GB" w:bidi="en-US"/>
        </w:rPr>
        <w:t xml:space="preserve">meeting with a </w:t>
      </w:r>
      <w:r w:rsidRPr="001A75EF">
        <w:rPr>
          <w:rFonts w:ascii="Arial" w:eastAsia="Times New Roman" w:hAnsi="Arial" w:cs="Times New Roman"/>
          <w:lang w:val="en-GB" w:bidi="en-US"/>
        </w:rPr>
        <w:t>small group of key stakeholders from the alcohol industry to discuss technical issues associated with the determination of energy content information for alcoholic beverages</w:t>
      </w:r>
      <w:r>
        <w:rPr>
          <w:rFonts w:ascii="Arial" w:eastAsia="Times New Roman" w:hAnsi="Arial" w:cs="Times New Roman"/>
          <w:lang w:val="en-GB" w:bidi="en-US"/>
        </w:rPr>
        <w:t xml:space="preserve"> in June 2022;</w:t>
      </w:r>
    </w:p>
    <w:p w14:paraId="431DDB20" w14:textId="77777777" w:rsidR="00770035" w:rsidRDefault="00770035" w:rsidP="00770035">
      <w:pPr>
        <w:pStyle w:val="ListParagraph"/>
        <w:numPr>
          <w:ilvl w:val="0"/>
          <w:numId w:val="41"/>
        </w:numPr>
        <w:rPr>
          <w:rFonts w:ascii="Arial" w:eastAsia="Times New Roman" w:hAnsi="Arial" w:cs="Times New Roman"/>
          <w:lang w:val="en-GB" w:bidi="en-US"/>
        </w:rPr>
      </w:pPr>
      <w:r>
        <w:rPr>
          <w:rFonts w:ascii="Arial" w:eastAsia="Times New Roman" w:hAnsi="Arial" w:cs="Times New Roman"/>
          <w:lang w:val="en-GB" w:bidi="en-US"/>
        </w:rPr>
        <w:lastRenderedPageBreak/>
        <w:t>i</w:t>
      </w:r>
      <w:r w:rsidRPr="002D7D01">
        <w:rPr>
          <w:rFonts w:ascii="Arial" w:eastAsia="Times New Roman" w:hAnsi="Arial" w:cs="Times New Roman"/>
          <w:lang w:val="en-GB" w:bidi="en-US"/>
        </w:rPr>
        <w:t>nviting comment via the statutory public consultation document, P1059 Call for Submissions</w:t>
      </w:r>
      <w:r>
        <w:rPr>
          <w:rFonts w:ascii="Arial" w:eastAsia="Times New Roman" w:hAnsi="Arial" w:cs="Times New Roman"/>
          <w:lang w:val="en-GB" w:bidi="en-US"/>
        </w:rPr>
        <w:t xml:space="preserve"> (CFS)</w:t>
      </w:r>
      <w:r w:rsidRPr="002D7D01">
        <w:rPr>
          <w:rFonts w:ascii="Arial" w:eastAsia="Times New Roman" w:hAnsi="Arial" w:cs="Times New Roman"/>
          <w:lang w:val="en-GB" w:bidi="en-US"/>
        </w:rPr>
        <w:t>, on proposed draft variations to the Code from 16 January to 20 March 2023</w:t>
      </w:r>
      <w:r>
        <w:rPr>
          <w:rFonts w:ascii="Arial" w:eastAsia="Times New Roman" w:hAnsi="Arial" w:cs="Times New Roman"/>
          <w:lang w:val="en-GB" w:bidi="en-US"/>
        </w:rPr>
        <w:t>;</w:t>
      </w:r>
    </w:p>
    <w:p w14:paraId="6B6C3CA1" w14:textId="77777777" w:rsidR="00770035" w:rsidRDefault="00770035" w:rsidP="00770035">
      <w:pPr>
        <w:pStyle w:val="ListParagraph"/>
        <w:numPr>
          <w:ilvl w:val="0"/>
          <w:numId w:val="41"/>
        </w:numPr>
        <w:rPr>
          <w:rFonts w:ascii="Arial" w:eastAsia="Times New Roman" w:hAnsi="Arial" w:cs="Times New Roman"/>
          <w:lang w:val="en-GB" w:bidi="en-US"/>
        </w:rPr>
      </w:pPr>
      <w:r>
        <w:rPr>
          <w:rFonts w:ascii="Arial" w:eastAsia="Times New Roman" w:hAnsi="Arial" w:cs="Times New Roman"/>
          <w:lang w:val="en-GB" w:bidi="en-US"/>
        </w:rPr>
        <w:t xml:space="preserve">ongoing two-way communications with stakeholders from </w:t>
      </w:r>
      <w:r w:rsidRPr="00181A7E">
        <w:rPr>
          <w:rFonts w:ascii="Arial" w:eastAsia="Times New Roman" w:hAnsi="Arial" w:cs="Times New Roman"/>
          <w:lang w:val="en-GB" w:bidi="en-US"/>
        </w:rPr>
        <w:t>the alcohol industry, public health and consumer groups</w:t>
      </w:r>
      <w:r>
        <w:rPr>
          <w:rFonts w:ascii="Arial" w:eastAsia="Times New Roman" w:hAnsi="Arial" w:cs="Times New Roman"/>
          <w:lang w:val="en-GB" w:bidi="en-US"/>
        </w:rPr>
        <w:t xml:space="preserve"> </w:t>
      </w:r>
      <w:r w:rsidRPr="00181A7E">
        <w:rPr>
          <w:rFonts w:ascii="Arial" w:eastAsia="Times New Roman" w:hAnsi="Arial" w:cs="Times New Roman"/>
          <w:lang w:val="en-GB" w:bidi="en-US"/>
        </w:rPr>
        <w:t>and jurisdictions</w:t>
      </w:r>
      <w:r>
        <w:rPr>
          <w:rFonts w:ascii="Arial" w:eastAsia="Times New Roman" w:hAnsi="Arial" w:cs="Times New Roman"/>
          <w:lang w:val="en-GB" w:bidi="en-US"/>
        </w:rPr>
        <w:t>, including sharing results of key research and seeking possible changes to elements of the approach proposed in the CFS.</w:t>
      </w:r>
    </w:p>
    <w:p w14:paraId="325EDCCF" w14:textId="77777777" w:rsidR="00770035" w:rsidRPr="00E119BC" w:rsidRDefault="00770035" w:rsidP="00770035">
      <w:pPr>
        <w:pStyle w:val="ListParagraph"/>
        <w:rPr>
          <w:rFonts w:ascii="Arial" w:eastAsia="Times New Roman" w:hAnsi="Arial" w:cs="Times New Roman"/>
          <w:lang w:val="en-GB" w:bidi="en-US"/>
        </w:rPr>
      </w:pPr>
    </w:p>
    <w:p w14:paraId="7C49AF76" w14:textId="77777777" w:rsidR="00770035" w:rsidRDefault="00770035" w:rsidP="00770035">
      <w:pPr>
        <w:rPr>
          <w:rFonts w:ascii="Arial" w:hAnsi="Arial" w:cs="Arial"/>
          <w:snapToGrid w:val="0"/>
        </w:rPr>
      </w:pPr>
      <w:r w:rsidRPr="0077154C">
        <w:rPr>
          <w:rFonts w:ascii="Arial" w:eastAsia="Times New Roman" w:hAnsi="Arial" w:cs="Times New Roman"/>
          <w:lang w:val="en-GB" w:bidi="en-US"/>
          <w14:ligatures w14:val="standardContextual"/>
        </w:rPr>
        <w:t>A mandatory approach for the provision of standardised energy information on alcoholic beverages was broadly supported by the majority of submitters.</w:t>
      </w:r>
      <w:r w:rsidRPr="002958C2">
        <w:rPr>
          <w:color w:val="000000" w:themeColor="text1"/>
        </w:rPr>
        <w:t xml:space="preserve"> </w:t>
      </w:r>
      <w:r>
        <w:rPr>
          <w:rFonts w:ascii="Arial" w:hAnsi="Arial" w:cs="Arial"/>
          <w:snapToGrid w:val="0"/>
        </w:rPr>
        <w:t>A mandatory requirement can only be through amending the Code. Only FSANZ can amend the Code, with Ministers’ agreement (government action).</w:t>
      </w:r>
    </w:p>
    <w:p w14:paraId="31DD3FE6" w14:textId="77777777" w:rsidR="00770035" w:rsidRDefault="00770035" w:rsidP="00770035">
      <w:pPr>
        <w:spacing w:before="120" w:after="240"/>
        <w:rPr>
          <w:rFonts w:ascii="Arial" w:hAnsi="Arial" w:cs="Arial"/>
          <w:snapToGrid w:val="0"/>
        </w:rPr>
      </w:pPr>
      <w:r>
        <w:rPr>
          <w:rFonts w:ascii="Arial" w:hAnsi="Arial" w:cs="Arial"/>
          <w:snapToGrid w:val="0"/>
        </w:rPr>
        <w:t>This</w:t>
      </w:r>
      <w:r w:rsidRPr="00F73B0F">
        <w:rPr>
          <w:rFonts w:ascii="Arial" w:hAnsi="Arial" w:cs="Arial"/>
          <w:snapToGrid w:val="0"/>
        </w:rPr>
        <w:t xml:space="preserve"> </w:t>
      </w:r>
      <w:r>
        <w:rPr>
          <w:rFonts w:ascii="Arial" w:hAnsi="Arial" w:cs="Arial"/>
          <w:snapToGrid w:val="0"/>
        </w:rPr>
        <w:t>DRIS assesses</w:t>
      </w:r>
      <w:r w:rsidRPr="00F73B0F">
        <w:rPr>
          <w:rFonts w:ascii="Arial" w:hAnsi="Arial" w:cs="Arial"/>
          <w:snapToGrid w:val="0"/>
        </w:rPr>
        <w:t xml:space="preserve"> the likely costs and benefits of </w:t>
      </w:r>
      <w:r>
        <w:rPr>
          <w:rFonts w:ascii="Arial" w:hAnsi="Arial" w:cs="Arial"/>
          <w:snapToGrid w:val="0"/>
        </w:rPr>
        <w:t xml:space="preserve">feasible </w:t>
      </w:r>
      <w:r w:rsidRPr="00F73B0F">
        <w:rPr>
          <w:rFonts w:ascii="Arial" w:hAnsi="Arial" w:cs="Arial"/>
          <w:snapToGrid w:val="0"/>
        </w:rPr>
        <w:t>option</w:t>
      </w:r>
      <w:r>
        <w:rPr>
          <w:rFonts w:ascii="Arial" w:hAnsi="Arial" w:cs="Arial"/>
          <w:snapToGrid w:val="0"/>
        </w:rPr>
        <w:t xml:space="preserve">s to address the problem, including using sensitivity analysis. Education alone is not considered a feasible option, as on-label energy content information is foundational for consumers for any information or educational initiatives to be effective. Options considered are the status quo and two prescribed formats for </w:t>
      </w:r>
      <w:r w:rsidRPr="00DE3A3B">
        <w:rPr>
          <w:rFonts w:ascii="Arial" w:hAnsi="Arial" w:cs="Arial"/>
          <w:snapToGrid w:val="0"/>
          <w:lang w:val="en-GB"/>
        </w:rPr>
        <w:t>mandatory declaration of energy content information</w:t>
      </w:r>
      <w:r>
        <w:rPr>
          <w:rFonts w:ascii="Arial" w:hAnsi="Arial" w:cs="Arial"/>
          <w:snapToGrid w:val="0"/>
          <w:lang w:val="en-GB"/>
        </w:rPr>
        <w:t xml:space="preserve"> </w:t>
      </w:r>
      <w:r w:rsidRPr="009E58BE">
        <w:rPr>
          <w:rFonts w:ascii="Arial" w:hAnsi="Arial" w:cs="Arial"/>
          <w:snapToGrid w:val="0"/>
        </w:rPr>
        <w:t>(kilojoule</w:t>
      </w:r>
      <w:r>
        <w:rPr>
          <w:rFonts w:ascii="Arial" w:hAnsi="Arial" w:cs="Arial"/>
          <w:snapToGrid w:val="0"/>
        </w:rPr>
        <w:t>s</w:t>
      </w:r>
      <w:r w:rsidRPr="009E58BE">
        <w:rPr>
          <w:rFonts w:ascii="Arial" w:hAnsi="Arial" w:cs="Arial"/>
          <w:snapToGrid w:val="0"/>
        </w:rPr>
        <w:t>)</w:t>
      </w:r>
      <w:r w:rsidRPr="00DE3A3B">
        <w:rPr>
          <w:rFonts w:ascii="Arial" w:hAnsi="Arial" w:cs="Arial"/>
          <w:snapToGrid w:val="0"/>
          <w:lang w:val="en-GB"/>
        </w:rPr>
        <w:t xml:space="preserve"> </w:t>
      </w:r>
      <w:r>
        <w:rPr>
          <w:rFonts w:ascii="Arial" w:hAnsi="Arial" w:cs="Arial"/>
          <w:snapToGrid w:val="0"/>
          <w:lang w:val="en-GB"/>
        </w:rPr>
        <w:t xml:space="preserve">on packaged alcoholic </w:t>
      </w:r>
      <w:r w:rsidRPr="00DE3A3B">
        <w:rPr>
          <w:rFonts w:ascii="Arial" w:hAnsi="Arial" w:cs="Arial"/>
          <w:snapToGrid w:val="0"/>
          <w:lang w:val="en-GB"/>
        </w:rPr>
        <w:t>beverages</w:t>
      </w:r>
      <w:r>
        <w:rPr>
          <w:rFonts w:ascii="Arial" w:hAnsi="Arial" w:cs="Arial"/>
          <w:snapToGrid w:val="0"/>
          <w:lang w:val="en-GB"/>
        </w:rPr>
        <w:t>.</w:t>
      </w:r>
    </w:p>
    <w:p w14:paraId="0FE9221D" w14:textId="77777777" w:rsidR="00770035" w:rsidRDefault="00770035" w:rsidP="00770035">
      <w:pPr>
        <w:spacing w:after="120"/>
        <w:rPr>
          <w:rFonts w:ascii="Arial" w:hAnsi="Arial" w:cs="Arial"/>
          <w:snapToGrid w:val="0"/>
        </w:rPr>
      </w:pPr>
      <w:r>
        <w:rPr>
          <w:rFonts w:ascii="Arial" w:hAnsi="Arial" w:cs="Arial"/>
          <w:snapToGrid w:val="0"/>
        </w:rPr>
        <w:t xml:space="preserve">FSANZ’s </w:t>
      </w:r>
      <w:r w:rsidRPr="00310DDE">
        <w:rPr>
          <w:rFonts w:ascii="Arial" w:hAnsi="Arial" w:cs="Arial"/>
          <w:snapToGrid w:val="0"/>
        </w:rPr>
        <w:t>pr</w:t>
      </w:r>
      <w:r>
        <w:rPr>
          <w:rFonts w:ascii="Arial" w:hAnsi="Arial" w:cs="Arial"/>
          <w:snapToGrid w:val="0"/>
        </w:rPr>
        <w:t>eferred</w:t>
      </w:r>
      <w:r w:rsidRPr="00310DDE">
        <w:rPr>
          <w:rFonts w:ascii="Arial" w:hAnsi="Arial" w:cs="Arial"/>
          <w:snapToGrid w:val="0"/>
        </w:rPr>
        <w:t xml:space="preserve"> </w:t>
      </w:r>
      <w:r>
        <w:rPr>
          <w:rFonts w:ascii="Arial" w:hAnsi="Arial" w:cs="Arial"/>
          <w:snapToGrid w:val="0"/>
        </w:rPr>
        <w:t>option</w:t>
      </w:r>
      <w:r w:rsidRPr="00310DDE">
        <w:rPr>
          <w:rFonts w:ascii="Arial" w:hAnsi="Arial" w:cs="Arial"/>
          <w:snapToGrid w:val="0"/>
        </w:rPr>
        <w:t xml:space="preserve"> is to </w:t>
      </w:r>
      <w:r w:rsidRPr="00DE3A3B">
        <w:rPr>
          <w:rFonts w:ascii="Arial" w:hAnsi="Arial" w:cs="Arial"/>
          <w:snapToGrid w:val="0"/>
          <w:lang w:val="en-GB"/>
        </w:rPr>
        <w:t>require the mandatory declaration of energy content information</w:t>
      </w:r>
      <w:r>
        <w:rPr>
          <w:rFonts w:ascii="Arial" w:hAnsi="Arial" w:cs="Arial"/>
          <w:snapToGrid w:val="0"/>
          <w:lang w:val="en-GB"/>
        </w:rPr>
        <w:t xml:space="preserve">  in</w:t>
      </w:r>
      <w:r>
        <w:rPr>
          <w:rFonts w:ascii="Arial" w:hAnsi="Arial" w:cs="Arial"/>
          <w:snapToGrid w:val="0"/>
        </w:rPr>
        <w:t xml:space="preserve"> the following</w:t>
      </w:r>
      <w:r w:rsidRPr="009E58BE">
        <w:rPr>
          <w:rFonts w:ascii="Arial" w:hAnsi="Arial" w:cs="Arial"/>
          <w:snapToGrid w:val="0"/>
        </w:rPr>
        <w:t xml:space="preserve"> prescribed </w:t>
      </w:r>
      <w:r>
        <w:rPr>
          <w:rFonts w:ascii="Arial" w:hAnsi="Arial" w:cs="Arial"/>
          <w:snapToGrid w:val="0"/>
        </w:rPr>
        <w:t>e</w:t>
      </w:r>
      <w:r w:rsidRPr="009E58BE">
        <w:rPr>
          <w:rFonts w:ascii="Arial" w:hAnsi="Arial" w:cs="Arial"/>
          <w:snapToGrid w:val="0"/>
        </w:rPr>
        <w:t xml:space="preserve">nergy </w:t>
      </w:r>
      <w:r>
        <w:rPr>
          <w:rFonts w:ascii="Arial" w:hAnsi="Arial" w:cs="Arial"/>
          <w:snapToGrid w:val="0"/>
        </w:rPr>
        <w:t>s</w:t>
      </w:r>
      <w:r w:rsidRPr="009E58BE">
        <w:rPr>
          <w:rFonts w:ascii="Arial" w:hAnsi="Arial" w:cs="Arial"/>
          <w:snapToGrid w:val="0"/>
        </w:rPr>
        <w:t>tatement</w:t>
      </w:r>
      <w:r>
        <w:rPr>
          <w:rFonts w:ascii="Arial" w:hAnsi="Arial" w:cs="Arial"/>
          <w:snapToGrid w:val="0"/>
        </w:rPr>
        <w:t xml:space="preserve"> (with prescribed format): </w:t>
      </w:r>
    </w:p>
    <w:tbl>
      <w:tblPr>
        <w:tblW w:w="6794" w:type="dxa"/>
        <w:jc w:val="center"/>
        <w:tblCellMar>
          <w:left w:w="0" w:type="dxa"/>
          <w:right w:w="0" w:type="dxa"/>
        </w:tblCellMar>
        <w:tblLook w:val="04A0" w:firstRow="1" w:lastRow="0" w:firstColumn="1" w:lastColumn="0" w:noHBand="0" w:noVBand="1"/>
      </w:tblPr>
      <w:tblGrid>
        <w:gridCol w:w="2110"/>
        <w:gridCol w:w="2766"/>
        <w:gridCol w:w="1918"/>
      </w:tblGrid>
      <w:tr w:rsidR="000151F4" w:rsidRPr="0038501B" w:rsidDel="00DF11FD" w14:paraId="7DAF83B9" w14:textId="77777777" w:rsidTr="6A15B411">
        <w:trPr>
          <w:jc w:val="center"/>
        </w:trPr>
        <w:tc>
          <w:tcPr>
            <w:tcW w:w="6794"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FBAE60" w14:textId="77777777" w:rsidR="000151F4" w:rsidRPr="00223266" w:rsidDel="00DF11FD" w:rsidRDefault="000151F4" w:rsidP="00FC0E2A">
            <w:pPr>
              <w:keepLines/>
              <w:tabs>
                <w:tab w:val="right" w:pos="3969"/>
              </w:tabs>
              <w:spacing w:before="60" w:after="60"/>
              <w:jc w:val="center"/>
              <w:rPr>
                <w:rFonts w:ascii="Arial" w:hAnsi="Arial" w:cs="Arial"/>
                <w:sz w:val="18"/>
                <w:szCs w:val="20"/>
              </w:rPr>
            </w:pPr>
            <w:bookmarkStart w:id="3" w:name="_Hlk187756929"/>
            <w:r w:rsidRPr="00223266" w:rsidDel="00DF11FD">
              <w:rPr>
                <w:rFonts w:ascii="Arial" w:hAnsi="Arial" w:cs="Arial"/>
                <w:sz w:val="18"/>
                <w:szCs w:val="20"/>
              </w:rPr>
              <w:br w:type="page"/>
              <w:t>ENERGY INFORMATION</w:t>
            </w:r>
          </w:p>
          <w:p w14:paraId="3C5D8020" w14:textId="77777777" w:rsidR="000151F4" w:rsidRPr="00223266" w:rsidDel="00DF11FD" w:rsidRDefault="000151F4" w:rsidP="00FC0E2A">
            <w:pPr>
              <w:keepLines/>
              <w:tabs>
                <w:tab w:val="right" w:pos="3969"/>
              </w:tabs>
              <w:spacing w:before="60" w:after="60"/>
              <w:rPr>
                <w:rFonts w:ascii="Arial" w:hAnsi="Arial" w:cs="Arial"/>
                <w:sz w:val="18"/>
                <w:szCs w:val="20"/>
                <w:lang w:eastAsia="en-AU"/>
              </w:rPr>
            </w:pPr>
            <w:r w:rsidRPr="00223266" w:rsidDel="00DF11FD">
              <w:rPr>
                <w:rFonts w:ascii="Arial" w:hAnsi="Arial" w:cs="Arial"/>
                <w:sz w:val="18"/>
                <w:szCs w:val="20"/>
                <w:lang w:eastAsia="en-AU"/>
              </w:rPr>
              <w:t>Servings per package: (insert number of servings)</w:t>
            </w:r>
          </w:p>
          <w:p w14:paraId="6A093127" w14:textId="470EE43A" w:rsidR="000151F4" w:rsidRPr="00223266" w:rsidDel="00DF11FD" w:rsidRDefault="000151F4" w:rsidP="00FC0E2A">
            <w:pPr>
              <w:keepLines/>
              <w:tabs>
                <w:tab w:val="right" w:pos="3969"/>
              </w:tabs>
              <w:spacing w:before="60" w:after="60"/>
              <w:rPr>
                <w:rFonts w:ascii="Arial" w:hAnsi="Arial" w:cs="Arial"/>
                <w:sz w:val="18"/>
                <w:szCs w:val="20"/>
                <w:lang w:eastAsia="en-AU"/>
              </w:rPr>
            </w:pPr>
            <w:r w:rsidRPr="00223266" w:rsidDel="00DF11FD">
              <w:rPr>
                <w:rFonts w:ascii="Arial" w:hAnsi="Arial" w:cs="Arial"/>
                <w:sz w:val="18"/>
                <w:szCs w:val="20"/>
                <w:lang w:eastAsia="en-AU"/>
              </w:rPr>
              <w:t>Serving size:  mL ([insert number] standard drinks)</w:t>
            </w:r>
          </w:p>
        </w:tc>
      </w:tr>
      <w:tr w:rsidR="000151F4" w:rsidRPr="0038501B" w:rsidDel="00DF11FD" w14:paraId="79D03777" w14:textId="77777777" w:rsidTr="6A15B411">
        <w:trPr>
          <w:trHeight w:val="323"/>
          <w:jc w:val="center"/>
        </w:trPr>
        <w:tc>
          <w:tcPr>
            <w:tcW w:w="2110" w:type="dxa"/>
            <w:tcBorders>
              <w:top w:val="nil"/>
              <w:left w:val="single" w:sz="8" w:space="0" w:color="auto"/>
              <w:bottom w:val="single" w:sz="8" w:space="0" w:color="auto"/>
              <w:right w:val="nil"/>
            </w:tcBorders>
            <w:tcMar>
              <w:top w:w="0" w:type="dxa"/>
              <w:left w:w="108" w:type="dxa"/>
              <w:bottom w:w="0" w:type="dxa"/>
              <w:right w:w="108" w:type="dxa"/>
            </w:tcMar>
            <w:hideMark/>
          </w:tcPr>
          <w:p w14:paraId="515D5940" w14:textId="77777777" w:rsidR="000151F4" w:rsidRPr="00223266" w:rsidDel="00DF11FD" w:rsidRDefault="000151F4" w:rsidP="00FC0E2A">
            <w:pPr>
              <w:keepLines/>
              <w:tabs>
                <w:tab w:val="right" w:pos="3969"/>
              </w:tabs>
              <w:spacing w:before="60" w:after="60"/>
              <w:rPr>
                <w:rFonts w:ascii="Arial" w:hAnsi="Arial" w:cs="Arial"/>
                <w:sz w:val="18"/>
                <w:szCs w:val="20"/>
                <w:lang w:eastAsia="en-AU"/>
              </w:rPr>
            </w:pPr>
            <w:r w:rsidRPr="00223266" w:rsidDel="00DF11FD">
              <w:rPr>
                <w:rFonts w:ascii="Arial" w:hAnsi="Arial" w:cs="Arial"/>
                <w:sz w:val="18"/>
                <w:szCs w:val="20"/>
                <w:lang w:eastAsia="en-AU"/>
              </w:rPr>
              <w:t> </w:t>
            </w:r>
          </w:p>
        </w:tc>
        <w:tc>
          <w:tcPr>
            <w:tcW w:w="2766" w:type="dxa"/>
            <w:tcBorders>
              <w:top w:val="nil"/>
              <w:left w:val="nil"/>
              <w:bottom w:val="single" w:sz="8" w:space="0" w:color="auto"/>
              <w:right w:val="nil"/>
            </w:tcBorders>
            <w:tcMar>
              <w:top w:w="0" w:type="dxa"/>
              <w:left w:w="108" w:type="dxa"/>
              <w:bottom w:w="0" w:type="dxa"/>
              <w:right w:w="108" w:type="dxa"/>
            </w:tcMar>
            <w:hideMark/>
          </w:tcPr>
          <w:p w14:paraId="0535CEA2" w14:textId="77777777" w:rsidR="000151F4" w:rsidRPr="00223266" w:rsidDel="00DF11FD" w:rsidRDefault="000151F4" w:rsidP="00FC0E2A">
            <w:pPr>
              <w:keepLines/>
              <w:tabs>
                <w:tab w:val="right" w:pos="3969"/>
              </w:tabs>
              <w:spacing w:before="60" w:after="60"/>
              <w:rPr>
                <w:rFonts w:ascii="Arial" w:hAnsi="Arial" w:cs="Arial"/>
                <w:sz w:val="18"/>
                <w:szCs w:val="20"/>
                <w:lang w:eastAsia="en-AU"/>
              </w:rPr>
            </w:pPr>
            <w:r w:rsidRPr="00223266" w:rsidDel="00DF11FD">
              <w:rPr>
                <w:rFonts w:ascii="Arial" w:hAnsi="Arial" w:cs="Arial"/>
                <w:sz w:val="18"/>
                <w:szCs w:val="20"/>
                <w:lang w:eastAsia="en-AU"/>
              </w:rPr>
              <w:t>Quantity per serving</w:t>
            </w:r>
          </w:p>
        </w:tc>
        <w:tc>
          <w:tcPr>
            <w:tcW w:w="1918" w:type="dxa"/>
            <w:tcBorders>
              <w:top w:val="nil"/>
              <w:left w:val="nil"/>
              <w:bottom w:val="single" w:sz="8" w:space="0" w:color="auto"/>
              <w:right w:val="single" w:sz="8" w:space="0" w:color="auto"/>
            </w:tcBorders>
            <w:tcMar>
              <w:top w:w="0" w:type="dxa"/>
              <w:left w:w="108" w:type="dxa"/>
              <w:bottom w:w="0" w:type="dxa"/>
              <w:right w:w="108" w:type="dxa"/>
            </w:tcMar>
            <w:hideMark/>
          </w:tcPr>
          <w:p w14:paraId="7C44E348" w14:textId="77777777" w:rsidR="000151F4" w:rsidRPr="00223266" w:rsidDel="00DF11FD" w:rsidRDefault="000151F4" w:rsidP="6A15B411">
            <w:pPr>
              <w:keepLines/>
              <w:tabs>
                <w:tab w:val="right" w:pos="3969"/>
              </w:tabs>
              <w:spacing w:before="60" w:after="60"/>
              <w:rPr>
                <w:rFonts w:ascii="Arial" w:hAnsi="Arial" w:cs="Arial"/>
                <w:sz w:val="18"/>
                <w:szCs w:val="18"/>
                <w:lang w:eastAsia="en-AU"/>
              </w:rPr>
            </w:pPr>
            <w:r w:rsidRPr="6A15B411">
              <w:rPr>
                <w:rFonts w:ascii="Arial" w:hAnsi="Arial" w:cs="Arial"/>
                <w:sz w:val="18"/>
                <w:szCs w:val="18"/>
                <w:lang w:eastAsia="en-AU"/>
              </w:rPr>
              <w:t>Quantity per 100 mL</w:t>
            </w:r>
          </w:p>
        </w:tc>
      </w:tr>
      <w:tr w:rsidR="000151F4" w:rsidRPr="0038501B" w:rsidDel="00DF11FD" w14:paraId="5DC95C57" w14:textId="77777777" w:rsidTr="6A15B411">
        <w:trPr>
          <w:jc w:val="center"/>
        </w:trPr>
        <w:tc>
          <w:tcPr>
            <w:tcW w:w="2110"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43ECC93D" w14:textId="77777777" w:rsidR="000151F4" w:rsidRPr="00223266" w:rsidDel="00DF11FD" w:rsidRDefault="000151F4" w:rsidP="00FC0E2A">
            <w:pPr>
              <w:keepLines/>
              <w:tabs>
                <w:tab w:val="right" w:pos="3969"/>
              </w:tabs>
              <w:spacing w:before="60" w:after="60"/>
              <w:rPr>
                <w:rFonts w:ascii="Arial" w:hAnsi="Arial" w:cs="Arial"/>
                <w:sz w:val="18"/>
                <w:szCs w:val="20"/>
                <w:lang w:eastAsia="en-AU"/>
              </w:rPr>
            </w:pPr>
            <w:r w:rsidRPr="00223266" w:rsidDel="00DF11FD">
              <w:rPr>
                <w:rFonts w:ascii="Arial" w:hAnsi="Arial" w:cs="Arial"/>
                <w:sz w:val="18"/>
                <w:szCs w:val="20"/>
                <w:lang w:eastAsia="en-AU"/>
              </w:rPr>
              <w:t>Energy</w:t>
            </w:r>
          </w:p>
        </w:tc>
        <w:tc>
          <w:tcPr>
            <w:tcW w:w="2766" w:type="dxa"/>
            <w:tcBorders>
              <w:top w:val="single" w:sz="8" w:space="0" w:color="auto"/>
              <w:bottom w:val="single" w:sz="8" w:space="0" w:color="auto"/>
            </w:tcBorders>
            <w:tcMar>
              <w:top w:w="0" w:type="dxa"/>
              <w:left w:w="108" w:type="dxa"/>
              <w:bottom w:w="0" w:type="dxa"/>
              <w:right w:w="108" w:type="dxa"/>
            </w:tcMar>
            <w:hideMark/>
          </w:tcPr>
          <w:p w14:paraId="6DF1107C" w14:textId="77777777" w:rsidR="000151F4" w:rsidRPr="00223266" w:rsidDel="00DF11FD" w:rsidRDefault="000151F4" w:rsidP="00FC0E2A">
            <w:pPr>
              <w:keepLines/>
              <w:tabs>
                <w:tab w:val="right" w:pos="3969"/>
              </w:tabs>
              <w:spacing w:before="60" w:after="60"/>
              <w:rPr>
                <w:rFonts w:ascii="Arial" w:hAnsi="Arial" w:cs="Arial"/>
                <w:sz w:val="18"/>
                <w:szCs w:val="20"/>
                <w:lang w:eastAsia="en-AU"/>
              </w:rPr>
            </w:pPr>
            <w:r w:rsidRPr="00223266" w:rsidDel="00DF11FD">
              <w:rPr>
                <w:rFonts w:ascii="Arial" w:hAnsi="Arial" w:cs="Arial"/>
                <w:sz w:val="18"/>
                <w:szCs w:val="20"/>
                <w:lang w:eastAsia="en-AU"/>
              </w:rPr>
              <w:t>kJ (Cal)</w:t>
            </w:r>
          </w:p>
        </w:tc>
        <w:tc>
          <w:tcPr>
            <w:tcW w:w="1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125164" w14:textId="77777777" w:rsidR="000151F4" w:rsidRPr="00223266" w:rsidDel="00DF11FD" w:rsidRDefault="000151F4" w:rsidP="00FC0E2A">
            <w:pPr>
              <w:keepLines/>
              <w:tabs>
                <w:tab w:val="right" w:pos="3969"/>
              </w:tabs>
              <w:spacing w:before="60" w:after="60"/>
              <w:rPr>
                <w:rFonts w:ascii="Arial" w:hAnsi="Arial" w:cs="Arial"/>
                <w:sz w:val="18"/>
                <w:szCs w:val="20"/>
                <w:lang w:eastAsia="en-AU"/>
              </w:rPr>
            </w:pPr>
            <w:r w:rsidRPr="00223266" w:rsidDel="00DF11FD">
              <w:rPr>
                <w:rFonts w:ascii="Arial" w:hAnsi="Arial" w:cs="Arial"/>
                <w:sz w:val="18"/>
                <w:szCs w:val="20"/>
                <w:lang w:eastAsia="en-AU"/>
              </w:rPr>
              <w:t>kJ (Cal)</w:t>
            </w:r>
          </w:p>
        </w:tc>
      </w:tr>
      <w:bookmarkEnd w:id="3"/>
    </w:tbl>
    <w:p w14:paraId="7E49B702" w14:textId="77777777" w:rsidR="00FE6177" w:rsidRDefault="00FE6177" w:rsidP="00770035">
      <w:pPr>
        <w:rPr>
          <w:rFonts w:ascii="Arial" w:hAnsi="Arial" w:cs="Arial"/>
          <w:snapToGrid w:val="0"/>
        </w:rPr>
      </w:pPr>
    </w:p>
    <w:p w14:paraId="134BDDDC" w14:textId="76FFAD3B" w:rsidR="00770035" w:rsidRDefault="003B0967" w:rsidP="00770035">
      <w:pPr>
        <w:rPr>
          <w:rFonts w:ascii="Arial" w:hAnsi="Arial" w:cs="Arial"/>
          <w:snapToGrid w:val="0"/>
        </w:rPr>
      </w:pPr>
      <w:r>
        <w:rPr>
          <w:rFonts w:ascii="Arial" w:hAnsi="Arial" w:cs="Arial"/>
          <w:snapToGrid w:val="0"/>
        </w:rPr>
        <w:t xml:space="preserve">The above energy statement </w:t>
      </w:r>
      <w:r w:rsidR="00B92313">
        <w:rPr>
          <w:rFonts w:ascii="Arial" w:hAnsi="Arial" w:cs="Arial"/>
          <w:snapToGrid w:val="0"/>
        </w:rPr>
        <w:t xml:space="preserve">has in its </w:t>
      </w:r>
      <w:r w:rsidR="00B84855">
        <w:rPr>
          <w:rFonts w:ascii="Arial" w:hAnsi="Arial" w:cs="Arial"/>
          <w:snapToGrid w:val="0"/>
        </w:rPr>
        <w:t>second</w:t>
      </w:r>
      <w:r w:rsidR="00B92313">
        <w:rPr>
          <w:rFonts w:ascii="Arial" w:hAnsi="Arial" w:cs="Arial"/>
          <w:snapToGrid w:val="0"/>
        </w:rPr>
        <w:t xml:space="preserve"> row </w:t>
      </w:r>
      <w:r w:rsidR="00B84855">
        <w:rPr>
          <w:rFonts w:ascii="Arial" w:hAnsi="Arial" w:cs="Arial"/>
          <w:snapToGrid w:val="0"/>
        </w:rPr>
        <w:t xml:space="preserve">below ENERGY INFORMATION </w:t>
      </w:r>
      <w:r w:rsidR="00B92313">
        <w:rPr>
          <w:rFonts w:ascii="Arial" w:hAnsi="Arial" w:cs="Arial"/>
          <w:snapToGrid w:val="0"/>
        </w:rPr>
        <w:t xml:space="preserve">the number of standard drinks in a serving: </w:t>
      </w:r>
      <w:r w:rsidR="00B92313" w:rsidRPr="0003633A" w:rsidDel="00DF11FD">
        <w:rPr>
          <w:rFonts w:ascii="Arial" w:hAnsi="Arial" w:cs="Arial"/>
          <w:snapToGrid w:val="0"/>
        </w:rPr>
        <w:t>mL ([insert number] standard drinks</w:t>
      </w:r>
      <w:r w:rsidR="00B92313">
        <w:rPr>
          <w:rFonts w:ascii="Arial" w:hAnsi="Arial" w:cs="Arial"/>
          <w:snapToGrid w:val="0"/>
        </w:rPr>
        <w:t xml:space="preserve">). </w:t>
      </w:r>
      <w:r w:rsidR="00770035">
        <w:rPr>
          <w:rFonts w:ascii="Arial" w:hAnsi="Arial" w:cs="Arial"/>
          <w:snapToGrid w:val="0"/>
        </w:rPr>
        <w:t>For the minority of alcoholic beverages that already have a NIP with on-label energy content information</w:t>
      </w:r>
      <w:r w:rsidR="00A205DF">
        <w:rPr>
          <w:rFonts w:ascii="Arial" w:hAnsi="Arial" w:cs="Arial"/>
          <w:snapToGrid w:val="0"/>
        </w:rPr>
        <w:t xml:space="preserve">, </w:t>
      </w:r>
      <w:r w:rsidR="00A205DF" w:rsidRPr="00A205DF">
        <w:rPr>
          <w:rFonts w:ascii="Arial" w:hAnsi="Arial" w:cs="Arial"/>
          <w:snapToGrid w:val="0"/>
        </w:rPr>
        <w:t>where the package contains more than one serve</w:t>
      </w:r>
      <w:r w:rsidR="00770035">
        <w:rPr>
          <w:rFonts w:ascii="Arial" w:hAnsi="Arial" w:cs="Arial"/>
          <w:snapToGrid w:val="0"/>
        </w:rPr>
        <w:t>,</w:t>
      </w:r>
      <w:r w:rsidR="00770035" w:rsidRPr="00B72B22">
        <w:rPr>
          <w:rFonts w:ascii="Arial" w:hAnsi="Arial" w:cs="Arial"/>
          <w:snapToGrid w:val="0"/>
        </w:rPr>
        <w:t xml:space="preserve"> </w:t>
      </w:r>
      <w:r w:rsidR="00770035">
        <w:rPr>
          <w:rFonts w:ascii="Arial" w:hAnsi="Arial" w:cs="Arial"/>
          <w:snapToGrid w:val="0"/>
        </w:rPr>
        <w:t xml:space="preserve">the number of standard drinks </w:t>
      </w:r>
      <w:r w:rsidR="00024F41" w:rsidRPr="00024F41">
        <w:rPr>
          <w:rFonts w:ascii="Arial" w:hAnsi="Arial" w:cs="Arial"/>
          <w:snapToGrid w:val="0"/>
          <w:lang w:val="en-GB"/>
        </w:rPr>
        <w:t xml:space="preserve">equivalent to one serving </w:t>
      </w:r>
      <w:r w:rsidR="00770035">
        <w:rPr>
          <w:rFonts w:ascii="Arial" w:hAnsi="Arial" w:cs="Arial"/>
          <w:snapToGrid w:val="0"/>
        </w:rPr>
        <w:t xml:space="preserve"> would also be required to be </w:t>
      </w:r>
      <w:r w:rsidR="00A46D03">
        <w:rPr>
          <w:rFonts w:ascii="Arial" w:hAnsi="Arial" w:cs="Arial"/>
          <w:snapToGrid w:val="0"/>
        </w:rPr>
        <w:t>stated in</w:t>
      </w:r>
      <w:r w:rsidR="00770035">
        <w:rPr>
          <w:rFonts w:ascii="Arial" w:hAnsi="Arial" w:cs="Arial"/>
          <w:snapToGrid w:val="0"/>
        </w:rPr>
        <w:t xml:space="preserve"> the NIP.</w:t>
      </w:r>
      <w:r w:rsidR="00DF7489">
        <w:rPr>
          <w:rFonts w:ascii="Arial" w:hAnsi="Arial" w:cs="Arial"/>
          <w:snapToGrid w:val="0"/>
        </w:rPr>
        <w:t xml:space="preserve"> </w:t>
      </w:r>
      <w:r w:rsidR="00836CEE">
        <w:rPr>
          <w:rFonts w:ascii="Arial" w:hAnsi="Arial" w:cs="Arial"/>
          <w:snapToGrid w:val="0"/>
        </w:rPr>
        <w:t>For single-serve packages</w:t>
      </w:r>
      <w:r w:rsidR="00622613">
        <w:rPr>
          <w:rFonts w:ascii="Arial" w:hAnsi="Arial" w:cs="Arial"/>
          <w:snapToGrid w:val="0"/>
        </w:rPr>
        <w:t xml:space="preserve"> with NIPs</w:t>
      </w:r>
      <w:r w:rsidR="00836CEE">
        <w:rPr>
          <w:rFonts w:ascii="Arial" w:hAnsi="Arial" w:cs="Arial"/>
          <w:snapToGrid w:val="0"/>
        </w:rPr>
        <w:t xml:space="preserve">, </w:t>
      </w:r>
      <w:r w:rsidR="008D38B4">
        <w:rPr>
          <w:rFonts w:ascii="Arial" w:hAnsi="Arial" w:cs="Arial"/>
          <w:snapToGrid w:val="0"/>
        </w:rPr>
        <w:t xml:space="preserve">it would be optional </w:t>
      </w:r>
      <w:r w:rsidR="006B2B0A">
        <w:rPr>
          <w:rFonts w:ascii="Arial" w:hAnsi="Arial" w:cs="Arial"/>
          <w:snapToGrid w:val="0"/>
        </w:rPr>
        <w:t xml:space="preserve">whether or not </w:t>
      </w:r>
      <w:r w:rsidR="008D38B4">
        <w:rPr>
          <w:rFonts w:ascii="Arial" w:hAnsi="Arial" w:cs="Arial"/>
          <w:snapToGrid w:val="0"/>
        </w:rPr>
        <w:t xml:space="preserve">to </w:t>
      </w:r>
      <w:r w:rsidR="009F4E29">
        <w:rPr>
          <w:rFonts w:ascii="Arial" w:hAnsi="Arial" w:cs="Arial"/>
          <w:snapToGrid w:val="0"/>
        </w:rPr>
        <w:t>state</w:t>
      </w:r>
      <w:r w:rsidR="008D38B4">
        <w:rPr>
          <w:rFonts w:ascii="Arial" w:hAnsi="Arial" w:cs="Arial"/>
          <w:snapToGrid w:val="0"/>
        </w:rPr>
        <w:t xml:space="preserve"> the </w:t>
      </w:r>
      <w:r w:rsidR="00622613">
        <w:rPr>
          <w:rFonts w:ascii="Arial" w:hAnsi="Arial" w:cs="Arial"/>
          <w:snapToGrid w:val="0"/>
        </w:rPr>
        <w:t xml:space="preserve">number of standard drinks </w:t>
      </w:r>
      <w:r w:rsidR="007C17D3">
        <w:rPr>
          <w:rFonts w:ascii="Arial" w:hAnsi="Arial" w:cs="Arial"/>
          <w:snapToGrid w:val="0"/>
        </w:rPr>
        <w:t>equivalent to one serving</w:t>
      </w:r>
      <w:r w:rsidR="0050636E">
        <w:rPr>
          <w:rFonts w:ascii="Arial" w:hAnsi="Arial" w:cs="Arial"/>
          <w:snapToGrid w:val="0"/>
        </w:rPr>
        <w:t xml:space="preserve"> </w:t>
      </w:r>
      <w:r w:rsidR="009F4E29">
        <w:rPr>
          <w:rFonts w:ascii="Arial" w:hAnsi="Arial" w:cs="Arial"/>
          <w:snapToGrid w:val="0"/>
        </w:rPr>
        <w:t>in the</w:t>
      </w:r>
      <w:r w:rsidR="0050636E">
        <w:rPr>
          <w:rFonts w:ascii="Arial" w:hAnsi="Arial" w:cs="Arial"/>
          <w:snapToGrid w:val="0"/>
        </w:rPr>
        <w:t xml:space="preserve"> NIP</w:t>
      </w:r>
      <w:r w:rsidR="00470D61">
        <w:rPr>
          <w:rFonts w:ascii="Arial" w:hAnsi="Arial" w:cs="Arial"/>
          <w:snapToGrid w:val="0"/>
        </w:rPr>
        <w:t xml:space="preserve">. </w:t>
      </w:r>
      <w:r w:rsidR="00B1755E">
        <w:rPr>
          <w:rFonts w:ascii="Arial" w:hAnsi="Arial" w:cs="Arial"/>
          <w:snapToGrid w:val="0"/>
        </w:rPr>
        <w:t>Existing requirements</w:t>
      </w:r>
      <w:r w:rsidR="00483DFC">
        <w:rPr>
          <w:rFonts w:ascii="Arial" w:hAnsi="Arial" w:cs="Arial"/>
          <w:snapToGrid w:val="0"/>
        </w:rPr>
        <w:t xml:space="preserve"> for</w:t>
      </w:r>
      <w:r w:rsidR="00B1755E">
        <w:rPr>
          <w:rFonts w:ascii="Arial" w:hAnsi="Arial" w:cs="Arial"/>
          <w:snapToGrid w:val="0"/>
        </w:rPr>
        <w:t xml:space="preserve"> </w:t>
      </w:r>
      <w:r w:rsidR="00483DFC" w:rsidRPr="00483DFC">
        <w:rPr>
          <w:rFonts w:ascii="Arial" w:hAnsi="Arial" w:cs="Arial"/>
          <w:snapToGrid w:val="0"/>
        </w:rPr>
        <w:t xml:space="preserve">the statement </w:t>
      </w:r>
      <w:r w:rsidR="00AC2ECC">
        <w:rPr>
          <w:rFonts w:ascii="Arial" w:hAnsi="Arial" w:cs="Arial"/>
          <w:snapToGrid w:val="0"/>
        </w:rPr>
        <w:t xml:space="preserve">(outside of an energy statement or NIP) </w:t>
      </w:r>
      <w:r w:rsidR="00483DFC" w:rsidRPr="00483DFC">
        <w:rPr>
          <w:rFonts w:ascii="Arial" w:hAnsi="Arial" w:cs="Arial"/>
          <w:snapToGrid w:val="0"/>
        </w:rPr>
        <w:t>of the approximate number of standard drinks contained in a beverage</w:t>
      </w:r>
      <w:r w:rsidR="00AC2ECC">
        <w:rPr>
          <w:rFonts w:ascii="Arial" w:hAnsi="Arial" w:cs="Arial"/>
          <w:snapToGrid w:val="0"/>
        </w:rPr>
        <w:t xml:space="preserve"> </w:t>
      </w:r>
      <w:r w:rsidR="00E16271">
        <w:rPr>
          <w:rFonts w:ascii="Arial" w:hAnsi="Arial" w:cs="Arial"/>
          <w:snapToGrid w:val="0"/>
        </w:rPr>
        <w:t xml:space="preserve">for sale </w:t>
      </w:r>
      <w:r w:rsidR="00AC2ECC">
        <w:rPr>
          <w:rFonts w:ascii="Arial" w:hAnsi="Arial" w:cs="Arial"/>
          <w:snapToGrid w:val="0"/>
        </w:rPr>
        <w:t>would continue to apply</w:t>
      </w:r>
      <w:r w:rsidR="00CA6189">
        <w:rPr>
          <w:rFonts w:ascii="Arial" w:hAnsi="Arial" w:cs="Arial"/>
          <w:snapToGrid w:val="0"/>
        </w:rPr>
        <w:t>.</w:t>
      </w:r>
    </w:p>
    <w:p w14:paraId="608AF166" w14:textId="2ACE8A50" w:rsidR="00770035" w:rsidRDefault="00770035" w:rsidP="6A15B411">
      <w:pPr>
        <w:rPr>
          <w:rFonts w:ascii="Arial" w:hAnsi="Arial" w:cs="Arial"/>
          <w:snapToGrid w:val="0"/>
        </w:rPr>
      </w:pPr>
      <w:r w:rsidRPr="6A15B411">
        <w:rPr>
          <w:rFonts w:ascii="Arial" w:hAnsi="Arial" w:cs="Arial"/>
          <w:snapToGrid w:val="0"/>
        </w:rPr>
        <w:t xml:space="preserve">The above readily accessible on-label energy content information can enable consumers to make informed purchasing and consumption decisions and help them </w:t>
      </w:r>
      <w:bookmarkStart w:id="4" w:name="_Hlk176850045"/>
      <w:r w:rsidRPr="6A15B411">
        <w:rPr>
          <w:rFonts w:ascii="Arial" w:hAnsi="Arial" w:cs="Arial"/>
          <w:snapToGrid w:val="0"/>
        </w:rPr>
        <w:t>manage their energy intake and body weight.</w:t>
      </w:r>
      <w:bookmarkEnd w:id="4"/>
      <w:r w:rsidRPr="6A15B411">
        <w:rPr>
          <w:rFonts w:ascii="Arial" w:hAnsi="Arial" w:cs="Arial"/>
          <w:snapToGrid w:val="0"/>
        </w:rPr>
        <w:t xml:space="preserve"> </w:t>
      </w:r>
      <w:r w:rsidR="00E16271" w:rsidRPr="6A15B411">
        <w:rPr>
          <w:rFonts w:ascii="Arial" w:hAnsi="Arial" w:cs="Arial"/>
          <w:snapToGrid w:val="0"/>
        </w:rPr>
        <w:t>Inclusion of t</w:t>
      </w:r>
      <w:r w:rsidRPr="6A15B411">
        <w:rPr>
          <w:rFonts w:ascii="Arial" w:hAnsi="Arial" w:cs="Arial"/>
          <w:snapToGrid w:val="0"/>
        </w:rPr>
        <w:t>he number of standard drinks</w:t>
      </w:r>
      <w:r w:rsidR="001C4C1F" w:rsidRPr="6A15B411">
        <w:rPr>
          <w:rFonts w:ascii="Arial" w:hAnsi="Arial" w:cs="Arial"/>
          <w:snapToGrid w:val="0"/>
        </w:rPr>
        <w:t xml:space="preserve"> equivalent to one</w:t>
      </w:r>
      <w:r w:rsidRPr="6A15B411">
        <w:rPr>
          <w:rFonts w:ascii="Arial" w:hAnsi="Arial" w:cs="Arial"/>
          <w:snapToGrid w:val="0"/>
        </w:rPr>
        <w:t xml:space="preserve"> serving</w:t>
      </w:r>
      <w:r w:rsidR="0045717F" w:rsidRPr="6A15B411">
        <w:rPr>
          <w:rFonts w:ascii="Arial" w:hAnsi="Arial" w:cs="Arial"/>
          <w:snapToGrid w:val="0"/>
        </w:rPr>
        <w:t xml:space="preserve"> on </w:t>
      </w:r>
      <w:r w:rsidR="00DC3D47" w:rsidRPr="6A15B411">
        <w:rPr>
          <w:rFonts w:ascii="Arial" w:hAnsi="Arial" w:cs="Arial"/>
          <w:snapToGrid w:val="0"/>
        </w:rPr>
        <w:t>all</w:t>
      </w:r>
      <w:r w:rsidR="0045717F" w:rsidRPr="6A15B411">
        <w:rPr>
          <w:rFonts w:ascii="Arial" w:hAnsi="Arial" w:cs="Arial"/>
          <w:snapToGrid w:val="0"/>
        </w:rPr>
        <w:t xml:space="preserve"> alcoholic beverages</w:t>
      </w:r>
      <w:r w:rsidRPr="6A15B411">
        <w:rPr>
          <w:snapToGrid w:val="0"/>
        </w:rPr>
        <w:t xml:space="preserve"> </w:t>
      </w:r>
      <w:r w:rsidRPr="6A15B411">
        <w:rPr>
          <w:rFonts w:ascii="Arial" w:hAnsi="Arial" w:cs="Arial"/>
          <w:snapToGrid w:val="0"/>
        </w:rPr>
        <w:t xml:space="preserve">would </w:t>
      </w:r>
      <w:r w:rsidR="00A90E3D" w:rsidRPr="6A15B411">
        <w:rPr>
          <w:rFonts w:ascii="Arial" w:hAnsi="Arial" w:cs="Arial"/>
          <w:snapToGrid w:val="0"/>
        </w:rPr>
        <w:t>improve</w:t>
      </w:r>
      <w:r w:rsidRPr="6A15B411">
        <w:rPr>
          <w:rFonts w:ascii="Arial" w:hAnsi="Arial" w:cs="Arial"/>
          <w:snapToGrid w:val="0"/>
        </w:rPr>
        <w:t xml:space="preserve"> consumer</w:t>
      </w:r>
      <w:r w:rsidR="00A90E3D" w:rsidRPr="6A15B411">
        <w:rPr>
          <w:rFonts w:ascii="Arial" w:hAnsi="Arial" w:cs="Arial"/>
          <w:snapToGrid w:val="0"/>
        </w:rPr>
        <w:t xml:space="preserve"> understanding </w:t>
      </w:r>
      <w:r w:rsidR="00447CAA" w:rsidRPr="6A15B411">
        <w:rPr>
          <w:rFonts w:ascii="Arial" w:hAnsi="Arial" w:cs="Arial"/>
          <w:snapToGrid w:val="0"/>
        </w:rPr>
        <w:t xml:space="preserve">of </w:t>
      </w:r>
      <w:r w:rsidRPr="6A15B411">
        <w:rPr>
          <w:rFonts w:ascii="Arial" w:hAnsi="Arial" w:cs="Arial"/>
          <w:snapToGrid w:val="0"/>
        </w:rPr>
        <w:t>how a serving size relates to a standard drink. Th</w:t>
      </w:r>
      <w:r w:rsidR="008A5367" w:rsidRPr="6A15B411">
        <w:rPr>
          <w:rFonts w:ascii="Arial" w:hAnsi="Arial" w:cs="Arial"/>
          <w:snapToGrid w:val="0"/>
        </w:rPr>
        <w:t>ose</w:t>
      </w:r>
      <w:r w:rsidR="004F1C1E" w:rsidRPr="6A15B411">
        <w:rPr>
          <w:rFonts w:ascii="Arial" w:hAnsi="Arial" w:cs="Arial"/>
          <w:snapToGrid w:val="0"/>
        </w:rPr>
        <w:t xml:space="preserve"> </w:t>
      </w:r>
      <w:r w:rsidR="00636B12" w:rsidRPr="6A15B411">
        <w:rPr>
          <w:rFonts w:ascii="Arial" w:hAnsi="Arial" w:cs="Arial"/>
          <w:snapToGrid w:val="0"/>
        </w:rPr>
        <w:t xml:space="preserve">energy content and standard drinks </w:t>
      </w:r>
      <w:r w:rsidR="004F1C1E" w:rsidRPr="6A15B411">
        <w:rPr>
          <w:rFonts w:ascii="Arial" w:hAnsi="Arial" w:cs="Arial"/>
          <w:snapToGrid w:val="0"/>
        </w:rPr>
        <w:t xml:space="preserve">aspects of information </w:t>
      </w:r>
      <w:r w:rsidRPr="6A15B411">
        <w:rPr>
          <w:rFonts w:ascii="Arial" w:hAnsi="Arial" w:cs="Arial"/>
          <w:snapToGrid w:val="0"/>
        </w:rPr>
        <w:t>could potentially lead to improvements to overall health and quality of life for some alcoholic beverage consumers from reduced overweight and obesity.</w:t>
      </w:r>
    </w:p>
    <w:p w14:paraId="71B53317" w14:textId="4257D8A9" w:rsidR="005D3464" w:rsidRDefault="005D3464" w:rsidP="6A15B411">
      <w:pPr>
        <w:rPr>
          <w:rFonts w:ascii="Arial" w:hAnsi="Arial" w:cs="Arial"/>
          <w:snapToGrid w:val="0"/>
        </w:rPr>
      </w:pPr>
      <w:r w:rsidRPr="6A15B411">
        <w:rPr>
          <w:rFonts w:ascii="Arial" w:hAnsi="Arial" w:cs="Arial"/>
          <w:snapToGrid w:val="0"/>
        </w:rPr>
        <w:t xml:space="preserve">The preferred option would also </w:t>
      </w:r>
      <w:r w:rsidR="007A4BB6" w:rsidRPr="6A15B411">
        <w:rPr>
          <w:rFonts w:ascii="Arial" w:hAnsi="Arial" w:cs="Arial"/>
          <w:snapToGrid w:val="0"/>
        </w:rPr>
        <w:t xml:space="preserve">provide clarity by </w:t>
      </w:r>
      <w:r w:rsidRPr="6A15B411">
        <w:rPr>
          <w:rFonts w:ascii="Arial" w:hAnsi="Arial" w:cs="Arial"/>
          <w:snapToGrid w:val="0"/>
        </w:rPr>
        <w:t>prescrib</w:t>
      </w:r>
      <w:r w:rsidR="007A4BB6" w:rsidRPr="6A15B411">
        <w:rPr>
          <w:rFonts w:ascii="Arial" w:hAnsi="Arial" w:cs="Arial"/>
          <w:snapToGrid w:val="0"/>
        </w:rPr>
        <w:t>ing</w:t>
      </w:r>
      <w:r w:rsidRPr="6A15B411">
        <w:rPr>
          <w:rFonts w:ascii="Arial" w:hAnsi="Arial" w:cs="Arial"/>
          <w:snapToGrid w:val="0"/>
        </w:rPr>
        <w:t xml:space="preserve"> content and format requirements for a voluntary NIP. It is assumed that </w:t>
      </w:r>
      <w:r w:rsidR="006C6FF6" w:rsidRPr="6A15B411">
        <w:rPr>
          <w:rFonts w:ascii="Arial" w:hAnsi="Arial" w:cs="Arial"/>
          <w:snapToGrid w:val="0"/>
        </w:rPr>
        <w:t xml:space="preserve">(aside from the </w:t>
      </w:r>
      <w:r w:rsidR="00D63DC8" w:rsidRPr="6A15B411">
        <w:rPr>
          <w:rFonts w:ascii="Arial" w:hAnsi="Arial" w:cs="Arial"/>
          <w:snapToGrid w:val="0"/>
        </w:rPr>
        <w:t xml:space="preserve">number of standard drinks </w:t>
      </w:r>
      <w:r w:rsidR="00AF51D2" w:rsidRPr="6A15B411">
        <w:rPr>
          <w:rFonts w:ascii="Arial" w:hAnsi="Arial" w:cs="Arial"/>
          <w:snapToGrid w:val="0"/>
        </w:rPr>
        <w:t xml:space="preserve">equivalent to </w:t>
      </w:r>
      <w:r w:rsidR="00AF51D2" w:rsidRPr="6A15B411">
        <w:rPr>
          <w:rFonts w:ascii="Arial" w:hAnsi="Arial" w:cs="Arial"/>
          <w:snapToGrid w:val="0"/>
        </w:rPr>
        <w:lastRenderedPageBreak/>
        <w:t xml:space="preserve">one </w:t>
      </w:r>
      <w:r w:rsidR="00D63DC8" w:rsidRPr="6A15B411">
        <w:rPr>
          <w:rFonts w:ascii="Arial" w:hAnsi="Arial" w:cs="Arial"/>
          <w:snapToGrid w:val="0"/>
        </w:rPr>
        <w:t xml:space="preserve">serving), the </w:t>
      </w:r>
      <w:r w:rsidR="007C6D5B" w:rsidRPr="6A15B411">
        <w:rPr>
          <w:rFonts w:ascii="Arial" w:hAnsi="Arial" w:cs="Arial"/>
          <w:snapToGrid w:val="0"/>
        </w:rPr>
        <w:t>preferred option’s</w:t>
      </w:r>
      <w:r w:rsidR="00D63DC8" w:rsidRPr="6A15B411">
        <w:rPr>
          <w:rFonts w:ascii="Arial" w:hAnsi="Arial" w:cs="Arial"/>
          <w:snapToGrid w:val="0"/>
        </w:rPr>
        <w:t xml:space="preserve"> </w:t>
      </w:r>
      <w:r w:rsidRPr="6A15B411">
        <w:rPr>
          <w:rFonts w:ascii="Arial" w:hAnsi="Arial" w:cs="Arial"/>
          <w:snapToGrid w:val="0"/>
        </w:rPr>
        <w:t xml:space="preserve">prescribed content and format is already used for most, if not all NIPs (voluntary or not) on alcoholic beverages.  </w:t>
      </w:r>
    </w:p>
    <w:p w14:paraId="4D5BC3E6" w14:textId="01FF788D" w:rsidR="00770035" w:rsidRDefault="00770035" w:rsidP="6A15B411">
      <w:pPr>
        <w:rPr>
          <w:rFonts w:ascii="Arial" w:hAnsi="Arial" w:cs="Arial"/>
          <w:snapToGrid w:val="0"/>
        </w:rPr>
      </w:pPr>
      <w:r w:rsidRPr="6A15B411">
        <w:rPr>
          <w:rFonts w:ascii="Arial" w:hAnsi="Arial" w:cs="Arial"/>
          <w:snapToGrid w:val="0"/>
        </w:rPr>
        <w:t xml:space="preserve">The main costs from the preferred option would be label change costs to industry, estimated at </w:t>
      </w:r>
      <w:r w:rsidRPr="6A15B411">
        <w:rPr>
          <w:rFonts w:ascii="Arial" w:eastAsia="Arial" w:hAnsi="Arial" w:cs="Arial"/>
        </w:rPr>
        <w:t>between $</w:t>
      </w:r>
      <w:r w:rsidR="00347AFF" w:rsidRPr="6A15B411">
        <w:rPr>
          <w:rFonts w:ascii="Arial" w:eastAsia="Arial" w:hAnsi="Arial" w:cs="Arial"/>
        </w:rPr>
        <w:t xml:space="preserve">339 </w:t>
      </w:r>
      <w:r w:rsidRPr="6A15B411">
        <w:rPr>
          <w:rFonts w:ascii="Arial" w:eastAsia="Arial" w:hAnsi="Arial" w:cs="Arial"/>
        </w:rPr>
        <w:t>m and $</w:t>
      </w:r>
      <w:r w:rsidR="00927F6A" w:rsidRPr="6A15B411">
        <w:rPr>
          <w:rFonts w:ascii="Arial" w:eastAsia="Arial" w:hAnsi="Arial" w:cs="Arial"/>
        </w:rPr>
        <w:t>44</w:t>
      </w:r>
      <w:r w:rsidR="005B6DF4" w:rsidRPr="6A15B411">
        <w:rPr>
          <w:rFonts w:ascii="Arial" w:eastAsia="Arial" w:hAnsi="Arial" w:cs="Arial"/>
        </w:rPr>
        <w:t>4</w:t>
      </w:r>
      <w:r w:rsidRPr="6A15B411">
        <w:rPr>
          <w:rFonts w:ascii="Arial" w:eastAsia="Arial" w:hAnsi="Arial" w:cs="Arial"/>
        </w:rPr>
        <w:t xml:space="preserve"> million.</w:t>
      </w:r>
    </w:p>
    <w:p w14:paraId="54773355" w14:textId="27E63593" w:rsidR="00770035" w:rsidRDefault="00770035" w:rsidP="00770035">
      <w:pPr>
        <w:rPr>
          <w:rFonts w:ascii="Arial" w:hAnsi="Arial" w:cs="Arial"/>
          <w:snapToGrid w:val="0"/>
          <w:lang w:val="en-NZ"/>
        </w:rPr>
      </w:pPr>
      <w:r>
        <w:rPr>
          <w:rFonts w:ascii="Arial" w:hAnsi="Arial" w:cs="Arial"/>
          <w:snapToGrid w:val="0"/>
        </w:rPr>
        <w:t xml:space="preserve">While FSANZ acknowledges the caveats involved in making the following estimation, FSANZ estimates that </w:t>
      </w:r>
      <w:r w:rsidRPr="003E390A">
        <w:rPr>
          <w:rFonts w:ascii="Arial" w:hAnsi="Arial" w:cs="Arial"/>
          <w:snapToGrid w:val="0"/>
          <w:lang w:val="en-NZ"/>
        </w:rPr>
        <w:t xml:space="preserve">only a </w:t>
      </w:r>
      <w:r w:rsidRPr="006338C4">
        <w:rPr>
          <w:rFonts w:ascii="Arial" w:hAnsi="Arial" w:cs="Arial"/>
          <w:snapToGrid w:val="0"/>
          <w:lang w:val="en-NZ"/>
        </w:rPr>
        <w:t>0.1</w:t>
      </w:r>
      <w:r w:rsidR="00B057E0">
        <w:rPr>
          <w:rFonts w:ascii="Arial" w:hAnsi="Arial" w:cs="Arial"/>
          <w:snapToGrid w:val="0"/>
          <w:lang w:val="en-NZ"/>
        </w:rPr>
        <w:t>3</w:t>
      </w:r>
      <w:r w:rsidRPr="006338C4">
        <w:rPr>
          <w:rFonts w:ascii="Arial" w:hAnsi="Arial" w:cs="Arial"/>
          <w:snapToGrid w:val="0"/>
          <w:lang w:val="en-NZ"/>
        </w:rPr>
        <w:t>%</w:t>
      </w:r>
      <w:r>
        <w:rPr>
          <w:rFonts w:ascii="Arial" w:hAnsi="Arial" w:cs="Arial"/>
          <w:snapToGrid w:val="0"/>
          <w:lang w:val="en-NZ"/>
        </w:rPr>
        <w:t xml:space="preserve"> to 0.18%</w:t>
      </w:r>
      <w:r w:rsidRPr="003E390A">
        <w:rPr>
          <w:rFonts w:ascii="Arial" w:hAnsi="Arial" w:cs="Arial"/>
          <w:snapToGrid w:val="0"/>
          <w:lang w:val="en-NZ"/>
        </w:rPr>
        <w:t xml:space="preserve"> reduction in </w:t>
      </w:r>
      <w:r w:rsidR="000E11E4" w:rsidRPr="00722ACD">
        <w:rPr>
          <w:rFonts w:ascii="Arial" w:hAnsi="Arial" w:cs="Arial"/>
          <w:snapToGrid w:val="0"/>
          <w:lang w:val="en-GB"/>
        </w:rPr>
        <w:t>obesity and overweight-related health costs over ten years</w:t>
      </w:r>
      <w:r w:rsidR="000E11E4" w:rsidRPr="00722ACD">
        <w:rPr>
          <w:rStyle w:val="FootnoteReference"/>
          <w:rFonts w:ascii="Arial" w:hAnsi="Arial" w:cs="Arial"/>
          <w:snapToGrid w:val="0"/>
          <w:lang w:val="en-NZ"/>
        </w:rPr>
        <w:footnoteReference w:id="2"/>
      </w:r>
      <w:r w:rsidR="00432848" w:rsidRPr="00722ACD">
        <w:rPr>
          <w:rFonts w:ascii="Arial" w:hAnsi="Arial" w:cs="Arial"/>
          <w:snapToGrid w:val="0"/>
          <w:lang w:val="en-GB"/>
        </w:rPr>
        <w:t xml:space="preserve"> is needed</w:t>
      </w:r>
      <w:r w:rsidR="000E11E4" w:rsidRPr="00722ACD">
        <w:rPr>
          <w:rFonts w:ascii="Arial" w:hAnsi="Arial" w:cs="Arial"/>
          <w:snapToGrid w:val="0"/>
          <w:lang w:val="en-GB"/>
        </w:rPr>
        <w:t xml:space="preserve"> to offset</w:t>
      </w:r>
      <w:r w:rsidR="00432848" w:rsidRPr="00722ACD">
        <w:rPr>
          <w:rFonts w:ascii="Arial" w:hAnsi="Arial" w:cs="Arial"/>
          <w:snapToGrid w:val="0"/>
          <w:lang w:val="en-GB"/>
        </w:rPr>
        <w:t xml:space="preserve"> the main costs of P1059,</w:t>
      </w:r>
      <w:r w:rsidR="000E11E4" w:rsidRPr="00722ACD">
        <w:rPr>
          <w:rFonts w:ascii="Arial" w:hAnsi="Arial" w:cs="Arial"/>
          <w:snapToGrid w:val="0"/>
          <w:lang w:val="en-GB"/>
        </w:rPr>
        <w:t xml:space="preserve"> label change costs</w:t>
      </w:r>
      <w:r w:rsidR="00432848">
        <w:rPr>
          <w:rFonts w:ascii="Arial" w:hAnsi="Arial" w:cs="Arial"/>
          <w:snapToGrid w:val="0"/>
          <w:lang w:val="en-GB"/>
        </w:rPr>
        <w:t>.</w:t>
      </w:r>
      <w:r w:rsidR="00C50BE2">
        <w:rPr>
          <w:rFonts w:ascii="Arial" w:hAnsi="Arial" w:cs="Arial"/>
          <w:snapToGrid w:val="0"/>
          <w:lang w:val="en-NZ"/>
        </w:rPr>
        <w:t xml:space="preserve"> </w:t>
      </w:r>
      <w:r>
        <w:rPr>
          <w:rFonts w:ascii="Arial" w:hAnsi="Arial" w:cs="Arial"/>
          <w:snapToGrid w:val="0"/>
          <w:lang w:val="en-NZ"/>
        </w:rPr>
        <w:t>That was calculated using break-even analysis, which was used to identify the best option.</w:t>
      </w:r>
    </w:p>
    <w:p w14:paraId="7BF9297A" w14:textId="6D7B7E39" w:rsidR="00770035" w:rsidRPr="00482D92" w:rsidRDefault="00770035" w:rsidP="00770035">
      <w:pPr>
        <w:rPr>
          <w:rFonts w:ascii="Arial" w:hAnsi="Arial" w:cs="Arial"/>
          <w:snapToGrid w:val="0"/>
        </w:rPr>
      </w:pPr>
      <w:r w:rsidRPr="003E390A">
        <w:rPr>
          <w:rFonts w:ascii="Arial" w:hAnsi="Arial" w:cs="Arial"/>
          <w:snapToGrid w:val="0"/>
          <w:lang w:val="en-NZ"/>
        </w:rPr>
        <w:t>It does not seem unreasonable to assume th</w:t>
      </w:r>
      <w:r>
        <w:rPr>
          <w:rFonts w:ascii="Arial" w:hAnsi="Arial" w:cs="Arial"/>
          <w:snapToGrid w:val="0"/>
          <w:lang w:val="en-NZ"/>
        </w:rPr>
        <w:t xml:space="preserve">e preferred </w:t>
      </w:r>
      <w:r w:rsidRPr="003E390A">
        <w:rPr>
          <w:rFonts w:ascii="Arial" w:hAnsi="Arial" w:cs="Arial"/>
          <w:snapToGrid w:val="0"/>
          <w:lang w:val="en-NZ"/>
        </w:rPr>
        <w:t xml:space="preserve">option could </w:t>
      </w:r>
      <w:r w:rsidRPr="006338C4">
        <w:rPr>
          <w:rFonts w:ascii="Arial" w:hAnsi="Arial" w:cs="Arial"/>
          <w:snapToGrid w:val="0"/>
          <w:lang w:val="en-NZ"/>
        </w:rPr>
        <w:t xml:space="preserve">contribute to a </w:t>
      </w:r>
      <w:r w:rsidR="00CF5C6E">
        <w:rPr>
          <w:rFonts w:ascii="Arial" w:hAnsi="Arial" w:cs="Arial"/>
          <w:snapToGrid w:val="0"/>
          <w:lang w:val="en-NZ"/>
        </w:rPr>
        <w:t>reduction of health-related costs</w:t>
      </w:r>
      <w:r w:rsidR="00CF5C6E" w:rsidRPr="006338C4">
        <w:rPr>
          <w:rFonts w:ascii="Arial" w:hAnsi="Arial" w:cs="Arial"/>
          <w:snapToGrid w:val="0"/>
          <w:lang w:val="en-NZ"/>
        </w:rPr>
        <w:t xml:space="preserve"> </w:t>
      </w:r>
      <w:r w:rsidRPr="006338C4">
        <w:rPr>
          <w:rFonts w:ascii="Arial" w:hAnsi="Arial" w:cs="Arial"/>
          <w:snapToGrid w:val="0"/>
          <w:lang w:val="en-NZ"/>
        </w:rPr>
        <w:t>of this size</w:t>
      </w:r>
      <w:r>
        <w:rPr>
          <w:rFonts w:ascii="Arial" w:hAnsi="Arial" w:cs="Arial"/>
          <w:snapToGrid w:val="0"/>
          <w:lang w:val="en-NZ"/>
        </w:rPr>
        <w:t>, given such energy content information is foundational for educational and health strategies (including those mentioned later) aimed at reducing obesity and overweight through informing consumers</w:t>
      </w:r>
      <w:r w:rsidRPr="003E390A">
        <w:rPr>
          <w:rFonts w:ascii="Arial" w:hAnsi="Arial" w:cs="Arial"/>
          <w:snapToGrid w:val="0"/>
          <w:lang w:val="en-NZ"/>
        </w:rPr>
        <w:t xml:space="preserve">. </w:t>
      </w:r>
    </w:p>
    <w:p w14:paraId="20B93937" w14:textId="77777777" w:rsidR="00770035" w:rsidRDefault="00770035" w:rsidP="00770035">
      <w:pPr>
        <w:rPr>
          <w:rFonts w:ascii="Arial" w:hAnsi="Arial" w:cs="Arial"/>
          <w:snapToGrid w:val="0"/>
          <w:lang w:val="en-NZ"/>
        </w:rPr>
      </w:pPr>
      <w:r>
        <w:rPr>
          <w:rFonts w:ascii="Arial" w:hAnsi="Arial" w:cs="Arial"/>
          <w:snapToGrid w:val="0"/>
          <w:lang w:val="en-NZ"/>
        </w:rPr>
        <w:t xml:space="preserve">To help minimise costs to industry of the proposed energy statement, </w:t>
      </w:r>
      <w:r w:rsidRPr="001F062C">
        <w:rPr>
          <w:rFonts w:ascii="Arial" w:hAnsi="Arial" w:cs="Arial"/>
          <w:snapToGrid w:val="0"/>
          <w:lang w:val="en-NZ"/>
        </w:rPr>
        <w:t xml:space="preserve">FSANZ </w:t>
      </w:r>
      <w:r>
        <w:rPr>
          <w:rFonts w:ascii="Arial" w:hAnsi="Arial" w:cs="Arial"/>
          <w:snapToGrid w:val="0"/>
          <w:lang w:val="en-NZ"/>
        </w:rPr>
        <w:t xml:space="preserve">proposes to </w:t>
      </w:r>
      <w:r w:rsidRPr="001F062C">
        <w:rPr>
          <w:rFonts w:ascii="Arial" w:hAnsi="Arial" w:cs="Arial"/>
          <w:snapToGrid w:val="0"/>
          <w:lang w:val="en-NZ"/>
        </w:rPr>
        <w:t xml:space="preserve">allow industry </w:t>
      </w:r>
      <w:r w:rsidRPr="00A20B13">
        <w:rPr>
          <w:rFonts w:ascii="Arial" w:hAnsi="Arial" w:cs="Arial"/>
          <w:snapToGrid w:val="0"/>
          <w:lang w:val="en-NZ"/>
        </w:rPr>
        <w:t xml:space="preserve">three years to adopt </w:t>
      </w:r>
      <w:r>
        <w:rPr>
          <w:rFonts w:ascii="Arial" w:hAnsi="Arial" w:cs="Arial"/>
          <w:snapToGrid w:val="0"/>
          <w:lang w:val="en-NZ"/>
        </w:rPr>
        <w:t xml:space="preserve">the proposed </w:t>
      </w:r>
      <w:r w:rsidRPr="00A20B13">
        <w:rPr>
          <w:rFonts w:ascii="Arial" w:hAnsi="Arial" w:cs="Arial"/>
          <w:snapToGrid w:val="0"/>
          <w:lang w:val="en-NZ"/>
        </w:rPr>
        <w:t>new labelling requirements</w:t>
      </w:r>
      <w:r>
        <w:rPr>
          <w:rFonts w:ascii="Arial" w:hAnsi="Arial" w:cs="Arial"/>
          <w:snapToGrid w:val="0"/>
          <w:lang w:val="en-NZ"/>
        </w:rPr>
        <w:t xml:space="preserve"> which means that either the old or new labelling requirements are acceptable during this period.</w:t>
      </w:r>
    </w:p>
    <w:p w14:paraId="7CD4AB40" w14:textId="6A8234BD" w:rsidR="00770035" w:rsidRDefault="00770035" w:rsidP="00770035">
      <w:pPr>
        <w:rPr>
          <w:rFonts w:ascii="Arial" w:hAnsi="Arial" w:cs="Arial"/>
          <w:snapToGrid w:val="0"/>
          <w:lang w:val="en-NZ"/>
        </w:rPr>
      </w:pPr>
      <w:r>
        <w:rPr>
          <w:rFonts w:ascii="Arial" w:hAnsi="Arial" w:cs="Arial"/>
          <w:snapToGrid w:val="0"/>
          <w:lang w:val="en-NZ"/>
        </w:rPr>
        <w:t xml:space="preserve">FSANZ’s standard implementation process would take place for the preferred option, with the start of the three year transition expected in late </w:t>
      </w:r>
      <w:r w:rsidR="00E802C7">
        <w:rPr>
          <w:rFonts w:ascii="Arial" w:hAnsi="Arial" w:cs="Arial"/>
          <w:snapToGrid w:val="0"/>
          <w:lang w:val="en-NZ"/>
        </w:rPr>
        <w:t xml:space="preserve">May </w:t>
      </w:r>
      <w:r>
        <w:rPr>
          <w:rFonts w:ascii="Arial" w:hAnsi="Arial" w:cs="Arial"/>
          <w:snapToGrid w:val="0"/>
          <w:lang w:val="en-NZ"/>
        </w:rPr>
        <w:t>2025, with jurisdictions being responsible for taking forward implementation, monitoring and enforcing compliance.</w:t>
      </w:r>
    </w:p>
    <w:p w14:paraId="05BA9FE7" w14:textId="6E2DCBF9" w:rsidR="00770035" w:rsidRDefault="00770035" w:rsidP="6A15B411">
      <w:pPr>
        <w:rPr>
          <w:rFonts w:ascii="Arial" w:eastAsia="Arial" w:hAnsi="Arial"/>
        </w:rPr>
      </w:pPr>
      <w:r w:rsidRPr="6A15B411">
        <w:rPr>
          <w:rFonts w:ascii="Arial" w:eastAsia="Arial" w:hAnsi="Arial"/>
        </w:rPr>
        <w:t>Decisions in relation to the evaluation of this regulatory change</w:t>
      </w:r>
      <w:r w:rsidR="0019405C" w:rsidRPr="6A15B411">
        <w:rPr>
          <w:rFonts w:ascii="Arial" w:eastAsia="Arial" w:hAnsi="Arial"/>
        </w:rPr>
        <w:t>,</w:t>
      </w:r>
      <w:r w:rsidRPr="6A15B411">
        <w:rPr>
          <w:rFonts w:ascii="Arial" w:eastAsia="Arial" w:hAnsi="Arial"/>
        </w:rPr>
        <w:t xml:space="preserve"> </w:t>
      </w:r>
      <w:r w:rsidR="007429F1" w:rsidRPr="6A15B411">
        <w:rPr>
          <w:rFonts w:ascii="Arial" w:eastAsia="Arial" w:hAnsi="Arial"/>
        </w:rPr>
        <w:t>once made</w:t>
      </w:r>
      <w:r w:rsidR="0019405C" w:rsidRPr="6A15B411">
        <w:rPr>
          <w:rFonts w:ascii="Arial" w:eastAsia="Arial" w:hAnsi="Arial"/>
        </w:rPr>
        <w:t>,</w:t>
      </w:r>
      <w:r w:rsidR="007429F1" w:rsidRPr="6A15B411">
        <w:rPr>
          <w:rFonts w:ascii="Arial" w:eastAsia="Arial" w:hAnsi="Arial"/>
        </w:rPr>
        <w:t xml:space="preserve"> </w:t>
      </w:r>
      <w:r w:rsidRPr="6A15B411">
        <w:rPr>
          <w:rFonts w:ascii="Arial" w:eastAsia="Arial" w:hAnsi="Arial"/>
        </w:rPr>
        <w:t>are for the jurisdictions to make (not FSANZ). Evaluation questions that could be asked may include:</w:t>
      </w:r>
    </w:p>
    <w:p w14:paraId="639518E3" w14:textId="464BC704" w:rsidR="00770035" w:rsidRDefault="00770035" w:rsidP="00770035">
      <w:pPr>
        <w:pStyle w:val="ListParagraph"/>
        <w:numPr>
          <w:ilvl w:val="0"/>
          <w:numId w:val="39"/>
        </w:numPr>
        <w:rPr>
          <w:rFonts w:ascii="Arial" w:eastAsia="Arial" w:hAnsi="Arial"/>
        </w:rPr>
      </w:pPr>
      <w:r>
        <w:rPr>
          <w:rFonts w:ascii="Arial" w:eastAsia="Arial" w:hAnsi="Arial"/>
        </w:rPr>
        <w:t xml:space="preserve">What proportions of alcoholic beverage labels contain energy content information in required formats in </w:t>
      </w:r>
      <w:r w:rsidR="00E802C7">
        <w:rPr>
          <w:rFonts w:ascii="Arial" w:eastAsia="Arial" w:hAnsi="Arial"/>
        </w:rPr>
        <w:t xml:space="preserve">May </w:t>
      </w:r>
      <w:r>
        <w:rPr>
          <w:rFonts w:ascii="Arial" w:eastAsia="Arial" w:hAnsi="Arial"/>
        </w:rPr>
        <w:t xml:space="preserve">2026, </w:t>
      </w:r>
      <w:r w:rsidR="00E802C7">
        <w:rPr>
          <w:rFonts w:ascii="Arial" w:eastAsia="Arial" w:hAnsi="Arial"/>
        </w:rPr>
        <w:t xml:space="preserve">May </w:t>
      </w:r>
      <w:r>
        <w:rPr>
          <w:rFonts w:ascii="Arial" w:eastAsia="Arial" w:hAnsi="Arial"/>
        </w:rPr>
        <w:t xml:space="preserve">2027 (during the three-year transition) and </w:t>
      </w:r>
      <w:r w:rsidR="00E802C7">
        <w:rPr>
          <w:rFonts w:ascii="Arial" w:eastAsia="Arial" w:hAnsi="Arial"/>
        </w:rPr>
        <w:t>May</w:t>
      </w:r>
      <w:r w:rsidR="00B63F44">
        <w:rPr>
          <w:rFonts w:ascii="Arial" w:eastAsia="Arial" w:hAnsi="Arial"/>
        </w:rPr>
        <w:t xml:space="preserve"> 2028</w:t>
      </w:r>
      <w:r w:rsidR="00E802C7">
        <w:rPr>
          <w:rFonts w:ascii="Arial" w:eastAsia="Arial" w:hAnsi="Arial"/>
        </w:rPr>
        <w:t xml:space="preserve"> </w:t>
      </w:r>
      <w:r>
        <w:rPr>
          <w:rFonts w:ascii="Arial" w:eastAsia="Arial" w:hAnsi="Arial"/>
        </w:rPr>
        <w:t>(after the transition)?</w:t>
      </w:r>
    </w:p>
    <w:p w14:paraId="69E8B09A" w14:textId="641EAC4F" w:rsidR="00770035" w:rsidRDefault="00770035" w:rsidP="00770035">
      <w:pPr>
        <w:pStyle w:val="ListParagraph"/>
        <w:numPr>
          <w:ilvl w:val="0"/>
          <w:numId w:val="39"/>
        </w:numPr>
        <w:rPr>
          <w:rFonts w:ascii="Arial" w:eastAsia="Arial" w:hAnsi="Arial"/>
        </w:rPr>
      </w:pPr>
      <w:r>
        <w:rPr>
          <w:rFonts w:ascii="Arial" w:eastAsia="Arial" w:hAnsi="Arial"/>
        </w:rPr>
        <w:t xml:space="preserve">What are the non-compliance rates of alcoholic beverage labels in </w:t>
      </w:r>
      <w:r w:rsidR="00E802C7">
        <w:rPr>
          <w:rFonts w:ascii="Arial" w:eastAsia="Arial" w:hAnsi="Arial"/>
        </w:rPr>
        <w:t xml:space="preserve">May </w:t>
      </w:r>
      <w:r>
        <w:rPr>
          <w:rFonts w:ascii="Arial" w:eastAsia="Arial" w:hAnsi="Arial"/>
        </w:rPr>
        <w:t xml:space="preserve">2028 and future dates? </w:t>
      </w:r>
    </w:p>
    <w:p w14:paraId="1ECBF29E" w14:textId="33670F01" w:rsidR="00770035" w:rsidRDefault="00770035" w:rsidP="00770035">
      <w:pPr>
        <w:pStyle w:val="ListParagraph"/>
        <w:numPr>
          <w:ilvl w:val="0"/>
          <w:numId w:val="39"/>
        </w:numPr>
        <w:rPr>
          <w:rFonts w:ascii="Arial" w:eastAsia="Arial" w:hAnsi="Arial"/>
        </w:rPr>
      </w:pPr>
      <w:r>
        <w:rPr>
          <w:rFonts w:ascii="Arial" w:eastAsia="Arial" w:hAnsi="Arial"/>
        </w:rPr>
        <w:t xml:space="preserve">How does understanding about energy content among consumers change after </w:t>
      </w:r>
      <w:r w:rsidR="00E802C7">
        <w:rPr>
          <w:rFonts w:ascii="Arial" w:eastAsia="Arial" w:hAnsi="Arial"/>
        </w:rPr>
        <w:t xml:space="preserve">May </w:t>
      </w:r>
      <w:r>
        <w:rPr>
          <w:rFonts w:ascii="Arial" w:eastAsia="Arial" w:hAnsi="Arial"/>
        </w:rPr>
        <w:t>2028 compared to near the start of the three-year transition (</w:t>
      </w:r>
      <w:r w:rsidR="00E802C7">
        <w:rPr>
          <w:rFonts w:ascii="Arial" w:eastAsia="Arial" w:hAnsi="Arial"/>
        </w:rPr>
        <w:t xml:space="preserve">May </w:t>
      </w:r>
      <w:r>
        <w:rPr>
          <w:rFonts w:ascii="Arial" w:eastAsia="Arial" w:hAnsi="Arial"/>
        </w:rPr>
        <w:t>2025) for new labelling requirements?</w:t>
      </w:r>
    </w:p>
    <w:p w14:paraId="26B3AD93" w14:textId="61D1E60B" w:rsidR="00865BC7" w:rsidRDefault="007D4FF3" w:rsidP="22C55B8B">
      <w:pPr>
        <w:rPr>
          <w:rFonts w:ascii="Arial" w:eastAsia="Arial" w:hAnsi="Arial" w:cs="Arial"/>
          <w:b/>
          <w:bCs/>
          <w:sz w:val="28"/>
          <w:szCs w:val="28"/>
        </w:rPr>
      </w:pPr>
      <w:r>
        <w:rPr>
          <w:rFonts w:ascii="Arial" w:eastAsia="Arial" w:hAnsi="Arial" w:cs="Arial"/>
          <w:b/>
          <w:bCs/>
          <w:sz w:val="28"/>
          <w:szCs w:val="28"/>
        </w:rPr>
        <w:br w:type="page"/>
      </w:r>
    </w:p>
    <w:sdt>
      <w:sdtPr>
        <w:rPr>
          <w:rFonts w:eastAsiaTheme="minorEastAsia"/>
        </w:rPr>
        <w:id w:val="-1795897995"/>
        <w:docPartObj>
          <w:docPartGallery w:val="Table of Contents"/>
          <w:docPartUnique/>
        </w:docPartObj>
      </w:sdtPr>
      <w:sdtEndPr>
        <w:rPr>
          <w:b/>
          <w:bCs/>
          <w:noProof/>
        </w:rPr>
      </w:sdtEndPr>
      <w:sdtContent>
        <w:p w14:paraId="7A5812AD" w14:textId="23B10650" w:rsidR="00DB7E46" w:rsidRPr="00BD78E0" w:rsidRDefault="00BD78E0" w:rsidP="00BD78E0">
          <w:pPr>
            <w:rPr>
              <w:rFonts w:ascii="Arial" w:hAnsi="Arial" w:cs="Arial"/>
              <w:b/>
              <w:bCs/>
              <w:snapToGrid w:val="0"/>
              <w:color w:val="000000" w:themeColor="text1"/>
              <w:lang w:val="en-GB"/>
            </w:rPr>
          </w:pPr>
          <w:r w:rsidRPr="00E235CC">
            <w:rPr>
              <w:rFonts w:ascii="Arial" w:eastAsiaTheme="minorEastAsia" w:hAnsi="Arial" w:cs="Arial"/>
            </w:rPr>
            <w:t>Table of Contents</w:t>
          </w:r>
        </w:p>
        <w:p w14:paraId="577C01D5" w14:textId="7173CBF5" w:rsidR="00FE7C4E" w:rsidRPr="00E235CC" w:rsidRDefault="00DB7E46">
          <w:pPr>
            <w:pStyle w:val="TOC2"/>
            <w:tabs>
              <w:tab w:val="right" w:leader="dot" w:pos="9350"/>
            </w:tabs>
            <w:rPr>
              <w:rFonts w:ascii="Arial" w:eastAsiaTheme="minorEastAsia" w:hAnsi="Arial" w:cs="Arial"/>
              <w:noProof/>
              <w:kern w:val="2"/>
              <w:sz w:val="24"/>
              <w:szCs w:val="24"/>
              <w:lang w:val="en-AU" w:eastAsia="en-AU"/>
              <w14:ligatures w14:val="standardContextual"/>
            </w:rPr>
          </w:pPr>
          <w:r w:rsidRPr="00E235CC">
            <w:rPr>
              <w:rFonts w:ascii="Arial" w:hAnsi="Arial" w:cs="Arial"/>
            </w:rPr>
            <w:fldChar w:fldCharType="begin"/>
          </w:r>
          <w:r w:rsidRPr="00E235CC">
            <w:rPr>
              <w:rFonts w:ascii="Arial" w:hAnsi="Arial" w:cs="Arial"/>
            </w:rPr>
            <w:instrText xml:space="preserve"> TOC \o "1-3" \h \z \u </w:instrText>
          </w:r>
          <w:r w:rsidRPr="00E235CC">
            <w:rPr>
              <w:rFonts w:ascii="Arial" w:hAnsi="Arial" w:cs="Arial"/>
            </w:rPr>
            <w:fldChar w:fldCharType="separate"/>
          </w:r>
          <w:hyperlink w:anchor="_Toc194475983" w:history="1">
            <w:r w:rsidR="00FE7C4E" w:rsidRPr="00E235CC">
              <w:rPr>
                <w:rStyle w:val="Hyperlink"/>
                <w:rFonts w:ascii="Arial" w:eastAsia="Arial" w:hAnsi="Arial" w:cs="Arial"/>
                <w:noProof/>
              </w:rPr>
              <w:t>Executive Summary</w:t>
            </w:r>
            <w:r w:rsidR="00FE7C4E" w:rsidRPr="00E235CC">
              <w:rPr>
                <w:rFonts w:ascii="Arial" w:hAnsi="Arial" w:cs="Arial"/>
                <w:noProof/>
                <w:webHidden/>
              </w:rPr>
              <w:tab/>
            </w:r>
            <w:r w:rsidR="00FE7C4E" w:rsidRPr="00E235CC">
              <w:rPr>
                <w:rFonts w:ascii="Arial" w:hAnsi="Arial" w:cs="Arial"/>
                <w:noProof/>
                <w:webHidden/>
              </w:rPr>
              <w:fldChar w:fldCharType="begin"/>
            </w:r>
            <w:r w:rsidR="00FE7C4E" w:rsidRPr="00E235CC">
              <w:rPr>
                <w:rFonts w:ascii="Arial" w:hAnsi="Arial" w:cs="Arial"/>
                <w:noProof/>
                <w:webHidden/>
              </w:rPr>
              <w:instrText xml:space="preserve"> PAGEREF _Toc194475983 \h </w:instrText>
            </w:r>
            <w:r w:rsidR="00FE7C4E" w:rsidRPr="00E235CC">
              <w:rPr>
                <w:rFonts w:ascii="Arial" w:hAnsi="Arial" w:cs="Arial"/>
                <w:noProof/>
                <w:webHidden/>
              </w:rPr>
            </w:r>
            <w:r w:rsidR="00FE7C4E" w:rsidRPr="00E235CC">
              <w:rPr>
                <w:rFonts w:ascii="Arial" w:hAnsi="Arial" w:cs="Arial"/>
                <w:noProof/>
                <w:webHidden/>
              </w:rPr>
              <w:fldChar w:fldCharType="separate"/>
            </w:r>
            <w:r w:rsidR="00FE7C4E" w:rsidRPr="00E235CC">
              <w:rPr>
                <w:rFonts w:ascii="Arial" w:hAnsi="Arial" w:cs="Arial"/>
                <w:noProof/>
                <w:webHidden/>
              </w:rPr>
              <w:t>1</w:t>
            </w:r>
            <w:r w:rsidR="00FE7C4E" w:rsidRPr="00E235CC">
              <w:rPr>
                <w:rFonts w:ascii="Arial" w:hAnsi="Arial" w:cs="Arial"/>
                <w:noProof/>
                <w:webHidden/>
              </w:rPr>
              <w:fldChar w:fldCharType="end"/>
            </w:r>
          </w:hyperlink>
        </w:p>
        <w:p w14:paraId="4B5F1FBF" w14:textId="225F0688" w:rsidR="00FE7C4E" w:rsidRPr="00E235CC" w:rsidRDefault="00EB668E">
          <w:pPr>
            <w:pStyle w:val="TOC2"/>
            <w:tabs>
              <w:tab w:val="left" w:pos="720"/>
              <w:tab w:val="right" w:leader="dot" w:pos="9350"/>
            </w:tabs>
            <w:rPr>
              <w:rFonts w:ascii="Arial" w:eastAsiaTheme="minorEastAsia" w:hAnsi="Arial" w:cs="Arial"/>
              <w:noProof/>
              <w:kern w:val="2"/>
              <w:sz w:val="24"/>
              <w:szCs w:val="24"/>
              <w:lang w:val="en-AU" w:eastAsia="en-AU"/>
              <w14:ligatures w14:val="standardContextual"/>
            </w:rPr>
          </w:pPr>
          <w:hyperlink w:anchor="_Toc194475984" w:history="1">
            <w:r w:rsidR="00FE7C4E" w:rsidRPr="00E235CC">
              <w:rPr>
                <w:rStyle w:val="Hyperlink"/>
                <w:rFonts w:ascii="Arial" w:eastAsia="Arial" w:hAnsi="Arial" w:cs="Arial"/>
                <w:noProof/>
              </w:rPr>
              <w:t>1.</w:t>
            </w:r>
            <w:r w:rsidR="00FE7C4E" w:rsidRPr="00E235CC">
              <w:rPr>
                <w:rFonts w:ascii="Arial" w:eastAsiaTheme="minorEastAsia" w:hAnsi="Arial" w:cs="Arial"/>
                <w:noProof/>
                <w:kern w:val="2"/>
                <w:sz w:val="24"/>
                <w:szCs w:val="24"/>
                <w:lang w:val="en-AU" w:eastAsia="en-AU"/>
                <w14:ligatures w14:val="standardContextual"/>
              </w:rPr>
              <w:tab/>
            </w:r>
            <w:r w:rsidR="00FE7C4E" w:rsidRPr="00E235CC">
              <w:rPr>
                <w:rStyle w:val="Hyperlink"/>
                <w:rFonts w:ascii="Arial" w:eastAsia="Arial" w:hAnsi="Arial" w:cs="Arial"/>
                <w:noProof/>
              </w:rPr>
              <w:t>Introduction</w:t>
            </w:r>
            <w:r w:rsidR="00FE7C4E" w:rsidRPr="00E235CC">
              <w:rPr>
                <w:rFonts w:ascii="Arial" w:hAnsi="Arial" w:cs="Arial"/>
                <w:noProof/>
                <w:webHidden/>
              </w:rPr>
              <w:tab/>
            </w:r>
            <w:r w:rsidR="00FE7C4E" w:rsidRPr="00E235CC">
              <w:rPr>
                <w:rFonts w:ascii="Arial" w:hAnsi="Arial" w:cs="Arial"/>
                <w:noProof/>
                <w:webHidden/>
              </w:rPr>
              <w:fldChar w:fldCharType="begin"/>
            </w:r>
            <w:r w:rsidR="00FE7C4E" w:rsidRPr="00E235CC">
              <w:rPr>
                <w:rFonts w:ascii="Arial" w:hAnsi="Arial" w:cs="Arial"/>
                <w:noProof/>
                <w:webHidden/>
              </w:rPr>
              <w:instrText xml:space="preserve"> PAGEREF _Toc194475984 \h </w:instrText>
            </w:r>
            <w:r w:rsidR="00FE7C4E" w:rsidRPr="00E235CC">
              <w:rPr>
                <w:rFonts w:ascii="Arial" w:hAnsi="Arial" w:cs="Arial"/>
                <w:noProof/>
                <w:webHidden/>
              </w:rPr>
            </w:r>
            <w:r w:rsidR="00FE7C4E" w:rsidRPr="00E235CC">
              <w:rPr>
                <w:rFonts w:ascii="Arial" w:hAnsi="Arial" w:cs="Arial"/>
                <w:noProof/>
                <w:webHidden/>
              </w:rPr>
              <w:fldChar w:fldCharType="separate"/>
            </w:r>
            <w:r w:rsidR="00FE7C4E" w:rsidRPr="00E235CC">
              <w:rPr>
                <w:rFonts w:ascii="Arial" w:hAnsi="Arial" w:cs="Arial"/>
                <w:noProof/>
                <w:webHidden/>
              </w:rPr>
              <w:t>5</w:t>
            </w:r>
            <w:r w:rsidR="00FE7C4E" w:rsidRPr="00E235CC">
              <w:rPr>
                <w:rFonts w:ascii="Arial" w:hAnsi="Arial" w:cs="Arial"/>
                <w:noProof/>
                <w:webHidden/>
              </w:rPr>
              <w:fldChar w:fldCharType="end"/>
            </w:r>
          </w:hyperlink>
        </w:p>
        <w:p w14:paraId="1B51B449" w14:textId="1D123839" w:rsidR="00FE7C4E" w:rsidRPr="00E235CC" w:rsidRDefault="00EB668E">
          <w:pPr>
            <w:pStyle w:val="TOC3"/>
            <w:tabs>
              <w:tab w:val="left" w:pos="1200"/>
              <w:tab w:val="right" w:leader="dot" w:pos="9350"/>
            </w:tabs>
            <w:rPr>
              <w:rFonts w:ascii="Arial" w:eastAsiaTheme="minorEastAsia" w:hAnsi="Arial" w:cs="Arial"/>
              <w:noProof/>
              <w:kern w:val="2"/>
              <w:sz w:val="24"/>
              <w:szCs w:val="24"/>
              <w:lang w:val="en-AU" w:eastAsia="en-AU"/>
              <w14:ligatures w14:val="standardContextual"/>
            </w:rPr>
          </w:pPr>
          <w:hyperlink w:anchor="_Toc194475985" w:history="1">
            <w:r w:rsidR="00FE7C4E" w:rsidRPr="00E235CC">
              <w:rPr>
                <w:rStyle w:val="Hyperlink"/>
                <w:rFonts w:ascii="Arial" w:hAnsi="Arial" w:cs="Arial"/>
                <w:noProof/>
                <w:snapToGrid w:val="0"/>
              </w:rPr>
              <w:t>1.1</w:t>
            </w:r>
            <w:r w:rsidR="00FE7C4E" w:rsidRPr="00E235CC">
              <w:rPr>
                <w:rFonts w:ascii="Arial" w:eastAsiaTheme="minorEastAsia" w:hAnsi="Arial" w:cs="Arial"/>
                <w:noProof/>
                <w:kern w:val="2"/>
                <w:sz w:val="24"/>
                <w:szCs w:val="24"/>
                <w:lang w:val="en-AU" w:eastAsia="en-AU"/>
                <w14:ligatures w14:val="standardContextual"/>
              </w:rPr>
              <w:tab/>
            </w:r>
            <w:r w:rsidR="00FE7C4E" w:rsidRPr="00E235CC">
              <w:rPr>
                <w:rStyle w:val="Hyperlink"/>
                <w:rFonts w:ascii="Arial" w:hAnsi="Arial" w:cs="Arial"/>
                <w:noProof/>
                <w:snapToGrid w:val="0"/>
              </w:rPr>
              <w:t>Purpose of this DRIS</w:t>
            </w:r>
            <w:r w:rsidR="00FE7C4E" w:rsidRPr="00E235CC">
              <w:rPr>
                <w:rFonts w:ascii="Arial" w:hAnsi="Arial" w:cs="Arial"/>
                <w:noProof/>
                <w:webHidden/>
              </w:rPr>
              <w:tab/>
            </w:r>
            <w:r w:rsidR="00FE7C4E" w:rsidRPr="00E235CC">
              <w:rPr>
                <w:rFonts w:ascii="Arial" w:hAnsi="Arial" w:cs="Arial"/>
                <w:noProof/>
                <w:webHidden/>
              </w:rPr>
              <w:fldChar w:fldCharType="begin"/>
            </w:r>
            <w:r w:rsidR="00FE7C4E" w:rsidRPr="00E235CC">
              <w:rPr>
                <w:rFonts w:ascii="Arial" w:hAnsi="Arial" w:cs="Arial"/>
                <w:noProof/>
                <w:webHidden/>
              </w:rPr>
              <w:instrText xml:space="preserve"> PAGEREF _Toc194475985 \h </w:instrText>
            </w:r>
            <w:r w:rsidR="00FE7C4E" w:rsidRPr="00E235CC">
              <w:rPr>
                <w:rFonts w:ascii="Arial" w:hAnsi="Arial" w:cs="Arial"/>
                <w:noProof/>
                <w:webHidden/>
              </w:rPr>
            </w:r>
            <w:r w:rsidR="00FE7C4E" w:rsidRPr="00E235CC">
              <w:rPr>
                <w:rFonts w:ascii="Arial" w:hAnsi="Arial" w:cs="Arial"/>
                <w:noProof/>
                <w:webHidden/>
              </w:rPr>
              <w:fldChar w:fldCharType="separate"/>
            </w:r>
            <w:r w:rsidR="00FE7C4E" w:rsidRPr="00E235CC">
              <w:rPr>
                <w:rFonts w:ascii="Arial" w:hAnsi="Arial" w:cs="Arial"/>
                <w:noProof/>
                <w:webHidden/>
              </w:rPr>
              <w:t>5</w:t>
            </w:r>
            <w:r w:rsidR="00FE7C4E" w:rsidRPr="00E235CC">
              <w:rPr>
                <w:rFonts w:ascii="Arial" w:hAnsi="Arial" w:cs="Arial"/>
                <w:noProof/>
                <w:webHidden/>
              </w:rPr>
              <w:fldChar w:fldCharType="end"/>
            </w:r>
          </w:hyperlink>
        </w:p>
        <w:p w14:paraId="287E1C74" w14:textId="38CA2BA6" w:rsidR="00FE7C4E" w:rsidRPr="00E235CC" w:rsidRDefault="00EB668E">
          <w:pPr>
            <w:pStyle w:val="TOC3"/>
            <w:tabs>
              <w:tab w:val="left" w:pos="1200"/>
              <w:tab w:val="right" w:leader="dot" w:pos="9350"/>
            </w:tabs>
            <w:rPr>
              <w:rFonts w:ascii="Arial" w:eastAsiaTheme="minorEastAsia" w:hAnsi="Arial" w:cs="Arial"/>
              <w:noProof/>
              <w:kern w:val="2"/>
              <w:sz w:val="24"/>
              <w:szCs w:val="24"/>
              <w:lang w:val="en-AU" w:eastAsia="en-AU"/>
              <w14:ligatures w14:val="standardContextual"/>
            </w:rPr>
          </w:pPr>
          <w:hyperlink w:anchor="_Toc194475986" w:history="1">
            <w:r w:rsidR="00FE7C4E" w:rsidRPr="00E235CC">
              <w:rPr>
                <w:rStyle w:val="Hyperlink"/>
                <w:rFonts w:ascii="Arial" w:hAnsi="Arial" w:cs="Arial"/>
                <w:noProof/>
                <w:snapToGrid w:val="0"/>
              </w:rPr>
              <w:t>1.2</w:t>
            </w:r>
            <w:r w:rsidR="00FE7C4E" w:rsidRPr="00E235CC">
              <w:rPr>
                <w:rFonts w:ascii="Arial" w:eastAsiaTheme="minorEastAsia" w:hAnsi="Arial" w:cs="Arial"/>
                <w:noProof/>
                <w:kern w:val="2"/>
                <w:sz w:val="24"/>
                <w:szCs w:val="24"/>
                <w:lang w:val="en-AU" w:eastAsia="en-AU"/>
                <w14:ligatures w14:val="standardContextual"/>
              </w:rPr>
              <w:tab/>
            </w:r>
            <w:r w:rsidR="00FE7C4E" w:rsidRPr="00E235CC">
              <w:rPr>
                <w:rStyle w:val="Hyperlink"/>
                <w:rFonts w:ascii="Arial" w:hAnsi="Arial" w:cs="Arial"/>
                <w:noProof/>
                <w:snapToGrid w:val="0"/>
              </w:rPr>
              <w:t>Scope of P1059</w:t>
            </w:r>
            <w:r w:rsidR="00FE7C4E" w:rsidRPr="00E235CC">
              <w:rPr>
                <w:rFonts w:ascii="Arial" w:hAnsi="Arial" w:cs="Arial"/>
                <w:noProof/>
                <w:webHidden/>
              </w:rPr>
              <w:tab/>
            </w:r>
            <w:r w:rsidR="00FE7C4E" w:rsidRPr="00E235CC">
              <w:rPr>
                <w:rFonts w:ascii="Arial" w:hAnsi="Arial" w:cs="Arial"/>
                <w:noProof/>
                <w:webHidden/>
              </w:rPr>
              <w:fldChar w:fldCharType="begin"/>
            </w:r>
            <w:r w:rsidR="00FE7C4E" w:rsidRPr="00E235CC">
              <w:rPr>
                <w:rFonts w:ascii="Arial" w:hAnsi="Arial" w:cs="Arial"/>
                <w:noProof/>
                <w:webHidden/>
              </w:rPr>
              <w:instrText xml:space="preserve"> PAGEREF _Toc194475986 \h </w:instrText>
            </w:r>
            <w:r w:rsidR="00FE7C4E" w:rsidRPr="00E235CC">
              <w:rPr>
                <w:rFonts w:ascii="Arial" w:hAnsi="Arial" w:cs="Arial"/>
                <w:noProof/>
                <w:webHidden/>
              </w:rPr>
            </w:r>
            <w:r w:rsidR="00FE7C4E" w:rsidRPr="00E235CC">
              <w:rPr>
                <w:rFonts w:ascii="Arial" w:hAnsi="Arial" w:cs="Arial"/>
                <w:noProof/>
                <w:webHidden/>
              </w:rPr>
              <w:fldChar w:fldCharType="separate"/>
            </w:r>
            <w:r w:rsidR="00FE7C4E" w:rsidRPr="00E235CC">
              <w:rPr>
                <w:rFonts w:ascii="Arial" w:hAnsi="Arial" w:cs="Arial"/>
                <w:noProof/>
                <w:webHidden/>
              </w:rPr>
              <w:t>6</w:t>
            </w:r>
            <w:r w:rsidR="00FE7C4E" w:rsidRPr="00E235CC">
              <w:rPr>
                <w:rFonts w:ascii="Arial" w:hAnsi="Arial" w:cs="Arial"/>
                <w:noProof/>
                <w:webHidden/>
              </w:rPr>
              <w:fldChar w:fldCharType="end"/>
            </w:r>
          </w:hyperlink>
        </w:p>
        <w:p w14:paraId="09165002" w14:textId="299B53C2" w:rsidR="00FE7C4E" w:rsidRPr="00E235CC" w:rsidRDefault="00EB668E">
          <w:pPr>
            <w:pStyle w:val="TOC3"/>
            <w:tabs>
              <w:tab w:val="left" w:pos="1200"/>
              <w:tab w:val="right" w:leader="dot" w:pos="9350"/>
            </w:tabs>
            <w:rPr>
              <w:rFonts w:ascii="Arial" w:eastAsiaTheme="minorEastAsia" w:hAnsi="Arial" w:cs="Arial"/>
              <w:noProof/>
              <w:kern w:val="2"/>
              <w:sz w:val="24"/>
              <w:szCs w:val="24"/>
              <w:lang w:val="en-AU" w:eastAsia="en-AU"/>
              <w14:ligatures w14:val="standardContextual"/>
            </w:rPr>
          </w:pPr>
          <w:hyperlink w:anchor="_Toc194475987" w:history="1">
            <w:r w:rsidR="00FE7C4E" w:rsidRPr="00E235CC">
              <w:rPr>
                <w:rStyle w:val="Hyperlink"/>
                <w:rFonts w:ascii="Arial" w:hAnsi="Arial" w:cs="Arial"/>
                <w:noProof/>
                <w:snapToGrid w:val="0"/>
              </w:rPr>
              <w:t>1.3</w:t>
            </w:r>
            <w:r w:rsidR="00FE7C4E" w:rsidRPr="00E235CC">
              <w:rPr>
                <w:rFonts w:ascii="Arial" w:eastAsiaTheme="minorEastAsia" w:hAnsi="Arial" w:cs="Arial"/>
                <w:noProof/>
                <w:kern w:val="2"/>
                <w:sz w:val="24"/>
                <w:szCs w:val="24"/>
                <w:lang w:val="en-AU" w:eastAsia="en-AU"/>
                <w14:ligatures w14:val="standardContextual"/>
              </w:rPr>
              <w:tab/>
            </w:r>
            <w:r w:rsidR="00FE7C4E" w:rsidRPr="00E235CC">
              <w:rPr>
                <w:rStyle w:val="Hyperlink"/>
                <w:rFonts w:ascii="Arial" w:hAnsi="Arial" w:cs="Arial"/>
                <w:noProof/>
                <w:snapToGrid w:val="0"/>
              </w:rPr>
              <w:t>Industry overview</w:t>
            </w:r>
            <w:r w:rsidR="00FE7C4E" w:rsidRPr="00E235CC">
              <w:rPr>
                <w:rFonts w:ascii="Arial" w:hAnsi="Arial" w:cs="Arial"/>
                <w:noProof/>
                <w:webHidden/>
              </w:rPr>
              <w:tab/>
            </w:r>
            <w:r w:rsidR="00FE7C4E" w:rsidRPr="00E235CC">
              <w:rPr>
                <w:rFonts w:ascii="Arial" w:hAnsi="Arial" w:cs="Arial"/>
                <w:noProof/>
                <w:webHidden/>
              </w:rPr>
              <w:fldChar w:fldCharType="begin"/>
            </w:r>
            <w:r w:rsidR="00FE7C4E" w:rsidRPr="00E235CC">
              <w:rPr>
                <w:rFonts w:ascii="Arial" w:hAnsi="Arial" w:cs="Arial"/>
                <w:noProof/>
                <w:webHidden/>
              </w:rPr>
              <w:instrText xml:space="preserve"> PAGEREF _Toc194475987 \h </w:instrText>
            </w:r>
            <w:r w:rsidR="00FE7C4E" w:rsidRPr="00E235CC">
              <w:rPr>
                <w:rFonts w:ascii="Arial" w:hAnsi="Arial" w:cs="Arial"/>
                <w:noProof/>
                <w:webHidden/>
              </w:rPr>
            </w:r>
            <w:r w:rsidR="00FE7C4E" w:rsidRPr="00E235CC">
              <w:rPr>
                <w:rFonts w:ascii="Arial" w:hAnsi="Arial" w:cs="Arial"/>
                <w:noProof/>
                <w:webHidden/>
              </w:rPr>
              <w:fldChar w:fldCharType="separate"/>
            </w:r>
            <w:r w:rsidR="00FE7C4E" w:rsidRPr="00E235CC">
              <w:rPr>
                <w:rFonts w:ascii="Arial" w:hAnsi="Arial" w:cs="Arial"/>
                <w:noProof/>
                <w:webHidden/>
              </w:rPr>
              <w:t>7</w:t>
            </w:r>
            <w:r w:rsidR="00FE7C4E" w:rsidRPr="00E235CC">
              <w:rPr>
                <w:rFonts w:ascii="Arial" w:hAnsi="Arial" w:cs="Arial"/>
                <w:noProof/>
                <w:webHidden/>
              </w:rPr>
              <w:fldChar w:fldCharType="end"/>
            </w:r>
          </w:hyperlink>
        </w:p>
        <w:p w14:paraId="3808033E" w14:textId="6D83CA56" w:rsidR="00FE7C4E" w:rsidRPr="00E235CC" w:rsidRDefault="00EB668E">
          <w:pPr>
            <w:pStyle w:val="TOC2"/>
            <w:tabs>
              <w:tab w:val="left" w:pos="720"/>
              <w:tab w:val="right" w:leader="dot" w:pos="9350"/>
            </w:tabs>
            <w:rPr>
              <w:rFonts w:ascii="Arial" w:eastAsiaTheme="minorEastAsia" w:hAnsi="Arial" w:cs="Arial"/>
              <w:noProof/>
              <w:kern w:val="2"/>
              <w:sz w:val="24"/>
              <w:szCs w:val="24"/>
              <w:lang w:val="en-AU" w:eastAsia="en-AU"/>
              <w14:ligatures w14:val="standardContextual"/>
            </w:rPr>
          </w:pPr>
          <w:hyperlink w:anchor="_Toc194475988" w:history="1">
            <w:r w:rsidR="00FE7C4E" w:rsidRPr="00E235CC">
              <w:rPr>
                <w:rStyle w:val="Hyperlink"/>
                <w:rFonts w:ascii="Arial" w:eastAsia="Arial" w:hAnsi="Arial" w:cs="Arial"/>
                <w:noProof/>
              </w:rPr>
              <w:t>2.</w:t>
            </w:r>
            <w:r w:rsidR="00FE7C4E" w:rsidRPr="00E235CC">
              <w:rPr>
                <w:rFonts w:ascii="Arial" w:eastAsiaTheme="minorEastAsia" w:hAnsi="Arial" w:cs="Arial"/>
                <w:noProof/>
                <w:kern w:val="2"/>
                <w:sz w:val="24"/>
                <w:szCs w:val="24"/>
                <w:lang w:val="en-AU" w:eastAsia="en-AU"/>
                <w14:ligatures w14:val="standardContextual"/>
              </w:rPr>
              <w:tab/>
            </w:r>
            <w:r w:rsidR="00FE7C4E" w:rsidRPr="00E235CC">
              <w:rPr>
                <w:rStyle w:val="Hyperlink"/>
                <w:rFonts w:ascii="Arial" w:eastAsia="Arial" w:hAnsi="Arial" w:cs="Arial"/>
                <w:noProof/>
              </w:rPr>
              <w:t>What is the policy problem?</w:t>
            </w:r>
            <w:r w:rsidR="00FE7C4E" w:rsidRPr="00E235CC">
              <w:rPr>
                <w:rFonts w:ascii="Arial" w:hAnsi="Arial" w:cs="Arial"/>
                <w:noProof/>
                <w:webHidden/>
              </w:rPr>
              <w:tab/>
            </w:r>
            <w:r w:rsidR="00FE7C4E" w:rsidRPr="00E235CC">
              <w:rPr>
                <w:rFonts w:ascii="Arial" w:hAnsi="Arial" w:cs="Arial"/>
                <w:noProof/>
                <w:webHidden/>
              </w:rPr>
              <w:fldChar w:fldCharType="begin"/>
            </w:r>
            <w:r w:rsidR="00FE7C4E" w:rsidRPr="00E235CC">
              <w:rPr>
                <w:rFonts w:ascii="Arial" w:hAnsi="Arial" w:cs="Arial"/>
                <w:noProof/>
                <w:webHidden/>
              </w:rPr>
              <w:instrText xml:space="preserve"> PAGEREF _Toc194475988 \h </w:instrText>
            </w:r>
            <w:r w:rsidR="00FE7C4E" w:rsidRPr="00E235CC">
              <w:rPr>
                <w:rFonts w:ascii="Arial" w:hAnsi="Arial" w:cs="Arial"/>
                <w:noProof/>
                <w:webHidden/>
              </w:rPr>
            </w:r>
            <w:r w:rsidR="00FE7C4E" w:rsidRPr="00E235CC">
              <w:rPr>
                <w:rFonts w:ascii="Arial" w:hAnsi="Arial" w:cs="Arial"/>
                <w:noProof/>
                <w:webHidden/>
              </w:rPr>
              <w:fldChar w:fldCharType="separate"/>
            </w:r>
            <w:r w:rsidR="00FE7C4E" w:rsidRPr="00E235CC">
              <w:rPr>
                <w:rFonts w:ascii="Arial" w:hAnsi="Arial" w:cs="Arial"/>
                <w:noProof/>
                <w:webHidden/>
              </w:rPr>
              <w:t>10</w:t>
            </w:r>
            <w:r w:rsidR="00FE7C4E" w:rsidRPr="00E235CC">
              <w:rPr>
                <w:rFonts w:ascii="Arial" w:hAnsi="Arial" w:cs="Arial"/>
                <w:noProof/>
                <w:webHidden/>
              </w:rPr>
              <w:fldChar w:fldCharType="end"/>
            </w:r>
          </w:hyperlink>
        </w:p>
        <w:p w14:paraId="267122F0" w14:textId="3DC5578B" w:rsidR="00FE7C4E" w:rsidRPr="00E235CC" w:rsidRDefault="00EB668E">
          <w:pPr>
            <w:pStyle w:val="TOC2"/>
            <w:tabs>
              <w:tab w:val="left" w:pos="720"/>
              <w:tab w:val="right" w:leader="dot" w:pos="9350"/>
            </w:tabs>
            <w:rPr>
              <w:rFonts w:ascii="Arial" w:eastAsiaTheme="minorEastAsia" w:hAnsi="Arial" w:cs="Arial"/>
              <w:noProof/>
              <w:kern w:val="2"/>
              <w:sz w:val="24"/>
              <w:szCs w:val="24"/>
              <w:lang w:val="en-AU" w:eastAsia="en-AU"/>
              <w14:ligatures w14:val="standardContextual"/>
            </w:rPr>
          </w:pPr>
          <w:hyperlink w:anchor="_Toc194475989" w:history="1">
            <w:r w:rsidR="00FE7C4E" w:rsidRPr="00E235CC">
              <w:rPr>
                <w:rStyle w:val="Hyperlink"/>
                <w:rFonts w:ascii="Arial" w:eastAsia="Arial" w:hAnsi="Arial" w:cs="Arial"/>
                <w:noProof/>
              </w:rPr>
              <w:t>3.</w:t>
            </w:r>
            <w:r w:rsidR="00FE7C4E" w:rsidRPr="00E235CC">
              <w:rPr>
                <w:rFonts w:ascii="Arial" w:eastAsiaTheme="minorEastAsia" w:hAnsi="Arial" w:cs="Arial"/>
                <w:noProof/>
                <w:kern w:val="2"/>
                <w:sz w:val="24"/>
                <w:szCs w:val="24"/>
                <w:lang w:val="en-AU" w:eastAsia="en-AU"/>
                <w14:ligatures w14:val="standardContextual"/>
              </w:rPr>
              <w:tab/>
            </w:r>
            <w:r w:rsidR="00FE7C4E" w:rsidRPr="00E235CC">
              <w:rPr>
                <w:rStyle w:val="Hyperlink"/>
                <w:rFonts w:ascii="Arial" w:eastAsia="Arial" w:hAnsi="Arial" w:cs="Arial"/>
                <w:noProof/>
              </w:rPr>
              <w:t>Why is government action needed?</w:t>
            </w:r>
            <w:r w:rsidR="00FE7C4E" w:rsidRPr="00E235CC">
              <w:rPr>
                <w:rFonts w:ascii="Arial" w:hAnsi="Arial" w:cs="Arial"/>
                <w:noProof/>
                <w:webHidden/>
              </w:rPr>
              <w:tab/>
            </w:r>
            <w:r w:rsidR="00FE7C4E" w:rsidRPr="00E235CC">
              <w:rPr>
                <w:rFonts w:ascii="Arial" w:hAnsi="Arial" w:cs="Arial"/>
                <w:noProof/>
                <w:webHidden/>
              </w:rPr>
              <w:fldChar w:fldCharType="begin"/>
            </w:r>
            <w:r w:rsidR="00FE7C4E" w:rsidRPr="00E235CC">
              <w:rPr>
                <w:rFonts w:ascii="Arial" w:hAnsi="Arial" w:cs="Arial"/>
                <w:noProof/>
                <w:webHidden/>
              </w:rPr>
              <w:instrText xml:space="preserve"> PAGEREF _Toc194475989 \h </w:instrText>
            </w:r>
            <w:r w:rsidR="00FE7C4E" w:rsidRPr="00E235CC">
              <w:rPr>
                <w:rFonts w:ascii="Arial" w:hAnsi="Arial" w:cs="Arial"/>
                <w:noProof/>
                <w:webHidden/>
              </w:rPr>
            </w:r>
            <w:r w:rsidR="00FE7C4E" w:rsidRPr="00E235CC">
              <w:rPr>
                <w:rFonts w:ascii="Arial" w:hAnsi="Arial" w:cs="Arial"/>
                <w:noProof/>
                <w:webHidden/>
              </w:rPr>
              <w:fldChar w:fldCharType="separate"/>
            </w:r>
            <w:r w:rsidR="00FE7C4E" w:rsidRPr="00E235CC">
              <w:rPr>
                <w:rFonts w:ascii="Arial" w:hAnsi="Arial" w:cs="Arial"/>
                <w:noProof/>
                <w:webHidden/>
              </w:rPr>
              <w:t>12</w:t>
            </w:r>
            <w:r w:rsidR="00FE7C4E" w:rsidRPr="00E235CC">
              <w:rPr>
                <w:rFonts w:ascii="Arial" w:hAnsi="Arial" w:cs="Arial"/>
                <w:noProof/>
                <w:webHidden/>
              </w:rPr>
              <w:fldChar w:fldCharType="end"/>
            </w:r>
          </w:hyperlink>
        </w:p>
        <w:p w14:paraId="5D561A9E" w14:textId="7ED52546" w:rsidR="00FE7C4E" w:rsidRPr="00E235CC" w:rsidRDefault="00EB668E">
          <w:pPr>
            <w:pStyle w:val="TOC2"/>
            <w:tabs>
              <w:tab w:val="left" w:pos="720"/>
              <w:tab w:val="right" w:leader="dot" w:pos="9350"/>
            </w:tabs>
            <w:rPr>
              <w:rFonts w:ascii="Arial" w:eastAsiaTheme="minorEastAsia" w:hAnsi="Arial" w:cs="Arial"/>
              <w:noProof/>
              <w:kern w:val="2"/>
              <w:sz w:val="24"/>
              <w:szCs w:val="24"/>
              <w:lang w:val="en-AU" w:eastAsia="en-AU"/>
              <w14:ligatures w14:val="standardContextual"/>
            </w:rPr>
          </w:pPr>
          <w:hyperlink w:anchor="_Toc194475990" w:history="1">
            <w:r w:rsidR="00FE7C4E" w:rsidRPr="00E235CC">
              <w:rPr>
                <w:rStyle w:val="Hyperlink"/>
                <w:rFonts w:ascii="Arial" w:hAnsi="Arial" w:cs="Arial"/>
                <w:noProof/>
                <w:snapToGrid w:val="0"/>
                <w:lang w:eastAsia="en-NZ"/>
              </w:rPr>
              <w:t>4.</w:t>
            </w:r>
            <w:r w:rsidR="00FE7C4E" w:rsidRPr="00E235CC">
              <w:rPr>
                <w:rFonts w:ascii="Arial" w:eastAsiaTheme="minorEastAsia" w:hAnsi="Arial" w:cs="Arial"/>
                <w:noProof/>
                <w:kern w:val="2"/>
                <w:sz w:val="24"/>
                <w:szCs w:val="24"/>
                <w:lang w:val="en-AU" w:eastAsia="en-AU"/>
                <w14:ligatures w14:val="standardContextual"/>
              </w:rPr>
              <w:tab/>
            </w:r>
            <w:r w:rsidR="00FE7C4E" w:rsidRPr="00E235CC">
              <w:rPr>
                <w:rStyle w:val="Hyperlink"/>
                <w:rFonts w:ascii="Arial" w:eastAsia="Arial" w:hAnsi="Arial" w:cs="Arial"/>
                <w:noProof/>
              </w:rPr>
              <w:t>What policy options are being considered?</w:t>
            </w:r>
            <w:r w:rsidR="00FE7C4E" w:rsidRPr="00E235CC">
              <w:rPr>
                <w:rFonts w:ascii="Arial" w:hAnsi="Arial" w:cs="Arial"/>
                <w:noProof/>
                <w:webHidden/>
              </w:rPr>
              <w:tab/>
            </w:r>
            <w:r w:rsidR="00FE7C4E" w:rsidRPr="00E235CC">
              <w:rPr>
                <w:rFonts w:ascii="Arial" w:hAnsi="Arial" w:cs="Arial"/>
                <w:noProof/>
                <w:webHidden/>
              </w:rPr>
              <w:fldChar w:fldCharType="begin"/>
            </w:r>
            <w:r w:rsidR="00FE7C4E" w:rsidRPr="00E235CC">
              <w:rPr>
                <w:rFonts w:ascii="Arial" w:hAnsi="Arial" w:cs="Arial"/>
                <w:noProof/>
                <w:webHidden/>
              </w:rPr>
              <w:instrText xml:space="preserve"> PAGEREF _Toc194475990 \h </w:instrText>
            </w:r>
            <w:r w:rsidR="00FE7C4E" w:rsidRPr="00E235CC">
              <w:rPr>
                <w:rFonts w:ascii="Arial" w:hAnsi="Arial" w:cs="Arial"/>
                <w:noProof/>
                <w:webHidden/>
              </w:rPr>
            </w:r>
            <w:r w:rsidR="00FE7C4E" w:rsidRPr="00E235CC">
              <w:rPr>
                <w:rFonts w:ascii="Arial" w:hAnsi="Arial" w:cs="Arial"/>
                <w:noProof/>
                <w:webHidden/>
              </w:rPr>
              <w:fldChar w:fldCharType="separate"/>
            </w:r>
            <w:r w:rsidR="00FE7C4E" w:rsidRPr="00E235CC">
              <w:rPr>
                <w:rFonts w:ascii="Arial" w:hAnsi="Arial" w:cs="Arial"/>
                <w:noProof/>
                <w:webHidden/>
              </w:rPr>
              <w:t>13</w:t>
            </w:r>
            <w:r w:rsidR="00FE7C4E" w:rsidRPr="00E235CC">
              <w:rPr>
                <w:rFonts w:ascii="Arial" w:hAnsi="Arial" w:cs="Arial"/>
                <w:noProof/>
                <w:webHidden/>
              </w:rPr>
              <w:fldChar w:fldCharType="end"/>
            </w:r>
          </w:hyperlink>
        </w:p>
        <w:p w14:paraId="4B47F989" w14:textId="00213C5B" w:rsidR="00FE7C4E" w:rsidRPr="00E235CC" w:rsidRDefault="00EB668E">
          <w:pPr>
            <w:pStyle w:val="TOC3"/>
            <w:tabs>
              <w:tab w:val="right" w:leader="dot" w:pos="9350"/>
            </w:tabs>
            <w:rPr>
              <w:rFonts w:ascii="Arial" w:eastAsiaTheme="minorEastAsia" w:hAnsi="Arial" w:cs="Arial"/>
              <w:noProof/>
              <w:kern w:val="2"/>
              <w:sz w:val="24"/>
              <w:szCs w:val="24"/>
              <w:lang w:val="en-AU" w:eastAsia="en-AU"/>
              <w14:ligatures w14:val="standardContextual"/>
            </w:rPr>
          </w:pPr>
          <w:hyperlink w:anchor="_Toc194475991" w:history="1">
            <w:r w:rsidR="00FE7C4E" w:rsidRPr="00E235CC">
              <w:rPr>
                <w:rStyle w:val="Hyperlink"/>
                <w:rFonts w:ascii="Arial" w:hAnsi="Arial" w:cs="Arial"/>
                <w:noProof/>
                <w:snapToGrid w:val="0"/>
              </w:rPr>
              <w:t>Feasible options for decision-makers</w:t>
            </w:r>
            <w:r w:rsidR="00FE7C4E" w:rsidRPr="00E235CC">
              <w:rPr>
                <w:rFonts w:ascii="Arial" w:hAnsi="Arial" w:cs="Arial"/>
                <w:noProof/>
                <w:webHidden/>
              </w:rPr>
              <w:tab/>
            </w:r>
            <w:r w:rsidR="00FE7C4E" w:rsidRPr="00E235CC">
              <w:rPr>
                <w:rFonts w:ascii="Arial" w:hAnsi="Arial" w:cs="Arial"/>
                <w:noProof/>
                <w:webHidden/>
              </w:rPr>
              <w:fldChar w:fldCharType="begin"/>
            </w:r>
            <w:r w:rsidR="00FE7C4E" w:rsidRPr="00E235CC">
              <w:rPr>
                <w:rFonts w:ascii="Arial" w:hAnsi="Arial" w:cs="Arial"/>
                <w:noProof/>
                <w:webHidden/>
              </w:rPr>
              <w:instrText xml:space="preserve"> PAGEREF _Toc194475991 \h </w:instrText>
            </w:r>
            <w:r w:rsidR="00FE7C4E" w:rsidRPr="00E235CC">
              <w:rPr>
                <w:rFonts w:ascii="Arial" w:hAnsi="Arial" w:cs="Arial"/>
                <w:noProof/>
                <w:webHidden/>
              </w:rPr>
            </w:r>
            <w:r w:rsidR="00FE7C4E" w:rsidRPr="00E235CC">
              <w:rPr>
                <w:rFonts w:ascii="Arial" w:hAnsi="Arial" w:cs="Arial"/>
                <w:noProof/>
                <w:webHidden/>
              </w:rPr>
              <w:fldChar w:fldCharType="separate"/>
            </w:r>
            <w:r w:rsidR="00FE7C4E" w:rsidRPr="00E235CC">
              <w:rPr>
                <w:rFonts w:ascii="Arial" w:hAnsi="Arial" w:cs="Arial"/>
                <w:noProof/>
                <w:webHidden/>
              </w:rPr>
              <w:t>15</w:t>
            </w:r>
            <w:r w:rsidR="00FE7C4E" w:rsidRPr="00E235CC">
              <w:rPr>
                <w:rFonts w:ascii="Arial" w:hAnsi="Arial" w:cs="Arial"/>
                <w:noProof/>
                <w:webHidden/>
              </w:rPr>
              <w:fldChar w:fldCharType="end"/>
            </w:r>
          </w:hyperlink>
        </w:p>
        <w:p w14:paraId="233CEA51" w14:textId="035372CE" w:rsidR="00FE7C4E" w:rsidRPr="00E235CC" w:rsidRDefault="00EB668E">
          <w:pPr>
            <w:pStyle w:val="TOC2"/>
            <w:tabs>
              <w:tab w:val="left" w:pos="720"/>
              <w:tab w:val="right" w:leader="dot" w:pos="9350"/>
            </w:tabs>
            <w:rPr>
              <w:rFonts w:ascii="Arial" w:eastAsiaTheme="minorEastAsia" w:hAnsi="Arial" w:cs="Arial"/>
              <w:noProof/>
              <w:kern w:val="2"/>
              <w:sz w:val="24"/>
              <w:szCs w:val="24"/>
              <w:lang w:val="en-AU" w:eastAsia="en-AU"/>
              <w14:ligatures w14:val="standardContextual"/>
            </w:rPr>
          </w:pPr>
          <w:hyperlink w:anchor="_Toc194475992" w:history="1">
            <w:r w:rsidR="00FE7C4E" w:rsidRPr="00E235CC">
              <w:rPr>
                <w:rStyle w:val="Hyperlink"/>
                <w:rFonts w:ascii="Arial" w:eastAsia="Arial" w:hAnsi="Arial" w:cs="Arial"/>
                <w:noProof/>
              </w:rPr>
              <w:t>5.</w:t>
            </w:r>
            <w:r w:rsidR="00FE7C4E" w:rsidRPr="00E235CC">
              <w:rPr>
                <w:rFonts w:ascii="Arial" w:eastAsiaTheme="minorEastAsia" w:hAnsi="Arial" w:cs="Arial"/>
                <w:noProof/>
                <w:kern w:val="2"/>
                <w:sz w:val="24"/>
                <w:szCs w:val="24"/>
                <w:lang w:val="en-AU" w:eastAsia="en-AU"/>
                <w14:ligatures w14:val="standardContextual"/>
              </w:rPr>
              <w:tab/>
            </w:r>
            <w:r w:rsidR="00FE7C4E" w:rsidRPr="00E235CC">
              <w:rPr>
                <w:rStyle w:val="Hyperlink"/>
                <w:rFonts w:ascii="Arial" w:eastAsia="Arial" w:hAnsi="Arial" w:cs="Arial"/>
                <w:noProof/>
              </w:rPr>
              <w:t>What is the likely net benefit of each option?</w:t>
            </w:r>
            <w:r w:rsidR="00FE7C4E" w:rsidRPr="00E235CC">
              <w:rPr>
                <w:rFonts w:ascii="Arial" w:hAnsi="Arial" w:cs="Arial"/>
                <w:noProof/>
                <w:webHidden/>
              </w:rPr>
              <w:tab/>
            </w:r>
            <w:r w:rsidR="00FE7C4E" w:rsidRPr="00E235CC">
              <w:rPr>
                <w:rFonts w:ascii="Arial" w:hAnsi="Arial" w:cs="Arial"/>
                <w:noProof/>
                <w:webHidden/>
              </w:rPr>
              <w:fldChar w:fldCharType="begin"/>
            </w:r>
            <w:r w:rsidR="00FE7C4E" w:rsidRPr="00E235CC">
              <w:rPr>
                <w:rFonts w:ascii="Arial" w:hAnsi="Arial" w:cs="Arial"/>
                <w:noProof/>
                <w:webHidden/>
              </w:rPr>
              <w:instrText xml:space="preserve"> PAGEREF _Toc194475992 \h </w:instrText>
            </w:r>
            <w:r w:rsidR="00FE7C4E" w:rsidRPr="00E235CC">
              <w:rPr>
                <w:rFonts w:ascii="Arial" w:hAnsi="Arial" w:cs="Arial"/>
                <w:noProof/>
                <w:webHidden/>
              </w:rPr>
            </w:r>
            <w:r w:rsidR="00FE7C4E" w:rsidRPr="00E235CC">
              <w:rPr>
                <w:rFonts w:ascii="Arial" w:hAnsi="Arial" w:cs="Arial"/>
                <w:noProof/>
                <w:webHidden/>
              </w:rPr>
              <w:fldChar w:fldCharType="separate"/>
            </w:r>
            <w:r w:rsidR="00FE7C4E" w:rsidRPr="00E235CC">
              <w:rPr>
                <w:rFonts w:ascii="Arial" w:hAnsi="Arial" w:cs="Arial"/>
                <w:noProof/>
                <w:webHidden/>
              </w:rPr>
              <w:t>20</w:t>
            </w:r>
            <w:r w:rsidR="00FE7C4E" w:rsidRPr="00E235CC">
              <w:rPr>
                <w:rFonts w:ascii="Arial" w:hAnsi="Arial" w:cs="Arial"/>
                <w:noProof/>
                <w:webHidden/>
              </w:rPr>
              <w:fldChar w:fldCharType="end"/>
            </w:r>
          </w:hyperlink>
        </w:p>
        <w:p w14:paraId="72F5EE54" w14:textId="3DB02028" w:rsidR="00FE7C4E" w:rsidRPr="00E235CC" w:rsidRDefault="00EB668E">
          <w:pPr>
            <w:pStyle w:val="TOC3"/>
            <w:tabs>
              <w:tab w:val="left" w:pos="1200"/>
              <w:tab w:val="right" w:leader="dot" w:pos="9350"/>
            </w:tabs>
            <w:rPr>
              <w:rFonts w:ascii="Arial" w:eastAsiaTheme="minorEastAsia" w:hAnsi="Arial" w:cs="Arial"/>
              <w:noProof/>
              <w:kern w:val="2"/>
              <w:sz w:val="24"/>
              <w:szCs w:val="24"/>
              <w:lang w:val="en-AU" w:eastAsia="en-AU"/>
              <w14:ligatures w14:val="standardContextual"/>
            </w:rPr>
          </w:pPr>
          <w:hyperlink w:anchor="_Toc194475993" w:history="1">
            <w:r w:rsidR="00FE7C4E" w:rsidRPr="00E235CC">
              <w:rPr>
                <w:rStyle w:val="Hyperlink"/>
                <w:rFonts w:ascii="Arial" w:hAnsi="Arial" w:cs="Arial"/>
                <w:noProof/>
              </w:rPr>
              <w:t>5.1</w:t>
            </w:r>
            <w:r w:rsidR="00FE7C4E" w:rsidRPr="00E235CC">
              <w:rPr>
                <w:rFonts w:ascii="Arial" w:eastAsiaTheme="minorEastAsia" w:hAnsi="Arial" w:cs="Arial"/>
                <w:noProof/>
                <w:kern w:val="2"/>
                <w:sz w:val="24"/>
                <w:szCs w:val="24"/>
                <w:lang w:val="en-AU" w:eastAsia="en-AU"/>
                <w14:ligatures w14:val="standardContextual"/>
              </w:rPr>
              <w:tab/>
            </w:r>
            <w:r w:rsidR="00FE7C4E" w:rsidRPr="00E235CC">
              <w:rPr>
                <w:rStyle w:val="Hyperlink"/>
                <w:rFonts w:ascii="Arial" w:hAnsi="Arial" w:cs="Arial"/>
                <w:noProof/>
              </w:rPr>
              <w:t>Costs and benefits of option 1: Maintain the status quo</w:t>
            </w:r>
            <w:r w:rsidR="00FE7C4E" w:rsidRPr="00E235CC">
              <w:rPr>
                <w:rFonts w:ascii="Arial" w:hAnsi="Arial" w:cs="Arial"/>
                <w:noProof/>
                <w:webHidden/>
              </w:rPr>
              <w:tab/>
            </w:r>
            <w:r w:rsidR="00FE7C4E" w:rsidRPr="00E235CC">
              <w:rPr>
                <w:rFonts w:ascii="Arial" w:hAnsi="Arial" w:cs="Arial"/>
                <w:noProof/>
                <w:webHidden/>
              </w:rPr>
              <w:fldChar w:fldCharType="begin"/>
            </w:r>
            <w:r w:rsidR="00FE7C4E" w:rsidRPr="00E235CC">
              <w:rPr>
                <w:rFonts w:ascii="Arial" w:hAnsi="Arial" w:cs="Arial"/>
                <w:noProof/>
                <w:webHidden/>
              </w:rPr>
              <w:instrText xml:space="preserve"> PAGEREF _Toc194475993 \h </w:instrText>
            </w:r>
            <w:r w:rsidR="00FE7C4E" w:rsidRPr="00E235CC">
              <w:rPr>
                <w:rFonts w:ascii="Arial" w:hAnsi="Arial" w:cs="Arial"/>
                <w:noProof/>
                <w:webHidden/>
              </w:rPr>
            </w:r>
            <w:r w:rsidR="00FE7C4E" w:rsidRPr="00E235CC">
              <w:rPr>
                <w:rFonts w:ascii="Arial" w:hAnsi="Arial" w:cs="Arial"/>
                <w:noProof/>
                <w:webHidden/>
              </w:rPr>
              <w:fldChar w:fldCharType="separate"/>
            </w:r>
            <w:r w:rsidR="00FE7C4E" w:rsidRPr="00E235CC">
              <w:rPr>
                <w:rFonts w:ascii="Arial" w:hAnsi="Arial" w:cs="Arial"/>
                <w:noProof/>
                <w:webHidden/>
              </w:rPr>
              <w:t>20</w:t>
            </w:r>
            <w:r w:rsidR="00FE7C4E" w:rsidRPr="00E235CC">
              <w:rPr>
                <w:rFonts w:ascii="Arial" w:hAnsi="Arial" w:cs="Arial"/>
                <w:noProof/>
                <w:webHidden/>
              </w:rPr>
              <w:fldChar w:fldCharType="end"/>
            </w:r>
          </w:hyperlink>
        </w:p>
        <w:p w14:paraId="5FC5029A" w14:textId="70D667FE" w:rsidR="00FE7C4E" w:rsidRPr="00E235CC" w:rsidRDefault="00EB668E">
          <w:pPr>
            <w:pStyle w:val="TOC3"/>
            <w:tabs>
              <w:tab w:val="left" w:pos="1200"/>
              <w:tab w:val="right" w:leader="dot" w:pos="9350"/>
            </w:tabs>
            <w:rPr>
              <w:rFonts w:ascii="Arial" w:eastAsiaTheme="minorEastAsia" w:hAnsi="Arial" w:cs="Arial"/>
              <w:noProof/>
              <w:kern w:val="2"/>
              <w:sz w:val="24"/>
              <w:szCs w:val="24"/>
              <w:lang w:val="en-AU" w:eastAsia="en-AU"/>
              <w14:ligatures w14:val="standardContextual"/>
            </w:rPr>
          </w:pPr>
          <w:hyperlink w:anchor="_Toc194475994" w:history="1">
            <w:r w:rsidR="00FE7C4E" w:rsidRPr="00E235CC">
              <w:rPr>
                <w:rStyle w:val="Hyperlink"/>
                <w:rFonts w:ascii="Arial" w:hAnsi="Arial" w:cs="Arial"/>
                <w:noProof/>
              </w:rPr>
              <w:t>5.2</w:t>
            </w:r>
            <w:r w:rsidR="00FE7C4E" w:rsidRPr="00E235CC">
              <w:rPr>
                <w:rFonts w:ascii="Arial" w:eastAsiaTheme="minorEastAsia" w:hAnsi="Arial" w:cs="Arial"/>
                <w:noProof/>
                <w:kern w:val="2"/>
                <w:sz w:val="24"/>
                <w:szCs w:val="24"/>
                <w:lang w:val="en-AU" w:eastAsia="en-AU"/>
                <w14:ligatures w14:val="standardContextual"/>
              </w:rPr>
              <w:tab/>
            </w:r>
            <w:r w:rsidR="00FE7C4E" w:rsidRPr="00E235CC">
              <w:rPr>
                <w:rStyle w:val="Hyperlink"/>
                <w:rFonts w:ascii="Arial" w:hAnsi="Arial" w:cs="Arial"/>
                <w:noProof/>
              </w:rPr>
              <w:t>Costs and benefits of option 2: Require an energy statement</w:t>
            </w:r>
            <w:r w:rsidR="00FE7C4E" w:rsidRPr="00E235CC">
              <w:rPr>
                <w:rFonts w:ascii="Arial" w:hAnsi="Arial" w:cs="Arial"/>
                <w:noProof/>
                <w:webHidden/>
              </w:rPr>
              <w:tab/>
            </w:r>
            <w:r w:rsidR="00FE7C4E" w:rsidRPr="00E235CC">
              <w:rPr>
                <w:rFonts w:ascii="Arial" w:hAnsi="Arial" w:cs="Arial"/>
                <w:noProof/>
                <w:webHidden/>
              </w:rPr>
              <w:fldChar w:fldCharType="begin"/>
            </w:r>
            <w:r w:rsidR="00FE7C4E" w:rsidRPr="00E235CC">
              <w:rPr>
                <w:rFonts w:ascii="Arial" w:hAnsi="Arial" w:cs="Arial"/>
                <w:noProof/>
                <w:webHidden/>
              </w:rPr>
              <w:instrText xml:space="preserve"> PAGEREF _Toc194475994 \h </w:instrText>
            </w:r>
            <w:r w:rsidR="00FE7C4E" w:rsidRPr="00E235CC">
              <w:rPr>
                <w:rFonts w:ascii="Arial" w:hAnsi="Arial" w:cs="Arial"/>
                <w:noProof/>
                <w:webHidden/>
              </w:rPr>
            </w:r>
            <w:r w:rsidR="00FE7C4E" w:rsidRPr="00E235CC">
              <w:rPr>
                <w:rFonts w:ascii="Arial" w:hAnsi="Arial" w:cs="Arial"/>
                <w:noProof/>
                <w:webHidden/>
              </w:rPr>
              <w:fldChar w:fldCharType="separate"/>
            </w:r>
            <w:r w:rsidR="00FE7C4E" w:rsidRPr="00E235CC">
              <w:rPr>
                <w:rFonts w:ascii="Arial" w:hAnsi="Arial" w:cs="Arial"/>
                <w:noProof/>
                <w:webHidden/>
              </w:rPr>
              <w:t>20</w:t>
            </w:r>
            <w:r w:rsidR="00FE7C4E" w:rsidRPr="00E235CC">
              <w:rPr>
                <w:rFonts w:ascii="Arial" w:hAnsi="Arial" w:cs="Arial"/>
                <w:noProof/>
                <w:webHidden/>
              </w:rPr>
              <w:fldChar w:fldCharType="end"/>
            </w:r>
          </w:hyperlink>
        </w:p>
        <w:p w14:paraId="2401B1FA" w14:textId="3EE74015" w:rsidR="00FE7C4E" w:rsidRPr="00E235CC" w:rsidRDefault="00EB668E">
          <w:pPr>
            <w:pStyle w:val="TOC3"/>
            <w:tabs>
              <w:tab w:val="left" w:pos="1200"/>
              <w:tab w:val="right" w:leader="dot" w:pos="9350"/>
            </w:tabs>
            <w:rPr>
              <w:rFonts w:ascii="Arial" w:eastAsiaTheme="minorEastAsia" w:hAnsi="Arial" w:cs="Arial"/>
              <w:noProof/>
              <w:kern w:val="2"/>
              <w:sz w:val="24"/>
              <w:szCs w:val="24"/>
              <w:lang w:val="en-AU" w:eastAsia="en-AU"/>
              <w14:ligatures w14:val="standardContextual"/>
            </w:rPr>
          </w:pPr>
          <w:hyperlink w:anchor="_Toc194475995" w:history="1">
            <w:r w:rsidR="00FE7C4E" w:rsidRPr="00E235CC">
              <w:rPr>
                <w:rStyle w:val="Hyperlink"/>
                <w:rFonts w:ascii="Arial" w:hAnsi="Arial" w:cs="Arial"/>
                <w:noProof/>
                <w:snapToGrid w:val="0"/>
              </w:rPr>
              <w:t>5.3</w:t>
            </w:r>
            <w:r w:rsidR="00FE7C4E" w:rsidRPr="00E235CC">
              <w:rPr>
                <w:rFonts w:ascii="Arial" w:eastAsiaTheme="minorEastAsia" w:hAnsi="Arial" w:cs="Arial"/>
                <w:noProof/>
                <w:kern w:val="2"/>
                <w:sz w:val="24"/>
                <w:szCs w:val="24"/>
                <w:lang w:val="en-AU" w:eastAsia="en-AU"/>
                <w14:ligatures w14:val="standardContextual"/>
              </w:rPr>
              <w:tab/>
            </w:r>
            <w:r w:rsidR="00FE7C4E" w:rsidRPr="00E235CC">
              <w:rPr>
                <w:rStyle w:val="Hyperlink"/>
                <w:rFonts w:ascii="Arial" w:hAnsi="Arial" w:cs="Arial"/>
                <w:noProof/>
                <w:snapToGrid w:val="0"/>
              </w:rPr>
              <w:t xml:space="preserve">Costs and benefits of option 3: </w:t>
            </w:r>
            <w:r w:rsidR="00FE7C4E" w:rsidRPr="00E235CC">
              <w:rPr>
                <w:rStyle w:val="Hyperlink"/>
                <w:rFonts w:ascii="Arial" w:eastAsia="Arial" w:hAnsi="Arial" w:cs="Arial"/>
                <w:noProof/>
              </w:rPr>
              <w:t>Require an energy statement with standard drink information and the inclusion of standard drink information in a NIP if provided</w:t>
            </w:r>
            <w:r w:rsidR="00FE7C4E" w:rsidRPr="00E235CC">
              <w:rPr>
                <w:rStyle w:val="Hyperlink"/>
                <w:rFonts w:ascii="Arial" w:hAnsi="Arial" w:cs="Arial"/>
                <w:noProof/>
                <w:snapToGrid w:val="0"/>
              </w:rPr>
              <w:t xml:space="preserve"> on certain alcoholic beverages</w:t>
            </w:r>
            <w:r w:rsidR="00FE7C4E" w:rsidRPr="00E235CC">
              <w:rPr>
                <w:rFonts w:ascii="Arial" w:hAnsi="Arial" w:cs="Arial"/>
                <w:noProof/>
                <w:webHidden/>
              </w:rPr>
              <w:tab/>
            </w:r>
            <w:r w:rsidR="00FE7C4E" w:rsidRPr="00E235CC">
              <w:rPr>
                <w:rFonts w:ascii="Arial" w:hAnsi="Arial" w:cs="Arial"/>
                <w:noProof/>
                <w:webHidden/>
              </w:rPr>
              <w:fldChar w:fldCharType="begin"/>
            </w:r>
            <w:r w:rsidR="00FE7C4E" w:rsidRPr="00E235CC">
              <w:rPr>
                <w:rFonts w:ascii="Arial" w:hAnsi="Arial" w:cs="Arial"/>
                <w:noProof/>
                <w:webHidden/>
              </w:rPr>
              <w:instrText xml:space="preserve"> PAGEREF _Toc194475995 \h </w:instrText>
            </w:r>
            <w:r w:rsidR="00FE7C4E" w:rsidRPr="00E235CC">
              <w:rPr>
                <w:rFonts w:ascii="Arial" w:hAnsi="Arial" w:cs="Arial"/>
                <w:noProof/>
                <w:webHidden/>
              </w:rPr>
            </w:r>
            <w:r w:rsidR="00FE7C4E" w:rsidRPr="00E235CC">
              <w:rPr>
                <w:rFonts w:ascii="Arial" w:hAnsi="Arial" w:cs="Arial"/>
                <w:noProof/>
                <w:webHidden/>
              </w:rPr>
              <w:fldChar w:fldCharType="separate"/>
            </w:r>
            <w:r w:rsidR="00FE7C4E" w:rsidRPr="00E235CC">
              <w:rPr>
                <w:rFonts w:ascii="Arial" w:hAnsi="Arial" w:cs="Arial"/>
                <w:noProof/>
                <w:webHidden/>
              </w:rPr>
              <w:t>26</w:t>
            </w:r>
            <w:r w:rsidR="00FE7C4E" w:rsidRPr="00E235CC">
              <w:rPr>
                <w:rFonts w:ascii="Arial" w:hAnsi="Arial" w:cs="Arial"/>
                <w:noProof/>
                <w:webHidden/>
              </w:rPr>
              <w:fldChar w:fldCharType="end"/>
            </w:r>
          </w:hyperlink>
        </w:p>
        <w:p w14:paraId="70158A1A" w14:textId="62F50DF1" w:rsidR="00FE7C4E" w:rsidRPr="00E235CC" w:rsidRDefault="00EB668E">
          <w:pPr>
            <w:pStyle w:val="TOC2"/>
            <w:tabs>
              <w:tab w:val="left" w:pos="720"/>
              <w:tab w:val="right" w:leader="dot" w:pos="9350"/>
            </w:tabs>
            <w:rPr>
              <w:rFonts w:ascii="Arial" w:eastAsiaTheme="minorEastAsia" w:hAnsi="Arial" w:cs="Arial"/>
              <w:noProof/>
              <w:kern w:val="2"/>
              <w:sz w:val="24"/>
              <w:szCs w:val="24"/>
              <w:lang w:val="en-AU" w:eastAsia="en-AU"/>
              <w14:ligatures w14:val="standardContextual"/>
            </w:rPr>
          </w:pPr>
          <w:hyperlink w:anchor="_Toc194475996" w:history="1">
            <w:r w:rsidR="00FE7C4E" w:rsidRPr="00E235CC">
              <w:rPr>
                <w:rStyle w:val="Hyperlink"/>
                <w:rFonts w:ascii="Arial" w:eastAsia="Arial" w:hAnsi="Arial" w:cs="Arial"/>
                <w:noProof/>
              </w:rPr>
              <w:t>6.</w:t>
            </w:r>
            <w:r w:rsidR="00FE7C4E" w:rsidRPr="00E235CC">
              <w:rPr>
                <w:rFonts w:ascii="Arial" w:eastAsiaTheme="minorEastAsia" w:hAnsi="Arial" w:cs="Arial"/>
                <w:noProof/>
                <w:kern w:val="2"/>
                <w:sz w:val="24"/>
                <w:szCs w:val="24"/>
                <w:lang w:val="en-AU" w:eastAsia="en-AU"/>
                <w14:ligatures w14:val="standardContextual"/>
              </w:rPr>
              <w:tab/>
            </w:r>
            <w:r w:rsidR="00FE7C4E" w:rsidRPr="00E235CC">
              <w:rPr>
                <w:rStyle w:val="Hyperlink"/>
                <w:rFonts w:ascii="Arial" w:eastAsia="Arial" w:hAnsi="Arial" w:cs="Arial"/>
                <w:noProof/>
              </w:rPr>
              <w:t>Who was consulted and how was their feedback incorporated?</w:t>
            </w:r>
            <w:r w:rsidR="00FE7C4E" w:rsidRPr="00E235CC">
              <w:rPr>
                <w:rFonts w:ascii="Arial" w:hAnsi="Arial" w:cs="Arial"/>
                <w:noProof/>
                <w:webHidden/>
              </w:rPr>
              <w:tab/>
            </w:r>
            <w:r w:rsidR="00FE7C4E" w:rsidRPr="00E235CC">
              <w:rPr>
                <w:rFonts w:ascii="Arial" w:hAnsi="Arial" w:cs="Arial"/>
                <w:noProof/>
                <w:webHidden/>
              </w:rPr>
              <w:fldChar w:fldCharType="begin"/>
            </w:r>
            <w:r w:rsidR="00FE7C4E" w:rsidRPr="00E235CC">
              <w:rPr>
                <w:rFonts w:ascii="Arial" w:hAnsi="Arial" w:cs="Arial"/>
                <w:noProof/>
                <w:webHidden/>
              </w:rPr>
              <w:instrText xml:space="preserve"> PAGEREF _Toc194475996 \h </w:instrText>
            </w:r>
            <w:r w:rsidR="00FE7C4E" w:rsidRPr="00E235CC">
              <w:rPr>
                <w:rFonts w:ascii="Arial" w:hAnsi="Arial" w:cs="Arial"/>
                <w:noProof/>
                <w:webHidden/>
              </w:rPr>
            </w:r>
            <w:r w:rsidR="00FE7C4E" w:rsidRPr="00E235CC">
              <w:rPr>
                <w:rFonts w:ascii="Arial" w:hAnsi="Arial" w:cs="Arial"/>
                <w:noProof/>
                <w:webHidden/>
              </w:rPr>
              <w:fldChar w:fldCharType="separate"/>
            </w:r>
            <w:r w:rsidR="00FE7C4E" w:rsidRPr="00E235CC">
              <w:rPr>
                <w:rFonts w:ascii="Arial" w:hAnsi="Arial" w:cs="Arial"/>
                <w:noProof/>
                <w:webHidden/>
              </w:rPr>
              <w:t>28</w:t>
            </w:r>
            <w:r w:rsidR="00FE7C4E" w:rsidRPr="00E235CC">
              <w:rPr>
                <w:rFonts w:ascii="Arial" w:hAnsi="Arial" w:cs="Arial"/>
                <w:noProof/>
                <w:webHidden/>
              </w:rPr>
              <w:fldChar w:fldCharType="end"/>
            </w:r>
          </w:hyperlink>
        </w:p>
        <w:p w14:paraId="055FEFD3" w14:textId="59DF7DCA" w:rsidR="00FE7C4E" w:rsidRPr="00E235CC" w:rsidRDefault="00EB668E">
          <w:pPr>
            <w:pStyle w:val="TOC2"/>
            <w:tabs>
              <w:tab w:val="left" w:pos="720"/>
              <w:tab w:val="right" w:leader="dot" w:pos="9350"/>
            </w:tabs>
            <w:rPr>
              <w:rFonts w:ascii="Arial" w:eastAsiaTheme="minorEastAsia" w:hAnsi="Arial" w:cs="Arial"/>
              <w:noProof/>
              <w:kern w:val="2"/>
              <w:sz w:val="24"/>
              <w:szCs w:val="24"/>
              <w:lang w:val="en-AU" w:eastAsia="en-AU"/>
              <w14:ligatures w14:val="standardContextual"/>
            </w:rPr>
          </w:pPr>
          <w:hyperlink w:anchor="_Toc194475997" w:history="1">
            <w:r w:rsidR="00FE7C4E" w:rsidRPr="00E235CC">
              <w:rPr>
                <w:rStyle w:val="Hyperlink"/>
                <w:rFonts w:ascii="Arial" w:eastAsia="Arial" w:hAnsi="Arial" w:cs="Arial"/>
                <w:noProof/>
              </w:rPr>
              <w:t>7.</w:t>
            </w:r>
            <w:r w:rsidR="00FE7C4E" w:rsidRPr="00E235CC">
              <w:rPr>
                <w:rFonts w:ascii="Arial" w:eastAsiaTheme="minorEastAsia" w:hAnsi="Arial" w:cs="Arial"/>
                <w:noProof/>
                <w:kern w:val="2"/>
                <w:sz w:val="24"/>
                <w:szCs w:val="24"/>
                <w:lang w:val="en-AU" w:eastAsia="en-AU"/>
                <w14:ligatures w14:val="standardContextual"/>
              </w:rPr>
              <w:tab/>
            </w:r>
            <w:r w:rsidR="00FE7C4E" w:rsidRPr="00E235CC">
              <w:rPr>
                <w:rStyle w:val="Hyperlink"/>
                <w:rFonts w:ascii="Arial" w:eastAsia="Arial" w:hAnsi="Arial" w:cs="Arial"/>
                <w:noProof/>
              </w:rPr>
              <w:t>What is the best option from those considered?</w:t>
            </w:r>
            <w:r w:rsidR="00FE7C4E" w:rsidRPr="00E235CC">
              <w:rPr>
                <w:rFonts w:ascii="Arial" w:hAnsi="Arial" w:cs="Arial"/>
                <w:noProof/>
                <w:webHidden/>
              </w:rPr>
              <w:tab/>
            </w:r>
            <w:r w:rsidR="00FE7C4E" w:rsidRPr="00E235CC">
              <w:rPr>
                <w:rFonts w:ascii="Arial" w:hAnsi="Arial" w:cs="Arial"/>
                <w:noProof/>
                <w:webHidden/>
              </w:rPr>
              <w:fldChar w:fldCharType="begin"/>
            </w:r>
            <w:r w:rsidR="00FE7C4E" w:rsidRPr="00E235CC">
              <w:rPr>
                <w:rFonts w:ascii="Arial" w:hAnsi="Arial" w:cs="Arial"/>
                <w:noProof/>
                <w:webHidden/>
              </w:rPr>
              <w:instrText xml:space="preserve"> PAGEREF _Toc194475997 \h </w:instrText>
            </w:r>
            <w:r w:rsidR="00FE7C4E" w:rsidRPr="00E235CC">
              <w:rPr>
                <w:rFonts w:ascii="Arial" w:hAnsi="Arial" w:cs="Arial"/>
                <w:noProof/>
                <w:webHidden/>
              </w:rPr>
            </w:r>
            <w:r w:rsidR="00FE7C4E" w:rsidRPr="00E235CC">
              <w:rPr>
                <w:rFonts w:ascii="Arial" w:hAnsi="Arial" w:cs="Arial"/>
                <w:noProof/>
                <w:webHidden/>
              </w:rPr>
              <w:fldChar w:fldCharType="separate"/>
            </w:r>
            <w:r w:rsidR="00FE7C4E" w:rsidRPr="00E235CC">
              <w:rPr>
                <w:rFonts w:ascii="Arial" w:hAnsi="Arial" w:cs="Arial"/>
                <w:noProof/>
                <w:webHidden/>
              </w:rPr>
              <w:t>31</w:t>
            </w:r>
            <w:r w:rsidR="00FE7C4E" w:rsidRPr="00E235CC">
              <w:rPr>
                <w:rFonts w:ascii="Arial" w:hAnsi="Arial" w:cs="Arial"/>
                <w:noProof/>
                <w:webHidden/>
              </w:rPr>
              <w:fldChar w:fldCharType="end"/>
            </w:r>
          </w:hyperlink>
        </w:p>
        <w:p w14:paraId="4C80262D" w14:textId="1BD18092" w:rsidR="00FE7C4E" w:rsidRPr="00E235CC" w:rsidRDefault="00EB668E">
          <w:pPr>
            <w:pStyle w:val="TOC2"/>
            <w:tabs>
              <w:tab w:val="left" w:pos="720"/>
              <w:tab w:val="right" w:leader="dot" w:pos="9350"/>
            </w:tabs>
            <w:rPr>
              <w:rFonts w:ascii="Arial" w:eastAsiaTheme="minorEastAsia" w:hAnsi="Arial" w:cs="Arial"/>
              <w:noProof/>
              <w:kern w:val="2"/>
              <w:sz w:val="24"/>
              <w:szCs w:val="24"/>
              <w:lang w:val="en-AU" w:eastAsia="en-AU"/>
              <w14:ligatures w14:val="standardContextual"/>
            </w:rPr>
          </w:pPr>
          <w:hyperlink w:anchor="_Toc194475998" w:history="1">
            <w:r w:rsidR="00FE7C4E" w:rsidRPr="00E235CC">
              <w:rPr>
                <w:rStyle w:val="Hyperlink"/>
                <w:rFonts w:ascii="Arial" w:eastAsia="Arial" w:hAnsi="Arial" w:cs="Arial"/>
                <w:noProof/>
              </w:rPr>
              <w:t>8.</w:t>
            </w:r>
            <w:r w:rsidR="00FE7C4E" w:rsidRPr="00E235CC">
              <w:rPr>
                <w:rFonts w:ascii="Arial" w:eastAsiaTheme="minorEastAsia" w:hAnsi="Arial" w:cs="Arial"/>
                <w:noProof/>
                <w:kern w:val="2"/>
                <w:sz w:val="24"/>
                <w:szCs w:val="24"/>
                <w:lang w:val="en-AU" w:eastAsia="en-AU"/>
                <w14:ligatures w14:val="standardContextual"/>
              </w:rPr>
              <w:tab/>
            </w:r>
            <w:r w:rsidR="00FE7C4E" w:rsidRPr="00E235CC">
              <w:rPr>
                <w:rStyle w:val="Hyperlink"/>
                <w:rFonts w:ascii="Arial" w:eastAsia="Arial" w:hAnsi="Arial" w:cs="Arial"/>
                <w:noProof/>
              </w:rPr>
              <w:t>How will the chosen option be implemented?</w:t>
            </w:r>
            <w:r w:rsidR="00FE7C4E" w:rsidRPr="00E235CC">
              <w:rPr>
                <w:rFonts w:ascii="Arial" w:hAnsi="Arial" w:cs="Arial"/>
                <w:noProof/>
                <w:webHidden/>
              </w:rPr>
              <w:tab/>
            </w:r>
            <w:r w:rsidR="00FE7C4E" w:rsidRPr="00E235CC">
              <w:rPr>
                <w:rFonts w:ascii="Arial" w:hAnsi="Arial" w:cs="Arial"/>
                <w:noProof/>
                <w:webHidden/>
              </w:rPr>
              <w:fldChar w:fldCharType="begin"/>
            </w:r>
            <w:r w:rsidR="00FE7C4E" w:rsidRPr="00E235CC">
              <w:rPr>
                <w:rFonts w:ascii="Arial" w:hAnsi="Arial" w:cs="Arial"/>
                <w:noProof/>
                <w:webHidden/>
              </w:rPr>
              <w:instrText xml:space="preserve"> PAGEREF _Toc194475998 \h </w:instrText>
            </w:r>
            <w:r w:rsidR="00FE7C4E" w:rsidRPr="00E235CC">
              <w:rPr>
                <w:rFonts w:ascii="Arial" w:hAnsi="Arial" w:cs="Arial"/>
                <w:noProof/>
                <w:webHidden/>
              </w:rPr>
            </w:r>
            <w:r w:rsidR="00FE7C4E" w:rsidRPr="00E235CC">
              <w:rPr>
                <w:rFonts w:ascii="Arial" w:hAnsi="Arial" w:cs="Arial"/>
                <w:noProof/>
                <w:webHidden/>
              </w:rPr>
              <w:fldChar w:fldCharType="separate"/>
            </w:r>
            <w:r w:rsidR="00FE7C4E" w:rsidRPr="00E235CC">
              <w:rPr>
                <w:rFonts w:ascii="Arial" w:hAnsi="Arial" w:cs="Arial"/>
                <w:noProof/>
                <w:webHidden/>
              </w:rPr>
              <w:t>32</w:t>
            </w:r>
            <w:r w:rsidR="00FE7C4E" w:rsidRPr="00E235CC">
              <w:rPr>
                <w:rFonts w:ascii="Arial" w:hAnsi="Arial" w:cs="Arial"/>
                <w:noProof/>
                <w:webHidden/>
              </w:rPr>
              <w:fldChar w:fldCharType="end"/>
            </w:r>
          </w:hyperlink>
        </w:p>
        <w:p w14:paraId="6B4572D9" w14:textId="15FA4098" w:rsidR="00FE7C4E" w:rsidRPr="00E235CC" w:rsidRDefault="00EB668E">
          <w:pPr>
            <w:pStyle w:val="TOC2"/>
            <w:tabs>
              <w:tab w:val="left" w:pos="720"/>
              <w:tab w:val="right" w:leader="dot" w:pos="9350"/>
            </w:tabs>
            <w:rPr>
              <w:rFonts w:ascii="Arial" w:eastAsiaTheme="minorEastAsia" w:hAnsi="Arial" w:cs="Arial"/>
              <w:noProof/>
              <w:kern w:val="2"/>
              <w:sz w:val="24"/>
              <w:szCs w:val="24"/>
              <w:lang w:val="en-AU" w:eastAsia="en-AU"/>
              <w14:ligatures w14:val="standardContextual"/>
            </w:rPr>
          </w:pPr>
          <w:hyperlink w:anchor="_Toc194475999" w:history="1">
            <w:r w:rsidR="00FE7C4E" w:rsidRPr="00E235CC">
              <w:rPr>
                <w:rStyle w:val="Hyperlink"/>
                <w:rFonts w:ascii="Arial" w:eastAsia="Arial" w:hAnsi="Arial" w:cs="Arial"/>
                <w:noProof/>
              </w:rPr>
              <w:t>9.</w:t>
            </w:r>
            <w:r w:rsidR="00FE7C4E" w:rsidRPr="00E235CC">
              <w:rPr>
                <w:rFonts w:ascii="Arial" w:eastAsiaTheme="minorEastAsia" w:hAnsi="Arial" w:cs="Arial"/>
                <w:noProof/>
                <w:kern w:val="2"/>
                <w:sz w:val="24"/>
                <w:szCs w:val="24"/>
                <w:lang w:val="en-AU" w:eastAsia="en-AU"/>
                <w14:ligatures w14:val="standardContextual"/>
              </w:rPr>
              <w:tab/>
            </w:r>
            <w:r w:rsidR="00FE7C4E" w:rsidRPr="00E235CC">
              <w:rPr>
                <w:rStyle w:val="Hyperlink"/>
                <w:rFonts w:ascii="Arial" w:eastAsia="Arial" w:hAnsi="Arial" w:cs="Arial"/>
                <w:noProof/>
              </w:rPr>
              <w:t>How will the chosen option be evaluated?</w:t>
            </w:r>
            <w:r w:rsidR="00FE7C4E" w:rsidRPr="00E235CC">
              <w:rPr>
                <w:rFonts w:ascii="Arial" w:hAnsi="Arial" w:cs="Arial"/>
                <w:noProof/>
                <w:webHidden/>
              </w:rPr>
              <w:tab/>
            </w:r>
            <w:r w:rsidR="00FE7C4E" w:rsidRPr="00E235CC">
              <w:rPr>
                <w:rFonts w:ascii="Arial" w:hAnsi="Arial" w:cs="Arial"/>
                <w:noProof/>
                <w:webHidden/>
              </w:rPr>
              <w:fldChar w:fldCharType="begin"/>
            </w:r>
            <w:r w:rsidR="00FE7C4E" w:rsidRPr="00E235CC">
              <w:rPr>
                <w:rFonts w:ascii="Arial" w:hAnsi="Arial" w:cs="Arial"/>
                <w:noProof/>
                <w:webHidden/>
              </w:rPr>
              <w:instrText xml:space="preserve"> PAGEREF _Toc194475999 \h </w:instrText>
            </w:r>
            <w:r w:rsidR="00FE7C4E" w:rsidRPr="00E235CC">
              <w:rPr>
                <w:rFonts w:ascii="Arial" w:hAnsi="Arial" w:cs="Arial"/>
                <w:noProof/>
                <w:webHidden/>
              </w:rPr>
            </w:r>
            <w:r w:rsidR="00FE7C4E" w:rsidRPr="00E235CC">
              <w:rPr>
                <w:rFonts w:ascii="Arial" w:hAnsi="Arial" w:cs="Arial"/>
                <w:noProof/>
                <w:webHidden/>
              </w:rPr>
              <w:fldChar w:fldCharType="separate"/>
            </w:r>
            <w:r w:rsidR="00FE7C4E" w:rsidRPr="00E235CC">
              <w:rPr>
                <w:rFonts w:ascii="Arial" w:hAnsi="Arial" w:cs="Arial"/>
                <w:noProof/>
                <w:webHidden/>
              </w:rPr>
              <w:t>34</w:t>
            </w:r>
            <w:r w:rsidR="00FE7C4E" w:rsidRPr="00E235CC">
              <w:rPr>
                <w:rFonts w:ascii="Arial" w:hAnsi="Arial" w:cs="Arial"/>
                <w:noProof/>
                <w:webHidden/>
              </w:rPr>
              <w:fldChar w:fldCharType="end"/>
            </w:r>
          </w:hyperlink>
        </w:p>
        <w:p w14:paraId="6253DB40" w14:textId="6706EBFC" w:rsidR="00FE7C4E" w:rsidRPr="00E235CC" w:rsidRDefault="00EB668E">
          <w:pPr>
            <w:pStyle w:val="TOC2"/>
            <w:tabs>
              <w:tab w:val="right" w:leader="dot" w:pos="9350"/>
            </w:tabs>
            <w:rPr>
              <w:rFonts w:ascii="Arial" w:eastAsiaTheme="minorEastAsia" w:hAnsi="Arial" w:cs="Arial"/>
              <w:noProof/>
              <w:kern w:val="2"/>
              <w:sz w:val="24"/>
              <w:szCs w:val="24"/>
              <w:lang w:val="en-AU" w:eastAsia="en-AU"/>
              <w14:ligatures w14:val="standardContextual"/>
            </w:rPr>
          </w:pPr>
          <w:hyperlink w:anchor="_Toc194476000" w:history="1">
            <w:r w:rsidR="00FE7C4E" w:rsidRPr="00E235CC">
              <w:rPr>
                <w:rStyle w:val="Hyperlink"/>
                <w:rFonts w:ascii="Arial" w:hAnsi="Arial" w:cs="Arial"/>
                <w:noProof/>
              </w:rPr>
              <w:t>Appendix A: Further details on costs of label changes, overweight and obesity</w:t>
            </w:r>
            <w:r w:rsidR="00FE7C4E" w:rsidRPr="00E235CC">
              <w:rPr>
                <w:rFonts w:ascii="Arial" w:hAnsi="Arial" w:cs="Arial"/>
                <w:noProof/>
                <w:webHidden/>
              </w:rPr>
              <w:tab/>
            </w:r>
            <w:r w:rsidR="00FE7C4E" w:rsidRPr="00E235CC">
              <w:rPr>
                <w:rFonts w:ascii="Arial" w:hAnsi="Arial" w:cs="Arial"/>
                <w:noProof/>
                <w:webHidden/>
              </w:rPr>
              <w:fldChar w:fldCharType="begin"/>
            </w:r>
            <w:r w:rsidR="00FE7C4E" w:rsidRPr="00E235CC">
              <w:rPr>
                <w:rFonts w:ascii="Arial" w:hAnsi="Arial" w:cs="Arial"/>
                <w:noProof/>
                <w:webHidden/>
              </w:rPr>
              <w:instrText xml:space="preserve"> PAGEREF _Toc194476000 \h </w:instrText>
            </w:r>
            <w:r w:rsidR="00FE7C4E" w:rsidRPr="00E235CC">
              <w:rPr>
                <w:rFonts w:ascii="Arial" w:hAnsi="Arial" w:cs="Arial"/>
                <w:noProof/>
                <w:webHidden/>
              </w:rPr>
            </w:r>
            <w:r w:rsidR="00FE7C4E" w:rsidRPr="00E235CC">
              <w:rPr>
                <w:rFonts w:ascii="Arial" w:hAnsi="Arial" w:cs="Arial"/>
                <w:noProof/>
                <w:webHidden/>
              </w:rPr>
              <w:fldChar w:fldCharType="separate"/>
            </w:r>
            <w:r w:rsidR="00FE7C4E" w:rsidRPr="00E235CC">
              <w:rPr>
                <w:rFonts w:ascii="Arial" w:hAnsi="Arial" w:cs="Arial"/>
                <w:noProof/>
                <w:webHidden/>
              </w:rPr>
              <w:t>36</w:t>
            </w:r>
            <w:r w:rsidR="00FE7C4E" w:rsidRPr="00E235CC">
              <w:rPr>
                <w:rFonts w:ascii="Arial" w:hAnsi="Arial" w:cs="Arial"/>
                <w:noProof/>
                <w:webHidden/>
              </w:rPr>
              <w:fldChar w:fldCharType="end"/>
            </w:r>
          </w:hyperlink>
        </w:p>
        <w:p w14:paraId="460F2029" w14:textId="761BC97E" w:rsidR="00FE7C4E" w:rsidRPr="00E235CC" w:rsidRDefault="00EB668E">
          <w:pPr>
            <w:pStyle w:val="TOC2"/>
            <w:tabs>
              <w:tab w:val="right" w:leader="dot" w:pos="9350"/>
            </w:tabs>
            <w:rPr>
              <w:rFonts w:ascii="Arial" w:eastAsiaTheme="minorEastAsia" w:hAnsi="Arial" w:cs="Arial"/>
              <w:noProof/>
              <w:kern w:val="2"/>
              <w:sz w:val="24"/>
              <w:szCs w:val="24"/>
              <w:lang w:val="en-AU" w:eastAsia="en-AU"/>
              <w14:ligatures w14:val="standardContextual"/>
            </w:rPr>
          </w:pPr>
          <w:hyperlink w:anchor="_Toc194476001" w:history="1">
            <w:r w:rsidR="00FE7C4E" w:rsidRPr="00E235CC">
              <w:rPr>
                <w:rStyle w:val="Hyperlink"/>
                <w:rFonts w:ascii="Arial" w:eastAsia="Arial" w:hAnsi="Arial" w:cs="Arial"/>
                <w:noProof/>
              </w:rPr>
              <w:t>References</w:t>
            </w:r>
            <w:r w:rsidR="00FE7C4E" w:rsidRPr="00E235CC">
              <w:rPr>
                <w:rFonts w:ascii="Arial" w:hAnsi="Arial" w:cs="Arial"/>
                <w:noProof/>
                <w:webHidden/>
              </w:rPr>
              <w:tab/>
            </w:r>
            <w:r w:rsidR="00FE7C4E" w:rsidRPr="00E235CC">
              <w:rPr>
                <w:rFonts w:ascii="Arial" w:hAnsi="Arial" w:cs="Arial"/>
                <w:noProof/>
                <w:webHidden/>
              </w:rPr>
              <w:fldChar w:fldCharType="begin"/>
            </w:r>
            <w:r w:rsidR="00FE7C4E" w:rsidRPr="00E235CC">
              <w:rPr>
                <w:rFonts w:ascii="Arial" w:hAnsi="Arial" w:cs="Arial"/>
                <w:noProof/>
                <w:webHidden/>
              </w:rPr>
              <w:instrText xml:space="preserve"> PAGEREF _Toc194476001 \h </w:instrText>
            </w:r>
            <w:r w:rsidR="00FE7C4E" w:rsidRPr="00E235CC">
              <w:rPr>
                <w:rFonts w:ascii="Arial" w:hAnsi="Arial" w:cs="Arial"/>
                <w:noProof/>
                <w:webHidden/>
              </w:rPr>
            </w:r>
            <w:r w:rsidR="00FE7C4E" w:rsidRPr="00E235CC">
              <w:rPr>
                <w:rFonts w:ascii="Arial" w:hAnsi="Arial" w:cs="Arial"/>
                <w:noProof/>
                <w:webHidden/>
              </w:rPr>
              <w:fldChar w:fldCharType="separate"/>
            </w:r>
            <w:r w:rsidR="00FE7C4E" w:rsidRPr="00E235CC">
              <w:rPr>
                <w:rFonts w:ascii="Arial" w:hAnsi="Arial" w:cs="Arial"/>
                <w:noProof/>
                <w:webHidden/>
              </w:rPr>
              <w:t>43</w:t>
            </w:r>
            <w:r w:rsidR="00FE7C4E" w:rsidRPr="00E235CC">
              <w:rPr>
                <w:rFonts w:ascii="Arial" w:hAnsi="Arial" w:cs="Arial"/>
                <w:noProof/>
                <w:webHidden/>
              </w:rPr>
              <w:fldChar w:fldCharType="end"/>
            </w:r>
          </w:hyperlink>
        </w:p>
        <w:p w14:paraId="1FD16BF6" w14:textId="4D518CAD" w:rsidR="00DB7E46" w:rsidRDefault="00DB7E46">
          <w:r w:rsidRPr="00E235CC">
            <w:rPr>
              <w:rFonts w:ascii="Arial" w:hAnsi="Arial" w:cs="Arial"/>
              <w:b/>
              <w:bCs/>
              <w:noProof/>
            </w:rPr>
            <w:fldChar w:fldCharType="end"/>
          </w:r>
        </w:p>
      </w:sdtContent>
    </w:sdt>
    <w:p w14:paraId="5D5D9325" w14:textId="77777777" w:rsidR="00DB7E46" w:rsidRPr="00DB7E46" w:rsidRDefault="00DB7E46" w:rsidP="00DB7E46">
      <w:pPr>
        <w:rPr>
          <w:lang w:val="en-GB"/>
        </w:rPr>
      </w:pPr>
    </w:p>
    <w:p w14:paraId="1FC777B2" w14:textId="29D68F8F" w:rsidR="00EB67C9" w:rsidRPr="00196E4F" w:rsidRDefault="00776F95" w:rsidP="008C20C7">
      <w:pPr>
        <w:rPr>
          <w:rFonts w:ascii="Arial" w:eastAsia="Arial" w:hAnsi="Arial" w:cs="Arial"/>
          <w:b/>
          <w:bCs/>
          <w:sz w:val="28"/>
          <w:lang w:val="en-GB"/>
        </w:rPr>
      </w:pPr>
      <w:r>
        <w:rPr>
          <w:rFonts w:eastAsia="Arial"/>
        </w:rPr>
        <w:br w:type="page"/>
      </w:r>
    </w:p>
    <w:p w14:paraId="4042355F" w14:textId="0B3DF58B" w:rsidR="00C67A46" w:rsidRDefault="00C67A46" w:rsidP="00CE3140">
      <w:pPr>
        <w:pStyle w:val="Heading2"/>
        <w:numPr>
          <w:ilvl w:val="0"/>
          <w:numId w:val="10"/>
        </w:numPr>
        <w:rPr>
          <w:rFonts w:eastAsia="Arial"/>
        </w:rPr>
      </w:pPr>
      <w:bookmarkStart w:id="5" w:name="_Toc194475984"/>
      <w:r>
        <w:rPr>
          <w:rFonts w:eastAsia="Arial"/>
        </w:rPr>
        <w:lastRenderedPageBreak/>
        <w:t>Introduction</w:t>
      </w:r>
      <w:bookmarkEnd w:id="5"/>
    </w:p>
    <w:p w14:paraId="0618C520" w14:textId="54F4626A" w:rsidR="00BC0CBD" w:rsidRDefault="000E2050" w:rsidP="0016726E">
      <w:pPr>
        <w:pStyle w:val="Heading3"/>
        <w:rPr>
          <w:snapToGrid w:val="0"/>
        </w:rPr>
      </w:pPr>
      <w:bookmarkStart w:id="6" w:name="_Toc194475985"/>
      <w:r>
        <w:rPr>
          <w:snapToGrid w:val="0"/>
        </w:rPr>
        <w:t>1.1</w:t>
      </w:r>
      <w:r>
        <w:rPr>
          <w:snapToGrid w:val="0"/>
        </w:rPr>
        <w:tab/>
      </w:r>
      <w:r w:rsidR="00BC0CBD">
        <w:rPr>
          <w:snapToGrid w:val="0"/>
        </w:rPr>
        <w:t>Purpose of this DRIS</w:t>
      </w:r>
      <w:bookmarkEnd w:id="6"/>
    </w:p>
    <w:p w14:paraId="520B4571" w14:textId="4014C631" w:rsidR="00305370" w:rsidRDefault="00FD1B41" w:rsidP="00956649">
      <w:pPr>
        <w:rPr>
          <w:rFonts w:ascii="Arial" w:hAnsi="Arial" w:cs="Arial"/>
          <w:lang w:val="en-AU" w:eastAsia="en-AU"/>
        </w:rPr>
      </w:pPr>
      <w:r w:rsidRPr="00FD1B41">
        <w:rPr>
          <w:rFonts w:ascii="Arial" w:hAnsi="Arial" w:cs="Arial"/>
          <w:lang w:val="en-AU" w:eastAsia="en-AU"/>
        </w:rPr>
        <w:t xml:space="preserve">Food Standards Australia New Zealand (FSANZ) has </w:t>
      </w:r>
      <w:r w:rsidR="0060035C">
        <w:rPr>
          <w:rFonts w:ascii="Arial" w:hAnsi="Arial" w:cs="Arial"/>
          <w:lang w:val="en-AU" w:eastAsia="en-AU"/>
        </w:rPr>
        <w:t>consider</w:t>
      </w:r>
      <w:r w:rsidR="00CE000A">
        <w:rPr>
          <w:rFonts w:ascii="Arial" w:hAnsi="Arial" w:cs="Arial"/>
          <w:lang w:val="en-AU" w:eastAsia="en-AU"/>
        </w:rPr>
        <w:t>ed</w:t>
      </w:r>
      <w:r w:rsidR="0060035C">
        <w:rPr>
          <w:rFonts w:ascii="Arial" w:hAnsi="Arial" w:cs="Arial"/>
          <w:lang w:val="en-AU" w:eastAsia="en-AU"/>
        </w:rPr>
        <w:t xml:space="preserve"> </w:t>
      </w:r>
      <w:r w:rsidR="00930C0A">
        <w:rPr>
          <w:rFonts w:ascii="Arial" w:hAnsi="Arial" w:cs="Arial"/>
          <w:lang w:val="en-AU" w:eastAsia="en-AU"/>
        </w:rPr>
        <w:t>whether</w:t>
      </w:r>
      <w:r w:rsidR="00470ED3">
        <w:rPr>
          <w:rFonts w:ascii="Arial" w:hAnsi="Arial" w:cs="Arial"/>
          <w:lang w:val="en-AU" w:eastAsia="en-AU"/>
        </w:rPr>
        <w:t xml:space="preserve"> and how</w:t>
      </w:r>
      <w:r w:rsidR="00930C0A">
        <w:rPr>
          <w:rFonts w:ascii="Arial" w:hAnsi="Arial" w:cs="Arial"/>
          <w:lang w:val="en-AU" w:eastAsia="en-AU"/>
        </w:rPr>
        <w:t xml:space="preserve"> </w:t>
      </w:r>
      <w:r w:rsidR="00470ED3">
        <w:rPr>
          <w:rFonts w:ascii="Arial" w:hAnsi="Arial" w:cs="Arial"/>
          <w:lang w:val="en-AU" w:eastAsia="en-AU"/>
        </w:rPr>
        <w:t xml:space="preserve">energy </w:t>
      </w:r>
      <w:r>
        <w:rPr>
          <w:rFonts w:ascii="Arial" w:hAnsi="Arial" w:cs="Arial"/>
          <w:lang w:val="en-AU" w:eastAsia="en-AU"/>
        </w:rPr>
        <w:t>(kilojoule)</w:t>
      </w:r>
      <w:r w:rsidR="00470ED3">
        <w:rPr>
          <w:rFonts w:ascii="Arial" w:hAnsi="Arial" w:cs="Arial"/>
          <w:lang w:val="en-AU" w:eastAsia="en-AU"/>
        </w:rPr>
        <w:t xml:space="preserve"> content information</w:t>
      </w:r>
      <w:r w:rsidR="003B5AD7">
        <w:rPr>
          <w:rFonts w:ascii="Arial" w:hAnsi="Arial" w:cs="Arial"/>
          <w:lang w:val="en-AU" w:eastAsia="en-AU"/>
        </w:rPr>
        <w:t xml:space="preserve"> </w:t>
      </w:r>
      <w:r w:rsidR="00470ED3">
        <w:rPr>
          <w:rFonts w:ascii="Arial" w:hAnsi="Arial" w:cs="Arial"/>
          <w:lang w:val="en-AU" w:eastAsia="en-AU"/>
        </w:rPr>
        <w:t xml:space="preserve">should be </w:t>
      </w:r>
      <w:r>
        <w:rPr>
          <w:rFonts w:ascii="Arial" w:hAnsi="Arial" w:cs="Arial"/>
          <w:lang w:val="en-AU" w:eastAsia="en-AU"/>
        </w:rPr>
        <w:t>declared on the label of</w:t>
      </w:r>
      <w:r w:rsidR="003B5AD7">
        <w:rPr>
          <w:rFonts w:ascii="Arial" w:hAnsi="Arial" w:cs="Arial"/>
          <w:lang w:val="en-AU" w:eastAsia="en-AU"/>
        </w:rPr>
        <w:t xml:space="preserve"> packaged alcoholic beverages</w:t>
      </w:r>
      <w:r w:rsidR="000060D6">
        <w:rPr>
          <w:rFonts w:ascii="Arial" w:hAnsi="Arial" w:cs="Arial"/>
          <w:lang w:val="en-AU" w:eastAsia="en-AU"/>
        </w:rPr>
        <w:t xml:space="preserve"> (</w:t>
      </w:r>
      <w:hyperlink r:id="rId8" w:history="1">
        <w:r w:rsidR="000060D6" w:rsidRPr="009C37E3">
          <w:rPr>
            <w:rStyle w:val="Hyperlink"/>
            <w:rFonts w:ascii="Arial" w:hAnsi="Arial" w:cs="Arial"/>
            <w:lang w:val="en-AU" w:eastAsia="en-AU"/>
          </w:rPr>
          <w:t>Proposal P1059– Energy labelling on packaged alcoholic beverages</w:t>
        </w:r>
      </w:hyperlink>
      <w:r w:rsidR="009D5329">
        <w:rPr>
          <w:rFonts w:ascii="Arial" w:hAnsi="Arial" w:cs="Arial"/>
          <w:lang w:val="en-AU" w:eastAsia="en-AU"/>
        </w:rPr>
        <w:t>).</w:t>
      </w:r>
      <w:r w:rsidR="002133A3">
        <w:rPr>
          <w:rFonts w:ascii="Arial" w:hAnsi="Arial" w:cs="Arial"/>
          <w:lang w:val="en-AU" w:eastAsia="en-AU"/>
        </w:rPr>
        <w:t xml:space="preserve"> </w:t>
      </w:r>
      <w:r w:rsidR="00EA2067">
        <w:rPr>
          <w:rFonts w:ascii="Arial" w:hAnsi="Arial" w:cs="Arial"/>
          <w:lang w:val="en-AU" w:eastAsia="en-AU"/>
        </w:rPr>
        <w:t xml:space="preserve">This </w:t>
      </w:r>
      <w:r w:rsidR="002133A3">
        <w:rPr>
          <w:rFonts w:ascii="Arial" w:hAnsi="Arial" w:cs="Arial"/>
          <w:lang w:val="en-AU" w:eastAsia="en-AU"/>
        </w:rPr>
        <w:t>D</w:t>
      </w:r>
      <w:r w:rsidR="00EA2067">
        <w:rPr>
          <w:rFonts w:ascii="Arial" w:hAnsi="Arial" w:cs="Arial"/>
          <w:lang w:val="en-AU" w:eastAsia="en-AU"/>
        </w:rPr>
        <w:t xml:space="preserve">ecision </w:t>
      </w:r>
      <w:r w:rsidR="002133A3">
        <w:rPr>
          <w:rFonts w:ascii="Arial" w:hAnsi="Arial" w:cs="Arial"/>
          <w:lang w:val="en-AU" w:eastAsia="en-AU"/>
        </w:rPr>
        <w:t>R</w:t>
      </w:r>
      <w:r w:rsidR="00EA2067">
        <w:rPr>
          <w:rFonts w:ascii="Arial" w:hAnsi="Arial" w:cs="Arial"/>
          <w:lang w:val="en-AU" w:eastAsia="en-AU"/>
        </w:rPr>
        <w:t xml:space="preserve">egulation </w:t>
      </w:r>
      <w:r w:rsidR="002133A3">
        <w:rPr>
          <w:rFonts w:ascii="Arial" w:hAnsi="Arial" w:cs="Arial"/>
          <w:lang w:val="en-AU" w:eastAsia="en-AU"/>
        </w:rPr>
        <w:t>I</w:t>
      </w:r>
      <w:r w:rsidR="00EA2067">
        <w:rPr>
          <w:rFonts w:ascii="Arial" w:hAnsi="Arial" w:cs="Arial"/>
          <w:lang w:val="en-AU" w:eastAsia="en-AU"/>
        </w:rPr>
        <w:t xml:space="preserve">mpact </w:t>
      </w:r>
      <w:r w:rsidR="002133A3">
        <w:rPr>
          <w:rFonts w:ascii="Arial" w:hAnsi="Arial" w:cs="Arial"/>
          <w:lang w:val="en-AU" w:eastAsia="en-AU"/>
        </w:rPr>
        <w:t>S</w:t>
      </w:r>
      <w:r w:rsidR="00EA2067">
        <w:rPr>
          <w:rFonts w:ascii="Arial" w:hAnsi="Arial" w:cs="Arial"/>
          <w:lang w:val="en-AU" w:eastAsia="en-AU"/>
        </w:rPr>
        <w:t>tatement</w:t>
      </w:r>
      <w:r w:rsidR="000060D6">
        <w:rPr>
          <w:rFonts w:ascii="Arial" w:hAnsi="Arial" w:cs="Arial"/>
          <w:lang w:val="en-AU" w:eastAsia="en-AU"/>
        </w:rPr>
        <w:t xml:space="preserve"> (DRIS) has assessed the costs and benefits of the various</w:t>
      </w:r>
      <w:r w:rsidR="009D5329">
        <w:rPr>
          <w:rFonts w:ascii="Arial" w:hAnsi="Arial" w:cs="Arial"/>
          <w:lang w:val="en-AU" w:eastAsia="en-AU"/>
        </w:rPr>
        <w:t xml:space="preserve"> options that have been considered.</w:t>
      </w:r>
    </w:p>
    <w:p w14:paraId="6AD69DF6" w14:textId="58B6D683" w:rsidR="00A12248" w:rsidRPr="00A12248" w:rsidRDefault="00A12248" w:rsidP="00A12248">
      <w:pPr>
        <w:rPr>
          <w:rFonts w:ascii="Arial" w:hAnsi="Arial" w:cs="Arial"/>
          <w:lang w:val="en-AU"/>
        </w:rPr>
      </w:pPr>
      <w:r w:rsidRPr="00362E81">
        <w:rPr>
          <w:rFonts w:ascii="Arial" w:hAnsi="Arial" w:cs="Arial"/>
          <w:lang w:val="en-AU"/>
        </w:rPr>
        <w:t>This DRIS</w:t>
      </w:r>
      <w:r w:rsidR="00903155">
        <w:rPr>
          <w:rFonts w:ascii="Arial" w:hAnsi="Arial" w:cs="Arial"/>
          <w:lang w:val="en-AU"/>
        </w:rPr>
        <w:t xml:space="preserve"> </w:t>
      </w:r>
      <w:r w:rsidRPr="00362E81">
        <w:rPr>
          <w:rFonts w:ascii="Arial" w:hAnsi="Arial" w:cs="Arial"/>
          <w:lang w:val="en-AU"/>
        </w:rPr>
        <w:t xml:space="preserve">has been prepared in line with </w:t>
      </w:r>
      <w:r w:rsidR="00074680">
        <w:rPr>
          <w:rFonts w:ascii="Arial" w:hAnsi="Arial" w:cs="Arial"/>
          <w:lang w:val="en-AU"/>
        </w:rPr>
        <w:t>t</w:t>
      </w:r>
      <w:r w:rsidR="00D138D7" w:rsidRPr="00A12248">
        <w:rPr>
          <w:rFonts w:ascii="Arial" w:hAnsi="Arial" w:cs="Arial"/>
          <w:lang w:val="en-AU"/>
        </w:rPr>
        <w:t xml:space="preserve">he </w:t>
      </w:r>
      <w:hyperlink r:id="rId9" w:history="1">
        <w:r w:rsidR="0054273B">
          <w:rPr>
            <w:rStyle w:val="Hyperlink"/>
            <w:rFonts w:ascii="Arial" w:hAnsi="Arial" w:cs="Arial"/>
          </w:rPr>
          <w:t>Office of Impact Analysis' Guide for Ministers’ Meetings and National Standard Setting Bodies June 2023 (OIA Guide)</w:t>
        </w:r>
      </w:hyperlink>
      <w:r w:rsidRPr="00362E81">
        <w:rPr>
          <w:rFonts w:ascii="Arial" w:hAnsi="Arial" w:cs="Arial"/>
          <w:lang w:val="en-AU"/>
        </w:rPr>
        <w:t xml:space="preserve"> </w:t>
      </w:r>
      <w:r>
        <w:rPr>
          <w:rFonts w:ascii="Arial" w:hAnsi="Arial" w:cs="Arial"/>
          <w:lang w:val="en-AU"/>
        </w:rPr>
        <w:t xml:space="preserve">and </w:t>
      </w:r>
      <w:r w:rsidRPr="00A12248">
        <w:rPr>
          <w:rFonts w:ascii="Arial" w:hAnsi="Arial" w:cs="Arial"/>
          <w:lang w:val="en-AU"/>
        </w:rPr>
        <w:t>answer</w:t>
      </w:r>
      <w:r w:rsidR="008F2112">
        <w:rPr>
          <w:rFonts w:ascii="Arial" w:hAnsi="Arial" w:cs="Arial"/>
          <w:lang w:val="en-AU"/>
        </w:rPr>
        <w:t>s</w:t>
      </w:r>
      <w:r w:rsidRPr="00A12248">
        <w:rPr>
          <w:rFonts w:ascii="Arial" w:hAnsi="Arial" w:cs="Arial"/>
          <w:lang w:val="en-AU"/>
        </w:rPr>
        <w:t xml:space="preserve"> the following impact analysis questions:</w:t>
      </w:r>
    </w:p>
    <w:p w14:paraId="4676D886" w14:textId="77777777" w:rsidR="00A12248" w:rsidRPr="00A12248" w:rsidRDefault="00A12248" w:rsidP="00A12248">
      <w:pPr>
        <w:spacing w:after="120" w:line="240" w:lineRule="auto"/>
        <w:rPr>
          <w:rFonts w:ascii="Arial" w:hAnsi="Arial" w:cs="Arial"/>
          <w:lang w:val="en-AU"/>
        </w:rPr>
      </w:pPr>
      <w:r w:rsidRPr="00A12248">
        <w:rPr>
          <w:rFonts w:ascii="Arial" w:hAnsi="Arial" w:cs="Arial"/>
          <w:lang w:val="en-AU"/>
        </w:rPr>
        <w:t>•</w:t>
      </w:r>
      <w:r w:rsidRPr="00A12248">
        <w:rPr>
          <w:rFonts w:ascii="Arial" w:hAnsi="Arial" w:cs="Arial"/>
          <w:lang w:val="en-AU"/>
        </w:rPr>
        <w:tab/>
        <w:t>What is the policy problem?</w:t>
      </w:r>
    </w:p>
    <w:p w14:paraId="585D6013" w14:textId="77777777" w:rsidR="00A12248" w:rsidRPr="00A12248" w:rsidRDefault="00A12248" w:rsidP="00A12248">
      <w:pPr>
        <w:spacing w:after="120" w:line="240" w:lineRule="auto"/>
        <w:rPr>
          <w:rFonts w:ascii="Arial" w:hAnsi="Arial" w:cs="Arial"/>
          <w:lang w:val="en-AU"/>
        </w:rPr>
      </w:pPr>
      <w:r w:rsidRPr="00A12248">
        <w:rPr>
          <w:rFonts w:ascii="Arial" w:hAnsi="Arial" w:cs="Arial"/>
          <w:lang w:val="en-AU"/>
        </w:rPr>
        <w:t>•</w:t>
      </w:r>
      <w:r w:rsidRPr="00A12248">
        <w:rPr>
          <w:rFonts w:ascii="Arial" w:hAnsi="Arial" w:cs="Arial"/>
          <w:lang w:val="en-AU"/>
        </w:rPr>
        <w:tab/>
        <w:t>Why is government action needed?</w:t>
      </w:r>
    </w:p>
    <w:p w14:paraId="113B991D" w14:textId="77777777" w:rsidR="00A12248" w:rsidRPr="00A12248" w:rsidRDefault="00A12248" w:rsidP="00A12248">
      <w:pPr>
        <w:spacing w:after="120" w:line="240" w:lineRule="auto"/>
        <w:rPr>
          <w:rFonts w:ascii="Arial" w:hAnsi="Arial" w:cs="Arial"/>
          <w:lang w:val="en-AU"/>
        </w:rPr>
      </w:pPr>
      <w:r w:rsidRPr="00A12248">
        <w:rPr>
          <w:rFonts w:ascii="Arial" w:hAnsi="Arial" w:cs="Arial"/>
          <w:lang w:val="en-AU"/>
        </w:rPr>
        <w:t>•</w:t>
      </w:r>
      <w:r w:rsidRPr="00A12248">
        <w:rPr>
          <w:rFonts w:ascii="Arial" w:hAnsi="Arial" w:cs="Arial"/>
          <w:lang w:val="en-AU"/>
        </w:rPr>
        <w:tab/>
        <w:t xml:space="preserve">What are the objectives of government action? </w:t>
      </w:r>
    </w:p>
    <w:p w14:paraId="366DA9B4" w14:textId="384C33D8" w:rsidR="00A12248" w:rsidRPr="00A12248" w:rsidRDefault="00A12248" w:rsidP="00A12248">
      <w:pPr>
        <w:spacing w:after="120" w:line="240" w:lineRule="auto"/>
        <w:rPr>
          <w:rFonts w:ascii="Arial" w:hAnsi="Arial" w:cs="Arial"/>
          <w:lang w:val="en-AU"/>
        </w:rPr>
      </w:pPr>
      <w:r w:rsidRPr="00A12248">
        <w:rPr>
          <w:rFonts w:ascii="Arial" w:hAnsi="Arial" w:cs="Arial"/>
          <w:lang w:val="en-AU"/>
        </w:rPr>
        <w:t>•</w:t>
      </w:r>
      <w:r w:rsidRPr="00A12248">
        <w:rPr>
          <w:rFonts w:ascii="Arial" w:hAnsi="Arial" w:cs="Arial"/>
          <w:lang w:val="en-AU"/>
        </w:rPr>
        <w:tab/>
        <w:t xml:space="preserve">What policy options are </w:t>
      </w:r>
      <w:r w:rsidR="006C663D">
        <w:rPr>
          <w:rFonts w:ascii="Arial" w:hAnsi="Arial" w:cs="Arial"/>
          <w:lang w:val="en-AU"/>
        </w:rPr>
        <w:t>being</w:t>
      </w:r>
      <w:r w:rsidRPr="00A12248">
        <w:rPr>
          <w:rFonts w:ascii="Arial" w:hAnsi="Arial" w:cs="Arial"/>
          <w:lang w:val="en-AU"/>
        </w:rPr>
        <w:t xml:space="preserve"> considered?</w:t>
      </w:r>
    </w:p>
    <w:p w14:paraId="281432C3" w14:textId="77777777" w:rsidR="00A12248" w:rsidRPr="00A12248" w:rsidRDefault="00A12248" w:rsidP="00A12248">
      <w:pPr>
        <w:spacing w:after="120" w:line="240" w:lineRule="auto"/>
        <w:rPr>
          <w:rFonts w:ascii="Arial" w:hAnsi="Arial" w:cs="Arial"/>
          <w:lang w:val="en-AU"/>
        </w:rPr>
      </w:pPr>
      <w:r w:rsidRPr="00A12248">
        <w:rPr>
          <w:rFonts w:ascii="Arial" w:hAnsi="Arial" w:cs="Arial"/>
          <w:lang w:val="en-AU"/>
        </w:rPr>
        <w:t>•</w:t>
      </w:r>
      <w:r w:rsidRPr="00A12248">
        <w:rPr>
          <w:rFonts w:ascii="Arial" w:hAnsi="Arial" w:cs="Arial"/>
          <w:lang w:val="en-AU"/>
        </w:rPr>
        <w:tab/>
        <w:t>What is the likely net benefit of each option?</w:t>
      </w:r>
    </w:p>
    <w:p w14:paraId="29EC2A8C" w14:textId="77777777" w:rsidR="00A12248" w:rsidRPr="00A12248" w:rsidRDefault="00A12248" w:rsidP="00A12248">
      <w:pPr>
        <w:spacing w:after="120" w:line="240" w:lineRule="auto"/>
        <w:rPr>
          <w:rFonts w:ascii="Arial" w:hAnsi="Arial" w:cs="Arial"/>
          <w:lang w:val="en-AU"/>
        </w:rPr>
      </w:pPr>
      <w:r w:rsidRPr="00A12248">
        <w:rPr>
          <w:rFonts w:ascii="Arial" w:hAnsi="Arial" w:cs="Arial"/>
          <w:lang w:val="en-AU"/>
        </w:rPr>
        <w:t>•</w:t>
      </w:r>
      <w:r w:rsidRPr="00A12248">
        <w:rPr>
          <w:rFonts w:ascii="Arial" w:hAnsi="Arial" w:cs="Arial"/>
          <w:lang w:val="en-AU"/>
        </w:rPr>
        <w:tab/>
        <w:t>Who was consulted and how was their feedback incorporated?</w:t>
      </w:r>
    </w:p>
    <w:p w14:paraId="6429102E" w14:textId="77777777" w:rsidR="00A12248" w:rsidRPr="00A12248" w:rsidRDefault="00A12248" w:rsidP="00A12248">
      <w:pPr>
        <w:spacing w:after="120" w:line="240" w:lineRule="auto"/>
        <w:rPr>
          <w:rFonts w:ascii="Arial" w:hAnsi="Arial" w:cs="Arial"/>
          <w:lang w:val="en-AU"/>
        </w:rPr>
      </w:pPr>
      <w:r w:rsidRPr="00A12248">
        <w:rPr>
          <w:rFonts w:ascii="Arial" w:hAnsi="Arial" w:cs="Arial"/>
          <w:lang w:val="en-AU"/>
        </w:rPr>
        <w:t>•</w:t>
      </w:r>
      <w:r w:rsidRPr="00A12248">
        <w:rPr>
          <w:rFonts w:ascii="Arial" w:hAnsi="Arial" w:cs="Arial"/>
          <w:lang w:val="en-AU"/>
        </w:rPr>
        <w:tab/>
        <w:t>What is the best option from those considered?</w:t>
      </w:r>
    </w:p>
    <w:p w14:paraId="165E8DF4" w14:textId="77777777" w:rsidR="00A12248" w:rsidRDefault="00A12248" w:rsidP="00A12248">
      <w:pPr>
        <w:spacing w:after="120" w:line="240" w:lineRule="auto"/>
        <w:rPr>
          <w:rFonts w:ascii="Arial" w:hAnsi="Arial" w:cs="Arial"/>
          <w:lang w:val="en-AU"/>
        </w:rPr>
      </w:pPr>
      <w:r w:rsidRPr="00A12248">
        <w:rPr>
          <w:rFonts w:ascii="Arial" w:hAnsi="Arial" w:cs="Arial"/>
          <w:lang w:val="en-AU"/>
        </w:rPr>
        <w:t>•</w:t>
      </w:r>
      <w:r w:rsidRPr="00A12248">
        <w:rPr>
          <w:rFonts w:ascii="Arial" w:hAnsi="Arial" w:cs="Arial"/>
          <w:lang w:val="en-AU"/>
        </w:rPr>
        <w:tab/>
        <w:t>How will the chosen option be implemented and evaluated?</w:t>
      </w:r>
    </w:p>
    <w:p w14:paraId="1854499A" w14:textId="77777777" w:rsidR="004428EE" w:rsidRPr="00A12248" w:rsidRDefault="004428EE" w:rsidP="004428EE">
      <w:pPr>
        <w:spacing w:after="0" w:line="240" w:lineRule="auto"/>
        <w:rPr>
          <w:rFonts w:ascii="Arial" w:hAnsi="Arial" w:cs="Arial"/>
          <w:lang w:val="en-AU"/>
        </w:rPr>
      </w:pPr>
    </w:p>
    <w:p w14:paraId="1FA62E48" w14:textId="37121D98" w:rsidR="003952CC" w:rsidRDefault="00D138D7" w:rsidP="6A15B411">
      <w:pPr>
        <w:rPr>
          <w:rFonts w:ascii="Arial" w:hAnsi="Arial" w:cs="Arial"/>
          <w:lang w:eastAsia="en-AU"/>
        </w:rPr>
      </w:pPr>
      <w:r w:rsidRPr="6A15B411">
        <w:rPr>
          <w:rFonts w:ascii="Arial" w:hAnsi="Arial" w:cs="Arial"/>
        </w:rPr>
        <w:t xml:space="preserve">The </w:t>
      </w:r>
      <w:r w:rsidR="00A12248" w:rsidRPr="6A15B411">
        <w:rPr>
          <w:rFonts w:ascii="Arial" w:hAnsi="Arial" w:cs="Arial"/>
        </w:rPr>
        <w:t>OIA has assessed th</w:t>
      </w:r>
      <w:r w:rsidR="003D785D" w:rsidRPr="6A15B411">
        <w:rPr>
          <w:rFonts w:ascii="Arial" w:hAnsi="Arial" w:cs="Arial"/>
        </w:rPr>
        <w:t>is</w:t>
      </w:r>
      <w:r w:rsidR="00A12248" w:rsidRPr="6A15B411">
        <w:rPr>
          <w:rFonts w:ascii="Arial" w:hAnsi="Arial" w:cs="Arial"/>
        </w:rPr>
        <w:t xml:space="preserve"> DRIS as being compliant with </w:t>
      </w:r>
      <w:r w:rsidR="00D67D89" w:rsidRPr="6A15B411">
        <w:rPr>
          <w:rFonts w:ascii="Arial" w:hAnsi="Arial" w:cs="Arial"/>
        </w:rPr>
        <w:t>the</w:t>
      </w:r>
      <w:r w:rsidR="00A12248" w:rsidRPr="6A15B411">
        <w:rPr>
          <w:rFonts w:ascii="Arial" w:hAnsi="Arial" w:cs="Arial"/>
        </w:rPr>
        <w:t xml:space="preserve"> </w:t>
      </w:r>
      <w:hyperlink r:id="rId10" w:history="1">
        <w:r w:rsidR="001C1A61" w:rsidRPr="6A15B411">
          <w:rPr>
            <w:rStyle w:val="Hyperlink"/>
            <w:rFonts w:ascii="Arial" w:hAnsi="Arial" w:cs="Arial"/>
          </w:rPr>
          <w:t>OIA Guide</w:t>
        </w:r>
      </w:hyperlink>
      <w:r w:rsidR="00A12248" w:rsidRPr="6A15B411">
        <w:rPr>
          <w:rFonts w:ascii="Arial" w:hAnsi="Arial" w:cs="Arial"/>
        </w:rPr>
        <w:t xml:space="preserve">. Refer to </w:t>
      </w:r>
      <w:r w:rsidR="00903155" w:rsidRPr="6A15B411">
        <w:rPr>
          <w:rFonts w:ascii="Arial" w:hAnsi="Arial" w:cs="Arial"/>
        </w:rPr>
        <w:t xml:space="preserve">the </w:t>
      </w:r>
      <w:r w:rsidR="00A12248" w:rsidRPr="6A15B411">
        <w:rPr>
          <w:rFonts w:ascii="Arial" w:hAnsi="Arial" w:cs="Arial"/>
        </w:rPr>
        <w:t>letter</w:t>
      </w:r>
      <w:r w:rsidR="000E70F2" w:rsidRPr="6A15B411">
        <w:rPr>
          <w:rFonts w:ascii="Arial" w:hAnsi="Arial" w:cs="Arial"/>
        </w:rPr>
        <w:t xml:space="preserve"> on the OIA website</w:t>
      </w:r>
      <w:r w:rsidR="00A12248" w:rsidRPr="6A15B411">
        <w:rPr>
          <w:rFonts w:ascii="Arial" w:hAnsi="Arial" w:cs="Arial"/>
        </w:rPr>
        <w:t xml:space="preserve"> dated </w:t>
      </w:r>
      <w:r w:rsidR="00224B3C" w:rsidRPr="6A15B411">
        <w:rPr>
          <w:rFonts w:ascii="Arial" w:hAnsi="Arial" w:cs="Arial"/>
        </w:rPr>
        <w:t>21 October 2024</w:t>
      </w:r>
      <w:r w:rsidR="00925B9A" w:rsidRPr="6A15B411">
        <w:rPr>
          <w:rFonts w:ascii="Arial" w:hAnsi="Arial" w:cs="Arial"/>
        </w:rPr>
        <w:t xml:space="preserve"> from </w:t>
      </w:r>
      <w:r w:rsidR="000E70F2" w:rsidRPr="6A15B411">
        <w:rPr>
          <w:rFonts w:ascii="Arial" w:hAnsi="Arial" w:cs="Arial"/>
        </w:rPr>
        <w:t>OIA’s Executive Director</w:t>
      </w:r>
      <w:r w:rsidR="00A12248" w:rsidRPr="6A15B411">
        <w:rPr>
          <w:rFonts w:ascii="Arial" w:hAnsi="Arial" w:cs="Arial"/>
        </w:rPr>
        <w:t xml:space="preserve"> </w:t>
      </w:r>
      <w:r w:rsidR="000E70F2" w:rsidRPr="6A15B411">
        <w:rPr>
          <w:rFonts w:ascii="Arial" w:hAnsi="Arial" w:cs="Arial"/>
        </w:rPr>
        <w:t>to FSANZ</w:t>
      </w:r>
      <w:r w:rsidR="001E700C" w:rsidRPr="6A15B411">
        <w:rPr>
          <w:rFonts w:ascii="Arial" w:hAnsi="Arial" w:cs="Arial"/>
        </w:rPr>
        <w:t xml:space="preserve"> and </w:t>
      </w:r>
      <w:r w:rsidR="001E700C" w:rsidRPr="6A15B411">
        <w:rPr>
          <w:rFonts w:ascii="Arial" w:hAnsi="Arial" w:cs="Arial"/>
          <w:snapToGrid w:val="0"/>
        </w:rPr>
        <w:t>reference number OBPR22-02135</w:t>
      </w:r>
      <w:r w:rsidR="00903155" w:rsidRPr="6A15B411">
        <w:rPr>
          <w:rFonts w:ascii="Arial" w:hAnsi="Arial" w:cs="Arial"/>
        </w:rPr>
        <w:t>.</w:t>
      </w:r>
      <w:r w:rsidR="00A11062" w:rsidRPr="6A15B411">
        <w:rPr>
          <w:rFonts w:ascii="Arial" w:hAnsi="Arial" w:cs="Arial"/>
          <w:snapToGrid w:val="0"/>
        </w:rPr>
        <w:t xml:space="preserve"> The OIA previously exempted FSANZ from the need to prepare a formal Consultation Regulation Impact Statement (CRIS) in relation to the regulatory change proposed under P1059. The OIA was satisfied that ongoing consultation had been undertaken over a prolonged period, and the options under consideration had been tested with relevant stakeholders and representative stakeholder views were known. A formal element of that consultation included a detailed consideration of costs and benefits that accompanied the </w:t>
      </w:r>
      <w:r w:rsidR="00A10616" w:rsidRPr="6A15B411">
        <w:rPr>
          <w:rFonts w:ascii="Arial" w:hAnsi="Arial" w:cs="Arial"/>
          <w:snapToGrid w:val="0"/>
        </w:rPr>
        <w:t xml:space="preserve">January 2023 </w:t>
      </w:r>
      <w:r w:rsidR="00472B48" w:rsidRPr="6A15B411">
        <w:rPr>
          <w:rFonts w:ascii="Arial" w:hAnsi="Arial" w:cs="Arial"/>
          <w:snapToGrid w:val="0"/>
        </w:rPr>
        <w:t xml:space="preserve">Call for </w:t>
      </w:r>
      <w:r w:rsidR="00A413E7" w:rsidRPr="6A15B411">
        <w:rPr>
          <w:rFonts w:ascii="Arial" w:hAnsi="Arial" w:cs="Arial"/>
          <w:snapToGrid w:val="0"/>
        </w:rPr>
        <w:t>s</w:t>
      </w:r>
      <w:r w:rsidR="00472B48" w:rsidRPr="6A15B411">
        <w:rPr>
          <w:rFonts w:ascii="Arial" w:hAnsi="Arial" w:cs="Arial"/>
          <w:snapToGrid w:val="0"/>
        </w:rPr>
        <w:t xml:space="preserve">ubmissions </w:t>
      </w:r>
      <w:r w:rsidR="00967EB8" w:rsidRPr="6A15B411">
        <w:rPr>
          <w:rFonts w:ascii="Arial" w:hAnsi="Arial" w:cs="Arial"/>
          <w:snapToGrid w:val="0"/>
        </w:rPr>
        <w:t>document (</w:t>
      </w:r>
      <w:r w:rsidR="00A11062" w:rsidRPr="6A15B411">
        <w:rPr>
          <w:rFonts w:ascii="Arial" w:hAnsi="Arial" w:cs="Arial"/>
          <w:snapToGrid w:val="0"/>
        </w:rPr>
        <w:t>CFS</w:t>
      </w:r>
      <w:r w:rsidR="00967EB8" w:rsidRPr="6A15B411">
        <w:rPr>
          <w:rFonts w:ascii="Arial" w:hAnsi="Arial" w:cs="Arial"/>
          <w:snapToGrid w:val="0"/>
        </w:rPr>
        <w:t>)</w:t>
      </w:r>
      <w:r w:rsidR="00A11062" w:rsidRPr="6A15B411">
        <w:rPr>
          <w:rStyle w:val="FootnoteReference"/>
          <w:rFonts w:ascii="Arial" w:hAnsi="Arial" w:cs="Arial"/>
          <w:snapToGrid w:val="0"/>
        </w:rPr>
        <w:footnoteReference w:id="3"/>
      </w:r>
      <w:r w:rsidR="00A11062" w:rsidRPr="6A15B411">
        <w:rPr>
          <w:rFonts w:ascii="Arial" w:hAnsi="Arial" w:cs="Arial"/>
          <w:snapToGrid w:val="0"/>
        </w:rPr>
        <w:t xml:space="preserve">. </w:t>
      </w:r>
      <w:r w:rsidR="00956649" w:rsidRPr="6A15B411">
        <w:rPr>
          <w:rFonts w:ascii="Arial" w:hAnsi="Arial" w:cs="Arial"/>
          <w:lang w:eastAsia="en-AU"/>
        </w:rPr>
        <w:t>Th</w:t>
      </w:r>
      <w:r w:rsidR="003D785D" w:rsidRPr="6A15B411">
        <w:rPr>
          <w:rFonts w:ascii="Arial" w:hAnsi="Arial" w:cs="Arial"/>
          <w:lang w:eastAsia="en-AU"/>
        </w:rPr>
        <w:t>is</w:t>
      </w:r>
      <w:r w:rsidR="00956649" w:rsidRPr="6A15B411">
        <w:rPr>
          <w:rFonts w:ascii="Arial" w:hAnsi="Arial" w:cs="Arial"/>
          <w:lang w:eastAsia="en-AU"/>
        </w:rPr>
        <w:t xml:space="preserve"> DRIS </w:t>
      </w:r>
      <w:r w:rsidR="00A12248" w:rsidRPr="6A15B411">
        <w:rPr>
          <w:rFonts w:ascii="Arial" w:hAnsi="Arial" w:cs="Arial"/>
          <w:lang w:eastAsia="en-AU"/>
        </w:rPr>
        <w:t xml:space="preserve">also </w:t>
      </w:r>
      <w:r w:rsidR="00956649" w:rsidRPr="6A15B411">
        <w:rPr>
          <w:rFonts w:ascii="Arial" w:hAnsi="Arial" w:cs="Arial"/>
          <w:lang w:eastAsia="en-AU"/>
        </w:rPr>
        <w:t>meet</w:t>
      </w:r>
      <w:r w:rsidR="00D67D89" w:rsidRPr="6A15B411">
        <w:rPr>
          <w:rFonts w:ascii="Arial" w:hAnsi="Arial" w:cs="Arial"/>
          <w:lang w:eastAsia="en-AU"/>
        </w:rPr>
        <w:t>s</w:t>
      </w:r>
      <w:r w:rsidR="00956649" w:rsidRPr="6A15B411">
        <w:rPr>
          <w:rFonts w:ascii="Arial" w:hAnsi="Arial" w:cs="Arial"/>
          <w:lang w:eastAsia="en-AU"/>
        </w:rPr>
        <w:t xml:space="preserve"> the requirements of</w:t>
      </w:r>
      <w:r w:rsidR="00D67D89" w:rsidRPr="6A15B411">
        <w:rPr>
          <w:rFonts w:ascii="Arial" w:hAnsi="Arial" w:cs="Arial"/>
          <w:lang w:eastAsia="en-AU"/>
        </w:rPr>
        <w:t xml:space="preserve"> Section 59 of the </w:t>
      </w:r>
      <w:hyperlink r:id="rId11" w:history="1">
        <w:r w:rsidR="00D67D89" w:rsidRPr="6A15B411">
          <w:rPr>
            <w:rStyle w:val="Hyperlink"/>
            <w:rFonts w:ascii="Arial" w:hAnsi="Arial" w:cs="Arial"/>
            <w:lang w:eastAsia="en-AU"/>
          </w:rPr>
          <w:t>FSANZ Act</w:t>
        </w:r>
      </w:hyperlink>
      <w:r w:rsidR="00D67D89" w:rsidRPr="6A15B411">
        <w:rPr>
          <w:rStyle w:val="Hyperlink"/>
          <w:rFonts w:ascii="Arial" w:hAnsi="Arial" w:cs="Arial"/>
          <w:lang w:eastAsia="en-AU"/>
        </w:rPr>
        <w:t xml:space="preserve"> </w:t>
      </w:r>
      <w:r w:rsidR="00D67D89" w:rsidRPr="6A15B411">
        <w:rPr>
          <w:rFonts w:ascii="Arial" w:hAnsi="Arial" w:cs="Arial"/>
        </w:rPr>
        <w:t>1991</w:t>
      </w:r>
      <w:r w:rsidR="009D5329" w:rsidRPr="6A15B411">
        <w:rPr>
          <w:rFonts w:ascii="Arial" w:hAnsi="Arial" w:cs="Arial"/>
          <w:lang w:eastAsia="en-AU"/>
        </w:rPr>
        <w:t xml:space="preserve"> </w:t>
      </w:r>
      <w:r w:rsidR="009D5329" w:rsidRPr="6A15B411">
        <w:rPr>
          <w:rFonts w:ascii="Arial" w:hAnsi="Arial" w:cs="Arial"/>
        </w:rPr>
        <w:t xml:space="preserve">which requires </w:t>
      </w:r>
      <w:r w:rsidR="00A11062" w:rsidRPr="6A15B411">
        <w:rPr>
          <w:rFonts w:ascii="Arial" w:hAnsi="Arial" w:cs="Arial"/>
        </w:rPr>
        <w:t>FSANZ</w:t>
      </w:r>
      <w:r w:rsidR="00D67D89" w:rsidRPr="6A15B411">
        <w:rPr>
          <w:rFonts w:ascii="Arial" w:hAnsi="Arial" w:cs="Arial"/>
          <w:lang w:eastAsia="en-AU"/>
        </w:rPr>
        <w:t xml:space="preserve"> to have regard to whether the costs that would arise from the proposed measures outweigh the direct or indirect benefits. </w:t>
      </w:r>
    </w:p>
    <w:p w14:paraId="01907C0D" w14:textId="6A597A76" w:rsidR="004E489C" w:rsidRPr="00196E4F" w:rsidRDefault="00565147" w:rsidP="00196E4F">
      <w:pPr>
        <w:spacing w:after="240"/>
        <w:rPr>
          <w:rFonts w:ascii="Arial" w:hAnsi="Arial" w:cs="Arial"/>
          <w:lang w:val="en-AU" w:eastAsia="en-AU"/>
        </w:rPr>
      </w:pPr>
      <w:r>
        <w:rPr>
          <w:rFonts w:ascii="Arial" w:hAnsi="Arial" w:cs="Arial"/>
          <w:lang w:val="en-AU" w:eastAsia="en-AU"/>
        </w:rPr>
        <w:t xml:space="preserve">This DRIS is part of a wider package of documents that are being progressively </w:t>
      </w:r>
      <w:r w:rsidR="00D513F6">
        <w:rPr>
          <w:rFonts w:ascii="Arial" w:hAnsi="Arial" w:cs="Arial"/>
          <w:lang w:val="en-AU" w:eastAsia="en-AU"/>
        </w:rPr>
        <w:t xml:space="preserve">put on the following website: </w:t>
      </w:r>
      <w:r w:rsidR="002A6E32" w:rsidRPr="00A764E1">
        <w:rPr>
          <w:rFonts w:ascii="Arial" w:hAnsi="Arial" w:cs="Arial"/>
          <w:lang w:eastAsia="en-AU"/>
        </w:rPr>
        <w:t>Proposal P1059 - Energy labelling on alcoholic beverages</w:t>
      </w:r>
      <w:r w:rsidR="00430802">
        <w:rPr>
          <w:rFonts w:ascii="Arial" w:hAnsi="Arial" w:cs="Arial"/>
          <w:lang w:val="en-AU" w:eastAsia="en-AU"/>
        </w:rPr>
        <w:t xml:space="preserve">. </w:t>
      </w:r>
    </w:p>
    <w:p w14:paraId="3C8D9387" w14:textId="211B7D6E" w:rsidR="00250CC3" w:rsidRDefault="00250CC3" w:rsidP="00F13C43">
      <w:pPr>
        <w:rPr>
          <w:rFonts w:ascii="Arial" w:hAnsi="Arial" w:cs="Arial"/>
          <w:b/>
          <w:bCs/>
          <w:snapToGrid w:val="0"/>
        </w:rPr>
      </w:pPr>
      <w:r w:rsidRPr="00250CC3">
        <w:rPr>
          <w:rFonts w:ascii="Arial" w:hAnsi="Arial" w:cs="Arial"/>
          <w:b/>
          <w:bCs/>
          <w:snapToGrid w:val="0"/>
        </w:rPr>
        <w:t xml:space="preserve">How FSANZ changes </w:t>
      </w:r>
      <w:r>
        <w:rPr>
          <w:rFonts w:ascii="Arial" w:hAnsi="Arial" w:cs="Arial"/>
          <w:b/>
          <w:bCs/>
          <w:snapToGrid w:val="0"/>
        </w:rPr>
        <w:t>regulation</w:t>
      </w:r>
    </w:p>
    <w:p w14:paraId="4C282D35" w14:textId="06514BAB" w:rsidR="00CF4477" w:rsidRDefault="00250CC3" w:rsidP="6A15B411">
      <w:pPr>
        <w:rPr>
          <w:rFonts w:ascii="Arial" w:hAnsi="Arial" w:cs="Arial"/>
          <w:snapToGrid w:val="0"/>
        </w:rPr>
      </w:pPr>
      <w:r w:rsidRPr="6A15B411">
        <w:rPr>
          <w:rFonts w:ascii="Arial" w:hAnsi="Arial" w:cs="Arial"/>
          <w:snapToGrid w:val="0"/>
        </w:rPr>
        <w:t>FSANZ is</w:t>
      </w:r>
      <w:r w:rsidR="00DD5D3F" w:rsidRPr="6A15B411">
        <w:rPr>
          <w:rFonts w:ascii="Arial" w:hAnsi="Arial" w:cs="Arial"/>
          <w:snapToGrid w:val="0"/>
        </w:rPr>
        <w:t xml:space="preserve"> responsible for the</w:t>
      </w:r>
      <w:r w:rsidR="00B57485" w:rsidRPr="6A15B411">
        <w:rPr>
          <w:rFonts w:ascii="Arial" w:hAnsi="Arial" w:cs="Arial"/>
          <w:snapToGrid w:val="0"/>
        </w:rPr>
        <w:t xml:space="preserve"> amendment and mai</w:t>
      </w:r>
      <w:r w:rsidR="000A6775" w:rsidRPr="6A15B411">
        <w:rPr>
          <w:rFonts w:ascii="Arial" w:hAnsi="Arial" w:cs="Arial"/>
          <w:snapToGrid w:val="0"/>
        </w:rPr>
        <w:t>ntenance of</w:t>
      </w:r>
      <w:r w:rsidRPr="6A15B411">
        <w:rPr>
          <w:rFonts w:ascii="Arial" w:hAnsi="Arial" w:cs="Arial"/>
          <w:snapToGrid w:val="0"/>
        </w:rPr>
        <w:t xml:space="preserve"> the </w:t>
      </w:r>
      <w:r w:rsidRPr="6A15B411">
        <w:rPr>
          <w:rFonts w:ascii="Arial" w:hAnsi="Arial" w:cs="Arial"/>
          <w:lang w:eastAsia="en-AU"/>
        </w:rPr>
        <w:t>Australia New Zealand Food Standards Code (</w:t>
      </w:r>
      <w:hyperlink r:id="rId12" w:history="1">
        <w:r w:rsidR="000B27F1" w:rsidRPr="6A15B411">
          <w:rPr>
            <w:rStyle w:val="Hyperlink"/>
            <w:rFonts w:ascii="Arial" w:hAnsi="Arial" w:cs="Arial"/>
            <w:lang w:eastAsia="en-AU"/>
          </w:rPr>
          <w:t>the Code</w:t>
        </w:r>
      </w:hyperlink>
      <w:r w:rsidR="000B27F1" w:rsidRPr="6A15B411">
        <w:rPr>
          <w:rFonts w:ascii="Arial" w:hAnsi="Arial" w:cs="Arial"/>
          <w:lang w:eastAsia="en-AU"/>
        </w:rPr>
        <w:t>)</w:t>
      </w:r>
      <w:r w:rsidR="00542424" w:rsidRPr="6A15B411">
        <w:rPr>
          <w:rFonts w:ascii="Arial" w:hAnsi="Arial" w:cs="Arial"/>
          <w:lang w:eastAsia="en-AU"/>
        </w:rPr>
        <w:t>, which is regulation</w:t>
      </w:r>
      <w:r w:rsidR="000B27F1" w:rsidRPr="6A15B411">
        <w:rPr>
          <w:rFonts w:ascii="Arial" w:hAnsi="Arial" w:cs="Arial"/>
          <w:lang w:eastAsia="en-AU"/>
        </w:rPr>
        <w:t>.</w:t>
      </w:r>
      <w:r w:rsidRPr="6A15B411">
        <w:rPr>
          <w:rFonts w:ascii="Arial" w:hAnsi="Arial" w:cs="Arial"/>
          <w:lang w:eastAsia="en-AU"/>
        </w:rPr>
        <w:t xml:space="preserve"> </w:t>
      </w:r>
      <w:r w:rsidRPr="6A15B411">
        <w:rPr>
          <w:rFonts w:ascii="Arial" w:hAnsi="Arial" w:cs="Arial"/>
          <w:snapToGrid w:val="0"/>
        </w:rPr>
        <w:t xml:space="preserve">Among many other things, </w:t>
      </w:r>
      <w:r w:rsidRPr="6A15B411">
        <w:rPr>
          <w:rFonts w:ascii="Arial" w:hAnsi="Arial" w:cs="Arial"/>
          <w:lang w:eastAsia="en-AU"/>
        </w:rPr>
        <w:t xml:space="preserve">the Code </w:t>
      </w:r>
      <w:r w:rsidRPr="6A15B411">
        <w:rPr>
          <w:rFonts w:ascii="Arial" w:hAnsi="Arial" w:cs="Arial"/>
          <w:snapToGrid w:val="0"/>
        </w:rPr>
        <w:t xml:space="preserve">specifies what </w:t>
      </w:r>
      <w:r w:rsidR="007C08AF" w:rsidRPr="6A15B411">
        <w:rPr>
          <w:rFonts w:ascii="Arial" w:hAnsi="Arial" w:cs="Arial"/>
          <w:snapToGrid w:val="0"/>
        </w:rPr>
        <w:t xml:space="preserve">information </w:t>
      </w:r>
      <w:r w:rsidRPr="6A15B411">
        <w:rPr>
          <w:rFonts w:ascii="Arial" w:hAnsi="Arial" w:cs="Arial"/>
          <w:snapToGrid w:val="0"/>
        </w:rPr>
        <w:t xml:space="preserve">must be included on </w:t>
      </w:r>
      <w:r w:rsidR="007C08AF" w:rsidRPr="6A15B411">
        <w:rPr>
          <w:rFonts w:ascii="Arial" w:hAnsi="Arial" w:cs="Arial"/>
          <w:snapToGrid w:val="0"/>
        </w:rPr>
        <w:t xml:space="preserve">the </w:t>
      </w:r>
      <w:r w:rsidRPr="6A15B411">
        <w:rPr>
          <w:rFonts w:ascii="Arial" w:hAnsi="Arial" w:cs="Arial"/>
          <w:snapToGrid w:val="0"/>
        </w:rPr>
        <w:t xml:space="preserve">label of packaged foods and beverages </w:t>
      </w:r>
      <w:r w:rsidR="007C08AF" w:rsidRPr="6A15B411">
        <w:rPr>
          <w:rFonts w:ascii="Arial" w:hAnsi="Arial" w:cs="Arial"/>
          <w:snapToGrid w:val="0"/>
        </w:rPr>
        <w:t xml:space="preserve">produced or imported </w:t>
      </w:r>
      <w:r w:rsidRPr="6A15B411">
        <w:rPr>
          <w:rFonts w:ascii="Arial" w:hAnsi="Arial" w:cs="Arial"/>
          <w:snapToGrid w:val="0"/>
        </w:rPr>
        <w:t xml:space="preserve">for sale in Australia and New Zealand. For instance, </w:t>
      </w:r>
      <w:r w:rsidR="00537FE1" w:rsidRPr="6A15B411">
        <w:rPr>
          <w:rFonts w:ascii="Arial" w:hAnsi="Arial" w:cs="Arial"/>
          <w:snapToGrid w:val="0"/>
        </w:rPr>
        <w:t xml:space="preserve">the Code </w:t>
      </w:r>
      <w:r w:rsidR="00025A21" w:rsidRPr="6A15B411">
        <w:rPr>
          <w:rFonts w:ascii="Arial" w:hAnsi="Arial" w:cs="Arial"/>
          <w:snapToGrid w:val="0"/>
        </w:rPr>
        <w:t xml:space="preserve">requires packaged </w:t>
      </w:r>
      <w:r w:rsidR="00025A21" w:rsidRPr="6A15B411">
        <w:rPr>
          <w:rFonts w:ascii="Arial" w:hAnsi="Arial" w:cs="Arial"/>
          <w:snapToGrid w:val="0"/>
        </w:rPr>
        <w:lastRenderedPageBreak/>
        <w:t xml:space="preserve">foods (including beverages) for retail sale in Australia and New Zealand to ‘bear a label’ with nutrition information in the form of a nutrition information panel (NIP), unless covered by an exemption. </w:t>
      </w:r>
      <w:r w:rsidR="00AB6C08" w:rsidRPr="6A15B411">
        <w:rPr>
          <w:rFonts w:ascii="Arial" w:hAnsi="Arial" w:cs="Arial"/>
          <w:snapToGrid w:val="0"/>
        </w:rPr>
        <w:t>Whe</w:t>
      </w:r>
      <w:r w:rsidR="003F6CE4" w:rsidRPr="6A15B411">
        <w:rPr>
          <w:rFonts w:ascii="Arial" w:hAnsi="Arial" w:cs="Arial"/>
          <w:snapToGrid w:val="0"/>
        </w:rPr>
        <w:t>re</w:t>
      </w:r>
      <w:r w:rsidR="00AB6C08" w:rsidRPr="6A15B411">
        <w:rPr>
          <w:rFonts w:ascii="Arial" w:hAnsi="Arial" w:cs="Arial"/>
          <w:snapToGrid w:val="0"/>
        </w:rPr>
        <w:t xml:space="preserve"> required</w:t>
      </w:r>
      <w:r w:rsidR="00770492" w:rsidRPr="6A15B411">
        <w:rPr>
          <w:rFonts w:ascii="Arial" w:hAnsi="Arial" w:cs="Arial"/>
          <w:snapToGrid w:val="0"/>
        </w:rPr>
        <w:t>,</w:t>
      </w:r>
      <w:r w:rsidR="005C3919" w:rsidRPr="6A15B411">
        <w:rPr>
          <w:rFonts w:ascii="Arial" w:hAnsi="Arial" w:cs="Arial"/>
          <w:snapToGrid w:val="0"/>
        </w:rPr>
        <w:t xml:space="preserve"> </w:t>
      </w:r>
      <w:r w:rsidR="00770492" w:rsidRPr="6A15B411">
        <w:rPr>
          <w:rFonts w:ascii="Arial" w:hAnsi="Arial" w:cs="Arial"/>
          <w:snapToGrid w:val="0"/>
        </w:rPr>
        <w:t>t</w:t>
      </w:r>
      <w:r w:rsidR="00025A21" w:rsidRPr="6A15B411">
        <w:rPr>
          <w:rFonts w:ascii="Arial" w:hAnsi="Arial" w:cs="Arial"/>
          <w:snapToGrid w:val="0"/>
        </w:rPr>
        <w:t>he format for a NIP</w:t>
      </w:r>
      <w:r w:rsidR="005C3919" w:rsidRPr="6A15B411">
        <w:rPr>
          <w:rFonts w:ascii="Arial" w:hAnsi="Arial" w:cs="Arial"/>
          <w:snapToGrid w:val="0"/>
        </w:rPr>
        <w:t xml:space="preserve"> </w:t>
      </w:r>
      <w:r w:rsidR="00025A21" w:rsidRPr="6A15B411">
        <w:rPr>
          <w:rFonts w:ascii="Arial" w:hAnsi="Arial" w:cs="Arial"/>
          <w:snapToGrid w:val="0"/>
        </w:rPr>
        <w:t xml:space="preserve">is prescribed and it must include declarations of the average quantity of six specified nutrients and the average energy content </w:t>
      </w:r>
      <w:r w:rsidRPr="6A15B411">
        <w:rPr>
          <w:rFonts w:ascii="Arial" w:hAnsi="Arial" w:cs="Arial"/>
          <w:snapToGrid w:val="0"/>
        </w:rPr>
        <w:t xml:space="preserve">in </w:t>
      </w:r>
      <w:r w:rsidR="00537FE1" w:rsidRPr="6A15B411">
        <w:rPr>
          <w:rFonts w:ascii="Arial" w:hAnsi="Arial" w:cs="Arial"/>
          <w:snapToGrid w:val="0"/>
        </w:rPr>
        <w:t xml:space="preserve">a </w:t>
      </w:r>
      <w:r w:rsidRPr="6A15B411">
        <w:rPr>
          <w:rFonts w:ascii="Arial" w:hAnsi="Arial" w:cs="Arial"/>
          <w:snapToGrid w:val="0"/>
        </w:rPr>
        <w:t xml:space="preserve">serving </w:t>
      </w:r>
      <w:r w:rsidR="00537FE1" w:rsidRPr="6A15B411">
        <w:rPr>
          <w:rFonts w:ascii="Arial" w:hAnsi="Arial" w:cs="Arial"/>
          <w:snapToGrid w:val="0"/>
        </w:rPr>
        <w:t>and per 100 mL</w:t>
      </w:r>
      <w:r w:rsidR="000A79BE" w:rsidRPr="6A15B411">
        <w:rPr>
          <w:rFonts w:ascii="Arial" w:hAnsi="Arial" w:cs="Arial"/>
          <w:snapToGrid w:val="0"/>
        </w:rPr>
        <w:t xml:space="preserve"> or per 100 grams</w:t>
      </w:r>
      <w:r w:rsidR="00025A21" w:rsidRPr="6A15B411">
        <w:rPr>
          <w:rFonts w:ascii="Arial" w:hAnsi="Arial" w:cs="Arial"/>
          <w:snapToGrid w:val="0"/>
        </w:rPr>
        <w:t>.</w:t>
      </w:r>
      <w:r w:rsidR="000D68D5" w:rsidRPr="6A15B411">
        <w:rPr>
          <w:rFonts w:ascii="Arial" w:hAnsi="Arial" w:cs="Arial"/>
          <w:snapToGrid w:val="0"/>
        </w:rPr>
        <w:t xml:space="preserve"> </w:t>
      </w:r>
    </w:p>
    <w:p w14:paraId="039D1905" w14:textId="3AD93901" w:rsidR="00250CC3" w:rsidRPr="00250CC3" w:rsidRDefault="000D68D5" w:rsidP="00F13C43">
      <w:pPr>
        <w:rPr>
          <w:rFonts w:ascii="Arial" w:hAnsi="Arial" w:cs="Arial"/>
          <w:snapToGrid w:val="0"/>
        </w:rPr>
      </w:pPr>
      <w:r>
        <w:rPr>
          <w:rFonts w:ascii="Arial" w:hAnsi="Arial" w:cs="Arial"/>
          <w:snapToGrid w:val="0"/>
        </w:rPr>
        <w:t xml:space="preserve">As discussed </w:t>
      </w:r>
      <w:r w:rsidR="00D0049B">
        <w:rPr>
          <w:rFonts w:ascii="Arial" w:hAnsi="Arial" w:cs="Arial"/>
          <w:snapToGrid w:val="0"/>
        </w:rPr>
        <w:t>below</w:t>
      </w:r>
      <w:r w:rsidR="00DC28E9">
        <w:rPr>
          <w:rFonts w:ascii="Arial" w:hAnsi="Arial" w:cs="Arial"/>
          <w:snapToGrid w:val="0"/>
        </w:rPr>
        <w:t>,</w:t>
      </w:r>
      <w:r>
        <w:rPr>
          <w:rFonts w:ascii="Arial" w:hAnsi="Arial" w:cs="Arial"/>
          <w:snapToGrid w:val="0"/>
        </w:rPr>
        <w:t xml:space="preserve"> most </w:t>
      </w:r>
      <w:r w:rsidR="003E6018">
        <w:rPr>
          <w:rFonts w:ascii="Arial" w:hAnsi="Arial" w:cs="Arial"/>
          <w:snapToGrid w:val="0"/>
        </w:rPr>
        <w:t xml:space="preserve">packaged alcoholic beverages are currently </w:t>
      </w:r>
      <w:r w:rsidR="00D00DE0">
        <w:rPr>
          <w:rFonts w:ascii="Arial" w:hAnsi="Arial" w:cs="Arial"/>
          <w:snapToGrid w:val="0"/>
        </w:rPr>
        <w:t xml:space="preserve">exempt from the requirement to </w:t>
      </w:r>
      <w:r w:rsidR="008E1950">
        <w:rPr>
          <w:rFonts w:ascii="Arial" w:hAnsi="Arial" w:cs="Arial"/>
          <w:snapToGrid w:val="0"/>
        </w:rPr>
        <w:t>be labelled with</w:t>
      </w:r>
      <w:r w:rsidR="00D00DE0">
        <w:rPr>
          <w:rFonts w:ascii="Arial" w:hAnsi="Arial" w:cs="Arial"/>
          <w:snapToGrid w:val="0"/>
        </w:rPr>
        <w:t xml:space="preserve"> a NIP.</w:t>
      </w:r>
      <w:r w:rsidR="008D4E74">
        <w:rPr>
          <w:rFonts w:ascii="Arial" w:hAnsi="Arial" w:cs="Arial"/>
          <w:snapToGrid w:val="0"/>
        </w:rPr>
        <w:t xml:space="preserve"> That is despite few </w:t>
      </w:r>
      <w:r w:rsidR="00C900A3">
        <w:rPr>
          <w:rFonts w:ascii="Arial" w:hAnsi="Arial" w:cs="Arial"/>
          <w:snapToGrid w:val="0"/>
        </w:rPr>
        <w:t>other food and non-alcoholic beverages</w:t>
      </w:r>
      <w:r w:rsidR="00681A0F">
        <w:rPr>
          <w:rFonts w:ascii="Arial" w:hAnsi="Arial" w:cs="Arial"/>
          <w:snapToGrid w:val="0"/>
        </w:rPr>
        <w:t xml:space="preserve"> being exempted from the requirement to be labelled with a NIP</w:t>
      </w:r>
      <w:r w:rsidR="00C900A3">
        <w:rPr>
          <w:rFonts w:ascii="Arial" w:hAnsi="Arial" w:cs="Arial"/>
          <w:snapToGrid w:val="0"/>
        </w:rPr>
        <w:t xml:space="preserve">, including no </w:t>
      </w:r>
      <w:r w:rsidR="009919C4">
        <w:rPr>
          <w:rFonts w:ascii="Arial" w:hAnsi="Arial" w:cs="Arial"/>
          <w:snapToGrid w:val="0"/>
        </w:rPr>
        <w:t xml:space="preserve">general </w:t>
      </w:r>
      <w:r w:rsidR="00C900A3">
        <w:rPr>
          <w:rFonts w:ascii="Arial" w:hAnsi="Arial" w:cs="Arial"/>
          <w:snapToGrid w:val="0"/>
        </w:rPr>
        <w:t xml:space="preserve">exemptions </w:t>
      </w:r>
      <w:r w:rsidR="00681A0F">
        <w:rPr>
          <w:rFonts w:ascii="Arial" w:hAnsi="Arial" w:cs="Arial"/>
          <w:snapToGrid w:val="0"/>
        </w:rPr>
        <w:t xml:space="preserve">from a NIP </w:t>
      </w:r>
      <w:r w:rsidR="00C900A3">
        <w:rPr>
          <w:rFonts w:ascii="Arial" w:hAnsi="Arial" w:cs="Arial"/>
          <w:snapToGrid w:val="0"/>
        </w:rPr>
        <w:t>for</w:t>
      </w:r>
      <w:r w:rsidR="008D4E74">
        <w:rPr>
          <w:rFonts w:ascii="Arial" w:hAnsi="Arial" w:cs="Arial"/>
          <w:snapToGrid w:val="0"/>
        </w:rPr>
        <w:t xml:space="preserve"> </w:t>
      </w:r>
      <w:r w:rsidR="008D4E74" w:rsidRPr="1A79B7AB">
        <w:rPr>
          <w:rFonts w:ascii="Arial" w:hAnsi="Arial" w:cs="Arial"/>
        </w:rPr>
        <w:t>limited edition or small batch products</w:t>
      </w:r>
      <w:r w:rsidR="00C900A3">
        <w:rPr>
          <w:rFonts w:ascii="Arial" w:hAnsi="Arial" w:cs="Arial"/>
        </w:rPr>
        <w:t>.</w:t>
      </w:r>
    </w:p>
    <w:p w14:paraId="7F74E03C" w14:textId="71931F35" w:rsidR="002129BB" w:rsidRDefault="000E2050" w:rsidP="00080E10">
      <w:pPr>
        <w:pStyle w:val="Heading3"/>
        <w:spacing w:after="160"/>
        <w:rPr>
          <w:snapToGrid w:val="0"/>
        </w:rPr>
      </w:pPr>
      <w:bookmarkStart w:id="7" w:name="_Toc194475986"/>
      <w:r>
        <w:rPr>
          <w:snapToGrid w:val="0"/>
        </w:rPr>
        <w:t>1.2</w:t>
      </w:r>
      <w:r>
        <w:rPr>
          <w:snapToGrid w:val="0"/>
        </w:rPr>
        <w:tab/>
      </w:r>
      <w:r w:rsidR="007C08AF">
        <w:rPr>
          <w:snapToGrid w:val="0"/>
        </w:rPr>
        <w:t>S</w:t>
      </w:r>
      <w:r w:rsidR="002129BB" w:rsidRPr="002129BB">
        <w:rPr>
          <w:snapToGrid w:val="0"/>
        </w:rPr>
        <w:t>cope</w:t>
      </w:r>
      <w:r w:rsidR="00133A8B">
        <w:rPr>
          <w:snapToGrid w:val="0"/>
        </w:rPr>
        <w:t xml:space="preserve"> of P1059</w:t>
      </w:r>
      <w:bookmarkEnd w:id="7"/>
    </w:p>
    <w:p w14:paraId="0463F5CD" w14:textId="083D4F9C" w:rsidR="00AE30CE" w:rsidRPr="00AE30CE" w:rsidRDefault="00AE30CE" w:rsidP="00AE30CE">
      <w:pPr>
        <w:spacing w:before="120" w:after="240"/>
        <w:rPr>
          <w:rFonts w:ascii="Arial" w:hAnsi="Arial" w:cs="Arial"/>
          <w:snapToGrid w:val="0"/>
          <w:lang w:val="en-GB"/>
        </w:rPr>
      </w:pPr>
      <w:bookmarkStart w:id="8" w:name="_Hlk117580007"/>
      <w:r w:rsidRPr="00AE30CE">
        <w:rPr>
          <w:rFonts w:ascii="Arial" w:hAnsi="Arial" w:cs="Arial"/>
          <w:snapToGrid w:val="0"/>
          <w:lang w:val="en-GB"/>
        </w:rPr>
        <w:t xml:space="preserve">This proposal considers the requirement for energy content information on </w:t>
      </w:r>
      <w:r w:rsidR="008832AC">
        <w:rPr>
          <w:rFonts w:ascii="Arial" w:hAnsi="Arial" w:cs="Arial"/>
          <w:snapToGrid w:val="0"/>
          <w:lang w:val="en-GB"/>
        </w:rPr>
        <w:t>alcoholic beverages</w:t>
      </w:r>
      <w:r w:rsidRPr="00AE30CE">
        <w:rPr>
          <w:rFonts w:ascii="Arial" w:hAnsi="Arial" w:cs="Arial"/>
          <w:snapToGrid w:val="0"/>
          <w:lang w:val="en-GB"/>
        </w:rPr>
        <w:t xml:space="preserve"> that are currently exempt from the requirement to be labelled with a </w:t>
      </w:r>
      <w:r>
        <w:rPr>
          <w:rFonts w:ascii="Arial" w:hAnsi="Arial" w:cs="Arial"/>
          <w:snapToGrid w:val="0"/>
          <w:lang w:val="en-GB"/>
        </w:rPr>
        <w:t>NIP</w:t>
      </w:r>
      <w:r w:rsidRPr="00AE30CE">
        <w:rPr>
          <w:rFonts w:ascii="Arial" w:hAnsi="Arial" w:cs="Arial"/>
          <w:snapToGrid w:val="0"/>
          <w:lang w:val="en-GB"/>
        </w:rPr>
        <w:t>, being:</w:t>
      </w:r>
    </w:p>
    <w:p w14:paraId="5A7DB0C9" w14:textId="39EFA064" w:rsidR="00C253AB" w:rsidRPr="00C253AB" w:rsidRDefault="00C253AB" w:rsidP="00C253AB">
      <w:pPr>
        <w:pStyle w:val="ListParagraph"/>
        <w:numPr>
          <w:ilvl w:val="0"/>
          <w:numId w:val="22"/>
        </w:numPr>
        <w:spacing w:before="120" w:after="240"/>
        <w:rPr>
          <w:rFonts w:ascii="Arial" w:hAnsi="Arial" w:cs="Arial"/>
          <w:snapToGrid w:val="0"/>
          <w:lang w:val="en-GB"/>
        </w:rPr>
      </w:pPr>
      <w:bookmarkStart w:id="9" w:name="_Hlk116916368"/>
      <w:r w:rsidRPr="00C253AB">
        <w:rPr>
          <w:rFonts w:ascii="Arial" w:hAnsi="Arial" w:cs="Arial"/>
          <w:snapToGrid w:val="0"/>
          <w:lang w:val="en-GB"/>
        </w:rPr>
        <w:t>standardised alcoholic beverages</w:t>
      </w:r>
      <w:r w:rsidRPr="00C253AB">
        <w:rPr>
          <w:rFonts w:ascii="Arial" w:hAnsi="Arial" w:cs="Arial"/>
          <w:snapToGrid w:val="0"/>
          <w:vertAlign w:val="superscript"/>
          <w:lang w:val="en-GB"/>
        </w:rPr>
        <w:footnoteReference w:id="4"/>
      </w:r>
      <w:r w:rsidR="00387E97">
        <w:rPr>
          <w:rFonts w:ascii="Arial" w:hAnsi="Arial" w:cs="Arial"/>
          <w:snapToGrid w:val="0"/>
          <w:lang w:val="en-GB"/>
        </w:rPr>
        <w:t xml:space="preserve"> </w:t>
      </w:r>
      <w:r w:rsidR="00447B8C">
        <w:rPr>
          <w:rFonts w:ascii="Arial" w:hAnsi="Arial" w:cs="Arial"/>
          <w:snapToGrid w:val="0"/>
          <w:lang w:val="en-GB"/>
        </w:rPr>
        <w:t>e.g. beer, wine</w:t>
      </w:r>
      <w:r w:rsidR="00387E97">
        <w:rPr>
          <w:rFonts w:ascii="Arial" w:hAnsi="Arial" w:cs="Arial"/>
          <w:snapToGrid w:val="0"/>
          <w:lang w:val="en-GB"/>
        </w:rPr>
        <w:t>,</w:t>
      </w:r>
      <w:r w:rsidRPr="00C253AB">
        <w:rPr>
          <w:rFonts w:ascii="Arial" w:hAnsi="Arial" w:cs="Arial"/>
          <w:snapToGrid w:val="0"/>
          <w:lang w:val="en-GB"/>
        </w:rPr>
        <w:t xml:space="preserve"> and </w:t>
      </w:r>
    </w:p>
    <w:p w14:paraId="22F3E6C3" w14:textId="77777777" w:rsidR="00C253AB" w:rsidRPr="00C253AB" w:rsidRDefault="00C253AB" w:rsidP="00C253AB">
      <w:pPr>
        <w:pStyle w:val="ListParagraph"/>
        <w:numPr>
          <w:ilvl w:val="0"/>
          <w:numId w:val="22"/>
        </w:numPr>
        <w:spacing w:before="120" w:after="240"/>
        <w:rPr>
          <w:rFonts w:ascii="Arial" w:hAnsi="Arial" w:cs="Arial"/>
          <w:snapToGrid w:val="0"/>
          <w:lang w:val="en-GB"/>
        </w:rPr>
      </w:pPr>
      <w:r w:rsidRPr="00C253AB">
        <w:rPr>
          <w:rFonts w:ascii="Arial" w:hAnsi="Arial" w:cs="Arial"/>
          <w:snapToGrid w:val="0"/>
          <w:lang w:val="en-GB"/>
        </w:rPr>
        <w:t>beverages containing no less than 0.5% alcohol by volume (ABV) that are not standardised alcoholic beverages.</w:t>
      </w:r>
    </w:p>
    <w:p w14:paraId="73D7E238" w14:textId="35B95A0F" w:rsidR="00C253AB" w:rsidRPr="00C253AB" w:rsidRDefault="00C253AB" w:rsidP="00C253AB">
      <w:pPr>
        <w:spacing w:before="120" w:after="240"/>
        <w:rPr>
          <w:rFonts w:ascii="Arial" w:hAnsi="Arial" w:cs="Arial"/>
          <w:snapToGrid w:val="0"/>
          <w:lang w:val="en-GB"/>
        </w:rPr>
      </w:pPr>
      <w:r w:rsidRPr="00C253AB">
        <w:rPr>
          <w:rFonts w:ascii="Arial" w:hAnsi="Arial" w:cs="Arial"/>
          <w:snapToGrid w:val="0"/>
          <w:lang w:val="en-GB"/>
        </w:rPr>
        <w:t>These beverages are also referred to as ‘prescribed beverages’ (as defined in section 1.1.2—3 of the Code).</w:t>
      </w:r>
    </w:p>
    <w:p w14:paraId="11F73FBF" w14:textId="43F38481" w:rsidR="00B46321" w:rsidRDefault="00C253AB" w:rsidP="00C253AB">
      <w:pPr>
        <w:spacing w:before="120" w:after="240"/>
        <w:rPr>
          <w:rFonts w:ascii="Calibri" w:eastAsia="Calibri" w:hAnsi="Calibri" w:cs="Calibri"/>
          <w:lang w:val="en-AU"/>
        </w:rPr>
      </w:pPr>
      <w:r w:rsidRPr="00C253AB">
        <w:rPr>
          <w:rFonts w:ascii="Arial" w:hAnsi="Arial" w:cs="Arial"/>
          <w:snapToGrid w:val="0"/>
          <w:lang w:val="en-GB"/>
        </w:rPr>
        <w:t>Brewed soft drinks containing more than 0.5% ABV are therefore included in the scope. Beverages with less than 0.5% ABV are out of scope of the proposal</w:t>
      </w:r>
      <w:r w:rsidR="00E76C2C">
        <w:rPr>
          <w:rFonts w:ascii="Arial" w:hAnsi="Arial" w:cs="Arial"/>
          <w:snapToGrid w:val="0"/>
          <w:lang w:val="en-GB"/>
        </w:rPr>
        <w:t xml:space="preserve">, because they </w:t>
      </w:r>
      <w:r w:rsidR="00CF78B2" w:rsidRPr="001528D5">
        <w:rPr>
          <w:rFonts w:ascii="Arial" w:hAnsi="Arial" w:cs="Arial"/>
          <w:snapToGrid w:val="0"/>
          <w:lang w:val="en-GB"/>
        </w:rPr>
        <w:t>are not exempt from the requirement to be labelled with a NIP and therefore already declare energy content information on label (in the NIP).</w:t>
      </w:r>
      <w:r w:rsidR="00F66D28">
        <w:rPr>
          <w:rFonts w:ascii="Calibri" w:eastAsia="Calibri" w:hAnsi="Calibri" w:cs="Calibri"/>
          <w:lang w:val="en-AU"/>
        </w:rPr>
        <w:t xml:space="preserve"> </w:t>
      </w:r>
    </w:p>
    <w:p w14:paraId="55553D94" w14:textId="77777777" w:rsidR="00C253AB" w:rsidRPr="00C253AB" w:rsidRDefault="00C253AB" w:rsidP="00C253AB">
      <w:pPr>
        <w:spacing w:before="120" w:after="240"/>
        <w:rPr>
          <w:rFonts w:ascii="Arial" w:hAnsi="Arial" w:cs="Arial"/>
          <w:snapToGrid w:val="0"/>
          <w:lang w:val="en-GB"/>
        </w:rPr>
      </w:pPr>
      <w:r w:rsidRPr="00C253AB">
        <w:rPr>
          <w:rFonts w:ascii="Arial" w:hAnsi="Arial" w:cs="Arial"/>
          <w:snapToGrid w:val="0"/>
          <w:lang w:val="en-GB"/>
        </w:rPr>
        <w:t>Kits intended to be used to produce a standardised alcoholic beverage (e.g. a home beer brewing kit) are also exempt from the requirement to provide a NIP but are not within scope because, as sold, they are not beverages containing alcohol.</w:t>
      </w:r>
    </w:p>
    <w:p w14:paraId="1DB79B22" w14:textId="77777777" w:rsidR="00C253AB" w:rsidRPr="00C253AB" w:rsidRDefault="00C253AB" w:rsidP="00C253AB">
      <w:pPr>
        <w:spacing w:before="120" w:after="240"/>
        <w:rPr>
          <w:rFonts w:ascii="Arial" w:hAnsi="Arial" w:cs="Arial"/>
          <w:snapToGrid w:val="0"/>
          <w:lang w:val="en-GB"/>
        </w:rPr>
      </w:pPr>
      <w:r w:rsidRPr="00C253AB">
        <w:rPr>
          <w:rFonts w:ascii="Arial" w:hAnsi="Arial" w:cs="Arial"/>
          <w:snapToGrid w:val="0"/>
          <w:lang w:val="en-GB"/>
        </w:rPr>
        <w:t xml:space="preserve">The scope is limited to prescribed beverages that are packaged and for sale in Australia and New Zealand, including imported products. </w:t>
      </w:r>
    </w:p>
    <w:bookmarkEnd w:id="8"/>
    <w:bookmarkEnd w:id="9"/>
    <w:p w14:paraId="4649F5EE" w14:textId="43DD1D4D" w:rsidR="007C08AF" w:rsidRDefault="00DA20AD" w:rsidP="00AE30CE">
      <w:pPr>
        <w:spacing w:before="120" w:after="240"/>
        <w:rPr>
          <w:rFonts w:ascii="Arial" w:hAnsi="Arial" w:cs="Arial"/>
          <w:snapToGrid w:val="0"/>
        </w:rPr>
      </w:pPr>
      <w:r>
        <w:rPr>
          <w:rFonts w:ascii="Arial" w:hAnsi="Arial" w:cs="Arial"/>
          <w:snapToGrid w:val="0"/>
        </w:rPr>
        <w:t xml:space="preserve">Examples of </w:t>
      </w:r>
      <w:r w:rsidR="007C08AF">
        <w:rPr>
          <w:rFonts w:ascii="Arial" w:hAnsi="Arial" w:cs="Arial"/>
          <w:snapToGrid w:val="0"/>
        </w:rPr>
        <w:t>prescribed beverages</w:t>
      </w:r>
      <w:r w:rsidR="007C08AF">
        <w:rPr>
          <w:rStyle w:val="FootnoteReference"/>
          <w:rFonts w:ascii="Arial" w:hAnsi="Arial" w:cs="Arial"/>
          <w:snapToGrid w:val="0"/>
        </w:rPr>
        <w:footnoteReference w:id="5"/>
      </w:r>
      <w:r>
        <w:rPr>
          <w:rFonts w:ascii="Arial" w:hAnsi="Arial" w:cs="Arial"/>
          <w:snapToGrid w:val="0"/>
        </w:rPr>
        <w:t xml:space="preserve"> </w:t>
      </w:r>
      <w:r w:rsidR="007C08AF">
        <w:rPr>
          <w:rFonts w:ascii="Arial" w:hAnsi="Arial" w:cs="Arial"/>
          <w:snapToGrid w:val="0"/>
        </w:rPr>
        <w:t xml:space="preserve">include </w:t>
      </w:r>
      <w:r>
        <w:rPr>
          <w:rFonts w:ascii="Arial" w:hAnsi="Arial" w:cs="Arial"/>
          <w:snapToGrid w:val="0"/>
        </w:rPr>
        <w:t xml:space="preserve">beer, cider, wine, spirits, and </w:t>
      </w:r>
      <w:r>
        <w:rPr>
          <w:rFonts w:ascii="Arial" w:eastAsia="Arial" w:hAnsi="Arial" w:cs="Arial"/>
        </w:rPr>
        <w:t>Ready to Drink premixed alcoholic beverages</w:t>
      </w:r>
      <w:r w:rsidR="007C08AF">
        <w:rPr>
          <w:rFonts w:ascii="Arial" w:eastAsia="Arial" w:hAnsi="Arial" w:cs="Arial"/>
        </w:rPr>
        <w:t xml:space="preserve"> (RTDs</w:t>
      </w:r>
      <w:r>
        <w:rPr>
          <w:rFonts w:ascii="Arial" w:eastAsia="Arial" w:hAnsi="Arial" w:cs="Arial"/>
        </w:rPr>
        <w:t>)</w:t>
      </w:r>
      <w:r>
        <w:rPr>
          <w:rFonts w:ascii="Arial" w:hAnsi="Arial" w:cs="Arial"/>
          <w:snapToGrid w:val="0"/>
        </w:rPr>
        <w:t xml:space="preserve">. </w:t>
      </w:r>
    </w:p>
    <w:p w14:paraId="4AB61F0D" w14:textId="6F5737A3" w:rsidR="00DA20AD" w:rsidRPr="00250CC3" w:rsidRDefault="00DA20AD" w:rsidP="00AE30CE">
      <w:pPr>
        <w:spacing w:before="120" w:after="240"/>
        <w:rPr>
          <w:rFonts w:ascii="Arial" w:hAnsi="Arial" w:cs="Arial"/>
          <w:snapToGrid w:val="0"/>
        </w:rPr>
      </w:pPr>
      <w:r>
        <w:rPr>
          <w:rFonts w:ascii="Arial" w:hAnsi="Arial" w:cs="Arial"/>
          <w:snapToGrid w:val="0"/>
        </w:rPr>
        <w:t xml:space="preserve">Packaged </w:t>
      </w:r>
      <w:r w:rsidRPr="00197D57">
        <w:rPr>
          <w:rFonts w:ascii="Arial" w:hAnsi="Arial" w:cs="Arial"/>
          <w:snapToGrid w:val="0"/>
        </w:rPr>
        <w:t>alcoholic beverages</w:t>
      </w:r>
      <w:r>
        <w:rPr>
          <w:rFonts w:ascii="Arial" w:hAnsi="Arial" w:cs="Arial"/>
          <w:snapToGrid w:val="0"/>
        </w:rPr>
        <w:t xml:space="preserve"> </w:t>
      </w:r>
      <w:r w:rsidR="00364195">
        <w:rPr>
          <w:rFonts w:ascii="Arial" w:hAnsi="Arial" w:cs="Arial"/>
          <w:snapToGrid w:val="0"/>
        </w:rPr>
        <w:t xml:space="preserve">in scope of P1059 </w:t>
      </w:r>
      <w:r>
        <w:rPr>
          <w:rFonts w:ascii="Arial" w:hAnsi="Arial" w:cs="Arial"/>
          <w:snapToGrid w:val="0"/>
        </w:rPr>
        <w:t xml:space="preserve">are </w:t>
      </w:r>
      <w:r w:rsidR="00E06EE5">
        <w:rPr>
          <w:rFonts w:ascii="Arial" w:hAnsi="Arial" w:cs="Arial"/>
          <w:snapToGrid w:val="0"/>
        </w:rPr>
        <w:t>normally</w:t>
      </w:r>
      <w:r w:rsidRPr="00690CD1">
        <w:rPr>
          <w:rFonts w:ascii="Arial" w:hAnsi="Arial" w:cs="Arial"/>
          <w:snapToGrid w:val="0"/>
        </w:rPr>
        <w:t xml:space="preserve"> </w:t>
      </w:r>
      <w:r w:rsidR="00E06EE5">
        <w:rPr>
          <w:rFonts w:ascii="Arial" w:hAnsi="Arial" w:cs="Arial"/>
          <w:snapToGrid w:val="0"/>
        </w:rPr>
        <w:t>in</w:t>
      </w:r>
      <w:r>
        <w:rPr>
          <w:rFonts w:ascii="Arial" w:hAnsi="Arial" w:cs="Arial"/>
          <w:b/>
          <w:bCs/>
          <w:snapToGrid w:val="0"/>
        </w:rPr>
        <w:t xml:space="preserve"> </w:t>
      </w:r>
      <w:r>
        <w:rPr>
          <w:rFonts w:ascii="Arial" w:hAnsi="Arial" w:cs="Arial"/>
          <w:snapToGrid w:val="0"/>
        </w:rPr>
        <w:t xml:space="preserve">bottles, cans, casks, boxes, or multi-packs. Such alcoholic beverages are often sold in bottle stores, </w:t>
      </w:r>
      <w:r w:rsidR="001257F1">
        <w:rPr>
          <w:rFonts w:ascii="Arial" w:hAnsi="Arial" w:cs="Arial"/>
          <w:snapToGrid w:val="0"/>
        </w:rPr>
        <w:t>li</w:t>
      </w:r>
      <w:r w:rsidR="001871ED">
        <w:rPr>
          <w:rFonts w:ascii="Arial" w:hAnsi="Arial" w:cs="Arial"/>
          <w:snapToGrid w:val="0"/>
        </w:rPr>
        <w:t>qu</w:t>
      </w:r>
      <w:r w:rsidR="001257F1">
        <w:rPr>
          <w:rFonts w:ascii="Arial" w:hAnsi="Arial" w:cs="Arial"/>
          <w:snapToGrid w:val="0"/>
        </w:rPr>
        <w:t xml:space="preserve">or stores, </w:t>
      </w:r>
      <w:r>
        <w:rPr>
          <w:rFonts w:ascii="Arial" w:hAnsi="Arial" w:cs="Arial"/>
          <w:snapToGrid w:val="0"/>
        </w:rPr>
        <w:t xml:space="preserve">other shops and online. </w:t>
      </w:r>
    </w:p>
    <w:p w14:paraId="0C056A38" w14:textId="3FBCD0BF" w:rsidR="00CD7EE5" w:rsidRDefault="00F5546A" w:rsidP="6A15B411">
      <w:pPr>
        <w:rPr>
          <w:rFonts w:ascii="Arial" w:hAnsi="Arial" w:cs="Arial"/>
          <w:snapToGrid w:val="0"/>
        </w:rPr>
      </w:pPr>
      <w:r w:rsidRPr="6A15B411">
        <w:rPr>
          <w:rFonts w:ascii="Arial" w:hAnsi="Arial" w:cs="Arial"/>
          <w:snapToGrid w:val="0"/>
        </w:rPr>
        <w:t xml:space="preserve">Alcoholic beverages are not within scope of </w:t>
      </w:r>
      <w:r w:rsidR="00AF3FAB" w:rsidRPr="6A15B411">
        <w:rPr>
          <w:rFonts w:ascii="Arial" w:hAnsi="Arial" w:cs="Arial"/>
          <w:snapToGrid w:val="0"/>
        </w:rPr>
        <w:t xml:space="preserve">the changes proposed under </w:t>
      </w:r>
      <w:r w:rsidRPr="6A15B411">
        <w:rPr>
          <w:rFonts w:ascii="Arial" w:hAnsi="Arial" w:cs="Arial"/>
          <w:snapToGrid w:val="0"/>
        </w:rPr>
        <w:t xml:space="preserve">P1059 if </w:t>
      </w:r>
      <w:r w:rsidR="00BD39AB" w:rsidRPr="6A15B411">
        <w:rPr>
          <w:rFonts w:ascii="Arial" w:hAnsi="Arial" w:cs="Arial"/>
          <w:snapToGrid w:val="0"/>
        </w:rPr>
        <w:t xml:space="preserve">sold ready for </w:t>
      </w:r>
      <w:r w:rsidRPr="6A15B411">
        <w:rPr>
          <w:rFonts w:ascii="Arial" w:hAnsi="Arial" w:cs="Arial"/>
          <w:snapToGrid w:val="0"/>
        </w:rPr>
        <w:t xml:space="preserve">immediate </w:t>
      </w:r>
      <w:r w:rsidR="00BD39AB" w:rsidRPr="6A15B411">
        <w:rPr>
          <w:rFonts w:ascii="Arial" w:hAnsi="Arial" w:cs="Arial"/>
          <w:snapToGrid w:val="0"/>
        </w:rPr>
        <w:t xml:space="preserve">consumption or packaged in </w:t>
      </w:r>
      <w:r w:rsidRPr="6A15B411">
        <w:rPr>
          <w:rFonts w:ascii="Arial" w:hAnsi="Arial" w:cs="Arial"/>
          <w:snapToGrid w:val="0"/>
        </w:rPr>
        <w:t>the p</w:t>
      </w:r>
      <w:r w:rsidR="00BD39AB" w:rsidRPr="6A15B411">
        <w:rPr>
          <w:rFonts w:ascii="Arial" w:hAnsi="Arial" w:cs="Arial"/>
          <w:snapToGrid w:val="0"/>
        </w:rPr>
        <w:t xml:space="preserve">resence of </w:t>
      </w:r>
      <w:r w:rsidR="008F6C7E" w:rsidRPr="6A15B411">
        <w:rPr>
          <w:rFonts w:ascii="Arial" w:hAnsi="Arial" w:cs="Arial"/>
          <w:snapToGrid w:val="0"/>
        </w:rPr>
        <w:t xml:space="preserve">the </w:t>
      </w:r>
      <w:r w:rsidR="00BD39AB" w:rsidRPr="6A15B411">
        <w:rPr>
          <w:rFonts w:ascii="Arial" w:hAnsi="Arial" w:cs="Arial"/>
          <w:snapToGrid w:val="0"/>
        </w:rPr>
        <w:t>purchaser</w:t>
      </w:r>
      <w:r w:rsidRPr="6A15B411">
        <w:rPr>
          <w:rFonts w:ascii="Arial" w:hAnsi="Arial" w:cs="Arial"/>
          <w:snapToGrid w:val="0"/>
        </w:rPr>
        <w:t>. For instance,</w:t>
      </w:r>
      <w:r w:rsidR="00BD39AB" w:rsidRPr="6A15B411">
        <w:rPr>
          <w:rFonts w:ascii="Arial" w:hAnsi="Arial" w:cs="Arial"/>
          <w:snapToGrid w:val="0"/>
        </w:rPr>
        <w:t xml:space="preserve"> </w:t>
      </w:r>
      <w:r w:rsidR="00E17C2E" w:rsidRPr="6A15B411">
        <w:rPr>
          <w:rFonts w:ascii="Arial" w:hAnsi="Arial" w:cs="Arial"/>
          <w:snapToGrid w:val="0"/>
        </w:rPr>
        <w:t>a gl</w:t>
      </w:r>
      <w:r w:rsidR="00BD39AB" w:rsidRPr="6A15B411">
        <w:rPr>
          <w:rFonts w:ascii="Arial" w:hAnsi="Arial" w:cs="Arial"/>
          <w:snapToGrid w:val="0"/>
        </w:rPr>
        <w:t xml:space="preserve">ass of </w:t>
      </w:r>
      <w:r w:rsidR="00E17C2E" w:rsidRPr="6A15B411">
        <w:rPr>
          <w:rFonts w:ascii="Arial" w:hAnsi="Arial" w:cs="Arial"/>
          <w:snapToGrid w:val="0"/>
        </w:rPr>
        <w:lastRenderedPageBreak/>
        <w:t>wine, beer, cider, cocktail or other alcoholic beverage served for immediate consumptio</w:t>
      </w:r>
      <w:r w:rsidR="00890483" w:rsidRPr="6A15B411">
        <w:rPr>
          <w:rFonts w:ascii="Arial" w:hAnsi="Arial" w:cs="Arial"/>
          <w:snapToGrid w:val="0"/>
        </w:rPr>
        <w:t>n</w:t>
      </w:r>
      <w:r w:rsidR="00E17C2E" w:rsidRPr="6A15B411">
        <w:rPr>
          <w:rFonts w:ascii="Arial" w:hAnsi="Arial" w:cs="Arial"/>
          <w:snapToGrid w:val="0"/>
        </w:rPr>
        <w:t xml:space="preserve"> </w:t>
      </w:r>
      <w:r w:rsidR="00BD39AB" w:rsidRPr="6A15B411">
        <w:rPr>
          <w:rFonts w:ascii="Arial" w:hAnsi="Arial" w:cs="Arial"/>
          <w:snapToGrid w:val="0"/>
        </w:rPr>
        <w:t>in a bar, restaurant or café</w:t>
      </w:r>
      <w:r w:rsidR="00E17C2E" w:rsidRPr="6A15B411">
        <w:rPr>
          <w:rFonts w:ascii="Arial" w:hAnsi="Arial" w:cs="Arial"/>
          <w:snapToGrid w:val="0"/>
        </w:rPr>
        <w:t>.</w:t>
      </w:r>
    </w:p>
    <w:p w14:paraId="03602FD7" w14:textId="43832BA1" w:rsidR="0061202A" w:rsidRPr="005F5F13" w:rsidRDefault="000E2050" w:rsidP="005F5F13">
      <w:pPr>
        <w:pStyle w:val="Heading3"/>
        <w:spacing w:after="160"/>
        <w:rPr>
          <w:snapToGrid w:val="0"/>
        </w:rPr>
      </w:pPr>
      <w:bookmarkStart w:id="10" w:name="_Toc194475987"/>
      <w:r>
        <w:rPr>
          <w:snapToGrid w:val="0"/>
        </w:rPr>
        <w:t>1.3</w:t>
      </w:r>
      <w:r>
        <w:rPr>
          <w:snapToGrid w:val="0"/>
        </w:rPr>
        <w:tab/>
      </w:r>
      <w:r w:rsidR="00AC245A" w:rsidRPr="005F5F13">
        <w:rPr>
          <w:snapToGrid w:val="0"/>
        </w:rPr>
        <w:t xml:space="preserve">Industry </w:t>
      </w:r>
      <w:r w:rsidR="007F56A7" w:rsidRPr="005F5F13">
        <w:rPr>
          <w:snapToGrid w:val="0"/>
        </w:rPr>
        <w:t>overview</w:t>
      </w:r>
      <w:bookmarkEnd w:id="10"/>
    </w:p>
    <w:p w14:paraId="277C9A92" w14:textId="488F0B83" w:rsidR="00EF608E" w:rsidRDefault="00EF608E" w:rsidP="00B02871">
      <w:pPr>
        <w:rPr>
          <w:rFonts w:ascii="Arial" w:hAnsi="Arial" w:cs="Arial"/>
          <w:snapToGrid w:val="0"/>
        </w:rPr>
      </w:pPr>
      <w:r>
        <w:rPr>
          <w:rFonts w:ascii="Arial" w:eastAsia="Arial" w:hAnsi="Arial" w:cs="Arial"/>
        </w:rPr>
        <w:t xml:space="preserve">Like other packaged food products, alcoholic beverages have unique Stock Keeping Units </w:t>
      </w:r>
      <w:r w:rsidR="00537FE1">
        <w:rPr>
          <w:rFonts w:ascii="Arial" w:eastAsia="Arial" w:hAnsi="Arial" w:cs="Arial"/>
        </w:rPr>
        <w:t>(</w:t>
      </w:r>
      <w:r>
        <w:rPr>
          <w:rFonts w:ascii="Arial" w:eastAsia="Arial" w:hAnsi="Arial" w:cs="Arial"/>
        </w:rPr>
        <w:t>SKUs</w:t>
      </w:r>
      <w:r w:rsidR="00537FE1">
        <w:rPr>
          <w:rFonts w:ascii="Arial" w:eastAsia="Arial" w:hAnsi="Arial" w:cs="Arial"/>
        </w:rPr>
        <w:t>)</w:t>
      </w:r>
      <w:r>
        <w:rPr>
          <w:rFonts w:ascii="Arial" w:eastAsia="Arial" w:hAnsi="Arial" w:cs="Arial"/>
        </w:rPr>
        <w:t xml:space="preserve">. </w:t>
      </w:r>
      <w:r>
        <w:rPr>
          <w:rFonts w:ascii="Arial" w:hAnsi="Arial" w:cs="Arial"/>
          <w:snapToGrid w:val="0"/>
        </w:rPr>
        <w:t>One</w:t>
      </w:r>
      <w:r w:rsidRPr="004424ED">
        <w:rPr>
          <w:rFonts w:ascii="Arial" w:hAnsi="Arial" w:cs="Arial"/>
          <w:snapToGrid w:val="0"/>
        </w:rPr>
        <w:t xml:space="preserve"> SKU covers all containers with the same unique package type, shape, size, brand, contents, and vintage</w:t>
      </w:r>
      <w:r>
        <w:rPr>
          <w:rFonts w:ascii="Arial" w:hAnsi="Arial" w:cs="Arial"/>
          <w:snapToGrid w:val="0"/>
        </w:rPr>
        <w:t>.</w:t>
      </w:r>
      <w:r w:rsidR="00DC616F">
        <w:rPr>
          <w:rFonts w:ascii="Arial" w:hAnsi="Arial" w:cs="Arial"/>
          <w:snapToGrid w:val="0"/>
        </w:rPr>
        <w:t xml:space="preserve"> For instance:</w:t>
      </w:r>
    </w:p>
    <w:p w14:paraId="3E22B9D4" w14:textId="59709E1A" w:rsidR="00DC616F" w:rsidRPr="006E3E56" w:rsidRDefault="00DC616F" w:rsidP="00CE3140">
      <w:pPr>
        <w:pStyle w:val="FSBullet1"/>
        <w:numPr>
          <w:ilvl w:val="0"/>
          <w:numId w:val="4"/>
        </w:numPr>
        <w:spacing w:after="0"/>
        <w:rPr>
          <w:rFonts w:eastAsiaTheme="minorHAnsi"/>
          <w:snapToGrid w:val="0"/>
          <w:color w:val="auto"/>
          <w:szCs w:val="22"/>
          <w:lang w:val="en-NZ"/>
          <w14:ligatures w14:val="standardContextual"/>
        </w:rPr>
      </w:pPr>
      <w:r w:rsidRPr="006E3E56">
        <w:rPr>
          <w:rFonts w:eastAsiaTheme="minorHAnsi"/>
          <w:snapToGrid w:val="0"/>
          <w:color w:val="auto"/>
          <w:szCs w:val="22"/>
          <w:lang w:val="en-NZ"/>
          <w14:ligatures w14:val="standardContextual"/>
        </w:rPr>
        <w:t xml:space="preserve">all 750 mL bottles of the same merlot </w:t>
      </w:r>
      <w:r w:rsidR="00537FE1" w:rsidRPr="006E3E56">
        <w:rPr>
          <w:rFonts w:eastAsiaTheme="minorHAnsi"/>
          <w:snapToGrid w:val="0"/>
          <w:color w:val="auto"/>
          <w:szCs w:val="22"/>
          <w:lang w:val="en-NZ"/>
          <w14:ligatures w14:val="standardContextual"/>
        </w:rPr>
        <w:t xml:space="preserve">red </w:t>
      </w:r>
      <w:r w:rsidRPr="006E3E56">
        <w:rPr>
          <w:rFonts w:eastAsiaTheme="minorHAnsi"/>
          <w:snapToGrid w:val="0"/>
          <w:color w:val="auto"/>
          <w:szCs w:val="22"/>
          <w:lang w:val="en-NZ"/>
          <w14:ligatures w14:val="standardContextual"/>
        </w:rPr>
        <w:t xml:space="preserve">wine, produced by the same company </w:t>
      </w:r>
      <w:r w:rsidR="00537FE1">
        <w:rPr>
          <w:rFonts w:eastAsiaTheme="minorHAnsi"/>
          <w:snapToGrid w:val="0"/>
          <w:color w:val="auto"/>
          <w:szCs w:val="22"/>
          <w:lang w:val="en-NZ"/>
          <w14:ligatures w14:val="standardContextual"/>
        </w:rPr>
        <w:t>and</w:t>
      </w:r>
      <w:r w:rsidRPr="006E3E56">
        <w:rPr>
          <w:rFonts w:eastAsiaTheme="minorHAnsi"/>
          <w:snapToGrid w:val="0"/>
          <w:color w:val="auto"/>
          <w:szCs w:val="22"/>
          <w:lang w:val="en-NZ"/>
          <w14:ligatures w14:val="standardContextual"/>
        </w:rPr>
        <w:t xml:space="preserve"> brand in the same year (different SKU to a merlot wine produced by the same company in the same year but of</w:t>
      </w:r>
      <w:r w:rsidR="005F6BDB">
        <w:rPr>
          <w:rFonts w:eastAsiaTheme="minorHAnsi"/>
          <w:snapToGrid w:val="0"/>
          <w:color w:val="auto"/>
          <w:szCs w:val="22"/>
          <w:lang w:val="en-NZ"/>
          <w14:ligatures w14:val="standardContextual"/>
        </w:rPr>
        <w:t xml:space="preserve"> say</w:t>
      </w:r>
      <w:r w:rsidRPr="006E3E56">
        <w:rPr>
          <w:rFonts w:eastAsiaTheme="minorHAnsi"/>
          <w:snapToGrid w:val="0"/>
          <w:color w:val="auto"/>
          <w:szCs w:val="22"/>
          <w:lang w:val="en-NZ"/>
          <w14:ligatures w14:val="standardContextual"/>
        </w:rPr>
        <w:t xml:space="preserve"> a different size at 375mL); and </w:t>
      </w:r>
    </w:p>
    <w:p w14:paraId="09AEC3A0" w14:textId="1BC74962" w:rsidR="00DC616F" w:rsidRDefault="00DC616F" w:rsidP="00B02871">
      <w:pPr>
        <w:pStyle w:val="FSBullet1"/>
        <w:numPr>
          <w:ilvl w:val="0"/>
          <w:numId w:val="4"/>
        </w:numPr>
        <w:spacing w:after="0"/>
        <w:rPr>
          <w:rFonts w:eastAsiaTheme="minorHAnsi"/>
          <w:snapToGrid w:val="0"/>
          <w:color w:val="auto"/>
          <w:szCs w:val="22"/>
          <w:lang w:val="en-NZ"/>
          <w14:ligatures w14:val="standardContextual"/>
        </w:rPr>
      </w:pPr>
      <w:r w:rsidRPr="006E3E56">
        <w:rPr>
          <w:rFonts w:eastAsiaTheme="minorHAnsi"/>
          <w:snapToGrid w:val="0"/>
          <w:color w:val="auto"/>
          <w:szCs w:val="22"/>
          <w:lang w:val="en-NZ"/>
          <w14:ligatures w14:val="standardContextual"/>
        </w:rPr>
        <w:t xml:space="preserve">all 330 mL cans of the same </w:t>
      </w:r>
      <w:r>
        <w:rPr>
          <w:rFonts w:eastAsiaTheme="minorHAnsi"/>
          <w:snapToGrid w:val="0"/>
          <w:color w:val="auto"/>
          <w:szCs w:val="22"/>
          <w:lang w:val="en-NZ"/>
          <w14:ligatures w14:val="standardContextual"/>
        </w:rPr>
        <w:t>beer</w:t>
      </w:r>
      <w:r w:rsidRPr="006E3E56">
        <w:rPr>
          <w:rFonts w:eastAsiaTheme="minorHAnsi"/>
          <w:snapToGrid w:val="0"/>
          <w:color w:val="auto"/>
          <w:szCs w:val="22"/>
          <w:lang w:val="en-NZ"/>
          <w14:ligatures w14:val="standardContextual"/>
        </w:rPr>
        <w:t>, of the same shape, produced by the same company.</w:t>
      </w:r>
    </w:p>
    <w:p w14:paraId="7B852442" w14:textId="77777777" w:rsidR="00F70A13" w:rsidRPr="00F70A13" w:rsidRDefault="00F70A13" w:rsidP="00F70A13">
      <w:pPr>
        <w:spacing w:after="0" w:line="240" w:lineRule="auto"/>
        <w:rPr>
          <w:lang w:val="en-NZ"/>
        </w:rPr>
      </w:pPr>
    </w:p>
    <w:p w14:paraId="5C39107B" w14:textId="79911E21" w:rsidR="00B02871" w:rsidRDefault="00B02871" w:rsidP="6A15B411">
      <w:pPr>
        <w:rPr>
          <w:rFonts w:ascii="Arial" w:eastAsia="Arial" w:hAnsi="Arial" w:cs="Arial"/>
        </w:rPr>
      </w:pPr>
      <w:r w:rsidRPr="6A15B411">
        <w:rPr>
          <w:rFonts w:ascii="Arial" w:eastAsia="Arial" w:hAnsi="Arial" w:cs="Arial"/>
        </w:rPr>
        <w:t xml:space="preserve">FSANZ estimates that 71,269 packaged alcoholic beverage SKUs are sold across Australia and New Zealand </w:t>
      </w:r>
      <w:r w:rsidR="0029319A" w:rsidRPr="6A15B411">
        <w:rPr>
          <w:rFonts w:ascii="Arial" w:eastAsia="Arial" w:hAnsi="Arial" w:cs="Arial"/>
        </w:rPr>
        <w:t xml:space="preserve">annually </w:t>
      </w:r>
      <w:r w:rsidRPr="6A15B411">
        <w:rPr>
          <w:rFonts w:ascii="Arial" w:eastAsia="Arial" w:hAnsi="Arial" w:cs="Arial"/>
        </w:rPr>
        <w:t>(see Appendix A for further information).</w:t>
      </w:r>
      <w:r w:rsidR="00242550" w:rsidRPr="6A15B411">
        <w:rPr>
          <w:rFonts w:ascii="Arial" w:eastAsia="Arial" w:hAnsi="Arial" w:cs="Arial"/>
        </w:rPr>
        <w:t xml:space="preserve"> </w:t>
      </w:r>
      <w:r w:rsidR="008E1950" w:rsidRPr="6A15B411">
        <w:rPr>
          <w:rFonts w:ascii="Arial" w:eastAsia="Arial" w:hAnsi="Arial" w:cs="Arial"/>
        </w:rPr>
        <w:t xml:space="preserve">This </w:t>
      </w:r>
      <w:r w:rsidR="003D3177" w:rsidRPr="6A15B411">
        <w:rPr>
          <w:rFonts w:ascii="Arial" w:eastAsia="Arial" w:hAnsi="Arial" w:cs="Arial"/>
        </w:rPr>
        <w:t>exclude</w:t>
      </w:r>
      <w:r w:rsidR="008E1950" w:rsidRPr="6A15B411">
        <w:rPr>
          <w:rFonts w:ascii="Arial" w:eastAsia="Arial" w:hAnsi="Arial" w:cs="Arial"/>
        </w:rPr>
        <w:t>s</w:t>
      </w:r>
      <w:r w:rsidR="003D3177" w:rsidRPr="6A15B411">
        <w:rPr>
          <w:rFonts w:ascii="Arial" w:eastAsia="Arial" w:hAnsi="Arial" w:cs="Arial"/>
        </w:rPr>
        <w:t xml:space="preserve"> </w:t>
      </w:r>
      <w:r w:rsidR="009640AD" w:rsidRPr="6A15B411">
        <w:rPr>
          <w:rFonts w:ascii="Arial" w:eastAsia="Arial" w:hAnsi="Arial" w:cs="Arial"/>
        </w:rPr>
        <w:t xml:space="preserve">brewed </w:t>
      </w:r>
      <w:r w:rsidR="00104CD7" w:rsidRPr="6A15B411">
        <w:rPr>
          <w:rFonts w:ascii="Arial" w:eastAsia="Arial" w:hAnsi="Arial" w:cs="Arial"/>
        </w:rPr>
        <w:t>so</w:t>
      </w:r>
      <w:r w:rsidR="00416713" w:rsidRPr="6A15B411">
        <w:rPr>
          <w:rFonts w:ascii="Arial" w:eastAsia="Arial" w:hAnsi="Arial" w:cs="Arial"/>
        </w:rPr>
        <w:t xml:space="preserve">ft drinks SKUs </w:t>
      </w:r>
      <w:r w:rsidR="00177537" w:rsidRPr="6A15B411">
        <w:rPr>
          <w:rFonts w:ascii="Arial" w:eastAsia="Arial" w:hAnsi="Arial" w:cs="Arial"/>
        </w:rPr>
        <w:t xml:space="preserve">with alcohol </w:t>
      </w:r>
      <w:r w:rsidR="00F6209B" w:rsidRPr="6A15B411">
        <w:rPr>
          <w:rFonts w:ascii="Arial" w:eastAsia="Arial" w:hAnsi="Arial" w:cs="Arial"/>
        </w:rPr>
        <w:t xml:space="preserve">&gt;0.5% ABV </w:t>
      </w:r>
      <w:r w:rsidR="00416713" w:rsidRPr="6A15B411">
        <w:rPr>
          <w:rFonts w:ascii="Arial" w:eastAsia="Arial" w:hAnsi="Arial" w:cs="Arial"/>
        </w:rPr>
        <w:t xml:space="preserve">that </w:t>
      </w:r>
      <w:r w:rsidR="00640372" w:rsidRPr="6A15B411">
        <w:rPr>
          <w:rFonts w:ascii="Arial" w:eastAsia="Arial" w:hAnsi="Arial" w:cs="Arial"/>
        </w:rPr>
        <w:t>would be affected by</w:t>
      </w:r>
      <w:r w:rsidR="00AF1968" w:rsidRPr="6A15B411">
        <w:rPr>
          <w:rFonts w:ascii="Arial" w:eastAsia="Arial" w:hAnsi="Arial" w:cs="Arial"/>
        </w:rPr>
        <w:t xml:space="preserve"> P1059</w:t>
      </w:r>
      <w:r w:rsidR="00C72FEA" w:rsidRPr="6A15B411">
        <w:rPr>
          <w:rFonts w:ascii="Arial" w:eastAsia="Arial" w:hAnsi="Arial" w:cs="Arial"/>
        </w:rPr>
        <w:t>.</w:t>
      </w:r>
      <w:r w:rsidR="00312625" w:rsidRPr="6A15B411">
        <w:rPr>
          <w:rFonts w:ascii="Arial" w:eastAsia="Arial" w:hAnsi="Arial" w:cs="Arial"/>
        </w:rPr>
        <w:t xml:space="preserve"> It is assumed that the number of such </w:t>
      </w:r>
      <w:r w:rsidR="00794E13" w:rsidRPr="6A15B411">
        <w:rPr>
          <w:rFonts w:ascii="Arial" w:eastAsia="Arial" w:hAnsi="Arial" w:cs="Arial"/>
        </w:rPr>
        <w:t>brewed</w:t>
      </w:r>
      <w:r w:rsidR="000071E5" w:rsidRPr="6A15B411">
        <w:rPr>
          <w:rFonts w:ascii="Arial" w:eastAsia="Arial" w:hAnsi="Arial" w:cs="Arial"/>
        </w:rPr>
        <w:t xml:space="preserve"> </w:t>
      </w:r>
      <w:r w:rsidR="00794E13" w:rsidRPr="6A15B411">
        <w:rPr>
          <w:rFonts w:ascii="Arial" w:eastAsia="Arial" w:hAnsi="Arial" w:cs="Arial"/>
        </w:rPr>
        <w:t>soft drinks is relatively small</w:t>
      </w:r>
      <w:r w:rsidR="000A79BE" w:rsidRPr="6A15B411">
        <w:rPr>
          <w:rFonts w:ascii="Arial" w:eastAsia="Arial" w:hAnsi="Arial" w:cs="Arial"/>
        </w:rPr>
        <w:t>.</w:t>
      </w:r>
      <w:r w:rsidR="00C72FEA" w:rsidRPr="6A15B411">
        <w:rPr>
          <w:rFonts w:ascii="Arial" w:eastAsia="Arial" w:hAnsi="Arial" w:cs="Arial"/>
        </w:rPr>
        <w:t xml:space="preserve"> </w:t>
      </w:r>
      <w:r w:rsidR="00640372" w:rsidRPr="6A15B411">
        <w:rPr>
          <w:rFonts w:ascii="Arial" w:eastAsia="Arial" w:hAnsi="Arial" w:cs="Arial"/>
        </w:rPr>
        <w:t xml:space="preserve"> </w:t>
      </w:r>
    </w:p>
    <w:p w14:paraId="0CD670DB" w14:textId="582E47AF" w:rsidR="00903137" w:rsidRDefault="00903137" w:rsidP="6A15B411">
      <w:pPr>
        <w:rPr>
          <w:rFonts w:ascii="Arial" w:eastAsia="Arial" w:hAnsi="Arial" w:cs="Arial"/>
        </w:rPr>
      </w:pPr>
      <w:r w:rsidRPr="6A15B411">
        <w:rPr>
          <w:rFonts w:ascii="Arial" w:eastAsia="Arial" w:hAnsi="Arial" w:cs="Arial"/>
        </w:rPr>
        <w:t xml:space="preserve">In 2023, total revenue for alcoholic beverage manufacturing was estimated at </w:t>
      </w:r>
      <w:r w:rsidR="00080E10" w:rsidRPr="6A15B411">
        <w:rPr>
          <w:rFonts w:ascii="Arial" w:eastAsia="Arial" w:hAnsi="Arial" w:cs="Arial"/>
        </w:rPr>
        <w:t xml:space="preserve">AU </w:t>
      </w:r>
      <w:r w:rsidRPr="6A15B411">
        <w:rPr>
          <w:rFonts w:ascii="Arial" w:eastAsia="Arial" w:hAnsi="Arial" w:cs="Arial"/>
        </w:rPr>
        <w:t>$20 billion to $22</w:t>
      </w:r>
      <w:r w:rsidR="001F2C7C" w:rsidRPr="6A15B411">
        <w:rPr>
          <w:rFonts w:ascii="Arial" w:eastAsia="Arial" w:hAnsi="Arial" w:cs="Arial"/>
        </w:rPr>
        <w:t> </w:t>
      </w:r>
      <w:r w:rsidRPr="6A15B411">
        <w:rPr>
          <w:rFonts w:ascii="Arial" w:eastAsia="Arial" w:hAnsi="Arial" w:cs="Arial"/>
        </w:rPr>
        <w:t>billion a year across Australia and New Zealand</w:t>
      </w:r>
      <w:r w:rsidR="00EB6833" w:rsidRPr="6A15B411">
        <w:rPr>
          <w:rStyle w:val="FootnoteReference"/>
          <w:rFonts w:ascii="Arial" w:eastAsia="Arial" w:hAnsi="Arial" w:cs="Arial"/>
        </w:rPr>
        <w:footnoteReference w:id="6"/>
      </w:r>
      <w:r w:rsidR="00B13D16" w:rsidRPr="6A15B411">
        <w:rPr>
          <w:rFonts w:ascii="Arial" w:eastAsia="Arial" w:hAnsi="Arial" w:cs="Arial"/>
        </w:rPr>
        <w:t xml:space="preserve">. </w:t>
      </w:r>
      <w:r w:rsidR="00937C57" w:rsidRPr="6A15B411">
        <w:rPr>
          <w:rFonts w:ascii="Arial" w:eastAsia="Arial" w:hAnsi="Arial" w:cs="Arial"/>
        </w:rPr>
        <w:t>Figure 1-1</w:t>
      </w:r>
      <w:r w:rsidRPr="6A15B411">
        <w:rPr>
          <w:rFonts w:ascii="Arial" w:eastAsia="Arial" w:hAnsi="Arial" w:cs="Arial"/>
        </w:rPr>
        <w:t xml:space="preserve"> shows the estimated composition of total revenue by beverage type.</w:t>
      </w:r>
    </w:p>
    <w:p w14:paraId="7E5F3CA5" w14:textId="44B2E258" w:rsidR="00B13D16" w:rsidRPr="00E177C5" w:rsidRDefault="000714D4" w:rsidP="00DC1FFC">
      <w:pPr>
        <w:rPr>
          <w:rFonts w:ascii="Arial" w:eastAsia="Arial" w:hAnsi="Arial" w:cs="Arial"/>
          <w:b/>
          <w:bCs/>
        </w:rPr>
      </w:pPr>
      <w:r>
        <w:rPr>
          <w:rFonts w:ascii="Arial" w:eastAsia="Arial" w:hAnsi="Arial" w:cs="Arial"/>
          <w:b/>
          <w:bCs/>
        </w:rPr>
        <w:t xml:space="preserve">Figure 1-1 </w:t>
      </w:r>
      <w:r w:rsidR="00B13D16" w:rsidRPr="00E177C5">
        <w:rPr>
          <w:rFonts w:ascii="Arial" w:eastAsia="Arial" w:hAnsi="Arial" w:cs="Arial"/>
          <w:b/>
          <w:bCs/>
        </w:rPr>
        <w:t>Estimated percentages of total manufacturing industry revenues by broad sector of alcoholic beverage</w:t>
      </w:r>
      <w:r w:rsidR="005C309B">
        <w:rPr>
          <w:rFonts w:ascii="Arial" w:eastAsia="Arial" w:hAnsi="Arial" w:cs="Arial"/>
          <w:b/>
          <w:bCs/>
        </w:rPr>
        <w:t xml:space="preserve"> in </w:t>
      </w:r>
      <w:r w:rsidR="005D6070">
        <w:rPr>
          <w:rFonts w:ascii="Arial" w:eastAsia="Arial" w:hAnsi="Arial" w:cs="Arial"/>
          <w:b/>
          <w:bCs/>
        </w:rPr>
        <w:t>20</w:t>
      </w:r>
      <w:r w:rsidR="005C309B">
        <w:rPr>
          <w:rFonts w:ascii="Arial" w:eastAsia="Arial" w:hAnsi="Arial" w:cs="Arial"/>
          <w:b/>
          <w:bCs/>
        </w:rPr>
        <w:t>23</w:t>
      </w:r>
    </w:p>
    <w:p w14:paraId="5BA4D0AD" w14:textId="155B6D0F" w:rsidR="00414973" w:rsidRDefault="005C096D" w:rsidP="002F22BA">
      <w:pPr>
        <w:rPr>
          <w:rFonts w:ascii="Arial" w:hAnsi="Arial" w:cs="Arial"/>
          <w:snapToGrid w:val="0"/>
          <w:lang w:bidi="en-US"/>
        </w:rPr>
      </w:pPr>
      <w:r>
        <w:rPr>
          <w:rFonts w:ascii="Arial" w:hAnsi="Arial" w:cs="Arial"/>
          <w:noProof/>
          <w:snapToGrid w:val="0"/>
          <w:lang w:val="en-AU" w:eastAsia="en-AU"/>
        </w:rPr>
        <w:drawing>
          <wp:inline distT="0" distB="0" distL="0" distR="0" wp14:anchorId="291132F6" wp14:editId="6F738494">
            <wp:extent cx="4998720" cy="3467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8720" cy="3467100"/>
                    </a:xfrm>
                    <a:prstGeom prst="rect">
                      <a:avLst/>
                    </a:prstGeom>
                    <a:noFill/>
                  </pic:spPr>
                </pic:pic>
              </a:graphicData>
            </a:graphic>
          </wp:inline>
        </w:drawing>
      </w:r>
    </w:p>
    <w:p w14:paraId="145CDDED" w14:textId="0AAAF5D0" w:rsidR="00DC616F" w:rsidRPr="00414973" w:rsidRDefault="007E0047" w:rsidP="6A15B411">
      <w:pPr>
        <w:rPr>
          <w:rFonts w:ascii="Arial" w:hAnsi="Arial" w:cs="Arial"/>
          <w:snapToGrid w:val="0"/>
          <w:lang w:bidi="en-US"/>
        </w:rPr>
      </w:pPr>
      <w:r w:rsidRPr="6A15B411">
        <w:rPr>
          <w:rFonts w:ascii="Arial" w:eastAsia="Arial" w:hAnsi="Arial" w:cs="Arial"/>
        </w:rPr>
        <w:lastRenderedPageBreak/>
        <w:t>Over the last 10 years</w:t>
      </w:r>
      <w:r w:rsidR="00ED6D1D" w:rsidRPr="6A15B411">
        <w:rPr>
          <w:rFonts w:ascii="Arial" w:eastAsia="Arial" w:hAnsi="Arial" w:cs="Arial"/>
        </w:rPr>
        <w:t xml:space="preserve">, despite moderate </w:t>
      </w:r>
      <w:r w:rsidR="00E64E36" w:rsidRPr="6A15B411">
        <w:rPr>
          <w:rFonts w:ascii="Arial" w:eastAsia="Arial" w:hAnsi="Arial" w:cs="Arial"/>
        </w:rPr>
        <w:t xml:space="preserve">approx. </w:t>
      </w:r>
      <w:r w:rsidR="00ED6D1D" w:rsidRPr="6A15B411">
        <w:rPr>
          <w:rFonts w:ascii="Arial" w:eastAsia="Arial" w:hAnsi="Arial" w:cs="Arial"/>
        </w:rPr>
        <w:t>2.6% per annum growth in industry revenues (Deloitte),</w:t>
      </w:r>
      <w:r w:rsidRPr="6A15B411">
        <w:rPr>
          <w:rFonts w:ascii="Arial" w:eastAsia="Arial" w:hAnsi="Arial" w:cs="Arial"/>
        </w:rPr>
        <w:t xml:space="preserve"> per capita consumption of pure alcohol has generally been decreasing in New Zealand (Statistics New Zealand 2024</w:t>
      </w:r>
      <w:r w:rsidR="003666D0" w:rsidRPr="6A15B411">
        <w:rPr>
          <w:rFonts w:ascii="Arial" w:eastAsia="Arial" w:hAnsi="Arial" w:cs="Arial"/>
        </w:rPr>
        <w:t>a</w:t>
      </w:r>
      <w:r w:rsidRPr="6A15B411">
        <w:rPr>
          <w:rFonts w:ascii="Arial" w:eastAsia="Arial" w:hAnsi="Arial" w:cs="Arial"/>
        </w:rPr>
        <w:t>). In Australia, it has generally remained steady over the same time period (Australian Institute of Health and Welfare 2024a &amp; 2024b; IBISWorld 2024b). Consumers’ increasing health consciousness is considered a primary driver for declining consumption (IBISWorld 2024b).</w:t>
      </w:r>
    </w:p>
    <w:p w14:paraId="43B4F5E3" w14:textId="2D4267DD" w:rsidR="00593B8C" w:rsidRDefault="00A22DD8" w:rsidP="6A15B411">
      <w:pPr>
        <w:rPr>
          <w:rFonts w:ascii="Arial" w:eastAsia="Arial" w:hAnsi="Arial" w:cs="Arial"/>
        </w:rPr>
      </w:pPr>
      <w:r w:rsidRPr="6A15B411">
        <w:rPr>
          <w:rFonts w:ascii="Arial" w:eastAsia="Arial" w:hAnsi="Arial" w:cs="Arial"/>
        </w:rPr>
        <w:t>Total estimated industry profits are $2.2 bn to $2.5 billion a year.</w:t>
      </w:r>
      <w:r w:rsidR="00E4288D" w:rsidRPr="6A15B411">
        <w:rPr>
          <w:rFonts w:ascii="Arial" w:eastAsia="Arial" w:hAnsi="Arial" w:cs="Arial"/>
        </w:rPr>
        <w:t xml:space="preserve"> </w:t>
      </w:r>
      <w:r w:rsidR="0081430C" w:rsidRPr="6A15B411">
        <w:rPr>
          <w:rFonts w:ascii="Arial" w:eastAsia="Arial" w:hAnsi="Arial" w:cs="Arial"/>
        </w:rPr>
        <w:t>It is important to note that market conditions significantly vary for different alcoholic beverage producers and SKUs</w:t>
      </w:r>
      <w:r w:rsidR="001E1371" w:rsidRPr="6A15B411">
        <w:rPr>
          <w:rFonts w:ascii="Arial" w:eastAsia="Arial" w:hAnsi="Arial" w:cs="Arial"/>
        </w:rPr>
        <w:t>, even among producers in similar locations</w:t>
      </w:r>
      <w:r w:rsidR="00EA2AB7" w:rsidRPr="6A15B411">
        <w:rPr>
          <w:rFonts w:ascii="Arial" w:eastAsia="Arial" w:hAnsi="Arial" w:cs="Arial"/>
        </w:rPr>
        <w:t>, and vary over time</w:t>
      </w:r>
      <w:r w:rsidR="0081430C" w:rsidRPr="6A15B411">
        <w:rPr>
          <w:rFonts w:ascii="Arial" w:eastAsia="Arial" w:hAnsi="Arial" w:cs="Arial"/>
        </w:rPr>
        <w:t xml:space="preserve">. Therefore </w:t>
      </w:r>
      <w:r w:rsidR="00E4288D" w:rsidRPr="6A15B411">
        <w:rPr>
          <w:rFonts w:ascii="Arial" w:eastAsia="Arial" w:hAnsi="Arial" w:cs="Arial"/>
        </w:rPr>
        <w:t xml:space="preserve">the </w:t>
      </w:r>
      <w:r w:rsidR="0081430C" w:rsidRPr="6A15B411">
        <w:rPr>
          <w:rFonts w:ascii="Arial" w:eastAsia="Arial" w:hAnsi="Arial" w:cs="Arial"/>
        </w:rPr>
        <w:t>average industry profits below should not be regarded as representative of all producers in the various industry sub-sectors.</w:t>
      </w:r>
    </w:p>
    <w:p w14:paraId="4B2BF335" w14:textId="2E26CDCC" w:rsidR="004E207E" w:rsidRPr="002055CA" w:rsidRDefault="00482DEE" w:rsidP="00A22DD8">
      <w:pPr>
        <w:rPr>
          <w:rFonts w:ascii="Arial" w:eastAsia="Arial" w:hAnsi="Arial" w:cs="Arial"/>
          <w:b/>
          <w:bCs/>
          <w:color w:val="000000" w:themeColor="text1"/>
        </w:rPr>
      </w:pPr>
      <w:r w:rsidRPr="002055CA">
        <w:rPr>
          <w:rFonts w:ascii="Arial" w:eastAsia="Arial" w:hAnsi="Arial" w:cs="Arial"/>
          <w:b/>
          <w:bCs/>
          <w:color w:val="000000" w:themeColor="text1"/>
        </w:rPr>
        <w:t>Table 1-</w:t>
      </w:r>
      <w:r w:rsidR="002055CA" w:rsidRPr="002055CA">
        <w:rPr>
          <w:rFonts w:ascii="Arial" w:eastAsia="Arial" w:hAnsi="Arial" w:cs="Arial"/>
          <w:b/>
          <w:bCs/>
          <w:color w:val="000000" w:themeColor="text1"/>
        </w:rPr>
        <w:t xml:space="preserve">2 </w:t>
      </w:r>
      <w:r w:rsidR="00A22DD8" w:rsidRPr="002055CA">
        <w:rPr>
          <w:rFonts w:ascii="Arial" w:eastAsia="Arial" w:hAnsi="Arial" w:cs="Arial"/>
          <w:b/>
          <w:bCs/>
          <w:color w:val="000000" w:themeColor="text1"/>
        </w:rPr>
        <w:t xml:space="preserve">Average profit margins </w:t>
      </w:r>
      <w:r w:rsidR="00E4288D" w:rsidRPr="002055CA">
        <w:rPr>
          <w:rFonts w:ascii="Arial" w:eastAsia="Arial" w:hAnsi="Arial" w:cs="Arial"/>
          <w:b/>
          <w:bCs/>
          <w:color w:val="000000" w:themeColor="text1"/>
        </w:rPr>
        <w:t>for 2023</w:t>
      </w:r>
      <w:r w:rsidR="002055CA" w:rsidRPr="002055CA">
        <w:rPr>
          <w:rFonts w:ascii="Arial" w:eastAsia="Arial" w:hAnsi="Arial" w:cs="Arial"/>
          <w:b/>
          <w:bCs/>
          <w:color w:val="000000" w:themeColor="text1"/>
        </w:rPr>
        <w:t xml:space="preserve"> by alcoholic beverage sector</w:t>
      </w:r>
      <w:r w:rsidR="004E207E" w:rsidRPr="002055CA">
        <w:rPr>
          <w:rFonts w:ascii="Arial" w:eastAsia="Arial" w:hAnsi="Arial" w:cs="Arial"/>
          <w:b/>
          <w:bCs/>
          <w:color w:val="000000" w:themeColor="text1"/>
        </w:rPr>
        <w:t>:</w:t>
      </w:r>
    </w:p>
    <w:tbl>
      <w:tblPr>
        <w:tblStyle w:val="TableGrid"/>
        <w:tblW w:w="0" w:type="auto"/>
        <w:tblLook w:val="04A0" w:firstRow="1" w:lastRow="0" w:firstColumn="1" w:lastColumn="0" w:noHBand="0" w:noVBand="1"/>
      </w:tblPr>
      <w:tblGrid>
        <w:gridCol w:w="2547"/>
        <w:gridCol w:w="1134"/>
        <w:gridCol w:w="1559"/>
      </w:tblGrid>
      <w:tr w:rsidR="00687C12" w14:paraId="60AF5309" w14:textId="77777777" w:rsidTr="008D1C8F">
        <w:tc>
          <w:tcPr>
            <w:tcW w:w="2547" w:type="dxa"/>
            <w:tcBorders>
              <w:top w:val="nil"/>
              <w:left w:val="nil"/>
            </w:tcBorders>
          </w:tcPr>
          <w:p w14:paraId="776A6022" w14:textId="77777777" w:rsidR="00482DEE" w:rsidRPr="006B1B6A" w:rsidRDefault="00482DEE" w:rsidP="00A22DD8">
            <w:pPr>
              <w:rPr>
                <w:rFonts w:eastAsia="Arial"/>
                <w:color w:val="000000" w:themeColor="text1"/>
                <w:sz w:val="20"/>
                <w:szCs w:val="20"/>
              </w:rPr>
            </w:pPr>
          </w:p>
        </w:tc>
        <w:tc>
          <w:tcPr>
            <w:tcW w:w="1134" w:type="dxa"/>
          </w:tcPr>
          <w:p w14:paraId="46F6E213" w14:textId="10687B94" w:rsidR="00482DEE" w:rsidRPr="006B1B6A" w:rsidRDefault="00482DEE" w:rsidP="006B1B6A">
            <w:pPr>
              <w:jc w:val="center"/>
              <w:rPr>
                <w:rFonts w:eastAsia="Arial"/>
                <w:color w:val="000000" w:themeColor="text1"/>
                <w:sz w:val="20"/>
                <w:szCs w:val="20"/>
              </w:rPr>
            </w:pPr>
            <w:r w:rsidRPr="006B1B6A">
              <w:rPr>
                <w:rFonts w:eastAsia="Arial"/>
                <w:color w:val="000000" w:themeColor="text1"/>
                <w:sz w:val="20"/>
                <w:szCs w:val="20"/>
              </w:rPr>
              <w:t>Australia</w:t>
            </w:r>
          </w:p>
        </w:tc>
        <w:tc>
          <w:tcPr>
            <w:tcW w:w="1559" w:type="dxa"/>
          </w:tcPr>
          <w:p w14:paraId="084BD822" w14:textId="4113519B" w:rsidR="00482DEE" w:rsidRPr="006B1B6A" w:rsidRDefault="00482DEE" w:rsidP="006B1B6A">
            <w:pPr>
              <w:jc w:val="center"/>
              <w:rPr>
                <w:rFonts w:eastAsia="Arial"/>
                <w:color w:val="000000" w:themeColor="text1"/>
                <w:sz w:val="20"/>
                <w:szCs w:val="20"/>
              </w:rPr>
            </w:pPr>
            <w:r w:rsidRPr="006B1B6A">
              <w:rPr>
                <w:rFonts w:eastAsia="Arial"/>
                <w:color w:val="000000" w:themeColor="text1"/>
                <w:sz w:val="20"/>
                <w:szCs w:val="20"/>
              </w:rPr>
              <w:t>New Zealand</w:t>
            </w:r>
          </w:p>
        </w:tc>
      </w:tr>
      <w:tr w:rsidR="00687C12" w14:paraId="19BFC2AF" w14:textId="77777777" w:rsidTr="006B1B6A">
        <w:tc>
          <w:tcPr>
            <w:tcW w:w="2547" w:type="dxa"/>
          </w:tcPr>
          <w:p w14:paraId="4111736F" w14:textId="794C239F" w:rsidR="00482DEE" w:rsidRPr="006B1B6A" w:rsidRDefault="002055CA" w:rsidP="00A22DD8">
            <w:pPr>
              <w:rPr>
                <w:rFonts w:eastAsia="Arial"/>
                <w:color w:val="000000" w:themeColor="text1"/>
                <w:sz w:val="20"/>
                <w:szCs w:val="20"/>
              </w:rPr>
            </w:pPr>
            <w:r w:rsidRPr="006B1B6A">
              <w:rPr>
                <w:rFonts w:eastAsia="Arial"/>
                <w:color w:val="000000" w:themeColor="text1"/>
                <w:sz w:val="20"/>
                <w:szCs w:val="20"/>
              </w:rPr>
              <w:t>Wine</w:t>
            </w:r>
          </w:p>
        </w:tc>
        <w:tc>
          <w:tcPr>
            <w:tcW w:w="1134" w:type="dxa"/>
          </w:tcPr>
          <w:p w14:paraId="55864A21" w14:textId="53710FF6" w:rsidR="00482DEE" w:rsidRPr="006B1B6A" w:rsidRDefault="009867FA" w:rsidP="006B1B6A">
            <w:pPr>
              <w:jc w:val="center"/>
              <w:rPr>
                <w:rFonts w:eastAsia="Arial"/>
                <w:color w:val="000000" w:themeColor="text1"/>
                <w:sz w:val="20"/>
                <w:szCs w:val="20"/>
              </w:rPr>
            </w:pPr>
            <w:r w:rsidRPr="006B1B6A">
              <w:rPr>
                <w:rFonts w:eastAsia="Arial"/>
                <w:color w:val="000000" w:themeColor="text1"/>
                <w:sz w:val="20"/>
                <w:szCs w:val="20"/>
              </w:rPr>
              <w:t>6%</w:t>
            </w:r>
          </w:p>
        </w:tc>
        <w:tc>
          <w:tcPr>
            <w:tcW w:w="1559" w:type="dxa"/>
          </w:tcPr>
          <w:p w14:paraId="1BD6C7E8" w14:textId="6D4DA560" w:rsidR="00482DEE" w:rsidRPr="006B1B6A" w:rsidRDefault="009867FA" w:rsidP="006B1B6A">
            <w:pPr>
              <w:jc w:val="center"/>
              <w:rPr>
                <w:rFonts w:eastAsia="Arial"/>
                <w:color w:val="000000" w:themeColor="text1"/>
                <w:sz w:val="20"/>
                <w:szCs w:val="20"/>
              </w:rPr>
            </w:pPr>
            <w:r w:rsidRPr="006B1B6A">
              <w:rPr>
                <w:rFonts w:eastAsia="Arial"/>
                <w:color w:val="000000" w:themeColor="text1"/>
                <w:sz w:val="20"/>
                <w:szCs w:val="20"/>
              </w:rPr>
              <w:t>11%</w:t>
            </w:r>
          </w:p>
        </w:tc>
      </w:tr>
      <w:tr w:rsidR="00687C12" w14:paraId="2FDD85B7" w14:textId="77777777" w:rsidTr="006B1B6A">
        <w:tc>
          <w:tcPr>
            <w:tcW w:w="2547" w:type="dxa"/>
          </w:tcPr>
          <w:p w14:paraId="6C9C7E46" w14:textId="137BEE70" w:rsidR="00482DEE" w:rsidRPr="006B1B6A" w:rsidRDefault="002055CA" w:rsidP="00A22DD8">
            <w:pPr>
              <w:rPr>
                <w:rFonts w:eastAsia="Arial"/>
                <w:color w:val="000000" w:themeColor="text1"/>
                <w:sz w:val="20"/>
                <w:szCs w:val="20"/>
              </w:rPr>
            </w:pPr>
            <w:r w:rsidRPr="006B1B6A">
              <w:rPr>
                <w:rFonts w:eastAsia="Arial"/>
                <w:color w:val="000000" w:themeColor="text1"/>
                <w:sz w:val="20"/>
                <w:szCs w:val="20"/>
              </w:rPr>
              <w:t>Beer</w:t>
            </w:r>
          </w:p>
        </w:tc>
        <w:tc>
          <w:tcPr>
            <w:tcW w:w="1134" w:type="dxa"/>
          </w:tcPr>
          <w:p w14:paraId="4AA5474E" w14:textId="67AB78AD" w:rsidR="00482DEE" w:rsidRPr="006B1B6A" w:rsidRDefault="009867FA" w:rsidP="006B1B6A">
            <w:pPr>
              <w:jc w:val="center"/>
              <w:rPr>
                <w:rFonts w:eastAsia="Arial"/>
                <w:color w:val="000000" w:themeColor="text1"/>
                <w:sz w:val="20"/>
                <w:szCs w:val="20"/>
              </w:rPr>
            </w:pPr>
            <w:r w:rsidRPr="006B1B6A">
              <w:rPr>
                <w:rFonts w:eastAsia="Arial"/>
                <w:color w:val="000000" w:themeColor="text1"/>
                <w:sz w:val="20"/>
                <w:szCs w:val="20"/>
              </w:rPr>
              <w:t>17%</w:t>
            </w:r>
          </w:p>
        </w:tc>
        <w:tc>
          <w:tcPr>
            <w:tcW w:w="1559" w:type="dxa"/>
          </w:tcPr>
          <w:p w14:paraId="41AD4930" w14:textId="0F01A9F6" w:rsidR="00482DEE" w:rsidRPr="006B1B6A" w:rsidRDefault="009867FA" w:rsidP="006B1B6A">
            <w:pPr>
              <w:jc w:val="center"/>
              <w:rPr>
                <w:rFonts w:eastAsia="Arial"/>
                <w:color w:val="000000" w:themeColor="text1"/>
                <w:sz w:val="20"/>
                <w:szCs w:val="20"/>
              </w:rPr>
            </w:pPr>
            <w:r w:rsidRPr="006B1B6A">
              <w:rPr>
                <w:rFonts w:eastAsia="Arial"/>
                <w:color w:val="000000" w:themeColor="text1"/>
                <w:sz w:val="20"/>
                <w:szCs w:val="20"/>
              </w:rPr>
              <w:t>7%</w:t>
            </w:r>
          </w:p>
        </w:tc>
      </w:tr>
      <w:tr w:rsidR="00687C12" w14:paraId="7601C842" w14:textId="77777777" w:rsidTr="006B1B6A">
        <w:tc>
          <w:tcPr>
            <w:tcW w:w="2547" w:type="dxa"/>
          </w:tcPr>
          <w:p w14:paraId="13BA4C63" w14:textId="6F330CC0" w:rsidR="002055CA" w:rsidRPr="006B1B6A" w:rsidRDefault="002055CA" w:rsidP="00A22DD8">
            <w:pPr>
              <w:rPr>
                <w:rFonts w:eastAsia="Arial"/>
                <w:color w:val="000000" w:themeColor="text1"/>
                <w:sz w:val="20"/>
                <w:szCs w:val="20"/>
              </w:rPr>
            </w:pPr>
            <w:r w:rsidRPr="006B1B6A">
              <w:rPr>
                <w:rFonts w:eastAsia="Arial"/>
                <w:color w:val="000000" w:themeColor="text1"/>
                <w:sz w:val="20"/>
                <w:szCs w:val="20"/>
              </w:rPr>
              <w:t>Spirits</w:t>
            </w:r>
            <w:r w:rsidR="009867FA" w:rsidRPr="006B1B6A">
              <w:rPr>
                <w:rFonts w:eastAsia="Arial"/>
                <w:color w:val="000000" w:themeColor="text1"/>
                <w:sz w:val="20"/>
                <w:szCs w:val="20"/>
              </w:rPr>
              <w:t>, including RTDs</w:t>
            </w:r>
            <w:r w:rsidR="009867FA" w:rsidRPr="006B1B6A">
              <w:rPr>
                <w:rStyle w:val="FootnoteReference"/>
                <w:rFonts w:eastAsia="Arial"/>
                <w:color w:val="000000" w:themeColor="text1"/>
                <w:sz w:val="20"/>
                <w:szCs w:val="20"/>
              </w:rPr>
              <w:footnoteReference w:id="7"/>
            </w:r>
          </w:p>
        </w:tc>
        <w:tc>
          <w:tcPr>
            <w:tcW w:w="1134" w:type="dxa"/>
          </w:tcPr>
          <w:p w14:paraId="6D11382C" w14:textId="4124EF4C" w:rsidR="002055CA" w:rsidRPr="006B1B6A" w:rsidRDefault="00051BFA" w:rsidP="006B1B6A">
            <w:pPr>
              <w:jc w:val="center"/>
              <w:rPr>
                <w:rFonts w:eastAsia="Arial"/>
                <w:color w:val="000000" w:themeColor="text1"/>
                <w:sz w:val="20"/>
                <w:szCs w:val="20"/>
              </w:rPr>
            </w:pPr>
            <w:r w:rsidRPr="006B1B6A">
              <w:rPr>
                <w:rFonts w:eastAsia="Arial"/>
                <w:color w:val="000000" w:themeColor="text1"/>
                <w:sz w:val="20"/>
                <w:szCs w:val="20"/>
              </w:rPr>
              <w:t>12%</w:t>
            </w:r>
          </w:p>
        </w:tc>
        <w:tc>
          <w:tcPr>
            <w:tcW w:w="1559" w:type="dxa"/>
          </w:tcPr>
          <w:p w14:paraId="48A4D164" w14:textId="11122614" w:rsidR="002055CA" w:rsidRPr="006B1B6A" w:rsidRDefault="00687C12" w:rsidP="006B1B6A">
            <w:pPr>
              <w:jc w:val="center"/>
              <w:rPr>
                <w:rFonts w:eastAsia="Arial"/>
                <w:color w:val="000000" w:themeColor="text1"/>
                <w:sz w:val="20"/>
                <w:szCs w:val="20"/>
              </w:rPr>
            </w:pPr>
            <w:r w:rsidRPr="006B1B6A">
              <w:rPr>
                <w:rFonts w:eastAsia="Arial"/>
                <w:color w:val="000000" w:themeColor="text1"/>
                <w:sz w:val="20"/>
                <w:szCs w:val="20"/>
              </w:rPr>
              <w:t>Not available</w:t>
            </w:r>
          </w:p>
        </w:tc>
      </w:tr>
      <w:tr w:rsidR="00687C12" w14:paraId="070D0AA3" w14:textId="77777777" w:rsidTr="006B1B6A">
        <w:tc>
          <w:tcPr>
            <w:tcW w:w="2547" w:type="dxa"/>
          </w:tcPr>
          <w:p w14:paraId="605F77B3" w14:textId="559429B4" w:rsidR="00482DEE" w:rsidRPr="006B1B6A" w:rsidRDefault="009867FA" w:rsidP="00A22DD8">
            <w:pPr>
              <w:rPr>
                <w:rFonts w:eastAsia="Arial"/>
                <w:color w:val="000000" w:themeColor="text1"/>
                <w:sz w:val="20"/>
                <w:szCs w:val="20"/>
              </w:rPr>
            </w:pPr>
            <w:r w:rsidRPr="006B1B6A">
              <w:rPr>
                <w:rFonts w:eastAsia="Arial"/>
                <w:color w:val="000000" w:themeColor="text1"/>
                <w:sz w:val="20"/>
                <w:szCs w:val="20"/>
              </w:rPr>
              <w:t>Ciders</w:t>
            </w:r>
            <w:r w:rsidRPr="006B1B6A">
              <w:rPr>
                <w:rStyle w:val="FootnoteReference"/>
                <w:rFonts w:eastAsia="Arial"/>
                <w:color w:val="000000" w:themeColor="text1"/>
                <w:sz w:val="20"/>
                <w:szCs w:val="20"/>
              </w:rPr>
              <w:footnoteReference w:id="8"/>
            </w:r>
          </w:p>
        </w:tc>
        <w:tc>
          <w:tcPr>
            <w:tcW w:w="1134" w:type="dxa"/>
          </w:tcPr>
          <w:p w14:paraId="497FED09" w14:textId="1B0A1E9B" w:rsidR="00482DEE" w:rsidRPr="006B1B6A" w:rsidRDefault="00051BFA" w:rsidP="006B1B6A">
            <w:pPr>
              <w:jc w:val="center"/>
              <w:rPr>
                <w:rFonts w:eastAsia="Arial"/>
                <w:color w:val="000000" w:themeColor="text1"/>
                <w:sz w:val="20"/>
                <w:szCs w:val="20"/>
              </w:rPr>
            </w:pPr>
            <w:r w:rsidRPr="006B1B6A">
              <w:rPr>
                <w:rFonts w:eastAsia="Arial"/>
                <w:color w:val="000000" w:themeColor="text1"/>
                <w:sz w:val="20"/>
                <w:szCs w:val="20"/>
              </w:rPr>
              <w:t>5%</w:t>
            </w:r>
          </w:p>
        </w:tc>
        <w:tc>
          <w:tcPr>
            <w:tcW w:w="1559" w:type="dxa"/>
          </w:tcPr>
          <w:p w14:paraId="4BB55865" w14:textId="38E16876" w:rsidR="00482DEE" w:rsidRPr="006B1B6A" w:rsidRDefault="00687C12" w:rsidP="006B1B6A">
            <w:pPr>
              <w:jc w:val="center"/>
              <w:rPr>
                <w:rFonts w:eastAsia="Arial"/>
                <w:color w:val="000000" w:themeColor="text1"/>
                <w:sz w:val="20"/>
                <w:szCs w:val="20"/>
              </w:rPr>
            </w:pPr>
            <w:r w:rsidRPr="006B1B6A">
              <w:rPr>
                <w:rFonts w:eastAsia="Arial"/>
                <w:color w:val="000000" w:themeColor="text1"/>
                <w:sz w:val="20"/>
                <w:szCs w:val="20"/>
              </w:rPr>
              <w:t>Not available</w:t>
            </w:r>
          </w:p>
        </w:tc>
      </w:tr>
    </w:tbl>
    <w:p w14:paraId="418D03AA" w14:textId="77777777" w:rsidR="00FC5510" w:rsidRDefault="00FC5510" w:rsidP="00FC5510">
      <w:pPr>
        <w:spacing w:after="0"/>
        <w:rPr>
          <w:rFonts w:ascii="Arial" w:eastAsia="Arial" w:hAnsi="Arial" w:cs="Arial"/>
        </w:rPr>
      </w:pPr>
    </w:p>
    <w:p w14:paraId="2F9EF94E" w14:textId="2F04C449" w:rsidR="00A22DD8" w:rsidRDefault="00C63B56" w:rsidP="00A22DD8">
      <w:pPr>
        <w:rPr>
          <w:rFonts w:ascii="Arial" w:eastAsia="Arial" w:hAnsi="Arial" w:cs="Arial"/>
        </w:rPr>
      </w:pPr>
      <w:r>
        <w:rPr>
          <w:rFonts w:ascii="Arial" w:eastAsia="Arial" w:hAnsi="Arial" w:cs="Arial"/>
        </w:rPr>
        <w:t>In 2023, l</w:t>
      </w:r>
      <w:r w:rsidR="00A22DD8" w:rsidRPr="00FC1E6B">
        <w:rPr>
          <w:rFonts w:ascii="Arial" w:eastAsia="Arial" w:hAnsi="Arial" w:cs="Arial"/>
        </w:rPr>
        <w:t>arge producers account</w:t>
      </w:r>
      <w:r>
        <w:rPr>
          <w:rFonts w:ascii="Arial" w:eastAsia="Arial" w:hAnsi="Arial" w:cs="Arial"/>
        </w:rPr>
        <w:t>ed</w:t>
      </w:r>
      <w:r w:rsidR="00B27B32">
        <w:rPr>
          <w:rFonts w:ascii="Arial" w:eastAsia="Arial" w:hAnsi="Arial" w:cs="Arial"/>
        </w:rPr>
        <w:t xml:space="preserve"> for</w:t>
      </w:r>
      <w:r w:rsidR="00A22DD8" w:rsidRPr="00FC1E6B">
        <w:rPr>
          <w:rFonts w:ascii="Arial" w:eastAsia="Arial" w:hAnsi="Arial" w:cs="Arial"/>
        </w:rPr>
        <w:t xml:space="preserve"> sizeable proportions of total industry revenue</w:t>
      </w:r>
      <w:r w:rsidR="004C5699">
        <w:rPr>
          <w:rStyle w:val="FootnoteReference"/>
          <w:rFonts w:ascii="Arial" w:eastAsia="Arial" w:hAnsi="Arial" w:cs="Arial"/>
        </w:rPr>
        <w:footnoteReference w:id="9"/>
      </w:r>
      <w:r w:rsidR="00730CC7">
        <w:rPr>
          <w:rFonts w:ascii="Arial" w:eastAsia="Arial" w:hAnsi="Arial" w:cs="Arial"/>
        </w:rPr>
        <w:t>.</w:t>
      </w:r>
    </w:p>
    <w:p w14:paraId="47DABEC3" w14:textId="5A035CA7" w:rsidR="00AC21F8" w:rsidRDefault="00D05FBF" w:rsidP="00A22DD8">
      <w:pPr>
        <w:rPr>
          <w:rFonts w:ascii="Arial" w:eastAsia="Arial" w:hAnsi="Arial" w:cs="Arial"/>
        </w:rPr>
      </w:pPr>
      <w:r>
        <w:rPr>
          <w:rFonts w:ascii="Arial" w:eastAsia="Arial" w:hAnsi="Arial" w:cs="Arial"/>
        </w:rPr>
        <w:t>Imports account</w:t>
      </w:r>
      <w:r w:rsidR="00C63B56">
        <w:rPr>
          <w:rFonts w:ascii="Arial" w:eastAsia="Arial" w:hAnsi="Arial" w:cs="Arial"/>
        </w:rPr>
        <w:t>ed</w:t>
      </w:r>
      <w:r>
        <w:rPr>
          <w:rFonts w:ascii="Arial" w:eastAsia="Arial" w:hAnsi="Arial" w:cs="Arial"/>
        </w:rPr>
        <w:t xml:space="preserve"> for </w:t>
      </w:r>
      <w:r w:rsidR="00C825BC">
        <w:rPr>
          <w:rFonts w:ascii="Arial" w:eastAsia="Arial" w:hAnsi="Arial" w:cs="Arial"/>
        </w:rPr>
        <w:t>the</w:t>
      </w:r>
      <w:r>
        <w:rPr>
          <w:rFonts w:ascii="Arial" w:eastAsia="Arial" w:hAnsi="Arial" w:cs="Arial"/>
        </w:rPr>
        <w:t xml:space="preserve"> proportions of total alcohol beverage </w:t>
      </w:r>
      <w:r w:rsidR="00C825BC">
        <w:rPr>
          <w:rFonts w:ascii="Arial" w:eastAsia="Arial" w:hAnsi="Arial" w:cs="Arial"/>
        </w:rPr>
        <w:t xml:space="preserve">industry </w:t>
      </w:r>
      <w:r>
        <w:rPr>
          <w:rFonts w:ascii="Arial" w:eastAsia="Arial" w:hAnsi="Arial" w:cs="Arial"/>
        </w:rPr>
        <w:t>revenues shown in the table below</w:t>
      </w:r>
      <w:r w:rsidR="00E63DCE">
        <w:rPr>
          <w:rFonts w:ascii="Arial" w:eastAsia="Arial" w:hAnsi="Arial" w:cs="Arial"/>
        </w:rPr>
        <w:t>.</w:t>
      </w:r>
    </w:p>
    <w:p w14:paraId="6ABECD4A" w14:textId="6FED6503" w:rsidR="00E63DCE" w:rsidRPr="002055CA" w:rsidRDefault="00E63DCE" w:rsidP="00E63DCE">
      <w:pPr>
        <w:rPr>
          <w:rFonts w:ascii="Arial" w:eastAsia="Arial" w:hAnsi="Arial" w:cs="Arial"/>
          <w:b/>
          <w:bCs/>
          <w:color w:val="000000" w:themeColor="text1"/>
        </w:rPr>
      </w:pPr>
      <w:r w:rsidRPr="002055CA">
        <w:rPr>
          <w:rFonts w:ascii="Arial" w:eastAsia="Arial" w:hAnsi="Arial" w:cs="Arial"/>
          <w:b/>
          <w:bCs/>
          <w:color w:val="000000" w:themeColor="text1"/>
        </w:rPr>
        <w:t>Table 1-</w:t>
      </w:r>
      <w:r>
        <w:rPr>
          <w:rFonts w:ascii="Arial" w:eastAsia="Arial" w:hAnsi="Arial" w:cs="Arial"/>
          <w:b/>
          <w:bCs/>
          <w:color w:val="000000" w:themeColor="text1"/>
        </w:rPr>
        <w:t>3</w:t>
      </w:r>
      <w:r w:rsidRPr="002055CA">
        <w:rPr>
          <w:rFonts w:ascii="Arial" w:eastAsia="Arial" w:hAnsi="Arial" w:cs="Arial"/>
          <w:b/>
          <w:bCs/>
          <w:color w:val="000000" w:themeColor="text1"/>
        </w:rPr>
        <w:t xml:space="preserve"> </w:t>
      </w:r>
      <w:r>
        <w:rPr>
          <w:rFonts w:ascii="Arial" w:eastAsia="Arial" w:hAnsi="Arial" w:cs="Arial"/>
          <w:b/>
          <w:bCs/>
          <w:color w:val="000000" w:themeColor="text1"/>
        </w:rPr>
        <w:t>Percentage of</w:t>
      </w:r>
      <w:r w:rsidR="001A460C">
        <w:rPr>
          <w:rFonts w:ascii="Arial" w:eastAsia="Arial" w:hAnsi="Arial" w:cs="Arial"/>
          <w:b/>
          <w:bCs/>
          <w:color w:val="000000" w:themeColor="text1"/>
        </w:rPr>
        <w:t xml:space="preserve"> alcoholic beverage industry</w:t>
      </w:r>
      <w:r>
        <w:rPr>
          <w:rFonts w:ascii="Arial" w:eastAsia="Arial" w:hAnsi="Arial" w:cs="Arial"/>
          <w:b/>
          <w:bCs/>
          <w:color w:val="000000" w:themeColor="text1"/>
        </w:rPr>
        <w:t xml:space="preserve"> revenues</w:t>
      </w:r>
      <w:r w:rsidRPr="002055CA">
        <w:rPr>
          <w:rFonts w:ascii="Arial" w:eastAsia="Arial" w:hAnsi="Arial" w:cs="Arial"/>
          <w:b/>
          <w:bCs/>
          <w:color w:val="000000" w:themeColor="text1"/>
        </w:rPr>
        <w:t xml:space="preserve"> </w:t>
      </w:r>
      <w:r>
        <w:rPr>
          <w:rFonts w:ascii="Arial" w:eastAsia="Arial" w:hAnsi="Arial" w:cs="Arial"/>
          <w:b/>
          <w:bCs/>
          <w:color w:val="000000" w:themeColor="text1"/>
        </w:rPr>
        <w:t>accounted for by imports in</w:t>
      </w:r>
      <w:r w:rsidRPr="002055CA">
        <w:rPr>
          <w:rFonts w:ascii="Arial" w:eastAsia="Arial" w:hAnsi="Arial" w:cs="Arial"/>
          <w:b/>
          <w:bCs/>
          <w:color w:val="000000" w:themeColor="text1"/>
        </w:rPr>
        <w:t xml:space="preserve"> 2023 by alcoholic beverage sector</w:t>
      </w:r>
      <w:r w:rsidR="005377B4">
        <w:rPr>
          <w:rStyle w:val="FootnoteReference"/>
          <w:rFonts w:ascii="Arial" w:eastAsia="Arial" w:hAnsi="Arial" w:cs="Arial"/>
          <w:b/>
          <w:bCs/>
          <w:color w:val="000000" w:themeColor="text1"/>
        </w:rPr>
        <w:footnoteReference w:id="10"/>
      </w:r>
      <w:r w:rsidRPr="002055CA">
        <w:rPr>
          <w:rFonts w:ascii="Arial" w:eastAsia="Arial" w:hAnsi="Arial" w:cs="Arial"/>
          <w:b/>
          <w:bCs/>
          <w:color w:val="000000" w:themeColor="text1"/>
        </w:rPr>
        <w:t>:</w:t>
      </w:r>
    </w:p>
    <w:tbl>
      <w:tblPr>
        <w:tblStyle w:val="TableGrid"/>
        <w:tblW w:w="0" w:type="auto"/>
        <w:tblLook w:val="04A0" w:firstRow="1" w:lastRow="0" w:firstColumn="1" w:lastColumn="0" w:noHBand="0" w:noVBand="1"/>
      </w:tblPr>
      <w:tblGrid>
        <w:gridCol w:w="2547"/>
        <w:gridCol w:w="1134"/>
        <w:gridCol w:w="1559"/>
      </w:tblGrid>
      <w:tr w:rsidR="00876F58" w14:paraId="6D83E6EC" w14:textId="77777777" w:rsidTr="008D1C8F">
        <w:tc>
          <w:tcPr>
            <w:tcW w:w="2547" w:type="dxa"/>
            <w:tcBorders>
              <w:top w:val="nil"/>
              <w:left w:val="nil"/>
            </w:tcBorders>
          </w:tcPr>
          <w:p w14:paraId="34D68260" w14:textId="77777777" w:rsidR="00876F58" w:rsidRPr="006B1B6A" w:rsidRDefault="00876F58" w:rsidP="00876F58">
            <w:pPr>
              <w:rPr>
                <w:rFonts w:eastAsia="Arial"/>
                <w:color w:val="000000" w:themeColor="text1"/>
                <w:sz w:val="20"/>
                <w:szCs w:val="20"/>
              </w:rPr>
            </w:pPr>
          </w:p>
        </w:tc>
        <w:tc>
          <w:tcPr>
            <w:tcW w:w="1134" w:type="dxa"/>
          </w:tcPr>
          <w:p w14:paraId="24546555" w14:textId="0AC882FE" w:rsidR="00876F58" w:rsidRPr="006B1B6A" w:rsidRDefault="00876F58" w:rsidP="00876F58">
            <w:pPr>
              <w:jc w:val="center"/>
              <w:rPr>
                <w:rFonts w:eastAsia="Arial"/>
                <w:color w:val="000000" w:themeColor="text1"/>
                <w:sz w:val="20"/>
                <w:szCs w:val="20"/>
              </w:rPr>
            </w:pPr>
            <w:r w:rsidRPr="006B1B6A">
              <w:rPr>
                <w:rFonts w:eastAsia="Arial"/>
                <w:color w:val="000000" w:themeColor="text1"/>
                <w:sz w:val="20"/>
                <w:szCs w:val="20"/>
              </w:rPr>
              <w:t>Australia</w:t>
            </w:r>
          </w:p>
        </w:tc>
        <w:tc>
          <w:tcPr>
            <w:tcW w:w="1559" w:type="dxa"/>
          </w:tcPr>
          <w:p w14:paraId="54C03A28" w14:textId="49560FBB" w:rsidR="00876F58" w:rsidRPr="006B1B6A" w:rsidRDefault="00876F58" w:rsidP="00876F58">
            <w:pPr>
              <w:jc w:val="center"/>
              <w:rPr>
                <w:rFonts w:eastAsia="Arial"/>
                <w:color w:val="000000" w:themeColor="text1"/>
                <w:sz w:val="20"/>
                <w:szCs w:val="20"/>
              </w:rPr>
            </w:pPr>
            <w:r w:rsidRPr="006B1B6A">
              <w:rPr>
                <w:rFonts w:eastAsia="Arial"/>
                <w:color w:val="000000" w:themeColor="text1"/>
                <w:sz w:val="20"/>
                <w:szCs w:val="20"/>
              </w:rPr>
              <w:t>New Zealand</w:t>
            </w:r>
          </w:p>
        </w:tc>
      </w:tr>
      <w:tr w:rsidR="00E63DCE" w14:paraId="4ECF0C27" w14:textId="77777777">
        <w:tc>
          <w:tcPr>
            <w:tcW w:w="2547" w:type="dxa"/>
          </w:tcPr>
          <w:p w14:paraId="783ED621" w14:textId="77777777" w:rsidR="00E63DCE" w:rsidRPr="006B1B6A" w:rsidRDefault="00E63DCE">
            <w:pPr>
              <w:rPr>
                <w:rFonts w:eastAsia="Arial"/>
                <w:color w:val="000000" w:themeColor="text1"/>
                <w:sz w:val="20"/>
                <w:szCs w:val="20"/>
              </w:rPr>
            </w:pPr>
            <w:r w:rsidRPr="006B1B6A">
              <w:rPr>
                <w:rFonts w:eastAsia="Arial"/>
                <w:color w:val="000000" w:themeColor="text1"/>
                <w:sz w:val="20"/>
                <w:szCs w:val="20"/>
              </w:rPr>
              <w:t>Wine</w:t>
            </w:r>
          </w:p>
        </w:tc>
        <w:tc>
          <w:tcPr>
            <w:tcW w:w="1134" w:type="dxa"/>
          </w:tcPr>
          <w:p w14:paraId="1DA9AD7F" w14:textId="31B20B8C" w:rsidR="00E63DCE" w:rsidRPr="006B1B6A" w:rsidRDefault="00B24401">
            <w:pPr>
              <w:jc w:val="center"/>
              <w:rPr>
                <w:rFonts w:eastAsia="Arial"/>
                <w:color w:val="000000" w:themeColor="text1"/>
                <w:sz w:val="20"/>
                <w:szCs w:val="20"/>
              </w:rPr>
            </w:pPr>
            <w:r>
              <w:rPr>
                <w:rFonts w:eastAsia="Arial"/>
                <w:color w:val="000000" w:themeColor="text1"/>
                <w:sz w:val="20"/>
                <w:szCs w:val="20"/>
              </w:rPr>
              <w:t>21</w:t>
            </w:r>
            <w:r w:rsidR="000071E5">
              <w:rPr>
                <w:rFonts w:eastAsia="Arial"/>
                <w:color w:val="000000" w:themeColor="text1"/>
                <w:sz w:val="20"/>
                <w:szCs w:val="20"/>
              </w:rPr>
              <w:t>%</w:t>
            </w:r>
          </w:p>
        </w:tc>
        <w:tc>
          <w:tcPr>
            <w:tcW w:w="1559" w:type="dxa"/>
          </w:tcPr>
          <w:p w14:paraId="11719E35" w14:textId="0320DBDC" w:rsidR="00E63DCE" w:rsidRPr="006B1B6A" w:rsidRDefault="00B24401">
            <w:pPr>
              <w:jc w:val="center"/>
              <w:rPr>
                <w:rFonts w:eastAsia="Arial"/>
                <w:color w:val="000000" w:themeColor="text1"/>
                <w:sz w:val="20"/>
                <w:szCs w:val="20"/>
              </w:rPr>
            </w:pPr>
            <w:r>
              <w:rPr>
                <w:rFonts w:eastAsia="Arial"/>
                <w:color w:val="000000" w:themeColor="text1"/>
                <w:sz w:val="20"/>
                <w:szCs w:val="20"/>
              </w:rPr>
              <w:t>23</w:t>
            </w:r>
            <w:r w:rsidR="00A310F6">
              <w:rPr>
                <w:rFonts w:eastAsia="Arial"/>
                <w:color w:val="000000" w:themeColor="text1"/>
                <w:sz w:val="20"/>
                <w:szCs w:val="20"/>
              </w:rPr>
              <w:t>%</w:t>
            </w:r>
          </w:p>
        </w:tc>
      </w:tr>
      <w:tr w:rsidR="00E63DCE" w14:paraId="7F7D4A60" w14:textId="77777777" w:rsidTr="00A310F6">
        <w:trPr>
          <w:trHeight w:val="150"/>
        </w:trPr>
        <w:tc>
          <w:tcPr>
            <w:tcW w:w="2547" w:type="dxa"/>
          </w:tcPr>
          <w:p w14:paraId="78121725" w14:textId="77777777" w:rsidR="00E63DCE" w:rsidRPr="006B1B6A" w:rsidRDefault="00E63DCE">
            <w:pPr>
              <w:rPr>
                <w:rFonts w:eastAsia="Arial"/>
                <w:color w:val="000000" w:themeColor="text1"/>
                <w:sz w:val="20"/>
                <w:szCs w:val="20"/>
              </w:rPr>
            </w:pPr>
            <w:r w:rsidRPr="006B1B6A">
              <w:rPr>
                <w:rFonts w:eastAsia="Arial"/>
                <w:color w:val="000000" w:themeColor="text1"/>
                <w:sz w:val="20"/>
                <w:szCs w:val="20"/>
              </w:rPr>
              <w:t>Beer</w:t>
            </w:r>
          </w:p>
        </w:tc>
        <w:tc>
          <w:tcPr>
            <w:tcW w:w="1134" w:type="dxa"/>
          </w:tcPr>
          <w:p w14:paraId="690EE49E" w14:textId="0136D9B0" w:rsidR="00E63DCE" w:rsidRPr="006B1B6A" w:rsidRDefault="00A310F6" w:rsidP="00A310F6">
            <w:pPr>
              <w:jc w:val="center"/>
              <w:rPr>
                <w:rFonts w:eastAsia="Arial"/>
                <w:color w:val="000000" w:themeColor="text1"/>
                <w:sz w:val="20"/>
                <w:szCs w:val="20"/>
              </w:rPr>
            </w:pPr>
            <w:r>
              <w:rPr>
                <w:rFonts w:eastAsia="Arial"/>
                <w:color w:val="000000" w:themeColor="text1"/>
                <w:sz w:val="20"/>
                <w:szCs w:val="20"/>
              </w:rPr>
              <w:t>6%</w:t>
            </w:r>
          </w:p>
        </w:tc>
        <w:tc>
          <w:tcPr>
            <w:tcW w:w="1559" w:type="dxa"/>
          </w:tcPr>
          <w:p w14:paraId="7B657D1A" w14:textId="0A28D1B8" w:rsidR="00E63DCE" w:rsidRPr="006B1B6A" w:rsidRDefault="00A310F6" w:rsidP="00A310F6">
            <w:pPr>
              <w:jc w:val="center"/>
              <w:rPr>
                <w:rFonts w:eastAsia="Arial"/>
                <w:color w:val="000000" w:themeColor="text1"/>
                <w:sz w:val="20"/>
                <w:szCs w:val="20"/>
              </w:rPr>
            </w:pPr>
            <w:r>
              <w:rPr>
                <w:rFonts w:eastAsia="Arial"/>
                <w:color w:val="000000" w:themeColor="text1"/>
                <w:sz w:val="20"/>
                <w:szCs w:val="20"/>
              </w:rPr>
              <w:t>16%</w:t>
            </w:r>
          </w:p>
        </w:tc>
      </w:tr>
      <w:tr w:rsidR="00876F58" w14:paraId="5315647C" w14:textId="77777777">
        <w:tc>
          <w:tcPr>
            <w:tcW w:w="2547" w:type="dxa"/>
          </w:tcPr>
          <w:p w14:paraId="049B2F80" w14:textId="77777777" w:rsidR="00876F58" w:rsidRPr="006B1B6A" w:rsidRDefault="00876F58" w:rsidP="00876F58">
            <w:pPr>
              <w:rPr>
                <w:rFonts w:eastAsia="Arial"/>
                <w:color w:val="000000" w:themeColor="text1"/>
                <w:sz w:val="20"/>
                <w:szCs w:val="20"/>
              </w:rPr>
            </w:pPr>
            <w:r w:rsidRPr="006B1B6A">
              <w:rPr>
                <w:rFonts w:eastAsia="Arial"/>
                <w:color w:val="000000" w:themeColor="text1"/>
                <w:sz w:val="20"/>
                <w:szCs w:val="20"/>
              </w:rPr>
              <w:t>Spirits, including RTDs</w:t>
            </w:r>
            <w:r w:rsidRPr="006B1B6A">
              <w:rPr>
                <w:rStyle w:val="FootnoteReference"/>
                <w:rFonts w:eastAsia="Arial"/>
                <w:color w:val="000000" w:themeColor="text1"/>
                <w:sz w:val="20"/>
                <w:szCs w:val="20"/>
              </w:rPr>
              <w:footnoteReference w:id="11"/>
            </w:r>
          </w:p>
        </w:tc>
        <w:tc>
          <w:tcPr>
            <w:tcW w:w="1134" w:type="dxa"/>
          </w:tcPr>
          <w:p w14:paraId="507A0742" w14:textId="3C106330" w:rsidR="00876F58" w:rsidRPr="006B1B6A" w:rsidRDefault="00876F58" w:rsidP="00876F58">
            <w:pPr>
              <w:jc w:val="center"/>
              <w:rPr>
                <w:rFonts w:eastAsia="Arial"/>
                <w:color w:val="000000" w:themeColor="text1"/>
                <w:sz w:val="20"/>
                <w:szCs w:val="20"/>
              </w:rPr>
            </w:pPr>
            <w:r>
              <w:rPr>
                <w:rFonts w:eastAsia="Arial"/>
                <w:color w:val="000000" w:themeColor="text1"/>
                <w:sz w:val="20"/>
                <w:szCs w:val="20"/>
              </w:rPr>
              <w:t>32%</w:t>
            </w:r>
          </w:p>
        </w:tc>
        <w:tc>
          <w:tcPr>
            <w:tcW w:w="1559" w:type="dxa"/>
          </w:tcPr>
          <w:p w14:paraId="74754CEF" w14:textId="22FCB85C" w:rsidR="00876F58" w:rsidRPr="006B1B6A" w:rsidRDefault="00876F58" w:rsidP="00876F58">
            <w:pPr>
              <w:jc w:val="center"/>
              <w:rPr>
                <w:rFonts w:eastAsia="Arial"/>
                <w:color w:val="000000" w:themeColor="text1"/>
                <w:sz w:val="20"/>
                <w:szCs w:val="20"/>
              </w:rPr>
            </w:pPr>
            <w:r w:rsidRPr="006B1B6A">
              <w:rPr>
                <w:rFonts w:eastAsia="Arial"/>
                <w:color w:val="000000" w:themeColor="text1"/>
                <w:sz w:val="20"/>
                <w:szCs w:val="20"/>
              </w:rPr>
              <w:t>Not available</w:t>
            </w:r>
          </w:p>
        </w:tc>
      </w:tr>
      <w:tr w:rsidR="00876F58" w14:paraId="6FBC8A8C" w14:textId="77777777">
        <w:tc>
          <w:tcPr>
            <w:tcW w:w="2547" w:type="dxa"/>
          </w:tcPr>
          <w:p w14:paraId="76BCC608" w14:textId="77777777" w:rsidR="00876F58" w:rsidRPr="006B1B6A" w:rsidRDefault="00876F58" w:rsidP="00876F58">
            <w:pPr>
              <w:rPr>
                <w:rFonts w:eastAsia="Arial"/>
                <w:color w:val="000000" w:themeColor="text1"/>
                <w:sz w:val="20"/>
                <w:szCs w:val="20"/>
              </w:rPr>
            </w:pPr>
            <w:r w:rsidRPr="006B1B6A">
              <w:rPr>
                <w:rFonts w:eastAsia="Arial"/>
                <w:color w:val="000000" w:themeColor="text1"/>
                <w:sz w:val="20"/>
                <w:szCs w:val="20"/>
              </w:rPr>
              <w:t>Ciders</w:t>
            </w:r>
            <w:r w:rsidRPr="006B1B6A">
              <w:rPr>
                <w:rStyle w:val="FootnoteReference"/>
                <w:rFonts w:eastAsia="Arial"/>
                <w:color w:val="000000" w:themeColor="text1"/>
                <w:sz w:val="20"/>
                <w:szCs w:val="20"/>
              </w:rPr>
              <w:footnoteReference w:id="12"/>
            </w:r>
          </w:p>
        </w:tc>
        <w:tc>
          <w:tcPr>
            <w:tcW w:w="1134" w:type="dxa"/>
          </w:tcPr>
          <w:p w14:paraId="43060AB5" w14:textId="58CD82E0" w:rsidR="00876F58" w:rsidRPr="006B1B6A" w:rsidRDefault="00876F58" w:rsidP="00876F58">
            <w:pPr>
              <w:jc w:val="center"/>
              <w:rPr>
                <w:rFonts w:eastAsia="Arial"/>
                <w:color w:val="000000" w:themeColor="text1"/>
                <w:sz w:val="20"/>
                <w:szCs w:val="20"/>
              </w:rPr>
            </w:pPr>
            <w:r>
              <w:rPr>
                <w:rFonts w:eastAsia="Arial"/>
                <w:color w:val="000000" w:themeColor="text1"/>
                <w:sz w:val="20"/>
                <w:szCs w:val="20"/>
              </w:rPr>
              <w:t>13%</w:t>
            </w:r>
          </w:p>
        </w:tc>
        <w:tc>
          <w:tcPr>
            <w:tcW w:w="1559" w:type="dxa"/>
          </w:tcPr>
          <w:p w14:paraId="59D58783" w14:textId="54396E5F" w:rsidR="00876F58" w:rsidRPr="006B1B6A" w:rsidRDefault="00876F58" w:rsidP="00876F58">
            <w:pPr>
              <w:jc w:val="center"/>
              <w:rPr>
                <w:rFonts w:eastAsia="Arial"/>
                <w:color w:val="000000" w:themeColor="text1"/>
                <w:sz w:val="20"/>
                <w:szCs w:val="20"/>
              </w:rPr>
            </w:pPr>
            <w:r w:rsidRPr="006B1B6A">
              <w:rPr>
                <w:rFonts w:eastAsia="Arial"/>
                <w:color w:val="000000" w:themeColor="text1"/>
                <w:sz w:val="20"/>
                <w:szCs w:val="20"/>
              </w:rPr>
              <w:t>Not available</w:t>
            </w:r>
          </w:p>
        </w:tc>
      </w:tr>
    </w:tbl>
    <w:p w14:paraId="017548A7" w14:textId="77777777" w:rsidR="00E63DCE" w:rsidRDefault="00E63DCE" w:rsidP="00A22DD8">
      <w:pPr>
        <w:rPr>
          <w:rFonts w:ascii="Arial" w:eastAsia="Arial" w:hAnsi="Arial" w:cs="Arial"/>
        </w:rPr>
      </w:pPr>
    </w:p>
    <w:p w14:paraId="31EC054D" w14:textId="47515F52" w:rsidR="00E02967" w:rsidRPr="00E02967" w:rsidRDefault="00E02967" w:rsidP="00A22DD8">
      <w:pPr>
        <w:rPr>
          <w:rFonts w:ascii="Arial" w:eastAsia="Arial" w:hAnsi="Arial" w:cs="Arial"/>
          <w:b/>
          <w:bCs/>
        </w:rPr>
      </w:pPr>
      <w:r w:rsidRPr="00E02967">
        <w:rPr>
          <w:rFonts w:ascii="Arial" w:eastAsia="Arial" w:hAnsi="Arial" w:cs="Arial"/>
          <w:b/>
          <w:bCs/>
        </w:rPr>
        <w:t>Nutrition Information Panel</w:t>
      </w:r>
      <w:r w:rsidR="00DD307E">
        <w:rPr>
          <w:rFonts w:ascii="Arial" w:eastAsia="Arial" w:hAnsi="Arial" w:cs="Arial"/>
          <w:b/>
          <w:bCs/>
        </w:rPr>
        <w:t xml:space="preserve"> on</w:t>
      </w:r>
      <w:r w:rsidR="004E39A2">
        <w:rPr>
          <w:rFonts w:ascii="Arial" w:eastAsia="Arial" w:hAnsi="Arial" w:cs="Arial"/>
          <w:b/>
          <w:bCs/>
        </w:rPr>
        <w:t xml:space="preserve"> </w:t>
      </w:r>
      <w:r w:rsidR="00965FE2">
        <w:rPr>
          <w:rFonts w:ascii="Arial" w:eastAsia="Arial" w:hAnsi="Arial" w:cs="Arial"/>
          <w:b/>
          <w:bCs/>
        </w:rPr>
        <w:t xml:space="preserve">a minority of </w:t>
      </w:r>
      <w:r w:rsidR="00193205">
        <w:rPr>
          <w:rFonts w:ascii="Arial" w:eastAsia="Arial" w:hAnsi="Arial" w:cs="Arial"/>
          <w:b/>
          <w:bCs/>
        </w:rPr>
        <w:t>alcoholic beverage labels</w:t>
      </w:r>
    </w:p>
    <w:p w14:paraId="5DDF0D7D" w14:textId="403A05E0" w:rsidR="00E02967" w:rsidRDefault="00E02967" w:rsidP="00A22DD8">
      <w:pPr>
        <w:rPr>
          <w:rFonts w:ascii="Arial" w:eastAsia="Arial" w:hAnsi="Arial" w:cs="Arial"/>
        </w:rPr>
      </w:pPr>
      <w:r>
        <w:rPr>
          <w:rFonts w:ascii="Arial" w:eastAsia="Arial" w:hAnsi="Arial" w:cs="Arial"/>
        </w:rPr>
        <w:t xml:space="preserve">Currently, </w:t>
      </w:r>
      <w:r w:rsidR="00866D5B">
        <w:rPr>
          <w:rFonts w:ascii="Arial" w:eastAsia="Arial" w:hAnsi="Arial" w:cs="Arial"/>
        </w:rPr>
        <w:t>a minority</w:t>
      </w:r>
      <w:r w:rsidR="00DD307E">
        <w:rPr>
          <w:rFonts w:ascii="Arial" w:eastAsia="Arial" w:hAnsi="Arial" w:cs="Arial"/>
        </w:rPr>
        <w:t xml:space="preserve"> of</w:t>
      </w:r>
      <w:r>
        <w:rPr>
          <w:rFonts w:ascii="Arial" w:eastAsia="Arial" w:hAnsi="Arial" w:cs="Arial"/>
        </w:rPr>
        <w:t xml:space="preserve"> alcoholic beverages</w:t>
      </w:r>
      <w:r w:rsidR="00DD307E">
        <w:rPr>
          <w:rFonts w:ascii="Arial" w:eastAsia="Arial" w:hAnsi="Arial" w:cs="Arial"/>
        </w:rPr>
        <w:t xml:space="preserve"> </w:t>
      </w:r>
      <w:r w:rsidR="002B1340">
        <w:rPr>
          <w:rFonts w:ascii="Arial" w:eastAsia="Arial" w:hAnsi="Arial" w:cs="Arial"/>
        </w:rPr>
        <w:t>are labelled with a</w:t>
      </w:r>
      <w:r>
        <w:rPr>
          <w:rFonts w:ascii="Arial" w:eastAsia="Arial" w:hAnsi="Arial" w:cs="Arial"/>
        </w:rPr>
        <w:t xml:space="preserve"> NIP</w:t>
      </w:r>
      <w:r w:rsidR="0061202A">
        <w:rPr>
          <w:rFonts w:ascii="Arial" w:eastAsia="Arial" w:hAnsi="Arial" w:cs="Arial"/>
        </w:rPr>
        <w:t xml:space="preserve">. </w:t>
      </w:r>
      <w:r>
        <w:rPr>
          <w:rFonts w:ascii="Arial" w:eastAsia="Arial" w:hAnsi="Arial" w:cs="Arial"/>
        </w:rPr>
        <w:t>NIPs</w:t>
      </w:r>
      <w:r w:rsidR="003A610D">
        <w:rPr>
          <w:rFonts w:ascii="Arial" w:eastAsia="Arial" w:hAnsi="Arial" w:cs="Arial"/>
        </w:rPr>
        <w:t xml:space="preserve"> that are not voluntary (including NIPs on the label of alcoholic beverages because a nutrition content claim is made) </w:t>
      </w:r>
      <w:r>
        <w:rPr>
          <w:rFonts w:ascii="Arial" w:eastAsia="Arial" w:hAnsi="Arial" w:cs="Arial"/>
        </w:rPr>
        <w:t xml:space="preserve">are </w:t>
      </w:r>
      <w:r w:rsidR="00C468C4">
        <w:rPr>
          <w:rFonts w:ascii="Arial" w:eastAsia="Arial" w:hAnsi="Arial" w:cs="Arial"/>
        </w:rPr>
        <w:t xml:space="preserve">required by the Code to be </w:t>
      </w:r>
      <w:r>
        <w:rPr>
          <w:rFonts w:ascii="Arial" w:eastAsia="Arial" w:hAnsi="Arial" w:cs="Arial"/>
        </w:rPr>
        <w:t>in the following format</w:t>
      </w:r>
      <w:r w:rsidR="0061202A">
        <w:rPr>
          <w:rFonts w:ascii="Arial" w:eastAsia="Arial" w:hAnsi="Arial" w:cs="Arial"/>
        </w:rPr>
        <w:t>:</w:t>
      </w:r>
      <w:r>
        <w:rPr>
          <w:rFonts w:ascii="Arial" w:eastAsia="Arial" w:hAnsi="Arial" w:cs="Arial"/>
        </w:rPr>
        <w:t xml:space="preserve"> </w:t>
      </w:r>
    </w:p>
    <w:p w14:paraId="3B0F592D" w14:textId="76D3B5A0" w:rsidR="00DB3E84" w:rsidRDefault="002C733E" w:rsidP="00414973">
      <w:pPr>
        <w:keepNext/>
        <w:rPr>
          <w:rFonts w:ascii="Arial" w:eastAsia="Arial" w:hAnsi="Arial" w:cs="Arial"/>
        </w:rPr>
      </w:pPr>
      <w:r>
        <w:rPr>
          <w:rFonts w:ascii="Arial" w:eastAsia="Arial" w:hAnsi="Arial" w:cs="Arial"/>
          <w:b/>
          <w:bCs/>
        </w:rPr>
        <w:lastRenderedPageBreak/>
        <w:t>Figure 1-4 Format for NIPs</w:t>
      </w:r>
    </w:p>
    <w:tbl>
      <w:tblPr>
        <w:tblW w:w="6247" w:type="dxa"/>
        <w:jc w:val="center"/>
        <w:tblCellMar>
          <w:left w:w="0" w:type="dxa"/>
          <w:right w:w="0" w:type="dxa"/>
        </w:tblCellMar>
        <w:tblLook w:val="0000" w:firstRow="0" w:lastRow="0" w:firstColumn="0" w:lastColumn="0" w:noHBand="0" w:noVBand="0"/>
      </w:tblPr>
      <w:tblGrid>
        <w:gridCol w:w="2209"/>
        <w:gridCol w:w="2176"/>
        <w:gridCol w:w="1862"/>
      </w:tblGrid>
      <w:tr w:rsidR="00E02967" w:rsidRPr="000A5607" w14:paraId="20722C16" w14:textId="77777777" w:rsidTr="00665611">
        <w:trPr>
          <w:trHeight w:val="864"/>
          <w:jc w:val="center"/>
        </w:trPr>
        <w:tc>
          <w:tcPr>
            <w:tcW w:w="624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7BF41A" w14:textId="77777777" w:rsidR="00E02967" w:rsidRPr="00A33B7B" w:rsidRDefault="00E02967" w:rsidP="00414973">
            <w:pPr>
              <w:pStyle w:val="FSCtblMainC"/>
              <w:keepNext/>
              <w:rPr>
                <w:sz w:val="20"/>
              </w:rPr>
            </w:pPr>
            <w:r w:rsidRPr="00A33B7B">
              <w:rPr>
                <w:sz w:val="20"/>
              </w:rPr>
              <w:br w:type="page"/>
              <w:t>NUTRITION INFORMATION</w:t>
            </w:r>
          </w:p>
          <w:p w14:paraId="63504C0E" w14:textId="77777777" w:rsidR="00E02967" w:rsidRPr="00A33B7B" w:rsidRDefault="00E02967" w:rsidP="00414973">
            <w:pPr>
              <w:pStyle w:val="FSCtblMain"/>
              <w:keepNext/>
              <w:rPr>
                <w:sz w:val="20"/>
              </w:rPr>
            </w:pPr>
            <w:r w:rsidRPr="00A33B7B">
              <w:rPr>
                <w:sz w:val="20"/>
              </w:rPr>
              <w:t>Servings per package: (insert number of servings)</w:t>
            </w:r>
          </w:p>
          <w:p w14:paraId="1A82A149" w14:textId="73CA8FF4" w:rsidR="00E02967" w:rsidRPr="00A33B7B" w:rsidRDefault="00E02967" w:rsidP="00414973">
            <w:pPr>
              <w:pStyle w:val="FSCtblMain"/>
              <w:keepNext/>
              <w:rPr>
                <w:sz w:val="20"/>
              </w:rPr>
            </w:pPr>
            <w:r w:rsidRPr="00A33B7B">
              <w:rPr>
                <w:sz w:val="20"/>
              </w:rPr>
              <w:t xml:space="preserve">Serving size: </w:t>
            </w:r>
            <w:r w:rsidRPr="00687C4B">
              <w:rPr>
                <w:sz w:val="20"/>
              </w:rPr>
              <w:t xml:space="preserve">mL </w:t>
            </w:r>
          </w:p>
        </w:tc>
      </w:tr>
      <w:tr w:rsidR="00E02967" w:rsidRPr="000A5607" w14:paraId="65245A7E" w14:textId="77777777" w:rsidTr="0061202A">
        <w:trPr>
          <w:trHeight w:val="557"/>
          <w:jc w:val="center"/>
        </w:trPr>
        <w:tc>
          <w:tcPr>
            <w:tcW w:w="2209" w:type="dxa"/>
            <w:tcBorders>
              <w:top w:val="nil"/>
              <w:left w:val="single" w:sz="8" w:space="0" w:color="auto"/>
              <w:bottom w:val="single" w:sz="8" w:space="0" w:color="auto"/>
              <w:right w:val="nil"/>
            </w:tcBorders>
            <w:tcMar>
              <w:top w:w="0" w:type="dxa"/>
              <w:left w:w="108" w:type="dxa"/>
              <w:bottom w:w="0" w:type="dxa"/>
              <w:right w:w="108" w:type="dxa"/>
            </w:tcMar>
          </w:tcPr>
          <w:p w14:paraId="5712152B" w14:textId="77777777" w:rsidR="00E02967" w:rsidRPr="00A33B7B" w:rsidRDefault="00E02967" w:rsidP="00665611">
            <w:pPr>
              <w:pStyle w:val="FSCtblMain"/>
              <w:rPr>
                <w:sz w:val="20"/>
              </w:rPr>
            </w:pPr>
            <w:r w:rsidRPr="00A33B7B">
              <w:rPr>
                <w:sz w:val="20"/>
              </w:rPr>
              <w:t> </w:t>
            </w:r>
          </w:p>
        </w:tc>
        <w:tc>
          <w:tcPr>
            <w:tcW w:w="2176" w:type="dxa"/>
            <w:tcBorders>
              <w:top w:val="nil"/>
              <w:left w:val="nil"/>
              <w:bottom w:val="single" w:sz="8" w:space="0" w:color="auto"/>
              <w:right w:val="nil"/>
            </w:tcBorders>
            <w:tcMar>
              <w:top w:w="0" w:type="dxa"/>
              <w:left w:w="108" w:type="dxa"/>
              <w:bottom w:w="0" w:type="dxa"/>
              <w:right w:w="108" w:type="dxa"/>
            </w:tcMar>
          </w:tcPr>
          <w:p w14:paraId="6BC2EFE8" w14:textId="77777777" w:rsidR="00E02967" w:rsidRPr="00A33B7B" w:rsidRDefault="00E02967" w:rsidP="00665611">
            <w:pPr>
              <w:pStyle w:val="FSCtblMain"/>
              <w:rPr>
                <w:sz w:val="20"/>
              </w:rPr>
            </w:pPr>
            <w:r w:rsidRPr="00A33B7B">
              <w:rPr>
                <w:sz w:val="20"/>
              </w:rPr>
              <w:t>Quantity per serving</w:t>
            </w:r>
          </w:p>
        </w:tc>
        <w:tc>
          <w:tcPr>
            <w:tcW w:w="1862" w:type="dxa"/>
            <w:tcBorders>
              <w:top w:val="nil"/>
              <w:left w:val="nil"/>
              <w:bottom w:val="single" w:sz="8" w:space="0" w:color="auto"/>
              <w:right w:val="single" w:sz="8" w:space="0" w:color="auto"/>
            </w:tcBorders>
            <w:tcMar>
              <w:top w:w="0" w:type="dxa"/>
              <w:left w:w="108" w:type="dxa"/>
              <w:bottom w:w="0" w:type="dxa"/>
              <w:right w:w="108" w:type="dxa"/>
            </w:tcMar>
          </w:tcPr>
          <w:p w14:paraId="307A7697" w14:textId="77777777" w:rsidR="00E02967" w:rsidRPr="00A33B7B" w:rsidRDefault="00E02967" w:rsidP="00665611">
            <w:pPr>
              <w:pStyle w:val="FSCtblMain"/>
              <w:rPr>
                <w:sz w:val="20"/>
              </w:rPr>
            </w:pPr>
            <w:r w:rsidRPr="00A33B7B">
              <w:rPr>
                <w:sz w:val="20"/>
              </w:rPr>
              <w:t xml:space="preserve">Quantity per 100 </w:t>
            </w:r>
            <w:r>
              <w:rPr>
                <w:sz w:val="20"/>
              </w:rPr>
              <w:t>mL</w:t>
            </w:r>
          </w:p>
        </w:tc>
      </w:tr>
      <w:tr w:rsidR="00E02967" w:rsidRPr="000A5607" w14:paraId="110486E1" w14:textId="77777777" w:rsidTr="0061202A">
        <w:trPr>
          <w:trHeight w:val="332"/>
          <w:jc w:val="center"/>
        </w:trPr>
        <w:tc>
          <w:tcPr>
            <w:tcW w:w="2209" w:type="dxa"/>
            <w:tcBorders>
              <w:top w:val="nil"/>
              <w:left w:val="single" w:sz="8" w:space="0" w:color="auto"/>
              <w:bottom w:val="nil"/>
              <w:right w:val="nil"/>
            </w:tcBorders>
            <w:tcMar>
              <w:top w:w="0" w:type="dxa"/>
              <w:left w:w="108" w:type="dxa"/>
              <w:bottom w:w="0" w:type="dxa"/>
              <w:right w:w="108" w:type="dxa"/>
            </w:tcMar>
          </w:tcPr>
          <w:p w14:paraId="3EB0733C" w14:textId="77777777" w:rsidR="00E02967" w:rsidRPr="00A33B7B" w:rsidRDefault="00E02967" w:rsidP="00665611">
            <w:pPr>
              <w:pStyle w:val="FSCtblMain"/>
              <w:rPr>
                <w:sz w:val="20"/>
              </w:rPr>
            </w:pPr>
            <w:r w:rsidRPr="00A33B7B">
              <w:rPr>
                <w:sz w:val="20"/>
              </w:rPr>
              <w:t>Energy</w:t>
            </w:r>
          </w:p>
        </w:tc>
        <w:tc>
          <w:tcPr>
            <w:tcW w:w="2176" w:type="dxa"/>
            <w:tcBorders>
              <w:top w:val="nil"/>
              <w:left w:val="nil"/>
              <w:bottom w:val="nil"/>
              <w:right w:val="nil"/>
            </w:tcBorders>
            <w:tcMar>
              <w:top w:w="0" w:type="dxa"/>
              <w:left w:w="108" w:type="dxa"/>
              <w:bottom w:w="0" w:type="dxa"/>
              <w:right w:w="108" w:type="dxa"/>
            </w:tcMar>
          </w:tcPr>
          <w:p w14:paraId="12418803" w14:textId="77777777" w:rsidR="00E02967" w:rsidRPr="00A33B7B" w:rsidRDefault="00E02967" w:rsidP="00665611">
            <w:pPr>
              <w:pStyle w:val="FSCtblMain"/>
              <w:rPr>
                <w:sz w:val="20"/>
              </w:rPr>
            </w:pPr>
            <w:r w:rsidRPr="00A33B7B">
              <w:rPr>
                <w:sz w:val="20"/>
              </w:rPr>
              <w:t>kJ (Cal)</w:t>
            </w:r>
          </w:p>
        </w:tc>
        <w:tc>
          <w:tcPr>
            <w:tcW w:w="1862" w:type="dxa"/>
            <w:tcBorders>
              <w:top w:val="nil"/>
              <w:left w:val="nil"/>
              <w:bottom w:val="nil"/>
              <w:right w:val="single" w:sz="8" w:space="0" w:color="auto"/>
            </w:tcBorders>
            <w:tcMar>
              <w:top w:w="0" w:type="dxa"/>
              <w:left w:w="108" w:type="dxa"/>
              <w:bottom w:w="0" w:type="dxa"/>
              <w:right w:w="108" w:type="dxa"/>
            </w:tcMar>
          </w:tcPr>
          <w:p w14:paraId="770B8BF1" w14:textId="77777777" w:rsidR="00E02967" w:rsidRPr="00A33B7B" w:rsidRDefault="00E02967" w:rsidP="00665611">
            <w:pPr>
              <w:pStyle w:val="FSCtblMain"/>
              <w:rPr>
                <w:sz w:val="20"/>
              </w:rPr>
            </w:pPr>
            <w:r w:rsidRPr="00A33B7B">
              <w:rPr>
                <w:sz w:val="20"/>
              </w:rPr>
              <w:t>kJ (Cal)</w:t>
            </w:r>
          </w:p>
        </w:tc>
      </w:tr>
      <w:tr w:rsidR="00E02967" w:rsidRPr="000A5607" w14:paraId="64A65776" w14:textId="77777777" w:rsidTr="0061202A">
        <w:trPr>
          <w:trHeight w:val="332"/>
          <w:jc w:val="center"/>
        </w:trPr>
        <w:tc>
          <w:tcPr>
            <w:tcW w:w="2209" w:type="dxa"/>
            <w:tcBorders>
              <w:top w:val="nil"/>
              <w:left w:val="single" w:sz="8" w:space="0" w:color="auto"/>
              <w:bottom w:val="nil"/>
              <w:right w:val="nil"/>
            </w:tcBorders>
            <w:tcMar>
              <w:top w:w="0" w:type="dxa"/>
              <w:left w:w="108" w:type="dxa"/>
              <w:bottom w:w="0" w:type="dxa"/>
              <w:right w:w="108" w:type="dxa"/>
            </w:tcMar>
          </w:tcPr>
          <w:p w14:paraId="75B70F9F" w14:textId="77777777" w:rsidR="00E02967" w:rsidRPr="00A33B7B" w:rsidRDefault="00E02967" w:rsidP="00665611">
            <w:pPr>
              <w:pStyle w:val="FSCtblMain"/>
              <w:rPr>
                <w:sz w:val="20"/>
              </w:rPr>
            </w:pPr>
            <w:r w:rsidRPr="00A33B7B">
              <w:rPr>
                <w:sz w:val="20"/>
              </w:rPr>
              <w:t>Protein</w:t>
            </w:r>
          </w:p>
        </w:tc>
        <w:tc>
          <w:tcPr>
            <w:tcW w:w="2176" w:type="dxa"/>
            <w:tcBorders>
              <w:top w:val="nil"/>
              <w:left w:val="nil"/>
              <w:bottom w:val="nil"/>
              <w:right w:val="nil"/>
            </w:tcBorders>
            <w:tcMar>
              <w:top w:w="0" w:type="dxa"/>
              <w:left w:w="108" w:type="dxa"/>
              <w:bottom w:w="0" w:type="dxa"/>
              <w:right w:w="108" w:type="dxa"/>
            </w:tcMar>
          </w:tcPr>
          <w:p w14:paraId="0ADF3536" w14:textId="77777777" w:rsidR="00E02967" w:rsidRPr="00A33B7B" w:rsidRDefault="00E02967" w:rsidP="00665611">
            <w:pPr>
              <w:pStyle w:val="FSCtblMain"/>
              <w:rPr>
                <w:sz w:val="20"/>
              </w:rPr>
            </w:pPr>
            <w:r w:rsidRPr="00A33B7B">
              <w:rPr>
                <w:sz w:val="20"/>
              </w:rPr>
              <w:t>G</w:t>
            </w:r>
          </w:p>
        </w:tc>
        <w:tc>
          <w:tcPr>
            <w:tcW w:w="1862" w:type="dxa"/>
            <w:tcBorders>
              <w:top w:val="nil"/>
              <w:left w:val="nil"/>
              <w:bottom w:val="nil"/>
              <w:right w:val="single" w:sz="8" w:space="0" w:color="auto"/>
            </w:tcBorders>
            <w:tcMar>
              <w:top w:w="0" w:type="dxa"/>
              <w:left w:w="108" w:type="dxa"/>
              <w:bottom w:w="0" w:type="dxa"/>
              <w:right w:w="108" w:type="dxa"/>
            </w:tcMar>
          </w:tcPr>
          <w:p w14:paraId="30090234" w14:textId="77777777" w:rsidR="00E02967" w:rsidRPr="00A33B7B" w:rsidRDefault="00E02967" w:rsidP="00665611">
            <w:pPr>
              <w:pStyle w:val="FSCtblMain"/>
              <w:rPr>
                <w:sz w:val="20"/>
              </w:rPr>
            </w:pPr>
            <w:r w:rsidRPr="00A33B7B">
              <w:rPr>
                <w:sz w:val="20"/>
              </w:rPr>
              <w:t>G</w:t>
            </w:r>
          </w:p>
        </w:tc>
      </w:tr>
      <w:tr w:rsidR="00E02967" w:rsidRPr="000A5607" w14:paraId="4554699A" w14:textId="77777777" w:rsidTr="0061202A">
        <w:trPr>
          <w:trHeight w:val="581"/>
          <w:jc w:val="center"/>
        </w:trPr>
        <w:tc>
          <w:tcPr>
            <w:tcW w:w="2209" w:type="dxa"/>
            <w:tcBorders>
              <w:top w:val="nil"/>
              <w:left w:val="single" w:sz="8" w:space="0" w:color="auto"/>
              <w:bottom w:val="nil"/>
              <w:right w:val="nil"/>
            </w:tcBorders>
            <w:tcMar>
              <w:top w:w="0" w:type="dxa"/>
              <w:left w:w="108" w:type="dxa"/>
              <w:bottom w:w="0" w:type="dxa"/>
              <w:right w:w="108" w:type="dxa"/>
            </w:tcMar>
          </w:tcPr>
          <w:p w14:paraId="5C762A26" w14:textId="77777777" w:rsidR="00E02967" w:rsidRPr="00A33B7B" w:rsidRDefault="00E02967" w:rsidP="00665611">
            <w:pPr>
              <w:pStyle w:val="FSCtblMain"/>
              <w:rPr>
                <w:sz w:val="20"/>
              </w:rPr>
            </w:pPr>
            <w:r w:rsidRPr="00A33B7B">
              <w:rPr>
                <w:sz w:val="20"/>
              </w:rPr>
              <w:t>Fat, total</w:t>
            </w:r>
            <w:r w:rsidRPr="00A33B7B">
              <w:rPr>
                <w:sz w:val="20"/>
              </w:rPr>
              <w:br/>
              <w:t xml:space="preserve"> —saturated</w:t>
            </w:r>
          </w:p>
        </w:tc>
        <w:tc>
          <w:tcPr>
            <w:tcW w:w="2176" w:type="dxa"/>
            <w:tcBorders>
              <w:top w:val="nil"/>
              <w:left w:val="nil"/>
              <w:bottom w:val="nil"/>
              <w:right w:val="nil"/>
            </w:tcBorders>
            <w:tcMar>
              <w:top w:w="0" w:type="dxa"/>
              <w:left w:w="108" w:type="dxa"/>
              <w:bottom w:w="0" w:type="dxa"/>
              <w:right w:w="108" w:type="dxa"/>
            </w:tcMar>
          </w:tcPr>
          <w:p w14:paraId="3C3BDD4E" w14:textId="77777777" w:rsidR="00E02967" w:rsidRPr="00A33B7B" w:rsidRDefault="00E02967" w:rsidP="00665611">
            <w:pPr>
              <w:pStyle w:val="FSCtblMain"/>
              <w:rPr>
                <w:sz w:val="20"/>
              </w:rPr>
            </w:pPr>
            <w:r w:rsidRPr="00A33B7B">
              <w:rPr>
                <w:sz w:val="20"/>
              </w:rPr>
              <w:t>G</w:t>
            </w:r>
          </w:p>
          <w:p w14:paraId="5FA5C995" w14:textId="77777777" w:rsidR="00E02967" w:rsidRPr="00A33B7B" w:rsidRDefault="00E02967" w:rsidP="00665611">
            <w:pPr>
              <w:pStyle w:val="FSCtblMain"/>
              <w:rPr>
                <w:sz w:val="20"/>
              </w:rPr>
            </w:pPr>
            <w:r w:rsidRPr="00A33B7B">
              <w:rPr>
                <w:sz w:val="20"/>
              </w:rPr>
              <w:t>G</w:t>
            </w:r>
          </w:p>
        </w:tc>
        <w:tc>
          <w:tcPr>
            <w:tcW w:w="1862" w:type="dxa"/>
            <w:tcBorders>
              <w:top w:val="nil"/>
              <w:left w:val="nil"/>
              <w:bottom w:val="nil"/>
              <w:right w:val="single" w:sz="8" w:space="0" w:color="auto"/>
            </w:tcBorders>
            <w:tcMar>
              <w:top w:w="0" w:type="dxa"/>
              <w:left w:w="108" w:type="dxa"/>
              <w:bottom w:w="0" w:type="dxa"/>
              <w:right w:w="108" w:type="dxa"/>
            </w:tcMar>
          </w:tcPr>
          <w:p w14:paraId="76334792" w14:textId="77777777" w:rsidR="00E02967" w:rsidRPr="00A33B7B" w:rsidRDefault="00E02967" w:rsidP="00665611">
            <w:pPr>
              <w:pStyle w:val="FSCtblMain"/>
              <w:rPr>
                <w:sz w:val="20"/>
              </w:rPr>
            </w:pPr>
            <w:r w:rsidRPr="00A33B7B">
              <w:rPr>
                <w:sz w:val="20"/>
              </w:rPr>
              <w:t>G</w:t>
            </w:r>
          </w:p>
          <w:p w14:paraId="284DA234" w14:textId="77777777" w:rsidR="00E02967" w:rsidRPr="00A33B7B" w:rsidRDefault="00E02967" w:rsidP="00665611">
            <w:pPr>
              <w:pStyle w:val="FSCtblMain"/>
              <w:rPr>
                <w:sz w:val="20"/>
              </w:rPr>
            </w:pPr>
            <w:r w:rsidRPr="00A33B7B">
              <w:rPr>
                <w:sz w:val="20"/>
              </w:rPr>
              <w:t>G</w:t>
            </w:r>
          </w:p>
        </w:tc>
      </w:tr>
      <w:tr w:rsidR="00E02967" w:rsidRPr="000A5607" w14:paraId="5E56ACF3" w14:textId="77777777" w:rsidTr="0061202A">
        <w:trPr>
          <w:trHeight w:val="598"/>
          <w:jc w:val="center"/>
        </w:trPr>
        <w:tc>
          <w:tcPr>
            <w:tcW w:w="2209" w:type="dxa"/>
            <w:tcBorders>
              <w:top w:val="nil"/>
              <w:left w:val="single" w:sz="8" w:space="0" w:color="auto"/>
              <w:bottom w:val="nil"/>
              <w:right w:val="nil"/>
            </w:tcBorders>
            <w:tcMar>
              <w:top w:w="0" w:type="dxa"/>
              <w:left w:w="108" w:type="dxa"/>
              <w:bottom w:w="0" w:type="dxa"/>
              <w:right w:w="108" w:type="dxa"/>
            </w:tcMar>
          </w:tcPr>
          <w:p w14:paraId="52640213" w14:textId="77777777" w:rsidR="00E02967" w:rsidRPr="00A33B7B" w:rsidRDefault="00E02967" w:rsidP="00665611">
            <w:pPr>
              <w:pStyle w:val="FSCtblMain"/>
              <w:rPr>
                <w:sz w:val="20"/>
              </w:rPr>
            </w:pPr>
            <w:r w:rsidRPr="00A33B7B">
              <w:rPr>
                <w:sz w:val="20"/>
              </w:rPr>
              <w:t>Carbohydrate</w:t>
            </w:r>
            <w:r w:rsidRPr="00A33B7B">
              <w:rPr>
                <w:sz w:val="20"/>
              </w:rPr>
              <w:br/>
              <w:t xml:space="preserve"> —sugars</w:t>
            </w:r>
          </w:p>
        </w:tc>
        <w:tc>
          <w:tcPr>
            <w:tcW w:w="2176" w:type="dxa"/>
            <w:tcBorders>
              <w:top w:val="nil"/>
              <w:left w:val="nil"/>
              <w:bottom w:val="nil"/>
              <w:right w:val="nil"/>
            </w:tcBorders>
            <w:tcMar>
              <w:top w:w="0" w:type="dxa"/>
              <w:left w:w="108" w:type="dxa"/>
              <w:bottom w:w="0" w:type="dxa"/>
              <w:right w:w="108" w:type="dxa"/>
            </w:tcMar>
          </w:tcPr>
          <w:p w14:paraId="61B07788" w14:textId="77777777" w:rsidR="00E02967" w:rsidRPr="00A33B7B" w:rsidRDefault="00E02967" w:rsidP="00665611">
            <w:pPr>
              <w:pStyle w:val="FSCtblMain"/>
              <w:rPr>
                <w:sz w:val="20"/>
              </w:rPr>
            </w:pPr>
            <w:r w:rsidRPr="00A33B7B">
              <w:rPr>
                <w:sz w:val="20"/>
              </w:rPr>
              <w:t>G</w:t>
            </w:r>
          </w:p>
          <w:p w14:paraId="49E67412" w14:textId="77777777" w:rsidR="00E02967" w:rsidRPr="00A33B7B" w:rsidRDefault="00E02967" w:rsidP="00665611">
            <w:pPr>
              <w:pStyle w:val="FSCtblMain"/>
              <w:rPr>
                <w:sz w:val="20"/>
              </w:rPr>
            </w:pPr>
            <w:r w:rsidRPr="00A33B7B">
              <w:rPr>
                <w:sz w:val="20"/>
              </w:rPr>
              <w:t>G</w:t>
            </w:r>
          </w:p>
        </w:tc>
        <w:tc>
          <w:tcPr>
            <w:tcW w:w="1862" w:type="dxa"/>
            <w:tcBorders>
              <w:top w:val="nil"/>
              <w:left w:val="nil"/>
              <w:bottom w:val="nil"/>
              <w:right w:val="single" w:sz="8" w:space="0" w:color="auto"/>
            </w:tcBorders>
            <w:tcMar>
              <w:top w:w="0" w:type="dxa"/>
              <w:left w:w="108" w:type="dxa"/>
              <w:bottom w:w="0" w:type="dxa"/>
              <w:right w:w="108" w:type="dxa"/>
            </w:tcMar>
          </w:tcPr>
          <w:p w14:paraId="28FFC450" w14:textId="77777777" w:rsidR="00E02967" w:rsidRPr="00A33B7B" w:rsidRDefault="00E02967" w:rsidP="00665611">
            <w:pPr>
              <w:pStyle w:val="FSCtblMain"/>
              <w:rPr>
                <w:sz w:val="20"/>
              </w:rPr>
            </w:pPr>
            <w:r w:rsidRPr="00A33B7B">
              <w:rPr>
                <w:sz w:val="20"/>
              </w:rPr>
              <w:t>G</w:t>
            </w:r>
          </w:p>
          <w:p w14:paraId="771AE882" w14:textId="77777777" w:rsidR="00E02967" w:rsidRPr="00A33B7B" w:rsidRDefault="00E02967" w:rsidP="00665611">
            <w:pPr>
              <w:pStyle w:val="FSCtblMain"/>
              <w:rPr>
                <w:sz w:val="20"/>
              </w:rPr>
            </w:pPr>
            <w:r w:rsidRPr="00A33B7B">
              <w:rPr>
                <w:sz w:val="20"/>
              </w:rPr>
              <w:t>G</w:t>
            </w:r>
          </w:p>
        </w:tc>
      </w:tr>
      <w:tr w:rsidR="00E02967" w:rsidRPr="000A5607" w14:paraId="415B0B02" w14:textId="77777777" w:rsidTr="0061202A">
        <w:trPr>
          <w:trHeight w:val="315"/>
          <w:jc w:val="center"/>
        </w:trPr>
        <w:tc>
          <w:tcPr>
            <w:tcW w:w="2209" w:type="dxa"/>
            <w:tcBorders>
              <w:top w:val="nil"/>
              <w:left w:val="single" w:sz="8" w:space="0" w:color="auto"/>
              <w:bottom w:val="nil"/>
              <w:right w:val="nil"/>
            </w:tcBorders>
            <w:tcMar>
              <w:top w:w="0" w:type="dxa"/>
              <w:left w:w="108" w:type="dxa"/>
              <w:bottom w:w="0" w:type="dxa"/>
              <w:right w:w="108" w:type="dxa"/>
            </w:tcMar>
          </w:tcPr>
          <w:p w14:paraId="3E35CB82" w14:textId="77777777" w:rsidR="00E02967" w:rsidRPr="00A33B7B" w:rsidRDefault="00E02967" w:rsidP="00665611">
            <w:pPr>
              <w:pStyle w:val="FSCtblMain"/>
              <w:rPr>
                <w:sz w:val="20"/>
              </w:rPr>
            </w:pPr>
            <w:r w:rsidRPr="00A33B7B">
              <w:rPr>
                <w:sz w:val="20"/>
              </w:rPr>
              <w:t>Sodium</w:t>
            </w:r>
          </w:p>
        </w:tc>
        <w:tc>
          <w:tcPr>
            <w:tcW w:w="2176" w:type="dxa"/>
            <w:tcBorders>
              <w:top w:val="nil"/>
              <w:left w:val="nil"/>
              <w:bottom w:val="nil"/>
              <w:right w:val="nil"/>
            </w:tcBorders>
            <w:tcMar>
              <w:top w:w="0" w:type="dxa"/>
              <w:left w:w="108" w:type="dxa"/>
              <w:bottom w:w="0" w:type="dxa"/>
              <w:right w:w="108" w:type="dxa"/>
            </w:tcMar>
          </w:tcPr>
          <w:p w14:paraId="30CCFCEA" w14:textId="77777777" w:rsidR="00E02967" w:rsidRPr="00A33B7B" w:rsidRDefault="00E02967" w:rsidP="00665611">
            <w:pPr>
              <w:pStyle w:val="FSCtblMain"/>
              <w:rPr>
                <w:sz w:val="20"/>
              </w:rPr>
            </w:pPr>
            <w:r w:rsidRPr="00A33B7B">
              <w:rPr>
                <w:sz w:val="20"/>
              </w:rPr>
              <w:t>mg (mmol)</w:t>
            </w:r>
          </w:p>
        </w:tc>
        <w:tc>
          <w:tcPr>
            <w:tcW w:w="1862" w:type="dxa"/>
            <w:tcBorders>
              <w:top w:val="nil"/>
              <w:left w:val="nil"/>
              <w:bottom w:val="nil"/>
              <w:right w:val="single" w:sz="8" w:space="0" w:color="auto"/>
            </w:tcBorders>
            <w:tcMar>
              <w:top w:w="0" w:type="dxa"/>
              <w:left w:w="108" w:type="dxa"/>
              <w:bottom w:w="0" w:type="dxa"/>
              <w:right w:w="108" w:type="dxa"/>
            </w:tcMar>
          </w:tcPr>
          <w:p w14:paraId="430F69CF" w14:textId="77777777" w:rsidR="00E02967" w:rsidRPr="00A33B7B" w:rsidRDefault="00E02967" w:rsidP="00665611">
            <w:pPr>
              <w:pStyle w:val="FSCtblMain"/>
              <w:rPr>
                <w:sz w:val="20"/>
              </w:rPr>
            </w:pPr>
            <w:r w:rsidRPr="00A33B7B">
              <w:rPr>
                <w:sz w:val="20"/>
              </w:rPr>
              <w:t>mg (mmol)</w:t>
            </w:r>
          </w:p>
        </w:tc>
      </w:tr>
      <w:tr w:rsidR="00E02967" w:rsidRPr="000A5607" w14:paraId="78F0DE2D" w14:textId="77777777" w:rsidTr="0061202A">
        <w:trPr>
          <w:trHeight w:val="747"/>
          <w:jc w:val="center"/>
        </w:trPr>
        <w:tc>
          <w:tcPr>
            <w:tcW w:w="2209" w:type="dxa"/>
            <w:tcBorders>
              <w:top w:val="nil"/>
              <w:left w:val="single" w:sz="8" w:space="0" w:color="auto"/>
              <w:bottom w:val="single" w:sz="8" w:space="0" w:color="auto"/>
              <w:right w:val="nil"/>
            </w:tcBorders>
            <w:tcMar>
              <w:top w:w="0" w:type="dxa"/>
              <w:left w:w="108" w:type="dxa"/>
              <w:bottom w:w="0" w:type="dxa"/>
              <w:right w:w="108" w:type="dxa"/>
            </w:tcMar>
          </w:tcPr>
          <w:p w14:paraId="5CC21947" w14:textId="77777777" w:rsidR="00E02967" w:rsidRPr="00A33B7B" w:rsidRDefault="00E02967" w:rsidP="00665611">
            <w:pPr>
              <w:pStyle w:val="FSCtblMain"/>
              <w:rPr>
                <w:sz w:val="20"/>
              </w:rPr>
            </w:pPr>
            <w:r w:rsidRPr="00A33B7B">
              <w:rPr>
                <w:sz w:val="20"/>
              </w:rPr>
              <w:t>(insert any other nutrient or biologically active substance to be declared)</w:t>
            </w:r>
          </w:p>
        </w:tc>
        <w:tc>
          <w:tcPr>
            <w:tcW w:w="2176" w:type="dxa"/>
            <w:tcBorders>
              <w:top w:val="nil"/>
              <w:left w:val="nil"/>
              <w:bottom w:val="single" w:sz="8" w:space="0" w:color="auto"/>
              <w:right w:val="nil"/>
            </w:tcBorders>
            <w:tcMar>
              <w:top w:w="0" w:type="dxa"/>
              <w:left w:w="108" w:type="dxa"/>
              <w:bottom w:w="0" w:type="dxa"/>
              <w:right w:w="108" w:type="dxa"/>
            </w:tcMar>
          </w:tcPr>
          <w:p w14:paraId="1D50928F" w14:textId="77777777" w:rsidR="00E02967" w:rsidRPr="00A33B7B" w:rsidRDefault="00E02967" w:rsidP="00665611">
            <w:pPr>
              <w:pStyle w:val="FSCtblMain"/>
              <w:rPr>
                <w:sz w:val="20"/>
              </w:rPr>
            </w:pPr>
            <w:r w:rsidRPr="00A33B7B">
              <w:rPr>
                <w:sz w:val="20"/>
              </w:rPr>
              <w:t xml:space="preserve">g, mg, </w:t>
            </w:r>
            <w:r w:rsidRPr="00A33B7B">
              <w:rPr>
                <w:rFonts w:cs="Times New Roman"/>
                <w:sz w:val="20"/>
              </w:rPr>
              <w:t>μ</w:t>
            </w:r>
            <w:r w:rsidRPr="00A33B7B">
              <w:rPr>
                <w:sz w:val="20"/>
              </w:rPr>
              <w:t>g (or other units as appropriate)</w:t>
            </w:r>
          </w:p>
        </w:tc>
        <w:tc>
          <w:tcPr>
            <w:tcW w:w="1862" w:type="dxa"/>
            <w:tcBorders>
              <w:top w:val="nil"/>
              <w:left w:val="nil"/>
              <w:bottom w:val="single" w:sz="8" w:space="0" w:color="auto"/>
              <w:right w:val="single" w:sz="8" w:space="0" w:color="auto"/>
            </w:tcBorders>
            <w:tcMar>
              <w:top w:w="0" w:type="dxa"/>
              <w:left w:w="108" w:type="dxa"/>
              <w:bottom w:w="0" w:type="dxa"/>
              <w:right w:w="108" w:type="dxa"/>
            </w:tcMar>
          </w:tcPr>
          <w:p w14:paraId="371342A7" w14:textId="77777777" w:rsidR="00E02967" w:rsidRPr="00A33B7B" w:rsidRDefault="00E02967" w:rsidP="00665611">
            <w:pPr>
              <w:pStyle w:val="FSCtblMain"/>
              <w:rPr>
                <w:sz w:val="20"/>
              </w:rPr>
            </w:pPr>
            <w:r w:rsidRPr="00A33B7B">
              <w:rPr>
                <w:sz w:val="20"/>
              </w:rPr>
              <w:t xml:space="preserve">g, mg, </w:t>
            </w:r>
            <w:r w:rsidRPr="00A33B7B">
              <w:rPr>
                <w:rFonts w:cs="Times New Roman"/>
                <w:sz w:val="20"/>
              </w:rPr>
              <w:t>μ</w:t>
            </w:r>
            <w:r w:rsidRPr="00A33B7B">
              <w:rPr>
                <w:sz w:val="20"/>
              </w:rPr>
              <w:t>g (or other units as appropriate)</w:t>
            </w:r>
          </w:p>
        </w:tc>
      </w:tr>
    </w:tbl>
    <w:p w14:paraId="2D389800" w14:textId="77777777" w:rsidR="00E02967" w:rsidRDefault="00E02967" w:rsidP="00FC5510">
      <w:pPr>
        <w:spacing w:after="0"/>
        <w:rPr>
          <w:rFonts w:ascii="Arial" w:eastAsia="Arial" w:hAnsi="Arial" w:cs="Arial"/>
        </w:rPr>
      </w:pPr>
    </w:p>
    <w:p w14:paraId="5C8C653F" w14:textId="0FA53C8D" w:rsidR="004E39A2" w:rsidRDefault="00C468C4" w:rsidP="00A22DD8">
      <w:pPr>
        <w:rPr>
          <w:rFonts w:ascii="Arial" w:eastAsia="Arial" w:hAnsi="Arial" w:cs="Arial"/>
        </w:rPr>
      </w:pPr>
      <w:r w:rsidRPr="1A79B7AB">
        <w:rPr>
          <w:rFonts w:ascii="Arial" w:eastAsia="Arial" w:hAnsi="Arial" w:cs="Arial"/>
        </w:rPr>
        <w:t>The</w:t>
      </w:r>
      <w:r w:rsidR="004E39A2" w:rsidRPr="1A79B7AB">
        <w:rPr>
          <w:rFonts w:ascii="Arial" w:eastAsia="Arial" w:hAnsi="Arial" w:cs="Arial"/>
        </w:rPr>
        <w:t xml:space="preserve"> NIP format includes information on energy content</w:t>
      </w:r>
      <w:r w:rsidR="00D81AEB" w:rsidRPr="1A79B7AB">
        <w:rPr>
          <w:rFonts w:ascii="Arial" w:eastAsia="Arial" w:hAnsi="Arial" w:cs="Arial"/>
        </w:rPr>
        <w:t>.</w:t>
      </w:r>
      <w:r w:rsidR="004E39A2" w:rsidRPr="1A79B7AB">
        <w:rPr>
          <w:rFonts w:ascii="Arial" w:eastAsia="Arial" w:hAnsi="Arial" w:cs="Arial"/>
        </w:rPr>
        <w:t xml:space="preserve"> </w:t>
      </w:r>
    </w:p>
    <w:p w14:paraId="7F7399CF" w14:textId="5675A03E" w:rsidR="0061202A" w:rsidRDefault="0061202A" w:rsidP="00A22DD8">
      <w:pPr>
        <w:rPr>
          <w:rFonts w:ascii="Arial" w:hAnsi="Arial" w:cs="Arial"/>
          <w:snapToGrid w:val="0"/>
          <w:lang w:val="en-GB"/>
        </w:rPr>
      </w:pPr>
      <w:r>
        <w:rPr>
          <w:rFonts w:ascii="Arial" w:eastAsia="Arial" w:hAnsi="Arial" w:cs="Arial"/>
        </w:rPr>
        <w:t xml:space="preserve">Around 6% of in-scope alcoholic beverage SKUs </w:t>
      </w:r>
      <w:r w:rsidR="00C468C4">
        <w:rPr>
          <w:rFonts w:ascii="Arial" w:eastAsia="Arial" w:hAnsi="Arial" w:cs="Arial"/>
        </w:rPr>
        <w:t>are labelled with a</w:t>
      </w:r>
      <w:r>
        <w:rPr>
          <w:rFonts w:ascii="Arial" w:eastAsia="Arial" w:hAnsi="Arial" w:cs="Arial"/>
        </w:rPr>
        <w:t xml:space="preserve"> NIP because a claim is voluntarily made by the producer, such as “low carb”, “low sugar”, or “low energy”.</w:t>
      </w:r>
      <w:r w:rsidR="0036358B">
        <w:rPr>
          <w:rFonts w:ascii="Arial" w:eastAsia="Arial" w:hAnsi="Arial" w:cs="Arial"/>
        </w:rPr>
        <w:t xml:space="preserve"> </w:t>
      </w:r>
      <w:r>
        <w:rPr>
          <w:rFonts w:ascii="Arial" w:eastAsia="Arial" w:hAnsi="Arial" w:cs="Arial"/>
        </w:rPr>
        <w:t>S</w:t>
      </w:r>
      <w:r w:rsidRPr="00AE30CE">
        <w:rPr>
          <w:rFonts w:ascii="Arial" w:hAnsi="Arial" w:cs="Arial"/>
          <w:snapToGrid w:val="0"/>
          <w:lang w:val="en-GB"/>
        </w:rPr>
        <w:t>ection 1.2</w:t>
      </w:r>
      <w:r>
        <w:rPr>
          <w:rFonts w:ascii="Arial" w:hAnsi="Arial" w:cs="Arial"/>
          <w:snapToGrid w:val="0"/>
          <w:lang w:val="en-GB"/>
        </w:rPr>
        <w:t>.8</w:t>
      </w:r>
      <w:r w:rsidRPr="00AE30CE">
        <w:rPr>
          <w:rFonts w:ascii="Arial" w:hAnsi="Arial" w:cs="Arial"/>
          <w:snapToGrid w:val="0"/>
          <w:lang w:val="en-GB"/>
        </w:rPr>
        <w:t>—</w:t>
      </w:r>
      <w:r>
        <w:rPr>
          <w:rFonts w:ascii="Arial" w:hAnsi="Arial" w:cs="Arial"/>
          <w:snapToGrid w:val="0"/>
          <w:lang w:val="en-GB"/>
        </w:rPr>
        <w:t>5</w:t>
      </w:r>
      <w:r w:rsidRPr="00AE30CE">
        <w:rPr>
          <w:rFonts w:ascii="Arial" w:hAnsi="Arial" w:cs="Arial"/>
          <w:snapToGrid w:val="0"/>
          <w:lang w:val="en-GB"/>
        </w:rPr>
        <w:t xml:space="preserve"> of the Code</w:t>
      </w:r>
      <w:r>
        <w:rPr>
          <w:rFonts w:ascii="Arial" w:hAnsi="Arial" w:cs="Arial"/>
          <w:snapToGrid w:val="0"/>
          <w:lang w:val="en-GB"/>
        </w:rPr>
        <w:t xml:space="preserve"> triggers the requirement for a NIP </w:t>
      </w:r>
      <w:r w:rsidR="002B1340">
        <w:rPr>
          <w:rFonts w:ascii="Arial" w:hAnsi="Arial" w:cs="Arial"/>
          <w:snapToGrid w:val="0"/>
          <w:lang w:val="en-GB"/>
        </w:rPr>
        <w:t xml:space="preserve">when </w:t>
      </w:r>
      <w:r>
        <w:rPr>
          <w:rFonts w:ascii="Arial" w:hAnsi="Arial" w:cs="Arial"/>
          <w:snapToGrid w:val="0"/>
          <w:lang w:val="en-GB"/>
        </w:rPr>
        <w:t>nutrition content</w:t>
      </w:r>
      <w:r w:rsidR="007C7283">
        <w:rPr>
          <w:rFonts w:ascii="Arial" w:hAnsi="Arial" w:cs="Arial"/>
          <w:snapToGrid w:val="0"/>
          <w:lang w:val="en-GB"/>
        </w:rPr>
        <w:t xml:space="preserve"> or health</w:t>
      </w:r>
      <w:r>
        <w:rPr>
          <w:rFonts w:ascii="Arial" w:hAnsi="Arial" w:cs="Arial"/>
          <w:snapToGrid w:val="0"/>
          <w:lang w:val="en-GB"/>
        </w:rPr>
        <w:t xml:space="preserve"> claims are made</w:t>
      </w:r>
      <w:r w:rsidR="002B1340">
        <w:rPr>
          <w:rFonts w:ascii="Arial" w:hAnsi="Arial" w:cs="Arial"/>
          <w:snapToGrid w:val="0"/>
          <w:lang w:val="en-GB"/>
        </w:rPr>
        <w:t xml:space="preserve"> on the label of alcoholic beverages</w:t>
      </w:r>
      <w:r>
        <w:rPr>
          <w:rFonts w:ascii="Arial" w:hAnsi="Arial" w:cs="Arial"/>
          <w:snapToGrid w:val="0"/>
          <w:lang w:val="en-GB"/>
        </w:rPr>
        <w:t>.</w:t>
      </w:r>
    </w:p>
    <w:p w14:paraId="2CD28B61" w14:textId="09E44F3B" w:rsidR="00414973" w:rsidRDefault="002B1340" w:rsidP="6A15B411">
      <w:pPr>
        <w:rPr>
          <w:rFonts w:ascii="Arial" w:hAnsi="Arial" w:cs="Arial"/>
          <w:snapToGrid w:val="0"/>
        </w:rPr>
      </w:pPr>
      <w:r w:rsidRPr="6A15B411">
        <w:rPr>
          <w:rFonts w:ascii="Arial" w:hAnsi="Arial" w:cs="Arial"/>
          <w:snapToGrid w:val="0"/>
        </w:rPr>
        <w:t>The Code also permits alcoholic beverages to voluntarily provide a NIP on their labels. FSANZ estimates a</w:t>
      </w:r>
      <w:r w:rsidR="0061202A" w:rsidRPr="6A15B411">
        <w:rPr>
          <w:rFonts w:ascii="Arial" w:hAnsi="Arial" w:cs="Arial"/>
          <w:snapToGrid w:val="0"/>
        </w:rPr>
        <w:t xml:space="preserve"> further 2% of alcoholic beverage</w:t>
      </w:r>
      <w:r w:rsidR="00BF5ABE" w:rsidRPr="6A15B411">
        <w:rPr>
          <w:rFonts w:ascii="Arial" w:hAnsi="Arial" w:cs="Arial"/>
          <w:snapToGrid w:val="0"/>
        </w:rPr>
        <w:t xml:space="preserve"> SKU</w:t>
      </w:r>
      <w:r w:rsidR="0061202A" w:rsidRPr="6A15B411">
        <w:rPr>
          <w:rFonts w:ascii="Arial" w:hAnsi="Arial" w:cs="Arial"/>
          <w:snapToGrid w:val="0"/>
        </w:rPr>
        <w:t xml:space="preserve">s </w:t>
      </w:r>
      <w:r w:rsidRPr="6A15B411">
        <w:rPr>
          <w:rFonts w:ascii="Arial" w:hAnsi="Arial" w:cs="Arial"/>
          <w:snapToGrid w:val="0"/>
        </w:rPr>
        <w:t xml:space="preserve">are </w:t>
      </w:r>
      <w:r w:rsidR="0061202A" w:rsidRPr="6A15B411">
        <w:rPr>
          <w:rFonts w:ascii="Arial" w:hAnsi="Arial" w:cs="Arial"/>
          <w:snapToGrid w:val="0"/>
        </w:rPr>
        <w:t xml:space="preserve">currently </w:t>
      </w:r>
      <w:r w:rsidRPr="6A15B411">
        <w:rPr>
          <w:rFonts w:ascii="Arial" w:hAnsi="Arial" w:cs="Arial"/>
          <w:snapToGrid w:val="0"/>
        </w:rPr>
        <w:t>labelled with a voluntary</w:t>
      </w:r>
      <w:r w:rsidR="0061202A" w:rsidRPr="6A15B411">
        <w:rPr>
          <w:rFonts w:ascii="Arial" w:hAnsi="Arial" w:cs="Arial"/>
          <w:snapToGrid w:val="0"/>
        </w:rPr>
        <w:t xml:space="preserve"> </w:t>
      </w:r>
      <w:r w:rsidRPr="6A15B411">
        <w:rPr>
          <w:rFonts w:ascii="Arial" w:hAnsi="Arial" w:cs="Arial"/>
          <w:snapToGrid w:val="0"/>
        </w:rPr>
        <w:t>NIP</w:t>
      </w:r>
      <w:r w:rsidR="0061202A" w:rsidRPr="6A15B411">
        <w:rPr>
          <w:rFonts w:ascii="Arial" w:hAnsi="Arial" w:cs="Arial"/>
          <w:snapToGrid w:val="0"/>
        </w:rPr>
        <w:t>.</w:t>
      </w:r>
      <w:r w:rsidR="00CC3CBA" w:rsidRPr="6A15B411">
        <w:rPr>
          <w:rFonts w:ascii="Arial" w:hAnsi="Arial" w:cs="Arial"/>
          <w:snapToGrid w:val="0"/>
        </w:rPr>
        <w:t xml:space="preserve"> </w:t>
      </w:r>
      <w:r w:rsidR="00E615A6" w:rsidRPr="6A15B411">
        <w:rPr>
          <w:rFonts w:ascii="Arial" w:hAnsi="Arial" w:cs="Arial"/>
          <w:snapToGrid w:val="0"/>
        </w:rPr>
        <w:t>I</w:t>
      </w:r>
      <w:r w:rsidR="00CC3CBA" w:rsidRPr="6A15B411">
        <w:rPr>
          <w:rFonts w:ascii="Arial" w:hAnsi="Arial" w:cs="Arial"/>
          <w:snapToGrid w:val="0"/>
        </w:rPr>
        <w:t xml:space="preserve">t is </w:t>
      </w:r>
      <w:r w:rsidR="00612D0E" w:rsidRPr="6A15B411">
        <w:rPr>
          <w:rFonts w:ascii="Arial" w:hAnsi="Arial" w:cs="Arial"/>
          <w:snapToGrid w:val="0"/>
        </w:rPr>
        <w:t>assumed</w:t>
      </w:r>
      <w:r w:rsidR="00CC3CBA" w:rsidRPr="6A15B411">
        <w:rPr>
          <w:rFonts w:ascii="Arial" w:hAnsi="Arial" w:cs="Arial"/>
          <w:snapToGrid w:val="0"/>
        </w:rPr>
        <w:t xml:space="preserve"> that most (if not all</w:t>
      </w:r>
      <w:r w:rsidR="00BF5ABE" w:rsidRPr="6A15B411">
        <w:rPr>
          <w:rFonts w:ascii="Arial" w:hAnsi="Arial" w:cs="Arial"/>
          <w:snapToGrid w:val="0"/>
        </w:rPr>
        <w:t xml:space="preserve">) </w:t>
      </w:r>
      <w:r w:rsidR="002C733E" w:rsidRPr="6A15B411">
        <w:rPr>
          <w:rFonts w:ascii="Arial" w:hAnsi="Arial" w:cs="Arial"/>
          <w:snapToGrid w:val="0"/>
        </w:rPr>
        <w:t xml:space="preserve">voluntary NIPs already meet </w:t>
      </w:r>
      <w:r w:rsidR="002C733E" w:rsidRPr="6A15B411" w:rsidDel="008D7B25">
        <w:rPr>
          <w:rFonts w:ascii="Arial" w:hAnsi="Arial" w:cs="Arial"/>
          <w:snapToGrid w:val="0"/>
        </w:rPr>
        <w:t xml:space="preserve">the </w:t>
      </w:r>
      <w:r w:rsidR="002C733E" w:rsidRPr="6A15B411">
        <w:rPr>
          <w:rFonts w:ascii="Arial" w:hAnsi="Arial" w:cs="Arial"/>
          <w:snapToGrid w:val="0"/>
        </w:rPr>
        <w:t>existing content and format requirements (see Figure 1-4) despite no current provisions in the Code to clearly identify content and format requirements for voluntary NIPs.</w:t>
      </w:r>
    </w:p>
    <w:p w14:paraId="16C0385E" w14:textId="77777777" w:rsidR="00414973" w:rsidRDefault="00414973">
      <w:pPr>
        <w:rPr>
          <w:rFonts w:ascii="Arial" w:hAnsi="Arial" w:cs="Arial"/>
          <w:snapToGrid w:val="0"/>
        </w:rPr>
      </w:pPr>
      <w:r>
        <w:rPr>
          <w:rFonts w:ascii="Arial" w:hAnsi="Arial" w:cs="Arial"/>
          <w:snapToGrid w:val="0"/>
        </w:rPr>
        <w:br w:type="page"/>
      </w:r>
    </w:p>
    <w:p w14:paraId="51DFAAA6" w14:textId="799C484E" w:rsidR="000A4735" w:rsidRDefault="000A4735" w:rsidP="00CE3140">
      <w:pPr>
        <w:pStyle w:val="Heading2"/>
        <w:numPr>
          <w:ilvl w:val="0"/>
          <w:numId w:val="10"/>
        </w:numPr>
        <w:rPr>
          <w:rFonts w:eastAsia="Arial"/>
        </w:rPr>
      </w:pPr>
      <w:bookmarkStart w:id="11" w:name="_Toc194475988"/>
      <w:r>
        <w:rPr>
          <w:rFonts w:eastAsia="Arial"/>
        </w:rPr>
        <w:lastRenderedPageBreak/>
        <w:t>What is the policy problem?</w:t>
      </w:r>
      <w:bookmarkEnd w:id="11"/>
    </w:p>
    <w:p w14:paraId="69F32302" w14:textId="1EDF659A" w:rsidR="008F39E9" w:rsidRPr="00AB571B" w:rsidRDefault="00B27439" w:rsidP="00AB571B">
      <w:pPr>
        <w:spacing w:after="120"/>
        <w:textAlignment w:val="baseline"/>
        <w:rPr>
          <w:rFonts w:ascii="Arial" w:hAnsi="Arial" w:cs="Arial"/>
          <w:snapToGrid w:val="0"/>
          <w:lang w:val="en-NZ"/>
        </w:rPr>
      </w:pPr>
      <w:r>
        <w:rPr>
          <w:rFonts w:ascii="Arial" w:hAnsi="Arial" w:cs="Arial"/>
          <w:snapToGrid w:val="0"/>
          <w:lang w:val="en-NZ"/>
        </w:rPr>
        <w:t>Currently, u</w:t>
      </w:r>
      <w:r w:rsidR="00AB571B" w:rsidRPr="00AB571B">
        <w:rPr>
          <w:rFonts w:ascii="Arial" w:hAnsi="Arial" w:cs="Arial"/>
          <w:snapToGrid w:val="0"/>
          <w:lang w:val="en-NZ"/>
        </w:rPr>
        <w:t xml:space="preserve">nless a packaged alcoholic beverage makes a nutrition content </w:t>
      </w:r>
      <w:r w:rsidR="00AB571B" w:rsidRPr="00AB571B" w:rsidDel="00093D8E">
        <w:rPr>
          <w:rFonts w:ascii="Arial" w:hAnsi="Arial" w:cs="Arial"/>
          <w:snapToGrid w:val="0"/>
          <w:lang w:val="en-NZ"/>
        </w:rPr>
        <w:t xml:space="preserve">or health </w:t>
      </w:r>
      <w:r w:rsidR="00AB571B" w:rsidRPr="00AB571B">
        <w:rPr>
          <w:rFonts w:ascii="Arial" w:hAnsi="Arial" w:cs="Arial"/>
          <w:snapToGrid w:val="0"/>
          <w:lang w:val="en-NZ"/>
        </w:rPr>
        <w:t>claim</w:t>
      </w:r>
      <w:r w:rsidR="001D6C12">
        <w:rPr>
          <w:rFonts w:ascii="Arial" w:hAnsi="Arial" w:cs="Arial"/>
          <w:snapToGrid w:val="0"/>
          <w:lang w:val="en-NZ"/>
        </w:rPr>
        <w:t>,</w:t>
      </w:r>
      <w:r w:rsidR="00AB571B" w:rsidRPr="00AB571B">
        <w:rPr>
          <w:rFonts w:ascii="Arial" w:hAnsi="Arial" w:cs="Arial"/>
          <w:snapToGrid w:val="0"/>
          <w:lang w:val="en-NZ"/>
        </w:rPr>
        <w:t xml:space="preserve"> it is exempt from the requirement to be labelled with a NIP</w:t>
      </w:r>
      <w:r w:rsidR="004E39A2">
        <w:rPr>
          <w:rFonts w:ascii="Arial" w:hAnsi="Arial" w:cs="Arial"/>
          <w:snapToGrid w:val="0"/>
          <w:lang w:val="en-NZ"/>
        </w:rPr>
        <w:t xml:space="preserve">, </w:t>
      </w:r>
      <w:r w:rsidR="0044121B">
        <w:rPr>
          <w:rFonts w:ascii="Arial" w:hAnsi="Arial" w:cs="Arial"/>
          <w:snapToGrid w:val="0"/>
          <w:lang w:val="en-NZ"/>
        </w:rPr>
        <w:t xml:space="preserve">and therefore exempt from any requirement </w:t>
      </w:r>
      <w:r>
        <w:rPr>
          <w:rFonts w:ascii="Arial" w:hAnsi="Arial" w:cs="Arial"/>
          <w:snapToGrid w:val="0"/>
          <w:lang w:val="en-NZ"/>
        </w:rPr>
        <w:t xml:space="preserve">to be labelled with </w:t>
      </w:r>
      <w:r w:rsidR="0044121B">
        <w:rPr>
          <w:rFonts w:ascii="Arial" w:hAnsi="Arial" w:cs="Arial"/>
          <w:snapToGrid w:val="0"/>
          <w:lang w:val="en-NZ"/>
        </w:rPr>
        <w:t>energy content information</w:t>
      </w:r>
      <w:r w:rsidR="00342B8E">
        <w:rPr>
          <w:rFonts w:ascii="Arial" w:hAnsi="Arial" w:cs="Arial"/>
          <w:snapToGrid w:val="0"/>
          <w:lang w:val="en-NZ"/>
        </w:rPr>
        <w:t>.</w:t>
      </w:r>
      <w:r w:rsidR="0044121B">
        <w:rPr>
          <w:rFonts w:ascii="Arial" w:hAnsi="Arial" w:cs="Arial"/>
          <w:snapToGrid w:val="0"/>
          <w:lang w:val="en-NZ"/>
        </w:rPr>
        <w:t xml:space="preserve"> </w:t>
      </w:r>
      <w:r w:rsidR="00AB571B" w:rsidRPr="00AB571B">
        <w:rPr>
          <w:rFonts w:ascii="Arial" w:hAnsi="Arial" w:cs="Arial"/>
          <w:snapToGrid w:val="0"/>
          <w:lang w:val="en-NZ"/>
        </w:rPr>
        <w:t>This is in contrast to most other packaged food and beverages</w:t>
      </w:r>
      <w:r w:rsidR="00E45061">
        <w:rPr>
          <w:rFonts w:ascii="Arial" w:hAnsi="Arial" w:cs="Arial"/>
          <w:snapToGrid w:val="0"/>
          <w:lang w:val="en-NZ"/>
        </w:rPr>
        <w:t>,</w:t>
      </w:r>
      <w:r w:rsidR="00AB571B" w:rsidRPr="00AB571B">
        <w:rPr>
          <w:rFonts w:ascii="Arial" w:hAnsi="Arial" w:cs="Arial"/>
          <w:snapToGrid w:val="0"/>
          <w:lang w:val="en-NZ"/>
        </w:rPr>
        <w:t xml:space="preserve"> which are required to provide a NIP.</w:t>
      </w:r>
      <w:r w:rsidR="001D6C12">
        <w:rPr>
          <w:rFonts w:ascii="Arial" w:hAnsi="Arial" w:cs="Arial"/>
          <w:snapToGrid w:val="0"/>
          <w:lang w:val="en-NZ"/>
        </w:rPr>
        <w:t xml:space="preserve"> FSANZ estimates that 92% of in-scope SKUs </w:t>
      </w:r>
      <w:r w:rsidR="00C468C4">
        <w:rPr>
          <w:rFonts w:ascii="Arial" w:hAnsi="Arial" w:cs="Arial"/>
          <w:snapToGrid w:val="0"/>
          <w:lang w:val="en-NZ"/>
        </w:rPr>
        <w:t>are not labelled with</w:t>
      </w:r>
      <w:r w:rsidR="001D6C12">
        <w:rPr>
          <w:rFonts w:ascii="Arial" w:hAnsi="Arial" w:cs="Arial"/>
          <w:snapToGrid w:val="0"/>
          <w:lang w:val="en-NZ"/>
        </w:rPr>
        <w:t xml:space="preserve"> energy content information because a NIP is n</w:t>
      </w:r>
      <w:r w:rsidR="00867E4A">
        <w:rPr>
          <w:rFonts w:ascii="Arial" w:hAnsi="Arial" w:cs="Arial"/>
          <w:snapToGrid w:val="0"/>
          <w:lang w:val="en-NZ"/>
        </w:rPr>
        <w:t xml:space="preserve">either </w:t>
      </w:r>
      <w:r w:rsidR="001D6C12">
        <w:rPr>
          <w:rFonts w:ascii="Arial" w:hAnsi="Arial" w:cs="Arial"/>
          <w:snapToGrid w:val="0"/>
          <w:lang w:val="en-NZ"/>
        </w:rPr>
        <w:t>required nor voluntarily included.</w:t>
      </w:r>
    </w:p>
    <w:p w14:paraId="798B67F9" w14:textId="0F1085E4" w:rsidR="00AB571B" w:rsidRPr="00A636F7" w:rsidRDefault="00AB571B" w:rsidP="000A4735">
      <w:pPr>
        <w:spacing w:after="120"/>
        <w:textAlignment w:val="baseline"/>
        <w:rPr>
          <w:rFonts w:ascii="Arial" w:hAnsi="Arial" w:cs="Arial"/>
          <w:snapToGrid w:val="0"/>
          <w:lang w:val="en-NZ"/>
        </w:rPr>
      </w:pPr>
      <w:r w:rsidRPr="00AB571B">
        <w:rPr>
          <w:rFonts w:ascii="Arial" w:hAnsi="Arial" w:cs="Arial"/>
          <w:snapToGrid w:val="0"/>
          <w:lang w:val="en-NZ"/>
        </w:rPr>
        <w:t xml:space="preserve">A lack of information and consistency in the presentation of energy labelling on alcoholic beverages prevents consumers from </w:t>
      </w:r>
      <w:r w:rsidR="00EC2834">
        <w:rPr>
          <w:rFonts w:ascii="Arial" w:hAnsi="Arial" w:cs="Arial"/>
          <w:snapToGrid w:val="0"/>
          <w:lang w:val="en-NZ"/>
        </w:rPr>
        <w:t xml:space="preserve">being able to </w:t>
      </w:r>
      <w:r w:rsidRPr="00AB571B">
        <w:rPr>
          <w:rFonts w:ascii="Arial" w:hAnsi="Arial" w:cs="Arial"/>
          <w:snapToGrid w:val="0"/>
          <w:lang w:val="en-NZ"/>
        </w:rPr>
        <w:t>make informed choices and potentially better manage health outcomes and/or their welfare more broadly. This is particularly relevant in the context of Australian and New Zealand dietary guidelines</w:t>
      </w:r>
      <w:r w:rsidR="00C71728">
        <w:rPr>
          <w:rFonts w:ascii="Arial" w:hAnsi="Arial" w:cs="Arial"/>
          <w:snapToGrid w:val="0"/>
          <w:lang w:val="en-NZ"/>
        </w:rPr>
        <w:t xml:space="preserve"> </w:t>
      </w:r>
      <w:r w:rsidR="009F6C78">
        <w:rPr>
          <w:rFonts w:ascii="Arial" w:hAnsi="Arial" w:cs="Arial"/>
          <w:snapToGrid w:val="0"/>
          <w:lang w:val="en-NZ"/>
        </w:rPr>
        <w:t>(</w:t>
      </w:r>
      <w:r w:rsidR="00C71728" w:rsidRPr="00F72952">
        <w:rPr>
          <w:rFonts w:ascii="Arial" w:hAnsi="Arial" w:cs="Arial"/>
          <w:lang w:val="en-AU"/>
        </w:rPr>
        <w:t>NHMRC 2013</w:t>
      </w:r>
      <w:r w:rsidR="009F6C78">
        <w:rPr>
          <w:rFonts w:ascii="Arial" w:hAnsi="Arial" w:cs="Arial"/>
          <w:lang w:val="en-AU"/>
        </w:rPr>
        <w:t xml:space="preserve">; </w:t>
      </w:r>
      <w:r w:rsidR="00BF6CD5" w:rsidRPr="00F72952">
        <w:rPr>
          <w:rFonts w:ascii="Arial" w:hAnsi="Arial" w:cs="Arial"/>
          <w:lang w:val="en-AU"/>
        </w:rPr>
        <w:t xml:space="preserve">New Zealand Ministry of Health 2020) </w:t>
      </w:r>
      <w:r w:rsidRPr="00AB571B">
        <w:rPr>
          <w:rFonts w:ascii="Arial" w:hAnsi="Arial" w:cs="Arial"/>
          <w:snapToGrid w:val="0"/>
          <w:lang w:val="en-NZ"/>
        </w:rPr>
        <w:t>that recommend limiting alcohol intake to assist in managing body weight</w:t>
      </w:r>
      <w:r w:rsidR="009F6C78">
        <w:rPr>
          <w:rFonts w:ascii="Arial" w:hAnsi="Arial" w:cs="Arial"/>
          <w:snapToGrid w:val="0"/>
          <w:lang w:val="en-NZ"/>
        </w:rPr>
        <w:t>;</w:t>
      </w:r>
      <w:r w:rsidRPr="00AB571B">
        <w:rPr>
          <w:rFonts w:ascii="Arial" w:hAnsi="Arial" w:cs="Arial"/>
          <w:snapToGrid w:val="0"/>
          <w:lang w:val="en-NZ"/>
        </w:rPr>
        <w:t xml:space="preserve"> and ministerial policy guidance</w:t>
      </w:r>
      <w:r w:rsidR="00342B8E">
        <w:rPr>
          <w:rStyle w:val="FootnoteReference"/>
          <w:rFonts w:ascii="Arial" w:hAnsi="Arial" w:cs="Arial"/>
          <w:snapToGrid w:val="0"/>
          <w:lang w:val="en-NZ"/>
        </w:rPr>
        <w:footnoteReference w:id="13"/>
      </w:r>
      <w:r w:rsidRPr="00AB571B">
        <w:rPr>
          <w:rFonts w:ascii="Arial" w:hAnsi="Arial" w:cs="Arial"/>
          <w:snapToGrid w:val="0"/>
          <w:lang w:val="en-NZ"/>
        </w:rPr>
        <w:t xml:space="preserve"> that </w:t>
      </w:r>
      <w:r w:rsidR="009F6C78">
        <w:rPr>
          <w:rFonts w:ascii="Arial" w:hAnsi="Arial" w:cs="Arial"/>
          <w:snapToGrid w:val="0"/>
          <w:lang w:val="en-NZ"/>
        </w:rPr>
        <w:t xml:space="preserve">states </w:t>
      </w:r>
      <w:r w:rsidRPr="00AB571B">
        <w:rPr>
          <w:rFonts w:ascii="Arial" w:hAnsi="Arial" w:cs="Arial"/>
          <w:snapToGrid w:val="0"/>
          <w:lang w:val="en-NZ"/>
        </w:rPr>
        <w:t xml:space="preserve">Food Ministers expect food labels to provide adequate information to enable consumers to make informed food choices </w:t>
      </w:r>
      <w:r w:rsidR="000E4967">
        <w:rPr>
          <w:rFonts w:ascii="Arial" w:hAnsi="Arial" w:cs="Arial"/>
          <w:snapToGrid w:val="0"/>
          <w:lang w:val="en-NZ"/>
        </w:rPr>
        <w:t>in</w:t>
      </w:r>
      <w:r w:rsidR="000E4967" w:rsidRPr="00AB571B">
        <w:rPr>
          <w:rFonts w:ascii="Arial" w:hAnsi="Arial" w:cs="Arial"/>
          <w:snapToGrid w:val="0"/>
          <w:lang w:val="en-NZ"/>
        </w:rPr>
        <w:t xml:space="preserve"> </w:t>
      </w:r>
      <w:r w:rsidRPr="00AB571B">
        <w:rPr>
          <w:rFonts w:ascii="Arial" w:hAnsi="Arial" w:cs="Arial"/>
          <w:snapToGrid w:val="0"/>
          <w:lang w:val="en-NZ"/>
        </w:rPr>
        <w:t xml:space="preserve">support </w:t>
      </w:r>
      <w:r w:rsidR="000E4967">
        <w:rPr>
          <w:rFonts w:ascii="Arial" w:hAnsi="Arial" w:cs="Arial"/>
          <w:snapToGrid w:val="0"/>
          <w:lang w:val="en-NZ"/>
        </w:rPr>
        <w:t>of</w:t>
      </w:r>
      <w:r w:rsidRPr="00AB571B">
        <w:rPr>
          <w:rFonts w:ascii="Arial" w:hAnsi="Arial" w:cs="Arial"/>
          <w:snapToGrid w:val="0"/>
          <w:lang w:val="en-NZ"/>
        </w:rPr>
        <w:t xml:space="preserve"> dietary guidelines. </w:t>
      </w:r>
    </w:p>
    <w:p w14:paraId="09D1F88A" w14:textId="77777777" w:rsidR="00E851E2" w:rsidRDefault="00E851E2" w:rsidP="6A15B411">
      <w:pPr>
        <w:rPr>
          <w:rStyle w:val="normaltextrun"/>
          <w:rFonts w:ascii="Arial" w:hAnsi="Arial" w:cs="Arial"/>
          <w:color w:val="000000"/>
          <w:shd w:val="clear" w:color="auto" w:fill="FFFFFF"/>
        </w:rPr>
      </w:pPr>
      <w:r w:rsidRPr="6A15B411">
        <w:rPr>
          <w:rStyle w:val="normaltextrun"/>
          <w:rFonts w:ascii="Arial" w:hAnsi="Arial" w:cs="Arial"/>
          <w:color w:val="000000"/>
          <w:shd w:val="clear" w:color="auto" w:fill="FFFFFF"/>
        </w:rPr>
        <w:t>In</w:t>
      </w:r>
      <w:r w:rsidR="00AD6432" w:rsidRPr="6A15B411">
        <w:rPr>
          <w:rStyle w:val="normaltextrun"/>
          <w:rFonts w:ascii="Arial" w:hAnsi="Arial" w:cs="Arial"/>
          <w:color w:val="000000"/>
          <w:shd w:val="clear" w:color="auto" w:fill="FFFFFF"/>
        </w:rPr>
        <w:t xml:space="preserve"> August 2019, the Australia and New Zealand Ministerial Forum on Food Regulation (now the Food Ministers’ Meeting (FMM)) noted</w:t>
      </w:r>
      <w:r w:rsidR="00AD6432" w:rsidRPr="6A15B411">
        <w:rPr>
          <w:rStyle w:val="normaltextrun"/>
          <w:rFonts w:ascii="Arial" w:hAnsi="Arial" w:cs="Arial"/>
          <w:color w:val="000000" w:themeColor="text1"/>
        </w:rPr>
        <w:t>: “</w:t>
      </w:r>
      <w:r w:rsidR="00AD6432" w:rsidRPr="6A15B411">
        <w:rPr>
          <w:rFonts w:ascii="Arial" w:hAnsi="Arial" w:cs="Arial"/>
          <w:i/>
          <w:iCs/>
        </w:rPr>
        <w:t>Currently, consumers’ ability to understand the energy contribution that alcohol makes to their diet is severely limited, as alcoholic beverages are exempt from providing nutrition</w:t>
      </w:r>
      <w:r w:rsidR="00AD6432" w:rsidRPr="6A15B411">
        <w:rPr>
          <w:rFonts w:ascii="Arial" w:hAnsi="Arial" w:cs="Arial"/>
          <w:color w:val="000000"/>
          <w:shd w:val="clear" w:color="auto" w:fill="FFFFFF"/>
        </w:rPr>
        <w:t xml:space="preserve"> </w:t>
      </w:r>
      <w:r w:rsidR="00AD6432" w:rsidRPr="6A15B411">
        <w:rPr>
          <w:rFonts w:ascii="Arial" w:hAnsi="Arial" w:cs="Arial"/>
          <w:i/>
          <w:iCs/>
        </w:rPr>
        <w:t>information on the label.”</w:t>
      </w:r>
      <w:r w:rsidR="00AD6432" w:rsidRPr="6A15B411">
        <w:rPr>
          <w:rStyle w:val="normaltextrun"/>
          <w:rFonts w:ascii="Arial" w:hAnsi="Arial" w:cs="Arial"/>
          <w:color w:val="000000"/>
          <w:shd w:val="clear" w:color="auto" w:fill="FFFFFF"/>
        </w:rPr>
        <w:t xml:space="preserve"> The Ministers </w:t>
      </w:r>
      <w:r w:rsidRPr="6A15B411">
        <w:rPr>
          <w:rStyle w:val="normaltextrun"/>
          <w:rFonts w:ascii="Arial" w:hAnsi="Arial" w:cs="Arial"/>
          <w:color w:val="000000"/>
          <w:shd w:val="clear" w:color="auto" w:fill="FFFFFF"/>
        </w:rPr>
        <w:t xml:space="preserve">then </w:t>
      </w:r>
      <w:r w:rsidR="00AD6432" w:rsidRPr="6A15B411">
        <w:rPr>
          <w:rStyle w:val="normaltextrun"/>
          <w:rFonts w:ascii="Arial" w:hAnsi="Arial" w:cs="Arial"/>
          <w:color w:val="000000"/>
          <w:shd w:val="clear" w:color="auto" w:fill="FFFFFF"/>
        </w:rPr>
        <w:t xml:space="preserve">asked FSANZ to consider energy labelling on alcoholic beverages. </w:t>
      </w:r>
    </w:p>
    <w:p w14:paraId="53F86EEC" w14:textId="47AF836C" w:rsidR="00804D03" w:rsidRDefault="009F6C78" w:rsidP="00AD6432">
      <w:pPr>
        <w:rPr>
          <w:rFonts w:ascii="Arial" w:hAnsi="Arial" w:cs="Arial"/>
          <w:snapToGrid w:val="0"/>
          <w:lang w:val="en-NZ"/>
        </w:rPr>
      </w:pPr>
      <w:r>
        <w:rPr>
          <w:rFonts w:ascii="Arial" w:hAnsi="Arial" w:cs="Arial"/>
          <w:snapToGrid w:val="0"/>
        </w:rPr>
        <w:t>Available consumer</w:t>
      </w:r>
      <w:r w:rsidRPr="00AD2D16">
        <w:rPr>
          <w:rFonts w:ascii="Arial" w:hAnsi="Arial" w:cs="Arial"/>
          <w:snapToGrid w:val="0"/>
        </w:rPr>
        <w:t xml:space="preserve"> </w:t>
      </w:r>
      <w:r w:rsidR="00386F01">
        <w:rPr>
          <w:rFonts w:ascii="Arial" w:hAnsi="Arial" w:cs="Arial"/>
          <w:snapToGrid w:val="0"/>
        </w:rPr>
        <w:t>evidence</w:t>
      </w:r>
      <w:r w:rsidR="00386F01" w:rsidRPr="00AD2D16">
        <w:rPr>
          <w:rFonts w:ascii="Arial" w:hAnsi="Arial" w:cs="Arial"/>
          <w:snapToGrid w:val="0"/>
        </w:rPr>
        <w:t xml:space="preserve"> </w:t>
      </w:r>
      <w:r>
        <w:rPr>
          <w:rFonts w:ascii="Arial" w:hAnsi="Arial" w:cs="Arial"/>
          <w:snapToGrid w:val="0"/>
        </w:rPr>
        <w:t>indicates</w:t>
      </w:r>
      <w:r w:rsidR="00074A8B">
        <w:rPr>
          <w:rFonts w:ascii="Arial" w:hAnsi="Arial" w:cs="Arial"/>
          <w:snapToGrid w:val="0"/>
        </w:rPr>
        <w:t xml:space="preserve"> that</w:t>
      </w:r>
      <w:bookmarkStart w:id="12" w:name="_Hlk113888435"/>
      <w:r w:rsidR="000D12F8">
        <w:rPr>
          <w:rFonts w:ascii="Arial" w:hAnsi="Arial" w:cs="Arial"/>
          <w:snapToGrid w:val="0"/>
          <w:lang w:val="en-GB"/>
        </w:rPr>
        <w:t xml:space="preserve"> </w:t>
      </w:r>
      <w:r w:rsidR="00074A8B" w:rsidRPr="00A26016">
        <w:rPr>
          <w:rFonts w:ascii="Arial" w:hAnsi="Arial" w:cs="Arial"/>
          <w:snapToGrid w:val="0"/>
          <w:lang w:val="en-GB"/>
        </w:rPr>
        <w:t xml:space="preserve">consumers </w:t>
      </w:r>
      <w:r w:rsidR="004F1BCD">
        <w:rPr>
          <w:rFonts w:ascii="Arial" w:hAnsi="Arial" w:cs="Arial"/>
          <w:snapToGrid w:val="0"/>
          <w:lang w:val="en-GB"/>
        </w:rPr>
        <w:t>generally</w:t>
      </w:r>
      <w:r w:rsidR="00074A8B" w:rsidRPr="00A26016">
        <w:rPr>
          <w:rFonts w:ascii="Arial" w:hAnsi="Arial" w:cs="Arial"/>
          <w:snapToGrid w:val="0"/>
          <w:lang w:val="en-GB"/>
        </w:rPr>
        <w:t xml:space="preserve"> have a poor understanding of the energy content of alcoholic beverages</w:t>
      </w:r>
      <w:bookmarkEnd w:id="12"/>
      <w:r w:rsidR="001D6C12">
        <w:rPr>
          <w:rFonts w:ascii="Arial" w:hAnsi="Arial" w:cs="Arial"/>
          <w:snapToGrid w:val="0"/>
          <w:lang w:val="en-GB"/>
        </w:rPr>
        <w:t xml:space="preserve"> and </w:t>
      </w:r>
      <w:r w:rsidR="001D6C12" w:rsidRPr="00A26016">
        <w:rPr>
          <w:rFonts w:ascii="Arial" w:hAnsi="Arial" w:cs="Arial"/>
          <w:snapToGrid w:val="0"/>
          <w:lang w:val="en-GB"/>
        </w:rPr>
        <w:t xml:space="preserve">are </w:t>
      </w:r>
      <w:r w:rsidR="00325967">
        <w:rPr>
          <w:rFonts w:ascii="Arial" w:hAnsi="Arial" w:cs="Arial"/>
          <w:snapToGrid w:val="0"/>
          <w:lang w:val="en-GB"/>
        </w:rPr>
        <w:t>also</w:t>
      </w:r>
      <w:r w:rsidR="001D6C12" w:rsidRPr="00A26016">
        <w:rPr>
          <w:rFonts w:ascii="Arial" w:hAnsi="Arial" w:cs="Arial"/>
          <w:snapToGrid w:val="0"/>
          <w:lang w:val="en-GB"/>
        </w:rPr>
        <w:t xml:space="preserve"> </w:t>
      </w:r>
      <w:r w:rsidR="007160F6">
        <w:rPr>
          <w:rFonts w:ascii="Arial" w:hAnsi="Arial" w:cs="Arial"/>
          <w:snapToGrid w:val="0"/>
          <w:lang w:val="en-GB"/>
        </w:rPr>
        <w:t xml:space="preserve">generally </w:t>
      </w:r>
      <w:r w:rsidR="001D6C12" w:rsidRPr="00A26016">
        <w:rPr>
          <w:rFonts w:ascii="Arial" w:hAnsi="Arial" w:cs="Arial"/>
          <w:snapToGrid w:val="0"/>
          <w:lang w:val="en-GB"/>
        </w:rPr>
        <w:t>unable to correctly rank different alcoholic beverages</w:t>
      </w:r>
      <w:r w:rsidR="00074A8B">
        <w:rPr>
          <w:rFonts w:ascii="Arial" w:hAnsi="Arial" w:cs="Arial"/>
          <w:snapToGrid w:val="0"/>
          <w:lang w:val="en-GB"/>
        </w:rPr>
        <w:t xml:space="preserve"> </w:t>
      </w:r>
      <w:r w:rsidR="00362869">
        <w:rPr>
          <w:rFonts w:ascii="Arial" w:hAnsi="Arial" w:cs="Arial"/>
          <w:snapToGrid w:val="0"/>
          <w:lang w:val="en-GB"/>
        </w:rPr>
        <w:t>by their relative energy content</w:t>
      </w:r>
      <w:r w:rsidR="00E51836">
        <w:rPr>
          <w:rFonts w:ascii="Arial" w:hAnsi="Arial" w:cs="Arial"/>
          <w:snapToGrid w:val="0"/>
          <w:lang w:val="en-GB"/>
        </w:rPr>
        <w:t xml:space="preserve">. </w:t>
      </w:r>
      <w:r w:rsidR="00E51836">
        <w:rPr>
          <w:rFonts w:ascii="Arial" w:hAnsi="Arial" w:cs="Arial"/>
          <w:snapToGrid w:val="0"/>
        </w:rPr>
        <w:t xml:space="preserve">Consumers </w:t>
      </w:r>
      <w:r w:rsidR="00E51836" w:rsidRPr="00D56D66">
        <w:rPr>
          <w:rFonts w:ascii="Arial" w:hAnsi="Arial" w:cs="Arial"/>
          <w:snapToGrid w:val="0"/>
        </w:rPr>
        <w:t xml:space="preserve">do not </w:t>
      </w:r>
      <w:r w:rsidR="00E51836">
        <w:rPr>
          <w:rFonts w:ascii="Arial" w:hAnsi="Arial" w:cs="Arial"/>
          <w:snapToGrid w:val="0"/>
        </w:rPr>
        <w:t xml:space="preserve">generally </w:t>
      </w:r>
      <w:r w:rsidR="00E51836" w:rsidRPr="00D56D66">
        <w:rPr>
          <w:rFonts w:ascii="Arial" w:hAnsi="Arial" w:cs="Arial"/>
          <w:snapToGrid w:val="0"/>
        </w:rPr>
        <w:t xml:space="preserve">understand alcohol is the main source of energy in most alcoholic beverages. </w:t>
      </w:r>
      <w:r w:rsidR="00E51836">
        <w:rPr>
          <w:rFonts w:ascii="Arial" w:hAnsi="Arial" w:cs="Arial"/>
          <w:snapToGrid w:val="0"/>
        </w:rPr>
        <w:t xml:space="preserve">As discussed in the next section, consumers </w:t>
      </w:r>
      <w:r w:rsidR="00E51836" w:rsidRPr="00D56D66" w:rsidDel="00F06860">
        <w:rPr>
          <w:rFonts w:ascii="Arial" w:hAnsi="Arial" w:cs="Arial"/>
          <w:snapToGrid w:val="0"/>
        </w:rPr>
        <w:t>do however</w:t>
      </w:r>
      <w:r w:rsidR="00E51836" w:rsidRPr="00D56D66">
        <w:rPr>
          <w:rFonts w:ascii="Arial" w:hAnsi="Arial" w:cs="Arial"/>
          <w:snapToGrid w:val="0"/>
        </w:rPr>
        <w:t>,</w:t>
      </w:r>
      <w:r w:rsidR="00E51836" w:rsidRPr="00D56D66" w:rsidDel="00F06860">
        <w:rPr>
          <w:rFonts w:ascii="Arial" w:hAnsi="Arial" w:cs="Arial"/>
          <w:snapToGrid w:val="0"/>
        </w:rPr>
        <w:t xml:space="preserve"> generally </w:t>
      </w:r>
      <w:r w:rsidR="00E51836" w:rsidRPr="00D56D66">
        <w:rPr>
          <w:rFonts w:ascii="Arial" w:hAnsi="Arial" w:cs="Arial"/>
          <w:snapToGrid w:val="0"/>
        </w:rPr>
        <w:t xml:space="preserve">value energy content information on the label of alcoholic beverages </w:t>
      </w:r>
      <w:r w:rsidR="00074A8B">
        <w:rPr>
          <w:rFonts w:ascii="Arial" w:hAnsi="Arial" w:cs="Arial"/>
          <w:snapToGrid w:val="0"/>
          <w:lang w:val="en-GB"/>
        </w:rPr>
        <w:t>(FSANZ 2021b</w:t>
      </w:r>
      <w:r w:rsidR="00FD0DB2">
        <w:rPr>
          <w:rFonts w:ascii="Arial" w:hAnsi="Arial" w:cs="Arial"/>
          <w:snapToGrid w:val="0"/>
          <w:lang w:val="en-GB"/>
        </w:rPr>
        <w:t>)</w:t>
      </w:r>
      <w:r w:rsidR="00074A8B" w:rsidRPr="00A26016">
        <w:rPr>
          <w:rFonts w:ascii="Arial" w:hAnsi="Arial" w:cs="Arial"/>
          <w:snapToGrid w:val="0"/>
          <w:lang w:val="en-GB"/>
        </w:rPr>
        <w:t>.</w:t>
      </w:r>
      <w:r w:rsidR="00B869DE">
        <w:rPr>
          <w:rFonts w:ascii="Arial" w:hAnsi="Arial" w:cs="Arial"/>
          <w:snapToGrid w:val="0"/>
          <w:lang w:val="en-GB"/>
        </w:rPr>
        <w:t xml:space="preserve"> </w:t>
      </w:r>
      <w:r w:rsidR="007D3CF8" w:rsidRPr="00456B84">
        <w:rPr>
          <w:rFonts w:ascii="Arial" w:hAnsi="Arial" w:cs="Arial"/>
          <w:snapToGrid w:val="0"/>
          <w:lang w:val="en-NZ"/>
        </w:rPr>
        <w:t>A mean of 5.3% and 5.2% of total daily energy intake for all Australian and New Zealand adults respectively is contributed by alcoholic beverages. These figures include adults who did not consume an alcoholic beverage</w:t>
      </w:r>
      <w:r w:rsidR="007D3CF8">
        <w:rPr>
          <w:rFonts w:ascii="Arial" w:hAnsi="Arial" w:cs="Arial"/>
          <w:snapToGrid w:val="0"/>
          <w:lang w:val="en-NZ"/>
        </w:rPr>
        <w:t xml:space="preserve"> </w:t>
      </w:r>
      <w:r w:rsidR="007D3CF8" w:rsidRPr="00456B84">
        <w:rPr>
          <w:rFonts w:ascii="Arial" w:hAnsi="Arial" w:cs="Arial"/>
          <w:snapToGrid w:val="0"/>
          <w:lang w:val="en-NZ"/>
        </w:rPr>
        <w:t>(ABS, 2013; University of Otago et al, 2011a, b)</w:t>
      </w:r>
      <w:r w:rsidR="00EA3EA8">
        <w:rPr>
          <w:rFonts w:ascii="Arial" w:hAnsi="Arial" w:cs="Arial"/>
          <w:snapToGrid w:val="0"/>
          <w:lang w:val="en-NZ"/>
        </w:rPr>
        <w:t xml:space="preserve"> which means the </w:t>
      </w:r>
      <w:r w:rsidR="00D354BB">
        <w:rPr>
          <w:rFonts w:ascii="Arial" w:hAnsi="Arial" w:cs="Arial"/>
          <w:snapToGrid w:val="0"/>
          <w:lang w:val="en-NZ"/>
        </w:rPr>
        <w:t xml:space="preserve">mean for </w:t>
      </w:r>
      <w:r w:rsidR="00B27957">
        <w:rPr>
          <w:rFonts w:ascii="Arial" w:hAnsi="Arial" w:cs="Arial"/>
          <w:snapToGrid w:val="0"/>
          <w:lang w:val="en-NZ"/>
        </w:rPr>
        <w:t>those who consume</w:t>
      </w:r>
      <w:r w:rsidR="00007E75">
        <w:rPr>
          <w:rFonts w:ascii="Arial" w:hAnsi="Arial" w:cs="Arial"/>
          <w:snapToGrid w:val="0"/>
          <w:lang w:val="en-NZ"/>
        </w:rPr>
        <w:t xml:space="preserve"> alcoholic beverages</w:t>
      </w:r>
      <w:r w:rsidR="00B27957">
        <w:rPr>
          <w:rFonts w:ascii="Arial" w:hAnsi="Arial" w:cs="Arial"/>
          <w:snapToGrid w:val="0"/>
          <w:lang w:val="en-NZ"/>
        </w:rPr>
        <w:t xml:space="preserve"> is</w:t>
      </w:r>
      <w:r w:rsidR="004019F1">
        <w:rPr>
          <w:rFonts w:ascii="Arial" w:hAnsi="Arial" w:cs="Arial"/>
          <w:snapToGrid w:val="0"/>
          <w:lang w:val="en-NZ"/>
        </w:rPr>
        <w:t xml:space="preserve"> actually</w:t>
      </w:r>
      <w:r w:rsidR="00B27957">
        <w:rPr>
          <w:rFonts w:ascii="Arial" w:hAnsi="Arial" w:cs="Arial"/>
          <w:snapToGrid w:val="0"/>
          <w:lang w:val="en-NZ"/>
        </w:rPr>
        <w:t xml:space="preserve"> higher</w:t>
      </w:r>
      <w:r w:rsidR="007D3CF8" w:rsidRPr="00456B84">
        <w:rPr>
          <w:rFonts w:ascii="Arial" w:hAnsi="Arial" w:cs="Arial"/>
          <w:snapToGrid w:val="0"/>
          <w:lang w:val="en-NZ"/>
        </w:rPr>
        <w:t>.</w:t>
      </w:r>
    </w:p>
    <w:p w14:paraId="64058719" w14:textId="77777777" w:rsidR="003E71E4" w:rsidRDefault="003317BB" w:rsidP="003E71E4">
      <w:pPr>
        <w:rPr>
          <w:rFonts w:ascii="Arial" w:hAnsi="Arial" w:cs="Arial"/>
          <w:snapToGrid w:val="0"/>
        </w:rPr>
      </w:pPr>
      <w:r w:rsidRPr="00DF0B9E">
        <w:rPr>
          <w:rFonts w:ascii="Arial" w:hAnsi="Arial" w:cs="Arial"/>
          <w:snapToGrid w:val="0"/>
        </w:rPr>
        <w:t>On average, alcoholic beverages contribute approximately 16% of total energy intake for Australian and New Zealand adults on days when alcohol is consumed</w:t>
      </w:r>
      <w:r>
        <w:rPr>
          <w:rFonts w:ascii="Arial" w:hAnsi="Arial" w:cs="Arial"/>
          <w:snapToGrid w:val="0"/>
        </w:rPr>
        <w:t xml:space="preserve"> </w:t>
      </w:r>
      <w:r w:rsidRPr="00FC5407">
        <w:rPr>
          <w:rFonts w:ascii="Arial" w:hAnsi="Arial" w:cs="Arial"/>
          <w:snapToGrid w:val="0"/>
        </w:rPr>
        <w:t>(FSANZ, 2021a)</w:t>
      </w:r>
      <w:r>
        <w:rPr>
          <w:rFonts w:ascii="Arial" w:hAnsi="Arial" w:cs="Arial"/>
          <w:snapToGrid w:val="0"/>
        </w:rPr>
        <w:t xml:space="preserve">. </w:t>
      </w:r>
      <w:r w:rsidR="008C654F" w:rsidRPr="003E71E4">
        <w:rPr>
          <w:rFonts w:ascii="Arial" w:hAnsi="Arial" w:cs="Arial"/>
          <w:snapToGrid w:val="0"/>
        </w:rPr>
        <w:t>Alcohol is high in energy, contributing 29.3 kilojoules/gram to the diet (NHMRC et al, 2006).</w:t>
      </w:r>
    </w:p>
    <w:p w14:paraId="40DBE846" w14:textId="028F6AF2" w:rsidR="00FB5E44" w:rsidRDefault="00074A8B" w:rsidP="6A15B411">
      <w:pPr>
        <w:rPr>
          <w:rFonts w:ascii="Arial" w:hAnsi="Arial" w:cs="Arial"/>
          <w:snapToGrid w:val="0"/>
        </w:rPr>
      </w:pPr>
      <w:r w:rsidRPr="6A15B411">
        <w:rPr>
          <w:rFonts w:ascii="Arial" w:hAnsi="Arial" w:cs="Arial"/>
          <w:snapToGrid w:val="0"/>
        </w:rPr>
        <w:t>Excess energy consumption has a link to negative health outcomes for individuals as a result of chronic disease due to overweight and obesity. It also has negative consequences for wider society as a result of medical and other costs. FSANZ estimates that over ten years</w:t>
      </w:r>
      <w:r w:rsidR="00957E26" w:rsidRPr="6A15B411">
        <w:rPr>
          <w:rFonts w:ascii="Arial" w:hAnsi="Arial" w:cs="Arial"/>
          <w:snapToGrid w:val="0"/>
        </w:rPr>
        <w:t xml:space="preserve"> (the typical time over which new policy prop</w:t>
      </w:r>
      <w:r w:rsidR="000E3133" w:rsidRPr="6A15B411">
        <w:rPr>
          <w:rFonts w:ascii="Arial" w:hAnsi="Arial" w:cs="Arial"/>
          <w:snapToGrid w:val="0"/>
        </w:rPr>
        <w:t>osals are assessed)</w:t>
      </w:r>
      <w:r w:rsidRPr="6A15B411">
        <w:rPr>
          <w:rFonts w:ascii="Arial" w:hAnsi="Arial" w:cs="Arial"/>
          <w:snapToGrid w:val="0"/>
        </w:rPr>
        <w:t>, discounted</w:t>
      </w:r>
      <w:r w:rsidRPr="6A15B411">
        <w:rPr>
          <w:rStyle w:val="FootnoteReference"/>
          <w:rFonts w:ascii="Arial" w:hAnsi="Arial" w:cs="Arial"/>
        </w:rPr>
        <w:footnoteReference w:id="14"/>
      </w:r>
      <w:r w:rsidRPr="6A15B411">
        <w:rPr>
          <w:rStyle w:val="FootnoteReference"/>
        </w:rPr>
        <w:t xml:space="preserve"> </w:t>
      </w:r>
      <w:r w:rsidRPr="6A15B411">
        <w:rPr>
          <w:rFonts w:ascii="Arial" w:hAnsi="Arial" w:cs="Arial"/>
          <w:snapToGrid w:val="0"/>
        </w:rPr>
        <w:t xml:space="preserve">health-related costs of obesity and overweight in Australia and New Zealand combined </w:t>
      </w:r>
      <w:r w:rsidR="00A215DF" w:rsidRPr="6A15B411">
        <w:rPr>
          <w:rFonts w:ascii="Arial" w:hAnsi="Arial" w:cs="Arial"/>
          <w:snapToGrid w:val="0"/>
        </w:rPr>
        <w:t>will</w:t>
      </w:r>
      <w:r w:rsidRPr="6A15B411">
        <w:rPr>
          <w:rFonts w:ascii="Arial" w:hAnsi="Arial" w:cs="Arial"/>
          <w:snapToGrid w:val="0"/>
        </w:rPr>
        <w:t xml:space="preserve"> cost between $2</w:t>
      </w:r>
      <w:r w:rsidR="00D97CFF" w:rsidRPr="6A15B411">
        <w:rPr>
          <w:rFonts w:ascii="Arial" w:hAnsi="Arial" w:cs="Arial"/>
          <w:snapToGrid w:val="0"/>
        </w:rPr>
        <w:t>2</w:t>
      </w:r>
      <w:r w:rsidR="008E2D1E" w:rsidRPr="6A15B411">
        <w:rPr>
          <w:rFonts w:ascii="Arial" w:hAnsi="Arial" w:cs="Arial"/>
          <w:snapToGrid w:val="0"/>
        </w:rPr>
        <w:t>8</w:t>
      </w:r>
      <w:r w:rsidR="00BF7651" w:rsidRPr="6A15B411">
        <w:rPr>
          <w:rFonts w:ascii="Arial" w:hAnsi="Arial" w:cs="Arial"/>
          <w:snapToGrid w:val="0"/>
        </w:rPr>
        <w:t xml:space="preserve"> bn</w:t>
      </w:r>
      <w:r w:rsidRPr="6A15B411">
        <w:rPr>
          <w:rFonts w:ascii="Arial" w:hAnsi="Arial" w:cs="Arial"/>
          <w:snapToGrid w:val="0"/>
        </w:rPr>
        <w:t xml:space="preserve"> and $2</w:t>
      </w:r>
      <w:r w:rsidR="008E2D1E" w:rsidRPr="6A15B411">
        <w:rPr>
          <w:rFonts w:ascii="Arial" w:hAnsi="Arial" w:cs="Arial"/>
          <w:snapToGrid w:val="0"/>
        </w:rPr>
        <w:t>7</w:t>
      </w:r>
      <w:r w:rsidR="00B51C6F" w:rsidRPr="6A15B411">
        <w:rPr>
          <w:rFonts w:ascii="Arial" w:hAnsi="Arial" w:cs="Arial"/>
          <w:snapToGrid w:val="0"/>
        </w:rPr>
        <w:t>8</w:t>
      </w:r>
      <w:r w:rsidRPr="6A15B411">
        <w:rPr>
          <w:rFonts w:ascii="Arial" w:hAnsi="Arial" w:cs="Arial"/>
          <w:snapToGrid w:val="0"/>
        </w:rPr>
        <w:t xml:space="preserve"> billion</w:t>
      </w:r>
      <w:r w:rsidRPr="6A15B411">
        <w:rPr>
          <w:rStyle w:val="FootnoteReference"/>
          <w:rFonts w:ascii="Arial" w:hAnsi="Arial" w:cs="Arial"/>
          <w:snapToGrid w:val="0"/>
        </w:rPr>
        <w:footnoteReference w:id="15"/>
      </w:r>
      <w:r w:rsidR="00AD2BF5" w:rsidRPr="6A15B411">
        <w:rPr>
          <w:rFonts w:ascii="Arial" w:hAnsi="Arial" w:cs="Arial"/>
          <w:snapToGrid w:val="0"/>
        </w:rPr>
        <w:t>. That</w:t>
      </w:r>
      <w:r w:rsidRPr="6A15B411">
        <w:rPr>
          <w:rFonts w:ascii="Arial" w:hAnsi="Arial" w:cs="Arial"/>
          <w:snapToGrid w:val="0"/>
        </w:rPr>
        <w:t xml:space="preserve"> exclud</w:t>
      </w:r>
      <w:r w:rsidR="00AD2BF5" w:rsidRPr="6A15B411">
        <w:rPr>
          <w:rFonts w:ascii="Arial" w:hAnsi="Arial" w:cs="Arial"/>
          <w:snapToGrid w:val="0"/>
        </w:rPr>
        <w:t>es</w:t>
      </w:r>
      <w:r w:rsidRPr="6A15B411">
        <w:rPr>
          <w:rFonts w:ascii="Arial" w:hAnsi="Arial" w:cs="Arial"/>
          <w:snapToGrid w:val="0"/>
        </w:rPr>
        <w:t xml:space="preserve"> considerable quality of life impacts for individuals and their families. </w:t>
      </w:r>
      <w:r w:rsidR="008D648F" w:rsidRPr="6A15B411">
        <w:rPr>
          <w:rFonts w:ascii="Arial" w:hAnsi="Arial" w:cs="Arial"/>
          <w:snapToGrid w:val="0"/>
        </w:rPr>
        <w:t xml:space="preserve">These costs are discussed more in the </w:t>
      </w:r>
      <w:r w:rsidR="001D6C12" w:rsidRPr="6A15B411">
        <w:rPr>
          <w:rFonts w:ascii="Arial" w:hAnsi="Arial" w:cs="Arial"/>
          <w:snapToGrid w:val="0"/>
        </w:rPr>
        <w:t>Appendix</w:t>
      </w:r>
      <w:r w:rsidR="008D648F" w:rsidRPr="6A15B411">
        <w:rPr>
          <w:rFonts w:ascii="Arial" w:hAnsi="Arial" w:cs="Arial"/>
          <w:snapToGrid w:val="0"/>
        </w:rPr>
        <w:t xml:space="preserve"> </w:t>
      </w:r>
      <w:r w:rsidR="005B1608" w:rsidRPr="6A15B411">
        <w:rPr>
          <w:rFonts w:ascii="Arial" w:hAnsi="Arial" w:cs="Arial"/>
          <w:snapToGrid w:val="0"/>
        </w:rPr>
        <w:t xml:space="preserve">A </w:t>
      </w:r>
      <w:r w:rsidR="008D648F" w:rsidRPr="6A15B411">
        <w:rPr>
          <w:rFonts w:ascii="Arial" w:hAnsi="Arial" w:cs="Arial"/>
          <w:snapToGrid w:val="0"/>
        </w:rPr>
        <w:t>to this report</w:t>
      </w:r>
      <w:r w:rsidR="001D6C12" w:rsidRPr="6A15B411">
        <w:rPr>
          <w:rFonts w:ascii="Arial" w:hAnsi="Arial" w:cs="Arial"/>
          <w:snapToGrid w:val="0"/>
        </w:rPr>
        <w:t>.</w:t>
      </w:r>
    </w:p>
    <w:p w14:paraId="00D6BED6" w14:textId="73A3AEF9" w:rsidR="00FB5E44" w:rsidRDefault="00FB5E44" w:rsidP="6A15B411">
      <w:pPr>
        <w:rPr>
          <w:rFonts w:ascii="Arial" w:hAnsi="Arial" w:cs="Arial"/>
          <w:snapToGrid w:val="0"/>
          <w:sz w:val="20"/>
          <w:szCs w:val="20"/>
        </w:rPr>
      </w:pPr>
      <w:r w:rsidRPr="6A15B411">
        <w:rPr>
          <w:rFonts w:ascii="Arial" w:hAnsi="Arial" w:cs="Arial"/>
          <w:snapToGrid w:val="0"/>
        </w:rPr>
        <w:lastRenderedPageBreak/>
        <w:t xml:space="preserve">There is evidence that </w:t>
      </w:r>
      <w:r w:rsidR="00BA43F5" w:rsidRPr="6A15B411">
        <w:rPr>
          <w:rFonts w:ascii="Arial" w:hAnsi="Arial" w:cs="Arial"/>
          <w:snapToGrid w:val="0"/>
        </w:rPr>
        <w:t>food</w:t>
      </w:r>
      <w:r w:rsidR="00D77DF9" w:rsidRPr="6A15B411">
        <w:rPr>
          <w:rFonts w:ascii="Arial" w:hAnsi="Arial" w:cs="Arial"/>
          <w:snapToGrid w:val="0"/>
        </w:rPr>
        <w:t xml:space="preserve"> </w:t>
      </w:r>
      <w:r w:rsidRPr="6A15B411">
        <w:rPr>
          <w:rFonts w:ascii="Arial" w:hAnsi="Arial" w:cs="Arial"/>
          <w:snapToGrid w:val="0"/>
        </w:rPr>
        <w:t>labelling can impact total energy consumption</w:t>
      </w:r>
      <w:r w:rsidR="00B00AAD" w:rsidRPr="6A15B411">
        <w:rPr>
          <w:rFonts w:ascii="Arial" w:hAnsi="Arial" w:cs="Arial"/>
          <w:snapToGrid w:val="0"/>
        </w:rPr>
        <w:t xml:space="preserve"> (Shangguan et.al 2018)</w:t>
      </w:r>
      <w:r w:rsidRPr="6A15B411">
        <w:rPr>
          <w:rFonts w:ascii="Arial" w:hAnsi="Arial" w:cs="Arial"/>
          <w:snapToGrid w:val="0"/>
        </w:rPr>
        <w:t xml:space="preserve">. </w:t>
      </w:r>
      <w:r w:rsidR="007E52C6" w:rsidRPr="6A15B411">
        <w:rPr>
          <w:rFonts w:ascii="Arial" w:hAnsi="Arial" w:cs="Arial"/>
          <w:snapToGrid w:val="0"/>
        </w:rPr>
        <w:t xml:space="preserve">Further </w:t>
      </w:r>
      <w:r w:rsidR="00383664" w:rsidRPr="6A15B411">
        <w:rPr>
          <w:rFonts w:ascii="Arial" w:hAnsi="Arial" w:cs="Arial"/>
          <w:snapToGrid w:val="0"/>
        </w:rPr>
        <w:t xml:space="preserve">details are </w:t>
      </w:r>
      <w:r w:rsidR="00036AC3" w:rsidRPr="6A15B411">
        <w:rPr>
          <w:rFonts w:ascii="Arial" w:hAnsi="Arial" w:cs="Arial"/>
          <w:snapToGrid w:val="0"/>
        </w:rPr>
        <w:t>in the DRIS net benefits section 5</w:t>
      </w:r>
      <w:r w:rsidR="001C65D9" w:rsidRPr="6A15B411">
        <w:rPr>
          <w:rFonts w:ascii="Arial" w:hAnsi="Arial" w:cs="Arial"/>
          <w:snapToGrid w:val="0"/>
        </w:rPr>
        <w:t xml:space="preserve"> and Appendix A</w:t>
      </w:r>
      <w:r w:rsidR="00036AC3" w:rsidRPr="6A15B411">
        <w:rPr>
          <w:rFonts w:ascii="Arial" w:hAnsi="Arial" w:cs="Arial"/>
          <w:snapToGrid w:val="0"/>
        </w:rPr>
        <w:t>.</w:t>
      </w:r>
    </w:p>
    <w:p w14:paraId="138A1FE8" w14:textId="5B9D3050" w:rsidR="002C5902" w:rsidRPr="00C16E0A" w:rsidRDefault="002C5902" w:rsidP="00FB5E44">
      <w:pPr>
        <w:rPr>
          <w:rFonts w:ascii="Arial" w:hAnsi="Arial" w:cs="Arial"/>
          <w:snapToGrid w:val="0"/>
        </w:rPr>
      </w:pPr>
      <w:r w:rsidRPr="00C16E0A">
        <w:rPr>
          <w:rFonts w:ascii="Arial" w:hAnsi="Arial" w:cs="Arial"/>
          <w:snapToGrid w:val="0"/>
        </w:rPr>
        <w:t>It is not possible to say how much the problem</w:t>
      </w:r>
      <w:r w:rsidR="00D32A70">
        <w:rPr>
          <w:rFonts w:ascii="Arial" w:hAnsi="Arial" w:cs="Arial"/>
          <w:snapToGrid w:val="0"/>
        </w:rPr>
        <w:t>s</w:t>
      </w:r>
      <w:r w:rsidR="00A22964">
        <w:rPr>
          <w:rFonts w:ascii="Arial" w:hAnsi="Arial" w:cs="Arial"/>
          <w:snapToGrid w:val="0"/>
        </w:rPr>
        <w:t xml:space="preserve"> are changing over time. That </w:t>
      </w:r>
      <w:r w:rsidR="00F92FA7">
        <w:rPr>
          <w:rFonts w:ascii="Arial" w:hAnsi="Arial" w:cs="Arial"/>
          <w:snapToGrid w:val="0"/>
        </w:rPr>
        <w:t>is</w:t>
      </w:r>
      <w:r w:rsidR="005E45A4">
        <w:rPr>
          <w:rFonts w:ascii="Arial" w:hAnsi="Arial" w:cs="Arial"/>
          <w:snapToGrid w:val="0"/>
        </w:rPr>
        <w:t>,</w:t>
      </w:r>
      <w:r w:rsidR="00F92FA7">
        <w:rPr>
          <w:rFonts w:ascii="Arial" w:hAnsi="Arial" w:cs="Arial"/>
          <w:snapToGrid w:val="0"/>
        </w:rPr>
        <w:t xml:space="preserve"> </w:t>
      </w:r>
      <w:r w:rsidR="00A22964">
        <w:rPr>
          <w:rFonts w:ascii="Arial" w:hAnsi="Arial" w:cs="Arial"/>
          <w:snapToGrid w:val="0"/>
        </w:rPr>
        <w:t>the problems</w:t>
      </w:r>
      <w:r w:rsidR="00D32A70">
        <w:rPr>
          <w:rFonts w:ascii="Arial" w:hAnsi="Arial" w:cs="Arial"/>
          <w:snapToGrid w:val="0"/>
        </w:rPr>
        <w:t xml:space="preserve"> </w:t>
      </w:r>
      <w:r w:rsidR="00F91FDC">
        <w:rPr>
          <w:rFonts w:ascii="Arial" w:hAnsi="Arial" w:cs="Arial"/>
          <w:snapToGrid w:val="0"/>
        </w:rPr>
        <w:t xml:space="preserve">that may </w:t>
      </w:r>
      <w:r w:rsidR="00D32A70">
        <w:rPr>
          <w:rFonts w:ascii="Arial" w:hAnsi="Arial" w:cs="Arial"/>
          <w:snapToGrid w:val="0"/>
        </w:rPr>
        <w:t>result from</w:t>
      </w:r>
      <w:r w:rsidR="00E167C0">
        <w:rPr>
          <w:rFonts w:ascii="Arial" w:hAnsi="Arial" w:cs="Arial"/>
          <w:snapToGrid w:val="0"/>
        </w:rPr>
        <w:t xml:space="preserve"> consumers no</w:t>
      </w:r>
      <w:r w:rsidR="000F6A68">
        <w:rPr>
          <w:rFonts w:ascii="Arial" w:hAnsi="Arial" w:cs="Arial"/>
          <w:snapToGrid w:val="0"/>
        </w:rPr>
        <w:t>t being able</w:t>
      </w:r>
      <w:r w:rsidRPr="00C16E0A">
        <w:rPr>
          <w:rFonts w:ascii="Arial" w:hAnsi="Arial" w:cs="Arial"/>
          <w:snapToGrid w:val="0"/>
        </w:rPr>
        <w:t xml:space="preserve"> </w:t>
      </w:r>
      <w:r w:rsidR="002B5C26">
        <w:rPr>
          <w:rFonts w:ascii="Arial" w:hAnsi="Arial" w:cs="Arial"/>
          <w:snapToGrid w:val="0"/>
        </w:rPr>
        <w:t xml:space="preserve">to </w:t>
      </w:r>
      <w:r w:rsidR="002B5C26">
        <w:rPr>
          <w:rFonts w:ascii="Arial" w:hAnsi="Arial" w:cs="Arial"/>
          <w:snapToGrid w:val="0"/>
          <w:lang w:val="en-NZ"/>
        </w:rPr>
        <w:t xml:space="preserve">check </w:t>
      </w:r>
      <w:r w:rsidR="00B8679B">
        <w:rPr>
          <w:rFonts w:ascii="Arial" w:hAnsi="Arial" w:cs="Arial"/>
          <w:snapToGrid w:val="0"/>
          <w:lang w:val="en-NZ"/>
        </w:rPr>
        <w:t xml:space="preserve">and </w:t>
      </w:r>
      <w:r w:rsidR="002B5C26" w:rsidRPr="00AB571B">
        <w:rPr>
          <w:rFonts w:ascii="Arial" w:hAnsi="Arial" w:cs="Arial"/>
          <w:snapToGrid w:val="0"/>
          <w:lang w:val="en-NZ"/>
        </w:rPr>
        <w:t>compar</w:t>
      </w:r>
      <w:r w:rsidR="002B5C26">
        <w:rPr>
          <w:rFonts w:ascii="Arial" w:hAnsi="Arial" w:cs="Arial"/>
          <w:snapToGrid w:val="0"/>
          <w:lang w:val="en-NZ"/>
        </w:rPr>
        <w:t>e</w:t>
      </w:r>
      <w:r w:rsidR="002B5C26" w:rsidRPr="00AB571B">
        <w:rPr>
          <w:rFonts w:ascii="Arial" w:hAnsi="Arial" w:cs="Arial"/>
          <w:snapToGrid w:val="0"/>
          <w:lang w:val="en-NZ"/>
        </w:rPr>
        <w:t xml:space="preserve"> the energy content in a quick and </w:t>
      </w:r>
      <w:r w:rsidR="002B5C26">
        <w:rPr>
          <w:rFonts w:ascii="Arial" w:hAnsi="Arial" w:cs="Arial"/>
          <w:snapToGrid w:val="0"/>
          <w:lang w:val="en-NZ"/>
        </w:rPr>
        <w:t xml:space="preserve">easy </w:t>
      </w:r>
      <w:r w:rsidR="002B5C26" w:rsidRPr="00AB571B">
        <w:rPr>
          <w:rFonts w:ascii="Arial" w:hAnsi="Arial" w:cs="Arial"/>
          <w:snapToGrid w:val="0"/>
          <w:lang w:val="en-NZ"/>
        </w:rPr>
        <w:t>way</w:t>
      </w:r>
      <w:r w:rsidR="00A22964">
        <w:rPr>
          <w:rFonts w:ascii="Arial" w:hAnsi="Arial" w:cs="Arial"/>
          <w:snapToGrid w:val="0"/>
        </w:rPr>
        <w:t xml:space="preserve">. </w:t>
      </w:r>
      <w:r w:rsidR="00603DD6">
        <w:rPr>
          <w:rFonts w:ascii="Arial" w:hAnsi="Arial" w:cs="Arial"/>
          <w:snapToGrid w:val="0"/>
        </w:rPr>
        <w:t>Challenges</w:t>
      </w:r>
      <w:r w:rsidR="00BD046B">
        <w:rPr>
          <w:rFonts w:ascii="Arial" w:hAnsi="Arial" w:cs="Arial"/>
          <w:snapToGrid w:val="0"/>
        </w:rPr>
        <w:t xml:space="preserve"> to quantify</w:t>
      </w:r>
      <w:r w:rsidR="00603DD6">
        <w:rPr>
          <w:rFonts w:ascii="Arial" w:hAnsi="Arial" w:cs="Arial"/>
          <w:snapToGrid w:val="0"/>
        </w:rPr>
        <w:t>ing</w:t>
      </w:r>
      <w:r w:rsidR="00BD046B">
        <w:rPr>
          <w:rFonts w:ascii="Arial" w:hAnsi="Arial" w:cs="Arial"/>
          <w:snapToGrid w:val="0"/>
        </w:rPr>
        <w:t xml:space="preserve"> aspects of the problem</w:t>
      </w:r>
      <w:r w:rsidR="00F91FDC">
        <w:rPr>
          <w:rFonts w:ascii="Arial" w:hAnsi="Arial" w:cs="Arial"/>
          <w:snapToGrid w:val="0"/>
        </w:rPr>
        <w:t>s</w:t>
      </w:r>
      <w:r w:rsidR="00603DD6">
        <w:rPr>
          <w:rFonts w:ascii="Arial" w:hAnsi="Arial" w:cs="Arial"/>
          <w:snapToGrid w:val="0"/>
        </w:rPr>
        <w:t xml:space="preserve"> include</w:t>
      </w:r>
      <w:r w:rsidR="00361B70">
        <w:rPr>
          <w:rFonts w:ascii="Arial" w:hAnsi="Arial" w:cs="Arial"/>
          <w:snapToGrid w:val="0"/>
        </w:rPr>
        <w:t xml:space="preserve"> attributing causation and lack of general data.</w:t>
      </w:r>
    </w:p>
    <w:p w14:paraId="106A3E04" w14:textId="21164A41" w:rsidR="005E7642" w:rsidRDefault="00766921" w:rsidP="00191355">
      <w:pPr>
        <w:rPr>
          <w:rFonts w:ascii="Arial" w:hAnsi="Arial" w:cs="Arial"/>
          <w:snapToGrid w:val="0"/>
        </w:rPr>
      </w:pPr>
      <w:r>
        <w:rPr>
          <w:rFonts w:ascii="Arial" w:hAnsi="Arial" w:cs="Arial"/>
          <w:snapToGrid w:val="0"/>
        </w:rPr>
        <w:t>The distrib</w:t>
      </w:r>
      <w:r w:rsidR="009245C9">
        <w:rPr>
          <w:rFonts w:ascii="Arial" w:hAnsi="Arial" w:cs="Arial"/>
          <w:snapToGrid w:val="0"/>
        </w:rPr>
        <w:t xml:space="preserve">utional impacts of the problem </w:t>
      </w:r>
      <w:r w:rsidR="00343145">
        <w:rPr>
          <w:rFonts w:ascii="Arial" w:hAnsi="Arial" w:cs="Arial"/>
          <w:snapToGrid w:val="0"/>
        </w:rPr>
        <w:t>are</w:t>
      </w:r>
      <w:r w:rsidR="009A0E09">
        <w:rPr>
          <w:rFonts w:ascii="Arial" w:hAnsi="Arial" w:cs="Arial"/>
          <w:snapToGrid w:val="0"/>
        </w:rPr>
        <w:t xml:space="preserve"> </w:t>
      </w:r>
      <w:r w:rsidR="0070504C">
        <w:rPr>
          <w:rFonts w:ascii="Arial" w:hAnsi="Arial" w:cs="Arial"/>
          <w:snapToGrid w:val="0"/>
        </w:rPr>
        <w:t>extremely</w:t>
      </w:r>
      <w:r w:rsidR="009A0E09">
        <w:rPr>
          <w:rFonts w:ascii="Arial" w:hAnsi="Arial" w:cs="Arial"/>
          <w:snapToGrid w:val="0"/>
        </w:rPr>
        <w:t xml:space="preserve"> cha</w:t>
      </w:r>
      <w:r w:rsidR="00304592">
        <w:rPr>
          <w:rFonts w:ascii="Arial" w:hAnsi="Arial" w:cs="Arial"/>
          <w:snapToGrid w:val="0"/>
        </w:rPr>
        <w:t>llenging to</w:t>
      </w:r>
      <w:r w:rsidR="009245C9">
        <w:rPr>
          <w:rFonts w:ascii="Arial" w:hAnsi="Arial" w:cs="Arial"/>
          <w:snapToGrid w:val="0"/>
        </w:rPr>
        <w:t xml:space="preserve"> quantif</w:t>
      </w:r>
      <w:r w:rsidR="00E168FB">
        <w:rPr>
          <w:rFonts w:ascii="Arial" w:hAnsi="Arial" w:cs="Arial"/>
          <w:snapToGrid w:val="0"/>
        </w:rPr>
        <w:t>y</w:t>
      </w:r>
      <w:r w:rsidR="009245C9">
        <w:rPr>
          <w:rFonts w:ascii="Arial" w:hAnsi="Arial" w:cs="Arial"/>
          <w:snapToGrid w:val="0"/>
        </w:rPr>
        <w:t xml:space="preserve">. </w:t>
      </w:r>
      <w:r w:rsidR="00B74EC8">
        <w:rPr>
          <w:rFonts w:ascii="Arial" w:hAnsi="Arial" w:cs="Arial"/>
          <w:snapToGrid w:val="0"/>
        </w:rPr>
        <w:t xml:space="preserve">The </w:t>
      </w:r>
      <w:r w:rsidR="00E10621">
        <w:rPr>
          <w:rFonts w:ascii="Arial" w:hAnsi="Arial" w:cs="Arial"/>
          <w:snapToGrid w:val="0"/>
        </w:rPr>
        <w:t xml:space="preserve">consumers </w:t>
      </w:r>
      <w:r w:rsidR="00144F5B">
        <w:rPr>
          <w:rFonts w:ascii="Arial" w:hAnsi="Arial" w:cs="Arial"/>
          <w:snapToGrid w:val="0"/>
        </w:rPr>
        <w:t xml:space="preserve">that experience the largest </w:t>
      </w:r>
      <w:r w:rsidR="00A06586">
        <w:rPr>
          <w:rFonts w:ascii="Arial" w:hAnsi="Arial" w:cs="Arial"/>
          <w:snapToGrid w:val="0"/>
        </w:rPr>
        <w:t>missed opportunities from</w:t>
      </w:r>
      <w:r w:rsidR="006D04EF">
        <w:rPr>
          <w:rFonts w:ascii="Arial" w:hAnsi="Arial" w:cs="Arial"/>
          <w:snapToGrid w:val="0"/>
        </w:rPr>
        <w:t xml:space="preserve"> current</w:t>
      </w:r>
      <w:r w:rsidR="00A06586">
        <w:rPr>
          <w:rFonts w:ascii="Arial" w:hAnsi="Arial" w:cs="Arial"/>
          <w:snapToGrid w:val="0"/>
        </w:rPr>
        <w:t xml:space="preserve"> lack of on</w:t>
      </w:r>
      <w:r w:rsidR="00812222">
        <w:rPr>
          <w:rFonts w:ascii="Arial" w:hAnsi="Arial" w:cs="Arial"/>
          <w:snapToGrid w:val="0"/>
        </w:rPr>
        <w:t xml:space="preserve">-label </w:t>
      </w:r>
      <w:r w:rsidR="00812222" w:rsidRPr="006D04EF">
        <w:rPr>
          <w:rFonts w:ascii="Arial" w:hAnsi="Arial" w:cs="Arial"/>
          <w:snapToGrid w:val="0"/>
        </w:rPr>
        <w:t>energy content information</w:t>
      </w:r>
      <w:r w:rsidR="00D304CA" w:rsidRPr="006D04EF">
        <w:rPr>
          <w:rFonts w:ascii="Arial" w:hAnsi="Arial" w:cs="Arial"/>
          <w:snapToGrid w:val="0"/>
        </w:rPr>
        <w:t xml:space="preserve"> are likely</w:t>
      </w:r>
      <w:r w:rsidR="008B21F0" w:rsidRPr="006D04EF">
        <w:rPr>
          <w:rFonts w:ascii="Arial" w:hAnsi="Arial" w:cs="Arial"/>
          <w:snapToGrid w:val="0"/>
        </w:rPr>
        <w:t xml:space="preserve"> to be </w:t>
      </w:r>
      <w:r w:rsidR="002267B6" w:rsidRPr="006D04EF">
        <w:rPr>
          <w:rFonts w:ascii="Arial" w:hAnsi="Arial" w:cs="Arial"/>
          <w:snapToGrid w:val="0"/>
        </w:rPr>
        <w:t xml:space="preserve">those </w:t>
      </w:r>
      <w:r w:rsidR="002267B6" w:rsidRPr="002267B6">
        <w:rPr>
          <w:rFonts w:ascii="Arial" w:hAnsi="Arial" w:cs="Arial"/>
          <w:snapToGrid w:val="0"/>
        </w:rPr>
        <w:t>who are</w:t>
      </w:r>
      <w:r w:rsidR="005445C6">
        <w:rPr>
          <w:rFonts w:ascii="Arial" w:hAnsi="Arial" w:cs="Arial"/>
          <w:snapToGrid w:val="0"/>
        </w:rPr>
        <w:t xml:space="preserve"> more</w:t>
      </w:r>
      <w:r w:rsidR="002267B6" w:rsidRPr="002267B6">
        <w:rPr>
          <w:rFonts w:ascii="Arial" w:hAnsi="Arial" w:cs="Arial"/>
          <w:snapToGrid w:val="0"/>
        </w:rPr>
        <w:t xml:space="preserve"> health</w:t>
      </w:r>
      <w:r w:rsidR="002267B6">
        <w:rPr>
          <w:rFonts w:ascii="Arial" w:hAnsi="Arial" w:cs="Arial"/>
          <w:snapToGrid w:val="0"/>
        </w:rPr>
        <w:t xml:space="preserve"> </w:t>
      </w:r>
      <w:r w:rsidR="002267B6" w:rsidRPr="002267B6">
        <w:rPr>
          <w:rFonts w:ascii="Arial" w:hAnsi="Arial" w:cs="Arial"/>
          <w:snapToGrid w:val="0"/>
        </w:rPr>
        <w:t>/</w:t>
      </w:r>
      <w:r w:rsidR="002267B6">
        <w:rPr>
          <w:rFonts w:ascii="Arial" w:hAnsi="Arial" w:cs="Arial"/>
          <w:snapToGrid w:val="0"/>
        </w:rPr>
        <w:t xml:space="preserve"> </w:t>
      </w:r>
      <w:r w:rsidR="002267B6" w:rsidRPr="002267B6">
        <w:rPr>
          <w:rFonts w:ascii="Arial" w:hAnsi="Arial" w:cs="Arial"/>
          <w:snapToGrid w:val="0"/>
        </w:rPr>
        <w:t>weight-conscious</w:t>
      </w:r>
      <w:r w:rsidR="0075645B">
        <w:rPr>
          <w:rFonts w:ascii="Arial" w:hAnsi="Arial" w:cs="Arial"/>
          <w:snapToGrid w:val="0"/>
        </w:rPr>
        <w:t>,</w:t>
      </w:r>
      <w:r w:rsidR="005445C6">
        <w:rPr>
          <w:rFonts w:ascii="Arial" w:hAnsi="Arial" w:cs="Arial"/>
          <w:snapToGrid w:val="0"/>
        </w:rPr>
        <w:t xml:space="preserve"> but </w:t>
      </w:r>
      <w:r w:rsidR="0075645B">
        <w:rPr>
          <w:rFonts w:ascii="Arial" w:hAnsi="Arial" w:cs="Arial"/>
          <w:snapToGrid w:val="0"/>
        </w:rPr>
        <w:t>who have low awareness</w:t>
      </w:r>
      <w:r w:rsidR="005445C6" w:rsidRPr="002267B6">
        <w:rPr>
          <w:rFonts w:ascii="Arial" w:hAnsi="Arial" w:cs="Arial"/>
          <w:snapToGrid w:val="0"/>
        </w:rPr>
        <w:t xml:space="preserve"> of the energy content </w:t>
      </w:r>
      <w:r w:rsidR="005445C6">
        <w:rPr>
          <w:rFonts w:ascii="Arial" w:hAnsi="Arial" w:cs="Arial"/>
          <w:snapToGrid w:val="0"/>
        </w:rPr>
        <w:t>of alcoholic beverages</w:t>
      </w:r>
      <w:r w:rsidR="000775AF">
        <w:rPr>
          <w:rFonts w:ascii="Arial" w:hAnsi="Arial" w:cs="Arial"/>
          <w:snapToGrid w:val="0"/>
        </w:rPr>
        <w:t xml:space="preserve">. </w:t>
      </w:r>
    </w:p>
    <w:p w14:paraId="561CA97C" w14:textId="5BC8E9FC" w:rsidR="00FB5E44" w:rsidRDefault="000775AF" w:rsidP="00074A8B">
      <w:pPr>
        <w:pStyle w:val="Default"/>
        <w:rPr>
          <w:rFonts w:ascii="Arial" w:hAnsi="Arial" w:cs="Arial"/>
          <w:snapToGrid w:val="0"/>
          <w:color w:val="auto"/>
          <w:sz w:val="22"/>
          <w:szCs w:val="22"/>
          <w:lang w:val="en-US"/>
        </w:rPr>
      </w:pPr>
      <w:r>
        <w:rPr>
          <w:rFonts w:ascii="Arial" w:hAnsi="Arial" w:cs="Arial"/>
          <w:snapToGrid w:val="0"/>
          <w:color w:val="auto"/>
          <w:sz w:val="22"/>
          <w:szCs w:val="22"/>
          <w:lang w:val="en-US"/>
        </w:rPr>
        <w:t>Th</w:t>
      </w:r>
      <w:r w:rsidR="004D12A0">
        <w:rPr>
          <w:rFonts w:ascii="Arial" w:hAnsi="Arial" w:cs="Arial"/>
          <w:snapToGrid w:val="0"/>
          <w:color w:val="auto"/>
          <w:sz w:val="22"/>
          <w:szCs w:val="22"/>
          <w:lang w:val="en-US"/>
        </w:rPr>
        <w:t>at</w:t>
      </w:r>
      <w:r>
        <w:rPr>
          <w:rFonts w:ascii="Arial" w:hAnsi="Arial" w:cs="Arial"/>
          <w:snapToGrid w:val="0"/>
          <w:color w:val="auto"/>
          <w:sz w:val="22"/>
          <w:szCs w:val="22"/>
          <w:lang w:val="en-US"/>
        </w:rPr>
        <w:t xml:space="preserve"> group may account for a sizeable proportion of all </w:t>
      </w:r>
      <w:r w:rsidR="00A534F8">
        <w:rPr>
          <w:rFonts w:ascii="Arial" w:hAnsi="Arial" w:cs="Arial"/>
          <w:snapToGrid w:val="0"/>
          <w:color w:val="auto"/>
          <w:sz w:val="22"/>
          <w:szCs w:val="22"/>
          <w:lang w:val="en-US"/>
        </w:rPr>
        <w:t xml:space="preserve">consumers of alcoholic beverages. </w:t>
      </w:r>
      <w:r w:rsidR="005E7642" w:rsidRPr="00393C47">
        <w:rPr>
          <w:rFonts w:ascii="Arial" w:hAnsi="Arial" w:cs="Arial"/>
          <w:snapToGrid w:val="0"/>
          <w:color w:val="auto"/>
          <w:sz w:val="22"/>
          <w:szCs w:val="22"/>
          <w:lang w:val="en-US"/>
        </w:rPr>
        <w:t xml:space="preserve"> Some 82% of consumers cannot accurately estimate the energy content of alcohol (FSANZ, 2021b), while 42% of consumers report “watching my weight/others’ weight generally</w:t>
      </w:r>
      <w:r w:rsidR="00850C16" w:rsidRPr="00393C47">
        <w:rPr>
          <w:rFonts w:ascii="Arial" w:hAnsi="Arial" w:cs="Arial"/>
          <w:snapToGrid w:val="0"/>
          <w:color w:val="auto"/>
          <w:sz w:val="22"/>
          <w:szCs w:val="22"/>
          <w:lang w:val="en-US"/>
        </w:rPr>
        <w:t xml:space="preserve">” </w:t>
      </w:r>
      <w:r w:rsidR="00850C16">
        <w:rPr>
          <w:rFonts w:ascii="Arial" w:hAnsi="Arial" w:cs="Arial"/>
          <w:snapToGrid w:val="0"/>
          <w:color w:val="auto"/>
          <w:sz w:val="22"/>
          <w:szCs w:val="22"/>
          <w:lang w:val="en-US"/>
        </w:rPr>
        <w:t>(FSANZ 2023b).</w:t>
      </w:r>
    </w:p>
    <w:p w14:paraId="03C5C744" w14:textId="77777777" w:rsidR="00A20CDF" w:rsidRDefault="00A20CDF" w:rsidP="00074A8B">
      <w:pPr>
        <w:pStyle w:val="Default"/>
        <w:rPr>
          <w:rFonts w:ascii="Arial" w:hAnsi="Arial" w:cs="Arial"/>
          <w:snapToGrid w:val="0"/>
          <w:color w:val="auto"/>
          <w:sz w:val="22"/>
          <w:szCs w:val="22"/>
          <w:lang w:val="en-US"/>
        </w:rPr>
      </w:pPr>
    </w:p>
    <w:p w14:paraId="49AB862F" w14:textId="2F3BCEFA" w:rsidR="008D5D01" w:rsidRDefault="00A20CDF" w:rsidP="00074A8B">
      <w:pPr>
        <w:pStyle w:val="Default"/>
        <w:rPr>
          <w:rFonts w:ascii="Arial" w:hAnsi="Arial" w:cs="Arial"/>
          <w:snapToGrid w:val="0"/>
          <w:color w:val="auto"/>
          <w:sz w:val="22"/>
          <w:szCs w:val="22"/>
          <w:lang w:val="en-US"/>
        </w:rPr>
      </w:pPr>
      <w:r>
        <w:rPr>
          <w:rFonts w:ascii="Arial" w:hAnsi="Arial" w:cs="Arial"/>
          <w:snapToGrid w:val="0"/>
          <w:color w:val="auto"/>
          <w:sz w:val="22"/>
          <w:szCs w:val="22"/>
          <w:lang w:val="en-US"/>
        </w:rPr>
        <w:t>The consumers less li</w:t>
      </w:r>
      <w:r w:rsidR="00E85EA8">
        <w:rPr>
          <w:rFonts w:ascii="Arial" w:hAnsi="Arial" w:cs="Arial"/>
          <w:snapToGrid w:val="0"/>
          <w:color w:val="auto"/>
          <w:sz w:val="22"/>
          <w:szCs w:val="22"/>
          <w:lang w:val="en-US"/>
        </w:rPr>
        <w:t>kely to be impacted by measures to address the problem are</w:t>
      </w:r>
      <w:r w:rsidR="006471E1">
        <w:rPr>
          <w:rFonts w:ascii="Arial" w:hAnsi="Arial" w:cs="Arial"/>
          <w:snapToGrid w:val="0"/>
          <w:color w:val="auto"/>
          <w:sz w:val="22"/>
          <w:szCs w:val="22"/>
          <w:lang w:val="en-US"/>
        </w:rPr>
        <w:t xml:space="preserve"> those</w:t>
      </w:r>
      <w:r w:rsidR="001502C9">
        <w:rPr>
          <w:rFonts w:ascii="Arial" w:hAnsi="Arial" w:cs="Arial"/>
          <w:snapToGrid w:val="0"/>
          <w:color w:val="auto"/>
          <w:sz w:val="22"/>
          <w:szCs w:val="22"/>
          <w:lang w:val="en-US"/>
        </w:rPr>
        <w:t xml:space="preserve"> </w:t>
      </w:r>
      <w:r w:rsidR="00B07B00">
        <w:rPr>
          <w:rFonts w:ascii="Arial" w:hAnsi="Arial" w:cs="Arial"/>
          <w:snapToGrid w:val="0"/>
          <w:color w:val="auto"/>
          <w:sz w:val="22"/>
          <w:szCs w:val="22"/>
          <w:lang w:val="en-US"/>
        </w:rPr>
        <w:t>who</w:t>
      </w:r>
      <w:r w:rsidR="006471E1">
        <w:rPr>
          <w:rFonts w:ascii="Arial" w:hAnsi="Arial" w:cs="Arial"/>
          <w:snapToGrid w:val="0"/>
          <w:color w:val="auto"/>
          <w:sz w:val="22"/>
          <w:szCs w:val="22"/>
          <w:lang w:val="en-US"/>
        </w:rPr>
        <w:t xml:space="preserve"> value the information less, such as</w:t>
      </w:r>
      <w:r w:rsidR="00E85EA8">
        <w:rPr>
          <w:rFonts w:ascii="Arial" w:hAnsi="Arial" w:cs="Arial"/>
          <w:snapToGrid w:val="0"/>
          <w:color w:val="auto"/>
          <w:sz w:val="22"/>
          <w:szCs w:val="22"/>
          <w:lang w:val="en-US"/>
        </w:rPr>
        <w:t xml:space="preserve"> heavy drinkers, </w:t>
      </w:r>
      <w:r w:rsidR="009B2ACD">
        <w:rPr>
          <w:rFonts w:ascii="Arial" w:hAnsi="Arial" w:cs="Arial"/>
          <w:snapToGrid w:val="0"/>
          <w:color w:val="auto"/>
          <w:sz w:val="22"/>
          <w:szCs w:val="22"/>
          <w:lang w:val="en-US"/>
        </w:rPr>
        <w:t xml:space="preserve">people who are not </w:t>
      </w:r>
      <w:r w:rsidR="0051039B" w:rsidRPr="00FA5DCF">
        <w:rPr>
          <w:rFonts w:ascii="Arial" w:hAnsi="Arial" w:cs="Arial"/>
          <w:snapToGrid w:val="0"/>
          <w:color w:val="auto"/>
          <w:sz w:val="22"/>
          <w:szCs w:val="22"/>
          <w:lang w:val="en-US"/>
        </w:rPr>
        <w:t>health</w:t>
      </w:r>
      <w:r w:rsidR="00FA5DCF">
        <w:rPr>
          <w:rFonts w:ascii="Arial" w:hAnsi="Arial" w:cs="Arial"/>
          <w:snapToGrid w:val="0"/>
          <w:color w:val="auto"/>
          <w:sz w:val="22"/>
          <w:szCs w:val="22"/>
          <w:lang w:val="en-US"/>
        </w:rPr>
        <w:t xml:space="preserve"> </w:t>
      </w:r>
      <w:r w:rsidR="0051039B" w:rsidRPr="00FA5DCF">
        <w:rPr>
          <w:rFonts w:ascii="Arial" w:hAnsi="Arial" w:cs="Arial"/>
          <w:snapToGrid w:val="0"/>
          <w:color w:val="auto"/>
          <w:sz w:val="22"/>
          <w:szCs w:val="22"/>
          <w:lang w:val="en-US"/>
        </w:rPr>
        <w:t>/</w:t>
      </w:r>
      <w:r w:rsidR="00FA5DCF">
        <w:rPr>
          <w:rFonts w:ascii="Arial" w:hAnsi="Arial" w:cs="Arial"/>
          <w:snapToGrid w:val="0"/>
          <w:color w:val="auto"/>
          <w:sz w:val="22"/>
          <w:szCs w:val="22"/>
          <w:lang w:val="en-US"/>
        </w:rPr>
        <w:t xml:space="preserve"> </w:t>
      </w:r>
      <w:r w:rsidR="0051039B" w:rsidRPr="00FA5DCF">
        <w:rPr>
          <w:rFonts w:ascii="Arial" w:hAnsi="Arial" w:cs="Arial"/>
          <w:snapToGrid w:val="0"/>
          <w:color w:val="auto"/>
          <w:sz w:val="22"/>
          <w:szCs w:val="22"/>
          <w:lang w:val="en-US"/>
        </w:rPr>
        <w:t>weight-conscious</w:t>
      </w:r>
      <w:r w:rsidR="00394EB5">
        <w:rPr>
          <w:rFonts w:ascii="Arial" w:hAnsi="Arial" w:cs="Arial"/>
          <w:snapToGrid w:val="0"/>
          <w:color w:val="auto"/>
          <w:sz w:val="22"/>
          <w:szCs w:val="22"/>
          <w:lang w:val="en-US"/>
        </w:rPr>
        <w:t>,</w:t>
      </w:r>
      <w:r w:rsidR="00E715BC">
        <w:rPr>
          <w:rFonts w:ascii="Arial" w:hAnsi="Arial" w:cs="Arial"/>
          <w:snapToGrid w:val="0"/>
          <w:color w:val="auto"/>
          <w:sz w:val="22"/>
          <w:szCs w:val="22"/>
          <w:lang w:val="en-US"/>
        </w:rPr>
        <w:t xml:space="preserve"> </w:t>
      </w:r>
      <w:r w:rsidR="00DB2FBC">
        <w:rPr>
          <w:rFonts w:ascii="Arial" w:hAnsi="Arial" w:cs="Arial"/>
          <w:snapToGrid w:val="0"/>
          <w:color w:val="auto"/>
          <w:sz w:val="22"/>
          <w:szCs w:val="22"/>
          <w:lang w:val="en-US"/>
        </w:rPr>
        <w:t xml:space="preserve">and </w:t>
      </w:r>
      <w:r w:rsidR="00710E33">
        <w:rPr>
          <w:rFonts w:ascii="Arial" w:hAnsi="Arial" w:cs="Arial"/>
          <w:snapToGrid w:val="0"/>
          <w:color w:val="auto"/>
          <w:sz w:val="22"/>
          <w:szCs w:val="22"/>
          <w:lang w:val="en-US"/>
        </w:rPr>
        <w:t xml:space="preserve">a higher proportion of </w:t>
      </w:r>
      <w:r w:rsidR="0051039B" w:rsidRPr="00FA5DCF">
        <w:rPr>
          <w:rFonts w:ascii="Arial" w:hAnsi="Arial" w:cs="Arial"/>
          <w:snapToGrid w:val="0"/>
          <w:color w:val="auto"/>
          <w:sz w:val="22"/>
          <w:szCs w:val="22"/>
          <w:lang w:val="en-US"/>
        </w:rPr>
        <w:t>people with lower-level</w:t>
      </w:r>
      <w:r w:rsidR="00351642">
        <w:rPr>
          <w:rFonts w:ascii="Arial" w:hAnsi="Arial" w:cs="Arial"/>
          <w:snapToGrid w:val="0"/>
          <w:color w:val="auto"/>
          <w:sz w:val="22"/>
          <w:szCs w:val="22"/>
          <w:lang w:val="en-US"/>
        </w:rPr>
        <w:t>s of</w:t>
      </w:r>
      <w:r w:rsidR="0051039B" w:rsidRPr="00FA5DCF">
        <w:rPr>
          <w:rFonts w:ascii="Arial" w:hAnsi="Arial" w:cs="Arial"/>
          <w:snapToGrid w:val="0"/>
          <w:color w:val="auto"/>
          <w:sz w:val="22"/>
          <w:szCs w:val="22"/>
          <w:lang w:val="en-US"/>
        </w:rPr>
        <w:t xml:space="preserve"> education</w:t>
      </w:r>
      <w:r w:rsidR="0051039B">
        <w:rPr>
          <w:rFonts w:ascii="Arial" w:hAnsi="Arial" w:cs="Arial"/>
          <w:snapToGrid w:val="0"/>
          <w:color w:val="auto"/>
          <w:sz w:val="22"/>
          <w:szCs w:val="22"/>
          <w:lang w:val="en-US"/>
        </w:rPr>
        <w:t xml:space="preserve"> (FSANZ 2021b).</w:t>
      </w:r>
      <w:r w:rsidR="00727473">
        <w:rPr>
          <w:rFonts w:ascii="Arial" w:hAnsi="Arial" w:cs="Arial"/>
          <w:snapToGrid w:val="0"/>
          <w:color w:val="auto"/>
          <w:sz w:val="22"/>
          <w:szCs w:val="22"/>
          <w:lang w:val="en-US"/>
        </w:rPr>
        <w:t xml:space="preserve"> </w:t>
      </w:r>
    </w:p>
    <w:p w14:paraId="43DC1799" w14:textId="77777777" w:rsidR="00251FD8" w:rsidRDefault="00251FD8" w:rsidP="00074A8B">
      <w:pPr>
        <w:pStyle w:val="Default"/>
        <w:rPr>
          <w:rFonts w:ascii="Arial" w:hAnsi="Arial" w:cs="Arial"/>
          <w:snapToGrid w:val="0"/>
          <w:color w:val="auto"/>
          <w:sz w:val="22"/>
          <w:szCs w:val="22"/>
          <w:lang w:val="en-US"/>
        </w:rPr>
      </w:pPr>
    </w:p>
    <w:p w14:paraId="24930B1D" w14:textId="05D81A14" w:rsidR="00251FD8" w:rsidRDefault="0079310E" w:rsidP="00074A8B">
      <w:pPr>
        <w:pStyle w:val="Default"/>
        <w:rPr>
          <w:rFonts w:ascii="Arial" w:hAnsi="Arial" w:cs="Arial"/>
          <w:snapToGrid w:val="0"/>
          <w:color w:val="auto"/>
          <w:sz w:val="22"/>
          <w:szCs w:val="22"/>
          <w:lang w:val="en-US"/>
        </w:rPr>
      </w:pPr>
      <w:r>
        <w:rPr>
          <w:rFonts w:ascii="Arial" w:hAnsi="Arial" w:cs="Arial"/>
          <w:snapToGrid w:val="0"/>
          <w:color w:val="auto"/>
          <w:sz w:val="22"/>
          <w:szCs w:val="22"/>
          <w:lang w:val="en-US"/>
        </w:rPr>
        <w:t xml:space="preserve">Stakeholders </w:t>
      </w:r>
      <w:r w:rsidR="00175FA5">
        <w:rPr>
          <w:rFonts w:ascii="Arial" w:hAnsi="Arial" w:cs="Arial"/>
          <w:snapToGrid w:val="0"/>
          <w:color w:val="auto"/>
          <w:sz w:val="22"/>
          <w:szCs w:val="22"/>
          <w:lang w:val="en-US"/>
        </w:rPr>
        <w:t>likely to</w:t>
      </w:r>
      <w:r w:rsidR="00516B9E">
        <w:rPr>
          <w:rFonts w:ascii="Arial" w:hAnsi="Arial" w:cs="Arial"/>
          <w:snapToGrid w:val="0"/>
          <w:color w:val="auto"/>
          <w:sz w:val="22"/>
          <w:szCs w:val="22"/>
          <w:lang w:val="en-US"/>
        </w:rPr>
        <w:t xml:space="preserve"> </w:t>
      </w:r>
      <w:r w:rsidR="00507591">
        <w:rPr>
          <w:rFonts w:ascii="Arial" w:hAnsi="Arial" w:cs="Arial"/>
          <w:snapToGrid w:val="0"/>
          <w:color w:val="auto"/>
          <w:sz w:val="22"/>
          <w:szCs w:val="22"/>
          <w:lang w:val="en-US"/>
        </w:rPr>
        <w:t>be more proportionately</w:t>
      </w:r>
      <w:r w:rsidR="00A95F38">
        <w:rPr>
          <w:rFonts w:ascii="Arial" w:hAnsi="Arial" w:cs="Arial"/>
          <w:snapToGrid w:val="0"/>
          <w:color w:val="auto"/>
          <w:sz w:val="22"/>
          <w:szCs w:val="22"/>
          <w:lang w:val="en-US"/>
        </w:rPr>
        <w:t xml:space="preserve"> </w:t>
      </w:r>
      <w:r w:rsidR="00F03C21">
        <w:rPr>
          <w:rFonts w:ascii="Arial" w:hAnsi="Arial" w:cs="Arial"/>
          <w:snapToGrid w:val="0"/>
          <w:color w:val="auto"/>
          <w:sz w:val="22"/>
          <w:szCs w:val="22"/>
          <w:lang w:val="en-US"/>
        </w:rPr>
        <w:t>impacted</w:t>
      </w:r>
      <w:r w:rsidR="00516B9E">
        <w:rPr>
          <w:rFonts w:ascii="Arial" w:hAnsi="Arial" w:cs="Arial"/>
          <w:snapToGrid w:val="0"/>
          <w:color w:val="auto"/>
          <w:sz w:val="22"/>
          <w:szCs w:val="22"/>
          <w:lang w:val="en-US"/>
        </w:rPr>
        <w:t xml:space="preserve"> </w:t>
      </w:r>
      <w:r w:rsidR="005E2613">
        <w:rPr>
          <w:rFonts w:ascii="Arial" w:hAnsi="Arial" w:cs="Arial"/>
          <w:snapToGrid w:val="0"/>
          <w:color w:val="auto"/>
          <w:sz w:val="22"/>
          <w:szCs w:val="22"/>
          <w:lang w:val="en-US"/>
        </w:rPr>
        <w:t>by</w:t>
      </w:r>
      <w:r w:rsidR="00516B9E">
        <w:rPr>
          <w:rFonts w:ascii="Arial" w:hAnsi="Arial" w:cs="Arial"/>
          <w:snapToGrid w:val="0"/>
          <w:color w:val="auto"/>
          <w:sz w:val="22"/>
          <w:szCs w:val="22"/>
          <w:lang w:val="en-US"/>
        </w:rPr>
        <w:t xml:space="preserve"> measures </w:t>
      </w:r>
      <w:r w:rsidR="00175FA5">
        <w:rPr>
          <w:rFonts w:ascii="Arial" w:hAnsi="Arial" w:cs="Arial"/>
          <w:snapToGrid w:val="0"/>
          <w:color w:val="auto"/>
          <w:sz w:val="22"/>
          <w:szCs w:val="22"/>
          <w:lang w:val="en-US"/>
        </w:rPr>
        <w:t xml:space="preserve">to address the problem are </w:t>
      </w:r>
      <w:r w:rsidR="00DA6AF3">
        <w:rPr>
          <w:rFonts w:ascii="Arial" w:hAnsi="Arial" w:cs="Arial"/>
          <w:snapToGrid w:val="0"/>
          <w:color w:val="auto"/>
          <w:sz w:val="22"/>
          <w:szCs w:val="22"/>
          <w:lang w:val="en-US"/>
        </w:rPr>
        <w:t xml:space="preserve">those alcoholic beverage producers </w:t>
      </w:r>
      <w:r w:rsidR="00CF13EC">
        <w:rPr>
          <w:rFonts w:ascii="Arial" w:hAnsi="Arial" w:cs="Arial"/>
          <w:snapToGrid w:val="0"/>
          <w:color w:val="auto"/>
          <w:sz w:val="22"/>
          <w:szCs w:val="22"/>
          <w:lang w:val="en-US"/>
        </w:rPr>
        <w:t>with</w:t>
      </w:r>
      <w:r w:rsidR="00BD581C">
        <w:rPr>
          <w:rFonts w:ascii="Arial" w:hAnsi="Arial" w:cs="Arial"/>
          <w:snapToGrid w:val="0"/>
          <w:color w:val="auto"/>
          <w:sz w:val="22"/>
          <w:szCs w:val="22"/>
          <w:lang w:val="en-US"/>
        </w:rPr>
        <w:t xml:space="preserve"> existing</w:t>
      </w:r>
      <w:r w:rsidR="00CF13EC">
        <w:rPr>
          <w:rFonts w:ascii="Arial" w:hAnsi="Arial" w:cs="Arial"/>
          <w:snapToGrid w:val="0"/>
          <w:color w:val="auto"/>
          <w:sz w:val="22"/>
          <w:szCs w:val="22"/>
          <w:lang w:val="en-US"/>
        </w:rPr>
        <w:t xml:space="preserve"> lower profit margins</w:t>
      </w:r>
      <w:r w:rsidR="00E33E39">
        <w:rPr>
          <w:rFonts w:ascii="Arial" w:hAnsi="Arial" w:cs="Arial"/>
          <w:snapToGrid w:val="0"/>
          <w:color w:val="auto"/>
          <w:sz w:val="22"/>
          <w:szCs w:val="22"/>
          <w:lang w:val="en-US"/>
        </w:rPr>
        <w:t xml:space="preserve"> relative to </w:t>
      </w:r>
      <w:r w:rsidR="00CA5B0E">
        <w:rPr>
          <w:rFonts w:ascii="Arial" w:hAnsi="Arial" w:cs="Arial"/>
          <w:snapToGrid w:val="0"/>
          <w:color w:val="auto"/>
          <w:sz w:val="22"/>
          <w:szCs w:val="22"/>
          <w:lang w:val="en-US"/>
        </w:rPr>
        <w:t>costs of proposed label changes</w:t>
      </w:r>
      <w:r w:rsidR="00CF13EC">
        <w:rPr>
          <w:rFonts w:ascii="Arial" w:hAnsi="Arial" w:cs="Arial"/>
          <w:snapToGrid w:val="0"/>
          <w:color w:val="auto"/>
          <w:sz w:val="22"/>
          <w:szCs w:val="22"/>
          <w:lang w:val="en-US"/>
        </w:rPr>
        <w:t xml:space="preserve">. </w:t>
      </w:r>
      <w:r w:rsidR="006B762C">
        <w:rPr>
          <w:rFonts w:ascii="Arial" w:hAnsi="Arial" w:cs="Arial"/>
          <w:snapToGrid w:val="0"/>
          <w:color w:val="auto"/>
          <w:sz w:val="22"/>
          <w:szCs w:val="22"/>
          <w:lang w:val="en-US"/>
        </w:rPr>
        <w:t xml:space="preserve">It is not possible to know how </w:t>
      </w:r>
      <w:r w:rsidR="00882BC0">
        <w:rPr>
          <w:rFonts w:ascii="Arial" w:hAnsi="Arial" w:cs="Arial"/>
          <w:snapToGrid w:val="0"/>
          <w:color w:val="auto"/>
          <w:sz w:val="22"/>
          <w:szCs w:val="22"/>
          <w:lang w:val="en-US"/>
        </w:rPr>
        <w:t>such producers are distributed by turnover size, beverage type or other criteria</w:t>
      </w:r>
      <w:r w:rsidR="00B91EE1">
        <w:rPr>
          <w:rFonts w:ascii="Arial" w:hAnsi="Arial" w:cs="Arial"/>
          <w:snapToGrid w:val="0"/>
          <w:color w:val="auto"/>
          <w:sz w:val="22"/>
          <w:szCs w:val="22"/>
          <w:lang w:val="en-US"/>
        </w:rPr>
        <w:t xml:space="preserve">. </w:t>
      </w:r>
      <w:r w:rsidR="00D44A2B">
        <w:rPr>
          <w:rFonts w:ascii="Arial" w:hAnsi="Arial" w:cs="Arial"/>
          <w:snapToGrid w:val="0"/>
          <w:color w:val="auto"/>
          <w:sz w:val="22"/>
          <w:szCs w:val="22"/>
          <w:lang w:val="en-US"/>
        </w:rPr>
        <w:t>S</w:t>
      </w:r>
      <w:r w:rsidR="008C7026">
        <w:rPr>
          <w:rFonts w:ascii="Arial" w:hAnsi="Arial" w:cs="Arial"/>
          <w:snapToGrid w:val="0"/>
          <w:color w:val="auto"/>
          <w:sz w:val="22"/>
          <w:szCs w:val="22"/>
          <w:lang w:val="en-US"/>
        </w:rPr>
        <w:t xml:space="preserve">hops, hospitality and food service businesses are </w:t>
      </w:r>
      <w:r w:rsidR="008813D7">
        <w:rPr>
          <w:rFonts w:ascii="Arial" w:hAnsi="Arial" w:cs="Arial"/>
          <w:snapToGrid w:val="0"/>
          <w:color w:val="auto"/>
          <w:sz w:val="22"/>
          <w:szCs w:val="22"/>
          <w:lang w:val="en-US"/>
        </w:rPr>
        <w:t>likely to be less impacted</w:t>
      </w:r>
      <w:r w:rsidR="002B066B">
        <w:rPr>
          <w:rFonts w:ascii="Arial" w:hAnsi="Arial" w:cs="Arial"/>
          <w:snapToGrid w:val="0"/>
          <w:color w:val="auto"/>
          <w:sz w:val="22"/>
          <w:szCs w:val="22"/>
          <w:lang w:val="en-US"/>
        </w:rPr>
        <w:t>, given label</w:t>
      </w:r>
      <w:r w:rsidR="00DB6414">
        <w:rPr>
          <w:rFonts w:ascii="Arial" w:hAnsi="Arial" w:cs="Arial"/>
          <w:snapToGrid w:val="0"/>
          <w:color w:val="auto"/>
          <w:sz w:val="22"/>
          <w:szCs w:val="22"/>
          <w:lang w:val="en-US"/>
        </w:rPr>
        <w:t xml:space="preserve"> change costs</w:t>
      </w:r>
      <w:r w:rsidR="00D914F5">
        <w:rPr>
          <w:rFonts w:ascii="Arial" w:hAnsi="Arial" w:cs="Arial"/>
          <w:snapToGrid w:val="0"/>
          <w:color w:val="auto"/>
          <w:sz w:val="22"/>
          <w:szCs w:val="22"/>
          <w:lang w:val="en-US"/>
        </w:rPr>
        <w:t xml:space="preserve"> of alcoholic beverages</w:t>
      </w:r>
      <w:r w:rsidR="00DB6414">
        <w:rPr>
          <w:rFonts w:ascii="Arial" w:hAnsi="Arial" w:cs="Arial"/>
          <w:snapToGrid w:val="0"/>
          <w:color w:val="auto"/>
          <w:sz w:val="22"/>
          <w:szCs w:val="22"/>
          <w:lang w:val="en-US"/>
        </w:rPr>
        <w:t xml:space="preserve"> (</w:t>
      </w:r>
      <w:r w:rsidR="00D914F5">
        <w:rPr>
          <w:rFonts w:ascii="Arial" w:hAnsi="Arial" w:cs="Arial"/>
          <w:snapToGrid w:val="0"/>
          <w:color w:val="auto"/>
          <w:sz w:val="22"/>
          <w:szCs w:val="22"/>
          <w:lang w:val="en-US"/>
        </w:rPr>
        <w:t>from</w:t>
      </w:r>
      <w:r w:rsidR="00DB6414">
        <w:rPr>
          <w:rFonts w:ascii="Arial" w:hAnsi="Arial" w:cs="Arial"/>
          <w:snapToGrid w:val="0"/>
          <w:color w:val="auto"/>
          <w:sz w:val="22"/>
          <w:szCs w:val="22"/>
          <w:lang w:val="en-US"/>
        </w:rPr>
        <w:t xml:space="preserve"> options proposed) are likely to effect a smaller proportion of their total </w:t>
      </w:r>
      <w:r w:rsidR="00DA2D39">
        <w:rPr>
          <w:rFonts w:ascii="Arial" w:hAnsi="Arial" w:cs="Arial"/>
          <w:snapToGrid w:val="0"/>
          <w:color w:val="auto"/>
          <w:sz w:val="22"/>
          <w:szCs w:val="22"/>
          <w:lang w:val="en-US"/>
        </w:rPr>
        <w:t xml:space="preserve">(and more diverse) </w:t>
      </w:r>
      <w:r w:rsidR="00DB6414">
        <w:rPr>
          <w:rFonts w:ascii="Arial" w:hAnsi="Arial" w:cs="Arial"/>
          <w:snapToGrid w:val="0"/>
          <w:color w:val="auto"/>
          <w:sz w:val="22"/>
          <w:szCs w:val="22"/>
          <w:lang w:val="en-US"/>
        </w:rPr>
        <w:t>costs</w:t>
      </w:r>
      <w:r w:rsidR="008813D7">
        <w:rPr>
          <w:rFonts w:ascii="Arial" w:hAnsi="Arial" w:cs="Arial"/>
          <w:snapToGrid w:val="0"/>
          <w:color w:val="auto"/>
          <w:sz w:val="22"/>
          <w:szCs w:val="22"/>
          <w:lang w:val="en-US"/>
        </w:rPr>
        <w:t>.</w:t>
      </w:r>
      <w:r w:rsidR="00C56323">
        <w:rPr>
          <w:rFonts w:ascii="Arial" w:hAnsi="Arial" w:cs="Arial"/>
          <w:snapToGrid w:val="0"/>
          <w:color w:val="auto"/>
          <w:sz w:val="22"/>
          <w:szCs w:val="22"/>
          <w:lang w:val="en-US"/>
        </w:rPr>
        <w:t xml:space="preserve"> FSANZ does not have sufficient data to verify distributional impacts. </w:t>
      </w:r>
      <w:r w:rsidR="00AC5E97">
        <w:rPr>
          <w:rFonts w:ascii="Arial" w:hAnsi="Arial" w:cs="Arial"/>
          <w:snapToGrid w:val="0"/>
          <w:color w:val="auto"/>
          <w:sz w:val="22"/>
          <w:szCs w:val="22"/>
          <w:lang w:val="en-US"/>
        </w:rPr>
        <w:t>More details about</w:t>
      </w:r>
      <w:r w:rsidR="004E5B27">
        <w:rPr>
          <w:rFonts w:ascii="Arial" w:hAnsi="Arial" w:cs="Arial"/>
          <w:snapToGrid w:val="0"/>
          <w:color w:val="auto"/>
          <w:sz w:val="22"/>
          <w:szCs w:val="22"/>
          <w:lang w:val="en-US"/>
        </w:rPr>
        <w:t xml:space="preserve"> considerations of</w:t>
      </w:r>
      <w:r w:rsidR="00AC5E97">
        <w:rPr>
          <w:rFonts w:ascii="Arial" w:hAnsi="Arial" w:cs="Arial"/>
          <w:snapToGrid w:val="0"/>
          <w:color w:val="auto"/>
          <w:sz w:val="22"/>
          <w:szCs w:val="22"/>
          <w:lang w:val="en-US"/>
        </w:rPr>
        <w:t xml:space="preserve"> </w:t>
      </w:r>
      <w:r w:rsidR="0040056E">
        <w:rPr>
          <w:rFonts w:ascii="Arial" w:hAnsi="Arial" w:cs="Arial"/>
          <w:snapToGrid w:val="0"/>
          <w:color w:val="auto"/>
          <w:sz w:val="22"/>
          <w:szCs w:val="22"/>
          <w:lang w:val="en-US"/>
        </w:rPr>
        <w:t xml:space="preserve">distributional </w:t>
      </w:r>
      <w:r w:rsidR="00822BE3">
        <w:rPr>
          <w:rFonts w:ascii="Arial" w:hAnsi="Arial" w:cs="Arial"/>
          <w:snapToGrid w:val="0"/>
          <w:color w:val="auto"/>
          <w:sz w:val="22"/>
          <w:szCs w:val="22"/>
          <w:lang w:val="en-US"/>
        </w:rPr>
        <w:t xml:space="preserve">impacts </w:t>
      </w:r>
      <w:r w:rsidR="00AC5E97">
        <w:rPr>
          <w:rFonts w:ascii="Arial" w:hAnsi="Arial" w:cs="Arial"/>
          <w:snapToGrid w:val="0"/>
          <w:color w:val="auto"/>
          <w:sz w:val="22"/>
          <w:szCs w:val="22"/>
          <w:lang w:val="en-US"/>
        </w:rPr>
        <w:t>are</w:t>
      </w:r>
      <w:r w:rsidR="0040056E">
        <w:rPr>
          <w:rFonts w:ascii="Arial" w:hAnsi="Arial" w:cs="Arial"/>
          <w:snapToGrid w:val="0"/>
          <w:color w:val="auto"/>
          <w:sz w:val="22"/>
          <w:szCs w:val="22"/>
          <w:lang w:val="en-US"/>
        </w:rPr>
        <w:t xml:space="preserve"> in this DRIS’s </w:t>
      </w:r>
      <w:r w:rsidR="005376E0">
        <w:rPr>
          <w:rFonts w:ascii="Arial" w:hAnsi="Arial" w:cs="Arial"/>
          <w:snapToGrid w:val="0"/>
          <w:color w:val="auto"/>
          <w:sz w:val="22"/>
          <w:szCs w:val="22"/>
          <w:lang w:val="en-US"/>
        </w:rPr>
        <w:t>net benefits section</w:t>
      </w:r>
      <w:r w:rsidR="002501FE">
        <w:rPr>
          <w:rFonts w:ascii="Arial" w:hAnsi="Arial" w:cs="Arial"/>
          <w:snapToGrid w:val="0"/>
          <w:color w:val="auto"/>
          <w:sz w:val="22"/>
          <w:szCs w:val="22"/>
          <w:lang w:val="en-US"/>
        </w:rPr>
        <w:t>.</w:t>
      </w:r>
      <w:r w:rsidR="005376E0">
        <w:rPr>
          <w:rFonts w:ascii="Arial" w:hAnsi="Arial" w:cs="Arial"/>
          <w:snapToGrid w:val="0"/>
          <w:color w:val="auto"/>
          <w:sz w:val="22"/>
          <w:szCs w:val="22"/>
          <w:lang w:val="en-US"/>
        </w:rPr>
        <w:t xml:space="preserve"> </w:t>
      </w:r>
    </w:p>
    <w:p w14:paraId="0D161BD0" w14:textId="77777777" w:rsidR="00905C5A" w:rsidRDefault="00905C5A" w:rsidP="00074A8B">
      <w:pPr>
        <w:pStyle w:val="Default"/>
        <w:rPr>
          <w:rFonts w:ascii="Arial" w:hAnsi="Arial" w:cs="Arial"/>
          <w:snapToGrid w:val="0"/>
          <w:color w:val="auto"/>
          <w:sz w:val="22"/>
          <w:szCs w:val="22"/>
          <w:lang w:val="en-US"/>
        </w:rPr>
      </w:pPr>
    </w:p>
    <w:p w14:paraId="4939008A" w14:textId="77777777" w:rsidR="001502C9" w:rsidRDefault="001502C9" w:rsidP="001502C9">
      <w:pPr>
        <w:pStyle w:val="Default"/>
        <w:rPr>
          <w:rFonts w:ascii="Arial" w:eastAsia="Arial" w:hAnsi="Arial" w:cs="Arial"/>
          <w:sz w:val="22"/>
          <w:szCs w:val="22"/>
          <w:lang w:val="en-US"/>
        </w:rPr>
      </w:pPr>
      <w:r>
        <w:rPr>
          <w:rFonts w:ascii="Arial" w:hAnsi="Arial" w:cs="Arial"/>
          <w:snapToGrid w:val="0"/>
          <w:color w:val="auto"/>
          <w:sz w:val="22"/>
          <w:szCs w:val="22"/>
          <w:lang w:val="en-US"/>
        </w:rPr>
        <w:t xml:space="preserve">There are currently no targeted education campaigns linking alcohol consumption and energy intake. However, the lack of consistent, </w:t>
      </w:r>
      <w:r w:rsidRPr="1A79B7AB">
        <w:rPr>
          <w:rFonts w:ascii="Arial" w:eastAsia="Arial" w:hAnsi="Arial" w:cs="Arial"/>
          <w:sz w:val="22"/>
          <w:szCs w:val="22"/>
          <w:lang w:val="en-US"/>
        </w:rPr>
        <w:t>readily accessible energy content information on the label of alcoholic beverages</w:t>
      </w:r>
      <w:r>
        <w:rPr>
          <w:rFonts w:ascii="Arial" w:eastAsia="Arial" w:hAnsi="Arial" w:cs="Arial"/>
          <w:sz w:val="22"/>
          <w:szCs w:val="22"/>
          <w:lang w:val="en-US"/>
        </w:rPr>
        <w:t xml:space="preserve"> limits the potential impacts of any education aimed at reducing the prevalence of overweight and obesity. Consumers are therefore currently unable to use information or education to directly compare energy content between a selection of beverages and other foods at point of purchase and consumption.</w:t>
      </w:r>
    </w:p>
    <w:p w14:paraId="472FB207" w14:textId="77777777" w:rsidR="00363E3B" w:rsidRDefault="00363E3B" w:rsidP="00074A8B">
      <w:pPr>
        <w:pStyle w:val="Default"/>
        <w:rPr>
          <w:rFonts w:ascii="Arial" w:eastAsia="Arial" w:hAnsi="Arial" w:cs="Arial"/>
          <w:sz w:val="22"/>
          <w:szCs w:val="22"/>
          <w:lang w:val="en-US"/>
        </w:rPr>
      </w:pPr>
    </w:p>
    <w:p w14:paraId="6B19203D" w14:textId="1B841158" w:rsidR="00363E3B" w:rsidRDefault="00363E3B" w:rsidP="00074A8B">
      <w:pPr>
        <w:pStyle w:val="Default"/>
        <w:rPr>
          <w:rFonts w:ascii="Arial" w:hAnsi="Arial" w:cs="Arial"/>
          <w:snapToGrid w:val="0"/>
          <w:color w:val="auto"/>
          <w:sz w:val="22"/>
          <w:szCs w:val="22"/>
          <w:lang w:val="en-US"/>
        </w:rPr>
      </w:pPr>
      <w:r w:rsidRPr="00470C37">
        <w:rPr>
          <w:rFonts w:ascii="Arial" w:eastAsia="Arial" w:hAnsi="Arial" w:cs="Arial"/>
          <w:sz w:val="22"/>
          <w:szCs w:val="22"/>
        </w:rPr>
        <w:t xml:space="preserve">Internationally, there is no consistency in the requirements for nutrition and energy labelling on alcoholic beverages.  </w:t>
      </w:r>
    </w:p>
    <w:p w14:paraId="4E1FD213" w14:textId="45E8F75A" w:rsidR="00EA179B" w:rsidRDefault="00EA179B">
      <w:pPr>
        <w:rPr>
          <w:rFonts w:ascii="Arial" w:hAnsi="Arial" w:cs="Arial"/>
          <w:snapToGrid w:val="0"/>
        </w:rPr>
      </w:pPr>
      <w:r>
        <w:rPr>
          <w:rFonts w:ascii="Arial" w:hAnsi="Arial" w:cs="Arial"/>
          <w:snapToGrid w:val="0"/>
        </w:rPr>
        <w:br w:type="page"/>
      </w:r>
    </w:p>
    <w:p w14:paraId="765307E4" w14:textId="1543A5AC" w:rsidR="00D5445C" w:rsidRDefault="00D5445C" w:rsidP="00CE3140">
      <w:pPr>
        <w:pStyle w:val="Heading2"/>
        <w:numPr>
          <w:ilvl w:val="0"/>
          <w:numId w:val="10"/>
        </w:numPr>
        <w:rPr>
          <w:rFonts w:eastAsia="Arial"/>
        </w:rPr>
      </w:pPr>
      <w:bookmarkStart w:id="13" w:name="_Toc194475989"/>
      <w:r>
        <w:rPr>
          <w:rFonts w:eastAsia="Arial"/>
        </w:rPr>
        <w:lastRenderedPageBreak/>
        <w:t xml:space="preserve">Why is </w:t>
      </w:r>
      <w:r w:rsidR="00043262">
        <w:rPr>
          <w:rFonts w:eastAsia="Arial"/>
        </w:rPr>
        <w:t>g</w:t>
      </w:r>
      <w:r>
        <w:rPr>
          <w:rFonts w:eastAsia="Arial"/>
        </w:rPr>
        <w:t xml:space="preserve">overnment </w:t>
      </w:r>
      <w:r w:rsidR="00043262">
        <w:rPr>
          <w:rFonts w:eastAsia="Arial"/>
        </w:rPr>
        <w:t>a</w:t>
      </w:r>
      <w:r>
        <w:rPr>
          <w:rFonts w:eastAsia="Arial"/>
        </w:rPr>
        <w:t xml:space="preserve">ction </w:t>
      </w:r>
      <w:r w:rsidR="00043262">
        <w:rPr>
          <w:rFonts w:eastAsia="Arial"/>
        </w:rPr>
        <w:t>n</w:t>
      </w:r>
      <w:r>
        <w:rPr>
          <w:rFonts w:eastAsia="Arial"/>
        </w:rPr>
        <w:t>eeded?</w:t>
      </w:r>
      <w:bookmarkEnd w:id="13"/>
    </w:p>
    <w:p w14:paraId="09979FB7" w14:textId="64488D08" w:rsidR="00E95055" w:rsidRPr="00E95055" w:rsidRDefault="00E95055" w:rsidP="00DC02AA">
      <w:r w:rsidRPr="6A15B411">
        <w:rPr>
          <w:rFonts w:ascii="Arial" w:hAnsi="Arial" w:cs="Arial"/>
          <w:snapToGrid w:val="0"/>
        </w:rPr>
        <w:t xml:space="preserve">The availability of </w:t>
      </w:r>
      <w:r w:rsidR="00514D02" w:rsidRPr="6A15B411">
        <w:rPr>
          <w:rFonts w:ascii="Arial" w:hAnsi="Arial" w:cs="Arial"/>
          <w:snapToGrid w:val="0"/>
        </w:rPr>
        <w:t xml:space="preserve">nutrition </w:t>
      </w:r>
      <w:r w:rsidRPr="6A15B411">
        <w:rPr>
          <w:rFonts w:ascii="Arial" w:hAnsi="Arial" w:cs="Arial"/>
          <w:snapToGrid w:val="0"/>
        </w:rPr>
        <w:t>information such as energy content is foundational to an open and transparent food production system</w:t>
      </w:r>
      <w:r w:rsidR="00D27386" w:rsidRPr="6A15B411">
        <w:rPr>
          <w:rFonts w:ascii="Arial" w:hAnsi="Arial" w:cs="Arial"/>
          <w:snapToGrid w:val="0"/>
        </w:rPr>
        <w:t>. It</w:t>
      </w:r>
      <w:r w:rsidRPr="6A15B411">
        <w:rPr>
          <w:rFonts w:ascii="Arial" w:hAnsi="Arial" w:cs="Arial"/>
          <w:snapToGrid w:val="0"/>
        </w:rPr>
        <w:t xml:space="preserve"> is a precondition for consumers to be able to make informed choices about the food and beverages they </w:t>
      </w:r>
      <w:r w:rsidR="00B07B00" w:rsidRPr="6A15B411">
        <w:rPr>
          <w:rFonts w:ascii="Arial" w:hAnsi="Arial" w:cs="Arial"/>
          <w:snapToGrid w:val="0"/>
        </w:rPr>
        <w:t xml:space="preserve">purchase and </w:t>
      </w:r>
      <w:r w:rsidRPr="6A15B411">
        <w:rPr>
          <w:rFonts w:ascii="Arial" w:hAnsi="Arial" w:cs="Arial"/>
          <w:snapToGrid w:val="0"/>
        </w:rPr>
        <w:t xml:space="preserve">consume in support of dietary guidelines or other personal health related decisions. </w:t>
      </w:r>
    </w:p>
    <w:p w14:paraId="6B7DB55E" w14:textId="385DE740" w:rsidR="005D4A9C" w:rsidRDefault="00514D02" w:rsidP="00DC02AA">
      <w:pPr>
        <w:rPr>
          <w:rFonts w:ascii="Arial" w:hAnsi="Arial" w:cs="Arial"/>
          <w:snapToGrid w:val="0"/>
        </w:rPr>
      </w:pPr>
      <w:r>
        <w:rPr>
          <w:rFonts w:ascii="Arial" w:hAnsi="Arial" w:cs="Arial"/>
          <w:snapToGrid w:val="0"/>
        </w:rPr>
        <w:t>Available evidence suggests</w:t>
      </w:r>
      <w:r w:rsidR="00C268FF">
        <w:rPr>
          <w:rFonts w:ascii="Arial" w:hAnsi="Arial" w:cs="Arial"/>
          <w:snapToGrid w:val="0"/>
        </w:rPr>
        <w:t xml:space="preserve"> 69% of consumers support energy labelling on alcoholic beverages (FSANZ 2021b)</w:t>
      </w:r>
      <w:r w:rsidR="008B3D0A">
        <w:rPr>
          <w:rFonts w:ascii="Arial" w:hAnsi="Arial" w:cs="Arial"/>
          <w:snapToGrid w:val="0"/>
        </w:rPr>
        <w:t xml:space="preserve"> </w:t>
      </w:r>
      <w:r w:rsidR="00C268FF">
        <w:rPr>
          <w:rFonts w:ascii="Arial" w:hAnsi="Arial" w:cs="Arial"/>
          <w:snapToGrid w:val="0"/>
        </w:rPr>
        <w:t xml:space="preserve">and yet energy content </w:t>
      </w:r>
      <w:r>
        <w:rPr>
          <w:rFonts w:ascii="Arial" w:hAnsi="Arial" w:cs="Arial"/>
          <w:snapToGrid w:val="0"/>
        </w:rPr>
        <w:t xml:space="preserve">information </w:t>
      </w:r>
      <w:r w:rsidR="00C268FF">
        <w:rPr>
          <w:rFonts w:ascii="Arial" w:hAnsi="Arial" w:cs="Arial"/>
          <w:snapToGrid w:val="0"/>
        </w:rPr>
        <w:t xml:space="preserve">is only </w:t>
      </w:r>
      <w:r>
        <w:rPr>
          <w:rFonts w:ascii="Arial" w:hAnsi="Arial" w:cs="Arial"/>
          <w:snapToGrid w:val="0"/>
        </w:rPr>
        <w:t>included on the label of</w:t>
      </w:r>
      <w:r w:rsidR="00C268FF">
        <w:rPr>
          <w:rFonts w:ascii="Arial" w:hAnsi="Arial" w:cs="Arial"/>
          <w:snapToGrid w:val="0"/>
        </w:rPr>
        <w:t xml:space="preserve"> around 2% of alcoholic beverage SKUs via a voluntary NIP</w:t>
      </w:r>
      <w:r w:rsidR="000906ED">
        <w:rPr>
          <w:rFonts w:ascii="Arial" w:hAnsi="Arial" w:cs="Arial"/>
          <w:snapToGrid w:val="0"/>
        </w:rPr>
        <w:t xml:space="preserve"> </w:t>
      </w:r>
      <w:r w:rsidR="00B07B00">
        <w:rPr>
          <w:rFonts w:ascii="Arial" w:hAnsi="Arial" w:cs="Arial"/>
          <w:snapToGrid w:val="0"/>
        </w:rPr>
        <w:t>and</w:t>
      </w:r>
      <w:r>
        <w:rPr>
          <w:rFonts w:ascii="Arial" w:hAnsi="Arial" w:cs="Arial"/>
          <w:snapToGrid w:val="0"/>
        </w:rPr>
        <w:t xml:space="preserve"> a</w:t>
      </w:r>
      <w:r w:rsidR="0017440E">
        <w:rPr>
          <w:rFonts w:ascii="Arial" w:hAnsi="Arial" w:cs="Arial"/>
          <w:snapToGrid w:val="0"/>
        </w:rPr>
        <w:t xml:space="preserve"> further</w:t>
      </w:r>
      <w:r>
        <w:rPr>
          <w:rFonts w:ascii="Arial" w:hAnsi="Arial" w:cs="Arial"/>
          <w:snapToGrid w:val="0"/>
        </w:rPr>
        <w:t xml:space="preserve"> 6% </w:t>
      </w:r>
      <w:r w:rsidR="000906ED">
        <w:rPr>
          <w:rFonts w:ascii="Arial" w:hAnsi="Arial" w:cs="Arial"/>
          <w:snapToGrid w:val="0"/>
        </w:rPr>
        <w:t xml:space="preserve">of </w:t>
      </w:r>
      <w:r w:rsidR="00C8314E">
        <w:rPr>
          <w:rFonts w:ascii="Arial" w:hAnsi="Arial" w:cs="Arial"/>
          <w:snapToGrid w:val="0"/>
        </w:rPr>
        <w:t xml:space="preserve">SKUs </w:t>
      </w:r>
      <w:r>
        <w:rPr>
          <w:rFonts w:ascii="Arial" w:hAnsi="Arial" w:cs="Arial"/>
          <w:snapToGrid w:val="0"/>
        </w:rPr>
        <w:t>because a voluntary claim is made</w:t>
      </w:r>
      <w:r w:rsidR="00C268FF">
        <w:rPr>
          <w:rFonts w:ascii="Arial" w:hAnsi="Arial" w:cs="Arial"/>
          <w:snapToGrid w:val="0"/>
        </w:rPr>
        <w:t xml:space="preserve">. </w:t>
      </w:r>
      <w:r w:rsidR="00DF37E3">
        <w:rPr>
          <w:rFonts w:ascii="Arial" w:hAnsi="Arial" w:cs="Arial"/>
          <w:snapToGrid w:val="0"/>
        </w:rPr>
        <w:t xml:space="preserve">Therefore, </w:t>
      </w:r>
      <w:r w:rsidR="0073763F" w:rsidRPr="006D13F8">
        <w:rPr>
          <w:rFonts w:ascii="Arial" w:hAnsi="Arial" w:cs="Arial"/>
          <w:snapToGrid w:val="0"/>
        </w:rPr>
        <w:t>the market is underproviding this information that a range of consumers would value and there is a market failure</w:t>
      </w:r>
      <w:r w:rsidR="00FB5E44">
        <w:rPr>
          <w:rFonts w:ascii="Arial" w:hAnsi="Arial" w:cs="Arial"/>
          <w:snapToGrid w:val="0"/>
        </w:rPr>
        <w:t>.</w:t>
      </w:r>
      <w:r w:rsidR="00296303">
        <w:rPr>
          <w:rFonts w:ascii="Arial" w:hAnsi="Arial" w:cs="Arial"/>
          <w:snapToGrid w:val="0"/>
        </w:rPr>
        <w:t xml:space="preserve"> </w:t>
      </w:r>
    </w:p>
    <w:p w14:paraId="130C8717" w14:textId="16B7C34C" w:rsidR="00113336" w:rsidRDefault="00CF35FF" w:rsidP="6A15B411">
      <w:pPr>
        <w:rPr>
          <w:rFonts w:ascii="Arial" w:hAnsi="Arial" w:cs="Arial"/>
          <w:snapToGrid w:val="0"/>
        </w:rPr>
      </w:pPr>
      <w:r w:rsidRPr="6A15B411">
        <w:rPr>
          <w:rFonts w:ascii="Arial" w:hAnsi="Arial" w:cs="Arial"/>
          <w:snapToGrid w:val="0"/>
        </w:rPr>
        <w:t>Given th</w:t>
      </w:r>
      <w:r w:rsidR="00005481" w:rsidRPr="6A15B411">
        <w:rPr>
          <w:rFonts w:ascii="Arial" w:hAnsi="Arial" w:cs="Arial"/>
          <w:snapToGrid w:val="0"/>
        </w:rPr>
        <w:t xml:space="preserve">e low proportion of </w:t>
      </w:r>
      <w:r w:rsidR="000415C5" w:rsidRPr="6A15B411">
        <w:rPr>
          <w:rFonts w:ascii="Arial" w:hAnsi="Arial" w:cs="Arial"/>
          <w:snapToGrid w:val="0"/>
        </w:rPr>
        <w:t xml:space="preserve">alcoholic beverage </w:t>
      </w:r>
      <w:r w:rsidR="005D1233" w:rsidRPr="6A15B411">
        <w:rPr>
          <w:rFonts w:ascii="Arial" w:hAnsi="Arial" w:cs="Arial"/>
          <w:snapToGrid w:val="0"/>
        </w:rPr>
        <w:t>SKUs that provide energy content information</w:t>
      </w:r>
      <w:r w:rsidR="00C15622" w:rsidRPr="6A15B411">
        <w:rPr>
          <w:rFonts w:ascii="Arial" w:hAnsi="Arial" w:cs="Arial"/>
          <w:snapToGrid w:val="0"/>
        </w:rPr>
        <w:t xml:space="preserve"> voluntarily</w:t>
      </w:r>
      <w:r w:rsidR="005D1233" w:rsidRPr="6A15B411">
        <w:rPr>
          <w:rFonts w:ascii="Arial" w:hAnsi="Arial" w:cs="Arial"/>
          <w:snapToGrid w:val="0"/>
        </w:rPr>
        <w:t>, i</w:t>
      </w:r>
      <w:r w:rsidR="001D122E" w:rsidRPr="6A15B411">
        <w:rPr>
          <w:rFonts w:ascii="Arial" w:hAnsi="Arial" w:cs="Arial"/>
          <w:snapToGrid w:val="0"/>
        </w:rPr>
        <w:t xml:space="preserve">t is </w:t>
      </w:r>
      <w:r w:rsidR="00C15622" w:rsidRPr="6A15B411">
        <w:rPr>
          <w:rFonts w:ascii="Arial" w:hAnsi="Arial" w:cs="Arial"/>
          <w:snapToGrid w:val="0"/>
        </w:rPr>
        <w:t>un</w:t>
      </w:r>
      <w:r w:rsidR="005D1233" w:rsidRPr="6A15B411">
        <w:rPr>
          <w:rFonts w:ascii="Arial" w:hAnsi="Arial" w:cs="Arial"/>
          <w:snapToGrid w:val="0"/>
        </w:rPr>
        <w:t xml:space="preserve">likely </w:t>
      </w:r>
      <w:r w:rsidR="0051628D" w:rsidRPr="6A15B411">
        <w:rPr>
          <w:rFonts w:ascii="Arial" w:hAnsi="Arial" w:cs="Arial"/>
          <w:snapToGrid w:val="0"/>
        </w:rPr>
        <w:t xml:space="preserve">the </w:t>
      </w:r>
      <w:r w:rsidR="001D122E" w:rsidRPr="6A15B411">
        <w:rPr>
          <w:rFonts w:ascii="Arial" w:hAnsi="Arial" w:cs="Arial"/>
          <w:snapToGrid w:val="0"/>
        </w:rPr>
        <w:t xml:space="preserve">objectives outlined below </w:t>
      </w:r>
      <w:r w:rsidR="00C15622" w:rsidRPr="6A15B411">
        <w:rPr>
          <w:rFonts w:ascii="Arial" w:hAnsi="Arial" w:cs="Arial"/>
          <w:snapToGrid w:val="0"/>
        </w:rPr>
        <w:t xml:space="preserve">can be achieved </w:t>
      </w:r>
      <w:r w:rsidR="001D122E" w:rsidRPr="6A15B411">
        <w:rPr>
          <w:rFonts w:ascii="Arial" w:hAnsi="Arial" w:cs="Arial"/>
          <w:snapToGrid w:val="0"/>
        </w:rPr>
        <w:t xml:space="preserve">without </w:t>
      </w:r>
      <w:r w:rsidR="000415C5" w:rsidRPr="6A15B411">
        <w:rPr>
          <w:rFonts w:ascii="Arial" w:hAnsi="Arial" w:cs="Arial"/>
          <w:snapToGrid w:val="0"/>
        </w:rPr>
        <w:t xml:space="preserve">a </w:t>
      </w:r>
      <w:r w:rsidR="00362C8D" w:rsidRPr="6A15B411">
        <w:rPr>
          <w:rFonts w:ascii="Arial" w:hAnsi="Arial" w:cs="Arial"/>
          <w:snapToGrid w:val="0"/>
        </w:rPr>
        <w:t xml:space="preserve">mandatory </w:t>
      </w:r>
      <w:r w:rsidR="000415C5" w:rsidRPr="6A15B411">
        <w:rPr>
          <w:rFonts w:ascii="Arial" w:hAnsi="Arial" w:cs="Arial"/>
          <w:snapToGrid w:val="0"/>
        </w:rPr>
        <w:t>requirement</w:t>
      </w:r>
      <w:r w:rsidR="00C15622" w:rsidRPr="6A15B411">
        <w:rPr>
          <w:rFonts w:ascii="Arial" w:hAnsi="Arial" w:cs="Arial"/>
          <w:snapToGrid w:val="0"/>
        </w:rPr>
        <w:t xml:space="preserve"> for energy labelling on alcoholic beverages</w:t>
      </w:r>
      <w:r w:rsidR="001D122E" w:rsidRPr="6A15B411">
        <w:rPr>
          <w:rFonts w:ascii="Arial" w:hAnsi="Arial" w:cs="Arial"/>
          <w:snapToGrid w:val="0"/>
        </w:rPr>
        <w:t>.</w:t>
      </w:r>
      <w:r w:rsidR="004B1726" w:rsidRPr="6A15B411">
        <w:rPr>
          <w:rFonts w:ascii="Arial" w:hAnsi="Arial" w:cs="Arial"/>
          <w:snapToGrid w:val="0"/>
        </w:rPr>
        <w:t xml:space="preserve"> </w:t>
      </w:r>
    </w:p>
    <w:p w14:paraId="04779FDC" w14:textId="2E732F0F" w:rsidR="001D122E" w:rsidRDefault="00113336" w:rsidP="6A15B411">
      <w:pPr>
        <w:rPr>
          <w:rFonts w:ascii="Arial" w:hAnsi="Arial" w:cs="Arial"/>
          <w:snapToGrid w:val="0"/>
        </w:rPr>
      </w:pPr>
      <w:r w:rsidRPr="6A15B411">
        <w:rPr>
          <w:rFonts w:ascii="Arial" w:hAnsi="Arial" w:cs="Arial"/>
          <w:snapToGrid w:val="0"/>
        </w:rPr>
        <w:t xml:space="preserve">Early </w:t>
      </w:r>
      <w:r w:rsidR="00A420F4" w:rsidRPr="6A15B411">
        <w:rPr>
          <w:rFonts w:ascii="Arial" w:hAnsi="Arial" w:cs="Arial"/>
          <w:snapToGrid w:val="0"/>
        </w:rPr>
        <w:t xml:space="preserve">analysis of options and consultation </w:t>
      </w:r>
      <w:r w:rsidR="00C15622" w:rsidRPr="6A15B411">
        <w:rPr>
          <w:rFonts w:ascii="Arial" w:hAnsi="Arial" w:cs="Arial"/>
          <w:snapToGrid w:val="0"/>
        </w:rPr>
        <w:t xml:space="preserve">undertaken </w:t>
      </w:r>
      <w:r w:rsidR="00826429" w:rsidRPr="6A15B411">
        <w:rPr>
          <w:rFonts w:ascii="Arial" w:hAnsi="Arial" w:cs="Arial"/>
          <w:snapToGrid w:val="0"/>
        </w:rPr>
        <w:t xml:space="preserve">by FSANZ </w:t>
      </w:r>
      <w:r w:rsidR="00C15622" w:rsidRPr="6A15B411">
        <w:rPr>
          <w:rFonts w:ascii="Arial" w:hAnsi="Arial" w:cs="Arial"/>
          <w:snapToGrid w:val="0"/>
        </w:rPr>
        <w:t>in 2021</w:t>
      </w:r>
      <w:r w:rsidR="00826429" w:rsidRPr="6A15B411">
        <w:rPr>
          <w:rFonts w:ascii="Arial" w:hAnsi="Arial" w:cs="Arial"/>
          <w:snapToGrid w:val="0"/>
        </w:rPr>
        <w:t xml:space="preserve"> demonstrated that a </w:t>
      </w:r>
      <w:r w:rsidR="004B1726" w:rsidRPr="6A15B411">
        <w:rPr>
          <w:rFonts w:ascii="Arial" w:hAnsi="Arial" w:cs="Arial"/>
          <w:snapToGrid w:val="0"/>
        </w:rPr>
        <w:t>mandatory approach to energy labelling of packaged alcoholic beverages would provide greater coverage and consistency for consumers than a voluntary approach.</w:t>
      </w:r>
      <w:r w:rsidR="00CC5A7E" w:rsidRPr="6A15B411">
        <w:rPr>
          <w:rFonts w:ascii="Arial" w:hAnsi="Arial" w:cs="Arial"/>
          <w:snapToGrid w:val="0"/>
        </w:rPr>
        <w:t xml:space="preserve"> Most stakeholders, including some</w:t>
      </w:r>
      <w:r w:rsidR="006C12D4" w:rsidRPr="6A15B411">
        <w:rPr>
          <w:rFonts w:ascii="Arial" w:hAnsi="Arial" w:cs="Arial"/>
          <w:snapToGrid w:val="0"/>
        </w:rPr>
        <w:t xml:space="preserve"> industry stakeholders agreed with </w:t>
      </w:r>
      <w:r w:rsidR="000415C5" w:rsidRPr="6A15B411">
        <w:rPr>
          <w:rFonts w:ascii="Arial" w:hAnsi="Arial" w:cs="Arial"/>
          <w:snapToGrid w:val="0"/>
        </w:rPr>
        <w:t xml:space="preserve">a </w:t>
      </w:r>
      <w:r w:rsidR="006C12D4" w:rsidRPr="6A15B411">
        <w:rPr>
          <w:rFonts w:ascii="Arial" w:hAnsi="Arial" w:cs="Arial"/>
          <w:snapToGrid w:val="0"/>
        </w:rPr>
        <w:t xml:space="preserve">mandatory </w:t>
      </w:r>
      <w:r w:rsidR="00C15622" w:rsidRPr="6A15B411">
        <w:rPr>
          <w:rFonts w:ascii="Arial" w:hAnsi="Arial" w:cs="Arial"/>
          <w:snapToGrid w:val="0"/>
        </w:rPr>
        <w:t>approach</w:t>
      </w:r>
      <w:r w:rsidR="0095603A" w:rsidRPr="6A15B411">
        <w:rPr>
          <w:rFonts w:ascii="Arial" w:hAnsi="Arial" w:cs="Arial"/>
          <w:snapToGrid w:val="0"/>
        </w:rPr>
        <w:t xml:space="preserve"> </w:t>
      </w:r>
      <w:r w:rsidR="000415C5" w:rsidRPr="6A15B411">
        <w:rPr>
          <w:rFonts w:ascii="Arial" w:hAnsi="Arial" w:cs="Arial"/>
          <w:snapToGrid w:val="0"/>
        </w:rPr>
        <w:t>for on-label provision of energy content information</w:t>
      </w:r>
      <w:r w:rsidR="006C12D4" w:rsidRPr="6A15B411">
        <w:rPr>
          <w:rFonts w:ascii="Arial" w:hAnsi="Arial" w:cs="Arial"/>
          <w:snapToGrid w:val="0"/>
        </w:rPr>
        <w:t>.</w:t>
      </w:r>
      <w:r w:rsidR="004B1726" w:rsidRPr="6A15B411">
        <w:rPr>
          <w:rFonts w:ascii="Arial" w:hAnsi="Arial" w:cs="Arial"/>
          <w:snapToGrid w:val="0"/>
        </w:rPr>
        <w:t xml:space="preserve"> </w:t>
      </w:r>
      <w:r w:rsidR="00DB2F8E" w:rsidRPr="6A15B411">
        <w:rPr>
          <w:rFonts w:ascii="Arial" w:hAnsi="Arial" w:cs="Arial"/>
          <w:snapToGrid w:val="0"/>
        </w:rPr>
        <w:t xml:space="preserve">For </w:t>
      </w:r>
      <w:r w:rsidR="000541CB" w:rsidRPr="6A15B411">
        <w:rPr>
          <w:rFonts w:ascii="Arial" w:hAnsi="Arial" w:cs="Arial"/>
          <w:snapToGrid w:val="0"/>
        </w:rPr>
        <w:t>more details, see the 2021 Options Analysis paper</w:t>
      </w:r>
      <w:r w:rsidR="00B524CF" w:rsidRPr="6A15B411">
        <w:rPr>
          <w:rFonts w:ascii="Arial" w:hAnsi="Arial" w:cs="Arial"/>
          <w:snapToGrid w:val="0"/>
        </w:rPr>
        <w:t xml:space="preserve"> (FSANZ 2021</w:t>
      </w:r>
      <w:r w:rsidR="00AF5B0F" w:rsidRPr="6A15B411">
        <w:rPr>
          <w:rFonts w:ascii="Arial" w:hAnsi="Arial" w:cs="Arial"/>
          <w:snapToGrid w:val="0"/>
        </w:rPr>
        <w:t>d</w:t>
      </w:r>
      <w:r w:rsidR="00B524CF" w:rsidRPr="6A15B411">
        <w:rPr>
          <w:rFonts w:ascii="Arial" w:hAnsi="Arial" w:cs="Arial"/>
          <w:snapToGrid w:val="0"/>
        </w:rPr>
        <w:t>)</w:t>
      </w:r>
      <w:r w:rsidR="000541CB" w:rsidRPr="6A15B411">
        <w:rPr>
          <w:rStyle w:val="FootnoteReference"/>
          <w:rFonts w:ascii="Arial" w:hAnsi="Arial" w:cs="Arial"/>
          <w:snapToGrid w:val="0"/>
        </w:rPr>
        <w:footnoteReference w:id="16"/>
      </w:r>
      <w:r w:rsidR="000541CB" w:rsidRPr="6A15B411">
        <w:rPr>
          <w:rFonts w:ascii="Arial" w:hAnsi="Arial" w:cs="Arial"/>
          <w:snapToGrid w:val="0"/>
        </w:rPr>
        <w:t>.</w:t>
      </w:r>
      <w:r w:rsidR="001D122E" w:rsidRPr="6A15B411">
        <w:rPr>
          <w:rFonts w:ascii="Arial" w:hAnsi="Arial" w:cs="Arial"/>
          <w:snapToGrid w:val="0"/>
        </w:rPr>
        <w:t xml:space="preserve"> </w:t>
      </w:r>
      <w:r w:rsidR="0095603A" w:rsidRPr="6A15B411">
        <w:rPr>
          <w:rFonts w:ascii="Arial" w:hAnsi="Arial" w:cs="Arial"/>
          <w:snapToGrid w:val="0"/>
        </w:rPr>
        <w:t xml:space="preserve">A mandatory </w:t>
      </w:r>
      <w:r w:rsidR="00C15622" w:rsidRPr="6A15B411">
        <w:rPr>
          <w:rFonts w:ascii="Arial" w:hAnsi="Arial" w:cs="Arial"/>
          <w:snapToGrid w:val="0"/>
        </w:rPr>
        <w:t>approach requires a change to</w:t>
      </w:r>
      <w:r w:rsidR="00773E0D" w:rsidRPr="6A15B411">
        <w:rPr>
          <w:rFonts w:ascii="Arial" w:hAnsi="Arial" w:cs="Arial"/>
          <w:snapToGrid w:val="0"/>
        </w:rPr>
        <w:t xml:space="preserve"> the Code. </w:t>
      </w:r>
      <w:r w:rsidR="001D122E" w:rsidRPr="6A15B411">
        <w:rPr>
          <w:rFonts w:ascii="Arial" w:hAnsi="Arial" w:cs="Arial"/>
          <w:snapToGrid w:val="0"/>
        </w:rPr>
        <w:t>Only FSANZ can amend the Code</w:t>
      </w:r>
      <w:r w:rsidR="000415C5" w:rsidRPr="6A15B411">
        <w:rPr>
          <w:rFonts w:ascii="Arial" w:hAnsi="Arial" w:cs="Arial"/>
          <w:snapToGrid w:val="0"/>
        </w:rPr>
        <w:t>,</w:t>
      </w:r>
      <w:r w:rsidR="001D122E" w:rsidRPr="6A15B411">
        <w:rPr>
          <w:rFonts w:ascii="Arial" w:hAnsi="Arial" w:cs="Arial"/>
          <w:snapToGrid w:val="0"/>
        </w:rPr>
        <w:t xml:space="preserve"> with Ministers’ </w:t>
      </w:r>
      <w:r w:rsidR="0095603A" w:rsidRPr="6A15B411">
        <w:rPr>
          <w:rFonts w:ascii="Arial" w:hAnsi="Arial" w:cs="Arial"/>
          <w:snapToGrid w:val="0"/>
        </w:rPr>
        <w:t>agreement.</w:t>
      </w:r>
    </w:p>
    <w:p w14:paraId="20720F99" w14:textId="4F7132F8" w:rsidR="00527689" w:rsidRPr="00B457F9" w:rsidRDefault="00CD20DE" w:rsidP="00804E58">
      <w:pPr>
        <w:pStyle w:val="acthead5"/>
        <w:spacing w:before="280" w:beforeAutospacing="0" w:after="120" w:afterAutospacing="0"/>
        <w:rPr>
          <w:rFonts w:ascii="Arial" w:eastAsia="Arial" w:hAnsi="Arial" w:cs="Arial"/>
          <w:sz w:val="22"/>
          <w:szCs w:val="22"/>
          <w:lang w:val="en-US" w:eastAsia="en-US"/>
        </w:rPr>
      </w:pPr>
      <w:r>
        <w:rPr>
          <w:rFonts w:ascii="Arial" w:hAnsi="Arial" w:cs="Arial"/>
          <w:snapToGrid w:val="0"/>
          <w:sz w:val="22"/>
          <w:szCs w:val="22"/>
          <w:lang w:val="en-US"/>
        </w:rPr>
        <w:t xml:space="preserve">After considering </w:t>
      </w:r>
      <w:r w:rsidR="00AB578E">
        <w:rPr>
          <w:rFonts w:ascii="Arial" w:hAnsi="Arial" w:cs="Arial"/>
          <w:snapToGrid w:val="0"/>
          <w:sz w:val="22"/>
          <w:szCs w:val="22"/>
          <w:lang w:val="en-US"/>
        </w:rPr>
        <w:t xml:space="preserve">policy </w:t>
      </w:r>
      <w:r>
        <w:rPr>
          <w:rFonts w:ascii="Arial" w:hAnsi="Arial" w:cs="Arial"/>
          <w:snapToGrid w:val="0"/>
          <w:sz w:val="22"/>
          <w:szCs w:val="22"/>
          <w:lang w:val="en-US"/>
        </w:rPr>
        <w:t>options (</w:t>
      </w:r>
      <w:r w:rsidR="00C15622">
        <w:rPr>
          <w:rFonts w:ascii="Arial" w:hAnsi="Arial" w:cs="Arial"/>
          <w:snapToGrid w:val="0"/>
          <w:sz w:val="22"/>
          <w:szCs w:val="22"/>
          <w:lang w:val="en-US"/>
        </w:rPr>
        <w:t xml:space="preserve">outlined in section </w:t>
      </w:r>
      <w:r w:rsidR="00983CFA">
        <w:rPr>
          <w:rFonts w:ascii="Arial" w:hAnsi="Arial" w:cs="Arial"/>
          <w:snapToGrid w:val="0"/>
          <w:sz w:val="22"/>
          <w:szCs w:val="22"/>
          <w:lang w:val="en-US"/>
        </w:rPr>
        <w:t>4</w:t>
      </w:r>
      <w:r w:rsidR="00C15622">
        <w:rPr>
          <w:rFonts w:ascii="Arial" w:hAnsi="Arial" w:cs="Arial"/>
          <w:snapToGrid w:val="0"/>
          <w:sz w:val="22"/>
          <w:szCs w:val="22"/>
          <w:lang w:val="en-US"/>
        </w:rPr>
        <w:t xml:space="preserve"> below</w:t>
      </w:r>
      <w:r>
        <w:rPr>
          <w:rFonts w:ascii="Arial" w:hAnsi="Arial" w:cs="Arial"/>
          <w:snapToGrid w:val="0"/>
          <w:sz w:val="22"/>
          <w:szCs w:val="22"/>
          <w:lang w:val="en-US"/>
        </w:rPr>
        <w:t xml:space="preserve">), </w:t>
      </w:r>
      <w:r w:rsidR="007F2AFD">
        <w:rPr>
          <w:rFonts w:ascii="Arial" w:hAnsi="Arial" w:cs="Arial"/>
          <w:snapToGrid w:val="0"/>
          <w:sz w:val="22"/>
          <w:szCs w:val="22"/>
          <w:lang w:val="en-US"/>
        </w:rPr>
        <w:t>i</w:t>
      </w:r>
      <w:r w:rsidR="00E95055" w:rsidRPr="00E95055">
        <w:rPr>
          <w:rFonts w:ascii="Arial" w:hAnsi="Arial" w:cs="Arial"/>
          <w:snapToGrid w:val="0"/>
          <w:sz w:val="22"/>
          <w:szCs w:val="22"/>
          <w:lang w:val="en-US"/>
        </w:rPr>
        <w:t>t</w:t>
      </w:r>
      <w:r w:rsidR="00975CBF">
        <w:rPr>
          <w:rFonts w:ascii="Arial" w:hAnsi="Arial" w:cs="Arial"/>
          <w:snapToGrid w:val="0"/>
          <w:sz w:val="22"/>
          <w:szCs w:val="22"/>
          <w:lang w:val="en-US"/>
        </w:rPr>
        <w:t xml:space="preserve"> </w:t>
      </w:r>
      <w:r w:rsidR="00E95055" w:rsidRPr="00E95055">
        <w:rPr>
          <w:rFonts w:ascii="Arial" w:hAnsi="Arial" w:cs="Arial"/>
          <w:snapToGrid w:val="0"/>
          <w:sz w:val="22"/>
          <w:szCs w:val="22"/>
          <w:lang w:val="en-US"/>
        </w:rPr>
        <w:t>is therefore necessary to amend the Code to require the mandatory declaration of energy content information on prescribed beverages.</w:t>
      </w:r>
      <w:r w:rsidR="00975CBF">
        <w:rPr>
          <w:rFonts w:ascii="Arial" w:hAnsi="Arial" w:cs="Arial"/>
          <w:snapToGrid w:val="0"/>
          <w:sz w:val="22"/>
          <w:szCs w:val="22"/>
          <w:lang w:val="en-US"/>
        </w:rPr>
        <w:t xml:space="preserve"> </w:t>
      </w:r>
      <w:r w:rsidR="00D504A1">
        <w:rPr>
          <w:rFonts w:ascii="Arial" w:eastAsia="Arial" w:hAnsi="Arial" w:cs="Arial"/>
          <w:sz w:val="22"/>
          <w:szCs w:val="22"/>
          <w:lang w:val="en-US" w:eastAsia="en-US"/>
        </w:rPr>
        <w:t>In undertaking its assessment</w:t>
      </w:r>
      <w:r w:rsidR="00486267">
        <w:rPr>
          <w:rFonts w:ascii="Arial" w:eastAsia="Arial" w:hAnsi="Arial" w:cs="Arial"/>
          <w:sz w:val="22"/>
          <w:szCs w:val="22"/>
          <w:lang w:val="en-US" w:eastAsia="en-US"/>
        </w:rPr>
        <w:t xml:space="preserve"> and comparing </w:t>
      </w:r>
      <w:r w:rsidR="00AB578E">
        <w:rPr>
          <w:rFonts w:ascii="Arial" w:eastAsia="Arial" w:hAnsi="Arial" w:cs="Arial"/>
          <w:sz w:val="22"/>
          <w:szCs w:val="22"/>
          <w:lang w:val="en-US" w:eastAsia="en-US"/>
        </w:rPr>
        <w:t xml:space="preserve">policy </w:t>
      </w:r>
      <w:r w:rsidR="00486267">
        <w:rPr>
          <w:rFonts w:ascii="Arial" w:eastAsia="Arial" w:hAnsi="Arial" w:cs="Arial"/>
          <w:sz w:val="22"/>
          <w:szCs w:val="22"/>
          <w:lang w:val="en-US" w:eastAsia="en-US"/>
        </w:rPr>
        <w:t>options</w:t>
      </w:r>
      <w:r w:rsidR="00D504A1">
        <w:rPr>
          <w:rFonts w:ascii="Arial" w:eastAsia="Arial" w:hAnsi="Arial" w:cs="Arial"/>
          <w:sz w:val="22"/>
          <w:szCs w:val="22"/>
          <w:lang w:val="en-US" w:eastAsia="en-US"/>
        </w:rPr>
        <w:t>, FSANZ</w:t>
      </w:r>
      <w:r w:rsidR="00285094">
        <w:rPr>
          <w:rFonts w:ascii="Arial" w:eastAsia="Arial" w:hAnsi="Arial" w:cs="Arial"/>
          <w:sz w:val="22"/>
          <w:szCs w:val="22"/>
          <w:lang w:val="en-US" w:eastAsia="en-US"/>
        </w:rPr>
        <w:t xml:space="preserve"> had regard to statutory objectives and </w:t>
      </w:r>
      <w:r w:rsidR="000F6D01">
        <w:rPr>
          <w:rFonts w:ascii="Arial" w:eastAsia="Arial" w:hAnsi="Arial" w:cs="Arial"/>
          <w:sz w:val="22"/>
          <w:szCs w:val="22"/>
          <w:lang w:val="en-US" w:eastAsia="en-US"/>
        </w:rPr>
        <w:t xml:space="preserve">other obligations set out in </w:t>
      </w:r>
      <w:r w:rsidR="00C153D7" w:rsidRPr="00514D02">
        <w:rPr>
          <w:rFonts w:ascii="Arial" w:eastAsia="Arial" w:hAnsi="Arial" w:cs="Arial"/>
          <w:sz w:val="22"/>
          <w:szCs w:val="22"/>
          <w:lang w:val="en-US" w:eastAsia="en-US"/>
        </w:rPr>
        <w:t xml:space="preserve">the </w:t>
      </w:r>
      <w:hyperlink r:id="rId14" w:history="1">
        <w:r w:rsidR="00DB11A0" w:rsidRPr="00514D02">
          <w:rPr>
            <w:rStyle w:val="Hyperlink"/>
            <w:rFonts w:ascii="Arial" w:hAnsi="Arial" w:cs="Arial"/>
            <w:sz w:val="22"/>
            <w:szCs w:val="22"/>
            <w:lang w:eastAsia="en-AU"/>
          </w:rPr>
          <w:t>FSANZ Act</w:t>
        </w:r>
      </w:hyperlink>
      <w:r w:rsidR="00C153D7" w:rsidRPr="00514D02">
        <w:rPr>
          <w:rFonts w:ascii="Arial" w:eastAsia="Arial" w:hAnsi="Arial" w:cs="Arial"/>
          <w:sz w:val="22"/>
          <w:szCs w:val="22"/>
          <w:lang w:val="en-US" w:eastAsia="en-US"/>
        </w:rPr>
        <w:t>, Section</w:t>
      </w:r>
      <w:r w:rsidR="00C153D7" w:rsidRPr="00B457F9">
        <w:rPr>
          <w:rFonts w:ascii="Arial" w:eastAsia="Arial" w:hAnsi="Arial" w:cs="Arial"/>
          <w:sz w:val="22"/>
          <w:szCs w:val="22"/>
          <w:lang w:val="en-US" w:eastAsia="en-US"/>
        </w:rPr>
        <w:t xml:space="preserve"> 18</w:t>
      </w:r>
      <w:r w:rsidR="00E04341">
        <w:rPr>
          <w:rFonts w:ascii="Arial" w:eastAsia="Arial" w:hAnsi="Arial" w:cs="Arial"/>
          <w:sz w:val="22"/>
          <w:szCs w:val="22"/>
          <w:lang w:val="en-US" w:eastAsia="en-US"/>
        </w:rPr>
        <w:t>.</w:t>
      </w:r>
      <w:r w:rsidR="00C153D7" w:rsidRPr="00B457F9">
        <w:rPr>
          <w:rFonts w:ascii="Arial" w:eastAsia="Arial" w:hAnsi="Arial" w:cs="Arial"/>
          <w:sz w:val="22"/>
          <w:szCs w:val="22"/>
          <w:lang w:val="en-US" w:eastAsia="en-US"/>
        </w:rPr>
        <w:t xml:space="preserve"> FSANZ’s </w:t>
      </w:r>
      <w:r w:rsidR="00F65367">
        <w:rPr>
          <w:rFonts w:ascii="Arial" w:eastAsia="Arial" w:hAnsi="Arial" w:cs="Arial"/>
          <w:sz w:val="22"/>
          <w:szCs w:val="22"/>
          <w:lang w:val="en-US" w:eastAsia="en-US"/>
        </w:rPr>
        <w:t>statutory</w:t>
      </w:r>
      <w:r w:rsidR="00C153D7" w:rsidRPr="00B457F9">
        <w:rPr>
          <w:rFonts w:ascii="Arial" w:eastAsia="Arial" w:hAnsi="Arial" w:cs="Arial"/>
          <w:sz w:val="22"/>
          <w:szCs w:val="22"/>
          <w:lang w:val="en-US" w:eastAsia="en-US"/>
        </w:rPr>
        <w:t xml:space="preserve"> </w:t>
      </w:r>
      <w:bookmarkStart w:id="14" w:name="_Hlk175319349"/>
      <w:r w:rsidR="00C153D7" w:rsidRPr="00B457F9">
        <w:rPr>
          <w:rFonts w:ascii="Arial" w:eastAsia="Arial" w:hAnsi="Arial" w:cs="Arial"/>
          <w:sz w:val="22"/>
          <w:szCs w:val="22"/>
          <w:lang w:val="en-US" w:eastAsia="en-US"/>
        </w:rPr>
        <w:t xml:space="preserve">objectives </w:t>
      </w:r>
      <w:r w:rsidR="005535CC">
        <w:rPr>
          <w:rFonts w:ascii="Arial" w:eastAsia="Arial" w:hAnsi="Arial" w:cs="Arial"/>
          <w:sz w:val="22"/>
          <w:szCs w:val="22"/>
          <w:lang w:val="en-US" w:eastAsia="en-US"/>
        </w:rPr>
        <w:t xml:space="preserve">for amending regulation </w:t>
      </w:r>
      <w:r w:rsidR="00F65367">
        <w:rPr>
          <w:rFonts w:ascii="Arial" w:eastAsia="Arial" w:hAnsi="Arial" w:cs="Arial"/>
          <w:sz w:val="22"/>
          <w:szCs w:val="22"/>
          <w:lang w:val="en-US" w:eastAsia="en-US"/>
        </w:rPr>
        <w:t>(in general)</w:t>
      </w:r>
      <w:r w:rsidR="005535CC">
        <w:rPr>
          <w:rFonts w:ascii="Arial" w:eastAsia="Arial" w:hAnsi="Arial" w:cs="Arial"/>
          <w:sz w:val="22"/>
          <w:szCs w:val="22"/>
          <w:lang w:val="en-US" w:eastAsia="en-US"/>
        </w:rPr>
        <w:t xml:space="preserve"> are, </w:t>
      </w:r>
      <w:r w:rsidR="00C153D7" w:rsidRPr="00B457F9">
        <w:rPr>
          <w:rFonts w:ascii="Arial" w:eastAsia="Arial" w:hAnsi="Arial" w:cs="Arial"/>
          <w:sz w:val="22"/>
          <w:szCs w:val="22"/>
          <w:lang w:val="en-US" w:eastAsia="en-US"/>
        </w:rPr>
        <w:t>in descending priority order:</w:t>
      </w:r>
    </w:p>
    <w:p w14:paraId="28069F72" w14:textId="192C08FF" w:rsidR="00C153D7" w:rsidRPr="006B3F28" w:rsidRDefault="00C153D7" w:rsidP="00CE3140">
      <w:pPr>
        <w:pStyle w:val="paragraph"/>
        <w:numPr>
          <w:ilvl w:val="0"/>
          <w:numId w:val="26"/>
        </w:numPr>
        <w:spacing w:before="40" w:beforeAutospacing="0" w:after="0" w:afterAutospacing="0"/>
        <w:rPr>
          <w:rFonts w:ascii="Arial" w:hAnsi="Arial" w:cs="Arial"/>
          <w:color w:val="000000"/>
          <w:sz w:val="22"/>
          <w:szCs w:val="22"/>
        </w:rPr>
      </w:pPr>
      <w:r w:rsidRPr="006B3F28">
        <w:rPr>
          <w:rFonts w:ascii="Arial" w:hAnsi="Arial" w:cs="Arial"/>
          <w:color w:val="000000"/>
          <w:sz w:val="22"/>
          <w:szCs w:val="22"/>
        </w:rPr>
        <w:t>the protection of public health and safety; and</w:t>
      </w:r>
    </w:p>
    <w:p w14:paraId="211F9F86" w14:textId="126FC583" w:rsidR="00C153D7" w:rsidRPr="006B3F28" w:rsidRDefault="00C153D7" w:rsidP="00CE3140">
      <w:pPr>
        <w:pStyle w:val="paragraph"/>
        <w:numPr>
          <w:ilvl w:val="0"/>
          <w:numId w:val="26"/>
        </w:numPr>
        <w:spacing w:before="40" w:beforeAutospacing="0" w:after="0" w:afterAutospacing="0"/>
        <w:rPr>
          <w:rFonts w:ascii="Arial" w:hAnsi="Arial" w:cs="Arial"/>
          <w:color w:val="000000"/>
          <w:sz w:val="22"/>
          <w:szCs w:val="22"/>
        </w:rPr>
      </w:pPr>
      <w:r w:rsidRPr="006B3F28">
        <w:rPr>
          <w:rFonts w:ascii="Arial" w:hAnsi="Arial" w:cs="Arial"/>
          <w:color w:val="000000"/>
          <w:sz w:val="22"/>
          <w:szCs w:val="22"/>
        </w:rPr>
        <w:t xml:space="preserve">the provision of adequate information relating to food to enable consumers to make informed </w:t>
      </w:r>
      <w:bookmarkEnd w:id="14"/>
      <w:r w:rsidRPr="006B3F28">
        <w:rPr>
          <w:rFonts w:ascii="Arial" w:hAnsi="Arial" w:cs="Arial"/>
          <w:color w:val="000000"/>
          <w:sz w:val="22"/>
          <w:szCs w:val="22"/>
        </w:rPr>
        <w:t>choice</w:t>
      </w:r>
      <w:r w:rsidR="00AB6C79">
        <w:rPr>
          <w:rFonts w:ascii="Arial" w:hAnsi="Arial" w:cs="Arial"/>
          <w:color w:val="000000"/>
          <w:sz w:val="22"/>
          <w:szCs w:val="22"/>
        </w:rPr>
        <w:t>s</w:t>
      </w:r>
      <w:r w:rsidRPr="006B3F28">
        <w:rPr>
          <w:rFonts w:ascii="Arial" w:hAnsi="Arial" w:cs="Arial"/>
          <w:color w:val="000000"/>
          <w:sz w:val="22"/>
          <w:szCs w:val="22"/>
        </w:rPr>
        <w:t>; and</w:t>
      </w:r>
    </w:p>
    <w:p w14:paraId="510D163E" w14:textId="17BA5564" w:rsidR="00C153D7" w:rsidRPr="006662F7" w:rsidRDefault="00C153D7" w:rsidP="00CE3140">
      <w:pPr>
        <w:pStyle w:val="paragraph"/>
        <w:numPr>
          <w:ilvl w:val="0"/>
          <w:numId w:val="26"/>
        </w:numPr>
        <w:spacing w:before="40" w:beforeAutospacing="0" w:after="0" w:afterAutospacing="0"/>
        <w:rPr>
          <w:rFonts w:ascii="Arial" w:eastAsia="Arial" w:hAnsi="Arial" w:cs="Arial"/>
        </w:rPr>
      </w:pPr>
      <w:r w:rsidRPr="006B3F28">
        <w:rPr>
          <w:rFonts w:ascii="Arial" w:hAnsi="Arial" w:cs="Arial"/>
          <w:color w:val="000000"/>
          <w:sz w:val="22"/>
          <w:szCs w:val="22"/>
        </w:rPr>
        <w:t>the prevention of misleading or deceptive conduct.</w:t>
      </w:r>
    </w:p>
    <w:p w14:paraId="53CB47A9" w14:textId="77777777" w:rsidR="006662F7" w:rsidRPr="006662F7" w:rsidRDefault="006662F7" w:rsidP="006662F7">
      <w:pPr>
        <w:pStyle w:val="paragraph"/>
        <w:spacing w:before="40" w:beforeAutospacing="0" w:after="0" w:afterAutospacing="0"/>
        <w:ind w:left="810"/>
        <w:rPr>
          <w:rFonts w:ascii="Arial" w:eastAsia="Arial" w:hAnsi="Arial" w:cs="Arial"/>
        </w:rPr>
      </w:pPr>
    </w:p>
    <w:p w14:paraId="36597B27" w14:textId="4BE34A30" w:rsidR="00485627" w:rsidRDefault="006662F7" w:rsidP="6A15B411">
      <w:pPr>
        <w:rPr>
          <w:rFonts w:ascii="Arial" w:eastAsia="Arial" w:hAnsi="Arial" w:cs="Arial"/>
        </w:rPr>
      </w:pPr>
      <w:r w:rsidRPr="6A15B411">
        <w:rPr>
          <w:rFonts w:ascii="Arial" w:eastAsia="Arial" w:hAnsi="Arial" w:cs="Arial"/>
        </w:rPr>
        <w:t>For Proposal P1059, the objective of a government intervention relates mainly to objective (b) the provision of adequate information</w:t>
      </w:r>
      <w:r w:rsidR="005462F2" w:rsidRPr="6A15B411">
        <w:rPr>
          <w:rFonts w:ascii="Arial" w:eastAsia="Arial" w:hAnsi="Arial" w:cs="Arial"/>
        </w:rPr>
        <w:t xml:space="preserve">. </w:t>
      </w:r>
      <w:r w:rsidR="00BC2C45" w:rsidRPr="6A15B411">
        <w:rPr>
          <w:rFonts w:ascii="Arial" w:eastAsia="Arial" w:hAnsi="Arial" w:cs="Arial"/>
        </w:rPr>
        <w:t>However, it</w:t>
      </w:r>
      <w:r w:rsidR="005C70C0" w:rsidRPr="6A15B411">
        <w:rPr>
          <w:rFonts w:ascii="Arial" w:eastAsia="Arial" w:hAnsi="Arial" w:cs="Arial"/>
        </w:rPr>
        <w:t xml:space="preserve"> could also be characteri</w:t>
      </w:r>
      <w:r w:rsidR="001F34E7" w:rsidRPr="6A15B411">
        <w:rPr>
          <w:rFonts w:ascii="Arial" w:eastAsia="Arial" w:hAnsi="Arial" w:cs="Arial"/>
        </w:rPr>
        <w:t>s</w:t>
      </w:r>
      <w:r w:rsidR="005C70C0" w:rsidRPr="6A15B411">
        <w:rPr>
          <w:rFonts w:ascii="Arial" w:eastAsia="Arial" w:hAnsi="Arial" w:cs="Arial"/>
        </w:rPr>
        <w:t xml:space="preserve">ed </w:t>
      </w:r>
      <w:r w:rsidR="00E95055" w:rsidRPr="6A15B411">
        <w:rPr>
          <w:rFonts w:ascii="Arial" w:eastAsia="Arial" w:hAnsi="Arial" w:cs="Arial"/>
        </w:rPr>
        <w:t xml:space="preserve">as </w:t>
      </w:r>
      <w:r w:rsidR="005C70C0" w:rsidRPr="6A15B411">
        <w:rPr>
          <w:rFonts w:ascii="Arial" w:eastAsia="Arial" w:hAnsi="Arial" w:cs="Arial"/>
        </w:rPr>
        <w:t xml:space="preserve">having </w:t>
      </w:r>
      <w:r w:rsidR="00372CFB" w:rsidRPr="6A15B411">
        <w:rPr>
          <w:rFonts w:ascii="Arial" w:eastAsia="Arial" w:hAnsi="Arial" w:cs="Arial"/>
        </w:rPr>
        <w:t xml:space="preserve">a </w:t>
      </w:r>
      <w:r w:rsidR="005C70C0" w:rsidRPr="6A15B411">
        <w:rPr>
          <w:rFonts w:ascii="Arial" w:eastAsia="Arial" w:hAnsi="Arial" w:cs="Arial"/>
        </w:rPr>
        <w:t>relationshi</w:t>
      </w:r>
      <w:r w:rsidR="00372CFB" w:rsidRPr="6A15B411">
        <w:rPr>
          <w:rFonts w:ascii="Arial" w:eastAsia="Arial" w:hAnsi="Arial" w:cs="Arial"/>
        </w:rPr>
        <w:t>p</w:t>
      </w:r>
      <w:r w:rsidRPr="6A15B411">
        <w:rPr>
          <w:rFonts w:ascii="Arial" w:eastAsia="Arial" w:hAnsi="Arial" w:cs="Arial"/>
        </w:rPr>
        <w:t xml:space="preserve"> to objective (a)</w:t>
      </w:r>
      <w:r w:rsidR="00514D02" w:rsidRPr="6A15B411">
        <w:rPr>
          <w:rFonts w:ascii="Arial" w:eastAsia="Arial" w:hAnsi="Arial" w:cs="Arial"/>
        </w:rPr>
        <w:t xml:space="preserve"> </w:t>
      </w:r>
      <w:r w:rsidR="00514D02" w:rsidRPr="6A15B411">
        <w:rPr>
          <w:rFonts w:ascii="Arial" w:hAnsi="Arial" w:cs="Arial"/>
          <w:color w:val="000000" w:themeColor="text1"/>
        </w:rPr>
        <w:t>the protection of public health and safety</w:t>
      </w:r>
      <w:r w:rsidRPr="6A15B411">
        <w:rPr>
          <w:rFonts w:ascii="Arial" w:eastAsia="Arial" w:hAnsi="Arial" w:cs="Arial"/>
        </w:rPr>
        <w:t xml:space="preserve">. </w:t>
      </w:r>
      <w:r w:rsidR="00E95055" w:rsidRPr="6A15B411">
        <w:rPr>
          <w:rFonts w:ascii="Arial" w:eastAsia="Arial" w:hAnsi="Arial" w:cs="Arial"/>
        </w:rPr>
        <w:t>In that context, t</w:t>
      </w:r>
      <w:r w:rsidR="001377FA" w:rsidRPr="6A15B411">
        <w:rPr>
          <w:rFonts w:ascii="Arial" w:eastAsia="Arial" w:hAnsi="Arial" w:cs="Arial"/>
        </w:rPr>
        <w:t xml:space="preserve">he following </w:t>
      </w:r>
      <w:r w:rsidR="00DB11A0" w:rsidRPr="6A15B411">
        <w:rPr>
          <w:rFonts w:ascii="Arial" w:eastAsia="Arial" w:hAnsi="Arial" w:cs="Arial"/>
        </w:rPr>
        <w:t xml:space="preserve">specific </w:t>
      </w:r>
      <w:r w:rsidR="009137BB" w:rsidRPr="6A15B411">
        <w:rPr>
          <w:rFonts w:ascii="Arial" w:eastAsia="Arial" w:hAnsi="Arial" w:cs="Arial"/>
        </w:rPr>
        <w:t xml:space="preserve">policy </w:t>
      </w:r>
      <w:r w:rsidR="00DB11A0" w:rsidRPr="6A15B411">
        <w:rPr>
          <w:rFonts w:ascii="Arial" w:eastAsia="Arial" w:hAnsi="Arial" w:cs="Arial"/>
        </w:rPr>
        <w:t xml:space="preserve">objective </w:t>
      </w:r>
      <w:r w:rsidR="007E51A2" w:rsidRPr="6A15B411">
        <w:rPr>
          <w:rFonts w:ascii="Arial" w:eastAsia="Arial" w:hAnsi="Arial" w:cs="Arial"/>
        </w:rPr>
        <w:t>was considered</w:t>
      </w:r>
      <w:r w:rsidR="00AB19A8" w:rsidRPr="6A15B411">
        <w:rPr>
          <w:rFonts w:ascii="Arial" w:eastAsia="Arial" w:hAnsi="Arial" w:cs="Arial"/>
        </w:rPr>
        <w:t xml:space="preserve"> in the assessment of this </w:t>
      </w:r>
      <w:r w:rsidR="00660FBE" w:rsidRPr="6A15B411">
        <w:rPr>
          <w:rFonts w:ascii="Arial" w:eastAsia="Arial" w:hAnsi="Arial" w:cs="Arial"/>
        </w:rPr>
        <w:t>proposal</w:t>
      </w:r>
      <w:r w:rsidR="008F0E17" w:rsidRPr="6A15B411">
        <w:rPr>
          <w:rFonts w:ascii="Arial" w:eastAsia="Arial" w:hAnsi="Arial" w:cs="Arial"/>
        </w:rPr>
        <w:t xml:space="preserve"> to target the </w:t>
      </w:r>
      <w:r w:rsidR="004763F8" w:rsidRPr="6A15B411">
        <w:rPr>
          <w:rFonts w:ascii="Arial" w:eastAsia="Arial" w:hAnsi="Arial" w:cs="Arial"/>
        </w:rPr>
        <w:t>policy problem</w:t>
      </w:r>
      <w:r w:rsidR="00485627" w:rsidRPr="6A15B411">
        <w:rPr>
          <w:rFonts w:ascii="Arial" w:eastAsia="Arial" w:hAnsi="Arial" w:cs="Arial"/>
        </w:rPr>
        <w:t>:</w:t>
      </w:r>
      <w:r w:rsidR="00DB11A0" w:rsidRPr="6A15B411">
        <w:rPr>
          <w:rFonts w:ascii="Arial" w:eastAsia="Arial" w:hAnsi="Arial" w:cs="Arial"/>
        </w:rPr>
        <w:t xml:space="preserve"> </w:t>
      </w:r>
    </w:p>
    <w:p w14:paraId="0E627CDF" w14:textId="2C9FEEC0" w:rsidR="00DB11A0" w:rsidRDefault="00525DCF" w:rsidP="1A79B7AB">
      <w:pPr>
        <w:pStyle w:val="paragraph"/>
        <w:numPr>
          <w:ilvl w:val="0"/>
          <w:numId w:val="28"/>
        </w:numPr>
        <w:spacing w:before="40" w:beforeAutospacing="0" w:after="0" w:afterAutospacing="0"/>
        <w:rPr>
          <w:rFonts w:ascii="Arial" w:eastAsia="Arial" w:hAnsi="Arial" w:cs="Arial"/>
          <w:sz w:val="22"/>
          <w:szCs w:val="22"/>
          <w:lang w:val="en-US" w:eastAsia="en-US"/>
        </w:rPr>
      </w:pPr>
      <w:r w:rsidRPr="1A79B7AB">
        <w:rPr>
          <w:rFonts w:ascii="Arial" w:eastAsia="Arial" w:hAnsi="Arial" w:cs="Arial"/>
          <w:sz w:val="22"/>
          <w:szCs w:val="22"/>
          <w:lang w:val="en-US" w:eastAsia="en-US"/>
        </w:rPr>
        <w:t xml:space="preserve">Provide </w:t>
      </w:r>
      <w:r w:rsidR="00DB11A0" w:rsidRPr="1A79B7AB">
        <w:rPr>
          <w:rFonts w:ascii="Arial" w:eastAsia="Arial" w:hAnsi="Arial" w:cs="Arial"/>
          <w:sz w:val="22"/>
          <w:szCs w:val="22"/>
          <w:lang w:val="en-US" w:eastAsia="en-US"/>
        </w:rPr>
        <w:t>readily accessible energy content information on the label of alcoholic beverages to enable consumers to make informed purchasing and consumption decisions in support of dietary guidelines.</w:t>
      </w:r>
    </w:p>
    <w:p w14:paraId="34DA0BBD" w14:textId="77777777" w:rsidR="00485627" w:rsidRDefault="00485627" w:rsidP="00D21667">
      <w:pPr>
        <w:pStyle w:val="paragraph"/>
        <w:spacing w:before="40" w:beforeAutospacing="0" w:after="0" w:afterAutospacing="0"/>
        <w:rPr>
          <w:rFonts w:ascii="Arial" w:eastAsia="Arial" w:hAnsi="Arial" w:cs="Arial"/>
          <w:sz w:val="22"/>
          <w:szCs w:val="22"/>
          <w:lang w:val="en-US" w:eastAsia="en-US"/>
        </w:rPr>
      </w:pPr>
    </w:p>
    <w:p w14:paraId="49C8BB04" w14:textId="7445164D" w:rsidR="002F13A3" w:rsidRDefault="00A35937" w:rsidP="00D21667">
      <w:pPr>
        <w:pStyle w:val="paragraph"/>
        <w:spacing w:before="40" w:beforeAutospacing="0" w:after="0" w:afterAutospacing="0"/>
        <w:rPr>
          <w:rFonts w:ascii="Arial" w:eastAsia="Arial" w:hAnsi="Arial" w:cs="Arial"/>
          <w:sz w:val="22"/>
          <w:szCs w:val="22"/>
          <w:lang w:val="en-US" w:eastAsia="en-US"/>
        </w:rPr>
      </w:pPr>
      <w:r>
        <w:rPr>
          <w:rFonts w:ascii="Arial" w:eastAsia="Arial" w:hAnsi="Arial" w:cs="Arial"/>
          <w:sz w:val="22"/>
          <w:szCs w:val="22"/>
          <w:lang w:val="en-US" w:eastAsia="en-US"/>
        </w:rPr>
        <w:lastRenderedPageBreak/>
        <w:t xml:space="preserve">Government action is likely </w:t>
      </w:r>
      <w:r w:rsidR="001F34E7">
        <w:rPr>
          <w:rFonts w:ascii="Arial" w:eastAsia="Arial" w:hAnsi="Arial" w:cs="Arial"/>
          <w:sz w:val="22"/>
          <w:szCs w:val="22"/>
          <w:lang w:val="en-US" w:eastAsia="en-US"/>
        </w:rPr>
        <w:t xml:space="preserve">required </w:t>
      </w:r>
      <w:r>
        <w:rPr>
          <w:rFonts w:ascii="Arial" w:eastAsia="Arial" w:hAnsi="Arial" w:cs="Arial"/>
          <w:sz w:val="22"/>
          <w:szCs w:val="22"/>
          <w:lang w:val="en-US" w:eastAsia="en-US"/>
        </w:rPr>
        <w:t>to achieve the above objective</w:t>
      </w:r>
      <w:r w:rsidR="006F5591">
        <w:rPr>
          <w:rFonts w:ascii="Arial" w:eastAsia="Arial" w:hAnsi="Arial" w:cs="Arial"/>
          <w:sz w:val="22"/>
          <w:szCs w:val="22"/>
          <w:lang w:val="en-US" w:eastAsia="en-US"/>
        </w:rPr>
        <w:t xml:space="preserve">. </w:t>
      </w:r>
      <w:r w:rsidR="00087C7C">
        <w:rPr>
          <w:rFonts w:ascii="Arial" w:eastAsia="Arial" w:hAnsi="Arial" w:cs="Arial"/>
          <w:sz w:val="22"/>
          <w:szCs w:val="22"/>
          <w:lang w:val="en-US" w:eastAsia="en-US"/>
        </w:rPr>
        <w:t xml:space="preserve">While the likelihood </w:t>
      </w:r>
      <w:r w:rsidR="0067557B">
        <w:rPr>
          <w:rFonts w:ascii="Arial" w:eastAsia="Arial" w:hAnsi="Arial" w:cs="Arial"/>
          <w:sz w:val="22"/>
          <w:szCs w:val="22"/>
          <w:lang w:val="en-US" w:eastAsia="en-US"/>
        </w:rPr>
        <w:t xml:space="preserve">of achieving the objective </w:t>
      </w:r>
      <w:r w:rsidR="00087C7C">
        <w:rPr>
          <w:rFonts w:ascii="Arial" w:eastAsia="Arial" w:hAnsi="Arial" w:cs="Arial"/>
          <w:sz w:val="22"/>
          <w:szCs w:val="22"/>
          <w:lang w:val="en-US" w:eastAsia="en-US"/>
        </w:rPr>
        <w:t>cannot be quantifie</w:t>
      </w:r>
      <w:r w:rsidR="008A7F2E">
        <w:rPr>
          <w:rFonts w:ascii="Arial" w:eastAsia="Arial" w:hAnsi="Arial" w:cs="Arial"/>
          <w:sz w:val="22"/>
          <w:szCs w:val="22"/>
          <w:lang w:val="en-US" w:eastAsia="en-US"/>
        </w:rPr>
        <w:t>d</w:t>
      </w:r>
      <w:r w:rsidR="00087C7C">
        <w:rPr>
          <w:rFonts w:ascii="Arial" w:eastAsia="Arial" w:hAnsi="Arial" w:cs="Arial"/>
          <w:sz w:val="22"/>
          <w:szCs w:val="22"/>
          <w:lang w:val="en-US" w:eastAsia="en-US"/>
        </w:rPr>
        <w:t xml:space="preserve">, there is generally high compliance of </w:t>
      </w:r>
      <w:r w:rsidR="00764163">
        <w:rPr>
          <w:rFonts w:ascii="Arial" w:eastAsia="Arial" w:hAnsi="Arial" w:cs="Arial"/>
          <w:sz w:val="22"/>
          <w:szCs w:val="22"/>
          <w:lang w:val="en-US" w:eastAsia="en-US"/>
        </w:rPr>
        <w:t>food products with</w:t>
      </w:r>
      <w:r w:rsidR="00087C7C">
        <w:rPr>
          <w:rFonts w:ascii="Arial" w:eastAsia="Arial" w:hAnsi="Arial" w:cs="Arial"/>
          <w:sz w:val="22"/>
          <w:szCs w:val="22"/>
          <w:lang w:val="en-US" w:eastAsia="en-US"/>
        </w:rPr>
        <w:t xml:space="preserve"> </w:t>
      </w:r>
      <w:r w:rsidR="006F5591">
        <w:rPr>
          <w:rFonts w:ascii="Arial" w:eastAsia="Arial" w:hAnsi="Arial" w:cs="Arial"/>
          <w:sz w:val="22"/>
          <w:szCs w:val="22"/>
          <w:lang w:val="en-US" w:eastAsia="en-US"/>
        </w:rPr>
        <w:t xml:space="preserve">labelling requirements </w:t>
      </w:r>
      <w:r w:rsidR="00764163">
        <w:rPr>
          <w:rFonts w:ascii="Arial" w:eastAsia="Arial" w:hAnsi="Arial" w:cs="Arial"/>
          <w:sz w:val="22"/>
          <w:szCs w:val="22"/>
          <w:lang w:val="en-US" w:eastAsia="en-US"/>
        </w:rPr>
        <w:t>in Australia</w:t>
      </w:r>
      <w:r w:rsidR="001F34E7">
        <w:rPr>
          <w:rFonts w:ascii="Arial" w:eastAsia="Arial" w:hAnsi="Arial" w:cs="Arial"/>
          <w:sz w:val="22"/>
          <w:szCs w:val="22"/>
          <w:lang w:val="en-US" w:eastAsia="en-US"/>
        </w:rPr>
        <w:t xml:space="preserve"> and</w:t>
      </w:r>
      <w:r w:rsidR="00E11B63">
        <w:rPr>
          <w:rFonts w:ascii="Arial" w:eastAsia="Arial" w:hAnsi="Arial" w:cs="Arial"/>
          <w:sz w:val="22"/>
          <w:szCs w:val="22"/>
          <w:lang w:val="en-US" w:eastAsia="en-US"/>
        </w:rPr>
        <w:t xml:space="preserve"> </w:t>
      </w:r>
      <w:r w:rsidR="00764163">
        <w:rPr>
          <w:rFonts w:ascii="Arial" w:eastAsia="Arial" w:hAnsi="Arial" w:cs="Arial"/>
          <w:sz w:val="22"/>
          <w:szCs w:val="22"/>
          <w:lang w:val="en-US" w:eastAsia="en-US"/>
        </w:rPr>
        <w:t>New Zealand</w:t>
      </w:r>
      <w:r w:rsidR="008A7F2E">
        <w:rPr>
          <w:rFonts w:ascii="Arial" w:eastAsia="Arial" w:hAnsi="Arial" w:cs="Arial"/>
          <w:sz w:val="22"/>
          <w:szCs w:val="22"/>
          <w:lang w:val="en-US" w:eastAsia="en-US"/>
        </w:rPr>
        <w:t>.</w:t>
      </w:r>
    </w:p>
    <w:p w14:paraId="19FDA2AD" w14:textId="77777777" w:rsidR="00AE1B0F" w:rsidRDefault="00AE1B0F" w:rsidP="00D21667">
      <w:pPr>
        <w:pStyle w:val="paragraph"/>
        <w:spacing w:before="40" w:beforeAutospacing="0" w:after="0" w:afterAutospacing="0"/>
        <w:rPr>
          <w:rFonts w:ascii="Arial" w:eastAsia="Arial" w:hAnsi="Arial" w:cs="Arial"/>
          <w:sz w:val="22"/>
          <w:szCs w:val="22"/>
          <w:lang w:val="en-US" w:eastAsia="en-US"/>
        </w:rPr>
      </w:pPr>
    </w:p>
    <w:p w14:paraId="1CF90A5E" w14:textId="05B533EE" w:rsidR="002F13A3" w:rsidRDefault="002F13A3" w:rsidP="002F13A3">
      <w:pPr>
        <w:pStyle w:val="paragraph"/>
        <w:spacing w:before="40" w:beforeAutospacing="0" w:after="0" w:afterAutospacing="0"/>
        <w:rPr>
          <w:rFonts w:ascii="Arial" w:eastAsia="Arial" w:hAnsi="Arial" w:cs="Arial"/>
          <w:sz w:val="22"/>
          <w:szCs w:val="22"/>
          <w:lang w:val="en-US" w:eastAsia="en-US"/>
        </w:rPr>
      </w:pPr>
      <w:r w:rsidRPr="002F13A3">
        <w:rPr>
          <w:rFonts w:ascii="Arial" w:eastAsia="Arial" w:hAnsi="Arial" w:cs="Arial"/>
          <w:sz w:val="22"/>
          <w:szCs w:val="22"/>
          <w:lang w:val="en-US" w:eastAsia="en-US"/>
        </w:rPr>
        <w:t xml:space="preserve">There may be potential barriers </w:t>
      </w:r>
      <w:r w:rsidR="001C4468">
        <w:rPr>
          <w:rFonts w:ascii="Arial" w:eastAsia="Arial" w:hAnsi="Arial" w:cs="Arial"/>
          <w:sz w:val="22"/>
          <w:szCs w:val="22"/>
          <w:lang w:val="en-US" w:eastAsia="en-US"/>
        </w:rPr>
        <w:t>to</w:t>
      </w:r>
      <w:r w:rsidRPr="002F13A3">
        <w:rPr>
          <w:rFonts w:ascii="Arial" w:eastAsia="Arial" w:hAnsi="Arial" w:cs="Arial"/>
          <w:sz w:val="22"/>
          <w:szCs w:val="22"/>
          <w:lang w:val="en-US" w:eastAsia="en-US"/>
        </w:rPr>
        <w:t xml:space="preserve"> consumers being able and motivated to read and act on the energy </w:t>
      </w:r>
      <w:r>
        <w:rPr>
          <w:rFonts w:ascii="Arial" w:eastAsia="Arial" w:hAnsi="Arial" w:cs="Arial"/>
          <w:sz w:val="22"/>
          <w:szCs w:val="22"/>
          <w:lang w:val="en-US" w:eastAsia="en-US"/>
        </w:rPr>
        <w:t>content information</w:t>
      </w:r>
      <w:r w:rsidRPr="002F13A3">
        <w:rPr>
          <w:rFonts w:ascii="Arial" w:eastAsia="Arial" w:hAnsi="Arial" w:cs="Arial"/>
          <w:sz w:val="22"/>
          <w:szCs w:val="22"/>
          <w:lang w:val="en-US" w:eastAsia="en-US"/>
        </w:rPr>
        <w:t xml:space="preserve">. </w:t>
      </w:r>
      <w:r>
        <w:rPr>
          <w:rFonts w:ascii="Arial" w:eastAsia="Arial" w:hAnsi="Arial" w:cs="Arial"/>
          <w:sz w:val="22"/>
          <w:szCs w:val="22"/>
          <w:lang w:val="en-US" w:eastAsia="en-US"/>
        </w:rPr>
        <w:t>Such</w:t>
      </w:r>
      <w:r w:rsidRPr="002F13A3">
        <w:rPr>
          <w:rFonts w:ascii="Arial" w:eastAsia="Arial" w:hAnsi="Arial" w:cs="Arial"/>
          <w:sz w:val="22"/>
          <w:szCs w:val="22"/>
          <w:lang w:val="en-US" w:eastAsia="en-US"/>
        </w:rPr>
        <w:t xml:space="preserve"> barrier</w:t>
      </w:r>
      <w:r>
        <w:rPr>
          <w:rFonts w:ascii="Arial" w:eastAsia="Arial" w:hAnsi="Arial" w:cs="Arial"/>
          <w:sz w:val="22"/>
          <w:szCs w:val="22"/>
          <w:lang w:val="en-US" w:eastAsia="en-US"/>
        </w:rPr>
        <w:t>s</w:t>
      </w:r>
      <w:r w:rsidRPr="002F13A3">
        <w:rPr>
          <w:rFonts w:ascii="Arial" w:eastAsia="Arial" w:hAnsi="Arial" w:cs="Arial"/>
          <w:sz w:val="22"/>
          <w:szCs w:val="22"/>
          <w:lang w:val="en-US" w:eastAsia="en-US"/>
        </w:rPr>
        <w:t xml:space="preserve"> may be </w:t>
      </w:r>
      <w:r w:rsidR="00E11BC4">
        <w:rPr>
          <w:rFonts w:ascii="Arial" w:eastAsia="Arial" w:hAnsi="Arial" w:cs="Arial"/>
          <w:sz w:val="22"/>
          <w:szCs w:val="22"/>
          <w:lang w:val="en-US" w:eastAsia="en-US"/>
        </w:rPr>
        <w:t>partially</w:t>
      </w:r>
      <w:r w:rsidRPr="002F13A3">
        <w:rPr>
          <w:rFonts w:ascii="Arial" w:eastAsia="Arial" w:hAnsi="Arial" w:cs="Arial"/>
          <w:sz w:val="22"/>
          <w:szCs w:val="22"/>
          <w:lang w:val="en-US" w:eastAsia="en-US"/>
        </w:rPr>
        <w:t xml:space="preserve"> mitigated by FSANZ’s plans to develop web content and use other communication channels, including social media, to directly inform consumers about energy labelling on alcoholic beverages and where to look for it</w:t>
      </w:r>
      <w:r w:rsidR="00B95ED4">
        <w:rPr>
          <w:rFonts w:ascii="Arial" w:eastAsia="Arial" w:hAnsi="Arial" w:cs="Arial"/>
          <w:sz w:val="22"/>
          <w:szCs w:val="22"/>
          <w:lang w:val="en-US" w:eastAsia="en-US"/>
        </w:rPr>
        <w:t xml:space="preserve">. </w:t>
      </w:r>
      <w:r w:rsidR="007C7C93">
        <w:rPr>
          <w:rFonts w:ascii="Arial" w:eastAsia="Arial" w:hAnsi="Arial" w:cs="Arial"/>
          <w:sz w:val="22"/>
          <w:szCs w:val="22"/>
          <w:lang w:val="en-US" w:eastAsia="en-US"/>
        </w:rPr>
        <w:t>More detail about t</w:t>
      </w:r>
      <w:r w:rsidR="0078585A">
        <w:rPr>
          <w:rFonts w:ascii="Arial" w:eastAsia="Arial" w:hAnsi="Arial" w:cs="Arial"/>
          <w:sz w:val="22"/>
          <w:szCs w:val="22"/>
          <w:lang w:val="en-US" w:eastAsia="en-US"/>
        </w:rPr>
        <w:t xml:space="preserve">hese </w:t>
      </w:r>
      <w:r w:rsidR="00693AA1">
        <w:rPr>
          <w:rFonts w:ascii="Arial" w:eastAsia="Arial" w:hAnsi="Arial" w:cs="Arial"/>
          <w:sz w:val="22"/>
          <w:szCs w:val="22"/>
          <w:lang w:val="en-US" w:eastAsia="en-US"/>
        </w:rPr>
        <w:t>plans are</w:t>
      </w:r>
      <w:r w:rsidR="00D86618">
        <w:rPr>
          <w:rFonts w:ascii="Arial" w:eastAsia="Arial" w:hAnsi="Arial" w:cs="Arial"/>
          <w:sz w:val="22"/>
          <w:szCs w:val="22"/>
          <w:lang w:val="en-US" w:eastAsia="en-US"/>
        </w:rPr>
        <w:t xml:space="preserve"> summarised in </w:t>
      </w:r>
      <w:r w:rsidR="007C7C93">
        <w:rPr>
          <w:rFonts w:ascii="Arial" w:eastAsia="Arial" w:hAnsi="Arial" w:cs="Arial"/>
          <w:sz w:val="22"/>
          <w:szCs w:val="22"/>
          <w:lang w:val="en-US" w:eastAsia="en-US"/>
        </w:rPr>
        <w:t xml:space="preserve">this DRIS </w:t>
      </w:r>
      <w:r w:rsidR="00D86618">
        <w:rPr>
          <w:rFonts w:ascii="Arial" w:eastAsia="Arial" w:hAnsi="Arial" w:cs="Arial"/>
          <w:sz w:val="22"/>
          <w:szCs w:val="22"/>
          <w:lang w:val="en-US" w:eastAsia="en-US"/>
        </w:rPr>
        <w:t xml:space="preserve">section 8 </w:t>
      </w:r>
      <w:r w:rsidR="007C7C93">
        <w:rPr>
          <w:rFonts w:ascii="Arial" w:eastAsia="Arial" w:hAnsi="Arial" w:cs="Arial"/>
          <w:sz w:val="22"/>
          <w:szCs w:val="22"/>
          <w:lang w:val="en-US" w:eastAsia="en-US"/>
        </w:rPr>
        <w:t>on implementation</w:t>
      </w:r>
      <w:r w:rsidR="00E734BE">
        <w:rPr>
          <w:rFonts w:ascii="Arial" w:eastAsia="Arial" w:hAnsi="Arial" w:cs="Arial"/>
          <w:sz w:val="22"/>
          <w:szCs w:val="22"/>
          <w:lang w:val="en-US" w:eastAsia="en-US"/>
        </w:rPr>
        <w:t xml:space="preserve"> and in the P1059 CFS</w:t>
      </w:r>
      <w:r w:rsidR="00693AA1">
        <w:rPr>
          <w:rFonts w:ascii="Arial" w:eastAsia="Arial" w:hAnsi="Arial" w:cs="Arial"/>
          <w:sz w:val="22"/>
          <w:szCs w:val="22"/>
          <w:lang w:val="en-US" w:eastAsia="en-US"/>
        </w:rPr>
        <w:t>.</w:t>
      </w:r>
      <w:r w:rsidR="001D21B7">
        <w:rPr>
          <w:rFonts w:ascii="Arial" w:eastAsia="Arial" w:hAnsi="Arial" w:cs="Arial"/>
          <w:sz w:val="22"/>
          <w:szCs w:val="22"/>
          <w:lang w:val="en-US" w:eastAsia="en-US"/>
        </w:rPr>
        <w:t xml:space="preserve"> </w:t>
      </w:r>
    </w:p>
    <w:p w14:paraId="59EEB464" w14:textId="77777777" w:rsidR="00B95ED4" w:rsidRDefault="00B95ED4" w:rsidP="002F13A3">
      <w:pPr>
        <w:pStyle w:val="paragraph"/>
        <w:spacing w:before="40" w:beforeAutospacing="0" w:after="0" w:afterAutospacing="0"/>
        <w:rPr>
          <w:rFonts w:ascii="Arial" w:eastAsia="Arial" w:hAnsi="Arial" w:cs="Arial"/>
          <w:sz w:val="22"/>
          <w:szCs w:val="22"/>
          <w:lang w:val="en-US" w:eastAsia="en-US"/>
        </w:rPr>
      </w:pPr>
    </w:p>
    <w:p w14:paraId="3710EF0F" w14:textId="3256815E" w:rsidR="00431F4F" w:rsidRDefault="00431F4F" w:rsidP="00431F4F">
      <w:pPr>
        <w:pStyle w:val="paragraph"/>
        <w:spacing w:before="40" w:beforeAutospacing="0" w:after="0" w:afterAutospacing="0"/>
        <w:rPr>
          <w:rFonts w:ascii="Arial" w:eastAsia="Arial" w:hAnsi="Arial" w:cs="Arial"/>
          <w:sz w:val="22"/>
          <w:szCs w:val="22"/>
          <w:lang w:val="en-US" w:eastAsia="en-US"/>
        </w:rPr>
      </w:pPr>
      <w:r>
        <w:rPr>
          <w:rFonts w:ascii="Arial" w:eastAsia="Arial" w:hAnsi="Arial" w:cs="Arial"/>
          <w:sz w:val="22"/>
          <w:szCs w:val="22"/>
          <w:lang w:val="en-US" w:eastAsia="en-US"/>
        </w:rPr>
        <w:t>As will be discussed in section 8, success of this intervention would also benefit from targeted education initiatives on the relationship between alcohol consumption and energy intake</w:t>
      </w:r>
      <w:r w:rsidR="00AE1B0F">
        <w:rPr>
          <w:rFonts w:ascii="Arial" w:eastAsia="Arial" w:hAnsi="Arial" w:cs="Arial"/>
          <w:sz w:val="22"/>
          <w:szCs w:val="22"/>
          <w:lang w:val="en-US" w:eastAsia="en-US"/>
        </w:rPr>
        <w:t>,</w:t>
      </w:r>
      <w:r>
        <w:rPr>
          <w:rFonts w:ascii="Arial" w:eastAsia="Arial" w:hAnsi="Arial" w:cs="Arial"/>
          <w:sz w:val="22"/>
          <w:szCs w:val="22"/>
          <w:lang w:val="en-US" w:eastAsia="en-US"/>
        </w:rPr>
        <w:t xml:space="preserve"> undertaken by other organisations. Such initiatives could help further mitigate the barriers around consumer motivation and use.</w:t>
      </w:r>
    </w:p>
    <w:p w14:paraId="2E0EEDF7" w14:textId="5D7299B7" w:rsidR="008910A8" w:rsidRPr="00975CBF" w:rsidRDefault="00B246C2" w:rsidP="00CE3140">
      <w:pPr>
        <w:pStyle w:val="Heading2"/>
        <w:numPr>
          <w:ilvl w:val="0"/>
          <w:numId w:val="10"/>
        </w:numPr>
        <w:rPr>
          <w:b w:val="0"/>
          <w:bCs w:val="0"/>
          <w:snapToGrid w:val="0"/>
          <w:sz w:val="22"/>
          <w:lang w:val="en-US" w:eastAsia="en-NZ"/>
        </w:rPr>
      </w:pPr>
      <w:bookmarkStart w:id="15" w:name="_Toc194475990"/>
      <w:r w:rsidRPr="00646532">
        <w:rPr>
          <w:rFonts w:eastAsia="Arial"/>
        </w:rPr>
        <w:t xml:space="preserve">What </w:t>
      </w:r>
      <w:r w:rsidR="00C314CA" w:rsidRPr="00646532">
        <w:rPr>
          <w:rFonts w:eastAsia="Arial"/>
        </w:rPr>
        <w:t>policy options are being considered?</w:t>
      </w:r>
      <w:bookmarkEnd w:id="15"/>
    </w:p>
    <w:p w14:paraId="0EDD7DFE" w14:textId="5095C266" w:rsidR="009512D3" w:rsidRPr="009512D3" w:rsidRDefault="00C64D6F" w:rsidP="6A15B411">
      <w:pPr>
        <w:autoSpaceDE w:val="0"/>
        <w:autoSpaceDN w:val="0"/>
        <w:adjustRightInd w:val="0"/>
        <w:rPr>
          <w:rFonts w:ascii="Arial" w:hAnsi="Arial" w:cs="Arial"/>
          <w:color w:val="000000"/>
        </w:rPr>
      </w:pPr>
      <w:r w:rsidRPr="6A15B411">
        <w:rPr>
          <w:rFonts w:ascii="Arial" w:hAnsi="Arial" w:cs="Arial"/>
          <w:color w:val="000000" w:themeColor="text1"/>
        </w:rPr>
        <w:t xml:space="preserve">FSANZ undertook </w:t>
      </w:r>
      <w:r w:rsidR="003F7272" w:rsidRPr="6A15B411">
        <w:rPr>
          <w:rFonts w:ascii="Arial" w:hAnsi="Arial" w:cs="Arial"/>
          <w:color w:val="000000" w:themeColor="text1"/>
        </w:rPr>
        <w:t>a preliminary analysis of</w:t>
      </w:r>
      <w:r w:rsidR="009512D3" w:rsidRPr="6A15B411">
        <w:rPr>
          <w:rFonts w:ascii="Arial" w:hAnsi="Arial" w:cs="Arial"/>
          <w:color w:val="000000" w:themeColor="text1"/>
        </w:rPr>
        <w:t xml:space="preserve"> </w:t>
      </w:r>
      <w:r w:rsidR="00820CD0" w:rsidRPr="6A15B411">
        <w:rPr>
          <w:rFonts w:ascii="Arial" w:hAnsi="Arial" w:cs="Arial"/>
          <w:color w:val="000000" w:themeColor="text1"/>
        </w:rPr>
        <w:t>several</w:t>
      </w:r>
      <w:r w:rsidR="009512D3" w:rsidRPr="6A15B411">
        <w:rPr>
          <w:rFonts w:ascii="Arial" w:hAnsi="Arial" w:cs="Arial"/>
          <w:color w:val="000000" w:themeColor="text1"/>
        </w:rPr>
        <w:t xml:space="preserve"> regulatory and non-regulatory options before a formal proposal was prepared</w:t>
      </w:r>
      <w:r w:rsidR="00162841" w:rsidRPr="6A15B411">
        <w:rPr>
          <w:rFonts w:ascii="Arial" w:hAnsi="Arial" w:cs="Arial"/>
          <w:color w:val="000000" w:themeColor="text1"/>
        </w:rPr>
        <w:t xml:space="preserve"> in May 2022</w:t>
      </w:r>
      <w:r w:rsidR="009512D3" w:rsidRPr="6A15B411">
        <w:rPr>
          <w:rFonts w:ascii="Arial" w:hAnsi="Arial" w:cs="Arial"/>
          <w:color w:val="000000" w:themeColor="text1"/>
        </w:rPr>
        <w:t>. Preliminary work was undertaken to identify, analyse, consult on and refine th</w:t>
      </w:r>
      <w:r w:rsidR="00F77E46" w:rsidRPr="6A15B411">
        <w:rPr>
          <w:rFonts w:ascii="Arial" w:hAnsi="Arial" w:cs="Arial"/>
          <w:color w:val="000000" w:themeColor="text1"/>
        </w:rPr>
        <w:t>o</w:t>
      </w:r>
      <w:r w:rsidR="009512D3" w:rsidRPr="6A15B411">
        <w:rPr>
          <w:rFonts w:ascii="Arial" w:hAnsi="Arial" w:cs="Arial"/>
          <w:color w:val="000000" w:themeColor="text1"/>
        </w:rPr>
        <w:t>se options (FSANZ 2021). A number of options were dis</w:t>
      </w:r>
      <w:r w:rsidR="009A2C7B" w:rsidRPr="6A15B411">
        <w:rPr>
          <w:rFonts w:ascii="Arial" w:hAnsi="Arial" w:cs="Arial"/>
          <w:color w:val="000000" w:themeColor="text1"/>
        </w:rPr>
        <w:t>reg</w:t>
      </w:r>
      <w:r w:rsidR="009512D3" w:rsidRPr="6A15B411">
        <w:rPr>
          <w:rFonts w:ascii="Arial" w:hAnsi="Arial" w:cs="Arial"/>
          <w:color w:val="000000" w:themeColor="text1"/>
        </w:rPr>
        <w:t xml:space="preserve">arded after the preliminary work, and </w:t>
      </w:r>
      <w:r w:rsidR="00162841" w:rsidRPr="6A15B411">
        <w:rPr>
          <w:rFonts w:ascii="Arial" w:hAnsi="Arial" w:cs="Arial"/>
          <w:color w:val="000000" w:themeColor="text1"/>
        </w:rPr>
        <w:t>following consideration of submitter</w:t>
      </w:r>
      <w:r w:rsidR="009512D3" w:rsidRPr="6A15B411">
        <w:rPr>
          <w:rFonts w:ascii="Arial" w:hAnsi="Arial" w:cs="Arial"/>
          <w:color w:val="000000" w:themeColor="text1"/>
        </w:rPr>
        <w:t xml:space="preserve"> </w:t>
      </w:r>
      <w:r w:rsidR="00162841" w:rsidRPr="6A15B411">
        <w:rPr>
          <w:rFonts w:ascii="Arial" w:hAnsi="Arial" w:cs="Arial"/>
          <w:color w:val="000000" w:themeColor="text1"/>
        </w:rPr>
        <w:t>comments to</w:t>
      </w:r>
      <w:r w:rsidR="009512D3" w:rsidRPr="6A15B411">
        <w:rPr>
          <w:rFonts w:ascii="Arial" w:hAnsi="Arial" w:cs="Arial"/>
          <w:color w:val="000000" w:themeColor="text1"/>
        </w:rPr>
        <w:t xml:space="preserve"> the P1059 CFS, </w:t>
      </w:r>
      <w:r w:rsidR="009A2C7B" w:rsidRPr="6A15B411">
        <w:rPr>
          <w:rFonts w:ascii="Arial" w:hAnsi="Arial" w:cs="Arial"/>
          <w:color w:val="000000" w:themeColor="text1"/>
        </w:rPr>
        <w:t xml:space="preserve">including </w:t>
      </w:r>
      <w:r w:rsidR="009512D3" w:rsidRPr="6A15B411">
        <w:rPr>
          <w:rFonts w:ascii="Arial" w:hAnsi="Arial" w:cs="Arial"/>
          <w:color w:val="000000" w:themeColor="text1"/>
        </w:rPr>
        <w:t xml:space="preserve">because they were not seen as effective and/or </w:t>
      </w:r>
      <w:r w:rsidR="00162841" w:rsidRPr="6A15B411">
        <w:rPr>
          <w:rFonts w:ascii="Arial" w:hAnsi="Arial" w:cs="Arial"/>
          <w:color w:val="000000" w:themeColor="text1"/>
        </w:rPr>
        <w:t xml:space="preserve">as </w:t>
      </w:r>
      <w:r w:rsidR="009512D3" w:rsidRPr="6A15B411">
        <w:rPr>
          <w:rFonts w:ascii="Arial" w:hAnsi="Arial" w:cs="Arial"/>
          <w:color w:val="000000" w:themeColor="text1"/>
        </w:rPr>
        <w:t>feasible as other options</w:t>
      </w:r>
      <w:r w:rsidR="00E120A5" w:rsidRPr="6A15B411">
        <w:rPr>
          <w:rFonts w:ascii="Arial" w:hAnsi="Arial" w:cs="Arial"/>
          <w:color w:val="000000" w:themeColor="text1"/>
        </w:rPr>
        <w:t xml:space="preserve"> for meeting the </w:t>
      </w:r>
      <w:r w:rsidR="00EE7260" w:rsidRPr="6A15B411">
        <w:rPr>
          <w:rFonts w:ascii="Arial" w:hAnsi="Arial" w:cs="Arial"/>
          <w:color w:val="000000" w:themeColor="text1"/>
        </w:rPr>
        <w:t>policy objective</w:t>
      </w:r>
      <w:r w:rsidR="009512D3" w:rsidRPr="6A15B411">
        <w:rPr>
          <w:rFonts w:ascii="Arial" w:hAnsi="Arial" w:cs="Arial"/>
          <w:color w:val="000000" w:themeColor="text1"/>
        </w:rPr>
        <w:t>. For completeness</w:t>
      </w:r>
      <w:r w:rsidR="00EE7260" w:rsidRPr="6A15B411">
        <w:rPr>
          <w:rFonts w:ascii="Arial" w:hAnsi="Arial" w:cs="Arial"/>
          <w:color w:val="000000" w:themeColor="text1"/>
        </w:rPr>
        <w:t>,</w:t>
      </w:r>
      <w:r w:rsidR="009512D3" w:rsidRPr="6A15B411">
        <w:rPr>
          <w:rFonts w:ascii="Arial" w:hAnsi="Arial" w:cs="Arial"/>
          <w:color w:val="000000" w:themeColor="text1"/>
        </w:rPr>
        <w:t xml:space="preserve"> some of these are discussed below. </w:t>
      </w:r>
    </w:p>
    <w:p w14:paraId="7A690BA9" w14:textId="77777777" w:rsidR="009512D3" w:rsidRPr="009512D3" w:rsidRDefault="009512D3" w:rsidP="009512D3">
      <w:pPr>
        <w:autoSpaceDE w:val="0"/>
        <w:autoSpaceDN w:val="0"/>
        <w:adjustRightInd w:val="0"/>
        <w:rPr>
          <w:rFonts w:ascii="Arial" w:hAnsi="Arial" w:cs="Arial"/>
          <w:color w:val="000000"/>
        </w:rPr>
      </w:pPr>
      <w:r w:rsidRPr="009512D3">
        <w:rPr>
          <w:rFonts w:ascii="Arial" w:hAnsi="Arial" w:cs="Arial"/>
          <w:i/>
          <w:iCs/>
          <w:color w:val="000000"/>
        </w:rPr>
        <w:t xml:space="preserve">Education </w:t>
      </w:r>
    </w:p>
    <w:p w14:paraId="07BA55BF" w14:textId="27DC6F93" w:rsidR="00485627" w:rsidRDefault="009512D3" w:rsidP="6A15B411">
      <w:pPr>
        <w:autoSpaceDE w:val="0"/>
        <w:autoSpaceDN w:val="0"/>
        <w:adjustRightInd w:val="0"/>
        <w:rPr>
          <w:rFonts w:ascii="Arial" w:hAnsi="Arial" w:cs="Arial"/>
          <w:color w:val="000000"/>
        </w:rPr>
      </w:pPr>
      <w:r w:rsidRPr="6A15B411">
        <w:rPr>
          <w:rFonts w:ascii="Arial" w:hAnsi="Arial" w:cs="Arial"/>
          <w:color w:val="000000" w:themeColor="text1"/>
        </w:rPr>
        <w:t>Although education could be targeted to improve consumer understanding of the energy content of alcoholic beverages</w:t>
      </w:r>
      <w:r w:rsidR="0007718F" w:rsidRPr="6A15B411">
        <w:rPr>
          <w:rFonts w:ascii="Arial" w:hAnsi="Arial" w:cs="Arial"/>
          <w:color w:val="000000" w:themeColor="text1"/>
        </w:rPr>
        <w:t xml:space="preserve"> generally</w:t>
      </w:r>
      <w:r w:rsidRPr="6A15B411">
        <w:rPr>
          <w:rFonts w:ascii="Arial" w:hAnsi="Arial" w:cs="Arial"/>
          <w:color w:val="000000" w:themeColor="text1"/>
        </w:rPr>
        <w:t>, the impact of education</w:t>
      </w:r>
      <w:r w:rsidR="00485627" w:rsidRPr="6A15B411">
        <w:rPr>
          <w:rFonts w:ascii="Arial" w:hAnsi="Arial" w:cs="Arial"/>
          <w:color w:val="000000" w:themeColor="text1"/>
        </w:rPr>
        <w:t xml:space="preserve"> alone</w:t>
      </w:r>
      <w:r w:rsidRPr="6A15B411">
        <w:rPr>
          <w:rFonts w:ascii="Arial" w:hAnsi="Arial" w:cs="Arial"/>
          <w:color w:val="000000" w:themeColor="text1"/>
        </w:rPr>
        <w:t xml:space="preserve"> on informed </w:t>
      </w:r>
      <w:r w:rsidR="0092179F" w:rsidRPr="6A15B411">
        <w:rPr>
          <w:rFonts w:ascii="Arial" w:hAnsi="Arial" w:cs="Arial"/>
          <w:color w:val="000000" w:themeColor="text1"/>
        </w:rPr>
        <w:t>purchasing and consumption decisions</w:t>
      </w:r>
      <w:r w:rsidRPr="6A15B411">
        <w:rPr>
          <w:rFonts w:ascii="Arial" w:hAnsi="Arial" w:cs="Arial"/>
          <w:color w:val="000000" w:themeColor="text1"/>
        </w:rPr>
        <w:t xml:space="preserve"> would be limited </w:t>
      </w:r>
      <w:r w:rsidR="0007718F" w:rsidRPr="6A15B411">
        <w:rPr>
          <w:rFonts w:ascii="Arial" w:hAnsi="Arial" w:cs="Arial"/>
          <w:color w:val="000000" w:themeColor="text1"/>
        </w:rPr>
        <w:t>as</w:t>
      </w:r>
      <w:r w:rsidRPr="6A15B411">
        <w:rPr>
          <w:rFonts w:ascii="Arial" w:hAnsi="Arial" w:cs="Arial"/>
          <w:color w:val="000000" w:themeColor="text1"/>
        </w:rPr>
        <w:t xml:space="preserve"> </w:t>
      </w:r>
      <w:r w:rsidR="0007718F" w:rsidRPr="6A15B411">
        <w:rPr>
          <w:rFonts w:ascii="Arial" w:hAnsi="Arial" w:cs="Arial"/>
          <w:color w:val="000000" w:themeColor="text1"/>
        </w:rPr>
        <w:t xml:space="preserve">the </w:t>
      </w:r>
      <w:r w:rsidRPr="6A15B411">
        <w:rPr>
          <w:rFonts w:ascii="Arial" w:hAnsi="Arial" w:cs="Arial"/>
          <w:color w:val="000000" w:themeColor="text1"/>
        </w:rPr>
        <w:t>energy</w:t>
      </w:r>
      <w:r w:rsidR="0007718F" w:rsidRPr="6A15B411">
        <w:rPr>
          <w:rFonts w:ascii="Arial" w:hAnsi="Arial" w:cs="Arial"/>
          <w:color w:val="000000" w:themeColor="text1"/>
        </w:rPr>
        <w:t xml:space="preserve"> content of alcoholic beverages</w:t>
      </w:r>
      <w:r w:rsidRPr="6A15B411">
        <w:rPr>
          <w:rFonts w:ascii="Arial" w:hAnsi="Arial" w:cs="Arial"/>
          <w:color w:val="000000" w:themeColor="text1"/>
        </w:rPr>
        <w:t xml:space="preserve"> </w:t>
      </w:r>
      <w:r w:rsidR="0007718F" w:rsidRPr="6A15B411">
        <w:rPr>
          <w:rFonts w:ascii="Arial" w:hAnsi="Arial" w:cs="Arial"/>
          <w:color w:val="000000" w:themeColor="text1"/>
        </w:rPr>
        <w:t xml:space="preserve">is </w:t>
      </w:r>
      <w:r w:rsidRPr="6A15B411">
        <w:rPr>
          <w:rFonts w:ascii="Arial" w:hAnsi="Arial" w:cs="Arial"/>
          <w:color w:val="000000" w:themeColor="text1"/>
        </w:rPr>
        <w:t>not consistently and readily accessible</w:t>
      </w:r>
      <w:r w:rsidR="00162841" w:rsidRPr="6A15B411">
        <w:rPr>
          <w:rFonts w:ascii="Arial" w:hAnsi="Arial" w:cs="Arial"/>
          <w:color w:val="000000" w:themeColor="text1"/>
        </w:rPr>
        <w:t xml:space="preserve"> for consumers</w:t>
      </w:r>
      <w:r w:rsidRPr="6A15B411">
        <w:rPr>
          <w:rFonts w:ascii="Arial" w:hAnsi="Arial" w:cs="Arial"/>
          <w:color w:val="000000" w:themeColor="text1"/>
        </w:rPr>
        <w:t>.</w:t>
      </w:r>
      <w:r w:rsidR="00A233F9" w:rsidRPr="6A15B411">
        <w:rPr>
          <w:rFonts w:ascii="Arial" w:hAnsi="Arial" w:cs="Arial"/>
          <w:color w:val="000000" w:themeColor="text1"/>
        </w:rPr>
        <w:t xml:space="preserve"> </w:t>
      </w:r>
    </w:p>
    <w:p w14:paraId="5CD26D01" w14:textId="10606D7E" w:rsidR="005F5DBE" w:rsidRDefault="00485627" w:rsidP="6A15B411">
      <w:pPr>
        <w:autoSpaceDE w:val="0"/>
        <w:autoSpaceDN w:val="0"/>
        <w:adjustRightInd w:val="0"/>
        <w:rPr>
          <w:rFonts w:ascii="Arial" w:hAnsi="Arial" w:cs="Arial"/>
          <w:color w:val="000000"/>
        </w:rPr>
      </w:pPr>
      <w:r w:rsidRPr="6A15B411">
        <w:rPr>
          <w:rFonts w:ascii="Arial" w:hAnsi="Arial" w:cs="Arial"/>
          <w:color w:val="000000" w:themeColor="text1"/>
        </w:rPr>
        <w:t>Education would not change the fact that most packaged alcoholic beverages for sale in Australia and New Zealand do not currently provide energy content information on-label</w:t>
      </w:r>
      <w:r w:rsidRPr="6A15B411">
        <w:rPr>
          <w:rFonts w:ascii="Arial" w:eastAsia="Arial" w:hAnsi="Arial" w:cs="Arial"/>
        </w:rPr>
        <w:t>.</w:t>
      </w:r>
      <w:r w:rsidR="00181C07" w:rsidRPr="6A15B411">
        <w:rPr>
          <w:rFonts w:ascii="Arial" w:eastAsia="Arial" w:hAnsi="Arial" w:cs="Arial"/>
        </w:rPr>
        <w:t xml:space="preserve"> </w:t>
      </w:r>
      <w:r w:rsidR="00877272" w:rsidRPr="6A15B411">
        <w:rPr>
          <w:rFonts w:ascii="Arial" w:eastAsia="Arial" w:hAnsi="Arial" w:cs="Arial"/>
        </w:rPr>
        <w:t>E</w:t>
      </w:r>
      <w:r w:rsidR="00421757" w:rsidRPr="6A15B411">
        <w:rPr>
          <w:rFonts w:ascii="Arial" w:eastAsia="Arial" w:hAnsi="Arial" w:cs="Arial"/>
        </w:rPr>
        <w:t>ducation</w:t>
      </w:r>
      <w:r w:rsidR="004338BD" w:rsidRPr="6A15B411">
        <w:rPr>
          <w:rFonts w:ascii="Arial" w:eastAsia="Arial" w:hAnsi="Arial" w:cs="Arial"/>
        </w:rPr>
        <w:t xml:space="preserve"> alone</w:t>
      </w:r>
      <w:r w:rsidR="00421757" w:rsidRPr="6A15B411">
        <w:rPr>
          <w:rFonts w:ascii="Arial" w:eastAsia="Arial" w:hAnsi="Arial" w:cs="Arial"/>
        </w:rPr>
        <w:t xml:space="preserve"> could not easily inform consumers of </w:t>
      </w:r>
      <w:r w:rsidR="004338BD" w:rsidRPr="6A15B411">
        <w:rPr>
          <w:rFonts w:ascii="Arial" w:eastAsia="Arial" w:hAnsi="Arial" w:cs="Arial"/>
        </w:rPr>
        <w:t>how</w:t>
      </w:r>
      <w:r w:rsidR="00181C07" w:rsidRPr="6A15B411">
        <w:rPr>
          <w:rFonts w:ascii="Arial" w:eastAsia="Arial" w:hAnsi="Arial" w:cs="Arial"/>
        </w:rPr>
        <w:t xml:space="preserve"> energy content varies between </w:t>
      </w:r>
      <w:r w:rsidR="00B8251F" w:rsidRPr="6A15B411">
        <w:rPr>
          <w:rFonts w:ascii="Arial" w:eastAsia="Arial" w:hAnsi="Arial" w:cs="Arial"/>
        </w:rPr>
        <w:t>a group of</w:t>
      </w:r>
      <w:r w:rsidR="00421757" w:rsidRPr="6A15B411">
        <w:rPr>
          <w:rFonts w:ascii="Arial" w:eastAsia="Arial" w:hAnsi="Arial" w:cs="Arial"/>
        </w:rPr>
        <w:t xml:space="preserve"> </w:t>
      </w:r>
      <w:r w:rsidR="00181C07" w:rsidRPr="6A15B411">
        <w:rPr>
          <w:rFonts w:ascii="Arial" w:eastAsia="Arial" w:hAnsi="Arial" w:cs="Arial"/>
        </w:rPr>
        <w:t>SKUs of the same beverage type</w:t>
      </w:r>
      <w:r w:rsidR="00796B58" w:rsidRPr="6A15B411">
        <w:rPr>
          <w:rFonts w:ascii="Arial" w:eastAsia="Arial" w:hAnsi="Arial" w:cs="Arial"/>
        </w:rPr>
        <w:t>,</w:t>
      </w:r>
      <w:r w:rsidR="00181C07" w:rsidRPr="6A15B411">
        <w:rPr>
          <w:rFonts w:ascii="Arial" w:eastAsia="Arial" w:hAnsi="Arial" w:cs="Arial"/>
        </w:rPr>
        <w:t xml:space="preserve"> e.g. </w:t>
      </w:r>
      <w:r w:rsidR="00877272" w:rsidRPr="6A15B411">
        <w:rPr>
          <w:rFonts w:ascii="Arial" w:eastAsia="Arial" w:hAnsi="Arial" w:cs="Arial"/>
        </w:rPr>
        <w:t xml:space="preserve">the </w:t>
      </w:r>
      <w:r w:rsidR="00D16A78" w:rsidRPr="6A15B411">
        <w:rPr>
          <w:rFonts w:ascii="Arial" w:eastAsia="Arial" w:hAnsi="Arial" w:cs="Arial"/>
        </w:rPr>
        <w:t xml:space="preserve">specific </w:t>
      </w:r>
      <w:r w:rsidR="00877272" w:rsidRPr="6A15B411">
        <w:rPr>
          <w:rFonts w:ascii="Arial" w:eastAsia="Arial" w:hAnsi="Arial" w:cs="Arial"/>
        </w:rPr>
        <w:t xml:space="preserve">variation </w:t>
      </w:r>
      <w:r w:rsidR="00796B58" w:rsidRPr="6A15B411">
        <w:rPr>
          <w:rFonts w:ascii="Arial" w:eastAsia="Arial" w:hAnsi="Arial" w:cs="Arial"/>
        </w:rPr>
        <w:t>among</w:t>
      </w:r>
      <w:r w:rsidR="00181C07" w:rsidRPr="6A15B411">
        <w:rPr>
          <w:rFonts w:ascii="Arial" w:eastAsia="Arial" w:hAnsi="Arial" w:cs="Arial"/>
        </w:rPr>
        <w:t xml:space="preserve"> different mid-strength beers</w:t>
      </w:r>
      <w:r w:rsidR="00796B58" w:rsidRPr="6A15B411">
        <w:rPr>
          <w:rFonts w:ascii="Arial" w:eastAsia="Arial" w:hAnsi="Arial" w:cs="Arial"/>
        </w:rPr>
        <w:t xml:space="preserve"> in a certain shop</w:t>
      </w:r>
      <w:r w:rsidR="00181C07" w:rsidRPr="6A15B411">
        <w:rPr>
          <w:rFonts w:ascii="Arial" w:eastAsia="Arial" w:hAnsi="Arial" w:cs="Arial"/>
        </w:rPr>
        <w:t>.</w:t>
      </w:r>
      <w:r w:rsidRPr="6A15B411">
        <w:rPr>
          <w:rFonts w:ascii="Arial" w:hAnsi="Arial" w:cs="Arial"/>
          <w:color w:val="000000" w:themeColor="text1"/>
        </w:rPr>
        <w:t xml:space="preserve"> Therefore, education is not considered a feasible option </w:t>
      </w:r>
      <w:r w:rsidR="00162841" w:rsidRPr="6A15B411">
        <w:rPr>
          <w:rFonts w:ascii="Arial" w:hAnsi="Arial" w:cs="Arial"/>
          <w:color w:val="000000" w:themeColor="text1"/>
        </w:rPr>
        <w:t xml:space="preserve">in isolation </w:t>
      </w:r>
      <w:r w:rsidR="000C5195" w:rsidRPr="6A15B411">
        <w:rPr>
          <w:rFonts w:ascii="Arial" w:hAnsi="Arial" w:cs="Arial"/>
          <w:color w:val="000000" w:themeColor="text1"/>
        </w:rPr>
        <w:t>from</w:t>
      </w:r>
      <w:r w:rsidR="00162841" w:rsidRPr="6A15B411">
        <w:rPr>
          <w:rFonts w:ascii="Arial" w:hAnsi="Arial" w:cs="Arial"/>
          <w:color w:val="000000" w:themeColor="text1"/>
        </w:rPr>
        <w:t xml:space="preserve"> other measures</w:t>
      </w:r>
      <w:r w:rsidR="0029015D" w:rsidRPr="6A15B411">
        <w:rPr>
          <w:rFonts w:ascii="Arial" w:hAnsi="Arial" w:cs="Arial"/>
          <w:color w:val="000000" w:themeColor="text1"/>
        </w:rPr>
        <w:t xml:space="preserve"> for meeting the </w:t>
      </w:r>
      <w:r w:rsidR="000A1B10" w:rsidRPr="6A15B411">
        <w:rPr>
          <w:rFonts w:ascii="Arial" w:hAnsi="Arial" w:cs="Arial"/>
          <w:color w:val="000000" w:themeColor="text1"/>
        </w:rPr>
        <w:t xml:space="preserve">policy </w:t>
      </w:r>
      <w:r w:rsidR="00D462A1" w:rsidRPr="6A15B411">
        <w:rPr>
          <w:rFonts w:ascii="Arial" w:hAnsi="Arial" w:cs="Arial"/>
          <w:color w:val="000000" w:themeColor="text1"/>
        </w:rPr>
        <w:t>objective</w:t>
      </w:r>
      <w:r w:rsidR="00CB2A1D" w:rsidRPr="6A15B411">
        <w:rPr>
          <w:rFonts w:ascii="Arial" w:hAnsi="Arial" w:cs="Arial"/>
          <w:color w:val="000000" w:themeColor="text1"/>
        </w:rPr>
        <w:t xml:space="preserve"> to </w:t>
      </w:r>
      <w:r w:rsidR="0039754B" w:rsidRPr="6A15B411">
        <w:rPr>
          <w:rFonts w:ascii="Arial" w:hAnsi="Arial" w:cs="Arial"/>
          <w:color w:val="000000" w:themeColor="text1"/>
        </w:rPr>
        <w:t>“</w:t>
      </w:r>
      <w:r w:rsidR="00CB2A1D" w:rsidRPr="6A15B411">
        <w:rPr>
          <w:rFonts w:ascii="Arial" w:eastAsia="Arial" w:hAnsi="Arial" w:cs="Arial"/>
        </w:rPr>
        <w:t>provide readily accessible energy content information on the label of alcoholic beverages to enable consumers to make informed purchasing and consumption decisions in support of dietary guidelines</w:t>
      </w:r>
      <w:r w:rsidR="0039754B" w:rsidRPr="6A15B411">
        <w:rPr>
          <w:rFonts w:ascii="Arial" w:eastAsia="Arial" w:hAnsi="Arial" w:cs="Arial"/>
        </w:rPr>
        <w:t>”</w:t>
      </w:r>
      <w:r w:rsidRPr="6A15B411">
        <w:rPr>
          <w:rFonts w:ascii="Arial" w:hAnsi="Arial" w:cs="Arial"/>
          <w:color w:val="000000" w:themeColor="text1"/>
        </w:rPr>
        <w:t>.</w:t>
      </w:r>
    </w:p>
    <w:p w14:paraId="4EF262DD" w14:textId="77777777" w:rsidR="00E53A3B" w:rsidRDefault="00D462A1" w:rsidP="6A15B411">
      <w:pPr>
        <w:autoSpaceDE w:val="0"/>
        <w:autoSpaceDN w:val="0"/>
        <w:adjustRightInd w:val="0"/>
        <w:rPr>
          <w:rFonts w:ascii="Arial" w:hAnsi="Arial" w:cs="Arial"/>
          <w:snapToGrid w:val="0"/>
        </w:rPr>
      </w:pPr>
      <w:r w:rsidRPr="6A15B411">
        <w:rPr>
          <w:rFonts w:ascii="Arial" w:hAnsi="Arial" w:cs="Arial"/>
          <w:snapToGrid w:val="0"/>
        </w:rPr>
        <w:t xml:space="preserve">FSANZ is not currently resourced to </w:t>
      </w:r>
      <w:r w:rsidR="00791EA4" w:rsidRPr="6A15B411">
        <w:rPr>
          <w:rFonts w:ascii="Arial" w:hAnsi="Arial" w:cs="Arial"/>
          <w:snapToGrid w:val="0"/>
        </w:rPr>
        <w:t>run</w:t>
      </w:r>
      <w:r w:rsidRPr="6A15B411">
        <w:rPr>
          <w:rFonts w:ascii="Arial" w:hAnsi="Arial" w:cs="Arial"/>
          <w:snapToGrid w:val="0"/>
        </w:rPr>
        <w:t xml:space="preserve"> targeted education </w:t>
      </w:r>
      <w:r w:rsidR="001F34E7" w:rsidRPr="6A15B411">
        <w:rPr>
          <w:rFonts w:ascii="Arial" w:hAnsi="Arial" w:cs="Arial"/>
          <w:snapToGrid w:val="0"/>
        </w:rPr>
        <w:t xml:space="preserve">campaigns </w:t>
      </w:r>
      <w:r w:rsidRPr="6A15B411">
        <w:rPr>
          <w:rFonts w:ascii="Arial" w:hAnsi="Arial" w:cs="Arial"/>
          <w:snapToGrid w:val="0"/>
        </w:rPr>
        <w:t>linking alcohol consumption and energy intake</w:t>
      </w:r>
      <w:r w:rsidR="00791EA4" w:rsidRPr="6A15B411">
        <w:rPr>
          <w:rFonts w:ascii="Arial" w:hAnsi="Arial" w:cs="Arial"/>
          <w:snapToGrid w:val="0"/>
        </w:rPr>
        <w:t xml:space="preserve">, and such education </w:t>
      </w:r>
      <w:r w:rsidR="001F34E7" w:rsidRPr="6A15B411">
        <w:rPr>
          <w:rFonts w:ascii="Arial" w:hAnsi="Arial" w:cs="Arial"/>
          <w:snapToGrid w:val="0"/>
        </w:rPr>
        <w:t>by</w:t>
      </w:r>
      <w:r w:rsidR="00CB2A1D" w:rsidRPr="6A15B411">
        <w:rPr>
          <w:rFonts w:ascii="Arial" w:hAnsi="Arial" w:cs="Arial"/>
          <w:snapToGrid w:val="0"/>
        </w:rPr>
        <w:t xml:space="preserve"> other organisations </w:t>
      </w:r>
      <w:r w:rsidR="00791EA4" w:rsidRPr="6A15B411">
        <w:rPr>
          <w:rFonts w:ascii="Arial" w:hAnsi="Arial" w:cs="Arial"/>
          <w:snapToGrid w:val="0"/>
        </w:rPr>
        <w:t>ha</w:t>
      </w:r>
      <w:r w:rsidR="001F34E7" w:rsidRPr="6A15B411">
        <w:rPr>
          <w:rFonts w:ascii="Arial" w:hAnsi="Arial" w:cs="Arial"/>
          <w:snapToGrid w:val="0"/>
        </w:rPr>
        <w:t>s</w:t>
      </w:r>
      <w:r w:rsidR="00791EA4" w:rsidRPr="6A15B411">
        <w:rPr>
          <w:rFonts w:ascii="Arial" w:hAnsi="Arial" w:cs="Arial"/>
          <w:snapToGrid w:val="0"/>
        </w:rPr>
        <w:t xml:space="preserve"> been limited to</w:t>
      </w:r>
      <w:r w:rsidR="001F34E7" w:rsidRPr="6A15B411">
        <w:rPr>
          <w:rFonts w:ascii="Arial" w:hAnsi="Arial" w:cs="Arial"/>
          <w:snapToGrid w:val="0"/>
        </w:rPr>
        <w:t xml:space="preserve"> </w:t>
      </w:r>
      <w:r w:rsidR="00791EA4" w:rsidRPr="6A15B411">
        <w:rPr>
          <w:rFonts w:ascii="Arial" w:hAnsi="Arial" w:cs="Arial"/>
          <w:snapToGrid w:val="0"/>
        </w:rPr>
        <w:t>date</w:t>
      </w:r>
      <w:r w:rsidR="005F1861" w:rsidRPr="6A15B411">
        <w:rPr>
          <w:rFonts w:ascii="Arial" w:hAnsi="Arial" w:cs="Arial"/>
          <w:snapToGrid w:val="0"/>
        </w:rPr>
        <w:t xml:space="preserve">. </w:t>
      </w:r>
    </w:p>
    <w:p w14:paraId="03CA1652" w14:textId="1FE27D6C" w:rsidR="009972A7" w:rsidRPr="009972A7" w:rsidRDefault="009972A7" w:rsidP="009972A7">
      <w:pPr>
        <w:autoSpaceDE w:val="0"/>
        <w:autoSpaceDN w:val="0"/>
        <w:adjustRightInd w:val="0"/>
        <w:rPr>
          <w:rFonts w:ascii="Arial" w:hAnsi="Arial" w:cs="Arial"/>
          <w:snapToGrid w:val="0"/>
          <w:lang w:val="en-NZ"/>
        </w:rPr>
      </w:pPr>
      <w:r w:rsidRPr="009972A7">
        <w:rPr>
          <w:rFonts w:ascii="Arial" w:hAnsi="Arial" w:cs="Arial"/>
          <w:i/>
          <w:iCs/>
          <w:snapToGrid w:val="0"/>
          <w:lang w:val="en-NZ"/>
        </w:rPr>
        <w:t xml:space="preserve">Voluntary Code of Practice (CoP) </w:t>
      </w:r>
    </w:p>
    <w:p w14:paraId="267FC366" w14:textId="179004C2" w:rsidR="00FC5510" w:rsidRPr="00B42080" w:rsidRDefault="009972A7" w:rsidP="00B42080">
      <w:pPr>
        <w:autoSpaceDE w:val="0"/>
        <w:autoSpaceDN w:val="0"/>
        <w:adjustRightInd w:val="0"/>
        <w:rPr>
          <w:rFonts w:ascii="Arial" w:hAnsi="Arial" w:cs="Arial"/>
          <w:snapToGrid w:val="0"/>
          <w:lang w:val="en-NZ"/>
        </w:rPr>
      </w:pPr>
      <w:r w:rsidRPr="009972A7">
        <w:rPr>
          <w:rFonts w:ascii="Arial" w:hAnsi="Arial" w:cs="Arial"/>
          <w:snapToGrid w:val="0"/>
          <w:lang w:val="en-NZ"/>
        </w:rPr>
        <w:t xml:space="preserve">A voluntary CoP </w:t>
      </w:r>
      <w:r w:rsidR="0036075B">
        <w:rPr>
          <w:rFonts w:ascii="Arial" w:hAnsi="Arial" w:cs="Arial"/>
          <w:snapToGrid w:val="0"/>
          <w:lang w:val="en-NZ"/>
        </w:rPr>
        <w:t>to disclose energy content on labels</w:t>
      </w:r>
      <w:r w:rsidRPr="009972A7">
        <w:rPr>
          <w:rFonts w:ascii="Arial" w:hAnsi="Arial" w:cs="Arial"/>
          <w:snapToGrid w:val="0"/>
          <w:lang w:val="en-NZ"/>
        </w:rPr>
        <w:t xml:space="preserve"> would </w:t>
      </w:r>
      <w:r w:rsidR="00F84D6C">
        <w:rPr>
          <w:rFonts w:ascii="Arial" w:hAnsi="Arial" w:cs="Arial"/>
          <w:snapToGrid w:val="0"/>
          <w:lang w:val="en-NZ"/>
        </w:rPr>
        <w:t>unlikel</w:t>
      </w:r>
      <w:r w:rsidR="004E372A">
        <w:rPr>
          <w:rFonts w:ascii="Arial" w:hAnsi="Arial" w:cs="Arial"/>
          <w:snapToGrid w:val="0"/>
          <w:lang w:val="en-NZ"/>
        </w:rPr>
        <w:t xml:space="preserve">y </w:t>
      </w:r>
      <w:r w:rsidR="00BF24C2">
        <w:rPr>
          <w:rFonts w:ascii="Arial" w:hAnsi="Arial" w:cs="Arial"/>
          <w:snapToGrid w:val="0"/>
          <w:lang w:val="en-NZ"/>
        </w:rPr>
        <w:t xml:space="preserve">adequately </w:t>
      </w:r>
      <w:r w:rsidRPr="009972A7">
        <w:rPr>
          <w:rFonts w:ascii="Arial" w:hAnsi="Arial" w:cs="Arial"/>
          <w:snapToGrid w:val="0"/>
          <w:lang w:val="en-NZ"/>
        </w:rPr>
        <w:t>address the problem of lack of energy content information on the label of alcoholic beverages</w:t>
      </w:r>
      <w:r w:rsidR="00F84D6C">
        <w:rPr>
          <w:rFonts w:ascii="Arial" w:hAnsi="Arial" w:cs="Arial"/>
          <w:snapToGrid w:val="0"/>
          <w:lang w:val="en-NZ"/>
        </w:rPr>
        <w:t xml:space="preserve">, given </w:t>
      </w:r>
      <w:r w:rsidR="001F34E7">
        <w:rPr>
          <w:rFonts w:ascii="Arial" w:hAnsi="Arial" w:cs="Arial"/>
          <w:snapToGrid w:val="0"/>
          <w:lang w:val="en-NZ"/>
        </w:rPr>
        <w:t xml:space="preserve">the </w:t>
      </w:r>
      <w:r w:rsidR="007D7267">
        <w:rPr>
          <w:rFonts w:ascii="Arial" w:hAnsi="Arial" w:cs="Arial"/>
          <w:snapToGrid w:val="0"/>
          <w:lang w:val="en-NZ"/>
        </w:rPr>
        <w:t xml:space="preserve">current </w:t>
      </w:r>
      <w:r w:rsidR="00CA2B15">
        <w:rPr>
          <w:rFonts w:ascii="Arial" w:hAnsi="Arial" w:cs="Arial"/>
          <w:snapToGrid w:val="0"/>
          <w:lang w:val="en-NZ"/>
        </w:rPr>
        <w:t xml:space="preserve">limited uptake </w:t>
      </w:r>
      <w:r w:rsidR="00F84D6C">
        <w:rPr>
          <w:rFonts w:ascii="Arial" w:hAnsi="Arial" w:cs="Arial"/>
          <w:snapToGrid w:val="0"/>
          <w:lang w:val="en-NZ"/>
        </w:rPr>
        <w:t xml:space="preserve">of voluntary </w:t>
      </w:r>
      <w:r w:rsidR="005E1D43">
        <w:rPr>
          <w:rFonts w:ascii="Arial" w:hAnsi="Arial" w:cs="Arial"/>
          <w:snapToGrid w:val="0"/>
          <w:lang w:val="en-NZ"/>
        </w:rPr>
        <w:t>NIPs</w:t>
      </w:r>
      <w:r w:rsidR="0023733F">
        <w:rPr>
          <w:rFonts w:ascii="Arial" w:hAnsi="Arial" w:cs="Arial"/>
          <w:snapToGrid w:val="0"/>
          <w:lang w:val="en-NZ"/>
        </w:rPr>
        <w:t xml:space="preserve"> and incentives </w:t>
      </w:r>
      <w:r w:rsidR="001F34E7">
        <w:rPr>
          <w:rFonts w:ascii="Arial" w:hAnsi="Arial" w:cs="Arial"/>
          <w:snapToGrid w:val="0"/>
          <w:lang w:val="en-NZ"/>
        </w:rPr>
        <w:t xml:space="preserve">for </w:t>
      </w:r>
      <w:r w:rsidR="00A66FAE">
        <w:rPr>
          <w:rFonts w:ascii="Arial" w:hAnsi="Arial" w:cs="Arial"/>
          <w:snapToGrid w:val="0"/>
          <w:lang w:val="en-NZ"/>
        </w:rPr>
        <w:t xml:space="preserve">some producers not to disclose such </w:t>
      </w:r>
      <w:r w:rsidR="00A66FAE">
        <w:rPr>
          <w:rFonts w:ascii="Arial" w:hAnsi="Arial" w:cs="Arial"/>
          <w:snapToGrid w:val="0"/>
          <w:lang w:val="en-NZ"/>
        </w:rPr>
        <w:lastRenderedPageBreak/>
        <w:t>information</w:t>
      </w:r>
      <w:r w:rsidR="000E0C9A">
        <w:rPr>
          <w:rFonts w:ascii="Arial" w:hAnsi="Arial" w:cs="Arial"/>
          <w:snapToGrid w:val="0"/>
          <w:lang w:val="en-NZ"/>
        </w:rPr>
        <w:t xml:space="preserve">, such as </w:t>
      </w:r>
      <w:r w:rsidR="00D64ECE">
        <w:rPr>
          <w:rFonts w:ascii="Arial" w:hAnsi="Arial" w:cs="Arial"/>
          <w:snapToGrid w:val="0"/>
          <w:lang w:val="en-NZ"/>
        </w:rPr>
        <w:t xml:space="preserve">a </w:t>
      </w:r>
      <w:r w:rsidR="003A4A54">
        <w:rPr>
          <w:rFonts w:ascii="Arial" w:hAnsi="Arial" w:cs="Arial"/>
          <w:snapToGrid w:val="0"/>
          <w:lang w:val="en-NZ"/>
        </w:rPr>
        <w:t xml:space="preserve">disclosed energy content </w:t>
      </w:r>
      <w:r w:rsidR="00061AE6">
        <w:rPr>
          <w:rFonts w:ascii="Arial" w:hAnsi="Arial" w:cs="Arial"/>
          <w:snapToGrid w:val="0"/>
          <w:lang w:val="en-NZ"/>
        </w:rPr>
        <w:t xml:space="preserve">making their product </w:t>
      </w:r>
      <w:r w:rsidR="007C1391">
        <w:rPr>
          <w:rFonts w:ascii="Arial" w:hAnsi="Arial" w:cs="Arial"/>
          <w:snapToGrid w:val="0"/>
          <w:lang w:val="en-NZ"/>
        </w:rPr>
        <w:t>seem</w:t>
      </w:r>
      <w:r w:rsidR="00061AE6">
        <w:rPr>
          <w:rFonts w:ascii="Arial" w:hAnsi="Arial" w:cs="Arial"/>
          <w:snapToGrid w:val="0"/>
          <w:lang w:val="en-NZ"/>
        </w:rPr>
        <w:t xml:space="preserve"> less appealing</w:t>
      </w:r>
      <w:r w:rsidRPr="009972A7">
        <w:rPr>
          <w:rFonts w:ascii="Arial" w:hAnsi="Arial" w:cs="Arial"/>
          <w:snapToGrid w:val="0"/>
          <w:lang w:val="en-NZ"/>
        </w:rPr>
        <w:t>.</w:t>
      </w:r>
      <w:r w:rsidR="004935E1" w:rsidRPr="004935E1">
        <w:rPr>
          <w:rFonts w:ascii="Segoe UI" w:hAnsi="Segoe UI" w:cs="Segoe UI"/>
          <w:sz w:val="18"/>
          <w:szCs w:val="18"/>
        </w:rPr>
        <w:t xml:space="preserve"> </w:t>
      </w:r>
      <w:r w:rsidR="004E372A">
        <w:rPr>
          <w:rFonts w:ascii="Arial" w:hAnsi="Arial" w:cs="Arial"/>
          <w:snapToGrid w:val="0"/>
        </w:rPr>
        <w:t>Formats</w:t>
      </w:r>
      <w:r w:rsidR="004935E1" w:rsidRPr="004935E1">
        <w:rPr>
          <w:rFonts w:ascii="Arial" w:hAnsi="Arial" w:cs="Arial"/>
          <w:snapToGrid w:val="0"/>
        </w:rPr>
        <w:t xml:space="preserve"> </w:t>
      </w:r>
      <w:r w:rsidR="004E372A">
        <w:rPr>
          <w:rFonts w:ascii="Arial" w:hAnsi="Arial" w:cs="Arial"/>
          <w:snapToGrid w:val="0"/>
        </w:rPr>
        <w:t>chosen by producers</w:t>
      </w:r>
      <w:r w:rsidR="004935E1" w:rsidRPr="004935E1">
        <w:rPr>
          <w:rFonts w:ascii="Arial" w:hAnsi="Arial" w:cs="Arial"/>
          <w:snapToGrid w:val="0"/>
        </w:rPr>
        <w:t xml:space="preserve"> may also be inconsistent with prescribed requirements for nutrition labelling on other packaged foods and </w:t>
      </w:r>
      <w:r w:rsidR="00575F21">
        <w:rPr>
          <w:rFonts w:ascii="Arial" w:hAnsi="Arial" w:cs="Arial"/>
          <w:snapToGrid w:val="0"/>
        </w:rPr>
        <w:t>may</w:t>
      </w:r>
      <w:r w:rsidR="004935E1" w:rsidRPr="004935E1">
        <w:rPr>
          <w:rFonts w:ascii="Arial" w:hAnsi="Arial" w:cs="Arial"/>
          <w:snapToGrid w:val="0"/>
        </w:rPr>
        <w:t xml:space="preserve"> result in inconsistent energy labelling across alcoholic beverages.</w:t>
      </w:r>
      <w:r w:rsidR="0023228E">
        <w:rPr>
          <w:rFonts w:ascii="Arial" w:hAnsi="Arial" w:cs="Arial"/>
          <w:snapToGrid w:val="0"/>
        </w:rPr>
        <w:t xml:space="preserve"> </w:t>
      </w:r>
      <w:r w:rsidR="00FC5C28">
        <w:rPr>
          <w:rFonts w:ascii="Arial" w:hAnsi="Arial" w:cs="Arial"/>
          <w:snapToGrid w:val="0"/>
        </w:rPr>
        <w:t>I</w:t>
      </w:r>
      <w:r w:rsidR="0023228E">
        <w:rPr>
          <w:rFonts w:ascii="Arial" w:hAnsi="Arial" w:cs="Arial"/>
          <w:snapToGrid w:val="0"/>
        </w:rPr>
        <w:t>nconsiste</w:t>
      </w:r>
      <w:r w:rsidR="00FC5C28">
        <w:rPr>
          <w:rFonts w:ascii="Arial" w:hAnsi="Arial" w:cs="Arial"/>
          <w:snapToGrid w:val="0"/>
        </w:rPr>
        <w:t>nt</w:t>
      </w:r>
      <w:r w:rsidR="00330D65">
        <w:rPr>
          <w:rFonts w:ascii="Arial" w:hAnsi="Arial" w:cs="Arial"/>
          <w:snapToGrid w:val="0"/>
        </w:rPr>
        <w:t xml:space="preserve"> format</w:t>
      </w:r>
      <w:r w:rsidR="00FC5C28">
        <w:rPr>
          <w:rFonts w:ascii="Arial" w:hAnsi="Arial" w:cs="Arial"/>
          <w:snapToGrid w:val="0"/>
        </w:rPr>
        <w:t>s</w:t>
      </w:r>
      <w:r w:rsidR="0023228E">
        <w:rPr>
          <w:rFonts w:ascii="Arial" w:hAnsi="Arial" w:cs="Arial"/>
          <w:snapToGrid w:val="0"/>
        </w:rPr>
        <w:t xml:space="preserve"> would detract from the </w:t>
      </w:r>
      <w:r w:rsidR="000A1B10">
        <w:rPr>
          <w:rFonts w:ascii="Arial" w:hAnsi="Arial" w:cs="Arial"/>
          <w:snapToGrid w:val="0"/>
        </w:rPr>
        <w:t xml:space="preserve">policy </w:t>
      </w:r>
      <w:r w:rsidR="0023228E">
        <w:rPr>
          <w:rFonts w:ascii="Arial" w:hAnsi="Arial" w:cs="Arial"/>
          <w:snapToGrid w:val="0"/>
        </w:rPr>
        <w:t xml:space="preserve">objective to </w:t>
      </w:r>
      <w:r w:rsidR="0023228E">
        <w:rPr>
          <w:rFonts w:ascii="Arial" w:eastAsia="Arial" w:hAnsi="Arial" w:cs="Arial"/>
        </w:rPr>
        <w:t>p</w:t>
      </w:r>
      <w:r w:rsidR="0023228E" w:rsidRPr="1A79B7AB">
        <w:rPr>
          <w:rFonts w:ascii="Arial" w:eastAsia="Arial" w:hAnsi="Arial" w:cs="Arial"/>
        </w:rPr>
        <w:t>rovide readily accessible energy content information</w:t>
      </w:r>
      <w:r w:rsidR="00F9278E">
        <w:rPr>
          <w:rFonts w:ascii="Arial" w:eastAsia="Arial" w:hAnsi="Arial" w:cs="Arial"/>
        </w:rPr>
        <w:t xml:space="preserve"> across </w:t>
      </w:r>
      <w:r w:rsidR="008316D6">
        <w:rPr>
          <w:rFonts w:ascii="Arial" w:eastAsia="Arial" w:hAnsi="Arial" w:cs="Arial"/>
        </w:rPr>
        <w:t xml:space="preserve">all </w:t>
      </w:r>
      <w:r w:rsidR="00F54832">
        <w:rPr>
          <w:rFonts w:ascii="Arial" w:eastAsia="Arial" w:hAnsi="Arial" w:cs="Arial"/>
        </w:rPr>
        <w:t xml:space="preserve">in-scope </w:t>
      </w:r>
      <w:r w:rsidR="00F9278E">
        <w:rPr>
          <w:rFonts w:ascii="Arial" w:eastAsia="Arial" w:hAnsi="Arial" w:cs="Arial"/>
        </w:rPr>
        <w:t>alcoholic beverages.</w:t>
      </w:r>
      <w:r w:rsidRPr="009972A7">
        <w:rPr>
          <w:rFonts w:ascii="Arial" w:hAnsi="Arial" w:cs="Arial"/>
          <w:snapToGrid w:val="0"/>
          <w:lang w:val="en-NZ"/>
        </w:rPr>
        <w:t xml:space="preserve"> </w:t>
      </w:r>
      <w:r>
        <w:rPr>
          <w:rFonts w:ascii="Arial" w:hAnsi="Arial" w:cs="Arial"/>
          <w:snapToGrid w:val="0"/>
          <w:lang w:val="en-NZ"/>
        </w:rPr>
        <w:t>T</w:t>
      </w:r>
      <w:r w:rsidRPr="009972A7">
        <w:rPr>
          <w:rFonts w:ascii="Arial" w:hAnsi="Arial" w:cs="Arial"/>
          <w:snapToGrid w:val="0"/>
          <w:lang w:val="en-NZ"/>
        </w:rPr>
        <w:t xml:space="preserve">here was no support from any stakeholder groups for </w:t>
      </w:r>
      <w:r>
        <w:rPr>
          <w:rFonts w:ascii="Arial" w:hAnsi="Arial" w:cs="Arial"/>
          <w:snapToGrid w:val="0"/>
          <w:lang w:val="en-NZ"/>
        </w:rPr>
        <w:t xml:space="preserve">a </w:t>
      </w:r>
      <w:r w:rsidRPr="009972A7">
        <w:rPr>
          <w:rFonts w:ascii="Arial" w:hAnsi="Arial" w:cs="Arial"/>
          <w:snapToGrid w:val="0"/>
          <w:lang w:val="en-NZ"/>
        </w:rPr>
        <w:t>voluntary CoP</w:t>
      </w:r>
      <w:r w:rsidR="00054628">
        <w:rPr>
          <w:rFonts w:ascii="Arial" w:hAnsi="Arial" w:cs="Arial"/>
          <w:snapToGrid w:val="0"/>
          <w:lang w:val="en-NZ"/>
        </w:rPr>
        <w:t xml:space="preserve"> during early consultation (FSANZ 2021</w:t>
      </w:r>
      <w:r w:rsidR="00471F14">
        <w:rPr>
          <w:rFonts w:ascii="Arial" w:hAnsi="Arial" w:cs="Arial"/>
          <w:snapToGrid w:val="0"/>
          <w:lang w:val="en-NZ"/>
        </w:rPr>
        <w:t>d</w:t>
      </w:r>
      <w:r w:rsidR="00054628">
        <w:rPr>
          <w:rFonts w:ascii="Arial" w:hAnsi="Arial" w:cs="Arial"/>
          <w:snapToGrid w:val="0"/>
          <w:lang w:val="en-NZ"/>
        </w:rPr>
        <w:t>)</w:t>
      </w:r>
      <w:r w:rsidRPr="009972A7">
        <w:rPr>
          <w:rFonts w:ascii="Arial" w:hAnsi="Arial" w:cs="Arial"/>
          <w:snapToGrid w:val="0"/>
          <w:lang w:val="en-NZ"/>
        </w:rPr>
        <w:t>.</w:t>
      </w:r>
    </w:p>
    <w:p w14:paraId="599CC907" w14:textId="27F1C1DD" w:rsidR="009512D3" w:rsidRDefault="009972A7" w:rsidP="00EA2682">
      <w:pPr>
        <w:rPr>
          <w:rFonts w:ascii="Arial" w:hAnsi="Arial" w:cs="Arial"/>
          <w:i/>
          <w:iCs/>
          <w:color w:val="000000"/>
          <w:lang w:val="en-NZ"/>
        </w:rPr>
      </w:pPr>
      <w:r w:rsidRPr="009972A7">
        <w:rPr>
          <w:rFonts w:ascii="Arial" w:hAnsi="Arial" w:cs="Arial"/>
          <w:i/>
          <w:iCs/>
          <w:color w:val="000000"/>
          <w:lang w:val="en-NZ"/>
        </w:rPr>
        <w:t>Permit energy content information to be provided voluntarily in a prescribed format</w:t>
      </w:r>
    </w:p>
    <w:p w14:paraId="4474CD41" w14:textId="0F0FA311" w:rsidR="00286DDB" w:rsidRDefault="009972A7" w:rsidP="00AA7AD0">
      <w:pPr>
        <w:rPr>
          <w:rFonts w:ascii="Arial" w:eastAsia="Arial" w:hAnsi="Arial" w:cs="Arial"/>
        </w:rPr>
      </w:pPr>
      <w:r w:rsidRPr="009972A7">
        <w:rPr>
          <w:rFonts w:ascii="Arial" w:hAnsi="Arial" w:cs="Arial"/>
          <w:snapToGrid w:val="0"/>
          <w:lang w:val="en-NZ"/>
        </w:rPr>
        <w:t xml:space="preserve">This </w:t>
      </w:r>
      <w:r w:rsidR="006A354A">
        <w:rPr>
          <w:rFonts w:ascii="Arial" w:hAnsi="Arial" w:cs="Arial"/>
          <w:snapToGrid w:val="0"/>
          <w:lang w:val="en-NZ"/>
        </w:rPr>
        <w:t xml:space="preserve">was an </w:t>
      </w:r>
      <w:r w:rsidRPr="009972A7">
        <w:rPr>
          <w:rFonts w:ascii="Arial" w:hAnsi="Arial" w:cs="Arial"/>
          <w:snapToGrid w:val="0"/>
          <w:lang w:val="en-NZ"/>
        </w:rPr>
        <w:t>option formally consulted on in the CFS</w:t>
      </w:r>
      <w:r>
        <w:rPr>
          <w:rFonts w:ascii="Arial" w:hAnsi="Arial" w:cs="Arial"/>
          <w:snapToGrid w:val="0"/>
          <w:lang w:val="en-NZ"/>
        </w:rPr>
        <w:t xml:space="preserve">. </w:t>
      </w:r>
      <w:r w:rsidR="00CD0200">
        <w:rPr>
          <w:rFonts w:ascii="Arial" w:hAnsi="Arial" w:cs="Arial"/>
          <w:snapToGrid w:val="0"/>
          <w:lang w:val="en-NZ"/>
        </w:rPr>
        <w:t xml:space="preserve">The </w:t>
      </w:r>
      <w:r w:rsidR="00CD0200" w:rsidRPr="00CD0200">
        <w:rPr>
          <w:rFonts w:ascii="Arial" w:hAnsi="Arial" w:cs="Arial"/>
          <w:snapToGrid w:val="0"/>
          <w:lang w:val="en-NZ"/>
        </w:rPr>
        <w:t xml:space="preserve">majority of submitters supported </w:t>
      </w:r>
      <w:r w:rsidR="00FC1F97">
        <w:rPr>
          <w:rFonts w:ascii="Arial" w:hAnsi="Arial" w:cs="Arial"/>
          <w:snapToGrid w:val="0"/>
          <w:lang w:val="en-NZ"/>
        </w:rPr>
        <w:t xml:space="preserve">a </w:t>
      </w:r>
      <w:r w:rsidR="00CD0200" w:rsidRPr="00CD0200">
        <w:rPr>
          <w:rFonts w:ascii="Arial" w:hAnsi="Arial" w:cs="Arial"/>
          <w:snapToGrid w:val="0"/>
          <w:lang w:val="en-NZ"/>
        </w:rPr>
        <w:t xml:space="preserve">mandatory </w:t>
      </w:r>
      <w:r w:rsidR="00FC1F97">
        <w:rPr>
          <w:rFonts w:ascii="Arial" w:hAnsi="Arial" w:cs="Arial"/>
          <w:snapToGrid w:val="0"/>
          <w:lang w:val="en-NZ"/>
        </w:rPr>
        <w:t xml:space="preserve">approach </w:t>
      </w:r>
      <w:r w:rsidR="00CD0200" w:rsidRPr="00CD0200">
        <w:rPr>
          <w:rFonts w:ascii="Arial" w:hAnsi="Arial" w:cs="Arial"/>
          <w:snapToGrid w:val="0"/>
          <w:lang w:val="en-NZ"/>
        </w:rPr>
        <w:t xml:space="preserve">and not </w:t>
      </w:r>
      <w:r w:rsidR="00957A71">
        <w:rPr>
          <w:rFonts w:ascii="Arial" w:hAnsi="Arial" w:cs="Arial"/>
          <w:snapToGrid w:val="0"/>
          <w:lang w:val="en-NZ"/>
        </w:rPr>
        <w:t xml:space="preserve">a </w:t>
      </w:r>
      <w:r w:rsidR="00CD0200" w:rsidRPr="00CD0200">
        <w:rPr>
          <w:rFonts w:ascii="Arial" w:hAnsi="Arial" w:cs="Arial"/>
          <w:snapToGrid w:val="0"/>
          <w:lang w:val="en-NZ"/>
        </w:rPr>
        <w:t>voluntary</w:t>
      </w:r>
      <w:r w:rsidR="00957A71">
        <w:rPr>
          <w:rFonts w:ascii="Arial" w:hAnsi="Arial" w:cs="Arial"/>
          <w:snapToGrid w:val="0"/>
          <w:lang w:val="en-NZ"/>
        </w:rPr>
        <w:t xml:space="preserve"> approach</w:t>
      </w:r>
      <w:r w:rsidR="00CD0200" w:rsidRPr="00CD0200">
        <w:rPr>
          <w:rFonts w:ascii="Arial" w:hAnsi="Arial" w:cs="Arial"/>
          <w:snapToGrid w:val="0"/>
          <w:lang w:val="en-NZ"/>
        </w:rPr>
        <w:t>. Reasons provided included observations that voluntary labelling initiatives are unsuccessful and can result in inconsistent uptake which may indirectly promote consumption of alcohol.</w:t>
      </w:r>
      <w:r w:rsidR="00CD0200">
        <w:rPr>
          <w:rFonts w:ascii="Arial" w:hAnsi="Arial" w:cs="Arial"/>
          <w:snapToGrid w:val="0"/>
          <w:lang w:val="en-NZ"/>
        </w:rPr>
        <w:t xml:space="preserve"> As </w:t>
      </w:r>
      <w:r w:rsidR="006A354A">
        <w:rPr>
          <w:rFonts w:ascii="Arial" w:hAnsi="Arial" w:cs="Arial"/>
          <w:snapToGrid w:val="0"/>
          <w:lang w:val="en-NZ"/>
        </w:rPr>
        <w:t>stated</w:t>
      </w:r>
      <w:r w:rsidR="00CD0200">
        <w:rPr>
          <w:rFonts w:ascii="Arial" w:hAnsi="Arial" w:cs="Arial"/>
          <w:snapToGrid w:val="0"/>
          <w:lang w:val="en-NZ"/>
        </w:rPr>
        <w:t xml:space="preserve"> in section 3, the evidence has shown that under current permissions in the Code for voluntary NIPs, only around 2% of </w:t>
      </w:r>
      <w:r w:rsidR="00344588">
        <w:rPr>
          <w:rFonts w:ascii="Arial" w:hAnsi="Arial" w:cs="Arial"/>
          <w:snapToGrid w:val="0"/>
          <w:lang w:val="en-NZ"/>
        </w:rPr>
        <w:t xml:space="preserve">alcoholic beverage </w:t>
      </w:r>
      <w:r w:rsidR="00CD0200">
        <w:rPr>
          <w:rFonts w:ascii="Arial" w:hAnsi="Arial" w:cs="Arial"/>
          <w:snapToGrid w:val="0"/>
          <w:lang w:val="en-NZ"/>
        </w:rPr>
        <w:t>SKUs have included this voluntary energy content information</w:t>
      </w:r>
      <w:r w:rsidR="00CA7813">
        <w:rPr>
          <w:rFonts w:ascii="Arial" w:hAnsi="Arial" w:cs="Arial"/>
          <w:snapToGrid w:val="0"/>
          <w:lang w:val="en-NZ"/>
        </w:rPr>
        <w:t xml:space="preserve"> on label</w:t>
      </w:r>
      <w:r w:rsidR="00CD0200">
        <w:rPr>
          <w:rFonts w:ascii="Arial" w:hAnsi="Arial" w:cs="Arial"/>
          <w:snapToGrid w:val="0"/>
          <w:lang w:val="en-NZ"/>
        </w:rPr>
        <w:t>.</w:t>
      </w:r>
      <w:r w:rsidR="004B11B0">
        <w:rPr>
          <w:rFonts w:ascii="Arial" w:hAnsi="Arial" w:cs="Arial"/>
          <w:snapToGrid w:val="0"/>
          <w:lang w:val="en-NZ"/>
        </w:rPr>
        <w:t xml:space="preserve"> </w:t>
      </w:r>
      <w:r w:rsidR="00F041F3">
        <w:rPr>
          <w:rFonts w:ascii="Arial" w:hAnsi="Arial" w:cs="Arial"/>
          <w:snapToGrid w:val="0"/>
          <w:lang w:val="en-NZ"/>
        </w:rPr>
        <w:t xml:space="preserve">This does not </w:t>
      </w:r>
      <w:r w:rsidR="00597199">
        <w:rPr>
          <w:rFonts w:ascii="Arial" w:hAnsi="Arial" w:cs="Arial"/>
          <w:snapToGrid w:val="0"/>
          <w:lang w:val="en-NZ"/>
        </w:rPr>
        <w:t>provide</w:t>
      </w:r>
      <w:r w:rsidR="00F041F3">
        <w:rPr>
          <w:rFonts w:ascii="Arial" w:hAnsi="Arial" w:cs="Arial"/>
          <w:snapToGrid w:val="0"/>
          <w:lang w:val="en-NZ"/>
        </w:rPr>
        <w:t xml:space="preserve"> confidence that </w:t>
      </w:r>
      <w:r w:rsidR="00344588">
        <w:rPr>
          <w:rFonts w:ascii="Arial" w:hAnsi="Arial" w:cs="Arial"/>
          <w:snapToGrid w:val="0"/>
          <w:lang w:val="en-NZ"/>
        </w:rPr>
        <w:t xml:space="preserve">a </w:t>
      </w:r>
      <w:r w:rsidR="00597199">
        <w:rPr>
          <w:rFonts w:ascii="Arial" w:hAnsi="Arial" w:cs="Arial"/>
          <w:snapToGrid w:val="0"/>
          <w:lang w:val="en-NZ"/>
        </w:rPr>
        <w:t xml:space="preserve">voluntary </w:t>
      </w:r>
      <w:r w:rsidR="00B36CB3">
        <w:rPr>
          <w:rFonts w:ascii="Arial" w:hAnsi="Arial" w:cs="Arial"/>
          <w:snapToGrid w:val="0"/>
          <w:lang w:val="en-NZ"/>
        </w:rPr>
        <w:t>initiative</w:t>
      </w:r>
      <w:r w:rsidR="00597199">
        <w:rPr>
          <w:rFonts w:ascii="Arial" w:hAnsi="Arial" w:cs="Arial"/>
          <w:snapToGrid w:val="0"/>
          <w:lang w:val="en-NZ"/>
        </w:rPr>
        <w:t xml:space="preserve"> would meet the </w:t>
      </w:r>
      <w:r w:rsidR="000A1B10">
        <w:rPr>
          <w:rFonts w:ascii="Arial" w:hAnsi="Arial" w:cs="Arial"/>
          <w:snapToGrid w:val="0"/>
          <w:lang w:val="en-NZ"/>
        </w:rPr>
        <w:t>policy</w:t>
      </w:r>
      <w:r w:rsidR="00597199">
        <w:rPr>
          <w:rFonts w:ascii="Arial" w:hAnsi="Arial" w:cs="Arial"/>
          <w:snapToGrid w:val="0"/>
          <w:lang w:val="en-NZ"/>
        </w:rPr>
        <w:t xml:space="preserve"> objective for all in-scope alcoholic beverages.</w:t>
      </w:r>
    </w:p>
    <w:p w14:paraId="53F4BC53" w14:textId="7099B7C9" w:rsidR="007349B0" w:rsidRPr="00B42080" w:rsidRDefault="00B42080" w:rsidP="000828D1">
      <w:pPr>
        <w:rPr>
          <w:rFonts w:ascii="Arial" w:eastAsia="Arial" w:hAnsi="Arial" w:cs="Arial"/>
          <w:i/>
          <w:iCs/>
        </w:rPr>
      </w:pPr>
      <w:r>
        <w:rPr>
          <w:rFonts w:ascii="Arial" w:eastAsia="Arial" w:hAnsi="Arial" w:cs="Arial"/>
          <w:i/>
          <w:iCs/>
        </w:rPr>
        <w:t>D</w:t>
      </w:r>
      <w:r w:rsidR="00D006B3" w:rsidRPr="00B42080">
        <w:rPr>
          <w:rFonts w:ascii="Arial" w:eastAsia="Arial" w:hAnsi="Arial" w:cs="Arial"/>
          <w:i/>
          <w:iCs/>
        </w:rPr>
        <w:t xml:space="preserve">igital linking to off-label, web-based information </w:t>
      </w:r>
    </w:p>
    <w:p w14:paraId="25C8A37F" w14:textId="77777777" w:rsidR="00AA7AD0" w:rsidRDefault="00AA7AD0" w:rsidP="6A15B411">
      <w:pPr>
        <w:rPr>
          <w:rFonts w:ascii="Arial" w:hAnsi="Arial" w:cs="Arial"/>
          <w:snapToGrid w:val="0"/>
        </w:rPr>
      </w:pPr>
      <w:r w:rsidRPr="6A15B411">
        <w:rPr>
          <w:rFonts w:ascii="Arial" w:hAnsi="Arial" w:cs="Arial"/>
          <w:snapToGrid w:val="0"/>
        </w:rPr>
        <w:t xml:space="preserve">Under this option, a digital link e.g. QR code on the label of alcoholic beverages would direct consumers to nutrition information provided online on industry websites. </w:t>
      </w:r>
    </w:p>
    <w:p w14:paraId="42E2FF6D" w14:textId="31ECBEF0" w:rsidR="006A05F7" w:rsidRPr="00AA7AD0" w:rsidRDefault="006A05F7" w:rsidP="6A15B411">
      <w:pPr>
        <w:rPr>
          <w:rFonts w:ascii="Arial" w:eastAsia="Arial" w:hAnsi="Arial" w:cs="Arial"/>
        </w:rPr>
      </w:pPr>
      <w:r w:rsidRPr="6A15B411">
        <w:rPr>
          <w:rFonts w:ascii="Arial" w:eastAsia="Arial" w:hAnsi="Arial" w:cs="Arial"/>
        </w:rPr>
        <w:t xml:space="preserve">Some alcohol beverage producers and industry associations advocate for this option. </w:t>
      </w:r>
      <w:r w:rsidR="00CA7813" w:rsidRPr="6A15B411">
        <w:rPr>
          <w:rFonts w:ascii="Arial" w:eastAsia="Arial" w:hAnsi="Arial" w:cs="Arial"/>
        </w:rPr>
        <w:t>They argue m</w:t>
      </w:r>
      <w:r w:rsidRPr="6A15B411">
        <w:rPr>
          <w:rFonts w:ascii="Arial" w:eastAsia="Arial" w:hAnsi="Arial" w:cs="Arial"/>
        </w:rPr>
        <w:t>ost people have smart phones so can access websites relatively more quick</w:t>
      </w:r>
      <w:r w:rsidR="00A36F61" w:rsidRPr="6A15B411">
        <w:rPr>
          <w:rFonts w:ascii="Arial" w:eastAsia="Arial" w:hAnsi="Arial" w:cs="Arial"/>
        </w:rPr>
        <w:t>l</w:t>
      </w:r>
      <w:r w:rsidRPr="6A15B411">
        <w:rPr>
          <w:rFonts w:ascii="Arial" w:eastAsia="Arial" w:hAnsi="Arial" w:cs="Arial"/>
        </w:rPr>
        <w:t xml:space="preserve">y than before and </w:t>
      </w:r>
      <w:r w:rsidR="00CA7813" w:rsidRPr="6A15B411">
        <w:rPr>
          <w:rFonts w:ascii="Arial" w:eastAsia="Arial" w:hAnsi="Arial" w:cs="Arial"/>
        </w:rPr>
        <w:t>are</w:t>
      </w:r>
      <w:r w:rsidRPr="6A15B411">
        <w:rPr>
          <w:rFonts w:ascii="Arial" w:eastAsia="Arial" w:hAnsi="Arial" w:cs="Arial"/>
        </w:rPr>
        <w:t xml:space="preserve"> accustomed to using QR Codes. </w:t>
      </w:r>
    </w:p>
    <w:p w14:paraId="70E91834" w14:textId="6F479496" w:rsidR="006F148A" w:rsidRDefault="00AA7AD0" w:rsidP="00AA7AD0">
      <w:pPr>
        <w:rPr>
          <w:rFonts w:ascii="Arial" w:hAnsi="Arial" w:cs="Arial"/>
          <w:snapToGrid w:val="0"/>
        </w:rPr>
      </w:pPr>
      <w:r w:rsidRPr="00AA7AD0">
        <w:rPr>
          <w:rFonts w:ascii="Arial" w:hAnsi="Arial" w:cs="Arial"/>
          <w:snapToGrid w:val="0"/>
        </w:rPr>
        <w:t>Digital linking to off-label information</w:t>
      </w:r>
      <w:r w:rsidR="006A05F7">
        <w:rPr>
          <w:rFonts w:ascii="Arial" w:hAnsi="Arial" w:cs="Arial"/>
          <w:snapToGrid w:val="0"/>
        </w:rPr>
        <w:t>, however,</w:t>
      </w:r>
      <w:r w:rsidRPr="00AA7AD0">
        <w:rPr>
          <w:rFonts w:ascii="Arial" w:hAnsi="Arial" w:cs="Arial"/>
          <w:snapToGrid w:val="0"/>
        </w:rPr>
        <w:t xml:space="preserve"> </w:t>
      </w:r>
      <w:r w:rsidR="0067262A">
        <w:rPr>
          <w:rFonts w:ascii="Arial" w:hAnsi="Arial" w:cs="Arial"/>
          <w:snapToGrid w:val="0"/>
        </w:rPr>
        <w:t xml:space="preserve">would </w:t>
      </w:r>
      <w:r w:rsidRPr="00AA7AD0">
        <w:rPr>
          <w:rFonts w:ascii="Arial" w:hAnsi="Arial" w:cs="Arial"/>
          <w:snapToGrid w:val="0"/>
        </w:rPr>
        <w:t xml:space="preserve">not provide consumers with </w:t>
      </w:r>
      <w:r w:rsidR="0067262A">
        <w:rPr>
          <w:rFonts w:ascii="Arial" w:hAnsi="Arial" w:cs="Arial"/>
          <w:snapToGrid w:val="0"/>
        </w:rPr>
        <w:t xml:space="preserve">readily </w:t>
      </w:r>
      <w:r w:rsidRPr="00AA7AD0">
        <w:rPr>
          <w:rFonts w:ascii="Arial" w:hAnsi="Arial" w:cs="Arial"/>
          <w:snapToGrid w:val="0"/>
        </w:rPr>
        <w:t xml:space="preserve">accessible </w:t>
      </w:r>
      <w:r w:rsidR="0067262A">
        <w:rPr>
          <w:rFonts w:ascii="Arial" w:hAnsi="Arial" w:cs="Arial"/>
          <w:snapToGrid w:val="0"/>
        </w:rPr>
        <w:t xml:space="preserve">energy content </w:t>
      </w:r>
      <w:r w:rsidRPr="00AA7AD0">
        <w:rPr>
          <w:rFonts w:ascii="Arial" w:hAnsi="Arial" w:cs="Arial"/>
          <w:snapToGrid w:val="0"/>
        </w:rPr>
        <w:t>information at point</w:t>
      </w:r>
      <w:r w:rsidR="002C13BE">
        <w:rPr>
          <w:rFonts w:ascii="Arial" w:hAnsi="Arial" w:cs="Arial"/>
          <w:snapToGrid w:val="0"/>
        </w:rPr>
        <w:t>-</w:t>
      </w:r>
      <w:r w:rsidRPr="00AA7AD0">
        <w:rPr>
          <w:rFonts w:ascii="Arial" w:hAnsi="Arial" w:cs="Arial"/>
          <w:snapToGrid w:val="0"/>
        </w:rPr>
        <w:t>of</w:t>
      </w:r>
      <w:r w:rsidR="002C13BE">
        <w:rPr>
          <w:rFonts w:ascii="Arial" w:hAnsi="Arial" w:cs="Arial"/>
          <w:snapToGrid w:val="0"/>
        </w:rPr>
        <w:t>-</w:t>
      </w:r>
      <w:r>
        <w:rPr>
          <w:rFonts w:ascii="Arial" w:hAnsi="Arial" w:cs="Arial"/>
          <w:snapToGrid w:val="0"/>
        </w:rPr>
        <w:t xml:space="preserve">purchase </w:t>
      </w:r>
      <w:r w:rsidRPr="00AA7AD0">
        <w:rPr>
          <w:rFonts w:ascii="Arial" w:hAnsi="Arial" w:cs="Arial"/>
          <w:snapToGrid w:val="0"/>
        </w:rPr>
        <w:t xml:space="preserve">to enable them to make informed </w:t>
      </w:r>
      <w:r w:rsidR="0067262A">
        <w:rPr>
          <w:rFonts w:ascii="Arial" w:hAnsi="Arial" w:cs="Arial"/>
          <w:snapToGrid w:val="0"/>
        </w:rPr>
        <w:t>decisions</w:t>
      </w:r>
      <w:r w:rsidRPr="00AA7AD0">
        <w:rPr>
          <w:rFonts w:ascii="Arial" w:hAnsi="Arial" w:cs="Arial"/>
          <w:snapToGrid w:val="0"/>
        </w:rPr>
        <w:t xml:space="preserve">. </w:t>
      </w:r>
      <w:r w:rsidR="0067262A">
        <w:rPr>
          <w:rFonts w:ascii="Arial" w:hAnsi="Arial" w:cs="Arial"/>
          <w:snapToGrid w:val="0"/>
        </w:rPr>
        <w:t xml:space="preserve">Digital linking </w:t>
      </w:r>
      <w:r w:rsidRPr="00AA7AD0">
        <w:rPr>
          <w:rFonts w:ascii="Arial" w:hAnsi="Arial" w:cs="Arial"/>
          <w:snapToGrid w:val="0"/>
        </w:rPr>
        <w:t xml:space="preserve">requires more cognitive effort </w:t>
      </w:r>
      <w:r w:rsidR="0067262A">
        <w:rPr>
          <w:rFonts w:ascii="Arial" w:hAnsi="Arial" w:cs="Arial"/>
          <w:snapToGrid w:val="0"/>
        </w:rPr>
        <w:t xml:space="preserve">and often more time </w:t>
      </w:r>
      <w:r w:rsidRPr="00AA7AD0">
        <w:rPr>
          <w:rFonts w:ascii="Arial" w:hAnsi="Arial" w:cs="Arial"/>
          <w:snapToGrid w:val="0"/>
        </w:rPr>
        <w:t xml:space="preserve">to access </w:t>
      </w:r>
      <w:r w:rsidR="00891F77">
        <w:rPr>
          <w:rFonts w:ascii="Arial" w:hAnsi="Arial" w:cs="Arial"/>
          <w:snapToGrid w:val="0"/>
        </w:rPr>
        <w:t>specific</w:t>
      </w:r>
      <w:r w:rsidRPr="00AA7AD0">
        <w:rPr>
          <w:rFonts w:ascii="Arial" w:hAnsi="Arial" w:cs="Arial"/>
          <w:snapToGrid w:val="0"/>
        </w:rPr>
        <w:t xml:space="preserve"> information. This is inconsistent with policy guidance </w:t>
      </w:r>
      <w:r w:rsidR="00D26CF7">
        <w:rPr>
          <w:rFonts w:ascii="Arial" w:hAnsi="Arial" w:cs="Arial"/>
          <w:snapToGrid w:val="0"/>
        </w:rPr>
        <w:t xml:space="preserve">that </w:t>
      </w:r>
      <w:r w:rsidRPr="00AA7AD0">
        <w:rPr>
          <w:rFonts w:ascii="Arial" w:hAnsi="Arial" w:cs="Arial"/>
          <w:snapToGrid w:val="0"/>
        </w:rPr>
        <w:t>the information must be easily accessed.</w:t>
      </w:r>
      <w:r w:rsidR="0067262A">
        <w:rPr>
          <w:rFonts w:ascii="Arial" w:hAnsi="Arial" w:cs="Arial"/>
          <w:snapToGrid w:val="0"/>
        </w:rPr>
        <w:t xml:space="preserve"> </w:t>
      </w:r>
      <w:r w:rsidR="007C611E">
        <w:rPr>
          <w:rFonts w:ascii="Arial" w:hAnsi="Arial" w:cs="Arial"/>
          <w:snapToGrid w:val="0"/>
        </w:rPr>
        <w:t xml:space="preserve">A recent </w:t>
      </w:r>
      <w:r w:rsidR="005724E2">
        <w:rPr>
          <w:rFonts w:ascii="Arial" w:hAnsi="Arial" w:cs="Arial"/>
          <w:snapToGrid w:val="0"/>
        </w:rPr>
        <w:t>literature review</w:t>
      </w:r>
      <w:r w:rsidR="007C611E">
        <w:rPr>
          <w:rFonts w:ascii="Arial" w:hAnsi="Arial" w:cs="Arial"/>
          <w:snapToGrid w:val="0"/>
        </w:rPr>
        <w:t xml:space="preserve"> undertaken by the European Commission (</w:t>
      </w:r>
      <w:r w:rsidR="00490C64">
        <w:rPr>
          <w:rFonts w:ascii="Arial" w:hAnsi="Arial" w:cs="Arial"/>
          <w:snapToGrid w:val="0"/>
        </w:rPr>
        <w:t>Werle</w:t>
      </w:r>
      <w:r w:rsidR="00836B69">
        <w:rPr>
          <w:rFonts w:ascii="Arial" w:hAnsi="Arial" w:cs="Arial"/>
          <w:snapToGrid w:val="0"/>
        </w:rPr>
        <w:t> </w:t>
      </w:r>
      <w:r w:rsidR="00490C64">
        <w:rPr>
          <w:rFonts w:ascii="Arial" w:hAnsi="Arial" w:cs="Arial"/>
          <w:snapToGrid w:val="0"/>
        </w:rPr>
        <w:t>et</w:t>
      </w:r>
      <w:r w:rsidR="00836B69">
        <w:rPr>
          <w:rFonts w:ascii="Arial" w:hAnsi="Arial" w:cs="Arial"/>
          <w:snapToGrid w:val="0"/>
        </w:rPr>
        <w:t> </w:t>
      </w:r>
      <w:r w:rsidR="00490C64">
        <w:rPr>
          <w:rFonts w:ascii="Arial" w:hAnsi="Arial" w:cs="Arial"/>
          <w:snapToGrid w:val="0"/>
        </w:rPr>
        <w:t>al. 2022)</w:t>
      </w:r>
      <w:r w:rsidR="00D95E3D">
        <w:rPr>
          <w:rFonts w:ascii="Arial" w:hAnsi="Arial" w:cs="Arial"/>
          <w:snapToGrid w:val="0"/>
        </w:rPr>
        <w:t xml:space="preserve"> suggest</w:t>
      </w:r>
      <w:r w:rsidR="00490C64">
        <w:rPr>
          <w:rFonts w:ascii="Arial" w:hAnsi="Arial" w:cs="Arial"/>
          <w:snapToGrid w:val="0"/>
        </w:rPr>
        <w:t>s</w:t>
      </w:r>
      <w:r w:rsidR="00D95E3D">
        <w:rPr>
          <w:rFonts w:ascii="Arial" w:hAnsi="Arial" w:cs="Arial"/>
          <w:snapToGrid w:val="0"/>
        </w:rPr>
        <w:t xml:space="preserve"> that consumers’ likelihood of accessing nutrition information using online means is low, including in the specific context of alcohol nutrition information</w:t>
      </w:r>
      <w:r w:rsidR="00196CAC">
        <w:rPr>
          <w:rFonts w:ascii="Arial" w:hAnsi="Arial" w:cs="Arial"/>
          <w:snapToGrid w:val="0"/>
        </w:rPr>
        <w:t>.</w:t>
      </w:r>
      <w:r w:rsidR="0067262A">
        <w:rPr>
          <w:rFonts w:ascii="Arial" w:hAnsi="Arial" w:cs="Arial"/>
          <w:snapToGrid w:val="0"/>
        </w:rPr>
        <w:t xml:space="preserve"> Web-based information may</w:t>
      </w:r>
      <w:r w:rsidR="0067262A" w:rsidRPr="00AA7AD0">
        <w:rPr>
          <w:rFonts w:ascii="Arial" w:hAnsi="Arial" w:cs="Arial"/>
          <w:snapToGrid w:val="0"/>
        </w:rPr>
        <w:t xml:space="preserve"> also be more difficult </w:t>
      </w:r>
      <w:r w:rsidR="0067262A">
        <w:rPr>
          <w:rFonts w:ascii="Arial" w:hAnsi="Arial" w:cs="Arial"/>
          <w:snapToGrid w:val="0"/>
        </w:rPr>
        <w:t>to enforce</w:t>
      </w:r>
      <w:r w:rsidR="0067262A" w:rsidRPr="00AA7AD0">
        <w:rPr>
          <w:rFonts w:ascii="Arial" w:hAnsi="Arial" w:cs="Arial"/>
          <w:snapToGrid w:val="0"/>
        </w:rPr>
        <w:t>.</w:t>
      </w:r>
    </w:p>
    <w:p w14:paraId="6C2477F9" w14:textId="5F9AC84A" w:rsidR="006F148A" w:rsidRDefault="00A32B5C" w:rsidP="007A2D39">
      <w:pPr>
        <w:rPr>
          <w:rFonts w:ascii="Arial" w:hAnsi="Arial" w:cs="Arial"/>
          <w:snapToGrid w:val="0"/>
        </w:rPr>
      </w:pPr>
      <w:r w:rsidRPr="007A2D39">
        <w:rPr>
          <w:rFonts w:ascii="Arial" w:hAnsi="Arial" w:cs="Arial"/>
          <w:snapToGrid w:val="0"/>
        </w:rPr>
        <w:t xml:space="preserve">Additionally, smart phone reception is not always available or is intermittent in some shops, for instance </w:t>
      </w:r>
      <w:r w:rsidR="003268EE">
        <w:rPr>
          <w:rFonts w:ascii="Arial" w:hAnsi="Arial" w:cs="Arial"/>
          <w:snapToGrid w:val="0"/>
        </w:rPr>
        <w:t xml:space="preserve">in </w:t>
      </w:r>
      <w:r w:rsidR="00A63725">
        <w:rPr>
          <w:rFonts w:ascii="Arial" w:hAnsi="Arial" w:cs="Arial"/>
          <w:snapToGrid w:val="0"/>
        </w:rPr>
        <w:t xml:space="preserve">some </w:t>
      </w:r>
      <w:r w:rsidR="003268EE">
        <w:rPr>
          <w:rFonts w:ascii="Arial" w:hAnsi="Arial" w:cs="Arial"/>
          <w:snapToGrid w:val="0"/>
        </w:rPr>
        <w:t>shopping malls</w:t>
      </w:r>
      <w:r w:rsidRPr="007A2D39">
        <w:rPr>
          <w:rFonts w:ascii="Arial" w:hAnsi="Arial" w:cs="Arial"/>
          <w:snapToGrid w:val="0"/>
        </w:rPr>
        <w:t xml:space="preserve"> </w:t>
      </w:r>
      <w:r w:rsidR="003268EE">
        <w:rPr>
          <w:rFonts w:ascii="Arial" w:hAnsi="Arial" w:cs="Arial"/>
          <w:snapToGrid w:val="0"/>
        </w:rPr>
        <w:t>and</w:t>
      </w:r>
      <w:r w:rsidR="00F71AF9">
        <w:rPr>
          <w:rFonts w:ascii="Arial" w:hAnsi="Arial" w:cs="Arial"/>
          <w:snapToGrid w:val="0"/>
        </w:rPr>
        <w:t xml:space="preserve"> some</w:t>
      </w:r>
      <w:r w:rsidRPr="007A2D39">
        <w:rPr>
          <w:rFonts w:ascii="Arial" w:hAnsi="Arial" w:cs="Arial"/>
          <w:snapToGrid w:val="0"/>
        </w:rPr>
        <w:t xml:space="preserve"> rural location</w:t>
      </w:r>
      <w:r w:rsidR="003268EE">
        <w:rPr>
          <w:rFonts w:ascii="Arial" w:hAnsi="Arial" w:cs="Arial"/>
          <w:snapToGrid w:val="0"/>
        </w:rPr>
        <w:t>s</w:t>
      </w:r>
      <w:r w:rsidRPr="007A2D39">
        <w:rPr>
          <w:rFonts w:ascii="Arial" w:hAnsi="Arial" w:cs="Arial"/>
          <w:snapToGrid w:val="0"/>
        </w:rPr>
        <w:t xml:space="preserve">. </w:t>
      </w:r>
    </w:p>
    <w:p w14:paraId="6C66EC99" w14:textId="47364D16" w:rsidR="007B207D" w:rsidRDefault="00566080" w:rsidP="6A15B411">
      <w:pPr>
        <w:spacing w:after="240"/>
        <w:rPr>
          <w:rFonts w:ascii="Arial" w:hAnsi="Arial" w:cs="Arial"/>
          <w:snapToGrid w:val="0"/>
        </w:rPr>
      </w:pPr>
      <w:r w:rsidRPr="6A15B411">
        <w:rPr>
          <w:rFonts w:ascii="Arial" w:hAnsi="Arial" w:cs="Arial"/>
          <w:snapToGrid w:val="0"/>
        </w:rPr>
        <w:t>In</w:t>
      </w:r>
      <w:r w:rsidR="00AA3552" w:rsidRPr="6A15B411">
        <w:rPr>
          <w:rFonts w:ascii="Arial" w:hAnsi="Arial" w:cs="Arial"/>
          <w:snapToGrid w:val="0"/>
        </w:rPr>
        <w:t xml:space="preserve"> con</w:t>
      </w:r>
      <w:r w:rsidR="00E64E83" w:rsidRPr="6A15B411">
        <w:rPr>
          <w:rFonts w:ascii="Arial" w:hAnsi="Arial" w:cs="Arial"/>
          <w:snapToGrid w:val="0"/>
        </w:rPr>
        <w:t>s</w:t>
      </w:r>
      <w:r w:rsidR="00AA3552" w:rsidRPr="6A15B411">
        <w:rPr>
          <w:rFonts w:ascii="Arial" w:hAnsi="Arial" w:cs="Arial"/>
          <w:snapToGrid w:val="0"/>
        </w:rPr>
        <w:t>ultations many industry stakeholders consider</w:t>
      </w:r>
      <w:r w:rsidR="00EF74C9" w:rsidRPr="6A15B411">
        <w:rPr>
          <w:rFonts w:ascii="Arial" w:hAnsi="Arial" w:cs="Arial"/>
          <w:snapToGrid w:val="0"/>
        </w:rPr>
        <w:t>ed</w:t>
      </w:r>
      <w:r w:rsidR="000075A8" w:rsidRPr="6A15B411">
        <w:rPr>
          <w:rFonts w:ascii="Arial" w:hAnsi="Arial" w:cs="Arial"/>
          <w:snapToGrid w:val="0"/>
        </w:rPr>
        <w:t xml:space="preserve"> digital linking</w:t>
      </w:r>
      <w:r w:rsidR="00AA3552" w:rsidRPr="6A15B411">
        <w:rPr>
          <w:rFonts w:ascii="Arial" w:hAnsi="Arial" w:cs="Arial"/>
          <w:snapToGrid w:val="0"/>
        </w:rPr>
        <w:t xml:space="preserve"> more burdensome</w:t>
      </w:r>
      <w:r w:rsidR="000075A8" w:rsidRPr="6A15B411">
        <w:rPr>
          <w:rFonts w:ascii="Arial" w:hAnsi="Arial" w:cs="Arial"/>
          <w:snapToGrid w:val="0"/>
        </w:rPr>
        <w:t xml:space="preserve"> than on-label </w:t>
      </w:r>
      <w:r w:rsidR="00E64E83" w:rsidRPr="6A15B411">
        <w:rPr>
          <w:rFonts w:ascii="Arial" w:hAnsi="Arial" w:cs="Arial"/>
          <w:snapToGrid w:val="0"/>
        </w:rPr>
        <w:t>energy content information</w:t>
      </w:r>
      <w:r w:rsidR="00AA3552" w:rsidRPr="6A15B411">
        <w:rPr>
          <w:rFonts w:ascii="Arial" w:hAnsi="Arial" w:cs="Arial"/>
          <w:snapToGrid w:val="0"/>
        </w:rPr>
        <w:t>, particularly for producers that do not already have a website</w:t>
      </w:r>
      <w:r w:rsidR="00E64E83" w:rsidRPr="6A15B411">
        <w:rPr>
          <w:rFonts w:ascii="Arial" w:hAnsi="Arial" w:cs="Arial"/>
          <w:snapToGrid w:val="0"/>
        </w:rPr>
        <w:t>. Therefore</w:t>
      </w:r>
      <w:r w:rsidR="00566466" w:rsidRPr="6A15B411">
        <w:rPr>
          <w:rFonts w:ascii="Arial" w:hAnsi="Arial" w:cs="Arial"/>
          <w:snapToGrid w:val="0"/>
        </w:rPr>
        <w:t xml:space="preserve">, coverage of products may not be </w:t>
      </w:r>
      <w:r w:rsidR="0015498B" w:rsidRPr="6A15B411">
        <w:rPr>
          <w:rFonts w:ascii="Arial" w:hAnsi="Arial" w:cs="Arial"/>
          <w:snapToGrid w:val="0"/>
        </w:rPr>
        <w:t>complete</w:t>
      </w:r>
      <w:r w:rsidR="00566466" w:rsidRPr="6A15B411">
        <w:rPr>
          <w:rFonts w:ascii="Arial" w:hAnsi="Arial" w:cs="Arial"/>
          <w:snapToGrid w:val="0"/>
        </w:rPr>
        <w:t xml:space="preserve"> </w:t>
      </w:r>
      <w:r w:rsidR="007E7E7C" w:rsidRPr="6A15B411">
        <w:rPr>
          <w:rFonts w:ascii="Arial" w:hAnsi="Arial" w:cs="Arial"/>
          <w:snapToGrid w:val="0"/>
        </w:rPr>
        <w:t>with</w:t>
      </w:r>
      <w:r w:rsidR="00566466" w:rsidRPr="6A15B411">
        <w:rPr>
          <w:rFonts w:ascii="Arial" w:hAnsi="Arial" w:cs="Arial"/>
          <w:snapToGrid w:val="0"/>
        </w:rPr>
        <w:t xml:space="preserve"> costs more burdensome for some producers</w:t>
      </w:r>
      <w:r w:rsidR="0015498B" w:rsidRPr="6A15B411">
        <w:rPr>
          <w:rFonts w:ascii="Arial" w:hAnsi="Arial" w:cs="Arial"/>
          <w:snapToGrid w:val="0"/>
        </w:rPr>
        <w:t>. That would detract from meeting the policy objective.</w:t>
      </w:r>
      <w:r w:rsidR="00566466" w:rsidRPr="6A15B411">
        <w:rPr>
          <w:rFonts w:ascii="Arial" w:hAnsi="Arial" w:cs="Arial"/>
          <w:snapToGrid w:val="0"/>
        </w:rPr>
        <w:t xml:space="preserve"> </w:t>
      </w:r>
    </w:p>
    <w:p w14:paraId="6170D3C3" w14:textId="6551D42E" w:rsidR="00E2083E" w:rsidRDefault="009053BB" w:rsidP="6A15B411">
      <w:pPr>
        <w:rPr>
          <w:rFonts w:ascii="Arial" w:hAnsi="Arial" w:cs="Arial"/>
          <w:i/>
          <w:iCs/>
          <w:snapToGrid w:val="0"/>
        </w:rPr>
      </w:pPr>
      <w:r w:rsidRPr="6A15B411">
        <w:rPr>
          <w:rFonts w:ascii="Arial" w:hAnsi="Arial" w:cs="Arial"/>
          <w:i/>
          <w:iCs/>
          <w:snapToGrid w:val="0"/>
        </w:rPr>
        <w:t xml:space="preserve">Mandating </w:t>
      </w:r>
      <w:r w:rsidR="005620FA" w:rsidRPr="6A15B411">
        <w:rPr>
          <w:rFonts w:ascii="Arial" w:hAnsi="Arial" w:cs="Arial"/>
          <w:i/>
          <w:iCs/>
          <w:snapToGrid w:val="0"/>
        </w:rPr>
        <w:t xml:space="preserve">a NIP containing </w:t>
      </w:r>
      <w:r w:rsidR="008B1E95" w:rsidRPr="6A15B411">
        <w:rPr>
          <w:rFonts w:ascii="Arial" w:hAnsi="Arial" w:cs="Arial"/>
          <w:i/>
          <w:iCs/>
          <w:snapToGrid w:val="0"/>
        </w:rPr>
        <w:t xml:space="preserve">energy content information </w:t>
      </w:r>
      <w:r w:rsidR="00012852" w:rsidRPr="6A15B411">
        <w:rPr>
          <w:rFonts w:ascii="Arial" w:hAnsi="Arial" w:cs="Arial"/>
          <w:i/>
          <w:iCs/>
          <w:snapToGrid w:val="0"/>
        </w:rPr>
        <w:t>for all SKUs</w:t>
      </w:r>
    </w:p>
    <w:p w14:paraId="50CFB05E" w14:textId="696D3C9D" w:rsidR="00594F86" w:rsidRPr="00E3417F" w:rsidRDefault="00594F86" w:rsidP="6A15B411">
      <w:pPr>
        <w:spacing w:before="120" w:after="120"/>
        <w:rPr>
          <w:sz w:val="20"/>
          <w:szCs w:val="20"/>
        </w:rPr>
      </w:pPr>
      <w:r w:rsidRPr="6A15B411">
        <w:rPr>
          <w:rFonts w:ascii="Arial" w:hAnsi="Arial" w:cs="Arial"/>
          <w:snapToGrid w:val="0"/>
        </w:rPr>
        <w:t>No stakeholders supported this option under previous consultations</w:t>
      </w:r>
      <w:r w:rsidR="00204BEA" w:rsidRPr="6A15B411">
        <w:rPr>
          <w:rFonts w:ascii="Arial" w:hAnsi="Arial" w:cs="Arial"/>
          <w:snapToGrid w:val="0"/>
        </w:rPr>
        <w:t xml:space="preserve"> (FSANZ 2021</w:t>
      </w:r>
      <w:r w:rsidR="00471F14" w:rsidRPr="6A15B411">
        <w:rPr>
          <w:rFonts w:ascii="Arial" w:hAnsi="Arial" w:cs="Arial"/>
          <w:snapToGrid w:val="0"/>
        </w:rPr>
        <w:t>d</w:t>
      </w:r>
      <w:r w:rsidR="00204BEA" w:rsidRPr="6A15B411">
        <w:rPr>
          <w:rFonts w:ascii="Arial" w:hAnsi="Arial" w:cs="Arial"/>
          <w:snapToGrid w:val="0"/>
        </w:rPr>
        <w:t>)</w:t>
      </w:r>
      <w:r w:rsidR="00012852" w:rsidRPr="6A15B411">
        <w:rPr>
          <w:rFonts w:ascii="Arial" w:hAnsi="Arial" w:cs="Arial"/>
          <w:snapToGrid w:val="0"/>
        </w:rPr>
        <w:t xml:space="preserve">. </w:t>
      </w:r>
      <w:r w:rsidR="00566080" w:rsidRPr="6A15B411">
        <w:rPr>
          <w:rFonts w:ascii="Arial" w:hAnsi="Arial" w:cs="Arial"/>
          <w:snapToGrid w:val="0"/>
        </w:rPr>
        <w:t>Industry stakeholders noted a</w:t>
      </w:r>
      <w:r w:rsidR="00012852" w:rsidRPr="6A15B411">
        <w:rPr>
          <w:rFonts w:ascii="Arial" w:hAnsi="Arial" w:cs="Arial"/>
          <w:snapToGrid w:val="0"/>
        </w:rPr>
        <w:t xml:space="preserve"> NIP would take-up more label space than an energy statement</w:t>
      </w:r>
      <w:r w:rsidR="006B162C" w:rsidRPr="6A15B411">
        <w:rPr>
          <w:rFonts w:ascii="Arial" w:hAnsi="Arial" w:cs="Arial"/>
          <w:snapToGrid w:val="0"/>
        </w:rPr>
        <w:t xml:space="preserve"> (d</w:t>
      </w:r>
      <w:r w:rsidR="00154A28" w:rsidRPr="6A15B411">
        <w:rPr>
          <w:rFonts w:ascii="Arial" w:hAnsi="Arial" w:cs="Arial"/>
          <w:snapToGrid w:val="0"/>
        </w:rPr>
        <w:t xml:space="preserve">escribed </w:t>
      </w:r>
      <w:r w:rsidR="006B162C" w:rsidRPr="6A15B411">
        <w:rPr>
          <w:rFonts w:ascii="Arial" w:hAnsi="Arial" w:cs="Arial"/>
          <w:snapToGrid w:val="0"/>
        </w:rPr>
        <w:t xml:space="preserve">under feasible options below) and </w:t>
      </w:r>
      <w:r w:rsidR="00C14E8A" w:rsidRPr="6A15B411">
        <w:rPr>
          <w:rFonts w:ascii="Arial" w:hAnsi="Arial" w:cs="Arial"/>
          <w:snapToGrid w:val="0"/>
        </w:rPr>
        <w:t>therefore create more costs for some SKUs</w:t>
      </w:r>
      <w:r w:rsidR="00F91128" w:rsidRPr="6A15B411">
        <w:rPr>
          <w:rFonts w:ascii="Arial" w:hAnsi="Arial" w:cs="Arial"/>
          <w:snapToGrid w:val="0"/>
        </w:rPr>
        <w:t xml:space="preserve"> than </w:t>
      </w:r>
      <w:r w:rsidR="00163722" w:rsidRPr="6A15B411">
        <w:rPr>
          <w:rFonts w:ascii="Arial" w:hAnsi="Arial" w:cs="Arial"/>
          <w:snapToGrid w:val="0"/>
        </w:rPr>
        <w:t>options involving an energy statement</w:t>
      </w:r>
      <w:r w:rsidR="00C14E8A" w:rsidRPr="6A15B411">
        <w:rPr>
          <w:rFonts w:ascii="Arial" w:hAnsi="Arial" w:cs="Arial"/>
          <w:snapToGrid w:val="0"/>
        </w:rPr>
        <w:t xml:space="preserve">. </w:t>
      </w:r>
      <w:r w:rsidR="00566080" w:rsidRPr="6A15B411">
        <w:rPr>
          <w:rFonts w:ascii="Arial" w:hAnsi="Arial" w:cs="Arial"/>
          <w:snapToGrid w:val="0"/>
        </w:rPr>
        <w:t xml:space="preserve">Most public health and some government stakeholders raised </w:t>
      </w:r>
      <w:r w:rsidR="00566080" w:rsidRPr="6A15B411">
        <w:rPr>
          <w:rFonts w:ascii="Arial" w:hAnsi="Arial" w:cs="Arial"/>
          <w:snapToGrid w:val="0"/>
        </w:rPr>
        <w:lastRenderedPageBreak/>
        <w:t>concerns about the potential for consumers to be misled about the nutritional value of alcoholic beverages given</w:t>
      </w:r>
      <w:r w:rsidR="00C14E8A" w:rsidRPr="6A15B411">
        <w:rPr>
          <w:rFonts w:ascii="Arial" w:hAnsi="Arial" w:cs="Arial"/>
          <w:snapToGrid w:val="0"/>
        </w:rPr>
        <w:t xml:space="preserve"> most alcoholic beverages have little other nutritional significance except for their energy and alcohol content</w:t>
      </w:r>
      <w:r w:rsidR="00566080" w:rsidRPr="6A15B411">
        <w:rPr>
          <w:rFonts w:ascii="Arial" w:hAnsi="Arial" w:cs="Arial"/>
          <w:snapToGrid w:val="0"/>
        </w:rPr>
        <w:t xml:space="preserve">. </w:t>
      </w:r>
      <w:r w:rsidR="003354C5" w:rsidRPr="6A15B411">
        <w:rPr>
          <w:rFonts w:ascii="Arial" w:hAnsi="Arial" w:cs="Arial"/>
          <w:snapToGrid w:val="0"/>
        </w:rPr>
        <w:t>Mandating a truncated NIP</w:t>
      </w:r>
      <w:r w:rsidR="003354C5" w:rsidRPr="6A15B411">
        <w:rPr>
          <w:rFonts w:ascii="Segoe UI" w:hAnsi="Segoe UI" w:cs="Segoe UI"/>
          <w:sz w:val="18"/>
          <w:szCs w:val="18"/>
        </w:rPr>
        <w:t xml:space="preserve"> </w:t>
      </w:r>
      <w:r w:rsidR="003354C5" w:rsidRPr="6A15B411">
        <w:rPr>
          <w:rFonts w:ascii="Arial" w:hAnsi="Arial" w:cs="Arial"/>
          <w:snapToGrid w:val="0"/>
        </w:rPr>
        <w:t xml:space="preserve">with energy and some other nutrients, for example carbohydrate and sugar, was also disregarded for this reason.  </w:t>
      </w:r>
      <w:r w:rsidR="00255620" w:rsidRPr="6A15B411">
        <w:rPr>
          <w:rFonts w:ascii="Arial" w:hAnsi="Arial" w:cs="Arial"/>
          <w:snapToGrid w:val="0"/>
        </w:rPr>
        <w:t xml:space="preserve"> </w:t>
      </w:r>
    </w:p>
    <w:p w14:paraId="206BF19F" w14:textId="2D96A2A1" w:rsidR="00A32B5C" w:rsidRPr="00A407A6" w:rsidRDefault="0028104A" w:rsidP="00B42080">
      <w:pPr>
        <w:pStyle w:val="Heading3"/>
        <w:ind w:left="0" w:firstLine="0"/>
        <w:rPr>
          <w:rFonts w:eastAsiaTheme="minorHAnsi" w:cs="Arial"/>
          <w:snapToGrid w:val="0"/>
          <w:color w:val="auto"/>
          <w:szCs w:val="22"/>
          <w:lang w:val="en-US" w:eastAsia="en-US"/>
        </w:rPr>
      </w:pPr>
      <w:bookmarkStart w:id="16" w:name="_Toc194475991"/>
      <w:r w:rsidRPr="00A407A6">
        <w:rPr>
          <w:rFonts w:eastAsiaTheme="minorHAnsi" w:cs="Arial"/>
          <w:snapToGrid w:val="0"/>
          <w:color w:val="auto"/>
          <w:szCs w:val="22"/>
          <w:lang w:val="en-US" w:eastAsia="en-US"/>
        </w:rPr>
        <w:t xml:space="preserve">Feasible </w:t>
      </w:r>
      <w:r w:rsidR="00566080">
        <w:rPr>
          <w:rFonts w:eastAsiaTheme="minorHAnsi" w:cs="Arial"/>
          <w:snapToGrid w:val="0"/>
          <w:color w:val="auto"/>
          <w:szCs w:val="22"/>
          <w:lang w:val="en-US" w:eastAsia="en-US"/>
        </w:rPr>
        <w:t>o</w:t>
      </w:r>
      <w:r w:rsidR="00566080" w:rsidRPr="00A407A6">
        <w:rPr>
          <w:rFonts w:eastAsiaTheme="minorHAnsi" w:cs="Arial"/>
          <w:snapToGrid w:val="0"/>
          <w:color w:val="auto"/>
          <w:szCs w:val="22"/>
          <w:lang w:val="en-US" w:eastAsia="en-US"/>
        </w:rPr>
        <w:t xml:space="preserve">ptions </w:t>
      </w:r>
      <w:r w:rsidRPr="00A407A6">
        <w:rPr>
          <w:rFonts w:eastAsiaTheme="minorHAnsi" w:cs="Arial"/>
          <w:snapToGrid w:val="0"/>
          <w:color w:val="auto"/>
          <w:szCs w:val="22"/>
          <w:lang w:val="en-US" w:eastAsia="en-US"/>
        </w:rPr>
        <w:t xml:space="preserve">for </w:t>
      </w:r>
      <w:r w:rsidR="00566080">
        <w:rPr>
          <w:rFonts w:eastAsiaTheme="minorHAnsi" w:cs="Arial"/>
          <w:snapToGrid w:val="0"/>
          <w:color w:val="auto"/>
          <w:szCs w:val="22"/>
          <w:lang w:val="en-US" w:eastAsia="en-US"/>
        </w:rPr>
        <w:t>d</w:t>
      </w:r>
      <w:r w:rsidR="00566080" w:rsidRPr="00A407A6">
        <w:rPr>
          <w:rFonts w:eastAsiaTheme="minorHAnsi" w:cs="Arial"/>
          <w:snapToGrid w:val="0"/>
          <w:color w:val="auto"/>
          <w:szCs w:val="22"/>
          <w:lang w:val="en-US" w:eastAsia="en-US"/>
        </w:rPr>
        <w:t>ecision</w:t>
      </w:r>
      <w:r w:rsidRPr="00A407A6">
        <w:rPr>
          <w:rFonts w:eastAsiaTheme="minorHAnsi" w:cs="Arial"/>
          <w:snapToGrid w:val="0"/>
          <w:color w:val="auto"/>
          <w:szCs w:val="22"/>
          <w:lang w:val="en-US" w:eastAsia="en-US"/>
        </w:rPr>
        <w:t>-makers</w:t>
      </w:r>
      <w:bookmarkEnd w:id="16"/>
      <w:r w:rsidRPr="00A407A6">
        <w:rPr>
          <w:rFonts w:eastAsiaTheme="minorHAnsi" w:cs="Arial"/>
          <w:snapToGrid w:val="0"/>
          <w:color w:val="auto"/>
          <w:szCs w:val="22"/>
          <w:lang w:val="en-US" w:eastAsia="en-US"/>
        </w:rPr>
        <w:t xml:space="preserve"> </w:t>
      </w:r>
    </w:p>
    <w:p w14:paraId="3D91E8FA" w14:textId="387D9D58" w:rsidR="003F2030" w:rsidRPr="00975CBF" w:rsidRDefault="003F2030" w:rsidP="003F2030">
      <w:pPr>
        <w:pStyle w:val="paragraph"/>
        <w:spacing w:before="0" w:beforeAutospacing="0" w:after="0" w:afterAutospacing="0"/>
        <w:rPr>
          <w:rFonts w:ascii="Arial" w:eastAsia="Arial" w:hAnsi="Arial" w:cs="Arial"/>
          <w:sz w:val="22"/>
          <w:szCs w:val="22"/>
          <w:lang w:val="en-US" w:eastAsia="en-US"/>
        </w:rPr>
      </w:pPr>
      <w:r>
        <w:rPr>
          <w:rFonts w:ascii="Arial" w:eastAsia="Arial" w:hAnsi="Arial" w:cs="Arial"/>
          <w:sz w:val="22"/>
          <w:szCs w:val="22"/>
          <w:lang w:val="en-US" w:eastAsia="en-US"/>
        </w:rPr>
        <w:t>O</w:t>
      </w:r>
      <w:r w:rsidRPr="00975CBF">
        <w:rPr>
          <w:rFonts w:ascii="Arial" w:eastAsia="Arial" w:hAnsi="Arial" w:cs="Arial"/>
          <w:sz w:val="22"/>
          <w:szCs w:val="22"/>
          <w:lang w:val="en-US" w:eastAsia="en-US"/>
        </w:rPr>
        <w:t xml:space="preserve">n-label information </w:t>
      </w:r>
      <w:r>
        <w:rPr>
          <w:rFonts w:ascii="Arial" w:eastAsia="Arial" w:hAnsi="Arial" w:cs="Arial"/>
          <w:sz w:val="22"/>
          <w:szCs w:val="22"/>
          <w:lang w:val="en-US" w:eastAsia="en-US"/>
        </w:rPr>
        <w:t>w</w:t>
      </w:r>
      <w:r w:rsidRPr="00975CBF">
        <w:rPr>
          <w:rFonts w:ascii="Arial" w:eastAsia="Arial" w:hAnsi="Arial" w:cs="Arial"/>
          <w:sz w:val="22"/>
          <w:szCs w:val="22"/>
          <w:lang w:val="en-US" w:eastAsia="en-US"/>
        </w:rPr>
        <w:t>ould enable consumers to easily access the energy content of specific packaged alcoholic beverages at point-of-purchase</w:t>
      </w:r>
      <w:r>
        <w:rPr>
          <w:rFonts w:ascii="Arial" w:eastAsia="Arial" w:hAnsi="Arial" w:cs="Arial"/>
          <w:sz w:val="22"/>
          <w:szCs w:val="22"/>
          <w:lang w:val="en-US" w:eastAsia="en-US"/>
        </w:rPr>
        <w:t xml:space="preserve"> and make informed choices</w:t>
      </w:r>
      <w:r w:rsidRPr="00975CBF">
        <w:rPr>
          <w:rFonts w:ascii="Arial" w:eastAsia="Arial" w:hAnsi="Arial" w:cs="Arial"/>
          <w:sz w:val="22"/>
          <w:szCs w:val="22"/>
          <w:lang w:val="en-US" w:eastAsia="en-US"/>
        </w:rPr>
        <w:t xml:space="preserve">. </w:t>
      </w:r>
    </w:p>
    <w:p w14:paraId="6A881068" w14:textId="77777777" w:rsidR="003F2030" w:rsidRDefault="003F2030" w:rsidP="005958AF">
      <w:pPr>
        <w:spacing w:after="0"/>
        <w:rPr>
          <w:rFonts w:ascii="Arial" w:eastAsia="Arial" w:hAnsi="Arial" w:cs="Arial"/>
        </w:rPr>
      </w:pPr>
    </w:p>
    <w:p w14:paraId="54180C31" w14:textId="707FC3ED" w:rsidR="00247430" w:rsidRDefault="00E87EDC" w:rsidP="6A15B411">
      <w:pPr>
        <w:spacing w:after="0"/>
        <w:rPr>
          <w:rFonts w:ascii="Arial" w:eastAsia="Arial" w:hAnsi="Arial" w:cs="Arial"/>
        </w:rPr>
      </w:pPr>
      <w:r w:rsidRPr="6A15B411">
        <w:rPr>
          <w:rFonts w:ascii="Arial" w:eastAsia="Arial" w:hAnsi="Arial" w:cs="Arial"/>
        </w:rPr>
        <w:t xml:space="preserve">This analysis </w:t>
      </w:r>
      <w:r w:rsidR="003F2030" w:rsidRPr="6A15B411">
        <w:rPr>
          <w:rFonts w:ascii="Arial" w:eastAsia="Arial" w:hAnsi="Arial" w:cs="Arial"/>
        </w:rPr>
        <w:t xml:space="preserve">therefore </w:t>
      </w:r>
      <w:r w:rsidRPr="6A15B411">
        <w:rPr>
          <w:rFonts w:ascii="Arial" w:eastAsia="Arial" w:hAnsi="Arial" w:cs="Arial"/>
        </w:rPr>
        <w:t>consider</w:t>
      </w:r>
      <w:r w:rsidR="005958AF" w:rsidRPr="6A15B411">
        <w:rPr>
          <w:rFonts w:ascii="Arial" w:eastAsia="Arial" w:hAnsi="Arial" w:cs="Arial"/>
        </w:rPr>
        <w:t>s</w:t>
      </w:r>
      <w:r w:rsidRPr="6A15B411">
        <w:rPr>
          <w:rFonts w:ascii="Arial" w:eastAsia="Arial" w:hAnsi="Arial" w:cs="Arial"/>
        </w:rPr>
        <w:t xml:space="preserve"> </w:t>
      </w:r>
      <w:r w:rsidR="004A665D" w:rsidRPr="6A15B411">
        <w:rPr>
          <w:rFonts w:ascii="Arial" w:eastAsia="Arial" w:hAnsi="Arial" w:cs="Arial"/>
        </w:rPr>
        <w:t>two</w:t>
      </w:r>
      <w:r w:rsidRPr="6A15B411">
        <w:rPr>
          <w:rFonts w:ascii="Arial" w:eastAsia="Arial" w:hAnsi="Arial" w:cs="Arial"/>
        </w:rPr>
        <w:t xml:space="preserve"> options </w:t>
      </w:r>
      <w:r w:rsidR="004A665D" w:rsidRPr="6A15B411">
        <w:rPr>
          <w:rFonts w:ascii="Arial" w:eastAsia="Arial" w:hAnsi="Arial" w:cs="Arial"/>
        </w:rPr>
        <w:t>in addition to the status quo</w:t>
      </w:r>
      <w:r w:rsidR="00DD158F" w:rsidRPr="6A15B411">
        <w:rPr>
          <w:rFonts w:ascii="Arial" w:eastAsia="Arial" w:hAnsi="Arial" w:cs="Arial"/>
        </w:rPr>
        <w:t xml:space="preserve"> to meet the policy objective. The features of </w:t>
      </w:r>
      <w:r w:rsidR="003268EE" w:rsidRPr="6A15B411">
        <w:rPr>
          <w:rFonts w:ascii="Arial" w:eastAsia="Arial" w:hAnsi="Arial" w:cs="Arial"/>
        </w:rPr>
        <w:t xml:space="preserve">these </w:t>
      </w:r>
      <w:r w:rsidR="00DD158F" w:rsidRPr="6A15B411">
        <w:rPr>
          <w:rFonts w:ascii="Arial" w:eastAsia="Arial" w:hAnsi="Arial" w:cs="Arial"/>
        </w:rPr>
        <w:t xml:space="preserve">options have </w:t>
      </w:r>
      <w:r w:rsidR="002631D1" w:rsidRPr="6A15B411">
        <w:rPr>
          <w:rFonts w:ascii="Arial" w:eastAsia="Arial" w:hAnsi="Arial" w:cs="Arial"/>
        </w:rPr>
        <w:t xml:space="preserve">been informed by: </w:t>
      </w:r>
    </w:p>
    <w:p w14:paraId="2EA8FEA2" w14:textId="11E4399A" w:rsidR="002631D1" w:rsidRDefault="002631D1" w:rsidP="00CE3140">
      <w:pPr>
        <w:pStyle w:val="ListParagraph"/>
        <w:numPr>
          <w:ilvl w:val="0"/>
          <w:numId w:val="25"/>
        </w:numPr>
        <w:rPr>
          <w:rFonts w:ascii="Arial" w:eastAsia="Arial" w:hAnsi="Arial" w:cs="Arial"/>
          <w:lang w:val="en-GB"/>
        </w:rPr>
      </w:pPr>
      <w:r>
        <w:rPr>
          <w:rFonts w:ascii="Arial" w:eastAsia="Arial" w:hAnsi="Arial" w:cs="Arial"/>
          <w:lang w:val="en-GB"/>
        </w:rPr>
        <w:t>feedback</w:t>
      </w:r>
      <w:r w:rsidR="005958AF">
        <w:rPr>
          <w:rFonts w:ascii="Arial" w:eastAsia="Arial" w:hAnsi="Arial" w:cs="Arial"/>
          <w:lang w:val="en-GB"/>
        </w:rPr>
        <w:t xml:space="preserve"> from </w:t>
      </w:r>
      <w:r w:rsidR="003268EE">
        <w:rPr>
          <w:rFonts w:ascii="Arial" w:eastAsia="Arial" w:hAnsi="Arial" w:cs="Arial"/>
          <w:lang w:val="en-GB"/>
        </w:rPr>
        <w:t xml:space="preserve">key stakeholders from </w:t>
      </w:r>
      <w:r w:rsidR="005958AF">
        <w:rPr>
          <w:rFonts w:ascii="Arial" w:eastAsia="Arial" w:hAnsi="Arial" w:cs="Arial"/>
          <w:lang w:val="en-GB"/>
        </w:rPr>
        <w:t>industry, health</w:t>
      </w:r>
      <w:r w:rsidR="001D1F83">
        <w:rPr>
          <w:rFonts w:ascii="Arial" w:eastAsia="Arial" w:hAnsi="Arial" w:cs="Arial"/>
          <w:lang w:val="en-GB"/>
        </w:rPr>
        <w:t xml:space="preserve"> organisations</w:t>
      </w:r>
      <w:r w:rsidR="005958AF">
        <w:rPr>
          <w:rFonts w:ascii="Arial" w:eastAsia="Arial" w:hAnsi="Arial" w:cs="Arial"/>
          <w:lang w:val="en-GB"/>
        </w:rPr>
        <w:t xml:space="preserve">, jurisdictions, consumers and </w:t>
      </w:r>
      <w:r w:rsidR="003268EE">
        <w:rPr>
          <w:rFonts w:ascii="Arial" w:eastAsia="Arial" w:hAnsi="Arial" w:cs="Arial"/>
          <w:lang w:val="en-GB"/>
        </w:rPr>
        <w:t>academics;</w:t>
      </w:r>
    </w:p>
    <w:p w14:paraId="383F0900" w14:textId="017B0FA0" w:rsidR="003268EE" w:rsidRDefault="003268EE" w:rsidP="00CE3140">
      <w:pPr>
        <w:pStyle w:val="ListParagraph"/>
        <w:numPr>
          <w:ilvl w:val="0"/>
          <w:numId w:val="25"/>
        </w:numPr>
        <w:rPr>
          <w:rFonts w:ascii="Arial" w:eastAsia="Arial" w:hAnsi="Arial" w:cs="Arial"/>
          <w:lang w:val="en-GB"/>
        </w:rPr>
      </w:pPr>
      <w:r>
        <w:rPr>
          <w:rFonts w:ascii="Arial" w:eastAsia="Arial" w:hAnsi="Arial" w:cs="Arial"/>
          <w:lang w:val="en-GB"/>
        </w:rPr>
        <w:t>submitter comments to the public CFS</w:t>
      </w:r>
      <w:r w:rsidR="002F769E">
        <w:rPr>
          <w:rFonts w:ascii="Arial" w:eastAsia="Arial" w:hAnsi="Arial" w:cs="Arial"/>
          <w:lang w:val="en-GB"/>
        </w:rPr>
        <w:t>;</w:t>
      </w:r>
    </w:p>
    <w:p w14:paraId="0F84233E" w14:textId="0FD7F91E" w:rsidR="002631D1" w:rsidRDefault="002631D1" w:rsidP="00CE3140">
      <w:pPr>
        <w:pStyle w:val="ListParagraph"/>
        <w:numPr>
          <w:ilvl w:val="0"/>
          <w:numId w:val="25"/>
        </w:numPr>
        <w:rPr>
          <w:rFonts w:ascii="Arial" w:eastAsia="Arial" w:hAnsi="Arial" w:cs="Arial"/>
          <w:lang w:val="en-GB"/>
        </w:rPr>
      </w:pPr>
      <w:r w:rsidRPr="00247430">
        <w:rPr>
          <w:rFonts w:ascii="Arial" w:eastAsia="Arial" w:hAnsi="Arial" w:cs="Arial"/>
          <w:lang w:val="en-GB"/>
        </w:rPr>
        <w:t xml:space="preserve">a literature review and meta-analysis </w:t>
      </w:r>
      <w:r w:rsidR="005958AF">
        <w:rPr>
          <w:rFonts w:ascii="Arial" w:eastAsia="Arial" w:hAnsi="Arial" w:cs="Arial"/>
          <w:lang w:val="en-GB"/>
        </w:rPr>
        <w:t xml:space="preserve">of consumer understanding and motivations </w:t>
      </w:r>
      <w:r w:rsidRPr="00247430">
        <w:rPr>
          <w:rFonts w:ascii="Arial" w:eastAsia="Arial" w:hAnsi="Arial" w:cs="Arial"/>
          <w:lang w:val="en-GB"/>
        </w:rPr>
        <w:t>(FSANZ, 2021b)</w:t>
      </w:r>
      <w:r w:rsidR="002F769E">
        <w:rPr>
          <w:rFonts w:ascii="Arial" w:eastAsia="Arial" w:hAnsi="Arial" w:cs="Arial"/>
          <w:lang w:val="en-GB"/>
        </w:rPr>
        <w:t>;</w:t>
      </w:r>
      <w:r w:rsidRPr="00247430">
        <w:rPr>
          <w:rFonts w:ascii="Arial" w:eastAsia="Arial" w:hAnsi="Arial" w:cs="Arial"/>
          <w:lang w:val="en-GB"/>
        </w:rPr>
        <w:t xml:space="preserve"> </w:t>
      </w:r>
      <w:r w:rsidR="00735E47">
        <w:rPr>
          <w:rFonts w:ascii="Arial" w:eastAsia="Arial" w:hAnsi="Arial" w:cs="Arial"/>
          <w:lang w:val="en-GB"/>
        </w:rPr>
        <w:t>and</w:t>
      </w:r>
    </w:p>
    <w:p w14:paraId="112D59EA" w14:textId="457C49C7" w:rsidR="00F14066" w:rsidRDefault="002631D1" w:rsidP="00CE3140">
      <w:pPr>
        <w:pStyle w:val="ListParagraph"/>
        <w:numPr>
          <w:ilvl w:val="0"/>
          <w:numId w:val="25"/>
        </w:numPr>
        <w:rPr>
          <w:rFonts w:ascii="Arial" w:eastAsia="Arial" w:hAnsi="Arial" w:cs="Arial"/>
          <w:lang w:val="en-GB"/>
        </w:rPr>
      </w:pPr>
      <w:r w:rsidRPr="00247430">
        <w:rPr>
          <w:rFonts w:ascii="Arial" w:eastAsia="Arial" w:hAnsi="Arial" w:cs="Arial"/>
          <w:lang w:val="en-GB"/>
        </w:rPr>
        <w:t>best</w:t>
      </w:r>
      <w:r w:rsidR="009E3228">
        <w:rPr>
          <w:rFonts w:ascii="Arial" w:eastAsia="Arial" w:hAnsi="Arial" w:cs="Arial"/>
          <w:lang w:val="en-GB"/>
        </w:rPr>
        <w:t xml:space="preserve"> </w:t>
      </w:r>
      <w:r w:rsidRPr="00247430">
        <w:rPr>
          <w:rFonts w:ascii="Arial" w:eastAsia="Arial" w:hAnsi="Arial" w:cs="Arial"/>
          <w:lang w:val="en-GB"/>
        </w:rPr>
        <w:t>practice consumer testing of energy labelling</w:t>
      </w:r>
      <w:r w:rsidR="00CD0B90">
        <w:rPr>
          <w:rFonts w:ascii="Arial" w:eastAsia="Arial" w:hAnsi="Arial" w:cs="Arial"/>
          <w:lang w:val="en-GB"/>
        </w:rPr>
        <w:t xml:space="preserve"> </w:t>
      </w:r>
      <w:r w:rsidR="00F14066">
        <w:rPr>
          <w:rFonts w:ascii="Arial" w:eastAsia="Arial" w:hAnsi="Arial" w:cs="Arial"/>
          <w:lang w:val="en-GB"/>
        </w:rPr>
        <w:t>formats</w:t>
      </w:r>
      <w:r w:rsidR="00F14066" w:rsidRPr="00247430">
        <w:rPr>
          <w:rFonts w:ascii="Arial" w:eastAsia="Arial" w:hAnsi="Arial" w:cs="Arial"/>
          <w:lang w:val="en-GB"/>
        </w:rPr>
        <w:t xml:space="preserve"> </w:t>
      </w:r>
      <w:r w:rsidRPr="00247430">
        <w:rPr>
          <w:rFonts w:ascii="Arial" w:eastAsia="Arial" w:hAnsi="Arial" w:cs="Arial"/>
          <w:lang w:val="en-GB"/>
        </w:rPr>
        <w:t>(FSANZ 2023</w:t>
      </w:r>
      <w:r w:rsidR="00D13511">
        <w:rPr>
          <w:rFonts w:ascii="Arial" w:eastAsia="Arial" w:hAnsi="Arial" w:cs="Arial"/>
          <w:lang w:val="en-GB"/>
        </w:rPr>
        <w:t>a</w:t>
      </w:r>
      <w:r w:rsidRPr="00247430">
        <w:rPr>
          <w:rFonts w:ascii="Arial" w:eastAsia="Arial" w:hAnsi="Arial" w:cs="Arial"/>
          <w:lang w:val="en-GB"/>
        </w:rPr>
        <w:t xml:space="preserve">) </w:t>
      </w:r>
      <w:r w:rsidR="00A43299">
        <w:rPr>
          <w:rFonts w:ascii="Arial" w:eastAsia="Arial" w:hAnsi="Arial" w:cs="Arial"/>
          <w:lang w:val="en-GB"/>
        </w:rPr>
        <w:t xml:space="preserve">using a nationally representative sample of </w:t>
      </w:r>
      <w:r w:rsidR="00F14066">
        <w:rPr>
          <w:rFonts w:ascii="Arial" w:eastAsia="Arial" w:hAnsi="Arial" w:cs="Arial"/>
          <w:lang w:val="en-GB"/>
        </w:rPr>
        <w:t>more than 2,000 Australian and New Zealand consumers</w:t>
      </w:r>
      <w:r w:rsidR="00D5553A">
        <w:rPr>
          <w:rFonts w:ascii="Arial" w:eastAsia="Arial" w:hAnsi="Arial" w:cs="Arial"/>
          <w:lang w:val="en-GB"/>
        </w:rPr>
        <w:t xml:space="preserve"> of alcoholic beverages</w:t>
      </w:r>
      <w:r w:rsidR="00735E47">
        <w:rPr>
          <w:rFonts w:ascii="Arial" w:eastAsia="Arial" w:hAnsi="Arial" w:cs="Arial"/>
          <w:lang w:val="en-GB"/>
        </w:rPr>
        <w:t>.</w:t>
      </w:r>
    </w:p>
    <w:p w14:paraId="478CB309" w14:textId="77777777" w:rsidR="002631D1" w:rsidRPr="00B42080" w:rsidRDefault="002631D1" w:rsidP="00E65F24">
      <w:pPr>
        <w:spacing w:after="0"/>
        <w:rPr>
          <w:rFonts w:ascii="Arial" w:eastAsia="Arial" w:hAnsi="Arial" w:cs="Arial"/>
        </w:rPr>
      </w:pPr>
    </w:p>
    <w:p w14:paraId="66224A70" w14:textId="70E04688" w:rsidR="00B82956" w:rsidRPr="00247430" w:rsidRDefault="00B82956" w:rsidP="1A79B7AB">
      <w:pPr>
        <w:keepNext/>
        <w:keepLines/>
        <w:rPr>
          <w:rFonts w:ascii="Arial" w:eastAsia="Arial" w:hAnsi="Arial" w:cs="Times New Roman"/>
          <w:b/>
          <w:bCs/>
          <w:color w:val="000000" w:themeColor="text1"/>
          <w:lang w:val="en-GB" w:eastAsia="en-AU"/>
        </w:rPr>
      </w:pPr>
      <w:r w:rsidRPr="1A79B7AB">
        <w:rPr>
          <w:rFonts w:ascii="Arial" w:eastAsia="Arial" w:hAnsi="Arial" w:cs="Times New Roman"/>
          <w:b/>
          <w:bCs/>
          <w:color w:val="000000" w:themeColor="text1"/>
          <w:lang w:val="en-GB" w:eastAsia="en-AU"/>
        </w:rPr>
        <w:t xml:space="preserve">Option 1: </w:t>
      </w:r>
      <w:r w:rsidR="00706681" w:rsidRPr="1A79B7AB">
        <w:rPr>
          <w:rFonts w:ascii="Arial" w:eastAsia="Arial" w:hAnsi="Arial" w:cs="Times New Roman"/>
          <w:b/>
          <w:bCs/>
          <w:color w:val="000000" w:themeColor="text1"/>
          <w:lang w:val="en-GB" w:eastAsia="en-AU"/>
        </w:rPr>
        <w:t>Maintain</w:t>
      </w:r>
      <w:r w:rsidR="00716298" w:rsidRPr="1A79B7AB">
        <w:rPr>
          <w:rFonts w:ascii="Arial" w:eastAsia="Arial" w:hAnsi="Arial" w:cs="Times New Roman"/>
          <w:b/>
          <w:bCs/>
          <w:color w:val="000000" w:themeColor="text1"/>
          <w:lang w:val="en-GB" w:eastAsia="en-AU"/>
        </w:rPr>
        <w:t xml:space="preserve"> the </w:t>
      </w:r>
      <w:r w:rsidR="009D53E1">
        <w:rPr>
          <w:rFonts w:ascii="Arial" w:eastAsia="Arial" w:hAnsi="Arial" w:cs="Times New Roman"/>
          <w:b/>
          <w:bCs/>
          <w:color w:val="000000" w:themeColor="text1"/>
          <w:lang w:val="en-GB" w:eastAsia="en-AU"/>
        </w:rPr>
        <w:t>s</w:t>
      </w:r>
      <w:r w:rsidR="009D53E1" w:rsidRPr="1A79B7AB">
        <w:rPr>
          <w:rFonts w:ascii="Arial" w:eastAsia="Arial" w:hAnsi="Arial" w:cs="Times New Roman"/>
          <w:b/>
          <w:bCs/>
          <w:color w:val="000000" w:themeColor="text1"/>
          <w:lang w:val="en-GB" w:eastAsia="en-AU"/>
        </w:rPr>
        <w:t xml:space="preserve">tatus </w:t>
      </w:r>
      <w:r w:rsidR="009D53E1">
        <w:rPr>
          <w:rFonts w:ascii="Arial" w:eastAsia="Arial" w:hAnsi="Arial" w:cs="Times New Roman"/>
          <w:b/>
          <w:bCs/>
          <w:color w:val="000000" w:themeColor="text1"/>
          <w:lang w:val="en-GB" w:eastAsia="en-AU"/>
        </w:rPr>
        <w:t>q</w:t>
      </w:r>
      <w:r w:rsidR="009D53E1" w:rsidRPr="1A79B7AB">
        <w:rPr>
          <w:rFonts w:ascii="Arial" w:eastAsia="Arial" w:hAnsi="Arial" w:cs="Times New Roman"/>
          <w:b/>
          <w:bCs/>
          <w:color w:val="000000" w:themeColor="text1"/>
          <w:lang w:val="en-GB" w:eastAsia="en-AU"/>
        </w:rPr>
        <w:t>uo</w:t>
      </w:r>
      <w:r w:rsidRPr="1A79B7AB">
        <w:rPr>
          <w:rFonts w:ascii="Arial" w:eastAsia="Arial" w:hAnsi="Arial" w:cs="Times New Roman"/>
          <w:b/>
          <w:bCs/>
          <w:color w:val="000000" w:themeColor="text1"/>
          <w:lang w:val="en-GB" w:eastAsia="en-AU"/>
        </w:rPr>
        <w:t xml:space="preserve"> </w:t>
      </w:r>
    </w:p>
    <w:p w14:paraId="184BCAD4" w14:textId="77777777" w:rsidR="0028104A" w:rsidRPr="0028104A" w:rsidRDefault="0028104A" w:rsidP="00B42080">
      <w:pPr>
        <w:keepNext/>
        <w:keepLines/>
        <w:rPr>
          <w:rFonts w:ascii="Arial" w:eastAsia="Arial" w:hAnsi="Arial" w:cs="Arial"/>
          <w:lang w:val="en-NZ"/>
        </w:rPr>
      </w:pPr>
      <w:r w:rsidRPr="0028104A">
        <w:rPr>
          <w:rFonts w:ascii="Arial" w:eastAsia="Arial" w:hAnsi="Arial" w:cs="Arial"/>
          <w:lang w:val="en-NZ"/>
        </w:rPr>
        <w:t xml:space="preserve">In any consideration of changes to regulation, the status quo must be a part of FSANZ’s assessment. </w:t>
      </w:r>
    </w:p>
    <w:p w14:paraId="2EB0F0D2" w14:textId="2C09BCDD" w:rsidR="0028104A" w:rsidRPr="0028104A" w:rsidRDefault="0028104A" w:rsidP="0028104A">
      <w:pPr>
        <w:rPr>
          <w:rFonts w:ascii="Arial" w:eastAsia="Arial" w:hAnsi="Arial" w:cs="Arial"/>
          <w:lang w:val="en-NZ"/>
        </w:rPr>
      </w:pPr>
      <w:r w:rsidRPr="0028104A">
        <w:rPr>
          <w:rFonts w:ascii="Arial" w:eastAsia="Arial" w:hAnsi="Arial" w:cs="Arial"/>
          <w:lang w:val="en-NZ"/>
        </w:rPr>
        <w:t>Under this option, there would be no changes to the Code</w:t>
      </w:r>
      <w:r w:rsidR="007D55F0">
        <w:rPr>
          <w:rFonts w:ascii="Arial" w:eastAsia="Arial" w:hAnsi="Arial" w:cs="Arial"/>
          <w:lang w:val="en-NZ"/>
        </w:rPr>
        <w:t>.</w:t>
      </w:r>
      <w:r w:rsidRPr="0028104A">
        <w:rPr>
          <w:rFonts w:ascii="Arial" w:eastAsia="Arial" w:hAnsi="Arial" w:cs="Arial"/>
          <w:lang w:val="en-NZ"/>
        </w:rPr>
        <w:t xml:space="preserve"> </w:t>
      </w:r>
      <w:r w:rsidR="007D55F0">
        <w:rPr>
          <w:rFonts w:ascii="Arial" w:eastAsia="Arial" w:hAnsi="Arial" w:cs="Arial"/>
          <w:lang w:val="en-NZ"/>
        </w:rPr>
        <w:t>R</w:t>
      </w:r>
      <w:r w:rsidR="001C505F">
        <w:rPr>
          <w:rFonts w:ascii="Arial" w:eastAsia="Arial" w:hAnsi="Arial" w:cs="Arial"/>
          <w:lang w:val="en-NZ"/>
        </w:rPr>
        <w:t>egulatory arrangements for the</w:t>
      </w:r>
      <w:r w:rsidRPr="0028104A">
        <w:rPr>
          <w:rFonts w:ascii="Arial" w:eastAsia="Arial" w:hAnsi="Arial" w:cs="Arial"/>
          <w:lang w:val="en-NZ"/>
        </w:rPr>
        <w:t xml:space="preserve"> provision of energy content information </w:t>
      </w:r>
      <w:r w:rsidR="00810727">
        <w:rPr>
          <w:rFonts w:ascii="Arial" w:eastAsia="Arial" w:hAnsi="Arial" w:cs="Arial"/>
          <w:lang w:val="en-NZ"/>
        </w:rPr>
        <w:t xml:space="preserve">on </w:t>
      </w:r>
      <w:r w:rsidRPr="0028104A">
        <w:rPr>
          <w:rFonts w:ascii="Arial" w:eastAsia="Arial" w:hAnsi="Arial" w:cs="Arial"/>
          <w:lang w:val="en-NZ"/>
        </w:rPr>
        <w:t>alcoholic beverages would remain the same</w:t>
      </w:r>
      <w:r w:rsidR="00F91D3E">
        <w:rPr>
          <w:rFonts w:ascii="Arial" w:eastAsia="Arial" w:hAnsi="Arial" w:cs="Arial"/>
          <w:lang w:val="en-NZ"/>
        </w:rPr>
        <w:t>. S</w:t>
      </w:r>
      <w:r w:rsidRPr="0028104A">
        <w:rPr>
          <w:rFonts w:ascii="Arial" w:eastAsia="Arial" w:hAnsi="Arial" w:cs="Arial"/>
          <w:lang w:val="en-NZ"/>
        </w:rPr>
        <w:t>tandardised alcoholic beverages and beverages containing no less than 0.5% ABV that are not standardised alcoholic beverages would remain exempt from the requirement to be labelled with a NIP</w:t>
      </w:r>
      <w:r>
        <w:rPr>
          <w:rFonts w:ascii="Arial" w:eastAsia="Arial" w:hAnsi="Arial" w:cs="Arial"/>
          <w:lang w:val="en-NZ"/>
        </w:rPr>
        <w:t xml:space="preserve"> and therefore</w:t>
      </w:r>
      <w:r w:rsidR="00960D74">
        <w:rPr>
          <w:rFonts w:ascii="Arial" w:eastAsia="Arial" w:hAnsi="Arial" w:cs="Arial"/>
          <w:lang w:val="en-NZ"/>
        </w:rPr>
        <w:t xml:space="preserve"> </w:t>
      </w:r>
      <w:r w:rsidR="00534620">
        <w:rPr>
          <w:rFonts w:ascii="Arial" w:eastAsia="Arial" w:hAnsi="Arial" w:cs="Arial"/>
          <w:lang w:val="en-NZ"/>
        </w:rPr>
        <w:t>exempt from</w:t>
      </w:r>
      <w:r w:rsidR="00960D74">
        <w:rPr>
          <w:rFonts w:ascii="Arial" w:eastAsia="Arial" w:hAnsi="Arial" w:cs="Arial"/>
          <w:lang w:val="en-NZ"/>
        </w:rPr>
        <w:t xml:space="preserve"> any</w:t>
      </w:r>
      <w:r>
        <w:rPr>
          <w:rFonts w:ascii="Arial" w:eastAsia="Arial" w:hAnsi="Arial" w:cs="Arial"/>
          <w:lang w:val="en-NZ"/>
        </w:rPr>
        <w:t xml:space="preserve"> energy content information</w:t>
      </w:r>
      <w:r w:rsidR="002A56D5">
        <w:rPr>
          <w:rFonts w:ascii="Arial" w:eastAsia="Arial" w:hAnsi="Arial" w:cs="Arial"/>
          <w:lang w:val="en-NZ"/>
        </w:rPr>
        <w:t xml:space="preserve"> requirements</w:t>
      </w:r>
      <w:r w:rsidRPr="0028104A">
        <w:rPr>
          <w:rFonts w:ascii="Arial" w:eastAsia="Arial" w:hAnsi="Arial" w:cs="Arial"/>
          <w:lang w:val="en-NZ"/>
        </w:rPr>
        <w:t xml:space="preserve">. </w:t>
      </w:r>
      <w:r w:rsidR="00774FEB">
        <w:rPr>
          <w:rFonts w:ascii="Arial" w:eastAsia="Arial" w:hAnsi="Arial" w:cs="Arial"/>
          <w:lang w:val="en-NZ"/>
        </w:rPr>
        <w:t xml:space="preserve">That is unless a NIP requirement is triggered </w:t>
      </w:r>
      <w:r w:rsidR="00F40A22">
        <w:rPr>
          <w:rFonts w:ascii="Arial" w:eastAsia="Arial" w:hAnsi="Arial" w:cs="Arial"/>
          <w:lang w:val="en-NZ"/>
        </w:rPr>
        <w:t xml:space="preserve">under </w:t>
      </w:r>
      <w:r w:rsidR="00F40A22" w:rsidRPr="00AE30CE">
        <w:rPr>
          <w:rFonts w:ascii="Arial" w:hAnsi="Arial" w:cs="Arial"/>
          <w:snapToGrid w:val="0"/>
          <w:lang w:val="en-GB"/>
        </w:rPr>
        <w:t>1.2</w:t>
      </w:r>
      <w:r w:rsidR="00F40A22">
        <w:rPr>
          <w:rFonts w:ascii="Arial" w:hAnsi="Arial" w:cs="Arial"/>
          <w:snapToGrid w:val="0"/>
          <w:lang w:val="en-GB"/>
        </w:rPr>
        <w:t>.8</w:t>
      </w:r>
      <w:r w:rsidR="00F40A22" w:rsidRPr="00AE30CE">
        <w:rPr>
          <w:rFonts w:ascii="Arial" w:hAnsi="Arial" w:cs="Arial"/>
          <w:snapToGrid w:val="0"/>
          <w:lang w:val="en-GB"/>
        </w:rPr>
        <w:t>—</w:t>
      </w:r>
      <w:r w:rsidR="00F40A22">
        <w:rPr>
          <w:rFonts w:ascii="Arial" w:hAnsi="Arial" w:cs="Arial"/>
          <w:snapToGrid w:val="0"/>
          <w:lang w:val="en-GB"/>
        </w:rPr>
        <w:t>5</w:t>
      </w:r>
      <w:r w:rsidR="00F40A22" w:rsidRPr="00AE30CE">
        <w:rPr>
          <w:rFonts w:ascii="Arial" w:hAnsi="Arial" w:cs="Arial"/>
          <w:snapToGrid w:val="0"/>
          <w:lang w:val="en-GB"/>
        </w:rPr>
        <w:t xml:space="preserve"> of the Code</w:t>
      </w:r>
      <w:r w:rsidR="00F40A22">
        <w:rPr>
          <w:rFonts w:ascii="Arial" w:eastAsia="Arial" w:hAnsi="Arial" w:cs="Arial"/>
          <w:lang w:val="en-NZ"/>
        </w:rPr>
        <w:t xml:space="preserve"> </w:t>
      </w:r>
      <w:r w:rsidR="00774FEB">
        <w:rPr>
          <w:rFonts w:ascii="Arial" w:eastAsia="Arial" w:hAnsi="Arial" w:cs="Arial"/>
          <w:lang w:val="en-NZ"/>
        </w:rPr>
        <w:t xml:space="preserve">because of </w:t>
      </w:r>
      <w:r w:rsidR="001C505F">
        <w:rPr>
          <w:rFonts w:ascii="Arial" w:eastAsia="Arial" w:hAnsi="Arial" w:cs="Arial"/>
          <w:lang w:val="en-NZ"/>
        </w:rPr>
        <w:t xml:space="preserve">a </w:t>
      </w:r>
      <w:r w:rsidR="00774FEB">
        <w:rPr>
          <w:rFonts w:ascii="Arial" w:eastAsia="Arial" w:hAnsi="Arial" w:cs="Arial"/>
          <w:lang w:val="en-NZ"/>
        </w:rPr>
        <w:t>claim</w:t>
      </w:r>
      <w:r w:rsidR="00F40A22">
        <w:rPr>
          <w:rFonts w:ascii="Arial" w:eastAsia="Arial" w:hAnsi="Arial" w:cs="Arial"/>
          <w:lang w:val="en-NZ"/>
        </w:rPr>
        <w:t xml:space="preserve"> </w:t>
      </w:r>
      <w:r w:rsidR="00774FEB">
        <w:rPr>
          <w:rFonts w:ascii="Arial" w:eastAsia="Arial" w:hAnsi="Arial" w:cs="Arial"/>
          <w:lang w:val="en-NZ"/>
        </w:rPr>
        <w:t>(currently for around 6% of SKUs).</w:t>
      </w:r>
    </w:p>
    <w:p w14:paraId="20CB7D6F" w14:textId="3FA0C5AD" w:rsidR="00F736B5" w:rsidRDefault="00BF2AB2" w:rsidP="00E65F24">
      <w:pPr>
        <w:spacing w:after="240"/>
        <w:rPr>
          <w:rFonts w:ascii="Arial" w:eastAsia="Arial" w:hAnsi="Arial" w:cs="Arial"/>
          <w:lang w:val="en-NZ"/>
        </w:rPr>
      </w:pPr>
      <w:r>
        <w:rPr>
          <w:rFonts w:ascii="Arial" w:eastAsia="Arial" w:hAnsi="Arial" w:cs="Arial"/>
          <w:lang w:val="en-NZ"/>
        </w:rPr>
        <w:t>Voluntary p</w:t>
      </w:r>
      <w:r w:rsidR="0028104A" w:rsidRPr="0028104A">
        <w:rPr>
          <w:rFonts w:ascii="Arial" w:eastAsia="Arial" w:hAnsi="Arial" w:cs="Arial"/>
          <w:lang w:val="en-NZ"/>
        </w:rPr>
        <w:t>rovision of a NIP</w:t>
      </w:r>
      <w:r w:rsidR="00735E47">
        <w:rPr>
          <w:rFonts w:ascii="Arial" w:eastAsia="Arial" w:hAnsi="Arial" w:cs="Arial"/>
          <w:lang w:val="en-NZ"/>
        </w:rPr>
        <w:t xml:space="preserve"> </w:t>
      </w:r>
      <w:r w:rsidR="00810727">
        <w:rPr>
          <w:rFonts w:ascii="Arial" w:eastAsia="Arial" w:hAnsi="Arial" w:cs="Arial"/>
          <w:lang w:val="en-NZ"/>
        </w:rPr>
        <w:t xml:space="preserve">containing average </w:t>
      </w:r>
      <w:r w:rsidR="0028104A" w:rsidRPr="0028104A">
        <w:rPr>
          <w:rFonts w:ascii="Arial" w:eastAsia="Arial" w:hAnsi="Arial" w:cs="Arial"/>
          <w:lang w:val="en-NZ"/>
        </w:rPr>
        <w:t>energy content information would still be permitted</w:t>
      </w:r>
      <w:r w:rsidR="00590A1D">
        <w:rPr>
          <w:rFonts w:ascii="Arial" w:eastAsia="Arial" w:hAnsi="Arial" w:cs="Arial"/>
          <w:lang w:val="en-NZ"/>
        </w:rPr>
        <w:t>,</w:t>
      </w:r>
      <w:r w:rsidR="00F45C86">
        <w:rPr>
          <w:rFonts w:ascii="Arial" w:eastAsia="Arial" w:hAnsi="Arial" w:cs="Arial"/>
          <w:lang w:val="en-NZ"/>
        </w:rPr>
        <w:t xml:space="preserve"> </w:t>
      </w:r>
      <w:r w:rsidR="00F45C86" w:rsidRPr="00CD2810">
        <w:rPr>
          <w:rFonts w:ascii="Arial" w:eastAsia="Arial" w:hAnsi="Arial" w:cs="Arial"/>
          <w:lang w:val="en-NZ"/>
        </w:rPr>
        <w:t>however the format and content would not be specifically prescribed</w:t>
      </w:r>
      <w:r w:rsidR="0028104A" w:rsidRPr="0028104A">
        <w:rPr>
          <w:rFonts w:ascii="Arial" w:eastAsia="Arial" w:hAnsi="Arial" w:cs="Arial"/>
          <w:lang w:val="en-NZ"/>
        </w:rPr>
        <w:t>.</w:t>
      </w:r>
      <w:r w:rsidR="002B6319">
        <w:rPr>
          <w:rFonts w:ascii="Arial" w:eastAsia="Arial" w:hAnsi="Arial" w:cs="Arial"/>
          <w:lang w:val="en-NZ"/>
        </w:rPr>
        <w:t xml:space="preserve"> </w:t>
      </w:r>
    </w:p>
    <w:p w14:paraId="3A22347F" w14:textId="48D9203D" w:rsidR="00C03F47" w:rsidRPr="000828D1" w:rsidRDefault="00EA1D73" w:rsidP="000828D1">
      <w:pPr>
        <w:rPr>
          <w:rFonts w:ascii="Arial" w:eastAsia="Arial" w:hAnsi="Arial" w:cs="Times New Roman"/>
          <w:b/>
          <w:bCs/>
          <w:color w:val="000000" w:themeColor="text1"/>
          <w:szCs w:val="24"/>
          <w:lang w:val="en-GB" w:eastAsia="en-AU"/>
        </w:rPr>
      </w:pPr>
      <w:r w:rsidRPr="000828D1">
        <w:rPr>
          <w:rFonts w:ascii="Arial" w:eastAsia="Arial" w:hAnsi="Arial" w:cs="Times New Roman"/>
          <w:b/>
          <w:bCs/>
          <w:color w:val="000000" w:themeColor="text1"/>
          <w:szCs w:val="24"/>
          <w:lang w:val="en-GB" w:eastAsia="en-AU"/>
        </w:rPr>
        <w:t xml:space="preserve">Option 2: </w:t>
      </w:r>
      <w:r w:rsidR="00562140" w:rsidRPr="000828D1">
        <w:rPr>
          <w:rFonts w:ascii="Arial" w:eastAsia="Arial" w:hAnsi="Arial" w:cs="Times New Roman"/>
          <w:b/>
          <w:bCs/>
          <w:color w:val="000000" w:themeColor="text1"/>
          <w:szCs w:val="24"/>
          <w:lang w:val="en-GB" w:eastAsia="en-AU"/>
        </w:rPr>
        <w:t>Require</w:t>
      </w:r>
      <w:r w:rsidR="007634C6" w:rsidRPr="000828D1">
        <w:rPr>
          <w:rFonts w:ascii="Arial" w:eastAsia="Arial" w:hAnsi="Arial" w:cs="Times New Roman"/>
          <w:b/>
          <w:bCs/>
          <w:color w:val="000000" w:themeColor="text1"/>
          <w:szCs w:val="24"/>
          <w:lang w:val="en-GB" w:eastAsia="en-AU"/>
        </w:rPr>
        <w:t xml:space="preserve"> </w:t>
      </w:r>
      <w:r w:rsidR="00C03F47" w:rsidRPr="000828D1">
        <w:rPr>
          <w:rFonts w:ascii="Arial" w:eastAsia="Arial" w:hAnsi="Arial" w:cs="Times New Roman"/>
          <w:b/>
          <w:bCs/>
          <w:color w:val="000000" w:themeColor="text1"/>
          <w:szCs w:val="24"/>
          <w:lang w:val="en-GB" w:eastAsia="en-AU"/>
        </w:rPr>
        <w:t xml:space="preserve">an energy statement </w:t>
      </w:r>
    </w:p>
    <w:p w14:paraId="337517AE" w14:textId="1C13771D" w:rsidR="00F847ED" w:rsidRDefault="00EE2769" w:rsidP="0056032D">
      <w:pPr>
        <w:rPr>
          <w:rFonts w:ascii="Arial" w:eastAsia="Arial" w:hAnsi="Arial" w:cs="Arial"/>
          <w:lang w:val="en-NZ"/>
        </w:rPr>
      </w:pPr>
      <w:r w:rsidRPr="1A79B7AB">
        <w:rPr>
          <w:rFonts w:ascii="Arial" w:eastAsia="Arial" w:hAnsi="Arial" w:cs="Arial"/>
          <w:lang w:val="en-NZ"/>
        </w:rPr>
        <w:t>E</w:t>
      </w:r>
      <w:r w:rsidR="007634C6" w:rsidRPr="1A79B7AB">
        <w:rPr>
          <w:rFonts w:ascii="Arial" w:eastAsia="Arial" w:hAnsi="Arial" w:cs="Arial"/>
          <w:lang w:val="en-NZ"/>
        </w:rPr>
        <w:t xml:space="preserve">nergy content information </w:t>
      </w:r>
      <w:r w:rsidR="00C03F47" w:rsidRPr="1A79B7AB">
        <w:rPr>
          <w:rFonts w:ascii="Arial" w:eastAsia="Arial" w:hAnsi="Arial" w:cs="Arial"/>
          <w:lang w:val="en-NZ"/>
        </w:rPr>
        <w:t xml:space="preserve">would be required </w:t>
      </w:r>
      <w:r w:rsidR="00BF2AB2" w:rsidRPr="1A79B7AB">
        <w:rPr>
          <w:rFonts w:ascii="Arial" w:eastAsia="Arial" w:hAnsi="Arial" w:cs="Arial"/>
          <w:lang w:val="en-NZ"/>
        </w:rPr>
        <w:t xml:space="preserve">on all in-scope alcoholic beverages. </w:t>
      </w:r>
      <w:r w:rsidRPr="1A79B7AB">
        <w:rPr>
          <w:rFonts w:ascii="Arial" w:eastAsia="Arial" w:hAnsi="Arial" w:cs="Arial"/>
          <w:lang w:val="en-NZ"/>
        </w:rPr>
        <w:t>Unless labelled with a NIP</w:t>
      </w:r>
      <w:r w:rsidR="00A2664B">
        <w:rPr>
          <w:rFonts w:ascii="Arial" w:eastAsia="Arial" w:hAnsi="Arial" w:cs="Arial"/>
          <w:lang w:val="en-NZ"/>
        </w:rPr>
        <w:t xml:space="preserve"> (see Figure 1-4)</w:t>
      </w:r>
      <w:r w:rsidRPr="1A79B7AB">
        <w:rPr>
          <w:rFonts w:ascii="Arial" w:eastAsia="Arial" w:hAnsi="Arial" w:cs="Arial"/>
          <w:lang w:val="en-NZ"/>
        </w:rPr>
        <w:t>, t</w:t>
      </w:r>
      <w:r w:rsidR="00BF2AB2" w:rsidRPr="1A79B7AB">
        <w:rPr>
          <w:rFonts w:ascii="Arial" w:eastAsia="Arial" w:hAnsi="Arial" w:cs="Arial"/>
          <w:lang w:val="en-NZ"/>
        </w:rPr>
        <w:t xml:space="preserve">hat energy content information would </w:t>
      </w:r>
      <w:r w:rsidR="003752A3" w:rsidRPr="1A79B7AB">
        <w:rPr>
          <w:rFonts w:ascii="Arial" w:eastAsia="Arial" w:hAnsi="Arial" w:cs="Arial"/>
          <w:lang w:val="en-NZ"/>
        </w:rPr>
        <w:t>be required in the following</w:t>
      </w:r>
      <w:r w:rsidR="007634C6" w:rsidRPr="1A79B7AB">
        <w:rPr>
          <w:rFonts w:ascii="Arial" w:eastAsia="Arial" w:hAnsi="Arial" w:cs="Arial"/>
          <w:lang w:val="en-NZ"/>
        </w:rPr>
        <w:t xml:space="preserve"> prescribed format (called an energy statement)</w:t>
      </w:r>
      <w:r w:rsidR="00441720" w:rsidRPr="1A79B7AB">
        <w:rPr>
          <w:rFonts w:ascii="Arial" w:eastAsia="Arial" w:hAnsi="Arial" w:cs="Arial"/>
          <w:lang w:val="en-NZ"/>
        </w:rPr>
        <w:t>:</w:t>
      </w:r>
    </w:p>
    <w:tbl>
      <w:tblPr>
        <w:tblW w:w="6794" w:type="dxa"/>
        <w:jc w:val="center"/>
        <w:tblCellMar>
          <w:left w:w="0" w:type="dxa"/>
          <w:right w:w="0" w:type="dxa"/>
        </w:tblCellMar>
        <w:tblLook w:val="04A0" w:firstRow="1" w:lastRow="0" w:firstColumn="1" w:lastColumn="0" w:noHBand="0" w:noVBand="1"/>
      </w:tblPr>
      <w:tblGrid>
        <w:gridCol w:w="2110"/>
        <w:gridCol w:w="2766"/>
        <w:gridCol w:w="1918"/>
      </w:tblGrid>
      <w:tr w:rsidR="00BF30F1" w:rsidRPr="0038501B" w:rsidDel="00DF11FD" w14:paraId="77891746" w14:textId="77777777" w:rsidTr="6A15B411">
        <w:trPr>
          <w:jc w:val="center"/>
        </w:trPr>
        <w:tc>
          <w:tcPr>
            <w:tcW w:w="6794"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1F4C7F" w14:textId="77777777" w:rsidR="00BF30F1" w:rsidRPr="00223266" w:rsidDel="00DF11FD" w:rsidRDefault="00BF30F1" w:rsidP="00FC0E2A">
            <w:pPr>
              <w:keepLines/>
              <w:tabs>
                <w:tab w:val="right" w:pos="3969"/>
              </w:tabs>
              <w:spacing w:before="60" w:after="60"/>
              <w:jc w:val="center"/>
              <w:rPr>
                <w:rFonts w:ascii="Arial" w:hAnsi="Arial" w:cs="Arial"/>
                <w:sz w:val="18"/>
                <w:szCs w:val="20"/>
              </w:rPr>
            </w:pPr>
            <w:r w:rsidRPr="00223266" w:rsidDel="00DF11FD">
              <w:rPr>
                <w:rFonts w:ascii="Arial" w:hAnsi="Arial" w:cs="Arial"/>
                <w:sz w:val="18"/>
                <w:szCs w:val="20"/>
              </w:rPr>
              <w:br w:type="page"/>
              <w:t>ENERGY INFORMATION</w:t>
            </w:r>
          </w:p>
          <w:p w14:paraId="38C682B2" w14:textId="77777777" w:rsidR="00BF30F1" w:rsidRPr="00223266" w:rsidDel="00DF11FD" w:rsidRDefault="00BF30F1" w:rsidP="00FC0E2A">
            <w:pPr>
              <w:keepLines/>
              <w:tabs>
                <w:tab w:val="right" w:pos="3969"/>
              </w:tabs>
              <w:spacing w:before="60" w:after="60"/>
              <w:rPr>
                <w:rFonts w:ascii="Arial" w:hAnsi="Arial" w:cs="Arial"/>
                <w:sz w:val="18"/>
                <w:szCs w:val="20"/>
                <w:lang w:eastAsia="en-AU"/>
              </w:rPr>
            </w:pPr>
            <w:r w:rsidRPr="00223266" w:rsidDel="00DF11FD">
              <w:rPr>
                <w:rFonts w:ascii="Arial" w:hAnsi="Arial" w:cs="Arial"/>
                <w:sz w:val="18"/>
                <w:szCs w:val="20"/>
                <w:lang w:eastAsia="en-AU"/>
              </w:rPr>
              <w:t>Servings per package: (insert number of servings)</w:t>
            </w:r>
          </w:p>
          <w:p w14:paraId="3290C959" w14:textId="6FAFA656" w:rsidR="00BF30F1" w:rsidRPr="00223266" w:rsidDel="00DF11FD" w:rsidRDefault="00BF30F1" w:rsidP="00FC0E2A">
            <w:pPr>
              <w:keepLines/>
              <w:tabs>
                <w:tab w:val="right" w:pos="3969"/>
              </w:tabs>
              <w:spacing w:before="60" w:after="60"/>
              <w:rPr>
                <w:rFonts w:ascii="Arial" w:hAnsi="Arial" w:cs="Arial"/>
                <w:sz w:val="18"/>
                <w:szCs w:val="20"/>
                <w:lang w:eastAsia="en-AU"/>
              </w:rPr>
            </w:pPr>
            <w:r w:rsidRPr="00223266" w:rsidDel="00DF11FD">
              <w:rPr>
                <w:rFonts w:ascii="Arial" w:hAnsi="Arial" w:cs="Arial"/>
                <w:sz w:val="18"/>
                <w:szCs w:val="20"/>
                <w:lang w:eastAsia="en-AU"/>
              </w:rPr>
              <w:t xml:space="preserve">Serving size:  mL </w:t>
            </w:r>
          </w:p>
        </w:tc>
      </w:tr>
      <w:tr w:rsidR="00BF30F1" w:rsidRPr="0038501B" w:rsidDel="00DF11FD" w14:paraId="60D42948" w14:textId="77777777" w:rsidTr="6A15B411">
        <w:trPr>
          <w:trHeight w:val="323"/>
          <w:jc w:val="center"/>
        </w:trPr>
        <w:tc>
          <w:tcPr>
            <w:tcW w:w="2110" w:type="dxa"/>
            <w:tcBorders>
              <w:top w:val="nil"/>
              <w:left w:val="single" w:sz="8" w:space="0" w:color="auto"/>
              <w:bottom w:val="single" w:sz="8" w:space="0" w:color="auto"/>
              <w:right w:val="nil"/>
            </w:tcBorders>
            <w:tcMar>
              <w:top w:w="0" w:type="dxa"/>
              <w:left w:w="108" w:type="dxa"/>
              <w:bottom w:w="0" w:type="dxa"/>
              <w:right w:w="108" w:type="dxa"/>
            </w:tcMar>
            <w:hideMark/>
          </w:tcPr>
          <w:p w14:paraId="614EBE41" w14:textId="77777777" w:rsidR="00BF30F1" w:rsidRPr="00223266" w:rsidDel="00DF11FD" w:rsidRDefault="00BF30F1" w:rsidP="00FC0E2A">
            <w:pPr>
              <w:keepLines/>
              <w:tabs>
                <w:tab w:val="right" w:pos="3969"/>
              </w:tabs>
              <w:spacing w:before="60" w:after="60"/>
              <w:rPr>
                <w:rFonts w:ascii="Arial" w:hAnsi="Arial" w:cs="Arial"/>
                <w:sz w:val="18"/>
                <w:szCs w:val="20"/>
                <w:lang w:eastAsia="en-AU"/>
              </w:rPr>
            </w:pPr>
            <w:r w:rsidRPr="00223266" w:rsidDel="00DF11FD">
              <w:rPr>
                <w:rFonts w:ascii="Arial" w:hAnsi="Arial" w:cs="Arial"/>
                <w:sz w:val="18"/>
                <w:szCs w:val="20"/>
                <w:lang w:eastAsia="en-AU"/>
              </w:rPr>
              <w:t> </w:t>
            </w:r>
          </w:p>
        </w:tc>
        <w:tc>
          <w:tcPr>
            <w:tcW w:w="2766" w:type="dxa"/>
            <w:tcBorders>
              <w:top w:val="nil"/>
              <w:left w:val="nil"/>
              <w:bottom w:val="single" w:sz="8" w:space="0" w:color="auto"/>
              <w:right w:val="nil"/>
            </w:tcBorders>
            <w:tcMar>
              <w:top w:w="0" w:type="dxa"/>
              <w:left w:w="108" w:type="dxa"/>
              <w:bottom w:w="0" w:type="dxa"/>
              <w:right w:w="108" w:type="dxa"/>
            </w:tcMar>
            <w:hideMark/>
          </w:tcPr>
          <w:p w14:paraId="24E5BE1F" w14:textId="77777777" w:rsidR="00BF30F1" w:rsidRPr="00223266" w:rsidDel="00DF11FD" w:rsidRDefault="00BF30F1" w:rsidP="00FC0E2A">
            <w:pPr>
              <w:keepLines/>
              <w:tabs>
                <w:tab w:val="right" w:pos="3969"/>
              </w:tabs>
              <w:spacing w:before="60" w:after="60"/>
              <w:rPr>
                <w:rFonts w:ascii="Arial" w:hAnsi="Arial" w:cs="Arial"/>
                <w:sz w:val="18"/>
                <w:szCs w:val="20"/>
                <w:lang w:eastAsia="en-AU"/>
              </w:rPr>
            </w:pPr>
            <w:r w:rsidRPr="00223266" w:rsidDel="00DF11FD">
              <w:rPr>
                <w:rFonts w:ascii="Arial" w:hAnsi="Arial" w:cs="Arial"/>
                <w:sz w:val="18"/>
                <w:szCs w:val="20"/>
                <w:lang w:eastAsia="en-AU"/>
              </w:rPr>
              <w:t>Quantity per serving</w:t>
            </w:r>
          </w:p>
        </w:tc>
        <w:tc>
          <w:tcPr>
            <w:tcW w:w="1918" w:type="dxa"/>
            <w:tcBorders>
              <w:top w:val="nil"/>
              <w:left w:val="nil"/>
              <w:bottom w:val="single" w:sz="8" w:space="0" w:color="auto"/>
              <w:right w:val="single" w:sz="8" w:space="0" w:color="auto"/>
            </w:tcBorders>
            <w:tcMar>
              <w:top w:w="0" w:type="dxa"/>
              <w:left w:w="108" w:type="dxa"/>
              <w:bottom w:w="0" w:type="dxa"/>
              <w:right w:w="108" w:type="dxa"/>
            </w:tcMar>
            <w:hideMark/>
          </w:tcPr>
          <w:p w14:paraId="1CBB846E" w14:textId="77777777" w:rsidR="00BF30F1" w:rsidRPr="00223266" w:rsidDel="00DF11FD" w:rsidRDefault="00BF30F1" w:rsidP="6A15B411">
            <w:pPr>
              <w:keepLines/>
              <w:tabs>
                <w:tab w:val="right" w:pos="3969"/>
              </w:tabs>
              <w:spacing w:before="60" w:after="60"/>
              <w:rPr>
                <w:rFonts w:ascii="Arial" w:hAnsi="Arial" w:cs="Arial"/>
                <w:sz w:val="18"/>
                <w:szCs w:val="18"/>
                <w:lang w:eastAsia="en-AU"/>
              </w:rPr>
            </w:pPr>
            <w:r w:rsidRPr="6A15B411">
              <w:rPr>
                <w:rFonts w:ascii="Arial" w:hAnsi="Arial" w:cs="Arial"/>
                <w:sz w:val="18"/>
                <w:szCs w:val="18"/>
                <w:lang w:eastAsia="en-AU"/>
              </w:rPr>
              <w:t>Quantity per 100 mL</w:t>
            </w:r>
          </w:p>
        </w:tc>
      </w:tr>
      <w:tr w:rsidR="00BF30F1" w:rsidRPr="0038501B" w:rsidDel="00DF11FD" w14:paraId="32C8EBEB" w14:textId="77777777" w:rsidTr="6A15B411">
        <w:trPr>
          <w:jc w:val="center"/>
        </w:trPr>
        <w:tc>
          <w:tcPr>
            <w:tcW w:w="2110"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46408746" w14:textId="77777777" w:rsidR="00BF30F1" w:rsidRPr="00223266" w:rsidDel="00DF11FD" w:rsidRDefault="00BF30F1" w:rsidP="00FC0E2A">
            <w:pPr>
              <w:keepLines/>
              <w:tabs>
                <w:tab w:val="right" w:pos="3969"/>
              </w:tabs>
              <w:spacing w:before="60" w:after="60"/>
              <w:rPr>
                <w:rFonts w:ascii="Arial" w:hAnsi="Arial" w:cs="Arial"/>
                <w:sz w:val="18"/>
                <w:szCs w:val="20"/>
                <w:lang w:eastAsia="en-AU"/>
              </w:rPr>
            </w:pPr>
            <w:r w:rsidRPr="00223266" w:rsidDel="00DF11FD">
              <w:rPr>
                <w:rFonts w:ascii="Arial" w:hAnsi="Arial" w:cs="Arial"/>
                <w:sz w:val="18"/>
                <w:szCs w:val="20"/>
                <w:lang w:eastAsia="en-AU"/>
              </w:rPr>
              <w:t>Energy</w:t>
            </w:r>
          </w:p>
        </w:tc>
        <w:tc>
          <w:tcPr>
            <w:tcW w:w="2766" w:type="dxa"/>
            <w:tcBorders>
              <w:top w:val="single" w:sz="8" w:space="0" w:color="auto"/>
              <w:bottom w:val="single" w:sz="8" w:space="0" w:color="auto"/>
            </w:tcBorders>
            <w:tcMar>
              <w:top w:w="0" w:type="dxa"/>
              <w:left w:w="108" w:type="dxa"/>
              <w:bottom w:w="0" w:type="dxa"/>
              <w:right w:w="108" w:type="dxa"/>
            </w:tcMar>
            <w:hideMark/>
          </w:tcPr>
          <w:p w14:paraId="34925349" w14:textId="77777777" w:rsidR="00BF30F1" w:rsidRPr="00223266" w:rsidDel="00DF11FD" w:rsidRDefault="00BF30F1" w:rsidP="00FC0E2A">
            <w:pPr>
              <w:keepLines/>
              <w:tabs>
                <w:tab w:val="right" w:pos="3969"/>
              </w:tabs>
              <w:spacing w:before="60" w:after="60"/>
              <w:rPr>
                <w:rFonts w:ascii="Arial" w:hAnsi="Arial" w:cs="Arial"/>
                <w:sz w:val="18"/>
                <w:szCs w:val="20"/>
                <w:lang w:eastAsia="en-AU"/>
              </w:rPr>
            </w:pPr>
            <w:r w:rsidRPr="00223266" w:rsidDel="00DF11FD">
              <w:rPr>
                <w:rFonts w:ascii="Arial" w:hAnsi="Arial" w:cs="Arial"/>
                <w:sz w:val="18"/>
                <w:szCs w:val="20"/>
                <w:lang w:eastAsia="en-AU"/>
              </w:rPr>
              <w:t>kJ (Cal)</w:t>
            </w:r>
          </w:p>
        </w:tc>
        <w:tc>
          <w:tcPr>
            <w:tcW w:w="1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91DC9A" w14:textId="77777777" w:rsidR="00BF30F1" w:rsidRPr="00223266" w:rsidDel="00DF11FD" w:rsidRDefault="00BF30F1" w:rsidP="00FC0E2A">
            <w:pPr>
              <w:keepLines/>
              <w:tabs>
                <w:tab w:val="right" w:pos="3969"/>
              </w:tabs>
              <w:spacing w:before="60" w:after="60"/>
              <w:rPr>
                <w:rFonts w:ascii="Arial" w:hAnsi="Arial" w:cs="Arial"/>
                <w:sz w:val="18"/>
                <w:szCs w:val="20"/>
                <w:lang w:eastAsia="en-AU"/>
              </w:rPr>
            </w:pPr>
            <w:r w:rsidRPr="00223266" w:rsidDel="00DF11FD">
              <w:rPr>
                <w:rFonts w:ascii="Arial" w:hAnsi="Arial" w:cs="Arial"/>
                <w:sz w:val="18"/>
                <w:szCs w:val="20"/>
                <w:lang w:eastAsia="en-AU"/>
              </w:rPr>
              <w:t>kJ (Cal)</w:t>
            </w:r>
          </w:p>
        </w:tc>
      </w:tr>
    </w:tbl>
    <w:p w14:paraId="072B34E9" w14:textId="6DE3ADF5" w:rsidR="00F847ED" w:rsidRPr="008F18CF" w:rsidRDefault="007634C6" w:rsidP="00F847ED">
      <w:pPr>
        <w:rPr>
          <w:rFonts w:ascii="Arial" w:hAnsi="Arial" w:cs="Arial"/>
          <w:snapToGrid w:val="0"/>
          <w:color w:val="000000" w:themeColor="text1"/>
          <w:lang w:val="en-GB"/>
        </w:rPr>
      </w:pPr>
      <w:r>
        <w:rPr>
          <w:rFonts w:ascii="Arial" w:hAnsi="Arial" w:cs="Arial"/>
          <w:snapToGrid w:val="0"/>
          <w:color w:val="000000" w:themeColor="text1"/>
          <w:lang w:val="en-GB"/>
        </w:rPr>
        <w:lastRenderedPageBreak/>
        <w:t>T</w:t>
      </w:r>
      <w:r w:rsidR="00F847ED" w:rsidRPr="008F18CF">
        <w:rPr>
          <w:rFonts w:ascii="Arial" w:hAnsi="Arial" w:cs="Arial"/>
          <w:snapToGrid w:val="0"/>
          <w:color w:val="000000" w:themeColor="text1"/>
          <w:lang w:val="en-GB"/>
        </w:rPr>
        <w:t>h</w:t>
      </w:r>
      <w:r w:rsidR="00C22C69">
        <w:rPr>
          <w:rFonts w:ascii="Arial" w:hAnsi="Arial" w:cs="Arial"/>
          <w:snapToGrid w:val="0"/>
          <w:color w:val="000000" w:themeColor="text1"/>
          <w:lang w:val="en-GB"/>
        </w:rPr>
        <w:t xml:space="preserve">e </w:t>
      </w:r>
      <w:r>
        <w:rPr>
          <w:rFonts w:ascii="Arial" w:hAnsi="Arial" w:cs="Arial"/>
          <w:snapToGrid w:val="0"/>
          <w:color w:val="000000" w:themeColor="text1"/>
          <w:lang w:val="en-GB"/>
        </w:rPr>
        <w:t xml:space="preserve">format for the energy statement </w:t>
      </w:r>
      <w:r w:rsidR="00441720">
        <w:rPr>
          <w:rFonts w:ascii="Arial" w:hAnsi="Arial" w:cs="Arial"/>
          <w:snapToGrid w:val="0"/>
          <w:color w:val="000000" w:themeColor="text1"/>
          <w:lang w:val="en-GB"/>
        </w:rPr>
        <w:t>format w</w:t>
      </w:r>
      <w:r w:rsidR="00C22C69">
        <w:rPr>
          <w:rFonts w:ascii="Arial" w:hAnsi="Arial" w:cs="Arial"/>
          <w:snapToGrid w:val="0"/>
          <w:color w:val="000000" w:themeColor="text1"/>
          <w:lang w:val="en-GB"/>
        </w:rPr>
        <w:t>ould</w:t>
      </w:r>
      <w:r w:rsidR="00441720">
        <w:rPr>
          <w:rFonts w:ascii="Arial" w:hAnsi="Arial" w:cs="Arial"/>
          <w:snapToGrid w:val="0"/>
          <w:color w:val="000000" w:themeColor="text1"/>
          <w:lang w:val="en-GB"/>
        </w:rPr>
        <w:t xml:space="preserve"> be</w:t>
      </w:r>
      <w:r w:rsidR="00F847ED" w:rsidRPr="008F18CF">
        <w:rPr>
          <w:rFonts w:ascii="Arial" w:hAnsi="Arial" w:cs="Arial"/>
          <w:snapToGrid w:val="0"/>
          <w:color w:val="000000" w:themeColor="text1"/>
          <w:lang w:val="en-GB"/>
        </w:rPr>
        <w:t xml:space="preserve"> prescribed </w:t>
      </w:r>
      <w:r w:rsidR="00441720">
        <w:rPr>
          <w:rFonts w:ascii="Arial" w:hAnsi="Arial" w:cs="Arial"/>
          <w:snapToGrid w:val="0"/>
          <w:color w:val="000000" w:themeColor="text1"/>
          <w:lang w:val="en-GB"/>
        </w:rPr>
        <w:t>in the Code and</w:t>
      </w:r>
      <w:r w:rsidR="00F847ED" w:rsidRPr="008F18CF">
        <w:rPr>
          <w:rFonts w:ascii="Arial" w:hAnsi="Arial" w:cs="Arial"/>
          <w:snapToGrid w:val="0"/>
          <w:color w:val="000000" w:themeColor="text1"/>
          <w:lang w:val="en-GB"/>
        </w:rPr>
        <w:t xml:space="preserve"> include the following elements:</w:t>
      </w:r>
    </w:p>
    <w:p w14:paraId="1F997C94" w14:textId="77777777" w:rsidR="00F847ED" w:rsidRPr="008F18CF" w:rsidRDefault="00F847ED" w:rsidP="00776F95">
      <w:pPr>
        <w:pStyle w:val="FSBullet1"/>
        <w:spacing w:after="0"/>
        <w:ind w:left="357" w:hanging="357"/>
        <w:rPr>
          <w:snapToGrid w:val="0"/>
          <w:color w:val="000000" w:themeColor="text1"/>
          <w:lang w:val="en-GB"/>
        </w:rPr>
      </w:pPr>
      <w:r w:rsidRPr="008F18CF">
        <w:rPr>
          <w:snapToGrid w:val="0"/>
        </w:rPr>
        <w:t>tabular format with borders</w:t>
      </w:r>
    </w:p>
    <w:p w14:paraId="5E4CFA81" w14:textId="77777777" w:rsidR="00F847ED" w:rsidRPr="008F18CF" w:rsidRDefault="00F847ED" w:rsidP="00776F95">
      <w:pPr>
        <w:pStyle w:val="FSBullet1"/>
        <w:spacing w:after="0"/>
        <w:ind w:left="357" w:hanging="357"/>
        <w:rPr>
          <w:snapToGrid w:val="0"/>
          <w:color w:val="000000" w:themeColor="text1"/>
          <w:lang w:val="en-GB"/>
        </w:rPr>
      </w:pPr>
      <w:r w:rsidRPr="008F18CF">
        <w:rPr>
          <w:snapToGrid w:val="0"/>
        </w:rPr>
        <w:t>heading: ENERGY INFORMATION</w:t>
      </w:r>
    </w:p>
    <w:p w14:paraId="4A32FE4E" w14:textId="77777777" w:rsidR="00F847ED" w:rsidRPr="008F18CF" w:rsidRDefault="00F847ED" w:rsidP="00776F95">
      <w:pPr>
        <w:pStyle w:val="FSBullet1"/>
        <w:spacing w:after="0"/>
        <w:ind w:left="357" w:hanging="357"/>
        <w:rPr>
          <w:snapToGrid w:val="0"/>
          <w:color w:val="000000" w:themeColor="text1"/>
          <w:lang w:val="en-GB"/>
        </w:rPr>
      </w:pPr>
      <w:r w:rsidRPr="008F18CF">
        <w:rPr>
          <w:snapToGrid w:val="0"/>
        </w:rPr>
        <w:t>the number of servings of the beverage in the package</w:t>
      </w:r>
    </w:p>
    <w:p w14:paraId="2152CF34" w14:textId="77777777" w:rsidR="00F847ED" w:rsidRPr="008F18CF" w:rsidRDefault="00F847ED" w:rsidP="00776F95">
      <w:pPr>
        <w:pStyle w:val="FSBullet1"/>
        <w:spacing w:after="0"/>
        <w:ind w:left="357" w:hanging="357"/>
        <w:rPr>
          <w:snapToGrid w:val="0"/>
          <w:color w:val="000000" w:themeColor="text1"/>
          <w:lang w:val="en-GB"/>
        </w:rPr>
      </w:pPr>
      <w:r w:rsidRPr="008F18CF">
        <w:rPr>
          <w:snapToGrid w:val="0"/>
        </w:rPr>
        <w:t>the average quantity of the beverage in a serving, in mL</w:t>
      </w:r>
    </w:p>
    <w:p w14:paraId="00E3C1B4" w14:textId="77777777" w:rsidR="00F847ED" w:rsidRPr="008F18CF" w:rsidRDefault="00F847ED" w:rsidP="00776F95">
      <w:pPr>
        <w:pStyle w:val="FSBullet1"/>
        <w:spacing w:after="0"/>
        <w:ind w:left="357" w:hanging="357"/>
        <w:rPr>
          <w:snapToGrid w:val="0"/>
          <w:color w:val="000000" w:themeColor="text1"/>
          <w:lang w:val="en-GB"/>
        </w:rPr>
      </w:pPr>
      <w:r w:rsidRPr="008F18CF">
        <w:rPr>
          <w:snapToGrid w:val="0"/>
        </w:rPr>
        <w:t>average energy content, to be expressed:</w:t>
      </w:r>
    </w:p>
    <w:p w14:paraId="3C8AD8A1" w14:textId="77777777" w:rsidR="00F847ED" w:rsidRPr="008F18CF" w:rsidRDefault="00F847ED" w:rsidP="00CE3140">
      <w:pPr>
        <w:numPr>
          <w:ilvl w:val="0"/>
          <w:numId w:val="6"/>
        </w:numPr>
        <w:spacing w:after="0"/>
        <w:ind w:left="714" w:hanging="357"/>
        <w:rPr>
          <w:rFonts w:ascii="Arial" w:hAnsi="Arial" w:cs="Arial"/>
          <w:snapToGrid w:val="0"/>
          <w:color w:val="000000" w:themeColor="text1"/>
          <w:lang w:val="en-GB"/>
        </w:rPr>
      </w:pPr>
      <w:r w:rsidRPr="008F18CF">
        <w:rPr>
          <w:rFonts w:ascii="Arial" w:hAnsi="Arial" w:cs="Arial"/>
          <w:snapToGrid w:val="0"/>
          <w:color w:val="000000" w:themeColor="text1"/>
          <w:lang w:val="en-GB"/>
        </w:rPr>
        <w:t>in kilojoules or both in kilojoules and in kilocalories</w:t>
      </w:r>
    </w:p>
    <w:p w14:paraId="35A561D8" w14:textId="77777777" w:rsidR="00F847ED" w:rsidRPr="008F18CF" w:rsidRDefault="00F847ED" w:rsidP="00CE3140">
      <w:pPr>
        <w:numPr>
          <w:ilvl w:val="0"/>
          <w:numId w:val="6"/>
        </w:numPr>
        <w:spacing w:after="0"/>
        <w:ind w:left="714" w:hanging="357"/>
        <w:rPr>
          <w:rFonts w:ascii="Arial" w:hAnsi="Arial" w:cs="Arial"/>
          <w:snapToGrid w:val="0"/>
          <w:color w:val="000000" w:themeColor="text1"/>
          <w:lang w:val="en-GB"/>
        </w:rPr>
      </w:pPr>
      <w:r w:rsidRPr="008F18CF">
        <w:rPr>
          <w:rFonts w:ascii="Arial" w:hAnsi="Arial" w:cs="Arial"/>
          <w:snapToGrid w:val="0"/>
          <w:color w:val="000000" w:themeColor="text1"/>
          <w:lang w:val="en-GB"/>
        </w:rPr>
        <w:t>to not more than 3 significant figures</w:t>
      </w:r>
    </w:p>
    <w:p w14:paraId="095F6D0B" w14:textId="6A5761AC" w:rsidR="00F847ED" w:rsidRDefault="00F847ED" w:rsidP="00CE3140">
      <w:pPr>
        <w:numPr>
          <w:ilvl w:val="0"/>
          <w:numId w:val="6"/>
        </w:numPr>
        <w:spacing w:after="0"/>
        <w:ind w:left="714" w:hanging="357"/>
        <w:rPr>
          <w:rFonts w:ascii="Arial" w:hAnsi="Arial" w:cs="Arial"/>
          <w:snapToGrid w:val="0"/>
          <w:color w:val="000000" w:themeColor="text1"/>
          <w:lang w:val="en-GB"/>
        </w:rPr>
      </w:pPr>
      <w:r w:rsidRPr="008F18CF">
        <w:rPr>
          <w:rFonts w:ascii="Arial" w:hAnsi="Arial" w:cs="Arial"/>
          <w:snapToGrid w:val="0"/>
          <w:color w:val="000000" w:themeColor="text1"/>
          <w:lang w:val="en-GB"/>
        </w:rPr>
        <w:t>as the quantity per serving and quantity per 100 mL.</w:t>
      </w:r>
    </w:p>
    <w:p w14:paraId="14EE4142" w14:textId="77777777" w:rsidR="00441720" w:rsidRDefault="00441720" w:rsidP="00441720">
      <w:pPr>
        <w:spacing w:after="0"/>
        <w:rPr>
          <w:rFonts w:ascii="Arial" w:hAnsi="Arial" w:cs="Arial"/>
          <w:snapToGrid w:val="0"/>
          <w:color w:val="000000" w:themeColor="text1"/>
          <w:lang w:val="en-GB"/>
        </w:rPr>
      </w:pPr>
    </w:p>
    <w:p w14:paraId="68383977" w14:textId="77777777" w:rsidR="001A4761" w:rsidRDefault="00562140" w:rsidP="000828D1">
      <w:pPr>
        <w:spacing w:after="240"/>
        <w:contextualSpacing/>
        <w:rPr>
          <w:rFonts w:ascii="Arial" w:eastAsia="Arial" w:hAnsi="Arial" w:cs="Arial"/>
          <w:lang w:val="en-GB"/>
        </w:rPr>
      </w:pPr>
      <w:r>
        <w:rPr>
          <w:rFonts w:ascii="Arial" w:eastAsia="Arial" w:hAnsi="Arial" w:cs="Arial"/>
        </w:rPr>
        <w:t xml:space="preserve">This was </w:t>
      </w:r>
      <w:r w:rsidR="003752A3">
        <w:rPr>
          <w:rFonts w:ascii="Arial" w:eastAsia="Arial" w:hAnsi="Arial" w:cs="Arial"/>
        </w:rPr>
        <w:t>FSANZ</w:t>
      </w:r>
      <w:r w:rsidR="00CF0186">
        <w:rPr>
          <w:rFonts w:ascii="Arial" w:eastAsia="Arial" w:hAnsi="Arial" w:cs="Arial"/>
        </w:rPr>
        <w:t>’s</w:t>
      </w:r>
      <w:r w:rsidR="003752A3">
        <w:rPr>
          <w:rFonts w:ascii="Arial" w:eastAsia="Arial" w:hAnsi="Arial" w:cs="Arial"/>
        </w:rPr>
        <w:t xml:space="preserve"> </w:t>
      </w:r>
      <w:r>
        <w:rPr>
          <w:rFonts w:ascii="Arial" w:eastAsia="Arial" w:hAnsi="Arial" w:cs="Arial"/>
        </w:rPr>
        <w:t xml:space="preserve">proposed </w:t>
      </w:r>
      <w:r w:rsidR="003752A3">
        <w:rPr>
          <w:rFonts w:ascii="Arial" w:eastAsia="Arial" w:hAnsi="Arial" w:cs="Arial"/>
        </w:rPr>
        <w:t xml:space="preserve">approach </w:t>
      </w:r>
      <w:r>
        <w:rPr>
          <w:rFonts w:ascii="Arial" w:eastAsia="Arial" w:hAnsi="Arial" w:cs="Arial"/>
        </w:rPr>
        <w:t>in the CFS</w:t>
      </w:r>
      <w:r w:rsidR="00441720">
        <w:rPr>
          <w:rFonts w:ascii="Arial" w:eastAsia="Arial" w:hAnsi="Arial" w:cs="Arial"/>
        </w:rPr>
        <w:t>.</w:t>
      </w:r>
      <w:r w:rsidR="00E51795">
        <w:rPr>
          <w:rFonts w:ascii="Arial" w:eastAsia="Arial" w:hAnsi="Arial" w:cs="Arial"/>
          <w:lang w:val="en-GB"/>
        </w:rPr>
        <w:t xml:space="preserve"> </w:t>
      </w:r>
      <w:r w:rsidR="006176C0">
        <w:rPr>
          <w:rFonts w:ascii="Arial" w:eastAsia="Arial" w:hAnsi="Arial" w:cs="Arial"/>
          <w:lang w:val="en-GB"/>
        </w:rPr>
        <w:t>In response to concerns</w:t>
      </w:r>
      <w:r w:rsidR="00D21232">
        <w:rPr>
          <w:rFonts w:ascii="Arial" w:eastAsia="Arial" w:hAnsi="Arial" w:cs="Arial"/>
          <w:lang w:val="en-GB"/>
        </w:rPr>
        <w:t xml:space="preserve"> </w:t>
      </w:r>
      <w:r w:rsidR="00CF0186" w:rsidRPr="00CF0186">
        <w:rPr>
          <w:rFonts w:ascii="Arial" w:eastAsia="Arial" w:hAnsi="Arial" w:cs="Arial"/>
          <w:lang w:val="en-GB"/>
        </w:rPr>
        <w:t>about potential unintended consequences resulting from the proposed format</w:t>
      </w:r>
      <w:r w:rsidR="00CF0186">
        <w:rPr>
          <w:rFonts w:ascii="Arial" w:eastAsia="Arial" w:hAnsi="Arial" w:cs="Arial"/>
          <w:lang w:val="en-GB"/>
        </w:rPr>
        <w:t xml:space="preserve"> (e.g. confusion with standard drink information)</w:t>
      </w:r>
      <w:r w:rsidR="00D21232">
        <w:rPr>
          <w:rFonts w:ascii="Arial" w:eastAsia="Arial" w:hAnsi="Arial" w:cs="Arial"/>
          <w:lang w:val="en-GB"/>
        </w:rPr>
        <w:t xml:space="preserve"> </w:t>
      </w:r>
      <w:r w:rsidR="00334F93">
        <w:rPr>
          <w:rFonts w:ascii="Arial" w:eastAsia="Arial" w:hAnsi="Arial" w:cs="Arial"/>
          <w:lang w:val="en-GB"/>
        </w:rPr>
        <w:t xml:space="preserve">raised </w:t>
      </w:r>
      <w:r w:rsidR="00D21232">
        <w:rPr>
          <w:rFonts w:ascii="Arial" w:eastAsia="Arial" w:hAnsi="Arial" w:cs="Arial"/>
          <w:lang w:val="en-GB"/>
        </w:rPr>
        <w:t>by some submitters to the CFS,</w:t>
      </w:r>
      <w:r w:rsidR="006176C0">
        <w:rPr>
          <w:rFonts w:ascii="Arial" w:eastAsia="Arial" w:hAnsi="Arial" w:cs="Arial"/>
          <w:lang w:val="en-GB"/>
        </w:rPr>
        <w:t xml:space="preserve"> </w:t>
      </w:r>
      <w:r w:rsidR="00937D8A">
        <w:rPr>
          <w:rFonts w:ascii="Arial" w:eastAsia="Arial" w:hAnsi="Arial" w:cs="Arial"/>
          <w:lang w:val="en-GB"/>
        </w:rPr>
        <w:t>FSANZ</w:t>
      </w:r>
      <w:r w:rsidR="00675200">
        <w:rPr>
          <w:rFonts w:ascii="Arial" w:eastAsia="Arial" w:hAnsi="Arial" w:cs="Arial"/>
          <w:lang w:val="en-GB"/>
        </w:rPr>
        <w:t xml:space="preserve"> undertook</w:t>
      </w:r>
      <w:r w:rsidR="00937D8A">
        <w:rPr>
          <w:rFonts w:ascii="Arial" w:eastAsia="Arial" w:hAnsi="Arial" w:cs="Arial"/>
          <w:lang w:val="en-GB"/>
        </w:rPr>
        <w:t xml:space="preserve"> c</w:t>
      </w:r>
      <w:r w:rsidR="00AA54CB">
        <w:rPr>
          <w:rFonts w:ascii="Arial" w:eastAsia="Arial" w:hAnsi="Arial" w:cs="Arial"/>
          <w:lang w:val="en-GB"/>
        </w:rPr>
        <w:t xml:space="preserve">onsumer testing </w:t>
      </w:r>
      <w:r w:rsidR="00675200">
        <w:rPr>
          <w:rFonts w:ascii="Arial" w:eastAsia="Arial" w:hAnsi="Arial" w:cs="Arial"/>
          <w:lang w:val="en-GB"/>
        </w:rPr>
        <w:t xml:space="preserve">and </w:t>
      </w:r>
      <w:r w:rsidR="00AA54CB">
        <w:rPr>
          <w:rFonts w:ascii="Arial" w:eastAsia="Arial" w:hAnsi="Arial" w:cs="Arial"/>
          <w:lang w:val="en-GB"/>
        </w:rPr>
        <w:t xml:space="preserve">found that </w:t>
      </w:r>
      <w:r w:rsidR="00847F13">
        <w:rPr>
          <w:rFonts w:ascii="Arial" w:eastAsia="Arial" w:hAnsi="Arial" w:cs="Arial"/>
          <w:lang w:val="en-GB"/>
        </w:rPr>
        <w:t>the</w:t>
      </w:r>
      <w:r w:rsidR="007831AF">
        <w:rPr>
          <w:rFonts w:ascii="Arial" w:eastAsia="Arial" w:hAnsi="Arial" w:cs="Arial"/>
          <w:lang w:val="en-GB"/>
        </w:rPr>
        <w:t xml:space="preserve"> provision of </w:t>
      </w:r>
      <w:r w:rsidR="008310BD">
        <w:rPr>
          <w:rFonts w:ascii="Arial" w:eastAsia="Arial" w:hAnsi="Arial" w:cs="Arial"/>
          <w:lang w:val="en-GB"/>
        </w:rPr>
        <w:t xml:space="preserve">‘energy per serving’, ‘servings per package’ </w:t>
      </w:r>
      <w:r w:rsidR="007831AF">
        <w:rPr>
          <w:rFonts w:ascii="Arial" w:eastAsia="Arial" w:hAnsi="Arial" w:cs="Arial"/>
          <w:lang w:val="en-GB"/>
        </w:rPr>
        <w:t>and</w:t>
      </w:r>
      <w:r w:rsidR="008310BD">
        <w:rPr>
          <w:rFonts w:ascii="Arial" w:eastAsia="Arial" w:hAnsi="Arial" w:cs="Arial"/>
          <w:lang w:val="en-GB"/>
        </w:rPr>
        <w:t xml:space="preserve"> ‘energy per 100 mL’</w:t>
      </w:r>
      <w:r w:rsidR="004D1829">
        <w:rPr>
          <w:rFonts w:ascii="Arial" w:eastAsia="Arial" w:hAnsi="Arial" w:cs="Arial"/>
          <w:lang w:val="en-GB"/>
        </w:rPr>
        <w:t xml:space="preserve"> </w:t>
      </w:r>
      <w:r w:rsidR="007831AF">
        <w:rPr>
          <w:rFonts w:ascii="Arial" w:eastAsia="Arial" w:hAnsi="Arial" w:cs="Arial"/>
          <w:lang w:val="en-GB"/>
        </w:rPr>
        <w:t>information</w:t>
      </w:r>
      <w:r w:rsidR="00847F13">
        <w:rPr>
          <w:rFonts w:ascii="Arial" w:eastAsia="Arial" w:hAnsi="Arial" w:cs="Arial"/>
          <w:lang w:val="en-GB"/>
        </w:rPr>
        <w:t>, consistent with this option,</w:t>
      </w:r>
      <w:r w:rsidR="0032581F">
        <w:rPr>
          <w:rFonts w:ascii="Arial" w:eastAsia="Arial" w:hAnsi="Arial" w:cs="Arial"/>
          <w:lang w:val="en-GB"/>
        </w:rPr>
        <w:t xml:space="preserve"> </w:t>
      </w:r>
      <w:r w:rsidR="007831AF">
        <w:rPr>
          <w:rFonts w:ascii="Arial" w:eastAsia="Arial" w:hAnsi="Arial" w:cs="Arial"/>
          <w:lang w:val="en-GB"/>
        </w:rPr>
        <w:t>did not have</w:t>
      </w:r>
      <w:r w:rsidR="0032581F">
        <w:rPr>
          <w:rFonts w:ascii="Arial" w:eastAsia="Arial" w:hAnsi="Arial" w:cs="Arial"/>
          <w:lang w:val="en-GB"/>
        </w:rPr>
        <w:t xml:space="preserve"> any </w:t>
      </w:r>
      <w:r w:rsidR="00AF3312">
        <w:rPr>
          <w:rFonts w:ascii="Arial" w:eastAsia="Arial" w:hAnsi="Arial" w:cs="Arial"/>
          <w:lang w:val="en-GB"/>
        </w:rPr>
        <w:t xml:space="preserve">negative </w:t>
      </w:r>
      <w:r w:rsidR="0032581F">
        <w:rPr>
          <w:rFonts w:ascii="Arial" w:eastAsia="Arial" w:hAnsi="Arial" w:cs="Arial"/>
          <w:lang w:val="en-GB"/>
        </w:rPr>
        <w:t>unintended consequences</w:t>
      </w:r>
      <w:r w:rsidR="00AF3312">
        <w:rPr>
          <w:rFonts w:ascii="Arial" w:eastAsia="Arial" w:hAnsi="Arial" w:cs="Arial"/>
          <w:lang w:val="en-GB"/>
        </w:rPr>
        <w:t xml:space="preserve"> </w:t>
      </w:r>
      <w:r w:rsidR="00405EA0">
        <w:rPr>
          <w:rFonts w:ascii="Arial" w:eastAsia="Arial" w:hAnsi="Arial" w:cs="Arial"/>
          <w:lang w:val="en-GB"/>
        </w:rPr>
        <w:t>for consumer perceptions or behaviour</w:t>
      </w:r>
      <w:r w:rsidR="00AF3312">
        <w:rPr>
          <w:rFonts w:ascii="Arial" w:eastAsia="Arial" w:hAnsi="Arial" w:cs="Arial"/>
          <w:lang w:val="en-GB"/>
        </w:rPr>
        <w:t xml:space="preserve"> (FSANZ 2023</w:t>
      </w:r>
      <w:r w:rsidR="00D13511">
        <w:rPr>
          <w:rFonts w:ascii="Arial" w:eastAsia="Arial" w:hAnsi="Arial" w:cs="Arial"/>
          <w:lang w:val="en-GB"/>
        </w:rPr>
        <w:t>a</w:t>
      </w:r>
      <w:r w:rsidR="00AF3312">
        <w:rPr>
          <w:rFonts w:ascii="Arial" w:eastAsia="Arial" w:hAnsi="Arial" w:cs="Arial"/>
          <w:lang w:val="en-GB"/>
        </w:rPr>
        <w:t>)</w:t>
      </w:r>
      <w:r w:rsidR="0032581F">
        <w:rPr>
          <w:rFonts w:ascii="Arial" w:eastAsia="Arial" w:hAnsi="Arial" w:cs="Arial"/>
          <w:lang w:val="en-GB"/>
        </w:rPr>
        <w:t>.</w:t>
      </w:r>
      <w:r w:rsidR="00AF3312">
        <w:rPr>
          <w:rFonts w:ascii="Arial" w:eastAsia="Arial" w:hAnsi="Arial" w:cs="Arial"/>
          <w:lang w:val="en-GB"/>
        </w:rPr>
        <w:t xml:space="preserve"> </w:t>
      </w:r>
    </w:p>
    <w:p w14:paraId="5551F6F6" w14:textId="77777777" w:rsidR="001A4761" w:rsidRDefault="001A4761" w:rsidP="000828D1">
      <w:pPr>
        <w:spacing w:after="240"/>
        <w:contextualSpacing/>
        <w:rPr>
          <w:rFonts w:ascii="Arial" w:eastAsia="Arial" w:hAnsi="Arial" w:cs="Arial"/>
          <w:lang w:val="en-GB"/>
        </w:rPr>
      </w:pPr>
    </w:p>
    <w:p w14:paraId="68744A9C" w14:textId="32560CB6" w:rsidR="005D02AC" w:rsidRDefault="005D02AC" w:rsidP="005D02AC">
      <w:pPr>
        <w:spacing w:after="240"/>
        <w:contextualSpacing/>
        <w:rPr>
          <w:rFonts w:ascii="Arial" w:eastAsia="Arial" w:hAnsi="Arial" w:cs="Arial"/>
          <w:lang w:val="en-GB"/>
        </w:rPr>
      </w:pPr>
      <w:r>
        <w:rPr>
          <w:rFonts w:ascii="Arial" w:eastAsia="Arial" w:hAnsi="Arial" w:cs="Arial"/>
          <w:lang w:val="en-GB"/>
        </w:rPr>
        <w:t xml:space="preserve">This option would also include a requirement that </w:t>
      </w:r>
      <w:r w:rsidRPr="00E958B3">
        <w:rPr>
          <w:rFonts w:ascii="Arial" w:eastAsia="Arial" w:hAnsi="Arial" w:cs="Arial"/>
          <w:lang w:val="en-GB"/>
        </w:rPr>
        <w:t xml:space="preserve">a voluntary NIP on </w:t>
      </w:r>
      <w:r>
        <w:rPr>
          <w:rFonts w:ascii="Arial" w:eastAsia="Arial" w:hAnsi="Arial" w:cs="Arial"/>
          <w:lang w:val="en-GB"/>
        </w:rPr>
        <w:t xml:space="preserve">alcoholic beverages and other </w:t>
      </w:r>
      <w:r w:rsidRPr="00E958B3">
        <w:rPr>
          <w:rFonts w:ascii="Arial" w:eastAsia="Arial" w:hAnsi="Arial" w:cs="Arial"/>
          <w:lang w:val="en-GB"/>
        </w:rPr>
        <w:t xml:space="preserve">foods containing more than 1.15% ABV must </w:t>
      </w:r>
      <w:r>
        <w:rPr>
          <w:rFonts w:ascii="Arial" w:eastAsia="Arial" w:hAnsi="Arial" w:cs="Arial"/>
          <w:lang w:val="en-GB"/>
        </w:rPr>
        <w:t>have the same</w:t>
      </w:r>
      <w:r w:rsidRPr="00E958B3">
        <w:rPr>
          <w:rFonts w:ascii="Arial" w:eastAsia="Arial" w:hAnsi="Arial" w:cs="Arial"/>
          <w:lang w:val="en-GB"/>
        </w:rPr>
        <w:t xml:space="preserve"> </w:t>
      </w:r>
      <w:r>
        <w:rPr>
          <w:rFonts w:ascii="Arial" w:eastAsia="Arial" w:hAnsi="Arial" w:cs="Arial"/>
          <w:lang w:val="en-GB"/>
        </w:rPr>
        <w:t xml:space="preserve">content and </w:t>
      </w:r>
      <w:r w:rsidRPr="00E958B3">
        <w:rPr>
          <w:rFonts w:ascii="Arial" w:eastAsia="Arial" w:hAnsi="Arial" w:cs="Arial"/>
          <w:lang w:val="en-GB"/>
        </w:rPr>
        <w:t>format</w:t>
      </w:r>
      <w:r>
        <w:rPr>
          <w:rFonts w:ascii="Arial" w:eastAsia="Arial" w:hAnsi="Arial" w:cs="Arial"/>
          <w:lang w:val="en-GB"/>
        </w:rPr>
        <w:t xml:space="preserve"> required by certain sections of Standard 1.2.8 of the Code (see Figure 1-4). These format and content requirements are consistent with current requirements for mandatory NIPs.</w:t>
      </w:r>
    </w:p>
    <w:p w14:paraId="35C10838" w14:textId="77777777" w:rsidR="001A4761" w:rsidRDefault="001A4761" w:rsidP="000828D1">
      <w:pPr>
        <w:spacing w:after="240"/>
        <w:contextualSpacing/>
        <w:rPr>
          <w:rFonts w:ascii="Arial" w:eastAsia="Arial" w:hAnsi="Arial" w:cs="Arial"/>
          <w:lang w:val="en-GB"/>
        </w:rPr>
      </w:pPr>
    </w:p>
    <w:p w14:paraId="7C43078E" w14:textId="13CFFBFD" w:rsidR="004428EE" w:rsidRDefault="00930AC1" w:rsidP="000828D1">
      <w:pPr>
        <w:spacing w:after="240"/>
        <w:contextualSpacing/>
        <w:rPr>
          <w:rFonts w:ascii="Arial" w:eastAsia="Arial" w:hAnsi="Arial" w:cs="Arial"/>
          <w:lang w:val="en-GB"/>
        </w:rPr>
      </w:pPr>
      <w:r>
        <w:rPr>
          <w:rFonts w:ascii="Arial" w:eastAsia="Arial" w:hAnsi="Arial" w:cs="Arial"/>
          <w:lang w:val="en-GB"/>
        </w:rPr>
        <w:t xml:space="preserve">Despite </w:t>
      </w:r>
      <w:r w:rsidR="00154D24">
        <w:rPr>
          <w:rFonts w:ascii="Arial" w:eastAsia="Arial" w:hAnsi="Arial" w:cs="Arial"/>
          <w:lang w:val="en-GB"/>
        </w:rPr>
        <w:t xml:space="preserve">having </w:t>
      </w:r>
      <w:r>
        <w:rPr>
          <w:rFonts w:ascii="Arial" w:eastAsia="Arial" w:hAnsi="Arial" w:cs="Arial"/>
          <w:lang w:val="en-GB"/>
        </w:rPr>
        <w:t>no negative unintended consequences for consumer perceptions or behaviour</w:t>
      </w:r>
      <w:r w:rsidR="00154D24">
        <w:rPr>
          <w:rFonts w:ascii="Arial" w:eastAsia="Arial" w:hAnsi="Arial" w:cs="Arial"/>
          <w:lang w:val="en-GB"/>
        </w:rPr>
        <w:t>,</w:t>
      </w:r>
      <w:r>
        <w:rPr>
          <w:rFonts w:ascii="Arial" w:eastAsia="Arial" w:hAnsi="Arial" w:cs="Arial"/>
          <w:lang w:val="en-GB"/>
        </w:rPr>
        <w:t xml:space="preserve"> </w:t>
      </w:r>
      <w:r w:rsidR="00154D24">
        <w:rPr>
          <w:rFonts w:ascii="Arial" w:eastAsia="Arial" w:hAnsi="Arial" w:cs="Arial"/>
          <w:lang w:val="en-GB"/>
        </w:rPr>
        <w:t>t</w:t>
      </w:r>
      <w:r>
        <w:rPr>
          <w:rFonts w:ascii="Arial" w:eastAsia="Arial" w:hAnsi="Arial" w:cs="Arial"/>
          <w:lang w:val="en-GB"/>
        </w:rPr>
        <w:t>he energy content</w:t>
      </w:r>
      <w:r w:rsidR="00AF3312">
        <w:rPr>
          <w:rFonts w:ascii="Arial" w:eastAsia="Arial" w:hAnsi="Arial" w:cs="Arial"/>
          <w:lang w:val="en-GB"/>
        </w:rPr>
        <w:t xml:space="preserve"> </w:t>
      </w:r>
      <w:r w:rsidR="00774A31">
        <w:rPr>
          <w:rFonts w:ascii="Arial" w:eastAsia="Arial" w:hAnsi="Arial" w:cs="Arial"/>
          <w:lang w:val="en-GB"/>
        </w:rPr>
        <w:t xml:space="preserve">information </w:t>
      </w:r>
      <w:r>
        <w:rPr>
          <w:rFonts w:ascii="Arial" w:eastAsia="Arial" w:hAnsi="Arial" w:cs="Arial"/>
          <w:lang w:val="en-GB"/>
        </w:rPr>
        <w:t>under this option</w:t>
      </w:r>
      <w:r w:rsidR="00774A31">
        <w:rPr>
          <w:rFonts w:ascii="Arial" w:eastAsia="Arial" w:hAnsi="Arial" w:cs="Arial"/>
          <w:lang w:val="en-GB"/>
        </w:rPr>
        <w:t xml:space="preserve"> (</w:t>
      </w:r>
      <w:r w:rsidR="002A13ED">
        <w:rPr>
          <w:rFonts w:ascii="Arial" w:eastAsia="Arial" w:hAnsi="Arial" w:cs="Arial"/>
          <w:lang w:val="en-GB"/>
        </w:rPr>
        <w:t xml:space="preserve">in an </w:t>
      </w:r>
      <w:r w:rsidR="00774A31">
        <w:rPr>
          <w:rFonts w:ascii="Arial" w:eastAsia="Arial" w:hAnsi="Arial" w:cs="Arial"/>
          <w:lang w:val="en-GB"/>
        </w:rPr>
        <w:t xml:space="preserve">energy </w:t>
      </w:r>
      <w:r w:rsidR="009C1CCF">
        <w:rPr>
          <w:rFonts w:ascii="Arial" w:eastAsia="Arial" w:hAnsi="Arial" w:cs="Arial"/>
          <w:lang w:val="en-GB"/>
        </w:rPr>
        <w:t>statement</w:t>
      </w:r>
      <w:r w:rsidR="00774A31">
        <w:rPr>
          <w:rFonts w:ascii="Arial" w:eastAsia="Arial" w:hAnsi="Arial" w:cs="Arial"/>
          <w:lang w:val="en-GB"/>
        </w:rPr>
        <w:t xml:space="preserve"> </w:t>
      </w:r>
      <w:r w:rsidR="002A13ED">
        <w:rPr>
          <w:rFonts w:ascii="Arial" w:eastAsia="Arial" w:hAnsi="Arial" w:cs="Arial"/>
          <w:lang w:val="en-GB"/>
        </w:rPr>
        <w:t>or</w:t>
      </w:r>
      <w:r w:rsidR="009C1CCF">
        <w:rPr>
          <w:rFonts w:ascii="Arial" w:eastAsia="Arial" w:hAnsi="Arial" w:cs="Arial"/>
          <w:lang w:val="en-GB"/>
        </w:rPr>
        <w:t xml:space="preserve"> NIP)</w:t>
      </w:r>
      <w:r w:rsidR="00AF3312">
        <w:rPr>
          <w:rFonts w:ascii="Arial" w:eastAsia="Arial" w:hAnsi="Arial" w:cs="Arial"/>
          <w:lang w:val="en-GB"/>
        </w:rPr>
        <w:t xml:space="preserve"> </w:t>
      </w:r>
      <w:r w:rsidR="00CF0186">
        <w:rPr>
          <w:rFonts w:ascii="Arial" w:eastAsia="Arial" w:hAnsi="Arial" w:cs="Arial"/>
          <w:lang w:val="en-GB"/>
        </w:rPr>
        <w:t xml:space="preserve">does not </w:t>
      </w:r>
      <w:r w:rsidR="00B45359">
        <w:rPr>
          <w:rFonts w:ascii="Arial" w:eastAsia="Arial" w:hAnsi="Arial" w:cs="Arial"/>
          <w:lang w:val="en-GB"/>
        </w:rPr>
        <w:t>imp</w:t>
      </w:r>
      <w:r w:rsidR="002E5B51">
        <w:rPr>
          <w:rFonts w:ascii="Arial" w:eastAsia="Arial" w:hAnsi="Arial" w:cs="Arial"/>
          <w:lang w:val="en-GB"/>
        </w:rPr>
        <w:t xml:space="preserve">rove </w:t>
      </w:r>
      <w:r w:rsidR="000A12F7">
        <w:rPr>
          <w:rFonts w:ascii="Arial" w:eastAsia="Arial" w:hAnsi="Arial" w:cs="Arial"/>
          <w:lang w:val="en-GB"/>
        </w:rPr>
        <w:t xml:space="preserve">consumer understanding </w:t>
      </w:r>
      <w:r w:rsidR="00630F2A">
        <w:rPr>
          <w:rFonts w:ascii="Arial" w:eastAsia="Arial" w:hAnsi="Arial" w:cs="Arial"/>
          <w:lang w:val="en-GB"/>
        </w:rPr>
        <w:t>of how a standard drink relates to a serving size</w:t>
      </w:r>
      <w:r w:rsidR="000A12F7">
        <w:rPr>
          <w:rFonts w:ascii="Arial" w:eastAsia="Arial" w:hAnsi="Arial" w:cs="Arial"/>
          <w:lang w:val="en-GB"/>
        </w:rPr>
        <w:t xml:space="preserve"> (see </w:t>
      </w:r>
      <w:r w:rsidR="00365591">
        <w:rPr>
          <w:rFonts w:ascii="Arial" w:eastAsia="Arial" w:hAnsi="Arial" w:cs="Arial"/>
          <w:lang w:val="en-GB"/>
        </w:rPr>
        <w:t>o</w:t>
      </w:r>
      <w:r w:rsidR="00405EA0">
        <w:rPr>
          <w:rFonts w:ascii="Arial" w:eastAsia="Arial" w:hAnsi="Arial" w:cs="Arial"/>
          <w:lang w:val="en-GB"/>
        </w:rPr>
        <w:t>ption 3 below).</w:t>
      </w:r>
    </w:p>
    <w:p w14:paraId="6EF3860C" w14:textId="77777777" w:rsidR="004428EE" w:rsidRDefault="004428EE" w:rsidP="000828D1">
      <w:pPr>
        <w:spacing w:after="240"/>
        <w:contextualSpacing/>
        <w:rPr>
          <w:rFonts w:ascii="Arial" w:eastAsia="Arial" w:hAnsi="Arial" w:cs="Arial"/>
          <w:lang w:val="en-GB"/>
        </w:rPr>
      </w:pPr>
    </w:p>
    <w:p w14:paraId="119F4E31" w14:textId="510AD4B2" w:rsidR="00EA1D73" w:rsidRPr="000828D1" w:rsidRDefault="00EA1D73" w:rsidP="000828D1">
      <w:pPr>
        <w:spacing w:after="240"/>
        <w:contextualSpacing/>
        <w:rPr>
          <w:rFonts w:ascii="Arial" w:eastAsia="Arial" w:hAnsi="Arial" w:cs="Arial"/>
          <w:b/>
          <w:bCs/>
        </w:rPr>
      </w:pPr>
      <w:r w:rsidRPr="000828D1">
        <w:rPr>
          <w:rFonts w:ascii="Arial" w:eastAsia="Arial" w:hAnsi="Arial" w:cs="Arial"/>
          <w:b/>
          <w:bCs/>
        </w:rPr>
        <w:t xml:space="preserve">Option 3: </w:t>
      </w:r>
      <w:bookmarkStart w:id="17" w:name="_Hlk175562738"/>
      <w:bookmarkStart w:id="18" w:name="_Hlk177640058"/>
      <w:r w:rsidR="00657761" w:rsidRPr="000828D1">
        <w:rPr>
          <w:rFonts w:ascii="Arial" w:eastAsia="Arial" w:hAnsi="Arial" w:cs="Arial"/>
          <w:b/>
          <w:bCs/>
        </w:rPr>
        <w:t>Require a</w:t>
      </w:r>
      <w:r w:rsidR="00C03F47" w:rsidRPr="000828D1">
        <w:rPr>
          <w:rFonts w:ascii="Arial" w:eastAsia="Arial" w:hAnsi="Arial" w:cs="Arial"/>
          <w:b/>
          <w:bCs/>
        </w:rPr>
        <w:t>n</w:t>
      </w:r>
      <w:r w:rsidR="00657761" w:rsidRPr="000828D1">
        <w:rPr>
          <w:rFonts w:ascii="Arial" w:eastAsia="Arial" w:hAnsi="Arial" w:cs="Arial"/>
          <w:b/>
          <w:bCs/>
        </w:rPr>
        <w:t xml:space="preserve"> energy statement with standard drink information</w:t>
      </w:r>
      <w:bookmarkEnd w:id="17"/>
      <w:r w:rsidR="00A171A7" w:rsidRPr="00A171A7">
        <w:rPr>
          <w:rFonts w:ascii="Arial" w:eastAsia="Arial" w:hAnsi="Arial" w:cs="Arial"/>
          <w:b/>
          <w:bCs/>
        </w:rPr>
        <w:t xml:space="preserve"> </w:t>
      </w:r>
      <w:r w:rsidR="001763DA">
        <w:rPr>
          <w:rFonts w:ascii="Arial" w:eastAsia="Arial" w:hAnsi="Arial" w:cs="Arial"/>
          <w:b/>
          <w:bCs/>
        </w:rPr>
        <w:t>and</w:t>
      </w:r>
      <w:r w:rsidR="00A171A7">
        <w:rPr>
          <w:rFonts w:ascii="Arial" w:eastAsia="Arial" w:hAnsi="Arial" w:cs="Arial"/>
          <w:b/>
          <w:bCs/>
        </w:rPr>
        <w:t xml:space="preserve"> </w:t>
      </w:r>
      <w:r w:rsidR="000F63FE">
        <w:rPr>
          <w:rFonts w:ascii="Arial" w:eastAsia="Arial" w:hAnsi="Arial" w:cs="Arial"/>
          <w:b/>
          <w:bCs/>
        </w:rPr>
        <w:t xml:space="preserve">the </w:t>
      </w:r>
      <w:r w:rsidR="00BB3F49">
        <w:rPr>
          <w:rFonts w:ascii="Arial" w:eastAsia="Arial" w:hAnsi="Arial" w:cs="Arial"/>
          <w:b/>
          <w:bCs/>
        </w:rPr>
        <w:t xml:space="preserve">inclusion </w:t>
      </w:r>
      <w:r w:rsidR="000F63FE">
        <w:rPr>
          <w:rFonts w:ascii="Arial" w:eastAsia="Arial" w:hAnsi="Arial" w:cs="Arial"/>
          <w:b/>
          <w:bCs/>
        </w:rPr>
        <w:t>of</w:t>
      </w:r>
      <w:r w:rsidR="007A5114">
        <w:rPr>
          <w:rFonts w:ascii="Arial" w:eastAsia="Arial" w:hAnsi="Arial" w:cs="Arial"/>
          <w:b/>
          <w:bCs/>
        </w:rPr>
        <w:t xml:space="preserve"> </w:t>
      </w:r>
      <w:r w:rsidR="00A171A7">
        <w:rPr>
          <w:rFonts w:ascii="Arial" w:eastAsia="Arial" w:hAnsi="Arial" w:cs="Arial"/>
          <w:b/>
          <w:bCs/>
        </w:rPr>
        <w:t xml:space="preserve">standard drink information </w:t>
      </w:r>
      <w:r w:rsidR="001763DA">
        <w:rPr>
          <w:rFonts w:ascii="Arial" w:eastAsia="Arial" w:hAnsi="Arial" w:cs="Arial"/>
          <w:b/>
          <w:bCs/>
        </w:rPr>
        <w:t xml:space="preserve">in </w:t>
      </w:r>
      <w:r w:rsidR="007A5114">
        <w:rPr>
          <w:rFonts w:ascii="Arial" w:eastAsia="Arial" w:hAnsi="Arial" w:cs="Arial"/>
          <w:b/>
          <w:bCs/>
        </w:rPr>
        <w:t xml:space="preserve">a </w:t>
      </w:r>
      <w:r w:rsidR="00A171A7">
        <w:rPr>
          <w:rFonts w:ascii="Arial" w:eastAsia="Arial" w:hAnsi="Arial" w:cs="Arial"/>
          <w:b/>
          <w:bCs/>
        </w:rPr>
        <w:t xml:space="preserve">NIP </w:t>
      </w:r>
      <w:r w:rsidR="00CC4DE5">
        <w:rPr>
          <w:rFonts w:ascii="Arial" w:eastAsia="Arial" w:hAnsi="Arial" w:cs="Arial"/>
          <w:b/>
          <w:bCs/>
        </w:rPr>
        <w:t>if</w:t>
      </w:r>
      <w:r w:rsidR="00A171A7">
        <w:rPr>
          <w:rFonts w:ascii="Arial" w:eastAsia="Arial" w:hAnsi="Arial" w:cs="Arial"/>
          <w:b/>
          <w:bCs/>
        </w:rPr>
        <w:t xml:space="preserve"> provided</w:t>
      </w:r>
      <w:bookmarkEnd w:id="18"/>
      <w:r w:rsidR="00100BD7">
        <w:rPr>
          <w:rFonts w:ascii="Arial" w:eastAsia="Arial" w:hAnsi="Arial" w:cs="Arial"/>
          <w:b/>
          <w:bCs/>
        </w:rPr>
        <w:t xml:space="preserve"> on </w:t>
      </w:r>
      <w:r w:rsidR="00A11324">
        <w:rPr>
          <w:rFonts w:ascii="Arial" w:eastAsia="Arial" w:hAnsi="Arial" w:cs="Arial"/>
          <w:b/>
          <w:bCs/>
        </w:rPr>
        <w:t xml:space="preserve">certain alcoholic beverages </w:t>
      </w:r>
    </w:p>
    <w:p w14:paraId="7C6EA2D7" w14:textId="6D68CA7C" w:rsidR="00BB1EA7" w:rsidRPr="000828D1" w:rsidRDefault="00BB1EA7" w:rsidP="000828D1">
      <w:pPr>
        <w:spacing w:after="240"/>
        <w:contextualSpacing/>
        <w:rPr>
          <w:rFonts w:ascii="Arial" w:eastAsia="Arial" w:hAnsi="Arial" w:cs="Arial"/>
          <w:b/>
          <w:bCs/>
        </w:rPr>
      </w:pPr>
    </w:p>
    <w:p w14:paraId="78E51D55" w14:textId="04685B99" w:rsidR="00D3001A" w:rsidRDefault="009A43D5" w:rsidP="004A2093">
      <w:pPr>
        <w:rPr>
          <w:rFonts w:ascii="Arial" w:eastAsia="Arial" w:hAnsi="Arial" w:cs="Arial"/>
        </w:rPr>
      </w:pPr>
      <w:r w:rsidRPr="00441720">
        <w:rPr>
          <w:rFonts w:ascii="Arial" w:eastAsia="Arial" w:hAnsi="Arial" w:cs="Arial"/>
        </w:rPr>
        <w:t xml:space="preserve">Option </w:t>
      </w:r>
      <w:r>
        <w:rPr>
          <w:rFonts w:ascii="Arial" w:eastAsia="Arial" w:hAnsi="Arial" w:cs="Arial"/>
        </w:rPr>
        <w:t xml:space="preserve">3 would have the same features of </w:t>
      </w:r>
      <w:r w:rsidR="009D53E1">
        <w:rPr>
          <w:rFonts w:ascii="Arial" w:eastAsia="Arial" w:hAnsi="Arial" w:cs="Arial"/>
        </w:rPr>
        <w:t xml:space="preserve">option </w:t>
      </w:r>
      <w:r>
        <w:rPr>
          <w:rFonts w:ascii="Arial" w:eastAsia="Arial" w:hAnsi="Arial" w:cs="Arial"/>
        </w:rPr>
        <w:t xml:space="preserve">2, </w:t>
      </w:r>
      <w:r w:rsidR="00657761">
        <w:rPr>
          <w:rFonts w:ascii="Arial" w:eastAsia="Arial" w:hAnsi="Arial" w:cs="Arial"/>
        </w:rPr>
        <w:t xml:space="preserve">with </w:t>
      </w:r>
      <w:r w:rsidR="008B4729">
        <w:rPr>
          <w:rFonts w:ascii="Arial" w:eastAsia="Arial" w:hAnsi="Arial" w:cs="Arial"/>
        </w:rPr>
        <w:t xml:space="preserve">the following </w:t>
      </w:r>
      <w:r w:rsidR="00D3001A">
        <w:rPr>
          <w:rFonts w:ascii="Arial" w:eastAsia="Arial" w:hAnsi="Arial" w:cs="Arial"/>
        </w:rPr>
        <w:t xml:space="preserve">two </w:t>
      </w:r>
      <w:r w:rsidR="00657761">
        <w:rPr>
          <w:rFonts w:ascii="Arial" w:eastAsia="Arial" w:hAnsi="Arial" w:cs="Arial"/>
        </w:rPr>
        <w:t>exception</w:t>
      </w:r>
      <w:r w:rsidR="00D3001A">
        <w:rPr>
          <w:rFonts w:ascii="Arial" w:eastAsia="Arial" w:hAnsi="Arial" w:cs="Arial"/>
        </w:rPr>
        <w:t>s</w:t>
      </w:r>
      <w:r w:rsidR="0019009A">
        <w:rPr>
          <w:rFonts w:ascii="Arial" w:eastAsia="Arial" w:hAnsi="Arial" w:cs="Arial"/>
        </w:rPr>
        <w:t xml:space="preserve"> for standard drink</w:t>
      </w:r>
      <w:r w:rsidR="008B4729">
        <w:rPr>
          <w:rFonts w:ascii="Arial" w:eastAsia="Arial" w:hAnsi="Arial" w:cs="Arial"/>
        </w:rPr>
        <w:t xml:space="preserve"> information:</w:t>
      </w:r>
    </w:p>
    <w:p w14:paraId="67FA2FE0" w14:textId="4F835F2C" w:rsidR="009A43D5" w:rsidRDefault="00D3001A" w:rsidP="008B4729">
      <w:pPr>
        <w:pStyle w:val="ListParagraph"/>
        <w:numPr>
          <w:ilvl w:val="0"/>
          <w:numId w:val="48"/>
        </w:numPr>
        <w:rPr>
          <w:rFonts w:ascii="Arial" w:eastAsia="Arial" w:hAnsi="Arial" w:cs="Arial"/>
        </w:rPr>
      </w:pPr>
      <w:r w:rsidRPr="008B4729">
        <w:rPr>
          <w:rFonts w:ascii="Arial" w:eastAsia="Arial" w:hAnsi="Arial" w:cs="Arial"/>
        </w:rPr>
        <w:t>There would be an</w:t>
      </w:r>
      <w:r w:rsidR="00F27585" w:rsidRPr="008B4729">
        <w:rPr>
          <w:rFonts w:ascii="Arial" w:eastAsia="Arial" w:hAnsi="Arial" w:cs="Arial"/>
        </w:rPr>
        <w:t xml:space="preserve"> </w:t>
      </w:r>
      <w:r w:rsidR="003752A3" w:rsidRPr="008B4729">
        <w:rPr>
          <w:rFonts w:ascii="Arial" w:eastAsia="Arial" w:hAnsi="Arial" w:cs="Arial"/>
        </w:rPr>
        <w:t xml:space="preserve">additional </w:t>
      </w:r>
      <w:r w:rsidR="009A43D5" w:rsidRPr="008B4729">
        <w:rPr>
          <w:rFonts w:ascii="Arial" w:eastAsia="Arial" w:hAnsi="Arial" w:cs="Arial"/>
        </w:rPr>
        <w:t>requirement</w:t>
      </w:r>
      <w:r w:rsidR="00F27585" w:rsidRPr="008B4729">
        <w:rPr>
          <w:rFonts w:ascii="Arial" w:eastAsia="Arial" w:hAnsi="Arial" w:cs="Arial"/>
        </w:rPr>
        <w:t xml:space="preserve"> to declare</w:t>
      </w:r>
      <w:r w:rsidR="00657761" w:rsidRPr="008B4729">
        <w:rPr>
          <w:rFonts w:ascii="Arial" w:eastAsia="Arial" w:hAnsi="Arial" w:cs="Arial"/>
        </w:rPr>
        <w:t xml:space="preserve"> the </w:t>
      </w:r>
      <w:r w:rsidR="00755FF3" w:rsidRPr="008B4729">
        <w:rPr>
          <w:rFonts w:ascii="Arial" w:eastAsia="Arial" w:hAnsi="Arial" w:cs="Arial"/>
          <w:lang w:val="en-GB"/>
        </w:rPr>
        <w:t>approximate number of standard drinks equivalent to one serving of the alcoholic beverage, accurate to one decimal place, in</w:t>
      </w:r>
      <w:r w:rsidR="0023555C" w:rsidRPr="008B4729">
        <w:rPr>
          <w:rFonts w:ascii="Arial" w:eastAsia="Arial" w:hAnsi="Arial" w:cs="Arial"/>
          <w:lang w:val="en-GB"/>
        </w:rPr>
        <w:t xml:space="preserve"> the energy statement</w:t>
      </w:r>
      <w:r w:rsidR="00A20A8B" w:rsidRPr="008B4729">
        <w:rPr>
          <w:rFonts w:ascii="Arial" w:eastAsia="Arial" w:hAnsi="Arial" w:cs="Arial"/>
          <w:lang w:val="en-GB"/>
        </w:rPr>
        <w:t>.</w:t>
      </w:r>
    </w:p>
    <w:p w14:paraId="3D6EFDB8" w14:textId="77777777" w:rsidR="003F65BD" w:rsidRPr="008B4729" w:rsidRDefault="003F65BD" w:rsidP="003F65BD">
      <w:pPr>
        <w:pStyle w:val="ListParagraph"/>
        <w:rPr>
          <w:rFonts w:ascii="Arial" w:eastAsia="Arial" w:hAnsi="Arial" w:cs="Arial"/>
        </w:rPr>
      </w:pPr>
    </w:p>
    <w:p w14:paraId="7EE41F33" w14:textId="3894592C" w:rsidR="003240BD" w:rsidRPr="008B4729" w:rsidRDefault="00114544" w:rsidP="008B4729">
      <w:pPr>
        <w:pStyle w:val="ListParagraph"/>
        <w:numPr>
          <w:ilvl w:val="0"/>
          <w:numId w:val="48"/>
        </w:numPr>
        <w:rPr>
          <w:rFonts w:ascii="Arial" w:eastAsia="Arial" w:hAnsi="Arial" w:cs="Arial"/>
          <w:lang w:val="en-GB"/>
        </w:rPr>
      </w:pPr>
      <w:r>
        <w:rPr>
          <w:rFonts w:ascii="Arial" w:eastAsia="Arial" w:hAnsi="Arial" w:cs="Arial"/>
          <w:lang w:val="en-GB"/>
        </w:rPr>
        <w:t>I</w:t>
      </w:r>
      <w:r w:rsidR="00D3001A" w:rsidRPr="008B4729">
        <w:rPr>
          <w:rFonts w:ascii="Arial" w:eastAsia="Arial" w:hAnsi="Arial" w:cs="Arial"/>
          <w:lang w:val="en-GB"/>
        </w:rPr>
        <w:t>f a NIP is</w:t>
      </w:r>
      <w:r w:rsidR="003240BD" w:rsidRPr="008B4729">
        <w:rPr>
          <w:rFonts w:ascii="Arial" w:eastAsia="Arial" w:hAnsi="Arial" w:cs="Arial"/>
          <w:lang w:val="en-GB"/>
        </w:rPr>
        <w:t xml:space="preserve"> provided on alcoholic beverage packages containing more than one serve (multi-serve package)</w:t>
      </w:r>
      <w:r w:rsidR="00D3001A" w:rsidRPr="008B4729">
        <w:rPr>
          <w:rFonts w:ascii="Arial" w:eastAsia="Arial" w:hAnsi="Arial" w:cs="Arial"/>
          <w:lang w:val="en-GB"/>
        </w:rPr>
        <w:t>, the NIP</w:t>
      </w:r>
      <w:r w:rsidR="003240BD" w:rsidRPr="008B4729">
        <w:rPr>
          <w:rFonts w:ascii="Arial" w:eastAsia="Arial" w:hAnsi="Arial" w:cs="Arial"/>
          <w:lang w:val="en-GB"/>
        </w:rPr>
        <w:t xml:space="preserve"> must include standard drink information, with standard drink information permitted (but not required) to be included in a NIP on single-serve alcoholic beverage packages</w:t>
      </w:r>
      <w:r w:rsidR="00315E15">
        <w:rPr>
          <w:rFonts w:ascii="Arial" w:eastAsia="Arial" w:hAnsi="Arial" w:cs="Arial"/>
          <w:lang w:val="en-GB"/>
        </w:rPr>
        <w:t xml:space="preserve"> (</w:t>
      </w:r>
      <w:r w:rsidR="00315E15" w:rsidRPr="004E2A72">
        <w:rPr>
          <w:rFonts w:ascii="Arial" w:eastAsia="Arial" w:hAnsi="Arial" w:cs="Arial"/>
          <w:lang w:val="en-GB"/>
        </w:rPr>
        <w:t xml:space="preserve">if that </w:t>
      </w:r>
      <w:r w:rsidR="004E2A72" w:rsidRPr="004E2A72">
        <w:rPr>
          <w:rFonts w:ascii="Arial" w:eastAsia="Arial" w:hAnsi="Arial" w:cs="Arial"/>
          <w:lang w:val="en-GB"/>
        </w:rPr>
        <w:t xml:space="preserve">single-serve </w:t>
      </w:r>
      <w:r w:rsidR="00315E15" w:rsidRPr="004E2A72">
        <w:rPr>
          <w:rFonts w:ascii="Arial" w:eastAsia="Arial" w:hAnsi="Arial" w:cs="Arial"/>
          <w:lang w:val="en-GB"/>
        </w:rPr>
        <w:t>beverage is labelled with a statement of the approximate number of standard drinks as required by existing requirements (section 2.7.1—4</w:t>
      </w:r>
      <w:r w:rsidR="00EA1F5F">
        <w:rPr>
          <w:rFonts w:ascii="Arial" w:eastAsia="Arial" w:hAnsi="Arial" w:cs="Arial"/>
          <w:lang w:val="en-GB"/>
        </w:rPr>
        <w:t xml:space="preserve"> of the Code</w:t>
      </w:r>
      <w:r w:rsidR="00315E15" w:rsidRPr="004E2A72">
        <w:rPr>
          <w:rFonts w:ascii="Arial" w:eastAsia="Arial" w:hAnsi="Arial" w:cs="Arial"/>
          <w:lang w:val="en-GB"/>
        </w:rPr>
        <w:t>))</w:t>
      </w:r>
      <w:r w:rsidR="004E2A72" w:rsidRPr="004E2A72">
        <w:rPr>
          <w:rFonts w:ascii="Arial" w:eastAsia="Arial" w:hAnsi="Arial" w:cs="Arial"/>
          <w:lang w:val="en-GB"/>
        </w:rPr>
        <w:t>.</w:t>
      </w:r>
    </w:p>
    <w:p w14:paraId="3F563BC4" w14:textId="583544E5" w:rsidR="00B70A87" w:rsidRDefault="00B70A87" w:rsidP="00B70A87">
      <w:pPr>
        <w:spacing w:after="240"/>
        <w:contextualSpacing/>
        <w:rPr>
          <w:rFonts w:ascii="Arial" w:eastAsia="Arial" w:hAnsi="Arial" w:cs="Arial"/>
          <w:lang w:val="en-GB"/>
        </w:rPr>
      </w:pPr>
    </w:p>
    <w:p w14:paraId="6E118F47" w14:textId="232B3D77" w:rsidR="00A74B3E" w:rsidRDefault="00A74B3E" w:rsidP="00B70A87">
      <w:pPr>
        <w:spacing w:after="240"/>
        <w:contextualSpacing/>
        <w:rPr>
          <w:rFonts w:ascii="Arial" w:hAnsi="Arial" w:cs="Arial"/>
          <w:snapToGrid w:val="0"/>
        </w:rPr>
      </w:pPr>
      <w:r>
        <w:rPr>
          <w:rFonts w:ascii="Arial" w:eastAsia="Arial" w:hAnsi="Arial" w:cs="Arial"/>
          <w:lang w:val="en-GB"/>
        </w:rPr>
        <w:t xml:space="preserve">The above requirements would not replace the </w:t>
      </w:r>
      <w:r w:rsidRPr="00770009">
        <w:rPr>
          <w:rFonts w:ascii="Arial" w:hAnsi="Arial" w:cs="Arial"/>
          <w:snapToGrid w:val="0"/>
        </w:rPr>
        <w:t xml:space="preserve">existing requirement in section 2.7.1—4 </w:t>
      </w:r>
      <w:r>
        <w:rPr>
          <w:rFonts w:ascii="Arial" w:hAnsi="Arial" w:cs="Arial"/>
          <w:snapToGrid w:val="0"/>
        </w:rPr>
        <w:t xml:space="preserve">of the Code </w:t>
      </w:r>
      <w:r w:rsidRPr="00770009">
        <w:rPr>
          <w:rFonts w:ascii="Arial" w:hAnsi="Arial" w:cs="Arial"/>
          <w:snapToGrid w:val="0"/>
        </w:rPr>
        <w:t xml:space="preserve">for a statement of the approximate number of standard drinks </w:t>
      </w:r>
      <w:r>
        <w:rPr>
          <w:rFonts w:ascii="Arial" w:hAnsi="Arial" w:cs="Arial"/>
          <w:snapToGrid w:val="0"/>
        </w:rPr>
        <w:t xml:space="preserve">in the entire </w:t>
      </w:r>
      <w:r w:rsidR="00AF56A5">
        <w:rPr>
          <w:rFonts w:ascii="Arial" w:hAnsi="Arial" w:cs="Arial"/>
          <w:snapToGrid w:val="0"/>
        </w:rPr>
        <w:t xml:space="preserve">package </w:t>
      </w:r>
      <w:r w:rsidR="00864431">
        <w:rPr>
          <w:rFonts w:ascii="Arial" w:hAnsi="Arial" w:cs="Arial"/>
          <w:snapToGrid w:val="0"/>
        </w:rPr>
        <w:lastRenderedPageBreak/>
        <w:t xml:space="preserve">(rather than per serve) </w:t>
      </w:r>
      <w:r w:rsidRPr="00770009">
        <w:rPr>
          <w:rFonts w:ascii="Arial" w:hAnsi="Arial" w:cs="Arial"/>
          <w:snapToGrid w:val="0"/>
        </w:rPr>
        <w:t>on the label of</w:t>
      </w:r>
      <w:r w:rsidR="008E6567">
        <w:rPr>
          <w:rFonts w:ascii="Arial" w:hAnsi="Arial" w:cs="Arial"/>
          <w:snapToGrid w:val="0"/>
        </w:rPr>
        <w:t xml:space="preserve"> all</w:t>
      </w:r>
      <w:r w:rsidRPr="00770009">
        <w:rPr>
          <w:rFonts w:ascii="Arial" w:hAnsi="Arial" w:cs="Arial"/>
          <w:snapToGrid w:val="0"/>
        </w:rPr>
        <w:t xml:space="preserve"> alcoholic beverages</w:t>
      </w:r>
      <w:r w:rsidR="009A5D7F">
        <w:rPr>
          <w:rFonts w:ascii="Arial" w:hAnsi="Arial" w:cs="Arial"/>
          <w:snapToGrid w:val="0"/>
        </w:rPr>
        <w:t xml:space="preserve"> outside of an energy statement or NIP. </w:t>
      </w:r>
    </w:p>
    <w:p w14:paraId="4E1CE5EE" w14:textId="77777777" w:rsidR="00DB3D28" w:rsidRPr="00B70A87" w:rsidRDefault="00DB3D28" w:rsidP="00B70A87">
      <w:pPr>
        <w:spacing w:after="240"/>
        <w:contextualSpacing/>
        <w:rPr>
          <w:rFonts w:ascii="Arial" w:eastAsia="Arial" w:hAnsi="Arial" w:cs="Arial"/>
          <w:lang w:val="en-GB"/>
        </w:rPr>
      </w:pPr>
    </w:p>
    <w:p w14:paraId="3FF6DBBB" w14:textId="36AC134A" w:rsidR="00401778" w:rsidRDefault="00156F8E" w:rsidP="00861F81">
      <w:pPr>
        <w:spacing w:after="240"/>
        <w:contextualSpacing/>
        <w:rPr>
          <w:rFonts w:ascii="Arial" w:eastAsia="Arial" w:hAnsi="Arial" w:cs="Arial"/>
        </w:rPr>
      </w:pPr>
      <w:r>
        <w:rPr>
          <w:rFonts w:ascii="Arial" w:eastAsia="Arial" w:hAnsi="Arial" w:cs="Arial"/>
        </w:rPr>
        <w:t xml:space="preserve">Compared to </w:t>
      </w:r>
      <w:r w:rsidR="009D53E1">
        <w:rPr>
          <w:rFonts w:ascii="Arial" w:eastAsia="Arial" w:hAnsi="Arial" w:cs="Arial"/>
        </w:rPr>
        <w:t xml:space="preserve">option </w:t>
      </w:r>
      <w:r>
        <w:rPr>
          <w:rFonts w:ascii="Arial" w:eastAsia="Arial" w:hAnsi="Arial" w:cs="Arial"/>
        </w:rPr>
        <w:t xml:space="preserve">2, </w:t>
      </w:r>
      <w:r w:rsidR="00EA0F19">
        <w:rPr>
          <w:rFonts w:ascii="Arial" w:eastAsia="Arial" w:hAnsi="Arial" w:cs="Arial"/>
        </w:rPr>
        <w:t xml:space="preserve">the </w:t>
      </w:r>
      <w:r w:rsidR="00201485">
        <w:rPr>
          <w:rFonts w:ascii="Arial" w:eastAsia="Arial" w:hAnsi="Arial" w:cs="Arial"/>
          <w:lang w:val="en-GB"/>
        </w:rPr>
        <w:t xml:space="preserve">number of </w:t>
      </w:r>
      <w:r w:rsidR="00C51978" w:rsidRPr="00C51978" w:rsidDel="00DF11FD">
        <w:rPr>
          <w:rFonts w:ascii="Arial" w:eastAsia="Arial" w:hAnsi="Arial" w:cs="Arial"/>
          <w:lang w:val="en-GB"/>
        </w:rPr>
        <w:t>standard drinks</w:t>
      </w:r>
      <w:r w:rsidR="00C51978">
        <w:rPr>
          <w:rFonts w:ascii="Arial" w:hAnsi="Arial" w:cs="Arial"/>
          <w:sz w:val="18"/>
          <w:szCs w:val="20"/>
          <w:lang w:eastAsia="en-AU"/>
        </w:rPr>
        <w:t xml:space="preserve"> </w:t>
      </w:r>
      <w:r w:rsidR="00675200">
        <w:rPr>
          <w:rFonts w:ascii="Arial" w:eastAsia="Arial" w:hAnsi="Arial" w:cs="Arial"/>
        </w:rPr>
        <w:t xml:space="preserve">would be required in </w:t>
      </w:r>
      <w:r>
        <w:rPr>
          <w:rFonts w:ascii="Arial" w:eastAsia="Arial" w:hAnsi="Arial" w:cs="Arial"/>
        </w:rPr>
        <w:t xml:space="preserve">the </w:t>
      </w:r>
      <w:r w:rsidR="00657761">
        <w:rPr>
          <w:rFonts w:ascii="Arial" w:eastAsia="Arial" w:hAnsi="Arial" w:cs="Arial"/>
        </w:rPr>
        <w:t xml:space="preserve">energy statement </w:t>
      </w:r>
      <w:r>
        <w:rPr>
          <w:rFonts w:ascii="Arial" w:eastAsia="Arial" w:hAnsi="Arial" w:cs="Arial"/>
        </w:rPr>
        <w:t xml:space="preserve">in </w:t>
      </w:r>
      <w:r w:rsidR="00DC1489">
        <w:rPr>
          <w:rFonts w:ascii="Arial" w:eastAsia="Arial" w:hAnsi="Arial" w:cs="Arial"/>
        </w:rPr>
        <w:t>o</w:t>
      </w:r>
      <w:r>
        <w:rPr>
          <w:rFonts w:ascii="Arial" w:eastAsia="Arial" w:hAnsi="Arial" w:cs="Arial"/>
        </w:rPr>
        <w:t xml:space="preserve">ption 3 in </w:t>
      </w:r>
      <w:r w:rsidR="00CC4DE5">
        <w:rPr>
          <w:rFonts w:ascii="Arial" w:eastAsia="Arial" w:hAnsi="Arial" w:cs="Arial"/>
        </w:rPr>
        <w:t>the second</w:t>
      </w:r>
      <w:r w:rsidR="0045185F">
        <w:rPr>
          <w:rFonts w:ascii="Arial" w:eastAsia="Arial" w:hAnsi="Arial" w:cs="Arial"/>
        </w:rPr>
        <w:t xml:space="preserve"> line below ENERGY INFORMATION </w:t>
      </w:r>
      <w:r w:rsidR="00CC4DE5">
        <w:rPr>
          <w:rFonts w:ascii="Arial" w:eastAsia="Arial" w:hAnsi="Arial" w:cs="Arial"/>
        </w:rPr>
        <w:t>(see below). N</w:t>
      </w:r>
      <w:r w:rsidR="0045185F">
        <w:rPr>
          <w:rFonts w:ascii="Arial" w:eastAsia="Arial" w:hAnsi="Arial" w:cs="Arial"/>
        </w:rPr>
        <w:t xml:space="preserve">o other </w:t>
      </w:r>
      <w:r w:rsidR="00C03F47">
        <w:rPr>
          <w:rFonts w:ascii="Arial" w:eastAsia="Arial" w:hAnsi="Arial" w:cs="Arial"/>
        </w:rPr>
        <w:t xml:space="preserve">text </w:t>
      </w:r>
      <w:r w:rsidR="0045185F">
        <w:rPr>
          <w:rFonts w:ascii="Arial" w:eastAsia="Arial" w:hAnsi="Arial" w:cs="Arial"/>
        </w:rPr>
        <w:t>change</w:t>
      </w:r>
      <w:r w:rsidR="00C03F47">
        <w:rPr>
          <w:rFonts w:ascii="Arial" w:eastAsia="Arial" w:hAnsi="Arial" w:cs="Arial"/>
        </w:rPr>
        <w:t>s</w:t>
      </w:r>
      <w:r w:rsidR="00CC4DE5">
        <w:rPr>
          <w:rFonts w:ascii="Arial" w:eastAsia="Arial" w:hAnsi="Arial" w:cs="Arial"/>
        </w:rPr>
        <w:t xml:space="preserve"> would be required.</w:t>
      </w:r>
    </w:p>
    <w:p w14:paraId="67FFFFBB" w14:textId="315908A9" w:rsidR="0045185F" w:rsidRDefault="0045185F" w:rsidP="00401778">
      <w:pPr>
        <w:spacing w:after="240"/>
        <w:contextualSpacing/>
        <w:rPr>
          <w:rFonts w:ascii="Arial" w:eastAsia="Arial" w:hAnsi="Arial" w:cs="Arial"/>
          <w:b/>
          <w:bCs/>
        </w:rPr>
      </w:pPr>
    </w:p>
    <w:tbl>
      <w:tblPr>
        <w:tblpPr w:leftFromText="180" w:rightFromText="180" w:vertAnchor="text" w:horzAnchor="page" w:tblpX="2065" w:tblpY="129"/>
        <w:tblW w:w="6247" w:type="dxa"/>
        <w:tblCellMar>
          <w:left w:w="0" w:type="dxa"/>
          <w:right w:w="0" w:type="dxa"/>
        </w:tblCellMar>
        <w:tblLook w:val="04A0" w:firstRow="1" w:lastRow="0" w:firstColumn="1" w:lastColumn="0" w:noHBand="0" w:noVBand="1"/>
      </w:tblPr>
      <w:tblGrid>
        <w:gridCol w:w="1118"/>
        <w:gridCol w:w="2766"/>
        <w:gridCol w:w="2363"/>
      </w:tblGrid>
      <w:tr w:rsidR="00F54BDB" w:rsidRPr="00CC4DE5" w14:paraId="4426E143" w14:textId="77777777" w:rsidTr="00FC0E2A">
        <w:tc>
          <w:tcPr>
            <w:tcW w:w="624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A8864D" w14:textId="77777777" w:rsidR="00F54BDB" w:rsidRPr="00CC4DE5" w:rsidRDefault="00F54BDB" w:rsidP="00FC0E2A">
            <w:pPr>
              <w:widowControl w:val="0"/>
              <w:spacing w:after="0" w:line="240" w:lineRule="auto"/>
              <w:jc w:val="center"/>
              <w:rPr>
                <w:rFonts w:ascii="Arial" w:eastAsia="Times New Roman" w:hAnsi="Arial" w:cs="Arial"/>
                <w:sz w:val="20"/>
                <w:szCs w:val="20"/>
                <w:lang w:val="en-GB" w:bidi="en-US"/>
              </w:rPr>
            </w:pPr>
            <w:r w:rsidRPr="00CC4DE5">
              <w:rPr>
                <w:rFonts w:ascii="Arial" w:eastAsia="Times New Roman" w:hAnsi="Arial" w:cs="Arial"/>
                <w:sz w:val="20"/>
                <w:szCs w:val="20"/>
                <w:lang w:val="en-GB" w:bidi="en-US"/>
              </w:rPr>
              <w:br w:type="page"/>
              <w:t>ENERGY INFORMATION</w:t>
            </w:r>
          </w:p>
          <w:p w14:paraId="543527B1" w14:textId="693B8637" w:rsidR="00F54BDB" w:rsidRPr="00CC4DE5" w:rsidRDefault="00F54BDB" w:rsidP="00FC0E2A">
            <w:pPr>
              <w:widowControl w:val="0"/>
              <w:spacing w:after="0" w:line="240" w:lineRule="auto"/>
              <w:rPr>
                <w:rFonts w:ascii="Arial" w:eastAsia="Times New Roman" w:hAnsi="Arial" w:cs="Arial"/>
                <w:sz w:val="20"/>
                <w:szCs w:val="20"/>
                <w:lang w:val="en-GB" w:bidi="en-US"/>
              </w:rPr>
            </w:pPr>
            <w:r w:rsidRPr="00CC4DE5">
              <w:rPr>
                <w:rFonts w:ascii="Arial" w:eastAsia="Times New Roman" w:hAnsi="Arial" w:cs="Arial"/>
                <w:sz w:val="20"/>
                <w:szCs w:val="20"/>
                <w:lang w:val="en-GB" w:bidi="en-US"/>
              </w:rPr>
              <w:t xml:space="preserve">Servings per package: </w:t>
            </w:r>
            <w:r w:rsidR="00E4640E" w:rsidRPr="00E4640E">
              <w:rPr>
                <w:rFonts w:ascii="Arial" w:eastAsia="Times New Roman" w:hAnsi="Arial" w:cs="Arial"/>
                <w:sz w:val="20"/>
                <w:szCs w:val="20"/>
                <w:lang w:bidi="en-US"/>
              </w:rPr>
              <w:t>(insert number of servings)</w:t>
            </w:r>
          </w:p>
          <w:p w14:paraId="16408479" w14:textId="0659BEA8" w:rsidR="00F54BDB" w:rsidRPr="00CC4DE5" w:rsidRDefault="00F54BDB" w:rsidP="00FC0E2A">
            <w:pPr>
              <w:widowControl w:val="0"/>
              <w:spacing w:after="0" w:line="240" w:lineRule="auto"/>
              <w:rPr>
                <w:rFonts w:ascii="Arial" w:eastAsia="Times New Roman" w:hAnsi="Arial" w:cs="Arial"/>
                <w:sz w:val="20"/>
                <w:szCs w:val="20"/>
                <w:lang w:val="en-GB" w:bidi="en-US"/>
              </w:rPr>
            </w:pPr>
            <w:r w:rsidRPr="00CC4DE5">
              <w:rPr>
                <w:rFonts w:ascii="Arial" w:eastAsia="Times New Roman" w:hAnsi="Arial" w:cs="Arial"/>
                <w:sz w:val="20"/>
                <w:szCs w:val="20"/>
                <w:lang w:val="en-GB" w:bidi="en-US"/>
              </w:rPr>
              <w:t xml:space="preserve">Serving size: mL </w:t>
            </w:r>
            <w:r w:rsidR="00277F51" w:rsidRPr="00651EAB" w:rsidDel="00DF11FD">
              <w:rPr>
                <w:rFonts w:ascii="Arial" w:eastAsia="Times New Roman" w:hAnsi="Arial" w:cs="Arial"/>
                <w:sz w:val="20"/>
                <w:szCs w:val="20"/>
                <w:lang w:val="en-GB" w:bidi="en-US"/>
              </w:rPr>
              <w:t>([insert number] standard drinks)</w:t>
            </w:r>
          </w:p>
        </w:tc>
      </w:tr>
      <w:tr w:rsidR="00F54BDB" w:rsidRPr="00CC4DE5" w14:paraId="6835F2CF" w14:textId="77777777" w:rsidTr="00FC0E2A">
        <w:trPr>
          <w:trHeight w:val="323"/>
        </w:trPr>
        <w:tc>
          <w:tcPr>
            <w:tcW w:w="1118" w:type="dxa"/>
            <w:tcBorders>
              <w:top w:val="nil"/>
              <w:left w:val="single" w:sz="8" w:space="0" w:color="auto"/>
              <w:bottom w:val="single" w:sz="8" w:space="0" w:color="auto"/>
              <w:right w:val="nil"/>
            </w:tcBorders>
            <w:tcMar>
              <w:top w:w="0" w:type="dxa"/>
              <w:left w:w="108" w:type="dxa"/>
              <w:bottom w:w="0" w:type="dxa"/>
              <w:right w:w="108" w:type="dxa"/>
            </w:tcMar>
            <w:hideMark/>
          </w:tcPr>
          <w:p w14:paraId="229C8FDF" w14:textId="77777777" w:rsidR="00F54BDB" w:rsidRPr="00CC4DE5" w:rsidRDefault="00F54BDB" w:rsidP="00FC0E2A">
            <w:pPr>
              <w:widowControl w:val="0"/>
              <w:spacing w:after="0" w:line="240" w:lineRule="auto"/>
              <w:rPr>
                <w:rFonts w:ascii="Arial" w:eastAsia="Times New Roman" w:hAnsi="Arial" w:cs="Arial"/>
                <w:sz w:val="20"/>
                <w:szCs w:val="20"/>
                <w:lang w:val="en-GB" w:bidi="en-US"/>
              </w:rPr>
            </w:pPr>
            <w:r w:rsidRPr="00CC4DE5">
              <w:rPr>
                <w:rFonts w:ascii="Arial" w:eastAsia="Times New Roman" w:hAnsi="Arial" w:cs="Arial"/>
                <w:sz w:val="20"/>
                <w:szCs w:val="20"/>
                <w:lang w:val="en-GB" w:bidi="en-US"/>
              </w:rPr>
              <w:t> </w:t>
            </w:r>
          </w:p>
        </w:tc>
        <w:tc>
          <w:tcPr>
            <w:tcW w:w="2766" w:type="dxa"/>
            <w:tcBorders>
              <w:top w:val="nil"/>
              <w:left w:val="nil"/>
              <w:bottom w:val="single" w:sz="8" w:space="0" w:color="auto"/>
              <w:right w:val="nil"/>
            </w:tcBorders>
            <w:tcMar>
              <w:top w:w="0" w:type="dxa"/>
              <w:left w:w="108" w:type="dxa"/>
              <w:bottom w:w="0" w:type="dxa"/>
              <w:right w:w="108" w:type="dxa"/>
            </w:tcMar>
            <w:hideMark/>
          </w:tcPr>
          <w:p w14:paraId="6B483141" w14:textId="77777777" w:rsidR="00F54BDB" w:rsidRPr="00CC4DE5" w:rsidRDefault="00F54BDB" w:rsidP="00FC0E2A">
            <w:pPr>
              <w:widowControl w:val="0"/>
              <w:spacing w:after="0" w:line="240" w:lineRule="auto"/>
              <w:rPr>
                <w:rFonts w:ascii="Arial" w:eastAsia="Times New Roman" w:hAnsi="Arial" w:cs="Arial"/>
                <w:sz w:val="20"/>
                <w:szCs w:val="20"/>
                <w:lang w:val="en-GB" w:bidi="en-US"/>
              </w:rPr>
            </w:pPr>
            <w:r w:rsidRPr="00CC4DE5">
              <w:rPr>
                <w:rFonts w:ascii="Arial" w:eastAsia="Times New Roman" w:hAnsi="Arial" w:cs="Arial"/>
                <w:sz w:val="20"/>
                <w:szCs w:val="20"/>
                <w:lang w:val="en-GB" w:bidi="en-US"/>
              </w:rPr>
              <w:t>Quantity per serving</w:t>
            </w:r>
          </w:p>
        </w:tc>
        <w:tc>
          <w:tcPr>
            <w:tcW w:w="2363" w:type="dxa"/>
            <w:tcBorders>
              <w:top w:val="nil"/>
              <w:left w:val="nil"/>
              <w:bottom w:val="single" w:sz="8" w:space="0" w:color="auto"/>
              <w:right w:val="single" w:sz="8" w:space="0" w:color="auto"/>
            </w:tcBorders>
            <w:tcMar>
              <w:top w:w="0" w:type="dxa"/>
              <w:left w:w="108" w:type="dxa"/>
              <w:bottom w:w="0" w:type="dxa"/>
              <w:right w:w="108" w:type="dxa"/>
            </w:tcMar>
            <w:hideMark/>
          </w:tcPr>
          <w:p w14:paraId="4B96833F" w14:textId="77777777" w:rsidR="00F54BDB" w:rsidRPr="00CC4DE5" w:rsidRDefault="00F54BDB" w:rsidP="00FC0E2A">
            <w:pPr>
              <w:widowControl w:val="0"/>
              <w:spacing w:after="0" w:line="240" w:lineRule="auto"/>
              <w:rPr>
                <w:rFonts w:ascii="Arial" w:eastAsia="Times New Roman" w:hAnsi="Arial" w:cs="Arial"/>
                <w:sz w:val="20"/>
                <w:szCs w:val="20"/>
                <w:lang w:val="en-GB" w:bidi="en-US"/>
              </w:rPr>
            </w:pPr>
            <w:r w:rsidRPr="00CC4DE5">
              <w:rPr>
                <w:rFonts w:ascii="Arial" w:eastAsia="Times New Roman" w:hAnsi="Arial" w:cs="Arial"/>
                <w:sz w:val="20"/>
                <w:szCs w:val="20"/>
                <w:lang w:val="en-GB" w:bidi="en-US"/>
              </w:rPr>
              <w:t>Quantity per 100 mL</w:t>
            </w:r>
          </w:p>
        </w:tc>
      </w:tr>
      <w:tr w:rsidR="00F54BDB" w:rsidRPr="00CC4DE5" w14:paraId="4DA61D8D" w14:textId="77777777" w:rsidTr="00FC0E2A">
        <w:tc>
          <w:tcPr>
            <w:tcW w:w="1118"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78B0D0C1" w14:textId="77777777" w:rsidR="00F54BDB" w:rsidRPr="00CC4DE5" w:rsidRDefault="00F54BDB" w:rsidP="00FC0E2A">
            <w:pPr>
              <w:widowControl w:val="0"/>
              <w:spacing w:after="0" w:line="240" w:lineRule="auto"/>
              <w:rPr>
                <w:rFonts w:ascii="Arial" w:eastAsia="Times New Roman" w:hAnsi="Arial" w:cs="Arial"/>
                <w:sz w:val="20"/>
                <w:szCs w:val="20"/>
                <w:lang w:val="en-GB" w:bidi="en-US"/>
              </w:rPr>
            </w:pPr>
            <w:r w:rsidRPr="00CC4DE5">
              <w:rPr>
                <w:rFonts w:ascii="Arial" w:eastAsia="Times New Roman" w:hAnsi="Arial" w:cs="Arial"/>
                <w:sz w:val="20"/>
                <w:szCs w:val="20"/>
                <w:lang w:val="en-GB" w:bidi="en-US"/>
              </w:rPr>
              <w:t>Energy</w:t>
            </w:r>
          </w:p>
        </w:tc>
        <w:tc>
          <w:tcPr>
            <w:tcW w:w="2766" w:type="dxa"/>
            <w:tcBorders>
              <w:top w:val="single" w:sz="8" w:space="0" w:color="auto"/>
              <w:bottom w:val="single" w:sz="8" w:space="0" w:color="auto"/>
            </w:tcBorders>
            <w:tcMar>
              <w:top w:w="0" w:type="dxa"/>
              <w:left w:w="108" w:type="dxa"/>
              <w:bottom w:w="0" w:type="dxa"/>
              <w:right w:w="108" w:type="dxa"/>
            </w:tcMar>
            <w:hideMark/>
          </w:tcPr>
          <w:p w14:paraId="324568FC" w14:textId="77777777" w:rsidR="00F54BDB" w:rsidRPr="00CC4DE5" w:rsidRDefault="00F54BDB" w:rsidP="00FC0E2A">
            <w:pPr>
              <w:widowControl w:val="0"/>
              <w:spacing w:after="0" w:line="240" w:lineRule="auto"/>
              <w:rPr>
                <w:rFonts w:ascii="Arial" w:eastAsia="Times New Roman" w:hAnsi="Arial" w:cs="Arial"/>
                <w:sz w:val="20"/>
                <w:szCs w:val="20"/>
                <w:lang w:val="en-GB" w:bidi="en-US"/>
              </w:rPr>
            </w:pPr>
            <w:r w:rsidRPr="00CC4DE5">
              <w:rPr>
                <w:rFonts w:ascii="Arial" w:eastAsia="Times New Roman" w:hAnsi="Arial" w:cs="Arial"/>
                <w:sz w:val="20"/>
                <w:szCs w:val="20"/>
                <w:lang w:val="en-GB" w:bidi="en-US"/>
              </w:rPr>
              <w:t xml:space="preserve">       kJ (Cal)</w:t>
            </w:r>
          </w:p>
        </w:tc>
        <w:tc>
          <w:tcPr>
            <w:tcW w:w="23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D9628A" w14:textId="77777777" w:rsidR="00F54BDB" w:rsidRPr="00CC4DE5" w:rsidRDefault="00F54BDB" w:rsidP="00FC0E2A">
            <w:pPr>
              <w:widowControl w:val="0"/>
              <w:spacing w:after="0" w:line="240" w:lineRule="auto"/>
              <w:rPr>
                <w:rFonts w:ascii="Arial" w:eastAsia="Times New Roman" w:hAnsi="Arial" w:cs="Arial"/>
                <w:sz w:val="20"/>
                <w:szCs w:val="20"/>
                <w:lang w:val="en-GB" w:bidi="en-US"/>
              </w:rPr>
            </w:pPr>
            <w:r w:rsidRPr="00CC4DE5">
              <w:rPr>
                <w:rFonts w:ascii="Arial" w:eastAsia="Times New Roman" w:hAnsi="Arial" w:cs="Arial"/>
                <w:sz w:val="20"/>
                <w:szCs w:val="20"/>
                <w:lang w:val="en-GB" w:bidi="en-US"/>
              </w:rPr>
              <w:t xml:space="preserve">         kJ (Cal)</w:t>
            </w:r>
          </w:p>
        </w:tc>
      </w:tr>
    </w:tbl>
    <w:p w14:paraId="44465144" w14:textId="77777777" w:rsidR="00F54BDB" w:rsidRPr="0045185F" w:rsidRDefault="00F54BDB" w:rsidP="00401778">
      <w:pPr>
        <w:spacing w:after="240"/>
        <w:contextualSpacing/>
        <w:rPr>
          <w:rFonts w:ascii="Arial" w:eastAsia="Arial" w:hAnsi="Arial" w:cs="Arial"/>
          <w:b/>
          <w:bCs/>
        </w:rPr>
      </w:pPr>
    </w:p>
    <w:p w14:paraId="1AEE4524" w14:textId="77777777" w:rsidR="00963425" w:rsidRDefault="00963425" w:rsidP="00F417E5">
      <w:pPr>
        <w:rPr>
          <w:rFonts w:ascii="Arial" w:hAnsi="Arial" w:cs="Arial"/>
          <w:snapToGrid w:val="0"/>
        </w:rPr>
      </w:pPr>
    </w:p>
    <w:p w14:paraId="2B9AF605" w14:textId="77777777" w:rsidR="00E7634C" w:rsidRDefault="00E7634C" w:rsidP="004A2093">
      <w:pPr>
        <w:rPr>
          <w:rFonts w:ascii="Arial" w:hAnsi="Arial" w:cs="Arial"/>
          <w:snapToGrid w:val="0"/>
        </w:rPr>
      </w:pPr>
    </w:p>
    <w:p w14:paraId="438B5B50" w14:textId="77777777" w:rsidR="00A917D2" w:rsidRDefault="00A917D2" w:rsidP="004A2093">
      <w:pPr>
        <w:rPr>
          <w:rFonts w:ascii="Arial" w:hAnsi="Arial" w:cs="Arial"/>
          <w:snapToGrid w:val="0"/>
        </w:rPr>
      </w:pPr>
    </w:p>
    <w:p w14:paraId="4928B105" w14:textId="77777777" w:rsidR="002B2DBC" w:rsidRDefault="002B2DBC" w:rsidP="004A2093">
      <w:pPr>
        <w:rPr>
          <w:rFonts w:ascii="Arial" w:hAnsi="Arial" w:cs="Arial"/>
          <w:snapToGrid w:val="0"/>
        </w:rPr>
      </w:pPr>
    </w:p>
    <w:p w14:paraId="3FFF7912" w14:textId="72FC8F7D" w:rsidR="00A731DB" w:rsidRDefault="00A731DB" w:rsidP="6A15B411">
      <w:pPr>
        <w:rPr>
          <w:rFonts w:ascii="Arial" w:eastAsia="Arial" w:hAnsi="Arial" w:cs="Arial"/>
        </w:rPr>
      </w:pPr>
      <w:r w:rsidRPr="6A15B411">
        <w:rPr>
          <w:rFonts w:ascii="Arial" w:hAnsi="Arial" w:cs="Arial"/>
          <w:snapToGrid w:val="0"/>
        </w:rPr>
        <w:t>A serving size is not prescribed but is determined by each producer, whereas the size of a standard drink is prescribed, based on the alcohol content of the beverage. Therefore</w:t>
      </w:r>
      <w:r w:rsidR="00B0636C" w:rsidRPr="6A15B411">
        <w:rPr>
          <w:rFonts w:ascii="Arial" w:hAnsi="Arial" w:cs="Arial"/>
          <w:snapToGrid w:val="0"/>
        </w:rPr>
        <w:t>,</w:t>
      </w:r>
      <w:r w:rsidRPr="6A15B411">
        <w:rPr>
          <w:rFonts w:ascii="Arial" w:hAnsi="Arial" w:cs="Arial"/>
          <w:snapToGrid w:val="0"/>
        </w:rPr>
        <w:t xml:space="preserve"> the </w:t>
      </w:r>
      <w:r w:rsidR="00B711F9" w:rsidRPr="6A15B411">
        <w:rPr>
          <w:rFonts w:ascii="Arial" w:hAnsi="Arial" w:cs="Arial"/>
          <w:snapToGrid w:val="0"/>
        </w:rPr>
        <w:t xml:space="preserve">number of </w:t>
      </w:r>
      <w:r w:rsidRPr="6A15B411">
        <w:rPr>
          <w:rFonts w:ascii="Arial" w:hAnsi="Arial" w:cs="Arial"/>
          <w:snapToGrid w:val="0"/>
        </w:rPr>
        <w:t>standard drink</w:t>
      </w:r>
      <w:r w:rsidR="00B711F9" w:rsidRPr="6A15B411">
        <w:rPr>
          <w:rFonts w:ascii="Arial" w:hAnsi="Arial" w:cs="Arial"/>
          <w:snapToGrid w:val="0"/>
        </w:rPr>
        <w:t>s</w:t>
      </w:r>
      <w:r w:rsidRPr="6A15B411">
        <w:rPr>
          <w:rFonts w:ascii="Arial" w:hAnsi="Arial" w:cs="Arial"/>
          <w:snapToGrid w:val="0"/>
        </w:rPr>
        <w:t xml:space="preserve"> </w:t>
      </w:r>
      <w:r w:rsidR="00A57CB2" w:rsidRPr="6A15B411">
        <w:rPr>
          <w:rFonts w:ascii="Arial" w:hAnsi="Arial" w:cs="Arial"/>
          <w:snapToGrid w:val="0"/>
        </w:rPr>
        <w:t xml:space="preserve">equivalent to one </w:t>
      </w:r>
      <w:r w:rsidRPr="6A15B411">
        <w:rPr>
          <w:rFonts w:ascii="Arial" w:hAnsi="Arial" w:cs="Arial"/>
          <w:snapToGrid w:val="0"/>
        </w:rPr>
        <w:t xml:space="preserve">serving </w:t>
      </w:r>
      <w:r w:rsidR="002418CE" w:rsidRPr="6A15B411">
        <w:rPr>
          <w:rFonts w:ascii="Arial" w:hAnsi="Arial" w:cs="Arial"/>
          <w:snapToGrid w:val="0"/>
        </w:rPr>
        <w:t>may</w:t>
      </w:r>
      <w:r w:rsidRPr="6A15B411">
        <w:rPr>
          <w:rFonts w:ascii="Arial" w:hAnsi="Arial" w:cs="Arial"/>
          <w:snapToGrid w:val="0"/>
        </w:rPr>
        <w:t xml:space="preserve"> vary </w:t>
      </w:r>
      <w:r w:rsidR="005D1F3C" w:rsidRPr="6A15B411">
        <w:rPr>
          <w:rFonts w:ascii="Arial" w:hAnsi="Arial" w:cs="Arial"/>
          <w:snapToGrid w:val="0"/>
        </w:rPr>
        <w:t>across</w:t>
      </w:r>
      <w:r w:rsidRPr="6A15B411">
        <w:rPr>
          <w:rFonts w:ascii="Arial" w:hAnsi="Arial" w:cs="Arial"/>
          <w:snapToGrid w:val="0"/>
        </w:rPr>
        <w:t xml:space="preserve"> alcoholic beverage SKU</w:t>
      </w:r>
      <w:r w:rsidR="005D1F3C" w:rsidRPr="6A15B411">
        <w:rPr>
          <w:rFonts w:ascii="Arial" w:hAnsi="Arial" w:cs="Arial"/>
          <w:snapToGrid w:val="0"/>
        </w:rPr>
        <w:t>s</w:t>
      </w:r>
      <w:r w:rsidRPr="6A15B411">
        <w:rPr>
          <w:rFonts w:ascii="Arial" w:hAnsi="Arial" w:cs="Arial"/>
          <w:snapToGrid w:val="0"/>
        </w:rPr>
        <w:t xml:space="preserve">. FSANZ’s consumer testing found that the addition of the number of standard drinks </w:t>
      </w:r>
      <w:r w:rsidR="00B778F0" w:rsidRPr="6A15B411">
        <w:rPr>
          <w:rFonts w:ascii="Arial" w:hAnsi="Arial" w:cs="Arial"/>
          <w:snapToGrid w:val="0"/>
        </w:rPr>
        <w:t>equivalent to one</w:t>
      </w:r>
      <w:r w:rsidRPr="6A15B411">
        <w:rPr>
          <w:rFonts w:ascii="Arial" w:hAnsi="Arial" w:cs="Arial"/>
          <w:snapToGrid w:val="0"/>
        </w:rPr>
        <w:t xml:space="preserve"> serving significantly improves consumers’ understanding of how a standard drink relates to serving size</w:t>
      </w:r>
      <w:bookmarkStart w:id="19" w:name="_Hlk190848728"/>
      <w:r w:rsidRPr="6A15B411">
        <w:rPr>
          <w:rFonts w:ascii="Arial" w:hAnsi="Arial" w:cs="Arial"/>
          <w:snapToGrid w:val="0"/>
        </w:rPr>
        <w:t xml:space="preserve">, </w:t>
      </w:r>
      <w:r w:rsidR="00F1220A" w:rsidRPr="6A15B411">
        <w:rPr>
          <w:rFonts w:ascii="Arial" w:hAnsi="Arial" w:cs="Arial"/>
          <w:snapToGrid w:val="0"/>
        </w:rPr>
        <w:t>especially for multi</w:t>
      </w:r>
      <w:r w:rsidR="00BF576F" w:rsidRPr="6A15B411">
        <w:rPr>
          <w:rFonts w:ascii="Arial" w:hAnsi="Arial" w:cs="Arial"/>
          <w:snapToGrid w:val="0"/>
        </w:rPr>
        <w:t xml:space="preserve">-serve beverages, </w:t>
      </w:r>
      <w:bookmarkEnd w:id="19"/>
      <w:r w:rsidRPr="6A15B411">
        <w:rPr>
          <w:rFonts w:ascii="Arial" w:hAnsi="Arial" w:cs="Arial"/>
          <w:snapToGrid w:val="0"/>
        </w:rPr>
        <w:t xml:space="preserve">compared to the format outlined in </w:t>
      </w:r>
      <w:r w:rsidR="004E60D2" w:rsidRPr="6A15B411">
        <w:rPr>
          <w:rFonts w:ascii="Arial" w:hAnsi="Arial" w:cs="Arial"/>
          <w:snapToGrid w:val="0"/>
        </w:rPr>
        <w:t>o</w:t>
      </w:r>
      <w:r w:rsidRPr="6A15B411">
        <w:rPr>
          <w:rFonts w:ascii="Arial" w:hAnsi="Arial" w:cs="Arial"/>
          <w:snapToGrid w:val="0"/>
        </w:rPr>
        <w:t xml:space="preserve">ption 2 (FSANZ, 2023). When not included, consumers tend to assume that a standard drink is equal to a serving. Therefore, provision of standard drink information in the energy statement is necessary to </w:t>
      </w:r>
      <w:r w:rsidR="00335211" w:rsidRPr="6A15B411">
        <w:rPr>
          <w:rFonts w:ascii="Arial" w:hAnsi="Arial" w:cs="Arial"/>
          <w:snapToGrid w:val="0"/>
        </w:rPr>
        <w:t xml:space="preserve">improve </w:t>
      </w:r>
      <w:r w:rsidRPr="6A15B411">
        <w:rPr>
          <w:rFonts w:ascii="Arial" w:hAnsi="Arial" w:cs="Arial"/>
          <w:snapToGrid w:val="0"/>
        </w:rPr>
        <w:t>consumer understand</w:t>
      </w:r>
      <w:r w:rsidR="00B8195D" w:rsidRPr="6A15B411">
        <w:rPr>
          <w:rFonts w:ascii="Arial" w:hAnsi="Arial" w:cs="Arial"/>
          <w:snapToGrid w:val="0"/>
        </w:rPr>
        <w:t>ing of</w:t>
      </w:r>
      <w:r w:rsidRPr="6A15B411">
        <w:rPr>
          <w:rFonts w:ascii="Arial" w:hAnsi="Arial" w:cs="Arial"/>
          <w:snapToGrid w:val="0"/>
        </w:rPr>
        <w:t xml:space="preserve"> how a serving size relates to a standard drink across all types of alcoholic beverages and helps to address the potential for consumer confusion about the difference between a serving and a standard drink. Furthermore, consumers consistently selected this label as best enabling them to compare energy content between products. </w:t>
      </w:r>
    </w:p>
    <w:p w14:paraId="0642C7E9" w14:textId="243D0ADA" w:rsidR="00401778" w:rsidRPr="00401778" w:rsidRDefault="00A37AB7" w:rsidP="004A2093">
      <w:pPr>
        <w:rPr>
          <w:rFonts w:ascii="Arial" w:eastAsia="Arial" w:hAnsi="Arial" w:cs="Arial"/>
        </w:rPr>
      </w:pPr>
      <w:r>
        <w:rPr>
          <w:rFonts w:ascii="Arial" w:eastAsia="Arial" w:hAnsi="Arial" w:cs="Arial"/>
        </w:rPr>
        <w:t>For a</w:t>
      </w:r>
      <w:r w:rsidR="000D079E">
        <w:rPr>
          <w:rFonts w:ascii="Arial" w:eastAsia="Arial" w:hAnsi="Arial" w:cs="Arial"/>
        </w:rPr>
        <w:t>n</w:t>
      </w:r>
      <w:r>
        <w:rPr>
          <w:rFonts w:ascii="Arial" w:eastAsia="Arial" w:hAnsi="Arial" w:cs="Arial"/>
        </w:rPr>
        <w:t xml:space="preserve"> alcoholic beverage SKU </w:t>
      </w:r>
      <w:r w:rsidR="003752A3">
        <w:rPr>
          <w:rFonts w:ascii="Arial" w:eastAsia="Arial" w:hAnsi="Arial" w:cs="Arial"/>
        </w:rPr>
        <w:t xml:space="preserve">labelled </w:t>
      </w:r>
      <w:r>
        <w:rPr>
          <w:rFonts w:ascii="Arial" w:eastAsia="Arial" w:hAnsi="Arial" w:cs="Arial"/>
        </w:rPr>
        <w:t>with a NIP</w:t>
      </w:r>
      <w:r w:rsidR="00873A7D">
        <w:rPr>
          <w:rFonts w:ascii="Arial" w:eastAsia="Arial" w:hAnsi="Arial" w:cs="Arial"/>
        </w:rPr>
        <w:t xml:space="preserve"> and in a multi-serve</w:t>
      </w:r>
      <w:r w:rsidR="009C6093">
        <w:rPr>
          <w:rFonts w:ascii="Arial" w:eastAsia="Arial" w:hAnsi="Arial" w:cs="Arial"/>
        </w:rPr>
        <w:t xml:space="preserve"> package</w:t>
      </w:r>
      <w:r>
        <w:rPr>
          <w:rFonts w:ascii="Arial" w:eastAsia="Arial" w:hAnsi="Arial" w:cs="Arial"/>
        </w:rPr>
        <w:t xml:space="preserve">, </w:t>
      </w:r>
      <w:r w:rsidR="009D53E1">
        <w:rPr>
          <w:rFonts w:ascii="Arial" w:eastAsia="Arial" w:hAnsi="Arial" w:cs="Arial"/>
        </w:rPr>
        <w:t xml:space="preserve">option </w:t>
      </w:r>
      <w:r w:rsidR="0045185F">
        <w:rPr>
          <w:rFonts w:ascii="Arial" w:eastAsia="Arial" w:hAnsi="Arial" w:cs="Arial"/>
        </w:rPr>
        <w:t xml:space="preserve">3 would </w:t>
      </w:r>
      <w:r w:rsidR="00847F13">
        <w:rPr>
          <w:rFonts w:ascii="Arial" w:eastAsia="Arial" w:hAnsi="Arial" w:cs="Arial"/>
        </w:rPr>
        <w:t xml:space="preserve">also </w:t>
      </w:r>
      <w:r w:rsidR="0045185F">
        <w:rPr>
          <w:rFonts w:ascii="Arial" w:eastAsia="Arial" w:hAnsi="Arial" w:cs="Arial"/>
        </w:rPr>
        <w:t xml:space="preserve">require </w:t>
      </w:r>
      <w:r w:rsidR="00675200">
        <w:rPr>
          <w:rFonts w:ascii="Arial" w:eastAsia="Arial" w:hAnsi="Arial" w:cs="Arial"/>
        </w:rPr>
        <w:t xml:space="preserve">the number of standard drinks </w:t>
      </w:r>
      <w:r w:rsidR="00157DDC">
        <w:rPr>
          <w:rFonts w:ascii="Arial" w:eastAsia="Arial" w:hAnsi="Arial" w:cs="Arial"/>
        </w:rPr>
        <w:t>equivalent to one</w:t>
      </w:r>
      <w:r w:rsidR="00675200">
        <w:rPr>
          <w:rFonts w:ascii="Arial" w:eastAsia="Arial" w:hAnsi="Arial" w:cs="Arial"/>
        </w:rPr>
        <w:t xml:space="preserve"> serving</w:t>
      </w:r>
      <w:r w:rsidR="0028662B">
        <w:rPr>
          <w:rFonts w:ascii="Arial" w:eastAsia="Arial" w:hAnsi="Arial" w:cs="Arial"/>
        </w:rPr>
        <w:t>:</w:t>
      </w:r>
      <w:r w:rsidR="0045185F">
        <w:rPr>
          <w:rFonts w:ascii="Arial" w:eastAsia="Arial" w:hAnsi="Arial" w:cs="Arial"/>
        </w:rPr>
        <w:t xml:space="preserve"> </w:t>
      </w:r>
      <w:r w:rsidR="0028662B" w:rsidRPr="0028662B" w:rsidDel="00DF11FD">
        <w:rPr>
          <w:rFonts w:ascii="Arial" w:eastAsia="Arial" w:hAnsi="Arial" w:cs="Arial"/>
        </w:rPr>
        <w:t>([insert number] standard drinks)</w:t>
      </w:r>
      <w:r w:rsidR="0028662B">
        <w:rPr>
          <w:rFonts w:ascii="Arial" w:hAnsi="Arial" w:cs="Arial"/>
          <w:sz w:val="18"/>
          <w:szCs w:val="20"/>
          <w:lang w:eastAsia="en-AU"/>
        </w:rPr>
        <w:t xml:space="preserve"> </w:t>
      </w:r>
      <w:r w:rsidR="0045185F">
        <w:rPr>
          <w:rFonts w:ascii="Arial" w:eastAsia="Arial" w:hAnsi="Arial" w:cs="Arial"/>
        </w:rPr>
        <w:t xml:space="preserve">to be </w:t>
      </w:r>
      <w:r w:rsidR="00C00DA2">
        <w:rPr>
          <w:rFonts w:ascii="Arial" w:eastAsia="Arial" w:hAnsi="Arial" w:cs="Arial"/>
        </w:rPr>
        <w:t xml:space="preserve">included </w:t>
      </w:r>
      <w:r>
        <w:rPr>
          <w:rFonts w:ascii="Arial" w:eastAsia="Arial" w:hAnsi="Arial" w:cs="Arial"/>
        </w:rPr>
        <w:t>in the second line of</w:t>
      </w:r>
      <w:r w:rsidR="0045185F">
        <w:rPr>
          <w:rFonts w:ascii="Arial" w:eastAsia="Arial" w:hAnsi="Arial" w:cs="Arial"/>
        </w:rPr>
        <w:t xml:space="preserve"> a NIP</w:t>
      </w:r>
      <w:r>
        <w:rPr>
          <w:rFonts w:ascii="Arial" w:eastAsia="Arial" w:hAnsi="Arial" w:cs="Arial"/>
        </w:rPr>
        <w:t xml:space="preserve"> below NUTRITION INFORMATION</w:t>
      </w:r>
      <w:r w:rsidR="00C03F47">
        <w:rPr>
          <w:rFonts w:ascii="Arial" w:eastAsia="Arial" w:hAnsi="Arial" w:cs="Arial"/>
        </w:rPr>
        <w:t>, as follows:</w:t>
      </w:r>
    </w:p>
    <w:tbl>
      <w:tblPr>
        <w:tblW w:w="6247" w:type="dxa"/>
        <w:tblInd w:w="631" w:type="dxa"/>
        <w:tblCellMar>
          <w:left w:w="0" w:type="dxa"/>
          <w:right w:w="0" w:type="dxa"/>
        </w:tblCellMar>
        <w:tblLook w:val="0000" w:firstRow="0" w:lastRow="0" w:firstColumn="0" w:lastColumn="0" w:noHBand="0" w:noVBand="0"/>
      </w:tblPr>
      <w:tblGrid>
        <w:gridCol w:w="2209"/>
        <w:gridCol w:w="2176"/>
        <w:gridCol w:w="1862"/>
      </w:tblGrid>
      <w:tr w:rsidR="00401778" w:rsidRPr="000A5607" w14:paraId="155829A2" w14:textId="77777777" w:rsidTr="00401778">
        <w:trPr>
          <w:trHeight w:val="864"/>
        </w:trPr>
        <w:tc>
          <w:tcPr>
            <w:tcW w:w="624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FA2FD8" w14:textId="77777777" w:rsidR="00401778" w:rsidRPr="00A33B7B" w:rsidRDefault="00401778" w:rsidP="00CD0B90">
            <w:pPr>
              <w:pStyle w:val="FSCtblMainC"/>
              <w:keepNext/>
              <w:rPr>
                <w:sz w:val="20"/>
              </w:rPr>
            </w:pPr>
            <w:r w:rsidRPr="00A33B7B">
              <w:rPr>
                <w:sz w:val="20"/>
              </w:rPr>
              <w:lastRenderedPageBreak/>
              <w:br w:type="page"/>
              <w:t>NUTRITION INFORMATION</w:t>
            </w:r>
          </w:p>
          <w:p w14:paraId="790A6228" w14:textId="77777777" w:rsidR="00401778" w:rsidRPr="00A33B7B" w:rsidRDefault="00401778" w:rsidP="00CD0B90">
            <w:pPr>
              <w:pStyle w:val="FSCtblMain"/>
              <w:keepNext/>
              <w:rPr>
                <w:sz w:val="20"/>
              </w:rPr>
            </w:pPr>
            <w:r w:rsidRPr="00A33B7B">
              <w:rPr>
                <w:sz w:val="20"/>
              </w:rPr>
              <w:t>Servings per package: (insert number of servings)</w:t>
            </w:r>
          </w:p>
          <w:p w14:paraId="1E649FEE" w14:textId="2713E969" w:rsidR="00401778" w:rsidRPr="00A33B7B" w:rsidRDefault="00401778" w:rsidP="00CD0B90">
            <w:pPr>
              <w:pStyle w:val="FSCtblMain"/>
              <w:keepNext/>
              <w:rPr>
                <w:sz w:val="20"/>
              </w:rPr>
            </w:pPr>
            <w:r w:rsidRPr="00A33B7B">
              <w:rPr>
                <w:sz w:val="20"/>
              </w:rPr>
              <w:t xml:space="preserve">Serving size: </w:t>
            </w:r>
            <w:r w:rsidRPr="0045185F">
              <w:rPr>
                <w:sz w:val="20"/>
              </w:rPr>
              <w:t xml:space="preserve">mL </w:t>
            </w:r>
            <w:r w:rsidR="00E4640E" w:rsidRPr="002777AC" w:rsidDel="00DF11FD">
              <w:rPr>
                <w:sz w:val="20"/>
              </w:rPr>
              <w:t>([insert number] standard drinks)</w:t>
            </w:r>
          </w:p>
        </w:tc>
      </w:tr>
      <w:tr w:rsidR="00401778" w:rsidRPr="000A5607" w14:paraId="196C3950" w14:textId="77777777" w:rsidTr="00401778">
        <w:trPr>
          <w:trHeight w:val="557"/>
        </w:trPr>
        <w:tc>
          <w:tcPr>
            <w:tcW w:w="2209" w:type="dxa"/>
            <w:tcBorders>
              <w:top w:val="nil"/>
              <w:left w:val="single" w:sz="8" w:space="0" w:color="auto"/>
              <w:bottom w:val="single" w:sz="8" w:space="0" w:color="auto"/>
              <w:right w:val="nil"/>
            </w:tcBorders>
            <w:tcMar>
              <w:top w:w="0" w:type="dxa"/>
              <w:left w:w="108" w:type="dxa"/>
              <w:bottom w:w="0" w:type="dxa"/>
              <w:right w:w="108" w:type="dxa"/>
            </w:tcMar>
          </w:tcPr>
          <w:p w14:paraId="7241D9DB" w14:textId="77777777" w:rsidR="00401778" w:rsidRPr="00A33B7B" w:rsidRDefault="00401778" w:rsidP="00CD0B90">
            <w:pPr>
              <w:pStyle w:val="FSCtblMain"/>
              <w:keepNext/>
              <w:rPr>
                <w:sz w:val="20"/>
              </w:rPr>
            </w:pPr>
            <w:r w:rsidRPr="00A33B7B">
              <w:rPr>
                <w:sz w:val="20"/>
              </w:rPr>
              <w:t> </w:t>
            </w:r>
          </w:p>
        </w:tc>
        <w:tc>
          <w:tcPr>
            <w:tcW w:w="2176" w:type="dxa"/>
            <w:tcBorders>
              <w:top w:val="nil"/>
              <w:left w:val="nil"/>
              <w:bottom w:val="single" w:sz="8" w:space="0" w:color="auto"/>
              <w:right w:val="nil"/>
            </w:tcBorders>
            <w:tcMar>
              <w:top w:w="0" w:type="dxa"/>
              <w:left w:w="108" w:type="dxa"/>
              <w:bottom w:w="0" w:type="dxa"/>
              <w:right w:w="108" w:type="dxa"/>
            </w:tcMar>
          </w:tcPr>
          <w:p w14:paraId="634F94A0" w14:textId="77777777" w:rsidR="00401778" w:rsidRPr="00A33B7B" w:rsidRDefault="00401778" w:rsidP="00CD0B90">
            <w:pPr>
              <w:pStyle w:val="FSCtblMain"/>
              <w:keepNext/>
              <w:rPr>
                <w:sz w:val="20"/>
              </w:rPr>
            </w:pPr>
            <w:r w:rsidRPr="00A33B7B">
              <w:rPr>
                <w:sz w:val="20"/>
              </w:rPr>
              <w:t>Quantity per serving</w:t>
            </w:r>
          </w:p>
        </w:tc>
        <w:tc>
          <w:tcPr>
            <w:tcW w:w="1862" w:type="dxa"/>
            <w:tcBorders>
              <w:top w:val="nil"/>
              <w:left w:val="nil"/>
              <w:bottom w:val="single" w:sz="8" w:space="0" w:color="auto"/>
              <w:right w:val="single" w:sz="8" w:space="0" w:color="auto"/>
            </w:tcBorders>
            <w:tcMar>
              <w:top w:w="0" w:type="dxa"/>
              <w:left w:w="108" w:type="dxa"/>
              <w:bottom w:w="0" w:type="dxa"/>
              <w:right w:w="108" w:type="dxa"/>
            </w:tcMar>
          </w:tcPr>
          <w:p w14:paraId="7F05B7E1" w14:textId="77777777" w:rsidR="00401778" w:rsidRPr="00A33B7B" w:rsidRDefault="00401778" w:rsidP="00CD0B90">
            <w:pPr>
              <w:pStyle w:val="FSCtblMain"/>
              <w:keepNext/>
              <w:rPr>
                <w:sz w:val="20"/>
              </w:rPr>
            </w:pPr>
            <w:r w:rsidRPr="00A33B7B">
              <w:rPr>
                <w:sz w:val="20"/>
              </w:rPr>
              <w:t xml:space="preserve">Quantity per 100 </w:t>
            </w:r>
            <w:r>
              <w:rPr>
                <w:sz w:val="20"/>
              </w:rPr>
              <w:t>mL</w:t>
            </w:r>
          </w:p>
        </w:tc>
      </w:tr>
      <w:tr w:rsidR="00401778" w:rsidRPr="000A5607" w14:paraId="0C305ED2" w14:textId="77777777" w:rsidTr="00401778">
        <w:trPr>
          <w:trHeight w:val="332"/>
        </w:trPr>
        <w:tc>
          <w:tcPr>
            <w:tcW w:w="2209" w:type="dxa"/>
            <w:tcBorders>
              <w:top w:val="nil"/>
              <w:left w:val="single" w:sz="8" w:space="0" w:color="auto"/>
              <w:bottom w:val="nil"/>
              <w:right w:val="nil"/>
            </w:tcBorders>
            <w:tcMar>
              <w:top w:w="0" w:type="dxa"/>
              <w:left w:w="108" w:type="dxa"/>
              <w:bottom w:w="0" w:type="dxa"/>
              <w:right w:w="108" w:type="dxa"/>
            </w:tcMar>
          </w:tcPr>
          <w:p w14:paraId="67DF6E3A" w14:textId="77777777" w:rsidR="00401778" w:rsidRPr="00A33B7B" w:rsidRDefault="00401778" w:rsidP="00CD0B90">
            <w:pPr>
              <w:pStyle w:val="FSCtblMain"/>
              <w:keepNext/>
              <w:rPr>
                <w:sz w:val="20"/>
              </w:rPr>
            </w:pPr>
            <w:r w:rsidRPr="00A33B7B">
              <w:rPr>
                <w:sz w:val="20"/>
              </w:rPr>
              <w:t>Energy</w:t>
            </w:r>
          </w:p>
        </w:tc>
        <w:tc>
          <w:tcPr>
            <w:tcW w:w="2176" w:type="dxa"/>
            <w:tcBorders>
              <w:top w:val="nil"/>
              <w:left w:val="nil"/>
              <w:bottom w:val="nil"/>
              <w:right w:val="nil"/>
            </w:tcBorders>
            <w:tcMar>
              <w:top w:w="0" w:type="dxa"/>
              <w:left w:w="108" w:type="dxa"/>
              <w:bottom w:w="0" w:type="dxa"/>
              <w:right w:w="108" w:type="dxa"/>
            </w:tcMar>
          </w:tcPr>
          <w:p w14:paraId="0194A1CF" w14:textId="77777777" w:rsidR="00401778" w:rsidRPr="00A33B7B" w:rsidRDefault="00401778" w:rsidP="00CD0B90">
            <w:pPr>
              <w:pStyle w:val="FSCtblMain"/>
              <w:keepNext/>
              <w:rPr>
                <w:sz w:val="20"/>
              </w:rPr>
            </w:pPr>
            <w:r w:rsidRPr="00A33B7B">
              <w:rPr>
                <w:sz w:val="20"/>
              </w:rPr>
              <w:t>kJ (Cal)</w:t>
            </w:r>
          </w:p>
        </w:tc>
        <w:tc>
          <w:tcPr>
            <w:tcW w:w="1862" w:type="dxa"/>
            <w:tcBorders>
              <w:top w:val="nil"/>
              <w:left w:val="nil"/>
              <w:bottom w:val="nil"/>
              <w:right w:val="single" w:sz="8" w:space="0" w:color="auto"/>
            </w:tcBorders>
            <w:tcMar>
              <w:top w:w="0" w:type="dxa"/>
              <w:left w:w="108" w:type="dxa"/>
              <w:bottom w:w="0" w:type="dxa"/>
              <w:right w:w="108" w:type="dxa"/>
            </w:tcMar>
          </w:tcPr>
          <w:p w14:paraId="3E10238B" w14:textId="77777777" w:rsidR="00401778" w:rsidRPr="00A33B7B" w:rsidRDefault="00401778" w:rsidP="00CD0B90">
            <w:pPr>
              <w:pStyle w:val="FSCtblMain"/>
              <w:keepNext/>
              <w:rPr>
                <w:sz w:val="20"/>
              </w:rPr>
            </w:pPr>
            <w:r w:rsidRPr="00A33B7B">
              <w:rPr>
                <w:sz w:val="20"/>
              </w:rPr>
              <w:t>kJ (Cal)</w:t>
            </w:r>
          </w:p>
        </w:tc>
      </w:tr>
      <w:tr w:rsidR="00401778" w:rsidRPr="000A5607" w14:paraId="2A4F61FB" w14:textId="77777777" w:rsidTr="00401778">
        <w:trPr>
          <w:trHeight w:val="332"/>
        </w:trPr>
        <w:tc>
          <w:tcPr>
            <w:tcW w:w="2209" w:type="dxa"/>
            <w:tcBorders>
              <w:top w:val="nil"/>
              <w:left w:val="single" w:sz="8" w:space="0" w:color="auto"/>
              <w:bottom w:val="nil"/>
              <w:right w:val="nil"/>
            </w:tcBorders>
            <w:tcMar>
              <w:top w:w="0" w:type="dxa"/>
              <w:left w:w="108" w:type="dxa"/>
              <w:bottom w:w="0" w:type="dxa"/>
              <w:right w:w="108" w:type="dxa"/>
            </w:tcMar>
          </w:tcPr>
          <w:p w14:paraId="36B25CA1" w14:textId="77777777" w:rsidR="00401778" w:rsidRPr="00A33B7B" w:rsidRDefault="00401778" w:rsidP="00CD0B90">
            <w:pPr>
              <w:pStyle w:val="FSCtblMain"/>
              <w:keepNext/>
              <w:rPr>
                <w:sz w:val="20"/>
              </w:rPr>
            </w:pPr>
            <w:r w:rsidRPr="00A33B7B">
              <w:rPr>
                <w:sz w:val="20"/>
              </w:rPr>
              <w:t>Protein</w:t>
            </w:r>
          </w:p>
        </w:tc>
        <w:tc>
          <w:tcPr>
            <w:tcW w:w="2176" w:type="dxa"/>
            <w:tcBorders>
              <w:top w:val="nil"/>
              <w:left w:val="nil"/>
              <w:bottom w:val="nil"/>
              <w:right w:val="nil"/>
            </w:tcBorders>
            <w:tcMar>
              <w:top w:w="0" w:type="dxa"/>
              <w:left w:w="108" w:type="dxa"/>
              <w:bottom w:w="0" w:type="dxa"/>
              <w:right w:w="108" w:type="dxa"/>
            </w:tcMar>
          </w:tcPr>
          <w:p w14:paraId="73986B1F" w14:textId="77777777" w:rsidR="00401778" w:rsidRPr="00A33B7B" w:rsidRDefault="00401778" w:rsidP="00CD0B90">
            <w:pPr>
              <w:pStyle w:val="FSCtblMain"/>
              <w:keepNext/>
              <w:rPr>
                <w:sz w:val="20"/>
              </w:rPr>
            </w:pPr>
            <w:r w:rsidRPr="00A33B7B">
              <w:rPr>
                <w:sz w:val="20"/>
              </w:rPr>
              <w:t>G</w:t>
            </w:r>
          </w:p>
        </w:tc>
        <w:tc>
          <w:tcPr>
            <w:tcW w:w="1862" w:type="dxa"/>
            <w:tcBorders>
              <w:top w:val="nil"/>
              <w:left w:val="nil"/>
              <w:bottom w:val="nil"/>
              <w:right w:val="single" w:sz="8" w:space="0" w:color="auto"/>
            </w:tcBorders>
            <w:tcMar>
              <w:top w:w="0" w:type="dxa"/>
              <w:left w:w="108" w:type="dxa"/>
              <w:bottom w:w="0" w:type="dxa"/>
              <w:right w:w="108" w:type="dxa"/>
            </w:tcMar>
          </w:tcPr>
          <w:p w14:paraId="39526DE9" w14:textId="77777777" w:rsidR="00401778" w:rsidRPr="00A33B7B" w:rsidRDefault="00401778" w:rsidP="00CD0B90">
            <w:pPr>
              <w:pStyle w:val="FSCtblMain"/>
              <w:keepNext/>
              <w:rPr>
                <w:sz w:val="20"/>
              </w:rPr>
            </w:pPr>
            <w:r w:rsidRPr="00A33B7B">
              <w:rPr>
                <w:sz w:val="20"/>
              </w:rPr>
              <w:t>G</w:t>
            </w:r>
          </w:p>
        </w:tc>
      </w:tr>
      <w:tr w:rsidR="00401778" w:rsidRPr="000A5607" w14:paraId="03D0F2A0" w14:textId="77777777" w:rsidTr="00401778">
        <w:trPr>
          <w:trHeight w:val="581"/>
        </w:trPr>
        <w:tc>
          <w:tcPr>
            <w:tcW w:w="2209" w:type="dxa"/>
            <w:tcBorders>
              <w:top w:val="nil"/>
              <w:left w:val="single" w:sz="8" w:space="0" w:color="auto"/>
              <w:bottom w:val="nil"/>
              <w:right w:val="nil"/>
            </w:tcBorders>
            <w:tcMar>
              <w:top w:w="0" w:type="dxa"/>
              <w:left w:w="108" w:type="dxa"/>
              <w:bottom w:w="0" w:type="dxa"/>
              <w:right w:w="108" w:type="dxa"/>
            </w:tcMar>
          </w:tcPr>
          <w:p w14:paraId="426EA7F6" w14:textId="77777777" w:rsidR="00401778" w:rsidRPr="00A33B7B" w:rsidRDefault="00401778" w:rsidP="00CD0B90">
            <w:pPr>
              <w:pStyle w:val="FSCtblMain"/>
              <w:keepNext/>
              <w:rPr>
                <w:sz w:val="20"/>
              </w:rPr>
            </w:pPr>
            <w:r w:rsidRPr="00A33B7B">
              <w:rPr>
                <w:sz w:val="20"/>
              </w:rPr>
              <w:t>Fat, total</w:t>
            </w:r>
            <w:r w:rsidRPr="00A33B7B">
              <w:rPr>
                <w:sz w:val="20"/>
              </w:rPr>
              <w:br/>
              <w:t xml:space="preserve"> —saturated</w:t>
            </w:r>
          </w:p>
        </w:tc>
        <w:tc>
          <w:tcPr>
            <w:tcW w:w="2176" w:type="dxa"/>
            <w:tcBorders>
              <w:top w:val="nil"/>
              <w:left w:val="nil"/>
              <w:bottom w:val="nil"/>
              <w:right w:val="nil"/>
            </w:tcBorders>
            <w:tcMar>
              <w:top w:w="0" w:type="dxa"/>
              <w:left w:w="108" w:type="dxa"/>
              <w:bottom w:w="0" w:type="dxa"/>
              <w:right w:w="108" w:type="dxa"/>
            </w:tcMar>
          </w:tcPr>
          <w:p w14:paraId="2A2E50AD" w14:textId="77777777" w:rsidR="00401778" w:rsidRPr="00A33B7B" w:rsidRDefault="00401778" w:rsidP="00CD0B90">
            <w:pPr>
              <w:pStyle w:val="FSCtblMain"/>
              <w:keepNext/>
              <w:rPr>
                <w:sz w:val="20"/>
              </w:rPr>
            </w:pPr>
            <w:r w:rsidRPr="00A33B7B">
              <w:rPr>
                <w:sz w:val="20"/>
              </w:rPr>
              <w:t>G</w:t>
            </w:r>
          </w:p>
          <w:p w14:paraId="4DD9BB30" w14:textId="77777777" w:rsidR="00401778" w:rsidRPr="00A33B7B" w:rsidRDefault="00401778" w:rsidP="00CD0B90">
            <w:pPr>
              <w:pStyle w:val="FSCtblMain"/>
              <w:keepNext/>
              <w:rPr>
                <w:sz w:val="20"/>
              </w:rPr>
            </w:pPr>
            <w:r w:rsidRPr="00A33B7B">
              <w:rPr>
                <w:sz w:val="20"/>
              </w:rPr>
              <w:t>G</w:t>
            </w:r>
          </w:p>
        </w:tc>
        <w:tc>
          <w:tcPr>
            <w:tcW w:w="1862" w:type="dxa"/>
            <w:tcBorders>
              <w:top w:val="nil"/>
              <w:left w:val="nil"/>
              <w:bottom w:val="nil"/>
              <w:right w:val="single" w:sz="8" w:space="0" w:color="auto"/>
            </w:tcBorders>
            <w:tcMar>
              <w:top w:w="0" w:type="dxa"/>
              <w:left w:w="108" w:type="dxa"/>
              <w:bottom w:w="0" w:type="dxa"/>
              <w:right w:w="108" w:type="dxa"/>
            </w:tcMar>
          </w:tcPr>
          <w:p w14:paraId="34EEFF13" w14:textId="77777777" w:rsidR="00401778" w:rsidRPr="00A33B7B" w:rsidRDefault="00401778" w:rsidP="00CD0B90">
            <w:pPr>
              <w:pStyle w:val="FSCtblMain"/>
              <w:keepNext/>
              <w:rPr>
                <w:sz w:val="20"/>
              </w:rPr>
            </w:pPr>
            <w:r w:rsidRPr="00A33B7B">
              <w:rPr>
                <w:sz w:val="20"/>
              </w:rPr>
              <w:t>G</w:t>
            </w:r>
          </w:p>
          <w:p w14:paraId="4FBC3F30" w14:textId="77777777" w:rsidR="00401778" w:rsidRPr="00A33B7B" w:rsidRDefault="00401778" w:rsidP="00CD0B90">
            <w:pPr>
              <w:pStyle w:val="FSCtblMain"/>
              <w:keepNext/>
              <w:rPr>
                <w:sz w:val="20"/>
              </w:rPr>
            </w:pPr>
            <w:r w:rsidRPr="00A33B7B">
              <w:rPr>
                <w:sz w:val="20"/>
              </w:rPr>
              <w:t>G</w:t>
            </w:r>
          </w:p>
        </w:tc>
      </w:tr>
      <w:tr w:rsidR="00401778" w:rsidRPr="000A5607" w14:paraId="4CDB8292" w14:textId="77777777" w:rsidTr="00401778">
        <w:trPr>
          <w:trHeight w:val="598"/>
        </w:trPr>
        <w:tc>
          <w:tcPr>
            <w:tcW w:w="2209" w:type="dxa"/>
            <w:tcBorders>
              <w:top w:val="nil"/>
              <w:left w:val="single" w:sz="8" w:space="0" w:color="auto"/>
              <w:bottom w:val="nil"/>
              <w:right w:val="nil"/>
            </w:tcBorders>
            <w:tcMar>
              <w:top w:w="0" w:type="dxa"/>
              <w:left w:w="108" w:type="dxa"/>
              <w:bottom w:w="0" w:type="dxa"/>
              <w:right w:w="108" w:type="dxa"/>
            </w:tcMar>
          </w:tcPr>
          <w:p w14:paraId="01F8A3F8" w14:textId="77777777" w:rsidR="00401778" w:rsidRPr="00A33B7B" w:rsidRDefault="00401778" w:rsidP="00CD0B90">
            <w:pPr>
              <w:pStyle w:val="FSCtblMain"/>
              <w:keepNext/>
              <w:rPr>
                <w:sz w:val="20"/>
              </w:rPr>
            </w:pPr>
            <w:r w:rsidRPr="00A33B7B">
              <w:rPr>
                <w:sz w:val="20"/>
              </w:rPr>
              <w:t>Carbohydrate</w:t>
            </w:r>
            <w:r w:rsidRPr="00A33B7B">
              <w:rPr>
                <w:sz w:val="20"/>
              </w:rPr>
              <w:br/>
              <w:t xml:space="preserve"> —sugars</w:t>
            </w:r>
          </w:p>
        </w:tc>
        <w:tc>
          <w:tcPr>
            <w:tcW w:w="2176" w:type="dxa"/>
            <w:tcBorders>
              <w:top w:val="nil"/>
              <w:left w:val="nil"/>
              <w:bottom w:val="nil"/>
              <w:right w:val="nil"/>
            </w:tcBorders>
            <w:tcMar>
              <w:top w:w="0" w:type="dxa"/>
              <w:left w:w="108" w:type="dxa"/>
              <w:bottom w:w="0" w:type="dxa"/>
              <w:right w:w="108" w:type="dxa"/>
            </w:tcMar>
          </w:tcPr>
          <w:p w14:paraId="3AB70B47" w14:textId="77777777" w:rsidR="00401778" w:rsidRPr="00A33B7B" w:rsidRDefault="00401778" w:rsidP="00CD0B90">
            <w:pPr>
              <w:pStyle w:val="FSCtblMain"/>
              <w:keepNext/>
              <w:rPr>
                <w:sz w:val="20"/>
              </w:rPr>
            </w:pPr>
            <w:r w:rsidRPr="00A33B7B">
              <w:rPr>
                <w:sz w:val="20"/>
              </w:rPr>
              <w:t>G</w:t>
            </w:r>
          </w:p>
          <w:p w14:paraId="1B3886C1" w14:textId="77777777" w:rsidR="00401778" w:rsidRPr="00A33B7B" w:rsidRDefault="00401778" w:rsidP="00CD0B90">
            <w:pPr>
              <w:pStyle w:val="FSCtblMain"/>
              <w:keepNext/>
              <w:rPr>
                <w:sz w:val="20"/>
              </w:rPr>
            </w:pPr>
            <w:r w:rsidRPr="00A33B7B">
              <w:rPr>
                <w:sz w:val="20"/>
              </w:rPr>
              <w:t>G</w:t>
            </w:r>
          </w:p>
        </w:tc>
        <w:tc>
          <w:tcPr>
            <w:tcW w:w="1862" w:type="dxa"/>
            <w:tcBorders>
              <w:top w:val="nil"/>
              <w:left w:val="nil"/>
              <w:bottom w:val="nil"/>
              <w:right w:val="single" w:sz="8" w:space="0" w:color="auto"/>
            </w:tcBorders>
            <w:tcMar>
              <w:top w:w="0" w:type="dxa"/>
              <w:left w:w="108" w:type="dxa"/>
              <w:bottom w:w="0" w:type="dxa"/>
              <w:right w:w="108" w:type="dxa"/>
            </w:tcMar>
          </w:tcPr>
          <w:p w14:paraId="62964A11" w14:textId="77777777" w:rsidR="00401778" w:rsidRPr="00A33B7B" w:rsidRDefault="00401778" w:rsidP="00CD0B90">
            <w:pPr>
              <w:pStyle w:val="FSCtblMain"/>
              <w:keepNext/>
              <w:rPr>
                <w:sz w:val="20"/>
              </w:rPr>
            </w:pPr>
            <w:r w:rsidRPr="00A33B7B">
              <w:rPr>
                <w:sz w:val="20"/>
              </w:rPr>
              <w:t>G</w:t>
            </w:r>
          </w:p>
          <w:p w14:paraId="3AA4519B" w14:textId="77777777" w:rsidR="00401778" w:rsidRPr="00A33B7B" w:rsidRDefault="00401778" w:rsidP="00CD0B90">
            <w:pPr>
              <w:pStyle w:val="FSCtblMain"/>
              <w:keepNext/>
              <w:rPr>
                <w:sz w:val="20"/>
              </w:rPr>
            </w:pPr>
            <w:r w:rsidRPr="00A33B7B">
              <w:rPr>
                <w:sz w:val="20"/>
              </w:rPr>
              <w:t>G</w:t>
            </w:r>
          </w:p>
        </w:tc>
      </w:tr>
      <w:tr w:rsidR="00401778" w:rsidRPr="000A5607" w14:paraId="762F04BB" w14:textId="77777777" w:rsidTr="00401778">
        <w:trPr>
          <w:trHeight w:val="315"/>
        </w:trPr>
        <w:tc>
          <w:tcPr>
            <w:tcW w:w="2209" w:type="dxa"/>
            <w:tcBorders>
              <w:top w:val="nil"/>
              <w:left w:val="single" w:sz="8" w:space="0" w:color="auto"/>
              <w:bottom w:val="nil"/>
              <w:right w:val="nil"/>
            </w:tcBorders>
            <w:tcMar>
              <w:top w:w="0" w:type="dxa"/>
              <w:left w:w="108" w:type="dxa"/>
              <w:bottom w:w="0" w:type="dxa"/>
              <w:right w:w="108" w:type="dxa"/>
            </w:tcMar>
          </w:tcPr>
          <w:p w14:paraId="1C2CFE06" w14:textId="77777777" w:rsidR="00401778" w:rsidRPr="00A33B7B" w:rsidRDefault="00401778" w:rsidP="00CD0B90">
            <w:pPr>
              <w:pStyle w:val="FSCtblMain"/>
              <w:keepNext/>
              <w:rPr>
                <w:sz w:val="20"/>
              </w:rPr>
            </w:pPr>
            <w:r w:rsidRPr="00A33B7B">
              <w:rPr>
                <w:sz w:val="20"/>
              </w:rPr>
              <w:t>Sodium</w:t>
            </w:r>
          </w:p>
        </w:tc>
        <w:tc>
          <w:tcPr>
            <w:tcW w:w="2176" w:type="dxa"/>
            <w:tcBorders>
              <w:top w:val="nil"/>
              <w:left w:val="nil"/>
              <w:bottom w:val="nil"/>
              <w:right w:val="nil"/>
            </w:tcBorders>
            <w:tcMar>
              <w:top w:w="0" w:type="dxa"/>
              <w:left w:w="108" w:type="dxa"/>
              <w:bottom w:w="0" w:type="dxa"/>
              <w:right w:w="108" w:type="dxa"/>
            </w:tcMar>
          </w:tcPr>
          <w:p w14:paraId="0519DDA3" w14:textId="77777777" w:rsidR="00401778" w:rsidRPr="00A33B7B" w:rsidRDefault="00401778" w:rsidP="00CD0B90">
            <w:pPr>
              <w:pStyle w:val="FSCtblMain"/>
              <w:keepNext/>
              <w:rPr>
                <w:sz w:val="20"/>
              </w:rPr>
            </w:pPr>
            <w:r w:rsidRPr="00A33B7B">
              <w:rPr>
                <w:sz w:val="20"/>
              </w:rPr>
              <w:t>mg (mmol)</w:t>
            </w:r>
          </w:p>
        </w:tc>
        <w:tc>
          <w:tcPr>
            <w:tcW w:w="1862" w:type="dxa"/>
            <w:tcBorders>
              <w:top w:val="nil"/>
              <w:left w:val="nil"/>
              <w:bottom w:val="nil"/>
              <w:right w:val="single" w:sz="8" w:space="0" w:color="auto"/>
            </w:tcBorders>
            <w:tcMar>
              <w:top w:w="0" w:type="dxa"/>
              <w:left w:w="108" w:type="dxa"/>
              <w:bottom w:w="0" w:type="dxa"/>
              <w:right w:w="108" w:type="dxa"/>
            </w:tcMar>
          </w:tcPr>
          <w:p w14:paraId="4C586532" w14:textId="77777777" w:rsidR="00401778" w:rsidRPr="00A33B7B" w:rsidRDefault="00401778" w:rsidP="00CD0B90">
            <w:pPr>
              <w:pStyle w:val="FSCtblMain"/>
              <w:keepNext/>
              <w:rPr>
                <w:sz w:val="20"/>
              </w:rPr>
            </w:pPr>
            <w:r w:rsidRPr="00A33B7B">
              <w:rPr>
                <w:sz w:val="20"/>
              </w:rPr>
              <w:t>mg (mmol)</w:t>
            </w:r>
          </w:p>
        </w:tc>
      </w:tr>
      <w:tr w:rsidR="00401778" w:rsidRPr="000A5607" w14:paraId="3670855F" w14:textId="77777777" w:rsidTr="00401778">
        <w:trPr>
          <w:trHeight w:val="747"/>
        </w:trPr>
        <w:tc>
          <w:tcPr>
            <w:tcW w:w="2209" w:type="dxa"/>
            <w:tcBorders>
              <w:top w:val="nil"/>
              <w:left w:val="single" w:sz="8" w:space="0" w:color="auto"/>
              <w:bottom w:val="single" w:sz="8" w:space="0" w:color="auto"/>
              <w:right w:val="nil"/>
            </w:tcBorders>
            <w:tcMar>
              <w:top w:w="0" w:type="dxa"/>
              <w:left w:w="108" w:type="dxa"/>
              <w:bottom w:w="0" w:type="dxa"/>
              <w:right w:w="108" w:type="dxa"/>
            </w:tcMar>
          </w:tcPr>
          <w:p w14:paraId="04D56469" w14:textId="77777777" w:rsidR="00401778" w:rsidRPr="00A33B7B" w:rsidRDefault="00401778" w:rsidP="00CD0B90">
            <w:pPr>
              <w:pStyle w:val="FSCtblMain"/>
              <w:keepNext/>
              <w:rPr>
                <w:sz w:val="20"/>
              </w:rPr>
            </w:pPr>
            <w:r w:rsidRPr="00A33B7B">
              <w:rPr>
                <w:sz w:val="20"/>
              </w:rPr>
              <w:t>(insert any other nutrient or biologically active substance to be declared)</w:t>
            </w:r>
          </w:p>
        </w:tc>
        <w:tc>
          <w:tcPr>
            <w:tcW w:w="2176" w:type="dxa"/>
            <w:tcBorders>
              <w:top w:val="nil"/>
              <w:left w:val="nil"/>
              <w:bottom w:val="single" w:sz="8" w:space="0" w:color="auto"/>
              <w:right w:val="nil"/>
            </w:tcBorders>
            <w:tcMar>
              <w:top w:w="0" w:type="dxa"/>
              <w:left w:w="108" w:type="dxa"/>
              <w:bottom w:w="0" w:type="dxa"/>
              <w:right w:w="108" w:type="dxa"/>
            </w:tcMar>
          </w:tcPr>
          <w:p w14:paraId="0979C7F8" w14:textId="77777777" w:rsidR="00401778" w:rsidRPr="00A33B7B" w:rsidRDefault="00401778" w:rsidP="00CD0B90">
            <w:pPr>
              <w:pStyle w:val="FSCtblMain"/>
              <w:keepNext/>
              <w:rPr>
                <w:sz w:val="20"/>
              </w:rPr>
            </w:pPr>
            <w:r w:rsidRPr="00A33B7B">
              <w:rPr>
                <w:sz w:val="20"/>
              </w:rPr>
              <w:t xml:space="preserve">g, mg, </w:t>
            </w:r>
            <w:r w:rsidRPr="00A33B7B">
              <w:rPr>
                <w:rFonts w:cs="Times New Roman"/>
                <w:sz w:val="20"/>
              </w:rPr>
              <w:t>μ</w:t>
            </w:r>
            <w:r w:rsidRPr="00A33B7B">
              <w:rPr>
                <w:sz w:val="20"/>
              </w:rPr>
              <w:t>g (or other units as appropriate)</w:t>
            </w:r>
          </w:p>
        </w:tc>
        <w:tc>
          <w:tcPr>
            <w:tcW w:w="1862" w:type="dxa"/>
            <w:tcBorders>
              <w:top w:val="nil"/>
              <w:left w:val="nil"/>
              <w:bottom w:val="single" w:sz="8" w:space="0" w:color="auto"/>
              <w:right w:val="single" w:sz="8" w:space="0" w:color="auto"/>
            </w:tcBorders>
            <w:tcMar>
              <w:top w:w="0" w:type="dxa"/>
              <w:left w:w="108" w:type="dxa"/>
              <w:bottom w:w="0" w:type="dxa"/>
              <w:right w:w="108" w:type="dxa"/>
            </w:tcMar>
          </w:tcPr>
          <w:p w14:paraId="1FF934EF" w14:textId="77777777" w:rsidR="00401778" w:rsidRPr="00A33B7B" w:rsidRDefault="00401778" w:rsidP="00CD0B90">
            <w:pPr>
              <w:pStyle w:val="FSCtblMain"/>
              <w:keepNext/>
              <w:rPr>
                <w:sz w:val="20"/>
              </w:rPr>
            </w:pPr>
            <w:r w:rsidRPr="00A33B7B">
              <w:rPr>
                <w:sz w:val="20"/>
              </w:rPr>
              <w:t xml:space="preserve">g, mg, </w:t>
            </w:r>
            <w:r w:rsidRPr="00A33B7B">
              <w:rPr>
                <w:rFonts w:cs="Times New Roman"/>
                <w:sz w:val="20"/>
              </w:rPr>
              <w:t>μ</w:t>
            </w:r>
            <w:r w:rsidRPr="00A33B7B">
              <w:rPr>
                <w:sz w:val="20"/>
              </w:rPr>
              <w:t>g (or other units as appropriate)</w:t>
            </w:r>
          </w:p>
        </w:tc>
      </w:tr>
    </w:tbl>
    <w:p w14:paraId="33C3F27C" w14:textId="77777777" w:rsidR="00401778" w:rsidRDefault="00401778" w:rsidP="00207B9E">
      <w:pPr>
        <w:spacing w:after="0" w:line="240" w:lineRule="auto"/>
        <w:rPr>
          <w:lang w:val="en-GB"/>
        </w:rPr>
      </w:pPr>
    </w:p>
    <w:p w14:paraId="6AF09FC6" w14:textId="26BD1D35" w:rsidR="006E6333" w:rsidRDefault="00803CD7" w:rsidP="6A15B411">
      <w:pPr>
        <w:rPr>
          <w:rFonts w:ascii="Arial" w:hAnsi="Arial" w:cs="Arial"/>
          <w:snapToGrid w:val="0"/>
        </w:rPr>
      </w:pPr>
      <w:r w:rsidRPr="6A15B411">
        <w:rPr>
          <w:rFonts w:ascii="Arial" w:hAnsi="Arial" w:cs="Arial"/>
          <w:snapToGrid w:val="0"/>
        </w:rPr>
        <w:t xml:space="preserve">Option 3 </w:t>
      </w:r>
      <w:r w:rsidR="00AB78DF" w:rsidRPr="6A15B411">
        <w:rPr>
          <w:rFonts w:ascii="Arial" w:hAnsi="Arial" w:cs="Arial"/>
          <w:snapToGrid w:val="0"/>
        </w:rPr>
        <w:t xml:space="preserve">would not require the </w:t>
      </w:r>
      <w:r w:rsidR="00A620C5" w:rsidRPr="6A15B411">
        <w:rPr>
          <w:rFonts w:ascii="Arial" w:hAnsi="Arial" w:cs="Arial"/>
          <w:snapToGrid w:val="0"/>
        </w:rPr>
        <w:t>number of</w:t>
      </w:r>
      <w:r w:rsidR="0046606E" w:rsidRPr="6A15B411">
        <w:rPr>
          <w:rFonts w:ascii="Arial" w:hAnsi="Arial" w:cs="Arial"/>
          <w:snapToGrid w:val="0"/>
        </w:rPr>
        <w:t xml:space="preserve"> standard drinks </w:t>
      </w:r>
      <w:r w:rsidR="008D64B9" w:rsidRPr="6A15B411">
        <w:rPr>
          <w:rFonts w:ascii="Arial" w:hAnsi="Arial" w:cs="Arial"/>
          <w:snapToGrid w:val="0"/>
        </w:rPr>
        <w:t>equivalent to</w:t>
      </w:r>
      <w:r w:rsidR="0046606E" w:rsidRPr="6A15B411">
        <w:rPr>
          <w:rFonts w:ascii="Arial" w:hAnsi="Arial" w:cs="Arial"/>
          <w:snapToGrid w:val="0"/>
        </w:rPr>
        <w:t xml:space="preserve"> one serving </w:t>
      </w:r>
      <w:r w:rsidR="007B319C" w:rsidRPr="6A15B411">
        <w:rPr>
          <w:rFonts w:ascii="Arial" w:hAnsi="Arial" w:cs="Arial"/>
          <w:snapToGrid w:val="0"/>
        </w:rPr>
        <w:t xml:space="preserve">to be </w:t>
      </w:r>
      <w:r w:rsidR="00AC31B8" w:rsidRPr="6A15B411">
        <w:rPr>
          <w:rFonts w:ascii="Arial" w:hAnsi="Arial" w:cs="Arial"/>
          <w:snapToGrid w:val="0"/>
        </w:rPr>
        <w:t>declared in</w:t>
      </w:r>
      <w:r w:rsidR="007B319C" w:rsidRPr="6A15B411">
        <w:rPr>
          <w:rFonts w:ascii="Arial" w:hAnsi="Arial" w:cs="Arial"/>
          <w:snapToGrid w:val="0"/>
        </w:rPr>
        <w:t xml:space="preserve"> </w:t>
      </w:r>
      <w:r w:rsidR="00840787" w:rsidRPr="6A15B411">
        <w:rPr>
          <w:rFonts w:ascii="Arial" w:hAnsi="Arial" w:cs="Arial"/>
          <w:snapToGrid w:val="0"/>
        </w:rPr>
        <w:t>a</w:t>
      </w:r>
      <w:r w:rsidR="0046606E" w:rsidRPr="6A15B411">
        <w:rPr>
          <w:rFonts w:ascii="Arial" w:hAnsi="Arial" w:cs="Arial"/>
          <w:snapToGrid w:val="0"/>
        </w:rPr>
        <w:t xml:space="preserve"> NIP</w:t>
      </w:r>
      <w:r w:rsidR="00840787" w:rsidRPr="6A15B411">
        <w:rPr>
          <w:rFonts w:ascii="Arial" w:hAnsi="Arial" w:cs="Arial"/>
          <w:snapToGrid w:val="0"/>
        </w:rPr>
        <w:t xml:space="preserve"> that is on a single-serve package</w:t>
      </w:r>
      <w:r w:rsidR="00FA6525" w:rsidRPr="6A15B411">
        <w:rPr>
          <w:rFonts w:ascii="Arial" w:hAnsi="Arial" w:cs="Arial"/>
          <w:snapToGrid w:val="0"/>
        </w:rPr>
        <w:t>, although th</w:t>
      </w:r>
      <w:r w:rsidR="00BB0DBA" w:rsidRPr="6A15B411">
        <w:rPr>
          <w:rFonts w:ascii="Arial" w:hAnsi="Arial" w:cs="Arial"/>
          <w:snapToGrid w:val="0"/>
        </w:rPr>
        <w:t>at would be permitted</w:t>
      </w:r>
      <w:r w:rsidR="002C7C38" w:rsidRPr="6A15B411">
        <w:rPr>
          <w:rFonts w:ascii="Arial" w:hAnsi="Arial" w:cs="Arial"/>
          <w:snapToGrid w:val="0"/>
        </w:rPr>
        <w:t xml:space="preserve"> and optional for the producer</w:t>
      </w:r>
      <w:r w:rsidR="00BB0DBA" w:rsidRPr="6A15B411">
        <w:rPr>
          <w:rFonts w:ascii="Arial" w:hAnsi="Arial" w:cs="Arial"/>
          <w:snapToGrid w:val="0"/>
        </w:rPr>
        <w:t>.</w:t>
      </w:r>
      <w:r w:rsidR="00C957A6" w:rsidRPr="6A15B411">
        <w:rPr>
          <w:rFonts w:ascii="Arial" w:hAnsi="Arial" w:cs="Arial"/>
          <w:snapToGrid w:val="0"/>
        </w:rPr>
        <w:t xml:space="preserve"> All energy statements would </w:t>
      </w:r>
      <w:r w:rsidR="00AC31B8" w:rsidRPr="6A15B411">
        <w:rPr>
          <w:rFonts w:ascii="Arial" w:hAnsi="Arial" w:cs="Arial"/>
          <w:snapToGrid w:val="0"/>
        </w:rPr>
        <w:t>be required to</w:t>
      </w:r>
      <w:r w:rsidR="00D85279" w:rsidRPr="6A15B411">
        <w:rPr>
          <w:rFonts w:ascii="Arial" w:hAnsi="Arial" w:cs="Arial"/>
          <w:snapToGrid w:val="0"/>
        </w:rPr>
        <w:t xml:space="preserve"> </w:t>
      </w:r>
      <w:r w:rsidR="004A2D2B" w:rsidRPr="6A15B411">
        <w:rPr>
          <w:rFonts w:ascii="Arial" w:hAnsi="Arial" w:cs="Arial"/>
          <w:snapToGrid w:val="0"/>
        </w:rPr>
        <w:t>declare</w:t>
      </w:r>
      <w:r w:rsidR="00D85279" w:rsidRPr="6A15B411">
        <w:rPr>
          <w:rFonts w:ascii="Arial" w:hAnsi="Arial" w:cs="Arial"/>
          <w:snapToGrid w:val="0"/>
        </w:rPr>
        <w:t xml:space="preserve"> the number of standard drinks </w:t>
      </w:r>
      <w:r w:rsidR="007221A5" w:rsidRPr="6A15B411">
        <w:rPr>
          <w:rFonts w:ascii="Arial" w:hAnsi="Arial" w:cs="Arial"/>
          <w:snapToGrid w:val="0"/>
        </w:rPr>
        <w:t>equivalent to one serv</w:t>
      </w:r>
      <w:r w:rsidR="007D0B09" w:rsidRPr="6A15B411">
        <w:rPr>
          <w:rFonts w:ascii="Arial" w:hAnsi="Arial" w:cs="Arial"/>
          <w:snapToGrid w:val="0"/>
        </w:rPr>
        <w:t>ing</w:t>
      </w:r>
      <w:r w:rsidR="00D85279" w:rsidRPr="6A15B411">
        <w:rPr>
          <w:rFonts w:ascii="Arial" w:hAnsi="Arial" w:cs="Arial"/>
          <w:snapToGrid w:val="0"/>
        </w:rPr>
        <w:t xml:space="preserve"> regardless of whether or not </w:t>
      </w:r>
      <w:r w:rsidR="00FA6525" w:rsidRPr="6A15B411">
        <w:rPr>
          <w:rFonts w:ascii="Arial" w:hAnsi="Arial" w:cs="Arial"/>
          <w:snapToGrid w:val="0"/>
        </w:rPr>
        <w:t>the package with the energy statement is single serve.</w:t>
      </w:r>
    </w:p>
    <w:p w14:paraId="724924E6" w14:textId="350B23E9" w:rsidR="00463430" w:rsidRDefault="006D292F" w:rsidP="00B3721D">
      <w:pPr>
        <w:rPr>
          <w:rFonts w:ascii="Arial" w:hAnsi="Arial" w:cs="Arial"/>
          <w:snapToGrid w:val="0"/>
        </w:rPr>
      </w:pPr>
      <w:r>
        <w:rPr>
          <w:rFonts w:ascii="Arial" w:hAnsi="Arial" w:cs="Arial"/>
          <w:snapToGrid w:val="0"/>
        </w:rPr>
        <w:t xml:space="preserve">That </w:t>
      </w:r>
      <w:r w:rsidR="00827E2A">
        <w:rPr>
          <w:rFonts w:ascii="Arial" w:hAnsi="Arial" w:cs="Arial"/>
          <w:snapToGrid w:val="0"/>
        </w:rPr>
        <w:t xml:space="preserve">other standard drink information </w:t>
      </w:r>
      <w:r w:rsidR="00084E58">
        <w:rPr>
          <w:rFonts w:ascii="Arial" w:hAnsi="Arial" w:cs="Arial"/>
          <w:snapToGrid w:val="0"/>
        </w:rPr>
        <w:t>(</w:t>
      </w:r>
      <w:r w:rsidR="00084E58" w:rsidRPr="00770009">
        <w:rPr>
          <w:rFonts w:ascii="Arial" w:hAnsi="Arial" w:cs="Arial"/>
          <w:snapToGrid w:val="0"/>
        </w:rPr>
        <w:t xml:space="preserve">approximate number of standard drinks </w:t>
      </w:r>
      <w:r w:rsidR="00084E58">
        <w:rPr>
          <w:rFonts w:ascii="Arial" w:hAnsi="Arial" w:cs="Arial"/>
          <w:snapToGrid w:val="0"/>
        </w:rPr>
        <w:t xml:space="preserve">in the entire package) </w:t>
      </w:r>
      <w:r>
        <w:rPr>
          <w:rFonts w:ascii="Arial" w:hAnsi="Arial" w:cs="Arial"/>
          <w:snapToGrid w:val="0"/>
        </w:rPr>
        <w:t>would still be required outside of the Energy Statement or NIP</w:t>
      </w:r>
      <w:r w:rsidR="003C0F7D">
        <w:rPr>
          <w:rFonts w:ascii="Arial" w:hAnsi="Arial" w:cs="Arial"/>
          <w:snapToGrid w:val="0"/>
        </w:rPr>
        <w:t xml:space="preserve"> under section 2.7.1</w:t>
      </w:r>
      <w:r w:rsidR="003C0F7D" w:rsidRPr="00770009">
        <w:rPr>
          <w:rFonts w:ascii="Arial" w:hAnsi="Arial" w:cs="Arial"/>
          <w:snapToGrid w:val="0"/>
        </w:rPr>
        <w:t>—</w:t>
      </w:r>
      <w:r w:rsidR="003C0F7D">
        <w:rPr>
          <w:rFonts w:ascii="Arial" w:hAnsi="Arial" w:cs="Arial"/>
          <w:snapToGrid w:val="0"/>
        </w:rPr>
        <w:t>4 of the Code</w:t>
      </w:r>
      <w:r w:rsidR="00827E2A">
        <w:rPr>
          <w:rFonts w:ascii="Arial" w:hAnsi="Arial" w:cs="Arial"/>
          <w:snapToGrid w:val="0"/>
        </w:rPr>
        <w:t>.</w:t>
      </w:r>
      <w:r w:rsidR="00873E82" w:rsidRPr="00770009">
        <w:rPr>
          <w:rFonts w:ascii="Arial" w:hAnsi="Arial" w:cs="Arial"/>
          <w:snapToGrid w:val="0"/>
        </w:rPr>
        <w:t xml:space="preserve"> </w:t>
      </w:r>
      <w:r w:rsidR="00463430">
        <w:rPr>
          <w:rFonts w:ascii="Arial" w:hAnsi="Arial" w:cs="Arial"/>
          <w:snapToGrid w:val="0"/>
        </w:rPr>
        <w:t xml:space="preserve">Therefore, for single serve packages with NIPs, the number of standard drinks </w:t>
      </w:r>
      <w:r w:rsidR="003205C4">
        <w:rPr>
          <w:rFonts w:ascii="Arial" w:hAnsi="Arial" w:cs="Arial"/>
          <w:snapToGrid w:val="0"/>
        </w:rPr>
        <w:t>equivalent to</w:t>
      </w:r>
      <w:r w:rsidR="003205C4" w:rsidRPr="00770009">
        <w:rPr>
          <w:rFonts w:ascii="Arial" w:hAnsi="Arial" w:cs="Arial"/>
          <w:snapToGrid w:val="0"/>
        </w:rPr>
        <w:t xml:space="preserve"> one serving </w:t>
      </w:r>
      <w:r w:rsidR="00463430">
        <w:rPr>
          <w:rFonts w:ascii="Arial" w:hAnsi="Arial" w:cs="Arial"/>
          <w:snapToGrid w:val="0"/>
        </w:rPr>
        <w:t>would continue to always be found outside of the NIP</w:t>
      </w:r>
      <w:r w:rsidR="00A11324">
        <w:rPr>
          <w:rFonts w:ascii="Arial" w:hAnsi="Arial" w:cs="Arial"/>
          <w:snapToGrid w:val="0"/>
        </w:rPr>
        <w:t>,</w:t>
      </w:r>
      <w:r w:rsidR="00A11324" w:rsidRPr="00A11324">
        <w:rPr>
          <w:rFonts w:ascii="Arial" w:eastAsia="Arial" w:hAnsi="Arial" w:cs="Arial"/>
          <w:lang w:val="en-NZ"/>
          <w14:ligatures w14:val="standardContextual"/>
        </w:rPr>
        <w:t xml:space="preserve"> </w:t>
      </w:r>
      <w:r w:rsidR="00A11324" w:rsidRPr="00DD0534">
        <w:rPr>
          <w:rFonts w:ascii="Arial" w:eastAsia="Arial" w:hAnsi="Arial" w:cs="Arial"/>
          <w:lang w:val="en-NZ"/>
          <w14:ligatures w14:val="standardContextual"/>
        </w:rPr>
        <w:t>including in the pictogram/icon formats consistent with industry guidance.</w:t>
      </w:r>
    </w:p>
    <w:p w14:paraId="6F3D91A7" w14:textId="52DA229D" w:rsidR="008E40DE" w:rsidRPr="00CB01E0" w:rsidRDefault="008E40DE" w:rsidP="6A15B411">
      <w:pPr>
        <w:rPr>
          <w:rFonts w:ascii="Arial" w:eastAsia="Arial" w:hAnsi="Arial" w:cs="Arial"/>
          <w:b/>
          <w:bCs/>
        </w:rPr>
      </w:pPr>
      <w:r w:rsidRPr="6A15B411">
        <w:rPr>
          <w:rFonts w:ascii="Arial" w:eastAsia="Arial" w:hAnsi="Arial" w:cs="Arial"/>
          <w:b/>
          <w:bCs/>
        </w:rPr>
        <w:t xml:space="preserve">Additional key features of both </w:t>
      </w:r>
      <w:r w:rsidR="009D53E1" w:rsidRPr="6A15B411">
        <w:rPr>
          <w:rFonts w:ascii="Arial" w:eastAsia="Arial" w:hAnsi="Arial" w:cs="Arial"/>
          <w:b/>
          <w:bCs/>
        </w:rPr>
        <w:t xml:space="preserve">options </w:t>
      </w:r>
      <w:r w:rsidRPr="6A15B411">
        <w:rPr>
          <w:rFonts w:ascii="Arial" w:eastAsia="Arial" w:hAnsi="Arial" w:cs="Arial"/>
          <w:b/>
          <w:bCs/>
        </w:rPr>
        <w:t>2 and 3 are:</w:t>
      </w:r>
    </w:p>
    <w:p w14:paraId="2809B512" w14:textId="57D8D540" w:rsidR="008E40DE" w:rsidRPr="0075484C" w:rsidRDefault="008E40DE" w:rsidP="007A2D39">
      <w:pPr>
        <w:pStyle w:val="ListParagraph"/>
        <w:numPr>
          <w:ilvl w:val="0"/>
          <w:numId w:val="8"/>
        </w:numPr>
        <w:spacing w:after="120"/>
        <w:ind w:left="357" w:hanging="357"/>
        <w:rPr>
          <w:rFonts w:ascii="Arial" w:eastAsia="Arial" w:hAnsi="Arial" w:cs="Arial"/>
          <w:lang w:val="en-US"/>
          <w14:ligatures w14:val="none"/>
        </w:rPr>
      </w:pPr>
      <w:r w:rsidRPr="0075484C">
        <w:rPr>
          <w:rFonts w:ascii="Arial" w:eastAsia="Arial" w:hAnsi="Arial" w:cs="Arial"/>
        </w:rPr>
        <w:t>a three</w:t>
      </w:r>
      <w:r>
        <w:rPr>
          <w:rFonts w:ascii="Arial" w:eastAsia="Arial" w:hAnsi="Arial" w:cs="Arial"/>
        </w:rPr>
        <w:t xml:space="preserve"> </w:t>
      </w:r>
      <w:r w:rsidRPr="0075484C">
        <w:rPr>
          <w:rFonts w:ascii="Arial" w:eastAsia="Arial" w:hAnsi="Arial" w:cs="Arial"/>
        </w:rPr>
        <w:t>year transition period for producers to make the required label changes after the new requirements are gazette</w:t>
      </w:r>
      <w:r>
        <w:rPr>
          <w:rFonts w:ascii="Arial" w:eastAsia="Arial" w:hAnsi="Arial" w:cs="Arial"/>
        </w:rPr>
        <w:t>d</w:t>
      </w:r>
      <w:r w:rsidRPr="0075484C">
        <w:rPr>
          <w:rFonts w:ascii="Arial" w:eastAsia="Arial" w:hAnsi="Arial" w:cs="Arial"/>
        </w:rPr>
        <w:t xml:space="preserve"> in the Code. During that </w:t>
      </w:r>
      <w:r>
        <w:rPr>
          <w:rFonts w:ascii="Arial" w:eastAsia="Arial" w:hAnsi="Arial" w:cs="Arial"/>
        </w:rPr>
        <w:t>time</w:t>
      </w:r>
      <w:r w:rsidRPr="0075484C">
        <w:rPr>
          <w:rFonts w:ascii="Arial" w:eastAsia="Arial" w:hAnsi="Arial" w:cs="Arial"/>
        </w:rPr>
        <w:t xml:space="preserve">, alcoholic beverage SKUs would be deemed compliant with the Code regardless of whether or not </w:t>
      </w:r>
      <w:r w:rsidR="00C61B82">
        <w:rPr>
          <w:rFonts w:ascii="Arial" w:eastAsia="Arial" w:hAnsi="Arial" w:cs="Arial"/>
        </w:rPr>
        <w:t>the label includes</w:t>
      </w:r>
      <w:r w:rsidRPr="0075484C">
        <w:rPr>
          <w:rFonts w:ascii="Arial" w:eastAsia="Arial" w:hAnsi="Arial" w:cs="Arial"/>
        </w:rPr>
        <w:t xml:space="preserve"> a</w:t>
      </w:r>
      <w:r w:rsidR="00612EEC">
        <w:rPr>
          <w:rFonts w:ascii="Arial" w:eastAsia="Arial" w:hAnsi="Arial" w:cs="Arial"/>
        </w:rPr>
        <w:t xml:space="preserve"> compliant </w:t>
      </w:r>
      <w:r w:rsidRPr="0075484C">
        <w:rPr>
          <w:rFonts w:ascii="Arial" w:eastAsia="Arial" w:hAnsi="Arial" w:cs="Arial"/>
        </w:rPr>
        <w:t xml:space="preserve">energy statement </w:t>
      </w:r>
      <w:r w:rsidR="006A1E0F">
        <w:rPr>
          <w:rFonts w:ascii="Arial" w:eastAsia="Arial" w:hAnsi="Arial" w:cs="Arial"/>
        </w:rPr>
        <w:t xml:space="preserve">or NIP </w:t>
      </w:r>
      <w:r w:rsidR="008E75BD">
        <w:rPr>
          <w:rFonts w:ascii="Arial" w:eastAsia="Arial" w:hAnsi="Arial" w:cs="Arial"/>
        </w:rPr>
        <w:t>that complies with new requirements</w:t>
      </w:r>
      <w:r w:rsidR="00041139">
        <w:rPr>
          <w:rFonts w:ascii="Arial" w:eastAsia="Arial" w:hAnsi="Arial" w:cs="Arial"/>
        </w:rPr>
        <w:t>. That is</w:t>
      </w:r>
      <w:r w:rsidRPr="0075484C">
        <w:rPr>
          <w:rFonts w:ascii="Arial" w:eastAsia="Arial" w:hAnsi="Arial" w:cs="Arial"/>
        </w:rPr>
        <w:t xml:space="preserve"> providing </w:t>
      </w:r>
      <w:r w:rsidR="00E97308">
        <w:rPr>
          <w:rFonts w:ascii="Arial" w:eastAsia="Arial" w:hAnsi="Arial" w:cs="Arial"/>
        </w:rPr>
        <w:t>the beverage label</w:t>
      </w:r>
      <w:r w:rsidR="006A1E0F">
        <w:rPr>
          <w:rFonts w:ascii="Arial" w:eastAsia="Arial" w:hAnsi="Arial" w:cs="Arial"/>
        </w:rPr>
        <w:t xml:space="preserve"> complies with</w:t>
      </w:r>
      <w:r w:rsidRPr="0075484C">
        <w:rPr>
          <w:rFonts w:ascii="Arial" w:eastAsia="Arial" w:hAnsi="Arial" w:cs="Arial"/>
        </w:rPr>
        <w:t xml:space="preserve"> other requirements </w:t>
      </w:r>
      <w:r w:rsidR="006A1E0F">
        <w:rPr>
          <w:rFonts w:ascii="Arial" w:eastAsia="Arial" w:hAnsi="Arial" w:cs="Arial"/>
        </w:rPr>
        <w:t>in the Code</w:t>
      </w:r>
    </w:p>
    <w:p w14:paraId="177441B1" w14:textId="5EFBFEA7" w:rsidR="008E40DE" w:rsidRPr="0075484C" w:rsidRDefault="00F47428" w:rsidP="007A2D39">
      <w:pPr>
        <w:pStyle w:val="ListParagraph"/>
        <w:numPr>
          <w:ilvl w:val="0"/>
          <w:numId w:val="8"/>
        </w:numPr>
        <w:spacing w:after="120"/>
        <w:ind w:left="357" w:hanging="357"/>
        <w:rPr>
          <w:rFonts w:ascii="Arial" w:eastAsia="Arial" w:hAnsi="Arial" w:cs="Arial"/>
          <w:lang w:val="en-US"/>
          <w14:ligatures w14:val="none"/>
        </w:rPr>
      </w:pPr>
      <w:r>
        <w:rPr>
          <w:rFonts w:ascii="Arial" w:eastAsia="Arial" w:hAnsi="Arial" w:cs="Arial"/>
          <w:lang w:val="en-US"/>
          <w14:ligatures w14:val="none"/>
        </w:rPr>
        <w:t xml:space="preserve">an </w:t>
      </w:r>
      <w:r w:rsidR="008E40DE" w:rsidRPr="00CC1B55">
        <w:rPr>
          <w:rFonts w:ascii="Arial" w:eastAsia="Arial" w:hAnsi="Arial" w:cs="Arial"/>
          <w:lang w:val="en-US"/>
          <w14:ligatures w14:val="none"/>
        </w:rPr>
        <w:t xml:space="preserve">alcoholic beverage </w:t>
      </w:r>
      <w:r w:rsidR="008E40DE" w:rsidRPr="00F666C7">
        <w:rPr>
          <w:rFonts w:ascii="Arial" w:eastAsia="Arial" w:hAnsi="Arial" w:cs="Arial"/>
          <w:b/>
          <w:bCs/>
          <w:lang w:val="en-US"/>
          <w14:ligatures w14:val="none"/>
        </w:rPr>
        <w:t>packaged</w:t>
      </w:r>
      <w:r w:rsidR="008E40DE" w:rsidRPr="00CC1B55">
        <w:rPr>
          <w:rFonts w:ascii="Arial" w:eastAsia="Arial" w:hAnsi="Arial" w:cs="Arial"/>
          <w:lang w:val="en-US"/>
          <w14:ligatures w14:val="none"/>
        </w:rPr>
        <w:t xml:space="preserve"> and </w:t>
      </w:r>
      <w:r w:rsidR="008E40DE" w:rsidRPr="00F666C7">
        <w:rPr>
          <w:rFonts w:ascii="Arial" w:eastAsia="Arial" w:hAnsi="Arial" w:cs="Arial"/>
          <w:b/>
          <w:bCs/>
          <w:lang w:val="en-US"/>
          <w14:ligatures w14:val="none"/>
        </w:rPr>
        <w:t>labelled</w:t>
      </w:r>
      <w:r w:rsidR="008E40DE" w:rsidRPr="00CC1B55">
        <w:rPr>
          <w:rFonts w:ascii="Arial" w:eastAsia="Arial" w:hAnsi="Arial" w:cs="Arial"/>
          <w:lang w:val="en-US"/>
          <w14:ligatures w14:val="none"/>
        </w:rPr>
        <w:t xml:space="preserve"> </w:t>
      </w:r>
      <w:r w:rsidR="008E40DE" w:rsidRPr="00F666C7">
        <w:rPr>
          <w:rFonts w:ascii="Arial" w:eastAsia="Arial" w:hAnsi="Arial" w:cs="Arial"/>
          <w:b/>
          <w:bCs/>
          <w:lang w:val="en-US"/>
          <w14:ligatures w14:val="none"/>
        </w:rPr>
        <w:t>before</w:t>
      </w:r>
      <w:r w:rsidR="008E40DE" w:rsidRPr="00CC1B55">
        <w:rPr>
          <w:rFonts w:ascii="Arial" w:eastAsia="Arial" w:hAnsi="Arial" w:cs="Arial"/>
          <w:lang w:val="en-US"/>
          <w14:ligatures w14:val="none"/>
        </w:rPr>
        <w:t xml:space="preserve"> the end of the transition period</w:t>
      </w:r>
      <w:r w:rsidR="00F54969">
        <w:rPr>
          <w:rFonts w:ascii="Arial" w:eastAsia="Arial" w:hAnsi="Arial" w:cs="Arial"/>
          <w:lang w:val="en-US"/>
          <w14:ligatures w14:val="none"/>
        </w:rPr>
        <w:t xml:space="preserve"> </w:t>
      </w:r>
      <w:r w:rsidR="008E40DE" w:rsidRPr="001503B6">
        <w:rPr>
          <w:rFonts w:ascii="Arial" w:eastAsia="Arial" w:hAnsi="Arial" w:cs="Arial"/>
        </w:rPr>
        <w:t xml:space="preserve">may be sold after the transition period </w:t>
      </w:r>
      <w:r w:rsidR="008E40DE">
        <w:rPr>
          <w:rFonts w:ascii="Arial" w:eastAsia="Arial" w:hAnsi="Arial" w:cs="Arial"/>
        </w:rPr>
        <w:t>without a</w:t>
      </w:r>
      <w:r w:rsidR="007A49A6">
        <w:rPr>
          <w:rFonts w:ascii="Arial" w:eastAsia="Arial" w:hAnsi="Arial" w:cs="Arial"/>
        </w:rPr>
        <w:t xml:space="preserve"> compliant </w:t>
      </w:r>
      <w:r w:rsidR="008E40DE">
        <w:rPr>
          <w:rFonts w:ascii="Arial" w:eastAsia="Arial" w:hAnsi="Arial" w:cs="Arial"/>
        </w:rPr>
        <w:t>energy statement</w:t>
      </w:r>
      <w:r w:rsidR="006A1E0F">
        <w:rPr>
          <w:rFonts w:ascii="Arial" w:eastAsia="Arial" w:hAnsi="Arial" w:cs="Arial"/>
        </w:rPr>
        <w:t xml:space="preserve"> or </w:t>
      </w:r>
      <w:r w:rsidR="00675200">
        <w:rPr>
          <w:rFonts w:ascii="Arial" w:eastAsia="Arial" w:hAnsi="Arial" w:cs="Arial"/>
        </w:rPr>
        <w:t xml:space="preserve">a </w:t>
      </w:r>
      <w:r w:rsidR="006A1E0F">
        <w:rPr>
          <w:rFonts w:ascii="Arial" w:eastAsia="Arial" w:hAnsi="Arial" w:cs="Arial"/>
        </w:rPr>
        <w:t>NIP</w:t>
      </w:r>
      <w:r w:rsidR="00675200">
        <w:rPr>
          <w:rFonts w:ascii="Arial" w:eastAsia="Arial" w:hAnsi="Arial" w:cs="Arial"/>
        </w:rPr>
        <w:t xml:space="preserve"> </w:t>
      </w:r>
      <w:r w:rsidR="007F474C">
        <w:rPr>
          <w:rFonts w:ascii="Arial" w:eastAsia="Arial" w:hAnsi="Arial" w:cs="Arial"/>
        </w:rPr>
        <w:t>that has</w:t>
      </w:r>
      <w:r w:rsidR="00675200">
        <w:rPr>
          <w:rFonts w:ascii="Arial" w:eastAsia="Arial" w:hAnsi="Arial" w:cs="Arial"/>
        </w:rPr>
        <w:t xml:space="preserve"> the additional standard drink information</w:t>
      </w:r>
      <w:r w:rsidR="002D285F">
        <w:rPr>
          <w:rFonts w:ascii="Arial" w:eastAsia="Arial" w:hAnsi="Arial" w:cs="Arial"/>
        </w:rPr>
        <w:t xml:space="preserve"> (if required)</w:t>
      </w:r>
      <w:r w:rsidR="00860C01">
        <w:rPr>
          <w:rFonts w:ascii="Arial" w:eastAsia="Arial" w:hAnsi="Arial" w:cs="Arial"/>
        </w:rPr>
        <w:t xml:space="preserve">, </w:t>
      </w:r>
      <w:r w:rsidR="003A6226">
        <w:rPr>
          <w:rFonts w:ascii="Arial" w:eastAsia="Arial" w:hAnsi="Arial" w:cs="Arial"/>
        </w:rPr>
        <w:t>as if the new requirements had not taken effect</w:t>
      </w:r>
      <w:r w:rsidR="001C322E">
        <w:rPr>
          <w:rFonts w:ascii="Arial" w:eastAsia="Arial" w:hAnsi="Arial" w:cs="Arial"/>
        </w:rPr>
        <w:t>. That is</w:t>
      </w:r>
      <w:r w:rsidR="006A1E0F">
        <w:rPr>
          <w:rFonts w:ascii="Arial" w:eastAsia="Arial" w:hAnsi="Arial" w:cs="Arial"/>
        </w:rPr>
        <w:t xml:space="preserve"> </w:t>
      </w:r>
      <w:r w:rsidR="008E40DE">
        <w:rPr>
          <w:rFonts w:ascii="Arial" w:eastAsia="Arial" w:hAnsi="Arial" w:cs="Arial"/>
        </w:rPr>
        <w:t xml:space="preserve">providing </w:t>
      </w:r>
      <w:r w:rsidR="001C322E">
        <w:rPr>
          <w:rFonts w:ascii="Arial" w:eastAsia="Arial" w:hAnsi="Arial" w:cs="Arial"/>
        </w:rPr>
        <w:t>the label</w:t>
      </w:r>
      <w:r w:rsidR="008E40DE">
        <w:rPr>
          <w:rFonts w:ascii="Arial" w:eastAsia="Arial" w:hAnsi="Arial" w:cs="Arial"/>
        </w:rPr>
        <w:t xml:space="preserve"> complies with other requirements in the Code</w:t>
      </w:r>
      <w:r w:rsidR="00675CB6">
        <w:rPr>
          <w:rFonts w:ascii="Arial" w:eastAsia="Arial" w:hAnsi="Arial" w:cs="Arial"/>
        </w:rPr>
        <w:t>. This is called a stock-in-trade e</w:t>
      </w:r>
      <w:r w:rsidR="003867F9">
        <w:rPr>
          <w:rFonts w:ascii="Arial" w:eastAsia="Arial" w:hAnsi="Arial" w:cs="Arial"/>
        </w:rPr>
        <w:t>xemption</w:t>
      </w:r>
    </w:p>
    <w:p w14:paraId="3A38A5A3" w14:textId="45CE6069" w:rsidR="000D22C7" w:rsidRDefault="006A1E0F" w:rsidP="000D22C7">
      <w:pPr>
        <w:pStyle w:val="ListParagraph"/>
        <w:numPr>
          <w:ilvl w:val="0"/>
          <w:numId w:val="8"/>
        </w:numPr>
        <w:rPr>
          <w:rFonts w:ascii="Arial" w:eastAsia="Arial" w:hAnsi="Arial" w:cs="Arial"/>
        </w:rPr>
      </w:pPr>
      <w:r>
        <w:rPr>
          <w:rFonts w:ascii="Arial" w:eastAsia="Arial" w:hAnsi="Arial" w:cs="Arial"/>
        </w:rPr>
        <w:t>n</w:t>
      </w:r>
      <w:r w:rsidRPr="006A1E0F">
        <w:rPr>
          <w:rFonts w:ascii="Arial" w:eastAsia="Arial" w:hAnsi="Arial" w:cs="Arial"/>
        </w:rPr>
        <w:t>o additional requirements for legibility or location of energy information on beverages containing alcohol</w:t>
      </w:r>
      <w:r w:rsidR="002C2CE6">
        <w:rPr>
          <w:rFonts w:ascii="Arial" w:eastAsia="Arial" w:hAnsi="Arial" w:cs="Arial"/>
        </w:rPr>
        <w:t>.</w:t>
      </w:r>
      <w:r w:rsidRPr="006A1E0F">
        <w:rPr>
          <w:rFonts w:ascii="Arial" w:eastAsia="Arial" w:hAnsi="Arial" w:cs="Arial"/>
        </w:rPr>
        <w:t xml:space="preserve"> </w:t>
      </w:r>
      <w:r w:rsidR="008E40DE">
        <w:rPr>
          <w:rFonts w:ascii="Arial" w:eastAsia="Arial" w:hAnsi="Arial" w:cs="Arial"/>
        </w:rPr>
        <w:t xml:space="preserve">Generic </w:t>
      </w:r>
      <w:r w:rsidR="008E40DE" w:rsidRPr="00E65FE0">
        <w:rPr>
          <w:rFonts w:ascii="Arial" w:eastAsia="Arial" w:hAnsi="Arial" w:cs="Arial"/>
        </w:rPr>
        <w:t>require</w:t>
      </w:r>
      <w:r w:rsidR="008E40DE">
        <w:rPr>
          <w:rFonts w:ascii="Arial" w:eastAsia="Arial" w:hAnsi="Arial" w:cs="Arial"/>
        </w:rPr>
        <w:t>ments</w:t>
      </w:r>
      <w:r w:rsidR="00CB01E0">
        <w:rPr>
          <w:rFonts w:ascii="Arial" w:eastAsia="Arial" w:hAnsi="Arial" w:cs="Arial"/>
        </w:rPr>
        <w:t xml:space="preserve"> </w:t>
      </w:r>
      <w:r w:rsidR="008E40DE">
        <w:rPr>
          <w:rFonts w:ascii="Arial" w:eastAsia="Arial" w:hAnsi="Arial" w:cs="Arial"/>
        </w:rPr>
        <w:t xml:space="preserve">for energy statements </w:t>
      </w:r>
      <w:r w:rsidR="008E40DE" w:rsidRPr="00E65FE0">
        <w:rPr>
          <w:rFonts w:ascii="Arial" w:eastAsia="Arial" w:hAnsi="Arial" w:cs="Arial"/>
        </w:rPr>
        <w:t>to be legible</w:t>
      </w:r>
      <w:r w:rsidR="008E40DE">
        <w:rPr>
          <w:rFonts w:ascii="Arial" w:eastAsia="Arial" w:hAnsi="Arial" w:cs="Arial"/>
        </w:rPr>
        <w:t>, prominent and in English</w:t>
      </w:r>
      <w:r w:rsidR="009662EC">
        <w:rPr>
          <w:rFonts w:ascii="Arial" w:eastAsia="Arial" w:hAnsi="Arial" w:cs="Arial"/>
        </w:rPr>
        <w:t>, as set out in the Code would apply.</w:t>
      </w:r>
    </w:p>
    <w:p w14:paraId="09B5FDE2" w14:textId="77777777" w:rsidR="009A2677" w:rsidRPr="009A2677" w:rsidRDefault="009A2677" w:rsidP="009A2677">
      <w:pPr>
        <w:pStyle w:val="ListParagraph"/>
        <w:ind w:left="360"/>
        <w:rPr>
          <w:rFonts w:ascii="Arial" w:eastAsia="Arial" w:hAnsi="Arial" w:cs="Arial"/>
        </w:rPr>
      </w:pPr>
    </w:p>
    <w:p w14:paraId="5850CC74" w14:textId="693BA457" w:rsidR="00B86E8E" w:rsidRDefault="000D22C7" w:rsidP="003A76F6">
      <w:pPr>
        <w:spacing w:line="279" w:lineRule="auto"/>
        <w:rPr>
          <w:rFonts w:ascii="Calibri" w:eastAsia="Calibri" w:hAnsi="Calibri" w:cs="Calibri"/>
        </w:rPr>
      </w:pPr>
      <w:r w:rsidRPr="009A2677">
        <w:rPr>
          <w:rFonts w:ascii="Arial" w:eastAsia="Arial" w:hAnsi="Arial" w:cs="Arial"/>
          <w:lang w:val="en-NZ"/>
          <w14:ligatures w14:val="standardContextual"/>
        </w:rPr>
        <w:lastRenderedPageBreak/>
        <w:t>In developing the approach for transitional arrangements</w:t>
      </w:r>
      <w:r w:rsidR="0046147F">
        <w:rPr>
          <w:rFonts w:ascii="Arial" w:eastAsia="Arial" w:hAnsi="Arial" w:cs="Arial"/>
          <w:lang w:val="en-NZ"/>
          <w14:ligatures w14:val="standardContextual"/>
        </w:rPr>
        <w:t xml:space="preserve"> for (a) and (b) above</w:t>
      </w:r>
      <w:r w:rsidRPr="009A2677">
        <w:rPr>
          <w:rFonts w:ascii="Arial" w:eastAsia="Arial" w:hAnsi="Arial" w:cs="Arial"/>
          <w:lang w:val="en-NZ"/>
          <w14:ligatures w14:val="standardContextual"/>
        </w:rPr>
        <w:t>, FSANZ considered the range of products in the market required to adopt the new labelling requirements, the costs and practicalities of transition for industry, submitter views, relevant precedents for transitional arrangements and other relevant FSANZ proposals</w:t>
      </w:r>
      <w:r w:rsidR="0046147F">
        <w:rPr>
          <w:rFonts w:ascii="Arial" w:eastAsia="Arial" w:hAnsi="Arial" w:cs="Arial"/>
          <w:lang w:val="en-NZ"/>
          <w14:ligatures w14:val="standardContextual"/>
        </w:rPr>
        <w:t>. More details about this are in the P1059</w:t>
      </w:r>
      <w:r w:rsidR="0004034F">
        <w:rPr>
          <w:rFonts w:ascii="Arial" w:eastAsia="Arial" w:hAnsi="Arial" w:cs="Arial"/>
          <w:lang w:val="en-NZ"/>
          <w14:ligatures w14:val="standardContextual"/>
        </w:rPr>
        <w:t xml:space="preserve"> CFS (</w:t>
      </w:r>
      <w:r w:rsidR="00EF288B">
        <w:rPr>
          <w:rFonts w:ascii="Arial" w:eastAsia="Arial" w:hAnsi="Arial" w:cs="Arial"/>
          <w:lang w:val="en-NZ"/>
          <w14:ligatures w14:val="standardContextual"/>
        </w:rPr>
        <w:t>FSANZ 2023c)</w:t>
      </w:r>
      <w:r w:rsidR="0046147F">
        <w:rPr>
          <w:rFonts w:ascii="Arial" w:eastAsia="Arial" w:hAnsi="Arial" w:cs="Arial"/>
          <w:lang w:val="en-NZ"/>
          <w14:ligatures w14:val="standardContextual"/>
        </w:rPr>
        <w:t>.</w:t>
      </w:r>
      <w:r w:rsidR="003A76F6">
        <w:rPr>
          <w:rFonts w:ascii="Arial" w:eastAsia="Arial" w:hAnsi="Arial" w:cs="Arial"/>
          <w:lang w:val="en-NZ"/>
          <w14:ligatures w14:val="standardContextual"/>
        </w:rPr>
        <w:t xml:space="preserve"> </w:t>
      </w:r>
      <w:r w:rsidR="003A76F6" w:rsidRPr="00794CBE">
        <w:rPr>
          <w:rFonts w:ascii="Arial" w:eastAsia="Arial" w:hAnsi="Arial" w:cs="Arial"/>
          <w:lang w:val="en-NZ"/>
          <w14:ligatures w14:val="standardContextual"/>
        </w:rPr>
        <w:t>FSANZ maintains a three year transition period would allow sufficient time for industry to adopt new labelling requirements and minimise costs associated with labelling changes.</w:t>
      </w:r>
      <w:r w:rsidR="00AA2C49" w:rsidRPr="00794CBE">
        <w:rPr>
          <w:rFonts w:ascii="Arial" w:eastAsia="Arial" w:hAnsi="Arial" w:cs="Arial"/>
          <w:lang w:val="en-NZ"/>
          <w14:ligatures w14:val="standardContextual"/>
        </w:rPr>
        <w:t xml:space="preserve"> </w:t>
      </w:r>
      <w:r w:rsidR="00232A77">
        <w:rPr>
          <w:rFonts w:ascii="Arial" w:eastAsia="Arial" w:hAnsi="Arial" w:cs="Arial"/>
          <w:lang w:val="en-NZ"/>
          <w14:ligatures w14:val="standardContextual"/>
        </w:rPr>
        <w:t>That also a</w:t>
      </w:r>
      <w:r w:rsidR="00AC4488">
        <w:rPr>
          <w:rFonts w:ascii="Arial" w:eastAsia="Arial" w:hAnsi="Arial" w:cs="Arial"/>
          <w:lang w:val="en-NZ"/>
          <w14:ligatures w14:val="standardContextual"/>
        </w:rPr>
        <w:t xml:space="preserve">llows sufficient time since the end of </w:t>
      </w:r>
      <w:r w:rsidR="009B1D1D">
        <w:rPr>
          <w:rFonts w:ascii="Arial" w:eastAsia="Arial" w:hAnsi="Arial" w:cs="Arial"/>
          <w:lang w:val="en-NZ"/>
          <w14:ligatures w14:val="standardContextual"/>
        </w:rPr>
        <w:t xml:space="preserve">the previous transition period </w:t>
      </w:r>
      <w:r w:rsidR="00F728BA">
        <w:rPr>
          <w:rFonts w:ascii="Arial" w:eastAsia="Arial" w:hAnsi="Arial" w:cs="Arial"/>
          <w:lang w:val="en-NZ"/>
          <w14:ligatures w14:val="standardContextual"/>
        </w:rPr>
        <w:t>(</w:t>
      </w:r>
      <w:r w:rsidR="00CE7A14">
        <w:rPr>
          <w:rFonts w:ascii="Arial" w:eastAsia="Arial" w:hAnsi="Arial" w:cs="Arial"/>
          <w:lang w:val="en-NZ"/>
          <w14:ligatures w14:val="standardContextual"/>
        </w:rPr>
        <w:t>July 2023</w:t>
      </w:r>
      <w:r w:rsidR="00F728BA">
        <w:rPr>
          <w:rFonts w:ascii="Arial" w:eastAsia="Arial" w:hAnsi="Arial" w:cs="Arial"/>
          <w:lang w:val="en-NZ"/>
          <w14:ligatures w14:val="standardContextual"/>
        </w:rPr>
        <w:t>)</w:t>
      </w:r>
      <w:r w:rsidR="00165271">
        <w:rPr>
          <w:rFonts w:ascii="Arial" w:eastAsia="Arial" w:hAnsi="Arial" w:cs="Arial"/>
          <w:lang w:val="en-NZ"/>
          <w14:ligatures w14:val="standardContextual"/>
        </w:rPr>
        <w:t xml:space="preserve"> when alcoholic beverages were required to </w:t>
      </w:r>
      <w:r w:rsidR="009B1D1D">
        <w:rPr>
          <w:rFonts w:ascii="Arial" w:eastAsia="Arial" w:hAnsi="Arial" w:cs="Arial"/>
          <w:lang w:val="en-NZ"/>
          <w14:ligatures w14:val="standardContextual"/>
        </w:rPr>
        <w:t>incorporate pregnancy warning labels</w:t>
      </w:r>
      <w:r w:rsidR="00CE7A14">
        <w:rPr>
          <w:rStyle w:val="FootnoteReference"/>
          <w:rFonts w:ascii="Arial" w:eastAsia="Arial" w:hAnsi="Arial" w:cs="Arial"/>
          <w:lang w:val="en-NZ"/>
          <w14:ligatures w14:val="standardContextual"/>
        </w:rPr>
        <w:footnoteReference w:id="17"/>
      </w:r>
      <w:r w:rsidR="00CE7A14">
        <w:rPr>
          <w:rFonts w:ascii="Arial" w:eastAsia="Arial" w:hAnsi="Arial" w:cs="Arial"/>
          <w:lang w:val="en-NZ"/>
          <w14:ligatures w14:val="standardContextual"/>
        </w:rPr>
        <w:t xml:space="preserve">. </w:t>
      </w:r>
    </w:p>
    <w:p w14:paraId="31080AEA" w14:textId="1FA2D501" w:rsidR="007F5A73" w:rsidRDefault="003A76F6" w:rsidP="00F906CB">
      <w:pPr>
        <w:spacing w:line="279" w:lineRule="auto"/>
        <w:rPr>
          <w:rFonts w:ascii="Arial" w:eastAsia="Arial" w:hAnsi="Arial" w:cs="Arial"/>
          <w:lang w:val="en-NZ"/>
          <w14:ligatures w14:val="standardContextual"/>
        </w:rPr>
      </w:pPr>
      <w:r w:rsidRPr="00F906CB">
        <w:rPr>
          <w:rFonts w:ascii="Arial" w:eastAsia="Arial" w:hAnsi="Arial" w:cs="Arial"/>
          <w:lang w:val="en-NZ"/>
          <w14:ligatures w14:val="standardContextual"/>
        </w:rPr>
        <w:t xml:space="preserve">The Marsden-Jacob </w:t>
      </w:r>
      <w:r w:rsidR="00AA2C49" w:rsidRPr="00F906CB">
        <w:rPr>
          <w:rFonts w:ascii="Arial" w:eastAsia="Arial" w:hAnsi="Arial" w:cs="Arial"/>
          <w:lang w:val="en-NZ"/>
          <w14:ligatures w14:val="standardContextual"/>
        </w:rPr>
        <w:t>model shows that</w:t>
      </w:r>
      <w:r w:rsidR="00177916">
        <w:rPr>
          <w:rFonts w:ascii="Arial" w:eastAsia="Arial" w:hAnsi="Arial" w:cs="Arial"/>
          <w:lang w:val="en-NZ"/>
          <w14:ligatures w14:val="standardContextual"/>
        </w:rPr>
        <w:t xml:space="preserve"> after</w:t>
      </w:r>
      <w:r w:rsidR="00692B02" w:rsidRPr="00F906CB">
        <w:rPr>
          <w:rFonts w:ascii="Arial" w:eastAsia="Arial" w:hAnsi="Arial" w:cs="Arial"/>
          <w:lang w:val="en-NZ"/>
          <w14:ligatures w14:val="standardContextual"/>
        </w:rPr>
        <w:t xml:space="preserve"> a t</w:t>
      </w:r>
      <w:r w:rsidR="00877279" w:rsidRPr="00F906CB">
        <w:rPr>
          <w:rFonts w:ascii="Arial" w:eastAsia="Arial" w:hAnsi="Arial" w:cs="Arial"/>
          <w:lang w:val="en-NZ"/>
          <w14:ligatures w14:val="standardContextual"/>
        </w:rPr>
        <w:t>ransition period exceeds three years</w:t>
      </w:r>
      <w:r w:rsidR="00877279">
        <w:rPr>
          <w:rFonts w:ascii="Arial" w:eastAsia="Arial" w:hAnsi="Arial" w:cs="Arial"/>
          <w:lang w:val="en-NZ"/>
          <w14:ligatures w14:val="standardContextual"/>
        </w:rPr>
        <w:t xml:space="preserve">, providing extra time does not </w:t>
      </w:r>
      <w:r w:rsidR="00A57883">
        <w:rPr>
          <w:rFonts w:ascii="Arial" w:eastAsia="Arial" w:hAnsi="Arial" w:cs="Arial"/>
          <w:lang w:val="en-NZ"/>
          <w14:ligatures w14:val="standardContextual"/>
        </w:rPr>
        <w:t>significantly further reduce label change costs</w:t>
      </w:r>
      <w:r w:rsidR="00074D35">
        <w:rPr>
          <w:rFonts w:ascii="Arial" w:eastAsia="Arial" w:hAnsi="Arial" w:cs="Arial"/>
          <w:lang w:val="en-NZ"/>
          <w14:ligatures w14:val="standardContextual"/>
        </w:rPr>
        <w:t xml:space="preserve"> and would delay </w:t>
      </w:r>
      <w:r w:rsidR="00A57883">
        <w:rPr>
          <w:rFonts w:ascii="Arial" w:eastAsia="Arial" w:hAnsi="Arial" w:cs="Arial"/>
          <w:lang w:val="en-NZ"/>
          <w14:ligatures w14:val="standardContextual"/>
        </w:rPr>
        <w:t xml:space="preserve">the potential benefits of </w:t>
      </w:r>
      <w:r w:rsidR="00BA7EB1">
        <w:rPr>
          <w:rFonts w:ascii="Arial" w:eastAsia="Arial" w:hAnsi="Arial" w:cs="Arial"/>
          <w:lang w:val="en-NZ"/>
          <w14:ligatures w14:val="standardContextual"/>
        </w:rPr>
        <w:t xml:space="preserve">informed </w:t>
      </w:r>
      <w:r w:rsidR="008E3D9E">
        <w:rPr>
          <w:rFonts w:ascii="Arial" w:eastAsia="Arial" w:hAnsi="Arial" w:cs="Arial"/>
          <w:lang w:val="en-NZ"/>
          <w14:ligatures w14:val="standardContextual"/>
        </w:rPr>
        <w:t xml:space="preserve">consumer </w:t>
      </w:r>
      <w:r w:rsidR="00BA7EB1">
        <w:rPr>
          <w:rFonts w:ascii="Arial" w:eastAsia="Arial" w:hAnsi="Arial" w:cs="Arial"/>
          <w:lang w:val="en-NZ"/>
          <w14:ligatures w14:val="standardContextual"/>
        </w:rPr>
        <w:t>choice</w:t>
      </w:r>
      <w:r w:rsidR="008E3D9E">
        <w:rPr>
          <w:rFonts w:ascii="Arial" w:eastAsia="Arial" w:hAnsi="Arial" w:cs="Arial"/>
          <w:lang w:val="en-NZ"/>
          <w14:ligatures w14:val="standardContextual"/>
        </w:rPr>
        <w:t xml:space="preserve"> (</w:t>
      </w:r>
      <w:r w:rsidR="001C443E">
        <w:rPr>
          <w:rFonts w:ascii="Arial" w:eastAsia="Arial" w:hAnsi="Arial" w:cs="Arial"/>
          <w:lang w:val="en-NZ"/>
          <w14:ligatures w14:val="standardContextual"/>
        </w:rPr>
        <w:t xml:space="preserve">benefits </w:t>
      </w:r>
      <w:r w:rsidR="008E3D9E">
        <w:rPr>
          <w:rFonts w:ascii="Arial" w:eastAsia="Arial" w:hAnsi="Arial" w:cs="Arial"/>
          <w:lang w:val="en-NZ"/>
          <w14:ligatures w14:val="standardContextual"/>
        </w:rPr>
        <w:t>discussed below in the net benefits section)</w:t>
      </w:r>
      <w:r w:rsidR="00074D35">
        <w:rPr>
          <w:rFonts w:ascii="Arial" w:eastAsia="Arial" w:hAnsi="Arial" w:cs="Arial"/>
          <w:lang w:val="en-NZ"/>
          <w14:ligatures w14:val="standardContextual"/>
        </w:rPr>
        <w:t>.</w:t>
      </w:r>
      <w:r w:rsidR="008E3D9E">
        <w:rPr>
          <w:rFonts w:ascii="Arial" w:eastAsia="Arial" w:hAnsi="Arial" w:cs="Arial"/>
          <w:lang w:val="en-NZ"/>
          <w14:ligatures w14:val="standardContextual"/>
        </w:rPr>
        <w:t xml:space="preserve"> </w:t>
      </w:r>
    </w:p>
    <w:p w14:paraId="44D2512B" w14:textId="77777777" w:rsidR="007F5A73" w:rsidRDefault="007F5A73">
      <w:pPr>
        <w:rPr>
          <w:rFonts w:ascii="Arial" w:eastAsia="Arial" w:hAnsi="Arial" w:cs="Arial"/>
          <w:lang w:val="en-NZ"/>
          <w14:ligatures w14:val="standardContextual"/>
        </w:rPr>
      </w:pPr>
      <w:r>
        <w:rPr>
          <w:rFonts w:ascii="Arial" w:eastAsia="Arial" w:hAnsi="Arial" w:cs="Arial"/>
          <w:lang w:val="en-NZ"/>
          <w14:ligatures w14:val="standardContextual"/>
        </w:rPr>
        <w:br w:type="page"/>
      </w:r>
    </w:p>
    <w:p w14:paraId="7AE30439" w14:textId="18AD3FD5" w:rsidR="00515EAA" w:rsidRPr="009B23BB" w:rsidRDefault="00E63E10" w:rsidP="00CE3140">
      <w:pPr>
        <w:pStyle w:val="Heading2"/>
        <w:numPr>
          <w:ilvl w:val="0"/>
          <w:numId w:val="10"/>
        </w:numPr>
        <w:rPr>
          <w:rFonts w:eastAsia="Arial"/>
        </w:rPr>
      </w:pPr>
      <w:bookmarkStart w:id="20" w:name="_Toc194475992"/>
      <w:r>
        <w:rPr>
          <w:rFonts w:eastAsia="Arial"/>
        </w:rPr>
        <w:lastRenderedPageBreak/>
        <w:t>What is the likely net benefit of each option?</w:t>
      </w:r>
      <w:bookmarkEnd w:id="20"/>
      <w:r w:rsidR="006958B4">
        <w:rPr>
          <w:rFonts w:eastAsia="Arial"/>
        </w:rPr>
        <w:t xml:space="preserve"> </w:t>
      </w:r>
      <w:bookmarkStart w:id="21" w:name="_Toc124924577"/>
      <w:bookmarkStart w:id="22" w:name="_Toc132035364"/>
      <w:bookmarkStart w:id="23" w:name="_Toc158893134"/>
    </w:p>
    <w:p w14:paraId="14D2EA89" w14:textId="2EFEB70A" w:rsidR="00843C3D" w:rsidRPr="00436787" w:rsidRDefault="00843C3D" w:rsidP="00182859">
      <w:pPr>
        <w:spacing w:after="0"/>
        <w:rPr>
          <w:rFonts w:ascii="Arial" w:hAnsi="Arial" w:cs="Arial"/>
          <w:snapToGrid w:val="0"/>
          <w:color w:val="000000" w:themeColor="text1"/>
          <w:lang w:val="en-GB"/>
        </w:rPr>
      </w:pPr>
      <w:r w:rsidRPr="00436787">
        <w:rPr>
          <w:rFonts w:ascii="Arial" w:hAnsi="Arial" w:cs="Arial"/>
          <w:snapToGrid w:val="0"/>
          <w:color w:val="000000" w:themeColor="text1"/>
          <w:lang w:val="en-GB"/>
        </w:rPr>
        <w:t xml:space="preserve">Updating standards </w:t>
      </w:r>
      <w:r>
        <w:rPr>
          <w:rFonts w:ascii="Arial" w:hAnsi="Arial" w:cs="Arial"/>
          <w:snapToGrid w:val="0"/>
          <w:color w:val="000000" w:themeColor="text1"/>
          <w:lang w:val="en-GB"/>
        </w:rPr>
        <w:t>in the Code in relation to labelling</w:t>
      </w:r>
      <w:r w:rsidR="00246E38">
        <w:rPr>
          <w:rFonts w:ascii="Arial" w:hAnsi="Arial" w:cs="Arial"/>
          <w:snapToGrid w:val="0"/>
          <w:color w:val="000000" w:themeColor="text1"/>
          <w:lang w:val="en-GB"/>
        </w:rPr>
        <w:t xml:space="preserve"> of alcoholic beverages</w:t>
      </w:r>
      <w:r>
        <w:rPr>
          <w:rFonts w:ascii="Arial" w:hAnsi="Arial" w:cs="Arial"/>
          <w:snapToGrid w:val="0"/>
          <w:color w:val="000000" w:themeColor="text1"/>
          <w:lang w:val="en-GB"/>
        </w:rPr>
        <w:t xml:space="preserve"> </w:t>
      </w:r>
      <w:r w:rsidRPr="00436787">
        <w:rPr>
          <w:rFonts w:ascii="Arial" w:hAnsi="Arial" w:cs="Arial"/>
          <w:snapToGrid w:val="0"/>
          <w:color w:val="000000" w:themeColor="text1"/>
          <w:lang w:val="en-GB"/>
        </w:rPr>
        <w:t>w</w:t>
      </w:r>
      <w:r w:rsidR="00246E38">
        <w:rPr>
          <w:rFonts w:ascii="Arial" w:hAnsi="Arial" w:cs="Arial"/>
          <w:snapToGrid w:val="0"/>
          <w:color w:val="000000" w:themeColor="text1"/>
          <w:lang w:val="en-GB"/>
        </w:rPr>
        <w:t>ould</w:t>
      </w:r>
      <w:r w:rsidRPr="00436787">
        <w:rPr>
          <w:rFonts w:ascii="Arial" w:hAnsi="Arial" w:cs="Arial"/>
          <w:snapToGrid w:val="0"/>
          <w:color w:val="000000" w:themeColor="text1"/>
          <w:lang w:val="en-GB"/>
        </w:rPr>
        <w:t xml:space="preserve"> impact three main </w:t>
      </w:r>
      <w:r>
        <w:rPr>
          <w:rFonts w:ascii="Arial" w:hAnsi="Arial" w:cs="Arial"/>
          <w:snapToGrid w:val="0"/>
          <w:color w:val="000000" w:themeColor="text1"/>
          <w:lang w:val="en-GB"/>
        </w:rPr>
        <w:t xml:space="preserve">stakeholder </w:t>
      </w:r>
      <w:r w:rsidRPr="00436787">
        <w:rPr>
          <w:rFonts w:ascii="Arial" w:hAnsi="Arial" w:cs="Arial"/>
          <w:snapToGrid w:val="0"/>
          <w:color w:val="000000" w:themeColor="text1"/>
          <w:lang w:val="en-GB"/>
        </w:rPr>
        <w:t xml:space="preserve">groups: </w:t>
      </w:r>
    </w:p>
    <w:p w14:paraId="7A7C5631" w14:textId="77777777" w:rsidR="00843C3D" w:rsidRPr="00436787" w:rsidRDefault="00843C3D" w:rsidP="00CE3140">
      <w:pPr>
        <w:numPr>
          <w:ilvl w:val="0"/>
          <w:numId w:val="9"/>
        </w:numPr>
        <w:spacing w:after="0"/>
        <w:ind w:left="714" w:hanging="357"/>
        <w:rPr>
          <w:rFonts w:ascii="Arial" w:hAnsi="Arial" w:cs="Arial"/>
          <w:snapToGrid w:val="0"/>
          <w:color w:val="000000" w:themeColor="text1"/>
          <w:lang w:val="en-GB"/>
        </w:rPr>
      </w:pPr>
      <w:r w:rsidRPr="00436787">
        <w:rPr>
          <w:rFonts w:ascii="Arial" w:hAnsi="Arial" w:cs="Arial"/>
          <w:snapToGrid w:val="0"/>
          <w:color w:val="000000" w:themeColor="text1"/>
          <w:lang w:val="en-GB"/>
        </w:rPr>
        <w:t xml:space="preserve">consumers </w:t>
      </w:r>
    </w:p>
    <w:p w14:paraId="0F03A07F" w14:textId="77777777" w:rsidR="00843C3D" w:rsidRPr="00436787" w:rsidRDefault="00843C3D" w:rsidP="00CE3140">
      <w:pPr>
        <w:numPr>
          <w:ilvl w:val="0"/>
          <w:numId w:val="9"/>
        </w:numPr>
        <w:spacing w:after="0"/>
        <w:ind w:left="714" w:hanging="357"/>
        <w:rPr>
          <w:rFonts w:ascii="Arial" w:hAnsi="Arial" w:cs="Arial"/>
          <w:snapToGrid w:val="0"/>
          <w:color w:val="000000" w:themeColor="text1"/>
          <w:lang w:val="en-GB"/>
        </w:rPr>
      </w:pPr>
      <w:r w:rsidRPr="00436787">
        <w:rPr>
          <w:rFonts w:ascii="Arial" w:hAnsi="Arial" w:cs="Arial"/>
          <w:snapToGrid w:val="0"/>
          <w:color w:val="000000" w:themeColor="text1"/>
          <w:lang w:val="en-GB"/>
        </w:rPr>
        <w:t xml:space="preserve">the alcoholic beverages industry </w:t>
      </w:r>
      <w:r>
        <w:rPr>
          <w:rFonts w:ascii="Arial" w:hAnsi="Arial" w:cs="Arial"/>
          <w:snapToGrid w:val="0"/>
          <w:color w:val="000000" w:themeColor="text1"/>
          <w:lang w:val="en-GB"/>
        </w:rPr>
        <w:t>(industry)</w:t>
      </w:r>
    </w:p>
    <w:p w14:paraId="1930E402" w14:textId="0876A7BE" w:rsidR="00843C3D" w:rsidRPr="00063FA1" w:rsidRDefault="009F7715" w:rsidP="00CE3140">
      <w:pPr>
        <w:numPr>
          <w:ilvl w:val="0"/>
          <w:numId w:val="9"/>
        </w:numPr>
        <w:spacing w:after="0"/>
        <w:ind w:left="714" w:hanging="357"/>
        <w:rPr>
          <w:rFonts w:ascii="Arial" w:hAnsi="Arial" w:cs="Arial"/>
          <w:snapToGrid w:val="0"/>
          <w:color w:val="000000" w:themeColor="text1"/>
          <w:lang w:val="en-GB"/>
        </w:rPr>
      </w:pPr>
      <w:r>
        <w:rPr>
          <w:rFonts w:ascii="Arial" w:hAnsi="Arial" w:cs="Arial"/>
          <w:snapToGrid w:val="0"/>
          <w:color w:val="000000" w:themeColor="text1"/>
          <w:lang w:val="en-GB"/>
        </w:rPr>
        <w:t>local enforcement agencies/jurisdictions</w:t>
      </w:r>
      <w:r w:rsidR="004914F1">
        <w:rPr>
          <w:rFonts w:ascii="Arial" w:hAnsi="Arial" w:cs="Arial"/>
          <w:snapToGrid w:val="0"/>
          <w:color w:val="000000" w:themeColor="text1"/>
          <w:lang w:val="en-GB"/>
        </w:rPr>
        <w:t xml:space="preserve">, New Zealand and the Australian Commonwealth </w:t>
      </w:r>
      <w:r>
        <w:rPr>
          <w:rFonts w:ascii="Arial" w:hAnsi="Arial" w:cs="Arial"/>
          <w:snapToGrid w:val="0"/>
          <w:color w:val="000000" w:themeColor="text1"/>
          <w:lang w:val="en-GB"/>
        </w:rPr>
        <w:t xml:space="preserve">Governments </w:t>
      </w:r>
      <w:r w:rsidR="004914F1">
        <w:rPr>
          <w:rFonts w:ascii="Arial" w:hAnsi="Arial" w:cs="Arial"/>
          <w:snapToGrid w:val="0"/>
          <w:color w:val="000000" w:themeColor="text1"/>
          <w:lang w:val="en-GB"/>
        </w:rPr>
        <w:t>(governments)</w:t>
      </w:r>
      <w:r w:rsidR="00843C3D" w:rsidRPr="00436787">
        <w:rPr>
          <w:rFonts w:ascii="Arial" w:hAnsi="Arial" w:cs="Arial"/>
          <w:snapToGrid w:val="0"/>
          <w:color w:val="000000" w:themeColor="text1"/>
          <w:lang w:val="en-GB"/>
        </w:rPr>
        <w:t>.</w:t>
      </w:r>
    </w:p>
    <w:p w14:paraId="7DD5B2E8" w14:textId="77777777" w:rsidR="00425682" w:rsidRDefault="00425682" w:rsidP="00843C3D">
      <w:pPr>
        <w:spacing w:after="0" w:line="240" w:lineRule="auto"/>
        <w:rPr>
          <w:rFonts w:ascii="Arial" w:hAnsi="Arial" w:cs="Arial"/>
          <w:snapToGrid w:val="0"/>
          <w:color w:val="000000" w:themeColor="text1"/>
          <w:lang w:val="en-GB"/>
        </w:rPr>
      </w:pPr>
    </w:p>
    <w:p w14:paraId="6DA960E8" w14:textId="0E770B93" w:rsidR="00843C3D" w:rsidRDefault="00843C3D" w:rsidP="00843C3D">
      <w:pPr>
        <w:spacing w:after="0" w:line="240" w:lineRule="auto"/>
        <w:rPr>
          <w:rFonts w:ascii="Arial" w:hAnsi="Arial" w:cs="Arial"/>
          <w:snapToGrid w:val="0"/>
        </w:rPr>
      </w:pPr>
      <w:r w:rsidRPr="00063FA1">
        <w:rPr>
          <w:rFonts w:ascii="Arial" w:hAnsi="Arial" w:cs="Arial"/>
          <w:snapToGrid w:val="0"/>
          <w:color w:val="000000" w:themeColor="text1"/>
          <w:lang w:val="en-GB"/>
        </w:rPr>
        <w:t>Not all impacts can be quantified.</w:t>
      </w:r>
      <w:r>
        <w:rPr>
          <w:rFonts w:ascii="Arial" w:hAnsi="Arial" w:cs="Arial"/>
          <w:snapToGrid w:val="0"/>
          <w:color w:val="000000" w:themeColor="text1"/>
          <w:lang w:val="en-GB"/>
        </w:rPr>
        <w:t xml:space="preserve"> </w:t>
      </w:r>
      <w:r w:rsidRPr="00063FA1">
        <w:rPr>
          <w:rFonts w:ascii="Arial" w:hAnsi="Arial" w:cs="Arial"/>
          <w:snapToGrid w:val="0"/>
          <w:color w:val="000000" w:themeColor="text1"/>
          <w:lang w:val="en-GB"/>
        </w:rPr>
        <w:t>That is particularly the case</w:t>
      </w:r>
      <w:r>
        <w:rPr>
          <w:rFonts w:ascii="Arial" w:hAnsi="Arial" w:cs="Arial"/>
          <w:b/>
          <w:bCs/>
          <w:snapToGrid w:val="0"/>
          <w:lang w:val="en-AU"/>
        </w:rPr>
        <w:t xml:space="preserve"> </w:t>
      </w:r>
      <w:r w:rsidRPr="00063FA1">
        <w:rPr>
          <w:rFonts w:ascii="Arial" w:hAnsi="Arial" w:cs="Arial"/>
          <w:snapToGrid w:val="0"/>
          <w:color w:val="000000" w:themeColor="text1"/>
          <w:lang w:val="en-GB"/>
        </w:rPr>
        <w:t>for any wider health benefits to consumers</w:t>
      </w:r>
      <w:r>
        <w:rPr>
          <w:rFonts w:ascii="Arial" w:hAnsi="Arial" w:cs="Arial"/>
          <w:snapToGrid w:val="0"/>
          <w:color w:val="000000" w:themeColor="text1"/>
          <w:lang w:val="en-GB"/>
        </w:rPr>
        <w:t>, where</w:t>
      </w:r>
      <w:r>
        <w:rPr>
          <w:rFonts w:ascii="Arial" w:hAnsi="Arial" w:cs="Arial"/>
          <w:snapToGrid w:val="0"/>
        </w:rPr>
        <w:t xml:space="preserve"> the causal links between including energy content information on labels, informed consumer choice, consumer decisions, and weight management are not straight-forward</w:t>
      </w:r>
      <w:r w:rsidR="00C75F84">
        <w:rPr>
          <w:rFonts w:ascii="Arial" w:hAnsi="Arial" w:cs="Arial"/>
          <w:snapToGrid w:val="0"/>
        </w:rPr>
        <w:t xml:space="preserve">. </w:t>
      </w:r>
      <w:r w:rsidR="00591DE8">
        <w:rPr>
          <w:rFonts w:ascii="Arial" w:hAnsi="Arial" w:cs="Arial"/>
          <w:snapToGrid w:val="0"/>
        </w:rPr>
        <w:t>Estimate</w:t>
      </w:r>
      <w:r w:rsidR="0066057B">
        <w:rPr>
          <w:rFonts w:ascii="Arial" w:hAnsi="Arial" w:cs="Arial"/>
          <w:snapToGrid w:val="0"/>
        </w:rPr>
        <w:t>d</w:t>
      </w:r>
      <w:r w:rsidR="00591DE8">
        <w:rPr>
          <w:rFonts w:ascii="Arial" w:hAnsi="Arial" w:cs="Arial"/>
          <w:snapToGrid w:val="0"/>
        </w:rPr>
        <w:t xml:space="preserve"> costs and benefits take into account information received from stakeholders, including in </w:t>
      </w:r>
      <w:r w:rsidR="009F7715">
        <w:rPr>
          <w:rFonts w:ascii="Arial" w:hAnsi="Arial" w:cs="Arial"/>
          <w:snapToGrid w:val="0"/>
        </w:rPr>
        <w:t xml:space="preserve">submitter comments in </w:t>
      </w:r>
      <w:r w:rsidR="00591DE8">
        <w:rPr>
          <w:rFonts w:ascii="Arial" w:hAnsi="Arial" w:cs="Arial"/>
          <w:snapToGrid w:val="0"/>
        </w:rPr>
        <w:t>response to the P1059 CFS.</w:t>
      </w:r>
    </w:p>
    <w:p w14:paraId="03461C7F" w14:textId="465F021F" w:rsidR="00843C3D" w:rsidRPr="00182859" w:rsidRDefault="00DC31B6" w:rsidP="00182859">
      <w:pPr>
        <w:pStyle w:val="Heading3"/>
        <w:ind w:left="0" w:firstLine="0"/>
        <w:rPr>
          <w:rFonts w:eastAsia="Arial"/>
        </w:rPr>
      </w:pPr>
      <w:bookmarkStart w:id="24" w:name="_Toc194475993"/>
      <w:r>
        <w:t>5.1</w:t>
      </w:r>
      <w:r>
        <w:tab/>
      </w:r>
      <w:r w:rsidR="00843C3D" w:rsidRPr="008955BB">
        <w:t xml:space="preserve">Costs and benefits of </w:t>
      </w:r>
      <w:r w:rsidR="009D53E1">
        <w:t>o</w:t>
      </w:r>
      <w:r w:rsidR="009D53E1" w:rsidRPr="008955BB">
        <w:t xml:space="preserve">ption </w:t>
      </w:r>
      <w:r w:rsidR="00843C3D">
        <w:t xml:space="preserve">1: Maintain the </w:t>
      </w:r>
      <w:r w:rsidR="00431196">
        <w:t>s</w:t>
      </w:r>
      <w:r w:rsidR="00843C3D">
        <w:t>tatus quo</w:t>
      </w:r>
      <w:bookmarkEnd w:id="24"/>
      <w:r w:rsidR="00843C3D">
        <w:t xml:space="preserve"> </w:t>
      </w:r>
    </w:p>
    <w:p w14:paraId="091C02F7" w14:textId="124521FB" w:rsidR="00515EAA" w:rsidRPr="00444759" w:rsidRDefault="00515EAA" w:rsidP="00843C3D">
      <w:pPr>
        <w:spacing w:after="0" w:line="240" w:lineRule="auto"/>
        <w:rPr>
          <w:rFonts w:ascii="Arial" w:hAnsi="Arial" w:cs="Arial"/>
          <w:snapToGrid w:val="0"/>
          <w:color w:val="000000" w:themeColor="text1"/>
          <w:lang w:val="en-GB"/>
        </w:rPr>
      </w:pPr>
      <w:r w:rsidRPr="00515EAA">
        <w:rPr>
          <w:rFonts w:ascii="Arial" w:hAnsi="Arial" w:cs="Arial"/>
          <w:snapToGrid w:val="0"/>
          <w:color w:val="000000" w:themeColor="text1"/>
          <w:lang w:val="en-GB"/>
        </w:rPr>
        <w:t xml:space="preserve">The net benefit of the status quo option (option 1) by definition is zero as it involves no </w:t>
      </w:r>
      <w:r w:rsidR="006A4FE2">
        <w:rPr>
          <w:rFonts w:ascii="Arial" w:hAnsi="Arial" w:cs="Arial"/>
          <w:snapToGrid w:val="0"/>
          <w:color w:val="000000" w:themeColor="text1"/>
          <w:lang w:val="en-GB"/>
        </w:rPr>
        <w:t xml:space="preserve">regulatory </w:t>
      </w:r>
      <w:r w:rsidRPr="00515EAA">
        <w:rPr>
          <w:rFonts w:ascii="Arial" w:hAnsi="Arial" w:cs="Arial"/>
          <w:snapToGrid w:val="0"/>
          <w:color w:val="000000" w:themeColor="text1"/>
          <w:lang w:val="en-GB"/>
        </w:rPr>
        <w:t>change</w:t>
      </w:r>
      <w:r w:rsidR="006A4FE2">
        <w:rPr>
          <w:rFonts w:ascii="Arial" w:hAnsi="Arial" w:cs="Arial"/>
          <w:snapToGrid w:val="0"/>
          <w:color w:val="000000" w:themeColor="text1"/>
          <w:lang w:val="en-GB"/>
        </w:rPr>
        <w:t>.</w:t>
      </w:r>
      <w:r w:rsidRPr="00515EAA">
        <w:rPr>
          <w:rFonts w:ascii="Arial" w:hAnsi="Arial" w:cs="Arial"/>
          <w:snapToGrid w:val="0"/>
          <w:color w:val="000000" w:themeColor="text1"/>
          <w:lang w:val="en-GB"/>
        </w:rPr>
        <w:t xml:space="preserve"> The status quo is the option against which all other options are considered. If no other options are likely to achieve a net benefit</w:t>
      </w:r>
      <w:r w:rsidR="001B5C50">
        <w:rPr>
          <w:rFonts w:ascii="Arial" w:hAnsi="Arial" w:cs="Arial"/>
          <w:snapToGrid w:val="0"/>
          <w:color w:val="000000" w:themeColor="text1"/>
          <w:lang w:val="en-GB"/>
        </w:rPr>
        <w:t>,</w:t>
      </w:r>
      <w:r w:rsidRPr="00515EAA">
        <w:rPr>
          <w:rFonts w:ascii="Arial" w:hAnsi="Arial" w:cs="Arial"/>
          <w:snapToGrid w:val="0"/>
          <w:color w:val="000000" w:themeColor="text1"/>
          <w:lang w:val="en-GB"/>
        </w:rPr>
        <w:t xml:space="preserve"> option 1 would be the preferred option.</w:t>
      </w:r>
    </w:p>
    <w:p w14:paraId="41E17D78" w14:textId="77777777" w:rsidR="0028104A" w:rsidRDefault="0028104A" w:rsidP="0028104A">
      <w:pPr>
        <w:spacing w:after="0" w:line="240" w:lineRule="auto"/>
        <w:rPr>
          <w:rFonts w:ascii="Arial" w:hAnsi="Arial" w:cs="Arial"/>
          <w:snapToGrid w:val="0"/>
          <w:color w:val="000000" w:themeColor="text1"/>
          <w:lang w:val="en-GB"/>
        </w:rPr>
      </w:pPr>
    </w:p>
    <w:p w14:paraId="30CEEAFC" w14:textId="562207AC" w:rsidR="00B966FE" w:rsidRPr="009B23BB" w:rsidRDefault="00515EAA" w:rsidP="009B23BB">
      <w:pPr>
        <w:spacing w:after="0" w:line="240" w:lineRule="auto"/>
        <w:rPr>
          <w:rFonts w:ascii="Arial" w:hAnsi="Arial" w:cs="Arial"/>
          <w:snapToGrid w:val="0"/>
          <w:color w:val="000000" w:themeColor="text1"/>
          <w:lang w:val="en-GB"/>
        </w:rPr>
      </w:pPr>
      <w:r>
        <w:rPr>
          <w:rFonts w:ascii="Arial" w:hAnsi="Arial" w:cs="Arial"/>
          <w:snapToGrid w:val="0"/>
          <w:color w:val="000000" w:themeColor="text1"/>
          <w:lang w:val="en-GB"/>
        </w:rPr>
        <w:t xml:space="preserve">The </w:t>
      </w:r>
      <w:r w:rsidR="00B802CA">
        <w:rPr>
          <w:rFonts w:ascii="Arial" w:hAnsi="Arial" w:cs="Arial"/>
          <w:snapToGrid w:val="0"/>
          <w:color w:val="000000" w:themeColor="text1"/>
          <w:lang w:val="en-GB"/>
        </w:rPr>
        <w:t xml:space="preserve">status </w:t>
      </w:r>
      <w:r w:rsidR="003C6475">
        <w:rPr>
          <w:rFonts w:ascii="Arial" w:hAnsi="Arial" w:cs="Arial"/>
          <w:snapToGrid w:val="0"/>
          <w:color w:val="000000" w:themeColor="text1"/>
          <w:lang w:val="en-GB"/>
        </w:rPr>
        <w:t>q</w:t>
      </w:r>
      <w:r w:rsidR="00B802CA">
        <w:rPr>
          <w:rFonts w:ascii="Arial" w:hAnsi="Arial" w:cs="Arial"/>
          <w:snapToGrid w:val="0"/>
          <w:color w:val="000000" w:themeColor="text1"/>
          <w:lang w:val="en-GB"/>
        </w:rPr>
        <w:t>uo</w:t>
      </w:r>
      <w:r>
        <w:rPr>
          <w:rFonts w:ascii="Arial" w:hAnsi="Arial" w:cs="Arial"/>
          <w:snapToGrid w:val="0"/>
          <w:color w:val="000000" w:themeColor="text1"/>
          <w:lang w:val="en-GB"/>
        </w:rPr>
        <w:t xml:space="preserve"> </w:t>
      </w:r>
      <w:r w:rsidR="009F7715">
        <w:rPr>
          <w:rFonts w:ascii="Arial" w:hAnsi="Arial" w:cs="Arial"/>
          <w:snapToGrid w:val="0"/>
          <w:color w:val="000000" w:themeColor="text1"/>
          <w:lang w:val="en-GB"/>
        </w:rPr>
        <w:t>would</w:t>
      </w:r>
      <w:r>
        <w:rPr>
          <w:rFonts w:ascii="Arial" w:hAnsi="Arial" w:cs="Arial"/>
          <w:snapToGrid w:val="0"/>
          <w:color w:val="000000" w:themeColor="text1"/>
          <w:lang w:val="en-GB"/>
        </w:rPr>
        <w:t xml:space="preserve"> not achiev</w:t>
      </w:r>
      <w:r w:rsidR="009F7715">
        <w:rPr>
          <w:rFonts w:ascii="Arial" w:hAnsi="Arial" w:cs="Arial"/>
          <w:snapToGrid w:val="0"/>
          <w:color w:val="000000" w:themeColor="text1"/>
          <w:lang w:val="en-GB"/>
        </w:rPr>
        <w:t>e</w:t>
      </w:r>
      <w:r>
        <w:rPr>
          <w:rFonts w:ascii="Arial" w:hAnsi="Arial" w:cs="Arial"/>
          <w:snapToGrid w:val="0"/>
          <w:color w:val="000000" w:themeColor="text1"/>
          <w:lang w:val="en-GB"/>
        </w:rPr>
        <w:t xml:space="preserve"> the stated objective</w:t>
      </w:r>
      <w:r w:rsidR="008274E4">
        <w:rPr>
          <w:rFonts w:ascii="Arial" w:hAnsi="Arial" w:cs="Arial"/>
          <w:snapToGrid w:val="0"/>
          <w:color w:val="000000" w:themeColor="text1"/>
          <w:lang w:val="en-GB"/>
        </w:rPr>
        <w:t xml:space="preserve"> of </w:t>
      </w:r>
      <w:r w:rsidR="009D0812">
        <w:rPr>
          <w:rFonts w:ascii="Arial" w:hAnsi="Arial" w:cs="Arial"/>
          <w:snapToGrid w:val="0"/>
          <w:color w:val="000000" w:themeColor="text1"/>
          <w:lang w:val="en-GB"/>
        </w:rPr>
        <w:t xml:space="preserve">providing </w:t>
      </w:r>
      <w:r w:rsidR="008274E4">
        <w:rPr>
          <w:rFonts w:ascii="Arial" w:hAnsi="Arial" w:cs="Arial"/>
          <w:snapToGrid w:val="0"/>
          <w:color w:val="000000" w:themeColor="text1"/>
          <w:lang w:val="en-GB"/>
        </w:rPr>
        <w:t>“</w:t>
      </w:r>
      <w:r w:rsidR="003440FE" w:rsidRPr="006662F7">
        <w:rPr>
          <w:rFonts w:ascii="Arial" w:eastAsia="Arial" w:hAnsi="Arial" w:cs="Arial"/>
        </w:rPr>
        <w:t>readily accessible energy content information on the label of alcoholic beverages to enable consumers to make informed purchasing and consumption decisions in support of dietary guidelines</w:t>
      </w:r>
      <w:r w:rsidR="003440FE">
        <w:rPr>
          <w:rFonts w:ascii="Arial" w:eastAsia="Arial" w:hAnsi="Arial" w:cs="Arial"/>
        </w:rPr>
        <w:t>”</w:t>
      </w:r>
      <w:r w:rsidR="003440FE">
        <w:rPr>
          <w:rFonts w:ascii="Arial" w:hAnsi="Arial" w:cs="Arial"/>
          <w:snapToGrid w:val="0"/>
          <w:color w:val="000000" w:themeColor="text1"/>
          <w:lang w:val="en-GB"/>
        </w:rPr>
        <w:t>.</w:t>
      </w:r>
      <w:r w:rsidR="00011A52">
        <w:rPr>
          <w:rFonts w:ascii="Arial" w:hAnsi="Arial" w:cs="Arial"/>
          <w:snapToGrid w:val="0"/>
          <w:color w:val="000000" w:themeColor="text1"/>
          <w:lang w:val="en-GB"/>
        </w:rPr>
        <w:t xml:space="preserve"> </w:t>
      </w:r>
      <w:r w:rsidR="3A124FC2">
        <w:rPr>
          <w:rFonts w:ascii="Arial" w:hAnsi="Arial" w:cs="Arial"/>
          <w:snapToGrid w:val="0"/>
          <w:color w:val="000000" w:themeColor="text1"/>
          <w:lang w:val="en-GB"/>
        </w:rPr>
        <w:t>That is</w:t>
      </w:r>
      <w:r w:rsidR="57DD4BE6" w:rsidRPr="008274E4">
        <w:rPr>
          <w:rFonts w:ascii="Arial" w:hAnsi="Arial" w:cs="Arial"/>
          <w:snapToGrid w:val="0"/>
          <w:color w:val="000000" w:themeColor="text1"/>
          <w:lang w:val="en-GB"/>
        </w:rPr>
        <w:t xml:space="preserve"> given </w:t>
      </w:r>
      <w:r w:rsidR="0CB239AA">
        <w:rPr>
          <w:rFonts w:ascii="Arial" w:hAnsi="Arial" w:cs="Arial"/>
          <w:snapToGrid w:val="0"/>
          <w:color w:val="000000" w:themeColor="text1"/>
          <w:lang w:val="en-GB"/>
        </w:rPr>
        <w:t>a</w:t>
      </w:r>
      <w:r w:rsidR="2D2790C8">
        <w:rPr>
          <w:rFonts w:ascii="Arial" w:hAnsi="Arial" w:cs="Arial"/>
          <w:snapToGrid w:val="0"/>
          <w:color w:val="000000" w:themeColor="text1"/>
          <w:lang w:val="en-GB"/>
        </w:rPr>
        <w:t xml:space="preserve"> </w:t>
      </w:r>
      <w:r w:rsidR="57DD4BE6" w:rsidRPr="008274E4">
        <w:rPr>
          <w:rFonts w:ascii="Arial" w:hAnsi="Arial" w:cs="Arial"/>
          <w:snapToGrid w:val="0"/>
          <w:color w:val="000000" w:themeColor="text1"/>
          <w:lang w:val="en-GB"/>
        </w:rPr>
        <w:t>lack of incentives to voluntar</w:t>
      </w:r>
      <w:r w:rsidR="724120B1">
        <w:rPr>
          <w:rFonts w:ascii="Arial" w:hAnsi="Arial" w:cs="Arial"/>
          <w:snapToGrid w:val="0"/>
          <w:color w:val="000000" w:themeColor="text1"/>
          <w:lang w:val="en-GB"/>
        </w:rPr>
        <w:t>il</w:t>
      </w:r>
      <w:r w:rsidR="57DD4BE6" w:rsidRPr="008274E4">
        <w:rPr>
          <w:rFonts w:ascii="Arial" w:hAnsi="Arial" w:cs="Arial"/>
          <w:snapToGrid w:val="0"/>
          <w:color w:val="000000" w:themeColor="text1"/>
          <w:lang w:val="en-GB"/>
        </w:rPr>
        <w:t>y provide energy content information</w:t>
      </w:r>
      <w:r w:rsidR="00D64ECE">
        <w:rPr>
          <w:rFonts w:ascii="Arial" w:hAnsi="Arial" w:cs="Arial"/>
          <w:snapToGrid w:val="0"/>
          <w:lang w:val="en-NZ"/>
        </w:rPr>
        <w:t xml:space="preserve">, such as a disclosed energy content making </w:t>
      </w:r>
      <w:r w:rsidR="000A655C">
        <w:rPr>
          <w:rFonts w:ascii="Arial" w:hAnsi="Arial" w:cs="Arial"/>
          <w:snapToGrid w:val="0"/>
          <w:lang w:val="en-NZ"/>
        </w:rPr>
        <w:t>a</w:t>
      </w:r>
      <w:r w:rsidR="00D64ECE">
        <w:rPr>
          <w:rFonts w:ascii="Arial" w:hAnsi="Arial" w:cs="Arial"/>
          <w:snapToGrid w:val="0"/>
          <w:lang w:val="en-NZ"/>
        </w:rPr>
        <w:t xml:space="preserve"> product seem less appealing</w:t>
      </w:r>
      <w:r w:rsidR="6D76F704">
        <w:rPr>
          <w:rFonts w:ascii="Arial" w:hAnsi="Arial" w:cs="Arial"/>
          <w:snapToGrid w:val="0"/>
          <w:color w:val="000000" w:themeColor="text1"/>
          <w:lang w:val="en-GB"/>
        </w:rPr>
        <w:t>. A</w:t>
      </w:r>
      <w:r w:rsidR="3A124FC2">
        <w:rPr>
          <w:rFonts w:ascii="Arial" w:hAnsi="Arial" w:cs="Arial"/>
          <w:snapToGrid w:val="0"/>
          <w:color w:val="000000" w:themeColor="text1"/>
          <w:lang w:val="en-GB"/>
        </w:rPr>
        <w:t xml:space="preserve">pproximately </w:t>
      </w:r>
      <w:r w:rsidR="6D76F704">
        <w:rPr>
          <w:rFonts w:ascii="Arial" w:hAnsi="Arial" w:cs="Arial"/>
          <w:snapToGrid w:val="0"/>
          <w:color w:val="000000" w:themeColor="text1"/>
          <w:lang w:val="en-GB"/>
        </w:rPr>
        <w:t xml:space="preserve">only </w:t>
      </w:r>
      <w:r w:rsidR="3A124FC2">
        <w:rPr>
          <w:rFonts w:ascii="Arial" w:hAnsi="Arial" w:cs="Arial"/>
          <w:snapToGrid w:val="0"/>
          <w:color w:val="000000" w:themeColor="text1"/>
          <w:lang w:val="en-GB"/>
        </w:rPr>
        <w:t>2% of SKUs</w:t>
      </w:r>
      <w:bookmarkEnd w:id="21"/>
      <w:bookmarkEnd w:id="22"/>
      <w:bookmarkEnd w:id="23"/>
      <w:r w:rsidR="468674DA">
        <w:rPr>
          <w:rFonts w:ascii="Arial" w:hAnsi="Arial" w:cs="Arial"/>
          <w:snapToGrid w:val="0"/>
          <w:color w:val="000000" w:themeColor="text1"/>
          <w:lang w:val="en-GB"/>
        </w:rPr>
        <w:t xml:space="preserve"> </w:t>
      </w:r>
      <w:r w:rsidR="6D76F704">
        <w:rPr>
          <w:rFonts w:ascii="Arial" w:hAnsi="Arial" w:cs="Arial"/>
          <w:snapToGrid w:val="0"/>
          <w:color w:val="000000" w:themeColor="text1"/>
          <w:lang w:val="en-GB"/>
        </w:rPr>
        <w:t>are labelled with voluntary NIP</w:t>
      </w:r>
      <w:r w:rsidR="724120B1">
        <w:rPr>
          <w:rFonts w:ascii="Arial" w:hAnsi="Arial" w:cs="Arial"/>
          <w:snapToGrid w:val="0"/>
          <w:color w:val="000000" w:themeColor="text1"/>
          <w:lang w:val="en-GB"/>
        </w:rPr>
        <w:t>s</w:t>
      </w:r>
      <w:r w:rsidR="6D76F704">
        <w:rPr>
          <w:rFonts w:ascii="Arial" w:hAnsi="Arial" w:cs="Arial"/>
          <w:snapToGrid w:val="0"/>
          <w:color w:val="000000" w:themeColor="text1"/>
          <w:lang w:val="en-GB"/>
        </w:rPr>
        <w:t xml:space="preserve"> in the absence of a claim</w:t>
      </w:r>
      <w:r w:rsidR="6E4CA6A9">
        <w:rPr>
          <w:rFonts w:ascii="Arial" w:hAnsi="Arial" w:cs="Arial"/>
          <w:snapToGrid w:val="0"/>
          <w:color w:val="000000" w:themeColor="text1"/>
          <w:lang w:val="en-GB"/>
        </w:rPr>
        <w:t>,</w:t>
      </w:r>
      <w:r w:rsidR="3E5A8025">
        <w:rPr>
          <w:rFonts w:ascii="Arial" w:hAnsi="Arial" w:cs="Arial"/>
          <w:snapToGrid w:val="0"/>
          <w:color w:val="000000" w:themeColor="text1"/>
          <w:lang w:val="en-GB"/>
        </w:rPr>
        <w:t xml:space="preserve"> </w:t>
      </w:r>
      <w:r w:rsidR="0B7B8E3A">
        <w:rPr>
          <w:rFonts w:ascii="Arial" w:hAnsi="Arial" w:cs="Arial"/>
          <w:snapToGrid w:val="0"/>
          <w:color w:val="000000" w:themeColor="text1"/>
          <w:lang w:val="en-GB"/>
        </w:rPr>
        <w:t xml:space="preserve">when voluntary </w:t>
      </w:r>
      <w:r w:rsidR="0F00A32E">
        <w:rPr>
          <w:rFonts w:ascii="Arial" w:hAnsi="Arial" w:cs="Arial"/>
          <w:snapToGrid w:val="0"/>
          <w:color w:val="000000" w:themeColor="text1"/>
          <w:lang w:val="en-GB"/>
        </w:rPr>
        <w:t>NIPs</w:t>
      </w:r>
      <w:r w:rsidR="468674DA">
        <w:rPr>
          <w:rFonts w:ascii="Arial" w:hAnsi="Arial" w:cs="Arial"/>
          <w:snapToGrid w:val="0"/>
          <w:color w:val="000000" w:themeColor="text1"/>
          <w:lang w:val="en-GB"/>
        </w:rPr>
        <w:t xml:space="preserve"> have been permitted for more than two decades.</w:t>
      </w:r>
    </w:p>
    <w:p w14:paraId="554D6E56" w14:textId="5313E23C" w:rsidR="008F5ED4" w:rsidRPr="00E07344" w:rsidRDefault="00DC31B6" w:rsidP="00E07344">
      <w:pPr>
        <w:pStyle w:val="Heading3"/>
        <w:ind w:left="0" w:firstLine="0"/>
        <w:rPr>
          <w:rFonts w:eastAsia="Arial"/>
        </w:rPr>
      </w:pPr>
      <w:bookmarkStart w:id="25" w:name="_Toc194475994"/>
      <w:r>
        <w:t>5.2</w:t>
      </w:r>
      <w:r>
        <w:tab/>
      </w:r>
      <w:r w:rsidR="008F5ED4" w:rsidRPr="008955BB">
        <w:t xml:space="preserve">Costs and benefits of </w:t>
      </w:r>
      <w:r w:rsidR="009D53E1">
        <w:t>o</w:t>
      </w:r>
      <w:r w:rsidR="009D53E1" w:rsidRPr="008955BB">
        <w:t xml:space="preserve">ption </w:t>
      </w:r>
      <w:r w:rsidR="008F5ED4" w:rsidRPr="008955BB">
        <w:t>2</w:t>
      </w:r>
      <w:r w:rsidR="00C03F47">
        <w:t>: Require an</w:t>
      </w:r>
      <w:r w:rsidR="00E07344">
        <w:t xml:space="preserve"> energy statement</w:t>
      </w:r>
      <w:bookmarkEnd w:id="25"/>
      <w:r w:rsidR="008955BB" w:rsidRPr="008955BB">
        <w:rPr>
          <w:rFonts w:eastAsia="Arial"/>
        </w:rPr>
        <w:t xml:space="preserve"> </w:t>
      </w:r>
    </w:p>
    <w:p w14:paraId="36FDA5C5" w14:textId="13DFD46B" w:rsidR="00ED2E44" w:rsidRDefault="000139F9" w:rsidP="007641A3">
      <w:pPr>
        <w:rPr>
          <w:rFonts w:ascii="Arial" w:hAnsi="Arial" w:cs="Arial"/>
          <w:snapToGrid w:val="0"/>
          <w:lang w:val="en-AU"/>
        </w:rPr>
      </w:pPr>
      <w:r w:rsidRPr="005001F0">
        <w:rPr>
          <w:rFonts w:ascii="Arial" w:hAnsi="Arial" w:cs="Arial"/>
          <w:snapToGrid w:val="0"/>
          <w:lang w:val="en-AU"/>
        </w:rPr>
        <w:t xml:space="preserve">The table </w:t>
      </w:r>
      <w:r w:rsidR="005001F0" w:rsidRPr="005001F0">
        <w:rPr>
          <w:rFonts w:ascii="Arial" w:hAnsi="Arial" w:cs="Arial"/>
          <w:snapToGrid w:val="0"/>
          <w:lang w:val="en-AU"/>
        </w:rPr>
        <w:t xml:space="preserve">below briefly </w:t>
      </w:r>
      <w:r w:rsidRPr="005001F0">
        <w:rPr>
          <w:rFonts w:ascii="Arial" w:hAnsi="Arial" w:cs="Arial"/>
          <w:snapToGrid w:val="0"/>
          <w:lang w:val="en-AU"/>
        </w:rPr>
        <w:t>summarises th</w:t>
      </w:r>
      <w:r w:rsidR="008955BB">
        <w:rPr>
          <w:rFonts w:ascii="Arial" w:hAnsi="Arial" w:cs="Arial"/>
          <w:snapToGrid w:val="0"/>
          <w:lang w:val="en-AU"/>
        </w:rPr>
        <w:t>e</w:t>
      </w:r>
      <w:r w:rsidR="00EF3656">
        <w:rPr>
          <w:rFonts w:ascii="Arial" w:hAnsi="Arial" w:cs="Arial"/>
          <w:snapToGrid w:val="0"/>
          <w:lang w:val="en-AU"/>
        </w:rPr>
        <w:t xml:space="preserve"> potential</w:t>
      </w:r>
      <w:r w:rsidRPr="005001F0">
        <w:rPr>
          <w:rFonts w:ascii="Arial" w:hAnsi="Arial" w:cs="Arial"/>
          <w:snapToGrid w:val="0"/>
          <w:lang w:val="en-AU"/>
        </w:rPr>
        <w:t xml:space="preserve"> </w:t>
      </w:r>
      <w:r w:rsidR="005001F0">
        <w:rPr>
          <w:rFonts w:ascii="Arial" w:hAnsi="Arial" w:cs="Arial"/>
          <w:snapToGrid w:val="0"/>
          <w:lang w:val="en-AU"/>
        </w:rPr>
        <w:t>costs and benefits</w:t>
      </w:r>
      <w:r w:rsidR="008955BB">
        <w:rPr>
          <w:rFonts w:ascii="Arial" w:hAnsi="Arial" w:cs="Arial"/>
          <w:snapToGrid w:val="0"/>
          <w:lang w:val="en-AU"/>
        </w:rPr>
        <w:t xml:space="preserve"> for </w:t>
      </w:r>
      <w:r w:rsidR="002C0C31">
        <w:rPr>
          <w:rFonts w:ascii="Arial" w:hAnsi="Arial" w:cs="Arial"/>
          <w:snapToGrid w:val="0"/>
          <w:lang w:val="en-AU"/>
        </w:rPr>
        <w:t>o</w:t>
      </w:r>
      <w:r w:rsidR="008955BB">
        <w:rPr>
          <w:rFonts w:ascii="Arial" w:hAnsi="Arial" w:cs="Arial"/>
          <w:snapToGrid w:val="0"/>
          <w:lang w:val="en-AU"/>
        </w:rPr>
        <w:t>ption 2</w:t>
      </w:r>
      <w:r w:rsidR="005001F0">
        <w:rPr>
          <w:rFonts w:ascii="Arial" w:hAnsi="Arial" w:cs="Arial"/>
          <w:snapToGrid w:val="0"/>
          <w:lang w:val="en-AU"/>
        </w:rPr>
        <w:t xml:space="preserve"> </w:t>
      </w:r>
      <w:r w:rsidR="00802110">
        <w:rPr>
          <w:rFonts w:ascii="Arial" w:hAnsi="Arial" w:cs="Arial"/>
          <w:snapToGrid w:val="0"/>
          <w:lang w:val="en-AU"/>
        </w:rPr>
        <w:t>for each broad</w:t>
      </w:r>
      <w:r w:rsidRPr="005001F0">
        <w:rPr>
          <w:rFonts w:ascii="Arial" w:hAnsi="Arial" w:cs="Arial"/>
          <w:snapToGrid w:val="0"/>
          <w:lang w:val="en-AU"/>
        </w:rPr>
        <w:t xml:space="preserve"> </w:t>
      </w:r>
      <w:r w:rsidR="005001F0" w:rsidRPr="005001F0">
        <w:rPr>
          <w:rFonts w:ascii="Arial" w:hAnsi="Arial" w:cs="Arial"/>
          <w:snapToGrid w:val="0"/>
          <w:lang w:val="en-AU"/>
        </w:rPr>
        <w:t xml:space="preserve">stakeholder </w:t>
      </w:r>
      <w:r w:rsidRPr="005001F0">
        <w:rPr>
          <w:rFonts w:ascii="Arial" w:hAnsi="Arial" w:cs="Arial"/>
          <w:snapToGrid w:val="0"/>
          <w:lang w:val="en-AU"/>
        </w:rPr>
        <w:t>group</w:t>
      </w:r>
      <w:r w:rsidR="006A30E2">
        <w:rPr>
          <w:rFonts w:ascii="Arial" w:hAnsi="Arial" w:cs="Arial"/>
          <w:snapToGrid w:val="0"/>
          <w:lang w:val="en-AU"/>
        </w:rPr>
        <w:t xml:space="preserve"> compared to the</w:t>
      </w:r>
      <w:r w:rsidR="005D6553">
        <w:rPr>
          <w:rFonts w:ascii="Arial" w:hAnsi="Arial" w:cs="Arial"/>
          <w:snapToGrid w:val="0"/>
          <w:lang w:val="en-AU"/>
        </w:rPr>
        <w:t xml:space="preserve"> </w:t>
      </w:r>
      <w:r w:rsidR="00B802CA">
        <w:rPr>
          <w:rFonts w:ascii="Arial" w:hAnsi="Arial" w:cs="Arial"/>
          <w:snapToGrid w:val="0"/>
          <w:lang w:val="en-AU"/>
        </w:rPr>
        <w:t>s</w:t>
      </w:r>
      <w:r w:rsidR="005D6553">
        <w:rPr>
          <w:rFonts w:ascii="Arial" w:hAnsi="Arial" w:cs="Arial"/>
          <w:snapToGrid w:val="0"/>
          <w:lang w:val="en-AU"/>
        </w:rPr>
        <w:t>tatus quo</w:t>
      </w:r>
      <w:r w:rsidR="0093693D">
        <w:rPr>
          <w:rFonts w:ascii="Arial" w:hAnsi="Arial" w:cs="Arial"/>
          <w:snapToGrid w:val="0"/>
          <w:lang w:val="en-AU"/>
        </w:rPr>
        <w:t>.</w:t>
      </w:r>
      <w:bookmarkStart w:id="26" w:name="_Toc131082158"/>
      <w:bookmarkStart w:id="27" w:name="_Ref152315373"/>
      <w:bookmarkStart w:id="28" w:name="_Toc158893172"/>
    </w:p>
    <w:p w14:paraId="25A6FACF" w14:textId="25E14310" w:rsidR="004445B9" w:rsidRPr="004445B9" w:rsidRDefault="004445B9" w:rsidP="004445B9">
      <w:pPr>
        <w:rPr>
          <w:rFonts w:ascii="Arial" w:hAnsi="Arial" w:cs="Arial"/>
          <w:iCs/>
          <w:snapToGrid w:val="0"/>
          <w:lang w:val="en-AU"/>
        </w:rPr>
      </w:pPr>
      <w:r w:rsidRPr="004445B9">
        <w:rPr>
          <w:rFonts w:ascii="Arial" w:hAnsi="Arial" w:cs="Arial"/>
          <w:b/>
          <w:iCs/>
          <w:snapToGrid w:val="0"/>
          <w:lang w:val="en-GB"/>
        </w:rPr>
        <w:t xml:space="preserve">Table </w:t>
      </w:r>
      <w:r w:rsidRPr="00BD15AB">
        <w:rPr>
          <w:rFonts w:ascii="Arial" w:hAnsi="Arial" w:cs="Arial"/>
          <w:b/>
          <w:iCs/>
          <w:snapToGrid w:val="0"/>
          <w:lang w:val="en-GB"/>
        </w:rPr>
        <w:t>5</w:t>
      </w:r>
      <w:r w:rsidR="00BD15AB" w:rsidRPr="00BD15AB">
        <w:rPr>
          <w:rFonts w:ascii="Arial" w:hAnsi="Arial" w:cs="Arial"/>
          <w:b/>
          <w:iCs/>
          <w:snapToGrid w:val="0"/>
          <w:lang w:val="en-GB"/>
        </w:rPr>
        <w:t>-</w:t>
      </w:r>
      <w:r w:rsidRPr="004445B9">
        <w:rPr>
          <w:rFonts w:ascii="Arial" w:hAnsi="Arial" w:cs="Arial"/>
          <w:b/>
          <w:iCs/>
          <w:snapToGrid w:val="0"/>
          <w:lang w:val="en-GB"/>
        </w:rPr>
        <w:t xml:space="preserve">2 </w:t>
      </w:r>
      <w:r w:rsidRPr="004445B9">
        <w:rPr>
          <w:rFonts w:ascii="Arial" w:hAnsi="Arial" w:cs="Arial"/>
          <w:b/>
          <w:iCs/>
          <w:snapToGrid w:val="0"/>
          <w:lang w:val="en-AU"/>
        </w:rPr>
        <w:t>Costs and benefits of option 2 by stakeholder group</w:t>
      </w:r>
    </w:p>
    <w:tbl>
      <w:tblPr>
        <w:tblStyle w:val="TableGrid"/>
        <w:tblW w:w="0" w:type="auto"/>
        <w:tblLook w:val="04A0" w:firstRow="1" w:lastRow="0" w:firstColumn="1" w:lastColumn="0" w:noHBand="0" w:noVBand="1"/>
      </w:tblPr>
      <w:tblGrid>
        <w:gridCol w:w="2263"/>
        <w:gridCol w:w="1418"/>
        <w:gridCol w:w="5379"/>
      </w:tblGrid>
      <w:tr w:rsidR="004445B9" w:rsidRPr="004445B9" w14:paraId="17EAE996" w14:textId="77777777" w:rsidTr="0087791B">
        <w:tc>
          <w:tcPr>
            <w:tcW w:w="2263" w:type="dxa"/>
            <w:vAlign w:val="center"/>
          </w:tcPr>
          <w:p w14:paraId="11F0A80D" w14:textId="77777777" w:rsidR="004445B9" w:rsidRPr="004445B9" w:rsidRDefault="004445B9" w:rsidP="0087791B">
            <w:pPr>
              <w:spacing w:after="160" w:line="259" w:lineRule="auto"/>
              <w:jc w:val="center"/>
              <w:rPr>
                <w:b/>
                <w:snapToGrid w:val="0"/>
              </w:rPr>
            </w:pPr>
            <w:r w:rsidRPr="004445B9">
              <w:rPr>
                <w:b/>
                <w:snapToGrid w:val="0"/>
              </w:rPr>
              <w:t>Stakeholder group</w:t>
            </w:r>
          </w:p>
        </w:tc>
        <w:tc>
          <w:tcPr>
            <w:tcW w:w="1418" w:type="dxa"/>
            <w:vAlign w:val="center"/>
          </w:tcPr>
          <w:p w14:paraId="35F84CD9" w14:textId="4E70B1D9" w:rsidR="004445B9" w:rsidRPr="004445B9" w:rsidRDefault="004445B9" w:rsidP="0087791B">
            <w:pPr>
              <w:spacing w:after="160" w:line="259" w:lineRule="auto"/>
              <w:jc w:val="center"/>
              <w:rPr>
                <w:b/>
                <w:snapToGrid w:val="0"/>
              </w:rPr>
            </w:pPr>
            <w:r w:rsidRPr="004445B9">
              <w:rPr>
                <w:b/>
                <w:snapToGrid w:val="0"/>
              </w:rPr>
              <w:t>Cost</w:t>
            </w:r>
            <w:r w:rsidR="0087791B">
              <w:rPr>
                <w:b/>
                <w:snapToGrid w:val="0"/>
              </w:rPr>
              <w:t xml:space="preserve">              </w:t>
            </w:r>
            <w:r w:rsidRPr="0087791B">
              <w:rPr>
                <w:b/>
                <w:snapToGrid w:val="0"/>
              </w:rPr>
              <w:t xml:space="preserve"> </w:t>
            </w:r>
            <w:r w:rsidRPr="004445B9">
              <w:rPr>
                <w:b/>
                <w:snapToGrid w:val="0"/>
              </w:rPr>
              <w:t>or benefit</w:t>
            </w:r>
          </w:p>
        </w:tc>
        <w:tc>
          <w:tcPr>
            <w:tcW w:w="5379" w:type="dxa"/>
            <w:vAlign w:val="center"/>
          </w:tcPr>
          <w:p w14:paraId="11A8E877" w14:textId="77777777" w:rsidR="004445B9" w:rsidRPr="004445B9" w:rsidRDefault="004445B9" w:rsidP="0087791B">
            <w:pPr>
              <w:spacing w:after="160" w:line="259" w:lineRule="auto"/>
              <w:jc w:val="center"/>
              <w:rPr>
                <w:b/>
                <w:snapToGrid w:val="0"/>
              </w:rPr>
            </w:pPr>
            <w:r w:rsidRPr="004445B9">
              <w:rPr>
                <w:b/>
                <w:snapToGrid w:val="0"/>
              </w:rPr>
              <w:t>Impact and description</w:t>
            </w:r>
          </w:p>
        </w:tc>
      </w:tr>
      <w:tr w:rsidR="004445B9" w:rsidRPr="004445B9" w14:paraId="22B8D3FA" w14:textId="77777777" w:rsidTr="0087791B">
        <w:tc>
          <w:tcPr>
            <w:tcW w:w="2263" w:type="dxa"/>
            <w:vMerge w:val="restart"/>
          </w:tcPr>
          <w:p w14:paraId="2A0FD67E" w14:textId="77777777" w:rsidR="004445B9" w:rsidRPr="004445B9" w:rsidRDefault="004445B9" w:rsidP="004445B9">
            <w:pPr>
              <w:spacing w:after="160" w:line="259" w:lineRule="auto"/>
              <w:rPr>
                <w:snapToGrid w:val="0"/>
              </w:rPr>
            </w:pPr>
            <w:r w:rsidRPr="004445B9">
              <w:rPr>
                <w:snapToGrid w:val="0"/>
              </w:rPr>
              <w:t>Consumers</w:t>
            </w:r>
          </w:p>
        </w:tc>
        <w:tc>
          <w:tcPr>
            <w:tcW w:w="1418" w:type="dxa"/>
            <w:vAlign w:val="center"/>
          </w:tcPr>
          <w:p w14:paraId="3CA45FB0" w14:textId="77777777" w:rsidR="004445B9" w:rsidRPr="004445B9" w:rsidRDefault="004445B9" w:rsidP="004445B9">
            <w:pPr>
              <w:spacing w:after="160" w:line="259" w:lineRule="auto"/>
              <w:rPr>
                <w:snapToGrid w:val="0"/>
              </w:rPr>
            </w:pPr>
            <w:r w:rsidRPr="004445B9">
              <w:rPr>
                <w:snapToGrid w:val="0"/>
              </w:rPr>
              <w:t>Benefit</w:t>
            </w:r>
          </w:p>
        </w:tc>
        <w:tc>
          <w:tcPr>
            <w:tcW w:w="5379" w:type="dxa"/>
            <w:vAlign w:val="center"/>
          </w:tcPr>
          <w:p w14:paraId="08F7BA75" w14:textId="77777777" w:rsidR="004445B9" w:rsidRPr="004445B9" w:rsidRDefault="004445B9" w:rsidP="004445B9">
            <w:pPr>
              <w:spacing w:after="160" w:line="259" w:lineRule="auto"/>
              <w:rPr>
                <w:snapToGrid w:val="0"/>
                <w:lang w:val="en-US"/>
              </w:rPr>
            </w:pPr>
            <w:r w:rsidRPr="004445B9">
              <w:rPr>
                <w:snapToGrid w:val="0"/>
                <w:lang w:val="en-US"/>
              </w:rPr>
              <w:t>Readily accessible energy content information on the label of all in-scope alcoholic beverages to enable consumers to make informed purchasing and consumption decisions in support of dietary guidelines. Many consumers would value this information.</w:t>
            </w:r>
          </w:p>
        </w:tc>
      </w:tr>
      <w:tr w:rsidR="004445B9" w:rsidRPr="004445B9" w14:paraId="2B37C323" w14:textId="77777777" w:rsidTr="0087791B">
        <w:tc>
          <w:tcPr>
            <w:tcW w:w="2263" w:type="dxa"/>
            <w:vMerge/>
          </w:tcPr>
          <w:p w14:paraId="27A8DD83" w14:textId="77777777" w:rsidR="004445B9" w:rsidRPr="004445B9" w:rsidRDefault="004445B9" w:rsidP="004445B9">
            <w:pPr>
              <w:spacing w:after="160" w:line="259" w:lineRule="auto"/>
              <w:rPr>
                <w:snapToGrid w:val="0"/>
              </w:rPr>
            </w:pPr>
          </w:p>
        </w:tc>
        <w:tc>
          <w:tcPr>
            <w:tcW w:w="1418" w:type="dxa"/>
            <w:vAlign w:val="center"/>
          </w:tcPr>
          <w:p w14:paraId="1446AD34" w14:textId="77777777" w:rsidR="004445B9" w:rsidRPr="004445B9" w:rsidRDefault="004445B9" w:rsidP="004445B9">
            <w:pPr>
              <w:spacing w:after="160" w:line="259" w:lineRule="auto"/>
              <w:rPr>
                <w:snapToGrid w:val="0"/>
              </w:rPr>
            </w:pPr>
            <w:r w:rsidRPr="004445B9">
              <w:rPr>
                <w:snapToGrid w:val="0"/>
              </w:rPr>
              <w:t>Benefit</w:t>
            </w:r>
          </w:p>
        </w:tc>
        <w:tc>
          <w:tcPr>
            <w:tcW w:w="5379" w:type="dxa"/>
            <w:vAlign w:val="center"/>
          </w:tcPr>
          <w:p w14:paraId="766F69B9" w14:textId="42488905" w:rsidR="004445B9" w:rsidRPr="004445B9" w:rsidRDefault="004445B9" w:rsidP="004445B9">
            <w:pPr>
              <w:spacing w:after="160" w:line="259" w:lineRule="auto"/>
              <w:rPr>
                <w:snapToGrid w:val="0"/>
              </w:rPr>
            </w:pPr>
            <w:r w:rsidRPr="004445B9">
              <w:rPr>
                <w:snapToGrid w:val="0"/>
                <w:lang w:val="en-GB"/>
              </w:rPr>
              <w:t xml:space="preserve">Potential improvements to overall health and quality of life from reduced overweight and obesity. Consumer testing found that consumers are able to accurately rank alcoholic beverages by the energy </w:t>
            </w:r>
            <w:r w:rsidRPr="004445B9">
              <w:rPr>
                <w:snapToGrid w:val="0"/>
                <w:lang w:val="en-GB"/>
              </w:rPr>
              <w:lastRenderedPageBreak/>
              <w:t>contained in a typical drink using the approved energy statement. This easily accessible energy content information at point-of-purchase is foundational for enabling informed choice about the contribution alcoholic beverages make to total dietary energy consumption.</w:t>
            </w:r>
          </w:p>
        </w:tc>
      </w:tr>
      <w:tr w:rsidR="004445B9" w:rsidRPr="004445B9" w14:paraId="53A7374F" w14:textId="77777777" w:rsidTr="0087791B">
        <w:tc>
          <w:tcPr>
            <w:tcW w:w="2263" w:type="dxa"/>
            <w:vMerge/>
          </w:tcPr>
          <w:p w14:paraId="1545E2F8" w14:textId="77777777" w:rsidR="004445B9" w:rsidRPr="004445B9" w:rsidRDefault="004445B9" w:rsidP="004445B9">
            <w:pPr>
              <w:spacing w:after="160" w:line="259" w:lineRule="auto"/>
              <w:rPr>
                <w:snapToGrid w:val="0"/>
              </w:rPr>
            </w:pPr>
          </w:p>
        </w:tc>
        <w:tc>
          <w:tcPr>
            <w:tcW w:w="1418" w:type="dxa"/>
            <w:vAlign w:val="center"/>
          </w:tcPr>
          <w:p w14:paraId="352101FC" w14:textId="77777777" w:rsidR="004445B9" w:rsidRPr="004445B9" w:rsidRDefault="004445B9" w:rsidP="004445B9">
            <w:pPr>
              <w:spacing w:after="160" w:line="259" w:lineRule="auto"/>
              <w:rPr>
                <w:snapToGrid w:val="0"/>
              </w:rPr>
            </w:pPr>
            <w:r w:rsidRPr="004445B9">
              <w:rPr>
                <w:snapToGrid w:val="0"/>
                <w:lang w:val="en-GB"/>
              </w:rPr>
              <w:t>Benefit</w:t>
            </w:r>
          </w:p>
        </w:tc>
        <w:tc>
          <w:tcPr>
            <w:tcW w:w="5379" w:type="dxa"/>
            <w:vAlign w:val="center"/>
          </w:tcPr>
          <w:p w14:paraId="4E55FBBC" w14:textId="77777777" w:rsidR="004445B9" w:rsidRPr="004445B9" w:rsidRDefault="004445B9" w:rsidP="004445B9">
            <w:pPr>
              <w:spacing w:after="160" w:line="259" w:lineRule="auto"/>
              <w:rPr>
                <w:snapToGrid w:val="0"/>
                <w:lang w:bidi="en-US"/>
              </w:rPr>
            </w:pPr>
            <w:r w:rsidRPr="004445B9">
              <w:rPr>
                <w:snapToGrid w:val="0"/>
                <w:lang w:val="en-NZ"/>
              </w:rPr>
              <w:t xml:space="preserve">Potential welfare gains for consumers who use the information to better manage or adjust their energy intake to meet personal goals. </w:t>
            </w:r>
          </w:p>
        </w:tc>
      </w:tr>
      <w:tr w:rsidR="004445B9" w:rsidRPr="004445B9" w14:paraId="70502AF8" w14:textId="77777777" w:rsidTr="0087791B">
        <w:tc>
          <w:tcPr>
            <w:tcW w:w="2263" w:type="dxa"/>
            <w:vMerge w:val="restart"/>
          </w:tcPr>
          <w:p w14:paraId="5101ADA3" w14:textId="77777777" w:rsidR="004445B9" w:rsidRPr="004445B9" w:rsidRDefault="004445B9" w:rsidP="004445B9">
            <w:pPr>
              <w:spacing w:after="160" w:line="259" w:lineRule="auto"/>
              <w:rPr>
                <w:snapToGrid w:val="0"/>
              </w:rPr>
            </w:pPr>
            <w:r w:rsidRPr="004445B9">
              <w:rPr>
                <w:snapToGrid w:val="0"/>
              </w:rPr>
              <w:t>Industry</w:t>
            </w:r>
          </w:p>
        </w:tc>
        <w:tc>
          <w:tcPr>
            <w:tcW w:w="1418" w:type="dxa"/>
            <w:vAlign w:val="center"/>
          </w:tcPr>
          <w:p w14:paraId="486F1B2F" w14:textId="77777777" w:rsidR="004445B9" w:rsidRPr="004445B9" w:rsidRDefault="004445B9" w:rsidP="004445B9">
            <w:pPr>
              <w:spacing w:after="160" w:line="259" w:lineRule="auto"/>
              <w:rPr>
                <w:snapToGrid w:val="0"/>
              </w:rPr>
            </w:pPr>
            <w:r w:rsidRPr="004445B9">
              <w:rPr>
                <w:snapToGrid w:val="0"/>
              </w:rPr>
              <w:t>Cost</w:t>
            </w:r>
          </w:p>
        </w:tc>
        <w:tc>
          <w:tcPr>
            <w:tcW w:w="5379" w:type="dxa"/>
            <w:vAlign w:val="center"/>
          </w:tcPr>
          <w:p w14:paraId="6972B329" w14:textId="77777777" w:rsidR="004445B9" w:rsidRPr="004445B9" w:rsidRDefault="004445B9" w:rsidP="004445B9">
            <w:pPr>
              <w:spacing w:after="160" w:line="259" w:lineRule="auto"/>
              <w:rPr>
                <w:snapToGrid w:val="0"/>
              </w:rPr>
            </w:pPr>
            <w:r w:rsidRPr="004445B9">
              <w:rPr>
                <w:snapToGrid w:val="0"/>
                <w:lang w:val="en-GB"/>
              </w:rPr>
              <w:t>Calculating energy content for each SKU. This would not require any equipment or other purchase costs or fees. FSANZ is developing an online tool to assist the alcohol beverage industry to calculate the energy content of their products. Most other food manufacturers and some alcoholic beverage producers already calculate energy content as an insignificant time cost of normal business.</w:t>
            </w:r>
          </w:p>
        </w:tc>
      </w:tr>
      <w:tr w:rsidR="004445B9" w:rsidRPr="004445B9" w14:paraId="06002978" w14:textId="77777777" w:rsidTr="0087791B">
        <w:tc>
          <w:tcPr>
            <w:tcW w:w="2263" w:type="dxa"/>
            <w:vMerge/>
          </w:tcPr>
          <w:p w14:paraId="4E8D6EB1" w14:textId="77777777" w:rsidR="004445B9" w:rsidRPr="004445B9" w:rsidRDefault="004445B9" w:rsidP="004445B9">
            <w:pPr>
              <w:spacing w:after="160" w:line="259" w:lineRule="auto"/>
              <w:rPr>
                <w:snapToGrid w:val="0"/>
              </w:rPr>
            </w:pPr>
          </w:p>
        </w:tc>
        <w:tc>
          <w:tcPr>
            <w:tcW w:w="1418" w:type="dxa"/>
            <w:vAlign w:val="center"/>
          </w:tcPr>
          <w:p w14:paraId="22DC6D38" w14:textId="77777777" w:rsidR="004445B9" w:rsidRPr="004445B9" w:rsidRDefault="004445B9" w:rsidP="004445B9">
            <w:pPr>
              <w:spacing w:after="160" w:line="259" w:lineRule="auto"/>
              <w:rPr>
                <w:snapToGrid w:val="0"/>
              </w:rPr>
            </w:pPr>
            <w:r w:rsidRPr="004445B9">
              <w:rPr>
                <w:snapToGrid w:val="0"/>
              </w:rPr>
              <w:t>Cost</w:t>
            </w:r>
          </w:p>
        </w:tc>
        <w:tc>
          <w:tcPr>
            <w:tcW w:w="5379" w:type="dxa"/>
            <w:vAlign w:val="center"/>
          </w:tcPr>
          <w:p w14:paraId="7D56CCEA" w14:textId="77777777" w:rsidR="004445B9" w:rsidRPr="004445B9" w:rsidRDefault="004445B9" w:rsidP="004445B9">
            <w:pPr>
              <w:spacing w:after="160" w:line="259" w:lineRule="auto"/>
              <w:rPr>
                <w:snapToGrid w:val="0"/>
                <w:lang w:val="en-GB"/>
              </w:rPr>
            </w:pPr>
            <w:r w:rsidRPr="004445B9">
              <w:rPr>
                <w:snapToGrid w:val="0"/>
              </w:rPr>
              <w:t>Label change costs.</w:t>
            </w:r>
          </w:p>
        </w:tc>
      </w:tr>
      <w:tr w:rsidR="004445B9" w:rsidRPr="004445B9" w14:paraId="224C319D" w14:textId="77777777" w:rsidTr="0087791B">
        <w:tc>
          <w:tcPr>
            <w:tcW w:w="2263" w:type="dxa"/>
            <w:vMerge/>
          </w:tcPr>
          <w:p w14:paraId="4F4388D4" w14:textId="77777777" w:rsidR="004445B9" w:rsidRPr="004445B9" w:rsidRDefault="004445B9" w:rsidP="004445B9">
            <w:pPr>
              <w:spacing w:after="160" w:line="259" w:lineRule="auto"/>
              <w:rPr>
                <w:snapToGrid w:val="0"/>
              </w:rPr>
            </w:pPr>
          </w:p>
        </w:tc>
        <w:tc>
          <w:tcPr>
            <w:tcW w:w="1418" w:type="dxa"/>
            <w:vAlign w:val="center"/>
          </w:tcPr>
          <w:p w14:paraId="6CE51B9B" w14:textId="77777777" w:rsidR="004445B9" w:rsidRPr="004445B9" w:rsidRDefault="004445B9" w:rsidP="004445B9">
            <w:pPr>
              <w:spacing w:after="160" w:line="259" w:lineRule="auto"/>
              <w:rPr>
                <w:snapToGrid w:val="0"/>
              </w:rPr>
            </w:pPr>
            <w:r w:rsidRPr="004445B9">
              <w:rPr>
                <w:snapToGrid w:val="0"/>
              </w:rPr>
              <w:t xml:space="preserve">Cost </w:t>
            </w:r>
          </w:p>
        </w:tc>
        <w:tc>
          <w:tcPr>
            <w:tcW w:w="5379" w:type="dxa"/>
            <w:vAlign w:val="center"/>
          </w:tcPr>
          <w:p w14:paraId="2C610D69" w14:textId="77777777" w:rsidR="004445B9" w:rsidRPr="004445B9" w:rsidRDefault="004445B9" w:rsidP="004445B9">
            <w:pPr>
              <w:spacing w:after="160" w:line="259" w:lineRule="auto"/>
              <w:rPr>
                <w:snapToGrid w:val="0"/>
              </w:rPr>
            </w:pPr>
            <w:r w:rsidRPr="004445B9">
              <w:rPr>
                <w:snapToGrid w:val="0"/>
                <w:lang w:val="en-GB"/>
              </w:rPr>
              <w:t>Possible loss of some SKUs. Impacts on overall industry structure, supply and variety of alcoholic beverages, and total industry revenues and profits expected to be minor. Costs may, however, as always, be proportionately higher compared to revenue turnover and/or profits for certain individual businesses and lower for others.</w:t>
            </w:r>
          </w:p>
        </w:tc>
      </w:tr>
      <w:tr w:rsidR="004445B9" w:rsidRPr="004445B9" w14:paraId="76B3B10C" w14:textId="77777777" w:rsidTr="0087791B">
        <w:trPr>
          <w:trHeight w:val="824"/>
        </w:trPr>
        <w:tc>
          <w:tcPr>
            <w:tcW w:w="2263" w:type="dxa"/>
            <w:vMerge/>
          </w:tcPr>
          <w:p w14:paraId="60181DEA" w14:textId="77777777" w:rsidR="004445B9" w:rsidRPr="004445B9" w:rsidRDefault="004445B9" w:rsidP="004445B9">
            <w:pPr>
              <w:spacing w:after="160" w:line="259" w:lineRule="auto"/>
              <w:rPr>
                <w:snapToGrid w:val="0"/>
              </w:rPr>
            </w:pPr>
          </w:p>
        </w:tc>
        <w:tc>
          <w:tcPr>
            <w:tcW w:w="1418" w:type="dxa"/>
            <w:vAlign w:val="center"/>
          </w:tcPr>
          <w:p w14:paraId="18407799" w14:textId="0A14D450" w:rsidR="004445B9" w:rsidRPr="004445B9" w:rsidRDefault="00840129" w:rsidP="004445B9">
            <w:pPr>
              <w:spacing w:after="160" w:line="259" w:lineRule="auto"/>
              <w:rPr>
                <w:snapToGrid w:val="0"/>
              </w:rPr>
            </w:pPr>
            <w:r>
              <w:rPr>
                <w:snapToGrid w:val="0"/>
              </w:rPr>
              <w:t>C</w:t>
            </w:r>
            <w:r w:rsidR="004445B9" w:rsidRPr="004445B9">
              <w:rPr>
                <w:snapToGrid w:val="0"/>
              </w:rPr>
              <w:t>ost</w:t>
            </w:r>
            <w:r>
              <w:rPr>
                <w:snapToGrid w:val="0"/>
              </w:rPr>
              <w:t>/</w:t>
            </w:r>
            <w:r w:rsidR="004445B9" w:rsidRPr="004445B9">
              <w:rPr>
                <w:snapToGrid w:val="0"/>
              </w:rPr>
              <w:t xml:space="preserve"> benefit</w:t>
            </w:r>
          </w:p>
          <w:p w14:paraId="7C38D709" w14:textId="77777777" w:rsidR="004445B9" w:rsidRPr="004445B9" w:rsidRDefault="004445B9" w:rsidP="004445B9">
            <w:pPr>
              <w:spacing w:after="160" w:line="259" w:lineRule="auto"/>
              <w:rPr>
                <w:snapToGrid w:val="0"/>
              </w:rPr>
            </w:pPr>
          </w:p>
        </w:tc>
        <w:tc>
          <w:tcPr>
            <w:tcW w:w="5379" w:type="dxa"/>
            <w:vAlign w:val="center"/>
          </w:tcPr>
          <w:p w14:paraId="2B9E65CA" w14:textId="76AFACAC" w:rsidR="004445B9" w:rsidRPr="004445B9" w:rsidRDefault="004445B9" w:rsidP="004445B9">
            <w:pPr>
              <w:spacing w:after="160" w:line="259" w:lineRule="auto"/>
              <w:rPr>
                <w:snapToGrid w:val="0"/>
              </w:rPr>
            </w:pPr>
            <w:r w:rsidRPr="004445B9">
              <w:rPr>
                <w:snapToGrid w:val="0"/>
                <w:lang w:val="en-GB"/>
              </w:rPr>
              <w:t>Availability of energy content information on all beverages may lead to some substitution between different alcoholic beverage products and perhaps to non-alcoholic products for consumers that use energy content as a criterion to choose between products.</w:t>
            </w:r>
            <w:r w:rsidR="00840129">
              <w:rPr>
                <w:snapToGrid w:val="0"/>
                <w:lang w:val="en-GB"/>
              </w:rPr>
              <w:t xml:space="preserve"> </w:t>
            </w:r>
            <w:r w:rsidR="00840129" w:rsidRPr="00840129">
              <w:rPr>
                <w:snapToGrid w:val="0"/>
                <w:lang w:val="en-GB"/>
              </w:rPr>
              <w:t>This may be a cost to some producers, and a benefit to others.</w:t>
            </w:r>
          </w:p>
        </w:tc>
      </w:tr>
      <w:tr w:rsidR="004445B9" w:rsidRPr="004445B9" w14:paraId="74B71682" w14:textId="77777777" w:rsidTr="0087791B">
        <w:tc>
          <w:tcPr>
            <w:tcW w:w="2263" w:type="dxa"/>
            <w:vMerge w:val="restart"/>
          </w:tcPr>
          <w:p w14:paraId="669C222D" w14:textId="77777777" w:rsidR="004445B9" w:rsidRPr="004445B9" w:rsidRDefault="004445B9" w:rsidP="004445B9">
            <w:pPr>
              <w:spacing w:after="160" w:line="259" w:lineRule="auto"/>
              <w:rPr>
                <w:snapToGrid w:val="0"/>
              </w:rPr>
            </w:pPr>
            <w:r w:rsidRPr="004445B9">
              <w:rPr>
                <w:snapToGrid w:val="0"/>
              </w:rPr>
              <w:t>Governments</w:t>
            </w:r>
          </w:p>
        </w:tc>
        <w:tc>
          <w:tcPr>
            <w:tcW w:w="1418" w:type="dxa"/>
            <w:vAlign w:val="center"/>
          </w:tcPr>
          <w:p w14:paraId="0ED80C44" w14:textId="77777777" w:rsidR="004445B9" w:rsidRPr="004445B9" w:rsidRDefault="004445B9" w:rsidP="004445B9">
            <w:pPr>
              <w:spacing w:after="160" w:line="259" w:lineRule="auto"/>
              <w:rPr>
                <w:snapToGrid w:val="0"/>
              </w:rPr>
            </w:pPr>
            <w:r w:rsidRPr="004445B9">
              <w:rPr>
                <w:snapToGrid w:val="0"/>
              </w:rPr>
              <w:t>Benefit</w:t>
            </w:r>
          </w:p>
        </w:tc>
        <w:tc>
          <w:tcPr>
            <w:tcW w:w="5379" w:type="dxa"/>
            <w:vAlign w:val="center"/>
          </w:tcPr>
          <w:p w14:paraId="115B401B" w14:textId="77777777" w:rsidR="004445B9" w:rsidRPr="004445B9" w:rsidRDefault="004445B9" w:rsidP="004445B9">
            <w:pPr>
              <w:spacing w:after="160" w:line="259" w:lineRule="auto"/>
              <w:rPr>
                <w:snapToGrid w:val="0"/>
              </w:rPr>
            </w:pPr>
            <w:r w:rsidRPr="004445B9">
              <w:rPr>
                <w:snapToGrid w:val="0"/>
                <w:lang w:val="en-GB"/>
              </w:rPr>
              <w:t>Foundation for wider public health and education initiatives.</w:t>
            </w:r>
          </w:p>
        </w:tc>
      </w:tr>
      <w:tr w:rsidR="004445B9" w:rsidRPr="004445B9" w14:paraId="76D5E4AF" w14:textId="77777777" w:rsidTr="0087791B">
        <w:tc>
          <w:tcPr>
            <w:tcW w:w="2263" w:type="dxa"/>
            <w:vMerge/>
          </w:tcPr>
          <w:p w14:paraId="2EE77D1A" w14:textId="77777777" w:rsidR="004445B9" w:rsidRPr="004445B9" w:rsidRDefault="004445B9" w:rsidP="004445B9">
            <w:pPr>
              <w:spacing w:after="160" w:line="259" w:lineRule="auto"/>
              <w:rPr>
                <w:snapToGrid w:val="0"/>
              </w:rPr>
            </w:pPr>
          </w:p>
        </w:tc>
        <w:tc>
          <w:tcPr>
            <w:tcW w:w="1418" w:type="dxa"/>
            <w:vAlign w:val="center"/>
          </w:tcPr>
          <w:p w14:paraId="01B71C4D" w14:textId="77777777" w:rsidR="004445B9" w:rsidRPr="004445B9" w:rsidRDefault="004445B9" w:rsidP="004445B9">
            <w:pPr>
              <w:spacing w:after="160" w:line="259" w:lineRule="auto"/>
              <w:rPr>
                <w:snapToGrid w:val="0"/>
              </w:rPr>
            </w:pPr>
            <w:r w:rsidRPr="004445B9">
              <w:rPr>
                <w:snapToGrid w:val="0"/>
              </w:rPr>
              <w:t>Benefit</w:t>
            </w:r>
          </w:p>
        </w:tc>
        <w:tc>
          <w:tcPr>
            <w:tcW w:w="5379" w:type="dxa"/>
            <w:vAlign w:val="center"/>
          </w:tcPr>
          <w:p w14:paraId="68C55EE2" w14:textId="77777777" w:rsidR="004445B9" w:rsidRPr="004445B9" w:rsidRDefault="004445B9" w:rsidP="004445B9">
            <w:pPr>
              <w:spacing w:after="160" w:line="259" w:lineRule="auto"/>
              <w:rPr>
                <w:snapToGrid w:val="0"/>
              </w:rPr>
            </w:pPr>
            <w:r w:rsidRPr="004445B9">
              <w:rPr>
                <w:snapToGrid w:val="0"/>
                <w:lang w:val="en-NZ"/>
              </w:rPr>
              <w:t>Potential savings in health care expenditure if overall energy consumption reduces, and that leads to a lower extent and severity of overweight / obesity in population.</w:t>
            </w:r>
          </w:p>
        </w:tc>
      </w:tr>
      <w:tr w:rsidR="004445B9" w:rsidRPr="004445B9" w14:paraId="3730C6CD" w14:textId="77777777" w:rsidTr="0087791B">
        <w:trPr>
          <w:trHeight w:val="810"/>
        </w:trPr>
        <w:tc>
          <w:tcPr>
            <w:tcW w:w="2263" w:type="dxa"/>
            <w:vMerge/>
          </w:tcPr>
          <w:p w14:paraId="06B30397" w14:textId="77777777" w:rsidR="004445B9" w:rsidRPr="004445B9" w:rsidRDefault="004445B9" w:rsidP="004445B9">
            <w:pPr>
              <w:spacing w:after="160" w:line="259" w:lineRule="auto"/>
              <w:rPr>
                <w:snapToGrid w:val="0"/>
              </w:rPr>
            </w:pPr>
          </w:p>
        </w:tc>
        <w:tc>
          <w:tcPr>
            <w:tcW w:w="1418" w:type="dxa"/>
            <w:vAlign w:val="center"/>
          </w:tcPr>
          <w:p w14:paraId="1C9D6EA1" w14:textId="77777777" w:rsidR="004445B9" w:rsidRPr="004445B9" w:rsidRDefault="004445B9" w:rsidP="004445B9">
            <w:pPr>
              <w:spacing w:after="160" w:line="259" w:lineRule="auto"/>
              <w:rPr>
                <w:snapToGrid w:val="0"/>
              </w:rPr>
            </w:pPr>
            <w:r w:rsidRPr="004445B9">
              <w:rPr>
                <w:snapToGrid w:val="0"/>
              </w:rPr>
              <w:t>Cost</w:t>
            </w:r>
          </w:p>
        </w:tc>
        <w:tc>
          <w:tcPr>
            <w:tcW w:w="5379" w:type="dxa"/>
            <w:vAlign w:val="center"/>
          </w:tcPr>
          <w:p w14:paraId="5EA9E7DC" w14:textId="77777777" w:rsidR="004445B9" w:rsidRPr="004445B9" w:rsidRDefault="004445B9" w:rsidP="004445B9">
            <w:pPr>
              <w:spacing w:after="160" w:line="259" w:lineRule="auto"/>
              <w:rPr>
                <w:snapToGrid w:val="0"/>
              </w:rPr>
            </w:pPr>
            <w:r w:rsidRPr="004445B9">
              <w:rPr>
                <w:snapToGrid w:val="0"/>
                <w:lang w:val="en-NZ"/>
              </w:rPr>
              <w:t xml:space="preserve">This would be a small additional element for enforcement officers to check during routine enforcement, leading to small additional costs for </w:t>
            </w:r>
            <w:r w:rsidRPr="004445B9">
              <w:rPr>
                <w:snapToGrid w:val="0"/>
                <w:lang w:val="en-NZ"/>
              </w:rPr>
              <w:lastRenderedPageBreak/>
              <w:t>governments. Enforcement officers would need to be made aware of the new requirements.</w:t>
            </w:r>
          </w:p>
        </w:tc>
      </w:tr>
      <w:bookmarkEnd w:id="26"/>
      <w:bookmarkEnd w:id="27"/>
      <w:bookmarkEnd w:id="28"/>
    </w:tbl>
    <w:p w14:paraId="5CB036A2" w14:textId="77777777" w:rsidR="00BD15AB" w:rsidRDefault="00BD15AB" w:rsidP="007F5A73">
      <w:pPr>
        <w:keepNext/>
        <w:keepLines/>
        <w:rPr>
          <w:rFonts w:ascii="Arial" w:hAnsi="Arial" w:cs="Arial"/>
          <w:b/>
          <w:bCs/>
          <w:i/>
          <w:iCs/>
          <w:snapToGrid w:val="0"/>
        </w:rPr>
      </w:pPr>
    </w:p>
    <w:p w14:paraId="1286BF08" w14:textId="6B167B1A" w:rsidR="00182859" w:rsidRPr="00182859" w:rsidRDefault="00182859" w:rsidP="007F5A73">
      <w:pPr>
        <w:keepNext/>
        <w:keepLines/>
        <w:rPr>
          <w:rFonts w:ascii="Arial" w:hAnsi="Arial" w:cs="Arial"/>
          <w:b/>
          <w:bCs/>
          <w:i/>
          <w:iCs/>
          <w:snapToGrid w:val="0"/>
          <w:lang w:val="en-NZ"/>
        </w:rPr>
      </w:pPr>
      <w:r w:rsidRPr="00182859">
        <w:rPr>
          <w:rFonts w:ascii="Arial" w:hAnsi="Arial" w:cs="Arial"/>
          <w:b/>
          <w:bCs/>
          <w:i/>
          <w:iCs/>
          <w:snapToGrid w:val="0"/>
        </w:rPr>
        <w:t>Consumers</w:t>
      </w:r>
    </w:p>
    <w:p w14:paraId="2E494399" w14:textId="3E006AA8" w:rsidR="002F7F30" w:rsidRPr="002F7F30" w:rsidRDefault="00274187" w:rsidP="007F5A73">
      <w:pPr>
        <w:pStyle w:val="paragraph"/>
        <w:keepNext/>
        <w:keepLines/>
        <w:spacing w:before="40" w:beforeAutospacing="0" w:after="0" w:afterAutospacing="0"/>
        <w:rPr>
          <w:rFonts w:ascii="Arial" w:hAnsi="Arial" w:cs="Arial"/>
          <w:snapToGrid w:val="0"/>
          <w:sz w:val="22"/>
          <w:szCs w:val="22"/>
        </w:rPr>
      </w:pPr>
      <w:r>
        <w:rPr>
          <w:rFonts w:ascii="Arial" w:hAnsi="Arial" w:cs="Arial"/>
          <w:snapToGrid w:val="0"/>
          <w:sz w:val="22"/>
          <w:szCs w:val="22"/>
        </w:rPr>
        <w:t>H</w:t>
      </w:r>
      <w:r w:rsidR="002F7F30" w:rsidRPr="002F7F30">
        <w:rPr>
          <w:rFonts w:ascii="Arial" w:hAnsi="Arial" w:cs="Arial"/>
          <w:snapToGrid w:val="0"/>
          <w:sz w:val="22"/>
          <w:szCs w:val="22"/>
        </w:rPr>
        <w:t xml:space="preserve">aving readily accessible energy content information on the label of alcoholic beverages </w:t>
      </w:r>
      <w:r w:rsidR="001D18C9">
        <w:rPr>
          <w:rFonts w:ascii="Arial" w:hAnsi="Arial" w:cs="Arial"/>
          <w:snapToGrid w:val="0"/>
          <w:sz w:val="22"/>
          <w:szCs w:val="22"/>
        </w:rPr>
        <w:t>would</w:t>
      </w:r>
      <w:r w:rsidR="001D18C9" w:rsidRPr="002F7F30">
        <w:rPr>
          <w:rFonts w:ascii="Arial" w:hAnsi="Arial" w:cs="Arial"/>
          <w:snapToGrid w:val="0"/>
          <w:sz w:val="22"/>
          <w:szCs w:val="22"/>
        </w:rPr>
        <w:t xml:space="preserve"> </w:t>
      </w:r>
      <w:r w:rsidR="002F7F30" w:rsidRPr="002F7F30">
        <w:rPr>
          <w:rFonts w:ascii="Arial" w:hAnsi="Arial" w:cs="Arial"/>
          <w:snapToGrid w:val="0"/>
          <w:sz w:val="22"/>
          <w:szCs w:val="22"/>
        </w:rPr>
        <w:t xml:space="preserve">enable </w:t>
      </w:r>
      <w:r>
        <w:rPr>
          <w:rFonts w:ascii="Arial" w:hAnsi="Arial" w:cs="Arial"/>
          <w:snapToGrid w:val="0"/>
          <w:sz w:val="22"/>
          <w:szCs w:val="22"/>
        </w:rPr>
        <w:t xml:space="preserve">consumers to make </w:t>
      </w:r>
      <w:r w:rsidR="002F7F30" w:rsidRPr="002F7F30">
        <w:rPr>
          <w:rFonts w:ascii="Arial" w:hAnsi="Arial" w:cs="Arial"/>
          <w:snapToGrid w:val="0"/>
          <w:sz w:val="22"/>
          <w:szCs w:val="22"/>
        </w:rPr>
        <w:t>informed purchasing and consumption decisions.</w:t>
      </w:r>
      <w:r w:rsidR="00FA7B44">
        <w:rPr>
          <w:rFonts w:ascii="Arial" w:hAnsi="Arial" w:cs="Arial"/>
          <w:snapToGrid w:val="0"/>
          <w:sz w:val="22"/>
          <w:szCs w:val="22"/>
        </w:rPr>
        <w:t xml:space="preserve"> Available evidence suggests that the majority of consumers </w:t>
      </w:r>
      <w:r w:rsidR="00EC17D7">
        <w:rPr>
          <w:rFonts w:ascii="Arial" w:hAnsi="Arial" w:cs="Arial"/>
          <w:snapToGrid w:val="0"/>
          <w:sz w:val="22"/>
          <w:szCs w:val="22"/>
        </w:rPr>
        <w:t xml:space="preserve">generally </w:t>
      </w:r>
      <w:r w:rsidR="0075241E">
        <w:rPr>
          <w:rFonts w:ascii="Arial" w:hAnsi="Arial" w:cs="Arial"/>
          <w:snapToGrid w:val="0"/>
          <w:sz w:val="22"/>
          <w:szCs w:val="22"/>
        </w:rPr>
        <w:t xml:space="preserve">want and </w:t>
      </w:r>
      <w:r w:rsidR="00EC17D7">
        <w:rPr>
          <w:rFonts w:ascii="Arial" w:hAnsi="Arial" w:cs="Arial"/>
          <w:snapToGrid w:val="0"/>
          <w:sz w:val="22"/>
          <w:szCs w:val="22"/>
        </w:rPr>
        <w:t>value</w:t>
      </w:r>
      <w:r w:rsidR="003204EA">
        <w:rPr>
          <w:rFonts w:ascii="Arial" w:hAnsi="Arial" w:cs="Arial"/>
          <w:snapToGrid w:val="0"/>
          <w:sz w:val="22"/>
          <w:szCs w:val="22"/>
        </w:rPr>
        <w:t xml:space="preserve"> </w:t>
      </w:r>
      <w:r w:rsidR="00005078">
        <w:rPr>
          <w:rFonts w:ascii="Arial" w:hAnsi="Arial" w:cs="Arial"/>
          <w:snapToGrid w:val="0"/>
          <w:sz w:val="22"/>
          <w:szCs w:val="22"/>
        </w:rPr>
        <w:t>energy labelling</w:t>
      </w:r>
      <w:r w:rsidR="00A574C3">
        <w:rPr>
          <w:rFonts w:ascii="Arial" w:hAnsi="Arial" w:cs="Arial"/>
          <w:snapToGrid w:val="0"/>
          <w:sz w:val="22"/>
          <w:szCs w:val="22"/>
        </w:rPr>
        <w:t xml:space="preserve"> on alcoholic beverages.</w:t>
      </w:r>
      <w:r w:rsidR="001A0BA9">
        <w:rPr>
          <w:rFonts w:ascii="Arial" w:hAnsi="Arial" w:cs="Arial"/>
          <w:snapToGrid w:val="0"/>
          <w:sz w:val="22"/>
          <w:szCs w:val="22"/>
        </w:rPr>
        <w:t xml:space="preserve"> </w:t>
      </w:r>
      <w:r w:rsidR="00034FBE">
        <w:rPr>
          <w:rFonts w:ascii="Arial" w:hAnsi="Arial" w:cs="Arial"/>
          <w:snapToGrid w:val="0"/>
          <w:sz w:val="22"/>
          <w:szCs w:val="22"/>
        </w:rPr>
        <w:t xml:space="preserve">Option 2 would benefit consumers from correcting the </w:t>
      </w:r>
      <w:r w:rsidR="002B1D6A">
        <w:rPr>
          <w:rFonts w:ascii="Arial" w:hAnsi="Arial" w:cs="Arial"/>
          <w:snapToGrid w:val="0"/>
          <w:sz w:val="22"/>
          <w:szCs w:val="22"/>
        </w:rPr>
        <w:t xml:space="preserve">market failure </w:t>
      </w:r>
      <w:r w:rsidR="0088354E">
        <w:rPr>
          <w:rFonts w:ascii="Arial" w:hAnsi="Arial" w:cs="Arial"/>
          <w:snapToGrid w:val="0"/>
          <w:sz w:val="22"/>
          <w:szCs w:val="22"/>
        </w:rPr>
        <w:t>of</w:t>
      </w:r>
      <w:r w:rsidR="002B1D6A">
        <w:rPr>
          <w:rFonts w:ascii="Arial" w:hAnsi="Arial" w:cs="Arial"/>
          <w:snapToGrid w:val="0"/>
          <w:sz w:val="22"/>
          <w:szCs w:val="22"/>
        </w:rPr>
        <w:t xml:space="preserve"> lack of consistent information </w:t>
      </w:r>
      <w:r w:rsidR="00EA48B4">
        <w:rPr>
          <w:rFonts w:ascii="Arial" w:hAnsi="Arial" w:cs="Arial"/>
          <w:snapToGrid w:val="0"/>
          <w:sz w:val="22"/>
          <w:szCs w:val="22"/>
        </w:rPr>
        <w:t xml:space="preserve">about the energy content of </w:t>
      </w:r>
      <w:r w:rsidR="0088354E">
        <w:rPr>
          <w:rFonts w:ascii="Arial" w:hAnsi="Arial" w:cs="Arial"/>
          <w:snapToGrid w:val="0"/>
          <w:sz w:val="22"/>
          <w:szCs w:val="22"/>
        </w:rPr>
        <w:t>alcoholic beverages.</w:t>
      </w:r>
    </w:p>
    <w:p w14:paraId="4C89CDCF" w14:textId="77777777" w:rsidR="002F7F30" w:rsidRPr="002F7F30" w:rsidRDefault="002F7F30" w:rsidP="00F14C86">
      <w:pPr>
        <w:pStyle w:val="paragraph"/>
        <w:spacing w:before="0" w:beforeAutospacing="0" w:after="0" w:afterAutospacing="0"/>
        <w:rPr>
          <w:rFonts w:ascii="Arial" w:hAnsi="Arial" w:cs="Arial"/>
          <w:snapToGrid w:val="0"/>
          <w:sz w:val="22"/>
          <w:szCs w:val="22"/>
        </w:rPr>
      </w:pPr>
    </w:p>
    <w:p w14:paraId="5C322E92" w14:textId="775F4FE2" w:rsidR="00182859" w:rsidRPr="002F7F30" w:rsidRDefault="00182859" w:rsidP="002F7F30">
      <w:pPr>
        <w:pStyle w:val="paragraph"/>
        <w:spacing w:before="40" w:beforeAutospacing="0" w:after="0" w:afterAutospacing="0"/>
        <w:rPr>
          <w:rFonts w:ascii="Arial" w:hAnsi="Arial" w:cs="Arial"/>
          <w:snapToGrid w:val="0"/>
          <w:sz w:val="22"/>
          <w:szCs w:val="22"/>
        </w:rPr>
      </w:pPr>
      <w:r w:rsidRPr="002F7F30">
        <w:rPr>
          <w:rFonts w:ascii="Arial" w:hAnsi="Arial" w:cs="Arial"/>
          <w:snapToGrid w:val="0"/>
          <w:sz w:val="22"/>
          <w:szCs w:val="22"/>
        </w:rPr>
        <w:t>Th</w:t>
      </w:r>
      <w:r w:rsidR="00D76F46">
        <w:rPr>
          <w:rFonts w:ascii="Arial" w:hAnsi="Arial" w:cs="Arial"/>
          <w:snapToGrid w:val="0"/>
          <w:sz w:val="22"/>
          <w:szCs w:val="22"/>
        </w:rPr>
        <w:t>e</w:t>
      </w:r>
      <w:r w:rsidRPr="002F7F30">
        <w:rPr>
          <w:rFonts w:ascii="Arial" w:hAnsi="Arial" w:cs="Arial"/>
          <w:snapToGrid w:val="0"/>
          <w:sz w:val="22"/>
          <w:szCs w:val="22"/>
        </w:rPr>
        <w:t xml:space="preserve"> provision of energy information on alcoholic beverages is a</w:t>
      </w:r>
      <w:r w:rsidR="00EF6922">
        <w:rPr>
          <w:rFonts w:ascii="Arial" w:hAnsi="Arial" w:cs="Arial"/>
          <w:snapToGrid w:val="0"/>
          <w:sz w:val="22"/>
          <w:szCs w:val="22"/>
        </w:rPr>
        <w:t xml:space="preserve">lso </w:t>
      </w:r>
      <w:r w:rsidRPr="002F7F30">
        <w:rPr>
          <w:rFonts w:ascii="Arial" w:hAnsi="Arial" w:cs="Arial"/>
          <w:snapToGrid w:val="0"/>
          <w:sz w:val="22"/>
          <w:szCs w:val="22"/>
        </w:rPr>
        <w:t xml:space="preserve">a precondition for informed consumer choice about alcohol consumption in the context of their overall energy intake, and therefore contributes to broader preventative health measures that educate consumers about managing energy balance. </w:t>
      </w:r>
    </w:p>
    <w:p w14:paraId="3EB7B296" w14:textId="2033C961" w:rsidR="002F7F30" w:rsidRPr="000026CB" w:rsidRDefault="002F7F30" w:rsidP="002F7F30">
      <w:pPr>
        <w:pStyle w:val="paragraph"/>
        <w:spacing w:before="40" w:beforeAutospacing="0" w:after="0" w:afterAutospacing="0"/>
        <w:rPr>
          <w:rFonts w:ascii="Arial" w:eastAsia="Arial" w:hAnsi="Arial" w:cs="Arial"/>
          <w:snapToGrid w:val="0"/>
          <w:sz w:val="22"/>
          <w:szCs w:val="22"/>
        </w:rPr>
      </w:pPr>
    </w:p>
    <w:p w14:paraId="73361713" w14:textId="58BCEE0C" w:rsidR="00182859" w:rsidRPr="005C3849" w:rsidRDefault="005C3849" w:rsidP="000139F9">
      <w:pPr>
        <w:rPr>
          <w:rFonts w:ascii="Arial" w:hAnsi="Arial" w:cs="Arial"/>
          <w:b/>
          <w:bCs/>
          <w:i/>
          <w:iCs/>
          <w:snapToGrid w:val="0"/>
          <w:lang w:val="en-NZ"/>
        </w:rPr>
      </w:pPr>
      <w:r w:rsidRPr="005C3849">
        <w:rPr>
          <w:rFonts w:ascii="Arial" w:hAnsi="Arial" w:cs="Arial"/>
          <w:b/>
          <w:bCs/>
          <w:i/>
          <w:iCs/>
          <w:snapToGrid w:val="0"/>
          <w:lang w:val="en-NZ"/>
        </w:rPr>
        <w:t>Industry</w:t>
      </w:r>
    </w:p>
    <w:p w14:paraId="6A0A2A69" w14:textId="4CBAAD41" w:rsidR="003A51B7" w:rsidRPr="002F7F30" w:rsidRDefault="009E76A7" w:rsidP="00BF164D">
      <w:pPr>
        <w:rPr>
          <w:rFonts w:ascii="Arial" w:eastAsia="Times New Roman" w:hAnsi="Arial" w:cs="Arial"/>
          <w:snapToGrid w:val="0"/>
          <w:lang w:val="en-NZ" w:eastAsia="en-NZ"/>
        </w:rPr>
      </w:pPr>
      <w:r>
        <w:rPr>
          <w:rFonts w:ascii="Arial" w:eastAsia="Times New Roman" w:hAnsi="Arial" w:cs="Arial"/>
          <w:snapToGrid w:val="0"/>
          <w:lang w:val="en-NZ" w:eastAsia="en-NZ"/>
        </w:rPr>
        <w:t>In 2021</w:t>
      </w:r>
      <w:r w:rsidR="00430F22">
        <w:rPr>
          <w:rFonts w:ascii="Arial" w:eastAsia="Times New Roman" w:hAnsi="Arial" w:cs="Arial"/>
          <w:snapToGrid w:val="0"/>
          <w:lang w:val="en-NZ" w:eastAsia="en-NZ"/>
        </w:rPr>
        <w:t xml:space="preserve">, </w:t>
      </w:r>
      <w:r w:rsidR="00C838A5" w:rsidRPr="002F7F30">
        <w:rPr>
          <w:rFonts w:ascii="Arial" w:eastAsia="Times New Roman" w:hAnsi="Arial" w:cs="Arial"/>
          <w:snapToGrid w:val="0"/>
          <w:lang w:val="en-NZ" w:eastAsia="en-NZ"/>
        </w:rPr>
        <w:t xml:space="preserve">FSANZ </w:t>
      </w:r>
      <w:r>
        <w:rPr>
          <w:rFonts w:ascii="Arial" w:eastAsia="Times New Roman" w:hAnsi="Arial" w:cs="Arial"/>
          <w:snapToGrid w:val="0"/>
          <w:lang w:val="en-NZ" w:eastAsia="en-NZ"/>
        </w:rPr>
        <w:t>commissioned</w:t>
      </w:r>
      <w:r w:rsidR="009D659D">
        <w:rPr>
          <w:rFonts w:ascii="Arial" w:eastAsia="Times New Roman" w:hAnsi="Arial" w:cs="Arial"/>
          <w:snapToGrid w:val="0"/>
          <w:lang w:val="en-NZ" w:eastAsia="en-NZ"/>
        </w:rPr>
        <w:t xml:space="preserve"> </w:t>
      </w:r>
      <w:r w:rsidR="007E5968" w:rsidRPr="00F72952">
        <w:rPr>
          <w:rFonts w:ascii="Arial" w:hAnsi="Arial" w:cs="Arial"/>
          <w:lang w:val="en-AU"/>
        </w:rPr>
        <w:t>Marsden</w:t>
      </w:r>
      <w:r w:rsidR="00B802CA">
        <w:rPr>
          <w:rFonts w:ascii="Arial" w:hAnsi="Arial" w:cs="Arial"/>
          <w:lang w:val="en-AU"/>
        </w:rPr>
        <w:t xml:space="preserve"> </w:t>
      </w:r>
      <w:r w:rsidR="007E5968" w:rsidRPr="00F72952">
        <w:rPr>
          <w:rFonts w:ascii="Arial" w:hAnsi="Arial" w:cs="Arial"/>
          <w:lang w:val="en-AU"/>
        </w:rPr>
        <w:t>Jacob Consultants</w:t>
      </w:r>
      <w:r w:rsidR="00430F22">
        <w:rPr>
          <w:rFonts w:ascii="Arial" w:hAnsi="Arial" w:cs="Arial"/>
          <w:lang w:val="en-AU"/>
        </w:rPr>
        <w:t xml:space="preserve"> </w:t>
      </w:r>
      <w:r w:rsidR="00C838A5" w:rsidRPr="002F7F30">
        <w:rPr>
          <w:rFonts w:ascii="Arial" w:eastAsia="Times New Roman" w:hAnsi="Arial" w:cs="Arial"/>
          <w:snapToGrid w:val="0"/>
          <w:lang w:val="en-NZ" w:eastAsia="en-NZ"/>
        </w:rPr>
        <w:t xml:space="preserve">to </w:t>
      </w:r>
      <w:r w:rsidR="00430F22">
        <w:rPr>
          <w:rFonts w:ascii="Arial" w:eastAsia="Times New Roman" w:hAnsi="Arial" w:cs="Arial"/>
          <w:snapToGrid w:val="0"/>
          <w:lang w:val="en-NZ" w:eastAsia="en-NZ"/>
        </w:rPr>
        <w:t>create a survey and cost model</w:t>
      </w:r>
      <w:r w:rsidR="00430F22">
        <w:rPr>
          <w:rStyle w:val="FootnoteReference"/>
          <w:rFonts w:ascii="Arial" w:hAnsi="Arial" w:cs="Arial"/>
          <w:lang w:val="en-AU"/>
        </w:rPr>
        <w:footnoteReference w:id="18"/>
      </w:r>
      <w:r w:rsidR="00430F22">
        <w:rPr>
          <w:rFonts w:ascii="Arial" w:eastAsia="Times New Roman" w:hAnsi="Arial" w:cs="Arial"/>
          <w:snapToGrid w:val="0"/>
          <w:lang w:val="en-NZ" w:eastAsia="en-NZ"/>
        </w:rPr>
        <w:t xml:space="preserve"> </w:t>
      </w:r>
      <w:r w:rsidR="00800928">
        <w:rPr>
          <w:rFonts w:ascii="Arial" w:eastAsia="Times New Roman" w:hAnsi="Arial" w:cs="Arial"/>
          <w:snapToGrid w:val="0"/>
          <w:lang w:val="en-NZ" w:eastAsia="en-NZ"/>
        </w:rPr>
        <w:t>for</w:t>
      </w:r>
      <w:r w:rsidR="00430F22">
        <w:rPr>
          <w:rFonts w:ascii="Arial" w:eastAsia="Times New Roman" w:hAnsi="Arial" w:cs="Arial"/>
          <w:snapToGrid w:val="0"/>
          <w:lang w:val="en-NZ" w:eastAsia="en-NZ"/>
        </w:rPr>
        <w:t xml:space="preserve"> </w:t>
      </w:r>
      <w:r w:rsidR="00F305A6" w:rsidRPr="002F7F30">
        <w:rPr>
          <w:rFonts w:ascii="Arial" w:eastAsia="Times New Roman" w:hAnsi="Arial" w:cs="Arial"/>
          <w:snapToGrid w:val="0"/>
          <w:lang w:val="en-NZ" w:eastAsia="en-NZ"/>
        </w:rPr>
        <w:t>mak</w:t>
      </w:r>
      <w:r w:rsidR="00800928">
        <w:rPr>
          <w:rFonts w:ascii="Arial" w:eastAsia="Times New Roman" w:hAnsi="Arial" w:cs="Arial"/>
          <w:snapToGrid w:val="0"/>
          <w:lang w:val="en-NZ" w:eastAsia="en-NZ"/>
        </w:rPr>
        <w:t>ing</w:t>
      </w:r>
      <w:r w:rsidR="00C838A5" w:rsidRPr="002F7F30">
        <w:rPr>
          <w:rFonts w:ascii="Arial" w:eastAsia="Times New Roman" w:hAnsi="Arial" w:cs="Arial"/>
          <w:snapToGrid w:val="0"/>
          <w:lang w:val="en-NZ" w:eastAsia="en-NZ"/>
        </w:rPr>
        <w:t xml:space="preserve"> quantitative estimates of label change costs</w:t>
      </w:r>
      <w:r w:rsidR="00F305A6" w:rsidRPr="002F7F30">
        <w:rPr>
          <w:rFonts w:ascii="Arial" w:eastAsia="Times New Roman" w:hAnsi="Arial" w:cs="Arial"/>
          <w:snapToGrid w:val="0"/>
          <w:lang w:val="en-NZ" w:eastAsia="en-NZ"/>
        </w:rPr>
        <w:t xml:space="preserve"> per SKU to accommodate an energy statement. </w:t>
      </w:r>
      <w:r w:rsidR="004867B6">
        <w:rPr>
          <w:rFonts w:ascii="Arial" w:eastAsia="Times New Roman" w:hAnsi="Arial" w:cs="Arial"/>
          <w:snapToGrid w:val="0"/>
          <w:lang w:val="en-NZ" w:eastAsia="en-NZ"/>
        </w:rPr>
        <w:t>H</w:t>
      </w:r>
      <w:r w:rsidR="00F305A6" w:rsidRPr="002F7F30">
        <w:rPr>
          <w:rFonts w:ascii="Arial" w:eastAsia="Times New Roman" w:hAnsi="Arial" w:cs="Arial"/>
          <w:snapToGrid w:val="0"/>
          <w:lang w:val="en-NZ" w:eastAsia="en-NZ"/>
        </w:rPr>
        <w:t>owever,</w:t>
      </w:r>
      <w:r w:rsidR="00C838A5" w:rsidRPr="002F7F30">
        <w:rPr>
          <w:rFonts w:ascii="Arial" w:eastAsia="Times New Roman" w:hAnsi="Arial" w:cs="Arial"/>
          <w:snapToGrid w:val="0"/>
          <w:lang w:val="en-NZ" w:eastAsia="en-NZ"/>
        </w:rPr>
        <w:t xml:space="preserve"> </w:t>
      </w:r>
      <w:r w:rsidR="004867B6">
        <w:rPr>
          <w:rFonts w:ascii="Arial" w:eastAsia="Times New Roman" w:hAnsi="Arial" w:cs="Arial"/>
          <w:snapToGrid w:val="0"/>
          <w:lang w:val="en-NZ" w:eastAsia="en-NZ"/>
        </w:rPr>
        <w:t xml:space="preserve">that </w:t>
      </w:r>
      <w:r w:rsidR="00C838A5" w:rsidRPr="002F7F30">
        <w:rPr>
          <w:rFonts w:ascii="Arial" w:eastAsia="Times New Roman" w:hAnsi="Arial" w:cs="Arial"/>
          <w:snapToGrid w:val="0"/>
          <w:lang w:val="en-NZ" w:eastAsia="en-NZ"/>
        </w:rPr>
        <w:t>does not imply such costs are more significant than the unquantifiable potential benefits of an energy statement</w:t>
      </w:r>
      <w:r w:rsidR="00D6347C">
        <w:rPr>
          <w:rFonts w:ascii="Arial" w:eastAsia="Times New Roman" w:hAnsi="Arial" w:cs="Arial"/>
          <w:snapToGrid w:val="0"/>
          <w:lang w:val="en-NZ" w:eastAsia="en-NZ"/>
        </w:rPr>
        <w:t xml:space="preserve"> that are outlined in table 5-2</w:t>
      </w:r>
      <w:r w:rsidR="00C838A5" w:rsidRPr="002F7F30">
        <w:rPr>
          <w:rFonts w:ascii="Arial" w:eastAsia="Times New Roman" w:hAnsi="Arial" w:cs="Arial"/>
          <w:snapToGrid w:val="0"/>
          <w:lang w:val="en-NZ" w:eastAsia="en-NZ"/>
        </w:rPr>
        <w:t>.</w:t>
      </w:r>
    </w:p>
    <w:p w14:paraId="62C1ED52" w14:textId="3BE32030" w:rsidR="00B34A20" w:rsidRDefault="00B34A20" w:rsidP="00BF164D">
      <w:pPr>
        <w:rPr>
          <w:rFonts w:ascii="Arial" w:hAnsi="Arial" w:cs="Arial"/>
          <w:snapToGrid w:val="0"/>
        </w:rPr>
      </w:pPr>
      <w:r>
        <w:rPr>
          <w:rFonts w:ascii="Arial" w:hAnsi="Arial" w:cs="Arial"/>
          <w:snapToGrid w:val="0"/>
        </w:rPr>
        <w:t xml:space="preserve">The </w:t>
      </w:r>
      <w:r w:rsidR="0009489F">
        <w:rPr>
          <w:rFonts w:ascii="Arial" w:hAnsi="Arial" w:cs="Arial"/>
          <w:snapToGrid w:val="0"/>
        </w:rPr>
        <w:t xml:space="preserve">cost </w:t>
      </w:r>
      <w:r w:rsidRPr="00B34A20">
        <w:rPr>
          <w:rFonts w:ascii="Arial" w:hAnsi="Arial" w:cs="Arial"/>
          <w:snapToGrid w:val="0"/>
        </w:rPr>
        <w:t>model allows different sized label changes to be costed</w:t>
      </w:r>
      <w:r w:rsidR="00F7166B">
        <w:rPr>
          <w:rFonts w:ascii="Arial" w:hAnsi="Arial" w:cs="Arial"/>
          <w:snapToGrid w:val="0"/>
        </w:rPr>
        <w:t>. Label c</w:t>
      </w:r>
      <w:r w:rsidRPr="00B34A20">
        <w:rPr>
          <w:rFonts w:ascii="Arial" w:hAnsi="Arial" w:cs="Arial"/>
          <w:snapToGrid w:val="0"/>
        </w:rPr>
        <w:t xml:space="preserve">hanges </w:t>
      </w:r>
      <w:r w:rsidR="0009489F">
        <w:rPr>
          <w:rFonts w:ascii="Arial" w:hAnsi="Arial" w:cs="Arial"/>
          <w:snapToGrid w:val="0"/>
        </w:rPr>
        <w:t xml:space="preserve">to accommodate an energy statement </w:t>
      </w:r>
      <w:r w:rsidRPr="00B34A20">
        <w:rPr>
          <w:rFonts w:ascii="Arial" w:hAnsi="Arial" w:cs="Arial"/>
          <w:snapToGrid w:val="0"/>
        </w:rPr>
        <w:t xml:space="preserve">have been assessed as either </w:t>
      </w:r>
      <w:r w:rsidR="00F7166B">
        <w:rPr>
          <w:rFonts w:ascii="Arial" w:hAnsi="Arial" w:cs="Arial"/>
          <w:snapToGrid w:val="0"/>
        </w:rPr>
        <w:t>“</w:t>
      </w:r>
      <w:r w:rsidR="00B802CA">
        <w:rPr>
          <w:rFonts w:ascii="Arial" w:hAnsi="Arial" w:cs="Arial"/>
          <w:snapToGrid w:val="0"/>
        </w:rPr>
        <w:t>m</w:t>
      </w:r>
      <w:r w:rsidR="00B802CA" w:rsidRPr="00B34A20">
        <w:rPr>
          <w:rFonts w:ascii="Arial" w:hAnsi="Arial" w:cs="Arial"/>
          <w:snapToGrid w:val="0"/>
        </w:rPr>
        <w:t>edium</w:t>
      </w:r>
      <w:r w:rsidR="00F7166B">
        <w:rPr>
          <w:rFonts w:ascii="Arial" w:hAnsi="Arial" w:cs="Arial"/>
          <w:snapToGrid w:val="0"/>
        </w:rPr>
        <w:t>”</w:t>
      </w:r>
      <w:r w:rsidRPr="00B34A20">
        <w:rPr>
          <w:rFonts w:ascii="Arial" w:hAnsi="Arial" w:cs="Arial"/>
          <w:snapToGrid w:val="0"/>
        </w:rPr>
        <w:t xml:space="preserve"> or </w:t>
      </w:r>
      <w:r w:rsidR="006C5B99">
        <w:rPr>
          <w:rFonts w:ascii="Arial" w:hAnsi="Arial" w:cs="Arial"/>
          <w:snapToGrid w:val="0"/>
        </w:rPr>
        <w:t>“</w:t>
      </w:r>
      <w:r w:rsidR="00B802CA">
        <w:rPr>
          <w:rFonts w:ascii="Arial" w:hAnsi="Arial" w:cs="Arial"/>
          <w:snapToGrid w:val="0"/>
        </w:rPr>
        <w:t>major</w:t>
      </w:r>
      <w:r w:rsidR="006C5B99">
        <w:rPr>
          <w:rFonts w:ascii="Arial" w:hAnsi="Arial" w:cs="Arial"/>
          <w:snapToGrid w:val="0"/>
        </w:rPr>
        <w:t>”</w:t>
      </w:r>
      <w:r w:rsidRPr="00B34A20">
        <w:rPr>
          <w:rFonts w:ascii="Arial" w:hAnsi="Arial" w:cs="Arial"/>
          <w:snapToGrid w:val="0"/>
        </w:rPr>
        <w:t xml:space="preserve"> changes </w:t>
      </w:r>
      <w:r w:rsidR="00903B61">
        <w:rPr>
          <w:rFonts w:ascii="Arial" w:hAnsi="Arial" w:cs="Arial"/>
          <w:snapToGrid w:val="0"/>
        </w:rPr>
        <w:t xml:space="preserve">for </w:t>
      </w:r>
      <w:r w:rsidR="002341D0">
        <w:rPr>
          <w:rFonts w:ascii="Arial" w:hAnsi="Arial" w:cs="Arial"/>
          <w:snapToGrid w:val="0"/>
        </w:rPr>
        <w:t>o</w:t>
      </w:r>
      <w:r w:rsidR="00903B61">
        <w:rPr>
          <w:rFonts w:ascii="Arial" w:hAnsi="Arial" w:cs="Arial"/>
          <w:snapToGrid w:val="0"/>
        </w:rPr>
        <w:t>ption 2</w:t>
      </w:r>
      <w:r w:rsidRPr="00B34A20">
        <w:rPr>
          <w:rFonts w:ascii="Arial" w:hAnsi="Arial" w:cs="Arial"/>
          <w:snapToGrid w:val="0"/>
        </w:rPr>
        <w:t xml:space="preserve"> under the definitions the model uses.</w:t>
      </w:r>
    </w:p>
    <w:p w14:paraId="257C2F0F" w14:textId="276AEFD6" w:rsidR="00A21D92" w:rsidRDefault="00A21D92" w:rsidP="00A21D92">
      <w:pPr>
        <w:rPr>
          <w:rFonts w:ascii="Arial" w:eastAsia="Arial" w:hAnsi="Arial" w:cs="Arial"/>
          <w:lang w:val="en-NZ"/>
        </w:rPr>
      </w:pPr>
      <w:r>
        <w:rPr>
          <w:rFonts w:ascii="Arial" w:eastAsia="Arial" w:hAnsi="Arial" w:cs="Arial"/>
          <w:lang w:val="en-NZ"/>
        </w:rPr>
        <w:t xml:space="preserve">After considering </w:t>
      </w:r>
      <w:r w:rsidR="004867B6">
        <w:rPr>
          <w:rFonts w:ascii="Arial" w:eastAsia="Arial" w:hAnsi="Arial" w:cs="Arial"/>
          <w:lang w:val="en-NZ"/>
        </w:rPr>
        <w:t xml:space="preserve">submitter </w:t>
      </w:r>
      <w:r>
        <w:rPr>
          <w:rFonts w:ascii="Arial" w:eastAsia="Arial" w:hAnsi="Arial" w:cs="Arial"/>
          <w:lang w:val="en-NZ"/>
        </w:rPr>
        <w:t>feedback to the CFS, it is estimated that:</w:t>
      </w:r>
    </w:p>
    <w:p w14:paraId="3E1B260C" w14:textId="55A5034E" w:rsidR="00A21D92" w:rsidRDefault="00A21D92" w:rsidP="00A21D92">
      <w:pPr>
        <w:pStyle w:val="ListParagraph"/>
        <w:numPr>
          <w:ilvl w:val="0"/>
          <w:numId w:val="11"/>
        </w:numPr>
        <w:rPr>
          <w:rFonts w:ascii="Arial" w:eastAsia="Arial" w:hAnsi="Arial" w:cs="Arial"/>
        </w:rPr>
      </w:pPr>
      <w:r>
        <w:rPr>
          <w:rFonts w:ascii="Arial" w:eastAsia="Arial" w:hAnsi="Arial" w:cs="Arial"/>
        </w:rPr>
        <w:t xml:space="preserve">10% to 30% of SKUs would require a </w:t>
      </w:r>
      <w:r w:rsidR="00B802CA">
        <w:rPr>
          <w:rFonts w:ascii="Arial" w:eastAsia="Arial" w:hAnsi="Arial" w:cs="Arial"/>
        </w:rPr>
        <w:t>major label change</w:t>
      </w:r>
      <w:r w:rsidR="004867B6">
        <w:rPr>
          <w:rFonts w:ascii="Arial" w:eastAsia="Arial" w:hAnsi="Arial" w:cs="Arial"/>
        </w:rPr>
        <w:t xml:space="preserve">, </w:t>
      </w:r>
      <w:r>
        <w:rPr>
          <w:rFonts w:ascii="Arial" w:eastAsia="Arial" w:hAnsi="Arial" w:cs="Arial"/>
        </w:rPr>
        <w:t>that is “label requires s</w:t>
      </w:r>
      <w:r w:rsidRPr="002833AF">
        <w:rPr>
          <w:rFonts w:ascii="Arial" w:eastAsia="Arial" w:hAnsi="Arial" w:cs="Arial"/>
        </w:rPr>
        <w:t>ubstantive additional conten</w:t>
      </w:r>
      <w:r>
        <w:rPr>
          <w:rFonts w:ascii="Arial" w:eastAsia="Arial" w:hAnsi="Arial" w:cs="Arial"/>
        </w:rPr>
        <w:t xml:space="preserve">t </w:t>
      </w:r>
      <w:r w:rsidRPr="002833AF">
        <w:rPr>
          <w:rFonts w:ascii="Arial" w:eastAsia="Arial" w:hAnsi="Arial" w:cs="Arial"/>
        </w:rPr>
        <w:t>which do require changes to</w:t>
      </w:r>
      <w:r>
        <w:rPr>
          <w:rFonts w:ascii="Arial" w:eastAsia="Arial" w:hAnsi="Arial" w:cs="Arial"/>
        </w:rPr>
        <w:t xml:space="preserve"> </w:t>
      </w:r>
      <w:r w:rsidRPr="002833AF">
        <w:rPr>
          <w:rFonts w:ascii="Arial" w:eastAsia="Arial" w:hAnsi="Arial" w:cs="Arial"/>
        </w:rPr>
        <w:t>both label layout and label</w:t>
      </w:r>
      <w:r>
        <w:rPr>
          <w:rFonts w:ascii="Arial" w:eastAsia="Arial" w:hAnsi="Arial" w:cs="Arial"/>
        </w:rPr>
        <w:t xml:space="preserve"> </w:t>
      </w:r>
      <w:r w:rsidRPr="002833AF">
        <w:rPr>
          <w:rFonts w:ascii="Arial" w:eastAsia="Arial" w:hAnsi="Arial" w:cs="Arial"/>
        </w:rPr>
        <w:t>shape/size</w:t>
      </w:r>
      <w:r>
        <w:rPr>
          <w:rFonts w:ascii="Arial" w:eastAsia="Arial" w:hAnsi="Arial" w:cs="Arial"/>
        </w:rPr>
        <w:t>”</w:t>
      </w:r>
      <w:r w:rsidR="004867B6">
        <w:rPr>
          <w:rFonts w:ascii="Arial" w:eastAsia="Arial" w:hAnsi="Arial" w:cs="Arial"/>
        </w:rPr>
        <w:t>;</w:t>
      </w:r>
      <w:r w:rsidR="003C5CD4">
        <w:rPr>
          <w:rFonts w:ascii="Arial" w:eastAsia="Arial" w:hAnsi="Arial" w:cs="Arial"/>
        </w:rPr>
        <w:t xml:space="preserve"> and</w:t>
      </w:r>
    </w:p>
    <w:p w14:paraId="30D045FF" w14:textId="55A2922A" w:rsidR="003C5CD4" w:rsidRPr="003C5CD4" w:rsidRDefault="003C5CD4" w:rsidP="003C5CD4">
      <w:pPr>
        <w:pStyle w:val="ListParagraph"/>
        <w:numPr>
          <w:ilvl w:val="0"/>
          <w:numId w:val="11"/>
        </w:numPr>
        <w:rPr>
          <w:rFonts w:ascii="Arial" w:eastAsia="Arial" w:hAnsi="Arial" w:cs="Arial"/>
        </w:rPr>
      </w:pPr>
      <w:r>
        <w:rPr>
          <w:rFonts w:ascii="Arial" w:eastAsia="Arial" w:hAnsi="Arial" w:cs="Arial"/>
        </w:rPr>
        <w:t xml:space="preserve">70% to 90% of SKUs would require a </w:t>
      </w:r>
      <w:r w:rsidR="00B802CA">
        <w:rPr>
          <w:rFonts w:ascii="Arial" w:eastAsia="Arial" w:hAnsi="Arial" w:cs="Arial"/>
        </w:rPr>
        <w:t>medium label change</w:t>
      </w:r>
      <w:r w:rsidR="004867B6">
        <w:rPr>
          <w:rFonts w:ascii="Arial" w:eastAsia="Arial" w:hAnsi="Arial" w:cs="Arial"/>
        </w:rPr>
        <w:t>,</w:t>
      </w:r>
      <w:r>
        <w:rPr>
          <w:rFonts w:ascii="Arial" w:eastAsia="Arial" w:hAnsi="Arial" w:cs="Arial"/>
        </w:rPr>
        <w:t xml:space="preserve"> that is “label requires n</w:t>
      </w:r>
      <w:r w:rsidRPr="00B43DE1">
        <w:rPr>
          <w:rFonts w:ascii="Arial" w:eastAsia="Arial" w:hAnsi="Arial" w:cs="Arial"/>
        </w:rPr>
        <w:t>ew text or adding or subtracting</w:t>
      </w:r>
      <w:r>
        <w:rPr>
          <w:rFonts w:ascii="Arial" w:eastAsia="Arial" w:hAnsi="Arial" w:cs="Arial"/>
        </w:rPr>
        <w:t xml:space="preserve"> </w:t>
      </w:r>
      <w:r w:rsidRPr="00B43DE1">
        <w:rPr>
          <w:rFonts w:ascii="Arial" w:eastAsia="Arial" w:hAnsi="Arial" w:cs="Arial"/>
        </w:rPr>
        <w:t>logos which do require changes</w:t>
      </w:r>
      <w:r>
        <w:rPr>
          <w:rFonts w:ascii="Arial" w:eastAsia="Arial" w:hAnsi="Arial" w:cs="Arial"/>
        </w:rPr>
        <w:t xml:space="preserve"> </w:t>
      </w:r>
      <w:r w:rsidRPr="00B43DE1">
        <w:rPr>
          <w:rFonts w:ascii="Arial" w:eastAsia="Arial" w:hAnsi="Arial" w:cs="Arial"/>
        </w:rPr>
        <w:t>in the label’s internal layout,</w:t>
      </w:r>
      <w:r>
        <w:rPr>
          <w:rFonts w:ascii="Arial" w:eastAsia="Arial" w:hAnsi="Arial" w:cs="Arial"/>
        </w:rPr>
        <w:t xml:space="preserve"> </w:t>
      </w:r>
      <w:r w:rsidRPr="00B43DE1">
        <w:rPr>
          <w:rFonts w:ascii="Arial" w:eastAsia="Arial" w:hAnsi="Arial" w:cs="Arial"/>
        </w:rPr>
        <w:t xml:space="preserve">but </w:t>
      </w:r>
      <w:r w:rsidRPr="00DA6F2D">
        <w:rPr>
          <w:rFonts w:ascii="Arial" w:eastAsia="Arial" w:hAnsi="Arial" w:cs="Arial"/>
          <w:b/>
          <w:bCs/>
        </w:rPr>
        <w:t>not</w:t>
      </w:r>
      <w:r w:rsidRPr="00B43DE1">
        <w:rPr>
          <w:rFonts w:ascii="Arial" w:eastAsia="Arial" w:hAnsi="Arial" w:cs="Arial"/>
        </w:rPr>
        <w:t xml:space="preserve"> the label’s shape or size</w:t>
      </w:r>
      <w:r>
        <w:rPr>
          <w:rFonts w:ascii="Arial" w:eastAsia="Arial" w:hAnsi="Arial" w:cs="Arial"/>
        </w:rPr>
        <w:t>”</w:t>
      </w:r>
      <w:r w:rsidR="00491B9B">
        <w:rPr>
          <w:rFonts w:ascii="Arial" w:eastAsia="Arial" w:hAnsi="Arial" w:cs="Arial"/>
        </w:rPr>
        <w:t>.</w:t>
      </w:r>
    </w:p>
    <w:p w14:paraId="58DF8E8A" w14:textId="77777777" w:rsidR="00A21D92" w:rsidRPr="00A21D92" w:rsidRDefault="00A21D92" w:rsidP="00A21D92">
      <w:pPr>
        <w:pStyle w:val="ListParagraph"/>
        <w:ind w:left="604"/>
        <w:rPr>
          <w:rFonts w:ascii="Arial" w:eastAsia="Arial" w:hAnsi="Arial" w:cs="Arial"/>
        </w:rPr>
      </w:pPr>
    </w:p>
    <w:p w14:paraId="58B58CB4" w14:textId="74839D5A" w:rsidR="00A21D92" w:rsidRDefault="00B802CA" w:rsidP="00BF164D">
      <w:pPr>
        <w:rPr>
          <w:rFonts w:ascii="Arial" w:eastAsia="Arial" w:hAnsi="Arial" w:cs="Arial"/>
        </w:rPr>
      </w:pPr>
      <w:r w:rsidRPr="00A21D92">
        <w:rPr>
          <w:rFonts w:ascii="Arial" w:eastAsia="Arial" w:hAnsi="Arial" w:cs="Arial"/>
        </w:rPr>
        <w:t>Th</w:t>
      </w:r>
      <w:r>
        <w:rPr>
          <w:rFonts w:ascii="Arial" w:eastAsia="Arial" w:hAnsi="Arial" w:cs="Arial"/>
        </w:rPr>
        <w:t>e estimated percentage</w:t>
      </w:r>
      <w:r w:rsidRPr="00A21D92">
        <w:rPr>
          <w:rFonts w:ascii="Arial" w:eastAsia="Arial" w:hAnsi="Arial" w:cs="Arial"/>
        </w:rPr>
        <w:t xml:space="preserve"> </w:t>
      </w:r>
      <w:r>
        <w:rPr>
          <w:rFonts w:ascii="Arial" w:eastAsia="Arial" w:hAnsi="Arial" w:cs="Arial"/>
        </w:rPr>
        <w:t>of</w:t>
      </w:r>
      <w:r w:rsidR="00A21D92">
        <w:rPr>
          <w:rFonts w:ascii="Arial" w:eastAsia="Arial" w:hAnsi="Arial" w:cs="Arial"/>
        </w:rPr>
        <w:t xml:space="preserve"> </w:t>
      </w:r>
      <w:r>
        <w:rPr>
          <w:rFonts w:ascii="Arial" w:eastAsia="Arial" w:hAnsi="Arial" w:cs="Arial"/>
        </w:rPr>
        <w:t xml:space="preserve">medium </w:t>
      </w:r>
      <w:r w:rsidR="000036E5">
        <w:rPr>
          <w:rFonts w:ascii="Arial" w:eastAsia="Arial" w:hAnsi="Arial" w:cs="Arial"/>
        </w:rPr>
        <w:t xml:space="preserve">and </w:t>
      </w:r>
      <w:r>
        <w:rPr>
          <w:rFonts w:ascii="Arial" w:eastAsia="Arial" w:hAnsi="Arial" w:cs="Arial"/>
        </w:rPr>
        <w:t xml:space="preserve">major </w:t>
      </w:r>
      <w:r w:rsidR="000036E5">
        <w:rPr>
          <w:rFonts w:ascii="Arial" w:eastAsia="Arial" w:hAnsi="Arial" w:cs="Arial"/>
        </w:rPr>
        <w:t>label changes</w:t>
      </w:r>
      <w:r w:rsidR="00A21D92" w:rsidRPr="00A21D92">
        <w:rPr>
          <w:rFonts w:ascii="Arial" w:eastAsia="Arial" w:hAnsi="Arial" w:cs="Arial"/>
        </w:rPr>
        <w:t xml:space="preserve"> have been used to develop some sensitivity analysis around label change costs.</w:t>
      </w:r>
    </w:p>
    <w:p w14:paraId="6F5F3381" w14:textId="4761C47E" w:rsidR="00A81C02" w:rsidRPr="00B34A20" w:rsidRDefault="004867B6" w:rsidP="007F5A73">
      <w:pPr>
        <w:rPr>
          <w:rFonts w:ascii="Arial" w:hAnsi="Arial" w:cs="Arial"/>
          <w:snapToGrid w:val="0"/>
          <w:lang w:val="en-AU"/>
        </w:rPr>
      </w:pPr>
      <w:r>
        <w:rPr>
          <w:rFonts w:ascii="Arial" w:eastAsia="Arial" w:hAnsi="Arial" w:cs="Arial"/>
        </w:rPr>
        <w:t>Table 5-</w:t>
      </w:r>
      <w:r w:rsidR="00AE5B68">
        <w:rPr>
          <w:rFonts w:ascii="Arial" w:eastAsia="Arial" w:hAnsi="Arial" w:cs="Arial"/>
        </w:rPr>
        <w:t>3</w:t>
      </w:r>
      <w:r>
        <w:rPr>
          <w:rFonts w:ascii="Arial" w:eastAsia="Arial" w:hAnsi="Arial" w:cs="Arial"/>
        </w:rPr>
        <w:t xml:space="preserve"> below outlines estimated average label change costs. </w:t>
      </w:r>
      <w:r w:rsidR="006A0557">
        <w:rPr>
          <w:rFonts w:ascii="Arial" w:hAnsi="Arial" w:cs="Arial"/>
          <w:snapToGrid w:val="0"/>
          <w:lang w:val="en-AU"/>
        </w:rPr>
        <w:t xml:space="preserve">All costs are in Australian dollars in </w:t>
      </w:r>
      <w:r w:rsidR="00B52497">
        <w:rPr>
          <w:rFonts w:ascii="Arial" w:hAnsi="Arial" w:cs="Arial"/>
          <w:snapToGrid w:val="0"/>
          <w:lang w:val="en-AU"/>
        </w:rPr>
        <w:t xml:space="preserve">December 2024 </w:t>
      </w:r>
      <w:r w:rsidR="006A0557">
        <w:rPr>
          <w:rFonts w:ascii="Arial" w:hAnsi="Arial" w:cs="Arial"/>
          <w:snapToGrid w:val="0"/>
          <w:lang w:val="en-AU"/>
        </w:rPr>
        <w:t>producer prices</w:t>
      </w:r>
      <w:r w:rsidR="006A0557">
        <w:rPr>
          <w:rStyle w:val="FootnoteReference"/>
          <w:rFonts w:ascii="Arial" w:hAnsi="Arial" w:cs="Arial"/>
          <w:snapToGrid w:val="0"/>
          <w:lang w:val="en-AU"/>
        </w:rPr>
        <w:footnoteReference w:id="19"/>
      </w:r>
      <w:r w:rsidR="006A0557">
        <w:rPr>
          <w:rFonts w:ascii="Arial" w:hAnsi="Arial" w:cs="Arial"/>
          <w:snapToGrid w:val="0"/>
          <w:lang w:val="en-AU"/>
        </w:rPr>
        <w:t>.</w:t>
      </w:r>
    </w:p>
    <w:p w14:paraId="708F5122" w14:textId="4AC1A8A7" w:rsidR="00F305A6" w:rsidRDefault="00F305A6" w:rsidP="007F5A73">
      <w:pPr>
        <w:pStyle w:val="ListParagraph"/>
        <w:keepNext/>
        <w:keepLines/>
        <w:ind w:left="0"/>
        <w:rPr>
          <w:rFonts w:ascii="Arial" w:eastAsia="Arial" w:hAnsi="Arial" w:cs="Arial"/>
          <w:b/>
          <w:bCs/>
        </w:rPr>
      </w:pPr>
      <w:r w:rsidRPr="004967F5">
        <w:rPr>
          <w:rFonts w:ascii="Arial" w:eastAsia="Arial" w:hAnsi="Arial" w:cs="Arial"/>
          <w:b/>
          <w:bCs/>
        </w:rPr>
        <w:lastRenderedPageBreak/>
        <w:t>Table 5-</w:t>
      </w:r>
      <w:r w:rsidR="00AE5B68">
        <w:rPr>
          <w:rFonts w:ascii="Arial" w:eastAsia="Arial" w:hAnsi="Arial" w:cs="Arial"/>
          <w:b/>
          <w:bCs/>
        </w:rPr>
        <w:t>3</w:t>
      </w:r>
      <w:r w:rsidRPr="004967F5">
        <w:rPr>
          <w:rFonts w:ascii="Arial" w:eastAsia="Arial" w:hAnsi="Arial" w:cs="Arial"/>
          <w:b/>
          <w:bCs/>
        </w:rPr>
        <w:t xml:space="preserve">: Estimated average </w:t>
      </w:r>
      <w:r>
        <w:rPr>
          <w:rFonts w:ascii="Arial" w:eastAsia="Arial" w:hAnsi="Arial" w:cs="Arial"/>
          <w:b/>
          <w:bCs/>
        </w:rPr>
        <w:t xml:space="preserve">one-off </w:t>
      </w:r>
      <w:r w:rsidRPr="004967F5">
        <w:rPr>
          <w:rFonts w:ascii="Arial" w:eastAsia="Arial" w:hAnsi="Arial" w:cs="Arial"/>
          <w:b/>
          <w:bCs/>
        </w:rPr>
        <w:t xml:space="preserve">label change costs </w:t>
      </w:r>
      <w:r>
        <w:rPr>
          <w:rFonts w:ascii="Arial" w:eastAsia="Arial" w:hAnsi="Arial" w:cs="Arial"/>
          <w:b/>
          <w:bCs/>
        </w:rPr>
        <w:t>per SKU</w:t>
      </w:r>
    </w:p>
    <w:p w14:paraId="5CA258C6" w14:textId="77777777" w:rsidR="00D72E16" w:rsidRDefault="00D72E16" w:rsidP="007F5A73">
      <w:pPr>
        <w:pStyle w:val="ListParagraph"/>
        <w:keepNext/>
        <w:keepLines/>
        <w:ind w:left="0"/>
        <w:rPr>
          <w:rFonts w:ascii="Arial" w:eastAsia="Arial" w:hAnsi="Arial" w:cs="Arial"/>
          <w:b/>
          <w:bCs/>
        </w:rPr>
      </w:pPr>
    </w:p>
    <w:tbl>
      <w:tblPr>
        <w:tblStyle w:val="GridTable4-Accent31"/>
        <w:tblW w:w="9776" w:type="dxa"/>
        <w:tblLook w:val="04A0" w:firstRow="1" w:lastRow="0" w:firstColumn="1" w:lastColumn="0" w:noHBand="0" w:noVBand="1"/>
      </w:tblPr>
      <w:tblGrid>
        <w:gridCol w:w="3390"/>
        <w:gridCol w:w="1283"/>
        <w:gridCol w:w="1418"/>
        <w:gridCol w:w="1417"/>
        <w:gridCol w:w="2268"/>
      </w:tblGrid>
      <w:tr w:rsidR="00F305A6" w:rsidRPr="00F96DDF" w14:paraId="16DB7D07" w14:textId="77777777" w:rsidTr="00665611">
        <w:trPr>
          <w:cnfStyle w:val="100000000000" w:firstRow="1" w:lastRow="0" w:firstColumn="0" w:lastColumn="0" w:oddVBand="0" w:evenVBand="0" w:oddHBand="0" w:evenHBand="0" w:firstRowFirstColumn="0" w:firstRowLastColumn="0" w:lastRowFirstColumn="0" w:lastRowLastColumn="0"/>
          <w:trHeight w:val="839"/>
          <w:tblHeader/>
        </w:trPr>
        <w:tc>
          <w:tcPr>
            <w:cnfStyle w:val="001000000000" w:firstRow="0" w:lastRow="0" w:firstColumn="1" w:lastColumn="0" w:oddVBand="0" w:evenVBand="0" w:oddHBand="0" w:evenHBand="0" w:firstRowFirstColumn="0" w:firstRowLastColumn="0" w:lastRowFirstColumn="0" w:lastRowLastColumn="0"/>
            <w:tcW w:w="3390" w:type="dxa"/>
            <w:vAlign w:val="center"/>
            <w:hideMark/>
          </w:tcPr>
          <w:p w14:paraId="4528693B" w14:textId="77777777" w:rsidR="00F305A6" w:rsidRPr="00F96DDF" w:rsidRDefault="00F305A6" w:rsidP="007F5A73">
            <w:pPr>
              <w:keepNext/>
              <w:keepLines/>
              <w:widowControl w:val="0"/>
              <w:jc w:val="center"/>
              <w:rPr>
                <w:rFonts w:eastAsia="Times New Roman" w:cs="Times New Roman"/>
                <w:sz w:val="20"/>
                <w:szCs w:val="20"/>
                <w:lang w:val="en-GB" w:eastAsia="en-GB" w:bidi="en-US"/>
              </w:rPr>
            </w:pPr>
          </w:p>
        </w:tc>
        <w:tc>
          <w:tcPr>
            <w:tcW w:w="1283" w:type="dxa"/>
            <w:vAlign w:val="center"/>
            <w:hideMark/>
          </w:tcPr>
          <w:p w14:paraId="3A59E6C2" w14:textId="77777777" w:rsidR="00F305A6" w:rsidRPr="00F96DDF" w:rsidRDefault="00F305A6" w:rsidP="007F5A73">
            <w:pPr>
              <w:keepNext/>
              <w:keepLines/>
              <w:widowControl w:val="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val="en-GB" w:eastAsia="en-GB" w:bidi="en-US"/>
              </w:rPr>
            </w:pPr>
            <w:r w:rsidRPr="00F96DDF">
              <w:rPr>
                <w:rFonts w:eastAsia="Times New Roman" w:cs="Times New Roman"/>
                <w:sz w:val="20"/>
                <w:szCs w:val="20"/>
                <w:lang w:val="en-GB" w:eastAsia="en-GB" w:bidi="en-US"/>
              </w:rPr>
              <w:t>Bottle</w:t>
            </w:r>
          </w:p>
        </w:tc>
        <w:tc>
          <w:tcPr>
            <w:tcW w:w="1418" w:type="dxa"/>
            <w:vAlign w:val="center"/>
            <w:hideMark/>
          </w:tcPr>
          <w:p w14:paraId="25F670A7" w14:textId="77777777" w:rsidR="00F305A6" w:rsidRPr="00F96DDF" w:rsidRDefault="00F305A6" w:rsidP="007F5A73">
            <w:pPr>
              <w:keepNext/>
              <w:keepLines/>
              <w:widowControl w:val="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val="en-GB" w:eastAsia="en-GB" w:bidi="en-US"/>
              </w:rPr>
            </w:pPr>
            <w:r w:rsidRPr="00F96DDF">
              <w:rPr>
                <w:rFonts w:eastAsia="Times New Roman" w:cs="Times New Roman"/>
                <w:sz w:val="20"/>
                <w:szCs w:val="20"/>
                <w:lang w:val="en-GB" w:eastAsia="en-GB" w:bidi="en-US"/>
              </w:rPr>
              <w:t>Can</w:t>
            </w:r>
          </w:p>
        </w:tc>
        <w:tc>
          <w:tcPr>
            <w:tcW w:w="1417" w:type="dxa"/>
            <w:vAlign w:val="center"/>
            <w:hideMark/>
          </w:tcPr>
          <w:p w14:paraId="7A4C77C7" w14:textId="77777777" w:rsidR="00F305A6" w:rsidRPr="00F96DDF" w:rsidRDefault="00F305A6" w:rsidP="007F5A73">
            <w:pPr>
              <w:keepNext/>
              <w:keepLines/>
              <w:widowControl w:val="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val="en-GB" w:eastAsia="en-GB" w:bidi="en-US"/>
              </w:rPr>
            </w:pPr>
            <w:r w:rsidRPr="00F96DDF">
              <w:rPr>
                <w:rFonts w:eastAsia="Times New Roman" w:cs="Times New Roman"/>
                <w:sz w:val="20"/>
                <w:szCs w:val="20"/>
                <w:lang w:val="en-GB" w:eastAsia="en-GB" w:bidi="en-US"/>
              </w:rPr>
              <w:t>Cask</w:t>
            </w:r>
          </w:p>
        </w:tc>
        <w:tc>
          <w:tcPr>
            <w:tcW w:w="2268" w:type="dxa"/>
            <w:vAlign w:val="center"/>
            <w:hideMark/>
          </w:tcPr>
          <w:p w14:paraId="629C0793" w14:textId="77777777" w:rsidR="00F305A6" w:rsidRPr="00F96DDF" w:rsidRDefault="00F305A6" w:rsidP="007F5A73">
            <w:pPr>
              <w:keepNext/>
              <w:keepLines/>
              <w:widowControl w:val="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val="en-GB" w:eastAsia="en-GB" w:bidi="en-US"/>
              </w:rPr>
            </w:pPr>
            <w:r w:rsidRPr="00F96DDF">
              <w:rPr>
                <w:rFonts w:eastAsia="Times New Roman" w:cs="Times New Roman"/>
                <w:sz w:val="20"/>
                <w:szCs w:val="20"/>
                <w:lang w:val="en-GB" w:eastAsia="en-GB" w:bidi="en-US"/>
              </w:rPr>
              <w:t>All containers Weighted Average</w:t>
            </w:r>
          </w:p>
        </w:tc>
      </w:tr>
      <w:tr w:rsidR="00F305A6" w:rsidRPr="00F96DDF" w14:paraId="08DD6D1B" w14:textId="77777777" w:rsidTr="00665611">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3390" w:type="dxa"/>
            <w:vAlign w:val="center"/>
            <w:hideMark/>
          </w:tcPr>
          <w:p w14:paraId="36610C71" w14:textId="62BAC062" w:rsidR="00F2377D" w:rsidRDefault="00F305A6" w:rsidP="007F5A73">
            <w:pPr>
              <w:keepNext/>
              <w:keepLines/>
              <w:widowControl w:val="0"/>
              <w:rPr>
                <w:rFonts w:eastAsia="Times New Roman" w:cs="Times New Roman"/>
                <w:b w:val="0"/>
                <w:bCs w:val="0"/>
                <w:sz w:val="20"/>
                <w:szCs w:val="20"/>
                <w:lang w:val="en-GB" w:eastAsia="en-GB" w:bidi="en-US"/>
              </w:rPr>
            </w:pPr>
            <w:r>
              <w:rPr>
                <w:rFonts w:eastAsia="Times New Roman" w:cs="Times New Roman"/>
                <w:sz w:val="20"/>
                <w:szCs w:val="20"/>
                <w:lang w:val="en-GB" w:eastAsia="en-GB" w:bidi="en-US"/>
              </w:rPr>
              <w:t xml:space="preserve">Medium </w:t>
            </w:r>
            <w:r w:rsidR="00B802CA">
              <w:rPr>
                <w:rFonts w:eastAsia="Times New Roman" w:cs="Times New Roman"/>
                <w:sz w:val="20"/>
                <w:szCs w:val="20"/>
                <w:lang w:val="en-GB" w:eastAsia="en-GB" w:bidi="en-US"/>
              </w:rPr>
              <w:t xml:space="preserve">label change </w:t>
            </w:r>
          </w:p>
          <w:p w14:paraId="7D583B39" w14:textId="710DB837" w:rsidR="00F305A6" w:rsidRPr="00F2377D" w:rsidRDefault="00F2377D" w:rsidP="007F5A73">
            <w:pPr>
              <w:keepNext/>
              <w:keepLines/>
              <w:widowControl w:val="0"/>
              <w:rPr>
                <w:rFonts w:eastAsia="Times New Roman" w:cs="Times New Roman"/>
                <w:b w:val="0"/>
                <w:bCs w:val="0"/>
                <w:sz w:val="20"/>
                <w:szCs w:val="20"/>
                <w:lang w:val="en-GB" w:eastAsia="en-GB" w:bidi="en-US"/>
              </w:rPr>
            </w:pPr>
            <w:r w:rsidRPr="00F2377D">
              <w:rPr>
                <w:rFonts w:eastAsia="Times New Roman" w:cs="Times New Roman"/>
                <w:b w:val="0"/>
                <w:bCs w:val="0"/>
                <w:sz w:val="20"/>
                <w:szCs w:val="20"/>
                <w:lang w:val="en-GB" w:eastAsia="en-GB" w:bidi="en-US"/>
              </w:rPr>
              <w:t>(70% to 90% of SKUs)</w:t>
            </w:r>
          </w:p>
        </w:tc>
        <w:tc>
          <w:tcPr>
            <w:tcW w:w="1283" w:type="dxa"/>
            <w:vAlign w:val="center"/>
          </w:tcPr>
          <w:p w14:paraId="3CE4F710" w14:textId="1658DCDA" w:rsidR="00F305A6" w:rsidRPr="00F96DDF" w:rsidRDefault="00F305A6" w:rsidP="007F5A73">
            <w:pPr>
              <w:keepNext/>
              <w:keepLines/>
              <w:widowControl w:val="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n-GB" w:eastAsia="en-GB" w:bidi="en-US"/>
              </w:rPr>
            </w:pPr>
            <w:r>
              <w:rPr>
                <w:rFonts w:ascii="Calibri" w:hAnsi="Calibri" w:cs="Calibri"/>
                <w:color w:val="000000"/>
              </w:rPr>
              <w:t>$3,8</w:t>
            </w:r>
            <w:r w:rsidR="00D126F2">
              <w:rPr>
                <w:rFonts w:ascii="Calibri" w:hAnsi="Calibri" w:cs="Calibri"/>
                <w:color w:val="000000"/>
              </w:rPr>
              <w:t>68</w:t>
            </w:r>
          </w:p>
        </w:tc>
        <w:tc>
          <w:tcPr>
            <w:tcW w:w="1418" w:type="dxa"/>
            <w:vAlign w:val="center"/>
          </w:tcPr>
          <w:p w14:paraId="36E6F64E" w14:textId="346AB4AF" w:rsidR="00F305A6" w:rsidRPr="00F96DDF" w:rsidRDefault="00F305A6" w:rsidP="007F5A73">
            <w:pPr>
              <w:keepNext/>
              <w:keepLines/>
              <w:widowControl w:val="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n-GB" w:eastAsia="en-GB" w:bidi="en-US"/>
              </w:rPr>
            </w:pPr>
            <w:r>
              <w:rPr>
                <w:rFonts w:ascii="Calibri" w:hAnsi="Calibri" w:cs="Calibri"/>
                <w:color w:val="000000"/>
              </w:rPr>
              <w:t>$19,7</w:t>
            </w:r>
            <w:r w:rsidR="00D126F2">
              <w:rPr>
                <w:rFonts w:ascii="Calibri" w:hAnsi="Calibri" w:cs="Calibri"/>
                <w:color w:val="000000"/>
              </w:rPr>
              <w:t>69</w:t>
            </w:r>
          </w:p>
        </w:tc>
        <w:tc>
          <w:tcPr>
            <w:tcW w:w="1417" w:type="dxa"/>
            <w:vAlign w:val="center"/>
          </w:tcPr>
          <w:p w14:paraId="5583F1D7" w14:textId="68D5FDE8" w:rsidR="00F305A6" w:rsidRPr="00F96DDF" w:rsidRDefault="00F305A6" w:rsidP="007F5A73">
            <w:pPr>
              <w:keepNext/>
              <w:keepLines/>
              <w:widowControl w:val="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n-GB" w:eastAsia="en-GB" w:bidi="en-US"/>
              </w:rPr>
            </w:pPr>
            <w:r>
              <w:rPr>
                <w:rFonts w:ascii="Calibri" w:hAnsi="Calibri" w:cs="Calibri"/>
                <w:color w:val="000000"/>
              </w:rPr>
              <w:t>$2,5</w:t>
            </w:r>
            <w:r w:rsidR="00D126F2">
              <w:rPr>
                <w:rFonts w:ascii="Calibri" w:hAnsi="Calibri" w:cs="Calibri"/>
                <w:color w:val="000000"/>
              </w:rPr>
              <w:t>87</w:t>
            </w:r>
          </w:p>
        </w:tc>
        <w:tc>
          <w:tcPr>
            <w:tcW w:w="2268" w:type="dxa"/>
            <w:vAlign w:val="center"/>
          </w:tcPr>
          <w:p w14:paraId="41E1A756" w14:textId="027E8D20" w:rsidR="00F305A6" w:rsidRPr="00F96DDF" w:rsidRDefault="00F305A6" w:rsidP="007F5A73">
            <w:pPr>
              <w:keepNext/>
              <w:keepLines/>
              <w:widowControl w:val="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n-GB" w:eastAsia="en-GB" w:bidi="en-US"/>
              </w:rPr>
            </w:pPr>
            <w:r>
              <w:rPr>
                <w:rFonts w:ascii="Calibri" w:hAnsi="Calibri" w:cs="Calibri"/>
                <w:color w:val="000000"/>
              </w:rPr>
              <w:t>$4,</w:t>
            </w:r>
            <w:r w:rsidR="002252FB">
              <w:rPr>
                <w:rFonts w:ascii="Calibri" w:hAnsi="Calibri" w:cs="Calibri"/>
                <w:color w:val="000000"/>
              </w:rPr>
              <w:t>355</w:t>
            </w:r>
          </w:p>
        </w:tc>
      </w:tr>
      <w:tr w:rsidR="00F305A6" w:rsidRPr="00F96DDF" w14:paraId="735A8CA4" w14:textId="77777777" w:rsidTr="00665611">
        <w:trPr>
          <w:trHeight w:val="573"/>
        </w:trPr>
        <w:tc>
          <w:tcPr>
            <w:cnfStyle w:val="001000000000" w:firstRow="0" w:lastRow="0" w:firstColumn="1" w:lastColumn="0" w:oddVBand="0" w:evenVBand="0" w:oddHBand="0" w:evenHBand="0" w:firstRowFirstColumn="0" w:firstRowLastColumn="0" w:lastRowFirstColumn="0" w:lastRowLastColumn="0"/>
            <w:tcW w:w="3390" w:type="dxa"/>
            <w:vAlign w:val="center"/>
            <w:hideMark/>
          </w:tcPr>
          <w:p w14:paraId="7CBBFBC0" w14:textId="32E8B6C7" w:rsidR="00F305A6" w:rsidRDefault="00F305A6" w:rsidP="00665611">
            <w:pPr>
              <w:widowControl w:val="0"/>
              <w:rPr>
                <w:rFonts w:eastAsia="Times New Roman" w:cs="Times New Roman"/>
                <w:b w:val="0"/>
                <w:bCs w:val="0"/>
                <w:sz w:val="20"/>
                <w:szCs w:val="20"/>
                <w:lang w:val="en-GB" w:eastAsia="en-GB" w:bidi="en-US"/>
              </w:rPr>
            </w:pPr>
            <w:r>
              <w:rPr>
                <w:rFonts w:eastAsia="Times New Roman" w:cs="Times New Roman"/>
                <w:sz w:val="20"/>
                <w:szCs w:val="20"/>
                <w:lang w:val="en-GB" w:eastAsia="en-GB" w:bidi="en-US"/>
              </w:rPr>
              <w:t xml:space="preserve">Major </w:t>
            </w:r>
            <w:r w:rsidR="00B802CA">
              <w:rPr>
                <w:rFonts w:eastAsia="Times New Roman" w:cs="Times New Roman"/>
                <w:sz w:val="20"/>
                <w:szCs w:val="20"/>
                <w:lang w:val="en-GB" w:eastAsia="en-GB" w:bidi="en-US"/>
              </w:rPr>
              <w:t>l</w:t>
            </w:r>
            <w:r>
              <w:rPr>
                <w:rFonts w:eastAsia="Times New Roman" w:cs="Times New Roman"/>
                <w:sz w:val="20"/>
                <w:szCs w:val="20"/>
                <w:lang w:val="en-GB" w:eastAsia="en-GB" w:bidi="en-US"/>
              </w:rPr>
              <w:t xml:space="preserve">abel </w:t>
            </w:r>
            <w:r w:rsidR="00B802CA">
              <w:rPr>
                <w:rFonts w:eastAsia="Times New Roman" w:cs="Times New Roman"/>
                <w:sz w:val="20"/>
                <w:szCs w:val="20"/>
                <w:lang w:val="en-GB" w:eastAsia="en-GB" w:bidi="en-US"/>
              </w:rPr>
              <w:t>c</w:t>
            </w:r>
            <w:r>
              <w:rPr>
                <w:rFonts w:eastAsia="Times New Roman" w:cs="Times New Roman"/>
                <w:sz w:val="20"/>
                <w:szCs w:val="20"/>
                <w:lang w:val="en-GB" w:eastAsia="en-GB" w:bidi="en-US"/>
              </w:rPr>
              <w:t>hange</w:t>
            </w:r>
          </w:p>
          <w:p w14:paraId="31AF56A3" w14:textId="77B921C5" w:rsidR="00F2377D" w:rsidRPr="00F2377D" w:rsidRDefault="00F2377D" w:rsidP="00665611">
            <w:pPr>
              <w:widowControl w:val="0"/>
              <w:rPr>
                <w:rFonts w:eastAsia="Times New Roman" w:cs="Times New Roman"/>
                <w:b w:val="0"/>
                <w:bCs w:val="0"/>
                <w:sz w:val="20"/>
                <w:szCs w:val="20"/>
                <w:lang w:val="en-GB" w:eastAsia="en-GB" w:bidi="en-US"/>
              </w:rPr>
            </w:pPr>
            <w:r w:rsidRPr="00F2377D">
              <w:rPr>
                <w:rFonts w:eastAsia="Times New Roman" w:cs="Times New Roman"/>
                <w:b w:val="0"/>
                <w:bCs w:val="0"/>
                <w:sz w:val="20"/>
                <w:szCs w:val="20"/>
                <w:lang w:val="en-GB" w:eastAsia="en-GB" w:bidi="en-US"/>
              </w:rPr>
              <w:t>(10% to 30% of SKUs)</w:t>
            </w:r>
          </w:p>
        </w:tc>
        <w:tc>
          <w:tcPr>
            <w:tcW w:w="1283" w:type="dxa"/>
            <w:vAlign w:val="center"/>
          </w:tcPr>
          <w:p w14:paraId="2E9B7D0A" w14:textId="21563CD0" w:rsidR="00F305A6" w:rsidRPr="00F96DDF" w:rsidRDefault="00F305A6" w:rsidP="00665611">
            <w:pPr>
              <w:widowControl w:val="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bidi="en-US"/>
              </w:rPr>
            </w:pPr>
            <w:r>
              <w:rPr>
                <w:rFonts w:ascii="Calibri" w:hAnsi="Calibri" w:cs="Calibri"/>
                <w:color w:val="000000"/>
              </w:rPr>
              <w:t>$11,</w:t>
            </w:r>
            <w:r w:rsidR="002252FB">
              <w:rPr>
                <w:rFonts w:ascii="Calibri" w:hAnsi="Calibri" w:cs="Calibri"/>
                <w:color w:val="000000"/>
              </w:rPr>
              <w:t>205</w:t>
            </w:r>
          </w:p>
        </w:tc>
        <w:tc>
          <w:tcPr>
            <w:tcW w:w="1418" w:type="dxa"/>
            <w:vAlign w:val="center"/>
          </w:tcPr>
          <w:p w14:paraId="1E18A999" w14:textId="75E8E3A9" w:rsidR="00F305A6" w:rsidRPr="00F96DDF" w:rsidRDefault="00F305A6" w:rsidP="00665611">
            <w:pPr>
              <w:widowControl w:val="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bidi="en-US"/>
              </w:rPr>
            </w:pPr>
            <w:r>
              <w:rPr>
                <w:rFonts w:ascii="Calibri" w:hAnsi="Calibri" w:cs="Calibri"/>
                <w:color w:val="000000"/>
              </w:rPr>
              <w:t>$43,</w:t>
            </w:r>
            <w:r w:rsidR="002252FB">
              <w:rPr>
                <w:rFonts w:ascii="Calibri" w:hAnsi="Calibri" w:cs="Calibri"/>
                <w:color w:val="000000"/>
              </w:rPr>
              <w:t>757</w:t>
            </w:r>
          </w:p>
        </w:tc>
        <w:tc>
          <w:tcPr>
            <w:tcW w:w="1417" w:type="dxa"/>
            <w:vAlign w:val="center"/>
          </w:tcPr>
          <w:p w14:paraId="332F1891" w14:textId="75EF0B35" w:rsidR="00F305A6" w:rsidRPr="00F96DDF" w:rsidRDefault="00F305A6" w:rsidP="00665611">
            <w:pPr>
              <w:widowControl w:val="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bidi="en-US"/>
              </w:rPr>
            </w:pPr>
            <w:r>
              <w:rPr>
                <w:rFonts w:ascii="Calibri" w:hAnsi="Calibri" w:cs="Calibri"/>
                <w:color w:val="000000"/>
              </w:rPr>
              <w:t>$2,9</w:t>
            </w:r>
            <w:r w:rsidR="002252FB">
              <w:rPr>
                <w:rFonts w:ascii="Calibri" w:hAnsi="Calibri" w:cs="Calibri"/>
                <w:color w:val="000000"/>
              </w:rPr>
              <w:t>73</w:t>
            </w:r>
          </w:p>
        </w:tc>
        <w:tc>
          <w:tcPr>
            <w:tcW w:w="2268" w:type="dxa"/>
            <w:vAlign w:val="center"/>
          </w:tcPr>
          <w:p w14:paraId="30CE3F2E" w14:textId="61626BF2" w:rsidR="00F305A6" w:rsidRPr="00F96DDF" w:rsidRDefault="00F305A6" w:rsidP="00665611">
            <w:pPr>
              <w:widowControl w:val="0"/>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val="en-GB" w:eastAsia="en-GB" w:bidi="en-US"/>
              </w:rPr>
            </w:pPr>
            <w:r>
              <w:rPr>
                <w:rFonts w:ascii="Calibri" w:hAnsi="Calibri" w:cs="Calibri"/>
                <w:color w:val="000000"/>
              </w:rPr>
              <w:t>$1</w:t>
            </w:r>
            <w:r w:rsidR="002252FB">
              <w:rPr>
                <w:rFonts w:ascii="Calibri" w:hAnsi="Calibri" w:cs="Calibri"/>
                <w:color w:val="000000"/>
              </w:rPr>
              <w:t>2</w:t>
            </w:r>
            <w:r>
              <w:rPr>
                <w:rFonts w:ascii="Calibri" w:hAnsi="Calibri" w:cs="Calibri"/>
                <w:color w:val="000000"/>
              </w:rPr>
              <w:t>,</w:t>
            </w:r>
            <w:r w:rsidR="002252FB">
              <w:rPr>
                <w:rFonts w:ascii="Calibri" w:hAnsi="Calibri" w:cs="Calibri"/>
                <w:color w:val="000000"/>
              </w:rPr>
              <w:t>069</w:t>
            </w:r>
          </w:p>
        </w:tc>
      </w:tr>
    </w:tbl>
    <w:p w14:paraId="6CBBA4C5" w14:textId="77777777" w:rsidR="00481F00" w:rsidRDefault="00481F00" w:rsidP="00481F00">
      <w:pPr>
        <w:spacing w:after="0"/>
        <w:rPr>
          <w:rFonts w:ascii="Arial" w:eastAsia="Arial" w:hAnsi="Arial" w:cs="Arial"/>
          <w:lang w:val="en-NZ"/>
          <w14:ligatures w14:val="standardContextual"/>
        </w:rPr>
      </w:pPr>
      <w:bookmarkStart w:id="29" w:name="_GoBack"/>
      <w:bookmarkEnd w:id="29"/>
    </w:p>
    <w:p w14:paraId="48B883C2" w14:textId="78DFD210" w:rsidR="005C1E5C" w:rsidRPr="00DA1646" w:rsidRDefault="005C1E5C" w:rsidP="005C1E5C">
      <w:pPr>
        <w:rPr>
          <w:b/>
          <w:bCs/>
        </w:rPr>
      </w:pPr>
      <w:r>
        <w:rPr>
          <w:rFonts w:ascii="Arial" w:hAnsi="Arial" w:cs="Arial"/>
          <w:lang w:val="en-AU"/>
        </w:rPr>
        <w:t>Note that t</w:t>
      </w:r>
      <w:r w:rsidRPr="00A37162">
        <w:rPr>
          <w:rFonts w:ascii="Arial" w:hAnsi="Arial" w:cs="Arial"/>
          <w:lang w:val="en-AU"/>
        </w:rPr>
        <w:t xml:space="preserve">hese estimates are indicative averages only. Label change costs </w:t>
      </w:r>
      <w:r>
        <w:rPr>
          <w:rFonts w:ascii="Arial" w:hAnsi="Arial" w:cs="Arial"/>
          <w:lang w:val="en-AU"/>
        </w:rPr>
        <w:t xml:space="preserve">for incorporating </w:t>
      </w:r>
      <w:r w:rsidR="004867B6">
        <w:rPr>
          <w:rFonts w:ascii="Arial" w:hAnsi="Arial" w:cs="Arial"/>
          <w:lang w:val="en-AU"/>
        </w:rPr>
        <w:t>an energy statement</w:t>
      </w:r>
      <w:r>
        <w:rPr>
          <w:rFonts w:ascii="Arial" w:hAnsi="Arial" w:cs="Arial"/>
          <w:lang w:val="en-AU"/>
        </w:rPr>
        <w:t xml:space="preserve"> on </w:t>
      </w:r>
      <w:r w:rsidRPr="00A37162">
        <w:rPr>
          <w:rFonts w:ascii="Arial" w:hAnsi="Arial" w:cs="Arial"/>
          <w:lang w:val="en-AU"/>
        </w:rPr>
        <w:t>an individual SKU</w:t>
      </w:r>
      <w:r>
        <w:rPr>
          <w:rFonts w:ascii="Arial" w:hAnsi="Arial" w:cs="Arial"/>
          <w:lang w:val="en-AU"/>
        </w:rPr>
        <w:t>’s label</w:t>
      </w:r>
      <w:r w:rsidRPr="00A37162">
        <w:rPr>
          <w:rFonts w:ascii="Arial" w:hAnsi="Arial" w:cs="Arial"/>
          <w:lang w:val="en-AU"/>
        </w:rPr>
        <w:t xml:space="preserve"> may be notably less or more than the average for their pack</w:t>
      </w:r>
      <w:r w:rsidR="00481F00">
        <w:rPr>
          <w:rFonts w:ascii="Arial" w:hAnsi="Arial" w:cs="Arial"/>
          <w:lang w:val="en-AU"/>
        </w:rPr>
        <w:t>age</w:t>
      </w:r>
      <w:r w:rsidRPr="00A37162">
        <w:rPr>
          <w:rFonts w:ascii="Arial" w:hAnsi="Arial" w:cs="Arial"/>
          <w:lang w:val="en-AU"/>
        </w:rPr>
        <w:t xml:space="preserve"> type</w:t>
      </w:r>
      <w:r>
        <w:rPr>
          <w:rFonts w:ascii="Arial" w:hAnsi="Arial" w:cs="Arial"/>
          <w:lang w:val="en-AU"/>
        </w:rPr>
        <w:t xml:space="preserve">. </w:t>
      </w:r>
      <w:r w:rsidR="004867B6">
        <w:rPr>
          <w:rFonts w:ascii="Arial" w:hAnsi="Arial" w:cs="Arial"/>
          <w:lang w:val="en-AU"/>
        </w:rPr>
        <w:t>The cost is dependent</w:t>
      </w:r>
      <w:r w:rsidR="00EF23F5">
        <w:rPr>
          <w:rFonts w:ascii="Arial" w:hAnsi="Arial" w:cs="Arial"/>
          <w:lang w:val="en-AU"/>
        </w:rPr>
        <w:t xml:space="preserve"> on factors such as</w:t>
      </w:r>
      <w:r w:rsidRPr="00A37162">
        <w:rPr>
          <w:rFonts w:ascii="Arial" w:hAnsi="Arial" w:cs="Arial"/>
          <w:lang w:val="en-AU"/>
        </w:rPr>
        <w:t xml:space="preserve"> printing technologies used, size of </w:t>
      </w:r>
      <w:r w:rsidR="00B802CA">
        <w:rPr>
          <w:rFonts w:ascii="Arial" w:hAnsi="Arial" w:cs="Arial"/>
          <w:lang w:val="en-AU"/>
        </w:rPr>
        <w:t xml:space="preserve">label, </w:t>
      </w:r>
      <w:r w:rsidRPr="00A37162">
        <w:rPr>
          <w:rFonts w:ascii="Arial" w:hAnsi="Arial" w:cs="Arial"/>
          <w:lang w:val="en-AU"/>
        </w:rPr>
        <w:t>available label space</w:t>
      </w:r>
      <w:r w:rsidR="00C476A9">
        <w:rPr>
          <w:rFonts w:ascii="Arial" w:hAnsi="Arial" w:cs="Arial"/>
          <w:lang w:val="en-AU"/>
        </w:rPr>
        <w:t xml:space="preserve"> and local costs of different </w:t>
      </w:r>
      <w:r w:rsidR="00C476A9" w:rsidRPr="00DA1646">
        <w:rPr>
          <w:rFonts w:ascii="Arial" w:hAnsi="Arial" w:cs="Arial"/>
          <w:lang w:val="en-AU"/>
        </w:rPr>
        <w:t xml:space="preserve">services involved for </w:t>
      </w:r>
      <w:r w:rsidR="00C476A9">
        <w:rPr>
          <w:rFonts w:ascii="Arial" w:hAnsi="Arial" w:cs="Arial"/>
          <w:lang w:val="en-AU"/>
        </w:rPr>
        <w:t>label chang</w:t>
      </w:r>
      <w:r w:rsidR="00C476A9" w:rsidRPr="00DA1646">
        <w:rPr>
          <w:rFonts w:ascii="Arial" w:hAnsi="Arial" w:cs="Arial"/>
          <w:lang w:val="en-AU"/>
        </w:rPr>
        <w:t>e</w:t>
      </w:r>
      <w:r w:rsidR="00C476A9">
        <w:rPr>
          <w:rFonts w:ascii="Arial" w:hAnsi="Arial" w:cs="Arial"/>
          <w:lang w:val="en-AU"/>
        </w:rPr>
        <w:t>s</w:t>
      </w:r>
      <w:r w:rsidR="004C6107">
        <w:rPr>
          <w:rFonts w:ascii="Arial" w:hAnsi="Arial" w:cs="Arial"/>
          <w:lang w:val="en-AU"/>
        </w:rPr>
        <w:t xml:space="preserve">. </w:t>
      </w:r>
      <w:r w:rsidR="006F734C">
        <w:rPr>
          <w:rFonts w:ascii="Arial" w:hAnsi="Arial" w:cs="Arial"/>
          <w:lang w:val="en-AU"/>
        </w:rPr>
        <w:t xml:space="preserve">These </w:t>
      </w:r>
      <w:r w:rsidR="004C1F60">
        <w:rPr>
          <w:rFonts w:ascii="Arial" w:hAnsi="Arial" w:cs="Arial"/>
          <w:lang w:val="en-AU"/>
        </w:rPr>
        <w:t xml:space="preserve">average </w:t>
      </w:r>
      <w:r w:rsidR="006F734C">
        <w:rPr>
          <w:rFonts w:ascii="Arial" w:hAnsi="Arial" w:cs="Arial"/>
          <w:lang w:val="en-AU"/>
        </w:rPr>
        <w:t>estimates take into account cost per SKU estimates supplied from stakeholders.</w:t>
      </w:r>
    </w:p>
    <w:p w14:paraId="34FCD4B6" w14:textId="226C8706" w:rsidR="004506CA" w:rsidRDefault="004506CA" w:rsidP="005C1E5C">
      <w:pPr>
        <w:rPr>
          <w:rFonts w:ascii="Arial" w:hAnsi="Arial" w:cs="Arial"/>
          <w:lang w:val="en-AU"/>
        </w:rPr>
      </w:pPr>
      <w:r w:rsidRPr="00951762">
        <w:rPr>
          <w:rFonts w:ascii="Arial" w:eastAsia="Arial" w:hAnsi="Arial" w:cs="Arial"/>
          <w:lang w:val="en-NZ"/>
        </w:rPr>
        <w:t xml:space="preserve">The above figures for </w:t>
      </w:r>
      <w:r>
        <w:rPr>
          <w:rFonts w:ascii="Arial" w:eastAsia="Arial" w:hAnsi="Arial" w:cs="Arial"/>
          <w:lang w:val="en-NZ"/>
        </w:rPr>
        <w:t>“</w:t>
      </w:r>
      <w:r w:rsidR="00B802CA">
        <w:rPr>
          <w:rFonts w:ascii="Arial" w:eastAsia="Arial" w:hAnsi="Arial" w:cs="Arial"/>
          <w:lang w:val="en-NZ"/>
        </w:rPr>
        <w:t xml:space="preserve">all </w:t>
      </w:r>
      <w:r>
        <w:rPr>
          <w:rFonts w:ascii="Arial" w:eastAsia="Arial" w:hAnsi="Arial" w:cs="Arial"/>
          <w:lang w:val="en-NZ"/>
        </w:rPr>
        <w:t xml:space="preserve">containers </w:t>
      </w:r>
      <w:r w:rsidR="00B802CA">
        <w:rPr>
          <w:rFonts w:ascii="Arial" w:eastAsia="Arial" w:hAnsi="Arial" w:cs="Arial"/>
          <w:lang w:val="en-NZ"/>
        </w:rPr>
        <w:t>weighted a</w:t>
      </w:r>
      <w:r>
        <w:rPr>
          <w:rFonts w:ascii="Arial" w:eastAsia="Arial" w:hAnsi="Arial" w:cs="Arial"/>
          <w:lang w:val="en-NZ"/>
        </w:rPr>
        <w:t xml:space="preserve">verage” </w:t>
      </w:r>
      <w:r w:rsidRPr="00951762">
        <w:rPr>
          <w:rFonts w:ascii="Arial" w:eastAsia="Arial" w:hAnsi="Arial" w:cs="Arial"/>
          <w:lang w:val="en-NZ"/>
        </w:rPr>
        <w:t xml:space="preserve">is closest to the </w:t>
      </w:r>
      <w:r>
        <w:rPr>
          <w:rFonts w:ascii="Arial" w:eastAsia="Arial" w:hAnsi="Arial" w:cs="Arial"/>
          <w:lang w:val="en-NZ"/>
        </w:rPr>
        <w:t>average for a bottle because</w:t>
      </w:r>
      <w:r w:rsidRPr="00951762">
        <w:rPr>
          <w:rFonts w:ascii="Arial" w:eastAsia="Arial" w:hAnsi="Arial" w:cs="Arial"/>
          <w:lang w:val="en-NZ"/>
        </w:rPr>
        <w:t xml:space="preserve"> bottles comprise the bulk of all alcohol beverage SKUs in Australia and New Zealand</w:t>
      </w:r>
      <w:r>
        <w:rPr>
          <w:rFonts w:ascii="Arial" w:eastAsia="Arial" w:hAnsi="Arial" w:cs="Arial"/>
          <w:lang w:val="en-NZ"/>
        </w:rPr>
        <w:t>.</w:t>
      </w:r>
    </w:p>
    <w:p w14:paraId="6497BC4E" w14:textId="37DA8C7C" w:rsidR="007934DD" w:rsidRPr="00A21D92" w:rsidRDefault="00DC16BE" w:rsidP="00A21D92">
      <w:pPr>
        <w:rPr>
          <w:rFonts w:ascii="Arial" w:eastAsia="Arial" w:hAnsi="Arial" w:cs="Arial"/>
          <w:lang w:val="en-NZ"/>
        </w:rPr>
      </w:pPr>
      <w:r>
        <w:rPr>
          <w:rFonts w:ascii="Arial" w:hAnsi="Arial" w:cs="Arial"/>
          <w:snapToGrid w:val="0"/>
          <w:lang w:val="en-AU"/>
        </w:rPr>
        <w:t>It is assumed that a</w:t>
      </w:r>
      <w:r w:rsidRPr="009F78E5">
        <w:rPr>
          <w:rFonts w:ascii="Arial" w:eastAsia="Arial" w:hAnsi="Arial" w:cs="Arial"/>
        </w:rPr>
        <w:t>round 9</w:t>
      </w:r>
      <w:r>
        <w:rPr>
          <w:rFonts w:ascii="Arial" w:eastAsia="Arial" w:hAnsi="Arial" w:cs="Arial"/>
        </w:rPr>
        <w:t>2</w:t>
      </w:r>
      <w:r w:rsidRPr="009F78E5">
        <w:rPr>
          <w:rFonts w:ascii="Arial" w:eastAsia="Arial" w:hAnsi="Arial" w:cs="Arial"/>
        </w:rPr>
        <w:t xml:space="preserve">% of </w:t>
      </w:r>
      <w:r>
        <w:rPr>
          <w:rFonts w:ascii="Arial" w:eastAsia="Arial" w:hAnsi="Arial" w:cs="Arial"/>
        </w:rPr>
        <w:t>an estimated 71,269 SKUs</w:t>
      </w:r>
      <w:r w:rsidRPr="009F78E5">
        <w:rPr>
          <w:rFonts w:ascii="Arial" w:eastAsia="Arial" w:hAnsi="Arial" w:cs="Arial"/>
        </w:rPr>
        <w:t xml:space="preserve"> </w:t>
      </w:r>
      <w:r>
        <w:rPr>
          <w:rFonts w:ascii="Arial" w:eastAsia="Arial" w:hAnsi="Arial" w:cs="Arial"/>
        </w:rPr>
        <w:t>in the Australia</w:t>
      </w:r>
      <w:r w:rsidR="00B802CA">
        <w:rPr>
          <w:rFonts w:ascii="Arial" w:eastAsia="Arial" w:hAnsi="Arial" w:cs="Arial"/>
        </w:rPr>
        <w:t xml:space="preserve">n and </w:t>
      </w:r>
      <w:r>
        <w:rPr>
          <w:rFonts w:ascii="Arial" w:eastAsia="Arial" w:hAnsi="Arial" w:cs="Arial"/>
        </w:rPr>
        <w:t>New Zealand market</w:t>
      </w:r>
      <w:r w:rsidR="00B802CA">
        <w:rPr>
          <w:rFonts w:ascii="Arial" w:eastAsia="Arial" w:hAnsi="Arial" w:cs="Arial"/>
        </w:rPr>
        <w:t>s</w:t>
      </w:r>
      <w:r>
        <w:rPr>
          <w:rFonts w:ascii="Arial" w:eastAsia="Arial" w:hAnsi="Arial" w:cs="Arial"/>
        </w:rPr>
        <w:t xml:space="preserve"> would</w:t>
      </w:r>
      <w:r w:rsidRPr="009F78E5">
        <w:rPr>
          <w:rFonts w:ascii="Arial" w:eastAsia="Arial" w:hAnsi="Arial" w:cs="Arial"/>
        </w:rPr>
        <w:t xml:space="preserve"> </w:t>
      </w:r>
      <w:r w:rsidR="00A6657B">
        <w:rPr>
          <w:rFonts w:ascii="Arial" w:eastAsia="Arial" w:hAnsi="Arial" w:cs="Arial"/>
        </w:rPr>
        <w:t xml:space="preserve">require </w:t>
      </w:r>
      <w:r>
        <w:rPr>
          <w:rFonts w:ascii="Arial" w:eastAsia="Arial" w:hAnsi="Arial" w:cs="Arial"/>
        </w:rPr>
        <w:t xml:space="preserve">one-off </w:t>
      </w:r>
      <w:r w:rsidRPr="009F78E5">
        <w:rPr>
          <w:rFonts w:ascii="Arial" w:eastAsia="Arial" w:hAnsi="Arial" w:cs="Arial"/>
        </w:rPr>
        <w:t>label change</w:t>
      </w:r>
      <w:r w:rsidR="00B802CA">
        <w:rPr>
          <w:rFonts w:ascii="Arial" w:eastAsia="Arial" w:hAnsi="Arial" w:cs="Arial"/>
        </w:rPr>
        <w:t>s</w:t>
      </w:r>
      <w:r>
        <w:rPr>
          <w:rFonts w:ascii="Arial" w:eastAsia="Arial" w:hAnsi="Arial" w:cs="Arial"/>
        </w:rPr>
        <w:t xml:space="preserve"> under this option</w:t>
      </w:r>
      <w:r w:rsidR="002F7F30">
        <w:rPr>
          <w:rFonts w:ascii="Arial" w:eastAsia="Arial" w:hAnsi="Arial" w:cs="Arial"/>
        </w:rPr>
        <w:t xml:space="preserve"> to incorporate </w:t>
      </w:r>
      <w:r w:rsidR="00B802CA">
        <w:rPr>
          <w:rFonts w:ascii="Arial" w:eastAsia="Arial" w:hAnsi="Arial" w:cs="Arial"/>
        </w:rPr>
        <w:t xml:space="preserve">option </w:t>
      </w:r>
      <w:r w:rsidR="002F7F30">
        <w:rPr>
          <w:rFonts w:ascii="Arial" w:eastAsia="Arial" w:hAnsi="Arial" w:cs="Arial"/>
        </w:rPr>
        <w:t xml:space="preserve">2’s energy statement. </w:t>
      </w:r>
      <w:r>
        <w:rPr>
          <w:rFonts w:ascii="Arial" w:eastAsia="Arial" w:hAnsi="Arial" w:cs="Arial"/>
        </w:rPr>
        <w:t xml:space="preserve">Therefore, FSANZ estimates that 65,588 SKUs may be affected by this </w:t>
      </w:r>
      <w:r w:rsidR="00BA40CD">
        <w:rPr>
          <w:rFonts w:ascii="Arial" w:eastAsia="Arial" w:hAnsi="Arial" w:cs="Arial"/>
        </w:rPr>
        <w:t>option</w:t>
      </w:r>
      <w:r>
        <w:rPr>
          <w:rFonts w:ascii="Arial" w:eastAsia="Arial" w:hAnsi="Arial" w:cs="Arial"/>
        </w:rPr>
        <w:t xml:space="preserve">. </w:t>
      </w:r>
    </w:p>
    <w:p w14:paraId="03BCA01C" w14:textId="5394D44A" w:rsidR="00B70525" w:rsidRDefault="00163FC8" w:rsidP="00DC16BE">
      <w:pPr>
        <w:rPr>
          <w:rFonts w:ascii="Arial" w:eastAsia="Arial" w:hAnsi="Arial" w:cs="Arial"/>
        </w:rPr>
      </w:pPr>
      <w:r>
        <w:rPr>
          <w:rFonts w:ascii="Arial" w:eastAsia="Arial" w:hAnsi="Arial" w:cs="Arial"/>
        </w:rPr>
        <w:t xml:space="preserve">Total one-off label change costs of </w:t>
      </w:r>
      <w:r w:rsidR="00B802CA">
        <w:rPr>
          <w:rFonts w:ascii="Arial" w:eastAsia="Arial" w:hAnsi="Arial" w:cs="Arial"/>
        </w:rPr>
        <w:t xml:space="preserve">option </w:t>
      </w:r>
      <w:r>
        <w:rPr>
          <w:rFonts w:ascii="Arial" w:eastAsia="Arial" w:hAnsi="Arial" w:cs="Arial"/>
        </w:rPr>
        <w:t>2 to industry across all SKUs are estimated at between $</w:t>
      </w:r>
      <w:r w:rsidR="00E51903">
        <w:rPr>
          <w:rFonts w:ascii="Arial" w:eastAsia="Arial" w:hAnsi="Arial" w:cs="Arial"/>
        </w:rPr>
        <w:t xml:space="preserve">336 </w:t>
      </w:r>
      <w:r w:rsidR="00492BC5">
        <w:rPr>
          <w:rFonts w:ascii="Arial" w:eastAsia="Arial" w:hAnsi="Arial" w:cs="Arial"/>
        </w:rPr>
        <w:t>m</w:t>
      </w:r>
      <w:r>
        <w:rPr>
          <w:rFonts w:ascii="Arial" w:eastAsia="Arial" w:hAnsi="Arial" w:cs="Arial"/>
        </w:rPr>
        <w:t xml:space="preserve"> and $</w:t>
      </w:r>
      <w:r w:rsidR="00E51903">
        <w:rPr>
          <w:rFonts w:ascii="Arial" w:eastAsia="Arial" w:hAnsi="Arial" w:cs="Arial"/>
        </w:rPr>
        <w:t xml:space="preserve">437 </w:t>
      </w:r>
      <w:r>
        <w:rPr>
          <w:rFonts w:ascii="Arial" w:eastAsia="Arial" w:hAnsi="Arial" w:cs="Arial"/>
        </w:rPr>
        <w:t>million.</w:t>
      </w:r>
      <w:r w:rsidR="00A21D92">
        <w:rPr>
          <w:rFonts w:ascii="Arial" w:eastAsia="Arial" w:hAnsi="Arial" w:cs="Arial"/>
        </w:rPr>
        <w:t xml:space="preserve"> </w:t>
      </w:r>
      <w:r w:rsidR="004867B6">
        <w:rPr>
          <w:rFonts w:ascii="Arial" w:eastAsia="Arial" w:hAnsi="Arial" w:cs="Arial"/>
        </w:rPr>
        <w:t xml:space="preserve">This </w:t>
      </w:r>
      <w:r w:rsidR="00A21D92">
        <w:rPr>
          <w:rFonts w:ascii="Arial" w:eastAsia="Arial" w:hAnsi="Arial" w:cs="Arial"/>
        </w:rPr>
        <w:t>is based on</w:t>
      </w:r>
      <w:r w:rsidR="000036E5">
        <w:rPr>
          <w:rFonts w:ascii="Arial" w:eastAsia="Arial" w:hAnsi="Arial" w:cs="Arial"/>
        </w:rPr>
        <w:t xml:space="preserve"> the range between the</w:t>
      </w:r>
      <w:r w:rsidR="00EC03F2">
        <w:rPr>
          <w:rFonts w:ascii="Arial" w:eastAsia="Arial" w:hAnsi="Arial" w:cs="Arial"/>
        </w:rPr>
        <w:t>:</w:t>
      </w:r>
    </w:p>
    <w:p w14:paraId="3CFBDA93" w14:textId="02D77496" w:rsidR="00B70525" w:rsidRDefault="000036E5" w:rsidP="00B70525">
      <w:pPr>
        <w:pStyle w:val="ListParagraph"/>
        <w:numPr>
          <w:ilvl w:val="0"/>
          <w:numId w:val="35"/>
        </w:numPr>
        <w:rPr>
          <w:rFonts w:ascii="Arial" w:eastAsia="Arial" w:hAnsi="Arial" w:cs="Arial"/>
        </w:rPr>
      </w:pPr>
      <w:r w:rsidRPr="00B70525">
        <w:rPr>
          <w:rFonts w:ascii="Arial" w:eastAsia="Arial" w:hAnsi="Arial" w:cs="Arial"/>
        </w:rPr>
        <w:t xml:space="preserve">lower cost split of </w:t>
      </w:r>
      <w:r w:rsidR="0039404B">
        <w:rPr>
          <w:rFonts w:ascii="Arial" w:eastAsia="Arial" w:hAnsi="Arial" w:cs="Arial"/>
        </w:rPr>
        <w:t>1</w:t>
      </w:r>
      <w:r w:rsidRPr="00B70525">
        <w:rPr>
          <w:rFonts w:ascii="Arial" w:eastAsia="Arial" w:hAnsi="Arial" w:cs="Arial"/>
        </w:rPr>
        <w:t>0</w:t>
      </w:r>
      <w:r w:rsidR="00B70525" w:rsidRPr="00B70525">
        <w:rPr>
          <w:rFonts w:ascii="Arial" w:eastAsia="Arial" w:hAnsi="Arial" w:cs="Arial"/>
        </w:rPr>
        <w:t xml:space="preserve">% of the 65,588 SKUs requiring </w:t>
      </w:r>
      <w:r w:rsidR="00B802CA">
        <w:rPr>
          <w:rFonts w:ascii="Arial" w:eastAsia="Arial" w:hAnsi="Arial" w:cs="Arial"/>
        </w:rPr>
        <w:t>major</w:t>
      </w:r>
      <w:r w:rsidR="00B802CA" w:rsidRPr="00B70525">
        <w:rPr>
          <w:rFonts w:ascii="Arial" w:eastAsia="Arial" w:hAnsi="Arial" w:cs="Arial"/>
        </w:rPr>
        <w:t xml:space="preserve"> </w:t>
      </w:r>
      <w:r w:rsidR="00B70525" w:rsidRPr="00B70525">
        <w:rPr>
          <w:rFonts w:ascii="Arial" w:eastAsia="Arial" w:hAnsi="Arial" w:cs="Arial"/>
        </w:rPr>
        <w:t xml:space="preserve">label changes and </w:t>
      </w:r>
      <w:r w:rsidR="0039404B">
        <w:rPr>
          <w:rFonts w:ascii="Arial" w:eastAsia="Arial" w:hAnsi="Arial" w:cs="Arial"/>
        </w:rPr>
        <w:t>9</w:t>
      </w:r>
      <w:r w:rsidR="00B70525" w:rsidRPr="00B70525">
        <w:rPr>
          <w:rFonts w:ascii="Arial" w:eastAsia="Arial" w:hAnsi="Arial" w:cs="Arial"/>
        </w:rPr>
        <w:t xml:space="preserve">0% </w:t>
      </w:r>
      <w:r w:rsidR="00B70525">
        <w:rPr>
          <w:rFonts w:ascii="Arial" w:eastAsia="Arial" w:hAnsi="Arial" w:cs="Arial"/>
        </w:rPr>
        <w:t xml:space="preserve">requiring </w:t>
      </w:r>
      <w:r w:rsidR="00B802CA">
        <w:rPr>
          <w:rFonts w:ascii="Arial" w:eastAsia="Arial" w:hAnsi="Arial" w:cs="Arial"/>
        </w:rPr>
        <w:t>m</w:t>
      </w:r>
      <w:r w:rsidR="00B802CA" w:rsidRPr="00B70525">
        <w:rPr>
          <w:rFonts w:ascii="Arial" w:eastAsia="Arial" w:hAnsi="Arial" w:cs="Arial"/>
        </w:rPr>
        <w:t>edium</w:t>
      </w:r>
      <w:r w:rsidR="00B802CA">
        <w:rPr>
          <w:rFonts w:ascii="Arial" w:eastAsia="Arial" w:hAnsi="Arial" w:cs="Arial"/>
        </w:rPr>
        <w:t xml:space="preserve"> </w:t>
      </w:r>
      <w:r w:rsidR="00B70525">
        <w:rPr>
          <w:rFonts w:ascii="Arial" w:eastAsia="Arial" w:hAnsi="Arial" w:cs="Arial"/>
        </w:rPr>
        <w:t>changes</w:t>
      </w:r>
      <w:r w:rsidR="00F64AF4">
        <w:rPr>
          <w:rFonts w:ascii="Arial" w:eastAsia="Arial" w:hAnsi="Arial" w:cs="Arial"/>
        </w:rPr>
        <w:t>,</w:t>
      </w:r>
      <w:r w:rsidR="00B70525" w:rsidRPr="00B70525">
        <w:rPr>
          <w:rFonts w:ascii="Arial" w:eastAsia="Arial" w:hAnsi="Arial" w:cs="Arial"/>
        </w:rPr>
        <w:t xml:space="preserve"> and </w:t>
      </w:r>
    </w:p>
    <w:p w14:paraId="514F3633" w14:textId="6B77C670" w:rsidR="00B70525" w:rsidRDefault="00B70525" w:rsidP="00B70525">
      <w:pPr>
        <w:pStyle w:val="ListParagraph"/>
        <w:numPr>
          <w:ilvl w:val="0"/>
          <w:numId w:val="35"/>
        </w:numPr>
        <w:rPr>
          <w:rFonts w:ascii="Arial" w:eastAsia="Arial" w:hAnsi="Arial" w:cs="Arial"/>
        </w:rPr>
      </w:pPr>
      <w:r w:rsidRPr="00B70525">
        <w:rPr>
          <w:rFonts w:ascii="Arial" w:eastAsia="Arial" w:hAnsi="Arial" w:cs="Arial"/>
        </w:rPr>
        <w:t>higher</w:t>
      </w:r>
      <w:r>
        <w:rPr>
          <w:rFonts w:ascii="Arial" w:eastAsia="Arial" w:hAnsi="Arial" w:cs="Arial"/>
        </w:rPr>
        <w:t xml:space="preserve"> cost split </w:t>
      </w:r>
      <w:r w:rsidRPr="00B70525">
        <w:rPr>
          <w:rFonts w:ascii="Arial" w:eastAsia="Arial" w:hAnsi="Arial" w:cs="Arial"/>
        </w:rPr>
        <w:t xml:space="preserve">of </w:t>
      </w:r>
      <w:r w:rsidR="0039404B">
        <w:rPr>
          <w:rFonts w:ascii="Arial" w:eastAsia="Arial" w:hAnsi="Arial" w:cs="Arial"/>
        </w:rPr>
        <w:t>3</w:t>
      </w:r>
      <w:r w:rsidRPr="00B70525">
        <w:rPr>
          <w:rFonts w:ascii="Arial" w:eastAsia="Arial" w:hAnsi="Arial" w:cs="Arial"/>
        </w:rPr>
        <w:t>0%</w:t>
      </w:r>
      <w:r>
        <w:rPr>
          <w:rFonts w:ascii="Arial" w:eastAsia="Arial" w:hAnsi="Arial" w:cs="Arial"/>
        </w:rPr>
        <w:t xml:space="preserve"> of those SKUs </w:t>
      </w:r>
      <w:r w:rsidRPr="00B70525">
        <w:rPr>
          <w:rFonts w:ascii="Arial" w:eastAsia="Arial" w:hAnsi="Arial" w:cs="Arial"/>
        </w:rPr>
        <w:t xml:space="preserve">requiring </w:t>
      </w:r>
      <w:r w:rsidR="00B802CA">
        <w:rPr>
          <w:rFonts w:ascii="Arial" w:eastAsia="Arial" w:hAnsi="Arial" w:cs="Arial"/>
        </w:rPr>
        <w:t>major</w:t>
      </w:r>
      <w:r w:rsidR="00B802CA" w:rsidRPr="00B70525">
        <w:rPr>
          <w:rFonts w:ascii="Arial" w:eastAsia="Arial" w:hAnsi="Arial" w:cs="Arial"/>
        </w:rPr>
        <w:t xml:space="preserve"> </w:t>
      </w:r>
      <w:r w:rsidRPr="00B70525">
        <w:rPr>
          <w:rFonts w:ascii="Arial" w:eastAsia="Arial" w:hAnsi="Arial" w:cs="Arial"/>
        </w:rPr>
        <w:t xml:space="preserve">label changes and </w:t>
      </w:r>
      <w:r w:rsidR="0039404B">
        <w:rPr>
          <w:rFonts w:ascii="Arial" w:eastAsia="Arial" w:hAnsi="Arial" w:cs="Arial"/>
        </w:rPr>
        <w:t>7</w:t>
      </w:r>
      <w:r w:rsidRPr="00B70525">
        <w:rPr>
          <w:rFonts w:ascii="Arial" w:eastAsia="Arial" w:hAnsi="Arial" w:cs="Arial"/>
        </w:rPr>
        <w:t xml:space="preserve">0% </w:t>
      </w:r>
      <w:r>
        <w:rPr>
          <w:rFonts w:ascii="Arial" w:eastAsia="Arial" w:hAnsi="Arial" w:cs="Arial"/>
        </w:rPr>
        <w:t xml:space="preserve">requiring </w:t>
      </w:r>
      <w:r w:rsidR="00B802CA">
        <w:rPr>
          <w:rFonts w:ascii="Arial" w:eastAsia="Arial" w:hAnsi="Arial" w:cs="Arial"/>
        </w:rPr>
        <w:t>m</w:t>
      </w:r>
      <w:r w:rsidR="00B802CA" w:rsidRPr="00B70525">
        <w:rPr>
          <w:rFonts w:ascii="Arial" w:eastAsia="Arial" w:hAnsi="Arial" w:cs="Arial"/>
        </w:rPr>
        <w:t>edium</w:t>
      </w:r>
      <w:r w:rsidR="00B802CA">
        <w:rPr>
          <w:rFonts w:ascii="Arial" w:eastAsia="Arial" w:hAnsi="Arial" w:cs="Arial"/>
        </w:rPr>
        <w:t xml:space="preserve"> </w:t>
      </w:r>
      <w:r>
        <w:rPr>
          <w:rFonts w:ascii="Arial" w:eastAsia="Arial" w:hAnsi="Arial" w:cs="Arial"/>
        </w:rPr>
        <w:t>changes.</w:t>
      </w:r>
    </w:p>
    <w:p w14:paraId="01408F0C" w14:textId="06D5C0B9" w:rsidR="00163FC8" w:rsidRPr="00B70525" w:rsidRDefault="00B70525" w:rsidP="00B70525">
      <w:pPr>
        <w:pStyle w:val="ListParagraph"/>
        <w:ind w:left="784"/>
        <w:rPr>
          <w:rFonts w:ascii="Arial" w:eastAsia="Arial" w:hAnsi="Arial" w:cs="Arial"/>
        </w:rPr>
      </w:pPr>
      <w:r w:rsidRPr="00B70525">
        <w:rPr>
          <w:rFonts w:ascii="Arial" w:eastAsia="Arial" w:hAnsi="Arial" w:cs="Arial"/>
        </w:rPr>
        <w:t xml:space="preserve"> </w:t>
      </w:r>
      <w:r w:rsidR="00A21D92" w:rsidRPr="00B70525">
        <w:rPr>
          <w:rFonts w:ascii="Arial" w:eastAsia="Arial" w:hAnsi="Arial" w:cs="Arial"/>
        </w:rPr>
        <w:t xml:space="preserve"> </w:t>
      </w:r>
    </w:p>
    <w:p w14:paraId="61184CFF" w14:textId="5C456D64" w:rsidR="007624EC" w:rsidRDefault="00163FC8" w:rsidP="6A15B411">
      <w:pPr>
        <w:rPr>
          <w:rFonts w:ascii="Arial" w:hAnsi="Arial" w:cs="Arial"/>
          <w:snapToGrid w:val="0"/>
        </w:rPr>
      </w:pPr>
      <w:r w:rsidRPr="6A15B411">
        <w:rPr>
          <w:rFonts w:ascii="Arial" w:hAnsi="Arial" w:cs="Arial"/>
          <w:snapToGrid w:val="0"/>
        </w:rPr>
        <w:t xml:space="preserve">FSANZ has </w:t>
      </w:r>
      <w:r w:rsidR="00EB55EA" w:rsidRPr="6A15B411">
        <w:rPr>
          <w:rFonts w:ascii="Arial" w:hAnsi="Arial" w:cs="Arial"/>
          <w:snapToGrid w:val="0"/>
        </w:rPr>
        <w:t xml:space="preserve">taken a conservative approach and </w:t>
      </w:r>
      <w:r w:rsidR="0064595B" w:rsidRPr="6A15B411">
        <w:rPr>
          <w:rFonts w:ascii="Arial" w:hAnsi="Arial" w:cs="Arial"/>
          <w:snapToGrid w:val="0"/>
        </w:rPr>
        <w:t>potentially over</w:t>
      </w:r>
      <w:r w:rsidR="009F424B" w:rsidRPr="6A15B411">
        <w:rPr>
          <w:rFonts w:ascii="Arial" w:hAnsi="Arial" w:cs="Arial"/>
          <w:snapToGrid w:val="0"/>
        </w:rPr>
        <w:t>-</w:t>
      </w:r>
      <w:r w:rsidR="0064595B" w:rsidRPr="6A15B411">
        <w:rPr>
          <w:rFonts w:ascii="Arial" w:hAnsi="Arial" w:cs="Arial"/>
          <w:snapToGrid w:val="0"/>
        </w:rPr>
        <w:t xml:space="preserve">estimated </w:t>
      </w:r>
      <w:r w:rsidR="008A3D7B" w:rsidRPr="6A15B411">
        <w:rPr>
          <w:rFonts w:ascii="Arial" w:hAnsi="Arial" w:cs="Arial"/>
          <w:snapToGrid w:val="0"/>
        </w:rPr>
        <w:t xml:space="preserve">average and total </w:t>
      </w:r>
      <w:r w:rsidR="0064595B" w:rsidRPr="6A15B411">
        <w:rPr>
          <w:rFonts w:ascii="Arial" w:hAnsi="Arial" w:cs="Arial"/>
          <w:snapToGrid w:val="0"/>
        </w:rPr>
        <w:t>label change costs</w:t>
      </w:r>
      <w:r w:rsidRPr="6A15B411">
        <w:rPr>
          <w:rFonts w:ascii="Arial" w:hAnsi="Arial" w:cs="Arial"/>
          <w:snapToGrid w:val="0"/>
        </w:rPr>
        <w:t xml:space="preserve"> by </w:t>
      </w:r>
      <w:r w:rsidR="009F040D" w:rsidRPr="6A15B411">
        <w:rPr>
          <w:rFonts w:ascii="Arial" w:hAnsi="Arial" w:cs="Arial"/>
          <w:snapToGrid w:val="0"/>
        </w:rPr>
        <w:t>assuming</w:t>
      </w:r>
      <w:r w:rsidRPr="6A15B411">
        <w:rPr>
          <w:rFonts w:ascii="Arial" w:hAnsi="Arial" w:cs="Arial"/>
          <w:snapToGrid w:val="0"/>
        </w:rPr>
        <w:t xml:space="preserve"> a transition period of between 2 and </w:t>
      </w:r>
      <w:r w:rsidR="009D53E1" w:rsidRPr="6A15B411">
        <w:rPr>
          <w:rFonts w:ascii="Arial" w:hAnsi="Arial" w:cs="Arial"/>
          <w:snapToGrid w:val="0"/>
        </w:rPr>
        <w:t>≤</w:t>
      </w:r>
      <w:r w:rsidRPr="6A15B411">
        <w:rPr>
          <w:rFonts w:ascii="Arial" w:hAnsi="Arial" w:cs="Arial"/>
          <w:snapToGrid w:val="0"/>
        </w:rPr>
        <w:t>3 years</w:t>
      </w:r>
      <w:r w:rsidR="0094111F" w:rsidRPr="6A15B411">
        <w:rPr>
          <w:rFonts w:ascii="Arial" w:hAnsi="Arial" w:cs="Arial"/>
          <w:snapToGrid w:val="0"/>
        </w:rPr>
        <w:t>,</w:t>
      </w:r>
      <w:r w:rsidR="007A53BE" w:rsidRPr="6A15B411">
        <w:rPr>
          <w:rFonts w:ascii="Arial" w:hAnsi="Arial" w:cs="Arial"/>
          <w:snapToGrid w:val="0"/>
        </w:rPr>
        <w:t xml:space="preserve"> rather than the model’s alternative assumption of </w:t>
      </w:r>
      <w:r w:rsidR="00F46BB5" w:rsidRPr="6A15B411">
        <w:rPr>
          <w:rFonts w:ascii="Arial" w:hAnsi="Arial" w:cs="Arial"/>
          <w:snapToGrid w:val="0"/>
        </w:rPr>
        <w:t xml:space="preserve">between </w:t>
      </w:r>
      <w:r w:rsidR="007F4754" w:rsidRPr="6A15B411">
        <w:rPr>
          <w:rFonts w:ascii="Arial" w:hAnsi="Arial" w:cs="Arial"/>
          <w:snapToGrid w:val="0"/>
        </w:rPr>
        <w:t xml:space="preserve">&gt;3 and </w:t>
      </w:r>
      <w:r w:rsidR="009D53E1" w:rsidRPr="6A15B411">
        <w:rPr>
          <w:rFonts w:ascii="Arial" w:hAnsi="Arial" w:cs="Arial"/>
          <w:snapToGrid w:val="0"/>
        </w:rPr>
        <w:t>≤</w:t>
      </w:r>
      <w:r w:rsidR="007F4754" w:rsidRPr="6A15B411">
        <w:rPr>
          <w:rFonts w:ascii="Arial" w:hAnsi="Arial" w:cs="Arial"/>
          <w:snapToGrid w:val="0"/>
        </w:rPr>
        <w:t xml:space="preserve"> 5 years</w:t>
      </w:r>
      <w:r w:rsidR="00F56DD4" w:rsidRPr="6A15B411">
        <w:rPr>
          <w:rFonts w:ascii="Arial" w:hAnsi="Arial" w:cs="Arial"/>
          <w:snapToGrid w:val="0"/>
        </w:rPr>
        <w:t xml:space="preserve"> which would produce cheaper label change cost estimates</w:t>
      </w:r>
      <w:r w:rsidR="005206AD" w:rsidRPr="6A15B411">
        <w:rPr>
          <w:rFonts w:ascii="Arial" w:hAnsi="Arial" w:cs="Arial"/>
          <w:snapToGrid w:val="0"/>
        </w:rPr>
        <w:t>.</w:t>
      </w:r>
      <w:r w:rsidR="0064595B" w:rsidRPr="6A15B411">
        <w:rPr>
          <w:rFonts w:ascii="Arial" w:hAnsi="Arial" w:cs="Arial"/>
          <w:snapToGrid w:val="0"/>
        </w:rPr>
        <w:t xml:space="preserve"> </w:t>
      </w:r>
      <w:r w:rsidR="005206AD" w:rsidRPr="6A15B411">
        <w:rPr>
          <w:rFonts w:ascii="Arial" w:hAnsi="Arial" w:cs="Arial"/>
          <w:snapToGrid w:val="0"/>
        </w:rPr>
        <w:t>A</w:t>
      </w:r>
      <w:r w:rsidR="002806EB" w:rsidRPr="6A15B411">
        <w:rPr>
          <w:rFonts w:ascii="Arial" w:hAnsi="Arial" w:cs="Arial"/>
          <w:snapToGrid w:val="0"/>
        </w:rPr>
        <w:t xml:space="preserve"> </w:t>
      </w:r>
      <w:r w:rsidR="0009315A" w:rsidRPr="6A15B411">
        <w:rPr>
          <w:rFonts w:ascii="Arial" w:hAnsi="Arial" w:cs="Arial"/>
          <w:snapToGrid w:val="0"/>
        </w:rPr>
        <w:t>three</w:t>
      </w:r>
      <w:r w:rsidR="009E3228" w:rsidRPr="6A15B411">
        <w:rPr>
          <w:rFonts w:ascii="Arial" w:hAnsi="Arial" w:cs="Arial"/>
          <w:snapToGrid w:val="0"/>
        </w:rPr>
        <w:t xml:space="preserve"> </w:t>
      </w:r>
      <w:r w:rsidR="0009315A" w:rsidRPr="6A15B411">
        <w:rPr>
          <w:rFonts w:ascii="Arial" w:hAnsi="Arial" w:cs="Arial"/>
          <w:snapToGrid w:val="0"/>
        </w:rPr>
        <w:t xml:space="preserve">year </w:t>
      </w:r>
      <w:r w:rsidR="002806EB" w:rsidRPr="6A15B411">
        <w:rPr>
          <w:rFonts w:ascii="Arial" w:hAnsi="Arial" w:cs="Arial"/>
          <w:snapToGrid w:val="0"/>
        </w:rPr>
        <w:t>transition</w:t>
      </w:r>
      <w:r w:rsidR="0009315A" w:rsidRPr="6A15B411">
        <w:rPr>
          <w:rFonts w:ascii="Arial" w:hAnsi="Arial" w:cs="Arial"/>
          <w:snapToGrid w:val="0"/>
        </w:rPr>
        <w:t xml:space="preserve"> period</w:t>
      </w:r>
      <w:r w:rsidR="005206AD" w:rsidRPr="6A15B411">
        <w:rPr>
          <w:rFonts w:ascii="Arial" w:hAnsi="Arial" w:cs="Arial"/>
          <w:snapToGrid w:val="0"/>
        </w:rPr>
        <w:t xml:space="preserve"> </w:t>
      </w:r>
      <w:r w:rsidR="009D53E1" w:rsidRPr="6A15B411">
        <w:rPr>
          <w:rFonts w:ascii="Arial" w:hAnsi="Arial" w:cs="Arial"/>
          <w:snapToGrid w:val="0"/>
        </w:rPr>
        <w:t xml:space="preserve">would commence </w:t>
      </w:r>
      <w:r w:rsidR="0009315A" w:rsidRPr="6A15B411">
        <w:rPr>
          <w:rFonts w:ascii="Arial" w:hAnsi="Arial" w:cs="Arial"/>
          <w:snapToGrid w:val="0"/>
        </w:rPr>
        <w:t xml:space="preserve">on </w:t>
      </w:r>
      <w:r w:rsidR="004867B6" w:rsidRPr="6A15B411">
        <w:rPr>
          <w:rFonts w:ascii="Arial" w:hAnsi="Arial" w:cs="Arial"/>
          <w:snapToGrid w:val="0"/>
        </w:rPr>
        <w:t xml:space="preserve">gazettal of the new </w:t>
      </w:r>
      <w:r w:rsidR="00E65BBA" w:rsidRPr="6A15B411">
        <w:rPr>
          <w:rFonts w:ascii="Arial" w:hAnsi="Arial" w:cs="Arial"/>
          <w:snapToGrid w:val="0"/>
        </w:rPr>
        <w:t>requirements</w:t>
      </w:r>
      <w:r w:rsidR="00306EC6" w:rsidRPr="6A15B411">
        <w:rPr>
          <w:rStyle w:val="FootnoteReference"/>
          <w:rFonts w:ascii="Arial" w:hAnsi="Arial" w:cs="Arial"/>
          <w:snapToGrid w:val="0"/>
        </w:rPr>
        <w:footnoteReference w:id="20"/>
      </w:r>
      <w:r w:rsidR="00947706" w:rsidRPr="6A15B411">
        <w:rPr>
          <w:rFonts w:ascii="Arial" w:hAnsi="Arial" w:cs="Arial"/>
          <w:snapToGrid w:val="0"/>
        </w:rPr>
        <w:t>, in effect providing alcoholic beverage producers</w:t>
      </w:r>
      <w:r w:rsidR="00672CF2" w:rsidRPr="6A15B411">
        <w:rPr>
          <w:rFonts w:ascii="Arial" w:hAnsi="Arial" w:cs="Arial"/>
          <w:snapToGrid w:val="0"/>
        </w:rPr>
        <w:t xml:space="preserve"> slightly</w:t>
      </w:r>
      <w:r w:rsidR="00947706" w:rsidRPr="6A15B411">
        <w:rPr>
          <w:rFonts w:ascii="Arial" w:hAnsi="Arial" w:cs="Arial"/>
          <w:snapToGrid w:val="0"/>
        </w:rPr>
        <w:t xml:space="preserve"> more than three years notice after </w:t>
      </w:r>
      <w:r w:rsidR="00037A23" w:rsidRPr="6A15B411">
        <w:rPr>
          <w:rFonts w:ascii="Arial" w:hAnsi="Arial" w:cs="Arial"/>
          <w:snapToGrid w:val="0"/>
        </w:rPr>
        <w:t xml:space="preserve">a </w:t>
      </w:r>
      <w:r w:rsidR="007955CF" w:rsidRPr="6A15B411">
        <w:rPr>
          <w:rFonts w:ascii="Arial" w:hAnsi="Arial" w:cs="Arial"/>
          <w:snapToGrid w:val="0"/>
        </w:rPr>
        <w:t xml:space="preserve">final </w:t>
      </w:r>
      <w:r w:rsidR="00037A23" w:rsidRPr="6A15B411">
        <w:rPr>
          <w:rFonts w:ascii="Arial" w:hAnsi="Arial" w:cs="Arial"/>
          <w:snapToGrid w:val="0"/>
        </w:rPr>
        <w:t xml:space="preserve">decision </w:t>
      </w:r>
      <w:r w:rsidR="009D53E1" w:rsidRPr="6A15B411">
        <w:rPr>
          <w:rFonts w:ascii="Arial" w:hAnsi="Arial" w:cs="Arial"/>
          <w:snapToGrid w:val="0"/>
        </w:rPr>
        <w:t xml:space="preserve">is made </w:t>
      </w:r>
      <w:r w:rsidR="00037A23" w:rsidRPr="6A15B411">
        <w:rPr>
          <w:rFonts w:ascii="Arial" w:hAnsi="Arial" w:cs="Arial"/>
          <w:snapToGrid w:val="0"/>
        </w:rPr>
        <w:t xml:space="preserve">by Ministers </w:t>
      </w:r>
      <w:r w:rsidR="00E65BBA" w:rsidRPr="6A15B411">
        <w:rPr>
          <w:rFonts w:ascii="Arial" w:hAnsi="Arial" w:cs="Arial"/>
          <w:snapToGrid w:val="0"/>
        </w:rPr>
        <w:t>(before gazettal)</w:t>
      </w:r>
      <w:r w:rsidR="00A5680B" w:rsidRPr="6A15B411">
        <w:rPr>
          <w:rFonts w:ascii="Arial" w:hAnsi="Arial" w:cs="Arial"/>
          <w:snapToGrid w:val="0"/>
        </w:rPr>
        <w:t>.</w:t>
      </w:r>
      <w:r w:rsidR="005206AD" w:rsidRPr="6A15B411">
        <w:rPr>
          <w:rFonts w:ascii="Arial" w:hAnsi="Arial" w:cs="Arial"/>
          <w:snapToGrid w:val="0"/>
        </w:rPr>
        <w:t xml:space="preserve"> The</w:t>
      </w:r>
      <w:r w:rsidR="00612F37" w:rsidRPr="6A15B411">
        <w:rPr>
          <w:rFonts w:ascii="Arial" w:hAnsi="Arial" w:cs="Arial"/>
          <w:snapToGrid w:val="0"/>
        </w:rPr>
        <w:t xml:space="preserve"> stock</w:t>
      </w:r>
      <w:r w:rsidR="002806EB" w:rsidRPr="6A15B411">
        <w:rPr>
          <w:rFonts w:ascii="Arial" w:hAnsi="Arial" w:cs="Arial"/>
          <w:snapToGrid w:val="0"/>
        </w:rPr>
        <w:t>-in-trade provision</w:t>
      </w:r>
      <w:r w:rsidR="00612F37" w:rsidRPr="6A15B411">
        <w:rPr>
          <w:rFonts w:ascii="Arial" w:hAnsi="Arial" w:cs="Arial"/>
          <w:snapToGrid w:val="0"/>
        </w:rPr>
        <w:t xml:space="preserve"> would also help</w:t>
      </w:r>
      <w:r w:rsidR="00037A23" w:rsidRPr="6A15B411">
        <w:rPr>
          <w:rFonts w:ascii="Arial" w:hAnsi="Arial" w:cs="Arial"/>
          <w:snapToGrid w:val="0"/>
        </w:rPr>
        <w:t xml:space="preserve"> lower overall costs</w:t>
      </w:r>
      <w:r w:rsidR="00612F37" w:rsidRPr="6A15B411">
        <w:rPr>
          <w:rFonts w:ascii="Arial" w:hAnsi="Arial" w:cs="Arial"/>
          <w:snapToGrid w:val="0"/>
        </w:rPr>
        <w:t>, which</w:t>
      </w:r>
      <w:r w:rsidR="00947706" w:rsidRPr="6A15B411">
        <w:rPr>
          <w:rFonts w:ascii="Arial" w:hAnsi="Arial" w:cs="Arial"/>
          <w:snapToGrid w:val="0"/>
        </w:rPr>
        <w:t xml:space="preserve"> </w:t>
      </w:r>
      <w:r w:rsidR="00037A23" w:rsidRPr="6A15B411">
        <w:rPr>
          <w:rFonts w:ascii="Arial" w:hAnsi="Arial" w:cs="Arial"/>
          <w:snapToGrid w:val="0"/>
        </w:rPr>
        <w:t>the cost model has not accounted for</w:t>
      </w:r>
      <w:r w:rsidRPr="6A15B411">
        <w:rPr>
          <w:rFonts w:ascii="Arial" w:hAnsi="Arial" w:cs="Arial"/>
          <w:snapToGrid w:val="0"/>
        </w:rPr>
        <w:t>.</w:t>
      </w:r>
      <w:r w:rsidR="00C4582B" w:rsidRPr="6A15B411">
        <w:rPr>
          <w:rFonts w:ascii="Arial" w:hAnsi="Arial" w:cs="Arial"/>
          <w:snapToGrid w:val="0"/>
        </w:rPr>
        <w:t xml:space="preserve"> </w:t>
      </w:r>
      <w:r w:rsidR="0073433B" w:rsidRPr="6A15B411">
        <w:rPr>
          <w:rFonts w:ascii="Arial" w:hAnsi="Arial" w:cs="Arial"/>
          <w:snapToGrid w:val="0"/>
        </w:rPr>
        <w:t>Th</w:t>
      </w:r>
      <w:r w:rsidR="001370D7" w:rsidRPr="6A15B411">
        <w:rPr>
          <w:rFonts w:ascii="Arial" w:hAnsi="Arial" w:cs="Arial"/>
          <w:snapToGrid w:val="0"/>
        </w:rPr>
        <w:t>at</w:t>
      </w:r>
      <w:r w:rsidR="0073433B" w:rsidRPr="6A15B411">
        <w:rPr>
          <w:rFonts w:ascii="Arial" w:hAnsi="Arial" w:cs="Arial"/>
          <w:snapToGrid w:val="0"/>
        </w:rPr>
        <w:t xml:space="preserve"> </w:t>
      </w:r>
      <w:r w:rsidR="001370D7" w:rsidRPr="6A15B411">
        <w:rPr>
          <w:rFonts w:ascii="Arial" w:hAnsi="Arial" w:cs="Arial"/>
          <w:snapToGrid w:val="0"/>
        </w:rPr>
        <w:t xml:space="preserve">potential over-estimation of </w:t>
      </w:r>
      <w:r w:rsidR="008A3D7B" w:rsidRPr="6A15B411">
        <w:rPr>
          <w:rFonts w:ascii="Arial" w:hAnsi="Arial" w:cs="Arial"/>
          <w:snapToGrid w:val="0"/>
        </w:rPr>
        <w:t>total</w:t>
      </w:r>
      <w:r w:rsidR="00A902B2" w:rsidRPr="6A15B411">
        <w:rPr>
          <w:rFonts w:ascii="Arial" w:hAnsi="Arial" w:cs="Arial"/>
          <w:snapToGrid w:val="0"/>
        </w:rPr>
        <w:t xml:space="preserve"> label </w:t>
      </w:r>
      <w:r w:rsidR="00B331EC" w:rsidRPr="6A15B411">
        <w:rPr>
          <w:rFonts w:ascii="Arial" w:hAnsi="Arial" w:cs="Arial"/>
          <w:snapToGrid w:val="0"/>
        </w:rPr>
        <w:t xml:space="preserve">change costs </w:t>
      </w:r>
      <w:r w:rsidR="0073433B" w:rsidRPr="6A15B411">
        <w:rPr>
          <w:rFonts w:ascii="Arial" w:hAnsi="Arial" w:cs="Arial"/>
          <w:snapToGrid w:val="0"/>
        </w:rPr>
        <w:t>is assumed to</w:t>
      </w:r>
      <w:r w:rsidR="00E0207B" w:rsidRPr="6A15B411">
        <w:rPr>
          <w:rFonts w:ascii="Arial" w:hAnsi="Arial" w:cs="Arial"/>
          <w:snapToGrid w:val="0"/>
        </w:rPr>
        <w:t xml:space="preserve"> </w:t>
      </w:r>
      <w:r w:rsidR="00B331EC" w:rsidRPr="6A15B411">
        <w:rPr>
          <w:rFonts w:ascii="Arial" w:hAnsi="Arial" w:cs="Arial"/>
          <w:snapToGrid w:val="0"/>
        </w:rPr>
        <w:t>still be the case</w:t>
      </w:r>
      <w:r w:rsidR="00571BF9" w:rsidRPr="6A15B411">
        <w:rPr>
          <w:rFonts w:ascii="Arial" w:hAnsi="Arial" w:cs="Arial"/>
          <w:snapToGrid w:val="0"/>
        </w:rPr>
        <w:t xml:space="preserve">, even </w:t>
      </w:r>
      <w:r w:rsidR="009D53E1" w:rsidRPr="6A15B411">
        <w:rPr>
          <w:rFonts w:ascii="Arial" w:hAnsi="Arial" w:cs="Arial"/>
          <w:snapToGrid w:val="0"/>
        </w:rPr>
        <w:t xml:space="preserve">though </w:t>
      </w:r>
      <w:r w:rsidR="00BB1CA9" w:rsidRPr="6A15B411">
        <w:rPr>
          <w:rFonts w:ascii="Arial" w:hAnsi="Arial" w:cs="Arial"/>
          <w:snapToGrid w:val="0"/>
        </w:rPr>
        <w:t xml:space="preserve">a </w:t>
      </w:r>
      <w:r w:rsidR="001370D7" w:rsidRPr="6A15B411">
        <w:rPr>
          <w:rFonts w:ascii="Arial" w:hAnsi="Arial" w:cs="Arial"/>
          <w:snapToGrid w:val="0"/>
        </w:rPr>
        <w:t xml:space="preserve">relatively low number </w:t>
      </w:r>
      <w:r w:rsidR="00571BF9" w:rsidRPr="6A15B411">
        <w:rPr>
          <w:rFonts w:ascii="Arial" w:hAnsi="Arial" w:cs="Arial"/>
          <w:snapToGrid w:val="0"/>
        </w:rPr>
        <w:t xml:space="preserve">of brewed soft drink SKUs with ABV &gt;0.5% </w:t>
      </w:r>
      <w:r w:rsidR="009D53E1" w:rsidRPr="6A15B411">
        <w:rPr>
          <w:rFonts w:ascii="Arial" w:hAnsi="Arial" w:cs="Arial"/>
          <w:snapToGrid w:val="0"/>
        </w:rPr>
        <w:t xml:space="preserve">that would be affected by this option 2 were not included </w:t>
      </w:r>
      <w:r w:rsidR="00571BF9" w:rsidRPr="6A15B411">
        <w:rPr>
          <w:rFonts w:ascii="Arial" w:hAnsi="Arial" w:cs="Arial"/>
          <w:snapToGrid w:val="0"/>
        </w:rPr>
        <w:t xml:space="preserve">in FSANZ’s </w:t>
      </w:r>
      <w:r w:rsidR="00571BF9" w:rsidRPr="6A15B411">
        <w:rPr>
          <w:rFonts w:ascii="Arial" w:eastAsia="Arial" w:hAnsi="Arial" w:cs="Arial"/>
        </w:rPr>
        <w:t>estimated 71,269 SKUs.</w:t>
      </w:r>
      <w:r w:rsidR="00571BF9" w:rsidRPr="6A15B411">
        <w:rPr>
          <w:rFonts w:ascii="Arial" w:hAnsi="Arial" w:cs="Arial"/>
          <w:snapToGrid w:val="0"/>
        </w:rPr>
        <w:t xml:space="preserve"> </w:t>
      </w:r>
      <w:r w:rsidR="00E0207B" w:rsidRPr="6A15B411">
        <w:rPr>
          <w:rFonts w:ascii="Arial" w:hAnsi="Arial" w:cs="Arial"/>
          <w:snapToGrid w:val="0"/>
        </w:rPr>
        <w:t xml:space="preserve"> </w:t>
      </w:r>
    </w:p>
    <w:p w14:paraId="4C916E3A" w14:textId="789420B5" w:rsidR="001B5C50" w:rsidRDefault="001B5C50" w:rsidP="001B5C50">
      <w:pPr>
        <w:pStyle w:val="ListParagraph"/>
        <w:ind w:left="0"/>
        <w:rPr>
          <w:rFonts w:ascii="Arial" w:eastAsia="Arial" w:hAnsi="Arial" w:cs="Arial"/>
        </w:rPr>
      </w:pPr>
      <w:r w:rsidRPr="003E5E1C">
        <w:rPr>
          <w:rFonts w:ascii="Arial" w:eastAsia="Arial" w:hAnsi="Arial" w:cs="Arial"/>
        </w:rPr>
        <w:t>The above</w:t>
      </w:r>
      <w:r>
        <w:rPr>
          <w:rFonts w:ascii="Arial" w:eastAsia="Arial" w:hAnsi="Arial" w:cs="Arial"/>
        </w:rPr>
        <w:t xml:space="preserve"> </w:t>
      </w:r>
      <w:r w:rsidR="00775E22">
        <w:rPr>
          <w:rFonts w:ascii="Arial" w:eastAsia="Arial" w:hAnsi="Arial" w:cs="Arial"/>
        </w:rPr>
        <w:t>immediate</w:t>
      </w:r>
      <w:r w:rsidRPr="003E5E1C">
        <w:rPr>
          <w:rFonts w:ascii="Arial" w:eastAsia="Arial" w:hAnsi="Arial" w:cs="Arial"/>
        </w:rPr>
        <w:t xml:space="preserve"> costs are counted </w:t>
      </w:r>
      <w:r>
        <w:rPr>
          <w:rFonts w:ascii="Arial" w:eastAsia="Arial" w:hAnsi="Arial" w:cs="Arial"/>
        </w:rPr>
        <w:t xml:space="preserve">as costs to producers for this DRIS. </w:t>
      </w:r>
      <w:r>
        <w:rPr>
          <w:rFonts w:ascii="Arial" w:hAnsi="Arial" w:cs="Arial"/>
          <w:snapToGrid w:val="0"/>
          <w:lang w:val="en-AU"/>
        </w:rPr>
        <w:t xml:space="preserve">Note that some of these costs may be passed onto alcoholic beverage wholesalers, retailers (including shops or hospitality services) and / or consumers. </w:t>
      </w:r>
      <w:r w:rsidRPr="003E5E1C">
        <w:rPr>
          <w:rFonts w:ascii="Arial" w:eastAsia="Arial" w:hAnsi="Arial" w:cs="Arial"/>
        </w:rPr>
        <w:t xml:space="preserve">Whether and how much of these costs are passed on </w:t>
      </w:r>
      <w:r w:rsidRPr="003E5E1C">
        <w:rPr>
          <w:rFonts w:ascii="Arial" w:eastAsia="Arial" w:hAnsi="Arial" w:cs="Arial"/>
        </w:rPr>
        <w:lastRenderedPageBreak/>
        <w:t>depends on economic factors like market competition and consumer demand curves</w:t>
      </w:r>
      <w:r>
        <w:rPr>
          <w:rStyle w:val="FootnoteReference"/>
          <w:rFonts w:ascii="Arial" w:eastAsia="Arial" w:hAnsi="Arial" w:cs="Arial"/>
        </w:rPr>
        <w:footnoteReference w:id="21"/>
      </w:r>
      <w:r w:rsidRPr="003E5E1C">
        <w:rPr>
          <w:rFonts w:ascii="Arial" w:eastAsia="Arial" w:hAnsi="Arial" w:cs="Arial"/>
        </w:rPr>
        <w:t>.</w:t>
      </w:r>
      <w:r>
        <w:rPr>
          <w:rFonts w:ascii="Arial" w:eastAsia="Arial" w:hAnsi="Arial" w:cs="Arial"/>
        </w:rPr>
        <w:t xml:space="preserve"> There may be reduced sales in some markets. Such data</w:t>
      </w:r>
      <w:r>
        <w:rPr>
          <w:lang w:val="en-AU"/>
        </w:rPr>
        <w:t xml:space="preserve"> </w:t>
      </w:r>
      <w:r w:rsidRPr="003E5E1C">
        <w:rPr>
          <w:rFonts w:ascii="Arial" w:eastAsia="Arial" w:hAnsi="Arial" w:cs="Arial"/>
        </w:rPr>
        <w:t>is not available to FSANZ</w:t>
      </w:r>
      <w:r w:rsidR="003275BF">
        <w:rPr>
          <w:rFonts w:ascii="Arial" w:eastAsia="Arial" w:hAnsi="Arial" w:cs="Arial"/>
        </w:rPr>
        <w:t>, t</w:t>
      </w:r>
      <w:r w:rsidRPr="003E5E1C">
        <w:rPr>
          <w:rFonts w:ascii="Arial" w:eastAsia="Arial" w:hAnsi="Arial" w:cs="Arial"/>
        </w:rPr>
        <w:t xml:space="preserve">herefore </w:t>
      </w:r>
      <w:r>
        <w:rPr>
          <w:rFonts w:ascii="Arial" w:eastAsia="Arial" w:hAnsi="Arial" w:cs="Arial"/>
        </w:rPr>
        <w:t xml:space="preserve">the </w:t>
      </w:r>
      <w:r w:rsidRPr="003E5E1C">
        <w:rPr>
          <w:rFonts w:ascii="Arial" w:eastAsia="Arial" w:hAnsi="Arial" w:cs="Arial"/>
        </w:rPr>
        <w:t xml:space="preserve">extent of </w:t>
      </w:r>
      <w:r>
        <w:rPr>
          <w:rFonts w:ascii="Arial" w:eastAsia="Arial" w:hAnsi="Arial" w:cs="Arial"/>
        </w:rPr>
        <w:t xml:space="preserve">any </w:t>
      </w:r>
      <w:r w:rsidRPr="003E5E1C">
        <w:rPr>
          <w:rFonts w:ascii="Arial" w:eastAsia="Arial" w:hAnsi="Arial" w:cs="Arial"/>
        </w:rPr>
        <w:t>cost pass</w:t>
      </w:r>
      <w:r w:rsidR="009D53E1">
        <w:rPr>
          <w:rFonts w:ascii="Arial" w:eastAsia="Arial" w:hAnsi="Arial" w:cs="Arial"/>
        </w:rPr>
        <w:t xml:space="preserve"> on</w:t>
      </w:r>
      <w:r w:rsidRPr="003E5E1C">
        <w:rPr>
          <w:rFonts w:ascii="Arial" w:eastAsia="Arial" w:hAnsi="Arial" w:cs="Arial"/>
        </w:rPr>
        <w:t xml:space="preserve"> has not been estimated. </w:t>
      </w:r>
    </w:p>
    <w:p w14:paraId="5483BC3A" w14:textId="77777777" w:rsidR="00CD1843" w:rsidRDefault="00CD1843" w:rsidP="001B5C50">
      <w:pPr>
        <w:pStyle w:val="ListParagraph"/>
        <w:ind w:left="0"/>
        <w:rPr>
          <w:rFonts w:ascii="Arial" w:eastAsia="Arial" w:hAnsi="Arial" w:cs="Arial"/>
        </w:rPr>
      </w:pPr>
    </w:p>
    <w:p w14:paraId="0A90A74D" w14:textId="254F4F8A" w:rsidR="004A09C3" w:rsidRDefault="004A09C3" w:rsidP="004A09C3">
      <w:pPr>
        <w:pStyle w:val="ListParagraph"/>
        <w:ind w:left="0"/>
        <w:rPr>
          <w:rFonts w:ascii="Arial" w:eastAsia="Arial" w:hAnsi="Arial" w:cs="Arial"/>
        </w:rPr>
      </w:pPr>
      <w:r>
        <w:rPr>
          <w:rFonts w:ascii="Arial" w:hAnsi="Arial" w:cs="Arial"/>
          <w:snapToGrid w:val="0"/>
          <w:lang w:val="en-GB"/>
        </w:rPr>
        <w:t xml:space="preserve">No label change costs are assumed from the prescribed content and format requirements for voluntary NIPs under option 2. It is assumed that most (if not all) voluntary NIPs on alcoholic beverages and other foods containing more than 1.15% ABV already meet those requirements.  </w:t>
      </w:r>
    </w:p>
    <w:p w14:paraId="2028912E" w14:textId="77777777" w:rsidR="00605D10" w:rsidRDefault="00605D10" w:rsidP="001B5C50">
      <w:pPr>
        <w:pStyle w:val="ListParagraph"/>
        <w:ind w:left="0"/>
        <w:rPr>
          <w:rFonts w:ascii="Arial" w:eastAsia="Arial" w:hAnsi="Arial" w:cs="Arial"/>
        </w:rPr>
      </w:pPr>
    </w:p>
    <w:p w14:paraId="77563D4A" w14:textId="79BBF154" w:rsidR="001B5C50" w:rsidRDefault="00CD1843" w:rsidP="00FE5201">
      <w:pPr>
        <w:pStyle w:val="ListParagraph"/>
        <w:ind w:left="0"/>
        <w:rPr>
          <w:rFonts w:ascii="Arial" w:eastAsia="Arial" w:hAnsi="Arial" w:cs="Arial"/>
        </w:rPr>
      </w:pPr>
      <w:r w:rsidRPr="005B41D0">
        <w:rPr>
          <w:rFonts w:ascii="Arial" w:eastAsia="Arial" w:hAnsi="Arial" w:cs="Arial"/>
        </w:rPr>
        <w:t xml:space="preserve">More details </w:t>
      </w:r>
      <w:r>
        <w:rPr>
          <w:rFonts w:ascii="Arial" w:eastAsia="Arial" w:hAnsi="Arial" w:cs="Arial"/>
        </w:rPr>
        <w:t xml:space="preserve">about costs </w:t>
      </w:r>
      <w:r w:rsidRPr="005B41D0">
        <w:rPr>
          <w:rFonts w:ascii="Arial" w:eastAsia="Arial" w:hAnsi="Arial" w:cs="Arial"/>
        </w:rPr>
        <w:t xml:space="preserve">are provided in </w:t>
      </w:r>
      <w:r w:rsidRPr="00467AF0">
        <w:rPr>
          <w:rFonts w:ascii="Arial" w:eastAsia="Arial" w:hAnsi="Arial" w:cs="Arial"/>
        </w:rPr>
        <w:t>Appendix A</w:t>
      </w:r>
      <w:r>
        <w:rPr>
          <w:rFonts w:ascii="Arial" w:eastAsia="Arial" w:hAnsi="Arial" w:cs="Arial"/>
        </w:rPr>
        <w:t xml:space="preserve"> of this DRIS</w:t>
      </w:r>
      <w:r w:rsidRPr="005B41D0">
        <w:rPr>
          <w:rFonts w:ascii="Arial" w:eastAsia="Arial" w:hAnsi="Arial" w:cs="Arial"/>
        </w:rPr>
        <w:t>.</w:t>
      </w:r>
    </w:p>
    <w:p w14:paraId="63D91FBA" w14:textId="77777777" w:rsidR="00FE5201" w:rsidRPr="00FE5201" w:rsidRDefault="00FE5201" w:rsidP="00FE5201">
      <w:pPr>
        <w:pStyle w:val="ListParagraph"/>
        <w:ind w:left="0"/>
        <w:rPr>
          <w:rFonts w:ascii="Arial" w:eastAsia="Arial" w:hAnsi="Arial" w:cs="Arial"/>
        </w:rPr>
      </w:pPr>
    </w:p>
    <w:p w14:paraId="7AA6ECB1" w14:textId="704C45BB" w:rsidR="00EF09A0" w:rsidRPr="00EF09A0" w:rsidRDefault="006F734C" w:rsidP="00EF09A0">
      <w:pPr>
        <w:pStyle w:val="ListParagraph"/>
        <w:spacing w:after="120"/>
        <w:ind w:left="0"/>
        <w:rPr>
          <w:rFonts w:ascii="Arial" w:eastAsia="Arial" w:hAnsi="Arial" w:cs="Arial"/>
          <w:b/>
          <w:bCs/>
          <w:i/>
          <w:iCs/>
        </w:rPr>
      </w:pPr>
      <w:r w:rsidRPr="00EF09A0">
        <w:rPr>
          <w:rFonts w:ascii="Arial" w:eastAsia="Arial" w:hAnsi="Arial" w:cs="Arial"/>
          <w:b/>
          <w:bCs/>
          <w:i/>
          <w:iCs/>
        </w:rPr>
        <w:t xml:space="preserve">Distributional impacts of label change costs of </w:t>
      </w:r>
      <w:r w:rsidR="009D53E1">
        <w:rPr>
          <w:rFonts w:ascii="Arial" w:eastAsia="Arial" w:hAnsi="Arial" w:cs="Arial"/>
          <w:b/>
          <w:bCs/>
          <w:i/>
          <w:iCs/>
        </w:rPr>
        <w:t>o</w:t>
      </w:r>
      <w:r w:rsidR="009D53E1" w:rsidRPr="00EF09A0">
        <w:rPr>
          <w:rFonts w:ascii="Arial" w:eastAsia="Arial" w:hAnsi="Arial" w:cs="Arial"/>
          <w:b/>
          <w:bCs/>
          <w:i/>
          <w:iCs/>
        </w:rPr>
        <w:t xml:space="preserve">ption </w:t>
      </w:r>
      <w:r w:rsidRPr="00EF09A0">
        <w:rPr>
          <w:rFonts w:ascii="Arial" w:eastAsia="Arial" w:hAnsi="Arial" w:cs="Arial"/>
          <w:b/>
          <w:bCs/>
          <w:i/>
          <w:iCs/>
        </w:rPr>
        <w:t>2</w:t>
      </w:r>
    </w:p>
    <w:p w14:paraId="040FAFCD" w14:textId="214AEA22" w:rsidR="00C66EB8" w:rsidRDefault="00C66EB8" w:rsidP="006F734C">
      <w:pPr>
        <w:pStyle w:val="ListParagraph"/>
        <w:ind w:left="0"/>
        <w:rPr>
          <w:rFonts w:ascii="Arial" w:hAnsi="Arial" w:cs="Arial"/>
          <w:lang w:val="en-AU"/>
          <w14:ligatures w14:val="none"/>
        </w:rPr>
      </w:pPr>
      <w:r w:rsidRPr="1A79B7AB">
        <w:rPr>
          <w:rFonts w:ascii="Arial" w:hAnsi="Arial" w:cs="Arial"/>
          <w:lang w:val="en-GB"/>
        </w:rPr>
        <w:t>Equal weighting is given to costs across all parts of society, including industry, consumers and governments</w:t>
      </w:r>
      <w:r w:rsidR="004401E9">
        <w:rPr>
          <w:rFonts w:ascii="Arial" w:hAnsi="Arial" w:cs="Arial"/>
          <w:lang w:val="en-GB"/>
        </w:rPr>
        <w:t>,</w:t>
      </w:r>
      <w:r w:rsidR="002E2F23">
        <w:rPr>
          <w:rFonts w:ascii="Arial" w:hAnsi="Arial" w:cs="Arial"/>
          <w:lang w:val="en-GB"/>
        </w:rPr>
        <w:t xml:space="preserve"> which is the standard approach used in cost benefit analysis</w:t>
      </w:r>
      <w:r w:rsidRPr="1A79B7AB">
        <w:rPr>
          <w:rFonts w:ascii="Arial" w:hAnsi="Arial" w:cs="Arial"/>
          <w:lang w:val="en-GB"/>
        </w:rPr>
        <w:t xml:space="preserve">. </w:t>
      </w:r>
    </w:p>
    <w:p w14:paraId="3154E581" w14:textId="77777777" w:rsidR="00C66EB8" w:rsidRDefault="00C66EB8" w:rsidP="006F734C">
      <w:pPr>
        <w:pStyle w:val="ListParagraph"/>
        <w:ind w:left="0"/>
        <w:rPr>
          <w:rFonts w:ascii="Arial" w:hAnsi="Arial" w:cs="Arial"/>
          <w:lang w:val="en-AU"/>
          <w14:ligatures w14:val="none"/>
        </w:rPr>
      </w:pPr>
    </w:p>
    <w:p w14:paraId="4CF508D7" w14:textId="391C163D" w:rsidR="006F734C" w:rsidRDefault="006F734C" w:rsidP="006F734C">
      <w:pPr>
        <w:pStyle w:val="ListParagraph"/>
        <w:ind w:left="0"/>
        <w:rPr>
          <w:rFonts w:ascii="Arial" w:hAnsi="Arial" w:cs="Arial"/>
          <w:lang w:val="en-AU"/>
          <w14:ligatures w14:val="none"/>
        </w:rPr>
      </w:pPr>
      <w:r w:rsidRPr="009B68DC">
        <w:rPr>
          <w:rFonts w:ascii="Arial" w:hAnsi="Arial" w:cs="Arial"/>
          <w:lang w:val="en-AU"/>
          <w14:ligatures w14:val="none"/>
        </w:rPr>
        <w:t xml:space="preserve">It is noted that </w:t>
      </w:r>
      <w:r>
        <w:rPr>
          <w:rFonts w:ascii="Arial" w:hAnsi="Arial" w:cs="Arial"/>
          <w:lang w:val="en-AU"/>
          <w14:ligatures w14:val="none"/>
        </w:rPr>
        <w:t xml:space="preserve">the implications of changing labels to incorporate </w:t>
      </w:r>
      <w:r w:rsidR="00C04DFE">
        <w:rPr>
          <w:rFonts w:ascii="Arial" w:hAnsi="Arial" w:cs="Arial"/>
          <w:lang w:val="en-AU"/>
          <w14:ligatures w14:val="none"/>
        </w:rPr>
        <w:t xml:space="preserve">option </w:t>
      </w:r>
      <w:r>
        <w:rPr>
          <w:rFonts w:ascii="Arial" w:hAnsi="Arial" w:cs="Arial"/>
          <w:lang w:val="en-AU"/>
          <w14:ligatures w14:val="none"/>
        </w:rPr>
        <w:t xml:space="preserve">2’s energy statement would vary by individual business that produce alcoholic beverages. </w:t>
      </w:r>
    </w:p>
    <w:p w14:paraId="6F610EEC" w14:textId="77777777" w:rsidR="006F734C" w:rsidRDefault="006F734C" w:rsidP="006F734C">
      <w:pPr>
        <w:pStyle w:val="ListParagraph"/>
        <w:ind w:left="0"/>
        <w:rPr>
          <w:rFonts w:ascii="Arial" w:hAnsi="Arial" w:cs="Arial"/>
          <w:lang w:val="en-AU"/>
          <w14:ligatures w14:val="none"/>
        </w:rPr>
      </w:pPr>
    </w:p>
    <w:p w14:paraId="7986665F" w14:textId="0D5B6F24" w:rsidR="006F734C" w:rsidRDefault="006F734C" w:rsidP="006F734C">
      <w:pPr>
        <w:pStyle w:val="ListParagraph"/>
        <w:ind w:left="0"/>
        <w:rPr>
          <w:rFonts w:ascii="Arial" w:hAnsi="Arial" w:cs="Arial"/>
          <w:lang w:val="en-AU"/>
          <w14:ligatures w14:val="none"/>
        </w:rPr>
      </w:pPr>
      <w:r>
        <w:rPr>
          <w:rFonts w:ascii="Arial" w:hAnsi="Arial" w:cs="Arial"/>
          <w:lang w:val="en-AU"/>
          <w14:ligatures w14:val="none"/>
        </w:rPr>
        <w:t>The wine sector would carry a proportionately high burden of the label change costs</w:t>
      </w:r>
      <w:r w:rsidR="00121DB8">
        <w:rPr>
          <w:rFonts w:ascii="Arial" w:hAnsi="Arial" w:cs="Arial"/>
          <w:lang w:val="en-AU"/>
          <w14:ligatures w14:val="none"/>
        </w:rPr>
        <w:t>. W</w:t>
      </w:r>
      <w:r>
        <w:rPr>
          <w:rFonts w:ascii="Arial" w:hAnsi="Arial" w:cs="Arial"/>
          <w:lang w:val="en-AU"/>
          <w14:ligatures w14:val="none"/>
        </w:rPr>
        <w:t xml:space="preserve">ine accounts for over 80% of all alcoholic beverage SKUs, for which SKUs </w:t>
      </w:r>
      <w:r w:rsidR="00121DB8">
        <w:rPr>
          <w:rFonts w:ascii="Arial" w:hAnsi="Arial" w:cs="Arial"/>
          <w:lang w:val="en-AU"/>
          <w14:ligatures w14:val="none"/>
        </w:rPr>
        <w:t>often contain relatively low numbers of beverage containers</w:t>
      </w:r>
      <w:r w:rsidR="00E40A8B">
        <w:rPr>
          <w:rFonts w:ascii="Arial" w:hAnsi="Arial" w:cs="Arial"/>
          <w:lang w:val="en-AU"/>
          <w14:ligatures w14:val="none"/>
        </w:rPr>
        <w:t xml:space="preserve"> (compared to say a </w:t>
      </w:r>
      <w:r w:rsidR="00211007">
        <w:rPr>
          <w:rFonts w:ascii="Arial" w:hAnsi="Arial" w:cs="Arial"/>
          <w:lang w:val="en-AU"/>
          <w14:ligatures w14:val="none"/>
        </w:rPr>
        <w:t xml:space="preserve">larger </w:t>
      </w:r>
      <w:r w:rsidR="0002565C">
        <w:rPr>
          <w:rFonts w:ascii="Arial" w:hAnsi="Arial" w:cs="Arial"/>
          <w:lang w:val="en-AU"/>
          <w14:ligatures w14:val="none"/>
        </w:rPr>
        <w:t>beer SKU that is mass</w:t>
      </w:r>
      <w:r w:rsidR="004840A8">
        <w:rPr>
          <w:rFonts w:ascii="Arial" w:hAnsi="Arial" w:cs="Arial"/>
          <w:lang w:val="en-AU"/>
          <w14:ligatures w14:val="none"/>
        </w:rPr>
        <w:t>-</w:t>
      </w:r>
      <w:r w:rsidR="0002565C">
        <w:rPr>
          <w:rFonts w:ascii="Arial" w:hAnsi="Arial" w:cs="Arial"/>
          <w:lang w:val="en-AU"/>
          <w14:ligatures w14:val="none"/>
        </w:rPr>
        <w:t>produced</w:t>
      </w:r>
      <w:r w:rsidR="004840A8">
        <w:rPr>
          <w:rFonts w:ascii="Arial" w:hAnsi="Arial" w:cs="Arial"/>
          <w:lang w:val="en-AU"/>
          <w14:ligatures w14:val="none"/>
        </w:rPr>
        <w:t xml:space="preserve"> with</w:t>
      </w:r>
      <w:r w:rsidR="00E40A8B">
        <w:rPr>
          <w:rFonts w:ascii="Arial" w:hAnsi="Arial" w:cs="Arial"/>
          <w:lang w:val="en-AU"/>
          <w14:ligatures w14:val="none"/>
        </w:rPr>
        <w:t xml:space="preserve"> </w:t>
      </w:r>
      <w:r w:rsidR="004840A8">
        <w:rPr>
          <w:rFonts w:ascii="Arial" w:hAnsi="Arial" w:cs="Arial"/>
          <w:lang w:val="en-AU"/>
          <w14:ligatures w14:val="none"/>
        </w:rPr>
        <w:t xml:space="preserve">high </w:t>
      </w:r>
      <w:r w:rsidR="003A73F4">
        <w:rPr>
          <w:rFonts w:ascii="Arial" w:hAnsi="Arial" w:cs="Arial"/>
          <w:lang w:val="en-AU"/>
          <w14:ligatures w14:val="none"/>
        </w:rPr>
        <w:t>container number</w:t>
      </w:r>
      <w:r w:rsidR="004840A8">
        <w:rPr>
          <w:rFonts w:ascii="Arial" w:hAnsi="Arial" w:cs="Arial"/>
          <w:lang w:val="en-AU"/>
          <w14:ligatures w14:val="none"/>
        </w:rPr>
        <w:t>s</w:t>
      </w:r>
      <w:r w:rsidR="00E40A8B">
        <w:rPr>
          <w:rFonts w:ascii="Arial" w:hAnsi="Arial" w:cs="Arial"/>
          <w:lang w:val="en-AU"/>
          <w14:ligatures w14:val="none"/>
        </w:rPr>
        <w:t>)</w:t>
      </w:r>
      <w:r w:rsidR="00121DB8">
        <w:rPr>
          <w:rFonts w:ascii="Arial" w:hAnsi="Arial" w:cs="Arial"/>
          <w:lang w:val="en-AU"/>
          <w14:ligatures w14:val="none"/>
        </w:rPr>
        <w:t>.</w:t>
      </w:r>
      <w:r>
        <w:rPr>
          <w:rFonts w:ascii="Arial" w:hAnsi="Arial" w:cs="Arial"/>
          <w:lang w:val="en-AU"/>
          <w14:ligatures w14:val="none"/>
        </w:rPr>
        <w:t xml:space="preserve"> Additionally, some of the smaller businesses and smaller or limited edition SKUs across all alcoholic beverage sectors may carry</w:t>
      </w:r>
      <w:r w:rsidR="00041901">
        <w:rPr>
          <w:rFonts w:ascii="Arial" w:hAnsi="Arial" w:cs="Arial"/>
          <w:lang w:val="en-AU"/>
          <w14:ligatures w14:val="none"/>
        </w:rPr>
        <w:t xml:space="preserve"> a</w:t>
      </w:r>
      <w:r>
        <w:rPr>
          <w:rFonts w:ascii="Arial" w:hAnsi="Arial" w:cs="Arial"/>
          <w:lang w:val="en-AU"/>
          <w14:ligatures w14:val="none"/>
        </w:rPr>
        <w:t xml:space="preserve"> proportionately higher cost burden of label changes</w:t>
      </w:r>
      <w:r w:rsidR="00DE6F1D">
        <w:rPr>
          <w:rFonts w:ascii="Arial" w:hAnsi="Arial" w:cs="Arial"/>
          <w:lang w:val="en-AU"/>
          <w14:ligatures w14:val="none"/>
        </w:rPr>
        <w:t xml:space="preserve">, including </w:t>
      </w:r>
      <w:r w:rsidR="00143AFC">
        <w:rPr>
          <w:rFonts w:ascii="Arial" w:hAnsi="Arial" w:cs="Arial"/>
          <w:lang w:val="en-AU"/>
          <w14:ligatures w14:val="none"/>
        </w:rPr>
        <w:t>some small brewers.</w:t>
      </w:r>
    </w:p>
    <w:p w14:paraId="33147810" w14:textId="77777777" w:rsidR="00655280" w:rsidRDefault="00655280" w:rsidP="006F734C">
      <w:pPr>
        <w:pStyle w:val="ListParagraph"/>
        <w:ind w:left="0"/>
        <w:rPr>
          <w:rFonts w:ascii="Arial" w:hAnsi="Arial" w:cs="Arial"/>
          <w:lang w:val="en-AU"/>
          <w14:ligatures w14:val="none"/>
        </w:rPr>
      </w:pPr>
    </w:p>
    <w:p w14:paraId="22BD960C" w14:textId="7F347F0B" w:rsidR="008B0CF5" w:rsidRDefault="56C33927" w:rsidP="00C20604">
      <w:pPr>
        <w:spacing w:after="240"/>
        <w:rPr>
          <w:rFonts w:ascii="Arial" w:hAnsi="Arial" w:cs="Arial"/>
          <w:lang w:val="en-AU"/>
        </w:rPr>
      </w:pPr>
      <w:r w:rsidRPr="1A79B7AB">
        <w:rPr>
          <w:rFonts w:ascii="Arial" w:hAnsi="Arial" w:cs="Arial"/>
          <w:lang w:val="en-AU"/>
        </w:rPr>
        <w:t xml:space="preserve">A three year transition period for complying with the requirements of </w:t>
      </w:r>
      <w:r w:rsidR="00C04DFE">
        <w:rPr>
          <w:rFonts w:ascii="Arial" w:hAnsi="Arial" w:cs="Arial"/>
          <w:lang w:val="en-AU"/>
        </w:rPr>
        <w:t>o</w:t>
      </w:r>
      <w:r w:rsidR="00C04DFE" w:rsidRPr="1A79B7AB">
        <w:rPr>
          <w:rFonts w:ascii="Arial" w:hAnsi="Arial" w:cs="Arial"/>
          <w:lang w:val="en-AU"/>
        </w:rPr>
        <w:t xml:space="preserve">ption </w:t>
      </w:r>
      <w:r w:rsidRPr="1A79B7AB">
        <w:rPr>
          <w:rFonts w:ascii="Arial" w:hAnsi="Arial" w:cs="Arial"/>
          <w:lang w:val="en-AU"/>
        </w:rPr>
        <w:t xml:space="preserve">2 </w:t>
      </w:r>
      <w:r w:rsidR="6AEFD88A" w:rsidRPr="1A79B7AB">
        <w:rPr>
          <w:rFonts w:ascii="Arial" w:hAnsi="Arial" w:cs="Arial"/>
          <w:lang w:val="en-AU"/>
        </w:rPr>
        <w:t>(</w:t>
      </w:r>
      <w:r w:rsidR="5C8F9EAB" w:rsidRPr="1A79B7AB">
        <w:rPr>
          <w:rFonts w:ascii="Arial" w:hAnsi="Arial" w:cs="Arial"/>
          <w:lang w:val="en-AU"/>
        </w:rPr>
        <w:t>or</w:t>
      </w:r>
      <w:r w:rsidRPr="1A79B7AB">
        <w:rPr>
          <w:rFonts w:ascii="Arial" w:hAnsi="Arial" w:cs="Arial"/>
          <w:lang w:val="en-AU"/>
        </w:rPr>
        <w:t xml:space="preserve"> </w:t>
      </w:r>
      <w:r w:rsidR="00C04DFE">
        <w:rPr>
          <w:rFonts w:ascii="Arial" w:hAnsi="Arial" w:cs="Arial"/>
          <w:lang w:val="en-AU"/>
        </w:rPr>
        <w:t>o</w:t>
      </w:r>
      <w:r w:rsidR="00C04DFE" w:rsidRPr="1A79B7AB">
        <w:rPr>
          <w:rFonts w:ascii="Arial" w:hAnsi="Arial" w:cs="Arial"/>
          <w:lang w:val="en-AU"/>
        </w:rPr>
        <w:t xml:space="preserve">ption </w:t>
      </w:r>
      <w:r w:rsidRPr="1A79B7AB">
        <w:rPr>
          <w:rFonts w:ascii="Arial" w:hAnsi="Arial" w:cs="Arial"/>
          <w:lang w:val="en-AU"/>
        </w:rPr>
        <w:t xml:space="preserve">3 below) may not enable all existing label stocks (that don’t comply with the new requirements) to be </w:t>
      </w:r>
      <w:r w:rsidR="00C04DFE">
        <w:rPr>
          <w:rFonts w:ascii="Arial" w:hAnsi="Arial" w:cs="Arial"/>
          <w:lang w:val="en-AU"/>
        </w:rPr>
        <w:t>exhausted</w:t>
      </w:r>
      <w:r w:rsidR="00C04DFE" w:rsidRPr="1A79B7AB">
        <w:rPr>
          <w:rFonts w:ascii="Arial" w:hAnsi="Arial" w:cs="Arial"/>
          <w:lang w:val="en-AU"/>
        </w:rPr>
        <w:t xml:space="preserve"> </w:t>
      </w:r>
      <w:r w:rsidRPr="1A79B7AB">
        <w:rPr>
          <w:rFonts w:ascii="Arial" w:hAnsi="Arial" w:cs="Arial"/>
          <w:lang w:val="en-AU"/>
        </w:rPr>
        <w:t xml:space="preserve">by the end of that transition period for every </w:t>
      </w:r>
      <w:r w:rsidR="5C8F9EAB" w:rsidRPr="1A79B7AB">
        <w:rPr>
          <w:rFonts w:ascii="Arial" w:hAnsi="Arial" w:cs="Arial"/>
          <w:lang w:val="en-AU"/>
        </w:rPr>
        <w:t>SKU</w:t>
      </w:r>
      <w:r w:rsidRPr="1A79B7AB">
        <w:rPr>
          <w:rFonts w:ascii="Arial" w:hAnsi="Arial" w:cs="Arial"/>
          <w:lang w:val="en-AU"/>
        </w:rPr>
        <w:t xml:space="preserve">. </w:t>
      </w:r>
      <w:r w:rsidR="00C04DFE">
        <w:rPr>
          <w:rFonts w:ascii="Arial" w:hAnsi="Arial" w:cs="Arial"/>
          <w:lang w:val="en-AU"/>
        </w:rPr>
        <w:t>However, t</w:t>
      </w:r>
      <w:r w:rsidRPr="1A79B7AB">
        <w:rPr>
          <w:rFonts w:ascii="Arial" w:hAnsi="Arial" w:cs="Arial"/>
          <w:lang w:val="en-AU"/>
        </w:rPr>
        <w:t>aking account of stakeholder feedback, it is expected that a three</w:t>
      </w:r>
      <w:r w:rsidR="03AC1B97" w:rsidRPr="1A79B7AB">
        <w:rPr>
          <w:rFonts w:ascii="Arial" w:hAnsi="Arial" w:cs="Arial"/>
          <w:lang w:val="en-AU"/>
        </w:rPr>
        <w:t xml:space="preserve"> </w:t>
      </w:r>
      <w:r w:rsidRPr="1A79B7AB">
        <w:rPr>
          <w:rFonts w:ascii="Arial" w:hAnsi="Arial" w:cs="Arial"/>
          <w:lang w:val="en-AU"/>
        </w:rPr>
        <w:t xml:space="preserve">year transition period would allow for at least 99% of existing label stocks to be used across the </w:t>
      </w:r>
      <w:r w:rsidR="0E3D3C03" w:rsidRPr="1A79B7AB">
        <w:rPr>
          <w:rFonts w:ascii="Arial" w:hAnsi="Arial" w:cs="Arial"/>
          <w:lang w:val="en-AU"/>
        </w:rPr>
        <w:t xml:space="preserve">whole </w:t>
      </w:r>
      <w:r w:rsidRPr="1A79B7AB">
        <w:rPr>
          <w:rFonts w:ascii="Arial" w:hAnsi="Arial" w:cs="Arial"/>
          <w:lang w:val="en-AU"/>
        </w:rPr>
        <w:t>alcoholic beverages industry</w:t>
      </w:r>
      <w:r w:rsidR="71442D30" w:rsidRPr="1A79B7AB">
        <w:rPr>
          <w:rFonts w:ascii="Arial" w:hAnsi="Arial" w:cs="Arial"/>
          <w:lang w:val="en-AU"/>
        </w:rPr>
        <w:t xml:space="preserve">. That said, using all </w:t>
      </w:r>
      <w:r w:rsidR="69BD2E71" w:rsidRPr="1A79B7AB">
        <w:rPr>
          <w:rFonts w:ascii="Arial" w:hAnsi="Arial" w:cs="Arial"/>
          <w:lang w:val="en-AU"/>
        </w:rPr>
        <w:t>existing label stocks</w:t>
      </w:r>
      <w:r w:rsidRPr="1A79B7AB">
        <w:rPr>
          <w:rFonts w:ascii="Arial" w:hAnsi="Arial" w:cs="Arial"/>
          <w:lang w:val="en-AU"/>
        </w:rPr>
        <w:t xml:space="preserve"> may be </w:t>
      </w:r>
      <w:r w:rsidR="5E4A4DCC" w:rsidRPr="1A79B7AB">
        <w:rPr>
          <w:rFonts w:ascii="Arial" w:hAnsi="Arial" w:cs="Arial"/>
          <w:lang w:val="en-AU"/>
        </w:rPr>
        <w:t>more challenging for some smaller</w:t>
      </w:r>
      <w:r w:rsidR="1D87B9EA" w:rsidRPr="1A79B7AB">
        <w:rPr>
          <w:rFonts w:ascii="Arial" w:hAnsi="Arial" w:cs="Arial"/>
          <w:lang w:val="en-AU"/>
        </w:rPr>
        <w:t>, craft and artisan</w:t>
      </w:r>
      <w:r w:rsidR="3D0619D4" w:rsidRPr="1A79B7AB">
        <w:rPr>
          <w:rFonts w:ascii="Arial" w:hAnsi="Arial" w:cs="Arial"/>
          <w:lang w:val="en-AU"/>
        </w:rPr>
        <w:t xml:space="preserve"> businesses</w:t>
      </w:r>
      <w:r w:rsidR="5E4A4DCC" w:rsidRPr="1A79B7AB">
        <w:rPr>
          <w:rFonts w:ascii="Arial" w:hAnsi="Arial" w:cs="Arial"/>
          <w:lang w:val="en-AU"/>
        </w:rPr>
        <w:t xml:space="preserve"> and limited edition SKUs.</w:t>
      </w:r>
      <w:r w:rsidR="7D158EAE" w:rsidRPr="1A79B7AB">
        <w:rPr>
          <w:rFonts w:ascii="Arial" w:hAnsi="Arial" w:cs="Arial"/>
          <w:lang w:val="en-AU"/>
        </w:rPr>
        <w:t xml:space="preserve"> Such costs of unused stocks</w:t>
      </w:r>
      <w:r w:rsidR="4386C7A4" w:rsidRPr="1A79B7AB">
        <w:rPr>
          <w:rFonts w:ascii="Arial" w:hAnsi="Arial" w:cs="Arial"/>
          <w:lang w:val="en-AU"/>
        </w:rPr>
        <w:t xml:space="preserve"> would be additional to the label change cost estimates above</w:t>
      </w:r>
      <w:r w:rsidR="7E170128" w:rsidRPr="1A79B7AB">
        <w:rPr>
          <w:rFonts w:ascii="Arial" w:hAnsi="Arial" w:cs="Arial"/>
          <w:lang w:val="en-AU"/>
        </w:rPr>
        <w:t>. Overall those costs</w:t>
      </w:r>
      <w:r w:rsidR="4386C7A4" w:rsidRPr="1A79B7AB">
        <w:rPr>
          <w:rFonts w:ascii="Arial" w:hAnsi="Arial" w:cs="Arial"/>
          <w:lang w:val="en-AU"/>
        </w:rPr>
        <w:t xml:space="preserve"> are assumed to </w:t>
      </w:r>
      <w:r w:rsidR="601A6D9D" w:rsidRPr="1A79B7AB">
        <w:rPr>
          <w:rFonts w:ascii="Arial" w:hAnsi="Arial" w:cs="Arial"/>
          <w:lang w:val="en-AU"/>
        </w:rPr>
        <w:t xml:space="preserve">equate to &lt;1% of total </w:t>
      </w:r>
      <w:r w:rsidR="4105458F" w:rsidRPr="1A79B7AB">
        <w:rPr>
          <w:rFonts w:ascii="Arial" w:hAnsi="Arial" w:cs="Arial"/>
          <w:lang w:val="en-AU"/>
        </w:rPr>
        <w:t xml:space="preserve">whole </w:t>
      </w:r>
      <w:r w:rsidR="601A6D9D" w:rsidRPr="1A79B7AB">
        <w:rPr>
          <w:rFonts w:ascii="Arial" w:hAnsi="Arial" w:cs="Arial"/>
          <w:lang w:val="en-AU"/>
        </w:rPr>
        <w:t>industry costs</w:t>
      </w:r>
      <w:r w:rsidR="4105458F" w:rsidRPr="1A79B7AB">
        <w:rPr>
          <w:rFonts w:ascii="Arial" w:hAnsi="Arial" w:cs="Arial"/>
          <w:lang w:val="en-AU"/>
        </w:rPr>
        <w:t>.</w:t>
      </w:r>
      <w:r w:rsidR="007E331F">
        <w:rPr>
          <w:rFonts w:ascii="Arial" w:hAnsi="Arial" w:cs="Arial"/>
          <w:lang w:val="en-AU"/>
        </w:rPr>
        <w:t xml:space="preserve"> </w:t>
      </w:r>
    </w:p>
    <w:p w14:paraId="6BF123CB" w14:textId="6EB3ADDA" w:rsidR="00655280" w:rsidRPr="00C04A93" w:rsidRDefault="007E331F" w:rsidP="6A15B411">
      <w:pPr>
        <w:spacing w:after="240"/>
        <w:rPr>
          <w:rFonts w:ascii="Arial" w:hAnsi="Arial" w:cs="Arial"/>
        </w:rPr>
      </w:pPr>
      <w:r w:rsidRPr="6A15B411">
        <w:rPr>
          <w:rFonts w:ascii="Arial" w:hAnsi="Arial" w:cs="Arial"/>
        </w:rPr>
        <w:t xml:space="preserve">That </w:t>
      </w:r>
      <w:r w:rsidR="008B0CF5" w:rsidRPr="6A15B411">
        <w:rPr>
          <w:rFonts w:ascii="Arial" w:hAnsi="Arial" w:cs="Arial"/>
        </w:rPr>
        <w:t xml:space="preserve">&lt;1% cost assessment </w:t>
      </w:r>
      <w:r w:rsidRPr="6A15B411">
        <w:rPr>
          <w:rFonts w:ascii="Arial" w:hAnsi="Arial" w:cs="Arial"/>
        </w:rPr>
        <w:t>is based on most alcoholic beverage SKUs</w:t>
      </w:r>
      <w:r w:rsidR="009E0D90" w:rsidRPr="6A15B411">
        <w:rPr>
          <w:rFonts w:ascii="Arial" w:hAnsi="Arial" w:cs="Arial"/>
        </w:rPr>
        <w:t xml:space="preserve"> generally changing labels within 18 months</w:t>
      </w:r>
      <w:r w:rsidRPr="6A15B411">
        <w:rPr>
          <w:rFonts w:ascii="Arial" w:hAnsi="Arial" w:cs="Arial"/>
        </w:rPr>
        <w:t xml:space="preserve">, particularly </w:t>
      </w:r>
      <w:r w:rsidR="000F3E2E" w:rsidRPr="6A15B411">
        <w:rPr>
          <w:rFonts w:ascii="Arial" w:hAnsi="Arial" w:cs="Arial"/>
        </w:rPr>
        <w:t xml:space="preserve">annual vintage </w:t>
      </w:r>
      <w:r w:rsidRPr="6A15B411">
        <w:rPr>
          <w:rFonts w:ascii="Arial" w:hAnsi="Arial" w:cs="Arial"/>
        </w:rPr>
        <w:t xml:space="preserve">wines which </w:t>
      </w:r>
      <w:r w:rsidR="00711D65" w:rsidRPr="6A15B411">
        <w:rPr>
          <w:rFonts w:ascii="Arial" w:hAnsi="Arial" w:cs="Arial"/>
        </w:rPr>
        <w:t>account for a large proportion</w:t>
      </w:r>
      <w:r w:rsidRPr="6A15B411">
        <w:rPr>
          <w:rFonts w:ascii="Arial" w:hAnsi="Arial" w:cs="Arial"/>
        </w:rPr>
        <w:t xml:space="preserve"> of all SKUs</w:t>
      </w:r>
      <w:r w:rsidR="000F3E2E" w:rsidRPr="6A15B411">
        <w:rPr>
          <w:rFonts w:ascii="Arial" w:hAnsi="Arial" w:cs="Arial"/>
        </w:rPr>
        <w:t xml:space="preserve">. </w:t>
      </w:r>
      <w:r w:rsidR="00F51F3C" w:rsidRPr="6A15B411">
        <w:rPr>
          <w:rFonts w:ascii="Arial" w:hAnsi="Arial" w:cs="Arial"/>
        </w:rPr>
        <w:t xml:space="preserve">While some producers are sometimes required to buy minimum amounts of label stocks, consultation with craft beer brewers indicated that fewer than 5% were unable to use all stocks during the three-year transition for pregnancy warning labelling. </w:t>
      </w:r>
    </w:p>
    <w:p w14:paraId="16CBFE3E" w14:textId="4D8E54FB" w:rsidR="006F734C" w:rsidRDefault="006F734C" w:rsidP="6C298134">
      <w:pPr>
        <w:pStyle w:val="ListParagraph"/>
        <w:ind w:left="0"/>
        <w:rPr>
          <w:rFonts w:ascii="Arial" w:hAnsi="Arial" w:cs="Arial"/>
          <w14:ligatures w14:val="none"/>
        </w:rPr>
      </w:pPr>
      <w:r w:rsidRPr="6C298134">
        <w:rPr>
          <w:rFonts w:ascii="Arial" w:hAnsi="Arial" w:cs="Arial"/>
          <w14:ligatures w14:val="none"/>
        </w:rPr>
        <w:t xml:space="preserve">In addition to disproportionate costs to some domestic producers, </w:t>
      </w:r>
      <w:r w:rsidR="00D66EB9">
        <w:rPr>
          <w:rFonts w:ascii="Arial" w:hAnsi="Arial" w:cs="Arial"/>
          <w14:ligatures w14:val="none"/>
        </w:rPr>
        <w:t>imported SKUs would be required to comply with the new labelling requirements to include an energy statement</w:t>
      </w:r>
      <w:r w:rsidRPr="6C298134">
        <w:rPr>
          <w:rFonts w:ascii="Arial" w:hAnsi="Arial" w:cs="Arial"/>
          <w14:ligatures w14:val="none"/>
        </w:rPr>
        <w:t>.</w:t>
      </w:r>
      <w:r w:rsidR="00C950BE">
        <w:rPr>
          <w:rFonts w:ascii="Arial" w:hAnsi="Arial" w:cs="Arial"/>
          <w14:ligatures w14:val="none"/>
        </w:rPr>
        <w:t xml:space="preserve"> Where </w:t>
      </w:r>
      <w:r w:rsidR="00C950BE">
        <w:rPr>
          <w:rFonts w:ascii="Arial" w:hAnsi="Arial" w:cs="Arial"/>
          <w14:ligatures w14:val="none"/>
        </w:rPr>
        <w:lastRenderedPageBreak/>
        <w:t>practical, that could include over-stickering.</w:t>
      </w:r>
      <w:r w:rsidR="00D66EB9">
        <w:rPr>
          <w:rFonts w:ascii="Arial" w:hAnsi="Arial" w:cs="Arial"/>
          <w14:ligatures w14:val="none"/>
        </w:rPr>
        <w:t xml:space="preserve"> </w:t>
      </w:r>
      <w:r w:rsidR="00C950BE">
        <w:rPr>
          <w:rFonts w:ascii="Arial" w:hAnsi="Arial" w:cs="Arial"/>
          <w14:ligatures w14:val="none"/>
        </w:rPr>
        <w:t xml:space="preserve">Such costs are not assumed to be prohibitive </w:t>
      </w:r>
      <w:r w:rsidR="00EC78B7">
        <w:rPr>
          <w:rFonts w:ascii="Arial" w:hAnsi="Arial" w:cs="Arial"/>
          <w14:ligatures w14:val="none"/>
        </w:rPr>
        <w:t>since over-stickering</w:t>
      </w:r>
      <w:r w:rsidR="00261D3C">
        <w:rPr>
          <w:rFonts w:ascii="Arial" w:hAnsi="Arial" w:cs="Arial"/>
          <w14:ligatures w14:val="none"/>
        </w:rPr>
        <w:t xml:space="preserve"> or other relabelling already occurs for</w:t>
      </w:r>
      <w:r w:rsidR="00E612E4">
        <w:rPr>
          <w:rFonts w:ascii="Arial" w:hAnsi="Arial" w:cs="Arial"/>
          <w14:ligatures w14:val="none"/>
        </w:rPr>
        <w:t xml:space="preserve"> imports to</w:t>
      </w:r>
      <w:r w:rsidR="00261D3C">
        <w:rPr>
          <w:rFonts w:ascii="Arial" w:hAnsi="Arial" w:cs="Arial"/>
          <w14:ligatures w14:val="none"/>
        </w:rPr>
        <w:t xml:space="preserve"> the Australia</w:t>
      </w:r>
      <w:r w:rsidR="00C04DFE">
        <w:rPr>
          <w:rFonts w:ascii="Arial" w:hAnsi="Arial" w:cs="Arial"/>
          <w14:ligatures w14:val="none"/>
        </w:rPr>
        <w:t xml:space="preserve">n and </w:t>
      </w:r>
      <w:r w:rsidR="00261D3C">
        <w:rPr>
          <w:rFonts w:ascii="Arial" w:hAnsi="Arial" w:cs="Arial"/>
          <w14:ligatures w14:val="none"/>
        </w:rPr>
        <w:t>New Zealand markets</w:t>
      </w:r>
      <w:r w:rsidR="00EC78B7">
        <w:rPr>
          <w:rFonts w:ascii="Arial" w:hAnsi="Arial" w:cs="Arial"/>
          <w14:ligatures w14:val="none"/>
        </w:rPr>
        <w:t xml:space="preserve"> </w:t>
      </w:r>
      <w:r w:rsidR="00E612E4">
        <w:rPr>
          <w:rFonts w:ascii="Arial" w:hAnsi="Arial" w:cs="Arial"/>
          <w14:ligatures w14:val="none"/>
        </w:rPr>
        <w:t xml:space="preserve">to incorporate </w:t>
      </w:r>
      <w:r w:rsidR="00EC78B7">
        <w:rPr>
          <w:rFonts w:ascii="Arial" w:hAnsi="Arial" w:cs="Arial"/>
          <w14:ligatures w14:val="none"/>
        </w:rPr>
        <w:t>pregnancy warning label</w:t>
      </w:r>
      <w:r w:rsidR="00C04DFE">
        <w:rPr>
          <w:rFonts w:ascii="Arial" w:hAnsi="Arial" w:cs="Arial"/>
          <w14:ligatures w14:val="none"/>
        </w:rPr>
        <w:t>s</w:t>
      </w:r>
      <w:r w:rsidR="00EC78B7">
        <w:rPr>
          <w:rFonts w:ascii="Arial" w:hAnsi="Arial" w:cs="Arial"/>
          <w14:ligatures w14:val="none"/>
        </w:rPr>
        <w:t xml:space="preserve"> and other</w:t>
      </w:r>
      <w:r w:rsidR="00E612E4">
        <w:rPr>
          <w:rFonts w:ascii="Arial" w:hAnsi="Arial" w:cs="Arial"/>
          <w14:ligatures w14:val="none"/>
        </w:rPr>
        <w:t xml:space="preserve"> required label elements.</w:t>
      </w:r>
      <w:r w:rsidR="00DD7DD6">
        <w:rPr>
          <w:rFonts w:ascii="Arial" w:hAnsi="Arial" w:cs="Arial"/>
          <w14:ligatures w14:val="none"/>
        </w:rPr>
        <w:t xml:space="preserve"> </w:t>
      </w:r>
    </w:p>
    <w:p w14:paraId="2AE54A25" w14:textId="77777777" w:rsidR="006F734C" w:rsidRDefault="006F734C" w:rsidP="006F734C">
      <w:pPr>
        <w:pStyle w:val="ListParagraph"/>
        <w:ind w:left="0"/>
        <w:rPr>
          <w:rFonts w:ascii="Arial" w:hAnsi="Arial" w:cs="Arial"/>
          <w:lang w:val="en-AU"/>
          <w14:ligatures w14:val="none"/>
        </w:rPr>
      </w:pPr>
    </w:p>
    <w:p w14:paraId="03E9DB7E" w14:textId="66D52128" w:rsidR="005529D9" w:rsidRDefault="56C33927" w:rsidP="006F734C">
      <w:pPr>
        <w:pStyle w:val="ListParagraph"/>
        <w:ind w:left="0"/>
        <w:rPr>
          <w:rFonts w:ascii="Arial" w:hAnsi="Arial" w:cs="Arial"/>
          <w:lang w:val="en-AU"/>
          <w14:ligatures w14:val="none"/>
        </w:rPr>
      </w:pPr>
      <w:r>
        <w:rPr>
          <w:rFonts w:ascii="Arial" w:hAnsi="Arial" w:cs="Arial"/>
          <w:lang w:val="en-AU"/>
          <w14:ligatures w14:val="none"/>
        </w:rPr>
        <w:t xml:space="preserve">Based on </w:t>
      </w:r>
      <w:r w:rsidR="00C04DFE">
        <w:rPr>
          <w:rFonts w:ascii="Arial" w:hAnsi="Arial" w:cs="Arial"/>
          <w:lang w:val="en-AU"/>
          <w14:ligatures w14:val="none"/>
        </w:rPr>
        <w:t xml:space="preserve">FSANZ </w:t>
      </w:r>
      <w:r>
        <w:rPr>
          <w:rFonts w:ascii="Arial" w:hAnsi="Arial" w:cs="Arial"/>
          <w:lang w:val="en-AU"/>
          <w14:ligatures w14:val="none"/>
        </w:rPr>
        <w:t xml:space="preserve">experience </w:t>
      </w:r>
      <w:r w:rsidR="00C04DFE">
        <w:rPr>
          <w:rFonts w:ascii="Arial" w:hAnsi="Arial" w:cs="Arial"/>
          <w:lang w:val="en-AU"/>
          <w14:ligatures w14:val="none"/>
        </w:rPr>
        <w:t xml:space="preserve">from </w:t>
      </w:r>
      <w:r w:rsidR="00C02AEC">
        <w:rPr>
          <w:rFonts w:ascii="Arial" w:hAnsi="Arial" w:cs="Arial"/>
          <w:lang w:val="en-AU"/>
          <w14:ligatures w14:val="none"/>
        </w:rPr>
        <w:t xml:space="preserve">the </w:t>
      </w:r>
      <w:r w:rsidR="00C04DFE">
        <w:rPr>
          <w:rFonts w:ascii="Arial" w:hAnsi="Arial" w:cs="Arial"/>
          <w:lang w:val="en-AU"/>
          <w14:ligatures w14:val="none"/>
        </w:rPr>
        <w:t>p</w:t>
      </w:r>
      <w:r w:rsidR="00C02AEC">
        <w:rPr>
          <w:rFonts w:ascii="Arial" w:hAnsi="Arial" w:cs="Arial"/>
          <w:lang w:val="en-AU"/>
          <w14:ligatures w14:val="none"/>
        </w:rPr>
        <w:t xml:space="preserve">regnancy </w:t>
      </w:r>
      <w:r w:rsidR="00C04DFE">
        <w:rPr>
          <w:rFonts w:ascii="Arial" w:hAnsi="Arial" w:cs="Arial"/>
          <w:lang w:val="en-AU"/>
          <w14:ligatures w14:val="none"/>
        </w:rPr>
        <w:t>w</w:t>
      </w:r>
      <w:r w:rsidR="00C02AEC">
        <w:rPr>
          <w:rFonts w:ascii="Arial" w:hAnsi="Arial" w:cs="Arial"/>
          <w:lang w:val="en-AU"/>
          <w14:ligatures w14:val="none"/>
        </w:rPr>
        <w:t xml:space="preserve">arning </w:t>
      </w:r>
      <w:r w:rsidR="00C04DFE">
        <w:rPr>
          <w:rFonts w:ascii="Arial" w:hAnsi="Arial" w:cs="Arial"/>
          <w:lang w:val="en-AU"/>
          <w14:ligatures w14:val="none"/>
        </w:rPr>
        <w:t>l</w:t>
      </w:r>
      <w:r>
        <w:rPr>
          <w:rFonts w:ascii="Arial" w:hAnsi="Arial" w:cs="Arial"/>
          <w:lang w:val="en-AU"/>
          <w14:ligatures w14:val="none"/>
        </w:rPr>
        <w:t xml:space="preserve">abel changes and from information gathered </w:t>
      </w:r>
      <w:r w:rsidR="00C04DFE">
        <w:rPr>
          <w:rFonts w:ascii="Arial" w:hAnsi="Arial" w:cs="Arial"/>
          <w:lang w:val="en-AU"/>
          <w14:ligatures w14:val="none"/>
        </w:rPr>
        <w:t>through consultation with industry stakeholders</w:t>
      </w:r>
      <w:r>
        <w:rPr>
          <w:rFonts w:ascii="Arial" w:hAnsi="Arial" w:cs="Arial"/>
          <w:lang w:val="en-AU"/>
          <w14:ligatures w14:val="none"/>
        </w:rPr>
        <w:t>, marked impacts on the overall number, prices or variety of available alcoholic beverages, industry structure</w:t>
      </w:r>
      <w:r w:rsidR="00C04DFE">
        <w:rPr>
          <w:rFonts w:ascii="Arial" w:hAnsi="Arial" w:cs="Arial"/>
          <w:lang w:val="en-AU"/>
          <w14:ligatures w14:val="none"/>
        </w:rPr>
        <w:t xml:space="preserve"> and </w:t>
      </w:r>
      <w:r>
        <w:rPr>
          <w:rFonts w:ascii="Arial" w:hAnsi="Arial" w:cs="Arial"/>
          <w:lang w:val="en-AU"/>
          <w14:ligatures w14:val="none"/>
        </w:rPr>
        <w:t>competition</w:t>
      </w:r>
      <w:r w:rsidR="03AC1B97">
        <w:rPr>
          <w:rFonts w:ascii="Arial" w:hAnsi="Arial" w:cs="Arial"/>
          <w:lang w:val="en-AU"/>
          <w14:ligatures w14:val="none"/>
        </w:rPr>
        <w:t xml:space="preserve"> are not expected</w:t>
      </w:r>
      <w:r>
        <w:rPr>
          <w:rFonts w:ascii="Arial" w:hAnsi="Arial" w:cs="Arial"/>
          <w:lang w:val="en-AU"/>
          <w14:ligatures w14:val="none"/>
        </w:rPr>
        <w:t>.</w:t>
      </w:r>
      <w:r w:rsidR="5E8ADB35" w:rsidDel="00E2624F">
        <w:rPr>
          <w:rFonts w:ascii="Arial" w:hAnsi="Arial" w:cs="Arial"/>
          <w:lang w:val="en-AU"/>
          <w14:ligatures w14:val="none"/>
        </w:rPr>
        <w:t xml:space="preserve"> </w:t>
      </w:r>
      <w:r w:rsidR="00C02AEC">
        <w:rPr>
          <w:rFonts w:ascii="Arial" w:hAnsi="Arial" w:cs="Arial"/>
          <w:lang w:val="en-AU"/>
          <w14:ligatures w14:val="none"/>
        </w:rPr>
        <w:t xml:space="preserve">That said, </w:t>
      </w:r>
      <w:r w:rsidR="006879FB">
        <w:rPr>
          <w:rFonts w:ascii="Arial" w:hAnsi="Arial" w:cs="Arial"/>
          <w:lang w:val="en-AU"/>
          <w14:ligatures w14:val="none"/>
        </w:rPr>
        <w:t>data to make such assessment is currently limited.</w:t>
      </w:r>
    </w:p>
    <w:p w14:paraId="5334C317" w14:textId="77777777" w:rsidR="006F734C" w:rsidRDefault="006F734C" w:rsidP="00EE453E">
      <w:pPr>
        <w:pStyle w:val="ListParagraph"/>
        <w:ind w:left="0"/>
        <w:rPr>
          <w:snapToGrid w:val="0"/>
        </w:rPr>
      </w:pPr>
    </w:p>
    <w:p w14:paraId="02C8858B" w14:textId="0FE2377E" w:rsidR="006F734C" w:rsidRPr="001B5C50" w:rsidRDefault="00C77FB8" w:rsidP="1A79B7AB">
      <w:pPr>
        <w:rPr>
          <w:rFonts w:ascii="Arial" w:hAnsi="Arial" w:cs="Arial"/>
          <w:b/>
          <w:bCs/>
          <w:i/>
          <w:iCs/>
          <w:snapToGrid w:val="0"/>
          <w:lang w:val="en-AU"/>
        </w:rPr>
      </w:pPr>
      <w:r w:rsidRPr="1A79B7AB">
        <w:rPr>
          <w:rFonts w:ascii="Arial" w:hAnsi="Arial" w:cs="Arial"/>
          <w:b/>
          <w:bCs/>
          <w:i/>
          <w:iCs/>
          <w:snapToGrid w:val="0"/>
          <w:lang w:val="en-AU"/>
        </w:rPr>
        <w:t>B</w:t>
      </w:r>
      <w:r w:rsidR="001B5C50" w:rsidRPr="1A79B7AB">
        <w:rPr>
          <w:rFonts w:ascii="Arial" w:hAnsi="Arial" w:cs="Arial"/>
          <w:b/>
          <w:bCs/>
          <w:i/>
          <w:iCs/>
          <w:snapToGrid w:val="0"/>
          <w:lang w:val="en-AU"/>
        </w:rPr>
        <w:t>reak-even</w:t>
      </w:r>
      <w:r w:rsidR="00652259">
        <w:rPr>
          <w:rFonts w:ascii="Arial" w:hAnsi="Arial" w:cs="Arial"/>
          <w:b/>
          <w:bCs/>
          <w:i/>
          <w:iCs/>
          <w:snapToGrid w:val="0"/>
          <w:lang w:val="en-AU"/>
        </w:rPr>
        <w:t xml:space="preserve"> </w:t>
      </w:r>
      <w:r w:rsidR="001B5C50" w:rsidRPr="1A79B7AB">
        <w:rPr>
          <w:rFonts w:ascii="Arial" w:hAnsi="Arial" w:cs="Arial"/>
          <w:b/>
          <w:bCs/>
          <w:i/>
          <w:iCs/>
          <w:snapToGrid w:val="0"/>
          <w:lang w:val="en-AU"/>
        </w:rPr>
        <w:t>analysis comparison</w:t>
      </w:r>
    </w:p>
    <w:p w14:paraId="310A8284" w14:textId="7404AC54" w:rsidR="006F734C" w:rsidRPr="001B5C50" w:rsidRDefault="001B5C50" w:rsidP="00DC16BE">
      <w:pPr>
        <w:rPr>
          <w:rFonts w:ascii="Arial" w:hAnsi="Arial" w:cs="Arial"/>
          <w:snapToGrid w:val="0"/>
          <w:lang w:val="en-AU"/>
        </w:rPr>
      </w:pPr>
      <w:r>
        <w:rPr>
          <w:rFonts w:ascii="Arial" w:hAnsi="Arial" w:cs="Arial"/>
          <w:snapToGrid w:val="0"/>
          <w:lang w:val="en-AU"/>
        </w:rPr>
        <w:t>While label changes are one</w:t>
      </w:r>
      <w:r w:rsidR="00EE453E">
        <w:rPr>
          <w:rFonts w:ascii="Arial" w:hAnsi="Arial" w:cs="Arial"/>
          <w:snapToGrid w:val="0"/>
          <w:lang w:val="en-AU"/>
        </w:rPr>
        <w:t xml:space="preserve"> </w:t>
      </w:r>
      <w:r>
        <w:rPr>
          <w:rFonts w:ascii="Arial" w:hAnsi="Arial" w:cs="Arial"/>
          <w:snapToGrid w:val="0"/>
          <w:lang w:val="en-AU"/>
        </w:rPr>
        <w:t>off, it is best</w:t>
      </w:r>
      <w:r w:rsidR="00EE453E">
        <w:rPr>
          <w:rFonts w:ascii="Arial" w:hAnsi="Arial" w:cs="Arial"/>
          <w:snapToGrid w:val="0"/>
          <w:lang w:val="en-AU"/>
        </w:rPr>
        <w:t xml:space="preserve"> </w:t>
      </w:r>
      <w:r>
        <w:rPr>
          <w:rFonts w:ascii="Arial" w:hAnsi="Arial" w:cs="Arial"/>
          <w:snapToGrid w:val="0"/>
          <w:lang w:val="en-AU"/>
        </w:rPr>
        <w:t>practice to consider costs and benefits over a ten</w:t>
      </w:r>
      <w:r w:rsidR="00C04DFE">
        <w:rPr>
          <w:rFonts w:ascii="Arial" w:hAnsi="Arial" w:cs="Arial"/>
          <w:snapToGrid w:val="0"/>
          <w:lang w:val="en-AU"/>
        </w:rPr>
        <w:t xml:space="preserve"> </w:t>
      </w:r>
      <w:r>
        <w:rPr>
          <w:rFonts w:ascii="Arial" w:hAnsi="Arial" w:cs="Arial"/>
          <w:snapToGrid w:val="0"/>
          <w:lang w:val="en-AU"/>
        </w:rPr>
        <w:t>year period.</w:t>
      </w:r>
    </w:p>
    <w:p w14:paraId="4BDAC29E" w14:textId="66831DE6" w:rsidR="00635C76" w:rsidRDefault="00F20B3A" w:rsidP="005C06CA">
      <w:pPr>
        <w:spacing w:after="240"/>
        <w:rPr>
          <w:rFonts w:ascii="Arial" w:hAnsi="Arial" w:cs="Arial"/>
          <w:snapToGrid w:val="0"/>
          <w:lang w:val="en-NZ"/>
        </w:rPr>
      </w:pPr>
      <w:r>
        <w:rPr>
          <w:rFonts w:ascii="Arial" w:eastAsia="Arial" w:hAnsi="Arial" w:cs="Arial"/>
        </w:rPr>
        <w:t xml:space="preserve">As </w:t>
      </w:r>
      <w:r w:rsidR="00C04DFE">
        <w:rPr>
          <w:rFonts w:ascii="Arial" w:eastAsia="Arial" w:hAnsi="Arial" w:cs="Arial"/>
        </w:rPr>
        <w:t>noted</w:t>
      </w:r>
      <w:r>
        <w:rPr>
          <w:rFonts w:ascii="Arial" w:eastAsia="Arial" w:hAnsi="Arial" w:cs="Arial"/>
        </w:rPr>
        <w:t xml:space="preserve"> above, quantifying the benefits of an intervention like this does present some challenges. </w:t>
      </w:r>
      <w:r w:rsidR="00F5492C">
        <w:rPr>
          <w:rFonts w:ascii="Arial" w:eastAsia="Arial" w:hAnsi="Arial" w:cs="Arial"/>
        </w:rPr>
        <w:t>While noting the</w:t>
      </w:r>
      <w:r w:rsidR="00F5492C">
        <w:rPr>
          <w:rFonts w:ascii="Arial" w:hAnsi="Arial" w:cs="Arial"/>
          <w:snapToGrid w:val="0"/>
        </w:rPr>
        <w:t xml:space="preserve"> caveats involved</w:t>
      </w:r>
      <w:r w:rsidR="00880E39">
        <w:rPr>
          <w:rFonts w:ascii="Arial" w:hAnsi="Arial" w:cs="Arial"/>
          <w:snapToGrid w:val="0"/>
        </w:rPr>
        <w:t xml:space="preserve">, </w:t>
      </w:r>
      <w:r w:rsidR="00F5492C">
        <w:rPr>
          <w:rFonts w:ascii="Arial" w:hAnsi="Arial" w:cs="Arial"/>
          <w:snapToGrid w:val="0"/>
        </w:rPr>
        <w:t xml:space="preserve">FSANZ estimates that </w:t>
      </w:r>
      <w:r w:rsidR="00F5492C" w:rsidRPr="003E390A">
        <w:rPr>
          <w:rFonts w:ascii="Arial" w:hAnsi="Arial" w:cs="Arial"/>
          <w:snapToGrid w:val="0"/>
          <w:lang w:val="en-NZ"/>
        </w:rPr>
        <w:t xml:space="preserve">only a </w:t>
      </w:r>
      <w:r w:rsidR="00F5492C" w:rsidRPr="006338C4">
        <w:rPr>
          <w:rFonts w:ascii="Arial" w:hAnsi="Arial" w:cs="Arial"/>
          <w:snapToGrid w:val="0"/>
          <w:lang w:val="en-NZ"/>
        </w:rPr>
        <w:t>0.1</w:t>
      </w:r>
      <w:r w:rsidR="00261BC5">
        <w:rPr>
          <w:rFonts w:ascii="Arial" w:hAnsi="Arial" w:cs="Arial"/>
          <w:snapToGrid w:val="0"/>
          <w:lang w:val="en-NZ"/>
        </w:rPr>
        <w:t>3</w:t>
      </w:r>
      <w:r w:rsidR="00F5492C" w:rsidRPr="006338C4">
        <w:rPr>
          <w:rFonts w:ascii="Arial" w:hAnsi="Arial" w:cs="Arial"/>
          <w:snapToGrid w:val="0"/>
          <w:lang w:val="en-NZ"/>
        </w:rPr>
        <w:t>%</w:t>
      </w:r>
      <w:r w:rsidR="00F5492C">
        <w:rPr>
          <w:rFonts w:ascii="Arial" w:hAnsi="Arial" w:cs="Arial"/>
          <w:snapToGrid w:val="0"/>
          <w:lang w:val="en-NZ"/>
        </w:rPr>
        <w:t xml:space="preserve"> to 0.1</w:t>
      </w:r>
      <w:r w:rsidR="00261BC5">
        <w:rPr>
          <w:rFonts w:ascii="Arial" w:hAnsi="Arial" w:cs="Arial"/>
          <w:snapToGrid w:val="0"/>
          <w:lang w:val="en-NZ"/>
        </w:rPr>
        <w:t>7</w:t>
      </w:r>
      <w:r w:rsidR="00F5492C">
        <w:rPr>
          <w:rFonts w:ascii="Arial" w:hAnsi="Arial" w:cs="Arial"/>
          <w:snapToGrid w:val="0"/>
          <w:lang w:val="en-NZ"/>
        </w:rPr>
        <w:t>%</w:t>
      </w:r>
      <w:r w:rsidR="00F5492C" w:rsidRPr="003E390A">
        <w:rPr>
          <w:rFonts w:ascii="Arial" w:hAnsi="Arial" w:cs="Arial"/>
          <w:snapToGrid w:val="0"/>
          <w:lang w:val="en-NZ"/>
        </w:rPr>
        <w:t xml:space="preserve"> reduction </w:t>
      </w:r>
      <w:r w:rsidR="00A10BEF" w:rsidRPr="00BF130F">
        <w:rPr>
          <w:rFonts w:ascii="Arial" w:hAnsi="Arial" w:cs="Arial"/>
          <w:snapToGrid w:val="0"/>
          <w:lang w:val="en-GB"/>
        </w:rPr>
        <w:t>obesity and overweight-related health costs over ten years</w:t>
      </w:r>
      <w:r w:rsidR="00A10BEF" w:rsidRPr="00BF130F">
        <w:rPr>
          <w:rStyle w:val="FootnoteReference"/>
          <w:rFonts w:ascii="Arial" w:hAnsi="Arial" w:cs="Arial"/>
          <w:snapToGrid w:val="0"/>
          <w:lang w:val="en-NZ"/>
        </w:rPr>
        <w:footnoteReference w:id="22"/>
      </w:r>
      <w:r w:rsidR="00A10BEF" w:rsidRPr="00BF130F">
        <w:rPr>
          <w:rFonts w:ascii="Arial" w:hAnsi="Arial" w:cs="Arial"/>
          <w:snapToGrid w:val="0"/>
          <w:lang w:val="en-GB"/>
        </w:rPr>
        <w:t xml:space="preserve"> is needed to offset the main costs of </w:t>
      </w:r>
      <w:r w:rsidR="00A10BEF">
        <w:rPr>
          <w:rFonts w:ascii="Arial" w:hAnsi="Arial" w:cs="Arial"/>
          <w:snapToGrid w:val="0"/>
          <w:lang w:val="en-GB"/>
        </w:rPr>
        <w:t>implementing option 2</w:t>
      </w:r>
      <w:r w:rsidR="00A10BEF" w:rsidRPr="00BF130F">
        <w:rPr>
          <w:rFonts w:ascii="Arial" w:hAnsi="Arial" w:cs="Arial"/>
          <w:snapToGrid w:val="0"/>
          <w:lang w:val="en-GB"/>
        </w:rPr>
        <w:t>, label change costs.</w:t>
      </w:r>
      <w:r w:rsidR="00A10BEF">
        <w:rPr>
          <w:rFonts w:ascii="Arial" w:hAnsi="Arial" w:cs="Arial"/>
          <w:snapToGrid w:val="0"/>
          <w:lang w:val="en-NZ"/>
        </w:rPr>
        <w:t xml:space="preserve"> </w:t>
      </w:r>
      <w:r w:rsidR="00F5492C">
        <w:rPr>
          <w:rFonts w:ascii="Arial" w:hAnsi="Arial" w:cs="Arial"/>
          <w:snapToGrid w:val="0"/>
          <w:lang w:val="en-NZ"/>
        </w:rPr>
        <w:t>The discounted ten</w:t>
      </w:r>
      <w:r w:rsidR="00C04DFE">
        <w:rPr>
          <w:rFonts w:ascii="Arial" w:hAnsi="Arial" w:cs="Arial"/>
          <w:snapToGrid w:val="0"/>
          <w:lang w:val="en-NZ"/>
        </w:rPr>
        <w:t xml:space="preserve"> </w:t>
      </w:r>
      <w:r w:rsidR="00F5492C">
        <w:rPr>
          <w:rFonts w:ascii="Arial" w:hAnsi="Arial" w:cs="Arial"/>
          <w:snapToGrid w:val="0"/>
          <w:lang w:val="en-NZ"/>
        </w:rPr>
        <w:t>year estimates of $2</w:t>
      </w:r>
      <w:r w:rsidR="00132317">
        <w:rPr>
          <w:rFonts w:ascii="Arial" w:hAnsi="Arial" w:cs="Arial"/>
          <w:snapToGrid w:val="0"/>
          <w:lang w:val="en-NZ"/>
        </w:rPr>
        <w:t>2</w:t>
      </w:r>
      <w:r w:rsidR="00F07045">
        <w:rPr>
          <w:rFonts w:ascii="Arial" w:hAnsi="Arial" w:cs="Arial"/>
          <w:snapToGrid w:val="0"/>
          <w:lang w:val="en-NZ"/>
        </w:rPr>
        <w:t>8</w:t>
      </w:r>
      <w:r w:rsidR="00BF7651">
        <w:rPr>
          <w:rFonts w:ascii="Arial" w:hAnsi="Arial" w:cs="Arial"/>
          <w:snapToGrid w:val="0"/>
          <w:lang w:val="en-NZ"/>
        </w:rPr>
        <w:t xml:space="preserve"> bn</w:t>
      </w:r>
      <w:r w:rsidR="00F5492C">
        <w:rPr>
          <w:rFonts w:ascii="Arial" w:hAnsi="Arial" w:cs="Arial"/>
          <w:snapToGrid w:val="0"/>
          <w:lang w:val="en-NZ"/>
        </w:rPr>
        <w:t xml:space="preserve"> to $2</w:t>
      </w:r>
      <w:r w:rsidR="00F07045">
        <w:rPr>
          <w:rFonts w:ascii="Arial" w:hAnsi="Arial" w:cs="Arial"/>
          <w:snapToGrid w:val="0"/>
          <w:lang w:val="en-NZ"/>
        </w:rPr>
        <w:t>78</w:t>
      </w:r>
      <w:r w:rsidR="00F5492C">
        <w:rPr>
          <w:rFonts w:ascii="Arial" w:hAnsi="Arial" w:cs="Arial"/>
          <w:snapToGrid w:val="0"/>
          <w:lang w:val="en-NZ"/>
        </w:rPr>
        <w:t xml:space="preserve"> billion in overweight and obesity</w:t>
      </w:r>
      <w:r w:rsidR="00536744">
        <w:rPr>
          <w:rFonts w:ascii="Arial" w:hAnsi="Arial" w:cs="Arial"/>
          <w:snapToGrid w:val="0"/>
          <w:lang w:val="en-NZ"/>
        </w:rPr>
        <w:t>-related health</w:t>
      </w:r>
      <w:r w:rsidR="00F5492C">
        <w:rPr>
          <w:rFonts w:ascii="Arial" w:hAnsi="Arial" w:cs="Arial"/>
          <w:snapToGrid w:val="0"/>
          <w:lang w:val="en-NZ"/>
        </w:rPr>
        <w:t xml:space="preserve"> costs </w:t>
      </w:r>
      <w:r w:rsidR="00607E5F">
        <w:rPr>
          <w:rFonts w:ascii="Arial" w:hAnsi="Arial" w:cs="Arial"/>
          <w:snapToGrid w:val="0"/>
          <w:lang w:val="en-NZ"/>
        </w:rPr>
        <w:t>reflect</w:t>
      </w:r>
      <w:r w:rsidR="00F5492C">
        <w:rPr>
          <w:rFonts w:ascii="Arial" w:hAnsi="Arial" w:cs="Arial"/>
          <w:snapToGrid w:val="0"/>
          <w:lang w:val="en-NZ"/>
        </w:rPr>
        <w:t xml:space="preserve"> update</w:t>
      </w:r>
      <w:r w:rsidR="00607E5F">
        <w:rPr>
          <w:rFonts w:ascii="Arial" w:hAnsi="Arial" w:cs="Arial"/>
          <w:snapToGrid w:val="0"/>
          <w:lang w:val="en-NZ"/>
        </w:rPr>
        <w:t>s</w:t>
      </w:r>
      <w:r w:rsidR="00F5492C">
        <w:rPr>
          <w:rFonts w:ascii="Arial" w:hAnsi="Arial" w:cs="Arial"/>
          <w:snapToGrid w:val="0"/>
          <w:lang w:val="en-NZ"/>
        </w:rPr>
        <w:t xml:space="preserve"> since the CFS</w:t>
      </w:r>
      <w:r w:rsidR="00B002C6">
        <w:rPr>
          <w:rFonts w:ascii="Arial" w:hAnsi="Arial" w:cs="Arial"/>
          <w:snapToGrid w:val="0"/>
          <w:lang w:val="en-NZ"/>
        </w:rPr>
        <w:t xml:space="preserve"> to also now include costs of </w:t>
      </w:r>
      <w:r w:rsidR="00FF3488">
        <w:rPr>
          <w:rFonts w:ascii="Arial" w:hAnsi="Arial" w:cs="Arial"/>
          <w:snapToGrid w:val="0"/>
          <w:lang w:val="en-NZ"/>
        </w:rPr>
        <w:t xml:space="preserve">health conditions related to being </w:t>
      </w:r>
      <w:r w:rsidR="00B002C6">
        <w:rPr>
          <w:rFonts w:ascii="Arial" w:hAnsi="Arial" w:cs="Arial"/>
          <w:snapToGrid w:val="0"/>
          <w:lang w:val="en-NZ"/>
        </w:rPr>
        <w:t>overweight</w:t>
      </w:r>
      <w:r w:rsidR="006E275A">
        <w:rPr>
          <w:rFonts w:ascii="Arial" w:hAnsi="Arial" w:cs="Arial"/>
          <w:snapToGrid w:val="0"/>
          <w:lang w:val="en-NZ"/>
        </w:rPr>
        <w:t xml:space="preserve"> </w:t>
      </w:r>
      <w:r w:rsidR="006E275A">
        <w:rPr>
          <w:rFonts w:ascii="Arial" w:hAnsi="Arial" w:cs="Arial"/>
        </w:rPr>
        <w:t>(body mass index of 25 to &lt;30</w:t>
      </w:r>
      <w:r w:rsidR="006E275A">
        <w:rPr>
          <w:rStyle w:val="FootnoteReference"/>
          <w:rFonts w:ascii="Arial" w:hAnsi="Arial" w:cs="Arial"/>
        </w:rPr>
        <w:footnoteReference w:id="23"/>
      </w:r>
      <w:r w:rsidR="006E275A">
        <w:rPr>
          <w:rFonts w:ascii="Arial" w:hAnsi="Arial" w:cs="Arial"/>
        </w:rPr>
        <w:t xml:space="preserve">) </w:t>
      </w:r>
      <w:r w:rsidR="006E275A">
        <w:rPr>
          <w:rFonts w:ascii="Arial" w:hAnsi="Arial" w:cs="Arial"/>
          <w:snapToGrid w:val="0"/>
          <w:lang w:val="en-NZ"/>
        </w:rPr>
        <w:t xml:space="preserve">and </w:t>
      </w:r>
      <w:r w:rsidR="00A52C42">
        <w:rPr>
          <w:rFonts w:ascii="Arial" w:hAnsi="Arial" w:cs="Arial"/>
          <w:snapToGrid w:val="0"/>
          <w:lang w:val="en-NZ"/>
        </w:rPr>
        <w:t>not just obesity</w:t>
      </w:r>
      <w:r w:rsidR="006E275A">
        <w:rPr>
          <w:rFonts w:ascii="Arial" w:hAnsi="Arial" w:cs="Arial"/>
          <w:snapToGrid w:val="0"/>
          <w:lang w:val="en-NZ"/>
        </w:rPr>
        <w:t xml:space="preserve"> (index of </w:t>
      </w:r>
      <w:r w:rsidR="00E7589D">
        <w:rPr>
          <w:rFonts w:ascii="Arial" w:hAnsi="Arial" w:cs="Arial"/>
          <w:snapToGrid w:val="0"/>
          <w:lang w:val="en-NZ"/>
        </w:rPr>
        <w:t>30 or more)</w:t>
      </w:r>
      <w:r w:rsidR="00F5492C">
        <w:rPr>
          <w:rFonts w:ascii="Arial" w:hAnsi="Arial" w:cs="Arial"/>
          <w:snapToGrid w:val="0"/>
          <w:lang w:val="en-NZ"/>
        </w:rPr>
        <w:t>.</w:t>
      </w:r>
      <w:r w:rsidR="000C6DAD">
        <w:rPr>
          <w:rFonts w:ascii="Arial" w:hAnsi="Arial" w:cs="Arial"/>
          <w:snapToGrid w:val="0"/>
          <w:lang w:val="en-NZ"/>
        </w:rPr>
        <w:t xml:space="preserve"> </w:t>
      </w:r>
      <w:r w:rsidR="00C506F8">
        <w:rPr>
          <w:rFonts w:ascii="Arial" w:hAnsi="Arial" w:cs="Arial"/>
          <w:snapToGrid w:val="0"/>
          <w:lang w:val="en-NZ"/>
        </w:rPr>
        <w:t xml:space="preserve">Appendix A contains more details about the </w:t>
      </w:r>
      <w:r w:rsidR="00E41D9E">
        <w:rPr>
          <w:rFonts w:ascii="Arial" w:hAnsi="Arial" w:cs="Arial"/>
          <w:snapToGrid w:val="0"/>
          <w:lang w:val="en-NZ"/>
        </w:rPr>
        <w:t xml:space="preserve">estimations, </w:t>
      </w:r>
      <w:r w:rsidR="00C506F8">
        <w:rPr>
          <w:rFonts w:ascii="Arial" w:hAnsi="Arial" w:cs="Arial"/>
          <w:snapToGrid w:val="0"/>
          <w:lang w:val="en-NZ"/>
        </w:rPr>
        <w:t>calculation</w:t>
      </w:r>
      <w:r w:rsidR="00173E79">
        <w:rPr>
          <w:rFonts w:ascii="Arial" w:hAnsi="Arial" w:cs="Arial"/>
          <w:snapToGrid w:val="0"/>
          <w:lang w:val="en-NZ"/>
        </w:rPr>
        <w:t>s</w:t>
      </w:r>
      <w:r w:rsidR="00880E39">
        <w:rPr>
          <w:rFonts w:ascii="Arial" w:hAnsi="Arial" w:cs="Arial"/>
          <w:snapToGrid w:val="0"/>
          <w:lang w:val="en-NZ"/>
        </w:rPr>
        <w:t xml:space="preserve"> and caveats</w:t>
      </w:r>
      <w:r w:rsidR="00C506F8">
        <w:rPr>
          <w:rFonts w:ascii="Arial" w:hAnsi="Arial" w:cs="Arial"/>
          <w:snapToGrid w:val="0"/>
          <w:lang w:val="en-NZ"/>
        </w:rPr>
        <w:t>.</w:t>
      </w:r>
    </w:p>
    <w:p w14:paraId="5018B4E8" w14:textId="278DAEF4" w:rsidR="00FF4B25" w:rsidRDefault="00FF4B25" w:rsidP="005C06CA">
      <w:pPr>
        <w:spacing w:after="240"/>
        <w:rPr>
          <w:rFonts w:ascii="Arial" w:hAnsi="Arial" w:cs="Arial"/>
          <w:snapToGrid w:val="0"/>
          <w:lang w:val="en-NZ"/>
        </w:rPr>
      </w:pPr>
      <w:r>
        <w:rPr>
          <w:rFonts w:ascii="Arial" w:hAnsi="Arial" w:cs="Arial"/>
          <w:snapToGrid w:val="0"/>
          <w:lang w:val="en-NZ"/>
        </w:rPr>
        <w:t>The 0.1</w:t>
      </w:r>
      <w:r w:rsidR="00261BC5">
        <w:rPr>
          <w:rFonts w:ascii="Arial" w:hAnsi="Arial" w:cs="Arial"/>
          <w:snapToGrid w:val="0"/>
          <w:lang w:val="en-NZ"/>
        </w:rPr>
        <w:t>3</w:t>
      </w:r>
      <w:r>
        <w:rPr>
          <w:rFonts w:ascii="Arial" w:hAnsi="Arial" w:cs="Arial"/>
          <w:snapToGrid w:val="0"/>
          <w:lang w:val="en-NZ"/>
        </w:rPr>
        <w:t>% and 0.1</w:t>
      </w:r>
      <w:r w:rsidR="008C4206">
        <w:rPr>
          <w:rFonts w:ascii="Arial" w:hAnsi="Arial" w:cs="Arial"/>
          <w:snapToGrid w:val="0"/>
          <w:lang w:val="en-NZ"/>
        </w:rPr>
        <w:t>7</w:t>
      </w:r>
      <w:r>
        <w:rPr>
          <w:rFonts w:ascii="Arial" w:hAnsi="Arial" w:cs="Arial"/>
          <w:snapToGrid w:val="0"/>
          <w:lang w:val="en-NZ"/>
        </w:rPr>
        <w:t>% have been rounded to two decimal places</w:t>
      </w:r>
      <w:r w:rsidR="00E135A9">
        <w:rPr>
          <w:rFonts w:ascii="Arial" w:hAnsi="Arial" w:cs="Arial"/>
          <w:snapToGrid w:val="0"/>
          <w:lang w:val="en-NZ"/>
        </w:rPr>
        <w:t>.</w:t>
      </w:r>
      <w:r w:rsidR="00AB488E">
        <w:rPr>
          <w:rFonts w:ascii="Arial" w:hAnsi="Arial" w:cs="Arial"/>
          <w:snapToGrid w:val="0"/>
          <w:lang w:val="en-NZ"/>
        </w:rPr>
        <w:t xml:space="preserve"> </w:t>
      </w:r>
    </w:p>
    <w:p w14:paraId="133AC114" w14:textId="576ECBFF" w:rsidR="000F7637" w:rsidRDefault="00F20B3A" w:rsidP="005C06CA">
      <w:pPr>
        <w:spacing w:after="240"/>
        <w:rPr>
          <w:rFonts w:ascii="Arial" w:hAnsi="Arial" w:cs="Arial"/>
          <w:snapToGrid w:val="0"/>
          <w:lang w:val="en-NZ"/>
        </w:rPr>
      </w:pPr>
      <w:r>
        <w:rPr>
          <w:rFonts w:ascii="Arial" w:hAnsi="Arial" w:cs="Arial"/>
          <w:snapToGrid w:val="0"/>
          <w:lang w:val="en-NZ"/>
        </w:rPr>
        <w:t xml:space="preserve">While noting concerns from some </w:t>
      </w:r>
      <w:r w:rsidR="00EE453E">
        <w:rPr>
          <w:rFonts w:ascii="Arial" w:hAnsi="Arial" w:cs="Arial"/>
          <w:snapToGrid w:val="0"/>
          <w:lang w:val="en-NZ"/>
        </w:rPr>
        <w:t>submitters</w:t>
      </w:r>
      <w:r>
        <w:rPr>
          <w:rFonts w:ascii="Arial" w:hAnsi="Arial" w:cs="Arial"/>
          <w:snapToGrid w:val="0"/>
          <w:lang w:val="en-NZ"/>
        </w:rPr>
        <w:t xml:space="preserve">, </w:t>
      </w:r>
      <w:r w:rsidR="00F5492C">
        <w:rPr>
          <w:rFonts w:ascii="Arial" w:hAnsi="Arial" w:cs="Arial"/>
          <w:snapToGrid w:val="0"/>
          <w:lang w:val="en-NZ"/>
        </w:rPr>
        <w:t>a break-even</w:t>
      </w:r>
      <w:r w:rsidR="0098032F">
        <w:rPr>
          <w:rFonts w:ascii="Arial" w:hAnsi="Arial" w:cs="Arial"/>
          <w:snapToGrid w:val="0"/>
          <w:lang w:val="en-NZ"/>
        </w:rPr>
        <w:t xml:space="preserve"> </w:t>
      </w:r>
      <w:r w:rsidR="00F5492C">
        <w:rPr>
          <w:rFonts w:ascii="Arial" w:hAnsi="Arial" w:cs="Arial"/>
          <w:snapToGrid w:val="0"/>
          <w:lang w:val="en-NZ"/>
        </w:rPr>
        <w:t>analysis</w:t>
      </w:r>
      <w:r w:rsidR="009459BC">
        <w:rPr>
          <w:rFonts w:ascii="Arial" w:hAnsi="Arial" w:cs="Arial"/>
          <w:snapToGrid w:val="0"/>
          <w:lang w:val="en-NZ"/>
        </w:rPr>
        <w:t xml:space="preserve"> </w:t>
      </w:r>
      <w:r w:rsidR="00F5492C">
        <w:rPr>
          <w:rFonts w:ascii="Arial" w:hAnsi="Arial" w:cs="Arial"/>
          <w:snapToGrid w:val="0"/>
          <w:lang w:val="en-NZ"/>
        </w:rPr>
        <w:t xml:space="preserve">has been used </w:t>
      </w:r>
      <w:r w:rsidR="00132317">
        <w:rPr>
          <w:rFonts w:ascii="Arial" w:hAnsi="Arial" w:cs="Arial"/>
          <w:snapToGrid w:val="0"/>
          <w:lang w:val="en-NZ"/>
        </w:rPr>
        <w:t xml:space="preserve">because of the potential complexities of determining the diversity of potential behaviours </w:t>
      </w:r>
      <w:r w:rsidR="003D595F">
        <w:rPr>
          <w:rFonts w:ascii="Arial" w:hAnsi="Arial" w:cs="Arial"/>
          <w:snapToGrid w:val="0"/>
          <w:lang w:val="en-NZ"/>
        </w:rPr>
        <w:t>over a ten</w:t>
      </w:r>
      <w:r w:rsidR="00EE453E">
        <w:rPr>
          <w:rFonts w:ascii="Arial" w:hAnsi="Arial" w:cs="Arial"/>
          <w:snapToGrid w:val="0"/>
          <w:lang w:val="en-NZ"/>
        </w:rPr>
        <w:t xml:space="preserve"> </w:t>
      </w:r>
      <w:r w:rsidR="003D595F">
        <w:rPr>
          <w:rFonts w:ascii="Arial" w:hAnsi="Arial" w:cs="Arial"/>
          <w:snapToGrid w:val="0"/>
          <w:lang w:val="en-NZ"/>
        </w:rPr>
        <w:t xml:space="preserve">year timeframe </w:t>
      </w:r>
      <w:r w:rsidR="00132317">
        <w:rPr>
          <w:rFonts w:ascii="Arial" w:hAnsi="Arial" w:cs="Arial"/>
          <w:snapToGrid w:val="0"/>
          <w:lang w:val="en-NZ"/>
        </w:rPr>
        <w:t xml:space="preserve">among different consumers from </w:t>
      </w:r>
      <w:r>
        <w:rPr>
          <w:rFonts w:ascii="Arial" w:hAnsi="Arial" w:cs="Arial"/>
          <w:snapToGrid w:val="0"/>
          <w:lang w:val="en-NZ"/>
        </w:rPr>
        <w:t>the</w:t>
      </w:r>
      <w:r w:rsidR="00132317">
        <w:rPr>
          <w:rFonts w:ascii="Arial" w:hAnsi="Arial" w:cs="Arial"/>
          <w:snapToGrid w:val="0"/>
          <w:lang w:val="en-NZ"/>
        </w:rPr>
        <w:t xml:space="preserve"> </w:t>
      </w:r>
      <w:r w:rsidR="005363A5">
        <w:rPr>
          <w:rFonts w:ascii="Arial" w:hAnsi="Arial" w:cs="Arial"/>
          <w:snapToGrid w:val="0"/>
          <w:lang w:val="en-NZ"/>
        </w:rPr>
        <w:t xml:space="preserve">readily </w:t>
      </w:r>
      <w:r w:rsidR="00132317">
        <w:rPr>
          <w:rFonts w:ascii="Arial" w:hAnsi="Arial" w:cs="Arial"/>
          <w:snapToGrid w:val="0"/>
          <w:lang w:val="en-NZ"/>
        </w:rPr>
        <w:t>accessible energy content information</w:t>
      </w:r>
      <w:r>
        <w:rPr>
          <w:rFonts w:ascii="Arial" w:hAnsi="Arial" w:cs="Arial"/>
          <w:snapToGrid w:val="0"/>
          <w:lang w:val="en-NZ"/>
        </w:rPr>
        <w:t xml:space="preserve"> under </w:t>
      </w:r>
      <w:r w:rsidR="00C04DFE">
        <w:rPr>
          <w:rFonts w:ascii="Arial" w:hAnsi="Arial" w:cs="Arial"/>
          <w:snapToGrid w:val="0"/>
          <w:lang w:val="en-NZ"/>
        </w:rPr>
        <w:t xml:space="preserve">option </w:t>
      </w:r>
      <w:r>
        <w:rPr>
          <w:rFonts w:ascii="Arial" w:hAnsi="Arial" w:cs="Arial"/>
          <w:snapToGrid w:val="0"/>
          <w:lang w:val="en-NZ"/>
        </w:rPr>
        <w:t>2</w:t>
      </w:r>
      <w:r w:rsidR="00132317">
        <w:rPr>
          <w:rFonts w:ascii="Arial" w:hAnsi="Arial" w:cs="Arial"/>
          <w:snapToGrid w:val="0"/>
          <w:lang w:val="en-NZ"/>
        </w:rPr>
        <w:t>.</w:t>
      </w:r>
      <w:r>
        <w:rPr>
          <w:rFonts w:ascii="Arial" w:hAnsi="Arial" w:cs="Arial"/>
          <w:snapToGrid w:val="0"/>
          <w:lang w:val="en-NZ"/>
        </w:rPr>
        <w:t xml:space="preserve"> </w:t>
      </w:r>
    </w:p>
    <w:p w14:paraId="4B0156E1" w14:textId="5F4FCB65" w:rsidR="008A598D" w:rsidRDefault="00F20B3A" w:rsidP="005C06CA">
      <w:pPr>
        <w:spacing w:after="240"/>
        <w:rPr>
          <w:rFonts w:ascii="Arial" w:hAnsi="Arial" w:cs="Arial"/>
          <w:snapToGrid w:val="0"/>
          <w:lang w:val="en-NZ"/>
        </w:rPr>
      </w:pPr>
      <w:r w:rsidRPr="00F20B3A">
        <w:rPr>
          <w:rFonts w:ascii="Arial" w:hAnsi="Arial" w:cs="Arial"/>
          <w:snapToGrid w:val="0"/>
          <w:lang w:val="en-NZ"/>
        </w:rPr>
        <w:t xml:space="preserve">Consumers presented with energy content information could use it in more than one way, meaning simply valuing the health benefits could under or over value the change to consumers. Consumers could read the information and make a decision to reduce their energy consumption and improve their health outcomes. Alternatively, they could maintain their present energy consumption but do it with an alternative mix of food and drink that increases their utility. It could also have an existence value if they value an open and transparent food production system, and the ability to make informed choices about alcoholic beverage consumption in respect of energy content. </w:t>
      </w:r>
    </w:p>
    <w:p w14:paraId="4D3E9905" w14:textId="726708C5" w:rsidR="00CD1843" w:rsidRDefault="005C1E5C" w:rsidP="00650B61">
      <w:pPr>
        <w:spacing w:after="120"/>
        <w:rPr>
          <w:rFonts w:ascii="Arial" w:hAnsi="Arial" w:cs="Arial"/>
          <w:snapToGrid w:val="0"/>
        </w:rPr>
      </w:pPr>
      <w:r w:rsidRPr="003E390A">
        <w:rPr>
          <w:rFonts w:ascii="Arial" w:hAnsi="Arial" w:cs="Arial"/>
          <w:snapToGrid w:val="0"/>
          <w:lang w:val="en-NZ"/>
        </w:rPr>
        <w:t xml:space="preserve">It </w:t>
      </w:r>
      <w:r w:rsidR="00CD1843">
        <w:rPr>
          <w:rFonts w:ascii="Arial" w:hAnsi="Arial" w:cs="Arial"/>
          <w:snapToGrid w:val="0"/>
          <w:lang w:val="en-NZ"/>
        </w:rPr>
        <w:t>seems plausible</w:t>
      </w:r>
      <w:r w:rsidRPr="003E390A">
        <w:rPr>
          <w:rFonts w:ascii="Arial" w:hAnsi="Arial" w:cs="Arial"/>
          <w:snapToGrid w:val="0"/>
          <w:lang w:val="en-NZ"/>
        </w:rPr>
        <w:t xml:space="preserve"> to assume </w:t>
      </w:r>
      <w:r>
        <w:rPr>
          <w:rFonts w:ascii="Arial" w:hAnsi="Arial" w:cs="Arial"/>
          <w:snapToGrid w:val="0"/>
          <w:lang w:val="en-NZ"/>
        </w:rPr>
        <w:t>the</w:t>
      </w:r>
      <w:r w:rsidR="003B736E">
        <w:rPr>
          <w:rFonts w:ascii="Arial" w:hAnsi="Arial" w:cs="Arial"/>
          <w:snapToGrid w:val="0"/>
          <w:lang w:val="en-NZ"/>
        </w:rPr>
        <w:t xml:space="preserve"> cumulative</w:t>
      </w:r>
      <w:r>
        <w:rPr>
          <w:rFonts w:ascii="Arial" w:hAnsi="Arial" w:cs="Arial"/>
          <w:snapToGrid w:val="0"/>
          <w:lang w:val="en-NZ"/>
        </w:rPr>
        <w:t xml:space="preserve"> benefits of </w:t>
      </w:r>
      <w:r w:rsidR="00FC531F">
        <w:rPr>
          <w:rFonts w:ascii="Arial" w:hAnsi="Arial" w:cs="Arial"/>
          <w:snapToGrid w:val="0"/>
          <w:lang w:val="en-NZ"/>
        </w:rPr>
        <w:t xml:space="preserve">option </w:t>
      </w:r>
      <w:r>
        <w:rPr>
          <w:rFonts w:ascii="Arial" w:hAnsi="Arial" w:cs="Arial"/>
          <w:snapToGrid w:val="0"/>
          <w:lang w:val="en-NZ"/>
        </w:rPr>
        <w:t>2</w:t>
      </w:r>
      <w:r w:rsidR="00733D5B">
        <w:rPr>
          <w:rFonts w:ascii="Arial" w:hAnsi="Arial" w:cs="Arial"/>
          <w:snapToGrid w:val="0"/>
          <w:lang w:val="en-NZ"/>
        </w:rPr>
        <w:t xml:space="preserve"> </w:t>
      </w:r>
      <w:r w:rsidR="00621865">
        <w:rPr>
          <w:rFonts w:ascii="Arial" w:hAnsi="Arial" w:cs="Arial"/>
          <w:snapToGrid w:val="0"/>
          <w:lang w:val="en-NZ"/>
        </w:rPr>
        <w:t>from informed purchasing and consumption decisions,</w:t>
      </w:r>
      <w:r w:rsidRPr="003E390A">
        <w:rPr>
          <w:rFonts w:ascii="Arial" w:hAnsi="Arial" w:cs="Arial"/>
          <w:snapToGrid w:val="0"/>
          <w:lang w:val="en-NZ"/>
        </w:rPr>
        <w:t xml:space="preserve"> could</w:t>
      </w:r>
      <w:r>
        <w:rPr>
          <w:rFonts w:ascii="Arial" w:hAnsi="Arial" w:cs="Arial"/>
          <w:snapToGrid w:val="0"/>
          <w:lang w:val="en-NZ"/>
        </w:rPr>
        <w:t xml:space="preserve">, over ten years </w:t>
      </w:r>
      <w:r w:rsidR="003771C8">
        <w:rPr>
          <w:rFonts w:ascii="Arial" w:hAnsi="Arial" w:cs="Arial"/>
          <w:snapToGrid w:val="0"/>
          <w:lang w:val="en-NZ"/>
        </w:rPr>
        <w:t>reduce</w:t>
      </w:r>
      <w:r>
        <w:rPr>
          <w:rFonts w:ascii="Arial" w:hAnsi="Arial" w:cs="Arial"/>
          <w:snapToGrid w:val="0"/>
          <w:lang w:val="en-NZ"/>
        </w:rPr>
        <w:t xml:space="preserve"> obesity and overweight</w:t>
      </w:r>
      <w:r w:rsidR="00D0798F">
        <w:rPr>
          <w:rFonts w:ascii="Arial" w:hAnsi="Arial" w:cs="Arial"/>
          <w:snapToGrid w:val="0"/>
          <w:lang w:val="en-NZ"/>
        </w:rPr>
        <w:t>-related health costs</w:t>
      </w:r>
      <w:r>
        <w:rPr>
          <w:rFonts w:ascii="Arial" w:hAnsi="Arial" w:cs="Arial"/>
          <w:snapToGrid w:val="0"/>
          <w:lang w:val="en-NZ"/>
        </w:rPr>
        <w:t xml:space="preserve"> by at least </w:t>
      </w:r>
      <w:r w:rsidRPr="006338C4">
        <w:rPr>
          <w:rFonts w:ascii="Arial" w:hAnsi="Arial" w:cs="Arial"/>
          <w:snapToGrid w:val="0"/>
          <w:lang w:val="en-NZ"/>
        </w:rPr>
        <w:t>0.1</w:t>
      </w:r>
      <w:r w:rsidR="00B74647">
        <w:rPr>
          <w:rFonts w:ascii="Arial" w:hAnsi="Arial" w:cs="Arial"/>
          <w:snapToGrid w:val="0"/>
          <w:lang w:val="en-NZ"/>
        </w:rPr>
        <w:t>3</w:t>
      </w:r>
      <w:r w:rsidRPr="006338C4">
        <w:rPr>
          <w:rFonts w:ascii="Arial" w:hAnsi="Arial" w:cs="Arial"/>
          <w:snapToGrid w:val="0"/>
          <w:lang w:val="en-NZ"/>
        </w:rPr>
        <w:t>%</w:t>
      </w:r>
      <w:r>
        <w:rPr>
          <w:rFonts w:ascii="Arial" w:hAnsi="Arial" w:cs="Arial"/>
          <w:snapToGrid w:val="0"/>
          <w:lang w:val="en-NZ"/>
        </w:rPr>
        <w:t xml:space="preserve"> to 0.1</w:t>
      </w:r>
      <w:r w:rsidR="00B74647">
        <w:rPr>
          <w:rFonts w:ascii="Arial" w:hAnsi="Arial" w:cs="Arial"/>
          <w:snapToGrid w:val="0"/>
          <w:lang w:val="en-NZ"/>
        </w:rPr>
        <w:t>7</w:t>
      </w:r>
      <w:r>
        <w:rPr>
          <w:rFonts w:ascii="Arial" w:hAnsi="Arial" w:cs="Arial"/>
          <w:snapToGrid w:val="0"/>
          <w:lang w:val="en-NZ"/>
        </w:rPr>
        <w:t>%.</w:t>
      </w:r>
      <w:r w:rsidR="00CD1843">
        <w:rPr>
          <w:rFonts w:ascii="Arial" w:hAnsi="Arial" w:cs="Arial"/>
          <w:snapToGrid w:val="0"/>
          <w:lang w:val="en-NZ"/>
        </w:rPr>
        <w:t xml:space="preserve"> </w:t>
      </w:r>
      <w:r w:rsidR="00CD1843" w:rsidRPr="0056032D">
        <w:rPr>
          <w:rFonts w:ascii="Arial" w:hAnsi="Arial" w:cs="Arial"/>
          <w:snapToGrid w:val="0"/>
        </w:rPr>
        <w:t>T</w:t>
      </w:r>
      <w:r w:rsidR="00CD1843">
        <w:rPr>
          <w:rFonts w:ascii="Arial" w:hAnsi="Arial" w:cs="Arial"/>
          <w:snapToGrid w:val="0"/>
        </w:rPr>
        <w:t>hat is when considering:</w:t>
      </w:r>
    </w:p>
    <w:p w14:paraId="4917BE31" w14:textId="760EB276" w:rsidR="00CD1843" w:rsidRPr="002A1F37" w:rsidRDefault="00CD1843" w:rsidP="0078336E">
      <w:pPr>
        <w:pStyle w:val="ListParagraph"/>
        <w:numPr>
          <w:ilvl w:val="0"/>
          <w:numId w:val="34"/>
        </w:numPr>
        <w:rPr>
          <w:rFonts w:ascii="Arial" w:hAnsi="Arial" w:cs="Arial"/>
          <w:snapToGrid w:val="0"/>
        </w:rPr>
      </w:pPr>
      <w:r w:rsidRPr="00CD1843">
        <w:rPr>
          <w:rFonts w:ascii="Arial" w:hAnsi="Arial" w:cs="Arial"/>
          <w:snapToGrid w:val="0"/>
        </w:rPr>
        <w:t>the cumulative and additive impacts of this labellin</w:t>
      </w:r>
      <w:r w:rsidR="00733D5B">
        <w:rPr>
          <w:rFonts w:ascii="Arial" w:hAnsi="Arial" w:cs="Arial"/>
          <w:snapToGrid w:val="0"/>
        </w:rPr>
        <w:t>g</w:t>
      </w:r>
      <w:r w:rsidRPr="00CD1843">
        <w:rPr>
          <w:rFonts w:ascii="Arial" w:hAnsi="Arial" w:cs="Arial"/>
          <w:snapToGrid w:val="0"/>
        </w:rPr>
        <w:t xml:space="preserve"> plus education</w:t>
      </w:r>
      <w:r w:rsidR="00C151C3">
        <w:rPr>
          <w:rFonts w:ascii="Arial" w:hAnsi="Arial" w:cs="Arial"/>
          <w:snapToGrid w:val="0"/>
        </w:rPr>
        <w:t xml:space="preserve"> and</w:t>
      </w:r>
      <w:r w:rsidR="006A4F7A">
        <w:rPr>
          <w:rFonts w:ascii="Arial" w:hAnsi="Arial" w:cs="Arial"/>
          <w:snapToGrid w:val="0"/>
        </w:rPr>
        <w:t xml:space="preserve"> </w:t>
      </w:r>
      <w:r w:rsidRPr="00CD1843">
        <w:rPr>
          <w:rFonts w:ascii="Arial" w:hAnsi="Arial" w:cs="Arial"/>
          <w:snapToGrid w:val="0"/>
        </w:rPr>
        <w:t>health initiatives for which this labelling would be a</w:t>
      </w:r>
      <w:r w:rsidR="00E40201">
        <w:rPr>
          <w:rFonts w:ascii="Arial" w:hAnsi="Arial" w:cs="Arial"/>
          <w:snapToGrid w:val="0"/>
        </w:rPr>
        <w:t xml:space="preserve"> necessary</w:t>
      </w:r>
      <w:r w:rsidRPr="002A1F37">
        <w:rPr>
          <w:rFonts w:ascii="Arial" w:hAnsi="Arial" w:cs="Arial"/>
          <w:snapToGrid w:val="0"/>
        </w:rPr>
        <w:t xml:space="preserve"> foundation</w:t>
      </w:r>
    </w:p>
    <w:p w14:paraId="39815630" w14:textId="294230EC" w:rsidR="007153F3" w:rsidRPr="007153F3" w:rsidRDefault="00B441F3" w:rsidP="007153F3">
      <w:pPr>
        <w:pStyle w:val="ListParagraph"/>
        <w:numPr>
          <w:ilvl w:val="0"/>
          <w:numId w:val="34"/>
        </w:numPr>
        <w:rPr>
          <w:rFonts w:ascii="Arial" w:hAnsi="Arial" w:cs="Arial"/>
          <w:snapToGrid w:val="0"/>
        </w:rPr>
      </w:pPr>
      <w:r>
        <w:rPr>
          <w:rFonts w:ascii="Arial" w:hAnsi="Arial" w:cs="Arial"/>
          <w:snapToGrid w:val="0"/>
        </w:rPr>
        <w:lastRenderedPageBreak/>
        <w:t>a</w:t>
      </w:r>
      <w:r w:rsidR="007153F3" w:rsidRPr="007153F3">
        <w:rPr>
          <w:rFonts w:ascii="Arial" w:hAnsi="Arial" w:cs="Arial"/>
          <w:snapToGrid w:val="0"/>
        </w:rPr>
        <w:t xml:space="preserve"> mean of 5.3% and 5.2% of total daily energy intake for all Australian and New Zealand adults respectively is contributed by alcoholic beverages</w:t>
      </w:r>
      <w:r>
        <w:rPr>
          <w:rFonts w:ascii="Arial" w:hAnsi="Arial" w:cs="Arial"/>
          <w:snapToGrid w:val="0"/>
        </w:rPr>
        <w:t xml:space="preserve">, </w:t>
      </w:r>
      <w:r w:rsidR="00E7426A">
        <w:rPr>
          <w:rFonts w:ascii="Arial" w:hAnsi="Arial" w:cs="Arial"/>
          <w:snapToGrid w:val="0"/>
        </w:rPr>
        <w:t>which includes adults who do not consume alcohol</w:t>
      </w:r>
    </w:p>
    <w:p w14:paraId="00C2879E" w14:textId="72D3B0A9" w:rsidR="008D2E9A" w:rsidRDefault="00715C13" w:rsidP="00C413AF">
      <w:pPr>
        <w:pStyle w:val="ListParagraph"/>
        <w:numPr>
          <w:ilvl w:val="0"/>
          <w:numId w:val="34"/>
        </w:numPr>
        <w:rPr>
          <w:rFonts w:ascii="Arial" w:hAnsi="Arial" w:cs="Arial"/>
          <w:snapToGrid w:val="0"/>
        </w:rPr>
      </w:pPr>
      <w:bookmarkStart w:id="30" w:name="_Hlk179277303"/>
      <w:r w:rsidRPr="001778D3">
        <w:rPr>
          <w:rFonts w:ascii="Arial" w:hAnsi="Arial" w:cs="Arial"/>
          <w:snapToGrid w:val="0"/>
        </w:rPr>
        <w:t>th</w:t>
      </w:r>
      <w:r w:rsidR="000361AC" w:rsidRPr="001778D3">
        <w:rPr>
          <w:rFonts w:ascii="Arial" w:hAnsi="Arial" w:cs="Arial"/>
          <w:snapToGrid w:val="0"/>
        </w:rPr>
        <w:t>e</w:t>
      </w:r>
      <w:r w:rsidR="00E31C15" w:rsidRPr="001778D3">
        <w:rPr>
          <w:rFonts w:ascii="Arial" w:hAnsi="Arial" w:cs="Arial"/>
          <w:snapToGrid w:val="0"/>
        </w:rPr>
        <w:t xml:space="preserve"> systematic review </w:t>
      </w:r>
      <w:r w:rsidRPr="001778D3">
        <w:rPr>
          <w:rFonts w:ascii="Arial" w:hAnsi="Arial" w:cs="Arial"/>
          <w:snapToGrid w:val="0"/>
        </w:rPr>
        <w:t xml:space="preserve">by Shangguan et al. </w:t>
      </w:r>
      <w:r w:rsidR="000A0914" w:rsidRPr="001778D3">
        <w:rPr>
          <w:rFonts w:ascii="Arial" w:hAnsi="Arial" w:cs="Arial"/>
          <w:snapToGrid w:val="0"/>
        </w:rPr>
        <w:t>(</w:t>
      </w:r>
      <w:r w:rsidRPr="001778D3">
        <w:rPr>
          <w:rFonts w:ascii="Arial" w:hAnsi="Arial" w:cs="Arial"/>
          <w:snapToGrid w:val="0"/>
        </w:rPr>
        <w:t>2018</w:t>
      </w:r>
      <w:r w:rsidR="000A0914" w:rsidRPr="001778D3">
        <w:rPr>
          <w:rFonts w:ascii="Arial" w:hAnsi="Arial" w:cs="Arial"/>
          <w:snapToGrid w:val="0"/>
        </w:rPr>
        <w:t>)</w:t>
      </w:r>
      <w:r w:rsidRPr="00C413AF">
        <w:rPr>
          <w:rFonts w:ascii="Arial" w:hAnsi="Arial" w:cs="Arial"/>
          <w:snapToGrid w:val="0"/>
        </w:rPr>
        <w:t xml:space="preserve"> </w:t>
      </w:r>
      <w:r w:rsidR="00E31C15" w:rsidRPr="001778D3">
        <w:rPr>
          <w:rFonts w:ascii="Arial" w:hAnsi="Arial" w:cs="Arial"/>
          <w:snapToGrid w:val="0"/>
        </w:rPr>
        <w:t>found that food labelling in general reduced consumer consumption of total energy by 6.6%</w:t>
      </w:r>
      <w:r w:rsidRPr="001778D3">
        <w:rPr>
          <w:rFonts w:ascii="Arial" w:hAnsi="Arial" w:cs="Arial"/>
          <w:snapToGrid w:val="0"/>
        </w:rPr>
        <w:t>.</w:t>
      </w:r>
      <w:r w:rsidR="00E7426A" w:rsidRPr="001778D3">
        <w:rPr>
          <w:rFonts w:ascii="Arial" w:hAnsi="Arial" w:cs="Arial"/>
          <w:snapToGrid w:val="0"/>
        </w:rPr>
        <w:t xml:space="preserve"> </w:t>
      </w:r>
      <w:bookmarkEnd w:id="30"/>
    </w:p>
    <w:p w14:paraId="0DC86448" w14:textId="77777777" w:rsidR="00A22E0F" w:rsidRPr="00C413AF" w:rsidRDefault="00A22E0F" w:rsidP="00A22E0F">
      <w:pPr>
        <w:pStyle w:val="ListParagraph"/>
        <w:ind w:left="784"/>
        <w:rPr>
          <w:rFonts w:ascii="Arial" w:hAnsi="Arial" w:cs="Arial"/>
          <w:snapToGrid w:val="0"/>
        </w:rPr>
      </w:pPr>
    </w:p>
    <w:p w14:paraId="51881020" w14:textId="626EE630" w:rsidR="004C0EF9" w:rsidRDefault="004C0EF9" w:rsidP="00265306">
      <w:pPr>
        <w:spacing w:after="0"/>
        <w:rPr>
          <w:rFonts w:ascii="Arial" w:hAnsi="Arial" w:cs="Arial"/>
          <w:lang w:val="en-GB"/>
        </w:rPr>
      </w:pPr>
      <w:r>
        <w:rPr>
          <w:rFonts w:ascii="Arial" w:hAnsi="Arial" w:cs="Arial"/>
          <w:lang w:val="en-GB"/>
        </w:rPr>
        <w:t xml:space="preserve">A </w:t>
      </w:r>
      <w:r w:rsidR="009459BC">
        <w:rPr>
          <w:rFonts w:ascii="Arial" w:hAnsi="Arial" w:cs="Arial"/>
          <w:lang w:val="en-GB"/>
        </w:rPr>
        <w:t>break-even analysis</w:t>
      </w:r>
      <w:r w:rsidRPr="000254FA">
        <w:rPr>
          <w:rFonts w:ascii="Arial" w:hAnsi="Arial" w:cs="Arial"/>
          <w:lang w:val="en-GB"/>
        </w:rPr>
        <w:t xml:space="preserve"> provides guidance to the </w:t>
      </w:r>
      <w:r w:rsidRPr="00F90C9B">
        <w:rPr>
          <w:rFonts w:ascii="Arial" w:hAnsi="Arial" w:cs="Arial"/>
          <w:lang w:val="en-GB"/>
        </w:rPr>
        <w:t>decision maker</w:t>
      </w:r>
      <w:r w:rsidR="00FC531F">
        <w:rPr>
          <w:rFonts w:ascii="Arial" w:hAnsi="Arial" w:cs="Arial"/>
          <w:lang w:val="en-GB"/>
        </w:rPr>
        <w:t>s</w:t>
      </w:r>
      <w:r w:rsidRPr="000254FA">
        <w:rPr>
          <w:rFonts w:ascii="Arial" w:hAnsi="Arial" w:cs="Arial"/>
          <w:lang w:val="en-GB"/>
        </w:rPr>
        <w:t xml:space="preserve"> on the amount of </w:t>
      </w:r>
      <w:r w:rsidR="00A37520">
        <w:rPr>
          <w:rFonts w:ascii="Arial" w:hAnsi="Arial" w:cs="Arial"/>
          <w:lang w:val="en-GB"/>
        </w:rPr>
        <w:t>obesity and overw</w:t>
      </w:r>
      <w:r w:rsidR="00A912F3">
        <w:rPr>
          <w:rFonts w:ascii="Arial" w:hAnsi="Arial" w:cs="Arial"/>
          <w:lang w:val="en-GB"/>
        </w:rPr>
        <w:t>eight</w:t>
      </w:r>
      <w:r w:rsidR="007E2721">
        <w:rPr>
          <w:rFonts w:ascii="Arial" w:hAnsi="Arial" w:cs="Arial"/>
          <w:lang w:val="en-GB"/>
        </w:rPr>
        <w:t>-related health</w:t>
      </w:r>
      <w:r w:rsidR="00A912F3">
        <w:rPr>
          <w:rFonts w:ascii="Arial" w:hAnsi="Arial" w:cs="Arial"/>
          <w:lang w:val="en-GB"/>
        </w:rPr>
        <w:t xml:space="preserve"> costs</w:t>
      </w:r>
      <w:r w:rsidRPr="000254FA">
        <w:rPr>
          <w:rFonts w:ascii="Arial" w:hAnsi="Arial" w:cs="Arial"/>
          <w:lang w:val="en-GB"/>
        </w:rPr>
        <w:t xml:space="preserve"> need</w:t>
      </w:r>
      <w:r w:rsidR="00763117">
        <w:rPr>
          <w:rFonts w:ascii="Arial" w:hAnsi="Arial" w:cs="Arial"/>
          <w:lang w:val="en-GB"/>
        </w:rPr>
        <w:t>ed over ten years</w:t>
      </w:r>
      <w:r w:rsidRPr="000254FA">
        <w:rPr>
          <w:rFonts w:ascii="Arial" w:hAnsi="Arial" w:cs="Arial"/>
          <w:lang w:val="en-GB"/>
        </w:rPr>
        <w:t xml:space="preserve"> to offset </w:t>
      </w:r>
      <w:r w:rsidR="00B73C4A">
        <w:rPr>
          <w:rFonts w:ascii="Arial" w:hAnsi="Arial" w:cs="Arial"/>
          <w:lang w:val="en-GB"/>
        </w:rPr>
        <w:t>label change costs</w:t>
      </w:r>
      <w:r w:rsidRPr="000254FA">
        <w:rPr>
          <w:rFonts w:ascii="Arial" w:hAnsi="Arial" w:cs="Arial"/>
          <w:lang w:val="en-GB"/>
        </w:rPr>
        <w:t>.</w:t>
      </w:r>
      <w:r>
        <w:rPr>
          <w:rFonts w:ascii="Arial" w:hAnsi="Arial" w:cs="Arial"/>
          <w:lang w:val="en-GB"/>
        </w:rPr>
        <w:t xml:space="preserve"> </w:t>
      </w:r>
      <w:r w:rsidRPr="00E5200F">
        <w:rPr>
          <w:rFonts w:ascii="Arial" w:hAnsi="Arial" w:cs="Arial"/>
          <w:lang w:val="en-GB"/>
        </w:rPr>
        <w:t>It is then up to the decision maker</w:t>
      </w:r>
      <w:r w:rsidR="00FC531F">
        <w:rPr>
          <w:rFonts w:ascii="Arial" w:hAnsi="Arial" w:cs="Arial"/>
          <w:lang w:val="en-GB"/>
        </w:rPr>
        <w:t>s</w:t>
      </w:r>
      <w:r w:rsidRPr="00E5200F">
        <w:rPr>
          <w:rFonts w:ascii="Arial" w:hAnsi="Arial" w:cs="Arial"/>
          <w:lang w:val="en-GB"/>
        </w:rPr>
        <w:t xml:space="preserve"> to </w:t>
      </w:r>
      <w:r>
        <w:rPr>
          <w:rFonts w:ascii="Arial" w:hAnsi="Arial" w:cs="Arial"/>
          <w:lang w:val="en-GB"/>
        </w:rPr>
        <w:t>decide</w:t>
      </w:r>
      <w:r w:rsidRPr="00E5200F">
        <w:rPr>
          <w:rFonts w:ascii="Arial" w:hAnsi="Arial" w:cs="Arial"/>
          <w:lang w:val="en-GB"/>
        </w:rPr>
        <w:t xml:space="preserve"> whether it is likely that the regulatory intervention will achieve a benefit larger than the cost</w:t>
      </w:r>
      <w:r>
        <w:rPr>
          <w:rFonts w:ascii="Arial" w:hAnsi="Arial" w:cs="Arial"/>
          <w:lang w:val="en-GB"/>
        </w:rPr>
        <w:t>,</w:t>
      </w:r>
      <w:r w:rsidRPr="00E5200F">
        <w:rPr>
          <w:rFonts w:ascii="Arial" w:hAnsi="Arial" w:cs="Arial"/>
          <w:lang w:val="en-GB"/>
        </w:rPr>
        <w:t xml:space="preserve"> in addition to the other considerations they need to take into account.</w:t>
      </w:r>
      <w:r w:rsidR="009064DC">
        <w:rPr>
          <w:rFonts w:ascii="Arial" w:hAnsi="Arial" w:cs="Arial"/>
          <w:lang w:val="en-GB"/>
        </w:rPr>
        <w:t xml:space="preserve"> </w:t>
      </w:r>
      <w:r w:rsidR="009064DC" w:rsidRPr="009064DC">
        <w:rPr>
          <w:rFonts w:ascii="Arial" w:hAnsi="Arial" w:cs="Arial"/>
        </w:rPr>
        <w:t xml:space="preserve">FSANZ’s view is that the costs of </w:t>
      </w:r>
      <w:r w:rsidR="0097283F">
        <w:rPr>
          <w:rFonts w:ascii="Arial" w:hAnsi="Arial" w:cs="Arial"/>
        </w:rPr>
        <w:t>o</w:t>
      </w:r>
      <w:r w:rsidR="009064DC" w:rsidRPr="009064DC">
        <w:rPr>
          <w:rFonts w:ascii="Arial" w:hAnsi="Arial" w:cs="Arial"/>
        </w:rPr>
        <w:t xml:space="preserve">ption </w:t>
      </w:r>
      <w:r w:rsidR="00FE22AB">
        <w:rPr>
          <w:rFonts w:ascii="Arial" w:hAnsi="Arial" w:cs="Arial"/>
        </w:rPr>
        <w:t xml:space="preserve">2 (and </w:t>
      </w:r>
      <w:r w:rsidR="0097283F">
        <w:rPr>
          <w:rFonts w:ascii="Arial" w:hAnsi="Arial" w:cs="Arial"/>
        </w:rPr>
        <w:t>o</w:t>
      </w:r>
      <w:r w:rsidR="00FE22AB">
        <w:rPr>
          <w:rFonts w:ascii="Arial" w:hAnsi="Arial" w:cs="Arial"/>
        </w:rPr>
        <w:t>ption 3 below)</w:t>
      </w:r>
      <w:r w:rsidR="009064DC" w:rsidRPr="009064DC">
        <w:rPr>
          <w:rFonts w:ascii="Arial" w:hAnsi="Arial" w:cs="Arial"/>
        </w:rPr>
        <w:t xml:space="preserve"> would most likely not outweigh the direct and indirect benefits compared to the </w:t>
      </w:r>
      <w:r w:rsidR="00431196">
        <w:rPr>
          <w:rFonts w:ascii="Arial" w:hAnsi="Arial" w:cs="Arial"/>
        </w:rPr>
        <w:t>s</w:t>
      </w:r>
      <w:r w:rsidR="009064DC" w:rsidRPr="009064DC">
        <w:rPr>
          <w:rFonts w:ascii="Arial" w:hAnsi="Arial" w:cs="Arial"/>
        </w:rPr>
        <w:t xml:space="preserve">tatus </w:t>
      </w:r>
      <w:r w:rsidR="00431196">
        <w:rPr>
          <w:rFonts w:ascii="Arial" w:hAnsi="Arial" w:cs="Arial"/>
        </w:rPr>
        <w:t>q</w:t>
      </w:r>
      <w:r w:rsidR="009064DC" w:rsidRPr="009064DC">
        <w:rPr>
          <w:rFonts w:ascii="Arial" w:hAnsi="Arial" w:cs="Arial"/>
        </w:rPr>
        <w:t>uo</w:t>
      </w:r>
      <w:r w:rsidR="00FE22AB">
        <w:rPr>
          <w:rFonts w:ascii="Arial" w:hAnsi="Arial" w:cs="Arial"/>
        </w:rPr>
        <w:t>.</w:t>
      </w:r>
    </w:p>
    <w:p w14:paraId="63578F52" w14:textId="77777777" w:rsidR="004C0EF9" w:rsidRDefault="004C0EF9" w:rsidP="004967F5">
      <w:pPr>
        <w:pStyle w:val="ListParagraph"/>
        <w:ind w:left="0"/>
        <w:rPr>
          <w:rFonts w:ascii="Arial" w:eastAsia="Arial" w:hAnsi="Arial" w:cs="Arial"/>
        </w:rPr>
      </w:pPr>
    </w:p>
    <w:p w14:paraId="5AA65940" w14:textId="4A4CF1BA" w:rsidR="005B41D0" w:rsidRPr="001B5C50" w:rsidRDefault="001B5C50" w:rsidP="00355757">
      <w:pPr>
        <w:pStyle w:val="ListParagraph"/>
        <w:keepNext/>
        <w:ind w:left="0"/>
        <w:rPr>
          <w:rFonts w:ascii="Arial" w:hAnsi="Arial" w:cs="Arial"/>
          <w:b/>
          <w:bCs/>
          <w:i/>
          <w:iCs/>
          <w:snapToGrid w:val="0"/>
          <w:lang w:val="en-AU"/>
          <w14:ligatures w14:val="none"/>
        </w:rPr>
      </w:pPr>
      <w:r w:rsidRPr="001B5C50">
        <w:rPr>
          <w:rFonts w:ascii="Arial" w:hAnsi="Arial" w:cs="Arial"/>
          <w:b/>
          <w:bCs/>
          <w:i/>
          <w:iCs/>
          <w:snapToGrid w:val="0"/>
          <w:lang w:val="en-AU"/>
          <w14:ligatures w14:val="none"/>
        </w:rPr>
        <w:t>Government</w:t>
      </w:r>
      <w:r w:rsidR="00752B31">
        <w:rPr>
          <w:rFonts w:ascii="Arial" w:hAnsi="Arial" w:cs="Arial"/>
          <w:b/>
          <w:bCs/>
          <w:i/>
          <w:iCs/>
          <w:snapToGrid w:val="0"/>
          <w:lang w:val="en-AU"/>
          <w14:ligatures w14:val="none"/>
        </w:rPr>
        <w:t>s</w:t>
      </w:r>
    </w:p>
    <w:p w14:paraId="65FF1DF1" w14:textId="77777777" w:rsidR="00E36C13" w:rsidRDefault="00E36C13" w:rsidP="004967F5">
      <w:pPr>
        <w:pStyle w:val="ListParagraph"/>
        <w:ind w:left="0"/>
        <w:rPr>
          <w:rFonts w:ascii="Arial" w:hAnsi="Arial" w:cs="Arial"/>
          <w:lang w:val="en-AU"/>
          <w14:ligatures w14:val="none"/>
        </w:rPr>
      </w:pPr>
    </w:p>
    <w:p w14:paraId="334ABBBE" w14:textId="2CCE8A96" w:rsidR="001B5C50" w:rsidRDefault="001B5C50" w:rsidP="004967F5">
      <w:pPr>
        <w:pStyle w:val="ListParagraph"/>
        <w:ind w:left="0"/>
        <w:rPr>
          <w:rFonts w:ascii="Arial" w:hAnsi="Arial" w:cs="Arial"/>
          <w:snapToGrid w:val="0"/>
          <w14:ligatures w14:val="none"/>
        </w:rPr>
      </w:pPr>
      <w:r w:rsidRPr="001B5C50">
        <w:rPr>
          <w:rFonts w:ascii="Arial" w:hAnsi="Arial" w:cs="Arial"/>
          <w:snapToGrid w:val="0"/>
          <w14:ligatures w14:val="none"/>
        </w:rPr>
        <w:t>While there may be some costs to implement and enforce new requirements,</w:t>
      </w:r>
      <w:r>
        <w:rPr>
          <w:rFonts w:ascii="Arial" w:hAnsi="Arial" w:cs="Arial"/>
          <w:snapToGrid w:val="0"/>
          <w14:ligatures w14:val="none"/>
        </w:rPr>
        <w:t xml:space="preserve"> </w:t>
      </w:r>
      <w:r w:rsidR="00E5152C">
        <w:rPr>
          <w:rFonts w:ascii="Arial" w:hAnsi="Arial" w:cs="Arial"/>
          <w:snapToGrid w:val="0"/>
          <w14:ligatures w14:val="none"/>
        </w:rPr>
        <w:t>o</w:t>
      </w:r>
      <w:r>
        <w:rPr>
          <w:rFonts w:ascii="Arial" w:hAnsi="Arial" w:cs="Arial"/>
          <w:snapToGrid w:val="0"/>
          <w14:ligatures w14:val="none"/>
        </w:rPr>
        <w:t>ption 2</w:t>
      </w:r>
      <w:r w:rsidRPr="001B5C50">
        <w:rPr>
          <w:rFonts w:ascii="Arial" w:hAnsi="Arial" w:cs="Arial"/>
          <w:snapToGrid w:val="0"/>
          <w14:ligatures w14:val="none"/>
        </w:rPr>
        <w:t xml:space="preserve"> </w:t>
      </w:r>
      <w:r>
        <w:rPr>
          <w:rFonts w:ascii="Arial" w:hAnsi="Arial" w:cs="Arial"/>
          <w:snapToGrid w:val="0"/>
          <w14:ligatures w14:val="none"/>
        </w:rPr>
        <w:t xml:space="preserve">would provide a foundation </w:t>
      </w:r>
      <w:bookmarkStart w:id="31" w:name="_Hlk178865162"/>
      <w:r>
        <w:rPr>
          <w:rFonts w:ascii="Arial" w:hAnsi="Arial" w:cs="Arial"/>
          <w:snapToGrid w:val="0"/>
          <w14:ligatures w14:val="none"/>
        </w:rPr>
        <w:t xml:space="preserve">for </w:t>
      </w:r>
      <w:r w:rsidRPr="001B5C50">
        <w:rPr>
          <w:rFonts w:ascii="Arial" w:hAnsi="Arial" w:cs="Arial"/>
          <w:snapToGrid w:val="0"/>
          <w14:ligatures w14:val="none"/>
        </w:rPr>
        <w:t>wider health and education initiatives</w:t>
      </w:r>
      <w:r w:rsidR="00CD1843">
        <w:rPr>
          <w:rFonts w:ascii="Arial" w:hAnsi="Arial" w:cs="Arial"/>
          <w:snapToGrid w:val="0"/>
          <w14:ligatures w14:val="none"/>
        </w:rPr>
        <w:t xml:space="preserve"> aimed at reducing health costs from overweight and obesity</w:t>
      </w:r>
      <w:bookmarkEnd w:id="31"/>
      <w:r>
        <w:rPr>
          <w:rFonts w:ascii="Arial" w:hAnsi="Arial" w:cs="Arial"/>
          <w:snapToGrid w:val="0"/>
          <w14:ligatures w14:val="none"/>
        </w:rPr>
        <w:t>, including but not limited to the following:</w:t>
      </w:r>
    </w:p>
    <w:p w14:paraId="6EE8F558" w14:textId="77777777" w:rsidR="001B5C50" w:rsidRDefault="001B5C50" w:rsidP="004967F5">
      <w:pPr>
        <w:pStyle w:val="ListParagraph"/>
        <w:ind w:left="0"/>
        <w:rPr>
          <w:rFonts w:ascii="Arial" w:hAnsi="Arial" w:cs="Arial"/>
          <w:snapToGrid w:val="0"/>
          <w14:ligatures w14:val="none"/>
        </w:rPr>
      </w:pPr>
    </w:p>
    <w:p w14:paraId="40D65231" w14:textId="7FC1FB02" w:rsidR="00BA6867" w:rsidRDefault="00BA6867" w:rsidP="00CE3140">
      <w:pPr>
        <w:pStyle w:val="ListParagraph"/>
        <w:numPr>
          <w:ilvl w:val="0"/>
          <w:numId w:val="23"/>
        </w:numPr>
        <w:ind w:left="1080"/>
        <w:rPr>
          <w:rFonts w:ascii="Arial" w:eastAsia="Times New Roman" w:hAnsi="Arial" w:cs="Arial"/>
          <w:color w:val="2E3037"/>
          <w:szCs w:val="24"/>
          <w:lang w:val="en-AU"/>
          <w14:ligatures w14:val="none"/>
        </w:rPr>
      </w:pPr>
      <w:r>
        <w:rPr>
          <w:rFonts w:ascii="Arial" w:eastAsia="Times New Roman" w:hAnsi="Arial" w:cs="Arial"/>
          <w:color w:val="2E3037"/>
          <w:szCs w:val="24"/>
          <w:lang w:val="en-AU"/>
          <w14:ligatures w14:val="none"/>
        </w:rPr>
        <w:t>Eating and Activity Guidelines, updated 2020</w:t>
      </w:r>
    </w:p>
    <w:p w14:paraId="09A012D0" w14:textId="5E2D33F3" w:rsidR="00040CC5" w:rsidRPr="00040CC5" w:rsidRDefault="00040CC5" w:rsidP="00040CC5">
      <w:pPr>
        <w:pStyle w:val="ListParagraph"/>
        <w:numPr>
          <w:ilvl w:val="0"/>
          <w:numId w:val="23"/>
        </w:numPr>
        <w:ind w:left="1080"/>
        <w:rPr>
          <w:rFonts w:ascii="Arial" w:eastAsia="Times New Roman" w:hAnsi="Arial" w:cs="Arial"/>
          <w:color w:val="2E3037"/>
          <w:szCs w:val="24"/>
          <w:lang w:val="en-AU"/>
          <w14:ligatures w14:val="none"/>
        </w:rPr>
      </w:pPr>
      <w:r w:rsidRPr="00646532">
        <w:rPr>
          <w:rFonts w:ascii="Arial" w:eastAsia="Times New Roman" w:hAnsi="Arial" w:cs="Arial"/>
          <w:color w:val="2E3037"/>
          <w:szCs w:val="24"/>
          <w:lang w:val="en-AU"/>
          <w14:ligatures w14:val="none"/>
        </w:rPr>
        <w:t>National Alcohol Strategy 2019 – 2028</w:t>
      </w:r>
    </w:p>
    <w:p w14:paraId="49633DB6" w14:textId="0A5D857A" w:rsidR="001B5C50" w:rsidRPr="00646532" w:rsidRDefault="00EB668E" w:rsidP="00CE3140">
      <w:pPr>
        <w:pStyle w:val="ListParagraph"/>
        <w:numPr>
          <w:ilvl w:val="0"/>
          <w:numId w:val="23"/>
        </w:numPr>
        <w:ind w:left="1080"/>
        <w:rPr>
          <w:rFonts w:ascii="Arial" w:eastAsia="Times New Roman" w:hAnsi="Arial" w:cs="Arial"/>
          <w:color w:val="2E3037"/>
          <w:szCs w:val="24"/>
          <w:lang w:val="en-AU"/>
          <w14:ligatures w14:val="none"/>
        </w:rPr>
      </w:pPr>
      <w:hyperlink r:id="rId15" w:history="1">
        <w:r w:rsidR="001B5C50" w:rsidRPr="00646532">
          <w:rPr>
            <w:rFonts w:ascii="Arial" w:eastAsia="Times New Roman" w:hAnsi="Arial" w:cs="Arial"/>
            <w:color w:val="2E3037"/>
            <w:szCs w:val="24"/>
            <w:lang w:val="en-AU"/>
            <w14:ligatures w14:val="none"/>
          </w:rPr>
          <w:t>National Obesity Strategy 2022 – 2032</w:t>
        </w:r>
      </w:hyperlink>
    </w:p>
    <w:p w14:paraId="7F435CBC" w14:textId="77777777" w:rsidR="001B5C50" w:rsidRPr="00646532" w:rsidRDefault="001B5C50" w:rsidP="00CE3140">
      <w:pPr>
        <w:pStyle w:val="ListParagraph"/>
        <w:numPr>
          <w:ilvl w:val="0"/>
          <w:numId w:val="23"/>
        </w:numPr>
        <w:ind w:left="1080"/>
        <w:rPr>
          <w:rFonts w:ascii="Arial" w:eastAsia="Times New Roman" w:hAnsi="Arial" w:cs="Arial"/>
          <w:color w:val="2E3037"/>
          <w:szCs w:val="24"/>
          <w:lang w:val="en-AU"/>
          <w14:ligatures w14:val="none"/>
        </w:rPr>
      </w:pPr>
      <w:r w:rsidRPr="00646532">
        <w:rPr>
          <w:rFonts w:ascii="Arial" w:eastAsia="Times New Roman" w:hAnsi="Arial" w:cs="Arial"/>
          <w:color w:val="2E3037"/>
          <w:szCs w:val="24"/>
          <w:lang w:val="en-AU"/>
          <w14:ligatures w14:val="none"/>
        </w:rPr>
        <w:t>National Preventative Health Strategy 2021 – 2030</w:t>
      </w:r>
    </w:p>
    <w:p w14:paraId="5EEDE985" w14:textId="2FBE2229" w:rsidR="001B5C50" w:rsidRPr="00646532" w:rsidRDefault="408CB817" w:rsidP="4E2FA67C">
      <w:pPr>
        <w:pStyle w:val="ListParagraph"/>
        <w:numPr>
          <w:ilvl w:val="0"/>
          <w:numId w:val="23"/>
        </w:numPr>
        <w:ind w:left="1080"/>
        <w:rPr>
          <w:rFonts w:ascii="Arial" w:eastAsia="Times New Roman" w:hAnsi="Arial" w:cs="Arial"/>
          <w:color w:val="2E3037"/>
          <w14:ligatures w14:val="none"/>
        </w:rPr>
      </w:pPr>
      <w:r w:rsidRPr="4E2FA67C">
        <w:rPr>
          <w:rFonts w:ascii="Arial" w:eastAsia="Times New Roman" w:hAnsi="Arial" w:cs="Arial"/>
          <w:color w:val="2E3037"/>
          <w14:ligatures w14:val="none"/>
        </w:rPr>
        <w:t>World Health Organi</w:t>
      </w:r>
      <w:r w:rsidR="518C9617" w:rsidRPr="4E2FA67C">
        <w:rPr>
          <w:rFonts w:ascii="Arial" w:eastAsia="Times New Roman" w:hAnsi="Arial" w:cs="Arial"/>
          <w:color w:val="2E3037"/>
          <w14:ligatures w14:val="none"/>
        </w:rPr>
        <w:t>z</w:t>
      </w:r>
      <w:r w:rsidRPr="4E2FA67C">
        <w:rPr>
          <w:rFonts w:ascii="Arial" w:eastAsia="Times New Roman" w:hAnsi="Arial" w:cs="Arial"/>
          <w:color w:val="2E3037"/>
          <w14:ligatures w14:val="none"/>
        </w:rPr>
        <w:t xml:space="preserve">ation Global Action Plan (2022 – 2030) for alcohol, including calorie labelling (WHO, 2022b).     </w:t>
      </w:r>
    </w:p>
    <w:p w14:paraId="392CB0D2" w14:textId="77777777" w:rsidR="001B5C50" w:rsidRDefault="001B5C50" w:rsidP="004967F5">
      <w:pPr>
        <w:pStyle w:val="ListParagraph"/>
        <w:ind w:left="0"/>
        <w:rPr>
          <w:rFonts w:ascii="Arial" w:hAnsi="Arial" w:cs="Arial"/>
          <w:snapToGrid w:val="0"/>
          <w14:ligatures w14:val="none"/>
        </w:rPr>
      </w:pPr>
    </w:p>
    <w:p w14:paraId="0E674F87" w14:textId="248CB803" w:rsidR="003F02F2" w:rsidRDefault="003F02F2" w:rsidP="004967F5">
      <w:pPr>
        <w:pStyle w:val="ListParagraph"/>
        <w:ind w:left="0"/>
        <w:rPr>
          <w:rFonts w:ascii="Arial" w:hAnsi="Arial" w:cs="Arial"/>
          <w:snapToGrid w:val="0"/>
          <w14:ligatures w14:val="none"/>
        </w:rPr>
      </w:pPr>
      <w:r>
        <w:rPr>
          <w:rFonts w:ascii="Arial" w:hAnsi="Arial" w:cs="Arial"/>
          <w:snapToGrid w:val="0"/>
          <w14:ligatures w14:val="none"/>
        </w:rPr>
        <w:t xml:space="preserve">More details about the above strategies and </w:t>
      </w:r>
      <w:r w:rsidR="00FB1361">
        <w:rPr>
          <w:rFonts w:ascii="Arial" w:hAnsi="Arial" w:cs="Arial"/>
          <w:snapToGrid w:val="0"/>
          <w14:ligatures w14:val="none"/>
        </w:rPr>
        <w:t>plan are available in the P1059</w:t>
      </w:r>
      <w:r w:rsidR="00FE22AB">
        <w:rPr>
          <w:rFonts w:ascii="Arial" w:hAnsi="Arial" w:cs="Arial"/>
          <w:snapToGrid w:val="0"/>
          <w14:ligatures w14:val="none"/>
        </w:rPr>
        <w:t xml:space="preserve"> CFS (FSANZ 2023c)</w:t>
      </w:r>
      <w:r w:rsidR="00FB1361">
        <w:rPr>
          <w:rFonts w:ascii="Arial" w:hAnsi="Arial" w:cs="Arial"/>
          <w:snapToGrid w:val="0"/>
          <w14:ligatures w14:val="none"/>
        </w:rPr>
        <w:t>.</w:t>
      </w:r>
    </w:p>
    <w:p w14:paraId="404DEB86" w14:textId="77777777" w:rsidR="003F02F2" w:rsidRDefault="003F02F2" w:rsidP="004967F5">
      <w:pPr>
        <w:pStyle w:val="ListParagraph"/>
        <w:ind w:left="0"/>
        <w:rPr>
          <w:rFonts w:ascii="Arial" w:hAnsi="Arial" w:cs="Arial"/>
          <w:snapToGrid w:val="0"/>
          <w14:ligatures w14:val="none"/>
        </w:rPr>
      </w:pPr>
    </w:p>
    <w:p w14:paraId="653D56BD" w14:textId="12B4AB2A" w:rsidR="00C77FB8" w:rsidRPr="000828D1" w:rsidRDefault="00C77FB8" w:rsidP="00C77FB8">
      <w:pPr>
        <w:rPr>
          <w:rFonts w:ascii="Arial" w:hAnsi="Arial" w:cs="Arial"/>
          <w:b/>
          <w:bCs/>
          <w:i/>
          <w:iCs/>
          <w:snapToGrid w:val="0"/>
          <w:lang w:val="en-AU"/>
        </w:rPr>
      </w:pPr>
      <w:bookmarkStart w:id="32" w:name="_Toc121214857"/>
      <w:bookmarkStart w:id="33" w:name="_Ref124426548"/>
      <w:bookmarkStart w:id="34" w:name="_Ref124426554"/>
      <w:bookmarkStart w:id="35" w:name="_Toc124924581"/>
      <w:bookmarkStart w:id="36" w:name="_Toc132035368"/>
      <w:bookmarkStart w:id="37" w:name="_Toc158893143"/>
      <w:r w:rsidRPr="000828D1">
        <w:rPr>
          <w:rFonts w:ascii="Arial" w:hAnsi="Arial" w:cs="Arial"/>
          <w:b/>
          <w:bCs/>
          <w:i/>
          <w:iCs/>
          <w:snapToGrid w:val="0"/>
          <w:lang w:val="en-AU"/>
        </w:rPr>
        <w:t xml:space="preserve">Conclusion </w:t>
      </w:r>
      <w:bookmarkEnd w:id="32"/>
      <w:bookmarkEnd w:id="33"/>
      <w:bookmarkEnd w:id="34"/>
      <w:bookmarkEnd w:id="35"/>
      <w:bookmarkEnd w:id="36"/>
      <w:bookmarkEnd w:id="37"/>
      <w:r w:rsidRPr="000828D1">
        <w:rPr>
          <w:rFonts w:ascii="Arial" w:hAnsi="Arial" w:cs="Arial"/>
          <w:b/>
          <w:bCs/>
          <w:i/>
          <w:iCs/>
          <w:snapToGrid w:val="0"/>
          <w:lang w:val="en-AU"/>
        </w:rPr>
        <w:t xml:space="preserve">for net benefits of </w:t>
      </w:r>
      <w:r w:rsidR="00FC531F">
        <w:rPr>
          <w:rFonts w:ascii="Arial" w:hAnsi="Arial" w:cs="Arial"/>
          <w:b/>
          <w:bCs/>
          <w:i/>
          <w:iCs/>
          <w:snapToGrid w:val="0"/>
          <w:lang w:val="en-AU"/>
        </w:rPr>
        <w:t>o</w:t>
      </w:r>
      <w:r w:rsidR="00FC531F" w:rsidRPr="000828D1">
        <w:rPr>
          <w:rFonts w:ascii="Arial" w:hAnsi="Arial" w:cs="Arial"/>
          <w:b/>
          <w:bCs/>
          <w:i/>
          <w:iCs/>
          <w:snapToGrid w:val="0"/>
          <w:lang w:val="en-AU"/>
        </w:rPr>
        <w:t xml:space="preserve">ption </w:t>
      </w:r>
      <w:r w:rsidRPr="000828D1">
        <w:rPr>
          <w:rFonts w:ascii="Arial" w:hAnsi="Arial" w:cs="Arial"/>
          <w:b/>
          <w:bCs/>
          <w:i/>
          <w:iCs/>
          <w:snapToGrid w:val="0"/>
          <w:lang w:val="en-AU"/>
        </w:rPr>
        <w:t>2</w:t>
      </w:r>
    </w:p>
    <w:p w14:paraId="7D356B3F" w14:textId="7BF81105" w:rsidR="00C77FB8" w:rsidRPr="00F13044" w:rsidRDefault="00C77FB8" w:rsidP="00C77FB8">
      <w:pPr>
        <w:rPr>
          <w:rFonts w:ascii="Arial" w:hAnsi="Arial" w:cs="Arial"/>
          <w:b/>
          <w:bCs/>
          <w:snapToGrid w:val="0"/>
          <w:lang w:val="en-AU"/>
        </w:rPr>
      </w:pPr>
      <w:bookmarkStart w:id="38" w:name="_Toc158893144"/>
      <w:r w:rsidRPr="00F13044">
        <w:rPr>
          <w:rFonts w:ascii="Arial" w:hAnsi="Arial" w:cs="Arial"/>
          <w:b/>
          <w:bCs/>
          <w:snapToGrid w:val="0"/>
          <w:lang w:val="en-AU"/>
        </w:rPr>
        <w:t xml:space="preserve">Benefits </w:t>
      </w:r>
      <w:r w:rsidR="00041901">
        <w:rPr>
          <w:rFonts w:ascii="Arial" w:hAnsi="Arial" w:cs="Arial"/>
          <w:b/>
          <w:bCs/>
          <w:snapToGrid w:val="0"/>
          <w:lang w:val="en-AU"/>
        </w:rPr>
        <w:t xml:space="preserve">are likely to </w:t>
      </w:r>
      <w:r w:rsidRPr="00F13044">
        <w:rPr>
          <w:rFonts w:ascii="Arial" w:hAnsi="Arial" w:cs="Arial"/>
          <w:b/>
          <w:bCs/>
          <w:snapToGrid w:val="0"/>
          <w:lang w:val="en-AU"/>
        </w:rPr>
        <w:t>outweigh costs</w:t>
      </w:r>
      <w:bookmarkEnd w:id="38"/>
    </w:p>
    <w:p w14:paraId="04491EF3" w14:textId="173FA0BD" w:rsidR="00C77FB8" w:rsidRPr="00C77FB8" w:rsidRDefault="7B224C87" w:rsidP="00C77FB8">
      <w:pPr>
        <w:rPr>
          <w:rFonts w:ascii="Arial" w:hAnsi="Arial" w:cs="Arial"/>
          <w:snapToGrid w:val="0"/>
          <w:lang w:val="en-AU"/>
        </w:rPr>
      </w:pPr>
      <w:r w:rsidRPr="00F13044">
        <w:rPr>
          <w:rFonts w:ascii="Arial" w:hAnsi="Arial" w:cs="Arial"/>
          <w:snapToGrid w:val="0"/>
          <w:lang w:val="en-AU"/>
        </w:rPr>
        <w:t xml:space="preserve">FSANZ’s view </w:t>
      </w:r>
      <w:r>
        <w:rPr>
          <w:rFonts w:ascii="Arial" w:hAnsi="Arial" w:cs="Arial"/>
          <w:snapToGrid w:val="0"/>
          <w:lang w:val="en-AU"/>
        </w:rPr>
        <w:t xml:space="preserve">is </w:t>
      </w:r>
      <w:r w:rsidRPr="00F13044">
        <w:rPr>
          <w:rFonts w:ascii="Arial" w:hAnsi="Arial" w:cs="Arial"/>
          <w:snapToGrid w:val="0"/>
          <w:lang w:val="en-AU"/>
        </w:rPr>
        <w:t xml:space="preserve">that the costs </w:t>
      </w:r>
      <w:r>
        <w:rPr>
          <w:rFonts w:ascii="Arial" w:hAnsi="Arial" w:cs="Arial"/>
          <w:snapToGrid w:val="0"/>
          <w:lang w:val="en-AU"/>
        </w:rPr>
        <w:t>of</w:t>
      </w:r>
      <w:r w:rsidRPr="00F13044">
        <w:rPr>
          <w:rFonts w:ascii="Arial" w:hAnsi="Arial" w:cs="Arial"/>
          <w:snapToGrid w:val="0"/>
          <w:lang w:val="en-AU"/>
        </w:rPr>
        <w:t xml:space="preserve"> </w:t>
      </w:r>
      <w:r w:rsidR="00FC531F">
        <w:rPr>
          <w:rFonts w:ascii="Arial" w:hAnsi="Arial" w:cs="Arial"/>
          <w:snapToGrid w:val="0"/>
          <w:lang w:val="en-AU"/>
        </w:rPr>
        <w:t xml:space="preserve">option </w:t>
      </w:r>
      <w:r>
        <w:rPr>
          <w:rFonts w:ascii="Arial" w:hAnsi="Arial" w:cs="Arial"/>
          <w:snapToGrid w:val="0"/>
          <w:lang w:val="en-AU"/>
        </w:rPr>
        <w:t>2</w:t>
      </w:r>
      <w:r w:rsidRPr="00F13044">
        <w:rPr>
          <w:rFonts w:ascii="Arial" w:hAnsi="Arial" w:cs="Arial"/>
          <w:snapToGrid w:val="0"/>
          <w:lang w:val="en-AU"/>
        </w:rPr>
        <w:t xml:space="preserve"> would </w:t>
      </w:r>
      <w:r w:rsidR="39C85F64">
        <w:rPr>
          <w:rFonts w:ascii="Arial" w:hAnsi="Arial" w:cs="Arial"/>
          <w:snapToGrid w:val="0"/>
          <w:lang w:val="en-AU"/>
        </w:rPr>
        <w:t>most likely</w:t>
      </w:r>
      <w:r w:rsidR="2308C978">
        <w:rPr>
          <w:rFonts w:ascii="Arial" w:hAnsi="Arial" w:cs="Arial"/>
          <w:snapToGrid w:val="0"/>
          <w:lang w:val="en-AU"/>
        </w:rPr>
        <w:t xml:space="preserve"> not</w:t>
      </w:r>
      <w:r w:rsidRPr="00F13044">
        <w:rPr>
          <w:rFonts w:ascii="Arial" w:hAnsi="Arial" w:cs="Arial"/>
          <w:snapToGrid w:val="0"/>
          <w:lang w:val="en-AU"/>
        </w:rPr>
        <w:t xml:space="preserve"> outweigh the direct and indirect benefits.</w:t>
      </w:r>
      <w:r>
        <w:rPr>
          <w:rFonts w:ascii="Arial" w:hAnsi="Arial" w:cs="Arial"/>
          <w:snapToGrid w:val="0"/>
          <w:lang w:val="en-AU"/>
        </w:rPr>
        <w:t xml:space="preserve"> As described above, wider benefits are likely to </w:t>
      </w:r>
      <w:r w:rsidR="45EEDBCD">
        <w:rPr>
          <w:rFonts w:ascii="Arial" w:hAnsi="Arial" w:cs="Arial"/>
          <w:snapToGrid w:val="0"/>
          <w:lang w:val="en-AU"/>
        </w:rPr>
        <w:t xml:space="preserve">offset </w:t>
      </w:r>
      <w:r>
        <w:rPr>
          <w:rFonts w:ascii="Arial" w:hAnsi="Arial" w:cs="Arial"/>
          <w:snapToGrid w:val="0"/>
          <w:lang w:val="en-AU"/>
        </w:rPr>
        <w:t>the initial label change costs</w:t>
      </w:r>
      <w:r w:rsidR="528D9687">
        <w:rPr>
          <w:rFonts w:ascii="Arial" w:hAnsi="Arial" w:cs="Arial"/>
          <w:snapToGrid w:val="0"/>
          <w:lang w:val="en-AU"/>
        </w:rPr>
        <w:t xml:space="preserve"> across society as a whole (consumers, industry, government</w:t>
      </w:r>
      <w:r w:rsidR="4D825510">
        <w:rPr>
          <w:rFonts w:ascii="Arial" w:hAnsi="Arial" w:cs="Arial"/>
          <w:snapToGrid w:val="0"/>
          <w:lang w:val="en-AU"/>
        </w:rPr>
        <w:t>s</w:t>
      </w:r>
      <w:r w:rsidR="528D9687">
        <w:rPr>
          <w:rFonts w:ascii="Arial" w:hAnsi="Arial" w:cs="Arial"/>
          <w:snapToGrid w:val="0"/>
          <w:lang w:val="en-AU"/>
        </w:rPr>
        <w:t>)</w:t>
      </w:r>
      <w:r>
        <w:rPr>
          <w:rFonts w:ascii="Arial" w:hAnsi="Arial" w:cs="Arial"/>
          <w:snapToGrid w:val="0"/>
          <w:lang w:val="en-AU"/>
        </w:rPr>
        <w:t>.</w:t>
      </w:r>
    </w:p>
    <w:p w14:paraId="3588D9A3" w14:textId="1CE04EC9" w:rsidR="00C57A57" w:rsidRDefault="00DC31B6" w:rsidP="000828D1">
      <w:pPr>
        <w:pStyle w:val="Heading3"/>
        <w:ind w:left="0" w:firstLine="0"/>
        <w:rPr>
          <w:rFonts w:eastAsiaTheme="minorHAnsi"/>
          <w:snapToGrid w:val="0"/>
        </w:rPr>
      </w:pPr>
      <w:bookmarkStart w:id="39" w:name="_Toc194475995"/>
      <w:r>
        <w:rPr>
          <w:rFonts w:eastAsiaTheme="minorHAnsi"/>
          <w:snapToGrid w:val="0"/>
        </w:rPr>
        <w:t>5.3</w:t>
      </w:r>
      <w:r>
        <w:rPr>
          <w:rFonts w:eastAsiaTheme="minorHAnsi"/>
          <w:snapToGrid w:val="0"/>
        </w:rPr>
        <w:tab/>
      </w:r>
      <w:r w:rsidR="00FC531F">
        <w:rPr>
          <w:rFonts w:eastAsiaTheme="minorHAnsi"/>
          <w:snapToGrid w:val="0"/>
        </w:rPr>
        <w:t>Costs</w:t>
      </w:r>
      <w:r w:rsidR="005B4ABA">
        <w:rPr>
          <w:rFonts w:eastAsiaTheme="minorHAnsi"/>
          <w:snapToGrid w:val="0"/>
        </w:rPr>
        <w:t xml:space="preserve"> and benefits</w:t>
      </w:r>
      <w:r w:rsidR="00FC531F">
        <w:rPr>
          <w:rFonts w:eastAsiaTheme="minorHAnsi"/>
          <w:snapToGrid w:val="0"/>
        </w:rPr>
        <w:t xml:space="preserve"> of option 3: </w:t>
      </w:r>
      <w:r w:rsidR="00C5158F" w:rsidRPr="000828D1">
        <w:rPr>
          <w:rFonts w:eastAsia="Arial" w:cs="Arial"/>
        </w:rPr>
        <w:t>Require an energy statement with standard drink information</w:t>
      </w:r>
      <w:r w:rsidR="00C5158F" w:rsidRPr="00A171A7">
        <w:rPr>
          <w:rFonts w:eastAsia="Arial" w:cs="Arial"/>
        </w:rPr>
        <w:t xml:space="preserve"> </w:t>
      </w:r>
      <w:r w:rsidR="009503F0">
        <w:rPr>
          <w:rFonts w:eastAsia="Arial" w:cs="Arial"/>
        </w:rPr>
        <w:t xml:space="preserve">and </w:t>
      </w:r>
      <w:r w:rsidR="00927349">
        <w:rPr>
          <w:rFonts w:eastAsia="Arial" w:cs="Arial"/>
        </w:rPr>
        <w:t xml:space="preserve">the </w:t>
      </w:r>
      <w:r w:rsidR="009503F0">
        <w:rPr>
          <w:rFonts w:eastAsia="Arial" w:cs="Arial"/>
        </w:rPr>
        <w:t xml:space="preserve">inclusion </w:t>
      </w:r>
      <w:r w:rsidR="00927349">
        <w:rPr>
          <w:rFonts w:eastAsia="Arial" w:cs="Arial"/>
        </w:rPr>
        <w:t xml:space="preserve">of </w:t>
      </w:r>
      <w:r w:rsidR="00C5158F">
        <w:rPr>
          <w:rFonts w:eastAsia="Arial" w:cs="Arial"/>
        </w:rPr>
        <w:t xml:space="preserve">standard drink information </w:t>
      </w:r>
      <w:r w:rsidR="009503F0">
        <w:rPr>
          <w:rFonts w:eastAsia="Arial" w:cs="Arial"/>
        </w:rPr>
        <w:t xml:space="preserve">in </w:t>
      </w:r>
      <w:r w:rsidR="00C5158F">
        <w:rPr>
          <w:rFonts w:eastAsia="Arial" w:cs="Arial"/>
        </w:rPr>
        <w:t xml:space="preserve">a NIP </w:t>
      </w:r>
      <w:r w:rsidR="00927349">
        <w:rPr>
          <w:rFonts w:eastAsia="Arial" w:cs="Arial"/>
        </w:rPr>
        <w:t>if</w:t>
      </w:r>
      <w:r w:rsidR="00C5158F">
        <w:rPr>
          <w:rFonts w:eastAsia="Arial" w:cs="Arial"/>
        </w:rPr>
        <w:t xml:space="preserve"> provided</w:t>
      </w:r>
      <w:r w:rsidR="00927349" w:rsidRPr="000828D1">
        <w:rPr>
          <w:rFonts w:eastAsiaTheme="minorHAnsi"/>
          <w:snapToGrid w:val="0"/>
        </w:rPr>
        <w:t xml:space="preserve"> </w:t>
      </w:r>
      <w:r w:rsidR="00DD7A84">
        <w:rPr>
          <w:rFonts w:eastAsiaTheme="minorHAnsi"/>
          <w:snapToGrid w:val="0"/>
        </w:rPr>
        <w:t xml:space="preserve">on </w:t>
      </w:r>
      <w:r w:rsidR="002D285F">
        <w:rPr>
          <w:rFonts w:eastAsiaTheme="minorHAnsi"/>
          <w:snapToGrid w:val="0"/>
        </w:rPr>
        <w:t>certain alcoholic beverages</w:t>
      </w:r>
      <w:bookmarkEnd w:id="39"/>
      <w:r w:rsidR="00DD7A84">
        <w:rPr>
          <w:rFonts w:eastAsiaTheme="minorHAnsi"/>
          <w:snapToGrid w:val="0"/>
        </w:rPr>
        <w:t xml:space="preserve"> </w:t>
      </w:r>
    </w:p>
    <w:p w14:paraId="7FB68BF2" w14:textId="40278901" w:rsidR="00C77FB8" w:rsidRDefault="00C77FB8" w:rsidP="6A15B411">
      <w:pPr>
        <w:rPr>
          <w:rFonts w:ascii="Arial" w:hAnsi="Arial" w:cs="Arial"/>
          <w:snapToGrid w:val="0"/>
        </w:rPr>
      </w:pPr>
      <w:r w:rsidRPr="6A15B411">
        <w:rPr>
          <w:rFonts w:ascii="Arial" w:hAnsi="Arial" w:cs="Arial"/>
          <w:snapToGrid w:val="0"/>
        </w:rPr>
        <w:t xml:space="preserve">The costs and benefits outlined in Table 5-2 </w:t>
      </w:r>
      <w:r w:rsidR="00CB6D64" w:rsidRPr="6A15B411">
        <w:rPr>
          <w:rFonts w:ascii="Arial" w:hAnsi="Arial" w:cs="Arial"/>
          <w:snapToGrid w:val="0"/>
        </w:rPr>
        <w:t xml:space="preserve">and in the </w:t>
      </w:r>
      <w:r w:rsidR="00A94671" w:rsidRPr="6A15B411">
        <w:rPr>
          <w:rFonts w:ascii="Arial" w:hAnsi="Arial" w:cs="Arial"/>
          <w:snapToGrid w:val="0"/>
        </w:rPr>
        <w:t xml:space="preserve">above net-benefits </w:t>
      </w:r>
      <w:r w:rsidR="00CB6D64" w:rsidRPr="6A15B411">
        <w:rPr>
          <w:rFonts w:ascii="Arial" w:hAnsi="Arial" w:cs="Arial"/>
          <w:snapToGrid w:val="0"/>
        </w:rPr>
        <w:t xml:space="preserve">discussion for </w:t>
      </w:r>
      <w:r w:rsidR="006917E1" w:rsidRPr="6A15B411">
        <w:rPr>
          <w:rFonts w:ascii="Arial" w:hAnsi="Arial" w:cs="Arial"/>
          <w:snapToGrid w:val="0"/>
        </w:rPr>
        <w:t xml:space="preserve">option </w:t>
      </w:r>
      <w:r w:rsidR="00CB6D64" w:rsidRPr="6A15B411">
        <w:rPr>
          <w:rFonts w:ascii="Arial" w:hAnsi="Arial" w:cs="Arial"/>
          <w:snapToGrid w:val="0"/>
        </w:rPr>
        <w:t xml:space="preserve">2 </w:t>
      </w:r>
      <w:r w:rsidR="00C151C3" w:rsidRPr="6A15B411">
        <w:rPr>
          <w:rFonts w:ascii="Arial" w:hAnsi="Arial" w:cs="Arial"/>
          <w:snapToGrid w:val="0"/>
        </w:rPr>
        <w:t xml:space="preserve">above </w:t>
      </w:r>
      <w:r w:rsidR="004C03D4" w:rsidRPr="6A15B411">
        <w:rPr>
          <w:rFonts w:ascii="Arial" w:hAnsi="Arial" w:cs="Arial"/>
          <w:snapToGrid w:val="0"/>
        </w:rPr>
        <w:t xml:space="preserve">(relative to the </w:t>
      </w:r>
      <w:r w:rsidR="00431196" w:rsidRPr="6A15B411">
        <w:rPr>
          <w:rFonts w:ascii="Arial" w:hAnsi="Arial" w:cs="Arial"/>
          <w:snapToGrid w:val="0"/>
        </w:rPr>
        <w:t>s</w:t>
      </w:r>
      <w:r w:rsidR="004C03D4" w:rsidRPr="6A15B411">
        <w:rPr>
          <w:rFonts w:ascii="Arial" w:hAnsi="Arial" w:cs="Arial"/>
          <w:snapToGrid w:val="0"/>
        </w:rPr>
        <w:t xml:space="preserve">tatus </w:t>
      </w:r>
      <w:r w:rsidR="00431196" w:rsidRPr="6A15B411">
        <w:rPr>
          <w:rFonts w:ascii="Arial" w:hAnsi="Arial" w:cs="Arial"/>
          <w:snapToGrid w:val="0"/>
        </w:rPr>
        <w:t>q</w:t>
      </w:r>
      <w:r w:rsidR="004C03D4" w:rsidRPr="6A15B411">
        <w:rPr>
          <w:rFonts w:ascii="Arial" w:hAnsi="Arial" w:cs="Arial"/>
          <w:snapToGrid w:val="0"/>
        </w:rPr>
        <w:t xml:space="preserve">uo) </w:t>
      </w:r>
      <w:r w:rsidRPr="6A15B411">
        <w:rPr>
          <w:rFonts w:ascii="Arial" w:hAnsi="Arial" w:cs="Arial"/>
          <w:snapToGrid w:val="0"/>
        </w:rPr>
        <w:t xml:space="preserve">also apply to </w:t>
      </w:r>
      <w:r w:rsidR="006917E1" w:rsidRPr="6A15B411">
        <w:rPr>
          <w:rFonts w:ascii="Arial" w:hAnsi="Arial" w:cs="Arial"/>
          <w:snapToGrid w:val="0"/>
        </w:rPr>
        <w:t xml:space="preserve">option </w:t>
      </w:r>
      <w:r w:rsidRPr="6A15B411">
        <w:rPr>
          <w:rFonts w:ascii="Arial" w:hAnsi="Arial" w:cs="Arial"/>
          <w:snapToGrid w:val="0"/>
        </w:rPr>
        <w:t xml:space="preserve">3. </w:t>
      </w:r>
      <w:r w:rsidR="00A11DF0" w:rsidRPr="6A15B411">
        <w:rPr>
          <w:rFonts w:ascii="Arial" w:hAnsi="Arial" w:cs="Arial"/>
          <w:snapToGrid w:val="0"/>
        </w:rPr>
        <w:t xml:space="preserve">Additional costs and benefits </w:t>
      </w:r>
      <w:r w:rsidR="006917E1" w:rsidRPr="6A15B411">
        <w:rPr>
          <w:rFonts w:ascii="Arial" w:hAnsi="Arial" w:cs="Arial"/>
          <w:snapToGrid w:val="0"/>
        </w:rPr>
        <w:t xml:space="preserve">expected under option </w:t>
      </w:r>
      <w:r w:rsidR="00A11DF0" w:rsidRPr="6A15B411">
        <w:rPr>
          <w:rFonts w:ascii="Arial" w:hAnsi="Arial" w:cs="Arial"/>
          <w:snapToGrid w:val="0"/>
        </w:rPr>
        <w:t xml:space="preserve">3 </w:t>
      </w:r>
      <w:r w:rsidR="004C03D4" w:rsidRPr="6A15B411">
        <w:rPr>
          <w:rFonts w:ascii="Arial" w:hAnsi="Arial" w:cs="Arial"/>
          <w:snapToGrid w:val="0"/>
        </w:rPr>
        <w:t>are:</w:t>
      </w:r>
    </w:p>
    <w:p w14:paraId="30688DBD" w14:textId="5607BE58" w:rsidR="001F7445" w:rsidRDefault="001F7445" w:rsidP="00CE3140">
      <w:pPr>
        <w:pStyle w:val="ListParagraph"/>
        <w:numPr>
          <w:ilvl w:val="0"/>
          <w:numId w:val="12"/>
        </w:numPr>
        <w:rPr>
          <w:rFonts w:ascii="Arial" w:hAnsi="Arial" w:cs="Arial"/>
          <w:snapToGrid w:val="0"/>
        </w:rPr>
      </w:pPr>
      <w:r w:rsidRPr="004E63E3">
        <w:rPr>
          <w:rFonts w:ascii="Arial" w:hAnsi="Arial" w:cs="Arial"/>
          <w:snapToGrid w:val="0"/>
        </w:rPr>
        <w:t xml:space="preserve">relatively minor costs to industry for incorporating </w:t>
      </w:r>
      <w:r w:rsidR="00C151C3">
        <w:rPr>
          <w:rFonts w:ascii="Arial" w:hAnsi="Arial" w:cs="Arial"/>
          <w:snapToGrid w:val="0"/>
        </w:rPr>
        <w:t>the number of</w:t>
      </w:r>
      <w:r w:rsidRPr="004E63E3">
        <w:rPr>
          <w:rFonts w:ascii="Arial" w:hAnsi="Arial" w:cs="Arial"/>
          <w:snapToGrid w:val="0"/>
        </w:rPr>
        <w:t xml:space="preserve"> standard drinks</w:t>
      </w:r>
      <w:r w:rsidR="00C151C3">
        <w:rPr>
          <w:rFonts w:ascii="Arial" w:hAnsi="Arial" w:cs="Arial"/>
          <w:snapToGrid w:val="0"/>
        </w:rPr>
        <w:t xml:space="preserve"> </w:t>
      </w:r>
      <w:r w:rsidR="00705114">
        <w:rPr>
          <w:rFonts w:ascii="Arial" w:hAnsi="Arial" w:cs="Arial"/>
          <w:snapToGrid w:val="0"/>
        </w:rPr>
        <w:t xml:space="preserve">equivalent to one serving </w:t>
      </w:r>
      <w:r w:rsidR="00F746C3">
        <w:rPr>
          <w:rFonts w:ascii="Arial" w:hAnsi="Arial" w:cs="Arial"/>
          <w:snapToGrid w:val="0"/>
        </w:rPr>
        <w:t>in</w:t>
      </w:r>
      <w:r w:rsidRPr="004E63E3">
        <w:rPr>
          <w:rFonts w:ascii="Arial" w:hAnsi="Arial" w:cs="Arial"/>
          <w:snapToGrid w:val="0"/>
        </w:rPr>
        <w:t xml:space="preserve"> NIPs </w:t>
      </w:r>
      <w:r w:rsidR="00C151C3">
        <w:rPr>
          <w:rFonts w:ascii="Arial" w:hAnsi="Arial" w:cs="Arial"/>
          <w:snapToGrid w:val="0"/>
        </w:rPr>
        <w:t xml:space="preserve">on the label of </w:t>
      </w:r>
      <w:r w:rsidRPr="004E63E3">
        <w:rPr>
          <w:rFonts w:ascii="Arial" w:hAnsi="Arial" w:cs="Arial"/>
          <w:snapToGrid w:val="0"/>
        </w:rPr>
        <w:t xml:space="preserve">an estimated </w:t>
      </w:r>
      <w:r w:rsidR="001D2131">
        <w:rPr>
          <w:rFonts w:ascii="Arial" w:hAnsi="Arial" w:cs="Arial"/>
          <w:snapToGrid w:val="0"/>
        </w:rPr>
        <w:t>4</w:t>
      </w:r>
      <w:r w:rsidRPr="004E63E3">
        <w:rPr>
          <w:rFonts w:ascii="Arial" w:hAnsi="Arial" w:cs="Arial"/>
          <w:snapToGrid w:val="0"/>
        </w:rPr>
        <w:t>% of SKUs</w:t>
      </w:r>
      <w:r w:rsidR="00C177B6">
        <w:rPr>
          <w:rFonts w:ascii="Arial" w:hAnsi="Arial" w:cs="Arial"/>
          <w:snapToGrid w:val="0"/>
        </w:rPr>
        <w:t xml:space="preserve"> </w:t>
      </w:r>
      <w:r w:rsidR="00C151C3">
        <w:rPr>
          <w:rFonts w:ascii="Arial" w:hAnsi="Arial" w:cs="Arial"/>
          <w:snapToGrid w:val="0"/>
        </w:rPr>
        <w:t>(</w:t>
      </w:r>
      <w:r w:rsidR="000D355C">
        <w:rPr>
          <w:rFonts w:ascii="Arial" w:hAnsi="Arial" w:cs="Arial"/>
          <w:snapToGrid w:val="0"/>
        </w:rPr>
        <w:t>2,553</w:t>
      </w:r>
      <w:r w:rsidR="00B636F7">
        <w:rPr>
          <w:rFonts w:ascii="Arial" w:hAnsi="Arial" w:cs="Arial"/>
          <w:snapToGrid w:val="0"/>
        </w:rPr>
        <w:t xml:space="preserve"> SKUs</w:t>
      </w:r>
      <w:r w:rsidR="00C151C3">
        <w:rPr>
          <w:rFonts w:ascii="Arial" w:hAnsi="Arial" w:cs="Arial"/>
          <w:snapToGrid w:val="0"/>
        </w:rPr>
        <w:t>)</w:t>
      </w:r>
      <w:r w:rsidR="001A101A">
        <w:rPr>
          <w:rFonts w:ascii="Arial" w:hAnsi="Arial" w:cs="Arial"/>
          <w:snapToGrid w:val="0"/>
        </w:rPr>
        <w:t xml:space="preserve"> that are </w:t>
      </w:r>
      <w:r w:rsidR="000D355C">
        <w:rPr>
          <w:rFonts w:ascii="Arial" w:hAnsi="Arial" w:cs="Arial"/>
          <w:snapToGrid w:val="0"/>
        </w:rPr>
        <w:t xml:space="preserve">for packages </w:t>
      </w:r>
      <w:r w:rsidR="00024C31">
        <w:rPr>
          <w:rFonts w:ascii="Arial" w:hAnsi="Arial" w:cs="Arial"/>
          <w:snapToGrid w:val="0"/>
        </w:rPr>
        <w:t>containing</w:t>
      </w:r>
      <w:r w:rsidR="000D355C">
        <w:rPr>
          <w:rFonts w:ascii="Arial" w:hAnsi="Arial" w:cs="Arial"/>
          <w:snapToGrid w:val="0"/>
        </w:rPr>
        <w:t xml:space="preserve"> more than one serve</w:t>
      </w:r>
    </w:p>
    <w:p w14:paraId="0F9A8255" w14:textId="7033244B" w:rsidR="00C151C3" w:rsidRDefault="00502C34" w:rsidP="00317DC5">
      <w:pPr>
        <w:pStyle w:val="ListParagraph"/>
        <w:numPr>
          <w:ilvl w:val="0"/>
          <w:numId w:val="12"/>
        </w:numPr>
        <w:rPr>
          <w:rFonts w:ascii="Arial" w:hAnsi="Arial" w:cs="Arial"/>
          <w:snapToGrid w:val="0"/>
        </w:rPr>
      </w:pPr>
      <w:r w:rsidRPr="001F5880">
        <w:rPr>
          <w:rFonts w:ascii="Arial" w:hAnsi="Arial" w:cs="Arial"/>
          <w:snapToGrid w:val="0"/>
        </w:rPr>
        <w:t xml:space="preserve">benefits to consumers from </w:t>
      </w:r>
      <w:r w:rsidR="007C3B74" w:rsidRPr="001F5880">
        <w:rPr>
          <w:rFonts w:ascii="Arial" w:hAnsi="Arial" w:cs="Arial"/>
          <w:snapToGrid w:val="0"/>
        </w:rPr>
        <w:t>improved</w:t>
      </w:r>
      <w:r w:rsidR="00CB2595" w:rsidRPr="001F5880">
        <w:rPr>
          <w:rFonts w:ascii="Arial" w:hAnsi="Arial" w:cs="Arial"/>
          <w:snapToGrid w:val="0"/>
        </w:rPr>
        <w:t xml:space="preserve"> understand</w:t>
      </w:r>
      <w:r w:rsidR="007C3B74" w:rsidRPr="001F5880">
        <w:rPr>
          <w:rFonts w:ascii="Arial" w:hAnsi="Arial" w:cs="Arial"/>
          <w:snapToGrid w:val="0"/>
        </w:rPr>
        <w:t>ing of</w:t>
      </w:r>
      <w:r w:rsidR="00CB2595" w:rsidRPr="001F5880">
        <w:rPr>
          <w:rFonts w:ascii="Arial" w:hAnsi="Arial" w:cs="Arial"/>
          <w:snapToGrid w:val="0"/>
        </w:rPr>
        <w:t xml:space="preserve"> how a serving size of an alcoholic beverage relates to a standard drink</w:t>
      </w:r>
      <w:r w:rsidR="00687BD8" w:rsidRPr="001F5880">
        <w:rPr>
          <w:rFonts w:ascii="Arial" w:hAnsi="Arial" w:cs="Arial"/>
          <w:snapToGrid w:val="0"/>
        </w:rPr>
        <w:t>.</w:t>
      </w:r>
      <w:r w:rsidR="009153AE" w:rsidRPr="001F5880">
        <w:rPr>
          <w:rFonts w:ascii="Arial" w:hAnsi="Arial" w:cs="Arial"/>
          <w:snapToGrid w:val="0"/>
        </w:rPr>
        <w:t xml:space="preserve"> </w:t>
      </w:r>
      <w:r w:rsidR="00B02A2D" w:rsidRPr="001F5880">
        <w:rPr>
          <w:rFonts w:ascii="Arial" w:hAnsi="Arial" w:cs="Arial"/>
          <w:snapToGrid w:val="0"/>
        </w:rPr>
        <w:t>This additional benefit was determined</w:t>
      </w:r>
      <w:r w:rsidR="00320381" w:rsidRPr="001F5880">
        <w:rPr>
          <w:rFonts w:ascii="Arial" w:hAnsi="Arial" w:cs="Arial"/>
          <w:snapToGrid w:val="0"/>
        </w:rPr>
        <w:t xml:space="preserve"> </w:t>
      </w:r>
      <w:r w:rsidR="00320381" w:rsidRPr="001F5880">
        <w:rPr>
          <w:rFonts w:ascii="Arial" w:hAnsi="Arial" w:cs="Arial"/>
          <w:snapToGrid w:val="0"/>
        </w:rPr>
        <w:lastRenderedPageBreak/>
        <w:t>from</w:t>
      </w:r>
      <w:r w:rsidR="003400CC" w:rsidRPr="001F5880">
        <w:rPr>
          <w:rFonts w:ascii="Arial" w:hAnsi="Arial" w:cs="Arial"/>
          <w:snapToGrid w:val="0"/>
        </w:rPr>
        <w:t xml:space="preserve"> a</w:t>
      </w:r>
      <w:r w:rsidR="00B02A2D" w:rsidRPr="001F5880">
        <w:rPr>
          <w:rFonts w:ascii="Arial" w:hAnsi="Arial" w:cs="Arial"/>
          <w:snapToGrid w:val="0"/>
        </w:rPr>
        <w:t xml:space="preserve"> best</w:t>
      </w:r>
      <w:r w:rsidR="00C151C3" w:rsidRPr="001F5880">
        <w:rPr>
          <w:rFonts w:ascii="Arial" w:hAnsi="Arial" w:cs="Arial"/>
          <w:snapToGrid w:val="0"/>
        </w:rPr>
        <w:t xml:space="preserve"> </w:t>
      </w:r>
      <w:r w:rsidR="003400CC" w:rsidRPr="001F5880">
        <w:rPr>
          <w:rFonts w:ascii="Arial" w:hAnsi="Arial" w:cs="Arial"/>
          <w:snapToGrid w:val="0"/>
        </w:rPr>
        <w:t xml:space="preserve">practice randomised controlled trial of 2,362 Australian and New Zealand representative consumers of alcoholic beverages </w:t>
      </w:r>
      <w:r w:rsidR="00B02A2D" w:rsidRPr="001F5880">
        <w:rPr>
          <w:rFonts w:ascii="Arial" w:hAnsi="Arial" w:cs="Arial"/>
          <w:snapToGrid w:val="0"/>
        </w:rPr>
        <w:t>(FSANZ 2023</w:t>
      </w:r>
      <w:r w:rsidR="00D13511" w:rsidRPr="001F5880">
        <w:rPr>
          <w:rFonts w:ascii="Arial" w:hAnsi="Arial" w:cs="Arial"/>
          <w:snapToGrid w:val="0"/>
        </w:rPr>
        <w:t>a</w:t>
      </w:r>
      <w:r w:rsidR="00B02A2D" w:rsidRPr="001F5880">
        <w:rPr>
          <w:rFonts w:ascii="Arial" w:hAnsi="Arial" w:cs="Arial"/>
          <w:snapToGrid w:val="0"/>
        </w:rPr>
        <w:t>)</w:t>
      </w:r>
      <w:r w:rsidR="003400CC" w:rsidRPr="001F5880">
        <w:rPr>
          <w:rFonts w:ascii="Arial" w:hAnsi="Arial" w:cs="Arial"/>
          <w:snapToGrid w:val="0"/>
        </w:rPr>
        <w:t>.</w:t>
      </w:r>
      <w:r w:rsidR="00B02A2D" w:rsidRPr="001F5880">
        <w:rPr>
          <w:rFonts w:ascii="Arial" w:hAnsi="Arial" w:cs="Arial"/>
          <w:snapToGrid w:val="0"/>
        </w:rPr>
        <w:t xml:space="preserve"> </w:t>
      </w:r>
      <w:r w:rsidR="000602FB" w:rsidRPr="001F5880">
        <w:rPr>
          <w:rFonts w:ascii="Arial" w:hAnsi="Arial" w:cs="Arial"/>
          <w:snapToGrid w:val="0"/>
        </w:rPr>
        <w:t>The</w:t>
      </w:r>
      <w:r w:rsidR="00FE54B2" w:rsidRPr="001F5880">
        <w:rPr>
          <w:rFonts w:ascii="Arial" w:hAnsi="Arial" w:cs="Arial"/>
          <w:snapToGrid w:val="0"/>
        </w:rPr>
        <w:t xml:space="preserve"> number of standard drinks per serve would </w:t>
      </w:r>
      <w:r w:rsidR="00327527" w:rsidRPr="001F5880">
        <w:rPr>
          <w:rFonts w:ascii="Arial" w:hAnsi="Arial" w:cs="Arial"/>
          <w:snapToGrid w:val="0"/>
        </w:rPr>
        <w:t xml:space="preserve">continue to always be </w:t>
      </w:r>
      <w:r w:rsidR="00FE324D" w:rsidRPr="001F5880">
        <w:rPr>
          <w:rFonts w:ascii="Arial" w:hAnsi="Arial" w:cs="Arial"/>
          <w:snapToGrid w:val="0"/>
        </w:rPr>
        <w:t>displayed</w:t>
      </w:r>
      <w:r w:rsidR="00327527" w:rsidRPr="001F5880">
        <w:rPr>
          <w:rFonts w:ascii="Arial" w:hAnsi="Arial" w:cs="Arial"/>
          <w:snapToGrid w:val="0"/>
        </w:rPr>
        <w:t xml:space="preserve"> </w:t>
      </w:r>
      <w:r w:rsidR="00597DEC" w:rsidRPr="001F5880">
        <w:rPr>
          <w:rFonts w:ascii="Arial" w:hAnsi="Arial" w:cs="Arial"/>
          <w:snapToGrid w:val="0"/>
        </w:rPr>
        <w:t xml:space="preserve">somewhere </w:t>
      </w:r>
      <w:r w:rsidR="000602FB" w:rsidRPr="001F5880">
        <w:rPr>
          <w:rFonts w:ascii="Arial" w:hAnsi="Arial" w:cs="Arial"/>
          <w:snapToGrid w:val="0"/>
        </w:rPr>
        <w:t>on the package</w:t>
      </w:r>
      <w:r w:rsidR="00327527" w:rsidRPr="001F5880">
        <w:rPr>
          <w:rFonts w:ascii="Arial" w:hAnsi="Arial" w:cs="Arial"/>
          <w:snapToGrid w:val="0"/>
        </w:rPr>
        <w:t>.</w:t>
      </w:r>
      <w:r w:rsidR="00610B52">
        <w:rPr>
          <w:rFonts w:ascii="Arial" w:hAnsi="Arial" w:cs="Arial"/>
          <w:snapToGrid w:val="0"/>
        </w:rPr>
        <w:t xml:space="preserve"> </w:t>
      </w:r>
      <w:r w:rsidR="00610B52">
        <w:rPr>
          <w:rFonts w:ascii="Arial" w:eastAsia="Times New Roman" w:hAnsi="Arial" w:cs="Arial"/>
          <w:color w:val="2E3037"/>
          <w:szCs w:val="24"/>
        </w:rPr>
        <w:t>That is</w:t>
      </w:r>
      <w:r w:rsidR="00610B52" w:rsidRPr="0004610D">
        <w:rPr>
          <w:rFonts w:ascii="Arial" w:eastAsia="Times New Roman" w:hAnsi="Arial" w:cs="Arial"/>
          <w:color w:val="2E3037"/>
          <w:szCs w:val="24"/>
        </w:rPr>
        <w:t xml:space="preserve"> given the </w:t>
      </w:r>
      <w:r w:rsidR="00610B52">
        <w:rPr>
          <w:rFonts w:ascii="Arial" w:eastAsia="Times New Roman" w:hAnsi="Arial" w:cs="Arial"/>
          <w:color w:val="2E3037"/>
          <w:szCs w:val="24"/>
        </w:rPr>
        <w:t>continuing</w:t>
      </w:r>
      <w:r w:rsidR="00610B52" w:rsidRPr="0004610D">
        <w:rPr>
          <w:rFonts w:ascii="Arial" w:eastAsia="Times New Roman" w:hAnsi="Arial" w:cs="Arial"/>
          <w:color w:val="2E3037"/>
          <w:szCs w:val="24"/>
        </w:rPr>
        <w:t xml:space="preserve"> requirement to include a statement of the approximate number of standard drinks in the whole package as required by section 2.7.1—4 of the Code.</w:t>
      </w:r>
    </w:p>
    <w:p w14:paraId="4453CF4C" w14:textId="77777777" w:rsidR="002A00CB" w:rsidRPr="001F5880" w:rsidRDefault="002A00CB" w:rsidP="00662E6D">
      <w:pPr>
        <w:pStyle w:val="ListParagraph"/>
        <w:rPr>
          <w:rFonts w:ascii="Arial" w:hAnsi="Arial" w:cs="Arial"/>
          <w:snapToGrid w:val="0"/>
        </w:rPr>
      </w:pPr>
    </w:p>
    <w:p w14:paraId="677FEBC4" w14:textId="7524DDB4" w:rsidR="004E63E3" w:rsidRPr="000828D1" w:rsidRDefault="004E63E3" w:rsidP="000828D1">
      <w:pPr>
        <w:rPr>
          <w:rFonts w:ascii="Arial" w:hAnsi="Arial" w:cs="Arial"/>
          <w:b/>
          <w:bCs/>
          <w:i/>
          <w:iCs/>
          <w:snapToGrid w:val="0"/>
          <w:lang w:val="en-AU"/>
        </w:rPr>
      </w:pPr>
      <w:r w:rsidRPr="000828D1">
        <w:rPr>
          <w:rFonts w:ascii="Arial" w:hAnsi="Arial" w:cs="Arial"/>
          <w:b/>
          <w:bCs/>
          <w:i/>
          <w:iCs/>
          <w:snapToGrid w:val="0"/>
          <w:lang w:val="en-AU"/>
        </w:rPr>
        <w:t xml:space="preserve">Additional </w:t>
      </w:r>
      <w:r w:rsidR="00B636F7" w:rsidRPr="000828D1">
        <w:rPr>
          <w:rFonts w:ascii="Arial" w:hAnsi="Arial" w:cs="Arial"/>
          <w:b/>
          <w:bCs/>
          <w:i/>
          <w:iCs/>
          <w:snapToGrid w:val="0"/>
          <w:lang w:val="en-AU"/>
        </w:rPr>
        <w:t xml:space="preserve">total </w:t>
      </w:r>
      <w:r w:rsidRPr="000828D1">
        <w:rPr>
          <w:rFonts w:ascii="Arial" w:hAnsi="Arial" w:cs="Arial"/>
          <w:b/>
          <w:bCs/>
          <w:i/>
          <w:iCs/>
          <w:snapToGrid w:val="0"/>
          <w:lang w:val="en-AU"/>
        </w:rPr>
        <w:t>costs to industry</w:t>
      </w:r>
      <w:r w:rsidR="00C24308" w:rsidRPr="000828D1">
        <w:rPr>
          <w:rFonts w:ascii="Arial" w:hAnsi="Arial" w:cs="Arial"/>
          <w:b/>
          <w:bCs/>
          <w:i/>
          <w:iCs/>
          <w:snapToGrid w:val="0"/>
          <w:lang w:val="en-AU"/>
        </w:rPr>
        <w:t xml:space="preserve"> of </w:t>
      </w:r>
      <w:r w:rsidR="006917E1">
        <w:rPr>
          <w:rFonts w:ascii="Arial" w:hAnsi="Arial" w:cs="Arial"/>
          <w:b/>
          <w:bCs/>
          <w:i/>
          <w:iCs/>
          <w:snapToGrid w:val="0"/>
          <w:lang w:val="en-AU"/>
        </w:rPr>
        <w:t>o</w:t>
      </w:r>
      <w:r w:rsidR="006917E1" w:rsidRPr="000828D1">
        <w:rPr>
          <w:rFonts w:ascii="Arial" w:hAnsi="Arial" w:cs="Arial"/>
          <w:b/>
          <w:bCs/>
          <w:i/>
          <w:iCs/>
          <w:snapToGrid w:val="0"/>
          <w:lang w:val="en-AU"/>
        </w:rPr>
        <w:t xml:space="preserve">ption </w:t>
      </w:r>
      <w:r w:rsidR="00C24308" w:rsidRPr="000828D1">
        <w:rPr>
          <w:rFonts w:ascii="Arial" w:hAnsi="Arial" w:cs="Arial"/>
          <w:b/>
          <w:bCs/>
          <w:i/>
          <w:iCs/>
          <w:snapToGrid w:val="0"/>
          <w:lang w:val="en-AU"/>
        </w:rPr>
        <w:t>3</w:t>
      </w:r>
    </w:p>
    <w:p w14:paraId="6D7470D6" w14:textId="60B3CD99" w:rsidR="00FE59FE" w:rsidRDefault="004E63E3" w:rsidP="009153AE">
      <w:pPr>
        <w:pStyle w:val="ListParagraph"/>
        <w:ind w:left="0"/>
        <w:rPr>
          <w:rFonts w:ascii="Arial" w:hAnsi="Arial" w:cs="Arial"/>
          <w:snapToGrid w:val="0"/>
        </w:rPr>
      </w:pPr>
      <w:r>
        <w:rPr>
          <w:rFonts w:ascii="Arial" w:eastAsia="Arial" w:hAnsi="Arial" w:cs="Arial"/>
        </w:rPr>
        <w:t xml:space="preserve">FSANZ estimates the </w:t>
      </w:r>
      <w:r w:rsidR="00B636F7">
        <w:rPr>
          <w:rFonts w:ascii="Arial" w:eastAsia="Arial" w:hAnsi="Arial" w:cs="Arial"/>
        </w:rPr>
        <w:t xml:space="preserve">total </w:t>
      </w:r>
      <w:r w:rsidR="00DC7208">
        <w:rPr>
          <w:rFonts w:ascii="Arial" w:eastAsia="Arial" w:hAnsi="Arial" w:cs="Arial"/>
        </w:rPr>
        <w:t>on</w:t>
      </w:r>
      <w:r w:rsidR="00941275">
        <w:rPr>
          <w:rFonts w:ascii="Arial" w:eastAsia="Arial" w:hAnsi="Arial" w:cs="Arial"/>
        </w:rPr>
        <w:t>e</w:t>
      </w:r>
      <w:r w:rsidR="00E95683">
        <w:rPr>
          <w:rFonts w:ascii="Arial" w:eastAsia="Arial" w:hAnsi="Arial" w:cs="Arial"/>
        </w:rPr>
        <w:t>-</w:t>
      </w:r>
      <w:r w:rsidR="00DC7208">
        <w:rPr>
          <w:rFonts w:ascii="Arial" w:eastAsia="Arial" w:hAnsi="Arial" w:cs="Arial"/>
        </w:rPr>
        <w:t xml:space="preserve">off </w:t>
      </w:r>
      <w:r>
        <w:rPr>
          <w:rFonts w:ascii="Arial" w:eastAsia="Arial" w:hAnsi="Arial" w:cs="Arial"/>
        </w:rPr>
        <w:t xml:space="preserve">costs of </w:t>
      </w:r>
      <w:r w:rsidR="00BD58FB">
        <w:rPr>
          <w:rFonts w:ascii="Arial" w:eastAsia="Arial" w:hAnsi="Arial" w:cs="Arial"/>
        </w:rPr>
        <w:t xml:space="preserve">including </w:t>
      </w:r>
      <w:r>
        <w:rPr>
          <w:rFonts w:ascii="Arial" w:eastAsia="Arial" w:hAnsi="Arial" w:cs="Arial"/>
        </w:rPr>
        <w:t xml:space="preserve">the </w:t>
      </w:r>
      <w:r w:rsidR="00C151C3">
        <w:rPr>
          <w:rFonts w:ascii="Arial" w:eastAsia="Arial" w:hAnsi="Arial" w:cs="Arial"/>
        </w:rPr>
        <w:t xml:space="preserve">number of standard drinks </w:t>
      </w:r>
      <w:r w:rsidR="00FF3E0B">
        <w:rPr>
          <w:rFonts w:ascii="Arial" w:eastAsia="Arial" w:hAnsi="Arial" w:cs="Arial"/>
        </w:rPr>
        <w:t xml:space="preserve">equivalent to </w:t>
      </w:r>
      <w:r w:rsidR="00C151C3">
        <w:rPr>
          <w:rFonts w:ascii="Arial" w:eastAsia="Arial" w:hAnsi="Arial" w:cs="Arial"/>
        </w:rPr>
        <w:t>one serving</w:t>
      </w:r>
      <w:r w:rsidR="00A74E91">
        <w:rPr>
          <w:rFonts w:ascii="Arial" w:eastAsia="Arial" w:hAnsi="Arial" w:cs="Arial"/>
        </w:rPr>
        <w:t xml:space="preserve"> in a NIP</w:t>
      </w:r>
      <w:r w:rsidR="00C151C3">
        <w:rPr>
          <w:rFonts w:ascii="Arial" w:eastAsia="Arial" w:hAnsi="Arial" w:cs="Arial"/>
        </w:rPr>
        <w:t xml:space="preserve"> </w:t>
      </w:r>
      <w:r>
        <w:rPr>
          <w:rFonts w:ascii="Arial" w:hAnsi="Arial" w:cs="Arial"/>
          <w:snapToGrid w:val="0"/>
        </w:rPr>
        <w:t xml:space="preserve">to around </w:t>
      </w:r>
      <w:r w:rsidR="007849A4">
        <w:rPr>
          <w:rFonts w:ascii="Arial" w:hAnsi="Arial" w:cs="Arial"/>
          <w:snapToGrid w:val="0"/>
        </w:rPr>
        <w:t>4</w:t>
      </w:r>
      <w:r>
        <w:rPr>
          <w:rFonts w:ascii="Arial" w:hAnsi="Arial" w:cs="Arial"/>
          <w:snapToGrid w:val="0"/>
        </w:rPr>
        <w:t xml:space="preserve">% of SKUs </w:t>
      </w:r>
      <w:r w:rsidR="00121002">
        <w:rPr>
          <w:rFonts w:ascii="Arial" w:hAnsi="Arial" w:cs="Arial"/>
          <w:snapToGrid w:val="0"/>
        </w:rPr>
        <w:t>that are</w:t>
      </w:r>
      <w:r w:rsidR="00306D08">
        <w:rPr>
          <w:rFonts w:ascii="Arial" w:hAnsi="Arial" w:cs="Arial"/>
          <w:snapToGrid w:val="0"/>
        </w:rPr>
        <w:t xml:space="preserve"> multi-serve packages </w:t>
      </w:r>
      <w:r>
        <w:rPr>
          <w:rFonts w:ascii="Arial" w:hAnsi="Arial" w:cs="Arial"/>
          <w:snapToGrid w:val="0"/>
        </w:rPr>
        <w:t xml:space="preserve">would be </w:t>
      </w:r>
      <w:r w:rsidR="00DC7208">
        <w:rPr>
          <w:rFonts w:ascii="Arial" w:hAnsi="Arial" w:cs="Arial"/>
          <w:snapToGrid w:val="0"/>
        </w:rPr>
        <w:t>$</w:t>
      </w:r>
      <w:r w:rsidR="0092600F">
        <w:rPr>
          <w:rFonts w:ascii="Arial" w:hAnsi="Arial" w:cs="Arial"/>
          <w:snapToGrid w:val="0"/>
        </w:rPr>
        <w:t>2</w:t>
      </w:r>
      <w:r w:rsidR="007570E3">
        <w:rPr>
          <w:rFonts w:ascii="Arial" w:hAnsi="Arial" w:cs="Arial"/>
          <w:snapToGrid w:val="0"/>
        </w:rPr>
        <w:t xml:space="preserve"> </w:t>
      </w:r>
      <w:r w:rsidR="001C3299">
        <w:rPr>
          <w:rFonts w:ascii="Arial" w:hAnsi="Arial" w:cs="Arial"/>
          <w:snapToGrid w:val="0"/>
        </w:rPr>
        <w:t>m</w:t>
      </w:r>
      <w:r w:rsidR="00DC7208">
        <w:rPr>
          <w:rFonts w:ascii="Arial" w:hAnsi="Arial" w:cs="Arial"/>
          <w:snapToGrid w:val="0"/>
        </w:rPr>
        <w:t xml:space="preserve"> to $</w:t>
      </w:r>
      <w:r w:rsidR="0092600F">
        <w:rPr>
          <w:rFonts w:ascii="Arial" w:hAnsi="Arial" w:cs="Arial"/>
          <w:snapToGrid w:val="0"/>
        </w:rPr>
        <w:t xml:space="preserve">7 </w:t>
      </w:r>
      <w:r w:rsidR="00DC7208">
        <w:rPr>
          <w:rFonts w:ascii="Arial" w:hAnsi="Arial" w:cs="Arial"/>
          <w:snapToGrid w:val="0"/>
        </w:rPr>
        <w:t xml:space="preserve">million. </w:t>
      </w:r>
      <w:r w:rsidR="00245EDF">
        <w:rPr>
          <w:rFonts w:ascii="Arial" w:hAnsi="Arial" w:cs="Arial"/>
          <w:snapToGrid w:val="0"/>
        </w:rPr>
        <w:t>A</w:t>
      </w:r>
      <w:r w:rsidR="00E6640E">
        <w:rPr>
          <w:rFonts w:ascii="Arial" w:hAnsi="Arial" w:cs="Arial"/>
          <w:snapToGrid w:val="0"/>
        </w:rPr>
        <w:t>s</w:t>
      </w:r>
      <w:r w:rsidR="00245EDF">
        <w:rPr>
          <w:rFonts w:ascii="Arial" w:hAnsi="Arial" w:cs="Arial"/>
          <w:snapToGrid w:val="0"/>
        </w:rPr>
        <w:t xml:space="preserve"> explained in Appendix 1, a greater relative range </w:t>
      </w:r>
      <w:r w:rsidR="00294F63">
        <w:rPr>
          <w:rFonts w:ascii="Arial" w:hAnsi="Arial" w:cs="Arial"/>
          <w:snapToGrid w:val="0"/>
        </w:rPr>
        <w:t>has been used for this $2</w:t>
      </w:r>
      <w:r w:rsidR="007570E3">
        <w:rPr>
          <w:rFonts w:ascii="Arial" w:hAnsi="Arial" w:cs="Arial"/>
          <w:snapToGrid w:val="0"/>
        </w:rPr>
        <w:t xml:space="preserve"> </w:t>
      </w:r>
      <w:r w:rsidR="00294F63">
        <w:rPr>
          <w:rFonts w:ascii="Arial" w:hAnsi="Arial" w:cs="Arial"/>
          <w:snapToGrid w:val="0"/>
        </w:rPr>
        <w:t>m to $7 million estimate</w:t>
      </w:r>
      <w:r w:rsidR="003F5797">
        <w:rPr>
          <w:rFonts w:ascii="Arial" w:hAnsi="Arial" w:cs="Arial"/>
          <w:snapToGrid w:val="0"/>
        </w:rPr>
        <w:t xml:space="preserve"> (Minor label change costs)</w:t>
      </w:r>
      <w:r w:rsidR="00294F63">
        <w:rPr>
          <w:rFonts w:ascii="Arial" w:hAnsi="Arial" w:cs="Arial"/>
          <w:snapToGrid w:val="0"/>
        </w:rPr>
        <w:t xml:space="preserve">, which is </w:t>
      </w:r>
      <w:r w:rsidR="00935F2C">
        <w:rPr>
          <w:rFonts w:ascii="Arial" w:hAnsi="Arial" w:cs="Arial"/>
          <w:snapToGrid w:val="0"/>
        </w:rPr>
        <w:t>less than</w:t>
      </w:r>
      <w:r w:rsidR="00E6640E">
        <w:rPr>
          <w:rFonts w:ascii="Arial" w:hAnsi="Arial" w:cs="Arial"/>
          <w:snapToGrid w:val="0"/>
        </w:rPr>
        <w:t xml:space="preserve"> </w:t>
      </w:r>
      <w:r w:rsidR="00935F2C">
        <w:rPr>
          <w:rFonts w:ascii="Arial" w:hAnsi="Arial" w:cs="Arial"/>
          <w:snapToGrid w:val="0"/>
        </w:rPr>
        <w:t>2</w:t>
      </w:r>
      <w:r w:rsidR="00E6640E">
        <w:rPr>
          <w:rFonts w:ascii="Arial" w:hAnsi="Arial" w:cs="Arial"/>
          <w:snapToGrid w:val="0"/>
        </w:rPr>
        <w:t>% of total industry costs under option 3.</w:t>
      </w:r>
      <w:r w:rsidR="00245EDF">
        <w:rPr>
          <w:rFonts w:ascii="Arial" w:hAnsi="Arial" w:cs="Arial"/>
          <w:snapToGrid w:val="0"/>
        </w:rPr>
        <w:t xml:space="preserve"> </w:t>
      </w:r>
      <w:r w:rsidR="00E6640E">
        <w:rPr>
          <w:rFonts w:ascii="Arial" w:hAnsi="Arial" w:cs="Arial"/>
          <w:snapToGrid w:val="0"/>
        </w:rPr>
        <w:t>It is assumes that</w:t>
      </w:r>
      <w:r w:rsidR="00DC7208">
        <w:rPr>
          <w:rFonts w:ascii="Arial" w:hAnsi="Arial" w:cs="Arial"/>
          <w:snapToGrid w:val="0"/>
        </w:rPr>
        <w:t xml:space="preserve"> th</w:t>
      </w:r>
      <w:r w:rsidR="00E6640E">
        <w:rPr>
          <w:rFonts w:ascii="Arial" w:hAnsi="Arial" w:cs="Arial"/>
          <w:snapToGrid w:val="0"/>
        </w:rPr>
        <w:t xml:space="preserve">e required standard drink </w:t>
      </w:r>
      <w:r w:rsidR="00C151C3">
        <w:rPr>
          <w:rFonts w:ascii="Arial" w:hAnsi="Arial" w:cs="Arial"/>
          <w:snapToGrid w:val="0"/>
        </w:rPr>
        <w:t xml:space="preserve">information </w:t>
      </w:r>
      <w:r w:rsidR="00DC7208">
        <w:rPr>
          <w:rFonts w:ascii="Arial" w:hAnsi="Arial" w:cs="Arial"/>
          <w:snapToGrid w:val="0"/>
        </w:rPr>
        <w:t>can be incorporated into the existing area of a label taken</w:t>
      </w:r>
      <w:r w:rsidR="00C151C3">
        <w:rPr>
          <w:rFonts w:ascii="Arial" w:hAnsi="Arial" w:cs="Arial"/>
          <w:snapToGrid w:val="0"/>
        </w:rPr>
        <w:t xml:space="preserve"> </w:t>
      </w:r>
      <w:r w:rsidR="00DC7208">
        <w:rPr>
          <w:rFonts w:ascii="Arial" w:hAnsi="Arial" w:cs="Arial"/>
          <w:snapToGrid w:val="0"/>
        </w:rPr>
        <w:t xml:space="preserve">up by a NIP with no changes in the labels internal layout, shape or size. </w:t>
      </w:r>
      <w:r w:rsidR="00C151C3">
        <w:rPr>
          <w:rFonts w:ascii="Arial" w:hAnsi="Arial" w:cs="Arial"/>
          <w:snapToGrid w:val="0"/>
        </w:rPr>
        <w:t xml:space="preserve">This </w:t>
      </w:r>
      <w:r w:rsidR="00FE59FE">
        <w:rPr>
          <w:rFonts w:ascii="Arial" w:hAnsi="Arial" w:cs="Arial"/>
          <w:snapToGrid w:val="0"/>
        </w:rPr>
        <w:t xml:space="preserve">assumes the </w:t>
      </w:r>
      <w:r w:rsidR="00C151C3">
        <w:rPr>
          <w:rFonts w:ascii="Arial" w:hAnsi="Arial" w:cs="Arial"/>
          <w:snapToGrid w:val="0"/>
        </w:rPr>
        <w:t>one-off</w:t>
      </w:r>
      <w:r w:rsidR="00FE59FE">
        <w:rPr>
          <w:rFonts w:ascii="Arial" w:hAnsi="Arial" w:cs="Arial"/>
          <w:snapToGrid w:val="0"/>
        </w:rPr>
        <w:t xml:space="preserve"> label change costs for </w:t>
      </w:r>
      <w:r w:rsidR="006942C8">
        <w:rPr>
          <w:rFonts w:ascii="Arial" w:hAnsi="Arial" w:cs="Arial"/>
          <w:snapToGrid w:val="0"/>
        </w:rPr>
        <w:t xml:space="preserve">the cost models </w:t>
      </w:r>
      <w:r w:rsidR="00144A2D">
        <w:rPr>
          <w:rFonts w:ascii="Arial" w:hAnsi="Arial" w:cs="Arial"/>
          <w:snapToGrid w:val="0"/>
        </w:rPr>
        <w:t>“</w:t>
      </w:r>
      <w:r w:rsidR="006917E1">
        <w:rPr>
          <w:rFonts w:ascii="Arial" w:hAnsi="Arial" w:cs="Arial"/>
          <w:snapToGrid w:val="0"/>
        </w:rPr>
        <w:t>m</w:t>
      </w:r>
      <w:r w:rsidR="00FE59FE">
        <w:rPr>
          <w:rFonts w:ascii="Arial" w:hAnsi="Arial" w:cs="Arial"/>
          <w:snapToGrid w:val="0"/>
        </w:rPr>
        <w:t>inor</w:t>
      </w:r>
      <w:r w:rsidR="00144A2D">
        <w:rPr>
          <w:rFonts w:ascii="Arial" w:hAnsi="Arial" w:cs="Arial"/>
          <w:snapToGrid w:val="0"/>
        </w:rPr>
        <w:t>”</w:t>
      </w:r>
      <w:r w:rsidR="00FE59FE">
        <w:rPr>
          <w:rFonts w:ascii="Arial" w:hAnsi="Arial" w:cs="Arial"/>
          <w:snapToGrid w:val="0"/>
        </w:rPr>
        <w:t xml:space="preserve"> </w:t>
      </w:r>
      <w:r w:rsidR="006917E1">
        <w:rPr>
          <w:rFonts w:ascii="Arial" w:hAnsi="Arial" w:cs="Arial"/>
          <w:snapToGrid w:val="0"/>
        </w:rPr>
        <w:t>l</w:t>
      </w:r>
      <w:r w:rsidR="00FE59FE">
        <w:rPr>
          <w:rFonts w:ascii="Arial" w:hAnsi="Arial" w:cs="Arial"/>
          <w:snapToGrid w:val="0"/>
        </w:rPr>
        <w:t xml:space="preserve">abel </w:t>
      </w:r>
      <w:r w:rsidR="006917E1">
        <w:rPr>
          <w:rFonts w:ascii="Arial" w:hAnsi="Arial" w:cs="Arial"/>
          <w:snapToGrid w:val="0"/>
        </w:rPr>
        <w:t>c</w:t>
      </w:r>
      <w:r w:rsidR="00FE59FE">
        <w:rPr>
          <w:rFonts w:ascii="Arial" w:hAnsi="Arial" w:cs="Arial"/>
          <w:snapToGrid w:val="0"/>
        </w:rPr>
        <w:t>hanges</w:t>
      </w:r>
      <w:r w:rsidR="00320381">
        <w:rPr>
          <w:rFonts w:ascii="Arial" w:hAnsi="Arial" w:cs="Arial"/>
          <w:snapToGrid w:val="0"/>
        </w:rPr>
        <w:t xml:space="preserve"> </w:t>
      </w:r>
      <w:r w:rsidR="00C151C3">
        <w:rPr>
          <w:rFonts w:ascii="Arial" w:hAnsi="Arial" w:cs="Arial"/>
          <w:snapToGrid w:val="0"/>
        </w:rPr>
        <w:t xml:space="preserve">as listed </w:t>
      </w:r>
      <w:r w:rsidR="00FE59FE">
        <w:rPr>
          <w:rFonts w:ascii="Arial" w:hAnsi="Arial" w:cs="Arial"/>
          <w:snapToGrid w:val="0"/>
        </w:rPr>
        <w:t>in table 5-</w:t>
      </w:r>
      <w:r w:rsidR="00796543">
        <w:rPr>
          <w:rFonts w:ascii="Arial" w:hAnsi="Arial" w:cs="Arial"/>
          <w:snapToGrid w:val="0"/>
        </w:rPr>
        <w:t>4</w:t>
      </w:r>
      <w:r w:rsidR="00FE59FE">
        <w:rPr>
          <w:rFonts w:ascii="Arial" w:hAnsi="Arial" w:cs="Arial"/>
          <w:snapToGrid w:val="0"/>
        </w:rPr>
        <w:t>.</w:t>
      </w:r>
    </w:p>
    <w:p w14:paraId="2FBF33C5" w14:textId="77777777" w:rsidR="00FE59FE" w:rsidRDefault="00FE59FE" w:rsidP="009153AE">
      <w:pPr>
        <w:pStyle w:val="ListParagraph"/>
        <w:ind w:left="0"/>
        <w:rPr>
          <w:rFonts w:ascii="Arial" w:hAnsi="Arial" w:cs="Arial"/>
          <w:snapToGrid w:val="0"/>
        </w:rPr>
      </w:pPr>
    </w:p>
    <w:p w14:paraId="7D192CDE" w14:textId="05F0D3DE" w:rsidR="00FE59FE" w:rsidRDefault="00FE59FE" w:rsidP="00C77FB8">
      <w:pPr>
        <w:pStyle w:val="ListParagraph"/>
        <w:keepNext/>
        <w:keepLines/>
        <w:ind w:left="0"/>
        <w:rPr>
          <w:rFonts w:ascii="Arial" w:eastAsia="Arial" w:hAnsi="Arial" w:cs="Arial"/>
          <w:b/>
          <w:bCs/>
        </w:rPr>
      </w:pPr>
      <w:r w:rsidRPr="004967F5">
        <w:rPr>
          <w:rFonts w:ascii="Arial" w:eastAsia="Arial" w:hAnsi="Arial" w:cs="Arial"/>
          <w:b/>
          <w:bCs/>
        </w:rPr>
        <w:t>Table 5-</w:t>
      </w:r>
      <w:r w:rsidR="00796543">
        <w:rPr>
          <w:rFonts w:ascii="Arial" w:eastAsia="Arial" w:hAnsi="Arial" w:cs="Arial"/>
          <w:b/>
          <w:bCs/>
        </w:rPr>
        <w:t>4</w:t>
      </w:r>
      <w:r w:rsidRPr="004967F5">
        <w:rPr>
          <w:rFonts w:ascii="Arial" w:eastAsia="Arial" w:hAnsi="Arial" w:cs="Arial"/>
          <w:b/>
          <w:bCs/>
        </w:rPr>
        <w:t xml:space="preserve">: Estimated average </w:t>
      </w:r>
      <w:r>
        <w:rPr>
          <w:rFonts w:ascii="Arial" w:eastAsia="Arial" w:hAnsi="Arial" w:cs="Arial"/>
          <w:b/>
          <w:bCs/>
        </w:rPr>
        <w:t xml:space="preserve">one-off </w:t>
      </w:r>
      <w:r w:rsidRPr="004967F5">
        <w:rPr>
          <w:rFonts w:ascii="Arial" w:eastAsia="Arial" w:hAnsi="Arial" w:cs="Arial"/>
          <w:b/>
          <w:bCs/>
        </w:rPr>
        <w:t xml:space="preserve">label change costs </w:t>
      </w:r>
      <w:r w:rsidR="003566CD">
        <w:rPr>
          <w:rFonts w:ascii="Arial" w:eastAsia="Arial" w:hAnsi="Arial" w:cs="Arial"/>
          <w:b/>
          <w:bCs/>
        </w:rPr>
        <w:t>per SKU</w:t>
      </w:r>
      <w:r w:rsidR="00C03EBA">
        <w:rPr>
          <w:rFonts w:ascii="Arial" w:eastAsia="Arial" w:hAnsi="Arial" w:cs="Arial"/>
          <w:b/>
          <w:bCs/>
        </w:rPr>
        <w:t xml:space="preserve"> with an existing NIP</w:t>
      </w:r>
    </w:p>
    <w:p w14:paraId="0612351F" w14:textId="77777777" w:rsidR="00A81C02" w:rsidRDefault="00A81C02" w:rsidP="00C77FB8">
      <w:pPr>
        <w:pStyle w:val="ListParagraph"/>
        <w:keepNext/>
        <w:keepLines/>
        <w:ind w:left="0"/>
        <w:rPr>
          <w:rFonts w:ascii="Arial" w:eastAsia="Arial" w:hAnsi="Arial" w:cs="Arial"/>
          <w:b/>
          <w:bCs/>
        </w:rPr>
      </w:pPr>
    </w:p>
    <w:tbl>
      <w:tblPr>
        <w:tblStyle w:val="GridTable4-Accent31"/>
        <w:tblW w:w="9776" w:type="dxa"/>
        <w:tblLook w:val="04A0" w:firstRow="1" w:lastRow="0" w:firstColumn="1" w:lastColumn="0" w:noHBand="0" w:noVBand="1"/>
      </w:tblPr>
      <w:tblGrid>
        <w:gridCol w:w="3390"/>
        <w:gridCol w:w="1283"/>
        <w:gridCol w:w="1418"/>
        <w:gridCol w:w="1417"/>
        <w:gridCol w:w="2268"/>
      </w:tblGrid>
      <w:tr w:rsidR="00FE59FE" w:rsidRPr="00F96DDF" w14:paraId="64E13969" w14:textId="77777777" w:rsidTr="00006008">
        <w:trPr>
          <w:cnfStyle w:val="100000000000" w:firstRow="1" w:lastRow="0" w:firstColumn="0" w:lastColumn="0" w:oddVBand="0" w:evenVBand="0" w:oddHBand="0" w:evenHBand="0" w:firstRowFirstColumn="0" w:firstRowLastColumn="0" w:lastRowFirstColumn="0" w:lastRowLastColumn="0"/>
          <w:trHeight w:val="839"/>
          <w:tblHeader/>
        </w:trPr>
        <w:tc>
          <w:tcPr>
            <w:cnfStyle w:val="001000000000" w:firstRow="0" w:lastRow="0" w:firstColumn="1" w:lastColumn="0" w:oddVBand="0" w:evenVBand="0" w:oddHBand="0" w:evenHBand="0" w:firstRowFirstColumn="0" w:firstRowLastColumn="0" w:lastRowFirstColumn="0" w:lastRowLastColumn="0"/>
            <w:tcW w:w="3390" w:type="dxa"/>
            <w:vAlign w:val="center"/>
            <w:hideMark/>
          </w:tcPr>
          <w:p w14:paraId="49DB4CB0" w14:textId="77777777" w:rsidR="00FE59FE" w:rsidRPr="00F96DDF" w:rsidRDefault="00FE59FE" w:rsidP="00C77FB8">
            <w:pPr>
              <w:keepNext/>
              <w:keepLines/>
              <w:widowControl w:val="0"/>
              <w:jc w:val="center"/>
              <w:rPr>
                <w:rFonts w:eastAsia="Times New Roman" w:cs="Times New Roman"/>
                <w:sz w:val="20"/>
                <w:szCs w:val="20"/>
                <w:lang w:val="en-GB" w:eastAsia="en-GB" w:bidi="en-US"/>
              </w:rPr>
            </w:pPr>
          </w:p>
        </w:tc>
        <w:tc>
          <w:tcPr>
            <w:tcW w:w="1283" w:type="dxa"/>
            <w:vAlign w:val="center"/>
            <w:hideMark/>
          </w:tcPr>
          <w:p w14:paraId="7D19E881" w14:textId="77777777" w:rsidR="00FE59FE" w:rsidRPr="00F96DDF" w:rsidRDefault="00FE59FE" w:rsidP="00C77FB8">
            <w:pPr>
              <w:keepNext/>
              <w:keepLines/>
              <w:widowControl w:val="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val="en-GB" w:eastAsia="en-GB" w:bidi="en-US"/>
              </w:rPr>
            </w:pPr>
            <w:r w:rsidRPr="00F96DDF">
              <w:rPr>
                <w:rFonts w:eastAsia="Times New Roman" w:cs="Times New Roman"/>
                <w:sz w:val="20"/>
                <w:szCs w:val="20"/>
                <w:lang w:val="en-GB" w:eastAsia="en-GB" w:bidi="en-US"/>
              </w:rPr>
              <w:t>Bottle</w:t>
            </w:r>
          </w:p>
        </w:tc>
        <w:tc>
          <w:tcPr>
            <w:tcW w:w="1418" w:type="dxa"/>
            <w:vAlign w:val="center"/>
            <w:hideMark/>
          </w:tcPr>
          <w:p w14:paraId="65F9A4A2" w14:textId="77777777" w:rsidR="00FE59FE" w:rsidRPr="00F96DDF" w:rsidRDefault="00FE59FE" w:rsidP="00C77FB8">
            <w:pPr>
              <w:keepNext/>
              <w:keepLines/>
              <w:widowControl w:val="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val="en-GB" w:eastAsia="en-GB" w:bidi="en-US"/>
              </w:rPr>
            </w:pPr>
            <w:r w:rsidRPr="00F96DDF">
              <w:rPr>
                <w:rFonts w:eastAsia="Times New Roman" w:cs="Times New Roman"/>
                <w:sz w:val="20"/>
                <w:szCs w:val="20"/>
                <w:lang w:val="en-GB" w:eastAsia="en-GB" w:bidi="en-US"/>
              </w:rPr>
              <w:t>Can</w:t>
            </w:r>
          </w:p>
        </w:tc>
        <w:tc>
          <w:tcPr>
            <w:tcW w:w="1417" w:type="dxa"/>
            <w:vAlign w:val="center"/>
            <w:hideMark/>
          </w:tcPr>
          <w:p w14:paraId="352DB9C9" w14:textId="77777777" w:rsidR="00FE59FE" w:rsidRPr="00F96DDF" w:rsidRDefault="00FE59FE" w:rsidP="00C77FB8">
            <w:pPr>
              <w:keepNext/>
              <w:keepLines/>
              <w:widowControl w:val="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val="en-GB" w:eastAsia="en-GB" w:bidi="en-US"/>
              </w:rPr>
            </w:pPr>
            <w:r w:rsidRPr="00F96DDF">
              <w:rPr>
                <w:rFonts w:eastAsia="Times New Roman" w:cs="Times New Roman"/>
                <w:sz w:val="20"/>
                <w:szCs w:val="20"/>
                <w:lang w:val="en-GB" w:eastAsia="en-GB" w:bidi="en-US"/>
              </w:rPr>
              <w:t>Cask</w:t>
            </w:r>
          </w:p>
        </w:tc>
        <w:tc>
          <w:tcPr>
            <w:tcW w:w="2268" w:type="dxa"/>
            <w:vAlign w:val="center"/>
            <w:hideMark/>
          </w:tcPr>
          <w:p w14:paraId="363D332E" w14:textId="77777777" w:rsidR="00FE59FE" w:rsidRPr="00F96DDF" w:rsidRDefault="00FE59FE" w:rsidP="00C77FB8">
            <w:pPr>
              <w:keepNext/>
              <w:keepLines/>
              <w:widowControl w:val="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lang w:val="en-GB" w:eastAsia="en-GB" w:bidi="en-US"/>
              </w:rPr>
            </w:pPr>
            <w:r w:rsidRPr="00F96DDF">
              <w:rPr>
                <w:rFonts w:eastAsia="Times New Roman" w:cs="Times New Roman"/>
                <w:sz w:val="20"/>
                <w:szCs w:val="20"/>
                <w:lang w:val="en-GB" w:eastAsia="en-GB" w:bidi="en-US"/>
              </w:rPr>
              <w:t>All containers Weighted Average</w:t>
            </w:r>
          </w:p>
        </w:tc>
      </w:tr>
      <w:tr w:rsidR="00EB37B6" w:rsidRPr="00F96DDF" w14:paraId="2974C9FF" w14:textId="77777777" w:rsidTr="00EB37B6">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3390" w:type="dxa"/>
            <w:vAlign w:val="center"/>
            <w:hideMark/>
          </w:tcPr>
          <w:p w14:paraId="2F6458D9" w14:textId="1FA65C4B" w:rsidR="00EB37B6" w:rsidRPr="00F96DDF" w:rsidRDefault="00EB37B6" w:rsidP="00C77FB8">
            <w:pPr>
              <w:keepNext/>
              <w:keepLines/>
              <w:widowControl w:val="0"/>
              <w:rPr>
                <w:rFonts w:eastAsia="Times New Roman" w:cs="Times New Roman"/>
                <w:sz w:val="20"/>
                <w:szCs w:val="20"/>
                <w:lang w:val="en-GB" w:eastAsia="en-GB" w:bidi="en-US"/>
              </w:rPr>
            </w:pPr>
            <w:r>
              <w:rPr>
                <w:rFonts w:eastAsia="Times New Roman" w:cs="Times New Roman"/>
                <w:sz w:val="20"/>
                <w:szCs w:val="20"/>
                <w:lang w:val="en-GB" w:eastAsia="en-GB" w:bidi="en-US"/>
              </w:rPr>
              <w:t>Minor Label Change</w:t>
            </w:r>
          </w:p>
        </w:tc>
        <w:tc>
          <w:tcPr>
            <w:tcW w:w="1283" w:type="dxa"/>
            <w:vAlign w:val="center"/>
          </w:tcPr>
          <w:p w14:paraId="37B13F4B" w14:textId="014E748C" w:rsidR="00EB37B6" w:rsidRPr="00F96DDF" w:rsidRDefault="00EB37B6" w:rsidP="00C77FB8">
            <w:pPr>
              <w:keepNext/>
              <w:keepLines/>
              <w:widowControl w:val="0"/>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n-GB" w:eastAsia="en-GB" w:bidi="en-US"/>
              </w:rPr>
            </w:pPr>
            <w:r>
              <w:rPr>
                <w:rFonts w:ascii="Calibri" w:hAnsi="Calibri" w:cs="Calibri"/>
                <w:color w:val="000000"/>
              </w:rPr>
              <w:t>$1,6</w:t>
            </w:r>
            <w:r w:rsidR="00A13182">
              <w:rPr>
                <w:rFonts w:ascii="Calibri" w:hAnsi="Calibri" w:cs="Calibri"/>
                <w:color w:val="000000"/>
              </w:rPr>
              <w:t>36</w:t>
            </w:r>
          </w:p>
        </w:tc>
        <w:tc>
          <w:tcPr>
            <w:tcW w:w="1418" w:type="dxa"/>
            <w:vAlign w:val="center"/>
          </w:tcPr>
          <w:p w14:paraId="25D5FE82" w14:textId="5109904E" w:rsidR="00EB37B6" w:rsidRPr="00F96DDF" w:rsidRDefault="00EB37B6" w:rsidP="00C77FB8">
            <w:pPr>
              <w:keepNext/>
              <w:keepLines/>
              <w:widowControl w:val="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n-GB" w:eastAsia="en-GB" w:bidi="en-US"/>
              </w:rPr>
            </w:pPr>
            <w:r>
              <w:rPr>
                <w:rFonts w:ascii="Calibri" w:hAnsi="Calibri" w:cs="Calibri"/>
                <w:color w:val="000000"/>
              </w:rPr>
              <w:t>$7,</w:t>
            </w:r>
            <w:r w:rsidR="00A13182">
              <w:rPr>
                <w:rFonts w:ascii="Calibri" w:hAnsi="Calibri" w:cs="Calibri"/>
                <w:color w:val="000000"/>
              </w:rPr>
              <w:t>414</w:t>
            </w:r>
          </w:p>
        </w:tc>
        <w:tc>
          <w:tcPr>
            <w:tcW w:w="1417" w:type="dxa"/>
            <w:vAlign w:val="center"/>
          </w:tcPr>
          <w:p w14:paraId="1D918809" w14:textId="37DE5B6D" w:rsidR="00EB37B6" w:rsidRPr="00F96DDF" w:rsidRDefault="00EB37B6" w:rsidP="00C77FB8">
            <w:pPr>
              <w:keepNext/>
              <w:keepLines/>
              <w:widowControl w:val="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n-GB" w:eastAsia="en-GB" w:bidi="en-US"/>
              </w:rPr>
            </w:pPr>
            <w:r>
              <w:rPr>
                <w:rFonts w:ascii="Calibri" w:hAnsi="Calibri" w:cs="Calibri"/>
                <w:color w:val="000000"/>
              </w:rPr>
              <w:t>$32</w:t>
            </w:r>
            <w:r w:rsidR="00A13182">
              <w:rPr>
                <w:rFonts w:ascii="Calibri" w:hAnsi="Calibri" w:cs="Calibri"/>
                <w:color w:val="000000"/>
              </w:rPr>
              <w:t>9</w:t>
            </w:r>
          </w:p>
        </w:tc>
        <w:tc>
          <w:tcPr>
            <w:tcW w:w="2268" w:type="dxa"/>
            <w:vAlign w:val="center"/>
          </w:tcPr>
          <w:p w14:paraId="731C8DB2" w14:textId="5CB87DC5" w:rsidR="00EB37B6" w:rsidRPr="00F96DDF" w:rsidRDefault="00EB37B6" w:rsidP="00C77FB8">
            <w:pPr>
              <w:keepNext/>
              <w:keepLines/>
              <w:widowControl w:val="0"/>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n-GB" w:eastAsia="en-GB" w:bidi="en-US"/>
              </w:rPr>
            </w:pPr>
            <w:r>
              <w:rPr>
                <w:rFonts w:ascii="Calibri" w:hAnsi="Calibri" w:cs="Calibri"/>
                <w:color w:val="000000"/>
              </w:rPr>
              <w:t>$1,7</w:t>
            </w:r>
            <w:r w:rsidR="00A13182">
              <w:rPr>
                <w:rFonts w:ascii="Calibri" w:hAnsi="Calibri" w:cs="Calibri"/>
                <w:color w:val="000000"/>
              </w:rPr>
              <w:t>93</w:t>
            </w:r>
          </w:p>
        </w:tc>
      </w:tr>
    </w:tbl>
    <w:p w14:paraId="098E5710" w14:textId="77777777" w:rsidR="00B636F7" w:rsidRDefault="00B636F7" w:rsidP="009153AE">
      <w:pPr>
        <w:pStyle w:val="ListParagraph"/>
        <w:ind w:left="0"/>
        <w:rPr>
          <w:rFonts w:ascii="Arial" w:hAnsi="Arial" w:cs="Arial"/>
          <w:snapToGrid w:val="0"/>
        </w:rPr>
      </w:pPr>
    </w:p>
    <w:p w14:paraId="5562871D" w14:textId="4EAFDB1A" w:rsidR="00BA60B8" w:rsidRPr="00B636F7" w:rsidRDefault="00C03EBA" w:rsidP="009153AE">
      <w:pPr>
        <w:pStyle w:val="ListParagraph"/>
        <w:ind w:left="0"/>
        <w:rPr>
          <w:rFonts w:ascii="Arial" w:eastAsia="Arial" w:hAnsi="Arial" w:cs="Arial"/>
        </w:rPr>
      </w:pPr>
      <w:r>
        <w:rPr>
          <w:rFonts w:ascii="Arial" w:hAnsi="Arial" w:cs="Arial"/>
          <w:snapToGrid w:val="0"/>
        </w:rPr>
        <w:t xml:space="preserve">The SKUs </w:t>
      </w:r>
      <w:r w:rsidR="00B636F7">
        <w:rPr>
          <w:rFonts w:ascii="Arial" w:hAnsi="Arial" w:cs="Arial"/>
          <w:snapToGrid w:val="0"/>
        </w:rPr>
        <w:t>that do not have NIPs</w:t>
      </w:r>
      <w:r w:rsidR="00320381">
        <w:rPr>
          <w:rFonts w:ascii="Arial" w:hAnsi="Arial" w:cs="Arial"/>
          <w:snapToGrid w:val="0"/>
        </w:rPr>
        <w:t xml:space="preserve"> (around 92% of all SKUs)</w:t>
      </w:r>
      <w:r w:rsidR="00B636F7">
        <w:rPr>
          <w:rFonts w:ascii="Arial" w:hAnsi="Arial" w:cs="Arial"/>
          <w:snapToGrid w:val="0"/>
        </w:rPr>
        <w:t xml:space="preserve"> </w:t>
      </w:r>
      <w:r>
        <w:rPr>
          <w:rFonts w:ascii="Arial" w:hAnsi="Arial" w:cs="Arial"/>
          <w:snapToGrid w:val="0"/>
        </w:rPr>
        <w:t xml:space="preserve">would have the same estimated label change costs </w:t>
      </w:r>
      <w:r w:rsidR="009202CF">
        <w:rPr>
          <w:rFonts w:ascii="Arial" w:hAnsi="Arial" w:cs="Arial"/>
          <w:snapToGrid w:val="0"/>
        </w:rPr>
        <w:t xml:space="preserve">of incorporating an energy statement </w:t>
      </w:r>
      <w:r>
        <w:rPr>
          <w:rFonts w:ascii="Arial" w:hAnsi="Arial" w:cs="Arial"/>
          <w:snapToGrid w:val="0"/>
        </w:rPr>
        <w:t xml:space="preserve">as for </w:t>
      </w:r>
      <w:r w:rsidR="006917E1">
        <w:rPr>
          <w:rFonts w:ascii="Arial" w:hAnsi="Arial" w:cs="Arial"/>
          <w:snapToGrid w:val="0"/>
        </w:rPr>
        <w:t xml:space="preserve">option </w:t>
      </w:r>
      <w:r>
        <w:rPr>
          <w:rFonts w:ascii="Arial" w:hAnsi="Arial" w:cs="Arial"/>
          <w:snapToGrid w:val="0"/>
        </w:rPr>
        <w:t>2</w:t>
      </w:r>
      <w:r w:rsidR="006917E1">
        <w:rPr>
          <w:rFonts w:ascii="Arial" w:hAnsi="Arial" w:cs="Arial"/>
          <w:snapToGrid w:val="0"/>
        </w:rPr>
        <w:t xml:space="preserve"> (see </w:t>
      </w:r>
      <w:r w:rsidR="00B31B9D">
        <w:rPr>
          <w:rFonts w:ascii="Arial" w:hAnsi="Arial" w:cs="Arial"/>
          <w:snapToGrid w:val="0"/>
        </w:rPr>
        <w:t>table 5-</w:t>
      </w:r>
      <w:r w:rsidR="005C5D22">
        <w:rPr>
          <w:rFonts w:ascii="Arial" w:hAnsi="Arial" w:cs="Arial"/>
          <w:snapToGrid w:val="0"/>
        </w:rPr>
        <w:t>3</w:t>
      </w:r>
      <w:r w:rsidR="006917E1">
        <w:rPr>
          <w:rFonts w:ascii="Arial" w:hAnsi="Arial" w:cs="Arial"/>
          <w:snapToGrid w:val="0"/>
        </w:rPr>
        <w:t>)</w:t>
      </w:r>
      <w:r w:rsidRPr="004E63E3">
        <w:rPr>
          <w:rFonts w:ascii="Arial" w:hAnsi="Arial" w:cs="Arial"/>
          <w:snapToGrid w:val="0"/>
        </w:rPr>
        <w:t>.</w:t>
      </w:r>
      <w:r w:rsidR="00B636F7">
        <w:rPr>
          <w:rFonts w:ascii="Arial" w:hAnsi="Arial" w:cs="Arial"/>
          <w:snapToGrid w:val="0"/>
        </w:rPr>
        <w:t xml:space="preserve"> </w:t>
      </w:r>
      <w:r w:rsidR="00C260CC">
        <w:rPr>
          <w:rFonts w:ascii="Arial" w:eastAsia="Arial" w:hAnsi="Arial" w:cs="Arial"/>
        </w:rPr>
        <w:t xml:space="preserve">It is assumed that </w:t>
      </w:r>
      <w:r w:rsidR="00BD58FB">
        <w:rPr>
          <w:rFonts w:ascii="Arial" w:eastAsia="Arial" w:hAnsi="Arial" w:cs="Arial"/>
        </w:rPr>
        <w:t xml:space="preserve">including </w:t>
      </w:r>
      <w:r w:rsidR="00C151C3">
        <w:rPr>
          <w:rFonts w:ascii="Arial" w:eastAsia="Arial" w:hAnsi="Arial" w:cs="Arial"/>
        </w:rPr>
        <w:t xml:space="preserve">the number of standard drinks </w:t>
      </w:r>
      <w:r w:rsidR="009920E9">
        <w:rPr>
          <w:rFonts w:ascii="Arial" w:eastAsia="Arial" w:hAnsi="Arial" w:cs="Arial"/>
        </w:rPr>
        <w:t>equivalent to one</w:t>
      </w:r>
      <w:r w:rsidR="00C151C3">
        <w:rPr>
          <w:rFonts w:ascii="Arial" w:eastAsia="Arial" w:hAnsi="Arial" w:cs="Arial"/>
        </w:rPr>
        <w:t xml:space="preserve"> serving </w:t>
      </w:r>
      <w:r w:rsidR="00C260CC">
        <w:rPr>
          <w:rFonts w:ascii="Arial" w:hAnsi="Arial" w:cs="Arial"/>
          <w:snapToGrid w:val="0"/>
        </w:rPr>
        <w:t xml:space="preserve">to the energy statement </w:t>
      </w:r>
      <w:r w:rsidR="001C3D8F">
        <w:rPr>
          <w:rFonts w:ascii="Arial" w:hAnsi="Arial" w:cs="Arial"/>
          <w:snapToGrid w:val="0"/>
        </w:rPr>
        <w:t>would not add to</w:t>
      </w:r>
      <w:r w:rsidR="00C260CC">
        <w:rPr>
          <w:rFonts w:ascii="Arial" w:hAnsi="Arial" w:cs="Arial"/>
          <w:snapToGrid w:val="0"/>
        </w:rPr>
        <w:t xml:space="preserve"> the label space taken by </w:t>
      </w:r>
      <w:r w:rsidR="006917E1">
        <w:rPr>
          <w:rFonts w:ascii="Arial" w:hAnsi="Arial" w:cs="Arial"/>
          <w:snapToGrid w:val="0"/>
        </w:rPr>
        <w:t>the energy statement under o</w:t>
      </w:r>
      <w:r w:rsidR="00C260CC">
        <w:rPr>
          <w:rFonts w:ascii="Arial" w:hAnsi="Arial" w:cs="Arial"/>
          <w:snapToGrid w:val="0"/>
        </w:rPr>
        <w:t>ption 2</w:t>
      </w:r>
      <w:r w:rsidR="00320617">
        <w:rPr>
          <w:rFonts w:ascii="Arial" w:hAnsi="Arial" w:cs="Arial"/>
          <w:snapToGrid w:val="0"/>
        </w:rPr>
        <w:t xml:space="preserve"> so </w:t>
      </w:r>
      <w:r w:rsidR="00E74379">
        <w:rPr>
          <w:rFonts w:ascii="Arial" w:hAnsi="Arial" w:cs="Arial"/>
          <w:snapToGrid w:val="0"/>
        </w:rPr>
        <w:t xml:space="preserve">would not add any costs to </w:t>
      </w:r>
      <w:r w:rsidR="00303CF6">
        <w:rPr>
          <w:rFonts w:ascii="Arial" w:hAnsi="Arial" w:cs="Arial"/>
          <w:snapToGrid w:val="0"/>
        </w:rPr>
        <w:t>incorporating an</w:t>
      </w:r>
      <w:r w:rsidR="00E74379">
        <w:rPr>
          <w:rFonts w:ascii="Arial" w:hAnsi="Arial" w:cs="Arial"/>
          <w:snapToGrid w:val="0"/>
        </w:rPr>
        <w:t xml:space="preserve"> energy statement </w:t>
      </w:r>
      <w:r w:rsidR="00303CF6">
        <w:rPr>
          <w:rFonts w:ascii="Arial" w:hAnsi="Arial" w:cs="Arial"/>
          <w:snapToGrid w:val="0"/>
        </w:rPr>
        <w:t>in</w:t>
      </w:r>
      <w:r w:rsidR="00E74379">
        <w:rPr>
          <w:rFonts w:ascii="Arial" w:hAnsi="Arial" w:cs="Arial"/>
          <w:snapToGrid w:val="0"/>
        </w:rPr>
        <w:t xml:space="preserve"> a label</w:t>
      </w:r>
      <w:r w:rsidR="00320617">
        <w:rPr>
          <w:rFonts w:ascii="Arial" w:hAnsi="Arial" w:cs="Arial"/>
          <w:snapToGrid w:val="0"/>
        </w:rPr>
        <w:t xml:space="preserve">. </w:t>
      </w:r>
    </w:p>
    <w:p w14:paraId="337BBCBE" w14:textId="77777777" w:rsidR="009153AE" w:rsidRDefault="009153AE" w:rsidP="009153AE">
      <w:pPr>
        <w:pStyle w:val="ListParagraph"/>
        <w:ind w:left="0"/>
        <w:rPr>
          <w:rFonts w:ascii="Arial" w:eastAsia="Arial" w:hAnsi="Arial" w:cs="Arial"/>
        </w:rPr>
      </w:pPr>
    </w:p>
    <w:p w14:paraId="48EF341F" w14:textId="680D5578" w:rsidR="004C0EF9" w:rsidRPr="00BF0C95" w:rsidRDefault="0012392F" w:rsidP="0012392F">
      <w:pPr>
        <w:rPr>
          <w:rFonts w:ascii="Arial" w:hAnsi="Arial" w:cs="Arial"/>
          <w:snapToGrid w:val="0"/>
          <w:lang w:val="en-NZ"/>
        </w:rPr>
      </w:pPr>
      <w:r>
        <w:rPr>
          <w:rFonts w:ascii="Arial" w:eastAsia="Arial" w:hAnsi="Arial" w:cs="Arial"/>
        </w:rPr>
        <w:t>C</w:t>
      </w:r>
      <w:r w:rsidR="00222091">
        <w:rPr>
          <w:rFonts w:ascii="Arial" w:eastAsia="Arial" w:hAnsi="Arial" w:cs="Arial"/>
        </w:rPr>
        <w:t xml:space="preserve">ompared to the </w:t>
      </w:r>
      <w:r w:rsidR="00431196">
        <w:rPr>
          <w:rFonts w:ascii="Arial" w:eastAsia="Arial" w:hAnsi="Arial" w:cs="Arial"/>
        </w:rPr>
        <w:t>s</w:t>
      </w:r>
      <w:r w:rsidR="00222091">
        <w:rPr>
          <w:rFonts w:ascii="Arial" w:eastAsia="Arial" w:hAnsi="Arial" w:cs="Arial"/>
        </w:rPr>
        <w:t xml:space="preserve">tatus </w:t>
      </w:r>
      <w:r w:rsidR="00431196">
        <w:rPr>
          <w:rFonts w:ascii="Arial" w:eastAsia="Arial" w:hAnsi="Arial" w:cs="Arial"/>
        </w:rPr>
        <w:t>q</w:t>
      </w:r>
      <w:r w:rsidR="00222091">
        <w:rPr>
          <w:rFonts w:ascii="Arial" w:eastAsia="Arial" w:hAnsi="Arial" w:cs="Arial"/>
        </w:rPr>
        <w:t xml:space="preserve">uo, total </w:t>
      </w:r>
      <w:r w:rsidR="004E63E3">
        <w:rPr>
          <w:rFonts w:ascii="Arial" w:eastAsia="Arial" w:hAnsi="Arial" w:cs="Arial"/>
        </w:rPr>
        <w:t xml:space="preserve">one-off label change costs </w:t>
      </w:r>
      <w:r w:rsidR="00C320E5">
        <w:rPr>
          <w:rFonts w:ascii="Arial" w:eastAsia="Arial" w:hAnsi="Arial" w:cs="Arial"/>
        </w:rPr>
        <w:t>under</w:t>
      </w:r>
      <w:r w:rsidR="00DE1F3E">
        <w:rPr>
          <w:rFonts w:ascii="Arial" w:eastAsia="Arial" w:hAnsi="Arial" w:cs="Arial"/>
        </w:rPr>
        <w:t xml:space="preserve"> </w:t>
      </w:r>
      <w:r w:rsidR="006917E1">
        <w:rPr>
          <w:rFonts w:ascii="Arial" w:eastAsia="Arial" w:hAnsi="Arial" w:cs="Arial"/>
        </w:rPr>
        <w:t xml:space="preserve">option </w:t>
      </w:r>
      <w:r w:rsidR="00222091">
        <w:rPr>
          <w:rFonts w:ascii="Arial" w:eastAsia="Arial" w:hAnsi="Arial" w:cs="Arial"/>
        </w:rPr>
        <w:t xml:space="preserve">3 </w:t>
      </w:r>
      <w:r w:rsidR="004E63E3">
        <w:rPr>
          <w:rFonts w:ascii="Arial" w:eastAsia="Arial" w:hAnsi="Arial" w:cs="Arial"/>
        </w:rPr>
        <w:t>are estimated at between $</w:t>
      </w:r>
      <w:r w:rsidR="001538A4">
        <w:rPr>
          <w:rFonts w:ascii="Arial" w:eastAsia="Arial" w:hAnsi="Arial" w:cs="Arial"/>
        </w:rPr>
        <w:t>3</w:t>
      </w:r>
      <w:r w:rsidR="00051AAC">
        <w:rPr>
          <w:rFonts w:ascii="Arial" w:eastAsia="Arial" w:hAnsi="Arial" w:cs="Arial"/>
        </w:rPr>
        <w:t>3</w:t>
      </w:r>
      <w:r w:rsidR="00576373">
        <w:rPr>
          <w:rFonts w:ascii="Arial" w:eastAsia="Arial" w:hAnsi="Arial" w:cs="Arial"/>
        </w:rPr>
        <w:t>9</w:t>
      </w:r>
      <w:r w:rsidR="001538A4">
        <w:rPr>
          <w:rFonts w:ascii="Arial" w:eastAsia="Arial" w:hAnsi="Arial" w:cs="Arial"/>
        </w:rPr>
        <w:t xml:space="preserve"> </w:t>
      </w:r>
      <w:r w:rsidR="002B0F30">
        <w:rPr>
          <w:rFonts w:ascii="Arial" w:eastAsia="Arial" w:hAnsi="Arial" w:cs="Arial"/>
        </w:rPr>
        <w:t>m</w:t>
      </w:r>
      <w:r w:rsidR="004E63E3">
        <w:rPr>
          <w:rFonts w:ascii="Arial" w:eastAsia="Arial" w:hAnsi="Arial" w:cs="Arial"/>
        </w:rPr>
        <w:t xml:space="preserve"> and $</w:t>
      </w:r>
      <w:r w:rsidR="00576373">
        <w:rPr>
          <w:rFonts w:ascii="Arial" w:eastAsia="Arial" w:hAnsi="Arial" w:cs="Arial"/>
        </w:rPr>
        <w:t>444</w:t>
      </w:r>
      <w:r w:rsidR="001538A4">
        <w:rPr>
          <w:rFonts w:ascii="Arial" w:eastAsia="Arial" w:hAnsi="Arial" w:cs="Arial"/>
        </w:rPr>
        <w:t xml:space="preserve"> </w:t>
      </w:r>
      <w:r w:rsidR="004E63E3">
        <w:rPr>
          <w:rFonts w:ascii="Arial" w:eastAsia="Arial" w:hAnsi="Arial" w:cs="Arial"/>
        </w:rPr>
        <w:t>million</w:t>
      </w:r>
      <w:r w:rsidR="00222091">
        <w:rPr>
          <w:rFonts w:ascii="Arial" w:eastAsia="Arial" w:hAnsi="Arial" w:cs="Arial"/>
        </w:rPr>
        <w:t>. That is</w:t>
      </w:r>
      <w:r w:rsidR="004E63E3">
        <w:rPr>
          <w:rFonts w:ascii="Arial" w:eastAsia="Arial" w:hAnsi="Arial" w:cs="Arial"/>
        </w:rPr>
        <w:t xml:space="preserve"> </w:t>
      </w:r>
      <w:r w:rsidR="009153AE">
        <w:rPr>
          <w:rFonts w:ascii="Arial" w:eastAsia="Arial" w:hAnsi="Arial" w:cs="Arial"/>
        </w:rPr>
        <w:t>$</w:t>
      </w:r>
      <w:r w:rsidR="001538A4">
        <w:rPr>
          <w:rFonts w:ascii="Arial" w:eastAsia="Arial" w:hAnsi="Arial" w:cs="Arial"/>
        </w:rPr>
        <w:t>2</w:t>
      </w:r>
      <w:r w:rsidR="002B0F30">
        <w:rPr>
          <w:rFonts w:ascii="Arial" w:eastAsia="Arial" w:hAnsi="Arial" w:cs="Arial"/>
        </w:rPr>
        <w:t xml:space="preserve"> m</w:t>
      </w:r>
      <w:r w:rsidR="009153AE">
        <w:rPr>
          <w:rFonts w:ascii="Arial" w:eastAsia="Arial" w:hAnsi="Arial" w:cs="Arial"/>
        </w:rPr>
        <w:t xml:space="preserve"> to $</w:t>
      </w:r>
      <w:r w:rsidR="001538A4">
        <w:rPr>
          <w:rFonts w:ascii="Arial" w:eastAsia="Arial" w:hAnsi="Arial" w:cs="Arial"/>
        </w:rPr>
        <w:t>7</w:t>
      </w:r>
      <w:r w:rsidR="006720E5">
        <w:rPr>
          <w:rFonts w:ascii="Arial" w:eastAsia="Arial" w:hAnsi="Arial" w:cs="Arial"/>
        </w:rPr>
        <w:t xml:space="preserve"> </w:t>
      </w:r>
      <w:r w:rsidR="007231CD">
        <w:rPr>
          <w:rFonts w:ascii="Arial" w:eastAsia="Arial" w:hAnsi="Arial" w:cs="Arial"/>
        </w:rPr>
        <w:t>m</w:t>
      </w:r>
      <w:r w:rsidR="009153AE">
        <w:rPr>
          <w:rFonts w:ascii="Arial" w:eastAsia="Arial" w:hAnsi="Arial" w:cs="Arial"/>
        </w:rPr>
        <w:t xml:space="preserve">illion higher than </w:t>
      </w:r>
      <w:r w:rsidR="006917E1">
        <w:rPr>
          <w:rFonts w:ascii="Arial" w:eastAsia="Arial" w:hAnsi="Arial" w:cs="Arial"/>
        </w:rPr>
        <w:t xml:space="preserve">option </w:t>
      </w:r>
      <w:r w:rsidR="009153AE">
        <w:rPr>
          <w:rFonts w:ascii="Arial" w:eastAsia="Arial" w:hAnsi="Arial" w:cs="Arial"/>
        </w:rPr>
        <w:t>2</w:t>
      </w:r>
      <w:r w:rsidR="00D66D01">
        <w:rPr>
          <w:rFonts w:ascii="Arial" w:eastAsia="Arial" w:hAnsi="Arial" w:cs="Arial"/>
        </w:rPr>
        <w:t xml:space="preserve"> (when rounded to the nearest million dollars)</w:t>
      </w:r>
      <w:r w:rsidR="004E63E3">
        <w:rPr>
          <w:rFonts w:ascii="Arial" w:eastAsia="Arial" w:hAnsi="Arial" w:cs="Arial"/>
        </w:rPr>
        <w:t>.</w:t>
      </w:r>
      <w:r>
        <w:rPr>
          <w:rFonts w:ascii="Arial" w:eastAsia="Arial" w:hAnsi="Arial" w:cs="Arial"/>
        </w:rPr>
        <w:t xml:space="preserve"> </w:t>
      </w:r>
      <w:bookmarkStart w:id="40" w:name="_Hlk187226547"/>
      <w:r>
        <w:rPr>
          <w:rFonts w:ascii="Arial" w:eastAsia="Arial" w:hAnsi="Arial" w:cs="Arial"/>
        </w:rPr>
        <w:t xml:space="preserve">This incremental cost increase </w:t>
      </w:r>
      <w:r w:rsidR="00F36B32">
        <w:rPr>
          <w:rFonts w:ascii="Arial" w:eastAsia="Arial" w:hAnsi="Arial" w:cs="Arial"/>
        </w:rPr>
        <w:t xml:space="preserve">makes little </w:t>
      </w:r>
      <w:r w:rsidR="00806826">
        <w:rPr>
          <w:rFonts w:ascii="Arial" w:eastAsia="Arial" w:hAnsi="Arial" w:cs="Arial"/>
        </w:rPr>
        <w:t>difference to</w:t>
      </w:r>
      <w:r>
        <w:rPr>
          <w:rFonts w:ascii="Arial" w:eastAsia="Arial" w:hAnsi="Arial" w:cs="Arial"/>
        </w:rPr>
        <w:t xml:space="preserve"> the percentage of overweight and obesity costs needed to offset the labelling change costs</w:t>
      </w:r>
      <w:r w:rsidR="00B95DF1">
        <w:rPr>
          <w:rFonts w:ascii="Arial" w:eastAsia="Arial" w:hAnsi="Arial" w:cs="Arial"/>
        </w:rPr>
        <w:t xml:space="preserve"> (</w:t>
      </w:r>
      <w:r w:rsidRPr="006338C4">
        <w:rPr>
          <w:rFonts w:ascii="Arial" w:hAnsi="Arial" w:cs="Arial"/>
          <w:snapToGrid w:val="0"/>
          <w:lang w:val="en-NZ"/>
        </w:rPr>
        <w:t>0.1</w:t>
      </w:r>
      <w:r w:rsidR="00F36B32">
        <w:rPr>
          <w:rFonts w:ascii="Arial" w:hAnsi="Arial" w:cs="Arial"/>
          <w:snapToGrid w:val="0"/>
          <w:lang w:val="en-NZ"/>
        </w:rPr>
        <w:t>3</w:t>
      </w:r>
      <w:r w:rsidRPr="006338C4">
        <w:rPr>
          <w:rFonts w:ascii="Arial" w:hAnsi="Arial" w:cs="Arial"/>
          <w:snapToGrid w:val="0"/>
          <w:lang w:val="en-NZ"/>
        </w:rPr>
        <w:t>%</w:t>
      </w:r>
      <w:r>
        <w:rPr>
          <w:rFonts w:ascii="Arial" w:hAnsi="Arial" w:cs="Arial"/>
          <w:snapToGrid w:val="0"/>
          <w:lang w:val="en-NZ"/>
        </w:rPr>
        <w:t xml:space="preserve"> to 0.18% to two decimal places</w:t>
      </w:r>
      <w:r w:rsidR="00B95DF1">
        <w:rPr>
          <w:rFonts w:ascii="Arial" w:hAnsi="Arial" w:cs="Arial"/>
          <w:snapToGrid w:val="0"/>
          <w:lang w:val="en-NZ"/>
        </w:rPr>
        <w:t xml:space="preserve"> for Option 3 compared to 0.13% to 0.17% for Option 2</w:t>
      </w:r>
      <w:r w:rsidR="006917E1">
        <w:rPr>
          <w:rFonts w:ascii="Arial" w:hAnsi="Arial" w:cs="Arial"/>
          <w:snapToGrid w:val="0"/>
          <w:lang w:val="en-NZ"/>
        </w:rPr>
        <w:t>)</w:t>
      </w:r>
      <w:r>
        <w:rPr>
          <w:rFonts w:ascii="Arial" w:hAnsi="Arial" w:cs="Arial"/>
          <w:snapToGrid w:val="0"/>
          <w:lang w:val="en-NZ"/>
        </w:rPr>
        <w:t>.</w:t>
      </w:r>
      <w:r w:rsidR="002A0DF9">
        <w:rPr>
          <w:rFonts w:ascii="Arial" w:hAnsi="Arial" w:cs="Arial"/>
          <w:snapToGrid w:val="0"/>
          <w:lang w:val="en-NZ"/>
        </w:rPr>
        <w:t xml:space="preserve"> </w:t>
      </w:r>
      <w:bookmarkEnd w:id="40"/>
      <w:r w:rsidR="002A0DF9">
        <w:rPr>
          <w:rFonts w:ascii="Arial" w:hAnsi="Arial" w:cs="Arial"/>
          <w:snapToGrid w:val="0"/>
          <w:lang w:val="en-NZ"/>
        </w:rPr>
        <w:t xml:space="preserve">As for option 2, </w:t>
      </w:r>
      <w:r w:rsidR="00B02540">
        <w:rPr>
          <w:rFonts w:ascii="Arial" w:hAnsi="Arial" w:cs="Arial"/>
          <w:snapToGrid w:val="0"/>
          <w:lang w:val="en-NZ"/>
        </w:rPr>
        <w:t xml:space="preserve">net benefits are suggested for </w:t>
      </w:r>
      <w:r w:rsidR="006917E1">
        <w:rPr>
          <w:rFonts w:ascii="Arial" w:hAnsi="Arial" w:cs="Arial"/>
          <w:snapToGrid w:val="0"/>
          <w:lang w:val="en-NZ"/>
        </w:rPr>
        <w:t>o</w:t>
      </w:r>
      <w:r w:rsidR="00B02540">
        <w:rPr>
          <w:rFonts w:ascii="Arial" w:hAnsi="Arial" w:cs="Arial"/>
          <w:snapToGrid w:val="0"/>
          <w:lang w:val="en-NZ"/>
        </w:rPr>
        <w:t>ption 3</w:t>
      </w:r>
      <w:r w:rsidR="00887C9B">
        <w:rPr>
          <w:rFonts w:ascii="Arial" w:hAnsi="Arial" w:cs="Arial"/>
          <w:snapToGrid w:val="0"/>
          <w:lang w:val="en-NZ"/>
        </w:rPr>
        <w:t xml:space="preserve">. </w:t>
      </w:r>
      <w:r w:rsidR="00A859A9">
        <w:rPr>
          <w:rFonts w:ascii="Arial" w:hAnsi="Arial" w:cs="Arial"/>
          <w:snapToGrid w:val="0"/>
          <w:lang w:val="en-NZ"/>
        </w:rPr>
        <w:t xml:space="preserve">Achieving a reduction of this size is seen as plausible for the same reasons </w:t>
      </w:r>
      <w:r w:rsidR="003879A9">
        <w:rPr>
          <w:rFonts w:ascii="Arial" w:hAnsi="Arial" w:cs="Arial"/>
          <w:snapToGrid w:val="0"/>
          <w:lang w:val="en-NZ"/>
        </w:rPr>
        <w:t xml:space="preserve">as </w:t>
      </w:r>
      <w:r w:rsidR="00A859A9">
        <w:rPr>
          <w:rFonts w:ascii="Arial" w:hAnsi="Arial" w:cs="Arial"/>
          <w:snapToGrid w:val="0"/>
          <w:lang w:val="en-NZ"/>
        </w:rPr>
        <w:t xml:space="preserve">detailed for option </w:t>
      </w:r>
      <w:r w:rsidR="003879A9">
        <w:rPr>
          <w:rFonts w:ascii="Arial" w:hAnsi="Arial" w:cs="Arial"/>
          <w:snapToGrid w:val="0"/>
          <w:lang w:val="en-NZ"/>
        </w:rPr>
        <w:t>2.</w:t>
      </w:r>
    </w:p>
    <w:p w14:paraId="2D048FE1" w14:textId="7904DEEA" w:rsidR="009153AE" w:rsidRPr="000828D1" w:rsidRDefault="009153AE" w:rsidP="000828D1">
      <w:pPr>
        <w:rPr>
          <w:rFonts w:ascii="Arial" w:hAnsi="Arial" w:cs="Arial"/>
          <w:b/>
          <w:bCs/>
          <w:i/>
          <w:iCs/>
          <w:snapToGrid w:val="0"/>
          <w:lang w:val="en-AU"/>
        </w:rPr>
      </w:pPr>
      <w:r w:rsidRPr="000828D1">
        <w:rPr>
          <w:rFonts w:ascii="Arial" w:hAnsi="Arial" w:cs="Arial"/>
          <w:b/>
          <w:bCs/>
          <w:i/>
          <w:iCs/>
          <w:snapToGrid w:val="0"/>
          <w:lang w:val="en-AU"/>
        </w:rPr>
        <w:t>Conclusion for net benefits of Option 3</w:t>
      </w:r>
    </w:p>
    <w:p w14:paraId="23106FD3" w14:textId="77777777" w:rsidR="009153AE" w:rsidRPr="00F13044" w:rsidRDefault="009153AE" w:rsidP="009153AE">
      <w:pPr>
        <w:rPr>
          <w:rFonts w:ascii="Arial" w:hAnsi="Arial" w:cs="Arial"/>
          <w:b/>
          <w:bCs/>
          <w:snapToGrid w:val="0"/>
          <w:lang w:val="en-AU"/>
        </w:rPr>
      </w:pPr>
      <w:r w:rsidRPr="00F13044">
        <w:rPr>
          <w:rFonts w:ascii="Arial" w:hAnsi="Arial" w:cs="Arial"/>
          <w:b/>
          <w:bCs/>
          <w:snapToGrid w:val="0"/>
          <w:lang w:val="en-AU"/>
        </w:rPr>
        <w:t>Benefits outweigh costs</w:t>
      </w:r>
    </w:p>
    <w:p w14:paraId="489EB743" w14:textId="697513DD" w:rsidR="009153AE" w:rsidRDefault="009153AE" w:rsidP="009153AE">
      <w:pPr>
        <w:rPr>
          <w:rFonts w:ascii="Arial" w:hAnsi="Arial" w:cs="Arial"/>
          <w:snapToGrid w:val="0"/>
          <w:lang w:val="en-AU"/>
        </w:rPr>
      </w:pPr>
      <w:r w:rsidRPr="00F13044">
        <w:rPr>
          <w:rFonts w:ascii="Arial" w:hAnsi="Arial" w:cs="Arial"/>
          <w:snapToGrid w:val="0"/>
          <w:lang w:val="en-AU"/>
        </w:rPr>
        <w:t xml:space="preserve">FSANZ’s view </w:t>
      </w:r>
      <w:r>
        <w:rPr>
          <w:rFonts w:ascii="Arial" w:hAnsi="Arial" w:cs="Arial"/>
          <w:snapToGrid w:val="0"/>
          <w:lang w:val="en-AU"/>
        </w:rPr>
        <w:t xml:space="preserve">is </w:t>
      </w:r>
      <w:r w:rsidRPr="00F13044">
        <w:rPr>
          <w:rFonts w:ascii="Arial" w:hAnsi="Arial" w:cs="Arial"/>
          <w:snapToGrid w:val="0"/>
          <w:lang w:val="en-AU"/>
        </w:rPr>
        <w:t xml:space="preserve">that the costs </w:t>
      </w:r>
      <w:r>
        <w:rPr>
          <w:rFonts w:ascii="Arial" w:hAnsi="Arial" w:cs="Arial"/>
          <w:snapToGrid w:val="0"/>
          <w:lang w:val="en-AU"/>
        </w:rPr>
        <w:t>of</w:t>
      </w:r>
      <w:r w:rsidRPr="00F13044">
        <w:rPr>
          <w:rFonts w:ascii="Arial" w:hAnsi="Arial" w:cs="Arial"/>
          <w:snapToGrid w:val="0"/>
          <w:lang w:val="en-AU"/>
        </w:rPr>
        <w:t xml:space="preserve"> </w:t>
      </w:r>
      <w:r w:rsidR="006917E1">
        <w:rPr>
          <w:rFonts w:ascii="Arial" w:hAnsi="Arial" w:cs="Arial"/>
          <w:snapToGrid w:val="0"/>
          <w:lang w:val="en-AU"/>
        </w:rPr>
        <w:t xml:space="preserve">option </w:t>
      </w:r>
      <w:r>
        <w:rPr>
          <w:rFonts w:ascii="Arial" w:hAnsi="Arial" w:cs="Arial"/>
          <w:snapToGrid w:val="0"/>
          <w:lang w:val="en-AU"/>
        </w:rPr>
        <w:t>3</w:t>
      </w:r>
      <w:r w:rsidRPr="00F13044">
        <w:rPr>
          <w:rFonts w:ascii="Arial" w:hAnsi="Arial" w:cs="Arial"/>
          <w:snapToGrid w:val="0"/>
          <w:lang w:val="en-AU"/>
        </w:rPr>
        <w:t xml:space="preserve"> would </w:t>
      </w:r>
      <w:r w:rsidR="000C33AC">
        <w:rPr>
          <w:rFonts w:ascii="Arial" w:hAnsi="Arial" w:cs="Arial"/>
          <w:snapToGrid w:val="0"/>
          <w:lang w:val="en-AU"/>
        </w:rPr>
        <w:t xml:space="preserve">most likely </w:t>
      </w:r>
      <w:r w:rsidRPr="00F13044">
        <w:rPr>
          <w:rFonts w:ascii="Arial" w:hAnsi="Arial" w:cs="Arial"/>
          <w:snapToGrid w:val="0"/>
          <w:lang w:val="en-AU"/>
        </w:rPr>
        <w:t xml:space="preserve">not outweigh the direct and indirect benefits </w:t>
      </w:r>
      <w:r>
        <w:rPr>
          <w:rFonts w:ascii="Arial" w:hAnsi="Arial" w:cs="Arial"/>
          <w:snapToGrid w:val="0"/>
          <w:lang w:val="en-AU"/>
        </w:rPr>
        <w:t xml:space="preserve">of </w:t>
      </w:r>
      <w:r w:rsidR="006917E1">
        <w:rPr>
          <w:rFonts w:ascii="Arial" w:hAnsi="Arial" w:cs="Arial"/>
          <w:snapToGrid w:val="0"/>
          <w:lang w:val="en-AU"/>
        </w:rPr>
        <w:t xml:space="preserve">option </w:t>
      </w:r>
      <w:r>
        <w:rPr>
          <w:rFonts w:ascii="Arial" w:hAnsi="Arial" w:cs="Arial"/>
          <w:snapToGrid w:val="0"/>
          <w:lang w:val="en-AU"/>
        </w:rPr>
        <w:t xml:space="preserve">3 compared to the </w:t>
      </w:r>
      <w:r w:rsidR="009A3D47">
        <w:rPr>
          <w:rFonts w:ascii="Arial" w:hAnsi="Arial" w:cs="Arial"/>
          <w:snapToGrid w:val="0"/>
          <w:lang w:val="en-AU"/>
        </w:rPr>
        <w:t>s</w:t>
      </w:r>
      <w:r>
        <w:rPr>
          <w:rFonts w:ascii="Arial" w:hAnsi="Arial" w:cs="Arial"/>
          <w:snapToGrid w:val="0"/>
          <w:lang w:val="en-AU"/>
        </w:rPr>
        <w:t xml:space="preserve">tatus </w:t>
      </w:r>
      <w:r w:rsidR="009A3D47">
        <w:rPr>
          <w:rFonts w:ascii="Arial" w:hAnsi="Arial" w:cs="Arial"/>
          <w:snapToGrid w:val="0"/>
          <w:lang w:val="en-AU"/>
        </w:rPr>
        <w:t>q</w:t>
      </w:r>
      <w:r>
        <w:rPr>
          <w:rFonts w:ascii="Arial" w:hAnsi="Arial" w:cs="Arial"/>
          <w:snapToGrid w:val="0"/>
          <w:lang w:val="en-AU"/>
        </w:rPr>
        <w:t>uo</w:t>
      </w:r>
      <w:r w:rsidRPr="00F13044">
        <w:rPr>
          <w:rFonts w:ascii="Arial" w:hAnsi="Arial" w:cs="Arial"/>
          <w:snapToGrid w:val="0"/>
          <w:lang w:val="en-AU"/>
        </w:rPr>
        <w:t>.</w:t>
      </w:r>
    </w:p>
    <w:p w14:paraId="2F461AC6" w14:textId="5193488A" w:rsidR="00A402E6" w:rsidRPr="003377FC" w:rsidRDefault="009153AE" w:rsidP="6A15B411">
      <w:pPr>
        <w:spacing w:after="240"/>
        <w:rPr>
          <w:rFonts w:ascii="Arial" w:hAnsi="Arial" w:cs="Arial"/>
          <w:b/>
          <w:bCs/>
          <w:snapToGrid w:val="0"/>
        </w:rPr>
      </w:pPr>
      <w:r w:rsidRPr="6A15B411">
        <w:rPr>
          <w:rFonts w:ascii="Arial" w:hAnsi="Arial" w:cs="Arial"/>
          <w:snapToGrid w:val="0"/>
        </w:rPr>
        <w:t xml:space="preserve">FSANZ’s assessment </w:t>
      </w:r>
      <w:r w:rsidR="004D0906" w:rsidRPr="6A15B411">
        <w:rPr>
          <w:rFonts w:ascii="Arial" w:hAnsi="Arial" w:cs="Arial"/>
          <w:snapToGrid w:val="0"/>
        </w:rPr>
        <w:t xml:space="preserve">is </w:t>
      </w:r>
      <w:r w:rsidR="00886ABA" w:rsidRPr="6A15B411">
        <w:rPr>
          <w:rFonts w:ascii="Arial" w:hAnsi="Arial" w:cs="Arial"/>
          <w:snapToGrid w:val="0"/>
        </w:rPr>
        <w:t>that</w:t>
      </w:r>
      <w:r w:rsidRPr="6A15B411">
        <w:rPr>
          <w:rFonts w:ascii="Arial" w:hAnsi="Arial" w:cs="Arial"/>
          <w:snapToGrid w:val="0"/>
        </w:rPr>
        <w:t xml:space="preserve"> net benefits </w:t>
      </w:r>
      <w:r w:rsidR="00886ABA" w:rsidRPr="6A15B411">
        <w:rPr>
          <w:rFonts w:ascii="Arial" w:hAnsi="Arial" w:cs="Arial"/>
          <w:snapToGrid w:val="0"/>
        </w:rPr>
        <w:t xml:space="preserve">of </w:t>
      </w:r>
      <w:r w:rsidR="006917E1" w:rsidRPr="6A15B411">
        <w:rPr>
          <w:rFonts w:ascii="Arial" w:hAnsi="Arial" w:cs="Arial"/>
          <w:snapToGrid w:val="0"/>
        </w:rPr>
        <w:t xml:space="preserve">option </w:t>
      </w:r>
      <w:r w:rsidR="009A6DEF" w:rsidRPr="6A15B411">
        <w:rPr>
          <w:rFonts w:ascii="Arial" w:hAnsi="Arial" w:cs="Arial"/>
          <w:snapToGrid w:val="0"/>
        </w:rPr>
        <w:t>3</w:t>
      </w:r>
      <w:r w:rsidR="00886ABA" w:rsidRPr="6A15B411">
        <w:rPr>
          <w:rFonts w:ascii="Arial" w:hAnsi="Arial" w:cs="Arial"/>
          <w:snapToGrid w:val="0"/>
        </w:rPr>
        <w:t xml:space="preserve"> </w:t>
      </w:r>
      <w:r w:rsidR="009B5357" w:rsidRPr="6A15B411">
        <w:rPr>
          <w:rFonts w:ascii="Arial" w:hAnsi="Arial" w:cs="Arial"/>
          <w:snapToGrid w:val="0"/>
        </w:rPr>
        <w:t xml:space="preserve">are greater than for </w:t>
      </w:r>
      <w:r w:rsidR="006917E1" w:rsidRPr="6A15B411">
        <w:rPr>
          <w:rFonts w:ascii="Arial" w:hAnsi="Arial" w:cs="Arial"/>
          <w:snapToGrid w:val="0"/>
        </w:rPr>
        <w:t xml:space="preserve">option </w:t>
      </w:r>
      <w:r w:rsidR="009B5357" w:rsidRPr="6A15B411">
        <w:rPr>
          <w:rFonts w:ascii="Arial" w:hAnsi="Arial" w:cs="Arial"/>
          <w:snapToGrid w:val="0"/>
        </w:rPr>
        <w:t>2</w:t>
      </w:r>
      <w:r w:rsidR="00886ABA" w:rsidRPr="6A15B411">
        <w:rPr>
          <w:rFonts w:ascii="Arial" w:hAnsi="Arial" w:cs="Arial"/>
          <w:snapToGrid w:val="0"/>
        </w:rPr>
        <w:t>. Th</w:t>
      </w:r>
      <w:r w:rsidR="009B5357" w:rsidRPr="6A15B411">
        <w:rPr>
          <w:rFonts w:ascii="Arial" w:hAnsi="Arial" w:cs="Arial"/>
          <w:snapToGrid w:val="0"/>
        </w:rPr>
        <w:t>e</w:t>
      </w:r>
      <w:r w:rsidR="00886ABA" w:rsidRPr="6A15B411">
        <w:rPr>
          <w:rFonts w:ascii="Arial" w:hAnsi="Arial" w:cs="Arial"/>
          <w:snapToGrid w:val="0"/>
        </w:rPr>
        <w:t xml:space="preserve"> additional net benefit</w:t>
      </w:r>
      <w:r w:rsidR="009B5357" w:rsidRPr="6A15B411">
        <w:rPr>
          <w:rFonts w:ascii="Arial" w:hAnsi="Arial" w:cs="Arial"/>
          <w:snapToGrid w:val="0"/>
        </w:rPr>
        <w:t xml:space="preserve"> of </w:t>
      </w:r>
      <w:r w:rsidR="006917E1" w:rsidRPr="6A15B411">
        <w:rPr>
          <w:rFonts w:ascii="Arial" w:hAnsi="Arial" w:cs="Arial"/>
          <w:snapToGrid w:val="0"/>
        </w:rPr>
        <w:t xml:space="preserve">option </w:t>
      </w:r>
      <w:r w:rsidR="009B5357" w:rsidRPr="6A15B411">
        <w:rPr>
          <w:rFonts w:ascii="Arial" w:hAnsi="Arial" w:cs="Arial"/>
          <w:snapToGrid w:val="0"/>
        </w:rPr>
        <w:t xml:space="preserve">3 </w:t>
      </w:r>
      <w:r w:rsidR="00886ABA" w:rsidRPr="6A15B411">
        <w:rPr>
          <w:rFonts w:ascii="Arial" w:hAnsi="Arial" w:cs="Arial"/>
          <w:snapToGrid w:val="0"/>
        </w:rPr>
        <w:t xml:space="preserve">is </w:t>
      </w:r>
      <w:r w:rsidR="00DA0CB2" w:rsidRPr="6A15B411">
        <w:rPr>
          <w:rFonts w:ascii="Arial" w:hAnsi="Arial" w:cs="Arial"/>
          <w:snapToGrid w:val="0"/>
        </w:rPr>
        <w:t>derived from a significant</w:t>
      </w:r>
      <w:r w:rsidR="000256A3" w:rsidRPr="6A15B411">
        <w:rPr>
          <w:rFonts w:ascii="Arial" w:hAnsi="Arial" w:cs="Arial"/>
          <w:snapToGrid w:val="0"/>
        </w:rPr>
        <w:t xml:space="preserve"> </w:t>
      </w:r>
      <w:r w:rsidR="00B55F8B" w:rsidRPr="6A15B411">
        <w:rPr>
          <w:rFonts w:ascii="Arial" w:hAnsi="Arial" w:cs="Arial"/>
          <w:snapToGrid w:val="0"/>
        </w:rPr>
        <w:t>improv</w:t>
      </w:r>
      <w:r w:rsidR="000256A3" w:rsidRPr="6A15B411">
        <w:rPr>
          <w:rFonts w:ascii="Arial" w:hAnsi="Arial" w:cs="Arial"/>
          <w:snapToGrid w:val="0"/>
        </w:rPr>
        <w:t>ement in</w:t>
      </w:r>
      <w:r w:rsidR="00B55F8B" w:rsidRPr="6A15B411">
        <w:rPr>
          <w:rFonts w:ascii="Arial" w:hAnsi="Arial" w:cs="Arial"/>
          <w:snapToGrid w:val="0"/>
        </w:rPr>
        <w:t xml:space="preserve"> consumer</w:t>
      </w:r>
      <w:r w:rsidR="00DA0CB2" w:rsidRPr="6A15B411">
        <w:rPr>
          <w:rFonts w:ascii="Arial" w:hAnsi="Arial" w:cs="Arial"/>
          <w:snapToGrid w:val="0"/>
        </w:rPr>
        <w:t>s’</w:t>
      </w:r>
      <w:r w:rsidR="00B55F8B" w:rsidRPr="6A15B411">
        <w:rPr>
          <w:rFonts w:ascii="Arial" w:hAnsi="Arial" w:cs="Arial"/>
          <w:snapToGrid w:val="0"/>
        </w:rPr>
        <w:t xml:space="preserve"> understanding of how </w:t>
      </w:r>
      <w:r w:rsidR="00E44AE0" w:rsidRPr="6A15B411">
        <w:rPr>
          <w:rFonts w:ascii="Arial" w:hAnsi="Arial" w:cs="Arial"/>
          <w:snapToGrid w:val="0"/>
        </w:rPr>
        <w:t xml:space="preserve">a serving of </w:t>
      </w:r>
      <w:r w:rsidR="00C30C00" w:rsidRPr="6A15B411">
        <w:rPr>
          <w:rFonts w:ascii="Arial" w:hAnsi="Arial" w:cs="Arial"/>
          <w:snapToGrid w:val="0"/>
        </w:rPr>
        <w:t xml:space="preserve">an </w:t>
      </w:r>
      <w:r w:rsidR="00E44AE0" w:rsidRPr="6A15B411">
        <w:rPr>
          <w:rFonts w:ascii="Arial" w:hAnsi="Arial" w:cs="Arial"/>
          <w:snapToGrid w:val="0"/>
        </w:rPr>
        <w:t>alcohol</w:t>
      </w:r>
      <w:r w:rsidR="00C30C00" w:rsidRPr="6A15B411">
        <w:rPr>
          <w:rFonts w:ascii="Arial" w:hAnsi="Arial" w:cs="Arial"/>
          <w:snapToGrid w:val="0"/>
        </w:rPr>
        <w:t>ic beverage</w:t>
      </w:r>
      <w:r w:rsidR="00E44AE0" w:rsidRPr="6A15B411">
        <w:rPr>
          <w:rFonts w:ascii="Arial" w:hAnsi="Arial" w:cs="Arial"/>
          <w:snapToGrid w:val="0"/>
        </w:rPr>
        <w:t xml:space="preserve"> relates to a standard drink</w:t>
      </w:r>
      <w:r w:rsidR="008F0E5C" w:rsidRPr="6A15B411">
        <w:rPr>
          <w:rFonts w:ascii="Arial" w:hAnsi="Arial" w:cs="Arial"/>
          <w:snapToGrid w:val="0"/>
        </w:rPr>
        <w:t xml:space="preserve"> (FSANZ 2023</w:t>
      </w:r>
      <w:r w:rsidR="00D13511" w:rsidRPr="6A15B411">
        <w:rPr>
          <w:rFonts w:ascii="Arial" w:hAnsi="Arial" w:cs="Arial"/>
          <w:snapToGrid w:val="0"/>
        </w:rPr>
        <w:t>a</w:t>
      </w:r>
      <w:r w:rsidR="008F0E5C" w:rsidRPr="6A15B411">
        <w:rPr>
          <w:rFonts w:ascii="Arial" w:hAnsi="Arial" w:cs="Arial"/>
          <w:snapToGrid w:val="0"/>
        </w:rPr>
        <w:t>)</w:t>
      </w:r>
      <w:r w:rsidR="000256A3" w:rsidRPr="6A15B411">
        <w:rPr>
          <w:rFonts w:ascii="Arial" w:hAnsi="Arial" w:cs="Arial"/>
          <w:snapToGrid w:val="0"/>
        </w:rPr>
        <w:t>.</w:t>
      </w:r>
      <w:r w:rsidR="00707D1C" w:rsidRPr="6A15B411">
        <w:rPr>
          <w:rFonts w:ascii="Arial" w:hAnsi="Arial" w:cs="Arial"/>
          <w:snapToGrid w:val="0"/>
        </w:rPr>
        <w:t xml:space="preserve"> </w:t>
      </w:r>
      <w:r w:rsidR="00DE228C" w:rsidRPr="6A15B411">
        <w:rPr>
          <w:rFonts w:ascii="Arial" w:hAnsi="Arial" w:cs="Arial"/>
          <w:snapToGrid w:val="0"/>
        </w:rPr>
        <w:t xml:space="preserve">This </w:t>
      </w:r>
      <w:r w:rsidRPr="6A15B411">
        <w:rPr>
          <w:rFonts w:ascii="Arial" w:hAnsi="Arial" w:cs="Arial"/>
          <w:snapToGrid w:val="0"/>
        </w:rPr>
        <w:lastRenderedPageBreak/>
        <w:t>enable</w:t>
      </w:r>
      <w:r w:rsidR="00DE228C" w:rsidRPr="6A15B411">
        <w:rPr>
          <w:rFonts w:ascii="Arial" w:hAnsi="Arial" w:cs="Arial"/>
          <w:snapToGrid w:val="0"/>
        </w:rPr>
        <w:t>s</w:t>
      </w:r>
      <w:r w:rsidRPr="6A15B411">
        <w:rPr>
          <w:rFonts w:ascii="Arial" w:hAnsi="Arial" w:cs="Arial"/>
          <w:snapToGrid w:val="0"/>
        </w:rPr>
        <w:t xml:space="preserve"> consumers to make </w:t>
      </w:r>
      <w:r w:rsidR="000454A4" w:rsidRPr="6A15B411">
        <w:rPr>
          <w:rFonts w:ascii="Arial" w:hAnsi="Arial" w:cs="Arial"/>
          <w:snapToGrid w:val="0"/>
        </w:rPr>
        <w:t>better</w:t>
      </w:r>
      <w:r w:rsidRPr="6A15B411">
        <w:rPr>
          <w:rFonts w:ascii="Arial" w:hAnsi="Arial" w:cs="Arial"/>
          <w:snapToGrid w:val="0"/>
        </w:rPr>
        <w:t xml:space="preserve"> informed choice</w:t>
      </w:r>
      <w:r w:rsidR="007017A0" w:rsidRPr="6A15B411">
        <w:rPr>
          <w:rFonts w:ascii="Arial" w:hAnsi="Arial" w:cs="Arial"/>
          <w:snapToGrid w:val="0"/>
        </w:rPr>
        <w:t>s</w:t>
      </w:r>
      <w:r w:rsidR="0012392F" w:rsidRPr="6A15B411">
        <w:rPr>
          <w:rFonts w:ascii="Arial" w:hAnsi="Arial" w:cs="Arial"/>
          <w:snapToGrid w:val="0"/>
        </w:rPr>
        <w:t xml:space="preserve"> </w:t>
      </w:r>
      <w:r w:rsidR="00555635" w:rsidRPr="6A15B411">
        <w:rPr>
          <w:rFonts w:ascii="Arial" w:hAnsi="Arial" w:cs="Arial"/>
          <w:snapToGrid w:val="0"/>
        </w:rPr>
        <w:t>about their alcohol consumption</w:t>
      </w:r>
      <w:r w:rsidR="00DE228C" w:rsidRPr="6A15B411">
        <w:rPr>
          <w:rFonts w:ascii="Arial" w:hAnsi="Arial" w:cs="Arial"/>
          <w:snapToGrid w:val="0"/>
        </w:rPr>
        <w:t>,</w:t>
      </w:r>
      <w:r w:rsidR="0012392F" w:rsidRPr="6A15B411">
        <w:rPr>
          <w:rFonts w:ascii="Arial" w:hAnsi="Arial" w:cs="Arial"/>
          <w:snapToGrid w:val="0"/>
        </w:rPr>
        <w:t xml:space="preserve"> </w:t>
      </w:r>
      <w:r w:rsidR="00DE228C" w:rsidRPr="6A15B411">
        <w:rPr>
          <w:rFonts w:ascii="Arial" w:hAnsi="Arial" w:cs="Arial"/>
          <w:snapToGrid w:val="0"/>
        </w:rPr>
        <w:t>with</w:t>
      </w:r>
      <w:r w:rsidR="0012392F" w:rsidRPr="6A15B411">
        <w:rPr>
          <w:rFonts w:ascii="Arial" w:hAnsi="Arial" w:cs="Arial"/>
          <w:snapToGrid w:val="0"/>
        </w:rPr>
        <w:t xml:space="preserve"> </w:t>
      </w:r>
      <w:r w:rsidR="001E4C54" w:rsidRPr="6A15B411">
        <w:rPr>
          <w:rFonts w:ascii="Arial" w:hAnsi="Arial" w:cs="Arial"/>
          <w:snapToGrid w:val="0"/>
        </w:rPr>
        <w:t>little</w:t>
      </w:r>
      <w:r w:rsidR="0012392F" w:rsidRPr="6A15B411">
        <w:rPr>
          <w:rFonts w:ascii="Arial" w:hAnsi="Arial" w:cs="Arial"/>
          <w:snapToGrid w:val="0"/>
        </w:rPr>
        <w:t xml:space="preserve"> change to the</w:t>
      </w:r>
      <w:r w:rsidR="0012392F" w:rsidRPr="6A15B411">
        <w:rPr>
          <w:rFonts w:ascii="Arial" w:eastAsia="Arial" w:hAnsi="Arial" w:cs="Arial"/>
        </w:rPr>
        <w:t xml:space="preserve"> </w:t>
      </w:r>
      <w:r w:rsidR="00707D1C" w:rsidRPr="6A15B411">
        <w:rPr>
          <w:rFonts w:ascii="Arial" w:eastAsia="Arial" w:hAnsi="Arial" w:cs="Arial"/>
        </w:rPr>
        <w:t xml:space="preserve">two decimal place </w:t>
      </w:r>
      <w:r w:rsidR="0012392F" w:rsidRPr="6A15B411">
        <w:rPr>
          <w:rFonts w:ascii="Arial" w:eastAsia="Arial" w:hAnsi="Arial" w:cs="Arial"/>
        </w:rPr>
        <w:t xml:space="preserve">percentage of overweight and obesity costs needed to offset the labelling change costs. </w:t>
      </w:r>
      <w:r w:rsidRPr="6A15B411">
        <w:rPr>
          <w:rFonts w:ascii="Arial" w:hAnsi="Arial" w:cs="Arial"/>
          <w:b/>
          <w:bCs/>
          <w:snapToGrid w:val="0"/>
        </w:rPr>
        <w:t xml:space="preserve"> </w:t>
      </w:r>
    </w:p>
    <w:p w14:paraId="5A311773" w14:textId="0D8A76DD" w:rsidR="00F177CD" w:rsidRPr="00320381" w:rsidRDefault="002D6683" w:rsidP="002D6683">
      <w:pPr>
        <w:pStyle w:val="Heading2"/>
        <w:numPr>
          <w:ilvl w:val="0"/>
          <w:numId w:val="10"/>
        </w:numPr>
        <w:rPr>
          <w:rFonts w:eastAsia="Arial"/>
        </w:rPr>
      </w:pPr>
      <w:r w:rsidRPr="1A79B7AB">
        <w:rPr>
          <w:rFonts w:eastAsia="Arial"/>
        </w:rPr>
        <w:t xml:space="preserve"> </w:t>
      </w:r>
      <w:r w:rsidR="00320381" w:rsidRPr="1A79B7AB">
        <w:rPr>
          <w:rFonts w:eastAsia="Arial"/>
        </w:rPr>
        <w:t xml:space="preserve"> </w:t>
      </w:r>
      <w:bookmarkStart w:id="41" w:name="_Toc194475996"/>
      <w:r w:rsidR="00D54C9A" w:rsidRPr="1A79B7AB">
        <w:rPr>
          <w:rFonts w:eastAsia="Arial"/>
        </w:rPr>
        <w:t>Who was consulted and how was their feedback incorporated?</w:t>
      </w:r>
      <w:bookmarkEnd w:id="41"/>
    </w:p>
    <w:p w14:paraId="7F9648D6" w14:textId="77777777" w:rsidR="00CC27E2" w:rsidRDefault="00F177CD" w:rsidP="00F177CD">
      <w:pPr>
        <w:widowControl w:val="0"/>
        <w:spacing w:after="0" w:line="240" w:lineRule="auto"/>
        <w:rPr>
          <w:rFonts w:ascii="Arial" w:eastAsia="Times New Roman" w:hAnsi="Arial" w:cs="Times New Roman"/>
          <w:lang w:val="en-GB" w:bidi="en-US"/>
        </w:rPr>
      </w:pPr>
      <w:r w:rsidRPr="00F177CD">
        <w:rPr>
          <w:rFonts w:ascii="Arial" w:eastAsia="Times New Roman" w:hAnsi="Arial" w:cs="Times New Roman"/>
          <w:lang w:val="en-GB" w:bidi="en-US"/>
        </w:rPr>
        <w:t xml:space="preserve">Consultation is a key part of FSANZ’s open and transparent standards development process. </w:t>
      </w:r>
    </w:p>
    <w:p w14:paraId="020017E6" w14:textId="2346EB7E" w:rsidR="00231926" w:rsidRDefault="00CC27E2" w:rsidP="00B8374D">
      <w:pPr>
        <w:widowControl w:val="0"/>
        <w:spacing w:after="0" w:line="240" w:lineRule="auto"/>
        <w:rPr>
          <w:rFonts w:ascii="Arial" w:eastAsia="Times New Roman" w:hAnsi="Arial" w:cs="Times New Roman"/>
          <w:lang w:val="en-GB" w:bidi="en-US"/>
        </w:rPr>
      </w:pPr>
      <w:r>
        <w:rPr>
          <w:rFonts w:ascii="Arial" w:eastAsia="Times New Roman" w:hAnsi="Arial" w:cs="Times New Roman"/>
          <w:lang w:val="en-GB" w:bidi="en-US"/>
        </w:rPr>
        <w:t xml:space="preserve">This proposal has been </w:t>
      </w:r>
      <w:r w:rsidR="008D0D1F">
        <w:rPr>
          <w:rFonts w:ascii="Arial" w:eastAsia="Times New Roman" w:hAnsi="Arial" w:cs="Times New Roman"/>
          <w:lang w:val="en-GB" w:bidi="en-US"/>
        </w:rPr>
        <w:t>subject to extensive consultation.</w:t>
      </w:r>
      <w:r w:rsidR="00F561E2">
        <w:rPr>
          <w:rFonts w:ascii="Arial" w:eastAsia="Times New Roman" w:hAnsi="Arial" w:cs="Times New Roman"/>
          <w:lang w:val="en-GB" w:bidi="en-US"/>
        </w:rPr>
        <w:t xml:space="preserve"> </w:t>
      </w:r>
    </w:p>
    <w:p w14:paraId="75963296" w14:textId="77777777" w:rsidR="00231926" w:rsidRDefault="00231926" w:rsidP="00B8374D">
      <w:pPr>
        <w:widowControl w:val="0"/>
        <w:spacing w:after="0" w:line="240" w:lineRule="auto"/>
        <w:rPr>
          <w:rFonts w:ascii="Arial" w:eastAsia="Times New Roman" w:hAnsi="Arial" w:cs="Times New Roman"/>
          <w:lang w:val="en-GB" w:bidi="en-US"/>
        </w:rPr>
      </w:pPr>
    </w:p>
    <w:p w14:paraId="6EA1E4ED" w14:textId="60A25C53" w:rsidR="00B8374D" w:rsidRDefault="00B8374D" w:rsidP="00B8374D">
      <w:pPr>
        <w:widowControl w:val="0"/>
        <w:spacing w:after="0" w:line="240" w:lineRule="auto"/>
        <w:rPr>
          <w:rFonts w:ascii="Arial" w:eastAsia="Times New Roman" w:hAnsi="Arial" w:cs="Times New Roman"/>
          <w:lang w:val="en-GB" w:bidi="en-US"/>
        </w:rPr>
      </w:pPr>
      <w:r w:rsidRPr="00B8374D">
        <w:rPr>
          <w:rFonts w:ascii="Arial" w:eastAsia="Times New Roman" w:hAnsi="Arial" w:cs="Times New Roman"/>
          <w:lang w:val="en-GB" w:bidi="en-US"/>
        </w:rPr>
        <w:t>As part of the preliminary work</w:t>
      </w:r>
      <w:r w:rsidR="00320381">
        <w:rPr>
          <w:rFonts w:ascii="Arial" w:eastAsia="Times New Roman" w:hAnsi="Arial" w:cs="Times New Roman"/>
          <w:lang w:val="en-GB" w:bidi="en-US"/>
        </w:rPr>
        <w:t xml:space="preserve">, </w:t>
      </w:r>
      <w:r w:rsidRPr="00B8374D">
        <w:rPr>
          <w:rFonts w:ascii="Arial" w:eastAsia="Times New Roman" w:hAnsi="Arial" w:cs="Times New Roman"/>
          <w:lang w:val="en-GB" w:bidi="en-US"/>
        </w:rPr>
        <w:t xml:space="preserve">FSANZ undertook three rounds of targeted consultation with key stakeholders from the alcohol industry, public health and consumer groups and jurisdictions between October 2020 and October 2021. The purpose of these meetings was to discuss issues regarding energy labelling of alcoholic beverages and seek early views on possible options for providing energy information about alcoholic beverages to consumers. </w:t>
      </w:r>
    </w:p>
    <w:p w14:paraId="3E06DBE6" w14:textId="77777777" w:rsidR="009B7157" w:rsidRDefault="009B7157" w:rsidP="00B8374D">
      <w:pPr>
        <w:widowControl w:val="0"/>
        <w:spacing w:after="0" w:line="240" w:lineRule="auto"/>
        <w:rPr>
          <w:rFonts w:ascii="Arial" w:eastAsia="Times New Roman" w:hAnsi="Arial" w:cs="Times New Roman"/>
          <w:lang w:val="en-GB" w:bidi="en-US"/>
        </w:rPr>
      </w:pPr>
    </w:p>
    <w:p w14:paraId="5F24B0AA" w14:textId="36162206" w:rsidR="009B7157" w:rsidRPr="009B7157" w:rsidRDefault="009B7157" w:rsidP="009B7157">
      <w:pPr>
        <w:widowControl w:val="0"/>
        <w:spacing w:after="0" w:line="240" w:lineRule="auto"/>
        <w:rPr>
          <w:rFonts w:ascii="Arial" w:eastAsia="Times New Roman" w:hAnsi="Arial" w:cs="Times New Roman"/>
          <w:lang w:val="en-NZ" w:bidi="en-US"/>
        </w:rPr>
      </w:pPr>
      <w:r w:rsidRPr="009B7157">
        <w:rPr>
          <w:rFonts w:ascii="Arial" w:eastAsia="Times New Roman" w:hAnsi="Arial" w:cs="Times New Roman"/>
          <w:lang w:val="en-NZ" w:bidi="en-US"/>
        </w:rPr>
        <w:t>T</w:t>
      </w:r>
      <w:r w:rsidR="000F0733">
        <w:rPr>
          <w:rFonts w:ascii="Arial" w:eastAsia="Times New Roman" w:hAnsi="Arial" w:cs="Times New Roman"/>
          <w:lang w:val="en-NZ" w:bidi="en-US"/>
        </w:rPr>
        <w:t>he above t</w:t>
      </w:r>
      <w:r w:rsidRPr="009B7157">
        <w:rPr>
          <w:rFonts w:ascii="Arial" w:eastAsia="Times New Roman" w:hAnsi="Arial" w:cs="Times New Roman"/>
          <w:lang w:val="en-NZ" w:bidi="en-US"/>
        </w:rPr>
        <w:t>argeted consultation</w:t>
      </w:r>
      <w:r w:rsidR="00C5021B">
        <w:rPr>
          <w:rFonts w:ascii="Arial" w:eastAsia="Times New Roman" w:hAnsi="Arial" w:cs="Times New Roman"/>
          <w:lang w:val="en-NZ" w:bidi="en-US"/>
        </w:rPr>
        <w:t>s</w:t>
      </w:r>
      <w:r w:rsidRPr="009B7157">
        <w:rPr>
          <w:rFonts w:ascii="Arial" w:eastAsia="Times New Roman" w:hAnsi="Arial" w:cs="Times New Roman"/>
          <w:lang w:val="en-NZ" w:bidi="en-US"/>
        </w:rPr>
        <w:t xml:space="preserve"> </w:t>
      </w:r>
      <w:r w:rsidR="00380DB0">
        <w:rPr>
          <w:rFonts w:ascii="Arial" w:eastAsia="Times New Roman" w:hAnsi="Arial" w:cs="Times New Roman"/>
          <w:lang w:val="en-NZ" w:bidi="en-US"/>
        </w:rPr>
        <w:t>shaped</w:t>
      </w:r>
      <w:r w:rsidRPr="009B7157">
        <w:rPr>
          <w:rFonts w:ascii="Arial" w:eastAsia="Times New Roman" w:hAnsi="Arial" w:cs="Times New Roman"/>
          <w:lang w:val="en-NZ" w:bidi="en-US"/>
        </w:rPr>
        <w:t xml:space="preserve"> the consideration of options. The key outcomes</w:t>
      </w:r>
      <w:r w:rsidR="00C5021B">
        <w:rPr>
          <w:rFonts w:ascii="Arial" w:eastAsia="Times New Roman" w:hAnsi="Arial" w:cs="Times New Roman"/>
          <w:lang w:val="en-NZ" w:bidi="en-US"/>
        </w:rPr>
        <w:t xml:space="preserve"> from those early consultations</w:t>
      </w:r>
      <w:r w:rsidRPr="009B7157">
        <w:rPr>
          <w:rFonts w:ascii="Arial" w:eastAsia="Times New Roman" w:hAnsi="Arial" w:cs="Times New Roman"/>
          <w:lang w:val="en-NZ" w:bidi="en-US"/>
        </w:rPr>
        <w:t xml:space="preserve"> were: </w:t>
      </w:r>
    </w:p>
    <w:p w14:paraId="1D9A5429" w14:textId="5859CE6A" w:rsidR="009B7157" w:rsidRPr="00CB6103" w:rsidRDefault="00AC64C7" w:rsidP="00CB6103">
      <w:pPr>
        <w:pStyle w:val="ListParagraph"/>
        <w:widowControl w:val="0"/>
        <w:numPr>
          <w:ilvl w:val="0"/>
          <w:numId w:val="12"/>
        </w:numPr>
        <w:rPr>
          <w:rFonts w:ascii="Arial" w:eastAsia="Times New Roman" w:hAnsi="Arial" w:cs="Times New Roman"/>
          <w:lang w:bidi="en-US"/>
        </w:rPr>
      </w:pPr>
      <w:r>
        <w:rPr>
          <w:rFonts w:ascii="Arial" w:eastAsia="Times New Roman" w:hAnsi="Arial" w:cs="Times New Roman"/>
          <w:lang w:bidi="en-US"/>
        </w:rPr>
        <w:t>o</w:t>
      </w:r>
      <w:r w:rsidR="009B7157" w:rsidRPr="00CB6103">
        <w:rPr>
          <w:rFonts w:ascii="Arial" w:eastAsia="Times New Roman" w:hAnsi="Arial" w:cs="Times New Roman"/>
          <w:lang w:bidi="en-US"/>
        </w:rPr>
        <w:t xml:space="preserve">n-label energy content information </w:t>
      </w:r>
      <w:r w:rsidR="006917E1">
        <w:rPr>
          <w:rFonts w:ascii="Arial" w:eastAsia="Times New Roman" w:hAnsi="Arial" w:cs="Times New Roman"/>
          <w:lang w:bidi="en-US"/>
        </w:rPr>
        <w:t>wa</w:t>
      </w:r>
      <w:r w:rsidR="009B7157" w:rsidRPr="00CB6103">
        <w:rPr>
          <w:rFonts w:ascii="Arial" w:eastAsia="Times New Roman" w:hAnsi="Arial" w:cs="Times New Roman"/>
          <w:lang w:bidi="en-US"/>
        </w:rPr>
        <w:t xml:space="preserve">s the best option to address the problem and </w:t>
      </w:r>
      <w:r w:rsidR="006917E1">
        <w:rPr>
          <w:rFonts w:ascii="Arial" w:eastAsia="Times New Roman" w:hAnsi="Arial" w:cs="Times New Roman"/>
          <w:lang w:bidi="en-US"/>
        </w:rPr>
        <w:t>wa</w:t>
      </w:r>
      <w:r w:rsidR="009B7157" w:rsidRPr="00CB6103">
        <w:rPr>
          <w:rFonts w:ascii="Arial" w:eastAsia="Times New Roman" w:hAnsi="Arial" w:cs="Times New Roman"/>
          <w:lang w:bidi="en-US"/>
        </w:rPr>
        <w:t>s generally supported by stakeholders as the preferred option. However</w:t>
      </w:r>
      <w:r w:rsidR="00DC052E">
        <w:rPr>
          <w:rFonts w:ascii="Arial" w:eastAsia="Times New Roman" w:hAnsi="Arial" w:cs="Times New Roman"/>
          <w:lang w:bidi="en-US"/>
        </w:rPr>
        <w:t>,</w:t>
      </w:r>
      <w:r w:rsidR="009B7157" w:rsidRPr="00CB6103">
        <w:rPr>
          <w:rFonts w:ascii="Arial" w:eastAsia="Times New Roman" w:hAnsi="Arial" w:cs="Times New Roman"/>
          <w:lang w:bidi="en-US"/>
        </w:rPr>
        <w:t xml:space="preserve"> most stakeholders also consider</w:t>
      </w:r>
      <w:r w:rsidR="006917E1">
        <w:rPr>
          <w:rFonts w:ascii="Arial" w:eastAsia="Times New Roman" w:hAnsi="Arial" w:cs="Times New Roman"/>
          <w:lang w:bidi="en-US"/>
        </w:rPr>
        <w:t>ed</w:t>
      </w:r>
      <w:r w:rsidR="009B7157" w:rsidRPr="00CB6103">
        <w:rPr>
          <w:rFonts w:ascii="Arial" w:eastAsia="Times New Roman" w:hAnsi="Arial" w:cs="Times New Roman"/>
          <w:lang w:bidi="en-US"/>
        </w:rPr>
        <w:t xml:space="preserve"> that on-label energy information must be accompanied by a targeted, government-led education campaign</w:t>
      </w:r>
      <w:r w:rsidR="00CB6103">
        <w:rPr>
          <w:rFonts w:ascii="Arial" w:eastAsia="Times New Roman" w:hAnsi="Arial" w:cs="Times New Roman"/>
          <w:lang w:bidi="en-US"/>
        </w:rPr>
        <w:t>;</w:t>
      </w:r>
    </w:p>
    <w:p w14:paraId="449B59AC" w14:textId="7D8E21CC" w:rsidR="009B7157" w:rsidRPr="009B7157" w:rsidRDefault="00AC64C7" w:rsidP="00CB6103">
      <w:pPr>
        <w:pStyle w:val="ListParagraph"/>
        <w:widowControl w:val="0"/>
        <w:numPr>
          <w:ilvl w:val="0"/>
          <w:numId w:val="12"/>
        </w:numPr>
        <w:rPr>
          <w:rFonts w:ascii="Arial" w:eastAsia="Times New Roman" w:hAnsi="Arial" w:cs="Times New Roman"/>
          <w:lang w:bidi="en-US"/>
        </w:rPr>
      </w:pPr>
      <w:r>
        <w:rPr>
          <w:rFonts w:ascii="Arial" w:eastAsia="Times New Roman" w:hAnsi="Arial" w:cs="Times New Roman"/>
          <w:lang w:bidi="en-US"/>
        </w:rPr>
        <w:t>a</w:t>
      </w:r>
      <w:r w:rsidR="009B7157" w:rsidRPr="009B7157">
        <w:rPr>
          <w:rFonts w:ascii="Arial" w:eastAsia="Times New Roman" w:hAnsi="Arial" w:cs="Times New Roman"/>
          <w:lang w:bidi="en-US"/>
        </w:rPr>
        <w:t xml:space="preserve"> </w:t>
      </w:r>
      <w:r w:rsidR="00807668">
        <w:rPr>
          <w:rFonts w:ascii="Arial" w:eastAsia="Times New Roman" w:hAnsi="Arial" w:cs="Times New Roman"/>
          <w:lang w:bidi="en-US"/>
        </w:rPr>
        <w:t xml:space="preserve">format </w:t>
      </w:r>
      <w:r w:rsidR="009B7157" w:rsidRPr="009B7157">
        <w:rPr>
          <w:rFonts w:ascii="Arial" w:eastAsia="Times New Roman" w:hAnsi="Arial" w:cs="Times New Roman"/>
          <w:lang w:bidi="en-US"/>
        </w:rPr>
        <w:t>containing average energy content only, appear</w:t>
      </w:r>
      <w:r w:rsidR="006917E1">
        <w:rPr>
          <w:rFonts w:ascii="Arial" w:eastAsia="Times New Roman" w:hAnsi="Arial" w:cs="Times New Roman"/>
          <w:lang w:bidi="en-US"/>
        </w:rPr>
        <w:t>ed</w:t>
      </w:r>
      <w:r w:rsidR="009B7157" w:rsidRPr="009B7157">
        <w:rPr>
          <w:rFonts w:ascii="Arial" w:eastAsia="Times New Roman" w:hAnsi="Arial" w:cs="Times New Roman"/>
          <w:lang w:bidi="en-US"/>
        </w:rPr>
        <w:t xml:space="preserve"> to be the most appropriate format for labelling on alcoholic beverages. It was also the preferred format for most stakeholders</w:t>
      </w:r>
      <w:r>
        <w:rPr>
          <w:rFonts w:ascii="Arial" w:eastAsia="Times New Roman" w:hAnsi="Arial" w:cs="Times New Roman"/>
          <w:lang w:bidi="en-US"/>
        </w:rPr>
        <w:t xml:space="preserve">; </w:t>
      </w:r>
    </w:p>
    <w:p w14:paraId="5FA49515" w14:textId="2E7A4271" w:rsidR="00E224B2" w:rsidRDefault="00AC64C7" w:rsidP="00CB6103">
      <w:pPr>
        <w:pStyle w:val="ListParagraph"/>
        <w:widowControl w:val="0"/>
        <w:numPr>
          <w:ilvl w:val="0"/>
          <w:numId w:val="12"/>
        </w:numPr>
        <w:rPr>
          <w:rFonts w:ascii="Arial" w:eastAsia="Times New Roman" w:hAnsi="Arial" w:cs="Times New Roman"/>
          <w:lang w:bidi="en-US"/>
        </w:rPr>
      </w:pPr>
      <w:r>
        <w:rPr>
          <w:rFonts w:ascii="Arial" w:eastAsia="Times New Roman" w:hAnsi="Arial" w:cs="Times New Roman"/>
          <w:lang w:bidi="en-US"/>
        </w:rPr>
        <w:t>a</w:t>
      </w:r>
      <w:r w:rsidR="009B7157" w:rsidRPr="009B7157">
        <w:rPr>
          <w:rFonts w:ascii="Arial" w:eastAsia="Times New Roman" w:hAnsi="Arial" w:cs="Times New Roman"/>
          <w:lang w:bidi="en-US"/>
        </w:rPr>
        <w:t xml:space="preserve"> mandatory approach would provide greater coverage and consistency for consumers than a voluntary approach and provides regulatory certainty and a level playing field for the alcohol industry. </w:t>
      </w:r>
      <w:r w:rsidR="00F0592F">
        <w:rPr>
          <w:rFonts w:ascii="Arial" w:eastAsia="Times New Roman" w:hAnsi="Arial" w:cs="Times New Roman"/>
          <w:lang w:bidi="en-US"/>
        </w:rPr>
        <w:t>Most stakeholders, including some industry stakeholders</w:t>
      </w:r>
      <w:r w:rsidR="00F92261">
        <w:rPr>
          <w:rFonts w:ascii="Arial" w:eastAsia="Times New Roman" w:hAnsi="Arial" w:cs="Times New Roman"/>
          <w:lang w:bidi="en-US"/>
        </w:rPr>
        <w:t>,</w:t>
      </w:r>
      <w:r w:rsidR="00F0592F">
        <w:rPr>
          <w:rFonts w:ascii="Arial" w:eastAsia="Times New Roman" w:hAnsi="Arial" w:cs="Times New Roman"/>
          <w:lang w:bidi="en-US"/>
        </w:rPr>
        <w:t xml:space="preserve"> preferred a mandatory approach.</w:t>
      </w:r>
    </w:p>
    <w:p w14:paraId="22916AB5" w14:textId="77777777" w:rsidR="006917E1" w:rsidRDefault="006917E1" w:rsidP="009B7157">
      <w:pPr>
        <w:widowControl w:val="0"/>
        <w:spacing w:after="0" w:line="240" w:lineRule="auto"/>
        <w:rPr>
          <w:rFonts w:ascii="Arial" w:eastAsia="Times New Roman" w:hAnsi="Arial" w:cs="Times New Roman"/>
          <w:lang w:val="en-NZ" w:bidi="en-US"/>
        </w:rPr>
      </w:pPr>
    </w:p>
    <w:p w14:paraId="02AF2934" w14:textId="23BAB6A7" w:rsidR="00E224B2" w:rsidRDefault="00E224B2" w:rsidP="009B7157">
      <w:pPr>
        <w:widowControl w:val="0"/>
        <w:spacing w:after="0" w:line="240" w:lineRule="auto"/>
        <w:rPr>
          <w:rFonts w:ascii="Arial" w:hAnsi="Arial" w:cs="Arial"/>
          <w:lang w:val="en-AU"/>
        </w:rPr>
      </w:pPr>
      <w:r>
        <w:rPr>
          <w:rFonts w:ascii="Arial" w:eastAsia="Times New Roman" w:hAnsi="Arial" w:cs="Times New Roman"/>
          <w:lang w:val="en-NZ" w:bidi="en-US"/>
        </w:rPr>
        <w:t xml:space="preserve">For more details, see </w:t>
      </w:r>
      <w:r w:rsidR="00057467">
        <w:rPr>
          <w:rFonts w:ascii="Arial" w:eastAsia="Times New Roman" w:hAnsi="Arial" w:cs="Times New Roman"/>
          <w:lang w:val="en-NZ" w:bidi="en-US"/>
        </w:rPr>
        <w:t xml:space="preserve">the Options Analysis paper, </w:t>
      </w:r>
      <w:r w:rsidR="006F7BCE">
        <w:rPr>
          <w:rFonts w:ascii="Arial" w:eastAsia="Times New Roman" w:hAnsi="Arial" w:cs="Times New Roman"/>
          <w:lang w:val="en-NZ" w:bidi="en-US"/>
        </w:rPr>
        <w:t>(</w:t>
      </w:r>
      <w:r w:rsidR="003A278D" w:rsidRPr="00F72952">
        <w:rPr>
          <w:rFonts w:ascii="Arial" w:hAnsi="Arial" w:cs="Arial"/>
          <w:lang w:val="en-AU"/>
        </w:rPr>
        <w:t>FSANZ 2021d)</w:t>
      </w:r>
      <w:r w:rsidR="003A278D">
        <w:rPr>
          <w:rFonts w:ascii="Arial" w:hAnsi="Arial" w:cs="Arial"/>
          <w:lang w:val="en-AU"/>
        </w:rPr>
        <w:t xml:space="preserve"> and</w:t>
      </w:r>
      <w:r w:rsidR="00057467">
        <w:rPr>
          <w:rFonts w:ascii="Arial" w:hAnsi="Arial" w:cs="Arial"/>
          <w:lang w:val="en-AU"/>
        </w:rPr>
        <w:t xml:space="preserve"> the 2023 CFS</w:t>
      </w:r>
      <w:r w:rsidR="003A278D">
        <w:rPr>
          <w:rFonts w:ascii="Arial" w:hAnsi="Arial" w:cs="Arial"/>
          <w:lang w:val="en-AU"/>
        </w:rPr>
        <w:t xml:space="preserve"> </w:t>
      </w:r>
      <w:r w:rsidR="006F7BCE">
        <w:rPr>
          <w:rFonts w:ascii="Arial" w:hAnsi="Arial" w:cs="Arial"/>
          <w:lang w:val="en-AU"/>
        </w:rPr>
        <w:t>(</w:t>
      </w:r>
      <w:r w:rsidR="003A278D">
        <w:rPr>
          <w:rFonts w:ascii="Arial" w:hAnsi="Arial" w:cs="Arial"/>
          <w:lang w:val="en-AU"/>
        </w:rPr>
        <w:t>FSANZ 2023</w:t>
      </w:r>
      <w:r w:rsidR="00057467">
        <w:rPr>
          <w:rFonts w:ascii="Arial" w:hAnsi="Arial" w:cs="Arial"/>
          <w:lang w:val="en-AU"/>
        </w:rPr>
        <w:t xml:space="preserve"> </w:t>
      </w:r>
      <w:r w:rsidR="003D51EF">
        <w:rPr>
          <w:rFonts w:ascii="Arial" w:hAnsi="Arial" w:cs="Arial"/>
          <w:lang w:val="en-AU"/>
        </w:rPr>
        <w:t>c</w:t>
      </w:r>
      <w:r w:rsidR="00057467">
        <w:rPr>
          <w:rFonts w:ascii="Arial" w:hAnsi="Arial" w:cs="Arial"/>
          <w:lang w:val="en-AU"/>
        </w:rPr>
        <w:t>).</w:t>
      </w:r>
    </w:p>
    <w:p w14:paraId="462649DD" w14:textId="77777777" w:rsidR="00762029" w:rsidRDefault="00762029" w:rsidP="00B8374D">
      <w:pPr>
        <w:widowControl w:val="0"/>
        <w:spacing w:after="0" w:line="240" w:lineRule="auto"/>
        <w:rPr>
          <w:rFonts w:ascii="Arial" w:eastAsia="Times New Roman" w:hAnsi="Arial" w:cs="Times New Roman"/>
          <w:lang w:val="en-GB" w:bidi="en-US"/>
        </w:rPr>
      </w:pPr>
    </w:p>
    <w:p w14:paraId="4899CCBF" w14:textId="7F839349" w:rsidR="00B8374D" w:rsidRDefault="00B8374D" w:rsidP="00B8374D">
      <w:pPr>
        <w:widowControl w:val="0"/>
        <w:spacing w:after="0" w:line="240" w:lineRule="auto"/>
        <w:rPr>
          <w:rFonts w:ascii="Arial" w:eastAsia="Times New Roman" w:hAnsi="Arial" w:cs="Times New Roman"/>
          <w:lang w:val="en-GB" w:bidi="en-US"/>
        </w:rPr>
      </w:pPr>
      <w:r w:rsidRPr="00B8374D">
        <w:rPr>
          <w:rFonts w:ascii="Arial" w:eastAsia="Times New Roman" w:hAnsi="Arial" w:cs="Times New Roman"/>
          <w:lang w:val="en-GB" w:bidi="en-US"/>
        </w:rPr>
        <w:t xml:space="preserve">FSANZ </w:t>
      </w:r>
      <w:r w:rsidR="00191FB1">
        <w:rPr>
          <w:rFonts w:ascii="Arial" w:eastAsia="Times New Roman" w:hAnsi="Arial" w:cs="Times New Roman"/>
          <w:lang w:val="en-GB" w:bidi="en-US"/>
        </w:rPr>
        <w:t>later</w:t>
      </w:r>
      <w:r w:rsidRPr="00B8374D">
        <w:rPr>
          <w:rFonts w:ascii="Arial" w:eastAsia="Times New Roman" w:hAnsi="Arial" w:cs="Times New Roman"/>
          <w:lang w:val="en-GB" w:bidi="en-US"/>
        </w:rPr>
        <w:t xml:space="preserve"> undertook further targeted consultations with the same stakeholder groups in July 2022. At these meetings</w:t>
      </w:r>
      <w:r w:rsidR="00B25F73">
        <w:rPr>
          <w:rFonts w:ascii="Arial" w:eastAsia="Times New Roman" w:hAnsi="Arial" w:cs="Times New Roman"/>
          <w:lang w:val="en-GB" w:bidi="en-US"/>
        </w:rPr>
        <w:t>,</w:t>
      </w:r>
      <w:r w:rsidRPr="00B8374D">
        <w:rPr>
          <w:rFonts w:ascii="Arial" w:eastAsia="Times New Roman" w:hAnsi="Arial" w:cs="Times New Roman"/>
          <w:lang w:val="en-GB" w:bidi="en-US"/>
        </w:rPr>
        <w:t xml:space="preserve"> FSANZ sought views to inform the development of </w:t>
      </w:r>
      <w:r w:rsidR="00C320E5">
        <w:rPr>
          <w:rFonts w:ascii="Arial" w:eastAsia="Times New Roman" w:hAnsi="Arial" w:cs="Times New Roman"/>
          <w:lang w:val="en-GB" w:bidi="en-US"/>
        </w:rPr>
        <w:t>the CFS</w:t>
      </w:r>
      <w:r w:rsidRPr="00B8374D">
        <w:rPr>
          <w:rFonts w:ascii="Arial" w:eastAsia="Times New Roman" w:hAnsi="Arial" w:cs="Times New Roman"/>
          <w:lang w:val="en-GB" w:bidi="en-US"/>
        </w:rPr>
        <w:t>.</w:t>
      </w:r>
      <w:r w:rsidR="00762029">
        <w:rPr>
          <w:rFonts w:ascii="Arial" w:eastAsia="Times New Roman" w:hAnsi="Arial" w:cs="Times New Roman"/>
          <w:lang w:val="en-GB" w:bidi="en-US"/>
        </w:rPr>
        <w:t xml:space="preserve"> </w:t>
      </w:r>
    </w:p>
    <w:p w14:paraId="3F00B7F1" w14:textId="77777777" w:rsidR="00B8374D" w:rsidRDefault="00B8374D" w:rsidP="00F177CD">
      <w:pPr>
        <w:widowControl w:val="0"/>
        <w:spacing w:after="0" w:line="240" w:lineRule="auto"/>
        <w:rPr>
          <w:rFonts w:ascii="Arial" w:eastAsia="Times New Roman" w:hAnsi="Arial" w:cs="Times New Roman"/>
          <w:lang w:val="en-GB" w:bidi="en-US"/>
        </w:rPr>
      </w:pPr>
    </w:p>
    <w:p w14:paraId="17C7A2B5" w14:textId="2ABA2E84" w:rsidR="001A75EF" w:rsidRDefault="001A75EF" w:rsidP="00F177CD">
      <w:pPr>
        <w:widowControl w:val="0"/>
        <w:spacing w:after="0" w:line="240" w:lineRule="auto"/>
        <w:rPr>
          <w:rFonts w:ascii="Arial" w:eastAsia="Times New Roman" w:hAnsi="Arial" w:cs="Times New Roman"/>
          <w:lang w:val="en-GB" w:bidi="en-US"/>
        </w:rPr>
      </w:pPr>
      <w:r w:rsidRPr="001A75EF">
        <w:rPr>
          <w:rFonts w:ascii="Arial" w:eastAsia="Times New Roman" w:hAnsi="Arial" w:cs="Times New Roman"/>
          <w:lang w:val="en-GB" w:bidi="en-US"/>
        </w:rPr>
        <w:t>Additionally, in June 2022</w:t>
      </w:r>
      <w:r w:rsidR="00C320E5">
        <w:rPr>
          <w:rFonts w:ascii="Arial" w:eastAsia="Times New Roman" w:hAnsi="Arial" w:cs="Times New Roman"/>
          <w:lang w:val="en-GB" w:bidi="en-US"/>
        </w:rPr>
        <w:t>,</w:t>
      </w:r>
      <w:r w:rsidRPr="001A75EF">
        <w:rPr>
          <w:rFonts w:ascii="Arial" w:eastAsia="Times New Roman" w:hAnsi="Arial" w:cs="Times New Roman"/>
          <w:lang w:val="en-GB" w:bidi="en-US"/>
        </w:rPr>
        <w:t xml:space="preserve"> FSANZ held a meeting with a small group of key stakeholders from the alcohol industry to discuss technical issues associated with the determination of energy content information for alcoholic beverages.</w:t>
      </w:r>
      <w:r w:rsidR="008B4EC4">
        <w:rPr>
          <w:rFonts w:ascii="Arial" w:eastAsia="Times New Roman" w:hAnsi="Arial" w:cs="Times New Roman"/>
          <w:lang w:val="en-GB" w:bidi="en-US"/>
        </w:rPr>
        <w:t xml:space="preserve"> </w:t>
      </w:r>
    </w:p>
    <w:p w14:paraId="5CBA97EE" w14:textId="77777777" w:rsidR="005F4A99" w:rsidRDefault="005F4A99" w:rsidP="005F4A99">
      <w:pPr>
        <w:widowControl w:val="0"/>
        <w:spacing w:after="0" w:line="240" w:lineRule="auto"/>
        <w:rPr>
          <w:rFonts w:ascii="Arial" w:eastAsia="Times New Roman" w:hAnsi="Arial" w:cs="Times New Roman"/>
          <w:lang w:val="en-GB" w:bidi="en-US"/>
        </w:rPr>
      </w:pPr>
    </w:p>
    <w:p w14:paraId="1B346D68" w14:textId="5AE0D69B" w:rsidR="00F177CD" w:rsidRPr="00697F2A" w:rsidRDefault="00810B8A" w:rsidP="00697F2A">
      <w:pPr>
        <w:pStyle w:val="FSBullet1"/>
        <w:numPr>
          <w:ilvl w:val="0"/>
          <w:numId w:val="0"/>
        </w:numPr>
        <w:rPr>
          <w:color w:val="000000" w:themeColor="text1"/>
        </w:rPr>
      </w:pPr>
      <w:r w:rsidRPr="00932BC7">
        <w:t xml:space="preserve">FSANZ </w:t>
      </w:r>
      <w:r>
        <w:t xml:space="preserve">sought </w:t>
      </w:r>
      <w:r w:rsidRPr="00932BC7">
        <w:t xml:space="preserve">public comment via </w:t>
      </w:r>
      <w:r w:rsidR="002B2004">
        <w:t xml:space="preserve">the </w:t>
      </w:r>
      <w:r w:rsidRPr="00932BC7">
        <w:t xml:space="preserve">CFS on proposed draft variations to the Code from 16 January to 20 March 2023. </w:t>
      </w:r>
      <w:r w:rsidRPr="002958C2">
        <w:rPr>
          <w:color w:val="000000" w:themeColor="text1"/>
          <w:szCs w:val="22"/>
        </w:rPr>
        <w:t>A total of 6</w:t>
      </w:r>
      <w:r>
        <w:rPr>
          <w:color w:val="000000" w:themeColor="text1"/>
          <w:szCs w:val="22"/>
        </w:rPr>
        <w:t>5</w:t>
      </w:r>
      <w:r w:rsidRPr="002958C2">
        <w:rPr>
          <w:color w:val="000000" w:themeColor="text1"/>
          <w:szCs w:val="22"/>
        </w:rPr>
        <w:t xml:space="preserve"> submissions were received during that period: 3</w:t>
      </w:r>
      <w:r w:rsidRPr="002958C2" w:rsidDel="00F85608">
        <w:rPr>
          <w:color w:val="000000" w:themeColor="text1"/>
          <w:szCs w:val="22"/>
        </w:rPr>
        <w:t>6</w:t>
      </w:r>
      <w:r w:rsidRPr="002958C2">
        <w:rPr>
          <w:color w:val="000000" w:themeColor="text1"/>
          <w:szCs w:val="22"/>
        </w:rPr>
        <w:t xml:space="preserve"> from industry, 17 from public health, </w:t>
      </w:r>
      <w:r>
        <w:rPr>
          <w:color w:val="000000" w:themeColor="text1"/>
          <w:szCs w:val="22"/>
        </w:rPr>
        <w:t>10</w:t>
      </w:r>
      <w:r w:rsidRPr="002958C2">
        <w:rPr>
          <w:color w:val="000000" w:themeColor="text1"/>
          <w:szCs w:val="22"/>
        </w:rPr>
        <w:t xml:space="preserve"> from Government, and 2 from </w:t>
      </w:r>
      <w:r>
        <w:rPr>
          <w:color w:val="000000" w:themeColor="text1"/>
          <w:szCs w:val="22"/>
        </w:rPr>
        <w:t>individuals</w:t>
      </w:r>
      <w:r w:rsidRPr="002958C2">
        <w:rPr>
          <w:color w:val="000000" w:themeColor="text1"/>
          <w:szCs w:val="22"/>
        </w:rPr>
        <w:t xml:space="preserve">. The submissions received are published on the </w:t>
      </w:r>
      <w:hyperlink r:id="rId16" w:history="1">
        <w:r w:rsidR="00BC495A">
          <w:rPr>
            <w:rStyle w:val="Hyperlink"/>
            <w:szCs w:val="22"/>
          </w:rPr>
          <w:t>FSANZ P1059 webpage</w:t>
        </w:r>
      </w:hyperlink>
      <w:r w:rsidRPr="002958C2">
        <w:rPr>
          <w:color w:val="000000" w:themeColor="text1"/>
          <w:szCs w:val="22"/>
        </w:rPr>
        <w:t xml:space="preserve">. </w:t>
      </w:r>
    </w:p>
    <w:p w14:paraId="672981F4" w14:textId="3092EB2A" w:rsidR="00F30FE9" w:rsidRPr="00F30FE9" w:rsidRDefault="0036115A" w:rsidP="00F30FE9">
      <w:pPr>
        <w:widowControl w:val="0"/>
        <w:spacing w:after="0" w:line="240" w:lineRule="auto"/>
        <w:rPr>
          <w:rFonts w:ascii="Arial" w:eastAsia="Times New Roman" w:hAnsi="Arial" w:cs="Times New Roman"/>
          <w:lang w:val="en-GB" w:bidi="en-US"/>
        </w:rPr>
      </w:pPr>
      <w:r>
        <w:rPr>
          <w:rFonts w:ascii="Arial" w:eastAsia="Times New Roman" w:hAnsi="Arial" w:cs="Times New Roman"/>
          <w:lang w:val="en-GB" w:bidi="en-US"/>
        </w:rPr>
        <w:t xml:space="preserve">The </w:t>
      </w:r>
      <w:r w:rsidR="000820F4">
        <w:rPr>
          <w:rFonts w:ascii="Arial" w:eastAsia="Times New Roman" w:hAnsi="Arial" w:cs="Times New Roman"/>
          <w:lang w:val="en-GB" w:bidi="en-US"/>
        </w:rPr>
        <w:t>high level outcomes of the CFS consultation were that:</w:t>
      </w:r>
    </w:p>
    <w:p w14:paraId="05D491CA" w14:textId="6B257DAE" w:rsidR="00F30FE9" w:rsidRPr="00BF50AE" w:rsidRDefault="00F30FE9" w:rsidP="00CE3140">
      <w:pPr>
        <w:pStyle w:val="ListParagraph"/>
        <w:widowControl w:val="0"/>
        <w:numPr>
          <w:ilvl w:val="0"/>
          <w:numId w:val="27"/>
        </w:numPr>
        <w:rPr>
          <w:rFonts w:ascii="Arial" w:eastAsia="Times New Roman" w:hAnsi="Arial" w:cs="Times New Roman"/>
          <w:lang w:val="en-GB" w:bidi="en-US"/>
        </w:rPr>
      </w:pPr>
      <w:r w:rsidRPr="00BF50AE">
        <w:rPr>
          <w:rFonts w:ascii="Arial" w:eastAsia="Times New Roman" w:hAnsi="Arial" w:cs="Times New Roman"/>
          <w:lang w:val="en-GB" w:bidi="en-US"/>
        </w:rPr>
        <w:t xml:space="preserve">A mandatory approach for the provision of standardised energy information on alcoholic beverages was broadly supported by the majority of submitters. Reasons provided included that </w:t>
      </w:r>
      <w:r w:rsidR="00002BDA">
        <w:rPr>
          <w:rFonts w:ascii="Arial" w:eastAsia="Times New Roman" w:hAnsi="Arial" w:cs="Times New Roman"/>
          <w:lang w:val="en-GB" w:bidi="en-US"/>
        </w:rPr>
        <w:t>would</w:t>
      </w:r>
      <w:r w:rsidRPr="00BF50AE">
        <w:rPr>
          <w:rFonts w:ascii="Arial" w:eastAsia="Times New Roman" w:hAnsi="Arial" w:cs="Times New Roman"/>
          <w:lang w:val="en-GB" w:bidi="en-US"/>
        </w:rPr>
        <w:t xml:space="preserve"> align alcoholic products with other foods and beverages, </w:t>
      </w:r>
      <w:r w:rsidR="006917E1">
        <w:rPr>
          <w:rFonts w:ascii="Arial" w:eastAsia="Times New Roman" w:hAnsi="Arial" w:cs="Times New Roman"/>
          <w:lang w:val="en-GB" w:bidi="en-US"/>
        </w:rPr>
        <w:t xml:space="preserve">would </w:t>
      </w:r>
      <w:r w:rsidRPr="00BF50AE">
        <w:rPr>
          <w:rFonts w:ascii="Arial" w:eastAsia="Times New Roman" w:hAnsi="Arial" w:cs="Times New Roman"/>
          <w:lang w:val="en-GB" w:bidi="en-US"/>
        </w:rPr>
        <w:t xml:space="preserve">ensure consumers have access to the information they need to make informed decisions in regard to alcohol consumption and </w:t>
      </w:r>
      <w:r w:rsidR="00002BDA">
        <w:rPr>
          <w:rFonts w:ascii="Arial" w:eastAsia="Times New Roman" w:hAnsi="Arial" w:cs="Times New Roman"/>
          <w:lang w:val="en-GB" w:bidi="en-US"/>
        </w:rPr>
        <w:t xml:space="preserve">provide </w:t>
      </w:r>
      <w:r w:rsidRPr="00BF50AE">
        <w:rPr>
          <w:rFonts w:ascii="Arial" w:eastAsia="Times New Roman" w:hAnsi="Arial" w:cs="Times New Roman"/>
          <w:lang w:val="en-GB" w:bidi="en-US"/>
        </w:rPr>
        <w:t xml:space="preserve">consumers more clarity and consistency </w:t>
      </w:r>
      <w:r w:rsidRPr="00BF50AE">
        <w:rPr>
          <w:rFonts w:ascii="Arial" w:eastAsia="Times New Roman" w:hAnsi="Arial" w:cs="Times New Roman"/>
          <w:lang w:val="en-GB" w:bidi="en-US"/>
        </w:rPr>
        <w:lastRenderedPageBreak/>
        <w:t xml:space="preserve">around their purchasing and health choices. Some industry submitters considered a mandatory approach to energy labelling </w:t>
      </w:r>
      <w:r w:rsidR="00002BDA">
        <w:rPr>
          <w:rFonts w:ascii="Arial" w:eastAsia="Times New Roman" w:hAnsi="Arial" w:cs="Times New Roman"/>
          <w:lang w:val="en-GB" w:bidi="en-US"/>
        </w:rPr>
        <w:t>would</w:t>
      </w:r>
      <w:r w:rsidR="00002BDA" w:rsidRPr="00BF50AE">
        <w:rPr>
          <w:rFonts w:ascii="Arial" w:eastAsia="Times New Roman" w:hAnsi="Arial" w:cs="Times New Roman"/>
          <w:lang w:val="en-GB" w:bidi="en-US"/>
        </w:rPr>
        <w:t xml:space="preserve"> </w:t>
      </w:r>
      <w:r w:rsidRPr="00BF50AE">
        <w:rPr>
          <w:rFonts w:ascii="Arial" w:eastAsia="Times New Roman" w:hAnsi="Arial" w:cs="Times New Roman"/>
          <w:lang w:val="en-GB" w:bidi="en-US"/>
        </w:rPr>
        <w:t>provide much wanted regulatory certainty</w:t>
      </w:r>
    </w:p>
    <w:p w14:paraId="369634DB" w14:textId="77777777" w:rsidR="00F30FE9" w:rsidRPr="00F30FE9" w:rsidRDefault="00F30FE9" w:rsidP="00F30FE9">
      <w:pPr>
        <w:widowControl w:val="0"/>
        <w:spacing w:after="0" w:line="240" w:lineRule="auto"/>
        <w:rPr>
          <w:rFonts w:ascii="Arial" w:eastAsia="Times New Roman" w:hAnsi="Arial" w:cs="Times New Roman"/>
          <w:lang w:val="en-GB" w:bidi="en-US"/>
        </w:rPr>
      </w:pPr>
    </w:p>
    <w:p w14:paraId="3B76746D" w14:textId="026F0F82" w:rsidR="00F30FE9" w:rsidRPr="00BF50AE" w:rsidRDefault="00F30FE9" w:rsidP="00CE3140">
      <w:pPr>
        <w:pStyle w:val="ListParagraph"/>
        <w:widowControl w:val="0"/>
        <w:numPr>
          <w:ilvl w:val="0"/>
          <w:numId w:val="27"/>
        </w:numPr>
        <w:rPr>
          <w:rFonts w:ascii="Arial" w:eastAsia="Times New Roman" w:hAnsi="Arial" w:cs="Times New Roman"/>
          <w:lang w:val="en-GB" w:bidi="en-US"/>
        </w:rPr>
      </w:pPr>
      <w:r w:rsidRPr="00BF50AE">
        <w:rPr>
          <w:rFonts w:ascii="Arial" w:eastAsia="Times New Roman" w:hAnsi="Arial" w:cs="Times New Roman"/>
          <w:lang w:val="en-GB" w:bidi="en-US"/>
        </w:rPr>
        <w:t xml:space="preserve">Fourteen submitters did not support mandatory energy labelling on alcoholic beverages. This included 11 submitters from independent craft brewers, who raised issues </w:t>
      </w:r>
      <w:r w:rsidR="00D84236">
        <w:rPr>
          <w:rFonts w:ascii="Arial" w:eastAsia="Times New Roman" w:hAnsi="Arial" w:cs="Times New Roman"/>
          <w:lang w:val="en-GB" w:bidi="en-US"/>
        </w:rPr>
        <w:t xml:space="preserve">(discussed in more detail below) </w:t>
      </w:r>
      <w:r w:rsidRPr="00BF50AE">
        <w:rPr>
          <w:rFonts w:ascii="Arial" w:eastAsia="Times New Roman" w:hAnsi="Arial" w:cs="Times New Roman"/>
          <w:lang w:val="en-GB" w:bidi="en-US"/>
        </w:rPr>
        <w:t>with the evidence base, costs and benefits and elements of the proposed format</w:t>
      </w:r>
    </w:p>
    <w:p w14:paraId="4A5D3C49" w14:textId="77777777" w:rsidR="00F30FE9" w:rsidRPr="00F30FE9" w:rsidRDefault="00F30FE9" w:rsidP="00F30FE9">
      <w:pPr>
        <w:widowControl w:val="0"/>
        <w:spacing w:after="0" w:line="240" w:lineRule="auto"/>
        <w:rPr>
          <w:rFonts w:ascii="Arial" w:eastAsia="Times New Roman" w:hAnsi="Arial" w:cs="Times New Roman"/>
          <w:lang w:val="en-GB" w:bidi="en-US"/>
        </w:rPr>
      </w:pPr>
    </w:p>
    <w:p w14:paraId="11FDD2B9" w14:textId="0434665A" w:rsidR="00F30FE9" w:rsidRPr="00BF50AE" w:rsidRDefault="00F30FE9" w:rsidP="00CE3140">
      <w:pPr>
        <w:pStyle w:val="ListParagraph"/>
        <w:widowControl w:val="0"/>
        <w:numPr>
          <w:ilvl w:val="0"/>
          <w:numId w:val="27"/>
        </w:numPr>
        <w:rPr>
          <w:rFonts w:ascii="Arial" w:eastAsia="Times New Roman" w:hAnsi="Arial" w:cs="Times New Roman"/>
          <w:lang w:val="en-GB" w:bidi="en-US"/>
        </w:rPr>
      </w:pPr>
      <w:r w:rsidRPr="00BF50AE">
        <w:rPr>
          <w:rFonts w:ascii="Arial" w:eastAsia="Times New Roman" w:hAnsi="Arial" w:cs="Times New Roman"/>
          <w:lang w:val="en-GB" w:bidi="en-US"/>
        </w:rPr>
        <w:t>There were mixed views as to the most appropriate format and application of energy labelling, with some submitters also raising concerns about potential unintended consequences resulting from the proposed format. Some submitters recommended FSANZ undertake consumer research to support the format to be prescribed.</w:t>
      </w:r>
    </w:p>
    <w:p w14:paraId="05525C9B" w14:textId="77777777" w:rsidR="000820F4" w:rsidRDefault="000820F4" w:rsidP="00F177CD">
      <w:pPr>
        <w:widowControl w:val="0"/>
        <w:spacing w:after="0" w:line="240" w:lineRule="auto"/>
        <w:rPr>
          <w:rFonts w:ascii="Arial" w:eastAsia="Times New Roman" w:hAnsi="Arial" w:cs="Times New Roman"/>
          <w:lang w:val="en-GB" w:bidi="en-US"/>
        </w:rPr>
      </w:pPr>
    </w:p>
    <w:p w14:paraId="3E3DDB9B" w14:textId="0A9B1378" w:rsidR="00F177CD" w:rsidRDefault="00697F2A" w:rsidP="00CE3140">
      <w:pPr>
        <w:widowControl w:val="0"/>
        <w:spacing w:after="0" w:line="240" w:lineRule="auto"/>
        <w:rPr>
          <w:rFonts w:ascii="Arial" w:eastAsia="Times New Roman" w:hAnsi="Arial" w:cs="Times New Roman"/>
          <w:lang w:val="en-GB" w:bidi="en-US"/>
        </w:rPr>
      </w:pPr>
      <w:r>
        <w:rPr>
          <w:rFonts w:ascii="Arial" w:eastAsia="Times New Roman" w:hAnsi="Arial" w:cs="Times New Roman"/>
          <w:lang w:val="en-GB" w:bidi="en-US"/>
        </w:rPr>
        <w:t xml:space="preserve">In response, FSANZ undertook consumer research </w:t>
      </w:r>
      <w:r w:rsidR="00C320E5">
        <w:rPr>
          <w:rFonts w:ascii="Arial" w:eastAsia="Times New Roman" w:hAnsi="Arial" w:cs="Times New Roman"/>
          <w:lang w:val="en-GB" w:bidi="en-US"/>
        </w:rPr>
        <w:t>to investigate</w:t>
      </w:r>
      <w:r>
        <w:rPr>
          <w:rFonts w:ascii="Arial" w:eastAsia="Times New Roman" w:hAnsi="Arial" w:cs="Times New Roman"/>
          <w:lang w:val="en-GB" w:bidi="en-US"/>
        </w:rPr>
        <w:t xml:space="preserve"> consumer perceptions </w:t>
      </w:r>
      <w:r w:rsidR="00C320E5">
        <w:rPr>
          <w:rFonts w:ascii="Arial" w:eastAsia="Times New Roman" w:hAnsi="Arial" w:cs="Times New Roman"/>
          <w:lang w:val="en-GB" w:bidi="en-US"/>
        </w:rPr>
        <w:t>and behaviours in response to</w:t>
      </w:r>
      <w:r>
        <w:rPr>
          <w:rFonts w:ascii="Arial" w:eastAsia="Times New Roman" w:hAnsi="Arial" w:cs="Times New Roman"/>
          <w:lang w:val="en-GB" w:bidi="en-US"/>
        </w:rPr>
        <w:t xml:space="preserve"> different </w:t>
      </w:r>
      <w:r w:rsidR="00C320E5">
        <w:rPr>
          <w:rFonts w:ascii="Arial" w:eastAsia="Times New Roman" w:hAnsi="Arial" w:cs="Times New Roman"/>
          <w:lang w:val="en-GB" w:bidi="en-US"/>
        </w:rPr>
        <w:t>formats for</w:t>
      </w:r>
      <w:r>
        <w:rPr>
          <w:rFonts w:ascii="Arial" w:eastAsia="Times New Roman" w:hAnsi="Arial" w:cs="Times New Roman"/>
          <w:lang w:val="en-GB" w:bidi="en-US"/>
        </w:rPr>
        <w:t xml:space="preserve"> energy statement (FSANZ 2023</w:t>
      </w:r>
      <w:r w:rsidR="00D13511">
        <w:rPr>
          <w:rFonts w:ascii="Arial" w:eastAsia="Times New Roman" w:hAnsi="Arial" w:cs="Times New Roman"/>
          <w:lang w:val="en-GB" w:bidi="en-US"/>
        </w:rPr>
        <w:t>a</w:t>
      </w:r>
      <w:r>
        <w:rPr>
          <w:rFonts w:ascii="Arial" w:eastAsia="Times New Roman" w:hAnsi="Arial" w:cs="Times New Roman"/>
          <w:lang w:val="en-GB" w:bidi="en-US"/>
        </w:rPr>
        <w:t xml:space="preserve">). </w:t>
      </w:r>
      <w:r w:rsidR="00002BDA">
        <w:rPr>
          <w:rFonts w:ascii="Arial" w:eastAsia="Times New Roman" w:hAnsi="Arial" w:cs="Times New Roman"/>
          <w:lang w:val="en-GB" w:bidi="en-US"/>
        </w:rPr>
        <w:t>The</w:t>
      </w:r>
      <w:r w:rsidR="00CE3140">
        <w:rPr>
          <w:rFonts w:ascii="Arial" w:eastAsia="Times New Roman" w:hAnsi="Arial" w:cs="Times New Roman"/>
          <w:lang w:val="en-GB" w:bidi="en-US"/>
        </w:rPr>
        <w:t xml:space="preserve"> research indicated that </w:t>
      </w:r>
      <w:r w:rsidR="00002BDA">
        <w:rPr>
          <w:rFonts w:ascii="Arial" w:eastAsia="Times New Roman" w:hAnsi="Arial" w:cs="Times New Roman"/>
          <w:lang w:val="en-GB" w:bidi="en-US"/>
        </w:rPr>
        <w:t>the</w:t>
      </w:r>
      <w:r w:rsidR="009311C1">
        <w:rPr>
          <w:rFonts w:ascii="Arial" w:eastAsia="Times New Roman" w:hAnsi="Arial" w:cs="Times New Roman"/>
          <w:lang w:val="en-GB" w:bidi="en-US"/>
        </w:rPr>
        <w:t xml:space="preserve"> format</w:t>
      </w:r>
      <w:r w:rsidR="00CE3140">
        <w:rPr>
          <w:rFonts w:ascii="Arial" w:eastAsia="Times New Roman" w:hAnsi="Arial" w:cs="Times New Roman"/>
          <w:lang w:val="en-GB" w:bidi="en-US"/>
        </w:rPr>
        <w:t xml:space="preserve"> </w:t>
      </w:r>
      <w:r w:rsidR="00002BDA">
        <w:rPr>
          <w:rFonts w:ascii="Arial" w:eastAsia="Times New Roman" w:hAnsi="Arial" w:cs="Times New Roman"/>
          <w:lang w:val="en-GB" w:bidi="en-US"/>
        </w:rPr>
        <w:t xml:space="preserve">under option 3 (set out above) </w:t>
      </w:r>
      <w:r w:rsidR="00BC6EA9">
        <w:rPr>
          <w:rFonts w:ascii="Arial" w:eastAsia="Times New Roman" w:hAnsi="Arial" w:cs="Times New Roman"/>
          <w:lang w:val="en-GB" w:bidi="en-US"/>
        </w:rPr>
        <w:t>best enable</w:t>
      </w:r>
      <w:r w:rsidR="00002BDA">
        <w:rPr>
          <w:rFonts w:ascii="Arial" w:eastAsia="Times New Roman" w:hAnsi="Arial" w:cs="Times New Roman"/>
          <w:lang w:val="en-GB" w:bidi="en-US"/>
        </w:rPr>
        <w:t>s</w:t>
      </w:r>
      <w:r w:rsidR="00BC6EA9">
        <w:rPr>
          <w:rFonts w:ascii="Arial" w:eastAsia="Times New Roman" w:hAnsi="Arial" w:cs="Times New Roman"/>
          <w:lang w:val="en-GB" w:bidi="en-US"/>
        </w:rPr>
        <w:t xml:space="preserve"> </w:t>
      </w:r>
      <w:r w:rsidR="007B1A60">
        <w:rPr>
          <w:rFonts w:ascii="Arial" w:eastAsia="Times New Roman" w:hAnsi="Arial" w:cs="Times New Roman"/>
          <w:lang w:val="en-GB" w:bidi="en-US"/>
        </w:rPr>
        <w:t xml:space="preserve">consumer understanding of the energy content information, and </w:t>
      </w:r>
      <w:r w:rsidR="00002BDA">
        <w:rPr>
          <w:rFonts w:ascii="Arial" w:eastAsia="Times New Roman" w:hAnsi="Arial" w:cs="Times New Roman"/>
          <w:lang w:val="en-GB" w:bidi="en-US"/>
        </w:rPr>
        <w:t xml:space="preserve">does </w:t>
      </w:r>
      <w:r w:rsidR="007B1A60">
        <w:rPr>
          <w:rFonts w:ascii="Arial" w:eastAsia="Times New Roman" w:hAnsi="Arial" w:cs="Times New Roman"/>
          <w:lang w:val="en-GB" w:bidi="en-US"/>
        </w:rPr>
        <w:t>not result in any negative unintended consequences</w:t>
      </w:r>
      <w:r w:rsidR="00CE3140">
        <w:rPr>
          <w:rFonts w:ascii="Arial" w:eastAsia="Times New Roman" w:hAnsi="Arial" w:cs="Times New Roman"/>
          <w:lang w:val="en-GB" w:bidi="en-US"/>
        </w:rPr>
        <w:t>. In</w:t>
      </w:r>
      <w:r w:rsidR="002A1429" w:rsidRPr="005F4A99">
        <w:rPr>
          <w:rFonts w:ascii="Arial" w:eastAsia="Times New Roman" w:hAnsi="Arial" w:cs="Times New Roman"/>
          <w:lang w:val="en-GB" w:bidi="en-US"/>
        </w:rPr>
        <w:t xml:space="preserve"> late November 2023, FSANZ undertook </w:t>
      </w:r>
      <w:r w:rsidR="00AF0A1E">
        <w:rPr>
          <w:rFonts w:ascii="Arial" w:eastAsia="Times New Roman" w:hAnsi="Arial" w:cs="Times New Roman"/>
          <w:lang w:val="en-GB" w:bidi="en-US"/>
        </w:rPr>
        <w:t>another</w:t>
      </w:r>
      <w:r w:rsidR="00C320E5">
        <w:rPr>
          <w:rFonts w:ascii="Arial" w:eastAsia="Times New Roman" w:hAnsi="Arial" w:cs="Times New Roman"/>
          <w:lang w:val="en-GB" w:bidi="en-US"/>
        </w:rPr>
        <w:t xml:space="preserve"> round of</w:t>
      </w:r>
      <w:r w:rsidR="002A1429" w:rsidRPr="005F4A99">
        <w:rPr>
          <w:rFonts w:ascii="Arial" w:eastAsia="Times New Roman" w:hAnsi="Arial" w:cs="Times New Roman"/>
          <w:lang w:val="en-GB" w:bidi="en-US"/>
        </w:rPr>
        <w:t xml:space="preserve"> targeted consultation to present the findings of </w:t>
      </w:r>
      <w:r w:rsidR="007B1A60">
        <w:rPr>
          <w:rFonts w:ascii="Arial" w:eastAsia="Times New Roman" w:hAnsi="Arial" w:cs="Times New Roman"/>
          <w:lang w:val="en-GB" w:bidi="en-US"/>
        </w:rPr>
        <w:t xml:space="preserve">the </w:t>
      </w:r>
      <w:r w:rsidR="00CE3140">
        <w:rPr>
          <w:rFonts w:ascii="Arial" w:eastAsia="Times New Roman" w:hAnsi="Arial" w:cs="Times New Roman"/>
          <w:lang w:val="en-GB" w:bidi="en-US"/>
        </w:rPr>
        <w:t>consumer research</w:t>
      </w:r>
      <w:r w:rsidR="002A1429" w:rsidRPr="005F4A99">
        <w:rPr>
          <w:rFonts w:ascii="Arial" w:eastAsia="Times New Roman" w:hAnsi="Arial" w:cs="Times New Roman"/>
          <w:lang w:val="en-GB" w:bidi="en-US"/>
        </w:rPr>
        <w:t xml:space="preserve"> and seek views on possible changes </w:t>
      </w:r>
      <w:r w:rsidR="001E3D40">
        <w:rPr>
          <w:rFonts w:ascii="Arial" w:eastAsia="Times New Roman" w:hAnsi="Arial" w:cs="Times New Roman"/>
          <w:lang w:val="en-GB" w:bidi="en-US"/>
        </w:rPr>
        <w:t xml:space="preserve">to </w:t>
      </w:r>
      <w:r w:rsidR="002A1429" w:rsidRPr="005F4A99">
        <w:rPr>
          <w:rFonts w:ascii="Arial" w:eastAsia="Times New Roman" w:hAnsi="Arial" w:cs="Times New Roman"/>
          <w:lang w:val="en-GB" w:bidi="en-US"/>
        </w:rPr>
        <w:t xml:space="preserve">the approach proposed in the CFS. </w:t>
      </w:r>
    </w:p>
    <w:p w14:paraId="5CFD09CA" w14:textId="77777777" w:rsidR="00AF0A1E" w:rsidRDefault="00AF0A1E" w:rsidP="00CE3140">
      <w:pPr>
        <w:widowControl w:val="0"/>
        <w:spacing w:after="0" w:line="240" w:lineRule="auto"/>
        <w:rPr>
          <w:rFonts w:ascii="Arial" w:eastAsia="Times New Roman" w:hAnsi="Arial" w:cs="Times New Roman"/>
          <w:lang w:val="en-GB" w:bidi="en-US"/>
        </w:rPr>
      </w:pPr>
    </w:p>
    <w:p w14:paraId="48024578" w14:textId="63EDD335" w:rsidR="00AF0A1E" w:rsidRDefault="00AF0A1E" w:rsidP="00CE3140">
      <w:pPr>
        <w:widowControl w:val="0"/>
        <w:spacing w:after="0" w:line="240" w:lineRule="auto"/>
        <w:rPr>
          <w:rFonts w:ascii="Arial" w:eastAsia="Times New Roman" w:hAnsi="Arial" w:cs="Times New Roman"/>
          <w:lang w:val="en-GB" w:bidi="en-US"/>
        </w:rPr>
      </w:pPr>
      <w:r>
        <w:rPr>
          <w:rFonts w:ascii="Arial" w:eastAsia="Times New Roman" w:hAnsi="Arial" w:cs="Times New Roman"/>
          <w:lang w:val="en-GB" w:bidi="en-US"/>
        </w:rPr>
        <w:t xml:space="preserve">The </w:t>
      </w:r>
      <w:r w:rsidR="002D285F">
        <w:rPr>
          <w:rFonts w:ascii="Arial" w:eastAsia="Times New Roman" w:hAnsi="Arial" w:cs="Times New Roman"/>
          <w:lang w:val="en-GB" w:bidi="en-US"/>
        </w:rPr>
        <w:t>further</w:t>
      </w:r>
      <w:r>
        <w:rPr>
          <w:rFonts w:ascii="Arial" w:eastAsia="Times New Roman" w:hAnsi="Arial" w:cs="Times New Roman"/>
          <w:lang w:val="en-GB" w:bidi="en-US"/>
        </w:rPr>
        <w:t xml:space="preserve"> round of targeted consultations </w:t>
      </w:r>
      <w:r w:rsidR="003D1FDB">
        <w:rPr>
          <w:rFonts w:ascii="Arial" w:eastAsia="Times New Roman" w:hAnsi="Arial" w:cs="Times New Roman"/>
          <w:lang w:val="en-GB" w:bidi="en-US"/>
        </w:rPr>
        <w:t>took-place</w:t>
      </w:r>
      <w:r>
        <w:rPr>
          <w:rFonts w:ascii="Arial" w:eastAsia="Times New Roman" w:hAnsi="Arial" w:cs="Times New Roman"/>
          <w:lang w:val="en-GB" w:bidi="en-US"/>
        </w:rPr>
        <w:t xml:space="preserve"> in November 202</w:t>
      </w:r>
      <w:r w:rsidR="003D1FDB">
        <w:rPr>
          <w:rFonts w:ascii="Arial" w:eastAsia="Times New Roman" w:hAnsi="Arial" w:cs="Times New Roman"/>
          <w:lang w:val="en-GB" w:bidi="en-US"/>
        </w:rPr>
        <w:t>4</w:t>
      </w:r>
      <w:r w:rsidR="00FD08B2">
        <w:rPr>
          <w:rFonts w:ascii="Arial" w:eastAsia="Times New Roman" w:hAnsi="Arial" w:cs="Times New Roman"/>
          <w:lang w:val="en-GB" w:bidi="en-US"/>
        </w:rPr>
        <w:t xml:space="preserve"> about </w:t>
      </w:r>
      <w:r w:rsidR="009609F6">
        <w:rPr>
          <w:rFonts w:ascii="Arial" w:eastAsia="Times New Roman" w:hAnsi="Arial" w:cs="Times New Roman"/>
          <w:lang w:val="en-GB" w:bidi="en-US"/>
        </w:rPr>
        <w:t xml:space="preserve">certain features of </w:t>
      </w:r>
      <w:r w:rsidR="00FD08B2" w:rsidRPr="00FD08B2">
        <w:rPr>
          <w:rFonts w:ascii="Arial" w:eastAsia="Times New Roman" w:hAnsi="Arial" w:cs="Times New Roman"/>
          <w:lang w:val="en-GB" w:bidi="en-US"/>
        </w:rPr>
        <w:t>the proposed approach</w:t>
      </w:r>
      <w:r w:rsidR="009609F6">
        <w:rPr>
          <w:rFonts w:ascii="Arial" w:eastAsia="Times New Roman" w:hAnsi="Arial" w:cs="Times New Roman"/>
          <w:lang w:val="en-GB" w:bidi="en-US"/>
        </w:rPr>
        <w:t>, including</w:t>
      </w:r>
      <w:r w:rsidR="00FD08B2" w:rsidRPr="00FD08B2">
        <w:rPr>
          <w:rFonts w:ascii="Arial" w:eastAsia="Times New Roman" w:hAnsi="Arial" w:cs="Times New Roman"/>
          <w:lang w:val="en-GB" w:bidi="en-US"/>
        </w:rPr>
        <w:t xml:space="preserve"> </w:t>
      </w:r>
      <w:r w:rsidR="00F67ACD">
        <w:rPr>
          <w:rFonts w:ascii="Arial" w:eastAsia="Times New Roman" w:hAnsi="Arial" w:cs="Times New Roman"/>
          <w:lang w:val="en-GB" w:bidi="en-US"/>
        </w:rPr>
        <w:t xml:space="preserve">seeking further views around </w:t>
      </w:r>
      <w:r w:rsidR="00FD08B2" w:rsidRPr="00FD08B2">
        <w:rPr>
          <w:rFonts w:ascii="Arial" w:eastAsia="Times New Roman" w:hAnsi="Arial" w:cs="Times New Roman"/>
          <w:lang w:val="en-GB" w:bidi="en-US"/>
        </w:rPr>
        <w:t>requir</w:t>
      </w:r>
      <w:r w:rsidR="00FD08B2">
        <w:rPr>
          <w:rFonts w:ascii="Arial" w:eastAsia="Times New Roman" w:hAnsi="Arial" w:cs="Times New Roman"/>
          <w:lang w:val="en-GB" w:bidi="en-US"/>
        </w:rPr>
        <w:t>ing</w:t>
      </w:r>
      <w:r w:rsidR="00FD08B2" w:rsidRPr="00FD08B2">
        <w:rPr>
          <w:rFonts w:ascii="Arial" w:eastAsia="Times New Roman" w:hAnsi="Arial" w:cs="Times New Roman"/>
          <w:lang w:val="en-GB" w:bidi="en-US"/>
        </w:rPr>
        <w:t xml:space="preserve"> the number of standard drinks equivalent to one serving to be included in the energy statement and NIP.</w:t>
      </w:r>
    </w:p>
    <w:p w14:paraId="0559849D" w14:textId="77777777" w:rsidR="00CE3140" w:rsidRPr="00CE3140" w:rsidRDefault="00CE3140" w:rsidP="00CE3140">
      <w:pPr>
        <w:widowControl w:val="0"/>
        <w:spacing w:after="0" w:line="240" w:lineRule="auto"/>
        <w:rPr>
          <w:rFonts w:ascii="Arial" w:eastAsia="Times New Roman" w:hAnsi="Arial" w:cs="Times New Roman"/>
          <w:lang w:val="en-GB" w:bidi="en-US"/>
        </w:rPr>
      </w:pPr>
    </w:p>
    <w:p w14:paraId="0ABD4744" w14:textId="3C8415C5" w:rsidR="00D54C9A" w:rsidRPr="000828D1" w:rsidRDefault="00CE3140" w:rsidP="000828D1">
      <w:pPr>
        <w:rPr>
          <w:rFonts w:ascii="Arial" w:hAnsi="Arial" w:cs="Arial"/>
          <w:b/>
          <w:bCs/>
          <w:snapToGrid w:val="0"/>
          <w:lang w:val="en-AU"/>
        </w:rPr>
      </w:pPr>
      <w:bookmarkStart w:id="42" w:name="_Hlk176871342"/>
      <w:r>
        <w:rPr>
          <w:rFonts w:ascii="Arial" w:hAnsi="Arial" w:cs="Arial"/>
          <w:b/>
          <w:bCs/>
          <w:snapToGrid w:val="0"/>
          <w:lang w:val="en-AU"/>
        </w:rPr>
        <w:t>Specific</w:t>
      </w:r>
      <w:r w:rsidR="00D54C9A" w:rsidRPr="000828D1">
        <w:rPr>
          <w:rFonts w:ascii="Arial" w:hAnsi="Arial" w:cs="Arial"/>
          <w:b/>
          <w:bCs/>
          <w:snapToGrid w:val="0"/>
          <w:lang w:val="en-AU"/>
        </w:rPr>
        <w:t xml:space="preserve"> issues raised during consultation</w:t>
      </w:r>
      <w:r w:rsidR="00DE58AD">
        <w:rPr>
          <w:rFonts w:ascii="Arial" w:hAnsi="Arial" w:cs="Arial"/>
          <w:b/>
          <w:bCs/>
          <w:snapToGrid w:val="0"/>
          <w:lang w:val="en-AU"/>
        </w:rPr>
        <w:t>s</w:t>
      </w:r>
      <w:r w:rsidR="00D54C9A" w:rsidRPr="000828D1">
        <w:rPr>
          <w:rFonts w:ascii="Arial" w:hAnsi="Arial" w:cs="Arial"/>
          <w:b/>
          <w:bCs/>
          <w:snapToGrid w:val="0"/>
          <w:lang w:val="en-AU"/>
        </w:rPr>
        <w:t xml:space="preserve"> </w:t>
      </w:r>
      <w:r w:rsidR="00697F2A">
        <w:rPr>
          <w:rFonts w:ascii="Arial" w:hAnsi="Arial" w:cs="Arial"/>
          <w:b/>
          <w:bCs/>
          <w:snapToGrid w:val="0"/>
          <w:lang w:val="en-AU"/>
        </w:rPr>
        <w:t xml:space="preserve">relevant to </w:t>
      </w:r>
      <w:r w:rsidR="00430B13">
        <w:rPr>
          <w:rFonts w:ascii="Arial" w:hAnsi="Arial" w:cs="Arial"/>
          <w:b/>
          <w:bCs/>
          <w:snapToGrid w:val="0"/>
          <w:lang w:val="en-AU"/>
        </w:rPr>
        <w:t xml:space="preserve">the analysis of </w:t>
      </w:r>
      <w:r>
        <w:rPr>
          <w:rFonts w:ascii="Arial" w:hAnsi="Arial" w:cs="Arial"/>
          <w:b/>
          <w:bCs/>
          <w:snapToGrid w:val="0"/>
          <w:lang w:val="en-AU"/>
        </w:rPr>
        <w:t>costs and benefits</w:t>
      </w:r>
    </w:p>
    <w:bookmarkEnd w:id="42"/>
    <w:p w14:paraId="6AAD2E63" w14:textId="63ACE2E5" w:rsidR="00D54C9A" w:rsidRDefault="00401307" w:rsidP="00D54C9A">
      <w:pPr>
        <w:rPr>
          <w:rFonts w:ascii="Arial" w:hAnsi="Arial" w:cs="Arial"/>
          <w:b/>
          <w:bCs/>
          <w:lang w:val="en-GB"/>
        </w:rPr>
      </w:pPr>
      <w:r>
        <w:rPr>
          <w:rFonts w:ascii="Arial" w:hAnsi="Arial" w:cs="Arial"/>
          <w:b/>
          <w:bCs/>
          <w:lang w:val="en-GB"/>
        </w:rPr>
        <w:t>Use of a b</w:t>
      </w:r>
      <w:r w:rsidR="00D54C9A" w:rsidRPr="007457B7">
        <w:rPr>
          <w:rFonts w:ascii="Arial" w:hAnsi="Arial" w:cs="Arial"/>
          <w:b/>
          <w:bCs/>
          <w:lang w:val="en-GB"/>
        </w:rPr>
        <w:t>reak-even</w:t>
      </w:r>
      <w:r w:rsidR="00A1790C">
        <w:rPr>
          <w:rFonts w:ascii="Arial" w:hAnsi="Arial" w:cs="Arial"/>
          <w:b/>
          <w:bCs/>
          <w:lang w:val="en-GB"/>
        </w:rPr>
        <w:t xml:space="preserve"> </w:t>
      </w:r>
      <w:r w:rsidR="00D54C9A" w:rsidRPr="007457B7">
        <w:rPr>
          <w:rFonts w:ascii="Arial" w:hAnsi="Arial" w:cs="Arial"/>
          <w:b/>
          <w:bCs/>
          <w:lang w:val="en-GB"/>
        </w:rPr>
        <w:t xml:space="preserve">analysis </w:t>
      </w:r>
    </w:p>
    <w:p w14:paraId="10D9825B" w14:textId="027A0F6E" w:rsidR="00D54C9A" w:rsidRPr="006C0956" w:rsidRDefault="004601C2" w:rsidP="00D54C9A">
      <w:pPr>
        <w:rPr>
          <w:rFonts w:ascii="Arial" w:eastAsia="Times New Roman" w:hAnsi="Arial" w:cs="Times New Roman"/>
          <w:lang w:val="en-GB" w:bidi="en-US"/>
        </w:rPr>
      </w:pPr>
      <w:r w:rsidRPr="006C0956">
        <w:rPr>
          <w:rFonts w:ascii="Arial" w:eastAsia="Times New Roman" w:hAnsi="Arial" w:cs="Times New Roman"/>
          <w:lang w:val="en-GB" w:bidi="en-US"/>
        </w:rPr>
        <w:t>Five</w:t>
      </w:r>
      <w:r w:rsidR="00811E61" w:rsidRPr="006C0956">
        <w:rPr>
          <w:rFonts w:ascii="Arial" w:eastAsia="Times New Roman" w:hAnsi="Arial" w:cs="Times New Roman"/>
          <w:lang w:val="en-GB" w:bidi="en-US"/>
        </w:rPr>
        <w:t xml:space="preserve"> </w:t>
      </w:r>
      <w:r w:rsidRPr="006C0956">
        <w:rPr>
          <w:rFonts w:ascii="Arial" w:eastAsia="Times New Roman" w:hAnsi="Arial" w:cs="Times New Roman"/>
          <w:lang w:val="en-GB" w:bidi="en-US"/>
        </w:rPr>
        <w:t>submitters to the CFS</w:t>
      </w:r>
      <w:r w:rsidR="00856343" w:rsidRPr="006C0956">
        <w:rPr>
          <w:rFonts w:ascii="Arial" w:eastAsia="Times New Roman" w:hAnsi="Arial" w:cs="Times New Roman"/>
          <w:lang w:val="en-GB" w:bidi="en-US"/>
        </w:rPr>
        <w:t xml:space="preserve"> </w:t>
      </w:r>
      <w:r w:rsidRPr="006C0956">
        <w:rPr>
          <w:rFonts w:ascii="Arial" w:eastAsia="Times New Roman" w:hAnsi="Arial" w:cs="Times New Roman"/>
          <w:lang w:val="en-GB" w:bidi="en-US"/>
        </w:rPr>
        <w:t xml:space="preserve">(four from industry and one from </w:t>
      </w:r>
      <w:r w:rsidR="00A91C13" w:rsidRPr="006C0956">
        <w:rPr>
          <w:rFonts w:ascii="Arial" w:eastAsia="Times New Roman" w:hAnsi="Arial" w:cs="Times New Roman"/>
          <w:lang w:val="en-GB" w:bidi="en-US"/>
        </w:rPr>
        <w:t>government</w:t>
      </w:r>
      <w:r w:rsidRPr="006C0956">
        <w:rPr>
          <w:rFonts w:ascii="Arial" w:eastAsia="Times New Roman" w:hAnsi="Arial" w:cs="Times New Roman"/>
          <w:lang w:val="en-GB" w:bidi="en-US"/>
        </w:rPr>
        <w:t xml:space="preserve">) </w:t>
      </w:r>
      <w:r w:rsidR="00856343" w:rsidRPr="006C0956">
        <w:rPr>
          <w:rFonts w:ascii="Arial" w:eastAsia="Times New Roman" w:hAnsi="Arial" w:cs="Times New Roman"/>
          <w:lang w:val="en-GB" w:bidi="en-US"/>
        </w:rPr>
        <w:t xml:space="preserve">voiced concerns about using a </w:t>
      </w:r>
      <w:r w:rsidR="00CD78BF" w:rsidRPr="006C0956">
        <w:rPr>
          <w:rFonts w:ascii="Arial" w:eastAsia="Times New Roman" w:hAnsi="Arial" w:cs="Times New Roman"/>
          <w:lang w:val="en-GB" w:bidi="en-US"/>
        </w:rPr>
        <w:t>break-even</w:t>
      </w:r>
      <w:r w:rsidR="00A1790C" w:rsidRPr="006C0956">
        <w:rPr>
          <w:rFonts w:ascii="Arial" w:eastAsia="Times New Roman" w:hAnsi="Arial" w:cs="Times New Roman"/>
          <w:lang w:val="en-GB" w:bidi="en-US"/>
        </w:rPr>
        <w:t xml:space="preserve"> </w:t>
      </w:r>
      <w:r w:rsidR="00387527" w:rsidRPr="006C0956">
        <w:rPr>
          <w:rFonts w:ascii="Arial" w:eastAsia="Times New Roman" w:hAnsi="Arial" w:cs="Times New Roman"/>
          <w:lang w:val="en-GB" w:bidi="en-US"/>
        </w:rPr>
        <w:t>analysis</w:t>
      </w:r>
      <w:r w:rsidRPr="006C0956">
        <w:rPr>
          <w:rFonts w:ascii="Arial" w:eastAsia="Times New Roman" w:hAnsi="Arial" w:cs="Times New Roman"/>
          <w:lang w:val="en-GB" w:bidi="en-US"/>
        </w:rPr>
        <w:t>.</w:t>
      </w:r>
      <w:r w:rsidR="007309B9" w:rsidRPr="006C0956">
        <w:rPr>
          <w:rFonts w:ascii="Arial" w:eastAsia="Times New Roman" w:hAnsi="Arial" w:cs="Times New Roman"/>
          <w:lang w:val="en-GB" w:bidi="en-US"/>
        </w:rPr>
        <w:t xml:space="preserve"> They considered the</w:t>
      </w:r>
      <w:r w:rsidR="000655E7" w:rsidRPr="006C0956">
        <w:rPr>
          <w:rFonts w:ascii="Arial" w:eastAsia="Times New Roman" w:hAnsi="Arial" w:cs="Times New Roman"/>
          <w:lang w:val="en-GB" w:bidi="en-US"/>
        </w:rPr>
        <w:t xml:space="preserve"> approach </w:t>
      </w:r>
      <w:r w:rsidR="007309B9" w:rsidRPr="006C0956">
        <w:rPr>
          <w:rFonts w:ascii="Arial" w:eastAsia="Times New Roman" w:hAnsi="Arial" w:cs="Times New Roman"/>
          <w:lang w:val="en-GB" w:bidi="en-US"/>
        </w:rPr>
        <w:t>wa</w:t>
      </w:r>
      <w:r w:rsidR="000655E7" w:rsidRPr="006C0956">
        <w:rPr>
          <w:rFonts w:ascii="Arial" w:eastAsia="Times New Roman" w:hAnsi="Arial" w:cs="Times New Roman"/>
          <w:lang w:val="en-GB" w:bidi="en-US"/>
        </w:rPr>
        <w:t xml:space="preserve">s not appropriate, rigorous or supported by evidence. In particular, </w:t>
      </w:r>
      <w:r w:rsidR="007309B9" w:rsidRPr="006C0956">
        <w:rPr>
          <w:rFonts w:ascii="Arial" w:eastAsia="Times New Roman" w:hAnsi="Arial" w:cs="Times New Roman"/>
          <w:lang w:val="en-GB" w:bidi="en-US"/>
        </w:rPr>
        <w:t xml:space="preserve">they suggested </w:t>
      </w:r>
      <w:r w:rsidR="00A648C3" w:rsidRPr="006C0956">
        <w:rPr>
          <w:rFonts w:ascii="Arial" w:eastAsia="Times New Roman" w:hAnsi="Arial" w:cs="Times New Roman"/>
          <w:lang w:val="en-GB" w:bidi="en-US"/>
        </w:rPr>
        <w:t xml:space="preserve">that </w:t>
      </w:r>
      <w:r w:rsidR="000655E7" w:rsidRPr="006C0956">
        <w:rPr>
          <w:rFonts w:ascii="Arial" w:eastAsia="Times New Roman" w:hAnsi="Arial" w:cs="Times New Roman"/>
          <w:lang w:val="en-GB" w:bidi="en-US"/>
        </w:rPr>
        <w:t>making quantitative comparisons between costs to manufacture</w:t>
      </w:r>
      <w:r w:rsidR="00400330" w:rsidRPr="006C0956">
        <w:rPr>
          <w:rFonts w:ascii="Arial" w:eastAsia="Times New Roman" w:hAnsi="Arial" w:cs="Times New Roman"/>
          <w:lang w:val="en-GB" w:bidi="en-US"/>
        </w:rPr>
        <w:t>r</w:t>
      </w:r>
      <w:r w:rsidR="000655E7" w:rsidRPr="006C0956">
        <w:rPr>
          <w:rFonts w:ascii="Arial" w:eastAsia="Times New Roman" w:hAnsi="Arial" w:cs="Times New Roman"/>
          <w:lang w:val="en-GB" w:bidi="en-US"/>
        </w:rPr>
        <w:t>s and reduced obesity-related health costs</w:t>
      </w:r>
      <w:r w:rsidR="00980008" w:rsidRPr="006C0956">
        <w:rPr>
          <w:rFonts w:ascii="Arial" w:eastAsia="Times New Roman" w:hAnsi="Arial" w:cs="Times New Roman"/>
          <w:lang w:val="en-GB" w:bidi="en-US"/>
        </w:rPr>
        <w:t xml:space="preserve"> was not appropriate</w:t>
      </w:r>
      <w:r w:rsidR="000655E7" w:rsidRPr="006C0956">
        <w:rPr>
          <w:rFonts w:ascii="Arial" w:eastAsia="Times New Roman" w:hAnsi="Arial" w:cs="Times New Roman"/>
          <w:lang w:val="en-GB" w:bidi="en-US"/>
        </w:rPr>
        <w:t>.</w:t>
      </w:r>
    </w:p>
    <w:p w14:paraId="1EB088B0" w14:textId="0B552073" w:rsidR="004601C2" w:rsidRPr="006C0956" w:rsidRDefault="004601C2" w:rsidP="00D54C9A">
      <w:pPr>
        <w:rPr>
          <w:rFonts w:ascii="Arial" w:eastAsia="Times New Roman" w:hAnsi="Arial" w:cs="Times New Roman"/>
          <w:lang w:val="en-GB" w:bidi="en-US"/>
        </w:rPr>
      </w:pPr>
      <w:r w:rsidRPr="006C0956">
        <w:rPr>
          <w:rFonts w:ascii="Arial" w:eastAsia="Times New Roman" w:hAnsi="Arial" w:cs="Times New Roman"/>
          <w:lang w:val="en-GB" w:bidi="en-US"/>
        </w:rPr>
        <w:t xml:space="preserve">That said, another three submitters (all from </w:t>
      </w:r>
      <w:r w:rsidR="00A91C13" w:rsidRPr="006C0956">
        <w:rPr>
          <w:rFonts w:ascii="Arial" w:eastAsia="Times New Roman" w:hAnsi="Arial" w:cs="Times New Roman"/>
          <w:lang w:val="en-GB" w:bidi="en-US"/>
        </w:rPr>
        <w:t>government</w:t>
      </w:r>
      <w:r w:rsidRPr="006C0956">
        <w:rPr>
          <w:rFonts w:ascii="Arial" w:eastAsia="Times New Roman" w:hAnsi="Arial" w:cs="Times New Roman"/>
          <w:lang w:val="en-GB" w:bidi="en-US"/>
        </w:rPr>
        <w:t xml:space="preserve">) explicitly stated their support for using a </w:t>
      </w:r>
      <w:r w:rsidR="00387527" w:rsidRPr="006C0956">
        <w:rPr>
          <w:rFonts w:ascii="Arial" w:eastAsia="Times New Roman" w:hAnsi="Arial" w:cs="Times New Roman"/>
          <w:lang w:val="en-GB" w:bidi="en-US"/>
        </w:rPr>
        <w:t>break-even</w:t>
      </w:r>
      <w:r w:rsidR="00A1790C" w:rsidRPr="006C0956">
        <w:rPr>
          <w:rFonts w:ascii="Arial" w:eastAsia="Times New Roman" w:hAnsi="Arial" w:cs="Times New Roman"/>
          <w:lang w:val="en-GB" w:bidi="en-US"/>
        </w:rPr>
        <w:t xml:space="preserve"> </w:t>
      </w:r>
      <w:r w:rsidR="00387527" w:rsidRPr="006C0956">
        <w:rPr>
          <w:rFonts w:ascii="Arial" w:eastAsia="Times New Roman" w:hAnsi="Arial" w:cs="Times New Roman"/>
          <w:lang w:val="en-GB" w:bidi="en-US"/>
        </w:rPr>
        <w:t>analysis</w:t>
      </w:r>
      <w:r w:rsidRPr="006C0956">
        <w:rPr>
          <w:rFonts w:ascii="Arial" w:eastAsia="Times New Roman" w:hAnsi="Arial" w:cs="Times New Roman"/>
          <w:lang w:val="en-GB" w:bidi="en-US"/>
        </w:rPr>
        <w:t xml:space="preserve"> in this context.</w:t>
      </w:r>
    </w:p>
    <w:p w14:paraId="1288781F" w14:textId="05289F51" w:rsidR="00B56FE4" w:rsidRPr="006C0956" w:rsidRDefault="00687D5D" w:rsidP="00B56FE4">
      <w:pPr>
        <w:contextualSpacing/>
        <w:rPr>
          <w:rFonts w:ascii="Arial" w:eastAsia="Times New Roman" w:hAnsi="Arial" w:cs="Times New Roman"/>
          <w:lang w:val="en-GB" w:bidi="en-US"/>
        </w:rPr>
      </w:pPr>
      <w:r w:rsidRPr="006C0956">
        <w:rPr>
          <w:rFonts w:ascii="Arial" w:eastAsia="Times New Roman" w:hAnsi="Arial" w:cs="Times New Roman"/>
          <w:lang w:val="en-GB" w:bidi="en-US"/>
        </w:rPr>
        <w:t xml:space="preserve">The </w:t>
      </w:r>
      <w:r w:rsidR="00387527" w:rsidRPr="006C0956">
        <w:rPr>
          <w:rFonts w:ascii="Arial" w:eastAsia="Times New Roman" w:hAnsi="Arial" w:cs="Times New Roman"/>
          <w:lang w:val="en-GB" w:bidi="en-US"/>
        </w:rPr>
        <w:t>break-even</w:t>
      </w:r>
      <w:r w:rsidR="00A1790C" w:rsidRPr="006C0956">
        <w:rPr>
          <w:rFonts w:ascii="Arial" w:eastAsia="Times New Roman" w:hAnsi="Arial" w:cs="Times New Roman"/>
          <w:lang w:val="en-GB" w:bidi="en-US"/>
        </w:rPr>
        <w:t xml:space="preserve"> </w:t>
      </w:r>
      <w:r w:rsidR="00387527" w:rsidRPr="006C0956">
        <w:rPr>
          <w:rFonts w:ascii="Arial" w:eastAsia="Times New Roman" w:hAnsi="Arial" w:cs="Times New Roman"/>
          <w:lang w:val="en-GB" w:bidi="en-US"/>
        </w:rPr>
        <w:t>analysis</w:t>
      </w:r>
      <w:r w:rsidRPr="006C0956">
        <w:rPr>
          <w:rFonts w:ascii="Arial" w:eastAsia="Times New Roman" w:hAnsi="Arial" w:cs="Times New Roman"/>
          <w:lang w:val="en-GB" w:bidi="en-US"/>
        </w:rPr>
        <w:t xml:space="preserve"> is</w:t>
      </w:r>
      <w:r w:rsidRPr="006C0956" w:rsidDel="00C90F90">
        <w:rPr>
          <w:rFonts w:ascii="Arial" w:eastAsia="Times New Roman" w:hAnsi="Arial" w:cs="Times New Roman"/>
          <w:lang w:val="en-GB" w:bidi="en-US"/>
        </w:rPr>
        <w:t xml:space="preserve"> </w:t>
      </w:r>
      <w:r w:rsidR="00A53790" w:rsidRPr="006C0956">
        <w:rPr>
          <w:rFonts w:ascii="Arial" w:eastAsia="Times New Roman" w:hAnsi="Arial" w:cs="Times New Roman"/>
          <w:lang w:val="en-GB" w:bidi="en-US"/>
        </w:rPr>
        <w:t>used</w:t>
      </w:r>
      <w:r w:rsidRPr="006C0956">
        <w:rPr>
          <w:rFonts w:ascii="Arial" w:eastAsia="Times New Roman" w:hAnsi="Arial" w:cs="Times New Roman"/>
          <w:lang w:val="en-GB" w:bidi="en-US"/>
        </w:rPr>
        <w:t xml:space="preserve"> because of the difficulties with asserting a clear quantifiable causation</w:t>
      </w:r>
      <w:r w:rsidR="00FC7B2A" w:rsidRPr="006C0956">
        <w:rPr>
          <w:rFonts w:ascii="Arial" w:eastAsia="Times New Roman" w:hAnsi="Arial" w:cs="Times New Roman"/>
          <w:lang w:val="en-GB" w:bidi="en-US"/>
        </w:rPr>
        <w:t>, given the complexity and situational nature of human decision making</w:t>
      </w:r>
      <w:r w:rsidRPr="006C0956">
        <w:rPr>
          <w:rFonts w:ascii="Arial" w:eastAsia="Times New Roman" w:hAnsi="Arial" w:cs="Times New Roman"/>
          <w:lang w:val="en-GB" w:bidi="en-US"/>
        </w:rPr>
        <w:t>.</w:t>
      </w:r>
      <w:r w:rsidR="00B56FE4" w:rsidRPr="006C0956">
        <w:rPr>
          <w:rFonts w:ascii="Arial" w:eastAsia="Times New Roman" w:hAnsi="Arial" w:cs="Times New Roman"/>
          <w:lang w:val="en-GB" w:bidi="en-US"/>
        </w:rPr>
        <w:t xml:space="preserve"> This especially applies to P1059 given the foundational role of the </w:t>
      </w:r>
      <w:r w:rsidR="00B56FE4" w:rsidRPr="006C0956" w:rsidDel="004C779F">
        <w:rPr>
          <w:rFonts w:ascii="Arial" w:eastAsia="Times New Roman" w:hAnsi="Arial" w:cs="Times New Roman"/>
          <w:lang w:val="en-GB" w:bidi="en-US"/>
        </w:rPr>
        <w:t xml:space="preserve">proposed </w:t>
      </w:r>
      <w:r w:rsidR="00B56FE4" w:rsidRPr="006C0956">
        <w:rPr>
          <w:rFonts w:ascii="Arial" w:eastAsia="Times New Roman" w:hAnsi="Arial" w:cs="Times New Roman"/>
          <w:lang w:val="en-GB" w:bidi="en-US"/>
        </w:rPr>
        <w:t xml:space="preserve">energy statement </w:t>
      </w:r>
      <w:r w:rsidR="004C779F" w:rsidRPr="006C0956">
        <w:rPr>
          <w:rFonts w:ascii="Arial" w:eastAsia="Times New Roman" w:hAnsi="Arial" w:cs="Times New Roman"/>
          <w:lang w:val="en-GB" w:bidi="en-US"/>
        </w:rPr>
        <w:t>would have in</w:t>
      </w:r>
      <w:r w:rsidR="00876E8B" w:rsidRPr="006C0956">
        <w:rPr>
          <w:rFonts w:ascii="Arial" w:eastAsia="Times New Roman" w:hAnsi="Arial" w:cs="Times New Roman"/>
          <w:lang w:val="en-GB" w:bidi="en-US"/>
        </w:rPr>
        <w:t xml:space="preserve"> </w:t>
      </w:r>
      <w:r w:rsidR="00B56FE4" w:rsidRPr="006C0956">
        <w:rPr>
          <w:rFonts w:ascii="Arial" w:eastAsia="Times New Roman" w:hAnsi="Arial" w:cs="Times New Roman"/>
          <w:lang w:val="en-GB" w:bidi="en-US"/>
        </w:rPr>
        <w:t xml:space="preserve">education initiatives </w:t>
      </w:r>
      <w:r w:rsidR="004C779F" w:rsidRPr="006C0956">
        <w:rPr>
          <w:rFonts w:ascii="Arial" w:eastAsia="Times New Roman" w:hAnsi="Arial" w:cs="Times New Roman"/>
          <w:lang w:val="en-GB" w:bidi="en-US"/>
        </w:rPr>
        <w:t>and the potential for</w:t>
      </w:r>
      <w:r w:rsidR="00B56FE4" w:rsidRPr="006C0956">
        <w:rPr>
          <w:rFonts w:ascii="Arial" w:eastAsia="Times New Roman" w:hAnsi="Arial" w:cs="Times New Roman"/>
          <w:lang w:val="en-GB" w:bidi="en-US"/>
        </w:rPr>
        <w:t xml:space="preserve"> greater long</w:t>
      </w:r>
      <w:r w:rsidR="00002BDA" w:rsidRPr="006C0956">
        <w:rPr>
          <w:rFonts w:ascii="Arial" w:eastAsia="Times New Roman" w:hAnsi="Arial" w:cs="Times New Roman"/>
          <w:lang w:val="en-GB" w:bidi="en-US"/>
        </w:rPr>
        <w:t xml:space="preserve"> </w:t>
      </w:r>
      <w:r w:rsidR="00B56FE4" w:rsidRPr="006C0956">
        <w:rPr>
          <w:rFonts w:ascii="Arial" w:eastAsia="Times New Roman" w:hAnsi="Arial" w:cs="Times New Roman"/>
          <w:lang w:val="en-GB" w:bidi="en-US"/>
        </w:rPr>
        <w:t>term impacts</w:t>
      </w:r>
      <w:r w:rsidR="00425B1C" w:rsidRPr="006C0956">
        <w:rPr>
          <w:rFonts w:ascii="Arial" w:eastAsia="Times New Roman" w:hAnsi="Arial" w:cs="Times New Roman"/>
          <w:lang w:val="en-GB" w:bidi="en-US"/>
        </w:rPr>
        <w:t xml:space="preserve">, </w:t>
      </w:r>
      <w:r w:rsidR="00933616" w:rsidRPr="006C0956">
        <w:rPr>
          <w:rFonts w:ascii="Arial" w:eastAsia="Times New Roman" w:hAnsi="Arial" w:cs="Times New Roman"/>
          <w:lang w:val="en-GB" w:bidi="en-US"/>
        </w:rPr>
        <w:t xml:space="preserve">over </w:t>
      </w:r>
      <w:r w:rsidR="00425B1C" w:rsidRPr="006C0956">
        <w:rPr>
          <w:rFonts w:ascii="Arial" w:eastAsia="Times New Roman" w:hAnsi="Arial" w:cs="Times New Roman"/>
          <w:lang w:val="en-GB" w:bidi="en-US"/>
        </w:rPr>
        <w:t>ten years</w:t>
      </w:r>
      <w:r w:rsidR="00933616" w:rsidRPr="006C0956">
        <w:rPr>
          <w:rFonts w:ascii="Arial" w:eastAsia="Times New Roman" w:hAnsi="Arial" w:cs="Times New Roman"/>
          <w:lang w:val="en-GB" w:bidi="en-US"/>
        </w:rPr>
        <w:t xml:space="preserve"> and beyond</w:t>
      </w:r>
      <w:r w:rsidR="00B56FE4" w:rsidRPr="006C0956">
        <w:rPr>
          <w:rFonts w:ascii="Arial" w:eastAsia="Times New Roman" w:hAnsi="Arial" w:cs="Times New Roman"/>
          <w:lang w:val="en-GB" w:bidi="en-US"/>
        </w:rPr>
        <w:t xml:space="preserve">. </w:t>
      </w:r>
    </w:p>
    <w:p w14:paraId="23F8B24A" w14:textId="77777777" w:rsidR="00E5200F" w:rsidRPr="006C0956" w:rsidRDefault="00E5200F" w:rsidP="00B56FE4">
      <w:pPr>
        <w:contextualSpacing/>
        <w:rPr>
          <w:rFonts w:ascii="Arial" w:eastAsia="Times New Roman" w:hAnsi="Arial" w:cs="Times New Roman"/>
          <w:lang w:val="en-GB" w:bidi="en-US"/>
        </w:rPr>
      </w:pPr>
    </w:p>
    <w:p w14:paraId="1F55CEDD" w14:textId="5CFB9B00" w:rsidR="00F90C9B" w:rsidRPr="006C0956" w:rsidRDefault="00B347B9" w:rsidP="008023B4">
      <w:pPr>
        <w:spacing w:after="0"/>
        <w:rPr>
          <w:rFonts w:ascii="Arial" w:eastAsia="Times New Roman" w:hAnsi="Arial" w:cs="Times New Roman"/>
          <w:lang w:val="en-GB" w:bidi="en-US"/>
        </w:rPr>
      </w:pPr>
      <w:r w:rsidRPr="006C0956">
        <w:rPr>
          <w:rFonts w:ascii="Arial" w:eastAsia="Times New Roman" w:hAnsi="Arial" w:cs="Times New Roman"/>
          <w:lang w:val="en-GB" w:bidi="en-US"/>
        </w:rPr>
        <w:t>For net benefits considerations, it is</w:t>
      </w:r>
      <w:r w:rsidR="00E81635" w:rsidRPr="006C0956">
        <w:rPr>
          <w:rFonts w:ascii="Arial" w:eastAsia="Times New Roman" w:hAnsi="Arial" w:cs="Times New Roman"/>
          <w:lang w:val="en-GB" w:bidi="en-US"/>
        </w:rPr>
        <w:t xml:space="preserve"> therefore</w:t>
      </w:r>
      <w:r w:rsidRPr="006C0956">
        <w:rPr>
          <w:rFonts w:ascii="Arial" w:eastAsia="Times New Roman" w:hAnsi="Arial" w:cs="Times New Roman"/>
          <w:lang w:val="en-GB" w:bidi="en-US"/>
        </w:rPr>
        <w:t xml:space="preserve"> appropriate to make some comparison between </w:t>
      </w:r>
      <w:r w:rsidR="00763598" w:rsidRPr="006C0956">
        <w:rPr>
          <w:rFonts w:ascii="Arial" w:eastAsia="Times New Roman" w:hAnsi="Arial" w:cs="Times New Roman"/>
          <w:lang w:val="en-GB" w:bidi="en-US"/>
        </w:rPr>
        <w:t>label change costs and reduced</w:t>
      </w:r>
      <w:r w:rsidR="006F6E1F" w:rsidRPr="006C0956">
        <w:rPr>
          <w:rFonts w:ascii="Arial" w:eastAsia="Times New Roman" w:hAnsi="Arial" w:cs="Times New Roman"/>
          <w:lang w:val="en-GB" w:bidi="en-US"/>
        </w:rPr>
        <w:t xml:space="preserve"> </w:t>
      </w:r>
      <w:r w:rsidR="00730214" w:rsidRPr="006C0956">
        <w:rPr>
          <w:rFonts w:ascii="Arial" w:eastAsia="Times New Roman" w:hAnsi="Arial" w:cs="Times New Roman"/>
          <w:lang w:val="en-GB" w:bidi="en-US"/>
        </w:rPr>
        <w:t xml:space="preserve">overweight and </w:t>
      </w:r>
      <w:r w:rsidR="006F6E1F" w:rsidRPr="006C0956">
        <w:rPr>
          <w:rFonts w:ascii="Arial" w:eastAsia="Times New Roman" w:hAnsi="Arial" w:cs="Times New Roman"/>
          <w:lang w:val="en-GB" w:bidi="en-US"/>
        </w:rPr>
        <w:t>obesity-related health costs.</w:t>
      </w:r>
      <w:r w:rsidR="00763598" w:rsidRPr="006C0956">
        <w:rPr>
          <w:rFonts w:ascii="Arial" w:eastAsia="Times New Roman" w:hAnsi="Arial" w:cs="Times New Roman"/>
          <w:lang w:val="en-GB" w:bidi="en-US"/>
        </w:rPr>
        <w:t xml:space="preserve"> </w:t>
      </w:r>
      <w:r w:rsidR="00F90C9B" w:rsidRPr="006C0956">
        <w:rPr>
          <w:rFonts w:ascii="Arial" w:eastAsia="Times New Roman" w:hAnsi="Arial" w:cs="Times New Roman"/>
          <w:lang w:val="en-GB" w:bidi="en-US"/>
        </w:rPr>
        <w:t xml:space="preserve">Equal weighting is given to costs across all parts of society, including industry, consumers and governments. </w:t>
      </w:r>
    </w:p>
    <w:p w14:paraId="33116D5F" w14:textId="77777777" w:rsidR="00856343" w:rsidRPr="006C0956" w:rsidRDefault="00856343" w:rsidP="00856343">
      <w:pPr>
        <w:pStyle w:val="ListParagraph"/>
        <w:rPr>
          <w:rFonts w:ascii="Arial" w:eastAsia="Times New Roman" w:hAnsi="Arial" w:cs="Times New Roman"/>
          <w:lang w:val="en-GB" w:bidi="en-US"/>
          <w14:ligatures w14:val="none"/>
        </w:rPr>
      </w:pPr>
    </w:p>
    <w:p w14:paraId="036A903D" w14:textId="64D9449A" w:rsidR="00D54C9A" w:rsidRDefault="00EA3D9C" w:rsidP="00D54C9A">
      <w:pPr>
        <w:rPr>
          <w:rFonts w:ascii="Arial" w:hAnsi="Arial" w:cs="Arial"/>
          <w:b/>
          <w:bCs/>
          <w:lang w:val="en-GB"/>
        </w:rPr>
      </w:pPr>
      <w:r>
        <w:rPr>
          <w:rFonts w:ascii="Arial" w:hAnsi="Arial" w:cs="Arial"/>
          <w:b/>
          <w:bCs/>
          <w:lang w:val="en-GB"/>
        </w:rPr>
        <w:t>D</w:t>
      </w:r>
      <w:r w:rsidR="00D54C9A" w:rsidRPr="000E5F7A">
        <w:rPr>
          <w:rFonts w:ascii="Arial" w:hAnsi="Arial" w:cs="Arial"/>
          <w:b/>
          <w:bCs/>
          <w:lang w:val="en-GB"/>
        </w:rPr>
        <w:t xml:space="preserve">isproportionate costs for some alcoholic beverage producers </w:t>
      </w:r>
    </w:p>
    <w:p w14:paraId="2A2C29F6" w14:textId="36203974" w:rsidR="00D54C9A" w:rsidRDefault="00EA3D9C" w:rsidP="00D54C9A">
      <w:pPr>
        <w:rPr>
          <w:rFonts w:ascii="Arial" w:hAnsi="Arial" w:cs="Arial"/>
          <w:lang w:val="en-GB"/>
        </w:rPr>
      </w:pPr>
      <w:r w:rsidRPr="1A79B7AB">
        <w:rPr>
          <w:rFonts w:ascii="Arial" w:hAnsi="Arial" w:cs="Arial"/>
          <w:lang w:val="en-GB"/>
        </w:rPr>
        <w:t xml:space="preserve">Some industry </w:t>
      </w:r>
      <w:r w:rsidR="00F3143A" w:rsidRPr="1A79B7AB">
        <w:rPr>
          <w:rFonts w:ascii="Arial" w:hAnsi="Arial" w:cs="Arial"/>
          <w:lang w:val="en-GB"/>
        </w:rPr>
        <w:t xml:space="preserve">submitters </w:t>
      </w:r>
      <w:r w:rsidRPr="1A79B7AB">
        <w:rPr>
          <w:rFonts w:ascii="Arial" w:hAnsi="Arial" w:cs="Arial"/>
          <w:lang w:val="en-GB"/>
        </w:rPr>
        <w:t xml:space="preserve">have </w:t>
      </w:r>
      <w:r w:rsidR="00F3143A" w:rsidRPr="1A79B7AB">
        <w:rPr>
          <w:rFonts w:ascii="Arial" w:hAnsi="Arial" w:cs="Arial"/>
          <w:lang w:val="en-GB"/>
        </w:rPr>
        <w:t>considered</w:t>
      </w:r>
      <w:r w:rsidRPr="1A79B7AB">
        <w:rPr>
          <w:rFonts w:ascii="Arial" w:hAnsi="Arial" w:cs="Arial"/>
          <w:lang w:val="en-GB"/>
        </w:rPr>
        <w:t xml:space="preserve"> the CFS did not consider the financial impacts on smaller alcoholic beverage producers including artisan beer, wine and spirits producers. </w:t>
      </w:r>
    </w:p>
    <w:p w14:paraId="724665A0" w14:textId="0A16817E" w:rsidR="00EA3D9C" w:rsidRPr="001C1F87" w:rsidRDefault="00DD2E56" w:rsidP="6A15B411">
      <w:pPr>
        <w:rPr>
          <w:rFonts w:ascii="Arial" w:hAnsi="Arial" w:cs="Arial"/>
        </w:rPr>
      </w:pPr>
      <w:r w:rsidRPr="6A15B411">
        <w:rPr>
          <w:rFonts w:ascii="Arial" w:hAnsi="Arial" w:cs="Arial"/>
        </w:rPr>
        <w:lastRenderedPageBreak/>
        <w:t>FSANZ notes these concerns and that financial impacts would greatly vary by individual business and SKU. For instance, a few small craft businesses that responded to the CFS suggested lower label change costs than FSANZ’s central estimate for a Medium label change. The risks of disproportionate</w:t>
      </w:r>
      <w:r w:rsidR="008839DB" w:rsidRPr="6A15B411">
        <w:rPr>
          <w:rFonts w:ascii="Arial" w:hAnsi="Arial" w:cs="Arial"/>
        </w:rPr>
        <w:t>ly high</w:t>
      </w:r>
      <w:r w:rsidRPr="6A15B411">
        <w:rPr>
          <w:rFonts w:ascii="Arial" w:hAnsi="Arial" w:cs="Arial"/>
        </w:rPr>
        <w:t xml:space="preserve"> financial costs to certain businesses, including to some craft businesses, have informed FSANZ’s assessment of the overall costs and benefits, including potential impacts on some businesses’ cash-flow. The assessment also draws on information supplied about numbers of craft brewers unable to use all label stocks during the three-year transition for pregnancy warning labelling and </w:t>
      </w:r>
      <w:r w:rsidR="00251AAD" w:rsidRPr="6A15B411">
        <w:rPr>
          <w:rFonts w:ascii="Arial" w:hAnsi="Arial" w:cs="Arial"/>
        </w:rPr>
        <w:t xml:space="preserve">from </w:t>
      </w:r>
      <w:r w:rsidRPr="6A15B411">
        <w:rPr>
          <w:rFonts w:ascii="Arial" w:hAnsi="Arial" w:cs="Arial"/>
        </w:rPr>
        <w:t>talking to representatives of craft busine</w:t>
      </w:r>
      <w:r w:rsidR="00B77113" w:rsidRPr="6A15B411">
        <w:rPr>
          <w:rFonts w:ascii="Arial" w:hAnsi="Arial" w:cs="Arial"/>
        </w:rPr>
        <w:t xml:space="preserve">sses. </w:t>
      </w:r>
    </w:p>
    <w:p w14:paraId="5D981011" w14:textId="633434C5" w:rsidR="00D54C9A" w:rsidRDefault="00D54C9A" w:rsidP="00D54C9A">
      <w:pPr>
        <w:rPr>
          <w:rFonts w:ascii="Arial" w:hAnsi="Arial" w:cs="Arial"/>
          <w:b/>
          <w:bCs/>
          <w:lang w:val="en-GB"/>
        </w:rPr>
      </w:pPr>
      <w:r>
        <w:rPr>
          <w:rFonts w:ascii="Arial" w:hAnsi="Arial" w:cs="Arial"/>
          <w:b/>
          <w:bCs/>
          <w:lang w:val="en-GB"/>
        </w:rPr>
        <w:t xml:space="preserve">Exemptions for very small </w:t>
      </w:r>
      <w:r w:rsidR="000828D1">
        <w:rPr>
          <w:rFonts w:ascii="Arial" w:hAnsi="Arial" w:cs="Arial"/>
          <w:b/>
          <w:bCs/>
          <w:lang w:val="en-GB"/>
        </w:rPr>
        <w:t xml:space="preserve">and limited edition </w:t>
      </w:r>
      <w:r>
        <w:rPr>
          <w:rFonts w:ascii="Arial" w:hAnsi="Arial" w:cs="Arial"/>
          <w:b/>
          <w:bCs/>
          <w:lang w:val="en-GB"/>
        </w:rPr>
        <w:t>SKUs</w:t>
      </w:r>
    </w:p>
    <w:p w14:paraId="267C61C5" w14:textId="602E53CE" w:rsidR="00697F2A" w:rsidRDefault="00B87DA3" w:rsidP="00D54C9A">
      <w:pPr>
        <w:rPr>
          <w:rFonts w:ascii="Arial" w:hAnsi="Arial" w:cs="Arial"/>
          <w:lang w:val="en-GB"/>
        </w:rPr>
      </w:pPr>
      <w:r w:rsidRPr="00B87DA3">
        <w:rPr>
          <w:rFonts w:ascii="Arial" w:hAnsi="Arial" w:cs="Arial"/>
          <w:lang w:val="en-GB"/>
        </w:rPr>
        <w:t xml:space="preserve">Some industry </w:t>
      </w:r>
      <w:r w:rsidR="00F3143A">
        <w:rPr>
          <w:rFonts w:ascii="Arial" w:hAnsi="Arial" w:cs="Arial"/>
          <w:lang w:val="en-GB"/>
        </w:rPr>
        <w:t>submitters</w:t>
      </w:r>
      <w:r w:rsidR="00F3143A" w:rsidRPr="00B87DA3">
        <w:rPr>
          <w:rFonts w:ascii="Arial" w:hAnsi="Arial" w:cs="Arial"/>
          <w:lang w:val="en-GB"/>
        </w:rPr>
        <w:t xml:space="preserve"> </w:t>
      </w:r>
      <w:r w:rsidRPr="00B87DA3">
        <w:rPr>
          <w:rFonts w:ascii="Arial" w:hAnsi="Arial" w:cs="Arial"/>
          <w:lang w:val="en-GB"/>
        </w:rPr>
        <w:t xml:space="preserve">requested exemptions for </w:t>
      </w:r>
      <w:r w:rsidR="00D54C9A" w:rsidRPr="00B87DA3">
        <w:rPr>
          <w:rFonts w:ascii="Arial" w:hAnsi="Arial" w:cs="Arial"/>
          <w:lang w:val="en-GB"/>
        </w:rPr>
        <w:t>limited</w:t>
      </w:r>
      <w:r w:rsidR="003A3961">
        <w:rPr>
          <w:rFonts w:ascii="Arial" w:hAnsi="Arial" w:cs="Arial"/>
          <w:lang w:val="en-GB"/>
        </w:rPr>
        <w:t xml:space="preserve"> </w:t>
      </w:r>
      <w:r w:rsidR="00D54C9A" w:rsidRPr="00B87DA3">
        <w:rPr>
          <w:rFonts w:ascii="Arial" w:hAnsi="Arial" w:cs="Arial"/>
          <w:lang w:val="en-GB"/>
        </w:rPr>
        <w:t xml:space="preserve">edition SKUs, </w:t>
      </w:r>
      <w:r w:rsidR="00F3143A">
        <w:rPr>
          <w:rFonts w:ascii="Arial" w:hAnsi="Arial" w:cs="Arial"/>
          <w:lang w:val="en-GB"/>
        </w:rPr>
        <w:t>small batch</w:t>
      </w:r>
      <w:r w:rsidR="00DB5213">
        <w:rPr>
          <w:rFonts w:ascii="Arial" w:hAnsi="Arial" w:cs="Arial"/>
          <w:lang w:val="en-GB"/>
        </w:rPr>
        <w:t>es</w:t>
      </w:r>
      <w:r w:rsidR="00F3143A">
        <w:rPr>
          <w:rFonts w:ascii="Arial" w:hAnsi="Arial" w:cs="Arial"/>
          <w:lang w:val="en-GB"/>
        </w:rPr>
        <w:t xml:space="preserve"> (e.g. </w:t>
      </w:r>
      <w:r w:rsidR="009A69D1">
        <w:rPr>
          <w:rFonts w:ascii="Arial" w:hAnsi="Arial" w:cs="Arial"/>
          <w:lang w:val="en-GB"/>
        </w:rPr>
        <w:t>2,000</w:t>
      </w:r>
      <w:r w:rsidR="00DB5213">
        <w:rPr>
          <w:rFonts w:ascii="Arial" w:hAnsi="Arial" w:cs="Arial"/>
          <w:lang w:val="en-GB"/>
        </w:rPr>
        <w:t xml:space="preserve"> Litres or less</w:t>
      </w:r>
      <w:r w:rsidR="00F3143A">
        <w:rPr>
          <w:rFonts w:ascii="Arial" w:hAnsi="Arial" w:cs="Arial"/>
          <w:lang w:val="en-GB"/>
        </w:rPr>
        <w:t>)</w:t>
      </w:r>
      <w:r w:rsidR="009A69D1">
        <w:rPr>
          <w:rFonts w:ascii="Arial" w:hAnsi="Arial" w:cs="Arial"/>
          <w:lang w:val="en-GB"/>
        </w:rPr>
        <w:t xml:space="preserve">, </w:t>
      </w:r>
      <w:r w:rsidRPr="00B87DA3">
        <w:rPr>
          <w:rFonts w:ascii="Arial" w:hAnsi="Arial" w:cs="Arial"/>
          <w:lang w:val="en-GB"/>
        </w:rPr>
        <w:t>products used</w:t>
      </w:r>
      <w:r w:rsidR="00D54C9A" w:rsidRPr="00B87DA3">
        <w:rPr>
          <w:rFonts w:ascii="Arial" w:hAnsi="Arial" w:cs="Arial"/>
          <w:lang w:val="en-GB"/>
        </w:rPr>
        <w:t xml:space="preserve"> for marketing purposes, cellar</w:t>
      </w:r>
      <w:r w:rsidR="00806F5A">
        <w:rPr>
          <w:rFonts w:ascii="Arial" w:hAnsi="Arial" w:cs="Arial"/>
          <w:lang w:val="en-GB"/>
        </w:rPr>
        <w:t xml:space="preserve"> </w:t>
      </w:r>
      <w:r>
        <w:rPr>
          <w:rFonts w:ascii="Arial" w:hAnsi="Arial" w:cs="Arial"/>
          <w:lang w:val="en-GB"/>
        </w:rPr>
        <w:t>/ museum</w:t>
      </w:r>
      <w:r w:rsidR="00D54C9A" w:rsidRPr="00B87DA3">
        <w:rPr>
          <w:rFonts w:ascii="Arial" w:hAnsi="Arial" w:cs="Arial"/>
          <w:lang w:val="en-GB"/>
        </w:rPr>
        <w:t xml:space="preserve"> </w:t>
      </w:r>
      <w:r>
        <w:rPr>
          <w:rFonts w:ascii="Arial" w:hAnsi="Arial" w:cs="Arial"/>
          <w:lang w:val="en-GB"/>
        </w:rPr>
        <w:t>product</w:t>
      </w:r>
      <w:r w:rsidR="00D54C9A" w:rsidRPr="00B87DA3">
        <w:rPr>
          <w:rFonts w:ascii="Arial" w:hAnsi="Arial" w:cs="Arial"/>
          <w:lang w:val="en-GB"/>
        </w:rPr>
        <w:t>s and imported SKUs</w:t>
      </w:r>
      <w:r w:rsidRPr="00B87DA3">
        <w:rPr>
          <w:rFonts w:ascii="Arial" w:hAnsi="Arial" w:cs="Arial"/>
          <w:lang w:val="en-GB"/>
        </w:rPr>
        <w:t>.</w:t>
      </w:r>
      <w:r>
        <w:rPr>
          <w:rFonts w:ascii="Arial" w:hAnsi="Arial" w:cs="Arial"/>
          <w:lang w:val="en-GB"/>
        </w:rPr>
        <w:t xml:space="preserve"> FSANZ considers such exemptions would be difficult to implement and enforce.</w:t>
      </w:r>
      <w:r w:rsidR="00BF50AE">
        <w:rPr>
          <w:rFonts w:ascii="Arial" w:hAnsi="Arial" w:cs="Arial"/>
          <w:lang w:val="en-GB"/>
        </w:rPr>
        <w:t xml:space="preserve"> </w:t>
      </w:r>
    </w:p>
    <w:p w14:paraId="3CD8BE03" w14:textId="1F5ED6C0" w:rsidR="007E333C" w:rsidRDefault="00BF50AE" w:rsidP="6A15B411">
      <w:pPr>
        <w:rPr>
          <w:rFonts w:ascii="Arial" w:hAnsi="Arial" w:cs="Arial"/>
        </w:rPr>
      </w:pPr>
      <w:r w:rsidRPr="6A15B411">
        <w:rPr>
          <w:rFonts w:ascii="Arial" w:hAnsi="Arial" w:cs="Arial"/>
        </w:rPr>
        <w:t xml:space="preserve">Furthermore </w:t>
      </w:r>
      <w:r w:rsidR="00697F2A" w:rsidRPr="6A15B411">
        <w:rPr>
          <w:rFonts w:ascii="Arial" w:hAnsi="Arial" w:cs="Arial"/>
        </w:rPr>
        <w:t>such exemptions would</w:t>
      </w:r>
      <w:r w:rsidR="0029625F" w:rsidRPr="6A15B411">
        <w:rPr>
          <w:rFonts w:ascii="Arial" w:hAnsi="Arial" w:cs="Arial"/>
        </w:rPr>
        <w:t>:</w:t>
      </w:r>
    </w:p>
    <w:p w14:paraId="08D3223E" w14:textId="54A38643" w:rsidR="00697F2A" w:rsidRPr="007E333C" w:rsidRDefault="00BF50AE" w:rsidP="007E333C">
      <w:pPr>
        <w:pStyle w:val="ListParagraph"/>
        <w:numPr>
          <w:ilvl w:val="0"/>
          <w:numId w:val="43"/>
        </w:numPr>
        <w:rPr>
          <w:rFonts w:ascii="Arial" w:hAnsi="Arial" w:cs="Arial"/>
          <w:lang w:val="en-US"/>
        </w:rPr>
      </w:pPr>
      <w:r w:rsidRPr="007E333C">
        <w:rPr>
          <w:rFonts w:ascii="Arial" w:hAnsi="Arial" w:cs="Arial"/>
        </w:rPr>
        <w:t xml:space="preserve">limit the application and consistency of energy labelling </w:t>
      </w:r>
      <w:r w:rsidR="005E50E1" w:rsidRPr="007E333C">
        <w:rPr>
          <w:rFonts w:ascii="Arial" w:hAnsi="Arial" w:cs="Arial"/>
        </w:rPr>
        <w:t xml:space="preserve">across all </w:t>
      </w:r>
      <w:r w:rsidRPr="007E333C">
        <w:rPr>
          <w:rFonts w:ascii="Arial" w:hAnsi="Arial" w:cs="Arial"/>
        </w:rPr>
        <w:t>alcoholic beverages</w:t>
      </w:r>
      <w:r w:rsidR="007E333C">
        <w:rPr>
          <w:rFonts w:ascii="Arial" w:hAnsi="Arial" w:cs="Arial"/>
        </w:rPr>
        <w:t>;</w:t>
      </w:r>
    </w:p>
    <w:p w14:paraId="4FD4F2F8" w14:textId="06805850" w:rsidR="00BE1C78" w:rsidRDefault="00697F2A" w:rsidP="007E333C">
      <w:pPr>
        <w:pStyle w:val="ListParagraph"/>
        <w:numPr>
          <w:ilvl w:val="0"/>
          <w:numId w:val="43"/>
        </w:numPr>
        <w:rPr>
          <w:rFonts w:ascii="Arial" w:hAnsi="Arial" w:cs="Arial"/>
        </w:rPr>
      </w:pPr>
      <w:r w:rsidRPr="00A13858">
        <w:rPr>
          <w:rFonts w:ascii="Arial" w:hAnsi="Arial" w:cs="Arial"/>
        </w:rPr>
        <w:t>create inconsistencies</w:t>
      </w:r>
      <w:r w:rsidR="0050135F">
        <w:rPr>
          <w:rFonts w:ascii="Arial" w:hAnsi="Arial" w:cs="Arial"/>
        </w:rPr>
        <w:t>,</w:t>
      </w:r>
      <w:r w:rsidR="004C779F" w:rsidRPr="00A13858">
        <w:rPr>
          <w:rFonts w:ascii="Arial" w:hAnsi="Arial" w:cs="Arial"/>
        </w:rPr>
        <w:t xml:space="preserve"> as</w:t>
      </w:r>
      <w:r w:rsidR="00BF50AE" w:rsidRPr="00A13858">
        <w:rPr>
          <w:rFonts w:ascii="Arial" w:hAnsi="Arial" w:cs="Arial"/>
        </w:rPr>
        <w:t xml:space="preserve"> </w:t>
      </w:r>
      <w:r w:rsidR="0050135F">
        <w:rPr>
          <w:rFonts w:ascii="Arial" w:hAnsi="Arial" w:cs="Arial"/>
        </w:rPr>
        <w:t>other food and beverage</w:t>
      </w:r>
      <w:r w:rsidR="00002BDA" w:rsidRPr="00A13858">
        <w:rPr>
          <w:rFonts w:ascii="Arial" w:hAnsi="Arial" w:cs="Arial"/>
        </w:rPr>
        <w:t xml:space="preserve"> </w:t>
      </w:r>
      <w:r w:rsidRPr="00A13858">
        <w:rPr>
          <w:rFonts w:ascii="Arial" w:hAnsi="Arial" w:cs="Arial"/>
        </w:rPr>
        <w:t xml:space="preserve">products </w:t>
      </w:r>
      <w:r w:rsidR="0050135F">
        <w:rPr>
          <w:rFonts w:ascii="Arial" w:hAnsi="Arial" w:cs="Arial"/>
        </w:rPr>
        <w:t>do not have such</w:t>
      </w:r>
      <w:r w:rsidRPr="00A13858">
        <w:rPr>
          <w:rFonts w:ascii="Arial" w:hAnsi="Arial" w:cs="Arial"/>
        </w:rPr>
        <w:t xml:space="preserve"> exempt</w:t>
      </w:r>
      <w:r w:rsidR="0050135F">
        <w:rPr>
          <w:rFonts w:ascii="Arial" w:hAnsi="Arial" w:cs="Arial"/>
        </w:rPr>
        <w:t>ions</w:t>
      </w:r>
      <w:r w:rsidRPr="00A13858">
        <w:rPr>
          <w:rFonts w:ascii="Arial" w:hAnsi="Arial" w:cs="Arial"/>
        </w:rPr>
        <w:t xml:space="preserve"> </w:t>
      </w:r>
      <w:r w:rsidR="00002BDA" w:rsidRPr="00A13858">
        <w:rPr>
          <w:rFonts w:ascii="Arial" w:hAnsi="Arial" w:cs="Arial"/>
        </w:rPr>
        <w:t xml:space="preserve">from the requirement to provide nutrition information on the label under the Code. </w:t>
      </w:r>
    </w:p>
    <w:p w14:paraId="1CB32E70" w14:textId="77777777" w:rsidR="007E333C" w:rsidRPr="00BE1C78" w:rsidRDefault="007E333C" w:rsidP="00A13858">
      <w:pPr>
        <w:pStyle w:val="ListParagraph"/>
        <w:rPr>
          <w:rFonts w:ascii="Arial" w:hAnsi="Arial" w:cs="Arial"/>
          <w:lang w:val="en-GB"/>
        </w:rPr>
      </w:pPr>
    </w:p>
    <w:p w14:paraId="6DB5A874" w14:textId="070B48A6" w:rsidR="0023477B" w:rsidRDefault="00BE1C78" w:rsidP="00697F2A">
      <w:pPr>
        <w:rPr>
          <w:rFonts w:ascii="Arial" w:hAnsi="Arial" w:cs="Arial"/>
          <w:lang w:val="en-GB"/>
        </w:rPr>
      </w:pPr>
      <w:r w:rsidRPr="1A79B7AB">
        <w:rPr>
          <w:rFonts w:ascii="Arial" w:hAnsi="Arial" w:cs="Arial"/>
          <w:lang w:val="en-GB"/>
        </w:rPr>
        <w:t>T</w:t>
      </w:r>
      <w:r w:rsidR="00F179B3" w:rsidRPr="1A79B7AB">
        <w:rPr>
          <w:rFonts w:ascii="Arial" w:hAnsi="Arial" w:cs="Arial"/>
          <w:lang w:val="en-GB"/>
        </w:rPr>
        <w:t xml:space="preserve">he Code would allow flexibility of size and colour of required energy </w:t>
      </w:r>
      <w:r w:rsidR="004C779F" w:rsidRPr="1A79B7AB">
        <w:rPr>
          <w:rFonts w:ascii="Arial" w:hAnsi="Arial" w:cs="Arial"/>
          <w:lang w:val="en-GB"/>
        </w:rPr>
        <w:t>statement</w:t>
      </w:r>
      <w:r w:rsidRPr="1A79B7AB">
        <w:rPr>
          <w:rFonts w:ascii="Arial" w:hAnsi="Arial" w:cs="Arial"/>
          <w:lang w:val="en-GB"/>
        </w:rPr>
        <w:t xml:space="preserve"> and would permit s</w:t>
      </w:r>
      <w:r w:rsidR="009B71E5" w:rsidRPr="1A79B7AB">
        <w:rPr>
          <w:rFonts w:ascii="Arial" w:hAnsi="Arial" w:cs="Arial"/>
          <w:lang w:val="en-GB"/>
        </w:rPr>
        <w:t xml:space="preserve">olutions that may help </w:t>
      </w:r>
      <w:r w:rsidR="004A4D84">
        <w:rPr>
          <w:rFonts w:ascii="Arial" w:hAnsi="Arial" w:cs="Arial"/>
          <w:lang w:val="en-GB"/>
        </w:rPr>
        <w:t xml:space="preserve">mitigate </w:t>
      </w:r>
      <w:r w:rsidR="009B71E5" w:rsidRPr="1A79B7AB">
        <w:rPr>
          <w:rFonts w:ascii="Arial" w:hAnsi="Arial" w:cs="Arial"/>
          <w:lang w:val="en-GB"/>
        </w:rPr>
        <w:t xml:space="preserve">label change costs, including </w:t>
      </w:r>
      <w:r w:rsidR="000405A7" w:rsidRPr="1A79B7AB">
        <w:rPr>
          <w:rFonts w:ascii="Arial" w:hAnsi="Arial" w:cs="Arial"/>
          <w:lang w:val="en-GB"/>
        </w:rPr>
        <w:t>over-stickers</w:t>
      </w:r>
      <w:r w:rsidR="00053FD8" w:rsidRPr="1A79B7AB">
        <w:rPr>
          <w:rFonts w:ascii="Arial" w:hAnsi="Arial" w:cs="Arial"/>
          <w:lang w:val="en-GB"/>
        </w:rPr>
        <w:t xml:space="preserve"> or </w:t>
      </w:r>
      <w:r w:rsidR="008E2A79" w:rsidRPr="1A79B7AB">
        <w:rPr>
          <w:rFonts w:ascii="Arial" w:hAnsi="Arial" w:cs="Arial"/>
          <w:lang w:val="en-GB"/>
        </w:rPr>
        <w:t xml:space="preserve">using </w:t>
      </w:r>
      <w:r w:rsidR="00053FD8" w:rsidRPr="1A79B7AB">
        <w:rPr>
          <w:rFonts w:ascii="Arial" w:hAnsi="Arial" w:cs="Arial"/>
          <w:lang w:val="en-GB"/>
        </w:rPr>
        <w:t xml:space="preserve">printing techniques </w:t>
      </w:r>
      <w:r w:rsidR="00AB6E3B" w:rsidRPr="1A79B7AB">
        <w:rPr>
          <w:rFonts w:ascii="Arial" w:hAnsi="Arial" w:cs="Arial"/>
          <w:lang w:val="en-GB"/>
        </w:rPr>
        <w:t>that are more</w:t>
      </w:r>
      <w:r w:rsidR="00053FD8" w:rsidRPr="1A79B7AB">
        <w:rPr>
          <w:rFonts w:ascii="Arial" w:hAnsi="Arial" w:cs="Arial"/>
          <w:lang w:val="en-GB"/>
        </w:rPr>
        <w:t xml:space="preserve"> suitable </w:t>
      </w:r>
      <w:r w:rsidR="00AB6E3B" w:rsidRPr="1A79B7AB">
        <w:rPr>
          <w:rFonts w:ascii="Arial" w:hAnsi="Arial" w:cs="Arial"/>
          <w:lang w:val="en-GB"/>
        </w:rPr>
        <w:t>for</w:t>
      </w:r>
      <w:r w:rsidR="00053FD8" w:rsidRPr="1A79B7AB">
        <w:rPr>
          <w:rFonts w:ascii="Arial" w:hAnsi="Arial" w:cs="Arial"/>
          <w:lang w:val="en-GB"/>
        </w:rPr>
        <w:t xml:space="preserve"> </w:t>
      </w:r>
      <w:r w:rsidR="000A44E3" w:rsidRPr="1A79B7AB">
        <w:rPr>
          <w:rFonts w:ascii="Arial" w:hAnsi="Arial" w:cs="Arial"/>
          <w:lang w:val="en-GB"/>
        </w:rPr>
        <w:t>low numbers of containers.</w:t>
      </w:r>
      <w:r w:rsidR="008A3D8B">
        <w:rPr>
          <w:rFonts w:ascii="Arial" w:hAnsi="Arial" w:cs="Arial"/>
          <w:lang w:val="en-GB"/>
        </w:rPr>
        <w:t xml:space="preserve"> Such solutions would </w:t>
      </w:r>
      <w:r w:rsidR="00221571">
        <w:rPr>
          <w:rFonts w:ascii="Arial" w:hAnsi="Arial" w:cs="Arial"/>
          <w:lang w:val="en-GB"/>
        </w:rPr>
        <w:t>be permitted for any SKU.</w:t>
      </w:r>
    </w:p>
    <w:p w14:paraId="3A7F137F" w14:textId="3CD2A81F" w:rsidR="00E70711" w:rsidRDefault="005411FE" w:rsidP="00697F2A">
      <w:pPr>
        <w:rPr>
          <w:rFonts w:ascii="Arial" w:hAnsi="Arial" w:cs="Arial"/>
          <w:b/>
          <w:bCs/>
          <w:lang w:val="en-GB"/>
        </w:rPr>
      </w:pPr>
      <w:r>
        <w:rPr>
          <w:rFonts w:ascii="Arial" w:hAnsi="Arial" w:cs="Arial"/>
          <w:b/>
          <w:bCs/>
          <w:lang w:val="en-GB"/>
        </w:rPr>
        <w:t>Inclusion</w:t>
      </w:r>
      <w:r w:rsidR="00CA0747" w:rsidRPr="00CA0747">
        <w:rPr>
          <w:rFonts w:ascii="Arial" w:hAnsi="Arial" w:cs="Arial"/>
          <w:b/>
          <w:bCs/>
          <w:lang w:val="en-GB"/>
        </w:rPr>
        <w:t xml:space="preserve"> </w:t>
      </w:r>
      <w:r w:rsidR="00C33435">
        <w:rPr>
          <w:rFonts w:ascii="Arial" w:hAnsi="Arial" w:cs="Arial"/>
          <w:b/>
          <w:bCs/>
          <w:lang w:val="en-GB"/>
        </w:rPr>
        <w:t>of</w:t>
      </w:r>
      <w:r w:rsidR="003D5821" w:rsidRPr="00CA0747">
        <w:rPr>
          <w:rFonts w:ascii="Arial" w:hAnsi="Arial" w:cs="Arial"/>
          <w:b/>
          <w:bCs/>
          <w:lang w:val="en-GB"/>
        </w:rPr>
        <w:t xml:space="preserve"> </w:t>
      </w:r>
      <w:r w:rsidR="00CA0747" w:rsidRPr="00CA0747">
        <w:rPr>
          <w:rFonts w:ascii="Arial" w:hAnsi="Arial" w:cs="Arial"/>
          <w:b/>
          <w:bCs/>
          <w:lang w:val="en-GB"/>
        </w:rPr>
        <w:t xml:space="preserve">standard drinks information </w:t>
      </w:r>
      <w:r>
        <w:rPr>
          <w:rFonts w:ascii="Arial" w:hAnsi="Arial" w:cs="Arial"/>
          <w:b/>
          <w:bCs/>
          <w:lang w:val="en-GB"/>
        </w:rPr>
        <w:t>in</w:t>
      </w:r>
      <w:r w:rsidR="0077537F">
        <w:rPr>
          <w:rFonts w:ascii="Arial" w:hAnsi="Arial" w:cs="Arial"/>
          <w:b/>
          <w:bCs/>
          <w:lang w:val="en-GB"/>
        </w:rPr>
        <w:t xml:space="preserve"> </w:t>
      </w:r>
      <w:r w:rsidR="00374C0B">
        <w:rPr>
          <w:rFonts w:ascii="Arial" w:hAnsi="Arial" w:cs="Arial"/>
          <w:b/>
          <w:bCs/>
          <w:lang w:val="en-GB"/>
        </w:rPr>
        <w:t>an</w:t>
      </w:r>
      <w:r w:rsidR="0077537F">
        <w:rPr>
          <w:rFonts w:ascii="Arial" w:hAnsi="Arial" w:cs="Arial"/>
          <w:b/>
          <w:bCs/>
          <w:lang w:val="en-GB"/>
        </w:rPr>
        <w:t xml:space="preserve"> </w:t>
      </w:r>
      <w:r w:rsidR="00374C0B">
        <w:rPr>
          <w:rFonts w:ascii="Arial" w:hAnsi="Arial" w:cs="Arial"/>
          <w:b/>
          <w:bCs/>
          <w:lang w:val="en-GB"/>
        </w:rPr>
        <w:t>e</w:t>
      </w:r>
      <w:r w:rsidR="0077537F">
        <w:rPr>
          <w:rFonts w:ascii="Arial" w:hAnsi="Arial" w:cs="Arial"/>
          <w:b/>
          <w:bCs/>
          <w:lang w:val="en-GB"/>
        </w:rPr>
        <w:t xml:space="preserve">nergy </w:t>
      </w:r>
      <w:r w:rsidR="00374C0B">
        <w:rPr>
          <w:rFonts w:ascii="Arial" w:hAnsi="Arial" w:cs="Arial"/>
          <w:b/>
          <w:bCs/>
          <w:lang w:val="en-GB"/>
        </w:rPr>
        <w:t>s</w:t>
      </w:r>
      <w:r w:rsidR="0077537F">
        <w:rPr>
          <w:rFonts w:ascii="Arial" w:hAnsi="Arial" w:cs="Arial"/>
          <w:b/>
          <w:bCs/>
          <w:lang w:val="en-GB"/>
        </w:rPr>
        <w:t>tatement</w:t>
      </w:r>
      <w:r>
        <w:rPr>
          <w:rFonts w:ascii="Arial" w:hAnsi="Arial" w:cs="Arial"/>
          <w:b/>
          <w:bCs/>
          <w:lang w:val="en-GB"/>
        </w:rPr>
        <w:t xml:space="preserve"> </w:t>
      </w:r>
      <w:r w:rsidR="0077537F">
        <w:rPr>
          <w:rFonts w:ascii="Arial" w:hAnsi="Arial" w:cs="Arial"/>
          <w:b/>
          <w:bCs/>
          <w:lang w:val="en-GB"/>
        </w:rPr>
        <w:t xml:space="preserve">and </w:t>
      </w:r>
      <w:r>
        <w:rPr>
          <w:rFonts w:ascii="Arial" w:hAnsi="Arial" w:cs="Arial"/>
          <w:b/>
          <w:bCs/>
          <w:lang w:val="en-GB"/>
        </w:rPr>
        <w:t>NIP</w:t>
      </w:r>
    </w:p>
    <w:p w14:paraId="689B88D5" w14:textId="2D3853B9" w:rsidR="00E70711" w:rsidRPr="002005EB" w:rsidRDefault="002005EB" w:rsidP="00E70711">
      <w:pPr>
        <w:rPr>
          <w:rFonts w:ascii="Arial" w:hAnsi="Arial" w:cs="Arial"/>
          <w:lang w:val="en-GB"/>
        </w:rPr>
      </w:pPr>
      <w:r>
        <w:rPr>
          <w:rFonts w:ascii="Arial" w:hAnsi="Arial" w:cs="Arial"/>
          <w:lang w:val="en-GB"/>
        </w:rPr>
        <w:t xml:space="preserve">During the </w:t>
      </w:r>
      <w:r w:rsidR="005411FE">
        <w:rPr>
          <w:rFonts w:ascii="Arial" w:hAnsi="Arial" w:cs="Arial"/>
          <w:lang w:val="en-GB"/>
        </w:rPr>
        <w:t>targeted stakeholder consultations, t</w:t>
      </w:r>
      <w:r w:rsidR="00E70711" w:rsidRPr="002005EB">
        <w:rPr>
          <w:rFonts w:ascii="Arial" w:hAnsi="Arial" w:cs="Arial"/>
          <w:lang w:val="en-GB"/>
        </w:rPr>
        <w:t>here were mixed views from participants</w:t>
      </w:r>
      <w:r w:rsidR="001111BC">
        <w:rPr>
          <w:rFonts w:ascii="Arial" w:hAnsi="Arial" w:cs="Arial"/>
          <w:lang w:val="en-GB"/>
        </w:rPr>
        <w:t xml:space="preserve"> about this requirement. S</w:t>
      </w:r>
      <w:r w:rsidR="00E70711" w:rsidRPr="002005EB">
        <w:rPr>
          <w:rFonts w:ascii="Arial" w:hAnsi="Arial" w:cs="Arial"/>
          <w:lang w:val="en-GB"/>
        </w:rPr>
        <w:t xml:space="preserve">ome industry participants </w:t>
      </w:r>
      <w:r w:rsidR="001111BC">
        <w:rPr>
          <w:rFonts w:ascii="Arial" w:hAnsi="Arial" w:cs="Arial"/>
          <w:lang w:val="en-GB"/>
        </w:rPr>
        <w:t xml:space="preserve">did </w:t>
      </w:r>
      <w:r w:rsidR="00E70711" w:rsidRPr="002005EB">
        <w:rPr>
          <w:rFonts w:ascii="Arial" w:hAnsi="Arial" w:cs="Arial"/>
          <w:lang w:val="en-GB"/>
        </w:rPr>
        <w:t xml:space="preserve">not support </w:t>
      </w:r>
      <w:r w:rsidR="00B16920">
        <w:rPr>
          <w:rFonts w:ascii="Arial" w:hAnsi="Arial" w:cs="Arial"/>
          <w:lang w:val="en-GB"/>
        </w:rPr>
        <w:t>all features of the</w:t>
      </w:r>
      <w:r w:rsidR="00E70711" w:rsidRPr="002005EB">
        <w:rPr>
          <w:rFonts w:ascii="Arial" w:hAnsi="Arial" w:cs="Arial"/>
          <w:lang w:val="en-GB"/>
        </w:rPr>
        <w:t xml:space="preserve"> proposed approach, primarily due to the cost</w:t>
      </w:r>
      <w:r w:rsidR="00E70711" w:rsidRPr="002005EB" w:rsidDel="00AC631D">
        <w:rPr>
          <w:rFonts w:ascii="Arial" w:hAnsi="Arial" w:cs="Arial"/>
          <w:lang w:val="en-GB"/>
        </w:rPr>
        <w:t>s</w:t>
      </w:r>
      <w:r w:rsidR="00E70711" w:rsidRPr="002005EB">
        <w:rPr>
          <w:rFonts w:ascii="Arial" w:hAnsi="Arial" w:cs="Arial"/>
          <w:lang w:val="en-GB"/>
        </w:rPr>
        <w:t xml:space="preserve"> of changing existing labels of alcoholic beverages labelled with NIPs. Some participants noted they did not want standard drink information in the NIP</w:t>
      </w:r>
      <w:r w:rsidR="00B16920">
        <w:rPr>
          <w:rFonts w:ascii="Arial" w:hAnsi="Arial" w:cs="Arial"/>
          <w:lang w:val="en-GB"/>
        </w:rPr>
        <w:t xml:space="preserve"> or energy statement</w:t>
      </w:r>
      <w:r w:rsidR="00E70711" w:rsidRPr="002005EB">
        <w:rPr>
          <w:rFonts w:ascii="Arial" w:hAnsi="Arial" w:cs="Arial"/>
          <w:lang w:val="en-GB"/>
        </w:rPr>
        <w:t xml:space="preserve"> to replace standard drink information elsewhere on the label or for standard drink information to lose prominence. </w:t>
      </w:r>
    </w:p>
    <w:p w14:paraId="31DD48CB" w14:textId="0400CDD7" w:rsidR="00E70711" w:rsidRDefault="00E70711" w:rsidP="00E70711">
      <w:pPr>
        <w:rPr>
          <w:rFonts w:ascii="Arial" w:hAnsi="Arial" w:cs="Arial"/>
          <w:lang w:val="en-GB"/>
        </w:rPr>
      </w:pPr>
      <w:r w:rsidRPr="002005EB">
        <w:rPr>
          <w:rFonts w:ascii="Arial" w:hAnsi="Arial" w:cs="Arial"/>
          <w:lang w:val="en-GB"/>
        </w:rPr>
        <w:t>Following further assessment and consideration of stakeholder views,</w:t>
      </w:r>
      <w:r w:rsidR="00CD6C17">
        <w:rPr>
          <w:rFonts w:ascii="Arial" w:hAnsi="Arial" w:cs="Arial"/>
          <w:lang w:val="en-GB"/>
        </w:rPr>
        <w:t xml:space="preserve"> for preferred Option 3,</w:t>
      </w:r>
      <w:r w:rsidRPr="002005EB">
        <w:rPr>
          <w:rFonts w:ascii="Arial" w:hAnsi="Arial" w:cs="Arial"/>
          <w:lang w:val="en-GB"/>
        </w:rPr>
        <w:t xml:space="preserve"> FSANZ has decided to require the approximate number of standard drinks equivalent to one serving of an alcoholic beverage to be included in </w:t>
      </w:r>
      <w:r w:rsidR="00A9252E">
        <w:rPr>
          <w:rFonts w:ascii="Arial" w:hAnsi="Arial" w:cs="Arial"/>
          <w:lang w:val="en-GB"/>
        </w:rPr>
        <w:t xml:space="preserve">all energy statements and in </w:t>
      </w:r>
      <w:r w:rsidRPr="002005EB">
        <w:rPr>
          <w:rFonts w:ascii="Arial" w:hAnsi="Arial" w:cs="Arial"/>
          <w:lang w:val="en-GB"/>
        </w:rPr>
        <w:t xml:space="preserve">a NIP, as proposed at the targeted stakeholder consultation, with one exception. That exception </w:t>
      </w:r>
      <w:r w:rsidR="00D67FBF">
        <w:rPr>
          <w:rFonts w:ascii="Arial" w:hAnsi="Arial" w:cs="Arial"/>
          <w:lang w:val="en-GB"/>
        </w:rPr>
        <w:t>for certain NIPs</w:t>
      </w:r>
      <w:r w:rsidR="009624EB">
        <w:rPr>
          <w:rFonts w:ascii="Arial" w:hAnsi="Arial" w:cs="Arial"/>
          <w:lang w:val="en-GB"/>
        </w:rPr>
        <w:t xml:space="preserve"> (not </w:t>
      </w:r>
      <w:r w:rsidR="000631D1">
        <w:rPr>
          <w:rFonts w:ascii="Arial" w:hAnsi="Arial" w:cs="Arial"/>
          <w:lang w:val="en-GB"/>
        </w:rPr>
        <w:t xml:space="preserve">for </w:t>
      </w:r>
      <w:r w:rsidR="004527FE">
        <w:rPr>
          <w:rFonts w:ascii="Arial" w:hAnsi="Arial" w:cs="Arial"/>
          <w:lang w:val="en-GB"/>
        </w:rPr>
        <w:t xml:space="preserve">any </w:t>
      </w:r>
      <w:r w:rsidR="009624EB">
        <w:rPr>
          <w:rFonts w:ascii="Arial" w:hAnsi="Arial" w:cs="Arial"/>
          <w:lang w:val="en-GB"/>
        </w:rPr>
        <w:t>energy statements)</w:t>
      </w:r>
      <w:r w:rsidR="00D67FBF">
        <w:rPr>
          <w:rFonts w:ascii="Arial" w:hAnsi="Arial" w:cs="Arial"/>
          <w:lang w:val="en-GB"/>
        </w:rPr>
        <w:t xml:space="preserve"> </w:t>
      </w:r>
      <w:r w:rsidRPr="002005EB">
        <w:rPr>
          <w:rFonts w:ascii="Arial" w:hAnsi="Arial" w:cs="Arial"/>
          <w:lang w:val="en-GB"/>
        </w:rPr>
        <w:t>is, if the beverage is labelled with the approximate number of standard drinks</w:t>
      </w:r>
      <w:r w:rsidR="004527FE">
        <w:rPr>
          <w:rFonts w:ascii="Arial" w:hAnsi="Arial" w:cs="Arial"/>
          <w:lang w:val="en-GB"/>
        </w:rPr>
        <w:t>,</w:t>
      </w:r>
      <w:r w:rsidRPr="002005EB">
        <w:rPr>
          <w:rFonts w:ascii="Arial" w:hAnsi="Arial" w:cs="Arial"/>
          <w:lang w:val="en-GB"/>
        </w:rPr>
        <w:t xml:space="preserve"> as required by existing standard drink labelling requirements</w:t>
      </w:r>
      <w:r w:rsidR="004527FE">
        <w:rPr>
          <w:rFonts w:ascii="Arial" w:hAnsi="Arial" w:cs="Arial"/>
          <w:lang w:val="en-GB"/>
        </w:rPr>
        <w:t>,</w:t>
      </w:r>
      <w:r w:rsidRPr="002005EB">
        <w:rPr>
          <w:rFonts w:ascii="Arial" w:hAnsi="Arial" w:cs="Arial"/>
          <w:lang w:val="en-GB"/>
        </w:rPr>
        <w:t xml:space="preserve"> and that number is the same as the approximate number of standard drinks equivalent to one serving of that beverage, the approximate number of standard drinks equivalent to one serving of an alcoholic beverage may be stated, but is not required to be, in the NIP. </w:t>
      </w:r>
    </w:p>
    <w:p w14:paraId="6ECCCA60" w14:textId="67C6A332" w:rsidR="0004610D" w:rsidRPr="00496C62" w:rsidRDefault="002D5F9E" w:rsidP="00496C62">
      <w:pPr>
        <w:rPr>
          <w:rFonts w:ascii="Arial" w:hAnsi="Arial" w:cs="Arial"/>
          <w:lang w:val="en-GB"/>
        </w:rPr>
      </w:pPr>
      <w:r w:rsidRPr="002D5F9E">
        <w:rPr>
          <w:rFonts w:ascii="Arial" w:hAnsi="Arial" w:cs="Arial"/>
          <w:lang w:val="en-GB"/>
        </w:rPr>
        <w:t>From FSANZ’s consumer research, a</w:t>
      </w:r>
      <w:r w:rsidR="00C02D6E" w:rsidRPr="002D5F9E">
        <w:rPr>
          <w:rFonts w:ascii="Arial" w:hAnsi="Arial" w:cs="Arial"/>
          <w:lang w:val="en-GB"/>
        </w:rPr>
        <w:t xml:space="preserve">lthough the provision of standard drink information still improved consumer understanding for single-serve beverages, it was to a lesser extent than for multi-serve packages. Therefore, the approach is considered appropriate to balance the consumer research findings with providing flexibility for industry and reduce the disproportionate </w:t>
      </w:r>
      <w:r w:rsidR="00C02D6E" w:rsidRPr="002D5F9E">
        <w:rPr>
          <w:rFonts w:ascii="Arial" w:hAnsi="Arial" w:cs="Arial"/>
          <w:lang w:val="en-GB"/>
        </w:rPr>
        <w:lastRenderedPageBreak/>
        <w:t>costs to some businesses</w:t>
      </w:r>
      <w:r w:rsidR="009E635C">
        <w:rPr>
          <w:rFonts w:ascii="Arial" w:hAnsi="Arial" w:cs="Arial"/>
          <w:lang w:val="en-GB"/>
        </w:rPr>
        <w:t xml:space="preserve"> that already have N</w:t>
      </w:r>
      <w:r w:rsidR="00271DEF">
        <w:rPr>
          <w:rFonts w:ascii="Arial" w:hAnsi="Arial" w:cs="Arial"/>
          <w:lang w:val="en-GB"/>
        </w:rPr>
        <w:t>IPs on single-serve packages</w:t>
      </w:r>
      <w:r w:rsidR="00C02D6E" w:rsidRPr="002D5F9E">
        <w:rPr>
          <w:rFonts w:ascii="Arial" w:hAnsi="Arial" w:cs="Arial"/>
          <w:lang w:val="en-GB"/>
        </w:rPr>
        <w:t>.</w:t>
      </w:r>
      <w:r w:rsidR="00271DEF">
        <w:rPr>
          <w:rFonts w:ascii="Arial" w:hAnsi="Arial" w:cs="Arial"/>
          <w:lang w:val="en-GB"/>
        </w:rPr>
        <w:t xml:space="preserve"> There are as yet no energy statements on any </w:t>
      </w:r>
      <w:r w:rsidR="005613C4">
        <w:rPr>
          <w:rFonts w:ascii="Arial" w:hAnsi="Arial" w:cs="Arial"/>
          <w:lang w:val="en-GB"/>
        </w:rPr>
        <w:t xml:space="preserve">single-serve </w:t>
      </w:r>
      <w:r w:rsidR="00271DEF">
        <w:rPr>
          <w:rFonts w:ascii="Arial" w:hAnsi="Arial" w:cs="Arial"/>
          <w:lang w:val="en-GB"/>
        </w:rPr>
        <w:t>packages</w:t>
      </w:r>
      <w:r w:rsidR="0074659D">
        <w:rPr>
          <w:rFonts w:ascii="Arial" w:hAnsi="Arial" w:cs="Arial"/>
          <w:lang w:val="en-GB"/>
        </w:rPr>
        <w:t xml:space="preserve"> that would be effected by the standard drink information requirements.</w:t>
      </w:r>
    </w:p>
    <w:p w14:paraId="194499D9" w14:textId="444505F4" w:rsidR="00381E3A" w:rsidRPr="00096A50" w:rsidRDefault="005D3028" w:rsidP="6A15B411">
      <w:pPr>
        <w:rPr>
          <w:rFonts w:ascii="Arial" w:eastAsia="Times New Roman" w:hAnsi="Arial" w:cs="Arial"/>
          <w:color w:val="2E3037"/>
        </w:rPr>
      </w:pPr>
      <w:r w:rsidRPr="6A15B411">
        <w:rPr>
          <w:rFonts w:ascii="Arial" w:eastAsia="Times New Roman" w:hAnsi="Arial" w:cs="Arial"/>
          <w:color w:val="2E3037"/>
        </w:rPr>
        <w:t>Similar to packages labelled with an energy statement or a NIP, if provided on a package containing more than one serve, c</w:t>
      </w:r>
      <w:r w:rsidR="00B676A2" w:rsidRPr="6A15B411">
        <w:rPr>
          <w:rFonts w:ascii="Arial" w:eastAsia="Times New Roman" w:hAnsi="Arial" w:cs="Arial"/>
          <w:color w:val="2E3037"/>
        </w:rPr>
        <w:t xml:space="preserve">onsumers would </w:t>
      </w:r>
      <w:r w:rsidR="00293132" w:rsidRPr="6A15B411">
        <w:rPr>
          <w:rFonts w:ascii="Arial" w:eastAsia="Times New Roman" w:hAnsi="Arial" w:cs="Arial"/>
          <w:color w:val="2E3037"/>
        </w:rPr>
        <w:t xml:space="preserve">still be able to see the amount of standard drinks </w:t>
      </w:r>
      <w:r w:rsidR="008B5244" w:rsidRPr="6A15B411">
        <w:rPr>
          <w:rFonts w:ascii="Arial" w:eastAsia="Times New Roman" w:hAnsi="Arial" w:cs="Arial"/>
          <w:color w:val="2E3037"/>
        </w:rPr>
        <w:t>equivalent to one</w:t>
      </w:r>
      <w:r w:rsidR="00293132" w:rsidRPr="6A15B411">
        <w:rPr>
          <w:rFonts w:ascii="Arial" w:eastAsia="Times New Roman" w:hAnsi="Arial" w:cs="Arial"/>
          <w:color w:val="2E3037"/>
        </w:rPr>
        <w:t xml:space="preserve"> serv</w:t>
      </w:r>
      <w:r w:rsidR="008B5244" w:rsidRPr="6A15B411">
        <w:rPr>
          <w:rFonts w:ascii="Arial" w:eastAsia="Times New Roman" w:hAnsi="Arial" w:cs="Arial"/>
          <w:color w:val="2E3037"/>
        </w:rPr>
        <w:t>ing</w:t>
      </w:r>
      <w:r w:rsidR="00293132" w:rsidRPr="6A15B411">
        <w:rPr>
          <w:rFonts w:ascii="Arial" w:eastAsia="Times New Roman" w:hAnsi="Arial" w:cs="Arial"/>
          <w:color w:val="2E3037"/>
        </w:rPr>
        <w:t xml:space="preserve"> for all single-serve packaged alcoholic beverages</w:t>
      </w:r>
      <w:r w:rsidR="0004610D" w:rsidRPr="6A15B411">
        <w:rPr>
          <w:rFonts w:ascii="Arial" w:eastAsia="Times New Roman" w:hAnsi="Arial" w:cs="Arial"/>
          <w:color w:val="2E3037"/>
        </w:rPr>
        <w:t>. That is</w:t>
      </w:r>
      <w:r w:rsidR="00293132" w:rsidRPr="6A15B411">
        <w:rPr>
          <w:rFonts w:ascii="Arial" w:eastAsia="Times New Roman" w:hAnsi="Arial" w:cs="Arial"/>
          <w:color w:val="2E3037"/>
        </w:rPr>
        <w:t xml:space="preserve"> given the </w:t>
      </w:r>
      <w:r w:rsidR="00C9279D" w:rsidRPr="6A15B411">
        <w:rPr>
          <w:rFonts w:ascii="Arial" w:eastAsia="Times New Roman" w:hAnsi="Arial" w:cs="Arial"/>
          <w:color w:val="2E3037"/>
        </w:rPr>
        <w:t>continuing</w:t>
      </w:r>
      <w:r w:rsidR="00293132" w:rsidRPr="6A15B411">
        <w:rPr>
          <w:rFonts w:ascii="Arial" w:eastAsia="Times New Roman" w:hAnsi="Arial" w:cs="Arial"/>
          <w:color w:val="2E3037"/>
        </w:rPr>
        <w:t xml:space="preserve"> requirement to </w:t>
      </w:r>
      <w:r w:rsidR="0053642E" w:rsidRPr="6A15B411">
        <w:rPr>
          <w:rFonts w:ascii="Arial" w:eastAsia="Times New Roman" w:hAnsi="Arial" w:cs="Arial"/>
          <w:color w:val="2E3037"/>
        </w:rPr>
        <w:t xml:space="preserve">include a statement of the approximate number of standard drinks </w:t>
      </w:r>
      <w:r w:rsidR="0004610D" w:rsidRPr="6A15B411">
        <w:rPr>
          <w:rFonts w:ascii="Arial" w:eastAsia="Times New Roman" w:hAnsi="Arial" w:cs="Arial"/>
          <w:color w:val="2E3037"/>
        </w:rPr>
        <w:t xml:space="preserve">in the whole package as </w:t>
      </w:r>
      <w:r w:rsidR="0053642E" w:rsidRPr="6A15B411">
        <w:rPr>
          <w:rFonts w:ascii="Arial" w:eastAsia="Times New Roman" w:hAnsi="Arial" w:cs="Arial"/>
          <w:color w:val="2E3037"/>
        </w:rPr>
        <w:t>required by section 2.7.1—4</w:t>
      </w:r>
      <w:r w:rsidR="0004610D" w:rsidRPr="6A15B411">
        <w:rPr>
          <w:rFonts w:ascii="Arial" w:eastAsia="Times New Roman" w:hAnsi="Arial" w:cs="Arial"/>
          <w:color w:val="2E3037"/>
        </w:rPr>
        <w:t xml:space="preserve"> of the Code.</w:t>
      </w:r>
    </w:p>
    <w:p w14:paraId="3EF71654" w14:textId="300991FD" w:rsidR="00401307" w:rsidRPr="00401307" w:rsidRDefault="000828D1" w:rsidP="00401307">
      <w:pPr>
        <w:rPr>
          <w:rFonts w:ascii="Arial" w:hAnsi="Arial" w:cs="Arial"/>
          <w:b/>
          <w:bCs/>
          <w:lang w:val="en-GB"/>
        </w:rPr>
      </w:pPr>
      <w:r>
        <w:rPr>
          <w:rFonts w:ascii="Arial" w:hAnsi="Arial" w:cs="Arial"/>
          <w:b/>
          <w:bCs/>
          <w:lang w:val="en-GB"/>
        </w:rPr>
        <w:t>Broader</w:t>
      </w:r>
      <w:r w:rsidR="00401307" w:rsidRPr="00401307">
        <w:rPr>
          <w:rFonts w:ascii="Arial" w:hAnsi="Arial" w:cs="Arial"/>
          <w:b/>
          <w:bCs/>
          <w:lang w:val="en-GB"/>
        </w:rPr>
        <w:t xml:space="preserve"> harms of alcohol </w:t>
      </w:r>
    </w:p>
    <w:p w14:paraId="06D0460F" w14:textId="17500F0A" w:rsidR="00401307" w:rsidRDefault="00401307" w:rsidP="00401307">
      <w:pPr>
        <w:rPr>
          <w:rFonts w:ascii="Arial" w:hAnsi="Arial" w:cs="Arial"/>
          <w:lang w:val="en-GB"/>
        </w:rPr>
      </w:pPr>
      <w:r>
        <w:rPr>
          <w:rFonts w:ascii="Arial" w:hAnsi="Arial" w:cs="Arial"/>
          <w:lang w:val="en-GB"/>
        </w:rPr>
        <w:t xml:space="preserve">Some public health organisations have said that the assessments of costs and benefits of each option should include </w:t>
      </w:r>
      <w:r w:rsidRPr="00401307">
        <w:rPr>
          <w:rFonts w:ascii="Arial" w:hAnsi="Arial" w:cs="Arial"/>
          <w:lang w:val="en-GB"/>
        </w:rPr>
        <w:t xml:space="preserve">effects on </w:t>
      </w:r>
      <w:r w:rsidR="00002BDA">
        <w:rPr>
          <w:rFonts w:ascii="Arial" w:hAnsi="Arial" w:cs="Arial"/>
          <w:lang w:val="en-GB"/>
        </w:rPr>
        <w:t>a</w:t>
      </w:r>
      <w:r w:rsidRPr="00401307">
        <w:rPr>
          <w:rFonts w:ascii="Arial" w:hAnsi="Arial" w:cs="Arial"/>
          <w:lang w:val="en-GB"/>
        </w:rPr>
        <w:t>lcohol consumption</w:t>
      </w:r>
      <w:r>
        <w:rPr>
          <w:rFonts w:ascii="Arial" w:hAnsi="Arial" w:cs="Arial"/>
          <w:lang w:val="en-GB"/>
        </w:rPr>
        <w:t xml:space="preserve"> and </w:t>
      </w:r>
      <w:r w:rsidR="00002BDA">
        <w:rPr>
          <w:rFonts w:ascii="Arial" w:hAnsi="Arial" w:cs="Arial"/>
          <w:lang w:val="en-GB"/>
        </w:rPr>
        <w:t xml:space="preserve">alcohol related </w:t>
      </w:r>
      <w:r>
        <w:rPr>
          <w:rFonts w:ascii="Arial" w:hAnsi="Arial" w:cs="Arial"/>
          <w:lang w:val="en-GB"/>
        </w:rPr>
        <w:t>harms.</w:t>
      </w:r>
    </w:p>
    <w:p w14:paraId="0A1E0151" w14:textId="18C4656B" w:rsidR="00401307" w:rsidRPr="00401307" w:rsidRDefault="00401307" w:rsidP="00401307">
      <w:pPr>
        <w:rPr>
          <w:rFonts w:ascii="Arial" w:hAnsi="Arial" w:cs="Arial"/>
          <w:lang w:val="en-GB"/>
        </w:rPr>
      </w:pPr>
      <w:r>
        <w:rPr>
          <w:rFonts w:ascii="Arial" w:hAnsi="Arial" w:cs="Arial"/>
          <w:lang w:val="en-GB"/>
        </w:rPr>
        <w:t>FSANZ’s response is that a</w:t>
      </w:r>
      <w:r w:rsidRPr="00401307">
        <w:rPr>
          <w:rFonts w:ascii="Arial" w:hAnsi="Arial" w:cs="Arial"/>
          <w:lang w:val="en-GB"/>
        </w:rPr>
        <w:t xml:space="preserve">ny effects on </w:t>
      </w:r>
      <w:r w:rsidR="00002BDA">
        <w:rPr>
          <w:rFonts w:ascii="Arial" w:hAnsi="Arial" w:cs="Arial"/>
          <w:lang w:val="en-GB"/>
        </w:rPr>
        <w:t xml:space="preserve">total </w:t>
      </w:r>
      <w:r w:rsidRPr="00401307">
        <w:rPr>
          <w:rFonts w:ascii="Arial" w:hAnsi="Arial" w:cs="Arial"/>
          <w:lang w:val="en-GB"/>
        </w:rPr>
        <w:t xml:space="preserve">alcohol consumption from </w:t>
      </w:r>
      <w:r w:rsidR="00002BDA">
        <w:rPr>
          <w:rFonts w:ascii="Arial" w:hAnsi="Arial" w:cs="Arial"/>
          <w:lang w:val="en-GB"/>
        </w:rPr>
        <w:t xml:space="preserve">the provision of </w:t>
      </w:r>
      <w:r w:rsidRPr="00401307">
        <w:rPr>
          <w:rFonts w:ascii="Arial" w:hAnsi="Arial" w:cs="Arial"/>
          <w:lang w:val="en-GB"/>
        </w:rPr>
        <w:t xml:space="preserve">energy content information </w:t>
      </w:r>
      <w:r w:rsidR="00002BDA">
        <w:rPr>
          <w:rFonts w:ascii="Arial" w:hAnsi="Arial" w:cs="Arial"/>
          <w:lang w:val="en-GB"/>
        </w:rPr>
        <w:t xml:space="preserve">on alcoholic beverages </w:t>
      </w:r>
      <w:r w:rsidRPr="00401307">
        <w:rPr>
          <w:rFonts w:ascii="Arial" w:hAnsi="Arial" w:cs="Arial"/>
          <w:lang w:val="en-GB"/>
        </w:rPr>
        <w:t>are uncertain and would vary greatly by consumer. There may be indirect benefits of lower alcohol</w:t>
      </w:r>
      <w:r w:rsidR="00002BDA">
        <w:rPr>
          <w:rFonts w:ascii="Arial" w:hAnsi="Arial" w:cs="Arial"/>
          <w:lang w:val="en-GB"/>
        </w:rPr>
        <w:t xml:space="preserve"> </w:t>
      </w:r>
      <w:r w:rsidRPr="00401307">
        <w:rPr>
          <w:rFonts w:ascii="Arial" w:hAnsi="Arial" w:cs="Arial"/>
          <w:lang w:val="en-GB"/>
        </w:rPr>
        <w:t>related health risks for some (unquantified amount of) consumers if they are influenced by on-label energy content information to reduce their total energy intakes from alcoholic beverages, and therefore reduce overall alcohol intake. It is, however, not possible to speculate on the types of alcohol</w:t>
      </w:r>
      <w:r w:rsidR="00002BDA">
        <w:rPr>
          <w:rFonts w:ascii="Arial" w:hAnsi="Arial" w:cs="Arial"/>
          <w:lang w:val="en-GB"/>
        </w:rPr>
        <w:t xml:space="preserve"> </w:t>
      </w:r>
      <w:r w:rsidRPr="00401307">
        <w:rPr>
          <w:rFonts w:ascii="Arial" w:hAnsi="Arial" w:cs="Arial"/>
          <w:lang w:val="en-GB"/>
        </w:rPr>
        <w:t>related health risks that might be reduced, or the extent of such risk reductions.</w:t>
      </w:r>
    </w:p>
    <w:p w14:paraId="0328EB8F" w14:textId="079AD9F4" w:rsidR="00CE3140" w:rsidRDefault="00CE3140" w:rsidP="00CE3140">
      <w:pPr>
        <w:rPr>
          <w:rFonts w:ascii="Arial" w:hAnsi="Arial" w:cs="Arial"/>
        </w:rPr>
      </w:pPr>
      <w:r>
        <w:rPr>
          <w:rFonts w:ascii="Arial" w:hAnsi="Arial" w:cs="Arial"/>
        </w:rPr>
        <w:t>FSANZ notes that stakeholder</w:t>
      </w:r>
      <w:r w:rsidRPr="00B05A36">
        <w:rPr>
          <w:rFonts w:ascii="Arial" w:hAnsi="Arial" w:cs="Arial"/>
        </w:rPr>
        <w:t xml:space="preserve"> views </w:t>
      </w:r>
      <w:r>
        <w:rPr>
          <w:rFonts w:ascii="Arial" w:hAnsi="Arial" w:cs="Arial"/>
        </w:rPr>
        <w:t>a</w:t>
      </w:r>
      <w:r w:rsidRPr="00B05A36">
        <w:rPr>
          <w:rFonts w:ascii="Arial" w:hAnsi="Arial" w:cs="Arial"/>
        </w:rPr>
        <w:t>re not unanimous</w:t>
      </w:r>
      <w:r>
        <w:rPr>
          <w:rFonts w:ascii="Arial" w:hAnsi="Arial" w:cs="Arial"/>
        </w:rPr>
        <w:t>.</w:t>
      </w:r>
      <w:r w:rsidRPr="00B05A36">
        <w:rPr>
          <w:rFonts w:ascii="Arial" w:hAnsi="Arial" w:cs="Arial"/>
        </w:rPr>
        <w:t xml:space="preserve"> Stakeholder</w:t>
      </w:r>
      <w:r>
        <w:rPr>
          <w:rFonts w:ascii="Arial" w:hAnsi="Arial" w:cs="Arial"/>
        </w:rPr>
        <w:t xml:space="preserve"> </w:t>
      </w:r>
      <w:r w:rsidRPr="00B05A36">
        <w:rPr>
          <w:rFonts w:ascii="Arial" w:hAnsi="Arial" w:cs="Arial"/>
        </w:rPr>
        <w:t>views</w:t>
      </w:r>
      <w:r>
        <w:rPr>
          <w:rFonts w:ascii="Arial" w:hAnsi="Arial" w:cs="Arial"/>
        </w:rPr>
        <w:t xml:space="preserve"> </w:t>
      </w:r>
      <w:r w:rsidRPr="00B05A36">
        <w:rPr>
          <w:rFonts w:ascii="Arial" w:hAnsi="Arial" w:cs="Arial"/>
        </w:rPr>
        <w:t>are a key part of FSANZ’s assessment</w:t>
      </w:r>
      <w:r>
        <w:rPr>
          <w:rFonts w:ascii="Arial" w:hAnsi="Arial" w:cs="Arial"/>
        </w:rPr>
        <w:t>,</w:t>
      </w:r>
      <w:r w:rsidRPr="00B05A36">
        <w:rPr>
          <w:rFonts w:ascii="Arial" w:hAnsi="Arial" w:cs="Arial"/>
        </w:rPr>
        <w:t xml:space="preserve"> </w:t>
      </w:r>
      <w:r w:rsidR="008D6127">
        <w:rPr>
          <w:rFonts w:ascii="Arial" w:hAnsi="Arial" w:cs="Arial"/>
        </w:rPr>
        <w:t>while</w:t>
      </w:r>
      <w:r w:rsidRPr="00B05A36">
        <w:rPr>
          <w:rFonts w:ascii="Arial" w:hAnsi="Arial" w:cs="Arial"/>
        </w:rPr>
        <w:t xml:space="preserve"> decisions are also informed by scientific</w:t>
      </w:r>
      <w:r>
        <w:rPr>
          <w:rFonts w:ascii="Arial" w:hAnsi="Arial" w:cs="Arial"/>
        </w:rPr>
        <w:t xml:space="preserve"> </w:t>
      </w:r>
      <w:r w:rsidRPr="00B05A36">
        <w:rPr>
          <w:rFonts w:ascii="Arial" w:hAnsi="Arial" w:cs="Arial"/>
        </w:rPr>
        <w:t>evidence and ministerial policy guidance</w:t>
      </w:r>
      <w:r>
        <w:rPr>
          <w:rFonts w:ascii="Arial" w:hAnsi="Arial" w:cs="Arial"/>
        </w:rPr>
        <w:t>.</w:t>
      </w:r>
    </w:p>
    <w:p w14:paraId="421D85A9" w14:textId="0E6651EC" w:rsidR="00CE3140" w:rsidRPr="001F27DE" w:rsidRDefault="00B94E35" w:rsidP="001F27DE">
      <w:pPr>
        <w:rPr>
          <w:rFonts w:ascii="Arial" w:hAnsi="Arial" w:cs="Arial"/>
        </w:rPr>
      </w:pPr>
      <w:r>
        <w:rPr>
          <w:rFonts w:ascii="Arial" w:hAnsi="Arial" w:cs="Arial"/>
        </w:rPr>
        <w:t xml:space="preserve">More details on </w:t>
      </w:r>
      <w:r w:rsidR="002134E1">
        <w:rPr>
          <w:rFonts w:ascii="Arial" w:hAnsi="Arial" w:cs="Arial"/>
        </w:rPr>
        <w:t xml:space="preserve">submitter </w:t>
      </w:r>
      <w:r>
        <w:rPr>
          <w:rFonts w:ascii="Arial" w:hAnsi="Arial" w:cs="Arial"/>
        </w:rPr>
        <w:t xml:space="preserve">views </w:t>
      </w:r>
      <w:r w:rsidR="000E116F">
        <w:rPr>
          <w:rFonts w:ascii="Arial" w:hAnsi="Arial" w:cs="Arial"/>
        </w:rPr>
        <w:t>can be found</w:t>
      </w:r>
      <w:r w:rsidR="004C779F">
        <w:rPr>
          <w:rFonts w:ascii="Arial" w:hAnsi="Arial" w:cs="Arial"/>
        </w:rPr>
        <w:t xml:space="preserve"> </w:t>
      </w:r>
      <w:r w:rsidR="002134E1">
        <w:rPr>
          <w:rFonts w:ascii="Arial" w:hAnsi="Arial" w:cs="Arial"/>
        </w:rPr>
        <w:t xml:space="preserve">in the </w:t>
      </w:r>
      <w:r w:rsidR="004C779F">
        <w:rPr>
          <w:rFonts w:ascii="Arial" w:hAnsi="Arial" w:cs="Arial"/>
        </w:rPr>
        <w:t>submissions received in response to the CFS</w:t>
      </w:r>
      <w:r w:rsidR="00A07D82">
        <w:rPr>
          <w:rFonts w:ascii="Arial" w:hAnsi="Arial" w:cs="Arial"/>
        </w:rPr>
        <w:t xml:space="preserve"> (FSANZ 2023c)</w:t>
      </w:r>
      <w:r w:rsidR="004C779F">
        <w:rPr>
          <w:rFonts w:ascii="Arial" w:hAnsi="Arial" w:cs="Arial"/>
        </w:rPr>
        <w:t xml:space="preserve"> </w:t>
      </w:r>
      <w:r w:rsidR="002134E1">
        <w:rPr>
          <w:rFonts w:ascii="Arial" w:hAnsi="Arial" w:cs="Arial"/>
        </w:rPr>
        <w:t xml:space="preserve">which </w:t>
      </w:r>
      <w:r w:rsidR="004C779F">
        <w:rPr>
          <w:rFonts w:ascii="Arial" w:hAnsi="Arial" w:cs="Arial"/>
        </w:rPr>
        <w:t>are published on</w:t>
      </w:r>
      <w:r w:rsidR="00BC495A">
        <w:rPr>
          <w:rFonts w:ascii="Arial" w:hAnsi="Arial" w:cs="Arial"/>
        </w:rPr>
        <w:t xml:space="preserve"> </w:t>
      </w:r>
      <w:hyperlink r:id="rId17" w:history="1">
        <w:r w:rsidR="00BC495A" w:rsidRPr="00B82652">
          <w:rPr>
            <w:rStyle w:val="Hyperlink"/>
            <w:rFonts w:ascii="Arial" w:hAnsi="Arial" w:cs="Arial"/>
          </w:rPr>
          <w:t>FSANZ P1059 webpage</w:t>
        </w:r>
      </w:hyperlink>
      <w:r w:rsidR="00BC495A" w:rsidRPr="00B82652">
        <w:rPr>
          <w:rStyle w:val="Hyperlink"/>
          <w:rFonts w:ascii="Arial" w:hAnsi="Arial" w:cs="Arial"/>
        </w:rPr>
        <w:t>.</w:t>
      </w:r>
    </w:p>
    <w:p w14:paraId="0826E9F4" w14:textId="045D2E15" w:rsidR="00D54C9A" w:rsidRDefault="00D54C9A" w:rsidP="00CE3140">
      <w:pPr>
        <w:pStyle w:val="Heading2"/>
        <w:numPr>
          <w:ilvl w:val="0"/>
          <w:numId w:val="29"/>
        </w:numPr>
        <w:rPr>
          <w:rFonts w:eastAsia="Arial"/>
        </w:rPr>
      </w:pPr>
      <w:bookmarkStart w:id="43" w:name="_Toc194475997"/>
      <w:r>
        <w:rPr>
          <w:rFonts w:eastAsia="Arial"/>
        </w:rPr>
        <w:t>What is the best option from those considered?</w:t>
      </w:r>
      <w:bookmarkEnd w:id="43"/>
    </w:p>
    <w:p w14:paraId="57E9F87A" w14:textId="77777777" w:rsidR="00D54C9A" w:rsidRPr="000828D1" w:rsidRDefault="00D54C9A" w:rsidP="000828D1">
      <w:pPr>
        <w:rPr>
          <w:rFonts w:ascii="Arial" w:hAnsi="Arial" w:cs="Arial"/>
          <w:b/>
          <w:bCs/>
          <w:lang w:val="en-GB"/>
        </w:rPr>
      </w:pPr>
      <w:r w:rsidRPr="000828D1">
        <w:rPr>
          <w:rFonts w:ascii="Arial" w:hAnsi="Arial" w:cs="Arial"/>
          <w:b/>
          <w:bCs/>
          <w:lang w:val="en-GB"/>
        </w:rPr>
        <w:t>The extent to which each option achieves the policy objective</w:t>
      </w:r>
    </w:p>
    <w:p w14:paraId="6D225932" w14:textId="77777777" w:rsidR="001F4BF6" w:rsidRDefault="00811E61" w:rsidP="6A15B411">
      <w:pPr>
        <w:spacing w:after="240"/>
        <w:rPr>
          <w:rFonts w:ascii="Arial" w:eastAsia="Arial" w:hAnsi="Arial" w:cs="Arial"/>
        </w:rPr>
      </w:pPr>
      <w:r w:rsidRPr="6A15B411">
        <w:rPr>
          <w:rFonts w:ascii="Arial" w:hAnsi="Arial" w:cs="Arial"/>
          <w:noProof/>
        </w:rPr>
        <w:t xml:space="preserve">The specific </w:t>
      </w:r>
      <w:r w:rsidR="00822084" w:rsidRPr="6A15B411">
        <w:rPr>
          <w:rFonts w:ascii="Arial" w:hAnsi="Arial" w:cs="Arial"/>
          <w:noProof/>
        </w:rPr>
        <w:t xml:space="preserve">policy </w:t>
      </w:r>
      <w:r w:rsidRPr="6A15B411">
        <w:rPr>
          <w:rFonts w:ascii="Arial" w:hAnsi="Arial" w:cs="Arial"/>
          <w:noProof/>
        </w:rPr>
        <w:t xml:space="preserve">objective for P1059 is </w:t>
      </w:r>
      <w:r w:rsidR="00D9187C" w:rsidRPr="6A15B411">
        <w:rPr>
          <w:rFonts w:ascii="Arial" w:hAnsi="Arial" w:cs="Arial"/>
          <w:noProof/>
        </w:rPr>
        <w:t>“</w:t>
      </w:r>
      <w:r w:rsidRPr="6A15B411">
        <w:rPr>
          <w:rFonts w:ascii="Arial" w:eastAsia="Arial" w:hAnsi="Arial" w:cs="Arial"/>
        </w:rPr>
        <w:t>readily accessible energy content information on the label of alcoholic beverages to enable consumers to make informed purchasing and consumption decisions in support of dietary guidelines</w:t>
      </w:r>
      <w:r w:rsidR="00822084" w:rsidRPr="6A15B411">
        <w:rPr>
          <w:rFonts w:ascii="Arial" w:eastAsia="Arial" w:hAnsi="Arial" w:cs="Arial"/>
        </w:rPr>
        <w:t>”</w:t>
      </w:r>
      <w:r w:rsidRPr="6A15B411">
        <w:rPr>
          <w:rFonts w:ascii="Arial" w:eastAsia="Arial" w:hAnsi="Arial" w:cs="Arial"/>
        </w:rPr>
        <w:t>.</w:t>
      </w:r>
    </w:p>
    <w:p w14:paraId="0C482917" w14:textId="46780B9A" w:rsidR="00EA2E30" w:rsidRDefault="00EA2E30" w:rsidP="6A15B411">
      <w:pPr>
        <w:spacing w:after="240"/>
        <w:rPr>
          <w:rFonts w:ascii="Arial" w:hAnsi="Arial" w:cs="Arial"/>
          <w:noProof/>
        </w:rPr>
      </w:pPr>
      <w:r w:rsidRPr="6A15B411">
        <w:rPr>
          <w:rFonts w:ascii="Arial" w:eastAsia="Arial" w:hAnsi="Arial" w:cs="Arial"/>
        </w:rPr>
        <w:t xml:space="preserve">This relates to FSANZ’s higher-level objective of </w:t>
      </w:r>
      <w:r w:rsidR="000F100A" w:rsidRPr="6A15B411">
        <w:rPr>
          <w:rFonts w:ascii="Arial" w:eastAsia="Arial" w:hAnsi="Arial" w:cs="Arial"/>
        </w:rPr>
        <w:t>“</w:t>
      </w:r>
      <w:r w:rsidR="000F100A" w:rsidRPr="6A15B411">
        <w:rPr>
          <w:rFonts w:ascii="Arial" w:hAnsi="Arial" w:cs="Arial"/>
          <w:color w:val="000000" w:themeColor="text1"/>
        </w:rPr>
        <w:t>the provision of adequate information relating to food to enable consumers to make informed choice”.</w:t>
      </w:r>
    </w:p>
    <w:p w14:paraId="379E081B" w14:textId="64F7D228" w:rsidR="00D54C9A" w:rsidRPr="007E4386" w:rsidRDefault="00D54C9A" w:rsidP="00356CB8">
      <w:pPr>
        <w:spacing w:after="240"/>
        <w:rPr>
          <w:rFonts w:ascii="Arial" w:hAnsi="Arial" w:cs="Arial"/>
          <w:noProof/>
        </w:rPr>
      </w:pPr>
      <w:r w:rsidRPr="007E4386">
        <w:rPr>
          <w:rFonts w:ascii="Arial" w:hAnsi="Arial" w:cs="Arial"/>
          <w:noProof/>
        </w:rPr>
        <w:t xml:space="preserve">The </w:t>
      </w:r>
      <w:r w:rsidR="00AE113F">
        <w:rPr>
          <w:rFonts w:ascii="Arial" w:hAnsi="Arial" w:cs="Arial"/>
          <w:noProof/>
        </w:rPr>
        <w:t>s</w:t>
      </w:r>
      <w:r w:rsidRPr="007E4386">
        <w:rPr>
          <w:rFonts w:ascii="Arial" w:hAnsi="Arial" w:cs="Arial"/>
          <w:noProof/>
        </w:rPr>
        <w:t xml:space="preserve">tatus </w:t>
      </w:r>
      <w:r w:rsidR="00AE113F">
        <w:rPr>
          <w:rFonts w:ascii="Arial" w:hAnsi="Arial" w:cs="Arial"/>
          <w:noProof/>
        </w:rPr>
        <w:t>q</w:t>
      </w:r>
      <w:r w:rsidRPr="007E4386">
        <w:rPr>
          <w:rFonts w:ascii="Arial" w:hAnsi="Arial" w:cs="Arial"/>
          <w:noProof/>
        </w:rPr>
        <w:t>uo is not the best option</w:t>
      </w:r>
      <w:r w:rsidR="00CE3140">
        <w:rPr>
          <w:rFonts w:ascii="Arial" w:hAnsi="Arial" w:cs="Arial"/>
          <w:noProof/>
        </w:rPr>
        <w:t xml:space="preserve"> </w:t>
      </w:r>
      <w:r w:rsidR="000E116F">
        <w:rPr>
          <w:rFonts w:ascii="Arial" w:hAnsi="Arial" w:cs="Arial"/>
          <w:noProof/>
        </w:rPr>
        <w:t xml:space="preserve">as it </w:t>
      </w:r>
      <w:r w:rsidR="00CE3140">
        <w:rPr>
          <w:rFonts w:ascii="Arial" w:hAnsi="Arial" w:cs="Arial"/>
          <w:noProof/>
        </w:rPr>
        <w:t xml:space="preserve">would </w:t>
      </w:r>
      <w:r w:rsidR="000E116F">
        <w:rPr>
          <w:rFonts w:ascii="Arial" w:hAnsi="Arial" w:cs="Arial"/>
          <w:noProof/>
        </w:rPr>
        <w:t xml:space="preserve">not </w:t>
      </w:r>
      <w:r w:rsidR="00CE3140">
        <w:rPr>
          <w:rFonts w:ascii="Arial" w:hAnsi="Arial" w:cs="Arial"/>
          <w:noProof/>
        </w:rPr>
        <w:t>meet the policy objective</w:t>
      </w:r>
      <w:r w:rsidRPr="007E4386">
        <w:rPr>
          <w:rFonts w:ascii="Arial" w:hAnsi="Arial" w:cs="Arial"/>
          <w:noProof/>
        </w:rPr>
        <w:t xml:space="preserve">. Under the </w:t>
      </w:r>
      <w:r w:rsidR="00AE113F">
        <w:rPr>
          <w:rFonts w:ascii="Arial" w:hAnsi="Arial" w:cs="Arial"/>
          <w:noProof/>
        </w:rPr>
        <w:t>s</w:t>
      </w:r>
      <w:r w:rsidRPr="007E4386">
        <w:rPr>
          <w:rFonts w:ascii="Arial" w:hAnsi="Arial" w:cs="Arial"/>
          <w:noProof/>
        </w:rPr>
        <w:t xml:space="preserve">tatus </w:t>
      </w:r>
      <w:r w:rsidR="00AE113F">
        <w:rPr>
          <w:rFonts w:ascii="Arial" w:hAnsi="Arial" w:cs="Arial"/>
          <w:noProof/>
        </w:rPr>
        <w:t>q</w:t>
      </w:r>
      <w:r w:rsidRPr="007E4386">
        <w:rPr>
          <w:rFonts w:ascii="Arial" w:hAnsi="Arial" w:cs="Arial"/>
          <w:noProof/>
        </w:rPr>
        <w:t xml:space="preserve">uo, energy content information would </w:t>
      </w:r>
      <w:r w:rsidR="008265DE">
        <w:rPr>
          <w:rFonts w:ascii="Arial" w:hAnsi="Arial" w:cs="Arial"/>
          <w:noProof/>
        </w:rPr>
        <w:t xml:space="preserve">very likely </w:t>
      </w:r>
      <w:r w:rsidRPr="007E4386">
        <w:rPr>
          <w:rFonts w:ascii="Arial" w:hAnsi="Arial" w:cs="Arial"/>
          <w:noProof/>
        </w:rPr>
        <w:t xml:space="preserve">not be provided on the </w:t>
      </w:r>
      <w:r w:rsidR="007A4B59" w:rsidRPr="007E4386">
        <w:rPr>
          <w:rFonts w:ascii="Arial" w:hAnsi="Arial" w:cs="Arial"/>
          <w:noProof/>
        </w:rPr>
        <w:t xml:space="preserve">labels </w:t>
      </w:r>
      <w:r w:rsidR="007A4B59">
        <w:rPr>
          <w:rFonts w:ascii="Arial" w:hAnsi="Arial" w:cs="Arial"/>
          <w:noProof/>
        </w:rPr>
        <w:t xml:space="preserve">of the </w:t>
      </w:r>
      <w:r w:rsidRPr="007E4386" w:rsidDel="000E116F">
        <w:rPr>
          <w:rFonts w:ascii="Arial" w:hAnsi="Arial" w:cs="Arial"/>
          <w:noProof/>
        </w:rPr>
        <w:t xml:space="preserve">majority of </w:t>
      </w:r>
      <w:r w:rsidR="00CE3140" w:rsidDel="000E116F">
        <w:rPr>
          <w:rFonts w:ascii="Arial" w:hAnsi="Arial" w:cs="Arial"/>
          <w:noProof/>
        </w:rPr>
        <w:t xml:space="preserve">in-scope </w:t>
      </w:r>
      <w:r w:rsidR="000E116F">
        <w:rPr>
          <w:rFonts w:ascii="Arial" w:hAnsi="Arial" w:cs="Arial"/>
          <w:noProof/>
        </w:rPr>
        <w:t>alcoholic beverages</w:t>
      </w:r>
      <w:r>
        <w:rPr>
          <w:rFonts w:ascii="Arial" w:hAnsi="Arial" w:cs="Arial"/>
          <w:noProof/>
        </w:rPr>
        <w:t xml:space="preserve">. </w:t>
      </w:r>
    </w:p>
    <w:p w14:paraId="2920EAF5" w14:textId="3B0220FB" w:rsidR="00B41246" w:rsidRPr="00BA0A91" w:rsidRDefault="00D54C9A" w:rsidP="00BA0A91">
      <w:pPr>
        <w:spacing w:after="240"/>
        <w:rPr>
          <w:rFonts w:ascii="Arial" w:hAnsi="Arial" w:cs="Arial"/>
          <w:noProof/>
        </w:rPr>
      </w:pPr>
      <w:r w:rsidRPr="007E4386">
        <w:rPr>
          <w:rFonts w:ascii="Arial" w:hAnsi="Arial" w:cs="Arial"/>
          <w:noProof/>
        </w:rPr>
        <w:t xml:space="preserve">Options 2 and </w:t>
      </w:r>
      <w:r w:rsidR="00811E61">
        <w:rPr>
          <w:rFonts w:ascii="Arial" w:hAnsi="Arial" w:cs="Arial"/>
          <w:noProof/>
        </w:rPr>
        <w:t>3</w:t>
      </w:r>
      <w:r w:rsidRPr="007E4386">
        <w:rPr>
          <w:rFonts w:ascii="Arial" w:hAnsi="Arial" w:cs="Arial"/>
          <w:noProof/>
        </w:rPr>
        <w:t xml:space="preserve"> would </w:t>
      </w:r>
      <w:r>
        <w:rPr>
          <w:rFonts w:ascii="Arial" w:hAnsi="Arial" w:cs="Arial"/>
          <w:noProof/>
        </w:rPr>
        <w:t xml:space="preserve">each </w:t>
      </w:r>
      <w:r w:rsidRPr="007E4386">
        <w:rPr>
          <w:rFonts w:ascii="Arial" w:hAnsi="Arial" w:cs="Arial"/>
          <w:noProof/>
        </w:rPr>
        <w:t>likely</w:t>
      </w:r>
      <w:r>
        <w:rPr>
          <w:rFonts w:ascii="Arial" w:hAnsi="Arial" w:cs="Arial"/>
          <w:noProof/>
        </w:rPr>
        <w:t xml:space="preserve"> </w:t>
      </w:r>
      <w:r w:rsidRPr="007E4386">
        <w:rPr>
          <w:rFonts w:ascii="Arial" w:hAnsi="Arial" w:cs="Arial"/>
          <w:noProof/>
        </w:rPr>
        <w:t xml:space="preserve">achieve the policy objective. </w:t>
      </w:r>
    </w:p>
    <w:p w14:paraId="3916ED94" w14:textId="5E0E572D" w:rsidR="00502986" w:rsidRPr="00502986" w:rsidRDefault="00502986" w:rsidP="00BA0A91">
      <w:pPr>
        <w:keepNext/>
        <w:keepLines/>
        <w:rPr>
          <w:rFonts w:ascii="Arial" w:hAnsi="Arial" w:cs="Arial"/>
          <w:b/>
          <w:bCs/>
          <w:noProof/>
        </w:rPr>
      </w:pPr>
      <w:r w:rsidRPr="00502986">
        <w:rPr>
          <w:rFonts w:ascii="Arial" w:hAnsi="Arial" w:cs="Arial"/>
          <w:b/>
          <w:bCs/>
          <w:noProof/>
        </w:rPr>
        <w:lastRenderedPageBreak/>
        <w:t xml:space="preserve">Net benefits of </w:t>
      </w:r>
      <w:r w:rsidR="009B4C1D">
        <w:rPr>
          <w:rFonts w:ascii="Arial" w:hAnsi="Arial" w:cs="Arial"/>
          <w:b/>
          <w:bCs/>
          <w:noProof/>
        </w:rPr>
        <w:t>p</w:t>
      </w:r>
      <w:r w:rsidRPr="00502986">
        <w:rPr>
          <w:rFonts w:ascii="Arial" w:hAnsi="Arial" w:cs="Arial"/>
          <w:b/>
          <w:bCs/>
          <w:noProof/>
        </w:rPr>
        <w:t xml:space="preserve">referred </w:t>
      </w:r>
      <w:r w:rsidR="00171890">
        <w:rPr>
          <w:rFonts w:ascii="Arial" w:hAnsi="Arial" w:cs="Arial"/>
          <w:b/>
          <w:bCs/>
          <w:noProof/>
        </w:rPr>
        <w:t>o</w:t>
      </w:r>
      <w:r w:rsidR="00171890" w:rsidRPr="00502986">
        <w:rPr>
          <w:rFonts w:ascii="Arial" w:hAnsi="Arial" w:cs="Arial"/>
          <w:b/>
          <w:bCs/>
          <w:noProof/>
        </w:rPr>
        <w:t xml:space="preserve">ption </w:t>
      </w:r>
      <w:r w:rsidRPr="00502986">
        <w:rPr>
          <w:rFonts w:ascii="Arial" w:hAnsi="Arial" w:cs="Arial"/>
          <w:b/>
          <w:bCs/>
          <w:noProof/>
        </w:rPr>
        <w:t xml:space="preserve">3 compared to </w:t>
      </w:r>
      <w:r w:rsidR="00171890">
        <w:rPr>
          <w:rFonts w:ascii="Arial" w:hAnsi="Arial" w:cs="Arial"/>
          <w:b/>
          <w:bCs/>
          <w:noProof/>
        </w:rPr>
        <w:t>o</w:t>
      </w:r>
      <w:r w:rsidR="00171890" w:rsidRPr="00502986">
        <w:rPr>
          <w:rFonts w:ascii="Arial" w:hAnsi="Arial" w:cs="Arial"/>
          <w:b/>
          <w:bCs/>
          <w:noProof/>
        </w:rPr>
        <w:t xml:space="preserve">ption </w:t>
      </w:r>
      <w:r w:rsidRPr="00502986">
        <w:rPr>
          <w:rFonts w:ascii="Arial" w:hAnsi="Arial" w:cs="Arial"/>
          <w:b/>
          <w:bCs/>
          <w:noProof/>
        </w:rPr>
        <w:t>2</w:t>
      </w:r>
    </w:p>
    <w:p w14:paraId="33C9A867" w14:textId="06E76DC7" w:rsidR="00D54C9A" w:rsidRDefault="00D54C9A" w:rsidP="00BA0A91">
      <w:pPr>
        <w:keepNext/>
        <w:keepLines/>
        <w:rPr>
          <w:rFonts w:ascii="Arial" w:hAnsi="Arial" w:cs="Arial"/>
        </w:rPr>
      </w:pPr>
      <w:r w:rsidRPr="007E4386">
        <w:rPr>
          <w:rFonts w:ascii="Arial" w:hAnsi="Arial" w:cs="Arial"/>
          <w:noProof/>
        </w:rPr>
        <w:t xml:space="preserve">Option 2 is not considered the best option because it does not provide </w:t>
      </w:r>
      <w:r w:rsidR="000E116F">
        <w:rPr>
          <w:rFonts w:ascii="Arial" w:hAnsi="Arial" w:cs="Arial"/>
          <w:noProof/>
        </w:rPr>
        <w:t xml:space="preserve">information about the number of standard drinks </w:t>
      </w:r>
      <w:r w:rsidR="003B5992">
        <w:rPr>
          <w:rFonts w:ascii="Arial" w:hAnsi="Arial" w:cs="Arial"/>
          <w:noProof/>
        </w:rPr>
        <w:t xml:space="preserve">equivalent to </w:t>
      </w:r>
      <w:r w:rsidR="000E116F">
        <w:rPr>
          <w:rFonts w:ascii="Arial" w:hAnsi="Arial" w:cs="Arial"/>
          <w:noProof/>
        </w:rPr>
        <w:t xml:space="preserve">one serving that </w:t>
      </w:r>
      <w:r w:rsidR="003B5992">
        <w:rPr>
          <w:rFonts w:ascii="Arial" w:hAnsi="Arial" w:cs="Arial"/>
        </w:rPr>
        <w:t>would</w:t>
      </w:r>
      <w:r w:rsidR="00E703EE">
        <w:rPr>
          <w:rFonts w:ascii="Arial" w:hAnsi="Arial" w:cs="Arial"/>
        </w:rPr>
        <w:t xml:space="preserve"> improve</w:t>
      </w:r>
      <w:r w:rsidR="003B5992">
        <w:rPr>
          <w:rFonts w:ascii="Arial" w:hAnsi="Arial" w:cs="Arial"/>
        </w:rPr>
        <w:t xml:space="preserve"> </w:t>
      </w:r>
      <w:r w:rsidRPr="007E4386">
        <w:rPr>
          <w:rFonts w:ascii="Arial" w:hAnsi="Arial" w:cs="Arial"/>
        </w:rPr>
        <w:t>consumer understanding of how a serving size relates to a standard drink</w:t>
      </w:r>
      <w:r>
        <w:rPr>
          <w:rFonts w:ascii="Arial" w:hAnsi="Arial" w:cs="Arial"/>
        </w:rPr>
        <w:t>.</w:t>
      </w:r>
    </w:p>
    <w:p w14:paraId="5A4E3CBA" w14:textId="789691F1" w:rsidR="00D54C9A" w:rsidRPr="00856DAB" w:rsidRDefault="00D54C9A" w:rsidP="6A15B411">
      <w:pPr>
        <w:spacing w:after="240"/>
        <w:rPr>
          <w:rFonts w:ascii="Arial" w:hAnsi="Arial" w:cs="Arial"/>
          <w:noProof/>
        </w:rPr>
      </w:pPr>
      <w:r w:rsidRPr="6A15B411">
        <w:rPr>
          <w:rFonts w:ascii="Arial" w:hAnsi="Arial" w:cs="Arial"/>
        </w:rPr>
        <w:t>The</w:t>
      </w:r>
      <w:r w:rsidR="00171890" w:rsidRPr="6A15B411">
        <w:rPr>
          <w:rFonts w:ascii="Arial" w:hAnsi="Arial" w:cs="Arial"/>
        </w:rPr>
        <w:t>refore, the</w:t>
      </w:r>
      <w:r w:rsidRPr="6A15B411">
        <w:rPr>
          <w:rFonts w:ascii="Arial" w:hAnsi="Arial" w:cs="Arial"/>
        </w:rPr>
        <w:t xml:space="preserve"> best option is considered to be </w:t>
      </w:r>
      <w:r w:rsidR="00171890" w:rsidRPr="6A15B411">
        <w:rPr>
          <w:rFonts w:ascii="Arial" w:hAnsi="Arial" w:cs="Arial"/>
        </w:rPr>
        <w:t xml:space="preserve">option </w:t>
      </w:r>
      <w:r w:rsidRPr="6A15B411">
        <w:rPr>
          <w:rFonts w:ascii="Arial" w:hAnsi="Arial" w:cs="Arial"/>
        </w:rPr>
        <w:t>3</w:t>
      </w:r>
      <w:r w:rsidR="000E116F" w:rsidRPr="6A15B411">
        <w:rPr>
          <w:rFonts w:ascii="Arial" w:hAnsi="Arial" w:cs="Arial"/>
        </w:rPr>
        <w:t xml:space="preserve"> as it</w:t>
      </w:r>
      <w:r w:rsidR="00EA5805" w:rsidRPr="6A15B411">
        <w:rPr>
          <w:rFonts w:ascii="Arial" w:hAnsi="Arial" w:cs="Arial"/>
        </w:rPr>
        <w:t xml:space="preserve"> significantly</w:t>
      </w:r>
      <w:r w:rsidR="000E116F" w:rsidRPr="6A15B411">
        <w:rPr>
          <w:rFonts w:ascii="Arial" w:hAnsi="Arial" w:cs="Arial"/>
        </w:rPr>
        <w:t xml:space="preserve"> </w:t>
      </w:r>
      <w:r w:rsidR="00E703EE" w:rsidRPr="6A15B411">
        <w:rPr>
          <w:rFonts w:ascii="Arial" w:hAnsi="Arial" w:cs="Arial"/>
        </w:rPr>
        <w:t xml:space="preserve">improves </w:t>
      </w:r>
      <w:r w:rsidRPr="6A15B411">
        <w:rPr>
          <w:rFonts w:ascii="Arial" w:hAnsi="Arial" w:cs="Arial"/>
        </w:rPr>
        <w:t>consumer understanding of how a serving size relates to a standard drink</w:t>
      </w:r>
      <w:r w:rsidR="00405AE6" w:rsidRPr="6A15B411">
        <w:rPr>
          <w:rFonts w:ascii="Arial" w:hAnsi="Arial" w:cs="Arial"/>
        </w:rPr>
        <w:t xml:space="preserve"> </w:t>
      </w:r>
      <w:r w:rsidR="00811E61" w:rsidRPr="6A15B411">
        <w:rPr>
          <w:rFonts w:ascii="Arial" w:hAnsi="Arial" w:cs="Arial"/>
        </w:rPr>
        <w:t xml:space="preserve">for a cost increase </w:t>
      </w:r>
      <w:r w:rsidR="00A07BFB" w:rsidRPr="6A15B411">
        <w:rPr>
          <w:rFonts w:ascii="Arial" w:hAnsi="Arial" w:cs="Arial"/>
        </w:rPr>
        <w:t xml:space="preserve">(compared to </w:t>
      </w:r>
      <w:r w:rsidR="00171890" w:rsidRPr="6A15B411">
        <w:rPr>
          <w:rFonts w:ascii="Arial" w:hAnsi="Arial" w:cs="Arial"/>
        </w:rPr>
        <w:t xml:space="preserve">option </w:t>
      </w:r>
      <w:r w:rsidR="00A07BFB" w:rsidRPr="6A15B411">
        <w:rPr>
          <w:rFonts w:ascii="Arial" w:hAnsi="Arial" w:cs="Arial"/>
        </w:rPr>
        <w:t xml:space="preserve">2) </w:t>
      </w:r>
      <w:r w:rsidR="00811E61" w:rsidRPr="6A15B411">
        <w:rPr>
          <w:rFonts w:ascii="Arial" w:hAnsi="Arial" w:cs="Arial"/>
        </w:rPr>
        <w:t xml:space="preserve">that </w:t>
      </w:r>
      <w:r w:rsidR="00F53335" w:rsidRPr="6A15B411">
        <w:rPr>
          <w:rFonts w:ascii="Arial" w:hAnsi="Arial" w:cs="Arial"/>
        </w:rPr>
        <w:t>makes little difference to</w:t>
      </w:r>
      <w:r w:rsidR="00811E61" w:rsidRPr="6A15B411">
        <w:rPr>
          <w:rFonts w:ascii="Arial" w:hAnsi="Arial" w:cs="Arial"/>
        </w:rPr>
        <w:t xml:space="preserve"> the break-even comparison</w:t>
      </w:r>
      <w:r w:rsidRPr="6A15B411">
        <w:rPr>
          <w:rFonts w:ascii="Arial" w:hAnsi="Arial" w:cs="Arial"/>
        </w:rPr>
        <w:t xml:space="preserve">. </w:t>
      </w:r>
      <w:r w:rsidR="000E116F" w:rsidRPr="6A15B411">
        <w:rPr>
          <w:rFonts w:ascii="Arial" w:hAnsi="Arial" w:cs="Arial"/>
        </w:rPr>
        <w:t xml:space="preserve">Therefore, </w:t>
      </w:r>
      <w:r w:rsidR="00171890" w:rsidRPr="6A15B411">
        <w:rPr>
          <w:rFonts w:ascii="Arial" w:hAnsi="Arial" w:cs="Arial"/>
        </w:rPr>
        <w:t xml:space="preserve">option </w:t>
      </w:r>
      <w:r w:rsidRPr="6A15B411">
        <w:rPr>
          <w:rFonts w:ascii="Arial" w:hAnsi="Arial" w:cs="Arial"/>
        </w:rPr>
        <w:t xml:space="preserve">3 is best for achieving FSANZ’s higher-level objective of informed choice. </w:t>
      </w:r>
    </w:p>
    <w:p w14:paraId="067C8616" w14:textId="377C8D1F" w:rsidR="00D54C9A" w:rsidRDefault="00D54C9A" w:rsidP="00F05A4E">
      <w:pPr>
        <w:pStyle w:val="Heading2"/>
        <w:numPr>
          <w:ilvl w:val="0"/>
          <w:numId w:val="29"/>
        </w:numPr>
        <w:spacing w:before="360"/>
        <w:ind w:left="851" w:hanging="851"/>
        <w:rPr>
          <w:rFonts w:eastAsia="Arial"/>
        </w:rPr>
      </w:pPr>
      <w:bookmarkStart w:id="44" w:name="_Toc194475998"/>
      <w:r>
        <w:rPr>
          <w:rFonts w:eastAsia="Arial"/>
        </w:rPr>
        <w:t>How will the chosen option be implemented?</w:t>
      </w:r>
      <w:bookmarkEnd w:id="44"/>
    </w:p>
    <w:p w14:paraId="7230BDA6" w14:textId="2E6C1815" w:rsidR="00D54C9A" w:rsidRPr="000828D1" w:rsidRDefault="00D54C9A" w:rsidP="000828D1">
      <w:pPr>
        <w:rPr>
          <w:rFonts w:ascii="Arial" w:hAnsi="Arial" w:cs="Arial"/>
          <w:b/>
          <w:bCs/>
          <w:lang w:val="en-GB"/>
        </w:rPr>
      </w:pPr>
      <w:bookmarkStart w:id="45" w:name="_Toc158893150"/>
      <w:r w:rsidRPr="000828D1">
        <w:rPr>
          <w:rFonts w:ascii="Arial" w:hAnsi="Arial" w:cs="Arial"/>
          <w:b/>
          <w:bCs/>
          <w:lang w:val="en-GB"/>
        </w:rPr>
        <w:t>The decision</w:t>
      </w:r>
      <w:r w:rsidR="0065376A" w:rsidRPr="000828D1">
        <w:rPr>
          <w:rFonts w:ascii="Arial" w:hAnsi="Arial" w:cs="Arial"/>
          <w:b/>
          <w:bCs/>
          <w:lang w:val="en-GB"/>
        </w:rPr>
        <w:t xml:space="preserve"> </w:t>
      </w:r>
      <w:r w:rsidRPr="000828D1">
        <w:rPr>
          <w:rFonts w:ascii="Arial" w:hAnsi="Arial" w:cs="Arial"/>
          <w:b/>
          <w:bCs/>
          <w:lang w:val="en-GB"/>
        </w:rPr>
        <w:t>making process for the proposed changes</w:t>
      </w:r>
      <w:bookmarkEnd w:id="45"/>
    </w:p>
    <w:p w14:paraId="52E88A55" w14:textId="1AA4CE7B" w:rsidR="00D54C9A" w:rsidRPr="00095BDD" w:rsidRDefault="00D54C9A" w:rsidP="6A15B411">
      <w:r w:rsidRPr="6A15B411">
        <w:rPr>
          <w:rFonts w:ascii="Arial" w:hAnsi="Arial" w:cs="Arial"/>
        </w:rPr>
        <w:t xml:space="preserve">The FSANZ Board </w:t>
      </w:r>
      <w:r w:rsidR="009640D7" w:rsidRPr="6A15B411">
        <w:rPr>
          <w:rFonts w:ascii="Arial" w:hAnsi="Arial" w:cs="Arial"/>
        </w:rPr>
        <w:t xml:space="preserve">would </w:t>
      </w:r>
      <w:r w:rsidR="00227C84" w:rsidRPr="6A15B411">
        <w:rPr>
          <w:rFonts w:ascii="Arial" w:hAnsi="Arial" w:cs="Arial"/>
        </w:rPr>
        <w:t>decide</w:t>
      </w:r>
      <w:r w:rsidRPr="6A15B411">
        <w:rPr>
          <w:rFonts w:ascii="Arial" w:hAnsi="Arial" w:cs="Arial"/>
        </w:rPr>
        <w:t xml:space="preserve"> </w:t>
      </w:r>
      <w:r w:rsidR="00E85F0F" w:rsidRPr="6A15B411">
        <w:rPr>
          <w:rFonts w:ascii="Arial" w:hAnsi="Arial" w:cs="Arial"/>
        </w:rPr>
        <w:t xml:space="preserve">in </w:t>
      </w:r>
      <w:r w:rsidR="006462F3" w:rsidRPr="6A15B411">
        <w:rPr>
          <w:rFonts w:ascii="Arial" w:hAnsi="Arial" w:cs="Arial"/>
        </w:rPr>
        <w:t>March 2025</w:t>
      </w:r>
      <w:r w:rsidR="0087337D" w:rsidRPr="6A15B411">
        <w:rPr>
          <w:rFonts w:ascii="Arial" w:hAnsi="Arial" w:cs="Arial"/>
        </w:rPr>
        <w:t xml:space="preserve"> </w:t>
      </w:r>
      <w:r w:rsidRPr="6A15B411">
        <w:rPr>
          <w:rFonts w:ascii="Arial" w:hAnsi="Arial" w:cs="Arial"/>
        </w:rPr>
        <w:t xml:space="preserve">whether or not to approve the proposed changes </w:t>
      </w:r>
      <w:r w:rsidR="00171890" w:rsidRPr="6A15B411">
        <w:rPr>
          <w:rFonts w:ascii="Arial" w:hAnsi="Arial" w:cs="Arial"/>
        </w:rPr>
        <w:t xml:space="preserve">to the Code </w:t>
      </w:r>
      <w:r w:rsidRPr="6A15B411">
        <w:rPr>
          <w:rFonts w:ascii="Arial" w:hAnsi="Arial" w:cs="Arial"/>
        </w:rPr>
        <w:t>for P1059</w:t>
      </w:r>
      <w:r w:rsidR="007C7D77" w:rsidRPr="6A15B411">
        <w:rPr>
          <w:rFonts w:ascii="Arial" w:hAnsi="Arial" w:cs="Arial"/>
        </w:rPr>
        <w:t xml:space="preserve"> (variations to the Code)</w:t>
      </w:r>
      <w:r w:rsidR="000F100A" w:rsidRPr="6A15B411">
        <w:rPr>
          <w:rFonts w:ascii="Arial" w:hAnsi="Arial" w:cs="Arial"/>
        </w:rPr>
        <w:t xml:space="preserve">. </w:t>
      </w:r>
      <w:r w:rsidRPr="6A15B411">
        <w:rPr>
          <w:rFonts w:ascii="Arial" w:hAnsi="Arial" w:cs="Arial"/>
        </w:rPr>
        <w:t>For more information</w:t>
      </w:r>
      <w:r w:rsidRPr="6A15B411">
        <w:t xml:space="preserve"> </w:t>
      </w:r>
      <w:r w:rsidRPr="6A15B411">
        <w:rPr>
          <w:rFonts w:ascii="Arial" w:hAnsi="Arial" w:cs="Arial"/>
        </w:rPr>
        <w:t>about the FSANZ Board, please see the</w:t>
      </w:r>
      <w:r w:rsidRPr="6A15B411">
        <w:t xml:space="preserve"> </w:t>
      </w:r>
      <w:hyperlink r:id="rId18">
        <w:r w:rsidRPr="6A15B411">
          <w:rPr>
            <w:rStyle w:val="Hyperlink"/>
            <w:rFonts w:ascii="Arial" w:hAnsi="Arial" w:cs="Arial"/>
          </w:rPr>
          <w:t>FSANZ Board webpage</w:t>
        </w:r>
      </w:hyperlink>
      <w:r w:rsidRPr="6A15B411">
        <w:t xml:space="preserve"> .</w:t>
      </w:r>
    </w:p>
    <w:p w14:paraId="3E0FB0A0" w14:textId="657DE6DF" w:rsidR="00D54C9A" w:rsidRPr="00095BDD" w:rsidRDefault="00D54C9A" w:rsidP="6A15B411">
      <w:pPr>
        <w:spacing w:after="0"/>
        <w:rPr>
          <w:rFonts w:ascii="Arial" w:hAnsi="Arial" w:cs="Arial"/>
        </w:rPr>
      </w:pPr>
      <w:r w:rsidRPr="6A15B411">
        <w:rPr>
          <w:rFonts w:ascii="Arial" w:hAnsi="Arial" w:cs="Arial"/>
        </w:rPr>
        <w:t>Afte</w:t>
      </w:r>
      <w:r w:rsidR="00C5265F" w:rsidRPr="6A15B411">
        <w:rPr>
          <w:rFonts w:ascii="Arial" w:hAnsi="Arial" w:cs="Arial"/>
        </w:rPr>
        <w:t>r</w:t>
      </w:r>
      <w:r w:rsidRPr="6A15B411">
        <w:rPr>
          <w:rFonts w:ascii="Arial" w:hAnsi="Arial" w:cs="Arial"/>
        </w:rPr>
        <w:t xml:space="preserve"> Board approval, FSANZ decisions on </w:t>
      </w:r>
      <w:r w:rsidR="003755C0" w:rsidRPr="6A15B411">
        <w:rPr>
          <w:rFonts w:ascii="Arial" w:hAnsi="Arial" w:cs="Arial"/>
        </w:rPr>
        <w:t xml:space="preserve">variations to the Code </w:t>
      </w:r>
      <w:r w:rsidRPr="6A15B411">
        <w:rPr>
          <w:rFonts w:ascii="Arial" w:hAnsi="Arial" w:cs="Arial"/>
        </w:rPr>
        <w:t xml:space="preserve">are notified to </w:t>
      </w:r>
      <w:r w:rsidR="002719AE" w:rsidRPr="6A15B411">
        <w:rPr>
          <w:rFonts w:ascii="Arial" w:hAnsi="Arial" w:cs="Arial"/>
        </w:rPr>
        <w:t>M</w:t>
      </w:r>
      <w:r w:rsidRPr="6A15B411">
        <w:rPr>
          <w:rFonts w:ascii="Arial" w:hAnsi="Arial" w:cs="Arial"/>
        </w:rPr>
        <w:t>inisters</w:t>
      </w:r>
      <w:r w:rsidR="009F1DBA" w:rsidRPr="6A15B411">
        <w:rPr>
          <w:rFonts w:ascii="Arial" w:hAnsi="Arial" w:cs="Arial"/>
        </w:rPr>
        <w:t xml:space="preserve"> responsible for food regulation</w:t>
      </w:r>
      <w:r w:rsidRPr="6A15B411">
        <w:rPr>
          <w:rFonts w:ascii="Arial" w:hAnsi="Arial" w:cs="Arial"/>
        </w:rPr>
        <w:t xml:space="preserve"> from the </w:t>
      </w:r>
      <w:r w:rsidR="00252930" w:rsidRPr="6A15B411">
        <w:rPr>
          <w:rFonts w:ascii="Arial" w:hAnsi="Arial" w:cs="Arial"/>
        </w:rPr>
        <w:t xml:space="preserve">Australian </w:t>
      </w:r>
      <w:r w:rsidRPr="6A15B411">
        <w:rPr>
          <w:rFonts w:ascii="Arial" w:hAnsi="Arial" w:cs="Arial"/>
        </w:rPr>
        <w:t>Commonwealth</w:t>
      </w:r>
      <w:r w:rsidR="003755C0" w:rsidRPr="6A15B411">
        <w:rPr>
          <w:rFonts w:ascii="Arial" w:hAnsi="Arial" w:cs="Arial"/>
        </w:rPr>
        <w:t xml:space="preserve"> and</w:t>
      </w:r>
      <w:r w:rsidRPr="6A15B411">
        <w:rPr>
          <w:rFonts w:ascii="Arial" w:hAnsi="Arial" w:cs="Arial"/>
        </w:rPr>
        <w:t xml:space="preserve"> Australian States and Territories, and New Zealand</w:t>
      </w:r>
      <w:r w:rsidR="009F1DBA" w:rsidRPr="6A15B411">
        <w:rPr>
          <w:rFonts w:ascii="Arial" w:hAnsi="Arial" w:cs="Arial"/>
        </w:rPr>
        <w:t>.</w:t>
      </w:r>
      <w:r w:rsidRPr="6A15B411">
        <w:rPr>
          <w:rFonts w:ascii="Arial" w:hAnsi="Arial" w:cs="Arial"/>
        </w:rPr>
        <w:t xml:space="preserve"> </w:t>
      </w:r>
      <w:r w:rsidR="009F1DBA" w:rsidRPr="6A15B411">
        <w:rPr>
          <w:rFonts w:ascii="Arial" w:hAnsi="Arial" w:cs="Arial"/>
        </w:rPr>
        <w:t xml:space="preserve">Those </w:t>
      </w:r>
      <w:r w:rsidR="002719AE" w:rsidRPr="6A15B411">
        <w:rPr>
          <w:rFonts w:ascii="Arial" w:hAnsi="Arial" w:cs="Arial"/>
        </w:rPr>
        <w:t>M</w:t>
      </w:r>
      <w:r w:rsidR="009F1DBA" w:rsidRPr="6A15B411">
        <w:rPr>
          <w:rFonts w:ascii="Arial" w:hAnsi="Arial" w:cs="Arial"/>
        </w:rPr>
        <w:t>inisters can then</w:t>
      </w:r>
      <w:r w:rsidRPr="6A15B411">
        <w:rPr>
          <w:rFonts w:ascii="Arial" w:hAnsi="Arial" w:cs="Arial"/>
        </w:rPr>
        <w:t xml:space="preserve"> decide to either: </w:t>
      </w:r>
    </w:p>
    <w:p w14:paraId="7AF7CA7B" w14:textId="1825CB11" w:rsidR="00D54C9A" w:rsidRPr="00795C85" w:rsidRDefault="00D54C9A" w:rsidP="00CE3140">
      <w:pPr>
        <w:pStyle w:val="ListParagraph"/>
        <w:numPr>
          <w:ilvl w:val="0"/>
          <w:numId w:val="18"/>
        </w:numPr>
        <w:spacing w:after="160" w:line="259" w:lineRule="auto"/>
        <w:contextualSpacing/>
        <w:rPr>
          <w:rFonts w:ascii="Arial" w:hAnsi="Arial" w:cs="Arial"/>
          <w:lang w:val="en-US"/>
        </w:rPr>
      </w:pPr>
      <w:r w:rsidRPr="00795C85">
        <w:rPr>
          <w:rFonts w:ascii="Arial" w:hAnsi="Arial" w:cs="Arial"/>
          <w:lang w:val="en-US"/>
        </w:rPr>
        <w:t>ask for a review,</w:t>
      </w:r>
      <w:r w:rsidR="00DC35F8">
        <w:rPr>
          <w:rFonts w:ascii="Arial" w:hAnsi="Arial" w:cs="Arial"/>
          <w:lang w:val="en-US"/>
        </w:rPr>
        <w:t xml:space="preserve"> and after a review</w:t>
      </w:r>
      <w:r w:rsidR="00301F0A">
        <w:rPr>
          <w:rFonts w:ascii="Arial" w:hAnsi="Arial" w:cs="Arial"/>
          <w:lang w:val="en-US"/>
        </w:rPr>
        <w:t xml:space="preserve"> decide to accept, amend, or reject </w:t>
      </w:r>
      <w:r w:rsidR="003755C0">
        <w:rPr>
          <w:rFonts w:ascii="Arial" w:hAnsi="Arial" w:cs="Arial"/>
          <w:lang w:val="en-US"/>
        </w:rPr>
        <w:t>the variations</w:t>
      </w:r>
      <w:r w:rsidR="00301F0A" w:rsidDel="004C67C4">
        <w:rPr>
          <w:rFonts w:ascii="Arial" w:hAnsi="Arial" w:cs="Arial"/>
          <w:lang w:val="en-US"/>
        </w:rPr>
        <w:t xml:space="preserve"> </w:t>
      </w:r>
      <w:r w:rsidR="00F41167">
        <w:rPr>
          <w:rFonts w:ascii="Arial" w:hAnsi="Arial" w:cs="Arial"/>
          <w:lang w:val="en-US"/>
        </w:rPr>
        <w:t>to the Code</w:t>
      </w:r>
      <w:r w:rsidR="00301F0A">
        <w:rPr>
          <w:rFonts w:ascii="Arial" w:hAnsi="Arial" w:cs="Arial"/>
          <w:lang w:val="en-US"/>
        </w:rPr>
        <w:t>,</w:t>
      </w:r>
      <w:r w:rsidRPr="00795C85">
        <w:rPr>
          <w:rFonts w:ascii="Arial" w:hAnsi="Arial" w:cs="Arial"/>
          <w:lang w:val="en-US"/>
        </w:rPr>
        <w:t xml:space="preserve"> or </w:t>
      </w:r>
    </w:p>
    <w:p w14:paraId="384CE32C" w14:textId="0BA14E0E" w:rsidR="00366790" w:rsidRPr="00081B6B" w:rsidRDefault="00AB2DCD" w:rsidP="00366790">
      <w:pPr>
        <w:pStyle w:val="ListParagraph"/>
        <w:numPr>
          <w:ilvl w:val="0"/>
          <w:numId w:val="18"/>
        </w:numPr>
        <w:spacing w:after="160" w:line="259" w:lineRule="auto"/>
        <w:contextualSpacing/>
        <w:rPr>
          <w:rFonts w:ascii="Arial" w:hAnsi="Arial" w:cs="Arial"/>
        </w:rPr>
      </w:pPr>
      <w:r>
        <w:rPr>
          <w:rFonts w:ascii="Arial" w:hAnsi="Arial" w:cs="Arial"/>
          <w:lang w:val="en-US"/>
        </w:rPr>
        <w:t>not request a review of the decision to approve the changes to the Code</w:t>
      </w:r>
      <w:r w:rsidR="00D54C9A" w:rsidRPr="00795C85">
        <w:rPr>
          <w:rFonts w:ascii="Arial" w:hAnsi="Arial" w:cs="Arial"/>
          <w:lang w:val="en-US"/>
        </w:rPr>
        <w:t xml:space="preserve">. </w:t>
      </w:r>
    </w:p>
    <w:p w14:paraId="2B31E4E8" w14:textId="7ACD48E8" w:rsidR="00081B6B" w:rsidRPr="00081B6B" w:rsidRDefault="00171890" w:rsidP="6A15B411">
      <w:pPr>
        <w:rPr>
          <w:rFonts w:ascii="Arial" w:hAnsi="Arial" w:cs="Arial"/>
        </w:rPr>
      </w:pPr>
      <w:r w:rsidRPr="6A15B411">
        <w:rPr>
          <w:rFonts w:ascii="Arial" w:hAnsi="Arial" w:cs="Arial"/>
        </w:rPr>
        <w:t>M</w:t>
      </w:r>
      <w:r w:rsidR="00081B6B" w:rsidRPr="6A15B411">
        <w:rPr>
          <w:rFonts w:ascii="Arial" w:hAnsi="Arial" w:cs="Arial"/>
        </w:rPr>
        <w:t>inisters</w:t>
      </w:r>
      <w:r w:rsidR="00131FC9" w:rsidRPr="6A15B411">
        <w:rPr>
          <w:rFonts w:ascii="Arial" w:hAnsi="Arial" w:cs="Arial"/>
        </w:rPr>
        <w:t>’</w:t>
      </w:r>
      <w:r w:rsidR="00081B6B" w:rsidRPr="6A15B411">
        <w:rPr>
          <w:rFonts w:ascii="Arial" w:hAnsi="Arial" w:cs="Arial"/>
        </w:rPr>
        <w:t xml:space="preserve"> </w:t>
      </w:r>
      <w:r w:rsidRPr="6A15B411">
        <w:rPr>
          <w:rFonts w:ascii="Arial" w:hAnsi="Arial" w:cs="Arial"/>
        </w:rPr>
        <w:t xml:space="preserve">decision </w:t>
      </w:r>
      <w:r w:rsidR="0090382C" w:rsidRPr="6A15B411">
        <w:rPr>
          <w:rFonts w:ascii="Arial" w:hAnsi="Arial" w:cs="Arial"/>
        </w:rPr>
        <w:t xml:space="preserve">must be made 60 days after </w:t>
      </w:r>
      <w:r w:rsidR="004031E5" w:rsidRPr="6A15B411">
        <w:rPr>
          <w:rFonts w:ascii="Arial" w:hAnsi="Arial" w:cs="Arial"/>
        </w:rPr>
        <w:t>being</w:t>
      </w:r>
      <w:r w:rsidR="0090382C" w:rsidRPr="6A15B411">
        <w:rPr>
          <w:rFonts w:ascii="Arial" w:hAnsi="Arial" w:cs="Arial"/>
        </w:rPr>
        <w:t xml:space="preserve"> notified of the decision by the Board</w:t>
      </w:r>
      <w:r w:rsidR="00F06418" w:rsidRPr="6A15B411">
        <w:rPr>
          <w:rFonts w:ascii="Arial" w:hAnsi="Arial" w:cs="Arial"/>
        </w:rPr>
        <w:t>.</w:t>
      </w:r>
    </w:p>
    <w:p w14:paraId="05A428F1" w14:textId="7CEBFA87" w:rsidR="00D54C9A" w:rsidRPr="00095BDD" w:rsidRDefault="007A0A29" w:rsidP="00A94DAC">
      <w:pPr>
        <w:spacing w:after="0"/>
        <w:rPr>
          <w:rFonts w:ascii="Arial" w:hAnsi="Arial" w:cs="Arial"/>
        </w:rPr>
      </w:pPr>
      <w:r>
        <w:rPr>
          <w:rFonts w:ascii="Arial" w:hAnsi="Arial" w:cs="Arial"/>
        </w:rPr>
        <w:t>After this decision</w:t>
      </w:r>
      <w:r w:rsidR="00171890">
        <w:rPr>
          <w:rFonts w:ascii="Arial" w:hAnsi="Arial" w:cs="Arial"/>
        </w:rPr>
        <w:t xml:space="preserve"> </w:t>
      </w:r>
      <w:r>
        <w:rPr>
          <w:rFonts w:ascii="Arial" w:hAnsi="Arial" w:cs="Arial"/>
        </w:rPr>
        <w:t>making</w:t>
      </w:r>
      <w:r w:rsidR="00D54C9A" w:rsidRPr="00095BDD">
        <w:rPr>
          <w:rFonts w:ascii="Arial" w:hAnsi="Arial" w:cs="Arial"/>
        </w:rPr>
        <w:t xml:space="preserve">, </w:t>
      </w:r>
      <w:r w:rsidR="000B2159">
        <w:rPr>
          <w:rFonts w:ascii="Arial" w:hAnsi="Arial" w:cs="Arial"/>
        </w:rPr>
        <w:t>any</w:t>
      </w:r>
      <w:r w:rsidR="00D54C9A" w:rsidRPr="00095BDD">
        <w:rPr>
          <w:rFonts w:ascii="Arial" w:hAnsi="Arial" w:cs="Arial"/>
        </w:rPr>
        <w:t xml:space="preserve"> </w:t>
      </w:r>
      <w:r w:rsidR="000E0FCF">
        <w:rPr>
          <w:rFonts w:ascii="Arial" w:hAnsi="Arial" w:cs="Arial"/>
        </w:rPr>
        <w:t>decided</w:t>
      </w:r>
      <w:r>
        <w:rPr>
          <w:rFonts w:ascii="Arial" w:hAnsi="Arial" w:cs="Arial"/>
        </w:rPr>
        <w:t xml:space="preserve"> Code changes </w:t>
      </w:r>
      <w:r w:rsidR="00D54C9A" w:rsidRPr="00095BDD">
        <w:rPr>
          <w:rFonts w:ascii="Arial" w:hAnsi="Arial" w:cs="Arial"/>
        </w:rPr>
        <w:t xml:space="preserve">are: </w:t>
      </w:r>
    </w:p>
    <w:p w14:paraId="05C34759" w14:textId="77777777" w:rsidR="00D54C9A" w:rsidRPr="00095BDD" w:rsidRDefault="00D54C9A" w:rsidP="00CE3140">
      <w:pPr>
        <w:pStyle w:val="ListParagraph"/>
        <w:numPr>
          <w:ilvl w:val="0"/>
          <w:numId w:val="18"/>
        </w:numPr>
        <w:spacing w:after="160" w:line="259" w:lineRule="auto"/>
        <w:contextualSpacing/>
        <w:rPr>
          <w:rFonts w:ascii="Arial" w:hAnsi="Arial" w:cs="Arial"/>
          <w:lang w:val="en-US"/>
        </w:rPr>
      </w:pPr>
      <w:r w:rsidRPr="00095BDD">
        <w:rPr>
          <w:rFonts w:ascii="Arial" w:hAnsi="Arial" w:cs="Arial"/>
          <w:lang w:val="en-US"/>
        </w:rPr>
        <w:t>registered as legislative instruments in Australia on the Federal Register of Legislative Instruments and gazetted</w:t>
      </w:r>
    </w:p>
    <w:p w14:paraId="2F94D1BD" w14:textId="77777777" w:rsidR="00D54C9A" w:rsidRDefault="00D54C9A" w:rsidP="00CE3140">
      <w:pPr>
        <w:pStyle w:val="ListParagraph"/>
        <w:numPr>
          <w:ilvl w:val="0"/>
          <w:numId w:val="18"/>
        </w:numPr>
        <w:spacing w:after="160" w:line="259" w:lineRule="auto"/>
        <w:contextualSpacing/>
        <w:rPr>
          <w:rFonts w:ascii="Arial" w:hAnsi="Arial" w:cs="Arial"/>
        </w:rPr>
      </w:pPr>
      <w:r w:rsidRPr="00095BDD">
        <w:rPr>
          <w:rFonts w:ascii="Arial" w:hAnsi="Arial" w:cs="Arial"/>
          <w:lang w:val="en-US"/>
        </w:rPr>
        <w:t>issued as a food standard in New Zealand by the New Zealand Minister for Food Safety</w:t>
      </w:r>
      <w:r>
        <w:rPr>
          <w:rFonts w:ascii="Arial" w:hAnsi="Arial" w:cs="Arial"/>
        </w:rPr>
        <w:t>.</w:t>
      </w:r>
    </w:p>
    <w:p w14:paraId="5500A01B" w14:textId="4E7DC245" w:rsidR="000A599A" w:rsidRPr="000A599A" w:rsidRDefault="000A599A" w:rsidP="6A15B411">
      <w:pPr>
        <w:contextualSpacing/>
        <w:rPr>
          <w:rFonts w:ascii="Arial" w:hAnsi="Arial" w:cs="Arial"/>
        </w:rPr>
      </w:pPr>
      <w:r w:rsidRPr="6A15B411">
        <w:rPr>
          <w:rFonts w:ascii="Arial" w:hAnsi="Arial" w:cs="Arial"/>
        </w:rPr>
        <w:t xml:space="preserve">This is currently scheduled for </w:t>
      </w:r>
      <w:r w:rsidR="00191184" w:rsidRPr="6A15B411">
        <w:rPr>
          <w:rFonts w:ascii="Arial" w:eastAsia="Arial" w:hAnsi="Arial"/>
        </w:rPr>
        <w:t>May</w:t>
      </w:r>
      <w:r w:rsidR="00191184" w:rsidRPr="6A15B411">
        <w:rPr>
          <w:rFonts w:ascii="Arial" w:hAnsi="Arial" w:cs="Arial"/>
        </w:rPr>
        <w:t xml:space="preserve"> </w:t>
      </w:r>
      <w:r w:rsidRPr="6A15B411">
        <w:rPr>
          <w:rFonts w:ascii="Arial" w:hAnsi="Arial" w:cs="Arial"/>
        </w:rPr>
        <w:t>2025</w:t>
      </w:r>
      <w:r w:rsidR="00895BD8" w:rsidRPr="6A15B411">
        <w:rPr>
          <w:rFonts w:ascii="Arial" w:hAnsi="Arial" w:cs="Arial"/>
        </w:rPr>
        <w:t xml:space="preserve">, for a three year transition to </w:t>
      </w:r>
      <w:r w:rsidR="00191184" w:rsidRPr="6A15B411">
        <w:rPr>
          <w:rFonts w:ascii="Arial" w:eastAsia="Arial" w:hAnsi="Arial"/>
        </w:rPr>
        <w:t>May 2028</w:t>
      </w:r>
      <w:r w:rsidRPr="6A15B411">
        <w:rPr>
          <w:rFonts w:ascii="Arial" w:hAnsi="Arial" w:cs="Arial"/>
        </w:rPr>
        <w:t>.</w:t>
      </w:r>
    </w:p>
    <w:p w14:paraId="753D3F90" w14:textId="77777777" w:rsidR="00EC7C1E" w:rsidRPr="00EC7C1E" w:rsidRDefault="00EC7C1E" w:rsidP="00EC7C1E">
      <w:pPr>
        <w:contextualSpacing/>
        <w:rPr>
          <w:rFonts w:ascii="Arial" w:hAnsi="Arial" w:cs="Arial"/>
        </w:rPr>
      </w:pPr>
    </w:p>
    <w:p w14:paraId="0B7C3A22" w14:textId="77777777" w:rsidR="00D54C9A" w:rsidRPr="000828D1" w:rsidRDefault="00D54C9A" w:rsidP="000828D1">
      <w:pPr>
        <w:rPr>
          <w:rFonts w:ascii="Arial" w:hAnsi="Arial" w:cs="Arial"/>
          <w:b/>
          <w:bCs/>
          <w:lang w:val="en-GB"/>
        </w:rPr>
      </w:pPr>
      <w:bookmarkStart w:id="46" w:name="_Toc158893151"/>
      <w:r w:rsidRPr="000828D1">
        <w:rPr>
          <w:rFonts w:ascii="Arial" w:hAnsi="Arial" w:cs="Arial"/>
          <w:b/>
          <w:bCs/>
          <w:lang w:val="en-GB"/>
        </w:rPr>
        <w:t>How the preferred option</w:t>
      </w:r>
      <w:r w:rsidRPr="000828D1" w:rsidDel="001D150F">
        <w:rPr>
          <w:rFonts w:ascii="Arial" w:hAnsi="Arial" w:cs="Arial"/>
          <w:b/>
          <w:bCs/>
          <w:lang w:val="en-GB"/>
        </w:rPr>
        <w:t xml:space="preserve"> </w:t>
      </w:r>
      <w:r w:rsidRPr="000828D1">
        <w:rPr>
          <w:rFonts w:ascii="Arial" w:hAnsi="Arial" w:cs="Arial"/>
          <w:b/>
          <w:bCs/>
          <w:lang w:val="en-GB"/>
        </w:rPr>
        <w:t>would be implemented</w:t>
      </w:r>
      <w:bookmarkEnd w:id="46"/>
      <w:r w:rsidRPr="000828D1">
        <w:rPr>
          <w:rFonts w:ascii="Arial" w:hAnsi="Arial" w:cs="Arial"/>
          <w:b/>
          <w:bCs/>
          <w:lang w:val="en-GB"/>
        </w:rPr>
        <w:t xml:space="preserve"> </w:t>
      </w:r>
    </w:p>
    <w:p w14:paraId="754F114F" w14:textId="1D8134BA" w:rsidR="00F41167" w:rsidRDefault="000D32D1" w:rsidP="00F2635A">
      <w:pPr>
        <w:rPr>
          <w:rFonts w:ascii="Arial" w:hAnsi="Arial" w:cs="Arial"/>
          <w:lang w:val="en-NZ"/>
        </w:rPr>
      </w:pPr>
      <w:r>
        <w:rPr>
          <w:rFonts w:ascii="Arial" w:hAnsi="Arial" w:cs="Arial"/>
          <w:lang w:val="en-NZ"/>
        </w:rPr>
        <w:t xml:space="preserve">After </w:t>
      </w:r>
      <w:r w:rsidR="00484700">
        <w:rPr>
          <w:rFonts w:ascii="Arial" w:hAnsi="Arial" w:cs="Arial"/>
          <w:lang w:val="en-NZ"/>
        </w:rPr>
        <w:t>the ab</w:t>
      </w:r>
      <w:r w:rsidR="00DA280B">
        <w:rPr>
          <w:rFonts w:ascii="Arial" w:hAnsi="Arial" w:cs="Arial"/>
          <w:lang w:val="en-NZ"/>
        </w:rPr>
        <w:t>ove decisions,</w:t>
      </w:r>
      <w:r>
        <w:rPr>
          <w:rFonts w:ascii="Arial" w:hAnsi="Arial" w:cs="Arial"/>
          <w:lang w:val="en-NZ"/>
        </w:rPr>
        <w:t xml:space="preserve"> i</w:t>
      </w:r>
      <w:r w:rsidR="00F2635A" w:rsidRPr="00F2635A">
        <w:rPr>
          <w:rFonts w:ascii="Arial" w:hAnsi="Arial" w:cs="Arial"/>
          <w:lang w:val="en-NZ"/>
        </w:rPr>
        <w:t xml:space="preserve">mplementation of Code </w:t>
      </w:r>
      <w:r w:rsidR="00171890">
        <w:rPr>
          <w:rFonts w:ascii="Arial" w:hAnsi="Arial" w:cs="Arial"/>
          <w:lang w:val="en-NZ"/>
        </w:rPr>
        <w:t>variation</w:t>
      </w:r>
      <w:r w:rsidR="00171890" w:rsidRPr="00F2635A">
        <w:rPr>
          <w:rFonts w:ascii="Arial" w:hAnsi="Arial" w:cs="Arial"/>
          <w:lang w:val="en-NZ"/>
        </w:rPr>
        <w:t>s</w:t>
      </w:r>
      <w:r w:rsidR="00171890">
        <w:rPr>
          <w:rFonts w:ascii="Arial" w:hAnsi="Arial" w:cs="Arial"/>
          <w:lang w:val="en-NZ"/>
        </w:rPr>
        <w:t xml:space="preserve"> </w:t>
      </w:r>
      <w:r>
        <w:rPr>
          <w:rFonts w:ascii="Arial" w:hAnsi="Arial" w:cs="Arial"/>
          <w:lang w:val="en-NZ"/>
        </w:rPr>
        <w:t>becomes</w:t>
      </w:r>
      <w:r w:rsidR="00F2635A" w:rsidRPr="00F2635A">
        <w:rPr>
          <w:rFonts w:ascii="Arial" w:hAnsi="Arial" w:cs="Arial"/>
          <w:lang w:val="en-NZ"/>
        </w:rPr>
        <w:t xml:space="preserve"> the responsibility of the </w:t>
      </w:r>
      <w:r w:rsidR="000117D2">
        <w:rPr>
          <w:rFonts w:ascii="Arial" w:hAnsi="Arial" w:cs="Arial"/>
          <w:lang w:val="en-NZ"/>
        </w:rPr>
        <w:t>Australian</w:t>
      </w:r>
      <w:r w:rsidR="00D42C95">
        <w:rPr>
          <w:rFonts w:ascii="Arial" w:hAnsi="Arial" w:cs="Arial"/>
          <w:lang w:val="en-NZ"/>
        </w:rPr>
        <w:t xml:space="preserve"> </w:t>
      </w:r>
      <w:r w:rsidR="00F2635A" w:rsidRPr="00F2635A">
        <w:rPr>
          <w:rFonts w:ascii="Arial" w:hAnsi="Arial" w:cs="Arial"/>
          <w:lang w:val="en-NZ"/>
        </w:rPr>
        <w:t xml:space="preserve">state and territory </w:t>
      </w:r>
      <w:r w:rsidR="00D42C95">
        <w:rPr>
          <w:rFonts w:ascii="Arial" w:hAnsi="Arial" w:cs="Arial"/>
          <w:lang w:val="en-NZ"/>
        </w:rPr>
        <w:t>regulators</w:t>
      </w:r>
      <w:r w:rsidR="00F2635A" w:rsidRPr="00F2635A">
        <w:rPr>
          <w:rFonts w:ascii="Arial" w:hAnsi="Arial" w:cs="Arial"/>
          <w:lang w:val="en-NZ"/>
        </w:rPr>
        <w:t xml:space="preserve"> </w:t>
      </w:r>
      <w:r w:rsidR="00F41167">
        <w:rPr>
          <w:rFonts w:ascii="Arial" w:hAnsi="Arial" w:cs="Arial"/>
          <w:lang w:val="en-NZ"/>
        </w:rPr>
        <w:t>and</w:t>
      </w:r>
      <w:r w:rsidR="00F2635A" w:rsidRPr="00F2635A">
        <w:rPr>
          <w:rFonts w:ascii="Arial" w:hAnsi="Arial" w:cs="Arial"/>
          <w:lang w:val="en-NZ"/>
        </w:rPr>
        <w:t xml:space="preserve"> applicable local government authorities</w:t>
      </w:r>
      <w:r w:rsidR="00F41167">
        <w:rPr>
          <w:rFonts w:ascii="Arial" w:hAnsi="Arial" w:cs="Arial"/>
          <w:lang w:val="en-NZ"/>
        </w:rPr>
        <w:t xml:space="preserve"> and in New Zealand, the </w:t>
      </w:r>
      <w:r w:rsidR="00F41167" w:rsidRPr="00F41167">
        <w:rPr>
          <w:rFonts w:ascii="Arial" w:hAnsi="Arial" w:cs="Arial"/>
          <w:lang w:val="en-NZ"/>
        </w:rPr>
        <w:t>Ministry for Primary Industries, public health units or local governments</w:t>
      </w:r>
      <w:r w:rsidR="00F2635A" w:rsidRPr="00F2635A">
        <w:rPr>
          <w:rFonts w:ascii="Arial" w:hAnsi="Arial" w:cs="Arial"/>
          <w:lang w:val="en-NZ"/>
        </w:rPr>
        <w:t xml:space="preserve">. </w:t>
      </w:r>
    </w:p>
    <w:p w14:paraId="747F3043" w14:textId="16FC005D" w:rsidR="00F2635A" w:rsidRPr="00F2635A" w:rsidRDefault="00AE39D8" w:rsidP="00F2635A">
      <w:pPr>
        <w:rPr>
          <w:rFonts w:ascii="Arial" w:hAnsi="Arial" w:cs="Arial"/>
          <w:lang w:val="en-NZ"/>
        </w:rPr>
      </w:pPr>
      <w:r>
        <w:rPr>
          <w:rFonts w:ascii="Arial" w:hAnsi="Arial" w:cs="Arial"/>
          <w:lang w:val="en-NZ"/>
        </w:rPr>
        <w:t>Compliance is enforced and non-comp</w:t>
      </w:r>
      <w:r w:rsidR="003B4C8C">
        <w:rPr>
          <w:rFonts w:ascii="Arial" w:hAnsi="Arial" w:cs="Arial"/>
          <w:lang w:val="en-NZ"/>
        </w:rPr>
        <w:t xml:space="preserve">liance is addressed </w:t>
      </w:r>
      <w:r w:rsidR="000B432F">
        <w:rPr>
          <w:rFonts w:ascii="Arial" w:hAnsi="Arial" w:cs="Arial"/>
          <w:lang w:val="en-NZ"/>
        </w:rPr>
        <w:t>under each jurisdictions’ Food Act</w:t>
      </w:r>
      <w:r w:rsidR="00A138D1">
        <w:rPr>
          <w:rFonts w:ascii="Arial" w:hAnsi="Arial" w:cs="Arial"/>
          <w:lang w:val="en-NZ"/>
        </w:rPr>
        <w:t xml:space="preserve">. </w:t>
      </w:r>
      <w:r w:rsidR="003A0A12">
        <w:rPr>
          <w:rFonts w:ascii="Arial" w:hAnsi="Arial" w:cs="Arial"/>
          <w:lang w:val="en-NZ"/>
        </w:rPr>
        <w:t>Those Food Acts and related legislation also specify penalties for non-complianc</w:t>
      </w:r>
      <w:r w:rsidR="00502CD3">
        <w:rPr>
          <w:rFonts w:ascii="Arial" w:hAnsi="Arial" w:cs="Arial"/>
          <w:lang w:val="en-NZ"/>
        </w:rPr>
        <w:t>e</w:t>
      </w:r>
      <w:r w:rsidR="003A0A12">
        <w:rPr>
          <w:rFonts w:ascii="Arial" w:hAnsi="Arial" w:cs="Arial"/>
          <w:lang w:val="en-NZ"/>
        </w:rPr>
        <w:t xml:space="preserve">. </w:t>
      </w:r>
      <w:r w:rsidR="00A138D1">
        <w:rPr>
          <w:rFonts w:ascii="Arial" w:hAnsi="Arial" w:cs="Arial"/>
          <w:lang w:val="en-NZ"/>
        </w:rPr>
        <w:t>Checking compliance</w:t>
      </w:r>
      <w:r w:rsidR="002D66AF">
        <w:rPr>
          <w:rFonts w:ascii="Arial" w:hAnsi="Arial" w:cs="Arial"/>
          <w:lang w:val="en-NZ"/>
        </w:rPr>
        <w:t xml:space="preserve"> forms part of routine inspections by environmental health officers</w:t>
      </w:r>
      <w:r w:rsidR="00B33D2F">
        <w:rPr>
          <w:rFonts w:ascii="Arial" w:hAnsi="Arial" w:cs="Arial"/>
          <w:lang w:val="en-NZ"/>
        </w:rPr>
        <w:t xml:space="preserve"> (EHOs)</w:t>
      </w:r>
      <w:r w:rsidR="00FB1D82">
        <w:rPr>
          <w:rFonts w:ascii="Arial" w:hAnsi="Arial" w:cs="Arial"/>
          <w:lang w:val="en-NZ"/>
        </w:rPr>
        <w:t>.</w:t>
      </w:r>
      <w:r w:rsidR="00B33D2F">
        <w:rPr>
          <w:rFonts w:ascii="Arial" w:hAnsi="Arial" w:cs="Arial"/>
          <w:lang w:val="en-NZ"/>
        </w:rPr>
        <w:t xml:space="preserve"> Additionally, jurisdictions and EHOs </w:t>
      </w:r>
      <w:r w:rsidR="003141C3">
        <w:rPr>
          <w:rFonts w:ascii="Arial" w:hAnsi="Arial" w:cs="Arial"/>
          <w:lang w:val="en-NZ"/>
        </w:rPr>
        <w:t>follow-up on specific complaints by individuals or organisations.</w:t>
      </w:r>
      <w:r w:rsidR="00FB1D82">
        <w:rPr>
          <w:rFonts w:ascii="Arial" w:hAnsi="Arial" w:cs="Arial"/>
          <w:lang w:val="en-NZ"/>
        </w:rPr>
        <w:t xml:space="preserve"> </w:t>
      </w:r>
      <w:r w:rsidR="00A30736">
        <w:rPr>
          <w:rFonts w:ascii="Arial" w:hAnsi="Arial" w:cs="Arial"/>
          <w:lang w:val="en-NZ"/>
        </w:rPr>
        <w:t>Apart from this, t</w:t>
      </w:r>
      <w:r w:rsidR="00FB1D82">
        <w:rPr>
          <w:rFonts w:ascii="Arial" w:hAnsi="Arial" w:cs="Arial"/>
          <w:lang w:val="en-NZ"/>
        </w:rPr>
        <w:t xml:space="preserve">here will be no additional or special mechanism to </w:t>
      </w:r>
      <w:r w:rsidR="00A30736">
        <w:rPr>
          <w:rFonts w:ascii="Arial" w:hAnsi="Arial" w:cs="Arial"/>
          <w:lang w:val="en-NZ"/>
        </w:rPr>
        <w:t>enforce compliance for energy labelling.</w:t>
      </w:r>
    </w:p>
    <w:p w14:paraId="4E6B7AEB" w14:textId="7270D5C7" w:rsidR="00F2635A" w:rsidRDefault="00F2635A" w:rsidP="00F2635A">
      <w:pPr>
        <w:rPr>
          <w:rFonts w:ascii="Arial" w:hAnsi="Arial" w:cs="Arial"/>
          <w:lang w:val="en-NZ"/>
        </w:rPr>
      </w:pPr>
      <w:r w:rsidRPr="1A79B7AB">
        <w:rPr>
          <w:rFonts w:ascii="Arial" w:hAnsi="Arial" w:cs="Arial"/>
          <w:lang w:val="en-NZ"/>
        </w:rPr>
        <w:lastRenderedPageBreak/>
        <w:t xml:space="preserve">FSANZ works closely with an implementation working group of regulators from each jurisdiction. This </w:t>
      </w:r>
      <w:r w:rsidR="00832235" w:rsidRPr="1A79B7AB">
        <w:rPr>
          <w:rFonts w:ascii="Arial" w:hAnsi="Arial" w:cs="Arial"/>
          <w:lang w:val="en-NZ"/>
        </w:rPr>
        <w:t>working group</w:t>
      </w:r>
      <w:r w:rsidR="00145BC4">
        <w:rPr>
          <w:rFonts w:ascii="Arial" w:hAnsi="Arial" w:cs="Arial"/>
          <w:lang w:val="en-NZ"/>
        </w:rPr>
        <w:t xml:space="preserve"> </w:t>
      </w:r>
      <w:r w:rsidR="00832235" w:rsidRPr="1A79B7AB">
        <w:rPr>
          <w:rFonts w:ascii="Arial" w:hAnsi="Arial" w:cs="Arial"/>
          <w:lang w:val="en-NZ"/>
        </w:rPr>
        <w:t>promot</w:t>
      </w:r>
      <w:r w:rsidR="00881AFA">
        <w:rPr>
          <w:rFonts w:ascii="Arial" w:hAnsi="Arial" w:cs="Arial"/>
          <w:lang w:val="en-NZ"/>
        </w:rPr>
        <w:t>es</w:t>
      </w:r>
      <w:r w:rsidR="00832235" w:rsidRPr="1A79B7AB">
        <w:rPr>
          <w:rFonts w:ascii="Arial" w:hAnsi="Arial" w:cs="Arial"/>
          <w:lang w:val="en-NZ"/>
        </w:rPr>
        <w:t xml:space="preserve"> a</w:t>
      </w:r>
      <w:r w:rsidR="004F24E6" w:rsidRPr="1A79B7AB">
        <w:rPr>
          <w:rFonts w:ascii="Arial" w:hAnsi="Arial" w:cs="Arial"/>
          <w:lang w:val="en-NZ"/>
        </w:rPr>
        <w:t xml:space="preserve"> consistent </w:t>
      </w:r>
      <w:r w:rsidRPr="1A79B7AB">
        <w:rPr>
          <w:rFonts w:ascii="Arial" w:hAnsi="Arial" w:cs="Arial"/>
          <w:lang w:val="en-NZ"/>
        </w:rPr>
        <w:t xml:space="preserve">approach </w:t>
      </w:r>
      <w:r w:rsidR="00832235" w:rsidRPr="1A79B7AB">
        <w:rPr>
          <w:rFonts w:ascii="Arial" w:hAnsi="Arial" w:cs="Arial"/>
          <w:lang w:val="en-NZ"/>
        </w:rPr>
        <w:t xml:space="preserve">to </w:t>
      </w:r>
      <w:r w:rsidRPr="1A79B7AB">
        <w:rPr>
          <w:rFonts w:ascii="Arial" w:hAnsi="Arial" w:cs="Arial"/>
          <w:lang w:val="en-NZ"/>
        </w:rPr>
        <w:t>implement</w:t>
      </w:r>
      <w:r w:rsidR="00DA280B" w:rsidRPr="1A79B7AB">
        <w:rPr>
          <w:rFonts w:ascii="Arial" w:hAnsi="Arial" w:cs="Arial"/>
          <w:lang w:val="en-NZ"/>
        </w:rPr>
        <w:t>ing</w:t>
      </w:r>
      <w:r w:rsidR="00832235" w:rsidRPr="1A79B7AB">
        <w:rPr>
          <w:rFonts w:ascii="Arial" w:hAnsi="Arial" w:cs="Arial"/>
          <w:lang w:val="en-NZ"/>
        </w:rPr>
        <w:t xml:space="preserve"> Code requirement</w:t>
      </w:r>
      <w:r w:rsidR="007B3AC5" w:rsidRPr="1A79B7AB">
        <w:rPr>
          <w:rFonts w:ascii="Arial" w:hAnsi="Arial" w:cs="Arial"/>
          <w:lang w:val="en-NZ"/>
        </w:rPr>
        <w:t>s</w:t>
      </w:r>
      <w:r w:rsidRPr="1A79B7AB">
        <w:rPr>
          <w:rFonts w:ascii="Arial" w:hAnsi="Arial" w:cs="Arial"/>
          <w:lang w:val="en-NZ"/>
        </w:rPr>
        <w:t>.</w:t>
      </w:r>
      <w:r w:rsidR="00AE741B">
        <w:rPr>
          <w:rFonts w:ascii="Arial" w:hAnsi="Arial" w:cs="Arial"/>
          <w:lang w:val="en-NZ"/>
        </w:rPr>
        <w:t xml:space="preserve"> </w:t>
      </w:r>
      <w:r w:rsidR="002A7FB4">
        <w:rPr>
          <w:rFonts w:ascii="Arial" w:hAnsi="Arial" w:cs="Arial"/>
          <w:lang w:val="en-NZ"/>
        </w:rPr>
        <w:t>I</w:t>
      </w:r>
      <w:r w:rsidR="00AE741B">
        <w:rPr>
          <w:rFonts w:ascii="Arial" w:hAnsi="Arial" w:cs="Arial"/>
          <w:lang w:val="en-NZ"/>
        </w:rPr>
        <w:t xml:space="preserve">nconsistent implementation is not </w:t>
      </w:r>
      <w:r w:rsidR="002A7FB4">
        <w:rPr>
          <w:rFonts w:ascii="Arial" w:hAnsi="Arial" w:cs="Arial"/>
          <w:lang w:val="en-NZ"/>
        </w:rPr>
        <w:t>assumed to be</w:t>
      </w:r>
      <w:r w:rsidR="00145BC4">
        <w:rPr>
          <w:rFonts w:ascii="Arial" w:hAnsi="Arial" w:cs="Arial"/>
          <w:lang w:val="en-NZ"/>
        </w:rPr>
        <w:t xml:space="preserve"> </w:t>
      </w:r>
      <w:r w:rsidR="00AE741B">
        <w:rPr>
          <w:rFonts w:ascii="Arial" w:hAnsi="Arial" w:cs="Arial"/>
          <w:lang w:val="en-NZ"/>
        </w:rPr>
        <w:t>a risk</w:t>
      </w:r>
      <w:r w:rsidR="00145BC4">
        <w:rPr>
          <w:rFonts w:ascii="Arial" w:hAnsi="Arial" w:cs="Arial"/>
          <w:lang w:val="en-NZ"/>
        </w:rPr>
        <w:t xml:space="preserve"> for </w:t>
      </w:r>
      <w:r w:rsidR="00B82244">
        <w:rPr>
          <w:rFonts w:ascii="Arial" w:hAnsi="Arial" w:cs="Arial"/>
          <w:lang w:val="en-NZ"/>
        </w:rPr>
        <w:t>energy labelling</w:t>
      </w:r>
      <w:r w:rsidR="00AE741B">
        <w:rPr>
          <w:rFonts w:ascii="Arial" w:hAnsi="Arial" w:cs="Arial"/>
          <w:lang w:val="en-NZ"/>
        </w:rPr>
        <w:t>.</w:t>
      </w:r>
    </w:p>
    <w:p w14:paraId="5717940F" w14:textId="0ACFEEA7" w:rsidR="00796E04" w:rsidRPr="00F2635A" w:rsidRDefault="00796E04" w:rsidP="00F2635A">
      <w:pPr>
        <w:rPr>
          <w:rFonts w:ascii="Arial" w:hAnsi="Arial" w:cs="Arial"/>
          <w:lang w:val="en-NZ"/>
        </w:rPr>
      </w:pPr>
      <w:r>
        <w:rPr>
          <w:rFonts w:ascii="Arial" w:hAnsi="Arial" w:cs="Arial"/>
          <w:lang w:val="en-NZ"/>
        </w:rPr>
        <w:t>For more details</w:t>
      </w:r>
      <w:r w:rsidR="00D95A61">
        <w:rPr>
          <w:rFonts w:ascii="Arial" w:hAnsi="Arial" w:cs="Arial"/>
          <w:lang w:val="en-NZ"/>
        </w:rPr>
        <w:t xml:space="preserve"> about the implementation working group of regulators</w:t>
      </w:r>
      <w:r>
        <w:rPr>
          <w:rFonts w:ascii="Arial" w:hAnsi="Arial" w:cs="Arial"/>
          <w:lang w:val="en-NZ"/>
        </w:rPr>
        <w:t xml:space="preserve">, see the webpage: </w:t>
      </w:r>
      <w:hyperlink r:id="rId19" w:history="1">
        <w:r>
          <w:rPr>
            <w:rStyle w:val="Hyperlink"/>
            <w:rFonts w:ascii="Arial" w:hAnsi="Arial" w:cs="Arial"/>
          </w:rPr>
          <w:t>Implementation Subcommittee for Food Regulation</w:t>
        </w:r>
      </w:hyperlink>
      <w:r w:rsidR="006431E3">
        <w:rPr>
          <w:rFonts w:ascii="Arial" w:hAnsi="Arial" w:cs="Arial"/>
          <w:lang w:val="en-NZ"/>
        </w:rPr>
        <w:t>.</w:t>
      </w:r>
    </w:p>
    <w:p w14:paraId="077621F5" w14:textId="0D9705CD" w:rsidR="00C74BA4" w:rsidRPr="005157E1" w:rsidRDefault="00631499" w:rsidP="00D54C9A">
      <w:pPr>
        <w:rPr>
          <w:rFonts w:ascii="Arial" w:hAnsi="Arial" w:cs="Arial"/>
          <w:lang w:val="en-NZ"/>
        </w:rPr>
      </w:pPr>
      <w:r>
        <w:rPr>
          <w:rFonts w:ascii="Arial" w:hAnsi="Arial" w:cs="Arial"/>
        </w:rPr>
        <w:t xml:space="preserve">Industry is ultimately responsible for complying with new </w:t>
      </w:r>
      <w:r w:rsidR="005735C7">
        <w:rPr>
          <w:rFonts w:ascii="Arial" w:hAnsi="Arial" w:cs="Arial"/>
        </w:rPr>
        <w:t xml:space="preserve">and existing Code </w:t>
      </w:r>
      <w:r>
        <w:rPr>
          <w:rFonts w:ascii="Arial" w:hAnsi="Arial" w:cs="Arial"/>
        </w:rPr>
        <w:t xml:space="preserve">requirements. </w:t>
      </w:r>
      <w:r w:rsidR="00727481">
        <w:rPr>
          <w:rFonts w:ascii="Arial" w:hAnsi="Arial" w:cs="Arial"/>
          <w:lang w:val="en-NZ"/>
        </w:rPr>
        <w:t>G</w:t>
      </w:r>
      <w:r w:rsidRPr="0078170E">
        <w:rPr>
          <w:rFonts w:ascii="Arial" w:hAnsi="Arial" w:cs="Arial"/>
          <w:lang w:val="en-NZ"/>
        </w:rPr>
        <w:t xml:space="preserve">overnments are committed to working with industry to help </w:t>
      </w:r>
      <w:r>
        <w:rPr>
          <w:rFonts w:ascii="Arial" w:hAnsi="Arial" w:cs="Arial"/>
          <w:lang w:val="en-NZ"/>
        </w:rPr>
        <w:t xml:space="preserve">industry meet </w:t>
      </w:r>
      <w:r w:rsidR="005735C7">
        <w:rPr>
          <w:rFonts w:ascii="Arial" w:hAnsi="Arial" w:cs="Arial"/>
          <w:lang w:val="en-NZ"/>
        </w:rPr>
        <w:t>requirements</w:t>
      </w:r>
      <w:r w:rsidR="00F65F79">
        <w:rPr>
          <w:rFonts w:ascii="Arial" w:hAnsi="Arial" w:cs="Arial"/>
          <w:lang w:val="en-NZ"/>
        </w:rPr>
        <w:t xml:space="preserve">, including </w:t>
      </w:r>
      <w:r w:rsidR="00017AEE">
        <w:rPr>
          <w:rFonts w:ascii="Arial" w:hAnsi="Arial" w:cs="Arial"/>
          <w:lang w:val="en-NZ"/>
        </w:rPr>
        <w:t>providing advice</w:t>
      </w:r>
      <w:r w:rsidR="00F65F79">
        <w:rPr>
          <w:rFonts w:ascii="Arial" w:hAnsi="Arial" w:cs="Arial"/>
          <w:lang w:val="en-NZ"/>
        </w:rPr>
        <w:t xml:space="preserve"> </w:t>
      </w:r>
      <w:r w:rsidR="00017AEE">
        <w:rPr>
          <w:rFonts w:ascii="Arial" w:hAnsi="Arial" w:cs="Arial"/>
          <w:lang w:val="en-NZ"/>
        </w:rPr>
        <w:t>about requirements</w:t>
      </w:r>
      <w:r w:rsidRPr="0078170E">
        <w:rPr>
          <w:rFonts w:ascii="Arial" w:hAnsi="Arial" w:cs="Arial"/>
          <w:lang w:val="en-NZ"/>
        </w:rPr>
        <w:t xml:space="preserve">. </w:t>
      </w:r>
    </w:p>
    <w:p w14:paraId="2B5C259E" w14:textId="7E95FFAA" w:rsidR="00D54C9A" w:rsidRPr="00BC5083" w:rsidRDefault="00D54C9A" w:rsidP="00D54C9A">
      <w:pPr>
        <w:rPr>
          <w:rFonts w:ascii="Arial" w:hAnsi="Arial" w:cs="Arial"/>
          <w:b/>
          <w:bCs/>
          <w:lang w:val="en-AU"/>
        </w:rPr>
      </w:pPr>
      <w:r w:rsidRPr="1A79B7AB">
        <w:rPr>
          <w:rFonts w:ascii="Arial" w:hAnsi="Arial" w:cs="Arial"/>
          <w:b/>
          <w:bCs/>
          <w:lang w:val="en-AU"/>
        </w:rPr>
        <w:t xml:space="preserve">No significant challenges to implementation </w:t>
      </w:r>
      <w:r w:rsidR="008D6DD2" w:rsidRPr="1A79B7AB">
        <w:rPr>
          <w:rFonts w:ascii="Arial" w:hAnsi="Arial" w:cs="Arial"/>
          <w:b/>
          <w:bCs/>
          <w:lang w:val="en-AU"/>
        </w:rPr>
        <w:t xml:space="preserve">are </w:t>
      </w:r>
      <w:r w:rsidRPr="1A79B7AB">
        <w:rPr>
          <w:rFonts w:ascii="Arial" w:hAnsi="Arial" w:cs="Arial"/>
          <w:b/>
          <w:bCs/>
          <w:lang w:val="en-AU"/>
        </w:rPr>
        <w:t>expected</w:t>
      </w:r>
    </w:p>
    <w:p w14:paraId="64238739" w14:textId="5B7E2294" w:rsidR="00D54C9A" w:rsidRDefault="00DD59F6" w:rsidP="6A15B411">
      <w:pPr>
        <w:contextualSpacing/>
        <w:rPr>
          <w:rFonts w:ascii="Arial" w:hAnsi="Arial" w:cs="Arial"/>
        </w:rPr>
      </w:pPr>
      <w:r w:rsidRPr="6A15B411">
        <w:rPr>
          <w:rFonts w:ascii="Arial" w:hAnsi="Arial" w:cs="Arial"/>
        </w:rPr>
        <w:t>C</w:t>
      </w:r>
      <w:r w:rsidR="00D54C9A" w:rsidRPr="6A15B411">
        <w:rPr>
          <w:rFonts w:ascii="Arial" w:hAnsi="Arial" w:cs="Arial"/>
        </w:rPr>
        <w:t>hanges to the Code are made frequently</w:t>
      </w:r>
      <w:r w:rsidR="005659B6" w:rsidRPr="6A15B411">
        <w:rPr>
          <w:rFonts w:ascii="Arial" w:hAnsi="Arial" w:cs="Arial"/>
        </w:rPr>
        <w:t xml:space="preserve"> and the</w:t>
      </w:r>
      <w:r w:rsidR="00D54C9A" w:rsidRPr="6A15B411">
        <w:rPr>
          <w:rFonts w:ascii="Arial" w:hAnsi="Arial" w:cs="Arial"/>
        </w:rPr>
        <w:t xml:space="preserve"> food regulatory system is well equipped to manage changes</w:t>
      </w:r>
      <w:r w:rsidRPr="6A15B411">
        <w:rPr>
          <w:rFonts w:ascii="Arial" w:hAnsi="Arial" w:cs="Arial"/>
        </w:rPr>
        <w:t>. M</w:t>
      </w:r>
      <w:r w:rsidR="00D54C9A" w:rsidRPr="6A15B411">
        <w:rPr>
          <w:rFonts w:ascii="Arial" w:hAnsi="Arial" w:cs="Arial"/>
        </w:rPr>
        <w:t xml:space="preserve">ost stakeholders </w:t>
      </w:r>
      <w:r w:rsidR="00FF2A52" w:rsidRPr="6A15B411">
        <w:rPr>
          <w:rFonts w:ascii="Arial" w:hAnsi="Arial" w:cs="Arial"/>
        </w:rPr>
        <w:t xml:space="preserve">are </w:t>
      </w:r>
      <w:r w:rsidRPr="6A15B411">
        <w:rPr>
          <w:rFonts w:ascii="Arial" w:hAnsi="Arial" w:cs="Arial"/>
        </w:rPr>
        <w:t>also</w:t>
      </w:r>
      <w:r w:rsidR="00D54C9A" w:rsidRPr="6A15B411">
        <w:rPr>
          <w:rFonts w:ascii="Arial" w:hAnsi="Arial" w:cs="Arial"/>
        </w:rPr>
        <w:t xml:space="preserve"> familiar with most aspects of the proposed changes</w:t>
      </w:r>
      <w:r w:rsidRPr="6A15B411">
        <w:rPr>
          <w:rFonts w:ascii="Arial" w:hAnsi="Arial" w:cs="Arial"/>
        </w:rPr>
        <w:t>, given extensive ongoing consultation.</w:t>
      </w:r>
    </w:p>
    <w:p w14:paraId="10D74B8B" w14:textId="77777777" w:rsidR="000828D1" w:rsidRPr="00826512" w:rsidRDefault="000828D1" w:rsidP="00D54C9A">
      <w:pPr>
        <w:contextualSpacing/>
        <w:rPr>
          <w:rFonts w:ascii="Arial" w:hAnsi="Arial" w:cs="Arial"/>
        </w:rPr>
      </w:pPr>
    </w:p>
    <w:p w14:paraId="345AB037" w14:textId="16090732" w:rsidR="00D54C9A" w:rsidRPr="000828D1" w:rsidRDefault="00D54C9A" w:rsidP="000828D1">
      <w:pPr>
        <w:rPr>
          <w:rFonts w:ascii="Arial" w:hAnsi="Arial" w:cs="Arial"/>
          <w:b/>
          <w:bCs/>
          <w:lang w:val="en-AU"/>
        </w:rPr>
      </w:pPr>
      <w:r w:rsidRPr="000828D1">
        <w:rPr>
          <w:rFonts w:ascii="Arial" w:hAnsi="Arial" w:cs="Arial"/>
          <w:b/>
          <w:bCs/>
          <w:lang w:val="en-AU"/>
        </w:rPr>
        <w:t>Implementation supported by FSANZ communication</w:t>
      </w:r>
      <w:r w:rsidR="00AB0816" w:rsidRPr="000828D1">
        <w:rPr>
          <w:rFonts w:ascii="Arial" w:hAnsi="Arial" w:cs="Arial"/>
          <w:b/>
          <w:bCs/>
          <w:lang w:val="en-AU"/>
        </w:rPr>
        <w:t xml:space="preserve"> and collaboration</w:t>
      </w:r>
    </w:p>
    <w:p w14:paraId="57A154BA" w14:textId="00D09300" w:rsidR="00B825CF" w:rsidRDefault="00B825CF" w:rsidP="6A15B411">
      <w:pPr>
        <w:autoSpaceDE w:val="0"/>
        <w:autoSpaceDN w:val="0"/>
        <w:adjustRightInd w:val="0"/>
        <w:spacing w:after="0"/>
        <w:rPr>
          <w:rFonts w:ascii="Arial" w:hAnsi="Arial" w:cs="Arial"/>
          <w:color w:val="000000"/>
        </w:rPr>
      </w:pPr>
      <w:r w:rsidRPr="6A15B411">
        <w:rPr>
          <w:rFonts w:ascii="Arial" w:hAnsi="Arial" w:cs="Arial"/>
          <w:color w:val="000000" w:themeColor="text1"/>
        </w:rPr>
        <w:t xml:space="preserve">To support implementation, </w:t>
      </w:r>
      <w:r w:rsidR="008E19FD" w:rsidRPr="6A15B411">
        <w:rPr>
          <w:rFonts w:ascii="Arial" w:hAnsi="Arial" w:cs="Arial"/>
          <w:color w:val="000000" w:themeColor="text1"/>
        </w:rPr>
        <w:t>during the three</w:t>
      </w:r>
      <w:r w:rsidR="00171890" w:rsidRPr="6A15B411">
        <w:rPr>
          <w:rFonts w:ascii="Arial" w:hAnsi="Arial" w:cs="Arial"/>
          <w:color w:val="000000" w:themeColor="text1"/>
        </w:rPr>
        <w:t xml:space="preserve"> </w:t>
      </w:r>
      <w:r w:rsidR="008E19FD" w:rsidRPr="6A15B411">
        <w:rPr>
          <w:rFonts w:ascii="Arial" w:hAnsi="Arial" w:cs="Arial"/>
          <w:color w:val="000000" w:themeColor="text1"/>
        </w:rPr>
        <w:t xml:space="preserve">year transition period, </w:t>
      </w:r>
      <w:r w:rsidRPr="6A15B411">
        <w:rPr>
          <w:rFonts w:ascii="Arial" w:hAnsi="Arial" w:cs="Arial"/>
          <w:color w:val="000000" w:themeColor="text1"/>
        </w:rPr>
        <w:t>FSANZ would:</w:t>
      </w:r>
    </w:p>
    <w:p w14:paraId="26740582" w14:textId="3BB6C08F" w:rsidR="00B825CF" w:rsidRPr="00B825CF" w:rsidRDefault="00B825CF" w:rsidP="00CE3140">
      <w:pPr>
        <w:pStyle w:val="ListParagraph"/>
        <w:numPr>
          <w:ilvl w:val="0"/>
          <w:numId w:val="24"/>
        </w:numPr>
        <w:rPr>
          <w:rFonts w:ascii="Arial" w:hAnsi="Arial" w:cs="Arial"/>
          <w:snapToGrid w:val="0"/>
        </w:rPr>
      </w:pPr>
      <w:r w:rsidRPr="00B825CF">
        <w:rPr>
          <w:rFonts w:ascii="Arial" w:hAnsi="Arial" w:cs="Arial"/>
          <w:snapToGrid w:val="0"/>
        </w:rPr>
        <w:t>work with peak industry organisations on communication strategies to ensure there is broad awareness across industry of the new energy labelling requirements for alcoholic beverages during the transition period</w:t>
      </w:r>
      <w:r w:rsidR="00F276ED">
        <w:rPr>
          <w:rFonts w:ascii="Arial" w:hAnsi="Arial" w:cs="Arial"/>
          <w:snapToGrid w:val="0"/>
        </w:rPr>
        <w:t>.</w:t>
      </w:r>
      <w:r w:rsidR="00A44C7F">
        <w:rPr>
          <w:rFonts w:ascii="Arial" w:hAnsi="Arial" w:cs="Arial"/>
          <w:snapToGrid w:val="0"/>
        </w:rPr>
        <w:t xml:space="preserve"> That will include developing an </w:t>
      </w:r>
      <w:r w:rsidR="00A44C7F" w:rsidRPr="00A44C7F">
        <w:rPr>
          <w:rFonts w:ascii="Arial" w:hAnsi="Arial" w:cs="Arial"/>
          <w:snapToGrid w:val="0"/>
          <w:lang w:val="en-US"/>
        </w:rPr>
        <w:t>online tool to assist the alcohol beverage industry to calculate the energy content of their products</w:t>
      </w:r>
      <w:r w:rsidR="00512FE9">
        <w:rPr>
          <w:rFonts w:ascii="Arial" w:hAnsi="Arial" w:cs="Arial"/>
          <w:snapToGrid w:val="0"/>
        </w:rPr>
        <w:t>;</w:t>
      </w:r>
    </w:p>
    <w:p w14:paraId="633C4919" w14:textId="590DBF04" w:rsidR="00B825CF" w:rsidRPr="00CE3140" w:rsidRDefault="00B825CF" w:rsidP="00CE3140">
      <w:pPr>
        <w:pStyle w:val="ListParagraph"/>
        <w:numPr>
          <w:ilvl w:val="0"/>
          <w:numId w:val="24"/>
        </w:numPr>
        <w:autoSpaceDE w:val="0"/>
        <w:autoSpaceDN w:val="0"/>
        <w:adjustRightInd w:val="0"/>
        <w:rPr>
          <w:rFonts w:ascii="Arial" w:hAnsi="Arial" w:cs="Arial"/>
          <w:color w:val="000000"/>
        </w:rPr>
      </w:pPr>
      <w:r w:rsidRPr="00CE3140">
        <w:rPr>
          <w:rFonts w:ascii="Arial" w:hAnsi="Arial" w:cs="Arial"/>
          <w:snapToGrid w:val="0"/>
        </w:rPr>
        <w:t>develop web content and us</w:t>
      </w:r>
      <w:r w:rsidR="00326F7B">
        <w:rPr>
          <w:rFonts w:ascii="Arial" w:hAnsi="Arial" w:cs="Arial"/>
          <w:snapToGrid w:val="0"/>
        </w:rPr>
        <w:t xml:space="preserve">e </w:t>
      </w:r>
      <w:r w:rsidRPr="00CE3140">
        <w:rPr>
          <w:rFonts w:ascii="Arial" w:hAnsi="Arial" w:cs="Arial"/>
          <w:snapToGrid w:val="0"/>
        </w:rPr>
        <w:t>other communications channels, including social media, to directly inform consumers about that energy labelling on alcoholic beverages and where to look for it</w:t>
      </w:r>
      <w:r w:rsidR="00512FE9">
        <w:rPr>
          <w:rFonts w:ascii="Arial" w:hAnsi="Arial" w:cs="Arial"/>
          <w:snapToGrid w:val="0"/>
        </w:rPr>
        <w:t>; and</w:t>
      </w:r>
    </w:p>
    <w:p w14:paraId="6E61D5D8" w14:textId="5773407E" w:rsidR="00026E1E" w:rsidRPr="00FF123D" w:rsidRDefault="00B825CF" w:rsidP="00026E1E">
      <w:pPr>
        <w:pStyle w:val="ListParagraph"/>
        <w:numPr>
          <w:ilvl w:val="0"/>
          <w:numId w:val="24"/>
        </w:numPr>
        <w:autoSpaceDE w:val="0"/>
        <w:autoSpaceDN w:val="0"/>
        <w:adjustRightInd w:val="0"/>
        <w:rPr>
          <w:rFonts w:ascii="Arial" w:hAnsi="Arial" w:cs="Arial"/>
          <w:color w:val="000000"/>
        </w:rPr>
      </w:pPr>
      <w:r w:rsidRPr="00CE3140">
        <w:rPr>
          <w:rFonts w:ascii="Arial" w:hAnsi="Arial" w:cs="Arial"/>
          <w:snapToGrid w:val="0"/>
        </w:rPr>
        <w:t>communicate with health professionals and jurisdictional governments about the ability of energy labelling to raise awareness to support health education and promotion activities within the community.</w:t>
      </w:r>
    </w:p>
    <w:p w14:paraId="6BEE1415" w14:textId="77777777" w:rsidR="00FF123D" w:rsidRPr="00026E1E" w:rsidRDefault="00FF123D" w:rsidP="00FF123D">
      <w:pPr>
        <w:pStyle w:val="ListParagraph"/>
        <w:autoSpaceDE w:val="0"/>
        <w:autoSpaceDN w:val="0"/>
        <w:adjustRightInd w:val="0"/>
        <w:ind w:left="784"/>
        <w:rPr>
          <w:rFonts w:ascii="Arial" w:hAnsi="Arial" w:cs="Arial"/>
          <w:color w:val="000000"/>
        </w:rPr>
      </w:pPr>
    </w:p>
    <w:p w14:paraId="35566AE5" w14:textId="737CB0E6" w:rsidR="00026E1E" w:rsidRDefault="00277302" w:rsidP="6A15B411">
      <w:pPr>
        <w:autoSpaceDE w:val="0"/>
        <w:autoSpaceDN w:val="0"/>
        <w:adjustRightInd w:val="0"/>
        <w:rPr>
          <w:rFonts w:ascii="Arial" w:hAnsi="Arial" w:cs="Arial"/>
          <w:color w:val="000000"/>
        </w:rPr>
      </w:pPr>
      <w:r w:rsidRPr="6A15B411">
        <w:rPr>
          <w:rFonts w:ascii="Arial" w:hAnsi="Arial" w:cs="Arial"/>
          <w:color w:val="000000" w:themeColor="text1"/>
        </w:rPr>
        <w:t xml:space="preserve">This </w:t>
      </w:r>
      <w:r w:rsidR="00AD4B27" w:rsidRPr="6A15B411">
        <w:rPr>
          <w:rFonts w:ascii="Arial" w:hAnsi="Arial" w:cs="Arial"/>
          <w:color w:val="000000" w:themeColor="text1"/>
        </w:rPr>
        <w:t>w</w:t>
      </w:r>
      <w:r w:rsidR="009708C5" w:rsidRPr="6A15B411">
        <w:rPr>
          <w:rFonts w:ascii="Arial" w:hAnsi="Arial" w:cs="Arial"/>
          <w:color w:val="000000" w:themeColor="text1"/>
        </w:rPr>
        <w:t>ould start following</w:t>
      </w:r>
      <w:r w:rsidR="009B1EE6" w:rsidRPr="6A15B411">
        <w:rPr>
          <w:rFonts w:ascii="Arial" w:hAnsi="Arial" w:cs="Arial"/>
          <w:color w:val="000000" w:themeColor="text1"/>
        </w:rPr>
        <w:t xml:space="preserve"> gazettal</w:t>
      </w:r>
      <w:r w:rsidR="0062323A" w:rsidRPr="6A15B411">
        <w:rPr>
          <w:rFonts w:ascii="Arial" w:hAnsi="Arial" w:cs="Arial"/>
          <w:color w:val="000000" w:themeColor="text1"/>
        </w:rPr>
        <w:t>.</w:t>
      </w:r>
      <w:r w:rsidR="00AD4B27" w:rsidRPr="6A15B411">
        <w:rPr>
          <w:rFonts w:ascii="Arial" w:hAnsi="Arial" w:cs="Arial"/>
          <w:color w:val="000000" w:themeColor="text1"/>
        </w:rPr>
        <w:t xml:space="preserve"> </w:t>
      </w:r>
      <w:r w:rsidR="00026E1E" w:rsidRPr="6A15B411">
        <w:rPr>
          <w:rFonts w:ascii="Arial" w:hAnsi="Arial" w:cs="Arial"/>
          <w:color w:val="000000" w:themeColor="text1"/>
        </w:rPr>
        <w:t>The P10</w:t>
      </w:r>
      <w:r w:rsidR="00FF123D" w:rsidRPr="6A15B411">
        <w:rPr>
          <w:rFonts w:ascii="Arial" w:hAnsi="Arial" w:cs="Arial"/>
          <w:color w:val="000000" w:themeColor="text1"/>
        </w:rPr>
        <w:t xml:space="preserve">59 </w:t>
      </w:r>
      <w:r w:rsidR="00D66E0F" w:rsidRPr="6A15B411">
        <w:rPr>
          <w:rFonts w:ascii="Arial" w:hAnsi="Arial" w:cs="Arial"/>
          <w:color w:val="000000" w:themeColor="text1"/>
        </w:rPr>
        <w:t>CFS</w:t>
      </w:r>
      <w:r w:rsidR="00FF123D" w:rsidRPr="6A15B411">
        <w:rPr>
          <w:rFonts w:ascii="Arial" w:hAnsi="Arial" w:cs="Arial"/>
          <w:color w:val="000000" w:themeColor="text1"/>
        </w:rPr>
        <w:t xml:space="preserve"> </w:t>
      </w:r>
      <w:r w:rsidR="0062323A" w:rsidRPr="6A15B411">
        <w:rPr>
          <w:rFonts w:ascii="Arial" w:hAnsi="Arial" w:cs="Arial"/>
          <w:color w:val="000000" w:themeColor="text1"/>
        </w:rPr>
        <w:t xml:space="preserve">section on </w:t>
      </w:r>
      <w:r w:rsidRPr="6A15B411">
        <w:rPr>
          <w:rFonts w:ascii="Arial" w:hAnsi="Arial" w:cs="Arial"/>
          <w:color w:val="000000" w:themeColor="text1"/>
        </w:rPr>
        <w:t xml:space="preserve">Education </w:t>
      </w:r>
      <w:r w:rsidR="00FF123D" w:rsidRPr="6A15B411">
        <w:rPr>
          <w:rFonts w:ascii="Arial" w:hAnsi="Arial" w:cs="Arial"/>
          <w:color w:val="000000" w:themeColor="text1"/>
        </w:rPr>
        <w:t>contains more information about this.</w:t>
      </w:r>
    </w:p>
    <w:p w14:paraId="209E51D2" w14:textId="7FE0B103" w:rsidR="007E4C73" w:rsidRPr="00026E1E" w:rsidRDefault="00AF5CD8" w:rsidP="6A15B411">
      <w:pPr>
        <w:autoSpaceDE w:val="0"/>
        <w:autoSpaceDN w:val="0"/>
        <w:adjustRightInd w:val="0"/>
        <w:spacing w:after="0"/>
        <w:rPr>
          <w:rFonts w:ascii="Arial" w:hAnsi="Arial" w:cs="Arial"/>
          <w:color w:val="000000"/>
        </w:rPr>
      </w:pPr>
      <w:r w:rsidRPr="6A15B411">
        <w:rPr>
          <w:rFonts w:ascii="Arial" w:hAnsi="Arial" w:cs="Arial"/>
          <w:color w:val="000000" w:themeColor="text1"/>
        </w:rPr>
        <w:t>Consumer use and understanding</w:t>
      </w:r>
      <w:r w:rsidR="007E4C73" w:rsidRPr="6A15B411">
        <w:rPr>
          <w:rFonts w:ascii="Arial" w:hAnsi="Arial" w:cs="Arial"/>
          <w:color w:val="000000" w:themeColor="text1"/>
        </w:rPr>
        <w:t xml:space="preserve"> would </w:t>
      </w:r>
      <w:r w:rsidR="00D53BD0" w:rsidRPr="6A15B411">
        <w:rPr>
          <w:rFonts w:ascii="Arial" w:hAnsi="Arial" w:cs="Arial"/>
          <w:color w:val="000000" w:themeColor="text1"/>
        </w:rPr>
        <w:t>benefit from</w:t>
      </w:r>
      <w:r w:rsidR="00EB4CDE" w:rsidRPr="6A15B411">
        <w:rPr>
          <w:rFonts w:ascii="Arial" w:hAnsi="Arial" w:cs="Arial"/>
          <w:color w:val="000000" w:themeColor="text1"/>
        </w:rPr>
        <w:t xml:space="preserve"> </w:t>
      </w:r>
      <w:r w:rsidR="007D66D6" w:rsidRPr="6A15B411">
        <w:rPr>
          <w:rFonts w:ascii="Arial" w:hAnsi="Arial" w:cs="Arial"/>
          <w:color w:val="000000" w:themeColor="text1"/>
        </w:rPr>
        <w:t xml:space="preserve">targeted </w:t>
      </w:r>
      <w:r w:rsidR="00EB4CDE" w:rsidRPr="6A15B411">
        <w:rPr>
          <w:rFonts w:ascii="Arial" w:hAnsi="Arial" w:cs="Arial"/>
          <w:color w:val="000000" w:themeColor="text1"/>
        </w:rPr>
        <w:t>education</w:t>
      </w:r>
      <w:r w:rsidR="001A0068" w:rsidRPr="6A15B411">
        <w:rPr>
          <w:rFonts w:ascii="Arial" w:hAnsi="Arial" w:cs="Arial"/>
          <w:color w:val="000000" w:themeColor="text1"/>
        </w:rPr>
        <w:t xml:space="preserve"> </w:t>
      </w:r>
      <w:r w:rsidR="00D53BD0" w:rsidRPr="6A15B411">
        <w:rPr>
          <w:rFonts w:ascii="Arial" w:hAnsi="Arial" w:cs="Arial"/>
          <w:color w:val="000000" w:themeColor="text1"/>
        </w:rPr>
        <w:t>i</w:t>
      </w:r>
      <w:r w:rsidR="00EB4CDE" w:rsidRPr="6A15B411">
        <w:rPr>
          <w:rFonts w:ascii="Arial" w:hAnsi="Arial" w:cs="Arial"/>
          <w:color w:val="000000" w:themeColor="text1"/>
        </w:rPr>
        <w:t xml:space="preserve">nitiatives </w:t>
      </w:r>
      <w:r w:rsidR="00DC16B4" w:rsidRPr="6A15B411">
        <w:rPr>
          <w:rFonts w:ascii="Arial" w:hAnsi="Arial" w:cs="Arial"/>
          <w:color w:val="000000" w:themeColor="text1"/>
        </w:rPr>
        <w:t>about the energy labelling on packaged alcoholic beverages, how energy</w:t>
      </w:r>
      <w:r w:rsidR="00FD580A" w:rsidRPr="6A15B411">
        <w:rPr>
          <w:rFonts w:ascii="Arial" w:hAnsi="Arial" w:cs="Arial"/>
          <w:color w:val="000000" w:themeColor="text1"/>
        </w:rPr>
        <w:t xml:space="preserve"> intake relates to alcohol consumption, where to look for energy content information</w:t>
      </w:r>
      <w:r w:rsidR="001A0068" w:rsidRPr="6A15B411">
        <w:rPr>
          <w:rFonts w:ascii="Arial" w:hAnsi="Arial" w:cs="Arial"/>
          <w:color w:val="000000" w:themeColor="text1"/>
        </w:rPr>
        <w:t xml:space="preserve"> and </w:t>
      </w:r>
      <w:r w:rsidR="00D53BD0" w:rsidRPr="6A15B411">
        <w:rPr>
          <w:rFonts w:ascii="Arial" w:hAnsi="Arial" w:cs="Arial"/>
          <w:color w:val="000000" w:themeColor="text1"/>
        </w:rPr>
        <w:t>how to use it</w:t>
      </w:r>
      <w:r w:rsidR="00FD580A" w:rsidRPr="6A15B411">
        <w:rPr>
          <w:rFonts w:ascii="Arial" w:hAnsi="Arial" w:cs="Arial"/>
          <w:color w:val="000000" w:themeColor="text1"/>
        </w:rPr>
        <w:t>.</w:t>
      </w:r>
      <w:r w:rsidR="00D53BD0" w:rsidRPr="6A15B411">
        <w:rPr>
          <w:rFonts w:ascii="Arial" w:hAnsi="Arial" w:cs="Arial"/>
          <w:color w:val="000000" w:themeColor="text1"/>
        </w:rPr>
        <w:t xml:space="preserve"> Th</w:t>
      </w:r>
      <w:r w:rsidR="00763D3C" w:rsidRPr="6A15B411">
        <w:rPr>
          <w:rFonts w:ascii="Arial" w:hAnsi="Arial" w:cs="Arial"/>
          <w:color w:val="000000" w:themeColor="text1"/>
        </w:rPr>
        <w:t>at</w:t>
      </w:r>
      <w:r w:rsidR="00D53BD0" w:rsidRPr="6A15B411">
        <w:rPr>
          <w:rFonts w:ascii="Arial" w:hAnsi="Arial" w:cs="Arial"/>
          <w:color w:val="000000" w:themeColor="text1"/>
        </w:rPr>
        <w:t xml:space="preserve"> would be the responsibility of </w:t>
      </w:r>
      <w:r w:rsidR="00877628" w:rsidRPr="6A15B411">
        <w:rPr>
          <w:rFonts w:ascii="Arial" w:hAnsi="Arial" w:cs="Arial"/>
          <w:color w:val="000000" w:themeColor="text1"/>
        </w:rPr>
        <w:t xml:space="preserve">organisations </w:t>
      </w:r>
      <w:r w:rsidR="0034197C" w:rsidRPr="6A15B411">
        <w:rPr>
          <w:rFonts w:ascii="Arial" w:hAnsi="Arial" w:cs="Arial"/>
          <w:color w:val="000000" w:themeColor="text1"/>
        </w:rPr>
        <w:t xml:space="preserve">other than </w:t>
      </w:r>
      <w:r w:rsidR="00877628" w:rsidRPr="6A15B411">
        <w:rPr>
          <w:rFonts w:ascii="Arial" w:hAnsi="Arial" w:cs="Arial"/>
          <w:color w:val="000000" w:themeColor="text1"/>
        </w:rPr>
        <w:t>FSANZ</w:t>
      </w:r>
      <w:r w:rsidR="00D53BD0" w:rsidRPr="6A15B411">
        <w:rPr>
          <w:rFonts w:ascii="Arial" w:hAnsi="Arial" w:cs="Arial"/>
          <w:color w:val="000000" w:themeColor="text1"/>
        </w:rPr>
        <w:t>.</w:t>
      </w:r>
    </w:p>
    <w:p w14:paraId="1E7F92E2" w14:textId="77777777" w:rsidR="000828D1" w:rsidRPr="007821F4" w:rsidRDefault="000828D1" w:rsidP="00CE3140">
      <w:pPr>
        <w:pStyle w:val="ListParagraph"/>
        <w:autoSpaceDE w:val="0"/>
        <w:autoSpaceDN w:val="0"/>
        <w:adjustRightInd w:val="0"/>
        <w:ind w:left="784"/>
        <w:rPr>
          <w:rFonts w:ascii="Arial" w:hAnsi="Arial" w:cs="Arial"/>
          <w:b/>
          <w:lang w:val="en-AU"/>
        </w:rPr>
      </w:pPr>
      <w:bookmarkStart w:id="47" w:name="_Ref156852730"/>
      <w:bookmarkStart w:id="48" w:name="_Toc158893152"/>
    </w:p>
    <w:p w14:paraId="3CC02076" w14:textId="1569FF9B" w:rsidR="00D54C9A" w:rsidRPr="000828D1" w:rsidRDefault="00D54C9A" w:rsidP="000828D1">
      <w:pPr>
        <w:rPr>
          <w:rFonts w:ascii="Arial" w:hAnsi="Arial" w:cs="Arial"/>
          <w:b/>
          <w:bCs/>
          <w:lang w:val="en-AU"/>
        </w:rPr>
      </w:pPr>
      <w:r w:rsidRPr="000828D1">
        <w:rPr>
          <w:rFonts w:ascii="Arial" w:hAnsi="Arial" w:cs="Arial"/>
          <w:b/>
          <w:bCs/>
          <w:lang w:val="en-AU"/>
        </w:rPr>
        <w:t xml:space="preserve">Transition period </w:t>
      </w:r>
      <w:r w:rsidR="00B825CF" w:rsidRPr="000828D1">
        <w:rPr>
          <w:rFonts w:ascii="Arial" w:hAnsi="Arial" w:cs="Arial"/>
          <w:b/>
          <w:bCs/>
          <w:lang w:val="en-AU"/>
        </w:rPr>
        <w:t xml:space="preserve">and stock-in-trade provision </w:t>
      </w:r>
      <w:r w:rsidRPr="000828D1">
        <w:rPr>
          <w:rFonts w:ascii="Arial" w:hAnsi="Arial" w:cs="Arial"/>
          <w:b/>
          <w:bCs/>
          <w:lang w:val="en-AU"/>
        </w:rPr>
        <w:t>for implementation</w:t>
      </w:r>
      <w:bookmarkEnd w:id="47"/>
      <w:bookmarkEnd w:id="48"/>
      <w:r w:rsidR="00AB02CB" w:rsidRPr="000828D1">
        <w:rPr>
          <w:rFonts w:ascii="Arial" w:hAnsi="Arial" w:cs="Arial"/>
          <w:b/>
          <w:bCs/>
          <w:lang w:val="en-AU"/>
        </w:rPr>
        <w:t xml:space="preserve"> </w:t>
      </w:r>
    </w:p>
    <w:p w14:paraId="31AA1E11" w14:textId="57ADD39B" w:rsidR="00D54C9A" w:rsidRDefault="00D54C9A" w:rsidP="6A15B411">
      <w:pPr>
        <w:rPr>
          <w:rFonts w:ascii="Arial" w:hAnsi="Arial" w:cs="Arial"/>
        </w:rPr>
      </w:pPr>
      <w:r w:rsidRPr="6A15B411">
        <w:rPr>
          <w:rFonts w:ascii="Arial" w:hAnsi="Arial" w:cs="Arial"/>
        </w:rPr>
        <w:t xml:space="preserve">Until the end of the three year transition period after </w:t>
      </w:r>
      <w:r w:rsidR="00C224E3" w:rsidRPr="6A15B411">
        <w:rPr>
          <w:rFonts w:ascii="Arial" w:hAnsi="Arial" w:cs="Arial"/>
        </w:rPr>
        <w:t xml:space="preserve">changes to the Code are </w:t>
      </w:r>
      <w:r w:rsidRPr="6A15B411">
        <w:rPr>
          <w:rFonts w:ascii="Arial" w:hAnsi="Arial" w:cs="Arial"/>
        </w:rPr>
        <w:t>gazetted, packaged alcoholic beverage labels would be permitted to either:</w:t>
      </w:r>
    </w:p>
    <w:p w14:paraId="41EDA72B" w14:textId="4187D960" w:rsidR="00E22249" w:rsidRPr="00CB2C11" w:rsidRDefault="00CB2C11" w:rsidP="00CB2C11">
      <w:pPr>
        <w:pStyle w:val="ListParagraph"/>
        <w:numPr>
          <w:ilvl w:val="0"/>
          <w:numId w:val="19"/>
        </w:numPr>
        <w:contextualSpacing/>
        <w:rPr>
          <w:rFonts w:ascii="Arial" w:hAnsi="Arial" w:cs="Arial"/>
        </w:rPr>
      </w:pPr>
      <w:r>
        <w:rPr>
          <w:rFonts w:ascii="Arial" w:hAnsi="Arial" w:cs="Arial"/>
        </w:rPr>
        <w:t xml:space="preserve">comply </w:t>
      </w:r>
      <w:r w:rsidRPr="00E22249">
        <w:rPr>
          <w:rFonts w:ascii="Arial" w:hAnsi="Arial" w:cs="Arial"/>
          <w:lang w:val="en-US"/>
        </w:rPr>
        <w:t>or with the Code as amended by the variat</w:t>
      </w:r>
      <w:r>
        <w:rPr>
          <w:rFonts w:ascii="Arial" w:hAnsi="Arial" w:cs="Arial"/>
          <w:lang w:val="en-US"/>
        </w:rPr>
        <w:t>ion</w:t>
      </w:r>
      <w:r w:rsidR="00813577">
        <w:rPr>
          <w:rFonts w:ascii="Arial" w:hAnsi="Arial" w:cs="Arial"/>
          <w:lang w:val="en-US"/>
        </w:rPr>
        <w:t xml:space="preserve"> </w:t>
      </w:r>
      <w:r w:rsidR="00CC4714">
        <w:rPr>
          <w:rFonts w:ascii="Arial" w:hAnsi="Arial" w:cs="Arial"/>
          <w:lang w:val="en-US"/>
        </w:rPr>
        <w:t>(i.e.</w:t>
      </w:r>
      <w:r>
        <w:rPr>
          <w:rFonts w:ascii="Arial" w:hAnsi="Arial" w:cs="Arial"/>
        </w:rPr>
        <w:t xml:space="preserve"> </w:t>
      </w:r>
      <w:r w:rsidR="00D54C9A" w:rsidRPr="00CB2C11">
        <w:rPr>
          <w:rFonts w:ascii="Arial" w:hAnsi="Arial" w:cs="Arial"/>
        </w:rPr>
        <w:t xml:space="preserve">include the energy statement or NIP </w:t>
      </w:r>
      <w:r w:rsidR="00D21BBD">
        <w:rPr>
          <w:rFonts w:ascii="Arial" w:hAnsi="Arial" w:cs="Arial"/>
        </w:rPr>
        <w:t>with standard drink</w:t>
      </w:r>
      <w:r w:rsidR="004C4DB2">
        <w:rPr>
          <w:rFonts w:ascii="Arial" w:hAnsi="Arial" w:cs="Arial"/>
        </w:rPr>
        <w:t xml:space="preserve"> information</w:t>
      </w:r>
      <w:r w:rsidR="00D11610">
        <w:rPr>
          <w:rFonts w:ascii="Arial" w:hAnsi="Arial" w:cs="Arial"/>
        </w:rPr>
        <w:t xml:space="preserve"> as applicable</w:t>
      </w:r>
      <w:r w:rsidR="00CC4714">
        <w:rPr>
          <w:rFonts w:ascii="Arial" w:hAnsi="Arial" w:cs="Arial"/>
        </w:rPr>
        <w:t>)</w:t>
      </w:r>
      <w:r w:rsidR="00E22249" w:rsidRPr="00CB2C11">
        <w:rPr>
          <w:rFonts w:ascii="Arial" w:hAnsi="Arial" w:cs="Arial"/>
        </w:rPr>
        <w:t>, or</w:t>
      </w:r>
    </w:p>
    <w:p w14:paraId="31786784" w14:textId="745C8CAD" w:rsidR="00D54C9A" w:rsidRDefault="00E22249" w:rsidP="00CE3140">
      <w:pPr>
        <w:pStyle w:val="ListParagraph"/>
        <w:numPr>
          <w:ilvl w:val="0"/>
          <w:numId w:val="19"/>
        </w:numPr>
        <w:contextualSpacing/>
        <w:rPr>
          <w:rFonts w:ascii="Arial" w:hAnsi="Arial" w:cs="Arial"/>
        </w:rPr>
      </w:pPr>
      <w:r w:rsidRPr="00E22249">
        <w:rPr>
          <w:rFonts w:ascii="Arial" w:hAnsi="Arial" w:cs="Arial"/>
          <w:lang w:val="en-US"/>
        </w:rPr>
        <w:t>comply with the Code as if the variation had not taken effect</w:t>
      </w:r>
      <w:r w:rsidR="00D54C9A">
        <w:rPr>
          <w:rFonts w:ascii="Arial" w:hAnsi="Arial" w:cs="Arial"/>
        </w:rPr>
        <w:t xml:space="preserve">. </w:t>
      </w:r>
    </w:p>
    <w:p w14:paraId="7327F257" w14:textId="77777777" w:rsidR="00D54C9A" w:rsidRDefault="00D54C9A" w:rsidP="00D54C9A">
      <w:pPr>
        <w:pStyle w:val="ListParagraph"/>
        <w:rPr>
          <w:rFonts w:ascii="Arial" w:hAnsi="Arial" w:cs="Arial"/>
        </w:rPr>
      </w:pPr>
    </w:p>
    <w:p w14:paraId="5E88E712" w14:textId="7E0DF072" w:rsidR="00D54C9A" w:rsidRDefault="00CC4714" w:rsidP="6A15B411">
      <w:pPr>
        <w:rPr>
          <w:rFonts w:ascii="Arial" w:hAnsi="Arial" w:cs="Arial"/>
        </w:rPr>
      </w:pPr>
      <w:r w:rsidRPr="6A15B411">
        <w:rPr>
          <w:rFonts w:ascii="Arial" w:hAnsi="Arial" w:cs="Arial"/>
        </w:rPr>
        <w:t>The proposed</w:t>
      </w:r>
      <w:r w:rsidR="00D54C9A" w:rsidRPr="6A15B411">
        <w:rPr>
          <w:rFonts w:ascii="Arial" w:hAnsi="Arial" w:cs="Arial"/>
        </w:rPr>
        <w:t xml:space="preserve"> three</w:t>
      </w:r>
      <w:r w:rsidR="00B518DE" w:rsidRPr="6A15B411">
        <w:rPr>
          <w:rFonts w:ascii="Arial" w:hAnsi="Arial" w:cs="Arial"/>
        </w:rPr>
        <w:t xml:space="preserve"> </w:t>
      </w:r>
      <w:r w:rsidR="00D54C9A" w:rsidRPr="6A15B411">
        <w:rPr>
          <w:rFonts w:ascii="Arial" w:hAnsi="Arial" w:cs="Arial"/>
        </w:rPr>
        <w:t>year transition period</w:t>
      </w:r>
      <w:r w:rsidR="00E973EB" w:rsidRPr="6A15B411">
        <w:rPr>
          <w:rFonts w:ascii="Arial" w:hAnsi="Arial" w:cs="Arial"/>
        </w:rPr>
        <w:t xml:space="preserve"> </w:t>
      </w:r>
      <w:r w:rsidRPr="6A15B411">
        <w:rPr>
          <w:rFonts w:ascii="Arial" w:hAnsi="Arial" w:cs="Arial"/>
        </w:rPr>
        <w:t xml:space="preserve">would help </w:t>
      </w:r>
      <w:r w:rsidR="004A4D84" w:rsidRPr="6A15B411">
        <w:rPr>
          <w:rFonts w:ascii="Arial" w:hAnsi="Arial" w:cs="Arial"/>
        </w:rPr>
        <w:t xml:space="preserve">mitigate </w:t>
      </w:r>
      <w:r w:rsidR="00D54C9A" w:rsidRPr="6A15B411">
        <w:rPr>
          <w:rFonts w:ascii="Arial" w:hAnsi="Arial" w:cs="Arial"/>
        </w:rPr>
        <w:t>the cost to industry of adopting the requirements, without excessively delaying resolving the problems identified.</w:t>
      </w:r>
      <w:r w:rsidR="001D0F4F" w:rsidRPr="6A15B411">
        <w:rPr>
          <w:rFonts w:ascii="Arial" w:hAnsi="Arial" w:cs="Arial"/>
        </w:rPr>
        <w:t xml:space="preserve"> Further justification for this is provided at the end of section 4 “What policy options are being </w:t>
      </w:r>
      <w:r w:rsidR="001D0F4F" w:rsidRPr="6A15B411">
        <w:rPr>
          <w:rFonts w:ascii="Arial" w:hAnsi="Arial" w:cs="Arial"/>
        </w:rPr>
        <w:lastRenderedPageBreak/>
        <w:t>considered”.</w:t>
      </w:r>
      <w:r w:rsidR="00043304" w:rsidRPr="6A15B411">
        <w:rPr>
          <w:rFonts w:ascii="Arial" w:hAnsi="Arial" w:cs="Arial"/>
        </w:rPr>
        <w:t xml:space="preserve"> </w:t>
      </w:r>
      <w:r w:rsidR="0018430E" w:rsidRPr="6A15B411">
        <w:rPr>
          <w:rFonts w:ascii="Arial" w:hAnsi="Arial" w:cs="Arial"/>
        </w:rPr>
        <w:t>A large proportion of</w:t>
      </w:r>
      <w:r w:rsidR="00D54C9A" w:rsidRPr="6A15B411">
        <w:rPr>
          <w:rFonts w:ascii="Arial" w:hAnsi="Arial" w:cs="Arial"/>
        </w:rPr>
        <w:t xml:space="preserve"> alcoholic beverage producers can </w:t>
      </w:r>
      <w:r w:rsidR="002B76E6" w:rsidRPr="6A15B411">
        <w:rPr>
          <w:rFonts w:ascii="Arial" w:hAnsi="Arial" w:cs="Arial"/>
        </w:rPr>
        <w:t xml:space="preserve">then </w:t>
      </w:r>
      <w:r w:rsidR="00D54C9A" w:rsidRPr="6A15B411">
        <w:rPr>
          <w:rFonts w:ascii="Arial" w:hAnsi="Arial" w:cs="Arial"/>
        </w:rPr>
        <w:t>stage the label changes to incorporate required energy content information with other label changes undertaken in the normal course of business</w:t>
      </w:r>
      <w:r w:rsidR="008E248A" w:rsidRPr="6A15B411">
        <w:rPr>
          <w:rFonts w:ascii="Arial" w:hAnsi="Arial" w:cs="Arial"/>
        </w:rPr>
        <w:t xml:space="preserve">, reducing the proportion of label changes that need to be </w:t>
      </w:r>
      <w:r w:rsidRPr="6A15B411">
        <w:rPr>
          <w:rFonts w:ascii="Arial" w:hAnsi="Arial" w:cs="Arial"/>
        </w:rPr>
        <w:t>made in isolation</w:t>
      </w:r>
      <w:r w:rsidR="009C1861" w:rsidRPr="6A15B411">
        <w:rPr>
          <w:rFonts w:ascii="Arial" w:hAnsi="Arial" w:cs="Arial"/>
        </w:rPr>
        <w:t xml:space="preserve"> during implementation</w:t>
      </w:r>
      <w:r w:rsidR="00D54C9A" w:rsidRPr="6A15B411">
        <w:rPr>
          <w:rFonts w:ascii="Arial" w:hAnsi="Arial" w:cs="Arial"/>
        </w:rPr>
        <w:t>.</w:t>
      </w:r>
      <w:r w:rsidR="00D14F3D" w:rsidRPr="6A15B411">
        <w:rPr>
          <w:rFonts w:ascii="Arial" w:hAnsi="Arial" w:cs="Arial"/>
        </w:rPr>
        <w:t xml:space="preserve"> For instance,</w:t>
      </w:r>
      <w:r w:rsidR="00CF4E0C" w:rsidRPr="6A15B411">
        <w:rPr>
          <w:rFonts w:ascii="Arial" w:hAnsi="Arial" w:cs="Arial"/>
        </w:rPr>
        <w:t xml:space="preserve"> when choosing to make design changes to labels for marketing purposes</w:t>
      </w:r>
      <w:r w:rsidR="0044573B" w:rsidRPr="6A15B411">
        <w:rPr>
          <w:rFonts w:ascii="Arial" w:hAnsi="Arial" w:cs="Arial"/>
        </w:rPr>
        <w:t xml:space="preserve"> or </w:t>
      </w:r>
      <w:r w:rsidR="00F315A5" w:rsidRPr="6A15B411">
        <w:rPr>
          <w:rFonts w:ascii="Arial" w:hAnsi="Arial" w:cs="Arial"/>
        </w:rPr>
        <w:t>needing to</w:t>
      </w:r>
      <w:r w:rsidR="0044573B" w:rsidRPr="6A15B411">
        <w:rPr>
          <w:rFonts w:ascii="Arial" w:hAnsi="Arial" w:cs="Arial"/>
        </w:rPr>
        <w:t xml:space="preserve"> comply with </w:t>
      </w:r>
      <w:r w:rsidR="00F315A5" w:rsidRPr="6A15B411">
        <w:rPr>
          <w:rFonts w:ascii="Arial" w:hAnsi="Arial" w:cs="Arial"/>
        </w:rPr>
        <w:t xml:space="preserve">other regulated </w:t>
      </w:r>
      <w:r w:rsidR="00C5210E" w:rsidRPr="6A15B411">
        <w:rPr>
          <w:rFonts w:ascii="Arial" w:hAnsi="Arial" w:cs="Arial"/>
        </w:rPr>
        <w:t xml:space="preserve">label </w:t>
      </w:r>
      <w:r w:rsidR="0044573B" w:rsidRPr="6A15B411">
        <w:rPr>
          <w:rFonts w:ascii="Arial" w:hAnsi="Arial" w:cs="Arial"/>
        </w:rPr>
        <w:t xml:space="preserve">changes </w:t>
      </w:r>
      <w:r w:rsidR="00F315A5" w:rsidRPr="6A15B411">
        <w:rPr>
          <w:rFonts w:ascii="Arial" w:hAnsi="Arial" w:cs="Arial"/>
        </w:rPr>
        <w:t xml:space="preserve">required </w:t>
      </w:r>
      <w:r w:rsidR="0044573B" w:rsidRPr="6A15B411">
        <w:rPr>
          <w:rFonts w:ascii="Arial" w:hAnsi="Arial" w:cs="Arial"/>
        </w:rPr>
        <w:t>by other agencies</w:t>
      </w:r>
      <w:r w:rsidR="00CF4E0C" w:rsidRPr="6A15B411">
        <w:rPr>
          <w:rFonts w:ascii="Arial" w:hAnsi="Arial" w:cs="Arial"/>
        </w:rPr>
        <w:t>.</w:t>
      </w:r>
      <w:r w:rsidR="00D54C9A" w:rsidRPr="6A15B411">
        <w:rPr>
          <w:rFonts w:ascii="Arial" w:hAnsi="Arial" w:cs="Arial"/>
        </w:rPr>
        <w:t xml:space="preserve"> </w:t>
      </w:r>
    </w:p>
    <w:p w14:paraId="6AE4B12A" w14:textId="7AC15168" w:rsidR="00A05F16" w:rsidRDefault="00D54C9A" w:rsidP="6A15B411">
      <w:pPr>
        <w:rPr>
          <w:rFonts w:ascii="Arial" w:hAnsi="Arial" w:cs="Arial"/>
        </w:rPr>
      </w:pPr>
      <w:r w:rsidRPr="6A15B411">
        <w:rPr>
          <w:rFonts w:ascii="Arial" w:hAnsi="Arial" w:cs="Arial"/>
        </w:rPr>
        <w:t>FSANZ however, acknowledges that</w:t>
      </w:r>
      <w:r w:rsidR="008C32D4" w:rsidRPr="6A15B411">
        <w:rPr>
          <w:rFonts w:ascii="Arial" w:hAnsi="Arial" w:cs="Arial"/>
        </w:rPr>
        <w:t xml:space="preserve"> such coordination and staging</w:t>
      </w:r>
      <w:r w:rsidRPr="6A15B411">
        <w:rPr>
          <w:rFonts w:ascii="Arial" w:hAnsi="Arial" w:cs="Arial"/>
        </w:rPr>
        <w:t xml:space="preserve"> </w:t>
      </w:r>
      <w:r w:rsidR="00B518DE" w:rsidRPr="6A15B411">
        <w:rPr>
          <w:rFonts w:ascii="Arial" w:hAnsi="Arial" w:cs="Arial"/>
        </w:rPr>
        <w:t>is</w:t>
      </w:r>
      <w:r w:rsidRPr="6A15B411">
        <w:rPr>
          <w:rFonts w:ascii="Arial" w:hAnsi="Arial" w:cs="Arial"/>
        </w:rPr>
        <w:t xml:space="preserve"> not possible for a minority of SKUs for which labels are not often changed in the normal course of business. </w:t>
      </w:r>
      <w:r w:rsidR="002B76E6" w:rsidRPr="6A15B411">
        <w:rPr>
          <w:rFonts w:ascii="Arial" w:hAnsi="Arial" w:cs="Arial"/>
        </w:rPr>
        <w:t xml:space="preserve">The </w:t>
      </w:r>
      <w:r w:rsidR="003C47BE" w:rsidRPr="6A15B411">
        <w:rPr>
          <w:rFonts w:ascii="Arial" w:hAnsi="Arial" w:cs="Arial"/>
        </w:rPr>
        <w:t xml:space="preserve">Marsden-Jacob </w:t>
      </w:r>
      <w:r w:rsidRPr="6A15B411">
        <w:rPr>
          <w:rFonts w:ascii="Arial" w:hAnsi="Arial" w:cs="Arial"/>
        </w:rPr>
        <w:t>label change cost model accounts for thi</w:t>
      </w:r>
      <w:r w:rsidR="00363F74" w:rsidRPr="6A15B411">
        <w:rPr>
          <w:rFonts w:ascii="Arial" w:hAnsi="Arial" w:cs="Arial"/>
        </w:rPr>
        <w:t>s</w:t>
      </w:r>
      <w:r w:rsidR="009337D8" w:rsidRPr="6A15B411">
        <w:rPr>
          <w:rFonts w:ascii="Arial" w:hAnsi="Arial" w:cs="Arial"/>
        </w:rPr>
        <w:t xml:space="preserve"> by modelling </w:t>
      </w:r>
      <w:r w:rsidR="00FC5E60" w:rsidRPr="6A15B411">
        <w:rPr>
          <w:rFonts w:ascii="Arial" w:hAnsi="Arial" w:cs="Arial"/>
        </w:rPr>
        <w:t>the different proportions of businesses that can make label changes within given time periods: 1 year, 2 years etc</w:t>
      </w:r>
      <w:r w:rsidRPr="6A15B411">
        <w:rPr>
          <w:rFonts w:ascii="Arial" w:hAnsi="Arial" w:cs="Arial"/>
        </w:rPr>
        <w:t xml:space="preserve">.  </w:t>
      </w:r>
    </w:p>
    <w:p w14:paraId="1289DE11" w14:textId="562EDA6C" w:rsidR="00D54C9A" w:rsidRPr="0020319A" w:rsidRDefault="00D54C9A" w:rsidP="6A15B411">
      <w:pPr>
        <w:spacing w:after="0" w:line="240" w:lineRule="auto"/>
        <w:rPr>
          <w:rFonts w:ascii="Arial" w:eastAsia="Arial" w:hAnsi="Arial" w:cs="Arial"/>
        </w:rPr>
      </w:pPr>
      <w:r w:rsidRPr="6A15B411">
        <w:rPr>
          <w:rFonts w:ascii="Arial" w:eastAsia="Arial" w:hAnsi="Arial" w:cs="Arial"/>
        </w:rPr>
        <w:t xml:space="preserve">FSANZ </w:t>
      </w:r>
      <w:r w:rsidR="00CC4714" w:rsidRPr="6A15B411">
        <w:rPr>
          <w:rFonts w:ascii="Arial" w:eastAsia="Arial" w:hAnsi="Arial" w:cs="Arial"/>
        </w:rPr>
        <w:t>is also proposing</w:t>
      </w:r>
      <w:r w:rsidRPr="6A15B411">
        <w:rPr>
          <w:rFonts w:ascii="Arial" w:eastAsia="Arial" w:hAnsi="Arial" w:cs="Arial"/>
        </w:rPr>
        <w:t xml:space="preserve"> a stock-in-trade exemption</w:t>
      </w:r>
      <w:r w:rsidR="00CC4714" w:rsidRPr="6A15B411">
        <w:rPr>
          <w:rFonts w:ascii="Arial" w:eastAsia="Arial" w:hAnsi="Arial" w:cs="Arial"/>
        </w:rPr>
        <w:t>, whereby</w:t>
      </w:r>
      <w:r w:rsidR="001A0068" w:rsidRPr="6A15B411">
        <w:rPr>
          <w:rFonts w:ascii="Arial" w:eastAsia="Arial" w:hAnsi="Arial" w:cs="Arial"/>
        </w:rPr>
        <w:t xml:space="preserve"> </w:t>
      </w:r>
      <w:r w:rsidR="00CC4714" w:rsidRPr="6A15B411">
        <w:rPr>
          <w:rFonts w:ascii="Arial" w:eastAsia="Arial" w:hAnsi="Arial" w:cs="Arial"/>
        </w:rPr>
        <w:t>a</w:t>
      </w:r>
      <w:r w:rsidR="0002553F" w:rsidRPr="6A15B411">
        <w:rPr>
          <w:rFonts w:ascii="Arial" w:eastAsia="Arial" w:hAnsi="Arial" w:cs="Arial"/>
        </w:rPr>
        <w:t>n</w:t>
      </w:r>
      <w:r w:rsidRPr="6A15B411">
        <w:rPr>
          <w:rFonts w:ascii="Arial" w:eastAsia="Arial" w:hAnsi="Arial" w:cs="Arial"/>
        </w:rPr>
        <w:t xml:space="preserve"> alcoholic beverage </w:t>
      </w:r>
      <w:r w:rsidRPr="6A15B411">
        <w:rPr>
          <w:rFonts w:ascii="Arial" w:eastAsia="Arial" w:hAnsi="Arial" w:cs="Arial"/>
          <w:b/>
          <w:bCs/>
        </w:rPr>
        <w:t>packaged</w:t>
      </w:r>
      <w:r w:rsidRPr="6A15B411">
        <w:rPr>
          <w:rFonts w:ascii="Arial" w:eastAsia="Arial" w:hAnsi="Arial" w:cs="Arial"/>
        </w:rPr>
        <w:t xml:space="preserve"> and </w:t>
      </w:r>
      <w:r w:rsidRPr="6A15B411">
        <w:rPr>
          <w:rFonts w:ascii="Arial" w:eastAsia="Arial" w:hAnsi="Arial" w:cs="Arial"/>
          <w:b/>
          <w:bCs/>
        </w:rPr>
        <w:t>labelled</w:t>
      </w:r>
      <w:r w:rsidRPr="6A15B411">
        <w:rPr>
          <w:rFonts w:ascii="Arial" w:eastAsia="Arial" w:hAnsi="Arial" w:cs="Arial"/>
        </w:rPr>
        <w:t xml:space="preserve"> </w:t>
      </w:r>
      <w:r w:rsidRPr="6A15B411">
        <w:rPr>
          <w:rFonts w:ascii="Arial" w:eastAsia="Arial" w:hAnsi="Arial" w:cs="Arial"/>
          <w:b/>
          <w:bCs/>
        </w:rPr>
        <w:t>before</w:t>
      </w:r>
      <w:r w:rsidRPr="6A15B411">
        <w:rPr>
          <w:rFonts w:ascii="Arial" w:eastAsia="Arial" w:hAnsi="Arial" w:cs="Arial"/>
        </w:rPr>
        <w:t xml:space="preserve"> the end of the transition period may be sold after the transition period without </w:t>
      </w:r>
      <w:r w:rsidR="0002553F" w:rsidRPr="6A15B411">
        <w:rPr>
          <w:rFonts w:ascii="Arial" w:eastAsia="Arial" w:hAnsi="Arial" w:cs="Arial"/>
        </w:rPr>
        <w:t>an</w:t>
      </w:r>
      <w:r w:rsidRPr="6A15B411">
        <w:rPr>
          <w:rFonts w:ascii="Arial" w:eastAsia="Arial" w:hAnsi="Arial" w:cs="Arial"/>
        </w:rPr>
        <w:t xml:space="preserve"> </w:t>
      </w:r>
      <w:r w:rsidR="00B825CF" w:rsidRPr="6A15B411">
        <w:rPr>
          <w:rFonts w:ascii="Arial" w:eastAsia="Arial" w:hAnsi="Arial" w:cs="Arial"/>
        </w:rPr>
        <w:t>e</w:t>
      </w:r>
      <w:r w:rsidRPr="6A15B411">
        <w:rPr>
          <w:rFonts w:ascii="Arial" w:eastAsia="Arial" w:hAnsi="Arial" w:cs="Arial"/>
        </w:rPr>
        <w:t xml:space="preserve">nergy </w:t>
      </w:r>
      <w:r w:rsidR="00B825CF" w:rsidRPr="6A15B411">
        <w:rPr>
          <w:rFonts w:ascii="Arial" w:eastAsia="Arial" w:hAnsi="Arial" w:cs="Arial"/>
        </w:rPr>
        <w:t>s</w:t>
      </w:r>
      <w:r w:rsidRPr="6A15B411">
        <w:rPr>
          <w:rFonts w:ascii="Arial" w:eastAsia="Arial" w:hAnsi="Arial" w:cs="Arial"/>
        </w:rPr>
        <w:t>tatement</w:t>
      </w:r>
      <w:r w:rsidR="00241F1C" w:rsidRPr="6A15B411">
        <w:rPr>
          <w:rFonts w:ascii="Arial" w:eastAsia="Arial" w:hAnsi="Arial" w:cs="Arial"/>
        </w:rPr>
        <w:t xml:space="preserve"> or</w:t>
      </w:r>
      <w:r w:rsidR="00F9688C" w:rsidRPr="6A15B411">
        <w:rPr>
          <w:rFonts w:ascii="Arial" w:eastAsia="Arial" w:hAnsi="Arial" w:cs="Arial"/>
        </w:rPr>
        <w:t xml:space="preserve"> the standard drink information</w:t>
      </w:r>
      <w:r w:rsidR="0034016E" w:rsidRPr="6A15B411">
        <w:rPr>
          <w:rFonts w:ascii="Arial" w:eastAsia="Arial" w:hAnsi="Arial" w:cs="Arial"/>
        </w:rPr>
        <w:t xml:space="preserve"> in</w:t>
      </w:r>
      <w:r w:rsidR="00241F1C" w:rsidRPr="6A15B411">
        <w:rPr>
          <w:rFonts w:ascii="Arial" w:eastAsia="Arial" w:hAnsi="Arial" w:cs="Arial"/>
        </w:rPr>
        <w:t xml:space="preserve"> </w:t>
      </w:r>
      <w:r w:rsidR="0002553F" w:rsidRPr="6A15B411">
        <w:rPr>
          <w:rFonts w:ascii="Arial" w:eastAsia="Arial" w:hAnsi="Arial" w:cs="Arial"/>
        </w:rPr>
        <w:t xml:space="preserve">a </w:t>
      </w:r>
      <w:r w:rsidR="00241F1C" w:rsidRPr="6A15B411">
        <w:rPr>
          <w:rFonts w:ascii="Arial" w:eastAsia="Arial" w:hAnsi="Arial" w:cs="Arial"/>
        </w:rPr>
        <w:t>NIP</w:t>
      </w:r>
      <w:r w:rsidR="004721A5" w:rsidRPr="6A15B411">
        <w:rPr>
          <w:rFonts w:ascii="Arial" w:eastAsia="Arial" w:hAnsi="Arial" w:cs="Arial"/>
        </w:rPr>
        <w:t xml:space="preserve"> for </w:t>
      </w:r>
      <w:r w:rsidR="00C84C56" w:rsidRPr="6A15B411">
        <w:rPr>
          <w:rFonts w:ascii="Arial" w:eastAsia="Arial" w:hAnsi="Arial" w:cs="Arial"/>
        </w:rPr>
        <w:t xml:space="preserve">multi-serve </w:t>
      </w:r>
      <w:r w:rsidR="004721A5" w:rsidRPr="6A15B411">
        <w:rPr>
          <w:rFonts w:ascii="Arial" w:eastAsia="Arial" w:hAnsi="Arial" w:cs="Arial"/>
        </w:rPr>
        <w:t>p</w:t>
      </w:r>
      <w:r w:rsidR="009707A5" w:rsidRPr="6A15B411">
        <w:rPr>
          <w:rFonts w:ascii="Arial" w:eastAsia="Arial" w:hAnsi="Arial" w:cs="Arial"/>
        </w:rPr>
        <w:t>ackages</w:t>
      </w:r>
      <w:r w:rsidR="0002553F" w:rsidRPr="6A15B411">
        <w:rPr>
          <w:rFonts w:ascii="Arial" w:eastAsia="Arial" w:hAnsi="Arial" w:cs="Arial"/>
        </w:rPr>
        <w:t xml:space="preserve">. That is </w:t>
      </w:r>
      <w:r w:rsidRPr="6A15B411">
        <w:rPr>
          <w:rFonts w:ascii="Arial" w:eastAsia="Arial" w:hAnsi="Arial" w:cs="Arial"/>
        </w:rPr>
        <w:t xml:space="preserve">providing </w:t>
      </w:r>
      <w:r w:rsidR="0002553F" w:rsidRPr="6A15B411">
        <w:rPr>
          <w:rFonts w:ascii="Arial" w:eastAsia="Arial" w:hAnsi="Arial" w:cs="Arial"/>
        </w:rPr>
        <w:t>the label</w:t>
      </w:r>
      <w:r w:rsidRPr="6A15B411">
        <w:rPr>
          <w:rFonts w:ascii="Arial" w:eastAsia="Arial" w:hAnsi="Arial" w:cs="Arial"/>
        </w:rPr>
        <w:t xml:space="preserve"> complies with other </w:t>
      </w:r>
      <w:r w:rsidR="0002553F" w:rsidRPr="6A15B411">
        <w:rPr>
          <w:rFonts w:ascii="Arial" w:eastAsia="Arial" w:hAnsi="Arial" w:cs="Arial"/>
        </w:rPr>
        <w:t>requirements in</w:t>
      </w:r>
      <w:r w:rsidRPr="6A15B411">
        <w:rPr>
          <w:rFonts w:ascii="Arial" w:eastAsia="Arial" w:hAnsi="Arial" w:cs="Arial"/>
        </w:rPr>
        <w:t xml:space="preserve"> the Code</w:t>
      </w:r>
      <w:r w:rsidR="000922AD" w:rsidRPr="6A15B411">
        <w:rPr>
          <w:rFonts w:ascii="Arial" w:eastAsia="Arial" w:hAnsi="Arial" w:cs="Arial"/>
        </w:rPr>
        <w:t xml:space="preserve">. </w:t>
      </w:r>
    </w:p>
    <w:p w14:paraId="2D9C18EB" w14:textId="6BFFFBF0" w:rsidR="00D54C9A" w:rsidRDefault="00D54C9A" w:rsidP="00F05A4E">
      <w:pPr>
        <w:pStyle w:val="Heading2"/>
        <w:numPr>
          <w:ilvl w:val="0"/>
          <w:numId w:val="29"/>
        </w:numPr>
        <w:spacing w:before="360"/>
        <w:ind w:left="851" w:hanging="851"/>
        <w:rPr>
          <w:rFonts w:eastAsia="Arial"/>
        </w:rPr>
      </w:pPr>
      <w:bookmarkStart w:id="49" w:name="_Toc194475999"/>
      <w:r>
        <w:rPr>
          <w:rFonts w:eastAsia="Arial"/>
        </w:rPr>
        <w:t>How will the chosen option be evaluated?</w:t>
      </w:r>
      <w:bookmarkEnd w:id="49"/>
    </w:p>
    <w:p w14:paraId="5874B01C" w14:textId="07DA6890" w:rsidR="00D54C9A" w:rsidRPr="00D14915" w:rsidRDefault="00D54C9A" w:rsidP="6A15B411">
      <w:pPr>
        <w:rPr>
          <w:rFonts w:ascii="Arial" w:eastAsia="Arial" w:hAnsi="Arial"/>
        </w:rPr>
      </w:pPr>
      <w:r w:rsidRPr="6A15B411">
        <w:rPr>
          <w:rFonts w:ascii="Arial" w:eastAsia="Arial" w:hAnsi="Arial" w:cs="Arial"/>
        </w:rPr>
        <w:t xml:space="preserve">The primary responsibility for actively monitoring and evaluating the Code’s requirement lies with the </w:t>
      </w:r>
      <w:r w:rsidR="009A748A" w:rsidRPr="6A15B411">
        <w:rPr>
          <w:rFonts w:ascii="Arial" w:eastAsia="Arial" w:hAnsi="Arial" w:cs="Arial"/>
        </w:rPr>
        <w:t>j</w:t>
      </w:r>
      <w:r w:rsidRPr="6A15B411">
        <w:rPr>
          <w:rFonts w:ascii="Arial" w:eastAsia="Arial" w:hAnsi="Arial" w:cs="Arial"/>
        </w:rPr>
        <w:t xml:space="preserve">urisdictional governments that have adopted the Code. </w:t>
      </w:r>
    </w:p>
    <w:p w14:paraId="0F94F99E" w14:textId="5DB6DCB9" w:rsidR="00D54C9A" w:rsidRDefault="00D54C9A" w:rsidP="6A15B411">
      <w:pPr>
        <w:rPr>
          <w:rFonts w:ascii="Arial" w:eastAsia="Arial" w:hAnsi="Arial"/>
        </w:rPr>
      </w:pPr>
      <w:r w:rsidRPr="6A15B411">
        <w:rPr>
          <w:rFonts w:ascii="Arial" w:eastAsia="Arial" w:hAnsi="Arial"/>
        </w:rPr>
        <w:t xml:space="preserve">Jurisdictions develop </w:t>
      </w:r>
      <w:r w:rsidR="00114C3A" w:rsidRPr="6A15B411">
        <w:rPr>
          <w:rFonts w:ascii="Arial" w:eastAsia="Arial" w:hAnsi="Arial"/>
        </w:rPr>
        <w:t xml:space="preserve">policy principles </w:t>
      </w:r>
      <w:r w:rsidR="00FA2550" w:rsidRPr="6A15B411">
        <w:rPr>
          <w:rFonts w:ascii="Arial" w:eastAsia="Arial" w:hAnsi="Arial"/>
        </w:rPr>
        <w:t>for the food regulatory system, through Ministers approving changes to the Code and determining how amendment</w:t>
      </w:r>
      <w:r w:rsidR="00765AD5" w:rsidRPr="6A15B411">
        <w:rPr>
          <w:rFonts w:ascii="Arial" w:eastAsia="Arial" w:hAnsi="Arial"/>
        </w:rPr>
        <w:t>s</w:t>
      </w:r>
      <w:r w:rsidR="00FA2550" w:rsidRPr="6A15B411">
        <w:rPr>
          <w:rFonts w:ascii="Arial" w:eastAsia="Arial" w:hAnsi="Arial"/>
        </w:rPr>
        <w:t xml:space="preserve"> to the code are implemented and enforced within their jurisdiction</w:t>
      </w:r>
      <w:r w:rsidRPr="6A15B411">
        <w:rPr>
          <w:rFonts w:ascii="Arial" w:eastAsia="Arial" w:hAnsi="Arial"/>
        </w:rPr>
        <w:t>.</w:t>
      </w:r>
      <w:r w:rsidR="001A0068" w:rsidRPr="6A15B411">
        <w:rPr>
          <w:rFonts w:ascii="Arial" w:eastAsia="Arial" w:hAnsi="Arial"/>
        </w:rPr>
        <w:t xml:space="preserve"> </w:t>
      </w:r>
      <w:r w:rsidRPr="6A15B411">
        <w:rPr>
          <w:rFonts w:ascii="Arial" w:eastAsia="Arial" w:hAnsi="Arial"/>
        </w:rPr>
        <w:t xml:space="preserve">Therefore, it is appropriate that they have responsibility for reviewing the outcomes of the standards against their policy principles. </w:t>
      </w:r>
    </w:p>
    <w:p w14:paraId="6138D4E6" w14:textId="00A6135B" w:rsidR="00D54C9A" w:rsidRDefault="00D54C9A" w:rsidP="6A15B411">
      <w:pPr>
        <w:rPr>
          <w:rFonts w:ascii="Arial" w:eastAsia="Arial" w:hAnsi="Arial"/>
        </w:rPr>
      </w:pPr>
      <w:r w:rsidRPr="6A15B411">
        <w:rPr>
          <w:rFonts w:ascii="Arial" w:eastAsia="Arial" w:hAnsi="Arial"/>
        </w:rPr>
        <w:t>Agencies with responsibility for food policy could act alone to evaluate or monitor the standards, or act jointly through the Food Regulation Standing Committee (FRSC)</w:t>
      </w:r>
      <w:r w:rsidRPr="6A15B411">
        <w:rPr>
          <w:rStyle w:val="FootnoteReference"/>
          <w:rFonts w:ascii="Arial" w:eastAsia="Arial" w:hAnsi="Arial"/>
        </w:rPr>
        <w:footnoteReference w:id="24"/>
      </w:r>
      <w:r w:rsidRPr="6A15B411">
        <w:rPr>
          <w:rFonts w:ascii="Arial" w:eastAsia="Arial" w:hAnsi="Arial"/>
        </w:rPr>
        <w:t xml:space="preserve">. FRSC provides advice to food </w:t>
      </w:r>
      <w:r w:rsidR="005B79A0" w:rsidRPr="6A15B411">
        <w:rPr>
          <w:rFonts w:ascii="Arial" w:eastAsia="Arial" w:hAnsi="Arial"/>
        </w:rPr>
        <w:t>M</w:t>
      </w:r>
      <w:r w:rsidRPr="6A15B411">
        <w:rPr>
          <w:rFonts w:ascii="Arial" w:eastAsia="Arial" w:hAnsi="Arial"/>
        </w:rPr>
        <w:t xml:space="preserve">inisters on food regulation issues, which can then result in FSANZ taking action. </w:t>
      </w:r>
    </w:p>
    <w:p w14:paraId="40205657" w14:textId="5396E02F" w:rsidR="00D54C9A" w:rsidRPr="00CB66EC" w:rsidRDefault="00CE3140" w:rsidP="6A15B411">
      <w:pPr>
        <w:rPr>
          <w:rFonts w:ascii="Arial" w:eastAsia="Arial" w:hAnsi="Arial"/>
        </w:rPr>
      </w:pPr>
      <w:r w:rsidRPr="6A15B411">
        <w:rPr>
          <w:rFonts w:ascii="Arial" w:eastAsia="Arial" w:hAnsi="Arial"/>
        </w:rPr>
        <w:t xml:space="preserve">One example </w:t>
      </w:r>
      <w:r w:rsidR="0059764A" w:rsidRPr="6A15B411">
        <w:rPr>
          <w:rFonts w:ascii="Arial" w:eastAsia="Arial" w:hAnsi="Arial"/>
        </w:rPr>
        <w:t>from</w:t>
      </w:r>
      <w:r w:rsidR="0082604F" w:rsidRPr="6A15B411">
        <w:rPr>
          <w:rFonts w:ascii="Arial" w:eastAsia="Arial" w:hAnsi="Arial"/>
        </w:rPr>
        <w:t xml:space="preserve"> 2017</w:t>
      </w:r>
      <w:r w:rsidR="0059764A" w:rsidRPr="6A15B411">
        <w:rPr>
          <w:rFonts w:ascii="Arial" w:eastAsia="Arial" w:hAnsi="Arial"/>
        </w:rPr>
        <w:t xml:space="preserve"> is when</w:t>
      </w:r>
      <w:r w:rsidR="00D54C9A" w:rsidRPr="6A15B411">
        <w:rPr>
          <w:rFonts w:ascii="Arial" w:eastAsia="Arial" w:hAnsi="Arial"/>
        </w:rPr>
        <w:t xml:space="preserve"> </w:t>
      </w:r>
      <w:r w:rsidR="0082604F" w:rsidRPr="6A15B411">
        <w:rPr>
          <w:rFonts w:ascii="Arial" w:eastAsia="Arial" w:hAnsi="Arial"/>
        </w:rPr>
        <w:t>jurisdictions formed</w:t>
      </w:r>
      <w:r w:rsidR="00572BD7" w:rsidRPr="6A15B411">
        <w:rPr>
          <w:rFonts w:ascii="Arial" w:eastAsia="Arial" w:hAnsi="Arial"/>
        </w:rPr>
        <w:t xml:space="preserve"> a</w:t>
      </w:r>
      <w:r w:rsidR="00D54C9A" w:rsidRPr="6A15B411">
        <w:rPr>
          <w:rFonts w:ascii="Arial" w:eastAsia="Arial" w:hAnsi="Arial"/>
        </w:rPr>
        <w:t xml:space="preserve"> </w:t>
      </w:r>
      <w:r w:rsidR="00B518DE" w:rsidRPr="6A15B411">
        <w:rPr>
          <w:rFonts w:ascii="Arial" w:eastAsia="Arial" w:hAnsi="Arial"/>
        </w:rPr>
        <w:t xml:space="preserve">FRSC </w:t>
      </w:r>
      <w:r w:rsidR="00D54C9A" w:rsidRPr="6A15B411">
        <w:rPr>
          <w:rFonts w:ascii="Arial" w:eastAsia="Arial" w:hAnsi="Arial"/>
        </w:rPr>
        <w:t>working group</w:t>
      </w:r>
      <w:r w:rsidR="00400CBB" w:rsidRPr="6A15B411">
        <w:rPr>
          <w:rFonts w:ascii="Arial" w:eastAsia="Arial" w:hAnsi="Arial"/>
        </w:rPr>
        <w:t xml:space="preserve"> </w:t>
      </w:r>
      <w:r w:rsidR="0059764A" w:rsidRPr="6A15B411">
        <w:rPr>
          <w:rFonts w:ascii="Arial" w:eastAsia="Arial" w:hAnsi="Arial"/>
        </w:rPr>
        <w:t xml:space="preserve">to </w:t>
      </w:r>
      <w:r w:rsidR="00D54C9A" w:rsidRPr="6A15B411">
        <w:rPr>
          <w:rFonts w:ascii="Arial" w:eastAsia="Arial" w:hAnsi="Arial"/>
        </w:rPr>
        <w:t>evaluate the performance of the entire regulatory system (including the Code) in preventing foodborne illness. In response</w:t>
      </w:r>
      <w:r w:rsidR="00400CBB" w:rsidRPr="6A15B411">
        <w:rPr>
          <w:rFonts w:ascii="Arial" w:eastAsia="Arial" w:hAnsi="Arial"/>
        </w:rPr>
        <w:t>,</w:t>
      </w:r>
      <w:r w:rsidR="00D54C9A" w:rsidRPr="6A15B411">
        <w:rPr>
          <w:rFonts w:ascii="Arial" w:eastAsia="Arial" w:hAnsi="Arial"/>
        </w:rPr>
        <w:t xml:space="preserve"> FSANZ created </w:t>
      </w:r>
      <w:r w:rsidR="004864BC" w:rsidRPr="6A15B411">
        <w:rPr>
          <w:rFonts w:ascii="Arial" w:eastAsia="Arial" w:hAnsi="Arial"/>
        </w:rPr>
        <w:t xml:space="preserve">a </w:t>
      </w:r>
      <w:r w:rsidR="00D54C9A" w:rsidRPr="6A15B411">
        <w:rPr>
          <w:rFonts w:ascii="Arial" w:eastAsia="Arial" w:hAnsi="Arial"/>
        </w:rPr>
        <w:t>proposal P1053</w:t>
      </w:r>
      <w:r w:rsidR="000B08D1" w:rsidRPr="6A15B411">
        <w:rPr>
          <w:rFonts w:ascii="Arial" w:eastAsia="Arial" w:hAnsi="Arial"/>
        </w:rPr>
        <w:t xml:space="preserve"> for additional </w:t>
      </w:r>
      <w:r w:rsidR="00A36E9A" w:rsidRPr="6A15B411">
        <w:rPr>
          <w:rFonts w:ascii="Arial" w:eastAsia="Arial" w:hAnsi="Arial"/>
        </w:rPr>
        <w:t>mandatory food safety management tools</w:t>
      </w:r>
      <w:r w:rsidR="000B08D1" w:rsidRPr="6A15B411">
        <w:rPr>
          <w:rFonts w:ascii="Arial" w:eastAsia="Arial" w:hAnsi="Arial"/>
        </w:rPr>
        <w:t xml:space="preserve"> for food businesses</w:t>
      </w:r>
      <w:r w:rsidRPr="6A15B411">
        <w:rPr>
          <w:rFonts w:ascii="Arial" w:eastAsia="Arial" w:hAnsi="Arial"/>
        </w:rPr>
        <w:t>.</w:t>
      </w:r>
      <w:r w:rsidR="00CB66EC" w:rsidRPr="6A15B411">
        <w:rPr>
          <w:rFonts w:ascii="Arial" w:eastAsia="Arial" w:hAnsi="Arial"/>
        </w:rPr>
        <w:t xml:space="preserve"> For more details, see the </w:t>
      </w:r>
      <w:hyperlink r:id="rId20">
        <w:r w:rsidR="00A36E9A" w:rsidRPr="6A15B411">
          <w:rPr>
            <w:rStyle w:val="Hyperlink"/>
            <w:rFonts w:ascii="Arial" w:eastAsia="Arial" w:hAnsi="Arial"/>
          </w:rPr>
          <w:t>FSANZ P1053 webpage</w:t>
        </w:r>
      </w:hyperlink>
      <w:r w:rsidR="009C3B16" w:rsidRPr="6A15B411">
        <w:rPr>
          <w:rFonts w:ascii="Arial" w:eastAsia="Arial" w:hAnsi="Arial"/>
        </w:rPr>
        <w:t>.</w:t>
      </w:r>
    </w:p>
    <w:p w14:paraId="1685DAE3" w14:textId="4539888D" w:rsidR="005336BC" w:rsidRPr="004172B5" w:rsidRDefault="00D54C9A" w:rsidP="6A15B411">
      <w:pPr>
        <w:rPr>
          <w:rFonts w:ascii="Arial" w:eastAsia="Arial" w:hAnsi="Arial"/>
        </w:rPr>
      </w:pPr>
      <w:r w:rsidRPr="6A15B411">
        <w:rPr>
          <w:rFonts w:ascii="Arial" w:eastAsia="Arial" w:hAnsi="Arial"/>
        </w:rPr>
        <w:t>Non-food-policy entities within governments can also play a role in evaluation and monitoring food standards</w:t>
      </w:r>
      <w:r w:rsidR="004911EC" w:rsidRPr="6A15B411">
        <w:rPr>
          <w:rFonts w:ascii="Arial" w:eastAsia="Arial" w:hAnsi="Arial"/>
        </w:rPr>
        <w:t>, i</w:t>
      </w:r>
      <w:r w:rsidRPr="6A15B411">
        <w:rPr>
          <w:rFonts w:ascii="Arial" w:eastAsia="Arial" w:hAnsi="Arial"/>
        </w:rPr>
        <w:t>nclud</w:t>
      </w:r>
      <w:r w:rsidR="004911EC" w:rsidRPr="6A15B411">
        <w:rPr>
          <w:rFonts w:ascii="Arial" w:eastAsia="Arial" w:hAnsi="Arial"/>
        </w:rPr>
        <w:t>ing</w:t>
      </w:r>
      <w:r w:rsidRPr="6A15B411">
        <w:rPr>
          <w:rFonts w:ascii="Arial" w:eastAsia="Arial" w:hAnsi="Arial"/>
        </w:rPr>
        <w:t xml:space="preserve"> </w:t>
      </w:r>
      <w:r w:rsidR="00B23A3D" w:rsidRPr="6A15B411">
        <w:rPr>
          <w:rFonts w:ascii="Arial" w:eastAsia="Arial" w:hAnsi="Arial"/>
        </w:rPr>
        <w:t xml:space="preserve">but not limited to </w:t>
      </w:r>
      <w:r w:rsidRPr="6A15B411">
        <w:rPr>
          <w:rFonts w:ascii="Arial" w:eastAsia="Arial" w:hAnsi="Arial"/>
        </w:rPr>
        <w:t>food inspection and enforcement agencies</w:t>
      </w:r>
      <w:r w:rsidR="00B23A3D" w:rsidRPr="6A15B411">
        <w:rPr>
          <w:rFonts w:ascii="Arial" w:eastAsia="Arial" w:hAnsi="Arial"/>
        </w:rPr>
        <w:t xml:space="preserve"> and</w:t>
      </w:r>
      <w:r w:rsidRPr="6A15B411">
        <w:rPr>
          <w:rFonts w:ascii="Arial" w:eastAsia="Arial" w:hAnsi="Arial"/>
        </w:rPr>
        <w:t xml:space="preserve"> healthcare bodies.</w:t>
      </w:r>
    </w:p>
    <w:p w14:paraId="6AD8AA9B" w14:textId="19B71919" w:rsidR="00C11FF6" w:rsidRDefault="0078690C" w:rsidP="00D54C9A">
      <w:pPr>
        <w:rPr>
          <w:rFonts w:ascii="Arial" w:eastAsia="Arial" w:hAnsi="Arial"/>
        </w:rPr>
      </w:pPr>
      <w:r>
        <w:rPr>
          <w:rFonts w:ascii="Arial" w:eastAsia="Arial" w:hAnsi="Arial"/>
        </w:rPr>
        <w:t>E</w:t>
      </w:r>
      <w:r w:rsidR="006A4A79">
        <w:rPr>
          <w:rFonts w:ascii="Arial" w:eastAsia="Arial" w:hAnsi="Arial"/>
        </w:rPr>
        <w:t>valuation questions</w:t>
      </w:r>
      <w:r w:rsidR="005F7B44">
        <w:rPr>
          <w:rFonts w:ascii="Arial" w:eastAsia="Arial" w:hAnsi="Arial"/>
        </w:rPr>
        <w:t xml:space="preserve"> that </w:t>
      </w:r>
      <w:r w:rsidR="00C11FF6">
        <w:rPr>
          <w:rFonts w:ascii="Arial" w:eastAsia="Arial" w:hAnsi="Arial"/>
        </w:rPr>
        <w:t>could</w:t>
      </w:r>
      <w:r w:rsidR="00487406">
        <w:rPr>
          <w:rFonts w:ascii="Arial" w:eastAsia="Arial" w:hAnsi="Arial"/>
        </w:rPr>
        <w:t xml:space="preserve"> be asked</w:t>
      </w:r>
      <w:r w:rsidR="00C11FF6">
        <w:rPr>
          <w:rFonts w:ascii="Arial" w:eastAsia="Arial" w:hAnsi="Arial"/>
        </w:rPr>
        <w:t xml:space="preserve"> </w:t>
      </w:r>
      <w:r w:rsidR="004E3E12">
        <w:rPr>
          <w:rFonts w:ascii="Arial" w:eastAsia="Arial" w:hAnsi="Arial"/>
        </w:rPr>
        <w:t xml:space="preserve">may </w:t>
      </w:r>
      <w:r w:rsidR="00C11FF6">
        <w:rPr>
          <w:rFonts w:ascii="Arial" w:eastAsia="Arial" w:hAnsi="Arial"/>
        </w:rPr>
        <w:t>include:</w:t>
      </w:r>
    </w:p>
    <w:p w14:paraId="63A36425" w14:textId="1FA891D7" w:rsidR="00C87B56" w:rsidRDefault="003F12A4" w:rsidP="00C11FF6">
      <w:pPr>
        <w:pStyle w:val="ListParagraph"/>
        <w:numPr>
          <w:ilvl w:val="0"/>
          <w:numId w:val="39"/>
        </w:numPr>
        <w:rPr>
          <w:rFonts w:ascii="Arial" w:eastAsia="Arial" w:hAnsi="Arial"/>
        </w:rPr>
      </w:pPr>
      <w:r>
        <w:rPr>
          <w:rFonts w:ascii="Arial" w:eastAsia="Arial" w:hAnsi="Arial"/>
        </w:rPr>
        <w:t xml:space="preserve">What proportions of alcoholic beverage labels contain energy content information in required formats in </w:t>
      </w:r>
      <w:r w:rsidR="00191184">
        <w:rPr>
          <w:rFonts w:ascii="Arial" w:eastAsia="Arial" w:hAnsi="Arial"/>
        </w:rPr>
        <w:t xml:space="preserve">May </w:t>
      </w:r>
      <w:r>
        <w:rPr>
          <w:rFonts w:ascii="Arial" w:eastAsia="Arial" w:hAnsi="Arial"/>
        </w:rPr>
        <w:t xml:space="preserve">2026, </w:t>
      </w:r>
      <w:r w:rsidR="005F38AB">
        <w:rPr>
          <w:rFonts w:ascii="Arial" w:eastAsia="Arial" w:hAnsi="Arial"/>
        </w:rPr>
        <w:t xml:space="preserve">May </w:t>
      </w:r>
      <w:r>
        <w:rPr>
          <w:rFonts w:ascii="Arial" w:eastAsia="Arial" w:hAnsi="Arial"/>
        </w:rPr>
        <w:t xml:space="preserve">2027 </w:t>
      </w:r>
      <w:r w:rsidR="004B6CED">
        <w:rPr>
          <w:rFonts w:ascii="Arial" w:eastAsia="Arial" w:hAnsi="Arial"/>
        </w:rPr>
        <w:t xml:space="preserve">(during the three-year transition) </w:t>
      </w:r>
      <w:r>
        <w:rPr>
          <w:rFonts w:ascii="Arial" w:eastAsia="Arial" w:hAnsi="Arial"/>
        </w:rPr>
        <w:t xml:space="preserve">and </w:t>
      </w:r>
      <w:r w:rsidR="005F38AB">
        <w:rPr>
          <w:rFonts w:ascii="Arial" w:eastAsia="Arial" w:hAnsi="Arial"/>
        </w:rPr>
        <w:t xml:space="preserve">May </w:t>
      </w:r>
      <w:r>
        <w:rPr>
          <w:rFonts w:ascii="Arial" w:eastAsia="Arial" w:hAnsi="Arial"/>
        </w:rPr>
        <w:t>2028</w:t>
      </w:r>
      <w:r w:rsidR="004B6CED">
        <w:rPr>
          <w:rFonts w:ascii="Arial" w:eastAsia="Arial" w:hAnsi="Arial"/>
        </w:rPr>
        <w:t xml:space="preserve"> (after the transition)</w:t>
      </w:r>
      <w:r>
        <w:rPr>
          <w:rFonts w:ascii="Arial" w:eastAsia="Arial" w:hAnsi="Arial"/>
        </w:rPr>
        <w:t>?</w:t>
      </w:r>
    </w:p>
    <w:p w14:paraId="1672042F" w14:textId="55774E2F" w:rsidR="0098350C" w:rsidRDefault="00C87B56" w:rsidP="00C11FF6">
      <w:pPr>
        <w:pStyle w:val="ListParagraph"/>
        <w:numPr>
          <w:ilvl w:val="0"/>
          <w:numId w:val="39"/>
        </w:numPr>
        <w:rPr>
          <w:rFonts w:ascii="Arial" w:eastAsia="Arial" w:hAnsi="Arial"/>
        </w:rPr>
      </w:pPr>
      <w:r>
        <w:rPr>
          <w:rFonts w:ascii="Arial" w:eastAsia="Arial" w:hAnsi="Arial"/>
        </w:rPr>
        <w:t>What are the non-compliance rates</w:t>
      </w:r>
      <w:r w:rsidR="00D926DE">
        <w:rPr>
          <w:rFonts w:ascii="Arial" w:eastAsia="Arial" w:hAnsi="Arial"/>
        </w:rPr>
        <w:t xml:space="preserve"> of alcoholic beverage labels in </w:t>
      </w:r>
      <w:r w:rsidR="005F38AB">
        <w:rPr>
          <w:rFonts w:ascii="Arial" w:eastAsia="Arial" w:hAnsi="Arial"/>
        </w:rPr>
        <w:t xml:space="preserve">May </w:t>
      </w:r>
      <w:r w:rsidR="00D926DE">
        <w:rPr>
          <w:rFonts w:ascii="Arial" w:eastAsia="Arial" w:hAnsi="Arial"/>
        </w:rPr>
        <w:t xml:space="preserve">2028 and future dates? </w:t>
      </w:r>
    </w:p>
    <w:p w14:paraId="248397E4" w14:textId="4A0A8C12" w:rsidR="003F4FD9" w:rsidRDefault="003F4FD9" w:rsidP="00C11FF6">
      <w:pPr>
        <w:pStyle w:val="ListParagraph"/>
        <w:numPr>
          <w:ilvl w:val="0"/>
          <w:numId w:val="39"/>
        </w:numPr>
        <w:rPr>
          <w:rFonts w:ascii="Arial" w:eastAsia="Arial" w:hAnsi="Arial"/>
        </w:rPr>
      </w:pPr>
      <w:r>
        <w:rPr>
          <w:rFonts w:ascii="Arial" w:eastAsia="Arial" w:hAnsi="Arial"/>
        </w:rPr>
        <w:lastRenderedPageBreak/>
        <w:t>How does understanding about energy content among consumers change</w:t>
      </w:r>
      <w:r w:rsidR="007D1A00">
        <w:rPr>
          <w:rFonts w:ascii="Arial" w:eastAsia="Arial" w:hAnsi="Arial"/>
        </w:rPr>
        <w:t xml:space="preserve"> after </w:t>
      </w:r>
      <w:r w:rsidR="005F38AB">
        <w:rPr>
          <w:rFonts w:ascii="Arial" w:eastAsia="Arial" w:hAnsi="Arial"/>
        </w:rPr>
        <w:t xml:space="preserve">May </w:t>
      </w:r>
      <w:r w:rsidR="007D1A00">
        <w:rPr>
          <w:rFonts w:ascii="Arial" w:eastAsia="Arial" w:hAnsi="Arial"/>
        </w:rPr>
        <w:t xml:space="preserve">2028 compared to near the start of the </w:t>
      </w:r>
      <w:r w:rsidR="007C2D15">
        <w:rPr>
          <w:rFonts w:ascii="Arial" w:eastAsia="Arial" w:hAnsi="Arial"/>
        </w:rPr>
        <w:t xml:space="preserve">three-year </w:t>
      </w:r>
      <w:r w:rsidR="007D1A00">
        <w:rPr>
          <w:rFonts w:ascii="Arial" w:eastAsia="Arial" w:hAnsi="Arial"/>
        </w:rPr>
        <w:t>transition</w:t>
      </w:r>
      <w:r w:rsidR="00C87167">
        <w:rPr>
          <w:rFonts w:ascii="Arial" w:eastAsia="Arial" w:hAnsi="Arial"/>
        </w:rPr>
        <w:t xml:space="preserve"> (</w:t>
      </w:r>
      <w:r w:rsidR="005F38AB">
        <w:rPr>
          <w:rFonts w:ascii="Arial" w:eastAsia="Arial" w:hAnsi="Arial"/>
        </w:rPr>
        <w:t xml:space="preserve">May </w:t>
      </w:r>
      <w:r w:rsidR="00C87167">
        <w:rPr>
          <w:rFonts w:ascii="Arial" w:eastAsia="Arial" w:hAnsi="Arial"/>
        </w:rPr>
        <w:t>2025)</w:t>
      </w:r>
      <w:r w:rsidR="007C2D15">
        <w:rPr>
          <w:rFonts w:ascii="Arial" w:eastAsia="Arial" w:hAnsi="Arial"/>
        </w:rPr>
        <w:t xml:space="preserve"> for new labelling requirements</w:t>
      </w:r>
      <w:r w:rsidR="007D1A00">
        <w:rPr>
          <w:rFonts w:ascii="Arial" w:eastAsia="Arial" w:hAnsi="Arial"/>
        </w:rPr>
        <w:t>?</w:t>
      </w:r>
    </w:p>
    <w:p w14:paraId="51FBC72A" w14:textId="77777777" w:rsidR="00A4632D" w:rsidRDefault="00A4632D" w:rsidP="00A4632D">
      <w:pPr>
        <w:pStyle w:val="ListParagraph"/>
        <w:ind w:left="784"/>
        <w:rPr>
          <w:rFonts w:ascii="Arial" w:eastAsia="Arial" w:hAnsi="Arial"/>
        </w:rPr>
      </w:pPr>
    </w:p>
    <w:p w14:paraId="51A3D08D" w14:textId="256A42AA" w:rsidR="00CF06C3" w:rsidRDefault="00CF06C3" w:rsidP="007C2D15">
      <w:pPr>
        <w:rPr>
          <w:rFonts w:ascii="Arial" w:eastAsia="Arial" w:hAnsi="Arial"/>
        </w:rPr>
      </w:pPr>
      <w:r>
        <w:rPr>
          <w:rFonts w:ascii="Arial" w:eastAsia="Arial" w:hAnsi="Arial"/>
        </w:rPr>
        <w:t xml:space="preserve">The following </w:t>
      </w:r>
      <w:r w:rsidR="00D95923">
        <w:rPr>
          <w:rFonts w:ascii="Arial" w:eastAsia="Arial" w:hAnsi="Arial"/>
        </w:rPr>
        <w:t xml:space="preserve">data and activities </w:t>
      </w:r>
      <w:r>
        <w:rPr>
          <w:rFonts w:ascii="Arial" w:eastAsia="Arial" w:hAnsi="Arial"/>
        </w:rPr>
        <w:t>could help answer the above evaluation questions:</w:t>
      </w:r>
    </w:p>
    <w:p w14:paraId="41EB6CBB" w14:textId="06422626" w:rsidR="00B41DB0" w:rsidRDefault="009E2DB0" w:rsidP="00CF06C3">
      <w:pPr>
        <w:pStyle w:val="ListParagraph"/>
        <w:numPr>
          <w:ilvl w:val="0"/>
          <w:numId w:val="40"/>
        </w:numPr>
        <w:rPr>
          <w:rFonts w:ascii="Arial" w:eastAsia="Arial" w:hAnsi="Arial"/>
        </w:rPr>
      </w:pPr>
      <w:r>
        <w:rPr>
          <w:rFonts w:ascii="Arial" w:eastAsia="Arial" w:hAnsi="Arial"/>
        </w:rPr>
        <w:t>d</w:t>
      </w:r>
      <w:r w:rsidR="007C2D15" w:rsidRPr="00CF06C3">
        <w:rPr>
          <w:rFonts w:ascii="Arial" w:eastAsia="Arial" w:hAnsi="Arial"/>
        </w:rPr>
        <w:t xml:space="preserve">ata on rates of non-compliance with </w:t>
      </w:r>
      <w:r w:rsidR="00CF06C3" w:rsidRPr="00CF06C3">
        <w:rPr>
          <w:rFonts w:ascii="Arial" w:eastAsia="Arial" w:hAnsi="Arial"/>
        </w:rPr>
        <w:t>labelling requirements and observations</w:t>
      </w:r>
      <w:r w:rsidR="00B41DB0">
        <w:rPr>
          <w:rFonts w:ascii="Arial" w:eastAsia="Arial" w:hAnsi="Arial"/>
        </w:rPr>
        <w:t xml:space="preserve"> by EHOs</w:t>
      </w:r>
    </w:p>
    <w:p w14:paraId="38F53FA6" w14:textId="1CF07638" w:rsidR="00400FE4" w:rsidRDefault="009E2DB0" w:rsidP="00CF06C3">
      <w:pPr>
        <w:pStyle w:val="ListParagraph"/>
        <w:numPr>
          <w:ilvl w:val="0"/>
          <w:numId w:val="40"/>
        </w:numPr>
        <w:rPr>
          <w:rFonts w:ascii="Arial" w:eastAsia="Arial" w:hAnsi="Arial"/>
        </w:rPr>
      </w:pPr>
      <w:r>
        <w:rPr>
          <w:rFonts w:ascii="Arial" w:eastAsia="Arial" w:hAnsi="Arial"/>
        </w:rPr>
        <w:t>i</w:t>
      </w:r>
      <w:r w:rsidR="00B41DB0">
        <w:rPr>
          <w:rFonts w:ascii="Arial" w:eastAsia="Arial" w:hAnsi="Arial"/>
        </w:rPr>
        <w:t xml:space="preserve">n-store </w:t>
      </w:r>
      <w:r w:rsidR="00D95923">
        <w:rPr>
          <w:rFonts w:ascii="Arial" w:eastAsia="Arial" w:hAnsi="Arial"/>
        </w:rPr>
        <w:t xml:space="preserve">sampling, </w:t>
      </w:r>
      <w:r w:rsidR="00B41DB0">
        <w:rPr>
          <w:rFonts w:ascii="Arial" w:eastAsia="Arial" w:hAnsi="Arial"/>
        </w:rPr>
        <w:t xml:space="preserve">data collection </w:t>
      </w:r>
      <w:r w:rsidR="00C87167">
        <w:rPr>
          <w:rFonts w:ascii="Arial" w:eastAsia="Arial" w:hAnsi="Arial"/>
        </w:rPr>
        <w:t>and an</w:t>
      </w:r>
      <w:r w:rsidR="00D95923">
        <w:rPr>
          <w:rFonts w:ascii="Arial" w:eastAsia="Arial" w:hAnsi="Arial"/>
        </w:rPr>
        <w:t xml:space="preserve">alysis </w:t>
      </w:r>
      <w:r w:rsidR="002C05C6">
        <w:rPr>
          <w:rFonts w:ascii="Arial" w:eastAsia="Arial" w:hAnsi="Arial"/>
        </w:rPr>
        <w:t xml:space="preserve">of the proportions of alcoholic beverages that do or do not incorporate energy </w:t>
      </w:r>
      <w:r w:rsidR="00400FE4">
        <w:rPr>
          <w:rFonts w:ascii="Arial" w:eastAsia="Arial" w:hAnsi="Arial"/>
        </w:rPr>
        <w:t>statements</w:t>
      </w:r>
      <w:r w:rsidR="00D95EC4">
        <w:rPr>
          <w:rFonts w:ascii="Arial" w:eastAsia="Arial" w:hAnsi="Arial"/>
        </w:rPr>
        <w:t xml:space="preserve"> or compliant NIPs</w:t>
      </w:r>
    </w:p>
    <w:p w14:paraId="1020D72D" w14:textId="70129BA8" w:rsidR="00932050" w:rsidRDefault="009E2DB0" w:rsidP="00CF06C3">
      <w:pPr>
        <w:pStyle w:val="ListParagraph"/>
        <w:numPr>
          <w:ilvl w:val="0"/>
          <w:numId w:val="40"/>
        </w:numPr>
        <w:rPr>
          <w:rFonts w:ascii="Arial" w:eastAsia="Arial" w:hAnsi="Arial"/>
        </w:rPr>
      </w:pPr>
      <w:r>
        <w:rPr>
          <w:rFonts w:ascii="Arial" w:eastAsia="Arial" w:hAnsi="Arial"/>
        </w:rPr>
        <w:t>s</w:t>
      </w:r>
      <w:r w:rsidR="00400FE4">
        <w:rPr>
          <w:rFonts w:ascii="Arial" w:eastAsia="Arial" w:hAnsi="Arial"/>
        </w:rPr>
        <w:t xml:space="preserve">urveys of </w:t>
      </w:r>
      <w:r w:rsidR="00D95923">
        <w:rPr>
          <w:rFonts w:ascii="Arial" w:eastAsia="Arial" w:hAnsi="Arial"/>
        </w:rPr>
        <w:t>the extent that consumers understand</w:t>
      </w:r>
      <w:r w:rsidR="00400FE4">
        <w:rPr>
          <w:rFonts w:ascii="Arial" w:eastAsia="Arial" w:hAnsi="Arial"/>
        </w:rPr>
        <w:t xml:space="preserve"> </w:t>
      </w:r>
      <w:r w:rsidR="00DB3145">
        <w:rPr>
          <w:rFonts w:ascii="Arial" w:eastAsia="Arial" w:hAnsi="Arial"/>
        </w:rPr>
        <w:t xml:space="preserve">how </w:t>
      </w:r>
      <w:r w:rsidR="00400FE4">
        <w:rPr>
          <w:rFonts w:ascii="Arial" w:eastAsia="Arial" w:hAnsi="Arial"/>
        </w:rPr>
        <w:t>energy</w:t>
      </w:r>
      <w:r w:rsidR="00DB3145">
        <w:rPr>
          <w:rFonts w:ascii="Arial" w:eastAsia="Arial" w:hAnsi="Arial"/>
        </w:rPr>
        <w:t xml:space="preserve"> consumption relates to alcoholic beverages, where to look for an energy statement and how to use it</w:t>
      </w:r>
    </w:p>
    <w:p w14:paraId="25E282C4" w14:textId="7001E647" w:rsidR="002C5DA7" w:rsidRDefault="009E2DB0" w:rsidP="00CF06C3">
      <w:pPr>
        <w:pStyle w:val="ListParagraph"/>
        <w:numPr>
          <w:ilvl w:val="0"/>
          <w:numId w:val="40"/>
        </w:numPr>
        <w:rPr>
          <w:rFonts w:ascii="Arial" w:eastAsia="Arial" w:hAnsi="Arial"/>
        </w:rPr>
      </w:pPr>
      <w:r>
        <w:rPr>
          <w:rFonts w:ascii="Arial" w:eastAsia="Arial" w:hAnsi="Arial"/>
        </w:rPr>
        <w:t>s</w:t>
      </w:r>
      <w:r w:rsidR="002C5DA7">
        <w:rPr>
          <w:rFonts w:ascii="Arial" w:eastAsia="Arial" w:hAnsi="Arial"/>
        </w:rPr>
        <w:t xml:space="preserve">urveys or feedback on practical barriers and costs to alcoholic beverage producers and jurisdictions </w:t>
      </w:r>
      <w:r w:rsidR="00DB3CCF">
        <w:rPr>
          <w:rFonts w:ascii="Arial" w:eastAsia="Arial" w:hAnsi="Arial"/>
        </w:rPr>
        <w:t xml:space="preserve">of </w:t>
      </w:r>
      <w:r w:rsidR="002C5DA7">
        <w:rPr>
          <w:rFonts w:ascii="Arial" w:eastAsia="Arial" w:hAnsi="Arial"/>
        </w:rPr>
        <w:t xml:space="preserve">complying with and implementing </w:t>
      </w:r>
      <w:r w:rsidR="00D66B89">
        <w:rPr>
          <w:rFonts w:ascii="Arial" w:eastAsia="Arial" w:hAnsi="Arial"/>
        </w:rPr>
        <w:t>new requirements</w:t>
      </w:r>
    </w:p>
    <w:p w14:paraId="5292DE0A" w14:textId="61F57A4B" w:rsidR="006768C8" w:rsidRDefault="009E2DB0" w:rsidP="00D54C9A">
      <w:pPr>
        <w:pStyle w:val="ListParagraph"/>
        <w:numPr>
          <w:ilvl w:val="0"/>
          <w:numId w:val="40"/>
        </w:numPr>
        <w:rPr>
          <w:rFonts w:ascii="Arial" w:eastAsia="Arial" w:hAnsi="Arial"/>
        </w:rPr>
      </w:pPr>
      <w:r>
        <w:rPr>
          <w:rFonts w:ascii="Arial" w:eastAsia="Arial" w:hAnsi="Arial"/>
        </w:rPr>
        <w:t>o</w:t>
      </w:r>
      <w:r w:rsidR="00932050">
        <w:rPr>
          <w:rFonts w:ascii="Arial" w:eastAsia="Arial" w:hAnsi="Arial"/>
        </w:rPr>
        <w:t xml:space="preserve">ngoing consultation with </w:t>
      </w:r>
      <w:r w:rsidR="001A1920">
        <w:rPr>
          <w:rFonts w:ascii="Arial" w:eastAsia="Arial" w:hAnsi="Arial"/>
        </w:rPr>
        <w:t xml:space="preserve">the public health, jurisdictions, consumer groups, and industry stakeholders already included in </w:t>
      </w:r>
      <w:r w:rsidR="00FF3A48">
        <w:rPr>
          <w:rFonts w:ascii="Arial" w:eastAsia="Arial" w:hAnsi="Arial"/>
        </w:rPr>
        <w:t>targeted consultations to-date.</w:t>
      </w:r>
      <w:r w:rsidR="00DB3145">
        <w:rPr>
          <w:rFonts w:ascii="Arial" w:eastAsia="Arial" w:hAnsi="Arial"/>
        </w:rPr>
        <w:t xml:space="preserve"> </w:t>
      </w:r>
      <w:r w:rsidR="00CF06C3" w:rsidRPr="00CF06C3">
        <w:rPr>
          <w:rFonts w:ascii="Arial" w:eastAsia="Arial" w:hAnsi="Arial"/>
        </w:rPr>
        <w:t xml:space="preserve"> </w:t>
      </w:r>
    </w:p>
    <w:p w14:paraId="7BB61BFA" w14:textId="77777777" w:rsidR="000D7E7D" w:rsidRPr="000D7E7D" w:rsidRDefault="000D7E7D" w:rsidP="000D7E7D">
      <w:pPr>
        <w:pStyle w:val="ListParagraph"/>
        <w:rPr>
          <w:rFonts w:ascii="Arial" w:eastAsia="Arial" w:hAnsi="Arial"/>
        </w:rPr>
      </w:pPr>
    </w:p>
    <w:p w14:paraId="241D374A" w14:textId="49ABD650" w:rsidR="00D36C18" w:rsidRPr="00D36C18" w:rsidRDefault="00065CA6" w:rsidP="6A15B411">
      <w:pPr>
        <w:rPr>
          <w:rFonts w:ascii="Arial" w:eastAsia="Arial" w:hAnsi="Arial"/>
        </w:rPr>
      </w:pPr>
      <w:r w:rsidRPr="6A15B411">
        <w:rPr>
          <w:rFonts w:ascii="Arial" w:eastAsia="Arial" w:hAnsi="Arial"/>
        </w:rPr>
        <w:t xml:space="preserve">However, as stated, responsibility for the evaluation of this regulatory change </w:t>
      </w:r>
      <w:r w:rsidR="00D36C18" w:rsidRPr="6A15B411">
        <w:rPr>
          <w:rFonts w:ascii="Arial" w:eastAsia="Arial" w:hAnsi="Arial"/>
        </w:rPr>
        <w:t xml:space="preserve">primarily </w:t>
      </w:r>
      <w:r w:rsidRPr="6A15B411">
        <w:rPr>
          <w:rFonts w:ascii="Arial" w:eastAsia="Arial" w:hAnsi="Arial"/>
        </w:rPr>
        <w:t>lie</w:t>
      </w:r>
      <w:r w:rsidR="00D36C18" w:rsidRPr="6A15B411">
        <w:rPr>
          <w:rFonts w:ascii="Arial" w:eastAsia="Arial" w:hAnsi="Arial"/>
        </w:rPr>
        <w:t>s</w:t>
      </w:r>
      <w:r w:rsidRPr="6A15B411">
        <w:rPr>
          <w:rFonts w:ascii="Arial" w:eastAsia="Arial" w:hAnsi="Arial"/>
        </w:rPr>
        <w:t xml:space="preserve"> with </w:t>
      </w:r>
      <w:r w:rsidR="00D36C18" w:rsidRPr="6A15B411">
        <w:rPr>
          <w:rFonts w:ascii="Arial" w:eastAsia="Arial" w:hAnsi="Arial" w:cs="Arial"/>
        </w:rPr>
        <w:t>jurisdictional governments that have adopted the Code</w:t>
      </w:r>
      <w:r w:rsidR="00D36C18" w:rsidRPr="6A15B411">
        <w:rPr>
          <w:rFonts w:ascii="Arial" w:eastAsia="Arial" w:hAnsi="Arial"/>
        </w:rPr>
        <w:t>.</w:t>
      </w:r>
      <w:r w:rsidR="00D36C18" w:rsidRPr="6A15B411">
        <w:t xml:space="preserve"> </w:t>
      </w:r>
      <w:r w:rsidR="00D36C18" w:rsidRPr="6A15B411">
        <w:rPr>
          <w:rFonts w:ascii="Arial" w:eastAsia="Arial" w:hAnsi="Arial"/>
        </w:rPr>
        <w:t>FSANZ as part of the food regulatory system may contribute to monitoring activities.</w:t>
      </w:r>
    </w:p>
    <w:p w14:paraId="226BD434" w14:textId="251CC989" w:rsidR="005336BC" w:rsidRDefault="00EC7EF4" w:rsidP="00D54C9A">
      <w:pPr>
        <w:rPr>
          <w:rFonts w:ascii="Arial" w:eastAsia="Arial" w:hAnsi="Arial"/>
        </w:rPr>
      </w:pPr>
      <w:r>
        <w:rPr>
          <w:rFonts w:ascii="Arial" w:eastAsia="Arial" w:hAnsi="Arial"/>
        </w:rPr>
        <w:br w:type="page"/>
      </w:r>
    </w:p>
    <w:p w14:paraId="26FFB5A4" w14:textId="522042C8" w:rsidR="00563D45" w:rsidRPr="00563D45" w:rsidRDefault="00563D45" w:rsidP="00B47679">
      <w:pPr>
        <w:pStyle w:val="Heading2"/>
        <w:ind w:left="0" w:firstLine="0"/>
        <w:rPr>
          <w:rFonts w:eastAsia="Arial"/>
        </w:rPr>
      </w:pPr>
      <w:bookmarkStart w:id="50" w:name="_Toc194476000"/>
      <w:r>
        <w:lastRenderedPageBreak/>
        <w:t xml:space="preserve">Appendix A: Further details on </w:t>
      </w:r>
      <w:r w:rsidR="00B50487">
        <w:t>c</w:t>
      </w:r>
      <w:r w:rsidR="0009219D">
        <w:t>osts of l</w:t>
      </w:r>
      <w:r>
        <w:t xml:space="preserve">abel </w:t>
      </w:r>
      <w:r w:rsidR="0009219D">
        <w:t>c</w:t>
      </w:r>
      <w:r>
        <w:t>hange</w:t>
      </w:r>
      <w:r w:rsidR="0009219D">
        <w:t>s, overweight and obesity</w:t>
      </w:r>
      <w:bookmarkEnd w:id="50"/>
    </w:p>
    <w:p w14:paraId="5F0EC9EA" w14:textId="54D6C3BF" w:rsidR="00DD6EF3" w:rsidRDefault="00A2751A" w:rsidP="00B3755B">
      <w:pPr>
        <w:rPr>
          <w:rFonts w:ascii="Arial" w:hAnsi="Arial" w:cs="Arial"/>
          <w:b/>
          <w:bCs/>
          <w:lang w:val="en-AU"/>
        </w:rPr>
      </w:pPr>
      <w:r>
        <w:rPr>
          <w:rFonts w:ascii="Arial" w:hAnsi="Arial" w:cs="Arial"/>
          <w:lang w:val="en-AU"/>
        </w:rPr>
        <w:t>*</w:t>
      </w:r>
      <w:r w:rsidR="000D0A3F">
        <w:rPr>
          <w:rFonts w:ascii="Arial" w:hAnsi="Arial" w:cs="Arial"/>
          <w:lang w:val="en-AU"/>
        </w:rPr>
        <w:t>*</w:t>
      </w:r>
      <w:r w:rsidR="00DD6EF3">
        <w:rPr>
          <w:rFonts w:ascii="Arial" w:hAnsi="Arial" w:cs="Arial"/>
          <w:lang w:val="en-AU"/>
        </w:rPr>
        <w:t xml:space="preserve">Some costs and benefits estimates may not seem exact whole numbers </w:t>
      </w:r>
      <w:r>
        <w:rPr>
          <w:rFonts w:ascii="Arial" w:hAnsi="Arial" w:cs="Arial"/>
          <w:lang w:val="en-AU"/>
        </w:rPr>
        <w:t xml:space="preserve">when added or multiplied. That is </w:t>
      </w:r>
      <w:r w:rsidR="00DD6EF3">
        <w:rPr>
          <w:rFonts w:ascii="Arial" w:hAnsi="Arial" w:cs="Arial"/>
          <w:lang w:val="en-AU"/>
        </w:rPr>
        <w:t>due to calculations involving decimal places (fractions of a percent or dollar) and then rounding.</w:t>
      </w:r>
    </w:p>
    <w:p w14:paraId="01F42199" w14:textId="6748631A" w:rsidR="00744796" w:rsidRPr="00B3755B" w:rsidRDefault="00744796" w:rsidP="00B3755B">
      <w:pPr>
        <w:rPr>
          <w:rFonts w:ascii="Arial" w:hAnsi="Arial" w:cs="Arial"/>
          <w:b/>
          <w:bCs/>
          <w:lang w:val="en-AU"/>
        </w:rPr>
      </w:pPr>
      <w:r w:rsidRPr="00B3755B">
        <w:rPr>
          <w:rFonts w:ascii="Arial" w:hAnsi="Arial" w:cs="Arial"/>
          <w:b/>
          <w:bCs/>
          <w:lang w:val="en-AU"/>
        </w:rPr>
        <w:t xml:space="preserve">Label Change Cost Model </w:t>
      </w:r>
    </w:p>
    <w:p w14:paraId="455C520C" w14:textId="31ABED7C" w:rsidR="0062565D" w:rsidRDefault="00EB1AF1" w:rsidP="00BD15EB">
      <w:pPr>
        <w:spacing w:after="0"/>
        <w:rPr>
          <w:rFonts w:ascii="Arial" w:hAnsi="Arial" w:cs="Arial"/>
          <w:lang w:val="en-AU"/>
        </w:rPr>
      </w:pPr>
      <w:r>
        <w:rPr>
          <w:rFonts w:ascii="Arial" w:hAnsi="Arial" w:cs="Arial"/>
          <w:lang w:val="en-AU"/>
        </w:rPr>
        <w:t>One-off l</w:t>
      </w:r>
      <w:r w:rsidR="00744796" w:rsidRPr="00744796">
        <w:rPr>
          <w:rFonts w:ascii="Arial" w:hAnsi="Arial" w:cs="Arial"/>
          <w:lang w:val="en-AU"/>
        </w:rPr>
        <w:t xml:space="preserve">abel change costs are based on </w:t>
      </w:r>
      <w:r w:rsidR="00744796">
        <w:rPr>
          <w:rFonts w:ascii="Arial" w:hAnsi="Arial" w:cs="Arial"/>
          <w:lang w:val="en-AU"/>
        </w:rPr>
        <w:t xml:space="preserve">a </w:t>
      </w:r>
      <w:r w:rsidR="00657784">
        <w:rPr>
          <w:rFonts w:ascii="Arial" w:hAnsi="Arial" w:cs="Arial"/>
          <w:lang w:val="en-AU"/>
        </w:rPr>
        <w:t xml:space="preserve">survey and </w:t>
      </w:r>
      <w:r w:rsidR="00744796">
        <w:rPr>
          <w:rFonts w:ascii="Arial" w:hAnsi="Arial" w:cs="Arial"/>
          <w:lang w:val="en-AU"/>
        </w:rPr>
        <w:t xml:space="preserve">cost model delivered to FSANZ by an independent </w:t>
      </w:r>
      <w:r w:rsidR="00744796" w:rsidRPr="00A37162">
        <w:rPr>
          <w:rFonts w:ascii="Arial" w:hAnsi="Arial" w:cs="Arial"/>
          <w:lang w:val="en-AU"/>
        </w:rPr>
        <w:t>contract</w:t>
      </w:r>
      <w:r w:rsidR="00744796">
        <w:rPr>
          <w:rFonts w:ascii="Arial" w:hAnsi="Arial" w:cs="Arial"/>
          <w:lang w:val="en-AU"/>
        </w:rPr>
        <w:t>or</w:t>
      </w:r>
      <w:r w:rsidR="00744796" w:rsidRPr="00A37162">
        <w:rPr>
          <w:rFonts w:ascii="Arial" w:hAnsi="Arial" w:cs="Arial"/>
          <w:lang w:val="en-AU"/>
        </w:rPr>
        <w:t xml:space="preserve"> MarsdenJacob Associates</w:t>
      </w:r>
      <w:r w:rsidR="00744796">
        <w:rPr>
          <w:rFonts w:ascii="Arial" w:hAnsi="Arial" w:cs="Arial"/>
          <w:lang w:val="en-AU"/>
        </w:rPr>
        <w:t xml:space="preserve"> (Marsden Jacob)</w:t>
      </w:r>
      <w:r w:rsidR="00210A44">
        <w:rPr>
          <w:rFonts w:ascii="Arial" w:hAnsi="Arial" w:cs="Arial"/>
          <w:lang w:val="en-AU"/>
        </w:rPr>
        <w:t xml:space="preserve"> in 2021</w:t>
      </w:r>
      <w:r w:rsidR="00744796">
        <w:rPr>
          <w:rFonts w:ascii="Arial" w:hAnsi="Arial" w:cs="Arial"/>
          <w:lang w:val="en-AU"/>
        </w:rPr>
        <w:t xml:space="preserve">. </w:t>
      </w:r>
      <w:r w:rsidR="0062565D">
        <w:rPr>
          <w:rFonts w:ascii="Arial" w:hAnsi="Arial" w:cs="Arial"/>
          <w:lang w:val="en-AU"/>
        </w:rPr>
        <w:t xml:space="preserve">Using structured interviews, </w:t>
      </w:r>
      <w:r w:rsidR="00744796">
        <w:rPr>
          <w:rFonts w:ascii="Arial" w:hAnsi="Arial" w:cs="Arial"/>
          <w:lang w:val="en-AU"/>
        </w:rPr>
        <w:t xml:space="preserve">Marsden Jacob </w:t>
      </w:r>
      <w:r w:rsidR="00744796" w:rsidRPr="00A37162">
        <w:rPr>
          <w:rFonts w:ascii="Arial" w:hAnsi="Arial" w:cs="Arial"/>
          <w:lang w:val="en-AU"/>
        </w:rPr>
        <w:t>survey</w:t>
      </w:r>
      <w:r w:rsidR="00744796">
        <w:rPr>
          <w:rFonts w:ascii="Arial" w:hAnsi="Arial" w:cs="Arial"/>
          <w:lang w:val="en-AU"/>
        </w:rPr>
        <w:t>ed alcoholic beverage</w:t>
      </w:r>
      <w:r w:rsidR="00744796" w:rsidRPr="00A37162">
        <w:rPr>
          <w:rFonts w:ascii="Arial" w:hAnsi="Arial" w:cs="Arial"/>
          <w:lang w:val="en-AU"/>
        </w:rPr>
        <w:t xml:space="preserve"> </w:t>
      </w:r>
      <w:r w:rsidR="00744796">
        <w:rPr>
          <w:rFonts w:ascii="Arial" w:hAnsi="Arial" w:cs="Arial"/>
          <w:lang w:val="en-AU"/>
        </w:rPr>
        <w:t xml:space="preserve">producers </w:t>
      </w:r>
      <w:r w:rsidR="00744796" w:rsidRPr="00A37162">
        <w:rPr>
          <w:rFonts w:ascii="Arial" w:hAnsi="Arial" w:cs="Arial"/>
          <w:lang w:val="en-AU"/>
        </w:rPr>
        <w:t>on the cost</w:t>
      </w:r>
      <w:r w:rsidR="00744796">
        <w:rPr>
          <w:rFonts w:ascii="Arial" w:hAnsi="Arial" w:cs="Arial"/>
          <w:lang w:val="en-AU"/>
        </w:rPr>
        <w:t>s</w:t>
      </w:r>
      <w:r w:rsidR="00744796" w:rsidRPr="00A37162">
        <w:rPr>
          <w:rFonts w:ascii="Arial" w:hAnsi="Arial" w:cs="Arial"/>
          <w:lang w:val="en-AU"/>
        </w:rPr>
        <w:t xml:space="preserve"> of changing labels.</w:t>
      </w:r>
      <w:r w:rsidR="00744796">
        <w:rPr>
          <w:rFonts w:ascii="Arial" w:hAnsi="Arial" w:cs="Arial"/>
          <w:lang w:val="en-AU"/>
        </w:rPr>
        <w:t xml:space="preserve"> </w:t>
      </w:r>
      <w:r w:rsidR="0062565D">
        <w:rPr>
          <w:rFonts w:ascii="Arial" w:hAnsi="Arial" w:cs="Arial"/>
          <w:lang w:val="en-AU"/>
        </w:rPr>
        <w:t>Work on that model</w:t>
      </w:r>
      <w:r w:rsidR="00744796">
        <w:rPr>
          <w:rFonts w:ascii="Arial" w:hAnsi="Arial" w:cs="Arial"/>
          <w:lang w:val="en-AU"/>
        </w:rPr>
        <w:t xml:space="preserve"> included</w:t>
      </w:r>
      <w:r w:rsidR="0062565D">
        <w:rPr>
          <w:rFonts w:ascii="Arial" w:hAnsi="Arial" w:cs="Arial"/>
          <w:lang w:val="en-AU"/>
        </w:rPr>
        <w:t>:</w:t>
      </w:r>
    </w:p>
    <w:p w14:paraId="74AEEFDA" w14:textId="3606B1F3" w:rsidR="0062565D" w:rsidRDefault="00744796" w:rsidP="00CE3140">
      <w:pPr>
        <w:pStyle w:val="ListParagraph"/>
        <w:numPr>
          <w:ilvl w:val="0"/>
          <w:numId w:val="13"/>
        </w:numPr>
        <w:rPr>
          <w:rFonts w:ascii="Arial" w:hAnsi="Arial" w:cs="Arial"/>
          <w:lang w:val="en-AU"/>
        </w:rPr>
      </w:pPr>
      <w:r w:rsidRPr="0062565D">
        <w:rPr>
          <w:rFonts w:ascii="Arial" w:hAnsi="Arial" w:cs="Arial"/>
          <w:lang w:val="en-AU"/>
        </w:rPr>
        <w:t>extensive market research of the alcoholic beverages industry and estimating numbers of SKUs</w:t>
      </w:r>
    </w:p>
    <w:p w14:paraId="5087BA25" w14:textId="1762F40F" w:rsidR="00744796" w:rsidRDefault="0062565D" w:rsidP="00CE3140">
      <w:pPr>
        <w:pStyle w:val="ListParagraph"/>
        <w:numPr>
          <w:ilvl w:val="0"/>
          <w:numId w:val="13"/>
        </w:numPr>
        <w:rPr>
          <w:rFonts w:ascii="Arial" w:hAnsi="Arial" w:cs="Arial"/>
          <w:lang w:val="en-AU"/>
        </w:rPr>
      </w:pPr>
      <w:r w:rsidRPr="1A79B7AB">
        <w:rPr>
          <w:rFonts w:ascii="Arial" w:hAnsi="Arial" w:cs="Arial"/>
          <w:lang w:val="en-AU"/>
        </w:rPr>
        <w:t xml:space="preserve">triangulating data against other </w:t>
      </w:r>
      <w:r w:rsidR="00BD15EB" w:rsidRPr="1A79B7AB">
        <w:rPr>
          <w:rFonts w:ascii="Arial" w:hAnsi="Arial" w:cs="Arial"/>
          <w:lang w:val="en-AU"/>
        </w:rPr>
        <w:t>sources to ensure their reasonableness.</w:t>
      </w:r>
      <w:r w:rsidR="00744796" w:rsidRPr="1A79B7AB">
        <w:rPr>
          <w:rFonts w:ascii="Arial" w:hAnsi="Arial" w:cs="Arial"/>
          <w:lang w:val="en-AU"/>
        </w:rPr>
        <w:t xml:space="preserve"> </w:t>
      </w:r>
      <w:r w:rsidR="00BF19EB">
        <w:rPr>
          <w:rFonts w:ascii="Arial" w:hAnsi="Arial" w:cs="Arial"/>
          <w:lang w:val="en-AU"/>
        </w:rPr>
        <w:t>For instance</w:t>
      </w:r>
      <w:r w:rsidR="008B7BBD">
        <w:rPr>
          <w:rFonts w:ascii="Arial" w:hAnsi="Arial" w:cs="Arial"/>
          <w:lang w:val="en-AU"/>
        </w:rPr>
        <w:t>,</w:t>
      </w:r>
      <w:r w:rsidR="00BF19EB">
        <w:rPr>
          <w:rFonts w:ascii="Arial" w:hAnsi="Arial" w:cs="Arial"/>
          <w:lang w:val="en-AU"/>
        </w:rPr>
        <w:t xml:space="preserve"> interviews with printing and design companies, and other </w:t>
      </w:r>
      <w:r w:rsidR="008B7BBD">
        <w:rPr>
          <w:rFonts w:ascii="Arial" w:hAnsi="Arial" w:cs="Arial"/>
          <w:lang w:val="en-AU"/>
        </w:rPr>
        <w:t>publicly available studies on label change costs.</w:t>
      </w:r>
    </w:p>
    <w:p w14:paraId="561F3210" w14:textId="33754145" w:rsidR="00BD15EB" w:rsidRDefault="00BD15EB" w:rsidP="00BD15EB">
      <w:pPr>
        <w:rPr>
          <w:rFonts w:ascii="Arial" w:hAnsi="Arial" w:cs="Arial"/>
          <w:lang w:val="en-AU"/>
        </w:rPr>
      </w:pPr>
      <w:r>
        <w:rPr>
          <w:rFonts w:ascii="Arial" w:hAnsi="Arial" w:cs="Arial"/>
          <w:lang w:val="en-AU"/>
        </w:rPr>
        <w:t>Those cost estimates continue to be updated by producer price inflation</w:t>
      </w:r>
      <w:r w:rsidR="009310F0">
        <w:rPr>
          <w:rFonts w:ascii="Arial" w:hAnsi="Arial" w:cs="Arial"/>
          <w:lang w:val="en-AU"/>
        </w:rPr>
        <w:t xml:space="preserve"> </w:t>
      </w:r>
      <w:r w:rsidR="002569B0">
        <w:rPr>
          <w:rFonts w:ascii="Arial" w:hAnsi="Arial" w:cs="Arial"/>
          <w:lang w:val="en-AU"/>
        </w:rPr>
        <w:t xml:space="preserve">to current prices </w:t>
      </w:r>
      <w:r>
        <w:rPr>
          <w:rFonts w:ascii="Arial" w:hAnsi="Arial" w:cs="Arial"/>
          <w:lang w:val="en-AU"/>
        </w:rPr>
        <w:t>in the live model.</w:t>
      </w:r>
    </w:p>
    <w:p w14:paraId="543AB902" w14:textId="60D7410F" w:rsidR="0062565D" w:rsidRPr="001836F2" w:rsidRDefault="00BD15EB" w:rsidP="00A37162">
      <w:pPr>
        <w:rPr>
          <w:rFonts w:ascii="Arial" w:hAnsi="Arial" w:cs="Arial"/>
          <w:lang w:val="en-AU"/>
        </w:rPr>
      </w:pPr>
      <w:r>
        <w:rPr>
          <w:rFonts w:ascii="Arial" w:hAnsi="Arial" w:cs="Arial"/>
          <w:lang w:val="en-AU"/>
        </w:rPr>
        <w:t>For more information about the Label Change Cost Model, please see the bottom of</w:t>
      </w:r>
      <w:r w:rsidR="00F87EC4">
        <w:rPr>
          <w:rFonts w:ascii="Arial" w:hAnsi="Arial" w:cs="Arial"/>
          <w:lang w:val="en-AU"/>
        </w:rPr>
        <w:t xml:space="preserve"> the</w:t>
      </w:r>
      <w:r>
        <w:rPr>
          <w:rFonts w:ascii="Arial" w:hAnsi="Arial" w:cs="Arial"/>
          <w:lang w:val="en-AU"/>
        </w:rPr>
        <w:t xml:space="preserve"> </w:t>
      </w:r>
      <w:hyperlink r:id="rId21" w:history="1">
        <w:r w:rsidR="00F87EC4" w:rsidRPr="00F87EC4">
          <w:rPr>
            <w:rStyle w:val="Hyperlink"/>
            <w:rFonts w:ascii="Arial" w:hAnsi="Arial" w:cs="Arial"/>
            <w:lang w:val="en-AU"/>
          </w:rPr>
          <w:t>FSANZ webpage on Labelling of alcoholic beverages</w:t>
        </w:r>
      </w:hyperlink>
      <w:r w:rsidR="00F87EC4">
        <w:rPr>
          <w:rFonts w:ascii="Arial" w:hAnsi="Arial" w:cs="Arial"/>
          <w:lang w:val="en-AU"/>
        </w:rPr>
        <w:t>.</w:t>
      </w:r>
    </w:p>
    <w:p w14:paraId="522472AA" w14:textId="715E6C81" w:rsidR="00505363" w:rsidRPr="000828D1" w:rsidRDefault="00505363" w:rsidP="000828D1">
      <w:pPr>
        <w:rPr>
          <w:rFonts w:ascii="Arial" w:eastAsia="Times New Roman" w:hAnsi="Arial" w:cs="Times New Roman"/>
          <w:b/>
          <w:bCs/>
          <w:color w:val="000000" w:themeColor="text1"/>
          <w:szCs w:val="24"/>
          <w:lang w:val="en-GB" w:eastAsia="en-AU"/>
        </w:rPr>
      </w:pPr>
      <w:r w:rsidRPr="000828D1">
        <w:rPr>
          <w:rFonts w:ascii="Arial" w:eastAsia="Times New Roman" w:hAnsi="Arial" w:cs="Times New Roman"/>
          <w:b/>
          <w:bCs/>
          <w:color w:val="000000" w:themeColor="text1"/>
          <w:szCs w:val="24"/>
          <w:lang w:val="en-GB" w:eastAsia="en-AU"/>
        </w:rPr>
        <w:t>Assumed numbers of in-scope packaged alcoholic beverage SKUs</w:t>
      </w:r>
    </w:p>
    <w:p w14:paraId="75B6BDE5" w14:textId="7D4A86F6" w:rsidR="008A598D" w:rsidRPr="00795360" w:rsidRDefault="008A598D" w:rsidP="00D844BB">
      <w:pPr>
        <w:spacing w:after="0"/>
        <w:rPr>
          <w:rFonts w:ascii="Arial" w:eastAsia="Arial" w:hAnsi="Arial" w:cs="Arial"/>
        </w:rPr>
      </w:pPr>
      <w:r w:rsidRPr="00795360">
        <w:rPr>
          <w:rFonts w:ascii="Arial" w:eastAsia="Arial" w:hAnsi="Arial" w:cs="Arial"/>
        </w:rPr>
        <w:t xml:space="preserve">The estimates for 71,269 </w:t>
      </w:r>
      <w:r w:rsidR="005C7831">
        <w:rPr>
          <w:rFonts w:ascii="Arial" w:eastAsia="Arial" w:hAnsi="Arial" w:cs="Arial"/>
        </w:rPr>
        <w:t xml:space="preserve">annual </w:t>
      </w:r>
      <w:r w:rsidRPr="00795360">
        <w:rPr>
          <w:rFonts w:ascii="Arial" w:eastAsia="Arial" w:hAnsi="Arial" w:cs="Arial"/>
        </w:rPr>
        <w:t xml:space="preserve">SKUs and proportions of SKUs that carry </w:t>
      </w:r>
      <w:r w:rsidR="00DB2EF0">
        <w:rPr>
          <w:rFonts w:ascii="Arial" w:eastAsia="Arial" w:hAnsi="Arial" w:cs="Arial"/>
        </w:rPr>
        <w:t>claim</w:t>
      </w:r>
      <w:r w:rsidRPr="00795360">
        <w:rPr>
          <w:rFonts w:ascii="Arial" w:eastAsia="Arial" w:hAnsi="Arial" w:cs="Arial"/>
        </w:rPr>
        <w:t xml:space="preserve">s was made by </w:t>
      </w:r>
      <w:r w:rsidR="00F17FFE">
        <w:rPr>
          <w:rFonts w:ascii="Arial" w:eastAsia="Arial" w:hAnsi="Arial" w:cs="Arial"/>
        </w:rPr>
        <w:t xml:space="preserve">Marsden </w:t>
      </w:r>
      <w:r w:rsidRPr="00795360">
        <w:rPr>
          <w:rFonts w:ascii="Arial" w:eastAsia="Arial" w:hAnsi="Arial" w:cs="Arial"/>
        </w:rPr>
        <w:t>Jacob (while developing the cost model) and FSANZ after:</w:t>
      </w:r>
    </w:p>
    <w:p w14:paraId="7E9FE9AE" w14:textId="77777777" w:rsidR="008A598D" w:rsidRPr="00795360" w:rsidRDefault="008A598D" w:rsidP="00CE3140">
      <w:pPr>
        <w:pStyle w:val="ListParagraph"/>
        <w:numPr>
          <w:ilvl w:val="0"/>
          <w:numId w:val="20"/>
        </w:numPr>
        <w:rPr>
          <w:rFonts w:ascii="Arial" w:eastAsia="Arial" w:hAnsi="Arial" w:cs="Arial"/>
        </w:rPr>
      </w:pPr>
      <w:r w:rsidRPr="00795360">
        <w:rPr>
          <w:rFonts w:ascii="Arial" w:eastAsia="Arial" w:hAnsi="Arial" w:cs="Arial"/>
        </w:rPr>
        <w:t>in-depth research and analysis of the diverse alcohol beverages industry by sales and container units</w:t>
      </w:r>
    </w:p>
    <w:p w14:paraId="57D4C334" w14:textId="5EBA6824" w:rsidR="008A598D" w:rsidRPr="00795360" w:rsidRDefault="008A598D" w:rsidP="00CE3140">
      <w:pPr>
        <w:pStyle w:val="ListParagraph"/>
        <w:numPr>
          <w:ilvl w:val="0"/>
          <w:numId w:val="20"/>
        </w:numPr>
        <w:rPr>
          <w:rFonts w:ascii="Arial" w:eastAsia="Arial" w:hAnsi="Arial" w:cs="Arial"/>
        </w:rPr>
      </w:pPr>
      <w:r w:rsidRPr="00795360">
        <w:rPr>
          <w:rFonts w:ascii="Arial" w:eastAsia="Arial" w:hAnsi="Arial" w:cs="Arial"/>
        </w:rPr>
        <w:t>extrapolating the numbers of SKUs from packaged alcoholic beverage producers that Marsden</w:t>
      </w:r>
      <w:r w:rsidR="00D844BB">
        <w:rPr>
          <w:rFonts w:ascii="Arial" w:eastAsia="Arial" w:hAnsi="Arial" w:cs="Arial"/>
        </w:rPr>
        <w:t xml:space="preserve"> </w:t>
      </w:r>
      <w:r w:rsidRPr="00795360">
        <w:rPr>
          <w:rFonts w:ascii="Arial" w:eastAsia="Arial" w:hAnsi="Arial" w:cs="Arial"/>
        </w:rPr>
        <w:t>Jacob surveyed to the whole market</w:t>
      </w:r>
    </w:p>
    <w:p w14:paraId="185179A2" w14:textId="77777777" w:rsidR="008A598D" w:rsidRPr="00795360" w:rsidRDefault="008A598D" w:rsidP="00CE3140">
      <w:pPr>
        <w:pStyle w:val="ListParagraph"/>
        <w:numPr>
          <w:ilvl w:val="0"/>
          <w:numId w:val="20"/>
        </w:numPr>
        <w:rPr>
          <w:rFonts w:ascii="Arial" w:eastAsia="Arial" w:hAnsi="Arial" w:cs="Arial"/>
        </w:rPr>
      </w:pPr>
      <w:r w:rsidRPr="00795360">
        <w:rPr>
          <w:rFonts w:ascii="Arial" w:eastAsia="Arial" w:hAnsi="Arial" w:cs="Arial"/>
        </w:rPr>
        <w:t>considering other independent estimates of SKU numbers</w:t>
      </w:r>
    </w:p>
    <w:p w14:paraId="08B40A3B" w14:textId="2F09AC92" w:rsidR="008A598D" w:rsidRPr="00795360" w:rsidRDefault="008A598D" w:rsidP="00CE3140">
      <w:pPr>
        <w:pStyle w:val="ListParagraph"/>
        <w:numPr>
          <w:ilvl w:val="0"/>
          <w:numId w:val="20"/>
        </w:numPr>
        <w:rPr>
          <w:rFonts w:ascii="Arial" w:eastAsia="Arial" w:hAnsi="Arial" w:cs="Arial"/>
        </w:rPr>
      </w:pPr>
      <w:r w:rsidRPr="00795360">
        <w:rPr>
          <w:rFonts w:ascii="Arial" w:eastAsia="Arial" w:hAnsi="Arial" w:cs="Arial"/>
        </w:rPr>
        <w:t xml:space="preserve">considering independent sources for estimating prevalence of </w:t>
      </w:r>
      <w:r w:rsidR="00DB2EF0">
        <w:rPr>
          <w:rFonts w:ascii="Arial" w:eastAsia="Arial" w:hAnsi="Arial" w:cs="Arial"/>
        </w:rPr>
        <w:t>claim</w:t>
      </w:r>
      <w:r w:rsidRPr="00795360">
        <w:rPr>
          <w:rFonts w:ascii="Arial" w:eastAsia="Arial" w:hAnsi="Arial" w:cs="Arial"/>
        </w:rPr>
        <w:t xml:space="preserve">s and weighting average prevalences from those sources across the complete composition of alcoholic beverage SKU types (including but not limited to beers, ciders, wines, </w:t>
      </w:r>
      <w:r w:rsidR="003C0F19">
        <w:rPr>
          <w:rFonts w:ascii="Arial" w:eastAsia="Arial" w:hAnsi="Arial" w:cs="Arial"/>
        </w:rPr>
        <w:t xml:space="preserve">and </w:t>
      </w:r>
      <w:r w:rsidRPr="00795360">
        <w:rPr>
          <w:rFonts w:ascii="Arial" w:eastAsia="Arial" w:hAnsi="Arial" w:cs="Arial"/>
        </w:rPr>
        <w:t>spirits) in the Australia New Zealand markets.</w:t>
      </w:r>
    </w:p>
    <w:p w14:paraId="7DF92CC2" w14:textId="77777777" w:rsidR="008A598D" w:rsidRPr="00795360" w:rsidRDefault="008A598D" w:rsidP="008A598D">
      <w:pPr>
        <w:pStyle w:val="ListParagraph"/>
        <w:ind w:left="782"/>
        <w:rPr>
          <w:rFonts w:ascii="Arial" w:eastAsia="Arial" w:hAnsi="Arial" w:cs="Arial"/>
        </w:rPr>
      </w:pPr>
    </w:p>
    <w:p w14:paraId="5B36F893" w14:textId="57285117" w:rsidR="008A598D" w:rsidRPr="00E67789" w:rsidRDefault="008A598D" w:rsidP="008A598D">
      <w:pPr>
        <w:rPr>
          <w:rFonts w:ascii="Arial" w:eastAsia="Arial" w:hAnsi="Arial" w:cs="Arial"/>
        </w:rPr>
      </w:pPr>
      <w:r w:rsidRPr="00795360">
        <w:rPr>
          <w:rFonts w:ascii="Arial" w:eastAsia="Arial" w:hAnsi="Arial" w:cs="Arial"/>
        </w:rPr>
        <w:t xml:space="preserve">The above estimated total SKU numbers 71,269 SKUs are also close to the previously estimated </w:t>
      </w:r>
      <w:r w:rsidRPr="00795360">
        <w:rPr>
          <w:rFonts w:ascii="Arial" w:eastAsia="Arial" w:hAnsi="Arial" w:cs="Arial"/>
          <w:bCs/>
          <w:lang w:val="en-GB"/>
        </w:rPr>
        <w:t>7</w:t>
      </w:r>
      <w:r w:rsidRPr="00795360">
        <w:rPr>
          <w:rFonts w:ascii="Arial" w:eastAsia="Arial" w:hAnsi="Arial" w:cs="Arial"/>
        </w:rPr>
        <w:t>1,223 SKUs in 2020 for a previous FSANZ Proposal P1050 for packaged alcoholic beverages</w:t>
      </w:r>
      <w:r w:rsidR="004B02CA">
        <w:rPr>
          <w:rFonts w:ascii="Arial" w:eastAsia="Arial" w:hAnsi="Arial" w:cs="Arial"/>
        </w:rPr>
        <w:t>:</w:t>
      </w:r>
      <w:hyperlink r:id="rId22" w:history="1">
        <w:r w:rsidR="004B02CA" w:rsidRPr="004B02CA">
          <w:rPr>
            <w:rStyle w:val="Hyperlink"/>
            <w:rFonts w:ascii="Arial" w:eastAsia="Arial" w:hAnsi="Arial" w:cs="Arial"/>
          </w:rPr>
          <w:t xml:space="preserve"> P1050 - Pregnancy warning labels on alcoholic beverages</w:t>
        </w:r>
      </w:hyperlink>
      <w:r w:rsidR="007E0E0B">
        <w:rPr>
          <w:rFonts w:ascii="Arial" w:eastAsia="Arial" w:hAnsi="Arial" w:cs="Arial"/>
        </w:rPr>
        <w:t>.</w:t>
      </w:r>
      <w:r w:rsidR="00E12BBF">
        <w:rPr>
          <w:rFonts w:ascii="Arial" w:eastAsia="Arial" w:hAnsi="Arial" w:cs="Arial"/>
        </w:rPr>
        <w:t xml:space="preserve"> The current</w:t>
      </w:r>
      <w:r w:rsidR="00197434">
        <w:rPr>
          <w:rFonts w:ascii="Arial" w:eastAsia="Arial" w:hAnsi="Arial" w:cs="Arial"/>
        </w:rPr>
        <w:t>ly</w:t>
      </w:r>
      <w:r w:rsidR="00E12BBF">
        <w:rPr>
          <w:rFonts w:ascii="Arial" w:eastAsia="Arial" w:hAnsi="Arial" w:cs="Arial"/>
        </w:rPr>
        <w:t xml:space="preserve"> estimated </w:t>
      </w:r>
      <w:r w:rsidR="00E12BBF" w:rsidRPr="00795360">
        <w:rPr>
          <w:rFonts w:ascii="Arial" w:eastAsia="Arial" w:hAnsi="Arial" w:cs="Arial"/>
        </w:rPr>
        <w:t>71,269 SKUs</w:t>
      </w:r>
      <w:r w:rsidR="00E12BBF">
        <w:rPr>
          <w:rFonts w:ascii="Arial" w:eastAsia="Arial" w:hAnsi="Arial" w:cs="Arial"/>
        </w:rPr>
        <w:t xml:space="preserve"> however,</w:t>
      </w:r>
      <w:r w:rsidR="0055456B">
        <w:rPr>
          <w:rFonts w:ascii="Arial" w:eastAsia="Arial" w:hAnsi="Arial" w:cs="Arial"/>
        </w:rPr>
        <w:t xml:space="preserve"> </w:t>
      </w:r>
      <w:r w:rsidR="00577910" w:rsidRPr="1A79B7AB">
        <w:rPr>
          <w:rFonts w:ascii="Arial" w:eastAsia="Arial" w:hAnsi="Arial" w:cs="Arial"/>
        </w:rPr>
        <w:t>exclude</w:t>
      </w:r>
      <w:r w:rsidR="00577910">
        <w:rPr>
          <w:rFonts w:ascii="Arial" w:eastAsia="Arial" w:hAnsi="Arial" w:cs="Arial"/>
        </w:rPr>
        <w:t>s</w:t>
      </w:r>
      <w:r w:rsidR="00577910" w:rsidRPr="1A79B7AB">
        <w:rPr>
          <w:rFonts w:ascii="Arial" w:eastAsia="Arial" w:hAnsi="Arial" w:cs="Arial"/>
        </w:rPr>
        <w:t xml:space="preserve"> brewed soft drinks SKUs with alcohol &gt;0.5% ABV that would be affected by P1059.</w:t>
      </w:r>
      <w:r w:rsidR="00577910">
        <w:rPr>
          <w:rFonts w:ascii="Arial" w:eastAsia="Arial" w:hAnsi="Arial" w:cs="Arial"/>
        </w:rPr>
        <w:t xml:space="preserve"> It is assumed that the number of such brewed soft drinks is relatively small.</w:t>
      </w:r>
    </w:p>
    <w:p w14:paraId="0424471D" w14:textId="214F7300" w:rsidR="00A07413" w:rsidRDefault="00A07413" w:rsidP="001A1033">
      <w:pPr>
        <w:spacing w:after="0"/>
        <w:rPr>
          <w:rFonts w:ascii="Arial" w:hAnsi="Arial" w:cs="Arial"/>
          <w:lang w:val="en-AU"/>
        </w:rPr>
      </w:pPr>
      <w:r>
        <w:rPr>
          <w:rFonts w:ascii="Arial" w:hAnsi="Arial" w:cs="Arial"/>
          <w:lang w:val="en-AU"/>
        </w:rPr>
        <w:t xml:space="preserve">The above research </w:t>
      </w:r>
      <w:r w:rsidR="00795360">
        <w:rPr>
          <w:rFonts w:ascii="Arial" w:hAnsi="Arial" w:cs="Arial"/>
          <w:lang w:val="en-AU"/>
        </w:rPr>
        <w:t xml:space="preserve">also </w:t>
      </w:r>
      <w:r>
        <w:rPr>
          <w:rFonts w:ascii="Arial" w:hAnsi="Arial" w:cs="Arial"/>
          <w:lang w:val="en-AU"/>
        </w:rPr>
        <w:t>suggests that:</w:t>
      </w:r>
    </w:p>
    <w:p w14:paraId="7CD9F054" w14:textId="4F4EFC9C" w:rsidR="00A07413" w:rsidRDefault="00A07413" w:rsidP="00CE3140">
      <w:pPr>
        <w:pStyle w:val="ListParagraph"/>
        <w:numPr>
          <w:ilvl w:val="0"/>
          <w:numId w:val="14"/>
        </w:numPr>
        <w:rPr>
          <w:rFonts w:ascii="Arial" w:hAnsi="Arial" w:cs="Arial"/>
          <w:lang w:val="en-AU"/>
        </w:rPr>
      </w:pPr>
      <w:r w:rsidRPr="00A07413">
        <w:rPr>
          <w:rFonts w:ascii="Arial" w:hAnsi="Arial" w:cs="Arial"/>
          <w:lang w:val="en-AU"/>
        </w:rPr>
        <w:t>approximately 6%</w:t>
      </w:r>
      <w:r w:rsidR="007543AB">
        <w:rPr>
          <w:rFonts w:ascii="Arial" w:hAnsi="Arial" w:cs="Arial"/>
          <w:lang w:val="en-AU"/>
        </w:rPr>
        <w:t xml:space="preserve"> (to nearest 1%)</w:t>
      </w:r>
      <w:r w:rsidRPr="00A07413">
        <w:rPr>
          <w:rFonts w:ascii="Arial" w:hAnsi="Arial" w:cs="Arial"/>
          <w:lang w:val="en-AU"/>
        </w:rPr>
        <w:t xml:space="preserve"> of the</w:t>
      </w:r>
      <w:r w:rsidR="00EB730A">
        <w:rPr>
          <w:rFonts w:ascii="Arial" w:hAnsi="Arial" w:cs="Arial"/>
          <w:lang w:val="en-AU"/>
        </w:rPr>
        <w:t xml:space="preserve"> total</w:t>
      </w:r>
      <w:r w:rsidRPr="00A07413">
        <w:rPr>
          <w:rFonts w:ascii="Arial" w:hAnsi="Arial" w:cs="Arial"/>
          <w:lang w:val="en-AU"/>
        </w:rPr>
        <w:t xml:space="preserve"> </w:t>
      </w:r>
      <w:r w:rsidR="00007DB2">
        <w:rPr>
          <w:rFonts w:ascii="Arial" w:hAnsi="Arial" w:cs="Arial"/>
          <w:lang w:val="en-AU"/>
        </w:rPr>
        <w:t>71</w:t>
      </w:r>
      <w:r w:rsidRPr="00A07413">
        <w:rPr>
          <w:rFonts w:ascii="Arial" w:hAnsi="Arial" w:cs="Arial"/>
          <w:lang w:val="en-AU"/>
        </w:rPr>
        <w:t>,</w:t>
      </w:r>
      <w:r w:rsidR="00007DB2">
        <w:rPr>
          <w:rFonts w:ascii="Arial" w:hAnsi="Arial" w:cs="Arial"/>
          <w:lang w:val="en-AU"/>
        </w:rPr>
        <w:t>269</w:t>
      </w:r>
      <w:r w:rsidRPr="00A07413">
        <w:rPr>
          <w:rFonts w:ascii="Arial" w:hAnsi="Arial" w:cs="Arial"/>
          <w:lang w:val="en-AU"/>
        </w:rPr>
        <w:t xml:space="preserve"> SKUs contain a NIP on their label because it is triggered by a relevant on-label claim</w:t>
      </w:r>
      <w:r w:rsidR="00987AF2">
        <w:rPr>
          <w:rFonts w:ascii="Arial" w:hAnsi="Arial" w:cs="Arial"/>
          <w:lang w:val="en-AU"/>
        </w:rPr>
        <w:t>. T</w:t>
      </w:r>
      <w:r>
        <w:rPr>
          <w:rFonts w:ascii="Arial" w:hAnsi="Arial" w:cs="Arial"/>
          <w:lang w:val="en-AU"/>
        </w:rPr>
        <w:t xml:space="preserve">hat is </w:t>
      </w:r>
      <w:r w:rsidR="007E533D">
        <w:rPr>
          <w:rFonts w:ascii="Arial" w:hAnsi="Arial" w:cs="Arial"/>
          <w:lang w:val="en-AU"/>
        </w:rPr>
        <w:t xml:space="preserve">an estimate of </w:t>
      </w:r>
      <w:r w:rsidR="007543AB">
        <w:rPr>
          <w:rFonts w:ascii="Arial" w:hAnsi="Arial" w:cs="Arial"/>
          <w:lang w:val="en-AU"/>
        </w:rPr>
        <w:t>4,255</w:t>
      </w:r>
      <w:r w:rsidR="007E533D">
        <w:rPr>
          <w:rFonts w:ascii="Arial" w:hAnsi="Arial" w:cs="Arial"/>
          <w:lang w:val="en-AU"/>
        </w:rPr>
        <w:t xml:space="preserve"> SKUs</w:t>
      </w:r>
    </w:p>
    <w:p w14:paraId="16ED3817" w14:textId="6A6D8DED" w:rsidR="007E533D" w:rsidRDefault="002134C0" w:rsidP="00CE3140">
      <w:pPr>
        <w:pStyle w:val="ListParagraph"/>
        <w:numPr>
          <w:ilvl w:val="0"/>
          <w:numId w:val="14"/>
        </w:numPr>
        <w:rPr>
          <w:rFonts w:ascii="Arial" w:hAnsi="Arial" w:cs="Arial"/>
          <w:lang w:val="en-AU"/>
        </w:rPr>
      </w:pPr>
      <w:r>
        <w:rPr>
          <w:rFonts w:ascii="Arial" w:hAnsi="Arial" w:cs="Arial"/>
          <w:lang w:val="en-AU"/>
        </w:rPr>
        <w:t xml:space="preserve">another </w:t>
      </w:r>
      <w:r w:rsidR="007E533D" w:rsidRPr="00A07413">
        <w:rPr>
          <w:rFonts w:ascii="Arial" w:hAnsi="Arial" w:cs="Arial"/>
          <w:lang w:val="en-AU"/>
        </w:rPr>
        <w:t xml:space="preserve">approximately </w:t>
      </w:r>
      <w:r w:rsidR="007543AB">
        <w:rPr>
          <w:rFonts w:ascii="Arial" w:hAnsi="Arial" w:cs="Arial"/>
          <w:lang w:val="en-AU"/>
        </w:rPr>
        <w:t>2</w:t>
      </w:r>
      <w:r w:rsidR="007E533D" w:rsidRPr="00A07413">
        <w:rPr>
          <w:rFonts w:ascii="Arial" w:hAnsi="Arial" w:cs="Arial"/>
          <w:lang w:val="en-AU"/>
        </w:rPr>
        <w:t xml:space="preserve">% of those </w:t>
      </w:r>
      <w:r w:rsidR="00007DB2">
        <w:rPr>
          <w:rFonts w:ascii="Arial" w:hAnsi="Arial" w:cs="Arial"/>
          <w:lang w:val="en-AU"/>
        </w:rPr>
        <w:t>71</w:t>
      </w:r>
      <w:r w:rsidR="007E533D" w:rsidRPr="00A07413">
        <w:rPr>
          <w:rFonts w:ascii="Arial" w:hAnsi="Arial" w:cs="Arial"/>
          <w:lang w:val="en-AU"/>
        </w:rPr>
        <w:t>,2</w:t>
      </w:r>
      <w:r w:rsidR="00007DB2">
        <w:rPr>
          <w:rFonts w:ascii="Arial" w:hAnsi="Arial" w:cs="Arial"/>
          <w:lang w:val="en-AU"/>
        </w:rPr>
        <w:t>69</w:t>
      </w:r>
      <w:r w:rsidR="007E533D" w:rsidRPr="00A07413">
        <w:rPr>
          <w:rFonts w:ascii="Arial" w:hAnsi="Arial" w:cs="Arial"/>
          <w:lang w:val="en-AU"/>
        </w:rPr>
        <w:t xml:space="preserve"> SKUs contain a NIP on their label </w:t>
      </w:r>
      <w:r>
        <w:rPr>
          <w:rFonts w:ascii="Arial" w:hAnsi="Arial" w:cs="Arial"/>
          <w:lang w:val="en-AU"/>
        </w:rPr>
        <w:t>voluntarily</w:t>
      </w:r>
      <w:r w:rsidR="00E63520">
        <w:rPr>
          <w:rFonts w:ascii="Arial" w:hAnsi="Arial" w:cs="Arial"/>
          <w:lang w:val="en-AU"/>
        </w:rPr>
        <w:t>. T</w:t>
      </w:r>
      <w:r w:rsidR="007E533D">
        <w:rPr>
          <w:rFonts w:ascii="Arial" w:hAnsi="Arial" w:cs="Arial"/>
          <w:lang w:val="en-AU"/>
        </w:rPr>
        <w:t xml:space="preserve">hat is an estimate of </w:t>
      </w:r>
      <w:r w:rsidR="007543AB">
        <w:rPr>
          <w:rFonts w:ascii="Arial" w:hAnsi="Arial" w:cs="Arial"/>
          <w:lang w:val="en-AU"/>
        </w:rPr>
        <w:t>1,4</w:t>
      </w:r>
      <w:r w:rsidR="00CB4F20">
        <w:rPr>
          <w:rFonts w:ascii="Arial" w:hAnsi="Arial" w:cs="Arial"/>
          <w:lang w:val="en-AU"/>
        </w:rPr>
        <w:t>2</w:t>
      </w:r>
      <w:r w:rsidR="007543AB">
        <w:rPr>
          <w:rFonts w:ascii="Arial" w:hAnsi="Arial" w:cs="Arial"/>
          <w:lang w:val="en-AU"/>
        </w:rPr>
        <w:t>5</w:t>
      </w:r>
      <w:r w:rsidR="007E533D">
        <w:rPr>
          <w:rFonts w:ascii="Arial" w:hAnsi="Arial" w:cs="Arial"/>
          <w:lang w:val="en-AU"/>
        </w:rPr>
        <w:t xml:space="preserve"> SKUs.</w:t>
      </w:r>
    </w:p>
    <w:p w14:paraId="04A385B1" w14:textId="77777777" w:rsidR="00E67F4D" w:rsidRPr="00A07413" w:rsidRDefault="00E67F4D" w:rsidP="00E67F4D">
      <w:pPr>
        <w:pStyle w:val="ListParagraph"/>
        <w:ind w:left="784"/>
        <w:rPr>
          <w:rFonts w:ascii="Arial" w:hAnsi="Arial" w:cs="Arial"/>
          <w:lang w:val="en-AU"/>
        </w:rPr>
      </w:pPr>
    </w:p>
    <w:p w14:paraId="05A4ABB4" w14:textId="4311D982" w:rsidR="0023477B" w:rsidRDefault="00D20069" w:rsidP="00A37162">
      <w:pPr>
        <w:rPr>
          <w:rFonts w:ascii="Arial" w:hAnsi="Arial" w:cs="Arial"/>
          <w:lang w:val="en-AU"/>
        </w:rPr>
      </w:pPr>
      <w:r>
        <w:rPr>
          <w:rFonts w:ascii="Arial" w:hAnsi="Arial" w:cs="Arial"/>
          <w:lang w:val="en-AU"/>
        </w:rPr>
        <w:t xml:space="preserve">Adding the above two numbers becomes the </w:t>
      </w:r>
      <w:r w:rsidR="00E67F4D">
        <w:rPr>
          <w:rFonts w:ascii="Arial" w:hAnsi="Arial" w:cs="Arial"/>
          <w:lang w:val="en-AU"/>
        </w:rPr>
        <w:t>5,6</w:t>
      </w:r>
      <w:r w:rsidR="0061140F">
        <w:rPr>
          <w:rFonts w:ascii="Arial" w:hAnsi="Arial" w:cs="Arial"/>
          <w:lang w:val="en-AU"/>
        </w:rPr>
        <w:t>81</w:t>
      </w:r>
      <w:r w:rsidR="00E67F4D">
        <w:rPr>
          <w:rFonts w:ascii="Arial" w:hAnsi="Arial" w:cs="Arial"/>
          <w:lang w:val="en-AU"/>
        </w:rPr>
        <w:t xml:space="preserve"> current SKUs assumed to contain a NIP</w:t>
      </w:r>
      <w:r>
        <w:rPr>
          <w:rFonts w:ascii="Arial" w:hAnsi="Arial" w:cs="Arial"/>
          <w:lang w:val="en-AU"/>
        </w:rPr>
        <w:t>. T</w:t>
      </w:r>
      <w:r w:rsidR="00EE4D12">
        <w:rPr>
          <w:rFonts w:ascii="Arial" w:hAnsi="Arial" w:cs="Arial"/>
          <w:lang w:val="en-AU"/>
        </w:rPr>
        <w:t>his number differs slightly from 4,255 plus 1,425 due to rounding</w:t>
      </w:r>
      <w:r w:rsidR="009E7069">
        <w:rPr>
          <w:rFonts w:ascii="Arial" w:hAnsi="Arial" w:cs="Arial"/>
          <w:lang w:val="en-AU"/>
        </w:rPr>
        <w:t xml:space="preserve"> to the nearest whole number</w:t>
      </w:r>
      <w:r w:rsidR="00E67F4D">
        <w:rPr>
          <w:rFonts w:ascii="Arial" w:hAnsi="Arial" w:cs="Arial"/>
          <w:lang w:val="en-AU"/>
        </w:rPr>
        <w:t>.</w:t>
      </w:r>
    </w:p>
    <w:p w14:paraId="0033A426" w14:textId="5E5FAFAE" w:rsidR="00AE3459" w:rsidRPr="000828D1" w:rsidRDefault="00AE3459" w:rsidP="000828D1">
      <w:pPr>
        <w:rPr>
          <w:rFonts w:ascii="Arial" w:eastAsia="Times New Roman" w:hAnsi="Arial" w:cs="Times New Roman"/>
          <w:b/>
          <w:bCs/>
          <w:color w:val="000000" w:themeColor="text1"/>
          <w:szCs w:val="24"/>
          <w:lang w:val="en-GB" w:eastAsia="en-AU"/>
        </w:rPr>
      </w:pPr>
      <w:r w:rsidRPr="000828D1">
        <w:rPr>
          <w:rFonts w:ascii="Arial" w:eastAsia="Times New Roman" w:hAnsi="Arial" w:cs="Times New Roman"/>
          <w:b/>
          <w:bCs/>
          <w:color w:val="000000" w:themeColor="text1"/>
          <w:szCs w:val="24"/>
          <w:lang w:val="en-GB" w:eastAsia="en-AU"/>
        </w:rPr>
        <w:t>Assumed types of one-off label change</w:t>
      </w:r>
      <w:r w:rsidR="004745E2" w:rsidRPr="000828D1">
        <w:rPr>
          <w:rFonts w:ascii="Arial" w:eastAsia="Times New Roman" w:hAnsi="Arial" w:cs="Times New Roman"/>
          <w:b/>
          <w:bCs/>
          <w:color w:val="000000" w:themeColor="text1"/>
          <w:szCs w:val="24"/>
          <w:lang w:val="en-GB" w:eastAsia="en-AU"/>
        </w:rPr>
        <w:t>s</w:t>
      </w:r>
    </w:p>
    <w:p w14:paraId="183E5944" w14:textId="6D4EB8CB" w:rsidR="004745E2" w:rsidRDefault="004745E2" w:rsidP="004745E2">
      <w:pPr>
        <w:rPr>
          <w:rFonts w:ascii="Arial" w:hAnsi="Arial" w:cs="Arial"/>
          <w:lang w:val="en-AU"/>
        </w:rPr>
      </w:pPr>
      <w:r w:rsidRPr="004745E2">
        <w:rPr>
          <w:rFonts w:ascii="Arial" w:hAnsi="Arial" w:cs="Arial"/>
          <w:lang w:val="en-AU"/>
        </w:rPr>
        <w:t xml:space="preserve">Label change costs in this DRIS take the </w:t>
      </w:r>
      <w:r>
        <w:rPr>
          <w:rFonts w:ascii="Arial" w:hAnsi="Arial" w:cs="Arial"/>
          <w:lang w:val="en-AU"/>
        </w:rPr>
        <w:t xml:space="preserve">following </w:t>
      </w:r>
      <w:r w:rsidRPr="004745E2">
        <w:rPr>
          <w:rFonts w:ascii="Arial" w:hAnsi="Arial" w:cs="Arial"/>
          <w:lang w:val="en-AU"/>
        </w:rPr>
        <w:t xml:space="preserve">types of one-off label changes </w:t>
      </w:r>
      <w:r w:rsidR="008D2C21">
        <w:rPr>
          <w:rFonts w:ascii="Arial" w:hAnsi="Arial" w:cs="Arial"/>
          <w:lang w:val="en-AU"/>
        </w:rPr>
        <w:t xml:space="preserve">that are </w:t>
      </w:r>
      <w:r w:rsidRPr="004745E2">
        <w:rPr>
          <w:rFonts w:ascii="Arial" w:hAnsi="Arial" w:cs="Arial"/>
          <w:lang w:val="en-AU"/>
        </w:rPr>
        <w:t>defined in the Marsden</w:t>
      </w:r>
      <w:r w:rsidR="005E1B7B">
        <w:rPr>
          <w:rFonts w:ascii="Arial" w:hAnsi="Arial" w:cs="Arial"/>
          <w:lang w:val="en-AU"/>
        </w:rPr>
        <w:t>-</w:t>
      </w:r>
      <w:r w:rsidRPr="004745E2">
        <w:rPr>
          <w:rFonts w:ascii="Arial" w:hAnsi="Arial" w:cs="Arial"/>
          <w:lang w:val="en-AU"/>
        </w:rPr>
        <w:t xml:space="preserve">Jacob </w:t>
      </w:r>
      <w:r w:rsidR="008D2C21">
        <w:rPr>
          <w:rFonts w:ascii="Arial" w:hAnsi="Arial" w:cs="Arial"/>
          <w:lang w:val="en-AU"/>
        </w:rPr>
        <w:t>cost</w:t>
      </w:r>
      <w:r w:rsidRPr="004745E2">
        <w:rPr>
          <w:rFonts w:ascii="Arial" w:hAnsi="Arial" w:cs="Arial"/>
          <w:lang w:val="en-AU"/>
        </w:rPr>
        <w:t xml:space="preserve"> model</w:t>
      </w:r>
      <w:r w:rsidR="00795360">
        <w:rPr>
          <w:rFonts w:ascii="Arial" w:hAnsi="Arial" w:cs="Arial"/>
          <w:lang w:val="en-AU"/>
        </w:rPr>
        <w:t xml:space="preserve">. In particular, a sensitivity analysis assumes that different percentages of SKUs would require a Medium label change to accommodate the energy statement, </w:t>
      </w:r>
      <w:r w:rsidR="00640779">
        <w:rPr>
          <w:rFonts w:ascii="Arial" w:hAnsi="Arial" w:cs="Arial"/>
          <w:lang w:val="en-AU"/>
        </w:rPr>
        <w:t>rather than requiring</w:t>
      </w:r>
      <w:r w:rsidR="00795360">
        <w:rPr>
          <w:rFonts w:ascii="Arial" w:hAnsi="Arial" w:cs="Arial"/>
          <w:lang w:val="en-AU"/>
        </w:rPr>
        <w:t xml:space="preserve"> a Major label change.</w:t>
      </w:r>
    </w:p>
    <w:tbl>
      <w:tblPr>
        <w:tblStyle w:val="TableGrid"/>
        <w:tblW w:w="0" w:type="auto"/>
        <w:tblLook w:val="04A0" w:firstRow="1" w:lastRow="0" w:firstColumn="1" w:lastColumn="0" w:noHBand="0" w:noVBand="1"/>
      </w:tblPr>
      <w:tblGrid>
        <w:gridCol w:w="2340"/>
        <w:gridCol w:w="2043"/>
        <w:gridCol w:w="4259"/>
      </w:tblGrid>
      <w:tr w:rsidR="00D1239F" w14:paraId="0F74DF50" w14:textId="77777777" w:rsidTr="6A15B411">
        <w:tc>
          <w:tcPr>
            <w:tcW w:w="2340" w:type="dxa"/>
            <w:vAlign w:val="center"/>
          </w:tcPr>
          <w:p w14:paraId="4F35C909" w14:textId="3BE0634B" w:rsidR="00D1239F" w:rsidRPr="001D7547" w:rsidRDefault="00D1239F" w:rsidP="00E7274F">
            <w:pPr>
              <w:jc w:val="center"/>
              <w:rPr>
                <w:b/>
                <w:bCs/>
              </w:rPr>
            </w:pPr>
            <w:r w:rsidRPr="001D7547">
              <w:rPr>
                <w:b/>
                <w:bCs/>
              </w:rPr>
              <w:t>Label Change</w:t>
            </w:r>
          </w:p>
        </w:tc>
        <w:tc>
          <w:tcPr>
            <w:tcW w:w="2043" w:type="dxa"/>
            <w:vAlign w:val="center"/>
          </w:tcPr>
          <w:p w14:paraId="46B7C8A6" w14:textId="6D498E96" w:rsidR="00D1239F" w:rsidRPr="001D7547" w:rsidRDefault="00D1239F" w:rsidP="00E7274F">
            <w:pPr>
              <w:jc w:val="center"/>
              <w:rPr>
                <w:b/>
                <w:bCs/>
              </w:rPr>
            </w:pPr>
            <w:r w:rsidRPr="001D7547">
              <w:rPr>
                <w:b/>
                <w:bCs/>
              </w:rPr>
              <w:t>Definition of this label change</w:t>
            </w:r>
          </w:p>
        </w:tc>
        <w:tc>
          <w:tcPr>
            <w:tcW w:w="4259" w:type="dxa"/>
            <w:vAlign w:val="center"/>
          </w:tcPr>
          <w:p w14:paraId="5D6E33B0" w14:textId="090F5423" w:rsidR="00D1239F" w:rsidRPr="001D7547" w:rsidRDefault="00D1239F" w:rsidP="6A15B411">
            <w:pPr>
              <w:jc w:val="center"/>
              <w:rPr>
                <w:b/>
                <w:bCs/>
                <w:lang w:val="en-US"/>
              </w:rPr>
            </w:pPr>
            <w:r w:rsidRPr="6A15B411">
              <w:rPr>
                <w:b/>
                <w:bCs/>
                <w:lang w:val="en-US"/>
              </w:rPr>
              <w:t xml:space="preserve">RIS </w:t>
            </w:r>
            <w:r w:rsidR="001A1033" w:rsidRPr="6A15B411">
              <w:rPr>
                <w:b/>
                <w:bCs/>
                <w:lang w:val="en-US"/>
              </w:rPr>
              <w:t>o</w:t>
            </w:r>
            <w:r w:rsidRPr="6A15B411">
              <w:rPr>
                <w:b/>
                <w:bCs/>
                <w:lang w:val="en-US"/>
              </w:rPr>
              <w:t>ption where this label change would be required</w:t>
            </w:r>
          </w:p>
        </w:tc>
      </w:tr>
      <w:tr w:rsidR="00D1239F" w14:paraId="71F0F9DD" w14:textId="77777777" w:rsidTr="6A15B411">
        <w:tc>
          <w:tcPr>
            <w:tcW w:w="2340" w:type="dxa"/>
          </w:tcPr>
          <w:p w14:paraId="4DD65CE9" w14:textId="77777777" w:rsidR="00044DE2" w:rsidRDefault="00044DE2" w:rsidP="00D1239F"/>
          <w:p w14:paraId="11A7B830" w14:textId="143845B1" w:rsidR="00D1239F" w:rsidRDefault="00D1239F" w:rsidP="00D1239F">
            <w:r w:rsidRPr="6A15B411">
              <w:rPr>
                <w:lang w:val="en-US"/>
              </w:rPr>
              <w:t>Minor</w:t>
            </w:r>
            <w:r w:rsidR="008F5D1F" w:rsidRPr="6A15B411">
              <w:rPr>
                <w:lang w:val="en-US"/>
              </w:rPr>
              <w:t xml:space="preserve">: </w:t>
            </w:r>
            <w:r w:rsidR="00B9150B" w:rsidRPr="6A15B411">
              <w:rPr>
                <w:lang w:val="en-US"/>
              </w:rPr>
              <w:t xml:space="preserve">adding    </w:t>
            </w:r>
            <w:r w:rsidR="008F5D1F" w:rsidRPr="6A15B411">
              <w:rPr>
                <w:lang w:val="en-US"/>
              </w:rPr>
              <w:t xml:space="preserve">       </w:t>
            </w:r>
            <w:r w:rsidR="001A7D38" w:rsidRPr="6A15B411">
              <w:rPr>
                <w:lang w:val="en-US"/>
              </w:rPr>
              <w:t>“</w:t>
            </w:r>
            <w:r w:rsidR="001A7D38" w:rsidRPr="6A15B411" w:rsidDel="00DF11FD">
              <w:rPr>
                <w:snapToGrid w:val="0"/>
                <w:sz w:val="20"/>
                <w:szCs w:val="20"/>
                <w:lang w:val="en-US"/>
              </w:rPr>
              <w:t>mL ([insert number] standard drinks</w:t>
            </w:r>
            <w:r w:rsidR="001A7D38" w:rsidRPr="6A15B411">
              <w:rPr>
                <w:snapToGrid w:val="0"/>
                <w:sz w:val="20"/>
                <w:szCs w:val="20"/>
                <w:lang w:val="en-US"/>
              </w:rPr>
              <w:t>)”</w:t>
            </w:r>
          </w:p>
        </w:tc>
        <w:tc>
          <w:tcPr>
            <w:tcW w:w="2043" w:type="dxa"/>
          </w:tcPr>
          <w:p w14:paraId="145347AA" w14:textId="77777777" w:rsidR="00044DE2" w:rsidRDefault="00044DE2" w:rsidP="00D1239F"/>
          <w:p w14:paraId="58D858F1" w14:textId="33B726AB" w:rsidR="00D1239F" w:rsidRDefault="00D1239F" w:rsidP="00D1239F">
            <w:r w:rsidRPr="6A15B411">
              <w:rPr>
                <w:lang w:val="en-US"/>
              </w:rPr>
              <w:t>Slight change to existing text and no change in label’s internal layout, shape or size</w:t>
            </w:r>
            <w:r w:rsidR="00403715" w:rsidRPr="6A15B411">
              <w:rPr>
                <w:lang w:val="en-US"/>
              </w:rPr>
              <w:t>.</w:t>
            </w:r>
          </w:p>
        </w:tc>
        <w:tc>
          <w:tcPr>
            <w:tcW w:w="4259" w:type="dxa"/>
          </w:tcPr>
          <w:p w14:paraId="0CC90377" w14:textId="77777777" w:rsidR="00044DE2" w:rsidRDefault="00044DE2" w:rsidP="00D1239F"/>
          <w:p w14:paraId="1ABE5E5F" w14:textId="59F0FA8E" w:rsidR="00D1239F" w:rsidRDefault="00D1239F" w:rsidP="6A15B411">
            <w:pPr>
              <w:rPr>
                <w:lang w:val="en-US"/>
              </w:rPr>
            </w:pPr>
            <w:r w:rsidRPr="6A15B411">
              <w:rPr>
                <w:lang w:val="en-US"/>
              </w:rPr>
              <w:t xml:space="preserve">This minor label change would be required for </w:t>
            </w:r>
            <w:r w:rsidR="0030038F" w:rsidRPr="6A15B411">
              <w:rPr>
                <w:lang w:val="en-US"/>
              </w:rPr>
              <w:t>o</w:t>
            </w:r>
            <w:r w:rsidRPr="6A15B411">
              <w:rPr>
                <w:lang w:val="en-US"/>
              </w:rPr>
              <w:t xml:space="preserve">ption 3 only, i.e. </w:t>
            </w:r>
            <w:r w:rsidR="00756F08" w:rsidRPr="6A15B411">
              <w:rPr>
                <w:lang w:val="en-US"/>
              </w:rPr>
              <w:t>an estimated 4</w:t>
            </w:r>
            <w:r w:rsidRPr="6A15B411">
              <w:rPr>
                <w:lang w:val="en-US"/>
              </w:rPr>
              <w:t>% of SKUs that currently have on-label NIPs</w:t>
            </w:r>
            <w:r w:rsidR="00395743" w:rsidRPr="6A15B411">
              <w:rPr>
                <w:lang w:val="en-US"/>
              </w:rPr>
              <w:t xml:space="preserve"> on packages of more than one serve</w:t>
            </w:r>
            <w:r w:rsidRPr="6A15B411">
              <w:rPr>
                <w:lang w:val="en-US"/>
              </w:rPr>
              <w:t>.</w:t>
            </w:r>
            <w:r w:rsidR="00395743" w:rsidRPr="6A15B411">
              <w:rPr>
                <w:lang w:val="en-US"/>
              </w:rPr>
              <w:t xml:space="preserve"> Th</w:t>
            </w:r>
            <w:r w:rsidR="006F09EF" w:rsidRPr="6A15B411">
              <w:rPr>
                <w:lang w:val="en-US"/>
              </w:rPr>
              <w:t xml:space="preserve">is minor label </w:t>
            </w:r>
            <w:r w:rsidR="00395743" w:rsidRPr="6A15B411">
              <w:rPr>
                <w:lang w:val="en-US"/>
              </w:rPr>
              <w:t>has been estimated as</w:t>
            </w:r>
            <w:r w:rsidR="006F09EF" w:rsidRPr="6A15B411">
              <w:rPr>
                <w:lang w:val="en-US"/>
              </w:rPr>
              <w:t xml:space="preserve"> being required for </w:t>
            </w:r>
            <w:r w:rsidR="00033729" w:rsidRPr="6A15B411">
              <w:rPr>
                <w:lang w:val="en-US"/>
              </w:rPr>
              <w:t>slightly under half of the 8% of SKUs with NIPs</w:t>
            </w:r>
            <w:r w:rsidR="001542A7" w:rsidRPr="6A15B411">
              <w:rPr>
                <w:lang w:val="en-US"/>
              </w:rPr>
              <w:t>.</w:t>
            </w:r>
            <w:r w:rsidR="00395743" w:rsidRPr="6A15B411">
              <w:rPr>
                <w:lang w:val="en-US"/>
              </w:rPr>
              <w:t xml:space="preserve"> </w:t>
            </w:r>
            <w:r w:rsidRPr="6A15B411">
              <w:rPr>
                <w:lang w:val="en-US"/>
              </w:rPr>
              <w:t xml:space="preserve"> </w:t>
            </w:r>
          </w:p>
          <w:p w14:paraId="241EF0DF" w14:textId="77777777" w:rsidR="00D1239F" w:rsidRDefault="00D1239F" w:rsidP="00D1239F"/>
          <w:p w14:paraId="2982AB0F" w14:textId="77777777" w:rsidR="00D1239F" w:rsidRDefault="00D1239F" w:rsidP="00D1239F">
            <w:r w:rsidRPr="6A15B411">
              <w:rPr>
                <w:lang w:val="en-US"/>
              </w:rPr>
              <w:t xml:space="preserve">That would be in addition to </w:t>
            </w:r>
            <w:r w:rsidR="0030038F" w:rsidRPr="6A15B411">
              <w:rPr>
                <w:lang w:val="en-US"/>
              </w:rPr>
              <w:t>o</w:t>
            </w:r>
            <w:r w:rsidRPr="6A15B411">
              <w:rPr>
                <w:lang w:val="en-US"/>
              </w:rPr>
              <w:t xml:space="preserve">ption 3’s required Medium and Major label changes for </w:t>
            </w:r>
            <w:r w:rsidR="001542A7" w:rsidRPr="6A15B411">
              <w:rPr>
                <w:lang w:val="en-US"/>
              </w:rPr>
              <w:t>an</w:t>
            </w:r>
            <w:r w:rsidRPr="6A15B411">
              <w:rPr>
                <w:lang w:val="en-US"/>
              </w:rPr>
              <w:t>other 92% of SKUs without NIPs</w:t>
            </w:r>
            <w:r w:rsidR="00FE18B5" w:rsidRPr="6A15B411">
              <w:rPr>
                <w:lang w:val="en-US"/>
              </w:rPr>
              <w:t xml:space="preserve"> (that </w:t>
            </w:r>
            <w:r w:rsidR="00403715" w:rsidRPr="6A15B411">
              <w:rPr>
                <w:lang w:val="en-US"/>
              </w:rPr>
              <w:t>have the</w:t>
            </w:r>
            <w:r w:rsidR="00FE18B5" w:rsidRPr="6A15B411">
              <w:rPr>
                <w:lang w:val="en-US"/>
              </w:rPr>
              <w:t xml:space="preserve"> same</w:t>
            </w:r>
            <w:r w:rsidR="00831430" w:rsidRPr="6A15B411">
              <w:rPr>
                <w:lang w:val="en-US"/>
              </w:rPr>
              <w:t xml:space="preserve"> label change</w:t>
            </w:r>
            <w:r w:rsidR="00FE18B5" w:rsidRPr="6A15B411">
              <w:rPr>
                <w:lang w:val="en-US"/>
              </w:rPr>
              <w:t xml:space="preserve"> </w:t>
            </w:r>
            <w:r w:rsidR="00403715" w:rsidRPr="6A15B411">
              <w:rPr>
                <w:lang w:val="en-US"/>
              </w:rPr>
              <w:t xml:space="preserve">costs </w:t>
            </w:r>
            <w:r w:rsidR="00FE18B5" w:rsidRPr="6A15B411">
              <w:rPr>
                <w:lang w:val="en-US"/>
              </w:rPr>
              <w:t xml:space="preserve">for </w:t>
            </w:r>
            <w:r w:rsidR="0030038F" w:rsidRPr="6A15B411">
              <w:rPr>
                <w:lang w:val="en-US"/>
              </w:rPr>
              <w:t>o</w:t>
            </w:r>
            <w:r w:rsidR="00403715" w:rsidRPr="6A15B411">
              <w:rPr>
                <w:lang w:val="en-US"/>
              </w:rPr>
              <w:t>ption 2)</w:t>
            </w:r>
          </w:p>
          <w:p w14:paraId="6A51BEC9" w14:textId="66E2345A" w:rsidR="00044DE2" w:rsidRDefault="00044DE2" w:rsidP="00D1239F"/>
        </w:tc>
      </w:tr>
      <w:tr w:rsidR="00D1239F" w14:paraId="082BC8DA" w14:textId="77777777" w:rsidTr="6A15B411">
        <w:tc>
          <w:tcPr>
            <w:tcW w:w="2340" w:type="dxa"/>
          </w:tcPr>
          <w:p w14:paraId="5AEAFD8E" w14:textId="77777777" w:rsidR="00D1239F" w:rsidRDefault="00D1239F" w:rsidP="00D1239F"/>
          <w:p w14:paraId="44AE913D" w14:textId="430CBE3D" w:rsidR="00D1239F" w:rsidRDefault="00D1239F" w:rsidP="00D1239F">
            <w:r>
              <w:t>Medium</w:t>
            </w:r>
          </w:p>
        </w:tc>
        <w:tc>
          <w:tcPr>
            <w:tcW w:w="2043" w:type="dxa"/>
          </w:tcPr>
          <w:p w14:paraId="79F5D579" w14:textId="77777777" w:rsidR="00D1239F" w:rsidRDefault="00D1239F" w:rsidP="00D1239F"/>
          <w:p w14:paraId="10217CAF" w14:textId="402F9A2D" w:rsidR="00D1239F" w:rsidRDefault="00D1239F" w:rsidP="00D1239F">
            <w:r w:rsidRPr="004745E2">
              <w:t>New text or adding or subtracting</w:t>
            </w:r>
            <w:r>
              <w:t xml:space="preserve"> </w:t>
            </w:r>
            <w:r w:rsidRPr="004745E2">
              <w:t>logos which do require changes</w:t>
            </w:r>
            <w:r>
              <w:t xml:space="preserve"> </w:t>
            </w:r>
            <w:r w:rsidRPr="004745E2">
              <w:t>in the label’s internal layout,</w:t>
            </w:r>
            <w:r>
              <w:t xml:space="preserve"> </w:t>
            </w:r>
            <w:r w:rsidRPr="004745E2">
              <w:t xml:space="preserve">but </w:t>
            </w:r>
            <w:r w:rsidRPr="00D1239F">
              <w:rPr>
                <w:b/>
                <w:bCs/>
              </w:rPr>
              <w:t xml:space="preserve">not </w:t>
            </w:r>
            <w:r w:rsidRPr="004745E2">
              <w:t>the label’s shape or size</w:t>
            </w:r>
            <w:r w:rsidR="00B92E92">
              <w:t>.</w:t>
            </w:r>
          </w:p>
        </w:tc>
        <w:tc>
          <w:tcPr>
            <w:tcW w:w="4259" w:type="dxa"/>
          </w:tcPr>
          <w:p w14:paraId="287C4917" w14:textId="49E92B07" w:rsidR="00D1239F" w:rsidRDefault="00D1239F" w:rsidP="00D1239F"/>
          <w:p w14:paraId="3ED3BD50" w14:textId="489180DA" w:rsidR="00D1239F" w:rsidRDefault="00D1239F" w:rsidP="00D1239F">
            <w:r w:rsidRPr="6A15B411">
              <w:rPr>
                <w:lang w:val="en-US"/>
              </w:rPr>
              <w:t>Options 2 and 3 would both require this label change.</w:t>
            </w:r>
          </w:p>
          <w:p w14:paraId="10ABEF74" w14:textId="09DEAE5C" w:rsidR="00D1239F" w:rsidRDefault="00D1239F" w:rsidP="00D1239F">
            <w:r>
              <w:t xml:space="preserve"> </w:t>
            </w:r>
          </w:p>
          <w:p w14:paraId="6ADE79E5" w14:textId="3DA57599" w:rsidR="00D1239F" w:rsidRDefault="00D1239F" w:rsidP="00D1239F">
            <w:r>
              <w:t>Sensitivity testing took the assumptions of:</w:t>
            </w:r>
          </w:p>
          <w:p w14:paraId="7F6DF10C" w14:textId="4904BB98" w:rsidR="00D1239F" w:rsidRDefault="00D1239F" w:rsidP="00D1239F">
            <w:r w:rsidRPr="6A15B411">
              <w:rPr>
                <w:lang w:val="en-US"/>
              </w:rPr>
              <w:t>(a) 70% of SKUs without NIPs would require a Medium label change; versus</w:t>
            </w:r>
          </w:p>
          <w:p w14:paraId="4804523E" w14:textId="55B7843E" w:rsidR="00D1239F" w:rsidRPr="00795360" w:rsidRDefault="00D1239F" w:rsidP="00D1239F">
            <w:r w:rsidRPr="6A15B411">
              <w:rPr>
                <w:lang w:val="en-US"/>
              </w:rPr>
              <w:t>(b) 90% of SKUs without NIPs would require a Medium label change.</w:t>
            </w:r>
          </w:p>
          <w:p w14:paraId="7806B809" w14:textId="36FCFDE5" w:rsidR="00D1239F" w:rsidRDefault="00D1239F" w:rsidP="00D1239F"/>
        </w:tc>
      </w:tr>
      <w:tr w:rsidR="00D1239F" w14:paraId="4E84561F" w14:textId="77777777" w:rsidTr="6A15B411">
        <w:tc>
          <w:tcPr>
            <w:tcW w:w="2340" w:type="dxa"/>
          </w:tcPr>
          <w:p w14:paraId="2AA71E47" w14:textId="77777777" w:rsidR="00D1239F" w:rsidRDefault="00D1239F" w:rsidP="00D1239F"/>
          <w:p w14:paraId="1481192B" w14:textId="77777777" w:rsidR="00D1239F" w:rsidRDefault="00D1239F" w:rsidP="00D1239F">
            <w:r>
              <w:t>Major</w:t>
            </w:r>
          </w:p>
          <w:p w14:paraId="12C515E2" w14:textId="695343BE" w:rsidR="007E2723" w:rsidRDefault="007E2723" w:rsidP="00D1239F">
            <w:r>
              <w:t>(most expensive typ</w:t>
            </w:r>
            <w:r w:rsidR="00B9150B">
              <w:t>e of label change)</w:t>
            </w:r>
          </w:p>
        </w:tc>
        <w:tc>
          <w:tcPr>
            <w:tcW w:w="2043" w:type="dxa"/>
          </w:tcPr>
          <w:p w14:paraId="3F0FB517" w14:textId="77777777" w:rsidR="00D1239F" w:rsidRDefault="00D1239F" w:rsidP="00D1239F"/>
          <w:p w14:paraId="5A4B1EE6" w14:textId="58A2F90A" w:rsidR="00D1239F" w:rsidRDefault="00D1239F" w:rsidP="00D1239F">
            <w:r w:rsidRPr="6A15B411">
              <w:rPr>
                <w:lang w:val="en-US"/>
              </w:rPr>
              <w:t xml:space="preserve">Substantive additional content, which do require changes to </w:t>
            </w:r>
            <w:r w:rsidRPr="6A15B411">
              <w:rPr>
                <w:b/>
                <w:bCs/>
                <w:lang w:val="en-US"/>
              </w:rPr>
              <w:t xml:space="preserve">both </w:t>
            </w:r>
            <w:r w:rsidRPr="6A15B411">
              <w:rPr>
                <w:lang w:val="en-US"/>
              </w:rPr>
              <w:t>label layout and label shape/size</w:t>
            </w:r>
          </w:p>
        </w:tc>
        <w:tc>
          <w:tcPr>
            <w:tcW w:w="4259" w:type="dxa"/>
          </w:tcPr>
          <w:p w14:paraId="788020A4" w14:textId="1CC3EC36" w:rsidR="00D1239F" w:rsidRDefault="00D1239F" w:rsidP="00D1239F"/>
          <w:p w14:paraId="52717AFE" w14:textId="31424FC4" w:rsidR="00D1239F" w:rsidRDefault="00D1239F" w:rsidP="00D1239F">
            <w:r w:rsidRPr="6A15B411">
              <w:rPr>
                <w:lang w:val="en-US"/>
              </w:rPr>
              <w:t>Options 2 and 3 would both require this label change.</w:t>
            </w:r>
          </w:p>
          <w:p w14:paraId="74FB1FCB" w14:textId="77777777" w:rsidR="00D1239F" w:rsidRDefault="00D1239F" w:rsidP="00D1239F"/>
          <w:p w14:paraId="78D04BA7" w14:textId="128E37B0" w:rsidR="00D1239F" w:rsidRDefault="00D1239F" w:rsidP="00D1239F">
            <w:r>
              <w:t>Sensitivity testing took the assumptions of:</w:t>
            </w:r>
          </w:p>
          <w:p w14:paraId="69F33CCD" w14:textId="2C1E687B" w:rsidR="00D1239F" w:rsidRDefault="00D1239F" w:rsidP="00D1239F">
            <w:r>
              <w:t>(a) 30% of SKUs without NIPs would require a Major label change; versus</w:t>
            </w:r>
          </w:p>
          <w:p w14:paraId="33707D7C" w14:textId="47F52819" w:rsidR="00D1239F" w:rsidRDefault="00D1239F" w:rsidP="00D1239F">
            <w:r>
              <w:t>(b) 10% of SKUs without NIPs would require a Major label change.</w:t>
            </w:r>
          </w:p>
          <w:p w14:paraId="2DE54BE8" w14:textId="3266563C" w:rsidR="00D1239F" w:rsidRDefault="00D1239F" w:rsidP="00F32B10"/>
        </w:tc>
      </w:tr>
    </w:tbl>
    <w:p w14:paraId="723739E2" w14:textId="68B436C0" w:rsidR="00F32B10" w:rsidRPr="000D2794" w:rsidRDefault="00F32B10" w:rsidP="00EB1AF1">
      <w:r w:rsidRPr="00F32B10">
        <w:rPr>
          <w:rFonts w:ascii="Arial" w:hAnsi="Arial" w:cs="Arial"/>
          <w:color w:val="2E3037"/>
          <w:lang w:val="en-AU"/>
        </w:rPr>
        <w:lastRenderedPageBreak/>
        <w:t>Average Major label changes cost $1</w:t>
      </w:r>
      <w:r w:rsidR="003E4767">
        <w:rPr>
          <w:rFonts w:ascii="Arial" w:hAnsi="Arial" w:cs="Arial"/>
          <w:color w:val="2E3037"/>
          <w:lang w:val="en-AU"/>
        </w:rPr>
        <w:t>2</w:t>
      </w:r>
      <w:r w:rsidRPr="00F32B10">
        <w:rPr>
          <w:rFonts w:ascii="Arial" w:hAnsi="Arial" w:cs="Arial"/>
          <w:color w:val="2E3037"/>
          <w:lang w:val="en-AU"/>
        </w:rPr>
        <w:t>,0</w:t>
      </w:r>
      <w:r w:rsidR="003E4767">
        <w:rPr>
          <w:rFonts w:ascii="Arial" w:hAnsi="Arial" w:cs="Arial"/>
          <w:color w:val="2E3037"/>
          <w:lang w:val="en-AU"/>
        </w:rPr>
        <w:t>69</w:t>
      </w:r>
      <w:r w:rsidRPr="00F32B10">
        <w:rPr>
          <w:rFonts w:ascii="Arial" w:hAnsi="Arial" w:cs="Arial"/>
          <w:color w:val="2E3037"/>
          <w:lang w:val="en-AU"/>
        </w:rPr>
        <w:t xml:space="preserve"> per SKU, </w:t>
      </w:r>
      <w:r>
        <w:rPr>
          <w:rFonts w:ascii="Arial" w:hAnsi="Arial" w:cs="Arial"/>
          <w:color w:val="2E3037"/>
          <w:lang w:val="en-AU"/>
        </w:rPr>
        <w:t xml:space="preserve">compared to the </w:t>
      </w:r>
      <w:r w:rsidR="007F37B8">
        <w:rPr>
          <w:rFonts w:ascii="Arial" w:hAnsi="Arial" w:cs="Arial"/>
          <w:color w:val="2E3037"/>
          <w:lang w:val="en-AU"/>
        </w:rPr>
        <w:t>average $4,</w:t>
      </w:r>
      <w:r w:rsidR="00D14B13">
        <w:rPr>
          <w:rFonts w:ascii="Arial" w:hAnsi="Arial" w:cs="Arial"/>
          <w:color w:val="2E3037"/>
          <w:lang w:val="en-AU"/>
        </w:rPr>
        <w:t>355</w:t>
      </w:r>
      <w:r w:rsidR="007F37B8">
        <w:rPr>
          <w:rFonts w:ascii="Arial" w:hAnsi="Arial" w:cs="Arial"/>
          <w:color w:val="2E3037"/>
          <w:lang w:val="en-AU"/>
        </w:rPr>
        <w:t xml:space="preserve"> per SKU for Medium label changes. Therefore, the </w:t>
      </w:r>
      <w:r w:rsidR="00761540">
        <w:rPr>
          <w:rFonts w:ascii="Arial" w:hAnsi="Arial" w:cs="Arial"/>
          <w:color w:val="2E3037"/>
          <w:lang w:val="en-AU"/>
        </w:rPr>
        <w:t>highe</w:t>
      </w:r>
      <w:r w:rsidR="007F37B8">
        <w:rPr>
          <w:rFonts w:ascii="Arial" w:hAnsi="Arial" w:cs="Arial"/>
          <w:color w:val="2E3037"/>
          <w:lang w:val="en-AU"/>
        </w:rPr>
        <w:t xml:space="preserve">r proportion of SKUs that require Major label changes, the </w:t>
      </w:r>
      <w:r w:rsidR="000D2794">
        <w:rPr>
          <w:rFonts w:ascii="Arial" w:hAnsi="Arial" w:cs="Arial"/>
          <w:color w:val="2E3037"/>
          <w:lang w:val="en-AU"/>
        </w:rPr>
        <w:t>higher total costs are to industry.</w:t>
      </w:r>
    </w:p>
    <w:p w14:paraId="6ECFDAD7" w14:textId="7EBBDB0C" w:rsidR="00415853" w:rsidRDefault="00415853" w:rsidP="00EB1AF1">
      <w:pPr>
        <w:rPr>
          <w:rFonts w:ascii="Arial" w:hAnsi="Arial" w:cs="Arial"/>
          <w:lang w:val="en-AU"/>
        </w:rPr>
      </w:pPr>
      <w:r>
        <w:rPr>
          <w:rFonts w:ascii="Arial" w:hAnsi="Arial" w:cs="Arial"/>
          <w:lang w:val="en-AU"/>
        </w:rPr>
        <w:t>Taking the sensitivity test for</w:t>
      </w:r>
      <w:r w:rsidR="00EB1AF1">
        <w:rPr>
          <w:rFonts w:ascii="Arial" w:hAnsi="Arial" w:cs="Arial"/>
          <w:lang w:val="en-AU"/>
        </w:rPr>
        <w:t xml:space="preserve"> </w:t>
      </w:r>
      <w:r w:rsidR="0030038F">
        <w:rPr>
          <w:rFonts w:ascii="Arial" w:hAnsi="Arial" w:cs="Arial"/>
          <w:lang w:val="en-AU"/>
        </w:rPr>
        <w:t>o</w:t>
      </w:r>
      <w:r w:rsidR="00EB1AF1">
        <w:rPr>
          <w:rFonts w:ascii="Arial" w:hAnsi="Arial" w:cs="Arial"/>
          <w:lang w:val="en-AU"/>
        </w:rPr>
        <w:t>ption 2</w:t>
      </w:r>
      <w:r>
        <w:rPr>
          <w:rFonts w:ascii="Arial" w:hAnsi="Arial" w:cs="Arial"/>
          <w:lang w:val="en-AU"/>
        </w:rPr>
        <w:t xml:space="preserve"> of different splits for required </w:t>
      </w:r>
      <w:r w:rsidR="009150A1">
        <w:rPr>
          <w:rFonts w:ascii="Arial" w:hAnsi="Arial" w:cs="Arial"/>
          <w:lang w:val="en-AU"/>
        </w:rPr>
        <w:t>Major and</w:t>
      </w:r>
      <w:r>
        <w:rPr>
          <w:rFonts w:ascii="Arial" w:hAnsi="Arial" w:cs="Arial"/>
          <w:lang w:val="en-AU"/>
        </w:rPr>
        <w:t xml:space="preserve"> M</w:t>
      </w:r>
      <w:r w:rsidR="009150A1">
        <w:rPr>
          <w:rFonts w:ascii="Arial" w:hAnsi="Arial" w:cs="Arial"/>
          <w:lang w:val="en-AU"/>
        </w:rPr>
        <w:t>edium</w:t>
      </w:r>
      <w:r>
        <w:rPr>
          <w:rFonts w:ascii="Arial" w:hAnsi="Arial" w:cs="Arial"/>
          <w:lang w:val="en-AU"/>
        </w:rPr>
        <w:t xml:space="preserve"> Label changes, i.e. </w:t>
      </w:r>
      <w:r w:rsidR="009150A1">
        <w:rPr>
          <w:rFonts w:ascii="Arial" w:hAnsi="Arial" w:cs="Arial"/>
          <w:lang w:val="en-AU"/>
        </w:rPr>
        <w:t>3</w:t>
      </w:r>
      <w:r>
        <w:rPr>
          <w:rFonts w:ascii="Arial" w:hAnsi="Arial" w:cs="Arial"/>
          <w:lang w:val="en-AU"/>
        </w:rPr>
        <w:t>0%/</w:t>
      </w:r>
      <w:r w:rsidR="009150A1">
        <w:rPr>
          <w:rFonts w:ascii="Arial" w:hAnsi="Arial" w:cs="Arial"/>
          <w:lang w:val="en-AU"/>
        </w:rPr>
        <w:t>7</w:t>
      </w:r>
      <w:r>
        <w:rPr>
          <w:rFonts w:ascii="Arial" w:hAnsi="Arial" w:cs="Arial"/>
          <w:lang w:val="en-AU"/>
        </w:rPr>
        <w:t xml:space="preserve">0% and </w:t>
      </w:r>
      <w:r w:rsidR="009150A1">
        <w:rPr>
          <w:rFonts w:ascii="Arial" w:hAnsi="Arial" w:cs="Arial"/>
          <w:lang w:val="en-AU"/>
        </w:rPr>
        <w:t>1</w:t>
      </w:r>
      <w:r>
        <w:rPr>
          <w:rFonts w:ascii="Arial" w:hAnsi="Arial" w:cs="Arial"/>
          <w:lang w:val="en-AU"/>
        </w:rPr>
        <w:t>0%/</w:t>
      </w:r>
      <w:r w:rsidR="009150A1">
        <w:rPr>
          <w:rFonts w:ascii="Arial" w:hAnsi="Arial" w:cs="Arial"/>
          <w:lang w:val="en-AU"/>
        </w:rPr>
        <w:t>9</w:t>
      </w:r>
      <w:r>
        <w:rPr>
          <w:rFonts w:ascii="Arial" w:hAnsi="Arial" w:cs="Arial"/>
          <w:lang w:val="en-AU"/>
        </w:rPr>
        <w:t>0%, the</w:t>
      </w:r>
      <w:r w:rsidR="002A4FF0">
        <w:rPr>
          <w:rFonts w:ascii="Arial" w:hAnsi="Arial" w:cs="Arial"/>
          <w:lang w:val="en-AU"/>
        </w:rPr>
        <w:t>:</w:t>
      </w:r>
    </w:p>
    <w:p w14:paraId="26B1FE86" w14:textId="02B4A932" w:rsidR="00415853" w:rsidRPr="00415853" w:rsidRDefault="00415853" w:rsidP="00415853">
      <w:pPr>
        <w:pStyle w:val="ListParagraph"/>
        <w:numPr>
          <w:ilvl w:val="0"/>
          <w:numId w:val="31"/>
        </w:numPr>
        <w:rPr>
          <w:rFonts w:ascii="Arial" w:hAnsi="Arial" w:cs="Arial"/>
          <w:lang w:val="en-AU"/>
        </w:rPr>
      </w:pPr>
      <w:r w:rsidRPr="00415853">
        <w:rPr>
          <w:rFonts w:ascii="Arial" w:hAnsi="Arial" w:cs="Arial"/>
          <w:lang w:val="en-AU"/>
        </w:rPr>
        <w:t xml:space="preserve">high-cost estimate of total costs to industry becomes AU$ </w:t>
      </w:r>
      <w:r w:rsidR="0021158D" w:rsidRPr="009C7F62">
        <w:rPr>
          <w:rFonts w:ascii="Arial" w:hAnsi="Arial" w:cs="Arial"/>
        </w:rPr>
        <w:t>437,436,211</w:t>
      </w:r>
      <w:r w:rsidR="00B9150B">
        <w:rPr>
          <w:rFonts w:ascii="Arial" w:hAnsi="Arial" w:cs="Arial"/>
        </w:rPr>
        <w:t>,</w:t>
      </w:r>
      <w:r w:rsidR="00FE67F9">
        <w:rPr>
          <w:rFonts w:ascii="Arial" w:hAnsi="Arial" w:cs="Arial"/>
        </w:rPr>
        <w:t xml:space="preserve"> assuming </w:t>
      </w:r>
      <w:r w:rsidR="009150A1">
        <w:rPr>
          <w:rFonts w:ascii="Arial" w:hAnsi="Arial" w:cs="Arial"/>
        </w:rPr>
        <w:t>3</w:t>
      </w:r>
      <w:r w:rsidR="007E2723">
        <w:rPr>
          <w:rFonts w:ascii="Arial" w:hAnsi="Arial" w:cs="Arial"/>
        </w:rPr>
        <w:t>0% of label changes are M</w:t>
      </w:r>
      <w:r w:rsidR="009150A1">
        <w:rPr>
          <w:rFonts w:ascii="Arial" w:hAnsi="Arial" w:cs="Arial"/>
        </w:rPr>
        <w:t>ajor</w:t>
      </w:r>
      <w:r w:rsidR="007E2723">
        <w:rPr>
          <w:rFonts w:ascii="Arial" w:hAnsi="Arial" w:cs="Arial"/>
        </w:rPr>
        <w:t xml:space="preserve"> and </w:t>
      </w:r>
      <w:r w:rsidR="009150A1">
        <w:rPr>
          <w:rFonts w:ascii="Arial" w:hAnsi="Arial" w:cs="Arial"/>
        </w:rPr>
        <w:t>70</w:t>
      </w:r>
      <w:r w:rsidR="007E2723">
        <w:rPr>
          <w:rFonts w:ascii="Arial" w:hAnsi="Arial" w:cs="Arial"/>
        </w:rPr>
        <w:t xml:space="preserve">% of label changes are </w:t>
      </w:r>
      <w:r w:rsidR="009150A1">
        <w:rPr>
          <w:rFonts w:ascii="Arial" w:hAnsi="Arial" w:cs="Arial"/>
        </w:rPr>
        <w:t>Medium</w:t>
      </w:r>
    </w:p>
    <w:p w14:paraId="2DAA14C7" w14:textId="69B4E36F" w:rsidR="00736F5A" w:rsidRPr="00BD6DA9" w:rsidRDefault="00415853" w:rsidP="00736F5A">
      <w:pPr>
        <w:pStyle w:val="ListParagraph"/>
        <w:numPr>
          <w:ilvl w:val="0"/>
          <w:numId w:val="31"/>
        </w:numPr>
        <w:rPr>
          <w:rFonts w:ascii="Arial" w:hAnsi="Arial" w:cs="Arial"/>
          <w:lang w:val="en-AU"/>
        </w:rPr>
      </w:pPr>
      <w:r>
        <w:rPr>
          <w:rFonts w:ascii="Arial" w:hAnsi="Arial" w:cs="Arial"/>
        </w:rPr>
        <w:t>low-cost estimate</w:t>
      </w:r>
      <w:r w:rsidR="00EB1AF1" w:rsidRPr="00415853">
        <w:rPr>
          <w:rFonts w:ascii="Arial" w:hAnsi="Arial" w:cs="Arial"/>
          <w:lang w:val="en-AU"/>
        </w:rPr>
        <w:t xml:space="preserve"> becomes </w:t>
      </w:r>
      <w:r w:rsidR="008F2475" w:rsidRPr="00415853">
        <w:rPr>
          <w:rFonts w:ascii="Arial" w:hAnsi="Arial" w:cs="Arial"/>
          <w:lang w:val="en-AU"/>
        </w:rPr>
        <w:t xml:space="preserve">$AU </w:t>
      </w:r>
      <w:r w:rsidR="00034F00" w:rsidRPr="009C7F62">
        <w:rPr>
          <w:rFonts w:ascii="Arial" w:hAnsi="Arial" w:cs="Arial"/>
          <w:lang w:val="en-AU"/>
        </w:rPr>
        <w:t>336,251,108</w:t>
      </w:r>
      <w:r w:rsidR="00EB1AF1" w:rsidRPr="00415853">
        <w:rPr>
          <w:rFonts w:ascii="Arial" w:hAnsi="Arial" w:cs="Arial"/>
          <w:lang w:val="en-AU"/>
        </w:rPr>
        <w:t>, which equals</w:t>
      </w:r>
      <w:r w:rsidR="008F2475" w:rsidRPr="00415853">
        <w:rPr>
          <w:rFonts w:ascii="Arial" w:hAnsi="Arial" w:cs="Arial"/>
          <w:lang w:val="en-AU"/>
        </w:rPr>
        <w:t xml:space="preserve"> 77% of the high-cost estimate</w:t>
      </w:r>
      <w:r w:rsidR="00B9150B">
        <w:rPr>
          <w:rFonts w:ascii="Arial" w:hAnsi="Arial" w:cs="Arial"/>
          <w:lang w:val="en-AU"/>
        </w:rPr>
        <w:t>,</w:t>
      </w:r>
      <w:r w:rsidR="00B9150B" w:rsidRPr="00B9150B">
        <w:rPr>
          <w:rFonts w:ascii="Arial" w:hAnsi="Arial" w:cs="Arial"/>
        </w:rPr>
        <w:t xml:space="preserve"> </w:t>
      </w:r>
      <w:r w:rsidR="00B9150B">
        <w:rPr>
          <w:rFonts w:ascii="Arial" w:hAnsi="Arial" w:cs="Arial"/>
        </w:rPr>
        <w:t xml:space="preserve">assuming </w:t>
      </w:r>
      <w:r w:rsidR="009150A1">
        <w:rPr>
          <w:rFonts w:ascii="Arial" w:hAnsi="Arial" w:cs="Arial"/>
        </w:rPr>
        <w:t>1</w:t>
      </w:r>
      <w:r w:rsidR="00B9150B">
        <w:rPr>
          <w:rFonts w:ascii="Arial" w:hAnsi="Arial" w:cs="Arial"/>
        </w:rPr>
        <w:t>0% of label changes are M</w:t>
      </w:r>
      <w:r w:rsidR="009150A1">
        <w:rPr>
          <w:rFonts w:ascii="Arial" w:hAnsi="Arial" w:cs="Arial"/>
        </w:rPr>
        <w:t>ajor</w:t>
      </w:r>
      <w:r w:rsidR="00B9150B">
        <w:rPr>
          <w:rFonts w:ascii="Arial" w:hAnsi="Arial" w:cs="Arial"/>
        </w:rPr>
        <w:t xml:space="preserve"> and </w:t>
      </w:r>
      <w:r w:rsidR="009150A1">
        <w:rPr>
          <w:rFonts w:ascii="Arial" w:hAnsi="Arial" w:cs="Arial"/>
        </w:rPr>
        <w:t>9</w:t>
      </w:r>
      <w:r w:rsidR="00B9150B">
        <w:rPr>
          <w:rFonts w:ascii="Arial" w:hAnsi="Arial" w:cs="Arial"/>
        </w:rPr>
        <w:t xml:space="preserve">0% of label changes are </w:t>
      </w:r>
      <w:r w:rsidR="009150A1">
        <w:rPr>
          <w:rFonts w:ascii="Arial" w:hAnsi="Arial" w:cs="Arial"/>
        </w:rPr>
        <w:t>Medium</w:t>
      </w:r>
      <w:r w:rsidR="004E549F" w:rsidRPr="00415853">
        <w:rPr>
          <w:rFonts w:ascii="Arial" w:hAnsi="Arial" w:cs="Arial"/>
        </w:rPr>
        <w:t xml:space="preserve">. </w:t>
      </w:r>
    </w:p>
    <w:p w14:paraId="343D7FBD" w14:textId="77777777" w:rsidR="00BD6DA9" w:rsidRPr="00B9150B" w:rsidRDefault="00BD6DA9" w:rsidP="00BD6DA9">
      <w:pPr>
        <w:pStyle w:val="ListParagraph"/>
        <w:rPr>
          <w:rFonts w:ascii="Arial" w:hAnsi="Arial" w:cs="Arial"/>
          <w:lang w:val="en-AU"/>
        </w:rPr>
      </w:pPr>
    </w:p>
    <w:p w14:paraId="25EDDBF0" w14:textId="77FBFB05" w:rsidR="00736F5A" w:rsidRPr="00BD6DA9" w:rsidRDefault="00B9150B" w:rsidP="00BD6DA9">
      <w:pPr>
        <w:rPr>
          <w:rFonts w:ascii="Arial" w:hAnsi="Arial" w:cs="Arial"/>
          <w:lang w:val="en-AU"/>
        </w:rPr>
      </w:pPr>
      <w:r>
        <w:rPr>
          <w:rFonts w:ascii="Arial" w:hAnsi="Arial" w:cs="Arial"/>
          <w:lang w:val="en-AU"/>
        </w:rPr>
        <w:t xml:space="preserve">For </w:t>
      </w:r>
      <w:r w:rsidR="0030038F">
        <w:rPr>
          <w:rFonts w:ascii="Arial" w:hAnsi="Arial" w:cs="Arial"/>
          <w:lang w:val="en-AU"/>
        </w:rPr>
        <w:t>o</w:t>
      </w:r>
      <w:r>
        <w:rPr>
          <w:rFonts w:ascii="Arial" w:hAnsi="Arial" w:cs="Arial"/>
          <w:lang w:val="en-AU"/>
        </w:rPr>
        <w:t xml:space="preserve">ption 3, the </w:t>
      </w:r>
      <w:r w:rsidR="00BD6DA9">
        <w:rPr>
          <w:rFonts w:ascii="Arial" w:hAnsi="Arial" w:cs="Arial"/>
          <w:lang w:val="en-AU"/>
        </w:rPr>
        <w:t>M</w:t>
      </w:r>
      <w:r>
        <w:rPr>
          <w:rFonts w:ascii="Arial" w:hAnsi="Arial" w:cs="Arial"/>
          <w:lang w:val="en-AU"/>
        </w:rPr>
        <w:t xml:space="preserve">inor label change costs of incorporating </w:t>
      </w:r>
      <w:r w:rsidR="00872F1A">
        <w:rPr>
          <w:rFonts w:ascii="Arial" w:hAnsi="Arial" w:cs="Arial"/>
          <w:lang w:val="en-AU"/>
        </w:rPr>
        <w:t xml:space="preserve">newly </w:t>
      </w:r>
      <w:r w:rsidR="00D62B6F">
        <w:rPr>
          <w:rFonts w:ascii="Arial" w:hAnsi="Arial" w:cs="Arial"/>
          <w:lang w:val="en-AU"/>
        </w:rPr>
        <w:t xml:space="preserve">required </w:t>
      </w:r>
      <w:r w:rsidR="00B70747">
        <w:rPr>
          <w:rFonts w:ascii="Arial" w:hAnsi="Arial" w:cs="Arial"/>
          <w:lang w:val="en-AU"/>
        </w:rPr>
        <w:t>standard drink</w:t>
      </w:r>
      <w:r w:rsidR="00D62B6F">
        <w:rPr>
          <w:rFonts w:ascii="Arial" w:hAnsi="Arial" w:cs="Arial"/>
          <w:lang w:val="en-AU"/>
        </w:rPr>
        <w:t xml:space="preserve"> information</w:t>
      </w:r>
      <w:r w:rsidR="00B70747">
        <w:rPr>
          <w:rFonts w:ascii="Arial" w:hAnsi="Arial" w:cs="Arial"/>
          <w:lang w:val="en-AU"/>
        </w:rPr>
        <w:t xml:space="preserve"> </w:t>
      </w:r>
      <w:r w:rsidRPr="00AF3421">
        <w:rPr>
          <w:rFonts w:ascii="Arial" w:hAnsi="Arial" w:cs="Arial"/>
          <w:lang w:val="en-AU"/>
        </w:rPr>
        <w:t>into NIPs</w:t>
      </w:r>
      <w:r w:rsidR="00440BE0">
        <w:rPr>
          <w:rFonts w:ascii="Arial" w:hAnsi="Arial" w:cs="Arial"/>
          <w:lang w:val="en-AU"/>
        </w:rPr>
        <w:t xml:space="preserve"> on</w:t>
      </w:r>
      <w:r w:rsidR="00020CBB">
        <w:rPr>
          <w:rFonts w:ascii="Arial" w:hAnsi="Arial" w:cs="Arial"/>
          <w:lang w:val="en-AU"/>
        </w:rPr>
        <w:t xml:space="preserve"> multi-serve</w:t>
      </w:r>
      <w:r w:rsidR="00440BE0">
        <w:rPr>
          <w:rFonts w:ascii="Arial" w:hAnsi="Arial" w:cs="Arial"/>
          <w:lang w:val="en-AU"/>
        </w:rPr>
        <w:t xml:space="preserve"> packages </w:t>
      </w:r>
      <w:r w:rsidRPr="00AF3421">
        <w:rPr>
          <w:rFonts w:ascii="Arial" w:hAnsi="Arial" w:cs="Arial"/>
          <w:lang w:val="en-AU"/>
        </w:rPr>
        <w:t xml:space="preserve">were added to the above </w:t>
      </w:r>
      <w:r w:rsidR="008B3A94">
        <w:rPr>
          <w:rFonts w:ascii="Arial" w:hAnsi="Arial" w:cs="Arial"/>
          <w:lang w:val="en-AU"/>
        </w:rPr>
        <w:t>“</w:t>
      </w:r>
      <w:r w:rsidR="00AF3421" w:rsidRPr="00AF3421">
        <w:rPr>
          <w:rFonts w:ascii="Arial" w:hAnsi="Arial" w:cs="Arial"/>
          <w:lang w:val="en-AU"/>
        </w:rPr>
        <w:t>high</w:t>
      </w:r>
      <w:r w:rsidR="008B3A94">
        <w:rPr>
          <w:rFonts w:ascii="Arial" w:hAnsi="Arial" w:cs="Arial"/>
          <w:lang w:val="en-AU"/>
        </w:rPr>
        <w:t>”</w:t>
      </w:r>
      <w:r w:rsidR="00AF3421" w:rsidRPr="00AF3421">
        <w:rPr>
          <w:rFonts w:ascii="Arial" w:hAnsi="Arial" w:cs="Arial"/>
          <w:lang w:val="en-AU"/>
        </w:rPr>
        <w:t xml:space="preserve"> and </w:t>
      </w:r>
      <w:r w:rsidR="008B3A94">
        <w:rPr>
          <w:rFonts w:ascii="Arial" w:hAnsi="Arial" w:cs="Arial"/>
          <w:lang w:val="en-AU"/>
        </w:rPr>
        <w:t>“</w:t>
      </w:r>
      <w:r w:rsidR="00AF3421" w:rsidRPr="00AF3421">
        <w:rPr>
          <w:rFonts w:ascii="Arial" w:hAnsi="Arial" w:cs="Arial"/>
          <w:lang w:val="en-AU"/>
        </w:rPr>
        <w:t>low</w:t>
      </w:r>
      <w:r w:rsidR="008B3A94">
        <w:rPr>
          <w:rFonts w:ascii="Arial" w:hAnsi="Arial" w:cs="Arial"/>
          <w:lang w:val="en-AU"/>
        </w:rPr>
        <w:t>”</w:t>
      </w:r>
      <w:r w:rsidR="00AF3421" w:rsidRPr="00AF3421">
        <w:rPr>
          <w:rFonts w:ascii="Arial" w:hAnsi="Arial" w:cs="Arial"/>
          <w:lang w:val="en-AU"/>
        </w:rPr>
        <w:t xml:space="preserve"> cost estimates</w:t>
      </w:r>
      <w:r w:rsidR="008B3A94">
        <w:rPr>
          <w:rFonts w:ascii="Arial" w:hAnsi="Arial" w:cs="Arial"/>
          <w:lang w:val="en-AU"/>
        </w:rPr>
        <w:t xml:space="preserve"> for </w:t>
      </w:r>
      <w:r w:rsidR="0030038F">
        <w:rPr>
          <w:rFonts w:ascii="Arial" w:hAnsi="Arial" w:cs="Arial"/>
          <w:lang w:val="en-AU"/>
        </w:rPr>
        <w:t>o</w:t>
      </w:r>
      <w:r w:rsidR="008B3A94">
        <w:rPr>
          <w:rFonts w:ascii="Arial" w:hAnsi="Arial" w:cs="Arial"/>
          <w:lang w:val="en-AU"/>
        </w:rPr>
        <w:t>ption 2</w:t>
      </w:r>
      <w:r w:rsidR="00AF3421">
        <w:rPr>
          <w:rFonts w:ascii="Arial" w:hAnsi="Arial" w:cs="Arial"/>
          <w:lang w:val="en-AU"/>
        </w:rPr>
        <w:t>.</w:t>
      </w:r>
      <w:r w:rsidR="00E21CB7">
        <w:rPr>
          <w:rFonts w:ascii="Arial" w:hAnsi="Arial" w:cs="Arial"/>
          <w:lang w:val="en-AU"/>
        </w:rPr>
        <w:t xml:space="preserve"> </w:t>
      </w:r>
    </w:p>
    <w:p w14:paraId="27C77102" w14:textId="4DD2E8F2" w:rsidR="00736F5A" w:rsidRDefault="00736F5A" w:rsidP="00736F5A">
      <w:pPr>
        <w:rPr>
          <w:rFonts w:ascii="Arial" w:hAnsi="Arial" w:cs="Arial"/>
          <w:lang w:val="en-GB"/>
        </w:rPr>
      </w:pPr>
      <w:r>
        <w:rPr>
          <w:rFonts w:ascii="Arial" w:hAnsi="Arial" w:cs="Arial"/>
          <w:lang w:val="en-GB"/>
        </w:rPr>
        <w:t>The above Major</w:t>
      </w:r>
      <w:r w:rsidR="00E3434A">
        <w:rPr>
          <w:rFonts w:ascii="Arial" w:hAnsi="Arial" w:cs="Arial"/>
          <w:lang w:val="en-GB"/>
        </w:rPr>
        <w:t>/Medium</w:t>
      </w:r>
      <w:r>
        <w:rPr>
          <w:rFonts w:ascii="Arial" w:hAnsi="Arial" w:cs="Arial"/>
          <w:lang w:val="en-GB"/>
        </w:rPr>
        <w:t xml:space="preserve"> label change splits</w:t>
      </w:r>
      <w:r w:rsidR="00AF3421">
        <w:rPr>
          <w:rFonts w:ascii="Arial" w:hAnsi="Arial" w:cs="Arial"/>
          <w:lang w:val="en-GB"/>
        </w:rPr>
        <w:t xml:space="preserve"> (</w:t>
      </w:r>
      <w:r w:rsidR="00E3434A">
        <w:rPr>
          <w:rFonts w:ascii="Arial" w:hAnsi="Arial" w:cs="Arial"/>
          <w:lang w:val="en-AU"/>
        </w:rPr>
        <w:t>3</w:t>
      </w:r>
      <w:r w:rsidR="00AF3421">
        <w:rPr>
          <w:rFonts w:ascii="Arial" w:hAnsi="Arial" w:cs="Arial"/>
          <w:lang w:val="en-AU"/>
        </w:rPr>
        <w:t>0%/</w:t>
      </w:r>
      <w:r w:rsidR="00E3434A">
        <w:rPr>
          <w:rFonts w:ascii="Arial" w:hAnsi="Arial" w:cs="Arial"/>
          <w:lang w:val="en-AU"/>
        </w:rPr>
        <w:t>7</w:t>
      </w:r>
      <w:r w:rsidR="00AF3421">
        <w:rPr>
          <w:rFonts w:ascii="Arial" w:hAnsi="Arial" w:cs="Arial"/>
          <w:lang w:val="en-AU"/>
        </w:rPr>
        <w:t xml:space="preserve">0% and </w:t>
      </w:r>
      <w:r w:rsidR="00E3434A">
        <w:rPr>
          <w:rFonts w:ascii="Arial" w:hAnsi="Arial" w:cs="Arial"/>
          <w:lang w:val="en-AU"/>
        </w:rPr>
        <w:t>1</w:t>
      </w:r>
      <w:r w:rsidR="00AF3421">
        <w:rPr>
          <w:rFonts w:ascii="Arial" w:hAnsi="Arial" w:cs="Arial"/>
          <w:lang w:val="en-AU"/>
        </w:rPr>
        <w:t>0%/</w:t>
      </w:r>
      <w:r w:rsidR="00E3434A">
        <w:rPr>
          <w:rFonts w:ascii="Arial" w:hAnsi="Arial" w:cs="Arial"/>
          <w:lang w:val="en-AU"/>
        </w:rPr>
        <w:t>9</w:t>
      </w:r>
      <w:r w:rsidR="00AF3421">
        <w:rPr>
          <w:rFonts w:ascii="Arial" w:hAnsi="Arial" w:cs="Arial"/>
          <w:lang w:val="en-AU"/>
        </w:rPr>
        <w:t>0%)</w:t>
      </w:r>
      <w:r>
        <w:rPr>
          <w:rFonts w:ascii="Arial" w:hAnsi="Arial" w:cs="Arial"/>
          <w:lang w:val="en-GB"/>
        </w:rPr>
        <w:t xml:space="preserve"> takes account of submissions received to the CFS. Four industry submitters considered the proposed energy statement would require a Major label change and that this would markedly increase label change costs.</w:t>
      </w:r>
    </w:p>
    <w:p w14:paraId="029CBF10" w14:textId="1252CAD4" w:rsidR="00736F5A" w:rsidRPr="00736F5A" w:rsidRDefault="00736F5A" w:rsidP="00736F5A">
      <w:pPr>
        <w:rPr>
          <w:rFonts w:ascii="Arial" w:hAnsi="Arial" w:cs="Arial"/>
          <w:lang w:val="en-GB"/>
        </w:rPr>
      </w:pPr>
      <w:r>
        <w:rPr>
          <w:rFonts w:ascii="Arial" w:hAnsi="Arial" w:cs="Arial"/>
          <w:lang w:val="en-GB"/>
        </w:rPr>
        <w:t>Eleven</w:t>
      </w:r>
      <w:r w:rsidRPr="00514ACB">
        <w:rPr>
          <w:rFonts w:ascii="Arial" w:hAnsi="Arial" w:cs="Arial"/>
          <w:lang w:val="en-GB"/>
        </w:rPr>
        <w:t xml:space="preserve"> other industry </w:t>
      </w:r>
      <w:r>
        <w:rPr>
          <w:rFonts w:ascii="Arial" w:hAnsi="Arial" w:cs="Arial"/>
          <w:lang w:val="en-GB"/>
        </w:rPr>
        <w:t>submitters provided information about</w:t>
      </w:r>
      <w:r w:rsidRPr="00514ACB">
        <w:rPr>
          <w:rFonts w:ascii="Arial" w:hAnsi="Arial" w:cs="Arial"/>
          <w:lang w:val="en-GB"/>
        </w:rPr>
        <w:t xml:space="preserve"> their own label change cost estimates</w:t>
      </w:r>
      <w:r>
        <w:rPr>
          <w:rFonts w:ascii="Arial" w:hAnsi="Arial" w:cs="Arial"/>
          <w:lang w:val="en-GB"/>
        </w:rPr>
        <w:t>. Five of these cost estimates were</w:t>
      </w:r>
      <w:r w:rsidRPr="00514ACB">
        <w:rPr>
          <w:rFonts w:ascii="Arial" w:hAnsi="Arial" w:cs="Arial"/>
          <w:lang w:val="en-GB"/>
        </w:rPr>
        <w:t xml:space="preserve"> </w:t>
      </w:r>
      <w:r>
        <w:rPr>
          <w:rFonts w:ascii="Arial" w:hAnsi="Arial" w:cs="Arial"/>
          <w:lang w:val="en-GB"/>
        </w:rPr>
        <w:t>substantially</w:t>
      </w:r>
      <w:r w:rsidRPr="00514ACB">
        <w:rPr>
          <w:rFonts w:ascii="Arial" w:hAnsi="Arial" w:cs="Arial"/>
          <w:lang w:val="en-GB"/>
        </w:rPr>
        <w:t xml:space="preserve"> lower than </w:t>
      </w:r>
      <w:r>
        <w:rPr>
          <w:rFonts w:ascii="Arial" w:hAnsi="Arial" w:cs="Arial"/>
          <w:lang w:val="en-GB"/>
        </w:rPr>
        <w:t xml:space="preserve">the </w:t>
      </w:r>
      <w:r w:rsidR="00422C91">
        <w:rPr>
          <w:rFonts w:ascii="Arial" w:hAnsi="Arial" w:cs="Arial"/>
          <w:lang w:val="en-GB"/>
        </w:rPr>
        <w:t xml:space="preserve">average </w:t>
      </w:r>
      <w:r>
        <w:rPr>
          <w:rFonts w:ascii="Arial" w:hAnsi="Arial" w:cs="Arial"/>
          <w:lang w:val="en-GB"/>
        </w:rPr>
        <w:t>$4,</w:t>
      </w:r>
      <w:r w:rsidR="000037B0">
        <w:rPr>
          <w:rFonts w:ascii="Arial" w:hAnsi="Arial" w:cs="Arial"/>
          <w:lang w:val="en-GB"/>
        </w:rPr>
        <w:t>355</w:t>
      </w:r>
      <w:r>
        <w:rPr>
          <w:rFonts w:ascii="Arial" w:hAnsi="Arial" w:cs="Arial"/>
          <w:lang w:val="en-GB"/>
        </w:rPr>
        <w:t xml:space="preserve"> per SKU </w:t>
      </w:r>
      <w:r w:rsidRPr="00514ACB">
        <w:rPr>
          <w:rFonts w:ascii="Arial" w:hAnsi="Arial" w:cs="Arial"/>
          <w:lang w:val="en-GB"/>
        </w:rPr>
        <w:t>estimated by FSANZ under the Medium label change scenario</w:t>
      </w:r>
      <w:r>
        <w:rPr>
          <w:rFonts w:ascii="Arial" w:hAnsi="Arial" w:cs="Arial"/>
          <w:lang w:val="en-GB"/>
        </w:rPr>
        <w:t>, including for three craft brewing businesses. The other six cost estimates were similar to costs of</w:t>
      </w:r>
      <w:r w:rsidRPr="00514ACB">
        <w:rPr>
          <w:rFonts w:ascii="Arial" w:hAnsi="Arial" w:cs="Arial"/>
          <w:lang w:val="en-GB"/>
        </w:rPr>
        <w:t xml:space="preserve"> a Medium label change.</w:t>
      </w:r>
      <w:r>
        <w:rPr>
          <w:rFonts w:ascii="Arial" w:hAnsi="Arial" w:cs="Arial"/>
          <w:lang w:val="en-GB"/>
        </w:rPr>
        <w:t xml:space="preserve"> Among those six cost estimates,</w:t>
      </w:r>
      <w:r w:rsidRPr="00514ACB">
        <w:rPr>
          <w:rFonts w:ascii="Arial" w:hAnsi="Arial" w:cs="Arial"/>
          <w:lang w:val="en-GB"/>
        </w:rPr>
        <w:t xml:space="preserve"> one New Zealand supermarket chain quot</w:t>
      </w:r>
      <w:r>
        <w:rPr>
          <w:rFonts w:ascii="Arial" w:hAnsi="Arial" w:cs="Arial"/>
          <w:lang w:val="en-GB"/>
        </w:rPr>
        <w:t xml:space="preserve">ed </w:t>
      </w:r>
      <w:r w:rsidRPr="00514ACB">
        <w:rPr>
          <w:rFonts w:ascii="Arial" w:hAnsi="Arial" w:cs="Arial"/>
          <w:lang w:val="en-GB"/>
        </w:rPr>
        <w:t>average per SKU label change costs at $NZ 3,000 to $NZ 5,000</w:t>
      </w:r>
      <w:r w:rsidR="00510248">
        <w:rPr>
          <w:rFonts w:ascii="Arial" w:hAnsi="Arial" w:cs="Arial"/>
          <w:lang w:val="en-GB"/>
        </w:rPr>
        <w:t xml:space="preserve"> in early</w:t>
      </w:r>
      <w:r w:rsidR="006D58EB">
        <w:rPr>
          <w:rFonts w:ascii="Arial" w:hAnsi="Arial" w:cs="Arial"/>
          <w:lang w:val="en-GB"/>
        </w:rPr>
        <w:t xml:space="preserve"> 2023</w:t>
      </w:r>
      <w:r w:rsidRPr="00514ACB">
        <w:rPr>
          <w:rFonts w:ascii="Arial" w:hAnsi="Arial" w:cs="Arial"/>
          <w:lang w:val="en-GB"/>
        </w:rPr>
        <w:t>, converted to approximately $AU 2,</w:t>
      </w:r>
      <w:r w:rsidR="00BB7E36">
        <w:rPr>
          <w:rFonts w:ascii="Arial" w:hAnsi="Arial" w:cs="Arial"/>
          <w:lang w:val="en-GB"/>
        </w:rPr>
        <w:t>9</w:t>
      </w:r>
      <w:r w:rsidR="00ED1470">
        <w:rPr>
          <w:rFonts w:ascii="Arial" w:hAnsi="Arial" w:cs="Arial"/>
          <w:lang w:val="en-GB"/>
        </w:rPr>
        <w:t>06</w:t>
      </w:r>
      <w:r w:rsidRPr="00514ACB">
        <w:rPr>
          <w:rFonts w:ascii="Arial" w:hAnsi="Arial" w:cs="Arial"/>
          <w:lang w:val="en-GB"/>
        </w:rPr>
        <w:t xml:space="preserve"> to $AU 4,</w:t>
      </w:r>
      <w:r w:rsidR="00C35D62">
        <w:rPr>
          <w:rFonts w:ascii="Arial" w:hAnsi="Arial" w:cs="Arial"/>
          <w:lang w:val="en-GB"/>
        </w:rPr>
        <w:t>84</w:t>
      </w:r>
      <w:r w:rsidR="00ED1470">
        <w:rPr>
          <w:rFonts w:ascii="Arial" w:hAnsi="Arial" w:cs="Arial"/>
          <w:lang w:val="en-GB"/>
        </w:rPr>
        <w:t>4</w:t>
      </w:r>
      <w:r>
        <w:rPr>
          <w:rStyle w:val="FootnoteReference"/>
          <w:rFonts w:ascii="Arial" w:hAnsi="Arial" w:cs="Arial"/>
          <w:lang w:val="en-GB"/>
        </w:rPr>
        <w:footnoteReference w:id="25"/>
      </w:r>
      <w:r w:rsidR="00510248">
        <w:rPr>
          <w:rFonts w:ascii="Arial" w:hAnsi="Arial" w:cs="Arial"/>
          <w:lang w:val="en-GB"/>
        </w:rPr>
        <w:t xml:space="preserve"> in Dec 2024 prices</w:t>
      </w:r>
      <w:r w:rsidRPr="00514ACB">
        <w:rPr>
          <w:rFonts w:ascii="Arial" w:hAnsi="Arial" w:cs="Arial"/>
          <w:lang w:val="en-GB"/>
        </w:rPr>
        <w:t xml:space="preserve">. That </w:t>
      </w:r>
      <w:r>
        <w:rPr>
          <w:rFonts w:ascii="Arial" w:hAnsi="Arial" w:cs="Arial"/>
          <w:lang w:val="en-GB"/>
        </w:rPr>
        <w:t>compares to this DRIS’s assumed weighted average label change cost per SKU of $AU 4,</w:t>
      </w:r>
      <w:r w:rsidR="00785D5D">
        <w:rPr>
          <w:rFonts w:ascii="Arial" w:hAnsi="Arial" w:cs="Arial"/>
          <w:lang w:val="en-GB"/>
        </w:rPr>
        <w:t xml:space="preserve">355 </w:t>
      </w:r>
      <w:r>
        <w:rPr>
          <w:rFonts w:ascii="Arial" w:hAnsi="Arial" w:cs="Arial"/>
          <w:lang w:val="en-GB"/>
        </w:rPr>
        <w:t>for a Medium label change</w:t>
      </w:r>
      <w:r w:rsidR="000D0A3F">
        <w:rPr>
          <w:rFonts w:ascii="Arial" w:hAnsi="Arial" w:cs="Arial"/>
          <w:lang w:val="en-GB"/>
        </w:rPr>
        <w:t>.</w:t>
      </w:r>
    </w:p>
    <w:p w14:paraId="23541931" w14:textId="77777777" w:rsidR="0009219D" w:rsidRPr="0009219D" w:rsidRDefault="0009219D" w:rsidP="0009219D">
      <w:pPr>
        <w:pStyle w:val="ListParagraph"/>
        <w:rPr>
          <w:rFonts w:ascii="Arial" w:hAnsi="Arial" w:cs="Arial"/>
          <w:lang w:val="en-AU"/>
        </w:rPr>
      </w:pPr>
    </w:p>
    <w:p w14:paraId="5DF41A56" w14:textId="51D9640D" w:rsidR="008F2475" w:rsidRPr="000828D1" w:rsidRDefault="00AB5265" w:rsidP="000828D1">
      <w:pPr>
        <w:rPr>
          <w:rFonts w:ascii="Arial" w:eastAsia="Times New Roman" w:hAnsi="Arial" w:cs="Times New Roman"/>
          <w:b/>
          <w:bCs/>
          <w:color w:val="000000" w:themeColor="text1"/>
          <w:szCs w:val="24"/>
          <w:lang w:val="en-GB" w:eastAsia="en-AU"/>
        </w:rPr>
      </w:pPr>
      <w:r w:rsidRPr="000828D1">
        <w:rPr>
          <w:rFonts w:ascii="Arial" w:eastAsia="Times New Roman" w:hAnsi="Arial" w:cs="Times New Roman"/>
          <w:b/>
          <w:bCs/>
          <w:color w:val="000000" w:themeColor="text1"/>
          <w:szCs w:val="24"/>
          <w:lang w:val="en-GB" w:eastAsia="en-AU"/>
        </w:rPr>
        <w:t xml:space="preserve">One-off costs to </w:t>
      </w:r>
      <w:r w:rsidR="008F2475" w:rsidRPr="000828D1">
        <w:rPr>
          <w:rFonts w:ascii="Arial" w:eastAsia="Times New Roman" w:hAnsi="Arial" w:cs="Times New Roman"/>
          <w:b/>
          <w:bCs/>
          <w:color w:val="000000" w:themeColor="text1"/>
          <w:szCs w:val="24"/>
          <w:lang w:val="en-GB" w:eastAsia="en-AU"/>
        </w:rPr>
        <w:t>relabel SKUs –</w:t>
      </w:r>
      <w:r w:rsidR="00B47679" w:rsidRPr="000828D1">
        <w:rPr>
          <w:rFonts w:ascii="Arial" w:eastAsia="Times New Roman" w:hAnsi="Arial" w:cs="Times New Roman"/>
          <w:b/>
          <w:bCs/>
          <w:color w:val="000000" w:themeColor="text1"/>
          <w:szCs w:val="24"/>
          <w:lang w:val="en-GB" w:eastAsia="en-AU"/>
        </w:rPr>
        <w:t xml:space="preserve"> </w:t>
      </w:r>
      <w:r w:rsidR="008F2475" w:rsidRPr="000828D1">
        <w:rPr>
          <w:rFonts w:ascii="Arial" w:eastAsia="Times New Roman" w:hAnsi="Arial" w:cs="Times New Roman"/>
          <w:b/>
          <w:bCs/>
          <w:color w:val="000000" w:themeColor="text1"/>
          <w:szCs w:val="24"/>
          <w:lang w:val="en-GB" w:eastAsia="en-AU"/>
        </w:rPr>
        <w:t>Option 3</w:t>
      </w:r>
    </w:p>
    <w:p w14:paraId="540C45F2" w14:textId="464CA420" w:rsidR="008F2475" w:rsidRDefault="008F2475" w:rsidP="008F2475">
      <w:pPr>
        <w:rPr>
          <w:rFonts w:ascii="Arial" w:hAnsi="Arial" w:cs="Arial"/>
          <w:lang w:val="en-AU"/>
        </w:rPr>
      </w:pPr>
      <w:r w:rsidRPr="008F2475">
        <w:rPr>
          <w:rFonts w:ascii="Arial" w:hAnsi="Arial" w:cs="Arial"/>
          <w:lang w:val="en-AU"/>
        </w:rPr>
        <w:t xml:space="preserve">It is assumed that in addition to the </w:t>
      </w:r>
      <w:r w:rsidR="009362B9">
        <w:rPr>
          <w:rFonts w:ascii="Arial" w:hAnsi="Arial" w:cs="Arial"/>
          <w:lang w:val="en-AU"/>
        </w:rPr>
        <w:t xml:space="preserve">label change </w:t>
      </w:r>
      <w:r w:rsidRPr="008F2475">
        <w:rPr>
          <w:rFonts w:ascii="Arial" w:hAnsi="Arial" w:cs="Arial"/>
          <w:lang w:val="en-AU"/>
        </w:rPr>
        <w:t xml:space="preserve">costs of </w:t>
      </w:r>
      <w:r w:rsidR="0030038F">
        <w:rPr>
          <w:rFonts w:ascii="Arial" w:hAnsi="Arial" w:cs="Arial"/>
          <w:lang w:val="en-AU"/>
        </w:rPr>
        <w:t>o</w:t>
      </w:r>
      <w:r w:rsidRPr="008F2475">
        <w:rPr>
          <w:rFonts w:ascii="Arial" w:hAnsi="Arial" w:cs="Arial"/>
          <w:lang w:val="en-AU"/>
        </w:rPr>
        <w:t xml:space="preserve">ption </w:t>
      </w:r>
      <w:r w:rsidR="009362B9">
        <w:rPr>
          <w:rFonts w:ascii="Arial" w:hAnsi="Arial" w:cs="Arial"/>
          <w:lang w:val="en-AU"/>
        </w:rPr>
        <w:t>2</w:t>
      </w:r>
      <w:r w:rsidRPr="008F2475">
        <w:rPr>
          <w:rFonts w:ascii="Arial" w:hAnsi="Arial" w:cs="Arial"/>
          <w:lang w:val="en-AU"/>
        </w:rPr>
        <w:t xml:space="preserve">, </w:t>
      </w:r>
      <w:r w:rsidR="007E31EA">
        <w:rPr>
          <w:rFonts w:ascii="Arial" w:hAnsi="Arial" w:cs="Arial"/>
          <w:lang w:val="en-AU"/>
        </w:rPr>
        <w:t xml:space="preserve">some </w:t>
      </w:r>
      <w:r w:rsidR="001A7D38">
        <w:rPr>
          <w:rFonts w:ascii="Arial" w:hAnsi="Arial" w:cs="Arial"/>
          <w:lang w:val="en-AU"/>
        </w:rPr>
        <w:t xml:space="preserve">2,553 of </w:t>
      </w:r>
      <w:r w:rsidR="0032450A">
        <w:rPr>
          <w:rFonts w:ascii="Arial" w:hAnsi="Arial" w:cs="Arial"/>
          <w:lang w:val="en-AU"/>
        </w:rPr>
        <w:t xml:space="preserve">the </w:t>
      </w:r>
      <w:r>
        <w:rPr>
          <w:rFonts w:ascii="Arial" w:hAnsi="Arial" w:cs="Arial"/>
          <w:lang w:val="en-AU"/>
        </w:rPr>
        <w:t>5,6</w:t>
      </w:r>
      <w:r w:rsidR="004E549F">
        <w:rPr>
          <w:rFonts w:ascii="Arial" w:hAnsi="Arial" w:cs="Arial"/>
          <w:lang w:val="en-AU"/>
        </w:rPr>
        <w:t>81</w:t>
      </w:r>
      <w:r>
        <w:rPr>
          <w:rFonts w:ascii="Arial" w:hAnsi="Arial" w:cs="Arial"/>
          <w:lang w:val="en-AU"/>
        </w:rPr>
        <w:t xml:space="preserve"> SKUs with existing NIPs </w:t>
      </w:r>
      <w:r w:rsidR="00001904">
        <w:rPr>
          <w:rFonts w:ascii="Arial" w:hAnsi="Arial" w:cs="Arial"/>
          <w:lang w:val="en-AU"/>
        </w:rPr>
        <w:t xml:space="preserve">are multi-serve packages and </w:t>
      </w:r>
      <w:r>
        <w:rPr>
          <w:rFonts w:ascii="Arial" w:hAnsi="Arial" w:cs="Arial"/>
          <w:lang w:val="en-AU"/>
        </w:rPr>
        <w:t xml:space="preserve">would require </w:t>
      </w:r>
      <w:r w:rsidR="00454D86">
        <w:rPr>
          <w:rFonts w:ascii="Arial" w:hAnsi="Arial" w:cs="Arial"/>
          <w:lang w:val="en-AU"/>
        </w:rPr>
        <w:t xml:space="preserve">Minor </w:t>
      </w:r>
      <w:r>
        <w:rPr>
          <w:rFonts w:ascii="Arial" w:hAnsi="Arial" w:cs="Arial"/>
          <w:lang w:val="en-AU"/>
        </w:rPr>
        <w:t>label changes</w:t>
      </w:r>
      <w:r w:rsidR="009362B9">
        <w:rPr>
          <w:rFonts w:ascii="Arial" w:hAnsi="Arial" w:cs="Arial"/>
          <w:lang w:val="en-AU"/>
        </w:rPr>
        <w:t xml:space="preserve"> to incorporate </w:t>
      </w:r>
      <w:r w:rsidR="00872F1A">
        <w:rPr>
          <w:rFonts w:ascii="Arial" w:hAnsi="Arial" w:cs="Arial"/>
          <w:lang w:val="en-AU"/>
        </w:rPr>
        <w:t xml:space="preserve">newly </w:t>
      </w:r>
      <w:r w:rsidR="00F54661">
        <w:rPr>
          <w:rFonts w:ascii="Arial" w:hAnsi="Arial" w:cs="Arial"/>
          <w:lang w:val="en-AU"/>
        </w:rPr>
        <w:t xml:space="preserve">required </w:t>
      </w:r>
      <w:r w:rsidR="001A7D38">
        <w:rPr>
          <w:rFonts w:ascii="Arial" w:hAnsi="Arial" w:cs="Arial"/>
          <w:lang w:val="en-AU"/>
        </w:rPr>
        <w:t>standard drink</w:t>
      </w:r>
      <w:r w:rsidR="00F54661">
        <w:rPr>
          <w:rFonts w:ascii="Arial" w:hAnsi="Arial" w:cs="Arial"/>
          <w:lang w:val="en-AU"/>
        </w:rPr>
        <w:t xml:space="preserve"> info</w:t>
      </w:r>
      <w:r w:rsidR="00872F1A">
        <w:rPr>
          <w:rFonts w:ascii="Arial" w:hAnsi="Arial" w:cs="Arial"/>
          <w:lang w:val="en-AU"/>
        </w:rPr>
        <w:t>r</w:t>
      </w:r>
      <w:r w:rsidR="00F54661">
        <w:rPr>
          <w:rFonts w:ascii="Arial" w:hAnsi="Arial" w:cs="Arial"/>
          <w:lang w:val="en-AU"/>
        </w:rPr>
        <w:t>mation</w:t>
      </w:r>
      <w:r>
        <w:rPr>
          <w:rFonts w:ascii="Arial" w:hAnsi="Arial" w:cs="Arial"/>
          <w:lang w:val="en-AU"/>
        </w:rPr>
        <w:t xml:space="preserve"> at a weighted average of </w:t>
      </w:r>
      <w:r w:rsidR="009362B9">
        <w:rPr>
          <w:rFonts w:ascii="Arial" w:hAnsi="Arial" w:cs="Arial"/>
          <w:lang w:val="en-AU"/>
        </w:rPr>
        <w:t>$AU 1,7</w:t>
      </w:r>
      <w:r w:rsidR="00384194">
        <w:rPr>
          <w:rFonts w:ascii="Arial" w:hAnsi="Arial" w:cs="Arial"/>
          <w:lang w:val="en-AU"/>
        </w:rPr>
        <w:t>93</w:t>
      </w:r>
      <w:r w:rsidR="009362B9">
        <w:rPr>
          <w:rFonts w:ascii="Arial" w:hAnsi="Arial" w:cs="Arial"/>
          <w:lang w:val="en-AU"/>
        </w:rPr>
        <w:t xml:space="preserve"> per SKU.</w:t>
      </w:r>
      <w:r w:rsidR="00F93A9C">
        <w:rPr>
          <w:rFonts w:ascii="Arial" w:hAnsi="Arial" w:cs="Arial"/>
          <w:lang w:val="en-AU"/>
        </w:rPr>
        <w:t xml:space="preserve"> It is estimated that the other </w:t>
      </w:r>
      <w:r w:rsidR="004D6AA3">
        <w:rPr>
          <w:rFonts w:ascii="Arial" w:hAnsi="Arial" w:cs="Arial"/>
          <w:lang w:val="en-AU"/>
        </w:rPr>
        <w:t>3,128 SKUs are single</w:t>
      </w:r>
      <w:r w:rsidR="00003690">
        <w:rPr>
          <w:rFonts w:ascii="Arial" w:hAnsi="Arial" w:cs="Arial"/>
          <w:lang w:val="en-AU"/>
        </w:rPr>
        <w:t>-</w:t>
      </w:r>
      <w:r w:rsidR="004D6AA3">
        <w:rPr>
          <w:rFonts w:ascii="Arial" w:hAnsi="Arial" w:cs="Arial"/>
          <w:lang w:val="en-AU"/>
        </w:rPr>
        <w:t xml:space="preserve">serve </w:t>
      </w:r>
      <w:r w:rsidR="00003690">
        <w:rPr>
          <w:rFonts w:ascii="Arial" w:hAnsi="Arial" w:cs="Arial"/>
          <w:lang w:val="en-AU"/>
        </w:rPr>
        <w:t>packages</w:t>
      </w:r>
      <w:r w:rsidR="004D6AA3">
        <w:rPr>
          <w:rFonts w:ascii="Arial" w:hAnsi="Arial" w:cs="Arial"/>
          <w:lang w:val="en-AU"/>
        </w:rPr>
        <w:t xml:space="preserve"> with NIPs.</w:t>
      </w:r>
      <w:r w:rsidR="00365BFF">
        <w:rPr>
          <w:rFonts w:ascii="Arial" w:hAnsi="Arial" w:cs="Arial"/>
          <w:lang w:val="en-AU"/>
        </w:rPr>
        <w:t xml:space="preserve"> As for </w:t>
      </w:r>
      <w:r w:rsidR="009C03CE">
        <w:rPr>
          <w:rFonts w:ascii="Arial" w:hAnsi="Arial" w:cs="Arial"/>
          <w:lang w:val="en-AU"/>
        </w:rPr>
        <w:t xml:space="preserve">the Medium and Major label changes of incorporating an energy statement, this estimate </w:t>
      </w:r>
      <w:r w:rsidR="00F92C91">
        <w:rPr>
          <w:rFonts w:ascii="Arial" w:hAnsi="Arial" w:cs="Arial"/>
          <w:lang w:val="en-AU"/>
        </w:rPr>
        <w:t xml:space="preserve">for a NIP change </w:t>
      </w:r>
      <w:r w:rsidR="009C03CE">
        <w:rPr>
          <w:rFonts w:ascii="Arial" w:hAnsi="Arial" w:cs="Arial"/>
          <w:lang w:val="en-AU"/>
        </w:rPr>
        <w:t xml:space="preserve">is based </w:t>
      </w:r>
      <w:r w:rsidR="00D94BC8">
        <w:rPr>
          <w:rFonts w:ascii="Arial" w:hAnsi="Arial" w:cs="Arial"/>
          <w:lang w:val="en-AU"/>
        </w:rPr>
        <w:t xml:space="preserve">on the ability to make </w:t>
      </w:r>
      <w:r w:rsidR="00DF4CC3">
        <w:rPr>
          <w:rFonts w:ascii="Arial" w:hAnsi="Arial" w:cs="Arial"/>
          <w:lang w:val="en-AU"/>
        </w:rPr>
        <w:t>this minor label change as part of other label changes over three years (for most applicable SKUs).</w:t>
      </w:r>
      <w:r w:rsidR="009C03CE">
        <w:rPr>
          <w:rFonts w:ascii="Arial" w:hAnsi="Arial" w:cs="Arial"/>
          <w:lang w:val="en-AU"/>
        </w:rPr>
        <w:t xml:space="preserve">  </w:t>
      </w:r>
    </w:p>
    <w:p w14:paraId="0D369356" w14:textId="7DA0119D" w:rsidR="00304722" w:rsidRDefault="00304722" w:rsidP="00304722">
      <w:pPr>
        <w:rPr>
          <w:rFonts w:ascii="Arial" w:hAnsi="Arial" w:cs="Arial"/>
          <w:lang w:val="en-AU"/>
        </w:rPr>
      </w:pPr>
      <w:r>
        <w:rPr>
          <w:rFonts w:ascii="Arial" w:hAnsi="Arial" w:cs="Arial"/>
          <w:lang w:val="en-AU"/>
        </w:rPr>
        <w:t>Sensitivity testing of the additional</w:t>
      </w:r>
      <w:r w:rsidR="008B3A94">
        <w:rPr>
          <w:rFonts w:ascii="Arial" w:hAnsi="Arial" w:cs="Arial"/>
          <w:lang w:val="en-AU"/>
        </w:rPr>
        <w:t xml:space="preserve"> Minor</w:t>
      </w:r>
      <w:r>
        <w:rPr>
          <w:rFonts w:ascii="Arial" w:hAnsi="Arial" w:cs="Arial"/>
          <w:lang w:val="en-AU"/>
        </w:rPr>
        <w:t xml:space="preserve"> label change costs of </w:t>
      </w:r>
      <w:r w:rsidR="0030038F">
        <w:rPr>
          <w:rFonts w:ascii="Arial" w:hAnsi="Arial" w:cs="Arial"/>
          <w:lang w:val="en-AU"/>
        </w:rPr>
        <w:t>o</w:t>
      </w:r>
      <w:r>
        <w:rPr>
          <w:rFonts w:ascii="Arial" w:hAnsi="Arial" w:cs="Arial"/>
          <w:lang w:val="en-AU"/>
        </w:rPr>
        <w:t xml:space="preserve">ption 3 to the </w:t>
      </w:r>
      <w:r w:rsidRPr="0062565D">
        <w:rPr>
          <w:rFonts w:ascii="Arial" w:hAnsi="Arial" w:cs="Arial"/>
          <w:lang w:val="en-AU"/>
        </w:rPr>
        <w:t>packaged alcoholic beverages industry</w:t>
      </w:r>
      <w:r>
        <w:rPr>
          <w:rFonts w:ascii="Arial" w:hAnsi="Arial" w:cs="Arial"/>
          <w:lang w:val="en-AU"/>
        </w:rPr>
        <w:t xml:space="preserve"> (above </w:t>
      </w:r>
      <w:r w:rsidR="0030038F">
        <w:rPr>
          <w:rFonts w:ascii="Arial" w:hAnsi="Arial" w:cs="Arial"/>
          <w:lang w:val="en-AU"/>
        </w:rPr>
        <w:t>o</w:t>
      </w:r>
      <w:r>
        <w:rPr>
          <w:rFonts w:ascii="Arial" w:hAnsi="Arial" w:cs="Arial"/>
          <w:lang w:val="en-AU"/>
        </w:rPr>
        <w:t>ption 2) is done by taking:</w:t>
      </w:r>
    </w:p>
    <w:p w14:paraId="5E497A7E" w14:textId="6D4F84D2" w:rsidR="00304722" w:rsidRDefault="00304722" w:rsidP="00CE3140">
      <w:pPr>
        <w:pStyle w:val="ListParagraph"/>
        <w:numPr>
          <w:ilvl w:val="0"/>
          <w:numId w:val="15"/>
        </w:numPr>
        <w:rPr>
          <w:rFonts w:ascii="Arial" w:hAnsi="Arial" w:cs="Arial"/>
        </w:rPr>
      </w:pPr>
      <w:r w:rsidRPr="00BE3850">
        <w:rPr>
          <w:rFonts w:ascii="Arial" w:hAnsi="Arial" w:cs="Arial"/>
          <w:lang w:val="en-AU"/>
        </w:rPr>
        <w:t>a low-cost estimate, assuming</w:t>
      </w:r>
      <w:r>
        <w:rPr>
          <w:rFonts w:ascii="Arial" w:hAnsi="Arial" w:cs="Arial"/>
          <w:lang w:val="en-AU"/>
        </w:rPr>
        <w:t xml:space="preserve"> 5</w:t>
      </w:r>
      <w:r w:rsidR="00460C85">
        <w:rPr>
          <w:rFonts w:ascii="Arial" w:hAnsi="Arial" w:cs="Arial"/>
          <w:lang w:val="en-AU"/>
        </w:rPr>
        <w:t>0</w:t>
      </w:r>
      <w:r>
        <w:rPr>
          <w:rFonts w:ascii="Arial" w:hAnsi="Arial" w:cs="Arial"/>
          <w:lang w:val="en-AU"/>
        </w:rPr>
        <w:t>% of the estimated $1,7</w:t>
      </w:r>
      <w:r w:rsidR="00D345E1">
        <w:rPr>
          <w:rFonts w:ascii="Arial" w:hAnsi="Arial" w:cs="Arial"/>
          <w:lang w:val="en-AU"/>
        </w:rPr>
        <w:t>93</w:t>
      </w:r>
      <w:r>
        <w:rPr>
          <w:rFonts w:ascii="Arial" w:hAnsi="Arial" w:cs="Arial"/>
          <w:lang w:val="en-AU"/>
        </w:rPr>
        <w:t xml:space="preserve"> per SKU costs multiplied by </w:t>
      </w:r>
      <w:r w:rsidR="00460C85">
        <w:rPr>
          <w:rFonts w:ascii="Arial" w:hAnsi="Arial" w:cs="Arial"/>
          <w:lang w:val="en-AU"/>
        </w:rPr>
        <w:t>2,553</w:t>
      </w:r>
      <w:r w:rsidR="00DB0EF7">
        <w:rPr>
          <w:rFonts w:ascii="Arial" w:hAnsi="Arial" w:cs="Arial"/>
          <w:lang w:val="en-AU"/>
        </w:rPr>
        <w:t xml:space="preserve"> </w:t>
      </w:r>
      <w:r>
        <w:rPr>
          <w:rFonts w:ascii="Arial" w:hAnsi="Arial" w:cs="Arial"/>
          <w:lang w:val="en-AU"/>
        </w:rPr>
        <w:t xml:space="preserve">SKUs, equalling a total of $AU </w:t>
      </w:r>
      <w:r w:rsidR="00BC3D1F" w:rsidRPr="00BC3D1F">
        <w:rPr>
          <w:rFonts w:ascii="Arial" w:hAnsi="Arial" w:cs="Arial"/>
          <w:lang w:val="en-AU"/>
        </w:rPr>
        <w:t xml:space="preserve">2,289,003 </w:t>
      </w:r>
      <w:r w:rsidR="002B6089">
        <w:rPr>
          <w:rFonts w:ascii="Arial" w:hAnsi="Arial" w:cs="Arial"/>
        </w:rPr>
        <w:t>(after rounding)</w:t>
      </w:r>
      <w:r w:rsidR="008026F3">
        <w:rPr>
          <w:rFonts w:ascii="Arial" w:hAnsi="Arial" w:cs="Arial"/>
        </w:rPr>
        <w:t>;</w:t>
      </w:r>
    </w:p>
    <w:p w14:paraId="0EB59C21" w14:textId="18C815D7" w:rsidR="00715A8E" w:rsidRPr="00B3322A" w:rsidRDefault="00304722" w:rsidP="00B3322A">
      <w:pPr>
        <w:pStyle w:val="ListParagraph"/>
        <w:numPr>
          <w:ilvl w:val="0"/>
          <w:numId w:val="15"/>
        </w:numPr>
        <w:rPr>
          <w:rFonts w:ascii="Arial" w:hAnsi="Arial" w:cs="Arial"/>
        </w:rPr>
      </w:pPr>
      <w:r w:rsidRPr="00A74F51">
        <w:rPr>
          <w:rFonts w:ascii="Arial" w:hAnsi="Arial" w:cs="Arial"/>
          <w:lang w:val="en-AU"/>
        </w:rPr>
        <w:lastRenderedPageBreak/>
        <w:t>a high-cost estimate, assuming 15</w:t>
      </w:r>
      <w:r w:rsidR="00DB0EF7" w:rsidRPr="00A74F51">
        <w:rPr>
          <w:rFonts w:ascii="Arial" w:hAnsi="Arial" w:cs="Arial"/>
          <w:lang w:val="en-AU"/>
        </w:rPr>
        <w:t>0</w:t>
      </w:r>
      <w:r w:rsidRPr="00A74F51">
        <w:rPr>
          <w:rFonts w:ascii="Arial" w:hAnsi="Arial" w:cs="Arial"/>
          <w:lang w:val="en-AU"/>
        </w:rPr>
        <w:t>% of the estimated $1,7</w:t>
      </w:r>
      <w:r w:rsidR="00DE07BA">
        <w:rPr>
          <w:rFonts w:ascii="Arial" w:hAnsi="Arial" w:cs="Arial"/>
          <w:lang w:val="en-AU"/>
        </w:rPr>
        <w:t>93</w:t>
      </w:r>
      <w:r w:rsidRPr="00A74F51">
        <w:rPr>
          <w:rFonts w:ascii="Arial" w:hAnsi="Arial" w:cs="Arial"/>
          <w:lang w:val="en-AU"/>
        </w:rPr>
        <w:t xml:space="preserve"> per SKU costs multiplied by </w:t>
      </w:r>
      <w:r w:rsidR="00DB0EF7" w:rsidRPr="00A74F51">
        <w:rPr>
          <w:rFonts w:ascii="Arial" w:hAnsi="Arial" w:cs="Arial"/>
          <w:lang w:val="en-AU"/>
        </w:rPr>
        <w:t>2,553</w:t>
      </w:r>
      <w:r w:rsidRPr="00A74F51">
        <w:rPr>
          <w:rFonts w:ascii="Arial" w:hAnsi="Arial" w:cs="Arial"/>
          <w:lang w:val="en-AU"/>
        </w:rPr>
        <w:t xml:space="preserve"> SKUs, equalling a total of $AU </w:t>
      </w:r>
      <w:r w:rsidR="00B3322A" w:rsidRPr="004B2EE7">
        <w:rPr>
          <w:rFonts w:ascii="Arial" w:hAnsi="Arial" w:cs="Arial"/>
        </w:rPr>
        <w:t>6,867,010</w:t>
      </w:r>
      <w:r w:rsidR="00B3322A">
        <w:rPr>
          <w:rFonts w:ascii="Arial" w:hAnsi="Arial" w:cs="Arial"/>
        </w:rPr>
        <w:t xml:space="preserve"> </w:t>
      </w:r>
      <w:r w:rsidR="008026F3" w:rsidRPr="00B3322A">
        <w:rPr>
          <w:rFonts w:ascii="Arial" w:hAnsi="Arial" w:cs="Arial"/>
        </w:rPr>
        <w:t>(after rounding).</w:t>
      </w:r>
    </w:p>
    <w:p w14:paraId="32D00575" w14:textId="77777777" w:rsidR="00A74F51" w:rsidRPr="00A74F51" w:rsidRDefault="00A74F51" w:rsidP="00A74F51">
      <w:pPr>
        <w:pStyle w:val="ListParagraph"/>
        <w:ind w:left="784"/>
        <w:rPr>
          <w:rFonts w:ascii="Arial" w:hAnsi="Arial" w:cs="Arial"/>
        </w:rPr>
      </w:pPr>
    </w:p>
    <w:p w14:paraId="21D9A1BC" w14:textId="5D26B3A3" w:rsidR="001A628C" w:rsidRPr="001F1498" w:rsidRDefault="00715A8E" w:rsidP="6A15B411">
      <w:pPr>
        <w:rPr>
          <w:rFonts w:ascii="Arial" w:hAnsi="Arial" w:cs="Arial"/>
        </w:rPr>
      </w:pPr>
      <w:r w:rsidRPr="6A15B411">
        <w:rPr>
          <w:rFonts w:ascii="Arial" w:hAnsi="Arial" w:cs="Arial"/>
        </w:rPr>
        <w:t xml:space="preserve">A greater </w:t>
      </w:r>
      <w:r w:rsidR="00110D45" w:rsidRPr="6A15B411">
        <w:rPr>
          <w:rFonts w:ascii="Arial" w:hAnsi="Arial" w:cs="Arial"/>
        </w:rPr>
        <w:t xml:space="preserve">relative </w:t>
      </w:r>
      <w:r w:rsidRPr="6A15B411">
        <w:rPr>
          <w:rFonts w:ascii="Arial" w:hAnsi="Arial" w:cs="Arial"/>
        </w:rPr>
        <w:t>range</w:t>
      </w:r>
      <w:r w:rsidR="001F1498" w:rsidRPr="6A15B411">
        <w:rPr>
          <w:rFonts w:ascii="Arial" w:hAnsi="Arial" w:cs="Arial"/>
        </w:rPr>
        <w:t xml:space="preserve"> from the low-cost to high-cost</w:t>
      </w:r>
      <w:r w:rsidRPr="6A15B411">
        <w:rPr>
          <w:rFonts w:ascii="Arial" w:hAnsi="Arial" w:cs="Arial"/>
        </w:rPr>
        <w:t xml:space="preserve"> </w:t>
      </w:r>
      <w:r w:rsidR="001F1498" w:rsidRPr="6A15B411">
        <w:rPr>
          <w:rFonts w:ascii="Arial" w:hAnsi="Arial" w:cs="Arial"/>
        </w:rPr>
        <w:t xml:space="preserve">estimate has been used </w:t>
      </w:r>
      <w:r w:rsidR="00E80C67" w:rsidRPr="6A15B411">
        <w:rPr>
          <w:rFonts w:ascii="Arial" w:hAnsi="Arial" w:cs="Arial"/>
        </w:rPr>
        <w:t>for the sensitivity testing for</w:t>
      </w:r>
      <w:r w:rsidR="00C702DB" w:rsidRPr="6A15B411">
        <w:rPr>
          <w:rFonts w:ascii="Arial" w:hAnsi="Arial" w:cs="Arial"/>
        </w:rPr>
        <w:t xml:space="preserve"> Minor label change costs</w:t>
      </w:r>
      <w:r w:rsidR="003A71FF" w:rsidRPr="6A15B411">
        <w:rPr>
          <w:rFonts w:ascii="Arial" w:hAnsi="Arial" w:cs="Arial"/>
        </w:rPr>
        <w:t xml:space="preserve"> (of +/-50%)</w:t>
      </w:r>
      <w:r w:rsidR="00E80C67" w:rsidRPr="6A15B411">
        <w:rPr>
          <w:rFonts w:ascii="Arial" w:hAnsi="Arial" w:cs="Arial"/>
        </w:rPr>
        <w:t xml:space="preserve"> </w:t>
      </w:r>
      <w:r w:rsidR="00C702DB" w:rsidRPr="6A15B411">
        <w:rPr>
          <w:rFonts w:ascii="Arial" w:hAnsi="Arial" w:cs="Arial"/>
        </w:rPr>
        <w:t>compared to</w:t>
      </w:r>
      <w:r w:rsidR="007B31FD" w:rsidRPr="6A15B411">
        <w:rPr>
          <w:rFonts w:ascii="Arial" w:hAnsi="Arial" w:cs="Arial"/>
        </w:rPr>
        <w:t xml:space="preserve"> for</w:t>
      </w:r>
      <w:r w:rsidR="00C702DB" w:rsidRPr="6A15B411">
        <w:rPr>
          <w:rFonts w:ascii="Arial" w:hAnsi="Arial" w:cs="Arial"/>
        </w:rPr>
        <w:t xml:space="preserve"> Medium and Major label changes</w:t>
      </w:r>
      <w:r w:rsidR="00546CD7" w:rsidRPr="6A15B411">
        <w:rPr>
          <w:rFonts w:ascii="Arial" w:hAnsi="Arial" w:cs="Arial"/>
        </w:rPr>
        <w:t xml:space="preserve"> (23% difference between Medium and Major label changes)</w:t>
      </w:r>
      <w:r w:rsidR="00C702DB" w:rsidRPr="6A15B411">
        <w:rPr>
          <w:rFonts w:ascii="Arial" w:hAnsi="Arial" w:cs="Arial"/>
        </w:rPr>
        <w:t>. Th</w:t>
      </w:r>
      <w:r w:rsidR="007B31FD" w:rsidRPr="6A15B411">
        <w:rPr>
          <w:rFonts w:ascii="Arial" w:hAnsi="Arial" w:cs="Arial"/>
        </w:rPr>
        <w:t>at</w:t>
      </w:r>
      <w:r w:rsidR="00C702DB" w:rsidRPr="6A15B411">
        <w:rPr>
          <w:rFonts w:ascii="Arial" w:hAnsi="Arial" w:cs="Arial"/>
        </w:rPr>
        <w:t xml:space="preserve"> is because FSANZ considers th</w:t>
      </w:r>
      <w:r w:rsidR="00BC5284" w:rsidRPr="6A15B411">
        <w:rPr>
          <w:rFonts w:ascii="Arial" w:hAnsi="Arial" w:cs="Arial"/>
        </w:rPr>
        <w:t>e Minor label change cost</w:t>
      </w:r>
      <w:r w:rsidR="00C702DB" w:rsidRPr="6A15B411">
        <w:rPr>
          <w:rFonts w:ascii="Arial" w:hAnsi="Arial" w:cs="Arial"/>
        </w:rPr>
        <w:t xml:space="preserve"> estimate</w:t>
      </w:r>
      <w:r w:rsidR="00BC5284" w:rsidRPr="6A15B411">
        <w:rPr>
          <w:rFonts w:ascii="Arial" w:hAnsi="Arial" w:cs="Arial"/>
        </w:rPr>
        <w:t xml:space="preserve"> to be</w:t>
      </w:r>
      <w:r w:rsidR="00C702DB" w:rsidRPr="6A15B411">
        <w:rPr>
          <w:rFonts w:ascii="Arial" w:hAnsi="Arial" w:cs="Arial"/>
        </w:rPr>
        <w:t xml:space="preserve"> the least certain, given lack of data on SKUs with NIPs that are single-serve </w:t>
      </w:r>
      <w:r w:rsidR="001F1498" w:rsidRPr="6A15B411">
        <w:rPr>
          <w:rFonts w:ascii="Arial" w:hAnsi="Arial" w:cs="Arial"/>
        </w:rPr>
        <w:t xml:space="preserve">vs </w:t>
      </w:r>
      <w:r w:rsidR="00FA5617" w:rsidRPr="6A15B411">
        <w:rPr>
          <w:rFonts w:ascii="Arial" w:hAnsi="Arial" w:cs="Arial"/>
        </w:rPr>
        <w:t>multi-serve packages.</w:t>
      </w:r>
      <w:r w:rsidR="00CE3097" w:rsidRPr="6A15B411">
        <w:rPr>
          <w:rFonts w:ascii="Arial" w:hAnsi="Arial" w:cs="Arial"/>
        </w:rPr>
        <w:t xml:space="preserve"> That said, the </w:t>
      </w:r>
      <w:r w:rsidR="00330E47" w:rsidRPr="6A15B411">
        <w:rPr>
          <w:rFonts w:ascii="Arial" w:hAnsi="Arial" w:cs="Arial"/>
        </w:rPr>
        <w:t xml:space="preserve">total </w:t>
      </w:r>
      <w:r w:rsidR="00CE3097" w:rsidRPr="6A15B411">
        <w:rPr>
          <w:rFonts w:ascii="Arial" w:hAnsi="Arial" w:cs="Arial"/>
        </w:rPr>
        <w:t xml:space="preserve">costs </w:t>
      </w:r>
      <w:r w:rsidR="00330E47" w:rsidRPr="6A15B411">
        <w:rPr>
          <w:rFonts w:ascii="Arial" w:hAnsi="Arial" w:cs="Arial"/>
        </w:rPr>
        <w:t xml:space="preserve">across industry </w:t>
      </w:r>
      <w:r w:rsidR="00CE3097" w:rsidRPr="6A15B411">
        <w:rPr>
          <w:rFonts w:ascii="Arial" w:hAnsi="Arial" w:cs="Arial"/>
        </w:rPr>
        <w:t xml:space="preserve">of Minor label changes are estimated to be less than </w:t>
      </w:r>
      <w:r w:rsidR="0034669A" w:rsidRPr="6A15B411">
        <w:rPr>
          <w:rFonts w:ascii="Arial" w:hAnsi="Arial" w:cs="Arial"/>
        </w:rPr>
        <w:t xml:space="preserve">2% of the combined </w:t>
      </w:r>
      <w:r w:rsidR="00330E47" w:rsidRPr="6A15B411">
        <w:rPr>
          <w:rFonts w:ascii="Arial" w:hAnsi="Arial" w:cs="Arial"/>
        </w:rPr>
        <w:t xml:space="preserve">total </w:t>
      </w:r>
      <w:r w:rsidR="0034669A" w:rsidRPr="6A15B411">
        <w:rPr>
          <w:rFonts w:ascii="Arial" w:hAnsi="Arial" w:cs="Arial"/>
        </w:rPr>
        <w:t>Medium and Major label change costs.</w:t>
      </w:r>
    </w:p>
    <w:p w14:paraId="3C37AA23" w14:textId="39DCEB40" w:rsidR="003B27F2" w:rsidRDefault="00D647BF" w:rsidP="001A628C">
      <w:pPr>
        <w:rPr>
          <w:rFonts w:ascii="Arial" w:hAnsi="Arial" w:cs="Arial"/>
          <w:lang w:val="en-AU"/>
        </w:rPr>
      </w:pPr>
      <w:r w:rsidRPr="001A628C">
        <w:rPr>
          <w:rFonts w:ascii="Arial" w:hAnsi="Arial" w:cs="Arial"/>
          <w:lang w:val="en-AU"/>
        </w:rPr>
        <w:t xml:space="preserve">Adding these label change costs to </w:t>
      </w:r>
      <w:r w:rsidR="0030038F">
        <w:rPr>
          <w:rFonts w:ascii="Arial" w:hAnsi="Arial" w:cs="Arial"/>
          <w:lang w:val="en-AU"/>
        </w:rPr>
        <w:t>o</w:t>
      </w:r>
      <w:r w:rsidRPr="001A628C">
        <w:rPr>
          <w:rFonts w:ascii="Arial" w:hAnsi="Arial" w:cs="Arial"/>
          <w:lang w:val="en-AU"/>
        </w:rPr>
        <w:t>ption 2</w:t>
      </w:r>
      <w:r w:rsidR="00B41BF9" w:rsidRPr="001A628C">
        <w:rPr>
          <w:rFonts w:ascii="Arial" w:hAnsi="Arial" w:cs="Arial"/>
          <w:lang w:val="en-AU"/>
        </w:rPr>
        <w:t xml:space="preserve">, relative to the </w:t>
      </w:r>
      <w:r w:rsidR="00AE113F">
        <w:rPr>
          <w:rFonts w:ascii="Arial" w:hAnsi="Arial" w:cs="Arial"/>
          <w:lang w:val="en-AU"/>
        </w:rPr>
        <w:t>s</w:t>
      </w:r>
      <w:r w:rsidR="00B41BF9" w:rsidRPr="001A628C">
        <w:rPr>
          <w:rFonts w:ascii="Arial" w:hAnsi="Arial" w:cs="Arial"/>
          <w:lang w:val="en-AU"/>
        </w:rPr>
        <w:t xml:space="preserve">tatus </w:t>
      </w:r>
      <w:r w:rsidR="00AE113F">
        <w:rPr>
          <w:rFonts w:ascii="Arial" w:hAnsi="Arial" w:cs="Arial"/>
          <w:lang w:val="en-AU"/>
        </w:rPr>
        <w:t>q</w:t>
      </w:r>
      <w:r w:rsidR="00B41BF9" w:rsidRPr="001A628C">
        <w:rPr>
          <w:rFonts w:ascii="Arial" w:hAnsi="Arial" w:cs="Arial"/>
          <w:lang w:val="en-AU"/>
        </w:rPr>
        <w:t xml:space="preserve">uo, the low-cost estimate of </w:t>
      </w:r>
      <w:r w:rsidR="0030038F">
        <w:rPr>
          <w:rFonts w:ascii="Arial" w:hAnsi="Arial" w:cs="Arial"/>
          <w:lang w:val="en-AU"/>
        </w:rPr>
        <w:t>o</w:t>
      </w:r>
      <w:r w:rsidR="00B41BF9" w:rsidRPr="001A628C">
        <w:rPr>
          <w:rFonts w:ascii="Arial" w:hAnsi="Arial" w:cs="Arial"/>
          <w:lang w:val="en-AU"/>
        </w:rPr>
        <w:t xml:space="preserve">ption 3 becomes $AU </w:t>
      </w:r>
      <w:r w:rsidR="007755A6" w:rsidRPr="00366FDB">
        <w:rPr>
          <w:rFonts w:ascii="Arial" w:eastAsia="Times New Roman" w:hAnsi="Arial" w:cs="Arial"/>
          <w:color w:val="000000"/>
          <w:lang w:val="en-NZ" w:eastAsia="en-NZ"/>
        </w:rPr>
        <w:t>338,540,112</w:t>
      </w:r>
      <w:r w:rsidR="00B41BF9" w:rsidRPr="001A628C">
        <w:rPr>
          <w:rFonts w:ascii="Arial" w:hAnsi="Arial" w:cs="Arial"/>
          <w:lang w:val="en-AU"/>
        </w:rPr>
        <w:t xml:space="preserve">, </w:t>
      </w:r>
      <w:r w:rsidR="00A8648E" w:rsidRPr="001A628C">
        <w:rPr>
          <w:rFonts w:ascii="Arial" w:hAnsi="Arial" w:cs="Arial"/>
          <w:lang w:val="en-AU"/>
        </w:rPr>
        <w:t>and the</w:t>
      </w:r>
      <w:r w:rsidR="00B41BF9" w:rsidRPr="001A628C">
        <w:rPr>
          <w:rFonts w:ascii="Arial" w:hAnsi="Arial" w:cs="Arial"/>
          <w:lang w:val="en-AU"/>
        </w:rPr>
        <w:t xml:space="preserve"> high-cost estimate of</w:t>
      </w:r>
      <w:r w:rsidR="00A8648E" w:rsidRPr="001A628C">
        <w:rPr>
          <w:rFonts w:ascii="Arial" w:hAnsi="Arial" w:cs="Arial"/>
          <w:lang w:val="en-AU"/>
        </w:rPr>
        <w:t xml:space="preserve"> </w:t>
      </w:r>
      <w:r w:rsidR="0030038F">
        <w:rPr>
          <w:rFonts w:ascii="Arial" w:hAnsi="Arial" w:cs="Arial"/>
          <w:lang w:val="en-AU"/>
        </w:rPr>
        <w:t>o</w:t>
      </w:r>
      <w:r w:rsidR="00A8648E" w:rsidRPr="001A628C">
        <w:rPr>
          <w:rFonts w:ascii="Arial" w:hAnsi="Arial" w:cs="Arial"/>
          <w:lang w:val="en-AU"/>
        </w:rPr>
        <w:t xml:space="preserve">ption </w:t>
      </w:r>
      <w:r w:rsidR="00DF11B1" w:rsidRPr="001A628C">
        <w:rPr>
          <w:rFonts w:ascii="Arial" w:hAnsi="Arial" w:cs="Arial"/>
          <w:lang w:val="en-AU"/>
        </w:rPr>
        <w:t>3</w:t>
      </w:r>
      <w:r w:rsidR="00054486" w:rsidRPr="001A628C">
        <w:rPr>
          <w:rFonts w:ascii="Arial" w:hAnsi="Arial" w:cs="Arial"/>
          <w:lang w:val="en-AU"/>
        </w:rPr>
        <w:t>’s label change costs</w:t>
      </w:r>
      <w:r w:rsidR="00DF11B1" w:rsidRPr="001A628C">
        <w:rPr>
          <w:rFonts w:ascii="Arial" w:hAnsi="Arial" w:cs="Arial"/>
          <w:lang w:val="en-AU"/>
        </w:rPr>
        <w:t xml:space="preserve"> becomes</w:t>
      </w:r>
      <w:r w:rsidR="00B41BF9" w:rsidRPr="001A628C">
        <w:rPr>
          <w:rFonts w:ascii="Arial" w:hAnsi="Arial" w:cs="Arial"/>
          <w:lang w:val="en-AU"/>
        </w:rPr>
        <w:t xml:space="preserve"> AU$</w:t>
      </w:r>
      <w:r w:rsidR="009616E4" w:rsidRPr="001A628C">
        <w:rPr>
          <w:rFonts w:ascii="Arial" w:hAnsi="Arial" w:cs="Arial"/>
          <w:lang w:val="en-AU"/>
        </w:rPr>
        <w:t xml:space="preserve"> </w:t>
      </w:r>
      <w:r w:rsidR="006D3BA4" w:rsidRPr="00366FDB">
        <w:rPr>
          <w:rFonts w:ascii="Arial" w:eastAsia="Times New Roman" w:hAnsi="Arial" w:cs="Arial"/>
          <w:color w:val="000000"/>
          <w:lang w:val="en-NZ" w:eastAsia="en-NZ"/>
        </w:rPr>
        <w:t>444,303,221</w:t>
      </w:r>
      <w:r w:rsidR="00873C9E" w:rsidRPr="001A628C">
        <w:rPr>
          <w:rFonts w:ascii="Arial" w:hAnsi="Arial" w:cs="Arial"/>
          <w:lang w:val="en-AU"/>
        </w:rPr>
        <w:t>.</w:t>
      </w:r>
      <w:r w:rsidR="009616E4" w:rsidRPr="001A628C">
        <w:rPr>
          <w:rFonts w:ascii="Arial" w:hAnsi="Arial" w:cs="Arial"/>
          <w:lang w:val="en-AU"/>
        </w:rPr>
        <w:t xml:space="preserve"> </w:t>
      </w:r>
    </w:p>
    <w:p w14:paraId="33D77FD3" w14:textId="77777777" w:rsidR="0009219D" w:rsidRPr="000828D1" w:rsidRDefault="0009219D" w:rsidP="0009219D">
      <w:pPr>
        <w:rPr>
          <w:rFonts w:ascii="Arial" w:hAnsi="Arial"/>
          <w:b/>
          <w:bCs/>
        </w:rPr>
      </w:pPr>
      <w:r>
        <w:rPr>
          <w:rFonts w:ascii="Arial" w:hAnsi="Arial"/>
          <w:b/>
          <w:bCs/>
        </w:rPr>
        <w:t>Costs of u</w:t>
      </w:r>
      <w:r w:rsidRPr="000828D1">
        <w:rPr>
          <w:rFonts w:ascii="Arial" w:hAnsi="Arial"/>
          <w:b/>
          <w:bCs/>
        </w:rPr>
        <w:t>nused stocks</w:t>
      </w:r>
    </w:p>
    <w:p w14:paraId="6D4F871C" w14:textId="232FADC5" w:rsidR="0009219D" w:rsidRPr="00A37162" w:rsidRDefault="00BD0261" w:rsidP="0009219D">
      <w:pPr>
        <w:rPr>
          <w:rFonts w:ascii="Arial" w:hAnsi="Arial" w:cs="Arial"/>
          <w:lang w:val="en-AU"/>
        </w:rPr>
      </w:pPr>
      <w:r>
        <w:rPr>
          <w:rFonts w:ascii="Arial" w:hAnsi="Arial" w:cs="Arial"/>
          <w:lang w:val="en-AU"/>
        </w:rPr>
        <w:t>Calculations have</w:t>
      </w:r>
      <w:r w:rsidR="0009219D" w:rsidRPr="00A37162">
        <w:rPr>
          <w:rFonts w:ascii="Arial" w:hAnsi="Arial" w:cs="Arial"/>
          <w:lang w:val="en-AU"/>
        </w:rPr>
        <w:t xml:space="preserve"> assumed that</w:t>
      </w:r>
      <w:r w:rsidR="0009219D">
        <w:rPr>
          <w:rFonts w:ascii="Arial" w:hAnsi="Arial" w:cs="Arial"/>
          <w:lang w:val="en-AU"/>
        </w:rPr>
        <w:t xml:space="preserve"> </w:t>
      </w:r>
      <w:r w:rsidR="0009219D" w:rsidRPr="00A37162">
        <w:rPr>
          <w:rFonts w:ascii="Arial" w:hAnsi="Arial" w:cs="Arial"/>
          <w:lang w:val="en-GB"/>
        </w:rPr>
        <w:t xml:space="preserve">all necessary label changes only need to be done once for each </w:t>
      </w:r>
      <w:r w:rsidR="0009219D">
        <w:rPr>
          <w:rFonts w:ascii="Arial" w:hAnsi="Arial" w:cs="Arial"/>
          <w:lang w:val="en-GB"/>
        </w:rPr>
        <w:t xml:space="preserve">SKU over the three year transition period, and that this </w:t>
      </w:r>
      <w:r w:rsidR="0009219D" w:rsidRPr="00A37162">
        <w:rPr>
          <w:rFonts w:ascii="Arial" w:hAnsi="Arial" w:cs="Arial"/>
          <w:lang w:val="en-GB"/>
        </w:rPr>
        <w:t>transition period is adequate to change labels and to run down stocks of packaging and labels. </w:t>
      </w:r>
    </w:p>
    <w:p w14:paraId="1EFF25A0" w14:textId="070D8AB2" w:rsidR="0009219D" w:rsidRDefault="0009219D" w:rsidP="0009219D">
      <w:pPr>
        <w:rPr>
          <w:rFonts w:ascii="Arial" w:hAnsi="Arial" w:cs="Arial"/>
          <w:lang w:val="en-AU"/>
        </w:rPr>
      </w:pPr>
      <w:r>
        <w:rPr>
          <w:rFonts w:ascii="Arial" w:hAnsi="Arial" w:cs="Arial"/>
          <w:lang w:val="en-AU"/>
        </w:rPr>
        <w:t xml:space="preserve">Some </w:t>
      </w:r>
      <w:r w:rsidRPr="00A37162">
        <w:rPr>
          <w:rFonts w:ascii="Arial" w:hAnsi="Arial" w:cs="Arial"/>
          <w:lang w:val="en-AU"/>
        </w:rPr>
        <w:t xml:space="preserve">stakeholders raised the potential for </w:t>
      </w:r>
      <w:r>
        <w:rPr>
          <w:rFonts w:ascii="Arial" w:hAnsi="Arial" w:cs="Arial"/>
          <w:lang w:val="en-AU"/>
        </w:rPr>
        <w:t xml:space="preserve">some </w:t>
      </w:r>
      <w:r w:rsidRPr="00A37162">
        <w:rPr>
          <w:rFonts w:ascii="Arial" w:hAnsi="Arial" w:cs="Arial"/>
          <w:lang w:val="en-AU"/>
        </w:rPr>
        <w:t>existing stock</w:t>
      </w:r>
      <w:r>
        <w:rPr>
          <w:rFonts w:ascii="Arial" w:hAnsi="Arial" w:cs="Arial"/>
          <w:lang w:val="en-AU"/>
        </w:rPr>
        <w:t>s</w:t>
      </w:r>
      <w:r w:rsidRPr="00A37162">
        <w:rPr>
          <w:rFonts w:ascii="Arial" w:hAnsi="Arial" w:cs="Arial"/>
          <w:lang w:val="en-AU"/>
        </w:rPr>
        <w:t xml:space="preserve"> of label</w:t>
      </w:r>
      <w:r>
        <w:rPr>
          <w:rFonts w:ascii="Arial" w:hAnsi="Arial" w:cs="Arial"/>
          <w:lang w:val="en-AU"/>
        </w:rPr>
        <w:t xml:space="preserve">s to be unused at the end of the transition period, so </w:t>
      </w:r>
      <w:r w:rsidR="00DB25B0">
        <w:rPr>
          <w:rFonts w:ascii="Arial" w:hAnsi="Arial" w:cs="Arial"/>
          <w:lang w:val="en-AU"/>
        </w:rPr>
        <w:t xml:space="preserve">some SKUs would </w:t>
      </w:r>
      <w:r>
        <w:rPr>
          <w:rFonts w:ascii="Arial" w:hAnsi="Arial" w:cs="Arial"/>
          <w:lang w:val="en-AU"/>
        </w:rPr>
        <w:t xml:space="preserve">incur additional costs to label change costs stated </w:t>
      </w:r>
      <w:r w:rsidR="00A64D1D">
        <w:rPr>
          <w:rFonts w:ascii="Arial" w:hAnsi="Arial" w:cs="Arial"/>
          <w:lang w:val="en-AU"/>
        </w:rPr>
        <w:t>above</w:t>
      </w:r>
      <w:r w:rsidRPr="00A37162">
        <w:rPr>
          <w:rFonts w:ascii="Arial" w:hAnsi="Arial" w:cs="Arial"/>
          <w:lang w:val="en-AU"/>
        </w:rPr>
        <w:t>. T</w:t>
      </w:r>
      <w:r>
        <w:rPr>
          <w:rFonts w:ascii="Arial" w:hAnsi="Arial" w:cs="Arial"/>
          <w:lang w:val="en-AU"/>
        </w:rPr>
        <w:t>hat</w:t>
      </w:r>
      <w:r w:rsidRPr="00A37162">
        <w:rPr>
          <w:rFonts w:ascii="Arial" w:hAnsi="Arial" w:cs="Arial"/>
          <w:lang w:val="en-AU"/>
        </w:rPr>
        <w:t xml:space="preserve"> w</w:t>
      </w:r>
      <w:r>
        <w:rPr>
          <w:rFonts w:ascii="Arial" w:hAnsi="Arial" w:cs="Arial"/>
          <w:lang w:val="en-AU"/>
        </w:rPr>
        <w:t>ould</w:t>
      </w:r>
      <w:r w:rsidRPr="00A37162">
        <w:rPr>
          <w:rFonts w:ascii="Arial" w:hAnsi="Arial" w:cs="Arial"/>
          <w:lang w:val="en-AU"/>
        </w:rPr>
        <w:t xml:space="preserve"> occur when a business is unable to continue using existing labels </w:t>
      </w:r>
      <w:r>
        <w:rPr>
          <w:rFonts w:ascii="Arial" w:hAnsi="Arial" w:cs="Arial"/>
          <w:lang w:val="en-AU"/>
        </w:rPr>
        <w:t>without an energy statement after the transition period ends</w:t>
      </w:r>
      <w:r w:rsidRPr="00A37162">
        <w:rPr>
          <w:rFonts w:ascii="Arial" w:hAnsi="Arial" w:cs="Arial"/>
          <w:lang w:val="en-AU"/>
        </w:rPr>
        <w:t xml:space="preserve">. </w:t>
      </w:r>
    </w:p>
    <w:p w14:paraId="3D5326B2" w14:textId="77777777" w:rsidR="0009219D" w:rsidRDefault="0009219D" w:rsidP="0009219D">
      <w:pPr>
        <w:rPr>
          <w:rFonts w:ascii="Arial" w:hAnsi="Arial" w:cs="Arial"/>
          <w:lang w:val="en-AU"/>
        </w:rPr>
      </w:pPr>
      <w:r>
        <w:rPr>
          <w:rFonts w:ascii="Arial" w:hAnsi="Arial" w:cs="Arial"/>
          <w:lang w:val="en-AU"/>
        </w:rPr>
        <w:t>Such costs of unused stocks are:</w:t>
      </w:r>
    </w:p>
    <w:p w14:paraId="3A003DA7" w14:textId="6D380D80" w:rsidR="0009219D" w:rsidRPr="00000342" w:rsidRDefault="0009219D" w:rsidP="0009219D">
      <w:pPr>
        <w:pStyle w:val="ListParagraph"/>
        <w:numPr>
          <w:ilvl w:val="0"/>
          <w:numId w:val="16"/>
        </w:numPr>
        <w:rPr>
          <w:rFonts w:ascii="Arial" w:hAnsi="Arial" w:cs="Arial"/>
          <w:lang w:val="en-AU"/>
        </w:rPr>
      </w:pPr>
      <w:r w:rsidRPr="00000342">
        <w:rPr>
          <w:rFonts w:ascii="Arial" w:hAnsi="Arial" w:cs="Arial"/>
          <w:lang w:val="en-AU"/>
        </w:rPr>
        <w:t>assumed to be minor, given most alcoholic beverage label SKUs are used within twelve months</w:t>
      </w:r>
      <w:r w:rsidR="00254325">
        <w:rPr>
          <w:rFonts w:ascii="Arial" w:hAnsi="Arial" w:cs="Arial"/>
          <w:lang w:val="en-AU"/>
        </w:rPr>
        <w:t xml:space="preserve">, </w:t>
      </w:r>
      <w:r>
        <w:rPr>
          <w:rFonts w:ascii="Arial" w:hAnsi="Arial" w:cs="Arial"/>
          <w:lang w:val="en-AU"/>
        </w:rPr>
        <w:t>although noting that some low</w:t>
      </w:r>
      <w:r w:rsidR="00254325">
        <w:rPr>
          <w:rFonts w:ascii="Arial" w:hAnsi="Arial" w:cs="Arial"/>
          <w:lang w:val="en-AU"/>
        </w:rPr>
        <w:t>-</w:t>
      </w:r>
      <w:r>
        <w:rPr>
          <w:rFonts w:ascii="Arial" w:hAnsi="Arial" w:cs="Arial"/>
          <w:lang w:val="en-AU"/>
        </w:rPr>
        <w:t>container volume SKUs or SKUs that are slow to change labels may take longer</w:t>
      </w:r>
      <w:r w:rsidR="00254325">
        <w:rPr>
          <w:rFonts w:ascii="Arial" w:hAnsi="Arial" w:cs="Arial"/>
          <w:lang w:val="en-AU"/>
        </w:rPr>
        <w:t>, and</w:t>
      </w:r>
    </w:p>
    <w:p w14:paraId="76684DAB" w14:textId="154E867B" w:rsidR="0009219D" w:rsidRPr="001A628C" w:rsidRDefault="0009219D" w:rsidP="001A628C">
      <w:pPr>
        <w:pStyle w:val="ListParagraph"/>
        <w:numPr>
          <w:ilvl w:val="0"/>
          <w:numId w:val="16"/>
        </w:numPr>
        <w:rPr>
          <w:rFonts w:ascii="Arial" w:hAnsi="Arial" w:cs="Arial"/>
          <w:lang w:val="en-AU"/>
        </w:rPr>
      </w:pPr>
      <w:r w:rsidRPr="00000342">
        <w:rPr>
          <w:rFonts w:ascii="Arial" w:hAnsi="Arial" w:cs="Arial"/>
          <w:lang w:val="en-AU"/>
        </w:rPr>
        <w:t xml:space="preserve">un-quantifiable, as the cost is dependent on the ability of a company to minimise wastage through </w:t>
      </w:r>
      <w:r>
        <w:rPr>
          <w:rFonts w:ascii="Arial" w:hAnsi="Arial" w:cs="Arial"/>
          <w:lang w:val="en-AU"/>
        </w:rPr>
        <w:t>managing the flow of ordered and used labels</w:t>
      </w:r>
      <w:r w:rsidRPr="00000342">
        <w:rPr>
          <w:rFonts w:ascii="Arial" w:hAnsi="Arial" w:cs="Arial"/>
          <w:lang w:val="en-AU"/>
        </w:rPr>
        <w:t xml:space="preserve">. </w:t>
      </w:r>
    </w:p>
    <w:p w14:paraId="427F2101" w14:textId="77777777" w:rsidR="003402C6" w:rsidRPr="003402C6" w:rsidRDefault="003402C6" w:rsidP="003402C6">
      <w:pPr>
        <w:pStyle w:val="ListParagraph"/>
        <w:ind w:left="784"/>
        <w:rPr>
          <w:rFonts w:ascii="Arial" w:hAnsi="Arial" w:cs="Arial"/>
          <w:lang w:val="en-AU"/>
        </w:rPr>
      </w:pPr>
    </w:p>
    <w:p w14:paraId="26E7E86A" w14:textId="77777777" w:rsidR="005053E4" w:rsidRPr="005053E4" w:rsidRDefault="00DF29A4" w:rsidP="00ED3D91">
      <w:pPr>
        <w:rPr>
          <w:rFonts w:ascii="Arial" w:hAnsi="Arial"/>
          <w:b/>
          <w:bCs/>
        </w:rPr>
      </w:pPr>
      <w:r w:rsidRPr="005053E4">
        <w:rPr>
          <w:rFonts w:ascii="Arial" w:hAnsi="Arial"/>
          <w:b/>
          <w:bCs/>
        </w:rPr>
        <w:t xml:space="preserve">Other notes on </w:t>
      </w:r>
      <w:r w:rsidR="00E963E2" w:rsidRPr="005053E4">
        <w:rPr>
          <w:rFonts w:ascii="Arial" w:hAnsi="Arial"/>
          <w:b/>
          <w:bCs/>
        </w:rPr>
        <w:t xml:space="preserve">estimated </w:t>
      </w:r>
      <w:r w:rsidR="00DE6317" w:rsidRPr="005053E4">
        <w:rPr>
          <w:rFonts w:ascii="Arial" w:hAnsi="Arial"/>
          <w:b/>
          <w:bCs/>
        </w:rPr>
        <w:t xml:space="preserve">per SKU </w:t>
      </w:r>
      <w:r w:rsidRPr="005053E4">
        <w:rPr>
          <w:rFonts w:ascii="Arial" w:hAnsi="Arial"/>
          <w:b/>
          <w:bCs/>
        </w:rPr>
        <w:t>one-off label change costs</w:t>
      </w:r>
    </w:p>
    <w:p w14:paraId="42EB7C22" w14:textId="098E2B85" w:rsidR="00ED3D91" w:rsidRDefault="00ED3D91" w:rsidP="00ED3D91">
      <w:pPr>
        <w:rPr>
          <w:rFonts w:ascii="Arial" w:hAnsi="Arial" w:cs="Arial"/>
          <w:lang w:val="en-GB"/>
        </w:rPr>
      </w:pPr>
      <w:r>
        <w:rPr>
          <w:rFonts w:ascii="Arial" w:hAnsi="Arial" w:cs="Arial"/>
          <w:lang w:val="en-AU"/>
        </w:rPr>
        <w:t xml:space="preserve">All one-off label change </w:t>
      </w:r>
      <w:r w:rsidRPr="00A37162">
        <w:rPr>
          <w:rFonts w:ascii="Arial" w:hAnsi="Arial" w:cs="Arial"/>
          <w:lang w:val="en-AU"/>
        </w:rPr>
        <w:t xml:space="preserve">cost </w:t>
      </w:r>
      <w:r>
        <w:rPr>
          <w:rFonts w:ascii="Arial" w:hAnsi="Arial" w:cs="Arial"/>
          <w:lang w:val="en-AU"/>
        </w:rPr>
        <w:t xml:space="preserve">estimates for </w:t>
      </w:r>
      <w:r w:rsidR="00313F4D">
        <w:rPr>
          <w:rFonts w:ascii="Arial" w:hAnsi="Arial" w:cs="Arial"/>
          <w:lang w:val="en-AU"/>
        </w:rPr>
        <w:t>o</w:t>
      </w:r>
      <w:r>
        <w:rPr>
          <w:rFonts w:ascii="Arial" w:hAnsi="Arial" w:cs="Arial"/>
          <w:lang w:val="en-AU"/>
        </w:rPr>
        <w:t xml:space="preserve">ptions 2 </w:t>
      </w:r>
      <w:r w:rsidR="00B47679">
        <w:rPr>
          <w:rFonts w:ascii="Arial" w:hAnsi="Arial" w:cs="Arial"/>
          <w:lang w:val="en-AU"/>
        </w:rPr>
        <w:t>and 3</w:t>
      </w:r>
      <w:r>
        <w:rPr>
          <w:rFonts w:ascii="Arial" w:hAnsi="Arial" w:cs="Arial"/>
          <w:lang w:val="en-AU"/>
        </w:rPr>
        <w:t xml:space="preserve"> </w:t>
      </w:r>
      <w:r w:rsidR="00621F47">
        <w:rPr>
          <w:rFonts w:ascii="Arial" w:hAnsi="Arial" w:cs="Arial"/>
          <w:lang w:val="en-AU"/>
        </w:rPr>
        <w:t>have cost components that include but are not limited to</w:t>
      </w:r>
      <w:r w:rsidRPr="00A37162">
        <w:rPr>
          <w:rFonts w:ascii="Arial" w:hAnsi="Arial" w:cs="Arial"/>
          <w:lang w:val="en-AU"/>
        </w:rPr>
        <w:t>:</w:t>
      </w:r>
      <w:r>
        <w:rPr>
          <w:rFonts w:ascii="Arial" w:hAnsi="Arial" w:cs="Arial"/>
          <w:lang w:val="en-AU"/>
        </w:rPr>
        <w:t xml:space="preserve"> </w:t>
      </w:r>
      <w:r w:rsidRPr="00A37162">
        <w:rPr>
          <w:rFonts w:ascii="Arial" w:hAnsi="Arial" w:cs="Arial"/>
          <w:lang w:val="en-GB"/>
        </w:rPr>
        <w:t>administration activities, including internal company discussions and approvals</w:t>
      </w:r>
      <w:r w:rsidR="00621F47">
        <w:rPr>
          <w:rFonts w:ascii="Arial" w:hAnsi="Arial" w:cs="Arial"/>
          <w:lang w:val="en-GB"/>
        </w:rPr>
        <w:t xml:space="preserve">; </w:t>
      </w:r>
      <w:r w:rsidRPr="00A37162">
        <w:rPr>
          <w:rFonts w:ascii="Arial" w:hAnsi="Arial" w:cs="Arial"/>
          <w:lang w:val="en-GB"/>
        </w:rPr>
        <w:t xml:space="preserve">label redesign </w:t>
      </w:r>
      <w:r>
        <w:rPr>
          <w:rFonts w:ascii="Arial" w:hAnsi="Arial" w:cs="Arial"/>
          <w:lang w:val="en-GB"/>
        </w:rPr>
        <w:t xml:space="preserve">and market testing. Since the early 2023 P1059 CFS, </w:t>
      </w:r>
      <w:r w:rsidR="00621F47">
        <w:rPr>
          <w:rFonts w:ascii="Arial" w:hAnsi="Arial" w:cs="Arial"/>
          <w:lang w:val="en-GB"/>
        </w:rPr>
        <w:t xml:space="preserve">those </w:t>
      </w:r>
      <w:r>
        <w:rPr>
          <w:rFonts w:ascii="Arial" w:hAnsi="Arial" w:cs="Arial"/>
          <w:lang w:val="en-GB"/>
        </w:rPr>
        <w:t>label change costs components have been re</w:t>
      </w:r>
      <w:r w:rsidR="00621F47">
        <w:rPr>
          <w:rFonts w:ascii="Arial" w:hAnsi="Arial" w:cs="Arial"/>
          <w:lang w:val="en-GB"/>
        </w:rPr>
        <w:t>-</w:t>
      </w:r>
      <w:r>
        <w:rPr>
          <w:rFonts w:ascii="Arial" w:hAnsi="Arial" w:cs="Arial"/>
          <w:lang w:val="en-GB"/>
        </w:rPr>
        <w:t xml:space="preserve">weighted during calibration of </w:t>
      </w:r>
      <w:r w:rsidR="00452B87">
        <w:rPr>
          <w:rFonts w:ascii="Arial" w:hAnsi="Arial" w:cs="Arial"/>
          <w:lang w:val="en-GB"/>
        </w:rPr>
        <w:t xml:space="preserve">applying </w:t>
      </w:r>
      <w:r>
        <w:rPr>
          <w:rFonts w:ascii="Arial" w:hAnsi="Arial" w:cs="Arial"/>
          <w:lang w:val="en-GB"/>
        </w:rPr>
        <w:t>the Marsden</w:t>
      </w:r>
      <w:r w:rsidR="00B8271A">
        <w:rPr>
          <w:rFonts w:ascii="Arial" w:hAnsi="Arial" w:cs="Arial"/>
          <w:lang w:val="en-GB"/>
        </w:rPr>
        <w:t>-</w:t>
      </w:r>
      <w:r>
        <w:rPr>
          <w:rFonts w:ascii="Arial" w:hAnsi="Arial" w:cs="Arial"/>
          <w:lang w:val="en-GB"/>
        </w:rPr>
        <w:t xml:space="preserve">Jacob model. For instance, label redesign costs are now estimated to account for a higher percentage of total label change costs than in early 2023. </w:t>
      </w:r>
      <w:r w:rsidR="007E05D7">
        <w:rPr>
          <w:rFonts w:ascii="Arial" w:hAnsi="Arial" w:cs="Arial"/>
          <w:lang w:val="en-GB"/>
        </w:rPr>
        <w:t>Total w</w:t>
      </w:r>
      <w:r w:rsidR="00621F47">
        <w:rPr>
          <w:rFonts w:ascii="Arial" w:hAnsi="Arial" w:cs="Arial"/>
          <w:lang w:val="en-GB"/>
        </w:rPr>
        <w:t>eighted average e</w:t>
      </w:r>
      <w:r>
        <w:rPr>
          <w:rFonts w:ascii="Arial" w:hAnsi="Arial" w:cs="Arial"/>
          <w:lang w:val="en-GB"/>
        </w:rPr>
        <w:t>stimated label change costs per SKU</w:t>
      </w:r>
      <w:r w:rsidR="00621F47">
        <w:rPr>
          <w:rFonts w:ascii="Arial" w:hAnsi="Arial" w:cs="Arial"/>
          <w:lang w:val="en-GB"/>
        </w:rPr>
        <w:t xml:space="preserve"> used in </w:t>
      </w:r>
      <w:r w:rsidR="003C56E1">
        <w:rPr>
          <w:rFonts w:ascii="Arial" w:hAnsi="Arial" w:cs="Arial"/>
          <w:lang w:val="en-GB"/>
        </w:rPr>
        <w:t xml:space="preserve">this </w:t>
      </w:r>
      <w:r w:rsidR="00621F47">
        <w:rPr>
          <w:rFonts w:ascii="Arial" w:hAnsi="Arial" w:cs="Arial"/>
          <w:lang w:val="en-GB"/>
        </w:rPr>
        <w:t>DRIS</w:t>
      </w:r>
      <w:r>
        <w:rPr>
          <w:rFonts w:ascii="Arial" w:hAnsi="Arial" w:cs="Arial"/>
          <w:lang w:val="en-GB"/>
        </w:rPr>
        <w:t>, however, have not changed</w:t>
      </w:r>
      <w:r w:rsidR="00621F47">
        <w:rPr>
          <w:rFonts w:ascii="Arial" w:hAnsi="Arial" w:cs="Arial"/>
          <w:lang w:val="en-GB"/>
        </w:rPr>
        <w:t xml:space="preserve"> since the P1059 CFS</w:t>
      </w:r>
      <w:r>
        <w:rPr>
          <w:rFonts w:ascii="Arial" w:hAnsi="Arial" w:cs="Arial"/>
          <w:lang w:val="en-GB"/>
        </w:rPr>
        <w:t xml:space="preserve">, other than to be updated with producer price inflation.  </w:t>
      </w:r>
    </w:p>
    <w:p w14:paraId="489F60B2" w14:textId="029A3CF6" w:rsidR="0009219D" w:rsidRPr="0009219D" w:rsidRDefault="0009219D" w:rsidP="0009219D">
      <w:pPr>
        <w:rPr>
          <w:rFonts w:ascii="Arial" w:hAnsi="Arial" w:cs="Arial"/>
          <w:b/>
          <w:bCs/>
          <w:lang w:val="en-AU"/>
        </w:rPr>
      </w:pPr>
      <w:r w:rsidRPr="0009219D">
        <w:rPr>
          <w:rFonts w:ascii="Arial" w:hAnsi="Arial" w:cs="Arial"/>
          <w:b/>
          <w:bCs/>
          <w:lang w:val="en-AU"/>
        </w:rPr>
        <w:t>Costs of overweight and obesity</w:t>
      </w:r>
    </w:p>
    <w:p w14:paraId="05AE68C6" w14:textId="4E96AC3C" w:rsidR="00110BAA" w:rsidRDefault="00110BAA" w:rsidP="00ED3D91">
      <w:pPr>
        <w:rPr>
          <w:rFonts w:ascii="Arial" w:hAnsi="Arial" w:cs="Arial"/>
        </w:rPr>
      </w:pPr>
      <w:r>
        <w:rPr>
          <w:rFonts w:ascii="Arial" w:hAnsi="Arial" w:cs="Arial"/>
        </w:rPr>
        <w:t>Costs and benefits are typically considered over a ten-year period.</w:t>
      </w:r>
    </w:p>
    <w:p w14:paraId="2FF49FC4" w14:textId="5E37FC8F" w:rsidR="00481F4D" w:rsidRDefault="00E65431" w:rsidP="6A15B411">
      <w:pPr>
        <w:rPr>
          <w:rFonts w:ascii="Arial" w:hAnsi="Arial" w:cs="Arial"/>
        </w:rPr>
      </w:pPr>
      <w:r w:rsidRPr="6A15B411">
        <w:rPr>
          <w:rFonts w:ascii="Arial" w:hAnsi="Arial" w:cs="Arial"/>
        </w:rPr>
        <w:lastRenderedPageBreak/>
        <w:t>H</w:t>
      </w:r>
      <w:r w:rsidR="00481F4D" w:rsidRPr="6A15B411">
        <w:rPr>
          <w:rFonts w:ascii="Arial" w:hAnsi="Arial" w:cs="Arial"/>
        </w:rPr>
        <w:t>ealth-related costs</w:t>
      </w:r>
      <w:r w:rsidR="008B4F8D" w:rsidRPr="6A15B411">
        <w:rPr>
          <w:rFonts w:ascii="Arial" w:hAnsi="Arial" w:cs="Arial"/>
        </w:rPr>
        <w:t xml:space="preserve"> of overweight </w:t>
      </w:r>
      <w:r w:rsidRPr="6A15B411">
        <w:rPr>
          <w:rFonts w:ascii="Arial" w:hAnsi="Arial" w:cs="Arial"/>
        </w:rPr>
        <w:t xml:space="preserve">(body mass index of </w:t>
      </w:r>
      <w:r w:rsidR="00EB7762" w:rsidRPr="6A15B411">
        <w:rPr>
          <w:rFonts w:ascii="Arial" w:hAnsi="Arial" w:cs="Arial"/>
        </w:rPr>
        <w:t>25 to &lt;30</w:t>
      </w:r>
      <w:r w:rsidR="00B56069" w:rsidRPr="6A15B411">
        <w:rPr>
          <w:rStyle w:val="FootnoteReference"/>
          <w:rFonts w:ascii="Arial" w:hAnsi="Arial" w:cs="Arial"/>
        </w:rPr>
        <w:footnoteReference w:id="26"/>
      </w:r>
      <w:r w:rsidRPr="6A15B411">
        <w:rPr>
          <w:rFonts w:ascii="Arial" w:hAnsi="Arial" w:cs="Arial"/>
        </w:rPr>
        <w:t>) and obesity</w:t>
      </w:r>
      <w:r w:rsidR="007F0151" w:rsidRPr="6A15B411">
        <w:rPr>
          <w:rFonts w:ascii="Arial" w:hAnsi="Arial" w:cs="Arial"/>
        </w:rPr>
        <w:t xml:space="preserve"> (body mass index of &gt;=30)</w:t>
      </w:r>
      <w:r w:rsidRPr="6A15B411">
        <w:rPr>
          <w:rFonts w:ascii="Arial" w:hAnsi="Arial" w:cs="Arial"/>
        </w:rPr>
        <w:t xml:space="preserve"> </w:t>
      </w:r>
      <w:r w:rsidR="008B4F8D" w:rsidRPr="6A15B411">
        <w:rPr>
          <w:rFonts w:ascii="Arial" w:hAnsi="Arial" w:cs="Arial"/>
        </w:rPr>
        <w:t xml:space="preserve">have been </w:t>
      </w:r>
      <w:r w:rsidRPr="6A15B411">
        <w:rPr>
          <w:rFonts w:ascii="Arial" w:hAnsi="Arial" w:cs="Arial"/>
        </w:rPr>
        <w:t xml:space="preserve">estimated in this DRIS, whereas the early 2023 CFS only estimated </w:t>
      </w:r>
      <w:r w:rsidR="007F0151" w:rsidRPr="6A15B411">
        <w:rPr>
          <w:rFonts w:ascii="Arial" w:hAnsi="Arial" w:cs="Arial"/>
        </w:rPr>
        <w:t xml:space="preserve">health-related </w:t>
      </w:r>
      <w:r w:rsidRPr="6A15B411">
        <w:rPr>
          <w:rFonts w:ascii="Arial" w:hAnsi="Arial" w:cs="Arial"/>
        </w:rPr>
        <w:t>costs of obesity.</w:t>
      </w:r>
    </w:p>
    <w:p w14:paraId="13F7BB6D" w14:textId="7AAAFDE5" w:rsidR="00481F4D" w:rsidRDefault="00481F4D" w:rsidP="00481F4D">
      <w:pPr>
        <w:spacing w:after="0" w:line="240" w:lineRule="auto"/>
        <w:rPr>
          <w:rFonts w:ascii="Arial" w:hAnsi="Arial" w:cs="Arial"/>
          <w:snapToGrid w:val="0"/>
          <w:lang w:val="en-NZ"/>
        </w:rPr>
      </w:pPr>
      <w:r w:rsidRPr="004E2DDE">
        <w:rPr>
          <w:rFonts w:ascii="Arial" w:hAnsi="Arial" w:cs="Arial"/>
          <w:snapToGrid w:val="0"/>
          <w:lang w:val="en-NZ"/>
        </w:rPr>
        <w:t xml:space="preserve">FSANZ has estimated that </w:t>
      </w:r>
      <w:r>
        <w:rPr>
          <w:rFonts w:ascii="Arial" w:hAnsi="Arial" w:cs="Arial"/>
          <w:snapToGrid w:val="0"/>
          <w:lang w:val="en-NZ"/>
        </w:rPr>
        <w:t xml:space="preserve">health conditions related to </w:t>
      </w:r>
      <w:r w:rsidRPr="004E2DDE">
        <w:rPr>
          <w:rFonts w:ascii="Arial" w:hAnsi="Arial" w:cs="Arial"/>
          <w:snapToGrid w:val="0"/>
          <w:lang w:val="en-NZ"/>
        </w:rPr>
        <w:t>overweight</w:t>
      </w:r>
      <w:r w:rsidR="00782FDF">
        <w:rPr>
          <w:rFonts w:ascii="Arial" w:hAnsi="Arial" w:cs="Arial"/>
          <w:snapToGrid w:val="0"/>
          <w:lang w:val="en-NZ"/>
        </w:rPr>
        <w:t xml:space="preserve"> and obesity</w:t>
      </w:r>
      <w:r w:rsidRPr="004E2DDE">
        <w:rPr>
          <w:rFonts w:ascii="Arial" w:hAnsi="Arial" w:cs="Arial"/>
          <w:snapToGrid w:val="0"/>
          <w:lang w:val="en-NZ"/>
        </w:rPr>
        <w:t xml:space="preserve"> cost</w:t>
      </w:r>
      <w:r>
        <w:rPr>
          <w:rFonts w:ascii="Arial" w:hAnsi="Arial" w:cs="Arial"/>
          <w:snapToGrid w:val="0"/>
          <w:lang w:val="en-NZ"/>
        </w:rPr>
        <w:t xml:space="preserve"> Australia and New Zealand combined between $AU</w:t>
      </w:r>
      <w:r w:rsidR="003C4BCF">
        <w:rPr>
          <w:rFonts w:ascii="Arial" w:hAnsi="Arial" w:cs="Arial"/>
          <w:snapToGrid w:val="0"/>
          <w:lang w:val="en-NZ"/>
        </w:rPr>
        <w:t>30</w:t>
      </w:r>
      <w:r>
        <w:rPr>
          <w:rFonts w:ascii="Arial" w:hAnsi="Arial" w:cs="Arial"/>
          <w:snapToGrid w:val="0"/>
          <w:lang w:val="en-NZ"/>
        </w:rPr>
        <w:t xml:space="preserve"> billion and $3</w:t>
      </w:r>
      <w:r w:rsidR="006464FC">
        <w:rPr>
          <w:rFonts w:ascii="Arial" w:hAnsi="Arial" w:cs="Arial"/>
          <w:snapToGrid w:val="0"/>
          <w:lang w:val="en-NZ"/>
        </w:rPr>
        <w:t>7</w:t>
      </w:r>
      <w:r>
        <w:rPr>
          <w:rFonts w:ascii="Arial" w:hAnsi="Arial" w:cs="Arial"/>
          <w:snapToGrid w:val="0"/>
          <w:lang w:val="en-NZ"/>
        </w:rPr>
        <w:t xml:space="preserve"> billion a year, comprising: </w:t>
      </w:r>
      <w:r w:rsidRPr="004E2DDE">
        <w:rPr>
          <w:rFonts w:ascii="Arial" w:hAnsi="Arial" w:cs="Arial"/>
          <w:snapToGrid w:val="0"/>
          <w:lang w:val="en-NZ"/>
        </w:rPr>
        <w:t xml:space="preserve"> </w:t>
      </w:r>
    </w:p>
    <w:p w14:paraId="21DDEFE9" w14:textId="77777777" w:rsidR="00481F4D" w:rsidRDefault="00481F4D" w:rsidP="00481F4D">
      <w:pPr>
        <w:spacing w:after="0" w:line="240" w:lineRule="auto"/>
        <w:rPr>
          <w:rFonts w:ascii="Arial" w:hAnsi="Arial" w:cs="Arial"/>
          <w:snapToGrid w:val="0"/>
          <w:lang w:val="en-NZ"/>
        </w:rPr>
      </w:pPr>
    </w:p>
    <w:p w14:paraId="5A4970AB" w14:textId="6C4161B2" w:rsidR="00481F4D" w:rsidRPr="00A16F83" w:rsidRDefault="00481F4D" w:rsidP="00481F4D">
      <w:pPr>
        <w:pStyle w:val="ListParagraph"/>
        <w:numPr>
          <w:ilvl w:val="0"/>
          <w:numId w:val="21"/>
        </w:numPr>
        <w:rPr>
          <w:rFonts w:ascii="Arial" w:hAnsi="Arial" w:cs="Arial"/>
          <w:snapToGrid w:val="0"/>
        </w:rPr>
      </w:pPr>
      <w:r w:rsidRPr="00A16F83">
        <w:rPr>
          <w:rFonts w:ascii="Arial" w:hAnsi="Arial" w:cs="Arial"/>
          <w:snapToGrid w:val="0"/>
        </w:rPr>
        <w:t>$AU2</w:t>
      </w:r>
      <w:r w:rsidR="002903EF">
        <w:rPr>
          <w:rFonts w:ascii="Arial" w:hAnsi="Arial" w:cs="Arial"/>
          <w:snapToGrid w:val="0"/>
        </w:rPr>
        <w:t>3</w:t>
      </w:r>
      <w:r w:rsidR="00BD6CC3">
        <w:rPr>
          <w:rFonts w:ascii="Arial" w:hAnsi="Arial" w:cs="Arial"/>
          <w:snapToGrid w:val="0"/>
        </w:rPr>
        <w:t xml:space="preserve"> </w:t>
      </w:r>
      <w:r w:rsidRPr="00A16F83">
        <w:rPr>
          <w:rFonts w:ascii="Arial" w:hAnsi="Arial" w:cs="Arial"/>
          <w:snapToGrid w:val="0"/>
        </w:rPr>
        <w:t>bn to $2</w:t>
      </w:r>
      <w:r w:rsidR="002903EF">
        <w:rPr>
          <w:rFonts w:ascii="Arial" w:hAnsi="Arial" w:cs="Arial"/>
          <w:snapToGrid w:val="0"/>
        </w:rPr>
        <w:t>9</w:t>
      </w:r>
      <w:r w:rsidR="00BD6CC3">
        <w:rPr>
          <w:rFonts w:ascii="Arial" w:hAnsi="Arial" w:cs="Arial"/>
          <w:snapToGrid w:val="0"/>
        </w:rPr>
        <w:t xml:space="preserve"> </w:t>
      </w:r>
      <w:r w:rsidRPr="00A16F83">
        <w:rPr>
          <w:rFonts w:ascii="Arial" w:hAnsi="Arial" w:cs="Arial"/>
          <w:snapToGrid w:val="0"/>
        </w:rPr>
        <w:t>bn annual costs to Australia and</w:t>
      </w:r>
    </w:p>
    <w:p w14:paraId="4E7444B5" w14:textId="1363D31E" w:rsidR="00481F4D" w:rsidRPr="00A16F83" w:rsidRDefault="00481F4D" w:rsidP="00481F4D">
      <w:pPr>
        <w:pStyle w:val="ListParagraph"/>
        <w:numPr>
          <w:ilvl w:val="0"/>
          <w:numId w:val="21"/>
        </w:numPr>
        <w:rPr>
          <w:rFonts w:ascii="Arial" w:hAnsi="Arial" w:cs="Arial"/>
          <w:snapToGrid w:val="0"/>
        </w:rPr>
      </w:pPr>
      <w:r w:rsidRPr="00A16F83">
        <w:rPr>
          <w:rFonts w:ascii="Arial" w:hAnsi="Arial" w:cs="Arial"/>
          <w:snapToGrid w:val="0"/>
        </w:rPr>
        <w:t>$AU</w:t>
      </w:r>
      <w:r w:rsidR="00FE1ACA">
        <w:rPr>
          <w:rFonts w:ascii="Arial" w:hAnsi="Arial" w:cs="Arial"/>
          <w:snapToGrid w:val="0"/>
        </w:rPr>
        <w:t>7</w:t>
      </w:r>
      <w:r w:rsidRPr="00A16F83">
        <w:rPr>
          <w:rFonts w:ascii="Arial" w:hAnsi="Arial" w:cs="Arial"/>
          <w:snapToGrid w:val="0"/>
        </w:rPr>
        <w:t xml:space="preserve"> billion to $</w:t>
      </w:r>
      <w:r w:rsidR="00FE1ACA">
        <w:rPr>
          <w:rFonts w:ascii="Arial" w:hAnsi="Arial" w:cs="Arial"/>
          <w:snapToGrid w:val="0"/>
        </w:rPr>
        <w:t xml:space="preserve">8 </w:t>
      </w:r>
      <w:r w:rsidRPr="00A16F83">
        <w:rPr>
          <w:rFonts w:ascii="Arial" w:hAnsi="Arial" w:cs="Arial"/>
          <w:snapToGrid w:val="0"/>
        </w:rPr>
        <w:t>billion annual costs to New Zealand</w:t>
      </w:r>
      <w:r>
        <w:rPr>
          <w:rStyle w:val="FootnoteReference"/>
          <w:rFonts w:ascii="Arial" w:hAnsi="Arial" w:cs="Arial"/>
          <w:snapToGrid w:val="0"/>
        </w:rPr>
        <w:footnoteReference w:id="27"/>
      </w:r>
      <w:r>
        <w:rPr>
          <w:rFonts w:ascii="Arial" w:hAnsi="Arial" w:cs="Arial"/>
          <w:snapToGrid w:val="0"/>
        </w:rPr>
        <w:t xml:space="preserve">. </w:t>
      </w:r>
    </w:p>
    <w:p w14:paraId="5D7CC5DE" w14:textId="77777777" w:rsidR="00481F4D" w:rsidRDefault="00481F4D" w:rsidP="00481F4D">
      <w:pPr>
        <w:spacing w:after="0" w:line="240" w:lineRule="auto"/>
        <w:rPr>
          <w:rFonts w:ascii="Arial" w:hAnsi="Arial" w:cs="Arial"/>
          <w:snapToGrid w:val="0"/>
          <w:lang w:val="en-NZ"/>
        </w:rPr>
      </w:pPr>
    </w:p>
    <w:p w14:paraId="16BFC7FE" w14:textId="61E7E987" w:rsidR="00481F4D" w:rsidRDefault="00481F4D" w:rsidP="00481F4D">
      <w:pPr>
        <w:rPr>
          <w:rFonts w:ascii="Arial" w:hAnsi="Arial" w:cs="Arial"/>
          <w:snapToGrid w:val="0"/>
          <w:lang w:val="en-GB"/>
        </w:rPr>
      </w:pPr>
      <w:r w:rsidRPr="004E2DDE">
        <w:rPr>
          <w:rFonts w:ascii="Arial" w:hAnsi="Arial" w:cs="Arial"/>
          <w:snapToGrid w:val="0"/>
          <w:lang w:val="en-NZ"/>
        </w:rPr>
        <w:t>This includes direct healthcare costs (such as pharmaceuticals and hospital care) and indirect costs resulting from lower productivity (including the cost of absenteeism</w:t>
      </w:r>
      <w:r>
        <w:rPr>
          <w:rFonts w:ascii="Arial" w:hAnsi="Arial" w:cs="Arial"/>
          <w:snapToGrid w:val="0"/>
          <w:lang w:val="en-NZ"/>
        </w:rPr>
        <w:t>,</w:t>
      </w:r>
      <w:r w:rsidRPr="004E2DDE">
        <w:rPr>
          <w:rFonts w:ascii="Arial" w:hAnsi="Arial" w:cs="Arial"/>
          <w:snapToGrid w:val="0"/>
          <w:lang w:val="en-NZ"/>
        </w:rPr>
        <w:t xml:space="preserve"> foregone taxation</w:t>
      </w:r>
      <w:r>
        <w:rPr>
          <w:rFonts w:ascii="Arial" w:hAnsi="Arial" w:cs="Arial"/>
          <w:snapToGrid w:val="0"/>
          <w:lang w:val="en-NZ"/>
        </w:rPr>
        <w:t xml:space="preserve"> and early retirement</w:t>
      </w:r>
      <w:r w:rsidRPr="004E2DDE">
        <w:rPr>
          <w:rFonts w:ascii="Arial" w:hAnsi="Arial" w:cs="Arial"/>
          <w:snapToGrid w:val="0"/>
          <w:lang w:val="en-NZ"/>
        </w:rPr>
        <w:t>). This estimate does not include the considerable quality of life impacts for individuals or their families and carers.</w:t>
      </w:r>
    </w:p>
    <w:p w14:paraId="5D6F0A02" w14:textId="1B64A90E" w:rsidR="00556412" w:rsidRDefault="00481F4D" w:rsidP="00ED3D91">
      <w:pPr>
        <w:rPr>
          <w:rFonts w:ascii="Arial" w:hAnsi="Arial" w:cs="Arial"/>
        </w:rPr>
      </w:pPr>
      <w:r>
        <w:rPr>
          <w:rFonts w:ascii="Arial" w:hAnsi="Arial" w:cs="Arial"/>
        </w:rPr>
        <w:t xml:space="preserve">The low and high </w:t>
      </w:r>
      <w:r w:rsidR="00B93498">
        <w:rPr>
          <w:rFonts w:ascii="Arial" w:hAnsi="Arial" w:cs="Arial"/>
        </w:rPr>
        <w:t xml:space="preserve">health-related </w:t>
      </w:r>
      <w:r>
        <w:rPr>
          <w:rFonts w:ascii="Arial" w:hAnsi="Arial" w:cs="Arial"/>
        </w:rPr>
        <w:t>cost estimates of overweight and obesity</w:t>
      </w:r>
      <w:r w:rsidR="00DB75EB">
        <w:rPr>
          <w:rFonts w:ascii="Arial" w:hAnsi="Arial" w:cs="Arial"/>
        </w:rPr>
        <w:t xml:space="preserve"> at </w:t>
      </w:r>
      <w:r w:rsidR="00DB75EB">
        <w:rPr>
          <w:rFonts w:ascii="Arial" w:hAnsi="Arial" w:cs="Arial"/>
          <w:snapToGrid w:val="0"/>
          <w:lang w:val="en-NZ"/>
        </w:rPr>
        <w:t>$AU</w:t>
      </w:r>
      <w:r w:rsidR="00A20FE4">
        <w:rPr>
          <w:rFonts w:ascii="Arial" w:hAnsi="Arial" w:cs="Arial"/>
          <w:snapToGrid w:val="0"/>
          <w:lang w:val="en-NZ"/>
        </w:rPr>
        <w:t>30</w:t>
      </w:r>
      <w:r w:rsidR="00DB75EB">
        <w:rPr>
          <w:rFonts w:ascii="Arial" w:hAnsi="Arial" w:cs="Arial"/>
          <w:snapToGrid w:val="0"/>
          <w:lang w:val="en-NZ"/>
        </w:rPr>
        <w:t xml:space="preserve"> billion and $3</w:t>
      </w:r>
      <w:r w:rsidR="00A20FE4">
        <w:rPr>
          <w:rFonts w:ascii="Arial" w:hAnsi="Arial" w:cs="Arial"/>
          <w:snapToGrid w:val="0"/>
          <w:lang w:val="en-NZ"/>
        </w:rPr>
        <w:t>7</w:t>
      </w:r>
      <w:r w:rsidR="00DB75EB">
        <w:rPr>
          <w:rFonts w:ascii="Arial" w:hAnsi="Arial" w:cs="Arial"/>
          <w:snapToGrid w:val="0"/>
          <w:lang w:val="en-NZ"/>
        </w:rPr>
        <w:t xml:space="preserve"> billion a year have been summed over a ten year period, using the 7% discount rate recommended by the OIA. FSANZ has conservatively assumed </w:t>
      </w:r>
      <w:r w:rsidR="00556412">
        <w:rPr>
          <w:rFonts w:ascii="Arial" w:hAnsi="Arial" w:cs="Arial"/>
        </w:rPr>
        <w:t xml:space="preserve">constant numbers of people </w:t>
      </w:r>
      <w:r w:rsidR="00DB75EB">
        <w:rPr>
          <w:rFonts w:ascii="Arial" w:hAnsi="Arial" w:cs="Arial"/>
        </w:rPr>
        <w:t xml:space="preserve">being </w:t>
      </w:r>
      <w:r w:rsidR="00556412">
        <w:rPr>
          <w:rFonts w:ascii="Arial" w:hAnsi="Arial" w:cs="Arial"/>
        </w:rPr>
        <w:t>overweight and obese over ten years, despite population growth.</w:t>
      </w:r>
    </w:p>
    <w:p w14:paraId="49AC5D33" w14:textId="4D640A0D" w:rsidR="00DB75EB" w:rsidRDefault="00DB75EB" w:rsidP="00ED3D91">
      <w:pPr>
        <w:rPr>
          <w:rFonts w:ascii="Arial" w:hAnsi="Arial" w:cs="Arial"/>
        </w:rPr>
      </w:pPr>
      <w:r>
        <w:rPr>
          <w:rFonts w:ascii="Arial" w:hAnsi="Arial" w:cs="Arial"/>
        </w:rPr>
        <w:t xml:space="preserve">The </w:t>
      </w:r>
      <w:r w:rsidR="00541744">
        <w:rPr>
          <w:rFonts w:ascii="Arial" w:hAnsi="Arial" w:cs="Arial"/>
        </w:rPr>
        <w:t xml:space="preserve">discounted </w:t>
      </w:r>
      <w:r w:rsidR="0044227D">
        <w:rPr>
          <w:rFonts w:ascii="Arial" w:hAnsi="Arial" w:cs="Arial"/>
        </w:rPr>
        <w:t xml:space="preserve">health-related </w:t>
      </w:r>
      <w:r>
        <w:rPr>
          <w:rFonts w:ascii="Arial" w:hAnsi="Arial" w:cs="Arial"/>
        </w:rPr>
        <w:t>costs of overweight and obesity across Australia and New Zealand over ten years become:</w:t>
      </w:r>
    </w:p>
    <w:p w14:paraId="27BCEE60" w14:textId="067D830F" w:rsidR="00DB75EB" w:rsidRDefault="00DB75EB" w:rsidP="00DB75EB">
      <w:pPr>
        <w:pStyle w:val="ListParagraph"/>
        <w:numPr>
          <w:ilvl w:val="0"/>
          <w:numId w:val="32"/>
        </w:numPr>
        <w:rPr>
          <w:rFonts w:ascii="Arial" w:hAnsi="Arial" w:cs="Arial"/>
        </w:rPr>
      </w:pPr>
      <w:r>
        <w:rPr>
          <w:rFonts w:ascii="Arial" w:hAnsi="Arial" w:cs="Arial"/>
        </w:rPr>
        <w:t>l</w:t>
      </w:r>
      <w:r w:rsidRPr="00DB75EB">
        <w:rPr>
          <w:rFonts w:ascii="Arial" w:hAnsi="Arial" w:cs="Arial"/>
        </w:rPr>
        <w:t>ow estimate = $22</w:t>
      </w:r>
      <w:r w:rsidR="00C91825">
        <w:rPr>
          <w:rFonts w:ascii="Arial" w:hAnsi="Arial" w:cs="Arial"/>
        </w:rPr>
        <w:t>8</w:t>
      </w:r>
      <w:r w:rsidRPr="00DB75EB">
        <w:rPr>
          <w:rFonts w:ascii="Arial" w:hAnsi="Arial" w:cs="Arial"/>
        </w:rPr>
        <w:t xml:space="preserve"> billion</w:t>
      </w:r>
    </w:p>
    <w:p w14:paraId="2F1FC718" w14:textId="1EF150C2" w:rsidR="00DB75EB" w:rsidRDefault="00DB75EB" w:rsidP="00DB75EB">
      <w:pPr>
        <w:pStyle w:val="ListParagraph"/>
        <w:numPr>
          <w:ilvl w:val="0"/>
          <w:numId w:val="32"/>
        </w:numPr>
        <w:rPr>
          <w:rFonts w:ascii="Arial" w:hAnsi="Arial" w:cs="Arial"/>
        </w:rPr>
      </w:pPr>
      <w:r>
        <w:rPr>
          <w:rFonts w:ascii="Arial" w:hAnsi="Arial" w:cs="Arial"/>
        </w:rPr>
        <w:t xml:space="preserve">mid-point estimate = </w:t>
      </w:r>
      <w:r w:rsidR="008B4151" w:rsidRPr="00DB75EB">
        <w:rPr>
          <w:rFonts w:ascii="Arial" w:hAnsi="Arial" w:cs="Arial"/>
        </w:rPr>
        <w:t>$2</w:t>
      </w:r>
      <w:r w:rsidR="00B06EA1">
        <w:rPr>
          <w:rFonts w:ascii="Arial" w:hAnsi="Arial" w:cs="Arial"/>
        </w:rPr>
        <w:t>5</w:t>
      </w:r>
      <w:r w:rsidR="008B4151">
        <w:rPr>
          <w:rFonts w:ascii="Arial" w:hAnsi="Arial" w:cs="Arial"/>
        </w:rPr>
        <w:t>3</w:t>
      </w:r>
      <w:r w:rsidR="008B4151" w:rsidRPr="00DB75EB">
        <w:rPr>
          <w:rFonts w:ascii="Arial" w:hAnsi="Arial" w:cs="Arial"/>
        </w:rPr>
        <w:t xml:space="preserve"> billion</w:t>
      </w:r>
    </w:p>
    <w:p w14:paraId="162569B3" w14:textId="2C43A0A1" w:rsidR="00391F1C" w:rsidRPr="00B866E2" w:rsidRDefault="008B4151" w:rsidP="00F85228">
      <w:pPr>
        <w:pStyle w:val="ListParagraph"/>
        <w:numPr>
          <w:ilvl w:val="0"/>
          <w:numId w:val="32"/>
        </w:numPr>
        <w:spacing w:after="120"/>
        <w:ind w:left="714" w:hanging="357"/>
        <w:rPr>
          <w:rFonts w:ascii="Arial" w:hAnsi="Arial" w:cs="Arial"/>
        </w:rPr>
      </w:pPr>
      <w:r>
        <w:rPr>
          <w:rFonts w:ascii="Arial" w:hAnsi="Arial" w:cs="Arial"/>
        </w:rPr>
        <w:t>high</w:t>
      </w:r>
      <w:r w:rsidRPr="00DB75EB">
        <w:rPr>
          <w:rFonts w:ascii="Arial" w:hAnsi="Arial" w:cs="Arial"/>
        </w:rPr>
        <w:t xml:space="preserve"> estimate = $2</w:t>
      </w:r>
      <w:r w:rsidR="00B06EA1">
        <w:rPr>
          <w:rFonts w:ascii="Arial" w:hAnsi="Arial" w:cs="Arial"/>
        </w:rPr>
        <w:t>78</w:t>
      </w:r>
      <w:r w:rsidRPr="00DB75EB">
        <w:rPr>
          <w:rFonts w:ascii="Arial" w:hAnsi="Arial" w:cs="Arial"/>
        </w:rPr>
        <w:t xml:space="preserve"> billion</w:t>
      </w:r>
      <w:r>
        <w:rPr>
          <w:rFonts w:ascii="Arial" w:hAnsi="Arial" w:cs="Arial"/>
        </w:rPr>
        <w:t>.</w:t>
      </w:r>
    </w:p>
    <w:p w14:paraId="0F18BCC5" w14:textId="67F7B07E" w:rsidR="00391F1C" w:rsidRDefault="008620CA" w:rsidP="00391F1C">
      <w:pPr>
        <w:rPr>
          <w:rFonts w:ascii="Arial" w:hAnsi="Arial" w:cs="Arial"/>
        </w:rPr>
      </w:pPr>
      <w:r>
        <w:rPr>
          <w:rFonts w:ascii="Arial" w:hAnsi="Arial" w:cs="Arial"/>
        </w:rPr>
        <w:t>The above h</w:t>
      </w:r>
      <w:r w:rsidR="00391F1C">
        <w:rPr>
          <w:rFonts w:ascii="Arial" w:hAnsi="Arial" w:cs="Arial"/>
        </w:rPr>
        <w:t>ealth</w:t>
      </w:r>
      <w:r w:rsidR="00B93498">
        <w:rPr>
          <w:rFonts w:ascii="Arial" w:hAnsi="Arial" w:cs="Arial"/>
        </w:rPr>
        <w:t xml:space="preserve">-related costs of </w:t>
      </w:r>
      <w:r w:rsidR="00391F1C">
        <w:rPr>
          <w:rFonts w:ascii="Arial" w:hAnsi="Arial" w:cs="Arial"/>
        </w:rPr>
        <w:t>overweight and obesity</w:t>
      </w:r>
      <w:r w:rsidR="008E3DDD">
        <w:rPr>
          <w:rFonts w:ascii="Arial" w:hAnsi="Arial" w:cs="Arial"/>
        </w:rPr>
        <w:t xml:space="preserve"> have been sourced and derived as follows: </w:t>
      </w:r>
    </w:p>
    <w:p w14:paraId="63FD2129" w14:textId="5AA5AFBC" w:rsidR="008E3DDD" w:rsidRPr="008E3DDD" w:rsidRDefault="008E3DDD" w:rsidP="008E3DDD">
      <w:pPr>
        <w:spacing w:after="120"/>
        <w:rPr>
          <w:rFonts w:ascii="Arial" w:hAnsi="Arial" w:cs="Arial"/>
          <w:lang w:val="en-AU"/>
        </w:rPr>
      </w:pPr>
      <w:r w:rsidRPr="008E3DDD">
        <w:rPr>
          <w:rFonts w:ascii="Arial" w:hAnsi="Arial" w:cs="Arial"/>
          <w:lang w:val="en-AU"/>
        </w:rPr>
        <w:t>For Australia</w:t>
      </w:r>
      <w:r w:rsidR="00B46BC3">
        <w:rPr>
          <w:rFonts w:ascii="Arial" w:hAnsi="Arial" w:cs="Arial"/>
          <w:lang w:val="en-AU"/>
        </w:rPr>
        <w:t>, the</w:t>
      </w:r>
      <w:r w:rsidRPr="008E3DDD">
        <w:rPr>
          <w:rFonts w:ascii="Arial" w:hAnsi="Arial" w:cs="Arial"/>
          <w:lang w:val="en-AU"/>
        </w:rPr>
        <w:t>:</w:t>
      </w:r>
    </w:p>
    <w:p w14:paraId="45517E97" w14:textId="15578479" w:rsidR="00B46BC3" w:rsidRDefault="008E3DDD" w:rsidP="008E3DDD">
      <w:pPr>
        <w:pStyle w:val="ListParagraph"/>
        <w:numPr>
          <w:ilvl w:val="0"/>
          <w:numId w:val="32"/>
        </w:numPr>
        <w:rPr>
          <w:rFonts w:ascii="Arial" w:hAnsi="Arial" w:cs="Arial"/>
          <w:lang w:val="en-AU"/>
        </w:rPr>
      </w:pPr>
      <w:r w:rsidRPr="00B46BC3">
        <w:rPr>
          <w:rFonts w:ascii="Arial" w:hAnsi="Arial" w:cs="Arial"/>
        </w:rPr>
        <w:t>low</w:t>
      </w:r>
      <w:r w:rsidRPr="008E3DDD">
        <w:rPr>
          <w:rFonts w:ascii="Arial" w:hAnsi="Arial" w:cs="Arial"/>
          <w:lang w:val="en-AU"/>
        </w:rPr>
        <w:t xml:space="preserve"> estimate of </w:t>
      </w:r>
      <w:r w:rsidR="00C7464B">
        <w:rPr>
          <w:rFonts w:ascii="Arial" w:hAnsi="Arial" w:cs="Arial"/>
          <w:lang w:val="en-AU"/>
        </w:rPr>
        <w:t xml:space="preserve">obesity (only) </w:t>
      </w:r>
      <w:r w:rsidR="009112CB">
        <w:rPr>
          <w:rFonts w:ascii="Arial" w:hAnsi="Arial" w:cs="Arial"/>
          <w:lang w:val="en-AU"/>
        </w:rPr>
        <w:t xml:space="preserve">related health </w:t>
      </w:r>
      <w:r w:rsidRPr="008E3DDD">
        <w:rPr>
          <w:rFonts w:ascii="Arial" w:hAnsi="Arial" w:cs="Arial"/>
          <w:lang w:val="en-AU"/>
        </w:rPr>
        <w:t>cost</w:t>
      </w:r>
      <w:r w:rsidR="00C7464B">
        <w:rPr>
          <w:rFonts w:ascii="Arial" w:hAnsi="Arial" w:cs="Arial"/>
          <w:lang w:val="en-AU"/>
        </w:rPr>
        <w:t>s</w:t>
      </w:r>
      <w:r w:rsidRPr="008E3DDD">
        <w:rPr>
          <w:rFonts w:ascii="Arial" w:hAnsi="Arial" w:cs="Arial"/>
          <w:lang w:val="en-AU"/>
        </w:rPr>
        <w:t xml:space="preserve"> in 2011-12 is taken from</w:t>
      </w:r>
      <w:r>
        <w:rPr>
          <w:rFonts w:ascii="Arial" w:hAnsi="Arial" w:cs="Arial"/>
          <w:lang w:val="en-AU"/>
        </w:rPr>
        <w:t xml:space="preserve"> the PricewaterhouseCoopers (PwC) </w:t>
      </w:r>
      <w:r w:rsidR="00AF2660">
        <w:rPr>
          <w:rFonts w:ascii="Arial" w:hAnsi="Arial" w:cs="Arial"/>
          <w:lang w:val="en-AU"/>
        </w:rPr>
        <w:t>(</w:t>
      </w:r>
      <w:r w:rsidRPr="008E3DDD">
        <w:rPr>
          <w:rFonts w:ascii="Arial" w:hAnsi="Arial" w:cs="Arial"/>
          <w:lang w:val="en-AU"/>
        </w:rPr>
        <w:t>2015</w:t>
      </w:r>
      <w:r w:rsidR="00AF2660">
        <w:rPr>
          <w:rFonts w:ascii="Arial" w:hAnsi="Arial" w:cs="Arial"/>
          <w:lang w:val="en-AU"/>
        </w:rPr>
        <w:t>)</w:t>
      </w:r>
      <w:r w:rsidR="00CD666B">
        <w:rPr>
          <w:rFonts w:ascii="Arial" w:hAnsi="Arial" w:cs="Arial"/>
          <w:lang w:val="en-AU"/>
        </w:rPr>
        <w:t xml:space="preserve"> </w:t>
      </w:r>
      <w:r w:rsidR="001C5200">
        <w:rPr>
          <w:rFonts w:ascii="Arial" w:hAnsi="Arial" w:cs="Arial"/>
          <w:lang w:val="en-AU"/>
        </w:rPr>
        <w:t>“</w:t>
      </w:r>
      <w:r w:rsidR="00CD666B">
        <w:rPr>
          <w:rFonts w:ascii="Arial" w:hAnsi="Arial" w:cs="Arial"/>
          <w:lang w:val="en-AU"/>
        </w:rPr>
        <w:t>Weighing the Cost of Obesity</w:t>
      </w:r>
      <w:r w:rsidR="001C5200">
        <w:rPr>
          <w:rFonts w:ascii="Arial" w:hAnsi="Arial" w:cs="Arial"/>
          <w:lang w:val="en-AU"/>
        </w:rPr>
        <w:t>”</w:t>
      </w:r>
    </w:p>
    <w:p w14:paraId="2A94DC8D" w14:textId="73D49024" w:rsidR="00DD01DF" w:rsidRDefault="008E3DDD" w:rsidP="008E3DDD">
      <w:pPr>
        <w:pStyle w:val="ListParagraph"/>
        <w:numPr>
          <w:ilvl w:val="0"/>
          <w:numId w:val="32"/>
        </w:numPr>
        <w:rPr>
          <w:rFonts w:ascii="Arial" w:hAnsi="Arial" w:cs="Arial"/>
          <w:lang w:val="en-AU"/>
        </w:rPr>
      </w:pPr>
      <w:r w:rsidRPr="00B46BC3">
        <w:rPr>
          <w:rFonts w:ascii="Arial" w:hAnsi="Arial" w:cs="Arial"/>
          <w:lang w:val="en-AU"/>
        </w:rPr>
        <w:t>high estimate of obesity</w:t>
      </w:r>
      <w:r w:rsidR="004B0B45">
        <w:rPr>
          <w:rFonts w:ascii="Arial" w:hAnsi="Arial" w:cs="Arial"/>
          <w:lang w:val="en-AU"/>
        </w:rPr>
        <w:t xml:space="preserve">-related health </w:t>
      </w:r>
      <w:r w:rsidR="00C7464B" w:rsidRPr="00B46BC3">
        <w:rPr>
          <w:rFonts w:ascii="Arial" w:hAnsi="Arial" w:cs="Arial"/>
          <w:lang w:val="en-AU"/>
        </w:rPr>
        <w:t>costs</w:t>
      </w:r>
      <w:r w:rsidRPr="00B46BC3">
        <w:rPr>
          <w:rFonts w:ascii="Arial" w:hAnsi="Arial" w:cs="Arial"/>
          <w:lang w:val="en-AU"/>
        </w:rPr>
        <w:t xml:space="preserve"> in 2011-12 is taken from the Obesity Collective </w:t>
      </w:r>
      <w:r w:rsidR="00AF2660" w:rsidRPr="00B46BC3">
        <w:rPr>
          <w:rFonts w:ascii="Arial" w:hAnsi="Arial" w:cs="Arial"/>
          <w:lang w:val="en-AU"/>
        </w:rPr>
        <w:t>(</w:t>
      </w:r>
      <w:r w:rsidRPr="00B46BC3">
        <w:rPr>
          <w:rFonts w:ascii="Arial" w:hAnsi="Arial" w:cs="Arial"/>
          <w:lang w:val="en-AU"/>
        </w:rPr>
        <w:t>201</w:t>
      </w:r>
      <w:r w:rsidR="00AF2660" w:rsidRPr="00B46BC3">
        <w:rPr>
          <w:rFonts w:ascii="Arial" w:hAnsi="Arial" w:cs="Arial"/>
          <w:lang w:val="en-AU"/>
        </w:rPr>
        <w:t>8)</w:t>
      </w:r>
      <w:r w:rsidRPr="00B46BC3">
        <w:rPr>
          <w:rFonts w:ascii="Arial" w:hAnsi="Arial" w:cs="Arial"/>
          <w:lang w:val="en-AU"/>
        </w:rPr>
        <w:t xml:space="preserve"> </w:t>
      </w:r>
      <w:r w:rsidR="001C5200" w:rsidRPr="00B46BC3">
        <w:rPr>
          <w:rFonts w:ascii="Arial" w:hAnsi="Arial" w:cs="Arial"/>
          <w:lang w:val="en-AU"/>
        </w:rPr>
        <w:t>“</w:t>
      </w:r>
      <w:r w:rsidR="00CD666B" w:rsidRPr="00B46BC3">
        <w:rPr>
          <w:rFonts w:ascii="Arial" w:hAnsi="Arial" w:cs="Arial"/>
          <w:lang w:val="en-AU"/>
        </w:rPr>
        <w:t>Weighing in: Australia’s Growing Obesity Epidemic</w:t>
      </w:r>
      <w:r w:rsidR="001C5200" w:rsidRPr="00B46BC3">
        <w:rPr>
          <w:rFonts w:ascii="Arial" w:hAnsi="Arial" w:cs="Arial"/>
          <w:lang w:val="en-AU"/>
        </w:rPr>
        <w:t>”</w:t>
      </w:r>
      <w:r w:rsidR="00CD666B" w:rsidRPr="00B46BC3">
        <w:rPr>
          <w:rFonts w:ascii="Arial" w:hAnsi="Arial" w:cs="Arial"/>
          <w:lang w:val="en-AU"/>
        </w:rPr>
        <w:t>.</w:t>
      </w:r>
      <w:r w:rsidR="001C5200" w:rsidRPr="00B46BC3">
        <w:rPr>
          <w:rFonts w:ascii="Arial" w:hAnsi="Arial" w:cs="Arial"/>
          <w:lang w:val="en-AU"/>
        </w:rPr>
        <w:t xml:space="preserve"> </w:t>
      </w:r>
      <w:r w:rsidRPr="00B46BC3">
        <w:rPr>
          <w:rFonts w:ascii="Arial" w:hAnsi="Arial" w:cs="Arial"/>
          <w:lang w:val="en-AU"/>
        </w:rPr>
        <w:t>Note this</w:t>
      </w:r>
      <w:r w:rsidR="00C7464B" w:rsidRPr="00B46BC3">
        <w:rPr>
          <w:rFonts w:ascii="Arial" w:hAnsi="Arial" w:cs="Arial"/>
          <w:lang w:val="en-AU"/>
        </w:rPr>
        <w:t xml:space="preserve"> latter</w:t>
      </w:r>
      <w:r w:rsidRPr="00B46BC3">
        <w:rPr>
          <w:rFonts w:ascii="Arial" w:hAnsi="Arial" w:cs="Arial"/>
          <w:lang w:val="en-AU"/>
        </w:rPr>
        <w:t xml:space="preserve"> report uses the PwC report</w:t>
      </w:r>
    </w:p>
    <w:p w14:paraId="36FFD967" w14:textId="66DFE9E2" w:rsidR="00DD01DF" w:rsidRDefault="004B0B45" w:rsidP="00DD01DF">
      <w:pPr>
        <w:pStyle w:val="ListParagraph"/>
        <w:numPr>
          <w:ilvl w:val="0"/>
          <w:numId w:val="32"/>
        </w:numPr>
        <w:rPr>
          <w:rFonts w:ascii="Arial" w:hAnsi="Arial" w:cs="Arial"/>
          <w:lang w:val="en-AU"/>
        </w:rPr>
      </w:pPr>
      <w:r>
        <w:rPr>
          <w:rFonts w:ascii="Arial" w:hAnsi="Arial" w:cs="Arial"/>
          <w:lang w:val="en-AU"/>
        </w:rPr>
        <w:t xml:space="preserve">obesity-related health </w:t>
      </w:r>
      <w:r w:rsidR="008E3DDD" w:rsidRPr="00DD01DF">
        <w:rPr>
          <w:rFonts w:ascii="Arial" w:hAnsi="Arial" w:cs="Arial"/>
          <w:lang w:val="en-AU"/>
        </w:rPr>
        <w:t>costs from the PwC report</w:t>
      </w:r>
      <w:r w:rsidR="00F421BF">
        <w:rPr>
          <w:rFonts w:ascii="Arial" w:hAnsi="Arial" w:cs="Arial"/>
          <w:lang w:val="en-AU"/>
        </w:rPr>
        <w:t xml:space="preserve"> were</w:t>
      </w:r>
      <w:r w:rsidR="008E3DDD" w:rsidRPr="00DD01DF">
        <w:rPr>
          <w:rFonts w:ascii="Arial" w:hAnsi="Arial" w:cs="Arial"/>
          <w:lang w:val="en-AU"/>
        </w:rPr>
        <w:t xml:space="preserve"> adjusted for population growth, using </w:t>
      </w:r>
      <w:hyperlink r:id="rId23" w:history="1">
        <w:r w:rsidR="0040592B" w:rsidRPr="00DD01DF">
          <w:rPr>
            <w:rStyle w:val="Hyperlink"/>
            <w:rFonts w:ascii="Arial" w:hAnsi="Arial" w:cs="Arial"/>
          </w:rPr>
          <w:t>UN Data</w:t>
        </w:r>
      </w:hyperlink>
      <w:r w:rsidR="008E3DDD" w:rsidRPr="00DD01DF">
        <w:rPr>
          <w:rFonts w:ascii="Arial" w:hAnsi="Arial" w:cs="Arial"/>
          <w:lang w:val="en-AU"/>
        </w:rPr>
        <w:t>, and for inflation from the Australian Bureau of Statistics Consumer Price Index data</w:t>
      </w:r>
    </w:p>
    <w:p w14:paraId="2130E62B" w14:textId="33ADC70F" w:rsidR="008E3DDD" w:rsidRPr="00DD01DF" w:rsidRDefault="00F25D1E" w:rsidP="00DD01DF">
      <w:pPr>
        <w:pStyle w:val="ListParagraph"/>
        <w:numPr>
          <w:ilvl w:val="0"/>
          <w:numId w:val="32"/>
        </w:numPr>
        <w:rPr>
          <w:rFonts w:ascii="Arial" w:hAnsi="Arial" w:cs="Arial"/>
          <w:lang w:val="en-AU"/>
        </w:rPr>
      </w:pPr>
      <w:r>
        <w:rPr>
          <w:rFonts w:ascii="Arial" w:hAnsi="Arial" w:cs="Arial"/>
          <w:lang w:val="en-AU"/>
        </w:rPr>
        <w:t xml:space="preserve">health </w:t>
      </w:r>
      <w:r w:rsidR="008E3DDD" w:rsidRPr="00DD01DF">
        <w:rPr>
          <w:rFonts w:ascii="Arial" w:hAnsi="Arial" w:cs="Arial"/>
          <w:lang w:val="en-AU"/>
        </w:rPr>
        <w:t>costs</w:t>
      </w:r>
      <w:r>
        <w:rPr>
          <w:rFonts w:ascii="Arial" w:hAnsi="Arial" w:cs="Arial"/>
          <w:lang w:val="en-AU"/>
        </w:rPr>
        <w:t xml:space="preserve"> relating to</w:t>
      </w:r>
      <w:r w:rsidR="008E3DDD" w:rsidRPr="00DD01DF">
        <w:rPr>
          <w:rFonts w:ascii="Arial" w:hAnsi="Arial" w:cs="Arial"/>
          <w:lang w:val="en-AU"/>
        </w:rPr>
        <w:t xml:space="preserve"> overweight was added using a ratio of obesity to overweight</w:t>
      </w:r>
      <w:r>
        <w:rPr>
          <w:rFonts w:ascii="Arial" w:hAnsi="Arial" w:cs="Arial"/>
          <w:lang w:val="en-AU"/>
        </w:rPr>
        <w:t>-related health</w:t>
      </w:r>
      <w:r w:rsidR="008E3DDD" w:rsidRPr="00DD01DF">
        <w:rPr>
          <w:rFonts w:ascii="Arial" w:hAnsi="Arial" w:cs="Arial"/>
          <w:lang w:val="en-AU"/>
        </w:rPr>
        <w:t xml:space="preserve"> costs, based on Colagiuri et al (2005)</w:t>
      </w:r>
      <w:r w:rsidR="0040592B" w:rsidRPr="00DD01DF">
        <w:rPr>
          <w:rFonts w:ascii="Arial" w:hAnsi="Arial" w:cs="Arial"/>
          <w:lang w:val="en-AU"/>
        </w:rPr>
        <w:t>: “Cost of Overweight and Obesity in Australia”</w:t>
      </w:r>
      <w:r w:rsidR="0040592B">
        <w:t>.</w:t>
      </w:r>
    </w:p>
    <w:p w14:paraId="7CABCCAD" w14:textId="77777777" w:rsidR="00DD01DF" w:rsidRPr="00DD01DF" w:rsidRDefault="00DD01DF" w:rsidP="00DD01DF">
      <w:pPr>
        <w:pStyle w:val="ListParagraph"/>
        <w:rPr>
          <w:rFonts w:ascii="Arial" w:hAnsi="Arial" w:cs="Arial"/>
          <w:lang w:val="en-AU"/>
        </w:rPr>
      </w:pPr>
    </w:p>
    <w:p w14:paraId="3ABC10C6" w14:textId="3C491F5F" w:rsidR="000223FD" w:rsidRPr="001F2EE9" w:rsidRDefault="008E3DDD" w:rsidP="000223FD">
      <w:pPr>
        <w:rPr>
          <w:rFonts w:ascii="Arial" w:hAnsi="Arial" w:cs="Arial"/>
          <w:lang w:val="en-AU"/>
        </w:rPr>
      </w:pPr>
      <w:r w:rsidRPr="008E3DDD">
        <w:rPr>
          <w:rFonts w:ascii="Arial" w:hAnsi="Arial" w:cs="Arial"/>
          <w:lang w:val="en-AU"/>
        </w:rPr>
        <w:t>For New Zealand</w:t>
      </w:r>
      <w:r w:rsidR="00DD01DF">
        <w:rPr>
          <w:rFonts w:ascii="Arial" w:hAnsi="Arial" w:cs="Arial"/>
          <w:lang w:val="en-AU"/>
        </w:rPr>
        <w:t>, t</w:t>
      </w:r>
      <w:r>
        <w:rPr>
          <w:rFonts w:ascii="Arial" w:hAnsi="Arial" w:cs="Arial"/>
          <w:lang w:val="en-AU"/>
        </w:rPr>
        <w:t xml:space="preserve">he </w:t>
      </w:r>
      <w:r w:rsidR="00CC6C03">
        <w:rPr>
          <w:rFonts w:ascii="Arial" w:hAnsi="Arial" w:cs="Arial"/>
          <w:lang w:val="en-AU"/>
        </w:rPr>
        <w:t>low</w:t>
      </w:r>
      <w:r w:rsidRPr="008E3DDD">
        <w:rPr>
          <w:rFonts w:ascii="Arial" w:hAnsi="Arial" w:cs="Arial"/>
          <w:lang w:val="en-AU"/>
        </w:rPr>
        <w:t xml:space="preserve"> and </w:t>
      </w:r>
      <w:r w:rsidR="00CC6C03">
        <w:rPr>
          <w:rFonts w:ascii="Arial" w:hAnsi="Arial" w:cs="Arial"/>
          <w:lang w:val="en-AU"/>
        </w:rPr>
        <w:t>high</w:t>
      </w:r>
      <w:r w:rsidRPr="008E3DDD">
        <w:rPr>
          <w:rFonts w:ascii="Arial" w:hAnsi="Arial" w:cs="Arial"/>
          <w:lang w:val="en-AU"/>
        </w:rPr>
        <w:t xml:space="preserve"> estimate</w:t>
      </w:r>
      <w:r>
        <w:rPr>
          <w:rFonts w:ascii="Arial" w:hAnsi="Arial" w:cs="Arial"/>
          <w:lang w:val="en-AU"/>
        </w:rPr>
        <w:t>d</w:t>
      </w:r>
      <w:r w:rsidR="008019BC">
        <w:rPr>
          <w:rFonts w:ascii="Arial" w:hAnsi="Arial" w:cs="Arial"/>
          <w:lang w:val="en-AU"/>
        </w:rPr>
        <w:t xml:space="preserve"> health</w:t>
      </w:r>
      <w:r>
        <w:rPr>
          <w:rFonts w:ascii="Arial" w:hAnsi="Arial" w:cs="Arial"/>
          <w:lang w:val="en-AU"/>
        </w:rPr>
        <w:t xml:space="preserve"> costs</w:t>
      </w:r>
      <w:r w:rsidR="008019BC">
        <w:rPr>
          <w:rFonts w:ascii="Arial" w:hAnsi="Arial" w:cs="Arial"/>
          <w:lang w:val="en-AU"/>
        </w:rPr>
        <w:t xml:space="preserve"> relating to</w:t>
      </w:r>
      <w:r>
        <w:rPr>
          <w:rFonts w:ascii="Arial" w:hAnsi="Arial" w:cs="Arial"/>
          <w:lang w:val="en-AU"/>
        </w:rPr>
        <w:t xml:space="preserve"> overweight and obesity for </w:t>
      </w:r>
      <w:r w:rsidRPr="008E3DDD">
        <w:rPr>
          <w:rFonts w:ascii="Arial" w:hAnsi="Arial" w:cs="Arial"/>
          <w:lang w:val="en-AU"/>
        </w:rPr>
        <w:t xml:space="preserve">2021 </w:t>
      </w:r>
      <w:r>
        <w:rPr>
          <w:rFonts w:ascii="Arial" w:hAnsi="Arial" w:cs="Arial"/>
          <w:lang w:val="en-AU"/>
        </w:rPr>
        <w:t>are</w:t>
      </w:r>
      <w:r w:rsidRPr="008E3DDD">
        <w:rPr>
          <w:rFonts w:ascii="Arial" w:hAnsi="Arial" w:cs="Arial"/>
          <w:lang w:val="en-AU"/>
        </w:rPr>
        <w:t xml:space="preserve"> taken from a study by Sapere for Hapai Te Hauora </w:t>
      </w:r>
      <w:r w:rsidR="00527910">
        <w:rPr>
          <w:rFonts w:ascii="Arial" w:hAnsi="Arial" w:cs="Arial"/>
          <w:lang w:val="en-AU"/>
        </w:rPr>
        <w:t>(</w:t>
      </w:r>
      <w:r w:rsidRPr="008E3DDD">
        <w:rPr>
          <w:rFonts w:ascii="Arial" w:hAnsi="Arial" w:cs="Arial"/>
          <w:lang w:val="en-AU"/>
        </w:rPr>
        <w:t>2021</w:t>
      </w:r>
      <w:r w:rsidR="00527910">
        <w:rPr>
          <w:rFonts w:ascii="Arial" w:hAnsi="Arial" w:cs="Arial"/>
          <w:lang w:val="en-AU"/>
        </w:rPr>
        <w:t>)</w:t>
      </w:r>
      <w:r w:rsidR="0040592B">
        <w:rPr>
          <w:rFonts w:ascii="Arial" w:hAnsi="Arial" w:cs="Arial"/>
          <w:lang w:val="en-AU"/>
        </w:rPr>
        <w:t xml:space="preserve"> “Economic impact of excess </w:t>
      </w:r>
      <w:r w:rsidR="0040592B">
        <w:rPr>
          <w:rFonts w:ascii="Arial" w:hAnsi="Arial" w:cs="Arial"/>
          <w:lang w:val="en-AU"/>
        </w:rPr>
        <w:lastRenderedPageBreak/>
        <w:t>weight in Aotearoa”</w:t>
      </w:r>
      <w:r>
        <w:rPr>
          <w:rFonts w:ascii="Arial" w:hAnsi="Arial" w:cs="Arial"/>
          <w:lang w:val="en-AU"/>
        </w:rPr>
        <w:t xml:space="preserve">. Those costs have then been </w:t>
      </w:r>
      <w:r w:rsidRPr="008E3DDD">
        <w:rPr>
          <w:rFonts w:ascii="Arial" w:hAnsi="Arial" w:cs="Arial"/>
          <w:lang w:val="en-AU"/>
        </w:rPr>
        <w:t xml:space="preserve">adjusted for population </w:t>
      </w:r>
      <w:r>
        <w:rPr>
          <w:rFonts w:ascii="Arial" w:hAnsi="Arial" w:cs="Arial"/>
          <w:lang w:val="en-AU"/>
        </w:rPr>
        <w:t xml:space="preserve">growth </w:t>
      </w:r>
      <w:r w:rsidRPr="008E3DDD">
        <w:rPr>
          <w:rFonts w:ascii="Arial" w:hAnsi="Arial" w:cs="Arial"/>
          <w:lang w:val="en-AU"/>
        </w:rPr>
        <w:t xml:space="preserve">using </w:t>
      </w:r>
      <w:hyperlink r:id="rId24" w:history="1">
        <w:r w:rsidR="0040592B" w:rsidRPr="0040592B">
          <w:rPr>
            <w:rStyle w:val="Hyperlink"/>
            <w:rFonts w:ascii="Arial" w:hAnsi="Arial" w:cs="Arial"/>
          </w:rPr>
          <w:t>UN Data</w:t>
        </w:r>
      </w:hyperlink>
      <w:r w:rsidR="0040592B">
        <w:rPr>
          <w:rFonts w:ascii="Arial" w:hAnsi="Arial" w:cs="Arial"/>
        </w:rPr>
        <w:t xml:space="preserve">, </w:t>
      </w:r>
      <w:r w:rsidRPr="008E3DDD">
        <w:rPr>
          <w:rFonts w:ascii="Arial" w:hAnsi="Arial" w:cs="Arial"/>
          <w:lang w:val="en-AU"/>
        </w:rPr>
        <w:t xml:space="preserve">and </w:t>
      </w:r>
      <w:r>
        <w:rPr>
          <w:rFonts w:ascii="Arial" w:hAnsi="Arial" w:cs="Arial"/>
          <w:lang w:val="en-AU"/>
        </w:rPr>
        <w:t xml:space="preserve">for </w:t>
      </w:r>
      <w:r w:rsidRPr="008E3DDD">
        <w:rPr>
          <w:rFonts w:ascii="Arial" w:hAnsi="Arial" w:cs="Arial"/>
          <w:lang w:val="en-AU"/>
        </w:rPr>
        <w:t xml:space="preserve">inflation </w:t>
      </w:r>
      <w:r w:rsidR="003C34D4">
        <w:rPr>
          <w:rFonts w:ascii="Arial" w:hAnsi="Arial" w:cs="Arial"/>
          <w:lang w:val="en-AU"/>
        </w:rPr>
        <w:t xml:space="preserve">from the </w:t>
      </w:r>
      <w:r w:rsidRPr="008E3DDD">
        <w:rPr>
          <w:rFonts w:ascii="Arial" w:hAnsi="Arial" w:cs="Arial"/>
          <w:lang w:val="en-AU"/>
        </w:rPr>
        <w:t>Stat</w:t>
      </w:r>
      <w:r>
        <w:rPr>
          <w:rFonts w:ascii="Arial" w:hAnsi="Arial" w:cs="Arial"/>
          <w:lang w:val="en-AU"/>
        </w:rPr>
        <w:t xml:space="preserve">istics </w:t>
      </w:r>
      <w:r w:rsidRPr="008E3DDD">
        <w:rPr>
          <w:rFonts w:ascii="Arial" w:hAnsi="Arial" w:cs="Arial"/>
          <w:lang w:val="en-AU"/>
        </w:rPr>
        <w:t>N</w:t>
      </w:r>
      <w:r>
        <w:rPr>
          <w:rFonts w:ascii="Arial" w:hAnsi="Arial" w:cs="Arial"/>
          <w:lang w:val="en-AU"/>
        </w:rPr>
        <w:t xml:space="preserve">ew </w:t>
      </w:r>
      <w:r w:rsidRPr="008E3DDD">
        <w:rPr>
          <w:rFonts w:ascii="Arial" w:hAnsi="Arial" w:cs="Arial"/>
          <w:lang w:val="en-AU"/>
        </w:rPr>
        <w:t>Z</w:t>
      </w:r>
      <w:r>
        <w:rPr>
          <w:rFonts w:ascii="Arial" w:hAnsi="Arial" w:cs="Arial"/>
          <w:lang w:val="en-AU"/>
        </w:rPr>
        <w:t>ealand</w:t>
      </w:r>
      <w:r w:rsidRPr="008E3DDD">
        <w:rPr>
          <w:rFonts w:ascii="Arial" w:hAnsi="Arial" w:cs="Arial"/>
          <w:lang w:val="en-AU"/>
        </w:rPr>
        <w:t xml:space="preserve"> </w:t>
      </w:r>
      <w:r>
        <w:rPr>
          <w:rFonts w:ascii="Arial" w:hAnsi="Arial" w:cs="Arial"/>
          <w:lang w:val="en-AU"/>
        </w:rPr>
        <w:t>Consumer Price Index data.</w:t>
      </w:r>
    </w:p>
    <w:p w14:paraId="287435D5" w14:textId="05FB48FC" w:rsidR="000223FD" w:rsidRPr="000223FD" w:rsidRDefault="000223FD" w:rsidP="000223FD">
      <w:pPr>
        <w:rPr>
          <w:rFonts w:ascii="Arial" w:hAnsi="Arial" w:cs="Arial"/>
          <w:b/>
          <w:bCs/>
        </w:rPr>
      </w:pPr>
      <w:r w:rsidRPr="000223FD">
        <w:rPr>
          <w:rFonts w:ascii="Arial" w:hAnsi="Arial" w:cs="Arial"/>
          <w:b/>
          <w:bCs/>
        </w:rPr>
        <w:t>Use of a break-even</w:t>
      </w:r>
      <w:r w:rsidR="00774E02">
        <w:rPr>
          <w:rFonts w:ascii="Arial" w:hAnsi="Arial" w:cs="Arial"/>
          <w:b/>
          <w:bCs/>
        </w:rPr>
        <w:t xml:space="preserve"> </w:t>
      </w:r>
      <w:r w:rsidRPr="000223FD">
        <w:rPr>
          <w:rFonts w:ascii="Arial" w:hAnsi="Arial" w:cs="Arial"/>
          <w:b/>
          <w:bCs/>
        </w:rPr>
        <w:t xml:space="preserve">analysis </w:t>
      </w:r>
    </w:p>
    <w:p w14:paraId="45A2AD84" w14:textId="71F54FED" w:rsidR="00DB75EB" w:rsidRDefault="000223FD" w:rsidP="00ED3D91">
      <w:pPr>
        <w:rPr>
          <w:rFonts w:ascii="Arial" w:hAnsi="Arial" w:cs="Arial"/>
        </w:rPr>
      </w:pPr>
      <w:r>
        <w:rPr>
          <w:rFonts w:ascii="Arial" w:hAnsi="Arial" w:cs="Arial"/>
        </w:rPr>
        <w:t>The amount of overweight and obesity</w:t>
      </w:r>
      <w:r w:rsidR="00225AC1">
        <w:rPr>
          <w:rFonts w:ascii="Arial" w:hAnsi="Arial" w:cs="Arial"/>
        </w:rPr>
        <w:t>-related health</w:t>
      </w:r>
      <w:r>
        <w:rPr>
          <w:rFonts w:ascii="Arial" w:hAnsi="Arial" w:cs="Arial"/>
        </w:rPr>
        <w:t xml:space="preserve"> cost reduction</w:t>
      </w:r>
      <w:r w:rsidR="000F4C62">
        <w:rPr>
          <w:rFonts w:ascii="Arial" w:hAnsi="Arial" w:cs="Arial"/>
        </w:rPr>
        <w:t>s</w:t>
      </w:r>
      <w:r>
        <w:rPr>
          <w:rFonts w:ascii="Arial" w:hAnsi="Arial" w:cs="Arial"/>
        </w:rPr>
        <w:t xml:space="preserve"> that would </w:t>
      </w:r>
      <w:r w:rsidR="00BB0944">
        <w:rPr>
          <w:rFonts w:ascii="Arial" w:hAnsi="Arial" w:cs="Arial"/>
        </w:rPr>
        <w:t>offset</w:t>
      </w:r>
      <w:r>
        <w:rPr>
          <w:rFonts w:ascii="Arial" w:hAnsi="Arial" w:cs="Arial"/>
        </w:rPr>
        <w:t xml:space="preserve"> label change costs has been derived from dividing the low-cost and high-costs estimates for label change costs of </w:t>
      </w:r>
      <w:r w:rsidR="0030038F">
        <w:rPr>
          <w:rFonts w:ascii="Arial" w:hAnsi="Arial" w:cs="Arial"/>
        </w:rPr>
        <w:t>o</w:t>
      </w:r>
      <w:r>
        <w:rPr>
          <w:rFonts w:ascii="Arial" w:hAnsi="Arial" w:cs="Arial"/>
        </w:rPr>
        <w:t>ptions 2 and 3 by the $</w:t>
      </w:r>
      <w:r w:rsidR="00BB0944">
        <w:rPr>
          <w:rFonts w:ascii="Arial" w:hAnsi="Arial" w:cs="Arial"/>
        </w:rPr>
        <w:t xml:space="preserve">AU </w:t>
      </w:r>
      <w:r>
        <w:rPr>
          <w:rFonts w:ascii="Arial" w:hAnsi="Arial" w:cs="Arial"/>
        </w:rPr>
        <w:t>2</w:t>
      </w:r>
      <w:r w:rsidR="00912B67">
        <w:rPr>
          <w:rFonts w:ascii="Arial" w:hAnsi="Arial" w:cs="Arial"/>
        </w:rPr>
        <w:t>5</w:t>
      </w:r>
      <w:r>
        <w:rPr>
          <w:rFonts w:ascii="Arial" w:hAnsi="Arial" w:cs="Arial"/>
        </w:rPr>
        <w:t xml:space="preserve">3 billion mid-point estimate of </w:t>
      </w:r>
      <w:r w:rsidR="002D456E">
        <w:rPr>
          <w:rFonts w:ascii="Arial" w:hAnsi="Arial" w:cs="Arial"/>
        </w:rPr>
        <w:t xml:space="preserve">ten-year costs from </w:t>
      </w:r>
      <w:r>
        <w:rPr>
          <w:rFonts w:ascii="Arial" w:hAnsi="Arial" w:cs="Arial"/>
        </w:rPr>
        <w:t xml:space="preserve">overweight </w:t>
      </w:r>
      <w:r w:rsidR="002D456E">
        <w:rPr>
          <w:rFonts w:ascii="Arial" w:hAnsi="Arial" w:cs="Arial"/>
        </w:rPr>
        <w:t xml:space="preserve">and </w:t>
      </w:r>
      <w:r>
        <w:rPr>
          <w:rFonts w:ascii="Arial" w:hAnsi="Arial" w:cs="Arial"/>
        </w:rPr>
        <w:t>obesit</w:t>
      </w:r>
      <w:r w:rsidR="00BB0944">
        <w:rPr>
          <w:rFonts w:ascii="Arial" w:hAnsi="Arial" w:cs="Arial"/>
        </w:rPr>
        <w:t>y</w:t>
      </w:r>
      <w:r w:rsidR="00A71882">
        <w:rPr>
          <w:rFonts w:ascii="Arial" w:hAnsi="Arial" w:cs="Arial"/>
        </w:rPr>
        <w:t>-related health costs</w:t>
      </w:r>
      <w:r w:rsidR="00BB0944">
        <w:rPr>
          <w:rFonts w:ascii="Arial" w:hAnsi="Arial" w:cs="Arial"/>
        </w:rPr>
        <w:t>.</w:t>
      </w:r>
      <w:r w:rsidR="00C1042B">
        <w:rPr>
          <w:rFonts w:ascii="Arial" w:hAnsi="Arial" w:cs="Arial"/>
        </w:rPr>
        <w:t xml:space="preserve"> Note the previously stated caveats on rounding numbers.</w:t>
      </w:r>
      <w:r w:rsidR="00BB0944">
        <w:rPr>
          <w:rFonts w:ascii="Arial" w:hAnsi="Arial" w:cs="Arial"/>
        </w:rPr>
        <w:t xml:space="preserve"> Calculations are as follows:</w:t>
      </w:r>
    </w:p>
    <w:tbl>
      <w:tblPr>
        <w:tblStyle w:val="TableGrid"/>
        <w:tblW w:w="0" w:type="auto"/>
        <w:tblLook w:val="04A0" w:firstRow="1" w:lastRow="0" w:firstColumn="1" w:lastColumn="0" w:noHBand="0" w:noVBand="1"/>
      </w:tblPr>
      <w:tblGrid>
        <w:gridCol w:w="2547"/>
        <w:gridCol w:w="2270"/>
        <w:gridCol w:w="2389"/>
        <w:gridCol w:w="2144"/>
      </w:tblGrid>
      <w:tr w:rsidR="00BB0944" w14:paraId="4AAC0E11" w14:textId="6DE1A899" w:rsidTr="6A15B411">
        <w:tc>
          <w:tcPr>
            <w:tcW w:w="2547" w:type="dxa"/>
            <w:vAlign w:val="center"/>
          </w:tcPr>
          <w:p w14:paraId="63978CAC" w14:textId="5B2F2448" w:rsidR="00BB0944" w:rsidRPr="00BB0944" w:rsidRDefault="00BB0944" w:rsidP="00F60FB1">
            <w:pPr>
              <w:jc w:val="center"/>
              <w:rPr>
                <w:b/>
                <w:bCs/>
              </w:rPr>
            </w:pPr>
            <w:r w:rsidRPr="00BB0944">
              <w:rPr>
                <w:b/>
                <w:bCs/>
              </w:rPr>
              <w:t xml:space="preserve">Label change costs </w:t>
            </w:r>
            <w:r w:rsidR="003216D3">
              <w:rPr>
                <w:b/>
                <w:bCs/>
              </w:rPr>
              <w:t>scenario</w:t>
            </w:r>
          </w:p>
        </w:tc>
        <w:tc>
          <w:tcPr>
            <w:tcW w:w="2270" w:type="dxa"/>
            <w:vAlign w:val="center"/>
          </w:tcPr>
          <w:p w14:paraId="47FC902E" w14:textId="206CA05E" w:rsidR="00BB0944" w:rsidRPr="00BB0944" w:rsidRDefault="00E97623" w:rsidP="00F60FB1">
            <w:pPr>
              <w:jc w:val="center"/>
              <w:rPr>
                <w:b/>
                <w:bCs/>
              </w:rPr>
            </w:pPr>
            <w:r>
              <w:rPr>
                <w:b/>
                <w:bCs/>
              </w:rPr>
              <w:t xml:space="preserve">Estimated </w:t>
            </w:r>
            <w:r w:rsidR="003216D3">
              <w:rPr>
                <w:b/>
                <w:bCs/>
              </w:rPr>
              <w:t xml:space="preserve">total </w:t>
            </w:r>
            <w:r>
              <w:rPr>
                <w:b/>
                <w:bCs/>
              </w:rPr>
              <w:t>label change costs</w:t>
            </w:r>
          </w:p>
        </w:tc>
        <w:tc>
          <w:tcPr>
            <w:tcW w:w="2389" w:type="dxa"/>
            <w:vAlign w:val="center"/>
          </w:tcPr>
          <w:p w14:paraId="3F340B8E" w14:textId="336CABAC" w:rsidR="00BB0944" w:rsidRPr="00BB0944" w:rsidRDefault="00BB0944" w:rsidP="00F60FB1">
            <w:pPr>
              <w:jc w:val="center"/>
              <w:rPr>
                <w:b/>
                <w:bCs/>
              </w:rPr>
            </w:pPr>
            <w:r w:rsidRPr="00BB0944">
              <w:rPr>
                <w:b/>
                <w:bCs/>
              </w:rPr>
              <w:t>Divided by $2</w:t>
            </w:r>
            <w:r w:rsidR="00912B67">
              <w:rPr>
                <w:b/>
                <w:bCs/>
              </w:rPr>
              <w:t>5</w:t>
            </w:r>
            <w:r w:rsidRPr="00BB0944">
              <w:rPr>
                <w:b/>
                <w:bCs/>
              </w:rPr>
              <w:t>3 Billion</w:t>
            </w:r>
            <w:r w:rsidR="00766CC3">
              <w:rPr>
                <w:b/>
                <w:bCs/>
              </w:rPr>
              <w:t xml:space="preserve"> to five decimal places</w:t>
            </w:r>
          </w:p>
        </w:tc>
        <w:tc>
          <w:tcPr>
            <w:tcW w:w="2144" w:type="dxa"/>
            <w:vAlign w:val="center"/>
          </w:tcPr>
          <w:p w14:paraId="050DDBDD" w14:textId="49ECA6F2" w:rsidR="00BB0944" w:rsidRPr="00BB0944" w:rsidRDefault="00BB0944" w:rsidP="00F60FB1">
            <w:pPr>
              <w:jc w:val="center"/>
              <w:rPr>
                <w:b/>
                <w:bCs/>
              </w:rPr>
            </w:pPr>
            <w:r w:rsidRPr="00BB0944">
              <w:rPr>
                <w:b/>
                <w:bCs/>
              </w:rPr>
              <w:t>Percentage to two decimal places</w:t>
            </w:r>
          </w:p>
        </w:tc>
      </w:tr>
      <w:tr w:rsidR="00BB0944" w14:paraId="7C188547" w14:textId="51451442" w:rsidTr="6A15B411">
        <w:tc>
          <w:tcPr>
            <w:tcW w:w="2547" w:type="dxa"/>
          </w:tcPr>
          <w:p w14:paraId="0EA4F24A" w14:textId="77777777" w:rsidR="00BB0944" w:rsidRDefault="00BB0944" w:rsidP="001F2EE9">
            <w:pPr>
              <w:jc w:val="center"/>
            </w:pPr>
          </w:p>
          <w:p w14:paraId="1CA1FC24" w14:textId="04781AB3" w:rsidR="00BB0944" w:rsidRDefault="00BB0944" w:rsidP="001F2EE9">
            <w:pPr>
              <w:jc w:val="center"/>
            </w:pPr>
            <w:r w:rsidRPr="6A15B411">
              <w:rPr>
                <w:lang w:val="en-US"/>
              </w:rPr>
              <w:t xml:space="preserve">Low cost estimate of industry label change costs – </w:t>
            </w:r>
            <w:r w:rsidRPr="6A15B411">
              <w:rPr>
                <w:b/>
                <w:bCs/>
                <w:lang w:val="en-US"/>
              </w:rPr>
              <w:t>Option 2</w:t>
            </w:r>
          </w:p>
          <w:p w14:paraId="45A486F4" w14:textId="0111B876" w:rsidR="00BB0944" w:rsidRDefault="00BB0944" w:rsidP="001F2EE9">
            <w:pPr>
              <w:jc w:val="center"/>
            </w:pPr>
          </w:p>
        </w:tc>
        <w:tc>
          <w:tcPr>
            <w:tcW w:w="2270" w:type="dxa"/>
            <w:vAlign w:val="center"/>
          </w:tcPr>
          <w:p w14:paraId="53DA243E" w14:textId="092FA75D" w:rsidR="00BB0944" w:rsidRDefault="00BB0944" w:rsidP="00F60FB1">
            <w:pPr>
              <w:jc w:val="center"/>
            </w:pPr>
            <w:r w:rsidRPr="00415853">
              <w:t xml:space="preserve">$AU </w:t>
            </w:r>
            <w:r w:rsidR="00CE09D9" w:rsidRPr="007A47B2">
              <w:rPr>
                <w:rFonts w:eastAsia="Times New Roman"/>
                <w:color w:val="000000"/>
                <w:lang w:val="en-NZ" w:eastAsia="en-NZ"/>
              </w:rPr>
              <w:t>336,251,108</w:t>
            </w:r>
          </w:p>
        </w:tc>
        <w:tc>
          <w:tcPr>
            <w:tcW w:w="2389" w:type="dxa"/>
            <w:vAlign w:val="center"/>
          </w:tcPr>
          <w:p w14:paraId="72AD440C" w14:textId="68A2F03E" w:rsidR="00BB0944" w:rsidRDefault="003A6DB7" w:rsidP="00F60FB1">
            <w:pPr>
              <w:jc w:val="center"/>
            </w:pPr>
            <w:r w:rsidRPr="007A47B2">
              <w:rPr>
                <w:rFonts w:eastAsia="Times New Roman"/>
                <w:color w:val="000000"/>
                <w:lang w:val="en-NZ" w:eastAsia="en-NZ"/>
              </w:rPr>
              <w:t>0.13286%</w:t>
            </w:r>
          </w:p>
        </w:tc>
        <w:tc>
          <w:tcPr>
            <w:tcW w:w="2144" w:type="dxa"/>
            <w:vAlign w:val="center"/>
          </w:tcPr>
          <w:p w14:paraId="62271153" w14:textId="25BA8C1C" w:rsidR="00BB0944" w:rsidRDefault="00BB0944" w:rsidP="00F60FB1">
            <w:pPr>
              <w:jc w:val="center"/>
            </w:pPr>
            <w:r>
              <w:t>0.1</w:t>
            </w:r>
            <w:r w:rsidR="00010352">
              <w:t>3</w:t>
            </w:r>
            <w:r>
              <w:t>%</w:t>
            </w:r>
          </w:p>
        </w:tc>
      </w:tr>
      <w:tr w:rsidR="00BB0944" w14:paraId="3C833ECE" w14:textId="305366A8" w:rsidTr="6A15B411">
        <w:tc>
          <w:tcPr>
            <w:tcW w:w="2547" w:type="dxa"/>
          </w:tcPr>
          <w:p w14:paraId="7ECB9413" w14:textId="77777777" w:rsidR="00BB0944" w:rsidRDefault="00BB0944" w:rsidP="001F2EE9">
            <w:pPr>
              <w:jc w:val="center"/>
            </w:pPr>
            <w:r w:rsidRPr="6A15B411">
              <w:rPr>
                <w:lang w:val="en-US"/>
              </w:rPr>
              <w:t xml:space="preserve">High cost estimate of label change costs – </w:t>
            </w:r>
            <w:r w:rsidRPr="6A15B411">
              <w:rPr>
                <w:b/>
                <w:bCs/>
                <w:lang w:val="en-US"/>
              </w:rPr>
              <w:t>Option 2</w:t>
            </w:r>
          </w:p>
          <w:p w14:paraId="53BDFDFC" w14:textId="2A05146A" w:rsidR="00BB0944" w:rsidRDefault="00BB0944" w:rsidP="001F2EE9">
            <w:pPr>
              <w:jc w:val="center"/>
            </w:pPr>
          </w:p>
        </w:tc>
        <w:tc>
          <w:tcPr>
            <w:tcW w:w="2270" w:type="dxa"/>
            <w:vAlign w:val="center"/>
          </w:tcPr>
          <w:p w14:paraId="3AC59CDD" w14:textId="6A185E97" w:rsidR="00BB0944" w:rsidRDefault="00BB0944" w:rsidP="00F60FB1">
            <w:pPr>
              <w:jc w:val="center"/>
            </w:pPr>
            <w:r w:rsidRPr="00415853">
              <w:t xml:space="preserve">$AU </w:t>
            </w:r>
            <w:r w:rsidR="00894800" w:rsidRPr="007A47B2">
              <w:rPr>
                <w:rFonts w:eastAsia="Times New Roman"/>
                <w:color w:val="000000"/>
                <w:lang w:val="en-NZ" w:eastAsia="en-NZ"/>
              </w:rPr>
              <w:t>437,436,211</w:t>
            </w:r>
          </w:p>
        </w:tc>
        <w:tc>
          <w:tcPr>
            <w:tcW w:w="2389" w:type="dxa"/>
            <w:vAlign w:val="center"/>
          </w:tcPr>
          <w:p w14:paraId="4A1FAED7" w14:textId="24AB9168" w:rsidR="00BB0944" w:rsidRDefault="007C562B" w:rsidP="00F60FB1">
            <w:pPr>
              <w:jc w:val="center"/>
            </w:pPr>
            <w:r w:rsidRPr="007A47B2">
              <w:rPr>
                <w:rFonts w:eastAsia="Times New Roman"/>
                <w:color w:val="000000"/>
                <w:lang w:val="en-NZ" w:eastAsia="en-NZ"/>
              </w:rPr>
              <w:t>0.17285%</w:t>
            </w:r>
          </w:p>
        </w:tc>
        <w:tc>
          <w:tcPr>
            <w:tcW w:w="2144" w:type="dxa"/>
            <w:vAlign w:val="center"/>
          </w:tcPr>
          <w:p w14:paraId="0A9606B6" w14:textId="431A20F0" w:rsidR="00BB0944" w:rsidRDefault="00BB0944" w:rsidP="00F60FB1">
            <w:pPr>
              <w:jc w:val="center"/>
            </w:pPr>
            <w:r>
              <w:t>0.1</w:t>
            </w:r>
            <w:r w:rsidR="00010352">
              <w:t>7</w:t>
            </w:r>
            <w:r>
              <w:t>%</w:t>
            </w:r>
          </w:p>
        </w:tc>
      </w:tr>
      <w:tr w:rsidR="00BB0944" w14:paraId="580DC640" w14:textId="03DFA5A3" w:rsidTr="6A15B411">
        <w:tc>
          <w:tcPr>
            <w:tcW w:w="2547" w:type="dxa"/>
          </w:tcPr>
          <w:p w14:paraId="5E03050A" w14:textId="77777777" w:rsidR="00BB0944" w:rsidRDefault="00BB0944" w:rsidP="001F2EE9">
            <w:pPr>
              <w:jc w:val="center"/>
            </w:pPr>
            <w:r w:rsidRPr="6A15B411">
              <w:rPr>
                <w:lang w:val="en-US"/>
              </w:rPr>
              <w:t xml:space="preserve">Low cost estimate of label change costs – </w:t>
            </w:r>
            <w:r w:rsidRPr="6A15B411">
              <w:rPr>
                <w:b/>
                <w:bCs/>
                <w:lang w:val="en-US"/>
              </w:rPr>
              <w:t>Option 3</w:t>
            </w:r>
          </w:p>
          <w:p w14:paraId="120D305E" w14:textId="24CFB2C0" w:rsidR="00BB0944" w:rsidRDefault="00BB0944" w:rsidP="001F2EE9">
            <w:pPr>
              <w:jc w:val="center"/>
            </w:pPr>
          </w:p>
        </w:tc>
        <w:tc>
          <w:tcPr>
            <w:tcW w:w="2270" w:type="dxa"/>
            <w:vAlign w:val="center"/>
          </w:tcPr>
          <w:p w14:paraId="1F053D39" w14:textId="54058B8E" w:rsidR="00BB0944" w:rsidRDefault="00BB0944" w:rsidP="00F60FB1">
            <w:pPr>
              <w:jc w:val="center"/>
            </w:pPr>
            <w:r w:rsidRPr="00415853">
              <w:t>$</w:t>
            </w:r>
            <w:r w:rsidRPr="001A628C">
              <w:t xml:space="preserve">AU </w:t>
            </w:r>
            <w:r w:rsidR="00323327" w:rsidRPr="00366FDB">
              <w:rPr>
                <w:rFonts w:eastAsia="Times New Roman"/>
                <w:color w:val="000000"/>
                <w:lang w:val="en-NZ" w:eastAsia="en-NZ"/>
              </w:rPr>
              <w:t>338,540,112</w:t>
            </w:r>
          </w:p>
        </w:tc>
        <w:tc>
          <w:tcPr>
            <w:tcW w:w="2389" w:type="dxa"/>
            <w:vAlign w:val="center"/>
          </w:tcPr>
          <w:p w14:paraId="270A7A97" w14:textId="4FA51E6F" w:rsidR="00BB0944" w:rsidRDefault="003D026B" w:rsidP="00F60FB1">
            <w:pPr>
              <w:jc w:val="center"/>
            </w:pPr>
            <w:r w:rsidRPr="007A47B2">
              <w:rPr>
                <w:rFonts w:eastAsia="Times New Roman"/>
                <w:color w:val="000000"/>
                <w:lang w:val="en-NZ" w:eastAsia="en-NZ"/>
              </w:rPr>
              <w:t>0.13377%</w:t>
            </w:r>
          </w:p>
        </w:tc>
        <w:tc>
          <w:tcPr>
            <w:tcW w:w="2144" w:type="dxa"/>
            <w:vAlign w:val="center"/>
          </w:tcPr>
          <w:p w14:paraId="35E21118" w14:textId="127D477F" w:rsidR="00BB0944" w:rsidRDefault="00BB0944" w:rsidP="00F60FB1">
            <w:pPr>
              <w:jc w:val="center"/>
            </w:pPr>
            <w:r>
              <w:t>0.1</w:t>
            </w:r>
            <w:r w:rsidR="00010352">
              <w:t>3</w:t>
            </w:r>
            <w:r>
              <w:t>%</w:t>
            </w:r>
          </w:p>
        </w:tc>
      </w:tr>
      <w:tr w:rsidR="00BB0944" w14:paraId="762BB048" w14:textId="47EA5A6F" w:rsidTr="6A15B411">
        <w:tc>
          <w:tcPr>
            <w:tcW w:w="2547" w:type="dxa"/>
          </w:tcPr>
          <w:p w14:paraId="058B4393" w14:textId="77777777" w:rsidR="00BB0944" w:rsidRDefault="00BB0944" w:rsidP="6A15B411">
            <w:pPr>
              <w:jc w:val="center"/>
              <w:rPr>
                <w:b/>
                <w:bCs/>
                <w:lang w:val="en-US"/>
              </w:rPr>
            </w:pPr>
            <w:r w:rsidRPr="6A15B411">
              <w:rPr>
                <w:lang w:val="en-US"/>
              </w:rPr>
              <w:t xml:space="preserve">High cost estimate of label change costs – </w:t>
            </w:r>
            <w:r w:rsidRPr="6A15B411">
              <w:rPr>
                <w:b/>
                <w:bCs/>
                <w:lang w:val="en-US"/>
              </w:rPr>
              <w:t>Option 3</w:t>
            </w:r>
          </w:p>
          <w:p w14:paraId="237B6576" w14:textId="13FC5024" w:rsidR="00F60FB1" w:rsidRDefault="00F60FB1" w:rsidP="001F2EE9">
            <w:pPr>
              <w:jc w:val="center"/>
            </w:pPr>
          </w:p>
        </w:tc>
        <w:tc>
          <w:tcPr>
            <w:tcW w:w="2270" w:type="dxa"/>
            <w:vAlign w:val="center"/>
          </w:tcPr>
          <w:p w14:paraId="4FF01C09" w14:textId="4EF888C0" w:rsidR="0005767B" w:rsidRDefault="0005767B" w:rsidP="00F60FB1">
            <w:pPr>
              <w:jc w:val="center"/>
            </w:pPr>
            <w:r w:rsidRPr="00415853">
              <w:t xml:space="preserve">$AU </w:t>
            </w:r>
            <w:r w:rsidR="009F5D21" w:rsidRPr="00366FDB">
              <w:rPr>
                <w:rFonts w:eastAsia="Times New Roman"/>
                <w:color w:val="000000"/>
                <w:lang w:val="en-NZ" w:eastAsia="en-NZ"/>
              </w:rPr>
              <w:t>444,303,221</w:t>
            </w:r>
          </w:p>
        </w:tc>
        <w:tc>
          <w:tcPr>
            <w:tcW w:w="2389" w:type="dxa"/>
            <w:vAlign w:val="center"/>
          </w:tcPr>
          <w:p w14:paraId="1C7EA1E4" w14:textId="77777777" w:rsidR="004E6367" w:rsidRDefault="004E6367" w:rsidP="004E6367">
            <w:pPr>
              <w:jc w:val="center"/>
              <w:rPr>
                <w:rFonts w:eastAsia="Times New Roman"/>
                <w:color w:val="000000"/>
                <w:lang w:val="en-NZ" w:eastAsia="en-NZ"/>
              </w:rPr>
            </w:pPr>
          </w:p>
          <w:p w14:paraId="3B47DE1B" w14:textId="3A2E47A0" w:rsidR="004E6367" w:rsidRPr="004E6367" w:rsidRDefault="004E6367" w:rsidP="004E6367">
            <w:pPr>
              <w:jc w:val="center"/>
              <w:rPr>
                <w:rFonts w:eastAsia="Times New Roman"/>
                <w:color w:val="000000"/>
                <w:lang w:val="en-NZ" w:eastAsia="en-NZ"/>
              </w:rPr>
            </w:pPr>
            <w:r w:rsidRPr="004E6367">
              <w:rPr>
                <w:rFonts w:eastAsia="Times New Roman"/>
                <w:color w:val="000000"/>
                <w:lang w:val="en-NZ" w:eastAsia="en-NZ"/>
              </w:rPr>
              <w:t>0.17556%</w:t>
            </w:r>
          </w:p>
          <w:p w14:paraId="497059A3" w14:textId="2C6B808D" w:rsidR="001F2EE9" w:rsidRDefault="001F2EE9" w:rsidP="00F60FB1">
            <w:pPr>
              <w:jc w:val="center"/>
            </w:pPr>
          </w:p>
        </w:tc>
        <w:tc>
          <w:tcPr>
            <w:tcW w:w="2144" w:type="dxa"/>
            <w:vAlign w:val="center"/>
          </w:tcPr>
          <w:p w14:paraId="049C3C41" w14:textId="53E0F11F" w:rsidR="00BB0944" w:rsidRDefault="00BB0944" w:rsidP="00F60FB1">
            <w:pPr>
              <w:jc w:val="center"/>
            </w:pPr>
            <w:r>
              <w:t>0.18%</w:t>
            </w:r>
          </w:p>
        </w:tc>
      </w:tr>
    </w:tbl>
    <w:p w14:paraId="4073697A" w14:textId="77777777" w:rsidR="00BB0944" w:rsidRDefault="00BB0944" w:rsidP="00ED3D91">
      <w:pPr>
        <w:rPr>
          <w:rFonts w:ascii="Arial" w:hAnsi="Arial" w:cs="Arial"/>
        </w:rPr>
      </w:pPr>
    </w:p>
    <w:p w14:paraId="3E19F28D" w14:textId="0F4C7740" w:rsidR="00B63F70" w:rsidRPr="00CE4082" w:rsidRDefault="00962C34" w:rsidP="00B63F70">
      <w:pPr>
        <w:rPr>
          <w:rFonts w:ascii="Arial" w:hAnsi="Arial" w:cs="Arial"/>
          <w:b/>
          <w:bCs/>
        </w:rPr>
      </w:pPr>
      <w:r>
        <w:rPr>
          <w:rFonts w:ascii="Arial" w:hAnsi="Arial" w:cs="Arial"/>
          <w:b/>
          <w:bCs/>
        </w:rPr>
        <w:t>Use of</w:t>
      </w:r>
      <w:r w:rsidR="001E68AA" w:rsidRPr="00CE4082">
        <w:rPr>
          <w:rFonts w:ascii="Arial" w:hAnsi="Arial" w:cs="Arial"/>
          <w:b/>
          <w:bCs/>
        </w:rPr>
        <w:t xml:space="preserve"> a break-even</w:t>
      </w:r>
      <w:r w:rsidR="008456D4">
        <w:rPr>
          <w:rFonts w:ascii="Arial" w:hAnsi="Arial" w:cs="Arial"/>
          <w:b/>
          <w:bCs/>
        </w:rPr>
        <w:t xml:space="preserve"> </w:t>
      </w:r>
      <w:r w:rsidR="001E68AA" w:rsidRPr="00CE4082">
        <w:rPr>
          <w:rFonts w:ascii="Arial" w:hAnsi="Arial" w:cs="Arial"/>
          <w:b/>
          <w:bCs/>
        </w:rPr>
        <w:t>analysis</w:t>
      </w:r>
      <w:r>
        <w:rPr>
          <w:rFonts w:ascii="Arial" w:hAnsi="Arial" w:cs="Arial"/>
          <w:b/>
          <w:bCs/>
        </w:rPr>
        <w:t xml:space="preserve"> and caveats</w:t>
      </w:r>
    </w:p>
    <w:p w14:paraId="391EF86A" w14:textId="77777777" w:rsidR="00CE4082" w:rsidRDefault="001E68AA" w:rsidP="001E68AA">
      <w:pPr>
        <w:rPr>
          <w:rFonts w:ascii="Arial" w:hAnsi="Arial" w:cs="Arial"/>
          <w:lang w:val="en-GB"/>
        </w:rPr>
      </w:pPr>
      <w:r w:rsidRPr="001E68AA">
        <w:rPr>
          <w:rFonts w:ascii="Arial" w:hAnsi="Arial" w:cs="Arial"/>
          <w:lang w:val="en-GB"/>
        </w:rPr>
        <w:t xml:space="preserve">When FSANZ </w:t>
      </w:r>
      <w:r>
        <w:rPr>
          <w:rFonts w:ascii="Arial" w:hAnsi="Arial" w:cs="Arial"/>
          <w:lang w:val="en-GB"/>
        </w:rPr>
        <w:t>considers</w:t>
      </w:r>
      <w:r w:rsidRPr="001E68AA">
        <w:rPr>
          <w:rFonts w:ascii="Arial" w:hAnsi="Arial" w:cs="Arial"/>
          <w:lang w:val="en-GB"/>
        </w:rPr>
        <w:t xml:space="preserve"> the potential benefits of a labelling change</w:t>
      </w:r>
      <w:r>
        <w:rPr>
          <w:rFonts w:ascii="Arial" w:hAnsi="Arial" w:cs="Arial"/>
          <w:lang w:val="en-GB"/>
        </w:rPr>
        <w:t>,</w:t>
      </w:r>
      <w:r w:rsidRPr="001E68AA">
        <w:rPr>
          <w:rFonts w:ascii="Arial" w:hAnsi="Arial" w:cs="Arial"/>
          <w:lang w:val="en-GB"/>
        </w:rPr>
        <w:t xml:space="preserve"> it can often be challenging to establish a link between the change and a health effect for example. This is because a chain of causation needs to be established between the label change and a final benefit. A simple diagram setting out this potential chain of causation is shown below. </w:t>
      </w:r>
    </w:p>
    <w:p w14:paraId="2B32644E" w14:textId="77777777" w:rsidR="001E68AA" w:rsidRPr="001E68AA" w:rsidRDefault="001E68AA" w:rsidP="001E68AA">
      <w:pPr>
        <w:rPr>
          <w:rFonts w:ascii="Arial" w:hAnsi="Arial" w:cs="Arial"/>
          <w:lang w:val="en-GB"/>
        </w:rPr>
      </w:pPr>
      <w:r w:rsidRPr="001E68AA">
        <w:rPr>
          <w:rFonts w:ascii="Arial" w:hAnsi="Arial" w:cs="Arial"/>
          <w:noProof/>
          <w:lang w:val="en-AU" w:eastAsia="en-AU"/>
        </w:rPr>
        <w:drawing>
          <wp:anchor distT="0" distB="0" distL="114300" distR="114300" simplePos="0" relativeHeight="251658240" behindDoc="0" locked="0" layoutInCell="1" allowOverlap="1" wp14:anchorId="502949AD" wp14:editId="5AFC57D3">
            <wp:simplePos x="0" y="0"/>
            <wp:positionH relativeFrom="margin">
              <wp:align>right</wp:align>
            </wp:positionH>
            <wp:positionV relativeFrom="paragraph">
              <wp:posOffset>241935</wp:posOffset>
            </wp:positionV>
            <wp:extent cx="5759450" cy="63309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759450" cy="633095"/>
                    </a:xfrm>
                    <a:prstGeom prst="rect">
                      <a:avLst/>
                    </a:prstGeom>
                    <a:noFill/>
                    <a:ln>
                      <a:noFill/>
                    </a:ln>
                  </pic:spPr>
                </pic:pic>
              </a:graphicData>
            </a:graphic>
          </wp:anchor>
        </w:drawing>
      </w:r>
    </w:p>
    <w:p w14:paraId="473ED2C9" w14:textId="77777777" w:rsidR="001E68AA" w:rsidRPr="001E68AA" w:rsidRDefault="001E68AA" w:rsidP="001E68AA">
      <w:pPr>
        <w:rPr>
          <w:rFonts w:ascii="Arial" w:hAnsi="Arial" w:cs="Arial"/>
          <w:lang w:val="en-GB"/>
        </w:rPr>
      </w:pPr>
    </w:p>
    <w:p w14:paraId="7899ABB9" w14:textId="28CF257F" w:rsidR="000223FD" w:rsidRDefault="007E6F35" w:rsidP="6A15B411">
      <w:pPr>
        <w:rPr>
          <w:rFonts w:ascii="Arial" w:hAnsi="Arial" w:cs="Arial"/>
        </w:rPr>
      </w:pPr>
      <w:r w:rsidRPr="6A15B411">
        <w:rPr>
          <w:rFonts w:ascii="Arial" w:hAnsi="Arial" w:cs="Arial"/>
        </w:rPr>
        <w:t>As a result, there is often no option other than to do break-even analysis</w:t>
      </w:r>
      <w:r w:rsidR="00806E4E" w:rsidRPr="6A15B411">
        <w:rPr>
          <w:rFonts w:ascii="Arial" w:hAnsi="Arial" w:cs="Arial"/>
        </w:rPr>
        <w:t xml:space="preserve">. </w:t>
      </w:r>
      <w:r w:rsidRPr="6A15B411">
        <w:rPr>
          <w:rFonts w:ascii="Arial" w:hAnsi="Arial" w:cs="Arial"/>
        </w:rPr>
        <w:t xml:space="preserve">For instance, comparing the cost of a label change such as an energy statement to </w:t>
      </w:r>
      <w:r w:rsidR="00A71882" w:rsidRPr="6A15B411">
        <w:rPr>
          <w:rFonts w:ascii="Arial" w:hAnsi="Arial" w:cs="Arial"/>
        </w:rPr>
        <w:t xml:space="preserve">health-related </w:t>
      </w:r>
      <w:r w:rsidRPr="6A15B411">
        <w:rPr>
          <w:rFonts w:ascii="Arial" w:hAnsi="Arial" w:cs="Arial"/>
        </w:rPr>
        <w:t xml:space="preserve">costs of overweight and obesity. </w:t>
      </w:r>
    </w:p>
    <w:p w14:paraId="58CF1ADE" w14:textId="1788BA87" w:rsidR="008C7DB9" w:rsidRDefault="008C7DB9" w:rsidP="008C7DB9">
      <w:pPr>
        <w:contextualSpacing/>
        <w:rPr>
          <w:rFonts w:ascii="Arial" w:hAnsi="Arial" w:cs="Arial"/>
          <w:lang w:val="en-GB"/>
        </w:rPr>
      </w:pPr>
      <w:r w:rsidRPr="000254FA">
        <w:rPr>
          <w:rFonts w:ascii="Arial" w:hAnsi="Arial" w:cs="Arial"/>
          <w:lang w:val="en-GB"/>
        </w:rPr>
        <w:lastRenderedPageBreak/>
        <w:t xml:space="preserve">The </w:t>
      </w:r>
      <w:r w:rsidR="001E26A1">
        <w:rPr>
          <w:rFonts w:ascii="Arial" w:hAnsi="Arial" w:cs="Arial"/>
          <w:lang w:val="en-GB"/>
        </w:rPr>
        <w:t>break-even</w:t>
      </w:r>
      <w:r w:rsidR="00AA4C5C">
        <w:rPr>
          <w:rFonts w:ascii="Arial" w:hAnsi="Arial" w:cs="Arial"/>
          <w:lang w:val="en-GB"/>
        </w:rPr>
        <w:t xml:space="preserve"> </w:t>
      </w:r>
      <w:r w:rsidR="001E26A1">
        <w:rPr>
          <w:rFonts w:ascii="Arial" w:hAnsi="Arial" w:cs="Arial"/>
          <w:lang w:val="en-GB"/>
        </w:rPr>
        <w:t>analysis</w:t>
      </w:r>
      <w:r w:rsidRPr="000254FA">
        <w:rPr>
          <w:rFonts w:ascii="Arial" w:hAnsi="Arial" w:cs="Arial"/>
          <w:lang w:val="en-GB"/>
        </w:rPr>
        <w:t xml:space="preserve"> is actually </w:t>
      </w:r>
      <w:r>
        <w:rPr>
          <w:rFonts w:ascii="Arial" w:hAnsi="Arial" w:cs="Arial"/>
          <w:lang w:val="en-GB"/>
        </w:rPr>
        <w:t>used</w:t>
      </w:r>
      <w:r w:rsidRPr="000254FA">
        <w:rPr>
          <w:rFonts w:ascii="Arial" w:hAnsi="Arial" w:cs="Arial"/>
          <w:lang w:val="en-GB"/>
        </w:rPr>
        <w:t xml:space="preserve"> because of the difficulties with asserting a clear quantifiable causation</w:t>
      </w:r>
      <w:r>
        <w:rPr>
          <w:rFonts w:ascii="Arial" w:hAnsi="Arial" w:cs="Arial"/>
          <w:lang w:val="en-GB"/>
        </w:rPr>
        <w:t xml:space="preserve">, </w:t>
      </w:r>
      <w:r w:rsidRPr="00FC7B2A">
        <w:rPr>
          <w:rFonts w:ascii="Arial" w:hAnsi="Arial" w:cs="Arial"/>
          <w:lang w:val="en-GB"/>
        </w:rPr>
        <w:t>given the complexity and situational nature of human decision making</w:t>
      </w:r>
      <w:r w:rsidRPr="000254FA">
        <w:rPr>
          <w:rFonts w:ascii="Arial" w:hAnsi="Arial" w:cs="Arial"/>
          <w:lang w:val="en-GB"/>
        </w:rPr>
        <w:t>.</w:t>
      </w:r>
      <w:r>
        <w:rPr>
          <w:rFonts w:ascii="Arial" w:hAnsi="Arial" w:cs="Arial"/>
          <w:lang w:val="en-GB"/>
        </w:rPr>
        <w:t xml:space="preserve"> </w:t>
      </w:r>
      <w:r w:rsidRPr="00B56FE4">
        <w:rPr>
          <w:rFonts w:ascii="Arial" w:hAnsi="Arial" w:cs="Arial"/>
          <w:lang w:val="en-GB"/>
        </w:rPr>
        <w:t>This especially applies to P1059 given the foundational role of the proposed energy statement to allow educational and informational initiatives to have greater longer-term impacts</w:t>
      </w:r>
      <w:r>
        <w:rPr>
          <w:rFonts w:ascii="Arial" w:hAnsi="Arial" w:cs="Arial"/>
          <w:lang w:val="en-GB"/>
        </w:rPr>
        <w:t>, over ten years and beyond</w:t>
      </w:r>
      <w:r w:rsidRPr="00B56FE4">
        <w:rPr>
          <w:rFonts w:ascii="Arial" w:hAnsi="Arial" w:cs="Arial"/>
          <w:lang w:val="en-GB"/>
        </w:rPr>
        <w:t xml:space="preserve">. </w:t>
      </w:r>
    </w:p>
    <w:p w14:paraId="1C46AA91" w14:textId="77777777" w:rsidR="008C7DB9" w:rsidRDefault="008C7DB9" w:rsidP="008C7DB9">
      <w:pPr>
        <w:contextualSpacing/>
        <w:rPr>
          <w:rFonts w:eastAsia="Arial" w:cs="Arial"/>
          <w:sz w:val="20"/>
          <w:szCs w:val="20"/>
        </w:rPr>
      </w:pPr>
    </w:p>
    <w:p w14:paraId="7E2BF777" w14:textId="4A987171" w:rsidR="00C25601" w:rsidRDefault="00F6168B" w:rsidP="008C7DB9">
      <w:pPr>
        <w:rPr>
          <w:rFonts w:ascii="Arial" w:hAnsi="Arial" w:cs="Arial"/>
          <w:lang w:val="en-GB"/>
        </w:rPr>
      </w:pPr>
      <w:r w:rsidRPr="00F6168B">
        <w:rPr>
          <w:rFonts w:ascii="Arial" w:hAnsi="Arial" w:cs="Arial"/>
          <w:lang w:val="en-GB"/>
        </w:rPr>
        <w:t>A break-even-analysis provides guidance to the decision maker on the reduction in obesity and overweight-related health costs needed over ten years to offset label change costs</w:t>
      </w:r>
      <w:r w:rsidR="008C7DB9" w:rsidRPr="1A79B7AB">
        <w:rPr>
          <w:rFonts w:ascii="Arial" w:hAnsi="Arial" w:cs="Arial"/>
          <w:lang w:val="en-GB"/>
        </w:rPr>
        <w:t>. It is then up to the decision maker to decide whether it is likely that the regulatory intervention will achieve a benefit larger than the cost, in addition to the other considerations they need to take into account.</w:t>
      </w:r>
      <w:r w:rsidR="00F15010">
        <w:rPr>
          <w:rFonts w:ascii="Arial" w:hAnsi="Arial" w:cs="Arial"/>
          <w:lang w:val="en-GB"/>
        </w:rPr>
        <w:t xml:space="preserve"> </w:t>
      </w:r>
    </w:p>
    <w:p w14:paraId="5E0A3013" w14:textId="5959D582" w:rsidR="008C7DB9" w:rsidRDefault="00C25601" w:rsidP="008C7DB9">
      <w:pPr>
        <w:rPr>
          <w:rFonts w:ascii="Arial" w:hAnsi="Arial" w:cs="Arial"/>
          <w:snapToGrid w:val="0"/>
          <w:sz w:val="20"/>
          <w:szCs w:val="20"/>
        </w:rPr>
      </w:pPr>
      <w:r>
        <w:rPr>
          <w:rFonts w:ascii="Arial" w:hAnsi="Arial" w:cs="Arial"/>
          <w:lang w:val="en-GB"/>
        </w:rPr>
        <w:t>Other considerations</w:t>
      </w:r>
      <w:r w:rsidR="001F3B5E">
        <w:rPr>
          <w:rFonts w:ascii="Arial" w:hAnsi="Arial" w:cs="Arial"/>
          <w:lang w:val="en-GB"/>
        </w:rPr>
        <w:t xml:space="preserve"> for the decision maker</w:t>
      </w:r>
      <w:r w:rsidR="00F15010">
        <w:rPr>
          <w:rFonts w:ascii="Arial" w:hAnsi="Arial" w:cs="Arial"/>
          <w:lang w:val="en-GB"/>
        </w:rPr>
        <w:t xml:space="preserve"> include </w:t>
      </w:r>
      <w:r>
        <w:rPr>
          <w:rFonts w:ascii="Arial" w:hAnsi="Arial" w:cs="Arial"/>
          <w:lang w:val="en-GB"/>
        </w:rPr>
        <w:t>evidence such as the</w:t>
      </w:r>
      <w:r w:rsidR="00D90BA6">
        <w:rPr>
          <w:rFonts w:ascii="Arial" w:hAnsi="Arial" w:cs="Arial"/>
          <w:lang w:val="en-GB"/>
        </w:rPr>
        <w:t xml:space="preserve"> </w:t>
      </w:r>
      <w:r w:rsidR="00D90BA6" w:rsidRPr="00F54606">
        <w:rPr>
          <w:rFonts w:ascii="Arial" w:hAnsi="Arial" w:cs="Arial"/>
          <w:snapToGrid w:val="0"/>
        </w:rPr>
        <w:t>systematic review and meta-analysis of 60 studies including more than 2 million observations across 11 countries</w:t>
      </w:r>
      <w:r>
        <w:rPr>
          <w:rFonts w:ascii="Arial" w:hAnsi="Arial" w:cs="Arial"/>
          <w:snapToGrid w:val="0"/>
        </w:rPr>
        <w:t xml:space="preserve"> that </w:t>
      </w:r>
      <w:r w:rsidR="00D90BA6" w:rsidRPr="00F54606">
        <w:rPr>
          <w:rFonts w:ascii="Arial" w:hAnsi="Arial" w:cs="Arial"/>
          <w:snapToGrid w:val="0"/>
        </w:rPr>
        <w:t xml:space="preserve">found that food labelling (in general) reduced consumer consumption of total energy by 6.6% </w:t>
      </w:r>
      <w:r w:rsidR="00D90BA6" w:rsidRPr="00573A9E">
        <w:rPr>
          <w:rFonts w:ascii="Arial" w:hAnsi="Arial" w:cs="Arial"/>
          <w:snapToGrid w:val="0"/>
        </w:rPr>
        <w:t>(Shangguan et al. 2018).</w:t>
      </w:r>
    </w:p>
    <w:p w14:paraId="143A8457" w14:textId="049C342F" w:rsidR="006E1948" w:rsidRDefault="009064DC" w:rsidP="6A15B411">
      <w:pPr>
        <w:rPr>
          <w:rFonts w:ascii="Arial" w:hAnsi="Arial" w:cs="Arial"/>
        </w:rPr>
      </w:pPr>
      <w:r w:rsidRPr="6A15B411">
        <w:rPr>
          <w:rFonts w:ascii="Arial" w:hAnsi="Arial" w:cs="Arial"/>
        </w:rPr>
        <w:t xml:space="preserve">FSANZ’s view is therefore that the costs of </w:t>
      </w:r>
      <w:r w:rsidR="0030038F" w:rsidRPr="6A15B411">
        <w:rPr>
          <w:rFonts w:ascii="Arial" w:hAnsi="Arial" w:cs="Arial"/>
        </w:rPr>
        <w:t>o</w:t>
      </w:r>
      <w:r w:rsidRPr="6A15B411">
        <w:rPr>
          <w:rFonts w:ascii="Arial" w:hAnsi="Arial" w:cs="Arial"/>
        </w:rPr>
        <w:t xml:space="preserve">ption 3 would most likely not outweigh the direct and indirect benefits of </w:t>
      </w:r>
      <w:r w:rsidR="0030038F" w:rsidRPr="6A15B411">
        <w:rPr>
          <w:rFonts w:ascii="Arial" w:hAnsi="Arial" w:cs="Arial"/>
        </w:rPr>
        <w:t>o</w:t>
      </w:r>
      <w:r w:rsidRPr="6A15B411">
        <w:rPr>
          <w:rFonts w:ascii="Arial" w:hAnsi="Arial" w:cs="Arial"/>
        </w:rPr>
        <w:t xml:space="preserve">ption 3 compared to the </w:t>
      </w:r>
      <w:r w:rsidR="00AE113F" w:rsidRPr="6A15B411">
        <w:rPr>
          <w:rFonts w:ascii="Arial" w:hAnsi="Arial" w:cs="Arial"/>
        </w:rPr>
        <w:t>s</w:t>
      </w:r>
      <w:r w:rsidRPr="6A15B411">
        <w:rPr>
          <w:rFonts w:ascii="Arial" w:hAnsi="Arial" w:cs="Arial"/>
        </w:rPr>
        <w:t xml:space="preserve">tatus </w:t>
      </w:r>
      <w:r w:rsidR="00AE113F" w:rsidRPr="6A15B411">
        <w:rPr>
          <w:rFonts w:ascii="Arial" w:hAnsi="Arial" w:cs="Arial"/>
        </w:rPr>
        <w:t>q</w:t>
      </w:r>
      <w:r w:rsidRPr="6A15B411">
        <w:rPr>
          <w:rFonts w:ascii="Arial" w:hAnsi="Arial" w:cs="Arial"/>
        </w:rPr>
        <w:t>uo.</w:t>
      </w:r>
    </w:p>
    <w:p w14:paraId="770839E0" w14:textId="42F8E096" w:rsidR="007301CB" w:rsidRDefault="00AA5C8A" w:rsidP="008C7DB9">
      <w:pPr>
        <w:rPr>
          <w:rFonts w:ascii="Arial" w:hAnsi="Arial" w:cs="Arial"/>
          <w:b/>
          <w:bCs/>
          <w:snapToGrid w:val="0"/>
          <w:sz w:val="20"/>
          <w:szCs w:val="20"/>
        </w:rPr>
      </w:pPr>
      <w:r w:rsidRPr="00AA5C8A">
        <w:rPr>
          <w:rFonts w:ascii="Arial" w:hAnsi="Arial" w:cs="Arial"/>
          <w:b/>
          <w:bCs/>
        </w:rPr>
        <w:t xml:space="preserve">Scope and caveats with the </w:t>
      </w:r>
      <w:r w:rsidR="00FD7878">
        <w:rPr>
          <w:rFonts w:ascii="Arial" w:hAnsi="Arial" w:cs="Arial"/>
          <w:b/>
          <w:bCs/>
        </w:rPr>
        <w:t>systematic review</w:t>
      </w:r>
      <w:r w:rsidRPr="00AA5C8A">
        <w:rPr>
          <w:rFonts w:ascii="Arial" w:hAnsi="Arial" w:cs="Arial"/>
          <w:b/>
          <w:bCs/>
        </w:rPr>
        <w:t xml:space="preserve"> of </w:t>
      </w:r>
      <w:r w:rsidR="000D2874">
        <w:rPr>
          <w:rFonts w:ascii="Arial" w:hAnsi="Arial" w:cs="Arial"/>
          <w:b/>
          <w:bCs/>
        </w:rPr>
        <w:t xml:space="preserve">food labelling </w:t>
      </w:r>
      <w:r w:rsidR="000D2874" w:rsidRPr="00573A9E">
        <w:rPr>
          <w:rFonts w:ascii="Arial" w:hAnsi="Arial" w:cs="Arial"/>
          <w:b/>
          <w:bCs/>
        </w:rPr>
        <w:t>(Shangguan et al. 2018)</w:t>
      </w:r>
    </w:p>
    <w:p w14:paraId="127DCABA" w14:textId="04BE2E2B" w:rsidR="007301CB" w:rsidRDefault="007301CB" w:rsidP="007301CB">
      <w:pPr>
        <w:rPr>
          <w:rFonts w:ascii="Arial" w:hAnsi="Arial" w:cs="Arial"/>
          <w:snapToGrid w:val="0"/>
        </w:rPr>
      </w:pPr>
      <w:r w:rsidRPr="00133C66">
        <w:rPr>
          <w:rFonts w:ascii="Arial" w:hAnsi="Arial" w:cs="Arial"/>
          <w:snapToGrid w:val="0"/>
        </w:rPr>
        <w:t>Th</w:t>
      </w:r>
      <w:r>
        <w:rPr>
          <w:rFonts w:ascii="Arial" w:hAnsi="Arial" w:cs="Arial"/>
          <w:snapToGrid w:val="0"/>
        </w:rPr>
        <w:t>e</w:t>
      </w:r>
      <w:r w:rsidRPr="00133C66">
        <w:rPr>
          <w:rFonts w:ascii="Arial" w:hAnsi="Arial" w:cs="Arial"/>
          <w:snapToGrid w:val="0"/>
        </w:rPr>
        <w:t xml:space="preserve"> systematic review</w:t>
      </w:r>
      <w:r w:rsidR="00F74E14">
        <w:rPr>
          <w:rFonts w:ascii="Arial" w:hAnsi="Arial" w:cs="Arial"/>
          <w:snapToGrid w:val="0"/>
        </w:rPr>
        <w:t xml:space="preserve"> </w:t>
      </w:r>
      <w:r w:rsidR="00812EC0" w:rsidRPr="0069181E">
        <w:rPr>
          <w:rFonts w:ascii="Arial" w:hAnsi="Arial" w:cs="Arial"/>
          <w:snapToGrid w:val="0"/>
        </w:rPr>
        <w:t>(Shangguan et al. 2018)</w:t>
      </w:r>
      <w:r w:rsidR="00812EC0">
        <w:rPr>
          <w:rFonts w:ascii="Arial" w:hAnsi="Arial" w:cs="Arial"/>
          <w:snapToGrid w:val="0"/>
          <w:sz w:val="20"/>
          <w:szCs w:val="20"/>
        </w:rPr>
        <w:t xml:space="preserve"> </w:t>
      </w:r>
      <w:r w:rsidRPr="00133C66">
        <w:rPr>
          <w:rFonts w:ascii="Arial" w:hAnsi="Arial" w:cs="Arial"/>
          <w:snapToGrid w:val="0"/>
        </w:rPr>
        <w:t xml:space="preserve">examined </w:t>
      </w:r>
      <w:r>
        <w:rPr>
          <w:rFonts w:ascii="Arial" w:hAnsi="Arial" w:cs="Arial"/>
          <w:snapToGrid w:val="0"/>
        </w:rPr>
        <w:t>a range</w:t>
      </w:r>
      <w:r w:rsidRPr="00133C66">
        <w:rPr>
          <w:rFonts w:ascii="Arial" w:hAnsi="Arial" w:cs="Arial"/>
          <w:snapToGrid w:val="0"/>
        </w:rPr>
        <w:t xml:space="preserve"> of standardi</w:t>
      </w:r>
      <w:r>
        <w:rPr>
          <w:rFonts w:ascii="Arial" w:hAnsi="Arial" w:cs="Arial"/>
          <w:snapToGrid w:val="0"/>
        </w:rPr>
        <w:t>s</w:t>
      </w:r>
      <w:r w:rsidRPr="00133C66">
        <w:rPr>
          <w:rFonts w:ascii="Arial" w:hAnsi="Arial" w:cs="Arial"/>
          <w:snapToGrid w:val="0"/>
        </w:rPr>
        <w:t>ed nutrition or healthfulness information on packages, such as nutrient content and health-related claims, icons, symbols and logos</w:t>
      </w:r>
      <w:r>
        <w:rPr>
          <w:rFonts w:ascii="Arial" w:hAnsi="Arial" w:cs="Arial"/>
          <w:snapToGrid w:val="0"/>
        </w:rPr>
        <w:t xml:space="preserve">, and </w:t>
      </w:r>
      <w:r w:rsidRPr="002301D2">
        <w:rPr>
          <w:rFonts w:ascii="Arial" w:hAnsi="Arial" w:cs="Arial"/>
          <w:snapToGrid w:val="0"/>
        </w:rPr>
        <w:t xml:space="preserve">menu </w:t>
      </w:r>
      <w:r>
        <w:rPr>
          <w:rFonts w:ascii="Arial" w:hAnsi="Arial" w:cs="Arial"/>
          <w:snapToGrid w:val="0"/>
        </w:rPr>
        <w:t>and</w:t>
      </w:r>
      <w:r w:rsidRPr="002301D2">
        <w:rPr>
          <w:rFonts w:ascii="Arial" w:hAnsi="Arial" w:cs="Arial"/>
          <w:snapToGrid w:val="0"/>
        </w:rPr>
        <w:t xml:space="preserve"> other point-of-purchase labe</w:t>
      </w:r>
      <w:r>
        <w:rPr>
          <w:rFonts w:ascii="Arial" w:hAnsi="Arial" w:cs="Arial"/>
          <w:snapToGrid w:val="0"/>
        </w:rPr>
        <w:t>l</w:t>
      </w:r>
      <w:r w:rsidRPr="002301D2">
        <w:rPr>
          <w:rFonts w:ascii="Arial" w:hAnsi="Arial" w:cs="Arial"/>
          <w:snapToGrid w:val="0"/>
        </w:rPr>
        <w:t>ling</w:t>
      </w:r>
      <w:r>
        <w:rPr>
          <w:rFonts w:ascii="Arial" w:hAnsi="Arial" w:cs="Arial"/>
          <w:snapToGrid w:val="0"/>
        </w:rPr>
        <w:t>.</w:t>
      </w:r>
      <w:r w:rsidR="00050393">
        <w:rPr>
          <w:rFonts w:ascii="Arial" w:hAnsi="Arial" w:cs="Arial"/>
          <w:snapToGrid w:val="0"/>
        </w:rPr>
        <w:t xml:space="preserve"> </w:t>
      </w:r>
    </w:p>
    <w:p w14:paraId="5E26F5A1" w14:textId="77777777" w:rsidR="006D31E5" w:rsidRDefault="00050393" w:rsidP="007301CB">
      <w:pPr>
        <w:rPr>
          <w:rFonts w:ascii="Arial" w:hAnsi="Arial" w:cs="Arial"/>
          <w:snapToGrid w:val="0"/>
        </w:rPr>
      </w:pPr>
      <w:r>
        <w:rPr>
          <w:rFonts w:ascii="Arial" w:hAnsi="Arial" w:cs="Arial"/>
          <w:snapToGrid w:val="0"/>
        </w:rPr>
        <w:t xml:space="preserve">This is the only piece of </w:t>
      </w:r>
      <w:r w:rsidR="00E2746A">
        <w:rPr>
          <w:rFonts w:ascii="Arial" w:hAnsi="Arial" w:cs="Arial"/>
          <w:snapToGrid w:val="0"/>
        </w:rPr>
        <w:t>applicable</w:t>
      </w:r>
      <w:r>
        <w:rPr>
          <w:rFonts w:ascii="Arial" w:hAnsi="Arial" w:cs="Arial"/>
          <w:snapToGrid w:val="0"/>
        </w:rPr>
        <w:t xml:space="preserve"> evidence that FSANZ is currently aware of that </w:t>
      </w:r>
      <w:r w:rsidR="00E2746A">
        <w:rPr>
          <w:rFonts w:ascii="Arial" w:hAnsi="Arial" w:cs="Arial"/>
          <w:snapToGrid w:val="0"/>
        </w:rPr>
        <w:t xml:space="preserve">quantifies </w:t>
      </w:r>
      <w:r w:rsidR="003611F3">
        <w:rPr>
          <w:rFonts w:ascii="Arial" w:hAnsi="Arial" w:cs="Arial"/>
          <w:snapToGrid w:val="0"/>
        </w:rPr>
        <w:t>a</w:t>
      </w:r>
      <w:r w:rsidR="00D22270">
        <w:rPr>
          <w:rFonts w:ascii="Arial" w:hAnsi="Arial" w:cs="Arial"/>
          <w:snapToGrid w:val="0"/>
        </w:rPr>
        <w:t xml:space="preserve"> relationship between</w:t>
      </w:r>
      <w:r w:rsidR="002A3EED">
        <w:rPr>
          <w:rFonts w:ascii="Arial" w:hAnsi="Arial" w:cs="Arial"/>
          <w:snapToGrid w:val="0"/>
        </w:rPr>
        <w:t xml:space="preserve"> food</w:t>
      </w:r>
      <w:r w:rsidR="00D22270">
        <w:rPr>
          <w:rFonts w:ascii="Arial" w:hAnsi="Arial" w:cs="Arial"/>
          <w:snapToGrid w:val="0"/>
        </w:rPr>
        <w:t xml:space="preserve"> </w:t>
      </w:r>
      <w:r w:rsidR="003611F3">
        <w:rPr>
          <w:rFonts w:ascii="Arial" w:hAnsi="Arial" w:cs="Arial"/>
          <w:snapToGrid w:val="0"/>
        </w:rPr>
        <w:t>labelling</w:t>
      </w:r>
      <w:r w:rsidR="002A3EED">
        <w:rPr>
          <w:rFonts w:ascii="Arial" w:hAnsi="Arial" w:cs="Arial"/>
          <w:snapToGrid w:val="0"/>
        </w:rPr>
        <w:t xml:space="preserve"> and total energy consumption. </w:t>
      </w:r>
    </w:p>
    <w:p w14:paraId="30ED30E1" w14:textId="77777777" w:rsidR="00C8799E" w:rsidRDefault="006D31E5" w:rsidP="007301CB">
      <w:pPr>
        <w:rPr>
          <w:rFonts w:ascii="Arial" w:hAnsi="Arial" w:cs="Arial"/>
          <w:snapToGrid w:val="0"/>
        </w:rPr>
      </w:pPr>
      <w:r>
        <w:rPr>
          <w:rFonts w:ascii="Arial" w:hAnsi="Arial" w:cs="Arial"/>
          <w:snapToGrid w:val="0"/>
        </w:rPr>
        <w:t xml:space="preserve">Caveats with this </w:t>
      </w:r>
      <w:r w:rsidR="00204BD4">
        <w:rPr>
          <w:rFonts w:ascii="Arial" w:hAnsi="Arial" w:cs="Arial"/>
          <w:snapToGrid w:val="0"/>
        </w:rPr>
        <w:t xml:space="preserve">systematic review include </w:t>
      </w:r>
      <w:r w:rsidR="001F4141">
        <w:rPr>
          <w:rFonts w:ascii="Arial" w:hAnsi="Arial" w:cs="Arial"/>
          <w:snapToGrid w:val="0"/>
        </w:rPr>
        <w:t xml:space="preserve">that </w:t>
      </w:r>
      <w:r w:rsidR="00E81053">
        <w:rPr>
          <w:rFonts w:ascii="Arial" w:hAnsi="Arial" w:cs="Arial"/>
          <w:snapToGrid w:val="0"/>
        </w:rPr>
        <w:t>it covered</w:t>
      </w:r>
      <w:r w:rsidR="00C8799E">
        <w:rPr>
          <w:rFonts w:ascii="Arial" w:hAnsi="Arial" w:cs="Arial"/>
          <w:snapToGrid w:val="0"/>
        </w:rPr>
        <w:t>:</w:t>
      </w:r>
    </w:p>
    <w:p w14:paraId="24B453DD" w14:textId="77777777" w:rsidR="00C8799E" w:rsidRPr="00C8799E" w:rsidRDefault="00AB5633" w:rsidP="00C8799E">
      <w:pPr>
        <w:pStyle w:val="ListParagraph"/>
        <w:numPr>
          <w:ilvl w:val="0"/>
          <w:numId w:val="42"/>
        </w:numPr>
        <w:rPr>
          <w:rFonts w:cs="Arial"/>
          <w:snapToGrid w:val="0"/>
        </w:rPr>
      </w:pPr>
      <w:r w:rsidRPr="00C8799E">
        <w:rPr>
          <w:rFonts w:ascii="Arial" w:hAnsi="Arial" w:cs="Arial"/>
          <w:snapToGrid w:val="0"/>
        </w:rPr>
        <w:t>a range of foods</w:t>
      </w:r>
      <w:r w:rsidR="00B34225" w:rsidRPr="00C8799E">
        <w:rPr>
          <w:rFonts w:ascii="Arial" w:hAnsi="Arial" w:cs="Arial"/>
          <w:snapToGrid w:val="0"/>
        </w:rPr>
        <w:t>, w</w:t>
      </w:r>
      <w:r w:rsidR="006D1768" w:rsidRPr="00C8799E">
        <w:rPr>
          <w:rFonts w:ascii="Arial" w:hAnsi="Arial" w:cs="Arial"/>
          <w:snapToGrid w:val="0"/>
        </w:rPr>
        <w:t>here</w:t>
      </w:r>
      <w:r w:rsidR="00B34225" w:rsidRPr="00C8799E">
        <w:rPr>
          <w:rFonts w:ascii="Arial" w:hAnsi="Arial" w:cs="Arial"/>
          <w:snapToGrid w:val="0"/>
        </w:rPr>
        <w:t xml:space="preserve"> some </w:t>
      </w:r>
      <w:r w:rsidR="006D1768" w:rsidRPr="00C8799E">
        <w:rPr>
          <w:rFonts w:ascii="Arial" w:hAnsi="Arial" w:cs="Arial"/>
          <w:snapToGrid w:val="0"/>
        </w:rPr>
        <w:t>of the data may</w:t>
      </w:r>
      <w:r w:rsidR="00B34225" w:rsidRPr="00C8799E">
        <w:rPr>
          <w:rFonts w:ascii="Arial" w:hAnsi="Arial" w:cs="Arial"/>
          <w:snapToGrid w:val="0"/>
        </w:rPr>
        <w:t xml:space="preserve"> </w:t>
      </w:r>
      <w:r w:rsidR="006D1768" w:rsidRPr="00C8799E">
        <w:rPr>
          <w:rFonts w:ascii="Arial" w:hAnsi="Arial" w:cs="Arial"/>
          <w:snapToGrid w:val="0"/>
        </w:rPr>
        <w:t>not apply to alcoholic beverages</w:t>
      </w:r>
      <w:r w:rsidR="00C8799E">
        <w:rPr>
          <w:rFonts w:ascii="Arial" w:hAnsi="Arial" w:cs="Arial"/>
          <w:snapToGrid w:val="0"/>
        </w:rPr>
        <w:t>, and</w:t>
      </w:r>
    </w:p>
    <w:p w14:paraId="395DBB22" w14:textId="2F4247CA" w:rsidR="007301CB" w:rsidRPr="004A3441" w:rsidRDefault="00C8799E" w:rsidP="008C7DB9">
      <w:pPr>
        <w:pStyle w:val="ListParagraph"/>
        <w:numPr>
          <w:ilvl w:val="0"/>
          <w:numId w:val="42"/>
        </w:numPr>
        <w:rPr>
          <w:rFonts w:cs="Arial"/>
          <w:snapToGrid w:val="0"/>
        </w:rPr>
      </w:pPr>
      <w:r>
        <w:rPr>
          <w:rFonts w:ascii="Arial" w:hAnsi="Arial" w:cs="Arial"/>
          <w:snapToGrid w:val="0"/>
        </w:rPr>
        <w:t>a range of different labelling elements and combinations of elements</w:t>
      </w:r>
      <w:r w:rsidR="006D1768" w:rsidRPr="00C8799E">
        <w:rPr>
          <w:rFonts w:ascii="Arial" w:hAnsi="Arial" w:cs="Arial"/>
          <w:snapToGrid w:val="0"/>
        </w:rPr>
        <w:t xml:space="preserve">.  </w:t>
      </w:r>
      <w:r w:rsidR="00D22270" w:rsidRPr="00C8799E">
        <w:rPr>
          <w:rFonts w:ascii="Arial" w:hAnsi="Arial" w:cs="Arial"/>
          <w:snapToGrid w:val="0"/>
        </w:rPr>
        <w:t xml:space="preserve"> </w:t>
      </w:r>
      <w:r w:rsidR="00E2746A" w:rsidRPr="00C8799E">
        <w:rPr>
          <w:rFonts w:ascii="Arial" w:hAnsi="Arial" w:cs="Arial"/>
          <w:snapToGrid w:val="0"/>
        </w:rPr>
        <w:t xml:space="preserve"> </w:t>
      </w:r>
    </w:p>
    <w:p w14:paraId="4A48EDD6" w14:textId="77777777" w:rsidR="004A3441" w:rsidRPr="004A3441" w:rsidRDefault="004A3441" w:rsidP="004A3441">
      <w:pPr>
        <w:pStyle w:val="ListParagraph"/>
        <w:ind w:left="784"/>
        <w:rPr>
          <w:rFonts w:cs="Arial"/>
          <w:snapToGrid w:val="0"/>
        </w:rPr>
      </w:pPr>
    </w:p>
    <w:p w14:paraId="6572B8AE" w14:textId="52DC3C28" w:rsidR="004E39A2" w:rsidRPr="00F60FB1" w:rsidRDefault="00AF30D5" w:rsidP="00ED3D91">
      <w:pPr>
        <w:rPr>
          <w:rFonts w:ascii="Arial" w:hAnsi="Arial" w:cs="Arial"/>
          <w:lang w:val="en-GB"/>
        </w:rPr>
      </w:pPr>
      <w:r>
        <w:rPr>
          <w:rFonts w:ascii="Arial" w:hAnsi="Arial" w:cs="Arial"/>
          <w:lang w:val="en-GB"/>
        </w:rPr>
        <w:t>Ideally, there would be more context-specific studies and data.</w:t>
      </w:r>
    </w:p>
    <w:p w14:paraId="146B28EA" w14:textId="4E68EECC" w:rsidR="00304722" w:rsidRDefault="00CE4082" w:rsidP="00304722">
      <w:pPr>
        <w:rPr>
          <w:rFonts w:ascii="Arial" w:hAnsi="Arial" w:cs="Arial"/>
          <w:lang w:val="en-AU"/>
        </w:rPr>
      </w:pPr>
      <w:r>
        <w:rPr>
          <w:rFonts w:ascii="Arial" w:hAnsi="Arial" w:cs="Arial"/>
          <w:lang w:val="en-AU"/>
        </w:rPr>
        <w:br w:type="page"/>
      </w:r>
    </w:p>
    <w:p w14:paraId="252F7CAF" w14:textId="1A1C87D2" w:rsidR="009D33D3" w:rsidRPr="00F72952" w:rsidRDefault="00C00685" w:rsidP="00F72952">
      <w:pPr>
        <w:rPr>
          <w:rFonts w:ascii="Arial" w:eastAsia="Arial" w:hAnsi="Arial" w:cs="Arial"/>
        </w:rPr>
      </w:pPr>
      <w:bookmarkStart w:id="51" w:name="_Toc194476001"/>
      <w:r w:rsidRPr="00F61217">
        <w:rPr>
          <w:rStyle w:val="Heading2Char"/>
          <w:rFonts w:eastAsia="Arial"/>
        </w:rPr>
        <w:lastRenderedPageBreak/>
        <w:t>References</w:t>
      </w:r>
      <w:bookmarkEnd w:id="51"/>
      <w:r w:rsidRPr="00C00685">
        <w:rPr>
          <w:rStyle w:val="Heading2Char"/>
          <w:rFonts w:eastAsia="Arial"/>
        </w:rPr>
        <w:t xml:space="preserve"> </w:t>
      </w:r>
    </w:p>
    <w:p w14:paraId="53BC65E6" w14:textId="41C28195" w:rsidR="00F72952" w:rsidRPr="00F72952" w:rsidRDefault="00F72952" w:rsidP="00F72952">
      <w:pPr>
        <w:rPr>
          <w:rFonts w:ascii="Arial" w:hAnsi="Arial" w:cs="Arial"/>
          <w:lang w:val="en-GB"/>
        </w:rPr>
      </w:pPr>
      <w:r w:rsidRPr="00F72952">
        <w:rPr>
          <w:rFonts w:ascii="Arial" w:hAnsi="Arial" w:cs="Arial"/>
          <w:lang w:val="en-GB"/>
        </w:rPr>
        <w:t xml:space="preserve">ABS (Australian Bureau of Statistics) (2013) </w:t>
      </w:r>
      <w:hyperlink r:id="rId27" w:history="1">
        <w:r w:rsidRPr="00F72952">
          <w:rPr>
            <w:rStyle w:val="Hyperlink"/>
            <w:rFonts w:ascii="Arial" w:hAnsi="Arial" w:cs="Arial"/>
            <w:i/>
            <w:iCs/>
            <w:lang w:val="en-GB"/>
          </w:rPr>
          <w:t>Microdata and TableBuilder: Australian Health Survey: Nutrition and Physical Activity</w:t>
        </w:r>
      </w:hyperlink>
      <w:r w:rsidRPr="00F72952">
        <w:rPr>
          <w:rFonts w:ascii="Arial" w:hAnsi="Arial" w:cs="Arial"/>
          <w:lang w:val="en-GB"/>
        </w:rPr>
        <w:t>, accessed April 2021.</w:t>
      </w:r>
    </w:p>
    <w:p w14:paraId="303C4E55" w14:textId="7DC9ACB4" w:rsidR="00F72952" w:rsidRPr="00F72952" w:rsidRDefault="00F72952" w:rsidP="00F72952">
      <w:pPr>
        <w:rPr>
          <w:rFonts w:ascii="Arial" w:hAnsi="Arial" w:cs="Arial"/>
          <w:lang w:val="en-GB"/>
        </w:rPr>
      </w:pPr>
      <w:r w:rsidRPr="00F72952">
        <w:rPr>
          <w:rFonts w:ascii="Arial" w:hAnsi="Arial" w:cs="Arial"/>
          <w:lang w:val="en-GB"/>
        </w:rPr>
        <w:t xml:space="preserve">ABS (2018) </w:t>
      </w:r>
      <w:hyperlink r:id="rId28" w:history="1">
        <w:r w:rsidRPr="00F72952">
          <w:rPr>
            <w:rStyle w:val="Hyperlink"/>
            <w:rFonts w:ascii="Arial" w:hAnsi="Arial" w:cs="Arial"/>
            <w:i/>
            <w:iCs/>
            <w:lang w:val="en-GB"/>
          </w:rPr>
          <w:t>National Health Survey: First results</w:t>
        </w:r>
      </w:hyperlink>
      <w:r w:rsidRPr="00F72952">
        <w:rPr>
          <w:rFonts w:ascii="Arial" w:hAnsi="Arial" w:cs="Arial"/>
          <w:i/>
          <w:iCs/>
          <w:lang w:val="en-GB"/>
        </w:rPr>
        <w:t xml:space="preserve">, </w:t>
      </w:r>
      <w:r w:rsidRPr="00F72952">
        <w:rPr>
          <w:rFonts w:ascii="Arial" w:hAnsi="Arial" w:cs="Arial"/>
          <w:lang w:val="en-GB"/>
        </w:rPr>
        <w:t>accessed April 2021.</w:t>
      </w:r>
    </w:p>
    <w:p w14:paraId="6CACC0CE" w14:textId="662C0DF8" w:rsidR="00FC788F" w:rsidRPr="00F72952" w:rsidRDefault="00F72952" w:rsidP="00F72952">
      <w:pPr>
        <w:rPr>
          <w:rFonts w:ascii="Arial" w:hAnsi="Arial" w:cs="Arial"/>
          <w:lang w:val="en-GB"/>
        </w:rPr>
      </w:pPr>
      <w:r w:rsidRPr="00F72952">
        <w:rPr>
          <w:rFonts w:ascii="Arial" w:hAnsi="Arial" w:cs="Arial"/>
          <w:lang w:val="en-GB"/>
        </w:rPr>
        <w:t xml:space="preserve">ABS (2018) </w:t>
      </w:r>
      <w:hyperlink r:id="rId29" w:history="1">
        <w:r w:rsidRPr="00F72952">
          <w:rPr>
            <w:rStyle w:val="Hyperlink"/>
            <w:rFonts w:ascii="Arial" w:hAnsi="Arial" w:cs="Arial"/>
            <w:i/>
            <w:iCs/>
            <w:lang w:val="en-GB"/>
          </w:rPr>
          <w:t>Overweight and obesity, 2017-18 financial yea</w:t>
        </w:r>
        <w:r w:rsidRPr="00F72952">
          <w:rPr>
            <w:rStyle w:val="Hyperlink"/>
            <w:rFonts w:ascii="Arial" w:hAnsi="Arial" w:cs="Arial"/>
            <w:lang w:val="en-GB"/>
          </w:rPr>
          <w:t>r</w:t>
        </w:r>
      </w:hyperlink>
      <w:r w:rsidRPr="00F72952">
        <w:rPr>
          <w:rFonts w:ascii="Arial" w:hAnsi="Arial" w:cs="Arial"/>
          <w:lang w:val="en-GB"/>
        </w:rPr>
        <w:t xml:space="preserve">, accessed </w:t>
      </w:r>
      <w:r w:rsidR="003D1E83">
        <w:rPr>
          <w:rFonts w:ascii="Arial" w:hAnsi="Arial" w:cs="Arial"/>
          <w:lang w:val="en-GB"/>
        </w:rPr>
        <w:t>June</w:t>
      </w:r>
      <w:r w:rsidRPr="00F72952">
        <w:rPr>
          <w:rFonts w:ascii="Arial" w:hAnsi="Arial" w:cs="Arial"/>
          <w:lang w:val="en-GB"/>
        </w:rPr>
        <w:t xml:space="preserve"> 2022. </w:t>
      </w:r>
    </w:p>
    <w:p w14:paraId="2DA7B513" w14:textId="7ABE4C87" w:rsidR="00F72952" w:rsidRPr="00F72952" w:rsidRDefault="00F72952" w:rsidP="00F72952">
      <w:pPr>
        <w:rPr>
          <w:rFonts w:ascii="Arial" w:hAnsi="Arial" w:cs="Arial"/>
          <w:lang w:val="en-GB"/>
        </w:rPr>
      </w:pPr>
      <w:r w:rsidRPr="00F72952">
        <w:rPr>
          <w:rFonts w:ascii="Arial" w:hAnsi="Arial" w:cs="Arial"/>
          <w:lang w:val="en-GB"/>
        </w:rPr>
        <w:t xml:space="preserve">ABS (2019) </w:t>
      </w:r>
      <w:hyperlink r:id="rId30" w:history="1">
        <w:r w:rsidRPr="00F72952">
          <w:rPr>
            <w:rStyle w:val="Hyperlink"/>
            <w:rFonts w:ascii="Arial" w:hAnsi="Arial" w:cs="Arial"/>
            <w:i/>
            <w:iCs/>
            <w:lang w:val="en-GB"/>
          </w:rPr>
          <w:t>Apparent Consumption of Alcohol in Australia per capita</w:t>
        </w:r>
      </w:hyperlink>
      <w:r w:rsidRPr="00F72952">
        <w:rPr>
          <w:rFonts w:ascii="Arial" w:hAnsi="Arial" w:cs="Arial"/>
          <w:lang w:val="en-GB"/>
        </w:rPr>
        <w:t>, accessed June 2022.</w:t>
      </w:r>
    </w:p>
    <w:p w14:paraId="77F618EF" w14:textId="34178A3F" w:rsidR="00F72952" w:rsidRPr="00F72952" w:rsidRDefault="00F72952" w:rsidP="00F72952">
      <w:pPr>
        <w:rPr>
          <w:rFonts w:ascii="Arial" w:hAnsi="Arial" w:cs="Arial"/>
          <w:lang w:val="en-GB"/>
        </w:rPr>
      </w:pPr>
      <w:r w:rsidRPr="00F72952">
        <w:rPr>
          <w:rFonts w:ascii="Arial" w:hAnsi="Arial" w:cs="Arial"/>
          <w:lang w:val="en-GB"/>
        </w:rPr>
        <w:t xml:space="preserve">ABS (2023) </w:t>
      </w:r>
      <w:hyperlink r:id="rId31" w:history="1">
        <w:r w:rsidRPr="00F72952">
          <w:rPr>
            <w:rStyle w:val="Hyperlink"/>
            <w:rFonts w:ascii="Arial" w:hAnsi="Arial" w:cs="Arial"/>
            <w:i/>
            <w:iCs/>
            <w:lang w:val="en-GB"/>
          </w:rPr>
          <w:t>Waist circumference and BMI, 2022</w:t>
        </w:r>
      </w:hyperlink>
      <w:r w:rsidR="000E3E3C">
        <w:rPr>
          <w:rFonts w:ascii="Arial" w:hAnsi="Arial" w:cs="Arial"/>
          <w:lang w:val="en-AU"/>
        </w:rPr>
        <w:t>,</w:t>
      </w:r>
      <w:r w:rsidRPr="00F72952">
        <w:rPr>
          <w:rFonts w:ascii="Arial" w:hAnsi="Arial" w:cs="Arial"/>
          <w:lang w:val="en-GB"/>
        </w:rPr>
        <w:t xml:space="preserve"> </w:t>
      </w:r>
      <w:r w:rsidRPr="00F72952">
        <w:rPr>
          <w:rFonts w:ascii="Arial" w:hAnsi="Arial" w:cs="Arial"/>
          <w:lang w:val="en-NZ"/>
        </w:rPr>
        <w:t xml:space="preserve">Table 8.1, </w:t>
      </w:r>
      <w:r w:rsidRPr="00F72952">
        <w:rPr>
          <w:rFonts w:ascii="Arial" w:hAnsi="Arial" w:cs="Arial"/>
          <w:lang w:val="en-GB"/>
        </w:rPr>
        <w:t>accessed March 2024.</w:t>
      </w:r>
    </w:p>
    <w:p w14:paraId="02C66309" w14:textId="21990CE3" w:rsidR="00F72952" w:rsidRPr="00F72952" w:rsidRDefault="00F72952" w:rsidP="00F72952">
      <w:pPr>
        <w:rPr>
          <w:rFonts w:ascii="Arial" w:hAnsi="Arial" w:cs="Arial"/>
          <w:lang w:val="en-GB"/>
        </w:rPr>
      </w:pPr>
      <w:r w:rsidRPr="00F72952">
        <w:rPr>
          <w:rFonts w:ascii="Arial" w:hAnsi="Arial" w:cs="Arial"/>
          <w:lang w:val="en-GB"/>
        </w:rPr>
        <w:t xml:space="preserve">ABS (2023) </w:t>
      </w:r>
      <w:hyperlink r:id="rId32">
        <w:r w:rsidRPr="00F72952">
          <w:rPr>
            <w:rStyle w:val="Hyperlink"/>
            <w:rFonts w:ascii="Arial" w:hAnsi="Arial" w:cs="Arial"/>
            <w:i/>
            <w:iCs/>
            <w:lang w:val="en-GB"/>
          </w:rPr>
          <w:t>National Health Survey</w:t>
        </w:r>
      </w:hyperlink>
      <w:r w:rsidRPr="00F72952">
        <w:rPr>
          <w:rFonts w:ascii="Arial" w:hAnsi="Arial" w:cs="Arial"/>
          <w:lang w:val="en-GB"/>
        </w:rPr>
        <w:t>, accessed August 2024.</w:t>
      </w:r>
    </w:p>
    <w:p w14:paraId="06A46B0A" w14:textId="558E841C" w:rsidR="00F72952" w:rsidRPr="00F72952" w:rsidRDefault="00F72952" w:rsidP="00F72952">
      <w:pPr>
        <w:rPr>
          <w:rFonts w:ascii="Arial" w:hAnsi="Arial" w:cs="Arial"/>
          <w:lang w:val="en-GB"/>
        </w:rPr>
      </w:pPr>
      <w:r w:rsidRPr="00F72952">
        <w:rPr>
          <w:rFonts w:ascii="Arial" w:hAnsi="Arial" w:cs="Arial"/>
          <w:lang w:val="en-GB"/>
        </w:rPr>
        <w:t xml:space="preserve">ABS (2024) </w:t>
      </w:r>
      <w:hyperlink r:id="rId33" w:history="1">
        <w:r w:rsidRPr="00F72952">
          <w:rPr>
            <w:rStyle w:val="Hyperlink"/>
            <w:rFonts w:ascii="Arial" w:hAnsi="Arial" w:cs="Arial"/>
            <w:i/>
            <w:iCs/>
            <w:lang w:val="en-GB"/>
          </w:rPr>
          <w:t>National, state and territory population, December 2023</w:t>
        </w:r>
      </w:hyperlink>
      <w:r w:rsidRPr="00F72952">
        <w:rPr>
          <w:rFonts w:ascii="Arial" w:hAnsi="Arial" w:cs="Arial"/>
          <w:lang w:val="en-GB"/>
        </w:rPr>
        <w:t>, accessed August 2024.</w:t>
      </w:r>
    </w:p>
    <w:p w14:paraId="644AB003" w14:textId="3554478B" w:rsidR="000E50DC" w:rsidRPr="000E50DC" w:rsidRDefault="000E50DC" w:rsidP="000E50DC">
      <w:pPr>
        <w:rPr>
          <w:rFonts w:ascii="Arial" w:hAnsi="Arial" w:cs="Arial"/>
          <w:lang w:val="en-GB"/>
        </w:rPr>
      </w:pPr>
      <w:r w:rsidRPr="000E50DC">
        <w:rPr>
          <w:rFonts w:ascii="Arial" w:hAnsi="Arial" w:cs="Arial"/>
          <w:lang w:val="en-GB"/>
        </w:rPr>
        <w:t xml:space="preserve">Australian Institute of Health and Welfare (2024a) </w:t>
      </w:r>
      <w:hyperlink r:id="rId34" w:history="1">
        <w:r w:rsidRPr="000E50DC">
          <w:rPr>
            <w:rStyle w:val="Hyperlink"/>
            <w:rFonts w:ascii="Arial" w:hAnsi="Arial" w:cs="Arial"/>
            <w:i/>
            <w:iCs/>
            <w:lang w:val="en-GB"/>
          </w:rPr>
          <w:t>Alcohol, tobacco &amp; other drugs in Australia</w:t>
        </w:r>
      </w:hyperlink>
      <w:r w:rsidRPr="000E50DC">
        <w:rPr>
          <w:rFonts w:ascii="Arial" w:hAnsi="Arial" w:cs="Arial"/>
          <w:lang w:val="en-GB"/>
        </w:rPr>
        <w:t xml:space="preserve">, accessed December 2024. </w:t>
      </w:r>
    </w:p>
    <w:p w14:paraId="204F4882" w14:textId="77777777" w:rsidR="000E50DC" w:rsidRPr="000E50DC" w:rsidRDefault="000E50DC" w:rsidP="000E50DC">
      <w:pPr>
        <w:rPr>
          <w:rFonts w:ascii="Arial" w:hAnsi="Arial" w:cs="Arial"/>
          <w:lang w:val="en-GB"/>
        </w:rPr>
      </w:pPr>
      <w:r w:rsidRPr="000E50DC">
        <w:rPr>
          <w:rFonts w:ascii="Arial" w:hAnsi="Arial" w:cs="Arial"/>
          <w:lang w:val="en-GB"/>
        </w:rPr>
        <w:t xml:space="preserve">Australian Institute of Health and Welfare (2024b) </w:t>
      </w:r>
      <w:hyperlink r:id="rId35" w:history="1">
        <w:r w:rsidRPr="000E50DC">
          <w:rPr>
            <w:rStyle w:val="Hyperlink"/>
            <w:rFonts w:ascii="Arial" w:hAnsi="Arial" w:cs="Arial"/>
            <w:i/>
            <w:iCs/>
            <w:lang w:val="en-GB"/>
          </w:rPr>
          <w:t>Alcohol available for consumption in Australia</w:t>
        </w:r>
      </w:hyperlink>
      <w:r w:rsidRPr="000E50DC">
        <w:rPr>
          <w:rFonts w:ascii="Arial" w:hAnsi="Arial" w:cs="Arial"/>
          <w:i/>
          <w:iCs/>
          <w:lang w:val="en-GB"/>
        </w:rPr>
        <w:t xml:space="preserve">, </w:t>
      </w:r>
      <w:r w:rsidRPr="000E50DC">
        <w:rPr>
          <w:rFonts w:ascii="Arial" w:hAnsi="Arial" w:cs="Arial"/>
          <w:lang w:val="en-GB"/>
        </w:rPr>
        <w:t>accessed December 2024.</w:t>
      </w:r>
    </w:p>
    <w:p w14:paraId="570A6086" w14:textId="4B921B29" w:rsidR="00E22C59" w:rsidRPr="00012EAC" w:rsidRDefault="00E22C59" w:rsidP="00F72952">
      <w:pPr>
        <w:rPr>
          <w:rFonts w:ascii="Arial" w:hAnsi="Arial" w:cs="Arial"/>
          <w:lang w:val="en-GB"/>
        </w:rPr>
      </w:pPr>
      <w:r w:rsidRPr="00E22C59">
        <w:rPr>
          <w:rFonts w:ascii="Arial" w:hAnsi="Arial" w:cs="Arial"/>
          <w:lang w:val="en-GB"/>
        </w:rPr>
        <w:t>AIHW (Australian Institute of Health and Welfare) (2024</w:t>
      </w:r>
      <w:r w:rsidR="005716FE">
        <w:rPr>
          <w:rFonts w:ascii="Arial" w:hAnsi="Arial" w:cs="Arial"/>
          <w:lang w:val="en-GB"/>
        </w:rPr>
        <w:t>c</w:t>
      </w:r>
      <w:r w:rsidRPr="00E22C59">
        <w:rPr>
          <w:rFonts w:ascii="Arial" w:hAnsi="Arial" w:cs="Arial"/>
          <w:lang w:val="en-GB"/>
        </w:rPr>
        <w:t xml:space="preserve">) </w:t>
      </w:r>
      <w:hyperlink r:id="rId36" w:history="1">
        <w:r w:rsidRPr="00012EAC">
          <w:rPr>
            <w:rStyle w:val="Hyperlink"/>
            <w:rFonts w:ascii="Arial" w:hAnsi="Arial" w:cs="Arial"/>
            <w:i/>
            <w:iCs/>
            <w:lang w:val="en-GB"/>
          </w:rPr>
          <w:t>Overweight and obesity</w:t>
        </w:r>
        <w:r w:rsidRPr="00E22C59">
          <w:rPr>
            <w:rFonts w:ascii="Arial" w:hAnsi="Arial" w:cs="Arial"/>
            <w:lang w:val="en-GB"/>
          </w:rPr>
          <w:t>,</w:t>
        </w:r>
      </w:hyperlink>
      <w:r w:rsidRPr="00E22C59">
        <w:rPr>
          <w:rFonts w:ascii="Arial" w:hAnsi="Arial" w:cs="Arial"/>
          <w:lang w:val="en-GB"/>
        </w:rPr>
        <w:t xml:space="preserve"> accessed October 2024. </w:t>
      </w:r>
    </w:p>
    <w:p w14:paraId="6FA8D993" w14:textId="4A441A1C" w:rsidR="00F72952" w:rsidRPr="00F72952" w:rsidRDefault="00F72952" w:rsidP="00F72952">
      <w:pPr>
        <w:rPr>
          <w:rFonts w:ascii="Arial" w:hAnsi="Arial" w:cs="Arial"/>
          <w:u w:val="single"/>
          <w:lang w:val="en-GB"/>
        </w:rPr>
      </w:pPr>
      <w:r w:rsidRPr="00F72952">
        <w:rPr>
          <w:rFonts w:ascii="Arial" w:hAnsi="Arial" w:cs="Arial"/>
          <w:lang w:val="en-GB"/>
        </w:rPr>
        <w:t xml:space="preserve">Barons KP, Mann D, Orellana L, Miller M, Pettigrew S and Sacks G (2022) </w:t>
      </w:r>
      <w:hyperlink r:id="rId37" w:history="1">
        <w:r w:rsidRPr="00F72952">
          <w:rPr>
            <w:rStyle w:val="Hyperlink"/>
            <w:rFonts w:ascii="Arial" w:hAnsi="Arial" w:cs="Arial"/>
            <w:i/>
            <w:iCs/>
            <w:lang w:val="en-GB"/>
          </w:rPr>
          <w:t>Nutrition-Related Information on Alcoholic Beverages in Victoria, Australia, 2021</w:t>
        </w:r>
      </w:hyperlink>
      <w:r w:rsidRPr="00F72952">
        <w:rPr>
          <w:rFonts w:ascii="Arial" w:hAnsi="Arial" w:cs="Arial"/>
          <w:lang w:val="en-GB"/>
        </w:rPr>
        <w:t xml:space="preserve">, International Journal of Environmental Research and Public Health 2022, 19(8),4609. </w:t>
      </w:r>
    </w:p>
    <w:p w14:paraId="64A37892" w14:textId="3704E514" w:rsidR="00F72952" w:rsidRPr="00F72952" w:rsidRDefault="00F72952" w:rsidP="00F72952">
      <w:pPr>
        <w:rPr>
          <w:rFonts w:ascii="Arial" w:hAnsi="Arial" w:cs="Arial"/>
          <w:u w:val="single"/>
          <w:lang w:val="en-GB"/>
        </w:rPr>
      </w:pPr>
      <w:r w:rsidRPr="00F72952">
        <w:rPr>
          <w:rFonts w:ascii="Arial" w:hAnsi="Arial" w:cs="Arial"/>
          <w:lang w:val="en-AU"/>
        </w:rPr>
        <w:t xml:space="preserve">Colagiuri et al (2005) </w:t>
      </w:r>
      <w:hyperlink r:id="rId38" w:history="1">
        <w:r w:rsidRPr="00F72952">
          <w:rPr>
            <w:rStyle w:val="Hyperlink"/>
            <w:rFonts w:ascii="Arial" w:hAnsi="Arial" w:cs="Arial"/>
            <w:i/>
            <w:iCs/>
            <w:lang w:val="en-AU"/>
          </w:rPr>
          <w:t>Cost of overweight and obesity in Australia</w:t>
        </w:r>
      </w:hyperlink>
      <w:r w:rsidRPr="00F72952">
        <w:rPr>
          <w:rFonts w:ascii="Arial" w:hAnsi="Arial" w:cs="Arial"/>
          <w:lang w:val="en-NZ"/>
        </w:rPr>
        <w:t xml:space="preserve">, </w:t>
      </w:r>
      <w:r w:rsidRPr="00F72952">
        <w:rPr>
          <w:rFonts w:ascii="Arial" w:hAnsi="Arial" w:cs="Arial"/>
          <w:lang w:val="en-GB"/>
        </w:rPr>
        <w:t>accessed September 2023.</w:t>
      </w:r>
    </w:p>
    <w:p w14:paraId="5DCBCBB5" w14:textId="737E156F" w:rsidR="00F72952" w:rsidRPr="00F72952" w:rsidRDefault="00F72952" w:rsidP="00F72952">
      <w:pPr>
        <w:rPr>
          <w:rFonts w:ascii="Arial" w:hAnsi="Arial" w:cs="Arial"/>
          <w:lang w:val="en-GB"/>
        </w:rPr>
      </w:pPr>
      <w:r w:rsidRPr="00F72952">
        <w:rPr>
          <w:rFonts w:ascii="Arial" w:hAnsi="Arial" w:cs="Arial"/>
          <w:lang w:val="en-GB"/>
        </w:rPr>
        <w:t xml:space="preserve">Deloitte: Alcoholic Beverages Industry (2021) </w:t>
      </w:r>
      <w:r w:rsidR="00C5275C">
        <w:rPr>
          <w:rFonts w:ascii="Arial" w:hAnsi="Arial" w:cs="Arial"/>
          <w:lang w:val="en-GB"/>
        </w:rPr>
        <w:t xml:space="preserve">(Deloitte) </w:t>
      </w:r>
      <w:r w:rsidRPr="00F72952">
        <w:rPr>
          <w:rFonts w:ascii="Arial" w:hAnsi="Arial" w:cs="Arial"/>
          <w:lang w:val="en-GB"/>
        </w:rPr>
        <w:t xml:space="preserve">– </w:t>
      </w:r>
      <w:hyperlink r:id="rId39" w:history="1">
        <w:r w:rsidRPr="00F72952">
          <w:rPr>
            <w:rStyle w:val="Hyperlink"/>
            <w:rFonts w:ascii="Arial" w:hAnsi="Arial" w:cs="Arial"/>
            <w:i/>
            <w:iCs/>
            <w:lang w:val="en-GB"/>
          </w:rPr>
          <w:t>Economic contribution and future opportunity</w:t>
        </w:r>
        <w:r w:rsidRPr="005C77C6">
          <w:rPr>
            <w:rStyle w:val="Hyperlink"/>
            <w:rFonts w:ascii="Arial" w:hAnsi="Arial" w:cs="Arial"/>
            <w:color w:val="auto"/>
            <w:u w:val="none"/>
            <w:lang w:val="en-GB"/>
          </w:rPr>
          <w:t xml:space="preserve">, </w:t>
        </w:r>
      </w:hyperlink>
      <w:r w:rsidRPr="00F72952">
        <w:rPr>
          <w:rFonts w:ascii="Arial" w:hAnsi="Arial" w:cs="Arial"/>
          <w:lang w:val="en-GB"/>
        </w:rPr>
        <w:t>accessed June 2022.</w:t>
      </w:r>
    </w:p>
    <w:p w14:paraId="7691B01D" w14:textId="3D4CAC51" w:rsidR="00F72952" w:rsidRPr="00F72952" w:rsidRDefault="00F72952" w:rsidP="00F72952">
      <w:pPr>
        <w:rPr>
          <w:rFonts w:ascii="Arial" w:hAnsi="Arial" w:cs="Arial"/>
          <w:lang w:val="en-AU"/>
        </w:rPr>
      </w:pPr>
      <w:r w:rsidRPr="00F72952">
        <w:rPr>
          <w:rFonts w:ascii="Arial" w:hAnsi="Arial" w:cs="Arial"/>
          <w:lang w:val="en-AU"/>
        </w:rPr>
        <w:t xml:space="preserve">Department of Health (2019) </w:t>
      </w:r>
      <w:hyperlink r:id="rId40" w:history="1">
        <w:r w:rsidRPr="00F72952">
          <w:rPr>
            <w:rStyle w:val="Hyperlink"/>
            <w:rFonts w:ascii="Arial" w:hAnsi="Arial" w:cs="Arial"/>
            <w:i/>
            <w:iCs/>
            <w:lang w:val="en-AU"/>
          </w:rPr>
          <w:t>National Alcohol Strategy 2019-2028</w:t>
        </w:r>
      </w:hyperlink>
      <w:r w:rsidRPr="00F72952">
        <w:rPr>
          <w:rFonts w:ascii="Arial" w:hAnsi="Arial" w:cs="Arial"/>
          <w:lang w:val="en-AU"/>
        </w:rPr>
        <w:t xml:space="preserve">, accessed </w:t>
      </w:r>
      <w:r w:rsidR="00EA3BC9">
        <w:rPr>
          <w:rFonts w:ascii="Arial" w:hAnsi="Arial" w:cs="Arial"/>
          <w:lang w:val="en-AU"/>
        </w:rPr>
        <w:t>February 2023</w:t>
      </w:r>
      <w:r w:rsidRPr="00F72952">
        <w:rPr>
          <w:rFonts w:ascii="Arial" w:hAnsi="Arial" w:cs="Arial"/>
          <w:lang w:val="en-AU"/>
        </w:rPr>
        <w:t xml:space="preserve">. </w:t>
      </w:r>
    </w:p>
    <w:p w14:paraId="771377DB" w14:textId="3E503EF6" w:rsidR="00F72952" w:rsidRPr="00F72952" w:rsidRDefault="00F72952" w:rsidP="00F72952">
      <w:pPr>
        <w:rPr>
          <w:rFonts w:ascii="Arial" w:hAnsi="Arial" w:cs="Arial"/>
          <w:lang w:val="en-AU"/>
        </w:rPr>
      </w:pPr>
      <w:r w:rsidRPr="00F72952">
        <w:rPr>
          <w:rFonts w:ascii="Arial" w:hAnsi="Arial" w:cs="Arial"/>
          <w:lang w:val="en-AU"/>
        </w:rPr>
        <w:t xml:space="preserve">Department of Health (2021) </w:t>
      </w:r>
      <w:hyperlink r:id="rId41" w:history="1">
        <w:r w:rsidRPr="00F72952">
          <w:rPr>
            <w:rStyle w:val="Hyperlink"/>
            <w:rFonts w:ascii="Arial" w:hAnsi="Arial" w:cs="Arial"/>
            <w:i/>
            <w:iCs/>
            <w:lang w:val="en-AU"/>
          </w:rPr>
          <w:t>National Preventative Health Strategy 2021 – 2030</w:t>
        </w:r>
      </w:hyperlink>
      <w:r w:rsidRPr="00F72952">
        <w:rPr>
          <w:rFonts w:ascii="Arial" w:hAnsi="Arial" w:cs="Arial"/>
          <w:lang w:val="en-AU"/>
        </w:rPr>
        <w:t xml:space="preserve">, accessed </w:t>
      </w:r>
      <w:r w:rsidR="00EA3BC9">
        <w:rPr>
          <w:rFonts w:ascii="Arial" w:hAnsi="Arial" w:cs="Arial"/>
          <w:lang w:val="en-AU"/>
        </w:rPr>
        <w:t>February 2023</w:t>
      </w:r>
      <w:r w:rsidRPr="00F72952">
        <w:rPr>
          <w:rFonts w:ascii="Arial" w:hAnsi="Arial" w:cs="Arial"/>
          <w:lang w:val="en-AU"/>
        </w:rPr>
        <w:t xml:space="preserve">. </w:t>
      </w:r>
    </w:p>
    <w:p w14:paraId="6F7C7533" w14:textId="488B34A5" w:rsidR="00F72952" w:rsidRPr="00F72952" w:rsidRDefault="00F72952" w:rsidP="00F72952">
      <w:pPr>
        <w:rPr>
          <w:rFonts w:ascii="Arial" w:hAnsi="Arial" w:cs="Arial"/>
          <w:lang w:val="en-GB"/>
        </w:rPr>
      </w:pPr>
      <w:r w:rsidRPr="00F72952">
        <w:rPr>
          <w:rFonts w:ascii="Arial" w:hAnsi="Arial" w:cs="Arial"/>
          <w:lang w:val="en-AU"/>
        </w:rPr>
        <w:t xml:space="preserve">Department of Health (2022) </w:t>
      </w:r>
      <w:hyperlink r:id="rId42" w:history="1">
        <w:r w:rsidRPr="00F72952">
          <w:rPr>
            <w:rStyle w:val="Hyperlink"/>
            <w:rFonts w:ascii="Arial" w:hAnsi="Arial" w:cs="Arial"/>
            <w:i/>
            <w:iCs/>
            <w:lang w:val="en-AU"/>
          </w:rPr>
          <w:t>National Obesity Strategy 2022–2032</w:t>
        </w:r>
      </w:hyperlink>
      <w:r w:rsidRPr="00F72952">
        <w:rPr>
          <w:rFonts w:ascii="Arial" w:hAnsi="Arial" w:cs="Arial"/>
          <w:lang w:val="en-AU"/>
        </w:rPr>
        <w:t xml:space="preserve">, accessed </w:t>
      </w:r>
      <w:r w:rsidR="00DE0274">
        <w:rPr>
          <w:rFonts w:ascii="Arial" w:hAnsi="Arial" w:cs="Arial"/>
          <w:lang w:val="en-AU"/>
        </w:rPr>
        <w:t>February 2023</w:t>
      </w:r>
      <w:r w:rsidR="00DE0274" w:rsidRPr="00F72952">
        <w:rPr>
          <w:rFonts w:ascii="Arial" w:hAnsi="Arial" w:cs="Arial"/>
          <w:lang w:val="en-AU"/>
        </w:rPr>
        <w:t>.</w:t>
      </w:r>
    </w:p>
    <w:p w14:paraId="301F901C" w14:textId="4E2793C4" w:rsidR="00971D87" w:rsidRDefault="00971D87" w:rsidP="00F72952">
      <w:pPr>
        <w:rPr>
          <w:rFonts w:ascii="Arial" w:hAnsi="Arial" w:cs="Arial"/>
          <w:lang w:val="en-AU"/>
        </w:rPr>
      </w:pPr>
      <w:r w:rsidRPr="00F72952">
        <w:rPr>
          <w:rFonts w:ascii="Arial" w:hAnsi="Arial" w:cs="Arial"/>
          <w:lang w:val="en-AU"/>
        </w:rPr>
        <w:t>FSANZ (2020</w:t>
      </w:r>
      <w:r w:rsidR="003E7D18">
        <w:rPr>
          <w:rFonts w:ascii="Arial" w:hAnsi="Arial" w:cs="Arial"/>
          <w:lang w:val="en-AU"/>
        </w:rPr>
        <w:t>a</w:t>
      </w:r>
      <w:r w:rsidRPr="00F72952">
        <w:rPr>
          <w:rFonts w:ascii="Arial" w:hAnsi="Arial" w:cs="Arial"/>
          <w:lang w:val="en-AU"/>
        </w:rPr>
        <w:t>)</w:t>
      </w:r>
      <w:r>
        <w:rPr>
          <w:rFonts w:ascii="Arial" w:hAnsi="Arial" w:cs="Arial"/>
          <w:lang w:val="en-AU"/>
        </w:rPr>
        <w:t xml:space="preserve"> </w:t>
      </w:r>
      <w:hyperlink r:id="rId43" w:history="1">
        <w:r w:rsidRPr="00E9597E">
          <w:rPr>
            <w:rStyle w:val="Hyperlink"/>
            <w:rFonts w:ascii="Arial" w:hAnsi="Arial" w:cs="Arial"/>
            <w:i/>
            <w:iCs/>
          </w:rPr>
          <w:t>Pregnancy warning labels on alcoholic beverages Review documents and Approval documents</w:t>
        </w:r>
      </w:hyperlink>
      <w:r>
        <w:rPr>
          <w:rFonts w:ascii="Arial" w:hAnsi="Arial" w:cs="Arial"/>
          <w:i/>
          <w:iCs/>
          <w:lang w:val="en-AU"/>
        </w:rPr>
        <w:t xml:space="preserve">, </w:t>
      </w:r>
      <w:r w:rsidRPr="00F72952">
        <w:rPr>
          <w:rFonts w:ascii="Arial" w:hAnsi="Arial" w:cs="Arial"/>
          <w:lang w:val="en-AU"/>
        </w:rPr>
        <w:t xml:space="preserve">accessed </w:t>
      </w:r>
      <w:r>
        <w:rPr>
          <w:rFonts w:ascii="Arial" w:hAnsi="Arial" w:cs="Arial"/>
          <w:lang w:val="en-AU"/>
        </w:rPr>
        <w:t>July</w:t>
      </w:r>
      <w:r w:rsidRPr="00F72952">
        <w:rPr>
          <w:rFonts w:ascii="Arial" w:hAnsi="Arial" w:cs="Arial"/>
          <w:lang w:val="en-AU"/>
        </w:rPr>
        <w:t xml:space="preserve"> 202</w:t>
      </w:r>
      <w:r>
        <w:rPr>
          <w:rFonts w:ascii="Arial" w:hAnsi="Arial" w:cs="Arial"/>
          <w:lang w:val="en-AU"/>
        </w:rPr>
        <w:t>0</w:t>
      </w:r>
      <w:r w:rsidRPr="00F72952">
        <w:rPr>
          <w:rFonts w:ascii="Arial" w:hAnsi="Arial" w:cs="Arial"/>
          <w:lang w:val="en-AU"/>
        </w:rPr>
        <w:t>.</w:t>
      </w:r>
    </w:p>
    <w:p w14:paraId="373BF2B7" w14:textId="5F5CB59F" w:rsidR="00F72952" w:rsidRDefault="00F72952" w:rsidP="00F72952">
      <w:pPr>
        <w:rPr>
          <w:rFonts w:ascii="Arial" w:hAnsi="Arial" w:cs="Arial"/>
          <w:lang w:val="en-AU"/>
        </w:rPr>
      </w:pPr>
      <w:r w:rsidRPr="00F72952">
        <w:rPr>
          <w:rFonts w:ascii="Arial" w:hAnsi="Arial" w:cs="Arial"/>
          <w:lang w:val="en-AU"/>
        </w:rPr>
        <w:t>FSANZ (2020</w:t>
      </w:r>
      <w:r w:rsidR="003E7D18">
        <w:rPr>
          <w:rFonts w:ascii="Arial" w:hAnsi="Arial" w:cs="Arial"/>
          <w:lang w:val="en-AU"/>
        </w:rPr>
        <w:t>b</w:t>
      </w:r>
      <w:r w:rsidRPr="00F72952">
        <w:rPr>
          <w:rFonts w:ascii="Arial" w:hAnsi="Arial" w:cs="Arial"/>
          <w:lang w:val="en-AU"/>
        </w:rPr>
        <w:t xml:space="preserve">) </w:t>
      </w:r>
      <w:hyperlink r:id="rId44" w:history="1">
        <w:r w:rsidRPr="00F72952">
          <w:rPr>
            <w:rStyle w:val="Hyperlink"/>
            <w:rFonts w:ascii="Arial" w:hAnsi="Arial" w:cs="Arial"/>
            <w:i/>
            <w:iCs/>
            <w:lang w:val="en-AU"/>
          </w:rPr>
          <w:t>Pregnancy warning labels on packaged alcohol: A review of recent literature</w:t>
        </w:r>
      </w:hyperlink>
      <w:r w:rsidRPr="00F72952">
        <w:rPr>
          <w:rFonts w:ascii="Arial" w:hAnsi="Arial" w:cs="Arial"/>
          <w:lang w:val="en-AU"/>
        </w:rPr>
        <w:t xml:space="preserve">, accessed May 2024. </w:t>
      </w:r>
    </w:p>
    <w:p w14:paraId="1EAEC46C" w14:textId="1E6196D1" w:rsidR="00F72952" w:rsidRPr="00F72952" w:rsidRDefault="00F72952" w:rsidP="00F72952">
      <w:pPr>
        <w:rPr>
          <w:rFonts w:ascii="Arial" w:hAnsi="Arial" w:cs="Arial"/>
          <w:lang w:val="en-AU"/>
        </w:rPr>
      </w:pPr>
      <w:r w:rsidRPr="00F72952">
        <w:rPr>
          <w:rFonts w:ascii="Arial" w:hAnsi="Arial" w:cs="Arial"/>
          <w:lang w:val="en-AU"/>
        </w:rPr>
        <w:t xml:space="preserve">FSANZ (2021a) </w:t>
      </w:r>
      <w:hyperlink r:id="rId45" w:history="1">
        <w:r w:rsidRPr="00F72952">
          <w:rPr>
            <w:rStyle w:val="Hyperlink"/>
            <w:rFonts w:ascii="Arial" w:hAnsi="Arial" w:cs="Arial"/>
            <w:i/>
            <w:iCs/>
            <w:lang w:val="en-AU"/>
          </w:rPr>
          <w:t>Energy labelling of alcoholic beverages; Evidence Assessment</w:t>
        </w:r>
      </w:hyperlink>
      <w:r w:rsidRPr="00F72952">
        <w:rPr>
          <w:rFonts w:ascii="Arial" w:hAnsi="Arial" w:cs="Arial"/>
          <w:lang w:val="en-AU"/>
        </w:rPr>
        <w:t xml:space="preserve">, accessed May 2024. </w:t>
      </w:r>
    </w:p>
    <w:p w14:paraId="1C42C612" w14:textId="4A75B23D" w:rsidR="00F72952" w:rsidRPr="00F72952" w:rsidRDefault="00F72952" w:rsidP="00F72952">
      <w:pPr>
        <w:rPr>
          <w:rFonts w:ascii="Arial" w:hAnsi="Arial" w:cs="Arial"/>
          <w:lang w:val="en-AU"/>
        </w:rPr>
      </w:pPr>
      <w:r w:rsidRPr="00F72952">
        <w:rPr>
          <w:rFonts w:ascii="Arial" w:hAnsi="Arial" w:cs="Arial"/>
          <w:lang w:val="en-AU"/>
        </w:rPr>
        <w:t xml:space="preserve">FSANZ (2021b) </w:t>
      </w:r>
      <w:hyperlink r:id="rId46" w:history="1">
        <w:r w:rsidRPr="00F72952">
          <w:rPr>
            <w:rStyle w:val="Hyperlink"/>
            <w:rFonts w:ascii="Arial" w:hAnsi="Arial" w:cs="Arial"/>
            <w:i/>
            <w:iCs/>
            <w:lang w:val="en-AU"/>
          </w:rPr>
          <w:t>Consumer literature review and meta-analysis for W1135: Consumer value/motivation, understanding and behaviour in relation to energy content information on alcoholic beverages</w:t>
        </w:r>
      </w:hyperlink>
      <w:r w:rsidRPr="00F72952">
        <w:rPr>
          <w:rFonts w:ascii="Arial" w:hAnsi="Arial" w:cs="Arial"/>
          <w:lang w:val="en-AU"/>
        </w:rPr>
        <w:t xml:space="preserve">, accessed May 2024. </w:t>
      </w:r>
    </w:p>
    <w:p w14:paraId="716777F9" w14:textId="2960703F" w:rsidR="00F72952" w:rsidRPr="00F72952" w:rsidRDefault="00F72952" w:rsidP="00F72952">
      <w:pPr>
        <w:rPr>
          <w:rFonts w:ascii="Arial" w:hAnsi="Arial" w:cs="Arial"/>
          <w:lang w:val="en-AU"/>
        </w:rPr>
      </w:pPr>
      <w:r w:rsidRPr="00F72952">
        <w:rPr>
          <w:rFonts w:ascii="Arial" w:hAnsi="Arial" w:cs="Arial"/>
          <w:lang w:val="en-AU"/>
        </w:rPr>
        <w:lastRenderedPageBreak/>
        <w:t xml:space="preserve">FSANZ (2021c) </w:t>
      </w:r>
      <w:hyperlink r:id="rId47" w:history="1">
        <w:r w:rsidRPr="00F72952">
          <w:rPr>
            <w:rStyle w:val="Hyperlink"/>
            <w:rFonts w:ascii="Arial" w:hAnsi="Arial" w:cs="Arial"/>
            <w:i/>
            <w:iCs/>
            <w:lang w:val="en-AU"/>
          </w:rPr>
          <w:t>Review of nutrition labelling for added sugars</w:t>
        </w:r>
      </w:hyperlink>
      <w:r w:rsidRPr="00F72952">
        <w:rPr>
          <w:rFonts w:ascii="Arial" w:hAnsi="Arial" w:cs="Arial"/>
          <w:lang w:val="en-AU"/>
        </w:rPr>
        <w:t xml:space="preserve">, accessed May 2024. </w:t>
      </w:r>
    </w:p>
    <w:p w14:paraId="290313FA" w14:textId="31D34ED0" w:rsidR="00F72952" w:rsidRPr="00F72952" w:rsidRDefault="00F72952" w:rsidP="00F72952">
      <w:pPr>
        <w:rPr>
          <w:rFonts w:ascii="Arial" w:hAnsi="Arial" w:cs="Arial"/>
          <w:lang w:val="en-AU"/>
        </w:rPr>
      </w:pPr>
      <w:r w:rsidRPr="00F72952">
        <w:rPr>
          <w:rFonts w:ascii="Arial" w:hAnsi="Arial" w:cs="Arial"/>
          <w:lang w:val="en-AU"/>
        </w:rPr>
        <w:t xml:space="preserve">FSANZ (2021d) </w:t>
      </w:r>
      <w:hyperlink r:id="rId48" w:history="1">
        <w:r w:rsidRPr="00F72952">
          <w:rPr>
            <w:rStyle w:val="Hyperlink"/>
            <w:rFonts w:ascii="Arial" w:hAnsi="Arial" w:cs="Arial"/>
            <w:i/>
            <w:iCs/>
            <w:lang w:val="en-AU"/>
          </w:rPr>
          <w:t>Energy labelling of alcoholic beverages; Options analysis</w:t>
        </w:r>
      </w:hyperlink>
      <w:r w:rsidRPr="00F72952">
        <w:rPr>
          <w:rFonts w:ascii="Arial" w:hAnsi="Arial" w:cs="Arial"/>
          <w:lang w:val="en-AU"/>
        </w:rPr>
        <w:t xml:space="preserve">, accessed May 2024. </w:t>
      </w:r>
    </w:p>
    <w:p w14:paraId="152674F7" w14:textId="449265EC" w:rsidR="00F72952" w:rsidRPr="00F72952" w:rsidRDefault="00F72952" w:rsidP="00F72952">
      <w:pPr>
        <w:rPr>
          <w:rFonts w:ascii="Arial" w:hAnsi="Arial" w:cs="Arial"/>
          <w:lang w:val="en-AU"/>
        </w:rPr>
      </w:pPr>
      <w:r w:rsidRPr="00F72952">
        <w:rPr>
          <w:rFonts w:ascii="Arial" w:hAnsi="Arial" w:cs="Arial"/>
          <w:lang w:val="en-AU"/>
        </w:rPr>
        <w:t xml:space="preserve">FSANZ (2021e) </w:t>
      </w:r>
      <w:hyperlink r:id="rId49" w:history="1">
        <w:r w:rsidRPr="00F72952">
          <w:rPr>
            <w:rStyle w:val="Hyperlink"/>
            <w:rFonts w:ascii="Arial" w:hAnsi="Arial" w:cs="Arial"/>
            <w:i/>
            <w:iCs/>
            <w:lang w:val="en-AU"/>
          </w:rPr>
          <w:t>Australian Food Composition Database</w:t>
        </w:r>
      </w:hyperlink>
      <w:r w:rsidRPr="00F72952">
        <w:rPr>
          <w:rFonts w:ascii="Arial" w:hAnsi="Arial" w:cs="Arial"/>
          <w:lang w:val="en-AU"/>
        </w:rPr>
        <w:t xml:space="preserve">, accessed </w:t>
      </w:r>
      <w:r w:rsidR="00D64E41">
        <w:rPr>
          <w:rFonts w:ascii="Arial" w:hAnsi="Arial" w:cs="Arial"/>
          <w:lang w:val="en-AU"/>
        </w:rPr>
        <w:t>February 2023</w:t>
      </w:r>
      <w:r w:rsidRPr="00F72952">
        <w:rPr>
          <w:rFonts w:ascii="Arial" w:hAnsi="Arial" w:cs="Arial"/>
          <w:lang w:val="en-AU"/>
        </w:rPr>
        <w:t>.</w:t>
      </w:r>
    </w:p>
    <w:p w14:paraId="67B616D7" w14:textId="7D001C45" w:rsidR="00F72952" w:rsidRDefault="00F72952" w:rsidP="00F72952">
      <w:pPr>
        <w:rPr>
          <w:rFonts w:ascii="Arial" w:hAnsi="Arial" w:cs="Arial"/>
          <w:lang w:val="en-AU"/>
        </w:rPr>
      </w:pPr>
      <w:r w:rsidRPr="00F72952">
        <w:rPr>
          <w:rFonts w:ascii="Arial" w:hAnsi="Arial" w:cs="Arial"/>
          <w:lang w:val="en-AU"/>
        </w:rPr>
        <w:t>FSANZ (2023</w:t>
      </w:r>
      <w:r w:rsidR="001C65D2">
        <w:rPr>
          <w:rFonts w:ascii="Arial" w:hAnsi="Arial" w:cs="Arial"/>
          <w:lang w:val="en-AU"/>
        </w:rPr>
        <w:t>a</w:t>
      </w:r>
      <w:r w:rsidRPr="00F72952">
        <w:rPr>
          <w:rFonts w:ascii="Arial" w:hAnsi="Arial" w:cs="Arial"/>
          <w:lang w:val="en-AU"/>
        </w:rPr>
        <w:t xml:space="preserve">) </w:t>
      </w:r>
      <w:hyperlink r:id="rId50" w:history="1">
        <w:r w:rsidRPr="00F72952">
          <w:rPr>
            <w:rStyle w:val="Hyperlink"/>
            <w:rFonts w:ascii="Arial" w:hAnsi="Arial" w:cs="Arial"/>
            <w:i/>
            <w:iCs/>
            <w:lang w:val="en-AU"/>
          </w:rPr>
          <w:t>P1059 Consumer Research Report. Energy labelling on alcoholic beverages: The effects of various labelling formats on consumer perceptions and behavioural intentions</w:t>
        </w:r>
      </w:hyperlink>
      <w:r w:rsidRPr="00F72952">
        <w:rPr>
          <w:rFonts w:ascii="Arial" w:hAnsi="Arial" w:cs="Arial"/>
          <w:lang w:val="en-AU"/>
        </w:rPr>
        <w:t>, accessed July 2024.</w:t>
      </w:r>
    </w:p>
    <w:p w14:paraId="2316A7B6" w14:textId="2F39C095" w:rsidR="001C65D2" w:rsidRDefault="001C65D2" w:rsidP="00F72952">
      <w:pPr>
        <w:rPr>
          <w:rFonts w:ascii="Arial" w:hAnsi="Arial" w:cs="Arial"/>
          <w:lang w:val="en-AU"/>
        </w:rPr>
      </w:pPr>
      <w:r>
        <w:rPr>
          <w:rFonts w:ascii="Arial" w:hAnsi="Arial" w:cs="Arial"/>
          <w:lang w:val="en-AU"/>
        </w:rPr>
        <w:t xml:space="preserve">FSANZ (2023b) </w:t>
      </w:r>
      <w:hyperlink r:id="rId51" w:history="1">
        <w:r w:rsidRPr="00AF5F18">
          <w:rPr>
            <w:rStyle w:val="Hyperlink"/>
            <w:rFonts w:ascii="Arial" w:hAnsi="Arial" w:cs="Arial"/>
            <w:i/>
            <w:iCs/>
          </w:rPr>
          <w:t>Consumer Insights Tracker</w:t>
        </w:r>
      </w:hyperlink>
      <w:r>
        <w:rPr>
          <w:rFonts w:ascii="Arial" w:hAnsi="Arial" w:cs="Arial"/>
          <w:lang w:val="en-AU"/>
        </w:rPr>
        <w:t xml:space="preserve">, </w:t>
      </w:r>
      <w:r w:rsidRPr="00F72952">
        <w:rPr>
          <w:rFonts w:ascii="Arial" w:hAnsi="Arial" w:cs="Arial"/>
          <w:lang w:val="en-AU"/>
        </w:rPr>
        <w:t>accessed July 2024.</w:t>
      </w:r>
    </w:p>
    <w:p w14:paraId="4FA03BC2" w14:textId="6FD37DCC" w:rsidR="001504CA" w:rsidRPr="00F72952" w:rsidRDefault="001504CA" w:rsidP="00F72952">
      <w:pPr>
        <w:rPr>
          <w:rFonts w:ascii="Arial" w:hAnsi="Arial" w:cs="Arial"/>
          <w:lang w:val="en-AU"/>
        </w:rPr>
      </w:pPr>
      <w:r>
        <w:rPr>
          <w:rFonts w:ascii="Arial" w:hAnsi="Arial" w:cs="Arial"/>
          <w:lang w:val="en-AU"/>
        </w:rPr>
        <w:t xml:space="preserve">FSANZ (2023c) </w:t>
      </w:r>
      <w:hyperlink r:id="rId52" w:history="1">
        <w:r w:rsidR="00C55D87" w:rsidRPr="00AF5F18">
          <w:rPr>
            <w:rStyle w:val="Hyperlink"/>
            <w:rFonts w:ascii="Arial" w:hAnsi="Arial" w:cs="Arial"/>
            <w:i/>
            <w:iCs/>
            <w:lang w:val="en-AU"/>
          </w:rPr>
          <w:t>Call submissions paper: Energy labelling on alcoholic beverages</w:t>
        </w:r>
      </w:hyperlink>
      <w:r w:rsidR="00E974B8">
        <w:rPr>
          <w:rFonts w:ascii="Arial" w:hAnsi="Arial" w:cs="Arial"/>
          <w:lang w:val="en-AU"/>
        </w:rPr>
        <w:t xml:space="preserve">, accessed January 2023. </w:t>
      </w:r>
    </w:p>
    <w:p w14:paraId="71B303ED" w14:textId="67E35D23" w:rsidR="00F72952" w:rsidRPr="00F72952" w:rsidRDefault="00F72952" w:rsidP="00F72952">
      <w:pPr>
        <w:rPr>
          <w:rFonts w:ascii="Arial" w:hAnsi="Arial" w:cs="Arial"/>
          <w:lang w:val="en-AU"/>
        </w:rPr>
      </w:pPr>
      <w:r w:rsidRPr="00F72952">
        <w:rPr>
          <w:rFonts w:ascii="Arial" w:hAnsi="Arial" w:cs="Arial"/>
          <w:lang w:val="en-AU"/>
        </w:rPr>
        <w:t xml:space="preserve">FSANZ (2024a) </w:t>
      </w:r>
      <w:hyperlink r:id="rId53" w:history="1">
        <w:r w:rsidRPr="00F72952">
          <w:rPr>
            <w:rStyle w:val="Hyperlink"/>
            <w:rFonts w:ascii="Arial" w:hAnsi="Arial" w:cs="Arial"/>
            <w:i/>
            <w:iCs/>
            <w:lang w:val="en-AU"/>
          </w:rPr>
          <w:t>Alcohol Labelling Consumer Research Report: Consumer responses to sugar claims, carbohydrate claims, and nutrition information panels on alcoholic beverages</w:t>
        </w:r>
      </w:hyperlink>
      <w:r w:rsidRPr="00F72952">
        <w:rPr>
          <w:rFonts w:ascii="Arial" w:hAnsi="Arial" w:cs="Arial"/>
          <w:lang w:val="en-AU"/>
        </w:rPr>
        <w:t>, accessed August 2024.</w:t>
      </w:r>
    </w:p>
    <w:p w14:paraId="5BC6E2B3" w14:textId="1878ED05" w:rsidR="00F72952" w:rsidRPr="00F72952" w:rsidRDefault="00F72952" w:rsidP="00F72952">
      <w:pPr>
        <w:rPr>
          <w:rFonts w:ascii="Arial" w:hAnsi="Arial" w:cs="Arial"/>
          <w:lang w:val="en-AU"/>
        </w:rPr>
      </w:pPr>
      <w:r w:rsidRPr="00F72952">
        <w:rPr>
          <w:rFonts w:ascii="Arial" w:hAnsi="Arial" w:cs="Arial"/>
          <w:lang w:val="en-AU"/>
        </w:rPr>
        <w:t xml:space="preserve">FSANZ (2024b) </w:t>
      </w:r>
      <w:hyperlink r:id="rId54" w:history="1">
        <w:r w:rsidRPr="00F72952">
          <w:rPr>
            <w:rStyle w:val="Hyperlink"/>
            <w:rFonts w:ascii="Arial" w:hAnsi="Arial" w:cs="Arial"/>
            <w:i/>
            <w:iCs/>
            <w:lang w:val="en-AU"/>
          </w:rPr>
          <w:t>Consumer Insights Tracker 2023 Technical Report: Trust and confidence in food regulation, use and understanding of food labelling, and food safety perceptions and behaviours</w:t>
        </w:r>
      </w:hyperlink>
      <w:r w:rsidRPr="00F72952">
        <w:rPr>
          <w:rFonts w:ascii="Arial" w:hAnsi="Arial" w:cs="Arial"/>
          <w:lang w:val="en-AU"/>
        </w:rPr>
        <w:t>, accessed July 2024.</w:t>
      </w:r>
    </w:p>
    <w:p w14:paraId="6112226F" w14:textId="7C53DE89" w:rsidR="00F72952" w:rsidRPr="00F72952" w:rsidRDefault="00F72952" w:rsidP="00F72952">
      <w:pPr>
        <w:rPr>
          <w:rFonts w:ascii="Arial" w:hAnsi="Arial" w:cs="Arial"/>
          <w:u w:val="single"/>
          <w:lang w:val="en-AU"/>
        </w:rPr>
      </w:pPr>
      <w:r w:rsidRPr="00F72952">
        <w:rPr>
          <w:rFonts w:ascii="Arial" w:hAnsi="Arial" w:cs="Arial"/>
          <w:lang w:val="en-AU"/>
        </w:rPr>
        <w:t xml:space="preserve">Hapai Te Hauora (2021) </w:t>
      </w:r>
      <w:hyperlink r:id="rId55" w:history="1">
        <w:r w:rsidRPr="00F72952">
          <w:rPr>
            <w:rStyle w:val="Hyperlink"/>
            <w:rFonts w:ascii="Arial" w:hAnsi="Arial" w:cs="Arial"/>
            <w:i/>
            <w:iCs/>
            <w:lang w:val="en-AU"/>
          </w:rPr>
          <w:t>Economic impact of excess weight gain in Aotearoa</w:t>
        </w:r>
      </w:hyperlink>
      <w:r w:rsidRPr="00F72952">
        <w:rPr>
          <w:rFonts w:ascii="Arial" w:hAnsi="Arial" w:cs="Arial"/>
          <w:i/>
          <w:iCs/>
          <w:lang w:val="en-AU"/>
        </w:rPr>
        <w:t>,</w:t>
      </w:r>
      <w:r w:rsidRPr="00F72952">
        <w:rPr>
          <w:rFonts w:ascii="Arial" w:hAnsi="Arial" w:cs="Arial"/>
          <w:lang w:val="en-AU"/>
        </w:rPr>
        <w:t xml:space="preserve"> accessed September 2023.</w:t>
      </w:r>
      <w:r w:rsidRPr="00F72952">
        <w:rPr>
          <w:rFonts w:ascii="Arial" w:hAnsi="Arial" w:cs="Arial"/>
          <w:u w:val="single"/>
          <w:lang w:val="en-AU"/>
        </w:rPr>
        <w:t xml:space="preserve"> </w:t>
      </w:r>
    </w:p>
    <w:p w14:paraId="5261A30F" w14:textId="4963FD3C" w:rsidR="00F72952" w:rsidRPr="00F72952" w:rsidRDefault="00F72952" w:rsidP="00F72952">
      <w:pPr>
        <w:rPr>
          <w:rFonts w:ascii="Arial" w:hAnsi="Arial" w:cs="Arial"/>
          <w:i/>
          <w:iCs/>
          <w:lang w:val="en-GB"/>
        </w:rPr>
      </w:pPr>
      <w:r w:rsidRPr="00F72952">
        <w:rPr>
          <w:rFonts w:ascii="Arial" w:hAnsi="Arial" w:cs="Arial"/>
          <w:lang w:val="en-GB"/>
        </w:rPr>
        <w:t xml:space="preserve">Heart Foundation New Zealand (2023) </w:t>
      </w:r>
      <w:hyperlink r:id="rId56" w:history="1">
        <w:r w:rsidRPr="00F72952">
          <w:rPr>
            <w:rStyle w:val="Hyperlink"/>
            <w:rFonts w:ascii="Arial" w:hAnsi="Arial" w:cs="Arial"/>
            <w:i/>
            <w:iCs/>
            <w:lang w:val="en-AU" w:bidi="en-US"/>
          </w:rPr>
          <w:t>Understanding Body Mass Index</w:t>
        </w:r>
      </w:hyperlink>
      <w:r w:rsidRPr="00F72952">
        <w:rPr>
          <w:rFonts w:ascii="Arial" w:hAnsi="Arial" w:cs="Arial"/>
          <w:lang w:val="en-AU"/>
        </w:rPr>
        <w:t>, accessed September 2023.</w:t>
      </w:r>
    </w:p>
    <w:p w14:paraId="11A29205" w14:textId="64DD95D5" w:rsidR="00F72952" w:rsidRDefault="00F72952" w:rsidP="00F72952">
      <w:pPr>
        <w:rPr>
          <w:rFonts w:ascii="Arial" w:hAnsi="Arial" w:cs="Arial"/>
          <w:lang w:val="en-AU"/>
        </w:rPr>
      </w:pPr>
      <w:r w:rsidRPr="00F72952">
        <w:rPr>
          <w:rFonts w:ascii="Arial" w:hAnsi="Arial" w:cs="Arial"/>
          <w:lang w:val="en-GB"/>
        </w:rPr>
        <w:t xml:space="preserve">IBIS World 2023, various generated reports on alcoholic beverages industry, paid subscription: </w:t>
      </w:r>
      <w:hyperlink r:id="rId57" w:history="1">
        <w:r w:rsidRPr="00F72952">
          <w:rPr>
            <w:rStyle w:val="Hyperlink"/>
            <w:rFonts w:ascii="Arial" w:hAnsi="Arial" w:cs="Arial"/>
            <w:i/>
            <w:iCs/>
            <w:lang w:val="en-GB"/>
          </w:rPr>
          <w:t>IBISWorld - Industry Market Research</w:t>
        </w:r>
      </w:hyperlink>
      <w:r w:rsidRPr="00F72952">
        <w:rPr>
          <w:rFonts w:ascii="Arial" w:hAnsi="Arial" w:cs="Arial"/>
          <w:lang w:val="en-GB"/>
        </w:rPr>
        <w:t>,</w:t>
      </w:r>
      <w:r w:rsidRPr="00F72952">
        <w:rPr>
          <w:rFonts w:ascii="Arial" w:hAnsi="Arial" w:cs="Arial"/>
          <w:lang w:val="en-AU"/>
        </w:rPr>
        <w:t xml:space="preserve"> accessed February 2024.</w:t>
      </w:r>
    </w:p>
    <w:p w14:paraId="63898FEB" w14:textId="429A0A6C" w:rsidR="00555667" w:rsidRPr="00555667" w:rsidRDefault="00555667" w:rsidP="00555667">
      <w:pPr>
        <w:rPr>
          <w:rFonts w:ascii="Arial" w:hAnsi="Arial" w:cs="Arial"/>
          <w:i/>
          <w:iCs/>
          <w:lang w:val="en-GB"/>
        </w:rPr>
      </w:pPr>
      <w:r w:rsidRPr="00555667">
        <w:rPr>
          <w:rFonts w:ascii="Arial" w:hAnsi="Arial" w:cs="Arial"/>
          <w:lang w:val="en-GB"/>
        </w:rPr>
        <w:t xml:space="preserve">IBISWorld (IBISWorld Pty Ltd) (2024a) </w:t>
      </w:r>
      <w:hyperlink r:id="rId58" w:history="1">
        <w:r w:rsidRPr="00555667">
          <w:rPr>
            <w:rStyle w:val="Hyperlink"/>
            <w:rFonts w:ascii="Arial" w:hAnsi="Arial" w:cs="Arial"/>
            <w:i/>
            <w:iCs/>
            <w:lang w:val="en-GB"/>
          </w:rPr>
          <w:t>Business Environment Profiles - Australia; Health Consciousness</w:t>
        </w:r>
      </w:hyperlink>
      <w:r w:rsidRPr="00555667">
        <w:rPr>
          <w:rFonts w:ascii="Arial" w:hAnsi="Arial" w:cs="Arial"/>
          <w:i/>
          <w:iCs/>
          <w:lang w:val="en-GB"/>
        </w:rPr>
        <w:t xml:space="preserve">, </w:t>
      </w:r>
      <w:r w:rsidRPr="00555667">
        <w:rPr>
          <w:rFonts w:ascii="Arial" w:hAnsi="Arial" w:cs="Arial"/>
          <w:lang w:val="en-GB"/>
        </w:rPr>
        <w:t>accessed October 2024</w:t>
      </w:r>
      <w:r w:rsidRPr="00555667">
        <w:rPr>
          <w:rFonts w:ascii="Arial" w:hAnsi="Arial" w:cs="Arial"/>
          <w:i/>
          <w:iCs/>
          <w:lang w:val="en-GB"/>
        </w:rPr>
        <w:t>.</w:t>
      </w:r>
    </w:p>
    <w:p w14:paraId="356F1B41" w14:textId="6B63466C" w:rsidR="00555667" w:rsidRPr="00555667" w:rsidRDefault="00555667" w:rsidP="00F72952">
      <w:pPr>
        <w:rPr>
          <w:rFonts w:ascii="Arial" w:hAnsi="Arial" w:cs="Arial"/>
          <w:lang w:val="en-GB"/>
        </w:rPr>
      </w:pPr>
      <w:r w:rsidRPr="00555667">
        <w:rPr>
          <w:rFonts w:ascii="Arial" w:hAnsi="Arial" w:cs="Arial"/>
          <w:lang w:val="en-GB"/>
        </w:rPr>
        <w:t xml:space="preserve">IBISWorld (2024b) </w:t>
      </w:r>
      <w:hyperlink r:id="rId59">
        <w:r w:rsidRPr="00555667">
          <w:rPr>
            <w:rStyle w:val="Hyperlink"/>
            <w:rFonts w:ascii="Arial" w:hAnsi="Arial" w:cs="Arial"/>
            <w:i/>
            <w:iCs/>
            <w:lang w:val="en-GB"/>
          </w:rPr>
          <w:t>Business Environment Profiles – Australia; Per Capita Alcohol Consumption</w:t>
        </w:r>
      </w:hyperlink>
      <w:r w:rsidRPr="00555667">
        <w:rPr>
          <w:rFonts w:ascii="Arial" w:hAnsi="Arial" w:cs="Arial"/>
          <w:lang w:val="en-GB"/>
        </w:rPr>
        <w:t>, accessed September 2024.</w:t>
      </w:r>
    </w:p>
    <w:p w14:paraId="3A58F978" w14:textId="4C9AEC54" w:rsidR="00F72952" w:rsidRPr="00F72952" w:rsidRDefault="00F72952" w:rsidP="00F72952">
      <w:pPr>
        <w:rPr>
          <w:rFonts w:ascii="Arial" w:hAnsi="Arial" w:cs="Arial"/>
          <w:lang w:val="en-AU"/>
        </w:rPr>
      </w:pPr>
      <w:r w:rsidRPr="00F72952">
        <w:rPr>
          <w:rFonts w:ascii="Arial" w:hAnsi="Arial" w:cs="Arial"/>
          <w:lang w:val="en-AU"/>
        </w:rPr>
        <w:t>MarsdenJacob Consultants (2021)</w:t>
      </w:r>
      <w:r w:rsidRPr="00F72952">
        <w:rPr>
          <w:rFonts w:ascii="Arial" w:hAnsi="Arial" w:cs="Arial"/>
          <w:lang w:val="en-GB"/>
        </w:rPr>
        <w:t xml:space="preserve"> </w:t>
      </w:r>
      <w:hyperlink r:id="rId60" w:history="1">
        <w:r w:rsidRPr="00F72952">
          <w:rPr>
            <w:rStyle w:val="Hyperlink"/>
            <w:rFonts w:ascii="Arial" w:hAnsi="Arial" w:cs="Arial"/>
            <w:i/>
            <w:iCs/>
            <w:lang w:val="en-AU"/>
          </w:rPr>
          <w:t>Cost of labelling model - alcohol - report for FSANZ</w:t>
        </w:r>
      </w:hyperlink>
      <w:r w:rsidRPr="00F72952">
        <w:rPr>
          <w:rFonts w:ascii="Arial" w:hAnsi="Arial" w:cs="Arial"/>
          <w:lang w:val="en-AU"/>
        </w:rPr>
        <w:t xml:space="preserve">, accessed September 2021.  </w:t>
      </w:r>
    </w:p>
    <w:p w14:paraId="513783A2" w14:textId="1ABA4FAF" w:rsidR="00F72952" w:rsidRPr="00F72952" w:rsidRDefault="00F72952" w:rsidP="00F72952">
      <w:pPr>
        <w:rPr>
          <w:rFonts w:ascii="Arial" w:hAnsi="Arial" w:cs="Arial"/>
          <w:lang w:val="en-AU"/>
        </w:rPr>
      </w:pPr>
      <w:r w:rsidRPr="00F72952">
        <w:rPr>
          <w:rFonts w:ascii="Arial" w:hAnsi="Arial" w:cs="Arial"/>
          <w:lang w:val="en-AU"/>
        </w:rPr>
        <w:t xml:space="preserve">New Zealand Ministry of Health (2019) </w:t>
      </w:r>
      <w:hyperlink r:id="rId61" w:history="1">
        <w:r w:rsidRPr="00F72952">
          <w:rPr>
            <w:rStyle w:val="Hyperlink"/>
            <w:rFonts w:ascii="Arial" w:hAnsi="Arial" w:cs="Arial"/>
            <w:i/>
            <w:iCs/>
            <w:lang w:val="en-AU"/>
          </w:rPr>
          <w:t>New Zealand Health Survey Annual Data Explorer 2018/19</w:t>
        </w:r>
      </w:hyperlink>
      <w:r w:rsidRPr="00F72952">
        <w:rPr>
          <w:rFonts w:ascii="Arial" w:hAnsi="Arial" w:cs="Arial"/>
          <w:lang w:val="en-AU"/>
        </w:rPr>
        <w:t xml:space="preserve">, accessed </w:t>
      </w:r>
      <w:r w:rsidR="00D46598">
        <w:rPr>
          <w:rFonts w:ascii="Arial" w:hAnsi="Arial" w:cs="Arial"/>
          <w:lang w:val="en-AU"/>
        </w:rPr>
        <w:t>February 2023</w:t>
      </w:r>
      <w:r w:rsidRPr="00F72952">
        <w:rPr>
          <w:rFonts w:ascii="Arial" w:hAnsi="Arial" w:cs="Arial"/>
          <w:lang w:val="en-AU"/>
        </w:rPr>
        <w:t xml:space="preserve">. </w:t>
      </w:r>
    </w:p>
    <w:p w14:paraId="7629FB90" w14:textId="6271E82F" w:rsidR="00F72952" w:rsidRPr="00F72952" w:rsidRDefault="00F72952" w:rsidP="00F72952">
      <w:pPr>
        <w:rPr>
          <w:rFonts w:ascii="Arial" w:hAnsi="Arial" w:cs="Arial"/>
          <w:lang w:val="en-AU"/>
        </w:rPr>
      </w:pPr>
      <w:r w:rsidRPr="00F72952">
        <w:rPr>
          <w:rFonts w:ascii="Arial" w:hAnsi="Arial" w:cs="Arial"/>
          <w:lang w:val="en-AU"/>
        </w:rPr>
        <w:t xml:space="preserve">New Zealand Ministry of Health (2020) </w:t>
      </w:r>
      <w:hyperlink r:id="rId62" w:anchor=":%7E:text=December%202020%20update%20The%20Eating%20and%20Activity%20Guidelines,adults%20remain%20the%20same%20and%20were%20not%20reviewed." w:history="1">
        <w:r w:rsidRPr="00F72952">
          <w:rPr>
            <w:rStyle w:val="Hyperlink"/>
            <w:rFonts w:ascii="Arial" w:hAnsi="Arial" w:cs="Arial"/>
            <w:i/>
            <w:iCs/>
            <w:lang w:val="en-AU"/>
          </w:rPr>
          <w:t>Eating and Activity Guidelines for New Zealand Adults</w:t>
        </w:r>
      </w:hyperlink>
      <w:r w:rsidRPr="00F72952">
        <w:rPr>
          <w:rFonts w:ascii="Arial" w:hAnsi="Arial" w:cs="Arial"/>
          <w:lang w:val="en-AU"/>
        </w:rPr>
        <w:t xml:space="preserve">, accessed </w:t>
      </w:r>
      <w:r w:rsidR="00D46598">
        <w:rPr>
          <w:rFonts w:ascii="Arial" w:hAnsi="Arial" w:cs="Arial"/>
          <w:lang w:val="en-AU"/>
        </w:rPr>
        <w:t>February 2023</w:t>
      </w:r>
      <w:r w:rsidRPr="00F72952">
        <w:rPr>
          <w:rFonts w:ascii="Arial" w:hAnsi="Arial" w:cs="Arial"/>
          <w:lang w:val="en-AU"/>
        </w:rPr>
        <w:t xml:space="preserve">. </w:t>
      </w:r>
    </w:p>
    <w:p w14:paraId="1F417AEB" w14:textId="323742D8" w:rsidR="00F72952" w:rsidRPr="00F72952" w:rsidRDefault="00F72952" w:rsidP="00F72952">
      <w:pPr>
        <w:rPr>
          <w:rFonts w:ascii="Arial" w:hAnsi="Arial" w:cs="Arial"/>
          <w:lang w:val="en-AU"/>
        </w:rPr>
      </w:pPr>
      <w:r w:rsidRPr="00F72952">
        <w:rPr>
          <w:rFonts w:ascii="Arial" w:hAnsi="Arial" w:cs="Arial"/>
          <w:lang w:val="en-AU"/>
        </w:rPr>
        <w:t xml:space="preserve">New Zealand Ministry of Health (2023) </w:t>
      </w:r>
      <w:hyperlink r:id="rId63" w:anchor="!/explore-indicators" w:history="1">
        <w:r w:rsidRPr="00F72952">
          <w:rPr>
            <w:rStyle w:val="Hyperlink"/>
            <w:rFonts w:ascii="Arial" w:hAnsi="Arial" w:cs="Arial"/>
            <w:i/>
            <w:iCs/>
            <w:lang w:val="en-AU"/>
          </w:rPr>
          <w:t>New Zealand Health Survey Annual Data Explorer 2022/23</w:t>
        </w:r>
      </w:hyperlink>
      <w:r w:rsidRPr="00F72952">
        <w:rPr>
          <w:rFonts w:ascii="Arial" w:hAnsi="Arial" w:cs="Arial"/>
          <w:lang w:val="en-AU"/>
        </w:rPr>
        <w:t>, accessed May 2024.</w:t>
      </w:r>
    </w:p>
    <w:p w14:paraId="0075BAE1" w14:textId="3FDE89E3" w:rsidR="00F72952" w:rsidRPr="00F72952" w:rsidRDefault="00F72952" w:rsidP="00F72952">
      <w:pPr>
        <w:rPr>
          <w:rFonts w:ascii="Arial" w:hAnsi="Arial" w:cs="Arial"/>
          <w:lang w:val="en-AU"/>
        </w:rPr>
      </w:pPr>
      <w:r w:rsidRPr="00F72952">
        <w:rPr>
          <w:rFonts w:ascii="Arial" w:hAnsi="Arial" w:cs="Arial"/>
          <w:lang w:val="en-AU"/>
        </w:rPr>
        <w:t xml:space="preserve">NHMRC (National Health and Medical Research Council), Australian Government Department of Health and Ageing, &amp; New Zealand Ministry of Health (2006) </w:t>
      </w:r>
      <w:hyperlink r:id="rId64" w:history="1">
        <w:r w:rsidRPr="00F72952">
          <w:rPr>
            <w:rStyle w:val="Hyperlink"/>
            <w:rFonts w:ascii="Arial" w:hAnsi="Arial" w:cs="Arial"/>
            <w:i/>
            <w:iCs/>
            <w:lang w:val="en-AU"/>
          </w:rPr>
          <w:t>Nutrient Reference Values for Australia and New Zealand</w:t>
        </w:r>
      </w:hyperlink>
      <w:r w:rsidRPr="00F72952">
        <w:rPr>
          <w:rFonts w:ascii="Arial" w:hAnsi="Arial" w:cs="Arial"/>
          <w:lang w:val="en-AU"/>
        </w:rPr>
        <w:t xml:space="preserve">. Canberra, Australia: National Health and Medical Research Council, accessed August 2024. </w:t>
      </w:r>
    </w:p>
    <w:p w14:paraId="69926FCD" w14:textId="0DE63012" w:rsidR="00F72952" w:rsidRPr="00F72952" w:rsidRDefault="00F72952" w:rsidP="00F72952">
      <w:pPr>
        <w:rPr>
          <w:rFonts w:ascii="Arial" w:hAnsi="Arial" w:cs="Arial"/>
          <w:lang w:val="en-AU"/>
        </w:rPr>
      </w:pPr>
      <w:r w:rsidRPr="00F72952">
        <w:rPr>
          <w:rFonts w:ascii="Arial" w:hAnsi="Arial" w:cs="Arial"/>
          <w:lang w:val="en-AU"/>
        </w:rPr>
        <w:lastRenderedPageBreak/>
        <w:t xml:space="preserve">NHMRC (2013) </w:t>
      </w:r>
      <w:hyperlink r:id="rId65" w:history="1">
        <w:r w:rsidRPr="00F72952">
          <w:rPr>
            <w:rStyle w:val="Hyperlink"/>
            <w:rFonts w:ascii="Arial" w:hAnsi="Arial" w:cs="Arial"/>
            <w:i/>
            <w:iCs/>
            <w:lang w:val="en-AU"/>
          </w:rPr>
          <w:t>Australian Dietary Guidelines</w:t>
        </w:r>
      </w:hyperlink>
      <w:r w:rsidRPr="00F72952">
        <w:rPr>
          <w:rFonts w:ascii="Arial" w:hAnsi="Arial" w:cs="Arial"/>
          <w:lang w:val="en-AU"/>
        </w:rPr>
        <w:t>, accessed April 2021.</w:t>
      </w:r>
    </w:p>
    <w:p w14:paraId="457BDD98" w14:textId="74200868" w:rsidR="00F72952" w:rsidRPr="00F72952" w:rsidRDefault="00F72952" w:rsidP="00F72952">
      <w:pPr>
        <w:rPr>
          <w:rFonts w:ascii="Arial" w:hAnsi="Arial" w:cs="Arial"/>
          <w:lang w:val="en-GB"/>
        </w:rPr>
      </w:pPr>
      <w:r w:rsidRPr="00F72952">
        <w:rPr>
          <w:rFonts w:ascii="Arial" w:hAnsi="Arial" w:cs="Arial"/>
          <w:lang w:val="en-GB"/>
        </w:rPr>
        <w:t xml:space="preserve">NZIER (New Zealand Institute of Economic Research) (2015) </w:t>
      </w:r>
      <w:hyperlink r:id="rId66" w:history="1">
        <w:r w:rsidRPr="00F72952">
          <w:rPr>
            <w:rStyle w:val="Hyperlink"/>
            <w:rFonts w:ascii="Arial" w:hAnsi="Arial" w:cs="Arial"/>
            <w:i/>
            <w:iCs/>
            <w:lang w:val="en-GB"/>
          </w:rPr>
          <w:t>The net benefits of energy labelling on alcoholic beverages: Cost benefit analysis of the impacts of mandatory labelling of energy content on alcoholic beverages</w:t>
        </w:r>
        <w:r w:rsidRPr="00F72952">
          <w:rPr>
            <w:rStyle w:val="Hyperlink"/>
            <w:rFonts w:ascii="Arial" w:hAnsi="Arial" w:cs="Arial"/>
            <w:lang w:val="en-GB"/>
          </w:rPr>
          <w:t>,</w:t>
        </w:r>
      </w:hyperlink>
      <w:r w:rsidRPr="00F72952">
        <w:rPr>
          <w:rFonts w:ascii="Arial" w:hAnsi="Arial" w:cs="Arial"/>
          <w:lang w:val="en-GB"/>
        </w:rPr>
        <w:t xml:space="preserve"> accessed </w:t>
      </w:r>
      <w:r w:rsidR="008B3326">
        <w:rPr>
          <w:rFonts w:ascii="Arial" w:hAnsi="Arial" w:cs="Arial"/>
          <w:lang w:val="en-AU"/>
        </w:rPr>
        <w:t>February 2023</w:t>
      </w:r>
      <w:r w:rsidRPr="00F72952">
        <w:rPr>
          <w:rFonts w:ascii="Arial" w:hAnsi="Arial" w:cs="Arial"/>
          <w:lang w:val="en-GB"/>
        </w:rPr>
        <w:t>.</w:t>
      </w:r>
    </w:p>
    <w:p w14:paraId="222DEBB2" w14:textId="35864962" w:rsidR="00F72952" w:rsidRDefault="00F72952" w:rsidP="00F72952">
      <w:pPr>
        <w:rPr>
          <w:rFonts w:ascii="Arial" w:hAnsi="Arial" w:cs="Arial"/>
          <w:lang w:val="en-GB"/>
        </w:rPr>
      </w:pPr>
      <w:r w:rsidRPr="00F72952">
        <w:rPr>
          <w:rFonts w:ascii="Arial" w:hAnsi="Arial" w:cs="Arial"/>
          <w:lang w:val="en-GB"/>
        </w:rPr>
        <w:t xml:space="preserve">Obesity Collective (the) (2018) </w:t>
      </w:r>
      <w:hyperlink r:id="rId67" w:history="1">
        <w:r w:rsidRPr="00F72952">
          <w:rPr>
            <w:rStyle w:val="Hyperlink"/>
            <w:rFonts w:ascii="Arial" w:hAnsi="Arial" w:cs="Arial"/>
            <w:i/>
            <w:iCs/>
            <w:lang w:val="en-GB"/>
          </w:rPr>
          <w:t>Weighing in: Australia's growing obesity epidemic</w:t>
        </w:r>
      </w:hyperlink>
      <w:r w:rsidRPr="00F72952">
        <w:rPr>
          <w:rFonts w:ascii="Arial" w:hAnsi="Arial" w:cs="Arial"/>
          <w:lang w:val="en-GB"/>
        </w:rPr>
        <w:t xml:space="preserve">, accessed </w:t>
      </w:r>
      <w:r w:rsidR="008B3326">
        <w:rPr>
          <w:rFonts w:ascii="Arial" w:hAnsi="Arial" w:cs="Arial"/>
          <w:lang w:val="en-AU"/>
        </w:rPr>
        <w:t>February 2023</w:t>
      </w:r>
      <w:r w:rsidRPr="00F72952">
        <w:rPr>
          <w:rFonts w:ascii="Arial" w:hAnsi="Arial" w:cs="Arial"/>
          <w:lang w:val="en-GB"/>
        </w:rPr>
        <w:t xml:space="preserve">. </w:t>
      </w:r>
    </w:p>
    <w:p w14:paraId="15FA312A" w14:textId="41A73B2D" w:rsidR="00A7330A" w:rsidRDefault="00A7330A" w:rsidP="00F72952">
      <w:pPr>
        <w:rPr>
          <w:rFonts w:ascii="Arial" w:hAnsi="Arial" w:cs="Arial"/>
          <w:lang w:val="en-GB"/>
        </w:rPr>
      </w:pPr>
      <w:r w:rsidRPr="00A7330A">
        <w:rPr>
          <w:rFonts w:ascii="Arial" w:hAnsi="Arial" w:cs="Arial"/>
          <w:lang w:val="en-GB"/>
        </w:rPr>
        <w:t>OECD (2019)</w:t>
      </w:r>
      <w:r>
        <w:t xml:space="preserve"> </w:t>
      </w:r>
      <w:hyperlink r:id="rId68" w:history="1">
        <w:r w:rsidRPr="00A7330A">
          <w:rPr>
            <w:rStyle w:val="Hyperlink"/>
            <w:rFonts w:ascii="Arial" w:hAnsi="Arial" w:cs="Arial"/>
            <w:i/>
            <w:iCs/>
            <w:lang w:val="en-GB"/>
          </w:rPr>
          <w:t>The Heavy Burden of Obesity</w:t>
        </w:r>
      </w:hyperlink>
      <w:r w:rsidRPr="00A7330A">
        <w:rPr>
          <w:rFonts w:ascii="Arial" w:hAnsi="Arial" w:cs="Arial"/>
          <w:lang w:val="en-GB"/>
        </w:rPr>
        <w:t>, accessed November 2023.</w:t>
      </w:r>
    </w:p>
    <w:p w14:paraId="7CB308BF" w14:textId="2382651A" w:rsidR="00642825" w:rsidRDefault="00642825" w:rsidP="00F72952">
      <w:pPr>
        <w:rPr>
          <w:rFonts w:ascii="Arial" w:hAnsi="Arial" w:cs="Arial"/>
          <w:lang w:val="en-GB"/>
        </w:rPr>
      </w:pPr>
      <w:r>
        <w:rPr>
          <w:rFonts w:ascii="Arial" w:hAnsi="Arial" w:cs="Arial"/>
          <w:lang w:val="en-GB"/>
        </w:rPr>
        <w:t>Office of Fair Trading (20</w:t>
      </w:r>
      <w:r w:rsidR="006579A4">
        <w:rPr>
          <w:rFonts w:ascii="Arial" w:hAnsi="Arial" w:cs="Arial"/>
          <w:lang w:val="en-GB"/>
        </w:rPr>
        <w:t>14</w:t>
      </w:r>
      <w:r>
        <w:rPr>
          <w:rFonts w:ascii="Arial" w:hAnsi="Arial" w:cs="Arial"/>
          <w:lang w:val="en-GB"/>
        </w:rPr>
        <w:t xml:space="preserve">) </w:t>
      </w:r>
      <w:hyperlink r:id="rId69" w:history="1">
        <w:r>
          <w:rPr>
            <w:rStyle w:val="Hyperlink"/>
            <w:rFonts w:ascii="Arial" w:hAnsi="Arial" w:cs="Arial"/>
            <w:i/>
            <w:iCs/>
            <w:lang w:val="en-GB"/>
          </w:rPr>
          <w:t>Cost pass-through: theory, measurement and policy implications</w:t>
        </w:r>
      </w:hyperlink>
      <w:r w:rsidRPr="005300D6">
        <w:rPr>
          <w:rFonts w:ascii="Arial" w:hAnsi="Arial" w:cs="Arial"/>
          <w:lang w:val="en-GB"/>
        </w:rPr>
        <w:t xml:space="preserve">, </w:t>
      </w:r>
      <w:r w:rsidRPr="00F72952">
        <w:rPr>
          <w:rFonts w:ascii="Arial" w:hAnsi="Arial" w:cs="Arial"/>
          <w:lang w:val="en-GB"/>
        </w:rPr>
        <w:t xml:space="preserve">accessed </w:t>
      </w:r>
      <w:r>
        <w:rPr>
          <w:rFonts w:ascii="Arial" w:hAnsi="Arial" w:cs="Arial"/>
          <w:lang w:val="en-AU"/>
        </w:rPr>
        <w:t>February 2023</w:t>
      </w:r>
      <w:r w:rsidRPr="00F72952">
        <w:rPr>
          <w:rFonts w:ascii="Arial" w:hAnsi="Arial" w:cs="Arial"/>
          <w:lang w:val="en-GB"/>
        </w:rPr>
        <w:t>.</w:t>
      </w:r>
    </w:p>
    <w:p w14:paraId="3CF3A68A" w14:textId="73DB0731" w:rsidR="00502E7E" w:rsidRDefault="00502E7E" w:rsidP="00F72952">
      <w:pPr>
        <w:rPr>
          <w:rFonts w:ascii="Arial" w:hAnsi="Arial" w:cs="Arial"/>
          <w:lang w:val="en-GB"/>
        </w:rPr>
      </w:pPr>
      <w:r>
        <w:rPr>
          <w:rFonts w:ascii="Arial" w:hAnsi="Arial" w:cs="Arial"/>
        </w:rPr>
        <w:t xml:space="preserve">Office of Impact </w:t>
      </w:r>
      <w:r w:rsidR="00732943">
        <w:rPr>
          <w:rFonts w:ascii="Arial" w:hAnsi="Arial" w:cs="Arial"/>
        </w:rPr>
        <w:t>Analysis</w:t>
      </w:r>
      <w:r w:rsidR="00FA2E52">
        <w:rPr>
          <w:rFonts w:ascii="Arial" w:hAnsi="Arial" w:cs="Arial"/>
        </w:rPr>
        <w:t>’</w:t>
      </w:r>
      <w:r w:rsidR="007D78D7">
        <w:rPr>
          <w:rFonts w:ascii="Arial" w:hAnsi="Arial" w:cs="Arial"/>
        </w:rPr>
        <w:t xml:space="preserve"> (OIA) Guide</w:t>
      </w:r>
      <w:r w:rsidR="00732943">
        <w:rPr>
          <w:rFonts w:ascii="Arial" w:hAnsi="Arial" w:cs="Arial"/>
        </w:rPr>
        <w:t xml:space="preserve"> (2023) </w:t>
      </w:r>
      <w:hyperlink r:id="rId70" w:history="1">
        <w:r w:rsidR="00732943" w:rsidRPr="00642825">
          <w:rPr>
            <w:rStyle w:val="Hyperlink"/>
            <w:rFonts w:ascii="Arial" w:hAnsi="Arial" w:cs="Arial"/>
            <w:i/>
            <w:iCs/>
            <w:lang w:val="en-GB"/>
          </w:rPr>
          <w:t>Regulatory Impact Analysis Guide for Ministers’ Meetings and National Standard Setting Bodies</w:t>
        </w:r>
      </w:hyperlink>
      <w:r w:rsidR="00732943">
        <w:rPr>
          <w:rFonts w:ascii="Arial" w:hAnsi="Arial" w:cs="Arial"/>
          <w:lang w:val="en-GB"/>
        </w:rPr>
        <w:t>, accessed July 2023</w:t>
      </w:r>
      <w:r w:rsidR="008034EF">
        <w:rPr>
          <w:rFonts w:ascii="Arial" w:hAnsi="Arial" w:cs="Arial"/>
          <w:lang w:val="en-GB"/>
        </w:rPr>
        <w:t>.</w:t>
      </w:r>
    </w:p>
    <w:p w14:paraId="69507B92" w14:textId="304D5A99" w:rsidR="009B5F86" w:rsidRPr="00206865" w:rsidRDefault="009B5F86" w:rsidP="00F72952">
      <w:pPr>
        <w:rPr>
          <w:rFonts w:ascii="Arial" w:hAnsi="Arial" w:cs="Arial"/>
          <w:lang w:val="en-AU"/>
        </w:rPr>
      </w:pPr>
      <w:r w:rsidRPr="00F72952">
        <w:rPr>
          <w:rFonts w:ascii="Arial" w:hAnsi="Arial" w:cs="Arial"/>
          <w:lang w:val="en-AU"/>
        </w:rPr>
        <w:t>O</w:t>
      </w:r>
      <w:r>
        <w:rPr>
          <w:rFonts w:ascii="Arial" w:hAnsi="Arial" w:cs="Arial"/>
          <w:lang w:val="en-AU"/>
        </w:rPr>
        <w:t xml:space="preserve">FX (2024) </w:t>
      </w:r>
      <w:hyperlink r:id="rId71" w:history="1">
        <w:r>
          <w:rPr>
            <w:rStyle w:val="Hyperlink"/>
            <w:rFonts w:ascii="Arial" w:hAnsi="Arial" w:cs="Arial"/>
            <w:i/>
            <w:iCs/>
            <w:lang w:val="en-AU"/>
          </w:rPr>
          <w:t>Yearly average exchange rates between Australian dollars and New Zealand dollars</w:t>
        </w:r>
      </w:hyperlink>
      <w:r w:rsidRPr="00F72952">
        <w:rPr>
          <w:rFonts w:ascii="Arial" w:hAnsi="Arial" w:cs="Arial"/>
          <w:lang w:val="en-AU"/>
        </w:rPr>
        <w:t xml:space="preserve">, accessed </w:t>
      </w:r>
      <w:r>
        <w:rPr>
          <w:rFonts w:ascii="Arial" w:hAnsi="Arial" w:cs="Arial"/>
          <w:lang w:val="en-AU"/>
        </w:rPr>
        <w:t>August 2024</w:t>
      </w:r>
      <w:r w:rsidRPr="00F72952">
        <w:rPr>
          <w:rFonts w:ascii="Arial" w:hAnsi="Arial" w:cs="Arial"/>
          <w:lang w:val="en-AU"/>
        </w:rPr>
        <w:t>.</w:t>
      </w:r>
    </w:p>
    <w:p w14:paraId="6476FF5E" w14:textId="423DA507" w:rsidR="00F72952" w:rsidRPr="00F72952" w:rsidRDefault="00F72952" w:rsidP="00F72952">
      <w:pPr>
        <w:rPr>
          <w:rFonts w:ascii="Arial" w:hAnsi="Arial" w:cs="Arial"/>
          <w:lang w:val="en-AU"/>
        </w:rPr>
      </w:pPr>
      <w:r w:rsidRPr="00F72952">
        <w:rPr>
          <w:rFonts w:ascii="Arial" w:hAnsi="Arial" w:cs="Arial"/>
          <w:lang w:val="en-GB"/>
        </w:rPr>
        <w:t xml:space="preserve">PricewaterhouseCoopers (PwC) (2015) </w:t>
      </w:r>
      <w:hyperlink r:id="rId72" w:history="1">
        <w:r w:rsidRPr="00F72952">
          <w:rPr>
            <w:rStyle w:val="Hyperlink"/>
            <w:rFonts w:ascii="Arial" w:hAnsi="Arial" w:cs="Arial"/>
            <w:i/>
            <w:iCs/>
            <w:lang w:val="en-AU"/>
          </w:rPr>
          <w:t>Weighing the cost of obesity: A case for action</w:t>
        </w:r>
      </w:hyperlink>
      <w:r w:rsidRPr="00F72952">
        <w:rPr>
          <w:rFonts w:ascii="Arial" w:hAnsi="Arial" w:cs="Arial"/>
          <w:lang w:val="en-AU"/>
        </w:rPr>
        <w:t xml:space="preserve">, </w:t>
      </w:r>
      <w:r w:rsidRPr="00F72952">
        <w:rPr>
          <w:rFonts w:ascii="Arial" w:hAnsi="Arial" w:cs="Arial"/>
          <w:lang w:val="en-GB"/>
        </w:rPr>
        <w:t xml:space="preserve">accessed </w:t>
      </w:r>
      <w:r w:rsidR="008B3326">
        <w:rPr>
          <w:rFonts w:ascii="Arial" w:hAnsi="Arial" w:cs="Arial"/>
          <w:lang w:val="en-AU"/>
        </w:rPr>
        <w:t>February 2023</w:t>
      </w:r>
      <w:r w:rsidR="008B3326" w:rsidRPr="00F72952">
        <w:rPr>
          <w:rFonts w:ascii="Arial" w:hAnsi="Arial" w:cs="Arial"/>
          <w:lang w:val="en-AU"/>
        </w:rPr>
        <w:t xml:space="preserve">. </w:t>
      </w:r>
      <w:r w:rsidRPr="00F72952">
        <w:rPr>
          <w:rFonts w:ascii="Arial" w:hAnsi="Arial" w:cs="Arial"/>
          <w:lang w:val="en-AU"/>
        </w:rPr>
        <w:t xml:space="preserve"> </w:t>
      </w:r>
    </w:p>
    <w:p w14:paraId="709400AA" w14:textId="6401EC5C" w:rsidR="00F72952" w:rsidRPr="00F72952" w:rsidRDefault="00F72952" w:rsidP="00F72952">
      <w:pPr>
        <w:rPr>
          <w:rFonts w:ascii="Arial" w:hAnsi="Arial" w:cs="Arial"/>
          <w:lang w:val="en-GB"/>
        </w:rPr>
      </w:pPr>
      <w:r w:rsidRPr="00F72952">
        <w:rPr>
          <w:rFonts w:ascii="Arial" w:hAnsi="Arial" w:cs="Arial"/>
          <w:lang w:val="en-GB"/>
        </w:rPr>
        <w:t xml:space="preserve">Statistics New Zealand, government department (2021) </w:t>
      </w:r>
      <w:hyperlink r:id="rId73" w:history="1">
        <w:r w:rsidRPr="00F72952">
          <w:rPr>
            <w:rStyle w:val="Hyperlink"/>
            <w:rFonts w:ascii="Arial" w:hAnsi="Arial" w:cs="Arial"/>
            <w:i/>
            <w:iCs/>
            <w:lang w:val="en-GB"/>
          </w:rPr>
          <w:t>Alcohol available for consumption: Year ended December 2020</w:t>
        </w:r>
      </w:hyperlink>
      <w:r w:rsidRPr="00F72952">
        <w:rPr>
          <w:rFonts w:ascii="Arial" w:hAnsi="Arial" w:cs="Arial"/>
          <w:lang w:val="en-GB"/>
        </w:rPr>
        <w:t>, accessed June 2022.</w:t>
      </w:r>
    </w:p>
    <w:p w14:paraId="1EA29FD3" w14:textId="2E0D1C9E" w:rsidR="00CE621F" w:rsidRPr="00F72952" w:rsidRDefault="00F72952" w:rsidP="00F72952">
      <w:pPr>
        <w:rPr>
          <w:rFonts w:ascii="Arial" w:hAnsi="Arial" w:cs="Arial"/>
          <w:lang w:val="en-GB"/>
        </w:rPr>
      </w:pPr>
      <w:r w:rsidRPr="00F72952">
        <w:rPr>
          <w:rFonts w:ascii="Arial" w:hAnsi="Arial" w:cs="Arial"/>
          <w:lang w:val="en-GB"/>
        </w:rPr>
        <w:t>Statistics New Zealand (</w:t>
      </w:r>
      <w:r w:rsidR="00CE621F" w:rsidRPr="00F72952">
        <w:rPr>
          <w:rFonts w:ascii="Arial" w:hAnsi="Arial" w:cs="Arial"/>
          <w:lang w:val="en-GB"/>
        </w:rPr>
        <w:t>202</w:t>
      </w:r>
      <w:r w:rsidR="00F5562D">
        <w:rPr>
          <w:rFonts w:ascii="Arial" w:hAnsi="Arial" w:cs="Arial"/>
          <w:lang w:val="en-GB"/>
        </w:rPr>
        <w:t>4a</w:t>
      </w:r>
      <w:r w:rsidR="00CE621F" w:rsidRPr="00F72952">
        <w:rPr>
          <w:rFonts w:ascii="Arial" w:hAnsi="Arial" w:cs="Arial"/>
          <w:lang w:val="en-GB"/>
        </w:rPr>
        <w:t xml:space="preserve">) </w:t>
      </w:r>
      <w:hyperlink r:id="rId74" w:history="1">
        <w:r w:rsidR="00F5562D" w:rsidRPr="00F5562D">
          <w:rPr>
            <w:rStyle w:val="Hyperlink"/>
            <w:rFonts w:ascii="Arial" w:hAnsi="Arial" w:cs="Arial"/>
            <w:i/>
            <w:iCs/>
          </w:rPr>
          <w:t>Alcohol available for consumption: Year ended December 2023</w:t>
        </w:r>
      </w:hyperlink>
      <w:r w:rsidR="00F5562D">
        <w:rPr>
          <w:rFonts w:ascii="Arial" w:hAnsi="Arial" w:cs="Arial"/>
          <w:i/>
          <w:iCs/>
        </w:rPr>
        <w:t>,</w:t>
      </w:r>
      <w:r w:rsidR="00F5562D">
        <w:t xml:space="preserve"> </w:t>
      </w:r>
      <w:r w:rsidR="00CE621F" w:rsidRPr="00F72952">
        <w:rPr>
          <w:rFonts w:ascii="Arial" w:hAnsi="Arial" w:cs="Arial"/>
          <w:lang w:val="en-GB"/>
        </w:rPr>
        <w:t xml:space="preserve">accessed </w:t>
      </w:r>
      <w:r w:rsidR="00CE621F">
        <w:rPr>
          <w:rFonts w:ascii="Arial" w:hAnsi="Arial" w:cs="Arial"/>
          <w:lang w:val="en-GB"/>
        </w:rPr>
        <w:t xml:space="preserve">September </w:t>
      </w:r>
      <w:r w:rsidRPr="00F72952">
        <w:rPr>
          <w:rFonts w:ascii="Arial" w:hAnsi="Arial" w:cs="Arial"/>
          <w:lang w:val="en-GB"/>
        </w:rPr>
        <w:t>2024</w:t>
      </w:r>
      <w:r w:rsidR="00CE621F" w:rsidRPr="00F72952">
        <w:rPr>
          <w:rFonts w:ascii="Arial" w:hAnsi="Arial" w:cs="Arial"/>
          <w:lang w:val="en-GB"/>
        </w:rPr>
        <w:t>.</w:t>
      </w:r>
    </w:p>
    <w:p w14:paraId="55CBAA52" w14:textId="2E09B97E" w:rsidR="00F72952" w:rsidRDefault="00F72952" w:rsidP="00F72952">
      <w:pPr>
        <w:rPr>
          <w:rFonts w:ascii="Arial" w:hAnsi="Arial" w:cs="Arial"/>
          <w:lang w:val="en-GB"/>
        </w:rPr>
      </w:pPr>
      <w:r w:rsidRPr="00F72952">
        <w:rPr>
          <w:rFonts w:ascii="Arial" w:hAnsi="Arial" w:cs="Arial"/>
          <w:lang w:val="en-GB"/>
        </w:rPr>
        <w:t>Statistics New Zealand (2024</w:t>
      </w:r>
      <w:r w:rsidR="00F5562D">
        <w:rPr>
          <w:rFonts w:ascii="Arial" w:hAnsi="Arial" w:cs="Arial"/>
          <w:lang w:val="en-GB"/>
        </w:rPr>
        <w:t>b</w:t>
      </w:r>
      <w:r w:rsidRPr="00F72952">
        <w:rPr>
          <w:rFonts w:ascii="Arial" w:hAnsi="Arial" w:cs="Arial"/>
          <w:lang w:val="en-GB"/>
        </w:rPr>
        <w:t xml:space="preserve">) </w:t>
      </w:r>
      <w:hyperlink r:id="rId75" w:history="1">
        <w:r w:rsidRPr="00F72952">
          <w:rPr>
            <w:rStyle w:val="Hyperlink"/>
            <w:rFonts w:ascii="Arial" w:hAnsi="Arial" w:cs="Arial"/>
            <w:i/>
            <w:iCs/>
            <w:lang w:val="en-GB"/>
          </w:rPr>
          <w:t>Infoshare Statistics on Population 2024</w:t>
        </w:r>
      </w:hyperlink>
      <w:r w:rsidRPr="00F72952">
        <w:rPr>
          <w:rFonts w:ascii="Arial" w:hAnsi="Arial" w:cs="Arial"/>
          <w:lang w:val="en-GB"/>
        </w:rPr>
        <w:t>, accessed August 2024.</w:t>
      </w:r>
    </w:p>
    <w:p w14:paraId="3E86CEFD" w14:textId="2F8A2530" w:rsidR="00762755" w:rsidRPr="00915809" w:rsidRDefault="00915809" w:rsidP="00F72952">
      <w:pPr>
        <w:rPr>
          <w:rFonts w:ascii="Arial" w:hAnsi="Arial" w:cs="Arial"/>
          <w:lang w:val="en-NZ"/>
        </w:rPr>
      </w:pPr>
      <w:r w:rsidRPr="00915809">
        <w:rPr>
          <w:rFonts w:ascii="Arial" w:hAnsi="Arial" w:cs="Arial"/>
        </w:rPr>
        <w:t>Shangguan</w:t>
      </w:r>
      <w:r>
        <w:rPr>
          <w:rFonts w:ascii="Arial" w:hAnsi="Arial" w:cs="Arial"/>
        </w:rPr>
        <w:t xml:space="preserve"> et al.</w:t>
      </w:r>
      <w:r w:rsidR="00A51563">
        <w:rPr>
          <w:rFonts w:ascii="Arial" w:hAnsi="Arial" w:cs="Arial"/>
        </w:rPr>
        <w:t xml:space="preserve"> (2018)</w:t>
      </w:r>
      <w:r>
        <w:rPr>
          <w:rFonts w:ascii="Arial" w:hAnsi="Arial" w:cs="Arial"/>
        </w:rPr>
        <w:t xml:space="preserve"> </w:t>
      </w:r>
      <w:hyperlink r:id="rId76" w:history="1">
        <w:r w:rsidR="0072451F" w:rsidRPr="0072451F">
          <w:rPr>
            <w:rStyle w:val="Hyperlink"/>
            <w:rFonts w:ascii="Arial" w:hAnsi="Arial" w:cs="Arial"/>
            <w:i/>
            <w:iCs/>
          </w:rPr>
          <w:t>A Meta-analysis of Food Labeling Effects on Consumer Diet Behaviors and Industry Practices</w:t>
        </w:r>
      </w:hyperlink>
      <w:r w:rsidR="00A51563">
        <w:rPr>
          <w:rFonts w:ascii="Arial" w:hAnsi="Arial" w:cs="Arial"/>
          <w:lang w:val="en-NZ"/>
        </w:rPr>
        <w:t xml:space="preserve"> accessed October 2024.</w:t>
      </w:r>
    </w:p>
    <w:p w14:paraId="1EC3FD91" w14:textId="6C4E59E3" w:rsidR="00F32D9A" w:rsidRPr="00F72952" w:rsidRDefault="00F32D9A" w:rsidP="00F72952">
      <w:pPr>
        <w:rPr>
          <w:rFonts w:ascii="Arial" w:hAnsi="Arial" w:cs="Arial"/>
          <w:lang w:val="en-GB"/>
        </w:rPr>
      </w:pPr>
      <w:r>
        <w:rPr>
          <w:rFonts w:ascii="Arial" w:hAnsi="Arial" w:cs="Arial"/>
          <w:lang w:val="en-GB"/>
        </w:rPr>
        <w:t xml:space="preserve">United Nations (2024) </w:t>
      </w:r>
      <w:hyperlink r:id="rId77" w:history="1">
        <w:r w:rsidRPr="00F32D9A">
          <w:rPr>
            <w:rStyle w:val="Hyperlink"/>
            <w:rFonts w:ascii="Arial" w:hAnsi="Arial" w:cs="Arial"/>
            <w:i/>
            <w:iCs/>
          </w:rPr>
          <w:t>UN Population Division Data Portal</w:t>
        </w:r>
      </w:hyperlink>
      <w:r w:rsidRPr="00F72952">
        <w:rPr>
          <w:rFonts w:ascii="Arial" w:hAnsi="Arial" w:cs="Arial"/>
          <w:lang w:val="en-AU"/>
        </w:rPr>
        <w:t xml:space="preserve">, accessed </w:t>
      </w:r>
      <w:r>
        <w:rPr>
          <w:rFonts w:ascii="Arial" w:hAnsi="Arial" w:cs="Arial"/>
          <w:lang w:val="en-AU"/>
        </w:rPr>
        <w:t>March</w:t>
      </w:r>
      <w:r w:rsidRPr="00F72952">
        <w:rPr>
          <w:rFonts w:ascii="Arial" w:hAnsi="Arial" w:cs="Arial"/>
          <w:lang w:val="en-AU"/>
        </w:rPr>
        <w:t xml:space="preserve"> 202</w:t>
      </w:r>
      <w:r>
        <w:rPr>
          <w:rFonts w:ascii="Arial" w:hAnsi="Arial" w:cs="Arial"/>
          <w:lang w:val="en-AU"/>
        </w:rPr>
        <w:t>4</w:t>
      </w:r>
      <w:r w:rsidRPr="00F72952">
        <w:rPr>
          <w:rFonts w:ascii="Arial" w:hAnsi="Arial" w:cs="Arial"/>
          <w:lang w:val="en-AU"/>
        </w:rPr>
        <w:t>.</w:t>
      </w:r>
    </w:p>
    <w:p w14:paraId="3FC60D6F" w14:textId="67637329" w:rsidR="00F72952" w:rsidRPr="00F72952" w:rsidRDefault="00F72952" w:rsidP="00F72952">
      <w:pPr>
        <w:rPr>
          <w:rFonts w:ascii="Arial" w:hAnsi="Arial" w:cs="Arial"/>
          <w:lang w:val="en-AU"/>
        </w:rPr>
      </w:pPr>
      <w:r w:rsidRPr="00F72952">
        <w:rPr>
          <w:rFonts w:ascii="Arial" w:hAnsi="Arial" w:cs="Arial"/>
          <w:lang w:val="en-AU"/>
        </w:rPr>
        <w:t xml:space="preserve">University of Otago and New Zealand Ministry of Health (2011a) </w:t>
      </w:r>
      <w:hyperlink r:id="rId78" w:history="1">
        <w:r w:rsidRPr="00F72952">
          <w:rPr>
            <w:rStyle w:val="Hyperlink"/>
            <w:rFonts w:ascii="Arial" w:hAnsi="Arial" w:cs="Arial"/>
            <w:i/>
            <w:iCs/>
            <w:lang w:val="en-AU"/>
          </w:rPr>
          <w:t>Methodology report for the 2008/09 New Zealand Adult Nutrition Survey</w:t>
        </w:r>
      </w:hyperlink>
      <w:r w:rsidRPr="00F72952">
        <w:rPr>
          <w:rFonts w:ascii="Arial" w:hAnsi="Arial" w:cs="Arial"/>
          <w:lang w:val="en-AU"/>
        </w:rPr>
        <w:t xml:space="preserve">, accessed April 2021. </w:t>
      </w:r>
    </w:p>
    <w:p w14:paraId="51F42D46" w14:textId="21F52897" w:rsidR="00F72952" w:rsidRDefault="00F72952" w:rsidP="00F72952">
      <w:pPr>
        <w:rPr>
          <w:rFonts w:ascii="Arial" w:hAnsi="Arial" w:cs="Arial"/>
          <w:lang w:val="en-AU"/>
        </w:rPr>
      </w:pPr>
      <w:r w:rsidRPr="00F72952">
        <w:rPr>
          <w:rFonts w:ascii="Arial" w:hAnsi="Arial" w:cs="Arial"/>
          <w:lang w:val="en-AU"/>
        </w:rPr>
        <w:t xml:space="preserve">University of Otago and New Zealand Ministry of Health (2011b) </w:t>
      </w:r>
      <w:hyperlink r:id="rId79" w:history="1">
        <w:r w:rsidRPr="00F72952">
          <w:rPr>
            <w:rStyle w:val="Hyperlink"/>
            <w:rFonts w:ascii="Arial" w:hAnsi="Arial" w:cs="Arial"/>
            <w:i/>
            <w:iCs/>
            <w:lang w:val="en-AU"/>
          </w:rPr>
          <w:t>A focus on nutrition: Key findings of the 2008/09 New Zealand Adult Nutrition Survey</w:t>
        </w:r>
      </w:hyperlink>
      <w:r w:rsidRPr="00F72952">
        <w:rPr>
          <w:rFonts w:ascii="Arial" w:hAnsi="Arial" w:cs="Arial"/>
          <w:lang w:val="en-AU"/>
        </w:rPr>
        <w:t>, accessed April 2021.</w:t>
      </w:r>
    </w:p>
    <w:p w14:paraId="1A6EF89D" w14:textId="0E3B1A7D" w:rsidR="00F72952" w:rsidRPr="00F72952" w:rsidRDefault="00F72952" w:rsidP="00F72952">
      <w:pPr>
        <w:rPr>
          <w:rFonts w:ascii="Arial" w:hAnsi="Arial" w:cs="Arial"/>
          <w:lang w:val="en-AU"/>
        </w:rPr>
      </w:pPr>
      <w:r w:rsidRPr="00F72952">
        <w:rPr>
          <w:rFonts w:ascii="Arial" w:hAnsi="Arial" w:cs="Arial"/>
          <w:lang w:val="en-AU"/>
        </w:rPr>
        <w:t xml:space="preserve">Werle, C. O. C., Nohlen, H. U., Pantazi, M., Publications Office of the European Union, Luxembourg (2022) doi:10.2760/553871, JRC128410, </w:t>
      </w:r>
      <w:hyperlink r:id="rId80" w:history="1">
        <w:r w:rsidRPr="00F72952">
          <w:rPr>
            <w:rStyle w:val="Hyperlink"/>
            <w:rFonts w:ascii="Arial" w:hAnsi="Arial" w:cs="Arial"/>
            <w:i/>
            <w:iCs/>
            <w:lang w:val="en-GB"/>
          </w:rPr>
          <w:t>Literature review on means of food information provision other than packaging labels</w:t>
        </w:r>
      </w:hyperlink>
      <w:r w:rsidRPr="00F72952">
        <w:rPr>
          <w:rFonts w:ascii="Arial" w:hAnsi="Arial" w:cs="Arial"/>
          <w:i/>
          <w:iCs/>
          <w:lang w:val="en-GB"/>
        </w:rPr>
        <w:t xml:space="preserve">, </w:t>
      </w:r>
      <w:r w:rsidRPr="00F72952">
        <w:rPr>
          <w:rFonts w:ascii="Arial" w:hAnsi="Arial" w:cs="Arial"/>
          <w:lang w:val="en-GB"/>
        </w:rPr>
        <w:t>accessed August 2024.</w:t>
      </w:r>
    </w:p>
    <w:p w14:paraId="7AC313C9" w14:textId="7C13A216" w:rsidR="00F72952" w:rsidRPr="00F72952" w:rsidRDefault="00F72952" w:rsidP="00F72952">
      <w:pPr>
        <w:rPr>
          <w:rFonts w:ascii="Arial" w:hAnsi="Arial" w:cs="Arial"/>
          <w:lang w:val="en-GB"/>
        </w:rPr>
      </w:pPr>
      <w:r w:rsidRPr="00F72952">
        <w:rPr>
          <w:rFonts w:ascii="Arial" w:hAnsi="Arial" w:cs="Arial"/>
          <w:lang w:val="en-GB"/>
        </w:rPr>
        <w:t xml:space="preserve">WHO (2017) </w:t>
      </w:r>
      <w:hyperlink r:id="rId81" w:history="1">
        <w:r w:rsidRPr="00F72952">
          <w:rPr>
            <w:rStyle w:val="Hyperlink"/>
            <w:rFonts w:ascii="Arial" w:hAnsi="Arial" w:cs="Arial"/>
            <w:i/>
            <w:iCs/>
            <w:lang w:val="en-GB"/>
          </w:rPr>
          <w:t>Alcohol labelling: a discussion document on policy options</w:t>
        </w:r>
      </w:hyperlink>
      <w:r w:rsidRPr="00F72952">
        <w:rPr>
          <w:rFonts w:ascii="Arial" w:hAnsi="Arial" w:cs="Arial"/>
          <w:lang w:val="en-GB"/>
        </w:rPr>
        <w:t xml:space="preserve">, WHO Regional Office for Europe, accessed </w:t>
      </w:r>
      <w:r w:rsidR="00F41BD5">
        <w:rPr>
          <w:rFonts w:ascii="Arial" w:hAnsi="Arial" w:cs="Arial"/>
          <w:lang w:val="en-AU"/>
        </w:rPr>
        <w:t>February 2023</w:t>
      </w:r>
      <w:r w:rsidRPr="00F72952">
        <w:rPr>
          <w:rFonts w:ascii="Arial" w:hAnsi="Arial" w:cs="Arial"/>
          <w:lang w:val="en-GB"/>
        </w:rPr>
        <w:t xml:space="preserve">. </w:t>
      </w:r>
    </w:p>
    <w:p w14:paraId="76E37AEF" w14:textId="24DE0FDA" w:rsidR="00F72952" w:rsidRPr="00F72952" w:rsidRDefault="00F72952" w:rsidP="00F72952">
      <w:pPr>
        <w:rPr>
          <w:rFonts w:ascii="Arial" w:hAnsi="Arial" w:cs="Arial"/>
          <w:lang w:val="en-AU"/>
        </w:rPr>
      </w:pPr>
      <w:r w:rsidRPr="00F72952">
        <w:rPr>
          <w:rFonts w:ascii="Arial" w:hAnsi="Arial" w:cs="Arial"/>
          <w:lang w:val="en-AU"/>
        </w:rPr>
        <w:t xml:space="preserve">WHO (2022a) </w:t>
      </w:r>
      <w:hyperlink r:id="rId82" w:history="1">
        <w:r w:rsidRPr="00F72952">
          <w:rPr>
            <w:rStyle w:val="Hyperlink"/>
            <w:rFonts w:ascii="Arial" w:hAnsi="Arial" w:cs="Arial"/>
            <w:i/>
            <w:iCs/>
            <w:lang w:val="en-AU"/>
          </w:rPr>
          <w:t>Draft action plan (2022-2030) to effectively implement the Global strategy to reduce the harmful use of alcohol as a public health priority</w:t>
        </w:r>
      </w:hyperlink>
      <w:r w:rsidRPr="00F72952">
        <w:rPr>
          <w:rFonts w:ascii="Arial" w:hAnsi="Arial" w:cs="Arial"/>
          <w:lang w:val="en-AU"/>
        </w:rPr>
        <w:t xml:space="preserve">, accessed </w:t>
      </w:r>
      <w:r w:rsidR="00F41BD5">
        <w:rPr>
          <w:rFonts w:ascii="Arial" w:hAnsi="Arial" w:cs="Arial"/>
          <w:lang w:val="en-AU"/>
        </w:rPr>
        <w:t>February 2023</w:t>
      </w:r>
      <w:r w:rsidRPr="00F72952">
        <w:rPr>
          <w:rFonts w:ascii="Arial" w:hAnsi="Arial" w:cs="Arial"/>
          <w:lang w:val="en-AU"/>
        </w:rPr>
        <w:t xml:space="preserve">. </w:t>
      </w:r>
    </w:p>
    <w:p w14:paraId="74FC5674" w14:textId="7C205366" w:rsidR="00F72952" w:rsidRPr="005C096D" w:rsidRDefault="00F72952" w:rsidP="00F72952">
      <w:pPr>
        <w:rPr>
          <w:rFonts w:ascii="Arial" w:hAnsi="Arial" w:cs="Arial"/>
          <w:lang w:val="en-AU"/>
        </w:rPr>
      </w:pPr>
      <w:r w:rsidRPr="00F72952">
        <w:rPr>
          <w:rFonts w:ascii="Arial" w:hAnsi="Arial" w:cs="Arial"/>
          <w:lang w:val="en-AU"/>
        </w:rPr>
        <w:t xml:space="preserve">WHO (2022b) </w:t>
      </w:r>
      <w:hyperlink r:id="rId83" w:history="1">
        <w:r w:rsidRPr="00F72952">
          <w:rPr>
            <w:rStyle w:val="Hyperlink"/>
            <w:rFonts w:ascii="Arial" w:hAnsi="Arial" w:cs="Arial"/>
            <w:i/>
            <w:iCs/>
            <w:lang w:val="en-AU"/>
          </w:rPr>
          <w:t>Seventy-fifth World Health Assembly – Daily update: 27 May 2022</w:t>
        </w:r>
      </w:hyperlink>
      <w:r w:rsidRPr="00F72952">
        <w:rPr>
          <w:rFonts w:ascii="Arial" w:hAnsi="Arial" w:cs="Arial"/>
          <w:lang w:val="en-AU"/>
        </w:rPr>
        <w:t xml:space="preserve">, accessed </w:t>
      </w:r>
      <w:r w:rsidR="00F41BD5">
        <w:rPr>
          <w:rFonts w:ascii="Arial" w:hAnsi="Arial" w:cs="Arial"/>
          <w:lang w:val="en-AU"/>
        </w:rPr>
        <w:t>February 2023</w:t>
      </w:r>
      <w:r w:rsidRPr="00F72952">
        <w:rPr>
          <w:rFonts w:ascii="Arial" w:hAnsi="Arial" w:cs="Arial"/>
          <w:lang w:val="en-AU"/>
        </w:rPr>
        <w:t xml:space="preserve">. </w:t>
      </w:r>
    </w:p>
    <w:sectPr w:rsidR="00F72952" w:rsidRPr="005C096D">
      <w:headerReference w:type="even" r:id="rId84"/>
      <w:headerReference w:type="default" r:id="rId85"/>
      <w:footerReference w:type="even" r:id="rId86"/>
      <w:footerReference w:type="default" r:id="rId87"/>
      <w:headerReference w:type="first" r:id="rId88"/>
      <w:footerReference w:type="first" r:id="rId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CDEE0" w14:textId="77777777" w:rsidR="00EB668E" w:rsidRDefault="00EB668E" w:rsidP="004B6855">
      <w:pPr>
        <w:spacing w:after="0" w:line="240" w:lineRule="auto"/>
      </w:pPr>
      <w:r>
        <w:separator/>
      </w:r>
    </w:p>
  </w:endnote>
  <w:endnote w:type="continuationSeparator" w:id="0">
    <w:p w14:paraId="75B1CCDB" w14:textId="77777777" w:rsidR="00EB668E" w:rsidRDefault="00EB668E" w:rsidP="004B6855">
      <w:pPr>
        <w:spacing w:after="0" w:line="240" w:lineRule="auto"/>
      </w:pPr>
      <w:r>
        <w:continuationSeparator/>
      </w:r>
    </w:p>
  </w:endnote>
  <w:endnote w:type="continuationNotice" w:id="1">
    <w:p w14:paraId="265DD6EF" w14:textId="77777777" w:rsidR="00EB668E" w:rsidRDefault="00EB66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6D4D9" w14:textId="26ADDBE6" w:rsidR="00DD070E" w:rsidRDefault="0064630B">
    <w:pPr>
      <w:pStyle w:val="Footer"/>
    </w:pPr>
    <w:r>
      <w:rPr>
        <w:noProof/>
        <w:lang w:val="en-AU" w:eastAsia="en-AU"/>
      </w:rPr>
      <mc:AlternateContent>
        <mc:Choice Requires="wps">
          <w:drawing>
            <wp:anchor distT="0" distB="0" distL="114300" distR="114300" simplePos="0" relativeHeight="251658243" behindDoc="0" locked="1" layoutInCell="0" allowOverlap="1" wp14:anchorId="76D9CA96" wp14:editId="2ADDABC9">
              <wp:simplePos x="0" y="0"/>
              <wp:positionH relativeFrom="margin">
                <wp:align>center</wp:align>
              </wp:positionH>
              <wp:positionV relativeFrom="bottomMargin">
                <wp:align>center</wp:align>
              </wp:positionV>
              <wp:extent cx="892175" cy="287020"/>
              <wp:effectExtent l="0" t="0" r="0" b="0"/>
              <wp:wrapNone/>
              <wp:docPr id="1518241400" name="janusSEAL SC F_EvenPage"/>
              <wp:cNvGraphicFramePr/>
              <a:graphic xmlns:a="http://schemas.openxmlformats.org/drawingml/2006/main">
                <a:graphicData uri="http://schemas.microsoft.com/office/word/2010/wordprocessingShape">
                  <wps:wsp>
                    <wps:cNvSpPr txBox="1"/>
                    <wps:spPr>
                      <a:xfrm>
                        <a:off x="0" y="0"/>
                        <a:ext cx="89217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403A70" w14:textId="3BB3C953" w:rsidR="0064630B" w:rsidRPr="0064630B" w:rsidRDefault="0064630B" w:rsidP="00C07EBE">
                          <w:pPr>
                            <w:spacing w:after="0"/>
                            <w:jc w:val="center"/>
                            <w:rPr>
                              <w:rFonts w:ascii="Arial" w:hAnsi="Arial" w:cs="Arial"/>
                              <w:b/>
                              <w:color w:val="FF0000"/>
                              <w:sz w:val="24"/>
                            </w:rPr>
                          </w:pPr>
                          <w:r w:rsidRPr="0064630B">
                            <w:rPr>
                              <w:rFonts w:ascii="Arial" w:hAnsi="Arial" w:cs="Arial"/>
                              <w:b/>
                              <w:color w:val="FF0000"/>
                              <w:sz w:val="24"/>
                            </w:rPr>
                            <w:fldChar w:fldCharType="begin"/>
                          </w:r>
                          <w:r w:rsidRPr="0064630B">
                            <w:rPr>
                              <w:rFonts w:ascii="Arial" w:hAnsi="Arial" w:cs="Arial"/>
                              <w:b/>
                              <w:color w:val="FF0000"/>
                              <w:sz w:val="24"/>
                            </w:rPr>
                            <w:instrText xml:space="preserve"> DOCPROPERTY PM_ProtectiveMarkingValue_Footer \* MERGEFORMAT </w:instrText>
                          </w:r>
                          <w:r w:rsidRPr="0064630B">
                            <w:rPr>
                              <w:rFonts w:ascii="Arial" w:hAnsi="Arial" w:cs="Arial"/>
                              <w:b/>
                              <w:color w:val="FF0000"/>
                              <w:sz w:val="24"/>
                            </w:rPr>
                            <w:fldChar w:fldCharType="separate"/>
                          </w:r>
                          <w:r w:rsidR="00C07EBE">
                            <w:rPr>
                              <w:rFonts w:ascii="Arial" w:hAnsi="Arial" w:cs="Arial"/>
                              <w:b/>
                              <w:color w:val="FF0000"/>
                              <w:sz w:val="24"/>
                            </w:rPr>
                            <w:t>UNOFFICIAL</w:t>
                          </w:r>
                          <w:r w:rsidRPr="0064630B">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6D9CA96" id="_x0000_t202" coordsize="21600,21600" o:spt="202" path="m,l,21600r21600,l21600,xe">
              <v:stroke joinstyle="miter"/>
              <v:path gradientshapeok="t" o:connecttype="rect"/>
            </v:shapetype>
            <v:shape id="janusSEAL SC F_EvenPage" o:spid="_x0000_s1027" type="#_x0000_t202" style="position:absolute;margin-left:0;margin-top:0;width:70.25pt;height:22.6pt;z-index:251658243;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" o:allowincell="f" filled="f" stroked="f" strokeweight=".5pt">
              <v:textbox style="mso-fit-shape-to-text:t">
                <w:txbxContent>
                  <w:p w14:paraId="4F403A70" w14:textId="3BB3C953" w:rsidR="0064630B" w:rsidRPr="0064630B" w:rsidRDefault="0064630B" w:rsidP="00C07EBE">
                    <w:pPr>
                      <w:spacing w:after="0"/>
                      <w:jc w:val="center"/>
                      <w:rPr>
                        <w:rFonts w:ascii="Arial" w:hAnsi="Arial" w:cs="Arial"/>
                        <w:b/>
                        <w:color w:val="FF0000"/>
                        <w:sz w:val="24"/>
                      </w:rPr>
                    </w:pPr>
                    <w:r w:rsidRPr="0064630B">
                      <w:rPr>
                        <w:rFonts w:ascii="Arial" w:hAnsi="Arial" w:cs="Arial"/>
                        <w:b/>
                        <w:color w:val="FF0000"/>
                        <w:sz w:val="24"/>
                      </w:rPr>
                      <w:fldChar w:fldCharType="begin"/>
                    </w:r>
                    <w:r w:rsidRPr="0064630B">
                      <w:rPr>
                        <w:rFonts w:ascii="Arial" w:hAnsi="Arial" w:cs="Arial"/>
                        <w:b/>
                        <w:color w:val="FF0000"/>
                        <w:sz w:val="24"/>
                      </w:rPr>
                      <w:instrText xml:space="preserve"> DOCPROPERTY PM_ProtectiveMarkingValue_Footer \* MERGEFORMAT </w:instrText>
                    </w:r>
                    <w:r w:rsidRPr="0064630B">
                      <w:rPr>
                        <w:rFonts w:ascii="Arial" w:hAnsi="Arial" w:cs="Arial"/>
                        <w:b/>
                        <w:color w:val="FF0000"/>
                        <w:sz w:val="24"/>
                      </w:rPr>
                      <w:fldChar w:fldCharType="separate"/>
                    </w:r>
                    <w:r w:rsidR="00C07EBE">
                      <w:rPr>
                        <w:rFonts w:ascii="Arial" w:hAnsi="Arial" w:cs="Arial"/>
                        <w:b/>
                        <w:color w:val="FF0000"/>
                        <w:sz w:val="24"/>
                      </w:rPr>
                      <w:t>UNOFFICIAL</w:t>
                    </w:r>
                    <w:r w:rsidRPr="0064630B">
                      <w:rPr>
                        <w:rFonts w:ascii="Arial" w:hAnsi="Arial" w:cs="Arial"/>
                        <w:b/>
                        <w:color w:val="FF00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FC612" w14:textId="5E653783" w:rsidR="00AF32CA" w:rsidRDefault="00EB668E">
    <w:pPr>
      <w:pStyle w:val="Footer"/>
      <w:jc w:val="right"/>
    </w:pPr>
    <w:sdt>
      <w:sdtPr>
        <w:id w:val="-1100562773"/>
        <w:docPartObj>
          <w:docPartGallery w:val="Page Numbers (Bottom of Page)"/>
          <w:docPartUnique/>
        </w:docPartObj>
      </w:sdtPr>
      <w:sdtEndPr>
        <w:rPr>
          <w:noProof/>
        </w:rPr>
      </w:sdtEndPr>
      <w:sdtContent>
        <w:r w:rsidR="00AF32CA">
          <w:fldChar w:fldCharType="begin"/>
        </w:r>
        <w:r w:rsidR="00AF32CA">
          <w:instrText xml:space="preserve"> PAGE   \* MERGEFORMAT </w:instrText>
        </w:r>
        <w:r w:rsidR="00AF32CA">
          <w:fldChar w:fldCharType="separate"/>
        </w:r>
        <w:r w:rsidR="00465A52">
          <w:rPr>
            <w:noProof/>
          </w:rPr>
          <w:t>45</w:t>
        </w:r>
        <w:r w:rsidR="00AF32CA">
          <w:rPr>
            <w:noProof/>
          </w:rPr>
          <w:fldChar w:fldCharType="end"/>
        </w:r>
      </w:sdtContent>
    </w:sdt>
  </w:p>
  <w:p w14:paraId="79AA5B58" w14:textId="77777777" w:rsidR="00923C90" w:rsidRDefault="00923C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2255E" w14:textId="6599BFC0" w:rsidR="00DD070E" w:rsidRDefault="0064630B">
    <w:pPr>
      <w:pStyle w:val="Footer"/>
    </w:pPr>
    <w:r>
      <w:rPr>
        <w:noProof/>
        <w:lang w:val="en-AU" w:eastAsia="en-AU"/>
      </w:rPr>
      <mc:AlternateContent>
        <mc:Choice Requires="wps">
          <w:drawing>
            <wp:anchor distT="0" distB="0" distL="114300" distR="114300" simplePos="0" relativeHeight="251658242" behindDoc="0" locked="1" layoutInCell="0" allowOverlap="1" wp14:anchorId="565E0F1A" wp14:editId="0DD07CBD">
              <wp:simplePos x="0" y="0"/>
              <wp:positionH relativeFrom="margin">
                <wp:align>center</wp:align>
              </wp:positionH>
              <wp:positionV relativeFrom="bottomMargin">
                <wp:align>center</wp:align>
              </wp:positionV>
              <wp:extent cx="892175" cy="287020"/>
              <wp:effectExtent l="0" t="0" r="0" b="0"/>
              <wp:wrapNone/>
              <wp:docPr id="1057080575" name="janusSEAL SC F_FirstPage"/>
              <wp:cNvGraphicFramePr/>
              <a:graphic xmlns:a="http://schemas.openxmlformats.org/drawingml/2006/main">
                <a:graphicData uri="http://schemas.microsoft.com/office/word/2010/wordprocessingShape">
                  <wps:wsp>
                    <wps:cNvSpPr txBox="1"/>
                    <wps:spPr>
                      <a:xfrm>
                        <a:off x="0" y="0"/>
                        <a:ext cx="89217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5BDBC2" w14:textId="5A1D233C" w:rsidR="0064630B" w:rsidRPr="0064630B" w:rsidRDefault="0064630B" w:rsidP="00C07EBE">
                          <w:pPr>
                            <w:spacing w:after="0"/>
                            <w:jc w:val="center"/>
                            <w:rPr>
                              <w:rFonts w:ascii="Arial" w:hAnsi="Arial" w:cs="Arial"/>
                              <w:b/>
                              <w:color w:val="FF0000"/>
                              <w:sz w:val="24"/>
                            </w:rPr>
                          </w:pPr>
                          <w:r w:rsidRPr="0064630B">
                            <w:rPr>
                              <w:rFonts w:ascii="Arial" w:hAnsi="Arial" w:cs="Arial"/>
                              <w:b/>
                              <w:color w:val="FF0000"/>
                              <w:sz w:val="24"/>
                            </w:rPr>
                            <w:fldChar w:fldCharType="begin"/>
                          </w:r>
                          <w:r w:rsidRPr="0064630B">
                            <w:rPr>
                              <w:rFonts w:ascii="Arial" w:hAnsi="Arial" w:cs="Arial"/>
                              <w:b/>
                              <w:color w:val="FF0000"/>
                              <w:sz w:val="24"/>
                            </w:rPr>
                            <w:instrText xml:space="preserve"> DOCPROPERTY PM_ProtectiveMarkingValue_Footer \* MERGEFORMAT </w:instrText>
                          </w:r>
                          <w:r w:rsidRPr="0064630B">
                            <w:rPr>
                              <w:rFonts w:ascii="Arial" w:hAnsi="Arial" w:cs="Arial"/>
                              <w:b/>
                              <w:color w:val="FF0000"/>
                              <w:sz w:val="24"/>
                            </w:rPr>
                            <w:fldChar w:fldCharType="separate"/>
                          </w:r>
                          <w:r w:rsidR="00C07EBE">
                            <w:rPr>
                              <w:rFonts w:ascii="Arial" w:hAnsi="Arial" w:cs="Arial"/>
                              <w:b/>
                              <w:color w:val="FF0000"/>
                              <w:sz w:val="24"/>
                            </w:rPr>
                            <w:t>UNOFFICIAL</w:t>
                          </w:r>
                          <w:r w:rsidRPr="0064630B">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5E0F1A" id="_x0000_t202" coordsize="21600,21600" o:spt="202" path="m,l,21600r21600,l21600,xe">
              <v:stroke joinstyle="miter"/>
              <v:path gradientshapeok="t" o:connecttype="rect"/>
            </v:shapetype>
            <v:shape id="janusSEAL SC F_FirstPage" o:spid="_x0000_s1029" type="#_x0000_t202" style="position:absolute;margin-left:0;margin-top:0;width:70.25pt;height:22.6pt;z-index:25165824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" o:allowincell="f" filled="f" stroked="f" strokeweight=".5pt">
              <v:textbox style="mso-fit-shape-to-text:t">
                <w:txbxContent>
                  <w:p w14:paraId="3D5BDBC2" w14:textId="5A1D233C" w:rsidR="0064630B" w:rsidRPr="0064630B" w:rsidRDefault="0064630B" w:rsidP="00C07EBE">
                    <w:pPr>
                      <w:spacing w:after="0"/>
                      <w:jc w:val="center"/>
                      <w:rPr>
                        <w:rFonts w:ascii="Arial" w:hAnsi="Arial" w:cs="Arial"/>
                        <w:b/>
                        <w:color w:val="FF0000"/>
                        <w:sz w:val="24"/>
                      </w:rPr>
                    </w:pPr>
                    <w:r w:rsidRPr="0064630B">
                      <w:rPr>
                        <w:rFonts w:ascii="Arial" w:hAnsi="Arial" w:cs="Arial"/>
                        <w:b/>
                        <w:color w:val="FF0000"/>
                        <w:sz w:val="24"/>
                      </w:rPr>
                      <w:fldChar w:fldCharType="begin"/>
                    </w:r>
                    <w:r w:rsidRPr="0064630B">
                      <w:rPr>
                        <w:rFonts w:ascii="Arial" w:hAnsi="Arial" w:cs="Arial"/>
                        <w:b/>
                        <w:color w:val="FF0000"/>
                        <w:sz w:val="24"/>
                      </w:rPr>
                      <w:instrText xml:space="preserve"> DOCPROPERTY PM_ProtectiveMarkingValue_Footer \* MERGEFORMAT </w:instrText>
                    </w:r>
                    <w:r w:rsidRPr="0064630B">
                      <w:rPr>
                        <w:rFonts w:ascii="Arial" w:hAnsi="Arial" w:cs="Arial"/>
                        <w:b/>
                        <w:color w:val="FF0000"/>
                        <w:sz w:val="24"/>
                      </w:rPr>
                      <w:fldChar w:fldCharType="separate"/>
                    </w:r>
                    <w:r w:rsidR="00C07EBE">
                      <w:rPr>
                        <w:rFonts w:ascii="Arial" w:hAnsi="Arial" w:cs="Arial"/>
                        <w:b/>
                        <w:color w:val="FF0000"/>
                        <w:sz w:val="24"/>
                      </w:rPr>
                      <w:t>UNOFFICIAL</w:t>
                    </w:r>
                    <w:r w:rsidRPr="0064630B">
                      <w:rPr>
                        <w:rFonts w:ascii="Arial" w:hAnsi="Arial" w:cs="Arial"/>
                        <w:b/>
                        <w:color w:val="FF0000"/>
                        <w:sz w:val="24"/>
                      </w:rPr>
                      <w:fldChar w:fldCharType="end"/>
                    </w:r>
                  </w:p>
                </w:txbxContent>
              </v:textbox>
              <w10:wrap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68821" w14:textId="77777777" w:rsidR="00EB668E" w:rsidRDefault="00EB668E" w:rsidP="004B6855">
      <w:pPr>
        <w:spacing w:after="0" w:line="240" w:lineRule="auto"/>
      </w:pPr>
      <w:r>
        <w:separator/>
      </w:r>
    </w:p>
  </w:footnote>
  <w:footnote w:type="continuationSeparator" w:id="0">
    <w:p w14:paraId="417F07CB" w14:textId="77777777" w:rsidR="00EB668E" w:rsidRDefault="00EB668E" w:rsidP="004B6855">
      <w:pPr>
        <w:spacing w:after="0" w:line="240" w:lineRule="auto"/>
      </w:pPr>
      <w:r>
        <w:continuationSeparator/>
      </w:r>
    </w:p>
  </w:footnote>
  <w:footnote w:type="continuationNotice" w:id="1">
    <w:p w14:paraId="515D5A8E" w14:textId="77777777" w:rsidR="00EB668E" w:rsidRDefault="00EB668E">
      <w:pPr>
        <w:spacing w:after="0" w:line="240" w:lineRule="auto"/>
      </w:pPr>
    </w:p>
  </w:footnote>
  <w:footnote w:id="2">
    <w:p w14:paraId="471269A1" w14:textId="77777777" w:rsidR="000E11E4" w:rsidRPr="001F09C0" w:rsidRDefault="000E11E4" w:rsidP="000E11E4">
      <w:pPr>
        <w:pStyle w:val="FootnoteText"/>
        <w:rPr>
          <w:lang w:val="en-US"/>
        </w:rPr>
      </w:pPr>
      <w:r w:rsidRPr="007965CA">
        <w:rPr>
          <w:rStyle w:val="FootnoteReference"/>
          <w:rFonts w:ascii="Arial" w:hAnsi="Arial" w:cs="Arial"/>
        </w:rPr>
        <w:footnoteRef/>
      </w:r>
      <w:r w:rsidRPr="007965CA">
        <w:rPr>
          <w:rFonts w:ascii="Arial" w:hAnsi="Arial" w:cs="Arial"/>
        </w:rPr>
        <w:t xml:space="preserve"> Health costs related to </w:t>
      </w:r>
      <w:r w:rsidRPr="007965CA">
        <w:rPr>
          <w:rFonts w:ascii="Arial" w:hAnsi="Arial" w:cs="Arial"/>
          <w:lang w:val="en-US"/>
        </w:rPr>
        <w:t>overweight and obesity are discounted by 7% a year over ten years in accordance with Office of Impact Analysis’ guidance.</w:t>
      </w:r>
    </w:p>
  </w:footnote>
  <w:footnote w:id="3">
    <w:p w14:paraId="662D05E0" w14:textId="1ED40D1D" w:rsidR="00923C90" w:rsidRPr="00BB5AAC" w:rsidRDefault="00923C90" w:rsidP="00A11062">
      <w:pPr>
        <w:pStyle w:val="FootnoteText"/>
        <w:rPr>
          <w:lang w:val="en-US"/>
        </w:rPr>
      </w:pPr>
      <w:r w:rsidRPr="003376EA">
        <w:rPr>
          <w:rStyle w:val="FootnoteReference"/>
          <w:rFonts w:ascii="Arial" w:hAnsi="Arial" w:cs="Arial"/>
        </w:rPr>
        <w:footnoteRef/>
      </w:r>
      <w:r w:rsidRPr="003376EA">
        <w:rPr>
          <w:rFonts w:ascii="Arial" w:hAnsi="Arial" w:cs="Arial"/>
        </w:rPr>
        <w:t xml:space="preserve"> </w:t>
      </w:r>
      <w:r w:rsidRPr="003376EA">
        <w:rPr>
          <w:rFonts w:ascii="Arial" w:hAnsi="Arial" w:cs="Arial"/>
          <w:lang w:val="en-US"/>
        </w:rPr>
        <w:t>For more details, please see FSANZ’s webpage on</w:t>
      </w:r>
      <w:r>
        <w:rPr>
          <w:lang w:val="en-US"/>
        </w:rPr>
        <w:t xml:space="preserve"> </w:t>
      </w:r>
      <w:hyperlink r:id="rId1" w:history="1">
        <w:r w:rsidRPr="003376EA">
          <w:rPr>
            <w:rStyle w:val="Hyperlink"/>
            <w:rFonts w:ascii="Arial" w:hAnsi="Arial" w:cs="Arial"/>
            <w:lang w:val="en-US"/>
          </w:rPr>
          <w:t>P1059</w:t>
        </w:r>
      </w:hyperlink>
      <w:r w:rsidRPr="003376EA">
        <w:rPr>
          <w:rStyle w:val="Hyperlink"/>
          <w:rFonts w:ascii="Arial" w:hAnsi="Arial" w:cs="Arial"/>
          <w:color w:val="auto"/>
          <w:u w:val="none"/>
          <w:lang w:val="en-US"/>
        </w:rPr>
        <w:t>.</w:t>
      </w:r>
    </w:p>
  </w:footnote>
  <w:footnote w:id="4">
    <w:p w14:paraId="27C735CE" w14:textId="77777777" w:rsidR="00923C90" w:rsidRPr="003376EA" w:rsidRDefault="00923C90" w:rsidP="00C253AB">
      <w:pPr>
        <w:pStyle w:val="FootnoteText"/>
        <w:rPr>
          <w:rFonts w:ascii="Arial" w:hAnsi="Arial" w:cs="Arial"/>
          <w:sz w:val="16"/>
          <w:szCs w:val="16"/>
          <w:lang w:val="en-AU"/>
        </w:rPr>
      </w:pPr>
      <w:r w:rsidRPr="003376EA">
        <w:rPr>
          <w:rStyle w:val="FootnoteReference"/>
          <w:rFonts w:ascii="Arial" w:hAnsi="Arial" w:cs="Arial"/>
          <w:szCs w:val="18"/>
        </w:rPr>
        <w:footnoteRef/>
      </w:r>
      <w:r w:rsidRPr="003376EA">
        <w:rPr>
          <w:rFonts w:ascii="Arial" w:hAnsi="Arial" w:cs="Arial"/>
          <w:szCs w:val="18"/>
        </w:rPr>
        <w:t xml:space="preserve"> Standard 1.1.2 of the Code defines </w:t>
      </w:r>
      <w:r w:rsidRPr="003376EA">
        <w:rPr>
          <w:rFonts w:ascii="Arial" w:hAnsi="Arial" w:cs="Arial"/>
          <w:b/>
          <w:bCs/>
          <w:i/>
          <w:iCs/>
          <w:szCs w:val="18"/>
        </w:rPr>
        <w:t>standardised alcoholic beverage</w:t>
      </w:r>
      <w:r w:rsidRPr="003376EA">
        <w:rPr>
          <w:rFonts w:ascii="Arial" w:hAnsi="Arial" w:cs="Arial"/>
          <w:szCs w:val="18"/>
        </w:rPr>
        <w:t xml:space="preserve"> to mean beer, brandy, cider, fruit wine, fruit wine product, liqueur, mead, perry, spirit, vegetable wine, vegetable wine product, wine or wine product.</w:t>
      </w:r>
    </w:p>
  </w:footnote>
  <w:footnote w:id="5">
    <w:p w14:paraId="527A6BD1" w14:textId="44C88EA6" w:rsidR="00923C90" w:rsidRPr="007C08AF" w:rsidRDefault="00923C90">
      <w:pPr>
        <w:pStyle w:val="FootnoteText"/>
        <w:rPr>
          <w:lang w:val="en-US"/>
        </w:rPr>
      </w:pPr>
      <w:r w:rsidRPr="003376EA">
        <w:rPr>
          <w:rStyle w:val="FootnoteReference"/>
          <w:rFonts w:ascii="Arial" w:hAnsi="Arial" w:cs="Arial"/>
        </w:rPr>
        <w:footnoteRef/>
      </w:r>
      <w:r w:rsidRPr="003376EA">
        <w:rPr>
          <w:rFonts w:ascii="Arial" w:hAnsi="Arial" w:cs="Arial"/>
        </w:rPr>
        <w:t xml:space="preserve"> </w:t>
      </w:r>
      <w:r w:rsidRPr="003376EA">
        <w:rPr>
          <w:rFonts w:ascii="Arial" w:hAnsi="Arial" w:cs="Arial"/>
          <w:szCs w:val="18"/>
        </w:rPr>
        <w:t xml:space="preserve">For the purpose of this DRIS, prescribed </w:t>
      </w:r>
      <w:r w:rsidRPr="003376EA">
        <w:rPr>
          <w:rFonts w:ascii="Arial" w:hAnsi="Arial" w:cs="Arial"/>
          <w:szCs w:val="18"/>
          <w:lang w:val="en-AU"/>
        </w:rPr>
        <w:t>beverages is used interchangeably with alcoholic beverages and beverages containing alcohol.</w:t>
      </w:r>
    </w:p>
  </w:footnote>
  <w:footnote w:id="6">
    <w:p w14:paraId="10A85F36" w14:textId="7A6662AA" w:rsidR="00923C90" w:rsidRPr="00CA27CB" w:rsidRDefault="00923C90">
      <w:pPr>
        <w:pStyle w:val="FootnoteText"/>
        <w:rPr>
          <w:rFonts w:ascii="Arial" w:hAnsi="Arial" w:cs="Arial"/>
          <w:lang w:val="en-US"/>
        </w:rPr>
      </w:pPr>
      <w:r w:rsidRPr="00CA27CB">
        <w:rPr>
          <w:rStyle w:val="FootnoteReference"/>
          <w:rFonts w:ascii="Arial" w:hAnsi="Arial" w:cs="Arial"/>
        </w:rPr>
        <w:footnoteRef/>
      </w:r>
      <w:r w:rsidRPr="00CA27CB">
        <w:rPr>
          <w:rFonts w:ascii="Arial" w:hAnsi="Arial" w:cs="Arial"/>
        </w:rPr>
        <w:t xml:space="preserve"> IBISWorld – Industry Marker Research, Reports &amp; Statistics.</w:t>
      </w:r>
    </w:p>
  </w:footnote>
  <w:footnote w:id="7">
    <w:p w14:paraId="147D1B83" w14:textId="1AEBA2ED" w:rsidR="00923C90" w:rsidRPr="00CA27CB" w:rsidRDefault="00923C90" w:rsidP="009867FA">
      <w:pPr>
        <w:pStyle w:val="FootnoteText"/>
        <w:rPr>
          <w:rFonts w:ascii="Arial" w:hAnsi="Arial" w:cs="Arial"/>
          <w:lang w:val="en-US"/>
        </w:rPr>
      </w:pPr>
      <w:r w:rsidRPr="00CA27CB">
        <w:rPr>
          <w:rStyle w:val="FootnoteReference"/>
          <w:rFonts w:ascii="Arial" w:hAnsi="Arial" w:cs="Arial"/>
        </w:rPr>
        <w:footnoteRef/>
      </w:r>
      <w:r w:rsidRPr="00CA27CB">
        <w:rPr>
          <w:rFonts w:ascii="Arial" w:hAnsi="Arial" w:cs="Arial"/>
        </w:rPr>
        <w:t xml:space="preserve"> </w:t>
      </w:r>
      <w:r w:rsidRPr="00CA27CB">
        <w:rPr>
          <w:rFonts w:ascii="Arial" w:eastAsia="Arial" w:hAnsi="Arial" w:cs="Arial"/>
          <w:color w:val="000000" w:themeColor="text1"/>
        </w:rPr>
        <w:t>No data obtained for New Zealand.</w:t>
      </w:r>
    </w:p>
  </w:footnote>
  <w:footnote w:id="8">
    <w:p w14:paraId="3010AEF1" w14:textId="0C27B875" w:rsidR="00923C90" w:rsidRPr="00CA27CB" w:rsidRDefault="00923C90" w:rsidP="009867FA">
      <w:pPr>
        <w:pStyle w:val="FootnoteText"/>
        <w:rPr>
          <w:rFonts w:ascii="Arial" w:hAnsi="Arial" w:cs="Arial"/>
          <w:lang w:val="en-US"/>
        </w:rPr>
      </w:pPr>
      <w:r w:rsidRPr="00CA27CB">
        <w:rPr>
          <w:rStyle w:val="FootnoteReference"/>
          <w:rFonts w:ascii="Arial" w:hAnsi="Arial" w:cs="Arial"/>
        </w:rPr>
        <w:footnoteRef/>
      </w:r>
      <w:r w:rsidRPr="00CA27CB">
        <w:rPr>
          <w:rFonts w:ascii="Arial" w:hAnsi="Arial" w:cs="Arial"/>
        </w:rPr>
        <w:t xml:space="preserve"> </w:t>
      </w:r>
      <w:r w:rsidRPr="00CA27CB">
        <w:rPr>
          <w:rFonts w:ascii="Arial" w:eastAsia="Arial" w:hAnsi="Arial" w:cs="Arial"/>
          <w:color w:val="000000" w:themeColor="text1"/>
        </w:rPr>
        <w:t>No data obtained for New Zealand.</w:t>
      </w:r>
    </w:p>
  </w:footnote>
  <w:footnote w:id="9">
    <w:p w14:paraId="126C7B22" w14:textId="7209EC78" w:rsidR="00923C90" w:rsidRPr="00E44562" w:rsidRDefault="00923C90">
      <w:pPr>
        <w:pStyle w:val="FootnoteText"/>
        <w:rPr>
          <w:lang w:val="en-US"/>
        </w:rPr>
      </w:pPr>
      <w:r w:rsidRPr="00CA27CB">
        <w:rPr>
          <w:rStyle w:val="FootnoteReference"/>
          <w:rFonts w:ascii="Arial" w:hAnsi="Arial" w:cs="Arial"/>
        </w:rPr>
        <w:footnoteRef/>
      </w:r>
      <w:r w:rsidRPr="00CA27CB">
        <w:rPr>
          <w:rFonts w:ascii="Arial" w:hAnsi="Arial" w:cs="Arial"/>
        </w:rPr>
        <w:t xml:space="preserve"> The top three business conglomerates account</w:t>
      </w:r>
      <w:r w:rsidR="0043302B">
        <w:rPr>
          <w:rFonts w:ascii="Arial" w:hAnsi="Arial" w:cs="Arial"/>
        </w:rPr>
        <w:t>ed</w:t>
      </w:r>
      <w:r w:rsidRPr="00CA27CB">
        <w:rPr>
          <w:rFonts w:ascii="Arial" w:hAnsi="Arial" w:cs="Arial"/>
        </w:rPr>
        <w:t xml:space="preserve"> for around 85% of beer revenues in Australia and 55% of beer revenues in New Zealand. In both countries, the top three business conglomerates account</w:t>
      </w:r>
      <w:r w:rsidR="0043302B">
        <w:rPr>
          <w:rFonts w:ascii="Arial" w:hAnsi="Arial" w:cs="Arial"/>
        </w:rPr>
        <w:t>ed</w:t>
      </w:r>
      <w:r w:rsidRPr="00CA27CB">
        <w:rPr>
          <w:rFonts w:ascii="Arial" w:hAnsi="Arial" w:cs="Arial"/>
        </w:rPr>
        <w:t xml:space="preserve"> for around 30% and 55% of wines and spirits revenues respectively.</w:t>
      </w:r>
    </w:p>
  </w:footnote>
  <w:footnote w:id="10">
    <w:p w14:paraId="55B81738" w14:textId="487660E1" w:rsidR="005377B4" w:rsidRPr="00CA27CB" w:rsidRDefault="005377B4">
      <w:pPr>
        <w:pStyle w:val="FootnoteText"/>
        <w:rPr>
          <w:rFonts w:ascii="Arial" w:hAnsi="Arial" w:cs="Arial"/>
          <w:lang w:val="en-US"/>
        </w:rPr>
      </w:pPr>
      <w:r w:rsidRPr="00CA27CB">
        <w:rPr>
          <w:rStyle w:val="FootnoteReference"/>
          <w:rFonts w:ascii="Arial" w:hAnsi="Arial" w:cs="Arial"/>
        </w:rPr>
        <w:footnoteRef/>
      </w:r>
      <w:r w:rsidRPr="00CA27CB">
        <w:rPr>
          <w:rFonts w:ascii="Arial" w:hAnsi="Arial" w:cs="Arial"/>
        </w:rPr>
        <w:t xml:space="preserve"> </w:t>
      </w:r>
      <w:r w:rsidR="00876F58" w:rsidRPr="00CA27CB">
        <w:rPr>
          <w:rFonts w:ascii="Arial" w:hAnsi="Arial" w:cs="Arial"/>
        </w:rPr>
        <w:t>IBISWorld – Industry Marker Research, Reports &amp; Statistics.</w:t>
      </w:r>
    </w:p>
  </w:footnote>
  <w:footnote w:id="11">
    <w:p w14:paraId="2F1C1485" w14:textId="77777777" w:rsidR="00876F58" w:rsidRPr="00CA27CB" w:rsidRDefault="00876F58" w:rsidP="00E63DCE">
      <w:pPr>
        <w:pStyle w:val="FootnoteText"/>
        <w:rPr>
          <w:rFonts w:ascii="Arial" w:hAnsi="Arial" w:cs="Arial"/>
          <w:lang w:val="en-US"/>
        </w:rPr>
      </w:pPr>
      <w:r w:rsidRPr="00CA27CB">
        <w:rPr>
          <w:rStyle w:val="FootnoteReference"/>
          <w:rFonts w:ascii="Arial" w:hAnsi="Arial" w:cs="Arial"/>
        </w:rPr>
        <w:footnoteRef/>
      </w:r>
      <w:r w:rsidRPr="00CA27CB">
        <w:rPr>
          <w:rFonts w:ascii="Arial" w:hAnsi="Arial" w:cs="Arial"/>
        </w:rPr>
        <w:t xml:space="preserve"> </w:t>
      </w:r>
      <w:r w:rsidRPr="00CA27CB">
        <w:rPr>
          <w:rFonts w:ascii="Arial" w:eastAsia="Arial" w:hAnsi="Arial" w:cs="Arial"/>
          <w:color w:val="000000" w:themeColor="text1"/>
        </w:rPr>
        <w:t>No data obtained for New Zealand.</w:t>
      </w:r>
    </w:p>
  </w:footnote>
  <w:footnote w:id="12">
    <w:p w14:paraId="634C0F4D" w14:textId="77777777" w:rsidR="00876F58" w:rsidRPr="004E207E" w:rsidRDefault="00876F58" w:rsidP="00E63DCE">
      <w:pPr>
        <w:pStyle w:val="FootnoteText"/>
        <w:rPr>
          <w:lang w:val="en-US"/>
        </w:rPr>
      </w:pPr>
      <w:r w:rsidRPr="00CA27CB">
        <w:rPr>
          <w:rStyle w:val="FootnoteReference"/>
          <w:rFonts w:ascii="Arial" w:hAnsi="Arial" w:cs="Arial"/>
        </w:rPr>
        <w:footnoteRef/>
      </w:r>
      <w:r w:rsidRPr="00CA27CB">
        <w:rPr>
          <w:rFonts w:ascii="Arial" w:hAnsi="Arial" w:cs="Arial"/>
        </w:rPr>
        <w:t xml:space="preserve"> </w:t>
      </w:r>
      <w:r w:rsidRPr="00CA27CB">
        <w:rPr>
          <w:rFonts w:ascii="Arial" w:eastAsia="Arial" w:hAnsi="Arial" w:cs="Arial"/>
          <w:color w:val="000000" w:themeColor="text1"/>
        </w:rPr>
        <w:t>No data obtained for New Zealand.</w:t>
      </w:r>
    </w:p>
  </w:footnote>
  <w:footnote w:id="13">
    <w:p w14:paraId="4A838E1E" w14:textId="2BD2868B" w:rsidR="00923C90" w:rsidRPr="00EA0B7B" w:rsidRDefault="00923C90">
      <w:pPr>
        <w:pStyle w:val="FootnoteText"/>
        <w:rPr>
          <w:rFonts w:ascii="Arial" w:hAnsi="Arial" w:cs="Arial"/>
          <w:szCs w:val="18"/>
          <w:lang w:val="en-US"/>
        </w:rPr>
      </w:pPr>
      <w:r w:rsidRPr="00EA0B7B">
        <w:rPr>
          <w:rStyle w:val="FootnoteReference"/>
          <w:rFonts w:ascii="Arial" w:hAnsi="Arial" w:cs="Arial"/>
          <w:szCs w:val="18"/>
        </w:rPr>
        <w:footnoteRef/>
      </w:r>
      <w:r w:rsidRPr="00EA0B7B">
        <w:rPr>
          <w:rFonts w:ascii="Arial" w:hAnsi="Arial" w:cs="Arial"/>
          <w:szCs w:val="18"/>
        </w:rPr>
        <w:t xml:space="preserve"> </w:t>
      </w:r>
      <w:hyperlink r:id="rId2" w:history="1">
        <w:r w:rsidRPr="00EA0B7B">
          <w:rPr>
            <w:rStyle w:val="Hyperlink"/>
            <w:rFonts w:ascii="Arial" w:hAnsi="Arial" w:cs="Arial"/>
            <w:szCs w:val="18"/>
          </w:rPr>
          <w:t>Policy guideline on food labelling to support consumers to make informed healthy choices | Food Regulation</w:t>
        </w:r>
      </w:hyperlink>
    </w:p>
  </w:footnote>
  <w:footnote w:id="14">
    <w:p w14:paraId="56E0B335" w14:textId="77777777" w:rsidR="00923C90" w:rsidRPr="00EA0B7B" w:rsidRDefault="00923C90" w:rsidP="00074A8B">
      <w:pPr>
        <w:pStyle w:val="FootnoteText"/>
        <w:rPr>
          <w:rFonts w:ascii="Arial" w:hAnsi="Arial" w:cs="Arial"/>
          <w:szCs w:val="18"/>
          <w:lang w:val="en-US"/>
        </w:rPr>
      </w:pPr>
      <w:r w:rsidRPr="00EA0B7B">
        <w:rPr>
          <w:rStyle w:val="FootnoteReference"/>
          <w:rFonts w:ascii="Arial" w:hAnsi="Arial" w:cs="Arial"/>
          <w:szCs w:val="18"/>
        </w:rPr>
        <w:footnoteRef/>
      </w:r>
      <w:r w:rsidRPr="00EA0B7B">
        <w:rPr>
          <w:rFonts w:ascii="Arial" w:hAnsi="Arial" w:cs="Arial"/>
          <w:szCs w:val="18"/>
        </w:rPr>
        <w:t xml:space="preserve"> </w:t>
      </w:r>
      <w:r w:rsidRPr="00EA0B7B">
        <w:rPr>
          <w:rFonts w:ascii="Arial" w:hAnsi="Arial" w:cs="Arial"/>
          <w:szCs w:val="18"/>
          <w:lang w:val="en-US"/>
        </w:rPr>
        <w:t>Based on discounting by 7% per year, as recommended by OIA guidance.</w:t>
      </w:r>
    </w:p>
  </w:footnote>
  <w:footnote w:id="15">
    <w:p w14:paraId="705652EE" w14:textId="5D8AFFF2" w:rsidR="00923C90" w:rsidRPr="00074A8B" w:rsidRDefault="00923C90">
      <w:pPr>
        <w:pStyle w:val="FootnoteText"/>
        <w:rPr>
          <w:lang w:val="en-US"/>
        </w:rPr>
      </w:pPr>
      <w:r w:rsidRPr="00EA0B7B">
        <w:rPr>
          <w:rStyle w:val="FootnoteReference"/>
          <w:rFonts w:ascii="Arial" w:hAnsi="Arial" w:cs="Arial"/>
          <w:szCs w:val="18"/>
        </w:rPr>
        <w:footnoteRef/>
      </w:r>
      <w:r w:rsidRPr="00EA0B7B">
        <w:rPr>
          <w:rFonts w:ascii="Arial" w:hAnsi="Arial" w:cs="Arial"/>
          <w:szCs w:val="18"/>
        </w:rPr>
        <w:t xml:space="preserve"> </w:t>
      </w:r>
      <w:r w:rsidRPr="00EA0B7B">
        <w:rPr>
          <w:rFonts w:ascii="Arial" w:hAnsi="Arial" w:cs="Arial"/>
          <w:szCs w:val="18"/>
          <w:lang w:val="en-NZ"/>
        </w:rPr>
        <w:t>Please see Appendix A for more details about these cost calculations for overweight and obesity.</w:t>
      </w:r>
    </w:p>
  </w:footnote>
  <w:footnote w:id="16">
    <w:p w14:paraId="7664929D" w14:textId="77777777" w:rsidR="000541CB" w:rsidRPr="00EA0B7B" w:rsidRDefault="000541CB">
      <w:pPr>
        <w:pStyle w:val="FootnoteText"/>
        <w:rPr>
          <w:rFonts w:ascii="Arial" w:hAnsi="Arial" w:cs="Arial"/>
          <w:lang w:val="en-US"/>
        </w:rPr>
      </w:pPr>
      <w:r w:rsidRPr="00EA0B7B">
        <w:rPr>
          <w:rStyle w:val="FootnoteReference"/>
          <w:rFonts w:ascii="Arial" w:hAnsi="Arial" w:cs="Arial"/>
        </w:rPr>
        <w:footnoteRef/>
      </w:r>
      <w:r w:rsidRPr="00EA0B7B">
        <w:rPr>
          <w:rFonts w:ascii="Arial" w:hAnsi="Arial" w:cs="Arial"/>
        </w:rPr>
        <w:t xml:space="preserve"> </w:t>
      </w:r>
      <w:hyperlink r:id="rId3" w:history="1">
        <w:r w:rsidRPr="00E5799A">
          <w:rPr>
            <w:rStyle w:val="Hyperlink"/>
            <w:rFonts w:ascii="Arial" w:hAnsi="Arial" w:cs="Arial"/>
            <w:lang w:val="en-AU"/>
          </w:rPr>
          <w:t>Energy labelling of alcoholic beverages; Options analysis</w:t>
        </w:r>
      </w:hyperlink>
    </w:p>
  </w:footnote>
  <w:footnote w:id="17">
    <w:p w14:paraId="790D646B" w14:textId="1BF89D36" w:rsidR="00CE7A14" w:rsidRPr="008B3F76" w:rsidRDefault="00CE7A14">
      <w:pPr>
        <w:pStyle w:val="FootnoteText"/>
        <w:rPr>
          <w:rFonts w:ascii="Arial" w:hAnsi="Arial" w:cs="Arial"/>
          <w:b/>
          <w:bCs/>
          <w:lang w:val="en-US"/>
        </w:rPr>
      </w:pPr>
      <w:r w:rsidRPr="008B3F76">
        <w:rPr>
          <w:rStyle w:val="FootnoteReference"/>
          <w:rFonts w:ascii="Arial" w:hAnsi="Arial" w:cs="Arial"/>
        </w:rPr>
        <w:footnoteRef/>
      </w:r>
      <w:r w:rsidRPr="008B3F76">
        <w:rPr>
          <w:rFonts w:ascii="Arial" w:hAnsi="Arial" w:cs="Arial"/>
        </w:rPr>
        <w:t xml:space="preserve"> </w:t>
      </w:r>
      <w:r w:rsidRPr="008B3F76">
        <w:rPr>
          <w:rFonts w:ascii="Arial" w:hAnsi="Arial" w:cs="Arial"/>
          <w:lang w:val="en-US"/>
        </w:rPr>
        <w:t xml:space="preserve">See </w:t>
      </w:r>
      <w:r w:rsidR="001B60AC" w:rsidRPr="008B3F76">
        <w:rPr>
          <w:rFonts w:ascii="Arial" w:hAnsi="Arial" w:cs="Arial"/>
          <w:lang w:val="en-US"/>
        </w:rPr>
        <w:t xml:space="preserve">FSANZ website: </w:t>
      </w:r>
      <w:hyperlink r:id="rId4" w:history="1">
        <w:r w:rsidR="001B60AC" w:rsidRPr="008B3F76">
          <w:rPr>
            <w:rStyle w:val="Hyperlink"/>
            <w:rFonts w:ascii="Arial" w:eastAsia="Arial" w:hAnsi="Arial" w:cs="Arial"/>
          </w:rPr>
          <w:t xml:space="preserve"> P1050 - Pregnancy warning labels on alcoholic beverages</w:t>
        </w:r>
      </w:hyperlink>
      <w:r w:rsidR="001B60AC" w:rsidRPr="008B3F76">
        <w:rPr>
          <w:rFonts w:ascii="Arial" w:eastAsia="Arial" w:hAnsi="Arial" w:cs="Arial"/>
        </w:rPr>
        <w:t>.</w:t>
      </w:r>
    </w:p>
  </w:footnote>
  <w:footnote w:id="18">
    <w:p w14:paraId="1356D5C3" w14:textId="77777777" w:rsidR="00923C90" w:rsidRPr="008B3F76" w:rsidRDefault="00923C90" w:rsidP="00430F22">
      <w:pPr>
        <w:pStyle w:val="FootnoteText"/>
        <w:rPr>
          <w:rFonts w:ascii="Arial" w:hAnsi="Arial" w:cs="Arial"/>
          <w:szCs w:val="18"/>
          <w:lang w:val="en-US"/>
        </w:rPr>
      </w:pPr>
      <w:r w:rsidRPr="008B3F76">
        <w:rPr>
          <w:rStyle w:val="FootnoteReference"/>
          <w:rFonts w:ascii="Arial" w:hAnsi="Arial" w:cs="Arial"/>
          <w:szCs w:val="18"/>
        </w:rPr>
        <w:footnoteRef/>
      </w:r>
      <w:r w:rsidRPr="008B3F76">
        <w:rPr>
          <w:rFonts w:ascii="Arial" w:hAnsi="Arial" w:cs="Arial"/>
          <w:szCs w:val="18"/>
        </w:rPr>
        <w:t xml:space="preserve"> </w:t>
      </w:r>
      <w:r w:rsidRPr="008B3F76">
        <w:rPr>
          <w:rFonts w:ascii="Arial" w:hAnsi="Arial" w:cs="Arial"/>
          <w:szCs w:val="18"/>
          <w:lang w:val="en-AU"/>
        </w:rPr>
        <w:t xml:space="preserve">For more information about the Label Change Cost Model, please see the bottom of the </w:t>
      </w:r>
      <w:hyperlink r:id="rId5" w:history="1">
        <w:r w:rsidRPr="008B3F76">
          <w:rPr>
            <w:rStyle w:val="Hyperlink"/>
            <w:rFonts w:ascii="Arial" w:hAnsi="Arial" w:cs="Arial"/>
            <w:szCs w:val="18"/>
            <w:lang w:val="en-AU"/>
          </w:rPr>
          <w:t>FSANZ webpage on Labelling of alcoholic beverages</w:t>
        </w:r>
      </w:hyperlink>
    </w:p>
  </w:footnote>
  <w:footnote w:id="19">
    <w:p w14:paraId="1B307A82" w14:textId="68C9B8D1" w:rsidR="00923C90" w:rsidRPr="001B5C50" w:rsidRDefault="00923C90" w:rsidP="006A0557">
      <w:pPr>
        <w:pStyle w:val="FootnoteText"/>
        <w:rPr>
          <w:lang w:val="en-US"/>
        </w:rPr>
      </w:pPr>
      <w:r w:rsidRPr="008B3F76">
        <w:rPr>
          <w:rStyle w:val="FootnoteReference"/>
          <w:rFonts w:ascii="Arial" w:hAnsi="Arial" w:cs="Arial"/>
          <w:szCs w:val="18"/>
        </w:rPr>
        <w:footnoteRef/>
      </w:r>
      <w:r w:rsidRPr="008B3F76">
        <w:rPr>
          <w:rFonts w:ascii="Arial" w:hAnsi="Arial" w:cs="Arial"/>
          <w:szCs w:val="18"/>
        </w:rPr>
        <w:t xml:space="preserve"> Updated since the Jan 2023 CFS for general producer price increases. See the Producer Price Index for Australia: </w:t>
      </w:r>
      <w:hyperlink r:id="rId6" w:anchor="data-download" w:history="1">
        <w:r w:rsidR="00DC49D2">
          <w:rPr>
            <w:rStyle w:val="Hyperlink"/>
            <w:rFonts w:ascii="Arial" w:hAnsi="Arial" w:cs="Arial"/>
            <w:szCs w:val="18"/>
            <w:lang w:val="en-US"/>
          </w:rPr>
          <w:t>Producer Price Indexes, Australia, Dec 2024 Quarter | Australian Bureau of Statistics (abs.gov.au)</w:t>
        </w:r>
      </w:hyperlink>
      <w:r w:rsidRPr="008B3F76">
        <w:rPr>
          <w:rFonts w:ascii="Arial" w:hAnsi="Arial" w:cs="Arial"/>
          <w:szCs w:val="18"/>
        </w:rPr>
        <w:t xml:space="preserve"> Scroll down to xls and csv spreadsheets to download. "Table 1: Final Demand,  Index Numbers and Percentage Changes" i.e. Spreadsheet no 624701</w:t>
      </w:r>
      <w:r w:rsidR="00DD2597" w:rsidRPr="008B3F76">
        <w:rPr>
          <w:rFonts w:ascii="Arial" w:hAnsi="Arial" w:cs="Arial"/>
          <w:szCs w:val="18"/>
        </w:rPr>
        <w:t>.</w:t>
      </w:r>
    </w:p>
  </w:footnote>
  <w:footnote w:id="20">
    <w:p w14:paraId="7EDD0CEB" w14:textId="7AE4FD1A" w:rsidR="00923C90" w:rsidRPr="00815086" w:rsidRDefault="00923C90">
      <w:pPr>
        <w:pStyle w:val="FootnoteText"/>
        <w:rPr>
          <w:rFonts w:ascii="Arial" w:hAnsi="Arial" w:cs="Arial"/>
          <w:lang w:val="en-US"/>
        </w:rPr>
      </w:pPr>
      <w:r w:rsidRPr="00815086">
        <w:rPr>
          <w:rStyle w:val="FootnoteReference"/>
          <w:rFonts w:ascii="Arial" w:hAnsi="Arial" w:cs="Arial"/>
        </w:rPr>
        <w:footnoteRef/>
      </w:r>
      <w:r w:rsidRPr="00815086">
        <w:rPr>
          <w:rFonts w:ascii="Arial" w:hAnsi="Arial" w:cs="Arial"/>
        </w:rPr>
        <w:t xml:space="preserve"> </w:t>
      </w:r>
      <w:r w:rsidRPr="00815086">
        <w:rPr>
          <w:rFonts w:ascii="Arial" w:hAnsi="Arial" w:cs="Arial"/>
          <w:lang w:val="en-US"/>
        </w:rPr>
        <w:t>See Section 8 on Implementation for more details of the decision-making and gazetting process.</w:t>
      </w:r>
    </w:p>
  </w:footnote>
  <w:footnote w:id="21">
    <w:p w14:paraId="023E869C" w14:textId="1A15D891" w:rsidR="00923C90" w:rsidRPr="00B60C78" w:rsidRDefault="00923C90" w:rsidP="001B5C50">
      <w:pPr>
        <w:autoSpaceDE w:val="0"/>
        <w:autoSpaceDN w:val="0"/>
        <w:adjustRightInd w:val="0"/>
        <w:rPr>
          <w:rFonts w:ascii="Arial" w:hAnsi="Arial" w:cs="Arial"/>
          <w:i/>
          <w:iCs/>
          <w:color w:val="000000" w:themeColor="text1"/>
          <w:sz w:val="18"/>
          <w:szCs w:val="18"/>
          <w:lang w:val="en-AU"/>
        </w:rPr>
      </w:pPr>
      <w:r w:rsidRPr="00B60C78">
        <w:rPr>
          <w:rStyle w:val="FootnoteReference"/>
          <w:rFonts w:ascii="Arial" w:hAnsi="Arial" w:cs="Arial"/>
          <w:sz w:val="18"/>
          <w:szCs w:val="18"/>
        </w:rPr>
        <w:footnoteRef/>
      </w:r>
      <w:r w:rsidRPr="00B60C78">
        <w:rPr>
          <w:rFonts w:ascii="Arial" w:hAnsi="Arial" w:cs="Arial"/>
          <w:sz w:val="18"/>
          <w:szCs w:val="18"/>
        </w:rPr>
        <w:t xml:space="preserve"> </w:t>
      </w:r>
      <w:r w:rsidRPr="00B60C78">
        <w:rPr>
          <w:rFonts w:ascii="Arial" w:hAnsi="Arial" w:cs="Arial"/>
          <w:color w:val="000000" w:themeColor="text1"/>
          <w:sz w:val="18"/>
          <w:szCs w:val="18"/>
          <w:lang w:val="en-AU"/>
        </w:rPr>
        <w:t>For more information on the many economic factors that determine the extent to which producers can pass on cost increases, refer to Cost pass-through: theory, measurement, and potential policy implications by RBB for the Office of Fair Trading (UK). Cost pass-through describes what happens when a business changes the prices of the products or services it supplies following a change in the costs it incurs in producing them:</w:t>
      </w:r>
      <w:r w:rsidRPr="00B60C78">
        <w:rPr>
          <w:rFonts w:ascii="Arial" w:hAnsi="Arial" w:cs="Arial"/>
          <w:i/>
          <w:iCs/>
          <w:color w:val="000000" w:themeColor="text1"/>
          <w:sz w:val="18"/>
          <w:szCs w:val="18"/>
          <w:lang w:val="en-AU"/>
        </w:rPr>
        <w:t xml:space="preserve"> </w:t>
      </w:r>
      <w:r w:rsidRPr="00B60C78">
        <w:rPr>
          <w:rFonts w:ascii="Arial" w:hAnsi="Arial" w:cs="Arial"/>
          <w:color w:val="000000" w:themeColor="text1"/>
          <w:sz w:val="18"/>
          <w:szCs w:val="18"/>
          <w:lang w:val="en-AU"/>
        </w:rPr>
        <w:t xml:space="preserve"> </w:t>
      </w:r>
      <w:hyperlink r:id="rId7" w:history="1">
        <w:r w:rsidRPr="00B60C78">
          <w:rPr>
            <w:rStyle w:val="Hyperlink"/>
            <w:rFonts w:ascii="Arial" w:hAnsi="Arial" w:cs="Arial"/>
            <w:color w:val="2F5496" w:themeColor="accent1" w:themeShade="BF"/>
            <w:sz w:val="18"/>
            <w:szCs w:val="18"/>
            <w:lang w:val="en-AU"/>
          </w:rPr>
          <w:t>Cost pass-through: theory, measurement and policy implications - GOV.UK (www.gov.uk)</w:t>
        </w:r>
      </w:hyperlink>
      <w:r w:rsidRPr="00B60C78">
        <w:rPr>
          <w:rStyle w:val="Hyperlink"/>
          <w:rFonts w:ascii="Arial" w:hAnsi="Arial" w:cs="Arial"/>
          <w:color w:val="auto"/>
          <w:sz w:val="18"/>
          <w:szCs w:val="18"/>
          <w:u w:val="none"/>
          <w:lang w:val="en-AU"/>
        </w:rPr>
        <w:t xml:space="preserve"> .</w:t>
      </w:r>
    </w:p>
    <w:p w14:paraId="33BEB27D" w14:textId="77777777" w:rsidR="00923C90" w:rsidRPr="00594E37" w:rsidRDefault="00923C90" w:rsidP="001B5C50">
      <w:pPr>
        <w:pStyle w:val="FootnoteText"/>
        <w:rPr>
          <w:lang w:val="en-US"/>
        </w:rPr>
      </w:pPr>
    </w:p>
  </w:footnote>
  <w:footnote w:id="22">
    <w:p w14:paraId="050A17F8" w14:textId="77777777" w:rsidR="00A10BEF" w:rsidRPr="001F09C0" w:rsidRDefault="00A10BEF" w:rsidP="00A10BEF">
      <w:pPr>
        <w:pStyle w:val="FootnoteText"/>
        <w:rPr>
          <w:lang w:val="en-US"/>
        </w:rPr>
      </w:pPr>
      <w:r w:rsidRPr="007965CA">
        <w:rPr>
          <w:rStyle w:val="FootnoteReference"/>
          <w:rFonts w:ascii="Arial" w:hAnsi="Arial" w:cs="Arial"/>
        </w:rPr>
        <w:footnoteRef/>
      </w:r>
      <w:r w:rsidRPr="007965CA">
        <w:rPr>
          <w:rFonts w:ascii="Arial" w:hAnsi="Arial" w:cs="Arial"/>
        </w:rPr>
        <w:t xml:space="preserve"> Health costs related to </w:t>
      </w:r>
      <w:r w:rsidRPr="007965CA">
        <w:rPr>
          <w:rFonts w:ascii="Arial" w:hAnsi="Arial" w:cs="Arial"/>
          <w:lang w:val="en-US"/>
        </w:rPr>
        <w:t>overweight and obesity are discounted by 7% a year over ten years in accordance with Office of Impact Analysis’ guidance.</w:t>
      </w:r>
    </w:p>
  </w:footnote>
  <w:footnote w:id="23">
    <w:p w14:paraId="25FDE7BA" w14:textId="1E36C4E6" w:rsidR="00923C90" w:rsidRPr="00B56069" w:rsidRDefault="00923C90" w:rsidP="006E275A">
      <w:pPr>
        <w:pStyle w:val="FootnoteText"/>
        <w:rPr>
          <w:lang w:val="en-US"/>
        </w:rPr>
      </w:pPr>
      <w:r w:rsidRPr="00294A26">
        <w:rPr>
          <w:rStyle w:val="FootnoteReference"/>
          <w:rFonts w:ascii="Arial" w:hAnsi="Arial" w:cs="Arial"/>
        </w:rPr>
        <w:footnoteRef/>
      </w:r>
      <w:r w:rsidRPr="00294A26">
        <w:rPr>
          <w:rFonts w:ascii="Arial" w:hAnsi="Arial" w:cs="Arial"/>
        </w:rPr>
        <w:t xml:space="preserve"> </w:t>
      </w:r>
      <w:r w:rsidRPr="00294A26">
        <w:rPr>
          <w:rFonts w:ascii="Arial" w:hAnsi="Arial" w:cs="Arial"/>
          <w:lang w:val="en-US"/>
        </w:rPr>
        <w:t xml:space="preserve">See: </w:t>
      </w:r>
      <w:hyperlink r:id="rId8" w:history="1">
        <w:r w:rsidRPr="00294A26">
          <w:rPr>
            <w:rStyle w:val="Hyperlink"/>
            <w:rFonts w:ascii="Arial" w:hAnsi="Arial" w:cs="Arial"/>
            <w:lang w:val="en-US"/>
          </w:rPr>
          <w:t>Understanding BMI - Heart Foundation NZ</w:t>
        </w:r>
      </w:hyperlink>
      <w:r w:rsidRPr="00294A26">
        <w:rPr>
          <w:rStyle w:val="Hyperlink"/>
          <w:rFonts w:ascii="Arial" w:hAnsi="Arial" w:cs="Arial"/>
          <w:color w:val="auto"/>
          <w:u w:val="none"/>
          <w:lang w:val="en-US"/>
        </w:rPr>
        <w:t xml:space="preserve"> .</w:t>
      </w:r>
    </w:p>
  </w:footnote>
  <w:footnote w:id="24">
    <w:p w14:paraId="611A60FB" w14:textId="77777777" w:rsidR="00923C90" w:rsidRPr="00294A26" w:rsidRDefault="00923C90" w:rsidP="00D54C9A">
      <w:pPr>
        <w:pStyle w:val="FootnoteText"/>
        <w:rPr>
          <w:rFonts w:ascii="Arial" w:hAnsi="Arial" w:cs="Arial"/>
        </w:rPr>
      </w:pPr>
      <w:r w:rsidRPr="00294A26">
        <w:rPr>
          <w:rStyle w:val="FootnoteReference"/>
          <w:rFonts w:ascii="Arial" w:hAnsi="Arial" w:cs="Arial"/>
        </w:rPr>
        <w:footnoteRef/>
      </w:r>
      <w:r w:rsidRPr="00294A26">
        <w:rPr>
          <w:rFonts w:ascii="Arial" w:hAnsi="Arial" w:cs="Arial"/>
        </w:rPr>
        <w:t xml:space="preserve"> </w:t>
      </w:r>
      <w:r w:rsidRPr="00294A26">
        <w:rPr>
          <w:rFonts w:ascii="Arial" w:hAnsi="Arial" w:cs="Arial"/>
          <w:lang w:val="en-US"/>
        </w:rPr>
        <w:t xml:space="preserve">Refer to the </w:t>
      </w:r>
      <w:hyperlink r:id="rId9" w:history="1">
        <w:r w:rsidRPr="00294A26">
          <w:rPr>
            <w:rStyle w:val="Hyperlink"/>
            <w:rFonts w:ascii="Arial" w:hAnsi="Arial" w:cs="Arial"/>
            <w:lang w:val="en-US"/>
          </w:rPr>
          <w:t>Food Regulation Policy Framework</w:t>
        </w:r>
      </w:hyperlink>
      <w:r w:rsidRPr="00294A26">
        <w:rPr>
          <w:rFonts w:ascii="Arial" w:hAnsi="Arial" w:cs="Arial"/>
          <w:lang w:val="en-US"/>
        </w:rPr>
        <w:t>, which tasks FRSC with evaluating the effectiveness of policy.</w:t>
      </w:r>
    </w:p>
  </w:footnote>
  <w:footnote w:id="25">
    <w:p w14:paraId="35716994" w14:textId="20082779" w:rsidR="00923C90" w:rsidRPr="00186166" w:rsidRDefault="00923C90" w:rsidP="00736F5A">
      <w:pPr>
        <w:pStyle w:val="FootnoteText"/>
        <w:rPr>
          <w:rFonts w:ascii="Arial" w:hAnsi="Arial" w:cs="Arial"/>
          <w:lang w:val="en-US"/>
        </w:rPr>
      </w:pPr>
      <w:r w:rsidRPr="00186166">
        <w:rPr>
          <w:rStyle w:val="FootnoteReference"/>
          <w:rFonts w:ascii="Arial" w:hAnsi="Arial" w:cs="Arial"/>
        </w:rPr>
        <w:footnoteRef/>
      </w:r>
      <w:r w:rsidRPr="00186166">
        <w:rPr>
          <w:rFonts w:ascii="Arial" w:hAnsi="Arial" w:cs="Arial"/>
        </w:rPr>
        <w:t xml:space="preserve"> </w:t>
      </w:r>
      <w:r w:rsidRPr="00186166">
        <w:rPr>
          <w:rFonts w:ascii="Arial" w:hAnsi="Arial" w:cs="Arial"/>
          <w:lang w:val="en-US"/>
        </w:rPr>
        <w:t>Based on the average $NZ to $AU exchange rate of 1.</w:t>
      </w:r>
      <w:r w:rsidR="00833D93">
        <w:rPr>
          <w:rFonts w:ascii="Arial" w:hAnsi="Arial" w:cs="Arial"/>
          <w:lang w:val="en-US"/>
        </w:rPr>
        <w:t>0</w:t>
      </w:r>
      <w:r w:rsidR="00833D93" w:rsidRPr="00E61AE2">
        <w:rPr>
          <w:rFonts w:ascii="Arial" w:hAnsi="Arial" w:cs="Arial"/>
          <w:lang w:val="en-US"/>
        </w:rPr>
        <w:t>8</w:t>
      </w:r>
      <w:r w:rsidR="00833D93">
        <w:rPr>
          <w:rFonts w:ascii="Arial" w:hAnsi="Arial" w:cs="Arial"/>
          <w:lang w:val="en-US"/>
        </w:rPr>
        <w:t>8785</w:t>
      </w:r>
      <w:r w:rsidR="00833D93" w:rsidRPr="00E61AE2">
        <w:rPr>
          <w:rFonts w:ascii="Arial" w:hAnsi="Arial" w:cs="Arial"/>
          <w:lang w:val="en-US"/>
        </w:rPr>
        <w:t xml:space="preserve"> in the three years to </w:t>
      </w:r>
      <w:r w:rsidR="00833D93">
        <w:rPr>
          <w:rFonts w:ascii="Arial" w:hAnsi="Arial" w:cs="Arial"/>
          <w:lang w:val="en-US"/>
        </w:rPr>
        <w:t>31</w:t>
      </w:r>
      <w:r w:rsidR="00833D93" w:rsidRPr="00E61AE2">
        <w:rPr>
          <w:rFonts w:ascii="Arial" w:hAnsi="Arial" w:cs="Arial"/>
          <w:lang w:val="en-US"/>
        </w:rPr>
        <w:t xml:space="preserve"> </w:t>
      </w:r>
      <w:r w:rsidR="00833D93">
        <w:rPr>
          <w:rFonts w:ascii="Arial" w:hAnsi="Arial" w:cs="Arial"/>
          <w:lang w:val="en-US"/>
        </w:rPr>
        <w:t>December</w:t>
      </w:r>
      <w:r w:rsidR="00833D93" w:rsidRPr="00E61AE2">
        <w:rPr>
          <w:rFonts w:ascii="Arial" w:hAnsi="Arial" w:cs="Arial"/>
          <w:lang w:val="en-US"/>
        </w:rPr>
        <w:t xml:space="preserve"> 2024</w:t>
      </w:r>
      <w:r w:rsidR="002B1B55">
        <w:rPr>
          <w:rFonts w:ascii="Arial" w:hAnsi="Arial" w:cs="Arial"/>
          <w:lang w:val="en-US"/>
        </w:rPr>
        <w:t xml:space="preserve"> (</w:t>
      </w:r>
      <w:hyperlink r:id="rId10" w:history="1">
        <w:r w:rsidR="002B1B55" w:rsidRPr="00E61AE2">
          <w:rPr>
            <w:rStyle w:val="Hyperlink"/>
            <w:rFonts w:ascii="Arial" w:hAnsi="Arial" w:cs="Arial"/>
            <w:lang w:val="en-US"/>
          </w:rPr>
          <w:t>Yearly average rates | OFX</w:t>
        </w:r>
      </w:hyperlink>
      <w:r w:rsidR="002B1B55">
        <w:t>)</w:t>
      </w:r>
      <w:r w:rsidR="0091550C">
        <w:rPr>
          <w:rFonts w:ascii="Arial" w:hAnsi="Arial" w:cs="Arial"/>
          <w:lang w:val="en-US"/>
        </w:rPr>
        <w:t xml:space="preserve"> and </w:t>
      </w:r>
      <w:r w:rsidR="002B1B55">
        <w:rPr>
          <w:rFonts w:ascii="Arial" w:hAnsi="Arial" w:cs="Arial"/>
          <w:lang w:val="en-US"/>
        </w:rPr>
        <w:t xml:space="preserve">New Zealand </w:t>
      </w:r>
      <w:r w:rsidR="00C75C71">
        <w:rPr>
          <w:rFonts w:ascii="Arial" w:hAnsi="Arial" w:cs="Arial"/>
          <w:lang w:val="en-US"/>
        </w:rPr>
        <w:t xml:space="preserve">PPI between </w:t>
      </w:r>
      <w:r w:rsidR="002B1B55">
        <w:rPr>
          <w:rFonts w:ascii="Arial" w:hAnsi="Arial" w:cs="Arial"/>
          <w:lang w:val="en-US"/>
        </w:rPr>
        <w:t>Dec</w:t>
      </w:r>
      <w:r w:rsidR="00510248">
        <w:rPr>
          <w:rFonts w:ascii="Arial" w:hAnsi="Arial" w:cs="Arial"/>
          <w:lang w:val="en-US"/>
        </w:rPr>
        <w:t xml:space="preserve"> 202</w:t>
      </w:r>
      <w:r w:rsidR="002B1B55">
        <w:rPr>
          <w:rFonts w:ascii="Arial" w:hAnsi="Arial" w:cs="Arial"/>
          <w:lang w:val="en-US"/>
        </w:rPr>
        <w:t>2</w:t>
      </w:r>
      <w:r w:rsidR="00510248">
        <w:rPr>
          <w:rFonts w:ascii="Arial" w:hAnsi="Arial" w:cs="Arial"/>
          <w:lang w:val="en-US"/>
        </w:rPr>
        <w:t xml:space="preserve"> and </w:t>
      </w:r>
      <w:r w:rsidR="002B1B55">
        <w:rPr>
          <w:rFonts w:ascii="Arial" w:hAnsi="Arial" w:cs="Arial"/>
          <w:lang w:val="en-US"/>
        </w:rPr>
        <w:t>Sep</w:t>
      </w:r>
      <w:r w:rsidR="00510248">
        <w:rPr>
          <w:rFonts w:ascii="Arial" w:hAnsi="Arial" w:cs="Arial"/>
          <w:lang w:val="en-US"/>
        </w:rPr>
        <w:t xml:space="preserve"> 2024</w:t>
      </w:r>
      <w:r w:rsidR="0057579B">
        <w:rPr>
          <w:rFonts w:ascii="Arial" w:hAnsi="Arial" w:cs="Arial"/>
          <w:lang w:val="en-US"/>
        </w:rPr>
        <w:t xml:space="preserve"> in absence of Dec 2024 PPI Index availability</w:t>
      </w:r>
      <w:r w:rsidR="00833D93" w:rsidRPr="00E61AE2">
        <w:rPr>
          <w:rFonts w:ascii="Arial" w:hAnsi="Arial" w:cs="Arial"/>
          <w:lang w:val="en-US"/>
        </w:rPr>
        <w:t xml:space="preserve">. </w:t>
      </w:r>
    </w:p>
  </w:footnote>
  <w:footnote w:id="26">
    <w:p w14:paraId="2F9D5C17" w14:textId="548BEFAF" w:rsidR="00923C90" w:rsidRPr="00E61AE2" w:rsidRDefault="00923C90">
      <w:pPr>
        <w:pStyle w:val="FootnoteText"/>
        <w:rPr>
          <w:rFonts w:ascii="Arial" w:hAnsi="Arial" w:cs="Arial"/>
          <w:lang w:val="en-US"/>
        </w:rPr>
      </w:pPr>
      <w:r w:rsidRPr="00E61AE2">
        <w:rPr>
          <w:rStyle w:val="FootnoteReference"/>
          <w:rFonts w:ascii="Arial" w:hAnsi="Arial" w:cs="Arial"/>
        </w:rPr>
        <w:footnoteRef/>
      </w:r>
      <w:r w:rsidRPr="00E61AE2">
        <w:rPr>
          <w:rFonts w:ascii="Arial" w:hAnsi="Arial" w:cs="Arial"/>
        </w:rPr>
        <w:t xml:space="preserve"> </w:t>
      </w:r>
      <w:r w:rsidRPr="00E61AE2">
        <w:rPr>
          <w:rFonts w:ascii="Arial" w:hAnsi="Arial" w:cs="Arial"/>
          <w:lang w:val="en-US"/>
        </w:rPr>
        <w:t xml:space="preserve">See: </w:t>
      </w:r>
      <w:hyperlink r:id="rId11" w:history="1">
        <w:r w:rsidRPr="00E61AE2">
          <w:rPr>
            <w:rStyle w:val="Hyperlink"/>
            <w:rFonts w:ascii="Arial" w:hAnsi="Arial" w:cs="Arial"/>
            <w:lang w:val="en-US"/>
          </w:rPr>
          <w:t>Understanding BMI - Heart Foundation NZ</w:t>
        </w:r>
      </w:hyperlink>
      <w:r w:rsidRPr="00E61AE2">
        <w:rPr>
          <w:rStyle w:val="Hyperlink"/>
          <w:rFonts w:ascii="Arial" w:hAnsi="Arial" w:cs="Arial"/>
          <w:color w:val="auto"/>
          <w:u w:val="none"/>
          <w:lang w:val="en-US"/>
        </w:rPr>
        <w:t xml:space="preserve"> .</w:t>
      </w:r>
    </w:p>
  </w:footnote>
  <w:footnote w:id="27">
    <w:p w14:paraId="4368F94C" w14:textId="42A3B547" w:rsidR="00923C90" w:rsidRPr="00A16F83" w:rsidRDefault="00923C90" w:rsidP="00481F4D">
      <w:pPr>
        <w:pStyle w:val="FootnoteText"/>
        <w:rPr>
          <w:lang w:val="en-US"/>
        </w:rPr>
      </w:pPr>
      <w:r w:rsidRPr="00E61AE2">
        <w:rPr>
          <w:rStyle w:val="FootnoteReference"/>
          <w:rFonts w:ascii="Arial" w:hAnsi="Arial" w:cs="Arial"/>
        </w:rPr>
        <w:footnoteRef/>
      </w:r>
      <w:r w:rsidRPr="00E61AE2">
        <w:rPr>
          <w:rFonts w:ascii="Arial" w:hAnsi="Arial" w:cs="Arial"/>
        </w:rPr>
        <w:t xml:space="preserve"> </w:t>
      </w:r>
      <w:r w:rsidRPr="00E61AE2">
        <w:rPr>
          <w:rFonts w:ascii="Arial" w:hAnsi="Arial" w:cs="Arial"/>
          <w:lang w:val="en-US"/>
        </w:rPr>
        <w:t>After converting New Zealand dollars to Australian dollars, based on the average $NZ to $AU exchange rate of 1.08</w:t>
      </w:r>
      <w:r w:rsidR="00635F66">
        <w:rPr>
          <w:rFonts w:ascii="Arial" w:hAnsi="Arial" w:cs="Arial"/>
          <w:lang w:val="en-US"/>
        </w:rPr>
        <w:t>8785</w:t>
      </w:r>
      <w:r w:rsidRPr="00E61AE2">
        <w:rPr>
          <w:rFonts w:ascii="Arial" w:hAnsi="Arial" w:cs="Arial"/>
          <w:lang w:val="en-US"/>
        </w:rPr>
        <w:t xml:space="preserve"> in the three years to </w:t>
      </w:r>
      <w:r w:rsidR="00635F66">
        <w:rPr>
          <w:rFonts w:ascii="Arial" w:hAnsi="Arial" w:cs="Arial"/>
          <w:lang w:val="en-US"/>
        </w:rPr>
        <w:t>31</w:t>
      </w:r>
      <w:r w:rsidRPr="00E61AE2">
        <w:rPr>
          <w:rFonts w:ascii="Arial" w:hAnsi="Arial" w:cs="Arial"/>
          <w:lang w:val="en-US"/>
        </w:rPr>
        <w:t xml:space="preserve"> </w:t>
      </w:r>
      <w:r w:rsidR="00635F66">
        <w:rPr>
          <w:rFonts w:ascii="Arial" w:hAnsi="Arial" w:cs="Arial"/>
          <w:lang w:val="en-US"/>
        </w:rPr>
        <w:t>December</w:t>
      </w:r>
      <w:r w:rsidRPr="00E61AE2">
        <w:rPr>
          <w:rFonts w:ascii="Arial" w:hAnsi="Arial" w:cs="Arial"/>
          <w:lang w:val="en-US"/>
        </w:rPr>
        <w:t xml:space="preserve"> 2024. See: </w:t>
      </w:r>
      <w:hyperlink r:id="rId12" w:history="1">
        <w:r w:rsidRPr="00E61AE2">
          <w:rPr>
            <w:rStyle w:val="Hyperlink"/>
            <w:rFonts w:ascii="Arial" w:hAnsi="Arial" w:cs="Arial"/>
            <w:lang w:val="en-US"/>
          </w:rPr>
          <w:t>Yearly average rates | OFX</w:t>
        </w:r>
      </w:hyperlink>
      <w:r w:rsidRPr="00E61AE2">
        <w:rPr>
          <w:rStyle w:val="Hyperlink"/>
          <w:rFonts w:ascii="Arial" w:hAnsi="Arial" w:cs="Arial"/>
          <w:color w:val="auto"/>
          <w:u w:val="none"/>
          <w:lang w:val="en-US"/>
        </w:rPr>
        <w:t xml:space="preserve"> .</w:t>
      </w:r>
      <w:r w:rsidR="00FF46DA">
        <w:rPr>
          <w:rStyle w:val="Hyperlink"/>
          <w:rFonts w:ascii="Arial" w:hAnsi="Arial" w:cs="Arial"/>
          <w:color w:val="auto"/>
          <w:u w:val="none"/>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C5157" w14:textId="67818D81" w:rsidR="00DD070E" w:rsidRDefault="0064630B">
    <w:pPr>
      <w:pStyle w:val="Header"/>
    </w:pPr>
    <w:r>
      <w:rPr>
        <w:noProof/>
        <w:lang w:val="en-AU" w:eastAsia="en-AU"/>
      </w:rPr>
      <mc:AlternateContent>
        <mc:Choice Requires="wps">
          <w:drawing>
            <wp:anchor distT="0" distB="0" distL="114300" distR="114300" simplePos="0" relativeHeight="251658241" behindDoc="0" locked="1" layoutInCell="0" allowOverlap="1" wp14:anchorId="701E7231" wp14:editId="559C54CA">
              <wp:simplePos x="0" y="0"/>
              <wp:positionH relativeFrom="margin">
                <wp:align>center</wp:align>
              </wp:positionH>
              <wp:positionV relativeFrom="topMargin">
                <wp:align>center</wp:align>
              </wp:positionV>
              <wp:extent cx="892175" cy="287020"/>
              <wp:effectExtent l="0" t="0" r="0" b="0"/>
              <wp:wrapNone/>
              <wp:docPr id="787823869" name="janusSEAL SC H_EvenPage"/>
              <wp:cNvGraphicFramePr/>
              <a:graphic xmlns:a="http://schemas.openxmlformats.org/drawingml/2006/main">
                <a:graphicData uri="http://schemas.microsoft.com/office/word/2010/wordprocessingShape">
                  <wps:wsp>
                    <wps:cNvSpPr txBox="1"/>
                    <wps:spPr>
                      <a:xfrm>
                        <a:off x="0" y="0"/>
                        <a:ext cx="89217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77E3E" w14:textId="324EA303" w:rsidR="0064630B" w:rsidRPr="0064630B" w:rsidRDefault="0064630B" w:rsidP="00C07EBE">
                          <w:pPr>
                            <w:spacing w:after="0"/>
                            <w:jc w:val="center"/>
                            <w:rPr>
                              <w:rFonts w:ascii="Arial" w:hAnsi="Arial" w:cs="Arial"/>
                              <w:b/>
                              <w:color w:val="FF0000"/>
                              <w:sz w:val="24"/>
                            </w:rPr>
                          </w:pPr>
                          <w:r w:rsidRPr="0064630B">
                            <w:rPr>
                              <w:rFonts w:ascii="Arial" w:hAnsi="Arial" w:cs="Arial"/>
                              <w:b/>
                              <w:color w:val="FF0000"/>
                              <w:sz w:val="24"/>
                            </w:rPr>
                            <w:fldChar w:fldCharType="begin"/>
                          </w:r>
                          <w:r w:rsidRPr="0064630B">
                            <w:rPr>
                              <w:rFonts w:ascii="Arial" w:hAnsi="Arial" w:cs="Arial"/>
                              <w:b/>
                              <w:color w:val="FF0000"/>
                              <w:sz w:val="24"/>
                            </w:rPr>
                            <w:instrText xml:space="preserve"> DOCPROPERTY PM_ProtectiveMarkingValue_Header \* MERGEFORMAT </w:instrText>
                          </w:r>
                          <w:r w:rsidRPr="0064630B">
                            <w:rPr>
                              <w:rFonts w:ascii="Arial" w:hAnsi="Arial" w:cs="Arial"/>
                              <w:b/>
                              <w:color w:val="FF0000"/>
                              <w:sz w:val="24"/>
                            </w:rPr>
                            <w:fldChar w:fldCharType="separate"/>
                          </w:r>
                          <w:r w:rsidR="00C07EBE">
                            <w:rPr>
                              <w:rFonts w:ascii="Arial" w:hAnsi="Arial" w:cs="Arial"/>
                              <w:b/>
                              <w:color w:val="FF0000"/>
                              <w:sz w:val="24"/>
                            </w:rPr>
                            <w:t>UNOFFICIAL</w:t>
                          </w:r>
                          <w:r w:rsidRPr="0064630B">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01E7231" id="_x0000_t202" coordsize="21600,21600" o:spt="202" path="m,l,21600r21600,l21600,xe">
              <v:stroke joinstyle="miter"/>
              <v:path gradientshapeok="t" o:connecttype="rect"/>
            </v:shapetype>
            <v:shape id="janusSEAL SC H_EvenPage" o:spid="_x0000_s1026" type="#_x0000_t202" style="position:absolute;margin-left:0;margin-top:0;width:70.25pt;height:22.6pt;z-index:25165824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" o:allowincell="f" filled="f" stroked="f" strokeweight=".5pt">
              <v:textbox style="mso-fit-shape-to-text:t">
                <w:txbxContent>
                  <w:p w14:paraId="7EE77E3E" w14:textId="324EA303" w:rsidR="0064630B" w:rsidRPr="0064630B" w:rsidRDefault="0064630B" w:rsidP="00C07EBE">
                    <w:pPr>
                      <w:spacing w:after="0"/>
                      <w:jc w:val="center"/>
                      <w:rPr>
                        <w:rFonts w:ascii="Arial" w:hAnsi="Arial" w:cs="Arial"/>
                        <w:b/>
                        <w:color w:val="FF0000"/>
                        <w:sz w:val="24"/>
                      </w:rPr>
                    </w:pPr>
                    <w:r w:rsidRPr="0064630B">
                      <w:rPr>
                        <w:rFonts w:ascii="Arial" w:hAnsi="Arial" w:cs="Arial"/>
                        <w:b/>
                        <w:color w:val="FF0000"/>
                        <w:sz w:val="24"/>
                      </w:rPr>
                      <w:fldChar w:fldCharType="begin"/>
                    </w:r>
                    <w:r w:rsidRPr="0064630B">
                      <w:rPr>
                        <w:rFonts w:ascii="Arial" w:hAnsi="Arial" w:cs="Arial"/>
                        <w:b/>
                        <w:color w:val="FF0000"/>
                        <w:sz w:val="24"/>
                      </w:rPr>
                      <w:instrText xml:space="preserve"> DOCPROPERTY PM_ProtectiveMarkingValue_Header \* MERGEFORMAT </w:instrText>
                    </w:r>
                    <w:r w:rsidRPr="0064630B">
                      <w:rPr>
                        <w:rFonts w:ascii="Arial" w:hAnsi="Arial" w:cs="Arial"/>
                        <w:b/>
                        <w:color w:val="FF0000"/>
                        <w:sz w:val="24"/>
                      </w:rPr>
                      <w:fldChar w:fldCharType="separate"/>
                    </w:r>
                    <w:r w:rsidR="00C07EBE">
                      <w:rPr>
                        <w:rFonts w:ascii="Arial" w:hAnsi="Arial" w:cs="Arial"/>
                        <w:b/>
                        <w:color w:val="FF0000"/>
                        <w:sz w:val="24"/>
                      </w:rPr>
                      <w:t>UNOFFICIAL</w:t>
                    </w:r>
                    <w:r w:rsidRPr="0064630B">
                      <w:rPr>
                        <w:rFonts w:ascii="Arial" w:hAnsi="Arial" w:cs="Arial"/>
                        <w:b/>
                        <w:color w:val="FF00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AC1B3" w14:textId="77777777" w:rsidR="00465A52" w:rsidRDefault="00465A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BB5D6" w14:textId="6759D8F9" w:rsidR="00DD070E" w:rsidRDefault="0064630B">
    <w:pPr>
      <w:pStyle w:val="Header"/>
    </w:pPr>
    <w:r>
      <w:rPr>
        <w:noProof/>
        <w:lang w:val="en-AU" w:eastAsia="en-AU"/>
      </w:rPr>
      <mc:AlternateContent>
        <mc:Choice Requires="wps">
          <w:drawing>
            <wp:anchor distT="0" distB="0" distL="114300" distR="114300" simplePos="0" relativeHeight="251658240" behindDoc="0" locked="1" layoutInCell="0" allowOverlap="1" wp14:anchorId="7CE5A97C" wp14:editId="6EE03A96">
              <wp:simplePos x="0" y="0"/>
              <wp:positionH relativeFrom="margin">
                <wp:align>center</wp:align>
              </wp:positionH>
              <wp:positionV relativeFrom="topMargin">
                <wp:align>center</wp:align>
              </wp:positionV>
              <wp:extent cx="892175" cy="287020"/>
              <wp:effectExtent l="0" t="0" r="0" b="0"/>
              <wp:wrapNone/>
              <wp:docPr id="525333967" name="janusSEAL SC H_FirstPage"/>
              <wp:cNvGraphicFramePr/>
              <a:graphic xmlns:a="http://schemas.openxmlformats.org/drawingml/2006/main">
                <a:graphicData uri="http://schemas.microsoft.com/office/word/2010/wordprocessingShape">
                  <wps:wsp>
                    <wps:cNvSpPr txBox="1"/>
                    <wps:spPr>
                      <a:xfrm>
                        <a:off x="0" y="0"/>
                        <a:ext cx="89217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BC9A4B" w14:textId="19290472" w:rsidR="0064630B" w:rsidRPr="0064630B" w:rsidRDefault="0064630B" w:rsidP="00C07EBE">
                          <w:pPr>
                            <w:spacing w:after="0"/>
                            <w:jc w:val="center"/>
                            <w:rPr>
                              <w:rFonts w:ascii="Arial" w:hAnsi="Arial" w:cs="Arial"/>
                              <w:b/>
                              <w:color w:val="FF0000"/>
                              <w:sz w:val="24"/>
                            </w:rPr>
                          </w:pPr>
                          <w:r w:rsidRPr="0064630B">
                            <w:rPr>
                              <w:rFonts w:ascii="Arial" w:hAnsi="Arial" w:cs="Arial"/>
                              <w:b/>
                              <w:color w:val="FF0000"/>
                              <w:sz w:val="24"/>
                            </w:rPr>
                            <w:fldChar w:fldCharType="begin"/>
                          </w:r>
                          <w:r w:rsidRPr="0064630B">
                            <w:rPr>
                              <w:rFonts w:ascii="Arial" w:hAnsi="Arial" w:cs="Arial"/>
                              <w:b/>
                              <w:color w:val="FF0000"/>
                              <w:sz w:val="24"/>
                            </w:rPr>
                            <w:instrText xml:space="preserve"> DOCPROPERTY PM_ProtectiveMarkingValue_Header \* MERGEFORMAT </w:instrText>
                          </w:r>
                          <w:r w:rsidRPr="0064630B">
                            <w:rPr>
                              <w:rFonts w:ascii="Arial" w:hAnsi="Arial" w:cs="Arial"/>
                              <w:b/>
                              <w:color w:val="FF0000"/>
                              <w:sz w:val="24"/>
                            </w:rPr>
                            <w:fldChar w:fldCharType="separate"/>
                          </w:r>
                          <w:r w:rsidR="00C07EBE">
                            <w:rPr>
                              <w:rFonts w:ascii="Arial" w:hAnsi="Arial" w:cs="Arial"/>
                              <w:b/>
                              <w:color w:val="FF0000"/>
                              <w:sz w:val="24"/>
                            </w:rPr>
                            <w:t>UNOFFICIAL</w:t>
                          </w:r>
                          <w:r w:rsidRPr="0064630B">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E5A97C" id="_x0000_t202" coordsize="21600,21600" o:spt="202" path="m,l,21600r21600,l21600,xe">
              <v:stroke joinstyle="miter"/>
              <v:path gradientshapeok="t" o:connecttype="rect"/>
            </v:shapetype>
            <v:shape id="janusSEAL SC H_FirstPage" o:spid="_x0000_s1028" type="#_x0000_t202" style="position:absolute;margin-left:0;margin-top:0;width:70.25pt;height:22.6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" o:allowincell="f" filled="f" stroked="f" strokeweight=".5pt">
              <v:textbox style="mso-fit-shape-to-text:t">
                <w:txbxContent>
                  <w:p w14:paraId="3EBC9A4B" w14:textId="19290472" w:rsidR="0064630B" w:rsidRPr="0064630B" w:rsidRDefault="0064630B" w:rsidP="00C07EBE">
                    <w:pPr>
                      <w:spacing w:after="0"/>
                      <w:jc w:val="center"/>
                      <w:rPr>
                        <w:rFonts w:ascii="Arial" w:hAnsi="Arial" w:cs="Arial"/>
                        <w:b/>
                        <w:color w:val="FF0000"/>
                        <w:sz w:val="24"/>
                      </w:rPr>
                    </w:pPr>
                    <w:r w:rsidRPr="0064630B">
                      <w:rPr>
                        <w:rFonts w:ascii="Arial" w:hAnsi="Arial" w:cs="Arial"/>
                        <w:b/>
                        <w:color w:val="FF0000"/>
                        <w:sz w:val="24"/>
                      </w:rPr>
                      <w:fldChar w:fldCharType="begin"/>
                    </w:r>
                    <w:r w:rsidRPr="0064630B">
                      <w:rPr>
                        <w:rFonts w:ascii="Arial" w:hAnsi="Arial" w:cs="Arial"/>
                        <w:b/>
                        <w:color w:val="FF0000"/>
                        <w:sz w:val="24"/>
                      </w:rPr>
                      <w:instrText xml:space="preserve"> DOCPROPERTY PM_ProtectiveMarkingValue_Header \* MERGEFORMAT </w:instrText>
                    </w:r>
                    <w:r w:rsidRPr="0064630B">
                      <w:rPr>
                        <w:rFonts w:ascii="Arial" w:hAnsi="Arial" w:cs="Arial"/>
                        <w:b/>
                        <w:color w:val="FF0000"/>
                        <w:sz w:val="24"/>
                      </w:rPr>
                      <w:fldChar w:fldCharType="separate"/>
                    </w:r>
                    <w:r w:rsidR="00C07EBE">
                      <w:rPr>
                        <w:rFonts w:ascii="Arial" w:hAnsi="Arial" w:cs="Arial"/>
                        <w:b/>
                        <w:color w:val="FF0000"/>
                        <w:sz w:val="24"/>
                      </w:rPr>
                      <w:t>UNOFFICIAL</w:t>
                    </w:r>
                    <w:r w:rsidRPr="0064630B">
                      <w:rPr>
                        <w:rFonts w:ascii="Arial" w:hAnsi="Arial" w:cs="Arial"/>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16EA4"/>
    <w:multiLevelType w:val="hybridMultilevel"/>
    <w:tmpl w:val="6EC28F88"/>
    <w:lvl w:ilvl="0" w:tplc="08AC14B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55664CC"/>
    <w:multiLevelType w:val="hybridMultilevel"/>
    <w:tmpl w:val="87069C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6731EA0"/>
    <w:multiLevelType w:val="hybridMultilevel"/>
    <w:tmpl w:val="4A66B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D2D24"/>
    <w:multiLevelType w:val="hybridMultilevel"/>
    <w:tmpl w:val="D0B89F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12EC1794"/>
    <w:multiLevelType w:val="hybridMultilevel"/>
    <w:tmpl w:val="5C885D3C"/>
    <w:lvl w:ilvl="0" w:tplc="14090001">
      <w:start w:val="1"/>
      <w:numFmt w:val="bullet"/>
      <w:lvlText w:val=""/>
      <w:lvlJc w:val="left"/>
      <w:pPr>
        <w:ind w:left="784" w:hanging="360"/>
      </w:pPr>
      <w:rPr>
        <w:rFonts w:ascii="Symbol" w:hAnsi="Symbol" w:hint="default"/>
      </w:rPr>
    </w:lvl>
    <w:lvl w:ilvl="1" w:tplc="14090003" w:tentative="1">
      <w:start w:val="1"/>
      <w:numFmt w:val="bullet"/>
      <w:lvlText w:val="o"/>
      <w:lvlJc w:val="left"/>
      <w:pPr>
        <w:ind w:left="1504" w:hanging="360"/>
      </w:pPr>
      <w:rPr>
        <w:rFonts w:ascii="Courier New" w:hAnsi="Courier New" w:cs="Courier New" w:hint="default"/>
      </w:rPr>
    </w:lvl>
    <w:lvl w:ilvl="2" w:tplc="14090005" w:tentative="1">
      <w:start w:val="1"/>
      <w:numFmt w:val="bullet"/>
      <w:lvlText w:val=""/>
      <w:lvlJc w:val="left"/>
      <w:pPr>
        <w:ind w:left="2224" w:hanging="360"/>
      </w:pPr>
      <w:rPr>
        <w:rFonts w:ascii="Wingdings" w:hAnsi="Wingdings" w:hint="default"/>
      </w:rPr>
    </w:lvl>
    <w:lvl w:ilvl="3" w:tplc="14090001" w:tentative="1">
      <w:start w:val="1"/>
      <w:numFmt w:val="bullet"/>
      <w:lvlText w:val=""/>
      <w:lvlJc w:val="left"/>
      <w:pPr>
        <w:ind w:left="2944" w:hanging="360"/>
      </w:pPr>
      <w:rPr>
        <w:rFonts w:ascii="Symbol" w:hAnsi="Symbol" w:hint="default"/>
      </w:rPr>
    </w:lvl>
    <w:lvl w:ilvl="4" w:tplc="14090003" w:tentative="1">
      <w:start w:val="1"/>
      <w:numFmt w:val="bullet"/>
      <w:lvlText w:val="o"/>
      <w:lvlJc w:val="left"/>
      <w:pPr>
        <w:ind w:left="3664" w:hanging="360"/>
      </w:pPr>
      <w:rPr>
        <w:rFonts w:ascii="Courier New" w:hAnsi="Courier New" w:cs="Courier New" w:hint="default"/>
      </w:rPr>
    </w:lvl>
    <w:lvl w:ilvl="5" w:tplc="14090005" w:tentative="1">
      <w:start w:val="1"/>
      <w:numFmt w:val="bullet"/>
      <w:lvlText w:val=""/>
      <w:lvlJc w:val="left"/>
      <w:pPr>
        <w:ind w:left="4384" w:hanging="360"/>
      </w:pPr>
      <w:rPr>
        <w:rFonts w:ascii="Wingdings" w:hAnsi="Wingdings" w:hint="default"/>
      </w:rPr>
    </w:lvl>
    <w:lvl w:ilvl="6" w:tplc="14090001" w:tentative="1">
      <w:start w:val="1"/>
      <w:numFmt w:val="bullet"/>
      <w:lvlText w:val=""/>
      <w:lvlJc w:val="left"/>
      <w:pPr>
        <w:ind w:left="5104" w:hanging="360"/>
      </w:pPr>
      <w:rPr>
        <w:rFonts w:ascii="Symbol" w:hAnsi="Symbol" w:hint="default"/>
      </w:rPr>
    </w:lvl>
    <w:lvl w:ilvl="7" w:tplc="14090003" w:tentative="1">
      <w:start w:val="1"/>
      <w:numFmt w:val="bullet"/>
      <w:lvlText w:val="o"/>
      <w:lvlJc w:val="left"/>
      <w:pPr>
        <w:ind w:left="5824" w:hanging="360"/>
      </w:pPr>
      <w:rPr>
        <w:rFonts w:ascii="Courier New" w:hAnsi="Courier New" w:cs="Courier New" w:hint="default"/>
      </w:rPr>
    </w:lvl>
    <w:lvl w:ilvl="8" w:tplc="14090005" w:tentative="1">
      <w:start w:val="1"/>
      <w:numFmt w:val="bullet"/>
      <w:lvlText w:val=""/>
      <w:lvlJc w:val="left"/>
      <w:pPr>
        <w:ind w:left="6544" w:hanging="360"/>
      </w:pPr>
      <w:rPr>
        <w:rFonts w:ascii="Wingdings" w:hAnsi="Wingdings" w:hint="default"/>
      </w:rPr>
    </w:lvl>
  </w:abstractNum>
  <w:abstractNum w:abstractNumId="6" w15:restartNumberingAfterBreak="0">
    <w:nsid w:val="14BC1FFE"/>
    <w:multiLevelType w:val="hybridMultilevel"/>
    <w:tmpl w:val="8BE2C072"/>
    <w:lvl w:ilvl="0" w:tplc="14090001">
      <w:start w:val="1"/>
      <w:numFmt w:val="bullet"/>
      <w:lvlText w:val=""/>
      <w:lvlJc w:val="left"/>
      <w:pPr>
        <w:ind w:left="784" w:hanging="360"/>
      </w:pPr>
      <w:rPr>
        <w:rFonts w:ascii="Symbol" w:hAnsi="Symbol" w:hint="default"/>
      </w:rPr>
    </w:lvl>
    <w:lvl w:ilvl="1" w:tplc="14090003" w:tentative="1">
      <w:start w:val="1"/>
      <w:numFmt w:val="bullet"/>
      <w:lvlText w:val="o"/>
      <w:lvlJc w:val="left"/>
      <w:pPr>
        <w:ind w:left="1504" w:hanging="360"/>
      </w:pPr>
      <w:rPr>
        <w:rFonts w:ascii="Courier New" w:hAnsi="Courier New" w:cs="Courier New" w:hint="default"/>
      </w:rPr>
    </w:lvl>
    <w:lvl w:ilvl="2" w:tplc="14090005" w:tentative="1">
      <w:start w:val="1"/>
      <w:numFmt w:val="bullet"/>
      <w:lvlText w:val=""/>
      <w:lvlJc w:val="left"/>
      <w:pPr>
        <w:ind w:left="2224" w:hanging="360"/>
      </w:pPr>
      <w:rPr>
        <w:rFonts w:ascii="Wingdings" w:hAnsi="Wingdings" w:hint="default"/>
      </w:rPr>
    </w:lvl>
    <w:lvl w:ilvl="3" w:tplc="14090001" w:tentative="1">
      <w:start w:val="1"/>
      <w:numFmt w:val="bullet"/>
      <w:lvlText w:val=""/>
      <w:lvlJc w:val="left"/>
      <w:pPr>
        <w:ind w:left="2944" w:hanging="360"/>
      </w:pPr>
      <w:rPr>
        <w:rFonts w:ascii="Symbol" w:hAnsi="Symbol" w:hint="default"/>
      </w:rPr>
    </w:lvl>
    <w:lvl w:ilvl="4" w:tplc="14090003" w:tentative="1">
      <w:start w:val="1"/>
      <w:numFmt w:val="bullet"/>
      <w:lvlText w:val="o"/>
      <w:lvlJc w:val="left"/>
      <w:pPr>
        <w:ind w:left="3664" w:hanging="360"/>
      </w:pPr>
      <w:rPr>
        <w:rFonts w:ascii="Courier New" w:hAnsi="Courier New" w:cs="Courier New" w:hint="default"/>
      </w:rPr>
    </w:lvl>
    <w:lvl w:ilvl="5" w:tplc="14090005" w:tentative="1">
      <w:start w:val="1"/>
      <w:numFmt w:val="bullet"/>
      <w:lvlText w:val=""/>
      <w:lvlJc w:val="left"/>
      <w:pPr>
        <w:ind w:left="4384" w:hanging="360"/>
      </w:pPr>
      <w:rPr>
        <w:rFonts w:ascii="Wingdings" w:hAnsi="Wingdings" w:hint="default"/>
      </w:rPr>
    </w:lvl>
    <w:lvl w:ilvl="6" w:tplc="14090001" w:tentative="1">
      <w:start w:val="1"/>
      <w:numFmt w:val="bullet"/>
      <w:lvlText w:val=""/>
      <w:lvlJc w:val="left"/>
      <w:pPr>
        <w:ind w:left="5104" w:hanging="360"/>
      </w:pPr>
      <w:rPr>
        <w:rFonts w:ascii="Symbol" w:hAnsi="Symbol" w:hint="default"/>
      </w:rPr>
    </w:lvl>
    <w:lvl w:ilvl="7" w:tplc="14090003" w:tentative="1">
      <w:start w:val="1"/>
      <w:numFmt w:val="bullet"/>
      <w:lvlText w:val="o"/>
      <w:lvlJc w:val="left"/>
      <w:pPr>
        <w:ind w:left="5824" w:hanging="360"/>
      </w:pPr>
      <w:rPr>
        <w:rFonts w:ascii="Courier New" w:hAnsi="Courier New" w:cs="Courier New" w:hint="default"/>
      </w:rPr>
    </w:lvl>
    <w:lvl w:ilvl="8" w:tplc="14090005" w:tentative="1">
      <w:start w:val="1"/>
      <w:numFmt w:val="bullet"/>
      <w:lvlText w:val=""/>
      <w:lvlJc w:val="left"/>
      <w:pPr>
        <w:ind w:left="6544" w:hanging="360"/>
      </w:pPr>
      <w:rPr>
        <w:rFonts w:ascii="Wingdings" w:hAnsi="Wingdings" w:hint="default"/>
      </w:rPr>
    </w:lvl>
  </w:abstractNum>
  <w:abstractNum w:abstractNumId="7" w15:restartNumberingAfterBreak="0">
    <w:nsid w:val="17F252D1"/>
    <w:multiLevelType w:val="hybridMultilevel"/>
    <w:tmpl w:val="A3FC69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E7A5EE4"/>
    <w:multiLevelType w:val="hybridMultilevel"/>
    <w:tmpl w:val="5324E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8B722E"/>
    <w:multiLevelType w:val="hybridMultilevel"/>
    <w:tmpl w:val="59B4A4FE"/>
    <w:lvl w:ilvl="0" w:tplc="14090001">
      <w:start w:val="1"/>
      <w:numFmt w:val="bullet"/>
      <w:lvlText w:val=""/>
      <w:lvlJc w:val="left"/>
      <w:pPr>
        <w:ind w:left="782" w:hanging="360"/>
      </w:pPr>
      <w:rPr>
        <w:rFonts w:ascii="Symbol" w:hAnsi="Symbol" w:hint="default"/>
      </w:rPr>
    </w:lvl>
    <w:lvl w:ilvl="1" w:tplc="14090003" w:tentative="1">
      <w:start w:val="1"/>
      <w:numFmt w:val="bullet"/>
      <w:lvlText w:val="o"/>
      <w:lvlJc w:val="left"/>
      <w:pPr>
        <w:ind w:left="1502" w:hanging="360"/>
      </w:pPr>
      <w:rPr>
        <w:rFonts w:ascii="Courier New" w:hAnsi="Courier New" w:cs="Courier New" w:hint="default"/>
      </w:rPr>
    </w:lvl>
    <w:lvl w:ilvl="2" w:tplc="14090005" w:tentative="1">
      <w:start w:val="1"/>
      <w:numFmt w:val="bullet"/>
      <w:lvlText w:val=""/>
      <w:lvlJc w:val="left"/>
      <w:pPr>
        <w:ind w:left="2222" w:hanging="360"/>
      </w:pPr>
      <w:rPr>
        <w:rFonts w:ascii="Wingdings" w:hAnsi="Wingdings" w:hint="default"/>
      </w:rPr>
    </w:lvl>
    <w:lvl w:ilvl="3" w:tplc="14090001" w:tentative="1">
      <w:start w:val="1"/>
      <w:numFmt w:val="bullet"/>
      <w:lvlText w:val=""/>
      <w:lvlJc w:val="left"/>
      <w:pPr>
        <w:ind w:left="2942" w:hanging="360"/>
      </w:pPr>
      <w:rPr>
        <w:rFonts w:ascii="Symbol" w:hAnsi="Symbol" w:hint="default"/>
      </w:rPr>
    </w:lvl>
    <w:lvl w:ilvl="4" w:tplc="14090003" w:tentative="1">
      <w:start w:val="1"/>
      <w:numFmt w:val="bullet"/>
      <w:lvlText w:val="o"/>
      <w:lvlJc w:val="left"/>
      <w:pPr>
        <w:ind w:left="3662" w:hanging="360"/>
      </w:pPr>
      <w:rPr>
        <w:rFonts w:ascii="Courier New" w:hAnsi="Courier New" w:cs="Courier New" w:hint="default"/>
      </w:rPr>
    </w:lvl>
    <w:lvl w:ilvl="5" w:tplc="14090005" w:tentative="1">
      <w:start w:val="1"/>
      <w:numFmt w:val="bullet"/>
      <w:lvlText w:val=""/>
      <w:lvlJc w:val="left"/>
      <w:pPr>
        <w:ind w:left="4382" w:hanging="360"/>
      </w:pPr>
      <w:rPr>
        <w:rFonts w:ascii="Wingdings" w:hAnsi="Wingdings" w:hint="default"/>
      </w:rPr>
    </w:lvl>
    <w:lvl w:ilvl="6" w:tplc="14090001" w:tentative="1">
      <w:start w:val="1"/>
      <w:numFmt w:val="bullet"/>
      <w:lvlText w:val=""/>
      <w:lvlJc w:val="left"/>
      <w:pPr>
        <w:ind w:left="5102" w:hanging="360"/>
      </w:pPr>
      <w:rPr>
        <w:rFonts w:ascii="Symbol" w:hAnsi="Symbol" w:hint="default"/>
      </w:rPr>
    </w:lvl>
    <w:lvl w:ilvl="7" w:tplc="14090003" w:tentative="1">
      <w:start w:val="1"/>
      <w:numFmt w:val="bullet"/>
      <w:lvlText w:val="o"/>
      <w:lvlJc w:val="left"/>
      <w:pPr>
        <w:ind w:left="5822" w:hanging="360"/>
      </w:pPr>
      <w:rPr>
        <w:rFonts w:ascii="Courier New" w:hAnsi="Courier New" w:cs="Courier New" w:hint="default"/>
      </w:rPr>
    </w:lvl>
    <w:lvl w:ilvl="8" w:tplc="14090005" w:tentative="1">
      <w:start w:val="1"/>
      <w:numFmt w:val="bullet"/>
      <w:lvlText w:val=""/>
      <w:lvlJc w:val="left"/>
      <w:pPr>
        <w:ind w:left="6542" w:hanging="360"/>
      </w:pPr>
      <w:rPr>
        <w:rFonts w:ascii="Wingdings" w:hAnsi="Wingdings" w:hint="default"/>
      </w:rPr>
    </w:lvl>
  </w:abstractNum>
  <w:abstractNum w:abstractNumId="10" w15:restartNumberingAfterBreak="0">
    <w:nsid w:val="209371E4"/>
    <w:multiLevelType w:val="hybridMultilevel"/>
    <w:tmpl w:val="5FE0A5A4"/>
    <w:lvl w:ilvl="0" w:tplc="14090017">
      <w:start w:val="1"/>
      <w:numFmt w:val="lowerLetter"/>
      <w:lvlText w:val="%1)"/>
      <w:lvlJc w:val="left"/>
      <w:pPr>
        <w:ind w:left="780" w:hanging="360"/>
      </w:pPr>
      <w:rPr>
        <w:rFont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23D0148B"/>
    <w:multiLevelType w:val="hybridMultilevel"/>
    <w:tmpl w:val="1B98DE08"/>
    <w:lvl w:ilvl="0" w:tplc="E4485A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A6F14F3"/>
    <w:multiLevelType w:val="hybridMultilevel"/>
    <w:tmpl w:val="4E48B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A8D14A5"/>
    <w:multiLevelType w:val="hybridMultilevel"/>
    <w:tmpl w:val="574A2AFE"/>
    <w:lvl w:ilvl="0" w:tplc="14090001">
      <w:start w:val="1"/>
      <w:numFmt w:val="bullet"/>
      <w:lvlText w:val=""/>
      <w:lvlJc w:val="left"/>
      <w:pPr>
        <w:ind w:left="784" w:hanging="360"/>
      </w:pPr>
      <w:rPr>
        <w:rFonts w:ascii="Symbol" w:hAnsi="Symbol" w:hint="default"/>
      </w:rPr>
    </w:lvl>
    <w:lvl w:ilvl="1" w:tplc="14090003" w:tentative="1">
      <w:start w:val="1"/>
      <w:numFmt w:val="bullet"/>
      <w:lvlText w:val="o"/>
      <w:lvlJc w:val="left"/>
      <w:pPr>
        <w:ind w:left="1504" w:hanging="360"/>
      </w:pPr>
      <w:rPr>
        <w:rFonts w:ascii="Courier New" w:hAnsi="Courier New" w:cs="Courier New" w:hint="default"/>
      </w:rPr>
    </w:lvl>
    <w:lvl w:ilvl="2" w:tplc="14090005" w:tentative="1">
      <w:start w:val="1"/>
      <w:numFmt w:val="bullet"/>
      <w:lvlText w:val=""/>
      <w:lvlJc w:val="left"/>
      <w:pPr>
        <w:ind w:left="2224" w:hanging="360"/>
      </w:pPr>
      <w:rPr>
        <w:rFonts w:ascii="Wingdings" w:hAnsi="Wingdings" w:hint="default"/>
      </w:rPr>
    </w:lvl>
    <w:lvl w:ilvl="3" w:tplc="14090001" w:tentative="1">
      <w:start w:val="1"/>
      <w:numFmt w:val="bullet"/>
      <w:lvlText w:val=""/>
      <w:lvlJc w:val="left"/>
      <w:pPr>
        <w:ind w:left="2944" w:hanging="360"/>
      </w:pPr>
      <w:rPr>
        <w:rFonts w:ascii="Symbol" w:hAnsi="Symbol" w:hint="default"/>
      </w:rPr>
    </w:lvl>
    <w:lvl w:ilvl="4" w:tplc="14090003" w:tentative="1">
      <w:start w:val="1"/>
      <w:numFmt w:val="bullet"/>
      <w:lvlText w:val="o"/>
      <w:lvlJc w:val="left"/>
      <w:pPr>
        <w:ind w:left="3664" w:hanging="360"/>
      </w:pPr>
      <w:rPr>
        <w:rFonts w:ascii="Courier New" w:hAnsi="Courier New" w:cs="Courier New" w:hint="default"/>
      </w:rPr>
    </w:lvl>
    <w:lvl w:ilvl="5" w:tplc="14090005" w:tentative="1">
      <w:start w:val="1"/>
      <w:numFmt w:val="bullet"/>
      <w:lvlText w:val=""/>
      <w:lvlJc w:val="left"/>
      <w:pPr>
        <w:ind w:left="4384" w:hanging="360"/>
      </w:pPr>
      <w:rPr>
        <w:rFonts w:ascii="Wingdings" w:hAnsi="Wingdings" w:hint="default"/>
      </w:rPr>
    </w:lvl>
    <w:lvl w:ilvl="6" w:tplc="14090001" w:tentative="1">
      <w:start w:val="1"/>
      <w:numFmt w:val="bullet"/>
      <w:lvlText w:val=""/>
      <w:lvlJc w:val="left"/>
      <w:pPr>
        <w:ind w:left="5104" w:hanging="360"/>
      </w:pPr>
      <w:rPr>
        <w:rFonts w:ascii="Symbol" w:hAnsi="Symbol" w:hint="default"/>
      </w:rPr>
    </w:lvl>
    <w:lvl w:ilvl="7" w:tplc="14090003" w:tentative="1">
      <w:start w:val="1"/>
      <w:numFmt w:val="bullet"/>
      <w:lvlText w:val="o"/>
      <w:lvlJc w:val="left"/>
      <w:pPr>
        <w:ind w:left="5824" w:hanging="360"/>
      </w:pPr>
      <w:rPr>
        <w:rFonts w:ascii="Courier New" w:hAnsi="Courier New" w:cs="Courier New" w:hint="default"/>
      </w:rPr>
    </w:lvl>
    <w:lvl w:ilvl="8" w:tplc="14090005" w:tentative="1">
      <w:start w:val="1"/>
      <w:numFmt w:val="bullet"/>
      <w:lvlText w:val=""/>
      <w:lvlJc w:val="left"/>
      <w:pPr>
        <w:ind w:left="6544" w:hanging="360"/>
      </w:pPr>
      <w:rPr>
        <w:rFonts w:ascii="Wingdings" w:hAnsi="Wingdings" w:hint="default"/>
      </w:rPr>
    </w:lvl>
  </w:abstractNum>
  <w:abstractNum w:abstractNumId="14" w15:restartNumberingAfterBreak="0">
    <w:nsid w:val="2BFD33E8"/>
    <w:multiLevelType w:val="hybridMultilevel"/>
    <w:tmpl w:val="03A2BFAE"/>
    <w:lvl w:ilvl="0" w:tplc="F31AED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454CC8"/>
    <w:multiLevelType w:val="hybridMultilevel"/>
    <w:tmpl w:val="AFDAAE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2366508"/>
    <w:multiLevelType w:val="hybridMultilevel"/>
    <w:tmpl w:val="7A989606"/>
    <w:lvl w:ilvl="0" w:tplc="14090001">
      <w:start w:val="1"/>
      <w:numFmt w:val="bullet"/>
      <w:lvlText w:val=""/>
      <w:lvlJc w:val="left"/>
      <w:pPr>
        <w:ind w:left="784" w:hanging="360"/>
      </w:pPr>
      <w:rPr>
        <w:rFonts w:ascii="Symbol" w:hAnsi="Symbol" w:hint="default"/>
      </w:rPr>
    </w:lvl>
    <w:lvl w:ilvl="1" w:tplc="14090003" w:tentative="1">
      <w:start w:val="1"/>
      <w:numFmt w:val="bullet"/>
      <w:lvlText w:val="o"/>
      <w:lvlJc w:val="left"/>
      <w:pPr>
        <w:ind w:left="1504" w:hanging="360"/>
      </w:pPr>
      <w:rPr>
        <w:rFonts w:ascii="Courier New" w:hAnsi="Courier New" w:cs="Courier New" w:hint="default"/>
      </w:rPr>
    </w:lvl>
    <w:lvl w:ilvl="2" w:tplc="14090005" w:tentative="1">
      <w:start w:val="1"/>
      <w:numFmt w:val="bullet"/>
      <w:lvlText w:val=""/>
      <w:lvlJc w:val="left"/>
      <w:pPr>
        <w:ind w:left="2224" w:hanging="360"/>
      </w:pPr>
      <w:rPr>
        <w:rFonts w:ascii="Wingdings" w:hAnsi="Wingdings" w:hint="default"/>
      </w:rPr>
    </w:lvl>
    <w:lvl w:ilvl="3" w:tplc="14090001" w:tentative="1">
      <w:start w:val="1"/>
      <w:numFmt w:val="bullet"/>
      <w:lvlText w:val=""/>
      <w:lvlJc w:val="left"/>
      <w:pPr>
        <w:ind w:left="2944" w:hanging="360"/>
      </w:pPr>
      <w:rPr>
        <w:rFonts w:ascii="Symbol" w:hAnsi="Symbol" w:hint="default"/>
      </w:rPr>
    </w:lvl>
    <w:lvl w:ilvl="4" w:tplc="14090003" w:tentative="1">
      <w:start w:val="1"/>
      <w:numFmt w:val="bullet"/>
      <w:lvlText w:val="o"/>
      <w:lvlJc w:val="left"/>
      <w:pPr>
        <w:ind w:left="3664" w:hanging="360"/>
      </w:pPr>
      <w:rPr>
        <w:rFonts w:ascii="Courier New" w:hAnsi="Courier New" w:cs="Courier New" w:hint="default"/>
      </w:rPr>
    </w:lvl>
    <w:lvl w:ilvl="5" w:tplc="14090005" w:tentative="1">
      <w:start w:val="1"/>
      <w:numFmt w:val="bullet"/>
      <w:lvlText w:val=""/>
      <w:lvlJc w:val="left"/>
      <w:pPr>
        <w:ind w:left="4384" w:hanging="360"/>
      </w:pPr>
      <w:rPr>
        <w:rFonts w:ascii="Wingdings" w:hAnsi="Wingdings" w:hint="default"/>
      </w:rPr>
    </w:lvl>
    <w:lvl w:ilvl="6" w:tplc="14090001" w:tentative="1">
      <w:start w:val="1"/>
      <w:numFmt w:val="bullet"/>
      <w:lvlText w:val=""/>
      <w:lvlJc w:val="left"/>
      <w:pPr>
        <w:ind w:left="5104" w:hanging="360"/>
      </w:pPr>
      <w:rPr>
        <w:rFonts w:ascii="Symbol" w:hAnsi="Symbol" w:hint="default"/>
      </w:rPr>
    </w:lvl>
    <w:lvl w:ilvl="7" w:tplc="14090003" w:tentative="1">
      <w:start w:val="1"/>
      <w:numFmt w:val="bullet"/>
      <w:lvlText w:val="o"/>
      <w:lvlJc w:val="left"/>
      <w:pPr>
        <w:ind w:left="5824" w:hanging="360"/>
      </w:pPr>
      <w:rPr>
        <w:rFonts w:ascii="Courier New" w:hAnsi="Courier New" w:cs="Courier New" w:hint="default"/>
      </w:rPr>
    </w:lvl>
    <w:lvl w:ilvl="8" w:tplc="14090005" w:tentative="1">
      <w:start w:val="1"/>
      <w:numFmt w:val="bullet"/>
      <w:lvlText w:val=""/>
      <w:lvlJc w:val="left"/>
      <w:pPr>
        <w:ind w:left="6544" w:hanging="360"/>
      </w:pPr>
      <w:rPr>
        <w:rFonts w:ascii="Wingdings" w:hAnsi="Wingdings" w:hint="default"/>
      </w:rPr>
    </w:lvl>
  </w:abstractNum>
  <w:abstractNum w:abstractNumId="17" w15:restartNumberingAfterBreak="0">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4B479A"/>
    <w:multiLevelType w:val="hybridMultilevel"/>
    <w:tmpl w:val="2A461B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4AB0FAA"/>
    <w:multiLevelType w:val="hybridMultilevel"/>
    <w:tmpl w:val="070A8EA8"/>
    <w:lvl w:ilvl="0" w:tplc="14090001">
      <w:start w:val="1"/>
      <w:numFmt w:val="bullet"/>
      <w:lvlText w:val=""/>
      <w:lvlJc w:val="left"/>
      <w:pPr>
        <w:ind w:left="720" w:hanging="360"/>
      </w:pPr>
      <w:rPr>
        <w:rFonts w:ascii="Symbol" w:hAnsi="Symbol" w:hint="default"/>
      </w:rPr>
    </w:lvl>
    <w:lvl w:ilvl="1" w:tplc="3ADA4466">
      <w:numFmt w:val="bullet"/>
      <w:lvlText w:val="•"/>
      <w:lvlJc w:val="left"/>
      <w:pPr>
        <w:ind w:left="1440" w:hanging="360"/>
      </w:pPr>
      <w:rPr>
        <w:rFonts w:ascii="Arial" w:eastAsia="Times New Roman" w:hAnsi="Aria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5A9313C"/>
    <w:multiLevelType w:val="hybridMultilevel"/>
    <w:tmpl w:val="3244C23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62822B0"/>
    <w:multiLevelType w:val="hybridMultilevel"/>
    <w:tmpl w:val="0804F0A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9AE59E7"/>
    <w:multiLevelType w:val="hybridMultilevel"/>
    <w:tmpl w:val="D248C3F2"/>
    <w:lvl w:ilvl="0" w:tplc="B54A815E">
      <w:start w:val="1"/>
      <w:numFmt w:val="decimal"/>
      <w:lvlText w:val="%1."/>
      <w:lvlJc w:val="left"/>
      <w:pPr>
        <w:ind w:left="720" w:hanging="360"/>
      </w:pPr>
      <w:rPr>
        <w:rFonts w:hint="default"/>
        <w:b/>
        <w:bCs/>
        <w:sz w:val="28"/>
        <w:szCs w:val="28"/>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BA416B3"/>
    <w:multiLevelType w:val="hybridMultilevel"/>
    <w:tmpl w:val="CAB8B3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360" w:hanging="360"/>
      </w:pPr>
      <w:rPr>
        <w:rFonts w:ascii="Courier New" w:hAnsi="Courier New" w:cs="Courier New" w:hint="default"/>
      </w:rPr>
    </w:lvl>
    <w:lvl w:ilvl="2" w:tplc="14090005" w:tentative="1">
      <w:start w:val="1"/>
      <w:numFmt w:val="bullet"/>
      <w:lvlText w:val=""/>
      <w:lvlJc w:val="left"/>
      <w:pPr>
        <w:ind w:left="1080" w:hanging="360"/>
      </w:pPr>
      <w:rPr>
        <w:rFonts w:ascii="Wingdings" w:hAnsi="Wingdings" w:hint="default"/>
      </w:rPr>
    </w:lvl>
    <w:lvl w:ilvl="3" w:tplc="14090001" w:tentative="1">
      <w:start w:val="1"/>
      <w:numFmt w:val="bullet"/>
      <w:lvlText w:val=""/>
      <w:lvlJc w:val="left"/>
      <w:pPr>
        <w:ind w:left="1800" w:hanging="360"/>
      </w:pPr>
      <w:rPr>
        <w:rFonts w:ascii="Symbol" w:hAnsi="Symbol" w:hint="default"/>
      </w:rPr>
    </w:lvl>
    <w:lvl w:ilvl="4" w:tplc="14090003" w:tentative="1">
      <w:start w:val="1"/>
      <w:numFmt w:val="bullet"/>
      <w:lvlText w:val="o"/>
      <w:lvlJc w:val="left"/>
      <w:pPr>
        <w:ind w:left="2520" w:hanging="360"/>
      </w:pPr>
      <w:rPr>
        <w:rFonts w:ascii="Courier New" w:hAnsi="Courier New" w:cs="Courier New" w:hint="default"/>
      </w:rPr>
    </w:lvl>
    <w:lvl w:ilvl="5" w:tplc="14090005" w:tentative="1">
      <w:start w:val="1"/>
      <w:numFmt w:val="bullet"/>
      <w:lvlText w:val=""/>
      <w:lvlJc w:val="left"/>
      <w:pPr>
        <w:ind w:left="3240" w:hanging="360"/>
      </w:pPr>
      <w:rPr>
        <w:rFonts w:ascii="Wingdings" w:hAnsi="Wingdings" w:hint="default"/>
      </w:rPr>
    </w:lvl>
    <w:lvl w:ilvl="6" w:tplc="14090001" w:tentative="1">
      <w:start w:val="1"/>
      <w:numFmt w:val="bullet"/>
      <w:lvlText w:val=""/>
      <w:lvlJc w:val="left"/>
      <w:pPr>
        <w:ind w:left="3960" w:hanging="360"/>
      </w:pPr>
      <w:rPr>
        <w:rFonts w:ascii="Symbol" w:hAnsi="Symbol" w:hint="default"/>
      </w:rPr>
    </w:lvl>
    <w:lvl w:ilvl="7" w:tplc="14090003" w:tentative="1">
      <w:start w:val="1"/>
      <w:numFmt w:val="bullet"/>
      <w:lvlText w:val="o"/>
      <w:lvlJc w:val="left"/>
      <w:pPr>
        <w:ind w:left="4680" w:hanging="360"/>
      </w:pPr>
      <w:rPr>
        <w:rFonts w:ascii="Courier New" w:hAnsi="Courier New" w:cs="Courier New" w:hint="default"/>
      </w:rPr>
    </w:lvl>
    <w:lvl w:ilvl="8" w:tplc="14090005" w:tentative="1">
      <w:start w:val="1"/>
      <w:numFmt w:val="bullet"/>
      <w:lvlText w:val=""/>
      <w:lvlJc w:val="left"/>
      <w:pPr>
        <w:ind w:left="5400" w:hanging="360"/>
      </w:pPr>
      <w:rPr>
        <w:rFonts w:ascii="Wingdings" w:hAnsi="Wingdings" w:hint="default"/>
      </w:rPr>
    </w:lvl>
  </w:abstractNum>
  <w:abstractNum w:abstractNumId="24" w15:restartNumberingAfterBreak="0">
    <w:nsid w:val="4CBD36CE"/>
    <w:multiLevelType w:val="hybridMultilevel"/>
    <w:tmpl w:val="8586E900"/>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82414A"/>
    <w:multiLevelType w:val="hybridMultilevel"/>
    <w:tmpl w:val="AA1678D6"/>
    <w:lvl w:ilvl="0" w:tplc="14090001">
      <w:start w:val="1"/>
      <w:numFmt w:val="bullet"/>
      <w:lvlText w:val=""/>
      <w:lvlJc w:val="left"/>
      <w:pPr>
        <w:ind w:left="784" w:hanging="360"/>
      </w:pPr>
      <w:rPr>
        <w:rFonts w:ascii="Symbol" w:hAnsi="Symbol" w:hint="default"/>
      </w:rPr>
    </w:lvl>
    <w:lvl w:ilvl="1" w:tplc="14090003" w:tentative="1">
      <w:start w:val="1"/>
      <w:numFmt w:val="bullet"/>
      <w:lvlText w:val="o"/>
      <w:lvlJc w:val="left"/>
      <w:pPr>
        <w:ind w:left="1504" w:hanging="360"/>
      </w:pPr>
      <w:rPr>
        <w:rFonts w:ascii="Courier New" w:hAnsi="Courier New" w:cs="Courier New" w:hint="default"/>
      </w:rPr>
    </w:lvl>
    <w:lvl w:ilvl="2" w:tplc="14090005" w:tentative="1">
      <w:start w:val="1"/>
      <w:numFmt w:val="bullet"/>
      <w:lvlText w:val=""/>
      <w:lvlJc w:val="left"/>
      <w:pPr>
        <w:ind w:left="2224" w:hanging="360"/>
      </w:pPr>
      <w:rPr>
        <w:rFonts w:ascii="Wingdings" w:hAnsi="Wingdings" w:hint="default"/>
      </w:rPr>
    </w:lvl>
    <w:lvl w:ilvl="3" w:tplc="14090001" w:tentative="1">
      <w:start w:val="1"/>
      <w:numFmt w:val="bullet"/>
      <w:lvlText w:val=""/>
      <w:lvlJc w:val="left"/>
      <w:pPr>
        <w:ind w:left="2944" w:hanging="360"/>
      </w:pPr>
      <w:rPr>
        <w:rFonts w:ascii="Symbol" w:hAnsi="Symbol" w:hint="default"/>
      </w:rPr>
    </w:lvl>
    <w:lvl w:ilvl="4" w:tplc="14090003" w:tentative="1">
      <w:start w:val="1"/>
      <w:numFmt w:val="bullet"/>
      <w:lvlText w:val="o"/>
      <w:lvlJc w:val="left"/>
      <w:pPr>
        <w:ind w:left="3664" w:hanging="360"/>
      </w:pPr>
      <w:rPr>
        <w:rFonts w:ascii="Courier New" w:hAnsi="Courier New" w:cs="Courier New" w:hint="default"/>
      </w:rPr>
    </w:lvl>
    <w:lvl w:ilvl="5" w:tplc="14090005" w:tentative="1">
      <w:start w:val="1"/>
      <w:numFmt w:val="bullet"/>
      <w:lvlText w:val=""/>
      <w:lvlJc w:val="left"/>
      <w:pPr>
        <w:ind w:left="4384" w:hanging="360"/>
      </w:pPr>
      <w:rPr>
        <w:rFonts w:ascii="Wingdings" w:hAnsi="Wingdings" w:hint="default"/>
      </w:rPr>
    </w:lvl>
    <w:lvl w:ilvl="6" w:tplc="14090001" w:tentative="1">
      <w:start w:val="1"/>
      <w:numFmt w:val="bullet"/>
      <w:lvlText w:val=""/>
      <w:lvlJc w:val="left"/>
      <w:pPr>
        <w:ind w:left="5104" w:hanging="360"/>
      </w:pPr>
      <w:rPr>
        <w:rFonts w:ascii="Symbol" w:hAnsi="Symbol" w:hint="default"/>
      </w:rPr>
    </w:lvl>
    <w:lvl w:ilvl="7" w:tplc="14090003" w:tentative="1">
      <w:start w:val="1"/>
      <w:numFmt w:val="bullet"/>
      <w:lvlText w:val="o"/>
      <w:lvlJc w:val="left"/>
      <w:pPr>
        <w:ind w:left="5824" w:hanging="360"/>
      </w:pPr>
      <w:rPr>
        <w:rFonts w:ascii="Courier New" w:hAnsi="Courier New" w:cs="Courier New" w:hint="default"/>
      </w:rPr>
    </w:lvl>
    <w:lvl w:ilvl="8" w:tplc="14090005" w:tentative="1">
      <w:start w:val="1"/>
      <w:numFmt w:val="bullet"/>
      <w:lvlText w:val=""/>
      <w:lvlJc w:val="left"/>
      <w:pPr>
        <w:ind w:left="6544" w:hanging="360"/>
      </w:pPr>
      <w:rPr>
        <w:rFonts w:ascii="Wingdings" w:hAnsi="Wingdings" w:hint="default"/>
      </w:rPr>
    </w:lvl>
  </w:abstractNum>
  <w:abstractNum w:abstractNumId="26" w15:restartNumberingAfterBreak="0">
    <w:nsid w:val="4F4D148A"/>
    <w:multiLevelType w:val="hybridMultilevel"/>
    <w:tmpl w:val="A2BEE082"/>
    <w:lvl w:ilvl="0" w:tplc="14090001">
      <w:start w:val="1"/>
      <w:numFmt w:val="bullet"/>
      <w:lvlText w:val=""/>
      <w:lvlJc w:val="left"/>
      <w:pPr>
        <w:ind w:left="784" w:hanging="360"/>
      </w:pPr>
      <w:rPr>
        <w:rFonts w:ascii="Symbol" w:hAnsi="Symbol" w:hint="default"/>
      </w:rPr>
    </w:lvl>
    <w:lvl w:ilvl="1" w:tplc="14090003" w:tentative="1">
      <w:start w:val="1"/>
      <w:numFmt w:val="bullet"/>
      <w:lvlText w:val="o"/>
      <w:lvlJc w:val="left"/>
      <w:pPr>
        <w:ind w:left="1504" w:hanging="360"/>
      </w:pPr>
      <w:rPr>
        <w:rFonts w:ascii="Courier New" w:hAnsi="Courier New" w:cs="Courier New" w:hint="default"/>
      </w:rPr>
    </w:lvl>
    <w:lvl w:ilvl="2" w:tplc="14090005" w:tentative="1">
      <w:start w:val="1"/>
      <w:numFmt w:val="bullet"/>
      <w:lvlText w:val=""/>
      <w:lvlJc w:val="left"/>
      <w:pPr>
        <w:ind w:left="2224" w:hanging="360"/>
      </w:pPr>
      <w:rPr>
        <w:rFonts w:ascii="Wingdings" w:hAnsi="Wingdings" w:hint="default"/>
      </w:rPr>
    </w:lvl>
    <w:lvl w:ilvl="3" w:tplc="14090001" w:tentative="1">
      <w:start w:val="1"/>
      <w:numFmt w:val="bullet"/>
      <w:lvlText w:val=""/>
      <w:lvlJc w:val="left"/>
      <w:pPr>
        <w:ind w:left="2944" w:hanging="360"/>
      </w:pPr>
      <w:rPr>
        <w:rFonts w:ascii="Symbol" w:hAnsi="Symbol" w:hint="default"/>
      </w:rPr>
    </w:lvl>
    <w:lvl w:ilvl="4" w:tplc="14090003" w:tentative="1">
      <w:start w:val="1"/>
      <w:numFmt w:val="bullet"/>
      <w:lvlText w:val="o"/>
      <w:lvlJc w:val="left"/>
      <w:pPr>
        <w:ind w:left="3664" w:hanging="360"/>
      </w:pPr>
      <w:rPr>
        <w:rFonts w:ascii="Courier New" w:hAnsi="Courier New" w:cs="Courier New" w:hint="default"/>
      </w:rPr>
    </w:lvl>
    <w:lvl w:ilvl="5" w:tplc="14090005" w:tentative="1">
      <w:start w:val="1"/>
      <w:numFmt w:val="bullet"/>
      <w:lvlText w:val=""/>
      <w:lvlJc w:val="left"/>
      <w:pPr>
        <w:ind w:left="4384" w:hanging="360"/>
      </w:pPr>
      <w:rPr>
        <w:rFonts w:ascii="Wingdings" w:hAnsi="Wingdings" w:hint="default"/>
      </w:rPr>
    </w:lvl>
    <w:lvl w:ilvl="6" w:tplc="14090001" w:tentative="1">
      <w:start w:val="1"/>
      <w:numFmt w:val="bullet"/>
      <w:lvlText w:val=""/>
      <w:lvlJc w:val="left"/>
      <w:pPr>
        <w:ind w:left="5104" w:hanging="360"/>
      </w:pPr>
      <w:rPr>
        <w:rFonts w:ascii="Symbol" w:hAnsi="Symbol" w:hint="default"/>
      </w:rPr>
    </w:lvl>
    <w:lvl w:ilvl="7" w:tplc="14090003" w:tentative="1">
      <w:start w:val="1"/>
      <w:numFmt w:val="bullet"/>
      <w:lvlText w:val="o"/>
      <w:lvlJc w:val="left"/>
      <w:pPr>
        <w:ind w:left="5824" w:hanging="360"/>
      </w:pPr>
      <w:rPr>
        <w:rFonts w:ascii="Courier New" w:hAnsi="Courier New" w:cs="Courier New" w:hint="default"/>
      </w:rPr>
    </w:lvl>
    <w:lvl w:ilvl="8" w:tplc="14090005" w:tentative="1">
      <w:start w:val="1"/>
      <w:numFmt w:val="bullet"/>
      <w:lvlText w:val=""/>
      <w:lvlJc w:val="left"/>
      <w:pPr>
        <w:ind w:left="6544" w:hanging="360"/>
      </w:pPr>
      <w:rPr>
        <w:rFonts w:ascii="Wingdings" w:hAnsi="Wingdings" w:hint="default"/>
      </w:rPr>
    </w:lvl>
  </w:abstractNum>
  <w:abstractNum w:abstractNumId="27" w15:restartNumberingAfterBreak="0">
    <w:nsid w:val="51BC6E48"/>
    <w:multiLevelType w:val="hybridMultilevel"/>
    <w:tmpl w:val="2B40A5B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552946EB"/>
    <w:multiLevelType w:val="hybridMultilevel"/>
    <w:tmpl w:val="E75A1CBC"/>
    <w:lvl w:ilvl="0" w:tplc="1409000F">
      <w:start w:val="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5513DBF"/>
    <w:multiLevelType w:val="hybridMultilevel"/>
    <w:tmpl w:val="1C94C558"/>
    <w:lvl w:ilvl="0" w:tplc="14090001">
      <w:start w:val="1"/>
      <w:numFmt w:val="bullet"/>
      <w:lvlText w:val=""/>
      <w:lvlJc w:val="left"/>
      <w:pPr>
        <w:ind w:left="784" w:hanging="360"/>
      </w:pPr>
      <w:rPr>
        <w:rFonts w:ascii="Symbol" w:hAnsi="Symbol" w:hint="default"/>
      </w:rPr>
    </w:lvl>
    <w:lvl w:ilvl="1" w:tplc="14090003" w:tentative="1">
      <w:start w:val="1"/>
      <w:numFmt w:val="bullet"/>
      <w:lvlText w:val="o"/>
      <w:lvlJc w:val="left"/>
      <w:pPr>
        <w:ind w:left="1504" w:hanging="360"/>
      </w:pPr>
      <w:rPr>
        <w:rFonts w:ascii="Courier New" w:hAnsi="Courier New" w:cs="Courier New" w:hint="default"/>
      </w:rPr>
    </w:lvl>
    <w:lvl w:ilvl="2" w:tplc="14090005" w:tentative="1">
      <w:start w:val="1"/>
      <w:numFmt w:val="bullet"/>
      <w:lvlText w:val=""/>
      <w:lvlJc w:val="left"/>
      <w:pPr>
        <w:ind w:left="2224" w:hanging="360"/>
      </w:pPr>
      <w:rPr>
        <w:rFonts w:ascii="Wingdings" w:hAnsi="Wingdings" w:hint="default"/>
      </w:rPr>
    </w:lvl>
    <w:lvl w:ilvl="3" w:tplc="14090001" w:tentative="1">
      <w:start w:val="1"/>
      <w:numFmt w:val="bullet"/>
      <w:lvlText w:val=""/>
      <w:lvlJc w:val="left"/>
      <w:pPr>
        <w:ind w:left="2944" w:hanging="360"/>
      </w:pPr>
      <w:rPr>
        <w:rFonts w:ascii="Symbol" w:hAnsi="Symbol" w:hint="default"/>
      </w:rPr>
    </w:lvl>
    <w:lvl w:ilvl="4" w:tplc="14090003" w:tentative="1">
      <w:start w:val="1"/>
      <w:numFmt w:val="bullet"/>
      <w:lvlText w:val="o"/>
      <w:lvlJc w:val="left"/>
      <w:pPr>
        <w:ind w:left="3664" w:hanging="360"/>
      </w:pPr>
      <w:rPr>
        <w:rFonts w:ascii="Courier New" w:hAnsi="Courier New" w:cs="Courier New" w:hint="default"/>
      </w:rPr>
    </w:lvl>
    <w:lvl w:ilvl="5" w:tplc="14090005" w:tentative="1">
      <w:start w:val="1"/>
      <w:numFmt w:val="bullet"/>
      <w:lvlText w:val=""/>
      <w:lvlJc w:val="left"/>
      <w:pPr>
        <w:ind w:left="4384" w:hanging="360"/>
      </w:pPr>
      <w:rPr>
        <w:rFonts w:ascii="Wingdings" w:hAnsi="Wingdings" w:hint="default"/>
      </w:rPr>
    </w:lvl>
    <w:lvl w:ilvl="6" w:tplc="14090001" w:tentative="1">
      <w:start w:val="1"/>
      <w:numFmt w:val="bullet"/>
      <w:lvlText w:val=""/>
      <w:lvlJc w:val="left"/>
      <w:pPr>
        <w:ind w:left="5104" w:hanging="360"/>
      </w:pPr>
      <w:rPr>
        <w:rFonts w:ascii="Symbol" w:hAnsi="Symbol" w:hint="default"/>
      </w:rPr>
    </w:lvl>
    <w:lvl w:ilvl="7" w:tplc="14090003" w:tentative="1">
      <w:start w:val="1"/>
      <w:numFmt w:val="bullet"/>
      <w:lvlText w:val="o"/>
      <w:lvlJc w:val="left"/>
      <w:pPr>
        <w:ind w:left="5824" w:hanging="360"/>
      </w:pPr>
      <w:rPr>
        <w:rFonts w:ascii="Courier New" w:hAnsi="Courier New" w:cs="Courier New" w:hint="default"/>
      </w:rPr>
    </w:lvl>
    <w:lvl w:ilvl="8" w:tplc="14090005" w:tentative="1">
      <w:start w:val="1"/>
      <w:numFmt w:val="bullet"/>
      <w:lvlText w:val=""/>
      <w:lvlJc w:val="left"/>
      <w:pPr>
        <w:ind w:left="6544" w:hanging="360"/>
      </w:pPr>
      <w:rPr>
        <w:rFonts w:ascii="Wingdings" w:hAnsi="Wingdings" w:hint="default"/>
      </w:rPr>
    </w:lvl>
  </w:abstractNum>
  <w:abstractNum w:abstractNumId="30" w15:restartNumberingAfterBreak="0">
    <w:nsid w:val="55D92F26"/>
    <w:multiLevelType w:val="hybridMultilevel"/>
    <w:tmpl w:val="F208AC8E"/>
    <w:lvl w:ilvl="0" w:tplc="8524534E">
      <w:numFmt w:val="bullet"/>
      <w:lvlText w:val="-"/>
      <w:lvlJc w:val="left"/>
      <w:pPr>
        <w:ind w:left="397" w:hanging="397"/>
      </w:pPr>
      <w:rPr>
        <w:rFonts w:ascii="Arial" w:eastAsia="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FC0707"/>
    <w:multiLevelType w:val="hybridMultilevel"/>
    <w:tmpl w:val="923A4F72"/>
    <w:lvl w:ilvl="0" w:tplc="14090001">
      <w:start w:val="1"/>
      <w:numFmt w:val="bullet"/>
      <w:lvlText w:val=""/>
      <w:lvlJc w:val="left"/>
      <w:pPr>
        <w:ind w:left="784" w:hanging="360"/>
      </w:pPr>
      <w:rPr>
        <w:rFonts w:ascii="Symbol" w:hAnsi="Symbol" w:hint="default"/>
      </w:rPr>
    </w:lvl>
    <w:lvl w:ilvl="1" w:tplc="14090003" w:tentative="1">
      <w:start w:val="1"/>
      <w:numFmt w:val="bullet"/>
      <w:lvlText w:val="o"/>
      <w:lvlJc w:val="left"/>
      <w:pPr>
        <w:ind w:left="1504" w:hanging="360"/>
      </w:pPr>
      <w:rPr>
        <w:rFonts w:ascii="Courier New" w:hAnsi="Courier New" w:cs="Courier New" w:hint="default"/>
      </w:rPr>
    </w:lvl>
    <w:lvl w:ilvl="2" w:tplc="14090005" w:tentative="1">
      <w:start w:val="1"/>
      <w:numFmt w:val="bullet"/>
      <w:lvlText w:val=""/>
      <w:lvlJc w:val="left"/>
      <w:pPr>
        <w:ind w:left="2224" w:hanging="360"/>
      </w:pPr>
      <w:rPr>
        <w:rFonts w:ascii="Wingdings" w:hAnsi="Wingdings" w:hint="default"/>
      </w:rPr>
    </w:lvl>
    <w:lvl w:ilvl="3" w:tplc="14090001" w:tentative="1">
      <w:start w:val="1"/>
      <w:numFmt w:val="bullet"/>
      <w:lvlText w:val=""/>
      <w:lvlJc w:val="left"/>
      <w:pPr>
        <w:ind w:left="2944" w:hanging="360"/>
      </w:pPr>
      <w:rPr>
        <w:rFonts w:ascii="Symbol" w:hAnsi="Symbol" w:hint="default"/>
      </w:rPr>
    </w:lvl>
    <w:lvl w:ilvl="4" w:tplc="14090003" w:tentative="1">
      <w:start w:val="1"/>
      <w:numFmt w:val="bullet"/>
      <w:lvlText w:val="o"/>
      <w:lvlJc w:val="left"/>
      <w:pPr>
        <w:ind w:left="3664" w:hanging="360"/>
      </w:pPr>
      <w:rPr>
        <w:rFonts w:ascii="Courier New" w:hAnsi="Courier New" w:cs="Courier New" w:hint="default"/>
      </w:rPr>
    </w:lvl>
    <w:lvl w:ilvl="5" w:tplc="14090005" w:tentative="1">
      <w:start w:val="1"/>
      <w:numFmt w:val="bullet"/>
      <w:lvlText w:val=""/>
      <w:lvlJc w:val="left"/>
      <w:pPr>
        <w:ind w:left="4384" w:hanging="360"/>
      </w:pPr>
      <w:rPr>
        <w:rFonts w:ascii="Wingdings" w:hAnsi="Wingdings" w:hint="default"/>
      </w:rPr>
    </w:lvl>
    <w:lvl w:ilvl="6" w:tplc="14090001" w:tentative="1">
      <w:start w:val="1"/>
      <w:numFmt w:val="bullet"/>
      <w:lvlText w:val=""/>
      <w:lvlJc w:val="left"/>
      <w:pPr>
        <w:ind w:left="5104" w:hanging="360"/>
      </w:pPr>
      <w:rPr>
        <w:rFonts w:ascii="Symbol" w:hAnsi="Symbol" w:hint="default"/>
      </w:rPr>
    </w:lvl>
    <w:lvl w:ilvl="7" w:tplc="14090003" w:tentative="1">
      <w:start w:val="1"/>
      <w:numFmt w:val="bullet"/>
      <w:lvlText w:val="o"/>
      <w:lvlJc w:val="left"/>
      <w:pPr>
        <w:ind w:left="5824" w:hanging="360"/>
      </w:pPr>
      <w:rPr>
        <w:rFonts w:ascii="Courier New" w:hAnsi="Courier New" w:cs="Courier New" w:hint="default"/>
      </w:rPr>
    </w:lvl>
    <w:lvl w:ilvl="8" w:tplc="14090005" w:tentative="1">
      <w:start w:val="1"/>
      <w:numFmt w:val="bullet"/>
      <w:lvlText w:val=""/>
      <w:lvlJc w:val="left"/>
      <w:pPr>
        <w:ind w:left="6544" w:hanging="360"/>
      </w:pPr>
      <w:rPr>
        <w:rFonts w:ascii="Wingdings" w:hAnsi="Wingdings" w:hint="default"/>
      </w:rPr>
    </w:lvl>
  </w:abstractNum>
  <w:abstractNum w:abstractNumId="33" w15:restartNumberingAfterBreak="0">
    <w:nsid w:val="660D5D01"/>
    <w:multiLevelType w:val="hybridMultilevel"/>
    <w:tmpl w:val="38BCFB48"/>
    <w:lvl w:ilvl="0" w:tplc="14090001">
      <w:start w:val="1"/>
      <w:numFmt w:val="bullet"/>
      <w:lvlText w:val=""/>
      <w:lvlJc w:val="left"/>
      <w:pPr>
        <w:ind w:left="604" w:hanging="360"/>
      </w:pPr>
      <w:rPr>
        <w:rFonts w:ascii="Symbol" w:hAnsi="Symbol" w:hint="default"/>
      </w:rPr>
    </w:lvl>
    <w:lvl w:ilvl="1" w:tplc="14090003">
      <w:start w:val="1"/>
      <w:numFmt w:val="bullet"/>
      <w:lvlText w:val="o"/>
      <w:lvlJc w:val="left"/>
      <w:pPr>
        <w:ind w:left="1562" w:hanging="360"/>
      </w:pPr>
      <w:rPr>
        <w:rFonts w:ascii="Courier New" w:hAnsi="Courier New" w:cs="Courier New" w:hint="default"/>
      </w:rPr>
    </w:lvl>
    <w:lvl w:ilvl="2" w:tplc="14090005" w:tentative="1">
      <w:start w:val="1"/>
      <w:numFmt w:val="bullet"/>
      <w:lvlText w:val=""/>
      <w:lvlJc w:val="left"/>
      <w:pPr>
        <w:ind w:left="2282" w:hanging="360"/>
      </w:pPr>
      <w:rPr>
        <w:rFonts w:ascii="Wingdings" w:hAnsi="Wingdings" w:hint="default"/>
      </w:rPr>
    </w:lvl>
    <w:lvl w:ilvl="3" w:tplc="14090001" w:tentative="1">
      <w:start w:val="1"/>
      <w:numFmt w:val="bullet"/>
      <w:lvlText w:val=""/>
      <w:lvlJc w:val="left"/>
      <w:pPr>
        <w:ind w:left="3002" w:hanging="360"/>
      </w:pPr>
      <w:rPr>
        <w:rFonts w:ascii="Symbol" w:hAnsi="Symbol" w:hint="default"/>
      </w:rPr>
    </w:lvl>
    <w:lvl w:ilvl="4" w:tplc="14090003" w:tentative="1">
      <w:start w:val="1"/>
      <w:numFmt w:val="bullet"/>
      <w:lvlText w:val="o"/>
      <w:lvlJc w:val="left"/>
      <w:pPr>
        <w:ind w:left="3722" w:hanging="360"/>
      </w:pPr>
      <w:rPr>
        <w:rFonts w:ascii="Courier New" w:hAnsi="Courier New" w:cs="Courier New" w:hint="default"/>
      </w:rPr>
    </w:lvl>
    <w:lvl w:ilvl="5" w:tplc="14090005" w:tentative="1">
      <w:start w:val="1"/>
      <w:numFmt w:val="bullet"/>
      <w:lvlText w:val=""/>
      <w:lvlJc w:val="left"/>
      <w:pPr>
        <w:ind w:left="4442" w:hanging="360"/>
      </w:pPr>
      <w:rPr>
        <w:rFonts w:ascii="Wingdings" w:hAnsi="Wingdings" w:hint="default"/>
      </w:rPr>
    </w:lvl>
    <w:lvl w:ilvl="6" w:tplc="14090001" w:tentative="1">
      <w:start w:val="1"/>
      <w:numFmt w:val="bullet"/>
      <w:lvlText w:val=""/>
      <w:lvlJc w:val="left"/>
      <w:pPr>
        <w:ind w:left="5162" w:hanging="360"/>
      </w:pPr>
      <w:rPr>
        <w:rFonts w:ascii="Symbol" w:hAnsi="Symbol" w:hint="default"/>
      </w:rPr>
    </w:lvl>
    <w:lvl w:ilvl="7" w:tplc="14090003" w:tentative="1">
      <w:start w:val="1"/>
      <w:numFmt w:val="bullet"/>
      <w:lvlText w:val="o"/>
      <w:lvlJc w:val="left"/>
      <w:pPr>
        <w:ind w:left="5882" w:hanging="360"/>
      </w:pPr>
      <w:rPr>
        <w:rFonts w:ascii="Courier New" w:hAnsi="Courier New" w:cs="Courier New" w:hint="default"/>
      </w:rPr>
    </w:lvl>
    <w:lvl w:ilvl="8" w:tplc="14090005" w:tentative="1">
      <w:start w:val="1"/>
      <w:numFmt w:val="bullet"/>
      <w:lvlText w:val=""/>
      <w:lvlJc w:val="left"/>
      <w:pPr>
        <w:ind w:left="6602" w:hanging="360"/>
      </w:pPr>
      <w:rPr>
        <w:rFonts w:ascii="Wingdings" w:hAnsi="Wingdings" w:hint="default"/>
      </w:rPr>
    </w:lvl>
  </w:abstractNum>
  <w:abstractNum w:abstractNumId="34" w15:restartNumberingAfterBreak="0">
    <w:nsid w:val="67B97F36"/>
    <w:multiLevelType w:val="hybridMultilevel"/>
    <w:tmpl w:val="79460238"/>
    <w:lvl w:ilvl="0" w:tplc="1409000F">
      <w:start w:val="4"/>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5" w15:restartNumberingAfterBreak="0">
    <w:nsid w:val="68F54CE4"/>
    <w:multiLevelType w:val="hybridMultilevel"/>
    <w:tmpl w:val="40EE43E4"/>
    <w:lvl w:ilvl="0" w:tplc="1A00D92E">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A866BF0"/>
    <w:multiLevelType w:val="multilevel"/>
    <w:tmpl w:val="49C67D74"/>
    <w:name w:val="NumberedList4"/>
    <w:lvl w:ilvl="0">
      <w:start w:val="1"/>
      <w:numFmt w:val="bullet"/>
      <w:pStyle w:val="ListBullet"/>
      <w:lvlText w:val=""/>
      <w:lvlJc w:val="left"/>
      <w:pPr>
        <w:tabs>
          <w:tab w:val="num" w:pos="851"/>
        </w:tabs>
        <w:ind w:left="284" w:hanging="284"/>
      </w:pPr>
      <w:rPr>
        <w:rFonts w:ascii="Symbol" w:hAnsi="Symbol" w:hint="default"/>
        <w:color w:val="ED7D31" w:themeColor="accent2"/>
      </w:rPr>
    </w:lvl>
    <w:lvl w:ilvl="1">
      <w:start w:val="1"/>
      <w:numFmt w:val="bullet"/>
      <w:pStyle w:val="ListBullet2"/>
      <w:lvlText w:val="­"/>
      <w:lvlJc w:val="left"/>
      <w:pPr>
        <w:tabs>
          <w:tab w:val="num" w:pos="1135"/>
        </w:tabs>
        <w:ind w:left="568" w:hanging="284"/>
      </w:pPr>
      <w:rPr>
        <w:rFonts w:ascii="Courier New" w:hAnsi="Courier New" w:hint="default"/>
        <w:color w:val="ED7D31" w:themeColor="accent2"/>
      </w:rPr>
    </w:lvl>
    <w:lvl w:ilvl="2">
      <w:start w:val="1"/>
      <w:numFmt w:val="bullet"/>
      <w:pStyle w:val="ListBullet3"/>
      <w:lvlText w:val=""/>
      <w:lvlJc w:val="left"/>
      <w:pPr>
        <w:tabs>
          <w:tab w:val="num" w:pos="1419"/>
        </w:tabs>
        <w:ind w:left="852" w:hanging="284"/>
      </w:pPr>
      <w:rPr>
        <w:rFonts w:ascii="Wingdings" w:hAnsi="Wingdings" w:hint="default"/>
        <w:color w:val="ED7D31" w:themeColor="accent2"/>
      </w:rPr>
    </w:lvl>
    <w:lvl w:ilvl="3">
      <w:start w:val="1"/>
      <w:numFmt w:val="bullet"/>
      <w:lvlText w:val=""/>
      <w:lvlJc w:val="left"/>
      <w:pPr>
        <w:tabs>
          <w:tab w:val="num" w:pos="1703"/>
        </w:tabs>
        <w:ind w:left="1136" w:hanging="284"/>
      </w:pPr>
      <w:rPr>
        <w:rFonts w:ascii="Symbol" w:hAnsi="Symbol" w:hint="default"/>
      </w:rPr>
    </w:lvl>
    <w:lvl w:ilvl="4">
      <w:start w:val="1"/>
      <w:numFmt w:val="bullet"/>
      <w:lvlText w:val=""/>
      <w:lvlJc w:val="left"/>
      <w:pPr>
        <w:tabs>
          <w:tab w:val="num" w:pos="1987"/>
        </w:tabs>
        <w:ind w:left="1420" w:hanging="284"/>
      </w:pPr>
      <w:rPr>
        <w:rFonts w:ascii="Symbol" w:hAnsi="Symbol" w:hint="default"/>
      </w:rPr>
    </w:lvl>
    <w:lvl w:ilvl="5">
      <w:start w:val="1"/>
      <w:numFmt w:val="bullet"/>
      <w:lvlText w:val=""/>
      <w:lvlJc w:val="left"/>
      <w:pPr>
        <w:tabs>
          <w:tab w:val="num" w:pos="2271"/>
        </w:tabs>
        <w:ind w:left="1704" w:hanging="284"/>
      </w:pPr>
      <w:rPr>
        <w:rFonts w:ascii="Wingdings" w:hAnsi="Wingdings" w:hint="default"/>
      </w:rPr>
    </w:lvl>
    <w:lvl w:ilvl="6">
      <w:start w:val="1"/>
      <w:numFmt w:val="bullet"/>
      <w:lvlText w:val=""/>
      <w:lvlJc w:val="left"/>
      <w:pPr>
        <w:tabs>
          <w:tab w:val="num" w:pos="2555"/>
        </w:tabs>
        <w:ind w:left="1988" w:hanging="284"/>
      </w:pPr>
      <w:rPr>
        <w:rFonts w:ascii="Wingdings" w:hAnsi="Wingdings" w:hint="default"/>
      </w:rPr>
    </w:lvl>
    <w:lvl w:ilvl="7">
      <w:start w:val="1"/>
      <w:numFmt w:val="bullet"/>
      <w:lvlText w:val=""/>
      <w:lvlJc w:val="left"/>
      <w:pPr>
        <w:tabs>
          <w:tab w:val="num" w:pos="2839"/>
        </w:tabs>
        <w:ind w:left="2272" w:hanging="284"/>
      </w:pPr>
      <w:rPr>
        <w:rFonts w:ascii="Symbol" w:hAnsi="Symbol" w:hint="default"/>
      </w:rPr>
    </w:lvl>
    <w:lvl w:ilvl="8">
      <w:start w:val="1"/>
      <w:numFmt w:val="bullet"/>
      <w:lvlText w:val=""/>
      <w:lvlJc w:val="left"/>
      <w:pPr>
        <w:tabs>
          <w:tab w:val="num" w:pos="3123"/>
        </w:tabs>
        <w:ind w:left="2556" w:hanging="284"/>
      </w:pPr>
      <w:rPr>
        <w:rFonts w:ascii="Symbol" w:hAnsi="Symbol" w:hint="default"/>
      </w:rPr>
    </w:lvl>
  </w:abstractNum>
  <w:abstractNum w:abstractNumId="37" w15:restartNumberingAfterBreak="0">
    <w:nsid w:val="6B2F2F23"/>
    <w:multiLevelType w:val="hybridMultilevel"/>
    <w:tmpl w:val="FCE6C7AE"/>
    <w:lvl w:ilvl="0" w:tplc="8524534E">
      <w:numFmt w:val="bullet"/>
      <w:lvlText w:val="-"/>
      <w:lvlJc w:val="left"/>
      <w:pPr>
        <w:ind w:left="360" w:hanging="360"/>
      </w:pPr>
      <w:rPr>
        <w:rFonts w:ascii="Arial" w:eastAsia="Arial" w:hAnsi="Arial" w:hint="default"/>
      </w:rPr>
    </w:lvl>
    <w:lvl w:ilvl="1" w:tplc="FFFFFFFF" w:tentative="1">
      <w:start w:val="1"/>
      <w:numFmt w:val="bullet"/>
      <w:lvlText w:val="o"/>
      <w:lvlJc w:val="left"/>
      <w:pPr>
        <w:ind w:left="1429" w:hanging="360"/>
      </w:pPr>
      <w:rPr>
        <w:rFonts w:ascii="Courier New" w:hAnsi="Courier New" w:cs="Courier New"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38" w15:restartNumberingAfterBreak="0">
    <w:nsid w:val="6F846D4E"/>
    <w:multiLevelType w:val="hybridMultilevel"/>
    <w:tmpl w:val="51E6692E"/>
    <w:lvl w:ilvl="0" w:tplc="1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08F650C"/>
    <w:multiLevelType w:val="hybridMultilevel"/>
    <w:tmpl w:val="89249DCA"/>
    <w:lvl w:ilvl="0" w:tplc="14090001">
      <w:start w:val="1"/>
      <w:numFmt w:val="bullet"/>
      <w:lvlText w:val=""/>
      <w:lvlJc w:val="left"/>
      <w:pPr>
        <w:ind w:left="784" w:hanging="360"/>
      </w:pPr>
      <w:rPr>
        <w:rFonts w:ascii="Symbol" w:hAnsi="Symbol" w:hint="default"/>
      </w:rPr>
    </w:lvl>
    <w:lvl w:ilvl="1" w:tplc="14090003" w:tentative="1">
      <w:start w:val="1"/>
      <w:numFmt w:val="bullet"/>
      <w:lvlText w:val="o"/>
      <w:lvlJc w:val="left"/>
      <w:pPr>
        <w:ind w:left="1504" w:hanging="360"/>
      </w:pPr>
      <w:rPr>
        <w:rFonts w:ascii="Courier New" w:hAnsi="Courier New" w:cs="Courier New" w:hint="default"/>
      </w:rPr>
    </w:lvl>
    <w:lvl w:ilvl="2" w:tplc="14090005" w:tentative="1">
      <w:start w:val="1"/>
      <w:numFmt w:val="bullet"/>
      <w:lvlText w:val=""/>
      <w:lvlJc w:val="left"/>
      <w:pPr>
        <w:ind w:left="2224" w:hanging="360"/>
      </w:pPr>
      <w:rPr>
        <w:rFonts w:ascii="Wingdings" w:hAnsi="Wingdings" w:hint="default"/>
      </w:rPr>
    </w:lvl>
    <w:lvl w:ilvl="3" w:tplc="14090001" w:tentative="1">
      <w:start w:val="1"/>
      <w:numFmt w:val="bullet"/>
      <w:lvlText w:val=""/>
      <w:lvlJc w:val="left"/>
      <w:pPr>
        <w:ind w:left="2944" w:hanging="360"/>
      </w:pPr>
      <w:rPr>
        <w:rFonts w:ascii="Symbol" w:hAnsi="Symbol" w:hint="default"/>
      </w:rPr>
    </w:lvl>
    <w:lvl w:ilvl="4" w:tplc="14090003" w:tentative="1">
      <w:start w:val="1"/>
      <w:numFmt w:val="bullet"/>
      <w:lvlText w:val="o"/>
      <w:lvlJc w:val="left"/>
      <w:pPr>
        <w:ind w:left="3664" w:hanging="360"/>
      </w:pPr>
      <w:rPr>
        <w:rFonts w:ascii="Courier New" w:hAnsi="Courier New" w:cs="Courier New" w:hint="default"/>
      </w:rPr>
    </w:lvl>
    <w:lvl w:ilvl="5" w:tplc="14090005" w:tentative="1">
      <w:start w:val="1"/>
      <w:numFmt w:val="bullet"/>
      <w:lvlText w:val=""/>
      <w:lvlJc w:val="left"/>
      <w:pPr>
        <w:ind w:left="4384" w:hanging="360"/>
      </w:pPr>
      <w:rPr>
        <w:rFonts w:ascii="Wingdings" w:hAnsi="Wingdings" w:hint="default"/>
      </w:rPr>
    </w:lvl>
    <w:lvl w:ilvl="6" w:tplc="14090001" w:tentative="1">
      <w:start w:val="1"/>
      <w:numFmt w:val="bullet"/>
      <w:lvlText w:val=""/>
      <w:lvlJc w:val="left"/>
      <w:pPr>
        <w:ind w:left="5104" w:hanging="360"/>
      </w:pPr>
      <w:rPr>
        <w:rFonts w:ascii="Symbol" w:hAnsi="Symbol" w:hint="default"/>
      </w:rPr>
    </w:lvl>
    <w:lvl w:ilvl="7" w:tplc="14090003" w:tentative="1">
      <w:start w:val="1"/>
      <w:numFmt w:val="bullet"/>
      <w:lvlText w:val="o"/>
      <w:lvlJc w:val="left"/>
      <w:pPr>
        <w:ind w:left="5824" w:hanging="360"/>
      </w:pPr>
      <w:rPr>
        <w:rFonts w:ascii="Courier New" w:hAnsi="Courier New" w:cs="Courier New" w:hint="default"/>
      </w:rPr>
    </w:lvl>
    <w:lvl w:ilvl="8" w:tplc="14090005" w:tentative="1">
      <w:start w:val="1"/>
      <w:numFmt w:val="bullet"/>
      <w:lvlText w:val=""/>
      <w:lvlJc w:val="left"/>
      <w:pPr>
        <w:ind w:left="6544" w:hanging="360"/>
      </w:pPr>
      <w:rPr>
        <w:rFonts w:ascii="Wingdings" w:hAnsi="Wingdings" w:hint="default"/>
      </w:rPr>
    </w:lvl>
  </w:abstractNum>
  <w:abstractNum w:abstractNumId="40" w15:restartNumberingAfterBreak="0">
    <w:nsid w:val="71755AD1"/>
    <w:multiLevelType w:val="hybridMultilevel"/>
    <w:tmpl w:val="9D18132C"/>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41" w15:restartNumberingAfterBreak="0">
    <w:nsid w:val="774325FF"/>
    <w:multiLevelType w:val="hybridMultilevel"/>
    <w:tmpl w:val="EF7855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7623136"/>
    <w:multiLevelType w:val="hybridMultilevel"/>
    <w:tmpl w:val="D256CC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9B73D5E"/>
    <w:multiLevelType w:val="hybridMultilevel"/>
    <w:tmpl w:val="F7B0C332"/>
    <w:lvl w:ilvl="0" w:tplc="14090017">
      <w:start w:val="1"/>
      <w:numFmt w:val="lowerLetter"/>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B2F7BE7"/>
    <w:multiLevelType w:val="hybridMultilevel"/>
    <w:tmpl w:val="B508A406"/>
    <w:lvl w:ilvl="0" w:tplc="C0A405D2">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40"/>
  </w:num>
  <w:num w:numId="2">
    <w:abstractNumId w:val="36"/>
    <w:lvlOverride w:ilvl="0">
      <w:lvl w:ilvl="0">
        <w:start w:val="1"/>
        <w:numFmt w:val="bullet"/>
        <w:pStyle w:val="ListBullet"/>
        <w:lvlText w:val=""/>
        <w:lvlJc w:val="left"/>
        <w:pPr>
          <w:tabs>
            <w:tab w:val="num" w:pos="851"/>
          </w:tabs>
          <w:ind w:left="284" w:hanging="284"/>
        </w:pPr>
        <w:rPr>
          <w:rFonts w:ascii="Symbol" w:hAnsi="Symbol" w:hint="default"/>
        </w:rPr>
      </w:lvl>
    </w:lvlOverride>
    <w:lvlOverride w:ilvl="1">
      <w:lvl w:ilvl="1">
        <w:start w:val="1"/>
        <w:numFmt w:val="bullet"/>
        <w:pStyle w:val="ListBullet2"/>
        <w:lvlText w:val="­"/>
        <w:lvlJc w:val="left"/>
        <w:pPr>
          <w:tabs>
            <w:tab w:val="num" w:pos="1135"/>
          </w:tabs>
          <w:ind w:left="568" w:hanging="284"/>
        </w:pPr>
        <w:rPr>
          <w:rFonts w:ascii="Courier New" w:hAnsi="Courier New" w:hint="default"/>
          <w:color w:val="ED7D31" w:themeColor="accent2"/>
        </w:rPr>
      </w:lvl>
    </w:lvlOverride>
    <w:lvlOverride w:ilvl="2">
      <w:lvl w:ilvl="2">
        <w:start w:val="1"/>
        <w:numFmt w:val="bullet"/>
        <w:pStyle w:val="ListBullet3"/>
        <w:lvlText w:val=""/>
        <w:lvlJc w:val="left"/>
        <w:pPr>
          <w:tabs>
            <w:tab w:val="num" w:pos="1419"/>
          </w:tabs>
          <w:ind w:left="852" w:hanging="284"/>
        </w:pPr>
        <w:rPr>
          <w:rFonts w:ascii="Wingdings" w:hAnsi="Wingdings" w:hint="default"/>
          <w:color w:val="auto"/>
        </w:rPr>
      </w:lvl>
    </w:lvlOverride>
    <w:lvlOverride w:ilvl="3">
      <w:lvl w:ilvl="3">
        <w:start w:val="1"/>
        <w:numFmt w:val="bullet"/>
        <w:lvlText w:val=""/>
        <w:lvlJc w:val="left"/>
        <w:pPr>
          <w:tabs>
            <w:tab w:val="num" w:pos="1703"/>
          </w:tabs>
          <w:ind w:left="1136" w:hanging="284"/>
        </w:pPr>
        <w:rPr>
          <w:rFonts w:ascii="Symbol" w:hAnsi="Symbol" w:hint="default"/>
        </w:rPr>
      </w:lvl>
    </w:lvlOverride>
    <w:lvlOverride w:ilvl="4">
      <w:lvl w:ilvl="4">
        <w:start w:val="1"/>
        <w:numFmt w:val="bullet"/>
        <w:lvlText w:val=""/>
        <w:lvlJc w:val="left"/>
        <w:pPr>
          <w:tabs>
            <w:tab w:val="num" w:pos="1987"/>
          </w:tabs>
          <w:ind w:left="1420" w:hanging="284"/>
        </w:pPr>
        <w:rPr>
          <w:rFonts w:ascii="Symbol" w:hAnsi="Symbol" w:hint="default"/>
        </w:rPr>
      </w:lvl>
    </w:lvlOverride>
    <w:lvlOverride w:ilvl="5">
      <w:lvl w:ilvl="5">
        <w:start w:val="1"/>
        <w:numFmt w:val="bullet"/>
        <w:lvlText w:val=""/>
        <w:lvlJc w:val="left"/>
        <w:pPr>
          <w:tabs>
            <w:tab w:val="num" w:pos="2271"/>
          </w:tabs>
          <w:ind w:left="1704" w:hanging="284"/>
        </w:pPr>
        <w:rPr>
          <w:rFonts w:ascii="Wingdings" w:hAnsi="Wingdings" w:hint="default"/>
        </w:rPr>
      </w:lvl>
    </w:lvlOverride>
    <w:lvlOverride w:ilvl="6">
      <w:lvl w:ilvl="6">
        <w:start w:val="1"/>
        <w:numFmt w:val="bullet"/>
        <w:lvlText w:val=""/>
        <w:lvlJc w:val="left"/>
        <w:pPr>
          <w:tabs>
            <w:tab w:val="num" w:pos="2555"/>
          </w:tabs>
          <w:ind w:left="1988" w:hanging="284"/>
        </w:pPr>
        <w:rPr>
          <w:rFonts w:ascii="Wingdings" w:hAnsi="Wingdings" w:hint="default"/>
        </w:rPr>
      </w:lvl>
    </w:lvlOverride>
    <w:lvlOverride w:ilvl="7">
      <w:lvl w:ilvl="7">
        <w:start w:val="1"/>
        <w:numFmt w:val="bullet"/>
        <w:lvlText w:val=""/>
        <w:lvlJc w:val="left"/>
        <w:pPr>
          <w:tabs>
            <w:tab w:val="num" w:pos="2839"/>
          </w:tabs>
          <w:ind w:left="2272" w:hanging="284"/>
        </w:pPr>
        <w:rPr>
          <w:rFonts w:ascii="Symbol" w:hAnsi="Symbol" w:hint="default"/>
        </w:rPr>
      </w:lvl>
    </w:lvlOverride>
    <w:lvlOverride w:ilvl="8">
      <w:lvl w:ilvl="8">
        <w:start w:val="1"/>
        <w:numFmt w:val="bullet"/>
        <w:lvlText w:val=""/>
        <w:lvlJc w:val="left"/>
        <w:pPr>
          <w:tabs>
            <w:tab w:val="num" w:pos="3123"/>
          </w:tabs>
          <w:ind w:left="2556" w:hanging="284"/>
        </w:pPr>
        <w:rPr>
          <w:rFonts w:ascii="Symbol" w:hAnsi="Symbol" w:hint="default"/>
        </w:rPr>
      </w:lvl>
    </w:lvlOverride>
  </w:num>
  <w:num w:numId="3">
    <w:abstractNumId w:val="30"/>
  </w:num>
  <w:num w:numId="4">
    <w:abstractNumId w:val="37"/>
  </w:num>
  <w:num w:numId="5">
    <w:abstractNumId w:val="10"/>
  </w:num>
  <w:num w:numId="6">
    <w:abstractNumId w:val="17"/>
  </w:num>
  <w:num w:numId="7">
    <w:abstractNumId w:val="4"/>
  </w:num>
  <w:num w:numId="8">
    <w:abstractNumId w:val="44"/>
  </w:num>
  <w:num w:numId="9">
    <w:abstractNumId w:val="24"/>
  </w:num>
  <w:num w:numId="10">
    <w:abstractNumId w:val="22"/>
  </w:num>
  <w:num w:numId="11">
    <w:abstractNumId w:val="33"/>
  </w:num>
  <w:num w:numId="12">
    <w:abstractNumId w:val="19"/>
  </w:num>
  <w:num w:numId="13">
    <w:abstractNumId w:val="26"/>
  </w:num>
  <w:num w:numId="14">
    <w:abstractNumId w:val="29"/>
  </w:num>
  <w:num w:numId="15">
    <w:abstractNumId w:val="13"/>
  </w:num>
  <w:num w:numId="16">
    <w:abstractNumId w:val="32"/>
  </w:num>
  <w:num w:numId="17">
    <w:abstractNumId w:val="31"/>
  </w:num>
  <w:num w:numId="18">
    <w:abstractNumId w:val="25"/>
  </w:num>
  <w:num w:numId="19">
    <w:abstractNumId w:val="21"/>
  </w:num>
  <w:num w:numId="20">
    <w:abstractNumId w:val="9"/>
  </w:num>
  <w:num w:numId="21">
    <w:abstractNumId w:val="12"/>
  </w:num>
  <w:num w:numId="22">
    <w:abstractNumId w:val="41"/>
  </w:num>
  <w:num w:numId="23">
    <w:abstractNumId w:val="23"/>
  </w:num>
  <w:num w:numId="24">
    <w:abstractNumId w:val="6"/>
  </w:num>
  <w:num w:numId="25">
    <w:abstractNumId w:val="3"/>
  </w:num>
  <w:num w:numId="26">
    <w:abstractNumId w:val="11"/>
  </w:num>
  <w:num w:numId="27">
    <w:abstractNumId w:val="2"/>
  </w:num>
  <w:num w:numId="28">
    <w:abstractNumId w:val="38"/>
  </w:num>
  <w:num w:numId="29">
    <w:abstractNumId w:val="28"/>
  </w:num>
  <w:num w:numId="30">
    <w:abstractNumId w:val="0"/>
  </w:num>
  <w:num w:numId="31">
    <w:abstractNumId w:val="15"/>
  </w:num>
  <w:num w:numId="32">
    <w:abstractNumId w:val="7"/>
  </w:num>
  <w:num w:numId="33">
    <w:abstractNumId w:val="35"/>
  </w:num>
  <w:num w:numId="34">
    <w:abstractNumId w:val="39"/>
  </w:num>
  <w:num w:numId="35">
    <w:abstractNumId w:val="5"/>
  </w:num>
  <w:num w:numId="36">
    <w:abstractNumId w:val="34"/>
  </w:num>
  <w:num w:numId="37">
    <w:abstractNumId w:val="8"/>
  </w:num>
  <w:num w:numId="38">
    <w:abstractNumId w:val="43"/>
  </w:num>
  <w:num w:numId="39">
    <w:abstractNumId w:val="1"/>
  </w:num>
  <w:num w:numId="40">
    <w:abstractNumId w:val="27"/>
  </w:num>
  <w:num w:numId="41">
    <w:abstractNumId w:val="18"/>
  </w:num>
  <w:num w:numId="42">
    <w:abstractNumId w:val="16"/>
  </w:num>
  <w:num w:numId="43">
    <w:abstractNumId w:val="42"/>
  </w:num>
  <w:num w:numId="44">
    <w:abstractNumId w:val="14"/>
  </w:num>
  <w:num w:numId="45">
    <w:abstractNumId w:val="40"/>
  </w:num>
  <w:num w:numId="46">
    <w:abstractNumId w:val="40"/>
  </w:num>
  <w:num w:numId="47">
    <w:abstractNumId w:val="40"/>
  </w:num>
  <w:num w:numId="48">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4B1554D"/>
    <w:rsid w:val="00000342"/>
    <w:rsid w:val="00000A58"/>
    <w:rsid w:val="00000D45"/>
    <w:rsid w:val="000010D7"/>
    <w:rsid w:val="0000140C"/>
    <w:rsid w:val="0000154F"/>
    <w:rsid w:val="0000177E"/>
    <w:rsid w:val="000018D8"/>
    <w:rsid w:val="00001904"/>
    <w:rsid w:val="00001A21"/>
    <w:rsid w:val="00001A29"/>
    <w:rsid w:val="00001A40"/>
    <w:rsid w:val="00001AD8"/>
    <w:rsid w:val="00001C05"/>
    <w:rsid w:val="00001E37"/>
    <w:rsid w:val="00001E3C"/>
    <w:rsid w:val="000026CB"/>
    <w:rsid w:val="0000271E"/>
    <w:rsid w:val="00002B2A"/>
    <w:rsid w:val="00002BDA"/>
    <w:rsid w:val="00002E60"/>
    <w:rsid w:val="000030EF"/>
    <w:rsid w:val="000030FA"/>
    <w:rsid w:val="000031CE"/>
    <w:rsid w:val="00003690"/>
    <w:rsid w:val="000036E5"/>
    <w:rsid w:val="000037B0"/>
    <w:rsid w:val="000037D2"/>
    <w:rsid w:val="00003A9F"/>
    <w:rsid w:val="000041AE"/>
    <w:rsid w:val="00004544"/>
    <w:rsid w:val="00004811"/>
    <w:rsid w:val="00004A8C"/>
    <w:rsid w:val="00004CA9"/>
    <w:rsid w:val="00004FC4"/>
    <w:rsid w:val="00005078"/>
    <w:rsid w:val="000050A1"/>
    <w:rsid w:val="000052DD"/>
    <w:rsid w:val="0000538E"/>
    <w:rsid w:val="00005481"/>
    <w:rsid w:val="000057BE"/>
    <w:rsid w:val="000057CE"/>
    <w:rsid w:val="000058D7"/>
    <w:rsid w:val="00005CED"/>
    <w:rsid w:val="00005D71"/>
    <w:rsid w:val="00006008"/>
    <w:rsid w:val="00006092"/>
    <w:rsid w:val="000060D6"/>
    <w:rsid w:val="00006271"/>
    <w:rsid w:val="00006782"/>
    <w:rsid w:val="000068D8"/>
    <w:rsid w:val="00006A7E"/>
    <w:rsid w:val="00006B81"/>
    <w:rsid w:val="00006BA4"/>
    <w:rsid w:val="00006EB1"/>
    <w:rsid w:val="00006F1B"/>
    <w:rsid w:val="00007087"/>
    <w:rsid w:val="000071E5"/>
    <w:rsid w:val="00007207"/>
    <w:rsid w:val="000072BE"/>
    <w:rsid w:val="000072F9"/>
    <w:rsid w:val="000075A8"/>
    <w:rsid w:val="000078AE"/>
    <w:rsid w:val="00007C77"/>
    <w:rsid w:val="00007DB2"/>
    <w:rsid w:val="00007E75"/>
    <w:rsid w:val="00007F66"/>
    <w:rsid w:val="00007F86"/>
    <w:rsid w:val="00010352"/>
    <w:rsid w:val="000104E2"/>
    <w:rsid w:val="0001072E"/>
    <w:rsid w:val="00010747"/>
    <w:rsid w:val="00010CA2"/>
    <w:rsid w:val="0001101C"/>
    <w:rsid w:val="000113E4"/>
    <w:rsid w:val="000115FE"/>
    <w:rsid w:val="0001163C"/>
    <w:rsid w:val="0001170D"/>
    <w:rsid w:val="000117D2"/>
    <w:rsid w:val="00011A31"/>
    <w:rsid w:val="00011A52"/>
    <w:rsid w:val="0001227C"/>
    <w:rsid w:val="00012329"/>
    <w:rsid w:val="000124A2"/>
    <w:rsid w:val="000125BE"/>
    <w:rsid w:val="00012852"/>
    <w:rsid w:val="0001290D"/>
    <w:rsid w:val="00012932"/>
    <w:rsid w:val="00012991"/>
    <w:rsid w:val="00012ACD"/>
    <w:rsid w:val="00012BA3"/>
    <w:rsid w:val="00012BE2"/>
    <w:rsid w:val="00012EAC"/>
    <w:rsid w:val="00013158"/>
    <w:rsid w:val="000135BF"/>
    <w:rsid w:val="000137B2"/>
    <w:rsid w:val="000138F5"/>
    <w:rsid w:val="00013910"/>
    <w:rsid w:val="000139C7"/>
    <w:rsid w:val="000139F9"/>
    <w:rsid w:val="000140B3"/>
    <w:rsid w:val="0001426F"/>
    <w:rsid w:val="00014342"/>
    <w:rsid w:val="000145C7"/>
    <w:rsid w:val="000151F4"/>
    <w:rsid w:val="00015275"/>
    <w:rsid w:val="0001532A"/>
    <w:rsid w:val="00015357"/>
    <w:rsid w:val="000157E5"/>
    <w:rsid w:val="000165F3"/>
    <w:rsid w:val="00016745"/>
    <w:rsid w:val="000168A0"/>
    <w:rsid w:val="00016B66"/>
    <w:rsid w:val="00016DA1"/>
    <w:rsid w:val="00017321"/>
    <w:rsid w:val="00017545"/>
    <w:rsid w:val="0001760F"/>
    <w:rsid w:val="00017767"/>
    <w:rsid w:val="0001787D"/>
    <w:rsid w:val="00017880"/>
    <w:rsid w:val="00017AEE"/>
    <w:rsid w:val="00017BFD"/>
    <w:rsid w:val="000200B8"/>
    <w:rsid w:val="000202E9"/>
    <w:rsid w:val="000204DF"/>
    <w:rsid w:val="00020776"/>
    <w:rsid w:val="000209DE"/>
    <w:rsid w:val="00020AE8"/>
    <w:rsid w:val="00020BF2"/>
    <w:rsid w:val="00020CBB"/>
    <w:rsid w:val="00020DF8"/>
    <w:rsid w:val="00020ECC"/>
    <w:rsid w:val="0002103F"/>
    <w:rsid w:val="000213C5"/>
    <w:rsid w:val="00021890"/>
    <w:rsid w:val="00021A0A"/>
    <w:rsid w:val="00021AB0"/>
    <w:rsid w:val="00021D45"/>
    <w:rsid w:val="00021DAF"/>
    <w:rsid w:val="0002221F"/>
    <w:rsid w:val="00022245"/>
    <w:rsid w:val="000222F5"/>
    <w:rsid w:val="000223FD"/>
    <w:rsid w:val="00022882"/>
    <w:rsid w:val="00022894"/>
    <w:rsid w:val="00022965"/>
    <w:rsid w:val="00022C65"/>
    <w:rsid w:val="0002307E"/>
    <w:rsid w:val="000234A1"/>
    <w:rsid w:val="00023525"/>
    <w:rsid w:val="000237EA"/>
    <w:rsid w:val="00023AC6"/>
    <w:rsid w:val="00023B71"/>
    <w:rsid w:val="000241A1"/>
    <w:rsid w:val="00024B6A"/>
    <w:rsid w:val="00024C0F"/>
    <w:rsid w:val="00024C31"/>
    <w:rsid w:val="00024F41"/>
    <w:rsid w:val="00025061"/>
    <w:rsid w:val="00025144"/>
    <w:rsid w:val="000251CE"/>
    <w:rsid w:val="0002534E"/>
    <w:rsid w:val="000254C9"/>
    <w:rsid w:val="000254FA"/>
    <w:rsid w:val="0002553F"/>
    <w:rsid w:val="000255E1"/>
    <w:rsid w:val="0002565C"/>
    <w:rsid w:val="000256A3"/>
    <w:rsid w:val="000257F7"/>
    <w:rsid w:val="00025904"/>
    <w:rsid w:val="00025A21"/>
    <w:rsid w:val="00025B07"/>
    <w:rsid w:val="00025FD1"/>
    <w:rsid w:val="00025FFB"/>
    <w:rsid w:val="000262DC"/>
    <w:rsid w:val="000263FE"/>
    <w:rsid w:val="000264D7"/>
    <w:rsid w:val="00026570"/>
    <w:rsid w:val="0002659E"/>
    <w:rsid w:val="00026718"/>
    <w:rsid w:val="000267F5"/>
    <w:rsid w:val="00026C30"/>
    <w:rsid w:val="00026C7E"/>
    <w:rsid w:val="00026E1E"/>
    <w:rsid w:val="00026E5E"/>
    <w:rsid w:val="00027287"/>
    <w:rsid w:val="000273A0"/>
    <w:rsid w:val="00027537"/>
    <w:rsid w:val="000277AE"/>
    <w:rsid w:val="00027A94"/>
    <w:rsid w:val="00027B6B"/>
    <w:rsid w:val="00027E0E"/>
    <w:rsid w:val="000304F9"/>
    <w:rsid w:val="000305A7"/>
    <w:rsid w:val="000309C9"/>
    <w:rsid w:val="00030A50"/>
    <w:rsid w:val="00030BB6"/>
    <w:rsid w:val="00030E29"/>
    <w:rsid w:val="00030F2E"/>
    <w:rsid w:val="00030FF7"/>
    <w:rsid w:val="00031080"/>
    <w:rsid w:val="0003133A"/>
    <w:rsid w:val="000314E2"/>
    <w:rsid w:val="0003159E"/>
    <w:rsid w:val="00031C13"/>
    <w:rsid w:val="00031CC0"/>
    <w:rsid w:val="00031F7D"/>
    <w:rsid w:val="00032A53"/>
    <w:rsid w:val="00032B07"/>
    <w:rsid w:val="00032DFA"/>
    <w:rsid w:val="00032F89"/>
    <w:rsid w:val="0003341C"/>
    <w:rsid w:val="000334D2"/>
    <w:rsid w:val="00033651"/>
    <w:rsid w:val="00033729"/>
    <w:rsid w:val="000338E3"/>
    <w:rsid w:val="00034A48"/>
    <w:rsid w:val="00034BCD"/>
    <w:rsid w:val="00034BCE"/>
    <w:rsid w:val="00034C5E"/>
    <w:rsid w:val="00034CA7"/>
    <w:rsid w:val="00034CD5"/>
    <w:rsid w:val="00034F00"/>
    <w:rsid w:val="00034F74"/>
    <w:rsid w:val="00034FBE"/>
    <w:rsid w:val="000352D5"/>
    <w:rsid w:val="0003545F"/>
    <w:rsid w:val="0003561E"/>
    <w:rsid w:val="000358BA"/>
    <w:rsid w:val="00035972"/>
    <w:rsid w:val="00035999"/>
    <w:rsid w:val="00035AE4"/>
    <w:rsid w:val="00035CFF"/>
    <w:rsid w:val="00035E19"/>
    <w:rsid w:val="00035EF9"/>
    <w:rsid w:val="00035F20"/>
    <w:rsid w:val="00035F44"/>
    <w:rsid w:val="00036144"/>
    <w:rsid w:val="00036151"/>
    <w:rsid w:val="000361AC"/>
    <w:rsid w:val="000362C0"/>
    <w:rsid w:val="0003633A"/>
    <w:rsid w:val="0003639D"/>
    <w:rsid w:val="000363C1"/>
    <w:rsid w:val="00036446"/>
    <w:rsid w:val="0003692D"/>
    <w:rsid w:val="00036AC3"/>
    <w:rsid w:val="00036B73"/>
    <w:rsid w:val="00036CD3"/>
    <w:rsid w:val="00036EDA"/>
    <w:rsid w:val="0003718C"/>
    <w:rsid w:val="0003718E"/>
    <w:rsid w:val="0003719A"/>
    <w:rsid w:val="0003787B"/>
    <w:rsid w:val="00037A23"/>
    <w:rsid w:val="00037A48"/>
    <w:rsid w:val="00037CAE"/>
    <w:rsid w:val="0004034F"/>
    <w:rsid w:val="00040533"/>
    <w:rsid w:val="000405A7"/>
    <w:rsid w:val="00040771"/>
    <w:rsid w:val="000407F1"/>
    <w:rsid w:val="00040CC5"/>
    <w:rsid w:val="00040E63"/>
    <w:rsid w:val="00041139"/>
    <w:rsid w:val="000411C7"/>
    <w:rsid w:val="000411EB"/>
    <w:rsid w:val="00041408"/>
    <w:rsid w:val="000415C5"/>
    <w:rsid w:val="000415FD"/>
    <w:rsid w:val="00041764"/>
    <w:rsid w:val="000417CD"/>
    <w:rsid w:val="00041901"/>
    <w:rsid w:val="00041AE0"/>
    <w:rsid w:val="00041B48"/>
    <w:rsid w:val="00041EAC"/>
    <w:rsid w:val="000421BB"/>
    <w:rsid w:val="00042255"/>
    <w:rsid w:val="00042302"/>
    <w:rsid w:val="0004262D"/>
    <w:rsid w:val="00042654"/>
    <w:rsid w:val="00042748"/>
    <w:rsid w:val="00042895"/>
    <w:rsid w:val="00043262"/>
    <w:rsid w:val="00043304"/>
    <w:rsid w:val="00043347"/>
    <w:rsid w:val="0004349C"/>
    <w:rsid w:val="00043513"/>
    <w:rsid w:val="0004368F"/>
    <w:rsid w:val="00043B91"/>
    <w:rsid w:val="00043DC8"/>
    <w:rsid w:val="000440EE"/>
    <w:rsid w:val="00044300"/>
    <w:rsid w:val="0004436B"/>
    <w:rsid w:val="00044399"/>
    <w:rsid w:val="0004479B"/>
    <w:rsid w:val="00044880"/>
    <w:rsid w:val="00044A30"/>
    <w:rsid w:val="00044C82"/>
    <w:rsid w:val="00044CDF"/>
    <w:rsid w:val="00044DE2"/>
    <w:rsid w:val="00045172"/>
    <w:rsid w:val="000454A4"/>
    <w:rsid w:val="00045797"/>
    <w:rsid w:val="00045E71"/>
    <w:rsid w:val="00045F7B"/>
    <w:rsid w:val="0004610D"/>
    <w:rsid w:val="000463BC"/>
    <w:rsid w:val="000463D6"/>
    <w:rsid w:val="00046431"/>
    <w:rsid w:val="00046651"/>
    <w:rsid w:val="00046696"/>
    <w:rsid w:val="00046908"/>
    <w:rsid w:val="00046912"/>
    <w:rsid w:val="000469EB"/>
    <w:rsid w:val="00046D5E"/>
    <w:rsid w:val="00047166"/>
    <w:rsid w:val="00047A14"/>
    <w:rsid w:val="00047A73"/>
    <w:rsid w:val="00047E4F"/>
    <w:rsid w:val="00047F00"/>
    <w:rsid w:val="0005035A"/>
    <w:rsid w:val="00050393"/>
    <w:rsid w:val="00050830"/>
    <w:rsid w:val="00050834"/>
    <w:rsid w:val="000508B3"/>
    <w:rsid w:val="000509E9"/>
    <w:rsid w:val="00050B3E"/>
    <w:rsid w:val="00050E4B"/>
    <w:rsid w:val="00051097"/>
    <w:rsid w:val="0005158D"/>
    <w:rsid w:val="000518E7"/>
    <w:rsid w:val="00051938"/>
    <w:rsid w:val="00051AAC"/>
    <w:rsid w:val="00051BB6"/>
    <w:rsid w:val="00051BFA"/>
    <w:rsid w:val="00051CF3"/>
    <w:rsid w:val="00051DC0"/>
    <w:rsid w:val="00051EBB"/>
    <w:rsid w:val="00051F52"/>
    <w:rsid w:val="00051FD1"/>
    <w:rsid w:val="00051FD2"/>
    <w:rsid w:val="00052219"/>
    <w:rsid w:val="0005248F"/>
    <w:rsid w:val="0005278A"/>
    <w:rsid w:val="0005278F"/>
    <w:rsid w:val="000529B4"/>
    <w:rsid w:val="00052C20"/>
    <w:rsid w:val="00052C29"/>
    <w:rsid w:val="00052D3D"/>
    <w:rsid w:val="000533FD"/>
    <w:rsid w:val="000534D7"/>
    <w:rsid w:val="0005361B"/>
    <w:rsid w:val="00053CE3"/>
    <w:rsid w:val="00053D05"/>
    <w:rsid w:val="00053E65"/>
    <w:rsid w:val="00053E83"/>
    <w:rsid w:val="00053FD8"/>
    <w:rsid w:val="000541CB"/>
    <w:rsid w:val="000542B9"/>
    <w:rsid w:val="00054372"/>
    <w:rsid w:val="00054486"/>
    <w:rsid w:val="00054628"/>
    <w:rsid w:val="00054BDA"/>
    <w:rsid w:val="00054C57"/>
    <w:rsid w:val="0005507F"/>
    <w:rsid w:val="000555EC"/>
    <w:rsid w:val="00055C11"/>
    <w:rsid w:val="00055CE1"/>
    <w:rsid w:val="00055F79"/>
    <w:rsid w:val="0005624A"/>
    <w:rsid w:val="000562BE"/>
    <w:rsid w:val="0005648B"/>
    <w:rsid w:val="000568CC"/>
    <w:rsid w:val="00056AE0"/>
    <w:rsid w:val="00056C51"/>
    <w:rsid w:val="00057199"/>
    <w:rsid w:val="00057465"/>
    <w:rsid w:val="00057467"/>
    <w:rsid w:val="0005766B"/>
    <w:rsid w:val="0005767B"/>
    <w:rsid w:val="00057B20"/>
    <w:rsid w:val="00057CC9"/>
    <w:rsid w:val="00057E3D"/>
    <w:rsid w:val="00057E77"/>
    <w:rsid w:val="00060209"/>
    <w:rsid w:val="000602FB"/>
    <w:rsid w:val="000607D5"/>
    <w:rsid w:val="0006087C"/>
    <w:rsid w:val="00060ACB"/>
    <w:rsid w:val="00060ACD"/>
    <w:rsid w:val="00060AEF"/>
    <w:rsid w:val="00060BA2"/>
    <w:rsid w:val="00060EE0"/>
    <w:rsid w:val="000618BC"/>
    <w:rsid w:val="00061AE6"/>
    <w:rsid w:val="00062089"/>
    <w:rsid w:val="000623BE"/>
    <w:rsid w:val="000629F7"/>
    <w:rsid w:val="0006308B"/>
    <w:rsid w:val="000631D1"/>
    <w:rsid w:val="000633BD"/>
    <w:rsid w:val="000635BE"/>
    <w:rsid w:val="000636A0"/>
    <w:rsid w:val="00063749"/>
    <w:rsid w:val="0006376A"/>
    <w:rsid w:val="00063794"/>
    <w:rsid w:val="000637A8"/>
    <w:rsid w:val="00063911"/>
    <w:rsid w:val="00063A06"/>
    <w:rsid w:val="00063B05"/>
    <w:rsid w:val="00063F7D"/>
    <w:rsid w:val="00063FA1"/>
    <w:rsid w:val="00063FFA"/>
    <w:rsid w:val="000641CD"/>
    <w:rsid w:val="00064B3F"/>
    <w:rsid w:val="00064E6E"/>
    <w:rsid w:val="000655E7"/>
    <w:rsid w:val="000658AB"/>
    <w:rsid w:val="00065A36"/>
    <w:rsid w:val="00065AAC"/>
    <w:rsid w:val="00065B0C"/>
    <w:rsid w:val="00065CA6"/>
    <w:rsid w:val="00066195"/>
    <w:rsid w:val="000661BA"/>
    <w:rsid w:val="0006657B"/>
    <w:rsid w:val="00066594"/>
    <w:rsid w:val="000665AA"/>
    <w:rsid w:val="0006685F"/>
    <w:rsid w:val="00066951"/>
    <w:rsid w:val="00066B6C"/>
    <w:rsid w:val="00066BBA"/>
    <w:rsid w:val="00066BC6"/>
    <w:rsid w:val="00066BDB"/>
    <w:rsid w:val="00066DC4"/>
    <w:rsid w:val="000674FC"/>
    <w:rsid w:val="00067B2C"/>
    <w:rsid w:val="0007002B"/>
    <w:rsid w:val="00070273"/>
    <w:rsid w:val="000702C6"/>
    <w:rsid w:val="00070408"/>
    <w:rsid w:val="00070585"/>
    <w:rsid w:val="000705ED"/>
    <w:rsid w:val="000708A7"/>
    <w:rsid w:val="000708E6"/>
    <w:rsid w:val="00070E7D"/>
    <w:rsid w:val="000713B0"/>
    <w:rsid w:val="000714D4"/>
    <w:rsid w:val="00071847"/>
    <w:rsid w:val="00071910"/>
    <w:rsid w:val="00071B6A"/>
    <w:rsid w:val="00071CD6"/>
    <w:rsid w:val="000720DF"/>
    <w:rsid w:val="000722F0"/>
    <w:rsid w:val="00072333"/>
    <w:rsid w:val="000723B0"/>
    <w:rsid w:val="0007246A"/>
    <w:rsid w:val="00073030"/>
    <w:rsid w:val="00073400"/>
    <w:rsid w:val="00073466"/>
    <w:rsid w:val="00073950"/>
    <w:rsid w:val="00073A19"/>
    <w:rsid w:val="00073A6A"/>
    <w:rsid w:val="00073D4D"/>
    <w:rsid w:val="00074680"/>
    <w:rsid w:val="000746AE"/>
    <w:rsid w:val="000746F5"/>
    <w:rsid w:val="000749C3"/>
    <w:rsid w:val="00074A8B"/>
    <w:rsid w:val="00074D35"/>
    <w:rsid w:val="00074EBC"/>
    <w:rsid w:val="000752EC"/>
    <w:rsid w:val="000756C8"/>
    <w:rsid w:val="0007573B"/>
    <w:rsid w:val="00076125"/>
    <w:rsid w:val="00076231"/>
    <w:rsid w:val="00076400"/>
    <w:rsid w:val="000765A1"/>
    <w:rsid w:val="00076603"/>
    <w:rsid w:val="00076C37"/>
    <w:rsid w:val="00076CF5"/>
    <w:rsid w:val="00076D17"/>
    <w:rsid w:val="00076D85"/>
    <w:rsid w:val="00076F27"/>
    <w:rsid w:val="00076FA9"/>
    <w:rsid w:val="0007718F"/>
    <w:rsid w:val="00077507"/>
    <w:rsid w:val="00077537"/>
    <w:rsid w:val="000775AF"/>
    <w:rsid w:val="00077602"/>
    <w:rsid w:val="0007779A"/>
    <w:rsid w:val="00077A09"/>
    <w:rsid w:val="00077BBF"/>
    <w:rsid w:val="00077F8C"/>
    <w:rsid w:val="0008005B"/>
    <w:rsid w:val="00080377"/>
    <w:rsid w:val="00080407"/>
    <w:rsid w:val="00080477"/>
    <w:rsid w:val="00080565"/>
    <w:rsid w:val="00080801"/>
    <w:rsid w:val="00080C7A"/>
    <w:rsid w:val="00080CC0"/>
    <w:rsid w:val="00080E10"/>
    <w:rsid w:val="00080E95"/>
    <w:rsid w:val="00080F10"/>
    <w:rsid w:val="0008107D"/>
    <w:rsid w:val="000813D7"/>
    <w:rsid w:val="0008147A"/>
    <w:rsid w:val="0008165A"/>
    <w:rsid w:val="0008178B"/>
    <w:rsid w:val="00081A38"/>
    <w:rsid w:val="00081B6B"/>
    <w:rsid w:val="00081F1F"/>
    <w:rsid w:val="000820F4"/>
    <w:rsid w:val="000821E4"/>
    <w:rsid w:val="0008237F"/>
    <w:rsid w:val="00082436"/>
    <w:rsid w:val="000828D1"/>
    <w:rsid w:val="00082BE4"/>
    <w:rsid w:val="00082BF3"/>
    <w:rsid w:val="00083042"/>
    <w:rsid w:val="000832FD"/>
    <w:rsid w:val="0008341A"/>
    <w:rsid w:val="00083998"/>
    <w:rsid w:val="00083DD9"/>
    <w:rsid w:val="000843E8"/>
    <w:rsid w:val="0008457C"/>
    <w:rsid w:val="000847EE"/>
    <w:rsid w:val="00084835"/>
    <w:rsid w:val="000849A8"/>
    <w:rsid w:val="00084E58"/>
    <w:rsid w:val="00085157"/>
    <w:rsid w:val="000854A3"/>
    <w:rsid w:val="00085E51"/>
    <w:rsid w:val="0008626A"/>
    <w:rsid w:val="00086278"/>
    <w:rsid w:val="00086565"/>
    <w:rsid w:val="0008686F"/>
    <w:rsid w:val="00086F81"/>
    <w:rsid w:val="00087117"/>
    <w:rsid w:val="00087364"/>
    <w:rsid w:val="000874C1"/>
    <w:rsid w:val="000877E9"/>
    <w:rsid w:val="000878F7"/>
    <w:rsid w:val="00087C7C"/>
    <w:rsid w:val="00087CD6"/>
    <w:rsid w:val="00087D74"/>
    <w:rsid w:val="00087DBF"/>
    <w:rsid w:val="00087F3D"/>
    <w:rsid w:val="000902EE"/>
    <w:rsid w:val="000906ED"/>
    <w:rsid w:val="000908B3"/>
    <w:rsid w:val="00090C5C"/>
    <w:rsid w:val="00090C98"/>
    <w:rsid w:val="00090E1A"/>
    <w:rsid w:val="00091395"/>
    <w:rsid w:val="000918B6"/>
    <w:rsid w:val="0009193A"/>
    <w:rsid w:val="00091CE0"/>
    <w:rsid w:val="00091E97"/>
    <w:rsid w:val="0009219D"/>
    <w:rsid w:val="000922AD"/>
    <w:rsid w:val="00092751"/>
    <w:rsid w:val="00092804"/>
    <w:rsid w:val="0009281B"/>
    <w:rsid w:val="00092A42"/>
    <w:rsid w:val="00092E92"/>
    <w:rsid w:val="0009315A"/>
    <w:rsid w:val="0009333C"/>
    <w:rsid w:val="000937B9"/>
    <w:rsid w:val="00093ABD"/>
    <w:rsid w:val="00093C82"/>
    <w:rsid w:val="00093CB2"/>
    <w:rsid w:val="00093D8E"/>
    <w:rsid w:val="00093D97"/>
    <w:rsid w:val="00093E6D"/>
    <w:rsid w:val="00093F29"/>
    <w:rsid w:val="0009436A"/>
    <w:rsid w:val="0009436C"/>
    <w:rsid w:val="00094734"/>
    <w:rsid w:val="000947D5"/>
    <w:rsid w:val="00094849"/>
    <w:rsid w:val="0009489F"/>
    <w:rsid w:val="00094952"/>
    <w:rsid w:val="00094AA7"/>
    <w:rsid w:val="00094B12"/>
    <w:rsid w:val="00094D7F"/>
    <w:rsid w:val="00094F38"/>
    <w:rsid w:val="00094F55"/>
    <w:rsid w:val="00094FB0"/>
    <w:rsid w:val="00095339"/>
    <w:rsid w:val="00095ABA"/>
    <w:rsid w:val="00095B81"/>
    <w:rsid w:val="00095BA7"/>
    <w:rsid w:val="00095C5B"/>
    <w:rsid w:val="000961FD"/>
    <w:rsid w:val="00096664"/>
    <w:rsid w:val="00096813"/>
    <w:rsid w:val="000969FE"/>
    <w:rsid w:val="00096A50"/>
    <w:rsid w:val="00096A6B"/>
    <w:rsid w:val="00096B5E"/>
    <w:rsid w:val="00096D97"/>
    <w:rsid w:val="00096F85"/>
    <w:rsid w:val="00097079"/>
    <w:rsid w:val="000972BA"/>
    <w:rsid w:val="000974AC"/>
    <w:rsid w:val="00097568"/>
    <w:rsid w:val="00097575"/>
    <w:rsid w:val="00097A26"/>
    <w:rsid w:val="00097E3A"/>
    <w:rsid w:val="00097F34"/>
    <w:rsid w:val="000A01CA"/>
    <w:rsid w:val="000A0805"/>
    <w:rsid w:val="000A0914"/>
    <w:rsid w:val="000A0951"/>
    <w:rsid w:val="000A0A0C"/>
    <w:rsid w:val="000A0A40"/>
    <w:rsid w:val="000A0C3A"/>
    <w:rsid w:val="000A0C53"/>
    <w:rsid w:val="000A0FEF"/>
    <w:rsid w:val="000A106D"/>
    <w:rsid w:val="000A12F7"/>
    <w:rsid w:val="000A1545"/>
    <w:rsid w:val="000A194C"/>
    <w:rsid w:val="000A195A"/>
    <w:rsid w:val="000A195B"/>
    <w:rsid w:val="000A1B10"/>
    <w:rsid w:val="000A21B5"/>
    <w:rsid w:val="000A2582"/>
    <w:rsid w:val="000A2D12"/>
    <w:rsid w:val="000A2D5C"/>
    <w:rsid w:val="000A3330"/>
    <w:rsid w:val="000A3618"/>
    <w:rsid w:val="000A3A52"/>
    <w:rsid w:val="000A3F7B"/>
    <w:rsid w:val="000A418F"/>
    <w:rsid w:val="000A44E3"/>
    <w:rsid w:val="000A4639"/>
    <w:rsid w:val="000A4735"/>
    <w:rsid w:val="000A4759"/>
    <w:rsid w:val="000A4935"/>
    <w:rsid w:val="000A49DD"/>
    <w:rsid w:val="000A4A2F"/>
    <w:rsid w:val="000A4A3D"/>
    <w:rsid w:val="000A4BA9"/>
    <w:rsid w:val="000A4E0B"/>
    <w:rsid w:val="000A529D"/>
    <w:rsid w:val="000A561F"/>
    <w:rsid w:val="000A599A"/>
    <w:rsid w:val="000A6075"/>
    <w:rsid w:val="000A6263"/>
    <w:rsid w:val="000A6367"/>
    <w:rsid w:val="000A64DB"/>
    <w:rsid w:val="000A655C"/>
    <w:rsid w:val="000A6775"/>
    <w:rsid w:val="000A68AF"/>
    <w:rsid w:val="000A69A4"/>
    <w:rsid w:val="000A69CD"/>
    <w:rsid w:val="000A6F9C"/>
    <w:rsid w:val="000A6FC9"/>
    <w:rsid w:val="000A71A5"/>
    <w:rsid w:val="000A71F7"/>
    <w:rsid w:val="000A74CD"/>
    <w:rsid w:val="000A79BE"/>
    <w:rsid w:val="000A7BFB"/>
    <w:rsid w:val="000B0009"/>
    <w:rsid w:val="000B05F2"/>
    <w:rsid w:val="000B05F9"/>
    <w:rsid w:val="000B08D1"/>
    <w:rsid w:val="000B139C"/>
    <w:rsid w:val="000B14FB"/>
    <w:rsid w:val="000B150E"/>
    <w:rsid w:val="000B184B"/>
    <w:rsid w:val="000B2159"/>
    <w:rsid w:val="000B227E"/>
    <w:rsid w:val="000B25F8"/>
    <w:rsid w:val="000B27F1"/>
    <w:rsid w:val="000B2831"/>
    <w:rsid w:val="000B29A9"/>
    <w:rsid w:val="000B2A20"/>
    <w:rsid w:val="000B2B9D"/>
    <w:rsid w:val="000B306E"/>
    <w:rsid w:val="000B3330"/>
    <w:rsid w:val="000B364B"/>
    <w:rsid w:val="000B3A65"/>
    <w:rsid w:val="000B3CE3"/>
    <w:rsid w:val="000B3E66"/>
    <w:rsid w:val="000B4169"/>
    <w:rsid w:val="000B429E"/>
    <w:rsid w:val="000B432F"/>
    <w:rsid w:val="000B4341"/>
    <w:rsid w:val="000B446B"/>
    <w:rsid w:val="000B459E"/>
    <w:rsid w:val="000B4620"/>
    <w:rsid w:val="000B4647"/>
    <w:rsid w:val="000B467E"/>
    <w:rsid w:val="000B4683"/>
    <w:rsid w:val="000B472A"/>
    <w:rsid w:val="000B4932"/>
    <w:rsid w:val="000B4A80"/>
    <w:rsid w:val="000B4DB5"/>
    <w:rsid w:val="000B5072"/>
    <w:rsid w:val="000B508A"/>
    <w:rsid w:val="000B52CE"/>
    <w:rsid w:val="000B5555"/>
    <w:rsid w:val="000B5583"/>
    <w:rsid w:val="000B57F5"/>
    <w:rsid w:val="000B59D1"/>
    <w:rsid w:val="000B59FB"/>
    <w:rsid w:val="000B5A97"/>
    <w:rsid w:val="000B5EA4"/>
    <w:rsid w:val="000B64AC"/>
    <w:rsid w:val="000B65D4"/>
    <w:rsid w:val="000B67E8"/>
    <w:rsid w:val="000B6892"/>
    <w:rsid w:val="000B6C13"/>
    <w:rsid w:val="000B7134"/>
    <w:rsid w:val="000B7778"/>
    <w:rsid w:val="000B7CC2"/>
    <w:rsid w:val="000C02A9"/>
    <w:rsid w:val="000C0593"/>
    <w:rsid w:val="000C0672"/>
    <w:rsid w:val="000C0689"/>
    <w:rsid w:val="000C0945"/>
    <w:rsid w:val="000C0BD1"/>
    <w:rsid w:val="000C103D"/>
    <w:rsid w:val="000C162E"/>
    <w:rsid w:val="000C167B"/>
    <w:rsid w:val="000C19A8"/>
    <w:rsid w:val="000C19E0"/>
    <w:rsid w:val="000C1CFC"/>
    <w:rsid w:val="000C21EB"/>
    <w:rsid w:val="000C2229"/>
    <w:rsid w:val="000C22A6"/>
    <w:rsid w:val="000C26BF"/>
    <w:rsid w:val="000C2785"/>
    <w:rsid w:val="000C2850"/>
    <w:rsid w:val="000C2B96"/>
    <w:rsid w:val="000C313B"/>
    <w:rsid w:val="000C3191"/>
    <w:rsid w:val="000C3213"/>
    <w:rsid w:val="000C323E"/>
    <w:rsid w:val="000C33AC"/>
    <w:rsid w:val="000C36D2"/>
    <w:rsid w:val="000C3A45"/>
    <w:rsid w:val="000C3B91"/>
    <w:rsid w:val="000C3FD2"/>
    <w:rsid w:val="000C4104"/>
    <w:rsid w:val="000C4130"/>
    <w:rsid w:val="000C4184"/>
    <w:rsid w:val="000C45F7"/>
    <w:rsid w:val="000C4ADF"/>
    <w:rsid w:val="000C4C0C"/>
    <w:rsid w:val="000C4D43"/>
    <w:rsid w:val="000C4D44"/>
    <w:rsid w:val="000C4D52"/>
    <w:rsid w:val="000C4E1F"/>
    <w:rsid w:val="000C5011"/>
    <w:rsid w:val="000C5195"/>
    <w:rsid w:val="000C51B8"/>
    <w:rsid w:val="000C528A"/>
    <w:rsid w:val="000C5346"/>
    <w:rsid w:val="000C5417"/>
    <w:rsid w:val="000C5622"/>
    <w:rsid w:val="000C5B8F"/>
    <w:rsid w:val="000C5D70"/>
    <w:rsid w:val="000C5E10"/>
    <w:rsid w:val="000C6039"/>
    <w:rsid w:val="000C6BEE"/>
    <w:rsid w:val="000C6D98"/>
    <w:rsid w:val="000C6DAD"/>
    <w:rsid w:val="000C6EE2"/>
    <w:rsid w:val="000C7654"/>
    <w:rsid w:val="000C76FA"/>
    <w:rsid w:val="000C7A83"/>
    <w:rsid w:val="000C7E30"/>
    <w:rsid w:val="000C7E45"/>
    <w:rsid w:val="000C7E7C"/>
    <w:rsid w:val="000C7EAB"/>
    <w:rsid w:val="000C7ECD"/>
    <w:rsid w:val="000D079E"/>
    <w:rsid w:val="000D0A3F"/>
    <w:rsid w:val="000D0DDF"/>
    <w:rsid w:val="000D0E08"/>
    <w:rsid w:val="000D12F8"/>
    <w:rsid w:val="000D134B"/>
    <w:rsid w:val="000D15F6"/>
    <w:rsid w:val="000D1B7E"/>
    <w:rsid w:val="000D1D50"/>
    <w:rsid w:val="000D2059"/>
    <w:rsid w:val="000D212E"/>
    <w:rsid w:val="000D22C7"/>
    <w:rsid w:val="000D2794"/>
    <w:rsid w:val="000D2874"/>
    <w:rsid w:val="000D2906"/>
    <w:rsid w:val="000D2D78"/>
    <w:rsid w:val="000D2E04"/>
    <w:rsid w:val="000D2ED8"/>
    <w:rsid w:val="000D32D1"/>
    <w:rsid w:val="000D3344"/>
    <w:rsid w:val="000D3375"/>
    <w:rsid w:val="000D348C"/>
    <w:rsid w:val="000D355C"/>
    <w:rsid w:val="000D41A2"/>
    <w:rsid w:val="000D42CC"/>
    <w:rsid w:val="000D434D"/>
    <w:rsid w:val="000D4847"/>
    <w:rsid w:val="000D49E4"/>
    <w:rsid w:val="000D4B55"/>
    <w:rsid w:val="000D4BCA"/>
    <w:rsid w:val="000D4C81"/>
    <w:rsid w:val="000D4F3B"/>
    <w:rsid w:val="000D5003"/>
    <w:rsid w:val="000D5321"/>
    <w:rsid w:val="000D5402"/>
    <w:rsid w:val="000D5633"/>
    <w:rsid w:val="000D59A0"/>
    <w:rsid w:val="000D5B2A"/>
    <w:rsid w:val="000D6125"/>
    <w:rsid w:val="000D6317"/>
    <w:rsid w:val="000D68D5"/>
    <w:rsid w:val="000D69A9"/>
    <w:rsid w:val="000D6EE9"/>
    <w:rsid w:val="000D6FA2"/>
    <w:rsid w:val="000D701A"/>
    <w:rsid w:val="000D7104"/>
    <w:rsid w:val="000D72DA"/>
    <w:rsid w:val="000D7348"/>
    <w:rsid w:val="000D7486"/>
    <w:rsid w:val="000D74B7"/>
    <w:rsid w:val="000D7645"/>
    <w:rsid w:val="000D76CB"/>
    <w:rsid w:val="000D7769"/>
    <w:rsid w:val="000D7786"/>
    <w:rsid w:val="000D7BEB"/>
    <w:rsid w:val="000D7D6C"/>
    <w:rsid w:val="000D7DE8"/>
    <w:rsid w:val="000D7E7D"/>
    <w:rsid w:val="000E0024"/>
    <w:rsid w:val="000E046D"/>
    <w:rsid w:val="000E0528"/>
    <w:rsid w:val="000E0700"/>
    <w:rsid w:val="000E08B0"/>
    <w:rsid w:val="000E093C"/>
    <w:rsid w:val="000E0C9A"/>
    <w:rsid w:val="000E0CD8"/>
    <w:rsid w:val="000E0DF5"/>
    <w:rsid w:val="000E0EE0"/>
    <w:rsid w:val="000E0FCF"/>
    <w:rsid w:val="000E116F"/>
    <w:rsid w:val="000E11E4"/>
    <w:rsid w:val="000E13D7"/>
    <w:rsid w:val="000E14B9"/>
    <w:rsid w:val="000E1902"/>
    <w:rsid w:val="000E1AC5"/>
    <w:rsid w:val="000E1E11"/>
    <w:rsid w:val="000E1EB4"/>
    <w:rsid w:val="000E2050"/>
    <w:rsid w:val="000E22C1"/>
    <w:rsid w:val="000E2397"/>
    <w:rsid w:val="000E25C6"/>
    <w:rsid w:val="000E274C"/>
    <w:rsid w:val="000E2C6C"/>
    <w:rsid w:val="000E2F5E"/>
    <w:rsid w:val="000E2FCB"/>
    <w:rsid w:val="000E3133"/>
    <w:rsid w:val="000E34D1"/>
    <w:rsid w:val="000E371E"/>
    <w:rsid w:val="000E3852"/>
    <w:rsid w:val="000E3891"/>
    <w:rsid w:val="000E3A4D"/>
    <w:rsid w:val="000E3AFC"/>
    <w:rsid w:val="000E3E3C"/>
    <w:rsid w:val="000E4078"/>
    <w:rsid w:val="000E41AC"/>
    <w:rsid w:val="000E420F"/>
    <w:rsid w:val="000E4233"/>
    <w:rsid w:val="000E45C9"/>
    <w:rsid w:val="000E4786"/>
    <w:rsid w:val="000E4823"/>
    <w:rsid w:val="000E4967"/>
    <w:rsid w:val="000E499A"/>
    <w:rsid w:val="000E4C8A"/>
    <w:rsid w:val="000E4E1F"/>
    <w:rsid w:val="000E4FE4"/>
    <w:rsid w:val="000E4FFA"/>
    <w:rsid w:val="000E50DC"/>
    <w:rsid w:val="000E50FF"/>
    <w:rsid w:val="000E5603"/>
    <w:rsid w:val="000E5802"/>
    <w:rsid w:val="000E5D3A"/>
    <w:rsid w:val="000E5FAC"/>
    <w:rsid w:val="000E5FE0"/>
    <w:rsid w:val="000E64B4"/>
    <w:rsid w:val="000E6D1C"/>
    <w:rsid w:val="000E6D7F"/>
    <w:rsid w:val="000E6F50"/>
    <w:rsid w:val="000E705D"/>
    <w:rsid w:val="000E70F2"/>
    <w:rsid w:val="000E74C7"/>
    <w:rsid w:val="000E7751"/>
    <w:rsid w:val="000E7935"/>
    <w:rsid w:val="000E7953"/>
    <w:rsid w:val="000E7E67"/>
    <w:rsid w:val="000E7F44"/>
    <w:rsid w:val="000F0329"/>
    <w:rsid w:val="000F0733"/>
    <w:rsid w:val="000F0748"/>
    <w:rsid w:val="000F08C6"/>
    <w:rsid w:val="000F098B"/>
    <w:rsid w:val="000F09AD"/>
    <w:rsid w:val="000F0C4E"/>
    <w:rsid w:val="000F0CB4"/>
    <w:rsid w:val="000F0D28"/>
    <w:rsid w:val="000F0D7D"/>
    <w:rsid w:val="000F100A"/>
    <w:rsid w:val="000F1034"/>
    <w:rsid w:val="000F12B4"/>
    <w:rsid w:val="000F1418"/>
    <w:rsid w:val="000F1585"/>
    <w:rsid w:val="000F1642"/>
    <w:rsid w:val="000F16D1"/>
    <w:rsid w:val="000F1887"/>
    <w:rsid w:val="000F1AF4"/>
    <w:rsid w:val="000F2534"/>
    <w:rsid w:val="000F29F0"/>
    <w:rsid w:val="000F2EF8"/>
    <w:rsid w:val="000F3424"/>
    <w:rsid w:val="000F34DA"/>
    <w:rsid w:val="000F3527"/>
    <w:rsid w:val="000F3DC3"/>
    <w:rsid w:val="000F3E2E"/>
    <w:rsid w:val="000F3FC3"/>
    <w:rsid w:val="000F42EC"/>
    <w:rsid w:val="000F43B1"/>
    <w:rsid w:val="000F4981"/>
    <w:rsid w:val="000F49B2"/>
    <w:rsid w:val="000F49C0"/>
    <w:rsid w:val="000F4A4B"/>
    <w:rsid w:val="000F4B98"/>
    <w:rsid w:val="000F4C62"/>
    <w:rsid w:val="000F50B2"/>
    <w:rsid w:val="000F5143"/>
    <w:rsid w:val="000F5351"/>
    <w:rsid w:val="000F559B"/>
    <w:rsid w:val="000F5894"/>
    <w:rsid w:val="000F5DF1"/>
    <w:rsid w:val="000F606A"/>
    <w:rsid w:val="000F611E"/>
    <w:rsid w:val="000F63FE"/>
    <w:rsid w:val="000F6A2F"/>
    <w:rsid w:val="000F6A68"/>
    <w:rsid w:val="000F6D01"/>
    <w:rsid w:val="000F6E15"/>
    <w:rsid w:val="000F6F20"/>
    <w:rsid w:val="000F719B"/>
    <w:rsid w:val="000F7308"/>
    <w:rsid w:val="000F7367"/>
    <w:rsid w:val="000F74A4"/>
    <w:rsid w:val="000F7583"/>
    <w:rsid w:val="000F75FE"/>
    <w:rsid w:val="000F7637"/>
    <w:rsid w:val="000F7768"/>
    <w:rsid w:val="000F77E5"/>
    <w:rsid w:val="000F788C"/>
    <w:rsid w:val="000F7C33"/>
    <w:rsid w:val="0010038D"/>
    <w:rsid w:val="001007E7"/>
    <w:rsid w:val="00100BD7"/>
    <w:rsid w:val="00100FB9"/>
    <w:rsid w:val="0010127C"/>
    <w:rsid w:val="001012FF"/>
    <w:rsid w:val="00101416"/>
    <w:rsid w:val="00101418"/>
    <w:rsid w:val="00101A44"/>
    <w:rsid w:val="00101C4D"/>
    <w:rsid w:val="00101E1F"/>
    <w:rsid w:val="00101E2B"/>
    <w:rsid w:val="001020F3"/>
    <w:rsid w:val="0010272C"/>
    <w:rsid w:val="001027F6"/>
    <w:rsid w:val="00102A4B"/>
    <w:rsid w:val="001030C9"/>
    <w:rsid w:val="00103664"/>
    <w:rsid w:val="001037BC"/>
    <w:rsid w:val="001038A3"/>
    <w:rsid w:val="00103991"/>
    <w:rsid w:val="00104034"/>
    <w:rsid w:val="001040AD"/>
    <w:rsid w:val="001047DC"/>
    <w:rsid w:val="001047DD"/>
    <w:rsid w:val="00104833"/>
    <w:rsid w:val="00104AD8"/>
    <w:rsid w:val="00104CD7"/>
    <w:rsid w:val="00104E00"/>
    <w:rsid w:val="001050D6"/>
    <w:rsid w:val="00105204"/>
    <w:rsid w:val="0010595A"/>
    <w:rsid w:val="00105E4E"/>
    <w:rsid w:val="00105FA2"/>
    <w:rsid w:val="00106137"/>
    <w:rsid w:val="00106308"/>
    <w:rsid w:val="001063F2"/>
    <w:rsid w:val="00106AC9"/>
    <w:rsid w:val="00106B61"/>
    <w:rsid w:val="00106CC3"/>
    <w:rsid w:val="00107196"/>
    <w:rsid w:val="001076A6"/>
    <w:rsid w:val="00107813"/>
    <w:rsid w:val="00107A2D"/>
    <w:rsid w:val="00107CB7"/>
    <w:rsid w:val="00107F61"/>
    <w:rsid w:val="00110807"/>
    <w:rsid w:val="00110BAA"/>
    <w:rsid w:val="00110C25"/>
    <w:rsid w:val="00110C5E"/>
    <w:rsid w:val="00110D45"/>
    <w:rsid w:val="00110E8A"/>
    <w:rsid w:val="001111BC"/>
    <w:rsid w:val="00111294"/>
    <w:rsid w:val="0011136A"/>
    <w:rsid w:val="001116E8"/>
    <w:rsid w:val="001117D7"/>
    <w:rsid w:val="001119E1"/>
    <w:rsid w:val="0011234D"/>
    <w:rsid w:val="00112A0C"/>
    <w:rsid w:val="00112C94"/>
    <w:rsid w:val="00112D91"/>
    <w:rsid w:val="001131A4"/>
    <w:rsid w:val="00113336"/>
    <w:rsid w:val="00113413"/>
    <w:rsid w:val="001135BA"/>
    <w:rsid w:val="001135C6"/>
    <w:rsid w:val="001137C2"/>
    <w:rsid w:val="00113C64"/>
    <w:rsid w:val="00114544"/>
    <w:rsid w:val="0011456E"/>
    <w:rsid w:val="001147AD"/>
    <w:rsid w:val="00114875"/>
    <w:rsid w:val="00114C3A"/>
    <w:rsid w:val="00114C97"/>
    <w:rsid w:val="00115091"/>
    <w:rsid w:val="001150E0"/>
    <w:rsid w:val="00115203"/>
    <w:rsid w:val="001153A8"/>
    <w:rsid w:val="00115504"/>
    <w:rsid w:val="00115C07"/>
    <w:rsid w:val="00115FE1"/>
    <w:rsid w:val="00116353"/>
    <w:rsid w:val="001166E4"/>
    <w:rsid w:val="001167E1"/>
    <w:rsid w:val="00116DB0"/>
    <w:rsid w:val="00117144"/>
    <w:rsid w:val="0011719B"/>
    <w:rsid w:val="0011780F"/>
    <w:rsid w:val="00117AB6"/>
    <w:rsid w:val="0012002B"/>
    <w:rsid w:val="00120190"/>
    <w:rsid w:val="001204FD"/>
    <w:rsid w:val="001206E9"/>
    <w:rsid w:val="00120845"/>
    <w:rsid w:val="00120E88"/>
    <w:rsid w:val="00121002"/>
    <w:rsid w:val="00121773"/>
    <w:rsid w:val="001217DF"/>
    <w:rsid w:val="001217F9"/>
    <w:rsid w:val="00121847"/>
    <w:rsid w:val="00121C5F"/>
    <w:rsid w:val="00121D5B"/>
    <w:rsid w:val="00121DB8"/>
    <w:rsid w:val="001220B6"/>
    <w:rsid w:val="00122350"/>
    <w:rsid w:val="0012242A"/>
    <w:rsid w:val="00122637"/>
    <w:rsid w:val="001228AA"/>
    <w:rsid w:val="00122DB5"/>
    <w:rsid w:val="00123197"/>
    <w:rsid w:val="001232B0"/>
    <w:rsid w:val="0012348C"/>
    <w:rsid w:val="00123687"/>
    <w:rsid w:val="001236CF"/>
    <w:rsid w:val="00123848"/>
    <w:rsid w:val="0012388E"/>
    <w:rsid w:val="0012392F"/>
    <w:rsid w:val="00123AC5"/>
    <w:rsid w:val="00123BF8"/>
    <w:rsid w:val="00123F4D"/>
    <w:rsid w:val="0012442D"/>
    <w:rsid w:val="0012448B"/>
    <w:rsid w:val="0012463E"/>
    <w:rsid w:val="0012467A"/>
    <w:rsid w:val="00124C84"/>
    <w:rsid w:val="0012525E"/>
    <w:rsid w:val="00125474"/>
    <w:rsid w:val="00125537"/>
    <w:rsid w:val="001256D0"/>
    <w:rsid w:val="001257F1"/>
    <w:rsid w:val="00125ABF"/>
    <w:rsid w:val="00125DE3"/>
    <w:rsid w:val="001261D6"/>
    <w:rsid w:val="001263FE"/>
    <w:rsid w:val="00126603"/>
    <w:rsid w:val="00126968"/>
    <w:rsid w:val="00126F37"/>
    <w:rsid w:val="0012738C"/>
    <w:rsid w:val="001273BE"/>
    <w:rsid w:val="001274FE"/>
    <w:rsid w:val="001276C6"/>
    <w:rsid w:val="00127D58"/>
    <w:rsid w:val="00130060"/>
    <w:rsid w:val="001304E5"/>
    <w:rsid w:val="0013096A"/>
    <w:rsid w:val="00130AF5"/>
    <w:rsid w:val="00131430"/>
    <w:rsid w:val="0013187F"/>
    <w:rsid w:val="00131B99"/>
    <w:rsid w:val="00131CE2"/>
    <w:rsid w:val="00131FC9"/>
    <w:rsid w:val="00132317"/>
    <w:rsid w:val="00132402"/>
    <w:rsid w:val="00132424"/>
    <w:rsid w:val="001328FB"/>
    <w:rsid w:val="00132962"/>
    <w:rsid w:val="001329D4"/>
    <w:rsid w:val="00132C20"/>
    <w:rsid w:val="00132C79"/>
    <w:rsid w:val="00132EC9"/>
    <w:rsid w:val="00132F74"/>
    <w:rsid w:val="001334CD"/>
    <w:rsid w:val="00133869"/>
    <w:rsid w:val="00133A53"/>
    <w:rsid w:val="00133A8B"/>
    <w:rsid w:val="00133C66"/>
    <w:rsid w:val="00133DE5"/>
    <w:rsid w:val="00134048"/>
    <w:rsid w:val="0013422A"/>
    <w:rsid w:val="00134444"/>
    <w:rsid w:val="00134473"/>
    <w:rsid w:val="00134665"/>
    <w:rsid w:val="001346D9"/>
    <w:rsid w:val="0013475E"/>
    <w:rsid w:val="00134BCD"/>
    <w:rsid w:val="00134D7E"/>
    <w:rsid w:val="00134EB5"/>
    <w:rsid w:val="00135116"/>
    <w:rsid w:val="001351EE"/>
    <w:rsid w:val="00135657"/>
    <w:rsid w:val="0013568F"/>
    <w:rsid w:val="00135AB7"/>
    <w:rsid w:val="00135E30"/>
    <w:rsid w:val="00135FDA"/>
    <w:rsid w:val="00136324"/>
    <w:rsid w:val="00136378"/>
    <w:rsid w:val="001368FE"/>
    <w:rsid w:val="001369EF"/>
    <w:rsid w:val="00136B9C"/>
    <w:rsid w:val="00136D57"/>
    <w:rsid w:val="001370D7"/>
    <w:rsid w:val="0013720C"/>
    <w:rsid w:val="001372AE"/>
    <w:rsid w:val="001377FA"/>
    <w:rsid w:val="00137AE2"/>
    <w:rsid w:val="00137B74"/>
    <w:rsid w:val="001402AD"/>
    <w:rsid w:val="0014046D"/>
    <w:rsid w:val="00140548"/>
    <w:rsid w:val="001406EA"/>
    <w:rsid w:val="001407DF"/>
    <w:rsid w:val="0014093A"/>
    <w:rsid w:val="001409E6"/>
    <w:rsid w:val="00140AD3"/>
    <w:rsid w:val="00140C43"/>
    <w:rsid w:val="00140C9B"/>
    <w:rsid w:val="00140F56"/>
    <w:rsid w:val="00140FB9"/>
    <w:rsid w:val="00141228"/>
    <w:rsid w:val="0014158F"/>
    <w:rsid w:val="0014168F"/>
    <w:rsid w:val="0014184B"/>
    <w:rsid w:val="00141BBB"/>
    <w:rsid w:val="00141D33"/>
    <w:rsid w:val="00142168"/>
    <w:rsid w:val="001424B1"/>
    <w:rsid w:val="00142679"/>
    <w:rsid w:val="0014274C"/>
    <w:rsid w:val="001427F2"/>
    <w:rsid w:val="001428D6"/>
    <w:rsid w:val="001428DA"/>
    <w:rsid w:val="00142C12"/>
    <w:rsid w:val="0014301A"/>
    <w:rsid w:val="001433A1"/>
    <w:rsid w:val="001437E3"/>
    <w:rsid w:val="00143944"/>
    <w:rsid w:val="00143AFC"/>
    <w:rsid w:val="00143B26"/>
    <w:rsid w:val="00143B5E"/>
    <w:rsid w:val="001443DE"/>
    <w:rsid w:val="00144636"/>
    <w:rsid w:val="00144812"/>
    <w:rsid w:val="00144A2D"/>
    <w:rsid w:val="00144A68"/>
    <w:rsid w:val="00144F5B"/>
    <w:rsid w:val="00145159"/>
    <w:rsid w:val="001454BA"/>
    <w:rsid w:val="001455D0"/>
    <w:rsid w:val="00145A68"/>
    <w:rsid w:val="00145BC4"/>
    <w:rsid w:val="00145C36"/>
    <w:rsid w:val="00145E06"/>
    <w:rsid w:val="00145FBC"/>
    <w:rsid w:val="00146109"/>
    <w:rsid w:val="00146291"/>
    <w:rsid w:val="00146695"/>
    <w:rsid w:val="00146706"/>
    <w:rsid w:val="00146746"/>
    <w:rsid w:val="001468E8"/>
    <w:rsid w:val="00146CA7"/>
    <w:rsid w:val="00146D8E"/>
    <w:rsid w:val="0014750F"/>
    <w:rsid w:val="0014764A"/>
    <w:rsid w:val="00147679"/>
    <w:rsid w:val="00147A95"/>
    <w:rsid w:val="00147B23"/>
    <w:rsid w:val="00147EBA"/>
    <w:rsid w:val="001502C9"/>
    <w:rsid w:val="00150364"/>
    <w:rsid w:val="0015037A"/>
    <w:rsid w:val="0015037B"/>
    <w:rsid w:val="001503AB"/>
    <w:rsid w:val="001503B6"/>
    <w:rsid w:val="001504CA"/>
    <w:rsid w:val="001505CF"/>
    <w:rsid w:val="00150A2E"/>
    <w:rsid w:val="00150C61"/>
    <w:rsid w:val="00150DBB"/>
    <w:rsid w:val="0015131D"/>
    <w:rsid w:val="00151446"/>
    <w:rsid w:val="0015148A"/>
    <w:rsid w:val="00151658"/>
    <w:rsid w:val="001517EB"/>
    <w:rsid w:val="0015189B"/>
    <w:rsid w:val="0015196D"/>
    <w:rsid w:val="001519A6"/>
    <w:rsid w:val="00151F92"/>
    <w:rsid w:val="00152265"/>
    <w:rsid w:val="0015234F"/>
    <w:rsid w:val="0015240D"/>
    <w:rsid w:val="00152758"/>
    <w:rsid w:val="001528D5"/>
    <w:rsid w:val="00152B8B"/>
    <w:rsid w:val="00152BB7"/>
    <w:rsid w:val="00152C7D"/>
    <w:rsid w:val="00153060"/>
    <w:rsid w:val="0015323A"/>
    <w:rsid w:val="0015345B"/>
    <w:rsid w:val="001534F6"/>
    <w:rsid w:val="0015388B"/>
    <w:rsid w:val="001538A4"/>
    <w:rsid w:val="00153DBF"/>
    <w:rsid w:val="001540C3"/>
    <w:rsid w:val="0015427E"/>
    <w:rsid w:val="001542A7"/>
    <w:rsid w:val="001543AD"/>
    <w:rsid w:val="0015498B"/>
    <w:rsid w:val="00154A28"/>
    <w:rsid w:val="00154D24"/>
    <w:rsid w:val="00154D5C"/>
    <w:rsid w:val="00154EEE"/>
    <w:rsid w:val="00155365"/>
    <w:rsid w:val="0015543D"/>
    <w:rsid w:val="00155671"/>
    <w:rsid w:val="00155A13"/>
    <w:rsid w:val="00155AAF"/>
    <w:rsid w:val="00155EFA"/>
    <w:rsid w:val="00156245"/>
    <w:rsid w:val="00156787"/>
    <w:rsid w:val="001567DB"/>
    <w:rsid w:val="00156A24"/>
    <w:rsid w:val="00156B3A"/>
    <w:rsid w:val="00156BD1"/>
    <w:rsid w:val="00156EC5"/>
    <w:rsid w:val="00156EF3"/>
    <w:rsid w:val="00156F6C"/>
    <w:rsid w:val="00156F8E"/>
    <w:rsid w:val="0015708E"/>
    <w:rsid w:val="00157294"/>
    <w:rsid w:val="00157D4C"/>
    <w:rsid w:val="00157DDC"/>
    <w:rsid w:val="00157E22"/>
    <w:rsid w:val="00157E77"/>
    <w:rsid w:val="00157F49"/>
    <w:rsid w:val="00157FB1"/>
    <w:rsid w:val="001600D1"/>
    <w:rsid w:val="00160492"/>
    <w:rsid w:val="00160573"/>
    <w:rsid w:val="0016062A"/>
    <w:rsid w:val="0016086E"/>
    <w:rsid w:val="001609C4"/>
    <w:rsid w:val="00161676"/>
    <w:rsid w:val="001617EF"/>
    <w:rsid w:val="00161C3A"/>
    <w:rsid w:val="00162475"/>
    <w:rsid w:val="00162841"/>
    <w:rsid w:val="00162D42"/>
    <w:rsid w:val="0016300D"/>
    <w:rsid w:val="0016359D"/>
    <w:rsid w:val="001635B7"/>
    <w:rsid w:val="00163709"/>
    <w:rsid w:val="00163722"/>
    <w:rsid w:val="00163AED"/>
    <w:rsid w:val="00163FB0"/>
    <w:rsid w:val="00163FC8"/>
    <w:rsid w:val="00164133"/>
    <w:rsid w:val="0016415A"/>
    <w:rsid w:val="00164CA0"/>
    <w:rsid w:val="00164E84"/>
    <w:rsid w:val="00164F64"/>
    <w:rsid w:val="001650C2"/>
    <w:rsid w:val="00165271"/>
    <w:rsid w:val="00165B1D"/>
    <w:rsid w:val="00165D48"/>
    <w:rsid w:val="00165E4C"/>
    <w:rsid w:val="00166579"/>
    <w:rsid w:val="001665AD"/>
    <w:rsid w:val="00166718"/>
    <w:rsid w:val="00166726"/>
    <w:rsid w:val="00166829"/>
    <w:rsid w:val="00166CF5"/>
    <w:rsid w:val="00166FDF"/>
    <w:rsid w:val="0016704F"/>
    <w:rsid w:val="0016726E"/>
    <w:rsid w:val="00167533"/>
    <w:rsid w:val="00167562"/>
    <w:rsid w:val="00167563"/>
    <w:rsid w:val="00167646"/>
    <w:rsid w:val="0016782D"/>
    <w:rsid w:val="00167A37"/>
    <w:rsid w:val="00167A62"/>
    <w:rsid w:val="00167C44"/>
    <w:rsid w:val="00167C7F"/>
    <w:rsid w:val="00167FFA"/>
    <w:rsid w:val="00170BF1"/>
    <w:rsid w:val="00170C1B"/>
    <w:rsid w:val="001710B0"/>
    <w:rsid w:val="00171340"/>
    <w:rsid w:val="001717BD"/>
    <w:rsid w:val="00171890"/>
    <w:rsid w:val="00171BE8"/>
    <w:rsid w:val="00171E07"/>
    <w:rsid w:val="0017222A"/>
    <w:rsid w:val="001723B8"/>
    <w:rsid w:val="00172CA0"/>
    <w:rsid w:val="001730AD"/>
    <w:rsid w:val="001731C2"/>
    <w:rsid w:val="0017323C"/>
    <w:rsid w:val="00173323"/>
    <w:rsid w:val="001738D7"/>
    <w:rsid w:val="00173AD1"/>
    <w:rsid w:val="00173E79"/>
    <w:rsid w:val="00173F71"/>
    <w:rsid w:val="00174253"/>
    <w:rsid w:val="0017440E"/>
    <w:rsid w:val="00174533"/>
    <w:rsid w:val="00174A13"/>
    <w:rsid w:val="00174B83"/>
    <w:rsid w:val="00174CC0"/>
    <w:rsid w:val="00175140"/>
    <w:rsid w:val="00175359"/>
    <w:rsid w:val="0017579B"/>
    <w:rsid w:val="001757D6"/>
    <w:rsid w:val="00175878"/>
    <w:rsid w:val="00175C66"/>
    <w:rsid w:val="00175CE5"/>
    <w:rsid w:val="00175FA5"/>
    <w:rsid w:val="00175FAA"/>
    <w:rsid w:val="001763DA"/>
    <w:rsid w:val="00176503"/>
    <w:rsid w:val="00176660"/>
    <w:rsid w:val="00176704"/>
    <w:rsid w:val="0017676A"/>
    <w:rsid w:val="00176A19"/>
    <w:rsid w:val="00176A63"/>
    <w:rsid w:val="00176AD8"/>
    <w:rsid w:val="00176B34"/>
    <w:rsid w:val="00177409"/>
    <w:rsid w:val="00177537"/>
    <w:rsid w:val="00177858"/>
    <w:rsid w:val="001778D3"/>
    <w:rsid w:val="00177916"/>
    <w:rsid w:val="00177A38"/>
    <w:rsid w:val="00177B2F"/>
    <w:rsid w:val="00177C88"/>
    <w:rsid w:val="00177D5F"/>
    <w:rsid w:val="00177DC2"/>
    <w:rsid w:val="0018014E"/>
    <w:rsid w:val="00180190"/>
    <w:rsid w:val="0018019A"/>
    <w:rsid w:val="001802A0"/>
    <w:rsid w:val="001803B6"/>
    <w:rsid w:val="0018043F"/>
    <w:rsid w:val="00180484"/>
    <w:rsid w:val="001804CD"/>
    <w:rsid w:val="00180C5D"/>
    <w:rsid w:val="00180E59"/>
    <w:rsid w:val="00181469"/>
    <w:rsid w:val="00181631"/>
    <w:rsid w:val="001817E8"/>
    <w:rsid w:val="001819E5"/>
    <w:rsid w:val="00181A7E"/>
    <w:rsid w:val="00181AC3"/>
    <w:rsid w:val="00181C07"/>
    <w:rsid w:val="00181C61"/>
    <w:rsid w:val="001823B7"/>
    <w:rsid w:val="0018271F"/>
    <w:rsid w:val="00182764"/>
    <w:rsid w:val="00182859"/>
    <w:rsid w:val="00182924"/>
    <w:rsid w:val="00182A96"/>
    <w:rsid w:val="00182C07"/>
    <w:rsid w:val="00182DC1"/>
    <w:rsid w:val="001833CA"/>
    <w:rsid w:val="001836F2"/>
    <w:rsid w:val="001838AB"/>
    <w:rsid w:val="00183D73"/>
    <w:rsid w:val="00184049"/>
    <w:rsid w:val="0018414F"/>
    <w:rsid w:val="00184176"/>
    <w:rsid w:val="0018430E"/>
    <w:rsid w:val="00184444"/>
    <w:rsid w:val="0018445E"/>
    <w:rsid w:val="001845E8"/>
    <w:rsid w:val="001846A0"/>
    <w:rsid w:val="001846C0"/>
    <w:rsid w:val="001846F5"/>
    <w:rsid w:val="00184C47"/>
    <w:rsid w:val="00184E58"/>
    <w:rsid w:val="00184F66"/>
    <w:rsid w:val="0018511F"/>
    <w:rsid w:val="00185527"/>
    <w:rsid w:val="0018561D"/>
    <w:rsid w:val="0018611A"/>
    <w:rsid w:val="00186166"/>
    <w:rsid w:val="0018628B"/>
    <w:rsid w:val="00186622"/>
    <w:rsid w:val="0018674F"/>
    <w:rsid w:val="001867FB"/>
    <w:rsid w:val="001871ED"/>
    <w:rsid w:val="00187336"/>
    <w:rsid w:val="0018734C"/>
    <w:rsid w:val="00187501"/>
    <w:rsid w:val="001877C6"/>
    <w:rsid w:val="00187D17"/>
    <w:rsid w:val="00187E4F"/>
    <w:rsid w:val="00187E81"/>
    <w:rsid w:val="00187F64"/>
    <w:rsid w:val="0019001B"/>
    <w:rsid w:val="00190058"/>
    <w:rsid w:val="0019008C"/>
    <w:rsid w:val="0019009A"/>
    <w:rsid w:val="00190364"/>
    <w:rsid w:val="00190546"/>
    <w:rsid w:val="00190868"/>
    <w:rsid w:val="00191184"/>
    <w:rsid w:val="001912C6"/>
    <w:rsid w:val="00191312"/>
    <w:rsid w:val="00191355"/>
    <w:rsid w:val="00191BA7"/>
    <w:rsid w:val="00191BC5"/>
    <w:rsid w:val="00191FB1"/>
    <w:rsid w:val="0019220D"/>
    <w:rsid w:val="00192996"/>
    <w:rsid w:val="001929FB"/>
    <w:rsid w:val="001930AF"/>
    <w:rsid w:val="001930E0"/>
    <w:rsid w:val="00193203"/>
    <w:rsid w:val="00193205"/>
    <w:rsid w:val="0019324C"/>
    <w:rsid w:val="001933BF"/>
    <w:rsid w:val="0019346A"/>
    <w:rsid w:val="00193987"/>
    <w:rsid w:val="00193FFA"/>
    <w:rsid w:val="0019405C"/>
    <w:rsid w:val="001941EF"/>
    <w:rsid w:val="0019422C"/>
    <w:rsid w:val="001944D7"/>
    <w:rsid w:val="001945B0"/>
    <w:rsid w:val="001946B3"/>
    <w:rsid w:val="001946B5"/>
    <w:rsid w:val="00194745"/>
    <w:rsid w:val="00194BDC"/>
    <w:rsid w:val="00194FD6"/>
    <w:rsid w:val="00195155"/>
    <w:rsid w:val="00195495"/>
    <w:rsid w:val="00195607"/>
    <w:rsid w:val="0019573C"/>
    <w:rsid w:val="00195747"/>
    <w:rsid w:val="001958E2"/>
    <w:rsid w:val="00195990"/>
    <w:rsid w:val="00195B1D"/>
    <w:rsid w:val="00195B94"/>
    <w:rsid w:val="00195CEF"/>
    <w:rsid w:val="001963DA"/>
    <w:rsid w:val="00196970"/>
    <w:rsid w:val="00196B4A"/>
    <w:rsid w:val="00196B75"/>
    <w:rsid w:val="00196C78"/>
    <w:rsid w:val="00196CAC"/>
    <w:rsid w:val="00196DE8"/>
    <w:rsid w:val="00196E4F"/>
    <w:rsid w:val="00196F4C"/>
    <w:rsid w:val="001973BF"/>
    <w:rsid w:val="00197434"/>
    <w:rsid w:val="0019754D"/>
    <w:rsid w:val="00197593"/>
    <w:rsid w:val="001977C1"/>
    <w:rsid w:val="00197D57"/>
    <w:rsid w:val="001A0068"/>
    <w:rsid w:val="001A0373"/>
    <w:rsid w:val="001A037F"/>
    <w:rsid w:val="001A0532"/>
    <w:rsid w:val="001A05D0"/>
    <w:rsid w:val="001A07D4"/>
    <w:rsid w:val="001A08AC"/>
    <w:rsid w:val="001A0A01"/>
    <w:rsid w:val="001A0BA9"/>
    <w:rsid w:val="001A0C73"/>
    <w:rsid w:val="001A0CAA"/>
    <w:rsid w:val="001A0FDE"/>
    <w:rsid w:val="001A101A"/>
    <w:rsid w:val="001A1033"/>
    <w:rsid w:val="001A12C0"/>
    <w:rsid w:val="001A1381"/>
    <w:rsid w:val="001A1920"/>
    <w:rsid w:val="001A1B75"/>
    <w:rsid w:val="001A1E16"/>
    <w:rsid w:val="001A26BC"/>
    <w:rsid w:val="001A273B"/>
    <w:rsid w:val="001A2953"/>
    <w:rsid w:val="001A29B6"/>
    <w:rsid w:val="001A2ABA"/>
    <w:rsid w:val="001A2DA5"/>
    <w:rsid w:val="001A2EE4"/>
    <w:rsid w:val="001A30CB"/>
    <w:rsid w:val="001A33F5"/>
    <w:rsid w:val="001A3430"/>
    <w:rsid w:val="001A3967"/>
    <w:rsid w:val="001A3AE1"/>
    <w:rsid w:val="001A3B05"/>
    <w:rsid w:val="001A3C6E"/>
    <w:rsid w:val="001A3E53"/>
    <w:rsid w:val="001A3FAD"/>
    <w:rsid w:val="001A4414"/>
    <w:rsid w:val="001A4426"/>
    <w:rsid w:val="001A45AF"/>
    <w:rsid w:val="001A45FE"/>
    <w:rsid w:val="001A460C"/>
    <w:rsid w:val="001A4679"/>
    <w:rsid w:val="001A4761"/>
    <w:rsid w:val="001A4837"/>
    <w:rsid w:val="001A496D"/>
    <w:rsid w:val="001A50FB"/>
    <w:rsid w:val="001A51A0"/>
    <w:rsid w:val="001A52E9"/>
    <w:rsid w:val="001A5995"/>
    <w:rsid w:val="001A5A57"/>
    <w:rsid w:val="001A5E69"/>
    <w:rsid w:val="001A5ED5"/>
    <w:rsid w:val="001A60BF"/>
    <w:rsid w:val="001A628C"/>
    <w:rsid w:val="001A6354"/>
    <w:rsid w:val="001A685A"/>
    <w:rsid w:val="001A6970"/>
    <w:rsid w:val="001A6AD1"/>
    <w:rsid w:val="001A6C78"/>
    <w:rsid w:val="001A7025"/>
    <w:rsid w:val="001A7170"/>
    <w:rsid w:val="001A7408"/>
    <w:rsid w:val="001A74D0"/>
    <w:rsid w:val="001A75EF"/>
    <w:rsid w:val="001A7AFF"/>
    <w:rsid w:val="001A7CE7"/>
    <w:rsid w:val="001A7D38"/>
    <w:rsid w:val="001A7E60"/>
    <w:rsid w:val="001B011C"/>
    <w:rsid w:val="001B017D"/>
    <w:rsid w:val="001B0337"/>
    <w:rsid w:val="001B0376"/>
    <w:rsid w:val="001B038E"/>
    <w:rsid w:val="001B07A5"/>
    <w:rsid w:val="001B0DC0"/>
    <w:rsid w:val="001B10A0"/>
    <w:rsid w:val="001B10BB"/>
    <w:rsid w:val="001B11FF"/>
    <w:rsid w:val="001B125A"/>
    <w:rsid w:val="001B1300"/>
    <w:rsid w:val="001B1395"/>
    <w:rsid w:val="001B147E"/>
    <w:rsid w:val="001B1564"/>
    <w:rsid w:val="001B1570"/>
    <w:rsid w:val="001B1817"/>
    <w:rsid w:val="001B1A6C"/>
    <w:rsid w:val="001B1A88"/>
    <w:rsid w:val="001B1B43"/>
    <w:rsid w:val="001B1D28"/>
    <w:rsid w:val="001B1E36"/>
    <w:rsid w:val="001B1F6F"/>
    <w:rsid w:val="001B1F77"/>
    <w:rsid w:val="001B2015"/>
    <w:rsid w:val="001B209B"/>
    <w:rsid w:val="001B20EC"/>
    <w:rsid w:val="001B224C"/>
    <w:rsid w:val="001B2309"/>
    <w:rsid w:val="001B23C6"/>
    <w:rsid w:val="001B23D1"/>
    <w:rsid w:val="001B2751"/>
    <w:rsid w:val="001B2A4C"/>
    <w:rsid w:val="001B2F66"/>
    <w:rsid w:val="001B3509"/>
    <w:rsid w:val="001B3C6D"/>
    <w:rsid w:val="001B3E52"/>
    <w:rsid w:val="001B425C"/>
    <w:rsid w:val="001B4F5C"/>
    <w:rsid w:val="001B5099"/>
    <w:rsid w:val="001B5147"/>
    <w:rsid w:val="001B52B9"/>
    <w:rsid w:val="001B535D"/>
    <w:rsid w:val="001B55E6"/>
    <w:rsid w:val="001B5895"/>
    <w:rsid w:val="001B58E1"/>
    <w:rsid w:val="001B5BF6"/>
    <w:rsid w:val="001B5C50"/>
    <w:rsid w:val="001B5EE3"/>
    <w:rsid w:val="001B60AC"/>
    <w:rsid w:val="001B6429"/>
    <w:rsid w:val="001B6600"/>
    <w:rsid w:val="001B676C"/>
    <w:rsid w:val="001B68F5"/>
    <w:rsid w:val="001B6E8A"/>
    <w:rsid w:val="001B6EDF"/>
    <w:rsid w:val="001B74E8"/>
    <w:rsid w:val="001B78C9"/>
    <w:rsid w:val="001B7BD1"/>
    <w:rsid w:val="001B7EBD"/>
    <w:rsid w:val="001C002F"/>
    <w:rsid w:val="001C0199"/>
    <w:rsid w:val="001C0206"/>
    <w:rsid w:val="001C0310"/>
    <w:rsid w:val="001C036A"/>
    <w:rsid w:val="001C0441"/>
    <w:rsid w:val="001C072F"/>
    <w:rsid w:val="001C10A9"/>
    <w:rsid w:val="001C14C1"/>
    <w:rsid w:val="001C16AF"/>
    <w:rsid w:val="001C1926"/>
    <w:rsid w:val="001C19B8"/>
    <w:rsid w:val="001C1A61"/>
    <w:rsid w:val="001C1B4E"/>
    <w:rsid w:val="001C1B93"/>
    <w:rsid w:val="001C1C9F"/>
    <w:rsid w:val="001C1D13"/>
    <w:rsid w:val="001C1F44"/>
    <w:rsid w:val="001C1F87"/>
    <w:rsid w:val="001C1FA2"/>
    <w:rsid w:val="001C1FF4"/>
    <w:rsid w:val="001C22A3"/>
    <w:rsid w:val="001C25F0"/>
    <w:rsid w:val="001C2917"/>
    <w:rsid w:val="001C2E9B"/>
    <w:rsid w:val="001C322E"/>
    <w:rsid w:val="001C3299"/>
    <w:rsid w:val="001C3314"/>
    <w:rsid w:val="001C36BF"/>
    <w:rsid w:val="001C3770"/>
    <w:rsid w:val="001C37FB"/>
    <w:rsid w:val="001C3D38"/>
    <w:rsid w:val="001C3D8F"/>
    <w:rsid w:val="001C3F20"/>
    <w:rsid w:val="001C3FA4"/>
    <w:rsid w:val="001C42C1"/>
    <w:rsid w:val="001C4320"/>
    <w:rsid w:val="001C439A"/>
    <w:rsid w:val="001C43EA"/>
    <w:rsid w:val="001C443E"/>
    <w:rsid w:val="001C4468"/>
    <w:rsid w:val="001C4951"/>
    <w:rsid w:val="001C4A9F"/>
    <w:rsid w:val="001C4B5E"/>
    <w:rsid w:val="001C4C1F"/>
    <w:rsid w:val="001C4E6C"/>
    <w:rsid w:val="001C4FA1"/>
    <w:rsid w:val="001C505F"/>
    <w:rsid w:val="001C516A"/>
    <w:rsid w:val="001C5200"/>
    <w:rsid w:val="001C54B4"/>
    <w:rsid w:val="001C56EB"/>
    <w:rsid w:val="001C5734"/>
    <w:rsid w:val="001C5B29"/>
    <w:rsid w:val="001C5B8D"/>
    <w:rsid w:val="001C5DE4"/>
    <w:rsid w:val="001C608E"/>
    <w:rsid w:val="001C613C"/>
    <w:rsid w:val="001C65D2"/>
    <w:rsid w:val="001C65D9"/>
    <w:rsid w:val="001C65E8"/>
    <w:rsid w:val="001C6A8B"/>
    <w:rsid w:val="001C73F4"/>
    <w:rsid w:val="001C7475"/>
    <w:rsid w:val="001C74F6"/>
    <w:rsid w:val="001C7546"/>
    <w:rsid w:val="001C7613"/>
    <w:rsid w:val="001C7DFC"/>
    <w:rsid w:val="001C7F56"/>
    <w:rsid w:val="001C7FEC"/>
    <w:rsid w:val="001D0167"/>
    <w:rsid w:val="001D027A"/>
    <w:rsid w:val="001D02A5"/>
    <w:rsid w:val="001D0438"/>
    <w:rsid w:val="001D0734"/>
    <w:rsid w:val="001D0DE4"/>
    <w:rsid w:val="001D0F4F"/>
    <w:rsid w:val="001D118F"/>
    <w:rsid w:val="001D122E"/>
    <w:rsid w:val="001D1515"/>
    <w:rsid w:val="001D15F5"/>
    <w:rsid w:val="001D164F"/>
    <w:rsid w:val="001D18C9"/>
    <w:rsid w:val="001D1BE8"/>
    <w:rsid w:val="001D1F83"/>
    <w:rsid w:val="001D2131"/>
    <w:rsid w:val="001D21B7"/>
    <w:rsid w:val="001D2244"/>
    <w:rsid w:val="001D24D9"/>
    <w:rsid w:val="001D299F"/>
    <w:rsid w:val="001D2BCD"/>
    <w:rsid w:val="001D2C4E"/>
    <w:rsid w:val="001D2D96"/>
    <w:rsid w:val="001D2F90"/>
    <w:rsid w:val="001D3008"/>
    <w:rsid w:val="001D32C3"/>
    <w:rsid w:val="001D32D3"/>
    <w:rsid w:val="001D367A"/>
    <w:rsid w:val="001D377B"/>
    <w:rsid w:val="001D37D0"/>
    <w:rsid w:val="001D3A73"/>
    <w:rsid w:val="001D3C31"/>
    <w:rsid w:val="001D3D32"/>
    <w:rsid w:val="001D3F13"/>
    <w:rsid w:val="001D3F5D"/>
    <w:rsid w:val="001D3FC6"/>
    <w:rsid w:val="001D4086"/>
    <w:rsid w:val="001D420D"/>
    <w:rsid w:val="001D422C"/>
    <w:rsid w:val="001D4451"/>
    <w:rsid w:val="001D466F"/>
    <w:rsid w:val="001D46F0"/>
    <w:rsid w:val="001D4788"/>
    <w:rsid w:val="001D47C3"/>
    <w:rsid w:val="001D4A02"/>
    <w:rsid w:val="001D4A7F"/>
    <w:rsid w:val="001D4C76"/>
    <w:rsid w:val="001D4E03"/>
    <w:rsid w:val="001D5165"/>
    <w:rsid w:val="001D5166"/>
    <w:rsid w:val="001D52E2"/>
    <w:rsid w:val="001D52F1"/>
    <w:rsid w:val="001D58AE"/>
    <w:rsid w:val="001D5ECF"/>
    <w:rsid w:val="001D63E0"/>
    <w:rsid w:val="001D681A"/>
    <w:rsid w:val="001D681F"/>
    <w:rsid w:val="001D686F"/>
    <w:rsid w:val="001D6BF4"/>
    <w:rsid w:val="001D6C12"/>
    <w:rsid w:val="001D6D3D"/>
    <w:rsid w:val="001D6DC6"/>
    <w:rsid w:val="001D6EC3"/>
    <w:rsid w:val="001D6FD7"/>
    <w:rsid w:val="001D70A1"/>
    <w:rsid w:val="001D70B6"/>
    <w:rsid w:val="001D716A"/>
    <w:rsid w:val="001D74FA"/>
    <w:rsid w:val="001D7547"/>
    <w:rsid w:val="001D75DC"/>
    <w:rsid w:val="001D7727"/>
    <w:rsid w:val="001D77EA"/>
    <w:rsid w:val="001D795E"/>
    <w:rsid w:val="001E0213"/>
    <w:rsid w:val="001E048F"/>
    <w:rsid w:val="001E0579"/>
    <w:rsid w:val="001E0D4A"/>
    <w:rsid w:val="001E0E6D"/>
    <w:rsid w:val="001E102B"/>
    <w:rsid w:val="001E1135"/>
    <w:rsid w:val="001E1196"/>
    <w:rsid w:val="001E1371"/>
    <w:rsid w:val="001E1D21"/>
    <w:rsid w:val="001E2078"/>
    <w:rsid w:val="001E2577"/>
    <w:rsid w:val="001E26A1"/>
    <w:rsid w:val="001E26BC"/>
    <w:rsid w:val="001E28A6"/>
    <w:rsid w:val="001E2A76"/>
    <w:rsid w:val="001E2BBD"/>
    <w:rsid w:val="001E2BC8"/>
    <w:rsid w:val="001E2C24"/>
    <w:rsid w:val="001E2CAA"/>
    <w:rsid w:val="001E2CC6"/>
    <w:rsid w:val="001E2DA7"/>
    <w:rsid w:val="001E2F96"/>
    <w:rsid w:val="001E317D"/>
    <w:rsid w:val="001E31D5"/>
    <w:rsid w:val="001E3C65"/>
    <w:rsid w:val="001E3D40"/>
    <w:rsid w:val="001E3E3F"/>
    <w:rsid w:val="001E41A2"/>
    <w:rsid w:val="001E42DF"/>
    <w:rsid w:val="001E43D0"/>
    <w:rsid w:val="001E43E6"/>
    <w:rsid w:val="001E45B3"/>
    <w:rsid w:val="001E4C54"/>
    <w:rsid w:val="001E4D39"/>
    <w:rsid w:val="001E5501"/>
    <w:rsid w:val="001E576B"/>
    <w:rsid w:val="001E5AA5"/>
    <w:rsid w:val="001E5B83"/>
    <w:rsid w:val="001E5D1F"/>
    <w:rsid w:val="001E5ED1"/>
    <w:rsid w:val="001E61E5"/>
    <w:rsid w:val="001E6680"/>
    <w:rsid w:val="001E68AA"/>
    <w:rsid w:val="001E6B40"/>
    <w:rsid w:val="001E6C42"/>
    <w:rsid w:val="001E6E05"/>
    <w:rsid w:val="001E700C"/>
    <w:rsid w:val="001E7026"/>
    <w:rsid w:val="001E7168"/>
    <w:rsid w:val="001E73B9"/>
    <w:rsid w:val="001E788B"/>
    <w:rsid w:val="001E78A0"/>
    <w:rsid w:val="001E790B"/>
    <w:rsid w:val="001E7A53"/>
    <w:rsid w:val="001E7AB3"/>
    <w:rsid w:val="001F0059"/>
    <w:rsid w:val="001F00C6"/>
    <w:rsid w:val="001F062C"/>
    <w:rsid w:val="001F0796"/>
    <w:rsid w:val="001F0806"/>
    <w:rsid w:val="001F09C0"/>
    <w:rsid w:val="001F0D07"/>
    <w:rsid w:val="001F0D56"/>
    <w:rsid w:val="001F0FB6"/>
    <w:rsid w:val="001F1498"/>
    <w:rsid w:val="001F14E3"/>
    <w:rsid w:val="001F1685"/>
    <w:rsid w:val="001F17B8"/>
    <w:rsid w:val="001F1D81"/>
    <w:rsid w:val="001F1E36"/>
    <w:rsid w:val="001F1FBF"/>
    <w:rsid w:val="001F208C"/>
    <w:rsid w:val="001F20B5"/>
    <w:rsid w:val="001F20EE"/>
    <w:rsid w:val="001F21E3"/>
    <w:rsid w:val="001F2479"/>
    <w:rsid w:val="001F2598"/>
    <w:rsid w:val="001F27DE"/>
    <w:rsid w:val="001F2AFB"/>
    <w:rsid w:val="001F2C7C"/>
    <w:rsid w:val="001F2EE9"/>
    <w:rsid w:val="001F3383"/>
    <w:rsid w:val="001F34BA"/>
    <w:rsid w:val="001F34E7"/>
    <w:rsid w:val="001F34F2"/>
    <w:rsid w:val="001F36EB"/>
    <w:rsid w:val="001F3ADB"/>
    <w:rsid w:val="001F3B5E"/>
    <w:rsid w:val="001F3C02"/>
    <w:rsid w:val="001F4021"/>
    <w:rsid w:val="001F4062"/>
    <w:rsid w:val="001F4141"/>
    <w:rsid w:val="001F42F1"/>
    <w:rsid w:val="001F44DE"/>
    <w:rsid w:val="001F46FC"/>
    <w:rsid w:val="001F4997"/>
    <w:rsid w:val="001F4BF6"/>
    <w:rsid w:val="001F4D8E"/>
    <w:rsid w:val="001F5243"/>
    <w:rsid w:val="001F5481"/>
    <w:rsid w:val="001F55E9"/>
    <w:rsid w:val="001F5643"/>
    <w:rsid w:val="001F574C"/>
    <w:rsid w:val="001F57DE"/>
    <w:rsid w:val="001F5880"/>
    <w:rsid w:val="001F5B2D"/>
    <w:rsid w:val="001F5CD0"/>
    <w:rsid w:val="001F6313"/>
    <w:rsid w:val="001F63E6"/>
    <w:rsid w:val="001F65BC"/>
    <w:rsid w:val="001F675E"/>
    <w:rsid w:val="001F6BA5"/>
    <w:rsid w:val="001F71B6"/>
    <w:rsid w:val="001F7200"/>
    <w:rsid w:val="001F7445"/>
    <w:rsid w:val="001F74B9"/>
    <w:rsid w:val="001F7B75"/>
    <w:rsid w:val="001F7EED"/>
    <w:rsid w:val="001F7F20"/>
    <w:rsid w:val="00200579"/>
    <w:rsid w:val="00200597"/>
    <w:rsid w:val="002005EB"/>
    <w:rsid w:val="00200806"/>
    <w:rsid w:val="002009CC"/>
    <w:rsid w:val="00200BD5"/>
    <w:rsid w:val="00200BF4"/>
    <w:rsid w:val="00200D2A"/>
    <w:rsid w:val="00200F4E"/>
    <w:rsid w:val="00201485"/>
    <w:rsid w:val="002017CC"/>
    <w:rsid w:val="00201876"/>
    <w:rsid w:val="00201A27"/>
    <w:rsid w:val="00201B55"/>
    <w:rsid w:val="00201FD7"/>
    <w:rsid w:val="00202570"/>
    <w:rsid w:val="00202733"/>
    <w:rsid w:val="002027EE"/>
    <w:rsid w:val="002027F4"/>
    <w:rsid w:val="0020292D"/>
    <w:rsid w:val="002029A0"/>
    <w:rsid w:val="00203081"/>
    <w:rsid w:val="00203135"/>
    <w:rsid w:val="0020328A"/>
    <w:rsid w:val="0020329B"/>
    <w:rsid w:val="002033E3"/>
    <w:rsid w:val="002036A6"/>
    <w:rsid w:val="002038E3"/>
    <w:rsid w:val="0020395B"/>
    <w:rsid w:val="00203A02"/>
    <w:rsid w:val="00203EF5"/>
    <w:rsid w:val="002041D5"/>
    <w:rsid w:val="00204737"/>
    <w:rsid w:val="0020482B"/>
    <w:rsid w:val="00204BBA"/>
    <w:rsid w:val="00204BD4"/>
    <w:rsid w:val="00204BEA"/>
    <w:rsid w:val="00204BEF"/>
    <w:rsid w:val="00204E19"/>
    <w:rsid w:val="00205216"/>
    <w:rsid w:val="0020534B"/>
    <w:rsid w:val="00205436"/>
    <w:rsid w:val="0020552B"/>
    <w:rsid w:val="002055CA"/>
    <w:rsid w:val="002058C5"/>
    <w:rsid w:val="00205B65"/>
    <w:rsid w:val="00206363"/>
    <w:rsid w:val="002063D7"/>
    <w:rsid w:val="00206435"/>
    <w:rsid w:val="0020645B"/>
    <w:rsid w:val="00206667"/>
    <w:rsid w:val="00206750"/>
    <w:rsid w:val="00206854"/>
    <w:rsid w:val="00206865"/>
    <w:rsid w:val="00206FDD"/>
    <w:rsid w:val="002071BE"/>
    <w:rsid w:val="00207260"/>
    <w:rsid w:val="00207418"/>
    <w:rsid w:val="00207598"/>
    <w:rsid w:val="00207978"/>
    <w:rsid w:val="00207B9E"/>
    <w:rsid w:val="00207EA6"/>
    <w:rsid w:val="00207EC7"/>
    <w:rsid w:val="002100C0"/>
    <w:rsid w:val="002102A7"/>
    <w:rsid w:val="002104C6"/>
    <w:rsid w:val="00210653"/>
    <w:rsid w:val="00210A44"/>
    <w:rsid w:val="00210C4D"/>
    <w:rsid w:val="00210D0C"/>
    <w:rsid w:val="00210F3E"/>
    <w:rsid w:val="00211007"/>
    <w:rsid w:val="00211370"/>
    <w:rsid w:val="0021139A"/>
    <w:rsid w:val="0021158D"/>
    <w:rsid w:val="00211C5F"/>
    <w:rsid w:val="00212075"/>
    <w:rsid w:val="002121B2"/>
    <w:rsid w:val="002122E9"/>
    <w:rsid w:val="0021274E"/>
    <w:rsid w:val="002128AC"/>
    <w:rsid w:val="002129AB"/>
    <w:rsid w:val="002129BB"/>
    <w:rsid w:val="00212B2F"/>
    <w:rsid w:val="00212C9A"/>
    <w:rsid w:val="00212D7C"/>
    <w:rsid w:val="00212DF2"/>
    <w:rsid w:val="00212E0F"/>
    <w:rsid w:val="00212EFB"/>
    <w:rsid w:val="00213132"/>
    <w:rsid w:val="002133A3"/>
    <w:rsid w:val="002134C0"/>
    <w:rsid w:val="002134E1"/>
    <w:rsid w:val="002138D6"/>
    <w:rsid w:val="00213D26"/>
    <w:rsid w:val="00213D9D"/>
    <w:rsid w:val="00213E6C"/>
    <w:rsid w:val="00214187"/>
    <w:rsid w:val="002142A1"/>
    <w:rsid w:val="002143EA"/>
    <w:rsid w:val="00214925"/>
    <w:rsid w:val="00214937"/>
    <w:rsid w:val="00214B62"/>
    <w:rsid w:val="00214B69"/>
    <w:rsid w:val="00214C4E"/>
    <w:rsid w:val="00214DBD"/>
    <w:rsid w:val="00214FC6"/>
    <w:rsid w:val="00214FC7"/>
    <w:rsid w:val="00215291"/>
    <w:rsid w:val="00215473"/>
    <w:rsid w:val="00215BC9"/>
    <w:rsid w:val="00215C1C"/>
    <w:rsid w:val="00215DDA"/>
    <w:rsid w:val="00215F0B"/>
    <w:rsid w:val="002162B3"/>
    <w:rsid w:val="00216363"/>
    <w:rsid w:val="00216C5B"/>
    <w:rsid w:val="00216C5D"/>
    <w:rsid w:val="00216E3D"/>
    <w:rsid w:val="00216F78"/>
    <w:rsid w:val="002170A5"/>
    <w:rsid w:val="002173CF"/>
    <w:rsid w:val="00217639"/>
    <w:rsid w:val="00217670"/>
    <w:rsid w:val="002176AE"/>
    <w:rsid w:val="0021770B"/>
    <w:rsid w:val="002179E8"/>
    <w:rsid w:val="00217DCC"/>
    <w:rsid w:val="00217F8F"/>
    <w:rsid w:val="002200AC"/>
    <w:rsid w:val="00220961"/>
    <w:rsid w:val="00220A36"/>
    <w:rsid w:val="00220E65"/>
    <w:rsid w:val="00220E66"/>
    <w:rsid w:val="00220FBD"/>
    <w:rsid w:val="002213D7"/>
    <w:rsid w:val="0022155B"/>
    <w:rsid w:val="00221571"/>
    <w:rsid w:val="00221768"/>
    <w:rsid w:val="002218D2"/>
    <w:rsid w:val="00221AF0"/>
    <w:rsid w:val="00221DBD"/>
    <w:rsid w:val="00222091"/>
    <w:rsid w:val="00222476"/>
    <w:rsid w:val="002225AF"/>
    <w:rsid w:val="002227FD"/>
    <w:rsid w:val="00222B6D"/>
    <w:rsid w:val="00222D81"/>
    <w:rsid w:val="00222E16"/>
    <w:rsid w:val="00222F94"/>
    <w:rsid w:val="00223127"/>
    <w:rsid w:val="00223266"/>
    <w:rsid w:val="00223290"/>
    <w:rsid w:val="0022354E"/>
    <w:rsid w:val="00223828"/>
    <w:rsid w:val="00223AF8"/>
    <w:rsid w:val="00223C20"/>
    <w:rsid w:val="00223CDB"/>
    <w:rsid w:val="00223E63"/>
    <w:rsid w:val="00223EBB"/>
    <w:rsid w:val="00223F4D"/>
    <w:rsid w:val="00224116"/>
    <w:rsid w:val="00224958"/>
    <w:rsid w:val="00224B3C"/>
    <w:rsid w:val="00224C00"/>
    <w:rsid w:val="00224CC7"/>
    <w:rsid w:val="00225166"/>
    <w:rsid w:val="002252FB"/>
    <w:rsid w:val="002256C0"/>
    <w:rsid w:val="00225734"/>
    <w:rsid w:val="002258C3"/>
    <w:rsid w:val="00225956"/>
    <w:rsid w:val="00225A4A"/>
    <w:rsid w:val="00225AC1"/>
    <w:rsid w:val="00225F07"/>
    <w:rsid w:val="00225F1D"/>
    <w:rsid w:val="002260B9"/>
    <w:rsid w:val="00226309"/>
    <w:rsid w:val="00226482"/>
    <w:rsid w:val="00226570"/>
    <w:rsid w:val="0022679A"/>
    <w:rsid w:val="002267B6"/>
    <w:rsid w:val="00226C19"/>
    <w:rsid w:val="00226C65"/>
    <w:rsid w:val="00226EF0"/>
    <w:rsid w:val="0022703E"/>
    <w:rsid w:val="00227199"/>
    <w:rsid w:val="002271D6"/>
    <w:rsid w:val="0022739E"/>
    <w:rsid w:val="00227435"/>
    <w:rsid w:val="00227860"/>
    <w:rsid w:val="00227B49"/>
    <w:rsid w:val="00227C84"/>
    <w:rsid w:val="002301D2"/>
    <w:rsid w:val="00230213"/>
    <w:rsid w:val="0023029C"/>
    <w:rsid w:val="00230802"/>
    <w:rsid w:val="00230958"/>
    <w:rsid w:val="00230A99"/>
    <w:rsid w:val="00230AD4"/>
    <w:rsid w:val="00230ADB"/>
    <w:rsid w:val="00230B83"/>
    <w:rsid w:val="00230DB6"/>
    <w:rsid w:val="00230ED2"/>
    <w:rsid w:val="002310A3"/>
    <w:rsid w:val="00231193"/>
    <w:rsid w:val="00231297"/>
    <w:rsid w:val="002317E2"/>
    <w:rsid w:val="00231926"/>
    <w:rsid w:val="00231A28"/>
    <w:rsid w:val="00231E0C"/>
    <w:rsid w:val="00232070"/>
    <w:rsid w:val="0023228E"/>
    <w:rsid w:val="00232374"/>
    <w:rsid w:val="0023263A"/>
    <w:rsid w:val="0023293C"/>
    <w:rsid w:val="00232A77"/>
    <w:rsid w:val="00232D1D"/>
    <w:rsid w:val="00232DE6"/>
    <w:rsid w:val="00232F71"/>
    <w:rsid w:val="00232FCB"/>
    <w:rsid w:val="0023307F"/>
    <w:rsid w:val="002332E7"/>
    <w:rsid w:val="00233320"/>
    <w:rsid w:val="002335A6"/>
    <w:rsid w:val="0023393A"/>
    <w:rsid w:val="00233D4A"/>
    <w:rsid w:val="00233E83"/>
    <w:rsid w:val="0023419A"/>
    <w:rsid w:val="002341D0"/>
    <w:rsid w:val="0023438A"/>
    <w:rsid w:val="0023477B"/>
    <w:rsid w:val="00234A82"/>
    <w:rsid w:val="00234CAD"/>
    <w:rsid w:val="00234E6A"/>
    <w:rsid w:val="00235527"/>
    <w:rsid w:val="0023555C"/>
    <w:rsid w:val="00235AC8"/>
    <w:rsid w:val="00235B84"/>
    <w:rsid w:val="0023606B"/>
    <w:rsid w:val="002360AB"/>
    <w:rsid w:val="002360B6"/>
    <w:rsid w:val="00236163"/>
    <w:rsid w:val="0023689A"/>
    <w:rsid w:val="00236BC6"/>
    <w:rsid w:val="00237115"/>
    <w:rsid w:val="0023731A"/>
    <w:rsid w:val="0023733F"/>
    <w:rsid w:val="00237403"/>
    <w:rsid w:val="00237508"/>
    <w:rsid w:val="002376E0"/>
    <w:rsid w:val="002376E5"/>
    <w:rsid w:val="00237B2C"/>
    <w:rsid w:val="00237CC5"/>
    <w:rsid w:val="0024014A"/>
    <w:rsid w:val="002401C2"/>
    <w:rsid w:val="00240453"/>
    <w:rsid w:val="0024061A"/>
    <w:rsid w:val="0024063C"/>
    <w:rsid w:val="00240C3A"/>
    <w:rsid w:val="00240F54"/>
    <w:rsid w:val="002410BA"/>
    <w:rsid w:val="002412E0"/>
    <w:rsid w:val="002413E6"/>
    <w:rsid w:val="002418CE"/>
    <w:rsid w:val="00241944"/>
    <w:rsid w:val="00241A34"/>
    <w:rsid w:val="00241D07"/>
    <w:rsid w:val="00241F1C"/>
    <w:rsid w:val="00242165"/>
    <w:rsid w:val="00242341"/>
    <w:rsid w:val="00242550"/>
    <w:rsid w:val="0024259D"/>
    <w:rsid w:val="00242740"/>
    <w:rsid w:val="00242A6E"/>
    <w:rsid w:val="00242B70"/>
    <w:rsid w:val="00242ECF"/>
    <w:rsid w:val="00242F38"/>
    <w:rsid w:val="00243223"/>
    <w:rsid w:val="002433A8"/>
    <w:rsid w:val="002433D7"/>
    <w:rsid w:val="00243641"/>
    <w:rsid w:val="00243755"/>
    <w:rsid w:val="00243968"/>
    <w:rsid w:val="00243A5F"/>
    <w:rsid w:val="00243ADC"/>
    <w:rsid w:val="00243C7B"/>
    <w:rsid w:val="00243E60"/>
    <w:rsid w:val="00243F81"/>
    <w:rsid w:val="00244034"/>
    <w:rsid w:val="00244B09"/>
    <w:rsid w:val="00244B7B"/>
    <w:rsid w:val="00244C6B"/>
    <w:rsid w:val="00244DFE"/>
    <w:rsid w:val="00244E58"/>
    <w:rsid w:val="00245109"/>
    <w:rsid w:val="00245233"/>
    <w:rsid w:val="0024535D"/>
    <w:rsid w:val="00245385"/>
    <w:rsid w:val="002453BD"/>
    <w:rsid w:val="002454F4"/>
    <w:rsid w:val="0024578A"/>
    <w:rsid w:val="0024583E"/>
    <w:rsid w:val="00245861"/>
    <w:rsid w:val="00245935"/>
    <w:rsid w:val="00245A66"/>
    <w:rsid w:val="00245B39"/>
    <w:rsid w:val="00245D63"/>
    <w:rsid w:val="00245D7B"/>
    <w:rsid w:val="00245EDF"/>
    <w:rsid w:val="00245F52"/>
    <w:rsid w:val="00245FCF"/>
    <w:rsid w:val="00246223"/>
    <w:rsid w:val="0024630D"/>
    <w:rsid w:val="0024632E"/>
    <w:rsid w:val="00246620"/>
    <w:rsid w:val="00246680"/>
    <w:rsid w:val="002466D8"/>
    <w:rsid w:val="00246861"/>
    <w:rsid w:val="002469DF"/>
    <w:rsid w:val="00246B5C"/>
    <w:rsid w:val="00246E38"/>
    <w:rsid w:val="00247430"/>
    <w:rsid w:val="002474C9"/>
    <w:rsid w:val="0024759C"/>
    <w:rsid w:val="00247F64"/>
    <w:rsid w:val="00247F6D"/>
    <w:rsid w:val="002500B9"/>
    <w:rsid w:val="0025011A"/>
    <w:rsid w:val="0025016A"/>
    <w:rsid w:val="002501FE"/>
    <w:rsid w:val="002505E7"/>
    <w:rsid w:val="00250694"/>
    <w:rsid w:val="00250702"/>
    <w:rsid w:val="002507C6"/>
    <w:rsid w:val="00250967"/>
    <w:rsid w:val="00250A2B"/>
    <w:rsid w:val="00250CC3"/>
    <w:rsid w:val="00251238"/>
    <w:rsid w:val="002512C1"/>
    <w:rsid w:val="002513EF"/>
    <w:rsid w:val="0025185F"/>
    <w:rsid w:val="00251928"/>
    <w:rsid w:val="00251984"/>
    <w:rsid w:val="00251A06"/>
    <w:rsid w:val="00251AA7"/>
    <w:rsid w:val="00251AAD"/>
    <w:rsid w:val="00251CCE"/>
    <w:rsid w:val="00251E67"/>
    <w:rsid w:val="00251FD8"/>
    <w:rsid w:val="00252038"/>
    <w:rsid w:val="00252083"/>
    <w:rsid w:val="002521A2"/>
    <w:rsid w:val="0025224F"/>
    <w:rsid w:val="00252930"/>
    <w:rsid w:val="00252C03"/>
    <w:rsid w:val="00252F27"/>
    <w:rsid w:val="00253129"/>
    <w:rsid w:val="002532DB"/>
    <w:rsid w:val="00253317"/>
    <w:rsid w:val="0025333B"/>
    <w:rsid w:val="002533FD"/>
    <w:rsid w:val="0025352A"/>
    <w:rsid w:val="002539FC"/>
    <w:rsid w:val="00253A80"/>
    <w:rsid w:val="00253C0A"/>
    <w:rsid w:val="002540CE"/>
    <w:rsid w:val="0025417C"/>
    <w:rsid w:val="0025420F"/>
    <w:rsid w:val="00254325"/>
    <w:rsid w:val="0025456A"/>
    <w:rsid w:val="0025499A"/>
    <w:rsid w:val="00254B03"/>
    <w:rsid w:val="00254EA6"/>
    <w:rsid w:val="002552D1"/>
    <w:rsid w:val="00255620"/>
    <w:rsid w:val="002559A8"/>
    <w:rsid w:val="00255B9C"/>
    <w:rsid w:val="00255FA5"/>
    <w:rsid w:val="002560CF"/>
    <w:rsid w:val="00256225"/>
    <w:rsid w:val="0025664F"/>
    <w:rsid w:val="00256869"/>
    <w:rsid w:val="002569B0"/>
    <w:rsid w:val="00256BA3"/>
    <w:rsid w:val="00256DFB"/>
    <w:rsid w:val="00256F9A"/>
    <w:rsid w:val="00257079"/>
    <w:rsid w:val="0025753C"/>
    <w:rsid w:val="002577D2"/>
    <w:rsid w:val="00257CE6"/>
    <w:rsid w:val="00257CFE"/>
    <w:rsid w:val="00257D17"/>
    <w:rsid w:val="00257D43"/>
    <w:rsid w:val="0026000C"/>
    <w:rsid w:val="002601A8"/>
    <w:rsid w:val="002602EA"/>
    <w:rsid w:val="002603C8"/>
    <w:rsid w:val="002608B0"/>
    <w:rsid w:val="00260AE6"/>
    <w:rsid w:val="00260D03"/>
    <w:rsid w:val="00260D13"/>
    <w:rsid w:val="00260DC6"/>
    <w:rsid w:val="00260F4B"/>
    <w:rsid w:val="00261165"/>
    <w:rsid w:val="00261351"/>
    <w:rsid w:val="00261637"/>
    <w:rsid w:val="0026171C"/>
    <w:rsid w:val="0026175F"/>
    <w:rsid w:val="00261AAA"/>
    <w:rsid w:val="00261AFA"/>
    <w:rsid w:val="00261B69"/>
    <w:rsid w:val="00261BC5"/>
    <w:rsid w:val="00261D3C"/>
    <w:rsid w:val="00262382"/>
    <w:rsid w:val="002623F4"/>
    <w:rsid w:val="00262890"/>
    <w:rsid w:val="00263114"/>
    <w:rsid w:val="002631D1"/>
    <w:rsid w:val="0026338B"/>
    <w:rsid w:val="00263479"/>
    <w:rsid w:val="00263613"/>
    <w:rsid w:val="00263BF8"/>
    <w:rsid w:val="00263C8F"/>
    <w:rsid w:val="00263DAF"/>
    <w:rsid w:val="00263E66"/>
    <w:rsid w:val="0026410B"/>
    <w:rsid w:val="002641CB"/>
    <w:rsid w:val="00264591"/>
    <w:rsid w:val="0026469A"/>
    <w:rsid w:val="002646D1"/>
    <w:rsid w:val="0026483B"/>
    <w:rsid w:val="002649C4"/>
    <w:rsid w:val="00264C25"/>
    <w:rsid w:val="00264CCC"/>
    <w:rsid w:val="00264CE7"/>
    <w:rsid w:val="00264D70"/>
    <w:rsid w:val="00264EEE"/>
    <w:rsid w:val="00264F07"/>
    <w:rsid w:val="00264F66"/>
    <w:rsid w:val="00265306"/>
    <w:rsid w:val="00265AA3"/>
    <w:rsid w:val="00265AF3"/>
    <w:rsid w:val="00265D1D"/>
    <w:rsid w:val="00265D68"/>
    <w:rsid w:val="00266201"/>
    <w:rsid w:val="002662D8"/>
    <w:rsid w:val="00266C81"/>
    <w:rsid w:val="00266D46"/>
    <w:rsid w:val="00266D86"/>
    <w:rsid w:val="002670E4"/>
    <w:rsid w:val="00267345"/>
    <w:rsid w:val="00267AD1"/>
    <w:rsid w:val="00267C07"/>
    <w:rsid w:val="00267D06"/>
    <w:rsid w:val="00267E26"/>
    <w:rsid w:val="00267FDD"/>
    <w:rsid w:val="00270181"/>
    <w:rsid w:val="002704F5"/>
    <w:rsid w:val="002705EF"/>
    <w:rsid w:val="00270899"/>
    <w:rsid w:val="00270916"/>
    <w:rsid w:val="00270DCE"/>
    <w:rsid w:val="00270DE0"/>
    <w:rsid w:val="00270E78"/>
    <w:rsid w:val="00270EA5"/>
    <w:rsid w:val="0027111E"/>
    <w:rsid w:val="002711F9"/>
    <w:rsid w:val="002715FE"/>
    <w:rsid w:val="002716DC"/>
    <w:rsid w:val="002719AE"/>
    <w:rsid w:val="00271DEF"/>
    <w:rsid w:val="00271E3E"/>
    <w:rsid w:val="00271EF5"/>
    <w:rsid w:val="0027249E"/>
    <w:rsid w:val="002724DA"/>
    <w:rsid w:val="00272758"/>
    <w:rsid w:val="002729B9"/>
    <w:rsid w:val="00272BB8"/>
    <w:rsid w:val="00272FB9"/>
    <w:rsid w:val="00273355"/>
    <w:rsid w:val="00273435"/>
    <w:rsid w:val="002737EE"/>
    <w:rsid w:val="0027383F"/>
    <w:rsid w:val="00273C1A"/>
    <w:rsid w:val="00273C70"/>
    <w:rsid w:val="00273D41"/>
    <w:rsid w:val="00274057"/>
    <w:rsid w:val="00274187"/>
    <w:rsid w:val="002741F9"/>
    <w:rsid w:val="00274247"/>
    <w:rsid w:val="0027484D"/>
    <w:rsid w:val="00274881"/>
    <w:rsid w:val="00274979"/>
    <w:rsid w:val="00274CB5"/>
    <w:rsid w:val="002750CB"/>
    <w:rsid w:val="002751F7"/>
    <w:rsid w:val="00275365"/>
    <w:rsid w:val="0027556A"/>
    <w:rsid w:val="00275876"/>
    <w:rsid w:val="002759F0"/>
    <w:rsid w:val="00275A67"/>
    <w:rsid w:val="00275AE0"/>
    <w:rsid w:val="00275CE1"/>
    <w:rsid w:val="00275FC9"/>
    <w:rsid w:val="00276125"/>
    <w:rsid w:val="0027633D"/>
    <w:rsid w:val="002763AE"/>
    <w:rsid w:val="00276429"/>
    <w:rsid w:val="00276705"/>
    <w:rsid w:val="00276934"/>
    <w:rsid w:val="00276958"/>
    <w:rsid w:val="00276BF4"/>
    <w:rsid w:val="00276C1F"/>
    <w:rsid w:val="00276C39"/>
    <w:rsid w:val="00276C56"/>
    <w:rsid w:val="00276EF5"/>
    <w:rsid w:val="00276F52"/>
    <w:rsid w:val="0027713E"/>
    <w:rsid w:val="002771A3"/>
    <w:rsid w:val="00277302"/>
    <w:rsid w:val="002773CC"/>
    <w:rsid w:val="002776A4"/>
    <w:rsid w:val="00277721"/>
    <w:rsid w:val="0027774E"/>
    <w:rsid w:val="002777AC"/>
    <w:rsid w:val="00277F51"/>
    <w:rsid w:val="002802C2"/>
    <w:rsid w:val="002806EB"/>
    <w:rsid w:val="00280996"/>
    <w:rsid w:val="00280AFB"/>
    <w:rsid w:val="00280DB9"/>
    <w:rsid w:val="0028104A"/>
    <w:rsid w:val="00281097"/>
    <w:rsid w:val="0028161F"/>
    <w:rsid w:val="0028191E"/>
    <w:rsid w:val="00281B56"/>
    <w:rsid w:val="00281B9E"/>
    <w:rsid w:val="00281E59"/>
    <w:rsid w:val="0028213B"/>
    <w:rsid w:val="0028232E"/>
    <w:rsid w:val="00282503"/>
    <w:rsid w:val="00282937"/>
    <w:rsid w:val="00282961"/>
    <w:rsid w:val="00282BD5"/>
    <w:rsid w:val="00282EC0"/>
    <w:rsid w:val="002833AF"/>
    <w:rsid w:val="00283ED3"/>
    <w:rsid w:val="002845DE"/>
    <w:rsid w:val="0028481E"/>
    <w:rsid w:val="00284A71"/>
    <w:rsid w:val="00284BF5"/>
    <w:rsid w:val="00284FA9"/>
    <w:rsid w:val="00285094"/>
    <w:rsid w:val="0028536E"/>
    <w:rsid w:val="00285418"/>
    <w:rsid w:val="00285457"/>
    <w:rsid w:val="00285686"/>
    <w:rsid w:val="00285709"/>
    <w:rsid w:val="002859F4"/>
    <w:rsid w:val="00285AAE"/>
    <w:rsid w:val="0028632E"/>
    <w:rsid w:val="002863A3"/>
    <w:rsid w:val="0028662B"/>
    <w:rsid w:val="0028681E"/>
    <w:rsid w:val="00286B5A"/>
    <w:rsid w:val="00286BE3"/>
    <w:rsid w:val="00286C7B"/>
    <w:rsid w:val="00286CE5"/>
    <w:rsid w:val="00286DDB"/>
    <w:rsid w:val="00286FFA"/>
    <w:rsid w:val="0028708A"/>
    <w:rsid w:val="0028709D"/>
    <w:rsid w:val="0028731D"/>
    <w:rsid w:val="002876BE"/>
    <w:rsid w:val="002877D6"/>
    <w:rsid w:val="00287EEA"/>
    <w:rsid w:val="0029015D"/>
    <w:rsid w:val="002901F1"/>
    <w:rsid w:val="002903EF"/>
    <w:rsid w:val="002904D3"/>
    <w:rsid w:val="0029060D"/>
    <w:rsid w:val="002906BB"/>
    <w:rsid w:val="002907A4"/>
    <w:rsid w:val="00290918"/>
    <w:rsid w:val="00290DFC"/>
    <w:rsid w:val="00290E12"/>
    <w:rsid w:val="00290E3C"/>
    <w:rsid w:val="00290EC0"/>
    <w:rsid w:val="00291083"/>
    <w:rsid w:val="00291169"/>
    <w:rsid w:val="0029148B"/>
    <w:rsid w:val="00291958"/>
    <w:rsid w:val="00291C2A"/>
    <w:rsid w:val="00291F2B"/>
    <w:rsid w:val="0029235F"/>
    <w:rsid w:val="00292617"/>
    <w:rsid w:val="00292B98"/>
    <w:rsid w:val="00292EDC"/>
    <w:rsid w:val="00292F6B"/>
    <w:rsid w:val="0029303D"/>
    <w:rsid w:val="00293132"/>
    <w:rsid w:val="0029319A"/>
    <w:rsid w:val="002932AA"/>
    <w:rsid w:val="00294044"/>
    <w:rsid w:val="00294306"/>
    <w:rsid w:val="00294A15"/>
    <w:rsid w:val="00294A26"/>
    <w:rsid w:val="00294F63"/>
    <w:rsid w:val="00294FDE"/>
    <w:rsid w:val="0029509D"/>
    <w:rsid w:val="00295222"/>
    <w:rsid w:val="0029540F"/>
    <w:rsid w:val="00295573"/>
    <w:rsid w:val="00295950"/>
    <w:rsid w:val="002959F0"/>
    <w:rsid w:val="00295A22"/>
    <w:rsid w:val="002960A2"/>
    <w:rsid w:val="0029622A"/>
    <w:rsid w:val="0029625F"/>
    <w:rsid w:val="00296303"/>
    <w:rsid w:val="0029638B"/>
    <w:rsid w:val="00296486"/>
    <w:rsid w:val="002964FA"/>
    <w:rsid w:val="002967A4"/>
    <w:rsid w:val="0029702E"/>
    <w:rsid w:val="002974B0"/>
    <w:rsid w:val="00297D45"/>
    <w:rsid w:val="002A00CB"/>
    <w:rsid w:val="002A01B5"/>
    <w:rsid w:val="002A0245"/>
    <w:rsid w:val="002A025A"/>
    <w:rsid w:val="002A039F"/>
    <w:rsid w:val="002A06D2"/>
    <w:rsid w:val="002A09D1"/>
    <w:rsid w:val="002A0DF9"/>
    <w:rsid w:val="002A0FCD"/>
    <w:rsid w:val="002A10D1"/>
    <w:rsid w:val="002A1204"/>
    <w:rsid w:val="002A1350"/>
    <w:rsid w:val="002A13ED"/>
    <w:rsid w:val="002A1429"/>
    <w:rsid w:val="002A1715"/>
    <w:rsid w:val="002A1823"/>
    <w:rsid w:val="002A1B48"/>
    <w:rsid w:val="002A1C12"/>
    <w:rsid w:val="002A1CD9"/>
    <w:rsid w:val="002A1F37"/>
    <w:rsid w:val="002A246D"/>
    <w:rsid w:val="002A269D"/>
    <w:rsid w:val="002A284C"/>
    <w:rsid w:val="002A28D0"/>
    <w:rsid w:val="002A2E2B"/>
    <w:rsid w:val="002A2F10"/>
    <w:rsid w:val="002A2F51"/>
    <w:rsid w:val="002A33B1"/>
    <w:rsid w:val="002A3596"/>
    <w:rsid w:val="002A360D"/>
    <w:rsid w:val="002A3D2C"/>
    <w:rsid w:val="002A3EED"/>
    <w:rsid w:val="002A40DE"/>
    <w:rsid w:val="002A42AC"/>
    <w:rsid w:val="002A451A"/>
    <w:rsid w:val="002A45E6"/>
    <w:rsid w:val="002A4A65"/>
    <w:rsid w:val="002A4F24"/>
    <w:rsid w:val="002A4FF0"/>
    <w:rsid w:val="002A51D5"/>
    <w:rsid w:val="002A535C"/>
    <w:rsid w:val="002A5574"/>
    <w:rsid w:val="002A56D5"/>
    <w:rsid w:val="002A5B18"/>
    <w:rsid w:val="002A5CAF"/>
    <w:rsid w:val="002A639F"/>
    <w:rsid w:val="002A63A7"/>
    <w:rsid w:val="002A6508"/>
    <w:rsid w:val="002A6638"/>
    <w:rsid w:val="002A6781"/>
    <w:rsid w:val="002A6BC8"/>
    <w:rsid w:val="002A6C87"/>
    <w:rsid w:val="002A6DBB"/>
    <w:rsid w:val="002A6E32"/>
    <w:rsid w:val="002A6E8B"/>
    <w:rsid w:val="002A6EF7"/>
    <w:rsid w:val="002A72A8"/>
    <w:rsid w:val="002A737A"/>
    <w:rsid w:val="002A7652"/>
    <w:rsid w:val="002A76AC"/>
    <w:rsid w:val="002A78C8"/>
    <w:rsid w:val="002A7FB4"/>
    <w:rsid w:val="002B00AC"/>
    <w:rsid w:val="002B02F4"/>
    <w:rsid w:val="002B0346"/>
    <w:rsid w:val="002B053E"/>
    <w:rsid w:val="002B0606"/>
    <w:rsid w:val="002B066B"/>
    <w:rsid w:val="002B071F"/>
    <w:rsid w:val="002B0933"/>
    <w:rsid w:val="002B0984"/>
    <w:rsid w:val="002B0D04"/>
    <w:rsid w:val="002B0D68"/>
    <w:rsid w:val="002B0F30"/>
    <w:rsid w:val="002B0F5A"/>
    <w:rsid w:val="002B10F0"/>
    <w:rsid w:val="002B1214"/>
    <w:rsid w:val="002B12AD"/>
    <w:rsid w:val="002B1340"/>
    <w:rsid w:val="002B1403"/>
    <w:rsid w:val="002B16F5"/>
    <w:rsid w:val="002B17AA"/>
    <w:rsid w:val="002B18DF"/>
    <w:rsid w:val="002B1996"/>
    <w:rsid w:val="002B19EF"/>
    <w:rsid w:val="002B1B55"/>
    <w:rsid w:val="002B1D6A"/>
    <w:rsid w:val="002B2004"/>
    <w:rsid w:val="002B20AA"/>
    <w:rsid w:val="002B238D"/>
    <w:rsid w:val="002B2392"/>
    <w:rsid w:val="002B2434"/>
    <w:rsid w:val="002B2639"/>
    <w:rsid w:val="002B2795"/>
    <w:rsid w:val="002B27BC"/>
    <w:rsid w:val="002B290B"/>
    <w:rsid w:val="002B29C9"/>
    <w:rsid w:val="002B2DBC"/>
    <w:rsid w:val="002B3189"/>
    <w:rsid w:val="002B3290"/>
    <w:rsid w:val="002B35D7"/>
    <w:rsid w:val="002B3AF3"/>
    <w:rsid w:val="002B3F20"/>
    <w:rsid w:val="002B4150"/>
    <w:rsid w:val="002B4302"/>
    <w:rsid w:val="002B44CF"/>
    <w:rsid w:val="002B465E"/>
    <w:rsid w:val="002B4729"/>
    <w:rsid w:val="002B4AF0"/>
    <w:rsid w:val="002B4B9B"/>
    <w:rsid w:val="002B4F35"/>
    <w:rsid w:val="002B5539"/>
    <w:rsid w:val="002B561E"/>
    <w:rsid w:val="002B57F1"/>
    <w:rsid w:val="002B5825"/>
    <w:rsid w:val="002B5C24"/>
    <w:rsid w:val="002B5C26"/>
    <w:rsid w:val="002B5C2C"/>
    <w:rsid w:val="002B5C4D"/>
    <w:rsid w:val="002B5CBE"/>
    <w:rsid w:val="002B5D9A"/>
    <w:rsid w:val="002B6089"/>
    <w:rsid w:val="002B6151"/>
    <w:rsid w:val="002B6319"/>
    <w:rsid w:val="002B639C"/>
    <w:rsid w:val="002B63BB"/>
    <w:rsid w:val="002B66C3"/>
    <w:rsid w:val="002B6745"/>
    <w:rsid w:val="002B6B2F"/>
    <w:rsid w:val="002B6C48"/>
    <w:rsid w:val="002B6D8C"/>
    <w:rsid w:val="002B6E23"/>
    <w:rsid w:val="002B76E6"/>
    <w:rsid w:val="002B786A"/>
    <w:rsid w:val="002B78BD"/>
    <w:rsid w:val="002B7DDF"/>
    <w:rsid w:val="002B7EA6"/>
    <w:rsid w:val="002C02B2"/>
    <w:rsid w:val="002C02FD"/>
    <w:rsid w:val="002C0488"/>
    <w:rsid w:val="002C05C6"/>
    <w:rsid w:val="002C093E"/>
    <w:rsid w:val="002C0C31"/>
    <w:rsid w:val="002C0C51"/>
    <w:rsid w:val="002C0EAC"/>
    <w:rsid w:val="002C118D"/>
    <w:rsid w:val="002C12A8"/>
    <w:rsid w:val="002C13BE"/>
    <w:rsid w:val="002C1559"/>
    <w:rsid w:val="002C1BB5"/>
    <w:rsid w:val="002C1CEA"/>
    <w:rsid w:val="002C207F"/>
    <w:rsid w:val="002C208E"/>
    <w:rsid w:val="002C2136"/>
    <w:rsid w:val="002C2A9E"/>
    <w:rsid w:val="002C2CE6"/>
    <w:rsid w:val="002C2EC9"/>
    <w:rsid w:val="002C3294"/>
    <w:rsid w:val="002C36C7"/>
    <w:rsid w:val="002C3E64"/>
    <w:rsid w:val="002C446A"/>
    <w:rsid w:val="002C44EF"/>
    <w:rsid w:val="002C46FA"/>
    <w:rsid w:val="002C4819"/>
    <w:rsid w:val="002C4842"/>
    <w:rsid w:val="002C48D5"/>
    <w:rsid w:val="002C49DB"/>
    <w:rsid w:val="002C4A8B"/>
    <w:rsid w:val="002C4B2E"/>
    <w:rsid w:val="002C4EC8"/>
    <w:rsid w:val="002C4F4C"/>
    <w:rsid w:val="002C5535"/>
    <w:rsid w:val="002C56CE"/>
    <w:rsid w:val="002C5902"/>
    <w:rsid w:val="002C5DA7"/>
    <w:rsid w:val="002C5F6D"/>
    <w:rsid w:val="002C5F9B"/>
    <w:rsid w:val="002C634D"/>
    <w:rsid w:val="002C692F"/>
    <w:rsid w:val="002C6ABD"/>
    <w:rsid w:val="002C6B61"/>
    <w:rsid w:val="002C6DAC"/>
    <w:rsid w:val="002C70DE"/>
    <w:rsid w:val="002C7221"/>
    <w:rsid w:val="002C72FA"/>
    <w:rsid w:val="002C733E"/>
    <w:rsid w:val="002C75F7"/>
    <w:rsid w:val="002C7C38"/>
    <w:rsid w:val="002C7F22"/>
    <w:rsid w:val="002D0280"/>
    <w:rsid w:val="002D0837"/>
    <w:rsid w:val="002D0852"/>
    <w:rsid w:val="002D090F"/>
    <w:rsid w:val="002D0BA7"/>
    <w:rsid w:val="002D0D69"/>
    <w:rsid w:val="002D0FA7"/>
    <w:rsid w:val="002D102E"/>
    <w:rsid w:val="002D117B"/>
    <w:rsid w:val="002D119F"/>
    <w:rsid w:val="002D15F8"/>
    <w:rsid w:val="002D1622"/>
    <w:rsid w:val="002D163E"/>
    <w:rsid w:val="002D17CA"/>
    <w:rsid w:val="002D191B"/>
    <w:rsid w:val="002D199D"/>
    <w:rsid w:val="002D19AF"/>
    <w:rsid w:val="002D200D"/>
    <w:rsid w:val="002D21E5"/>
    <w:rsid w:val="002D2763"/>
    <w:rsid w:val="002D285F"/>
    <w:rsid w:val="002D28A3"/>
    <w:rsid w:val="002D294A"/>
    <w:rsid w:val="002D29D1"/>
    <w:rsid w:val="002D2D8B"/>
    <w:rsid w:val="002D2DEB"/>
    <w:rsid w:val="002D2E57"/>
    <w:rsid w:val="002D2EC1"/>
    <w:rsid w:val="002D2F34"/>
    <w:rsid w:val="002D315F"/>
    <w:rsid w:val="002D31D6"/>
    <w:rsid w:val="002D31ED"/>
    <w:rsid w:val="002D3A46"/>
    <w:rsid w:val="002D409B"/>
    <w:rsid w:val="002D42FD"/>
    <w:rsid w:val="002D4311"/>
    <w:rsid w:val="002D4319"/>
    <w:rsid w:val="002D456E"/>
    <w:rsid w:val="002D490A"/>
    <w:rsid w:val="002D4E87"/>
    <w:rsid w:val="002D4EE2"/>
    <w:rsid w:val="002D4F29"/>
    <w:rsid w:val="002D5236"/>
    <w:rsid w:val="002D54A5"/>
    <w:rsid w:val="002D558D"/>
    <w:rsid w:val="002D55C7"/>
    <w:rsid w:val="002D580A"/>
    <w:rsid w:val="002D587E"/>
    <w:rsid w:val="002D58B2"/>
    <w:rsid w:val="002D5A9B"/>
    <w:rsid w:val="002D5F9E"/>
    <w:rsid w:val="002D645B"/>
    <w:rsid w:val="002D6522"/>
    <w:rsid w:val="002D6683"/>
    <w:rsid w:val="002D66AF"/>
    <w:rsid w:val="002D68E6"/>
    <w:rsid w:val="002D6901"/>
    <w:rsid w:val="002D6AAD"/>
    <w:rsid w:val="002D6BB2"/>
    <w:rsid w:val="002D7507"/>
    <w:rsid w:val="002D7806"/>
    <w:rsid w:val="002D7842"/>
    <w:rsid w:val="002D7A20"/>
    <w:rsid w:val="002D7D01"/>
    <w:rsid w:val="002E01D6"/>
    <w:rsid w:val="002E0214"/>
    <w:rsid w:val="002E0475"/>
    <w:rsid w:val="002E07FB"/>
    <w:rsid w:val="002E080E"/>
    <w:rsid w:val="002E08A3"/>
    <w:rsid w:val="002E08A9"/>
    <w:rsid w:val="002E0B1E"/>
    <w:rsid w:val="002E0B78"/>
    <w:rsid w:val="002E105A"/>
    <w:rsid w:val="002E1252"/>
    <w:rsid w:val="002E1450"/>
    <w:rsid w:val="002E150B"/>
    <w:rsid w:val="002E18AD"/>
    <w:rsid w:val="002E1A0B"/>
    <w:rsid w:val="002E1F22"/>
    <w:rsid w:val="002E1FE7"/>
    <w:rsid w:val="002E2576"/>
    <w:rsid w:val="002E2AE3"/>
    <w:rsid w:val="002E2C66"/>
    <w:rsid w:val="002E2E58"/>
    <w:rsid w:val="002E2E68"/>
    <w:rsid w:val="002E2E92"/>
    <w:rsid w:val="002E2F23"/>
    <w:rsid w:val="002E30DB"/>
    <w:rsid w:val="002E30DF"/>
    <w:rsid w:val="002E3245"/>
    <w:rsid w:val="002E35BF"/>
    <w:rsid w:val="002E3B3F"/>
    <w:rsid w:val="002E3D72"/>
    <w:rsid w:val="002E3F26"/>
    <w:rsid w:val="002E3F64"/>
    <w:rsid w:val="002E3FA9"/>
    <w:rsid w:val="002E43D1"/>
    <w:rsid w:val="002E4889"/>
    <w:rsid w:val="002E48B9"/>
    <w:rsid w:val="002E49B8"/>
    <w:rsid w:val="002E4B6B"/>
    <w:rsid w:val="002E4F99"/>
    <w:rsid w:val="002E4FDE"/>
    <w:rsid w:val="002E4FF4"/>
    <w:rsid w:val="002E5149"/>
    <w:rsid w:val="002E5208"/>
    <w:rsid w:val="002E57E2"/>
    <w:rsid w:val="002E58D7"/>
    <w:rsid w:val="002E5A15"/>
    <w:rsid w:val="002E5B51"/>
    <w:rsid w:val="002E5BFF"/>
    <w:rsid w:val="002E5D11"/>
    <w:rsid w:val="002E5D57"/>
    <w:rsid w:val="002E5D62"/>
    <w:rsid w:val="002E6151"/>
    <w:rsid w:val="002E616B"/>
    <w:rsid w:val="002E64BB"/>
    <w:rsid w:val="002E6595"/>
    <w:rsid w:val="002E6775"/>
    <w:rsid w:val="002E69B8"/>
    <w:rsid w:val="002E6FC2"/>
    <w:rsid w:val="002E6FEF"/>
    <w:rsid w:val="002E7B92"/>
    <w:rsid w:val="002E7DE2"/>
    <w:rsid w:val="002F014E"/>
    <w:rsid w:val="002F03F7"/>
    <w:rsid w:val="002F0548"/>
    <w:rsid w:val="002F07D4"/>
    <w:rsid w:val="002F080B"/>
    <w:rsid w:val="002F0870"/>
    <w:rsid w:val="002F0DC9"/>
    <w:rsid w:val="002F0E07"/>
    <w:rsid w:val="002F1174"/>
    <w:rsid w:val="002F1276"/>
    <w:rsid w:val="002F13A3"/>
    <w:rsid w:val="002F14CA"/>
    <w:rsid w:val="002F18C2"/>
    <w:rsid w:val="002F1A9C"/>
    <w:rsid w:val="002F1E95"/>
    <w:rsid w:val="002F20A8"/>
    <w:rsid w:val="002F20E7"/>
    <w:rsid w:val="002F2138"/>
    <w:rsid w:val="002F22BA"/>
    <w:rsid w:val="002F2396"/>
    <w:rsid w:val="002F23E7"/>
    <w:rsid w:val="002F250D"/>
    <w:rsid w:val="002F28D1"/>
    <w:rsid w:val="002F2F4A"/>
    <w:rsid w:val="002F3380"/>
    <w:rsid w:val="002F33EC"/>
    <w:rsid w:val="002F369A"/>
    <w:rsid w:val="002F36C2"/>
    <w:rsid w:val="002F37A5"/>
    <w:rsid w:val="002F383C"/>
    <w:rsid w:val="002F39B5"/>
    <w:rsid w:val="002F3B97"/>
    <w:rsid w:val="002F3D7C"/>
    <w:rsid w:val="002F3E22"/>
    <w:rsid w:val="002F3E68"/>
    <w:rsid w:val="002F41A8"/>
    <w:rsid w:val="002F47DF"/>
    <w:rsid w:val="002F4C01"/>
    <w:rsid w:val="002F4D86"/>
    <w:rsid w:val="002F505F"/>
    <w:rsid w:val="002F5287"/>
    <w:rsid w:val="002F54EB"/>
    <w:rsid w:val="002F5747"/>
    <w:rsid w:val="002F57F2"/>
    <w:rsid w:val="002F5A1D"/>
    <w:rsid w:val="002F5AC0"/>
    <w:rsid w:val="002F5D23"/>
    <w:rsid w:val="002F5DB4"/>
    <w:rsid w:val="002F6282"/>
    <w:rsid w:val="002F68A3"/>
    <w:rsid w:val="002F6A4F"/>
    <w:rsid w:val="002F6B83"/>
    <w:rsid w:val="002F6BB3"/>
    <w:rsid w:val="002F6C62"/>
    <w:rsid w:val="002F6C7B"/>
    <w:rsid w:val="002F6F15"/>
    <w:rsid w:val="002F6F4D"/>
    <w:rsid w:val="002F7152"/>
    <w:rsid w:val="002F769E"/>
    <w:rsid w:val="002F7998"/>
    <w:rsid w:val="002F7B64"/>
    <w:rsid w:val="002F7DE7"/>
    <w:rsid w:val="002F7F30"/>
    <w:rsid w:val="0030007B"/>
    <w:rsid w:val="0030038F"/>
    <w:rsid w:val="003005E9"/>
    <w:rsid w:val="003007D0"/>
    <w:rsid w:val="003007E2"/>
    <w:rsid w:val="00300A8A"/>
    <w:rsid w:val="00300BA2"/>
    <w:rsid w:val="00300FBE"/>
    <w:rsid w:val="00301136"/>
    <w:rsid w:val="00301405"/>
    <w:rsid w:val="0030164D"/>
    <w:rsid w:val="00301953"/>
    <w:rsid w:val="00301993"/>
    <w:rsid w:val="00301D41"/>
    <w:rsid w:val="00301F0A"/>
    <w:rsid w:val="00301F97"/>
    <w:rsid w:val="00301FCD"/>
    <w:rsid w:val="00302195"/>
    <w:rsid w:val="0030226B"/>
    <w:rsid w:val="003026B8"/>
    <w:rsid w:val="00302775"/>
    <w:rsid w:val="00302793"/>
    <w:rsid w:val="00303039"/>
    <w:rsid w:val="00303049"/>
    <w:rsid w:val="00303113"/>
    <w:rsid w:val="00303338"/>
    <w:rsid w:val="003033B8"/>
    <w:rsid w:val="00303442"/>
    <w:rsid w:val="0030372A"/>
    <w:rsid w:val="00303CF6"/>
    <w:rsid w:val="0030451F"/>
    <w:rsid w:val="00304592"/>
    <w:rsid w:val="003046F8"/>
    <w:rsid w:val="00304722"/>
    <w:rsid w:val="00304984"/>
    <w:rsid w:val="00304BE5"/>
    <w:rsid w:val="00305213"/>
    <w:rsid w:val="00305370"/>
    <w:rsid w:val="0030551F"/>
    <w:rsid w:val="003059E8"/>
    <w:rsid w:val="00305A58"/>
    <w:rsid w:val="00305AD1"/>
    <w:rsid w:val="00305BF9"/>
    <w:rsid w:val="00305D38"/>
    <w:rsid w:val="003061AD"/>
    <w:rsid w:val="0030626A"/>
    <w:rsid w:val="0030629E"/>
    <w:rsid w:val="0030645A"/>
    <w:rsid w:val="00306648"/>
    <w:rsid w:val="00306B7A"/>
    <w:rsid w:val="00306D08"/>
    <w:rsid w:val="00306D4F"/>
    <w:rsid w:val="00306EC6"/>
    <w:rsid w:val="00307144"/>
    <w:rsid w:val="0030731D"/>
    <w:rsid w:val="00307583"/>
    <w:rsid w:val="00307610"/>
    <w:rsid w:val="00307798"/>
    <w:rsid w:val="003079E8"/>
    <w:rsid w:val="00310219"/>
    <w:rsid w:val="00310264"/>
    <w:rsid w:val="00310451"/>
    <w:rsid w:val="00310607"/>
    <w:rsid w:val="003107D2"/>
    <w:rsid w:val="00310D02"/>
    <w:rsid w:val="00310DDE"/>
    <w:rsid w:val="0031113A"/>
    <w:rsid w:val="00311170"/>
    <w:rsid w:val="00311721"/>
    <w:rsid w:val="0031194F"/>
    <w:rsid w:val="00311A3A"/>
    <w:rsid w:val="00311C58"/>
    <w:rsid w:val="00311EBA"/>
    <w:rsid w:val="00312239"/>
    <w:rsid w:val="0031223C"/>
    <w:rsid w:val="003125BF"/>
    <w:rsid w:val="00312625"/>
    <w:rsid w:val="003129E5"/>
    <w:rsid w:val="00312E34"/>
    <w:rsid w:val="00313135"/>
    <w:rsid w:val="0031342A"/>
    <w:rsid w:val="0031367F"/>
    <w:rsid w:val="00313A2B"/>
    <w:rsid w:val="00313A74"/>
    <w:rsid w:val="00313F4D"/>
    <w:rsid w:val="00313FEB"/>
    <w:rsid w:val="003140AB"/>
    <w:rsid w:val="003141C3"/>
    <w:rsid w:val="00314801"/>
    <w:rsid w:val="00314C19"/>
    <w:rsid w:val="00314D77"/>
    <w:rsid w:val="00314E66"/>
    <w:rsid w:val="00314F8F"/>
    <w:rsid w:val="003152A3"/>
    <w:rsid w:val="0031536E"/>
    <w:rsid w:val="003153DB"/>
    <w:rsid w:val="0031560D"/>
    <w:rsid w:val="0031570B"/>
    <w:rsid w:val="00315D52"/>
    <w:rsid w:val="00315D65"/>
    <w:rsid w:val="00315D88"/>
    <w:rsid w:val="00315E13"/>
    <w:rsid w:val="00315E15"/>
    <w:rsid w:val="0031660C"/>
    <w:rsid w:val="00316919"/>
    <w:rsid w:val="00316970"/>
    <w:rsid w:val="00316A36"/>
    <w:rsid w:val="00316A89"/>
    <w:rsid w:val="00316B61"/>
    <w:rsid w:val="00316F0B"/>
    <w:rsid w:val="003170EF"/>
    <w:rsid w:val="00317293"/>
    <w:rsid w:val="0031768C"/>
    <w:rsid w:val="0031782E"/>
    <w:rsid w:val="00317DC5"/>
    <w:rsid w:val="00320381"/>
    <w:rsid w:val="00320482"/>
    <w:rsid w:val="003204EA"/>
    <w:rsid w:val="00320598"/>
    <w:rsid w:val="003205C4"/>
    <w:rsid w:val="00320617"/>
    <w:rsid w:val="0032063B"/>
    <w:rsid w:val="00320764"/>
    <w:rsid w:val="00320927"/>
    <w:rsid w:val="0032092E"/>
    <w:rsid w:val="0032093A"/>
    <w:rsid w:val="00320B58"/>
    <w:rsid w:val="00320F87"/>
    <w:rsid w:val="00320FF5"/>
    <w:rsid w:val="00321017"/>
    <w:rsid w:val="003210CB"/>
    <w:rsid w:val="003212AD"/>
    <w:rsid w:val="003214EE"/>
    <w:rsid w:val="003216C8"/>
    <w:rsid w:val="003216D3"/>
    <w:rsid w:val="0032181F"/>
    <w:rsid w:val="00321AC1"/>
    <w:rsid w:val="00321B22"/>
    <w:rsid w:val="00322403"/>
    <w:rsid w:val="003225AF"/>
    <w:rsid w:val="003225B0"/>
    <w:rsid w:val="0032297B"/>
    <w:rsid w:val="00322C13"/>
    <w:rsid w:val="00322CAE"/>
    <w:rsid w:val="00322D23"/>
    <w:rsid w:val="00322D88"/>
    <w:rsid w:val="003231FD"/>
    <w:rsid w:val="003232B3"/>
    <w:rsid w:val="00323327"/>
    <w:rsid w:val="00323572"/>
    <w:rsid w:val="003236A9"/>
    <w:rsid w:val="00323883"/>
    <w:rsid w:val="00323AA1"/>
    <w:rsid w:val="00323CC1"/>
    <w:rsid w:val="003240BD"/>
    <w:rsid w:val="0032426D"/>
    <w:rsid w:val="003242E3"/>
    <w:rsid w:val="00324492"/>
    <w:rsid w:val="003244A6"/>
    <w:rsid w:val="003244E5"/>
    <w:rsid w:val="00324509"/>
    <w:rsid w:val="0032450A"/>
    <w:rsid w:val="003245CB"/>
    <w:rsid w:val="003245D0"/>
    <w:rsid w:val="003251B5"/>
    <w:rsid w:val="0032539E"/>
    <w:rsid w:val="003253FF"/>
    <w:rsid w:val="0032552D"/>
    <w:rsid w:val="0032581F"/>
    <w:rsid w:val="00325967"/>
    <w:rsid w:val="00325A8C"/>
    <w:rsid w:val="00325F0F"/>
    <w:rsid w:val="00325F3C"/>
    <w:rsid w:val="003265A4"/>
    <w:rsid w:val="00326613"/>
    <w:rsid w:val="003266A1"/>
    <w:rsid w:val="003268EE"/>
    <w:rsid w:val="00326AE7"/>
    <w:rsid w:val="00326BD0"/>
    <w:rsid w:val="00326EB4"/>
    <w:rsid w:val="00326ECF"/>
    <w:rsid w:val="00326F7B"/>
    <w:rsid w:val="00327045"/>
    <w:rsid w:val="00327409"/>
    <w:rsid w:val="00327527"/>
    <w:rsid w:val="003275BF"/>
    <w:rsid w:val="00327B61"/>
    <w:rsid w:val="00327CFA"/>
    <w:rsid w:val="00327DB2"/>
    <w:rsid w:val="00330154"/>
    <w:rsid w:val="00330176"/>
    <w:rsid w:val="0033047E"/>
    <w:rsid w:val="003305DB"/>
    <w:rsid w:val="00330668"/>
    <w:rsid w:val="003306BB"/>
    <w:rsid w:val="00330C1C"/>
    <w:rsid w:val="00330D65"/>
    <w:rsid w:val="00330E47"/>
    <w:rsid w:val="00330F04"/>
    <w:rsid w:val="0033105E"/>
    <w:rsid w:val="0033123B"/>
    <w:rsid w:val="00331581"/>
    <w:rsid w:val="003317AA"/>
    <w:rsid w:val="003317BB"/>
    <w:rsid w:val="00331A0B"/>
    <w:rsid w:val="00331D48"/>
    <w:rsid w:val="00331E31"/>
    <w:rsid w:val="00332037"/>
    <w:rsid w:val="00332291"/>
    <w:rsid w:val="00332BD1"/>
    <w:rsid w:val="00332C17"/>
    <w:rsid w:val="00332EA5"/>
    <w:rsid w:val="00332FA7"/>
    <w:rsid w:val="00333138"/>
    <w:rsid w:val="0033317D"/>
    <w:rsid w:val="003336B2"/>
    <w:rsid w:val="003337D7"/>
    <w:rsid w:val="003337EC"/>
    <w:rsid w:val="003337F6"/>
    <w:rsid w:val="00333849"/>
    <w:rsid w:val="00333A0D"/>
    <w:rsid w:val="00333A5C"/>
    <w:rsid w:val="00333DB6"/>
    <w:rsid w:val="0033445E"/>
    <w:rsid w:val="003344C7"/>
    <w:rsid w:val="00334F93"/>
    <w:rsid w:val="00334FB1"/>
    <w:rsid w:val="00335211"/>
    <w:rsid w:val="00335376"/>
    <w:rsid w:val="00335496"/>
    <w:rsid w:val="003354C5"/>
    <w:rsid w:val="00335633"/>
    <w:rsid w:val="00335964"/>
    <w:rsid w:val="00335D5D"/>
    <w:rsid w:val="00336006"/>
    <w:rsid w:val="00336286"/>
    <w:rsid w:val="0033635D"/>
    <w:rsid w:val="003364C5"/>
    <w:rsid w:val="00336584"/>
    <w:rsid w:val="003367CB"/>
    <w:rsid w:val="003368FD"/>
    <w:rsid w:val="00336AE8"/>
    <w:rsid w:val="00336B1E"/>
    <w:rsid w:val="00336BB8"/>
    <w:rsid w:val="003374F6"/>
    <w:rsid w:val="003376EA"/>
    <w:rsid w:val="003376FF"/>
    <w:rsid w:val="003377FC"/>
    <w:rsid w:val="0033795F"/>
    <w:rsid w:val="00337D07"/>
    <w:rsid w:val="00337EC3"/>
    <w:rsid w:val="003400AE"/>
    <w:rsid w:val="003400CC"/>
    <w:rsid w:val="0034016E"/>
    <w:rsid w:val="003402C6"/>
    <w:rsid w:val="0034061E"/>
    <w:rsid w:val="003407BD"/>
    <w:rsid w:val="00340EAC"/>
    <w:rsid w:val="00341543"/>
    <w:rsid w:val="0034183D"/>
    <w:rsid w:val="003418BA"/>
    <w:rsid w:val="0034197C"/>
    <w:rsid w:val="003419D3"/>
    <w:rsid w:val="00342103"/>
    <w:rsid w:val="003422B5"/>
    <w:rsid w:val="00342490"/>
    <w:rsid w:val="003427F7"/>
    <w:rsid w:val="00342985"/>
    <w:rsid w:val="003429D9"/>
    <w:rsid w:val="00342A0E"/>
    <w:rsid w:val="00342B8E"/>
    <w:rsid w:val="00342ED8"/>
    <w:rsid w:val="00343143"/>
    <w:rsid w:val="00343145"/>
    <w:rsid w:val="00343257"/>
    <w:rsid w:val="00343426"/>
    <w:rsid w:val="00343519"/>
    <w:rsid w:val="003435F6"/>
    <w:rsid w:val="00343B38"/>
    <w:rsid w:val="00343BAF"/>
    <w:rsid w:val="00343D3B"/>
    <w:rsid w:val="00343E6F"/>
    <w:rsid w:val="003440FE"/>
    <w:rsid w:val="0034427F"/>
    <w:rsid w:val="003443DF"/>
    <w:rsid w:val="00344445"/>
    <w:rsid w:val="00344588"/>
    <w:rsid w:val="00344B72"/>
    <w:rsid w:val="00344C99"/>
    <w:rsid w:val="00344CBA"/>
    <w:rsid w:val="00344CBE"/>
    <w:rsid w:val="00344F35"/>
    <w:rsid w:val="0034521D"/>
    <w:rsid w:val="0034575F"/>
    <w:rsid w:val="003457FA"/>
    <w:rsid w:val="00345897"/>
    <w:rsid w:val="00345B66"/>
    <w:rsid w:val="00345E2C"/>
    <w:rsid w:val="00345EC5"/>
    <w:rsid w:val="003460BB"/>
    <w:rsid w:val="00346273"/>
    <w:rsid w:val="00346303"/>
    <w:rsid w:val="003464D1"/>
    <w:rsid w:val="0034669A"/>
    <w:rsid w:val="003466D7"/>
    <w:rsid w:val="00346B2D"/>
    <w:rsid w:val="00346D46"/>
    <w:rsid w:val="00347170"/>
    <w:rsid w:val="00347396"/>
    <w:rsid w:val="00347561"/>
    <w:rsid w:val="003477EA"/>
    <w:rsid w:val="00347AFF"/>
    <w:rsid w:val="00347CB3"/>
    <w:rsid w:val="00347DAA"/>
    <w:rsid w:val="00347F47"/>
    <w:rsid w:val="00350032"/>
    <w:rsid w:val="00350068"/>
    <w:rsid w:val="0035089A"/>
    <w:rsid w:val="00350A5F"/>
    <w:rsid w:val="00350AC8"/>
    <w:rsid w:val="00350D33"/>
    <w:rsid w:val="00350E20"/>
    <w:rsid w:val="00351642"/>
    <w:rsid w:val="00351890"/>
    <w:rsid w:val="00351930"/>
    <w:rsid w:val="00351EE6"/>
    <w:rsid w:val="00351FB2"/>
    <w:rsid w:val="003526A8"/>
    <w:rsid w:val="00352AAF"/>
    <w:rsid w:val="00352C83"/>
    <w:rsid w:val="00352E66"/>
    <w:rsid w:val="003532DB"/>
    <w:rsid w:val="003533CF"/>
    <w:rsid w:val="00353517"/>
    <w:rsid w:val="0035360A"/>
    <w:rsid w:val="00353646"/>
    <w:rsid w:val="0035367D"/>
    <w:rsid w:val="003537FB"/>
    <w:rsid w:val="00353814"/>
    <w:rsid w:val="003539A5"/>
    <w:rsid w:val="00353A60"/>
    <w:rsid w:val="00354220"/>
    <w:rsid w:val="0035441E"/>
    <w:rsid w:val="003544E8"/>
    <w:rsid w:val="0035452B"/>
    <w:rsid w:val="00354595"/>
    <w:rsid w:val="00354713"/>
    <w:rsid w:val="003549EF"/>
    <w:rsid w:val="00354A9C"/>
    <w:rsid w:val="00354AEC"/>
    <w:rsid w:val="00354F4E"/>
    <w:rsid w:val="00355757"/>
    <w:rsid w:val="00355AC4"/>
    <w:rsid w:val="00355DF7"/>
    <w:rsid w:val="003560D6"/>
    <w:rsid w:val="00356652"/>
    <w:rsid w:val="0035666B"/>
    <w:rsid w:val="003566CD"/>
    <w:rsid w:val="00356C76"/>
    <w:rsid w:val="00356CB8"/>
    <w:rsid w:val="00356E61"/>
    <w:rsid w:val="00357D75"/>
    <w:rsid w:val="00357D9C"/>
    <w:rsid w:val="00357DFA"/>
    <w:rsid w:val="003600C5"/>
    <w:rsid w:val="003601AE"/>
    <w:rsid w:val="00360231"/>
    <w:rsid w:val="00360272"/>
    <w:rsid w:val="0036075B"/>
    <w:rsid w:val="003608F6"/>
    <w:rsid w:val="00360D00"/>
    <w:rsid w:val="00360EB9"/>
    <w:rsid w:val="0036115A"/>
    <w:rsid w:val="00361175"/>
    <w:rsid w:val="003611F3"/>
    <w:rsid w:val="0036187E"/>
    <w:rsid w:val="00361A31"/>
    <w:rsid w:val="00361B70"/>
    <w:rsid w:val="00361CB9"/>
    <w:rsid w:val="00361F0E"/>
    <w:rsid w:val="00361FB7"/>
    <w:rsid w:val="00361FC2"/>
    <w:rsid w:val="003623BB"/>
    <w:rsid w:val="00362465"/>
    <w:rsid w:val="003626B7"/>
    <w:rsid w:val="003626FB"/>
    <w:rsid w:val="00362869"/>
    <w:rsid w:val="00362B2C"/>
    <w:rsid w:val="00362B3B"/>
    <w:rsid w:val="00362BBB"/>
    <w:rsid w:val="00362BCB"/>
    <w:rsid w:val="00362C8D"/>
    <w:rsid w:val="00362E81"/>
    <w:rsid w:val="00362F69"/>
    <w:rsid w:val="00363024"/>
    <w:rsid w:val="0036358B"/>
    <w:rsid w:val="003635B0"/>
    <w:rsid w:val="003635D0"/>
    <w:rsid w:val="00363C32"/>
    <w:rsid w:val="00363D16"/>
    <w:rsid w:val="00363E3B"/>
    <w:rsid w:val="00363ECD"/>
    <w:rsid w:val="00363F74"/>
    <w:rsid w:val="00364038"/>
    <w:rsid w:val="00364163"/>
    <w:rsid w:val="00364195"/>
    <w:rsid w:val="00364418"/>
    <w:rsid w:val="00364918"/>
    <w:rsid w:val="00364C7E"/>
    <w:rsid w:val="00365246"/>
    <w:rsid w:val="00365591"/>
    <w:rsid w:val="0036591A"/>
    <w:rsid w:val="00365BFF"/>
    <w:rsid w:val="00365CA6"/>
    <w:rsid w:val="00365E86"/>
    <w:rsid w:val="003660CF"/>
    <w:rsid w:val="003660E5"/>
    <w:rsid w:val="00366218"/>
    <w:rsid w:val="003662EC"/>
    <w:rsid w:val="003666D0"/>
    <w:rsid w:val="00366790"/>
    <w:rsid w:val="0036690C"/>
    <w:rsid w:val="00366BEF"/>
    <w:rsid w:val="00366C53"/>
    <w:rsid w:val="00366FAE"/>
    <w:rsid w:val="0036729D"/>
    <w:rsid w:val="00367430"/>
    <w:rsid w:val="003677BC"/>
    <w:rsid w:val="0036791E"/>
    <w:rsid w:val="003679C2"/>
    <w:rsid w:val="00367A50"/>
    <w:rsid w:val="003700C1"/>
    <w:rsid w:val="0037033F"/>
    <w:rsid w:val="00370380"/>
    <w:rsid w:val="003705E3"/>
    <w:rsid w:val="0037068F"/>
    <w:rsid w:val="00370AEC"/>
    <w:rsid w:val="00370B00"/>
    <w:rsid w:val="00370CDC"/>
    <w:rsid w:val="00370FA5"/>
    <w:rsid w:val="00370FAC"/>
    <w:rsid w:val="003717FC"/>
    <w:rsid w:val="00371966"/>
    <w:rsid w:val="00371B64"/>
    <w:rsid w:val="00371FDC"/>
    <w:rsid w:val="003726EB"/>
    <w:rsid w:val="00372982"/>
    <w:rsid w:val="00372B3D"/>
    <w:rsid w:val="00372CFB"/>
    <w:rsid w:val="00372D65"/>
    <w:rsid w:val="0037312E"/>
    <w:rsid w:val="00373549"/>
    <w:rsid w:val="00373557"/>
    <w:rsid w:val="0037368F"/>
    <w:rsid w:val="003736D8"/>
    <w:rsid w:val="00373845"/>
    <w:rsid w:val="003739A2"/>
    <w:rsid w:val="00373B7B"/>
    <w:rsid w:val="00374069"/>
    <w:rsid w:val="003741BE"/>
    <w:rsid w:val="003747F7"/>
    <w:rsid w:val="00374C0B"/>
    <w:rsid w:val="00374EA1"/>
    <w:rsid w:val="00374F5A"/>
    <w:rsid w:val="003752A3"/>
    <w:rsid w:val="00375432"/>
    <w:rsid w:val="003755C0"/>
    <w:rsid w:val="003756EB"/>
    <w:rsid w:val="00375979"/>
    <w:rsid w:val="00375C7E"/>
    <w:rsid w:val="00376171"/>
    <w:rsid w:val="003766B4"/>
    <w:rsid w:val="00376D90"/>
    <w:rsid w:val="00376E26"/>
    <w:rsid w:val="003771C8"/>
    <w:rsid w:val="00377396"/>
    <w:rsid w:val="0037763D"/>
    <w:rsid w:val="00377657"/>
    <w:rsid w:val="00377B7D"/>
    <w:rsid w:val="00377DB8"/>
    <w:rsid w:val="003801CD"/>
    <w:rsid w:val="00380306"/>
    <w:rsid w:val="003803F2"/>
    <w:rsid w:val="00380484"/>
    <w:rsid w:val="003804AD"/>
    <w:rsid w:val="003804F5"/>
    <w:rsid w:val="00380A04"/>
    <w:rsid w:val="00380A19"/>
    <w:rsid w:val="00380ABF"/>
    <w:rsid w:val="00380DB0"/>
    <w:rsid w:val="00380EF1"/>
    <w:rsid w:val="00380F09"/>
    <w:rsid w:val="00380F4F"/>
    <w:rsid w:val="00381035"/>
    <w:rsid w:val="00381207"/>
    <w:rsid w:val="0038149B"/>
    <w:rsid w:val="003818CC"/>
    <w:rsid w:val="00381AFE"/>
    <w:rsid w:val="00381B2F"/>
    <w:rsid w:val="00381B30"/>
    <w:rsid w:val="00381C53"/>
    <w:rsid w:val="00381E3A"/>
    <w:rsid w:val="003820C8"/>
    <w:rsid w:val="003823F1"/>
    <w:rsid w:val="0038258C"/>
    <w:rsid w:val="00382641"/>
    <w:rsid w:val="00382CD6"/>
    <w:rsid w:val="00382E03"/>
    <w:rsid w:val="00383204"/>
    <w:rsid w:val="003834B9"/>
    <w:rsid w:val="003834C8"/>
    <w:rsid w:val="003835BC"/>
    <w:rsid w:val="00383664"/>
    <w:rsid w:val="00383686"/>
    <w:rsid w:val="00383729"/>
    <w:rsid w:val="00383976"/>
    <w:rsid w:val="00383977"/>
    <w:rsid w:val="00383E84"/>
    <w:rsid w:val="0038401B"/>
    <w:rsid w:val="00384194"/>
    <w:rsid w:val="003843CB"/>
    <w:rsid w:val="00384554"/>
    <w:rsid w:val="003847C1"/>
    <w:rsid w:val="00384CE1"/>
    <w:rsid w:val="003855E5"/>
    <w:rsid w:val="0038562C"/>
    <w:rsid w:val="003859B3"/>
    <w:rsid w:val="003860ED"/>
    <w:rsid w:val="003861A7"/>
    <w:rsid w:val="00386316"/>
    <w:rsid w:val="00386770"/>
    <w:rsid w:val="003867D5"/>
    <w:rsid w:val="003867F9"/>
    <w:rsid w:val="0038688D"/>
    <w:rsid w:val="003868E9"/>
    <w:rsid w:val="0038693A"/>
    <w:rsid w:val="00386B01"/>
    <w:rsid w:val="00386D81"/>
    <w:rsid w:val="00386F01"/>
    <w:rsid w:val="003870BE"/>
    <w:rsid w:val="00387224"/>
    <w:rsid w:val="003872B6"/>
    <w:rsid w:val="00387527"/>
    <w:rsid w:val="0038771F"/>
    <w:rsid w:val="0038778E"/>
    <w:rsid w:val="003878D7"/>
    <w:rsid w:val="003879A9"/>
    <w:rsid w:val="00387BFB"/>
    <w:rsid w:val="00387D61"/>
    <w:rsid w:val="00387E97"/>
    <w:rsid w:val="00387EBB"/>
    <w:rsid w:val="00387F49"/>
    <w:rsid w:val="003900A7"/>
    <w:rsid w:val="00390101"/>
    <w:rsid w:val="0039054B"/>
    <w:rsid w:val="0039075D"/>
    <w:rsid w:val="00390BDE"/>
    <w:rsid w:val="00390C16"/>
    <w:rsid w:val="003911AA"/>
    <w:rsid w:val="00391A05"/>
    <w:rsid w:val="00391F1C"/>
    <w:rsid w:val="00392112"/>
    <w:rsid w:val="0039260F"/>
    <w:rsid w:val="0039267A"/>
    <w:rsid w:val="00392AE0"/>
    <w:rsid w:val="00392DE2"/>
    <w:rsid w:val="00392E87"/>
    <w:rsid w:val="00393202"/>
    <w:rsid w:val="0039351C"/>
    <w:rsid w:val="00393A17"/>
    <w:rsid w:val="00393B47"/>
    <w:rsid w:val="00393C47"/>
    <w:rsid w:val="00393CD8"/>
    <w:rsid w:val="0039404B"/>
    <w:rsid w:val="00394303"/>
    <w:rsid w:val="003945A1"/>
    <w:rsid w:val="00394776"/>
    <w:rsid w:val="00394EB5"/>
    <w:rsid w:val="003952CC"/>
    <w:rsid w:val="00395383"/>
    <w:rsid w:val="00395432"/>
    <w:rsid w:val="00395633"/>
    <w:rsid w:val="0039566B"/>
    <w:rsid w:val="00395743"/>
    <w:rsid w:val="00395A3D"/>
    <w:rsid w:val="00395A6C"/>
    <w:rsid w:val="00395C93"/>
    <w:rsid w:val="00395CF9"/>
    <w:rsid w:val="00396179"/>
    <w:rsid w:val="00396239"/>
    <w:rsid w:val="003970A5"/>
    <w:rsid w:val="0039730D"/>
    <w:rsid w:val="0039754B"/>
    <w:rsid w:val="00397938"/>
    <w:rsid w:val="00397A8A"/>
    <w:rsid w:val="00397BD7"/>
    <w:rsid w:val="003A0417"/>
    <w:rsid w:val="003A060E"/>
    <w:rsid w:val="003A0A12"/>
    <w:rsid w:val="003A0A76"/>
    <w:rsid w:val="003A0C07"/>
    <w:rsid w:val="003A0C0B"/>
    <w:rsid w:val="003A0DB9"/>
    <w:rsid w:val="003A1B76"/>
    <w:rsid w:val="003A2048"/>
    <w:rsid w:val="003A21CA"/>
    <w:rsid w:val="003A225A"/>
    <w:rsid w:val="003A23B6"/>
    <w:rsid w:val="003A2447"/>
    <w:rsid w:val="003A2668"/>
    <w:rsid w:val="003A272D"/>
    <w:rsid w:val="003A278D"/>
    <w:rsid w:val="003A2B8E"/>
    <w:rsid w:val="003A2CCC"/>
    <w:rsid w:val="003A2CF5"/>
    <w:rsid w:val="003A30EE"/>
    <w:rsid w:val="003A3961"/>
    <w:rsid w:val="003A398F"/>
    <w:rsid w:val="003A4609"/>
    <w:rsid w:val="003A461F"/>
    <w:rsid w:val="003A4732"/>
    <w:rsid w:val="003A4935"/>
    <w:rsid w:val="003A4979"/>
    <w:rsid w:val="003A4A54"/>
    <w:rsid w:val="003A4D2C"/>
    <w:rsid w:val="003A4F0C"/>
    <w:rsid w:val="003A5143"/>
    <w:rsid w:val="003A51B7"/>
    <w:rsid w:val="003A55E9"/>
    <w:rsid w:val="003A55FB"/>
    <w:rsid w:val="003A5A3F"/>
    <w:rsid w:val="003A5D1E"/>
    <w:rsid w:val="003A5DEB"/>
    <w:rsid w:val="003A5FEF"/>
    <w:rsid w:val="003A610D"/>
    <w:rsid w:val="003A6226"/>
    <w:rsid w:val="003A642E"/>
    <w:rsid w:val="003A655A"/>
    <w:rsid w:val="003A6579"/>
    <w:rsid w:val="003A65B0"/>
    <w:rsid w:val="003A666B"/>
    <w:rsid w:val="003A67E1"/>
    <w:rsid w:val="003A67F8"/>
    <w:rsid w:val="003A6947"/>
    <w:rsid w:val="003A6BB5"/>
    <w:rsid w:val="003A6CA2"/>
    <w:rsid w:val="003A6DB7"/>
    <w:rsid w:val="003A6EEC"/>
    <w:rsid w:val="003A6FA5"/>
    <w:rsid w:val="003A71FF"/>
    <w:rsid w:val="003A73F4"/>
    <w:rsid w:val="003A76F6"/>
    <w:rsid w:val="003A7999"/>
    <w:rsid w:val="003A7E12"/>
    <w:rsid w:val="003B0176"/>
    <w:rsid w:val="003B017F"/>
    <w:rsid w:val="003B01FD"/>
    <w:rsid w:val="003B0244"/>
    <w:rsid w:val="003B02AA"/>
    <w:rsid w:val="003B06F3"/>
    <w:rsid w:val="003B0967"/>
    <w:rsid w:val="003B0BE7"/>
    <w:rsid w:val="003B0D55"/>
    <w:rsid w:val="003B12FF"/>
    <w:rsid w:val="003B17DE"/>
    <w:rsid w:val="003B1AEB"/>
    <w:rsid w:val="003B1D42"/>
    <w:rsid w:val="003B1E32"/>
    <w:rsid w:val="003B24D8"/>
    <w:rsid w:val="003B27F2"/>
    <w:rsid w:val="003B2D0E"/>
    <w:rsid w:val="003B2F0A"/>
    <w:rsid w:val="003B32C9"/>
    <w:rsid w:val="003B34BD"/>
    <w:rsid w:val="003B3713"/>
    <w:rsid w:val="003B385E"/>
    <w:rsid w:val="003B3954"/>
    <w:rsid w:val="003B3A48"/>
    <w:rsid w:val="003B3A7B"/>
    <w:rsid w:val="003B3C8F"/>
    <w:rsid w:val="003B3EF0"/>
    <w:rsid w:val="003B4101"/>
    <w:rsid w:val="003B4173"/>
    <w:rsid w:val="003B4214"/>
    <w:rsid w:val="003B4254"/>
    <w:rsid w:val="003B46FC"/>
    <w:rsid w:val="003B480E"/>
    <w:rsid w:val="003B4C8C"/>
    <w:rsid w:val="003B4F22"/>
    <w:rsid w:val="003B4F52"/>
    <w:rsid w:val="003B5048"/>
    <w:rsid w:val="003B5064"/>
    <w:rsid w:val="003B50E6"/>
    <w:rsid w:val="003B52E2"/>
    <w:rsid w:val="003B5992"/>
    <w:rsid w:val="003B5AD7"/>
    <w:rsid w:val="003B5D22"/>
    <w:rsid w:val="003B5EF6"/>
    <w:rsid w:val="003B6280"/>
    <w:rsid w:val="003B64E7"/>
    <w:rsid w:val="003B6712"/>
    <w:rsid w:val="003B6CA4"/>
    <w:rsid w:val="003B736E"/>
    <w:rsid w:val="003B73C5"/>
    <w:rsid w:val="003B75A7"/>
    <w:rsid w:val="003B75C5"/>
    <w:rsid w:val="003B76A4"/>
    <w:rsid w:val="003B7912"/>
    <w:rsid w:val="003B7CE4"/>
    <w:rsid w:val="003B7EC7"/>
    <w:rsid w:val="003C039F"/>
    <w:rsid w:val="003C0892"/>
    <w:rsid w:val="003C08C3"/>
    <w:rsid w:val="003C0B17"/>
    <w:rsid w:val="003C0B61"/>
    <w:rsid w:val="003C0E79"/>
    <w:rsid w:val="003C0EC2"/>
    <w:rsid w:val="003C0F19"/>
    <w:rsid w:val="003C0F7D"/>
    <w:rsid w:val="003C11ED"/>
    <w:rsid w:val="003C12C1"/>
    <w:rsid w:val="003C1316"/>
    <w:rsid w:val="003C1508"/>
    <w:rsid w:val="003C16B9"/>
    <w:rsid w:val="003C1710"/>
    <w:rsid w:val="003C1AC8"/>
    <w:rsid w:val="003C1B8C"/>
    <w:rsid w:val="003C1C19"/>
    <w:rsid w:val="003C1C71"/>
    <w:rsid w:val="003C1CF7"/>
    <w:rsid w:val="003C1DF8"/>
    <w:rsid w:val="003C216C"/>
    <w:rsid w:val="003C27F9"/>
    <w:rsid w:val="003C3091"/>
    <w:rsid w:val="003C3378"/>
    <w:rsid w:val="003C3442"/>
    <w:rsid w:val="003C34D4"/>
    <w:rsid w:val="003C3915"/>
    <w:rsid w:val="003C39A9"/>
    <w:rsid w:val="003C3FA9"/>
    <w:rsid w:val="003C41E1"/>
    <w:rsid w:val="003C4313"/>
    <w:rsid w:val="003C44FE"/>
    <w:rsid w:val="003C47B1"/>
    <w:rsid w:val="003C47BE"/>
    <w:rsid w:val="003C4BCF"/>
    <w:rsid w:val="003C4D75"/>
    <w:rsid w:val="003C4FED"/>
    <w:rsid w:val="003C5194"/>
    <w:rsid w:val="003C5427"/>
    <w:rsid w:val="003C5606"/>
    <w:rsid w:val="003C56E1"/>
    <w:rsid w:val="003C57B3"/>
    <w:rsid w:val="003C5CD4"/>
    <w:rsid w:val="003C5D29"/>
    <w:rsid w:val="003C625F"/>
    <w:rsid w:val="003C6475"/>
    <w:rsid w:val="003C6624"/>
    <w:rsid w:val="003C67B7"/>
    <w:rsid w:val="003C6982"/>
    <w:rsid w:val="003C6A4C"/>
    <w:rsid w:val="003C6C72"/>
    <w:rsid w:val="003C6F65"/>
    <w:rsid w:val="003C721B"/>
    <w:rsid w:val="003C7226"/>
    <w:rsid w:val="003C7247"/>
    <w:rsid w:val="003C7252"/>
    <w:rsid w:val="003C78CC"/>
    <w:rsid w:val="003C79A7"/>
    <w:rsid w:val="003C7BB3"/>
    <w:rsid w:val="003D026B"/>
    <w:rsid w:val="003D067E"/>
    <w:rsid w:val="003D089D"/>
    <w:rsid w:val="003D0F65"/>
    <w:rsid w:val="003D110D"/>
    <w:rsid w:val="003D1287"/>
    <w:rsid w:val="003D175C"/>
    <w:rsid w:val="003D1BB5"/>
    <w:rsid w:val="003D1DE8"/>
    <w:rsid w:val="003D1E79"/>
    <w:rsid w:val="003D1E83"/>
    <w:rsid w:val="003D1FDB"/>
    <w:rsid w:val="003D243D"/>
    <w:rsid w:val="003D2623"/>
    <w:rsid w:val="003D263B"/>
    <w:rsid w:val="003D29BD"/>
    <w:rsid w:val="003D29DA"/>
    <w:rsid w:val="003D29F4"/>
    <w:rsid w:val="003D3177"/>
    <w:rsid w:val="003D31AD"/>
    <w:rsid w:val="003D33AC"/>
    <w:rsid w:val="003D3611"/>
    <w:rsid w:val="003D3CCD"/>
    <w:rsid w:val="003D4212"/>
    <w:rsid w:val="003D4222"/>
    <w:rsid w:val="003D4561"/>
    <w:rsid w:val="003D45D8"/>
    <w:rsid w:val="003D46A3"/>
    <w:rsid w:val="003D46F5"/>
    <w:rsid w:val="003D4A2B"/>
    <w:rsid w:val="003D4A79"/>
    <w:rsid w:val="003D5082"/>
    <w:rsid w:val="003D51EF"/>
    <w:rsid w:val="003D54FF"/>
    <w:rsid w:val="003D55A3"/>
    <w:rsid w:val="003D56B5"/>
    <w:rsid w:val="003D5821"/>
    <w:rsid w:val="003D595F"/>
    <w:rsid w:val="003D5A2C"/>
    <w:rsid w:val="003D5A73"/>
    <w:rsid w:val="003D5B9E"/>
    <w:rsid w:val="003D5EB8"/>
    <w:rsid w:val="003D6395"/>
    <w:rsid w:val="003D65C5"/>
    <w:rsid w:val="003D6743"/>
    <w:rsid w:val="003D6FFC"/>
    <w:rsid w:val="003D72BB"/>
    <w:rsid w:val="003D7823"/>
    <w:rsid w:val="003D785D"/>
    <w:rsid w:val="003D7A2F"/>
    <w:rsid w:val="003E0041"/>
    <w:rsid w:val="003E063E"/>
    <w:rsid w:val="003E0976"/>
    <w:rsid w:val="003E09B6"/>
    <w:rsid w:val="003E0AC6"/>
    <w:rsid w:val="003E0F5B"/>
    <w:rsid w:val="003E0FFB"/>
    <w:rsid w:val="003E117B"/>
    <w:rsid w:val="003E12A8"/>
    <w:rsid w:val="003E1453"/>
    <w:rsid w:val="003E15F8"/>
    <w:rsid w:val="003E17FB"/>
    <w:rsid w:val="003E1A50"/>
    <w:rsid w:val="003E1C43"/>
    <w:rsid w:val="003E1DF3"/>
    <w:rsid w:val="003E1E29"/>
    <w:rsid w:val="003E20B0"/>
    <w:rsid w:val="003E2121"/>
    <w:rsid w:val="003E232F"/>
    <w:rsid w:val="003E2331"/>
    <w:rsid w:val="003E23C0"/>
    <w:rsid w:val="003E2509"/>
    <w:rsid w:val="003E2BA7"/>
    <w:rsid w:val="003E317D"/>
    <w:rsid w:val="003E3458"/>
    <w:rsid w:val="003E35CF"/>
    <w:rsid w:val="003E385D"/>
    <w:rsid w:val="003E390A"/>
    <w:rsid w:val="003E3A5A"/>
    <w:rsid w:val="003E3A89"/>
    <w:rsid w:val="003E3DB1"/>
    <w:rsid w:val="003E42AA"/>
    <w:rsid w:val="003E4767"/>
    <w:rsid w:val="003E4B37"/>
    <w:rsid w:val="003E4BA9"/>
    <w:rsid w:val="003E5106"/>
    <w:rsid w:val="003E54A6"/>
    <w:rsid w:val="003E57F3"/>
    <w:rsid w:val="003E5914"/>
    <w:rsid w:val="003E5A95"/>
    <w:rsid w:val="003E5C9C"/>
    <w:rsid w:val="003E5DA1"/>
    <w:rsid w:val="003E5E1C"/>
    <w:rsid w:val="003E6018"/>
    <w:rsid w:val="003E60B7"/>
    <w:rsid w:val="003E669C"/>
    <w:rsid w:val="003E6878"/>
    <w:rsid w:val="003E68BE"/>
    <w:rsid w:val="003E6924"/>
    <w:rsid w:val="003E6A55"/>
    <w:rsid w:val="003E6B91"/>
    <w:rsid w:val="003E6CCB"/>
    <w:rsid w:val="003E6D6E"/>
    <w:rsid w:val="003E71E4"/>
    <w:rsid w:val="003E73EB"/>
    <w:rsid w:val="003E7A37"/>
    <w:rsid w:val="003E7AF5"/>
    <w:rsid w:val="003E7D18"/>
    <w:rsid w:val="003E7E68"/>
    <w:rsid w:val="003F0231"/>
    <w:rsid w:val="003F02F2"/>
    <w:rsid w:val="003F02F5"/>
    <w:rsid w:val="003F07B3"/>
    <w:rsid w:val="003F086D"/>
    <w:rsid w:val="003F0B4E"/>
    <w:rsid w:val="003F0DB6"/>
    <w:rsid w:val="003F0DE3"/>
    <w:rsid w:val="003F0EAC"/>
    <w:rsid w:val="003F12A4"/>
    <w:rsid w:val="003F13DF"/>
    <w:rsid w:val="003F1660"/>
    <w:rsid w:val="003F1B6E"/>
    <w:rsid w:val="003F1E80"/>
    <w:rsid w:val="003F2030"/>
    <w:rsid w:val="003F23BA"/>
    <w:rsid w:val="003F2558"/>
    <w:rsid w:val="003F285C"/>
    <w:rsid w:val="003F2A6D"/>
    <w:rsid w:val="003F2D13"/>
    <w:rsid w:val="003F2E60"/>
    <w:rsid w:val="003F2EAC"/>
    <w:rsid w:val="003F3307"/>
    <w:rsid w:val="003F3709"/>
    <w:rsid w:val="003F3965"/>
    <w:rsid w:val="003F3B22"/>
    <w:rsid w:val="003F3D06"/>
    <w:rsid w:val="003F3DD6"/>
    <w:rsid w:val="003F4389"/>
    <w:rsid w:val="003F457E"/>
    <w:rsid w:val="003F4A78"/>
    <w:rsid w:val="003F4B24"/>
    <w:rsid w:val="003F4FD9"/>
    <w:rsid w:val="003F4FFE"/>
    <w:rsid w:val="003F51EC"/>
    <w:rsid w:val="003F5302"/>
    <w:rsid w:val="003F552E"/>
    <w:rsid w:val="003F568A"/>
    <w:rsid w:val="003F571E"/>
    <w:rsid w:val="003F5797"/>
    <w:rsid w:val="003F5861"/>
    <w:rsid w:val="003F5EBA"/>
    <w:rsid w:val="003F5F2A"/>
    <w:rsid w:val="003F5F84"/>
    <w:rsid w:val="003F6129"/>
    <w:rsid w:val="003F62FB"/>
    <w:rsid w:val="003F645C"/>
    <w:rsid w:val="003F64F2"/>
    <w:rsid w:val="003F65BD"/>
    <w:rsid w:val="003F660E"/>
    <w:rsid w:val="003F6684"/>
    <w:rsid w:val="003F683C"/>
    <w:rsid w:val="003F6C6E"/>
    <w:rsid w:val="003F6C8C"/>
    <w:rsid w:val="003F6CE4"/>
    <w:rsid w:val="003F6DC7"/>
    <w:rsid w:val="003F7101"/>
    <w:rsid w:val="003F712B"/>
    <w:rsid w:val="003F7272"/>
    <w:rsid w:val="003F7558"/>
    <w:rsid w:val="003F75FE"/>
    <w:rsid w:val="003F7B08"/>
    <w:rsid w:val="003F7C24"/>
    <w:rsid w:val="003F7E3C"/>
    <w:rsid w:val="003F7E46"/>
    <w:rsid w:val="00400330"/>
    <w:rsid w:val="0040056E"/>
    <w:rsid w:val="00400848"/>
    <w:rsid w:val="00400B48"/>
    <w:rsid w:val="00400CBB"/>
    <w:rsid w:val="00400FE4"/>
    <w:rsid w:val="004010B7"/>
    <w:rsid w:val="00401236"/>
    <w:rsid w:val="004012B2"/>
    <w:rsid w:val="00401307"/>
    <w:rsid w:val="00401371"/>
    <w:rsid w:val="004013BA"/>
    <w:rsid w:val="00401778"/>
    <w:rsid w:val="004019F1"/>
    <w:rsid w:val="00401BBA"/>
    <w:rsid w:val="00401D2A"/>
    <w:rsid w:val="00401FEB"/>
    <w:rsid w:val="00402010"/>
    <w:rsid w:val="00402879"/>
    <w:rsid w:val="00402D0C"/>
    <w:rsid w:val="00402E14"/>
    <w:rsid w:val="004031E5"/>
    <w:rsid w:val="00403553"/>
    <w:rsid w:val="00403715"/>
    <w:rsid w:val="004038B7"/>
    <w:rsid w:val="00403B8F"/>
    <w:rsid w:val="0040441D"/>
    <w:rsid w:val="004046B0"/>
    <w:rsid w:val="00404861"/>
    <w:rsid w:val="00404F2A"/>
    <w:rsid w:val="00405010"/>
    <w:rsid w:val="0040541A"/>
    <w:rsid w:val="0040592B"/>
    <w:rsid w:val="00405AE6"/>
    <w:rsid w:val="00405B6A"/>
    <w:rsid w:val="00405E1D"/>
    <w:rsid w:val="00405EA0"/>
    <w:rsid w:val="00405F55"/>
    <w:rsid w:val="004060AF"/>
    <w:rsid w:val="004064CB"/>
    <w:rsid w:val="00406B6C"/>
    <w:rsid w:val="00406D62"/>
    <w:rsid w:val="00406EC9"/>
    <w:rsid w:val="004070EB"/>
    <w:rsid w:val="0040739C"/>
    <w:rsid w:val="0040745C"/>
    <w:rsid w:val="00407A30"/>
    <w:rsid w:val="00407AD3"/>
    <w:rsid w:val="00407BAE"/>
    <w:rsid w:val="00410138"/>
    <w:rsid w:val="004105DE"/>
    <w:rsid w:val="004105FD"/>
    <w:rsid w:val="0041068A"/>
    <w:rsid w:val="00410843"/>
    <w:rsid w:val="0041085A"/>
    <w:rsid w:val="00410C8E"/>
    <w:rsid w:val="00410D40"/>
    <w:rsid w:val="00411433"/>
    <w:rsid w:val="00411DD7"/>
    <w:rsid w:val="0041238B"/>
    <w:rsid w:val="00412591"/>
    <w:rsid w:val="00412687"/>
    <w:rsid w:val="00412712"/>
    <w:rsid w:val="004127E3"/>
    <w:rsid w:val="004129F9"/>
    <w:rsid w:val="00412AC2"/>
    <w:rsid w:val="00412BB1"/>
    <w:rsid w:val="00412C31"/>
    <w:rsid w:val="00412C86"/>
    <w:rsid w:val="00412DF8"/>
    <w:rsid w:val="004130B4"/>
    <w:rsid w:val="00413265"/>
    <w:rsid w:val="004136E5"/>
    <w:rsid w:val="004137AD"/>
    <w:rsid w:val="00413A9E"/>
    <w:rsid w:val="00413B4C"/>
    <w:rsid w:val="00413D13"/>
    <w:rsid w:val="00413E8F"/>
    <w:rsid w:val="00414165"/>
    <w:rsid w:val="004141F8"/>
    <w:rsid w:val="0041420A"/>
    <w:rsid w:val="0041424B"/>
    <w:rsid w:val="00414533"/>
    <w:rsid w:val="00414538"/>
    <w:rsid w:val="004145B6"/>
    <w:rsid w:val="004145E7"/>
    <w:rsid w:val="004146DA"/>
    <w:rsid w:val="00414973"/>
    <w:rsid w:val="00414AA2"/>
    <w:rsid w:val="00415853"/>
    <w:rsid w:val="004158AD"/>
    <w:rsid w:val="00415903"/>
    <w:rsid w:val="00415B1A"/>
    <w:rsid w:val="00415C3D"/>
    <w:rsid w:val="00415F96"/>
    <w:rsid w:val="004160B8"/>
    <w:rsid w:val="004161A9"/>
    <w:rsid w:val="004164E6"/>
    <w:rsid w:val="00416713"/>
    <w:rsid w:val="0041675A"/>
    <w:rsid w:val="004167D1"/>
    <w:rsid w:val="004169D6"/>
    <w:rsid w:val="00416ACC"/>
    <w:rsid w:val="00416E53"/>
    <w:rsid w:val="004172B5"/>
    <w:rsid w:val="00417546"/>
    <w:rsid w:val="00417927"/>
    <w:rsid w:val="00417A5B"/>
    <w:rsid w:val="00417C1D"/>
    <w:rsid w:val="00417CFF"/>
    <w:rsid w:val="00417D50"/>
    <w:rsid w:val="00417DD5"/>
    <w:rsid w:val="00420066"/>
    <w:rsid w:val="00420235"/>
    <w:rsid w:val="00420319"/>
    <w:rsid w:val="00420590"/>
    <w:rsid w:val="004208DF"/>
    <w:rsid w:val="00420A64"/>
    <w:rsid w:val="00420D63"/>
    <w:rsid w:val="00420F6B"/>
    <w:rsid w:val="004212DB"/>
    <w:rsid w:val="0042130F"/>
    <w:rsid w:val="00421352"/>
    <w:rsid w:val="00421501"/>
    <w:rsid w:val="00421757"/>
    <w:rsid w:val="004217DC"/>
    <w:rsid w:val="00421F0C"/>
    <w:rsid w:val="00421F62"/>
    <w:rsid w:val="00422212"/>
    <w:rsid w:val="0042262B"/>
    <w:rsid w:val="00422A9E"/>
    <w:rsid w:val="00422C43"/>
    <w:rsid w:val="00422C51"/>
    <w:rsid w:val="00422C91"/>
    <w:rsid w:val="00422D89"/>
    <w:rsid w:val="0042324C"/>
    <w:rsid w:val="00423321"/>
    <w:rsid w:val="00423388"/>
    <w:rsid w:val="00423823"/>
    <w:rsid w:val="004239C4"/>
    <w:rsid w:val="00423AAE"/>
    <w:rsid w:val="00423C84"/>
    <w:rsid w:val="00423CE4"/>
    <w:rsid w:val="00423EB5"/>
    <w:rsid w:val="004240D3"/>
    <w:rsid w:val="0042419F"/>
    <w:rsid w:val="00424726"/>
    <w:rsid w:val="004248CB"/>
    <w:rsid w:val="004249E7"/>
    <w:rsid w:val="00424C1B"/>
    <w:rsid w:val="00424ECF"/>
    <w:rsid w:val="00424F83"/>
    <w:rsid w:val="00424FA7"/>
    <w:rsid w:val="0042531F"/>
    <w:rsid w:val="0042538E"/>
    <w:rsid w:val="00425682"/>
    <w:rsid w:val="00425A1D"/>
    <w:rsid w:val="00425A9F"/>
    <w:rsid w:val="00425B1C"/>
    <w:rsid w:val="00426420"/>
    <w:rsid w:val="00426986"/>
    <w:rsid w:val="00426A34"/>
    <w:rsid w:val="00426BB1"/>
    <w:rsid w:val="00426DE9"/>
    <w:rsid w:val="00426EDB"/>
    <w:rsid w:val="00427118"/>
    <w:rsid w:val="004275AF"/>
    <w:rsid w:val="00427E52"/>
    <w:rsid w:val="004300B9"/>
    <w:rsid w:val="00430105"/>
    <w:rsid w:val="0043012C"/>
    <w:rsid w:val="0043033A"/>
    <w:rsid w:val="00430802"/>
    <w:rsid w:val="004308E1"/>
    <w:rsid w:val="00430A7B"/>
    <w:rsid w:val="00430AD0"/>
    <w:rsid w:val="00430B13"/>
    <w:rsid w:val="00430D51"/>
    <w:rsid w:val="00430E22"/>
    <w:rsid w:val="00430F22"/>
    <w:rsid w:val="004310D0"/>
    <w:rsid w:val="00431196"/>
    <w:rsid w:val="004313A1"/>
    <w:rsid w:val="004313AC"/>
    <w:rsid w:val="004315DF"/>
    <w:rsid w:val="00431668"/>
    <w:rsid w:val="00431916"/>
    <w:rsid w:val="00431A07"/>
    <w:rsid w:val="00431B21"/>
    <w:rsid w:val="00431B9B"/>
    <w:rsid w:val="00431C6E"/>
    <w:rsid w:val="00431F4F"/>
    <w:rsid w:val="00431FAA"/>
    <w:rsid w:val="004326CD"/>
    <w:rsid w:val="00432848"/>
    <w:rsid w:val="00432C3F"/>
    <w:rsid w:val="0043302B"/>
    <w:rsid w:val="0043347F"/>
    <w:rsid w:val="004334F1"/>
    <w:rsid w:val="00433559"/>
    <w:rsid w:val="00433869"/>
    <w:rsid w:val="0043389B"/>
    <w:rsid w:val="004338BD"/>
    <w:rsid w:val="00433D63"/>
    <w:rsid w:val="00434337"/>
    <w:rsid w:val="00434494"/>
    <w:rsid w:val="004346C4"/>
    <w:rsid w:val="00434805"/>
    <w:rsid w:val="00434DFC"/>
    <w:rsid w:val="00434F31"/>
    <w:rsid w:val="00434F75"/>
    <w:rsid w:val="0043502A"/>
    <w:rsid w:val="00435039"/>
    <w:rsid w:val="00435108"/>
    <w:rsid w:val="0043511D"/>
    <w:rsid w:val="004356D3"/>
    <w:rsid w:val="00435AAA"/>
    <w:rsid w:val="00435B66"/>
    <w:rsid w:val="00435CDD"/>
    <w:rsid w:val="00435E7F"/>
    <w:rsid w:val="004361E3"/>
    <w:rsid w:val="00436466"/>
    <w:rsid w:val="00436787"/>
    <w:rsid w:val="004369D2"/>
    <w:rsid w:val="00436AF7"/>
    <w:rsid w:val="00436DF4"/>
    <w:rsid w:val="00436FB2"/>
    <w:rsid w:val="004370D4"/>
    <w:rsid w:val="004371A0"/>
    <w:rsid w:val="004373D2"/>
    <w:rsid w:val="004375C6"/>
    <w:rsid w:val="004401E9"/>
    <w:rsid w:val="004402C2"/>
    <w:rsid w:val="00440368"/>
    <w:rsid w:val="00440499"/>
    <w:rsid w:val="004404D8"/>
    <w:rsid w:val="004405DC"/>
    <w:rsid w:val="00440BE0"/>
    <w:rsid w:val="00440BFB"/>
    <w:rsid w:val="00440C23"/>
    <w:rsid w:val="004411F5"/>
    <w:rsid w:val="0044121B"/>
    <w:rsid w:val="00441258"/>
    <w:rsid w:val="00441435"/>
    <w:rsid w:val="00441720"/>
    <w:rsid w:val="004417DE"/>
    <w:rsid w:val="0044191A"/>
    <w:rsid w:val="00441AD8"/>
    <w:rsid w:val="00441B1E"/>
    <w:rsid w:val="00441B24"/>
    <w:rsid w:val="00441D5E"/>
    <w:rsid w:val="0044227D"/>
    <w:rsid w:val="004424C9"/>
    <w:rsid w:val="004424ED"/>
    <w:rsid w:val="004425EA"/>
    <w:rsid w:val="00442644"/>
    <w:rsid w:val="004428EE"/>
    <w:rsid w:val="0044297D"/>
    <w:rsid w:val="00442A1B"/>
    <w:rsid w:val="00442B0B"/>
    <w:rsid w:val="00442B40"/>
    <w:rsid w:val="00443327"/>
    <w:rsid w:val="00443507"/>
    <w:rsid w:val="004439CD"/>
    <w:rsid w:val="00443CCA"/>
    <w:rsid w:val="00444440"/>
    <w:rsid w:val="004445B9"/>
    <w:rsid w:val="00444759"/>
    <w:rsid w:val="00444A47"/>
    <w:rsid w:val="00444C4D"/>
    <w:rsid w:val="00444CF7"/>
    <w:rsid w:val="00444D07"/>
    <w:rsid w:val="00444DC0"/>
    <w:rsid w:val="004450A2"/>
    <w:rsid w:val="004450C9"/>
    <w:rsid w:val="00445196"/>
    <w:rsid w:val="00445593"/>
    <w:rsid w:val="0044573B"/>
    <w:rsid w:val="00445908"/>
    <w:rsid w:val="004459AA"/>
    <w:rsid w:val="00445A73"/>
    <w:rsid w:val="00445E5D"/>
    <w:rsid w:val="00445F0E"/>
    <w:rsid w:val="0044609E"/>
    <w:rsid w:val="004462A9"/>
    <w:rsid w:val="004463B8"/>
    <w:rsid w:val="004464AB"/>
    <w:rsid w:val="004464B8"/>
    <w:rsid w:val="00446D1F"/>
    <w:rsid w:val="00446EB6"/>
    <w:rsid w:val="00447123"/>
    <w:rsid w:val="00447226"/>
    <w:rsid w:val="004474C5"/>
    <w:rsid w:val="00447518"/>
    <w:rsid w:val="00447527"/>
    <w:rsid w:val="00447892"/>
    <w:rsid w:val="004478FD"/>
    <w:rsid w:val="00447AE3"/>
    <w:rsid w:val="00447B8C"/>
    <w:rsid w:val="00447CAA"/>
    <w:rsid w:val="00447F6A"/>
    <w:rsid w:val="00450445"/>
    <w:rsid w:val="004506CA"/>
    <w:rsid w:val="004506F0"/>
    <w:rsid w:val="00450A82"/>
    <w:rsid w:val="00450B43"/>
    <w:rsid w:val="00450C01"/>
    <w:rsid w:val="00450E20"/>
    <w:rsid w:val="00451059"/>
    <w:rsid w:val="004510C4"/>
    <w:rsid w:val="00451200"/>
    <w:rsid w:val="004513F3"/>
    <w:rsid w:val="0045171A"/>
    <w:rsid w:val="0045185F"/>
    <w:rsid w:val="004518EC"/>
    <w:rsid w:val="00451A37"/>
    <w:rsid w:val="00451B4A"/>
    <w:rsid w:val="00451DA7"/>
    <w:rsid w:val="00451DC1"/>
    <w:rsid w:val="0045228C"/>
    <w:rsid w:val="0045235C"/>
    <w:rsid w:val="00452728"/>
    <w:rsid w:val="004527B3"/>
    <w:rsid w:val="004527FE"/>
    <w:rsid w:val="00452852"/>
    <w:rsid w:val="004529B0"/>
    <w:rsid w:val="00452B87"/>
    <w:rsid w:val="00452BCC"/>
    <w:rsid w:val="00452E18"/>
    <w:rsid w:val="00453181"/>
    <w:rsid w:val="0045339E"/>
    <w:rsid w:val="004537D6"/>
    <w:rsid w:val="0045390C"/>
    <w:rsid w:val="004539BF"/>
    <w:rsid w:val="00453A1E"/>
    <w:rsid w:val="00453BFF"/>
    <w:rsid w:val="00453CCF"/>
    <w:rsid w:val="00453CD5"/>
    <w:rsid w:val="00454044"/>
    <w:rsid w:val="004542F0"/>
    <w:rsid w:val="00454382"/>
    <w:rsid w:val="004549DB"/>
    <w:rsid w:val="00454A8B"/>
    <w:rsid w:val="00454D86"/>
    <w:rsid w:val="00455043"/>
    <w:rsid w:val="00455178"/>
    <w:rsid w:val="004553B0"/>
    <w:rsid w:val="004553B3"/>
    <w:rsid w:val="0045553E"/>
    <w:rsid w:val="00455CBD"/>
    <w:rsid w:val="00455E11"/>
    <w:rsid w:val="00455FBB"/>
    <w:rsid w:val="00455FC0"/>
    <w:rsid w:val="0045637C"/>
    <w:rsid w:val="00456603"/>
    <w:rsid w:val="004566C4"/>
    <w:rsid w:val="00456728"/>
    <w:rsid w:val="00456962"/>
    <w:rsid w:val="00456B84"/>
    <w:rsid w:val="00456DC9"/>
    <w:rsid w:val="00456EEB"/>
    <w:rsid w:val="00456EFF"/>
    <w:rsid w:val="00456F5E"/>
    <w:rsid w:val="00456F8F"/>
    <w:rsid w:val="00456FD8"/>
    <w:rsid w:val="0045717F"/>
    <w:rsid w:val="00457183"/>
    <w:rsid w:val="004579A1"/>
    <w:rsid w:val="00457A09"/>
    <w:rsid w:val="00457C8B"/>
    <w:rsid w:val="00457EAB"/>
    <w:rsid w:val="00457FD6"/>
    <w:rsid w:val="00460025"/>
    <w:rsid w:val="00460128"/>
    <w:rsid w:val="004601C2"/>
    <w:rsid w:val="00460491"/>
    <w:rsid w:val="004604B6"/>
    <w:rsid w:val="0046087A"/>
    <w:rsid w:val="004609BB"/>
    <w:rsid w:val="00460C85"/>
    <w:rsid w:val="004610F7"/>
    <w:rsid w:val="004611FE"/>
    <w:rsid w:val="00461247"/>
    <w:rsid w:val="0046131A"/>
    <w:rsid w:val="00461412"/>
    <w:rsid w:val="0046147F"/>
    <w:rsid w:val="0046190B"/>
    <w:rsid w:val="00461CAC"/>
    <w:rsid w:val="00461D84"/>
    <w:rsid w:val="00461F06"/>
    <w:rsid w:val="004624CA"/>
    <w:rsid w:val="0046277E"/>
    <w:rsid w:val="00462AA4"/>
    <w:rsid w:val="00462B96"/>
    <w:rsid w:val="00462CB9"/>
    <w:rsid w:val="00462D7C"/>
    <w:rsid w:val="00462EF8"/>
    <w:rsid w:val="00462F28"/>
    <w:rsid w:val="00463430"/>
    <w:rsid w:val="0046369F"/>
    <w:rsid w:val="00463754"/>
    <w:rsid w:val="004638D6"/>
    <w:rsid w:val="00463B1B"/>
    <w:rsid w:val="00463BAC"/>
    <w:rsid w:val="00463F90"/>
    <w:rsid w:val="0046427D"/>
    <w:rsid w:val="004642C3"/>
    <w:rsid w:val="00464316"/>
    <w:rsid w:val="00464992"/>
    <w:rsid w:val="00464A21"/>
    <w:rsid w:val="00464D64"/>
    <w:rsid w:val="00464FFE"/>
    <w:rsid w:val="0046517D"/>
    <w:rsid w:val="0046522D"/>
    <w:rsid w:val="004655EB"/>
    <w:rsid w:val="0046578A"/>
    <w:rsid w:val="004657B8"/>
    <w:rsid w:val="00465915"/>
    <w:rsid w:val="00465A52"/>
    <w:rsid w:val="00465BA9"/>
    <w:rsid w:val="00465D3C"/>
    <w:rsid w:val="0046606E"/>
    <w:rsid w:val="004660F5"/>
    <w:rsid w:val="00466833"/>
    <w:rsid w:val="00466A85"/>
    <w:rsid w:val="00466AFD"/>
    <w:rsid w:val="00466B61"/>
    <w:rsid w:val="00467A13"/>
    <w:rsid w:val="00467AF0"/>
    <w:rsid w:val="00467B90"/>
    <w:rsid w:val="00467D3D"/>
    <w:rsid w:val="00470227"/>
    <w:rsid w:val="0047048D"/>
    <w:rsid w:val="00470899"/>
    <w:rsid w:val="00470A6C"/>
    <w:rsid w:val="00470C37"/>
    <w:rsid w:val="00470D4D"/>
    <w:rsid w:val="00470D61"/>
    <w:rsid w:val="00470ED3"/>
    <w:rsid w:val="00471367"/>
    <w:rsid w:val="004715C0"/>
    <w:rsid w:val="004718E5"/>
    <w:rsid w:val="004718E8"/>
    <w:rsid w:val="00471F14"/>
    <w:rsid w:val="004721A5"/>
    <w:rsid w:val="00472261"/>
    <w:rsid w:val="0047252C"/>
    <w:rsid w:val="0047296C"/>
    <w:rsid w:val="00472B48"/>
    <w:rsid w:val="00472F0F"/>
    <w:rsid w:val="004738A9"/>
    <w:rsid w:val="004738F6"/>
    <w:rsid w:val="00473A21"/>
    <w:rsid w:val="00473A74"/>
    <w:rsid w:val="00473C18"/>
    <w:rsid w:val="00473C76"/>
    <w:rsid w:val="00473E9A"/>
    <w:rsid w:val="00473E9C"/>
    <w:rsid w:val="004745E2"/>
    <w:rsid w:val="004746ED"/>
    <w:rsid w:val="00474756"/>
    <w:rsid w:val="004747BE"/>
    <w:rsid w:val="00474C3E"/>
    <w:rsid w:val="00474CB7"/>
    <w:rsid w:val="00474DA9"/>
    <w:rsid w:val="0047549A"/>
    <w:rsid w:val="004755FE"/>
    <w:rsid w:val="0047563E"/>
    <w:rsid w:val="0047564E"/>
    <w:rsid w:val="004758C2"/>
    <w:rsid w:val="00475921"/>
    <w:rsid w:val="00475B1E"/>
    <w:rsid w:val="00475BBD"/>
    <w:rsid w:val="00475CCC"/>
    <w:rsid w:val="00475F47"/>
    <w:rsid w:val="0047613A"/>
    <w:rsid w:val="004761B5"/>
    <w:rsid w:val="00476283"/>
    <w:rsid w:val="004763F8"/>
    <w:rsid w:val="00476444"/>
    <w:rsid w:val="00476645"/>
    <w:rsid w:val="004767B2"/>
    <w:rsid w:val="0047707A"/>
    <w:rsid w:val="00477523"/>
    <w:rsid w:val="0047764B"/>
    <w:rsid w:val="004776DF"/>
    <w:rsid w:val="00477959"/>
    <w:rsid w:val="00480010"/>
    <w:rsid w:val="0048071A"/>
    <w:rsid w:val="004807A7"/>
    <w:rsid w:val="0048081D"/>
    <w:rsid w:val="00480840"/>
    <w:rsid w:val="004809CB"/>
    <w:rsid w:val="00480A49"/>
    <w:rsid w:val="00480A86"/>
    <w:rsid w:val="00480D4A"/>
    <w:rsid w:val="00480F65"/>
    <w:rsid w:val="00481020"/>
    <w:rsid w:val="004810E9"/>
    <w:rsid w:val="004812FD"/>
    <w:rsid w:val="004815C4"/>
    <w:rsid w:val="00481623"/>
    <w:rsid w:val="004816D9"/>
    <w:rsid w:val="00481F00"/>
    <w:rsid w:val="00481F4D"/>
    <w:rsid w:val="00481F72"/>
    <w:rsid w:val="004820F0"/>
    <w:rsid w:val="004823B6"/>
    <w:rsid w:val="004824D3"/>
    <w:rsid w:val="004828E5"/>
    <w:rsid w:val="004828F9"/>
    <w:rsid w:val="00482D92"/>
    <w:rsid w:val="00482DEE"/>
    <w:rsid w:val="00482E5F"/>
    <w:rsid w:val="00482E70"/>
    <w:rsid w:val="00483034"/>
    <w:rsid w:val="004831C0"/>
    <w:rsid w:val="00483380"/>
    <w:rsid w:val="004835D9"/>
    <w:rsid w:val="00483701"/>
    <w:rsid w:val="00483A45"/>
    <w:rsid w:val="00483DFC"/>
    <w:rsid w:val="00483E3C"/>
    <w:rsid w:val="00483F84"/>
    <w:rsid w:val="004840A0"/>
    <w:rsid w:val="004840A8"/>
    <w:rsid w:val="004840F0"/>
    <w:rsid w:val="00484700"/>
    <w:rsid w:val="004847E9"/>
    <w:rsid w:val="00484830"/>
    <w:rsid w:val="004849F2"/>
    <w:rsid w:val="00484B79"/>
    <w:rsid w:val="00484CA4"/>
    <w:rsid w:val="00484FF3"/>
    <w:rsid w:val="004850F0"/>
    <w:rsid w:val="004854A8"/>
    <w:rsid w:val="00485627"/>
    <w:rsid w:val="00485643"/>
    <w:rsid w:val="0048567B"/>
    <w:rsid w:val="004859E2"/>
    <w:rsid w:val="00485A02"/>
    <w:rsid w:val="004861A6"/>
    <w:rsid w:val="00486267"/>
    <w:rsid w:val="004864BC"/>
    <w:rsid w:val="004867B6"/>
    <w:rsid w:val="00486866"/>
    <w:rsid w:val="004868DF"/>
    <w:rsid w:val="00486B8F"/>
    <w:rsid w:val="00486D9E"/>
    <w:rsid w:val="00487406"/>
    <w:rsid w:val="00487B08"/>
    <w:rsid w:val="00487CC4"/>
    <w:rsid w:val="0049020A"/>
    <w:rsid w:val="00490267"/>
    <w:rsid w:val="00490358"/>
    <w:rsid w:val="004904E9"/>
    <w:rsid w:val="004908C2"/>
    <w:rsid w:val="004908ED"/>
    <w:rsid w:val="00490A86"/>
    <w:rsid w:val="00490AF6"/>
    <w:rsid w:val="00490C64"/>
    <w:rsid w:val="00490D41"/>
    <w:rsid w:val="00490E25"/>
    <w:rsid w:val="004911EC"/>
    <w:rsid w:val="004914C3"/>
    <w:rsid w:val="004914F1"/>
    <w:rsid w:val="0049169B"/>
    <w:rsid w:val="00491747"/>
    <w:rsid w:val="00491A88"/>
    <w:rsid w:val="00491ACC"/>
    <w:rsid w:val="00491B90"/>
    <w:rsid w:val="00491B9B"/>
    <w:rsid w:val="00491DEE"/>
    <w:rsid w:val="00492301"/>
    <w:rsid w:val="0049273F"/>
    <w:rsid w:val="00492849"/>
    <w:rsid w:val="004928F5"/>
    <w:rsid w:val="00492BC5"/>
    <w:rsid w:val="00492BEB"/>
    <w:rsid w:val="004935E1"/>
    <w:rsid w:val="00493760"/>
    <w:rsid w:val="0049397E"/>
    <w:rsid w:val="00493A87"/>
    <w:rsid w:val="00493ADE"/>
    <w:rsid w:val="00493E53"/>
    <w:rsid w:val="00494302"/>
    <w:rsid w:val="00494475"/>
    <w:rsid w:val="00494538"/>
    <w:rsid w:val="00494B06"/>
    <w:rsid w:val="00494BCD"/>
    <w:rsid w:val="00494D3A"/>
    <w:rsid w:val="004950C7"/>
    <w:rsid w:val="004951CB"/>
    <w:rsid w:val="00495291"/>
    <w:rsid w:val="00495916"/>
    <w:rsid w:val="00495A1F"/>
    <w:rsid w:val="00495FF0"/>
    <w:rsid w:val="004963BC"/>
    <w:rsid w:val="00496459"/>
    <w:rsid w:val="00496532"/>
    <w:rsid w:val="004966FC"/>
    <w:rsid w:val="004967D2"/>
    <w:rsid w:val="004967F5"/>
    <w:rsid w:val="00496C62"/>
    <w:rsid w:val="00496FD3"/>
    <w:rsid w:val="0049700C"/>
    <w:rsid w:val="0049728C"/>
    <w:rsid w:val="004975D5"/>
    <w:rsid w:val="00497952"/>
    <w:rsid w:val="00497A6D"/>
    <w:rsid w:val="00497CD6"/>
    <w:rsid w:val="00497CFC"/>
    <w:rsid w:val="00497E82"/>
    <w:rsid w:val="004A01DC"/>
    <w:rsid w:val="004A0309"/>
    <w:rsid w:val="004A08D7"/>
    <w:rsid w:val="004A0974"/>
    <w:rsid w:val="004A09C3"/>
    <w:rsid w:val="004A0ACA"/>
    <w:rsid w:val="004A0F55"/>
    <w:rsid w:val="004A1059"/>
    <w:rsid w:val="004A179C"/>
    <w:rsid w:val="004A17DA"/>
    <w:rsid w:val="004A18A6"/>
    <w:rsid w:val="004A1B21"/>
    <w:rsid w:val="004A1C3D"/>
    <w:rsid w:val="004A1D47"/>
    <w:rsid w:val="004A1DF8"/>
    <w:rsid w:val="004A2093"/>
    <w:rsid w:val="004A240E"/>
    <w:rsid w:val="004A25DE"/>
    <w:rsid w:val="004A2731"/>
    <w:rsid w:val="004A2933"/>
    <w:rsid w:val="004A29B1"/>
    <w:rsid w:val="004A2AC3"/>
    <w:rsid w:val="004A2BEA"/>
    <w:rsid w:val="004A2C7D"/>
    <w:rsid w:val="004A2D0A"/>
    <w:rsid w:val="004A2D2B"/>
    <w:rsid w:val="004A3441"/>
    <w:rsid w:val="004A36A4"/>
    <w:rsid w:val="004A3715"/>
    <w:rsid w:val="004A373C"/>
    <w:rsid w:val="004A389C"/>
    <w:rsid w:val="004A38EF"/>
    <w:rsid w:val="004A3A6B"/>
    <w:rsid w:val="004A3B48"/>
    <w:rsid w:val="004A3C02"/>
    <w:rsid w:val="004A3C1D"/>
    <w:rsid w:val="004A3C74"/>
    <w:rsid w:val="004A3FF7"/>
    <w:rsid w:val="004A4255"/>
    <w:rsid w:val="004A4640"/>
    <w:rsid w:val="004A4A04"/>
    <w:rsid w:val="004A4D84"/>
    <w:rsid w:val="004A51E8"/>
    <w:rsid w:val="004A5223"/>
    <w:rsid w:val="004A547E"/>
    <w:rsid w:val="004A5560"/>
    <w:rsid w:val="004A5579"/>
    <w:rsid w:val="004A564E"/>
    <w:rsid w:val="004A56F6"/>
    <w:rsid w:val="004A5EC7"/>
    <w:rsid w:val="004A5F5A"/>
    <w:rsid w:val="004A5FB1"/>
    <w:rsid w:val="004A620D"/>
    <w:rsid w:val="004A634D"/>
    <w:rsid w:val="004A6414"/>
    <w:rsid w:val="004A665D"/>
    <w:rsid w:val="004A6796"/>
    <w:rsid w:val="004A69AF"/>
    <w:rsid w:val="004A6AA9"/>
    <w:rsid w:val="004A6ED3"/>
    <w:rsid w:val="004A6FF5"/>
    <w:rsid w:val="004A72BB"/>
    <w:rsid w:val="004A7343"/>
    <w:rsid w:val="004A735E"/>
    <w:rsid w:val="004A781D"/>
    <w:rsid w:val="004A78CD"/>
    <w:rsid w:val="004A7ABE"/>
    <w:rsid w:val="004A7D8D"/>
    <w:rsid w:val="004B02CA"/>
    <w:rsid w:val="004B0880"/>
    <w:rsid w:val="004B09C3"/>
    <w:rsid w:val="004B0B45"/>
    <w:rsid w:val="004B0BDC"/>
    <w:rsid w:val="004B0C2E"/>
    <w:rsid w:val="004B0FD1"/>
    <w:rsid w:val="004B0FE4"/>
    <w:rsid w:val="004B11B0"/>
    <w:rsid w:val="004B1381"/>
    <w:rsid w:val="004B13C0"/>
    <w:rsid w:val="004B1726"/>
    <w:rsid w:val="004B183D"/>
    <w:rsid w:val="004B19A8"/>
    <w:rsid w:val="004B1B16"/>
    <w:rsid w:val="004B1DDF"/>
    <w:rsid w:val="004B1E24"/>
    <w:rsid w:val="004B2395"/>
    <w:rsid w:val="004B26BC"/>
    <w:rsid w:val="004B28FE"/>
    <w:rsid w:val="004B2925"/>
    <w:rsid w:val="004B2A42"/>
    <w:rsid w:val="004B2A4B"/>
    <w:rsid w:val="004B35A0"/>
    <w:rsid w:val="004B3C5E"/>
    <w:rsid w:val="004B3D95"/>
    <w:rsid w:val="004B4333"/>
    <w:rsid w:val="004B43C9"/>
    <w:rsid w:val="004B43DB"/>
    <w:rsid w:val="004B48E0"/>
    <w:rsid w:val="004B4AEB"/>
    <w:rsid w:val="004B4DC0"/>
    <w:rsid w:val="004B4DCB"/>
    <w:rsid w:val="004B5501"/>
    <w:rsid w:val="004B56EF"/>
    <w:rsid w:val="004B58D7"/>
    <w:rsid w:val="004B5AEA"/>
    <w:rsid w:val="004B5BC6"/>
    <w:rsid w:val="004B6119"/>
    <w:rsid w:val="004B6289"/>
    <w:rsid w:val="004B6483"/>
    <w:rsid w:val="004B65AD"/>
    <w:rsid w:val="004B66F0"/>
    <w:rsid w:val="004B66F7"/>
    <w:rsid w:val="004B6855"/>
    <w:rsid w:val="004B6A48"/>
    <w:rsid w:val="004B6C16"/>
    <w:rsid w:val="004B6CED"/>
    <w:rsid w:val="004B72FB"/>
    <w:rsid w:val="004B78B7"/>
    <w:rsid w:val="004B790C"/>
    <w:rsid w:val="004B7B78"/>
    <w:rsid w:val="004B7D23"/>
    <w:rsid w:val="004B7D2B"/>
    <w:rsid w:val="004B7FAC"/>
    <w:rsid w:val="004C036B"/>
    <w:rsid w:val="004C03D4"/>
    <w:rsid w:val="004C0512"/>
    <w:rsid w:val="004C0566"/>
    <w:rsid w:val="004C05D0"/>
    <w:rsid w:val="004C0ACD"/>
    <w:rsid w:val="004C0B2F"/>
    <w:rsid w:val="004C0BC2"/>
    <w:rsid w:val="004C0DC2"/>
    <w:rsid w:val="004C0EF9"/>
    <w:rsid w:val="004C1105"/>
    <w:rsid w:val="004C143A"/>
    <w:rsid w:val="004C1486"/>
    <w:rsid w:val="004C1A51"/>
    <w:rsid w:val="004C1CC7"/>
    <w:rsid w:val="004C1E42"/>
    <w:rsid w:val="004C1F60"/>
    <w:rsid w:val="004C20E2"/>
    <w:rsid w:val="004C21BE"/>
    <w:rsid w:val="004C2355"/>
    <w:rsid w:val="004C2682"/>
    <w:rsid w:val="004C2807"/>
    <w:rsid w:val="004C2B60"/>
    <w:rsid w:val="004C2BE7"/>
    <w:rsid w:val="004C2DCB"/>
    <w:rsid w:val="004C2E6A"/>
    <w:rsid w:val="004C2ECD"/>
    <w:rsid w:val="004C3184"/>
    <w:rsid w:val="004C31F3"/>
    <w:rsid w:val="004C3240"/>
    <w:rsid w:val="004C360E"/>
    <w:rsid w:val="004C3779"/>
    <w:rsid w:val="004C37F1"/>
    <w:rsid w:val="004C3B96"/>
    <w:rsid w:val="004C42EF"/>
    <w:rsid w:val="004C459E"/>
    <w:rsid w:val="004C4B44"/>
    <w:rsid w:val="004C4BF7"/>
    <w:rsid w:val="004C4C43"/>
    <w:rsid w:val="004C4DB2"/>
    <w:rsid w:val="004C4F4E"/>
    <w:rsid w:val="004C529F"/>
    <w:rsid w:val="004C55A5"/>
    <w:rsid w:val="004C55F2"/>
    <w:rsid w:val="004C5699"/>
    <w:rsid w:val="004C56C2"/>
    <w:rsid w:val="004C5888"/>
    <w:rsid w:val="004C58CD"/>
    <w:rsid w:val="004C5BA9"/>
    <w:rsid w:val="004C5D74"/>
    <w:rsid w:val="004C6107"/>
    <w:rsid w:val="004C64D7"/>
    <w:rsid w:val="004C67C4"/>
    <w:rsid w:val="004C6AF8"/>
    <w:rsid w:val="004C6CCF"/>
    <w:rsid w:val="004C6FA4"/>
    <w:rsid w:val="004C6FFD"/>
    <w:rsid w:val="004C75B6"/>
    <w:rsid w:val="004C7747"/>
    <w:rsid w:val="004C779F"/>
    <w:rsid w:val="004C7EC1"/>
    <w:rsid w:val="004C7F60"/>
    <w:rsid w:val="004D0196"/>
    <w:rsid w:val="004D046B"/>
    <w:rsid w:val="004D079C"/>
    <w:rsid w:val="004D0906"/>
    <w:rsid w:val="004D0AD8"/>
    <w:rsid w:val="004D0D73"/>
    <w:rsid w:val="004D0FC8"/>
    <w:rsid w:val="004D11B0"/>
    <w:rsid w:val="004D12A0"/>
    <w:rsid w:val="004D168C"/>
    <w:rsid w:val="004D1829"/>
    <w:rsid w:val="004D1C18"/>
    <w:rsid w:val="004D1FD1"/>
    <w:rsid w:val="004D2187"/>
    <w:rsid w:val="004D255D"/>
    <w:rsid w:val="004D25CB"/>
    <w:rsid w:val="004D2BCB"/>
    <w:rsid w:val="004D2D5B"/>
    <w:rsid w:val="004D3007"/>
    <w:rsid w:val="004D3104"/>
    <w:rsid w:val="004D3257"/>
    <w:rsid w:val="004D361C"/>
    <w:rsid w:val="004D381F"/>
    <w:rsid w:val="004D3D5F"/>
    <w:rsid w:val="004D3DE8"/>
    <w:rsid w:val="004D3E8F"/>
    <w:rsid w:val="004D3ECC"/>
    <w:rsid w:val="004D4012"/>
    <w:rsid w:val="004D402D"/>
    <w:rsid w:val="004D4524"/>
    <w:rsid w:val="004D5798"/>
    <w:rsid w:val="004D5B53"/>
    <w:rsid w:val="004D5C50"/>
    <w:rsid w:val="004D5D73"/>
    <w:rsid w:val="004D5FFE"/>
    <w:rsid w:val="004D638C"/>
    <w:rsid w:val="004D657B"/>
    <w:rsid w:val="004D65F2"/>
    <w:rsid w:val="004D6A6A"/>
    <w:rsid w:val="004D6AA3"/>
    <w:rsid w:val="004D6BA1"/>
    <w:rsid w:val="004D6E8B"/>
    <w:rsid w:val="004D7046"/>
    <w:rsid w:val="004D7107"/>
    <w:rsid w:val="004D733B"/>
    <w:rsid w:val="004D782A"/>
    <w:rsid w:val="004D7831"/>
    <w:rsid w:val="004D78B3"/>
    <w:rsid w:val="004D7D0C"/>
    <w:rsid w:val="004D7F1F"/>
    <w:rsid w:val="004E0943"/>
    <w:rsid w:val="004E09AA"/>
    <w:rsid w:val="004E0AB8"/>
    <w:rsid w:val="004E0B7F"/>
    <w:rsid w:val="004E0E6B"/>
    <w:rsid w:val="004E0F67"/>
    <w:rsid w:val="004E1352"/>
    <w:rsid w:val="004E1540"/>
    <w:rsid w:val="004E16B9"/>
    <w:rsid w:val="004E16DE"/>
    <w:rsid w:val="004E16E7"/>
    <w:rsid w:val="004E17A4"/>
    <w:rsid w:val="004E1879"/>
    <w:rsid w:val="004E1B8A"/>
    <w:rsid w:val="004E2072"/>
    <w:rsid w:val="004E207E"/>
    <w:rsid w:val="004E2097"/>
    <w:rsid w:val="004E248C"/>
    <w:rsid w:val="004E287B"/>
    <w:rsid w:val="004E2A72"/>
    <w:rsid w:val="004E2C84"/>
    <w:rsid w:val="004E2DDE"/>
    <w:rsid w:val="004E3228"/>
    <w:rsid w:val="004E3379"/>
    <w:rsid w:val="004E3701"/>
    <w:rsid w:val="004E372A"/>
    <w:rsid w:val="004E3793"/>
    <w:rsid w:val="004E39A2"/>
    <w:rsid w:val="004E3AEB"/>
    <w:rsid w:val="004E3B76"/>
    <w:rsid w:val="004E3E12"/>
    <w:rsid w:val="004E3E67"/>
    <w:rsid w:val="004E3E68"/>
    <w:rsid w:val="004E42ED"/>
    <w:rsid w:val="004E4511"/>
    <w:rsid w:val="004E4544"/>
    <w:rsid w:val="004E489C"/>
    <w:rsid w:val="004E48AF"/>
    <w:rsid w:val="004E49C1"/>
    <w:rsid w:val="004E4B4E"/>
    <w:rsid w:val="004E4B71"/>
    <w:rsid w:val="004E549F"/>
    <w:rsid w:val="004E55A0"/>
    <w:rsid w:val="004E55FB"/>
    <w:rsid w:val="004E56CE"/>
    <w:rsid w:val="004E5B27"/>
    <w:rsid w:val="004E5B88"/>
    <w:rsid w:val="004E5C9F"/>
    <w:rsid w:val="004E5E50"/>
    <w:rsid w:val="004E60D2"/>
    <w:rsid w:val="004E60F5"/>
    <w:rsid w:val="004E6137"/>
    <w:rsid w:val="004E6367"/>
    <w:rsid w:val="004E63C4"/>
    <w:rsid w:val="004E63E3"/>
    <w:rsid w:val="004E6533"/>
    <w:rsid w:val="004E666E"/>
    <w:rsid w:val="004E6D43"/>
    <w:rsid w:val="004E6D6D"/>
    <w:rsid w:val="004E6DF2"/>
    <w:rsid w:val="004E6E72"/>
    <w:rsid w:val="004E7184"/>
    <w:rsid w:val="004E739F"/>
    <w:rsid w:val="004E7A21"/>
    <w:rsid w:val="004E7E89"/>
    <w:rsid w:val="004F02A2"/>
    <w:rsid w:val="004F033C"/>
    <w:rsid w:val="004F0745"/>
    <w:rsid w:val="004F095A"/>
    <w:rsid w:val="004F09E4"/>
    <w:rsid w:val="004F0F93"/>
    <w:rsid w:val="004F10F6"/>
    <w:rsid w:val="004F1200"/>
    <w:rsid w:val="004F140B"/>
    <w:rsid w:val="004F1423"/>
    <w:rsid w:val="004F145C"/>
    <w:rsid w:val="004F1857"/>
    <w:rsid w:val="004F18D1"/>
    <w:rsid w:val="004F19CE"/>
    <w:rsid w:val="004F19CF"/>
    <w:rsid w:val="004F1AC1"/>
    <w:rsid w:val="004F1BCD"/>
    <w:rsid w:val="004F1C1E"/>
    <w:rsid w:val="004F1CED"/>
    <w:rsid w:val="004F1F58"/>
    <w:rsid w:val="004F24E6"/>
    <w:rsid w:val="004F25BF"/>
    <w:rsid w:val="004F2786"/>
    <w:rsid w:val="004F27ED"/>
    <w:rsid w:val="004F2A3A"/>
    <w:rsid w:val="004F2D92"/>
    <w:rsid w:val="004F2E0B"/>
    <w:rsid w:val="004F2F8D"/>
    <w:rsid w:val="004F33D2"/>
    <w:rsid w:val="004F3819"/>
    <w:rsid w:val="004F3828"/>
    <w:rsid w:val="004F38E3"/>
    <w:rsid w:val="004F3D38"/>
    <w:rsid w:val="004F4113"/>
    <w:rsid w:val="004F418A"/>
    <w:rsid w:val="004F43AE"/>
    <w:rsid w:val="004F43BF"/>
    <w:rsid w:val="004F4430"/>
    <w:rsid w:val="004F458D"/>
    <w:rsid w:val="004F4939"/>
    <w:rsid w:val="004F4966"/>
    <w:rsid w:val="004F4BD9"/>
    <w:rsid w:val="004F4C75"/>
    <w:rsid w:val="004F4E64"/>
    <w:rsid w:val="004F50A3"/>
    <w:rsid w:val="004F510E"/>
    <w:rsid w:val="004F5327"/>
    <w:rsid w:val="004F58D5"/>
    <w:rsid w:val="004F58DE"/>
    <w:rsid w:val="004F5DDE"/>
    <w:rsid w:val="004F627D"/>
    <w:rsid w:val="004F67E4"/>
    <w:rsid w:val="004F6865"/>
    <w:rsid w:val="004F68AC"/>
    <w:rsid w:val="004F6905"/>
    <w:rsid w:val="004F6A37"/>
    <w:rsid w:val="004F6BAE"/>
    <w:rsid w:val="004F6E23"/>
    <w:rsid w:val="004F6FC0"/>
    <w:rsid w:val="004F728E"/>
    <w:rsid w:val="004F7340"/>
    <w:rsid w:val="004F761F"/>
    <w:rsid w:val="004F7716"/>
    <w:rsid w:val="004F7879"/>
    <w:rsid w:val="004F798B"/>
    <w:rsid w:val="004F79A2"/>
    <w:rsid w:val="004F79BE"/>
    <w:rsid w:val="005001F0"/>
    <w:rsid w:val="00500697"/>
    <w:rsid w:val="00500986"/>
    <w:rsid w:val="00500AB0"/>
    <w:rsid w:val="00500EF7"/>
    <w:rsid w:val="0050121F"/>
    <w:rsid w:val="00501270"/>
    <w:rsid w:val="0050135F"/>
    <w:rsid w:val="00501A30"/>
    <w:rsid w:val="00501A42"/>
    <w:rsid w:val="00501C65"/>
    <w:rsid w:val="00502199"/>
    <w:rsid w:val="0050284D"/>
    <w:rsid w:val="00502986"/>
    <w:rsid w:val="00502A1D"/>
    <w:rsid w:val="00502A8F"/>
    <w:rsid w:val="00502C11"/>
    <w:rsid w:val="00502C34"/>
    <w:rsid w:val="00502CD3"/>
    <w:rsid w:val="00502CFF"/>
    <w:rsid w:val="00502E7E"/>
    <w:rsid w:val="00503524"/>
    <w:rsid w:val="0050366E"/>
    <w:rsid w:val="005036DB"/>
    <w:rsid w:val="00503807"/>
    <w:rsid w:val="005038C9"/>
    <w:rsid w:val="005039DA"/>
    <w:rsid w:val="00503A64"/>
    <w:rsid w:val="00503AC9"/>
    <w:rsid w:val="00503C51"/>
    <w:rsid w:val="00503D7B"/>
    <w:rsid w:val="00503DCE"/>
    <w:rsid w:val="00503E5E"/>
    <w:rsid w:val="00503EBA"/>
    <w:rsid w:val="00503F32"/>
    <w:rsid w:val="00504016"/>
    <w:rsid w:val="00504F25"/>
    <w:rsid w:val="00504FD4"/>
    <w:rsid w:val="00505295"/>
    <w:rsid w:val="00505363"/>
    <w:rsid w:val="005053E4"/>
    <w:rsid w:val="00505B27"/>
    <w:rsid w:val="00505BD2"/>
    <w:rsid w:val="00506114"/>
    <w:rsid w:val="0050636E"/>
    <w:rsid w:val="0050652E"/>
    <w:rsid w:val="005067C5"/>
    <w:rsid w:val="005067C6"/>
    <w:rsid w:val="005068E1"/>
    <w:rsid w:val="005069DE"/>
    <w:rsid w:val="00506DE6"/>
    <w:rsid w:val="0050707C"/>
    <w:rsid w:val="0050724D"/>
    <w:rsid w:val="00507346"/>
    <w:rsid w:val="00507411"/>
    <w:rsid w:val="00507591"/>
    <w:rsid w:val="005075D1"/>
    <w:rsid w:val="005076C8"/>
    <w:rsid w:val="005077D8"/>
    <w:rsid w:val="00507809"/>
    <w:rsid w:val="005078E1"/>
    <w:rsid w:val="00507A41"/>
    <w:rsid w:val="00507BA8"/>
    <w:rsid w:val="00507F6C"/>
    <w:rsid w:val="0051003C"/>
    <w:rsid w:val="00510248"/>
    <w:rsid w:val="0051039B"/>
    <w:rsid w:val="005104B7"/>
    <w:rsid w:val="005105BD"/>
    <w:rsid w:val="00510660"/>
    <w:rsid w:val="00510756"/>
    <w:rsid w:val="00510A96"/>
    <w:rsid w:val="00510E39"/>
    <w:rsid w:val="00510EDE"/>
    <w:rsid w:val="00511164"/>
    <w:rsid w:val="0051116E"/>
    <w:rsid w:val="00511663"/>
    <w:rsid w:val="00511711"/>
    <w:rsid w:val="00511732"/>
    <w:rsid w:val="00511893"/>
    <w:rsid w:val="00511ABA"/>
    <w:rsid w:val="00511D01"/>
    <w:rsid w:val="005120A6"/>
    <w:rsid w:val="00512185"/>
    <w:rsid w:val="005126A1"/>
    <w:rsid w:val="00512A1C"/>
    <w:rsid w:val="00512C67"/>
    <w:rsid w:val="00512C6E"/>
    <w:rsid w:val="00512D32"/>
    <w:rsid w:val="00512FE9"/>
    <w:rsid w:val="005130C3"/>
    <w:rsid w:val="00513187"/>
    <w:rsid w:val="005134D7"/>
    <w:rsid w:val="00513518"/>
    <w:rsid w:val="00513668"/>
    <w:rsid w:val="00513A47"/>
    <w:rsid w:val="00513BEA"/>
    <w:rsid w:val="00513E38"/>
    <w:rsid w:val="005140E3"/>
    <w:rsid w:val="005141D8"/>
    <w:rsid w:val="00514397"/>
    <w:rsid w:val="0051466E"/>
    <w:rsid w:val="005149C0"/>
    <w:rsid w:val="00514ACB"/>
    <w:rsid w:val="00514C8C"/>
    <w:rsid w:val="00514D02"/>
    <w:rsid w:val="00515101"/>
    <w:rsid w:val="005157E1"/>
    <w:rsid w:val="00515891"/>
    <w:rsid w:val="005158B3"/>
    <w:rsid w:val="005158D8"/>
    <w:rsid w:val="00515AA8"/>
    <w:rsid w:val="00515BDB"/>
    <w:rsid w:val="00515D6B"/>
    <w:rsid w:val="00515DA3"/>
    <w:rsid w:val="00515E18"/>
    <w:rsid w:val="00515EAA"/>
    <w:rsid w:val="0051628D"/>
    <w:rsid w:val="00516457"/>
    <w:rsid w:val="0051678F"/>
    <w:rsid w:val="005168AA"/>
    <w:rsid w:val="00516945"/>
    <w:rsid w:val="00516A06"/>
    <w:rsid w:val="00516B9E"/>
    <w:rsid w:val="00516EE9"/>
    <w:rsid w:val="00517169"/>
    <w:rsid w:val="00517170"/>
    <w:rsid w:val="005171FE"/>
    <w:rsid w:val="00517B44"/>
    <w:rsid w:val="00517CF7"/>
    <w:rsid w:val="00517E1D"/>
    <w:rsid w:val="00517FFA"/>
    <w:rsid w:val="00520006"/>
    <w:rsid w:val="00520017"/>
    <w:rsid w:val="0052015F"/>
    <w:rsid w:val="00520414"/>
    <w:rsid w:val="0052069C"/>
    <w:rsid w:val="005206AD"/>
    <w:rsid w:val="0052087A"/>
    <w:rsid w:val="00520C78"/>
    <w:rsid w:val="00520E18"/>
    <w:rsid w:val="005211F9"/>
    <w:rsid w:val="0052142C"/>
    <w:rsid w:val="005214A0"/>
    <w:rsid w:val="00521585"/>
    <w:rsid w:val="0052181D"/>
    <w:rsid w:val="00521AFD"/>
    <w:rsid w:val="0052208E"/>
    <w:rsid w:val="00522116"/>
    <w:rsid w:val="0052214C"/>
    <w:rsid w:val="00522513"/>
    <w:rsid w:val="00522697"/>
    <w:rsid w:val="005229CB"/>
    <w:rsid w:val="00522B49"/>
    <w:rsid w:val="00522CE2"/>
    <w:rsid w:val="00522E0F"/>
    <w:rsid w:val="00522EA4"/>
    <w:rsid w:val="00522F4B"/>
    <w:rsid w:val="005230EF"/>
    <w:rsid w:val="00523436"/>
    <w:rsid w:val="00523453"/>
    <w:rsid w:val="005238A7"/>
    <w:rsid w:val="005238F4"/>
    <w:rsid w:val="005238FE"/>
    <w:rsid w:val="00523B41"/>
    <w:rsid w:val="00523CC6"/>
    <w:rsid w:val="00523F2D"/>
    <w:rsid w:val="005242E7"/>
    <w:rsid w:val="005246C2"/>
    <w:rsid w:val="00524834"/>
    <w:rsid w:val="00524ACB"/>
    <w:rsid w:val="00524CB9"/>
    <w:rsid w:val="00524E64"/>
    <w:rsid w:val="00524FF0"/>
    <w:rsid w:val="00525351"/>
    <w:rsid w:val="00525A5E"/>
    <w:rsid w:val="00525B56"/>
    <w:rsid w:val="00525D38"/>
    <w:rsid w:val="00525DCF"/>
    <w:rsid w:val="00525FAD"/>
    <w:rsid w:val="0052608C"/>
    <w:rsid w:val="0052616E"/>
    <w:rsid w:val="00526787"/>
    <w:rsid w:val="00526A65"/>
    <w:rsid w:val="0052704C"/>
    <w:rsid w:val="005273D5"/>
    <w:rsid w:val="005273EE"/>
    <w:rsid w:val="00527689"/>
    <w:rsid w:val="005276FD"/>
    <w:rsid w:val="00527702"/>
    <w:rsid w:val="00527910"/>
    <w:rsid w:val="0052791F"/>
    <w:rsid w:val="00527A6D"/>
    <w:rsid w:val="00527B4C"/>
    <w:rsid w:val="00527CB0"/>
    <w:rsid w:val="005300CE"/>
    <w:rsid w:val="005300D6"/>
    <w:rsid w:val="005301F3"/>
    <w:rsid w:val="0053040B"/>
    <w:rsid w:val="00531105"/>
    <w:rsid w:val="005313AC"/>
    <w:rsid w:val="00531644"/>
    <w:rsid w:val="00531C32"/>
    <w:rsid w:val="00531D35"/>
    <w:rsid w:val="00531D5E"/>
    <w:rsid w:val="00531EB1"/>
    <w:rsid w:val="005322B8"/>
    <w:rsid w:val="00532399"/>
    <w:rsid w:val="005326E5"/>
    <w:rsid w:val="00532936"/>
    <w:rsid w:val="00532949"/>
    <w:rsid w:val="00532BE0"/>
    <w:rsid w:val="00532CEA"/>
    <w:rsid w:val="00532E59"/>
    <w:rsid w:val="00533093"/>
    <w:rsid w:val="005336BC"/>
    <w:rsid w:val="00533A3E"/>
    <w:rsid w:val="00533C5C"/>
    <w:rsid w:val="00533DB1"/>
    <w:rsid w:val="00533EF5"/>
    <w:rsid w:val="0053424E"/>
    <w:rsid w:val="005342AA"/>
    <w:rsid w:val="005342B6"/>
    <w:rsid w:val="005342F9"/>
    <w:rsid w:val="005343A7"/>
    <w:rsid w:val="00534414"/>
    <w:rsid w:val="00534620"/>
    <w:rsid w:val="0053489B"/>
    <w:rsid w:val="005348BF"/>
    <w:rsid w:val="00534992"/>
    <w:rsid w:val="00534A51"/>
    <w:rsid w:val="00534B18"/>
    <w:rsid w:val="005351D0"/>
    <w:rsid w:val="005353AA"/>
    <w:rsid w:val="005353C6"/>
    <w:rsid w:val="0053594D"/>
    <w:rsid w:val="00535A14"/>
    <w:rsid w:val="00535BF2"/>
    <w:rsid w:val="00535D7E"/>
    <w:rsid w:val="00535F38"/>
    <w:rsid w:val="00536095"/>
    <w:rsid w:val="005360AC"/>
    <w:rsid w:val="005363A5"/>
    <w:rsid w:val="0053642E"/>
    <w:rsid w:val="0053670A"/>
    <w:rsid w:val="00536744"/>
    <w:rsid w:val="00536A43"/>
    <w:rsid w:val="00537147"/>
    <w:rsid w:val="005371AC"/>
    <w:rsid w:val="00537625"/>
    <w:rsid w:val="005376E0"/>
    <w:rsid w:val="005377B4"/>
    <w:rsid w:val="0053783E"/>
    <w:rsid w:val="00537B14"/>
    <w:rsid w:val="00537F52"/>
    <w:rsid w:val="00537FE1"/>
    <w:rsid w:val="005400C8"/>
    <w:rsid w:val="0054011F"/>
    <w:rsid w:val="00540598"/>
    <w:rsid w:val="0054063D"/>
    <w:rsid w:val="005406A0"/>
    <w:rsid w:val="005406D2"/>
    <w:rsid w:val="005409B6"/>
    <w:rsid w:val="00540A3C"/>
    <w:rsid w:val="00540D26"/>
    <w:rsid w:val="00540D62"/>
    <w:rsid w:val="00540DED"/>
    <w:rsid w:val="00540EBB"/>
    <w:rsid w:val="00540F19"/>
    <w:rsid w:val="0054113A"/>
    <w:rsid w:val="005411FE"/>
    <w:rsid w:val="00541251"/>
    <w:rsid w:val="005413BF"/>
    <w:rsid w:val="00541586"/>
    <w:rsid w:val="00541737"/>
    <w:rsid w:val="00541744"/>
    <w:rsid w:val="00541746"/>
    <w:rsid w:val="0054184F"/>
    <w:rsid w:val="00541AF1"/>
    <w:rsid w:val="00541C03"/>
    <w:rsid w:val="00541C0C"/>
    <w:rsid w:val="00541F08"/>
    <w:rsid w:val="00541FA7"/>
    <w:rsid w:val="0054210F"/>
    <w:rsid w:val="00542156"/>
    <w:rsid w:val="00542309"/>
    <w:rsid w:val="00542347"/>
    <w:rsid w:val="00542400"/>
    <w:rsid w:val="00542424"/>
    <w:rsid w:val="00542442"/>
    <w:rsid w:val="00542726"/>
    <w:rsid w:val="00542738"/>
    <w:rsid w:val="0054273B"/>
    <w:rsid w:val="0054280B"/>
    <w:rsid w:val="005429B9"/>
    <w:rsid w:val="00542F89"/>
    <w:rsid w:val="005433FB"/>
    <w:rsid w:val="00543583"/>
    <w:rsid w:val="00543766"/>
    <w:rsid w:val="00543794"/>
    <w:rsid w:val="00543ACD"/>
    <w:rsid w:val="00543BC7"/>
    <w:rsid w:val="00543C58"/>
    <w:rsid w:val="00544122"/>
    <w:rsid w:val="0054434B"/>
    <w:rsid w:val="005445C6"/>
    <w:rsid w:val="00544A56"/>
    <w:rsid w:val="00544F17"/>
    <w:rsid w:val="005450F6"/>
    <w:rsid w:val="005451AF"/>
    <w:rsid w:val="00545510"/>
    <w:rsid w:val="00545564"/>
    <w:rsid w:val="005456DA"/>
    <w:rsid w:val="00545730"/>
    <w:rsid w:val="005457F0"/>
    <w:rsid w:val="005459A2"/>
    <w:rsid w:val="005459A3"/>
    <w:rsid w:val="00545BE1"/>
    <w:rsid w:val="00545C84"/>
    <w:rsid w:val="005462F2"/>
    <w:rsid w:val="005462FB"/>
    <w:rsid w:val="00546409"/>
    <w:rsid w:val="00546659"/>
    <w:rsid w:val="00546869"/>
    <w:rsid w:val="00546882"/>
    <w:rsid w:val="005469CB"/>
    <w:rsid w:val="00546CD7"/>
    <w:rsid w:val="00546ECC"/>
    <w:rsid w:val="0054773B"/>
    <w:rsid w:val="00547B25"/>
    <w:rsid w:val="00547B65"/>
    <w:rsid w:val="00547C43"/>
    <w:rsid w:val="00547E5C"/>
    <w:rsid w:val="00547F3A"/>
    <w:rsid w:val="00547FEE"/>
    <w:rsid w:val="00550339"/>
    <w:rsid w:val="005503A2"/>
    <w:rsid w:val="005503FE"/>
    <w:rsid w:val="0055085C"/>
    <w:rsid w:val="00550960"/>
    <w:rsid w:val="0055125C"/>
    <w:rsid w:val="005512CD"/>
    <w:rsid w:val="005514C1"/>
    <w:rsid w:val="00551A0C"/>
    <w:rsid w:val="00551DE2"/>
    <w:rsid w:val="005529D9"/>
    <w:rsid w:val="00552BEA"/>
    <w:rsid w:val="005532E0"/>
    <w:rsid w:val="005535BA"/>
    <w:rsid w:val="005535CC"/>
    <w:rsid w:val="0055367E"/>
    <w:rsid w:val="00553F5E"/>
    <w:rsid w:val="005541C7"/>
    <w:rsid w:val="00554326"/>
    <w:rsid w:val="0055456B"/>
    <w:rsid w:val="005545B3"/>
    <w:rsid w:val="005545F9"/>
    <w:rsid w:val="005547B7"/>
    <w:rsid w:val="005547F7"/>
    <w:rsid w:val="00554A70"/>
    <w:rsid w:val="00554BD4"/>
    <w:rsid w:val="00554CAF"/>
    <w:rsid w:val="00554D2D"/>
    <w:rsid w:val="00554F89"/>
    <w:rsid w:val="00555039"/>
    <w:rsid w:val="00555603"/>
    <w:rsid w:val="00555635"/>
    <w:rsid w:val="00555667"/>
    <w:rsid w:val="0055576A"/>
    <w:rsid w:val="00555774"/>
    <w:rsid w:val="005559F9"/>
    <w:rsid w:val="00555EDC"/>
    <w:rsid w:val="0055608D"/>
    <w:rsid w:val="005560A9"/>
    <w:rsid w:val="0055633D"/>
    <w:rsid w:val="00556412"/>
    <w:rsid w:val="005568A5"/>
    <w:rsid w:val="00556916"/>
    <w:rsid w:val="00556A0F"/>
    <w:rsid w:val="00556CCF"/>
    <w:rsid w:val="00556CFF"/>
    <w:rsid w:val="00556DCE"/>
    <w:rsid w:val="005572E4"/>
    <w:rsid w:val="005574A3"/>
    <w:rsid w:val="00557736"/>
    <w:rsid w:val="005577A8"/>
    <w:rsid w:val="00557845"/>
    <w:rsid w:val="00557871"/>
    <w:rsid w:val="00557A97"/>
    <w:rsid w:val="00557AA7"/>
    <w:rsid w:val="00557AE4"/>
    <w:rsid w:val="00557CF1"/>
    <w:rsid w:val="00557D76"/>
    <w:rsid w:val="00557F1E"/>
    <w:rsid w:val="0056032D"/>
    <w:rsid w:val="005603B3"/>
    <w:rsid w:val="0056046B"/>
    <w:rsid w:val="0056083A"/>
    <w:rsid w:val="00560891"/>
    <w:rsid w:val="00560A90"/>
    <w:rsid w:val="00560D8D"/>
    <w:rsid w:val="00560E63"/>
    <w:rsid w:val="005610AF"/>
    <w:rsid w:val="0056132A"/>
    <w:rsid w:val="00561359"/>
    <w:rsid w:val="00561371"/>
    <w:rsid w:val="005613C4"/>
    <w:rsid w:val="005613E9"/>
    <w:rsid w:val="005615C9"/>
    <w:rsid w:val="005617B9"/>
    <w:rsid w:val="00561D11"/>
    <w:rsid w:val="00561D83"/>
    <w:rsid w:val="00561ED8"/>
    <w:rsid w:val="00562067"/>
    <w:rsid w:val="005620FA"/>
    <w:rsid w:val="00562140"/>
    <w:rsid w:val="00562171"/>
    <w:rsid w:val="00562414"/>
    <w:rsid w:val="0056288D"/>
    <w:rsid w:val="005629AE"/>
    <w:rsid w:val="00562BA1"/>
    <w:rsid w:val="00562E15"/>
    <w:rsid w:val="00563119"/>
    <w:rsid w:val="005631B1"/>
    <w:rsid w:val="005633D2"/>
    <w:rsid w:val="0056343C"/>
    <w:rsid w:val="00563544"/>
    <w:rsid w:val="00563670"/>
    <w:rsid w:val="005639F6"/>
    <w:rsid w:val="00563CB7"/>
    <w:rsid w:val="00563CFC"/>
    <w:rsid w:val="00563D45"/>
    <w:rsid w:val="0056418D"/>
    <w:rsid w:val="005641C8"/>
    <w:rsid w:val="005641CC"/>
    <w:rsid w:val="0056432A"/>
    <w:rsid w:val="00564652"/>
    <w:rsid w:val="005647AD"/>
    <w:rsid w:val="005647F8"/>
    <w:rsid w:val="00564D30"/>
    <w:rsid w:val="00564F94"/>
    <w:rsid w:val="00565079"/>
    <w:rsid w:val="00565147"/>
    <w:rsid w:val="005652EA"/>
    <w:rsid w:val="005652F8"/>
    <w:rsid w:val="005655C5"/>
    <w:rsid w:val="00565918"/>
    <w:rsid w:val="005659B6"/>
    <w:rsid w:val="00565B6E"/>
    <w:rsid w:val="00565CB5"/>
    <w:rsid w:val="00565E98"/>
    <w:rsid w:val="00566061"/>
    <w:rsid w:val="00566080"/>
    <w:rsid w:val="00566122"/>
    <w:rsid w:val="0056620C"/>
    <w:rsid w:val="00566466"/>
    <w:rsid w:val="005664AF"/>
    <w:rsid w:val="00566586"/>
    <w:rsid w:val="00566936"/>
    <w:rsid w:val="00566A75"/>
    <w:rsid w:val="00566B76"/>
    <w:rsid w:val="00566C0E"/>
    <w:rsid w:val="00566CDF"/>
    <w:rsid w:val="00566DFE"/>
    <w:rsid w:val="0056722F"/>
    <w:rsid w:val="0056768C"/>
    <w:rsid w:val="00567811"/>
    <w:rsid w:val="00567866"/>
    <w:rsid w:val="00567ACE"/>
    <w:rsid w:val="00567AE8"/>
    <w:rsid w:val="00567B28"/>
    <w:rsid w:val="00567FD7"/>
    <w:rsid w:val="0057019C"/>
    <w:rsid w:val="00570371"/>
    <w:rsid w:val="005704BB"/>
    <w:rsid w:val="00570730"/>
    <w:rsid w:val="0057093A"/>
    <w:rsid w:val="005709DF"/>
    <w:rsid w:val="00570A52"/>
    <w:rsid w:val="00570DF8"/>
    <w:rsid w:val="00570F72"/>
    <w:rsid w:val="00570F77"/>
    <w:rsid w:val="005716B2"/>
    <w:rsid w:val="005716F5"/>
    <w:rsid w:val="005716FE"/>
    <w:rsid w:val="0057191A"/>
    <w:rsid w:val="005719CA"/>
    <w:rsid w:val="00571B31"/>
    <w:rsid w:val="00571BF9"/>
    <w:rsid w:val="005721D7"/>
    <w:rsid w:val="005724E2"/>
    <w:rsid w:val="0057253B"/>
    <w:rsid w:val="0057253D"/>
    <w:rsid w:val="005725D0"/>
    <w:rsid w:val="00572663"/>
    <w:rsid w:val="005726C1"/>
    <w:rsid w:val="005729E4"/>
    <w:rsid w:val="00572A48"/>
    <w:rsid w:val="00572BD7"/>
    <w:rsid w:val="00572DC4"/>
    <w:rsid w:val="00573022"/>
    <w:rsid w:val="00573227"/>
    <w:rsid w:val="005732EE"/>
    <w:rsid w:val="005734B5"/>
    <w:rsid w:val="005735C7"/>
    <w:rsid w:val="00573684"/>
    <w:rsid w:val="00573917"/>
    <w:rsid w:val="00573A39"/>
    <w:rsid w:val="00573A9E"/>
    <w:rsid w:val="00573AAE"/>
    <w:rsid w:val="00573B0A"/>
    <w:rsid w:val="00573CF9"/>
    <w:rsid w:val="00573D98"/>
    <w:rsid w:val="0057422C"/>
    <w:rsid w:val="00574924"/>
    <w:rsid w:val="00574D35"/>
    <w:rsid w:val="005751D0"/>
    <w:rsid w:val="0057526D"/>
    <w:rsid w:val="0057542D"/>
    <w:rsid w:val="00575451"/>
    <w:rsid w:val="0057579B"/>
    <w:rsid w:val="005757CD"/>
    <w:rsid w:val="00575854"/>
    <w:rsid w:val="0057589C"/>
    <w:rsid w:val="0057595B"/>
    <w:rsid w:val="00575A1A"/>
    <w:rsid w:val="00575AB0"/>
    <w:rsid w:val="00575B29"/>
    <w:rsid w:val="00575C42"/>
    <w:rsid w:val="00575F21"/>
    <w:rsid w:val="00576049"/>
    <w:rsid w:val="005760CE"/>
    <w:rsid w:val="00576287"/>
    <w:rsid w:val="00576373"/>
    <w:rsid w:val="00576549"/>
    <w:rsid w:val="00576671"/>
    <w:rsid w:val="00576D73"/>
    <w:rsid w:val="00577225"/>
    <w:rsid w:val="0057733E"/>
    <w:rsid w:val="005773B3"/>
    <w:rsid w:val="00577474"/>
    <w:rsid w:val="005778CA"/>
    <w:rsid w:val="00577910"/>
    <w:rsid w:val="00577AF2"/>
    <w:rsid w:val="0058019F"/>
    <w:rsid w:val="005801A2"/>
    <w:rsid w:val="005802C1"/>
    <w:rsid w:val="005804B0"/>
    <w:rsid w:val="0058063E"/>
    <w:rsid w:val="00580973"/>
    <w:rsid w:val="00580A14"/>
    <w:rsid w:val="005815B9"/>
    <w:rsid w:val="00581661"/>
    <w:rsid w:val="00581697"/>
    <w:rsid w:val="00581894"/>
    <w:rsid w:val="00581E18"/>
    <w:rsid w:val="00581EA1"/>
    <w:rsid w:val="00582112"/>
    <w:rsid w:val="0058213E"/>
    <w:rsid w:val="0058225A"/>
    <w:rsid w:val="005822FB"/>
    <w:rsid w:val="005823EB"/>
    <w:rsid w:val="00582A12"/>
    <w:rsid w:val="00582E4B"/>
    <w:rsid w:val="0058305E"/>
    <w:rsid w:val="00583717"/>
    <w:rsid w:val="0058376D"/>
    <w:rsid w:val="00583B01"/>
    <w:rsid w:val="00583CA0"/>
    <w:rsid w:val="00583E15"/>
    <w:rsid w:val="00583FC2"/>
    <w:rsid w:val="00584069"/>
    <w:rsid w:val="00584255"/>
    <w:rsid w:val="005848B8"/>
    <w:rsid w:val="00584B01"/>
    <w:rsid w:val="00584B77"/>
    <w:rsid w:val="00584D3F"/>
    <w:rsid w:val="0058502A"/>
    <w:rsid w:val="0058512F"/>
    <w:rsid w:val="00585147"/>
    <w:rsid w:val="00585278"/>
    <w:rsid w:val="00585396"/>
    <w:rsid w:val="005853BE"/>
    <w:rsid w:val="005857A8"/>
    <w:rsid w:val="00585BDF"/>
    <w:rsid w:val="00585DC2"/>
    <w:rsid w:val="00585EEB"/>
    <w:rsid w:val="005860BA"/>
    <w:rsid w:val="005860E8"/>
    <w:rsid w:val="00586422"/>
    <w:rsid w:val="005865AA"/>
    <w:rsid w:val="00586684"/>
    <w:rsid w:val="00586767"/>
    <w:rsid w:val="00586803"/>
    <w:rsid w:val="005868A7"/>
    <w:rsid w:val="005868E3"/>
    <w:rsid w:val="00586B77"/>
    <w:rsid w:val="00586BAA"/>
    <w:rsid w:val="00586C33"/>
    <w:rsid w:val="00586C64"/>
    <w:rsid w:val="00587069"/>
    <w:rsid w:val="005870CA"/>
    <w:rsid w:val="0058744A"/>
    <w:rsid w:val="00587967"/>
    <w:rsid w:val="00587DDD"/>
    <w:rsid w:val="00587F44"/>
    <w:rsid w:val="00590363"/>
    <w:rsid w:val="0059063B"/>
    <w:rsid w:val="00590A1D"/>
    <w:rsid w:val="00590A6B"/>
    <w:rsid w:val="00590BCA"/>
    <w:rsid w:val="005910BB"/>
    <w:rsid w:val="005911B1"/>
    <w:rsid w:val="00591509"/>
    <w:rsid w:val="005916A4"/>
    <w:rsid w:val="00591BA0"/>
    <w:rsid w:val="00591C89"/>
    <w:rsid w:val="00591DE8"/>
    <w:rsid w:val="00592537"/>
    <w:rsid w:val="00592819"/>
    <w:rsid w:val="005928A8"/>
    <w:rsid w:val="00592B1C"/>
    <w:rsid w:val="00592CEA"/>
    <w:rsid w:val="00592DC1"/>
    <w:rsid w:val="00592DE8"/>
    <w:rsid w:val="00592E75"/>
    <w:rsid w:val="005932AF"/>
    <w:rsid w:val="005933C2"/>
    <w:rsid w:val="00593416"/>
    <w:rsid w:val="005935CC"/>
    <w:rsid w:val="00593851"/>
    <w:rsid w:val="0059386A"/>
    <w:rsid w:val="00593996"/>
    <w:rsid w:val="00593B0D"/>
    <w:rsid w:val="00593B8C"/>
    <w:rsid w:val="00593E88"/>
    <w:rsid w:val="00594348"/>
    <w:rsid w:val="005943E3"/>
    <w:rsid w:val="0059449D"/>
    <w:rsid w:val="00594A44"/>
    <w:rsid w:val="00594E37"/>
    <w:rsid w:val="00594F86"/>
    <w:rsid w:val="0059500D"/>
    <w:rsid w:val="00595122"/>
    <w:rsid w:val="00595565"/>
    <w:rsid w:val="0059558B"/>
    <w:rsid w:val="005955B5"/>
    <w:rsid w:val="00595607"/>
    <w:rsid w:val="005958AF"/>
    <w:rsid w:val="005959C6"/>
    <w:rsid w:val="005960C5"/>
    <w:rsid w:val="00596421"/>
    <w:rsid w:val="005966FC"/>
    <w:rsid w:val="00596D96"/>
    <w:rsid w:val="00596DD9"/>
    <w:rsid w:val="00596E61"/>
    <w:rsid w:val="00597199"/>
    <w:rsid w:val="00597204"/>
    <w:rsid w:val="0059764A"/>
    <w:rsid w:val="0059770D"/>
    <w:rsid w:val="00597908"/>
    <w:rsid w:val="00597CC4"/>
    <w:rsid w:val="00597CDE"/>
    <w:rsid w:val="00597DEC"/>
    <w:rsid w:val="00597E92"/>
    <w:rsid w:val="005A0857"/>
    <w:rsid w:val="005A0A1B"/>
    <w:rsid w:val="005A0ACE"/>
    <w:rsid w:val="005A0C0E"/>
    <w:rsid w:val="005A1222"/>
    <w:rsid w:val="005A193E"/>
    <w:rsid w:val="005A1979"/>
    <w:rsid w:val="005A1B6F"/>
    <w:rsid w:val="005A1CCF"/>
    <w:rsid w:val="005A1D52"/>
    <w:rsid w:val="005A27C8"/>
    <w:rsid w:val="005A2A12"/>
    <w:rsid w:val="005A2BFE"/>
    <w:rsid w:val="005A2F2B"/>
    <w:rsid w:val="005A2FB3"/>
    <w:rsid w:val="005A344B"/>
    <w:rsid w:val="005A3665"/>
    <w:rsid w:val="005A37FC"/>
    <w:rsid w:val="005A3B9E"/>
    <w:rsid w:val="005A3C28"/>
    <w:rsid w:val="005A3C78"/>
    <w:rsid w:val="005A3FED"/>
    <w:rsid w:val="005A4385"/>
    <w:rsid w:val="005A485D"/>
    <w:rsid w:val="005A48FF"/>
    <w:rsid w:val="005A4CA5"/>
    <w:rsid w:val="005A4E69"/>
    <w:rsid w:val="005A4F25"/>
    <w:rsid w:val="005A5078"/>
    <w:rsid w:val="005A52C9"/>
    <w:rsid w:val="005A548D"/>
    <w:rsid w:val="005A58FD"/>
    <w:rsid w:val="005A5B61"/>
    <w:rsid w:val="005A5BA3"/>
    <w:rsid w:val="005A5D02"/>
    <w:rsid w:val="005A5F69"/>
    <w:rsid w:val="005A6068"/>
    <w:rsid w:val="005A6359"/>
    <w:rsid w:val="005A63EA"/>
    <w:rsid w:val="005A6472"/>
    <w:rsid w:val="005A6AD1"/>
    <w:rsid w:val="005A6D04"/>
    <w:rsid w:val="005A6D27"/>
    <w:rsid w:val="005A6EF9"/>
    <w:rsid w:val="005A6F5E"/>
    <w:rsid w:val="005A6FCE"/>
    <w:rsid w:val="005A7089"/>
    <w:rsid w:val="005A7A10"/>
    <w:rsid w:val="005A7A68"/>
    <w:rsid w:val="005B0035"/>
    <w:rsid w:val="005B069A"/>
    <w:rsid w:val="005B0781"/>
    <w:rsid w:val="005B08B7"/>
    <w:rsid w:val="005B0992"/>
    <w:rsid w:val="005B0BC5"/>
    <w:rsid w:val="005B0D66"/>
    <w:rsid w:val="005B0EF4"/>
    <w:rsid w:val="005B1214"/>
    <w:rsid w:val="005B128A"/>
    <w:rsid w:val="005B150C"/>
    <w:rsid w:val="005B1608"/>
    <w:rsid w:val="005B170E"/>
    <w:rsid w:val="005B1AF7"/>
    <w:rsid w:val="005B1B00"/>
    <w:rsid w:val="005B1DBB"/>
    <w:rsid w:val="005B1F5C"/>
    <w:rsid w:val="005B210E"/>
    <w:rsid w:val="005B2151"/>
    <w:rsid w:val="005B23E9"/>
    <w:rsid w:val="005B24A4"/>
    <w:rsid w:val="005B268D"/>
    <w:rsid w:val="005B2736"/>
    <w:rsid w:val="005B2749"/>
    <w:rsid w:val="005B2CB3"/>
    <w:rsid w:val="005B2CC6"/>
    <w:rsid w:val="005B2DA7"/>
    <w:rsid w:val="005B2E12"/>
    <w:rsid w:val="005B337E"/>
    <w:rsid w:val="005B3468"/>
    <w:rsid w:val="005B360C"/>
    <w:rsid w:val="005B3AC4"/>
    <w:rsid w:val="005B3E18"/>
    <w:rsid w:val="005B3F18"/>
    <w:rsid w:val="005B4051"/>
    <w:rsid w:val="005B41D0"/>
    <w:rsid w:val="005B4204"/>
    <w:rsid w:val="005B42ED"/>
    <w:rsid w:val="005B449A"/>
    <w:rsid w:val="005B48E4"/>
    <w:rsid w:val="005B4A10"/>
    <w:rsid w:val="005B4A48"/>
    <w:rsid w:val="005B4ABA"/>
    <w:rsid w:val="005B4D53"/>
    <w:rsid w:val="005B4F3A"/>
    <w:rsid w:val="005B5550"/>
    <w:rsid w:val="005B573D"/>
    <w:rsid w:val="005B583E"/>
    <w:rsid w:val="005B5A87"/>
    <w:rsid w:val="005B5C33"/>
    <w:rsid w:val="005B6BD0"/>
    <w:rsid w:val="005B6DF4"/>
    <w:rsid w:val="005B7113"/>
    <w:rsid w:val="005B79A0"/>
    <w:rsid w:val="005B7C3C"/>
    <w:rsid w:val="005B7CE3"/>
    <w:rsid w:val="005C0123"/>
    <w:rsid w:val="005C03BC"/>
    <w:rsid w:val="005C06CA"/>
    <w:rsid w:val="005C08CC"/>
    <w:rsid w:val="005C096D"/>
    <w:rsid w:val="005C0C84"/>
    <w:rsid w:val="005C0DF6"/>
    <w:rsid w:val="005C0F42"/>
    <w:rsid w:val="005C106A"/>
    <w:rsid w:val="005C123F"/>
    <w:rsid w:val="005C13B5"/>
    <w:rsid w:val="005C1834"/>
    <w:rsid w:val="005C1E5C"/>
    <w:rsid w:val="005C2041"/>
    <w:rsid w:val="005C204E"/>
    <w:rsid w:val="005C26B3"/>
    <w:rsid w:val="005C302E"/>
    <w:rsid w:val="005C309B"/>
    <w:rsid w:val="005C30F0"/>
    <w:rsid w:val="005C31F2"/>
    <w:rsid w:val="005C3551"/>
    <w:rsid w:val="005C36FD"/>
    <w:rsid w:val="005C3849"/>
    <w:rsid w:val="005C3919"/>
    <w:rsid w:val="005C39AA"/>
    <w:rsid w:val="005C3F2C"/>
    <w:rsid w:val="005C3FC1"/>
    <w:rsid w:val="005C3FED"/>
    <w:rsid w:val="005C404A"/>
    <w:rsid w:val="005C4058"/>
    <w:rsid w:val="005C424C"/>
    <w:rsid w:val="005C45BB"/>
    <w:rsid w:val="005C480E"/>
    <w:rsid w:val="005C489B"/>
    <w:rsid w:val="005C48D7"/>
    <w:rsid w:val="005C4EAE"/>
    <w:rsid w:val="005C4F25"/>
    <w:rsid w:val="005C5D22"/>
    <w:rsid w:val="005C5DB0"/>
    <w:rsid w:val="005C66A2"/>
    <w:rsid w:val="005C670F"/>
    <w:rsid w:val="005C6AE3"/>
    <w:rsid w:val="005C6F2D"/>
    <w:rsid w:val="005C6F41"/>
    <w:rsid w:val="005C6F4E"/>
    <w:rsid w:val="005C70C0"/>
    <w:rsid w:val="005C7147"/>
    <w:rsid w:val="005C77C6"/>
    <w:rsid w:val="005C77D8"/>
    <w:rsid w:val="005C7831"/>
    <w:rsid w:val="005C7AEF"/>
    <w:rsid w:val="005C7B53"/>
    <w:rsid w:val="005C7E24"/>
    <w:rsid w:val="005D010C"/>
    <w:rsid w:val="005D0265"/>
    <w:rsid w:val="005D02AC"/>
    <w:rsid w:val="005D046B"/>
    <w:rsid w:val="005D0593"/>
    <w:rsid w:val="005D0663"/>
    <w:rsid w:val="005D069F"/>
    <w:rsid w:val="005D0813"/>
    <w:rsid w:val="005D084F"/>
    <w:rsid w:val="005D0C44"/>
    <w:rsid w:val="005D0E8E"/>
    <w:rsid w:val="005D0F25"/>
    <w:rsid w:val="005D1220"/>
    <w:rsid w:val="005D1233"/>
    <w:rsid w:val="005D12E4"/>
    <w:rsid w:val="005D15DD"/>
    <w:rsid w:val="005D171A"/>
    <w:rsid w:val="005D1910"/>
    <w:rsid w:val="005D1BCB"/>
    <w:rsid w:val="005D1CC5"/>
    <w:rsid w:val="005D1F3C"/>
    <w:rsid w:val="005D1F86"/>
    <w:rsid w:val="005D21C2"/>
    <w:rsid w:val="005D2201"/>
    <w:rsid w:val="005D22C2"/>
    <w:rsid w:val="005D248F"/>
    <w:rsid w:val="005D252F"/>
    <w:rsid w:val="005D26EB"/>
    <w:rsid w:val="005D2FCF"/>
    <w:rsid w:val="005D3028"/>
    <w:rsid w:val="005D3182"/>
    <w:rsid w:val="005D320F"/>
    <w:rsid w:val="005D3464"/>
    <w:rsid w:val="005D3621"/>
    <w:rsid w:val="005D3706"/>
    <w:rsid w:val="005D3C68"/>
    <w:rsid w:val="005D3C7E"/>
    <w:rsid w:val="005D3C9C"/>
    <w:rsid w:val="005D3DBD"/>
    <w:rsid w:val="005D3E35"/>
    <w:rsid w:val="005D3EFE"/>
    <w:rsid w:val="005D421F"/>
    <w:rsid w:val="005D4321"/>
    <w:rsid w:val="005D493E"/>
    <w:rsid w:val="005D49B7"/>
    <w:rsid w:val="005D4A9C"/>
    <w:rsid w:val="005D4EBC"/>
    <w:rsid w:val="005D4F63"/>
    <w:rsid w:val="005D4F9C"/>
    <w:rsid w:val="005D5044"/>
    <w:rsid w:val="005D57D2"/>
    <w:rsid w:val="005D5B02"/>
    <w:rsid w:val="005D5C61"/>
    <w:rsid w:val="005D5D53"/>
    <w:rsid w:val="005D5D67"/>
    <w:rsid w:val="005D5E40"/>
    <w:rsid w:val="005D6070"/>
    <w:rsid w:val="005D6553"/>
    <w:rsid w:val="005D6BDB"/>
    <w:rsid w:val="005D6D2B"/>
    <w:rsid w:val="005D6DE2"/>
    <w:rsid w:val="005D70CD"/>
    <w:rsid w:val="005D731B"/>
    <w:rsid w:val="005D73AF"/>
    <w:rsid w:val="005D767D"/>
    <w:rsid w:val="005D7718"/>
    <w:rsid w:val="005E014B"/>
    <w:rsid w:val="005E0A1B"/>
    <w:rsid w:val="005E0A97"/>
    <w:rsid w:val="005E0BB4"/>
    <w:rsid w:val="005E11F9"/>
    <w:rsid w:val="005E12F7"/>
    <w:rsid w:val="005E1540"/>
    <w:rsid w:val="005E16F5"/>
    <w:rsid w:val="005E1715"/>
    <w:rsid w:val="005E190F"/>
    <w:rsid w:val="005E1B7B"/>
    <w:rsid w:val="005E1C4D"/>
    <w:rsid w:val="005E1C58"/>
    <w:rsid w:val="005E1D04"/>
    <w:rsid w:val="005E1D43"/>
    <w:rsid w:val="005E1D7C"/>
    <w:rsid w:val="005E1D91"/>
    <w:rsid w:val="005E21CC"/>
    <w:rsid w:val="005E2356"/>
    <w:rsid w:val="005E2613"/>
    <w:rsid w:val="005E2621"/>
    <w:rsid w:val="005E2804"/>
    <w:rsid w:val="005E280A"/>
    <w:rsid w:val="005E282C"/>
    <w:rsid w:val="005E2BE4"/>
    <w:rsid w:val="005E3148"/>
    <w:rsid w:val="005E34A5"/>
    <w:rsid w:val="005E351D"/>
    <w:rsid w:val="005E3590"/>
    <w:rsid w:val="005E37C0"/>
    <w:rsid w:val="005E39A3"/>
    <w:rsid w:val="005E3BAF"/>
    <w:rsid w:val="005E3C40"/>
    <w:rsid w:val="005E3C5A"/>
    <w:rsid w:val="005E3D82"/>
    <w:rsid w:val="005E4068"/>
    <w:rsid w:val="005E425B"/>
    <w:rsid w:val="005E43FC"/>
    <w:rsid w:val="005E45A4"/>
    <w:rsid w:val="005E4632"/>
    <w:rsid w:val="005E48D0"/>
    <w:rsid w:val="005E50E1"/>
    <w:rsid w:val="005E5195"/>
    <w:rsid w:val="005E521B"/>
    <w:rsid w:val="005E55D2"/>
    <w:rsid w:val="005E5677"/>
    <w:rsid w:val="005E5931"/>
    <w:rsid w:val="005E5B7B"/>
    <w:rsid w:val="005E5BE2"/>
    <w:rsid w:val="005E5DBF"/>
    <w:rsid w:val="005E5EEF"/>
    <w:rsid w:val="005E61AD"/>
    <w:rsid w:val="005E62DC"/>
    <w:rsid w:val="005E66B0"/>
    <w:rsid w:val="005E6757"/>
    <w:rsid w:val="005E67C1"/>
    <w:rsid w:val="005E682C"/>
    <w:rsid w:val="005E6F34"/>
    <w:rsid w:val="005E7098"/>
    <w:rsid w:val="005E72A4"/>
    <w:rsid w:val="005E74B4"/>
    <w:rsid w:val="005E74F2"/>
    <w:rsid w:val="005E755F"/>
    <w:rsid w:val="005E7642"/>
    <w:rsid w:val="005E7755"/>
    <w:rsid w:val="005E78B4"/>
    <w:rsid w:val="005E7DB9"/>
    <w:rsid w:val="005F0114"/>
    <w:rsid w:val="005F034D"/>
    <w:rsid w:val="005F038E"/>
    <w:rsid w:val="005F08B8"/>
    <w:rsid w:val="005F091F"/>
    <w:rsid w:val="005F0C3F"/>
    <w:rsid w:val="005F1120"/>
    <w:rsid w:val="005F114B"/>
    <w:rsid w:val="005F1861"/>
    <w:rsid w:val="005F1CAD"/>
    <w:rsid w:val="005F228B"/>
    <w:rsid w:val="005F25A6"/>
    <w:rsid w:val="005F28A2"/>
    <w:rsid w:val="005F2BA4"/>
    <w:rsid w:val="005F2D7F"/>
    <w:rsid w:val="005F2EE5"/>
    <w:rsid w:val="005F2FD6"/>
    <w:rsid w:val="005F3203"/>
    <w:rsid w:val="005F367F"/>
    <w:rsid w:val="005F38AB"/>
    <w:rsid w:val="005F3F00"/>
    <w:rsid w:val="005F40FB"/>
    <w:rsid w:val="005F429B"/>
    <w:rsid w:val="005F4342"/>
    <w:rsid w:val="005F475F"/>
    <w:rsid w:val="005F4A10"/>
    <w:rsid w:val="005F4A46"/>
    <w:rsid w:val="005F4A99"/>
    <w:rsid w:val="005F4BEA"/>
    <w:rsid w:val="005F4C4B"/>
    <w:rsid w:val="005F4C57"/>
    <w:rsid w:val="005F4F36"/>
    <w:rsid w:val="005F51FE"/>
    <w:rsid w:val="005F55B1"/>
    <w:rsid w:val="005F5B21"/>
    <w:rsid w:val="005F5DBE"/>
    <w:rsid w:val="005F5F13"/>
    <w:rsid w:val="005F62F1"/>
    <w:rsid w:val="005F62F4"/>
    <w:rsid w:val="005F6330"/>
    <w:rsid w:val="005F63C3"/>
    <w:rsid w:val="005F63CE"/>
    <w:rsid w:val="005F679C"/>
    <w:rsid w:val="005F680A"/>
    <w:rsid w:val="005F6B08"/>
    <w:rsid w:val="005F6BDB"/>
    <w:rsid w:val="005F6E90"/>
    <w:rsid w:val="005F718C"/>
    <w:rsid w:val="005F729D"/>
    <w:rsid w:val="005F7561"/>
    <w:rsid w:val="005F780C"/>
    <w:rsid w:val="005F780D"/>
    <w:rsid w:val="005F79D4"/>
    <w:rsid w:val="005F7B44"/>
    <w:rsid w:val="005F7E51"/>
    <w:rsid w:val="006000FC"/>
    <w:rsid w:val="00600163"/>
    <w:rsid w:val="00600172"/>
    <w:rsid w:val="00600252"/>
    <w:rsid w:val="00600262"/>
    <w:rsid w:val="0060035C"/>
    <w:rsid w:val="006008C6"/>
    <w:rsid w:val="00600A73"/>
    <w:rsid w:val="00600C1C"/>
    <w:rsid w:val="00600C81"/>
    <w:rsid w:val="0060114C"/>
    <w:rsid w:val="00601A08"/>
    <w:rsid w:val="00601A09"/>
    <w:rsid w:val="00601A8F"/>
    <w:rsid w:val="00601D3E"/>
    <w:rsid w:val="006020E2"/>
    <w:rsid w:val="0060261B"/>
    <w:rsid w:val="00602A09"/>
    <w:rsid w:val="00602F10"/>
    <w:rsid w:val="00602F52"/>
    <w:rsid w:val="006030D5"/>
    <w:rsid w:val="006030FE"/>
    <w:rsid w:val="006031DE"/>
    <w:rsid w:val="00603397"/>
    <w:rsid w:val="006033EA"/>
    <w:rsid w:val="006035C0"/>
    <w:rsid w:val="006035FA"/>
    <w:rsid w:val="00603A16"/>
    <w:rsid w:val="00603DB2"/>
    <w:rsid w:val="00603DD6"/>
    <w:rsid w:val="00604692"/>
    <w:rsid w:val="006050AC"/>
    <w:rsid w:val="00605532"/>
    <w:rsid w:val="00605D10"/>
    <w:rsid w:val="00605E4E"/>
    <w:rsid w:val="006063B0"/>
    <w:rsid w:val="00606432"/>
    <w:rsid w:val="0060653C"/>
    <w:rsid w:val="00606593"/>
    <w:rsid w:val="00606748"/>
    <w:rsid w:val="0060684C"/>
    <w:rsid w:val="006068A9"/>
    <w:rsid w:val="00606AB4"/>
    <w:rsid w:val="00606AC4"/>
    <w:rsid w:val="00606CE2"/>
    <w:rsid w:val="00607113"/>
    <w:rsid w:val="006075FC"/>
    <w:rsid w:val="006078E0"/>
    <w:rsid w:val="0060796F"/>
    <w:rsid w:val="00607E59"/>
    <w:rsid w:val="00607E5F"/>
    <w:rsid w:val="00610748"/>
    <w:rsid w:val="00610A8C"/>
    <w:rsid w:val="00610B37"/>
    <w:rsid w:val="00610B4E"/>
    <w:rsid w:val="00610B52"/>
    <w:rsid w:val="00610BBC"/>
    <w:rsid w:val="00610F5F"/>
    <w:rsid w:val="00610F95"/>
    <w:rsid w:val="00611199"/>
    <w:rsid w:val="00611283"/>
    <w:rsid w:val="0061132F"/>
    <w:rsid w:val="0061140F"/>
    <w:rsid w:val="006114FB"/>
    <w:rsid w:val="00611ACF"/>
    <w:rsid w:val="00611B11"/>
    <w:rsid w:val="00611B27"/>
    <w:rsid w:val="00611C08"/>
    <w:rsid w:val="00611CF1"/>
    <w:rsid w:val="00611FE6"/>
    <w:rsid w:val="0061202A"/>
    <w:rsid w:val="00612055"/>
    <w:rsid w:val="00612418"/>
    <w:rsid w:val="0061241B"/>
    <w:rsid w:val="0061245B"/>
    <w:rsid w:val="006124F3"/>
    <w:rsid w:val="00612537"/>
    <w:rsid w:val="00612631"/>
    <w:rsid w:val="006126BB"/>
    <w:rsid w:val="006126E5"/>
    <w:rsid w:val="00612960"/>
    <w:rsid w:val="006129AD"/>
    <w:rsid w:val="00612B0D"/>
    <w:rsid w:val="00612B25"/>
    <w:rsid w:val="00612D0E"/>
    <w:rsid w:val="00612D4F"/>
    <w:rsid w:val="00612EEC"/>
    <w:rsid w:val="00612F37"/>
    <w:rsid w:val="006131A7"/>
    <w:rsid w:val="00613213"/>
    <w:rsid w:val="0061331C"/>
    <w:rsid w:val="0061351D"/>
    <w:rsid w:val="0061386E"/>
    <w:rsid w:val="006138B1"/>
    <w:rsid w:val="006139F8"/>
    <w:rsid w:val="00613B7E"/>
    <w:rsid w:val="00613FC6"/>
    <w:rsid w:val="00613FE4"/>
    <w:rsid w:val="006143EB"/>
    <w:rsid w:val="006146B8"/>
    <w:rsid w:val="00614AAF"/>
    <w:rsid w:val="00614BDF"/>
    <w:rsid w:val="006153EF"/>
    <w:rsid w:val="0061544E"/>
    <w:rsid w:val="0061561F"/>
    <w:rsid w:val="00615A06"/>
    <w:rsid w:val="00615A59"/>
    <w:rsid w:val="00615C22"/>
    <w:rsid w:val="00615E49"/>
    <w:rsid w:val="00615E58"/>
    <w:rsid w:val="00616146"/>
    <w:rsid w:val="00616303"/>
    <w:rsid w:val="00616582"/>
    <w:rsid w:val="006168D4"/>
    <w:rsid w:val="00616A0D"/>
    <w:rsid w:val="00616BFB"/>
    <w:rsid w:val="00616C35"/>
    <w:rsid w:val="00616D88"/>
    <w:rsid w:val="00616DBD"/>
    <w:rsid w:val="00616FB0"/>
    <w:rsid w:val="0061717D"/>
    <w:rsid w:val="006171E8"/>
    <w:rsid w:val="00617610"/>
    <w:rsid w:val="006176C0"/>
    <w:rsid w:val="00617741"/>
    <w:rsid w:val="0061791E"/>
    <w:rsid w:val="00617B28"/>
    <w:rsid w:val="00617BBF"/>
    <w:rsid w:val="00617BE6"/>
    <w:rsid w:val="00617D63"/>
    <w:rsid w:val="0062002D"/>
    <w:rsid w:val="006205C4"/>
    <w:rsid w:val="0062068A"/>
    <w:rsid w:val="006206D4"/>
    <w:rsid w:val="00620743"/>
    <w:rsid w:val="00620B11"/>
    <w:rsid w:val="00620ED4"/>
    <w:rsid w:val="00620F9E"/>
    <w:rsid w:val="00620FBC"/>
    <w:rsid w:val="00621865"/>
    <w:rsid w:val="006219D3"/>
    <w:rsid w:val="00621A4A"/>
    <w:rsid w:val="00621C23"/>
    <w:rsid w:val="00621F47"/>
    <w:rsid w:val="00622271"/>
    <w:rsid w:val="006223CE"/>
    <w:rsid w:val="00622613"/>
    <w:rsid w:val="00622BEB"/>
    <w:rsid w:val="00622BFE"/>
    <w:rsid w:val="00622C4E"/>
    <w:rsid w:val="00622D40"/>
    <w:rsid w:val="00623092"/>
    <w:rsid w:val="00623233"/>
    <w:rsid w:val="0062323A"/>
    <w:rsid w:val="006232CF"/>
    <w:rsid w:val="006232F8"/>
    <w:rsid w:val="00623368"/>
    <w:rsid w:val="006236F2"/>
    <w:rsid w:val="00623B50"/>
    <w:rsid w:val="0062428B"/>
    <w:rsid w:val="0062439F"/>
    <w:rsid w:val="006244DB"/>
    <w:rsid w:val="00624540"/>
    <w:rsid w:val="00624961"/>
    <w:rsid w:val="00624BDA"/>
    <w:rsid w:val="00624C47"/>
    <w:rsid w:val="00624CA1"/>
    <w:rsid w:val="00624E72"/>
    <w:rsid w:val="00624FE2"/>
    <w:rsid w:val="00625165"/>
    <w:rsid w:val="00625446"/>
    <w:rsid w:val="006255CF"/>
    <w:rsid w:val="0062565D"/>
    <w:rsid w:val="00625773"/>
    <w:rsid w:val="006257F4"/>
    <w:rsid w:val="00625829"/>
    <w:rsid w:val="0062585B"/>
    <w:rsid w:val="00625C78"/>
    <w:rsid w:val="00625D39"/>
    <w:rsid w:val="00626212"/>
    <w:rsid w:val="00626278"/>
    <w:rsid w:val="0062656F"/>
    <w:rsid w:val="00626AAF"/>
    <w:rsid w:val="00626C47"/>
    <w:rsid w:val="00626D68"/>
    <w:rsid w:val="00626DBC"/>
    <w:rsid w:val="00626F18"/>
    <w:rsid w:val="00627515"/>
    <w:rsid w:val="0062778E"/>
    <w:rsid w:val="00627AC5"/>
    <w:rsid w:val="00627B66"/>
    <w:rsid w:val="00627DDC"/>
    <w:rsid w:val="00630186"/>
    <w:rsid w:val="006307C7"/>
    <w:rsid w:val="00630A82"/>
    <w:rsid w:val="00630B7A"/>
    <w:rsid w:val="00630B9E"/>
    <w:rsid w:val="00630CC3"/>
    <w:rsid w:val="00630D58"/>
    <w:rsid w:val="00630DD9"/>
    <w:rsid w:val="00630E56"/>
    <w:rsid w:val="00630F2A"/>
    <w:rsid w:val="006313D9"/>
    <w:rsid w:val="00631499"/>
    <w:rsid w:val="00631526"/>
    <w:rsid w:val="00631730"/>
    <w:rsid w:val="00631A09"/>
    <w:rsid w:val="00631B17"/>
    <w:rsid w:val="00632406"/>
    <w:rsid w:val="006325ED"/>
    <w:rsid w:val="006326EB"/>
    <w:rsid w:val="00632982"/>
    <w:rsid w:val="006329F5"/>
    <w:rsid w:val="0063325E"/>
    <w:rsid w:val="00633406"/>
    <w:rsid w:val="00633689"/>
    <w:rsid w:val="006338C4"/>
    <w:rsid w:val="00633CCC"/>
    <w:rsid w:val="00633D15"/>
    <w:rsid w:val="00634037"/>
    <w:rsid w:val="00634206"/>
    <w:rsid w:val="0063474A"/>
    <w:rsid w:val="00634812"/>
    <w:rsid w:val="006348D2"/>
    <w:rsid w:val="006348D5"/>
    <w:rsid w:val="006348F4"/>
    <w:rsid w:val="00634B2E"/>
    <w:rsid w:val="00634FB9"/>
    <w:rsid w:val="00635025"/>
    <w:rsid w:val="006353A9"/>
    <w:rsid w:val="006353D3"/>
    <w:rsid w:val="00635839"/>
    <w:rsid w:val="00635B64"/>
    <w:rsid w:val="00635C76"/>
    <w:rsid w:val="00635D41"/>
    <w:rsid w:val="00635F66"/>
    <w:rsid w:val="00636647"/>
    <w:rsid w:val="006366F6"/>
    <w:rsid w:val="00636A26"/>
    <w:rsid w:val="00636B12"/>
    <w:rsid w:val="00636BA9"/>
    <w:rsid w:val="00636F68"/>
    <w:rsid w:val="006370DF"/>
    <w:rsid w:val="0063731E"/>
    <w:rsid w:val="00637432"/>
    <w:rsid w:val="00637451"/>
    <w:rsid w:val="0063762C"/>
    <w:rsid w:val="00637683"/>
    <w:rsid w:val="006377A3"/>
    <w:rsid w:val="00637AC7"/>
    <w:rsid w:val="00637BCE"/>
    <w:rsid w:val="00640372"/>
    <w:rsid w:val="006404CE"/>
    <w:rsid w:val="00640505"/>
    <w:rsid w:val="00640779"/>
    <w:rsid w:val="0064094A"/>
    <w:rsid w:val="00640A46"/>
    <w:rsid w:val="00640B31"/>
    <w:rsid w:val="00640B86"/>
    <w:rsid w:val="00641142"/>
    <w:rsid w:val="00641201"/>
    <w:rsid w:val="0064143D"/>
    <w:rsid w:val="00641953"/>
    <w:rsid w:val="00641BB4"/>
    <w:rsid w:val="00641D95"/>
    <w:rsid w:val="00642235"/>
    <w:rsid w:val="006424CF"/>
    <w:rsid w:val="0064252F"/>
    <w:rsid w:val="00642716"/>
    <w:rsid w:val="00642825"/>
    <w:rsid w:val="00642D2B"/>
    <w:rsid w:val="00642E1B"/>
    <w:rsid w:val="00642F4E"/>
    <w:rsid w:val="006431E3"/>
    <w:rsid w:val="0064322D"/>
    <w:rsid w:val="00643260"/>
    <w:rsid w:val="006436A2"/>
    <w:rsid w:val="006436BD"/>
    <w:rsid w:val="0064378B"/>
    <w:rsid w:val="0064380C"/>
    <w:rsid w:val="00643BDD"/>
    <w:rsid w:val="00643D2C"/>
    <w:rsid w:val="00644001"/>
    <w:rsid w:val="006441B1"/>
    <w:rsid w:val="00644348"/>
    <w:rsid w:val="006446D5"/>
    <w:rsid w:val="00645273"/>
    <w:rsid w:val="006452E7"/>
    <w:rsid w:val="0064542A"/>
    <w:rsid w:val="0064595B"/>
    <w:rsid w:val="00645A06"/>
    <w:rsid w:val="00645AD3"/>
    <w:rsid w:val="00645C13"/>
    <w:rsid w:val="006460C7"/>
    <w:rsid w:val="006462F3"/>
    <w:rsid w:val="0064630B"/>
    <w:rsid w:val="00646419"/>
    <w:rsid w:val="006464FC"/>
    <w:rsid w:val="00646532"/>
    <w:rsid w:val="00646C75"/>
    <w:rsid w:val="00646D39"/>
    <w:rsid w:val="00646F99"/>
    <w:rsid w:val="00646FA0"/>
    <w:rsid w:val="006470E9"/>
    <w:rsid w:val="006471E1"/>
    <w:rsid w:val="00647264"/>
    <w:rsid w:val="006472D2"/>
    <w:rsid w:val="006472F5"/>
    <w:rsid w:val="00647335"/>
    <w:rsid w:val="006475F1"/>
    <w:rsid w:val="006477FF"/>
    <w:rsid w:val="00647A36"/>
    <w:rsid w:val="00647BF8"/>
    <w:rsid w:val="0065001E"/>
    <w:rsid w:val="0065017E"/>
    <w:rsid w:val="0065071D"/>
    <w:rsid w:val="006509DD"/>
    <w:rsid w:val="00650B61"/>
    <w:rsid w:val="00650BD8"/>
    <w:rsid w:val="00650BE0"/>
    <w:rsid w:val="00650C19"/>
    <w:rsid w:val="00650E12"/>
    <w:rsid w:val="00650F42"/>
    <w:rsid w:val="00650FCC"/>
    <w:rsid w:val="00651027"/>
    <w:rsid w:val="00651410"/>
    <w:rsid w:val="0065164E"/>
    <w:rsid w:val="00651803"/>
    <w:rsid w:val="006519E5"/>
    <w:rsid w:val="00651EAB"/>
    <w:rsid w:val="00651F5F"/>
    <w:rsid w:val="00652259"/>
    <w:rsid w:val="00652410"/>
    <w:rsid w:val="00652777"/>
    <w:rsid w:val="006528C9"/>
    <w:rsid w:val="00652A44"/>
    <w:rsid w:val="00652AE3"/>
    <w:rsid w:val="00652B4A"/>
    <w:rsid w:val="00652D17"/>
    <w:rsid w:val="00652DAF"/>
    <w:rsid w:val="00652DD4"/>
    <w:rsid w:val="00653042"/>
    <w:rsid w:val="0065339D"/>
    <w:rsid w:val="006533F0"/>
    <w:rsid w:val="0065376A"/>
    <w:rsid w:val="00653843"/>
    <w:rsid w:val="0065395A"/>
    <w:rsid w:val="00653A40"/>
    <w:rsid w:val="00653BD4"/>
    <w:rsid w:val="0065404B"/>
    <w:rsid w:val="00654152"/>
    <w:rsid w:val="006549A4"/>
    <w:rsid w:val="00654A39"/>
    <w:rsid w:val="00654C6B"/>
    <w:rsid w:val="00654EE1"/>
    <w:rsid w:val="00655278"/>
    <w:rsid w:val="00655280"/>
    <w:rsid w:val="00655612"/>
    <w:rsid w:val="00655AA2"/>
    <w:rsid w:val="00655F8B"/>
    <w:rsid w:val="00655FD1"/>
    <w:rsid w:val="00656A0A"/>
    <w:rsid w:val="00656B2E"/>
    <w:rsid w:val="00656CB5"/>
    <w:rsid w:val="00656E18"/>
    <w:rsid w:val="00657761"/>
    <w:rsid w:val="00657784"/>
    <w:rsid w:val="00657820"/>
    <w:rsid w:val="0065782C"/>
    <w:rsid w:val="006579A4"/>
    <w:rsid w:val="00657AFC"/>
    <w:rsid w:val="00657D66"/>
    <w:rsid w:val="00660536"/>
    <w:rsid w:val="0066057B"/>
    <w:rsid w:val="0066067C"/>
    <w:rsid w:val="006606A6"/>
    <w:rsid w:val="00660722"/>
    <w:rsid w:val="00660724"/>
    <w:rsid w:val="00660832"/>
    <w:rsid w:val="00660991"/>
    <w:rsid w:val="00660A8A"/>
    <w:rsid w:val="00660F59"/>
    <w:rsid w:val="00660FBE"/>
    <w:rsid w:val="00660FCE"/>
    <w:rsid w:val="006610BB"/>
    <w:rsid w:val="006612B2"/>
    <w:rsid w:val="006614E0"/>
    <w:rsid w:val="00661724"/>
    <w:rsid w:val="00661AA9"/>
    <w:rsid w:val="00661AF7"/>
    <w:rsid w:val="00661BDA"/>
    <w:rsid w:val="00661D13"/>
    <w:rsid w:val="00661D65"/>
    <w:rsid w:val="00661F5A"/>
    <w:rsid w:val="006622F0"/>
    <w:rsid w:val="00662B60"/>
    <w:rsid w:val="00662E6D"/>
    <w:rsid w:val="00662EC5"/>
    <w:rsid w:val="00662F32"/>
    <w:rsid w:val="00663070"/>
    <w:rsid w:val="006632EA"/>
    <w:rsid w:val="00663366"/>
    <w:rsid w:val="006638F2"/>
    <w:rsid w:val="00663A6B"/>
    <w:rsid w:val="00663C4B"/>
    <w:rsid w:val="00663D81"/>
    <w:rsid w:val="00663E3A"/>
    <w:rsid w:val="006641C5"/>
    <w:rsid w:val="006643EA"/>
    <w:rsid w:val="0066490D"/>
    <w:rsid w:val="006649F8"/>
    <w:rsid w:val="00664D27"/>
    <w:rsid w:val="00664E3A"/>
    <w:rsid w:val="00664F10"/>
    <w:rsid w:val="006650C8"/>
    <w:rsid w:val="006653E4"/>
    <w:rsid w:val="00665555"/>
    <w:rsid w:val="00665611"/>
    <w:rsid w:val="00665631"/>
    <w:rsid w:val="0066591C"/>
    <w:rsid w:val="00665C74"/>
    <w:rsid w:val="00665DB6"/>
    <w:rsid w:val="00665DD4"/>
    <w:rsid w:val="00665DE6"/>
    <w:rsid w:val="00665EEF"/>
    <w:rsid w:val="006662F7"/>
    <w:rsid w:val="0066640D"/>
    <w:rsid w:val="00666438"/>
    <w:rsid w:val="00666787"/>
    <w:rsid w:val="00666C74"/>
    <w:rsid w:val="00666E71"/>
    <w:rsid w:val="0066711B"/>
    <w:rsid w:val="006671C6"/>
    <w:rsid w:val="006676E1"/>
    <w:rsid w:val="00667784"/>
    <w:rsid w:val="00667A33"/>
    <w:rsid w:val="00667B92"/>
    <w:rsid w:val="00667BBB"/>
    <w:rsid w:val="00667CEB"/>
    <w:rsid w:val="00667DA8"/>
    <w:rsid w:val="00667F4D"/>
    <w:rsid w:val="006701D8"/>
    <w:rsid w:val="006702F8"/>
    <w:rsid w:val="00670CE1"/>
    <w:rsid w:val="00670E1E"/>
    <w:rsid w:val="0067106C"/>
    <w:rsid w:val="00671472"/>
    <w:rsid w:val="0067168E"/>
    <w:rsid w:val="006716E8"/>
    <w:rsid w:val="0067175B"/>
    <w:rsid w:val="006720E5"/>
    <w:rsid w:val="00672493"/>
    <w:rsid w:val="0067262A"/>
    <w:rsid w:val="0067266C"/>
    <w:rsid w:val="006727FD"/>
    <w:rsid w:val="00672C12"/>
    <w:rsid w:val="00672C63"/>
    <w:rsid w:val="00672CF2"/>
    <w:rsid w:val="0067303F"/>
    <w:rsid w:val="0067330D"/>
    <w:rsid w:val="00673330"/>
    <w:rsid w:val="00673365"/>
    <w:rsid w:val="006733A6"/>
    <w:rsid w:val="0067343F"/>
    <w:rsid w:val="0067365E"/>
    <w:rsid w:val="006736B3"/>
    <w:rsid w:val="00673829"/>
    <w:rsid w:val="00673956"/>
    <w:rsid w:val="00673CF9"/>
    <w:rsid w:val="00673D19"/>
    <w:rsid w:val="00673EA9"/>
    <w:rsid w:val="00673FFB"/>
    <w:rsid w:val="00674167"/>
    <w:rsid w:val="0067418D"/>
    <w:rsid w:val="0067485A"/>
    <w:rsid w:val="0067495B"/>
    <w:rsid w:val="00674C2B"/>
    <w:rsid w:val="00675200"/>
    <w:rsid w:val="006752CD"/>
    <w:rsid w:val="00675414"/>
    <w:rsid w:val="0067557B"/>
    <w:rsid w:val="0067571E"/>
    <w:rsid w:val="00675763"/>
    <w:rsid w:val="0067578A"/>
    <w:rsid w:val="00675CB6"/>
    <w:rsid w:val="00675CDB"/>
    <w:rsid w:val="00675E2B"/>
    <w:rsid w:val="006768C8"/>
    <w:rsid w:val="0067699F"/>
    <w:rsid w:val="00676AEA"/>
    <w:rsid w:val="00676E0B"/>
    <w:rsid w:val="00676E58"/>
    <w:rsid w:val="00676E7F"/>
    <w:rsid w:val="006770B2"/>
    <w:rsid w:val="00677412"/>
    <w:rsid w:val="006777B5"/>
    <w:rsid w:val="00680132"/>
    <w:rsid w:val="00680141"/>
    <w:rsid w:val="006801AA"/>
    <w:rsid w:val="006803B2"/>
    <w:rsid w:val="006806E3"/>
    <w:rsid w:val="0068079B"/>
    <w:rsid w:val="006808B9"/>
    <w:rsid w:val="00680ACD"/>
    <w:rsid w:val="00680D36"/>
    <w:rsid w:val="00680F52"/>
    <w:rsid w:val="00680FF7"/>
    <w:rsid w:val="00681224"/>
    <w:rsid w:val="006814A1"/>
    <w:rsid w:val="00681948"/>
    <w:rsid w:val="0068199A"/>
    <w:rsid w:val="00681A0F"/>
    <w:rsid w:val="00681D3D"/>
    <w:rsid w:val="00682138"/>
    <w:rsid w:val="006823B3"/>
    <w:rsid w:val="00682793"/>
    <w:rsid w:val="00682806"/>
    <w:rsid w:val="00682846"/>
    <w:rsid w:val="0068292E"/>
    <w:rsid w:val="00682B7A"/>
    <w:rsid w:val="00682BB4"/>
    <w:rsid w:val="00682E0C"/>
    <w:rsid w:val="00682E2A"/>
    <w:rsid w:val="0068316A"/>
    <w:rsid w:val="0068335C"/>
    <w:rsid w:val="0068354D"/>
    <w:rsid w:val="006835AD"/>
    <w:rsid w:val="00683736"/>
    <w:rsid w:val="006839B8"/>
    <w:rsid w:val="00683C60"/>
    <w:rsid w:val="00683FF8"/>
    <w:rsid w:val="006840AC"/>
    <w:rsid w:val="00684456"/>
    <w:rsid w:val="00684709"/>
    <w:rsid w:val="006847AC"/>
    <w:rsid w:val="00684AF0"/>
    <w:rsid w:val="00684D05"/>
    <w:rsid w:val="00685127"/>
    <w:rsid w:val="006852F5"/>
    <w:rsid w:val="0068552C"/>
    <w:rsid w:val="0068558A"/>
    <w:rsid w:val="006856F9"/>
    <w:rsid w:val="00685781"/>
    <w:rsid w:val="0068598A"/>
    <w:rsid w:val="00685C4E"/>
    <w:rsid w:val="006861AB"/>
    <w:rsid w:val="00686326"/>
    <w:rsid w:val="00686335"/>
    <w:rsid w:val="006866E9"/>
    <w:rsid w:val="00686960"/>
    <w:rsid w:val="00686C82"/>
    <w:rsid w:val="00686D33"/>
    <w:rsid w:val="00686EB3"/>
    <w:rsid w:val="00686EF6"/>
    <w:rsid w:val="00686F7A"/>
    <w:rsid w:val="00686FDE"/>
    <w:rsid w:val="0068702F"/>
    <w:rsid w:val="006873E5"/>
    <w:rsid w:val="006875BF"/>
    <w:rsid w:val="00687655"/>
    <w:rsid w:val="006879FB"/>
    <w:rsid w:val="00687BD8"/>
    <w:rsid w:val="00687C12"/>
    <w:rsid w:val="00687C2D"/>
    <w:rsid w:val="00687C4B"/>
    <w:rsid w:val="00687D5D"/>
    <w:rsid w:val="00687E68"/>
    <w:rsid w:val="00687F6B"/>
    <w:rsid w:val="006900F1"/>
    <w:rsid w:val="00690148"/>
    <w:rsid w:val="00690373"/>
    <w:rsid w:val="0069080B"/>
    <w:rsid w:val="00690CD1"/>
    <w:rsid w:val="00690FDB"/>
    <w:rsid w:val="00690FF3"/>
    <w:rsid w:val="00691501"/>
    <w:rsid w:val="006917E1"/>
    <w:rsid w:val="0069181E"/>
    <w:rsid w:val="00691AE7"/>
    <w:rsid w:val="00691C36"/>
    <w:rsid w:val="00691C3E"/>
    <w:rsid w:val="00692077"/>
    <w:rsid w:val="006923DF"/>
    <w:rsid w:val="0069284D"/>
    <w:rsid w:val="006928E4"/>
    <w:rsid w:val="00692B02"/>
    <w:rsid w:val="00692B43"/>
    <w:rsid w:val="00692BD0"/>
    <w:rsid w:val="00692FCE"/>
    <w:rsid w:val="00693121"/>
    <w:rsid w:val="00693464"/>
    <w:rsid w:val="006934E8"/>
    <w:rsid w:val="0069352D"/>
    <w:rsid w:val="006936FD"/>
    <w:rsid w:val="006938B1"/>
    <w:rsid w:val="00693A96"/>
    <w:rsid w:val="00693AA1"/>
    <w:rsid w:val="00693AD7"/>
    <w:rsid w:val="006940D7"/>
    <w:rsid w:val="00694170"/>
    <w:rsid w:val="006942C8"/>
    <w:rsid w:val="006946D3"/>
    <w:rsid w:val="00694871"/>
    <w:rsid w:val="00694935"/>
    <w:rsid w:val="00694E25"/>
    <w:rsid w:val="006951A1"/>
    <w:rsid w:val="006952FE"/>
    <w:rsid w:val="006958B4"/>
    <w:rsid w:val="00695A35"/>
    <w:rsid w:val="00695A60"/>
    <w:rsid w:val="00695C48"/>
    <w:rsid w:val="00695F7E"/>
    <w:rsid w:val="00696334"/>
    <w:rsid w:val="00696D55"/>
    <w:rsid w:val="0069729A"/>
    <w:rsid w:val="006976FD"/>
    <w:rsid w:val="0069772E"/>
    <w:rsid w:val="00697A22"/>
    <w:rsid w:val="00697C48"/>
    <w:rsid w:val="00697E83"/>
    <w:rsid w:val="00697EB6"/>
    <w:rsid w:val="00697F2A"/>
    <w:rsid w:val="006A014B"/>
    <w:rsid w:val="006A0260"/>
    <w:rsid w:val="006A02DB"/>
    <w:rsid w:val="006A0557"/>
    <w:rsid w:val="006A0579"/>
    <w:rsid w:val="006A05F7"/>
    <w:rsid w:val="006A089C"/>
    <w:rsid w:val="006A0CF7"/>
    <w:rsid w:val="006A115F"/>
    <w:rsid w:val="006A15C2"/>
    <w:rsid w:val="006A1AE2"/>
    <w:rsid w:val="006A1E0F"/>
    <w:rsid w:val="006A1EBD"/>
    <w:rsid w:val="006A1F86"/>
    <w:rsid w:val="006A1FC3"/>
    <w:rsid w:val="006A2241"/>
    <w:rsid w:val="006A2482"/>
    <w:rsid w:val="006A24F7"/>
    <w:rsid w:val="006A25F1"/>
    <w:rsid w:val="006A2739"/>
    <w:rsid w:val="006A2DC2"/>
    <w:rsid w:val="006A309E"/>
    <w:rsid w:val="006A30E2"/>
    <w:rsid w:val="006A354A"/>
    <w:rsid w:val="006A3622"/>
    <w:rsid w:val="006A3B76"/>
    <w:rsid w:val="006A3BC7"/>
    <w:rsid w:val="006A3C44"/>
    <w:rsid w:val="006A3F5E"/>
    <w:rsid w:val="006A437C"/>
    <w:rsid w:val="006A4A3F"/>
    <w:rsid w:val="006A4A79"/>
    <w:rsid w:val="006A4F2D"/>
    <w:rsid w:val="006A4F46"/>
    <w:rsid w:val="006A4F7A"/>
    <w:rsid w:val="006A4FE2"/>
    <w:rsid w:val="006A51AF"/>
    <w:rsid w:val="006A56CA"/>
    <w:rsid w:val="006A58D4"/>
    <w:rsid w:val="006A6030"/>
    <w:rsid w:val="006A62A8"/>
    <w:rsid w:val="006A6423"/>
    <w:rsid w:val="006A6863"/>
    <w:rsid w:val="006A687C"/>
    <w:rsid w:val="006A68AC"/>
    <w:rsid w:val="006A735D"/>
    <w:rsid w:val="006A73AA"/>
    <w:rsid w:val="006A7492"/>
    <w:rsid w:val="006A7500"/>
    <w:rsid w:val="006A761B"/>
    <w:rsid w:val="006A777A"/>
    <w:rsid w:val="006A780C"/>
    <w:rsid w:val="006A7910"/>
    <w:rsid w:val="006A7953"/>
    <w:rsid w:val="006A7CAE"/>
    <w:rsid w:val="006A7F31"/>
    <w:rsid w:val="006B02B9"/>
    <w:rsid w:val="006B06CC"/>
    <w:rsid w:val="006B06D2"/>
    <w:rsid w:val="006B0A3A"/>
    <w:rsid w:val="006B0A69"/>
    <w:rsid w:val="006B0AA8"/>
    <w:rsid w:val="006B0B3B"/>
    <w:rsid w:val="006B0CAF"/>
    <w:rsid w:val="006B0EC1"/>
    <w:rsid w:val="006B11DC"/>
    <w:rsid w:val="006B162C"/>
    <w:rsid w:val="006B1678"/>
    <w:rsid w:val="006B1760"/>
    <w:rsid w:val="006B1B6A"/>
    <w:rsid w:val="006B1DA4"/>
    <w:rsid w:val="006B24AC"/>
    <w:rsid w:val="006B2841"/>
    <w:rsid w:val="006B2A53"/>
    <w:rsid w:val="006B2A77"/>
    <w:rsid w:val="006B2ADA"/>
    <w:rsid w:val="006B2B0A"/>
    <w:rsid w:val="006B31AB"/>
    <w:rsid w:val="006B3335"/>
    <w:rsid w:val="006B3468"/>
    <w:rsid w:val="006B347B"/>
    <w:rsid w:val="006B35F8"/>
    <w:rsid w:val="006B3970"/>
    <w:rsid w:val="006B39D1"/>
    <w:rsid w:val="006B3F28"/>
    <w:rsid w:val="006B455D"/>
    <w:rsid w:val="006B54D4"/>
    <w:rsid w:val="006B59C1"/>
    <w:rsid w:val="006B5B32"/>
    <w:rsid w:val="006B5B73"/>
    <w:rsid w:val="006B5BFF"/>
    <w:rsid w:val="006B5E31"/>
    <w:rsid w:val="006B5E5F"/>
    <w:rsid w:val="006B6269"/>
    <w:rsid w:val="006B6407"/>
    <w:rsid w:val="006B6850"/>
    <w:rsid w:val="006B6965"/>
    <w:rsid w:val="006B698A"/>
    <w:rsid w:val="006B7391"/>
    <w:rsid w:val="006B762C"/>
    <w:rsid w:val="006B7898"/>
    <w:rsid w:val="006B796C"/>
    <w:rsid w:val="006B7978"/>
    <w:rsid w:val="006B7988"/>
    <w:rsid w:val="006B7B8E"/>
    <w:rsid w:val="006B7BFA"/>
    <w:rsid w:val="006B7D92"/>
    <w:rsid w:val="006B7F64"/>
    <w:rsid w:val="006C0134"/>
    <w:rsid w:val="006C0304"/>
    <w:rsid w:val="006C04BE"/>
    <w:rsid w:val="006C05ED"/>
    <w:rsid w:val="006C086A"/>
    <w:rsid w:val="006C0956"/>
    <w:rsid w:val="006C0AFD"/>
    <w:rsid w:val="006C0B38"/>
    <w:rsid w:val="006C12D4"/>
    <w:rsid w:val="006C1360"/>
    <w:rsid w:val="006C152D"/>
    <w:rsid w:val="006C1601"/>
    <w:rsid w:val="006C178D"/>
    <w:rsid w:val="006C1AB3"/>
    <w:rsid w:val="006C1C11"/>
    <w:rsid w:val="006C1C62"/>
    <w:rsid w:val="006C1D18"/>
    <w:rsid w:val="006C1E4B"/>
    <w:rsid w:val="006C2037"/>
    <w:rsid w:val="006C229A"/>
    <w:rsid w:val="006C25EC"/>
    <w:rsid w:val="006C267A"/>
    <w:rsid w:val="006C29A2"/>
    <w:rsid w:val="006C2EA0"/>
    <w:rsid w:val="006C30FB"/>
    <w:rsid w:val="006C33C2"/>
    <w:rsid w:val="006C3784"/>
    <w:rsid w:val="006C3E0B"/>
    <w:rsid w:val="006C48AF"/>
    <w:rsid w:val="006C491A"/>
    <w:rsid w:val="006C4DBD"/>
    <w:rsid w:val="006C4F2B"/>
    <w:rsid w:val="006C4F36"/>
    <w:rsid w:val="006C4F80"/>
    <w:rsid w:val="006C50E0"/>
    <w:rsid w:val="006C5800"/>
    <w:rsid w:val="006C581F"/>
    <w:rsid w:val="006C594A"/>
    <w:rsid w:val="006C59F3"/>
    <w:rsid w:val="006C5B99"/>
    <w:rsid w:val="006C60AE"/>
    <w:rsid w:val="006C61C6"/>
    <w:rsid w:val="006C663D"/>
    <w:rsid w:val="006C68C7"/>
    <w:rsid w:val="006C6D98"/>
    <w:rsid w:val="006C6E1A"/>
    <w:rsid w:val="006C6E41"/>
    <w:rsid w:val="006C6E48"/>
    <w:rsid w:val="006C6FF6"/>
    <w:rsid w:val="006C711B"/>
    <w:rsid w:val="006C74A7"/>
    <w:rsid w:val="006C77D2"/>
    <w:rsid w:val="006C78AA"/>
    <w:rsid w:val="006C7944"/>
    <w:rsid w:val="006C7D54"/>
    <w:rsid w:val="006C7F28"/>
    <w:rsid w:val="006D00CD"/>
    <w:rsid w:val="006D01D2"/>
    <w:rsid w:val="006D04EF"/>
    <w:rsid w:val="006D06E7"/>
    <w:rsid w:val="006D06ED"/>
    <w:rsid w:val="006D06F4"/>
    <w:rsid w:val="006D097D"/>
    <w:rsid w:val="006D097E"/>
    <w:rsid w:val="006D0DD0"/>
    <w:rsid w:val="006D1162"/>
    <w:rsid w:val="006D127F"/>
    <w:rsid w:val="006D13F8"/>
    <w:rsid w:val="006D15F2"/>
    <w:rsid w:val="006D1609"/>
    <w:rsid w:val="006D1768"/>
    <w:rsid w:val="006D1BC1"/>
    <w:rsid w:val="006D1E6D"/>
    <w:rsid w:val="006D24AB"/>
    <w:rsid w:val="006D2638"/>
    <w:rsid w:val="006D292F"/>
    <w:rsid w:val="006D2B9E"/>
    <w:rsid w:val="006D2E54"/>
    <w:rsid w:val="006D31E5"/>
    <w:rsid w:val="006D32D3"/>
    <w:rsid w:val="006D3364"/>
    <w:rsid w:val="006D37A1"/>
    <w:rsid w:val="006D385B"/>
    <w:rsid w:val="006D3B35"/>
    <w:rsid w:val="006D3BA4"/>
    <w:rsid w:val="006D3D09"/>
    <w:rsid w:val="006D4024"/>
    <w:rsid w:val="006D4099"/>
    <w:rsid w:val="006D483F"/>
    <w:rsid w:val="006D48D2"/>
    <w:rsid w:val="006D49E8"/>
    <w:rsid w:val="006D4F03"/>
    <w:rsid w:val="006D50FB"/>
    <w:rsid w:val="006D5216"/>
    <w:rsid w:val="006D58EB"/>
    <w:rsid w:val="006D59B2"/>
    <w:rsid w:val="006D5CEE"/>
    <w:rsid w:val="006D5DE2"/>
    <w:rsid w:val="006D5E53"/>
    <w:rsid w:val="006D61A3"/>
    <w:rsid w:val="006D6212"/>
    <w:rsid w:val="006D623F"/>
    <w:rsid w:val="006D649F"/>
    <w:rsid w:val="006D6A43"/>
    <w:rsid w:val="006D6A61"/>
    <w:rsid w:val="006D6D87"/>
    <w:rsid w:val="006D6DF1"/>
    <w:rsid w:val="006D6E36"/>
    <w:rsid w:val="006D71F8"/>
    <w:rsid w:val="006D739B"/>
    <w:rsid w:val="006D7411"/>
    <w:rsid w:val="006D79AB"/>
    <w:rsid w:val="006D7DA6"/>
    <w:rsid w:val="006D7E56"/>
    <w:rsid w:val="006E0416"/>
    <w:rsid w:val="006E065F"/>
    <w:rsid w:val="006E0829"/>
    <w:rsid w:val="006E0842"/>
    <w:rsid w:val="006E0A11"/>
    <w:rsid w:val="006E0A16"/>
    <w:rsid w:val="006E0AD8"/>
    <w:rsid w:val="006E0F9F"/>
    <w:rsid w:val="006E118D"/>
    <w:rsid w:val="006E1207"/>
    <w:rsid w:val="006E12FB"/>
    <w:rsid w:val="006E15AE"/>
    <w:rsid w:val="006E161D"/>
    <w:rsid w:val="006E1948"/>
    <w:rsid w:val="006E1E39"/>
    <w:rsid w:val="006E1F70"/>
    <w:rsid w:val="006E20B3"/>
    <w:rsid w:val="006E21A8"/>
    <w:rsid w:val="006E21EC"/>
    <w:rsid w:val="006E2397"/>
    <w:rsid w:val="006E2437"/>
    <w:rsid w:val="006E275A"/>
    <w:rsid w:val="006E2892"/>
    <w:rsid w:val="006E2D50"/>
    <w:rsid w:val="006E2F03"/>
    <w:rsid w:val="006E3399"/>
    <w:rsid w:val="006E3652"/>
    <w:rsid w:val="006E3753"/>
    <w:rsid w:val="006E3B9B"/>
    <w:rsid w:val="006E3C86"/>
    <w:rsid w:val="006E3C8E"/>
    <w:rsid w:val="006E3CC2"/>
    <w:rsid w:val="006E3E35"/>
    <w:rsid w:val="006E3E56"/>
    <w:rsid w:val="006E3E78"/>
    <w:rsid w:val="006E42BA"/>
    <w:rsid w:val="006E47EF"/>
    <w:rsid w:val="006E4948"/>
    <w:rsid w:val="006E4ACA"/>
    <w:rsid w:val="006E5140"/>
    <w:rsid w:val="006E53B0"/>
    <w:rsid w:val="006E56CD"/>
    <w:rsid w:val="006E6071"/>
    <w:rsid w:val="006E6140"/>
    <w:rsid w:val="006E6333"/>
    <w:rsid w:val="006E641C"/>
    <w:rsid w:val="006E6540"/>
    <w:rsid w:val="006E6957"/>
    <w:rsid w:val="006E6AE1"/>
    <w:rsid w:val="006E704C"/>
    <w:rsid w:val="006E71A1"/>
    <w:rsid w:val="006E71CA"/>
    <w:rsid w:val="006E74D4"/>
    <w:rsid w:val="006E7566"/>
    <w:rsid w:val="006E7C12"/>
    <w:rsid w:val="006E7E65"/>
    <w:rsid w:val="006F0308"/>
    <w:rsid w:val="006F038A"/>
    <w:rsid w:val="006F0567"/>
    <w:rsid w:val="006F09EF"/>
    <w:rsid w:val="006F0CD3"/>
    <w:rsid w:val="006F0E4A"/>
    <w:rsid w:val="006F11DE"/>
    <w:rsid w:val="006F1336"/>
    <w:rsid w:val="006F148A"/>
    <w:rsid w:val="006F1792"/>
    <w:rsid w:val="006F18D6"/>
    <w:rsid w:val="006F1B4F"/>
    <w:rsid w:val="006F20A6"/>
    <w:rsid w:val="006F2139"/>
    <w:rsid w:val="006F274D"/>
    <w:rsid w:val="006F2953"/>
    <w:rsid w:val="006F2C19"/>
    <w:rsid w:val="006F2D4B"/>
    <w:rsid w:val="006F316C"/>
    <w:rsid w:val="006F322C"/>
    <w:rsid w:val="006F3942"/>
    <w:rsid w:val="006F3C5E"/>
    <w:rsid w:val="006F3C6D"/>
    <w:rsid w:val="006F447E"/>
    <w:rsid w:val="006F484A"/>
    <w:rsid w:val="006F4984"/>
    <w:rsid w:val="006F4E73"/>
    <w:rsid w:val="006F504A"/>
    <w:rsid w:val="006F507A"/>
    <w:rsid w:val="006F550B"/>
    <w:rsid w:val="006F5591"/>
    <w:rsid w:val="006F56DC"/>
    <w:rsid w:val="006F572D"/>
    <w:rsid w:val="006F57C7"/>
    <w:rsid w:val="006F5D2A"/>
    <w:rsid w:val="006F5D70"/>
    <w:rsid w:val="006F6176"/>
    <w:rsid w:val="006F63D4"/>
    <w:rsid w:val="006F6420"/>
    <w:rsid w:val="006F65BD"/>
    <w:rsid w:val="006F676C"/>
    <w:rsid w:val="006F678B"/>
    <w:rsid w:val="006F6962"/>
    <w:rsid w:val="006F6A29"/>
    <w:rsid w:val="006F6C51"/>
    <w:rsid w:val="006F6D6C"/>
    <w:rsid w:val="006F6E1F"/>
    <w:rsid w:val="006F6EF5"/>
    <w:rsid w:val="006F7037"/>
    <w:rsid w:val="006F734C"/>
    <w:rsid w:val="006F7BCE"/>
    <w:rsid w:val="006F7D24"/>
    <w:rsid w:val="006F7D67"/>
    <w:rsid w:val="007001E5"/>
    <w:rsid w:val="00700357"/>
    <w:rsid w:val="007005AB"/>
    <w:rsid w:val="0070061C"/>
    <w:rsid w:val="0070072E"/>
    <w:rsid w:val="007009F7"/>
    <w:rsid w:val="00700B06"/>
    <w:rsid w:val="00700CD0"/>
    <w:rsid w:val="00701027"/>
    <w:rsid w:val="007010ED"/>
    <w:rsid w:val="00701300"/>
    <w:rsid w:val="007013AD"/>
    <w:rsid w:val="0070156C"/>
    <w:rsid w:val="007017A0"/>
    <w:rsid w:val="007018BF"/>
    <w:rsid w:val="00701B33"/>
    <w:rsid w:val="00701C68"/>
    <w:rsid w:val="00702896"/>
    <w:rsid w:val="0070292C"/>
    <w:rsid w:val="00702B04"/>
    <w:rsid w:val="00702B84"/>
    <w:rsid w:val="00702E13"/>
    <w:rsid w:val="00703018"/>
    <w:rsid w:val="007038E2"/>
    <w:rsid w:val="00704081"/>
    <w:rsid w:val="007041E8"/>
    <w:rsid w:val="007042E1"/>
    <w:rsid w:val="007045A2"/>
    <w:rsid w:val="00704738"/>
    <w:rsid w:val="00704CBC"/>
    <w:rsid w:val="0070504B"/>
    <w:rsid w:val="0070504C"/>
    <w:rsid w:val="00705096"/>
    <w:rsid w:val="00705114"/>
    <w:rsid w:val="00705348"/>
    <w:rsid w:val="00705D02"/>
    <w:rsid w:val="00705D3B"/>
    <w:rsid w:val="007062B9"/>
    <w:rsid w:val="00706570"/>
    <w:rsid w:val="00706681"/>
    <w:rsid w:val="00706688"/>
    <w:rsid w:val="007067CA"/>
    <w:rsid w:val="0070699B"/>
    <w:rsid w:val="00706AF5"/>
    <w:rsid w:val="00707111"/>
    <w:rsid w:val="0070720C"/>
    <w:rsid w:val="007076E0"/>
    <w:rsid w:val="00707962"/>
    <w:rsid w:val="00707B03"/>
    <w:rsid w:val="00707D1C"/>
    <w:rsid w:val="00707E85"/>
    <w:rsid w:val="007100BE"/>
    <w:rsid w:val="0071045B"/>
    <w:rsid w:val="00710591"/>
    <w:rsid w:val="007107DF"/>
    <w:rsid w:val="007108DC"/>
    <w:rsid w:val="0071094F"/>
    <w:rsid w:val="00710A0E"/>
    <w:rsid w:val="00710D2F"/>
    <w:rsid w:val="00710DF7"/>
    <w:rsid w:val="00710E33"/>
    <w:rsid w:val="00710FE4"/>
    <w:rsid w:val="007110DC"/>
    <w:rsid w:val="007112B0"/>
    <w:rsid w:val="007112B3"/>
    <w:rsid w:val="007112C9"/>
    <w:rsid w:val="00711420"/>
    <w:rsid w:val="0071153E"/>
    <w:rsid w:val="007115D0"/>
    <w:rsid w:val="007119C0"/>
    <w:rsid w:val="00711B48"/>
    <w:rsid w:val="00711CAC"/>
    <w:rsid w:val="00711CB3"/>
    <w:rsid w:val="00711D65"/>
    <w:rsid w:val="00711EE4"/>
    <w:rsid w:val="00711FBC"/>
    <w:rsid w:val="00712231"/>
    <w:rsid w:val="00712384"/>
    <w:rsid w:val="007123F7"/>
    <w:rsid w:val="007126A3"/>
    <w:rsid w:val="0071289A"/>
    <w:rsid w:val="007128ED"/>
    <w:rsid w:val="007131AF"/>
    <w:rsid w:val="00713246"/>
    <w:rsid w:val="00713294"/>
    <w:rsid w:val="007132C5"/>
    <w:rsid w:val="007137AD"/>
    <w:rsid w:val="00713B7B"/>
    <w:rsid w:val="00713D0A"/>
    <w:rsid w:val="007142DE"/>
    <w:rsid w:val="007143B9"/>
    <w:rsid w:val="00714B33"/>
    <w:rsid w:val="00714FA5"/>
    <w:rsid w:val="00715211"/>
    <w:rsid w:val="00715324"/>
    <w:rsid w:val="007153F3"/>
    <w:rsid w:val="00715608"/>
    <w:rsid w:val="00715A6C"/>
    <w:rsid w:val="00715A8E"/>
    <w:rsid w:val="00715C13"/>
    <w:rsid w:val="007160F6"/>
    <w:rsid w:val="007161A0"/>
    <w:rsid w:val="0071620F"/>
    <w:rsid w:val="00716272"/>
    <w:rsid w:val="00716298"/>
    <w:rsid w:val="0071633B"/>
    <w:rsid w:val="0071636D"/>
    <w:rsid w:val="00716527"/>
    <w:rsid w:val="0071690A"/>
    <w:rsid w:val="007169F3"/>
    <w:rsid w:val="00716A01"/>
    <w:rsid w:val="00716A1F"/>
    <w:rsid w:val="007178C7"/>
    <w:rsid w:val="00717FDA"/>
    <w:rsid w:val="0072038C"/>
    <w:rsid w:val="007204B6"/>
    <w:rsid w:val="0072073A"/>
    <w:rsid w:val="00720785"/>
    <w:rsid w:val="0072096D"/>
    <w:rsid w:val="00720E1A"/>
    <w:rsid w:val="00721102"/>
    <w:rsid w:val="0072147B"/>
    <w:rsid w:val="00721643"/>
    <w:rsid w:val="007216A3"/>
    <w:rsid w:val="007218AB"/>
    <w:rsid w:val="00721DFB"/>
    <w:rsid w:val="007221A5"/>
    <w:rsid w:val="007224CB"/>
    <w:rsid w:val="00722A9B"/>
    <w:rsid w:val="00722ACD"/>
    <w:rsid w:val="00722F57"/>
    <w:rsid w:val="007231CD"/>
    <w:rsid w:val="00723258"/>
    <w:rsid w:val="0072337D"/>
    <w:rsid w:val="007236EB"/>
    <w:rsid w:val="00723835"/>
    <w:rsid w:val="007239B5"/>
    <w:rsid w:val="00723BA7"/>
    <w:rsid w:val="00723E9D"/>
    <w:rsid w:val="00723EB7"/>
    <w:rsid w:val="00724151"/>
    <w:rsid w:val="0072420D"/>
    <w:rsid w:val="0072451F"/>
    <w:rsid w:val="00724841"/>
    <w:rsid w:val="007248C5"/>
    <w:rsid w:val="007248E0"/>
    <w:rsid w:val="00724A7F"/>
    <w:rsid w:val="007251AE"/>
    <w:rsid w:val="007254B8"/>
    <w:rsid w:val="0072558B"/>
    <w:rsid w:val="007257F6"/>
    <w:rsid w:val="00725804"/>
    <w:rsid w:val="00725A50"/>
    <w:rsid w:val="00725CF8"/>
    <w:rsid w:val="00725E3E"/>
    <w:rsid w:val="007262C0"/>
    <w:rsid w:val="00726588"/>
    <w:rsid w:val="00726668"/>
    <w:rsid w:val="007269DF"/>
    <w:rsid w:val="00726E14"/>
    <w:rsid w:val="00726E32"/>
    <w:rsid w:val="00726F17"/>
    <w:rsid w:val="00727353"/>
    <w:rsid w:val="007273FF"/>
    <w:rsid w:val="00727473"/>
    <w:rsid w:val="00727481"/>
    <w:rsid w:val="00727B2F"/>
    <w:rsid w:val="00727BBF"/>
    <w:rsid w:val="00727DCD"/>
    <w:rsid w:val="007300DF"/>
    <w:rsid w:val="0073010A"/>
    <w:rsid w:val="007301CB"/>
    <w:rsid w:val="00730214"/>
    <w:rsid w:val="0073048A"/>
    <w:rsid w:val="00730538"/>
    <w:rsid w:val="007309B9"/>
    <w:rsid w:val="00730BD2"/>
    <w:rsid w:val="00730BD8"/>
    <w:rsid w:val="00730CC7"/>
    <w:rsid w:val="00730CCB"/>
    <w:rsid w:val="00730CE7"/>
    <w:rsid w:val="00730D39"/>
    <w:rsid w:val="00730F87"/>
    <w:rsid w:val="00730FA1"/>
    <w:rsid w:val="0073107A"/>
    <w:rsid w:val="007310E2"/>
    <w:rsid w:val="007312E3"/>
    <w:rsid w:val="007312F9"/>
    <w:rsid w:val="00731A9C"/>
    <w:rsid w:val="00731EDB"/>
    <w:rsid w:val="00732199"/>
    <w:rsid w:val="007321B0"/>
    <w:rsid w:val="00732943"/>
    <w:rsid w:val="00732AFF"/>
    <w:rsid w:val="00732B1C"/>
    <w:rsid w:val="00732EF8"/>
    <w:rsid w:val="00732FD0"/>
    <w:rsid w:val="00733304"/>
    <w:rsid w:val="00733493"/>
    <w:rsid w:val="007339EA"/>
    <w:rsid w:val="00733B47"/>
    <w:rsid w:val="00733D5B"/>
    <w:rsid w:val="00734068"/>
    <w:rsid w:val="007340E1"/>
    <w:rsid w:val="007342A8"/>
    <w:rsid w:val="0073433B"/>
    <w:rsid w:val="007347DB"/>
    <w:rsid w:val="007349B0"/>
    <w:rsid w:val="00734CAF"/>
    <w:rsid w:val="00735089"/>
    <w:rsid w:val="00735523"/>
    <w:rsid w:val="007355A1"/>
    <w:rsid w:val="00735893"/>
    <w:rsid w:val="00735B7F"/>
    <w:rsid w:val="00735D4A"/>
    <w:rsid w:val="00735E47"/>
    <w:rsid w:val="00735EB0"/>
    <w:rsid w:val="00735FF5"/>
    <w:rsid w:val="00736140"/>
    <w:rsid w:val="00736161"/>
    <w:rsid w:val="007361F0"/>
    <w:rsid w:val="0073648A"/>
    <w:rsid w:val="00736558"/>
    <w:rsid w:val="007365AC"/>
    <w:rsid w:val="0073671C"/>
    <w:rsid w:val="00736996"/>
    <w:rsid w:val="00736CDD"/>
    <w:rsid w:val="00736F5A"/>
    <w:rsid w:val="00737238"/>
    <w:rsid w:val="00737396"/>
    <w:rsid w:val="0073763F"/>
    <w:rsid w:val="007378FF"/>
    <w:rsid w:val="00737AF1"/>
    <w:rsid w:val="00737B10"/>
    <w:rsid w:val="00737CAE"/>
    <w:rsid w:val="00740119"/>
    <w:rsid w:val="0074023C"/>
    <w:rsid w:val="00740563"/>
    <w:rsid w:val="00740706"/>
    <w:rsid w:val="0074089B"/>
    <w:rsid w:val="0074097F"/>
    <w:rsid w:val="00740A30"/>
    <w:rsid w:val="00740A4D"/>
    <w:rsid w:val="00740BB3"/>
    <w:rsid w:val="00740C6C"/>
    <w:rsid w:val="00740EF2"/>
    <w:rsid w:val="00741065"/>
    <w:rsid w:val="0074128D"/>
    <w:rsid w:val="007413E3"/>
    <w:rsid w:val="0074188A"/>
    <w:rsid w:val="007418CA"/>
    <w:rsid w:val="00741F9E"/>
    <w:rsid w:val="00742216"/>
    <w:rsid w:val="0074230D"/>
    <w:rsid w:val="0074232C"/>
    <w:rsid w:val="007425AC"/>
    <w:rsid w:val="007427B1"/>
    <w:rsid w:val="007429F1"/>
    <w:rsid w:val="00742B15"/>
    <w:rsid w:val="00742D9F"/>
    <w:rsid w:val="00742E44"/>
    <w:rsid w:val="007430C8"/>
    <w:rsid w:val="007433C9"/>
    <w:rsid w:val="007437D3"/>
    <w:rsid w:val="007437F6"/>
    <w:rsid w:val="007439D2"/>
    <w:rsid w:val="00743B06"/>
    <w:rsid w:val="00743BE4"/>
    <w:rsid w:val="00743FC8"/>
    <w:rsid w:val="00744018"/>
    <w:rsid w:val="007442A1"/>
    <w:rsid w:val="00744796"/>
    <w:rsid w:val="00744B47"/>
    <w:rsid w:val="00744EB8"/>
    <w:rsid w:val="007453C7"/>
    <w:rsid w:val="007458A5"/>
    <w:rsid w:val="00745B80"/>
    <w:rsid w:val="00745D61"/>
    <w:rsid w:val="00745E27"/>
    <w:rsid w:val="00745F78"/>
    <w:rsid w:val="00746312"/>
    <w:rsid w:val="007464FC"/>
    <w:rsid w:val="0074659D"/>
    <w:rsid w:val="00746710"/>
    <w:rsid w:val="00746733"/>
    <w:rsid w:val="007469B3"/>
    <w:rsid w:val="00746F8F"/>
    <w:rsid w:val="00747070"/>
    <w:rsid w:val="00747331"/>
    <w:rsid w:val="0074737A"/>
    <w:rsid w:val="007474A4"/>
    <w:rsid w:val="00747964"/>
    <w:rsid w:val="00747A6A"/>
    <w:rsid w:val="00747AF6"/>
    <w:rsid w:val="00747ECD"/>
    <w:rsid w:val="00750453"/>
    <w:rsid w:val="007508AD"/>
    <w:rsid w:val="00751390"/>
    <w:rsid w:val="007513A2"/>
    <w:rsid w:val="00751501"/>
    <w:rsid w:val="00751606"/>
    <w:rsid w:val="0075167B"/>
    <w:rsid w:val="0075184D"/>
    <w:rsid w:val="0075190A"/>
    <w:rsid w:val="00752385"/>
    <w:rsid w:val="00752417"/>
    <w:rsid w:val="0075241E"/>
    <w:rsid w:val="007524A2"/>
    <w:rsid w:val="007524D0"/>
    <w:rsid w:val="00752525"/>
    <w:rsid w:val="0075272F"/>
    <w:rsid w:val="00752A85"/>
    <w:rsid w:val="00752B31"/>
    <w:rsid w:val="00752F96"/>
    <w:rsid w:val="007530B0"/>
    <w:rsid w:val="00753674"/>
    <w:rsid w:val="00753817"/>
    <w:rsid w:val="0075384C"/>
    <w:rsid w:val="0075389C"/>
    <w:rsid w:val="00753D1B"/>
    <w:rsid w:val="00753DB6"/>
    <w:rsid w:val="007541C1"/>
    <w:rsid w:val="0075434C"/>
    <w:rsid w:val="007543AB"/>
    <w:rsid w:val="007544E5"/>
    <w:rsid w:val="00754543"/>
    <w:rsid w:val="00754767"/>
    <w:rsid w:val="0075484C"/>
    <w:rsid w:val="00754C4C"/>
    <w:rsid w:val="007551FE"/>
    <w:rsid w:val="007552AE"/>
    <w:rsid w:val="00755588"/>
    <w:rsid w:val="00755752"/>
    <w:rsid w:val="00755B3F"/>
    <w:rsid w:val="00755CBE"/>
    <w:rsid w:val="00755D39"/>
    <w:rsid w:val="00755D68"/>
    <w:rsid w:val="00755F68"/>
    <w:rsid w:val="00755FA5"/>
    <w:rsid w:val="00755FF3"/>
    <w:rsid w:val="007560C5"/>
    <w:rsid w:val="007560E8"/>
    <w:rsid w:val="0075642F"/>
    <w:rsid w:val="0075645B"/>
    <w:rsid w:val="00756865"/>
    <w:rsid w:val="00756D15"/>
    <w:rsid w:val="00756E1F"/>
    <w:rsid w:val="00756F08"/>
    <w:rsid w:val="007570E3"/>
    <w:rsid w:val="00757412"/>
    <w:rsid w:val="00757590"/>
    <w:rsid w:val="007575F6"/>
    <w:rsid w:val="00757B1E"/>
    <w:rsid w:val="00757C10"/>
    <w:rsid w:val="00757C6A"/>
    <w:rsid w:val="00760180"/>
    <w:rsid w:val="0076024B"/>
    <w:rsid w:val="00760456"/>
    <w:rsid w:val="0076068F"/>
    <w:rsid w:val="007607F0"/>
    <w:rsid w:val="0076094F"/>
    <w:rsid w:val="00760A38"/>
    <w:rsid w:val="00760D66"/>
    <w:rsid w:val="00761071"/>
    <w:rsid w:val="0076107E"/>
    <w:rsid w:val="0076146F"/>
    <w:rsid w:val="00761540"/>
    <w:rsid w:val="007616EB"/>
    <w:rsid w:val="00761817"/>
    <w:rsid w:val="00761C1F"/>
    <w:rsid w:val="00761E1B"/>
    <w:rsid w:val="00762029"/>
    <w:rsid w:val="007623E1"/>
    <w:rsid w:val="007624EC"/>
    <w:rsid w:val="00762720"/>
    <w:rsid w:val="00762725"/>
    <w:rsid w:val="00762755"/>
    <w:rsid w:val="00762B61"/>
    <w:rsid w:val="00762C5C"/>
    <w:rsid w:val="00762C62"/>
    <w:rsid w:val="00763105"/>
    <w:rsid w:val="00763117"/>
    <w:rsid w:val="007631BF"/>
    <w:rsid w:val="00763247"/>
    <w:rsid w:val="00763452"/>
    <w:rsid w:val="007634C6"/>
    <w:rsid w:val="00763507"/>
    <w:rsid w:val="00763598"/>
    <w:rsid w:val="00763D3C"/>
    <w:rsid w:val="00763E65"/>
    <w:rsid w:val="00764163"/>
    <w:rsid w:val="007641A3"/>
    <w:rsid w:val="007641BD"/>
    <w:rsid w:val="00764277"/>
    <w:rsid w:val="007645D6"/>
    <w:rsid w:val="007646AF"/>
    <w:rsid w:val="00764A02"/>
    <w:rsid w:val="00764D04"/>
    <w:rsid w:val="00764D15"/>
    <w:rsid w:val="007651F6"/>
    <w:rsid w:val="00765387"/>
    <w:rsid w:val="007655F9"/>
    <w:rsid w:val="00765AD5"/>
    <w:rsid w:val="00765DAD"/>
    <w:rsid w:val="00765DC9"/>
    <w:rsid w:val="00766174"/>
    <w:rsid w:val="00766469"/>
    <w:rsid w:val="0076663A"/>
    <w:rsid w:val="00766725"/>
    <w:rsid w:val="007667D4"/>
    <w:rsid w:val="007667F4"/>
    <w:rsid w:val="00766921"/>
    <w:rsid w:val="00766CC3"/>
    <w:rsid w:val="00766F39"/>
    <w:rsid w:val="007676EE"/>
    <w:rsid w:val="00767918"/>
    <w:rsid w:val="00767A3D"/>
    <w:rsid w:val="00767CB6"/>
    <w:rsid w:val="00767EE2"/>
    <w:rsid w:val="00767F29"/>
    <w:rsid w:val="00770009"/>
    <w:rsid w:val="00770035"/>
    <w:rsid w:val="0077020A"/>
    <w:rsid w:val="00770492"/>
    <w:rsid w:val="007706C3"/>
    <w:rsid w:val="007708F0"/>
    <w:rsid w:val="00770B0D"/>
    <w:rsid w:val="00770CD7"/>
    <w:rsid w:val="00770F36"/>
    <w:rsid w:val="00771310"/>
    <w:rsid w:val="0077154C"/>
    <w:rsid w:val="007717E9"/>
    <w:rsid w:val="007719E4"/>
    <w:rsid w:val="0077202E"/>
    <w:rsid w:val="0077251F"/>
    <w:rsid w:val="007727DD"/>
    <w:rsid w:val="007728BD"/>
    <w:rsid w:val="0077309A"/>
    <w:rsid w:val="00773234"/>
    <w:rsid w:val="0077356C"/>
    <w:rsid w:val="0077395B"/>
    <w:rsid w:val="00773E0D"/>
    <w:rsid w:val="0077455D"/>
    <w:rsid w:val="007745AE"/>
    <w:rsid w:val="00774761"/>
    <w:rsid w:val="007749B6"/>
    <w:rsid w:val="007749E9"/>
    <w:rsid w:val="00774A31"/>
    <w:rsid w:val="00774A33"/>
    <w:rsid w:val="00774B54"/>
    <w:rsid w:val="00774BAE"/>
    <w:rsid w:val="00774E02"/>
    <w:rsid w:val="00774FEB"/>
    <w:rsid w:val="0077501B"/>
    <w:rsid w:val="0077517F"/>
    <w:rsid w:val="0077537F"/>
    <w:rsid w:val="007754AF"/>
    <w:rsid w:val="007755A6"/>
    <w:rsid w:val="0077590A"/>
    <w:rsid w:val="0077595D"/>
    <w:rsid w:val="00775ABC"/>
    <w:rsid w:val="00775B34"/>
    <w:rsid w:val="00775E22"/>
    <w:rsid w:val="00775EA3"/>
    <w:rsid w:val="00775F91"/>
    <w:rsid w:val="0077607C"/>
    <w:rsid w:val="007760AC"/>
    <w:rsid w:val="0077612C"/>
    <w:rsid w:val="0077644C"/>
    <w:rsid w:val="00776777"/>
    <w:rsid w:val="00776859"/>
    <w:rsid w:val="00776A2F"/>
    <w:rsid w:val="00776E97"/>
    <w:rsid w:val="00776F95"/>
    <w:rsid w:val="0077707B"/>
    <w:rsid w:val="007770C8"/>
    <w:rsid w:val="00777326"/>
    <w:rsid w:val="00777505"/>
    <w:rsid w:val="007777AC"/>
    <w:rsid w:val="0077794C"/>
    <w:rsid w:val="00777A22"/>
    <w:rsid w:val="00777DA9"/>
    <w:rsid w:val="00777F63"/>
    <w:rsid w:val="00780145"/>
    <w:rsid w:val="0078069F"/>
    <w:rsid w:val="0078074C"/>
    <w:rsid w:val="00780ACE"/>
    <w:rsid w:val="00780AD0"/>
    <w:rsid w:val="00780BE4"/>
    <w:rsid w:val="00780C30"/>
    <w:rsid w:val="007811D8"/>
    <w:rsid w:val="00781313"/>
    <w:rsid w:val="0078146D"/>
    <w:rsid w:val="00781A3F"/>
    <w:rsid w:val="00781A6D"/>
    <w:rsid w:val="00781A80"/>
    <w:rsid w:val="007820FF"/>
    <w:rsid w:val="007821F4"/>
    <w:rsid w:val="00782329"/>
    <w:rsid w:val="0078256F"/>
    <w:rsid w:val="007827DD"/>
    <w:rsid w:val="007829A0"/>
    <w:rsid w:val="00782A14"/>
    <w:rsid w:val="00782D37"/>
    <w:rsid w:val="00782D3E"/>
    <w:rsid w:val="00782E5C"/>
    <w:rsid w:val="00782FDF"/>
    <w:rsid w:val="00783090"/>
    <w:rsid w:val="007830CF"/>
    <w:rsid w:val="007831AF"/>
    <w:rsid w:val="0078335C"/>
    <w:rsid w:val="0078336E"/>
    <w:rsid w:val="0078343F"/>
    <w:rsid w:val="00783480"/>
    <w:rsid w:val="007834F9"/>
    <w:rsid w:val="00783689"/>
    <w:rsid w:val="00783779"/>
    <w:rsid w:val="00783833"/>
    <w:rsid w:val="00783837"/>
    <w:rsid w:val="00783848"/>
    <w:rsid w:val="00783D31"/>
    <w:rsid w:val="00784019"/>
    <w:rsid w:val="0078407F"/>
    <w:rsid w:val="00784119"/>
    <w:rsid w:val="00784920"/>
    <w:rsid w:val="0078499C"/>
    <w:rsid w:val="007849A4"/>
    <w:rsid w:val="00784A4A"/>
    <w:rsid w:val="00784A4E"/>
    <w:rsid w:val="00784B60"/>
    <w:rsid w:val="00784BBC"/>
    <w:rsid w:val="00784CC2"/>
    <w:rsid w:val="00784D87"/>
    <w:rsid w:val="00784DB3"/>
    <w:rsid w:val="00785046"/>
    <w:rsid w:val="007852C0"/>
    <w:rsid w:val="007856DC"/>
    <w:rsid w:val="0078585A"/>
    <w:rsid w:val="00785957"/>
    <w:rsid w:val="00785C45"/>
    <w:rsid w:val="00785D43"/>
    <w:rsid w:val="00785D5D"/>
    <w:rsid w:val="00786532"/>
    <w:rsid w:val="0078669F"/>
    <w:rsid w:val="00786724"/>
    <w:rsid w:val="0078690C"/>
    <w:rsid w:val="007869D6"/>
    <w:rsid w:val="00786B38"/>
    <w:rsid w:val="00786D7E"/>
    <w:rsid w:val="00786E7F"/>
    <w:rsid w:val="00786FAA"/>
    <w:rsid w:val="0078715E"/>
    <w:rsid w:val="0078721D"/>
    <w:rsid w:val="007876B6"/>
    <w:rsid w:val="007877B9"/>
    <w:rsid w:val="0078797F"/>
    <w:rsid w:val="00787A0B"/>
    <w:rsid w:val="00787D1B"/>
    <w:rsid w:val="00787D2D"/>
    <w:rsid w:val="00787F08"/>
    <w:rsid w:val="00787F37"/>
    <w:rsid w:val="007903EB"/>
    <w:rsid w:val="0079046B"/>
    <w:rsid w:val="0079052D"/>
    <w:rsid w:val="00790AC1"/>
    <w:rsid w:val="00790EA0"/>
    <w:rsid w:val="00790EF1"/>
    <w:rsid w:val="00791293"/>
    <w:rsid w:val="0079144C"/>
    <w:rsid w:val="00791915"/>
    <w:rsid w:val="00791BC8"/>
    <w:rsid w:val="00791C69"/>
    <w:rsid w:val="00791C98"/>
    <w:rsid w:val="00791CD3"/>
    <w:rsid w:val="00791EA4"/>
    <w:rsid w:val="007923C3"/>
    <w:rsid w:val="00792B18"/>
    <w:rsid w:val="00792BC7"/>
    <w:rsid w:val="00792BFE"/>
    <w:rsid w:val="00792F75"/>
    <w:rsid w:val="00792F85"/>
    <w:rsid w:val="0079310E"/>
    <w:rsid w:val="00793162"/>
    <w:rsid w:val="007934A0"/>
    <w:rsid w:val="007934A5"/>
    <w:rsid w:val="007934DD"/>
    <w:rsid w:val="007936E4"/>
    <w:rsid w:val="00793A76"/>
    <w:rsid w:val="00793ABE"/>
    <w:rsid w:val="00793AFC"/>
    <w:rsid w:val="007941A2"/>
    <w:rsid w:val="00794384"/>
    <w:rsid w:val="00794CBE"/>
    <w:rsid w:val="00794DE3"/>
    <w:rsid w:val="00794E13"/>
    <w:rsid w:val="007952F1"/>
    <w:rsid w:val="00795360"/>
    <w:rsid w:val="007954E2"/>
    <w:rsid w:val="007955CF"/>
    <w:rsid w:val="00795618"/>
    <w:rsid w:val="007956C0"/>
    <w:rsid w:val="007957C1"/>
    <w:rsid w:val="0079583E"/>
    <w:rsid w:val="007959C7"/>
    <w:rsid w:val="00795DF3"/>
    <w:rsid w:val="00795F63"/>
    <w:rsid w:val="00796147"/>
    <w:rsid w:val="0079618E"/>
    <w:rsid w:val="00796352"/>
    <w:rsid w:val="0079643E"/>
    <w:rsid w:val="00796486"/>
    <w:rsid w:val="007964DF"/>
    <w:rsid w:val="00796543"/>
    <w:rsid w:val="007965AC"/>
    <w:rsid w:val="007965CA"/>
    <w:rsid w:val="00796891"/>
    <w:rsid w:val="007968A5"/>
    <w:rsid w:val="00796A03"/>
    <w:rsid w:val="00796A18"/>
    <w:rsid w:val="00796B58"/>
    <w:rsid w:val="00796E04"/>
    <w:rsid w:val="007975B7"/>
    <w:rsid w:val="00797864"/>
    <w:rsid w:val="007979FF"/>
    <w:rsid w:val="00797A53"/>
    <w:rsid w:val="00797ADF"/>
    <w:rsid w:val="00797FCB"/>
    <w:rsid w:val="007A00DB"/>
    <w:rsid w:val="007A013C"/>
    <w:rsid w:val="007A01BF"/>
    <w:rsid w:val="007A08AD"/>
    <w:rsid w:val="007A08F5"/>
    <w:rsid w:val="007A0A29"/>
    <w:rsid w:val="007A0B0C"/>
    <w:rsid w:val="007A0B84"/>
    <w:rsid w:val="007A1037"/>
    <w:rsid w:val="007A112E"/>
    <w:rsid w:val="007A156E"/>
    <w:rsid w:val="007A170A"/>
    <w:rsid w:val="007A1810"/>
    <w:rsid w:val="007A189A"/>
    <w:rsid w:val="007A18CE"/>
    <w:rsid w:val="007A1A13"/>
    <w:rsid w:val="007A1A34"/>
    <w:rsid w:val="007A1B62"/>
    <w:rsid w:val="007A1BA7"/>
    <w:rsid w:val="007A1C3D"/>
    <w:rsid w:val="007A1EA6"/>
    <w:rsid w:val="007A1F30"/>
    <w:rsid w:val="007A1FB1"/>
    <w:rsid w:val="007A204A"/>
    <w:rsid w:val="007A219B"/>
    <w:rsid w:val="007A2246"/>
    <w:rsid w:val="007A224A"/>
    <w:rsid w:val="007A253A"/>
    <w:rsid w:val="007A269D"/>
    <w:rsid w:val="007A2728"/>
    <w:rsid w:val="007A290C"/>
    <w:rsid w:val="007A296C"/>
    <w:rsid w:val="007A29C4"/>
    <w:rsid w:val="007A2D39"/>
    <w:rsid w:val="007A2D42"/>
    <w:rsid w:val="007A2E21"/>
    <w:rsid w:val="007A309A"/>
    <w:rsid w:val="007A36B8"/>
    <w:rsid w:val="007A39C7"/>
    <w:rsid w:val="007A39EB"/>
    <w:rsid w:val="007A3E68"/>
    <w:rsid w:val="007A40D2"/>
    <w:rsid w:val="007A43A3"/>
    <w:rsid w:val="007A4692"/>
    <w:rsid w:val="007A46BD"/>
    <w:rsid w:val="007A47FF"/>
    <w:rsid w:val="007A493C"/>
    <w:rsid w:val="007A49A6"/>
    <w:rsid w:val="007A4B59"/>
    <w:rsid w:val="007A4BB6"/>
    <w:rsid w:val="007A4CBF"/>
    <w:rsid w:val="007A4DBC"/>
    <w:rsid w:val="007A504E"/>
    <w:rsid w:val="007A5114"/>
    <w:rsid w:val="007A53BE"/>
    <w:rsid w:val="007A5CBD"/>
    <w:rsid w:val="007A5E1B"/>
    <w:rsid w:val="007A5EB2"/>
    <w:rsid w:val="007A5EE9"/>
    <w:rsid w:val="007A61C1"/>
    <w:rsid w:val="007A6251"/>
    <w:rsid w:val="007A6734"/>
    <w:rsid w:val="007A6846"/>
    <w:rsid w:val="007A6936"/>
    <w:rsid w:val="007A6F3F"/>
    <w:rsid w:val="007A6F5E"/>
    <w:rsid w:val="007A6FC7"/>
    <w:rsid w:val="007A717D"/>
    <w:rsid w:val="007B019C"/>
    <w:rsid w:val="007B0C70"/>
    <w:rsid w:val="007B0F5B"/>
    <w:rsid w:val="007B12BC"/>
    <w:rsid w:val="007B142B"/>
    <w:rsid w:val="007B198F"/>
    <w:rsid w:val="007B1A60"/>
    <w:rsid w:val="007B1AFC"/>
    <w:rsid w:val="007B1BE0"/>
    <w:rsid w:val="007B207D"/>
    <w:rsid w:val="007B22D6"/>
    <w:rsid w:val="007B29D9"/>
    <w:rsid w:val="007B2CBA"/>
    <w:rsid w:val="007B2F88"/>
    <w:rsid w:val="007B3022"/>
    <w:rsid w:val="007B319C"/>
    <w:rsid w:val="007B31FD"/>
    <w:rsid w:val="007B3509"/>
    <w:rsid w:val="007B3A20"/>
    <w:rsid w:val="007B3AC5"/>
    <w:rsid w:val="007B41B1"/>
    <w:rsid w:val="007B42DF"/>
    <w:rsid w:val="007B4371"/>
    <w:rsid w:val="007B444E"/>
    <w:rsid w:val="007B44E9"/>
    <w:rsid w:val="007B4544"/>
    <w:rsid w:val="007B455A"/>
    <w:rsid w:val="007B483D"/>
    <w:rsid w:val="007B4910"/>
    <w:rsid w:val="007B4A2C"/>
    <w:rsid w:val="007B4A94"/>
    <w:rsid w:val="007B4B37"/>
    <w:rsid w:val="007B4BD9"/>
    <w:rsid w:val="007B4BF2"/>
    <w:rsid w:val="007B4C52"/>
    <w:rsid w:val="007B4D56"/>
    <w:rsid w:val="007B5080"/>
    <w:rsid w:val="007B5751"/>
    <w:rsid w:val="007B577C"/>
    <w:rsid w:val="007B5863"/>
    <w:rsid w:val="007B5881"/>
    <w:rsid w:val="007B5896"/>
    <w:rsid w:val="007B5947"/>
    <w:rsid w:val="007B5E3F"/>
    <w:rsid w:val="007B5F61"/>
    <w:rsid w:val="007B6303"/>
    <w:rsid w:val="007B6785"/>
    <w:rsid w:val="007B67FA"/>
    <w:rsid w:val="007B6997"/>
    <w:rsid w:val="007B6A0D"/>
    <w:rsid w:val="007B6DF7"/>
    <w:rsid w:val="007B6E17"/>
    <w:rsid w:val="007B72D8"/>
    <w:rsid w:val="007B7363"/>
    <w:rsid w:val="007B752A"/>
    <w:rsid w:val="007B757E"/>
    <w:rsid w:val="007B7941"/>
    <w:rsid w:val="007B7F78"/>
    <w:rsid w:val="007C03C2"/>
    <w:rsid w:val="007C08AF"/>
    <w:rsid w:val="007C0971"/>
    <w:rsid w:val="007C0B85"/>
    <w:rsid w:val="007C0DA8"/>
    <w:rsid w:val="007C0DCF"/>
    <w:rsid w:val="007C0F66"/>
    <w:rsid w:val="007C100D"/>
    <w:rsid w:val="007C1259"/>
    <w:rsid w:val="007C1391"/>
    <w:rsid w:val="007C1536"/>
    <w:rsid w:val="007C165E"/>
    <w:rsid w:val="007C17D3"/>
    <w:rsid w:val="007C1D7C"/>
    <w:rsid w:val="007C2021"/>
    <w:rsid w:val="007C20E3"/>
    <w:rsid w:val="007C25E0"/>
    <w:rsid w:val="007C2796"/>
    <w:rsid w:val="007C2A80"/>
    <w:rsid w:val="007C2AD9"/>
    <w:rsid w:val="007C2D15"/>
    <w:rsid w:val="007C2DD6"/>
    <w:rsid w:val="007C2E16"/>
    <w:rsid w:val="007C2ED1"/>
    <w:rsid w:val="007C2FC9"/>
    <w:rsid w:val="007C3271"/>
    <w:rsid w:val="007C35AC"/>
    <w:rsid w:val="007C366E"/>
    <w:rsid w:val="007C36C0"/>
    <w:rsid w:val="007C379F"/>
    <w:rsid w:val="007C3AAE"/>
    <w:rsid w:val="007C3AD8"/>
    <w:rsid w:val="007C3B3D"/>
    <w:rsid w:val="007C3B74"/>
    <w:rsid w:val="007C3E80"/>
    <w:rsid w:val="007C40F0"/>
    <w:rsid w:val="007C44F1"/>
    <w:rsid w:val="007C46CB"/>
    <w:rsid w:val="007C4C43"/>
    <w:rsid w:val="007C4C90"/>
    <w:rsid w:val="007C4D85"/>
    <w:rsid w:val="007C4E55"/>
    <w:rsid w:val="007C4EF6"/>
    <w:rsid w:val="007C5222"/>
    <w:rsid w:val="007C52F2"/>
    <w:rsid w:val="007C5490"/>
    <w:rsid w:val="007C562B"/>
    <w:rsid w:val="007C5ED0"/>
    <w:rsid w:val="007C611E"/>
    <w:rsid w:val="007C612E"/>
    <w:rsid w:val="007C63C8"/>
    <w:rsid w:val="007C65D1"/>
    <w:rsid w:val="007C66BC"/>
    <w:rsid w:val="007C6C7D"/>
    <w:rsid w:val="007C6C85"/>
    <w:rsid w:val="007C6D5B"/>
    <w:rsid w:val="007C6DC1"/>
    <w:rsid w:val="007C6DED"/>
    <w:rsid w:val="007C70FC"/>
    <w:rsid w:val="007C7283"/>
    <w:rsid w:val="007C753F"/>
    <w:rsid w:val="007C7C93"/>
    <w:rsid w:val="007C7D77"/>
    <w:rsid w:val="007D0050"/>
    <w:rsid w:val="007D02F6"/>
    <w:rsid w:val="007D0359"/>
    <w:rsid w:val="007D0871"/>
    <w:rsid w:val="007D0891"/>
    <w:rsid w:val="007D09B0"/>
    <w:rsid w:val="007D0B09"/>
    <w:rsid w:val="007D0C03"/>
    <w:rsid w:val="007D0C48"/>
    <w:rsid w:val="007D0D4A"/>
    <w:rsid w:val="007D101A"/>
    <w:rsid w:val="007D119E"/>
    <w:rsid w:val="007D11C6"/>
    <w:rsid w:val="007D1357"/>
    <w:rsid w:val="007D1392"/>
    <w:rsid w:val="007D155A"/>
    <w:rsid w:val="007D1925"/>
    <w:rsid w:val="007D1A00"/>
    <w:rsid w:val="007D1ACE"/>
    <w:rsid w:val="007D1AD7"/>
    <w:rsid w:val="007D1C5E"/>
    <w:rsid w:val="007D1CB4"/>
    <w:rsid w:val="007D1D0B"/>
    <w:rsid w:val="007D1D4B"/>
    <w:rsid w:val="007D1E45"/>
    <w:rsid w:val="007D1EAB"/>
    <w:rsid w:val="007D238C"/>
    <w:rsid w:val="007D23E1"/>
    <w:rsid w:val="007D270B"/>
    <w:rsid w:val="007D2C52"/>
    <w:rsid w:val="007D3079"/>
    <w:rsid w:val="007D326F"/>
    <w:rsid w:val="007D338F"/>
    <w:rsid w:val="007D3957"/>
    <w:rsid w:val="007D3CF8"/>
    <w:rsid w:val="007D3F02"/>
    <w:rsid w:val="007D40B2"/>
    <w:rsid w:val="007D41FB"/>
    <w:rsid w:val="007D42AE"/>
    <w:rsid w:val="007D43EC"/>
    <w:rsid w:val="007D44E9"/>
    <w:rsid w:val="007D4566"/>
    <w:rsid w:val="007D47AB"/>
    <w:rsid w:val="007D494B"/>
    <w:rsid w:val="007D4951"/>
    <w:rsid w:val="007D4ACF"/>
    <w:rsid w:val="007D4FF3"/>
    <w:rsid w:val="007D503C"/>
    <w:rsid w:val="007D55F0"/>
    <w:rsid w:val="007D57F8"/>
    <w:rsid w:val="007D5DDA"/>
    <w:rsid w:val="007D5ECF"/>
    <w:rsid w:val="007D5F52"/>
    <w:rsid w:val="007D617F"/>
    <w:rsid w:val="007D634F"/>
    <w:rsid w:val="007D65A2"/>
    <w:rsid w:val="007D65FF"/>
    <w:rsid w:val="007D66A0"/>
    <w:rsid w:val="007D66D6"/>
    <w:rsid w:val="007D670D"/>
    <w:rsid w:val="007D6A3D"/>
    <w:rsid w:val="007D6A5D"/>
    <w:rsid w:val="007D6BDA"/>
    <w:rsid w:val="007D6D1C"/>
    <w:rsid w:val="007D6F9B"/>
    <w:rsid w:val="007D71EE"/>
    <w:rsid w:val="007D7267"/>
    <w:rsid w:val="007D7568"/>
    <w:rsid w:val="007D78D7"/>
    <w:rsid w:val="007D7C1A"/>
    <w:rsid w:val="007D7CAF"/>
    <w:rsid w:val="007D7D0E"/>
    <w:rsid w:val="007D7E44"/>
    <w:rsid w:val="007E0047"/>
    <w:rsid w:val="007E0159"/>
    <w:rsid w:val="007E0219"/>
    <w:rsid w:val="007E0422"/>
    <w:rsid w:val="007E05D7"/>
    <w:rsid w:val="007E0A7F"/>
    <w:rsid w:val="007E0C61"/>
    <w:rsid w:val="007E0E0B"/>
    <w:rsid w:val="007E0EE7"/>
    <w:rsid w:val="007E0FBF"/>
    <w:rsid w:val="007E1662"/>
    <w:rsid w:val="007E19EF"/>
    <w:rsid w:val="007E1A41"/>
    <w:rsid w:val="007E1DC3"/>
    <w:rsid w:val="007E1FB2"/>
    <w:rsid w:val="007E2309"/>
    <w:rsid w:val="007E249D"/>
    <w:rsid w:val="007E24B5"/>
    <w:rsid w:val="007E2721"/>
    <w:rsid w:val="007E2723"/>
    <w:rsid w:val="007E27F6"/>
    <w:rsid w:val="007E29AE"/>
    <w:rsid w:val="007E2C7F"/>
    <w:rsid w:val="007E2D7C"/>
    <w:rsid w:val="007E2DF7"/>
    <w:rsid w:val="007E2ED2"/>
    <w:rsid w:val="007E2F2A"/>
    <w:rsid w:val="007E30C7"/>
    <w:rsid w:val="007E31EA"/>
    <w:rsid w:val="007E331F"/>
    <w:rsid w:val="007E333C"/>
    <w:rsid w:val="007E380A"/>
    <w:rsid w:val="007E39D9"/>
    <w:rsid w:val="007E3A25"/>
    <w:rsid w:val="007E3DEF"/>
    <w:rsid w:val="007E3F4B"/>
    <w:rsid w:val="007E4055"/>
    <w:rsid w:val="007E4198"/>
    <w:rsid w:val="007E41F2"/>
    <w:rsid w:val="007E4459"/>
    <w:rsid w:val="007E4890"/>
    <w:rsid w:val="007E4906"/>
    <w:rsid w:val="007E490C"/>
    <w:rsid w:val="007E49EB"/>
    <w:rsid w:val="007E4A72"/>
    <w:rsid w:val="007E4C02"/>
    <w:rsid w:val="007E4C73"/>
    <w:rsid w:val="007E4F74"/>
    <w:rsid w:val="007E51A2"/>
    <w:rsid w:val="007E51F6"/>
    <w:rsid w:val="007E52C6"/>
    <w:rsid w:val="007E533D"/>
    <w:rsid w:val="007E539F"/>
    <w:rsid w:val="007E567E"/>
    <w:rsid w:val="007E56BB"/>
    <w:rsid w:val="007E5734"/>
    <w:rsid w:val="007E57BA"/>
    <w:rsid w:val="007E5968"/>
    <w:rsid w:val="007E5C5E"/>
    <w:rsid w:val="007E5C6A"/>
    <w:rsid w:val="007E5CF3"/>
    <w:rsid w:val="007E5E57"/>
    <w:rsid w:val="007E5E6E"/>
    <w:rsid w:val="007E5F66"/>
    <w:rsid w:val="007E601E"/>
    <w:rsid w:val="007E60E7"/>
    <w:rsid w:val="007E62E5"/>
    <w:rsid w:val="007E6386"/>
    <w:rsid w:val="007E642F"/>
    <w:rsid w:val="007E64B8"/>
    <w:rsid w:val="007E656F"/>
    <w:rsid w:val="007E6C09"/>
    <w:rsid w:val="007E6E01"/>
    <w:rsid w:val="007E6F35"/>
    <w:rsid w:val="007E7097"/>
    <w:rsid w:val="007E71BD"/>
    <w:rsid w:val="007E71D3"/>
    <w:rsid w:val="007E72D3"/>
    <w:rsid w:val="007E7491"/>
    <w:rsid w:val="007E7708"/>
    <w:rsid w:val="007E78D8"/>
    <w:rsid w:val="007E7929"/>
    <w:rsid w:val="007E793E"/>
    <w:rsid w:val="007E79D9"/>
    <w:rsid w:val="007E7E7C"/>
    <w:rsid w:val="007E7FEC"/>
    <w:rsid w:val="007F0074"/>
    <w:rsid w:val="007F0151"/>
    <w:rsid w:val="007F025A"/>
    <w:rsid w:val="007F0262"/>
    <w:rsid w:val="007F0311"/>
    <w:rsid w:val="007F06F1"/>
    <w:rsid w:val="007F0740"/>
    <w:rsid w:val="007F08A9"/>
    <w:rsid w:val="007F0B17"/>
    <w:rsid w:val="007F0BC4"/>
    <w:rsid w:val="007F0C8D"/>
    <w:rsid w:val="007F0EF6"/>
    <w:rsid w:val="007F116C"/>
    <w:rsid w:val="007F1218"/>
    <w:rsid w:val="007F1311"/>
    <w:rsid w:val="007F1A32"/>
    <w:rsid w:val="007F1BAF"/>
    <w:rsid w:val="007F1CA2"/>
    <w:rsid w:val="007F1CF8"/>
    <w:rsid w:val="007F1F32"/>
    <w:rsid w:val="007F1FC0"/>
    <w:rsid w:val="007F204E"/>
    <w:rsid w:val="007F253F"/>
    <w:rsid w:val="007F25C1"/>
    <w:rsid w:val="007F26F0"/>
    <w:rsid w:val="007F2702"/>
    <w:rsid w:val="007F290A"/>
    <w:rsid w:val="007F29B0"/>
    <w:rsid w:val="007F2AFD"/>
    <w:rsid w:val="007F2C40"/>
    <w:rsid w:val="007F2D82"/>
    <w:rsid w:val="007F327D"/>
    <w:rsid w:val="007F37B8"/>
    <w:rsid w:val="007F37CA"/>
    <w:rsid w:val="007F3CB6"/>
    <w:rsid w:val="007F3E24"/>
    <w:rsid w:val="007F3F75"/>
    <w:rsid w:val="007F474C"/>
    <w:rsid w:val="007F4754"/>
    <w:rsid w:val="007F47EB"/>
    <w:rsid w:val="007F494E"/>
    <w:rsid w:val="007F4B46"/>
    <w:rsid w:val="007F4B5C"/>
    <w:rsid w:val="007F4B8F"/>
    <w:rsid w:val="007F4F3E"/>
    <w:rsid w:val="007F4FCA"/>
    <w:rsid w:val="007F56A7"/>
    <w:rsid w:val="007F5946"/>
    <w:rsid w:val="007F5A53"/>
    <w:rsid w:val="007F5A73"/>
    <w:rsid w:val="007F5EEF"/>
    <w:rsid w:val="007F6027"/>
    <w:rsid w:val="007F6054"/>
    <w:rsid w:val="007F6066"/>
    <w:rsid w:val="007F6132"/>
    <w:rsid w:val="007F655F"/>
    <w:rsid w:val="007F666C"/>
    <w:rsid w:val="007F69FA"/>
    <w:rsid w:val="007F6A7B"/>
    <w:rsid w:val="007F6C86"/>
    <w:rsid w:val="007F72EB"/>
    <w:rsid w:val="007F73E0"/>
    <w:rsid w:val="007F741B"/>
    <w:rsid w:val="007F788C"/>
    <w:rsid w:val="007F7B96"/>
    <w:rsid w:val="007F7CAF"/>
    <w:rsid w:val="008000C7"/>
    <w:rsid w:val="0080016E"/>
    <w:rsid w:val="008002E6"/>
    <w:rsid w:val="008008D4"/>
    <w:rsid w:val="008008FA"/>
    <w:rsid w:val="00800928"/>
    <w:rsid w:val="00800964"/>
    <w:rsid w:val="00800AF1"/>
    <w:rsid w:val="00800B57"/>
    <w:rsid w:val="00800D1F"/>
    <w:rsid w:val="00801056"/>
    <w:rsid w:val="008012F1"/>
    <w:rsid w:val="00801440"/>
    <w:rsid w:val="00801553"/>
    <w:rsid w:val="00801632"/>
    <w:rsid w:val="00801640"/>
    <w:rsid w:val="008018FF"/>
    <w:rsid w:val="008019BC"/>
    <w:rsid w:val="00801BCC"/>
    <w:rsid w:val="00802065"/>
    <w:rsid w:val="00802076"/>
    <w:rsid w:val="00802110"/>
    <w:rsid w:val="0080228D"/>
    <w:rsid w:val="008023B3"/>
    <w:rsid w:val="008023B4"/>
    <w:rsid w:val="008023CF"/>
    <w:rsid w:val="00802565"/>
    <w:rsid w:val="00802587"/>
    <w:rsid w:val="00802622"/>
    <w:rsid w:val="00802699"/>
    <w:rsid w:val="008026F3"/>
    <w:rsid w:val="00802BC2"/>
    <w:rsid w:val="00802C8D"/>
    <w:rsid w:val="00802D59"/>
    <w:rsid w:val="008030FE"/>
    <w:rsid w:val="008034EF"/>
    <w:rsid w:val="00803562"/>
    <w:rsid w:val="00803589"/>
    <w:rsid w:val="008035E8"/>
    <w:rsid w:val="00803AA7"/>
    <w:rsid w:val="00803B7D"/>
    <w:rsid w:val="00803C38"/>
    <w:rsid w:val="00803CD7"/>
    <w:rsid w:val="00803D35"/>
    <w:rsid w:val="00803E9F"/>
    <w:rsid w:val="00804045"/>
    <w:rsid w:val="0080423B"/>
    <w:rsid w:val="008042FA"/>
    <w:rsid w:val="008044EF"/>
    <w:rsid w:val="008046F9"/>
    <w:rsid w:val="00804712"/>
    <w:rsid w:val="00804C5D"/>
    <w:rsid w:val="00804D03"/>
    <w:rsid w:val="00804E4C"/>
    <w:rsid w:val="00804E58"/>
    <w:rsid w:val="0080519E"/>
    <w:rsid w:val="008051AB"/>
    <w:rsid w:val="008052B3"/>
    <w:rsid w:val="008052F9"/>
    <w:rsid w:val="008053F6"/>
    <w:rsid w:val="008059F0"/>
    <w:rsid w:val="00805A60"/>
    <w:rsid w:val="00805B25"/>
    <w:rsid w:val="00805D2E"/>
    <w:rsid w:val="008061A7"/>
    <w:rsid w:val="00806478"/>
    <w:rsid w:val="008064A3"/>
    <w:rsid w:val="008066C7"/>
    <w:rsid w:val="00806826"/>
    <w:rsid w:val="0080695E"/>
    <w:rsid w:val="00806B06"/>
    <w:rsid w:val="00806C7D"/>
    <w:rsid w:val="00806DA9"/>
    <w:rsid w:val="00806E4E"/>
    <w:rsid w:val="00806ED1"/>
    <w:rsid w:val="00806F02"/>
    <w:rsid w:val="00806F5A"/>
    <w:rsid w:val="00807411"/>
    <w:rsid w:val="00807414"/>
    <w:rsid w:val="008074F8"/>
    <w:rsid w:val="00807668"/>
    <w:rsid w:val="0080779F"/>
    <w:rsid w:val="00807A41"/>
    <w:rsid w:val="00807A4E"/>
    <w:rsid w:val="00807A86"/>
    <w:rsid w:val="00807CD1"/>
    <w:rsid w:val="00807DC4"/>
    <w:rsid w:val="00810477"/>
    <w:rsid w:val="00810573"/>
    <w:rsid w:val="008106E5"/>
    <w:rsid w:val="00810727"/>
    <w:rsid w:val="00810B6E"/>
    <w:rsid w:val="00810B8A"/>
    <w:rsid w:val="00810C74"/>
    <w:rsid w:val="00810CEC"/>
    <w:rsid w:val="00810F35"/>
    <w:rsid w:val="00810FCB"/>
    <w:rsid w:val="00811154"/>
    <w:rsid w:val="008111AA"/>
    <w:rsid w:val="008111B0"/>
    <w:rsid w:val="0081135C"/>
    <w:rsid w:val="008113AA"/>
    <w:rsid w:val="008115AF"/>
    <w:rsid w:val="00811E61"/>
    <w:rsid w:val="00811EDA"/>
    <w:rsid w:val="00812222"/>
    <w:rsid w:val="00812273"/>
    <w:rsid w:val="008127AF"/>
    <w:rsid w:val="00812C6B"/>
    <w:rsid w:val="00812CDF"/>
    <w:rsid w:val="00812CE3"/>
    <w:rsid w:val="00812D61"/>
    <w:rsid w:val="00812EC0"/>
    <w:rsid w:val="00812FC3"/>
    <w:rsid w:val="00813532"/>
    <w:rsid w:val="00813577"/>
    <w:rsid w:val="0081364B"/>
    <w:rsid w:val="008136C6"/>
    <w:rsid w:val="008138B7"/>
    <w:rsid w:val="00813FED"/>
    <w:rsid w:val="008142BF"/>
    <w:rsid w:val="0081430C"/>
    <w:rsid w:val="008145A2"/>
    <w:rsid w:val="008146C5"/>
    <w:rsid w:val="00814842"/>
    <w:rsid w:val="008149A5"/>
    <w:rsid w:val="00814AEB"/>
    <w:rsid w:val="00814BCD"/>
    <w:rsid w:val="00814C26"/>
    <w:rsid w:val="00814D08"/>
    <w:rsid w:val="00814FE4"/>
    <w:rsid w:val="00815086"/>
    <w:rsid w:val="00815115"/>
    <w:rsid w:val="008152A3"/>
    <w:rsid w:val="008152C4"/>
    <w:rsid w:val="00815388"/>
    <w:rsid w:val="00815451"/>
    <w:rsid w:val="00815473"/>
    <w:rsid w:val="00815573"/>
    <w:rsid w:val="0081578A"/>
    <w:rsid w:val="008158CE"/>
    <w:rsid w:val="00815AD6"/>
    <w:rsid w:val="00815C5B"/>
    <w:rsid w:val="00815E0B"/>
    <w:rsid w:val="00815E57"/>
    <w:rsid w:val="008160C6"/>
    <w:rsid w:val="00816571"/>
    <w:rsid w:val="00816B25"/>
    <w:rsid w:val="00816E37"/>
    <w:rsid w:val="00816F1D"/>
    <w:rsid w:val="0081701F"/>
    <w:rsid w:val="00817627"/>
    <w:rsid w:val="0081778A"/>
    <w:rsid w:val="0081790B"/>
    <w:rsid w:val="00817FFA"/>
    <w:rsid w:val="008201B9"/>
    <w:rsid w:val="008202D3"/>
    <w:rsid w:val="0082031C"/>
    <w:rsid w:val="0082072C"/>
    <w:rsid w:val="00820773"/>
    <w:rsid w:val="0082090F"/>
    <w:rsid w:val="00820C94"/>
    <w:rsid w:val="00820CD0"/>
    <w:rsid w:val="00820DA0"/>
    <w:rsid w:val="00820EB3"/>
    <w:rsid w:val="0082148B"/>
    <w:rsid w:val="0082184A"/>
    <w:rsid w:val="00822084"/>
    <w:rsid w:val="008222BE"/>
    <w:rsid w:val="0082252E"/>
    <w:rsid w:val="00822623"/>
    <w:rsid w:val="00822770"/>
    <w:rsid w:val="008228A6"/>
    <w:rsid w:val="00822BE3"/>
    <w:rsid w:val="00822C67"/>
    <w:rsid w:val="00822D5D"/>
    <w:rsid w:val="00822E4F"/>
    <w:rsid w:val="00823071"/>
    <w:rsid w:val="0082315F"/>
    <w:rsid w:val="008231FC"/>
    <w:rsid w:val="00823222"/>
    <w:rsid w:val="008235E9"/>
    <w:rsid w:val="00823A37"/>
    <w:rsid w:val="00823B50"/>
    <w:rsid w:val="00823C78"/>
    <w:rsid w:val="008240D8"/>
    <w:rsid w:val="00824271"/>
    <w:rsid w:val="008242C9"/>
    <w:rsid w:val="008248AD"/>
    <w:rsid w:val="00824974"/>
    <w:rsid w:val="00824A25"/>
    <w:rsid w:val="008250B0"/>
    <w:rsid w:val="00825492"/>
    <w:rsid w:val="00825677"/>
    <w:rsid w:val="0082604F"/>
    <w:rsid w:val="00826429"/>
    <w:rsid w:val="00826512"/>
    <w:rsid w:val="008265DE"/>
    <w:rsid w:val="008265E2"/>
    <w:rsid w:val="00826607"/>
    <w:rsid w:val="008269B7"/>
    <w:rsid w:val="00826A1D"/>
    <w:rsid w:val="00826C00"/>
    <w:rsid w:val="00826FCE"/>
    <w:rsid w:val="00827050"/>
    <w:rsid w:val="008271D8"/>
    <w:rsid w:val="008274E4"/>
    <w:rsid w:val="00827552"/>
    <w:rsid w:val="00827684"/>
    <w:rsid w:val="00827757"/>
    <w:rsid w:val="0082779C"/>
    <w:rsid w:val="008279A4"/>
    <w:rsid w:val="00827E2A"/>
    <w:rsid w:val="00827F56"/>
    <w:rsid w:val="008303F8"/>
    <w:rsid w:val="00830581"/>
    <w:rsid w:val="0083066C"/>
    <w:rsid w:val="00830A67"/>
    <w:rsid w:val="00830C02"/>
    <w:rsid w:val="00830C89"/>
    <w:rsid w:val="00830EBE"/>
    <w:rsid w:val="0083108A"/>
    <w:rsid w:val="008310BD"/>
    <w:rsid w:val="00831162"/>
    <w:rsid w:val="00831430"/>
    <w:rsid w:val="008316D6"/>
    <w:rsid w:val="008318D1"/>
    <w:rsid w:val="00831BAD"/>
    <w:rsid w:val="00831D68"/>
    <w:rsid w:val="008320E0"/>
    <w:rsid w:val="00832235"/>
    <w:rsid w:val="008322A3"/>
    <w:rsid w:val="008322E3"/>
    <w:rsid w:val="00832392"/>
    <w:rsid w:val="0083251B"/>
    <w:rsid w:val="008327E5"/>
    <w:rsid w:val="008327F0"/>
    <w:rsid w:val="00832DB8"/>
    <w:rsid w:val="00832F21"/>
    <w:rsid w:val="00833193"/>
    <w:rsid w:val="008334AA"/>
    <w:rsid w:val="00833885"/>
    <w:rsid w:val="00833D93"/>
    <w:rsid w:val="00833EF0"/>
    <w:rsid w:val="00833F7D"/>
    <w:rsid w:val="00833FB9"/>
    <w:rsid w:val="0083421B"/>
    <w:rsid w:val="00834631"/>
    <w:rsid w:val="00834B3C"/>
    <w:rsid w:val="00834C9E"/>
    <w:rsid w:val="0083515D"/>
    <w:rsid w:val="008351CD"/>
    <w:rsid w:val="008358DF"/>
    <w:rsid w:val="00835A1A"/>
    <w:rsid w:val="0083618F"/>
    <w:rsid w:val="00836458"/>
    <w:rsid w:val="00836B69"/>
    <w:rsid w:val="00836CEE"/>
    <w:rsid w:val="00836D2A"/>
    <w:rsid w:val="00836FA5"/>
    <w:rsid w:val="00836FF5"/>
    <w:rsid w:val="00837030"/>
    <w:rsid w:val="0083708C"/>
    <w:rsid w:val="0083741A"/>
    <w:rsid w:val="008374E1"/>
    <w:rsid w:val="008374F0"/>
    <w:rsid w:val="0083799E"/>
    <w:rsid w:val="00837A65"/>
    <w:rsid w:val="00837A87"/>
    <w:rsid w:val="00837ADA"/>
    <w:rsid w:val="00837B69"/>
    <w:rsid w:val="00837BC6"/>
    <w:rsid w:val="00837C45"/>
    <w:rsid w:val="00837D23"/>
    <w:rsid w:val="00837DEA"/>
    <w:rsid w:val="00837FD1"/>
    <w:rsid w:val="00837FF5"/>
    <w:rsid w:val="008400B8"/>
    <w:rsid w:val="00840129"/>
    <w:rsid w:val="00840787"/>
    <w:rsid w:val="00840AC8"/>
    <w:rsid w:val="00840E6E"/>
    <w:rsid w:val="00840F9D"/>
    <w:rsid w:val="0084124C"/>
    <w:rsid w:val="0084126C"/>
    <w:rsid w:val="00841322"/>
    <w:rsid w:val="00841C7E"/>
    <w:rsid w:val="00841D7C"/>
    <w:rsid w:val="00842BA7"/>
    <w:rsid w:val="00842E17"/>
    <w:rsid w:val="008432F9"/>
    <w:rsid w:val="008433A2"/>
    <w:rsid w:val="008435E2"/>
    <w:rsid w:val="00843609"/>
    <w:rsid w:val="008437D2"/>
    <w:rsid w:val="00843800"/>
    <w:rsid w:val="008438BF"/>
    <w:rsid w:val="008439ED"/>
    <w:rsid w:val="00843A24"/>
    <w:rsid w:val="00843C3D"/>
    <w:rsid w:val="00843DFD"/>
    <w:rsid w:val="00843E23"/>
    <w:rsid w:val="00843E2C"/>
    <w:rsid w:val="00843FA3"/>
    <w:rsid w:val="0084404E"/>
    <w:rsid w:val="0084409D"/>
    <w:rsid w:val="00844147"/>
    <w:rsid w:val="0084436D"/>
    <w:rsid w:val="008445BC"/>
    <w:rsid w:val="00844653"/>
    <w:rsid w:val="008446E1"/>
    <w:rsid w:val="008448B7"/>
    <w:rsid w:val="008456D4"/>
    <w:rsid w:val="00845895"/>
    <w:rsid w:val="00845BE6"/>
    <w:rsid w:val="00845EC8"/>
    <w:rsid w:val="00845FB0"/>
    <w:rsid w:val="008461C4"/>
    <w:rsid w:val="008462D3"/>
    <w:rsid w:val="0084637F"/>
    <w:rsid w:val="008467E5"/>
    <w:rsid w:val="0084686B"/>
    <w:rsid w:val="008469DA"/>
    <w:rsid w:val="00846B77"/>
    <w:rsid w:val="00846C92"/>
    <w:rsid w:val="00846D2C"/>
    <w:rsid w:val="00846F62"/>
    <w:rsid w:val="008471C6"/>
    <w:rsid w:val="0084723C"/>
    <w:rsid w:val="0084732B"/>
    <w:rsid w:val="0084738B"/>
    <w:rsid w:val="00847466"/>
    <w:rsid w:val="008474E9"/>
    <w:rsid w:val="008475B7"/>
    <w:rsid w:val="008476DB"/>
    <w:rsid w:val="00847911"/>
    <w:rsid w:val="00847BD4"/>
    <w:rsid w:val="00847CD0"/>
    <w:rsid w:val="00847DBF"/>
    <w:rsid w:val="00847F13"/>
    <w:rsid w:val="0085004F"/>
    <w:rsid w:val="0085025A"/>
    <w:rsid w:val="0085081C"/>
    <w:rsid w:val="0085086B"/>
    <w:rsid w:val="00850BE8"/>
    <w:rsid w:val="00850C16"/>
    <w:rsid w:val="00850D3A"/>
    <w:rsid w:val="00851002"/>
    <w:rsid w:val="0085106D"/>
    <w:rsid w:val="008510DE"/>
    <w:rsid w:val="008514D8"/>
    <w:rsid w:val="0085160D"/>
    <w:rsid w:val="0085163D"/>
    <w:rsid w:val="008516DF"/>
    <w:rsid w:val="00851739"/>
    <w:rsid w:val="00851944"/>
    <w:rsid w:val="00851DAD"/>
    <w:rsid w:val="00851E0B"/>
    <w:rsid w:val="0085228D"/>
    <w:rsid w:val="00852828"/>
    <w:rsid w:val="008530AC"/>
    <w:rsid w:val="008538D9"/>
    <w:rsid w:val="00853B0F"/>
    <w:rsid w:val="0085440D"/>
    <w:rsid w:val="008544F3"/>
    <w:rsid w:val="00854DB1"/>
    <w:rsid w:val="00854EBC"/>
    <w:rsid w:val="00854F29"/>
    <w:rsid w:val="008551AD"/>
    <w:rsid w:val="0085528C"/>
    <w:rsid w:val="0085536A"/>
    <w:rsid w:val="0085577F"/>
    <w:rsid w:val="008559BA"/>
    <w:rsid w:val="00855BCC"/>
    <w:rsid w:val="008561C0"/>
    <w:rsid w:val="00856215"/>
    <w:rsid w:val="00856343"/>
    <w:rsid w:val="00856377"/>
    <w:rsid w:val="008565FC"/>
    <w:rsid w:val="008566F8"/>
    <w:rsid w:val="0085675D"/>
    <w:rsid w:val="008568A5"/>
    <w:rsid w:val="00856A22"/>
    <w:rsid w:val="00856AAA"/>
    <w:rsid w:val="00856C4B"/>
    <w:rsid w:val="00856CAA"/>
    <w:rsid w:val="008570E5"/>
    <w:rsid w:val="008572B5"/>
    <w:rsid w:val="008573BA"/>
    <w:rsid w:val="00857516"/>
    <w:rsid w:val="0085754D"/>
    <w:rsid w:val="0085787A"/>
    <w:rsid w:val="00857983"/>
    <w:rsid w:val="00857D15"/>
    <w:rsid w:val="008600F2"/>
    <w:rsid w:val="008601C4"/>
    <w:rsid w:val="008605B4"/>
    <w:rsid w:val="00860787"/>
    <w:rsid w:val="008609AD"/>
    <w:rsid w:val="00860A38"/>
    <w:rsid w:val="00860C01"/>
    <w:rsid w:val="00860C64"/>
    <w:rsid w:val="008610C6"/>
    <w:rsid w:val="00861439"/>
    <w:rsid w:val="00861537"/>
    <w:rsid w:val="00861626"/>
    <w:rsid w:val="00861F81"/>
    <w:rsid w:val="00861FE1"/>
    <w:rsid w:val="008620CA"/>
    <w:rsid w:val="008621BD"/>
    <w:rsid w:val="00862281"/>
    <w:rsid w:val="0086253A"/>
    <w:rsid w:val="00862B11"/>
    <w:rsid w:val="00862E2A"/>
    <w:rsid w:val="00862EEA"/>
    <w:rsid w:val="00862F03"/>
    <w:rsid w:val="008631C4"/>
    <w:rsid w:val="00863222"/>
    <w:rsid w:val="00863B02"/>
    <w:rsid w:val="00863B0B"/>
    <w:rsid w:val="0086417C"/>
    <w:rsid w:val="0086432A"/>
    <w:rsid w:val="00864431"/>
    <w:rsid w:val="00864536"/>
    <w:rsid w:val="0086454A"/>
    <w:rsid w:val="00864693"/>
    <w:rsid w:val="008648C1"/>
    <w:rsid w:val="00864999"/>
    <w:rsid w:val="00864A21"/>
    <w:rsid w:val="00864CC0"/>
    <w:rsid w:val="00864E2F"/>
    <w:rsid w:val="008656BB"/>
    <w:rsid w:val="008657CE"/>
    <w:rsid w:val="00865BC7"/>
    <w:rsid w:val="00865D0D"/>
    <w:rsid w:val="00865F40"/>
    <w:rsid w:val="00866141"/>
    <w:rsid w:val="0086647C"/>
    <w:rsid w:val="0086673F"/>
    <w:rsid w:val="008667D4"/>
    <w:rsid w:val="008669A2"/>
    <w:rsid w:val="00866A0E"/>
    <w:rsid w:val="00866D5B"/>
    <w:rsid w:val="00866E96"/>
    <w:rsid w:val="00866F17"/>
    <w:rsid w:val="00866F6F"/>
    <w:rsid w:val="0086702D"/>
    <w:rsid w:val="00867098"/>
    <w:rsid w:val="00867519"/>
    <w:rsid w:val="00867E4A"/>
    <w:rsid w:val="00867EDA"/>
    <w:rsid w:val="008700FF"/>
    <w:rsid w:val="00870565"/>
    <w:rsid w:val="0087094F"/>
    <w:rsid w:val="00870FD5"/>
    <w:rsid w:val="0087166D"/>
    <w:rsid w:val="008716AE"/>
    <w:rsid w:val="0087175F"/>
    <w:rsid w:val="008718E2"/>
    <w:rsid w:val="008718E9"/>
    <w:rsid w:val="00871B71"/>
    <w:rsid w:val="00871D03"/>
    <w:rsid w:val="008728FF"/>
    <w:rsid w:val="00872A6B"/>
    <w:rsid w:val="00872BED"/>
    <w:rsid w:val="00872C49"/>
    <w:rsid w:val="00872DE5"/>
    <w:rsid w:val="00872E76"/>
    <w:rsid w:val="00872EF7"/>
    <w:rsid w:val="00872F1A"/>
    <w:rsid w:val="00873073"/>
    <w:rsid w:val="00873149"/>
    <w:rsid w:val="00873364"/>
    <w:rsid w:val="0087337D"/>
    <w:rsid w:val="008733CA"/>
    <w:rsid w:val="00873451"/>
    <w:rsid w:val="0087371E"/>
    <w:rsid w:val="008738A2"/>
    <w:rsid w:val="00873A7D"/>
    <w:rsid w:val="00873C9E"/>
    <w:rsid w:val="00873DCD"/>
    <w:rsid w:val="00873E82"/>
    <w:rsid w:val="00873F03"/>
    <w:rsid w:val="00873FF5"/>
    <w:rsid w:val="00874351"/>
    <w:rsid w:val="008743CB"/>
    <w:rsid w:val="008744E1"/>
    <w:rsid w:val="008745AD"/>
    <w:rsid w:val="008748D3"/>
    <w:rsid w:val="00874F2E"/>
    <w:rsid w:val="008755B2"/>
    <w:rsid w:val="008757B0"/>
    <w:rsid w:val="008758DD"/>
    <w:rsid w:val="008759AC"/>
    <w:rsid w:val="00875AC8"/>
    <w:rsid w:val="00875F49"/>
    <w:rsid w:val="00875FC1"/>
    <w:rsid w:val="0087606B"/>
    <w:rsid w:val="0087650C"/>
    <w:rsid w:val="0087691B"/>
    <w:rsid w:val="00876941"/>
    <w:rsid w:val="00876E8B"/>
    <w:rsid w:val="00876EF5"/>
    <w:rsid w:val="00876F58"/>
    <w:rsid w:val="00877109"/>
    <w:rsid w:val="0087722B"/>
    <w:rsid w:val="00877272"/>
    <w:rsid w:val="00877279"/>
    <w:rsid w:val="0087733E"/>
    <w:rsid w:val="00877628"/>
    <w:rsid w:val="0087791B"/>
    <w:rsid w:val="0088006B"/>
    <w:rsid w:val="00880155"/>
    <w:rsid w:val="00880400"/>
    <w:rsid w:val="008804B8"/>
    <w:rsid w:val="00880560"/>
    <w:rsid w:val="00880662"/>
    <w:rsid w:val="00880AE8"/>
    <w:rsid w:val="00880E39"/>
    <w:rsid w:val="008812C3"/>
    <w:rsid w:val="008813D7"/>
    <w:rsid w:val="008819CE"/>
    <w:rsid w:val="00881AFA"/>
    <w:rsid w:val="00881CBD"/>
    <w:rsid w:val="00881D4F"/>
    <w:rsid w:val="00881EE4"/>
    <w:rsid w:val="0088234B"/>
    <w:rsid w:val="0088235F"/>
    <w:rsid w:val="008824FC"/>
    <w:rsid w:val="00882853"/>
    <w:rsid w:val="00882937"/>
    <w:rsid w:val="00882BB9"/>
    <w:rsid w:val="00882BC0"/>
    <w:rsid w:val="00882EDC"/>
    <w:rsid w:val="008830EA"/>
    <w:rsid w:val="008832AC"/>
    <w:rsid w:val="00883357"/>
    <w:rsid w:val="0088354E"/>
    <w:rsid w:val="008837A1"/>
    <w:rsid w:val="008839DB"/>
    <w:rsid w:val="00883BC3"/>
    <w:rsid w:val="00883C89"/>
    <w:rsid w:val="00884233"/>
    <w:rsid w:val="008853C9"/>
    <w:rsid w:val="008854A2"/>
    <w:rsid w:val="0088568A"/>
    <w:rsid w:val="008858D5"/>
    <w:rsid w:val="00885919"/>
    <w:rsid w:val="00885CF3"/>
    <w:rsid w:val="00886001"/>
    <w:rsid w:val="00886882"/>
    <w:rsid w:val="00886ABA"/>
    <w:rsid w:val="00886AD6"/>
    <w:rsid w:val="00886ADB"/>
    <w:rsid w:val="00886B56"/>
    <w:rsid w:val="00886B92"/>
    <w:rsid w:val="00886EA6"/>
    <w:rsid w:val="00886ECC"/>
    <w:rsid w:val="00886F40"/>
    <w:rsid w:val="00887057"/>
    <w:rsid w:val="0088726B"/>
    <w:rsid w:val="00887715"/>
    <w:rsid w:val="00887746"/>
    <w:rsid w:val="00887B6E"/>
    <w:rsid w:val="00887C9B"/>
    <w:rsid w:val="00887CB5"/>
    <w:rsid w:val="00887CC8"/>
    <w:rsid w:val="00887D91"/>
    <w:rsid w:val="00890202"/>
    <w:rsid w:val="008902A1"/>
    <w:rsid w:val="00890483"/>
    <w:rsid w:val="00890583"/>
    <w:rsid w:val="008906E7"/>
    <w:rsid w:val="00890749"/>
    <w:rsid w:val="00890859"/>
    <w:rsid w:val="00890873"/>
    <w:rsid w:val="00890BB2"/>
    <w:rsid w:val="00890CDB"/>
    <w:rsid w:val="00891066"/>
    <w:rsid w:val="0089108D"/>
    <w:rsid w:val="008910A8"/>
    <w:rsid w:val="008914BE"/>
    <w:rsid w:val="00891567"/>
    <w:rsid w:val="0089167E"/>
    <w:rsid w:val="008916E1"/>
    <w:rsid w:val="0089196D"/>
    <w:rsid w:val="00891A21"/>
    <w:rsid w:val="00891BE8"/>
    <w:rsid w:val="00891E65"/>
    <w:rsid w:val="00891F77"/>
    <w:rsid w:val="00892105"/>
    <w:rsid w:val="008922C2"/>
    <w:rsid w:val="008926FC"/>
    <w:rsid w:val="0089273F"/>
    <w:rsid w:val="008928CF"/>
    <w:rsid w:val="00892C11"/>
    <w:rsid w:val="00892F31"/>
    <w:rsid w:val="00892FB8"/>
    <w:rsid w:val="00893094"/>
    <w:rsid w:val="00893110"/>
    <w:rsid w:val="008931AC"/>
    <w:rsid w:val="00893261"/>
    <w:rsid w:val="00893860"/>
    <w:rsid w:val="00893F49"/>
    <w:rsid w:val="00894021"/>
    <w:rsid w:val="00894156"/>
    <w:rsid w:val="008944DB"/>
    <w:rsid w:val="0089464B"/>
    <w:rsid w:val="00894800"/>
    <w:rsid w:val="00894AC5"/>
    <w:rsid w:val="00894CF2"/>
    <w:rsid w:val="008952E7"/>
    <w:rsid w:val="008953B2"/>
    <w:rsid w:val="008955BB"/>
    <w:rsid w:val="008958C5"/>
    <w:rsid w:val="008958F0"/>
    <w:rsid w:val="00895B02"/>
    <w:rsid w:val="00895BD8"/>
    <w:rsid w:val="008962CA"/>
    <w:rsid w:val="008963C6"/>
    <w:rsid w:val="008963CC"/>
    <w:rsid w:val="00896543"/>
    <w:rsid w:val="008967D0"/>
    <w:rsid w:val="008968D4"/>
    <w:rsid w:val="00896917"/>
    <w:rsid w:val="00896DA5"/>
    <w:rsid w:val="00896FB9"/>
    <w:rsid w:val="008972E1"/>
    <w:rsid w:val="008972F2"/>
    <w:rsid w:val="00897442"/>
    <w:rsid w:val="0089748A"/>
    <w:rsid w:val="0089792C"/>
    <w:rsid w:val="008979E3"/>
    <w:rsid w:val="00897C79"/>
    <w:rsid w:val="00897D48"/>
    <w:rsid w:val="00897FF8"/>
    <w:rsid w:val="008A0517"/>
    <w:rsid w:val="008A098D"/>
    <w:rsid w:val="008A0BB7"/>
    <w:rsid w:val="008A0D14"/>
    <w:rsid w:val="008A0DEE"/>
    <w:rsid w:val="008A0FFC"/>
    <w:rsid w:val="008A11DF"/>
    <w:rsid w:val="008A1236"/>
    <w:rsid w:val="008A125A"/>
    <w:rsid w:val="008A1954"/>
    <w:rsid w:val="008A1BCF"/>
    <w:rsid w:val="008A226F"/>
    <w:rsid w:val="008A258C"/>
    <w:rsid w:val="008A2619"/>
    <w:rsid w:val="008A2942"/>
    <w:rsid w:val="008A2976"/>
    <w:rsid w:val="008A2A42"/>
    <w:rsid w:val="008A2AEB"/>
    <w:rsid w:val="008A2BEF"/>
    <w:rsid w:val="008A2D2F"/>
    <w:rsid w:val="008A2D5C"/>
    <w:rsid w:val="008A356D"/>
    <w:rsid w:val="008A3D58"/>
    <w:rsid w:val="008A3D7B"/>
    <w:rsid w:val="008A3D8B"/>
    <w:rsid w:val="008A40AB"/>
    <w:rsid w:val="008A464B"/>
    <w:rsid w:val="008A48B7"/>
    <w:rsid w:val="008A4C45"/>
    <w:rsid w:val="008A4E6B"/>
    <w:rsid w:val="008A5367"/>
    <w:rsid w:val="008A5567"/>
    <w:rsid w:val="008A598D"/>
    <w:rsid w:val="008A5C9C"/>
    <w:rsid w:val="008A5DF0"/>
    <w:rsid w:val="008A5E31"/>
    <w:rsid w:val="008A5FD9"/>
    <w:rsid w:val="008A5FFC"/>
    <w:rsid w:val="008A611F"/>
    <w:rsid w:val="008A615D"/>
    <w:rsid w:val="008A6449"/>
    <w:rsid w:val="008A662D"/>
    <w:rsid w:val="008A6659"/>
    <w:rsid w:val="008A6943"/>
    <w:rsid w:val="008A6AA9"/>
    <w:rsid w:val="008A6BDE"/>
    <w:rsid w:val="008A6E6F"/>
    <w:rsid w:val="008A6ED3"/>
    <w:rsid w:val="008A6F7E"/>
    <w:rsid w:val="008A7090"/>
    <w:rsid w:val="008A710D"/>
    <w:rsid w:val="008A7949"/>
    <w:rsid w:val="008A7B25"/>
    <w:rsid w:val="008A7E30"/>
    <w:rsid w:val="008A7F2E"/>
    <w:rsid w:val="008B027E"/>
    <w:rsid w:val="008B04E5"/>
    <w:rsid w:val="008B07AF"/>
    <w:rsid w:val="008B0CF5"/>
    <w:rsid w:val="008B0DDF"/>
    <w:rsid w:val="008B0E0D"/>
    <w:rsid w:val="008B0F8D"/>
    <w:rsid w:val="008B15AC"/>
    <w:rsid w:val="008B16FA"/>
    <w:rsid w:val="008B1763"/>
    <w:rsid w:val="008B1E95"/>
    <w:rsid w:val="008B1F60"/>
    <w:rsid w:val="008B1F7E"/>
    <w:rsid w:val="008B1FE8"/>
    <w:rsid w:val="008B21F0"/>
    <w:rsid w:val="008B21F5"/>
    <w:rsid w:val="008B2290"/>
    <w:rsid w:val="008B25F3"/>
    <w:rsid w:val="008B2624"/>
    <w:rsid w:val="008B2707"/>
    <w:rsid w:val="008B2A2C"/>
    <w:rsid w:val="008B2D0D"/>
    <w:rsid w:val="008B3004"/>
    <w:rsid w:val="008B327A"/>
    <w:rsid w:val="008B3326"/>
    <w:rsid w:val="008B364A"/>
    <w:rsid w:val="008B382D"/>
    <w:rsid w:val="008B3A94"/>
    <w:rsid w:val="008B3CDF"/>
    <w:rsid w:val="008B3D0A"/>
    <w:rsid w:val="008B3D2F"/>
    <w:rsid w:val="008B3D63"/>
    <w:rsid w:val="008B3E4B"/>
    <w:rsid w:val="008B3F76"/>
    <w:rsid w:val="008B3FCE"/>
    <w:rsid w:val="008B4151"/>
    <w:rsid w:val="008B4547"/>
    <w:rsid w:val="008B4636"/>
    <w:rsid w:val="008B4729"/>
    <w:rsid w:val="008B4901"/>
    <w:rsid w:val="008B4C09"/>
    <w:rsid w:val="008B4C0D"/>
    <w:rsid w:val="008B4EC4"/>
    <w:rsid w:val="008B4F8D"/>
    <w:rsid w:val="008B50ED"/>
    <w:rsid w:val="008B5244"/>
    <w:rsid w:val="008B54D8"/>
    <w:rsid w:val="008B56BA"/>
    <w:rsid w:val="008B58A7"/>
    <w:rsid w:val="008B5A2F"/>
    <w:rsid w:val="008B5B4E"/>
    <w:rsid w:val="008B5D19"/>
    <w:rsid w:val="008B60CE"/>
    <w:rsid w:val="008B619E"/>
    <w:rsid w:val="008B63C2"/>
    <w:rsid w:val="008B67F7"/>
    <w:rsid w:val="008B69BC"/>
    <w:rsid w:val="008B6AB0"/>
    <w:rsid w:val="008B6B4B"/>
    <w:rsid w:val="008B6BB1"/>
    <w:rsid w:val="008B7025"/>
    <w:rsid w:val="008B7166"/>
    <w:rsid w:val="008B71AF"/>
    <w:rsid w:val="008B71E2"/>
    <w:rsid w:val="008B7626"/>
    <w:rsid w:val="008B7980"/>
    <w:rsid w:val="008B7B8E"/>
    <w:rsid w:val="008B7BBD"/>
    <w:rsid w:val="008B7BD4"/>
    <w:rsid w:val="008B7CA3"/>
    <w:rsid w:val="008C00ED"/>
    <w:rsid w:val="008C052B"/>
    <w:rsid w:val="008C0A46"/>
    <w:rsid w:val="008C1360"/>
    <w:rsid w:val="008C1396"/>
    <w:rsid w:val="008C197D"/>
    <w:rsid w:val="008C19DD"/>
    <w:rsid w:val="008C1BFF"/>
    <w:rsid w:val="008C1C61"/>
    <w:rsid w:val="008C20C7"/>
    <w:rsid w:val="008C2470"/>
    <w:rsid w:val="008C29CA"/>
    <w:rsid w:val="008C2E46"/>
    <w:rsid w:val="008C30E7"/>
    <w:rsid w:val="008C317B"/>
    <w:rsid w:val="008C32D4"/>
    <w:rsid w:val="008C3870"/>
    <w:rsid w:val="008C38CD"/>
    <w:rsid w:val="008C3ADA"/>
    <w:rsid w:val="008C3C17"/>
    <w:rsid w:val="008C4206"/>
    <w:rsid w:val="008C423D"/>
    <w:rsid w:val="008C4470"/>
    <w:rsid w:val="008C4C42"/>
    <w:rsid w:val="008C4D80"/>
    <w:rsid w:val="008C4F5A"/>
    <w:rsid w:val="008C5488"/>
    <w:rsid w:val="008C55B3"/>
    <w:rsid w:val="008C5674"/>
    <w:rsid w:val="008C57FC"/>
    <w:rsid w:val="008C5AC1"/>
    <w:rsid w:val="008C5C13"/>
    <w:rsid w:val="008C5C35"/>
    <w:rsid w:val="008C5CA9"/>
    <w:rsid w:val="008C5CAF"/>
    <w:rsid w:val="008C6246"/>
    <w:rsid w:val="008C633C"/>
    <w:rsid w:val="008C654F"/>
    <w:rsid w:val="008C66BE"/>
    <w:rsid w:val="008C688C"/>
    <w:rsid w:val="008C6C58"/>
    <w:rsid w:val="008C6D1D"/>
    <w:rsid w:val="008C7026"/>
    <w:rsid w:val="008C7579"/>
    <w:rsid w:val="008C790B"/>
    <w:rsid w:val="008C794A"/>
    <w:rsid w:val="008C7DB9"/>
    <w:rsid w:val="008D00AB"/>
    <w:rsid w:val="008D013E"/>
    <w:rsid w:val="008D0183"/>
    <w:rsid w:val="008D030B"/>
    <w:rsid w:val="008D0582"/>
    <w:rsid w:val="008D097E"/>
    <w:rsid w:val="008D0D1F"/>
    <w:rsid w:val="008D1097"/>
    <w:rsid w:val="008D112E"/>
    <w:rsid w:val="008D118A"/>
    <w:rsid w:val="008D1264"/>
    <w:rsid w:val="008D1699"/>
    <w:rsid w:val="008D1827"/>
    <w:rsid w:val="008D1AD9"/>
    <w:rsid w:val="008D1C21"/>
    <w:rsid w:val="008D1C8F"/>
    <w:rsid w:val="008D1EE2"/>
    <w:rsid w:val="008D2388"/>
    <w:rsid w:val="008D23A6"/>
    <w:rsid w:val="008D2709"/>
    <w:rsid w:val="008D2C21"/>
    <w:rsid w:val="008D2E9A"/>
    <w:rsid w:val="008D30C3"/>
    <w:rsid w:val="008D32AC"/>
    <w:rsid w:val="008D331C"/>
    <w:rsid w:val="008D3465"/>
    <w:rsid w:val="008D34D7"/>
    <w:rsid w:val="008D3615"/>
    <w:rsid w:val="008D38B4"/>
    <w:rsid w:val="008D38B7"/>
    <w:rsid w:val="008D3A83"/>
    <w:rsid w:val="008D3BA6"/>
    <w:rsid w:val="008D3D0B"/>
    <w:rsid w:val="008D3DA8"/>
    <w:rsid w:val="008D400E"/>
    <w:rsid w:val="008D4171"/>
    <w:rsid w:val="008D448F"/>
    <w:rsid w:val="008D4737"/>
    <w:rsid w:val="008D4924"/>
    <w:rsid w:val="008D4AA6"/>
    <w:rsid w:val="008D4B11"/>
    <w:rsid w:val="008D4E74"/>
    <w:rsid w:val="008D4F73"/>
    <w:rsid w:val="008D529D"/>
    <w:rsid w:val="008D5349"/>
    <w:rsid w:val="008D569B"/>
    <w:rsid w:val="008D5BF5"/>
    <w:rsid w:val="008D5D01"/>
    <w:rsid w:val="008D5E6C"/>
    <w:rsid w:val="008D5FB0"/>
    <w:rsid w:val="008D5FBC"/>
    <w:rsid w:val="008D6127"/>
    <w:rsid w:val="008D648F"/>
    <w:rsid w:val="008D64A1"/>
    <w:rsid w:val="008D64B9"/>
    <w:rsid w:val="008D65AA"/>
    <w:rsid w:val="008D65C8"/>
    <w:rsid w:val="008D6A46"/>
    <w:rsid w:val="008D6B43"/>
    <w:rsid w:val="008D6DD2"/>
    <w:rsid w:val="008D6E75"/>
    <w:rsid w:val="008D6F76"/>
    <w:rsid w:val="008D6F91"/>
    <w:rsid w:val="008D70BC"/>
    <w:rsid w:val="008D7322"/>
    <w:rsid w:val="008D757E"/>
    <w:rsid w:val="008D7B22"/>
    <w:rsid w:val="008D7B25"/>
    <w:rsid w:val="008D7C20"/>
    <w:rsid w:val="008E022E"/>
    <w:rsid w:val="008E0318"/>
    <w:rsid w:val="008E0900"/>
    <w:rsid w:val="008E0B1B"/>
    <w:rsid w:val="008E0D47"/>
    <w:rsid w:val="008E0FFC"/>
    <w:rsid w:val="008E1009"/>
    <w:rsid w:val="008E123D"/>
    <w:rsid w:val="008E1680"/>
    <w:rsid w:val="008E1950"/>
    <w:rsid w:val="008E19FD"/>
    <w:rsid w:val="008E1DFB"/>
    <w:rsid w:val="008E239F"/>
    <w:rsid w:val="008E248A"/>
    <w:rsid w:val="008E2507"/>
    <w:rsid w:val="008E262D"/>
    <w:rsid w:val="008E26EB"/>
    <w:rsid w:val="008E2913"/>
    <w:rsid w:val="008E2A6F"/>
    <w:rsid w:val="008E2A79"/>
    <w:rsid w:val="008E2D1E"/>
    <w:rsid w:val="008E322A"/>
    <w:rsid w:val="008E34C1"/>
    <w:rsid w:val="008E362C"/>
    <w:rsid w:val="008E37E3"/>
    <w:rsid w:val="008E3A2D"/>
    <w:rsid w:val="008E3A9F"/>
    <w:rsid w:val="008E3D9E"/>
    <w:rsid w:val="008E3DAC"/>
    <w:rsid w:val="008E3DDD"/>
    <w:rsid w:val="008E3E6B"/>
    <w:rsid w:val="008E3F11"/>
    <w:rsid w:val="008E3F82"/>
    <w:rsid w:val="008E4013"/>
    <w:rsid w:val="008E40DE"/>
    <w:rsid w:val="008E4149"/>
    <w:rsid w:val="008E424A"/>
    <w:rsid w:val="008E432B"/>
    <w:rsid w:val="008E4344"/>
    <w:rsid w:val="008E45C8"/>
    <w:rsid w:val="008E468D"/>
    <w:rsid w:val="008E47B0"/>
    <w:rsid w:val="008E47CB"/>
    <w:rsid w:val="008E48B9"/>
    <w:rsid w:val="008E48D4"/>
    <w:rsid w:val="008E4A2F"/>
    <w:rsid w:val="008E4E7F"/>
    <w:rsid w:val="008E50C2"/>
    <w:rsid w:val="008E53E2"/>
    <w:rsid w:val="008E5456"/>
    <w:rsid w:val="008E54D4"/>
    <w:rsid w:val="008E5830"/>
    <w:rsid w:val="008E5BF5"/>
    <w:rsid w:val="008E61D8"/>
    <w:rsid w:val="008E62E4"/>
    <w:rsid w:val="008E6567"/>
    <w:rsid w:val="008E6741"/>
    <w:rsid w:val="008E6974"/>
    <w:rsid w:val="008E6C54"/>
    <w:rsid w:val="008E6CD6"/>
    <w:rsid w:val="008E6DF0"/>
    <w:rsid w:val="008E6E94"/>
    <w:rsid w:val="008E7196"/>
    <w:rsid w:val="008E733D"/>
    <w:rsid w:val="008E75BD"/>
    <w:rsid w:val="008E7FDE"/>
    <w:rsid w:val="008F001B"/>
    <w:rsid w:val="008F00AE"/>
    <w:rsid w:val="008F0181"/>
    <w:rsid w:val="008F01FF"/>
    <w:rsid w:val="008F0223"/>
    <w:rsid w:val="008F0435"/>
    <w:rsid w:val="008F09CF"/>
    <w:rsid w:val="008F0D07"/>
    <w:rsid w:val="008F0E17"/>
    <w:rsid w:val="008F0E5C"/>
    <w:rsid w:val="008F0F30"/>
    <w:rsid w:val="008F1030"/>
    <w:rsid w:val="008F10E6"/>
    <w:rsid w:val="008F11E2"/>
    <w:rsid w:val="008F1248"/>
    <w:rsid w:val="008F131C"/>
    <w:rsid w:val="008F14D6"/>
    <w:rsid w:val="008F17A1"/>
    <w:rsid w:val="008F18CF"/>
    <w:rsid w:val="008F195A"/>
    <w:rsid w:val="008F1CF8"/>
    <w:rsid w:val="008F2105"/>
    <w:rsid w:val="008F2112"/>
    <w:rsid w:val="008F2371"/>
    <w:rsid w:val="008F2475"/>
    <w:rsid w:val="008F249B"/>
    <w:rsid w:val="008F260C"/>
    <w:rsid w:val="008F26D1"/>
    <w:rsid w:val="008F2708"/>
    <w:rsid w:val="008F2767"/>
    <w:rsid w:val="008F296D"/>
    <w:rsid w:val="008F2DFF"/>
    <w:rsid w:val="008F30CD"/>
    <w:rsid w:val="008F35DF"/>
    <w:rsid w:val="008F363D"/>
    <w:rsid w:val="008F383D"/>
    <w:rsid w:val="008F387B"/>
    <w:rsid w:val="008F3933"/>
    <w:rsid w:val="008F39E9"/>
    <w:rsid w:val="008F3C39"/>
    <w:rsid w:val="008F3C6A"/>
    <w:rsid w:val="008F3E5D"/>
    <w:rsid w:val="008F4052"/>
    <w:rsid w:val="008F41E5"/>
    <w:rsid w:val="008F4ADF"/>
    <w:rsid w:val="008F4AFF"/>
    <w:rsid w:val="008F4B42"/>
    <w:rsid w:val="008F4FB5"/>
    <w:rsid w:val="008F5005"/>
    <w:rsid w:val="008F5049"/>
    <w:rsid w:val="008F5643"/>
    <w:rsid w:val="008F5AB2"/>
    <w:rsid w:val="008F5B9E"/>
    <w:rsid w:val="008F5BBC"/>
    <w:rsid w:val="008F5D1F"/>
    <w:rsid w:val="008F5ED4"/>
    <w:rsid w:val="008F5EF0"/>
    <w:rsid w:val="008F61AD"/>
    <w:rsid w:val="008F61FB"/>
    <w:rsid w:val="008F63F9"/>
    <w:rsid w:val="008F652C"/>
    <w:rsid w:val="008F66A4"/>
    <w:rsid w:val="008F6A00"/>
    <w:rsid w:val="008F6B8D"/>
    <w:rsid w:val="008F6C7E"/>
    <w:rsid w:val="008F6FEA"/>
    <w:rsid w:val="008F7094"/>
    <w:rsid w:val="008F7227"/>
    <w:rsid w:val="008F743D"/>
    <w:rsid w:val="008F7530"/>
    <w:rsid w:val="008F7571"/>
    <w:rsid w:val="008F7596"/>
    <w:rsid w:val="008F79F3"/>
    <w:rsid w:val="0090029D"/>
    <w:rsid w:val="00900807"/>
    <w:rsid w:val="0090170B"/>
    <w:rsid w:val="00901929"/>
    <w:rsid w:val="00901D23"/>
    <w:rsid w:val="00901F39"/>
    <w:rsid w:val="00901F71"/>
    <w:rsid w:val="00902230"/>
    <w:rsid w:val="00902535"/>
    <w:rsid w:val="00902691"/>
    <w:rsid w:val="00902CF1"/>
    <w:rsid w:val="00903137"/>
    <w:rsid w:val="00903155"/>
    <w:rsid w:val="00903333"/>
    <w:rsid w:val="00903400"/>
    <w:rsid w:val="00903799"/>
    <w:rsid w:val="0090382C"/>
    <w:rsid w:val="009039DA"/>
    <w:rsid w:val="00903B61"/>
    <w:rsid w:val="00903C0E"/>
    <w:rsid w:val="00903C9B"/>
    <w:rsid w:val="00903D02"/>
    <w:rsid w:val="009040C0"/>
    <w:rsid w:val="009041C4"/>
    <w:rsid w:val="00904358"/>
    <w:rsid w:val="0090484D"/>
    <w:rsid w:val="00904B27"/>
    <w:rsid w:val="00904B4C"/>
    <w:rsid w:val="00905061"/>
    <w:rsid w:val="0090525C"/>
    <w:rsid w:val="00905270"/>
    <w:rsid w:val="009053BB"/>
    <w:rsid w:val="009055D6"/>
    <w:rsid w:val="00905C5A"/>
    <w:rsid w:val="00905DC5"/>
    <w:rsid w:val="00905E8B"/>
    <w:rsid w:val="009061A6"/>
    <w:rsid w:val="009062AD"/>
    <w:rsid w:val="009064DC"/>
    <w:rsid w:val="00906534"/>
    <w:rsid w:val="00906662"/>
    <w:rsid w:val="00906744"/>
    <w:rsid w:val="00906B10"/>
    <w:rsid w:val="00906F4F"/>
    <w:rsid w:val="00907237"/>
    <w:rsid w:val="00907276"/>
    <w:rsid w:val="009074EA"/>
    <w:rsid w:val="0090753E"/>
    <w:rsid w:val="0090790E"/>
    <w:rsid w:val="00907DFE"/>
    <w:rsid w:val="009102C5"/>
    <w:rsid w:val="00910383"/>
    <w:rsid w:val="00910791"/>
    <w:rsid w:val="00910887"/>
    <w:rsid w:val="00910BA8"/>
    <w:rsid w:val="00910C71"/>
    <w:rsid w:val="00911274"/>
    <w:rsid w:val="009112CB"/>
    <w:rsid w:val="00911379"/>
    <w:rsid w:val="00911473"/>
    <w:rsid w:val="00911574"/>
    <w:rsid w:val="00911832"/>
    <w:rsid w:val="00911859"/>
    <w:rsid w:val="00911880"/>
    <w:rsid w:val="00911A17"/>
    <w:rsid w:val="00911D76"/>
    <w:rsid w:val="00912073"/>
    <w:rsid w:val="009120B2"/>
    <w:rsid w:val="009122CD"/>
    <w:rsid w:val="0091232B"/>
    <w:rsid w:val="009123F7"/>
    <w:rsid w:val="00912661"/>
    <w:rsid w:val="009127D8"/>
    <w:rsid w:val="009129B5"/>
    <w:rsid w:val="00912A1B"/>
    <w:rsid w:val="00912ACD"/>
    <w:rsid w:val="00912AF5"/>
    <w:rsid w:val="00912B49"/>
    <w:rsid w:val="00912B67"/>
    <w:rsid w:val="00912E95"/>
    <w:rsid w:val="00913291"/>
    <w:rsid w:val="009134F0"/>
    <w:rsid w:val="009137BB"/>
    <w:rsid w:val="00913A89"/>
    <w:rsid w:val="00913EB8"/>
    <w:rsid w:val="00913F6F"/>
    <w:rsid w:val="009140BA"/>
    <w:rsid w:val="009140C6"/>
    <w:rsid w:val="0091410C"/>
    <w:rsid w:val="0091421D"/>
    <w:rsid w:val="00914338"/>
    <w:rsid w:val="00914593"/>
    <w:rsid w:val="009147AD"/>
    <w:rsid w:val="00914899"/>
    <w:rsid w:val="00914949"/>
    <w:rsid w:val="00914A5C"/>
    <w:rsid w:val="009150A1"/>
    <w:rsid w:val="009153AE"/>
    <w:rsid w:val="0091550C"/>
    <w:rsid w:val="00915809"/>
    <w:rsid w:val="0091593B"/>
    <w:rsid w:val="00915AC0"/>
    <w:rsid w:val="00915F89"/>
    <w:rsid w:val="009163FB"/>
    <w:rsid w:val="009166AB"/>
    <w:rsid w:val="00916887"/>
    <w:rsid w:val="00916AB5"/>
    <w:rsid w:val="00916B67"/>
    <w:rsid w:val="009176D0"/>
    <w:rsid w:val="00917748"/>
    <w:rsid w:val="00917803"/>
    <w:rsid w:val="00917B1C"/>
    <w:rsid w:val="0092011F"/>
    <w:rsid w:val="009202CF"/>
    <w:rsid w:val="0092057E"/>
    <w:rsid w:val="00920789"/>
    <w:rsid w:val="00920841"/>
    <w:rsid w:val="0092086E"/>
    <w:rsid w:val="009209A6"/>
    <w:rsid w:val="009209FA"/>
    <w:rsid w:val="00920A4C"/>
    <w:rsid w:val="00920B51"/>
    <w:rsid w:val="00920CDA"/>
    <w:rsid w:val="0092179F"/>
    <w:rsid w:val="0092185B"/>
    <w:rsid w:val="00921932"/>
    <w:rsid w:val="00921A7F"/>
    <w:rsid w:val="00921AF7"/>
    <w:rsid w:val="00921BC8"/>
    <w:rsid w:val="00921D45"/>
    <w:rsid w:val="00921DEF"/>
    <w:rsid w:val="00921E6B"/>
    <w:rsid w:val="00921FD9"/>
    <w:rsid w:val="00922060"/>
    <w:rsid w:val="009220F9"/>
    <w:rsid w:val="00922471"/>
    <w:rsid w:val="009226C1"/>
    <w:rsid w:val="00922760"/>
    <w:rsid w:val="00923269"/>
    <w:rsid w:val="0092332C"/>
    <w:rsid w:val="0092345D"/>
    <w:rsid w:val="0092346B"/>
    <w:rsid w:val="009234B9"/>
    <w:rsid w:val="009239EC"/>
    <w:rsid w:val="00923C90"/>
    <w:rsid w:val="00923F29"/>
    <w:rsid w:val="00923FA4"/>
    <w:rsid w:val="00923FA9"/>
    <w:rsid w:val="0092406B"/>
    <w:rsid w:val="009245C9"/>
    <w:rsid w:val="00924619"/>
    <w:rsid w:val="009246D8"/>
    <w:rsid w:val="00925005"/>
    <w:rsid w:val="00925498"/>
    <w:rsid w:val="0092562E"/>
    <w:rsid w:val="009256B5"/>
    <w:rsid w:val="009256C6"/>
    <w:rsid w:val="00925B9A"/>
    <w:rsid w:val="00925CFD"/>
    <w:rsid w:val="00925D07"/>
    <w:rsid w:val="0092600F"/>
    <w:rsid w:val="00926210"/>
    <w:rsid w:val="009262BA"/>
    <w:rsid w:val="00926523"/>
    <w:rsid w:val="009266EA"/>
    <w:rsid w:val="00926796"/>
    <w:rsid w:val="00926A71"/>
    <w:rsid w:val="00926B0F"/>
    <w:rsid w:val="00926E31"/>
    <w:rsid w:val="00926F60"/>
    <w:rsid w:val="0092715C"/>
    <w:rsid w:val="00927216"/>
    <w:rsid w:val="00927349"/>
    <w:rsid w:val="009273D3"/>
    <w:rsid w:val="0092788E"/>
    <w:rsid w:val="00927C84"/>
    <w:rsid w:val="00927CE2"/>
    <w:rsid w:val="00927F6A"/>
    <w:rsid w:val="00930084"/>
    <w:rsid w:val="0093033F"/>
    <w:rsid w:val="00930441"/>
    <w:rsid w:val="0093067E"/>
    <w:rsid w:val="009308A2"/>
    <w:rsid w:val="00930A94"/>
    <w:rsid w:val="00930AC1"/>
    <w:rsid w:val="00930BEE"/>
    <w:rsid w:val="00930C0A"/>
    <w:rsid w:val="00930CB5"/>
    <w:rsid w:val="00930E93"/>
    <w:rsid w:val="009310F0"/>
    <w:rsid w:val="009311C1"/>
    <w:rsid w:val="009312CC"/>
    <w:rsid w:val="00931404"/>
    <w:rsid w:val="00931652"/>
    <w:rsid w:val="0093178C"/>
    <w:rsid w:val="0093184C"/>
    <w:rsid w:val="00931B65"/>
    <w:rsid w:val="00931CA6"/>
    <w:rsid w:val="00931FFD"/>
    <w:rsid w:val="00932050"/>
    <w:rsid w:val="00932179"/>
    <w:rsid w:val="00932243"/>
    <w:rsid w:val="0093248F"/>
    <w:rsid w:val="009325C1"/>
    <w:rsid w:val="00932608"/>
    <w:rsid w:val="00932624"/>
    <w:rsid w:val="0093269E"/>
    <w:rsid w:val="009328E4"/>
    <w:rsid w:val="009328FA"/>
    <w:rsid w:val="00932A80"/>
    <w:rsid w:val="00932BC7"/>
    <w:rsid w:val="00932C71"/>
    <w:rsid w:val="00932E1B"/>
    <w:rsid w:val="009333A6"/>
    <w:rsid w:val="0093349F"/>
    <w:rsid w:val="00933616"/>
    <w:rsid w:val="009336BE"/>
    <w:rsid w:val="009337D8"/>
    <w:rsid w:val="00933915"/>
    <w:rsid w:val="00933BD1"/>
    <w:rsid w:val="00933FB4"/>
    <w:rsid w:val="0093445D"/>
    <w:rsid w:val="009345D0"/>
    <w:rsid w:val="00934707"/>
    <w:rsid w:val="00934743"/>
    <w:rsid w:val="00934784"/>
    <w:rsid w:val="00934A60"/>
    <w:rsid w:val="00934E48"/>
    <w:rsid w:val="00934F96"/>
    <w:rsid w:val="0093550C"/>
    <w:rsid w:val="0093573A"/>
    <w:rsid w:val="0093575A"/>
    <w:rsid w:val="00935A45"/>
    <w:rsid w:val="00935B1C"/>
    <w:rsid w:val="00935CAD"/>
    <w:rsid w:val="00935F2C"/>
    <w:rsid w:val="0093602C"/>
    <w:rsid w:val="009361BC"/>
    <w:rsid w:val="009362B9"/>
    <w:rsid w:val="00936400"/>
    <w:rsid w:val="00936422"/>
    <w:rsid w:val="00936697"/>
    <w:rsid w:val="0093677F"/>
    <w:rsid w:val="0093693D"/>
    <w:rsid w:val="00936C44"/>
    <w:rsid w:val="00936D26"/>
    <w:rsid w:val="00936E57"/>
    <w:rsid w:val="009372C1"/>
    <w:rsid w:val="00937499"/>
    <w:rsid w:val="00937683"/>
    <w:rsid w:val="0093770B"/>
    <w:rsid w:val="00937C57"/>
    <w:rsid w:val="00937D8A"/>
    <w:rsid w:val="0094005A"/>
    <w:rsid w:val="009405C6"/>
    <w:rsid w:val="009406DE"/>
    <w:rsid w:val="00940925"/>
    <w:rsid w:val="00940B1D"/>
    <w:rsid w:val="00940E25"/>
    <w:rsid w:val="0094102A"/>
    <w:rsid w:val="0094111F"/>
    <w:rsid w:val="0094112D"/>
    <w:rsid w:val="00941275"/>
    <w:rsid w:val="0094135F"/>
    <w:rsid w:val="0094140E"/>
    <w:rsid w:val="00941473"/>
    <w:rsid w:val="009414B1"/>
    <w:rsid w:val="009415C0"/>
    <w:rsid w:val="009419D4"/>
    <w:rsid w:val="00941A49"/>
    <w:rsid w:val="00941B07"/>
    <w:rsid w:val="00941C85"/>
    <w:rsid w:val="00941E52"/>
    <w:rsid w:val="00942926"/>
    <w:rsid w:val="00942A82"/>
    <w:rsid w:val="00942B40"/>
    <w:rsid w:val="00942D84"/>
    <w:rsid w:val="00942E9A"/>
    <w:rsid w:val="00942F6C"/>
    <w:rsid w:val="00943139"/>
    <w:rsid w:val="0094323A"/>
    <w:rsid w:val="0094336E"/>
    <w:rsid w:val="00943604"/>
    <w:rsid w:val="00943771"/>
    <w:rsid w:val="00943A14"/>
    <w:rsid w:val="00943BCF"/>
    <w:rsid w:val="00943CD2"/>
    <w:rsid w:val="009442CE"/>
    <w:rsid w:val="009444E2"/>
    <w:rsid w:val="009447C1"/>
    <w:rsid w:val="00944875"/>
    <w:rsid w:val="00944F1B"/>
    <w:rsid w:val="00945479"/>
    <w:rsid w:val="0094599A"/>
    <w:rsid w:val="009459BC"/>
    <w:rsid w:val="00945C27"/>
    <w:rsid w:val="00945DF6"/>
    <w:rsid w:val="00946055"/>
    <w:rsid w:val="009460C1"/>
    <w:rsid w:val="00946161"/>
    <w:rsid w:val="009465E8"/>
    <w:rsid w:val="00946800"/>
    <w:rsid w:val="00946A67"/>
    <w:rsid w:val="00946D54"/>
    <w:rsid w:val="00946E53"/>
    <w:rsid w:val="00946F2C"/>
    <w:rsid w:val="00947182"/>
    <w:rsid w:val="00947318"/>
    <w:rsid w:val="00947706"/>
    <w:rsid w:val="00947729"/>
    <w:rsid w:val="00947EC6"/>
    <w:rsid w:val="009503F0"/>
    <w:rsid w:val="00950478"/>
    <w:rsid w:val="009504F1"/>
    <w:rsid w:val="00950541"/>
    <w:rsid w:val="0095081C"/>
    <w:rsid w:val="0095086C"/>
    <w:rsid w:val="00950895"/>
    <w:rsid w:val="00950A8F"/>
    <w:rsid w:val="00950AF9"/>
    <w:rsid w:val="009512D3"/>
    <w:rsid w:val="00951648"/>
    <w:rsid w:val="00951762"/>
    <w:rsid w:val="00951794"/>
    <w:rsid w:val="0095183D"/>
    <w:rsid w:val="009519BE"/>
    <w:rsid w:val="00951AAF"/>
    <w:rsid w:val="00951FA5"/>
    <w:rsid w:val="00952306"/>
    <w:rsid w:val="009524F3"/>
    <w:rsid w:val="009525F0"/>
    <w:rsid w:val="009528A2"/>
    <w:rsid w:val="00952908"/>
    <w:rsid w:val="0095295F"/>
    <w:rsid w:val="00952DB3"/>
    <w:rsid w:val="00953387"/>
    <w:rsid w:val="009533A0"/>
    <w:rsid w:val="009534AF"/>
    <w:rsid w:val="00953770"/>
    <w:rsid w:val="009537F4"/>
    <w:rsid w:val="009539FE"/>
    <w:rsid w:val="00953AB7"/>
    <w:rsid w:val="00953EA4"/>
    <w:rsid w:val="009543A5"/>
    <w:rsid w:val="0095452C"/>
    <w:rsid w:val="009546AA"/>
    <w:rsid w:val="0095483B"/>
    <w:rsid w:val="009548FB"/>
    <w:rsid w:val="009549EE"/>
    <w:rsid w:val="00954A5F"/>
    <w:rsid w:val="00954D4C"/>
    <w:rsid w:val="00954DDB"/>
    <w:rsid w:val="00954EE2"/>
    <w:rsid w:val="00955983"/>
    <w:rsid w:val="009559F3"/>
    <w:rsid w:val="00955A30"/>
    <w:rsid w:val="00955F23"/>
    <w:rsid w:val="0095603A"/>
    <w:rsid w:val="00956649"/>
    <w:rsid w:val="0095689A"/>
    <w:rsid w:val="00956E1D"/>
    <w:rsid w:val="00956EBD"/>
    <w:rsid w:val="00957249"/>
    <w:rsid w:val="0095755E"/>
    <w:rsid w:val="0095771D"/>
    <w:rsid w:val="00957875"/>
    <w:rsid w:val="00957999"/>
    <w:rsid w:val="00957A71"/>
    <w:rsid w:val="00957BAD"/>
    <w:rsid w:val="00957BCC"/>
    <w:rsid w:val="00957C5F"/>
    <w:rsid w:val="00957D8E"/>
    <w:rsid w:val="00957E14"/>
    <w:rsid w:val="00957E26"/>
    <w:rsid w:val="00957E7F"/>
    <w:rsid w:val="00957E9B"/>
    <w:rsid w:val="00957F9B"/>
    <w:rsid w:val="00960184"/>
    <w:rsid w:val="009603A2"/>
    <w:rsid w:val="00960950"/>
    <w:rsid w:val="009609DB"/>
    <w:rsid w:val="009609F6"/>
    <w:rsid w:val="00960D74"/>
    <w:rsid w:val="009613D7"/>
    <w:rsid w:val="009614FA"/>
    <w:rsid w:val="00961605"/>
    <w:rsid w:val="009616E4"/>
    <w:rsid w:val="00961898"/>
    <w:rsid w:val="009618BB"/>
    <w:rsid w:val="009619A2"/>
    <w:rsid w:val="00961A5C"/>
    <w:rsid w:val="009620A9"/>
    <w:rsid w:val="00962266"/>
    <w:rsid w:val="009622E3"/>
    <w:rsid w:val="0096245D"/>
    <w:rsid w:val="00962478"/>
    <w:rsid w:val="009624EB"/>
    <w:rsid w:val="0096258C"/>
    <w:rsid w:val="00962771"/>
    <w:rsid w:val="009628B1"/>
    <w:rsid w:val="009628DB"/>
    <w:rsid w:val="00962C34"/>
    <w:rsid w:val="00962DC3"/>
    <w:rsid w:val="00963173"/>
    <w:rsid w:val="00963425"/>
    <w:rsid w:val="0096353E"/>
    <w:rsid w:val="00963B49"/>
    <w:rsid w:val="00963D53"/>
    <w:rsid w:val="00963E98"/>
    <w:rsid w:val="0096400B"/>
    <w:rsid w:val="009640AD"/>
    <w:rsid w:val="009640D7"/>
    <w:rsid w:val="009642B5"/>
    <w:rsid w:val="009643BF"/>
    <w:rsid w:val="00964684"/>
    <w:rsid w:val="00964939"/>
    <w:rsid w:val="00964B54"/>
    <w:rsid w:val="00964BAE"/>
    <w:rsid w:val="00964D75"/>
    <w:rsid w:val="00964E7C"/>
    <w:rsid w:val="00965258"/>
    <w:rsid w:val="00965265"/>
    <w:rsid w:val="00965705"/>
    <w:rsid w:val="00965737"/>
    <w:rsid w:val="00965A19"/>
    <w:rsid w:val="00965B71"/>
    <w:rsid w:val="00965BD0"/>
    <w:rsid w:val="00965D17"/>
    <w:rsid w:val="00965DF8"/>
    <w:rsid w:val="00965F38"/>
    <w:rsid w:val="00965FE2"/>
    <w:rsid w:val="00966011"/>
    <w:rsid w:val="009662EC"/>
    <w:rsid w:val="0096659B"/>
    <w:rsid w:val="00966629"/>
    <w:rsid w:val="009667BE"/>
    <w:rsid w:val="00966D06"/>
    <w:rsid w:val="00966EA2"/>
    <w:rsid w:val="00966F7A"/>
    <w:rsid w:val="009675D9"/>
    <w:rsid w:val="009675F7"/>
    <w:rsid w:val="00967618"/>
    <w:rsid w:val="00967C22"/>
    <w:rsid w:val="00967E70"/>
    <w:rsid w:val="00967EB8"/>
    <w:rsid w:val="0097016B"/>
    <w:rsid w:val="009706D2"/>
    <w:rsid w:val="009706FB"/>
    <w:rsid w:val="009707A5"/>
    <w:rsid w:val="009708C5"/>
    <w:rsid w:val="009709F7"/>
    <w:rsid w:val="009709F8"/>
    <w:rsid w:val="00970D3F"/>
    <w:rsid w:val="00970D40"/>
    <w:rsid w:val="00971047"/>
    <w:rsid w:val="009710C9"/>
    <w:rsid w:val="009716C4"/>
    <w:rsid w:val="00971831"/>
    <w:rsid w:val="00971949"/>
    <w:rsid w:val="00971B32"/>
    <w:rsid w:val="00971C49"/>
    <w:rsid w:val="00971C65"/>
    <w:rsid w:val="00971D87"/>
    <w:rsid w:val="00971E75"/>
    <w:rsid w:val="00971EBE"/>
    <w:rsid w:val="0097229C"/>
    <w:rsid w:val="0097254C"/>
    <w:rsid w:val="0097260A"/>
    <w:rsid w:val="00972610"/>
    <w:rsid w:val="0097271D"/>
    <w:rsid w:val="0097283F"/>
    <w:rsid w:val="00972A2D"/>
    <w:rsid w:val="00972CD5"/>
    <w:rsid w:val="00972FA5"/>
    <w:rsid w:val="00973336"/>
    <w:rsid w:val="009733E5"/>
    <w:rsid w:val="0097386F"/>
    <w:rsid w:val="009739FB"/>
    <w:rsid w:val="00973CDD"/>
    <w:rsid w:val="00973DE4"/>
    <w:rsid w:val="00973F64"/>
    <w:rsid w:val="00974259"/>
    <w:rsid w:val="0097426E"/>
    <w:rsid w:val="009742CA"/>
    <w:rsid w:val="0097436C"/>
    <w:rsid w:val="00974664"/>
    <w:rsid w:val="009747C4"/>
    <w:rsid w:val="009747EC"/>
    <w:rsid w:val="009748C6"/>
    <w:rsid w:val="009749D8"/>
    <w:rsid w:val="00974D30"/>
    <w:rsid w:val="00974D6E"/>
    <w:rsid w:val="00974D98"/>
    <w:rsid w:val="00974E2F"/>
    <w:rsid w:val="009753A9"/>
    <w:rsid w:val="0097553D"/>
    <w:rsid w:val="009759C7"/>
    <w:rsid w:val="00975B29"/>
    <w:rsid w:val="00975BDA"/>
    <w:rsid w:val="00975CBF"/>
    <w:rsid w:val="00975E52"/>
    <w:rsid w:val="009766E6"/>
    <w:rsid w:val="00976781"/>
    <w:rsid w:val="00976831"/>
    <w:rsid w:val="00976AB3"/>
    <w:rsid w:val="00976AD9"/>
    <w:rsid w:val="00976E63"/>
    <w:rsid w:val="00977139"/>
    <w:rsid w:val="00977275"/>
    <w:rsid w:val="0097745A"/>
    <w:rsid w:val="009774E4"/>
    <w:rsid w:val="00977534"/>
    <w:rsid w:val="0097757F"/>
    <w:rsid w:val="00977634"/>
    <w:rsid w:val="00977B91"/>
    <w:rsid w:val="00977ECF"/>
    <w:rsid w:val="00977FA2"/>
    <w:rsid w:val="00980008"/>
    <w:rsid w:val="00980139"/>
    <w:rsid w:val="0098018B"/>
    <w:rsid w:val="00980204"/>
    <w:rsid w:val="0098020C"/>
    <w:rsid w:val="009802AF"/>
    <w:rsid w:val="0098032F"/>
    <w:rsid w:val="00980576"/>
    <w:rsid w:val="009808F1"/>
    <w:rsid w:val="00980AF6"/>
    <w:rsid w:val="00981286"/>
    <w:rsid w:val="009818C8"/>
    <w:rsid w:val="00981E3E"/>
    <w:rsid w:val="00981F62"/>
    <w:rsid w:val="00982299"/>
    <w:rsid w:val="00982537"/>
    <w:rsid w:val="00982579"/>
    <w:rsid w:val="0098258A"/>
    <w:rsid w:val="009825CC"/>
    <w:rsid w:val="00982809"/>
    <w:rsid w:val="00982915"/>
    <w:rsid w:val="00982A53"/>
    <w:rsid w:val="00982A63"/>
    <w:rsid w:val="00982E9C"/>
    <w:rsid w:val="00982EEE"/>
    <w:rsid w:val="0098350C"/>
    <w:rsid w:val="00983A33"/>
    <w:rsid w:val="00983CFA"/>
    <w:rsid w:val="00983DDA"/>
    <w:rsid w:val="00983F4E"/>
    <w:rsid w:val="009840C4"/>
    <w:rsid w:val="0098410C"/>
    <w:rsid w:val="00984205"/>
    <w:rsid w:val="009845F6"/>
    <w:rsid w:val="009847F8"/>
    <w:rsid w:val="009848C0"/>
    <w:rsid w:val="00984A11"/>
    <w:rsid w:val="00984E9F"/>
    <w:rsid w:val="009850A6"/>
    <w:rsid w:val="00985111"/>
    <w:rsid w:val="00985A05"/>
    <w:rsid w:val="00985AF8"/>
    <w:rsid w:val="00985C71"/>
    <w:rsid w:val="00985C7C"/>
    <w:rsid w:val="00985DFB"/>
    <w:rsid w:val="0098601D"/>
    <w:rsid w:val="0098627C"/>
    <w:rsid w:val="00986338"/>
    <w:rsid w:val="009864BC"/>
    <w:rsid w:val="00986713"/>
    <w:rsid w:val="009867FA"/>
    <w:rsid w:val="0098681B"/>
    <w:rsid w:val="0098687F"/>
    <w:rsid w:val="0098689A"/>
    <w:rsid w:val="009869D8"/>
    <w:rsid w:val="00986E30"/>
    <w:rsid w:val="00987239"/>
    <w:rsid w:val="0098737A"/>
    <w:rsid w:val="009877BB"/>
    <w:rsid w:val="009877FB"/>
    <w:rsid w:val="00987AF2"/>
    <w:rsid w:val="00987BDB"/>
    <w:rsid w:val="00987E1D"/>
    <w:rsid w:val="00987EE2"/>
    <w:rsid w:val="00987FDA"/>
    <w:rsid w:val="00990428"/>
    <w:rsid w:val="00990616"/>
    <w:rsid w:val="00990718"/>
    <w:rsid w:val="009907D5"/>
    <w:rsid w:val="00990B9F"/>
    <w:rsid w:val="00990BE5"/>
    <w:rsid w:val="00990DA4"/>
    <w:rsid w:val="00990E1A"/>
    <w:rsid w:val="00990E56"/>
    <w:rsid w:val="00991132"/>
    <w:rsid w:val="00991388"/>
    <w:rsid w:val="009913A6"/>
    <w:rsid w:val="009917C6"/>
    <w:rsid w:val="00991882"/>
    <w:rsid w:val="009919C4"/>
    <w:rsid w:val="00991A81"/>
    <w:rsid w:val="00991DEF"/>
    <w:rsid w:val="009920E9"/>
    <w:rsid w:val="009923A7"/>
    <w:rsid w:val="009926FE"/>
    <w:rsid w:val="0099275A"/>
    <w:rsid w:val="009928F2"/>
    <w:rsid w:val="00992E23"/>
    <w:rsid w:val="00992E3E"/>
    <w:rsid w:val="00992EC4"/>
    <w:rsid w:val="00992F19"/>
    <w:rsid w:val="00993079"/>
    <w:rsid w:val="0099312F"/>
    <w:rsid w:val="009935D0"/>
    <w:rsid w:val="0099364A"/>
    <w:rsid w:val="009938EB"/>
    <w:rsid w:val="00993A8F"/>
    <w:rsid w:val="00993C9F"/>
    <w:rsid w:val="00993F15"/>
    <w:rsid w:val="00993F44"/>
    <w:rsid w:val="009941DA"/>
    <w:rsid w:val="00994438"/>
    <w:rsid w:val="00994648"/>
    <w:rsid w:val="00995077"/>
    <w:rsid w:val="009950EA"/>
    <w:rsid w:val="00995328"/>
    <w:rsid w:val="0099539F"/>
    <w:rsid w:val="00995550"/>
    <w:rsid w:val="00995641"/>
    <w:rsid w:val="00995ED5"/>
    <w:rsid w:val="00996319"/>
    <w:rsid w:val="009964BE"/>
    <w:rsid w:val="0099690B"/>
    <w:rsid w:val="00996B76"/>
    <w:rsid w:val="00996D07"/>
    <w:rsid w:val="00996D90"/>
    <w:rsid w:val="00997012"/>
    <w:rsid w:val="00997177"/>
    <w:rsid w:val="0099723E"/>
    <w:rsid w:val="009972A7"/>
    <w:rsid w:val="009972EC"/>
    <w:rsid w:val="00997AF2"/>
    <w:rsid w:val="00997EF1"/>
    <w:rsid w:val="009A025C"/>
    <w:rsid w:val="009A0419"/>
    <w:rsid w:val="009A0558"/>
    <w:rsid w:val="009A0637"/>
    <w:rsid w:val="009A076A"/>
    <w:rsid w:val="009A0959"/>
    <w:rsid w:val="009A0AF7"/>
    <w:rsid w:val="009A0BDD"/>
    <w:rsid w:val="009A0E09"/>
    <w:rsid w:val="009A0F2F"/>
    <w:rsid w:val="009A1041"/>
    <w:rsid w:val="009A10DD"/>
    <w:rsid w:val="009A121E"/>
    <w:rsid w:val="009A12EA"/>
    <w:rsid w:val="009A1334"/>
    <w:rsid w:val="009A13B3"/>
    <w:rsid w:val="009A146E"/>
    <w:rsid w:val="009A1A85"/>
    <w:rsid w:val="009A24CC"/>
    <w:rsid w:val="009A2557"/>
    <w:rsid w:val="009A2677"/>
    <w:rsid w:val="009A267C"/>
    <w:rsid w:val="009A267D"/>
    <w:rsid w:val="009A28A8"/>
    <w:rsid w:val="009A297C"/>
    <w:rsid w:val="009A2A07"/>
    <w:rsid w:val="009A2AE8"/>
    <w:rsid w:val="009A2C7B"/>
    <w:rsid w:val="009A2ED1"/>
    <w:rsid w:val="009A3538"/>
    <w:rsid w:val="009A3588"/>
    <w:rsid w:val="009A3738"/>
    <w:rsid w:val="009A387F"/>
    <w:rsid w:val="009A3C98"/>
    <w:rsid w:val="009A3D47"/>
    <w:rsid w:val="009A3E61"/>
    <w:rsid w:val="009A433F"/>
    <w:rsid w:val="009A43D5"/>
    <w:rsid w:val="009A4830"/>
    <w:rsid w:val="009A4900"/>
    <w:rsid w:val="009A497F"/>
    <w:rsid w:val="009A4B1E"/>
    <w:rsid w:val="009A4D3A"/>
    <w:rsid w:val="009A5830"/>
    <w:rsid w:val="009A5D7F"/>
    <w:rsid w:val="009A5FD9"/>
    <w:rsid w:val="009A6501"/>
    <w:rsid w:val="009A657D"/>
    <w:rsid w:val="009A688E"/>
    <w:rsid w:val="009A69D1"/>
    <w:rsid w:val="009A6AD9"/>
    <w:rsid w:val="009A6B06"/>
    <w:rsid w:val="009A6B5B"/>
    <w:rsid w:val="009A6C8C"/>
    <w:rsid w:val="009A6CA8"/>
    <w:rsid w:val="009A6DEF"/>
    <w:rsid w:val="009A6E86"/>
    <w:rsid w:val="009A71BC"/>
    <w:rsid w:val="009A748A"/>
    <w:rsid w:val="009A7A03"/>
    <w:rsid w:val="009A7C43"/>
    <w:rsid w:val="009A7EF3"/>
    <w:rsid w:val="009B042B"/>
    <w:rsid w:val="009B063D"/>
    <w:rsid w:val="009B09F9"/>
    <w:rsid w:val="009B0A48"/>
    <w:rsid w:val="009B0BAC"/>
    <w:rsid w:val="009B0DAC"/>
    <w:rsid w:val="009B0E8F"/>
    <w:rsid w:val="009B1108"/>
    <w:rsid w:val="009B135C"/>
    <w:rsid w:val="009B137C"/>
    <w:rsid w:val="009B157B"/>
    <w:rsid w:val="009B15B9"/>
    <w:rsid w:val="009B1B7B"/>
    <w:rsid w:val="009B1C8E"/>
    <w:rsid w:val="009B1D1D"/>
    <w:rsid w:val="009B1EE6"/>
    <w:rsid w:val="009B1F89"/>
    <w:rsid w:val="009B1FCE"/>
    <w:rsid w:val="009B2157"/>
    <w:rsid w:val="009B2304"/>
    <w:rsid w:val="009B23BB"/>
    <w:rsid w:val="009B255F"/>
    <w:rsid w:val="009B28DF"/>
    <w:rsid w:val="009B29FF"/>
    <w:rsid w:val="009B2A38"/>
    <w:rsid w:val="009B2ACD"/>
    <w:rsid w:val="009B2CCB"/>
    <w:rsid w:val="009B2FBE"/>
    <w:rsid w:val="009B3299"/>
    <w:rsid w:val="009B331B"/>
    <w:rsid w:val="009B36E9"/>
    <w:rsid w:val="009B3B41"/>
    <w:rsid w:val="009B3C70"/>
    <w:rsid w:val="009B3D1D"/>
    <w:rsid w:val="009B3EEA"/>
    <w:rsid w:val="009B3FE5"/>
    <w:rsid w:val="009B41C5"/>
    <w:rsid w:val="009B440A"/>
    <w:rsid w:val="009B47B8"/>
    <w:rsid w:val="009B4C1D"/>
    <w:rsid w:val="009B4CB9"/>
    <w:rsid w:val="009B4D29"/>
    <w:rsid w:val="009B4DF9"/>
    <w:rsid w:val="009B4F49"/>
    <w:rsid w:val="009B507F"/>
    <w:rsid w:val="009B50E9"/>
    <w:rsid w:val="009B522D"/>
    <w:rsid w:val="009B5357"/>
    <w:rsid w:val="009B5663"/>
    <w:rsid w:val="009B57C2"/>
    <w:rsid w:val="009B5F86"/>
    <w:rsid w:val="009B6077"/>
    <w:rsid w:val="009B64E0"/>
    <w:rsid w:val="009B651E"/>
    <w:rsid w:val="009B68DC"/>
    <w:rsid w:val="009B6B71"/>
    <w:rsid w:val="009B6DE2"/>
    <w:rsid w:val="009B7103"/>
    <w:rsid w:val="009B7157"/>
    <w:rsid w:val="009B71E5"/>
    <w:rsid w:val="009B759D"/>
    <w:rsid w:val="009B761B"/>
    <w:rsid w:val="009B77EA"/>
    <w:rsid w:val="009B7A70"/>
    <w:rsid w:val="009B7C99"/>
    <w:rsid w:val="009C0237"/>
    <w:rsid w:val="009C038D"/>
    <w:rsid w:val="009C03CE"/>
    <w:rsid w:val="009C0BA3"/>
    <w:rsid w:val="009C0D25"/>
    <w:rsid w:val="009C0DFC"/>
    <w:rsid w:val="009C1441"/>
    <w:rsid w:val="009C14D8"/>
    <w:rsid w:val="009C16CB"/>
    <w:rsid w:val="009C1787"/>
    <w:rsid w:val="009C1861"/>
    <w:rsid w:val="009C1B1A"/>
    <w:rsid w:val="009C1BB6"/>
    <w:rsid w:val="009C1CCF"/>
    <w:rsid w:val="009C1F85"/>
    <w:rsid w:val="009C1F87"/>
    <w:rsid w:val="009C21F3"/>
    <w:rsid w:val="009C23F6"/>
    <w:rsid w:val="009C26D8"/>
    <w:rsid w:val="009C2953"/>
    <w:rsid w:val="009C2A70"/>
    <w:rsid w:val="009C2AE7"/>
    <w:rsid w:val="009C2D63"/>
    <w:rsid w:val="009C2F84"/>
    <w:rsid w:val="009C307B"/>
    <w:rsid w:val="009C31FF"/>
    <w:rsid w:val="009C324C"/>
    <w:rsid w:val="009C32A0"/>
    <w:rsid w:val="009C352A"/>
    <w:rsid w:val="009C37E3"/>
    <w:rsid w:val="009C390D"/>
    <w:rsid w:val="009C396D"/>
    <w:rsid w:val="009C3AD1"/>
    <w:rsid w:val="009C3B16"/>
    <w:rsid w:val="009C3B5E"/>
    <w:rsid w:val="009C3C0E"/>
    <w:rsid w:val="009C3C66"/>
    <w:rsid w:val="009C3CFF"/>
    <w:rsid w:val="009C44AC"/>
    <w:rsid w:val="009C45F6"/>
    <w:rsid w:val="009C4976"/>
    <w:rsid w:val="009C4B17"/>
    <w:rsid w:val="009C4BD3"/>
    <w:rsid w:val="009C4C49"/>
    <w:rsid w:val="009C4DD7"/>
    <w:rsid w:val="009C4DF8"/>
    <w:rsid w:val="009C4F84"/>
    <w:rsid w:val="009C5448"/>
    <w:rsid w:val="009C54AA"/>
    <w:rsid w:val="009C56C7"/>
    <w:rsid w:val="009C589F"/>
    <w:rsid w:val="009C598B"/>
    <w:rsid w:val="009C5C5C"/>
    <w:rsid w:val="009C6093"/>
    <w:rsid w:val="009C62EB"/>
    <w:rsid w:val="009C643E"/>
    <w:rsid w:val="009C65E4"/>
    <w:rsid w:val="009C6653"/>
    <w:rsid w:val="009C66DD"/>
    <w:rsid w:val="009C6725"/>
    <w:rsid w:val="009C6774"/>
    <w:rsid w:val="009C6817"/>
    <w:rsid w:val="009C6868"/>
    <w:rsid w:val="009C6935"/>
    <w:rsid w:val="009C6C94"/>
    <w:rsid w:val="009C6CD9"/>
    <w:rsid w:val="009C6DCF"/>
    <w:rsid w:val="009C6EB5"/>
    <w:rsid w:val="009C70E6"/>
    <w:rsid w:val="009C7415"/>
    <w:rsid w:val="009C755A"/>
    <w:rsid w:val="009C7725"/>
    <w:rsid w:val="009C7A2F"/>
    <w:rsid w:val="009C7BBC"/>
    <w:rsid w:val="009C7CD8"/>
    <w:rsid w:val="009C7EBF"/>
    <w:rsid w:val="009D0013"/>
    <w:rsid w:val="009D00CA"/>
    <w:rsid w:val="009D0812"/>
    <w:rsid w:val="009D0985"/>
    <w:rsid w:val="009D1054"/>
    <w:rsid w:val="009D1283"/>
    <w:rsid w:val="009D12CA"/>
    <w:rsid w:val="009D12F9"/>
    <w:rsid w:val="009D15E8"/>
    <w:rsid w:val="009D1785"/>
    <w:rsid w:val="009D1B1E"/>
    <w:rsid w:val="009D1E3C"/>
    <w:rsid w:val="009D2305"/>
    <w:rsid w:val="009D238B"/>
    <w:rsid w:val="009D2433"/>
    <w:rsid w:val="009D265F"/>
    <w:rsid w:val="009D2803"/>
    <w:rsid w:val="009D2B13"/>
    <w:rsid w:val="009D31B7"/>
    <w:rsid w:val="009D33D3"/>
    <w:rsid w:val="009D380D"/>
    <w:rsid w:val="009D3B21"/>
    <w:rsid w:val="009D3C38"/>
    <w:rsid w:val="009D3F8F"/>
    <w:rsid w:val="009D40CA"/>
    <w:rsid w:val="009D41A5"/>
    <w:rsid w:val="009D4230"/>
    <w:rsid w:val="009D43D4"/>
    <w:rsid w:val="009D4429"/>
    <w:rsid w:val="009D4D89"/>
    <w:rsid w:val="009D4EF6"/>
    <w:rsid w:val="009D4F78"/>
    <w:rsid w:val="009D4FD7"/>
    <w:rsid w:val="009D527A"/>
    <w:rsid w:val="009D5329"/>
    <w:rsid w:val="009D53E1"/>
    <w:rsid w:val="009D561D"/>
    <w:rsid w:val="009D5877"/>
    <w:rsid w:val="009D5CFC"/>
    <w:rsid w:val="009D5EE9"/>
    <w:rsid w:val="009D5FDA"/>
    <w:rsid w:val="009D6007"/>
    <w:rsid w:val="009D6166"/>
    <w:rsid w:val="009D659D"/>
    <w:rsid w:val="009D66E5"/>
    <w:rsid w:val="009D69FA"/>
    <w:rsid w:val="009D6CC4"/>
    <w:rsid w:val="009D6D29"/>
    <w:rsid w:val="009D7CF3"/>
    <w:rsid w:val="009D7E78"/>
    <w:rsid w:val="009D7EEA"/>
    <w:rsid w:val="009E0383"/>
    <w:rsid w:val="009E06CD"/>
    <w:rsid w:val="009E0CDC"/>
    <w:rsid w:val="009E0D90"/>
    <w:rsid w:val="009E10D7"/>
    <w:rsid w:val="009E11CF"/>
    <w:rsid w:val="009E1225"/>
    <w:rsid w:val="009E12D4"/>
    <w:rsid w:val="009E1722"/>
    <w:rsid w:val="009E19C3"/>
    <w:rsid w:val="009E1CDD"/>
    <w:rsid w:val="009E1E2A"/>
    <w:rsid w:val="009E21BD"/>
    <w:rsid w:val="009E25C5"/>
    <w:rsid w:val="009E26E7"/>
    <w:rsid w:val="009E2D8F"/>
    <w:rsid w:val="009E2DB0"/>
    <w:rsid w:val="009E2E1A"/>
    <w:rsid w:val="009E307D"/>
    <w:rsid w:val="009E30E4"/>
    <w:rsid w:val="009E31AC"/>
    <w:rsid w:val="009E31B8"/>
    <w:rsid w:val="009E3228"/>
    <w:rsid w:val="009E3403"/>
    <w:rsid w:val="009E35E2"/>
    <w:rsid w:val="009E3690"/>
    <w:rsid w:val="009E37DB"/>
    <w:rsid w:val="009E3874"/>
    <w:rsid w:val="009E3908"/>
    <w:rsid w:val="009E3A24"/>
    <w:rsid w:val="009E3D94"/>
    <w:rsid w:val="009E3FC3"/>
    <w:rsid w:val="009E4209"/>
    <w:rsid w:val="009E436F"/>
    <w:rsid w:val="009E443B"/>
    <w:rsid w:val="009E4882"/>
    <w:rsid w:val="009E48A5"/>
    <w:rsid w:val="009E4A4F"/>
    <w:rsid w:val="009E4A56"/>
    <w:rsid w:val="009E4EFD"/>
    <w:rsid w:val="009E571D"/>
    <w:rsid w:val="009E58BE"/>
    <w:rsid w:val="009E591B"/>
    <w:rsid w:val="009E5A0E"/>
    <w:rsid w:val="009E5A29"/>
    <w:rsid w:val="009E5B96"/>
    <w:rsid w:val="009E5D73"/>
    <w:rsid w:val="009E5E39"/>
    <w:rsid w:val="009E60EA"/>
    <w:rsid w:val="009E618A"/>
    <w:rsid w:val="009E635C"/>
    <w:rsid w:val="009E637B"/>
    <w:rsid w:val="009E6503"/>
    <w:rsid w:val="009E69A0"/>
    <w:rsid w:val="009E6ACF"/>
    <w:rsid w:val="009E6B46"/>
    <w:rsid w:val="009E6EAF"/>
    <w:rsid w:val="009E6EE8"/>
    <w:rsid w:val="009E7069"/>
    <w:rsid w:val="009E71FF"/>
    <w:rsid w:val="009E7281"/>
    <w:rsid w:val="009E7440"/>
    <w:rsid w:val="009E7454"/>
    <w:rsid w:val="009E76A7"/>
    <w:rsid w:val="009E78EC"/>
    <w:rsid w:val="009E7DFD"/>
    <w:rsid w:val="009E7E19"/>
    <w:rsid w:val="009E7F19"/>
    <w:rsid w:val="009E7F5E"/>
    <w:rsid w:val="009F01BE"/>
    <w:rsid w:val="009F0240"/>
    <w:rsid w:val="009F040D"/>
    <w:rsid w:val="009F0454"/>
    <w:rsid w:val="009F059A"/>
    <w:rsid w:val="009F0A3E"/>
    <w:rsid w:val="009F0CAA"/>
    <w:rsid w:val="009F0DBE"/>
    <w:rsid w:val="009F110D"/>
    <w:rsid w:val="009F16B3"/>
    <w:rsid w:val="009F178E"/>
    <w:rsid w:val="009F187A"/>
    <w:rsid w:val="009F1940"/>
    <w:rsid w:val="009F1DBA"/>
    <w:rsid w:val="009F1EEA"/>
    <w:rsid w:val="009F23C2"/>
    <w:rsid w:val="009F26DE"/>
    <w:rsid w:val="009F273C"/>
    <w:rsid w:val="009F27AB"/>
    <w:rsid w:val="009F2A56"/>
    <w:rsid w:val="009F2B01"/>
    <w:rsid w:val="009F2C1B"/>
    <w:rsid w:val="009F2C2D"/>
    <w:rsid w:val="009F2FB1"/>
    <w:rsid w:val="009F3140"/>
    <w:rsid w:val="009F33F2"/>
    <w:rsid w:val="009F36C8"/>
    <w:rsid w:val="009F3B1C"/>
    <w:rsid w:val="009F3EC8"/>
    <w:rsid w:val="009F3F3A"/>
    <w:rsid w:val="009F40A6"/>
    <w:rsid w:val="009F41D6"/>
    <w:rsid w:val="009F424B"/>
    <w:rsid w:val="009F43CF"/>
    <w:rsid w:val="009F4588"/>
    <w:rsid w:val="009F49D8"/>
    <w:rsid w:val="009F4C17"/>
    <w:rsid w:val="009F4C1D"/>
    <w:rsid w:val="009F4E29"/>
    <w:rsid w:val="009F4E78"/>
    <w:rsid w:val="009F4FD3"/>
    <w:rsid w:val="009F5246"/>
    <w:rsid w:val="009F5B49"/>
    <w:rsid w:val="009F5D21"/>
    <w:rsid w:val="009F6245"/>
    <w:rsid w:val="009F6265"/>
    <w:rsid w:val="009F6838"/>
    <w:rsid w:val="009F68CD"/>
    <w:rsid w:val="009F6972"/>
    <w:rsid w:val="009F6A1F"/>
    <w:rsid w:val="009F6AEB"/>
    <w:rsid w:val="009F6C51"/>
    <w:rsid w:val="009F6C78"/>
    <w:rsid w:val="009F6EE0"/>
    <w:rsid w:val="009F6F27"/>
    <w:rsid w:val="009F7376"/>
    <w:rsid w:val="009F76C2"/>
    <w:rsid w:val="009F7715"/>
    <w:rsid w:val="009F771A"/>
    <w:rsid w:val="009F784C"/>
    <w:rsid w:val="009F785B"/>
    <w:rsid w:val="009F78E5"/>
    <w:rsid w:val="009F7A7E"/>
    <w:rsid w:val="009F7AA5"/>
    <w:rsid w:val="009F7BE3"/>
    <w:rsid w:val="009F7E13"/>
    <w:rsid w:val="00A00107"/>
    <w:rsid w:val="00A0018D"/>
    <w:rsid w:val="00A00230"/>
    <w:rsid w:val="00A00272"/>
    <w:rsid w:val="00A00285"/>
    <w:rsid w:val="00A002B4"/>
    <w:rsid w:val="00A00301"/>
    <w:rsid w:val="00A003E1"/>
    <w:rsid w:val="00A003F3"/>
    <w:rsid w:val="00A00729"/>
    <w:rsid w:val="00A007E8"/>
    <w:rsid w:val="00A00B22"/>
    <w:rsid w:val="00A00CA3"/>
    <w:rsid w:val="00A00ED4"/>
    <w:rsid w:val="00A00F72"/>
    <w:rsid w:val="00A00FB1"/>
    <w:rsid w:val="00A00FDC"/>
    <w:rsid w:val="00A0110B"/>
    <w:rsid w:val="00A01A15"/>
    <w:rsid w:val="00A01DF6"/>
    <w:rsid w:val="00A01EB2"/>
    <w:rsid w:val="00A01EE4"/>
    <w:rsid w:val="00A021DE"/>
    <w:rsid w:val="00A0243B"/>
    <w:rsid w:val="00A02516"/>
    <w:rsid w:val="00A025BF"/>
    <w:rsid w:val="00A02B78"/>
    <w:rsid w:val="00A02BEE"/>
    <w:rsid w:val="00A02E2E"/>
    <w:rsid w:val="00A03167"/>
    <w:rsid w:val="00A0341E"/>
    <w:rsid w:val="00A0357F"/>
    <w:rsid w:val="00A035B6"/>
    <w:rsid w:val="00A0362E"/>
    <w:rsid w:val="00A0365B"/>
    <w:rsid w:val="00A037EC"/>
    <w:rsid w:val="00A038AA"/>
    <w:rsid w:val="00A03AB9"/>
    <w:rsid w:val="00A03B7C"/>
    <w:rsid w:val="00A03BAB"/>
    <w:rsid w:val="00A03BFF"/>
    <w:rsid w:val="00A041F4"/>
    <w:rsid w:val="00A045B2"/>
    <w:rsid w:val="00A04808"/>
    <w:rsid w:val="00A04E18"/>
    <w:rsid w:val="00A04F77"/>
    <w:rsid w:val="00A05160"/>
    <w:rsid w:val="00A051BD"/>
    <w:rsid w:val="00A0533D"/>
    <w:rsid w:val="00A056C9"/>
    <w:rsid w:val="00A0581E"/>
    <w:rsid w:val="00A05987"/>
    <w:rsid w:val="00A05DEA"/>
    <w:rsid w:val="00A05F16"/>
    <w:rsid w:val="00A05F99"/>
    <w:rsid w:val="00A060C8"/>
    <w:rsid w:val="00A06586"/>
    <w:rsid w:val="00A06615"/>
    <w:rsid w:val="00A06701"/>
    <w:rsid w:val="00A06AD5"/>
    <w:rsid w:val="00A06CA1"/>
    <w:rsid w:val="00A06EAB"/>
    <w:rsid w:val="00A06FCC"/>
    <w:rsid w:val="00A070EB"/>
    <w:rsid w:val="00A07413"/>
    <w:rsid w:val="00A07566"/>
    <w:rsid w:val="00A07670"/>
    <w:rsid w:val="00A077E6"/>
    <w:rsid w:val="00A07BFB"/>
    <w:rsid w:val="00A07D30"/>
    <w:rsid w:val="00A07D82"/>
    <w:rsid w:val="00A07D97"/>
    <w:rsid w:val="00A101CD"/>
    <w:rsid w:val="00A10330"/>
    <w:rsid w:val="00A10370"/>
    <w:rsid w:val="00A10616"/>
    <w:rsid w:val="00A106FA"/>
    <w:rsid w:val="00A10BEF"/>
    <w:rsid w:val="00A10C0C"/>
    <w:rsid w:val="00A11062"/>
    <w:rsid w:val="00A1118D"/>
    <w:rsid w:val="00A11324"/>
    <w:rsid w:val="00A113CF"/>
    <w:rsid w:val="00A11595"/>
    <w:rsid w:val="00A116E3"/>
    <w:rsid w:val="00A117AE"/>
    <w:rsid w:val="00A11883"/>
    <w:rsid w:val="00A11B22"/>
    <w:rsid w:val="00A11DF0"/>
    <w:rsid w:val="00A12248"/>
    <w:rsid w:val="00A12535"/>
    <w:rsid w:val="00A128FF"/>
    <w:rsid w:val="00A12913"/>
    <w:rsid w:val="00A129CC"/>
    <w:rsid w:val="00A129FE"/>
    <w:rsid w:val="00A12C3C"/>
    <w:rsid w:val="00A12E83"/>
    <w:rsid w:val="00A12E93"/>
    <w:rsid w:val="00A12EEC"/>
    <w:rsid w:val="00A12F84"/>
    <w:rsid w:val="00A130DE"/>
    <w:rsid w:val="00A13182"/>
    <w:rsid w:val="00A1319B"/>
    <w:rsid w:val="00A13339"/>
    <w:rsid w:val="00A13858"/>
    <w:rsid w:val="00A138D1"/>
    <w:rsid w:val="00A13FA8"/>
    <w:rsid w:val="00A13FB0"/>
    <w:rsid w:val="00A14165"/>
    <w:rsid w:val="00A1432D"/>
    <w:rsid w:val="00A14371"/>
    <w:rsid w:val="00A146E7"/>
    <w:rsid w:val="00A14710"/>
    <w:rsid w:val="00A149FD"/>
    <w:rsid w:val="00A14CF7"/>
    <w:rsid w:val="00A14E6A"/>
    <w:rsid w:val="00A151E0"/>
    <w:rsid w:val="00A153E4"/>
    <w:rsid w:val="00A155F8"/>
    <w:rsid w:val="00A15719"/>
    <w:rsid w:val="00A157E6"/>
    <w:rsid w:val="00A15ABE"/>
    <w:rsid w:val="00A15C75"/>
    <w:rsid w:val="00A1622C"/>
    <w:rsid w:val="00A162AD"/>
    <w:rsid w:val="00A1630C"/>
    <w:rsid w:val="00A1644A"/>
    <w:rsid w:val="00A16908"/>
    <w:rsid w:val="00A16AC6"/>
    <w:rsid w:val="00A16F83"/>
    <w:rsid w:val="00A171A7"/>
    <w:rsid w:val="00A1790C"/>
    <w:rsid w:val="00A17928"/>
    <w:rsid w:val="00A17AED"/>
    <w:rsid w:val="00A17C3A"/>
    <w:rsid w:val="00A2006E"/>
    <w:rsid w:val="00A2021C"/>
    <w:rsid w:val="00A205DF"/>
    <w:rsid w:val="00A2065E"/>
    <w:rsid w:val="00A20A8B"/>
    <w:rsid w:val="00A20B13"/>
    <w:rsid w:val="00A20CDF"/>
    <w:rsid w:val="00A20D0F"/>
    <w:rsid w:val="00A20E17"/>
    <w:rsid w:val="00A20FE4"/>
    <w:rsid w:val="00A21304"/>
    <w:rsid w:val="00A213E1"/>
    <w:rsid w:val="00A215DF"/>
    <w:rsid w:val="00A217BA"/>
    <w:rsid w:val="00A21911"/>
    <w:rsid w:val="00A219B3"/>
    <w:rsid w:val="00A21A5D"/>
    <w:rsid w:val="00A21CFC"/>
    <w:rsid w:val="00A21D92"/>
    <w:rsid w:val="00A22964"/>
    <w:rsid w:val="00A22BC0"/>
    <w:rsid w:val="00A22CF8"/>
    <w:rsid w:val="00A22DD8"/>
    <w:rsid w:val="00A22E0F"/>
    <w:rsid w:val="00A231D2"/>
    <w:rsid w:val="00A233F9"/>
    <w:rsid w:val="00A2347E"/>
    <w:rsid w:val="00A2378E"/>
    <w:rsid w:val="00A23869"/>
    <w:rsid w:val="00A23A55"/>
    <w:rsid w:val="00A240F5"/>
    <w:rsid w:val="00A241E1"/>
    <w:rsid w:val="00A24756"/>
    <w:rsid w:val="00A24822"/>
    <w:rsid w:val="00A2484F"/>
    <w:rsid w:val="00A24CB8"/>
    <w:rsid w:val="00A24FFD"/>
    <w:rsid w:val="00A253A9"/>
    <w:rsid w:val="00A25421"/>
    <w:rsid w:val="00A254A3"/>
    <w:rsid w:val="00A255B5"/>
    <w:rsid w:val="00A255FC"/>
    <w:rsid w:val="00A2578B"/>
    <w:rsid w:val="00A2599B"/>
    <w:rsid w:val="00A26016"/>
    <w:rsid w:val="00A2664B"/>
    <w:rsid w:val="00A2679D"/>
    <w:rsid w:val="00A26D28"/>
    <w:rsid w:val="00A26DCC"/>
    <w:rsid w:val="00A26FFE"/>
    <w:rsid w:val="00A271F2"/>
    <w:rsid w:val="00A2751A"/>
    <w:rsid w:val="00A2791B"/>
    <w:rsid w:val="00A27A18"/>
    <w:rsid w:val="00A27D60"/>
    <w:rsid w:val="00A27DD0"/>
    <w:rsid w:val="00A27DF1"/>
    <w:rsid w:val="00A3017F"/>
    <w:rsid w:val="00A302BF"/>
    <w:rsid w:val="00A30313"/>
    <w:rsid w:val="00A30454"/>
    <w:rsid w:val="00A30736"/>
    <w:rsid w:val="00A30AB7"/>
    <w:rsid w:val="00A30C3C"/>
    <w:rsid w:val="00A30C9E"/>
    <w:rsid w:val="00A30D28"/>
    <w:rsid w:val="00A310F6"/>
    <w:rsid w:val="00A31196"/>
    <w:rsid w:val="00A3129B"/>
    <w:rsid w:val="00A31770"/>
    <w:rsid w:val="00A31846"/>
    <w:rsid w:val="00A3184F"/>
    <w:rsid w:val="00A31C6B"/>
    <w:rsid w:val="00A32076"/>
    <w:rsid w:val="00A321C6"/>
    <w:rsid w:val="00A326AB"/>
    <w:rsid w:val="00A32745"/>
    <w:rsid w:val="00A32921"/>
    <w:rsid w:val="00A3297E"/>
    <w:rsid w:val="00A32B5C"/>
    <w:rsid w:val="00A32E28"/>
    <w:rsid w:val="00A331D1"/>
    <w:rsid w:val="00A336A8"/>
    <w:rsid w:val="00A336EF"/>
    <w:rsid w:val="00A337B7"/>
    <w:rsid w:val="00A337D4"/>
    <w:rsid w:val="00A33E1E"/>
    <w:rsid w:val="00A34059"/>
    <w:rsid w:val="00A34691"/>
    <w:rsid w:val="00A347F8"/>
    <w:rsid w:val="00A3489E"/>
    <w:rsid w:val="00A34C52"/>
    <w:rsid w:val="00A35141"/>
    <w:rsid w:val="00A3519C"/>
    <w:rsid w:val="00A35270"/>
    <w:rsid w:val="00A353B2"/>
    <w:rsid w:val="00A3565A"/>
    <w:rsid w:val="00A3568F"/>
    <w:rsid w:val="00A35769"/>
    <w:rsid w:val="00A358C2"/>
    <w:rsid w:val="00A35937"/>
    <w:rsid w:val="00A35BFF"/>
    <w:rsid w:val="00A35C73"/>
    <w:rsid w:val="00A35CB8"/>
    <w:rsid w:val="00A35ED8"/>
    <w:rsid w:val="00A362A8"/>
    <w:rsid w:val="00A36375"/>
    <w:rsid w:val="00A3656A"/>
    <w:rsid w:val="00A36709"/>
    <w:rsid w:val="00A3676A"/>
    <w:rsid w:val="00A368A6"/>
    <w:rsid w:val="00A36A7D"/>
    <w:rsid w:val="00A36AA5"/>
    <w:rsid w:val="00A36E9A"/>
    <w:rsid w:val="00A36F61"/>
    <w:rsid w:val="00A37162"/>
    <w:rsid w:val="00A372BE"/>
    <w:rsid w:val="00A37520"/>
    <w:rsid w:val="00A377E9"/>
    <w:rsid w:val="00A37A59"/>
    <w:rsid w:val="00A37A8F"/>
    <w:rsid w:val="00A37AB7"/>
    <w:rsid w:val="00A37FA8"/>
    <w:rsid w:val="00A401A2"/>
    <w:rsid w:val="00A402E6"/>
    <w:rsid w:val="00A40551"/>
    <w:rsid w:val="00A40766"/>
    <w:rsid w:val="00A407A6"/>
    <w:rsid w:val="00A407AA"/>
    <w:rsid w:val="00A407F1"/>
    <w:rsid w:val="00A408DE"/>
    <w:rsid w:val="00A40B18"/>
    <w:rsid w:val="00A40F4F"/>
    <w:rsid w:val="00A413E7"/>
    <w:rsid w:val="00A414D3"/>
    <w:rsid w:val="00A4174C"/>
    <w:rsid w:val="00A41C92"/>
    <w:rsid w:val="00A41E8A"/>
    <w:rsid w:val="00A41EA1"/>
    <w:rsid w:val="00A420B0"/>
    <w:rsid w:val="00A420E2"/>
    <w:rsid w:val="00A420F4"/>
    <w:rsid w:val="00A42118"/>
    <w:rsid w:val="00A423A9"/>
    <w:rsid w:val="00A42D80"/>
    <w:rsid w:val="00A4305F"/>
    <w:rsid w:val="00A430ED"/>
    <w:rsid w:val="00A4313B"/>
    <w:rsid w:val="00A4326C"/>
    <w:rsid w:val="00A43299"/>
    <w:rsid w:val="00A43621"/>
    <w:rsid w:val="00A43944"/>
    <w:rsid w:val="00A43C2E"/>
    <w:rsid w:val="00A43EB4"/>
    <w:rsid w:val="00A4401D"/>
    <w:rsid w:val="00A441A4"/>
    <w:rsid w:val="00A442B3"/>
    <w:rsid w:val="00A44641"/>
    <w:rsid w:val="00A44716"/>
    <w:rsid w:val="00A44C59"/>
    <w:rsid w:val="00A44C7F"/>
    <w:rsid w:val="00A44D9E"/>
    <w:rsid w:val="00A44E69"/>
    <w:rsid w:val="00A4503F"/>
    <w:rsid w:val="00A452D7"/>
    <w:rsid w:val="00A4546C"/>
    <w:rsid w:val="00A45647"/>
    <w:rsid w:val="00A45A77"/>
    <w:rsid w:val="00A45B4B"/>
    <w:rsid w:val="00A45CAB"/>
    <w:rsid w:val="00A45E7B"/>
    <w:rsid w:val="00A4632D"/>
    <w:rsid w:val="00A463CD"/>
    <w:rsid w:val="00A46783"/>
    <w:rsid w:val="00A46915"/>
    <w:rsid w:val="00A46AF8"/>
    <w:rsid w:val="00A46C2E"/>
    <w:rsid w:val="00A46D03"/>
    <w:rsid w:val="00A46DA1"/>
    <w:rsid w:val="00A4773A"/>
    <w:rsid w:val="00A47973"/>
    <w:rsid w:val="00A47B31"/>
    <w:rsid w:val="00A50A36"/>
    <w:rsid w:val="00A50A4A"/>
    <w:rsid w:val="00A50BB9"/>
    <w:rsid w:val="00A50C61"/>
    <w:rsid w:val="00A50E3A"/>
    <w:rsid w:val="00A51061"/>
    <w:rsid w:val="00A5116C"/>
    <w:rsid w:val="00A511B5"/>
    <w:rsid w:val="00A513E1"/>
    <w:rsid w:val="00A51563"/>
    <w:rsid w:val="00A5165A"/>
    <w:rsid w:val="00A516D8"/>
    <w:rsid w:val="00A51C64"/>
    <w:rsid w:val="00A52156"/>
    <w:rsid w:val="00A5217F"/>
    <w:rsid w:val="00A52314"/>
    <w:rsid w:val="00A52421"/>
    <w:rsid w:val="00A5260D"/>
    <w:rsid w:val="00A52964"/>
    <w:rsid w:val="00A52A5B"/>
    <w:rsid w:val="00A52C42"/>
    <w:rsid w:val="00A52F53"/>
    <w:rsid w:val="00A5344B"/>
    <w:rsid w:val="00A534B3"/>
    <w:rsid w:val="00A534BF"/>
    <w:rsid w:val="00A534F8"/>
    <w:rsid w:val="00A535B7"/>
    <w:rsid w:val="00A5376D"/>
    <w:rsid w:val="00A53790"/>
    <w:rsid w:val="00A5384D"/>
    <w:rsid w:val="00A53B51"/>
    <w:rsid w:val="00A53E0C"/>
    <w:rsid w:val="00A53EAE"/>
    <w:rsid w:val="00A53F7B"/>
    <w:rsid w:val="00A5425A"/>
    <w:rsid w:val="00A5444C"/>
    <w:rsid w:val="00A546BA"/>
    <w:rsid w:val="00A54811"/>
    <w:rsid w:val="00A54947"/>
    <w:rsid w:val="00A54BC9"/>
    <w:rsid w:val="00A54C58"/>
    <w:rsid w:val="00A54CA3"/>
    <w:rsid w:val="00A54D52"/>
    <w:rsid w:val="00A54E37"/>
    <w:rsid w:val="00A54F3E"/>
    <w:rsid w:val="00A5543C"/>
    <w:rsid w:val="00A5559C"/>
    <w:rsid w:val="00A555DA"/>
    <w:rsid w:val="00A55682"/>
    <w:rsid w:val="00A55825"/>
    <w:rsid w:val="00A558E8"/>
    <w:rsid w:val="00A55BAF"/>
    <w:rsid w:val="00A55BDB"/>
    <w:rsid w:val="00A55C39"/>
    <w:rsid w:val="00A55FF2"/>
    <w:rsid w:val="00A56122"/>
    <w:rsid w:val="00A563E7"/>
    <w:rsid w:val="00A5673E"/>
    <w:rsid w:val="00A5680B"/>
    <w:rsid w:val="00A56932"/>
    <w:rsid w:val="00A56A9C"/>
    <w:rsid w:val="00A56F9A"/>
    <w:rsid w:val="00A5705D"/>
    <w:rsid w:val="00A573E7"/>
    <w:rsid w:val="00A574C3"/>
    <w:rsid w:val="00A57708"/>
    <w:rsid w:val="00A5774A"/>
    <w:rsid w:val="00A57883"/>
    <w:rsid w:val="00A57A48"/>
    <w:rsid w:val="00A57B62"/>
    <w:rsid w:val="00A57CB2"/>
    <w:rsid w:val="00A57CC1"/>
    <w:rsid w:val="00A57D03"/>
    <w:rsid w:val="00A6010A"/>
    <w:rsid w:val="00A601C5"/>
    <w:rsid w:val="00A603F9"/>
    <w:rsid w:val="00A607CC"/>
    <w:rsid w:val="00A610CD"/>
    <w:rsid w:val="00A61161"/>
    <w:rsid w:val="00A6132D"/>
    <w:rsid w:val="00A6155E"/>
    <w:rsid w:val="00A615A2"/>
    <w:rsid w:val="00A61755"/>
    <w:rsid w:val="00A617E5"/>
    <w:rsid w:val="00A61F3B"/>
    <w:rsid w:val="00A620C5"/>
    <w:rsid w:val="00A62275"/>
    <w:rsid w:val="00A6231E"/>
    <w:rsid w:val="00A62559"/>
    <w:rsid w:val="00A6256D"/>
    <w:rsid w:val="00A625E0"/>
    <w:rsid w:val="00A62632"/>
    <w:rsid w:val="00A629FA"/>
    <w:rsid w:val="00A62B05"/>
    <w:rsid w:val="00A62B19"/>
    <w:rsid w:val="00A62BBC"/>
    <w:rsid w:val="00A62D97"/>
    <w:rsid w:val="00A6316C"/>
    <w:rsid w:val="00A63622"/>
    <w:rsid w:val="00A636F7"/>
    <w:rsid w:val="00A63725"/>
    <w:rsid w:val="00A638CA"/>
    <w:rsid w:val="00A63B2E"/>
    <w:rsid w:val="00A63CE5"/>
    <w:rsid w:val="00A64263"/>
    <w:rsid w:val="00A6429A"/>
    <w:rsid w:val="00A648C3"/>
    <w:rsid w:val="00A64CE6"/>
    <w:rsid w:val="00A64D1D"/>
    <w:rsid w:val="00A64ED9"/>
    <w:rsid w:val="00A64F1A"/>
    <w:rsid w:val="00A650DE"/>
    <w:rsid w:val="00A65793"/>
    <w:rsid w:val="00A65AD7"/>
    <w:rsid w:val="00A65B05"/>
    <w:rsid w:val="00A65F56"/>
    <w:rsid w:val="00A662AF"/>
    <w:rsid w:val="00A6639F"/>
    <w:rsid w:val="00A66450"/>
    <w:rsid w:val="00A66523"/>
    <w:rsid w:val="00A6657A"/>
    <w:rsid w:val="00A6657B"/>
    <w:rsid w:val="00A66704"/>
    <w:rsid w:val="00A66A2F"/>
    <w:rsid w:val="00A66A49"/>
    <w:rsid w:val="00A66A79"/>
    <w:rsid w:val="00A66AE4"/>
    <w:rsid w:val="00A66E17"/>
    <w:rsid w:val="00A66E1B"/>
    <w:rsid w:val="00A66FAE"/>
    <w:rsid w:val="00A67017"/>
    <w:rsid w:val="00A67430"/>
    <w:rsid w:val="00A674A2"/>
    <w:rsid w:val="00A6751B"/>
    <w:rsid w:val="00A675FB"/>
    <w:rsid w:val="00A677E4"/>
    <w:rsid w:val="00A677F4"/>
    <w:rsid w:val="00A67A0D"/>
    <w:rsid w:val="00A67D39"/>
    <w:rsid w:val="00A700C0"/>
    <w:rsid w:val="00A701A4"/>
    <w:rsid w:val="00A703B6"/>
    <w:rsid w:val="00A707CA"/>
    <w:rsid w:val="00A7085E"/>
    <w:rsid w:val="00A7086E"/>
    <w:rsid w:val="00A70F8E"/>
    <w:rsid w:val="00A71273"/>
    <w:rsid w:val="00A71486"/>
    <w:rsid w:val="00A71882"/>
    <w:rsid w:val="00A71BBB"/>
    <w:rsid w:val="00A72274"/>
    <w:rsid w:val="00A722BE"/>
    <w:rsid w:val="00A7256F"/>
    <w:rsid w:val="00A72608"/>
    <w:rsid w:val="00A726E5"/>
    <w:rsid w:val="00A72FD5"/>
    <w:rsid w:val="00A73050"/>
    <w:rsid w:val="00A73111"/>
    <w:rsid w:val="00A731DB"/>
    <w:rsid w:val="00A73259"/>
    <w:rsid w:val="00A7330A"/>
    <w:rsid w:val="00A733A3"/>
    <w:rsid w:val="00A73458"/>
    <w:rsid w:val="00A73615"/>
    <w:rsid w:val="00A7376F"/>
    <w:rsid w:val="00A73A32"/>
    <w:rsid w:val="00A73B6F"/>
    <w:rsid w:val="00A73C64"/>
    <w:rsid w:val="00A73FA5"/>
    <w:rsid w:val="00A7407A"/>
    <w:rsid w:val="00A740FA"/>
    <w:rsid w:val="00A74338"/>
    <w:rsid w:val="00A745DE"/>
    <w:rsid w:val="00A74617"/>
    <w:rsid w:val="00A7464B"/>
    <w:rsid w:val="00A74983"/>
    <w:rsid w:val="00A74A9D"/>
    <w:rsid w:val="00A74B3E"/>
    <w:rsid w:val="00A74B5B"/>
    <w:rsid w:val="00A74E91"/>
    <w:rsid w:val="00A74F51"/>
    <w:rsid w:val="00A74F83"/>
    <w:rsid w:val="00A75016"/>
    <w:rsid w:val="00A751B9"/>
    <w:rsid w:val="00A752BB"/>
    <w:rsid w:val="00A757EF"/>
    <w:rsid w:val="00A7583C"/>
    <w:rsid w:val="00A75972"/>
    <w:rsid w:val="00A75D10"/>
    <w:rsid w:val="00A75F9F"/>
    <w:rsid w:val="00A764E1"/>
    <w:rsid w:val="00A76726"/>
    <w:rsid w:val="00A76907"/>
    <w:rsid w:val="00A76CCE"/>
    <w:rsid w:val="00A76DD1"/>
    <w:rsid w:val="00A76F18"/>
    <w:rsid w:val="00A772BC"/>
    <w:rsid w:val="00A775F0"/>
    <w:rsid w:val="00A7776B"/>
    <w:rsid w:val="00A77924"/>
    <w:rsid w:val="00A77A4C"/>
    <w:rsid w:val="00A77AFD"/>
    <w:rsid w:val="00A77B16"/>
    <w:rsid w:val="00A77FCE"/>
    <w:rsid w:val="00A806EE"/>
    <w:rsid w:val="00A80902"/>
    <w:rsid w:val="00A80A0E"/>
    <w:rsid w:val="00A80A4E"/>
    <w:rsid w:val="00A80A84"/>
    <w:rsid w:val="00A80C29"/>
    <w:rsid w:val="00A80F01"/>
    <w:rsid w:val="00A81095"/>
    <w:rsid w:val="00A811C2"/>
    <w:rsid w:val="00A815B2"/>
    <w:rsid w:val="00A817D4"/>
    <w:rsid w:val="00A819EC"/>
    <w:rsid w:val="00A81C02"/>
    <w:rsid w:val="00A81C4A"/>
    <w:rsid w:val="00A8214D"/>
    <w:rsid w:val="00A82176"/>
    <w:rsid w:val="00A82287"/>
    <w:rsid w:val="00A823F6"/>
    <w:rsid w:val="00A825E9"/>
    <w:rsid w:val="00A827DB"/>
    <w:rsid w:val="00A82CE2"/>
    <w:rsid w:val="00A82DCC"/>
    <w:rsid w:val="00A8314C"/>
    <w:rsid w:val="00A83697"/>
    <w:rsid w:val="00A83872"/>
    <w:rsid w:val="00A838C5"/>
    <w:rsid w:val="00A83922"/>
    <w:rsid w:val="00A83932"/>
    <w:rsid w:val="00A83981"/>
    <w:rsid w:val="00A83995"/>
    <w:rsid w:val="00A839AE"/>
    <w:rsid w:val="00A83A64"/>
    <w:rsid w:val="00A83A68"/>
    <w:rsid w:val="00A83C1A"/>
    <w:rsid w:val="00A83D4A"/>
    <w:rsid w:val="00A83EAE"/>
    <w:rsid w:val="00A840A7"/>
    <w:rsid w:val="00A84526"/>
    <w:rsid w:val="00A84763"/>
    <w:rsid w:val="00A849C6"/>
    <w:rsid w:val="00A84AA5"/>
    <w:rsid w:val="00A84E2A"/>
    <w:rsid w:val="00A84E33"/>
    <w:rsid w:val="00A84F64"/>
    <w:rsid w:val="00A8507B"/>
    <w:rsid w:val="00A851EC"/>
    <w:rsid w:val="00A853D6"/>
    <w:rsid w:val="00A85427"/>
    <w:rsid w:val="00A859A9"/>
    <w:rsid w:val="00A85B74"/>
    <w:rsid w:val="00A85CD7"/>
    <w:rsid w:val="00A85DE1"/>
    <w:rsid w:val="00A85FCC"/>
    <w:rsid w:val="00A8648E"/>
    <w:rsid w:val="00A8674B"/>
    <w:rsid w:val="00A86836"/>
    <w:rsid w:val="00A86A82"/>
    <w:rsid w:val="00A86CFC"/>
    <w:rsid w:val="00A8707A"/>
    <w:rsid w:val="00A8717D"/>
    <w:rsid w:val="00A87248"/>
    <w:rsid w:val="00A8767D"/>
    <w:rsid w:val="00A8780D"/>
    <w:rsid w:val="00A87B68"/>
    <w:rsid w:val="00A87F6E"/>
    <w:rsid w:val="00A9028A"/>
    <w:rsid w:val="00A902B2"/>
    <w:rsid w:val="00A902C3"/>
    <w:rsid w:val="00A90321"/>
    <w:rsid w:val="00A90947"/>
    <w:rsid w:val="00A90D5F"/>
    <w:rsid w:val="00A90E3D"/>
    <w:rsid w:val="00A912F3"/>
    <w:rsid w:val="00A91499"/>
    <w:rsid w:val="00A91638"/>
    <w:rsid w:val="00A917D2"/>
    <w:rsid w:val="00A91931"/>
    <w:rsid w:val="00A91C13"/>
    <w:rsid w:val="00A91FA7"/>
    <w:rsid w:val="00A91FFF"/>
    <w:rsid w:val="00A92273"/>
    <w:rsid w:val="00A92335"/>
    <w:rsid w:val="00A9252E"/>
    <w:rsid w:val="00A9256F"/>
    <w:rsid w:val="00A9268D"/>
    <w:rsid w:val="00A92EBF"/>
    <w:rsid w:val="00A92F0A"/>
    <w:rsid w:val="00A932D3"/>
    <w:rsid w:val="00A9354F"/>
    <w:rsid w:val="00A9383D"/>
    <w:rsid w:val="00A9389D"/>
    <w:rsid w:val="00A93B40"/>
    <w:rsid w:val="00A93B46"/>
    <w:rsid w:val="00A93B7F"/>
    <w:rsid w:val="00A93BC3"/>
    <w:rsid w:val="00A93E6F"/>
    <w:rsid w:val="00A93FFA"/>
    <w:rsid w:val="00A94089"/>
    <w:rsid w:val="00A942F7"/>
    <w:rsid w:val="00A9447C"/>
    <w:rsid w:val="00A94671"/>
    <w:rsid w:val="00A947C5"/>
    <w:rsid w:val="00A94D20"/>
    <w:rsid w:val="00A94D32"/>
    <w:rsid w:val="00A94DAC"/>
    <w:rsid w:val="00A94E25"/>
    <w:rsid w:val="00A94EB5"/>
    <w:rsid w:val="00A94F93"/>
    <w:rsid w:val="00A95083"/>
    <w:rsid w:val="00A951AC"/>
    <w:rsid w:val="00A952BC"/>
    <w:rsid w:val="00A9533B"/>
    <w:rsid w:val="00A95391"/>
    <w:rsid w:val="00A9591F"/>
    <w:rsid w:val="00A95A77"/>
    <w:rsid w:val="00A95DF1"/>
    <w:rsid w:val="00A95F25"/>
    <w:rsid w:val="00A95F38"/>
    <w:rsid w:val="00A96351"/>
    <w:rsid w:val="00A963B2"/>
    <w:rsid w:val="00A9655D"/>
    <w:rsid w:val="00A96560"/>
    <w:rsid w:val="00A965AF"/>
    <w:rsid w:val="00A96630"/>
    <w:rsid w:val="00A96A1A"/>
    <w:rsid w:val="00A96B7B"/>
    <w:rsid w:val="00A96ED1"/>
    <w:rsid w:val="00A97631"/>
    <w:rsid w:val="00A97C5B"/>
    <w:rsid w:val="00A97D8A"/>
    <w:rsid w:val="00AA0022"/>
    <w:rsid w:val="00AA0088"/>
    <w:rsid w:val="00AA0543"/>
    <w:rsid w:val="00AA0721"/>
    <w:rsid w:val="00AA0CD8"/>
    <w:rsid w:val="00AA0E30"/>
    <w:rsid w:val="00AA0FF3"/>
    <w:rsid w:val="00AA10D0"/>
    <w:rsid w:val="00AA1618"/>
    <w:rsid w:val="00AA1867"/>
    <w:rsid w:val="00AA1AA3"/>
    <w:rsid w:val="00AA20AA"/>
    <w:rsid w:val="00AA22BD"/>
    <w:rsid w:val="00AA236B"/>
    <w:rsid w:val="00AA2373"/>
    <w:rsid w:val="00AA247E"/>
    <w:rsid w:val="00AA24A2"/>
    <w:rsid w:val="00AA2AD4"/>
    <w:rsid w:val="00AA2C49"/>
    <w:rsid w:val="00AA30D3"/>
    <w:rsid w:val="00AA32C3"/>
    <w:rsid w:val="00AA3552"/>
    <w:rsid w:val="00AA35C9"/>
    <w:rsid w:val="00AA3626"/>
    <w:rsid w:val="00AA36C0"/>
    <w:rsid w:val="00AA3A6C"/>
    <w:rsid w:val="00AA3C8A"/>
    <w:rsid w:val="00AA3F02"/>
    <w:rsid w:val="00AA3FBF"/>
    <w:rsid w:val="00AA40FD"/>
    <w:rsid w:val="00AA46F0"/>
    <w:rsid w:val="00AA477D"/>
    <w:rsid w:val="00AA477F"/>
    <w:rsid w:val="00AA4A02"/>
    <w:rsid w:val="00AA4B0B"/>
    <w:rsid w:val="00AA4C5C"/>
    <w:rsid w:val="00AA4CBE"/>
    <w:rsid w:val="00AA4F07"/>
    <w:rsid w:val="00AA50E6"/>
    <w:rsid w:val="00AA515E"/>
    <w:rsid w:val="00AA54CB"/>
    <w:rsid w:val="00AA577F"/>
    <w:rsid w:val="00AA5818"/>
    <w:rsid w:val="00AA583E"/>
    <w:rsid w:val="00AA5903"/>
    <w:rsid w:val="00AA5979"/>
    <w:rsid w:val="00AA5C8A"/>
    <w:rsid w:val="00AA6280"/>
    <w:rsid w:val="00AA668D"/>
    <w:rsid w:val="00AA6818"/>
    <w:rsid w:val="00AA6E10"/>
    <w:rsid w:val="00AA7108"/>
    <w:rsid w:val="00AA71A9"/>
    <w:rsid w:val="00AA7323"/>
    <w:rsid w:val="00AA74B5"/>
    <w:rsid w:val="00AA761C"/>
    <w:rsid w:val="00AA7937"/>
    <w:rsid w:val="00AA799D"/>
    <w:rsid w:val="00AA79C0"/>
    <w:rsid w:val="00AA7AD0"/>
    <w:rsid w:val="00AA7AF5"/>
    <w:rsid w:val="00AA7B01"/>
    <w:rsid w:val="00AA7E52"/>
    <w:rsid w:val="00AB0286"/>
    <w:rsid w:val="00AB02CB"/>
    <w:rsid w:val="00AB0372"/>
    <w:rsid w:val="00AB0447"/>
    <w:rsid w:val="00AB054E"/>
    <w:rsid w:val="00AB0816"/>
    <w:rsid w:val="00AB08C8"/>
    <w:rsid w:val="00AB1283"/>
    <w:rsid w:val="00AB13A9"/>
    <w:rsid w:val="00AB164D"/>
    <w:rsid w:val="00AB1683"/>
    <w:rsid w:val="00AB16AB"/>
    <w:rsid w:val="00AB19A8"/>
    <w:rsid w:val="00AB1FFE"/>
    <w:rsid w:val="00AB2321"/>
    <w:rsid w:val="00AB243B"/>
    <w:rsid w:val="00AB29DA"/>
    <w:rsid w:val="00AB29EC"/>
    <w:rsid w:val="00AB2C64"/>
    <w:rsid w:val="00AB2DCD"/>
    <w:rsid w:val="00AB324C"/>
    <w:rsid w:val="00AB32CB"/>
    <w:rsid w:val="00AB3BFA"/>
    <w:rsid w:val="00AB3DB5"/>
    <w:rsid w:val="00AB4040"/>
    <w:rsid w:val="00AB407E"/>
    <w:rsid w:val="00AB410A"/>
    <w:rsid w:val="00AB43DE"/>
    <w:rsid w:val="00AB43F9"/>
    <w:rsid w:val="00AB441A"/>
    <w:rsid w:val="00AB44EC"/>
    <w:rsid w:val="00AB4785"/>
    <w:rsid w:val="00AB488E"/>
    <w:rsid w:val="00AB48C5"/>
    <w:rsid w:val="00AB4B5D"/>
    <w:rsid w:val="00AB4D5C"/>
    <w:rsid w:val="00AB4E3B"/>
    <w:rsid w:val="00AB4F3E"/>
    <w:rsid w:val="00AB4FB3"/>
    <w:rsid w:val="00AB5265"/>
    <w:rsid w:val="00AB54DF"/>
    <w:rsid w:val="00AB5633"/>
    <w:rsid w:val="00AB56A4"/>
    <w:rsid w:val="00AB571B"/>
    <w:rsid w:val="00AB578E"/>
    <w:rsid w:val="00AB5973"/>
    <w:rsid w:val="00AB5A07"/>
    <w:rsid w:val="00AB5A12"/>
    <w:rsid w:val="00AB5D4C"/>
    <w:rsid w:val="00AB5D88"/>
    <w:rsid w:val="00AB5E59"/>
    <w:rsid w:val="00AB6062"/>
    <w:rsid w:val="00AB610D"/>
    <w:rsid w:val="00AB6124"/>
    <w:rsid w:val="00AB6300"/>
    <w:rsid w:val="00AB63BA"/>
    <w:rsid w:val="00AB6589"/>
    <w:rsid w:val="00AB6743"/>
    <w:rsid w:val="00AB689E"/>
    <w:rsid w:val="00AB6C08"/>
    <w:rsid w:val="00AB6C79"/>
    <w:rsid w:val="00AB6C9B"/>
    <w:rsid w:val="00AB6C9C"/>
    <w:rsid w:val="00AB6DA1"/>
    <w:rsid w:val="00AB6E3B"/>
    <w:rsid w:val="00AB6F1D"/>
    <w:rsid w:val="00AB6F4B"/>
    <w:rsid w:val="00AB71D2"/>
    <w:rsid w:val="00AB7214"/>
    <w:rsid w:val="00AB7269"/>
    <w:rsid w:val="00AB7427"/>
    <w:rsid w:val="00AB76FF"/>
    <w:rsid w:val="00AB7805"/>
    <w:rsid w:val="00AB78DF"/>
    <w:rsid w:val="00AB7944"/>
    <w:rsid w:val="00AB7AD7"/>
    <w:rsid w:val="00AB7C9D"/>
    <w:rsid w:val="00AC004B"/>
    <w:rsid w:val="00AC03B5"/>
    <w:rsid w:val="00AC061A"/>
    <w:rsid w:val="00AC0D3B"/>
    <w:rsid w:val="00AC0D87"/>
    <w:rsid w:val="00AC0DA5"/>
    <w:rsid w:val="00AC0E50"/>
    <w:rsid w:val="00AC0EF1"/>
    <w:rsid w:val="00AC135D"/>
    <w:rsid w:val="00AC14AC"/>
    <w:rsid w:val="00AC1530"/>
    <w:rsid w:val="00AC180B"/>
    <w:rsid w:val="00AC1A12"/>
    <w:rsid w:val="00AC1C7E"/>
    <w:rsid w:val="00AC1D8C"/>
    <w:rsid w:val="00AC1E2C"/>
    <w:rsid w:val="00AC21F8"/>
    <w:rsid w:val="00AC245A"/>
    <w:rsid w:val="00AC24F9"/>
    <w:rsid w:val="00AC294C"/>
    <w:rsid w:val="00AC2B93"/>
    <w:rsid w:val="00AC2BD6"/>
    <w:rsid w:val="00AC2ECC"/>
    <w:rsid w:val="00AC3085"/>
    <w:rsid w:val="00AC31B8"/>
    <w:rsid w:val="00AC3404"/>
    <w:rsid w:val="00AC35E3"/>
    <w:rsid w:val="00AC36A7"/>
    <w:rsid w:val="00AC3BB7"/>
    <w:rsid w:val="00AC3F1E"/>
    <w:rsid w:val="00AC41F5"/>
    <w:rsid w:val="00AC4488"/>
    <w:rsid w:val="00AC452F"/>
    <w:rsid w:val="00AC459C"/>
    <w:rsid w:val="00AC4A12"/>
    <w:rsid w:val="00AC4A49"/>
    <w:rsid w:val="00AC4A97"/>
    <w:rsid w:val="00AC4C41"/>
    <w:rsid w:val="00AC519A"/>
    <w:rsid w:val="00AC5A72"/>
    <w:rsid w:val="00AC5C35"/>
    <w:rsid w:val="00AC5E97"/>
    <w:rsid w:val="00AC6058"/>
    <w:rsid w:val="00AC6242"/>
    <w:rsid w:val="00AC64C7"/>
    <w:rsid w:val="00AC6559"/>
    <w:rsid w:val="00AC6860"/>
    <w:rsid w:val="00AC6A12"/>
    <w:rsid w:val="00AC6BE0"/>
    <w:rsid w:val="00AC6C2B"/>
    <w:rsid w:val="00AC6DCD"/>
    <w:rsid w:val="00AC6FE0"/>
    <w:rsid w:val="00AC74D2"/>
    <w:rsid w:val="00AC7EFF"/>
    <w:rsid w:val="00AD0167"/>
    <w:rsid w:val="00AD027F"/>
    <w:rsid w:val="00AD039B"/>
    <w:rsid w:val="00AD03BD"/>
    <w:rsid w:val="00AD03BE"/>
    <w:rsid w:val="00AD0768"/>
    <w:rsid w:val="00AD0C05"/>
    <w:rsid w:val="00AD0D47"/>
    <w:rsid w:val="00AD0D4E"/>
    <w:rsid w:val="00AD0DE1"/>
    <w:rsid w:val="00AD1145"/>
    <w:rsid w:val="00AD11DF"/>
    <w:rsid w:val="00AD1480"/>
    <w:rsid w:val="00AD1A15"/>
    <w:rsid w:val="00AD1B4C"/>
    <w:rsid w:val="00AD1CD8"/>
    <w:rsid w:val="00AD1CFC"/>
    <w:rsid w:val="00AD1D7B"/>
    <w:rsid w:val="00AD2330"/>
    <w:rsid w:val="00AD2363"/>
    <w:rsid w:val="00AD23BE"/>
    <w:rsid w:val="00AD2546"/>
    <w:rsid w:val="00AD2877"/>
    <w:rsid w:val="00AD2893"/>
    <w:rsid w:val="00AD29A1"/>
    <w:rsid w:val="00AD2AE5"/>
    <w:rsid w:val="00AD2B23"/>
    <w:rsid w:val="00AD2BF5"/>
    <w:rsid w:val="00AD2C96"/>
    <w:rsid w:val="00AD2D16"/>
    <w:rsid w:val="00AD2D6B"/>
    <w:rsid w:val="00AD2D6D"/>
    <w:rsid w:val="00AD321D"/>
    <w:rsid w:val="00AD32DF"/>
    <w:rsid w:val="00AD3F4C"/>
    <w:rsid w:val="00AD406B"/>
    <w:rsid w:val="00AD4089"/>
    <w:rsid w:val="00AD432A"/>
    <w:rsid w:val="00AD43B7"/>
    <w:rsid w:val="00AD43E6"/>
    <w:rsid w:val="00AD44BD"/>
    <w:rsid w:val="00AD45B0"/>
    <w:rsid w:val="00AD4A38"/>
    <w:rsid w:val="00AD4B27"/>
    <w:rsid w:val="00AD4C3E"/>
    <w:rsid w:val="00AD4D3B"/>
    <w:rsid w:val="00AD50C1"/>
    <w:rsid w:val="00AD5530"/>
    <w:rsid w:val="00AD5936"/>
    <w:rsid w:val="00AD5D5B"/>
    <w:rsid w:val="00AD5DEA"/>
    <w:rsid w:val="00AD5FFA"/>
    <w:rsid w:val="00AD6270"/>
    <w:rsid w:val="00AD633B"/>
    <w:rsid w:val="00AD6432"/>
    <w:rsid w:val="00AD64C4"/>
    <w:rsid w:val="00AD662C"/>
    <w:rsid w:val="00AD6908"/>
    <w:rsid w:val="00AD69E6"/>
    <w:rsid w:val="00AD6A1F"/>
    <w:rsid w:val="00AD6D10"/>
    <w:rsid w:val="00AD757A"/>
    <w:rsid w:val="00AD7753"/>
    <w:rsid w:val="00AD77C3"/>
    <w:rsid w:val="00AD78C1"/>
    <w:rsid w:val="00AD798F"/>
    <w:rsid w:val="00AD7A70"/>
    <w:rsid w:val="00AD7FC9"/>
    <w:rsid w:val="00AE02FD"/>
    <w:rsid w:val="00AE0340"/>
    <w:rsid w:val="00AE0502"/>
    <w:rsid w:val="00AE058E"/>
    <w:rsid w:val="00AE0DD9"/>
    <w:rsid w:val="00AE0EA5"/>
    <w:rsid w:val="00AE113F"/>
    <w:rsid w:val="00AE11DD"/>
    <w:rsid w:val="00AE134E"/>
    <w:rsid w:val="00AE144B"/>
    <w:rsid w:val="00AE1A25"/>
    <w:rsid w:val="00AE1A28"/>
    <w:rsid w:val="00AE1B0F"/>
    <w:rsid w:val="00AE1D1D"/>
    <w:rsid w:val="00AE1D61"/>
    <w:rsid w:val="00AE1F1B"/>
    <w:rsid w:val="00AE1FF6"/>
    <w:rsid w:val="00AE22CA"/>
    <w:rsid w:val="00AE2703"/>
    <w:rsid w:val="00AE2773"/>
    <w:rsid w:val="00AE279C"/>
    <w:rsid w:val="00AE2CF5"/>
    <w:rsid w:val="00AE30CE"/>
    <w:rsid w:val="00AE311E"/>
    <w:rsid w:val="00AE333D"/>
    <w:rsid w:val="00AE3353"/>
    <w:rsid w:val="00AE3404"/>
    <w:rsid w:val="00AE3459"/>
    <w:rsid w:val="00AE34BC"/>
    <w:rsid w:val="00AE3899"/>
    <w:rsid w:val="00AE39D8"/>
    <w:rsid w:val="00AE3F23"/>
    <w:rsid w:val="00AE4705"/>
    <w:rsid w:val="00AE482B"/>
    <w:rsid w:val="00AE491D"/>
    <w:rsid w:val="00AE4A9C"/>
    <w:rsid w:val="00AE4ECF"/>
    <w:rsid w:val="00AE5337"/>
    <w:rsid w:val="00AE588C"/>
    <w:rsid w:val="00AE5B68"/>
    <w:rsid w:val="00AE5CEF"/>
    <w:rsid w:val="00AE5D13"/>
    <w:rsid w:val="00AE62E5"/>
    <w:rsid w:val="00AE640E"/>
    <w:rsid w:val="00AE654D"/>
    <w:rsid w:val="00AE6942"/>
    <w:rsid w:val="00AE6D0F"/>
    <w:rsid w:val="00AE6DDF"/>
    <w:rsid w:val="00AE7247"/>
    <w:rsid w:val="00AE741B"/>
    <w:rsid w:val="00AE74AB"/>
    <w:rsid w:val="00AE755F"/>
    <w:rsid w:val="00AE7BF2"/>
    <w:rsid w:val="00AF0453"/>
    <w:rsid w:val="00AF04A6"/>
    <w:rsid w:val="00AF0A1E"/>
    <w:rsid w:val="00AF0E94"/>
    <w:rsid w:val="00AF0ECD"/>
    <w:rsid w:val="00AF0FDB"/>
    <w:rsid w:val="00AF1562"/>
    <w:rsid w:val="00AF173F"/>
    <w:rsid w:val="00AF186C"/>
    <w:rsid w:val="00AF1968"/>
    <w:rsid w:val="00AF19CE"/>
    <w:rsid w:val="00AF1E62"/>
    <w:rsid w:val="00AF1E6E"/>
    <w:rsid w:val="00AF1F29"/>
    <w:rsid w:val="00AF1F59"/>
    <w:rsid w:val="00AF2660"/>
    <w:rsid w:val="00AF2707"/>
    <w:rsid w:val="00AF288D"/>
    <w:rsid w:val="00AF2B9C"/>
    <w:rsid w:val="00AF2DE3"/>
    <w:rsid w:val="00AF2EF1"/>
    <w:rsid w:val="00AF2F25"/>
    <w:rsid w:val="00AF2F4C"/>
    <w:rsid w:val="00AF30D5"/>
    <w:rsid w:val="00AF32CA"/>
    <w:rsid w:val="00AF3312"/>
    <w:rsid w:val="00AF3320"/>
    <w:rsid w:val="00AF3421"/>
    <w:rsid w:val="00AF34EC"/>
    <w:rsid w:val="00AF353C"/>
    <w:rsid w:val="00AF3596"/>
    <w:rsid w:val="00AF3612"/>
    <w:rsid w:val="00AF3650"/>
    <w:rsid w:val="00AF3749"/>
    <w:rsid w:val="00AF38DC"/>
    <w:rsid w:val="00AF3A26"/>
    <w:rsid w:val="00AF3BD9"/>
    <w:rsid w:val="00AF3BFF"/>
    <w:rsid w:val="00AF3FAB"/>
    <w:rsid w:val="00AF40CF"/>
    <w:rsid w:val="00AF41B5"/>
    <w:rsid w:val="00AF425B"/>
    <w:rsid w:val="00AF43A6"/>
    <w:rsid w:val="00AF4611"/>
    <w:rsid w:val="00AF51AA"/>
    <w:rsid w:val="00AF51D2"/>
    <w:rsid w:val="00AF549D"/>
    <w:rsid w:val="00AF56A5"/>
    <w:rsid w:val="00AF56B7"/>
    <w:rsid w:val="00AF572C"/>
    <w:rsid w:val="00AF579D"/>
    <w:rsid w:val="00AF5833"/>
    <w:rsid w:val="00AF58C3"/>
    <w:rsid w:val="00AF5A1F"/>
    <w:rsid w:val="00AF5B0F"/>
    <w:rsid w:val="00AF5BCD"/>
    <w:rsid w:val="00AF5C75"/>
    <w:rsid w:val="00AF5CD8"/>
    <w:rsid w:val="00AF5F18"/>
    <w:rsid w:val="00AF672D"/>
    <w:rsid w:val="00AF6879"/>
    <w:rsid w:val="00AF6915"/>
    <w:rsid w:val="00AF6A09"/>
    <w:rsid w:val="00AF6A94"/>
    <w:rsid w:val="00AF7218"/>
    <w:rsid w:val="00AF73D5"/>
    <w:rsid w:val="00AF781E"/>
    <w:rsid w:val="00AF7B29"/>
    <w:rsid w:val="00B00126"/>
    <w:rsid w:val="00B001A8"/>
    <w:rsid w:val="00B001E9"/>
    <w:rsid w:val="00B002C6"/>
    <w:rsid w:val="00B00564"/>
    <w:rsid w:val="00B006D5"/>
    <w:rsid w:val="00B007DD"/>
    <w:rsid w:val="00B00AAD"/>
    <w:rsid w:val="00B00B03"/>
    <w:rsid w:val="00B00DBC"/>
    <w:rsid w:val="00B00E47"/>
    <w:rsid w:val="00B00F19"/>
    <w:rsid w:val="00B0108F"/>
    <w:rsid w:val="00B011D2"/>
    <w:rsid w:val="00B01316"/>
    <w:rsid w:val="00B0138F"/>
    <w:rsid w:val="00B014CD"/>
    <w:rsid w:val="00B015C2"/>
    <w:rsid w:val="00B0168F"/>
    <w:rsid w:val="00B0171A"/>
    <w:rsid w:val="00B017C5"/>
    <w:rsid w:val="00B019D6"/>
    <w:rsid w:val="00B01E8B"/>
    <w:rsid w:val="00B0237D"/>
    <w:rsid w:val="00B02540"/>
    <w:rsid w:val="00B025BF"/>
    <w:rsid w:val="00B02806"/>
    <w:rsid w:val="00B02871"/>
    <w:rsid w:val="00B028D3"/>
    <w:rsid w:val="00B02A0D"/>
    <w:rsid w:val="00B02A2D"/>
    <w:rsid w:val="00B02B42"/>
    <w:rsid w:val="00B02B47"/>
    <w:rsid w:val="00B02E02"/>
    <w:rsid w:val="00B03087"/>
    <w:rsid w:val="00B03351"/>
    <w:rsid w:val="00B035D9"/>
    <w:rsid w:val="00B03AE4"/>
    <w:rsid w:val="00B03B01"/>
    <w:rsid w:val="00B03FF7"/>
    <w:rsid w:val="00B04126"/>
    <w:rsid w:val="00B042BB"/>
    <w:rsid w:val="00B044E1"/>
    <w:rsid w:val="00B046A5"/>
    <w:rsid w:val="00B04ADD"/>
    <w:rsid w:val="00B04BD0"/>
    <w:rsid w:val="00B05028"/>
    <w:rsid w:val="00B054F2"/>
    <w:rsid w:val="00B057A1"/>
    <w:rsid w:val="00B057E0"/>
    <w:rsid w:val="00B05906"/>
    <w:rsid w:val="00B05A36"/>
    <w:rsid w:val="00B05D50"/>
    <w:rsid w:val="00B0636C"/>
    <w:rsid w:val="00B0669B"/>
    <w:rsid w:val="00B066FB"/>
    <w:rsid w:val="00B06980"/>
    <w:rsid w:val="00B06E31"/>
    <w:rsid w:val="00B06EA1"/>
    <w:rsid w:val="00B06F3A"/>
    <w:rsid w:val="00B07015"/>
    <w:rsid w:val="00B07061"/>
    <w:rsid w:val="00B07613"/>
    <w:rsid w:val="00B07704"/>
    <w:rsid w:val="00B078E5"/>
    <w:rsid w:val="00B079B5"/>
    <w:rsid w:val="00B07AC0"/>
    <w:rsid w:val="00B07B00"/>
    <w:rsid w:val="00B07C61"/>
    <w:rsid w:val="00B07D68"/>
    <w:rsid w:val="00B10048"/>
    <w:rsid w:val="00B100F5"/>
    <w:rsid w:val="00B104A1"/>
    <w:rsid w:val="00B10716"/>
    <w:rsid w:val="00B10A21"/>
    <w:rsid w:val="00B10B9C"/>
    <w:rsid w:val="00B10D9C"/>
    <w:rsid w:val="00B110E3"/>
    <w:rsid w:val="00B111A4"/>
    <w:rsid w:val="00B11454"/>
    <w:rsid w:val="00B1157C"/>
    <w:rsid w:val="00B11867"/>
    <w:rsid w:val="00B1188E"/>
    <w:rsid w:val="00B11896"/>
    <w:rsid w:val="00B119A4"/>
    <w:rsid w:val="00B11A77"/>
    <w:rsid w:val="00B11C53"/>
    <w:rsid w:val="00B11C8C"/>
    <w:rsid w:val="00B11DB7"/>
    <w:rsid w:val="00B11F28"/>
    <w:rsid w:val="00B122B6"/>
    <w:rsid w:val="00B1234C"/>
    <w:rsid w:val="00B123D6"/>
    <w:rsid w:val="00B12675"/>
    <w:rsid w:val="00B1270D"/>
    <w:rsid w:val="00B12720"/>
    <w:rsid w:val="00B12942"/>
    <w:rsid w:val="00B129D1"/>
    <w:rsid w:val="00B129D7"/>
    <w:rsid w:val="00B12DE8"/>
    <w:rsid w:val="00B12F20"/>
    <w:rsid w:val="00B1318C"/>
    <w:rsid w:val="00B133B7"/>
    <w:rsid w:val="00B13A17"/>
    <w:rsid w:val="00B13A83"/>
    <w:rsid w:val="00B13AA2"/>
    <w:rsid w:val="00B13D16"/>
    <w:rsid w:val="00B14124"/>
    <w:rsid w:val="00B1448B"/>
    <w:rsid w:val="00B145EE"/>
    <w:rsid w:val="00B14630"/>
    <w:rsid w:val="00B146D5"/>
    <w:rsid w:val="00B14801"/>
    <w:rsid w:val="00B14DE3"/>
    <w:rsid w:val="00B14ECA"/>
    <w:rsid w:val="00B14FAE"/>
    <w:rsid w:val="00B1504C"/>
    <w:rsid w:val="00B15474"/>
    <w:rsid w:val="00B15482"/>
    <w:rsid w:val="00B15DBC"/>
    <w:rsid w:val="00B15DEB"/>
    <w:rsid w:val="00B15FA9"/>
    <w:rsid w:val="00B160FD"/>
    <w:rsid w:val="00B167D3"/>
    <w:rsid w:val="00B16847"/>
    <w:rsid w:val="00B16920"/>
    <w:rsid w:val="00B1694A"/>
    <w:rsid w:val="00B16CB5"/>
    <w:rsid w:val="00B16CEE"/>
    <w:rsid w:val="00B16EF6"/>
    <w:rsid w:val="00B17236"/>
    <w:rsid w:val="00B1755E"/>
    <w:rsid w:val="00B175CD"/>
    <w:rsid w:val="00B175D3"/>
    <w:rsid w:val="00B17621"/>
    <w:rsid w:val="00B1790E"/>
    <w:rsid w:val="00B17921"/>
    <w:rsid w:val="00B179A0"/>
    <w:rsid w:val="00B17BB2"/>
    <w:rsid w:val="00B202D8"/>
    <w:rsid w:val="00B20C22"/>
    <w:rsid w:val="00B2106E"/>
    <w:rsid w:val="00B21091"/>
    <w:rsid w:val="00B21362"/>
    <w:rsid w:val="00B21CD1"/>
    <w:rsid w:val="00B21DA9"/>
    <w:rsid w:val="00B22150"/>
    <w:rsid w:val="00B22586"/>
    <w:rsid w:val="00B225F9"/>
    <w:rsid w:val="00B227D8"/>
    <w:rsid w:val="00B228AE"/>
    <w:rsid w:val="00B22A98"/>
    <w:rsid w:val="00B22BB7"/>
    <w:rsid w:val="00B22BB8"/>
    <w:rsid w:val="00B22BD5"/>
    <w:rsid w:val="00B22C4F"/>
    <w:rsid w:val="00B22C59"/>
    <w:rsid w:val="00B23208"/>
    <w:rsid w:val="00B23212"/>
    <w:rsid w:val="00B238D8"/>
    <w:rsid w:val="00B23A38"/>
    <w:rsid w:val="00B23A3D"/>
    <w:rsid w:val="00B23D46"/>
    <w:rsid w:val="00B23F9D"/>
    <w:rsid w:val="00B2419E"/>
    <w:rsid w:val="00B24210"/>
    <w:rsid w:val="00B24401"/>
    <w:rsid w:val="00B2454C"/>
    <w:rsid w:val="00B245EF"/>
    <w:rsid w:val="00B246C2"/>
    <w:rsid w:val="00B2493B"/>
    <w:rsid w:val="00B24B59"/>
    <w:rsid w:val="00B24FFB"/>
    <w:rsid w:val="00B2509E"/>
    <w:rsid w:val="00B25104"/>
    <w:rsid w:val="00B25431"/>
    <w:rsid w:val="00B25513"/>
    <w:rsid w:val="00B25559"/>
    <w:rsid w:val="00B258DE"/>
    <w:rsid w:val="00B25C3F"/>
    <w:rsid w:val="00B25F44"/>
    <w:rsid w:val="00B25F73"/>
    <w:rsid w:val="00B26814"/>
    <w:rsid w:val="00B26B76"/>
    <w:rsid w:val="00B27151"/>
    <w:rsid w:val="00B27322"/>
    <w:rsid w:val="00B27439"/>
    <w:rsid w:val="00B27516"/>
    <w:rsid w:val="00B27655"/>
    <w:rsid w:val="00B27688"/>
    <w:rsid w:val="00B27957"/>
    <w:rsid w:val="00B2796B"/>
    <w:rsid w:val="00B27B32"/>
    <w:rsid w:val="00B30687"/>
    <w:rsid w:val="00B30800"/>
    <w:rsid w:val="00B30F6A"/>
    <w:rsid w:val="00B31305"/>
    <w:rsid w:val="00B317F9"/>
    <w:rsid w:val="00B31963"/>
    <w:rsid w:val="00B31980"/>
    <w:rsid w:val="00B3199E"/>
    <w:rsid w:val="00B319D9"/>
    <w:rsid w:val="00B31A0E"/>
    <w:rsid w:val="00B31B9D"/>
    <w:rsid w:val="00B31D88"/>
    <w:rsid w:val="00B3202D"/>
    <w:rsid w:val="00B32157"/>
    <w:rsid w:val="00B32339"/>
    <w:rsid w:val="00B32350"/>
    <w:rsid w:val="00B323BD"/>
    <w:rsid w:val="00B323C3"/>
    <w:rsid w:val="00B326BA"/>
    <w:rsid w:val="00B328CF"/>
    <w:rsid w:val="00B328D5"/>
    <w:rsid w:val="00B329F6"/>
    <w:rsid w:val="00B32B57"/>
    <w:rsid w:val="00B32C4E"/>
    <w:rsid w:val="00B32D14"/>
    <w:rsid w:val="00B32DA7"/>
    <w:rsid w:val="00B331EC"/>
    <w:rsid w:val="00B3322A"/>
    <w:rsid w:val="00B33351"/>
    <w:rsid w:val="00B33375"/>
    <w:rsid w:val="00B33429"/>
    <w:rsid w:val="00B334B4"/>
    <w:rsid w:val="00B337FF"/>
    <w:rsid w:val="00B33930"/>
    <w:rsid w:val="00B33964"/>
    <w:rsid w:val="00B33989"/>
    <w:rsid w:val="00B33D2F"/>
    <w:rsid w:val="00B33D76"/>
    <w:rsid w:val="00B34081"/>
    <w:rsid w:val="00B34093"/>
    <w:rsid w:val="00B34225"/>
    <w:rsid w:val="00B347A4"/>
    <w:rsid w:val="00B347B9"/>
    <w:rsid w:val="00B348CA"/>
    <w:rsid w:val="00B3498C"/>
    <w:rsid w:val="00B34A20"/>
    <w:rsid w:val="00B34C29"/>
    <w:rsid w:val="00B3562E"/>
    <w:rsid w:val="00B356F4"/>
    <w:rsid w:val="00B35A39"/>
    <w:rsid w:val="00B35B52"/>
    <w:rsid w:val="00B35B97"/>
    <w:rsid w:val="00B35C2B"/>
    <w:rsid w:val="00B35C63"/>
    <w:rsid w:val="00B35CAA"/>
    <w:rsid w:val="00B35DC8"/>
    <w:rsid w:val="00B35E8F"/>
    <w:rsid w:val="00B35F45"/>
    <w:rsid w:val="00B3674E"/>
    <w:rsid w:val="00B36CB3"/>
    <w:rsid w:val="00B3721D"/>
    <w:rsid w:val="00B37256"/>
    <w:rsid w:val="00B372C3"/>
    <w:rsid w:val="00B374D1"/>
    <w:rsid w:val="00B3755B"/>
    <w:rsid w:val="00B37F01"/>
    <w:rsid w:val="00B37F3F"/>
    <w:rsid w:val="00B40037"/>
    <w:rsid w:val="00B400BD"/>
    <w:rsid w:val="00B400FF"/>
    <w:rsid w:val="00B402A7"/>
    <w:rsid w:val="00B402DF"/>
    <w:rsid w:val="00B402F4"/>
    <w:rsid w:val="00B40461"/>
    <w:rsid w:val="00B407BA"/>
    <w:rsid w:val="00B4081A"/>
    <w:rsid w:val="00B40BBD"/>
    <w:rsid w:val="00B40D14"/>
    <w:rsid w:val="00B40F6E"/>
    <w:rsid w:val="00B41246"/>
    <w:rsid w:val="00B41796"/>
    <w:rsid w:val="00B4185C"/>
    <w:rsid w:val="00B41AC1"/>
    <w:rsid w:val="00B41BF9"/>
    <w:rsid w:val="00B41DB0"/>
    <w:rsid w:val="00B42080"/>
    <w:rsid w:val="00B420AB"/>
    <w:rsid w:val="00B42356"/>
    <w:rsid w:val="00B42687"/>
    <w:rsid w:val="00B42767"/>
    <w:rsid w:val="00B427A0"/>
    <w:rsid w:val="00B42B22"/>
    <w:rsid w:val="00B42C5E"/>
    <w:rsid w:val="00B42F59"/>
    <w:rsid w:val="00B42FC6"/>
    <w:rsid w:val="00B430CF"/>
    <w:rsid w:val="00B431C1"/>
    <w:rsid w:val="00B432A0"/>
    <w:rsid w:val="00B43336"/>
    <w:rsid w:val="00B436FA"/>
    <w:rsid w:val="00B43A59"/>
    <w:rsid w:val="00B43A83"/>
    <w:rsid w:val="00B43DE1"/>
    <w:rsid w:val="00B441F3"/>
    <w:rsid w:val="00B44F70"/>
    <w:rsid w:val="00B452F1"/>
    <w:rsid w:val="00B45359"/>
    <w:rsid w:val="00B45387"/>
    <w:rsid w:val="00B455A1"/>
    <w:rsid w:val="00B455A9"/>
    <w:rsid w:val="00B4574F"/>
    <w:rsid w:val="00B457F9"/>
    <w:rsid w:val="00B459B7"/>
    <w:rsid w:val="00B45DFF"/>
    <w:rsid w:val="00B460A6"/>
    <w:rsid w:val="00B461FB"/>
    <w:rsid w:val="00B46321"/>
    <w:rsid w:val="00B467A0"/>
    <w:rsid w:val="00B46901"/>
    <w:rsid w:val="00B46BC3"/>
    <w:rsid w:val="00B46D74"/>
    <w:rsid w:val="00B46E45"/>
    <w:rsid w:val="00B4706B"/>
    <w:rsid w:val="00B47679"/>
    <w:rsid w:val="00B500AF"/>
    <w:rsid w:val="00B501B4"/>
    <w:rsid w:val="00B501DA"/>
    <w:rsid w:val="00B50487"/>
    <w:rsid w:val="00B5060F"/>
    <w:rsid w:val="00B50880"/>
    <w:rsid w:val="00B50CAF"/>
    <w:rsid w:val="00B50D09"/>
    <w:rsid w:val="00B50D93"/>
    <w:rsid w:val="00B51423"/>
    <w:rsid w:val="00B5149B"/>
    <w:rsid w:val="00B51531"/>
    <w:rsid w:val="00B5165A"/>
    <w:rsid w:val="00B518DE"/>
    <w:rsid w:val="00B51A51"/>
    <w:rsid w:val="00B51C6F"/>
    <w:rsid w:val="00B52057"/>
    <w:rsid w:val="00B521EC"/>
    <w:rsid w:val="00B522DC"/>
    <w:rsid w:val="00B52390"/>
    <w:rsid w:val="00B52486"/>
    <w:rsid w:val="00B52497"/>
    <w:rsid w:val="00B524CF"/>
    <w:rsid w:val="00B52653"/>
    <w:rsid w:val="00B52A0D"/>
    <w:rsid w:val="00B52A97"/>
    <w:rsid w:val="00B52C76"/>
    <w:rsid w:val="00B52FCF"/>
    <w:rsid w:val="00B53078"/>
    <w:rsid w:val="00B532B7"/>
    <w:rsid w:val="00B53363"/>
    <w:rsid w:val="00B53562"/>
    <w:rsid w:val="00B53725"/>
    <w:rsid w:val="00B5384D"/>
    <w:rsid w:val="00B53983"/>
    <w:rsid w:val="00B53AB1"/>
    <w:rsid w:val="00B5406C"/>
    <w:rsid w:val="00B54186"/>
    <w:rsid w:val="00B5418A"/>
    <w:rsid w:val="00B544EE"/>
    <w:rsid w:val="00B5459C"/>
    <w:rsid w:val="00B546EC"/>
    <w:rsid w:val="00B5479F"/>
    <w:rsid w:val="00B54B9E"/>
    <w:rsid w:val="00B557F2"/>
    <w:rsid w:val="00B559A3"/>
    <w:rsid w:val="00B55A68"/>
    <w:rsid w:val="00B55F8B"/>
    <w:rsid w:val="00B56069"/>
    <w:rsid w:val="00B56AF1"/>
    <w:rsid w:val="00B56FE4"/>
    <w:rsid w:val="00B57206"/>
    <w:rsid w:val="00B57485"/>
    <w:rsid w:val="00B57760"/>
    <w:rsid w:val="00B5786F"/>
    <w:rsid w:val="00B57A55"/>
    <w:rsid w:val="00B60143"/>
    <w:rsid w:val="00B6035A"/>
    <w:rsid w:val="00B60584"/>
    <w:rsid w:val="00B60AC4"/>
    <w:rsid w:val="00B60C78"/>
    <w:rsid w:val="00B610FC"/>
    <w:rsid w:val="00B61139"/>
    <w:rsid w:val="00B611E8"/>
    <w:rsid w:val="00B61237"/>
    <w:rsid w:val="00B6130B"/>
    <w:rsid w:val="00B61648"/>
    <w:rsid w:val="00B619FB"/>
    <w:rsid w:val="00B61D39"/>
    <w:rsid w:val="00B61DF7"/>
    <w:rsid w:val="00B61E01"/>
    <w:rsid w:val="00B61F1E"/>
    <w:rsid w:val="00B62014"/>
    <w:rsid w:val="00B620BB"/>
    <w:rsid w:val="00B620F8"/>
    <w:rsid w:val="00B6213F"/>
    <w:rsid w:val="00B6216A"/>
    <w:rsid w:val="00B624EE"/>
    <w:rsid w:val="00B62C39"/>
    <w:rsid w:val="00B62CCE"/>
    <w:rsid w:val="00B62E81"/>
    <w:rsid w:val="00B62EC1"/>
    <w:rsid w:val="00B630E6"/>
    <w:rsid w:val="00B63546"/>
    <w:rsid w:val="00B636F7"/>
    <w:rsid w:val="00B637B5"/>
    <w:rsid w:val="00B63811"/>
    <w:rsid w:val="00B63F44"/>
    <w:rsid w:val="00B63F70"/>
    <w:rsid w:val="00B640B1"/>
    <w:rsid w:val="00B64181"/>
    <w:rsid w:val="00B6443D"/>
    <w:rsid w:val="00B644F3"/>
    <w:rsid w:val="00B646A2"/>
    <w:rsid w:val="00B6498A"/>
    <w:rsid w:val="00B64D3D"/>
    <w:rsid w:val="00B64E66"/>
    <w:rsid w:val="00B64F80"/>
    <w:rsid w:val="00B6505D"/>
    <w:rsid w:val="00B651C6"/>
    <w:rsid w:val="00B6555B"/>
    <w:rsid w:val="00B65845"/>
    <w:rsid w:val="00B658E4"/>
    <w:rsid w:val="00B65995"/>
    <w:rsid w:val="00B65B8A"/>
    <w:rsid w:val="00B66DED"/>
    <w:rsid w:val="00B66FB3"/>
    <w:rsid w:val="00B671A5"/>
    <w:rsid w:val="00B673E0"/>
    <w:rsid w:val="00B674D8"/>
    <w:rsid w:val="00B675DB"/>
    <w:rsid w:val="00B675EF"/>
    <w:rsid w:val="00B676A2"/>
    <w:rsid w:val="00B676F6"/>
    <w:rsid w:val="00B67790"/>
    <w:rsid w:val="00B67B55"/>
    <w:rsid w:val="00B67B5F"/>
    <w:rsid w:val="00B67DE6"/>
    <w:rsid w:val="00B67E4E"/>
    <w:rsid w:val="00B67E66"/>
    <w:rsid w:val="00B67ED8"/>
    <w:rsid w:val="00B7014F"/>
    <w:rsid w:val="00B701AD"/>
    <w:rsid w:val="00B70455"/>
    <w:rsid w:val="00B7051B"/>
    <w:rsid w:val="00B70525"/>
    <w:rsid w:val="00B70747"/>
    <w:rsid w:val="00B70772"/>
    <w:rsid w:val="00B70A87"/>
    <w:rsid w:val="00B70D43"/>
    <w:rsid w:val="00B70FA1"/>
    <w:rsid w:val="00B711F9"/>
    <w:rsid w:val="00B71224"/>
    <w:rsid w:val="00B71530"/>
    <w:rsid w:val="00B71A1E"/>
    <w:rsid w:val="00B71D50"/>
    <w:rsid w:val="00B71D8B"/>
    <w:rsid w:val="00B72004"/>
    <w:rsid w:val="00B72548"/>
    <w:rsid w:val="00B72582"/>
    <w:rsid w:val="00B72A54"/>
    <w:rsid w:val="00B72B22"/>
    <w:rsid w:val="00B72B6C"/>
    <w:rsid w:val="00B72CC7"/>
    <w:rsid w:val="00B72F7E"/>
    <w:rsid w:val="00B72F83"/>
    <w:rsid w:val="00B73C32"/>
    <w:rsid w:val="00B73C4A"/>
    <w:rsid w:val="00B73DBD"/>
    <w:rsid w:val="00B73DF8"/>
    <w:rsid w:val="00B73F52"/>
    <w:rsid w:val="00B742C5"/>
    <w:rsid w:val="00B74352"/>
    <w:rsid w:val="00B74471"/>
    <w:rsid w:val="00B74647"/>
    <w:rsid w:val="00B7475E"/>
    <w:rsid w:val="00B747F7"/>
    <w:rsid w:val="00B74CA2"/>
    <w:rsid w:val="00B74EC8"/>
    <w:rsid w:val="00B74F18"/>
    <w:rsid w:val="00B751E9"/>
    <w:rsid w:val="00B75657"/>
    <w:rsid w:val="00B75827"/>
    <w:rsid w:val="00B75A4E"/>
    <w:rsid w:val="00B75DC9"/>
    <w:rsid w:val="00B75EEA"/>
    <w:rsid w:val="00B76283"/>
    <w:rsid w:val="00B76559"/>
    <w:rsid w:val="00B7685E"/>
    <w:rsid w:val="00B76D1A"/>
    <w:rsid w:val="00B76F80"/>
    <w:rsid w:val="00B77113"/>
    <w:rsid w:val="00B7751C"/>
    <w:rsid w:val="00B7752B"/>
    <w:rsid w:val="00B77562"/>
    <w:rsid w:val="00B77626"/>
    <w:rsid w:val="00B77832"/>
    <w:rsid w:val="00B778F0"/>
    <w:rsid w:val="00B77B0D"/>
    <w:rsid w:val="00B77B79"/>
    <w:rsid w:val="00B77F74"/>
    <w:rsid w:val="00B80065"/>
    <w:rsid w:val="00B802CA"/>
    <w:rsid w:val="00B806F6"/>
    <w:rsid w:val="00B807E4"/>
    <w:rsid w:val="00B807F6"/>
    <w:rsid w:val="00B808C7"/>
    <w:rsid w:val="00B809A1"/>
    <w:rsid w:val="00B80BA0"/>
    <w:rsid w:val="00B810D4"/>
    <w:rsid w:val="00B8131B"/>
    <w:rsid w:val="00B814A0"/>
    <w:rsid w:val="00B816C1"/>
    <w:rsid w:val="00B81926"/>
    <w:rsid w:val="00B8195D"/>
    <w:rsid w:val="00B81B71"/>
    <w:rsid w:val="00B81C90"/>
    <w:rsid w:val="00B820F0"/>
    <w:rsid w:val="00B82244"/>
    <w:rsid w:val="00B8251F"/>
    <w:rsid w:val="00B825CF"/>
    <w:rsid w:val="00B82652"/>
    <w:rsid w:val="00B8271A"/>
    <w:rsid w:val="00B8284C"/>
    <w:rsid w:val="00B82903"/>
    <w:rsid w:val="00B82956"/>
    <w:rsid w:val="00B82A42"/>
    <w:rsid w:val="00B82B4C"/>
    <w:rsid w:val="00B82EAE"/>
    <w:rsid w:val="00B83168"/>
    <w:rsid w:val="00B83293"/>
    <w:rsid w:val="00B835F1"/>
    <w:rsid w:val="00B83671"/>
    <w:rsid w:val="00B8374D"/>
    <w:rsid w:val="00B83F77"/>
    <w:rsid w:val="00B84018"/>
    <w:rsid w:val="00B84320"/>
    <w:rsid w:val="00B846C9"/>
    <w:rsid w:val="00B84855"/>
    <w:rsid w:val="00B8489B"/>
    <w:rsid w:val="00B8499D"/>
    <w:rsid w:val="00B849BD"/>
    <w:rsid w:val="00B84D24"/>
    <w:rsid w:val="00B85087"/>
    <w:rsid w:val="00B850FB"/>
    <w:rsid w:val="00B8526F"/>
    <w:rsid w:val="00B85368"/>
    <w:rsid w:val="00B854BB"/>
    <w:rsid w:val="00B855C6"/>
    <w:rsid w:val="00B8598C"/>
    <w:rsid w:val="00B85EDC"/>
    <w:rsid w:val="00B85FD5"/>
    <w:rsid w:val="00B86067"/>
    <w:rsid w:val="00B86268"/>
    <w:rsid w:val="00B8629F"/>
    <w:rsid w:val="00B86305"/>
    <w:rsid w:val="00B86309"/>
    <w:rsid w:val="00B8637D"/>
    <w:rsid w:val="00B866E2"/>
    <w:rsid w:val="00B8679B"/>
    <w:rsid w:val="00B867A0"/>
    <w:rsid w:val="00B869DE"/>
    <w:rsid w:val="00B86C68"/>
    <w:rsid w:val="00B86CC4"/>
    <w:rsid w:val="00B86E8E"/>
    <w:rsid w:val="00B86EF0"/>
    <w:rsid w:val="00B870A6"/>
    <w:rsid w:val="00B870EB"/>
    <w:rsid w:val="00B8723A"/>
    <w:rsid w:val="00B873A0"/>
    <w:rsid w:val="00B87405"/>
    <w:rsid w:val="00B87DA3"/>
    <w:rsid w:val="00B87E4E"/>
    <w:rsid w:val="00B87EBE"/>
    <w:rsid w:val="00B87EFE"/>
    <w:rsid w:val="00B90284"/>
    <w:rsid w:val="00B90330"/>
    <w:rsid w:val="00B9048B"/>
    <w:rsid w:val="00B90967"/>
    <w:rsid w:val="00B909C1"/>
    <w:rsid w:val="00B90A19"/>
    <w:rsid w:val="00B90F2A"/>
    <w:rsid w:val="00B91028"/>
    <w:rsid w:val="00B9129F"/>
    <w:rsid w:val="00B9150B"/>
    <w:rsid w:val="00B9155F"/>
    <w:rsid w:val="00B918A1"/>
    <w:rsid w:val="00B91AF6"/>
    <w:rsid w:val="00B91DBE"/>
    <w:rsid w:val="00B91EE1"/>
    <w:rsid w:val="00B92169"/>
    <w:rsid w:val="00B921BA"/>
    <w:rsid w:val="00B92313"/>
    <w:rsid w:val="00B923E9"/>
    <w:rsid w:val="00B9251D"/>
    <w:rsid w:val="00B92890"/>
    <w:rsid w:val="00B928E3"/>
    <w:rsid w:val="00B92B00"/>
    <w:rsid w:val="00B92BC6"/>
    <w:rsid w:val="00B92E92"/>
    <w:rsid w:val="00B9316C"/>
    <w:rsid w:val="00B9334E"/>
    <w:rsid w:val="00B93437"/>
    <w:rsid w:val="00B93498"/>
    <w:rsid w:val="00B936FA"/>
    <w:rsid w:val="00B93779"/>
    <w:rsid w:val="00B93882"/>
    <w:rsid w:val="00B93947"/>
    <w:rsid w:val="00B93C7D"/>
    <w:rsid w:val="00B93D4D"/>
    <w:rsid w:val="00B93DB0"/>
    <w:rsid w:val="00B9406F"/>
    <w:rsid w:val="00B940F7"/>
    <w:rsid w:val="00B9430B"/>
    <w:rsid w:val="00B94411"/>
    <w:rsid w:val="00B94528"/>
    <w:rsid w:val="00B94912"/>
    <w:rsid w:val="00B94B44"/>
    <w:rsid w:val="00B94D9E"/>
    <w:rsid w:val="00B94E35"/>
    <w:rsid w:val="00B94EE2"/>
    <w:rsid w:val="00B9556B"/>
    <w:rsid w:val="00B956E9"/>
    <w:rsid w:val="00B957BF"/>
    <w:rsid w:val="00B95816"/>
    <w:rsid w:val="00B958A8"/>
    <w:rsid w:val="00B9596C"/>
    <w:rsid w:val="00B95D69"/>
    <w:rsid w:val="00B95DF1"/>
    <w:rsid w:val="00B95E03"/>
    <w:rsid w:val="00B95ED4"/>
    <w:rsid w:val="00B962D3"/>
    <w:rsid w:val="00B965FD"/>
    <w:rsid w:val="00B966FE"/>
    <w:rsid w:val="00B9670D"/>
    <w:rsid w:val="00B967D4"/>
    <w:rsid w:val="00B969C8"/>
    <w:rsid w:val="00B96A2D"/>
    <w:rsid w:val="00B96A34"/>
    <w:rsid w:val="00B96C5C"/>
    <w:rsid w:val="00B96EC1"/>
    <w:rsid w:val="00B976DE"/>
    <w:rsid w:val="00B97974"/>
    <w:rsid w:val="00B97CC7"/>
    <w:rsid w:val="00B97F1D"/>
    <w:rsid w:val="00BA02B6"/>
    <w:rsid w:val="00BA0412"/>
    <w:rsid w:val="00BA09DD"/>
    <w:rsid w:val="00BA0A91"/>
    <w:rsid w:val="00BA0D5E"/>
    <w:rsid w:val="00BA108F"/>
    <w:rsid w:val="00BA121E"/>
    <w:rsid w:val="00BA125B"/>
    <w:rsid w:val="00BA15EA"/>
    <w:rsid w:val="00BA190B"/>
    <w:rsid w:val="00BA1A39"/>
    <w:rsid w:val="00BA1AD2"/>
    <w:rsid w:val="00BA21D6"/>
    <w:rsid w:val="00BA2678"/>
    <w:rsid w:val="00BA272A"/>
    <w:rsid w:val="00BA27BE"/>
    <w:rsid w:val="00BA2B01"/>
    <w:rsid w:val="00BA2B69"/>
    <w:rsid w:val="00BA2F20"/>
    <w:rsid w:val="00BA365E"/>
    <w:rsid w:val="00BA3AF7"/>
    <w:rsid w:val="00BA3B2F"/>
    <w:rsid w:val="00BA3E0E"/>
    <w:rsid w:val="00BA40CD"/>
    <w:rsid w:val="00BA40E1"/>
    <w:rsid w:val="00BA412D"/>
    <w:rsid w:val="00BA4170"/>
    <w:rsid w:val="00BA43F5"/>
    <w:rsid w:val="00BA44B4"/>
    <w:rsid w:val="00BA44C0"/>
    <w:rsid w:val="00BA45C0"/>
    <w:rsid w:val="00BA4B3D"/>
    <w:rsid w:val="00BA4C18"/>
    <w:rsid w:val="00BA4C55"/>
    <w:rsid w:val="00BA501F"/>
    <w:rsid w:val="00BA52CB"/>
    <w:rsid w:val="00BA54FB"/>
    <w:rsid w:val="00BA5657"/>
    <w:rsid w:val="00BA5B05"/>
    <w:rsid w:val="00BA5E23"/>
    <w:rsid w:val="00BA5ECB"/>
    <w:rsid w:val="00BA60B8"/>
    <w:rsid w:val="00BA626B"/>
    <w:rsid w:val="00BA66CA"/>
    <w:rsid w:val="00BA67A3"/>
    <w:rsid w:val="00BA67D8"/>
    <w:rsid w:val="00BA6867"/>
    <w:rsid w:val="00BA69BD"/>
    <w:rsid w:val="00BA6DD6"/>
    <w:rsid w:val="00BA6EA0"/>
    <w:rsid w:val="00BA6EEF"/>
    <w:rsid w:val="00BA6FF2"/>
    <w:rsid w:val="00BA7388"/>
    <w:rsid w:val="00BA77ED"/>
    <w:rsid w:val="00BA7815"/>
    <w:rsid w:val="00BA7A33"/>
    <w:rsid w:val="00BA7CC9"/>
    <w:rsid w:val="00BA7EB1"/>
    <w:rsid w:val="00BA7F05"/>
    <w:rsid w:val="00BA7FA6"/>
    <w:rsid w:val="00BB0036"/>
    <w:rsid w:val="00BB0935"/>
    <w:rsid w:val="00BB0944"/>
    <w:rsid w:val="00BB0BC8"/>
    <w:rsid w:val="00BB0DBA"/>
    <w:rsid w:val="00BB1774"/>
    <w:rsid w:val="00BB18F3"/>
    <w:rsid w:val="00BB1932"/>
    <w:rsid w:val="00BB1B78"/>
    <w:rsid w:val="00BB1C6D"/>
    <w:rsid w:val="00BB1CA9"/>
    <w:rsid w:val="00BB1DBD"/>
    <w:rsid w:val="00BB1DE5"/>
    <w:rsid w:val="00BB1EA7"/>
    <w:rsid w:val="00BB204D"/>
    <w:rsid w:val="00BB234A"/>
    <w:rsid w:val="00BB246E"/>
    <w:rsid w:val="00BB2743"/>
    <w:rsid w:val="00BB2830"/>
    <w:rsid w:val="00BB28D7"/>
    <w:rsid w:val="00BB2B09"/>
    <w:rsid w:val="00BB2E58"/>
    <w:rsid w:val="00BB337F"/>
    <w:rsid w:val="00BB396B"/>
    <w:rsid w:val="00BB3E64"/>
    <w:rsid w:val="00BB3F49"/>
    <w:rsid w:val="00BB4151"/>
    <w:rsid w:val="00BB415F"/>
    <w:rsid w:val="00BB426A"/>
    <w:rsid w:val="00BB4311"/>
    <w:rsid w:val="00BB4581"/>
    <w:rsid w:val="00BB4610"/>
    <w:rsid w:val="00BB4835"/>
    <w:rsid w:val="00BB4892"/>
    <w:rsid w:val="00BB49AB"/>
    <w:rsid w:val="00BB49FE"/>
    <w:rsid w:val="00BB4B7B"/>
    <w:rsid w:val="00BB4C97"/>
    <w:rsid w:val="00BB4E7D"/>
    <w:rsid w:val="00BB4EC1"/>
    <w:rsid w:val="00BB4F7D"/>
    <w:rsid w:val="00BB4FD0"/>
    <w:rsid w:val="00BB5200"/>
    <w:rsid w:val="00BB52D1"/>
    <w:rsid w:val="00BB53B3"/>
    <w:rsid w:val="00BB56D6"/>
    <w:rsid w:val="00BB5713"/>
    <w:rsid w:val="00BB575E"/>
    <w:rsid w:val="00BB5AAC"/>
    <w:rsid w:val="00BB5D9E"/>
    <w:rsid w:val="00BB5EC7"/>
    <w:rsid w:val="00BB6008"/>
    <w:rsid w:val="00BB63B8"/>
    <w:rsid w:val="00BB6A2B"/>
    <w:rsid w:val="00BB6A8F"/>
    <w:rsid w:val="00BB6B5E"/>
    <w:rsid w:val="00BB6E46"/>
    <w:rsid w:val="00BB6F7A"/>
    <w:rsid w:val="00BB719D"/>
    <w:rsid w:val="00BB71BF"/>
    <w:rsid w:val="00BB7507"/>
    <w:rsid w:val="00BB76A8"/>
    <w:rsid w:val="00BB774F"/>
    <w:rsid w:val="00BB7A6D"/>
    <w:rsid w:val="00BB7AA7"/>
    <w:rsid w:val="00BB7C74"/>
    <w:rsid w:val="00BB7E36"/>
    <w:rsid w:val="00BB7FCB"/>
    <w:rsid w:val="00BC0096"/>
    <w:rsid w:val="00BC084B"/>
    <w:rsid w:val="00BC0AB9"/>
    <w:rsid w:val="00BC0BF9"/>
    <w:rsid w:val="00BC0BFB"/>
    <w:rsid w:val="00BC0C10"/>
    <w:rsid w:val="00BC0CBD"/>
    <w:rsid w:val="00BC0FE2"/>
    <w:rsid w:val="00BC0FFE"/>
    <w:rsid w:val="00BC1352"/>
    <w:rsid w:val="00BC1A69"/>
    <w:rsid w:val="00BC1A8D"/>
    <w:rsid w:val="00BC1C5A"/>
    <w:rsid w:val="00BC1D90"/>
    <w:rsid w:val="00BC1EF5"/>
    <w:rsid w:val="00BC1F72"/>
    <w:rsid w:val="00BC1FF8"/>
    <w:rsid w:val="00BC25B3"/>
    <w:rsid w:val="00BC2686"/>
    <w:rsid w:val="00BC2715"/>
    <w:rsid w:val="00BC2785"/>
    <w:rsid w:val="00BC2A25"/>
    <w:rsid w:val="00BC2C45"/>
    <w:rsid w:val="00BC2EFA"/>
    <w:rsid w:val="00BC33C1"/>
    <w:rsid w:val="00BC3A72"/>
    <w:rsid w:val="00BC3B1F"/>
    <w:rsid w:val="00BC3CAE"/>
    <w:rsid w:val="00BC3D1F"/>
    <w:rsid w:val="00BC3E72"/>
    <w:rsid w:val="00BC40E5"/>
    <w:rsid w:val="00BC4220"/>
    <w:rsid w:val="00BC435B"/>
    <w:rsid w:val="00BC44FE"/>
    <w:rsid w:val="00BC495A"/>
    <w:rsid w:val="00BC4A84"/>
    <w:rsid w:val="00BC4F4F"/>
    <w:rsid w:val="00BC5083"/>
    <w:rsid w:val="00BC5284"/>
    <w:rsid w:val="00BC54EB"/>
    <w:rsid w:val="00BC56F5"/>
    <w:rsid w:val="00BC613F"/>
    <w:rsid w:val="00BC6179"/>
    <w:rsid w:val="00BC643B"/>
    <w:rsid w:val="00BC6539"/>
    <w:rsid w:val="00BC670B"/>
    <w:rsid w:val="00BC6D51"/>
    <w:rsid w:val="00BC6EA9"/>
    <w:rsid w:val="00BC6F5B"/>
    <w:rsid w:val="00BC6F6C"/>
    <w:rsid w:val="00BC7296"/>
    <w:rsid w:val="00BC72D4"/>
    <w:rsid w:val="00BC72F4"/>
    <w:rsid w:val="00BC7389"/>
    <w:rsid w:val="00BC7413"/>
    <w:rsid w:val="00BC74E7"/>
    <w:rsid w:val="00BC7A9A"/>
    <w:rsid w:val="00BC7EE0"/>
    <w:rsid w:val="00BD0261"/>
    <w:rsid w:val="00BD046B"/>
    <w:rsid w:val="00BD0475"/>
    <w:rsid w:val="00BD0538"/>
    <w:rsid w:val="00BD075E"/>
    <w:rsid w:val="00BD0BB5"/>
    <w:rsid w:val="00BD125C"/>
    <w:rsid w:val="00BD1398"/>
    <w:rsid w:val="00BD151E"/>
    <w:rsid w:val="00BD1570"/>
    <w:rsid w:val="00BD15AB"/>
    <w:rsid w:val="00BD15EB"/>
    <w:rsid w:val="00BD1B9C"/>
    <w:rsid w:val="00BD1DA9"/>
    <w:rsid w:val="00BD1DAC"/>
    <w:rsid w:val="00BD1F1A"/>
    <w:rsid w:val="00BD1F66"/>
    <w:rsid w:val="00BD1F78"/>
    <w:rsid w:val="00BD24BB"/>
    <w:rsid w:val="00BD2591"/>
    <w:rsid w:val="00BD261D"/>
    <w:rsid w:val="00BD26FF"/>
    <w:rsid w:val="00BD27A4"/>
    <w:rsid w:val="00BD2842"/>
    <w:rsid w:val="00BD288A"/>
    <w:rsid w:val="00BD2D92"/>
    <w:rsid w:val="00BD32D1"/>
    <w:rsid w:val="00BD3404"/>
    <w:rsid w:val="00BD3460"/>
    <w:rsid w:val="00BD35F4"/>
    <w:rsid w:val="00BD376F"/>
    <w:rsid w:val="00BD38E5"/>
    <w:rsid w:val="00BD39AB"/>
    <w:rsid w:val="00BD3D34"/>
    <w:rsid w:val="00BD406B"/>
    <w:rsid w:val="00BD46BB"/>
    <w:rsid w:val="00BD4BA7"/>
    <w:rsid w:val="00BD4D65"/>
    <w:rsid w:val="00BD4E5D"/>
    <w:rsid w:val="00BD5040"/>
    <w:rsid w:val="00BD5256"/>
    <w:rsid w:val="00BD5266"/>
    <w:rsid w:val="00BD5470"/>
    <w:rsid w:val="00BD581C"/>
    <w:rsid w:val="00BD5867"/>
    <w:rsid w:val="00BD58FB"/>
    <w:rsid w:val="00BD5B21"/>
    <w:rsid w:val="00BD5B96"/>
    <w:rsid w:val="00BD5FBD"/>
    <w:rsid w:val="00BD61B3"/>
    <w:rsid w:val="00BD6697"/>
    <w:rsid w:val="00BD6879"/>
    <w:rsid w:val="00BD688A"/>
    <w:rsid w:val="00BD69A6"/>
    <w:rsid w:val="00BD6AC7"/>
    <w:rsid w:val="00BD6CC3"/>
    <w:rsid w:val="00BD6DA9"/>
    <w:rsid w:val="00BD6E16"/>
    <w:rsid w:val="00BD6F0F"/>
    <w:rsid w:val="00BD7116"/>
    <w:rsid w:val="00BD782C"/>
    <w:rsid w:val="00BD78E0"/>
    <w:rsid w:val="00BD7C14"/>
    <w:rsid w:val="00BD7D30"/>
    <w:rsid w:val="00BD7E5D"/>
    <w:rsid w:val="00BD7FB3"/>
    <w:rsid w:val="00BE0053"/>
    <w:rsid w:val="00BE0143"/>
    <w:rsid w:val="00BE026C"/>
    <w:rsid w:val="00BE03FA"/>
    <w:rsid w:val="00BE0503"/>
    <w:rsid w:val="00BE0558"/>
    <w:rsid w:val="00BE0835"/>
    <w:rsid w:val="00BE0A74"/>
    <w:rsid w:val="00BE0AFF"/>
    <w:rsid w:val="00BE0DEA"/>
    <w:rsid w:val="00BE0F54"/>
    <w:rsid w:val="00BE11B2"/>
    <w:rsid w:val="00BE11E7"/>
    <w:rsid w:val="00BE1B5D"/>
    <w:rsid w:val="00BE1C78"/>
    <w:rsid w:val="00BE1D63"/>
    <w:rsid w:val="00BE1DD3"/>
    <w:rsid w:val="00BE2019"/>
    <w:rsid w:val="00BE26F1"/>
    <w:rsid w:val="00BE278E"/>
    <w:rsid w:val="00BE2925"/>
    <w:rsid w:val="00BE2DAE"/>
    <w:rsid w:val="00BE332B"/>
    <w:rsid w:val="00BE35F0"/>
    <w:rsid w:val="00BE3850"/>
    <w:rsid w:val="00BE40BF"/>
    <w:rsid w:val="00BE423F"/>
    <w:rsid w:val="00BE427E"/>
    <w:rsid w:val="00BE454D"/>
    <w:rsid w:val="00BE45D6"/>
    <w:rsid w:val="00BE4697"/>
    <w:rsid w:val="00BE4F62"/>
    <w:rsid w:val="00BE50AA"/>
    <w:rsid w:val="00BE5B3A"/>
    <w:rsid w:val="00BE5DC7"/>
    <w:rsid w:val="00BE5E13"/>
    <w:rsid w:val="00BE5F73"/>
    <w:rsid w:val="00BE6184"/>
    <w:rsid w:val="00BE66F2"/>
    <w:rsid w:val="00BE6793"/>
    <w:rsid w:val="00BE67D7"/>
    <w:rsid w:val="00BE7061"/>
    <w:rsid w:val="00BE707C"/>
    <w:rsid w:val="00BE7297"/>
    <w:rsid w:val="00BE7512"/>
    <w:rsid w:val="00BE7687"/>
    <w:rsid w:val="00BE77BA"/>
    <w:rsid w:val="00BE7815"/>
    <w:rsid w:val="00BE785D"/>
    <w:rsid w:val="00BE7A7E"/>
    <w:rsid w:val="00BE7E84"/>
    <w:rsid w:val="00BF00E0"/>
    <w:rsid w:val="00BF0271"/>
    <w:rsid w:val="00BF09A6"/>
    <w:rsid w:val="00BF0C3C"/>
    <w:rsid w:val="00BF0C95"/>
    <w:rsid w:val="00BF0CE4"/>
    <w:rsid w:val="00BF0DE1"/>
    <w:rsid w:val="00BF0F62"/>
    <w:rsid w:val="00BF130F"/>
    <w:rsid w:val="00BF1352"/>
    <w:rsid w:val="00BF164D"/>
    <w:rsid w:val="00BF1792"/>
    <w:rsid w:val="00BF1830"/>
    <w:rsid w:val="00BF19A5"/>
    <w:rsid w:val="00BF19EB"/>
    <w:rsid w:val="00BF1A25"/>
    <w:rsid w:val="00BF1AB5"/>
    <w:rsid w:val="00BF1AFD"/>
    <w:rsid w:val="00BF1B3C"/>
    <w:rsid w:val="00BF1D68"/>
    <w:rsid w:val="00BF1F3D"/>
    <w:rsid w:val="00BF1FD5"/>
    <w:rsid w:val="00BF24C2"/>
    <w:rsid w:val="00BF27C3"/>
    <w:rsid w:val="00BF2AB2"/>
    <w:rsid w:val="00BF30F1"/>
    <w:rsid w:val="00BF33C4"/>
    <w:rsid w:val="00BF363B"/>
    <w:rsid w:val="00BF385C"/>
    <w:rsid w:val="00BF3ACC"/>
    <w:rsid w:val="00BF3C59"/>
    <w:rsid w:val="00BF3EED"/>
    <w:rsid w:val="00BF3FA8"/>
    <w:rsid w:val="00BF414C"/>
    <w:rsid w:val="00BF4528"/>
    <w:rsid w:val="00BF455A"/>
    <w:rsid w:val="00BF470E"/>
    <w:rsid w:val="00BF4979"/>
    <w:rsid w:val="00BF4D68"/>
    <w:rsid w:val="00BF4FEB"/>
    <w:rsid w:val="00BF50AE"/>
    <w:rsid w:val="00BF5173"/>
    <w:rsid w:val="00BF576F"/>
    <w:rsid w:val="00BF5ABE"/>
    <w:rsid w:val="00BF5B3C"/>
    <w:rsid w:val="00BF5B9A"/>
    <w:rsid w:val="00BF5EB7"/>
    <w:rsid w:val="00BF640E"/>
    <w:rsid w:val="00BF6535"/>
    <w:rsid w:val="00BF677F"/>
    <w:rsid w:val="00BF69D1"/>
    <w:rsid w:val="00BF6AF6"/>
    <w:rsid w:val="00BF6CD5"/>
    <w:rsid w:val="00BF70EC"/>
    <w:rsid w:val="00BF7222"/>
    <w:rsid w:val="00BF7651"/>
    <w:rsid w:val="00BF76AF"/>
    <w:rsid w:val="00BF779E"/>
    <w:rsid w:val="00BF782C"/>
    <w:rsid w:val="00BF796C"/>
    <w:rsid w:val="00BF7AC5"/>
    <w:rsid w:val="00BF7BD4"/>
    <w:rsid w:val="00BF7C3A"/>
    <w:rsid w:val="00BF7CF3"/>
    <w:rsid w:val="00BF7EA3"/>
    <w:rsid w:val="00BF7EEE"/>
    <w:rsid w:val="00BF7F05"/>
    <w:rsid w:val="00BF7FDC"/>
    <w:rsid w:val="00C0023B"/>
    <w:rsid w:val="00C004B5"/>
    <w:rsid w:val="00C00685"/>
    <w:rsid w:val="00C008A7"/>
    <w:rsid w:val="00C00A51"/>
    <w:rsid w:val="00C00DA2"/>
    <w:rsid w:val="00C00DDF"/>
    <w:rsid w:val="00C0115A"/>
    <w:rsid w:val="00C01322"/>
    <w:rsid w:val="00C0152B"/>
    <w:rsid w:val="00C0172D"/>
    <w:rsid w:val="00C0193E"/>
    <w:rsid w:val="00C021F3"/>
    <w:rsid w:val="00C0275B"/>
    <w:rsid w:val="00C02AEC"/>
    <w:rsid w:val="00C02D6E"/>
    <w:rsid w:val="00C02E1D"/>
    <w:rsid w:val="00C02E5A"/>
    <w:rsid w:val="00C02F75"/>
    <w:rsid w:val="00C0322F"/>
    <w:rsid w:val="00C0375E"/>
    <w:rsid w:val="00C03792"/>
    <w:rsid w:val="00C03EBA"/>
    <w:rsid w:val="00C03F47"/>
    <w:rsid w:val="00C0432E"/>
    <w:rsid w:val="00C046BD"/>
    <w:rsid w:val="00C04766"/>
    <w:rsid w:val="00C0483B"/>
    <w:rsid w:val="00C049EC"/>
    <w:rsid w:val="00C04A93"/>
    <w:rsid w:val="00C04DEE"/>
    <w:rsid w:val="00C04DFE"/>
    <w:rsid w:val="00C04F44"/>
    <w:rsid w:val="00C05169"/>
    <w:rsid w:val="00C051AC"/>
    <w:rsid w:val="00C05262"/>
    <w:rsid w:val="00C0553C"/>
    <w:rsid w:val="00C059E7"/>
    <w:rsid w:val="00C05F14"/>
    <w:rsid w:val="00C0630D"/>
    <w:rsid w:val="00C06428"/>
    <w:rsid w:val="00C06436"/>
    <w:rsid w:val="00C064E8"/>
    <w:rsid w:val="00C06636"/>
    <w:rsid w:val="00C06B4D"/>
    <w:rsid w:val="00C06EEA"/>
    <w:rsid w:val="00C0701A"/>
    <w:rsid w:val="00C071B0"/>
    <w:rsid w:val="00C073D9"/>
    <w:rsid w:val="00C0741B"/>
    <w:rsid w:val="00C075D8"/>
    <w:rsid w:val="00C07629"/>
    <w:rsid w:val="00C07640"/>
    <w:rsid w:val="00C0777C"/>
    <w:rsid w:val="00C079D9"/>
    <w:rsid w:val="00C07DD1"/>
    <w:rsid w:val="00C07EBE"/>
    <w:rsid w:val="00C07F5F"/>
    <w:rsid w:val="00C1015C"/>
    <w:rsid w:val="00C10380"/>
    <w:rsid w:val="00C1039D"/>
    <w:rsid w:val="00C1042B"/>
    <w:rsid w:val="00C10463"/>
    <w:rsid w:val="00C1061C"/>
    <w:rsid w:val="00C10796"/>
    <w:rsid w:val="00C108FB"/>
    <w:rsid w:val="00C109AA"/>
    <w:rsid w:val="00C10AAB"/>
    <w:rsid w:val="00C10F5A"/>
    <w:rsid w:val="00C114C3"/>
    <w:rsid w:val="00C11666"/>
    <w:rsid w:val="00C11ADE"/>
    <w:rsid w:val="00C11D11"/>
    <w:rsid w:val="00C11DC4"/>
    <w:rsid w:val="00C11F29"/>
    <w:rsid w:val="00C11F31"/>
    <w:rsid w:val="00C11FF6"/>
    <w:rsid w:val="00C12032"/>
    <w:rsid w:val="00C12190"/>
    <w:rsid w:val="00C12217"/>
    <w:rsid w:val="00C12428"/>
    <w:rsid w:val="00C1295C"/>
    <w:rsid w:val="00C12962"/>
    <w:rsid w:val="00C12B8F"/>
    <w:rsid w:val="00C12F43"/>
    <w:rsid w:val="00C1333D"/>
    <w:rsid w:val="00C134A5"/>
    <w:rsid w:val="00C136BB"/>
    <w:rsid w:val="00C1372A"/>
    <w:rsid w:val="00C14066"/>
    <w:rsid w:val="00C1442B"/>
    <w:rsid w:val="00C1450B"/>
    <w:rsid w:val="00C14525"/>
    <w:rsid w:val="00C147B7"/>
    <w:rsid w:val="00C14818"/>
    <w:rsid w:val="00C1490C"/>
    <w:rsid w:val="00C14E8A"/>
    <w:rsid w:val="00C14F4E"/>
    <w:rsid w:val="00C14F89"/>
    <w:rsid w:val="00C151C3"/>
    <w:rsid w:val="00C153D7"/>
    <w:rsid w:val="00C153F8"/>
    <w:rsid w:val="00C154CF"/>
    <w:rsid w:val="00C15622"/>
    <w:rsid w:val="00C16044"/>
    <w:rsid w:val="00C16414"/>
    <w:rsid w:val="00C1653A"/>
    <w:rsid w:val="00C16A50"/>
    <w:rsid w:val="00C16D3D"/>
    <w:rsid w:val="00C16E0A"/>
    <w:rsid w:val="00C174C3"/>
    <w:rsid w:val="00C17680"/>
    <w:rsid w:val="00C177B6"/>
    <w:rsid w:val="00C17FAC"/>
    <w:rsid w:val="00C202E1"/>
    <w:rsid w:val="00C202FB"/>
    <w:rsid w:val="00C20604"/>
    <w:rsid w:val="00C2079D"/>
    <w:rsid w:val="00C20852"/>
    <w:rsid w:val="00C2086A"/>
    <w:rsid w:val="00C20928"/>
    <w:rsid w:val="00C2094C"/>
    <w:rsid w:val="00C20A30"/>
    <w:rsid w:val="00C20B85"/>
    <w:rsid w:val="00C20C1A"/>
    <w:rsid w:val="00C20C78"/>
    <w:rsid w:val="00C20D37"/>
    <w:rsid w:val="00C2100A"/>
    <w:rsid w:val="00C21070"/>
    <w:rsid w:val="00C213A4"/>
    <w:rsid w:val="00C2142C"/>
    <w:rsid w:val="00C216B5"/>
    <w:rsid w:val="00C2181D"/>
    <w:rsid w:val="00C21948"/>
    <w:rsid w:val="00C21E8B"/>
    <w:rsid w:val="00C22153"/>
    <w:rsid w:val="00C223A7"/>
    <w:rsid w:val="00C224E3"/>
    <w:rsid w:val="00C2271E"/>
    <w:rsid w:val="00C228A5"/>
    <w:rsid w:val="00C22933"/>
    <w:rsid w:val="00C22BAC"/>
    <w:rsid w:val="00C22BC7"/>
    <w:rsid w:val="00C22C69"/>
    <w:rsid w:val="00C22F02"/>
    <w:rsid w:val="00C22FBA"/>
    <w:rsid w:val="00C23218"/>
    <w:rsid w:val="00C23443"/>
    <w:rsid w:val="00C2379D"/>
    <w:rsid w:val="00C237B1"/>
    <w:rsid w:val="00C238B1"/>
    <w:rsid w:val="00C23A26"/>
    <w:rsid w:val="00C23D30"/>
    <w:rsid w:val="00C2403F"/>
    <w:rsid w:val="00C24308"/>
    <w:rsid w:val="00C244FE"/>
    <w:rsid w:val="00C24833"/>
    <w:rsid w:val="00C24EE5"/>
    <w:rsid w:val="00C24FCF"/>
    <w:rsid w:val="00C25063"/>
    <w:rsid w:val="00C250F9"/>
    <w:rsid w:val="00C251BB"/>
    <w:rsid w:val="00C253AB"/>
    <w:rsid w:val="00C2548B"/>
    <w:rsid w:val="00C25601"/>
    <w:rsid w:val="00C258AA"/>
    <w:rsid w:val="00C25B2B"/>
    <w:rsid w:val="00C25D66"/>
    <w:rsid w:val="00C25D71"/>
    <w:rsid w:val="00C25E24"/>
    <w:rsid w:val="00C25F9A"/>
    <w:rsid w:val="00C260CC"/>
    <w:rsid w:val="00C2624D"/>
    <w:rsid w:val="00C262D6"/>
    <w:rsid w:val="00C2633E"/>
    <w:rsid w:val="00C264FE"/>
    <w:rsid w:val="00C267F3"/>
    <w:rsid w:val="00C268A3"/>
    <w:rsid w:val="00C268FF"/>
    <w:rsid w:val="00C26B16"/>
    <w:rsid w:val="00C26E43"/>
    <w:rsid w:val="00C26E95"/>
    <w:rsid w:val="00C26F83"/>
    <w:rsid w:val="00C2788C"/>
    <w:rsid w:val="00C27A27"/>
    <w:rsid w:val="00C27B2D"/>
    <w:rsid w:val="00C27B5F"/>
    <w:rsid w:val="00C30118"/>
    <w:rsid w:val="00C302DD"/>
    <w:rsid w:val="00C303FE"/>
    <w:rsid w:val="00C306D9"/>
    <w:rsid w:val="00C30780"/>
    <w:rsid w:val="00C30C00"/>
    <w:rsid w:val="00C30CBE"/>
    <w:rsid w:val="00C30CEE"/>
    <w:rsid w:val="00C30E5D"/>
    <w:rsid w:val="00C30F81"/>
    <w:rsid w:val="00C30F86"/>
    <w:rsid w:val="00C312B3"/>
    <w:rsid w:val="00C312E8"/>
    <w:rsid w:val="00C313CE"/>
    <w:rsid w:val="00C314CA"/>
    <w:rsid w:val="00C31544"/>
    <w:rsid w:val="00C316B1"/>
    <w:rsid w:val="00C31777"/>
    <w:rsid w:val="00C31C7B"/>
    <w:rsid w:val="00C32007"/>
    <w:rsid w:val="00C320B3"/>
    <w:rsid w:val="00C320E5"/>
    <w:rsid w:val="00C322CE"/>
    <w:rsid w:val="00C324DE"/>
    <w:rsid w:val="00C32674"/>
    <w:rsid w:val="00C32B65"/>
    <w:rsid w:val="00C32DAA"/>
    <w:rsid w:val="00C32F7B"/>
    <w:rsid w:val="00C33435"/>
    <w:rsid w:val="00C3349A"/>
    <w:rsid w:val="00C33F9F"/>
    <w:rsid w:val="00C341AA"/>
    <w:rsid w:val="00C341F1"/>
    <w:rsid w:val="00C34247"/>
    <w:rsid w:val="00C34321"/>
    <w:rsid w:val="00C3455C"/>
    <w:rsid w:val="00C34645"/>
    <w:rsid w:val="00C34676"/>
    <w:rsid w:val="00C347B8"/>
    <w:rsid w:val="00C34EA7"/>
    <w:rsid w:val="00C354DA"/>
    <w:rsid w:val="00C35919"/>
    <w:rsid w:val="00C35C96"/>
    <w:rsid w:val="00C35D62"/>
    <w:rsid w:val="00C35E3B"/>
    <w:rsid w:val="00C35F40"/>
    <w:rsid w:val="00C36015"/>
    <w:rsid w:val="00C36529"/>
    <w:rsid w:val="00C36798"/>
    <w:rsid w:val="00C36945"/>
    <w:rsid w:val="00C36FA8"/>
    <w:rsid w:val="00C3701C"/>
    <w:rsid w:val="00C37213"/>
    <w:rsid w:val="00C372E0"/>
    <w:rsid w:val="00C378EF"/>
    <w:rsid w:val="00C37A1F"/>
    <w:rsid w:val="00C37AA4"/>
    <w:rsid w:val="00C37CFF"/>
    <w:rsid w:val="00C37D3A"/>
    <w:rsid w:val="00C37E68"/>
    <w:rsid w:val="00C40061"/>
    <w:rsid w:val="00C40558"/>
    <w:rsid w:val="00C40AD6"/>
    <w:rsid w:val="00C40BBA"/>
    <w:rsid w:val="00C40CFC"/>
    <w:rsid w:val="00C40D8D"/>
    <w:rsid w:val="00C40DE7"/>
    <w:rsid w:val="00C40EA5"/>
    <w:rsid w:val="00C40EF4"/>
    <w:rsid w:val="00C413AF"/>
    <w:rsid w:val="00C414BE"/>
    <w:rsid w:val="00C41A30"/>
    <w:rsid w:val="00C41C80"/>
    <w:rsid w:val="00C41F8B"/>
    <w:rsid w:val="00C42085"/>
    <w:rsid w:val="00C424E6"/>
    <w:rsid w:val="00C4277D"/>
    <w:rsid w:val="00C42822"/>
    <w:rsid w:val="00C42954"/>
    <w:rsid w:val="00C42BE3"/>
    <w:rsid w:val="00C42DE7"/>
    <w:rsid w:val="00C42F52"/>
    <w:rsid w:val="00C4333F"/>
    <w:rsid w:val="00C4341A"/>
    <w:rsid w:val="00C43565"/>
    <w:rsid w:val="00C43728"/>
    <w:rsid w:val="00C4440B"/>
    <w:rsid w:val="00C446E9"/>
    <w:rsid w:val="00C44813"/>
    <w:rsid w:val="00C44D21"/>
    <w:rsid w:val="00C450BC"/>
    <w:rsid w:val="00C4512A"/>
    <w:rsid w:val="00C451EE"/>
    <w:rsid w:val="00C45316"/>
    <w:rsid w:val="00C453ED"/>
    <w:rsid w:val="00C45535"/>
    <w:rsid w:val="00C4565E"/>
    <w:rsid w:val="00C4582B"/>
    <w:rsid w:val="00C4586C"/>
    <w:rsid w:val="00C45A73"/>
    <w:rsid w:val="00C45AB8"/>
    <w:rsid w:val="00C45AF8"/>
    <w:rsid w:val="00C45B8B"/>
    <w:rsid w:val="00C45EA3"/>
    <w:rsid w:val="00C45FFB"/>
    <w:rsid w:val="00C46127"/>
    <w:rsid w:val="00C46148"/>
    <w:rsid w:val="00C4629D"/>
    <w:rsid w:val="00C466D3"/>
    <w:rsid w:val="00C468C4"/>
    <w:rsid w:val="00C46BA2"/>
    <w:rsid w:val="00C46CD9"/>
    <w:rsid w:val="00C46E5B"/>
    <w:rsid w:val="00C472A0"/>
    <w:rsid w:val="00C472C8"/>
    <w:rsid w:val="00C476A9"/>
    <w:rsid w:val="00C47AD3"/>
    <w:rsid w:val="00C5021B"/>
    <w:rsid w:val="00C5048D"/>
    <w:rsid w:val="00C50516"/>
    <w:rsid w:val="00C506F8"/>
    <w:rsid w:val="00C50A12"/>
    <w:rsid w:val="00C50B53"/>
    <w:rsid w:val="00C50BE2"/>
    <w:rsid w:val="00C5127D"/>
    <w:rsid w:val="00C5158F"/>
    <w:rsid w:val="00C51655"/>
    <w:rsid w:val="00C517DA"/>
    <w:rsid w:val="00C51978"/>
    <w:rsid w:val="00C51994"/>
    <w:rsid w:val="00C51D34"/>
    <w:rsid w:val="00C5210E"/>
    <w:rsid w:val="00C521BE"/>
    <w:rsid w:val="00C52330"/>
    <w:rsid w:val="00C5245B"/>
    <w:rsid w:val="00C5254D"/>
    <w:rsid w:val="00C5265F"/>
    <w:rsid w:val="00C5275C"/>
    <w:rsid w:val="00C52AA6"/>
    <w:rsid w:val="00C52FD4"/>
    <w:rsid w:val="00C53426"/>
    <w:rsid w:val="00C53D22"/>
    <w:rsid w:val="00C53E0E"/>
    <w:rsid w:val="00C54283"/>
    <w:rsid w:val="00C543D0"/>
    <w:rsid w:val="00C547A4"/>
    <w:rsid w:val="00C54876"/>
    <w:rsid w:val="00C54939"/>
    <w:rsid w:val="00C5496C"/>
    <w:rsid w:val="00C5499C"/>
    <w:rsid w:val="00C54ADA"/>
    <w:rsid w:val="00C54E18"/>
    <w:rsid w:val="00C55595"/>
    <w:rsid w:val="00C55881"/>
    <w:rsid w:val="00C55A7C"/>
    <w:rsid w:val="00C55B03"/>
    <w:rsid w:val="00C55D87"/>
    <w:rsid w:val="00C5622C"/>
    <w:rsid w:val="00C56242"/>
    <w:rsid w:val="00C56323"/>
    <w:rsid w:val="00C5633F"/>
    <w:rsid w:val="00C564AC"/>
    <w:rsid w:val="00C56586"/>
    <w:rsid w:val="00C5662A"/>
    <w:rsid w:val="00C56FB8"/>
    <w:rsid w:val="00C5715E"/>
    <w:rsid w:val="00C571A6"/>
    <w:rsid w:val="00C571C6"/>
    <w:rsid w:val="00C57322"/>
    <w:rsid w:val="00C577B2"/>
    <w:rsid w:val="00C578D7"/>
    <w:rsid w:val="00C57A57"/>
    <w:rsid w:val="00C57E11"/>
    <w:rsid w:val="00C60254"/>
    <w:rsid w:val="00C603C8"/>
    <w:rsid w:val="00C6055C"/>
    <w:rsid w:val="00C6094E"/>
    <w:rsid w:val="00C60A90"/>
    <w:rsid w:val="00C60AA5"/>
    <w:rsid w:val="00C60D03"/>
    <w:rsid w:val="00C60D3D"/>
    <w:rsid w:val="00C610AD"/>
    <w:rsid w:val="00C61741"/>
    <w:rsid w:val="00C61AFE"/>
    <w:rsid w:val="00C61B82"/>
    <w:rsid w:val="00C61B8E"/>
    <w:rsid w:val="00C61EE0"/>
    <w:rsid w:val="00C61F37"/>
    <w:rsid w:val="00C61F95"/>
    <w:rsid w:val="00C620EA"/>
    <w:rsid w:val="00C62C03"/>
    <w:rsid w:val="00C62D3A"/>
    <w:rsid w:val="00C62DC8"/>
    <w:rsid w:val="00C62E2A"/>
    <w:rsid w:val="00C62EB6"/>
    <w:rsid w:val="00C63115"/>
    <w:rsid w:val="00C633A2"/>
    <w:rsid w:val="00C637FA"/>
    <w:rsid w:val="00C63B56"/>
    <w:rsid w:val="00C63B9A"/>
    <w:rsid w:val="00C63C11"/>
    <w:rsid w:val="00C63C9D"/>
    <w:rsid w:val="00C64C10"/>
    <w:rsid w:val="00C64D6F"/>
    <w:rsid w:val="00C64EBD"/>
    <w:rsid w:val="00C64FE1"/>
    <w:rsid w:val="00C6527E"/>
    <w:rsid w:val="00C6569C"/>
    <w:rsid w:val="00C658E3"/>
    <w:rsid w:val="00C65A4E"/>
    <w:rsid w:val="00C65B23"/>
    <w:rsid w:val="00C65DEC"/>
    <w:rsid w:val="00C65F23"/>
    <w:rsid w:val="00C66315"/>
    <w:rsid w:val="00C66422"/>
    <w:rsid w:val="00C66C53"/>
    <w:rsid w:val="00C66D41"/>
    <w:rsid w:val="00C66E3E"/>
    <w:rsid w:val="00C66EB8"/>
    <w:rsid w:val="00C671CE"/>
    <w:rsid w:val="00C673E4"/>
    <w:rsid w:val="00C67A46"/>
    <w:rsid w:val="00C67B33"/>
    <w:rsid w:val="00C67C29"/>
    <w:rsid w:val="00C67D64"/>
    <w:rsid w:val="00C70071"/>
    <w:rsid w:val="00C7017A"/>
    <w:rsid w:val="00C70260"/>
    <w:rsid w:val="00C702DB"/>
    <w:rsid w:val="00C70328"/>
    <w:rsid w:val="00C704F8"/>
    <w:rsid w:val="00C705D7"/>
    <w:rsid w:val="00C70B95"/>
    <w:rsid w:val="00C70E61"/>
    <w:rsid w:val="00C71728"/>
    <w:rsid w:val="00C71A69"/>
    <w:rsid w:val="00C71DB9"/>
    <w:rsid w:val="00C7201F"/>
    <w:rsid w:val="00C7228F"/>
    <w:rsid w:val="00C723AA"/>
    <w:rsid w:val="00C72753"/>
    <w:rsid w:val="00C72883"/>
    <w:rsid w:val="00C728C9"/>
    <w:rsid w:val="00C728DB"/>
    <w:rsid w:val="00C72C20"/>
    <w:rsid w:val="00C72FEA"/>
    <w:rsid w:val="00C73078"/>
    <w:rsid w:val="00C73096"/>
    <w:rsid w:val="00C732C7"/>
    <w:rsid w:val="00C7361A"/>
    <w:rsid w:val="00C737C6"/>
    <w:rsid w:val="00C7386F"/>
    <w:rsid w:val="00C73F28"/>
    <w:rsid w:val="00C7447A"/>
    <w:rsid w:val="00C7464B"/>
    <w:rsid w:val="00C74B0E"/>
    <w:rsid w:val="00C74BA4"/>
    <w:rsid w:val="00C74BF8"/>
    <w:rsid w:val="00C74DCE"/>
    <w:rsid w:val="00C75019"/>
    <w:rsid w:val="00C7556A"/>
    <w:rsid w:val="00C7566C"/>
    <w:rsid w:val="00C758DE"/>
    <w:rsid w:val="00C75B11"/>
    <w:rsid w:val="00C75B1E"/>
    <w:rsid w:val="00C75C71"/>
    <w:rsid w:val="00C75D0B"/>
    <w:rsid w:val="00C75DAB"/>
    <w:rsid w:val="00C75F84"/>
    <w:rsid w:val="00C76015"/>
    <w:rsid w:val="00C761B9"/>
    <w:rsid w:val="00C7620F"/>
    <w:rsid w:val="00C76612"/>
    <w:rsid w:val="00C768F4"/>
    <w:rsid w:val="00C76C5D"/>
    <w:rsid w:val="00C76D91"/>
    <w:rsid w:val="00C7714B"/>
    <w:rsid w:val="00C775CA"/>
    <w:rsid w:val="00C77748"/>
    <w:rsid w:val="00C7779A"/>
    <w:rsid w:val="00C7782E"/>
    <w:rsid w:val="00C778AC"/>
    <w:rsid w:val="00C77ADC"/>
    <w:rsid w:val="00C77BA2"/>
    <w:rsid w:val="00C77BBE"/>
    <w:rsid w:val="00C77CD7"/>
    <w:rsid w:val="00C77D1D"/>
    <w:rsid w:val="00C77F7E"/>
    <w:rsid w:val="00C77FB8"/>
    <w:rsid w:val="00C800E8"/>
    <w:rsid w:val="00C8055F"/>
    <w:rsid w:val="00C805E8"/>
    <w:rsid w:val="00C80668"/>
    <w:rsid w:val="00C806A8"/>
    <w:rsid w:val="00C80B29"/>
    <w:rsid w:val="00C80B4B"/>
    <w:rsid w:val="00C80BBE"/>
    <w:rsid w:val="00C80CD2"/>
    <w:rsid w:val="00C80E0A"/>
    <w:rsid w:val="00C80F90"/>
    <w:rsid w:val="00C80FDD"/>
    <w:rsid w:val="00C8136B"/>
    <w:rsid w:val="00C818E0"/>
    <w:rsid w:val="00C8192A"/>
    <w:rsid w:val="00C819CB"/>
    <w:rsid w:val="00C81E50"/>
    <w:rsid w:val="00C8208D"/>
    <w:rsid w:val="00C82246"/>
    <w:rsid w:val="00C822F8"/>
    <w:rsid w:val="00C825BC"/>
    <w:rsid w:val="00C82733"/>
    <w:rsid w:val="00C828EC"/>
    <w:rsid w:val="00C82BDF"/>
    <w:rsid w:val="00C82BFE"/>
    <w:rsid w:val="00C82D2B"/>
    <w:rsid w:val="00C82D4C"/>
    <w:rsid w:val="00C82F11"/>
    <w:rsid w:val="00C82F97"/>
    <w:rsid w:val="00C8314E"/>
    <w:rsid w:val="00C83347"/>
    <w:rsid w:val="00C8347F"/>
    <w:rsid w:val="00C838A5"/>
    <w:rsid w:val="00C840C4"/>
    <w:rsid w:val="00C84196"/>
    <w:rsid w:val="00C84A09"/>
    <w:rsid w:val="00C84B09"/>
    <w:rsid w:val="00C84C56"/>
    <w:rsid w:val="00C84DD2"/>
    <w:rsid w:val="00C84E00"/>
    <w:rsid w:val="00C853AF"/>
    <w:rsid w:val="00C85596"/>
    <w:rsid w:val="00C85870"/>
    <w:rsid w:val="00C85CD5"/>
    <w:rsid w:val="00C85F1B"/>
    <w:rsid w:val="00C85F79"/>
    <w:rsid w:val="00C86051"/>
    <w:rsid w:val="00C862E5"/>
    <w:rsid w:val="00C8639C"/>
    <w:rsid w:val="00C8658C"/>
    <w:rsid w:val="00C865B5"/>
    <w:rsid w:val="00C867A9"/>
    <w:rsid w:val="00C86A62"/>
    <w:rsid w:val="00C86B90"/>
    <w:rsid w:val="00C87167"/>
    <w:rsid w:val="00C8763F"/>
    <w:rsid w:val="00C8768C"/>
    <w:rsid w:val="00C8799E"/>
    <w:rsid w:val="00C87A05"/>
    <w:rsid w:val="00C87A0E"/>
    <w:rsid w:val="00C87B56"/>
    <w:rsid w:val="00C900A3"/>
    <w:rsid w:val="00C90327"/>
    <w:rsid w:val="00C9045A"/>
    <w:rsid w:val="00C90E3B"/>
    <w:rsid w:val="00C90F06"/>
    <w:rsid w:val="00C90F8C"/>
    <w:rsid w:val="00C90F90"/>
    <w:rsid w:val="00C90FE5"/>
    <w:rsid w:val="00C913B5"/>
    <w:rsid w:val="00C913EB"/>
    <w:rsid w:val="00C914EA"/>
    <w:rsid w:val="00C91513"/>
    <w:rsid w:val="00C9170C"/>
    <w:rsid w:val="00C91825"/>
    <w:rsid w:val="00C91874"/>
    <w:rsid w:val="00C91A22"/>
    <w:rsid w:val="00C91A60"/>
    <w:rsid w:val="00C91F07"/>
    <w:rsid w:val="00C92568"/>
    <w:rsid w:val="00C9279D"/>
    <w:rsid w:val="00C928CA"/>
    <w:rsid w:val="00C92908"/>
    <w:rsid w:val="00C92AE3"/>
    <w:rsid w:val="00C92FA5"/>
    <w:rsid w:val="00C935F0"/>
    <w:rsid w:val="00C93643"/>
    <w:rsid w:val="00C93749"/>
    <w:rsid w:val="00C937C3"/>
    <w:rsid w:val="00C9387C"/>
    <w:rsid w:val="00C93D9F"/>
    <w:rsid w:val="00C93E2F"/>
    <w:rsid w:val="00C9402B"/>
    <w:rsid w:val="00C941F7"/>
    <w:rsid w:val="00C94494"/>
    <w:rsid w:val="00C944C4"/>
    <w:rsid w:val="00C9459E"/>
    <w:rsid w:val="00C948E6"/>
    <w:rsid w:val="00C94950"/>
    <w:rsid w:val="00C94A44"/>
    <w:rsid w:val="00C94BA5"/>
    <w:rsid w:val="00C94E05"/>
    <w:rsid w:val="00C94E0D"/>
    <w:rsid w:val="00C950BE"/>
    <w:rsid w:val="00C951DF"/>
    <w:rsid w:val="00C95663"/>
    <w:rsid w:val="00C95696"/>
    <w:rsid w:val="00C957A6"/>
    <w:rsid w:val="00C96355"/>
    <w:rsid w:val="00C96435"/>
    <w:rsid w:val="00C965A8"/>
    <w:rsid w:val="00C9663F"/>
    <w:rsid w:val="00C969C5"/>
    <w:rsid w:val="00C97004"/>
    <w:rsid w:val="00C971E0"/>
    <w:rsid w:val="00C9750C"/>
    <w:rsid w:val="00C9761A"/>
    <w:rsid w:val="00C9796B"/>
    <w:rsid w:val="00C97E9A"/>
    <w:rsid w:val="00CA0487"/>
    <w:rsid w:val="00CA04FD"/>
    <w:rsid w:val="00CA06AB"/>
    <w:rsid w:val="00CA06DF"/>
    <w:rsid w:val="00CA0747"/>
    <w:rsid w:val="00CA08A8"/>
    <w:rsid w:val="00CA0B6F"/>
    <w:rsid w:val="00CA0C6C"/>
    <w:rsid w:val="00CA0FA1"/>
    <w:rsid w:val="00CA16C3"/>
    <w:rsid w:val="00CA1963"/>
    <w:rsid w:val="00CA1A73"/>
    <w:rsid w:val="00CA1AD6"/>
    <w:rsid w:val="00CA1B10"/>
    <w:rsid w:val="00CA1CAA"/>
    <w:rsid w:val="00CA1CEE"/>
    <w:rsid w:val="00CA27CB"/>
    <w:rsid w:val="00CA2922"/>
    <w:rsid w:val="00CA2B15"/>
    <w:rsid w:val="00CA2BEC"/>
    <w:rsid w:val="00CA3000"/>
    <w:rsid w:val="00CA3028"/>
    <w:rsid w:val="00CA318A"/>
    <w:rsid w:val="00CA3A74"/>
    <w:rsid w:val="00CA3EEB"/>
    <w:rsid w:val="00CA3EFE"/>
    <w:rsid w:val="00CA413A"/>
    <w:rsid w:val="00CA4620"/>
    <w:rsid w:val="00CA46CC"/>
    <w:rsid w:val="00CA470F"/>
    <w:rsid w:val="00CA48B9"/>
    <w:rsid w:val="00CA4ED4"/>
    <w:rsid w:val="00CA4F3A"/>
    <w:rsid w:val="00CA4F41"/>
    <w:rsid w:val="00CA51C5"/>
    <w:rsid w:val="00CA536D"/>
    <w:rsid w:val="00CA5522"/>
    <w:rsid w:val="00CA5B0E"/>
    <w:rsid w:val="00CA5C98"/>
    <w:rsid w:val="00CA5E5E"/>
    <w:rsid w:val="00CA6189"/>
    <w:rsid w:val="00CA63F4"/>
    <w:rsid w:val="00CA6530"/>
    <w:rsid w:val="00CA691F"/>
    <w:rsid w:val="00CA6A8D"/>
    <w:rsid w:val="00CA760B"/>
    <w:rsid w:val="00CA779D"/>
    <w:rsid w:val="00CA7813"/>
    <w:rsid w:val="00CA7833"/>
    <w:rsid w:val="00CB01E0"/>
    <w:rsid w:val="00CB03EF"/>
    <w:rsid w:val="00CB0415"/>
    <w:rsid w:val="00CB0557"/>
    <w:rsid w:val="00CB05A3"/>
    <w:rsid w:val="00CB0616"/>
    <w:rsid w:val="00CB09AF"/>
    <w:rsid w:val="00CB0E2F"/>
    <w:rsid w:val="00CB105D"/>
    <w:rsid w:val="00CB122E"/>
    <w:rsid w:val="00CB1349"/>
    <w:rsid w:val="00CB158F"/>
    <w:rsid w:val="00CB1716"/>
    <w:rsid w:val="00CB18EB"/>
    <w:rsid w:val="00CB1B58"/>
    <w:rsid w:val="00CB1D15"/>
    <w:rsid w:val="00CB1DC9"/>
    <w:rsid w:val="00CB2232"/>
    <w:rsid w:val="00CB2595"/>
    <w:rsid w:val="00CB2637"/>
    <w:rsid w:val="00CB2A1D"/>
    <w:rsid w:val="00CB2B89"/>
    <w:rsid w:val="00CB2C11"/>
    <w:rsid w:val="00CB2EDF"/>
    <w:rsid w:val="00CB307D"/>
    <w:rsid w:val="00CB324C"/>
    <w:rsid w:val="00CB34FA"/>
    <w:rsid w:val="00CB34FF"/>
    <w:rsid w:val="00CB39A6"/>
    <w:rsid w:val="00CB3CF0"/>
    <w:rsid w:val="00CB3E30"/>
    <w:rsid w:val="00CB3F76"/>
    <w:rsid w:val="00CB4287"/>
    <w:rsid w:val="00CB4A46"/>
    <w:rsid w:val="00CB4DCF"/>
    <w:rsid w:val="00CB4F20"/>
    <w:rsid w:val="00CB51B3"/>
    <w:rsid w:val="00CB51D9"/>
    <w:rsid w:val="00CB5B86"/>
    <w:rsid w:val="00CB5C2F"/>
    <w:rsid w:val="00CB5C70"/>
    <w:rsid w:val="00CB5DD0"/>
    <w:rsid w:val="00CB6103"/>
    <w:rsid w:val="00CB6179"/>
    <w:rsid w:val="00CB61EF"/>
    <w:rsid w:val="00CB629C"/>
    <w:rsid w:val="00CB6312"/>
    <w:rsid w:val="00CB63DE"/>
    <w:rsid w:val="00CB6526"/>
    <w:rsid w:val="00CB66EC"/>
    <w:rsid w:val="00CB6B6B"/>
    <w:rsid w:val="00CB6B87"/>
    <w:rsid w:val="00CB6C3A"/>
    <w:rsid w:val="00CB6C9D"/>
    <w:rsid w:val="00CB6D64"/>
    <w:rsid w:val="00CB6D9E"/>
    <w:rsid w:val="00CB7655"/>
    <w:rsid w:val="00CB792C"/>
    <w:rsid w:val="00CB7DEA"/>
    <w:rsid w:val="00CB7EB0"/>
    <w:rsid w:val="00CC0078"/>
    <w:rsid w:val="00CC0170"/>
    <w:rsid w:val="00CC0171"/>
    <w:rsid w:val="00CC01E7"/>
    <w:rsid w:val="00CC0386"/>
    <w:rsid w:val="00CC05C9"/>
    <w:rsid w:val="00CC0797"/>
    <w:rsid w:val="00CC0844"/>
    <w:rsid w:val="00CC094F"/>
    <w:rsid w:val="00CC0A4E"/>
    <w:rsid w:val="00CC0C99"/>
    <w:rsid w:val="00CC0CDE"/>
    <w:rsid w:val="00CC0DCD"/>
    <w:rsid w:val="00CC1151"/>
    <w:rsid w:val="00CC1426"/>
    <w:rsid w:val="00CC1484"/>
    <w:rsid w:val="00CC175D"/>
    <w:rsid w:val="00CC1980"/>
    <w:rsid w:val="00CC1A0F"/>
    <w:rsid w:val="00CC1B2D"/>
    <w:rsid w:val="00CC1B55"/>
    <w:rsid w:val="00CC1BE7"/>
    <w:rsid w:val="00CC1C47"/>
    <w:rsid w:val="00CC23B3"/>
    <w:rsid w:val="00CC270B"/>
    <w:rsid w:val="00CC27E2"/>
    <w:rsid w:val="00CC2A4C"/>
    <w:rsid w:val="00CC36CD"/>
    <w:rsid w:val="00CC372B"/>
    <w:rsid w:val="00CC37A9"/>
    <w:rsid w:val="00CC37F3"/>
    <w:rsid w:val="00CC3ABE"/>
    <w:rsid w:val="00CC3CBA"/>
    <w:rsid w:val="00CC3EAE"/>
    <w:rsid w:val="00CC4449"/>
    <w:rsid w:val="00CC4583"/>
    <w:rsid w:val="00CC4714"/>
    <w:rsid w:val="00CC49E6"/>
    <w:rsid w:val="00CC4A0D"/>
    <w:rsid w:val="00CC4C0C"/>
    <w:rsid w:val="00CC4DE5"/>
    <w:rsid w:val="00CC4F59"/>
    <w:rsid w:val="00CC51B6"/>
    <w:rsid w:val="00CC5358"/>
    <w:rsid w:val="00CC5801"/>
    <w:rsid w:val="00CC5A7E"/>
    <w:rsid w:val="00CC5A9A"/>
    <w:rsid w:val="00CC5B0C"/>
    <w:rsid w:val="00CC5C92"/>
    <w:rsid w:val="00CC5E34"/>
    <w:rsid w:val="00CC621F"/>
    <w:rsid w:val="00CC64AA"/>
    <w:rsid w:val="00CC6671"/>
    <w:rsid w:val="00CC6BBE"/>
    <w:rsid w:val="00CC6C03"/>
    <w:rsid w:val="00CC6DFC"/>
    <w:rsid w:val="00CC7387"/>
    <w:rsid w:val="00CC7484"/>
    <w:rsid w:val="00CC76EE"/>
    <w:rsid w:val="00CC781F"/>
    <w:rsid w:val="00CC786A"/>
    <w:rsid w:val="00CC786E"/>
    <w:rsid w:val="00CC7960"/>
    <w:rsid w:val="00CC79C5"/>
    <w:rsid w:val="00CC7A47"/>
    <w:rsid w:val="00CC7A69"/>
    <w:rsid w:val="00CC7D69"/>
    <w:rsid w:val="00CC7F2B"/>
    <w:rsid w:val="00CD01A1"/>
    <w:rsid w:val="00CD0200"/>
    <w:rsid w:val="00CD057D"/>
    <w:rsid w:val="00CD077B"/>
    <w:rsid w:val="00CD0940"/>
    <w:rsid w:val="00CD0B90"/>
    <w:rsid w:val="00CD0C00"/>
    <w:rsid w:val="00CD0C62"/>
    <w:rsid w:val="00CD0CF0"/>
    <w:rsid w:val="00CD0F78"/>
    <w:rsid w:val="00CD10B3"/>
    <w:rsid w:val="00CD11AD"/>
    <w:rsid w:val="00CD13AA"/>
    <w:rsid w:val="00CD156A"/>
    <w:rsid w:val="00CD1843"/>
    <w:rsid w:val="00CD1D5F"/>
    <w:rsid w:val="00CD1FDA"/>
    <w:rsid w:val="00CD20B0"/>
    <w:rsid w:val="00CD20DE"/>
    <w:rsid w:val="00CD2292"/>
    <w:rsid w:val="00CD22FB"/>
    <w:rsid w:val="00CD2313"/>
    <w:rsid w:val="00CD26DE"/>
    <w:rsid w:val="00CD2810"/>
    <w:rsid w:val="00CD2A40"/>
    <w:rsid w:val="00CD2A88"/>
    <w:rsid w:val="00CD2AD9"/>
    <w:rsid w:val="00CD2D4C"/>
    <w:rsid w:val="00CD2ED2"/>
    <w:rsid w:val="00CD2FC7"/>
    <w:rsid w:val="00CD309F"/>
    <w:rsid w:val="00CD34ED"/>
    <w:rsid w:val="00CD38B0"/>
    <w:rsid w:val="00CD3C52"/>
    <w:rsid w:val="00CD3CBA"/>
    <w:rsid w:val="00CD3D10"/>
    <w:rsid w:val="00CD3DE9"/>
    <w:rsid w:val="00CD3E9A"/>
    <w:rsid w:val="00CD4477"/>
    <w:rsid w:val="00CD4876"/>
    <w:rsid w:val="00CD4983"/>
    <w:rsid w:val="00CD49FA"/>
    <w:rsid w:val="00CD4DDC"/>
    <w:rsid w:val="00CD4E68"/>
    <w:rsid w:val="00CD4EA5"/>
    <w:rsid w:val="00CD5275"/>
    <w:rsid w:val="00CD5391"/>
    <w:rsid w:val="00CD5508"/>
    <w:rsid w:val="00CD56B1"/>
    <w:rsid w:val="00CD57CE"/>
    <w:rsid w:val="00CD5BAE"/>
    <w:rsid w:val="00CD5BB3"/>
    <w:rsid w:val="00CD5C15"/>
    <w:rsid w:val="00CD5C84"/>
    <w:rsid w:val="00CD5DD2"/>
    <w:rsid w:val="00CD60DB"/>
    <w:rsid w:val="00CD614A"/>
    <w:rsid w:val="00CD666B"/>
    <w:rsid w:val="00CD6911"/>
    <w:rsid w:val="00CD6C17"/>
    <w:rsid w:val="00CD6E22"/>
    <w:rsid w:val="00CD6EAB"/>
    <w:rsid w:val="00CD7280"/>
    <w:rsid w:val="00CD7611"/>
    <w:rsid w:val="00CD76FF"/>
    <w:rsid w:val="00CD7880"/>
    <w:rsid w:val="00CD78BF"/>
    <w:rsid w:val="00CD78CB"/>
    <w:rsid w:val="00CD7AC7"/>
    <w:rsid w:val="00CD7CC3"/>
    <w:rsid w:val="00CD7E8A"/>
    <w:rsid w:val="00CD7EE5"/>
    <w:rsid w:val="00CE000A"/>
    <w:rsid w:val="00CE04E6"/>
    <w:rsid w:val="00CE05D2"/>
    <w:rsid w:val="00CE065F"/>
    <w:rsid w:val="00CE08D7"/>
    <w:rsid w:val="00CE09D9"/>
    <w:rsid w:val="00CE0A6A"/>
    <w:rsid w:val="00CE0C6A"/>
    <w:rsid w:val="00CE0E26"/>
    <w:rsid w:val="00CE0F1B"/>
    <w:rsid w:val="00CE10A4"/>
    <w:rsid w:val="00CE119B"/>
    <w:rsid w:val="00CE1241"/>
    <w:rsid w:val="00CE12F0"/>
    <w:rsid w:val="00CE1B5C"/>
    <w:rsid w:val="00CE1BF1"/>
    <w:rsid w:val="00CE2004"/>
    <w:rsid w:val="00CE2240"/>
    <w:rsid w:val="00CE22EB"/>
    <w:rsid w:val="00CE28E7"/>
    <w:rsid w:val="00CE2A1F"/>
    <w:rsid w:val="00CE2A56"/>
    <w:rsid w:val="00CE2B02"/>
    <w:rsid w:val="00CE2BDF"/>
    <w:rsid w:val="00CE2C50"/>
    <w:rsid w:val="00CE3097"/>
    <w:rsid w:val="00CE3140"/>
    <w:rsid w:val="00CE340F"/>
    <w:rsid w:val="00CE35EA"/>
    <w:rsid w:val="00CE4082"/>
    <w:rsid w:val="00CE4185"/>
    <w:rsid w:val="00CE41D0"/>
    <w:rsid w:val="00CE4466"/>
    <w:rsid w:val="00CE48CD"/>
    <w:rsid w:val="00CE48D2"/>
    <w:rsid w:val="00CE492D"/>
    <w:rsid w:val="00CE49ED"/>
    <w:rsid w:val="00CE4B8A"/>
    <w:rsid w:val="00CE4B96"/>
    <w:rsid w:val="00CE4D77"/>
    <w:rsid w:val="00CE51F2"/>
    <w:rsid w:val="00CE56F7"/>
    <w:rsid w:val="00CE575B"/>
    <w:rsid w:val="00CE5820"/>
    <w:rsid w:val="00CE606E"/>
    <w:rsid w:val="00CE621F"/>
    <w:rsid w:val="00CE62C7"/>
    <w:rsid w:val="00CE63B3"/>
    <w:rsid w:val="00CE6508"/>
    <w:rsid w:val="00CE68F1"/>
    <w:rsid w:val="00CE6B48"/>
    <w:rsid w:val="00CE6BEA"/>
    <w:rsid w:val="00CE6DA8"/>
    <w:rsid w:val="00CE6ECE"/>
    <w:rsid w:val="00CE7027"/>
    <w:rsid w:val="00CE76F2"/>
    <w:rsid w:val="00CE7A14"/>
    <w:rsid w:val="00CF0128"/>
    <w:rsid w:val="00CF0186"/>
    <w:rsid w:val="00CF035A"/>
    <w:rsid w:val="00CF0398"/>
    <w:rsid w:val="00CF0522"/>
    <w:rsid w:val="00CF06C3"/>
    <w:rsid w:val="00CF0B01"/>
    <w:rsid w:val="00CF0C14"/>
    <w:rsid w:val="00CF0E5F"/>
    <w:rsid w:val="00CF0F1A"/>
    <w:rsid w:val="00CF116F"/>
    <w:rsid w:val="00CF13EC"/>
    <w:rsid w:val="00CF1A20"/>
    <w:rsid w:val="00CF1C3D"/>
    <w:rsid w:val="00CF1CDD"/>
    <w:rsid w:val="00CF1F1D"/>
    <w:rsid w:val="00CF228C"/>
    <w:rsid w:val="00CF24C4"/>
    <w:rsid w:val="00CF24FC"/>
    <w:rsid w:val="00CF2AF0"/>
    <w:rsid w:val="00CF2E76"/>
    <w:rsid w:val="00CF2E81"/>
    <w:rsid w:val="00CF3242"/>
    <w:rsid w:val="00CF328A"/>
    <w:rsid w:val="00CF354E"/>
    <w:rsid w:val="00CF35FF"/>
    <w:rsid w:val="00CF3C2C"/>
    <w:rsid w:val="00CF3DF3"/>
    <w:rsid w:val="00CF3E95"/>
    <w:rsid w:val="00CF3EC2"/>
    <w:rsid w:val="00CF43F1"/>
    <w:rsid w:val="00CF43F3"/>
    <w:rsid w:val="00CF4477"/>
    <w:rsid w:val="00CF44B0"/>
    <w:rsid w:val="00CF478A"/>
    <w:rsid w:val="00CF48A2"/>
    <w:rsid w:val="00CF4955"/>
    <w:rsid w:val="00CF4C96"/>
    <w:rsid w:val="00CF4D66"/>
    <w:rsid w:val="00CF4E0C"/>
    <w:rsid w:val="00CF5147"/>
    <w:rsid w:val="00CF54F1"/>
    <w:rsid w:val="00CF5514"/>
    <w:rsid w:val="00CF57FC"/>
    <w:rsid w:val="00CF58DF"/>
    <w:rsid w:val="00CF5C6E"/>
    <w:rsid w:val="00CF5C7A"/>
    <w:rsid w:val="00CF5C9D"/>
    <w:rsid w:val="00CF5DBD"/>
    <w:rsid w:val="00CF61B4"/>
    <w:rsid w:val="00CF6230"/>
    <w:rsid w:val="00CF62C9"/>
    <w:rsid w:val="00CF6346"/>
    <w:rsid w:val="00CF65A5"/>
    <w:rsid w:val="00CF6B57"/>
    <w:rsid w:val="00CF6CE3"/>
    <w:rsid w:val="00CF6CFE"/>
    <w:rsid w:val="00CF6F11"/>
    <w:rsid w:val="00CF78B2"/>
    <w:rsid w:val="00CF7BBD"/>
    <w:rsid w:val="00CF7BE7"/>
    <w:rsid w:val="00CF7D0D"/>
    <w:rsid w:val="00CF7DBA"/>
    <w:rsid w:val="00D00158"/>
    <w:rsid w:val="00D0028B"/>
    <w:rsid w:val="00D0049B"/>
    <w:rsid w:val="00D004B7"/>
    <w:rsid w:val="00D004BF"/>
    <w:rsid w:val="00D006B3"/>
    <w:rsid w:val="00D0095A"/>
    <w:rsid w:val="00D00B5D"/>
    <w:rsid w:val="00D00DE0"/>
    <w:rsid w:val="00D00F17"/>
    <w:rsid w:val="00D014C2"/>
    <w:rsid w:val="00D01517"/>
    <w:rsid w:val="00D016A4"/>
    <w:rsid w:val="00D01AE4"/>
    <w:rsid w:val="00D01D95"/>
    <w:rsid w:val="00D024E4"/>
    <w:rsid w:val="00D0259F"/>
    <w:rsid w:val="00D025DE"/>
    <w:rsid w:val="00D02635"/>
    <w:rsid w:val="00D027FF"/>
    <w:rsid w:val="00D02C08"/>
    <w:rsid w:val="00D02CD7"/>
    <w:rsid w:val="00D03322"/>
    <w:rsid w:val="00D03391"/>
    <w:rsid w:val="00D03709"/>
    <w:rsid w:val="00D03737"/>
    <w:rsid w:val="00D037B6"/>
    <w:rsid w:val="00D03ACA"/>
    <w:rsid w:val="00D03E0D"/>
    <w:rsid w:val="00D040D6"/>
    <w:rsid w:val="00D042BE"/>
    <w:rsid w:val="00D044CA"/>
    <w:rsid w:val="00D046F3"/>
    <w:rsid w:val="00D04826"/>
    <w:rsid w:val="00D0485C"/>
    <w:rsid w:val="00D04CA0"/>
    <w:rsid w:val="00D04CD3"/>
    <w:rsid w:val="00D05019"/>
    <w:rsid w:val="00D05088"/>
    <w:rsid w:val="00D0557E"/>
    <w:rsid w:val="00D05664"/>
    <w:rsid w:val="00D056AA"/>
    <w:rsid w:val="00D0572B"/>
    <w:rsid w:val="00D05981"/>
    <w:rsid w:val="00D05AB9"/>
    <w:rsid w:val="00D05C89"/>
    <w:rsid w:val="00D05FBF"/>
    <w:rsid w:val="00D060FD"/>
    <w:rsid w:val="00D06176"/>
    <w:rsid w:val="00D0677F"/>
    <w:rsid w:val="00D06966"/>
    <w:rsid w:val="00D06992"/>
    <w:rsid w:val="00D06ACC"/>
    <w:rsid w:val="00D06C02"/>
    <w:rsid w:val="00D06E42"/>
    <w:rsid w:val="00D07043"/>
    <w:rsid w:val="00D072ED"/>
    <w:rsid w:val="00D078F1"/>
    <w:rsid w:val="00D0795A"/>
    <w:rsid w:val="00D07962"/>
    <w:rsid w:val="00D07973"/>
    <w:rsid w:val="00D0798F"/>
    <w:rsid w:val="00D079F1"/>
    <w:rsid w:val="00D07BC8"/>
    <w:rsid w:val="00D07C71"/>
    <w:rsid w:val="00D07C84"/>
    <w:rsid w:val="00D10070"/>
    <w:rsid w:val="00D10213"/>
    <w:rsid w:val="00D108EF"/>
    <w:rsid w:val="00D10BD2"/>
    <w:rsid w:val="00D11463"/>
    <w:rsid w:val="00D1151D"/>
    <w:rsid w:val="00D11610"/>
    <w:rsid w:val="00D11762"/>
    <w:rsid w:val="00D1239F"/>
    <w:rsid w:val="00D125A1"/>
    <w:rsid w:val="00D126C2"/>
    <w:rsid w:val="00D126F2"/>
    <w:rsid w:val="00D12A42"/>
    <w:rsid w:val="00D12B7F"/>
    <w:rsid w:val="00D12F20"/>
    <w:rsid w:val="00D13468"/>
    <w:rsid w:val="00D134D8"/>
    <w:rsid w:val="00D13511"/>
    <w:rsid w:val="00D13895"/>
    <w:rsid w:val="00D138D7"/>
    <w:rsid w:val="00D139C5"/>
    <w:rsid w:val="00D13BA4"/>
    <w:rsid w:val="00D142E4"/>
    <w:rsid w:val="00D14326"/>
    <w:rsid w:val="00D1443F"/>
    <w:rsid w:val="00D14576"/>
    <w:rsid w:val="00D14B13"/>
    <w:rsid w:val="00D14D9A"/>
    <w:rsid w:val="00D14F3D"/>
    <w:rsid w:val="00D1520E"/>
    <w:rsid w:val="00D1532B"/>
    <w:rsid w:val="00D155D5"/>
    <w:rsid w:val="00D15946"/>
    <w:rsid w:val="00D15959"/>
    <w:rsid w:val="00D15DA7"/>
    <w:rsid w:val="00D15E61"/>
    <w:rsid w:val="00D15E6E"/>
    <w:rsid w:val="00D15FB1"/>
    <w:rsid w:val="00D1625A"/>
    <w:rsid w:val="00D16371"/>
    <w:rsid w:val="00D1671B"/>
    <w:rsid w:val="00D1687F"/>
    <w:rsid w:val="00D16A78"/>
    <w:rsid w:val="00D16ABA"/>
    <w:rsid w:val="00D16DD0"/>
    <w:rsid w:val="00D176C6"/>
    <w:rsid w:val="00D1794F"/>
    <w:rsid w:val="00D179BE"/>
    <w:rsid w:val="00D179D2"/>
    <w:rsid w:val="00D17AA7"/>
    <w:rsid w:val="00D17AFC"/>
    <w:rsid w:val="00D17B35"/>
    <w:rsid w:val="00D17C11"/>
    <w:rsid w:val="00D17E0C"/>
    <w:rsid w:val="00D17E95"/>
    <w:rsid w:val="00D20069"/>
    <w:rsid w:val="00D202D0"/>
    <w:rsid w:val="00D20459"/>
    <w:rsid w:val="00D20533"/>
    <w:rsid w:val="00D20593"/>
    <w:rsid w:val="00D2095E"/>
    <w:rsid w:val="00D20EDF"/>
    <w:rsid w:val="00D21232"/>
    <w:rsid w:val="00D21310"/>
    <w:rsid w:val="00D213CB"/>
    <w:rsid w:val="00D21667"/>
    <w:rsid w:val="00D216C1"/>
    <w:rsid w:val="00D217D4"/>
    <w:rsid w:val="00D21ACE"/>
    <w:rsid w:val="00D21BBD"/>
    <w:rsid w:val="00D21C11"/>
    <w:rsid w:val="00D21F5C"/>
    <w:rsid w:val="00D2200C"/>
    <w:rsid w:val="00D22101"/>
    <w:rsid w:val="00D22270"/>
    <w:rsid w:val="00D22477"/>
    <w:rsid w:val="00D224BC"/>
    <w:rsid w:val="00D2284C"/>
    <w:rsid w:val="00D22957"/>
    <w:rsid w:val="00D22A1D"/>
    <w:rsid w:val="00D22A90"/>
    <w:rsid w:val="00D22E94"/>
    <w:rsid w:val="00D22E97"/>
    <w:rsid w:val="00D22F54"/>
    <w:rsid w:val="00D2333F"/>
    <w:rsid w:val="00D233BF"/>
    <w:rsid w:val="00D235FA"/>
    <w:rsid w:val="00D23645"/>
    <w:rsid w:val="00D23A5C"/>
    <w:rsid w:val="00D23AA9"/>
    <w:rsid w:val="00D23E61"/>
    <w:rsid w:val="00D2409B"/>
    <w:rsid w:val="00D242AD"/>
    <w:rsid w:val="00D24412"/>
    <w:rsid w:val="00D2460A"/>
    <w:rsid w:val="00D249CE"/>
    <w:rsid w:val="00D25116"/>
    <w:rsid w:val="00D252DC"/>
    <w:rsid w:val="00D25473"/>
    <w:rsid w:val="00D25756"/>
    <w:rsid w:val="00D257B2"/>
    <w:rsid w:val="00D25894"/>
    <w:rsid w:val="00D26195"/>
    <w:rsid w:val="00D2653E"/>
    <w:rsid w:val="00D265A1"/>
    <w:rsid w:val="00D265EB"/>
    <w:rsid w:val="00D26CF7"/>
    <w:rsid w:val="00D2701A"/>
    <w:rsid w:val="00D27024"/>
    <w:rsid w:val="00D27204"/>
    <w:rsid w:val="00D27375"/>
    <w:rsid w:val="00D27386"/>
    <w:rsid w:val="00D27885"/>
    <w:rsid w:val="00D278A9"/>
    <w:rsid w:val="00D279BE"/>
    <w:rsid w:val="00D27C7E"/>
    <w:rsid w:val="00D27DC7"/>
    <w:rsid w:val="00D3001A"/>
    <w:rsid w:val="00D30209"/>
    <w:rsid w:val="00D30489"/>
    <w:rsid w:val="00D304CA"/>
    <w:rsid w:val="00D30806"/>
    <w:rsid w:val="00D30980"/>
    <w:rsid w:val="00D309E6"/>
    <w:rsid w:val="00D30D17"/>
    <w:rsid w:val="00D30F7B"/>
    <w:rsid w:val="00D30FA0"/>
    <w:rsid w:val="00D311B0"/>
    <w:rsid w:val="00D3128D"/>
    <w:rsid w:val="00D315D0"/>
    <w:rsid w:val="00D31783"/>
    <w:rsid w:val="00D31B45"/>
    <w:rsid w:val="00D31C1D"/>
    <w:rsid w:val="00D31D13"/>
    <w:rsid w:val="00D31F22"/>
    <w:rsid w:val="00D3257C"/>
    <w:rsid w:val="00D32A70"/>
    <w:rsid w:val="00D32E77"/>
    <w:rsid w:val="00D33010"/>
    <w:rsid w:val="00D333EF"/>
    <w:rsid w:val="00D335DF"/>
    <w:rsid w:val="00D33FB2"/>
    <w:rsid w:val="00D34111"/>
    <w:rsid w:val="00D345E1"/>
    <w:rsid w:val="00D345F5"/>
    <w:rsid w:val="00D348F1"/>
    <w:rsid w:val="00D34D59"/>
    <w:rsid w:val="00D34DB5"/>
    <w:rsid w:val="00D353E9"/>
    <w:rsid w:val="00D354BB"/>
    <w:rsid w:val="00D35B80"/>
    <w:rsid w:val="00D35B9E"/>
    <w:rsid w:val="00D35D38"/>
    <w:rsid w:val="00D35F0E"/>
    <w:rsid w:val="00D3611F"/>
    <w:rsid w:val="00D36479"/>
    <w:rsid w:val="00D367D2"/>
    <w:rsid w:val="00D36926"/>
    <w:rsid w:val="00D36AB0"/>
    <w:rsid w:val="00D36B9D"/>
    <w:rsid w:val="00D36C18"/>
    <w:rsid w:val="00D36D93"/>
    <w:rsid w:val="00D36FD2"/>
    <w:rsid w:val="00D370D9"/>
    <w:rsid w:val="00D37601"/>
    <w:rsid w:val="00D378C8"/>
    <w:rsid w:val="00D378D6"/>
    <w:rsid w:val="00D378E2"/>
    <w:rsid w:val="00D379CA"/>
    <w:rsid w:val="00D37CD6"/>
    <w:rsid w:val="00D37DDD"/>
    <w:rsid w:val="00D40602"/>
    <w:rsid w:val="00D40884"/>
    <w:rsid w:val="00D40929"/>
    <w:rsid w:val="00D40A9D"/>
    <w:rsid w:val="00D40E4A"/>
    <w:rsid w:val="00D40ECA"/>
    <w:rsid w:val="00D41248"/>
    <w:rsid w:val="00D415C5"/>
    <w:rsid w:val="00D4180E"/>
    <w:rsid w:val="00D41AFB"/>
    <w:rsid w:val="00D41B37"/>
    <w:rsid w:val="00D41BF4"/>
    <w:rsid w:val="00D41CCF"/>
    <w:rsid w:val="00D41D03"/>
    <w:rsid w:val="00D42327"/>
    <w:rsid w:val="00D4270A"/>
    <w:rsid w:val="00D42B7B"/>
    <w:rsid w:val="00D42C95"/>
    <w:rsid w:val="00D42D0A"/>
    <w:rsid w:val="00D42F5B"/>
    <w:rsid w:val="00D43109"/>
    <w:rsid w:val="00D43733"/>
    <w:rsid w:val="00D43D0D"/>
    <w:rsid w:val="00D44040"/>
    <w:rsid w:val="00D44170"/>
    <w:rsid w:val="00D44242"/>
    <w:rsid w:val="00D44580"/>
    <w:rsid w:val="00D445F1"/>
    <w:rsid w:val="00D44616"/>
    <w:rsid w:val="00D448BD"/>
    <w:rsid w:val="00D4494B"/>
    <w:rsid w:val="00D44A2B"/>
    <w:rsid w:val="00D44A2F"/>
    <w:rsid w:val="00D44B18"/>
    <w:rsid w:val="00D44B28"/>
    <w:rsid w:val="00D44F67"/>
    <w:rsid w:val="00D45295"/>
    <w:rsid w:val="00D45330"/>
    <w:rsid w:val="00D45382"/>
    <w:rsid w:val="00D45448"/>
    <w:rsid w:val="00D455CE"/>
    <w:rsid w:val="00D45685"/>
    <w:rsid w:val="00D456A9"/>
    <w:rsid w:val="00D45F19"/>
    <w:rsid w:val="00D46206"/>
    <w:rsid w:val="00D462A1"/>
    <w:rsid w:val="00D4639E"/>
    <w:rsid w:val="00D46598"/>
    <w:rsid w:val="00D46923"/>
    <w:rsid w:val="00D46B62"/>
    <w:rsid w:val="00D46D51"/>
    <w:rsid w:val="00D46F5B"/>
    <w:rsid w:val="00D47018"/>
    <w:rsid w:val="00D4772C"/>
    <w:rsid w:val="00D47756"/>
    <w:rsid w:val="00D47A91"/>
    <w:rsid w:val="00D47B6E"/>
    <w:rsid w:val="00D5011A"/>
    <w:rsid w:val="00D501C9"/>
    <w:rsid w:val="00D504A1"/>
    <w:rsid w:val="00D506C9"/>
    <w:rsid w:val="00D507C6"/>
    <w:rsid w:val="00D50C0F"/>
    <w:rsid w:val="00D51224"/>
    <w:rsid w:val="00D513C5"/>
    <w:rsid w:val="00D513F6"/>
    <w:rsid w:val="00D5140D"/>
    <w:rsid w:val="00D51652"/>
    <w:rsid w:val="00D517C8"/>
    <w:rsid w:val="00D51B9B"/>
    <w:rsid w:val="00D51CE0"/>
    <w:rsid w:val="00D51CFB"/>
    <w:rsid w:val="00D52477"/>
    <w:rsid w:val="00D524C1"/>
    <w:rsid w:val="00D527EE"/>
    <w:rsid w:val="00D529D6"/>
    <w:rsid w:val="00D52B76"/>
    <w:rsid w:val="00D52DB9"/>
    <w:rsid w:val="00D52E2F"/>
    <w:rsid w:val="00D52F71"/>
    <w:rsid w:val="00D52FD9"/>
    <w:rsid w:val="00D53213"/>
    <w:rsid w:val="00D53300"/>
    <w:rsid w:val="00D53303"/>
    <w:rsid w:val="00D53388"/>
    <w:rsid w:val="00D534EC"/>
    <w:rsid w:val="00D53A00"/>
    <w:rsid w:val="00D53BD0"/>
    <w:rsid w:val="00D53E25"/>
    <w:rsid w:val="00D53F02"/>
    <w:rsid w:val="00D5414A"/>
    <w:rsid w:val="00D542F8"/>
    <w:rsid w:val="00D54357"/>
    <w:rsid w:val="00D5445C"/>
    <w:rsid w:val="00D5499E"/>
    <w:rsid w:val="00D54C9A"/>
    <w:rsid w:val="00D55140"/>
    <w:rsid w:val="00D55243"/>
    <w:rsid w:val="00D5553A"/>
    <w:rsid w:val="00D55AA3"/>
    <w:rsid w:val="00D55ABB"/>
    <w:rsid w:val="00D56005"/>
    <w:rsid w:val="00D5681D"/>
    <w:rsid w:val="00D56A77"/>
    <w:rsid w:val="00D56AD0"/>
    <w:rsid w:val="00D56C5C"/>
    <w:rsid w:val="00D56D66"/>
    <w:rsid w:val="00D56DA3"/>
    <w:rsid w:val="00D56E6F"/>
    <w:rsid w:val="00D56F2E"/>
    <w:rsid w:val="00D5727F"/>
    <w:rsid w:val="00D5755B"/>
    <w:rsid w:val="00D5759D"/>
    <w:rsid w:val="00D575EC"/>
    <w:rsid w:val="00D57606"/>
    <w:rsid w:val="00D57815"/>
    <w:rsid w:val="00D5787F"/>
    <w:rsid w:val="00D5791B"/>
    <w:rsid w:val="00D5792F"/>
    <w:rsid w:val="00D57A53"/>
    <w:rsid w:val="00D57FA9"/>
    <w:rsid w:val="00D600C2"/>
    <w:rsid w:val="00D60120"/>
    <w:rsid w:val="00D601A5"/>
    <w:rsid w:val="00D60369"/>
    <w:rsid w:val="00D60384"/>
    <w:rsid w:val="00D604B9"/>
    <w:rsid w:val="00D60531"/>
    <w:rsid w:val="00D60839"/>
    <w:rsid w:val="00D60BE7"/>
    <w:rsid w:val="00D60DF0"/>
    <w:rsid w:val="00D60F0E"/>
    <w:rsid w:val="00D6183D"/>
    <w:rsid w:val="00D61D40"/>
    <w:rsid w:val="00D61DEB"/>
    <w:rsid w:val="00D61ED3"/>
    <w:rsid w:val="00D62180"/>
    <w:rsid w:val="00D621A0"/>
    <w:rsid w:val="00D62532"/>
    <w:rsid w:val="00D625E7"/>
    <w:rsid w:val="00D626A3"/>
    <w:rsid w:val="00D62B6F"/>
    <w:rsid w:val="00D62FFE"/>
    <w:rsid w:val="00D6307E"/>
    <w:rsid w:val="00D63231"/>
    <w:rsid w:val="00D633E6"/>
    <w:rsid w:val="00D6347C"/>
    <w:rsid w:val="00D63825"/>
    <w:rsid w:val="00D63B69"/>
    <w:rsid w:val="00D63C5E"/>
    <w:rsid w:val="00D63D64"/>
    <w:rsid w:val="00D63DC8"/>
    <w:rsid w:val="00D63E91"/>
    <w:rsid w:val="00D6402D"/>
    <w:rsid w:val="00D64114"/>
    <w:rsid w:val="00D64205"/>
    <w:rsid w:val="00D64473"/>
    <w:rsid w:val="00D64762"/>
    <w:rsid w:val="00D647BF"/>
    <w:rsid w:val="00D64811"/>
    <w:rsid w:val="00D64C06"/>
    <w:rsid w:val="00D64E41"/>
    <w:rsid w:val="00D64ECE"/>
    <w:rsid w:val="00D64FC1"/>
    <w:rsid w:val="00D6524E"/>
    <w:rsid w:val="00D653EC"/>
    <w:rsid w:val="00D653FF"/>
    <w:rsid w:val="00D6544E"/>
    <w:rsid w:val="00D65493"/>
    <w:rsid w:val="00D6585C"/>
    <w:rsid w:val="00D65AE3"/>
    <w:rsid w:val="00D65CAD"/>
    <w:rsid w:val="00D65E48"/>
    <w:rsid w:val="00D65FA3"/>
    <w:rsid w:val="00D660E0"/>
    <w:rsid w:val="00D663AF"/>
    <w:rsid w:val="00D66599"/>
    <w:rsid w:val="00D66A76"/>
    <w:rsid w:val="00D66A8F"/>
    <w:rsid w:val="00D66B89"/>
    <w:rsid w:val="00D66C68"/>
    <w:rsid w:val="00D66D01"/>
    <w:rsid w:val="00D66E0F"/>
    <w:rsid w:val="00D66EB9"/>
    <w:rsid w:val="00D67764"/>
    <w:rsid w:val="00D678ED"/>
    <w:rsid w:val="00D67A76"/>
    <w:rsid w:val="00D67D45"/>
    <w:rsid w:val="00D67D89"/>
    <w:rsid w:val="00D67DCB"/>
    <w:rsid w:val="00D67F88"/>
    <w:rsid w:val="00D67FBF"/>
    <w:rsid w:val="00D67FD3"/>
    <w:rsid w:val="00D67FE3"/>
    <w:rsid w:val="00D70338"/>
    <w:rsid w:val="00D7075C"/>
    <w:rsid w:val="00D70C10"/>
    <w:rsid w:val="00D70E20"/>
    <w:rsid w:val="00D7119F"/>
    <w:rsid w:val="00D71312"/>
    <w:rsid w:val="00D714FD"/>
    <w:rsid w:val="00D71913"/>
    <w:rsid w:val="00D71DF8"/>
    <w:rsid w:val="00D72246"/>
    <w:rsid w:val="00D72810"/>
    <w:rsid w:val="00D72E16"/>
    <w:rsid w:val="00D72E23"/>
    <w:rsid w:val="00D72EAE"/>
    <w:rsid w:val="00D72EDE"/>
    <w:rsid w:val="00D731D3"/>
    <w:rsid w:val="00D73A72"/>
    <w:rsid w:val="00D73B41"/>
    <w:rsid w:val="00D74208"/>
    <w:rsid w:val="00D7447D"/>
    <w:rsid w:val="00D7455B"/>
    <w:rsid w:val="00D748A0"/>
    <w:rsid w:val="00D74AB9"/>
    <w:rsid w:val="00D74E08"/>
    <w:rsid w:val="00D75088"/>
    <w:rsid w:val="00D752D0"/>
    <w:rsid w:val="00D75419"/>
    <w:rsid w:val="00D7579B"/>
    <w:rsid w:val="00D7589D"/>
    <w:rsid w:val="00D75D9E"/>
    <w:rsid w:val="00D75DE8"/>
    <w:rsid w:val="00D75EE1"/>
    <w:rsid w:val="00D7633C"/>
    <w:rsid w:val="00D7681D"/>
    <w:rsid w:val="00D76CB1"/>
    <w:rsid w:val="00D76F46"/>
    <w:rsid w:val="00D773DE"/>
    <w:rsid w:val="00D77513"/>
    <w:rsid w:val="00D775D3"/>
    <w:rsid w:val="00D778BA"/>
    <w:rsid w:val="00D77A41"/>
    <w:rsid w:val="00D77A5A"/>
    <w:rsid w:val="00D77DF9"/>
    <w:rsid w:val="00D80312"/>
    <w:rsid w:val="00D804A9"/>
    <w:rsid w:val="00D8065B"/>
    <w:rsid w:val="00D807A6"/>
    <w:rsid w:val="00D807B1"/>
    <w:rsid w:val="00D80886"/>
    <w:rsid w:val="00D80957"/>
    <w:rsid w:val="00D80AF5"/>
    <w:rsid w:val="00D80B73"/>
    <w:rsid w:val="00D80DC0"/>
    <w:rsid w:val="00D80F2C"/>
    <w:rsid w:val="00D810C6"/>
    <w:rsid w:val="00D81144"/>
    <w:rsid w:val="00D81194"/>
    <w:rsid w:val="00D8138A"/>
    <w:rsid w:val="00D814C8"/>
    <w:rsid w:val="00D81523"/>
    <w:rsid w:val="00D8161F"/>
    <w:rsid w:val="00D818D3"/>
    <w:rsid w:val="00D81A6B"/>
    <w:rsid w:val="00D81AEB"/>
    <w:rsid w:val="00D81B51"/>
    <w:rsid w:val="00D81BBE"/>
    <w:rsid w:val="00D81D2B"/>
    <w:rsid w:val="00D8206A"/>
    <w:rsid w:val="00D82342"/>
    <w:rsid w:val="00D82366"/>
    <w:rsid w:val="00D8263B"/>
    <w:rsid w:val="00D828AE"/>
    <w:rsid w:val="00D82A73"/>
    <w:rsid w:val="00D82CD1"/>
    <w:rsid w:val="00D82EC7"/>
    <w:rsid w:val="00D83605"/>
    <w:rsid w:val="00D83BAD"/>
    <w:rsid w:val="00D840DB"/>
    <w:rsid w:val="00D8420B"/>
    <w:rsid w:val="00D84236"/>
    <w:rsid w:val="00D84301"/>
    <w:rsid w:val="00D84477"/>
    <w:rsid w:val="00D844BB"/>
    <w:rsid w:val="00D84688"/>
    <w:rsid w:val="00D84D56"/>
    <w:rsid w:val="00D85279"/>
    <w:rsid w:val="00D85493"/>
    <w:rsid w:val="00D85499"/>
    <w:rsid w:val="00D855E5"/>
    <w:rsid w:val="00D86618"/>
    <w:rsid w:val="00D8663B"/>
    <w:rsid w:val="00D868FE"/>
    <w:rsid w:val="00D86973"/>
    <w:rsid w:val="00D86EBE"/>
    <w:rsid w:val="00D86EE9"/>
    <w:rsid w:val="00D86F2E"/>
    <w:rsid w:val="00D8700B"/>
    <w:rsid w:val="00D87A50"/>
    <w:rsid w:val="00D87C2C"/>
    <w:rsid w:val="00D87DFF"/>
    <w:rsid w:val="00D87F4A"/>
    <w:rsid w:val="00D90010"/>
    <w:rsid w:val="00D903CD"/>
    <w:rsid w:val="00D9052D"/>
    <w:rsid w:val="00D90BA6"/>
    <w:rsid w:val="00D90BCD"/>
    <w:rsid w:val="00D90C5C"/>
    <w:rsid w:val="00D90C6F"/>
    <w:rsid w:val="00D912C7"/>
    <w:rsid w:val="00D913B7"/>
    <w:rsid w:val="00D914F5"/>
    <w:rsid w:val="00D9187C"/>
    <w:rsid w:val="00D91893"/>
    <w:rsid w:val="00D919A7"/>
    <w:rsid w:val="00D91B84"/>
    <w:rsid w:val="00D91D66"/>
    <w:rsid w:val="00D91D88"/>
    <w:rsid w:val="00D91DCC"/>
    <w:rsid w:val="00D91E1C"/>
    <w:rsid w:val="00D922DC"/>
    <w:rsid w:val="00D925C9"/>
    <w:rsid w:val="00D926DE"/>
    <w:rsid w:val="00D927CF"/>
    <w:rsid w:val="00D92895"/>
    <w:rsid w:val="00D928BA"/>
    <w:rsid w:val="00D92967"/>
    <w:rsid w:val="00D92B92"/>
    <w:rsid w:val="00D92DCF"/>
    <w:rsid w:val="00D92DF8"/>
    <w:rsid w:val="00D92FF5"/>
    <w:rsid w:val="00D930AE"/>
    <w:rsid w:val="00D930F8"/>
    <w:rsid w:val="00D932F6"/>
    <w:rsid w:val="00D9334A"/>
    <w:rsid w:val="00D93508"/>
    <w:rsid w:val="00D937C2"/>
    <w:rsid w:val="00D9387A"/>
    <w:rsid w:val="00D938AB"/>
    <w:rsid w:val="00D93A80"/>
    <w:rsid w:val="00D93BD8"/>
    <w:rsid w:val="00D9408E"/>
    <w:rsid w:val="00D94514"/>
    <w:rsid w:val="00D945C8"/>
    <w:rsid w:val="00D947A4"/>
    <w:rsid w:val="00D94830"/>
    <w:rsid w:val="00D94881"/>
    <w:rsid w:val="00D9489E"/>
    <w:rsid w:val="00D948CC"/>
    <w:rsid w:val="00D94BC8"/>
    <w:rsid w:val="00D95050"/>
    <w:rsid w:val="00D951B9"/>
    <w:rsid w:val="00D951BE"/>
    <w:rsid w:val="00D9522F"/>
    <w:rsid w:val="00D954D3"/>
    <w:rsid w:val="00D9564C"/>
    <w:rsid w:val="00D95846"/>
    <w:rsid w:val="00D958AB"/>
    <w:rsid w:val="00D958CE"/>
    <w:rsid w:val="00D95923"/>
    <w:rsid w:val="00D95A61"/>
    <w:rsid w:val="00D95B4C"/>
    <w:rsid w:val="00D95E3D"/>
    <w:rsid w:val="00D95EC4"/>
    <w:rsid w:val="00D960D3"/>
    <w:rsid w:val="00D96375"/>
    <w:rsid w:val="00D96395"/>
    <w:rsid w:val="00D96914"/>
    <w:rsid w:val="00D96968"/>
    <w:rsid w:val="00D96CF0"/>
    <w:rsid w:val="00D96D24"/>
    <w:rsid w:val="00D970EF"/>
    <w:rsid w:val="00D972D7"/>
    <w:rsid w:val="00D975B6"/>
    <w:rsid w:val="00D97622"/>
    <w:rsid w:val="00D97B79"/>
    <w:rsid w:val="00D97C3D"/>
    <w:rsid w:val="00D97CEF"/>
    <w:rsid w:val="00D97CFF"/>
    <w:rsid w:val="00D97E05"/>
    <w:rsid w:val="00D97EBC"/>
    <w:rsid w:val="00D97F39"/>
    <w:rsid w:val="00DA02E1"/>
    <w:rsid w:val="00DA0683"/>
    <w:rsid w:val="00DA0731"/>
    <w:rsid w:val="00DA0A27"/>
    <w:rsid w:val="00DA0B4A"/>
    <w:rsid w:val="00DA0BA8"/>
    <w:rsid w:val="00DA0CB2"/>
    <w:rsid w:val="00DA102C"/>
    <w:rsid w:val="00DA1176"/>
    <w:rsid w:val="00DA12E1"/>
    <w:rsid w:val="00DA134B"/>
    <w:rsid w:val="00DA1456"/>
    <w:rsid w:val="00DA1478"/>
    <w:rsid w:val="00DA14AD"/>
    <w:rsid w:val="00DA1646"/>
    <w:rsid w:val="00DA18AB"/>
    <w:rsid w:val="00DA1920"/>
    <w:rsid w:val="00DA199D"/>
    <w:rsid w:val="00DA1CCE"/>
    <w:rsid w:val="00DA1E5E"/>
    <w:rsid w:val="00DA20AD"/>
    <w:rsid w:val="00DA2388"/>
    <w:rsid w:val="00DA2420"/>
    <w:rsid w:val="00DA24CA"/>
    <w:rsid w:val="00DA251C"/>
    <w:rsid w:val="00DA275C"/>
    <w:rsid w:val="00DA280B"/>
    <w:rsid w:val="00DA2D39"/>
    <w:rsid w:val="00DA2DF0"/>
    <w:rsid w:val="00DA2E24"/>
    <w:rsid w:val="00DA2F88"/>
    <w:rsid w:val="00DA31CA"/>
    <w:rsid w:val="00DA3267"/>
    <w:rsid w:val="00DA35D7"/>
    <w:rsid w:val="00DA384C"/>
    <w:rsid w:val="00DA398C"/>
    <w:rsid w:val="00DA3F84"/>
    <w:rsid w:val="00DA4318"/>
    <w:rsid w:val="00DA44F8"/>
    <w:rsid w:val="00DA4542"/>
    <w:rsid w:val="00DA4697"/>
    <w:rsid w:val="00DA46C5"/>
    <w:rsid w:val="00DA4785"/>
    <w:rsid w:val="00DA497A"/>
    <w:rsid w:val="00DA4A16"/>
    <w:rsid w:val="00DA51E2"/>
    <w:rsid w:val="00DA5209"/>
    <w:rsid w:val="00DA5222"/>
    <w:rsid w:val="00DA5238"/>
    <w:rsid w:val="00DA569A"/>
    <w:rsid w:val="00DA577F"/>
    <w:rsid w:val="00DA5842"/>
    <w:rsid w:val="00DA5B29"/>
    <w:rsid w:val="00DA5D66"/>
    <w:rsid w:val="00DA5EF4"/>
    <w:rsid w:val="00DA6159"/>
    <w:rsid w:val="00DA6266"/>
    <w:rsid w:val="00DA67AA"/>
    <w:rsid w:val="00DA6AF3"/>
    <w:rsid w:val="00DA6F2D"/>
    <w:rsid w:val="00DA720D"/>
    <w:rsid w:val="00DA7304"/>
    <w:rsid w:val="00DA7393"/>
    <w:rsid w:val="00DA73BF"/>
    <w:rsid w:val="00DA73C6"/>
    <w:rsid w:val="00DA7511"/>
    <w:rsid w:val="00DA75B7"/>
    <w:rsid w:val="00DA78EA"/>
    <w:rsid w:val="00DA7C8A"/>
    <w:rsid w:val="00DA7DF0"/>
    <w:rsid w:val="00DA7F3E"/>
    <w:rsid w:val="00DB054E"/>
    <w:rsid w:val="00DB0865"/>
    <w:rsid w:val="00DB0C79"/>
    <w:rsid w:val="00DB0E8F"/>
    <w:rsid w:val="00DB0EF7"/>
    <w:rsid w:val="00DB11A0"/>
    <w:rsid w:val="00DB143C"/>
    <w:rsid w:val="00DB1D97"/>
    <w:rsid w:val="00DB1DE9"/>
    <w:rsid w:val="00DB1E41"/>
    <w:rsid w:val="00DB2025"/>
    <w:rsid w:val="00DB21E0"/>
    <w:rsid w:val="00DB21F4"/>
    <w:rsid w:val="00DB239D"/>
    <w:rsid w:val="00DB23E1"/>
    <w:rsid w:val="00DB25B0"/>
    <w:rsid w:val="00DB2A42"/>
    <w:rsid w:val="00DB2AE8"/>
    <w:rsid w:val="00DB2B35"/>
    <w:rsid w:val="00DB2DA7"/>
    <w:rsid w:val="00DB2DAA"/>
    <w:rsid w:val="00DB2DCF"/>
    <w:rsid w:val="00DB2E26"/>
    <w:rsid w:val="00DB2EF0"/>
    <w:rsid w:val="00DB2F8E"/>
    <w:rsid w:val="00DB2FBC"/>
    <w:rsid w:val="00DB3145"/>
    <w:rsid w:val="00DB3226"/>
    <w:rsid w:val="00DB36A6"/>
    <w:rsid w:val="00DB3848"/>
    <w:rsid w:val="00DB3879"/>
    <w:rsid w:val="00DB39A8"/>
    <w:rsid w:val="00DB3B1E"/>
    <w:rsid w:val="00DB3B54"/>
    <w:rsid w:val="00DB3CCF"/>
    <w:rsid w:val="00DB3D28"/>
    <w:rsid w:val="00DB3D4B"/>
    <w:rsid w:val="00DB3E84"/>
    <w:rsid w:val="00DB3FCA"/>
    <w:rsid w:val="00DB4932"/>
    <w:rsid w:val="00DB4B06"/>
    <w:rsid w:val="00DB4B41"/>
    <w:rsid w:val="00DB5213"/>
    <w:rsid w:val="00DB545F"/>
    <w:rsid w:val="00DB57A4"/>
    <w:rsid w:val="00DB57C7"/>
    <w:rsid w:val="00DB5B96"/>
    <w:rsid w:val="00DB5C05"/>
    <w:rsid w:val="00DB5FDC"/>
    <w:rsid w:val="00DB62AB"/>
    <w:rsid w:val="00DB6414"/>
    <w:rsid w:val="00DB6BE5"/>
    <w:rsid w:val="00DB6EC7"/>
    <w:rsid w:val="00DB7193"/>
    <w:rsid w:val="00DB7559"/>
    <w:rsid w:val="00DB75EB"/>
    <w:rsid w:val="00DB7604"/>
    <w:rsid w:val="00DB765E"/>
    <w:rsid w:val="00DB7981"/>
    <w:rsid w:val="00DB7AD2"/>
    <w:rsid w:val="00DB7C23"/>
    <w:rsid w:val="00DB7E46"/>
    <w:rsid w:val="00DB7ED0"/>
    <w:rsid w:val="00DB7EE2"/>
    <w:rsid w:val="00DC02AA"/>
    <w:rsid w:val="00DC02E9"/>
    <w:rsid w:val="00DC052E"/>
    <w:rsid w:val="00DC0760"/>
    <w:rsid w:val="00DC0B55"/>
    <w:rsid w:val="00DC0D14"/>
    <w:rsid w:val="00DC1164"/>
    <w:rsid w:val="00DC1307"/>
    <w:rsid w:val="00DC1463"/>
    <w:rsid w:val="00DC1489"/>
    <w:rsid w:val="00DC16B4"/>
    <w:rsid w:val="00DC16BE"/>
    <w:rsid w:val="00DC1981"/>
    <w:rsid w:val="00DC1EC5"/>
    <w:rsid w:val="00DC1F41"/>
    <w:rsid w:val="00DC1FFC"/>
    <w:rsid w:val="00DC2008"/>
    <w:rsid w:val="00DC2017"/>
    <w:rsid w:val="00DC2135"/>
    <w:rsid w:val="00DC2298"/>
    <w:rsid w:val="00DC240D"/>
    <w:rsid w:val="00DC2426"/>
    <w:rsid w:val="00DC28E9"/>
    <w:rsid w:val="00DC290A"/>
    <w:rsid w:val="00DC2B03"/>
    <w:rsid w:val="00DC2D31"/>
    <w:rsid w:val="00DC2EAD"/>
    <w:rsid w:val="00DC31B6"/>
    <w:rsid w:val="00DC31CC"/>
    <w:rsid w:val="00DC3272"/>
    <w:rsid w:val="00DC35F8"/>
    <w:rsid w:val="00DC375D"/>
    <w:rsid w:val="00DC3942"/>
    <w:rsid w:val="00DC3AF3"/>
    <w:rsid w:val="00DC3D47"/>
    <w:rsid w:val="00DC3F3F"/>
    <w:rsid w:val="00DC44E5"/>
    <w:rsid w:val="00DC45EA"/>
    <w:rsid w:val="00DC479C"/>
    <w:rsid w:val="00DC47F6"/>
    <w:rsid w:val="00DC49D2"/>
    <w:rsid w:val="00DC4EC3"/>
    <w:rsid w:val="00DC4F84"/>
    <w:rsid w:val="00DC5474"/>
    <w:rsid w:val="00DC57DD"/>
    <w:rsid w:val="00DC5AF6"/>
    <w:rsid w:val="00DC5C03"/>
    <w:rsid w:val="00DC616F"/>
    <w:rsid w:val="00DC6270"/>
    <w:rsid w:val="00DC67EC"/>
    <w:rsid w:val="00DC6914"/>
    <w:rsid w:val="00DC6C72"/>
    <w:rsid w:val="00DC6EE8"/>
    <w:rsid w:val="00DC6F6C"/>
    <w:rsid w:val="00DC6F97"/>
    <w:rsid w:val="00DC7188"/>
    <w:rsid w:val="00DC7208"/>
    <w:rsid w:val="00DC7603"/>
    <w:rsid w:val="00DC7859"/>
    <w:rsid w:val="00DC7E66"/>
    <w:rsid w:val="00DC7F61"/>
    <w:rsid w:val="00DC7FA2"/>
    <w:rsid w:val="00DD01DF"/>
    <w:rsid w:val="00DD0534"/>
    <w:rsid w:val="00DD070E"/>
    <w:rsid w:val="00DD0904"/>
    <w:rsid w:val="00DD0EB4"/>
    <w:rsid w:val="00DD0FE2"/>
    <w:rsid w:val="00DD12A3"/>
    <w:rsid w:val="00DD158F"/>
    <w:rsid w:val="00DD197A"/>
    <w:rsid w:val="00DD1B98"/>
    <w:rsid w:val="00DD1D57"/>
    <w:rsid w:val="00DD1F50"/>
    <w:rsid w:val="00DD2115"/>
    <w:rsid w:val="00DD2462"/>
    <w:rsid w:val="00DD2597"/>
    <w:rsid w:val="00DD28AA"/>
    <w:rsid w:val="00DD2B2D"/>
    <w:rsid w:val="00DD2C61"/>
    <w:rsid w:val="00DD2E56"/>
    <w:rsid w:val="00DD2FE8"/>
    <w:rsid w:val="00DD307E"/>
    <w:rsid w:val="00DD32D5"/>
    <w:rsid w:val="00DD3323"/>
    <w:rsid w:val="00DD382C"/>
    <w:rsid w:val="00DD384C"/>
    <w:rsid w:val="00DD3AF0"/>
    <w:rsid w:val="00DD41F4"/>
    <w:rsid w:val="00DD4557"/>
    <w:rsid w:val="00DD4599"/>
    <w:rsid w:val="00DD479F"/>
    <w:rsid w:val="00DD4889"/>
    <w:rsid w:val="00DD48CE"/>
    <w:rsid w:val="00DD4984"/>
    <w:rsid w:val="00DD49FF"/>
    <w:rsid w:val="00DD4ACB"/>
    <w:rsid w:val="00DD4C90"/>
    <w:rsid w:val="00DD4CC2"/>
    <w:rsid w:val="00DD4F58"/>
    <w:rsid w:val="00DD4FB0"/>
    <w:rsid w:val="00DD522F"/>
    <w:rsid w:val="00DD5618"/>
    <w:rsid w:val="00DD571A"/>
    <w:rsid w:val="00DD59F6"/>
    <w:rsid w:val="00DD5AD1"/>
    <w:rsid w:val="00DD5B1B"/>
    <w:rsid w:val="00DD5D3F"/>
    <w:rsid w:val="00DD5D72"/>
    <w:rsid w:val="00DD6035"/>
    <w:rsid w:val="00DD6224"/>
    <w:rsid w:val="00DD653F"/>
    <w:rsid w:val="00DD65E5"/>
    <w:rsid w:val="00DD6909"/>
    <w:rsid w:val="00DD6CA1"/>
    <w:rsid w:val="00DD6DCE"/>
    <w:rsid w:val="00DD6EF3"/>
    <w:rsid w:val="00DD7A84"/>
    <w:rsid w:val="00DD7B3C"/>
    <w:rsid w:val="00DD7BA6"/>
    <w:rsid w:val="00DD7BF6"/>
    <w:rsid w:val="00DD7CA0"/>
    <w:rsid w:val="00DD7D8C"/>
    <w:rsid w:val="00DD7DD6"/>
    <w:rsid w:val="00DD7DE9"/>
    <w:rsid w:val="00DE025B"/>
    <w:rsid w:val="00DE0274"/>
    <w:rsid w:val="00DE02B7"/>
    <w:rsid w:val="00DE07BA"/>
    <w:rsid w:val="00DE0A27"/>
    <w:rsid w:val="00DE0A8E"/>
    <w:rsid w:val="00DE0AD1"/>
    <w:rsid w:val="00DE0AE1"/>
    <w:rsid w:val="00DE0BFD"/>
    <w:rsid w:val="00DE0FBA"/>
    <w:rsid w:val="00DE1287"/>
    <w:rsid w:val="00DE13CA"/>
    <w:rsid w:val="00DE140A"/>
    <w:rsid w:val="00DE1487"/>
    <w:rsid w:val="00DE170C"/>
    <w:rsid w:val="00DE18A6"/>
    <w:rsid w:val="00DE19A4"/>
    <w:rsid w:val="00DE1AD8"/>
    <w:rsid w:val="00DE1B46"/>
    <w:rsid w:val="00DE1CCF"/>
    <w:rsid w:val="00DE1D5B"/>
    <w:rsid w:val="00DE1F3E"/>
    <w:rsid w:val="00DE228C"/>
    <w:rsid w:val="00DE23E7"/>
    <w:rsid w:val="00DE25CE"/>
    <w:rsid w:val="00DE28DF"/>
    <w:rsid w:val="00DE2C0C"/>
    <w:rsid w:val="00DE2D0B"/>
    <w:rsid w:val="00DE2DAA"/>
    <w:rsid w:val="00DE2E69"/>
    <w:rsid w:val="00DE2EBC"/>
    <w:rsid w:val="00DE2F26"/>
    <w:rsid w:val="00DE300E"/>
    <w:rsid w:val="00DE30A7"/>
    <w:rsid w:val="00DE39F9"/>
    <w:rsid w:val="00DE3A3B"/>
    <w:rsid w:val="00DE45A0"/>
    <w:rsid w:val="00DE45AA"/>
    <w:rsid w:val="00DE47D8"/>
    <w:rsid w:val="00DE47DD"/>
    <w:rsid w:val="00DE49F7"/>
    <w:rsid w:val="00DE4A20"/>
    <w:rsid w:val="00DE4A7F"/>
    <w:rsid w:val="00DE4B33"/>
    <w:rsid w:val="00DE4D1A"/>
    <w:rsid w:val="00DE5216"/>
    <w:rsid w:val="00DE52AD"/>
    <w:rsid w:val="00DE52E2"/>
    <w:rsid w:val="00DE5768"/>
    <w:rsid w:val="00DE5848"/>
    <w:rsid w:val="00DE58AD"/>
    <w:rsid w:val="00DE59E1"/>
    <w:rsid w:val="00DE5A07"/>
    <w:rsid w:val="00DE5D58"/>
    <w:rsid w:val="00DE5F31"/>
    <w:rsid w:val="00DE6317"/>
    <w:rsid w:val="00DE65F2"/>
    <w:rsid w:val="00DE6626"/>
    <w:rsid w:val="00DE69FB"/>
    <w:rsid w:val="00DE6DCC"/>
    <w:rsid w:val="00DE6F1D"/>
    <w:rsid w:val="00DE6FA8"/>
    <w:rsid w:val="00DE772F"/>
    <w:rsid w:val="00DE78BA"/>
    <w:rsid w:val="00DE7950"/>
    <w:rsid w:val="00DE7A66"/>
    <w:rsid w:val="00DE7CD2"/>
    <w:rsid w:val="00DF026D"/>
    <w:rsid w:val="00DF03BC"/>
    <w:rsid w:val="00DF03E2"/>
    <w:rsid w:val="00DF0619"/>
    <w:rsid w:val="00DF07B0"/>
    <w:rsid w:val="00DF09B7"/>
    <w:rsid w:val="00DF0B90"/>
    <w:rsid w:val="00DF0B9E"/>
    <w:rsid w:val="00DF0C73"/>
    <w:rsid w:val="00DF11B1"/>
    <w:rsid w:val="00DF1816"/>
    <w:rsid w:val="00DF1A33"/>
    <w:rsid w:val="00DF1D0B"/>
    <w:rsid w:val="00DF1DDB"/>
    <w:rsid w:val="00DF1EAE"/>
    <w:rsid w:val="00DF1FE4"/>
    <w:rsid w:val="00DF216E"/>
    <w:rsid w:val="00DF2651"/>
    <w:rsid w:val="00DF2891"/>
    <w:rsid w:val="00DF29A4"/>
    <w:rsid w:val="00DF2CDD"/>
    <w:rsid w:val="00DF2DED"/>
    <w:rsid w:val="00DF2ED8"/>
    <w:rsid w:val="00DF2EF8"/>
    <w:rsid w:val="00DF3059"/>
    <w:rsid w:val="00DF34DC"/>
    <w:rsid w:val="00DF35F6"/>
    <w:rsid w:val="00DF37E3"/>
    <w:rsid w:val="00DF3F59"/>
    <w:rsid w:val="00DF41F6"/>
    <w:rsid w:val="00DF4407"/>
    <w:rsid w:val="00DF4BB1"/>
    <w:rsid w:val="00DF4CC3"/>
    <w:rsid w:val="00DF4D44"/>
    <w:rsid w:val="00DF50A9"/>
    <w:rsid w:val="00DF59FB"/>
    <w:rsid w:val="00DF5DC4"/>
    <w:rsid w:val="00DF6038"/>
    <w:rsid w:val="00DF60AB"/>
    <w:rsid w:val="00DF618C"/>
    <w:rsid w:val="00DF62E9"/>
    <w:rsid w:val="00DF633C"/>
    <w:rsid w:val="00DF63F3"/>
    <w:rsid w:val="00DF64CC"/>
    <w:rsid w:val="00DF6BBE"/>
    <w:rsid w:val="00DF6DBB"/>
    <w:rsid w:val="00DF7489"/>
    <w:rsid w:val="00DF7506"/>
    <w:rsid w:val="00DF757F"/>
    <w:rsid w:val="00DF76D1"/>
    <w:rsid w:val="00DF78FC"/>
    <w:rsid w:val="00DF7B66"/>
    <w:rsid w:val="00DF7C5C"/>
    <w:rsid w:val="00DF7D3C"/>
    <w:rsid w:val="00DF7F78"/>
    <w:rsid w:val="00E00052"/>
    <w:rsid w:val="00E00055"/>
    <w:rsid w:val="00E00362"/>
    <w:rsid w:val="00E00542"/>
    <w:rsid w:val="00E0083B"/>
    <w:rsid w:val="00E009AF"/>
    <w:rsid w:val="00E00C8D"/>
    <w:rsid w:val="00E00D56"/>
    <w:rsid w:val="00E00E5F"/>
    <w:rsid w:val="00E012DD"/>
    <w:rsid w:val="00E013BB"/>
    <w:rsid w:val="00E016FF"/>
    <w:rsid w:val="00E0171D"/>
    <w:rsid w:val="00E01778"/>
    <w:rsid w:val="00E018F0"/>
    <w:rsid w:val="00E01921"/>
    <w:rsid w:val="00E01982"/>
    <w:rsid w:val="00E01B67"/>
    <w:rsid w:val="00E01DA2"/>
    <w:rsid w:val="00E0207B"/>
    <w:rsid w:val="00E0235E"/>
    <w:rsid w:val="00E0259C"/>
    <w:rsid w:val="00E02663"/>
    <w:rsid w:val="00E02665"/>
    <w:rsid w:val="00E02705"/>
    <w:rsid w:val="00E027E2"/>
    <w:rsid w:val="00E02967"/>
    <w:rsid w:val="00E033A2"/>
    <w:rsid w:val="00E033EF"/>
    <w:rsid w:val="00E03F3D"/>
    <w:rsid w:val="00E04004"/>
    <w:rsid w:val="00E041C7"/>
    <w:rsid w:val="00E04341"/>
    <w:rsid w:val="00E04593"/>
    <w:rsid w:val="00E0461D"/>
    <w:rsid w:val="00E049EA"/>
    <w:rsid w:val="00E04DF0"/>
    <w:rsid w:val="00E052FA"/>
    <w:rsid w:val="00E054D0"/>
    <w:rsid w:val="00E0555F"/>
    <w:rsid w:val="00E05861"/>
    <w:rsid w:val="00E06021"/>
    <w:rsid w:val="00E0605E"/>
    <w:rsid w:val="00E06161"/>
    <w:rsid w:val="00E061FE"/>
    <w:rsid w:val="00E064FA"/>
    <w:rsid w:val="00E06EE5"/>
    <w:rsid w:val="00E06F01"/>
    <w:rsid w:val="00E07268"/>
    <w:rsid w:val="00E07344"/>
    <w:rsid w:val="00E07380"/>
    <w:rsid w:val="00E077F2"/>
    <w:rsid w:val="00E07B44"/>
    <w:rsid w:val="00E07CEB"/>
    <w:rsid w:val="00E07D05"/>
    <w:rsid w:val="00E07EBB"/>
    <w:rsid w:val="00E07F38"/>
    <w:rsid w:val="00E07F76"/>
    <w:rsid w:val="00E10195"/>
    <w:rsid w:val="00E1021D"/>
    <w:rsid w:val="00E102B8"/>
    <w:rsid w:val="00E10621"/>
    <w:rsid w:val="00E108DB"/>
    <w:rsid w:val="00E1096E"/>
    <w:rsid w:val="00E10C54"/>
    <w:rsid w:val="00E110FD"/>
    <w:rsid w:val="00E11280"/>
    <w:rsid w:val="00E117FD"/>
    <w:rsid w:val="00E118A4"/>
    <w:rsid w:val="00E11916"/>
    <w:rsid w:val="00E1197D"/>
    <w:rsid w:val="00E119BC"/>
    <w:rsid w:val="00E11AE6"/>
    <w:rsid w:val="00E11B63"/>
    <w:rsid w:val="00E11BC4"/>
    <w:rsid w:val="00E11E8D"/>
    <w:rsid w:val="00E120A5"/>
    <w:rsid w:val="00E123C7"/>
    <w:rsid w:val="00E124CC"/>
    <w:rsid w:val="00E125F5"/>
    <w:rsid w:val="00E1275F"/>
    <w:rsid w:val="00E12865"/>
    <w:rsid w:val="00E128B5"/>
    <w:rsid w:val="00E12951"/>
    <w:rsid w:val="00E129E8"/>
    <w:rsid w:val="00E12BBF"/>
    <w:rsid w:val="00E12DD4"/>
    <w:rsid w:val="00E12F34"/>
    <w:rsid w:val="00E134D5"/>
    <w:rsid w:val="00E134E8"/>
    <w:rsid w:val="00E135A9"/>
    <w:rsid w:val="00E136E6"/>
    <w:rsid w:val="00E138C6"/>
    <w:rsid w:val="00E138CC"/>
    <w:rsid w:val="00E139FA"/>
    <w:rsid w:val="00E13AC5"/>
    <w:rsid w:val="00E13B5E"/>
    <w:rsid w:val="00E13CB2"/>
    <w:rsid w:val="00E13D56"/>
    <w:rsid w:val="00E14099"/>
    <w:rsid w:val="00E141DA"/>
    <w:rsid w:val="00E14C6E"/>
    <w:rsid w:val="00E14C9A"/>
    <w:rsid w:val="00E14D0F"/>
    <w:rsid w:val="00E14D36"/>
    <w:rsid w:val="00E15300"/>
    <w:rsid w:val="00E15479"/>
    <w:rsid w:val="00E15655"/>
    <w:rsid w:val="00E15821"/>
    <w:rsid w:val="00E15B59"/>
    <w:rsid w:val="00E15BB3"/>
    <w:rsid w:val="00E15DE6"/>
    <w:rsid w:val="00E16271"/>
    <w:rsid w:val="00E1637D"/>
    <w:rsid w:val="00E1679B"/>
    <w:rsid w:val="00E167C0"/>
    <w:rsid w:val="00E1687A"/>
    <w:rsid w:val="00E168D9"/>
    <w:rsid w:val="00E168FB"/>
    <w:rsid w:val="00E16A86"/>
    <w:rsid w:val="00E16D5E"/>
    <w:rsid w:val="00E16F45"/>
    <w:rsid w:val="00E17092"/>
    <w:rsid w:val="00E170CA"/>
    <w:rsid w:val="00E176CB"/>
    <w:rsid w:val="00E177C5"/>
    <w:rsid w:val="00E17A67"/>
    <w:rsid w:val="00E17C2E"/>
    <w:rsid w:val="00E17ED4"/>
    <w:rsid w:val="00E201F5"/>
    <w:rsid w:val="00E20693"/>
    <w:rsid w:val="00E2083E"/>
    <w:rsid w:val="00E20885"/>
    <w:rsid w:val="00E20AB0"/>
    <w:rsid w:val="00E20D81"/>
    <w:rsid w:val="00E21042"/>
    <w:rsid w:val="00E210E9"/>
    <w:rsid w:val="00E21344"/>
    <w:rsid w:val="00E21A69"/>
    <w:rsid w:val="00E21A9F"/>
    <w:rsid w:val="00E21CB7"/>
    <w:rsid w:val="00E21E13"/>
    <w:rsid w:val="00E21F1C"/>
    <w:rsid w:val="00E220EF"/>
    <w:rsid w:val="00E22249"/>
    <w:rsid w:val="00E224B2"/>
    <w:rsid w:val="00E226B4"/>
    <w:rsid w:val="00E22C0D"/>
    <w:rsid w:val="00E22C59"/>
    <w:rsid w:val="00E22C87"/>
    <w:rsid w:val="00E22F41"/>
    <w:rsid w:val="00E2307D"/>
    <w:rsid w:val="00E234C8"/>
    <w:rsid w:val="00E235CC"/>
    <w:rsid w:val="00E23895"/>
    <w:rsid w:val="00E238C3"/>
    <w:rsid w:val="00E23B35"/>
    <w:rsid w:val="00E23DAD"/>
    <w:rsid w:val="00E23E34"/>
    <w:rsid w:val="00E244DB"/>
    <w:rsid w:val="00E244EA"/>
    <w:rsid w:val="00E2469B"/>
    <w:rsid w:val="00E248EA"/>
    <w:rsid w:val="00E24B11"/>
    <w:rsid w:val="00E24BE6"/>
    <w:rsid w:val="00E25168"/>
    <w:rsid w:val="00E259F0"/>
    <w:rsid w:val="00E25B8B"/>
    <w:rsid w:val="00E25FA5"/>
    <w:rsid w:val="00E2600B"/>
    <w:rsid w:val="00E26179"/>
    <w:rsid w:val="00E26224"/>
    <w:rsid w:val="00E2624F"/>
    <w:rsid w:val="00E2653A"/>
    <w:rsid w:val="00E26BC4"/>
    <w:rsid w:val="00E26D6A"/>
    <w:rsid w:val="00E26FCC"/>
    <w:rsid w:val="00E2704A"/>
    <w:rsid w:val="00E27061"/>
    <w:rsid w:val="00E270E3"/>
    <w:rsid w:val="00E27339"/>
    <w:rsid w:val="00E2746A"/>
    <w:rsid w:val="00E277D1"/>
    <w:rsid w:val="00E27B41"/>
    <w:rsid w:val="00E27B90"/>
    <w:rsid w:val="00E3055C"/>
    <w:rsid w:val="00E30892"/>
    <w:rsid w:val="00E30BAA"/>
    <w:rsid w:val="00E311B9"/>
    <w:rsid w:val="00E314B7"/>
    <w:rsid w:val="00E316DA"/>
    <w:rsid w:val="00E318FF"/>
    <w:rsid w:val="00E31B0A"/>
    <w:rsid w:val="00E31B62"/>
    <w:rsid w:val="00E31B8B"/>
    <w:rsid w:val="00E31C15"/>
    <w:rsid w:val="00E31D18"/>
    <w:rsid w:val="00E31F56"/>
    <w:rsid w:val="00E321F9"/>
    <w:rsid w:val="00E3266E"/>
    <w:rsid w:val="00E32864"/>
    <w:rsid w:val="00E32B27"/>
    <w:rsid w:val="00E32DDF"/>
    <w:rsid w:val="00E332BC"/>
    <w:rsid w:val="00E335D5"/>
    <w:rsid w:val="00E337C8"/>
    <w:rsid w:val="00E338BD"/>
    <w:rsid w:val="00E33B0B"/>
    <w:rsid w:val="00E33B1E"/>
    <w:rsid w:val="00E33E39"/>
    <w:rsid w:val="00E33FDE"/>
    <w:rsid w:val="00E3404A"/>
    <w:rsid w:val="00E3417F"/>
    <w:rsid w:val="00E3434A"/>
    <w:rsid w:val="00E34760"/>
    <w:rsid w:val="00E34ADF"/>
    <w:rsid w:val="00E350E1"/>
    <w:rsid w:val="00E35265"/>
    <w:rsid w:val="00E35A3C"/>
    <w:rsid w:val="00E35E89"/>
    <w:rsid w:val="00E3619F"/>
    <w:rsid w:val="00E363EC"/>
    <w:rsid w:val="00E36674"/>
    <w:rsid w:val="00E36835"/>
    <w:rsid w:val="00E36A88"/>
    <w:rsid w:val="00E36ABD"/>
    <w:rsid w:val="00E36BE4"/>
    <w:rsid w:val="00E36C13"/>
    <w:rsid w:val="00E36CC9"/>
    <w:rsid w:val="00E36D48"/>
    <w:rsid w:val="00E36DD7"/>
    <w:rsid w:val="00E3702F"/>
    <w:rsid w:val="00E37377"/>
    <w:rsid w:val="00E374EA"/>
    <w:rsid w:val="00E37991"/>
    <w:rsid w:val="00E37AA8"/>
    <w:rsid w:val="00E37D08"/>
    <w:rsid w:val="00E37E8D"/>
    <w:rsid w:val="00E40021"/>
    <w:rsid w:val="00E4008D"/>
    <w:rsid w:val="00E40119"/>
    <w:rsid w:val="00E40195"/>
    <w:rsid w:val="00E40201"/>
    <w:rsid w:val="00E40244"/>
    <w:rsid w:val="00E405D1"/>
    <w:rsid w:val="00E407A1"/>
    <w:rsid w:val="00E40919"/>
    <w:rsid w:val="00E40A8B"/>
    <w:rsid w:val="00E40F7E"/>
    <w:rsid w:val="00E410C4"/>
    <w:rsid w:val="00E414D4"/>
    <w:rsid w:val="00E417EC"/>
    <w:rsid w:val="00E418BE"/>
    <w:rsid w:val="00E41CC5"/>
    <w:rsid w:val="00E41D68"/>
    <w:rsid w:val="00E41D9E"/>
    <w:rsid w:val="00E42318"/>
    <w:rsid w:val="00E426F5"/>
    <w:rsid w:val="00E4288D"/>
    <w:rsid w:val="00E42A50"/>
    <w:rsid w:val="00E42D37"/>
    <w:rsid w:val="00E4316C"/>
    <w:rsid w:val="00E433B9"/>
    <w:rsid w:val="00E434CF"/>
    <w:rsid w:val="00E4363D"/>
    <w:rsid w:val="00E4378B"/>
    <w:rsid w:val="00E43EDF"/>
    <w:rsid w:val="00E4402E"/>
    <w:rsid w:val="00E44175"/>
    <w:rsid w:val="00E441C8"/>
    <w:rsid w:val="00E443D1"/>
    <w:rsid w:val="00E44562"/>
    <w:rsid w:val="00E4458A"/>
    <w:rsid w:val="00E445DD"/>
    <w:rsid w:val="00E44AE0"/>
    <w:rsid w:val="00E44B37"/>
    <w:rsid w:val="00E44FDB"/>
    <w:rsid w:val="00E4502E"/>
    <w:rsid w:val="00E45061"/>
    <w:rsid w:val="00E4525B"/>
    <w:rsid w:val="00E454BA"/>
    <w:rsid w:val="00E45F97"/>
    <w:rsid w:val="00E46198"/>
    <w:rsid w:val="00E4640E"/>
    <w:rsid w:val="00E46844"/>
    <w:rsid w:val="00E46887"/>
    <w:rsid w:val="00E46A67"/>
    <w:rsid w:val="00E46C96"/>
    <w:rsid w:val="00E46DD1"/>
    <w:rsid w:val="00E4705E"/>
    <w:rsid w:val="00E47091"/>
    <w:rsid w:val="00E4713C"/>
    <w:rsid w:val="00E478A1"/>
    <w:rsid w:val="00E478BC"/>
    <w:rsid w:val="00E479BA"/>
    <w:rsid w:val="00E47BEF"/>
    <w:rsid w:val="00E47D1B"/>
    <w:rsid w:val="00E47ED9"/>
    <w:rsid w:val="00E47F64"/>
    <w:rsid w:val="00E50068"/>
    <w:rsid w:val="00E50717"/>
    <w:rsid w:val="00E507B6"/>
    <w:rsid w:val="00E5085B"/>
    <w:rsid w:val="00E512DF"/>
    <w:rsid w:val="00E5152C"/>
    <w:rsid w:val="00E51574"/>
    <w:rsid w:val="00E51795"/>
    <w:rsid w:val="00E51836"/>
    <w:rsid w:val="00E51903"/>
    <w:rsid w:val="00E5194F"/>
    <w:rsid w:val="00E51AA0"/>
    <w:rsid w:val="00E51FA8"/>
    <w:rsid w:val="00E5200F"/>
    <w:rsid w:val="00E5208C"/>
    <w:rsid w:val="00E52436"/>
    <w:rsid w:val="00E5253F"/>
    <w:rsid w:val="00E5261A"/>
    <w:rsid w:val="00E52FC0"/>
    <w:rsid w:val="00E5315E"/>
    <w:rsid w:val="00E53172"/>
    <w:rsid w:val="00E533E2"/>
    <w:rsid w:val="00E534AE"/>
    <w:rsid w:val="00E538A4"/>
    <w:rsid w:val="00E53A3B"/>
    <w:rsid w:val="00E53FED"/>
    <w:rsid w:val="00E54040"/>
    <w:rsid w:val="00E5405C"/>
    <w:rsid w:val="00E5410A"/>
    <w:rsid w:val="00E5454F"/>
    <w:rsid w:val="00E54707"/>
    <w:rsid w:val="00E54C3A"/>
    <w:rsid w:val="00E54DA6"/>
    <w:rsid w:val="00E55977"/>
    <w:rsid w:val="00E55B4C"/>
    <w:rsid w:val="00E55C94"/>
    <w:rsid w:val="00E55E70"/>
    <w:rsid w:val="00E5634C"/>
    <w:rsid w:val="00E5646F"/>
    <w:rsid w:val="00E5652B"/>
    <w:rsid w:val="00E56570"/>
    <w:rsid w:val="00E567C2"/>
    <w:rsid w:val="00E56C43"/>
    <w:rsid w:val="00E56F8F"/>
    <w:rsid w:val="00E56FAD"/>
    <w:rsid w:val="00E56FBE"/>
    <w:rsid w:val="00E57084"/>
    <w:rsid w:val="00E572E7"/>
    <w:rsid w:val="00E5799A"/>
    <w:rsid w:val="00E57EE5"/>
    <w:rsid w:val="00E57FD9"/>
    <w:rsid w:val="00E6023D"/>
    <w:rsid w:val="00E60353"/>
    <w:rsid w:val="00E60650"/>
    <w:rsid w:val="00E60BBE"/>
    <w:rsid w:val="00E60DCB"/>
    <w:rsid w:val="00E60F79"/>
    <w:rsid w:val="00E612E4"/>
    <w:rsid w:val="00E6159D"/>
    <w:rsid w:val="00E615A6"/>
    <w:rsid w:val="00E61738"/>
    <w:rsid w:val="00E618A5"/>
    <w:rsid w:val="00E61A39"/>
    <w:rsid w:val="00E61AE2"/>
    <w:rsid w:val="00E61F8D"/>
    <w:rsid w:val="00E62018"/>
    <w:rsid w:val="00E620F3"/>
    <w:rsid w:val="00E62129"/>
    <w:rsid w:val="00E6219F"/>
    <w:rsid w:val="00E622D3"/>
    <w:rsid w:val="00E6268B"/>
    <w:rsid w:val="00E62899"/>
    <w:rsid w:val="00E62B1E"/>
    <w:rsid w:val="00E62D7F"/>
    <w:rsid w:val="00E62DC3"/>
    <w:rsid w:val="00E62F4F"/>
    <w:rsid w:val="00E630C1"/>
    <w:rsid w:val="00E63520"/>
    <w:rsid w:val="00E6356C"/>
    <w:rsid w:val="00E63897"/>
    <w:rsid w:val="00E63A85"/>
    <w:rsid w:val="00E63B68"/>
    <w:rsid w:val="00E63DCE"/>
    <w:rsid w:val="00E63E10"/>
    <w:rsid w:val="00E63E6B"/>
    <w:rsid w:val="00E63FAD"/>
    <w:rsid w:val="00E64268"/>
    <w:rsid w:val="00E644E8"/>
    <w:rsid w:val="00E645D9"/>
    <w:rsid w:val="00E64716"/>
    <w:rsid w:val="00E6487F"/>
    <w:rsid w:val="00E648B8"/>
    <w:rsid w:val="00E64A9E"/>
    <w:rsid w:val="00E64B99"/>
    <w:rsid w:val="00E64BDB"/>
    <w:rsid w:val="00E64E36"/>
    <w:rsid w:val="00E64E83"/>
    <w:rsid w:val="00E64F22"/>
    <w:rsid w:val="00E652E5"/>
    <w:rsid w:val="00E653E8"/>
    <w:rsid w:val="00E65431"/>
    <w:rsid w:val="00E654B7"/>
    <w:rsid w:val="00E657EB"/>
    <w:rsid w:val="00E659C2"/>
    <w:rsid w:val="00E65AD8"/>
    <w:rsid w:val="00E65BBA"/>
    <w:rsid w:val="00E65F24"/>
    <w:rsid w:val="00E65FE0"/>
    <w:rsid w:val="00E663B2"/>
    <w:rsid w:val="00E6640E"/>
    <w:rsid w:val="00E66743"/>
    <w:rsid w:val="00E668DE"/>
    <w:rsid w:val="00E669F2"/>
    <w:rsid w:val="00E66B36"/>
    <w:rsid w:val="00E66D2F"/>
    <w:rsid w:val="00E66DCE"/>
    <w:rsid w:val="00E66DFD"/>
    <w:rsid w:val="00E671F3"/>
    <w:rsid w:val="00E67762"/>
    <w:rsid w:val="00E67789"/>
    <w:rsid w:val="00E67832"/>
    <w:rsid w:val="00E67EAF"/>
    <w:rsid w:val="00E67F4D"/>
    <w:rsid w:val="00E7025B"/>
    <w:rsid w:val="00E702CE"/>
    <w:rsid w:val="00E703A0"/>
    <w:rsid w:val="00E703EE"/>
    <w:rsid w:val="00E706E6"/>
    <w:rsid w:val="00E70711"/>
    <w:rsid w:val="00E707A1"/>
    <w:rsid w:val="00E707AB"/>
    <w:rsid w:val="00E70A1E"/>
    <w:rsid w:val="00E70B5F"/>
    <w:rsid w:val="00E70E2A"/>
    <w:rsid w:val="00E70E33"/>
    <w:rsid w:val="00E70FF3"/>
    <w:rsid w:val="00E71349"/>
    <w:rsid w:val="00E7138C"/>
    <w:rsid w:val="00E71413"/>
    <w:rsid w:val="00E715BC"/>
    <w:rsid w:val="00E718A9"/>
    <w:rsid w:val="00E719D7"/>
    <w:rsid w:val="00E71EF1"/>
    <w:rsid w:val="00E71F3E"/>
    <w:rsid w:val="00E720E2"/>
    <w:rsid w:val="00E7228D"/>
    <w:rsid w:val="00E725F5"/>
    <w:rsid w:val="00E72705"/>
    <w:rsid w:val="00E7274F"/>
    <w:rsid w:val="00E727C7"/>
    <w:rsid w:val="00E72820"/>
    <w:rsid w:val="00E72823"/>
    <w:rsid w:val="00E7291E"/>
    <w:rsid w:val="00E72A1B"/>
    <w:rsid w:val="00E72BEA"/>
    <w:rsid w:val="00E72C27"/>
    <w:rsid w:val="00E7326B"/>
    <w:rsid w:val="00E734BE"/>
    <w:rsid w:val="00E7367D"/>
    <w:rsid w:val="00E73797"/>
    <w:rsid w:val="00E73830"/>
    <w:rsid w:val="00E73B40"/>
    <w:rsid w:val="00E74020"/>
    <w:rsid w:val="00E74072"/>
    <w:rsid w:val="00E7426A"/>
    <w:rsid w:val="00E74379"/>
    <w:rsid w:val="00E7495A"/>
    <w:rsid w:val="00E752BE"/>
    <w:rsid w:val="00E753A6"/>
    <w:rsid w:val="00E754C0"/>
    <w:rsid w:val="00E7577F"/>
    <w:rsid w:val="00E75784"/>
    <w:rsid w:val="00E7589D"/>
    <w:rsid w:val="00E75AA3"/>
    <w:rsid w:val="00E75AB7"/>
    <w:rsid w:val="00E75B88"/>
    <w:rsid w:val="00E75C54"/>
    <w:rsid w:val="00E75D47"/>
    <w:rsid w:val="00E7612F"/>
    <w:rsid w:val="00E7634C"/>
    <w:rsid w:val="00E76439"/>
    <w:rsid w:val="00E765B4"/>
    <w:rsid w:val="00E76841"/>
    <w:rsid w:val="00E76AF5"/>
    <w:rsid w:val="00E76C2C"/>
    <w:rsid w:val="00E773FD"/>
    <w:rsid w:val="00E77938"/>
    <w:rsid w:val="00E77B8B"/>
    <w:rsid w:val="00E77C33"/>
    <w:rsid w:val="00E77E96"/>
    <w:rsid w:val="00E802C7"/>
    <w:rsid w:val="00E803D7"/>
    <w:rsid w:val="00E805A3"/>
    <w:rsid w:val="00E80769"/>
    <w:rsid w:val="00E80C67"/>
    <w:rsid w:val="00E80D28"/>
    <w:rsid w:val="00E81053"/>
    <w:rsid w:val="00E81088"/>
    <w:rsid w:val="00E81635"/>
    <w:rsid w:val="00E818B8"/>
    <w:rsid w:val="00E819A6"/>
    <w:rsid w:val="00E81F79"/>
    <w:rsid w:val="00E82064"/>
    <w:rsid w:val="00E820DC"/>
    <w:rsid w:val="00E82347"/>
    <w:rsid w:val="00E82DBD"/>
    <w:rsid w:val="00E83007"/>
    <w:rsid w:val="00E830F0"/>
    <w:rsid w:val="00E8324A"/>
    <w:rsid w:val="00E8335F"/>
    <w:rsid w:val="00E83814"/>
    <w:rsid w:val="00E83914"/>
    <w:rsid w:val="00E839A1"/>
    <w:rsid w:val="00E839A4"/>
    <w:rsid w:val="00E83E89"/>
    <w:rsid w:val="00E83F29"/>
    <w:rsid w:val="00E840D5"/>
    <w:rsid w:val="00E842B6"/>
    <w:rsid w:val="00E84630"/>
    <w:rsid w:val="00E84E63"/>
    <w:rsid w:val="00E850B1"/>
    <w:rsid w:val="00E851E2"/>
    <w:rsid w:val="00E855BB"/>
    <w:rsid w:val="00E85648"/>
    <w:rsid w:val="00E8569C"/>
    <w:rsid w:val="00E8580D"/>
    <w:rsid w:val="00E859C6"/>
    <w:rsid w:val="00E85AD0"/>
    <w:rsid w:val="00E85EA8"/>
    <w:rsid w:val="00E85F0F"/>
    <w:rsid w:val="00E860C6"/>
    <w:rsid w:val="00E861D6"/>
    <w:rsid w:val="00E861FD"/>
    <w:rsid w:val="00E8622D"/>
    <w:rsid w:val="00E86380"/>
    <w:rsid w:val="00E865D6"/>
    <w:rsid w:val="00E86C3B"/>
    <w:rsid w:val="00E86E73"/>
    <w:rsid w:val="00E86FF3"/>
    <w:rsid w:val="00E87086"/>
    <w:rsid w:val="00E87110"/>
    <w:rsid w:val="00E873FF"/>
    <w:rsid w:val="00E8751B"/>
    <w:rsid w:val="00E877D7"/>
    <w:rsid w:val="00E87EDC"/>
    <w:rsid w:val="00E90053"/>
    <w:rsid w:val="00E9011E"/>
    <w:rsid w:val="00E90139"/>
    <w:rsid w:val="00E9013F"/>
    <w:rsid w:val="00E907FA"/>
    <w:rsid w:val="00E90822"/>
    <w:rsid w:val="00E90C6F"/>
    <w:rsid w:val="00E90E17"/>
    <w:rsid w:val="00E90FFA"/>
    <w:rsid w:val="00E91107"/>
    <w:rsid w:val="00E9110E"/>
    <w:rsid w:val="00E919BF"/>
    <w:rsid w:val="00E91A17"/>
    <w:rsid w:val="00E92189"/>
    <w:rsid w:val="00E922F1"/>
    <w:rsid w:val="00E924A5"/>
    <w:rsid w:val="00E9273F"/>
    <w:rsid w:val="00E9278E"/>
    <w:rsid w:val="00E9280B"/>
    <w:rsid w:val="00E928E7"/>
    <w:rsid w:val="00E92B43"/>
    <w:rsid w:val="00E92EE5"/>
    <w:rsid w:val="00E9309E"/>
    <w:rsid w:val="00E9319B"/>
    <w:rsid w:val="00E932EA"/>
    <w:rsid w:val="00E935FF"/>
    <w:rsid w:val="00E9369B"/>
    <w:rsid w:val="00E93826"/>
    <w:rsid w:val="00E9389F"/>
    <w:rsid w:val="00E93A1D"/>
    <w:rsid w:val="00E93AB2"/>
    <w:rsid w:val="00E93B4C"/>
    <w:rsid w:val="00E93CD1"/>
    <w:rsid w:val="00E9421E"/>
    <w:rsid w:val="00E942EA"/>
    <w:rsid w:val="00E94638"/>
    <w:rsid w:val="00E948AA"/>
    <w:rsid w:val="00E95055"/>
    <w:rsid w:val="00E951ED"/>
    <w:rsid w:val="00E95366"/>
    <w:rsid w:val="00E95683"/>
    <w:rsid w:val="00E958B3"/>
    <w:rsid w:val="00E9591D"/>
    <w:rsid w:val="00E9597E"/>
    <w:rsid w:val="00E959CA"/>
    <w:rsid w:val="00E95B0E"/>
    <w:rsid w:val="00E95B82"/>
    <w:rsid w:val="00E95D77"/>
    <w:rsid w:val="00E95F62"/>
    <w:rsid w:val="00E9607D"/>
    <w:rsid w:val="00E9612E"/>
    <w:rsid w:val="00E963E2"/>
    <w:rsid w:val="00E963E9"/>
    <w:rsid w:val="00E96433"/>
    <w:rsid w:val="00E969BA"/>
    <w:rsid w:val="00E96D28"/>
    <w:rsid w:val="00E9705B"/>
    <w:rsid w:val="00E970BC"/>
    <w:rsid w:val="00E97272"/>
    <w:rsid w:val="00E97297"/>
    <w:rsid w:val="00E97308"/>
    <w:rsid w:val="00E973EB"/>
    <w:rsid w:val="00E974B8"/>
    <w:rsid w:val="00E97606"/>
    <w:rsid w:val="00E97623"/>
    <w:rsid w:val="00E978A7"/>
    <w:rsid w:val="00E97B81"/>
    <w:rsid w:val="00E97B95"/>
    <w:rsid w:val="00E97F03"/>
    <w:rsid w:val="00EA005E"/>
    <w:rsid w:val="00EA0567"/>
    <w:rsid w:val="00EA0B7B"/>
    <w:rsid w:val="00EA0C86"/>
    <w:rsid w:val="00EA0E34"/>
    <w:rsid w:val="00EA0EE0"/>
    <w:rsid w:val="00EA0F19"/>
    <w:rsid w:val="00EA0FC2"/>
    <w:rsid w:val="00EA10A9"/>
    <w:rsid w:val="00EA1226"/>
    <w:rsid w:val="00EA14D3"/>
    <w:rsid w:val="00EA15C6"/>
    <w:rsid w:val="00EA1672"/>
    <w:rsid w:val="00EA179B"/>
    <w:rsid w:val="00EA1A8E"/>
    <w:rsid w:val="00EA1B35"/>
    <w:rsid w:val="00EA1C61"/>
    <w:rsid w:val="00EA1D73"/>
    <w:rsid w:val="00EA1F58"/>
    <w:rsid w:val="00EA1F5F"/>
    <w:rsid w:val="00EA2067"/>
    <w:rsid w:val="00EA206D"/>
    <w:rsid w:val="00EA212E"/>
    <w:rsid w:val="00EA2275"/>
    <w:rsid w:val="00EA2682"/>
    <w:rsid w:val="00EA2AB7"/>
    <w:rsid w:val="00EA2AF0"/>
    <w:rsid w:val="00EA2BA5"/>
    <w:rsid w:val="00EA2E30"/>
    <w:rsid w:val="00EA2F66"/>
    <w:rsid w:val="00EA312F"/>
    <w:rsid w:val="00EA3136"/>
    <w:rsid w:val="00EA323B"/>
    <w:rsid w:val="00EA3BB0"/>
    <w:rsid w:val="00EA3BC9"/>
    <w:rsid w:val="00EA3CC1"/>
    <w:rsid w:val="00EA3D60"/>
    <w:rsid w:val="00EA3D9C"/>
    <w:rsid w:val="00EA3EA8"/>
    <w:rsid w:val="00EA4053"/>
    <w:rsid w:val="00EA41CC"/>
    <w:rsid w:val="00EA4746"/>
    <w:rsid w:val="00EA475A"/>
    <w:rsid w:val="00EA48B4"/>
    <w:rsid w:val="00EA4BC6"/>
    <w:rsid w:val="00EA4C21"/>
    <w:rsid w:val="00EA4DAD"/>
    <w:rsid w:val="00EA4EC2"/>
    <w:rsid w:val="00EA513D"/>
    <w:rsid w:val="00EA5805"/>
    <w:rsid w:val="00EA5916"/>
    <w:rsid w:val="00EA5948"/>
    <w:rsid w:val="00EA5A1F"/>
    <w:rsid w:val="00EA5C24"/>
    <w:rsid w:val="00EA5F85"/>
    <w:rsid w:val="00EA604F"/>
    <w:rsid w:val="00EA64EB"/>
    <w:rsid w:val="00EA6501"/>
    <w:rsid w:val="00EA664A"/>
    <w:rsid w:val="00EA6672"/>
    <w:rsid w:val="00EA670B"/>
    <w:rsid w:val="00EA6A75"/>
    <w:rsid w:val="00EA6D8C"/>
    <w:rsid w:val="00EA6DD7"/>
    <w:rsid w:val="00EA6E6C"/>
    <w:rsid w:val="00EA6ED0"/>
    <w:rsid w:val="00EA6EFC"/>
    <w:rsid w:val="00EA777F"/>
    <w:rsid w:val="00EA7807"/>
    <w:rsid w:val="00EA7D8A"/>
    <w:rsid w:val="00EA7E32"/>
    <w:rsid w:val="00EB0106"/>
    <w:rsid w:val="00EB0130"/>
    <w:rsid w:val="00EB0AE3"/>
    <w:rsid w:val="00EB0E55"/>
    <w:rsid w:val="00EB0F3C"/>
    <w:rsid w:val="00EB1AF1"/>
    <w:rsid w:val="00EB2232"/>
    <w:rsid w:val="00EB22EF"/>
    <w:rsid w:val="00EB2714"/>
    <w:rsid w:val="00EB2824"/>
    <w:rsid w:val="00EB2861"/>
    <w:rsid w:val="00EB292A"/>
    <w:rsid w:val="00EB2AD5"/>
    <w:rsid w:val="00EB2C83"/>
    <w:rsid w:val="00EB2D06"/>
    <w:rsid w:val="00EB2EF4"/>
    <w:rsid w:val="00EB2EF9"/>
    <w:rsid w:val="00EB2FA1"/>
    <w:rsid w:val="00EB3444"/>
    <w:rsid w:val="00EB35AC"/>
    <w:rsid w:val="00EB368C"/>
    <w:rsid w:val="00EB375C"/>
    <w:rsid w:val="00EB37B6"/>
    <w:rsid w:val="00EB3BE7"/>
    <w:rsid w:val="00EB3CE7"/>
    <w:rsid w:val="00EB409E"/>
    <w:rsid w:val="00EB45F9"/>
    <w:rsid w:val="00EB4842"/>
    <w:rsid w:val="00EB48C8"/>
    <w:rsid w:val="00EB48FF"/>
    <w:rsid w:val="00EB4CDE"/>
    <w:rsid w:val="00EB532B"/>
    <w:rsid w:val="00EB540B"/>
    <w:rsid w:val="00EB547C"/>
    <w:rsid w:val="00EB55EA"/>
    <w:rsid w:val="00EB5703"/>
    <w:rsid w:val="00EB5EA4"/>
    <w:rsid w:val="00EB5FA4"/>
    <w:rsid w:val="00EB5FD4"/>
    <w:rsid w:val="00EB5FF6"/>
    <w:rsid w:val="00EB6041"/>
    <w:rsid w:val="00EB6549"/>
    <w:rsid w:val="00EB6597"/>
    <w:rsid w:val="00EB668E"/>
    <w:rsid w:val="00EB673F"/>
    <w:rsid w:val="00EB67C9"/>
    <w:rsid w:val="00EB6819"/>
    <w:rsid w:val="00EB6833"/>
    <w:rsid w:val="00EB6951"/>
    <w:rsid w:val="00EB6AEB"/>
    <w:rsid w:val="00EB6D3A"/>
    <w:rsid w:val="00EB6DD1"/>
    <w:rsid w:val="00EB71CB"/>
    <w:rsid w:val="00EB71F0"/>
    <w:rsid w:val="00EB72B3"/>
    <w:rsid w:val="00EB730A"/>
    <w:rsid w:val="00EB74E6"/>
    <w:rsid w:val="00EB7762"/>
    <w:rsid w:val="00EB777B"/>
    <w:rsid w:val="00EB7E08"/>
    <w:rsid w:val="00EB7F09"/>
    <w:rsid w:val="00EC022D"/>
    <w:rsid w:val="00EC03F2"/>
    <w:rsid w:val="00EC0510"/>
    <w:rsid w:val="00EC0757"/>
    <w:rsid w:val="00EC0797"/>
    <w:rsid w:val="00EC099A"/>
    <w:rsid w:val="00EC0B27"/>
    <w:rsid w:val="00EC12D5"/>
    <w:rsid w:val="00EC1615"/>
    <w:rsid w:val="00EC1669"/>
    <w:rsid w:val="00EC17D7"/>
    <w:rsid w:val="00EC1AAD"/>
    <w:rsid w:val="00EC1BE5"/>
    <w:rsid w:val="00EC1D58"/>
    <w:rsid w:val="00EC1E3C"/>
    <w:rsid w:val="00EC1F67"/>
    <w:rsid w:val="00EC2157"/>
    <w:rsid w:val="00EC21A1"/>
    <w:rsid w:val="00EC2250"/>
    <w:rsid w:val="00EC22FE"/>
    <w:rsid w:val="00EC2834"/>
    <w:rsid w:val="00EC298B"/>
    <w:rsid w:val="00EC2AA6"/>
    <w:rsid w:val="00EC2E0F"/>
    <w:rsid w:val="00EC30FD"/>
    <w:rsid w:val="00EC31DA"/>
    <w:rsid w:val="00EC3326"/>
    <w:rsid w:val="00EC3331"/>
    <w:rsid w:val="00EC3CB9"/>
    <w:rsid w:val="00EC4314"/>
    <w:rsid w:val="00EC43A2"/>
    <w:rsid w:val="00EC48A6"/>
    <w:rsid w:val="00EC4E40"/>
    <w:rsid w:val="00EC50FC"/>
    <w:rsid w:val="00EC5163"/>
    <w:rsid w:val="00EC52B0"/>
    <w:rsid w:val="00EC5369"/>
    <w:rsid w:val="00EC5513"/>
    <w:rsid w:val="00EC570F"/>
    <w:rsid w:val="00EC5769"/>
    <w:rsid w:val="00EC5C29"/>
    <w:rsid w:val="00EC61E5"/>
    <w:rsid w:val="00EC651E"/>
    <w:rsid w:val="00EC6565"/>
    <w:rsid w:val="00EC66D0"/>
    <w:rsid w:val="00EC66E6"/>
    <w:rsid w:val="00EC6D03"/>
    <w:rsid w:val="00EC6EA8"/>
    <w:rsid w:val="00EC7194"/>
    <w:rsid w:val="00EC74C0"/>
    <w:rsid w:val="00EC77DF"/>
    <w:rsid w:val="00EC78B5"/>
    <w:rsid w:val="00EC78B7"/>
    <w:rsid w:val="00EC7C1E"/>
    <w:rsid w:val="00EC7C8F"/>
    <w:rsid w:val="00EC7EF4"/>
    <w:rsid w:val="00ED004B"/>
    <w:rsid w:val="00ED00B8"/>
    <w:rsid w:val="00ED0129"/>
    <w:rsid w:val="00ED0163"/>
    <w:rsid w:val="00ED0299"/>
    <w:rsid w:val="00ED044C"/>
    <w:rsid w:val="00ED0ABF"/>
    <w:rsid w:val="00ED1101"/>
    <w:rsid w:val="00ED11A6"/>
    <w:rsid w:val="00ED1308"/>
    <w:rsid w:val="00ED135D"/>
    <w:rsid w:val="00ED1470"/>
    <w:rsid w:val="00ED1514"/>
    <w:rsid w:val="00ED1A07"/>
    <w:rsid w:val="00ED1A2B"/>
    <w:rsid w:val="00ED1A4B"/>
    <w:rsid w:val="00ED1B1A"/>
    <w:rsid w:val="00ED1D66"/>
    <w:rsid w:val="00ED2068"/>
    <w:rsid w:val="00ED20AA"/>
    <w:rsid w:val="00ED24E1"/>
    <w:rsid w:val="00ED2733"/>
    <w:rsid w:val="00ED28BA"/>
    <w:rsid w:val="00ED2B2A"/>
    <w:rsid w:val="00ED2C05"/>
    <w:rsid w:val="00ED2E44"/>
    <w:rsid w:val="00ED2FEC"/>
    <w:rsid w:val="00ED30E6"/>
    <w:rsid w:val="00ED32BC"/>
    <w:rsid w:val="00ED32D3"/>
    <w:rsid w:val="00ED3489"/>
    <w:rsid w:val="00ED3555"/>
    <w:rsid w:val="00ED361A"/>
    <w:rsid w:val="00ED3BF6"/>
    <w:rsid w:val="00ED3C5C"/>
    <w:rsid w:val="00ED3D91"/>
    <w:rsid w:val="00ED3D9D"/>
    <w:rsid w:val="00ED3E14"/>
    <w:rsid w:val="00ED41D7"/>
    <w:rsid w:val="00ED42B3"/>
    <w:rsid w:val="00ED4509"/>
    <w:rsid w:val="00ED45A4"/>
    <w:rsid w:val="00ED4627"/>
    <w:rsid w:val="00ED4628"/>
    <w:rsid w:val="00ED465C"/>
    <w:rsid w:val="00ED489F"/>
    <w:rsid w:val="00ED4B2A"/>
    <w:rsid w:val="00ED500C"/>
    <w:rsid w:val="00ED5E39"/>
    <w:rsid w:val="00ED5FB9"/>
    <w:rsid w:val="00ED5FFE"/>
    <w:rsid w:val="00ED63FD"/>
    <w:rsid w:val="00ED64F6"/>
    <w:rsid w:val="00ED6834"/>
    <w:rsid w:val="00ED6D1D"/>
    <w:rsid w:val="00ED74B2"/>
    <w:rsid w:val="00ED752C"/>
    <w:rsid w:val="00ED7827"/>
    <w:rsid w:val="00ED7A9F"/>
    <w:rsid w:val="00ED7D6B"/>
    <w:rsid w:val="00ED7EF3"/>
    <w:rsid w:val="00EE0706"/>
    <w:rsid w:val="00EE086F"/>
    <w:rsid w:val="00EE09B7"/>
    <w:rsid w:val="00EE0A81"/>
    <w:rsid w:val="00EE0AE2"/>
    <w:rsid w:val="00EE0CB3"/>
    <w:rsid w:val="00EE0CF6"/>
    <w:rsid w:val="00EE0D05"/>
    <w:rsid w:val="00EE10F9"/>
    <w:rsid w:val="00EE11A5"/>
    <w:rsid w:val="00EE1C71"/>
    <w:rsid w:val="00EE2233"/>
    <w:rsid w:val="00EE264A"/>
    <w:rsid w:val="00EE2769"/>
    <w:rsid w:val="00EE2A74"/>
    <w:rsid w:val="00EE2B2D"/>
    <w:rsid w:val="00EE2C83"/>
    <w:rsid w:val="00EE2D16"/>
    <w:rsid w:val="00EE2EAC"/>
    <w:rsid w:val="00EE2FAD"/>
    <w:rsid w:val="00EE3658"/>
    <w:rsid w:val="00EE36B7"/>
    <w:rsid w:val="00EE3B95"/>
    <w:rsid w:val="00EE3C0F"/>
    <w:rsid w:val="00EE409C"/>
    <w:rsid w:val="00EE453E"/>
    <w:rsid w:val="00EE454B"/>
    <w:rsid w:val="00EE4CCB"/>
    <w:rsid w:val="00EE4CD9"/>
    <w:rsid w:val="00EE4D12"/>
    <w:rsid w:val="00EE5036"/>
    <w:rsid w:val="00EE50D4"/>
    <w:rsid w:val="00EE5181"/>
    <w:rsid w:val="00EE526B"/>
    <w:rsid w:val="00EE52F4"/>
    <w:rsid w:val="00EE5374"/>
    <w:rsid w:val="00EE5464"/>
    <w:rsid w:val="00EE54C3"/>
    <w:rsid w:val="00EE551A"/>
    <w:rsid w:val="00EE552A"/>
    <w:rsid w:val="00EE577D"/>
    <w:rsid w:val="00EE57A9"/>
    <w:rsid w:val="00EE596E"/>
    <w:rsid w:val="00EE5C41"/>
    <w:rsid w:val="00EE5F7B"/>
    <w:rsid w:val="00EE5FA8"/>
    <w:rsid w:val="00EE6835"/>
    <w:rsid w:val="00EE6FCF"/>
    <w:rsid w:val="00EE7260"/>
    <w:rsid w:val="00EE73F9"/>
    <w:rsid w:val="00EE741A"/>
    <w:rsid w:val="00EE7C02"/>
    <w:rsid w:val="00EF0283"/>
    <w:rsid w:val="00EF03DB"/>
    <w:rsid w:val="00EF0752"/>
    <w:rsid w:val="00EF076F"/>
    <w:rsid w:val="00EF0918"/>
    <w:rsid w:val="00EF09A0"/>
    <w:rsid w:val="00EF0F1B"/>
    <w:rsid w:val="00EF0F88"/>
    <w:rsid w:val="00EF0FCB"/>
    <w:rsid w:val="00EF1039"/>
    <w:rsid w:val="00EF1EC9"/>
    <w:rsid w:val="00EF21AC"/>
    <w:rsid w:val="00EF2223"/>
    <w:rsid w:val="00EF23DD"/>
    <w:rsid w:val="00EF23F5"/>
    <w:rsid w:val="00EF288B"/>
    <w:rsid w:val="00EF2C2D"/>
    <w:rsid w:val="00EF2CA1"/>
    <w:rsid w:val="00EF2F65"/>
    <w:rsid w:val="00EF3026"/>
    <w:rsid w:val="00EF30BB"/>
    <w:rsid w:val="00EF346E"/>
    <w:rsid w:val="00EF347A"/>
    <w:rsid w:val="00EF34CF"/>
    <w:rsid w:val="00EF35FE"/>
    <w:rsid w:val="00EF3656"/>
    <w:rsid w:val="00EF36A9"/>
    <w:rsid w:val="00EF3792"/>
    <w:rsid w:val="00EF40A3"/>
    <w:rsid w:val="00EF40D7"/>
    <w:rsid w:val="00EF41EF"/>
    <w:rsid w:val="00EF4225"/>
    <w:rsid w:val="00EF48BB"/>
    <w:rsid w:val="00EF497E"/>
    <w:rsid w:val="00EF4DC4"/>
    <w:rsid w:val="00EF50F4"/>
    <w:rsid w:val="00EF5179"/>
    <w:rsid w:val="00EF575E"/>
    <w:rsid w:val="00EF5890"/>
    <w:rsid w:val="00EF5998"/>
    <w:rsid w:val="00EF59C8"/>
    <w:rsid w:val="00EF5C2C"/>
    <w:rsid w:val="00EF5E09"/>
    <w:rsid w:val="00EF5FE7"/>
    <w:rsid w:val="00EF608E"/>
    <w:rsid w:val="00EF61BE"/>
    <w:rsid w:val="00EF6528"/>
    <w:rsid w:val="00EF6922"/>
    <w:rsid w:val="00EF6B47"/>
    <w:rsid w:val="00EF6D7E"/>
    <w:rsid w:val="00EF744A"/>
    <w:rsid w:val="00EF74C9"/>
    <w:rsid w:val="00EF753D"/>
    <w:rsid w:val="00EF7638"/>
    <w:rsid w:val="00EF76D8"/>
    <w:rsid w:val="00EF7A20"/>
    <w:rsid w:val="00EF7BB2"/>
    <w:rsid w:val="00EF7E72"/>
    <w:rsid w:val="00EF7EB5"/>
    <w:rsid w:val="00EF7F8E"/>
    <w:rsid w:val="00F00591"/>
    <w:rsid w:val="00F00AD0"/>
    <w:rsid w:val="00F00D05"/>
    <w:rsid w:val="00F00E09"/>
    <w:rsid w:val="00F00F7F"/>
    <w:rsid w:val="00F00FC3"/>
    <w:rsid w:val="00F01878"/>
    <w:rsid w:val="00F018AB"/>
    <w:rsid w:val="00F0192A"/>
    <w:rsid w:val="00F019F9"/>
    <w:rsid w:val="00F01D57"/>
    <w:rsid w:val="00F02096"/>
    <w:rsid w:val="00F02757"/>
    <w:rsid w:val="00F02796"/>
    <w:rsid w:val="00F0292A"/>
    <w:rsid w:val="00F02C4E"/>
    <w:rsid w:val="00F02D8C"/>
    <w:rsid w:val="00F03878"/>
    <w:rsid w:val="00F03B2A"/>
    <w:rsid w:val="00F03C21"/>
    <w:rsid w:val="00F03E8D"/>
    <w:rsid w:val="00F041F3"/>
    <w:rsid w:val="00F043C6"/>
    <w:rsid w:val="00F04B06"/>
    <w:rsid w:val="00F04B8E"/>
    <w:rsid w:val="00F04C43"/>
    <w:rsid w:val="00F0506D"/>
    <w:rsid w:val="00F050E9"/>
    <w:rsid w:val="00F0511D"/>
    <w:rsid w:val="00F0552C"/>
    <w:rsid w:val="00F05687"/>
    <w:rsid w:val="00F056CC"/>
    <w:rsid w:val="00F056D1"/>
    <w:rsid w:val="00F0592F"/>
    <w:rsid w:val="00F05A4E"/>
    <w:rsid w:val="00F05B6A"/>
    <w:rsid w:val="00F06205"/>
    <w:rsid w:val="00F06286"/>
    <w:rsid w:val="00F06418"/>
    <w:rsid w:val="00F0666F"/>
    <w:rsid w:val="00F06725"/>
    <w:rsid w:val="00F0688C"/>
    <w:rsid w:val="00F0690B"/>
    <w:rsid w:val="00F06F36"/>
    <w:rsid w:val="00F07045"/>
    <w:rsid w:val="00F070FE"/>
    <w:rsid w:val="00F0729E"/>
    <w:rsid w:val="00F0746C"/>
    <w:rsid w:val="00F0759B"/>
    <w:rsid w:val="00F07772"/>
    <w:rsid w:val="00F07892"/>
    <w:rsid w:val="00F07A09"/>
    <w:rsid w:val="00F100AA"/>
    <w:rsid w:val="00F100E4"/>
    <w:rsid w:val="00F102C7"/>
    <w:rsid w:val="00F105BB"/>
    <w:rsid w:val="00F10612"/>
    <w:rsid w:val="00F10746"/>
    <w:rsid w:val="00F10811"/>
    <w:rsid w:val="00F10813"/>
    <w:rsid w:val="00F10E8E"/>
    <w:rsid w:val="00F10FF3"/>
    <w:rsid w:val="00F11146"/>
    <w:rsid w:val="00F111AC"/>
    <w:rsid w:val="00F11346"/>
    <w:rsid w:val="00F115A1"/>
    <w:rsid w:val="00F116F0"/>
    <w:rsid w:val="00F11D04"/>
    <w:rsid w:val="00F11D17"/>
    <w:rsid w:val="00F11FD4"/>
    <w:rsid w:val="00F1220A"/>
    <w:rsid w:val="00F12226"/>
    <w:rsid w:val="00F1231B"/>
    <w:rsid w:val="00F127F2"/>
    <w:rsid w:val="00F12851"/>
    <w:rsid w:val="00F13044"/>
    <w:rsid w:val="00F13139"/>
    <w:rsid w:val="00F13536"/>
    <w:rsid w:val="00F1353C"/>
    <w:rsid w:val="00F135FA"/>
    <w:rsid w:val="00F13610"/>
    <w:rsid w:val="00F13655"/>
    <w:rsid w:val="00F136AD"/>
    <w:rsid w:val="00F13721"/>
    <w:rsid w:val="00F138ED"/>
    <w:rsid w:val="00F13AD5"/>
    <w:rsid w:val="00F13AFE"/>
    <w:rsid w:val="00F13B3A"/>
    <w:rsid w:val="00F13C14"/>
    <w:rsid w:val="00F13C43"/>
    <w:rsid w:val="00F14066"/>
    <w:rsid w:val="00F1407B"/>
    <w:rsid w:val="00F14263"/>
    <w:rsid w:val="00F14657"/>
    <w:rsid w:val="00F14750"/>
    <w:rsid w:val="00F14AAB"/>
    <w:rsid w:val="00F14B9F"/>
    <w:rsid w:val="00F14C86"/>
    <w:rsid w:val="00F14CC6"/>
    <w:rsid w:val="00F14D96"/>
    <w:rsid w:val="00F14DCB"/>
    <w:rsid w:val="00F15010"/>
    <w:rsid w:val="00F15029"/>
    <w:rsid w:val="00F1504B"/>
    <w:rsid w:val="00F15257"/>
    <w:rsid w:val="00F155B5"/>
    <w:rsid w:val="00F1599D"/>
    <w:rsid w:val="00F15BDE"/>
    <w:rsid w:val="00F15BE1"/>
    <w:rsid w:val="00F15BFB"/>
    <w:rsid w:val="00F161E4"/>
    <w:rsid w:val="00F1628B"/>
    <w:rsid w:val="00F164D3"/>
    <w:rsid w:val="00F166EE"/>
    <w:rsid w:val="00F16729"/>
    <w:rsid w:val="00F16A2C"/>
    <w:rsid w:val="00F16B30"/>
    <w:rsid w:val="00F16D7F"/>
    <w:rsid w:val="00F16E5A"/>
    <w:rsid w:val="00F1703C"/>
    <w:rsid w:val="00F17047"/>
    <w:rsid w:val="00F177CD"/>
    <w:rsid w:val="00F179A1"/>
    <w:rsid w:val="00F179B3"/>
    <w:rsid w:val="00F17D29"/>
    <w:rsid w:val="00F17D79"/>
    <w:rsid w:val="00F17FFE"/>
    <w:rsid w:val="00F20364"/>
    <w:rsid w:val="00F20558"/>
    <w:rsid w:val="00F20638"/>
    <w:rsid w:val="00F20AAC"/>
    <w:rsid w:val="00F20B05"/>
    <w:rsid w:val="00F20B3A"/>
    <w:rsid w:val="00F20E1D"/>
    <w:rsid w:val="00F211F1"/>
    <w:rsid w:val="00F2122E"/>
    <w:rsid w:val="00F219A8"/>
    <w:rsid w:val="00F219D9"/>
    <w:rsid w:val="00F219E2"/>
    <w:rsid w:val="00F21A56"/>
    <w:rsid w:val="00F21DAC"/>
    <w:rsid w:val="00F21E10"/>
    <w:rsid w:val="00F22A71"/>
    <w:rsid w:val="00F22C2C"/>
    <w:rsid w:val="00F22CE2"/>
    <w:rsid w:val="00F22D55"/>
    <w:rsid w:val="00F22E4C"/>
    <w:rsid w:val="00F22F66"/>
    <w:rsid w:val="00F22F87"/>
    <w:rsid w:val="00F230C7"/>
    <w:rsid w:val="00F23438"/>
    <w:rsid w:val="00F23668"/>
    <w:rsid w:val="00F2377D"/>
    <w:rsid w:val="00F2393A"/>
    <w:rsid w:val="00F23CF1"/>
    <w:rsid w:val="00F2409B"/>
    <w:rsid w:val="00F24434"/>
    <w:rsid w:val="00F2445A"/>
    <w:rsid w:val="00F24513"/>
    <w:rsid w:val="00F24548"/>
    <w:rsid w:val="00F24591"/>
    <w:rsid w:val="00F24594"/>
    <w:rsid w:val="00F245B8"/>
    <w:rsid w:val="00F245DC"/>
    <w:rsid w:val="00F246AD"/>
    <w:rsid w:val="00F24BB8"/>
    <w:rsid w:val="00F250FC"/>
    <w:rsid w:val="00F252E2"/>
    <w:rsid w:val="00F2549A"/>
    <w:rsid w:val="00F25997"/>
    <w:rsid w:val="00F25BCD"/>
    <w:rsid w:val="00F25D1E"/>
    <w:rsid w:val="00F25F9A"/>
    <w:rsid w:val="00F2635A"/>
    <w:rsid w:val="00F267EE"/>
    <w:rsid w:val="00F26B25"/>
    <w:rsid w:val="00F26D7E"/>
    <w:rsid w:val="00F273F6"/>
    <w:rsid w:val="00F2747A"/>
    <w:rsid w:val="00F274DB"/>
    <w:rsid w:val="00F27585"/>
    <w:rsid w:val="00F276ED"/>
    <w:rsid w:val="00F279E5"/>
    <w:rsid w:val="00F27B97"/>
    <w:rsid w:val="00F27C19"/>
    <w:rsid w:val="00F27EE6"/>
    <w:rsid w:val="00F3001A"/>
    <w:rsid w:val="00F300EB"/>
    <w:rsid w:val="00F30278"/>
    <w:rsid w:val="00F30319"/>
    <w:rsid w:val="00F305A6"/>
    <w:rsid w:val="00F3070E"/>
    <w:rsid w:val="00F30776"/>
    <w:rsid w:val="00F30BE2"/>
    <w:rsid w:val="00F30F4C"/>
    <w:rsid w:val="00F30FE9"/>
    <w:rsid w:val="00F311D6"/>
    <w:rsid w:val="00F3143A"/>
    <w:rsid w:val="00F315A5"/>
    <w:rsid w:val="00F3197B"/>
    <w:rsid w:val="00F31A99"/>
    <w:rsid w:val="00F31AEA"/>
    <w:rsid w:val="00F31EA8"/>
    <w:rsid w:val="00F31FC3"/>
    <w:rsid w:val="00F32191"/>
    <w:rsid w:val="00F322C7"/>
    <w:rsid w:val="00F328EE"/>
    <w:rsid w:val="00F3293B"/>
    <w:rsid w:val="00F32A5D"/>
    <w:rsid w:val="00F32B10"/>
    <w:rsid w:val="00F32C46"/>
    <w:rsid w:val="00F32D9A"/>
    <w:rsid w:val="00F32EA7"/>
    <w:rsid w:val="00F33197"/>
    <w:rsid w:val="00F332F6"/>
    <w:rsid w:val="00F33325"/>
    <w:rsid w:val="00F336BF"/>
    <w:rsid w:val="00F339CE"/>
    <w:rsid w:val="00F33AC3"/>
    <w:rsid w:val="00F33B1A"/>
    <w:rsid w:val="00F33BAC"/>
    <w:rsid w:val="00F33CAE"/>
    <w:rsid w:val="00F33D9B"/>
    <w:rsid w:val="00F33F88"/>
    <w:rsid w:val="00F341E3"/>
    <w:rsid w:val="00F34396"/>
    <w:rsid w:val="00F3453B"/>
    <w:rsid w:val="00F34961"/>
    <w:rsid w:val="00F34A84"/>
    <w:rsid w:val="00F34B6F"/>
    <w:rsid w:val="00F34EFD"/>
    <w:rsid w:val="00F34F90"/>
    <w:rsid w:val="00F35079"/>
    <w:rsid w:val="00F35158"/>
    <w:rsid w:val="00F35249"/>
    <w:rsid w:val="00F354E8"/>
    <w:rsid w:val="00F35637"/>
    <w:rsid w:val="00F3564E"/>
    <w:rsid w:val="00F35668"/>
    <w:rsid w:val="00F35A1E"/>
    <w:rsid w:val="00F35CC4"/>
    <w:rsid w:val="00F35D57"/>
    <w:rsid w:val="00F35FB7"/>
    <w:rsid w:val="00F3683E"/>
    <w:rsid w:val="00F36A3D"/>
    <w:rsid w:val="00F36B32"/>
    <w:rsid w:val="00F36D89"/>
    <w:rsid w:val="00F378CC"/>
    <w:rsid w:val="00F379C8"/>
    <w:rsid w:val="00F37ADE"/>
    <w:rsid w:val="00F37B5D"/>
    <w:rsid w:val="00F37DA0"/>
    <w:rsid w:val="00F37F8D"/>
    <w:rsid w:val="00F37FFA"/>
    <w:rsid w:val="00F401F1"/>
    <w:rsid w:val="00F4054E"/>
    <w:rsid w:val="00F405D0"/>
    <w:rsid w:val="00F406F2"/>
    <w:rsid w:val="00F408F5"/>
    <w:rsid w:val="00F40A22"/>
    <w:rsid w:val="00F40A6F"/>
    <w:rsid w:val="00F40D0C"/>
    <w:rsid w:val="00F40E3A"/>
    <w:rsid w:val="00F40E70"/>
    <w:rsid w:val="00F41167"/>
    <w:rsid w:val="00F415B8"/>
    <w:rsid w:val="00F417E5"/>
    <w:rsid w:val="00F41BD5"/>
    <w:rsid w:val="00F41BE2"/>
    <w:rsid w:val="00F41CA4"/>
    <w:rsid w:val="00F42077"/>
    <w:rsid w:val="00F421BF"/>
    <w:rsid w:val="00F42355"/>
    <w:rsid w:val="00F428E4"/>
    <w:rsid w:val="00F428F0"/>
    <w:rsid w:val="00F42D25"/>
    <w:rsid w:val="00F42DF5"/>
    <w:rsid w:val="00F42DF9"/>
    <w:rsid w:val="00F42E02"/>
    <w:rsid w:val="00F432B4"/>
    <w:rsid w:val="00F432F2"/>
    <w:rsid w:val="00F4343A"/>
    <w:rsid w:val="00F4348F"/>
    <w:rsid w:val="00F43575"/>
    <w:rsid w:val="00F435BE"/>
    <w:rsid w:val="00F43622"/>
    <w:rsid w:val="00F43998"/>
    <w:rsid w:val="00F43B0A"/>
    <w:rsid w:val="00F44017"/>
    <w:rsid w:val="00F441CB"/>
    <w:rsid w:val="00F4422C"/>
    <w:rsid w:val="00F442E4"/>
    <w:rsid w:val="00F44761"/>
    <w:rsid w:val="00F448A3"/>
    <w:rsid w:val="00F448B2"/>
    <w:rsid w:val="00F44903"/>
    <w:rsid w:val="00F44DB5"/>
    <w:rsid w:val="00F44E48"/>
    <w:rsid w:val="00F450E4"/>
    <w:rsid w:val="00F451A6"/>
    <w:rsid w:val="00F451D2"/>
    <w:rsid w:val="00F45531"/>
    <w:rsid w:val="00F456B5"/>
    <w:rsid w:val="00F4587A"/>
    <w:rsid w:val="00F45A66"/>
    <w:rsid w:val="00F45B24"/>
    <w:rsid w:val="00F45C86"/>
    <w:rsid w:val="00F46698"/>
    <w:rsid w:val="00F46752"/>
    <w:rsid w:val="00F4675C"/>
    <w:rsid w:val="00F46888"/>
    <w:rsid w:val="00F46A23"/>
    <w:rsid w:val="00F46BB5"/>
    <w:rsid w:val="00F46E71"/>
    <w:rsid w:val="00F46EE7"/>
    <w:rsid w:val="00F46F51"/>
    <w:rsid w:val="00F47428"/>
    <w:rsid w:val="00F47A5D"/>
    <w:rsid w:val="00F5044E"/>
    <w:rsid w:val="00F508CF"/>
    <w:rsid w:val="00F50AC4"/>
    <w:rsid w:val="00F50E4B"/>
    <w:rsid w:val="00F50EA3"/>
    <w:rsid w:val="00F513F6"/>
    <w:rsid w:val="00F51724"/>
    <w:rsid w:val="00F51878"/>
    <w:rsid w:val="00F519CF"/>
    <w:rsid w:val="00F51F3C"/>
    <w:rsid w:val="00F51FCE"/>
    <w:rsid w:val="00F52031"/>
    <w:rsid w:val="00F522FD"/>
    <w:rsid w:val="00F52D33"/>
    <w:rsid w:val="00F52F94"/>
    <w:rsid w:val="00F5317B"/>
    <w:rsid w:val="00F531B1"/>
    <w:rsid w:val="00F53335"/>
    <w:rsid w:val="00F533E9"/>
    <w:rsid w:val="00F534BC"/>
    <w:rsid w:val="00F538B0"/>
    <w:rsid w:val="00F53938"/>
    <w:rsid w:val="00F53A00"/>
    <w:rsid w:val="00F544A4"/>
    <w:rsid w:val="00F54606"/>
    <w:rsid w:val="00F54635"/>
    <w:rsid w:val="00F54661"/>
    <w:rsid w:val="00F54832"/>
    <w:rsid w:val="00F5492C"/>
    <w:rsid w:val="00F54969"/>
    <w:rsid w:val="00F54B92"/>
    <w:rsid w:val="00F54BDB"/>
    <w:rsid w:val="00F54E0E"/>
    <w:rsid w:val="00F551F8"/>
    <w:rsid w:val="00F553BF"/>
    <w:rsid w:val="00F5546A"/>
    <w:rsid w:val="00F554AD"/>
    <w:rsid w:val="00F5562D"/>
    <w:rsid w:val="00F55744"/>
    <w:rsid w:val="00F558D4"/>
    <w:rsid w:val="00F55C6A"/>
    <w:rsid w:val="00F55D3A"/>
    <w:rsid w:val="00F55F0D"/>
    <w:rsid w:val="00F55F48"/>
    <w:rsid w:val="00F56157"/>
    <w:rsid w:val="00F561E2"/>
    <w:rsid w:val="00F5630B"/>
    <w:rsid w:val="00F565C2"/>
    <w:rsid w:val="00F5674C"/>
    <w:rsid w:val="00F56A88"/>
    <w:rsid w:val="00F56DD4"/>
    <w:rsid w:val="00F56EC7"/>
    <w:rsid w:val="00F56F73"/>
    <w:rsid w:val="00F56FF3"/>
    <w:rsid w:val="00F5747B"/>
    <w:rsid w:val="00F57606"/>
    <w:rsid w:val="00F57618"/>
    <w:rsid w:val="00F57875"/>
    <w:rsid w:val="00F57A8A"/>
    <w:rsid w:val="00F57C01"/>
    <w:rsid w:val="00F57E18"/>
    <w:rsid w:val="00F6002E"/>
    <w:rsid w:val="00F6063A"/>
    <w:rsid w:val="00F6078D"/>
    <w:rsid w:val="00F60B26"/>
    <w:rsid w:val="00F60BEA"/>
    <w:rsid w:val="00F60CC5"/>
    <w:rsid w:val="00F60FB1"/>
    <w:rsid w:val="00F6107A"/>
    <w:rsid w:val="00F6114A"/>
    <w:rsid w:val="00F611D5"/>
    <w:rsid w:val="00F61217"/>
    <w:rsid w:val="00F61413"/>
    <w:rsid w:val="00F6168B"/>
    <w:rsid w:val="00F61E4E"/>
    <w:rsid w:val="00F61F7D"/>
    <w:rsid w:val="00F62042"/>
    <w:rsid w:val="00F6209B"/>
    <w:rsid w:val="00F62284"/>
    <w:rsid w:val="00F62321"/>
    <w:rsid w:val="00F62465"/>
    <w:rsid w:val="00F62A07"/>
    <w:rsid w:val="00F62E70"/>
    <w:rsid w:val="00F63281"/>
    <w:rsid w:val="00F634D8"/>
    <w:rsid w:val="00F63566"/>
    <w:rsid w:val="00F63660"/>
    <w:rsid w:val="00F63D40"/>
    <w:rsid w:val="00F63ECC"/>
    <w:rsid w:val="00F642E4"/>
    <w:rsid w:val="00F645CE"/>
    <w:rsid w:val="00F6461A"/>
    <w:rsid w:val="00F6472D"/>
    <w:rsid w:val="00F647D2"/>
    <w:rsid w:val="00F64940"/>
    <w:rsid w:val="00F6497F"/>
    <w:rsid w:val="00F64AF4"/>
    <w:rsid w:val="00F64C1F"/>
    <w:rsid w:val="00F650D3"/>
    <w:rsid w:val="00F651FF"/>
    <w:rsid w:val="00F65367"/>
    <w:rsid w:val="00F65415"/>
    <w:rsid w:val="00F65502"/>
    <w:rsid w:val="00F65609"/>
    <w:rsid w:val="00F658D9"/>
    <w:rsid w:val="00F658E3"/>
    <w:rsid w:val="00F65D0D"/>
    <w:rsid w:val="00F65F79"/>
    <w:rsid w:val="00F664AF"/>
    <w:rsid w:val="00F66552"/>
    <w:rsid w:val="00F666C7"/>
    <w:rsid w:val="00F66A62"/>
    <w:rsid w:val="00F66D28"/>
    <w:rsid w:val="00F66E99"/>
    <w:rsid w:val="00F66F02"/>
    <w:rsid w:val="00F671D5"/>
    <w:rsid w:val="00F6728C"/>
    <w:rsid w:val="00F672D5"/>
    <w:rsid w:val="00F67434"/>
    <w:rsid w:val="00F677A1"/>
    <w:rsid w:val="00F678FF"/>
    <w:rsid w:val="00F67987"/>
    <w:rsid w:val="00F67ACD"/>
    <w:rsid w:val="00F67B73"/>
    <w:rsid w:val="00F67D6E"/>
    <w:rsid w:val="00F67E9C"/>
    <w:rsid w:val="00F67E9D"/>
    <w:rsid w:val="00F70370"/>
    <w:rsid w:val="00F70676"/>
    <w:rsid w:val="00F708B1"/>
    <w:rsid w:val="00F7096B"/>
    <w:rsid w:val="00F70A13"/>
    <w:rsid w:val="00F70B9A"/>
    <w:rsid w:val="00F70E75"/>
    <w:rsid w:val="00F70F4E"/>
    <w:rsid w:val="00F711AF"/>
    <w:rsid w:val="00F7166B"/>
    <w:rsid w:val="00F719E8"/>
    <w:rsid w:val="00F71AF9"/>
    <w:rsid w:val="00F71DBA"/>
    <w:rsid w:val="00F72147"/>
    <w:rsid w:val="00F721C5"/>
    <w:rsid w:val="00F72348"/>
    <w:rsid w:val="00F7266B"/>
    <w:rsid w:val="00F728BA"/>
    <w:rsid w:val="00F72952"/>
    <w:rsid w:val="00F72A6C"/>
    <w:rsid w:val="00F72D15"/>
    <w:rsid w:val="00F72E88"/>
    <w:rsid w:val="00F73088"/>
    <w:rsid w:val="00F73405"/>
    <w:rsid w:val="00F734DC"/>
    <w:rsid w:val="00F736B5"/>
    <w:rsid w:val="00F73B0F"/>
    <w:rsid w:val="00F73B8B"/>
    <w:rsid w:val="00F73CB3"/>
    <w:rsid w:val="00F73D5F"/>
    <w:rsid w:val="00F73FF6"/>
    <w:rsid w:val="00F7402C"/>
    <w:rsid w:val="00F7432A"/>
    <w:rsid w:val="00F746C3"/>
    <w:rsid w:val="00F748BE"/>
    <w:rsid w:val="00F74E14"/>
    <w:rsid w:val="00F74F78"/>
    <w:rsid w:val="00F75039"/>
    <w:rsid w:val="00F7507D"/>
    <w:rsid w:val="00F755CE"/>
    <w:rsid w:val="00F75727"/>
    <w:rsid w:val="00F7574B"/>
    <w:rsid w:val="00F75771"/>
    <w:rsid w:val="00F75B05"/>
    <w:rsid w:val="00F75B06"/>
    <w:rsid w:val="00F75B55"/>
    <w:rsid w:val="00F75B5D"/>
    <w:rsid w:val="00F75B95"/>
    <w:rsid w:val="00F75C11"/>
    <w:rsid w:val="00F75C82"/>
    <w:rsid w:val="00F761A2"/>
    <w:rsid w:val="00F76484"/>
    <w:rsid w:val="00F76515"/>
    <w:rsid w:val="00F77235"/>
    <w:rsid w:val="00F7733F"/>
    <w:rsid w:val="00F773B5"/>
    <w:rsid w:val="00F7740D"/>
    <w:rsid w:val="00F7762C"/>
    <w:rsid w:val="00F779AF"/>
    <w:rsid w:val="00F77D11"/>
    <w:rsid w:val="00F77E46"/>
    <w:rsid w:val="00F800B7"/>
    <w:rsid w:val="00F80128"/>
    <w:rsid w:val="00F80285"/>
    <w:rsid w:val="00F80501"/>
    <w:rsid w:val="00F80503"/>
    <w:rsid w:val="00F80DDA"/>
    <w:rsid w:val="00F80E52"/>
    <w:rsid w:val="00F81255"/>
    <w:rsid w:val="00F816A8"/>
    <w:rsid w:val="00F81A8D"/>
    <w:rsid w:val="00F81BA6"/>
    <w:rsid w:val="00F81BE9"/>
    <w:rsid w:val="00F81C7A"/>
    <w:rsid w:val="00F81D54"/>
    <w:rsid w:val="00F8203E"/>
    <w:rsid w:val="00F82087"/>
    <w:rsid w:val="00F8280D"/>
    <w:rsid w:val="00F8291A"/>
    <w:rsid w:val="00F82E2D"/>
    <w:rsid w:val="00F8344D"/>
    <w:rsid w:val="00F8349C"/>
    <w:rsid w:val="00F83697"/>
    <w:rsid w:val="00F83AC0"/>
    <w:rsid w:val="00F83EEA"/>
    <w:rsid w:val="00F84079"/>
    <w:rsid w:val="00F842CE"/>
    <w:rsid w:val="00F84717"/>
    <w:rsid w:val="00F847A9"/>
    <w:rsid w:val="00F847ED"/>
    <w:rsid w:val="00F84A2B"/>
    <w:rsid w:val="00F84B5E"/>
    <w:rsid w:val="00F84CEA"/>
    <w:rsid w:val="00F84D6C"/>
    <w:rsid w:val="00F84D73"/>
    <w:rsid w:val="00F84E80"/>
    <w:rsid w:val="00F8505B"/>
    <w:rsid w:val="00F850E4"/>
    <w:rsid w:val="00F85228"/>
    <w:rsid w:val="00F853E6"/>
    <w:rsid w:val="00F8549D"/>
    <w:rsid w:val="00F856C5"/>
    <w:rsid w:val="00F85EAC"/>
    <w:rsid w:val="00F85F7C"/>
    <w:rsid w:val="00F86650"/>
    <w:rsid w:val="00F86885"/>
    <w:rsid w:val="00F86A93"/>
    <w:rsid w:val="00F86DF0"/>
    <w:rsid w:val="00F86EBB"/>
    <w:rsid w:val="00F87327"/>
    <w:rsid w:val="00F8744E"/>
    <w:rsid w:val="00F8757C"/>
    <w:rsid w:val="00F875AD"/>
    <w:rsid w:val="00F8769F"/>
    <w:rsid w:val="00F87B4A"/>
    <w:rsid w:val="00F87DB7"/>
    <w:rsid w:val="00F87E5F"/>
    <w:rsid w:val="00F87EC4"/>
    <w:rsid w:val="00F90445"/>
    <w:rsid w:val="00F90591"/>
    <w:rsid w:val="00F90655"/>
    <w:rsid w:val="00F90673"/>
    <w:rsid w:val="00F906CB"/>
    <w:rsid w:val="00F90766"/>
    <w:rsid w:val="00F90832"/>
    <w:rsid w:val="00F90922"/>
    <w:rsid w:val="00F90C60"/>
    <w:rsid w:val="00F90C9B"/>
    <w:rsid w:val="00F90CC7"/>
    <w:rsid w:val="00F91128"/>
    <w:rsid w:val="00F91531"/>
    <w:rsid w:val="00F91982"/>
    <w:rsid w:val="00F91984"/>
    <w:rsid w:val="00F91D3E"/>
    <w:rsid w:val="00F91E20"/>
    <w:rsid w:val="00F91FDC"/>
    <w:rsid w:val="00F9202F"/>
    <w:rsid w:val="00F92134"/>
    <w:rsid w:val="00F9219F"/>
    <w:rsid w:val="00F92261"/>
    <w:rsid w:val="00F92576"/>
    <w:rsid w:val="00F9271E"/>
    <w:rsid w:val="00F9275E"/>
    <w:rsid w:val="00F9278E"/>
    <w:rsid w:val="00F927A7"/>
    <w:rsid w:val="00F92A27"/>
    <w:rsid w:val="00F92C41"/>
    <w:rsid w:val="00F92C91"/>
    <w:rsid w:val="00F92E80"/>
    <w:rsid w:val="00F92F5E"/>
    <w:rsid w:val="00F92FA7"/>
    <w:rsid w:val="00F92FAB"/>
    <w:rsid w:val="00F934C8"/>
    <w:rsid w:val="00F93607"/>
    <w:rsid w:val="00F93910"/>
    <w:rsid w:val="00F93A6C"/>
    <w:rsid w:val="00F93A9C"/>
    <w:rsid w:val="00F93AEF"/>
    <w:rsid w:val="00F93BC4"/>
    <w:rsid w:val="00F93CAA"/>
    <w:rsid w:val="00F941B8"/>
    <w:rsid w:val="00F94715"/>
    <w:rsid w:val="00F949E9"/>
    <w:rsid w:val="00F94B55"/>
    <w:rsid w:val="00F9562F"/>
    <w:rsid w:val="00F957E4"/>
    <w:rsid w:val="00F95D8F"/>
    <w:rsid w:val="00F96161"/>
    <w:rsid w:val="00F96228"/>
    <w:rsid w:val="00F96581"/>
    <w:rsid w:val="00F96671"/>
    <w:rsid w:val="00F9688C"/>
    <w:rsid w:val="00F96B85"/>
    <w:rsid w:val="00F96CDD"/>
    <w:rsid w:val="00F96DCF"/>
    <w:rsid w:val="00F96DDB"/>
    <w:rsid w:val="00F96DDF"/>
    <w:rsid w:val="00F96E36"/>
    <w:rsid w:val="00F9701A"/>
    <w:rsid w:val="00F97034"/>
    <w:rsid w:val="00F97BAE"/>
    <w:rsid w:val="00F97F99"/>
    <w:rsid w:val="00FA0040"/>
    <w:rsid w:val="00FA0044"/>
    <w:rsid w:val="00FA03C3"/>
    <w:rsid w:val="00FA0470"/>
    <w:rsid w:val="00FA0542"/>
    <w:rsid w:val="00FA055C"/>
    <w:rsid w:val="00FA058B"/>
    <w:rsid w:val="00FA06DE"/>
    <w:rsid w:val="00FA0BE0"/>
    <w:rsid w:val="00FA0D5D"/>
    <w:rsid w:val="00FA0EBB"/>
    <w:rsid w:val="00FA0FFB"/>
    <w:rsid w:val="00FA10B1"/>
    <w:rsid w:val="00FA10BC"/>
    <w:rsid w:val="00FA1288"/>
    <w:rsid w:val="00FA12CF"/>
    <w:rsid w:val="00FA15EF"/>
    <w:rsid w:val="00FA198B"/>
    <w:rsid w:val="00FA1A5F"/>
    <w:rsid w:val="00FA1B02"/>
    <w:rsid w:val="00FA1CC5"/>
    <w:rsid w:val="00FA1D87"/>
    <w:rsid w:val="00FA1EC5"/>
    <w:rsid w:val="00FA1FB2"/>
    <w:rsid w:val="00FA217C"/>
    <w:rsid w:val="00FA2550"/>
    <w:rsid w:val="00FA2692"/>
    <w:rsid w:val="00FA276E"/>
    <w:rsid w:val="00FA28B2"/>
    <w:rsid w:val="00FA2A0C"/>
    <w:rsid w:val="00FA2E52"/>
    <w:rsid w:val="00FA3DC1"/>
    <w:rsid w:val="00FA4036"/>
    <w:rsid w:val="00FA4080"/>
    <w:rsid w:val="00FA4277"/>
    <w:rsid w:val="00FA4620"/>
    <w:rsid w:val="00FA47F9"/>
    <w:rsid w:val="00FA4B33"/>
    <w:rsid w:val="00FA4D3B"/>
    <w:rsid w:val="00FA4EF2"/>
    <w:rsid w:val="00FA4F06"/>
    <w:rsid w:val="00FA5617"/>
    <w:rsid w:val="00FA5659"/>
    <w:rsid w:val="00FA5726"/>
    <w:rsid w:val="00FA58D9"/>
    <w:rsid w:val="00FA59A8"/>
    <w:rsid w:val="00FA59CC"/>
    <w:rsid w:val="00FA5DCF"/>
    <w:rsid w:val="00FA5DE0"/>
    <w:rsid w:val="00FA642E"/>
    <w:rsid w:val="00FA6525"/>
    <w:rsid w:val="00FA6A9C"/>
    <w:rsid w:val="00FA6FF9"/>
    <w:rsid w:val="00FA703A"/>
    <w:rsid w:val="00FA70FC"/>
    <w:rsid w:val="00FA710C"/>
    <w:rsid w:val="00FA7746"/>
    <w:rsid w:val="00FA789B"/>
    <w:rsid w:val="00FA78D9"/>
    <w:rsid w:val="00FA7B44"/>
    <w:rsid w:val="00FB01B5"/>
    <w:rsid w:val="00FB074B"/>
    <w:rsid w:val="00FB0769"/>
    <w:rsid w:val="00FB0959"/>
    <w:rsid w:val="00FB0C6A"/>
    <w:rsid w:val="00FB0E87"/>
    <w:rsid w:val="00FB0EC6"/>
    <w:rsid w:val="00FB1181"/>
    <w:rsid w:val="00FB12A9"/>
    <w:rsid w:val="00FB1361"/>
    <w:rsid w:val="00FB14CF"/>
    <w:rsid w:val="00FB15B3"/>
    <w:rsid w:val="00FB18FC"/>
    <w:rsid w:val="00FB198B"/>
    <w:rsid w:val="00FB19BA"/>
    <w:rsid w:val="00FB1A27"/>
    <w:rsid w:val="00FB1D82"/>
    <w:rsid w:val="00FB1DA9"/>
    <w:rsid w:val="00FB1F13"/>
    <w:rsid w:val="00FB20A6"/>
    <w:rsid w:val="00FB2247"/>
    <w:rsid w:val="00FB2290"/>
    <w:rsid w:val="00FB24E9"/>
    <w:rsid w:val="00FB2579"/>
    <w:rsid w:val="00FB26B3"/>
    <w:rsid w:val="00FB27C6"/>
    <w:rsid w:val="00FB28D2"/>
    <w:rsid w:val="00FB28F8"/>
    <w:rsid w:val="00FB2A83"/>
    <w:rsid w:val="00FB2DCD"/>
    <w:rsid w:val="00FB3115"/>
    <w:rsid w:val="00FB3382"/>
    <w:rsid w:val="00FB353F"/>
    <w:rsid w:val="00FB3944"/>
    <w:rsid w:val="00FB3C99"/>
    <w:rsid w:val="00FB3ECD"/>
    <w:rsid w:val="00FB3F11"/>
    <w:rsid w:val="00FB41EE"/>
    <w:rsid w:val="00FB4633"/>
    <w:rsid w:val="00FB4945"/>
    <w:rsid w:val="00FB49B8"/>
    <w:rsid w:val="00FB4C0C"/>
    <w:rsid w:val="00FB4C8B"/>
    <w:rsid w:val="00FB4CBE"/>
    <w:rsid w:val="00FB4EE0"/>
    <w:rsid w:val="00FB4F77"/>
    <w:rsid w:val="00FB5491"/>
    <w:rsid w:val="00FB5A50"/>
    <w:rsid w:val="00FB5E44"/>
    <w:rsid w:val="00FB5EAD"/>
    <w:rsid w:val="00FB60A0"/>
    <w:rsid w:val="00FB6790"/>
    <w:rsid w:val="00FB6D02"/>
    <w:rsid w:val="00FB7077"/>
    <w:rsid w:val="00FB711F"/>
    <w:rsid w:val="00FB717C"/>
    <w:rsid w:val="00FB725B"/>
    <w:rsid w:val="00FB745C"/>
    <w:rsid w:val="00FB76E1"/>
    <w:rsid w:val="00FB7739"/>
    <w:rsid w:val="00FB7B66"/>
    <w:rsid w:val="00FB7D4A"/>
    <w:rsid w:val="00FB7D95"/>
    <w:rsid w:val="00FB7EDC"/>
    <w:rsid w:val="00FB7FF0"/>
    <w:rsid w:val="00FC02E4"/>
    <w:rsid w:val="00FC0349"/>
    <w:rsid w:val="00FC04AF"/>
    <w:rsid w:val="00FC0BBC"/>
    <w:rsid w:val="00FC0C05"/>
    <w:rsid w:val="00FC0C64"/>
    <w:rsid w:val="00FC0D85"/>
    <w:rsid w:val="00FC0E2A"/>
    <w:rsid w:val="00FC0F68"/>
    <w:rsid w:val="00FC1B0D"/>
    <w:rsid w:val="00FC1E6B"/>
    <w:rsid w:val="00FC1F97"/>
    <w:rsid w:val="00FC20D7"/>
    <w:rsid w:val="00FC2589"/>
    <w:rsid w:val="00FC263A"/>
    <w:rsid w:val="00FC274D"/>
    <w:rsid w:val="00FC285D"/>
    <w:rsid w:val="00FC2871"/>
    <w:rsid w:val="00FC28A8"/>
    <w:rsid w:val="00FC2A83"/>
    <w:rsid w:val="00FC2B52"/>
    <w:rsid w:val="00FC3191"/>
    <w:rsid w:val="00FC31AD"/>
    <w:rsid w:val="00FC333C"/>
    <w:rsid w:val="00FC345F"/>
    <w:rsid w:val="00FC3466"/>
    <w:rsid w:val="00FC34FB"/>
    <w:rsid w:val="00FC351D"/>
    <w:rsid w:val="00FC352D"/>
    <w:rsid w:val="00FC38E8"/>
    <w:rsid w:val="00FC3AE0"/>
    <w:rsid w:val="00FC3B8A"/>
    <w:rsid w:val="00FC3D73"/>
    <w:rsid w:val="00FC4523"/>
    <w:rsid w:val="00FC4977"/>
    <w:rsid w:val="00FC4A09"/>
    <w:rsid w:val="00FC4C20"/>
    <w:rsid w:val="00FC4E2D"/>
    <w:rsid w:val="00FC524D"/>
    <w:rsid w:val="00FC531F"/>
    <w:rsid w:val="00FC5354"/>
    <w:rsid w:val="00FC53E3"/>
    <w:rsid w:val="00FC5407"/>
    <w:rsid w:val="00FC5510"/>
    <w:rsid w:val="00FC5578"/>
    <w:rsid w:val="00FC5A1E"/>
    <w:rsid w:val="00FC5B14"/>
    <w:rsid w:val="00FC5C28"/>
    <w:rsid w:val="00FC5C32"/>
    <w:rsid w:val="00FC5E60"/>
    <w:rsid w:val="00FC5F8D"/>
    <w:rsid w:val="00FC6031"/>
    <w:rsid w:val="00FC61B8"/>
    <w:rsid w:val="00FC6247"/>
    <w:rsid w:val="00FC6438"/>
    <w:rsid w:val="00FC6738"/>
    <w:rsid w:val="00FC6A8B"/>
    <w:rsid w:val="00FC6FF7"/>
    <w:rsid w:val="00FC73A7"/>
    <w:rsid w:val="00FC770C"/>
    <w:rsid w:val="00FC77E8"/>
    <w:rsid w:val="00FC788F"/>
    <w:rsid w:val="00FC7912"/>
    <w:rsid w:val="00FC7998"/>
    <w:rsid w:val="00FC79A6"/>
    <w:rsid w:val="00FC7B2A"/>
    <w:rsid w:val="00FC7F0F"/>
    <w:rsid w:val="00FC7F55"/>
    <w:rsid w:val="00FD025C"/>
    <w:rsid w:val="00FD026E"/>
    <w:rsid w:val="00FD04E1"/>
    <w:rsid w:val="00FD0523"/>
    <w:rsid w:val="00FD0599"/>
    <w:rsid w:val="00FD073E"/>
    <w:rsid w:val="00FD0796"/>
    <w:rsid w:val="00FD08B2"/>
    <w:rsid w:val="00FD091D"/>
    <w:rsid w:val="00FD0989"/>
    <w:rsid w:val="00FD09D5"/>
    <w:rsid w:val="00FD0B85"/>
    <w:rsid w:val="00FD0DB2"/>
    <w:rsid w:val="00FD0DC0"/>
    <w:rsid w:val="00FD0DC6"/>
    <w:rsid w:val="00FD107E"/>
    <w:rsid w:val="00FD1336"/>
    <w:rsid w:val="00FD1AA0"/>
    <w:rsid w:val="00FD1B41"/>
    <w:rsid w:val="00FD2219"/>
    <w:rsid w:val="00FD22FF"/>
    <w:rsid w:val="00FD25A2"/>
    <w:rsid w:val="00FD25FE"/>
    <w:rsid w:val="00FD288A"/>
    <w:rsid w:val="00FD2959"/>
    <w:rsid w:val="00FD2CF9"/>
    <w:rsid w:val="00FD2D21"/>
    <w:rsid w:val="00FD2D5B"/>
    <w:rsid w:val="00FD2E53"/>
    <w:rsid w:val="00FD3332"/>
    <w:rsid w:val="00FD3475"/>
    <w:rsid w:val="00FD36C4"/>
    <w:rsid w:val="00FD37F1"/>
    <w:rsid w:val="00FD3AE8"/>
    <w:rsid w:val="00FD3BBA"/>
    <w:rsid w:val="00FD417F"/>
    <w:rsid w:val="00FD4238"/>
    <w:rsid w:val="00FD42F9"/>
    <w:rsid w:val="00FD434B"/>
    <w:rsid w:val="00FD44DE"/>
    <w:rsid w:val="00FD4AF2"/>
    <w:rsid w:val="00FD4C42"/>
    <w:rsid w:val="00FD4D5E"/>
    <w:rsid w:val="00FD4E72"/>
    <w:rsid w:val="00FD4EFA"/>
    <w:rsid w:val="00FD500A"/>
    <w:rsid w:val="00FD55E0"/>
    <w:rsid w:val="00FD580A"/>
    <w:rsid w:val="00FD5840"/>
    <w:rsid w:val="00FD5853"/>
    <w:rsid w:val="00FD58B8"/>
    <w:rsid w:val="00FD5B56"/>
    <w:rsid w:val="00FD60BB"/>
    <w:rsid w:val="00FD63C8"/>
    <w:rsid w:val="00FD66A4"/>
    <w:rsid w:val="00FD6A72"/>
    <w:rsid w:val="00FD6C7E"/>
    <w:rsid w:val="00FD6D9E"/>
    <w:rsid w:val="00FD72F2"/>
    <w:rsid w:val="00FD7374"/>
    <w:rsid w:val="00FD7878"/>
    <w:rsid w:val="00FE00DF"/>
    <w:rsid w:val="00FE02DE"/>
    <w:rsid w:val="00FE0374"/>
    <w:rsid w:val="00FE06ED"/>
    <w:rsid w:val="00FE08C0"/>
    <w:rsid w:val="00FE08EC"/>
    <w:rsid w:val="00FE0DD6"/>
    <w:rsid w:val="00FE0E69"/>
    <w:rsid w:val="00FE0EB5"/>
    <w:rsid w:val="00FE1664"/>
    <w:rsid w:val="00FE16DD"/>
    <w:rsid w:val="00FE16F5"/>
    <w:rsid w:val="00FE1791"/>
    <w:rsid w:val="00FE1841"/>
    <w:rsid w:val="00FE18A3"/>
    <w:rsid w:val="00FE18B5"/>
    <w:rsid w:val="00FE1ACA"/>
    <w:rsid w:val="00FE2047"/>
    <w:rsid w:val="00FE22AB"/>
    <w:rsid w:val="00FE2323"/>
    <w:rsid w:val="00FE2330"/>
    <w:rsid w:val="00FE26A5"/>
    <w:rsid w:val="00FE2D2E"/>
    <w:rsid w:val="00FE2E65"/>
    <w:rsid w:val="00FE2EFD"/>
    <w:rsid w:val="00FE3106"/>
    <w:rsid w:val="00FE3193"/>
    <w:rsid w:val="00FE324D"/>
    <w:rsid w:val="00FE33C4"/>
    <w:rsid w:val="00FE36BF"/>
    <w:rsid w:val="00FE38A4"/>
    <w:rsid w:val="00FE38FD"/>
    <w:rsid w:val="00FE3AA0"/>
    <w:rsid w:val="00FE3F3D"/>
    <w:rsid w:val="00FE4266"/>
    <w:rsid w:val="00FE42A2"/>
    <w:rsid w:val="00FE4362"/>
    <w:rsid w:val="00FE474A"/>
    <w:rsid w:val="00FE4D3D"/>
    <w:rsid w:val="00FE5201"/>
    <w:rsid w:val="00FE54B2"/>
    <w:rsid w:val="00FE5671"/>
    <w:rsid w:val="00FE5789"/>
    <w:rsid w:val="00FE5881"/>
    <w:rsid w:val="00FE59FE"/>
    <w:rsid w:val="00FE5EE6"/>
    <w:rsid w:val="00FE6111"/>
    <w:rsid w:val="00FE6177"/>
    <w:rsid w:val="00FE637A"/>
    <w:rsid w:val="00FE65E7"/>
    <w:rsid w:val="00FE67F9"/>
    <w:rsid w:val="00FE6883"/>
    <w:rsid w:val="00FE6AD8"/>
    <w:rsid w:val="00FE6C8D"/>
    <w:rsid w:val="00FE6F24"/>
    <w:rsid w:val="00FE7092"/>
    <w:rsid w:val="00FE73DD"/>
    <w:rsid w:val="00FE7611"/>
    <w:rsid w:val="00FE77C5"/>
    <w:rsid w:val="00FE7806"/>
    <w:rsid w:val="00FE7842"/>
    <w:rsid w:val="00FE79B9"/>
    <w:rsid w:val="00FE7C4E"/>
    <w:rsid w:val="00FE7CF7"/>
    <w:rsid w:val="00FE7E51"/>
    <w:rsid w:val="00FF05CD"/>
    <w:rsid w:val="00FF09B0"/>
    <w:rsid w:val="00FF0D95"/>
    <w:rsid w:val="00FF0E92"/>
    <w:rsid w:val="00FF123D"/>
    <w:rsid w:val="00FF125B"/>
    <w:rsid w:val="00FF1371"/>
    <w:rsid w:val="00FF168E"/>
    <w:rsid w:val="00FF16EF"/>
    <w:rsid w:val="00FF1C7B"/>
    <w:rsid w:val="00FF1D50"/>
    <w:rsid w:val="00FF1F14"/>
    <w:rsid w:val="00FF2060"/>
    <w:rsid w:val="00FF2247"/>
    <w:rsid w:val="00FF2A52"/>
    <w:rsid w:val="00FF2C34"/>
    <w:rsid w:val="00FF2DB8"/>
    <w:rsid w:val="00FF3022"/>
    <w:rsid w:val="00FF3041"/>
    <w:rsid w:val="00FF32E6"/>
    <w:rsid w:val="00FF337A"/>
    <w:rsid w:val="00FF344A"/>
    <w:rsid w:val="00FF3488"/>
    <w:rsid w:val="00FF34EE"/>
    <w:rsid w:val="00FF34F1"/>
    <w:rsid w:val="00FF369F"/>
    <w:rsid w:val="00FF3759"/>
    <w:rsid w:val="00FF37A8"/>
    <w:rsid w:val="00FF38B0"/>
    <w:rsid w:val="00FF3A48"/>
    <w:rsid w:val="00FF3D93"/>
    <w:rsid w:val="00FF3E0B"/>
    <w:rsid w:val="00FF40B7"/>
    <w:rsid w:val="00FF40E0"/>
    <w:rsid w:val="00FF4348"/>
    <w:rsid w:val="00FF4609"/>
    <w:rsid w:val="00FF46DA"/>
    <w:rsid w:val="00FF47BA"/>
    <w:rsid w:val="00FF4834"/>
    <w:rsid w:val="00FF4AB8"/>
    <w:rsid w:val="00FF4B25"/>
    <w:rsid w:val="00FF4D83"/>
    <w:rsid w:val="00FF583D"/>
    <w:rsid w:val="00FF5A7F"/>
    <w:rsid w:val="00FF5CBE"/>
    <w:rsid w:val="00FF5DF3"/>
    <w:rsid w:val="00FF5FA7"/>
    <w:rsid w:val="00FF6035"/>
    <w:rsid w:val="00FF605A"/>
    <w:rsid w:val="00FF6435"/>
    <w:rsid w:val="00FF6B97"/>
    <w:rsid w:val="00FF6C40"/>
    <w:rsid w:val="00FF744F"/>
    <w:rsid w:val="00FF75EC"/>
    <w:rsid w:val="00FF7736"/>
    <w:rsid w:val="00FF7A33"/>
    <w:rsid w:val="00FF7F0E"/>
    <w:rsid w:val="0390EF83"/>
    <w:rsid w:val="03AC1B97"/>
    <w:rsid w:val="03F8223D"/>
    <w:rsid w:val="045F2E3D"/>
    <w:rsid w:val="04B1554D"/>
    <w:rsid w:val="054D0F31"/>
    <w:rsid w:val="077FD1D5"/>
    <w:rsid w:val="080ACF33"/>
    <w:rsid w:val="09226BE5"/>
    <w:rsid w:val="094EAE81"/>
    <w:rsid w:val="0B73824F"/>
    <w:rsid w:val="0B767016"/>
    <w:rsid w:val="0B7B8E3A"/>
    <w:rsid w:val="0BF8D310"/>
    <w:rsid w:val="0C702079"/>
    <w:rsid w:val="0C9A2F86"/>
    <w:rsid w:val="0CB239AA"/>
    <w:rsid w:val="0D52A21F"/>
    <w:rsid w:val="0DAB2B19"/>
    <w:rsid w:val="0DD0A6D1"/>
    <w:rsid w:val="0E3D3C03"/>
    <w:rsid w:val="0EBF2E86"/>
    <w:rsid w:val="0EDC9ACD"/>
    <w:rsid w:val="0F00A32E"/>
    <w:rsid w:val="10D16202"/>
    <w:rsid w:val="11BB0EEB"/>
    <w:rsid w:val="128F614A"/>
    <w:rsid w:val="13397501"/>
    <w:rsid w:val="1450403C"/>
    <w:rsid w:val="14D58BFB"/>
    <w:rsid w:val="155BB2AC"/>
    <w:rsid w:val="1656D1E8"/>
    <w:rsid w:val="16FAF7A3"/>
    <w:rsid w:val="1780BD73"/>
    <w:rsid w:val="1950EBB8"/>
    <w:rsid w:val="1A79B7AB"/>
    <w:rsid w:val="1AE406BA"/>
    <w:rsid w:val="1C2DEE25"/>
    <w:rsid w:val="1C9606F6"/>
    <w:rsid w:val="1CD6308A"/>
    <w:rsid w:val="1D7FC475"/>
    <w:rsid w:val="1D87B9EA"/>
    <w:rsid w:val="1D9B155A"/>
    <w:rsid w:val="1D9BACE3"/>
    <w:rsid w:val="2018697D"/>
    <w:rsid w:val="2126FAD3"/>
    <w:rsid w:val="2174F841"/>
    <w:rsid w:val="21E6DCE3"/>
    <w:rsid w:val="22C55B8B"/>
    <w:rsid w:val="2308C978"/>
    <w:rsid w:val="23EF1934"/>
    <w:rsid w:val="277C9C3E"/>
    <w:rsid w:val="280689EF"/>
    <w:rsid w:val="2917DBDF"/>
    <w:rsid w:val="2B479722"/>
    <w:rsid w:val="2B87FED8"/>
    <w:rsid w:val="2C072E19"/>
    <w:rsid w:val="2D022B63"/>
    <w:rsid w:val="2D1106DC"/>
    <w:rsid w:val="2D2790C8"/>
    <w:rsid w:val="2D3C2137"/>
    <w:rsid w:val="2D529837"/>
    <w:rsid w:val="2D85F5D3"/>
    <w:rsid w:val="2DA2FE7A"/>
    <w:rsid w:val="2FA93DD1"/>
    <w:rsid w:val="3171573E"/>
    <w:rsid w:val="32A9AC35"/>
    <w:rsid w:val="33041404"/>
    <w:rsid w:val="330A7070"/>
    <w:rsid w:val="33D7B796"/>
    <w:rsid w:val="3416D822"/>
    <w:rsid w:val="3461C00D"/>
    <w:rsid w:val="348AB7A0"/>
    <w:rsid w:val="349E56B4"/>
    <w:rsid w:val="34E17652"/>
    <w:rsid w:val="360B044A"/>
    <w:rsid w:val="36495C15"/>
    <w:rsid w:val="3943C8DB"/>
    <w:rsid w:val="399A76DA"/>
    <w:rsid w:val="39C85F64"/>
    <w:rsid w:val="3A124FC2"/>
    <w:rsid w:val="3B22602B"/>
    <w:rsid w:val="3B9AFF3F"/>
    <w:rsid w:val="3BAF2C6B"/>
    <w:rsid w:val="3BEF3803"/>
    <w:rsid w:val="3D0619D4"/>
    <w:rsid w:val="3D18FCB7"/>
    <w:rsid w:val="3E5A8025"/>
    <w:rsid w:val="400BE5BD"/>
    <w:rsid w:val="408CB817"/>
    <w:rsid w:val="4105458F"/>
    <w:rsid w:val="4386C7A4"/>
    <w:rsid w:val="43BF8C65"/>
    <w:rsid w:val="45DC11AA"/>
    <w:rsid w:val="45EEDBCD"/>
    <w:rsid w:val="468674DA"/>
    <w:rsid w:val="469A257C"/>
    <w:rsid w:val="4C57CEFE"/>
    <w:rsid w:val="4CBDE194"/>
    <w:rsid w:val="4D413040"/>
    <w:rsid w:val="4D825510"/>
    <w:rsid w:val="4E2FA67C"/>
    <w:rsid w:val="4E3F9CB4"/>
    <w:rsid w:val="4FA698F2"/>
    <w:rsid w:val="518C9617"/>
    <w:rsid w:val="51CB7CDE"/>
    <w:rsid w:val="528D9687"/>
    <w:rsid w:val="5296593D"/>
    <w:rsid w:val="52A9BD52"/>
    <w:rsid w:val="56C33927"/>
    <w:rsid w:val="5744FF25"/>
    <w:rsid w:val="57DD4BE6"/>
    <w:rsid w:val="595F7C8B"/>
    <w:rsid w:val="59FE3450"/>
    <w:rsid w:val="5AA13591"/>
    <w:rsid w:val="5AB86D5D"/>
    <w:rsid w:val="5B39E825"/>
    <w:rsid w:val="5C28146D"/>
    <w:rsid w:val="5C8F9EAB"/>
    <w:rsid w:val="5D012849"/>
    <w:rsid w:val="5D6ED920"/>
    <w:rsid w:val="5DCA3CC4"/>
    <w:rsid w:val="5E4A4DCC"/>
    <w:rsid w:val="5E8ADB35"/>
    <w:rsid w:val="601A6D9D"/>
    <w:rsid w:val="6149B8FC"/>
    <w:rsid w:val="6206C733"/>
    <w:rsid w:val="62199539"/>
    <w:rsid w:val="626EC54C"/>
    <w:rsid w:val="62CB1508"/>
    <w:rsid w:val="6344DBDE"/>
    <w:rsid w:val="64E24373"/>
    <w:rsid w:val="6549CC67"/>
    <w:rsid w:val="66C0FAF6"/>
    <w:rsid w:val="6893C3F9"/>
    <w:rsid w:val="693FD7BC"/>
    <w:rsid w:val="69AF8B8E"/>
    <w:rsid w:val="69BD2E71"/>
    <w:rsid w:val="6A15B411"/>
    <w:rsid w:val="6AA9F1B2"/>
    <w:rsid w:val="6AE37A16"/>
    <w:rsid w:val="6AEFD88A"/>
    <w:rsid w:val="6B33E4B2"/>
    <w:rsid w:val="6C298134"/>
    <w:rsid w:val="6D76F704"/>
    <w:rsid w:val="6DD3B592"/>
    <w:rsid w:val="6E38B8B1"/>
    <w:rsid w:val="6E4CA6A9"/>
    <w:rsid w:val="6F10368F"/>
    <w:rsid w:val="6F896950"/>
    <w:rsid w:val="704AC7C0"/>
    <w:rsid w:val="7091E793"/>
    <w:rsid w:val="70E907DB"/>
    <w:rsid w:val="71442D30"/>
    <w:rsid w:val="715B688F"/>
    <w:rsid w:val="72009BE2"/>
    <w:rsid w:val="72144558"/>
    <w:rsid w:val="724120B1"/>
    <w:rsid w:val="74CED24D"/>
    <w:rsid w:val="74D2AA34"/>
    <w:rsid w:val="760627EB"/>
    <w:rsid w:val="76294EED"/>
    <w:rsid w:val="77140667"/>
    <w:rsid w:val="795A8595"/>
    <w:rsid w:val="79CFD36F"/>
    <w:rsid w:val="7B0E0F13"/>
    <w:rsid w:val="7B1AF2A3"/>
    <w:rsid w:val="7B224C87"/>
    <w:rsid w:val="7B57908F"/>
    <w:rsid w:val="7CB4489A"/>
    <w:rsid w:val="7D158EAE"/>
    <w:rsid w:val="7D2417F2"/>
    <w:rsid w:val="7E170128"/>
    <w:rsid w:val="7EBEA116"/>
    <w:rsid w:val="7F57E1B6"/>
    <w:rsid w:val="7F6B78A7"/>
    <w:rsid w:val="7FC95D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15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6" w:unhideWhenUsed="1" w:qFormat="1"/>
    <w:lsdException w:name="List Bullet 3" w:semiHidden="1" w:uiPriority="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871"/>
  </w:style>
  <w:style w:type="paragraph" w:styleId="Heading1">
    <w:name w:val="heading 1"/>
    <w:aliases w:val="FSHeading 1,Chapter heading"/>
    <w:basedOn w:val="Normal"/>
    <w:next w:val="Normal"/>
    <w:link w:val="Heading1Char"/>
    <w:uiPriority w:val="9"/>
    <w:qFormat/>
    <w:rsid w:val="00CD4D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FSHeading 2,Section heading"/>
    <w:basedOn w:val="Normal"/>
    <w:next w:val="Normal"/>
    <w:link w:val="Heading2Char"/>
    <w:uiPriority w:val="9"/>
    <w:unhideWhenUsed/>
    <w:qFormat/>
    <w:rsid w:val="004424ED"/>
    <w:pPr>
      <w:keepNext/>
      <w:widowControl w:val="0"/>
      <w:spacing w:before="240" w:after="240" w:line="240" w:lineRule="auto"/>
      <w:ind w:left="576" w:hanging="576"/>
      <w:outlineLvl w:val="1"/>
    </w:pPr>
    <w:rPr>
      <w:rFonts w:ascii="Arial" w:eastAsia="Times New Roman" w:hAnsi="Arial" w:cs="Arial"/>
      <w:b/>
      <w:bCs/>
      <w:sz w:val="28"/>
      <w:lang w:val="en-GB"/>
    </w:rPr>
  </w:style>
  <w:style w:type="paragraph" w:styleId="Heading3">
    <w:name w:val="heading 3"/>
    <w:aliases w:val="FSHeading 3,Subheading 1"/>
    <w:basedOn w:val="Normal"/>
    <w:next w:val="Normal"/>
    <w:link w:val="Heading3Char"/>
    <w:uiPriority w:val="9"/>
    <w:unhideWhenUsed/>
    <w:qFormat/>
    <w:rsid w:val="004424ED"/>
    <w:pPr>
      <w:keepNext/>
      <w:widowControl w:val="0"/>
      <w:spacing w:before="240" w:after="240" w:line="240" w:lineRule="auto"/>
      <w:ind w:left="720" w:hanging="720"/>
      <w:outlineLvl w:val="2"/>
    </w:pPr>
    <w:rPr>
      <w:rFonts w:ascii="Arial" w:eastAsia="Times New Roman" w:hAnsi="Arial" w:cs="Times New Roman"/>
      <w:b/>
      <w:bCs/>
      <w:color w:val="000000" w:themeColor="text1"/>
      <w:szCs w:val="24"/>
      <w:lang w:val="en-GB" w:eastAsia="en-AU"/>
    </w:rPr>
  </w:style>
  <w:style w:type="paragraph" w:styleId="Heading4">
    <w:name w:val="heading 4"/>
    <w:aliases w:val="FSHeading 4,Subheading 2"/>
    <w:basedOn w:val="Normal"/>
    <w:next w:val="Normal"/>
    <w:link w:val="Heading4Char"/>
    <w:uiPriority w:val="9"/>
    <w:unhideWhenUsed/>
    <w:qFormat/>
    <w:rsid w:val="004424ED"/>
    <w:pPr>
      <w:keepNext/>
      <w:widowControl w:val="0"/>
      <w:spacing w:before="240" w:after="240" w:line="240" w:lineRule="auto"/>
      <w:ind w:left="864" w:hanging="864"/>
      <w:outlineLvl w:val="3"/>
    </w:pPr>
    <w:rPr>
      <w:rFonts w:ascii="Arial" w:eastAsia="Times New Roman" w:hAnsi="Arial" w:cs="Times New Roman"/>
      <w:b/>
      <w:bCs/>
      <w:i/>
      <w:iCs/>
      <w:lang w:val="en-GB"/>
    </w:rPr>
  </w:style>
  <w:style w:type="paragraph" w:styleId="Heading5">
    <w:name w:val="heading 5"/>
    <w:aliases w:val="FSHeading 5,Subheading 3"/>
    <w:basedOn w:val="Normal"/>
    <w:next w:val="Normal"/>
    <w:link w:val="Heading5Char"/>
    <w:uiPriority w:val="9"/>
    <w:unhideWhenUsed/>
    <w:qFormat/>
    <w:rsid w:val="0003597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rsid w:val="004424ED"/>
    <w:pPr>
      <w:widowControl w:val="0"/>
      <w:spacing w:before="240" w:after="60" w:line="240" w:lineRule="auto"/>
      <w:ind w:left="1152" w:hanging="1152"/>
      <w:outlineLvl w:val="5"/>
    </w:pPr>
    <w:rPr>
      <w:rFonts w:ascii="Arial" w:eastAsia="Times New Roman" w:hAnsi="Arial" w:cs="Arial Unicode MS"/>
      <w:b/>
      <w:bCs/>
      <w:lang w:val="en-GB" w:bidi="en-US"/>
    </w:rPr>
  </w:style>
  <w:style w:type="paragraph" w:styleId="Heading7">
    <w:name w:val="heading 7"/>
    <w:basedOn w:val="Normal"/>
    <w:next w:val="Normal"/>
    <w:link w:val="Heading7Char"/>
    <w:uiPriority w:val="9"/>
    <w:unhideWhenUsed/>
    <w:rsid w:val="004424ED"/>
    <w:pPr>
      <w:widowControl w:val="0"/>
      <w:spacing w:before="240" w:after="60" w:line="240" w:lineRule="auto"/>
      <w:ind w:left="1296" w:hanging="1296"/>
      <w:outlineLvl w:val="6"/>
    </w:pPr>
    <w:rPr>
      <w:rFonts w:ascii="Arial" w:eastAsia="Times New Roman" w:hAnsi="Arial" w:cs="Times New Roman"/>
      <w:szCs w:val="24"/>
      <w:lang w:val="en-GB" w:bidi="en-US"/>
    </w:rPr>
  </w:style>
  <w:style w:type="paragraph" w:styleId="Heading8">
    <w:name w:val="heading 8"/>
    <w:basedOn w:val="Normal"/>
    <w:next w:val="Normal"/>
    <w:link w:val="Heading8Char"/>
    <w:uiPriority w:val="9"/>
    <w:unhideWhenUsed/>
    <w:qFormat/>
    <w:rsid w:val="004424ED"/>
    <w:pPr>
      <w:widowControl w:val="0"/>
      <w:spacing w:before="240" w:after="60" w:line="240" w:lineRule="auto"/>
      <w:ind w:left="1440" w:hanging="1440"/>
      <w:outlineLvl w:val="7"/>
    </w:pPr>
    <w:rPr>
      <w:rFonts w:ascii="Arial" w:eastAsia="Times New Roman" w:hAnsi="Arial" w:cs="Times New Roman"/>
      <w:i/>
      <w:iCs/>
      <w:szCs w:val="24"/>
      <w:lang w:val="en-GB" w:bidi="en-US"/>
    </w:rPr>
  </w:style>
  <w:style w:type="paragraph" w:styleId="Heading9">
    <w:name w:val="heading 9"/>
    <w:basedOn w:val="Normal"/>
    <w:next w:val="Normal"/>
    <w:link w:val="Heading9Char"/>
    <w:uiPriority w:val="9"/>
    <w:unhideWhenUsed/>
    <w:qFormat/>
    <w:rsid w:val="004424ED"/>
    <w:pPr>
      <w:widowControl w:val="0"/>
      <w:spacing w:before="240" w:after="60" w:line="240" w:lineRule="auto"/>
      <w:ind w:left="1584" w:hanging="1584"/>
      <w:outlineLvl w:val="8"/>
    </w:pPr>
    <w:rPr>
      <w:rFonts w:ascii="Cambria" w:eastAsia="Times New Roman" w:hAnsi="Cambria" w:cs="Times New Roman"/>
      <w:lang w:val="en-GB"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5B4051"/>
    <w:pPr>
      <w:spacing w:after="0" w:line="240" w:lineRule="auto"/>
      <w:ind w:left="720"/>
    </w:pPr>
    <w:rPr>
      <w:rFonts w:ascii="Calibri" w:hAnsi="Calibri" w:cs="Calibri"/>
      <w:lang w:val="en-NZ"/>
      <w14:ligatures w14:val="standardContextual"/>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30164D"/>
    <w:rPr>
      <w:rFonts w:ascii="Calibri" w:hAnsi="Calibri" w:cs="Calibri"/>
      <w:lang w:val="en-NZ"/>
      <w14:ligatures w14:val="standardContextual"/>
    </w:rPr>
  </w:style>
  <w:style w:type="character" w:customStyle="1" w:styleId="FootnoteTextChar">
    <w:name w:val="Footnote Text Char"/>
    <w:aliases w:val="Footnotes Text Char,FSFootnotes Text Char,FSFootnote Text Char,Footnote Snez Char"/>
    <w:basedOn w:val="DefaultParagraphFont"/>
    <w:link w:val="FootnoteText"/>
    <w:uiPriority w:val="5"/>
    <w:locked/>
    <w:rsid w:val="004B6855"/>
    <w:rPr>
      <w:rFonts w:ascii="Times New Roman" w:eastAsia="Times New Roman" w:hAnsi="Times New Roman" w:cs="Times New Roman"/>
      <w:sz w:val="18"/>
      <w:szCs w:val="20"/>
      <w:lang w:val="en-GB" w:bidi="en-US"/>
    </w:rPr>
  </w:style>
  <w:style w:type="paragraph" w:styleId="FootnoteText">
    <w:name w:val="footnote text"/>
    <w:aliases w:val="Footnotes Text,FSFootnotes Text,FSFootnote Text,Footnote Snez"/>
    <w:basedOn w:val="Normal"/>
    <w:link w:val="FootnoteTextChar"/>
    <w:uiPriority w:val="5"/>
    <w:unhideWhenUsed/>
    <w:qFormat/>
    <w:rsid w:val="004B6855"/>
    <w:pPr>
      <w:spacing w:after="0" w:line="240" w:lineRule="auto"/>
    </w:pPr>
    <w:rPr>
      <w:rFonts w:ascii="Times New Roman" w:eastAsia="Times New Roman" w:hAnsi="Times New Roman" w:cs="Times New Roman"/>
      <w:sz w:val="18"/>
      <w:szCs w:val="20"/>
      <w:lang w:val="en-GB" w:bidi="en-US"/>
    </w:rPr>
  </w:style>
  <w:style w:type="character" w:customStyle="1" w:styleId="FootnoteTextChar1">
    <w:name w:val="Footnote Text Char1"/>
    <w:basedOn w:val="DefaultParagraphFont"/>
    <w:uiPriority w:val="99"/>
    <w:semiHidden/>
    <w:rsid w:val="004B6855"/>
    <w:rPr>
      <w:sz w:val="20"/>
      <w:szCs w:val="20"/>
    </w:rPr>
  </w:style>
  <w:style w:type="character" w:styleId="FootnoteReference">
    <w:name w:val="footnote reference"/>
    <w:basedOn w:val="DefaultParagraphFont"/>
    <w:uiPriority w:val="99"/>
    <w:unhideWhenUsed/>
    <w:rsid w:val="004B6855"/>
    <w:rPr>
      <w:vertAlign w:val="superscript"/>
    </w:rPr>
  </w:style>
  <w:style w:type="paragraph" w:customStyle="1" w:styleId="subsection">
    <w:name w:val="subsection"/>
    <w:basedOn w:val="Normal"/>
    <w:rsid w:val="003A1B76"/>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paragraph" w:customStyle="1" w:styleId="paragraph">
    <w:name w:val="paragraph"/>
    <w:basedOn w:val="Normal"/>
    <w:rsid w:val="003A1B76"/>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styleId="Hyperlink">
    <w:name w:val="Hyperlink"/>
    <w:basedOn w:val="DefaultParagraphFont"/>
    <w:uiPriority w:val="99"/>
    <w:unhideWhenUsed/>
    <w:rsid w:val="003E7AF5"/>
    <w:rPr>
      <w:color w:val="0000FF"/>
      <w:u w:val="single"/>
    </w:rPr>
  </w:style>
  <w:style w:type="character" w:styleId="FollowedHyperlink">
    <w:name w:val="FollowedHyperlink"/>
    <w:basedOn w:val="DefaultParagraphFont"/>
    <w:uiPriority w:val="99"/>
    <w:semiHidden/>
    <w:unhideWhenUsed/>
    <w:rsid w:val="003E7AF5"/>
    <w:rPr>
      <w:color w:val="954F72" w:themeColor="followedHyperlink"/>
      <w:u w:val="single"/>
    </w:rPr>
  </w:style>
  <w:style w:type="character" w:customStyle="1" w:styleId="UnresolvedMention1">
    <w:name w:val="Unresolved Mention1"/>
    <w:basedOn w:val="DefaultParagraphFont"/>
    <w:uiPriority w:val="99"/>
    <w:semiHidden/>
    <w:unhideWhenUsed/>
    <w:rsid w:val="00D773DE"/>
    <w:rPr>
      <w:color w:val="605E5C"/>
      <w:shd w:val="clear" w:color="auto" w:fill="E1DFDD"/>
    </w:rPr>
  </w:style>
  <w:style w:type="paragraph" w:customStyle="1" w:styleId="Table2">
    <w:name w:val="Table 2"/>
    <w:basedOn w:val="Normal"/>
    <w:link w:val="Table2Char"/>
    <w:uiPriority w:val="20"/>
    <w:qFormat/>
    <w:rsid w:val="00B228AE"/>
    <w:pPr>
      <w:spacing w:after="0" w:line="240" w:lineRule="auto"/>
      <w:ind w:left="142" w:hanging="142"/>
    </w:pPr>
    <w:rPr>
      <w:rFonts w:ascii="Arial" w:eastAsia="Times New Roman" w:hAnsi="Arial" w:cs="Times New Roman"/>
      <w:bCs/>
      <w:sz w:val="18"/>
      <w:szCs w:val="20"/>
      <w:lang w:val="en-GB"/>
    </w:rPr>
  </w:style>
  <w:style w:type="character" w:customStyle="1" w:styleId="Table2Char">
    <w:name w:val="Table 2 Char"/>
    <w:link w:val="Table2"/>
    <w:uiPriority w:val="20"/>
    <w:rsid w:val="00B228AE"/>
    <w:rPr>
      <w:rFonts w:ascii="Arial" w:eastAsia="Times New Roman" w:hAnsi="Arial" w:cs="Times New Roman"/>
      <w:bCs/>
      <w:sz w:val="18"/>
      <w:szCs w:val="20"/>
      <w:lang w:val="en-GB"/>
    </w:rPr>
  </w:style>
  <w:style w:type="paragraph" w:customStyle="1" w:styleId="FSTableText">
    <w:name w:val="FS Table Text"/>
    <w:basedOn w:val="Normal"/>
    <w:qFormat/>
    <w:rsid w:val="00B228AE"/>
    <w:pPr>
      <w:widowControl w:val="0"/>
      <w:spacing w:after="0" w:line="240" w:lineRule="auto"/>
    </w:pPr>
    <w:rPr>
      <w:rFonts w:ascii="Arial" w:eastAsia="Times New Roman" w:hAnsi="Arial" w:cs="Arial"/>
      <w:sz w:val="20"/>
      <w:szCs w:val="20"/>
      <w:lang w:val="en-GB" w:bidi="en-US"/>
    </w:rPr>
  </w:style>
  <w:style w:type="character" w:styleId="CommentReference">
    <w:name w:val="annotation reference"/>
    <w:basedOn w:val="DefaultParagraphFont"/>
    <w:unhideWhenUsed/>
    <w:rsid w:val="00044CDF"/>
    <w:rPr>
      <w:sz w:val="16"/>
      <w:szCs w:val="16"/>
    </w:rPr>
  </w:style>
  <w:style w:type="paragraph" w:styleId="CommentText">
    <w:name w:val="annotation text"/>
    <w:basedOn w:val="Normal"/>
    <w:link w:val="CommentTextChar"/>
    <w:unhideWhenUsed/>
    <w:rsid w:val="00044CDF"/>
    <w:pPr>
      <w:spacing w:line="240" w:lineRule="auto"/>
    </w:pPr>
    <w:rPr>
      <w:sz w:val="20"/>
      <w:szCs w:val="20"/>
    </w:rPr>
  </w:style>
  <w:style w:type="character" w:customStyle="1" w:styleId="CommentTextChar">
    <w:name w:val="Comment Text Char"/>
    <w:basedOn w:val="DefaultParagraphFont"/>
    <w:link w:val="CommentText"/>
    <w:rsid w:val="00044CDF"/>
    <w:rPr>
      <w:sz w:val="20"/>
      <w:szCs w:val="20"/>
    </w:rPr>
  </w:style>
  <w:style w:type="character" w:customStyle="1" w:styleId="normaltextrun">
    <w:name w:val="normaltextrun"/>
    <w:basedOn w:val="DefaultParagraphFont"/>
    <w:rsid w:val="00044CDF"/>
  </w:style>
  <w:style w:type="paragraph" w:styleId="CommentSubject">
    <w:name w:val="annotation subject"/>
    <w:basedOn w:val="CommentText"/>
    <w:next w:val="CommentText"/>
    <w:link w:val="CommentSubjectChar"/>
    <w:uiPriority w:val="99"/>
    <w:semiHidden/>
    <w:unhideWhenUsed/>
    <w:rsid w:val="00E86FF3"/>
    <w:rPr>
      <w:b/>
      <w:bCs/>
    </w:rPr>
  </w:style>
  <w:style w:type="character" w:customStyle="1" w:styleId="CommentSubjectChar">
    <w:name w:val="Comment Subject Char"/>
    <w:basedOn w:val="CommentTextChar"/>
    <w:link w:val="CommentSubject"/>
    <w:uiPriority w:val="99"/>
    <w:semiHidden/>
    <w:rsid w:val="00E86FF3"/>
    <w:rPr>
      <w:b/>
      <w:bCs/>
      <w:sz w:val="20"/>
      <w:szCs w:val="20"/>
    </w:rPr>
  </w:style>
  <w:style w:type="table" w:customStyle="1" w:styleId="GridTable4-Accent31">
    <w:name w:val="Grid Table 4 - Accent 31"/>
    <w:basedOn w:val="TableNormal"/>
    <w:next w:val="GridTable4-Accent3"/>
    <w:uiPriority w:val="49"/>
    <w:rsid w:val="00F96DDF"/>
    <w:pPr>
      <w:spacing w:after="0" w:line="240" w:lineRule="auto"/>
    </w:pPr>
    <w:rPr>
      <w:rFonts w:ascii="Arial" w:hAnsi="Arial" w:cs="Arial"/>
      <w:lang w:val="en-AU"/>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GridTable4-Accent3">
    <w:name w:val="Grid Table 4 Accent 3"/>
    <w:basedOn w:val="TableNormal"/>
    <w:uiPriority w:val="49"/>
    <w:rsid w:val="00F96DD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aliases w:val="FSHeader"/>
    <w:basedOn w:val="Normal"/>
    <w:link w:val="HeaderChar"/>
    <w:uiPriority w:val="99"/>
    <w:unhideWhenUsed/>
    <w:qFormat/>
    <w:rsid w:val="00CD5DD2"/>
    <w:pPr>
      <w:tabs>
        <w:tab w:val="center" w:pos="4513"/>
        <w:tab w:val="right" w:pos="9026"/>
      </w:tabs>
      <w:spacing w:after="0" w:line="240" w:lineRule="auto"/>
    </w:pPr>
  </w:style>
  <w:style w:type="character" w:customStyle="1" w:styleId="HeaderChar">
    <w:name w:val="Header Char"/>
    <w:aliases w:val="FSHeader Char"/>
    <w:basedOn w:val="DefaultParagraphFont"/>
    <w:link w:val="Header"/>
    <w:uiPriority w:val="99"/>
    <w:rsid w:val="00CD5DD2"/>
  </w:style>
  <w:style w:type="paragraph" w:styleId="Footer">
    <w:name w:val="footer"/>
    <w:aliases w:val="FSFooter"/>
    <w:basedOn w:val="Normal"/>
    <w:link w:val="FooterChar"/>
    <w:uiPriority w:val="99"/>
    <w:unhideWhenUsed/>
    <w:qFormat/>
    <w:rsid w:val="00CD5DD2"/>
    <w:pPr>
      <w:tabs>
        <w:tab w:val="center" w:pos="4513"/>
        <w:tab w:val="right" w:pos="9026"/>
      </w:tabs>
      <w:spacing w:after="0" w:line="240" w:lineRule="auto"/>
    </w:pPr>
  </w:style>
  <w:style w:type="character" w:customStyle="1" w:styleId="FooterChar">
    <w:name w:val="Footer Char"/>
    <w:aliases w:val="FSFooter Char"/>
    <w:basedOn w:val="DefaultParagraphFont"/>
    <w:link w:val="Footer"/>
    <w:uiPriority w:val="99"/>
    <w:rsid w:val="00CD5DD2"/>
  </w:style>
  <w:style w:type="paragraph" w:styleId="Revision">
    <w:name w:val="Revision"/>
    <w:hidden/>
    <w:uiPriority w:val="99"/>
    <w:semiHidden/>
    <w:rsid w:val="008E733D"/>
    <w:pPr>
      <w:spacing w:after="0" w:line="240" w:lineRule="auto"/>
    </w:pPr>
  </w:style>
  <w:style w:type="character" w:customStyle="1" w:styleId="eop">
    <w:name w:val="eop"/>
    <w:basedOn w:val="DefaultParagraphFont"/>
    <w:rsid w:val="00BF677F"/>
  </w:style>
  <w:style w:type="character" w:customStyle="1" w:styleId="Heading1Char">
    <w:name w:val="Heading 1 Char"/>
    <w:aliases w:val="FSHeading 1 Char,Chapter heading Char"/>
    <w:basedOn w:val="DefaultParagraphFont"/>
    <w:link w:val="Heading1"/>
    <w:uiPriority w:val="9"/>
    <w:rsid w:val="00CD4DDC"/>
    <w:rPr>
      <w:rFonts w:asciiTheme="majorHAnsi" w:eastAsiaTheme="majorEastAsia" w:hAnsiTheme="majorHAnsi" w:cstheme="majorBidi"/>
      <w:color w:val="2F5496" w:themeColor="accent1" w:themeShade="BF"/>
      <w:sz w:val="32"/>
      <w:szCs w:val="32"/>
    </w:rPr>
  </w:style>
  <w:style w:type="paragraph" w:customStyle="1" w:styleId="FSBullet1">
    <w:name w:val="FSBullet 1"/>
    <w:basedOn w:val="Normal"/>
    <w:next w:val="Normal"/>
    <w:link w:val="FSBullet1Char"/>
    <w:uiPriority w:val="6"/>
    <w:qFormat/>
    <w:locked/>
    <w:rsid w:val="007178C7"/>
    <w:pPr>
      <w:numPr>
        <w:numId w:val="1"/>
      </w:numPr>
      <w:spacing w:after="240" w:line="240" w:lineRule="auto"/>
    </w:pPr>
    <w:rPr>
      <w:rFonts w:ascii="Arial" w:eastAsia="Times New Roman" w:hAnsi="Arial" w:cs="Arial"/>
      <w:color w:val="2E3037"/>
      <w:szCs w:val="24"/>
      <w:lang w:val="en-AU"/>
    </w:rPr>
  </w:style>
  <w:style w:type="character" w:customStyle="1" w:styleId="FSBullet1Char">
    <w:name w:val="FSBullet 1 Char"/>
    <w:basedOn w:val="DefaultParagraphFont"/>
    <w:link w:val="FSBullet1"/>
    <w:uiPriority w:val="6"/>
    <w:rsid w:val="007178C7"/>
    <w:rPr>
      <w:rFonts w:ascii="Arial" w:eastAsia="Times New Roman" w:hAnsi="Arial" w:cs="Arial"/>
      <w:color w:val="2E3037"/>
      <w:szCs w:val="24"/>
      <w:lang w:val="en-AU"/>
    </w:rPr>
  </w:style>
  <w:style w:type="character" w:customStyle="1" w:styleId="Heading5Char">
    <w:name w:val="Heading 5 Char"/>
    <w:aliases w:val="FSHeading 5 Char,Subheading 3 Char"/>
    <w:basedOn w:val="DefaultParagraphFont"/>
    <w:link w:val="Heading5"/>
    <w:uiPriority w:val="9"/>
    <w:rsid w:val="00035972"/>
    <w:rPr>
      <w:rFonts w:asciiTheme="majorHAnsi" w:eastAsiaTheme="majorEastAsia" w:hAnsiTheme="majorHAnsi" w:cstheme="majorBidi"/>
      <w:color w:val="2F5496" w:themeColor="accent1" w:themeShade="BF"/>
    </w:rPr>
  </w:style>
  <w:style w:type="table" w:styleId="TableGrid">
    <w:name w:val="Table Grid"/>
    <w:basedOn w:val="TableNormal"/>
    <w:uiPriority w:val="59"/>
    <w:rsid w:val="00752525"/>
    <w:pPr>
      <w:spacing w:after="0" w:line="240" w:lineRule="auto"/>
    </w:pPr>
    <w:rPr>
      <w:rFonts w:ascii="Arial" w:hAnsi="Arial" w:cs="Arial"/>
      <w:color w:val="2E3037"/>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rtLink1">
    <w:name w:val="SmartLink1"/>
    <w:basedOn w:val="DefaultParagraphFont"/>
    <w:uiPriority w:val="99"/>
    <w:semiHidden/>
    <w:unhideWhenUsed/>
    <w:rsid w:val="00C36015"/>
    <w:rPr>
      <w:rFonts w:ascii="Times New Roman" w:hAnsi="Times New Roman" w:cs="Times New Roman" w:hint="default"/>
      <w:color w:val="0000FF"/>
      <w:u w:val="single"/>
      <w:shd w:val="clear" w:color="auto" w:fill="F3F2F1"/>
    </w:rPr>
  </w:style>
  <w:style w:type="paragraph" w:styleId="ListBullet">
    <w:name w:val="List Bullet"/>
    <w:basedOn w:val="Normal"/>
    <w:qFormat/>
    <w:rsid w:val="00A43C2E"/>
    <w:pPr>
      <w:widowControl w:val="0"/>
      <w:numPr>
        <w:numId w:val="2"/>
      </w:numPr>
      <w:spacing w:after="120" w:line="288" w:lineRule="auto"/>
    </w:pPr>
    <w:rPr>
      <w:rFonts w:eastAsia="Calibri" w:cstheme="minorHAnsi"/>
      <w:spacing w:val="-5"/>
      <w:szCs w:val="24"/>
      <w:lang w:val="en-AU"/>
    </w:rPr>
  </w:style>
  <w:style w:type="paragraph" w:styleId="ListBullet2">
    <w:name w:val="List Bullet 2"/>
    <w:basedOn w:val="Normal"/>
    <w:uiPriority w:val="6"/>
    <w:qFormat/>
    <w:rsid w:val="00A43C2E"/>
    <w:pPr>
      <w:widowControl w:val="0"/>
      <w:numPr>
        <w:ilvl w:val="1"/>
        <w:numId w:val="2"/>
      </w:numPr>
      <w:spacing w:after="120" w:line="288" w:lineRule="auto"/>
    </w:pPr>
    <w:rPr>
      <w:rFonts w:eastAsia="Calibri" w:cstheme="minorHAnsi"/>
      <w:spacing w:val="-5"/>
      <w:szCs w:val="24"/>
      <w:lang w:val="en-AU"/>
    </w:rPr>
  </w:style>
  <w:style w:type="paragraph" w:styleId="ListBullet3">
    <w:name w:val="List Bullet 3"/>
    <w:basedOn w:val="Normal"/>
    <w:uiPriority w:val="6"/>
    <w:qFormat/>
    <w:rsid w:val="00A43C2E"/>
    <w:pPr>
      <w:widowControl w:val="0"/>
      <w:numPr>
        <w:ilvl w:val="2"/>
        <w:numId w:val="2"/>
      </w:numPr>
      <w:spacing w:after="120" w:line="288" w:lineRule="auto"/>
    </w:pPr>
    <w:rPr>
      <w:rFonts w:eastAsia="Calibri" w:cstheme="minorHAnsi"/>
      <w:spacing w:val="-5"/>
      <w:szCs w:val="24"/>
      <w:lang w:val="en-AU"/>
    </w:rPr>
  </w:style>
  <w:style w:type="paragraph" w:customStyle="1" w:styleId="Default">
    <w:name w:val="Default"/>
    <w:rsid w:val="00453BFF"/>
    <w:pPr>
      <w:autoSpaceDE w:val="0"/>
      <w:autoSpaceDN w:val="0"/>
      <w:adjustRightInd w:val="0"/>
      <w:spacing w:after="0" w:line="240" w:lineRule="auto"/>
    </w:pPr>
    <w:rPr>
      <w:rFonts w:ascii="Calibri" w:hAnsi="Calibri" w:cs="Calibri"/>
      <w:color w:val="000000"/>
      <w:sz w:val="24"/>
      <w:szCs w:val="24"/>
      <w:lang w:val="en-NZ"/>
    </w:rPr>
  </w:style>
  <w:style w:type="character" w:customStyle="1" w:styleId="Heading2Char">
    <w:name w:val="Heading 2 Char"/>
    <w:aliases w:val="FSHeading 2 Char,Section heading Char"/>
    <w:basedOn w:val="DefaultParagraphFont"/>
    <w:link w:val="Heading2"/>
    <w:uiPriority w:val="9"/>
    <w:rsid w:val="004424ED"/>
    <w:rPr>
      <w:rFonts w:ascii="Arial" w:eastAsia="Times New Roman" w:hAnsi="Arial" w:cs="Arial"/>
      <w:b/>
      <w:bCs/>
      <w:sz w:val="28"/>
      <w:lang w:val="en-GB"/>
    </w:rPr>
  </w:style>
  <w:style w:type="character" w:customStyle="1" w:styleId="Heading3Char">
    <w:name w:val="Heading 3 Char"/>
    <w:aliases w:val="FSHeading 3 Char,Subheading 1 Char"/>
    <w:basedOn w:val="DefaultParagraphFont"/>
    <w:link w:val="Heading3"/>
    <w:uiPriority w:val="9"/>
    <w:rsid w:val="004424ED"/>
    <w:rPr>
      <w:rFonts w:ascii="Arial" w:eastAsia="Times New Roman" w:hAnsi="Arial" w:cs="Times New Roman"/>
      <w:b/>
      <w:bCs/>
      <w:color w:val="000000" w:themeColor="text1"/>
      <w:szCs w:val="24"/>
      <w:lang w:val="en-GB" w:eastAsia="en-AU"/>
    </w:rPr>
  </w:style>
  <w:style w:type="character" w:customStyle="1" w:styleId="Heading4Char">
    <w:name w:val="Heading 4 Char"/>
    <w:aliases w:val="FSHeading 4 Char,Subheading 2 Char"/>
    <w:basedOn w:val="DefaultParagraphFont"/>
    <w:link w:val="Heading4"/>
    <w:uiPriority w:val="9"/>
    <w:rsid w:val="004424ED"/>
    <w:rPr>
      <w:rFonts w:ascii="Arial" w:eastAsia="Times New Roman" w:hAnsi="Arial" w:cs="Times New Roman"/>
      <w:b/>
      <w:bCs/>
      <w:i/>
      <w:iCs/>
      <w:lang w:val="en-GB"/>
    </w:rPr>
  </w:style>
  <w:style w:type="character" w:customStyle="1" w:styleId="Heading6Char">
    <w:name w:val="Heading 6 Char"/>
    <w:basedOn w:val="DefaultParagraphFont"/>
    <w:link w:val="Heading6"/>
    <w:uiPriority w:val="9"/>
    <w:rsid w:val="004424ED"/>
    <w:rPr>
      <w:rFonts w:ascii="Arial" w:eastAsia="Times New Roman" w:hAnsi="Arial" w:cs="Arial Unicode MS"/>
      <w:b/>
      <w:bCs/>
      <w:lang w:val="en-GB" w:bidi="en-US"/>
    </w:rPr>
  </w:style>
  <w:style w:type="character" w:customStyle="1" w:styleId="Heading7Char">
    <w:name w:val="Heading 7 Char"/>
    <w:basedOn w:val="DefaultParagraphFont"/>
    <w:link w:val="Heading7"/>
    <w:uiPriority w:val="9"/>
    <w:rsid w:val="004424ED"/>
    <w:rPr>
      <w:rFonts w:ascii="Arial" w:eastAsia="Times New Roman" w:hAnsi="Arial" w:cs="Times New Roman"/>
      <w:szCs w:val="24"/>
      <w:lang w:val="en-GB" w:bidi="en-US"/>
    </w:rPr>
  </w:style>
  <w:style w:type="character" w:customStyle="1" w:styleId="Heading8Char">
    <w:name w:val="Heading 8 Char"/>
    <w:basedOn w:val="DefaultParagraphFont"/>
    <w:link w:val="Heading8"/>
    <w:uiPriority w:val="9"/>
    <w:rsid w:val="004424ED"/>
    <w:rPr>
      <w:rFonts w:ascii="Arial" w:eastAsia="Times New Roman" w:hAnsi="Arial" w:cs="Times New Roman"/>
      <w:i/>
      <w:iCs/>
      <w:szCs w:val="24"/>
      <w:lang w:val="en-GB" w:bidi="en-US"/>
    </w:rPr>
  </w:style>
  <w:style w:type="character" w:customStyle="1" w:styleId="Heading9Char">
    <w:name w:val="Heading 9 Char"/>
    <w:basedOn w:val="DefaultParagraphFont"/>
    <w:link w:val="Heading9"/>
    <w:uiPriority w:val="9"/>
    <w:rsid w:val="004424ED"/>
    <w:rPr>
      <w:rFonts w:ascii="Cambria" w:eastAsia="Times New Roman" w:hAnsi="Cambria" w:cs="Times New Roman"/>
      <w:lang w:val="en-GB" w:bidi="en-US"/>
    </w:rPr>
  </w:style>
  <w:style w:type="paragraph" w:customStyle="1" w:styleId="FSCtblMain">
    <w:name w:val="FSC_tbl_Main"/>
    <w:basedOn w:val="Normal"/>
    <w:locked/>
    <w:rsid w:val="00531C32"/>
    <w:pPr>
      <w:keepLines/>
      <w:tabs>
        <w:tab w:val="right" w:pos="3969"/>
      </w:tabs>
      <w:spacing w:before="60" w:after="60" w:line="240" w:lineRule="auto"/>
    </w:pPr>
    <w:rPr>
      <w:rFonts w:ascii="Arial" w:eastAsia="Times New Roman" w:hAnsi="Arial" w:cs="Arial"/>
      <w:sz w:val="18"/>
      <w:szCs w:val="20"/>
      <w:lang w:val="en-GB" w:eastAsia="en-AU"/>
    </w:rPr>
  </w:style>
  <w:style w:type="paragraph" w:customStyle="1" w:styleId="FSCtblMainC">
    <w:name w:val="FSC_tbl_Main_C"/>
    <w:basedOn w:val="FSCtblMain"/>
    <w:qFormat/>
    <w:locked/>
    <w:rsid w:val="00531C32"/>
    <w:pPr>
      <w:jc w:val="center"/>
    </w:pPr>
    <w:rPr>
      <w:rFonts w:eastAsiaTheme="minorHAnsi"/>
      <w:lang w:eastAsia="en-US"/>
    </w:rPr>
  </w:style>
  <w:style w:type="paragraph" w:customStyle="1" w:styleId="acthead5">
    <w:name w:val="acthead5"/>
    <w:basedOn w:val="Normal"/>
    <w:rsid w:val="00723258"/>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customStyle="1" w:styleId="charsectno">
    <w:name w:val="charsectno"/>
    <w:basedOn w:val="DefaultParagraphFont"/>
    <w:rsid w:val="00723258"/>
  </w:style>
  <w:style w:type="paragraph" w:customStyle="1" w:styleId="pf0">
    <w:name w:val="pf0"/>
    <w:basedOn w:val="Normal"/>
    <w:rsid w:val="00CD7611"/>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customStyle="1" w:styleId="cf01">
    <w:name w:val="cf01"/>
    <w:basedOn w:val="DefaultParagraphFont"/>
    <w:rsid w:val="00CD7611"/>
    <w:rPr>
      <w:rFonts w:ascii="Segoe UI" w:hAnsi="Segoe UI" w:cs="Segoe UI" w:hint="default"/>
      <w:sz w:val="18"/>
      <w:szCs w:val="18"/>
    </w:rPr>
  </w:style>
  <w:style w:type="character" w:customStyle="1" w:styleId="cf11">
    <w:name w:val="cf11"/>
    <w:basedOn w:val="DefaultParagraphFont"/>
    <w:rsid w:val="00990E56"/>
    <w:rPr>
      <w:rFonts w:ascii="Segoe UI" w:hAnsi="Segoe UI" w:cs="Segoe UI" w:hint="default"/>
      <w:sz w:val="18"/>
      <w:szCs w:val="18"/>
    </w:rPr>
  </w:style>
  <w:style w:type="character" w:customStyle="1" w:styleId="Mention1">
    <w:name w:val="Mention1"/>
    <w:basedOn w:val="DefaultParagraphFont"/>
    <w:uiPriority w:val="99"/>
    <w:unhideWhenUsed/>
    <w:rsid w:val="003F2A6D"/>
    <w:rPr>
      <w:color w:val="2B579A"/>
      <w:shd w:val="clear" w:color="auto" w:fill="E1DFDD"/>
    </w:rPr>
  </w:style>
  <w:style w:type="table" w:styleId="MediumShading1-Accent3">
    <w:name w:val="Medium Shading 1 Accent 3"/>
    <w:basedOn w:val="TableNormal"/>
    <w:uiPriority w:val="63"/>
    <w:rsid w:val="00C47AD3"/>
    <w:pPr>
      <w:spacing w:after="0" w:line="240" w:lineRule="auto"/>
    </w:pPr>
    <w:rPr>
      <w:rFonts w:ascii="Calibri" w:eastAsia="Times New Roman" w:hAnsi="Calibri" w:cs="Times New Roman"/>
      <w:sz w:val="20"/>
      <w:szCs w:val="20"/>
      <w:lang w:val="en-GB" w:eastAsia="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customStyle="1" w:styleId="FSBullet2">
    <w:name w:val="FSBullet 2"/>
    <w:basedOn w:val="Normal"/>
    <w:qFormat/>
    <w:rsid w:val="000D49E4"/>
    <w:pPr>
      <w:numPr>
        <w:numId w:val="7"/>
      </w:numPr>
      <w:spacing w:after="0" w:line="240" w:lineRule="auto"/>
      <w:ind w:left="1134" w:hanging="567"/>
    </w:pPr>
    <w:rPr>
      <w:rFonts w:ascii="Arial" w:eastAsia="Calibri" w:hAnsi="Arial" w:cs="Times New Roman"/>
      <w:lang w:val="en-GB"/>
    </w:rPr>
  </w:style>
  <w:style w:type="paragraph" w:styleId="EndnoteText">
    <w:name w:val="endnote text"/>
    <w:basedOn w:val="Normal"/>
    <w:link w:val="EndnoteTextChar"/>
    <w:uiPriority w:val="99"/>
    <w:semiHidden/>
    <w:unhideWhenUsed/>
    <w:rsid w:val="00352A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2AAF"/>
    <w:rPr>
      <w:sz w:val="20"/>
      <w:szCs w:val="20"/>
    </w:rPr>
  </w:style>
  <w:style w:type="character" w:styleId="EndnoteReference">
    <w:name w:val="endnote reference"/>
    <w:basedOn w:val="DefaultParagraphFont"/>
    <w:uiPriority w:val="99"/>
    <w:semiHidden/>
    <w:unhideWhenUsed/>
    <w:rsid w:val="00352AAF"/>
    <w:rPr>
      <w:vertAlign w:val="superscript"/>
    </w:rPr>
  </w:style>
  <w:style w:type="paragraph" w:styleId="TOCHeading">
    <w:name w:val="TOC Heading"/>
    <w:basedOn w:val="Heading1"/>
    <w:next w:val="Normal"/>
    <w:uiPriority w:val="39"/>
    <w:unhideWhenUsed/>
    <w:qFormat/>
    <w:rsid w:val="00DB7E46"/>
    <w:pPr>
      <w:outlineLvl w:val="9"/>
    </w:pPr>
  </w:style>
  <w:style w:type="paragraph" w:styleId="TOC2">
    <w:name w:val="toc 2"/>
    <w:basedOn w:val="Normal"/>
    <w:next w:val="Normal"/>
    <w:autoRedefine/>
    <w:uiPriority w:val="39"/>
    <w:unhideWhenUsed/>
    <w:rsid w:val="00DB7E46"/>
    <w:pPr>
      <w:spacing w:after="100"/>
      <w:ind w:left="220"/>
    </w:pPr>
  </w:style>
  <w:style w:type="paragraph" w:styleId="TOC3">
    <w:name w:val="toc 3"/>
    <w:basedOn w:val="Normal"/>
    <w:next w:val="Normal"/>
    <w:autoRedefine/>
    <w:uiPriority w:val="39"/>
    <w:unhideWhenUsed/>
    <w:rsid w:val="00DB7E46"/>
    <w:pPr>
      <w:spacing w:after="100"/>
      <w:ind w:left="440"/>
    </w:pPr>
  </w:style>
  <w:style w:type="paragraph" w:customStyle="1" w:styleId="131ItemHeading">
    <w:name w:val="1.3.1 Item Heading"/>
    <w:basedOn w:val="Table2"/>
    <w:next w:val="Table2"/>
    <w:uiPriority w:val="22"/>
    <w:qFormat/>
    <w:rsid w:val="00D54C9A"/>
    <w:pPr>
      <w:keepNext/>
      <w:tabs>
        <w:tab w:val="left" w:pos="851"/>
      </w:tabs>
      <w:spacing w:after="200" w:line="259" w:lineRule="auto"/>
      <w:ind w:left="0" w:firstLine="0"/>
    </w:pPr>
    <w:rPr>
      <w:rFonts w:asciiTheme="minorHAnsi" w:hAnsiTheme="minorHAnsi"/>
      <w:b/>
      <w:bCs w:val="0"/>
      <w:caps/>
      <w:sz w:val="20"/>
      <w:lang w:val="en-US"/>
    </w:rPr>
  </w:style>
  <w:style w:type="paragraph" w:customStyle="1" w:styleId="131Subitemheading">
    <w:name w:val="1.3.1 Subitem heading"/>
    <w:basedOn w:val="131ItemHeading"/>
    <w:next w:val="Table2"/>
    <w:uiPriority w:val="22"/>
    <w:qFormat/>
    <w:rsid w:val="00D54C9A"/>
    <w:pPr>
      <w:spacing w:after="120"/>
    </w:pPr>
    <w:rPr>
      <w:caps w:val="0"/>
      <w:sz w:val="18"/>
    </w:rPr>
  </w:style>
  <w:style w:type="paragraph" w:customStyle="1" w:styleId="142Tableheading1">
    <w:name w:val="1.4.2 Table heading1"/>
    <w:basedOn w:val="Normal"/>
    <w:uiPriority w:val="22"/>
    <w:qFormat/>
    <w:rsid w:val="00D54C9A"/>
    <w:pPr>
      <w:keepNext/>
      <w:jc w:val="center"/>
    </w:pPr>
    <w:rPr>
      <w:rFonts w:ascii="Arial Bold" w:hAnsi="Arial Bold"/>
      <w:b/>
      <w:bCs/>
      <w:iCs/>
      <w:sz w:val="18"/>
    </w:rPr>
  </w:style>
  <w:style w:type="paragraph" w:customStyle="1" w:styleId="142Tableheading2">
    <w:name w:val="1.4.2 Table heading2"/>
    <w:basedOn w:val="142Tableheading1"/>
    <w:uiPriority w:val="22"/>
    <w:qFormat/>
    <w:rsid w:val="00D54C9A"/>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D54C9A"/>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D54C9A"/>
    <w:rPr>
      <w:rFonts w:eastAsia="Times New Roman" w:cs="Times New Roman"/>
      <w:sz w:val="18"/>
      <w:szCs w:val="20"/>
    </w:rPr>
  </w:style>
  <w:style w:type="paragraph" w:customStyle="1" w:styleId="142Tabletext2">
    <w:name w:val="1.4.2 Table text2"/>
    <w:basedOn w:val="142Tabletext1"/>
    <w:uiPriority w:val="22"/>
    <w:qFormat/>
    <w:rsid w:val="00D54C9A"/>
    <w:pPr>
      <w:jc w:val="right"/>
    </w:pPr>
  </w:style>
  <w:style w:type="paragraph" w:customStyle="1" w:styleId="Blankpage">
    <w:name w:val="Blank page"/>
    <w:basedOn w:val="Normal"/>
    <w:next w:val="Normal"/>
    <w:uiPriority w:val="23"/>
    <w:qFormat/>
    <w:rsid w:val="00D54C9A"/>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D54C9A"/>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D54C9A"/>
    <w:rPr>
      <w:rFonts w:eastAsia="Times New Roman" w:cs="Times New Roman"/>
      <w:sz w:val="20"/>
      <w:szCs w:val="20"/>
    </w:rPr>
  </w:style>
  <w:style w:type="paragraph" w:customStyle="1" w:styleId="Clauseheading">
    <w:name w:val="Clause heading"/>
    <w:basedOn w:val="Normal"/>
    <w:next w:val="Normal"/>
    <w:uiPriority w:val="14"/>
    <w:qFormat/>
    <w:rsid w:val="00D54C9A"/>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D54C9A"/>
    <w:pPr>
      <w:tabs>
        <w:tab w:val="clear" w:pos="851"/>
      </w:tabs>
      <w:ind w:left="851" w:hanging="851"/>
    </w:pPr>
  </w:style>
  <w:style w:type="paragraph" w:customStyle="1" w:styleId="Definition">
    <w:name w:val="Definition"/>
    <w:basedOn w:val="Normal"/>
    <w:next w:val="Normal"/>
    <w:uiPriority w:val="15"/>
    <w:qFormat/>
    <w:rsid w:val="00D54C9A"/>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D54C9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D54C9A"/>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D54C9A"/>
    <w:pPr>
      <w:keepNext w:val="0"/>
    </w:pPr>
    <w:rPr>
      <w:b w:val="0"/>
    </w:rPr>
  </w:style>
  <w:style w:type="paragraph" w:customStyle="1" w:styleId="FSBullet3">
    <w:name w:val="FSBullet 3"/>
    <w:basedOn w:val="Normal"/>
    <w:uiPriority w:val="6"/>
    <w:qFormat/>
    <w:locked/>
    <w:rsid w:val="00D54C9A"/>
    <w:pPr>
      <w:keepNext/>
      <w:numPr>
        <w:numId w:val="17"/>
      </w:numPr>
      <w:ind w:left="1701" w:hanging="567"/>
    </w:pPr>
  </w:style>
  <w:style w:type="paragraph" w:customStyle="1" w:styleId="FSCaption">
    <w:name w:val="FSCaption"/>
    <w:basedOn w:val="Normal"/>
    <w:uiPriority w:val="9"/>
    <w:qFormat/>
    <w:locked/>
    <w:rsid w:val="00D54C9A"/>
    <w:pPr>
      <w:keepNext/>
      <w:keepLines/>
      <w:spacing w:before="120"/>
    </w:pPr>
    <w:rPr>
      <w:i/>
      <w:sz w:val="16"/>
      <w:szCs w:val="16"/>
    </w:rPr>
  </w:style>
  <w:style w:type="paragraph" w:customStyle="1" w:styleId="FSCFootnote">
    <w:name w:val="FSCFootnote"/>
    <w:basedOn w:val="Normal"/>
    <w:next w:val="Normal"/>
    <w:uiPriority w:val="17"/>
    <w:qFormat/>
    <w:locked/>
    <w:rsid w:val="00D54C9A"/>
    <w:rPr>
      <w:rFonts w:eastAsia="Times New Roman" w:cs="Times New Roman"/>
      <w:sz w:val="16"/>
      <w:szCs w:val="20"/>
    </w:rPr>
  </w:style>
  <w:style w:type="paragraph" w:customStyle="1" w:styleId="FSCFooter">
    <w:name w:val="FSCFooter"/>
    <w:basedOn w:val="FSCFootnote"/>
    <w:uiPriority w:val="17"/>
    <w:qFormat/>
    <w:locked/>
    <w:rsid w:val="00D54C9A"/>
    <w:pPr>
      <w:tabs>
        <w:tab w:val="center" w:pos="4536"/>
        <w:tab w:val="right" w:pos="9070"/>
      </w:tabs>
    </w:pPr>
    <w:rPr>
      <w:sz w:val="18"/>
      <w:szCs w:val="18"/>
    </w:rPr>
  </w:style>
  <w:style w:type="paragraph" w:customStyle="1" w:styleId="FSPagenumber">
    <w:name w:val="FSPage number"/>
    <w:basedOn w:val="Normal"/>
    <w:uiPriority w:val="1"/>
    <w:qFormat/>
    <w:locked/>
    <w:rsid w:val="00D54C9A"/>
    <w:pPr>
      <w:jc w:val="center"/>
    </w:pPr>
    <w:rPr>
      <w:sz w:val="20"/>
      <w:szCs w:val="20"/>
    </w:rPr>
  </w:style>
  <w:style w:type="paragraph" w:customStyle="1" w:styleId="FSTableColumnRowheading">
    <w:name w:val="FSTable Column/Row heading"/>
    <w:basedOn w:val="Normal"/>
    <w:uiPriority w:val="8"/>
    <w:qFormat/>
    <w:locked/>
    <w:rsid w:val="00D54C9A"/>
    <w:pPr>
      <w:spacing w:before="120" w:after="120"/>
    </w:pPr>
    <w:rPr>
      <w:b/>
      <w:sz w:val="20"/>
      <w:szCs w:val="20"/>
    </w:rPr>
  </w:style>
  <w:style w:type="paragraph" w:customStyle="1" w:styleId="FSTableFigureHeading">
    <w:name w:val="FSTable/Figure Heading"/>
    <w:basedOn w:val="Normal"/>
    <w:uiPriority w:val="7"/>
    <w:qFormat/>
    <w:locked/>
    <w:rsid w:val="00D54C9A"/>
    <w:pPr>
      <w:spacing w:before="120" w:after="120"/>
      <w:ind w:left="1134" w:hanging="1134"/>
    </w:pPr>
    <w:rPr>
      <w:b/>
      <w:i/>
    </w:rPr>
  </w:style>
  <w:style w:type="paragraph" w:customStyle="1" w:styleId="Paragraph0">
    <w:name w:val="Paragraph"/>
    <w:basedOn w:val="Clause"/>
    <w:next w:val="Normal"/>
    <w:uiPriority w:val="12"/>
    <w:qFormat/>
    <w:rsid w:val="00D54C9A"/>
    <w:pPr>
      <w:tabs>
        <w:tab w:val="clear" w:pos="851"/>
      </w:tabs>
      <w:ind w:left="1702" w:hanging="851"/>
    </w:pPr>
  </w:style>
  <w:style w:type="paragraph" w:customStyle="1" w:styleId="ScheduleHeading">
    <w:name w:val="Schedule Heading"/>
    <w:basedOn w:val="Normal"/>
    <w:next w:val="Normal"/>
    <w:uiPriority w:val="18"/>
    <w:qFormat/>
    <w:rsid w:val="00D54C9A"/>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D54C9A"/>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D54C9A"/>
    <w:pPr>
      <w:ind w:left="567" w:hanging="567"/>
    </w:pPr>
  </w:style>
  <w:style w:type="paragraph" w:customStyle="1" w:styleId="Subparagraph">
    <w:name w:val="Subparagraph"/>
    <w:basedOn w:val="Paragraph0"/>
    <w:next w:val="Normal"/>
    <w:uiPriority w:val="13"/>
    <w:qFormat/>
    <w:rsid w:val="00D54C9A"/>
    <w:pPr>
      <w:ind w:left="2553"/>
    </w:pPr>
  </w:style>
  <w:style w:type="paragraph" w:customStyle="1" w:styleId="Table1">
    <w:name w:val="Table 1"/>
    <w:basedOn w:val="Normal"/>
    <w:uiPriority w:val="20"/>
    <w:qFormat/>
    <w:rsid w:val="00D54C9A"/>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D54C9A"/>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D54C9A"/>
    <w:pPr>
      <w:widowControl w:val="0"/>
      <w:spacing w:after="0" w:line="240" w:lineRule="auto"/>
    </w:pPr>
    <w:rPr>
      <w:rFonts w:ascii="Arial" w:hAnsi="Arial"/>
      <w:lang w:val="en-GB"/>
    </w:rPr>
  </w:style>
  <w:style w:type="paragraph" w:styleId="Subtitle">
    <w:name w:val="Subtitle"/>
    <w:basedOn w:val="Normal"/>
    <w:next w:val="Normal"/>
    <w:link w:val="SubtitleChar"/>
    <w:uiPriority w:val="11"/>
    <w:rsid w:val="00D54C9A"/>
    <w:pPr>
      <w:numPr>
        <w:ilvl w:val="1"/>
      </w:numPr>
      <w:ind w:left="567" w:hanging="567"/>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D54C9A"/>
    <w:rPr>
      <w:rFonts w:asciiTheme="majorHAnsi" w:eastAsiaTheme="majorEastAsia" w:hAnsiTheme="majorHAnsi" w:cstheme="majorBidi"/>
      <w:i/>
      <w:iCs/>
      <w:color w:val="4472C4" w:themeColor="accent1"/>
      <w:spacing w:val="15"/>
      <w:sz w:val="24"/>
      <w:szCs w:val="24"/>
    </w:rPr>
  </w:style>
  <w:style w:type="character" w:styleId="IntenseEmphasis">
    <w:name w:val="Intense Emphasis"/>
    <w:basedOn w:val="DefaultParagraphFont"/>
    <w:uiPriority w:val="21"/>
    <w:rsid w:val="00D54C9A"/>
    <w:rPr>
      <w:b/>
      <w:bCs/>
      <w:i/>
      <w:iCs/>
      <w:color w:val="4472C4" w:themeColor="accent1"/>
    </w:rPr>
  </w:style>
  <w:style w:type="paragraph" w:styleId="Title">
    <w:name w:val="Title"/>
    <w:basedOn w:val="Normal"/>
    <w:next w:val="Normal"/>
    <w:link w:val="TitleChar"/>
    <w:uiPriority w:val="10"/>
    <w:rsid w:val="00D54C9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C9A"/>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rsid w:val="00D54C9A"/>
    <w:pPr>
      <w:spacing w:before="160"/>
      <w:jc w:val="center"/>
    </w:pPr>
    <w:rPr>
      <w:i/>
      <w:iCs/>
      <w:color w:val="404040" w:themeColor="text1" w:themeTint="BF"/>
    </w:rPr>
  </w:style>
  <w:style w:type="character" w:customStyle="1" w:styleId="QuoteChar">
    <w:name w:val="Quote Char"/>
    <w:basedOn w:val="DefaultParagraphFont"/>
    <w:link w:val="Quote"/>
    <w:uiPriority w:val="29"/>
    <w:rsid w:val="00D54C9A"/>
    <w:rPr>
      <w:i/>
      <w:iCs/>
      <w:color w:val="404040" w:themeColor="text1" w:themeTint="BF"/>
    </w:rPr>
  </w:style>
  <w:style w:type="paragraph" w:styleId="IntenseQuote">
    <w:name w:val="Intense Quote"/>
    <w:basedOn w:val="Normal"/>
    <w:next w:val="Normal"/>
    <w:link w:val="IntenseQuoteChar"/>
    <w:uiPriority w:val="30"/>
    <w:rsid w:val="00D54C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54C9A"/>
    <w:rPr>
      <w:i/>
      <w:iCs/>
      <w:color w:val="2F5496" w:themeColor="accent1" w:themeShade="BF"/>
    </w:rPr>
  </w:style>
  <w:style w:type="character" w:styleId="IntenseReference">
    <w:name w:val="Intense Reference"/>
    <w:basedOn w:val="DefaultParagraphFont"/>
    <w:uiPriority w:val="32"/>
    <w:rsid w:val="00D54C9A"/>
    <w:rPr>
      <w:b/>
      <w:bCs/>
      <w:smallCaps/>
      <w:color w:val="2F5496" w:themeColor="accent1" w:themeShade="BF"/>
      <w:spacing w:val="5"/>
    </w:rPr>
  </w:style>
  <w:style w:type="paragraph" w:styleId="BalloonText">
    <w:name w:val="Balloon Text"/>
    <w:basedOn w:val="Normal"/>
    <w:link w:val="BalloonTextChar"/>
    <w:uiPriority w:val="99"/>
    <w:semiHidden/>
    <w:unhideWhenUsed/>
    <w:rsid w:val="00923C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C90"/>
    <w:rPr>
      <w:rFonts w:ascii="Segoe UI" w:hAnsi="Segoe UI" w:cs="Segoe UI"/>
      <w:sz w:val="18"/>
      <w:szCs w:val="18"/>
    </w:rPr>
  </w:style>
  <w:style w:type="character" w:customStyle="1" w:styleId="UnresolvedMention">
    <w:name w:val="Unresolved Mention"/>
    <w:basedOn w:val="DefaultParagraphFont"/>
    <w:uiPriority w:val="99"/>
    <w:semiHidden/>
    <w:unhideWhenUsed/>
    <w:rsid w:val="00AE7247"/>
    <w:rPr>
      <w:color w:val="605E5C"/>
      <w:shd w:val="clear" w:color="auto" w:fill="E1DFDD"/>
    </w:rPr>
  </w:style>
  <w:style w:type="character" w:customStyle="1" w:styleId="Mention">
    <w:name w:val="Mention"/>
    <w:basedOn w:val="DefaultParagraphFont"/>
    <w:uiPriority w:val="99"/>
    <w:unhideWhenUsed/>
    <w:rsid w:val="00551A0C"/>
    <w:rPr>
      <w:color w:val="2B579A"/>
      <w:shd w:val="clear" w:color="auto" w:fill="E1DFDD"/>
    </w:rPr>
  </w:style>
  <w:style w:type="paragraph" w:customStyle="1" w:styleId="FSTitle">
    <w:name w:val="FS Title"/>
    <w:basedOn w:val="Normal"/>
    <w:qFormat/>
    <w:rsid w:val="00865BC7"/>
    <w:pPr>
      <w:widowControl w:val="0"/>
      <w:spacing w:after="0" w:line="240" w:lineRule="auto"/>
    </w:pPr>
    <w:rPr>
      <w:rFonts w:ascii="Arial" w:eastAsia="Times New Roman" w:hAnsi="Arial" w:cs="Tahoma"/>
      <w:bCs/>
      <w:sz w:val="32"/>
      <w:szCs w:val="24"/>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4731">
      <w:bodyDiv w:val="1"/>
      <w:marLeft w:val="0"/>
      <w:marRight w:val="0"/>
      <w:marTop w:val="0"/>
      <w:marBottom w:val="0"/>
      <w:divBdr>
        <w:top w:val="none" w:sz="0" w:space="0" w:color="auto"/>
        <w:left w:val="none" w:sz="0" w:space="0" w:color="auto"/>
        <w:bottom w:val="none" w:sz="0" w:space="0" w:color="auto"/>
        <w:right w:val="none" w:sz="0" w:space="0" w:color="auto"/>
      </w:divBdr>
    </w:div>
    <w:div w:id="28453137">
      <w:bodyDiv w:val="1"/>
      <w:marLeft w:val="0"/>
      <w:marRight w:val="0"/>
      <w:marTop w:val="0"/>
      <w:marBottom w:val="0"/>
      <w:divBdr>
        <w:top w:val="none" w:sz="0" w:space="0" w:color="auto"/>
        <w:left w:val="none" w:sz="0" w:space="0" w:color="auto"/>
        <w:bottom w:val="none" w:sz="0" w:space="0" w:color="auto"/>
        <w:right w:val="none" w:sz="0" w:space="0" w:color="auto"/>
      </w:divBdr>
    </w:div>
    <w:div w:id="135877348">
      <w:bodyDiv w:val="1"/>
      <w:marLeft w:val="0"/>
      <w:marRight w:val="0"/>
      <w:marTop w:val="0"/>
      <w:marBottom w:val="0"/>
      <w:divBdr>
        <w:top w:val="none" w:sz="0" w:space="0" w:color="auto"/>
        <w:left w:val="none" w:sz="0" w:space="0" w:color="auto"/>
        <w:bottom w:val="none" w:sz="0" w:space="0" w:color="auto"/>
        <w:right w:val="none" w:sz="0" w:space="0" w:color="auto"/>
      </w:divBdr>
    </w:div>
    <w:div w:id="143787891">
      <w:bodyDiv w:val="1"/>
      <w:marLeft w:val="0"/>
      <w:marRight w:val="0"/>
      <w:marTop w:val="0"/>
      <w:marBottom w:val="0"/>
      <w:divBdr>
        <w:top w:val="none" w:sz="0" w:space="0" w:color="auto"/>
        <w:left w:val="none" w:sz="0" w:space="0" w:color="auto"/>
        <w:bottom w:val="none" w:sz="0" w:space="0" w:color="auto"/>
        <w:right w:val="none" w:sz="0" w:space="0" w:color="auto"/>
      </w:divBdr>
    </w:div>
    <w:div w:id="166680675">
      <w:bodyDiv w:val="1"/>
      <w:marLeft w:val="0"/>
      <w:marRight w:val="0"/>
      <w:marTop w:val="0"/>
      <w:marBottom w:val="0"/>
      <w:divBdr>
        <w:top w:val="none" w:sz="0" w:space="0" w:color="auto"/>
        <w:left w:val="none" w:sz="0" w:space="0" w:color="auto"/>
        <w:bottom w:val="none" w:sz="0" w:space="0" w:color="auto"/>
        <w:right w:val="none" w:sz="0" w:space="0" w:color="auto"/>
      </w:divBdr>
    </w:div>
    <w:div w:id="167403561">
      <w:bodyDiv w:val="1"/>
      <w:marLeft w:val="0"/>
      <w:marRight w:val="0"/>
      <w:marTop w:val="0"/>
      <w:marBottom w:val="0"/>
      <w:divBdr>
        <w:top w:val="none" w:sz="0" w:space="0" w:color="auto"/>
        <w:left w:val="none" w:sz="0" w:space="0" w:color="auto"/>
        <w:bottom w:val="none" w:sz="0" w:space="0" w:color="auto"/>
        <w:right w:val="none" w:sz="0" w:space="0" w:color="auto"/>
      </w:divBdr>
    </w:div>
    <w:div w:id="187107410">
      <w:bodyDiv w:val="1"/>
      <w:marLeft w:val="0"/>
      <w:marRight w:val="0"/>
      <w:marTop w:val="0"/>
      <w:marBottom w:val="0"/>
      <w:divBdr>
        <w:top w:val="none" w:sz="0" w:space="0" w:color="auto"/>
        <w:left w:val="none" w:sz="0" w:space="0" w:color="auto"/>
        <w:bottom w:val="none" w:sz="0" w:space="0" w:color="auto"/>
        <w:right w:val="none" w:sz="0" w:space="0" w:color="auto"/>
      </w:divBdr>
    </w:div>
    <w:div w:id="221916344">
      <w:bodyDiv w:val="1"/>
      <w:marLeft w:val="0"/>
      <w:marRight w:val="0"/>
      <w:marTop w:val="0"/>
      <w:marBottom w:val="0"/>
      <w:divBdr>
        <w:top w:val="none" w:sz="0" w:space="0" w:color="auto"/>
        <w:left w:val="none" w:sz="0" w:space="0" w:color="auto"/>
        <w:bottom w:val="none" w:sz="0" w:space="0" w:color="auto"/>
        <w:right w:val="none" w:sz="0" w:space="0" w:color="auto"/>
      </w:divBdr>
    </w:div>
    <w:div w:id="225340325">
      <w:bodyDiv w:val="1"/>
      <w:marLeft w:val="0"/>
      <w:marRight w:val="0"/>
      <w:marTop w:val="0"/>
      <w:marBottom w:val="0"/>
      <w:divBdr>
        <w:top w:val="none" w:sz="0" w:space="0" w:color="auto"/>
        <w:left w:val="none" w:sz="0" w:space="0" w:color="auto"/>
        <w:bottom w:val="none" w:sz="0" w:space="0" w:color="auto"/>
        <w:right w:val="none" w:sz="0" w:space="0" w:color="auto"/>
      </w:divBdr>
    </w:div>
    <w:div w:id="234316031">
      <w:bodyDiv w:val="1"/>
      <w:marLeft w:val="0"/>
      <w:marRight w:val="0"/>
      <w:marTop w:val="0"/>
      <w:marBottom w:val="0"/>
      <w:divBdr>
        <w:top w:val="none" w:sz="0" w:space="0" w:color="auto"/>
        <w:left w:val="none" w:sz="0" w:space="0" w:color="auto"/>
        <w:bottom w:val="none" w:sz="0" w:space="0" w:color="auto"/>
        <w:right w:val="none" w:sz="0" w:space="0" w:color="auto"/>
      </w:divBdr>
    </w:div>
    <w:div w:id="242958866">
      <w:bodyDiv w:val="1"/>
      <w:marLeft w:val="0"/>
      <w:marRight w:val="0"/>
      <w:marTop w:val="0"/>
      <w:marBottom w:val="0"/>
      <w:divBdr>
        <w:top w:val="none" w:sz="0" w:space="0" w:color="auto"/>
        <w:left w:val="none" w:sz="0" w:space="0" w:color="auto"/>
        <w:bottom w:val="none" w:sz="0" w:space="0" w:color="auto"/>
        <w:right w:val="none" w:sz="0" w:space="0" w:color="auto"/>
      </w:divBdr>
    </w:div>
    <w:div w:id="250358314">
      <w:bodyDiv w:val="1"/>
      <w:marLeft w:val="0"/>
      <w:marRight w:val="0"/>
      <w:marTop w:val="0"/>
      <w:marBottom w:val="0"/>
      <w:divBdr>
        <w:top w:val="none" w:sz="0" w:space="0" w:color="auto"/>
        <w:left w:val="none" w:sz="0" w:space="0" w:color="auto"/>
        <w:bottom w:val="none" w:sz="0" w:space="0" w:color="auto"/>
        <w:right w:val="none" w:sz="0" w:space="0" w:color="auto"/>
      </w:divBdr>
    </w:div>
    <w:div w:id="252786180">
      <w:bodyDiv w:val="1"/>
      <w:marLeft w:val="0"/>
      <w:marRight w:val="0"/>
      <w:marTop w:val="0"/>
      <w:marBottom w:val="0"/>
      <w:divBdr>
        <w:top w:val="none" w:sz="0" w:space="0" w:color="auto"/>
        <w:left w:val="none" w:sz="0" w:space="0" w:color="auto"/>
        <w:bottom w:val="none" w:sz="0" w:space="0" w:color="auto"/>
        <w:right w:val="none" w:sz="0" w:space="0" w:color="auto"/>
      </w:divBdr>
    </w:div>
    <w:div w:id="262229797">
      <w:bodyDiv w:val="1"/>
      <w:marLeft w:val="0"/>
      <w:marRight w:val="0"/>
      <w:marTop w:val="0"/>
      <w:marBottom w:val="0"/>
      <w:divBdr>
        <w:top w:val="none" w:sz="0" w:space="0" w:color="auto"/>
        <w:left w:val="none" w:sz="0" w:space="0" w:color="auto"/>
        <w:bottom w:val="none" w:sz="0" w:space="0" w:color="auto"/>
        <w:right w:val="none" w:sz="0" w:space="0" w:color="auto"/>
      </w:divBdr>
    </w:div>
    <w:div w:id="326251111">
      <w:bodyDiv w:val="1"/>
      <w:marLeft w:val="0"/>
      <w:marRight w:val="0"/>
      <w:marTop w:val="0"/>
      <w:marBottom w:val="0"/>
      <w:divBdr>
        <w:top w:val="none" w:sz="0" w:space="0" w:color="auto"/>
        <w:left w:val="none" w:sz="0" w:space="0" w:color="auto"/>
        <w:bottom w:val="none" w:sz="0" w:space="0" w:color="auto"/>
        <w:right w:val="none" w:sz="0" w:space="0" w:color="auto"/>
      </w:divBdr>
    </w:div>
    <w:div w:id="343895418">
      <w:bodyDiv w:val="1"/>
      <w:marLeft w:val="0"/>
      <w:marRight w:val="0"/>
      <w:marTop w:val="0"/>
      <w:marBottom w:val="0"/>
      <w:divBdr>
        <w:top w:val="none" w:sz="0" w:space="0" w:color="auto"/>
        <w:left w:val="none" w:sz="0" w:space="0" w:color="auto"/>
        <w:bottom w:val="none" w:sz="0" w:space="0" w:color="auto"/>
        <w:right w:val="none" w:sz="0" w:space="0" w:color="auto"/>
      </w:divBdr>
    </w:div>
    <w:div w:id="346101145">
      <w:bodyDiv w:val="1"/>
      <w:marLeft w:val="0"/>
      <w:marRight w:val="0"/>
      <w:marTop w:val="0"/>
      <w:marBottom w:val="0"/>
      <w:divBdr>
        <w:top w:val="none" w:sz="0" w:space="0" w:color="auto"/>
        <w:left w:val="none" w:sz="0" w:space="0" w:color="auto"/>
        <w:bottom w:val="none" w:sz="0" w:space="0" w:color="auto"/>
        <w:right w:val="none" w:sz="0" w:space="0" w:color="auto"/>
      </w:divBdr>
    </w:div>
    <w:div w:id="352416078">
      <w:bodyDiv w:val="1"/>
      <w:marLeft w:val="0"/>
      <w:marRight w:val="0"/>
      <w:marTop w:val="0"/>
      <w:marBottom w:val="0"/>
      <w:divBdr>
        <w:top w:val="none" w:sz="0" w:space="0" w:color="auto"/>
        <w:left w:val="none" w:sz="0" w:space="0" w:color="auto"/>
        <w:bottom w:val="none" w:sz="0" w:space="0" w:color="auto"/>
        <w:right w:val="none" w:sz="0" w:space="0" w:color="auto"/>
      </w:divBdr>
    </w:div>
    <w:div w:id="385186980">
      <w:bodyDiv w:val="1"/>
      <w:marLeft w:val="0"/>
      <w:marRight w:val="0"/>
      <w:marTop w:val="0"/>
      <w:marBottom w:val="0"/>
      <w:divBdr>
        <w:top w:val="none" w:sz="0" w:space="0" w:color="auto"/>
        <w:left w:val="none" w:sz="0" w:space="0" w:color="auto"/>
        <w:bottom w:val="none" w:sz="0" w:space="0" w:color="auto"/>
        <w:right w:val="none" w:sz="0" w:space="0" w:color="auto"/>
      </w:divBdr>
    </w:div>
    <w:div w:id="387917327">
      <w:bodyDiv w:val="1"/>
      <w:marLeft w:val="0"/>
      <w:marRight w:val="0"/>
      <w:marTop w:val="0"/>
      <w:marBottom w:val="0"/>
      <w:divBdr>
        <w:top w:val="none" w:sz="0" w:space="0" w:color="auto"/>
        <w:left w:val="none" w:sz="0" w:space="0" w:color="auto"/>
        <w:bottom w:val="none" w:sz="0" w:space="0" w:color="auto"/>
        <w:right w:val="none" w:sz="0" w:space="0" w:color="auto"/>
      </w:divBdr>
    </w:div>
    <w:div w:id="395327123">
      <w:bodyDiv w:val="1"/>
      <w:marLeft w:val="0"/>
      <w:marRight w:val="0"/>
      <w:marTop w:val="0"/>
      <w:marBottom w:val="0"/>
      <w:divBdr>
        <w:top w:val="none" w:sz="0" w:space="0" w:color="auto"/>
        <w:left w:val="none" w:sz="0" w:space="0" w:color="auto"/>
        <w:bottom w:val="none" w:sz="0" w:space="0" w:color="auto"/>
        <w:right w:val="none" w:sz="0" w:space="0" w:color="auto"/>
      </w:divBdr>
    </w:div>
    <w:div w:id="398212119">
      <w:bodyDiv w:val="1"/>
      <w:marLeft w:val="0"/>
      <w:marRight w:val="0"/>
      <w:marTop w:val="0"/>
      <w:marBottom w:val="0"/>
      <w:divBdr>
        <w:top w:val="none" w:sz="0" w:space="0" w:color="auto"/>
        <w:left w:val="none" w:sz="0" w:space="0" w:color="auto"/>
        <w:bottom w:val="none" w:sz="0" w:space="0" w:color="auto"/>
        <w:right w:val="none" w:sz="0" w:space="0" w:color="auto"/>
      </w:divBdr>
    </w:div>
    <w:div w:id="405806326">
      <w:bodyDiv w:val="1"/>
      <w:marLeft w:val="0"/>
      <w:marRight w:val="0"/>
      <w:marTop w:val="0"/>
      <w:marBottom w:val="0"/>
      <w:divBdr>
        <w:top w:val="none" w:sz="0" w:space="0" w:color="auto"/>
        <w:left w:val="none" w:sz="0" w:space="0" w:color="auto"/>
        <w:bottom w:val="none" w:sz="0" w:space="0" w:color="auto"/>
        <w:right w:val="none" w:sz="0" w:space="0" w:color="auto"/>
      </w:divBdr>
    </w:div>
    <w:div w:id="410545742">
      <w:bodyDiv w:val="1"/>
      <w:marLeft w:val="0"/>
      <w:marRight w:val="0"/>
      <w:marTop w:val="0"/>
      <w:marBottom w:val="0"/>
      <w:divBdr>
        <w:top w:val="none" w:sz="0" w:space="0" w:color="auto"/>
        <w:left w:val="none" w:sz="0" w:space="0" w:color="auto"/>
        <w:bottom w:val="none" w:sz="0" w:space="0" w:color="auto"/>
        <w:right w:val="none" w:sz="0" w:space="0" w:color="auto"/>
      </w:divBdr>
    </w:div>
    <w:div w:id="415438033">
      <w:bodyDiv w:val="1"/>
      <w:marLeft w:val="0"/>
      <w:marRight w:val="0"/>
      <w:marTop w:val="0"/>
      <w:marBottom w:val="0"/>
      <w:divBdr>
        <w:top w:val="none" w:sz="0" w:space="0" w:color="auto"/>
        <w:left w:val="none" w:sz="0" w:space="0" w:color="auto"/>
        <w:bottom w:val="none" w:sz="0" w:space="0" w:color="auto"/>
        <w:right w:val="none" w:sz="0" w:space="0" w:color="auto"/>
      </w:divBdr>
    </w:div>
    <w:div w:id="424156098">
      <w:bodyDiv w:val="1"/>
      <w:marLeft w:val="0"/>
      <w:marRight w:val="0"/>
      <w:marTop w:val="0"/>
      <w:marBottom w:val="0"/>
      <w:divBdr>
        <w:top w:val="none" w:sz="0" w:space="0" w:color="auto"/>
        <w:left w:val="none" w:sz="0" w:space="0" w:color="auto"/>
        <w:bottom w:val="none" w:sz="0" w:space="0" w:color="auto"/>
        <w:right w:val="none" w:sz="0" w:space="0" w:color="auto"/>
      </w:divBdr>
    </w:div>
    <w:div w:id="511997325">
      <w:bodyDiv w:val="1"/>
      <w:marLeft w:val="0"/>
      <w:marRight w:val="0"/>
      <w:marTop w:val="0"/>
      <w:marBottom w:val="0"/>
      <w:divBdr>
        <w:top w:val="none" w:sz="0" w:space="0" w:color="auto"/>
        <w:left w:val="none" w:sz="0" w:space="0" w:color="auto"/>
        <w:bottom w:val="none" w:sz="0" w:space="0" w:color="auto"/>
        <w:right w:val="none" w:sz="0" w:space="0" w:color="auto"/>
      </w:divBdr>
    </w:div>
    <w:div w:id="550926264">
      <w:bodyDiv w:val="1"/>
      <w:marLeft w:val="0"/>
      <w:marRight w:val="0"/>
      <w:marTop w:val="0"/>
      <w:marBottom w:val="0"/>
      <w:divBdr>
        <w:top w:val="none" w:sz="0" w:space="0" w:color="auto"/>
        <w:left w:val="none" w:sz="0" w:space="0" w:color="auto"/>
        <w:bottom w:val="none" w:sz="0" w:space="0" w:color="auto"/>
        <w:right w:val="none" w:sz="0" w:space="0" w:color="auto"/>
      </w:divBdr>
    </w:div>
    <w:div w:id="570851312">
      <w:bodyDiv w:val="1"/>
      <w:marLeft w:val="0"/>
      <w:marRight w:val="0"/>
      <w:marTop w:val="0"/>
      <w:marBottom w:val="0"/>
      <w:divBdr>
        <w:top w:val="none" w:sz="0" w:space="0" w:color="auto"/>
        <w:left w:val="none" w:sz="0" w:space="0" w:color="auto"/>
        <w:bottom w:val="none" w:sz="0" w:space="0" w:color="auto"/>
        <w:right w:val="none" w:sz="0" w:space="0" w:color="auto"/>
      </w:divBdr>
    </w:div>
    <w:div w:id="576477348">
      <w:bodyDiv w:val="1"/>
      <w:marLeft w:val="0"/>
      <w:marRight w:val="0"/>
      <w:marTop w:val="0"/>
      <w:marBottom w:val="0"/>
      <w:divBdr>
        <w:top w:val="none" w:sz="0" w:space="0" w:color="auto"/>
        <w:left w:val="none" w:sz="0" w:space="0" w:color="auto"/>
        <w:bottom w:val="none" w:sz="0" w:space="0" w:color="auto"/>
        <w:right w:val="none" w:sz="0" w:space="0" w:color="auto"/>
      </w:divBdr>
    </w:div>
    <w:div w:id="582492477">
      <w:bodyDiv w:val="1"/>
      <w:marLeft w:val="0"/>
      <w:marRight w:val="0"/>
      <w:marTop w:val="0"/>
      <w:marBottom w:val="0"/>
      <w:divBdr>
        <w:top w:val="none" w:sz="0" w:space="0" w:color="auto"/>
        <w:left w:val="none" w:sz="0" w:space="0" w:color="auto"/>
        <w:bottom w:val="none" w:sz="0" w:space="0" w:color="auto"/>
        <w:right w:val="none" w:sz="0" w:space="0" w:color="auto"/>
      </w:divBdr>
    </w:div>
    <w:div w:id="584412307">
      <w:bodyDiv w:val="1"/>
      <w:marLeft w:val="0"/>
      <w:marRight w:val="0"/>
      <w:marTop w:val="0"/>
      <w:marBottom w:val="0"/>
      <w:divBdr>
        <w:top w:val="none" w:sz="0" w:space="0" w:color="auto"/>
        <w:left w:val="none" w:sz="0" w:space="0" w:color="auto"/>
        <w:bottom w:val="none" w:sz="0" w:space="0" w:color="auto"/>
        <w:right w:val="none" w:sz="0" w:space="0" w:color="auto"/>
      </w:divBdr>
    </w:div>
    <w:div w:id="585381759">
      <w:bodyDiv w:val="1"/>
      <w:marLeft w:val="0"/>
      <w:marRight w:val="0"/>
      <w:marTop w:val="0"/>
      <w:marBottom w:val="0"/>
      <w:divBdr>
        <w:top w:val="none" w:sz="0" w:space="0" w:color="auto"/>
        <w:left w:val="none" w:sz="0" w:space="0" w:color="auto"/>
        <w:bottom w:val="none" w:sz="0" w:space="0" w:color="auto"/>
        <w:right w:val="none" w:sz="0" w:space="0" w:color="auto"/>
      </w:divBdr>
    </w:div>
    <w:div w:id="596908010">
      <w:bodyDiv w:val="1"/>
      <w:marLeft w:val="0"/>
      <w:marRight w:val="0"/>
      <w:marTop w:val="0"/>
      <w:marBottom w:val="0"/>
      <w:divBdr>
        <w:top w:val="none" w:sz="0" w:space="0" w:color="auto"/>
        <w:left w:val="none" w:sz="0" w:space="0" w:color="auto"/>
        <w:bottom w:val="none" w:sz="0" w:space="0" w:color="auto"/>
        <w:right w:val="none" w:sz="0" w:space="0" w:color="auto"/>
      </w:divBdr>
    </w:div>
    <w:div w:id="632095934">
      <w:bodyDiv w:val="1"/>
      <w:marLeft w:val="0"/>
      <w:marRight w:val="0"/>
      <w:marTop w:val="0"/>
      <w:marBottom w:val="0"/>
      <w:divBdr>
        <w:top w:val="none" w:sz="0" w:space="0" w:color="auto"/>
        <w:left w:val="none" w:sz="0" w:space="0" w:color="auto"/>
        <w:bottom w:val="none" w:sz="0" w:space="0" w:color="auto"/>
        <w:right w:val="none" w:sz="0" w:space="0" w:color="auto"/>
      </w:divBdr>
    </w:div>
    <w:div w:id="664670250">
      <w:bodyDiv w:val="1"/>
      <w:marLeft w:val="0"/>
      <w:marRight w:val="0"/>
      <w:marTop w:val="0"/>
      <w:marBottom w:val="0"/>
      <w:divBdr>
        <w:top w:val="none" w:sz="0" w:space="0" w:color="auto"/>
        <w:left w:val="none" w:sz="0" w:space="0" w:color="auto"/>
        <w:bottom w:val="none" w:sz="0" w:space="0" w:color="auto"/>
        <w:right w:val="none" w:sz="0" w:space="0" w:color="auto"/>
      </w:divBdr>
    </w:div>
    <w:div w:id="692270225">
      <w:bodyDiv w:val="1"/>
      <w:marLeft w:val="0"/>
      <w:marRight w:val="0"/>
      <w:marTop w:val="0"/>
      <w:marBottom w:val="0"/>
      <w:divBdr>
        <w:top w:val="none" w:sz="0" w:space="0" w:color="auto"/>
        <w:left w:val="none" w:sz="0" w:space="0" w:color="auto"/>
        <w:bottom w:val="none" w:sz="0" w:space="0" w:color="auto"/>
        <w:right w:val="none" w:sz="0" w:space="0" w:color="auto"/>
      </w:divBdr>
    </w:div>
    <w:div w:id="694891142">
      <w:bodyDiv w:val="1"/>
      <w:marLeft w:val="0"/>
      <w:marRight w:val="0"/>
      <w:marTop w:val="0"/>
      <w:marBottom w:val="0"/>
      <w:divBdr>
        <w:top w:val="none" w:sz="0" w:space="0" w:color="auto"/>
        <w:left w:val="none" w:sz="0" w:space="0" w:color="auto"/>
        <w:bottom w:val="none" w:sz="0" w:space="0" w:color="auto"/>
        <w:right w:val="none" w:sz="0" w:space="0" w:color="auto"/>
      </w:divBdr>
    </w:div>
    <w:div w:id="704253304">
      <w:bodyDiv w:val="1"/>
      <w:marLeft w:val="0"/>
      <w:marRight w:val="0"/>
      <w:marTop w:val="0"/>
      <w:marBottom w:val="0"/>
      <w:divBdr>
        <w:top w:val="none" w:sz="0" w:space="0" w:color="auto"/>
        <w:left w:val="none" w:sz="0" w:space="0" w:color="auto"/>
        <w:bottom w:val="none" w:sz="0" w:space="0" w:color="auto"/>
        <w:right w:val="none" w:sz="0" w:space="0" w:color="auto"/>
      </w:divBdr>
    </w:div>
    <w:div w:id="707266104">
      <w:bodyDiv w:val="1"/>
      <w:marLeft w:val="0"/>
      <w:marRight w:val="0"/>
      <w:marTop w:val="0"/>
      <w:marBottom w:val="0"/>
      <w:divBdr>
        <w:top w:val="none" w:sz="0" w:space="0" w:color="auto"/>
        <w:left w:val="none" w:sz="0" w:space="0" w:color="auto"/>
        <w:bottom w:val="none" w:sz="0" w:space="0" w:color="auto"/>
        <w:right w:val="none" w:sz="0" w:space="0" w:color="auto"/>
      </w:divBdr>
    </w:div>
    <w:div w:id="717051488">
      <w:bodyDiv w:val="1"/>
      <w:marLeft w:val="0"/>
      <w:marRight w:val="0"/>
      <w:marTop w:val="0"/>
      <w:marBottom w:val="0"/>
      <w:divBdr>
        <w:top w:val="none" w:sz="0" w:space="0" w:color="auto"/>
        <w:left w:val="none" w:sz="0" w:space="0" w:color="auto"/>
        <w:bottom w:val="none" w:sz="0" w:space="0" w:color="auto"/>
        <w:right w:val="none" w:sz="0" w:space="0" w:color="auto"/>
      </w:divBdr>
    </w:div>
    <w:div w:id="721053872">
      <w:bodyDiv w:val="1"/>
      <w:marLeft w:val="0"/>
      <w:marRight w:val="0"/>
      <w:marTop w:val="0"/>
      <w:marBottom w:val="0"/>
      <w:divBdr>
        <w:top w:val="none" w:sz="0" w:space="0" w:color="auto"/>
        <w:left w:val="none" w:sz="0" w:space="0" w:color="auto"/>
        <w:bottom w:val="none" w:sz="0" w:space="0" w:color="auto"/>
        <w:right w:val="none" w:sz="0" w:space="0" w:color="auto"/>
      </w:divBdr>
    </w:div>
    <w:div w:id="723725046">
      <w:bodyDiv w:val="1"/>
      <w:marLeft w:val="0"/>
      <w:marRight w:val="0"/>
      <w:marTop w:val="0"/>
      <w:marBottom w:val="0"/>
      <w:divBdr>
        <w:top w:val="none" w:sz="0" w:space="0" w:color="auto"/>
        <w:left w:val="none" w:sz="0" w:space="0" w:color="auto"/>
        <w:bottom w:val="none" w:sz="0" w:space="0" w:color="auto"/>
        <w:right w:val="none" w:sz="0" w:space="0" w:color="auto"/>
      </w:divBdr>
    </w:div>
    <w:div w:id="727873914">
      <w:bodyDiv w:val="1"/>
      <w:marLeft w:val="0"/>
      <w:marRight w:val="0"/>
      <w:marTop w:val="0"/>
      <w:marBottom w:val="0"/>
      <w:divBdr>
        <w:top w:val="none" w:sz="0" w:space="0" w:color="auto"/>
        <w:left w:val="none" w:sz="0" w:space="0" w:color="auto"/>
        <w:bottom w:val="none" w:sz="0" w:space="0" w:color="auto"/>
        <w:right w:val="none" w:sz="0" w:space="0" w:color="auto"/>
      </w:divBdr>
    </w:div>
    <w:div w:id="732234242">
      <w:bodyDiv w:val="1"/>
      <w:marLeft w:val="0"/>
      <w:marRight w:val="0"/>
      <w:marTop w:val="0"/>
      <w:marBottom w:val="0"/>
      <w:divBdr>
        <w:top w:val="none" w:sz="0" w:space="0" w:color="auto"/>
        <w:left w:val="none" w:sz="0" w:space="0" w:color="auto"/>
        <w:bottom w:val="none" w:sz="0" w:space="0" w:color="auto"/>
        <w:right w:val="none" w:sz="0" w:space="0" w:color="auto"/>
      </w:divBdr>
    </w:div>
    <w:div w:id="763652130">
      <w:bodyDiv w:val="1"/>
      <w:marLeft w:val="0"/>
      <w:marRight w:val="0"/>
      <w:marTop w:val="0"/>
      <w:marBottom w:val="0"/>
      <w:divBdr>
        <w:top w:val="none" w:sz="0" w:space="0" w:color="auto"/>
        <w:left w:val="none" w:sz="0" w:space="0" w:color="auto"/>
        <w:bottom w:val="none" w:sz="0" w:space="0" w:color="auto"/>
        <w:right w:val="none" w:sz="0" w:space="0" w:color="auto"/>
      </w:divBdr>
    </w:div>
    <w:div w:id="790901904">
      <w:bodyDiv w:val="1"/>
      <w:marLeft w:val="0"/>
      <w:marRight w:val="0"/>
      <w:marTop w:val="0"/>
      <w:marBottom w:val="0"/>
      <w:divBdr>
        <w:top w:val="none" w:sz="0" w:space="0" w:color="auto"/>
        <w:left w:val="none" w:sz="0" w:space="0" w:color="auto"/>
        <w:bottom w:val="none" w:sz="0" w:space="0" w:color="auto"/>
        <w:right w:val="none" w:sz="0" w:space="0" w:color="auto"/>
      </w:divBdr>
    </w:div>
    <w:div w:id="809445946">
      <w:bodyDiv w:val="1"/>
      <w:marLeft w:val="0"/>
      <w:marRight w:val="0"/>
      <w:marTop w:val="0"/>
      <w:marBottom w:val="0"/>
      <w:divBdr>
        <w:top w:val="none" w:sz="0" w:space="0" w:color="auto"/>
        <w:left w:val="none" w:sz="0" w:space="0" w:color="auto"/>
        <w:bottom w:val="none" w:sz="0" w:space="0" w:color="auto"/>
        <w:right w:val="none" w:sz="0" w:space="0" w:color="auto"/>
      </w:divBdr>
    </w:div>
    <w:div w:id="813334483">
      <w:bodyDiv w:val="1"/>
      <w:marLeft w:val="0"/>
      <w:marRight w:val="0"/>
      <w:marTop w:val="0"/>
      <w:marBottom w:val="0"/>
      <w:divBdr>
        <w:top w:val="none" w:sz="0" w:space="0" w:color="auto"/>
        <w:left w:val="none" w:sz="0" w:space="0" w:color="auto"/>
        <w:bottom w:val="none" w:sz="0" w:space="0" w:color="auto"/>
        <w:right w:val="none" w:sz="0" w:space="0" w:color="auto"/>
      </w:divBdr>
    </w:div>
    <w:div w:id="875778624">
      <w:bodyDiv w:val="1"/>
      <w:marLeft w:val="0"/>
      <w:marRight w:val="0"/>
      <w:marTop w:val="0"/>
      <w:marBottom w:val="0"/>
      <w:divBdr>
        <w:top w:val="none" w:sz="0" w:space="0" w:color="auto"/>
        <w:left w:val="none" w:sz="0" w:space="0" w:color="auto"/>
        <w:bottom w:val="none" w:sz="0" w:space="0" w:color="auto"/>
        <w:right w:val="none" w:sz="0" w:space="0" w:color="auto"/>
      </w:divBdr>
    </w:div>
    <w:div w:id="908348629">
      <w:bodyDiv w:val="1"/>
      <w:marLeft w:val="0"/>
      <w:marRight w:val="0"/>
      <w:marTop w:val="0"/>
      <w:marBottom w:val="0"/>
      <w:divBdr>
        <w:top w:val="none" w:sz="0" w:space="0" w:color="auto"/>
        <w:left w:val="none" w:sz="0" w:space="0" w:color="auto"/>
        <w:bottom w:val="none" w:sz="0" w:space="0" w:color="auto"/>
        <w:right w:val="none" w:sz="0" w:space="0" w:color="auto"/>
      </w:divBdr>
    </w:div>
    <w:div w:id="930817407">
      <w:bodyDiv w:val="1"/>
      <w:marLeft w:val="0"/>
      <w:marRight w:val="0"/>
      <w:marTop w:val="0"/>
      <w:marBottom w:val="0"/>
      <w:divBdr>
        <w:top w:val="none" w:sz="0" w:space="0" w:color="auto"/>
        <w:left w:val="none" w:sz="0" w:space="0" w:color="auto"/>
        <w:bottom w:val="none" w:sz="0" w:space="0" w:color="auto"/>
        <w:right w:val="none" w:sz="0" w:space="0" w:color="auto"/>
      </w:divBdr>
    </w:div>
    <w:div w:id="931822250">
      <w:bodyDiv w:val="1"/>
      <w:marLeft w:val="0"/>
      <w:marRight w:val="0"/>
      <w:marTop w:val="0"/>
      <w:marBottom w:val="0"/>
      <w:divBdr>
        <w:top w:val="none" w:sz="0" w:space="0" w:color="auto"/>
        <w:left w:val="none" w:sz="0" w:space="0" w:color="auto"/>
        <w:bottom w:val="none" w:sz="0" w:space="0" w:color="auto"/>
        <w:right w:val="none" w:sz="0" w:space="0" w:color="auto"/>
      </w:divBdr>
    </w:div>
    <w:div w:id="963851882">
      <w:bodyDiv w:val="1"/>
      <w:marLeft w:val="0"/>
      <w:marRight w:val="0"/>
      <w:marTop w:val="0"/>
      <w:marBottom w:val="0"/>
      <w:divBdr>
        <w:top w:val="none" w:sz="0" w:space="0" w:color="auto"/>
        <w:left w:val="none" w:sz="0" w:space="0" w:color="auto"/>
        <w:bottom w:val="none" w:sz="0" w:space="0" w:color="auto"/>
        <w:right w:val="none" w:sz="0" w:space="0" w:color="auto"/>
      </w:divBdr>
    </w:div>
    <w:div w:id="993604356">
      <w:bodyDiv w:val="1"/>
      <w:marLeft w:val="0"/>
      <w:marRight w:val="0"/>
      <w:marTop w:val="0"/>
      <w:marBottom w:val="0"/>
      <w:divBdr>
        <w:top w:val="none" w:sz="0" w:space="0" w:color="auto"/>
        <w:left w:val="none" w:sz="0" w:space="0" w:color="auto"/>
        <w:bottom w:val="none" w:sz="0" w:space="0" w:color="auto"/>
        <w:right w:val="none" w:sz="0" w:space="0" w:color="auto"/>
      </w:divBdr>
    </w:div>
    <w:div w:id="1047336342">
      <w:bodyDiv w:val="1"/>
      <w:marLeft w:val="0"/>
      <w:marRight w:val="0"/>
      <w:marTop w:val="0"/>
      <w:marBottom w:val="0"/>
      <w:divBdr>
        <w:top w:val="none" w:sz="0" w:space="0" w:color="auto"/>
        <w:left w:val="none" w:sz="0" w:space="0" w:color="auto"/>
        <w:bottom w:val="none" w:sz="0" w:space="0" w:color="auto"/>
        <w:right w:val="none" w:sz="0" w:space="0" w:color="auto"/>
      </w:divBdr>
    </w:div>
    <w:div w:id="1049960160">
      <w:bodyDiv w:val="1"/>
      <w:marLeft w:val="0"/>
      <w:marRight w:val="0"/>
      <w:marTop w:val="0"/>
      <w:marBottom w:val="0"/>
      <w:divBdr>
        <w:top w:val="none" w:sz="0" w:space="0" w:color="auto"/>
        <w:left w:val="none" w:sz="0" w:space="0" w:color="auto"/>
        <w:bottom w:val="none" w:sz="0" w:space="0" w:color="auto"/>
        <w:right w:val="none" w:sz="0" w:space="0" w:color="auto"/>
      </w:divBdr>
    </w:div>
    <w:div w:id="1082097389">
      <w:bodyDiv w:val="1"/>
      <w:marLeft w:val="0"/>
      <w:marRight w:val="0"/>
      <w:marTop w:val="0"/>
      <w:marBottom w:val="0"/>
      <w:divBdr>
        <w:top w:val="none" w:sz="0" w:space="0" w:color="auto"/>
        <w:left w:val="none" w:sz="0" w:space="0" w:color="auto"/>
        <w:bottom w:val="none" w:sz="0" w:space="0" w:color="auto"/>
        <w:right w:val="none" w:sz="0" w:space="0" w:color="auto"/>
      </w:divBdr>
    </w:div>
    <w:div w:id="1086420711">
      <w:bodyDiv w:val="1"/>
      <w:marLeft w:val="0"/>
      <w:marRight w:val="0"/>
      <w:marTop w:val="0"/>
      <w:marBottom w:val="0"/>
      <w:divBdr>
        <w:top w:val="none" w:sz="0" w:space="0" w:color="auto"/>
        <w:left w:val="none" w:sz="0" w:space="0" w:color="auto"/>
        <w:bottom w:val="none" w:sz="0" w:space="0" w:color="auto"/>
        <w:right w:val="none" w:sz="0" w:space="0" w:color="auto"/>
      </w:divBdr>
    </w:div>
    <w:div w:id="1092319328">
      <w:bodyDiv w:val="1"/>
      <w:marLeft w:val="0"/>
      <w:marRight w:val="0"/>
      <w:marTop w:val="0"/>
      <w:marBottom w:val="0"/>
      <w:divBdr>
        <w:top w:val="none" w:sz="0" w:space="0" w:color="auto"/>
        <w:left w:val="none" w:sz="0" w:space="0" w:color="auto"/>
        <w:bottom w:val="none" w:sz="0" w:space="0" w:color="auto"/>
        <w:right w:val="none" w:sz="0" w:space="0" w:color="auto"/>
      </w:divBdr>
    </w:div>
    <w:div w:id="1129401648">
      <w:bodyDiv w:val="1"/>
      <w:marLeft w:val="0"/>
      <w:marRight w:val="0"/>
      <w:marTop w:val="0"/>
      <w:marBottom w:val="0"/>
      <w:divBdr>
        <w:top w:val="none" w:sz="0" w:space="0" w:color="auto"/>
        <w:left w:val="none" w:sz="0" w:space="0" w:color="auto"/>
        <w:bottom w:val="none" w:sz="0" w:space="0" w:color="auto"/>
        <w:right w:val="none" w:sz="0" w:space="0" w:color="auto"/>
      </w:divBdr>
    </w:div>
    <w:div w:id="1162967135">
      <w:bodyDiv w:val="1"/>
      <w:marLeft w:val="0"/>
      <w:marRight w:val="0"/>
      <w:marTop w:val="0"/>
      <w:marBottom w:val="0"/>
      <w:divBdr>
        <w:top w:val="none" w:sz="0" w:space="0" w:color="auto"/>
        <w:left w:val="none" w:sz="0" w:space="0" w:color="auto"/>
        <w:bottom w:val="none" w:sz="0" w:space="0" w:color="auto"/>
        <w:right w:val="none" w:sz="0" w:space="0" w:color="auto"/>
      </w:divBdr>
    </w:div>
    <w:div w:id="1183589613">
      <w:bodyDiv w:val="1"/>
      <w:marLeft w:val="0"/>
      <w:marRight w:val="0"/>
      <w:marTop w:val="0"/>
      <w:marBottom w:val="0"/>
      <w:divBdr>
        <w:top w:val="none" w:sz="0" w:space="0" w:color="auto"/>
        <w:left w:val="none" w:sz="0" w:space="0" w:color="auto"/>
        <w:bottom w:val="none" w:sz="0" w:space="0" w:color="auto"/>
        <w:right w:val="none" w:sz="0" w:space="0" w:color="auto"/>
      </w:divBdr>
    </w:div>
    <w:div w:id="1195533402">
      <w:bodyDiv w:val="1"/>
      <w:marLeft w:val="0"/>
      <w:marRight w:val="0"/>
      <w:marTop w:val="0"/>
      <w:marBottom w:val="0"/>
      <w:divBdr>
        <w:top w:val="none" w:sz="0" w:space="0" w:color="auto"/>
        <w:left w:val="none" w:sz="0" w:space="0" w:color="auto"/>
        <w:bottom w:val="none" w:sz="0" w:space="0" w:color="auto"/>
        <w:right w:val="none" w:sz="0" w:space="0" w:color="auto"/>
      </w:divBdr>
    </w:div>
    <w:div w:id="1213730094">
      <w:bodyDiv w:val="1"/>
      <w:marLeft w:val="0"/>
      <w:marRight w:val="0"/>
      <w:marTop w:val="0"/>
      <w:marBottom w:val="0"/>
      <w:divBdr>
        <w:top w:val="none" w:sz="0" w:space="0" w:color="auto"/>
        <w:left w:val="none" w:sz="0" w:space="0" w:color="auto"/>
        <w:bottom w:val="none" w:sz="0" w:space="0" w:color="auto"/>
        <w:right w:val="none" w:sz="0" w:space="0" w:color="auto"/>
      </w:divBdr>
    </w:div>
    <w:div w:id="1224416121">
      <w:bodyDiv w:val="1"/>
      <w:marLeft w:val="0"/>
      <w:marRight w:val="0"/>
      <w:marTop w:val="0"/>
      <w:marBottom w:val="0"/>
      <w:divBdr>
        <w:top w:val="none" w:sz="0" w:space="0" w:color="auto"/>
        <w:left w:val="none" w:sz="0" w:space="0" w:color="auto"/>
        <w:bottom w:val="none" w:sz="0" w:space="0" w:color="auto"/>
        <w:right w:val="none" w:sz="0" w:space="0" w:color="auto"/>
      </w:divBdr>
    </w:div>
    <w:div w:id="1236474063">
      <w:bodyDiv w:val="1"/>
      <w:marLeft w:val="0"/>
      <w:marRight w:val="0"/>
      <w:marTop w:val="0"/>
      <w:marBottom w:val="0"/>
      <w:divBdr>
        <w:top w:val="none" w:sz="0" w:space="0" w:color="auto"/>
        <w:left w:val="none" w:sz="0" w:space="0" w:color="auto"/>
        <w:bottom w:val="none" w:sz="0" w:space="0" w:color="auto"/>
        <w:right w:val="none" w:sz="0" w:space="0" w:color="auto"/>
      </w:divBdr>
    </w:div>
    <w:div w:id="1240559200">
      <w:bodyDiv w:val="1"/>
      <w:marLeft w:val="0"/>
      <w:marRight w:val="0"/>
      <w:marTop w:val="0"/>
      <w:marBottom w:val="0"/>
      <w:divBdr>
        <w:top w:val="none" w:sz="0" w:space="0" w:color="auto"/>
        <w:left w:val="none" w:sz="0" w:space="0" w:color="auto"/>
        <w:bottom w:val="none" w:sz="0" w:space="0" w:color="auto"/>
        <w:right w:val="none" w:sz="0" w:space="0" w:color="auto"/>
      </w:divBdr>
    </w:div>
    <w:div w:id="1248925236">
      <w:bodyDiv w:val="1"/>
      <w:marLeft w:val="0"/>
      <w:marRight w:val="0"/>
      <w:marTop w:val="0"/>
      <w:marBottom w:val="0"/>
      <w:divBdr>
        <w:top w:val="none" w:sz="0" w:space="0" w:color="auto"/>
        <w:left w:val="none" w:sz="0" w:space="0" w:color="auto"/>
        <w:bottom w:val="none" w:sz="0" w:space="0" w:color="auto"/>
        <w:right w:val="none" w:sz="0" w:space="0" w:color="auto"/>
      </w:divBdr>
    </w:div>
    <w:div w:id="1292512143">
      <w:bodyDiv w:val="1"/>
      <w:marLeft w:val="0"/>
      <w:marRight w:val="0"/>
      <w:marTop w:val="0"/>
      <w:marBottom w:val="0"/>
      <w:divBdr>
        <w:top w:val="none" w:sz="0" w:space="0" w:color="auto"/>
        <w:left w:val="none" w:sz="0" w:space="0" w:color="auto"/>
        <w:bottom w:val="none" w:sz="0" w:space="0" w:color="auto"/>
        <w:right w:val="none" w:sz="0" w:space="0" w:color="auto"/>
      </w:divBdr>
    </w:div>
    <w:div w:id="1301304162">
      <w:bodyDiv w:val="1"/>
      <w:marLeft w:val="0"/>
      <w:marRight w:val="0"/>
      <w:marTop w:val="0"/>
      <w:marBottom w:val="0"/>
      <w:divBdr>
        <w:top w:val="none" w:sz="0" w:space="0" w:color="auto"/>
        <w:left w:val="none" w:sz="0" w:space="0" w:color="auto"/>
        <w:bottom w:val="none" w:sz="0" w:space="0" w:color="auto"/>
        <w:right w:val="none" w:sz="0" w:space="0" w:color="auto"/>
      </w:divBdr>
    </w:div>
    <w:div w:id="1316488751">
      <w:bodyDiv w:val="1"/>
      <w:marLeft w:val="0"/>
      <w:marRight w:val="0"/>
      <w:marTop w:val="0"/>
      <w:marBottom w:val="0"/>
      <w:divBdr>
        <w:top w:val="none" w:sz="0" w:space="0" w:color="auto"/>
        <w:left w:val="none" w:sz="0" w:space="0" w:color="auto"/>
        <w:bottom w:val="none" w:sz="0" w:space="0" w:color="auto"/>
        <w:right w:val="none" w:sz="0" w:space="0" w:color="auto"/>
      </w:divBdr>
    </w:div>
    <w:div w:id="1384061188">
      <w:bodyDiv w:val="1"/>
      <w:marLeft w:val="0"/>
      <w:marRight w:val="0"/>
      <w:marTop w:val="0"/>
      <w:marBottom w:val="0"/>
      <w:divBdr>
        <w:top w:val="none" w:sz="0" w:space="0" w:color="auto"/>
        <w:left w:val="none" w:sz="0" w:space="0" w:color="auto"/>
        <w:bottom w:val="none" w:sz="0" w:space="0" w:color="auto"/>
        <w:right w:val="none" w:sz="0" w:space="0" w:color="auto"/>
      </w:divBdr>
    </w:div>
    <w:div w:id="1428499460">
      <w:bodyDiv w:val="1"/>
      <w:marLeft w:val="0"/>
      <w:marRight w:val="0"/>
      <w:marTop w:val="0"/>
      <w:marBottom w:val="0"/>
      <w:divBdr>
        <w:top w:val="none" w:sz="0" w:space="0" w:color="auto"/>
        <w:left w:val="none" w:sz="0" w:space="0" w:color="auto"/>
        <w:bottom w:val="none" w:sz="0" w:space="0" w:color="auto"/>
        <w:right w:val="none" w:sz="0" w:space="0" w:color="auto"/>
      </w:divBdr>
    </w:div>
    <w:div w:id="1434285252">
      <w:bodyDiv w:val="1"/>
      <w:marLeft w:val="0"/>
      <w:marRight w:val="0"/>
      <w:marTop w:val="0"/>
      <w:marBottom w:val="0"/>
      <w:divBdr>
        <w:top w:val="none" w:sz="0" w:space="0" w:color="auto"/>
        <w:left w:val="none" w:sz="0" w:space="0" w:color="auto"/>
        <w:bottom w:val="none" w:sz="0" w:space="0" w:color="auto"/>
        <w:right w:val="none" w:sz="0" w:space="0" w:color="auto"/>
      </w:divBdr>
    </w:div>
    <w:div w:id="1447038672">
      <w:bodyDiv w:val="1"/>
      <w:marLeft w:val="0"/>
      <w:marRight w:val="0"/>
      <w:marTop w:val="0"/>
      <w:marBottom w:val="0"/>
      <w:divBdr>
        <w:top w:val="none" w:sz="0" w:space="0" w:color="auto"/>
        <w:left w:val="none" w:sz="0" w:space="0" w:color="auto"/>
        <w:bottom w:val="none" w:sz="0" w:space="0" w:color="auto"/>
        <w:right w:val="none" w:sz="0" w:space="0" w:color="auto"/>
      </w:divBdr>
    </w:div>
    <w:div w:id="1448815270">
      <w:bodyDiv w:val="1"/>
      <w:marLeft w:val="0"/>
      <w:marRight w:val="0"/>
      <w:marTop w:val="0"/>
      <w:marBottom w:val="0"/>
      <w:divBdr>
        <w:top w:val="none" w:sz="0" w:space="0" w:color="auto"/>
        <w:left w:val="none" w:sz="0" w:space="0" w:color="auto"/>
        <w:bottom w:val="none" w:sz="0" w:space="0" w:color="auto"/>
        <w:right w:val="none" w:sz="0" w:space="0" w:color="auto"/>
      </w:divBdr>
    </w:div>
    <w:div w:id="1453746900">
      <w:bodyDiv w:val="1"/>
      <w:marLeft w:val="0"/>
      <w:marRight w:val="0"/>
      <w:marTop w:val="0"/>
      <w:marBottom w:val="0"/>
      <w:divBdr>
        <w:top w:val="none" w:sz="0" w:space="0" w:color="auto"/>
        <w:left w:val="none" w:sz="0" w:space="0" w:color="auto"/>
        <w:bottom w:val="none" w:sz="0" w:space="0" w:color="auto"/>
        <w:right w:val="none" w:sz="0" w:space="0" w:color="auto"/>
      </w:divBdr>
    </w:div>
    <w:div w:id="1462921418">
      <w:bodyDiv w:val="1"/>
      <w:marLeft w:val="0"/>
      <w:marRight w:val="0"/>
      <w:marTop w:val="0"/>
      <w:marBottom w:val="0"/>
      <w:divBdr>
        <w:top w:val="none" w:sz="0" w:space="0" w:color="auto"/>
        <w:left w:val="none" w:sz="0" w:space="0" w:color="auto"/>
        <w:bottom w:val="none" w:sz="0" w:space="0" w:color="auto"/>
        <w:right w:val="none" w:sz="0" w:space="0" w:color="auto"/>
      </w:divBdr>
    </w:div>
    <w:div w:id="1480993774">
      <w:bodyDiv w:val="1"/>
      <w:marLeft w:val="0"/>
      <w:marRight w:val="0"/>
      <w:marTop w:val="0"/>
      <w:marBottom w:val="0"/>
      <w:divBdr>
        <w:top w:val="none" w:sz="0" w:space="0" w:color="auto"/>
        <w:left w:val="none" w:sz="0" w:space="0" w:color="auto"/>
        <w:bottom w:val="none" w:sz="0" w:space="0" w:color="auto"/>
        <w:right w:val="none" w:sz="0" w:space="0" w:color="auto"/>
      </w:divBdr>
    </w:div>
    <w:div w:id="1482964942">
      <w:bodyDiv w:val="1"/>
      <w:marLeft w:val="0"/>
      <w:marRight w:val="0"/>
      <w:marTop w:val="0"/>
      <w:marBottom w:val="0"/>
      <w:divBdr>
        <w:top w:val="none" w:sz="0" w:space="0" w:color="auto"/>
        <w:left w:val="none" w:sz="0" w:space="0" w:color="auto"/>
        <w:bottom w:val="none" w:sz="0" w:space="0" w:color="auto"/>
        <w:right w:val="none" w:sz="0" w:space="0" w:color="auto"/>
      </w:divBdr>
    </w:div>
    <w:div w:id="1565872630">
      <w:bodyDiv w:val="1"/>
      <w:marLeft w:val="0"/>
      <w:marRight w:val="0"/>
      <w:marTop w:val="0"/>
      <w:marBottom w:val="0"/>
      <w:divBdr>
        <w:top w:val="none" w:sz="0" w:space="0" w:color="auto"/>
        <w:left w:val="none" w:sz="0" w:space="0" w:color="auto"/>
        <w:bottom w:val="none" w:sz="0" w:space="0" w:color="auto"/>
        <w:right w:val="none" w:sz="0" w:space="0" w:color="auto"/>
      </w:divBdr>
    </w:div>
    <w:div w:id="1591347617">
      <w:bodyDiv w:val="1"/>
      <w:marLeft w:val="0"/>
      <w:marRight w:val="0"/>
      <w:marTop w:val="0"/>
      <w:marBottom w:val="0"/>
      <w:divBdr>
        <w:top w:val="none" w:sz="0" w:space="0" w:color="auto"/>
        <w:left w:val="none" w:sz="0" w:space="0" w:color="auto"/>
        <w:bottom w:val="none" w:sz="0" w:space="0" w:color="auto"/>
        <w:right w:val="none" w:sz="0" w:space="0" w:color="auto"/>
      </w:divBdr>
    </w:div>
    <w:div w:id="1606110101">
      <w:bodyDiv w:val="1"/>
      <w:marLeft w:val="0"/>
      <w:marRight w:val="0"/>
      <w:marTop w:val="0"/>
      <w:marBottom w:val="0"/>
      <w:divBdr>
        <w:top w:val="none" w:sz="0" w:space="0" w:color="auto"/>
        <w:left w:val="none" w:sz="0" w:space="0" w:color="auto"/>
        <w:bottom w:val="none" w:sz="0" w:space="0" w:color="auto"/>
        <w:right w:val="none" w:sz="0" w:space="0" w:color="auto"/>
      </w:divBdr>
    </w:div>
    <w:div w:id="1609659827">
      <w:bodyDiv w:val="1"/>
      <w:marLeft w:val="0"/>
      <w:marRight w:val="0"/>
      <w:marTop w:val="0"/>
      <w:marBottom w:val="0"/>
      <w:divBdr>
        <w:top w:val="none" w:sz="0" w:space="0" w:color="auto"/>
        <w:left w:val="none" w:sz="0" w:space="0" w:color="auto"/>
        <w:bottom w:val="none" w:sz="0" w:space="0" w:color="auto"/>
        <w:right w:val="none" w:sz="0" w:space="0" w:color="auto"/>
      </w:divBdr>
    </w:div>
    <w:div w:id="1636790923">
      <w:bodyDiv w:val="1"/>
      <w:marLeft w:val="0"/>
      <w:marRight w:val="0"/>
      <w:marTop w:val="0"/>
      <w:marBottom w:val="0"/>
      <w:divBdr>
        <w:top w:val="none" w:sz="0" w:space="0" w:color="auto"/>
        <w:left w:val="none" w:sz="0" w:space="0" w:color="auto"/>
        <w:bottom w:val="none" w:sz="0" w:space="0" w:color="auto"/>
        <w:right w:val="none" w:sz="0" w:space="0" w:color="auto"/>
      </w:divBdr>
    </w:div>
    <w:div w:id="1670526226">
      <w:bodyDiv w:val="1"/>
      <w:marLeft w:val="0"/>
      <w:marRight w:val="0"/>
      <w:marTop w:val="0"/>
      <w:marBottom w:val="0"/>
      <w:divBdr>
        <w:top w:val="none" w:sz="0" w:space="0" w:color="auto"/>
        <w:left w:val="none" w:sz="0" w:space="0" w:color="auto"/>
        <w:bottom w:val="none" w:sz="0" w:space="0" w:color="auto"/>
        <w:right w:val="none" w:sz="0" w:space="0" w:color="auto"/>
      </w:divBdr>
    </w:div>
    <w:div w:id="1698239731">
      <w:bodyDiv w:val="1"/>
      <w:marLeft w:val="0"/>
      <w:marRight w:val="0"/>
      <w:marTop w:val="0"/>
      <w:marBottom w:val="0"/>
      <w:divBdr>
        <w:top w:val="none" w:sz="0" w:space="0" w:color="auto"/>
        <w:left w:val="none" w:sz="0" w:space="0" w:color="auto"/>
        <w:bottom w:val="none" w:sz="0" w:space="0" w:color="auto"/>
        <w:right w:val="none" w:sz="0" w:space="0" w:color="auto"/>
      </w:divBdr>
    </w:div>
    <w:div w:id="1705132121">
      <w:bodyDiv w:val="1"/>
      <w:marLeft w:val="0"/>
      <w:marRight w:val="0"/>
      <w:marTop w:val="0"/>
      <w:marBottom w:val="0"/>
      <w:divBdr>
        <w:top w:val="none" w:sz="0" w:space="0" w:color="auto"/>
        <w:left w:val="none" w:sz="0" w:space="0" w:color="auto"/>
        <w:bottom w:val="none" w:sz="0" w:space="0" w:color="auto"/>
        <w:right w:val="none" w:sz="0" w:space="0" w:color="auto"/>
      </w:divBdr>
    </w:div>
    <w:div w:id="1759250608">
      <w:bodyDiv w:val="1"/>
      <w:marLeft w:val="0"/>
      <w:marRight w:val="0"/>
      <w:marTop w:val="0"/>
      <w:marBottom w:val="0"/>
      <w:divBdr>
        <w:top w:val="none" w:sz="0" w:space="0" w:color="auto"/>
        <w:left w:val="none" w:sz="0" w:space="0" w:color="auto"/>
        <w:bottom w:val="none" w:sz="0" w:space="0" w:color="auto"/>
        <w:right w:val="none" w:sz="0" w:space="0" w:color="auto"/>
      </w:divBdr>
    </w:div>
    <w:div w:id="1759668187">
      <w:bodyDiv w:val="1"/>
      <w:marLeft w:val="0"/>
      <w:marRight w:val="0"/>
      <w:marTop w:val="0"/>
      <w:marBottom w:val="0"/>
      <w:divBdr>
        <w:top w:val="none" w:sz="0" w:space="0" w:color="auto"/>
        <w:left w:val="none" w:sz="0" w:space="0" w:color="auto"/>
        <w:bottom w:val="none" w:sz="0" w:space="0" w:color="auto"/>
        <w:right w:val="none" w:sz="0" w:space="0" w:color="auto"/>
      </w:divBdr>
    </w:div>
    <w:div w:id="1872376992">
      <w:bodyDiv w:val="1"/>
      <w:marLeft w:val="0"/>
      <w:marRight w:val="0"/>
      <w:marTop w:val="0"/>
      <w:marBottom w:val="0"/>
      <w:divBdr>
        <w:top w:val="none" w:sz="0" w:space="0" w:color="auto"/>
        <w:left w:val="none" w:sz="0" w:space="0" w:color="auto"/>
        <w:bottom w:val="none" w:sz="0" w:space="0" w:color="auto"/>
        <w:right w:val="none" w:sz="0" w:space="0" w:color="auto"/>
      </w:divBdr>
    </w:div>
    <w:div w:id="1886869235">
      <w:bodyDiv w:val="1"/>
      <w:marLeft w:val="0"/>
      <w:marRight w:val="0"/>
      <w:marTop w:val="0"/>
      <w:marBottom w:val="0"/>
      <w:divBdr>
        <w:top w:val="none" w:sz="0" w:space="0" w:color="auto"/>
        <w:left w:val="none" w:sz="0" w:space="0" w:color="auto"/>
        <w:bottom w:val="none" w:sz="0" w:space="0" w:color="auto"/>
        <w:right w:val="none" w:sz="0" w:space="0" w:color="auto"/>
      </w:divBdr>
    </w:div>
    <w:div w:id="1904173708">
      <w:bodyDiv w:val="1"/>
      <w:marLeft w:val="0"/>
      <w:marRight w:val="0"/>
      <w:marTop w:val="0"/>
      <w:marBottom w:val="0"/>
      <w:divBdr>
        <w:top w:val="none" w:sz="0" w:space="0" w:color="auto"/>
        <w:left w:val="none" w:sz="0" w:space="0" w:color="auto"/>
        <w:bottom w:val="none" w:sz="0" w:space="0" w:color="auto"/>
        <w:right w:val="none" w:sz="0" w:space="0" w:color="auto"/>
      </w:divBdr>
    </w:div>
    <w:div w:id="1905987168">
      <w:bodyDiv w:val="1"/>
      <w:marLeft w:val="0"/>
      <w:marRight w:val="0"/>
      <w:marTop w:val="0"/>
      <w:marBottom w:val="0"/>
      <w:divBdr>
        <w:top w:val="none" w:sz="0" w:space="0" w:color="auto"/>
        <w:left w:val="none" w:sz="0" w:space="0" w:color="auto"/>
        <w:bottom w:val="none" w:sz="0" w:space="0" w:color="auto"/>
        <w:right w:val="none" w:sz="0" w:space="0" w:color="auto"/>
      </w:divBdr>
    </w:div>
    <w:div w:id="1945376389">
      <w:bodyDiv w:val="1"/>
      <w:marLeft w:val="0"/>
      <w:marRight w:val="0"/>
      <w:marTop w:val="0"/>
      <w:marBottom w:val="0"/>
      <w:divBdr>
        <w:top w:val="none" w:sz="0" w:space="0" w:color="auto"/>
        <w:left w:val="none" w:sz="0" w:space="0" w:color="auto"/>
        <w:bottom w:val="none" w:sz="0" w:space="0" w:color="auto"/>
        <w:right w:val="none" w:sz="0" w:space="0" w:color="auto"/>
      </w:divBdr>
    </w:div>
    <w:div w:id="1966696409">
      <w:bodyDiv w:val="1"/>
      <w:marLeft w:val="0"/>
      <w:marRight w:val="0"/>
      <w:marTop w:val="0"/>
      <w:marBottom w:val="0"/>
      <w:divBdr>
        <w:top w:val="none" w:sz="0" w:space="0" w:color="auto"/>
        <w:left w:val="none" w:sz="0" w:space="0" w:color="auto"/>
        <w:bottom w:val="none" w:sz="0" w:space="0" w:color="auto"/>
        <w:right w:val="none" w:sz="0" w:space="0" w:color="auto"/>
      </w:divBdr>
    </w:div>
    <w:div w:id="1975869597">
      <w:bodyDiv w:val="1"/>
      <w:marLeft w:val="0"/>
      <w:marRight w:val="0"/>
      <w:marTop w:val="0"/>
      <w:marBottom w:val="0"/>
      <w:divBdr>
        <w:top w:val="none" w:sz="0" w:space="0" w:color="auto"/>
        <w:left w:val="none" w:sz="0" w:space="0" w:color="auto"/>
        <w:bottom w:val="none" w:sz="0" w:space="0" w:color="auto"/>
        <w:right w:val="none" w:sz="0" w:space="0" w:color="auto"/>
      </w:divBdr>
    </w:div>
    <w:div w:id="1997538017">
      <w:bodyDiv w:val="1"/>
      <w:marLeft w:val="0"/>
      <w:marRight w:val="0"/>
      <w:marTop w:val="0"/>
      <w:marBottom w:val="0"/>
      <w:divBdr>
        <w:top w:val="none" w:sz="0" w:space="0" w:color="auto"/>
        <w:left w:val="none" w:sz="0" w:space="0" w:color="auto"/>
        <w:bottom w:val="none" w:sz="0" w:space="0" w:color="auto"/>
        <w:right w:val="none" w:sz="0" w:space="0" w:color="auto"/>
      </w:divBdr>
    </w:div>
    <w:div w:id="2003659640">
      <w:bodyDiv w:val="1"/>
      <w:marLeft w:val="0"/>
      <w:marRight w:val="0"/>
      <w:marTop w:val="0"/>
      <w:marBottom w:val="0"/>
      <w:divBdr>
        <w:top w:val="none" w:sz="0" w:space="0" w:color="auto"/>
        <w:left w:val="none" w:sz="0" w:space="0" w:color="auto"/>
        <w:bottom w:val="none" w:sz="0" w:space="0" w:color="auto"/>
        <w:right w:val="none" w:sz="0" w:space="0" w:color="auto"/>
      </w:divBdr>
    </w:div>
    <w:div w:id="2016180609">
      <w:bodyDiv w:val="1"/>
      <w:marLeft w:val="0"/>
      <w:marRight w:val="0"/>
      <w:marTop w:val="0"/>
      <w:marBottom w:val="0"/>
      <w:divBdr>
        <w:top w:val="none" w:sz="0" w:space="0" w:color="auto"/>
        <w:left w:val="none" w:sz="0" w:space="0" w:color="auto"/>
        <w:bottom w:val="none" w:sz="0" w:space="0" w:color="auto"/>
        <w:right w:val="none" w:sz="0" w:space="0" w:color="auto"/>
      </w:divBdr>
    </w:div>
    <w:div w:id="2031101158">
      <w:bodyDiv w:val="1"/>
      <w:marLeft w:val="0"/>
      <w:marRight w:val="0"/>
      <w:marTop w:val="0"/>
      <w:marBottom w:val="0"/>
      <w:divBdr>
        <w:top w:val="none" w:sz="0" w:space="0" w:color="auto"/>
        <w:left w:val="none" w:sz="0" w:space="0" w:color="auto"/>
        <w:bottom w:val="none" w:sz="0" w:space="0" w:color="auto"/>
        <w:right w:val="none" w:sz="0" w:space="0" w:color="auto"/>
      </w:divBdr>
    </w:div>
    <w:div w:id="2046328332">
      <w:bodyDiv w:val="1"/>
      <w:marLeft w:val="0"/>
      <w:marRight w:val="0"/>
      <w:marTop w:val="0"/>
      <w:marBottom w:val="0"/>
      <w:divBdr>
        <w:top w:val="none" w:sz="0" w:space="0" w:color="auto"/>
        <w:left w:val="none" w:sz="0" w:space="0" w:color="auto"/>
        <w:bottom w:val="none" w:sz="0" w:space="0" w:color="auto"/>
        <w:right w:val="none" w:sz="0" w:space="0" w:color="auto"/>
      </w:divBdr>
    </w:div>
    <w:div w:id="2047293805">
      <w:bodyDiv w:val="1"/>
      <w:marLeft w:val="0"/>
      <w:marRight w:val="0"/>
      <w:marTop w:val="0"/>
      <w:marBottom w:val="0"/>
      <w:divBdr>
        <w:top w:val="none" w:sz="0" w:space="0" w:color="auto"/>
        <w:left w:val="none" w:sz="0" w:space="0" w:color="auto"/>
        <w:bottom w:val="none" w:sz="0" w:space="0" w:color="auto"/>
        <w:right w:val="none" w:sz="0" w:space="0" w:color="auto"/>
      </w:divBdr>
    </w:div>
    <w:div w:id="2054772668">
      <w:bodyDiv w:val="1"/>
      <w:marLeft w:val="0"/>
      <w:marRight w:val="0"/>
      <w:marTop w:val="0"/>
      <w:marBottom w:val="0"/>
      <w:divBdr>
        <w:top w:val="none" w:sz="0" w:space="0" w:color="auto"/>
        <w:left w:val="none" w:sz="0" w:space="0" w:color="auto"/>
        <w:bottom w:val="none" w:sz="0" w:space="0" w:color="auto"/>
        <w:right w:val="none" w:sz="0" w:space="0" w:color="auto"/>
      </w:divBdr>
    </w:div>
    <w:div w:id="2057661936">
      <w:bodyDiv w:val="1"/>
      <w:marLeft w:val="0"/>
      <w:marRight w:val="0"/>
      <w:marTop w:val="0"/>
      <w:marBottom w:val="0"/>
      <w:divBdr>
        <w:top w:val="none" w:sz="0" w:space="0" w:color="auto"/>
        <w:left w:val="none" w:sz="0" w:space="0" w:color="auto"/>
        <w:bottom w:val="none" w:sz="0" w:space="0" w:color="auto"/>
        <w:right w:val="none" w:sz="0" w:space="0" w:color="auto"/>
      </w:divBdr>
    </w:div>
    <w:div w:id="2061828691">
      <w:bodyDiv w:val="1"/>
      <w:marLeft w:val="0"/>
      <w:marRight w:val="0"/>
      <w:marTop w:val="0"/>
      <w:marBottom w:val="0"/>
      <w:divBdr>
        <w:top w:val="none" w:sz="0" w:space="0" w:color="auto"/>
        <w:left w:val="none" w:sz="0" w:space="0" w:color="auto"/>
        <w:bottom w:val="none" w:sz="0" w:space="0" w:color="auto"/>
        <w:right w:val="none" w:sz="0" w:space="0" w:color="auto"/>
      </w:divBdr>
    </w:div>
    <w:div w:id="2069955910">
      <w:bodyDiv w:val="1"/>
      <w:marLeft w:val="0"/>
      <w:marRight w:val="0"/>
      <w:marTop w:val="0"/>
      <w:marBottom w:val="0"/>
      <w:divBdr>
        <w:top w:val="none" w:sz="0" w:space="0" w:color="auto"/>
        <w:left w:val="none" w:sz="0" w:space="0" w:color="auto"/>
        <w:bottom w:val="none" w:sz="0" w:space="0" w:color="auto"/>
        <w:right w:val="none" w:sz="0" w:space="0" w:color="auto"/>
      </w:divBdr>
    </w:div>
    <w:div w:id="2074424227">
      <w:bodyDiv w:val="1"/>
      <w:marLeft w:val="0"/>
      <w:marRight w:val="0"/>
      <w:marTop w:val="0"/>
      <w:marBottom w:val="0"/>
      <w:divBdr>
        <w:top w:val="none" w:sz="0" w:space="0" w:color="auto"/>
        <w:left w:val="none" w:sz="0" w:space="0" w:color="auto"/>
        <w:bottom w:val="none" w:sz="0" w:space="0" w:color="auto"/>
        <w:right w:val="none" w:sz="0" w:space="0" w:color="auto"/>
      </w:divBdr>
    </w:div>
    <w:div w:id="2079327633">
      <w:bodyDiv w:val="1"/>
      <w:marLeft w:val="0"/>
      <w:marRight w:val="0"/>
      <w:marTop w:val="0"/>
      <w:marBottom w:val="0"/>
      <w:divBdr>
        <w:top w:val="none" w:sz="0" w:space="0" w:color="auto"/>
        <w:left w:val="none" w:sz="0" w:space="0" w:color="auto"/>
        <w:bottom w:val="none" w:sz="0" w:space="0" w:color="auto"/>
        <w:right w:val="none" w:sz="0" w:space="0" w:color="auto"/>
      </w:divBdr>
    </w:div>
    <w:div w:id="2080638365">
      <w:bodyDiv w:val="1"/>
      <w:marLeft w:val="0"/>
      <w:marRight w:val="0"/>
      <w:marTop w:val="0"/>
      <w:marBottom w:val="0"/>
      <w:divBdr>
        <w:top w:val="none" w:sz="0" w:space="0" w:color="auto"/>
        <w:left w:val="none" w:sz="0" w:space="0" w:color="auto"/>
        <w:bottom w:val="none" w:sz="0" w:space="0" w:color="auto"/>
        <w:right w:val="none" w:sz="0" w:space="0" w:color="auto"/>
      </w:divBdr>
    </w:div>
    <w:div w:id="2081636860">
      <w:bodyDiv w:val="1"/>
      <w:marLeft w:val="0"/>
      <w:marRight w:val="0"/>
      <w:marTop w:val="0"/>
      <w:marBottom w:val="0"/>
      <w:divBdr>
        <w:top w:val="none" w:sz="0" w:space="0" w:color="auto"/>
        <w:left w:val="none" w:sz="0" w:space="0" w:color="auto"/>
        <w:bottom w:val="none" w:sz="0" w:space="0" w:color="auto"/>
        <w:right w:val="none" w:sz="0" w:space="0" w:color="auto"/>
      </w:divBdr>
    </w:div>
    <w:div w:id="2084258979">
      <w:bodyDiv w:val="1"/>
      <w:marLeft w:val="0"/>
      <w:marRight w:val="0"/>
      <w:marTop w:val="0"/>
      <w:marBottom w:val="0"/>
      <w:divBdr>
        <w:top w:val="none" w:sz="0" w:space="0" w:color="auto"/>
        <w:left w:val="none" w:sz="0" w:space="0" w:color="auto"/>
        <w:bottom w:val="none" w:sz="0" w:space="0" w:color="auto"/>
        <w:right w:val="none" w:sz="0" w:space="0" w:color="auto"/>
      </w:divBdr>
    </w:div>
    <w:div w:id="2092001473">
      <w:bodyDiv w:val="1"/>
      <w:marLeft w:val="0"/>
      <w:marRight w:val="0"/>
      <w:marTop w:val="0"/>
      <w:marBottom w:val="0"/>
      <w:divBdr>
        <w:top w:val="none" w:sz="0" w:space="0" w:color="auto"/>
        <w:left w:val="none" w:sz="0" w:space="0" w:color="auto"/>
        <w:bottom w:val="none" w:sz="0" w:space="0" w:color="auto"/>
        <w:right w:val="none" w:sz="0" w:space="0" w:color="auto"/>
      </w:divBdr>
    </w:div>
    <w:div w:id="2097902756">
      <w:bodyDiv w:val="1"/>
      <w:marLeft w:val="0"/>
      <w:marRight w:val="0"/>
      <w:marTop w:val="0"/>
      <w:marBottom w:val="0"/>
      <w:divBdr>
        <w:top w:val="none" w:sz="0" w:space="0" w:color="auto"/>
        <w:left w:val="none" w:sz="0" w:space="0" w:color="auto"/>
        <w:bottom w:val="none" w:sz="0" w:space="0" w:color="auto"/>
        <w:right w:val="none" w:sz="0" w:space="0" w:color="auto"/>
      </w:divBdr>
    </w:div>
    <w:div w:id="212850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foodstandards.gov.au/about-us/board" TargetMode="External"/><Relationship Id="rId26" Type="http://schemas.openxmlformats.org/officeDocument/2006/relationships/image" Target="cid:image004.png@01D8CC0B.DD4D0AF0" TargetMode="External"/><Relationship Id="rId39" Type="http://schemas.openxmlformats.org/officeDocument/2006/relationships/hyperlink" Target="https://docslib.org/doc/10279460/alcohol-beverages-industry-report-deloitte-pdf" TargetMode="External"/><Relationship Id="rId21" Type="http://schemas.openxmlformats.org/officeDocument/2006/relationships/hyperlink" Target="https://www.foodstandards.gov.au/consumer/labelling/Labelling-of-alcoholic-beverages" TargetMode="External"/><Relationship Id="rId34" Type="http://schemas.openxmlformats.org/officeDocument/2006/relationships/hyperlink" Target="https://www.aihw.gov.au/reports/alcohol/alcohol-tobacco-other-drugs-australia/contents/drug-types/alcohol" TargetMode="External"/><Relationship Id="rId42" Type="http://schemas.openxmlformats.org/officeDocument/2006/relationships/hyperlink" Target="https://www.health.gov.au/resources/collections/national-obesity-strategy" TargetMode="External"/><Relationship Id="rId47" Type="http://schemas.openxmlformats.org/officeDocument/2006/relationships/hyperlink" Target="https://www.foodstandards.gov.au/sites/default/files/consumer/labelling/Documents/Review%20of%20nutrition%20labelling%20for%20added%20sugars.pdf" TargetMode="External"/><Relationship Id="rId50" Type="http://schemas.openxmlformats.org/officeDocument/2006/relationships/hyperlink" Target="https://www.foodstandards.govt.nz/sites/default/files/2023-11/P1059-final-consumer-research-report-2023.pdf" TargetMode="External"/><Relationship Id="rId55" Type="http://schemas.openxmlformats.org/officeDocument/2006/relationships/hyperlink" Target="https://hapai.co.nz/sites/default/files/Economic-Impact-of-Excess-Weight-in-NZ-15-Nov-2021.pdf" TargetMode="External"/><Relationship Id="rId63" Type="http://schemas.openxmlformats.org/officeDocument/2006/relationships/hyperlink" Target="https://minhealthnz.shinyapps.io/nz-health-survey-2022-23-annual-data-explorer/_w_8dc256ab/" TargetMode="External"/><Relationship Id="rId68" Type="http://schemas.openxmlformats.org/officeDocument/2006/relationships/hyperlink" Target="https://doi.org/10.1787/67450d67-en" TargetMode="External"/><Relationship Id="rId76" Type="http://schemas.openxmlformats.org/officeDocument/2006/relationships/hyperlink" Target="https://www.ncbi.nlm.nih.gov/pmc/articles/PMC6340779/" TargetMode="External"/><Relationship Id="rId84" Type="http://schemas.openxmlformats.org/officeDocument/2006/relationships/header" Target="header1.xml"/><Relationship Id="rId89" Type="http://schemas.openxmlformats.org/officeDocument/2006/relationships/footer" Target="footer3.xml"/><Relationship Id="rId7" Type="http://schemas.openxmlformats.org/officeDocument/2006/relationships/image" Target="media/image1.png"/><Relationship Id="rId71" Type="http://schemas.openxmlformats.org/officeDocument/2006/relationships/hyperlink" Target="https://www.ofx.com/en-au/forex-news/historical-exchange-rates/yearly-average-rates/" TargetMode="External"/><Relationship Id="rId2" Type="http://schemas.openxmlformats.org/officeDocument/2006/relationships/styles" Target="styles.xml"/><Relationship Id="rId16" Type="http://schemas.openxmlformats.org/officeDocument/2006/relationships/hyperlink" Target="file:///C:/Users/cravea/OneDrive%20-%20foodstandards.gov.au/Documents/Word/P1059%20-%20Energy%20labelling%20on%20alcoholic%20beverages" TargetMode="External"/><Relationship Id="rId29" Type="http://schemas.openxmlformats.org/officeDocument/2006/relationships/hyperlink" Target="https://aus01.safelinks.protection.outlook.com/?url=https%3A%2F%2Fwww.abs.gov.au%2Fstatistics%2Fhealth%2Fhealth-conditions-and-risks%2Fwaist-circumference-and-bmi%2F2017-18&amp;data=05%7C02%7CMark.Jones%40foodstandards.gov.au%7Ce10caba9afb54a94e9f008dc46ecbba2%7C6deea5ad8e7945b888fe895f2bb48673%7C0%7C0%7C638463229782834352%7CUnknown%7CTWFpbGZsb3d8eyJWIjoiMC4wLjAwMDAiLCJQIjoiV2luMzIiLCJBTiI6Ik1haWwiLCJXVCI6Mn0%3D%7C0%7C%7C%7C&amp;sdata=S%2BO3qBFHE8RGt5DPbY3GoT9yFC9lrApndUUavGz0V2w%3D&amp;reserved=0" TargetMode="External"/><Relationship Id="rId11" Type="http://schemas.openxmlformats.org/officeDocument/2006/relationships/hyperlink" Target="https://www.legislation.gov.au/C2004A04193/latest/text" TargetMode="External"/><Relationship Id="rId24" Type="http://schemas.openxmlformats.org/officeDocument/2006/relationships/hyperlink" Target="https://population.un.org/dataportal/" TargetMode="External"/><Relationship Id="rId32" Type="http://schemas.openxmlformats.org/officeDocument/2006/relationships/hyperlink" Target="https://www.abs.gov.au/statistics/health/health-conditions-and-risks/national-health-survey/2022" TargetMode="External"/><Relationship Id="rId37" Type="http://schemas.openxmlformats.org/officeDocument/2006/relationships/hyperlink" Target="https://doi.org/10.3390/ijerph19084609" TargetMode="External"/><Relationship Id="rId40" Type="http://schemas.openxmlformats.org/officeDocument/2006/relationships/hyperlink" Target="https://www.health.gov.au/resources/publications/national-alcohol-strategy-2019-2028?language=und" TargetMode="External"/><Relationship Id="rId45" Type="http://schemas.openxmlformats.org/officeDocument/2006/relationships/hyperlink" Target="https://www.foodstandards.gov.au/sites/default/files/consumer/labelling/Documents/Evidence%20assessment%20report.pdf" TargetMode="External"/><Relationship Id="rId53" Type="http://schemas.openxmlformats.org/officeDocument/2006/relationships/hyperlink" Target="https://www.foodstandards.gov.au/sites/default/files/2024-08/P1049%20consumer%20research%20report%20%286%29.pdf" TargetMode="External"/><Relationship Id="rId58" Type="http://schemas.openxmlformats.org/officeDocument/2006/relationships/hyperlink" Target="https://www.ibisworld.com/au/bed/health-consciousness/64/" TargetMode="External"/><Relationship Id="rId66" Type="http://schemas.openxmlformats.org/officeDocument/2006/relationships/hyperlink" Target="https://www.foodstandards.gov.au/sites/default/files/consumer/labelling/review/Documents/NZIER%206%20February%202015%20Revised%20report%20on%20energy%20labelling%20on%20alcoholic%20beverages.pdf" TargetMode="External"/><Relationship Id="rId74" Type="http://schemas.openxmlformats.org/officeDocument/2006/relationships/hyperlink" Target="https://www.stats.govt.nz/information-releases/alcohol-available-for-consumption-year-ended-december-2023/" TargetMode="External"/><Relationship Id="rId79" Type="http://schemas.openxmlformats.org/officeDocument/2006/relationships/hyperlink" Target="https://www.health.govt.nz/publication/focus-nutrition-key-findings-2008-09-nz-adult-nutrition-survey" TargetMode="External"/><Relationship Id="rId87"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s://www.health.govt.nz/publication/annual-update-key-results-2018-19-new-zealand-health-survey" TargetMode="External"/><Relationship Id="rId82" Type="http://schemas.openxmlformats.org/officeDocument/2006/relationships/hyperlink" Target="https://apps.who.int/gb/ebwha/pdf_files/EB150/B150_7Add1-en.pdf" TargetMode="External"/><Relationship Id="rId90" Type="http://schemas.openxmlformats.org/officeDocument/2006/relationships/fontTable" Target="fontTable.xml"/><Relationship Id="rId19" Type="http://schemas.openxmlformats.org/officeDocument/2006/relationships/hyperlink" Target="https://www.foodregulation.gov.au/activities-committees/isfr" TargetMode="External"/><Relationship Id="rId14" Type="http://schemas.openxmlformats.org/officeDocument/2006/relationships/hyperlink" Target="https://www.legislation.gov.au/C2004A04193/latest/text" TargetMode="External"/><Relationship Id="rId22" Type="http://schemas.openxmlformats.org/officeDocument/2006/relationships/hyperlink" Target="https://www.foodstandards.gov.au/food-standards-code/proposals/P1050Pregnancywarninglabelsonalcoholicbeverages" TargetMode="External"/><Relationship Id="rId27" Type="http://schemas.openxmlformats.org/officeDocument/2006/relationships/hyperlink" Target="https://www.abs.gov.au/statistics/microdata-tablebuilder/available-microdata-tablebuilder/australian-health-survey-nutrition-and-physical-activity" TargetMode="External"/><Relationship Id="rId30" Type="http://schemas.openxmlformats.org/officeDocument/2006/relationships/hyperlink" Target="https://www.abs.gov.au/statistics/health/health-conditions-and-risks/apparent-consumption-alcohol-australia/latest-release" TargetMode="External"/><Relationship Id="rId35" Type="http://schemas.openxmlformats.org/officeDocument/2006/relationships/hyperlink" Target="https://www.aihw.gov.au/reports/alcohol/alcohol-available-for-consumption-in-australia/contents/trends-in-alcohol-available-for-consumption" TargetMode="External"/><Relationship Id="rId43" Type="http://schemas.openxmlformats.org/officeDocument/2006/relationships/hyperlink" Target="https://www.foodstandards.gov.au/food-standards-code/proposals/P1050Pregnancywarninglabelsonalcoholicbeverages" TargetMode="External"/><Relationship Id="rId48" Type="http://schemas.openxmlformats.org/officeDocument/2006/relationships/hyperlink" Target="https://view.officeapps.live.com/op/view.aspx?src=https%3A%2F%2Fwww.foodstandards.gov.au%2Fsites%2Fdefault%2Ffiles%2Fconsumer%2Flabelling%2FDocuments%2FReport%2520on%2520the%2520options%2520analysis%2520for%2520energy%2520labelling%2520of%2520alcoholic%2520beverages%2520STAGE%25202.docx&amp;wdOrigin=BROWSELINK" TargetMode="External"/><Relationship Id="rId56" Type="http://schemas.openxmlformats.org/officeDocument/2006/relationships/hyperlink" Target="https://www.heartfoundation.org.nz/wellbeing/body-size-and-heart-health/bmi-calculator" TargetMode="External"/><Relationship Id="rId64" Type="http://schemas.openxmlformats.org/officeDocument/2006/relationships/hyperlink" Target="https://www.nhmrc.gov.au/about-us/publications/nutrient-reference-values-australia-and-new-zealand-including-recommended-dietary-intakes" TargetMode="External"/><Relationship Id="rId69" Type="http://schemas.openxmlformats.org/officeDocument/2006/relationships/hyperlink" Target="https://www.gov.uk/government/publications/cost-pass-through-theory-measurement-and-policy-implications" TargetMode="External"/><Relationship Id="rId77" Type="http://schemas.openxmlformats.org/officeDocument/2006/relationships/hyperlink" Target="https://population.un.org/dataportal/" TargetMode="External"/><Relationship Id="rId8" Type="http://schemas.openxmlformats.org/officeDocument/2006/relationships/hyperlink" Target="https://www.foodstandards.gov.au/food-standards-code/proposals/Proposal-P1059-Energy-labelling-on-alcoholic-beverages" TargetMode="External"/><Relationship Id="rId51" Type="http://schemas.openxmlformats.org/officeDocument/2006/relationships/hyperlink" Target="https://www.foodstandards.gov.au/science-data/social-science" TargetMode="External"/><Relationship Id="rId72" Type="http://schemas.openxmlformats.org/officeDocument/2006/relationships/hyperlink" Target="https://www.pwc.com.au/pdf/weighing-the-cost-of-obesity-final.pdf" TargetMode="External"/><Relationship Id="rId80" Type="http://schemas.openxmlformats.org/officeDocument/2006/relationships/hyperlink" Target="https://knowledge4policy.ec.europa.eu/publication/literature-review-means-food-information-provision-other-packaging-labels_en" TargetMode="External"/><Relationship Id="rId85"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www.foodstandards.gov.au/food-standards-code" TargetMode="External"/><Relationship Id="rId17" Type="http://schemas.openxmlformats.org/officeDocument/2006/relationships/hyperlink" Target="file:///C:/Users/cravea/OneDrive%20-%20foodstandards.gov.au/Documents/Word/P1059%20-%20Energy%20labelling%20on%20alcoholic%20beverages" TargetMode="External"/><Relationship Id="rId25" Type="http://schemas.openxmlformats.org/officeDocument/2006/relationships/image" Target="media/image3.png"/><Relationship Id="rId33" Type="http://schemas.openxmlformats.org/officeDocument/2006/relationships/hyperlink" Target="https://www.abs.gov.au/statistics/people/population/national-state-and-territory-population/dec-2023" TargetMode="External"/><Relationship Id="rId38" Type="http://schemas.openxmlformats.org/officeDocument/2006/relationships/hyperlink" Target="https://www.mja.com.au/system/files/issues/192_05_010310/col10841_fm.pdf" TargetMode="External"/><Relationship Id="rId46" Type="http://schemas.openxmlformats.org/officeDocument/2006/relationships/hyperlink" Target="https://www.foodstandards.gov.au/sites/default/files/consumer/labelling/Documents/Literature%20review%20report.pdf" TargetMode="External"/><Relationship Id="rId59" Type="http://schemas.openxmlformats.org/officeDocument/2006/relationships/hyperlink" Target="https://www.ibisworld.com/au/bed/per-capita-alcohol-consumption/66/" TargetMode="External"/><Relationship Id="rId67" Type="http://schemas.openxmlformats.org/officeDocument/2006/relationships/hyperlink" Target="https://theobesitycollective.org.au/wp-content/uploads/2022/10/Report_Weighing-In-Australias-growing-obesity-epidemic.pdf" TargetMode="External"/><Relationship Id="rId20" Type="http://schemas.openxmlformats.org/officeDocument/2006/relationships/hyperlink" Target="https://www.foodstandards.gov.au/food-standards-code/proposals/P1053" TargetMode="External"/><Relationship Id="rId41" Type="http://schemas.openxmlformats.org/officeDocument/2006/relationships/hyperlink" Target="https://www.health.gov.au/resources/publications/national-preventive-health-strategy-2021-2030" TargetMode="External"/><Relationship Id="rId54" Type="http://schemas.openxmlformats.org/officeDocument/2006/relationships/hyperlink" Target="https://www.foodstandards.gov.au/sites/default/files/2024-05/Consumer%20Insights%20Tracker%202023%20Technical%20Report.pdf" TargetMode="External"/><Relationship Id="rId62" Type="http://schemas.openxmlformats.org/officeDocument/2006/relationships/hyperlink" Target="https://www.health.govt.nz/publication/eating-and-activity-guidelines-new-zealand-adults" TargetMode="External"/><Relationship Id="rId70" Type="http://schemas.openxmlformats.org/officeDocument/2006/relationships/hyperlink" Target="https://oia.pmc.gov.au/resources/guidance-impact-analysis/regulatory-impact-analysis-guide-ministers-meetings-and-national" TargetMode="External"/><Relationship Id="rId75" Type="http://schemas.openxmlformats.org/officeDocument/2006/relationships/hyperlink" Target="https://infoshare.stats.govt.nz/" TargetMode="External"/><Relationship Id="rId83" Type="http://schemas.openxmlformats.org/officeDocument/2006/relationships/hyperlink" Target="https://www.who.int/news/item/27-05-2022-seventy-fifth-world-health-assembly---daily-update--27-may-2022" TargetMode="External"/><Relationship Id="rId88" Type="http://schemas.openxmlformats.org/officeDocument/2006/relationships/header" Target="header3.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health.gov.au/resources/publications/national-obesity-strategy-2022-2032" TargetMode="External"/><Relationship Id="rId23" Type="http://schemas.openxmlformats.org/officeDocument/2006/relationships/hyperlink" Target="https://population.un.org/dataportal/" TargetMode="External"/><Relationship Id="rId28" Type="http://schemas.openxmlformats.org/officeDocument/2006/relationships/hyperlink" Target="https://www.abs.gov.au/statistics/health/health-conditions-and-risks/national-health-survey/2017-18" TargetMode="External"/><Relationship Id="rId36" Type="http://schemas.openxmlformats.org/officeDocument/2006/relationships/hyperlink" Target="https://www.aihw.gov.au/reports/overweight-obesity/overweight-and-obesity/contents/overweight-and-obesity" TargetMode="External"/><Relationship Id="rId49" Type="http://schemas.openxmlformats.org/officeDocument/2006/relationships/hyperlink" Target="https://www.foodstandards.gov.au/science-data/monitoringnutrients/afcd" TargetMode="External"/><Relationship Id="rId57" Type="http://schemas.openxmlformats.org/officeDocument/2006/relationships/hyperlink" Target="https://www.ibisworld.com/" TargetMode="External"/><Relationship Id="rId10" Type="http://schemas.openxmlformats.org/officeDocument/2006/relationships/hyperlink" Target="https://oia.pmc.gov.au/resources/guidance-impact-analysis/regulatory-impact-analysis-guide-ministers-meetings-and-national" TargetMode="External"/><Relationship Id="rId31" Type="http://schemas.openxmlformats.org/officeDocument/2006/relationships/hyperlink" Target="https://aus01.safelinks.protection.outlook.com/?url=https%3A%2F%2Fwww.abs.gov.au%2Fstatistics%2Fhealth%2Fhealth-conditions-and-risks%2Fwaist-circumference-and-bmi%2Flatest-release&amp;data=05%7C02%7CMark.Jones%40foodstandards.gov.au%7Ce10caba9afb54a94e9f008dc46ecbba2%7C6deea5ad8e7945b888fe895f2bb48673%7C0%7C0%7C638463229782823470%7CUnknown%7CTWFpbGZsb3d8eyJWIjoiMC4wLjAwMDAiLCJQIjoiV2luMzIiLCJBTiI6Ik1haWwiLCJXVCI6Mn0%3D%7C0%7C%7C%7C&amp;sdata=JhXp0DelsBV60iVHZgMKqGoQwGLEyphRjv7Z8n%2B3QrY%3D&amp;reserved=0" TargetMode="External"/><Relationship Id="rId44" Type="http://schemas.openxmlformats.org/officeDocument/2006/relationships/hyperlink" Target="https://www.foodstandards.gov.au/sites/default/files/food-standards-code/proposals/Documents/SD1%20PWL%20Literature%20Review.pdf" TargetMode="External"/><Relationship Id="rId52" Type="http://schemas.openxmlformats.org/officeDocument/2006/relationships/hyperlink" Target="https://www.foodstandards.gov.au/sites/default/files/food-standards-code/proposals/Documents/P1059%20-%20CFS%20.pdf" TargetMode="External"/><Relationship Id="rId60" Type="http://schemas.openxmlformats.org/officeDocument/2006/relationships/hyperlink" Target="https://www.foodstandards.gov.au/sites/default/files/2023-12/Longer-Report-Survey-Alcoholic-Beverages.pdf" TargetMode="External"/><Relationship Id="rId65" Type="http://schemas.openxmlformats.org/officeDocument/2006/relationships/hyperlink" Target="https://www.eatforhealth.gov.au/guidelines/guidelines" TargetMode="External"/><Relationship Id="rId73" Type="http://schemas.openxmlformats.org/officeDocument/2006/relationships/hyperlink" Target="https://www.stats.govt.nz/information-releases/alcohol-available-for-consumption-year-ended-december-2020" TargetMode="External"/><Relationship Id="rId78" Type="http://schemas.openxmlformats.org/officeDocument/2006/relationships/hyperlink" Target="https://www.health.govt.nz/publication/methodology-report-2008-09-nz-adult-nutrition-survey" TargetMode="External"/><Relationship Id="rId81" Type="http://schemas.openxmlformats.org/officeDocument/2006/relationships/hyperlink" Target="https://www.who.int/europe/publications/i/item/WHO-EURO-2017-4124-43883-61793" TargetMode="External"/><Relationship Id="rId86"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ia.pmc.gov.au/resources/guidance-impact-analysis/regulatory-impact-analysis-guide-ministers-meetings-and-nationa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heartfoundation.org.nz/wellbeing/body-size-and-heart-health/bmi-calculator" TargetMode="External"/><Relationship Id="rId3" Type="http://schemas.openxmlformats.org/officeDocument/2006/relationships/hyperlink" Target="https://view.officeapps.live.com/op/view.aspx?src=https%3A%2F%2Fwww.foodstandards.gov.au%2Fsites%2Fdefault%2Ffiles%2Fconsumer%2Flabelling%2FDocuments%2FReport%2520on%2520the%2520options%2520analysis%2520for%2520energy%2520labelling%2520of%2520alcoholic%2520beverages%2520STAGE%25202.docx&amp;wdOrigin=BROWSELINK" TargetMode="External"/><Relationship Id="rId7" Type="http://schemas.openxmlformats.org/officeDocument/2006/relationships/hyperlink" Target="https://aus01.safelinks.protection.outlook.com/?url=https%3A%2F%2Fwww.gov.uk%2Fgovernment%2Fpublications%2Fcost-pass-through-theory-measurement-and-policy-implications&amp;data=05%7C01%7CMark.Jones%40foodstandards.gov.au%7C9c1ce3db31484e6f321f08dbad9ed0bf%7C6deea5ad8e7945b888fe895f2bb48673%7C0%7C0%7C638294669839442661%7CUnknown%7CTWFpbGZsb3d8eyJWIjoiMC4wLjAwMDAiLCJQIjoiV2luMzIiLCJBTiI6Ik1haWwiLCJXVCI6Mn0%3D%7C3000%7C%7C%7C&amp;sdata=FVN%2F6gKbH1NVX6i29NbuXH1oyWgdeIcckr3mAEvl3PI%3D&amp;reserved=0" TargetMode="External"/><Relationship Id="rId12" Type="http://schemas.openxmlformats.org/officeDocument/2006/relationships/hyperlink" Target="https://www.ofx.com/en-au/forex-news/historical-exchange-rates/yearly-average-rates/" TargetMode="External"/><Relationship Id="rId2" Type="http://schemas.openxmlformats.org/officeDocument/2006/relationships/hyperlink" Target="https://www.foodregulation.gov.au/resources/publications/policy-guideline-food-labelling-support-consumers-make-informed-healthy-choices" TargetMode="External"/><Relationship Id="rId1" Type="http://schemas.openxmlformats.org/officeDocument/2006/relationships/hyperlink" Target="https://www.foodstandards.gov.au/food-standards-code/proposals/Proposal-P1059-Energy-labelling-on-alcoholic-beverages" TargetMode="External"/><Relationship Id="rId6" Type="http://schemas.openxmlformats.org/officeDocument/2006/relationships/hyperlink" Target="https://www.abs.gov.au/statistics/economy/price-indexes-and-inflation/producer-price-indexes-australia/latest-release" TargetMode="External"/><Relationship Id="rId11" Type="http://schemas.openxmlformats.org/officeDocument/2006/relationships/hyperlink" Target="https://www.heartfoundation.org.nz/wellbeing/body-size-and-heart-health/bmi-calculator" TargetMode="External"/><Relationship Id="rId5" Type="http://schemas.openxmlformats.org/officeDocument/2006/relationships/hyperlink" Target="https://www.foodstandards.gov.au/consumer/labelling/Labelling-of-alcoholic-beverages" TargetMode="External"/><Relationship Id="rId10" Type="http://schemas.openxmlformats.org/officeDocument/2006/relationships/hyperlink" Target="https://www.ofx.com/en-au/forex-news/historical-exchange-rates/yearly-average-rates/" TargetMode="External"/><Relationship Id="rId4" Type="http://schemas.openxmlformats.org/officeDocument/2006/relationships/hyperlink" Target="https://www.foodstandards.gov.au/food-standards-code/proposals/P1050Pregnancywarninglabelsonalcoholicbeverages" TargetMode="External"/><Relationship Id="rId9" Type="http://schemas.openxmlformats.org/officeDocument/2006/relationships/hyperlink" Target="https://foodregulation.gov.au/internet/fr/publishing.nsf/Content/Food-polic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19249</Words>
  <Characters>101255</Characters>
  <Application>Microsoft Office Word</Application>
  <DocSecurity>0</DocSecurity>
  <Lines>2301</Lines>
  <Paragraphs>1585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2025-07-30T10:47:00Z</dcterms:created>
  <dcterms:modified xsi:type="dcterms:W3CDTF">2025-07-30T10:49:00Z</dcterms:modified>
  <cp:category/>
</cp:coreProperties>
</file>