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0E4AD" w14:textId="77777777" w:rsidR="00775FE4" w:rsidRDefault="00540C58" w:rsidP="00EC4A7B">
      <w:pPr>
        <w:spacing w:after="480"/>
        <w:rPr>
          <w:noProof/>
          <w:sz w:val="28"/>
          <w:szCs w:val="28"/>
        </w:rPr>
      </w:pPr>
      <w:bookmarkStart w:id="0" w:name="_GoBack"/>
      <w:bookmarkEnd w:id="0"/>
      <w:r>
        <w:rPr>
          <w:noProof/>
          <w:sz w:val="28"/>
          <w:szCs w:val="28"/>
        </w:rPr>
        <w:drawing>
          <wp:inline distT="0" distB="0" distL="0" distR="0" wp14:anchorId="579C9A44" wp14:editId="2DD70EAD">
            <wp:extent cx="1610543" cy="1271751"/>
            <wp:effectExtent l="0" t="0" r="8890" b="5080"/>
            <wp:docPr id="5261768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7621" cy="1277340"/>
                    </a:xfrm>
                    <a:prstGeom prst="rect">
                      <a:avLst/>
                    </a:prstGeom>
                    <a:noFill/>
                    <a:ln>
                      <a:noFill/>
                    </a:ln>
                  </pic:spPr>
                </pic:pic>
              </a:graphicData>
            </a:graphic>
          </wp:inline>
        </w:drawing>
      </w:r>
    </w:p>
    <w:p w14:paraId="10A19525" w14:textId="2DA574C1" w:rsidR="00775FE4" w:rsidRPr="00312630" w:rsidRDefault="00312630" w:rsidP="00312630">
      <w:pPr>
        <w:spacing w:after="480"/>
        <w:jc w:val="right"/>
        <w:rPr>
          <w:b/>
          <w:bCs/>
          <w:noProof/>
        </w:rPr>
      </w:pPr>
      <w:bookmarkStart w:id="1" w:name="Title"/>
      <w:bookmarkEnd w:id="1"/>
      <w:r w:rsidRPr="00312630">
        <w:rPr>
          <w:b/>
          <w:bCs/>
          <w:noProof/>
        </w:rPr>
        <w:t>Deputy Secretary</w:t>
      </w:r>
    </w:p>
    <w:p w14:paraId="22BA9801" w14:textId="07600250" w:rsidR="004735A2" w:rsidRDefault="00312630" w:rsidP="00312630">
      <w:pPr>
        <w:pStyle w:val="Header"/>
        <w:tabs>
          <w:tab w:val="left" w:pos="720"/>
        </w:tabs>
      </w:pPr>
      <w:r w:rsidRPr="00312630">
        <w:t xml:space="preserve">Ms Joanna Abhayaratna </w:t>
      </w:r>
      <w:r>
        <w:br/>
      </w:r>
      <w:r w:rsidRPr="00312630">
        <w:t xml:space="preserve">Executive Director </w:t>
      </w:r>
      <w:r>
        <w:br/>
      </w:r>
      <w:r w:rsidRPr="00312630">
        <w:t xml:space="preserve">Office of Impact Analysis </w:t>
      </w:r>
      <w:r>
        <w:br/>
      </w:r>
      <w:r w:rsidRPr="00312630">
        <w:t xml:space="preserve">Department of the Prime Minister and Cabinet </w:t>
      </w:r>
      <w:r>
        <w:br/>
      </w:r>
      <w:r w:rsidRPr="00312630">
        <w:t xml:space="preserve">1 National Circuit </w:t>
      </w:r>
      <w:r>
        <w:br/>
      </w:r>
      <w:r w:rsidRPr="00312630">
        <w:t>BARTON ACT 2600</w:t>
      </w:r>
    </w:p>
    <w:p w14:paraId="6B663188" w14:textId="77777777" w:rsidR="004735A2" w:rsidRDefault="004735A2" w:rsidP="004735A2"/>
    <w:p w14:paraId="4A872012" w14:textId="4BB1BBA4" w:rsidR="00556242" w:rsidRDefault="00312630" w:rsidP="004735A2">
      <w:r>
        <w:t>Email: Helpdesk-OIA@pmc.gov.au</w:t>
      </w:r>
    </w:p>
    <w:p w14:paraId="3CE64182" w14:textId="77777777" w:rsidR="00556242" w:rsidRDefault="00556242" w:rsidP="004735A2"/>
    <w:p w14:paraId="686BF270" w14:textId="51839B95" w:rsidR="00B53800" w:rsidRDefault="009E3D9F" w:rsidP="004735A2">
      <w:r w:rsidRPr="00EC4A7B">
        <w:t xml:space="preserve">Dear </w:t>
      </w:r>
      <w:r w:rsidR="00312630" w:rsidRPr="00312630">
        <w:t>Ms Abhayaratna</w:t>
      </w:r>
    </w:p>
    <w:p w14:paraId="30E4419E" w14:textId="77777777" w:rsidR="00312630" w:rsidRDefault="00312630" w:rsidP="004735A2"/>
    <w:p w14:paraId="498AAA7A" w14:textId="1FDF6194" w:rsidR="00312630" w:rsidRPr="00312630" w:rsidRDefault="00312630" w:rsidP="004735A2">
      <w:pPr>
        <w:rPr>
          <w:b/>
          <w:bCs/>
        </w:rPr>
      </w:pPr>
      <w:r w:rsidRPr="00312630">
        <w:rPr>
          <w:b/>
          <w:bCs/>
        </w:rPr>
        <w:t>Impact Analysis – Reduction of the PBS General Patient Co-Payment to $25 – Second Pass Final Assessment</w:t>
      </w:r>
    </w:p>
    <w:p w14:paraId="1040A734" w14:textId="77777777" w:rsidR="00775FE4" w:rsidRPr="0093202A" w:rsidRDefault="00775FE4" w:rsidP="0093202A"/>
    <w:p w14:paraId="5DC84174" w14:textId="77777777" w:rsidR="00312630" w:rsidRDefault="00312630" w:rsidP="00775FE4">
      <w:r w:rsidRPr="00312630">
        <w:t xml:space="preserve">I am writing in relation to the attached Impact Analysis (IA) prepared for the National Health Amendments (Cheaper Medicines) Bill 2025. </w:t>
      </w:r>
    </w:p>
    <w:p w14:paraId="59ECB83F" w14:textId="77777777" w:rsidR="00312630" w:rsidRDefault="00312630" w:rsidP="00775FE4"/>
    <w:p w14:paraId="2B5E281B" w14:textId="6508615A" w:rsidR="00312630" w:rsidRDefault="00312630" w:rsidP="00775FE4">
      <w:r w:rsidRPr="00312630">
        <w:t>I am satisfied that the IA addresses the concerns raised in your letter of 9 July 2025</w:t>
      </w:r>
      <w:r>
        <w:t>,</w:t>
      </w:r>
      <w:r w:rsidRPr="00312630">
        <w:t xml:space="preserve"> </w:t>
      </w:r>
      <w:r>
        <w:t>s</w:t>
      </w:r>
      <w:r w:rsidRPr="00312630">
        <w:t>pecifically</w:t>
      </w:r>
      <w:r>
        <w:t>:</w:t>
      </w:r>
    </w:p>
    <w:p w14:paraId="55E282D8" w14:textId="77777777" w:rsidR="00312630" w:rsidRDefault="00312630" w:rsidP="00775FE4"/>
    <w:p w14:paraId="41036548" w14:textId="0296386E" w:rsidR="00312630" w:rsidRDefault="00312630" w:rsidP="00417497">
      <w:pPr>
        <w:pStyle w:val="ListParagraph"/>
        <w:numPr>
          <w:ilvl w:val="0"/>
          <w:numId w:val="2"/>
        </w:numPr>
        <w:spacing w:after="120"/>
        <w:ind w:left="714" w:hanging="357"/>
        <w:contextualSpacing w:val="0"/>
      </w:pPr>
      <w:r w:rsidRPr="00312630">
        <w:t xml:space="preserve">adding success factors and key assumption </w:t>
      </w:r>
    </w:p>
    <w:p w14:paraId="5FAEEFDB" w14:textId="101DD627" w:rsidR="00312630" w:rsidRDefault="00312630" w:rsidP="00417497">
      <w:pPr>
        <w:pStyle w:val="ListParagraph"/>
        <w:numPr>
          <w:ilvl w:val="0"/>
          <w:numId w:val="2"/>
        </w:numPr>
        <w:spacing w:after="120"/>
        <w:ind w:left="714" w:hanging="357"/>
        <w:contextualSpacing w:val="0"/>
      </w:pPr>
      <w:r w:rsidRPr="00312630">
        <w:t xml:space="preserve">clarifying no further stakeholder consultation, beyond that already conducted within the context of the 2025 Federal election, will be conducted by the Department of Health, Disability and Ageing prior to submitting the Bill to Parliament </w:t>
      </w:r>
    </w:p>
    <w:p w14:paraId="5BED0930" w14:textId="255C891B" w:rsidR="00312630" w:rsidRDefault="00312630" w:rsidP="00417497">
      <w:pPr>
        <w:pStyle w:val="ListParagraph"/>
        <w:numPr>
          <w:ilvl w:val="0"/>
          <w:numId w:val="2"/>
        </w:numPr>
        <w:spacing w:after="120"/>
        <w:ind w:left="714" w:hanging="357"/>
        <w:contextualSpacing w:val="0"/>
      </w:pPr>
      <w:r w:rsidRPr="00312630">
        <w:t xml:space="preserve">adding stakeholder views of the innovator pharmaceutical industry </w:t>
      </w:r>
    </w:p>
    <w:p w14:paraId="5146687F" w14:textId="1268FF60" w:rsidR="00312630" w:rsidRDefault="00312630" w:rsidP="00417497">
      <w:pPr>
        <w:pStyle w:val="ListParagraph"/>
        <w:numPr>
          <w:ilvl w:val="0"/>
          <w:numId w:val="2"/>
        </w:numPr>
        <w:spacing w:after="120"/>
        <w:ind w:left="714" w:hanging="357"/>
        <w:contextualSpacing w:val="0"/>
      </w:pPr>
      <w:r w:rsidRPr="00312630">
        <w:t xml:space="preserve">providing details on negligible implementation risks, and </w:t>
      </w:r>
    </w:p>
    <w:p w14:paraId="1B5B3AAD" w14:textId="77D6B7C9" w:rsidR="00775FE4" w:rsidRDefault="00312630" w:rsidP="00417497">
      <w:pPr>
        <w:pStyle w:val="ListParagraph"/>
        <w:numPr>
          <w:ilvl w:val="0"/>
          <w:numId w:val="2"/>
        </w:numPr>
        <w:spacing w:after="120"/>
        <w:ind w:left="714" w:hanging="357"/>
        <w:contextualSpacing w:val="0"/>
      </w:pPr>
      <w:proofErr w:type="gramStart"/>
      <w:r w:rsidRPr="00312630">
        <w:t>providing</w:t>
      </w:r>
      <w:proofErr w:type="gramEnd"/>
      <w:r w:rsidRPr="00312630">
        <w:t xml:space="preserve"> additional information on the evaluation approach and post-evaluation policy considerations. The regulatory burden to business, community organisations or individuals, in terms of savings and costs, is provided below.</w:t>
      </w:r>
    </w:p>
    <w:p w14:paraId="576AE2A4" w14:textId="77777777" w:rsidR="00312630" w:rsidRDefault="00312630" w:rsidP="00312630"/>
    <w:p w14:paraId="58C7098E" w14:textId="77777777" w:rsidR="001C2D76" w:rsidRDefault="001C2D76">
      <w:pPr>
        <w:rPr>
          <w:b/>
          <w:bCs/>
        </w:rPr>
      </w:pPr>
      <w:r>
        <w:rPr>
          <w:b/>
          <w:bCs/>
        </w:rPr>
        <w:br w:type="page"/>
      </w:r>
    </w:p>
    <w:p w14:paraId="6CC4DE3F" w14:textId="2D6D64F6" w:rsidR="00312630" w:rsidRPr="00312630" w:rsidRDefault="00312630" w:rsidP="00312630">
      <w:pPr>
        <w:jc w:val="center"/>
        <w:rPr>
          <w:b/>
          <w:bCs/>
        </w:rPr>
      </w:pPr>
      <w:r w:rsidRPr="00312630">
        <w:rPr>
          <w:b/>
          <w:bCs/>
        </w:rPr>
        <w:lastRenderedPageBreak/>
        <w:t>Regulatory Burden Estimate Table</w:t>
      </w:r>
    </w:p>
    <w:p w14:paraId="15E6CEF3" w14:textId="77777777" w:rsidR="00775FE4" w:rsidRPr="00EC4A7B" w:rsidRDefault="00775FE4" w:rsidP="00775FE4"/>
    <w:tbl>
      <w:tblPr>
        <w:tblStyle w:val="PMCTableStyle2"/>
        <w:tblW w:w="8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60" w:firstRow="1" w:lastRow="1" w:firstColumn="0" w:lastColumn="0" w:noHBand="1" w:noVBand="1"/>
      </w:tblPr>
      <w:tblGrid>
        <w:gridCol w:w="2056"/>
        <w:gridCol w:w="2057"/>
        <w:gridCol w:w="2057"/>
        <w:gridCol w:w="2057"/>
      </w:tblGrid>
      <w:tr w:rsidR="00534787" w:rsidRPr="00534787" w14:paraId="5A75EB2C" w14:textId="77777777" w:rsidTr="00534787">
        <w:trPr>
          <w:cnfStyle w:val="100000000000" w:firstRow="1" w:lastRow="0" w:firstColumn="0" w:lastColumn="0" w:oddVBand="0" w:evenVBand="0" w:oddHBand="0" w:evenHBand="0" w:firstRowFirstColumn="0" w:firstRowLastColumn="0" w:lastRowFirstColumn="0" w:lastRowLastColumn="0"/>
          <w:trHeight w:val="583"/>
          <w:jc w:val="center"/>
        </w:trPr>
        <w:tc>
          <w:tcPr>
            <w:tcW w:w="8227" w:type="dxa"/>
            <w:gridSpan w:val="4"/>
            <w:tcMar>
              <w:left w:w="57" w:type="dxa"/>
              <w:right w:w="57" w:type="dxa"/>
            </w:tcMar>
            <w:vAlign w:val="center"/>
          </w:tcPr>
          <w:p w14:paraId="4B997DA4" w14:textId="6545365E" w:rsidR="00534787" w:rsidRPr="00534787" w:rsidRDefault="00534787" w:rsidP="003C7902">
            <w:pPr>
              <w:pStyle w:val="TableNumbering"/>
              <w:numPr>
                <w:ilvl w:val="0"/>
                <w:numId w:val="0"/>
              </w:numPr>
              <w:spacing w:before="0" w:after="0"/>
              <w:jc w:val="center"/>
              <w:rPr>
                <w:rFonts w:ascii="Book Antiqua" w:hAnsi="Book Antiqua" w:cstheme="minorHAnsi"/>
                <w:color w:val="FFFFFF" w:themeColor="background1"/>
                <w:sz w:val="24"/>
                <w:szCs w:val="24"/>
              </w:rPr>
            </w:pPr>
            <w:r w:rsidRPr="00534787">
              <w:rPr>
                <w:rFonts w:ascii="Book Antiqua" w:hAnsi="Book Antiqua" w:cstheme="minorHAnsi"/>
                <w:color w:val="FFFFFF" w:themeColor="background1"/>
                <w:sz w:val="22"/>
                <w:szCs w:val="22"/>
              </w:rPr>
              <w:t>Total Regulatory Costs ($ million) 202</w:t>
            </w:r>
            <w:r w:rsidR="00FA41FC">
              <w:rPr>
                <w:rFonts w:ascii="Book Antiqua" w:hAnsi="Book Antiqua" w:cstheme="minorHAnsi"/>
                <w:color w:val="FFFFFF" w:themeColor="background1"/>
                <w:sz w:val="22"/>
                <w:szCs w:val="22"/>
              </w:rPr>
              <w:t>5</w:t>
            </w:r>
            <w:r w:rsidRPr="00534787">
              <w:rPr>
                <w:rFonts w:ascii="Book Antiqua" w:hAnsi="Book Antiqua" w:cstheme="minorHAnsi"/>
                <w:color w:val="FFFFFF" w:themeColor="background1"/>
                <w:sz w:val="22"/>
                <w:szCs w:val="22"/>
              </w:rPr>
              <w:t>-2</w:t>
            </w:r>
            <w:r w:rsidR="00FA41FC">
              <w:rPr>
                <w:rFonts w:ascii="Book Antiqua" w:hAnsi="Book Antiqua" w:cstheme="minorHAnsi"/>
                <w:color w:val="FFFFFF" w:themeColor="background1"/>
                <w:sz w:val="22"/>
                <w:szCs w:val="22"/>
              </w:rPr>
              <w:t>6</w:t>
            </w:r>
            <w:r w:rsidRPr="00534787">
              <w:rPr>
                <w:rFonts w:ascii="Book Antiqua" w:hAnsi="Book Antiqua" w:cstheme="minorHAnsi"/>
                <w:color w:val="FFFFFF" w:themeColor="background1"/>
                <w:sz w:val="22"/>
                <w:szCs w:val="22"/>
              </w:rPr>
              <w:t xml:space="preserve"> to 20</w:t>
            </w:r>
            <w:r w:rsidR="00FA41FC">
              <w:rPr>
                <w:rFonts w:ascii="Book Antiqua" w:hAnsi="Book Antiqua" w:cstheme="minorHAnsi"/>
                <w:color w:val="FFFFFF" w:themeColor="background1"/>
                <w:sz w:val="22"/>
                <w:szCs w:val="22"/>
              </w:rPr>
              <w:t>34</w:t>
            </w:r>
            <w:r w:rsidRPr="00534787">
              <w:rPr>
                <w:rFonts w:ascii="Book Antiqua" w:hAnsi="Book Antiqua" w:cstheme="minorHAnsi"/>
                <w:color w:val="FFFFFF" w:themeColor="background1"/>
                <w:sz w:val="22"/>
                <w:szCs w:val="22"/>
              </w:rPr>
              <w:t>-</w:t>
            </w:r>
            <w:r w:rsidR="00FA41FC">
              <w:rPr>
                <w:rFonts w:ascii="Book Antiqua" w:hAnsi="Book Antiqua" w:cstheme="minorHAnsi"/>
                <w:color w:val="FFFFFF" w:themeColor="background1"/>
                <w:sz w:val="22"/>
                <w:szCs w:val="22"/>
              </w:rPr>
              <w:t>35</w:t>
            </w:r>
          </w:p>
        </w:tc>
      </w:tr>
      <w:tr w:rsidR="00534787" w:rsidRPr="00534787" w14:paraId="456C8235" w14:textId="77777777" w:rsidTr="00534787">
        <w:trPr>
          <w:trHeight w:val="583"/>
          <w:jc w:val="center"/>
        </w:trPr>
        <w:tc>
          <w:tcPr>
            <w:tcW w:w="2056" w:type="dxa"/>
            <w:shd w:val="clear" w:color="auto" w:fill="C6D9F1" w:themeFill="text2" w:themeFillTint="33"/>
            <w:tcMar>
              <w:left w:w="57" w:type="dxa"/>
              <w:right w:w="57" w:type="dxa"/>
            </w:tcMar>
            <w:vAlign w:val="center"/>
          </w:tcPr>
          <w:p w14:paraId="3391017D" w14:textId="77777777" w:rsidR="00534787" w:rsidRPr="00534787" w:rsidRDefault="00534787" w:rsidP="003C7902">
            <w:pPr>
              <w:pStyle w:val="TableBody"/>
              <w:spacing w:before="0" w:after="0"/>
              <w:jc w:val="center"/>
              <w:rPr>
                <w:rFonts w:ascii="Book Antiqua" w:hAnsi="Book Antiqua" w:cstheme="minorHAnsi"/>
                <w:b/>
                <w:sz w:val="20"/>
              </w:rPr>
            </w:pPr>
            <w:r w:rsidRPr="00534787">
              <w:rPr>
                <w:rFonts w:ascii="Book Antiqua" w:hAnsi="Book Antiqua" w:cstheme="minorHAnsi"/>
                <w:sz w:val="20"/>
              </w:rPr>
              <w:t>Individuals</w:t>
            </w:r>
          </w:p>
        </w:tc>
        <w:tc>
          <w:tcPr>
            <w:tcW w:w="2057" w:type="dxa"/>
            <w:shd w:val="clear" w:color="auto" w:fill="C6D9F1" w:themeFill="text2" w:themeFillTint="33"/>
            <w:tcMar>
              <w:left w:w="57" w:type="dxa"/>
              <w:right w:w="57" w:type="dxa"/>
            </w:tcMar>
            <w:vAlign w:val="center"/>
          </w:tcPr>
          <w:p w14:paraId="5CF2DEC4" w14:textId="77777777" w:rsidR="00534787" w:rsidRPr="00534787" w:rsidRDefault="00534787" w:rsidP="003C7902">
            <w:pPr>
              <w:pStyle w:val="TableBody"/>
              <w:spacing w:before="0" w:after="0"/>
              <w:jc w:val="center"/>
              <w:rPr>
                <w:rFonts w:ascii="Book Antiqua" w:hAnsi="Book Antiqua" w:cstheme="minorHAnsi"/>
                <w:b/>
                <w:sz w:val="20"/>
              </w:rPr>
            </w:pPr>
            <w:r w:rsidRPr="00534787">
              <w:rPr>
                <w:rFonts w:ascii="Book Antiqua" w:hAnsi="Book Antiqua" w:cstheme="minorHAnsi"/>
                <w:sz w:val="20"/>
              </w:rPr>
              <w:t>Business</w:t>
            </w:r>
          </w:p>
        </w:tc>
        <w:tc>
          <w:tcPr>
            <w:tcW w:w="2057" w:type="dxa"/>
            <w:shd w:val="clear" w:color="auto" w:fill="C6D9F1" w:themeFill="text2" w:themeFillTint="33"/>
          </w:tcPr>
          <w:p w14:paraId="6C58F48B" w14:textId="77777777" w:rsidR="00534787" w:rsidRPr="00534787" w:rsidRDefault="00534787" w:rsidP="003C7902">
            <w:pPr>
              <w:pStyle w:val="TableNumbering"/>
              <w:numPr>
                <w:ilvl w:val="0"/>
                <w:numId w:val="0"/>
              </w:numPr>
              <w:spacing w:before="0" w:after="0"/>
              <w:jc w:val="center"/>
              <w:rPr>
                <w:rFonts w:ascii="Book Antiqua" w:hAnsi="Book Antiqua" w:cstheme="minorHAnsi"/>
                <w:b/>
                <w:sz w:val="20"/>
              </w:rPr>
            </w:pPr>
            <w:r w:rsidRPr="00534787">
              <w:rPr>
                <w:rFonts w:ascii="Book Antiqua" w:hAnsi="Book Antiqua" w:cstheme="minorHAnsi"/>
                <w:sz w:val="20"/>
              </w:rPr>
              <w:t>Community organisations</w:t>
            </w:r>
          </w:p>
        </w:tc>
        <w:tc>
          <w:tcPr>
            <w:tcW w:w="2057" w:type="dxa"/>
            <w:shd w:val="clear" w:color="auto" w:fill="C6D9F1" w:themeFill="text2" w:themeFillTint="33"/>
            <w:tcMar>
              <w:left w:w="57" w:type="dxa"/>
              <w:right w:w="57" w:type="dxa"/>
            </w:tcMar>
            <w:vAlign w:val="center"/>
          </w:tcPr>
          <w:p w14:paraId="2BAA758E" w14:textId="77777777" w:rsidR="00534787" w:rsidRPr="00534787" w:rsidRDefault="00534787" w:rsidP="003C7902">
            <w:pPr>
              <w:pStyle w:val="TableNumbering"/>
              <w:numPr>
                <w:ilvl w:val="0"/>
                <w:numId w:val="0"/>
              </w:numPr>
              <w:spacing w:before="0" w:after="0"/>
              <w:jc w:val="center"/>
              <w:rPr>
                <w:rFonts w:ascii="Book Antiqua" w:hAnsi="Book Antiqua" w:cstheme="minorHAnsi"/>
                <w:b/>
                <w:sz w:val="20"/>
              </w:rPr>
            </w:pPr>
            <w:r w:rsidRPr="00534787">
              <w:rPr>
                <w:rFonts w:ascii="Book Antiqua" w:hAnsi="Book Antiqua" w:cstheme="minorHAnsi"/>
                <w:sz w:val="20"/>
              </w:rPr>
              <w:t>Total change in cost</w:t>
            </w:r>
          </w:p>
        </w:tc>
      </w:tr>
      <w:tr w:rsidR="00534787" w:rsidRPr="00534787" w14:paraId="24487351" w14:textId="77777777" w:rsidTr="00534787">
        <w:trPr>
          <w:cnfStyle w:val="010000000000" w:firstRow="0" w:lastRow="1" w:firstColumn="0" w:lastColumn="0" w:oddVBand="0" w:evenVBand="0" w:oddHBand="0" w:evenHBand="0" w:firstRowFirstColumn="0" w:firstRowLastColumn="0" w:lastRowFirstColumn="0" w:lastRowLastColumn="0"/>
          <w:trHeight w:val="350"/>
          <w:jc w:val="center"/>
        </w:trPr>
        <w:tc>
          <w:tcPr>
            <w:tcW w:w="2056" w:type="dxa"/>
            <w:shd w:val="clear" w:color="auto" w:fill="auto"/>
            <w:tcMar>
              <w:left w:w="57" w:type="dxa"/>
              <w:right w:w="57" w:type="dxa"/>
            </w:tcMar>
            <w:vAlign w:val="center"/>
          </w:tcPr>
          <w:p w14:paraId="061B2541" w14:textId="77777777" w:rsidR="00534787" w:rsidRPr="00534787" w:rsidRDefault="00534787" w:rsidP="003C7902">
            <w:pPr>
              <w:spacing w:before="0" w:after="0"/>
              <w:jc w:val="center"/>
              <w:rPr>
                <w:rFonts w:cstheme="minorHAnsi"/>
                <w:color w:val="auto"/>
                <w:sz w:val="20"/>
                <w:szCs w:val="20"/>
              </w:rPr>
            </w:pPr>
            <w:r w:rsidRPr="00534787">
              <w:rPr>
                <w:rFonts w:cstheme="minorHAnsi"/>
                <w:color w:val="auto"/>
                <w:sz w:val="20"/>
                <w:szCs w:val="20"/>
              </w:rPr>
              <w:t>$2,206.0</w:t>
            </w:r>
          </w:p>
          <w:p w14:paraId="5A70D5E0" w14:textId="77777777" w:rsidR="00534787" w:rsidRPr="00534787" w:rsidRDefault="00534787" w:rsidP="003C7902">
            <w:pPr>
              <w:spacing w:before="0" w:after="0"/>
              <w:jc w:val="center"/>
              <w:rPr>
                <w:rFonts w:cstheme="minorHAnsi"/>
                <w:color w:val="auto"/>
                <w:sz w:val="20"/>
                <w:szCs w:val="20"/>
              </w:rPr>
            </w:pPr>
            <w:r w:rsidRPr="00534787">
              <w:rPr>
                <w:rFonts w:cstheme="minorHAnsi"/>
                <w:color w:val="auto"/>
                <w:sz w:val="20"/>
                <w:szCs w:val="20"/>
              </w:rPr>
              <w:t>(save)</w:t>
            </w:r>
          </w:p>
        </w:tc>
        <w:tc>
          <w:tcPr>
            <w:tcW w:w="2057" w:type="dxa"/>
            <w:shd w:val="clear" w:color="auto" w:fill="auto"/>
            <w:tcMar>
              <w:left w:w="57" w:type="dxa"/>
              <w:right w:w="57" w:type="dxa"/>
            </w:tcMar>
            <w:vAlign w:val="center"/>
          </w:tcPr>
          <w:p w14:paraId="35C9D31C" w14:textId="77777777" w:rsidR="00534787" w:rsidRPr="00534787" w:rsidRDefault="00534787" w:rsidP="003C7902">
            <w:pPr>
              <w:spacing w:before="0" w:after="0"/>
              <w:jc w:val="center"/>
              <w:rPr>
                <w:rFonts w:cstheme="minorHAnsi"/>
                <w:sz w:val="20"/>
                <w:szCs w:val="20"/>
              </w:rPr>
            </w:pPr>
            <w:r w:rsidRPr="00534787">
              <w:rPr>
                <w:rFonts w:cstheme="minorHAnsi"/>
                <w:sz w:val="20"/>
                <w:szCs w:val="20"/>
              </w:rPr>
              <w:t>$285.1</w:t>
            </w:r>
          </w:p>
          <w:p w14:paraId="1AB49FC2" w14:textId="77777777" w:rsidR="00534787" w:rsidRPr="00534787" w:rsidRDefault="00534787" w:rsidP="003C7902">
            <w:pPr>
              <w:spacing w:before="0" w:after="0"/>
              <w:jc w:val="center"/>
              <w:rPr>
                <w:rFonts w:cstheme="minorHAnsi"/>
                <w:sz w:val="20"/>
                <w:szCs w:val="20"/>
              </w:rPr>
            </w:pPr>
            <w:r w:rsidRPr="00534787">
              <w:rPr>
                <w:rFonts w:cstheme="minorHAnsi"/>
                <w:sz w:val="20"/>
                <w:szCs w:val="20"/>
              </w:rPr>
              <w:t>(cost)</w:t>
            </w:r>
          </w:p>
        </w:tc>
        <w:tc>
          <w:tcPr>
            <w:tcW w:w="2057" w:type="dxa"/>
            <w:shd w:val="clear" w:color="auto" w:fill="auto"/>
            <w:vAlign w:val="center"/>
          </w:tcPr>
          <w:p w14:paraId="1E618D00" w14:textId="77777777" w:rsidR="00534787" w:rsidRPr="00534787" w:rsidRDefault="00534787" w:rsidP="003C7902">
            <w:pPr>
              <w:pStyle w:val="TableNumbering"/>
              <w:numPr>
                <w:ilvl w:val="0"/>
                <w:numId w:val="0"/>
              </w:numPr>
              <w:spacing w:before="0" w:after="0"/>
              <w:ind w:left="284" w:hanging="284"/>
              <w:jc w:val="center"/>
              <w:rPr>
                <w:rFonts w:ascii="Book Antiqua" w:hAnsi="Book Antiqua" w:cstheme="minorHAnsi"/>
                <w:color w:val="auto"/>
                <w:sz w:val="20"/>
              </w:rPr>
            </w:pPr>
            <w:r w:rsidRPr="00534787">
              <w:rPr>
                <w:rFonts w:ascii="Book Antiqua" w:hAnsi="Book Antiqua" w:cstheme="minorHAnsi"/>
                <w:color w:val="auto"/>
                <w:sz w:val="20"/>
              </w:rPr>
              <w:t>$0</w:t>
            </w:r>
          </w:p>
        </w:tc>
        <w:tc>
          <w:tcPr>
            <w:tcW w:w="2057" w:type="dxa"/>
            <w:shd w:val="clear" w:color="auto" w:fill="auto"/>
            <w:tcMar>
              <w:left w:w="57" w:type="dxa"/>
              <w:right w:w="57" w:type="dxa"/>
            </w:tcMar>
            <w:vAlign w:val="center"/>
          </w:tcPr>
          <w:p w14:paraId="1F6B0355" w14:textId="77777777" w:rsidR="00534787" w:rsidRPr="00534787" w:rsidRDefault="00534787" w:rsidP="003C7902">
            <w:pPr>
              <w:pStyle w:val="TableNumbering"/>
              <w:numPr>
                <w:ilvl w:val="0"/>
                <w:numId w:val="0"/>
              </w:numPr>
              <w:spacing w:before="0" w:after="0"/>
              <w:ind w:left="284" w:hanging="284"/>
              <w:jc w:val="center"/>
              <w:rPr>
                <w:rFonts w:ascii="Book Antiqua" w:hAnsi="Book Antiqua" w:cstheme="minorHAnsi"/>
                <w:color w:val="auto"/>
                <w:sz w:val="20"/>
              </w:rPr>
            </w:pPr>
            <w:r w:rsidRPr="00534787">
              <w:rPr>
                <w:rFonts w:ascii="Book Antiqua" w:hAnsi="Book Antiqua" w:cstheme="minorHAnsi"/>
                <w:color w:val="auto"/>
                <w:sz w:val="20"/>
              </w:rPr>
              <w:t>$1,1920.9</w:t>
            </w:r>
          </w:p>
          <w:p w14:paraId="676B8E8C" w14:textId="77777777" w:rsidR="00534787" w:rsidRPr="00534787" w:rsidRDefault="00534787" w:rsidP="003C7902">
            <w:pPr>
              <w:pStyle w:val="TableNumbering"/>
              <w:numPr>
                <w:ilvl w:val="0"/>
                <w:numId w:val="0"/>
              </w:numPr>
              <w:spacing w:before="0" w:after="0"/>
              <w:ind w:left="284" w:hanging="284"/>
              <w:jc w:val="center"/>
              <w:rPr>
                <w:rFonts w:ascii="Book Antiqua" w:hAnsi="Book Antiqua" w:cstheme="minorHAnsi"/>
                <w:color w:val="auto"/>
                <w:sz w:val="20"/>
              </w:rPr>
            </w:pPr>
            <w:r w:rsidRPr="00534787">
              <w:rPr>
                <w:rFonts w:ascii="Book Antiqua" w:hAnsi="Book Antiqua" w:cstheme="minorHAnsi"/>
                <w:color w:val="auto"/>
                <w:sz w:val="20"/>
              </w:rPr>
              <w:t>(save)</w:t>
            </w:r>
          </w:p>
        </w:tc>
      </w:tr>
    </w:tbl>
    <w:p w14:paraId="529DFA6C" w14:textId="77777777" w:rsidR="00775FE4" w:rsidRPr="00EC4A7B" w:rsidRDefault="00775FE4" w:rsidP="00775FE4"/>
    <w:p w14:paraId="13052310" w14:textId="77777777" w:rsidR="00661BDB" w:rsidRDefault="00661BDB" w:rsidP="00775FE4">
      <w:r w:rsidRPr="00661BDB">
        <w:t xml:space="preserve">Accordingly, I am satisfied that the IA is consistent with the six principles for Australian Government policy makers as specified in the </w:t>
      </w:r>
      <w:r w:rsidRPr="00661BDB">
        <w:rPr>
          <w:i/>
          <w:iCs/>
        </w:rPr>
        <w:t>Australian Government Guide to Policy Impact Analysis</w:t>
      </w:r>
      <w:r w:rsidRPr="00661BDB">
        <w:t xml:space="preserve">. </w:t>
      </w:r>
    </w:p>
    <w:p w14:paraId="032C83F0" w14:textId="77777777" w:rsidR="00661BDB" w:rsidRDefault="00661BDB" w:rsidP="00775FE4"/>
    <w:p w14:paraId="03720D6B" w14:textId="77777777" w:rsidR="00661BDB" w:rsidRDefault="00661BDB" w:rsidP="00661BDB">
      <w:r w:rsidRPr="00661BDB">
        <w:t xml:space="preserve">I submit the IA to the Office of Impact Analysis for formal final assessment. </w:t>
      </w:r>
    </w:p>
    <w:p w14:paraId="66F240BA" w14:textId="77777777" w:rsidR="00661BDB" w:rsidRDefault="00661BDB" w:rsidP="00661BDB"/>
    <w:p w14:paraId="7563D67B" w14:textId="5155E2FF" w:rsidR="00775FE4" w:rsidRPr="00EC4A7B" w:rsidRDefault="00775FE4" w:rsidP="00661BDB">
      <w:r w:rsidRPr="00EC4A7B">
        <w:t>Yours sincerely</w:t>
      </w:r>
    </w:p>
    <w:p w14:paraId="1228167D" w14:textId="77777777" w:rsidR="006E7D7A" w:rsidRPr="00EC4A7B" w:rsidRDefault="006E7D7A" w:rsidP="006E7D7A">
      <w:pPr>
        <w:pStyle w:val="NoSpacing"/>
        <w:rPr>
          <w:rFonts w:ascii="Book Antiqua" w:hAnsi="Book Antiqua"/>
        </w:rPr>
      </w:pPr>
    </w:p>
    <w:p w14:paraId="26F36731" w14:textId="77777777" w:rsidR="006E7D7A" w:rsidRPr="00EC4A7B" w:rsidRDefault="006E7D7A" w:rsidP="006E7D7A">
      <w:pPr>
        <w:pStyle w:val="NoSpacing"/>
        <w:rPr>
          <w:rFonts w:ascii="Book Antiqua" w:hAnsi="Book Antiqua"/>
        </w:rPr>
      </w:pPr>
    </w:p>
    <w:p w14:paraId="62CA9BF7" w14:textId="77777777" w:rsidR="006E7D7A" w:rsidRPr="00EC4A7B" w:rsidRDefault="006E7D7A" w:rsidP="006E7D7A">
      <w:pPr>
        <w:pStyle w:val="NoSpacing"/>
        <w:rPr>
          <w:rFonts w:ascii="Book Antiqua" w:hAnsi="Book Antiqua"/>
        </w:rPr>
      </w:pPr>
    </w:p>
    <w:p w14:paraId="11CE326B" w14:textId="77777777" w:rsidR="006E7D7A" w:rsidRPr="00EC4A7B" w:rsidRDefault="006E7D7A" w:rsidP="006E7D7A">
      <w:pPr>
        <w:pStyle w:val="NoSpacing"/>
        <w:rPr>
          <w:rFonts w:ascii="Book Antiqua" w:hAnsi="Book Antiqua"/>
        </w:rPr>
      </w:pPr>
    </w:p>
    <w:p w14:paraId="335C4784" w14:textId="77777777" w:rsidR="00312630" w:rsidRDefault="00312630" w:rsidP="00676983">
      <w:bookmarkStart w:id="2" w:name="Signature"/>
      <w:bookmarkEnd w:id="2"/>
      <w:r>
        <w:t>Penny Shakespeare</w:t>
      </w:r>
    </w:p>
    <w:p w14:paraId="3BFF98FB" w14:textId="799BD1E0" w:rsidR="006E7D7A" w:rsidRPr="00EC4A7B" w:rsidRDefault="00312630" w:rsidP="00417497">
      <w:r>
        <w:t>Health Resourcing Group</w:t>
      </w:r>
      <w:r w:rsidR="00417497">
        <w:br/>
      </w:r>
      <w:r w:rsidR="00661BDB">
        <w:t>1</w:t>
      </w:r>
      <w:r w:rsidR="006C5BD6">
        <w:t>1</w:t>
      </w:r>
      <w:r w:rsidR="002A75B5">
        <w:t xml:space="preserve"> July 2025</w:t>
      </w:r>
    </w:p>
    <w:sectPr w:rsidR="006E7D7A" w:rsidRPr="00EC4A7B" w:rsidSect="00312630">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B8E12" w14:textId="77777777" w:rsidR="00AE6C10" w:rsidRDefault="00AE6C10">
      <w:r>
        <w:separator/>
      </w:r>
    </w:p>
  </w:endnote>
  <w:endnote w:type="continuationSeparator" w:id="0">
    <w:p w14:paraId="4FD49F2F" w14:textId="77777777" w:rsidR="00AE6C10" w:rsidRDefault="00AE6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B52A5" w14:textId="635EBFDB" w:rsidR="00312630" w:rsidRDefault="00312630">
    <w:pPr>
      <w:pStyle w:val="Footer"/>
    </w:pPr>
    <w:r>
      <w:rPr>
        <w:noProof/>
      </w:rPr>
      <mc:AlternateContent>
        <mc:Choice Requires="wps">
          <w:drawing>
            <wp:anchor distT="0" distB="0" distL="0" distR="0" simplePos="0" relativeHeight="251662336" behindDoc="0" locked="0" layoutInCell="1" allowOverlap="1" wp14:anchorId="44F315BE" wp14:editId="1B9D5A2F">
              <wp:simplePos x="635" y="635"/>
              <wp:positionH relativeFrom="page">
                <wp:align>center</wp:align>
              </wp:positionH>
              <wp:positionV relativeFrom="page">
                <wp:align>bottom</wp:align>
              </wp:positionV>
              <wp:extent cx="735330" cy="376555"/>
              <wp:effectExtent l="0" t="0" r="7620" b="0"/>
              <wp:wrapNone/>
              <wp:docPr id="1112465925" name="Text Box 5" descr="PROTECTED">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35330" cy="376555"/>
                      </a:xfrm>
                      <a:prstGeom prst="rect">
                        <a:avLst/>
                      </a:prstGeom>
                      <a:noFill/>
                      <a:ln>
                        <a:noFill/>
                      </a:ln>
                    </wps:spPr>
                    <wps:txbx>
                      <w:txbxContent>
                        <w:p w14:paraId="7B74E776" w14:textId="4EE08C22" w:rsidR="00312630" w:rsidRPr="00312630" w:rsidRDefault="00312630" w:rsidP="00312630">
                          <w:pPr>
                            <w:rPr>
                              <w:rFonts w:ascii="Calibri" w:eastAsia="Calibri" w:hAnsi="Calibri" w:cs="Calibri"/>
                              <w:noProof/>
                              <w:color w:val="FF0000"/>
                            </w:rPr>
                          </w:pPr>
                          <w:r w:rsidRPr="00312630">
                            <w:rPr>
                              <w:rFonts w:ascii="Calibri" w:eastAsia="Calibri" w:hAnsi="Calibri" w:cs="Calibri"/>
                              <w:noProof/>
                              <w:color w:val="FF0000"/>
                            </w:rPr>
                            <w:t>PROTECTED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F315BE" id="_x0000_t202" coordsize="21600,21600" o:spt="202" path="m,l,21600r21600,l21600,xe">
              <v:stroke joinstyle="miter"/>
              <v:path gradientshapeok="t" o:connecttype="rect"/>
            </v:shapetype>
            <v:shape id="Text Box 5" o:spid="_x0000_s1027" type="#_x0000_t202" alt="PROTECTED" style="position:absolute;margin-left:0;margin-top:0;width:57.9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" filled="f" stroked="f">
              <v:textbox style="mso-fit-shape-to-text:t" inset="0,0,0,15pt">
                <w:txbxContent>
                  <w:p w14:paraId="7B74E776" w14:textId="4EE08C22" w:rsidR="00312630" w:rsidRPr="00312630" w:rsidRDefault="00312630" w:rsidP="00312630">
                    <w:pPr>
                      <w:rPr>
                        <w:rFonts w:ascii="Calibri" w:eastAsia="Calibri" w:hAnsi="Calibri" w:cs="Calibri"/>
                        <w:noProof/>
                        <w:color w:val="FF0000"/>
                      </w:rPr>
                    </w:pPr>
                    <w:r w:rsidRPr="00312630">
                      <w:rPr>
                        <w:rFonts w:ascii="Calibri" w:eastAsia="Calibri" w:hAnsi="Calibri" w:cs="Calibri"/>
                        <w:noProof/>
                        <w:color w:val="FF0000"/>
                      </w:rPr>
                      <w:t>PROTECTED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F53DC" w14:textId="77777777" w:rsidR="006A11D6" w:rsidRDefault="006A11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6D3C5" w14:textId="1E1C6580" w:rsidR="00D912DB" w:rsidRDefault="00D912DB" w:rsidP="0089317D">
    <w:pPr>
      <w:pStyle w:val="Footer"/>
      <w:jc w:val="center"/>
      <w:rPr>
        <w:noProof/>
        <w:position w:val="4"/>
        <w:sz w:val="18"/>
      </w:rPr>
    </w:pPr>
  </w:p>
  <w:p w14:paraId="6946F7CB" w14:textId="6C017C2C" w:rsidR="00D912DB" w:rsidRDefault="00312630" w:rsidP="004557B9">
    <w:pPr>
      <w:pStyle w:val="Footer"/>
      <w:spacing w:line="360" w:lineRule="auto"/>
      <w:jc w:val="center"/>
      <w:rPr>
        <w:rFonts w:ascii="Arial" w:hAnsi="Arial" w:cs="Arial"/>
        <w:b/>
        <w:sz w:val="14"/>
        <w:szCs w:val="14"/>
      </w:rPr>
    </w:pPr>
    <w:r>
      <w:rPr>
        <w:rFonts w:ascii="Arial" w:hAnsi="Arial" w:cs="Arial"/>
        <w:b/>
        <w:sz w:val="14"/>
        <w:szCs w:val="14"/>
      </w:rPr>
      <w:t>Phone:</w:t>
    </w:r>
    <w:r w:rsidR="00112C73">
      <w:rPr>
        <w:rFonts w:ascii="Arial" w:hAnsi="Arial" w:cs="Arial"/>
        <w:sz w:val="14"/>
        <w:szCs w:val="14"/>
      </w:rPr>
      <w:t xml:space="preserve"> </w:t>
    </w:r>
    <w:r>
      <w:rPr>
        <w:rFonts w:ascii="Arial" w:hAnsi="Arial" w:cs="Arial"/>
        <w:sz w:val="14"/>
        <w:szCs w:val="14"/>
      </w:rPr>
      <w:t>(02) 6289 3348</w:t>
    </w:r>
    <w:r w:rsidR="00DB0AD2">
      <w:rPr>
        <w:rFonts w:ascii="Arial" w:hAnsi="Arial" w:cs="Arial"/>
        <w:sz w:val="14"/>
        <w:szCs w:val="14"/>
      </w:rPr>
      <w:t xml:space="preserve">  </w:t>
    </w:r>
    <w:r w:rsidR="00112C73">
      <w:rPr>
        <w:rFonts w:ascii="Arial" w:hAnsi="Arial" w:cs="Arial"/>
        <w:sz w:val="14"/>
        <w:szCs w:val="14"/>
      </w:rPr>
      <w:t xml:space="preserve"> </w:t>
    </w:r>
    <w:r>
      <w:rPr>
        <w:rFonts w:ascii="Arial" w:hAnsi="Arial" w:cs="Arial"/>
        <w:b/>
        <w:sz w:val="14"/>
        <w:szCs w:val="14"/>
      </w:rPr>
      <w:t>Email:</w:t>
    </w:r>
    <w:r w:rsidR="00DD5414">
      <w:rPr>
        <w:rFonts w:ascii="Arial" w:hAnsi="Arial" w:cs="Arial"/>
        <w:sz w:val="14"/>
        <w:szCs w:val="14"/>
      </w:rPr>
      <w:t xml:space="preserve"> </w:t>
    </w:r>
    <w:r>
      <w:rPr>
        <w:rFonts w:ascii="Arial" w:hAnsi="Arial" w:cs="Arial"/>
        <w:sz w:val="14"/>
        <w:szCs w:val="14"/>
      </w:rPr>
      <w:t>Penny.Shakespeare@health.gov.au</w:t>
    </w:r>
    <w:r w:rsidR="00DD5414">
      <w:rPr>
        <w:rFonts w:ascii="Arial" w:hAnsi="Arial" w:cs="Arial"/>
        <w:sz w:val="14"/>
        <w:szCs w:val="14"/>
      </w:rPr>
      <w:br/>
    </w:r>
    <w:proofErr w:type="spellStart"/>
    <w:r>
      <w:rPr>
        <w:rFonts w:ascii="Arial" w:hAnsi="Arial" w:cs="Arial"/>
        <w:sz w:val="14"/>
        <w:szCs w:val="14"/>
      </w:rPr>
      <w:t>Yaradhang</w:t>
    </w:r>
    <w:proofErr w:type="spellEnd"/>
    <w:r>
      <w:rPr>
        <w:rFonts w:ascii="Arial" w:hAnsi="Arial" w:cs="Arial"/>
        <w:sz w:val="14"/>
        <w:szCs w:val="14"/>
      </w:rPr>
      <w:t xml:space="preserve"> Building, 23 </w:t>
    </w:r>
    <w:proofErr w:type="spellStart"/>
    <w:r>
      <w:rPr>
        <w:rFonts w:ascii="Arial" w:hAnsi="Arial" w:cs="Arial"/>
        <w:sz w:val="14"/>
        <w:szCs w:val="14"/>
      </w:rPr>
      <w:t>Furzer</w:t>
    </w:r>
    <w:proofErr w:type="spellEnd"/>
    <w:r>
      <w:rPr>
        <w:rFonts w:ascii="Arial" w:hAnsi="Arial" w:cs="Arial"/>
        <w:sz w:val="14"/>
        <w:szCs w:val="14"/>
      </w:rPr>
      <w:t xml:space="preserve"> Street, Woden ACT 2606 - GPO Box 9848 Canberra ACT 2601</w:t>
    </w:r>
    <w:r w:rsidR="00DD5414">
      <w:rPr>
        <w:rFonts w:ascii="Arial" w:hAnsi="Arial" w:cs="Arial"/>
        <w:sz w:val="14"/>
        <w:szCs w:val="14"/>
      </w:rPr>
      <w:t xml:space="preserve"> </w:t>
    </w:r>
    <w:r>
      <w:rPr>
        <w:rFonts w:ascii="Arial" w:hAnsi="Arial" w:cs="Arial"/>
        <w:b/>
        <w:sz w:val="14"/>
        <w:szCs w:val="14"/>
      </w:rPr>
      <w:t xml:space="preserve">- </w:t>
    </w:r>
    <w:hyperlink r:id="rId1" w:history="1">
      <w:r w:rsidR="00417497" w:rsidRPr="0067533F">
        <w:rPr>
          <w:rStyle w:val="Hyperlink"/>
          <w:rFonts w:ascii="Arial" w:hAnsi="Arial" w:cs="Arial"/>
          <w:b/>
          <w:sz w:val="14"/>
          <w:szCs w:val="14"/>
        </w:rPr>
        <w:t>www.health.gov.au</w:t>
      </w:r>
    </w:hyperlink>
  </w:p>
  <w:p w14:paraId="6F309B16" w14:textId="77777777" w:rsidR="00417497" w:rsidRPr="00CF3477" w:rsidRDefault="00417497" w:rsidP="004557B9">
    <w:pPr>
      <w:pStyle w:val="Footer"/>
      <w:spacing w:line="360" w:lineRule="auto"/>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58711" w14:textId="77777777" w:rsidR="00AE6C10" w:rsidRDefault="00AE6C10">
      <w:r>
        <w:separator/>
      </w:r>
    </w:p>
  </w:footnote>
  <w:footnote w:type="continuationSeparator" w:id="0">
    <w:p w14:paraId="37E5975A" w14:textId="77777777" w:rsidR="00AE6C10" w:rsidRDefault="00AE6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6BC66" w14:textId="64BB8B9F" w:rsidR="00312630" w:rsidRDefault="00312630">
    <w:pPr>
      <w:pStyle w:val="Header"/>
    </w:pPr>
    <w:r>
      <w:rPr>
        <w:noProof/>
      </w:rPr>
      <mc:AlternateContent>
        <mc:Choice Requires="wps">
          <w:drawing>
            <wp:anchor distT="0" distB="0" distL="0" distR="0" simplePos="0" relativeHeight="251659264" behindDoc="0" locked="0" layoutInCell="1" allowOverlap="1" wp14:anchorId="09E83299" wp14:editId="6915D765">
              <wp:simplePos x="635" y="635"/>
              <wp:positionH relativeFrom="page">
                <wp:align>center</wp:align>
              </wp:positionH>
              <wp:positionV relativeFrom="page">
                <wp:align>top</wp:align>
              </wp:positionV>
              <wp:extent cx="735330" cy="376555"/>
              <wp:effectExtent l="0" t="0" r="7620" b="4445"/>
              <wp:wrapNone/>
              <wp:docPr id="1223922921" name="Text Box 2" descr="PROTECTED">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35330" cy="376555"/>
                      </a:xfrm>
                      <a:prstGeom prst="rect">
                        <a:avLst/>
                      </a:prstGeom>
                      <a:noFill/>
                      <a:ln>
                        <a:noFill/>
                      </a:ln>
                    </wps:spPr>
                    <wps:txbx>
                      <w:txbxContent>
                        <w:p w14:paraId="6D557AD4" w14:textId="0355FBF3" w:rsidR="00312630" w:rsidRPr="00312630" w:rsidRDefault="00312630" w:rsidP="00312630">
                          <w:pPr>
                            <w:rPr>
                              <w:rFonts w:ascii="Calibri" w:eastAsia="Calibri" w:hAnsi="Calibri" w:cs="Calibri"/>
                              <w:noProof/>
                              <w:color w:val="FF0000"/>
                            </w:rPr>
                          </w:pPr>
                          <w:r w:rsidRPr="00312630">
                            <w:rPr>
                              <w:rFonts w:ascii="Calibri" w:eastAsia="Calibri" w:hAnsi="Calibri" w:cs="Calibri"/>
                              <w:noProof/>
                              <w:color w:val="FF0000"/>
                            </w:rPr>
                            <w:t>PROTECTED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E83299" id="_x0000_t202" coordsize="21600,21600" o:spt="202" path="m,l,21600r21600,l21600,xe">
              <v:stroke joinstyle="miter"/>
              <v:path gradientshapeok="t" o:connecttype="rect"/>
            </v:shapetype>
            <v:shape id="Text Box 2" o:spid="_x0000_s1026" type="#_x0000_t202" alt="PROTECTED" style="position:absolute;margin-left:0;margin-top:0;width:57.9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" filled="f" stroked="f">
              <v:textbox style="mso-fit-shape-to-text:t" inset="0,15pt,0,0">
                <w:txbxContent>
                  <w:p w14:paraId="6D557AD4" w14:textId="0355FBF3" w:rsidR="00312630" w:rsidRPr="00312630" w:rsidRDefault="00312630" w:rsidP="00312630">
                    <w:pPr>
                      <w:rPr>
                        <w:rFonts w:ascii="Calibri" w:eastAsia="Calibri" w:hAnsi="Calibri" w:cs="Calibri"/>
                        <w:noProof/>
                        <w:color w:val="FF0000"/>
                      </w:rPr>
                    </w:pPr>
                    <w:r w:rsidRPr="00312630">
                      <w:rPr>
                        <w:rFonts w:ascii="Calibri" w:eastAsia="Calibri" w:hAnsi="Calibri" w:cs="Calibri"/>
                        <w:noProof/>
                        <w:color w:val="FF000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5950F" w14:textId="77777777" w:rsidR="00417497" w:rsidRDefault="00417497">
    <w:pPr>
      <w:pStyle w:val="Header"/>
      <w:jc w:val="center"/>
      <w:rPr>
        <w:sz w:val="20"/>
        <w:szCs w:val="20"/>
      </w:rPr>
    </w:pPr>
  </w:p>
  <w:p w14:paraId="59E283C3" w14:textId="034727B4" w:rsidR="00D912DB" w:rsidRDefault="00D912DB">
    <w:pPr>
      <w:pStyle w:val="Header"/>
      <w:jc w:val="center"/>
      <w:rPr>
        <w:sz w:val="20"/>
        <w:szCs w:val="20"/>
      </w:rPr>
    </w:pPr>
    <w:r>
      <w:rPr>
        <w:sz w:val="20"/>
        <w:szCs w:val="20"/>
      </w:rPr>
      <w:t xml:space="preserv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A11D6">
      <w:rPr>
        <w:rStyle w:val="PageNumber"/>
        <w:noProof/>
        <w:sz w:val="20"/>
        <w:szCs w:val="20"/>
      </w:rPr>
      <w:t>2</w:t>
    </w:r>
    <w:r>
      <w:rPr>
        <w:rStyle w:val="PageNumber"/>
        <w:sz w:val="20"/>
        <w:szCs w:val="20"/>
      </w:rPr>
      <w:fldChar w:fldCharType="end"/>
    </w:r>
    <w:r>
      <w:rPr>
        <w:rStyle w:val="PageNumber"/>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531EF" w14:textId="56F5D169" w:rsidR="00312630" w:rsidRDefault="00312630">
    <w:pPr>
      <w:pStyle w:val="Header"/>
    </w:pPr>
    <w:r>
      <w:rPr>
        <w:noProof/>
      </w:rPr>
      <mc:AlternateContent>
        <mc:Choice Requires="wps">
          <w:drawing>
            <wp:anchor distT="0" distB="0" distL="0" distR="0" simplePos="0" relativeHeight="251658240" behindDoc="0" locked="0" layoutInCell="1" allowOverlap="1" wp14:anchorId="2F6F85FB" wp14:editId="39CF57D1">
              <wp:simplePos x="685800" y="251460"/>
              <wp:positionH relativeFrom="page">
                <wp:align>center</wp:align>
              </wp:positionH>
              <wp:positionV relativeFrom="page">
                <wp:align>top</wp:align>
              </wp:positionV>
              <wp:extent cx="735330" cy="376555"/>
              <wp:effectExtent l="0" t="0" r="7620" b="4445"/>
              <wp:wrapNone/>
              <wp:docPr id="1063752395" name="Text Box 1" descr="PROTECTED">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35330" cy="376555"/>
                      </a:xfrm>
                      <a:prstGeom prst="rect">
                        <a:avLst/>
                      </a:prstGeom>
                      <a:noFill/>
                      <a:ln>
                        <a:noFill/>
                      </a:ln>
                    </wps:spPr>
                    <wps:txbx>
                      <w:txbxContent>
                        <w:p w14:paraId="2B5032A2" w14:textId="2BB9B590" w:rsidR="00312630" w:rsidRPr="00312630" w:rsidRDefault="00312630" w:rsidP="00312630">
                          <w:pPr>
                            <w:rPr>
                              <w:rFonts w:ascii="Calibri" w:eastAsia="Calibri" w:hAnsi="Calibri" w:cs="Calibri"/>
                              <w:noProof/>
                              <w:color w:val="FF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6F85FB" id="_x0000_t202" coordsize="21600,21600" o:spt="202" path="m,l,21600r21600,l21600,xe">
              <v:stroke joinstyle="miter"/>
              <v:path gradientshapeok="t" o:connecttype="rect"/>
            </v:shapetype>
            <v:shape id="Text Box 1" o:spid="_x0000_s1028" type="#_x0000_t202" alt="PROTECTED" style="position:absolute;margin-left:0;margin-top:0;width:57.9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" filled="f" stroked="f">
              <v:textbox style="mso-fit-shape-to-text:t" inset="0,15pt,0,0">
                <w:txbxContent>
                  <w:p w14:paraId="2B5032A2" w14:textId="2BB9B590" w:rsidR="00312630" w:rsidRPr="00312630" w:rsidRDefault="00312630" w:rsidP="00312630">
                    <w:pPr>
                      <w:rPr>
                        <w:rFonts w:ascii="Calibri" w:eastAsia="Calibri" w:hAnsi="Calibri" w:cs="Calibri"/>
                        <w:noProof/>
                        <w:color w:val="FF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47064"/>
    <w:multiLevelType w:val="hybridMultilevel"/>
    <w:tmpl w:val="D868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2" w15:restartNumberingAfterBreak="0">
    <w:nsid w:val="3F0B44C9"/>
    <w:multiLevelType w:val="hybridMultilevel"/>
    <w:tmpl w:val="C75231CA"/>
    <w:lvl w:ilvl="0" w:tplc="14928124">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630"/>
    <w:rsid w:val="0000021D"/>
    <w:rsid w:val="00041E2E"/>
    <w:rsid w:val="000460C4"/>
    <w:rsid w:val="00047105"/>
    <w:rsid w:val="00055944"/>
    <w:rsid w:val="00063FB6"/>
    <w:rsid w:val="00072F0C"/>
    <w:rsid w:val="000906BD"/>
    <w:rsid w:val="000B478D"/>
    <w:rsid w:val="000E4D22"/>
    <w:rsid w:val="000F2591"/>
    <w:rsid w:val="001014B8"/>
    <w:rsid w:val="00112C73"/>
    <w:rsid w:val="001162DE"/>
    <w:rsid w:val="001305E2"/>
    <w:rsid w:val="001360C1"/>
    <w:rsid w:val="001572D2"/>
    <w:rsid w:val="00160564"/>
    <w:rsid w:val="0017608F"/>
    <w:rsid w:val="00182C46"/>
    <w:rsid w:val="00190EE6"/>
    <w:rsid w:val="0019136C"/>
    <w:rsid w:val="001C2D76"/>
    <w:rsid w:val="001D75A2"/>
    <w:rsid w:val="001E4026"/>
    <w:rsid w:val="001E4F10"/>
    <w:rsid w:val="001F0D48"/>
    <w:rsid w:val="00235958"/>
    <w:rsid w:val="002426B3"/>
    <w:rsid w:val="0024276B"/>
    <w:rsid w:val="00242843"/>
    <w:rsid w:val="00250594"/>
    <w:rsid w:val="00251E49"/>
    <w:rsid w:val="0026397D"/>
    <w:rsid w:val="00273053"/>
    <w:rsid w:val="002A75B5"/>
    <w:rsid w:val="002D1A4C"/>
    <w:rsid w:val="002D2EE7"/>
    <w:rsid w:val="002E45FF"/>
    <w:rsid w:val="002F3611"/>
    <w:rsid w:val="00300F73"/>
    <w:rsid w:val="00305883"/>
    <w:rsid w:val="003060D2"/>
    <w:rsid w:val="0030702A"/>
    <w:rsid w:val="00310CDA"/>
    <w:rsid w:val="00312630"/>
    <w:rsid w:val="00320BFC"/>
    <w:rsid w:val="00363CF2"/>
    <w:rsid w:val="00372506"/>
    <w:rsid w:val="00385578"/>
    <w:rsid w:val="003C1944"/>
    <w:rsid w:val="003C464D"/>
    <w:rsid w:val="004124E0"/>
    <w:rsid w:val="00413130"/>
    <w:rsid w:val="00417497"/>
    <w:rsid w:val="00420B2C"/>
    <w:rsid w:val="004227ED"/>
    <w:rsid w:val="00430932"/>
    <w:rsid w:val="004352FF"/>
    <w:rsid w:val="0044416F"/>
    <w:rsid w:val="0044779A"/>
    <w:rsid w:val="004557B9"/>
    <w:rsid w:val="00461016"/>
    <w:rsid w:val="00465451"/>
    <w:rsid w:val="004701C4"/>
    <w:rsid w:val="004722E8"/>
    <w:rsid w:val="004735A2"/>
    <w:rsid w:val="004776E8"/>
    <w:rsid w:val="0048137D"/>
    <w:rsid w:val="004864D9"/>
    <w:rsid w:val="004972B9"/>
    <w:rsid w:val="004A0525"/>
    <w:rsid w:val="004A7774"/>
    <w:rsid w:val="004C0B1F"/>
    <w:rsid w:val="004C7B6B"/>
    <w:rsid w:val="004E33D9"/>
    <w:rsid w:val="004E37D3"/>
    <w:rsid w:val="004F3200"/>
    <w:rsid w:val="005025B0"/>
    <w:rsid w:val="005041DA"/>
    <w:rsid w:val="00516621"/>
    <w:rsid w:val="00531B2D"/>
    <w:rsid w:val="00534787"/>
    <w:rsid w:val="00536627"/>
    <w:rsid w:val="0054002A"/>
    <w:rsid w:val="00540C58"/>
    <w:rsid w:val="005527BE"/>
    <w:rsid w:val="00552FCD"/>
    <w:rsid w:val="00556242"/>
    <w:rsid w:val="00562816"/>
    <w:rsid w:val="0057330E"/>
    <w:rsid w:val="0057442F"/>
    <w:rsid w:val="00575EEC"/>
    <w:rsid w:val="00594712"/>
    <w:rsid w:val="005D2DB1"/>
    <w:rsid w:val="005E3018"/>
    <w:rsid w:val="005E57FD"/>
    <w:rsid w:val="005F028C"/>
    <w:rsid w:val="005F2882"/>
    <w:rsid w:val="005F7556"/>
    <w:rsid w:val="00622641"/>
    <w:rsid w:val="00631ADC"/>
    <w:rsid w:val="006344A2"/>
    <w:rsid w:val="0063526B"/>
    <w:rsid w:val="006353C6"/>
    <w:rsid w:val="00635412"/>
    <w:rsid w:val="00641F00"/>
    <w:rsid w:val="00650E1D"/>
    <w:rsid w:val="00654CE5"/>
    <w:rsid w:val="00661BDB"/>
    <w:rsid w:val="0066260C"/>
    <w:rsid w:val="00676983"/>
    <w:rsid w:val="0068129F"/>
    <w:rsid w:val="00684AF8"/>
    <w:rsid w:val="00691B7D"/>
    <w:rsid w:val="006A11D6"/>
    <w:rsid w:val="006A3B8F"/>
    <w:rsid w:val="006B4D31"/>
    <w:rsid w:val="006C5BD6"/>
    <w:rsid w:val="006E7D7A"/>
    <w:rsid w:val="006F025E"/>
    <w:rsid w:val="006F3DF8"/>
    <w:rsid w:val="007004A3"/>
    <w:rsid w:val="00701E4C"/>
    <w:rsid w:val="00706A24"/>
    <w:rsid w:val="007211BC"/>
    <w:rsid w:val="0072510E"/>
    <w:rsid w:val="00730354"/>
    <w:rsid w:val="00731FCD"/>
    <w:rsid w:val="00743106"/>
    <w:rsid w:val="007744F2"/>
    <w:rsid w:val="00775FE4"/>
    <w:rsid w:val="00782FCB"/>
    <w:rsid w:val="007A3D38"/>
    <w:rsid w:val="007A6745"/>
    <w:rsid w:val="007B097B"/>
    <w:rsid w:val="007C7AFD"/>
    <w:rsid w:val="007F3885"/>
    <w:rsid w:val="007F7682"/>
    <w:rsid w:val="00820DF9"/>
    <w:rsid w:val="00822C1A"/>
    <w:rsid w:val="00834CB4"/>
    <w:rsid w:val="00845233"/>
    <w:rsid w:val="00855778"/>
    <w:rsid w:val="008621C3"/>
    <w:rsid w:val="0089317D"/>
    <w:rsid w:val="00893978"/>
    <w:rsid w:val="0089439E"/>
    <w:rsid w:val="00894F47"/>
    <w:rsid w:val="008A4ACD"/>
    <w:rsid w:val="008A79A4"/>
    <w:rsid w:val="008B0D7D"/>
    <w:rsid w:val="00910FFC"/>
    <w:rsid w:val="00911F6E"/>
    <w:rsid w:val="00912F75"/>
    <w:rsid w:val="00915116"/>
    <w:rsid w:val="0093202A"/>
    <w:rsid w:val="0093466D"/>
    <w:rsid w:val="00935E4C"/>
    <w:rsid w:val="00937489"/>
    <w:rsid w:val="009537B3"/>
    <w:rsid w:val="009539F4"/>
    <w:rsid w:val="00960916"/>
    <w:rsid w:val="0096146C"/>
    <w:rsid w:val="0096629A"/>
    <w:rsid w:val="00973568"/>
    <w:rsid w:val="009800E4"/>
    <w:rsid w:val="00990457"/>
    <w:rsid w:val="009A2CD9"/>
    <w:rsid w:val="009A7761"/>
    <w:rsid w:val="009C3F3F"/>
    <w:rsid w:val="009E3D9F"/>
    <w:rsid w:val="009F2C8F"/>
    <w:rsid w:val="009F4DAC"/>
    <w:rsid w:val="009F5453"/>
    <w:rsid w:val="00A05943"/>
    <w:rsid w:val="00A07D4C"/>
    <w:rsid w:val="00A114A1"/>
    <w:rsid w:val="00A20BC6"/>
    <w:rsid w:val="00A235B4"/>
    <w:rsid w:val="00A241EB"/>
    <w:rsid w:val="00A309A6"/>
    <w:rsid w:val="00A53488"/>
    <w:rsid w:val="00A832DF"/>
    <w:rsid w:val="00A84ACC"/>
    <w:rsid w:val="00A9046E"/>
    <w:rsid w:val="00A932D3"/>
    <w:rsid w:val="00A952B5"/>
    <w:rsid w:val="00AB2279"/>
    <w:rsid w:val="00AC08BB"/>
    <w:rsid w:val="00AC7598"/>
    <w:rsid w:val="00AD398E"/>
    <w:rsid w:val="00AD5262"/>
    <w:rsid w:val="00AD718D"/>
    <w:rsid w:val="00AE2684"/>
    <w:rsid w:val="00AE6C10"/>
    <w:rsid w:val="00AF08B4"/>
    <w:rsid w:val="00B047E4"/>
    <w:rsid w:val="00B07DEA"/>
    <w:rsid w:val="00B14849"/>
    <w:rsid w:val="00B20688"/>
    <w:rsid w:val="00B21ED6"/>
    <w:rsid w:val="00B240A8"/>
    <w:rsid w:val="00B33270"/>
    <w:rsid w:val="00B33F57"/>
    <w:rsid w:val="00B372F0"/>
    <w:rsid w:val="00B51A40"/>
    <w:rsid w:val="00B53800"/>
    <w:rsid w:val="00B5725E"/>
    <w:rsid w:val="00B60BFA"/>
    <w:rsid w:val="00B61C58"/>
    <w:rsid w:val="00B7391A"/>
    <w:rsid w:val="00B8737D"/>
    <w:rsid w:val="00BE388C"/>
    <w:rsid w:val="00BF7CB2"/>
    <w:rsid w:val="00C003EA"/>
    <w:rsid w:val="00C03226"/>
    <w:rsid w:val="00C12EEB"/>
    <w:rsid w:val="00C153B7"/>
    <w:rsid w:val="00C21FDA"/>
    <w:rsid w:val="00C23A31"/>
    <w:rsid w:val="00C45D29"/>
    <w:rsid w:val="00C63711"/>
    <w:rsid w:val="00C63FF6"/>
    <w:rsid w:val="00C67E28"/>
    <w:rsid w:val="00C735CC"/>
    <w:rsid w:val="00C8019D"/>
    <w:rsid w:val="00C80D41"/>
    <w:rsid w:val="00C853DD"/>
    <w:rsid w:val="00C91ACF"/>
    <w:rsid w:val="00CA627A"/>
    <w:rsid w:val="00CB6189"/>
    <w:rsid w:val="00CC0246"/>
    <w:rsid w:val="00CD5206"/>
    <w:rsid w:val="00CE3906"/>
    <w:rsid w:val="00CE4691"/>
    <w:rsid w:val="00CE4823"/>
    <w:rsid w:val="00CF3477"/>
    <w:rsid w:val="00D11B1A"/>
    <w:rsid w:val="00D23FF4"/>
    <w:rsid w:val="00D451B8"/>
    <w:rsid w:val="00D67CDE"/>
    <w:rsid w:val="00D73387"/>
    <w:rsid w:val="00D8450A"/>
    <w:rsid w:val="00D912DB"/>
    <w:rsid w:val="00D91587"/>
    <w:rsid w:val="00DA0569"/>
    <w:rsid w:val="00DB0AD2"/>
    <w:rsid w:val="00DD5414"/>
    <w:rsid w:val="00DF116F"/>
    <w:rsid w:val="00E25AED"/>
    <w:rsid w:val="00E4209F"/>
    <w:rsid w:val="00E50657"/>
    <w:rsid w:val="00E5369D"/>
    <w:rsid w:val="00E5582E"/>
    <w:rsid w:val="00E579D8"/>
    <w:rsid w:val="00E645C6"/>
    <w:rsid w:val="00E6675A"/>
    <w:rsid w:val="00E873F1"/>
    <w:rsid w:val="00E90961"/>
    <w:rsid w:val="00EB0ED3"/>
    <w:rsid w:val="00EC415E"/>
    <w:rsid w:val="00EC4A7B"/>
    <w:rsid w:val="00ED7514"/>
    <w:rsid w:val="00EF14F5"/>
    <w:rsid w:val="00F00237"/>
    <w:rsid w:val="00F016A4"/>
    <w:rsid w:val="00F054E3"/>
    <w:rsid w:val="00F141C6"/>
    <w:rsid w:val="00F21E8A"/>
    <w:rsid w:val="00F35708"/>
    <w:rsid w:val="00F41061"/>
    <w:rsid w:val="00F54B4A"/>
    <w:rsid w:val="00F72B1B"/>
    <w:rsid w:val="00F97EC2"/>
    <w:rsid w:val="00FA41FC"/>
    <w:rsid w:val="00FC3B9C"/>
    <w:rsid w:val="00FC639D"/>
    <w:rsid w:val="00FE41DE"/>
    <w:rsid w:val="00FF4CC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60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B6B"/>
    <w:rPr>
      <w:rFonts w:ascii="Book Antiqua" w:hAnsi="Book Antiqua"/>
      <w:sz w:val="24"/>
      <w:szCs w:val="24"/>
    </w:rPr>
  </w:style>
  <w:style w:type="paragraph" w:styleId="Heading1">
    <w:name w:val="heading 1"/>
    <w:basedOn w:val="Normal"/>
    <w:next w:val="Normal"/>
    <w:link w:val="Heading1Char"/>
    <w:uiPriority w:val="9"/>
    <w:qFormat/>
    <w:rsid w:val="00731FCD"/>
    <w:pPr>
      <w:keepNext/>
      <w:keepLines/>
      <w:spacing w:before="480" w:after="720"/>
      <w:jc w:val="center"/>
      <w:outlineLvl w:val="0"/>
    </w:pPr>
    <w:rPr>
      <w:rFonts w:eastAsiaTheme="majorEastAsia" w:cstheme="majorBidi"/>
      <w:b/>
      <w:bCs/>
      <w:szCs w:val="28"/>
    </w:rPr>
  </w:style>
  <w:style w:type="paragraph" w:styleId="Heading2">
    <w:name w:val="heading 2"/>
    <w:basedOn w:val="Normal"/>
    <w:next w:val="Normal"/>
    <w:link w:val="Heading2Char"/>
    <w:uiPriority w:val="9"/>
    <w:qFormat/>
    <w:rsid w:val="006353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72506"/>
    <w:pPr>
      <w:tabs>
        <w:tab w:val="center" w:pos="4153"/>
        <w:tab w:val="right" w:pos="8306"/>
      </w:tabs>
    </w:pPr>
  </w:style>
  <w:style w:type="paragraph" w:styleId="Footer">
    <w:name w:val="footer"/>
    <w:basedOn w:val="Normal"/>
    <w:link w:val="FooterChar"/>
    <w:rsid w:val="00372506"/>
    <w:pPr>
      <w:tabs>
        <w:tab w:val="center" w:pos="4153"/>
        <w:tab w:val="right" w:pos="8306"/>
      </w:tabs>
    </w:pPr>
  </w:style>
  <w:style w:type="paragraph" w:styleId="BalloonText">
    <w:name w:val="Balloon Text"/>
    <w:basedOn w:val="Normal"/>
    <w:semiHidden/>
    <w:rsid w:val="00372506"/>
    <w:rPr>
      <w:rFonts w:ascii="Tahoma" w:hAnsi="Tahoma" w:cs="Tahoma"/>
      <w:sz w:val="16"/>
      <w:szCs w:val="16"/>
    </w:rPr>
  </w:style>
  <w:style w:type="character" w:styleId="PageNumber">
    <w:name w:val="page number"/>
    <w:basedOn w:val="DefaultParagraphFont"/>
    <w:rsid w:val="00372506"/>
  </w:style>
  <w:style w:type="paragraph" w:customStyle="1" w:styleId="CharChar1Char">
    <w:name w:val="Char Char1 Char"/>
    <w:basedOn w:val="Normal"/>
    <w:rsid w:val="007A6745"/>
    <w:pPr>
      <w:spacing w:after="160" w:line="240" w:lineRule="exact"/>
    </w:pPr>
    <w:rPr>
      <w:rFonts w:ascii="Arial" w:hAnsi="Arial"/>
      <w:sz w:val="22"/>
      <w:szCs w:val="20"/>
      <w:lang w:val="en-GB" w:eastAsia="en-US"/>
    </w:rPr>
  </w:style>
  <w:style w:type="character" w:customStyle="1" w:styleId="HeaderChar">
    <w:name w:val="Header Char"/>
    <w:basedOn w:val="DefaultParagraphFont"/>
    <w:link w:val="Header"/>
    <w:rsid w:val="00775FE4"/>
    <w:rPr>
      <w:sz w:val="24"/>
      <w:szCs w:val="24"/>
    </w:rPr>
  </w:style>
  <w:style w:type="character" w:customStyle="1" w:styleId="Heading1Char">
    <w:name w:val="Heading 1 Char"/>
    <w:basedOn w:val="DefaultParagraphFont"/>
    <w:link w:val="Heading1"/>
    <w:uiPriority w:val="9"/>
    <w:rsid w:val="00731FCD"/>
    <w:rPr>
      <w:rFonts w:eastAsiaTheme="majorEastAsia" w:cstheme="majorBidi"/>
      <w:b/>
      <w:bCs/>
      <w:sz w:val="24"/>
      <w:szCs w:val="28"/>
    </w:rPr>
  </w:style>
  <w:style w:type="paragraph" w:styleId="NoSpacing">
    <w:name w:val="No Spacing"/>
    <w:uiPriority w:val="1"/>
    <w:qFormat/>
    <w:rsid w:val="006E7D7A"/>
    <w:rPr>
      <w:sz w:val="24"/>
      <w:szCs w:val="24"/>
    </w:rPr>
  </w:style>
  <w:style w:type="character" w:customStyle="1" w:styleId="FooterChar">
    <w:name w:val="Footer Char"/>
    <w:basedOn w:val="DefaultParagraphFont"/>
    <w:link w:val="Footer"/>
    <w:rsid w:val="000906BD"/>
    <w:rPr>
      <w:sz w:val="24"/>
      <w:szCs w:val="24"/>
    </w:rPr>
  </w:style>
  <w:style w:type="paragraph" w:styleId="Title">
    <w:name w:val="Title"/>
    <w:basedOn w:val="Heading1"/>
    <w:next w:val="Normal"/>
    <w:link w:val="TitleChar"/>
    <w:uiPriority w:val="10"/>
    <w:qFormat/>
    <w:rsid w:val="00731FCD"/>
    <w:pPr>
      <w:jc w:val="right"/>
    </w:pPr>
  </w:style>
  <w:style w:type="character" w:customStyle="1" w:styleId="TitleChar">
    <w:name w:val="Title Char"/>
    <w:basedOn w:val="DefaultParagraphFont"/>
    <w:link w:val="Title"/>
    <w:uiPriority w:val="10"/>
    <w:rsid w:val="00731FCD"/>
    <w:rPr>
      <w:rFonts w:eastAsiaTheme="majorEastAsia" w:cstheme="majorBidi"/>
      <w:b/>
      <w:bCs/>
      <w:sz w:val="24"/>
      <w:szCs w:val="28"/>
    </w:rPr>
  </w:style>
  <w:style w:type="character" w:customStyle="1" w:styleId="Heading2Char">
    <w:name w:val="Heading 2 Char"/>
    <w:basedOn w:val="DefaultParagraphFont"/>
    <w:link w:val="Heading2"/>
    <w:uiPriority w:val="9"/>
    <w:rsid w:val="006353C6"/>
    <w:rPr>
      <w:rFonts w:asciiTheme="majorHAnsi" w:eastAsiaTheme="majorEastAsia" w:hAnsiTheme="majorHAnsi" w:cstheme="majorBidi"/>
      <w:b/>
      <w:bCs/>
      <w:color w:val="4F81BD" w:themeColor="accent1"/>
      <w:sz w:val="26"/>
      <w:szCs w:val="26"/>
    </w:rPr>
  </w:style>
  <w:style w:type="paragraph" w:customStyle="1" w:styleId="CustomLetterhead">
    <w:name w:val="Custom Letterhead"/>
    <w:basedOn w:val="Normal"/>
    <w:link w:val="CustomLetterheadChar"/>
    <w:qFormat/>
    <w:rsid w:val="0093202A"/>
    <w:pPr>
      <w:spacing w:before="240" w:after="240"/>
    </w:pPr>
  </w:style>
  <w:style w:type="character" w:customStyle="1" w:styleId="CustomLetterheadChar">
    <w:name w:val="Custom Letterhead Char"/>
    <w:basedOn w:val="HeaderChar"/>
    <w:link w:val="CustomLetterhead"/>
    <w:rsid w:val="0093202A"/>
    <w:rPr>
      <w:rFonts w:ascii="Book Antiqua" w:hAnsi="Book Antiqua"/>
      <w:sz w:val="24"/>
      <w:szCs w:val="24"/>
    </w:rPr>
  </w:style>
  <w:style w:type="paragraph" w:styleId="ListParagraph">
    <w:name w:val="List Paragraph"/>
    <w:basedOn w:val="Normal"/>
    <w:uiPriority w:val="34"/>
    <w:qFormat/>
    <w:rsid w:val="00312630"/>
    <w:pPr>
      <w:ind w:left="720"/>
      <w:contextualSpacing/>
    </w:pPr>
  </w:style>
  <w:style w:type="paragraph" w:customStyle="1" w:styleId="TableBody">
    <w:name w:val="Table Body"/>
    <w:basedOn w:val="Normal"/>
    <w:uiPriority w:val="11"/>
    <w:qFormat/>
    <w:rsid w:val="001C2D76"/>
    <w:pPr>
      <w:spacing w:before="40" w:after="40" w:line="264" w:lineRule="auto"/>
    </w:pPr>
    <w:rPr>
      <w:rFonts w:asciiTheme="minorHAnsi" w:eastAsiaTheme="minorHAnsi" w:hAnsiTheme="minorHAnsi" w:cstheme="minorBidi"/>
      <w:color w:val="000000" w:themeColor="text1"/>
      <w:sz w:val="18"/>
      <w:szCs w:val="20"/>
      <w:lang w:eastAsia="en-US"/>
    </w:rPr>
  </w:style>
  <w:style w:type="table" w:customStyle="1" w:styleId="PMCTableStyle2">
    <w:name w:val="PMC Table Style 2"/>
    <w:basedOn w:val="TableNormal"/>
    <w:uiPriority w:val="99"/>
    <w:rsid w:val="001C2D76"/>
    <w:pPr>
      <w:spacing w:before="60" w:after="60" w:line="264" w:lineRule="auto"/>
    </w:pPr>
    <w:rPr>
      <w:rFonts w:asciiTheme="minorHAnsi" w:eastAsiaTheme="minorHAnsi" w:hAnsiTheme="minorHAnsi" w:cstheme="minorBidi"/>
      <w:color w:val="262626" w:themeColor="text1" w:themeTint="D9"/>
      <w:lang w:eastAsia="en-US"/>
    </w:rPr>
    <w:tblPr>
      <w:tblStyleRowBandSize w:val="1"/>
      <w:tblBorders>
        <w:top w:val="single" w:sz="4" w:space="0" w:color="ECF1F8" w:themeColor="accent1" w:themeTint="1A"/>
        <w:left w:val="single" w:sz="4" w:space="0" w:color="ECF1F8" w:themeColor="accent1" w:themeTint="1A"/>
        <w:bottom w:val="single" w:sz="12" w:space="0" w:color="1F497D" w:themeColor="text2"/>
        <w:right w:val="single" w:sz="4" w:space="0" w:color="ECF1F8" w:themeColor="accent1" w:themeTint="1A"/>
        <w:insideH w:val="single" w:sz="4" w:space="0" w:color="ECF1F8" w:themeColor="accent1" w:themeTint="1A"/>
        <w:insideV w:val="single" w:sz="4" w:space="0" w:color="ECF1F8"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FFFFFF" w:themeColor="background1"/>
        <w:sz w:val="18"/>
      </w:rPr>
      <w:tblPr/>
      <w:tcPr>
        <w:shd w:val="clear" w:color="auto" w:fill="1F497D" w:themeFill="text2"/>
      </w:tcPr>
    </w:tblStylePr>
    <w:tblStylePr w:type="lastRow">
      <w:tblPr/>
      <w:tcPr>
        <w:shd w:val="clear" w:color="auto" w:fill="E6E6E6"/>
      </w:tc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customStyle="1" w:styleId="TableNumbering">
    <w:name w:val="Table Numbering"/>
    <w:uiPriority w:val="11"/>
    <w:qFormat/>
    <w:rsid w:val="001C2D76"/>
    <w:pPr>
      <w:numPr>
        <w:numId w:val="3"/>
      </w:numPr>
      <w:spacing w:before="40" w:after="40" w:line="264" w:lineRule="auto"/>
    </w:pPr>
    <w:rPr>
      <w:rFonts w:asciiTheme="minorHAnsi" w:eastAsiaTheme="minorHAnsi" w:hAnsiTheme="minorHAnsi" w:cstheme="minorBidi"/>
      <w:color w:val="000000" w:themeColor="text1"/>
      <w:sz w:val="18"/>
      <w:lang w:eastAsia="en-US"/>
    </w:rPr>
  </w:style>
  <w:style w:type="character" w:styleId="CommentReference">
    <w:name w:val="annotation reference"/>
    <w:basedOn w:val="DefaultParagraphFont"/>
    <w:uiPriority w:val="99"/>
    <w:semiHidden/>
    <w:unhideWhenUsed/>
    <w:rsid w:val="001C2D76"/>
    <w:rPr>
      <w:sz w:val="16"/>
      <w:szCs w:val="16"/>
    </w:rPr>
  </w:style>
  <w:style w:type="paragraph" w:styleId="CommentText">
    <w:name w:val="annotation text"/>
    <w:basedOn w:val="Normal"/>
    <w:link w:val="CommentTextChar"/>
    <w:uiPriority w:val="99"/>
    <w:unhideWhenUsed/>
    <w:rsid w:val="001C2D76"/>
    <w:pPr>
      <w:spacing w:after="120"/>
    </w:pPr>
    <w:rPr>
      <w:rFonts w:asciiTheme="minorHAnsi" w:eastAsiaTheme="minorHAnsi" w:hAnsiTheme="minorHAnsi" w:cstheme="minorBidi"/>
      <w:color w:val="262626" w:themeColor="text1" w:themeTint="D9"/>
      <w:sz w:val="20"/>
      <w:szCs w:val="20"/>
      <w:lang w:eastAsia="en-US"/>
    </w:rPr>
  </w:style>
  <w:style w:type="character" w:customStyle="1" w:styleId="CommentTextChar">
    <w:name w:val="Comment Text Char"/>
    <w:basedOn w:val="DefaultParagraphFont"/>
    <w:link w:val="CommentText"/>
    <w:uiPriority w:val="99"/>
    <w:rsid w:val="001C2D76"/>
    <w:rPr>
      <w:rFonts w:asciiTheme="minorHAnsi" w:eastAsiaTheme="minorHAnsi" w:hAnsiTheme="minorHAnsi" w:cstheme="minorBidi"/>
      <w:color w:val="262626" w:themeColor="text1" w:themeTint="D9"/>
      <w:lang w:eastAsia="en-US"/>
    </w:rPr>
  </w:style>
  <w:style w:type="character" w:styleId="Hyperlink">
    <w:name w:val="Hyperlink"/>
    <w:basedOn w:val="DefaultParagraphFont"/>
    <w:uiPriority w:val="99"/>
    <w:unhideWhenUsed/>
    <w:rsid w:val="00417497"/>
    <w:rPr>
      <w:color w:val="0000FF" w:themeColor="hyperlink"/>
      <w:u w:val="single"/>
    </w:rPr>
  </w:style>
  <w:style w:type="character" w:customStyle="1" w:styleId="UnresolvedMention">
    <w:name w:val="Unresolved Mention"/>
    <w:basedOn w:val="DefaultParagraphFont"/>
    <w:uiPriority w:val="99"/>
    <w:semiHidden/>
    <w:unhideWhenUsed/>
    <w:rsid w:val="0041749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42843"/>
    <w:pPr>
      <w:spacing w:after="0"/>
    </w:pPr>
    <w:rPr>
      <w:rFonts w:ascii="Book Antiqua" w:eastAsia="Times New Roman" w:hAnsi="Book Antiqua" w:cs="Times New Roman"/>
      <w:b/>
      <w:bCs/>
      <w:color w:val="auto"/>
      <w:lang w:eastAsia="en-AU"/>
    </w:rPr>
  </w:style>
  <w:style w:type="character" w:customStyle="1" w:styleId="CommentSubjectChar">
    <w:name w:val="Comment Subject Char"/>
    <w:basedOn w:val="CommentTextChar"/>
    <w:link w:val="CommentSubject"/>
    <w:uiPriority w:val="99"/>
    <w:semiHidden/>
    <w:rsid w:val="00242843"/>
    <w:rPr>
      <w:rFonts w:ascii="Book Antiqua" w:eastAsiaTheme="minorHAnsi" w:hAnsi="Book Antiqua" w:cstheme="minorBidi"/>
      <w:b/>
      <w:bCs/>
      <w:color w:val="262626" w:themeColor="text1" w:themeTint="D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34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1662b56b-7551-4282-85fb-f249a1bf4391}" enabled="1" method="Privileged" siteId="{311f614e-2687-4905-bb5c-f592370e0d41}"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1494</Characters>
  <Application>Microsoft Office Word</Application>
  <DocSecurity>0</DocSecurity>
  <Lines>31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2025-07-23T00:54:00Z</dcterms:created>
  <dcterms:modified xsi:type="dcterms:W3CDTF">2025-07-23T00:54:00Z</dcterms:modified>
</cp:coreProperties>
</file>