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97EC4" w14:textId="10205CAF" w:rsidR="00A62EF3" w:rsidRPr="00FC5955" w:rsidRDefault="00A501A3" w:rsidP="006D71DA">
      <w:pPr>
        <w:pStyle w:val="Title"/>
        <w:spacing w:after="120"/>
        <w:rPr>
          <w:rFonts w:ascii="Calibri" w:hAnsi="Calibri" w:cs="Calibri"/>
          <w:sz w:val="52"/>
        </w:rPr>
      </w:pPr>
      <w:bookmarkStart w:id="0" w:name="_Toc96326909"/>
      <w:r>
        <w:rPr>
          <w:rFonts w:ascii="Calibri" w:hAnsi="Calibri" w:cs="Calibri"/>
          <w:sz w:val="52"/>
        </w:rPr>
        <w:t xml:space="preserve">Help to Buy </w:t>
      </w:r>
      <w:r w:rsidR="00F12B1D">
        <w:rPr>
          <w:rFonts w:ascii="Calibri" w:hAnsi="Calibri" w:cs="Calibri"/>
          <w:sz w:val="52"/>
        </w:rPr>
        <w:t xml:space="preserve">Shared Equity </w:t>
      </w:r>
      <w:r>
        <w:rPr>
          <w:rFonts w:ascii="Calibri" w:hAnsi="Calibri" w:cs="Calibri"/>
          <w:sz w:val="52"/>
        </w:rPr>
        <w:t>Scheme</w:t>
      </w:r>
    </w:p>
    <w:p w14:paraId="18C10E68" w14:textId="7EC0765B" w:rsidR="00A62EF3" w:rsidRPr="008059CB" w:rsidRDefault="00A501A3" w:rsidP="00A62EF3">
      <w:pPr>
        <w:pStyle w:val="Subtitle"/>
        <w:rPr>
          <w:rFonts w:cs="Calibri Light"/>
        </w:rPr>
      </w:pPr>
      <w:r>
        <w:rPr>
          <w:rFonts w:cs="Calibri Light"/>
        </w:rPr>
        <w:t>Treasury</w:t>
      </w:r>
    </w:p>
    <w:p w14:paraId="41526028" w14:textId="77777777" w:rsidR="00A62EF3" w:rsidRDefault="00900BF5" w:rsidP="00C13310">
      <w:pPr>
        <w:pStyle w:val="BOXHeading2"/>
        <w:ind w:firstLine="493"/>
        <w:rPr>
          <w:noProof/>
        </w:rPr>
      </w:pPr>
      <w:r>
        <w:rPr>
          <w:noProof/>
        </w:rPr>
        <w:pict w14:anchorId="363CD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2.65pt;margin-top:65.7pt;width:38.65pt;height:38.65pt;z-index:251658240;mso-position-horizontal-relative:margin;mso-position-vertical-relative:margin">
            <v:imagedata r:id="rId8" o:title="Icons28"/>
            <w10:wrap anchorx="margin" anchory="margin"/>
          </v:shape>
        </w:pict>
      </w:r>
      <w:r w:rsidR="00E63FC4">
        <w:rPr>
          <w:noProof/>
        </w:rPr>
        <w:t xml:space="preserve">  </w:t>
      </w:r>
      <w:r w:rsidR="00BE0F4D">
        <w:rPr>
          <w:noProof/>
        </w:rPr>
        <w:t>T</w:t>
      </w:r>
      <w:r w:rsidR="00E13082">
        <w:rPr>
          <w:noProof/>
        </w:rPr>
        <w:t>he</w:t>
      </w:r>
      <w:r w:rsidR="00D13C0A">
        <w:rPr>
          <w:noProof/>
        </w:rPr>
        <w:t xml:space="preserve"> </w:t>
      </w:r>
      <w:r w:rsidR="00E13082">
        <w:rPr>
          <w:noProof/>
        </w:rPr>
        <w:t>policy p</w:t>
      </w:r>
      <w:r w:rsidR="006A2BCA">
        <w:rPr>
          <w:noProof/>
        </w:rPr>
        <w:t>roblem</w:t>
      </w:r>
      <w:bookmarkEnd w:id="0"/>
      <w:r w:rsidR="00BE0F4D">
        <w:rPr>
          <w:noProof/>
        </w:rPr>
        <w:t xml:space="preserve"> and p</w:t>
      </w:r>
      <w:r w:rsidR="00490E25">
        <w:rPr>
          <w:noProof/>
        </w:rPr>
        <w:t>r</w:t>
      </w:r>
      <w:r w:rsidR="00B05108">
        <w:rPr>
          <w:noProof/>
        </w:rPr>
        <w:t>eferred</w:t>
      </w:r>
      <w:r w:rsidR="00BE0F4D">
        <w:rPr>
          <w:noProof/>
        </w:rPr>
        <w:t xml:space="preserve"> </w:t>
      </w:r>
      <w:r w:rsidR="00B05108">
        <w:rPr>
          <w:noProof/>
        </w:rPr>
        <w:t xml:space="preserve">policy </w:t>
      </w:r>
      <w:r w:rsidR="00BE0F4D">
        <w:rPr>
          <w:noProof/>
        </w:rPr>
        <w:t>appro</w:t>
      </w:r>
      <w:r w:rsidR="00E12AB4">
        <w:rPr>
          <w:noProof/>
        </w:rPr>
        <w:t>a</w:t>
      </w:r>
      <w:r w:rsidR="00BE0F4D">
        <w:rPr>
          <w:noProof/>
        </w:rPr>
        <w:t>ch</w:t>
      </w:r>
    </w:p>
    <w:p w14:paraId="77600861" w14:textId="13D6C9CC" w:rsidR="00346D39" w:rsidRPr="0018069E" w:rsidRDefault="00A501A3" w:rsidP="00AE2B22">
      <w:pPr>
        <w:pStyle w:val="BOXBulletedList"/>
        <w:pBdr>
          <w:bottom w:val="single" w:sz="48" w:space="0" w:color="F2F2F2" w:themeColor="background1" w:themeShade="F2"/>
        </w:pBdr>
        <w:spacing w:after="0"/>
        <w:rPr>
          <w:rFonts w:ascii="Calibri" w:hAnsi="Calibri" w:cs="Calibri"/>
        </w:rPr>
      </w:pPr>
      <w:r w:rsidRPr="0018069E">
        <w:rPr>
          <w:rFonts w:ascii="Calibri" w:hAnsi="Calibri" w:cs="Calibri"/>
        </w:rPr>
        <w:t xml:space="preserve">Australia has seen a decades long fall in home ownership from </w:t>
      </w:r>
      <w:r w:rsidRPr="0018069E">
        <w:rPr>
          <w:rFonts w:ascii="Calibri" w:hAnsi="Calibri" w:cs="Calibri"/>
          <w:b/>
          <w:bCs/>
        </w:rPr>
        <w:t>71.4 per cent</w:t>
      </w:r>
      <w:r w:rsidRPr="0018069E">
        <w:rPr>
          <w:rFonts w:ascii="Calibri" w:hAnsi="Calibri" w:cs="Calibri"/>
        </w:rPr>
        <w:t xml:space="preserve"> in 1994 to </w:t>
      </w:r>
      <w:r w:rsidRPr="0018069E">
        <w:rPr>
          <w:rFonts w:ascii="Calibri" w:hAnsi="Calibri" w:cs="Calibri"/>
          <w:b/>
          <w:bCs/>
        </w:rPr>
        <w:t>66.3 per cent</w:t>
      </w:r>
      <w:r w:rsidRPr="0018069E">
        <w:rPr>
          <w:rFonts w:ascii="Calibri" w:hAnsi="Calibri" w:cs="Calibri"/>
        </w:rPr>
        <w:t xml:space="preserve"> in 2021. This has resulted in </w:t>
      </w:r>
      <w:r w:rsidRPr="0018069E">
        <w:rPr>
          <w:rFonts w:ascii="Calibri" w:hAnsi="Calibri" w:cs="Calibri"/>
          <w:b/>
          <w:bCs/>
        </w:rPr>
        <w:t>more households renting for longer</w:t>
      </w:r>
      <w:r w:rsidRPr="0018069E">
        <w:rPr>
          <w:rFonts w:ascii="Calibri" w:hAnsi="Calibri" w:cs="Calibri"/>
        </w:rPr>
        <w:t>, increasing pressure on the rental market and preventing many Australians from achieving the benefits offered by home ownership.</w:t>
      </w:r>
    </w:p>
    <w:p w14:paraId="21B1BA03" w14:textId="4330BE05" w:rsidR="005E0DC7" w:rsidRPr="00CE5EBF" w:rsidRDefault="00A501A3" w:rsidP="00CE5EBF">
      <w:pPr>
        <w:pStyle w:val="BOXBulletedList"/>
        <w:pBdr>
          <w:bottom w:val="single" w:sz="48" w:space="0" w:color="F2F2F2" w:themeColor="background1" w:themeShade="F2"/>
        </w:pBdr>
        <w:spacing w:after="0"/>
        <w:rPr>
          <w:bCs/>
        </w:rPr>
      </w:pPr>
      <w:r w:rsidRPr="00A501A3">
        <w:rPr>
          <w:rFonts w:ascii="Calibri" w:hAnsi="Calibri" w:cs="Calibri"/>
          <w:bCs/>
          <w:szCs w:val="18"/>
        </w:rPr>
        <w:t xml:space="preserve">To assist more Australians, and particularly low- and middle-income households, into home ownership, the Government committed to establishing the </w:t>
      </w:r>
      <w:r w:rsidRPr="0064127F">
        <w:rPr>
          <w:rFonts w:ascii="Calibri" w:hAnsi="Calibri" w:cs="Calibri"/>
          <w:b/>
          <w:szCs w:val="18"/>
        </w:rPr>
        <w:t>Help to Buy shared equity scheme</w:t>
      </w:r>
      <w:r w:rsidRPr="00A501A3">
        <w:rPr>
          <w:rFonts w:ascii="Calibri" w:hAnsi="Calibri" w:cs="Calibri"/>
          <w:bCs/>
          <w:szCs w:val="18"/>
        </w:rPr>
        <w:t xml:space="preserve"> as part of its 2022 election platform. The Help to Buy scheme will assist </w:t>
      </w:r>
      <w:r w:rsidRPr="003E3A55">
        <w:rPr>
          <w:rFonts w:ascii="Calibri" w:hAnsi="Calibri" w:cs="Calibri"/>
          <w:b/>
          <w:szCs w:val="18"/>
        </w:rPr>
        <w:t>10,000 Australian households each year for 4 years</w:t>
      </w:r>
      <w:r w:rsidRPr="00A501A3">
        <w:rPr>
          <w:rFonts w:ascii="Calibri" w:hAnsi="Calibri" w:cs="Calibri"/>
          <w:bCs/>
          <w:szCs w:val="18"/>
        </w:rPr>
        <w:t xml:space="preserve"> to purchase a home </w:t>
      </w:r>
      <w:r w:rsidR="0064127F">
        <w:rPr>
          <w:rFonts w:ascii="Calibri" w:hAnsi="Calibri" w:cs="Calibri"/>
          <w:bCs/>
          <w:szCs w:val="18"/>
        </w:rPr>
        <w:t>with a smaller deposit and lower ongoing mortgage repayments.</w:t>
      </w:r>
    </w:p>
    <w:p w14:paraId="3A39BFFC" w14:textId="2BB7E76E" w:rsidR="005505E3" w:rsidRPr="00D859BB" w:rsidRDefault="008F1E8F" w:rsidP="008F1E8F">
      <w:pPr>
        <w:pStyle w:val="BOXHeading2"/>
        <w:spacing w:before="120"/>
        <w:ind w:firstLine="493"/>
      </w:pPr>
      <w:r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66C5ABFD" wp14:editId="190BADA7">
            <wp:simplePos x="0" y="0"/>
            <wp:positionH relativeFrom="margin">
              <wp:align>left</wp:align>
            </wp:positionH>
            <wp:positionV relativeFrom="margin">
              <wp:posOffset>2787015</wp:posOffset>
            </wp:positionV>
            <wp:extent cx="409575" cy="409575"/>
            <wp:effectExtent l="0" t="0" r="0" b="0"/>
            <wp:wrapNone/>
            <wp:docPr id="1819516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2ED">
        <w:t>Impact Analysis</w:t>
      </w:r>
    </w:p>
    <w:tbl>
      <w:tblPr>
        <w:tblStyle w:val="Custom11"/>
        <w:tblW w:w="5002" w:type="pct"/>
        <w:tblLook w:val="0420" w:firstRow="1" w:lastRow="0" w:firstColumn="0" w:lastColumn="0" w:noHBand="0" w:noVBand="1"/>
        <w:tblCaption w:val="Table with horizontal lines"/>
        <w:tblDescription w:val="This is an example of alt text."/>
      </w:tblPr>
      <w:tblGrid>
        <w:gridCol w:w="3592"/>
        <w:gridCol w:w="3593"/>
        <w:gridCol w:w="3591"/>
      </w:tblGrid>
      <w:tr w:rsidR="00152412" w:rsidRPr="005505E3" w14:paraId="58D376E5" w14:textId="77777777" w:rsidTr="00835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00" w:type="pct"/>
            <w:gridSpan w:val="3"/>
            <w:tcBorders>
              <w:top w:val="single" w:sz="2" w:space="0" w:color="FFFFFF" w:themeColor="background1"/>
              <w:bottom w:val="single" w:sz="4" w:space="0" w:color="778E61" w:themeColor="accent2"/>
            </w:tcBorders>
            <w:shd w:val="clear" w:color="auto" w:fill="1C2B39"/>
          </w:tcPr>
          <w:p w14:paraId="5486F78B" w14:textId="5CA3D2CA" w:rsidR="00152412" w:rsidRPr="00152412" w:rsidRDefault="00BE0F4D" w:rsidP="005505E3">
            <w:pPr>
              <w:spacing w:after="0" w:line="240" w:lineRule="auto"/>
              <w:rPr>
                <w:rFonts w:ascii="Calibri" w:hAnsi="Calibri" w:cs="Calibri"/>
                <w:b w:val="0"/>
                <w:color w:val="FFFFFF" w:themeColor="background1"/>
                <w:sz w:val="24"/>
                <w:szCs w:val="18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  <w:szCs w:val="18"/>
              </w:rPr>
              <w:t>Impacts</w:t>
            </w:r>
          </w:p>
        </w:tc>
      </w:tr>
      <w:tr w:rsidR="0044397A" w:rsidRPr="005505E3" w14:paraId="780A397F" w14:textId="77777777" w:rsidTr="00AE2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5"/>
        </w:trPr>
        <w:tc>
          <w:tcPr>
            <w:tcW w:w="5000" w:type="pct"/>
            <w:gridSpan w:val="3"/>
            <w:tcBorders>
              <w:top w:val="single" w:sz="4" w:space="0" w:color="778E61" w:themeColor="accent2"/>
            </w:tcBorders>
            <w:shd w:val="clear" w:color="auto" w:fill="D8E2EC"/>
          </w:tcPr>
          <w:p w14:paraId="65899D9B" w14:textId="2731EB62" w:rsidR="005E6E22" w:rsidRPr="00445DBE" w:rsidRDefault="00445DBE" w:rsidP="005E6E2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bCs/>
                <w:szCs w:val="18"/>
              </w:rPr>
            </w:pPr>
            <w:r w:rsidRPr="00445DBE">
              <w:rPr>
                <w:rFonts w:ascii="Calibri" w:hAnsi="Calibri" w:cs="Calibri"/>
                <w:bCs/>
                <w:szCs w:val="18"/>
              </w:rPr>
              <w:t>Help to Buy will support 40,000 low- and middle- income households to purchase a home of their own and realise the social and economic benefits associated with home ownership.</w:t>
            </w:r>
            <w:r>
              <w:rPr>
                <w:rFonts w:ascii="Calibri" w:hAnsi="Calibri" w:cs="Calibri"/>
                <w:bCs/>
                <w:szCs w:val="18"/>
              </w:rPr>
              <w:t xml:space="preserve"> In particular, participants will benefit from </w:t>
            </w:r>
            <w:r w:rsidRPr="00445DBE">
              <w:rPr>
                <w:rFonts w:ascii="Calibri" w:hAnsi="Calibri" w:cs="Calibri"/>
                <w:b/>
                <w:szCs w:val="18"/>
              </w:rPr>
              <w:t xml:space="preserve">lower ongoing </w:t>
            </w:r>
            <w:r>
              <w:rPr>
                <w:rFonts w:ascii="Calibri" w:hAnsi="Calibri" w:cs="Calibri"/>
                <w:b/>
                <w:szCs w:val="18"/>
              </w:rPr>
              <w:t xml:space="preserve">mortgage </w:t>
            </w:r>
            <w:r w:rsidRPr="00445DBE">
              <w:rPr>
                <w:rFonts w:ascii="Calibri" w:hAnsi="Calibri" w:cs="Calibri"/>
                <w:b/>
                <w:szCs w:val="18"/>
              </w:rPr>
              <w:t>repayments</w:t>
            </w:r>
            <w:r>
              <w:rPr>
                <w:rFonts w:ascii="Calibri" w:hAnsi="Calibri" w:cs="Calibri"/>
                <w:bCs/>
                <w:szCs w:val="18"/>
              </w:rPr>
              <w:t xml:space="preserve">, no longer being required to participate in the rental market, and the </w:t>
            </w:r>
            <w:r w:rsidRPr="00445DBE">
              <w:rPr>
                <w:rFonts w:ascii="Calibri" w:hAnsi="Calibri" w:cs="Calibri"/>
                <w:b/>
                <w:szCs w:val="18"/>
              </w:rPr>
              <w:t>additional wealth accumulation</w:t>
            </w:r>
            <w:r>
              <w:rPr>
                <w:rFonts w:ascii="Calibri" w:hAnsi="Calibri" w:cs="Calibri"/>
                <w:bCs/>
                <w:szCs w:val="18"/>
              </w:rPr>
              <w:t xml:space="preserve"> associated with home ownership.</w:t>
            </w:r>
          </w:p>
          <w:p w14:paraId="7E2C6749" w14:textId="706D90B8" w:rsidR="00445DBE" w:rsidRPr="0018069E" w:rsidRDefault="00B66F99" w:rsidP="005E6E2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While p</w:t>
            </w:r>
            <w:r w:rsidRPr="0018069E">
              <w:rPr>
                <w:rFonts w:ascii="Calibri" w:hAnsi="Calibri" w:cs="Calibri"/>
                <w:szCs w:val="18"/>
              </w:rPr>
              <w:t xml:space="preserve">olicies </w:t>
            </w:r>
            <w:r w:rsidR="00445DBE" w:rsidRPr="0018069E">
              <w:rPr>
                <w:rFonts w:ascii="Calibri" w:hAnsi="Calibri" w:cs="Calibri"/>
                <w:szCs w:val="18"/>
              </w:rPr>
              <w:t xml:space="preserve">that increase the purchasing capacity of buyers can put </w:t>
            </w:r>
            <w:r w:rsidR="00445DBE" w:rsidRPr="00B66F99">
              <w:rPr>
                <w:rFonts w:ascii="Calibri" w:hAnsi="Calibri" w:cs="Calibri"/>
                <w:szCs w:val="18"/>
              </w:rPr>
              <w:t>upward pressure on housing prices</w:t>
            </w:r>
            <w:r w:rsidR="00445DBE" w:rsidRPr="0018069E">
              <w:rPr>
                <w:rFonts w:ascii="Calibri" w:hAnsi="Calibri" w:cs="Calibri"/>
                <w:szCs w:val="18"/>
              </w:rPr>
              <w:t xml:space="preserve"> by adding to demand</w:t>
            </w:r>
            <w:r>
              <w:rPr>
                <w:rFonts w:ascii="Calibri" w:hAnsi="Calibri" w:cs="Calibri"/>
                <w:szCs w:val="18"/>
              </w:rPr>
              <w:t>,</w:t>
            </w:r>
            <w:r w:rsidRPr="0018069E">
              <w:rPr>
                <w:rFonts w:ascii="Calibri" w:hAnsi="Calibri" w:cs="Calibri"/>
                <w:szCs w:val="18"/>
              </w:rPr>
              <w:t xml:space="preserve"> </w:t>
            </w:r>
            <w:r w:rsidR="00445DBE" w:rsidRPr="0018069E">
              <w:rPr>
                <w:rFonts w:ascii="Calibri" w:hAnsi="Calibri" w:cs="Calibri"/>
                <w:szCs w:val="18"/>
              </w:rPr>
              <w:t xml:space="preserve">Help to Buy is capped at 10,000 participants each year for 4 years. This </w:t>
            </w:r>
            <w:r w:rsidR="0018723C">
              <w:rPr>
                <w:rFonts w:ascii="Calibri" w:hAnsi="Calibri" w:cs="Calibri"/>
                <w:szCs w:val="18"/>
              </w:rPr>
              <w:t xml:space="preserve">helps to </w:t>
            </w:r>
            <w:r w:rsidR="00445DBE" w:rsidRPr="0018069E">
              <w:rPr>
                <w:rFonts w:ascii="Calibri" w:hAnsi="Calibri" w:cs="Calibri"/>
                <w:szCs w:val="18"/>
              </w:rPr>
              <w:t xml:space="preserve">ensure that </w:t>
            </w:r>
            <w:r w:rsidR="00445DBE" w:rsidRPr="0018069E">
              <w:rPr>
                <w:rFonts w:ascii="Calibri" w:hAnsi="Calibri" w:cs="Calibri"/>
                <w:b/>
                <w:bCs/>
                <w:szCs w:val="18"/>
              </w:rPr>
              <w:t>any impact</w:t>
            </w:r>
            <w:r w:rsidR="00445DBE" w:rsidRPr="0018069E">
              <w:rPr>
                <w:rFonts w:ascii="Calibri" w:hAnsi="Calibri" w:cs="Calibri"/>
                <w:szCs w:val="18"/>
              </w:rPr>
              <w:t xml:space="preserve"> of the scheme on housing prices </w:t>
            </w:r>
            <w:r w:rsidR="00445DBE" w:rsidRPr="0018069E">
              <w:rPr>
                <w:rFonts w:ascii="Calibri" w:hAnsi="Calibri" w:cs="Calibri"/>
                <w:b/>
                <w:bCs/>
                <w:szCs w:val="18"/>
              </w:rPr>
              <w:t>will be limited</w:t>
            </w:r>
            <w:r w:rsidR="00445DBE" w:rsidRPr="0018069E">
              <w:rPr>
                <w:rFonts w:ascii="Calibri" w:hAnsi="Calibri" w:cs="Calibri"/>
                <w:szCs w:val="18"/>
              </w:rPr>
              <w:t>.</w:t>
            </w:r>
          </w:p>
          <w:p w14:paraId="6E7ACCA8" w14:textId="3655DB2E" w:rsidR="0044397A" w:rsidRPr="00CE5EBF" w:rsidRDefault="00B66F99" w:rsidP="0013288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P</w:t>
            </w:r>
            <w:r w:rsidR="003C485E">
              <w:rPr>
                <w:rFonts w:ascii="Calibri" w:hAnsi="Calibri" w:cs="Calibri"/>
                <w:bCs/>
                <w:szCs w:val="18"/>
              </w:rPr>
              <w:t xml:space="preserve">articipation in the scheme </w:t>
            </w:r>
            <w:r w:rsidR="003C485E" w:rsidRPr="003C485E">
              <w:rPr>
                <w:rFonts w:ascii="Calibri" w:hAnsi="Calibri" w:cs="Calibri"/>
                <w:b/>
                <w:szCs w:val="18"/>
              </w:rPr>
              <w:t>will be voluntary</w:t>
            </w:r>
            <w:r w:rsidR="003C485E">
              <w:rPr>
                <w:rFonts w:ascii="Calibri" w:hAnsi="Calibri" w:cs="Calibri"/>
                <w:bCs/>
                <w:szCs w:val="18"/>
              </w:rPr>
              <w:t xml:space="preserve">, </w:t>
            </w:r>
            <w:r>
              <w:rPr>
                <w:rFonts w:ascii="Calibri" w:hAnsi="Calibri" w:cs="Calibri"/>
                <w:bCs/>
                <w:szCs w:val="18"/>
              </w:rPr>
              <w:t xml:space="preserve">but </w:t>
            </w:r>
            <w:r w:rsidR="003C485E">
              <w:rPr>
                <w:rFonts w:ascii="Calibri" w:hAnsi="Calibri" w:cs="Calibri"/>
                <w:bCs/>
                <w:szCs w:val="18"/>
              </w:rPr>
              <w:t xml:space="preserve">there will be some regulatory costs to individuals </w:t>
            </w:r>
            <w:r w:rsidR="00794A27">
              <w:rPr>
                <w:rFonts w:ascii="Calibri" w:hAnsi="Calibri" w:cs="Calibri"/>
                <w:bCs/>
                <w:szCs w:val="18"/>
              </w:rPr>
              <w:t xml:space="preserve">(scheme participants) </w:t>
            </w:r>
            <w:r w:rsidR="003C485E">
              <w:rPr>
                <w:rFonts w:ascii="Calibri" w:hAnsi="Calibri" w:cs="Calibri"/>
                <w:bCs/>
                <w:szCs w:val="18"/>
              </w:rPr>
              <w:t xml:space="preserve">and </w:t>
            </w:r>
            <w:r w:rsidR="00794A27">
              <w:rPr>
                <w:rFonts w:ascii="Calibri" w:hAnsi="Calibri" w:cs="Calibri"/>
                <w:bCs/>
                <w:szCs w:val="18"/>
              </w:rPr>
              <w:t>businesses (</w:t>
            </w:r>
            <w:r w:rsidR="006022BA">
              <w:rPr>
                <w:rFonts w:ascii="Calibri" w:hAnsi="Calibri" w:cs="Calibri"/>
                <w:bCs/>
                <w:szCs w:val="18"/>
              </w:rPr>
              <w:t xml:space="preserve">commercial </w:t>
            </w:r>
            <w:r w:rsidR="003C485E">
              <w:rPr>
                <w:rFonts w:ascii="Calibri" w:hAnsi="Calibri" w:cs="Calibri"/>
                <w:bCs/>
                <w:szCs w:val="18"/>
              </w:rPr>
              <w:t>lenders</w:t>
            </w:r>
            <w:r w:rsidR="00794A27">
              <w:rPr>
                <w:rFonts w:ascii="Calibri" w:hAnsi="Calibri" w:cs="Calibri"/>
                <w:bCs/>
                <w:szCs w:val="18"/>
              </w:rPr>
              <w:t>)</w:t>
            </w:r>
            <w:r w:rsidR="006022BA">
              <w:rPr>
                <w:rFonts w:ascii="Calibri" w:hAnsi="Calibri" w:cs="Calibri"/>
                <w:bCs/>
                <w:szCs w:val="18"/>
              </w:rPr>
              <w:t xml:space="preserve"> who participate</w:t>
            </w:r>
            <w:r w:rsidR="003C485E">
              <w:rPr>
                <w:rFonts w:ascii="Calibri" w:hAnsi="Calibri" w:cs="Calibri"/>
                <w:bCs/>
                <w:szCs w:val="18"/>
              </w:rPr>
              <w:t xml:space="preserve">. Treasury estimates that the average annual regulatory costs of the scheme will be </w:t>
            </w:r>
            <w:r w:rsidR="003C485E" w:rsidRPr="003C485E">
              <w:rPr>
                <w:rFonts w:ascii="Calibri" w:hAnsi="Calibri" w:cs="Calibri"/>
                <w:b/>
                <w:szCs w:val="18"/>
              </w:rPr>
              <w:t>approximately $5.88 million per year</w:t>
            </w:r>
            <w:r w:rsidR="003C485E">
              <w:rPr>
                <w:rFonts w:ascii="Calibri" w:hAnsi="Calibri" w:cs="Calibri"/>
                <w:bCs/>
                <w:szCs w:val="18"/>
              </w:rPr>
              <w:t xml:space="preserve"> over the first five years.</w:t>
            </w:r>
          </w:p>
        </w:tc>
      </w:tr>
      <w:tr w:rsidR="00152412" w:rsidRPr="005505E3" w14:paraId="07FD5BE5" w14:textId="77777777" w:rsidTr="00500883">
        <w:trPr>
          <w:trHeight w:val="324"/>
        </w:trPr>
        <w:tc>
          <w:tcPr>
            <w:tcW w:w="5000" w:type="pct"/>
            <w:gridSpan w:val="3"/>
            <w:tcBorders>
              <w:top w:val="single" w:sz="4" w:space="0" w:color="778E61" w:themeColor="accent2"/>
            </w:tcBorders>
            <w:shd w:val="clear" w:color="auto" w:fill="1C2B39"/>
          </w:tcPr>
          <w:p w14:paraId="3B4CAFB4" w14:textId="77777777" w:rsidR="00152412" w:rsidRPr="002B53AF" w:rsidRDefault="00500883" w:rsidP="00DB61AC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1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4"/>
                <w:szCs w:val="22"/>
              </w:rPr>
              <w:t>Who is impacted</w:t>
            </w:r>
          </w:p>
        </w:tc>
      </w:tr>
      <w:tr w:rsidR="0044397A" w:rsidRPr="005505E3" w14:paraId="748268F1" w14:textId="77777777" w:rsidTr="009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tcW w:w="1667" w:type="pct"/>
            <w:tcBorders>
              <w:top w:val="single" w:sz="4" w:space="0" w:color="778E61" w:themeColor="accent2"/>
            </w:tcBorders>
            <w:shd w:val="clear" w:color="auto" w:fill="1C2B39"/>
          </w:tcPr>
          <w:p w14:paraId="1DBB08F4" w14:textId="77777777" w:rsidR="0044397A" w:rsidRDefault="0044397A" w:rsidP="00DB61AC">
            <w:pPr>
              <w:spacing w:after="0" w:line="240" w:lineRule="auto"/>
              <w:rPr>
                <w:rFonts w:ascii="Calibri" w:hAnsi="Calibri" w:cs="Calibri"/>
                <w:b/>
                <w:color w:val="FFFFFF" w:themeColor="background1"/>
                <w:sz w:val="24"/>
                <w:szCs w:val="22"/>
              </w:rPr>
            </w:pPr>
            <w:r w:rsidRPr="002B53AF">
              <w:rPr>
                <w:rFonts w:ascii="Calibri" w:hAnsi="Calibri" w:cs="Calibri"/>
                <w:b/>
                <w:color w:val="FFFFFF" w:themeColor="background1"/>
                <w:sz w:val="24"/>
                <w:szCs w:val="22"/>
              </w:rPr>
              <w:t>Individuals</w:t>
            </w:r>
          </w:p>
        </w:tc>
        <w:tc>
          <w:tcPr>
            <w:tcW w:w="1667" w:type="pct"/>
            <w:tcBorders>
              <w:top w:val="single" w:sz="4" w:space="0" w:color="778E61" w:themeColor="accent2"/>
            </w:tcBorders>
            <w:shd w:val="clear" w:color="auto" w:fill="1C2B39"/>
          </w:tcPr>
          <w:p w14:paraId="2B534B4A" w14:textId="77777777" w:rsidR="0044397A" w:rsidRDefault="0044397A" w:rsidP="00DB61AC">
            <w:pPr>
              <w:spacing w:after="0" w:line="240" w:lineRule="auto"/>
              <w:rPr>
                <w:rFonts w:ascii="Calibri" w:hAnsi="Calibri" w:cs="Calibri"/>
                <w:b/>
                <w:color w:val="FFFFFF" w:themeColor="background1"/>
                <w:sz w:val="24"/>
                <w:szCs w:val="22"/>
              </w:rPr>
            </w:pPr>
            <w:r w:rsidRPr="002B53AF">
              <w:rPr>
                <w:rFonts w:ascii="Calibri" w:hAnsi="Calibri" w:cs="Calibri"/>
                <w:b/>
                <w:color w:val="FFFFFF" w:themeColor="background1"/>
                <w:sz w:val="24"/>
                <w:szCs w:val="22"/>
              </w:rPr>
              <w:t>Businesses</w:t>
            </w:r>
          </w:p>
        </w:tc>
        <w:tc>
          <w:tcPr>
            <w:tcW w:w="1667" w:type="pct"/>
            <w:tcBorders>
              <w:top w:val="single" w:sz="4" w:space="0" w:color="778E61" w:themeColor="accent2"/>
            </w:tcBorders>
            <w:shd w:val="clear" w:color="auto" w:fill="1C2B39"/>
          </w:tcPr>
          <w:p w14:paraId="357C16C6" w14:textId="77777777" w:rsidR="0044397A" w:rsidRDefault="0044397A" w:rsidP="00DB61AC">
            <w:pPr>
              <w:spacing w:after="0" w:line="240" w:lineRule="auto"/>
              <w:rPr>
                <w:rFonts w:ascii="Calibri" w:hAnsi="Calibri" w:cs="Calibri"/>
                <w:b/>
                <w:color w:val="FFFFFF" w:themeColor="background1"/>
                <w:sz w:val="24"/>
                <w:szCs w:val="22"/>
              </w:rPr>
            </w:pPr>
            <w:r w:rsidRPr="002B53AF">
              <w:rPr>
                <w:rFonts w:ascii="Calibri" w:hAnsi="Calibri" w:cs="Calibri"/>
                <w:b/>
                <w:color w:val="FFFFFF" w:themeColor="background1"/>
                <w:sz w:val="24"/>
                <w:szCs w:val="22"/>
              </w:rPr>
              <w:t>Community organisations</w:t>
            </w:r>
          </w:p>
        </w:tc>
      </w:tr>
      <w:tr w:rsidR="00BC75F1" w:rsidRPr="005505E3" w14:paraId="44ECB1AC" w14:textId="77777777" w:rsidTr="0097345C">
        <w:trPr>
          <w:trHeight w:val="1445"/>
        </w:trPr>
        <w:tc>
          <w:tcPr>
            <w:tcW w:w="1667" w:type="pct"/>
            <w:tcBorders>
              <w:top w:val="single" w:sz="2" w:space="0" w:color="FFFFFF" w:themeColor="background1"/>
            </w:tcBorders>
            <w:shd w:val="clear" w:color="auto" w:fill="D8E2EC"/>
          </w:tcPr>
          <w:p w14:paraId="69F63F30" w14:textId="0D13A71D" w:rsidR="008F491B" w:rsidRPr="0018069E" w:rsidRDefault="005A604E" w:rsidP="00BC75F1">
            <w:pPr>
              <w:spacing w:after="0" w:line="240" w:lineRule="auto"/>
              <w:rPr>
                <w:rFonts w:ascii="Calibri" w:hAnsi="Calibri" w:cs="Calibri"/>
                <w:szCs w:val="18"/>
              </w:rPr>
            </w:pPr>
            <w:r w:rsidRPr="003E69E1">
              <w:rPr>
                <w:rFonts w:ascii="Calibri" w:hAnsi="Calibri" w:cs="Calibri"/>
                <w:szCs w:val="18"/>
              </w:rPr>
              <w:t xml:space="preserve">Treasury estimates </w:t>
            </w:r>
            <w:r w:rsidR="00807D72" w:rsidRPr="003E69E1">
              <w:rPr>
                <w:rFonts w:ascii="Calibri" w:hAnsi="Calibri" w:cs="Calibri"/>
                <w:szCs w:val="18"/>
              </w:rPr>
              <w:t xml:space="preserve">the scheme </w:t>
            </w:r>
            <w:r w:rsidRPr="003E69E1">
              <w:rPr>
                <w:rFonts w:ascii="Calibri" w:hAnsi="Calibri" w:cs="Calibri"/>
                <w:szCs w:val="18"/>
              </w:rPr>
              <w:t xml:space="preserve">will result in </w:t>
            </w:r>
            <w:r w:rsidRPr="003E69E1">
              <w:rPr>
                <w:rFonts w:ascii="Calibri" w:hAnsi="Calibri" w:cs="Calibri"/>
                <w:b/>
                <w:bCs/>
                <w:szCs w:val="18"/>
              </w:rPr>
              <w:t>costs of approximately $41 per </w:t>
            </w:r>
            <w:r w:rsidR="006B4126" w:rsidRPr="003E69E1">
              <w:rPr>
                <w:rFonts w:ascii="Calibri" w:hAnsi="Calibri" w:cs="Calibri"/>
                <w:b/>
                <w:bCs/>
                <w:szCs w:val="18"/>
              </w:rPr>
              <w:t>participant</w:t>
            </w:r>
            <w:r w:rsidRPr="003E69E1">
              <w:rPr>
                <w:rFonts w:ascii="Calibri" w:hAnsi="Calibri" w:cs="Calibri"/>
                <w:szCs w:val="18"/>
              </w:rPr>
              <w:t xml:space="preserve"> each year, or </w:t>
            </w:r>
            <w:r w:rsidRPr="0018069E">
              <w:rPr>
                <w:rFonts w:ascii="Calibri" w:hAnsi="Calibri" w:cs="Calibri"/>
                <w:b/>
                <w:bCs/>
                <w:szCs w:val="18"/>
              </w:rPr>
              <w:t>$</w:t>
            </w:r>
            <w:r w:rsidRPr="003E69E1">
              <w:rPr>
                <w:rFonts w:ascii="Calibri" w:hAnsi="Calibri" w:cs="Calibri"/>
                <w:b/>
                <w:bCs/>
                <w:szCs w:val="18"/>
              </w:rPr>
              <w:t>1.406 million per year</w:t>
            </w:r>
            <w:r w:rsidRPr="003E69E1">
              <w:rPr>
                <w:rFonts w:ascii="Calibri" w:hAnsi="Calibri" w:cs="Calibri"/>
                <w:szCs w:val="18"/>
              </w:rPr>
              <w:t xml:space="preserve"> for the first five years.</w:t>
            </w:r>
          </w:p>
        </w:tc>
        <w:tc>
          <w:tcPr>
            <w:tcW w:w="1667" w:type="pct"/>
            <w:tcBorders>
              <w:top w:val="single" w:sz="2" w:space="0" w:color="FFFFFF" w:themeColor="background1"/>
            </w:tcBorders>
            <w:shd w:val="clear" w:color="auto" w:fill="D8E2EC"/>
          </w:tcPr>
          <w:p w14:paraId="26E2F519" w14:textId="6B1D744F" w:rsidR="00BC75F1" w:rsidRPr="0018069E" w:rsidRDefault="0018723C" w:rsidP="003C485E">
            <w:pPr>
              <w:spacing w:after="0" w:line="240" w:lineRule="auto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C</w:t>
            </w:r>
            <w:r w:rsidR="00E25E5F" w:rsidRPr="003E69E1">
              <w:rPr>
                <w:rFonts w:ascii="Calibri" w:hAnsi="Calibri" w:cs="Calibri"/>
                <w:bCs/>
                <w:szCs w:val="18"/>
              </w:rPr>
              <w:t xml:space="preserve">osts </w:t>
            </w:r>
            <w:r w:rsidR="008B2351" w:rsidRPr="003E69E1">
              <w:rPr>
                <w:rFonts w:ascii="Calibri" w:hAnsi="Calibri" w:cs="Calibri"/>
                <w:bCs/>
                <w:szCs w:val="18"/>
              </w:rPr>
              <w:t xml:space="preserve">to lenders </w:t>
            </w:r>
            <w:r w:rsidR="004A2EC6" w:rsidRPr="003E69E1">
              <w:rPr>
                <w:rFonts w:ascii="Calibri" w:hAnsi="Calibri" w:cs="Calibri"/>
                <w:bCs/>
                <w:szCs w:val="18"/>
              </w:rPr>
              <w:t xml:space="preserve">who </w:t>
            </w:r>
            <w:r w:rsidR="001672DE" w:rsidRPr="003E69E1">
              <w:rPr>
                <w:rFonts w:ascii="Calibri" w:hAnsi="Calibri" w:cs="Calibri"/>
                <w:bCs/>
                <w:szCs w:val="18"/>
              </w:rPr>
              <w:t>decide to participate in the scheme</w:t>
            </w:r>
            <w:r w:rsidR="0097345C">
              <w:rPr>
                <w:rFonts w:ascii="Calibri" w:hAnsi="Calibri" w:cs="Calibri"/>
                <w:bCs/>
                <w:szCs w:val="18"/>
              </w:rPr>
              <w:t xml:space="preserve"> are estimated by </w:t>
            </w:r>
            <w:r w:rsidR="00C46051" w:rsidRPr="003E69E1">
              <w:rPr>
                <w:rFonts w:ascii="Calibri" w:hAnsi="Calibri" w:cs="Calibri"/>
                <w:bCs/>
                <w:szCs w:val="18"/>
              </w:rPr>
              <w:t xml:space="preserve">Treasury </w:t>
            </w:r>
            <w:r w:rsidR="0097345C">
              <w:rPr>
                <w:rFonts w:ascii="Calibri" w:hAnsi="Calibri" w:cs="Calibri"/>
                <w:bCs/>
                <w:szCs w:val="18"/>
              </w:rPr>
              <w:t>to</w:t>
            </w:r>
            <w:r w:rsidR="00C46051" w:rsidRPr="003E69E1">
              <w:rPr>
                <w:rFonts w:ascii="Calibri" w:hAnsi="Calibri" w:cs="Calibri"/>
                <w:bCs/>
                <w:szCs w:val="18"/>
              </w:rPr>
              <w:t xml:space="preserve"> total </w:t>
            </w:r>
            <w:r w:rsidR="00C46051" w:rsidRPr="003E69E1">
              <w:rPr>
                <w:rFonts w:ascii="Calibri" w:hAnsi="Calibri" w:cs="Calibri"/>
                <w:b/>
                <w:szCs w:val="18"/>
              </w:rPr>
              <w:t>$4.474 million per year</w:t>
            </w:r>
            <w:r w:rsidR="00C46051" w:rsidRPr="003E69E1">
              <w:rPr>
                <w:rFonts w:ascii="Calibri" w:hAnsi="Calibri" w:cs="Calibri"/>
                <w:bCs/>
                <w:szCs w:val="18"/>
              </w:rPr>
              <w:t xml:space="preserve"> for the first five years.</w:t>
            </w:r>
            <w:r w:rsidR="00D958E9" w:rsidRPr="003E69E1">
              <w:rPr>
                <w:rFonts w:ascii="Calibri" w:hAnsi="Calibri" w:cs="Calibri"/>
                <w:noProof/>
                <w:lang w:eastAsia="en-AU"/>
              </w:rPr>
              <w:t xml:space="preserve"> </w:t>
            </w:r>
          </w:p>
        </w:tc>
        <w:tc>
          <w:tcPr>
            <w:tcW w:w="1667" w:type="pct"/>
            <w:tcBorders>
              <w:top w:val="single" w:sz="2" w:space="0" w:color="FFFFFF" w:themeColor="background1"/>
            </w:tcBorders>
            <w:shd w:val="clear" w:color="auto" w:fill="D8E2EC"/>
          </w:tcPr>
          <w:p w14:paraId="6BE17FB2" w14:textId="053B31B0" w:rsidR="00BC75F1" w:rsidRPr="003E69E1" w:rsidRDefault="003C485E" w:rsidP="00BC75F1">
            <w:pPr>
              <w:spacing w:after="0" w:line="240" w:lineRule="auto"/>
              <w:rPr>
                <w:rFonts w:ascii="Calibri" w:hAnsi="Calibri" w:cs="Calibri"/>
                <w:b/>
                <w:szCs w:val="18"/>
              </w:rPr>
            </w:pPr>
            <w:r w:rsidRPr="003E69E1">
              <w:rPr>
                <w:rFonts w:ascii="Calibri" w:hAnsi="Calibri" w:cs="Calibri"/>
                <w:szCs w:val="18"/>
              </w:rPr>
              <w:t xml:space="preserve">Help to Buy </w:t>
            </w:r>
            <w:r w:rsidR="00E520DA" w:rsidRPr="003E69E1">
              <w:rPr>
                <w:rFonts w:ascii="Calibri" w:hAnsi="Calibri" w:cs="Calibri"/>
                <w:szCs w:val="18"/>
              </w:rPr>
              <w:t xml:space="preserve">is not expected </w:t>
            </w:r>
            <w:r w:rsidR="001F43A5" w:rsidRPr="003E69E1">
              <w:rPr>
                <w:rFonts w:ascii="Calibri" w:hAnsi="Calibri" w:cs="Calibri"/>
                <w:szCs w:val="18"/>
              </w:rPr>
              <w:t xml:space="preserve">to </w:t>
            </w:r>
            <w:r w:rsidRPr="003E69E1">
              <w:rPr>
                <w:rFonts w:ascii="Calibri" w:hAnsi="Calibri" w:cs="Calibri"/>
                <w:szCs w:val="18"/>
              </w:rPr>
              <w:t>involve any costs for community organisations.</w:t>
            </w:r>
          </w:p>
        </w:tc>
      </w:tr>
    </w:tbl>
    <w:p w14:paraId="4768DD70" w14:textId="764D92F5" w:rsidR="00E2196D" w:rsidRPr="00E2196D" w:rsidRDefault="0018069E" w:rsidP="00E2196D">
      <w:pPr>
        <w:pStyle w:val="BOXHeading2"/>
        <w:ind w:firstLine="493"/>
        <w:rPr>
          <w:noProof/>
        </w:rPr>
      </w:pPr>
      <w:r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2BC99AE7" wp14:editId="33172729">
            <wp:simplePos x="0" y="0"/>
            <wp:positionH relativeFrom="margin">
              <wp:align>left</wp:align>
            </wp:positionH>
            <wp:positionV relativeFrom="margin">
              <wp:posOffset>6833235</wp:posOffset>
            </wp:positionV>
            <wp:extent cx="497205" cy="497205"/>
            <wp:effectExtent l="0" t="0" r="0" b="0"/>
            <wp:wrapNone/>
            <wp:docPr id="2" name="Picture 2" descr="Icons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s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9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96D">
        <w:rPr>
          <w:noProof/>
        </w:rPr>
        <w:t xml:space="preserve">  </w:t>
      </w:r>
      <w:r w:rsidR="002D37AE">
        <w:rPr>
          <w:noProof/>
        </w:rPr>
        <w:t>O</w:t>
      </w:r>
      <w:r w:rsidR="00D9417E">
        <w:rPr>
          <w:noProof/>
        </w:rPr>
        <w:t>ther</w:t>
      </w:r>
      <w:r w:rsidR="00E2196D" w:rsidRPr="00E2196D">
        <w:rPr>
          <w:noProof/>
        </w:rPr>
        <w:t xml:space="preserve"> </w:t>
      </w:r>
      <w:r w:rsidR="00E2196D">
        <w:rPr>
          <w:noProof/>
        </w:rPr>
        <w:t>considerations</w:t>
      </w:r>
      <w:r w:rsidR="002D37AE">
        <w:rPr>
          <w:noProof/>
        </w:rPr>
        <w:t xml:space="preserve"> and i</w:t>
      </w:r>
      <w:r w:rsidR="002D37AE" w:rsidRPr="00534819">
        <w:rPr>
          <w:noProof/>
        </w:rPr>
        <w:t>mplementation</w:t>
      </w:r>
    </w:p>
    <w:p w14:paraId="3C0A7939" w14:textId="271344A8" w:rsidR="000770FA" w:rsidRPr="0018069E" w:rsidRDefault="00CE5EBF" w:rsidP="000770FA">
      <w:pPr>
        <w:pStyle w:val="BOXBulletedList"/>
        <w:spacing w:after="0"/>
        <w:rPr>
          <w:rFonts w:ascii="Calibri" w:hAnsi="Calibri" w:cs="Calibri"/>
          <w:bCs/>
        </w:rPr>
      </w:pPr>
      <w:r w:rsidRPr="0018069E">
        <w:rPr>
          <w:rFonts w:ascii="Calibri" w:hAnsi="Calibri" w:cs="Calibri"/>
        </w:rPr>
        <w:t xml:space="preserve">As the </w:t>
      </w:r>
      <w:r w:rsidR="00934EA1">
        <w:rPr>
          <w:rFonts w:ascii="Calibri" w:hAnsi="Calibri" w:cs="Calibri"/>
        </w:rPr>
        <w:t>s</w:t>
      </w:r>
      <w:r w:rsidRPr="0018069E">
        <w:rPr>
          <w:rFonts w:ascii="Calibri" w:hAnsi="Calibri" w:cs="Calibri"/>
        </w:rPr>
        <w:t xml:space="preserve">cheme is a Government </w:t>
      </w:r>
      <w:r w:rsidRPr="0018069E">
        <w:rPr>
          <w:rFonts w:ascii="Calibri" w:hAnsi="Calibri" w:cs="Calibri"/>
          <w:b/>
          <w:bCs/>
        </w:rPr>
        <w:t>election commitment</w:t>
      </w:r>
      <w:r w:rsidRPr="0018069E">
        <w:rPr>
          <w:rFonts w:ascii="Calibri" w:hAnsi="Calibri" w:cs="Calibri"/>
        </w:rPr>
        <w:t xml:space="preserve">, the policy </w:t>
      </w:r>
      <w:r w:rsidR="0097345C">
        <w:rPr>
          <w:rFonts w:ascii="Calibri" w:hAnsi="Calibri" w:cs="Calibri"/>
        </w:rPr>
        <w:t xml:space="preserve">has been compared only </w:t>
      </w:r>
      <w:r w:rsidRPr="0018069E">
        <w:rPr>
          <w:rFonts w:ascii="Calibri" w:hAnsi="Calibri" w:cs="Calibri"/>
        </w:rPr>
        <w:t>against the status quo, in accordance with Office of Impact Analysis guidance.</w:t>
      </w:r>
    </w:p>
    <w:p w14:paraId="4484D06E" w14:textId="3181D423" w:rsidR="002D37AE" w:rsidRPr="0018069E" w:rsidRDefault="00336053" w:rsidP="00445DBE">
      <w:pPr>
        <w:pStyle w:val="BOXBulletedList"/>
        <w:spacing w:after="0"/>
        <w:rPr>
          <w:rFonts w:ascii="Calibri" w:hAnsi="Calibri" w:cs="Calibri"/>
          <w:bCs/>
        </w:rPr>
      </w:pPr>
      <w:r w:rsidRPr="004F3DF6">
        <w:rPr>
          <w:rFonts w:ascii="Calibri" w:hAnsi="Calibri" w:cs="Calibri"/>
          <w:b/>
        </w:rPr>
        <w:t>Housing Australia</w:t>
      </w:r>
      <w:r>
        <w:rPr>
          <w:rFonts w:ascii="Calibri" w:hAnsi="Calibri" w:cs="Calibri"/>
          <w:bCs/>
        </w:rPr>
        <w:t xml:space="preserve"> is responsible for implementing the Help to Buy scheme</w:t>
      </w:r>
      <w:r w:rsidR="00197EE5">
        <w:rPr>
          <w:rFonts w:ascii="Calibri" w:hAnsi="Calibri" w:cs="Calibri"/>
          <w:bCs/>
        </w:rPr>
        <w:t xml:space="preserve"> and will be supported by a </w:t>
      </w:r>
      <w:r w:rsidR="00197EE5" w:rsidRPr="004F3DF6">
        <w:rPr>
          <w:rFonts w:ascii="Calibri" w:hAnsi="Calibri" w:cs="Calibri"/>
          <w:b/>
        </w:rPr>
        <w:t>panel of participating lenders</w:t>
      </w:r>
      <w:r w:rsidR="00197EE5">
        <w:rPr>
          <w:rFonts w:ascii="Calibri" w:hAnsi="Calibri" w:cs="Calibri"/>
          <w:bCs/>
        </w:rPr>
        <w:t xml:space="preserve">. </w:t>
      </w:r>
      <w:r w:rsidR="001636C5" w:rsidRPr="0018069E">
        <w:rPr>
          <w:rFonts w:ascii="Calibri" w:hAnsi="Calibri" w:cs="Calibri"/>
          <w:bCs/>
        </w:rPr>
        <w:t>It is expected that Housing Australia will engage</w:t>
      </w:r>
      <w:r w:rsidR="0097345C">
        <w:rPr>
          <w:rFonts w:ascii="Calibri" w:hAnsi="Calibri" w:cs="Calibri"/>
          <w:bCs/>
        </w:rPr>
        <w:t xml:space="preserve"> with participants and monitor delivery of the scheme</w:t>
      </w:r>
      <w:r w:rsidR="001636C5" w:rsidRPr="0018069E">
        <w:rPr>
          <w:rFonts w:ascii="Calibri" w:hAnsi="Calibri" w:cs="Calibri"/>
          <w:bCs/>
        </w:rPr>
        <w:t xml:space="preserve"> to </w:t>
      </w:r>
      <w:r w:rsidR="0097345C">
        <w:rPr>
          <w:rFonts w:ascii="Calibri" w:hAnsi="Calibri" w:cs="Calibri"/>
          <w:bCs/>
        </w:rPr>
        <w:t xml:space="preserve">manage risks, </w:t>
      </w:r>
      <w:r w:rsidR="001636C5" w:rsidRPr="0018069E">
        <w:rPr>
          <w:rFonts w:ascii="Calibri" w:hAnsi="Calibri" w:cs="Calibri"/>
          <w:bCs/>
        </w:rPr>
        <w:t>limit disruptions and ensure any additional costs are minimised for all parties.</w:t>
      </w:r>
    </w:p>
    <w:sectPr w:rsidR="002D37AE" w:rsidRPr="0018069E" w:rsidSect="003C1C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567" w:bottom="1418" w:left="567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B6BDF" w14:textId="77777777" w:rsidR="00C45D81" w:rsidRDefault="00C45D81" w:rsidP="00F957C6">
      <w:pPr>
        <w:spacing w:after="0" w:line="240" w:lineRule="auto"/>
      </w:pPr>
      <w:r>
        <w:separator/>
      </w:r>
    </w:p>
  </w:endnote>
  <w:endnote w:type="continuationSeparator" w:id="0">
    <w:p w14:paraId="3917F7A3" w14:textId="77777777" w:rsidR="00C45D81" w:rsidRDefault="00C45D81" w:rsidP="00F957C6">
      <w:pPr>
        <w:spacing w:after="0" w:line="240" w:lineRule="auto"/>
      </w:pPr>
      <w:r>
        <w:continuationSeparator/>
      </w:r>
    </w:p>
  </w:endnote>
  <w:endnote w:type="continuationNotice" w:id="1">
    <w:p w14:paraId="4D9A8CE8" w14:textId="77777777" w:rsidR="00C45D81" w:rsidRDefault="00C45D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BA3B" w14:textId="6D6626A5" w:rsidR="00DD1E8C" w:rsidRDefault="00DD1E8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2E57125" wp14:editId="47C1E2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4970"/>
              <wp:effectExtent l="0" t="0" r="635" b="0"/>
              <wp:wrapNone/>
              <wp:docPr id="687582464" name="Text Box 5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0B514" w14:textId="772F89EB" w:rsidR="00DD1E8C" w:rsidRPr="00DD1E8C" w:rsidRDefault="00DD1E8C" w:rsidP="00DD1E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1E8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571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1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" filled="f" stroked="f">
              <v:textbox style="mso-fit-shape-to-text:t" inset="0,0,0,15pt">
                <w:txbxContent>
                  <w:p w14:paraId="3500B514" w14:textId="772F89EB" w:rsidR="00DD1E8C" w:rsidRPr="00DD1E8C" w:rsidRDefault="00DD1E8C" w:rsidP="00DD1E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1E8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8D73" w14:textId="1592564B" w:rsidR="00D10635" w:rsidRPr="00F86700" w:rsidRDefault="00DD1E8C" w:rsidP="00F86700">
    <w:pPr>
      <w:pStyle w:val="CLASSIFICATION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A052F53" wp14:editId="02F61A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4970"/>
              <wp:effectExtent l="0" t="0" r="635" b="0"/>
              <wp:wrapNone/>
              <wp:docPr id="325186252" name="Text Box 6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52ED5" w14:textId="45029DAF" w:rsidR="00DD1E8C" w:rsidRPr="00DD1E8C" w:rsidRDefault="00DD1E8C" w:rsidP="00DD1E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1E8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52F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1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" filled="f" stroked="f">
              <v:textbox style="mso-fit-shape-to-text:t" inset="0,0,0,15pt">
                <w:txbxContent>
                  <w:p w14:paraId="7DA52ED5" w14:textId="45029DAF" w:rsidR="00DD1E8C" w:rsidRPr="00DD1E8C" w:rsidRDefault="00DD1E8C" w:rsidP="00DD1E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1E8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CLASSIFICATIONChar"/>
          <w:caps/>
        </w:rPr>
        <w:alias w:val="Classification"/>
        <w:tag w:val="Classification"/>
        <w:id w:val="-1876923508"/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Protected: Cabinet" w:value="Protected: Cabinet"/>
          <w:listItem w:displayText="Secret" w:value="5"/>
          <w:listItem w:displayText="Top Secret and Codeword" w:value="6"/>
        </w:dropDownList>
      </w:sdtPr>
      <w:sdtEndPr>
        <w:rPr>
          <w:rStyle w:val="CLASSIFICATIONChar"/>
        </w:rPr>
      </w:sdtEndPr>
      <w:sdtContent>
        <w:r w:rsidR="00F64736">
          <w:rPr>
            <w:rStyle w:val="CLASSIFICATIONChar"/>
            <w:caps/>
          </w:rPr>
          <w:t>Classification</w:t>
        </w:r>
      </w:sdtContent>
    </w:sdt>
  </w:p>
  <w:p w14:paraId="672934C4" w14:textId="417BBFC8" w:rsidR="00037513" w:rsidRPr="00852F35" w:rsidRDefault="005A3632" w:rsidP="00D10635">
    <w:pPr>
      <w:pStyle w:val="Header"/>
      <w:rPr>
        <w:rFonts w:ascii="Segoe UI" w:hAnsi="Segoe UI" w:cs="Segoe UI"/>
        <w:color w:val="6E6E6E"/>
        <w:sz w:val="18"/>
      </w:rPr>
    </w:pPr>
    <w:r>
      <w:rPr>
        <w:color w:val="6E6E6E"/>
        <w:sz w:val="18"/>
        <w:szCs w:val="18"/>
      </w:rPr>
      <w:t xml:space="preserve">Australian Government </w:t>
    </w:r>
    <w:r w:rsidR="00037513" w:rsidRPr="00852F35">
      <w:rPr>
        <w:color w:val="6E6E6E"/>
        <w:sz w:val="18"/>
        <w:szCs w:val="18"/>
      </w:rPr>
      <w:t xml:space="preserve">| </w:t>
    </w:r>
    <w:r w:rsidR="00F12B1D">
      <w:rPr>
        <w:color w:val="6E6E6E"/>
        <w:sz w:val="18"/>
        <w:szCs w:val="18"/>
      </w:rPr>
      <w:t>Help to Buy  Shared Equity Scheme</w:t>
    </w:r>
    <w:r w:rsidR="00037513" w:rsidRPr="00852F35">
      <w:rPr>
        <w:color w:val="6E6E6E"/>
      </w:rPr>
      <w:ptab w:relativeTo="margin" w:alignment="right" w:leader="none"/>
    </w:r>
    <w:r w:rsidR="00037513" w:rsidRPr="00852F35">
      <w:rPr>
        <w:rFonts w:ascii="Segoe UI" w:hAnsi="Segoe UI" w:cs="Segoe UI"/>
        <w:color w:val="6E6E6E"/>
        <w:sz w:val="18"/>
      </w:rPr>
      <w:fldChar w:fldCharType="begin"/>
    </w:r>
    <w:r w:rsidR="00037513"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="00037513" w:rsidRPr="00852F35">
      <w:rPr>
        <w:rFonts w:ascii="Segoe UI" w:hAnsi="Segoe UI" w:cs="Segoe UI"/>
        <w:color w:val="6E6E6E"/>
        <w:sz w:val="18"/>
      </w:rPr>
      <w:fldChar w:fldCharType="separate"/>
    </w:r>
    <w:r w:rsidR="002D37AE">
      <w:rPr>
        <w:rFonts w:ascii="Segoe UI" w:hAnsi="Segoe UI" w:cs="Segoe UI"/>
        <w:noProof/>
        <w:color w:val="6E6E6E"/>
        <w:sz w:val="18"/>
      </w:rPr>
      <w:t>2</w:t>
    </w:r>
    <w:r w:rsidR="00037513"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CD175" w14:textId="501B21F0" w:rsidR="00464D89" w:rsidRDefault="00464D89" w:rsidP="00464D89">
    <w:pPr>
      <w:pStyle w:val="Header"/>
      <w:jc w:val="center"/>
    </w:pPr>
    <w:bookmarkStart w:id="1" w:name="_GoBack"/>
    <w:bookmarkEnd w:id="1"/>
  </w:p>
  <w:p w14:paraId="2FEC7A6E" w14:textId="2C4F8B90" w:rsidR="00464D89" w:rsidRPr="00BB1526" w:rsidRDefault="005A3632" w:rsidP="00BB1526">
    <w:pPr>
      <w:pStyle w:val="Header"/>
      <w:rPr>
        <w:rFonts w:ascii="Segoe UI" w:hAnsi="Segoe UI" w:cs="Segoe UI"/>
        <w:color w:val="6E6E6E"/>
        <w:sz w:val="18"/>
      </w:rPr>
    </w:pPr>
    <w:r>
      <w:rPr>
        <w:color w:val="6E6E6E"/>
        <w:sz w:val="18"/>
        <w:szCs w:val="18"/>
      </w:rPr>
      <w:t xml:space="preserve">Australian Government </w:t>
    </w:r>
    <w:r w:rsidRPr="00852F35">
      <w:rPr>
        <w:color w:val="6E6E6E"/>
        <w:sz w:val="18"/>
        <w:szCs w:val="18"/>
      </w:rPr>
      <w:t>|</w:t>
    </w:r>
    <w:r w:rsidR="00BB1526" w:rsidRPr="00852F35">
      <w:rPr>
        <w:color w:val="6E6E6E"/>
        <w:sz w:val="18"/>
        <w:szCs w:val="18"/>
      </w:rPr>
      <w:t xml:space="preserve"> </w:t>
    </w:r>
    <w:r w:rsidR="00F12B1D">
      <w:rPr>
        <w:color w:val="6E6E6E"/>
        <w:sz w:val="18"/>
        <w:szCs w:val="18"/>
      </w:rPr>
      <w:t>Help to Buy  Shared Equity Scheme</w:t>
    </w:r>
    <w:r w:rsidR="00BB1526" w:rsidRPr="00852F35">
      <w:rPr>
        <w:color w:val="6E6E6E"/>
      </w:rPr>
      <w:ptab w:relativeTo="margin" w:alignment="right" w:leader="none"/>
    </w:r>
    <w:r w:rsidR="00BB1526" w:rsidRPr="00852F35">
      <w:rPr>
        <w:rFonts w:ascii="Segoe UI" w:hAnsi="Segoe UI" w:cs="Segoe UI"/>
        <w:color w:val="6E6E6E"/>
        <w:sz w:val="18"/>
      </w:rPr>
      <w:fldChar w:fldCharType="begin"/>
    </w:r>
    <w:r w:rsidR="00BB1526"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="00BB1526" w:rsidRPr="00852F35">
      <w:rPr>
        <w:rFonts w:ascii="Segoe UI" w:hAnsi="Segoe UI" w:cs="Segoe UI"/>
        <w:color w:val="6E6E6E"/>
        <w:sz w:val="18"/>
      </w:rPr>
      <w:fldChar w:fldCharType="separate"/>
    </w:r>
    <w:r w:rsidR="00900BF5">
      <w:rPr>
        <w:rFonts w:ascii="Segoe UI" w:hAnsi="Segoe UI" w:cs="Segoe UI"/>
        <w:noProof/>
        <w:color w:val="6E6E6E"/>
        <w:sz w:val="18"/>
      </w:rPr>
      <w:t>1</w:t>
    </w:r>
    <w:r w:rsidR="00BB1526"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28C05" w14:textId="77777777" w:rsidR="00C45D81" w:rsidRDefault="00C45D81" w:rsidP="00F957C6">
      <w:pPr>
        <w:spacing w:after="0" w:line="240" w:lineRule="auto"/>
      </w:pPr>
      <w:r>
        <w:separator/>
      </w:r>
    </w:p>
  </w:footnote>
  <w:footnote w:type="continuationSeparator" w:id="0">
    <w:p w14:paraId="66AC41B3" w14:textId="77777777" w:rsidR="00C45D81" w:rsidRDefault="00C45D81" w:rsidP="00F957C6">
      <w:pPr>
        <w:spacing w:after="0" w:line="240" w:lineRule="auto"/>
      </w:pPr>
      <w:r>
        <w:continuationSeparator/>
      </w:r>
    </w:p>
  </w:footnote>
  <w:footnote w:type="continuationNotice" w:id="1">
    <w:p w14:paraId="27D9931A" w14:textId="77777777" w:rsidR="00C45D81" w:rsidRDefault="00C45D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DB3F6" w14:textId="48D5E121" w:rsidR="00DD1E8C" w:rsidRDefault="00DD1E8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02A9A0F" wp14:editId="16221D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4970"/>
              <wp:effectExtent l="0" t="0" r="635" b="5080"/>
              <wp:wrapNone/>
              <wp:docPr id="1771014741" name="Text Box 2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39660" w14:textId="091CCECC" w:rsidR="00DD1E8C" w:rsidRPr="00DD1E8C" w:rsidRDefault="00DD1E8C" w:rsidP="00DD1E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1E8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2A9A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1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" filled="f" stroked="f">
              <v:textbox style="mso-fit-shape-to-text:t" inset="0,15pt,0,0">
                <w:txbxContent>
                  <w:p w14:paraId="4F339660" w14:textId="091CCECC" w:rsidR="00DD1E8C" w:rsidRPr="00DD1E8C" w:rsidRDefault="00DD1E8C" w:rsidP="00DD1E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1E8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0CBBA" w14:textId="7A862B54" w:rsidR="00037513" w:rsidRPr="00D10635" w:rsidRDefault="00DD1E8C" w:rsidP="00464D89">
    <w:pPr>
      <w:pStyle w:val="Header"/>
      <w:jc w:val="center"/>
    </w:pPr>
    <w:r>
      <w:rPr>
        <w:rFonts w:ascii="Segoe UI" w:hAnsi="Segoe UI"/>
        <w:caps/>
        <w:noProof/>
        <w:color w:val="C00000"/>
        <w:sz w:val="18"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8393772" wp14:editId="44AC93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4970"/>
              <wp:effectExtent l="0" t="0" r="635" b="5080"/>
              <wp:wrapNone/>
              <wp:docPr id="1081998075" name="Text Box 3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5310A4" w14:textId="4DB22BCF" w:rsidR="00DD1E8C" w:rsidRPr="00DD1E8C" w:rsidRDefault="00DD1E8C" w:rsidP="00DD1E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1E8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937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1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" filled="f" stroked="f">
              <v:textbox style="mso-fit-shape-to-text:t" inset="0,15pt,0,0">
                <w:txbxContent>
                  <w:p w14:paraId="405310A4" w14:textId="4DB22BCF" w:rsidR="00DD1E8C" w:rsidRPr="00DD1E8C" w:rsidRDefault="00DD1E8C" w:rsidP="00DD1E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1E8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CLASSIFICATIONChar"/>
        </w:rPr>
        <w:alias w:val="Classification"/>
        <w:tag w:val="Classification"/>
        <w:id w:val="-1388651098"/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Protected: Cabinet" w:value="Protected: Cabinet"/>
          <w:listItem w:displayText="Secret" w:value="5"/>
          <w:listItem w:displayText="Top Secret and Codeword" w:value="6"/>
        </w:dropDownList>
      </w:sdtPr>
      <w:sdtEndPr>
        <w:rPr>
          <w:rStyle w:val="CLASSIFICATIONChar"/>
        </w:rPr>
      </w:sdtEndPr>
      <w:sdtContent>
        <w:r w:rsidR="00F64736">
          <w:rPr>
            <w:rStyle w:val="CLASSIFICATIONChar"/>
          </w:rPr>
          <w:t>Classification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B38A6" w14:textId="7DFDFD6F" w:rsidR="00037513" w:rsidRDefault="005A3632" w:rsidP="00D75A12">
    <w:pPr>
      <w:pStyle w:val="Header"/>
      <w:jc w:val="center"/>
    </w:pPr>
    <w:r>
      <w:rPr>
        <w:rStyle w:val="CLASSIFICATIONChar"/>
        <w:noProof/>
        <w:lang w:eastAsia="en-AU"/>
      </w:rPr>
      <w:drawing>
        <wp:anchor distT="0" distB="0" distL="114300" distR="114300" simplePos="0" relativeHeight="251658240" behindDoc="1" locked="0" layoutInCell="1" allowOverlap="1" wp14:anchorId="2E4480B1" wp14:editId="13F09917">
          <wp:simplePos x="0" y="0"/>
          <wp:positionH relativeFrom="column">
            <wp:posOffset>-48895</wp:posOffset>
          </wp:positionH>
          <wp:positionV relativeFrom="paragraph">
            <wp:posOffset>-305435</wp:posOffset>
          </wp:positionV>
          <wp:extent cx="2120900" cy="567622"/>
          <wp:effectExtent l="0" t="0" r="0" b="444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5676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5BFDAF" w14:textId="77777777" w:rsidR="00307C87" w:rsidRDefault="00307C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7655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17A4C0A"/>
    <w:multiLevelType w:val="hybridMultilevel"/>
    <w:tmpl w:val="C1C2D7D8"/>
    <w:lvl w:ilvl="0" w:tplc="20082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CB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60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E5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49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C6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CA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4C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AC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C21BDF"/>
    <w:multiLevelType w:val="hybridMultilevel"/>
    <w:tmpl w:val="CD140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7CDA"/>
    <w:multiLevelType w:val="hybridMultilevel"/>
    <w:tmpl w:val="108E5D92"/>
    <w:lvl w:ilvl="0" w:tplc="3962C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4D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2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A8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C1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0A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8D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68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761DA0"/>
    <w:multiLevelType w:val="hybridMultilevel"/>
    <w:tmpl w:val="5CEAEDEC"/>
    <w:lvl w:ilvl="0" w:tplc="1D525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8F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4B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C2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4D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6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68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6B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29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4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21"/>
  </w:num>
  <w:num w:numId="20">
    <w:abstractNumId w:val="21"/>
    <w:lvlOverride w:ilvl="0">
      <w:startOverride w:val="1"/>
    </w:lvlOverride>
  </w:num>
  <w:num w:numId="21">
    <w:abstractNumId w:val="25"/>
  </w:num>
  <w:num w:numId="22">
    <w:abstractNumId w:val="23"/>
  </w:num>
  <w:num w:numId="23">
    <w:abstractNumId w:val="11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14"/>
  </w:num>
  <w:num w:numId="28">
    <w:abstractNumId w:val="20"/>
  </w:num>
  <w:num w:numId="29">
    <w:abstractNumId w:val="13"/>
  </w:num>
  <w:num w:numId="30">
    <w:abstractNumId w:val="15"/>
  </w:num>
  <w:num w:numId="31">
    <w:abstractNumId w:val="12"/>
  </w:num>
  <w:num w:numId="32">
    <w:abstractNumId w:val="25"/>
    <w:lvlOverride w:ilvl="0">
      <w:startOverride w:val="1"/>
    </w:lvlOverride>
  </w:num>
  <w:num w:numId="33">
    <w:abstractNumId w:val="25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24"/>
    <w:lvlOverride w:ilvl="0">
      <w:startOverride w:val="1"/>
    </w:lvlOverride>
  </w:num>
  <w:num w:numId="36">
    <w:abstractNumId w:val="24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22"/>
  </w:num>
  <w:num w:numId="39">
    <w:abstractNumId w:val="19"/>
  </w:num>
  <w:num w:numId="40">
    <w:abstractNumId w:val="1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removePersonalInformation/>
  <w:removeDateAndTime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F3"/>
    <w:rsid w:val="00002684"/>
    <w:rsid w:val="00003AF2"/>
    <w:rsid w:val="00020E57"/>
    <w:rsid w:val="000214D2"/>
    <w:rsid w:val="000222FE"/>
    <w:rsid w:val="0002436F"/>
    <w:rsid w:val="00027038"/>
    <w:rsid w:val="0003154E"/>
    <w:rsid w:val="00032139"/>
    <w:rsid w:val="00034640"/>
    <w:rsid w:val="00037513"/>
    <w:rsid w:val="0005052B"/>
    <w:rsid w:val="0006501B"/>
    <w:rsid w:val="000650E9"/>
    <w:rsid w:val="0006627F"/>
    <w:rsid w:val="000668BB"/>
    <w:rsid w:val="00066F45"/>
    <w:rsid w:val="000737C1"/>
    <w:rsid w:val="000770FA"/>
    <w:rsid w:val="00080B17"/>
    <w:rsid w:val="00085B17"/>
    <w:rsid w:val="000945F3"/>
    <w:rsid w:val="000B1672"/>
    <w:rsid w:val="000B3417"/>
    <w:rsid w:val="000B6A28"/>
    <w:rsid w:val="000C4980"/>
    <w:rsid w:val="000C65DF"/>
    <w:rsid w:val="000C718D"/>
    <w:rsid w:val="000D2CF8"/>
    <w:rsid w:val="000D61B3"/>
    <w:rsid w:val="000D749D"/>
    <w:rsid w:val="000F416C"/>
    <w:rsid w:val="00115264"/>
    <w:rsid w:val="00117A77"/>
    <w:rsid w:val="00125770"/>
    <w:rsid w:val="00132068"/>
    <w:rsid w:val="00132887"/>
    <w:rsid w:val="001463A6"/>
    <w:rsid w:val="00147B5E"/>
    <w:rsid w:val="00147E4C"/>
    <w:rsid w:val="00150AF7"/>
    <w:rsid w:val="00151240"/>
    <w:rsid w:val="00152412"/>
    <w:rsid w:val="0015402E"/>
    <w:rsid w:val="0015536E"/>
    <w:rsid w:val="001611BF"/>
    <w:rsid w:val="001632DE"/>
    <w:rsid w:val="001636C5"/>
    <w:rsid w:val="001672DE"/>
    <w:rsid w:val="0017436A"/>
    <w:rsid w:val="00175841"/>
    <w:rsid w:val="0018069E"/>
    <w:rsid w:val="0018241F"/>
    <w:rsid w:val="00182DBC"/>
    <w:rsid w:val="0018723C"/>
    <w:rsid w:val="00187EA5"/>
    <w:rsid w:val="001908C0"/>
    <w:rsid w:val="001954B4"/>
    <w:rsid w:val="00197EE5"/>
    <w:rsid w:val="001A7155"/>
    <w:rsid w:val="001B2134"/>
    <w:rsid w:val="001B2D56"/>
    <w:rsid w:val="001B4E1B"/>
    <w:rsid w:val="001B6B2C"/>
    <w:rsid w:val="001C5831"/>
    <w:rsid w:val="001D0A6B"/>
    <w:rsid w:val="001D16C5"/>
    <w:rsid w:val="001E131F"/>
    <w:rsid w:val="001E17CB"/>
    <w:rsid w:val="001E2625"/>
    <w:rsid w:val="001F43A5"/>
    <w:rsid w:val="001F6E20"/>
    <w:rsid w:val="002002ED"/>
    <w:rsid w:val="00202BCF"/>
    <w:rsid w:val="00202E07"/>
    <w:rsid w:val="00204457"/>
    <w:rsid w:val="002114E5"/>
    <w:rsid w:val="00212443"/>
    <w:rsid w:val="00212793"/>
    <w:rsid w:val="00214A09"/>
    <w:rsid w:val="00220DDA"/>
    <w:rsid w:val="00223646"/>
    <w:rsid w:val="00227DB5"/>
    <w:rsid w:val="00230916"/>
    <w:rsid w:val="00230D4B"/>
    <w:rsid w:val="002336DD"/>
    <w:rsid w:val="00255046"/>
    <w:rsid w:val="00262948"/>
    <w:rsid w:val="00266CCC"/>
    <w:rsid w:val="00267394"/>
    <w:rsid w:val="0027026F"/>
    <w:rsid w:val="00274D42"/>
    <w:rsid w:val="002765AA"/>
    <w:rsid w:val="00285CAF"/>
    <w:rsid w:val="002A137E"/>
    <w:rsid w:val="002A1705"/>
    <w:rsid w:val="002A7E23"/>
    <w:rsid w:val="002B3DC3"/>
    <w:rsid w:val="002B53AF"/>
    <w:rsid w:val="002B661A"/>
    <w:rsid w:val="002C0F39"/>
    <w:rsid w:val="002C6539"/>
    <w:rsid w:val="002C7A05"/>
    <w:rsid w:val="002D37AE"/>
    <w:rsid w:val="002D581B"/>
    <w:rsid w:val="002D6B3D"/>
    <w:rsid w:val="002E17EC"/>
    <w:rsid w:val="002E5916"/>
    <w:rsid w:val="002E61BD"/>
    <w:rsid w:val="002F382A"/>
    <w:rsid w:val="002F45C0"/>
    <w:rsid w:val="0030055C"/>
    <w:rsid w:val="00303C55"/>
    <w:rsid w:val="00304D47"/>
    <w:rsid w:val="00307C87"/>
    <w:rsid w:val="00311C2D"/>
    <w:rsid w:val="00316AF7"/>
    <w:rsid w:val="00317030"/>
    <w:rsid w:val="0032650D"/>
    <w:rsid w:val="00330A33"/>
    <w:rsid w:val="00336053"/>
    <w:rsid w:val="0034126E"/>
    <w:rsid w:val="00342B20"/>
    <w:rsid w:val="00345E31"/>
    <w:rsid w:val="00346D39"/>
    <w:rsid w:val="00353E5E"/>
    <w:rsid w:val="00361020"/>
    <w:rsid w:val="00374D2A"/>
    <w:rsid w:val="00376FE6"/>
    <w:rsid w:val="00385BD5"/>
    <w:rsid w:val="003906DD"/>
    <w:rsid w:val="00391BBC"/>
    <w:rsid w:val="0039340F"/>
    <w:rsid w:val="00397113"/>
    <w:rsid w:val="00397D1D"/>
    <w:rsid w:val="003A3DA2"/>
    <w:rsid w:val="003A54A7"/>
    <w:rsid w:val="003A736A"/>
    <w:rsid w:val="003A7BD5"/>
    <w:rsid w:val="003B05DC"/>
    <w:rsid w:val="003C181D"/>
    <w:rsid w:val="003C1C2C"/>
    <w:rsid w:val="003C1F2E"/>
    <w:rsid w:val="003C2759"/>
    <w:rsid w:val="003C485E"/>
    <w:rsid w:val="003D4657"/>
    <w:rsid w:val="003D51B5"/>
    <w:rsid w:val="003D676D"/>
    <w:rsid w:val="003E0DBE"/>
    <w:rsid w:val="003E3A55"/>
    <w:rsid w:val="003E69E1"/>
    <w:rsid w:val="003F0EC3"/>
    <w:rsid w:val="003F23E9"/>
    <w:rsid w:val="003F48CF"/>
    <w:rsid w:val="00402E24"/>
    <w:rsid w:val="0040670D"/>
    <w:rsid w:val="004073E7"/>
    <w:rsid w:val="00410B8F"/>
    <w:rsid w:val="00413312"/>
    <w:rsid w:val="004138EB"/>
    <w:rsid w:val="00427139"/>
    <w:rsid w:val="00432340"/>
    <w:rsid w:val="00441BC2"/>
    <w:rsid w:val="0044397A"/>
    <w:rsid w:val="00443F97"/>
    <w:rsid w:val="00445DBE"/>
    <w:rsid w:val="00451288"/>
    <w:rsid w:val="00454582"/>
    <w:rsid w:val="00460FA2"/>
    <w:rsid w:val="00464D89"/>
    <w:rsid w:val="00476A0E"/>
    <w:rsid w:val="00477CAC"/>
    <w:rsid w:val="00490B90"/>
    <w:rsid w:val="00490D77"/>
    <w:rsid w:val="00490E25"/>
    <w:rsid w:val="0049262F"/>
    <w:rsid w:val="004A1428"/>
    <w:rsid w:val="004A2EC6"/>
    <w:rsid w:val="004B088C"/>
    <w:rsid w:val="004B1D90"/>
    <w:rsid w:val="004B2C90"/>
    <w:rsid w:val="004B69F5"/>
    <w:rsid w:val="004C17DE"/>
    <w:rsid w:val="004D2BF9"/>
    <w:rsid w:val="004E7D0E"/>
    <w:rsid w:val="004F14A0"/>
    <w:rsid w:val="004F169D"/>
    <w:rsid w:val="004F3DF6"/>
    <w:rsid w:val="004F4C4F"/>
    <w:rsid w:val="004F6CF1"/>
    <w:rsid w:val="00500883"/>
    <w:rsid w:val="005110D9"/>
    <w:rsid w:val="00516260"/>
    <w:rsid w:val="005226B9"/>
    <w:rsid w:val="00522D9C"/>
    <w:rsid w:val="00527091"/>
    <w:rsid w:val="005272E6"/>
    <w:rsid w:val="0052777A"/>
    <w:rsid w:val="00527EBB"/>
    <w:rsid w:val="00534819"/>
    <w:rsid w:val="00535C80"/>
    <w:rsid w:val="00537203"/>
    <w:rsid w:val="005505E3"/>
    <w:rsid w:val="00551C10"/>
    <w:rsid w:val="00551CB9"/>
    <w:rsid w:val="0055713D"/>
    <w:rsid w:val="00561FB9"/>
    <w:rsid w:val="005663AD"/>
    <w:rsid w:val="0056797B"/>
    <w:rsid w:val="005746A5"/>
    <w:rsid w:val="005762FE"/>
    <w:rsid w:val="005769B2"/>
    <w:rsid w:val="00580DC6"/>
    <w:rsid w:val="00591288"/>
    <w:rsid w:val="005917FD"/>
    <w:rsid w:val="00596AFB"/>
    <w:rsid w:val="005A3632"/>
    <w:rsid w:val="005A4AA1"/>
    <w:rsid w:val="005A5455"/>
    <w:rsid w:val="005A604E"/>
    <w:rsid w:val="005B3358"/>
    <w:rsid w:val="005B4E22"/>
    <w:rsid w:val="005C0F15"/>
    <w:rsid w:val="005C3C13"/>
    <w:rsid w:val="005C5269"/>
    <w:rsid w:val="005C6C69"/>
    <w:rsid w:val="005D4706"/>
    <w:rsid w:val="005E097A"/>
    <w:rsid w:val="005E0DC7"/>
    <w:rsid w:val="005E6E22"/>
    <w:rsid w:val="005F5878"/>
    <w:rsid w:val="006022BA"/>
    <w:rsid w:val="00610C0F"/>
    <w:rsid w:val="0061219D"/>
    <w:rsid w:val="006128B1"/>
    <w:rsid w:val="00614452"/>
    <w:rsid w:val="006147EB"/>
    <w:rsid w:val="006200EB"/>
    <w:rsid w:val="00621A25"/>
    <w:rsid w:val="00621EA3"/>
    <w:rsid w:val="00630E07"/>
    <w:rsid w:val="006324E0"/>
    <w:rsid w:val="00640234"/>
    <w:rsid w:val="0064127F"/>
    <w:rsid w:val="0064343A"/>
    <w:rsid w:val="00644D55"/>
    <w:rsid w:val="006540D6"/>
    <w:rsid w:val="00665FB6"/>
    <w:rsid w:val="00667B5E"/>
    <w:rsid w:val="00670868"/>
    <w:rsid w:val="00676B02"/>
    <w:rsid w:val="00676C16"/>
    <w:rsid w:val="006855D9"/>
    <w:rsid w:val="0069112A"/>
    <w:rsid w:val="00694082"/>
    <w:rsid w:val="006949AF"/>
    <w:rsid w:val="006A008F"/>
    <w:rsid w:val="006A2ABA"/>
    <w:rsid w:val="006A2BCA"/>
    <w:rsid w:val="006A35B8"/>
    <w:rsid w:val="006A5AA6"/>
    <w:rsid w:val="006A782B"/>
    <w:rsid w:val="006B349C"/>
    <w:rsid w:val="006B35F3"/>
    <w:rsid w:val="006B4126"/>
    <w:rsid w:val="006B6689"/>
    <w:rsid w:val="006D5239"/>
    <w:rsid w:val="006D71DA"/>
    <w:rsid w:val="006E170D"/>
    <w:rsid w:val="006E698B"/>
    <w:rsid w:val="006F25A1"/>
    <w:rsid w:val="00703205"/>
    <w:rsid w:val="0071548B"/>
    <w:rsid w:val="00715930"/>
    <w:rsid w:val="00715A4A"/>
    <w:rsid w:val="007203E4"/>
    <w:rsid w:val="007204A9"/>
    <w:rsid w:val="0072327A"/>
    <w:rsid w:val="0072538D"/>
    <w:rsid w:val="00731832"/>
    <w:rsid w:val="00736008"/>
    <w:rsid w:val="00740E77"/>
    <w:rsid w:val="00747BD0"/>
    <w:rsid w:val="0075249A"/>
    <w:rsid w:val="00752BE5"/>
    <w:rsid w:val="00756929"/>
    <w:rsid w:val="00761D38"/>
    <w:rsid w:val="00767DBB"/>
    <w:rsid w:val="00771DC8"/>
    <w:rsid w:val="007731A8"/>
    <w:rsid w:val="00774646"/>
    <w:rsid w:val="00780840"/>
    <w:rsid w:val="00781695"/>
    <w:rsid w:val="007831B5"/>
    <w:rsid w:val="00783EC4"/>
    <w:rsid w:val="007851BE"/>
    <w:rsid w:val="00794A27"/>
    <w:rsid w:val="007A02A7"/>
    <w:rsid w:val="007A038F"/>
    <w:rsid w:val="007A3AD4"/>
    <w:rsid w:val="007A6A06"/>
    <w:rsid w:val="007B1434"/>
    <w:rsid w:val="007B3311"/>
    <w:rsid w:val="007C01CE"/>
    <w:rsid w:val="007C0935"/>
    <w:rsid w:val="007C2243"/>
    <w:rsid w:val="007C4008"/>
    <w:rsid w:val="007D1007"/>
    <w:rsid w:val="007D30AF"/>
    <w:rsid w:val="007D40EE"/>
    <w:rsid w:val="007E1C98"/>
    <w:rsid w:val="007E1CE1"/>
    <w:rsid w:val="007E7083"/>
    <w:rsid w:val="007E74EE"/>
    <w:rsid w:val="007F396D"/>
    <w:rsid w:val="007F4E93"/>
    <w:rsid w:val="007F68C7"/>
    <w:rsid w:val="007F6CC4"/>
    <w:rsid w:val="008046D4"/>
    <w:rsid w:val="008059CB"/>
    <w:rsid w:val="00807D72"/>
    <w:rsid w:val="008160D8"/>
    <w:rsid w:val="00816BB5"/>
    <w:rsid w:val="008173BC"/>
    <w:rsid w:val="008204E7"/>
    <w:rsid w:val="008250D8"/>
    <w:rsid w:val="00827D3B"/>
    <w:rsid w:val="00833792"/>
    <w:rsid w:val="00835A16"/>
    <w:rsid w:val="00835B4D"/>
    <w:rsid w:val="00837A21"/>
    <w:rsid w:val="00852333"/>
    <w:rsid w:val="00852F35"/>
    <w:rsid w:val="008542D4"/>
    <w:rsid w:val="00857363"/>
    <w:rsid w:val="00857B76"/>
    <w:rsid w:val="0086394C"/>
    <w:rsid w:val="00874998"/>
    <w:rsid w:val="00875105"/>
    <w:rsid w:val="00876109"/>
    <w:rsid w:val="00880485"/>
    <w:rsid w:val="00882CB5"/>
    <w:rsid w:val="00883248"/>
    <w:rsid w:val="0089121A"/>
    <w:rsid w:val="008A0614"/>
    <w:rsid w:val="008B2351"/>
    <w:rsid w:val="008B44F5"/>
    <w:rsid w:val="008B5415"/>
    <w:rsid w:val="008B7E6F"/>
    <w:rsid w:val="008C0558"/>
    <w:rsid w:val="008C47A1"/>
    <w:rsid w:val="008C738F"/>
    <w:rsid w:val="008D0600"/>
    <w:rsid w:val="008D2DDF"/>
    <w:rsid w:val="008D6B9E"/>
    <w:rsid w:val="008D7A31"/>
    <w:rsid w:val="008E1024"/>
    <w:rsid w:val="008F1E8F"/>
    <w:rsid w:val="008F2686"/>
    <w:rsid w:val="008F2BB2"/>
    <w:rsid w:val="008F491B"/>
    <w:rsid w:val="00900BF5"/>
    <w:rsid w:val="009111F2"/>
    <w:rsid w:val="00912CC2"/>
    <w:rsid w:val="00913ED0"/>
    <w:rsid w:val="009154A0"/>
    <w:rsid w:val="0092347D"/>
    <w:rsid w:val="00926629"/>
    <w:rsid w:val="00927650"/>
    <w:rsid w:val="0093222B"/>
    <w:rsid w:val="00934EA1"/>
    <w:rsid w:val="009408A2"/>
    <w:rsid w:val="009429FD"/>
    <w:rsid w:val="00942CB6"/>
    <w:rsid w:val="00942CE9"/>
    <w:rsid w:val="00954FF2"/>
    <w:rsid w:val="009615D2"/>
    <w:rsid w:val="00962EE8"/>
    <w:rsid w:val="00966183"/>
    <w:rsid w:val="0097345C"/>
    <w:rsid w:val="00976EE9"/>
    <w:rsid w:val="009821BE"/>
    <w:rsid w:val="0098267F"/>
    <w:rsid w:val="00984376"/>
    <w:rsid w:val="009A350B"/>
    <w:rsid w:val="009A4EFF"/>
    <w:rsid w:val="009A6D9C"/>
    <w:rsid w:val="009B6E05"/>
    <w:rsid w:val="009C14AA"/>
    <w:rsid w:val="009C1E1C"/>
    <w:rsid w:val="009C60F6"/>
    <w:rsid w:val="009C737B"/>
    <w:rsid w:val="009E350A"/>
    <w:rsid w:val="009F0889"/>
    <w:rsid w:val="009F16DE"/>
    <w:rsid w:val="009F62F4"/>
    <w:rsid w:val="009F6A0F"/>
    <w:rsid w:val="009F6E04"/>
    <w:rsid w:val="00A008E6"/>
    <w:rsid w:val="00A06DF8"/>
    <w:rsid w:val="00A12C83"/>
    <w:rsid w:val="00A12F96"/>
    <w:rsid w:val="00A14379"/>
    <w:rsid w:val="00A158AC"/>
    <w:rsid w:val="00A27A17"/>
    <w:rsid w:val="00A37717"/>
    <w:rsid w:val="00A37A3D"/>
    <w:rsid w:val="00A40090"/>
    <w:rsid w:val="00A401ED"/>
    <w:rsid w:val="00A417B5"/>
    <w:rsid w:val="00A42517"/>
    <w:rsid w:val="00A501A3"/>
    <w:rsid w:val="00A57585"/>
    <w:rsid w:val="00A57FF6"/>
    <w:rsid w:val="00A60C9B"/>
    <w:rsid w:val="00A61B79"/>
    <w:rsid w:val="00A62EF3"/>
    <w:rsid w:val="00A66554"/>
    <w:rsid w:val="00A704F3"/>
    <w:rsid w:val="00A82A58"/>
    <w:rsid w:val="00A918A7"/>
    <w:rsid w:val="00A95FFF"/>
    <w:rsid w:val="00AA1C38"/>
    <w:rsid w:val="00AA1DD1"/>
    <w:rsid w:val="00AA705F"/>
    <w:rsid w:val="00AB2A07"/>
    <w:rsid w:val="00AB480A"/>
    <w:rsid w:val="00AC2CDC"/>
    <w:rsid w:val="00AD2C08"/>
    <w:rsid w:val="00AD358D"/>
    <w:rsid w:val="00AD527C"/>
    <w:rsid w:val="00AD7805"/>
    <w:rsid w:val="00AE2B22"/>
    <w:rsid w:val="00AF1356"/>
    <w:rsid w:val="00AF3846"/>
    <w:rsid w:val="00AF5691"/>
    <w:rsid w:val="00B04781"/>
    <w:rsid w:val="00B05108"/>
    <w:rsid w:val="00B13C28"/>
    <w:rsid w:val="00B22944"/>
    <w:rsid w:val="00B23B3E"/>
    <w:rsid w:val="00B4148C"/>
    <w:rsid w:val="00B44A53"/>
    <w:rsid w:val="00B472D0"/>
    <w:rsid w:val="00B56736"/>
    <w:rsid w:val="00B6596F"/>
    <w:rsid w:val="00B66F99"/>
    <w:rsid w:val="00B70EAB"/>
    <w:rsid w:val="00B73343"/>
    <w:rsid w:val="00B73A8E"/>
    <w:rsid w:val="00B762BC"/>
    <w:rsid w:val="00B81D3E"/>
    <w:rsid w:val="00B825ED"/>
    <w:rsid w:val="00B92E61"/>
    <w:rsid w:val="00B94C33"/>
    <w:rsid w:val="00B97D3A"/>
    <w:rsid w:val="00BA62D2"/>
    <w:rsid w:val="00BA7071"/>
    <w:rsid w:val="00BB1526"/>
    <w:rsid w:val="00BB46D6"/>
    <w:rsid w:val="00BC5BF3"/>
    <w:rsid w:val="00BC72B3"/>
    <w:rsid w:val="00BC75F1"/>
    <w:rsid w:val="00BC75F3"/>
    <w:rsid w:val="00BD171D"/>
    <w:rsid w:val="00BD57F5"/>
    <w:rsid w:val="00BD6BC2"/>
    <w:rsid w:val="00BE0F4D"/>
    <w:rsid w:val="00BE48A4"/>
    <w:rsid w:val="00BE56F0"/>
    <w:rsid w:val="00C034D3"/>
    <w:rsid w:val="00C03CD2"/>
    <w:rsid w:val="00C04476"/>
    <w:rsid w:val="00C04E0A"/>
    <w:rsid w:val="00C055C8"/>
    <w:rsid w:val="00C06121"/>
    <w:rsid w:val="00C12D35"/>
    <w:rsid w:val="00C13310"/>
    <w:rsid w:val="00C17F81"/>
    <w:rsid w:val="00C32E9F"/>
    <w:rsid w:val="00C33041"/>
    <w:rsid w:val="00C40620"/>
    <w:rsid w:val="00C41AA6"/>
    <w:rsid w:val="00C45037"/>
    <w:rsid w:val="00C45D81"/>
    <w:rsid w:val="00C46051"/>
    <w:rsid w:val="00C47620"/>
    <w:rsid w:val="00C573FF"/>
    <w:rsid w:val="00C603A4"/>
    <w:rsid w:val="00C70470"/>
    <w:rsid w:val="00C70947"/>
    <w:rsid w:val="00C84464"/>
    <w:rsid w:val="00C87556"/>
    <w:rsid w:val="00C909FF"/>
    <w:rsid w:val="00C97F8D"/>
    <w:rsid w:val="00CC42EA"/>
    <w:rsid w:val="00CC6110"/>
    <w:rsid w:val="00CC6CBF"/>
    <w:rsid w:val="00CC6F81"/>
    <w:rsid w:val="00CD0193"/>
    <w:rsid w:val="00CD03FF"/>
    <w:rsid w:val="00CD0C45"/>
    <w:rsid w:val="00CD5386"/>
    <w:rsid w:val="00CE5EBF"/>
    <w:rsid w:val="00CE6319"/>
    <w:rsid w:val="00CE6926"/>
    <w:rsid w:val="00CF55DD"/>
    <w:rsid w:val="00D03799"/>
    <w:rsid w:val="00D04E61"/>
    <w:rsid w:val="00D0719F"/>
    <w:rsid w:val="00D10366"/>
    <w:rsid w:val="00D10635"/>
    <w:rsid w:val="00D10840"/>
    <w:rsid w:val="00D11157"/>
    <w:rsid w:val="00D13C0A"/>
    <w:rsid w:val="00D21B3B"/>
    <w:rsid w:val="00D34C25"/>
    <w:rsid w:val="00D500C1"/>
    <w:rsid w:val="00D511AC"/>
    <w:rsid w:val="00D525B8"/>
    <w:rsid w:val="00D52AEC"/>
    <w:rsid w:val="00D71C92"/>
    <w:rsid w:val="00D73D4F"/>
    <w:rsid w:val="00D75A12"/>
    <w:rsid w:val="00D76A55"/>
    <w:rsid w:val="00D8019E"/>
    <w:rsid w:val="00D859BB"/>
    <w:rsid w:val="00D876BB"/>
    <w:rsid w:val="00D92E73"/>
    <w:rsid w:val="00D9417E"/>
    <w:rsid w:val="00D958E9"/>
    <w:rsid w:val="00DA18A2"/>
    <w:rsid w:val="00DA34D6"/>
    <w:rsid w:val="00DA7251"/>
    <w:rsid w:val="00DA74B1"/>
    <w:rsid w:val="00DA7B45"/>
    <w:rsid w:val="00DB610D"/>
    <w:rsid w:val="00DB61AC"/>
    <w:rsid w:val="00DC1025"/>
    <w:rsid w:val="00DC18F7"/>
    <w:rsid w:val="00DC34BC"/>
    <w:rsid w:val="00DD1E8C"/>
    <w:rsid w:val="00DD515E"/>
    <w:rsid w:val="00DE632F"/>
    <w:rsid w:val="00DE7A0E"/>
    <w:rsid w:val="00DF2F8D"/>
    <w:rsid w:val="00DF3016"/>
    <w:rsid w:val="00DF3863"/>
    <w:rsid w:val="00E05FA4"/>
    <w:rsid w:val="00E11940"/>
    <w:rsid w:val="00E12AB4"/>
    <w:rsid w:val="00E13082"/>
    <w:rsid w:val="00E155C1"/>
    <w:rsid w:val="00E161B2"/>
    <w:rsid w:val="00E2196D"/>
    <w:rsid w:val="00E224F4"/>
    <w:rsid w:val="00E25E5F"/>
    <w:rsid w:val="00E2753F"/>
    <w:rsid w:val="00E27786"/>
    <w:rsid w:val="00E27CA0"/>
    <w:rsid w:val="00E309A1"/>
    <w:rsid w:val="00E337D6"/>
    <w:rsid w:val="00E40B4A"/>
    <w:rsid w:val="00E43127"/>
    <w:rsid w:val="00E47A80"/>
    <w:rsid w:val="00E50865"/>
    <w:rsid w:val="00E51CE8"/>
    <w:rsid w:val="00E520DA"/>
    <w:rsid w:val="00E5673A"/>
    <w:rsid w:val="00E63FC4"/>
    <w:rsid w:val="00E655BA"/>
    <w:rsid w:val="00E7550E"/>
    <w:rsid w:val="00E82FA2"/>
    <w:rsid w:val="00E84F06"/>
    <w:rsid w:val="00E86296"/>
    <w:rsid w:val="00E92551"/>
    <w:rsid w:val="00E92BB2"/>
    <w:rsid w:val="00EA1A45"/>
    <w:rsid w:val="00EA5678"/>
    <w:rsid w:val="00EB6AA9"/>
    <w:rsid w:val="00EC4A85"/>
    <w:rsid w:val="00EC55F4"/>
    <w:rsid w:val="00EC5969"/>
    <w:rsid w:val="00EC68BE"/>
    <w:rsid w:val="00ED006D"/>
    <w:rsid w:val="00ED0697"/>
    <w:rsid w:val="00ED3861"/>
    <w:rsid w:val="00EF105E"/>
    <w:rsid w:val="00EF36E4"/>
    <w:rsid w:val="00EF4FC2"/>
    <w:rsid w:val="00EF6B3E"/>
    <w:rsid w:val="00F00A1D"/>
    <w:rsid w:val="00F01062"/>
    <w:rsid w:val="00F03073"/>
    <w:rsid w:val="00F10B90"/>
    <w:rsid w:val="00F117DE"/>
    <w:rsid w:val="00F12B1D"/>
    <w:rsid w:val="00F135EF"/>
    <w:rsid w:val="00F262A6"/>
    <w:rsid w:val="00F30CD3"/>
    <w:rsid w:val="00F335C0"/>
    <w:rsid w:val="00F347E0"/>
    <w:rsid w:val="00F406AE"/>
    <w:rsid w:val="00F40B98"/>
    <w:rsid w:val="00F456AB"/>
    <w:rsid w:val="00F50EF9"/>
    <w:rsid w:val="00F56A60"/>
    <w:rsid w:val="00F56DEC"/>
    <w:rsid w:val="00F620FD"/>
    <w:rsid w:val="00F64736"/>
    <w:rsid w:val="00F66078"/>
    <w:rsid w:val="00F736AF"/>
    <w:rsid w:val="00F74201"/>
    <w:rsid w:val="00F776B0"/>
    <w:rsid w:val="00F82BAC"/>
    <w:rsid w:val="00F83A8A"/>
    <w:rsid w:val="00F84B20"/>
    <w:rsid w:val="00F86700"/>
    <w:rsid w:val="00F87586"/>
    <w:rsid w:val="00F957C6"/>
    <w:rsid w:val="00FA32E9"/>
    <w:rsid w:val="00FA401C"/>
    <w:rsid w:val="00FA6219"/>
    <w:rsid w:val="00FB3AF5"/>
    <w:rsid w:val="00FB677D"/>
    <w:rsid w:val="00FB7CAD"/>
    <w:rsid w:val="00FB7DB4"/>
    <w:rsid w:val="00FC5955"/>
    <w:rsid w:val="00FD20A5"/>
    <w:rsid w:val="00FD2C22"/>
    <w:rsid w:val="00FD5567"/>
    <w:rsid w:val="00FE2BA6"/>
    <w:rsid w:val="00FE2C7F"/>
    <w:rsid w:val="00FF08DA"/>
    <w:rsid w:val="00FF32C5"/>
    <w:rsid w:val="00FF6030"/>
    <w:rsid w:val="00FF75BA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77E6677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C"/>
    <w:pPr>
      <w:spacing w:after="160" w:line="264" w:lineRule="auto"/>
    </w:pPr>
    <w:rPr>
      <w:rFonts w:ascii="Calibri Light" w:hAnsi="Calibri Light"/>
      <w:color w:val="1C2B39"/>
      <w:sz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2F382A"/>
    <w:pPr>
      <w:keepNext/>
      <w:keepLines/>
      <w:pBdr>
        <w:top w:val="single" w:sz="48" w:space="1" w:color="007279"/>
        <w:left w:val="single" w:sz="48" w:space="4" w:color="007279"/>
        <w:bottom w:val="single" w:sz="48" w:space="1" w:color="007279"/>
        <w:right w:val="single" w:sz="48" w:space="4" w:color="007279"/>
      </w:pBdr>
      <w:shd w:val="clear" w:color="auto" w:fill="007279"/>
      <w:spacing w:before="360" w:line="240" w:lineRule="auto"/>
      <w:outlineLvl w:val="0"/>
    </w:pPr>
    <w:rPr>
      <w:rFonts w:ascii="Calibri" w:eastAsiaTheme="majorEastAsia" w:hAnsi="Calibri" w:cstheme="majorBidi"/>
      <w:color w:val="FFFFFF" w:themeColor="background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8059CB"/>
    <w:pPr>
      <w:keepNext/>
      <w:keepLines/>
      <w:spacing w:before="240" w:line="240" w:lineRule="auto"/>
      <w:outlineLvl w:val="1"/>
    </w:pPr>
    <w:rPr>
      <w:rFonts w:ascii="Calibri" w:eastAsiaTheme="majorEastAsia" w:hAnsi="Calibri" w:cstheme="majorBidi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E86296"/>
    <w:pPr>
      <w:outlineLvl w:val="2"/>
    </w:pPr>
    <w:rPr>
      <w:color w:val="1C2B3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E86296"/>
    <w:pPr>
      <w:keepNext/>
      <w:keepLines/>
      <w:spacing w:before="240"/>
      <w:outlineLvl w:val="3"/>
    </w:pPr>
    <w:rPr>
      <w:rFonts w:eastAsiaTheme="majorEastAsia" w:cstheme="minorHAnsi"/>
      <w:b/>
      <w:color w:val="007279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F382A"/>
    <w:rPr>
      <w:rFonts w:ascii="Calibri" w:eastAsiaTheme="majorEastAsia" w:hAnsi="Calibri" w:cstheme="majorBidi"/>
      <w:color w:val="FFFFFF" w:themeColor="background1"/>
      <w:sz w:val="48"/>
      <w:szCs w:val="40"/>
      <w:shd w:val="clear" w:color="auto" w:fill="007279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8059CB"/>
    <w:rPr>
      <w:rFonts w:ascii="Calibri" w:eastAsiaTheme="majorEastAsia" w:hAnsi="Calibri" w:cstheme="majorBidi"/>
      <w:color w:val="1C2B39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E86296"/>
    <w:rPr>
      <w:rFonts w:eastAsiaTheme="majorEastAsia" w:cstheme="minorHAnsi"/>
      <w:b/>
      <w:color w:val="1C2B3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E86296"/>
    <w:rPr>
      <w:rFonts w:eastAsiaTheme="majorEastAsia" w:cstheme="minorHAnsi"/>
      <w:b/>
      <w:color w:val="007279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857363"/>
    <w:pPr>
      <w:spacing w:before="240"/>
      <w:ind w:left="720" w:right="720"/>
    </w:pPr>
    <w:rPr>
      <w:i/>
      <w:iCs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857363"/>
    <w:rPr>
      <w:i/>
      <w:iCs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857363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857363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F86700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1"/>
    <w:next w:val="BOXText"/>
    <w:uiPriority w:val="6"/>
    <w:qFormat/>
    <w:rsid w:val="006949AF"/>
    <w:pPr>
      <w:spacing w:before="240" w:after="0"/>
      <w:ind w:left="227" w:right="227"/>
    </w:pPr>
    <w:rPr>
      <w:sz w:val="36"/>
    </w:rPr>
  </w:style>
  <w:style w:type="character" w:customStyle="1" w:styleId="CLASSIFICATIONChar">
    <w:name w:val="CLASSIFICATION Char"/>
    <w:basedOn w:val="DefaultParagraphFont"/>
    <w:link w:val="CLASSIFICATION"/>
    <w:uiPriority w:val="99"/>
    <w:rsid w:val="00F86700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6D71DA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1D75E7" w:themeColor="accent1" w:themeTint="99"/>
        <w:left w:val="single" w:sz="4" w:space="0" w:color="1D75E7" w:themeColor="accent1" w:themeTint="99"/>
        <w:bottom w:val="single" w:sz="4" w:space="0" w:color="1D75E7" w:themeColor="accent1" w:themeTint="99"/>
        <w:right w:val="single" w:sz="4" w:space="0" w:color="1D75E7" w:themeColor="accent1" w:themeTint="99"/>
        <w:insideH w:val="single" w:sz="4" w:space="0" w:color="1D75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2B57" w:themeColor="accent1"/>
          <w:left w:val="single" w:sz="4" w:space="0" w:color="092B57" w:themeColor="accent1"/>
          <w:bottom w:val="single" w:sz="4" w:space="0" w:color="092B57" w:themeColor="accent1"/>
          <w:right w:val="single" w:sz="4" w:space="0" w:color="092B57" w:themeColor="accent1"/>
          <w:insideH w:val="nil"/>
        </w:tcBorders>
        <w:shd w:val="clear" w:color="auto" w:fill="092B57" w:themeFill="accent1"/>
      </w:tcPr>
    </w:tblStylePr>
    <w:tblStylePr w:type="lastRow">
      <w:rPr>
        <w:b/>
        <w:bCs/>
      </w:rPr>
      <w:tblPr/>
      <w:tcPr>
        <w:tcBorders>
          <w:top w:val="double" w:sz="4" w:space="0" w:color="1D75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1F7" w:themeFill="accent1" w:themeFillTint="33"/>
      </w:tcPr>
    </w:tblStylePr>
    <w:tblStylePr w:type="band1Horz">
      <w:tblPr/>
      <w:tcPr>
        <w:shd w:val="clear" w:color="auto" w:fill="B3D1F7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8059CB"/>
    <w:pPr>
      <w:numPr>
        <w:numId w:val="27"/>
      </w:numPr>
      <w:spacing w:before="240"/>
    </w:pPr>
    <w:rPr>
      <w:rFonts w:cs="Segoe UI"/>
      <w:color w:val="007279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8059CB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1B375C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Style1">
    <w:name w:val="Style1"/>
    <w:basedOn w:val="Custom1"/>
    <w:uiPriority w:val="99"/>
    <w:rsid w:val="00D500C1"/>
    <w:tblPr>
      <w:tblBorders>
        <w:top w:val="none" w:sz="0" w:space="0" w:color="auto"/>
        <w:left w:val="single" w:sz="4" w:space="0" w:color="092B57" w:themeColor="accent1"/>
        <w:bottom w:val="single" w:sz="4" w:space="0" w:color="092B57" w:themeColor="accent1"/>
        <w:right w:val="single" w:sz="4" w:space="0" w:color="092B57" w:themeColor="accent1"/>
        <w:insideH w:val="none" w:sz="0" w:space="0" w:color="auto"/>
        <w:insideV w:val="single" w:sz="4" w:space="0" w:color="092B57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firstCol">
      <w:rPr>
        <w:b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styleId="NormalWeb">
    <w:name w:val="Normal (Web)"/>
    <w:basedOn w:val="Normal"/>
    <w:uiPriority w:val="99"/>
    <w:semiHidden/>
    <w:unhideWhenUsed/>
    <w:rsid w:val="005505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customStyle="1" w:styleId="Custom11">
    <w:name w:val="Custom 11"/>
    <w:basedOn w:val="TableNormal"/>
    <w:uiPriority w:val="99"/>
    <w:rsid w:val="005505E3"/>
    <w:pPr>
      <w:spacing w:after="0" w:line="240" w:lineRule="auto"/>
    </w:pPr>
    <w:rPr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styleId="Revision">
    <w:name w:val="Revision"/>
    <w:hidden/>
    <w:uiPriority w:val="99"/>
    <w:semiHidden/>
    <w:rsid w:val="005B4E22"/>
    <w:pPr>
      <w:spacing w:after="0" w:line="240" w:lineRule="auto"/>
    </w:pPr>
    <w:rPr>
      <w:rFonts w:ascii="Calibri Light" w:hAnsi="Calibri Light"/>
      <w:color w:val="1C2B39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1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17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1705"/>
    <w:rPr>
      <w:rFonts w:ascii="Calibri Light" w:hAnsi="Calibri Light"/>
      <w:color w:val="1C2B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705"/>
    <w:rPr>
      <w:rFonts w:ascii="Calibri Light" w:hAnsi="Calibri Light"/>
      <w:b/>
      <w:bCs/>
      <w:color w:val="1C2B3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0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4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PM&amp;C 2022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092B57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1B375C"/>
      </a:hlink>
      <a:folHlink>
        <a:srgbClr val="1B375C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C625F-08A7-47EB-910E-4757CC33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2025-06-23T23:13:00Z</dcterms:created>
  <dcterms:modified xsi:type="dcterms:W3CDTF">2025-06-25T01:15:00Z</dcterms:modified>
  <cp:category/>
</cp:coreProperties>
</file>