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DBA0C" w14:textId="50BAA33B" w:rsidR="00E84211" w:rsidRPr="00E84211" w:rsidRDefault="00796635" w:rsidP="00670B75">
      <w:pPr>
        <w:spacing w:before="1920"/>
        <w:rPr>
          <w:rFonts w:ascii="Calibri" w:eastAsia="Times New Roman" w:hAnsi="Calibri" w:cs="Times New Roman"/>
          <w:b/>
          <w:bCs/>
          <w:color w:val="1C2B39" w:themeColor="accent1"/>
          <w:sz w:val="56"/>
          <w:szCs w:val="40"/>
          <w:lang w:eastAsia="en-AU"/>
        </w:rPr>
      </w:pPr>
      <w:bookmarkStart w:id="0" w:name="_Toc96326909"/>
      <w:r>
        <w:rPr>
          <w:noProof/>
          <w:lang w:eastAsia="en-AU"/>
        </w:rPr>
        <w:drawing>
          <wp:anchor distT="0" distB="0" distL="114300" distR="114300" simplePos="0" relativeHeight="251658240" behindDoc="1" locked="0" layoutInCell="1" allowOverlap="1" wp14:anchorId="57DB2653" wp14:editId="45851FAE">
            <wp:simplePos x="0" y="0"/>
            <wp:positionH relativeFrom="page">
              <wp:align>left</wp:align>
            </wp:positionH>
            <wp:positionV relativeFrom="page">
              <wp:align>top</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r w:rsidR="00E84211" w:rsidRPr="00E84211">
        <w:rPr>
          <w:rFonts w:ascii="Calibri" w:eastAsia="Times New Roman" w:hAnsi="Calibri" w:cs="Times New Roman"/>
          <w:b/>
          <w:bCs/>
          <w:color w:val="1C2B39" w:themeColor="accent1"/>
          <w:sz w:val="56"/>
          <w:szCs w:val="40"/>
          <w:lang w:eastAsia="en-AU"/>
        </w:rPr>
        <w:t xml:space="preserve">Impact </w:t>
      </w:r>
      <w:r w:rsidR="00E84211">
        <w:rPr>
          <w:rFonts w:ascii="Calibri" w:eastAsia="Times New Roman" w:hAnsi="Calibri" w:cs="Times New Roman"/>
          <w:b/>
          <w:bCs/>
          <w:color w:val="1C2B39" w:themeColor="accent1"/>
          <w:sz w:val="56"/>
          <w:szCs w:val="40"/>
          <w:lang w:eastAsia="en-AU"/>
        </w:rPr>
        <w:t>Analysis</w:t>
      </w:r>
    </w:p>
    <w:p w14:paraId="5F4EC10D" w14:textId="5A1609D2" w:rsidR="00A62EF3" w:rsidRPr="00E84211" w:rsidRDefault="00096B93" w:rsidP="00E84211">
      <w:pPr>
        <w:pStyle w:val="Title"/>
        <w:tabs>
          <w:tab w:val="left" w:pos="7938"/>
        </w:tabs>
        <w:jc w:val="right"/>
        <w:rPr>
          <w:rFonts w:ascii="Calibri" w:eastAsia="Times New Roman" w:hAnsi="Calibri" w:cs="Times New Roman"/>
          <w:noProof w:val="0"/>
          <w:color w:val="1C2B39" w:themeColor="accent1"/>
          <w:spacing w:val="0"/>
          <w:szCs w:val="40"/>
          <w:lang w:eastAsia="en-AU"/>
        </w:rPr>
      </w:pPr>
      <w:r>
        <w:rPr>
          <w:rFonts w:ascii="Calibri" w:eastAsia="Times New Roman" w:hAnsi="Calibri" w:cs="Times New Roman"/>
          <w:noProof w:val="0"/>
          <w:color w:val="1C2B39" w:themeColor="accent1"/>
          <w:spacing w:val="0"/>
          <w:szCs w:val="40"/>
          <w:lang w:eastAsia="en-AU"/>
        </w:rPr>
        <w:t xml:space="preserve">Help to Buy Shared Equity </w:t>
      </w:r>
      <w:r w:rsidR="00B438A2">
        <w:rPr>
          <w:rFonts w:ascii="Calibri" w:eastAsia="Times New Roman" w:hAnsi="Calibri" w:cs="Times New Roman"/>
          <w:noProof w:val="0"/>
          <w:color w:val="1C2B39" w:themeColor="accent1"/>
          <w:spacing w:val="0"/>
          <w:szCs w:val="40"/>
          <w:lang w:eastAsia="en-AU"/>
        </w:rPr>
        <w:t>Scheme</w:t>
      </w:r>
    </w:p>
    <w:p w14:paraId="3E94EBA9" w14:textId="77777777" w:rsidR="00796635" w:rsidRDefault="00796635" w:rsidP="00796635">
      <w:pPr>
        <w:rPr>
          <w:lang w:eastAsia="en-AU"/>
        </w:rPr>
      </w:pPr>
    </w:p>
    <w:p w14:paraId="0B1396B9" w14:textId="77777777" w:rsidR="00796635" w:rsidRDefault="00796635" w:rsidP="00796635">
      <w:pPr>
        <w:rPr>
          <w:lang w:eastAsia="en-AU"/>
        </w:rPr>
      </w:pPr>
    </w:p>
    <w:p w14:paraId="0CEB7701" w14:textId="77777777" w:rsidR="00796635" w:rsidRDefault="00796635" w:rsidP="00796635">
      <w:pPr>
        <w:rPr>
          <w:lang w:eastAsia="en-AU"/>
        </w:rPr>
      </w:pPr>
    </w:p>
    <w:p w14:paraId="1EBA6BE5" w14:textId="77777777" w:rsidR="00796635" w:rsidRDefault="00796635" w:rsidP="00796635">
      <w:pPr>
        <w:rPr>
          <w:lang w:eastAsia="en-AU"/>
        </w:rPr>
      </w:pPr>
    </w:p>
    <w:p w14:paraId="1109B0ED" w14:textId="77777777" w:rsidR="00796635" w:rsidRDefault="00796635" w:rsidP="00796635">
      <w:pPr>
        <w:rPr>
          <w:lang w:eastAsia="en-AU"/>
        </w:rPr>
      </w:pPr>
    </w:p>
    <w:p w14:paraId="7EBA5D46" w14:textId="77777777" w:rsidR="00796635" w:rsidRDefault="00796635" w:rsidP="00796635">
      <w:pPr>
        <w:rPr>
          <w:lang w:eastAsia="en-AU"/>
        </w:rPr>
      </w:pPr>
    </w:p>
    <w:p w14:paraId="67D8D660" w14:textId="77777777" w:rsidR="00796635" w:rsidRDefault="00796635" w:rsidP="00796635">
      <w:pPr>
        <w:rPr>
          <w:lang w:eastAsia="en-AU"/>
        </w:rPr>
      </w:pPr>
    </w:p>
    <w:p w14:paraId="49C85DEB" w14:textId="77777777" w:rsidR="00796635" w:rsidRDefault="00796635" w:rsidP="00796635">
      <w:pPr>
        <w:rPr>
          <w:lang w:eastAsia="en-AU"/>
        </w:rPr>
      </w:pPr>
    </w:p>
    <w:p w14:paraId="5B2245C3" w14:textId="77777777" w:rsidR="00796635" w:rsidRDefault="00796635" w:rsidP="00796635">
      <w:pPr>
        <w:rPr>
          <w:lang w:eastAsia="en-AU"/>
        </w:rPr>
      </w:pPr>
    </w:p>
    <w:p w14:paraId="11EB4E3C" w14:textId="77777777" w:rsidR="00796635" w:rsidRDefault="00796635" w:rsidP="00796635">
      <w:pPr>
        <w:rPr>
          <w:lang w:eastAsia="en-AU"/>
        </w:rPr>
      </w:pPr>
    </w:p>
    <w:p w14:paraId="26F97594" w14:textId="77777777" w:rsidR="00796635" w:rsidRDefault="00796635" w:rsidP="00796635">
      <w:pPr>
        <w:rPr>
          <w:lang w:eastAsia="en-AU"/>
        </w:rPr>
      </w:pPr>
    </w:p>
    <w:p w14:paraId="35B60711" w14:textId="77777777" w:rsidR="00796635" w:rsidRDefault="00796635" w:rsidP="00796635">
      <w:pPr>
        <w:rPr>
          <w:lang w:eastAsia="en-AU"/>
        </w:rPr>
      </w:pPr>
    </w:p>
    <w:p w14:paraId="7D8A3E88" w14:textId="77777777" w:rsidR="00796635" w:rsidRDefault="00796635" w:rsidP="00796635">
      <w:pPr>
        <w:rPr>
          <w:lang w:eastAsia="en-AU"/>
        </w:rPr>
      </w:pPr>
    </w:p>
    <w:p w14:paraId="4D5D0475" w14:textId="77777777" w:rsidR="00796635" w:rsidRDefault="00796635" w:rsidP="00796635">
      <w:pPr>
        <w:rPr>
          <w:lang w:eastAsia="en-AU"/>
        </w:rPr>
      </w:pPr>
    </w:p>
    <w:p w14:paraId="5D13667E" w14:textId="77777777" w:rsidR="00796635" w:rsidRDefault="00796635" w:rsidP="00796635">
      <w:pPr>
        <w:rPr>
          <w:lang w:eastAsia="en-AU"/>
        </w:rPr>
      </w:pPr>
    </w:p>
    <w:p w14:paraId="6D8D34C8" w14:textId="77777777" w:rsidR="00584B56" w:rsidRDefault="00584B56">
      <w:pPr>
        <w:spacing w:after="200" w:line="288" w:lineRule="auto"/>
      </w:pPr>
      <w:r>
        <w:br w:type="page"/>
      </w:r>
    </w:p>
    <w:p w14:paraId="55031914" w14:textId="4B35E489" w:rsidR="00B12932" w:rsidRDefault="00B12932" w:rsidP="00332946">
      <w:pPr>
        <w:spacing w:after="120" w:line="288" w:lineRule="auto"/>
      </w:pPr>
      <w:r w:rsidRPr="00661BF0">
        <w:lastRenderedPageBreak/>
        <w:t xml:space="preserve">© Commonwealth of Australia </w:t>
      </w:r>
      <w:r w:rsidRPr="00B12932">
        <w:t>202</w:t>
      </w:r>
      <w:r w:rsidR="00096B93">
        <w:t>5</w:t>
      </w:r>
    </w:p>
    <w:p w14:paraId="72E5E9FB" w14:textId="180E0325" w:rsidR="00B12932" w:rsidRPr="00086F82" w:rsidRDefault="00B12932" w:rsidP="00711802">
      <w:pPr>
        <w:tabs>
          <w:tab w:val="left" w:pos="1650"/>
        </w:tabs>
        <w:spacing w:before="120" w:after="120"/>
        <w:rPr>
          <w:sz w:val="24"/>
          <w:szCs w:val="24"/>
        </w:rPr>
      </w:pPr>
      <w:r w:rsidRPr="002F1BC2">
        <w:t>This publication is available for your use under a</w:t>
      </w:r>
      <w:r w:rsidRPr="00476F09">
        <w:rPr>
          <w:rFonts w:cstheme="minorHAnsi"/>
          <w:sz w:val="24"/>
          <w:szCs w:val="24"/>
        </w:rPr>
        <w:t xml:space="preserve"> </w:t>
      </w:r>
      <w:hyperlink r:id="rId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t xml:space="preserve">. </w:t>
      </w:r>
      <w:r w:rsidRPr="002F1BC2">
        <w:t>The full licence terms are available from</w:t>
      </w:r>
      <w:r w:rsidRPr="00476F09">
        <w:rPr>
          <w:rFonts w:cstheme="minorHAnsi"/>
          <w:sz w:val="24"/>
          <w:szCs w:val="24"/>
        </w:rPr>
        <w:t xml:space="preserve"> </w:t>
      </w:r>
      <w:hyperlink r:id="rId9"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794E3A97" w14:textId="77777777" w:rsidR="00B12932" w:rsidRDefault="00B12932" w:rsidP="00B12932">
      <w:pPr>
        <w:pStyle w:val="ChartGraphic"/>
        <w:jc w:val="left"/>
      </w:pPr>
      <w:r w:rsidRPr="00E56DFB">
        <w:rPr>
          <w:noProof/>
        </w:rPr>
        <w:drawing>
          <wp:inline distT="0" distB="0" distL="0" distR="0" wp14:anchorId="4493A125" wp14:editId="6E99E3ED">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92AAF29" w14:textId="77777777" w:rsidR="00B12932" w:rsidRPr="006627B4" w:rsidRDefault="00B12932" w:rsidP="00711802">
      <w:pPr>
        <w:tabs>
          <w:tab w:val="left" w:pos="1650"/>
        </w:tabs>
        <w:spacing w:before="120" w:after="120"/>
      </w:pPr>
      <w:r w:rsidRPr="006627B4">
        <w:t>Use of Treasury material under a</w:t>
      </w:r>
      <w:r w:rsidRPr="00476F09">
        <w:rPr>
          <w:rFonts w:cstheme="minorHAnsi"/>
          <w:sz w:val="24"/>
          <w:szCs w:val="24"/>
        </w:rPr>
        <w:t xml:space="preserve"> </w:t>
      </w:r>
      <w:hyperlink r:id="rId11"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058E9EED" w14:textId="77777777" w:rsidR="00B12932" w:rsidRPr="0031276E" w:rsidRDefault="00B12932" w:rsidP="00711802">
      <w:pPr>
        <w:spacing w:before="120" w:after="120"/>
        <w:rPr>
          <w:b/>
        </w:rPr>
      </w:pPr>
      <w:r w:rsidRPr="0031276E">
        <w:rPr>
          <w:b/>
        </w:rPr>
        <w:t>Treasury material used ‘as supplied’.</w:t>
      </w:r>
    </w:p>
    <w:p w14:paraId="4B739435" w14:textId="77777777" w:rsidR="00B12932" w:rsidRPr="00476F09" w:rsidRDefault="00B12932" w:rsidP="00711802">
      <w:pPr>
        <w:spacing w:after="12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2C09923E" w14:textId="204432A3" w:rsidR="00B12932" w:rsidRPr="00A13A11" w:rsidRDefault="00B12932" w:rsidP="00332946">
      <w:pPr>
        <w:spacing w:after="120"/>
        <w:ind w:firstLine="720"/>
      </w:pPr>
      <w:r w:rsidRPr="002F1BC2">
        <w:rPr>
          <w:i/>
        </w:rPr>
        <w:t xml:space="preserve">Source: The </w:t>
      </w:r>
      <w:r w:rsidRPr="002F1BC2">
        <w:rPr>
          <w:i/>
          <w:iCs/>
        </w:rPr>
        <w:t>Australian Government the Treasury</w:t>
      </w:r>
      <w:r>
        <w:t>.</w:t>
      </w:r>
    </w:p>
    <w:p w14:paraId="063C17F6" w14:textId="77777777" w:rsidR="00B12932" w:rsidRPr="006627B4" w:rsidRDefault="00B12932" w:rsidP="00332946">
      <w:pPr>
        <w:spacing w:before="120"/>
      </w:pPr>
      <w:r w:rsidRPr="00CC63CC">
        <w:rPr>
          <w:b/>
        </w:rPr>
        <w:t>Derivative</w:t>
      </w:r>
      <w:r w:rsidRPr="006627B4">
        <w:t xml:space="preserve"> </w:t>
      </w:r>
      <w:r w:rsidRPr="00CC63CC">
        <w:rPr>
          <w:b/>
        </w:rPr>
        <w:t>material</w:t>
      </w:r>
    </w:p>
    <w:p w14:paraId="4A6FFE20" w14:textId="77777777" w:rsidR="00B12932" w:rsidRPr="006627B4" w:rsidRDefault="00B12932" w:rsidP="00711802">
      <w:pPr>
        <w:spacing w:after="120"/>
      </w:pPr>
      <w:r w:rsidRPr="006627B4">
        <w:t xml:space="preserve">If you have modified or transformed Treasury material, or derived new material from those of the Treasury in any way, then Treasury prefers the following attribution: </w:t>
      </w:r>
    </w:p>
    <w:p w14:paraId="4574EF96" w14:textId="18762185" w:rsidR="00B12932" w:rsidRPr="006627B4" w:rsidRDefault="00B12932" w:rsidP="00711802">
      <w:pPr>
        <w:spacing w:after="120"/>
        <w:ind w:firstLine="720"/>
      </w:pPr>
      <w:r w:rsidRPr="002F1BC2">
        <w:rPr>
          <w:i/>
        </w:rPr>
        <w:t>Based on The Australian Government the Treasury data</w:t>
      </w:r>
      <w:r>
        <w:t>.</w:t>
      </w:r>
    </w:p>
    <w:p w14:paraId="32181ECA" w14:textId="77777777" w:rsidR="00B12932" w:rsidRPr="006627B4" w:rsidRDefault="00B12932" w:rsidP="00711802">
      <w:pPr>
        <w:spacing w:before="120"/>
        <w:rPr>
          <w:b/>
        </w:rPr>
      </w:pPr>
      <w:r w:rsidRPr="006627B4">
        <w:rPr>
          <w:b/>
        </w:rPr>
        <w:t>Use of the Coat of Arms</w:t>
      </w:r>
    </w:p>
    <w:p w14:paraId="6262084B" w14:textId="77777777" w:rsidR="00B12932" w:rsidRPr="006627B4" w:rsidRDefault="00B12932" w:rsidP="00711802">
      <w:pPr>
        <w:spacing w:after="120"/>
      </w:pPr>
      <w:r w:rsidRPr="004A7BC2">
        <w:t>The terms under which the Coat of Arms can be used are set out</w:t>
      </w:r>
      <w:r>
        <w:t xml:space="preserve"> on the Department of the Prime </w:t>
      </w:r>
      <w:r w:rsidRPr="004A7BC2">
        <w:t xml:space="preserve">Minister and Cabinet website (see </w:t>
      </w:r>
      <w:hyperlink r:id="rId12" w:history="1">
        <w:r>
          <w:rPr>
            <w:rStyle w:val="Hyperlink"/>
          </w:rPr>
          <w:t>https://www.pmc.gov.au/honours-and-symbols/commonwealth-coat-arms</w:t>
        </w:r>
      </w:hyperlink>
      <w:r w:rsidRPr="004A7BC2">
        <w:t>s).</w:t>
      </w:r>
    </w:p>
    <w:p w14:paraId="65E50813" w14:textId="77777777" w:rsidR="00B12932" w:rsidRPr="006627B4" w:rsidRDefault="00B12932" w:rsidP="00711802">
      <w:pPr>
        <w:spacing w:before="120"/>
        <w:rPr>
          <w:b/>
        </w:rPr>
      </w:pPr>
      <w:r>
        <w:rPr>
          <w:b/>
        </w:rPr>
        <w:t>Other u</w:t>
      </w:r>
      <w:r w:rsidRPr="006627B4">
        <w:rPr>
          <w:b/>
        </w:rPr>
        <w:t>ses</w:t>
      </w:r>
    </w:p>
    <w:p w14:paraId="1E73B126" w14:textId="77777777" w:rsidR="00B12932" w:rsidRPr="006627B4" w:rsidRDefault="00B12932" w:rsidP="00711802">
      <w:pPr>
        <w:spacing w:after="120"/>
      </w:pPr>
      <w:r>
        <w:t>E</w:t>
      </w:r>
      <w:r w:rsidRPr="006627B4">
        <w:t>nquiries regarding this licence and any other use of this document are welcome at:</w:t>
      </w:r>
    </w:p>
    <w:p w14:paraId="575FB607" w14:textId="5D77C56D" w:rsidR="00B12932" w:rsidRDefault="00B12932" w:rsidP="00B12932">
      <w:pPr>
        <w:ind w:left="720"/>
      </w:pPr>
      <w:r w:rsidRPr="006627B4">
        <w:t>Manager</w:t>
      </w:r>
      <w:r w:rsidR="00332946">
        <w:t xml:space="preserve">, </w:t>
      </w:r>
      <w:r>
        <w:t>Media and Speeches Unit</w:t>
      </w:r>
      <w:r>
        <w:br/>
      </w:r>
      <w:r w:rsidRPr="006627B4">
        <w:t>The Treasury</w:t>
      </w:r>
      <w:r>
        <w:br/>
      </w:r>
      <w:r w:rsidRPr="006627B4">
        <w:t xml:space="preserve">Langton Crescent </w:t>
      </w:r>
      <w:r>
        <w:br/>
      </w:r>
      <w:r w:rsidR="00C939C9" w:rsidRPr="006627B4">
        <w:t xml:space="preserve">Parkes </w:t>
      </w:r>
      <w:r w:rsidR="00C939C9">
        <w:t>ACT</w:t>
      </w:r>
      <w:r w:rsidRPr="006627B4">
        <w:t xml:space="preserve"> </w:t>
      </w:r>
      <w:r>
        <w:t xml:space="preserve"> </w:t>
      </w:r>
      <w:r w:rsidRPr="006627B4">
        <w:t>2600</w:t>
      </w:r>
      <w:r>
        <w:br/>
      </w:r>
      <w:r w:rsidRPr="006627B4">
        <w:t xml:space="preserve">Email: </w:t>
      </w:r>
      <w:hyperlink r:id="rId13" w:history="1">
        <w:r w:rsidRPr="000951A5">
          <w:rPr>
            <w:rStyle w:val="Hyperlink"/>
          </w:rPr>
          <w:t>media@treasury.gov.au</w:t>
        </w:r>
      </w:hyperlink>
      <w:r>
        <w:t xml:space="preserve"> </w:t>
      </w:r>
    </w:p>
    <w:p w14:paraId="532A2DE0" w14:textId="6E998BF3" w:rsidR="00332946" w:rsidRDefault="00B12932" w:rsidP="00BD62C3">
      <w:pPr>
        <w:spacing w:after="120"/>
        <w:rPr>
          <w:rStyle w:val="Emphasis"/>
          <w:i w:val="0"/>
        </w:rPr>
        <w:sectPr w:rsidR="00332946" w:rsidSect="00DE2DB3">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843" w:left="1134" w:header="993" w:footer="709" w:gutter="0"/>
          <w:pgNumType w:start="1"/>
          <w:cols w:space="708"/>
          <w:docGrid w:linePitch="360"/>
        </w:sectPr>
      </w:pPr>
      <w:r w:rsidRPr="002437D1">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w:t>
      </w:r>
      <w:bookmarkEnd w:id="0"/>
      <w:r w:rsidR="00BD62C3">
        <w:rPr>
          <w:i/>
          <w:iCs/>
        </w:rPr>
        <w:t>s.</w:t>
      </w:r>
    </w:p>
    <w:p w14:paraId="2F54D2E2" w14:textId="77777777" w:rsidR="003E0709" w:rsidRDefault="003E0709" w:rsidP="00A62EF3">
      <w:pPr>
        <w:rPr>
          <w:rStyle w:val="Emphasis"/>
          <w:i w:val="0"/>
        </w:rPr>
      </w:pPr>
    </w:p>
    <w:sdt>
      <w:sdtPr>
        <w:rPr>
          <w:rFonts w:asciiTheme="minorHAnsi" w:eastAsiaTheme="minorEastAsia" w:hAnsiTheme="minorHAnsi" w:cstheme="minorBidi"/>
          <w:i/>
          <w:iCs/>
          <w:color w:val="auto"/>
          <w:sz w:val="22"/>
          <w:szCs w:val="22"/>
        </w:rPr>
        <w:id w:val="-179814813"/>
        <w:docPartObj>
          <w:docPartGallery w:val="Table of Contents"/>
          <w:docPartUnique/>
        </w:docPartObj>
      </w:sdtPr>
      <w:sdtEndPr>
        <w:rPr>
          <w:b/>
          <w:bCs/>
          <w:i w:val="0"/>
          <w:iCs w:val="0"/>
        </w:rPr>
      </w:sdtEndPr>
      <w:sdtContent>
        <w:p w14:paraId="0FACAFAA" w14:textId="1C86CE4B" w:rsidR="003E0709" w:rsidRDefault="003E0709">
          <w:pPr>
            <w:pStyle w:val="TOCHeading"/>
          </w:pPr>
          <w:r>
            <w:t>Contents</w:t>
          </w:r>
        </w:p>
        <w:p w14:paraId="79745CA5" w14:textId="1E1D6D70" w:rsidR="00EC11BB" w:rsidRDefault="003E0709">
          <w:pPr>
            <w:pStyle w:val="TOC1"/>
            <w:rPr>
              <w:noProof/>
              <w:kern w:val="2"/>
              <w:sz w:val="24"/>
              <w:szCs w:val="24"/>
              <w:lang w:eastAsia="en-AU"/>
              <w14:ligatures w14:val="standardContextual"/>
            </w:rPr>
          </w:pPr>
          <w:r>
            <w:fldChar w:fldCharType="begin"/>
          </w:r>
          <w:r>
            <w:instrText xml:space="preserve"> TOC \o "1-1" \h \z \u </w:instrText>
          </w:r>
          <w:r>
            <w:fldChar w:fldCharType="separate"/>
          </w:r>
          <w:hyperlink w:anchor="_Toc200114833" w:history="1">
            <w:r w:rsidR="00EC11BB" w:rsidRPr="00F35180">
              <w:rPr>
                <w:rStyle w:val="Hyperlink"/>
                <w:noProof/>
              </w:rPr>
              <w:t>Executive Summary</w:t>
            </w:r>
            <w:r w:rsidR="00EC11BB">
              <w:rPr>
                <w:noProof/>
                <w:webHidden/>
              </w:rPr>
              <w:tab/>
            </w:r>
            <w:r w:rsidR="00EC11BB">
              <w:rPr>
                <w:noProof/>
                <w:webHidden/>
              </w:rPr>
              <w:fldChar w:fldCharType="begin"/>
            </w:r>
            <w:r w:rsidR="00EC11BB">
              <w:rPr>
                <w:noProof/>
                <w:webHidden/>
              </w:rPr>
              <w:instrText xml:space="preserve"> PAGEREF _Toc200114833 \h </w:instrText>
            </w:r>
            <w:r w:rsidR="00EC11BB">
              <w:rPr>
                <w:noProof/>
                <w:webHidden/>
              </w:rPr>
            </w:r>
            <w:r w:rsidR="00EC11BB">
              <w:rPr>
                <w:noProof/>
                <w:webHidden/>
              </w:rPr>
              <w:fldChar w:fldCharType="separate"/>
            </w:r>
            <w:r w:rsidR="00EC11BB">
              <w:rPr>
                <w:noProof/>
                <w:webHidden/>
              </w:rPr>
              <w:t>4</w:t>
            </w:r>
            <w:r w:rsidR="00EC11BB">
              <w:rPr>
                <w:noProof/>
                <w:webHidden/>
              </w:rPr>
              <w:fldChar w:fldCharType="end"/>
            </w:r>
          </w:hyperlink>
        </w:p>
        <w:p w14:paraId="001324F3" w14:textId="65E61DAF" w:rsidR="00EC11BB" w:rsidRDefault="00413C11">
          <w:pPr>
            <w:pStyle w:val="TOC1"/>
            <w:rPr>
              <w:noProof/>
              <w:kern w:val="2"/>
              <w:sz w:val="24"/>
              <w:szCs w:val="24"/>
              <w:lang w:eastAsia="en-AU"/>
              <w14:ligatures w14:val="standardContextual"/>
            </w:rPr>
          </w:pPr>
          <w:hyperlink w:anchor="_Toc200114834" w:history="1">
            <w:r w:rsidR="00EC11BB" w:rsidRPr="00F35180">
              <w:rPr>
                <w:rStyle w:val="Hyperlink"/>
                <w:noProof/>
              </w:rPr>
              <w:t>1. What is the policy problem Help to Buy is trying to solve?</w:t>
            </w:r>
            <w:r w:rsidR="00EC11BB">
              <w:rPr>
                <w:noProof/>
                <w:webHidden/>
              </w:rPr>
              <w:tab/>
            </w:r>
            <w:r w:rsidR="00EC11BB">
              <w:rPr>
                <w:noProof/>
                <w:webHidden/>
              </w:rPr>
              <w:fldChar w:fldCharType="begin"/>
            </w:r>
            <w:r w:rsidR="00EC11BB">
              <w:rPr>
                <w:noProof/>
                <w:webHidden/>
              </w:rPr>
              <w:instrText xml:space="preserve"> PAGEREF _Toc200114834 \h </w:instrText>
            </w:r>
            <w:r w:rsidR="00EC11BB">
              <w:rPr>
                <w:noProof/>
                <w:webHidden/>
              </w:rPr>
            </w:r>
            <w:r w:rsidR="00EC11BB">
              <w:rPr>
                <w:noProof/>
                <w:webHidden/>
              </w:rPr>
              <w:fldChar w:fldCharType="separate"/>
            </w:r>
            <w:r w:rsidR="00EC11BB">
              <w:rPr>
                <w:noProof/>
                <w:webHidden/>
              </w:rPr>
              <w:t>7</w:t>
            </w:r>
            <w:r w:rsidR="00EC11BB">
              <w:rPr>
                <w:noProof/>
                <w:webHidden/>
              </w:rPr>
              <w:fldChar w:fldCharType="end"/>
            </w:r>
          </w:hyperlink>
        </w:p>
        <w:p w14:paraId="797D2D41" w14:textId="0E896D34" w:rsidR="00EC11BB" w:rsidRDefault="00413C11">
          <w:pPr>
            <w:pStyle w:val="TOC1"/>
            <w:rPr>
              <w:noProof/>
              <w:kern w:val="2"/>
              <w:sz w:val="24"/>
              <w:szCs w:val="24"/>
              <w:lang w:eastAsia="en-AU"/>
              <w14:ligatures w14:val="standardContextual"/>
            </w:rPr>
          </w:pPr>
          <w:hyperlink w:anchor="_Toc200114835" w:history="1">
            <w:r w:rsidR="00EC11BB" w:rsidRPr="00F35180">
              <w:rPr>
                <w:rStyle w:val="Hyperlink"/>
                <w:noProof/>
              </w:rPr>
              <w:t>2. Why is Government action needed?</w:t>
            </w:r>
            <w:r w:rsidR="00EC11BB">
              <w:rPr>
                <w:noProof/>
                <w:webHidden/>
              </w:rPr>
              <w:tab/>
            </w:r>
            <w:r w:rsidR="00EC11BB">
              <w:rPr>
                <w:noProof/>
                <w:webHidden/>
              </w:rPr>
              <w:fldChar w:fldCharType="begin"/>
            </w:r>
            <w:r w:rsidR="00EC11BB">
              <w:rPr>
                <w:noProof/>
                <w:webHidden/>
              </w:rPr>
              <w:instrText xml:space="preserve"> PAGEREF _Toc200114835 \h </w:instrText>
            </w:r>
            <w:r w:rsidR="00EC11BB">
              <w:rPr>
                <w:noProof/>
                <w:webHidden/>
              </w:rPr>
            </w:r>
            <w:r w:rsidR="00EC11BB">
              <w:rPr>
                <w:noProof/>
                <w:webHidden/>
              </w:rPr>
              <w:fldChar w:fldCharType="separate"/>
            </w:r>
            <w:r w:rsidR="00EC11BB">
              <w:rPr>
                <w:noProof/>
                <w:webHidden/>
              </w:rPr>
              <w:t>15</w:t>
            </w:r>
            <w:r w:rsidR="00EC11BB">
              <w:rPr>
                <w:noProof/>
                <w:webHidden/>
              </w:rPr>
              <w:fldChar w:fldCharType="end"/>
            </w:r>
          </w:hyperlink>
        </w:p>
        <w:p w14:paraId="523E128C" w14:textId="2A027219" w:rsidR="00EC11BB" w:rsidRDefault="00413C11">
          <w:pPr>
            <w:pStyle w:val="TOC1"/>
            <w:rPr>
              <w:noProof/>
              <w:kern w:val="2"/>
              <w:sz w:val="24"/>
              <w:szCs w:val="24"/>
              <w:lang w:eastAsia="en-AU"/>
              <w14:ligatures w14:val="standardContextual"/>
            </w:rPr>
          </w:pPr>
          <w:hyperlink w:anchor="_Toc200114836" w:history="1">
            <w:r w:rsidR="00EC11BB" w:rsidRPr="00F35180">
              <w:rPr>
                <w:rStyle w:val="Hyperlink"/>
                <w:noProof/>
              </w:rPr>
              <w:t>3. Policy options: Status quo versus Help to Buy</w:t>
            </w:r>
            <w:r w:rsidR="00EC11BB">
              <w:rPr>
                <w:noProof/>
                <w:webHidden/>
              </w:rPr>
              <w:tab/>
            </w:r>
            <w:r w:rsidR="00EC11BB">
              <w:rPr>
                <w:noProof/>
                <w:webHidden/>
              </w:rPr>
              <w:fldChar w:fldCharType="begin"/>
            </w:r>
            <w:r w:rsidR="00EC11BB">
              <w:rPr>
                <w:noProof/>
                <w:webHidden/>
              </w:rPr>
              <w:instrText xml:space="preserve"> PAGEREF _Toc200114836 \h </w:instrText>
            </w:r>
            <w:r w:rsidR="00EC11BB">
              <w:rPr>
                <w:noProof/>
                <w:webHidden/>
              </w:rPr>
            </w:r>
            <w:r w:rsidR="00EC11BB">
              <w:rPr>
                <w:noProof/>
                <w:webHidden/>
              </w:rPr>
              <w:fldChar w:fldCharType="separate"/>
            </w:r>
            <w:r w:rsidR="00EC11BB">
              <w:rPr>
                <w:noProof/>
                <w:webHidden/>
              </w:rPr>
              <w:t>19</w:t>
            </w:r>
            <w:r w:rsidR="00EC11BB">
              <w:rPr>
                <w:noProof/>
                <w:webHidden/>
              </w:rPr>
              <w:fldChar w:fldCharType="end"/>
            </w:r>
          </w:hyperlink>
        </w:p>
        <w:p w14:paraId="325A56C2" w14:textId="2C3F7F3C" w:rsidR="00EC11BB" w:rsidRDefault="00413C11">
          <w:pPr>
            <w:pStyle w:val="TOC1"/>
            <w:rPr>
              <w:noProof/>
              <w:kern w:val="2"/>
              <w:sz w:val="24"/>
              <w:szCs w:val="24"/>
              <w:lang w:eastAsia="en-AU"/>
              <w14:ligatures w14:val="standardContextual"/>
            </w:rPr>
          </w:pPr>
          <w:hyperlink w:anchor="_Toc200114837" w:history="1">
            <w:r w:rsidR="00EC11BB" w:rsidRPr="00F35180">
              <w:rPr>
                <w:rStyle w:val="Hyperlink"/>
                <w:noProof/>
              </w:rPr>
              <w:t>4. What are the likely net benefits of Help to Buy</w:t>
            </w:r>
            <w:r w:rsidR="00EC11BB">
              <w:rPr>
                <w:noProof/>
                <w:webHidden/>
              </w:rPr>
              <w:tab/>
            </w:r>
            <w:r w:rsidR="00EC11BB">
              <w:rPr>
                <w:noProof/>
                <w:webHidden/>
              </w:rPr>
              <w:fldChar w:fldCharType="begin"/>
            </w:r>
            <w:r w:rsidR="00EC11BB">
              <w:rPr>
                <w:noProof/>
                <w:webHidden/>
              </w:rPr>
              <w:instrText xml:space="preserve"> PAGEREF _Toc200114837 \h </w:instrText>
            </w:r>
            <w:r w:rsidR="00EC11BB">
              <w:rPr>
                <w:noProof/>
                <w:webHidden/>
              </w:rPr>
            </w:r>
            <w:r w:rsidR="00EC11BB">
              <w:rPr>
                <w:noProof/>
                <w:webHidden/>
              </w:rPr>
              <w:fldChar w:fldCharType="separate"/>
            </w:r>
            <w:r w:rsidR="00EC11BB">
              <w:rPr>
                <w:noProof/>
                <w:webHidden/>
              </w:rPr>
              <w:t>23</w:t>
            </w:r>
            <w:r w:rsidR="00EC11BB">
              <w:rPr>
                <w:noProof/>
                <w:webHidden/>
              </w:rPr>
              <w:fldChar w:fldCharType="end"/>
            </w:r>
          </w:hyperlink>
        </w:p>
        <w:p w14:paraId="4EBF1868" w14:textId="5E1CA81B" w:rsidR="00EC11BB" w:rsidRDefault="00413C11">
          <w:pPr>
            <w:pStyle w:val="TOC1"/>
            <w:rPr>
              <w:noProof/>
              <w:kern w:val="2"/>
              <w:sz w:val="24"/>
              <w:szCs w:val="24"/>
              <w:lang w:eastAsia="en-AU"/>
              <w14:ligatures w14:val="standardContextual"/>
            </w:rPr>
          </w:pPr>
          <w:hyperlink w:anchor="_Toc200114838" w:history="1">
            <w:r w:rsidR="00EC11BB" w:rsidRPr="00F35180">
              <w:rPr>
                <w:rStyle w:val="Hyperlink"/>
                <w:noProof/>
              </w:rPr>
              <w:t>5. Consultation</w:t>
            </w:r>
            <w:r w:rsidR="00EC11BB">
              <w:rPr>
                <w:noProof/>
                <w:webHidden/>
              </w:rPr>
              <w:tab/>
            </w:r>
            <w:r w:rsidR="00EC11BB">
              <w:rPr>
                <w:noProof/>
                <w:webHidden/>
              </w:rPr>
              <w:fldChar w:fldCharType="begin"/>
            </w:r>
            <w:r w:rsidR="00EC11BB">
              <w:rPr>
                <w:noProof/>
                <w:webHidden/>
              </w:rPr>
              <w:instrText xml:space="preserve"> PAGEREF _Toc200114838 \h </w:instrText>
            </w:r>
            <w:r w:rsidR="00EC11BB">
              <w:rPr>
                <w:noProof/>
                <w:webHidden/>
              </w:rPr>
            </w:r>
            <w:r w:rsidR="00EC11BB">
              <w:rPr>
                <w:noProof/>
                <w:webHidden/>
              </w:rPr>
              <w:fldChar w:fldCharType="separate"/>
            </w:r>
            <w:r w:rsidR="00EC11BB">
              <w:rPr>
                <w:noProof/>
                <w:webHidden/>
              </w:rPr>
              <w:t>33</w:t>
            </w:r>
            <w:r w:rsidR="00EC11BB">
              <w:rPr>
                <w:noProof/>
                <w:webHidden/>
              </w:rPr>
              <w:fldChar w:fldCharType="end"/>
            </w:r>
          </w:hyperlink>
        </w:p>
        <w:p w14:paraId="14183602" w14:textId="65469881" w:rsidR="00EC11BB" w:rsidRDefault="00413C11">
          <w:pPr>
            <w:pStyle w:val="TOC1"/>
            <w:rPr>
              <w:noProof/>
              <w:kern w:val="2"/>
              <w:sz w:val="24"/>
              <w:szCs w:val="24"/>
              <w:lang w:eastAsia="en-AU"/>
              <w14:ligatures w14:val="standardContextual"/>
            </w:rPr>
          </w:pPr>
          <w:hyperlink w:anchor="_Toc200114839" w:history="1">
            <w:r w:rsidR="00EC11BB" w:rsidRPr="00F35180">
              <w:rPr>
                <w:rStyle w:val="Hyperlink"/>
                <w:noProof/>
              </w:rPr>
              <w:t>6. Chosen option and implementation</w:t>
            </w:r>
            <w:r w:rsidR="00EC11BB">
              <w:rPr>
                <w:noProof/>
                <w:webHidden/>
              </w:rPr>
              <w:tab/>
            </w:r>
            <w:r w:rsidR="00EC11BB">
              <w:rPr>
                <w:noProof/>
                <w:webHidden/>
              </w:rPr>
              <w:fldChar w:fldCharType="begin"/>
            </w:r>
            <w:r w:rsidR="00EC11BB">
              <w:rPr>
                <w:noProof/>
                <w:webHidden/>
              </w:rPr>
              <w:instrText xml:space="preserve"> PAGEREF _Toc200114839 \h </w:instrText>
            </w:r>
            <w:r w:rsidR="00EC11BB">
              <w:rPr>
                <w:noProof/>
                <w:webHidden/>
              </w:rPr>
            </w:r>
            <w:r w:rsidR="00EC11BB">
              <w:rPr>
                <w:noProof/>
                <w:webHidden/>
              </w:rPr>
              <w:fldChar w:fldCharType="separate"/>
            </w:r>
            <w:r w:rsidR="00EC11BB">
              <w:rPr>
                <w:noProof/>
                <w:webHidden/>
              </w:rPr>
              <w:t>37</w:t>
            </w:r>
            <w:r w:rsidR="00EC11BB">
              <w:rPr>
                <w:noProof/>
                <w:webHidden/>
              </w:rPr>
              <w:fldChar w:fldCharType="end"/>
            </w:r>
          </w:hyperlink>
        </w:p>
        <w:p w14:paraId="7FDCB799" w14:textId="09C01E95" w:rsidR="00EC11BB" w:rsidRDefault="00413C11">
          <w:pPr>
            <w:pStyle w:val="TOC1"/>
            <w:rPr>
              <w:noProof/>
              <w:kern w:val="2"/>
              <w:sz w:val="24"/>
              <w:szCs w:val="24"/>
              <w:lang w:eastAsia="en-AU"/>
              <w14:ligatures w14:val="standardContextual"/>
            </w:rPr>
          </w:pPr>
          <w:hyperlink w:anchor="_Toc200114840" w:history="1">
            <w:r w:rsidR="00EC11BB" w:rsidRPr="00F35180">
              <w:rPr>
                <w:rStyle w:val="Hyperlink"/>
                <w:noProof/>
              </w:rPr>
              <w:t>7. Measuring success</w:t>
            </w:r>
            <w:r w:rsidR="00EC11BB">
              <w:rPr>
                <w:noProof/>
                <w:webHidden/>
              </w:rPr>
              <w:tab/>
            </w:r>
            <w:r w:rsidR="00EC11BB">
              <w:rPr>
                <w:noProof/>
                <w:webHidden/>
              </w:rPr>
              <w:fldChar w:fldCharType="begin"/>
            </w:r>
            <w:r w:rsidR="00EC11BB">
              <w:rPr>
                <w:noProof/>
                <w:webHidden/>
              </w:rPr>
              <w:instrText xml:space="preserve"> PAGEREF _Toc200114840 \h </w:instrText>
            </w:r>
            <w:r w:rsidR="00EC11BB">
              <w:rPr>
                <w:noProof/>
                <w:webHidden/>
              </w:rPr>
            </w:r>
            <w:r w:rsidR="00EC11BB">
              <w:rPr>
                <w:noProof/>
                <w:webHidden/>
              </w:rPr>
              <w:fldChar w:fldCharType="separate"/>
            </w:r>
            <w:r w:rsidR="00EC11BB">
              <w:rPr>
                <w:noProof/>
                <w:webHidden/>
              </w:rPr>
              <w:t>40</w:t>
            </w:r>
            <w:r w:rsidR="00EC11BB">
              <w:rPr>
                <w:noProof/>
                <w:webHidden/>
              </w:rPr>
              <w:fldChar w:fldCharType="end"/>
            </w:r>
          </w:hyperlink>
        </w:p>
        <w:p w14:paraId="6EDBBD3C" w14:textId="517C76B8" w:rsidR="003E0709" w:rsidRDefault="003E0709">
          <w:r>
            <w:fldChar w:fldCharType="end"/>
          </w:r>
        </w:p>
      </w:sdtContent>
    </w:sdt>
    <w:p w14:paraId="5EBD7411" w14:textId="540B4EF2" w:rsidR="00B12932" w:rsidRDefault="00B12932" w:rsidP="00B12932"/>
    <w:p w14:paraId="433C7419" w14:textId="77777777" w:rsidR="003E0709" w:rsidRDefault="003E0709" w:rsidP="00B12932"/>
    <w:p w14:paraId="7F64947B" w14:textId="77777777" w:rsidR="003E0709" w:rsidRDefault="003E0709" w:rsidP="00B12932"/>
    <w:p w14:paraId="4351EA1E" w14:textId="77777777" w:rsidR="003E0709" w:rsidRDefault="003E0709" w:rsidP="00B12932"/>
    <w:p w14:paraId="03BB6FCD" w14:textId="77777777" w:rsidR="003E0709" w:rsidRDefault="003E0709" w:rsidP="00B12932"/>
    <w:p w14:paraId="69FEEC5F" w14:textId="77777777" w:rsidR="003E0709" w:rsidRDefault="003E0709" w:rsidP="00B12932"/>
    <w:p w14:paraId="03C209D5" w14:textId="77777777" w:rsidR="003E0709" w:rsidRDefault="003E0709" w:rsidP="00B12932"/>
    <w:p w14:paraId="77743AC4" w14:textId="77777777" w:rsidR="003E0709" w:rsidRDefault="003E0709" w:rsidP="00B12932"/>
    <w:p w14:paraId="759502C2" w14:textId="77777777" w:rsidR="003E0709" w:rsidRDefault="003E0709" w:rsidP="00B12932"/>
    <w:p w14:paraId="029CAC09" w14:textId="77777777" w:rsidR="003E0709" w:rsidRDefault="003E0709" w:rsidP="00B12932"/>
    <w:p w14:paraId="34415BA6" w14:textId="77777777" w:rsidR="003E0709" w:rsidRDefault="003E0709" w:rsidP="00B12932"/>
    <w:p w14:paraId="5FA9AB2A" w14:textId="77777777" w:rsidR="003E0709" w:rsidRDefault="003E0709" w:rsidP="00B12932"/>
    <w:p w14:paraId="69AC610C" w14:textId="77777777" w:rsidR="003E0709" w:rsidRPr="00B12932" w:rsidRDefault="003E0709" w:rsidP="00B12932"/>
    <w:p w14:paraId="6DEAF2C0" w14:textId="77777777" w:rsidR="002448C2" w:rsidRDefault="002448C2" w:rsidP="00F63998">
      <w:pPr>
        <w:pStyle w:val="Heading1"/>
        <w:sectPr w:rsidR="002448C2" w:rsidSect="00F03D51">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843" w:left="1134" w:header="993" w:footer="709" w:gutter="0"/>
          <w:cols w:space="708"/>
          <w:docGrid w:linePitch="360"/>
        </w:sectPr>
      </w:pPr>
    </w:p>
    <w:p w14:paraId="539A7DEA" w14:textId="200F0036" w:rsidR="00A62EF3" w:rsidRPr="009B6059" w:rsidRDefault="0014151F" w:rsidP="00F63998">
      <w:pPr>
        <w:pStyle w:val="Heading1"/>
        <w:rPr>
          <w:color w:val="004261" w:themeColor="accent2"/>
        </w:rPr>
      </w:pPr>
      <w:bookmarkStart w:id="1" w:name="_Toc200114833"/>
      <w:r w:rsidRPr="009B6059">
        <w:rPr>
          <w:color w:val="004261" w:themeColor="accent2"/>
        </w:rPr>
        <w:lastRenderedPageBreak/>
        <w:t>Executive Summary</w:t>
      </w:r>
      <w:bookmarkEnd w:id="1"/>
    </w:p>
    <w:p w14:paraId="6ABEE40B" w14:textId="28196608" w:rsidR="007E1140" w:rsidRDefault="007E1140" w:rsidP="007E1140">
      <w:r>
        <w:t>This Impact Analysis has been prepared by the Department of the Treasury (</w:t>
      </w:r>
      <w:r>
        <w:rPr>
          <w:b/>
          <w:bCs/>
        </w:rPr>
        <w:t>Treasury</w:t>
      </w:r>
      <w:r>
        <w:t xml:space="preserve">) to support the Government’s decision to implement the Help to Buy </w:t>
      </w:r>
      <w:r w:rsidR="00B438A2">
        <w:t>scheme</w:t>
      </w:r>
      <w:r>
        <w:t xml:space="preserve"> (</w:t>
      </w:r>
      <w:r>
        <w:rPr>
          <w:b/>
          <w:bCs/>
        </w:rPr>
        <w:t xml:space="preserve">the </w:t>
      </w:r>
      <w:r w:rsidR="006941EA">
        <w:rPr>
          <w:b/>
          <w:bCs/>
        </w:rPr>
        <w:t>s</w:t>
      </w:r>
      <w:r w:rsidR="00B438A2">
        <w:rPr>
          <w:b/>
          <w:bCs/>
        </w:rPr>
        <w:t>cheme</w:t>
      </w:r>
      <w:r>
        <w:t>) 2022 election commitment.</w:t>
      </w:r>
      <w:r w:rsidRPr="00A90A90">
        <w:t xml:space="preserve"> </w:t>
      </w:r>
      <w:r>
        <w:t xml:space="preserve">The proposed </w:t>
      </w:r>
      <w:r w:rsidR="00B438A2">
        <w:t>scheme</w:t>
      </w:r>
      <w:r>
        <w:t xml:space="preserve"> will support eligible Australians who would otherwise not be able to enter the housing market, including low- and middle-income earners, key workers, single parents, mature aged women, and long-term renters, to purchase a home of their own.</w:t>
      </w:r>
    </w:p>
    <w:p w14:paraId="383F63A5" w14:textId="29943B4A" w:rsidR="007E1140" w:rsidRDefault="005E376C" w:rsidP="007E1140">
      <w:r>
        <w:t xml:space="preserve">While an impact analysis is not required </w:t>
      </w:r>
      <w:r w:rsidRPr="005E376C">
        <w:t>by</w:t>
      </w:r>
      <w:r>
        <w:t xml:space="preserve"> the </w:t>
      </w:r>
      <w:r w:rsidRPr="009F4A20">
        <w:rPr>
          <w:i/>
          <w:iCs/>
        </w:rPr>
        <w:t>Help to Buy Act 2024</w:t>
      </w:r>
      <w:r>
        <w:t>, a</w:t>
      </w:r>
      <w:r w:rsidR="007E1140">
        <w:t xml:space="preserve"> preliminary draft of this Impact Analysis was provided to the Government to inform initial consideration of the </w:t>
      </w:r>
      <w:r w:rsidR="006941EA">
        <w:t>s</w:t>
      </w:r>
      <w:r w:rsidR="00B438A2">
        <w:t>cheme</w:t>
      </w:r>
      <w:r w:rsidR="007E1140">
        <w:t>. Extensive targeted and public consultation has been undertaken as part of the policy design process. Information from these consultation processes has been incorporated into this Impact Analysis.</w:t>
      </w:r>
    </w:p>
    <w:p w14:paraId="7615D395" w14:textId="74B7CD47" w:rsidR="00E77ABE" w:rsidRPr="009A250F" w:rsidRDefault="008262B3" w:rsidP="007E1140">
      <w:pPr>
        <w:rPr>
          <w:u w:val="single"/>
        </w:rPr>
      </w:pPr>
      <w:r>
        <w:rPr>
          <w:u w:val="single"/>
        </w:rPr>
        <w:t xml:space="preserve">Policy problem and </w:t>
      </w:r>
      <w:r w:rsidR="00B438A2">
        <w:rPr>
          <w:u w:val="single"/>
        </w:rPr>
        <w:t>Scheme</w:t>
      </w:r>
      <w:r>
        <w:rPr>
          <w:u w:val="single"/>
        </w:rPr>
        <w:t xml:space="preserve"> design</w:t>
      </w:r>
    </w:p>
    <w:p w14:paraId="16284DAC" w14:textId="37215AC1" w:rsidR="0043172B" w:rsidRDefault="0043172B" w:rsidP="0043172B">
      <w:r>
        <w:t>Australia has seen a decades long fall in home ownership, falling from 71.4 per cent in 1994 to 66.3 per cent in 2021.</w:t>
      </w:r>
      <w:r>
        <w:rPr>
          <w:rStyle w:val="FootnoteReference"/>
        </w:rPr>
        <w:footnoteReference w:id="2"/>
      </w:r>
      <w:r>
        <w:t xml:space="preserve"> This has resulted in more households renting for longer, increasing pressure on the rental market and preventing many Australians from achieving the benefits offered by home ownership. The average age of first homebuyers has increased significantly, between 1991 and 2021 the number of Australians aged between 40 and 44 who owned their own home fell from 75.1 per cent to 64.9 per cent.</w:t>
      </w:r>
      <w:r>
        <w:rPr>
          <w:rStyle w:val="FootnoteReference"/>
        </w:rPr>
        <w:footnoteReference w:id="3"/>
      </w:r>
    </w:p>
    <w:p w14:paraId="23387237" w14:textId="174FC23C" w:rsidR="0043172B" w:rsidRDefault="0043172B" w:rsidP="0043172B">
      <w:r>
        <w:t xml:space="preserve">To assist more Australians, and particularly low- and middle-income households, into home ownership, the Government committed to establishing the Help to </w:t>
      </w:r>
      <w:r w:rsidRPr="002B7330">
        <w:t xml:space="preserve">Buy shared equity </w:t>
      </w:r>
      <w:r w:rsidR="00B438A2">
        <w:t>scheme</w:t>
      </w:r>
      <w:r w:rsidRPr="002B7330">
        <w:t xml:space="preserve"> as part of its 2022 election platform. The Help to Buy </w:t>
      </w:r>
      <w:r w:rsidR="00B438A2">
        <w:t>scheme</w:t>
      </w:r>
      <w:r w:rsidRPr="002B7330">
        <w:t xml:space="preserve"> will assist 10,000 Australian households each year for 4 years to purchase a home by providing an equity contribution from the Government. This equity contribution will be capped at 30 per cent for existing </w:t>
      </w:r>
      <w:r w:rsidRPr="002413E4">
        <w:t>homes</w:t>
      </w:r>
      <w:r w:rsidRPr="002B7330">
        <w:t xml:space="preserve"> and 40 per cent for new </w:t>
      </w:r>
      <w:r w:rsidRPr="002413E4">
        <w:t>homes</w:t>
      </w:r>
      <w:r w:rsidRPr="002B7330">
        <w:t>, with a minimum deposit requirement of 2 per cent.</w:t>
      </w:r>
      <w:r>
        <w:t xml:space="preserve"> </w:t>
      </w:r>
      <w:r w:rsidR="007C633D">
        <w:t xml:space="preserve"> N</w:t>
      </w:r>
      <w:r w:rsidR="008C60DE">
        <w:t>o interest will be charged on</w:t>
      </w:r>
      <w:r w:rsidR="007C633D">
        <w:t xml:space="preserve"> the</w:t>
      </w:r>
      <w:r w:rsidR="008C60DE">
        <w:t xml:space="preserve"> Commonwealth’s equity contribution</w:t>
      </w:r>
      <w:r w:rsidR="00476B88">
        <w:t>,</w:t>
      </w:r>
      <w:r w:rsidR="007C633D">
        <w:t xml:space="preserve"> </w:t>
      </w:r>
      <w:r w:rsidR="00476B88">
        <w:t>while</w:t>
      </w:r>
      <w:r w:rsidR="007C633D">
        <w:t xml:space="preserve"> t</w:t>
      </w:r>
      <w:r w:rsidR="008C60DE" w:rsidRPr="008C60DE">
        <w:t>he financial risk and benefit will be shared between the participant and the Commonwealth proportionate to their interests.</w:t>
      </w:r>
    </w:p>
    <w:p w14:paraId="47825A55" w14:textId="16B90D63" w:rsidR="0043172B" w:rsidRPr="00386714" w:rsidRDefault="0043172B" w:rsidP="0043172B">
      <w:r w:rsidRPr="00BD3E63">
        <w:t xml:space="preserve">The </w:t>
      </w:r>
      <w:r w:rsidR="006941EA">
        <w:t>s</w:t>
      </w:r>
      <w:r w:rsidR="00B438A2">
        <w:t>cheme</w:t>
      </w:r>
      <w:r w:rsidRPr="00085B4F">
        <w:t xml:space="preserve"> will be available to eligible Australians who earn </w:t>
      </w:r>
      <w:r w:rsidRPr="00BD3E63">
        <w:t>up to</w:t>
      </w:r>
      <w:r w:rsidRPr="00085B4F">
        <w:t xml:space="preserve"> $100,000 for single and $160,000 for joint applicants to purchase properties </w:t>
      </w:r>
      <w:r w:rsidRPr="00BD3E63">
        <w:t xml:space="preserve">at or </w:t>
      </w:r>
      <w:r w:rsidRPr="00085B4F">
        <w:t xml:space="preserve">below the relevant price cap in each area. </w:t>
      </w:r>
      <w:r w:rsidRPr="002413E4">
        <w:t xml:space="preserve">The financial capacity of applicants will also be assessed by </w:t>
      </w:r>
      <w:r w:rsidRPr="00085B4F">
        <w:t xml:space="preserve">lenders and </w:t>
      </w:r>
      <w:r w:rsidRPr="002413E4">
        <w:t xml:space="preserve">Housing Australia to ensure </w:t>
      </w:r>
      <w:r>
        <w:t xml:space="preserve">the </w:t>
      </w:r>
      <w:r w:rsidR="006941EA">
        <w:t>s</w:t>
      </w:r>
      <w:r w:rsidR="00B438A2">
        <w:t>cheme</w:t>
      </w:r>
      <w:r w:rsidRPr="002413E4">
        <w:t xml:space="preserve"> is targeted to Australians who would not otherwise be able to purchase a home. </w:t>
      </w:r>
      <w:r>
        <w:t xml:space="preserve">As much as possible, participants in the </w:t>
      </w:r>
      <w:r w:rsidR="006941EA">
        <w:t>s</w:t>
      </w:r>
      <w:r w:rsidR="00B438A2">
        <w:t>cheme</w:t>
      </w:r>
      <w:r>
        <w:t xml:space="preserve"> will be treated as owners, particularly in relation to </w:t>
      </w:r>
      <w:r w:rsidRPr="002413E4">
        <w:t>the right to make modifications and renovate their property</w:t>
      </w:r>
      <w:r>
        <w:t xml:space="preserve">. Additionally, participants will be able </w:t>
      </w:r>
      <w:r>
        <w:lastRenderedPageBreak/>
        <w:t>to repurchase the Government share over time, increasing their share of the home and proportionally reducing the Government’s.</w:t>
      </w:r>
    </w:p>
    <w:p w14:paraId="6ED04B1D" w14:textId="0290D7D0" w:rsidR="0043172B" w:rsidRPr="005F36A3" w:rsidRDefault="0043172B" w:rsidP="0043172B">
      <w:r>
        <w:t xml:space="preserve">The purpose of the </w:t>
      </w:r>
      <w:r w:rsidR="009A250F">
        <w:t>s</w:t>
      </w:r>
      <w:r w:rsidR="00B438A2">
        <w:t>cheme</w:t>
      </w:r>
      <w:r>
        <w:t xml:space="preserve"> is to make home ownership achievable for more Australians. By significantly lowering both the deposit and ongoing mortgage repayments required to purchase a home, the </w:t>
      </w:r>
      <w:r w:rsidR="009A250F">
        <w:t>s</w:t>
      </w:r>
      <w:r w:rsidR="00B438A2">
        <w:t>cheme</w:t>
      </w:r>
      <w:r>
        <w:t xml:space="preserve"> will directly assist 40,000 Australian households to achieve home </w:t>
      </w:r>
      <w:r w:rsidRPr="005F36A3">
        <w:t>ownership compared to the status quo.</w:t>
      </w:r>
    </w:p>
    <w:p w14:paraId="47DE8861" w14:textId="3C8DD750" w:rsidR="0043172B" w:rsidRPr="00A541DB" w:rsidRDefault="0043172B" w:rsidP="0043172B">
      <w:r w:rsidRPr="00A541DB">
        <w:t xml:space="preserve">The </w:t>
      </w:r>
      <w:r w:rsidR="009A250F">
        <w:t>s</w:t>
      </w:r>
      <w:r w:rsidR="00B438A2">
        <w:t>cheme</w:t>
      </w:r>
      <w:r w:rsidRPr="00A541DB">
        <w:t xml:space="preserve"> will be managed by Housing Australia, alongside a number of other Government housing programs, in particular the </w:t>
      </w:r>
      <w:r w:rsidR="00B438A2">
        <w:t>Home Guarantee Scheme</w:t>
      </w:r>
      <w:r w:rsidRPr="00A541DB">
        <w:t xml:space="preserve"> (HGS) and the Housing Australia Future Fund. Housing Australia </w:t>
      </w:r>
      <w:r w:rsidRPr="002413E4">
        <w:t xml:space="preserve">will </w:t>
      </w:r>
      <w:r w:rsidRPr="00A541DB">
        <w:t>leverage the experience of establishing</w:t>
      </w:r>
      <w:r w:rsidRPr="002413E4">
        <w:t xml:space="preserve"> </w:t>
      </w:r>
      <w:r w:rsidRPr="00A541DB">
        <w:t>HGS to minimise additional implementation costs where possible.</w:t>
      </w:r>
      <w:r w:rsidRPr="002413E4">
        <w:t xml:space="preserve"> </w:t>
      </w:r>
      <w:r w:rsidRPr="00A541DB">
        <w:t xml:space="preserve">Housing Australia will also be responsible for selecting the panel of participating lenders who will play a key role in facilitating prospective applicants to enter the </w:t>
      </w:r>
      <w:r w:rsidR="009A250F">
        <w:t>s</w:t>
      </w:r>
      <w:r w:rsidR="00B438A2">
        <w:t>cheme</w:t>
      </w:r>
      <w:r w:rsidRPr="00A541DB">
        <w:t>.</w:t>
      </w:r>
      <w:r w:rsidRPr="002413E4">
        <w:t xml:space="preserve"> </w:t>
      </w:r>
    </w:p>
    <w:p w14:paraId="1AF2CB44" w14:textId="6E7CE0FA" w:rsidR="001474C0" w:rsidRPr="00C15C6B" w:rsidRDefault="0043172B" w:rsidP="007E1140">
      <w:r>
        <w:t xml:space="preserve">The </w:t>
      </w:r>
      <w:r w:rsidR="009A250F">
        <w:t>s</w:t>
      </w:r>
      <w:r w:rsidR="00B438A2">
        <w:t>cheme</w:t>
      </w:r>
      <w:r>
        <w:t xml:space="preserve"> is a key part of the Government’s Homes for Australia agenda and will provide significant direct support to aspiring homebuyers.</w:t>
      </w:r>
    </w:p>
    <w:p w14:paraId="72DE8F20" w14:textId="23BA0058" w:rsidR="007E1140" w:rsidRDefault="007E1140" w:rsidP="007E1140">
      <w:r>
        <w:t xml:space="preserve">The Impact Analysis has found that implementing the </w:t>
      </w:r>
      <w:r w:rsidR="009A250F">
        <w:t>s</w:t>
      </w:r>
      <w:r w:rsidR="00B438A2">
        <w:t>cheme</w:t>
      </w:r>
      <w:r>
        <w:t xml:space="preserve"> will provide material benefit in assisting Australians into home ownership compared to maintaining the status quo. As the </w:t>
      </w:r>
      <w:r w:rsidR="009A250F">
        <w:t>s</w:t>
      </w:r>
      <w:r w:rsidR="00B438A2">
        <w:t>cheme</w:t>
      </w:r>
      <w:r>
        <w:t xml:space="preserve"> is a </w:t>
      </w:r>
      <w:r w:rsidRPr="0052156A">
        <w:t>Government election commitment, this Impact Analysis only compares the policy against the status quo, in accordance with Office of Impact Analysis guidance.</w:t>
      </w:r>
    </w:p>
    <w:p w14:paraId="21E3880E" w14:textId="144CC5B9" w:rsidR="008262B3" w:rsidRPr="009A250F" w:rsidRDefault="008262B3" w:rsidP="007E1140">
      <w:pPr>
        <w:rPr>
          <w:u w:val="single"/>
        </w:rPr>
      </w:pPr>
      <w:r>
        <w:rPr>
          <w:u w:val="single"/>
        </w:rPr>
        <w:t>Background to the Impact Analysis</w:t>
      </w:r>
    </w:p>
    <w:p w14:paraId="5F25A4D3" w14:textId="6EEE8277" w:rsidR="007E1140" w:rsidRPr="0052156A" w:rsidRDefault="007E1140" w:rsidP="007E1140">
      <w:r w:rsidRPr="0052156A">
        <w:t xml:space="preserve">This final version of the Impact Analysis has been prepared for the Government in </w:t>
      </w:r>
      <w:r w:rsidR="003C560B">
        <w:t>June</w:t>
      </w:r>
      <w:r w:rsidRPr="0052156A">
        <w:t xml:space="preserve"> 2025, and will inform the Minister’s decision to approve the Help to Buy Program Directions that will allow Housing Australia to commence delivery of the </w:t>
      </w:r>
      <w:r w:rsidR="00B438A2">
        <w:t>scheme</w:t>
      </w:r>
      <w:r w:rsidRPr="0052156A">
        <w:t>.</w:t>
      </w:r>
    </w:p>
    <w:p w14:paraId="42312990" w14:textId="36B6E0DD" w:rsidR="007E1140" w:rsidRPr="002413E4" w:rsidRDefault="007E1140" w:rsidP="007E1140">
      <w:pPr>
        <w:pStyle w:val="pf0"/>
        <w:rPr>
          <w:rFonts w:asciiTheme="minorHAnsi" w:hAnsiTheme="minorHAnsi" w:cstheme="minorHAnsi"/>
        </w:rPr>
      </w:pPr>
      <w:r w:rsidRPr="002413E4">
        <w:rPr>
          <w:rStyle w:val="cf01"/>
          <w:rFonts w:asciiTheme="minorHAnsi" w:eastAsiaTheme="majorEastAsia" w:hAnsiTheme="minorHAnsi" w:cstheme="minorHAnsi"/>
          <w:sz w:val="22"/>
          <w:szCs w:val="22"/>
        </w:rPr>
        <w:t xml:space="preserve">Key milestones in the development of </w:t>
      </w:r>
      <w:r w:rsidRPr="0052156A">
        <w:rPr>
          <w:rStyle w:val="cf01"/>
          <w:rFonts w:asciiTheme="minorHAnsi" w:eastAsiaTheme="majorEastAsia" w:hAnsiTheme="minorHAnsi" w:cstheme="minorHAnsi"/>
          <w:sz w:val="22"/>
          <w:szCs w:val="22"/>
        </w:rPr>
        <w:t xml:space="preserve">the Help to Buy </w:t>
      </w:r>
      <w:r w:rsidR="00B438A2">
        <w:rPr>
          <w:rStyle w:val="cf01"/>
          <w:rFonts w:asciiTheme="minorHAnsi" w:eastAsiaTheme="majorEastAsia" w:hAnsiTheme="minorHAnsi" w:cstheme="minorHAnsi"/>
          <w:sz w:val="22"/>
          <w:szCs w:val="22"/>
        </w:rPr>
        <w:t>scheme</w:t>
      </w:r>
      <w:r w:rsidR="00666515">
        <w:rPr>
          <w:rStyle w:val="cf01"/>
          <w:rFonts w:asciiTheme="minorHAnsi" w:eastAsiaTheme="majorEastAsia" w:hAnsiTheme="minorHAnsi" w:cstheme="minorHAnsi"/>
          <w:sz w:val="22"/>
          <w:szCs w:val="22"/>
        </w:rPr>
        <w:t>,</w:t>
      </w:r>
      <w:r w:rsidRPr="002413E4">
        <w:rPr>
          <w:rStyle w:val="cf01"/>
          <w:rFonts w:asciiTheme="minorHAnsi" w:eastAsiaTheme="majorEastAsia" w:hAnsiTheme="minorHAnsi" w:cstheme="minorHAnsi"/>
          <w:sz w:val="22"/>
          <w:szCs w:val="22"/>
        </w:rPr>
        <w:t xml:space="preserve"> informed by the draft and final analyses provided in this Impact Analysis</w:t>
      </w:r>
      <w:r w:rsidR="00666515">
        <w:rPr>
          <w:rStyle w:val="cf01"/>
          <w:rFonts w:asciiTheme="minorHAnsi" w:eastAsiaTheme="majorEastAsia" w:hAnsiTheme="minorHAnsi" w:cstheme="minorHAnsi"/>
          <w:sz w:val="22"/>
          <w:szCs w:val="22"/>
        </w:rPr>
        <w:t>,</w:t>
      </w:r>
      <w:r w:rsidRPr="002413E4">
        <w:rPr>
          <w:rStyle w:val="cf01"/>
          <w:rFonts w:asciiTheme="minorHAnsi" w:eastAsiaTheme="majorEastAsia" w:hAnsiTheme="minorHAnsi" w:cstheme="minorHAnsi"/>
          <w:sz w:val="22"/>
          <w:szCs w:val="22"/>
        </w:rPr>
        <w:t xml:space="preserve"> include:</w:t>
      </w:r>
    </w:p>
    <w:p w14:paraId="73145D44" w14:textId="669EB464" w:rsidR="007E1140" w:rsidRPr="002413E4" w:rsidRDefault="00666515" w:rsidP="007E1140">
      <w:pPr>
        <w:pStyle w:val="pf1"/>
        <w:numPr>
          <w:ilvl w:val="0"/>
          <w:numId w:val="23"/>
        </w:numPr>
        <w:rPr>
          <w:rStyle w:val="cf01"/>
          <w:rFonts w:asciiTheme="minorHAnsi" w:hAnsiTheme="minorHAnsi" w:cstheme="minorHAnsi"/>
          <w:sz w:val="22"/>
          <w:szCs w:val="22"/>
        </w:rPr>
      </w:pPr>
      <w:r>
        <w:rPr>
          <w:rStyle w:val="cf01"/>
          <w:rFonts w:asciiTheme="minorHAnsi" w:hAnsiTheme="minorHAnsi" w:cstheme="minorHAnsi"/>
          <w:sz w:val="22"/>
          <w:szCs w:val="22"/>
        </w:rPr>
        <w:t>a</w:t>
      </w:r>
      <w:r w:rsidR="007E1140" w:rsidRPr="002413E4">
        <w:rPr>
          <w:rStyle w:val="cf01"/>
          <w:rFonts w:asciiTheme="minorHAnsi" w:hAnsiTheme="minorHAnsi" w:cstheme="minorHAnsi"/>
          <w:sz w:val="22"/>
          <w:szCs w:val="22"/>
        </w:rPr>
        <w:t xml:space="preserve">nnouncement of the Help to Buy </w:t>
      </w:r>
      <w:r w:rsidR="00B438A2">
        <w:rPr>
          <w:rStyle w:val="cf01"/>
          <w:rFonts w:asciiTheme="minorHAnsi" w:hAnsiTheme="minorHAnsi" w:cstheme="minorHAnsi"/>
          <w:sz w:val="22"/>
          <w:szCs w:val="22"/>
        </w:rPr>
        <w:t>scheme</w:t>
      </w:r>
      <w:r w:rsidR="007E1140" w:rsidRPr="002413E4">
        <w:rPr>
          <w:rStyle w:val="cf01"/>
          <w:rFonts w:asciiTheme="minorHAnsi" w:hAnsiTheme="minorHAnsi" w:cstheme="minorHAnsi"/>
          <w:sz w:val="22"/>
          <w:szCs w:val="22"/>
        </w:rPr>
        <w:t xml:space="preserve"> as an election commitment in May 2022</w:t>
      </w:r>
    </w:p>
    <w:p w14:paraId="6F4ADF61" w14:textId="20CF25A6" w:rsidR="007E1140" w:rsidRPr="002413E4" w:rsidRDefault="00666515" w:rsidP="007E1140">
      <w:pPr>
        <w:pStyle w:val="pf1"/>
        <w:numPr>
          <w:ilvl w:val="0"/>
          <w:numId w:val="23"/>
        </w:numPr>
        <w:rPr>
          <w:rStyle w:val="cf01"/>
          <w:rFonts w:asciiTheme="minorHAnsi" w:hAnsiTheme="minorHAnsi" w:cstheme="minorHAnsi"/>
          <w:sz w:val="22"/>
          <w:szCs w:val="22"/>
        </w:rPr>
      </w:pPr>
      <w:r>
        <w:rPr>
          <w:rStyle w:val="cf01"/>
          <w:rFonts w:asciiTheme="minorHAnsi" w:hAnsiTheme="minorHAnsi" w:cstheme="minorHAnsi"/>
          <w:sz w:val="22"/>
          <w:szCs w:val="22"/>
        </w:rPr>
        <w:t>i</w:t>
      </w:r>
      <w:r w:rsidR="007E1140" w:rsidRPr="002413E4">
        <w:rPr>
          <w:rStyle w:val="cf01"/>
          <w:rFonts w:asciiTheme="minorHAnsi" w:hAnsiTheme="minorHAnsi" w:cstheme="minorHAnsi"/>
          <w:sz w:val="22"/>
          <w:szCs w:val="22"/>
        </w:rPr>
        <w:t xml:space="preserve">nitial announcement of the Help to Buy </w:t>
      </w:r>
      <w:r w:rsidR="00B438A2">
        <w:rPr>
          <w:rStyle w:val="cf01"/>
          <w:rFonts w:asciiTheme="minorHAnsi" w:hAnsiTheme="minorHAnsi" w:cstheme="minorHAnsi"/>
          <w:sz w:val="22"/>
          <w:szCs w:val="22"/>
        </w:rPr>
        <w:t>scheme</w:t>
      </w:r>
      <w:r w:rsidR="007E1140" w:rsidRPr="002413E4">
        <w:rPr>
          <w:rStyle w:val="cf01"/>
          <w:rFonts w:asciiTheme="minorHAnsi" w:hAnsiTheme="minorHAnsi" w:cstheme="minorHAnsi"/>
          <w:sz w:val="22"/>
          <w:szCs w:val="22"/>
        </w:rPr>
        <w:t xml:space="preserve"> as part of the October 2022-23 Budget</w:t>
      </w:r>
    </w:p>
    <w:p w14:paraId="266878D0" w14:textId="578CBED8" w:rsidR="007E1140" w:rsidRDefault="00666515" w:rsidP="007E1140">
      <w:pPr>
        <w:pStyle w:val="pf1"/>
        <w:numPr>
          <w:ilvl w:val="0"/>
          <w:numId w:val="23"/>
        </w:numPr>
        <w:rPr>
          <w:rStyle w:val="cf01"/>
          <w:rFonts w:asciiTheme="minorHAnsi" w:hAnsiTheme="minorHAnsi" w:cstheme="minorHAnsi"/>
          <w:sz w:val="22"/>
          <w:szCs w:val="22"/>
        </w:rPr>
      </w:pPr>
      <w:r>
        <w:rPr>
          <w:rStyle w:val="cf01"/>
          <w:rFonts w:asciiTheme="minorHAnsi" w:hAnsiTheme="minorHAnsi" w:cstheme="minorHAnsi"/>
          <w:sz w:val="22"/>
          <w:szCs w:val="22"/>
        </w:rPr>
        <w:t>a</w:t>
      </w:r>
      <w:r w:rsidR="007E1140">
        <w:rPr>
          <w:rStyle w:val="cf01"/>
          <w:rFonts w:asciiTheme="minorHAnsi" w:hAnsiTheme="minorHAnsi" w:cstheme="minorHAnsi"/>
          <w:sz w:val="22"/>
          <w:szCs w:val="22"/>
        </w:rPr>
        <w:t xml:space="preserve">greement by </w:t>
      </w:r>
      <w:r>
        <w:rPr>
          <w:rStyle w:val="cf01"/>
          <w:rFonts w:asciiTheme="minorHAnsi" w:hAnsiTheme="minorHAnsi" w:cstheme="minorHAnsi"/>
          <w:sz w:val="22"/>
          <w:szCs w:val="22"/>
        </w:rPr>
        <w:t>s</w:t>
      </w:r>
      <w:r w:rsidR="007E1140">
        <w:rPr>
          <w:rStyle w:val="cf01"/>
          <w:rFonts w:asciiTheme="minorHAnsi" w:hAnsiTheme="minorHAnsi" w:cstheme="minorHAnsi"/>
          <w:sz w:val="22"/>
          <w:szCs w:val="22"/>
        </w:rPr>
        <w:t xml:space="preserve">tates and </w:t>
      </w:r>
      <w:r>
        <w:rPr>
          <w:rStyle w:val="cf01"/>
          <w:rFonts w:asciiTheme="minorHAnsi" w:hAnsiTheme="minorHAnsi" w:cstheme="minorHAnsi"/>
          <w:sz w:val="22"/>
          <w:szCs w:val="22"/>
        </w:rPr>
        <w:t>t</w:t>
      </w:r>
      <w:r w:rsidR="007E1140">
        <w:rPr>
          <w:rStyle w:val="cf01"/>
          <w:rFonts w:asciiTheme="minorHAnsi" w:hAnsiTheme="minorHAnsi" w:cstheme="minorHAnsi"/>
          <w:sz w:val="22"/>
          <w:szCs w:val="22"/>
        </w:rPr>
        <w:t xml:space="preserve">erritories at National Cabinet to implement the Help to Buy </w:t>
      </w:r>
      <w:r w:rsidR="00B438A2">
        <w:rPr>
          <w:rStyle w:val="cf01"/>
          <w:rFonts w:asciiTheme="minorHAnsi" w:hAnsiTheme="minorHAnsi" w:cstheme="minorHAnsi"/>
          <w:sz w:val="22"/>
          <w:szCs w:val="22"/>
        </w:rPr>
        <w:t>scheme</w:t>
      </w:r>
      <w:r w:rsidR="007E1140">
        <w:rPr>
          <w:rStyle w:val="cf01"/>
          <w:rFonts w:asciiTheme="minorHAnsi" w:hAnsiTheme="minorHAnsi" w:cstheme="minorHAnsi"/>
          <w:sz w:val="22"/>
          <w:szCs w:val="22"/>
        </w:rPr>
        <w:t xml:space="preserve"> nationally in August 2023</w:t>
      </w:r>
    </w:p>
    <w:p w14:paraId="004756A5" w14:textId="3DE9A47E" w:rsidR="002B0827" w:rsidRPr="002413E4" w:rsidRDefault="00DD36F1" w:rsidP="007E1140">
      <w:pPr>
        <w:pStyle w:val="pf1"/>
        <w:numPr>
          <w:ilvl w:val="0"/>
          <w:numId w:val="23"/>
        </w:numPr>
        <w:rPr>
          <w:rStyle w:val="cf01"/>
          <w:rFonts w:asciiTheme="minorHAnsi" w:hAnsiTheme="minorHAnsi" w:cstheme="minorHAnsi"/>
          <w:sz w:val="22"/>
          <w:szCs w:val="22"/>
        </w:rPr>
      </w:pPr>
      <w:r>
        <w:rPr>
          <w:rStyle w:val="cf01"/>
          <w:rFonts w:asciiTheme="minorHAnsi" w:hAnsiTheme="minorHAnsi" w:cstheme="minorHAnsi"/>
          <w:sz w:val="22"/>
          <w:szCs w:val="22"/>
        </w:rPr>
        <w:t xml:space="preserve">passage of the Help to Buy Bill 2023 and the Help to Buy </w:t>
      </w:r>
      <w:r w:rsidR="00764A8A">
        <w:rPr>
          <w:rStyle w:val="cf01"/>
          <w:rFonts w:asciiTheme="minorHAnsi" w:hAnsiTheme="minorHAnsi" w:cstheme="minorHAnsi"/>
          <w:sz w:val="22"/>
          <w:szCs w:val="22"/>
        </w:rPr>
        <w:t xml:space="preserve">(Consequential Provisions) Bill 2023 </w:t>
      </w:r>
      <w:r w:rsidR="009302FF">
        <w:rPr>
          <w:rStyle w:val="cf01"/>
          <w:rFonts w:asciiTheme="minorHAnsi" w:hAnsiTheme="minorHAnsi" w:cstheme="minorHAnsi"/>
          <w:sz w:val="22"/>
          <w:szCs w:val="22"/>
        </w:rPr>
        <w:t xml:space="preserve">through the House of Representatives </w:t>
      </w:r>
      <w:r w:rsidR="00764A8A">
        <w:rPr>
          <w:rStyle w:val="cf01"/>
          <w:rFonts w:asciiTheme="minorHAnsi" w:hAnsiTheme="minorHAnsi" w:cstheme="minorHAnsi"/>
          <w:sz w:val="22"/>
          <w:szCs w:val="22"/>
        </w:rPr>
        <w:t>on 28 February 2024</w:t>
      </w:r>
      <w:r w:rsidR="009302FF">
        <w:rPr>
          <w:rStyle w:val="cf01"/>
          <w:rFonts w:asciiTheme="minorHAnsi" w:hAnsiTheme="minorHAnsi" w:cstheme="minorHAnsi"/>
          <w:sz w:val="22"/>
          <w:szCs w:val="22"/>
        </w:rPr>
        <w:t xml:space="preserve">, following introduction on </w:t>
      </w:r>
      <w:r w:rsidR="00F63F2A">
        <w:rPr>
          <w:rStyle w:val="cf01"/>
          <w:rFonts w:asciiTheme="minorHAnsi" w:hAnsiTheme="minorHAnsi" w:cstheme="minorHAnsi"/>
          <w:sz w:val="22"/>
          <w:szCs w:val="22"/>
        </w:rPr>
        <w:t>30 November 2023</w:t>
      </w:r>
      <w:r w:rsidR="009302FF" w:rsidDel="00764A8A">
        <w:rPr>
          <w:rStyle w:val="cf01"/>
          <w:rFonts w:asciiTheme="minorHAnsi" w:hAnsiTheme="minorHAnsi" w:cstheme="minorHAnsi"/>
          <w:sz w:val="22"/>
          <w:szCs w:val="22"/>
        </w:rPr>
        <w:t xml:space="preserve"> </w:t>
      </w:r>
    </w:p>
    <w:p w14:paraId="4EDBBF1D" w14:textId="09FB72F7" w:rsidR="007E1140" w:rsidRDefault="00666515" w:rsidP="007E1140">
      <w:pPr>
        <w:pStyle w:val="pf1"/>
        <w:numPr>
          <w:ilvl w:val="0"/>
          <w:numId w:val="23"/>
        </w:numPr>
        <w:rPr>
          <w:rStyle w:val="cf01"/>
          <w:rFonts w:asciiTheme="minorHAnsi" w:hAnsiTheme="minorHAnsi" w:cstheme="minorHAnsi"/>
          <w:sz w:val="22"/>
          <w:szCs w:val="22"/>
        </w:rPr>
      </w:pPr>
      <w:r>
        <w:rPr>
          <w:rStyle w:val="cf01"/>
          <w:rFonts w:asciiTheme="minorHAnsi" w:hAnsiTheme="minorHAnsi" w:cstheme="minorHAnsi"/>
          <w:sz w:val="22"/>
          <w:szCs w:val="22"/>
        </w:rPr>
        <w:t>r</w:t>
      </w:r>
      <w:r w:rsidR="007E1140" w:rsidRPr="004D4E8A">
        <w:rPr>
          <w:rStyle w:val="cf01"/>
          <w:rFonts w:asciiTheme="minorHAnsi" w:hAnsiTheme="minorHAnsi" w:cstheme="minorHAnsi"/>
          <w:sz w:val="22"/>
          <w:szCs w:val="22"/>
        </w:rPr>
        <w:t>elease of exposure draft of the Help to Buy Program Direction</w:t>
      </w:r>
      <w:r w:rsidR="007E1140">
        <w:rPr>
          <w:rStyle w:val="cf01"/>
          <w:rFonts w:asciiTheme="minorHAnsi" w:hAnsiTheme="minorHAnsi" w:cstheme="minorHAnsi"/>
          <w:sz w:val="22"/>
          <w:szCs w:val="22"/>
        </w:rPr>
        <w:t>s</w:t>
      </w:r>
      <w:r w:rsidR="007E1140" w:rsidRPr="004D4E8A">
        <w:rPr>
          <w:rStyle w:val="cf01"/>
          <w:rFonts w:asciiTheme="minorHAnsi" w:hAnsiTheme="minorHAnsi" w:cstheme="minorHAnsi"/>
          <w:sz w:val="22"/>
          <w:szCs w:val="22"/>
        </w:rPr>
        <w:t xml:space="preserve"> and explanatory materials for public consultation between 23 April 2024 and 21 May 2024</w:t>
      </w:r>
    </w:p>
    <w:p w14:paraId="657E4786" w14:textId="2EBD56F1" w:rsidR="00F63F2A" w:rsidRPr="00F63F2A" w:rsidRDefault="003A1A6C" w:rsidP="00F63F2A">
      <w:pPr>
        <w:pStyle w:val="pf1"/>
        <w:numPr>
          <w:ilvl w:val="0"/>
          <w:numId w:val="23"/>
        </w:numPr>
        <w:rPr>
          <w:rStyle w:val="cf01"/>
          <w:rFonts w:asciiTheme="minorHAnsi" w:hAnsiTheme="minorHAnsi" w:cstheme="minorHAnsi"/>
          <w:sz w:val="22"/>
          <w:szCs w:val="22"/>
        </w:rPr>
      </w:pPr>
      <w:r>
        <w:rPr>
          <w:rStyle w:val="cf01"/>
          <w:rFonts w:asciiTheme="minorHAnsi" w:hAnsiTheme="minorHAnsi" w:cstheme="minorHAnsi"/>
          <w:sz w:val="22"/>
          <w:szCs w:val="22"/>
        </w:rPr>
        <w:t xml:space="preserve">passage through the Queensland Parliament on 11 June 2024 of the Queensland Help to Buy (Commonwealth Powers) Bill with </w:t>
      </w:r>
      <w:r w:rsidR="00330510">
        <w:rPr>
          <w:rStyle w:val="cf01"/>
          <w:rFonts w:asciiTheme="minorHAnsi" w:hAnsiTheme="minorHAnsi" w:cstheme="minorHAnsi"/>
          <w:sz w:val="22"/>
          <w:szCs w:val="22"/>
        </w:rPr>
        <w:t xml:space="preserve">Royal Assent </w:t>
      </w:r>
      <w:r w:rsidR="00E13609">
        <w:rPr>
          <w:rStyle w:val="cf01"/>
          <w:rFonts w:asciiTheme="minorHAnsi" w:hAnsiTheme="minorHAnsi" w:cstheme="minorHAnsi"/>
          <w:sz w:val="22"/>
          <w:szCs w:val="22"/>
        </w:rPr>
        <w:t xml:space="preserve">on 19 June 2024, following </w:t>
      </w:r>
      <w:r w:rsidR="00F63F2A">
        <w:rPr>
          <w:rStyle w:val="cf01"/>
          <w:rFonts w:asciiTheme="minorHAnsi" w:hAnsiTheme="minorHAnsi" w:cstheme="minorHAnsi"/>
          <w:sz w:val="22"/>
          <w:szCs w:val="22"/>
        </w:rPr>
        <w:t xml:space="preserve">introduction on </w:t>
      </w:r>
      <w:r w:rsidR="00CD6BB0">
        <w:rPr>
          <w:rStyle w:val="cf01"/>
          <w:rFonts w:asciiTheme="minorHAnsi" w:hAnsiTheme="minorHAnsi" w:cstheme="minorHAnsi"/>
          <w:sz w:val="22"/>
          <w:szCs w:val="22"/>
        </w:rPr>
        <w:t>2</w:t>
      </w:r>
      <w:r w:rsidR="00330510">
        <w:rPr>
          <w:rStyle w:val="cf01"/>
          <w:rFonts w:asciiTheme="minorHAnsi" w:hAnsiTheme="minorHAnsi" w:cstheme="minorHAnsi"/>
          <w:sz w:val="22"/>
          <w:szCs w:val="22"/>
        </w:rPr>
        <w:t xml:space="preserve"> </w:t>
      </w:r>
      <w:r w:rsidR="00CD6BB0">
        <w:rPr>
          <w:rStyle w:val="cf01"/>
          <w:rFonts w:asciiTheme="minorHAnsi" w:hAnsiTheme="minorHAnsi" w:cstheme="minorHAnsi"/>
          <w:sz w:val="22"/>
          <w:szCs w:val="22"/>
        </w:rPr>
        <w:t xml:space="preserve">May </w:t>
      </w:r>
      <w:r w:rsidR="00330510">
        <w:rPr>
          <w:rStyle w:val="cf01"/>
          <w:rFonts w:asciiTheme="minorHAnsi" w:hAnsiTheme="minorHAnsi" w:cstheme="minorHAnsi"/>
          <w:sz w:val="22"/>
          <w:szCs w:val="22"/>
        </w:rPr>
        <w:t>2024</w:t>
      </w:r>
    </w:p>
    <w:p w14:paraId="6E5FD926" w14:textId="77777777" w:rsidR="00453B01" w:rsidRPr="00453B01" w:rsidRDefault="00666515" w:rsidP="00A9026B">
      <w:pPr>
        <w:pStyle w:val="pf1"/>
        <w:numPr>
          <w:ilvl w:val="0"/>
          <w:numId w:val="23"/>
        </w:numPr>
        <w:rPr>
          <w:rStyle w:val="cf01"/>
          <w:rFonts w:ascii="Times New Roman" w:hAnsi="Times New Roman" w:cs="Times New Roman"/>
          <w:sz w:val="24"/>
          <w:szCs w:val="24"/>
        </w:rPr>
      </w:pPr>
      <w:r w:rsidRPr="00453B01">
        <w:rPr>
          <w:rStyle w:val="cf01"/>
          <w:rFonts w:asciiTheme="minorHAnsi" w:hAnsiTheme="minorHAnsi" w:cstheme="minorHAnsi"/>
          <w:sz w:val="22"/>
          <w:szCs w:val="22"/>
        </w:rPr>
        <w:t>i</w:t>
      </w:r>
      <w:r w:rsidR="007E1140" w:rsidRPr="00453B01">
        <w:rPr>
          <w:rStyle w:val="cf01"/>
          <w:rFonts w:asciiTheme="minorHAnsi" w:hAnsiTheme="minorHAnsi" w:cstheme="minorHAnsi"/>
          <w:sz w:val="22"/>
          <w:szCs w:val="22"/>
        </w:rPr>
        <w:t xml:space="preserve">ntroduction </w:t>
      </w:r>
      <w:r w:rsidR="00073BB2" w:rsidRPr="00453B01">
        <w:rPr>
          <w:rStyle w:val="cf01"/>
          <w:rFonts w:asciiTheme="minorHAnsi" w:hAnsiTheme="minorHAnsi" w:cstheme="minorHAnsi"/>
          <w:sz w:val="22"/>
          <w:szCs w:val="22"/>
        </w:rPr>
        <w:t>of the Help to Buy Bill 2023 and the Help to Buy (Consequential Provisions) Bill 2023</w:t>
      </w:r>
      <w:r w:rsidR="00D2256D" w:rsidRPr="00453B01">
        <w:rPr>
          <w:rStyle w:val="cf01"/>
          <w:rFonts w:asciiTheme="minorHAnsi" w:hAnsiTheme="minorHAnsi" w:cstheme="minorHAnsi"/>
          <w:sz w:val="22"/>
          <w:szCs w:val="22"/>
        </w:rPr>
        <w:t xml:space="preserve"> </w:t>
      </w:r>
      <w:r w:rsidR="007E1140" w:rsidRPr="00453B01">
        <w:rPr>
          <w:rStyle w:val="cf01"/>
          <w:rFonts w:asciiTheme="minorHAnsi" w:hAnsiTheme="minorHAnsi" w:cstheme="minorHAnsi"/>
          <w:sz w:val="22"/>
          <w:szCs w:val="22"/>
        </w:rPr>
        <w:t xml:space="preserve">into the Senate on 29 February 2024 with passage on 26 November 2024. Passage </w:t>
      </w:r>
      <w:r w:rsidR="007E1140" w:rsidRPr="00453B01">
        <w:rPr>
          <w:rStyle w:val="cf01"/>
          <w:rFonts w:asciiTheme="minorHAnsi" w:hAnsiTheme="minorHAnsi" w:cstheme="minorHAnsi"/>
          <w:sz w:val="22"/>
          <w:szCs w:val="22"/>
        </w:rPr>
        <w:lastRenderedPageBreak/>
        <w:t>through both houses following House agreement to Senate amendments on 27 November 2024 with Royal Assent on 10 December 2024</w:t>
      </w:r>
    </w:p>
    <w:p w14:paraId="758BD35C" w14:textId="04D1596A" w:rsidR="00E84211" w:rsidRDefault="00966397" w:rsidP="00453B01">
      <w:pPr>
        <w:pStyle w:val="pf1"/>
        <w:numPr>
          <w:ilvl w:val="0"/>
          <w:numId w:val="23"/>
        </w:numPr>
        <w:sectPr w:rsidR="00E84211" w:rsidSect="00F03D51">
          <w:headerReference w:type="even" r:id="rId26"/>
          <w:headerReference w:type="default" r:id="rId27"/>
          <w:footerReference w:type="even" r:id="rId28"/>
          <w:footerReference w:type="default" r:id="rId29"/>
          <w:headerReference w:type="first" r:id="rId30"/>
          <w:footerReference w:type="first" r:id="rId31"/>
          <w:pgSz w:w="11906" w:h="16838"/>
          <w:pgMar w:top="1701" w:right="1134" w:bottom="1843" w:left="1134" w:header="993" w:footer="709" w:gutter="0"/>
          <w:cols w:space="708"/>
          <w:docGrid w:linePitch="360"/>
        </w:sectPr>
      </w:pPr>
      <w:r w:rsidRPr="00453B01">
        <w:rPr>
          <w:rFonts w:asciiTheme="minorHAnsi" w:hAnsiTheme="minorHAnsi" w:cstheme="minorHAnsi"/>
          <w:sz w:val="22"/>
          <w:szCs w:val="22"/>
        </w:rPr>
        <w:t>final state and ter</w:t>
      </w:r>
      <w:bookmarkStart w:id="2" w:name="tempbookmark"/>
      <w:bookmarkEnd w:id="2"/>
      <w:r w:rsidRPr="00453B01">
        <w:rPr>
          <w:rFonts w:asciiTheme="minorHAnsi" w:hAnsiTheme="minorHAnsi" w:cstheme="minorHAnsi"/>
          <w:sz w:val="22"/>
          <w:szCs w:val="22"/>
        </w:rPr>
        <w:t xml:space="preserve">ritory </w:t>
      </w:r>
      <w:r w:rsidR="00071BED" w:rsidRPr="00453B01">
        <w:rPr>
          <w:rFonts w:asciiTheme="minorHAnsi" w:hAnsiTheme="minorHAnsi" w:cstheme="minorHAnsi"/>
          <w:sz w:val="22"/>
          <w:szCs w:val="22"/>
        </w:rPr>
        <w:t xml:space="preserve">agreement to the Help to Buy Program Directions </w:t>
      </w:r>
      <w:r w:rsidR="003B5BCB" w:rsidRPr="00453B01">
        <w:rPr>
          <w:rFonts w:asciiTheme="minorHAnsi" w:hAnsiTheme="minorHAnsi" w:cstheme="minorHAnsi"/>
          <w:sz w:val="22"/>
          <w:szCs w:val="22"/>
        </w:rPr>
        <w:t xml:space="preserve">on 22 April 2025 </w:t>
      </w:r>
      <w:r w:rsidR="00071BED" w:rsidRPr="00453B01">
        <w:rPr>
          <w:rFonts w:asciiTheme="minorHAnsi" w:hAnsiTheme="minorHAnsi" w:cstheme="minorHAnsi"/>
          <w:sz w:val="22"/>
          <w:szCs w:val="22"/>
        </w:rPr>
        <w:t xml:space="preserve">following the completion of the statutory </w:t>
      </w:r>
      <w:r w:rsidR="002D59D1" w:rsidRPr="00453B01">
        <w:rPr>
          <w:rFonts w:asciiTheme="minorHAnsi" w:hAnsiTheme="minorHAnsi" w:cstheme="minorHAnsi"/>
          <w:sz w:val="22"/>
          <w:szCs w:val="22"/>
        </w:rPr>
        <w:t>consultation period as required under the Help to Buy Act 2024</w:t>
      </w:r>
      <w:r w:rsidR="002E4E7A" w:rsidRPr="00453B01">
        <w:rPr>
          <w:rFonts w:asciiTheme="minorHAnsi" w:hAnsiTheme="minorHAnsi" w:cstheme="minorHAnsi"/>
          <w:sz w:val="22"/>
          <w:szCs w:val="22"/>
        </w:rPr>
        <w:t>.</w:t>
      </w:r>
    </w:p>
    <w:p w14:paraId="1147B694" w14:textId="088297DD" w:rsidR="0014151F" w:rsidRPr="00343494" w:rsidRDefault="002151D6" w:rsidP="002151D6">
      <w:pPr>
        <w:pStyle w:val="Heading1"/>
        <w:rPr>
          <w:color w:val="004261" w:themeColor="accent2"/>
        </w:rPr>
      </w:pPr>
      <w:bookmarkStart w:id="3" w:name="_Toc200114834"/>
      <w:r w:rsidRPr="00343494">
        <w:rPr>
          <w:color w:val="004261" w:themeColor="accent2"/>
        </w:rPr>
        <w:lastRenderedPageBreak/>
        <w:t xml:space="preserve">1. </w:t>
      </w:r>
      <w:r w:rsidR="0014151F" w:rsidRPr="00343494">
        <w:rPr>
          <w:color w:val="004261" w:themeColor="accent2"/>
        </w:rPr>
        <w:t xml:space="preserve">What is the policy problem </w:t>
      </w:r>
      <w:r w:rsidR="006F1357" w:rsidRPr="00343494">
        <w:rPr>
          <w:color w:val="004261" w:themeColor="accent2"/>
        </w:rPr>
        <w:t xml:space="preserve">Help to Buy is </w:t>
      </w:r>
      <w:r w:rsidR="00E84211" w:rsidRPr="00343494">
        <w:rPr>
          <w:color w:val="004261" w:themeColor="accent2"/>
        </w:rPr>
        <w:t>trying to solve</w:t>
      </w:r>
      <w:r w:rsidR="0014151F" w:rsidRPr="00343494">
        <w:rPr>
          <w:color w:val="004261" w:themeColor="accent2"/>
        </w:rPr>
        <w:t>?</w:t>
      </w:r>
      <w:bookmarkEnd w:id="3"/>
    </w:p>
    <w:p w14:paraId="7887D232" w14:textId="1DAC959D" w:rsidR="007159E7" w:rsidRPr="00343494" w:rsidRDefault="000223C3" w:rsidP="007159E7">
      <w:pPr>
        <w:pStyle w:val="Heading2"/>
        <w:rPr>
          <w:color w:val="004261" w:themeColor="accent2"/>
        </w:rPr>
      </w:pPr>
      <w:r w:rsidRPr="00343494">
        <w:rPr>
          <w:color w:val="004261" w:themeColor="accent2"/>
        </w:rPr>
        <w:t xml:space="preserve">1.1 </w:t>
      </w:r>
      <w:r w:rsidR="001B50BB" w:rsidRPr="00343494">
        <w:rPr>
          <w:color w:val="004261" w:themeColor="accent2"/>
        </w:rPr>
        <w:t>Rates of home ownership in Australia are declining</w:t>
      </w:r>
      <w:r w:rsidR="007159E7" w:rsidRPr="00343494">
        <w:rPr>
          <w:color w:val="004261" w:themeColor="accent2"/>
        </w:rPr>
        <w:t xml:space="preserve"> </w:t>
      </w:r>
    </w:p>
    <w:p w14:paraId="6B3A68D0" w14:textId="5CA69C7F" w:rsidR="003A63BC" w:rsidRDefault="003A63BC" w:rsidP="003A63BC">
      <w:r>
        <w:t>Home ownership rates have been falling in Australia over recent decades.</w:t>
      </w:r>
      <w:r w:rsidR="007806E2">
        <w:t xml:space="preserve"> While </w:t>
      </w:r>
      <w:r w:rsidR="00622D7C">
        <w:t xml:space="preserve">a variety of factors, including </w:t>
      </w:r>
      <w:r w:rsidR="00882E4C">
        <w:t xml:space="preserve">changing societal attitudes and norms, have </w:t>
      </w:r>
      <w:r w:rsidR="00A3578D">
        <w:t>impacted home ownership</w:t>
      </w:r>
      <w:r w:rsidR="00742968">
        <w:t xml:space="preserve"> rates,</w:t>
      </w:r>
      <w:r w:rsidR="00A3578D">
        <w:t xml:space="preserve"> </w:t>
      </w:r>
      <w:r w:rsidR="00B02CBA">
        <w:t xml:space="preserve">the relative affordability of housing has fallen substantially over </w:t>
      </w:r>
      <w:r w:rsidR="00306C83">
        <w:t>the past 4 decades</w:t>
      </w:r>
      <w:r w:rsidR="00B02CBA">
        <w:t>.</w:t>
      </w:r>
      <w:r>
        <w:t xml:space="preserve"> Strong and sustained increases in housing prices, particularly compared to growth in incomes, have made both saving for a deposit and servicing a mortgage significantly more challenging, particularly for low-income households. Between 1994 and 202</w:t>
      </w:r>
      <w:r w:rsidR="005623D3">
        <w:t>1</w:t>
      </w:r>
      <w:r>
        <w:t xml:space="preserve"> rates of home ownership declined from 71.4 per cent to 66.3 per cent.</w:t>
      </w:r>
      <w:r>
        <w:rPr>
          <w:rStyle w:val="FootnoteReference"/>
        </w:rPr>
        <w:footnoteReference w:id="4"/>
      </w:r>
    </w:p>
    <w:p w14:paraId="3AD3F198" w14:textId="6C000E77" w:rsidR="003A63BC" w:rsidRPr="00CA2023" w:rsidRDefault="003A63BC" w:rsidP="003A63BC">
      <w:pPr>
        <w:rPr>
          <w:rFonts w:cstheme="majorHAnsi"/>
          <w:b/>
          <w:color w:val="004261" w:themeColor="accent2"/>
          <w:sz w:val="20"/>
          <w:szCs w:val="20"/>
        </w:rPr>
      </w:pPr>
      <w:r w:rsidRPr="00CA2023">
        <w:rPr>
          <w:rFonts w:cstheme="majorHAnsi"/>
          <w:b/>
          <w:color w:val="004261" w:themeColor="accent2"/>
          <w:sz w:val="20"/>
          <w:szCs w:val="20"/>
        </w:rPr>
        <w:t>Figure 1</w:t>
      </w:r>
      <w:r w:rsidR="005623D3">
        <w:rPr>
          <w:rFonts w:cstheme="majorHAnsi"/>
          <w:b/>
          <w:color w:val="004261" w:themeColor="accent2"/>
          <w:sz w:val="20"/>
          <w:szCs w:val="20"/>
        </w:rPr>
        <w:t>.1</w:t>
      </w:r>
      <w:r w:rsidRPr="00CA2023">
        <w:rPr>
          <w:rFonts w:cstheme="majorHAnsi"/>
          <w:b/>
          <w:color w:val="004261" w:themeColor="accent2"/>
          <w:sz w:val="20"/>
          <w:szCs w:val="20"/>
        </w:rPr>
        <w:t>: Rates of Home ownership 1994-2020</w:t>
      </w:r>
    </w:p>
    <w:p w14:paraId="6FE81BC6" w14:textId="77777777" w:rsidR="003A63BC" w:rsidRDefault="003A63BC" w:rsidP="003A63BC">
      <w:pPr>
        <w:jc w:val="center"/>
        <w:rPr>
          <w:b/>
          <w:sz w:val="20"/>
          <w:szCs w:val="20"/>
        </w:rPr>
      </w:pPr>
      <w:r>
        <w:rPr>
          <w:noProof/>
          <w:lang w:eastAsia="en-AU"/>
        </w:rPr>
        <w:drawing>
          <wp:inline distT="0" distB="0" distL="0" distR="0" wp14:anchorId="54ADA4FE" wp14:editId="249F8036">
            <wp:extent cx="5010150" cy="2771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10150" cy="2771775"/>
                    </a:xfrm>
                    <a:prstGeom prst="rect">
                      <a:avLst/>
                    </a:prstGeom>
                  </pic:spPr>
                </pic:pic>
              </a:graphicData>
            </a:graphic>
          </wp:inline>
        </w:drawing>
      </w:r>
    </w:p>
    <w:p w14:paraId="367E66AD" w14:textId="77777777" w:rsidR="003A63BC" w:rsidRPr="00CA2023" w:rsidRDefault="003A63BC" w:rsidP="003A63BC">
      <w:pPr>
        <w:rPr>
          <w:sz w:val="20"/>
          <w:szCs w:val="20"/>
        </w:rPr>
      </w:pPr>
      <w:r w:rsidRPr="00CA2023">
        <w:rPr>
          <w:sz w:val="18"/>
          <w:szCs w:val="20"/>
        </w:rPr>
        <w:t>Source: 2024-25 Budget, Budget Paper 1, p.137</w:t>
      </w:r>
    </w:p>
    <w:p w14:paraId="2A35DC7B" w14:textId="60198BE7" w:rsidR="003A63BC" w:rsidRDefault="003A63BC" w:rsidP="003A63BC">
      <w:r>
        <w:t xml:space="preserve">There have been considerable falls in home ownership rates across most working-age groups. </w:t>
      </w:r>
      <w:r w:rsidRPr="00EB1658">
        <w:t>Between 1981 and 20</w:t>
      </w:r>
      <w:r>
        <w:t>21</w:t>
      </w:r>
      <w:r w:rsidRPr="00EB1658">
        <w:t xml:space="preserve">, </w:t>
      </w:r>
      <w:r>
        <w:t>home ownership</w:t>
      </w:r>
      <w:r w:rsidRPr="00EB1658">
        <w:t xml:space="preserve"> rates for households aged 25-34 </w:t>
      </w:r>
      <w:r>
        <w:t>fell from 52 per cent to 32 per cent among the lowest two</w:t>
      </w:r>
      <w:r w:rsidRPr="00EB1658">
        <w:t xml:space="preserve"> income quintile</w:t>
      </w:r>
      <w:r>
        <w:t>s</w:t>
      </w:r>
      <w:r w:rsidRPr="00EB1658">
        <w:t xml:space="preserve">, compared to </w:t>
      </w:r>
      <w:r>
        <w:t>10</w:t>
      </w:r>
      <w:r w:rsidRPr="00EB1658">
        <w:t xml:space="preserve"> percentage points for households in the top income quintile. Although the decrease in </w:t>
      </w:r>
      <w:r>
        <w:t>home ownership</w:t>
      </w:r>
      <w:r w:rsidRPr="00EB1658">
        <w:t xml:space="preserve"> rates is smaller for older age groups, the size of the drop across </w:t>
      </w:r>
      <w:r>
        <w:t>groups</w:t>
      </w:r>
      <w:r w:rsidRPr="00EB1658">
        <w:t xml:space="preserve"> remains much larger for households in the bottom income quintile</w:t>
      </w:r>
      <w:r>
        <w:t>s</w:t>
      </w:r>
      <w:r w:rsidRPr="00EB1658">
        <w:t xml:space="preserve"> compared to households in the top. For example, for </w:t>
      </w:r>
      <w:r w:rsidR="00C14C50">
        <w:t>45</w:t>
      </w:r>
      <w:r w:rsidRPr="00EB1658">
        <w:t>-</w:t>
      </w:r>
      <w:r w:rsidR="00C14C50">
        <w:t>54</w:t>
      </w:r>
      <w:r w:rsidRPr="00EB1658">
        <w:t xml:space="preserve"> year old </w:t>
      </w:r>
      <w:r w:rsidRPr="00EB1658">
        <w:lastRenderedPageBreak/>
        <w:t xml:space="preserve">households, </w:t>
      </w:r>
      <w:r>
        <w:t>home ownership</w:t>
      </w:r>
      <w:r w:rsidRPr="00EB1658">
        <w:t xml:space="preserve"> rates dropped by 1</w:t>
      </w:r>
      <w:r>
        <w:t>8</w:t>
      </w:r>
      <w:r w:rsidRPr="00EB1658">
        <w:t xml:space="preserve"> percentage points in the </w:t>
      </w:r>
      <w:r>
        <w:t>lowest two</w:t>
      </w:r>
      <w:r w:rsidRPr="00EB1658">
        <w:t xml:space="preserve"> quintile</w:t>
      </w:r>
      <w:r>
        <w:t>s, whilst remaining</w:t>
      </w:r>
      <w:r w:rsidR="00C14C50">
        <w:t xml:space="preserve"> largely</w:t>
      </w:r>
      <w:r>
        <w:t xml:space="preserve"> unchanged for those in the top quintile.</w:t>
      </w:r>
      <w:r>
        <w:rPr>
          <w:rStyle w:val="FootnoteReference"/>
        </w:rPr>
        <w:footnoteReference w:id="5"/>
      </w:r>
    </w:p>
    <w:p w14:paraId="6F582828" w14:textId="77777777" w:rsidR="003A63BC" w:rsidRPr="003E3715" w:rsidRDefault="003A63BC" w:rsidP="003A63BC">
      <w:pPr>
        <w:rPr>
          <w:bCs/>
          <w:sz w:val="20"/>
          <w:szCs w:val="20"/>
        </w:rPr>
      </w:pPr>
      <w:r>
        <w:rPr>
          <w:bCs/>
        </w:rPr>
        <w:t>While home ownership rates have fallen across age groups, the substantial reductions in rates for all income quintiles amongst younger cohorts demonstrates that achieving homeownership is no longer a challenge solely for lower income quintiles, but extends to most young Australians.</w:t>
      </w:r>
    </w:p>
    <w:p w14:paraId="24097FB1" w14:textId="71CCBE63" w:rsidR="003A63BC" w:rsidRPr="00CA2023" w:rsidRDefault="003A63BC" w:rsidP="003A63BC">
      <w:pPr>
        <w:spacing w:after="120"/>
        <w:rPr>
          <w:b/>
          <w:color w:val="004261" w:themeColor="accent2"/>
          <w:sz w:val="20"/>
          <w:szCs w:val="20"/>
        </w:rPr>
      </w:pPr>
      <w:r w:rsidRPr="00CA2023">
        <w:rPr>
          <w:b/>
          <w:color w:val="004261" w:themeColor="accent2"/>
          <w:sz w:val="20"/>
          <w:szCs w:val="20"/>
        </w:rPr>
        <w:t xml:space="preserve">Figure </w:t>
      </w:r>
      <w:r w:rsidR="009C391D">
        <w:rPr>
          <w:b/>
          <w:color w:val="004261" w:themeColor="accent2"/>
          <w:sz w:val="20"/>
          <w:szCs w:val="20"/>
        </w:rPr>
        <w:t>1</w:t>
      </w:r>
      <w:r w:rsidR="005623D3">
        <w:rPr>
          <w:b/>
          <w:color w:val="004261" w:themeColor="accent2"/>
          <w:sz w:val="20"/>
          <w:szCs w:val="20"/>
        </w:rPr>
        <w:t>.</w:t>
      </w:r>
      <w:r w:rsidR="009C391D">
        <w:rPr>
          <w:b/>
          <w:color w:val="004261" w:themeColor="accent2"/>
          <w:sz w:val="20"/>
          <w:szCs w:val="20"/>
        </w:rPr>
        <w:t>2</w:t>
      </w:r>
      <w:r w:rsidRPr="00CA2023">
        <w:rPr>
          <w:b/>
          <w:color w:val="004261" w:themeColor="accent2"/>
          <w:sz w:val="20"/>
          <w:szCs w:val="20"/>
        </w:rPr>
        <w:t>: Home ownership rates by age and income, 1981 and 2021</w:t>
      </w:r>
    </w:p>
    <w:p w14:paraId="1B747834" w14:textId="77777777" w:rsidR="003A63BC" w:rsidRPr="003A63BC" w:rsidRDefault="003A63BC" w:rsidP="003A63BC">
      <w:pPr>
        <w:jc w:val="center"/>
      </w:pPr>
      <w:r w:rsidRPr="003A63BC">
        <w:rPr>
          <w:noProof/>
          <w:lang w:eastAsia="en-AU"/>
        </w:rPr>
        <w:drawing>
          <wp:inline distT="0" distB="0" distL="0" distR="0" wp14:anchorId="16066C97" wp14:editId="56E7EDCB">
            <wp:extent cx="5731510" cy="3223895"/>
            <wp:effectExtent l="0" t="0" r="2540" b="0"/>
            <wp:docPr id="214108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4B0E2DB3" w14:textId="5AD9A16F" w:rsidR="003A63BC" w:rsidRDefault="003A63BC" w:rsidP="003A63BC">
      <w:pPr>
        <w:spacing w:after="0" w:line="240" w:lineRule="auto"/>
        <w:rPr>
          <w:sz w:val="20"/>
        </w:rPr>
      </w:pPr>
      <w:r w:rsidRPr="00CA2023">
        <w:rPr>
          <w:sz w:val="18"/>
          <w:szCs w:val="20"/>
        </w:rPr>
        <w:t>Source: Grattan Institute</w:t>
      </w:r>
      <w:r w:rsidRPr="00CA2023">
        <w:rPr>
          <w:rStyle w:val="FootnoteReference"/>
          <w:sz w:val="18"/>
          <w:szCs w:val="20"/>
        </w:rPr>
        <w:footnoteReference w:id="6"/>
      </w:r>
    </w:p>
    <w:p w14:paraId="78490B42" w14:textId="77777777" w:rsidR="003A63BC" w:rsidRPr="003A63BC" w:rsidRDefault="003A63BC" w:rsidP="003A63BC">
      <w:pPr>
        <w:spacing w:after="0" w:line="240" w:lineRule="auto"/>
        <w:rPr>
          <w:sz w:val="20"/>
        </w:rPr>
      </w:pPr>
    </w:p>
    <w:p w14:paraId="79FC0736" w14:textId="77777777" w:rsidR="003A63BC" w:rsidRDefault="003A63BC" w:rsidP="003A63BC">
      <w:r>
        <w:t xml:space="preserve">Overall, however, home ownership rates are lower for low-income households. </w:t>
      </w:r>
      <w:r w:rsidRPr="00023710">
        <w:t xml:space="preserve">Australian Bureau of Statistics (ABS) </w:t>
      </w:r>
      <w:r>
        <w:t xml:space="preserve">data </w:t>
      </w:r>
      <w:r w:rsidRPr="00023710">
        <w:t>show that 60.7 per cent of households in the lowest income quintile own their home, compared to 74.1 per cent of households in the highest income quintile</w:t>
      </w:r>
      <w:r>
        <w:t>.</w:t>
      </w:r>
      <w:r>
        <w:rPr>
          <w:rStyle w:val="FootnoteReference"/>
        </w:rPr>
        <w:footnoteReference w:id="7"/>
      </w:r>
    </w:p>
    <w:p w14:paraId="3744817B" w14:textId="38A3DF1C" w:rsidR="00A13295" w:rsidRPr="005623D3" w:rsidRDefault="000223C3" w:rsidP="00D51C6F">
      <w:pPr>
        <w:rPr>
          <w:rFonts w:asciiTheme="majorHAnsi" w:eastAsiaTheme="majorEastAsia" w:hAnsiTheme="majorHAnsi" w:cstheme="majorBidi"/>
          <w:color w:val="004261" w:themeColor="accent2"/>
          <w:sz w:val="36"/>
          <w:szCs w:val="36"/>
        </w:rPr>
      </w:pPr>
      <w:r w:rsidRPr="38C15A06">
        <w:rPr>
          <w:rFonts w:asciiTheme="majorHAnsi" w:eastAsiaTheme="majorEastAsia" w:hAnsiTheme="majorHAnsi" w:cstheme="majorBidi"/>
          <w:color w:val="004261" w:themeColor="accent2"/>
          <w:sz w:val="36"/>
          <w:szCs w:val="36"/>
        </w:rPr>
        <w:t xml:space="preserve">1.2 </w:t>
      </w:r>
      <w:r w:rsidR="00C07181">
        <w:rPr>
          <w:rFonts w:asciiTheme="majorHAnsi" w:eastAsiaTheme="majorEastAsia" w:hAnsiTheme="majorHAnsi" w:cstheme="majorBidi"/>
          <w:color w:val="004261" w:themeColor="accent2"/>
          <w:sz w:val="36"/>
          <w:szCs w:val="36"/>
        </w:rPr>
        <w:t>Saving a deposit and servicing a mortgage have become more difficult</w:t>
      </w:r>
    </w:p>
    <w:p w14:paraId="7F2DC0A5" w14:textId="77777777" w:rsidR="00A01821" w:rsidRDefault="00A01821" w:rsidP="00A01821">
      <w:r>
        <w:lastRenderedPageBreak/>
        <w:t>A</w:t>
      </w:r>
      <w:r w:rsidRPr="003B23CC">
        <w:t xml:space="preserve"> combination of factors over the past three decades</w:t>
      </w:r>
      <w:r>
        <w:t xml:space="preserve"> </w:t>
      </w:r>
      <w:r w:rsidRPr="003B23CC">
        <w:t xml:space="preserve">have contributed to </w:t>
      </w:r>
      <w:r>
        <w:t>home ownership</w:t>
      </w:r>
      <w:r w:rsidRPr="003B23CC">
        <w:t xml:space="preserve"> in Australia becoming increasingly </w:t>
      </w:r>
      <w:r>
        <w:t>out of reach</w:t>
      </w:r>
      <w:r w:rsidRPr="003B23CC">
        <w:t xml:space="preserve"> for low- and middle-income households</w:t>
      </w:r>
      <w:r>
        <w:t xml:space="preserve"> in particular</w:t>
      </w:r>
      <w:r w:rsidRPr="003B23CC">
        <w:t>.</w:t>
      </w:r>
    </w:p>
    <w:p w14:paraId="194480E4" w14:textId="6158D1E3" w:rsidR="00A01821" w:rsidRDefault="00A01821" w:rsidP="00A01821">
      <w:r>
        <w:t>The f</w:t>
      </w:r>
      <w:r w:rsidRPr="003B23CC">
        <w:t xml:space="preserve">actors contributing to </w:t>
      </w:r>
      <w:r>
        <w:t xml:space="preserve">strong and sustained increases in </w:t>
      </w:r>
      <w:r w:rsidRPr="003B23CC">
        <w:t>hous</w:t>
      </w:r>
      <w:r>
        <w:t>ing</w:t>
      </w:r>
      <w:r w:rsidRPr="003B23CC">
        <w:t xml:space="preserve"> price</w:t>
      </w:r>
      <w:r>
        <w:t>s</w:t>
      </w:r>
      <w:r w:rsidRPr="003B23CC">
        <w:t xml:space="preserve"> </w:t>
      </w:r>
      <w:r>
        <w:t>are well documented and include, declining nominal interest rates, financial liberalisation, higher rates of population growth and rising incomes.</w:t>
      </w:r>
      <w:r>
        <w:rPr>
          <w:rStyle w:val="FootnoteReference"/>
        </w:rPr>
        <w:footnoteReference w:id="8"/>
      </w:r>
      <w:r>
        <w:t xml:space="preserve"> H</w:t>
      </w:r>
      <w:r w:rsidRPr="003B23CC">
        <w:t>ousing price growth has, on average, significantly exceeded income growth</w:t>
      </w:r>
      <w:r>
        <w:t>.</w:t>
      </w:r>
      <w:r>
        <w:rPr>
          <w:rStyle w:val="FootnoteReference"/>
        </w:rPr>
        <w:footnoteReference w:id="9"/>
      </w:r>
      <w:r w:rsidRPr="003B23CC">
        <w:t xml:space="preserve"> </w:t>
      </w:r>
      <w:r>
        <w:t>As a result, t</w:t>
      </w:r>
      <w:r w:rsidRPr="003B23CC">
        <w:t xml:space="preserve">he </w:t>
      </w:r>
      <w:r>
        <w:t xml:space="preserve">ratio of both </w:t>
      </w:r>
      <w:r w:rsidRPr="003B23CC">
        <w:t>housing price</w:t>
      </w:r>
      <w:r>
        <w:t>s and household debt</w:t>
      </w:r>
      <w:r w:rsidRPr="003B23CC">
        <w:t xml:space="preserve"> to </w:t>
      </w:r>
      <w:r>
        <w:t xml:space="preserve">household disposable </w:t>
      </w:r>
      <w:r w:rsidRPr="003B23CC">
        <w:t>income</w:t>
      </w:r>
      <w:r>
        <w:t>s</w:t>
      </w:r>
      <w:r w:rsidRPr="003B23CC">
        <w:t xml:space="preserve"> has increased </w:t>
      </w:r>
      <w:r>
        <w:t>substantially in</w:t>
      </w:r>
      <w:r w:rsidRPr="003B23CC">
        <w:t xml:space="preserve"> Australia over recent decades</w:t>
      </w:r>
      <w:r>
        <w:t xml:space="preserve"> (Figure </w:t>
      </w:r>
      <w:r w:rsidR="00B75D59">
        <w:t>1</w:t>
      </w:r>
      <w:r w:rsidR="0034229C">
        <w:t>.</w:t>
      </w:r>
      <w:r w:rsidR="00B75D59">
        <w:t>3</w:t>
      </w:r>
      <w:r>
        <w:t>).</w:t>
      </w:r>
    </w:p>
    <w:p w14:paraId="7411638C" w14:textId="6B419F61" w:rsidR="00A01821" w:rsidRPr="00CA2023" w:rsidRDefault="00A01821" w:rsidP="00A01821">
      <w:pPr>
        <w:spacing w:after="120"/>
        <w:rPr>
          <w:b/>
          <w:color w:val="004261" w:themeColor="accent2"/>
          <w:sz w:val="20"/>
          <w:szCs w:val="20"/>
        </w:rPr>
      </w:pPr>
      <w:r w:rsidRPr="00CA2023">
        <w:rPr>
          <w:b/>
          <w:color w:val="004261" w:themeColor="accent2"/>
          <w:sz w:val="20"/>
          <w:szCs w:val="20"/>
        </w:rPr>
        <w:t xml:space="preserve">Figure </w:t>
      </w:r>
      <w:r w:rsidR="009C391D">
        <w:rPr>
          <w:b/>
          <w:color w:val="004261" w:themeColor="accent2"/>
          <w:sz w:val="20"/>
          <w:szCs w:val="20"/>
        </w:rPr>
        <w:t>1</w:t>
      </w:r>
      <w:r w:rsidR="0034229C">
        <w:rPr>
          <w:b/>
          <w:color w:val="004261" w:themeColor="accent2"/>
          <w:sz w:val="20"/>
          <w:szCs w:val="20"/>
        </w:rPr>
        <w:t>.</w:t>
      </w:r>
      <w:r w:rsidR="009C391D">
        <w:rPr>
          <w:b/>
          <w:color w:val="004261" w:themeColor="accent2"/>
          <w:sz w:val="20"/>
          <w:szCs w:val="20"/>
        </w:rPr>
        <w:t>3</w:t>
      </w:r>
      <w:r w:rsidRPr="00CA2023">
        <w:rPr>
          <w:b/>
          <w:color w:val="004261" w:themeColor="accent2"/>
          <w:sz w:val="20"/>
          <w:szCs w:val="20"/>
        </w:rPr>
        <w:t>: Housing prices and household debt to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026"/>
      </w:tblGrid>
      <w:tr w:rsidR="00A01821" w14:paraId="538A2276" w14:textId="77777777" w:rsidTr="002E54FD">
        <w:tc>
          <w:tcPr>
            <w:tcW w:w="9026" w:type="dxa"/>
          </w:tcPr>
          <w:p w14:paraId="5A24DEF4" w14:textId="77777777" w:rsidR="00A01821" w:rsidRPr="004522AA" w:rsidRDefault="00A01821" w:rsidP="002E54FD">
            <w:pPr>
              <w:jc w:val="center"/>
            </w:pPr>
            <w:r w:rsidRPr="00747878">
              <w:rPr>
                <w:noProof/>
                <w:lang w:eastAsia="en-AU"/>
              </w:rPr>
              <w:drawing>
                <wp:inline distT="0" distB="0" distL="0" distR="0" wp14:anchorId="75AFCEB5" wp14:editId="14E06C9E">
                  <wp:extent cx="3473729" cy="3067050"/>
                  <wp:effectExtent l="0" t="0" r="0" b="0"/>
                  <wp:docPr id="711183971" name="Picture 71118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4"/>
                          <a:stretch>
                            <a:fillRect/>
                          </a:stretch>
                        </pic:blipFill>
                        <pic:spPr>
                          <a:xfrm>
                            <a:off x="0" y="0"/>
                            <a:ext cx="3523045" cy="3110592"/>
                          </a:xfrm>
                          <a:prstGeom prst="rect">
                            <a:avLst/>
                          </a:prstGeom>
                        </pic:spPr>
                      </pic:pic>
                    </a:graphicData>
                  </a:graphic>
                </wp:inline>
              </w:drawing>
            </w:r>
          </w:p>
        </w:tc>
      </w:tr>
    </w:tbl>
    <w:p w14:paraId="55098E2F" w14:textId="0A253D23" w:rsidR="00A01821" w:rsidRPr="00CA2023" w:rsidRDefault="00A01821" w:rsidP="00A01821">
      <w:pPr>
        <w:pStyle w:val="Housingauthoritymainbodytext"/>
        <w:spacing w:before="120" w:after="120"/>
        <w:jc w:val="left"/>
        <w:rPr>
          <w:rFonts w:asciiTheme="minorHAnsi" w:hAnsiTheme="minorHAnsi" w:cstheme="majorHAnsi"/>
          <w:b/>
          <w:bCs/>
          <w:color w:val="004261" w:themeColor="accent2"/>
          <w:sz w:val="22"/>
          <w:szCs w:val="22"/>
        </w:rPr>
      </w:pPr>
      <w:r w:rsidRPr="00CA2023">
        <w:rPr>
          <w:rFonts w:asciiTheme="minorHAnsi" w:hAnsiTheme="minorHAnsi" w:cstheme="majorHAnsi"/>
          <w:b/>
          <w:bCs/>
          <w:color w:val="004261" w:themeColor="accent2"/>
          <w:sz w:val="22"/>
          <w:szCs w:val="22"/>
        </w:rPr>
        <w:t xml:space="preserve">Deposit </w:t>
      </w:r>
      <w:r w:rsidR="00E66622">
        <w:rPr>
          <w:rFonts w:asciiTheme="minorHAnsi" w:hAnsiTheme="minorHAnsi" w:cstheme="majorHAnsi"/>
          <w:b/>
          <w:bCs/>
          <w:color w:val="004261" w:themeColor="accent2"/>
          <w:sz w:val="22"/>
          <w:szCs w:val="22"/>
        </w:rPr>
        <w:t>h</w:t>
      </w:r>
      <w:r w:rsidRPr="00CA2023">
        <w:rPr>
          <w:rFonts w:asciiTheme="minorHAnsi" w:hAnsiTheme="minorHAnsi" w:cstheme="majorHAnsi"/>
          <w:b/>
          <w:bCs/>
          <w:color w:val="004261" w:themeColor="accent2"/>
          <w:sz w:val="22"/>
          <w:szCs w:val="22"/>
        </w:rPr>
        <w:t>urdle</w:t>
      </w:r>
    </w:p>
    <w:p w14:paraId="7A8EEE71" w14:textId="4E09FA84" w:rsidR="00343494" w:rsidRPr="007C4E86" w:rsidRDefault="00A01821" w:rsidP="007C4E86">
      <w:pPr>
        <w:pStyle w:val="Housingauthoritymainbodytext"/>
        <w:spacing w:before="120" w:after="120"/>
        <w:jc w:val="left"/>
        <w:rPr>
          <w:rFonts w:asciiTheme="minorHAnsi" w:hAnsiTheme="minorHAnsi"/>
          <w:sz w:val="22"/>
          <w:szCs w:val="22"/>
        </w:rPr>
      </w:pPr>
      <w:r w:rsidRPr="0034229C">
        <w:rPr>
          <w:rFonts w:asciiTheme="minorHAnsi" w:hAnsiTheme="minorHAnsi" w:cstheme="minorHAnsi"/>
          <w:sz w:val="22"/>
          <w:szCs w:val="22"/>
        </w:rPr>
        <w:t xml:space="preserve">As a result of rising housing price to income ratios, the ‘deposit hurdle’ – </w:t>
      </w:r>
      <w:r w:rsidRPr="0034229C">
        <w:rPr>
          <w:rFonts w:asciiTheme="minorHAnsi" w:hAnsiTheme="minorHAnsi"/>
          <w:sz w:val="22"/>
          <w:szCs w:val="22"/>
        </w:rPr>
        <w:t xml:space="preserve">the challenge of accumulating a sufficiently-sized deposit to purchase a home (and to support a home loan application) – has grown significantly (Figure </w:t>
      </w:r>
      <w:r w:rsidR="00C4635F">
        <w:rPr>
          <w:rFonts w:asciiTheme="minorHAnsi" w:hAnsiTheme="minorHAnsi"/>
          <w:sz w:val="22"/>
          <w:szCs w:val="22"/>
        </w:rPr>
        <w:t>1</w:t>
      </w:r>
      <w:r w:rsidR="0034229C">
        <w:rPr>
          <w:rFonts w:asciiTheme="minorHAnsi" w:hAnsiTheme="minorHAnsi"/>
          <w:sz w:val="22"/>
          <w:szCs w:val="22"/>
        </w:rPr>
        <w:t>.</w:t>
      </w:r>
      <w:r w:rsidR="00C4635F">
        <w:rPr>
          <w:rFonts w:asciiTheme="minorHAnsi" w:hAnsiTheme="minorHAnsi"/>
          <w:sz w:val="22"/>
          <w:szCs w:val="22"/>
        </w:rPr>
        <w:t>4</w:t>
      </w:r>
      <w:r w:rsidRPr="0034229C">
        <w:rPr>
          <w:rFonts w:asciiTheme="minorHAnsi" w:hAnsiTheme="minorHAnsi"/>
          <w:sz w:val="22"/>
          <w:szCs w:val="22"/>
        </w:rPr>
        <w:t xml:space="preserve">). The average time needed for a median household to save a 20 per cent deposit remains at elevated levels, with the national figure </w:t>
      </w:r>
      <w:r w:rsidRPr="0034229C">
        <w:rPr>
          <w:rFonts w:asciiTheme="minorHAnsi" w:hAnsiTheme="minorHAnsi"/>
          <w:sz w:val="22"/>
          <w:szCs w:val="22"/>
        </w:rPr>
        <w:lastRenderedPageBreak/>
        <w:t xml:space="preserve">currently at 10.6 years </w:t>
      </w:r>
      <w:r w:rsidR="00440EF3">
        <w:rPr>
          <w:rFonts w:asciiTheme="minorHAnsi" w:hAnsiTheme="minorHAnsi"/>
          <w:sz w:val="22"/>
          <w:szCs w:val="22"/>
        </w:rPr>
        <w:t>as of September 2024</w:t>
      </w:r>
      <w:r w:rsidRPr="0034229C">
        <w:rPr>
          <w:rFonts w:asciiTheme="minorHAnsi" w:hAnsiTheme="minorHAnsi"/>
          <w:sz w:val="22"/>
          <w:szCs w:val="22"/>
        </w:rPr>
        <w:t>. This has fallen from peak levels of 11.4 years in the March quarter 2022 but remains well above the average of the past two decades (9.0 years).</w:t>
      </w:r>
      <w:r w:rsidRPr="0034229C">
        <w:rPr>
          <w:rStyle w:val="FootnoteReference"/>
          <w:rFonts w:asciiTheme="minorHAnsi" w:hAnsiTheme="minorHAnsi"/>
          <w:sz w:val="22"/>
          <w:szCs w:val="22"/>
        </w:rPr>
        <w:footnoteReference w:id="10"/>
      </w:r>
    </w:p>
    <w:p w14:paraId="2878C19D" w14:textId="2917270B" w:rsidR="00A01821" w:rsidRPr="00CA2023" w:rsidRDefault="00A01821" w:rsidP="00A01821">
      <w:pPr>
        <w:pStyle w:val="Housingauthoritymainbodytext"/>
        <w:spacing w:before="120" w:after="120"/>
        <w:rPr>
          <w:rFonts w:asciiTheme="minorHAnsi" w:hAnsiTheme="minorHAnsi"/>
          <w:b/>
          <w:bCs/>
          <w:color w:val="004261" w:themeColor="accent2"/>
          <w:sz w:val="20"/>
          <w:szCs w:val="20"/>
        </w:rPr>
      </w:pPr>
      <w:r w:rsidRPr="00CA2023">
        <w:rPr>
          <w:rFonts w:asciiTheme="minorHAnsi" w:hAnsiTheme="minorHAnsi"/>
          <w:b/>
          <w:bCs/>
          <w:color w:val="004261" w:themeColor="accent2"/>
          <w:sz w:val="20"/>
          <w:szCs w:val="20"/>
        </w:rPr>
        <w:t xml:space="preserve">Figure </w:t>
      </w:r>
      <w:r w:rsidR="00FC7AAD">
        <w:rPr>
          <w:rFonts w:asciiTheme="minorHAnsi" w:hAnsiTheme="minorHAnsi"/>
          <w:b/>
          <w:bCs/>
          <w:color w:val="004261" w:themeColor="accent2"/>
          <w:sz w:val="20"/>
          <w:szCs w:val="20"/>
        </w:rPr>
        <w:t>1</w:t>
      </w:r>
      <w:r w:rsidR="0034229C">
        <w:rPr>
          <w:rFonts w:asciiTheme="minorHAnsi" w:hAnsiTheme="minorHAnsi"/>
          <w:b/>
          <w:bCs/>
          <w:color w:val="004261" w:themeColor="accent2"/>
          <w:sz w:val="20"/>
          <w:szCs w:val="20"/>
        </w:rPr>
        <w:t>.</w:t>
      </w:r>
      <w:r w:rsidR="00FC7AAD">
        <w:rPr>
          <w:rFonts w:asciiTheme="minorHAnsi" w:hAnsiTheme="minorHAnsi"/>
          <w:b/>
          <w:bCs/>
          <w:color w:val="004261" w:themeColor="accent2"/>
          <w:sz w:val="20"/>
          <w:szCs w:val="20"/>
        </w:rPr>
        <w:t>4</w:t>
      </w:r>
      <w:r w:rsidRPr="00CA2023">
        <w:rPr>
          <w:rFonts w:asciiTheme="minorHAnsi" w:hAnsiTheme="minorHAnsi"/>
          <w:b/>
          <w:bCs/>
          <w:color w:val="004261" w:themeColor="accent2"/>
          <w:sz w:val="20"/>
          <w:szCs w:val="20"/>
        </w:rPr>
        <w:t>: Years required to save a 20 per cent deposit</w:t>
      </w:r>
    </w:p>
    <w:p w14:paraId="3BA87389" w14:textId="77777777" w:rsidR="00A01821" w:rsidRPr="0070551C" w:rsidRDefault="00A01821" w:rsidP="00A01821">
      <w:pPr>
        <w:spacing w:after="120"/>
        <w:jc w:val="center"/>
      </w:pPr>
      <w:r w:rsidRPr="0019756E">
        <w:rPr>
          <w:noProof/>
          <w:lang w:eastAsia="en-AU"/>
        </w:rPr>
        <w:drawing>
          <wp:inline distT="0" distB="0" distL="0" distR="0" wp14:anchorId="52272232" wp14:editId="74F6E396">
            <wp:extent cx="3038475" cy="2829440"/>
            <wp:effectExtent l="0" t="0" r="0" b="9525"/>
            <wp:docPr id="850858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58081" name=""/>
                    <pic:cNvPicPr/>
                  </pic:nvPicPr>
                  <pic:blipFill>
                    <a:blip r:embed="rId35"/>
                    <a:stretch>
                      <a:fillRect/>
                    </a:stretch>
                  </pic:blipFill>
                  <pic:spPr>
                    <a:xfrm>
                      <a:off x="0" y="0"/>
                      <a:ext cx="3049093" cy="2839328"/>
                    </a:xfrm>
                    <a:prstGeom prst="rect">
                      <a:avLst/>
                    </a:prstGeom>
                  </pic:spPr>
                </pic:pic>
              </a:graphicData>
            </a:graphic>
          </wp:inline>
        </w:drawing>
      </w:r>
    </w:p>
    <w:p w14:paraId="48651DE5" w14:textId="77777777" w:rsidR="00A01821" w:rsidRPr="00CA2023" w:rsidRDefault="00A01821" w:rsidP="00A01821">
      <w:pPr>
        <w:spacing w:after="0" w:line="240" w:lineRule="auto"/>
        <w:rPr>
          <w:sz w:val="18"/>
          <w:szCs w:val="20"/>
        </w:rPr>
      </w:pPr>
      <w:r w:rsidRPr="00CA2023">
        <w:rPr>
          <w:sz w:val="18"/>
          <w:szCs w:val="20"/>
        </w:rPr>
        <w:t>Source: CoreLogic, ANU</w:t>
      </w:r>
    </w:p>
    <w:p w14:paraId="6A38ACD6" w14:textId="77777777" w:rsidR="00A01821" w:rsidRDefault="00A01821" w:rsidP="00A01821">
      <w:pPr>
        <w:pStyle w:val="Housingauthoritymainbodytext"/>
        <w:spacing w:before="120" w:after="120"/>
        <w:jc w:val="left"/>
        <w:rPr>
          <w:rFonts w:asciiTheme="minorHAnsi" w:hAnsiTheme="minorHAnsi" w:cstheme="minorHAnsi"/>
        </w:rPr>
      </w:pPr>
    </w:p>
    <w:p w14:paraId="1B4B74FF" w14:textId="0CE82175" w:rsidR="00A01821" w:rsidRDefault="00A01821" w:rsidP="00A01821">
      <w:r w:rsidRPr="00E04E29">
        <w:t xml:space="preserve">Large and increasing deposit hurdles over recent years have made the challenge of attaining </w:t>
      </w:r>
      <w:r>
        <w:t>home ownership</w:t>
      </w:r>
      <w:r w:rsidRPr="00E04E29">
        <w:t xml:space="preserve"> more difficult, and while this challenge is faced across the income spectrum, observed </w:t>
      </w:r>
      <w:r>
        <w:t>home ownership</w:t>
      </w:r>
      <w:r w:rsidRPr="00E04E29">
        <w:t xml:space="preserve"> outcomes indicate that the challenges have been particularly acute for low- to middle-income households.</w:t>
      </w:r>
      <w:r>
        <w:rPr>
          <w:rStyle w:val="FootnoteReference"/>
        </w:rPr>
        <w:footnoteReference w:id="11"/>
      </w:r>
    </w:p>
    <w:p w14:paraId="38D419A7" w14:textId="15F2F5C7" w:rsidR="00A01821" w:rsidRPr="00CA2023" w:rsidRDefault="00A01821" w:rsidP="00A01821">
      <w:pPr>
        <w:rPr>
          <w:b/>
          <w:bCs/>
          <w:color w:val="004261" w:themeColor="accent2"/>
        </w:rPr>
      </w:pPr>
      <w:r w:rsidRPr="00CA2023">
        <w:rPr>
          <w:b/>
          <w:bCs/>
          <w:color w:val="004261" w:themeColor="accent2"/>
        </w:rPr>
        <w:t xml:space="preserve">Serviceability </w:t>
      </w:r>
      <w:r w:rsidR="00E66622">
        <w:rPr>
          <w:b/>
          <w:bCs/>
          <w:color w:val="004261" w:themeColor="accent2"/>
        </w:rPr>
        <w:t>h</w:t>
      </w:r>
      <w:r w:rsidRPr="00CA2023">
        <w:rPr>
          <w:b/>
          <w:bCs/>
          <w:color w:val="004261" w:themeColor="accent2"/>
        </w:rPr>
        <w:t>urdle</w:t>
      </w:r>
    </w:p>
    <w:p w14:paraId="35A79FA8" w14:textId="74052183" w:rsidR="00343494" w:rsidRPr="007C4E86" w:rsidRDefault="00A01821" w:rsidP="007C4E86">
      <w:pPr>
        <w:rPr>
          <w:b/>
          <w:bCs/>
          <w:sz w:val="20"/>
          <w:szCs w:val="20"/>
        </w:rPr>
      </w:pPr>
      <w:r w:rsidRPr="00E04E29">
        <w:t>Another challenge facing homebuyers is the ‘serviceability hurdle’, which measures the ratio of income to mortgage repayments.</w:t>
      </w:r>
      <w:r>
        <w:t xml:space="preserve"> Rapidly increasing house prices have seen this ratio increase substantially, for prospective homebuyers, the portion of income required to service a loan has </w:t>
      </w:r>
      <w:r>
        <w:lastRenderedPageBreak/>
        <w:t>increased to over 50 per cent in 2024,</w:t>
      </w:r>
      <w:r>
        <w:rPr>
          <w:rStyle w:val="FootnoteReference"/>
        </w:rPr>
        <w:footnoteReference w:id="12"/>
      </w:r>
      <w:r>
        <w:t xml:space="preserve"> significantly above the long-run average of 36.6 per cent (figure 5</w:t>
      </w:r>
      <w:r w:rsidR="0034229C">
        <w:t>.1</w:t>
      </w:r>
      <w:r>
        <w:t>).</w:t>
      </w:r>
      <w:r>
        <w:rPr>
          <w:rStyle w:val="FootnoteReference"/>
        </w:rPr>
        <w:footnoteReference w:id="13"/>
      </w:r>
    </w:p>
    <w:p w14:paraId="71BDBDCE" w14:textId="63211451" w:rsidR="00A01821" w:rsidRPr="00CA2023" w:rsidRDefault="00A01821" w:rsidP="00A01821">
      <w:pPr>
        <w:rPr>
          <w:color w:val="004261" w:themeColor="accent2"/>
        </w:rPr>
      </w:pPr>
      <w:r w:rsidRPr="00CA2023">
        <w:rPr>
          <w:b/>
          <w:bCs/>
          <w:color w:val="004261" w:themeColor="accent2"/>
          <w:sz w:val="20"/>
          <w:szCs w:val="20"/>
        </w:rPr>
        <w:t xml:space="preserve">Figure </w:t>
      </w:r>
      <w:r w:rsidR="00FC7AAD">
        <w:rPr>
          <w:b/>
          <w:bCs/>
          <w:color w:val="004261" w:themeColor="accent2"/>
          <w:sz w:val="20"/>
          <w:szCs w:val="20"/>
        </w:rPr>
        <w:t>1</w:t>
      </w:r>
      <w:r w:rsidR="0034229C">
        <w:rPr>
          <w:b/>
          <w:bCs/>
          <w:color w:val="004261" w:themeColor="accent2"/>
          <w:sz w:val="20"/>
          <w:szCs w:val="20"/>
        </w:rPr>
        <w:t>.</w:t>
      </w:r>
      <w:r w:rsidR="00FC7AAD">
        <w:rPr>
          <w:b/>
          <w:bCs/>
          <w:color w:val="004261" w:themeColor="accent2"/>
          <w:sz w:val="20"/>
          <w:szCs w:val="20"/>
        </w:rPr>
        <w:t>5</w:t>
      </w:r>
      <w:r w:rsidRPr="00CA2023">
        <w:rPr>
          <w:b/>
          <w:bCs/>
          <w:color w:val="004261" w:themeColor="accent2"/>
          <w:sz w:val="20"/>
          <w:szCs w:val="20"/>
        </w:rPr>
        <w:t>: Share of income to service new loan</w:t>
      </w:r>
    </w:p>
    <w:p w14:paraId="17276965" w14:textId="77777777" w:rsidR="00A01821" w:rsidRDefault="00A01821" w:rsidP="00A01821">
      <w:pPr>
        <w:jc w:val="center"/>
      </w:pPr>
      <w:r w:rsidRPr="000F5863">
        <w:rPr>
          <w:noProof/>
          <w:lang w:eastAsia="en-AU"/>
        </w:rPr>
        <w:drawing>
          <wp:inline distT="0" distB="0" distL="0" distR="0" wp14:anchorId="396BA100" wp14:editId="710C5BC8">
            <wp:extent cx="4050672" cy="3476625"/>
            <wp:effectExtent l="0" t="0" r="6985" b="0"/>
            <wp:docPr id="192938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8750" name=""/>
                    <pic:cNvPicPr/>
                  </pic:nvPicPr>
                  <pic:blipFill>
                    <a:blip r:embed="rId36"/>
                    <a:stretch>
                      <a:fillRect/>
                    </a:stretch>
                  </pic:blipFill>
                  <pic:spPr>
                    <a:xfrm>
                      <a:off x="0" y="0"/>
                      <a:ext cx="4057840" cy="3482777"/>
                    </a:xfrm>
                    <a:prstGeom prst="rect">
                      <a:avLst/>
                    </a:prstGeom>
                  </pic:spPr>
                </pic:pic>
              </a:graphicData>
            </a:graphic>
          </wp:inline>
        </w:drawing>
      </w:r>
    </w:p>
    <w:p w14:paraId="5E030E59" w14:textId="77777777" w:rsidR="00A01821" w:rsidRPr="00CA2023" w:rsidRDefault="00A01821" w:rsidP="00A01821">
      <w:pPr>
        <w:rPr>
          <w:sz w:val="18"/>
          <w:szCs w:val="18"/>
        </w:rPr>
      </w:pPr>
      <w:r w:rsidRPr="00CA2023">
        <w:rPr>
          <w:sz w:val="18"/>
          <w:szCs w:val="18"/>
        </w:rPr>
        <w:t>Source: CoreLogic, ANU</w:t>
      </w:r>
    </w:p>
    <w:p w14:paraId="364A5130" w14:textId="19325F2F" w:rsidR="00A01821" w:rsidRPr="0059043E" w:rsidRDefault="00A01821" w:rsidP="00A01821">
      <w:r>
        <w:t>PropTrack</w:t>
      </w:r>
      <w:r w:rsidRPr="00E04E29">
        <w:t xml:space="preserve"> </w:t>
      </w:r>
      <w:r>
        <w:t xml:space="preserve">also </w:t>
      </w:r>
      <w:r w:rsidRPr="00E04E29">
        <w:t xml:space="preserve">tracks this hurdle through its </w:t>
      </w:r>
      <w:r>
        <w:t>PropTrack</w:t>
      </w:r>
      <w:r w:rsidRPr="00E04E29">
        <w:t xml:space="preserve"> Affordability Index, </w:t>
      </w:r>
      <w:r>
        <w:t>which summarises the capacity for households of different incomes to afford homes across Australia, based on a household spending 25</w:t>
      </w:r>
      <w:r w:rsidR="008174DA">
        <w:t xml:space="preserve"> per cent</w:t>
      </w:r>
      <w:r>
        <w:t xml:space="preserve"> of their pre-tax income on mortgage repayments. A measure of 1.00 means all households can afford homes in proportion to their income</w:t>
      </w:r>
      <w:r w:rsidRPr="00177992">
        <w:t>.</w:t>
      </w:r>
    </w:p>
    <w:p w14:paraId="1FD596B1" w14:textId="4440C8CF" w:rsidR="00343494" w:rsidRPr="00343494" w:rsidRDefault="00A01821" w:rsidP="00343494">
      <w:r w:rsidRPr="0085508A">
        <w:t>The index ha</w:t>
      </w:r>
      <w:r>
        <w:t xml:space="preserve">d previously </w:t>
      </w:r>
      <w:r w:rsidRPr="0085508A">
        <w:t xml:space="preserve">been at historically high levels, </w:t>
      </w:r>
      <w:r>
        <w:t>likely due to</w:t>
      </w:r>
      <w:r w:rsidRPr="0085508A">
        <w:t xml:space="preserve"> sustained low interest rates, particularly over the pandemic, which have put downward pressure on </w:t>
      </w:r>
      <w:r w:rsidRPr="004D6320">
        <w:t>serviceability challenges</w:t>
      </w:r>
      <w:r w:rsidRPr="0085508A">
        <w:t xml:space="preserve">. </w:t>
      </w:r>
      <w:r w:rsidRPr="004D6320">
        <w:t xml:space="preserve">However, </w:t>
      </w:r>
      <w:r>
        <w:t xml:space="preserve">since 2021 the index has fallen precipitously and is now at its lowest level since records began in 1994-95 (Figure </w:t>
      </w:r>
      <w:r w:rsidR="00A40038">
        <w:t>1.6</w:t>
      </w:r>
      <w:r>
        <w:t>), with a median-income household able to afford just 14</w:t>
      </w:r>
      <w:r w:rsidR="008174DA">
        <w:t xml:space="preserve"> per cent</w:t>
      </w:r>
      <w:r>
        <w:t xml:space="preserve"> of homes sold across Australia in 2024.</w:t>
      </w:r>
      <w:r>
        <w:rPr>
          <w:rStyle w:val="FootnoteReference"/>
        </w:rPr>
        <w:footnoteReference w:id="14"/>
      </w:r>
    </w:p>
    <w:p w14:paraId="5536EF59" w14:textId="02D9F5DB" w:rsidR="00A01821" w:rsidRPr="00CA2023" w:rsidRDefault="00A01821" w:rsidP="00A01821">
      <w:pPr>
        <w:rPr>
          <w:b/>
          <w:color w:val="004261" w:themeColor="accent2"/>
          <w:sz w:val="20"/>
          <w:szCs w:val="20"/>
        </w:rPr>
      </w:pPr>
      <w:r w:rsidRPr="00CA2023">
        <w:rPr>
          <w:b/>
          <w:color w:val="004261" w:themeColor="accent2"/>
          <w:sz w:val="20"/>
          <w:szCs w:val="20"/>
        </w:rPr>
        <w:lastRenderedPageBreak/>
        <w:t xml:space="preserve">Figure </w:t>
      </w:r>
      <w:r w:rsidR="00FC7AAD">
        <w:rPr>
          <w:b/>
          <w:color w:val="004261" w:themeColor="accent2"/>
          <w:sz w:val="20"/>
          <w:szCs w:val="20"/>
        </w:rPr>
        <w:t>1</w:t>
      </w:r>
      <w:r w:rsidR="0034229C">
        <w:rPr>
          <w:b/>
          <w:color w:val="004261" w:themeColor="accent2"/>
          <w:sz w:val="20"/>
          <w:szCs w:val="20"/>
        </w:rPr>
        <w:t>.</w:t>
      </w:r>
      <w:r w:rsidR="00FC7AAD">
        <w:rPr>
          <w:b/>
          <w:color w:val="004261" w:themeColor="accent2"/>
          <w:sz w:val="20"/>
          <w:szCs w:val="20"/>
        </w:rPr>
        <w:t>6</w:t>
      </w:r>
      <w:r w:rsidRPr="00CA2023">
        <w:rPr>
          <w:b/>
          <w:color w:val="004261" w:themeColor="accent2"/>
          <w:sz w:val="20"/>
          <w:szCs w:val="20"/>
        </w:rPr>
        <w:t>: PropTrack Affordability Index</w:t>
      </w:r>
    </w:p>
    <w:p w14:paraId="37890844" w14:textId="77777777" w:rsidR="00A01821" w:rsidRPr="0040699A" w:rsidRDefault="00A01821" w:rsidP="00A01821">
      <w:pPr>
        <w:jc w:val="center"/>
        <w:rPr>
          <w:b/>
          <w:sz w:val="20"/>
          <w:szCs w:val="20"/>
        </w:rPr>
      </w:pPr>
      <w:r w:rsidRPr="007B3FB3">
        <w:rPr>
          <w:noProof/>
        </w:rPr>
        <w:t xml:space="preserve"> </w:t>
      </w:r>
      <w:r w:rsidRPr="007B3FB3">
        <w:rPr>
          <w:b/>
          <w:noProof/>
          <w:sz w:val="20"/>
          <w:szCs w:val="20"/>
          <w:lang w:eastAsia="en-AU"/>
        </w:rPr>
        <w:drawing>
          <wp:inline distT="0" distB="0" distL="0" distR="0" wp14:anchorId="0229FF3F" wp14:editId="7E18C54A">
            <wp:extent cx="3524250" cy="2892692"/>
            <wp:effectExtent l="0" t="0" r="0" b="3175"/>
            <wp:docPr id="995256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56137" name=""/>
                    <pic:cNvPicPr/>
                  </pic:nvPicPr>
                  <pic:blipFill>
                    <a:blip r:embed="rId37"/>
                    <a:stretch>
                      <a:fillRect/>
                    </a:stretch>
                  </pic:blipFill>
                  <pic:spPr>
                    <a:xfrm>
                      <a:off x="0" y="0"/>
                      <a:ext cx="3533703" cy="2900451"/>
                    </a:xfrm>
                    <a:prstGeom prst="rect">
                      <a:avLst/>
                    </a:prstGeom>
                  </pic:spPr>
                </pic:pic>
              </a:graphicData>
            </a:graphic>
          </wp:inline>
        </w:drawing>
      </w:r>
    </w:p>
    <w:p w14:paraId="1F0EF7DD" w14:textId="77777777" w:rsidR="00A01821" w:rsidRPr="0036688E" w:rsidRDefault="00A01821" w:rsidP="00A01821">
      <w:pPr>
        <w:rPr>
          <w:sz w:val="18"/>
          <w:szCs w:val="18"/>
        </w:rPr>
      </w:pPr>
      <w:r w:rsidRPr="0036688E">
        <w:rPr>
          <w:sz w:val="18"/>
          <w:szCs w:val="18"/>
        </w:rPr>
        <w:t>Source: PropTrack, ABS, RBA</w:t>
      </w:r>
    </w:p>
    <w:p w14:paraId="1C47A6FD" w14:textId="7004E10A" w:rsidR="00A01821" w:rsidRDefault="00A01821" w:rsidP="00A01821">
      <w:r w:rsidRPr="00437047">
        <w:t>Alongside this decrease</w:t>
      </w:r>
      <w:r>
        <w:t xml:space="preserve"> in affordability</w:t>
      </w:r>
      <w:r w:rsidRPr="00437047">
        <w:t xml:space="preserve">, </w:t>
      </w:r>
      <w:r>
        <w:t>the official cash rate has</w:t>
      </w:r>
      <w:r w:rsidRPr="00437047">
        <w:t xml:space="preserve"> increased from 0.1 to </w:t>
      </w:r>
      <w:r w:rsidR="00B007AE">
        <w:t>3</w:t>
      </w:r>
      <w:r w:rsidRPr="00437047">
        <w:t>.</w:t>
      </w:r>
      <w:r w:rsidR="00B007AE">
        <w:t>85</w:t>
      </w:r>
      <w:r w:rsidRPr="00437047">
        <w:t xml:space="preserve"> per cent </w:t>
      </w:r>
      <w:r w:rsidR="00F2224A">
        <w:t>as of May 2025</w:t>
      </w:r>
      <w:r w:rsidRPr="00437047">
        <w:t>, reducing the borrowing power of prospective home buyers.</w:t>
      </w:r>
      <w:r>
        <w:rPr>
          <w:rStyle w:val="FootnoteReference"/>
        </w:rPr>
        <w:footnoteReference w:id="15"/>
      </w:r>
      <w:r>
        <w:t xml:space="preserve"> </w:t>
      </w:r>
      <w:r w:rsidR="00B007AE">
        <w:t>While t</w:t>
      </w:r>
      <w:r w:rsidR="00802660">
        <w:t xml:space="preserve">he increased difficulty of servicing a mortgage </w:t>
      </w:r>
      <w:r w:rsidR="00B007AE">
        <w:t xml:space="preserve">will affect all home owners, the impact will be </w:t>
      </w:r>
      <w:r w:rsidR="007A4A75">
        <w:t xml:space="preserve">particularly acute for </w:t>
      </w:r>
      <w:r w:rsidR="000C0D2A">
        <w:t>low- to middle</w:t>
      </w:r>
      <w:r w:rsidR="001403FA">
        <w:t xml:space="preserve">- income households </w:t>
      </w:r>
      <w:r w:rsidR="007A4A75">
        <w:t xml:space="preserve">who may be priced </w:t>
      </w:r>
      <w:r w:rsidR="001403FA">
        <w:t>out of</w:t>
      </w:r>
      <w:r>
        <w:t xml:space="preserve"> home ownership altogether. This is reflected in the results from the four major banks and the number of loans being issued at various income levels.</w:t>
      </w:r>
    </w:p>
    <w:p w14:paraId="07A08B77" w14:textId="19C82B83" w:rsidR="0053023F" w:rsidRDefault="00A01821" w:rsidP="00A01821">
      <w:r>
        <w:t>As an illustrative example, according to Commonwealth Bank disclosures, in the six months to 30 June 2024, there were 2.4 times as many owner</w:t>
      </w:r>
      <w:r w:rsidR="00657F6F">
        <w:t>-</w:t>
      </w:r>
      <w:r>
        <w:t>occupied mortgages written to households with incomes over $200,000 th</w:t>
      </w:r>
      <w:r w:rsidR="00500C2F">
        <w:t>a</w:t>
      </w:r>
      <w:r>
        <w:t>n to households with incomes below $100,000</w:t>
      </w:r>
      <w:r w:rsidR="00B02603">
        <w:t xml:space="preserve">, despite the fact that median household income is </w:t>
      </w:r>
      <w:r w:rsidR="00AF6033">
        <w:t>approximately $115,000.</w:t>
      </w:r>
      <w:r>
        <w:rPr>
          <w:rStyle w:val="FootnoteReference"/>
        </w:rPr>
        <w:footnoteReference w:id="16"/>
      </w:r>
    </w:p>
    <w:p w14:paraId="60DBE445" w14:textId="3C59F921" w:rsidR="00CD6502" w:rsidRPr="009B6059" w:rsidRDefault="000223C3" w:rsidP="00CD6502">
      <w:pPr>
        <w:pStyle w:val="Heading2"/>
        <w:rPr>
          <w:color w:val="004261" w:themeColor="accent2"/>
        </w:rPr>
      </w:pPr>
      <w:r w:rsidRPr="009B6059">
        <w:rPr>
          <w:color w:val="004261" w:themeColor="accent2"/>
        </w:rPr>
        <w:t xml:space="preserve">1.3 </w:t>
      </w:r>
      <w:r w:rsidR="00C07181">
        <w:rPr>
          <w:color w:val="004261" w:themeColor="accent2"/>
        </w:rPr>
        <w:t>Existing Government support predominantly targets the deposit hurdle</w:t>
      </w:r>
    </w:p>
    <w:p w14:paraId="15742EE9" w14:textId="77777777" w:rsidR="009C32E3" w:rsidRDefault="009C32E3" w:rsidP="009C32E3">
      <w:r w:rsidRPr="002413E4">
        <w:t>The sign</w:t>
      </w:r>
      <w:r>
        <w:t>ificant challenges faced by many prospective homebuyers can be alleviated by targeted Government support. The existing support provided by HGS provides an example of Government support that directly assists Australians in purchasing a home.</w:t>
      </w:r>
    </w:p>
    <w:p w14:paraId="25386D00" w14:textId="494FCA2B" w:rsidR="009C32E3" w:rsidRDefault="009C32E3" w:rsidP="009C32E3">
      <w:r>
        <w:t>Under HGS, a home buyer’s loan is guaranteed by Housing Australia up to a maximum of 15 per cent of the value of the property (with the Family Home Guarantee</w:t>
      </w:r>
      <w:r w:rsidR="0046443D">
        <w:t xml:space="preserve">, which is specifically targeted at </w:t>
      </w:r>
      <w:r w:rsidR="00122538">
        <w:t>single parent households,</w:t>
      </w:r>
      <w:r>
        <w:t xml:space="preserve"> allowing for a maximum guarantee of 18 per cent). This allows </w:t>
      </w:r>
      <w:r>
        <w:lastRenderedPageBreak/>
        <w:t>Australians to purchase a home with as little as a 5 per cent deposit (or 2 per cent for the Family Home Guarantee) without the need to obtain Lenders Mortgage Insurance.</w:t>
      </w:r>
    </w:p>
    <w:p w14:paraId="00BA5000" w14:textId="6B4E3688" w:rsidR="009C32E3" w:rsidRDefault="009C32E3" w:rsidP="009C32E3">
      <w:r w:rsidRPr="0085508A">
        <w:t xml:space="preserve">As of </w:t>
      </w:r>
      <w:r w:rsidRPr="00A26F57">
        <w:t>March 2025</w:t>
      </w:r>
      <w:r w:rsidRPr="0085508A">
        <w:t xml:space="preserve">, </w:t>
      </w:r>
      <w:r>
        <w:t>HGS</w:t>
      </w:r>
      <w:r w:rsidRPr="0085508A">
        <w:t xml:space="preserve"> has provided support to over 1</w:t>
      </w:r>
      <w:r w:rsidRPr="00A26F57">
        <w:t>50</w:t>
      </w:r>
      <w:r w:rsidRPr="0085508A">
        <w:t xml:space="preserve">,000 </w:t>
      </w:r>
      <w:r w:rsidRPr="00A26F57">
        <w:t>Australians since May 2022, including around 1 in 3 first home buyers in 2023-24.</w:t>
      </w:r>
      <w:r w:rsidRPr="00A26F57">
        <w:rPr>
          <w:rStyle w:val="FootnoteReference"/>
        </w:rPr>
        <w:footnoteReference w:id="17"/>
      </w:r>
      <w:r w:rsidRPr="00A26F57">
        <w:t xml:space="preserve"> Participants in </w:t>
      </w:r>
      <w:r>
        <w:t>HGS</w:t>
      </w:r>
      <w:r w:rsidRPr="00A26F57">
        <w:t xml:space="preserve"> were generally low to middle income, with the typical recipient of the First Home Buyers Guarantee (the largest single guarantee </w:t>
      </w:r>
      <w:r w:rsidR="00B438A2">
        <w:t>scheme</w:t>
      </w:r>
      <w:r w:rsidRPr="00A26F57">
        <w:t>) having an income of $8</w:t>
      </w:r>
      <w:r w:rsidRPr="002413E4">
        <w:t>3</w:t>
      </w:r>
      <w:r w:rsidRPr="00A26F57">
        <w:t>,000 for singles and $1</w:t>
      </w:r>
      <w:r w:rsidRPr="002413E4">
        <w:t>32</w:t>
      </w:r>
      <w:r w:rsidRPr="00A26F57">
        <w:t xml:space="preserve">,000 for </w:t>
      </w:r>
      <w:r w:rsidRPr="002413E4">
        <w:t>joint borrowers</w:t>
      </w:r>
      <w:r w:rsidRPr="00A26F57">
        <w:t>. The average purchase price was similarly modest at $4</w:t>
      </w:r>
      <w:r w:rsidRPr="002413E4">
        <w:t>82</w:t>
      </w:r>
      <w:r w:rsidRPr="00A26F57">
        <w:t>,000 for single and $</w:t>
      </w:r>
      <w:r w:rsidRPr="002413E4">
        <w:t>624</w:t>
      </w:r>
      <w:r w:rsidRPr="00A26F57">
        <w:t xml:space="preserve">,000 for </w:t>
      </w:r>
      <w:r w:rsidRPr="002413E4">
        <w:t>joint borrowers</w:t>
      </w:r>
      <w:r w:rsidRPr="00A26F57">
        <w:t xml:space="preserve">. Additionally, </w:t>
      </w:r>
      <w:r>
        <w:t>HGS</w:t>
      </w:r>
      <w:r w:rsidRPr="00A26F57">
        <w:t xml:space="preserve"> has been particularly important for key workers including teachers, nurses and social workers, with over a quarter of guarantees issues under the First Home Buyers Guarantee </w:t>
      </w:r>
      <w:r w:rsidR="00B438A2">
        <w:t>Scheme</w:t>
      </w:r>
      <w:r w:rsidRPr="00A26F57">
        <w:t xml:space="preserve"> going to workers in these professions.</w:t>
      </w:r>
      <w:r w:rsidRPr="00A26F57">
        <w:rPr>
          <w:rStyle w:val="FootnoteReference"/>
        </w:rPr>
        <w:footnoteReference w:id="18"/>
      </w:r>
    </w:p>
    <w:p w14:paraId="069BCFEB" w14:textId="32DF9632" w:rsidR="009C32E3" w:rsidRDefault="009C32E3" w:rsidP="009C32E3">
      <w:r>
        <w:t xml:space="preserve">The effect of HGS is also significant, with Housing Australia estimating that the First Home Loan Deposit </w:t>
      </w:r>
      <w:r w:rsidR="00B438A2">
        <w:t>Scheme</w:t>
      </w:r>
      <w:r>
        <w:t>, a predecessor of HGS, brought forward the average home purchase by an average of four years.</w:t>
      </w:r>
      <w:r>
        <w:rPr>
          <w:rStyle w:val="FootnoteReference"/>
        </w:rPr>
        <w:footnoteReference w:id="19"/>
      </w:r>
      <w:r>
        <w:t xml:space="preserve"> Given the rapid growth in house prices in Australia, and the difference between house price and income growth, for many participants this could be critical in allowing them to achieve home ownership.</w:t>
      </w:r>
    </w:p>
    <w:p w14:paraId="7A7C867C" w14:textId="0F510ED2" w:rsidR="002C79D9" w:rsidRDefault="009C32E3" w:rsidP="00E661ED">
      <w:r>
        <w:t xml:space="preserve">The success of HGS demonstrates the role targeted Government support can play in helping Australians into home ownership. </w:t>
      </w:r>
      <w:r w:rsidR="00AA4A35">
        <w:t xml:space="preserve">However, it should be noted that HGS </w:t>
      </w:r>
      <w:r w:rsidR="00D704E2">
        <w:t xml:space="preserve">only </w:t>
      </w:r>
      <w:r w:rsidR="00AA4A35">
        <w:t>provides support to overcome the deposit hurdle, this means individuals may still be constrained by their ability to service a loan.</w:t>
      </w:r>
    </w:p>
    <w:p w14:paraId="7448A73E" w14:textId="6219ADFD" w:rsidR="00B712CB" w:rsidRPr="009B6059" w:rsidRDefault="000223C3" w:rsidP="00DE4E17">
      <w:pPr>
        <w:pStyle w:val="Heading2"/>
        <w:rPr>
          <w:color w:val="004261" w:themeColor="accent2"/>
        </w:rPr>
      </w:pPr>
      <w:r w:rsidRPr="009B6059">
        <w:rPr>
          <w:color w:val="004261" w:themeColor="accent2"/>
        </w:rPr>
        <w:t>1.</w:t>
      </w:r>
      <w:r w:rsidR="00BB4D86">
        <w:rPr>
          <w:color w:val="004261" w:themeColor="accent2"/>
        </w:rPr>
        <w:t>4</w:t>
      </w:r>
      <w:r w:rsidRPr="009B6059">
        <w:rPr>
          <w:color w:val="004261" w:themeColor="accent2"/>
        </w:rPr>
        <w:t xml:space="preserve"> </w:t>
      </w:r>
      <w:r w:rsidR="00710FAA" w:rsidRPr="009B6059">
        <w:rPr>
          <w:color w:val="004261" w:themeColor="accent2"/>
        </w:rPr>
        <w:t>Help to Buy is part of a broader housing reform agenda</w:t>
      </w:r>
    </w:p>
    <w:p w14:paraId="3DA49CA1" w14:textId="6BDBC795" w:rsidR="006B6218" w:rsidRDefault="006B6218" w:rsidP="006B6218">
      <w:r>
        <w:t xml:space="preserve">Help to Buy is part of the Government’s Homes for Australia plan, a broad suite of policies designed to address pressures across all parts of the housing system, working together in a complementary manner. While each housing measure is designed to target a very specific problem in the housing system, </w:t>
      </w:r>
      <w:r w:rsidR="0039334F">
        <w:t xml:space="preserve">some of the major </w:t>
      </w:r>
      <w:r>
        <w:t>policies can be broadly grouped into four categories.</w:t>
      </w:r>
    </w:p>
    <w:p w14:paraId="4695D01C" w14:textId="05A0C9B2" w:rsidR="006B6218" w:rsidRPr="0036688E" w:rsidRDefault="006B6218" w:rsidP="006B6218">
      <w:pPr>
        <w:pStyle w:val="BulletedList-Level1"/>
        <w:numPr>
          <w:ilvl w:val="0"/>
          <w:numId w:val="0"/>
        </w:numPr>
        <w:tabs>
          <w:tab w:val="left" w:pos="720"/>
        </w:tabs>
        <w:spacing w:before="240"/>
        <w:ind w:left="567" w:hanging="567"/>
        <w:rPr>
          <w:b/>
          <w:bCs/>
          <w:color w:val="004261" w:themeColor="accent2"/>
        </w:rPr>
      </w:pPr>
      <w:r w:rsidRPr="0036688E">
        <w:rPr>
          <w:b/>
          <w:bCs/>
          <w:color w:val="004261" w:themeColor="accent2"/>
        </w:rPr>
        <w:t>Measures to support first home ownership</w:t>
      </w:r>
    </w:p>
    <w:p w14:paraId="7959BF3F" w14:textId="77777777" w:rsidR="006B6218" w:rsidRPr="006B6218" w:rsidRDefault="006B6218" w:rsidP="006B6218">
      <w:pPr>
        <w:pStyle w:val="BulletedList-Level1"/>
        <w:numPr>
          <w:ilvl w:val="0"/>
          <w:numId w:val="0"/>
        </w:numPr>
        <w:tabs>
          <w:tab w:val="left" w:pos="720"/>
        </w:tabs>
        <w:spacing w:before="240"/>
        <w:rPr>
          <w:b/>
          <w:bCs/>
        </w:rPr>
      </w:pPr>
    </w:p>
    <w:p w14:paraId="1B255D10" w14:textId="34BEB4CF" w:rsidR="00EA7232" w:rsidRPr="00A40038" w:rsidRDefault="006B6218" w:rsidP="00A40038">
      <w:pPr>
        <w:pStyle w:val="BulletedList-Level1"/>
        <w:tabs>
          <w:tab w:val="left" w:pos="720"/>
        </w:tabs>
      </w:pPr>
      <w:r w:rsidRPr="0085508A">
        <w:t xml:space="preserve">The </w:t>
      </w:r>
      <w:r w:rsidR="00B438A2">
        <w:t>Home Guarantee Scheme</w:t>
      </w:r>
      <w:r w:rsidRPr="0085508A">
        <w:t xml:space="preserve"> has helped more than </w:t>
      </w:r>
      <w:r>
        <w:t>15</w:t>
      </w:r>
      <w:r w:rsidRPr="0085508A">
        <w:t>0,000 people into home ownership.</w:t>
      </w:r>
      <w:r w:rsidRPr="00E90D9B">
        <w:t xml:space="preserve"> The </w:t>
      </w:r>
      <w:r w:rsidR="00B438A2">
        <w:t>scheme</w:t>
      </w:r>
      <w:r w:rsidRPr="00E90D9B">
        <w:t xml:space="preserve"> has now been expanded significantly - changes will see friends, siblings, and other family members eligible for joint applications under the First Home Guarantee and the </w:t>
      </w:r>
      <w:r w:rsidRPr="00E90D9B">
        <w:lastRenderedPageBreak/>
        <w:t>Regional First Home Buyer Guarantee</w:t>
      </w:r>
      <w:r>
        <w:t>, as well as extend the Regional First Home Buyer Guarantee and Family Home Guarantee to 30 June 2029.</w:t>
      </w:r>
    </w:p>
    <w:p w14:paraId="516957B6" w14:textId="77777777" w:rsidR="00A40038" w:rsidRDefault="00A40038" w:rsidP="00A40038">
      <w:pPr>
        <w:pStyle w:val="BulletedList-Level1"/>
        <w:numPr>
          <w:ilvl w:val="0"/>
          <w:numId w:val="0"/>
        </w:numPr>
        <w:tabs>
          <w:tab w:val="left" w:pos="720"/>
        </w:tabs>
        <w:spacing w:before="240"/>
        <w:ind w:left="567" w:hanging="567"/>
        <w:rPr>
          <w:b/>
          <w:bCs/>
          <w:color w:val="004261" w:themeColor="accent2"/>
        </w:rPr>
      </w:pPr>
    </w:p>
    <w:p w14:paraId="3D6B3994" w14:textId="1A8DEA7C" w:rsidR="006B6218" w:rsidRDefault="006B6218" w:rsidP="00A40038">
      <w:pPr>
        <w:pStyle w:val="BulletedList-Level1"/>
        <w:numPr>
          <w:ilvl w:val="0"/>
          <w:numId w:val="0"/>
        </w:numPr>
        <w:tabs>
          <w:tab w:val="left" w:pos="720"/>
        </w:tabs>
        <w:spacing w:before="240"/>
        <w:ind w:left="567" w:hanging="567"/>
        <w:rPr>
          <w:b/>
          <w:bCs/>
          <w:color w:val="004261" w:themeColor="accent2"/>
        </w:rPr>
      </w:pPr>
      <w:r w:rsidRPr="0036688E">
        <w:rPr>
          <w:b/>
          <w:bCs/>
          <w:color w:val="004261" w:themeColor="accent2"/>
        </w:rPr>
        <w:t>Measures to support new supply</w:t>
      </w:r>
    </w:p>
    <w:p w14:paraId="0CD75255" w14:textId="77777777" w:rsidR="0036688E" w:rsidRPr="0036688E" w:rsidRDefault="0036688E" w:rsidP="006B6218">
      <w:pPr>
        <w:pStyle w:val="BulletedList-Level1"/>
        <w:numPr>
          <w:ilvl w:val="0"/>
          <w:numId w:val="0"/>
        </w:numPr>
        <w:tabs>
          <w:tab w:val="left" w:pos="720"/>
        </w:tabs>
        <w:spacing w:before="240"/>
        <w:rPr>
          <w:rFonts w:ascii="Arial" w:hAnsi="Arial"/>
          <w:color w:val="004261" w:themeColor="accent2"/>
        </w:rPr>
      </w:pPr>
    </w:p>
    <w:p w14:paraId="558CA514" w14:textId="1441E04C" w:rsidR="006B6218" w:rsidRDefault="006B6218" w:rsidP="006B6218">
      <w:pPr>
        <w:pStyle w:val="BulletedList-Level1"/>
        <w:tabs>
          <w:tab w:val="left" w:pos="720"/>
        </w:tabs>
      </w:pPr>
      <w:r>
        <w:t xml:space="preserve">On 16 August 2023, National Cabinet agreed to </w:t>
      </w:r>
      <w:r w:rsidR="001603D6">
        <w:t>a</w:t>
      </w:r>
      <w:r>
        <w:t xml:space="preserve"> new national target to build 1.2 million homes over five years from 1 July 2024. This is an additional 200,000 new homes above the National Housing Accord agreed by states and territories in 2022. As part of the National Cabinet meeting, the Government announced:</w:t>
      </w:r>
    </w:p>
    <w:p w14:paraId="0FA5C098" w14:textId="3933DD08" w:rsidR="006B6218" w:rsidRDefault="006B6218" w:rsidP="006B6218">
      <w:pPr>
        <w:pStyle w:val="BulletedList-Level1"/>
        <w:numPr>
          <w:ilvl w:val="2"/>
          <w:numId w:val="22"/>
        </w:numPr>
        <w:tabs>
          <w:tab w:val="left" w:pos="720"/>
        </w:tabs>
      </w:pPr>
      <w:r>
        <w:t>$3 billion for a New Home</w:t>
      </w:r>
      <w:r w:rsidR="007A1838">
        <w:t>s</w:t>
      </w:r>
      <w:r>
        <w:t xml:space="preserve"> Bonus, for states and territories that achieve more than their share of the one million well-located homes target under the National Housing Accord</w:t>
      </w:r>
    </w:p>
    <w:p w14:paraId="64DA2FE7" w14:textId="44100483" w:rsidR="006B6218" w:rsidRDefault="006B6218" w:rsidP="003A74A9">
      <w:pPr>
        <w:pStyle w:val="BulletedList-Level1"/>
        <w:numPr>
          <w:ilvl w:val="2"/>
          <w:numId w:val="22"/>
        </w:numPr>
        <w:tabs>
          <w:tab w:val="left" w:pos="720"/>
        </w:tabs>
        <w:spacing w:after="0"/>
      </w:pPr>
      <w:r>
        <w:t>$500 million for a Housing Support Program, a program for local and state and territory governments to kick-start housing supply in well located areas</w:t>
      </w:r>
    </w:p>
    <w:p w14:paraId="11B7CCAB" w14:textId="0BFFEADB" w:rsidR="008B1479" w:rsidRDefault="008B1479" w:rsidP="003A74A9">
      <w:pPr>
        <w:pStyle w:val="ListParagraph"/>
        <w:numPr>
          <w:ilvl w:val="2"/>
          <w:numId w:val="22"/>
        </w:numPr>
        <w:ind w:left="1066" w:hanging="357"/>
      </w:pPr>
      <w:r>
        <w:t>a</w:t>
      </w:r>
      <w:r w:rsidRPr="008B1479">
        <w:t xml:space="preserve"> National Planning Reform Blueprint with planning, zoning, land release and other measures to improve housing supply and affordability. </w:t>
      </w:r>
    </w:p>
    <w:p w14:paraId="216CA2F6" w14:textId="1B8B0D01" w:rsidR="006B6218" w:rsidRDefault="006B6218" w:rsidP="006B6218">
      <w:pPr>
        <w:pStyle w:val="BulletedList-Level1"/>
        <w:tabs>
          <w:tab w:val="left" w:pos="720"/>
        </w:tabs>
      </w:pPr>
      <w:r>
        <w:t>Tax incentives have been provided to encourage more build-to-rent developments to boost new supply in the private rental market.</w:t>
      </w:r>
    </w:p>
    <w:p w14:paraId="5E487963" w14:textId="77777777" w:rsidR="006B6218" w:rsidRDefault="006B6218" w:rsidP="006B6218">
      <w:pPr>
        <w:pStyle w:val="BulletedList-Level1"/>
        <w:numPr>
          <w:ilvl w:val="0"/>
          <w:numId w:val="0"/>
        </w:numPr>
        <w:tabs>
          <w:tab w:val="left" w:pos="720"/>
        </w:tabs>
      </w:pPr>
    </w:p>
    <w:p w14:paraId="3E709B7C" w14:textId="30784D34" w:rsidR="006B6218" w:rsidRPr="0036688E" w:rsidRDefault="006B6218" w:rsidP="006B6218">
      <w:pPr>
        <w:pStyle w:val="BulletedList-Level1"/>
        <w:numPr>
          <w:ilvl w:val="0"/>
          <w:numId w:val="0"/>
        </w:numPr>
        <w:tabs>
          <w:tab w:val="left" w:pos="720"/>
        </w:tabs>
        <w:rPr>
          <w:b/>
          <w:bCs/>
          <w:color w:val="004261" w:themeColor="accent2"/>
        </w:rPr>
      </w:pPr>
      <w:r w:rsidRPr="0036688E">
        <w:rPr>
          <w:b/>
          <w:bCs/>
          <w:color w:val="004261" w:themeColor="accent2"/>
        </w:rPr>
        <w:t>Measures to support low-income and vulnerable households</w:t>
      </w:r>
    </w:p>
    <w:p w14:paraId="37543BE4" w14:textId="77777777" w:rsidR="006B6218" w:rsidRPr="009B6059" w:rsidRDefault="006B6218" w:rsidP="006B6218">
      <w:pPr>
        <w:pStyle w:val="BulletedList-Level1"/>
        <w:numPr>
          <w:ilvl w:val="0"/>
          <w:numId w:val="0"/>
        </w:numPr>
        <w:tabs>
          <w:tab w:val="left" w:pos="720"/>
        </w:tabs>
        <w:rPr>
          <w:b/>
          <w:bCs/>
          <w:sz w:val="16"/>
          <w:szCs w:val="16"/>
        </w:rPr>
      </w:pPr>
    </w:p>
    <w:p w14:paraId="0109A923" w14:textId="77777777" w:rsidR="006B6218" w:rsidRDefault="006B6218" w:rsidP="006B6218">
      <w:pPr>
        <w:pStyle w:val="BulletedList-Level1"/>
        <w:tabs>
          <w:tab w:val="left" w:pos="720"/>
        </w:tabs>
      </w:pPr>
      <w:r>
        <w:t>The Housing Australia Future Fund (HAFF) and Accord will support the delivery of 40,000 new social and affordable homes and fund a range of acute housing needs over its first five years.</w:t>
      </w:r>
    </w:p>
    <w:p w14:paraId="6AAA42F5" w14:textId="77777777" w:rsidR="006B6218" w:rsidRDefault="006B6218" w:rsidP="006B6218">
      <w:pPr>
        <w:pStyle w:val="BulletedList-Level1"/>
        <w:tabs>
          <w:tab w:val="left" w:pos="720"/>
        </w:tabs>
      </w:pPr>
      <w:r>
        <w:t>The $2 billion Social Housing Accelerator is a direct payment to the states and territories to help deliver thousands of new social homes across Australia.</w:t>
      </w:r>
    </w:p>
    <w:p w14:paraId="20D7A765" w14:textId="77777777" w:rsidR="006B6218" w:rsidRDefault="006B6218" w:rsidP="006B6218">
      <w:pPr>
        <w:pStyle w:val="BulletedList-Level1"/>
        <w:tabs>
          <w:tab w:val="left" w:pos="720"/>
        </w:tabs>
      </w:pPr>
      <w:r>
        <w:t>Commonwealth Rent Assistance has been increased, with a 15 per cent increase in the maximum rates in the 2023-24 Budget from 20 September 2023, followed by a further 10 per cent increase to maximum rates in the 2024-25 Budget.</w:t>
      </w:r>
    </w:p>
    <w:p w14:paraId="42ED6A2E" w14:textId="77777777" w:rsidR="006B6218" w:rsidRPr="0036688E" w:rsidRDefault="006B6218" w:rsidP="00EA7232">
      <w:pPr>
        <w:pStyle w:val="BulletedList-Level1"/>
        <w:numPr>
          <w:ilvl w:val="0"/>
          <w:numId w:val="0"/>
        </w:numPr>
        <w:tabs>
          <w:tab w:val="left" w:pos="720"/>
        </w:tabs>
        <w:rPr>
          <w:color w:val="004261" w:themeColor="accent2"/>
        </w:rPr>
      </w:pPr>
    </w:p>
    <w:p w14:paraId="227B4335" w14:textId="45E8E37B" w:rsidR="006B6218" w:rsidRPr="0036688E" w:rsidRDefault="006B6218" w:rsidP="006B6218">
      <w:pPr>
        <w:pStyle w:val="BulletedList-Level1"/>
        <w:numPr>
          <w:ilvl w:val="0"/>
          <w:numId w:val="0"/>
        </w:numPr>
        <w:tabs>
          <w:tab w:val="left" w:pos="720"/>
        </w:tabs>
        <w:spacing w:before="240"/>
        <w:rPr>
          <w:b/>
          <w:bCs/>
          <w:color w:val="004261" w:themeColor="accent2"/>
        </w:rPr>
      </w:pPr>
      <w:r w:rsidRPr="0036688E">
        <w:rPr>
          <w:b/>
          <w:bCs/>
          <w:color w:val="004261" w:themeColor="accent2"/>
        </w:rPr>
        <w:t>Measures to support homelessness and other acute housing needs, including crisis and transitional housing</w:t>
      </w:r>
    </w:p>
    <w:p w14:paraId="4C8AD33D" w14:textId="77777777" w:rsidR="006B6218" w:rsidRPr="002413E4" w:rsidRDefault="006B6218" w:rsidP="006B6218">
      <w:pPr>
        <w:pStyle w:val="BulletedList-Level1"/>
        <w:numPr>
          <w:ilvl w:val="0"/>
          <w:numId w:val="0"/>
        </w:numPr>
        <w:tabs>
          <w:tab w:val="left" w:pos="720"/>
        </w:tabs>
        <w:spacing w:before="240"/>
        <w:rPr>
          <w:b/>
          <w:bCs/>
        </w:rPr>
      </w:pPr>
    </w:p>
    <w:p w14:paraId="3D2119D1" w14:textId="0A19C78B" w:rsidR="00A75D2D" w:rsidRDefault="006B6218" w:rsidP="006B6218">
      <w:pPr>
        <w:pStyle w:val="BulletedList-Level1"/>
        <w:tabs>
          <w:tab w:val="left" w:pos="720"/>
        </w:tabs>
        <w:spacing w:before="240"/>
      </w:pPr>
      <w:r>
        <w:t>National Cabinet has agreed a new, 5-year $9.3 billion National Agreement on Social Housing and Homelessness (NASHH) for states and territories to combat homelessness, provide crisis support and build and repair social housing.</w:t>
      </w:r>
    </w:p>
    <w:p w14:paraId="1F540544" w14:textId="77777777" w:rsidR="00236821" w:rsidRDefault="00236821" w:rsidP="00166B87"/>
    <w:p w14:paraId="38A8408D" w14:textId="77777777" w:rsidR="00236821" w:rsidRDefault="00236821" w:rsidP="00166B87"/>
    <w:p w14:paraId="458E99AD" w14:textId="77777777" w:rsidR="007927B1" w:rsidRDefault="007927B1" w:rsidP="00236821">
      <w:pPr>
        <w:pStyle w:val="Heading1"/>
        <w:sectPr w:rsidR="007927B1" w:rsidSect="00023A52">
          <w:headerReference w:type="even" r:id="rId38"/>
          <w:headerReference w:type="default" r:id="rId39"/>
          <w:footerReference w:type="even" r:id="rId40"/>
          <w:footerReference w:type="default" r:id="rId41"/>
          <w:headerReference w:type="first" r:id="rId42"/>
          <w:footerReference w:type="first" r:id="rId43"/>
          <w:pgSz w:w="11906" w:h="16838"/>
          <w:pgMar w:top="1701" w:right="1134" w:bottom="1843" w:left="1134" w:header="993" w:footer="709" w:gutter="0"/>
          <w:cols w:space="708"/>
          <w:titlePg/>
          <w:docGrid w:linePitch="360"/>
        </w:sectPr>
      </w:pPr>
    </w:p>
    <w:p w14:paraId="07341859" w14:textId="397AA3EF" w:rsidR="0014151F" w:rsidRPr="009B6059" w:rsidRDefault="00236821" w:rsidP="00236821">
      <w:pPr>
        <w:pStyle w:val="Heading1"/>
        <w:rPr>
          <w:color w:val="004261" w:themeColor="accent2"/>
        </w:rPr>
      </w:pPr>
      <w:bookmarkStart w:id="4" w:name="_Toc200114835"/>
      <w:r w:rsidRPr="009B6059">
        <w:rPr>
          <w:color w:val="004261" w:themeColor="accent2"/>
        </w:rPr>
        <w:lastRenderedPageBreak/>
        <w:t xml:space="preserve">2. </w:t>
      </w:r>
      <w:r w:rsidR="007927B1" w:rsidRPr="009B6059">
        <w:rPr>
          <w:color w:val="004261" w:themeColor="accent2"/>
        </w:rPr>
        <w:t>Why is Government action needed?</w:t>
      </w:r>
      <w:bookmarkEnd w:id="4"/>
    </w:p>
    <w:p w14:paraId="7A86680A" w14:textId="1286F354" w:rsidR="000253C8" w:rsidRPr="009B6059" w:rsidRDefault="000253C8" w:rsidP="00236821">
      <w:pPr>
        <w:pStyle w:val="Heading2"/>
        <w:rPr>
          <w:color w:val="004261" w:themeColor="accent2"/>
        </w:rPr>
      </w:pPr>
      <w:r w:rsidRPr="009B6059">
        <w:rPr>
          <w:color w:val="004261" w:themeColor="accent2"/>
        </w:rPr>
        <w:t xml:space="preserve">2.1 </w:t>
      </w:r>
      <w:r w:rsidR="000223C3" w:rsidRPr="009B6059">
        <w:rPr>
          <w:color w:val="004261" w:themeColor="accent2"/>
        </w:rPr>
        <w:t>Home ownership benefits individuals and society</w:t>
      </w:r>
    </w:p>
    <w:p w14:paraId="2FF4D519" w14:textId="77777777" w:rsidR="00F706D3" w:rsidRDefault="00F706D3" w:rsidP="00F706D3">
      <w:r w:rsidRPr="002413E4">
        <w:rPr>
          <w:szCs w:val="22"/>
        </w:rPr>
        <w:t>Ac</w:t>
      </w:r>
      <w:r>
        <w:t>cess to affordable and quality housing provides significant benefits both to individuals and society more broadly. While many of these benefits can also be provided by affordable and high-quality rental accommodation, home ownership can increase the extent of these benefits.</w:t>
      </w:r>
      <w:r>
        <w:rPr>
          <w:rStyle w:val="FootnoteReference"/>
        </w:rPr>
        <w:footnoteReference w:id="20"/>
      </w:r>
    </w:p>
    <w:p w14:paraId="5E9FDEDF" w14:textId="530D3008" w:rsidR="00F706D3" w:rsidRDefault="00F706D3" w:rsidP="00F706D3">
      <w:r>
        <w:t>In particular, home ownership provides greater security of tenure, providing significant benefits to owners as well as minimising disruptions to established social networks. Additionally, giving owner occupiers more control over the property can help promote health outcomes and physical wellbeing</w:t>
      </w:r>
      <w:r w:rsidR="00AE431F">
        <w:t>,</w:t>
      </w:r>
      <w:r>
        <w:t xml:space="preserve"> </w:t>
      </w:r>
      <w:r w:rsidR="00AE431F">
        <w:t xml:space="preserve">reduce </w:t>
      </w:r>
      <w:r>
        <w:t>the incidence of socially disruptive behaviour</w:t>
      </w:r>
      <w:r w:rsidR="00AE431F">
        <w:t>, support</w:t>
      </w:r>
      <w:r>
        <w:t xml:space="preserve"> better access to </w:t>
      </w:r>
      <w:r w:rsidR="00BC3754">
        <w:t xml:space="preserve">aged care and </w:t>
      </w:r>
      <w:r>
        <w:t>disability services</w:t>
      </w:r>
      <w:r w:rsidR="00AE431F">
        <w:t>,</w:t>
      </w:r>
      <w:r>
        <w:t xml:space="preserve"> and generally </w:t>
      </w:r>
      <w:r w:rsidR="00AE431F">
        <w:t xml:space="preserve">provides </w:t>
      </w:r>
      <w:r>
        <w:t>stronger incentives for civic involvement.</w:t>
      </w:r>
      <w:r>
        <w:rPr>
          <w:rStyle w:val="FootnoteReference"/>
        </w:rPr>
        <w:footnoteReference w:id="21"/>
      </w:r>
    </w:p>
    <w:p w14:paraId="3635F318" w14:textId="179AF036" w:rsidR="00F706D3" w:rsidRDefault="00F706D3" w:rsidP="00F706D3">
      <w:r>
        <w:t>Home ownership is also important for Australians’ retirement outcomes. Treasury’s retirement income review found that “</w:t>
      </w:r>
      <w:r w:rsidRPr="00AE34B5">
        <w:t>the home is the most important component of voluntary savings and is an important factor influencing retirement outcomes and how people feel about retirement</w:t>
      </w:r>
      <w:r w:rsidRPr="00E101A7">
        <w:t>”.</w:t>
      </w:r>
      <w:r>
        <w:rPr>
          <w:rStyle w:val="FootnoteReference"/>
        </w:rPr>
        <w:footnoteReference w:id="22"/>
      </w:r>
      <w:r w:rsidRPr="00E101A7">
        <w:t xml:space="preserve"> </w:t>
      </w:r>
      <w:r>
        <w:t>Homeowners generally have lower housing costs in retirement and an asset that can be drawn on as necessary. This generally translates into lower dependence on Government support as well as better outcomes for retired Australians.</w:t>
      </w:r>
      <w:r>
        <w:rPr>
          <w:rStyle w:val="FootnoteReference"/>
        </w:rPr>
        <w:footnoteReference w:id="23"/>
      </w:r>
    </w:p>
    <w:p w14:paraId="20903CAC" w14:textId="5BF1921A" w:rsidR="000253C8" w:rsidRPr="009B6059" w:rsidRDefault="000253C8" w:rsidP="00236821">
      <w:pPr>
        <w:pStyle w:val="Heading2"/>
        <w:rPr>
          <w:color w:val="004261" w:themeColor="accent2"/>
        </w:rPr>
      </w:pPr>
      <w:r w:rsidRPr="009B6059">
        <w:rPr>
          <w:color w:val="004261" w:themeColor="accent2"/>
        </w:rPr>
        <w:t xml:space="preserve">2.2 </w:t>
      </w:r>
      <w:r w:rsidR="00927AE6">
        <w:rPr>
          <w:color w:val="004261" w:themeColor="accent2"/>
        </w:rPr>
        <w:t>L</w:t>
      </w:r>
      <w:r w:rsidR="00A226C6" w:rsidRPr="009B6059">
        <w:rPr>
          <w:color w:val="004261" w:themeColor="accent2"/>
        </w:rPr>
        <w:t xml:space="preserve">ow- and middle-income households </w:t>
      </w:r>
      <w:r w:rsidR="00927AE6">
        <w:rPr>
          <w:color w:val="004261" w:themeColor="accent2"/>
        </w:rPr>
        <w:t>are not</w:t>
      </w:r>
      <w:r w:rsidR="00A226C6" w:rsidRPr="009B6059">
        <w:rPr>
          <w:color w:val="004261" w:themeColor="accent2"/>
        </w:rPr>
        <w:t xml:space="preserve"> achieving home ownership</w:t>
      </w:r>
      <w:r w:rsidR="00927AE6">
        <w:rPr>
          <w:color w:val="004261" w:themeColor="accent2"/>
        </w:rPr>
        <w:t xml:space="preserve"> without support</w:t>
      </w:r>
    </w:p>
    <w:p w14:paraId="46E8CA25" w14:textId="44951855" w:rsidR="008C1B1F" w:rsidRDefault="008C1B1F" w:rsidP="008C1B1F">
      <w:r>
        <w:t xml:space="preserve">The private housing market in Australia has becoming increasingly unaffordable for many low- and middle-income Australians. As discussed in Section 1, rapid growth in house prices, particularly compared with income growth, has made it significantly more difficult both to save a deposit and to afford repayments, particularly given the significant increases in interest rates since April 2022. Micro level analysis conducted for the Australian Housing and Urban Research Institute (AHURI) estimated that, in 2023, only 11 per cent of aspiring homebuyers would be able to become </w:t>
      </w:r>
      <w:r>
        <w:lastRenderedPageBreak/>
        <w:t>homeowners</w:t>
      </w:r>
      <w:r w:rsidR="00FA01CC">
        <w:t xml:space="preserve"> without assistance from Government or other sources</w:t>
      </w:r>
      <w:r>
        <w:t>.</w:t>
      </w:r>
      <w:r>
        <w:rPr>
          <w:rStyle w:val="FootnoteReference"/>
        </w:rPr>
        <w:footnoteReference w:id="24"/>
      </w:r>
      <w:r>
        <w:t xml:space="preserve"> This demonstrates that the </w:t>
      </w:r>
      <w:r w:rsidR="00FA01CC">
        <w:t xml:space="preserve">existing </w:t>
      </w:r>
      <w:r>
        <w:t>private housing market is failing to support home ownership for many low- and middle-income Australians.</w:t>
      </w:r>
    </w:p>
    <w:p w14:paraId="6B9FC6C1" w14:textId="77777777" w:rsidR="008C1B1F" w:rsidRDefault="008C1B1F" w:rsidP="008C1B1F">
      <w:r>
        <w:t>Aspiring homebuyers in Australia face two principal constraints, the deposit hurdle and the serviceability hurdle. As discussed in Section 1, the deposit hurdle represents the difficulty many Australians face in saving a 20 per cent deposit. The serviceability hurdle represents the difficulty in affording the regular repayments on a standard mortgage. Households who are unable to satisfy one or both hurdles will be unable to purchase a home.</w:t>
      </w:r>
    </w:p>
    <w:p w14:paraId="6B98C7BB" w14:textId="48375A94" w:rsidR="008C1B1F" w:rsidRDefault="008C1B1F" w:rsidP="008C1B1F">
      <w:r>
        <w:t>While these constraints may often both be applicable, AHURI analysis indicates that while 84 per cent of aspiring homebuyers are constrained by the deposit hurdle, 71 per cent are constrained by the serviceability hurdle.</w:t>
      </w:r>
      <w:r>
        <w:rPr>
          <w:rStyle w:val="FootnoteReference"/>
        </w:rPr>
        <w:footnoteReference w:id="25"/>
      </w:r>
      <w:r>
        <w:t xml:space="preserve"> The private market has provided a solution to the deposit hurdle in the form of lenders mortgage insurance (LMI). LMI covers a lender against the risk of a property being sold for less than the outstanding balance of a loan. By providing lenders with insurance against risks of depreciation and default it allows households with a deposit of less than 20 per cent to purchase a home, providing a market solution to the deposit hurdle.</w:t>
      </w:r>
    </w:p>
    <w:p w14:paraId="040341FF" w14:textId="1D2FAB50" w:rsidR="007F22C9" w:rsidRDefault="008C1B1F" w:rsidP="008C1B1F">
      <w:r>
        <w:t>However, as homebuyers must generally pay the premiums associated with LMI it does not provide a general solution to the deposit hurdle. For a first home buyer purchasing a $700,000 property with a 5 per cent ($35,000) deposit, the typical upfront LMI premium would be almost $28,000.</w:t>
      </w:r>
      <w:r>
        <w:rPr>
          <w:rStyle w:val="FootnoteReference"/>
        </w:rPr>
        <w:footnoteReference w:id="26"/>
      </w:r>
      <w:r>
        <w:t xml:space="preserve"> While LMI provides a private market solution to the deposit hurdle for some homebuyers, it may not be appropriate for many low- and middle-income Australians and will generally increase the number of households who are constrained by the serviceability hurdle, as well as substantially increasing the costs associated with home ownership.</w:t>
      </w:r>
    </w:p>
    <w:p w14:paraId="441C1C54" w14:textId="48408976" w:rsidR="007F22C9" w:rsidRPr="009B6059" w:rsidRDefault="000253C8" w:rsidP="00236821">
      <w:pPr>
        <w:pStyle w:val="Heading2"/>
        <w:rPr>
          <w:color w:val="004261" w:themeColor="accent2"/>
        </w:rPr>
      </w:pPr>
      <w:r w:rsidRPr="009B6059">
        <w:rPr>
          <w:color w:val="004261" w:themeColor="accent2"/>
        </w:rPr>
        <w:lastRenderedPageBreak/>
        <w:t xml:space="preserve">2.3 </w:t>
      </w:r>
      <w:r w:rsidR="00814F7C" w:rsidRPr="009B6059">
        <w:rPr>
          <w:color w:val="004261" w:themeColor="accent2"/>
        </w:rPr>
        <w:t xml:space="preserve">Existing </w:t>
      </w:r>
      <w:r w:rsidR="00864C73">
        <w:rPr>
          <w:color w:val="004261" w:themeColor="accent2"/>
        </w:rPr>
        <w:t>Commonwealth</w:t>
      </w:r>
      <w:r w:rsidR="00864C73" w:rsidRPr="009B6059">
        <w:rPr>
          <w:color w:val="004261" w:themeColor="accent2"/>
        </w:rPr>
        <w:t xml:space="preserve"> </w:t>
      </w:r>
      <w:r w:rsidR="00814F7C" w:rsidRPr="009B6059">
        <w:rPr>
          <w:color w:val="004261" w:themeColor="accent2"/>
        </w:rPr>
        <w:t>programs do not provide assistance to households in overcoming the serviceability hurdle</w:t>
      </w:r>
    </w:p>
    <w:p w14:paraId="0C0C064D" w14:textId="77777777" w:rsidR="004A0EF9" w:rsidRPr="00075263" w:rsidRDefault="004A0EF9" w:rsidP="004A0EF9">
      <w:r w:rsidRPr="00075263">
        <w:t xml:space="preserve">To address the barrier to </w:t>
      </w:r>
      <w:r>
        <w:t>home ownership</w:t>
      </w:r>
      <w:r w:rsidRPr="00075263">
        <w:t xml:space="preserve"> posed by the deposit hurdle, the Government has expanded support available under </w:t>
      </w:r>
      <w:r>
        <w:t>HGS</w:t>
      </w:r>
      <w:r w:rsidRPr="00075263">
        <w:t xml:space="preserve">. </w:t>
      </w:r>
      <w:r>
        <w:t>HGS</w:t>
      </w:r>
      <w:r w:rsidRPr="00075263">
        <w:t xml:space="preserve"> </w:t>
      </w:r>
      <w:r w:rsidRPr="00FE10E1">
        <w:t>provides up to 50,000 loan guarantees to eligible households to assist those buyers overcome the deposit</w:t>
      </w:r>
      <w:r w:rsidRPr="00075263">
        <w:t xml:space="preserve"> hurdle which, as noted above, constrains approximately 84 per cent of aspiring homebuyers.</w:t>
      </w:r>
    </w:p>
    <w:p w14:paraId="445A5D23" w14:textId="6D1DD308" w:rsidR="004A0EF9" w:rsidRPr="00075263" w:rsidRDefault="004A0EF9" w:rsidP="004A0EF9">
      <w:r w:rsidRPr="00075263">
        <w:t xml:space="preserve">As discussed in </w:t>
      </w:r>
      <w:r>
        <w:t>Section</w:t>
      </w:r>
      <w:r w:rsidRPr="00075263">
        <w:t xml:space="preserve"> 1, </w:t>
      </w:r>
      <w:r>
        <w:t>HGS</w:t>
      </w:r>
      <w:r w:rsidRPr="00075263">
        <w:t xml:space="preserve"> has provided significant support to Australians in overcoming the deposit hurdle and achieving </w:t>
      </w:r>
      <w:r>
        <w:t>home ownership</w:t>
      </w:r>
      <w:r w:rsidRPr="00075263">
        <w:t xml:space="preserve">. </w:t>
      </w:r>
      <w:r>
        <w:t>HGS</w:t>
      </w:r>
      <w:r w:rsidRPr="00075263">
        <w:t xml:space="preserve"> is targeted at home buyers on higher incomes th</w:t>
      </w:r>
      <w:r w:rsidR="002E1BAC">
        <w:t>a</w:t>
      </w:r>
      <w:r w:rsidRPr="00075263">
        <w:t>n Help t</w:t>
      </w:r>
      <w:r w:rsidRPr="00FE10E1">
        <w:t xml:space="preserve">o Buy with </w:t>
      </w:r>
      <w:r w:rsidR="00783B3A">
        <w:t xml:space="preserve">current </w:t>
      </w:r>
      <w:r w:rsidRPr="00FE10E1">
        <w:t>income caps of $125,000 for single and $200,000 for joint applicants. Modelling</w:t>
      </w:r>
      <w:r w:rsidRPr="00075263">
        <w:t xml:space="preserve"> conducted for AHURI suggests that around 16</w:t>
      </w:r>
      <w:r>
        <w:t> </w:t>
      </w:r>
      <w:r w:rsidRPr="00075263">
        <w:t>per</w:t>
      </w:r>
      <w:r>
        <w:t> </w:t>
      </w:r>
      <w:r w:rsidRPr="00075263">
        <w:t xml:space="preserve">cent of aspiring homeowners are eligible for </w:t>
      </w:r>
      <w:r>
        <w:t>HGS</w:t>
      </w:r>
      <w:r w:rsidRPr="00075263">
        <w:t xml:space="preserve"> and it would assist approximately 22 per cent of these by removing all relevant constrain</w:t>
      </w:r>
      <w:r>
        <w:t>t</w:t>
      </w:r>
      <w:r w:rsidRPr="00075263">
        <w:t xml:space="preserve">s and allowing them to achieve </w:t>
      </w:r>
      <w:r>
        <w:t>home ownership</w:t>
      </w:r>
      <w:r w:rsidRPr="00075263">
        <w:t>.</w:t>
      </w:r>
      <w:r w:rsidRPr="00075263">
        <w:rPr>
          <w:rStyle w:val="FootnoteReference"/>
        </w:rPr>
        <w:footnoteReference w:id="27"/>
      </w:r>
    </w:p>
    <w:p w14:paraId="0CA90A37" w14:textId="52319E29" w:rsidR="00DE4E17" w:rsidRPr="004A0EF9" w:rsidRDefault="004A0EF9" w:rsidP="00DE4E17">
      <w:pPr>
        <w:rPr>
          <w:szCs w:val="22"/>
        </w:rPr>
      </w:pPr>
      <w:r w:rsidRPr="00075263">
        <w:t xml:space="preserve">While </w:t>
      </w:r>
      <w:r>
        <w:t>HGS</w:t>
      </w:r>
      <w:r w:rsidRPr="00075263">
        <w:t xml:space="preserve"> assists home buyers on </w:t>
      </w:r>
      <w:r w:rsidRPr="00FE10E1">
        <w:t xml:space="preserve">moderate to higher incomes overcome the deposit hurdle – having successfully supported more than 200,000 Australian as of March 2025 – it does not address the serviceability hurdle. Mortgage guarantees </w:t>
      </w:r>
      <w:r w:rsidR="00242D9C">
        <w:t>generally</w:t>
      </w:r>
      <w:r w:rsidRPr="00FE10E1">
        <w:t xml:space="preserve"> support households that can afford the cost of servicing the debt required to purchase a home – applicants still need to have sufficient means to service a high loan-to-valuation ratio loan. For those on lower incomes, the barriers to home ownership are both on the deposit and serviceability side, making mortgage guarantees less useful for lower income households who do</w:t>
      </w:r>
      <w:r>
        <w:t xml:space="preserve"> </w:t>
      </w:r>
      <w:r w:rsidRPr="00FE10E1">
        <w:t>n</w:t>
      </w:r>
      <w:r>
        <w:t>o</w:t>
      </w:r>
      <w:r w:rsidRPr="00FE10E1">
        <w:t>t have the financial means to service a mortgage</w:t>
      </w:r>
      <w:r>
        <w:t>, particularly one at a high loan-to-valuation ratio</w:t>
      </w:r>
      <w:r w:rsidRPr="00FE10E1">
        <w:t>. As noted</w:t>
      </w:r>
      <w:r w:rsidRPr="00075263">
        <w:t xml:space="preserve"> above, the serviceability hurdle constrains 71 per cent of aspiring homebuyers.</w:t>
      </w:r>
      <w:r w:rsidRPr="00075263">
        <w:rPr>
          <w:rStyle w:val="FootnoteReference"/>
        </w:rPr>
        <w:footnoteReference w:id="28"/>
      </w:r>
    </w:p>
    <w:p w14:paraId="747D064D" w14:textId="08CBE8D7" w:rsidR="000253C8" w:rsidRPr="009B6059" w:rsidRDefault="007F22C9" w:rsidP="00236821">
      <w:pPr>
        <w:pStyle w:val="Heading2"/>
        <w:rPr>
          <w:color w:val="004261" w:themeColor="accent2"/>
        </w:rPr>
      </w:pPr>
      <w:r w:rsidRPr="009B6059">
        <w:rPr>
          <w:color w:val="004261" w:themeColor="accent2"/>
        </w:rPr>
        <w:lastRenderedPageBreak/>
        <w:t>2.</w:t>
      </w:r>
      <w:r w:rsidR="002007FB">
        <w:rPr>
          <w:color w:val="004261" w:themeColor="accent2"/>
        </w:rPr>
        <w:t>4</w:t>
      </w:r>
      <w:r w:rsidR="00DB64E1" w:rsidRPr="009B6059">
        <w:rPr>
          <w:color w:val="004261" w:themeColor="accent2"/>
        </w:rPr>
        <w:t xml:space="preserve"> </w:t>
      </w:r>
      <w:r w:rsidR="0027018C" w:rsidRPr="009B6059">
        <w:rPr>
          <w:color w:val="004261" w:themeColor="accent2"/>
        </w:rPr>
        <w:t xml:space="preserve">What </w:t>
      </w:r>
      <w:r w:rsidR="004905B8">
        <w:rPr>
          <w:color w:val="004261" w:themeColor="accent2"/>
        </w:rPr>
        <w:t>is</w:t>
      </w:r>
      <w:r w:rsidR="004905B8" w:rsidRPr="009B6059">
        <w:rPr>
          <w:color w:val="004261" w:themeColor="accent2"/>
        </w:rPr>
        <w:t xml:space="preserve"> </w:t>
      </w:r>
      <w:r w:rsidR="0027018C" w:rsidRPr="009B6059">
        <w:rPr>
          <w:color w:val="004261" w:themeColor="accent2"/>
        </w:rPr>
        <w:t>the objective and how will success be measured</w:t>
      </w:r>
    </w:p>
    <w:p w14:paraId="04265D87" w14:textId="4F264A81" w:rsidR="006D29D1" w:rsidRPr="006D29D1" w:rsidRDefault="004653D1" w:rsidP="00371977">
      <w:pPr>
        <w:sectPr w:rsidR="006D29D1" w:rsidRPr="006D29D1" w:rsidSect="00023A52">
          <w:pgSz w:w="11906" w:h="16838"/>
          <w:pgMar w:top="1701" w:right="1134" w:bottom="1843" w:left="1134" w:header="993" w:footer="709" w:gutter="0"/>
          <w:cols w:space="708"/>
          <w:titlePg/>
          <w:docGrid w:linePitch="360"/>
        </w:sectPr>
      </w:pPr>
      <w:r>
        <w:t>The primary policy objective</w:t>
      </w:r>
      <w:r w:rsidR="00E30AC8">
        <w:t xml:space="preserve"> that Government is seeking to address</w:t>
      </w:r>
      <w:r>
        <w:t xml:space="preserve"> is to provide targeted assistance t</w:t>
      </w:r>
      <w:r w:rsidR="00371977">
        <w:t>hat will allow</w:t>
      </w:r>
      <w:r>
        <w:t xml:space="preserve"> low- and middle- income Australian households to achieve home ownership</w:t>
      </w:r>
      <w:r w:rsidR="00964E01">
        <w:t xml:space="preserve"> in cases where this would not otherwise be possible.</w:t>
      </w:r>
    </w:p>
    <w:p w14:paraId="7496B3DE" w14:textId="4E3B324C" w:rsidR="0014151F" w:rsidRPr="009B6059" w:rsidRDefault="00236821" w:rsidP="00236821">
      <w:pPr>
        <w:pStyle w:val="Heading1"/>
        <w:rPr>
          <w:color w:val="004261" w:themeColor="accent2"/>
        </w:rPr>
      </w:pPr>
      <w:bookmarkStart w:id="5" w:name="_Toc200114836"/>
      <w:r w:rsidRPr="009B6059">
        <w:rPr>
          <w:color w:val="004261" w:themeColor="accent2"/>
        </w:rPr>
        <w:lastRenderedPageBreak/>
        <w:t xml:space="preserve">3. </w:t>
      </w:r>
      <w:r w:rsidR="007927B1" w:rsidRPr="009B6059">
        <w:rPr>
          <w:color w:val="004261" w:themeColor="accent2"/>
        </w:rPr>
        <w:t xml:space="preserve">Policy options: Status quo versus </w:t>
      </w:r>
      <w:r w:rsidR="00AE3467" w:rsidRPr="009B6059">
        <w:rPr>
          <w:color w:val="004261" w:themeColor="accent2"/>
        </w:rPr>
        <w:t>Help to Buy</w:t>
      </w:r>
      <w:bookmarkEnd w:id="5"/>
    </w:p>
    <w:p w14:paraId="7ADAC503" w14:textId="739FDECA" w:rsidR="00A20116" w:rsidRPr="00A20116" w:rsidRDefault="00A20116" w:rsidP="00A20116">
      <w:r w:rsidRPr="00280666">
        <w:t xml:space="preserve">Implementing the Help to Buy </w:t>
      </w:r>
      <w:r w:rsidR="00B438A2">
        <w:t>scheme</w:t>
      </w:r>
      <w:r w:rsidRPr="00280666">
        <w:t xml:space="preserve"> is a Government election commitment. As such, the two options considered are maintaining the status quo</w:t>
      </w:r>
      <w:r>
        <w:t xml:space="preserve"> (option 1) </w:t>
      </w:r>
      <w:r w:rsidRPr="00280666">
        <w:t xml:space="preserve">or implementing the Help to Buy </w:t>
      </w:r>
      <w:r w:rsidR="00B438A2">
        <w:t>scheme</w:t>
      </w:r>
      <w:r>
        <w:t xml:space="preserve"> (option 2).</w:t>
      </w:r>
    </w:p>
    <w:p w14:paraId="6CAC9C85" w14:textId="2400726C" w:rsidR="00AF01C2" w:rsidRPr="009B6059" w:rsidRDefault="00AF01C2" w:rsidP="00236821">
      <w:pPr>
        <w:pStyle w:val="Heading2"/>
        <w:rPr>
          <w:color w:val="004261" w:themeColor="accent2"/>
        </w:rPr>
      </w:pPr>
      <w:r w:rsidRPr="009B6059">
        <w:rPr>
          <w:color w:val="004261" w:themeColor="accent2"/>
        </w:rPr>
        <w:t xml:space="preserve">3.1 Status </w:t>
      </w:r>
      <w:r w:rsidR="00E66622">
        <w:rPr>
          <w:color w:val="004261" w:themeColor="accent2"/>
        </w:rPr>
        <w:t>q</w:t>
      </w:r>
      <w:r w:rsidRPr="009B6059">
        <w:rPr>
          <w:color w:val="004261" w:themeColor="accent2"/>
        </w:rPr>
        <w:t>uo</w:t>
      </w:r>
    </w:p>
    <w:p w14:paraId="35EFD089" w14:textId="579E8A00" w:rsidR="0060480C" w:rsidRPr="00C24271" w:rsidRDefault="0060480C" w:rsidP="0060480C">
      <w:r>
        <w:t xml:space="preserve">The status quo would be for the Government to not provide a shared equity </w:t>
      </w:r>
      <w:r w:rsidR="00B438A2">
        <w:t>scheme</w:t>
      </w:r>
      <w:r>
        <w:t xml:space="preserve"> to </w:t>
      </w:r>
      <w:r w:rsidRPr="00C24271">
        <w:t>support first homebuyers. The Government will continue to provide support to eligible homebuyers through the First Home Guarantee, Family Home Guarantee and the Regional First Home Buyer Guarantee.</w:t>
      </w:r>
    </w:p>
    <w:p w14:paraId="4C1FEAA4" w14:textId="2489D75B" w:rsidR="0060480C" w:rsidRPr="00C24271" w:rsidRDefault="0060480C" w:rsidP="0060480C">
      <w:r w:rsidRPr="00C24271">
        <w:t xml:space="preserve">These </w:t>
      </w:r>
      <w:r w:rsidR="00B438A2">
        <w:t>scheme</w:t>
      </w:r>
      <w:r w:rsidRPr="00C24271">
        <w:t>s will collectively provide up to 50,000 guarantees each year until 20 June 2029, and 35,000 thereafter, to eligible buyers to buy a home with a deposit as low as 5 per cent (or 2 per cent for the Family Home Guarantee) without needing to pay LMI.</w:t>
      </w:r>
    </w:p>
    <w:p w14:paraId="7F796B5E" w14:textId="3E1170E7" w:rsidR="0060480C" w:rsidRDefault="0060480C" w:rsidP="0060480C">
      <w:r w:rsidRPr="00C24271">
        <w:t xml:space="preserve">While these </w:t>
      </w:r>
      <w:r w:rsidR="00B438A2">
        <w:t>scheme</w:t>
      </w:r>
      <w:r w:rsidRPr="00C24271">
        <w:t>s assist homebuyers on moderate incomes (income caps of $125,000 for singles and $200,000 for joint applicants apply) to overcome the deposit hurdle, they do not address the serviceability hurdle. As noted above, this would leave a gap in support and constrain low- and middle-income Australians from achieving</w:t>
      </w:r>
      <w:r>
        <w:t xml:space="preserve"> home ownership.</w:t>
      </w:r>
    </w:p>
    <w:p w14:paraId="19E5AEAE" w14:textId="7980A8ED" w:rsidR="00FA4C0E" w:rsidRDefault="0060480C" w:rsidP="0060480C">
      <w:r>
        <w:t xml:space="preserve">As the </w:t>
      </w:r>
      <w:r w:rsidR="008D29C5">
        <w:t xml:space="preserve">Help to Buy </w:t>
      </w:r>
      <w:r w:rsidR="00B438A2">
        <w:t>scheme</w:t>
      </w:r>
      <w:r>
        <w:t xml:space="preserve"> provides direct assistance to 40,000 aspiring homebuyers, the Government not providing support through Help to Buy would result in </w:t>
      </w:r>
      <w:r w:rsidR="002F4587">
        <w:t xml:space="preserve">those </w:t>
      </w:r>
      <w:r>
        <w:t xml:space="preserve">40,000 Australians </w:t>
      </w:r>
      <w:r w:rsidR="002F4587">
        <w:t>being</w:t>
      </w:r>
      <w:r w:rsidR="00C4234B">
        <w:t xml:space="preserve"> less likely to achieve home ownership</w:t>
      </w:r>
      <w:r>
        <w:t>.</w:t>
      </w:r>
    </w:p>
    <w:p w14:paraId="7E37E7FE" w14:textId="3EEEE01B" w:rsidR="00AF01C2" w:rsidRPr="009B6059" w:rsidRDefault="00AF01C2" w:rsidP="00236821">
      <w:pPr>
        <w:pStyle w:val="Heading2"/>
        <w:rPr>
          <w:color w:val="004261" w:themeColor="accent2"/>
        </w:rPr>
      </w:pPr>
      <w:r w:rsidRPr="009B6059">
        <w:rPr>
          <w:color w:val="004261" w:themeColor="accent2"/>
        </w:rPr>
        <w:t xml:space="preserve">3.2 </w:t>
      </w:r>
      <w:r w:rsidR="00B05E5A" w:rsidRPr="009B6059">
        <w:rPr>
          <w:color w:val="004261" w:themeColor="accent2"/>
        </w:rPr>
        <w:t xml:space="preserve">Implementing the Help to Buy </w:t>
      </w:r>
      <w:r w:rsidR="00B438A2">
        <w:rPr>
          <w:color w:val="004261" w:themeColor="accent2"/>
        </w:rPr>
        <w:t>Scheme</w:t>
      </w:r>
    </w:p>
    <w:p w14:paraId="041DD9EA" w14:textId="26178922" w:rsidR="00F962D9" w:rsidRPr="0052710E" w:rsidRDefault="00F962D9" w:rsidP="00F962D9">
      <w:r w:rsidRPr="00280666">
        <w:t xml:space="preserve">The Help to Buy </w:t>
      </w:r>
      <w:r w:rsidR="00B438A2">
        <w:t>scheme</w:t>
      </w:r>
      <w:r w:rsidRPr="00280666">
        <w:t xml:space="preserve"> will address both the deposit and serviceability hurdles to </w:t>
      </w:r>
      <w:r>
        <w:t>home ownership</w:t>
      </w:r>
      <w:r w:rsidRPr="00280666">
        <w:t xml:space="preserve">. Under the proposed </w:t>
      </w:r>
      <w:r w:rsidR="00B438A2">
        <w:t>scheme</w:t>
      </w:r>
      <w:r w:rsidRPr="00CF055E">
        <w:t>, the Government would help to meet the upfront capital cost of purchasing a home, thus reducing the size of the mortgage required by an eligible home buyer.</w:t>
      </w:r>
    </w:p>
    <w:p w14:paraId="083D92AB" w14:textId="77777777" w:rsidR="00F962D9" w:rsidRDefault="00F962D9" w:rsidP="00F962D9">
      <w:r w:rsidRPr="00C24271">
        <w:t>Help to Buy has lower income caps ($100,000 for single applicants and $160,000 for joint applicants) than HGS. These lower caps are intended to target low- and middle-income earners who lack the borrowing power</w:t>
      </w:r>
      <w:r w:rsidRPr="0052710E">
        <w:t xml:space="preserve"> required to service a typical mortgage for a modest home</w:t>
      </w:r>
      <w:r>
        <w:t>.</w:t>
      </w:r>
    </w:p>
    <w:p w14:paraId="3D30677D" w14:textId="61B28CEF" w:rsidR="00F962D9" w:rsidRPr="00CF055E" w:rsidRDefault="00F962D9" w:rsidP="00F962D9">
      <w:r w:rsidRPr="00CF055E">
        <w:t>Help to Buy will be open to 10,000 Australian households each year (over four years). Eligible homebuyers will need a minimum deposit of 2 per cent, and the Government will provide an equity contribution of up 40 per cent of the purchase price of a new home and up to 30 per cent of the purchase price of an existing home.</w:t>
      </w:r>
    </w:p>
    <w:p w14:paraId="04FEF730" w14:textId="0E471638" w:rsidR="00F962D9" w:rsidRPr="000502A9" w:rsidRDefault="00F962D9" w:rsidP="00F962D9">
      <w:r w:rsidRPr="000502A9">
        <w:lastRenderedPageBreak/>
        <w:t xml:space="preserve">Price caps for eligible properties under Help to Buy has been set at the median </w:t>
      </w:r>
      <w:r w:rsidR="005C54F1">
        <w:t xml:space="preserve">of all </w:t>
      </w:r>
      <w:r w:rsidRPr="000502A9">
        <w:t>house price</w:t>
      </w:r>
      <w:r w:rsidR="005C54F1">
        <w:t>s</w:t>
      </w:r>
      <w:r w:rsidRPr="000502A9">
        <w:t xml:space="preserve"> in relevant areas, with the exception of the capital city</w:t>
      </w:r>
      <w:r w:rsidR="00D76A1C">
        <w:t xml:space="preserve"> and regional centre</w:t>
      </w:r>
      <w:r w:rsidRPr="000502A9">
        <w:t xml:space="preserve"> area of New South Wales, which has been set </w:t>
      </w:r>
      <w:r>
        <w:t>with reference to the</w:t>
      </w:r>
      <w:r w:rsidRPr="000502A9">
        <w:t xml:space="preserve"> purchasing capacity of two joint applicants under the </w:t>
      </w:r>
      <w:r w:rsidR="00B438A2">
        <w:t>scheme</w:t>
      </w:r>
      <w:r w:rsidRPr="000502A9">
        <w:t>.</w:t>
      </w:r>
      <w:r w:rsidR="00D616B4">
        <w:t xml:space="preserve"> </w:t>
      </w:r>
      <w:r w:rsidR="00631596">
        <w:t>Caps have been set with reference to m</w:t>
      </w:r>
      <w:r w:rsidR="005C54F1">
        <w:t xml:space="preserve">edian prices consistent with the Government’s policy direction to make the scheme available to low- and medium-income earners. </w:t>
      </w:r>
      <w:r w:rsidR="00631596">
        <w:t xml:space="preserve">Lower property caps may have the effect of excluding these participants from significant portions of the housing market, undermining the central purpose of the scheme. </w:t>
      </w:r>
      <w:r w:rsidR="00157E60">
        <w:t xml:space="preserve">It is intended that the price caps will continue to be </w:t>
      </w:r>
      <w:r w:rsidR="0047381B">
        <w:t xml:space="preserve">reviewed and </w:t>
      </w:r>
      <w:r w:rsidR="00157E60">
        <w:t>updated as appropriate, based on market conditions</w:t>
      </w:r>
      <w:r w:rsidR="00540F44">
        <w:t xml:space="preserve">. </w:t>
      </w:r>
      <w:r w:rsidRPr="000502A9">
        <w:t xml:space="preserve">Current price caps for the </w:t>
      </w:r>
      <w:r w:rsidR="00B438A2">
        <w:t>scheme</w:t>
      </w:r>
      <w:r w:rsidRPr="000502A9">
        <w:t xml:space="preserve"> are:</w:t>
      </w:r>
    </w:p>
    <w:tbl>
      <w:tblPr>
        <w:tblStyle w:val="TableGrid"/>
        <w:tblW w:w="6728" w:type="dxa"/>
        <w:jc w:val="center"/>
        <w:tblLook w:val="0480" w:firstRow="0" w:lastRow="0" w:firstColumn="1" w:lastColumn="0" w:noHBand="0" w:noVBand="1"/>
      </w:tblPr>
      <w:tblGrid>
        <w:gridCol w:w="5402"/>
        <w:gridCol w:w="1326"/>
      </w:tblGrid>
      <w:tr w:rsidR="00F962D9" w:rsidRPr="000502A9" w14:paraId="4D085451" w14:textId="77777777" w:rsidTr="00343494">
        <w:trPr>
          <w:trHeight w:val="717"/>
          <w:jc w:val="center"/>
        </w:trPr>
        <w:tc>
          <w:tcPr>
            <w:tcW w:w="0" w:type="auto"/>
            <w:shd w:val="clear" w:color="auto" w:fill="A6A6A6" w:themeFill="background1" w:themeFillShade="A6"/>
            <w:vAlign w:val="center"/>
          </w:tcPr>
          <w:p w14:paraId="445D9892" w14:textId="2815A614" w:rsidR="00F962D9" w:rsidRPr="002413E4" w:rsidRDefault="00F962D9" w:rsidP="002E54FD">
            <w:pPr>
              <w:pStyle w:val="CABNETParagraph"/>
              <w:jc w:val="center"/>
              <w:rPr>
                <w:rFonts w:asciiTheme="minorHAnsi" w:hAnsiTheme="minorHAnsi"/>
                <w:b/>
              </w:rPr>
            </w:pPr>
            <w:r w:rsidRPr="000502A9">
              <w:rPr>
                <w:rFonts w:asciiTheme="minorHAnsi" w:hAnsiTheme="minorHAnsi"/>
                <w:b/>
              </w:rPr>
              <w:t>Region</w:t>
            </w:r>
            <w:r w:rsidR="000F23C0">
              <w:rPr>
                <w:rStyle w:val="FootnoteReference"/>
                <w:rFonts w:asciiTheme="minorHAnsi" w:hAnsiTheme="minorHAnsi"/>
                <w:b/>
              </w:rPr>
              <w:footnoteReference w:id="29"/>
            </w:r>
          </w:p>
        </w:tc>
        <w:tc>
          <w:tcPr>
            <w:tcW w:w="0" w:type="auto"/>
            <w:vAlign w:val="center"/>
          </w:tcPr>
          <w:p w14:paraId="55B2F25A" w14:textId="77777777" w:rsidR="00F962D9" w:rsidRPr="002413E4" w:rsidRDefault="00F962D9" w:rsidP="002E54FD">
            <w:pPr>
              <w:pStyle w:val="TableTextCab"/>
              <w:jc w:val="center"/>
              <w:rPr>
                <w:rFonts w:asciiTheme="minorHAnsi" w:hAnsiTheme="minorHAnsi" w:cstheme="minorHAnsi"/>
                <w:b/>
                <w:sz w:val="22"/>
                <w:szCs w:val="22"/>
              </w:rPr>
            </w:pPr>
            <w:r w:rsidRPr="002413E4">
              <w:rPr>
                <w:rFonts w:asciiTheme="minorHAnsi" w:hAnsiTheme="minorHAnsi" w:cstheme="minorHAnsi"/>
                <w:b/>
                <w:sz w:val="22"/>
                <w:szCs w:val="22"/>
              </w:rPr>
              <w:t>Price cap</w:t>
            </w:r>
          </w:p>
        </w:tc>
      </w:tr>
      <w:tr w:rsidR="00F962D9" w:rsidRPr="000502A9" w14:paraId="4D5F3BCE" w14:textId="77777777" w:rsidTr="00343494">
        <w:trPr>
          <w:trHeight w:val="565"/>
          <w:jc w:val="center"/>
        </w:trPr>
        <w:tc>
          <w:tcPr>
            <w:tcW w:w="0" w:type="auto"/>
            <w:shd w:val="clear" w:color="auto" w:fill="A6A6A6" w:themeFill="background1" w:themeFillShade="A6"/>
            <w:hideMark/>
          </w:tcPr>
          <w:p w14:paraId="5397774C" w14:textId="77777777" w:rsidR="00F962D9" w:rsidRPr="002413E4" w:rsidRDefault="00F962D9" w:rsidP="002E54FD">
            <w:pPr>
              <w:pStyle w:val="CABNETParagraph"/>
              <w:rPr>
                <w:rFonts w:asciiTheme="minorHAnsi" w:hAnsiTheme="minorHAnsi"/>
                <w:b/>
              </w:rPr>
            </w:pPr>
            <w:r w:rsidRPr="000502A9">
              <w:rPr>
                <w:rFonts w:asciiTheme="minorHAnsi" w:hAnsiTheme="minorHAnsi"/>
                <w:b/>
              </w:rPr>
              <w:t>New South Wales – capital city and regional centre</w:t>
            </w:r>
          </w:p>
        </w:tc>
        <w:tc>
          <w:tcPr>
            <w:tcW w:w="0" w:type="auto"/>
            <w:hideMark/>
          </w:tcPr>
          <w:p w14:paraId="74C89093"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$1,300,000</w:t>
            </w:r>
          </w:p>
        </w:tc>
      </w:tr>
      <w:tr w:rsidR="00F962D9" w:rsidRPr="000502A9" w14:paraId="06A3CE68" w14:textId="77777777" w:rsidTr="00343494">
        <w:trPr>
          <w:trHeight w:val="550"/>
          <w:jc w:val="center"/>
        </w:trPr>
        <w:tc>
          <w:tcPr>
            <w:tcW w:w="0" w:type="auto"/>
            <w:shd w:val="clear" w:color="auto" w:fill="A6A6A6" w:themeFill="background1" w:themeFillShade="A6"/>
          </w:tcPr>
          <w:p w14:paraId="598636F6" w14:textId="77777777" w:rsidR="00F962D9" w:rsidRPr="002413E4" w:rsidRDefault="00F962D9" w:rsidP="002E54FD">
            <w:pPr>
              <w:pStyle w:val="CABNETParagraph"/>
              <w:rPr>
                <w:rFonts w:asciiTheme="minorHAnsi" w:hAnsiTheme="minorHAnsi"/>
                <w:b/>
              </w:rPr>
            </w:pPr>
            <w:r w:rsidRPr="000502A9">
              <w:rPr>
                <w:rFonts w:asciiTheme="minorHAnsi" w:hAnsiTheme="minorHAnsi"/>
                <w:b/>
              </w:rPr>
              <w:t>New South Wales – other</w:t>
            </w:r>
          </w:p>
        </w:tc>
        <w:tc>
          <w:tcPr>
            <w:tcW w:w="0" w:type="auto"/>
          </w:tcPr>
          <w:p w14:paraId="0CF74F24"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$800,000</w:t>
            </w:r>
          </w:p>
        </w:tc>
      </w:tr>
      <w:tr w:rsidR="00F962D9" w:rsidRPr="000502A9" w14:paraId="59C50D14" w14:textId="77777777" w:rsidTr="00343494">
        <w:trPr>
          <w:trHeight w:val="550"/>
          <w:jc w:val="center"/>
        </w:trPr>
        <w:tc>
          <w:tcPr>
            <w:tcW w:w="0" w:type="auto"/>
            <w:shd w:val="clear" w:color="auto" w:fill="A6A6A6" w:themeFill="background1" w:themeFillShade="A6"/>
          </w:tcPr>
          <w:p w14:paraId="55321358" w14:textId="77777777" w:rsidR="00F962D9" w:rsidRPr="002413E4" w:rsidRDefault="00F962D9" w:rsidP="002E54FD">
            <w:pPr>
              <w:pStyle w:val="CABNETParagraph"/>
              <w:rPr>
                <w:rFonts w:asciiTheme="minorHAnsi" w:hAnsiTheme="minorHAnsi"/>
                <w:b/>
              </w:rPr>
            </w:pPr>
            <w:r w:rsidRPr="000502A9">
              <w:rPr>
                <w:rFonts w:asciiTheme="minorHAnsi" w:hAnsiTheme="minorHAnsi"/>
                <w:b/>
              </w:rPr>
              <w:t>Victoria – capital city and regional centre</w:t>
            </w:r>
          </w:p>
        </w:tc>
        <w:tc>
          <w:tcPr>
            <w:tcW w:w="0" w:type="auto"/>
          </w:tcPr>
          <w:p w14:paraId="7D1CED35"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$950,000</w:t>
            </w:r>
          </w:p>
        </w:tc>
      </w:tr>
      <w:tr w:rsidR="00F962D9" w:rsidRPr="000502A9" w14:paraId="719CA2E9" w14:textId="77777777" w:rsidTr="00343494">
        <w:trPr>
          <w:trHeight w:val="550"/>
          <w:jc w:val="center"/>
        </w:trPr>
        <w:tc>
          <w:tcPr>
            <w:tcW w:w="0" w:type="auto"/>
            <w:shd w:val="clear" w:color="auto" w:fill="A6A6A6" w:themeFill="background1" w:themeFillShade="A6"/>
            <w:vAlign w:val="center"/>
          </w:tcPr>
          <w:p w14:paraId="779397CC" w14:textId="77777777" w:rsidR="00F962D9" w:rsidRPr="002413E4" w:rsidRDefault="00F962D9" w:rsidP="002E54FD">
            <w:pPr>
              <w:pStyle w:val="CABNETParagraph"/>
              <w:rPr>
                <w:rFonts w:asciiTheme="minorHAnsi" w:hAnsiTheme="minorHAnsi"/>
                <w:b/>
              </w:rPr>
            </w:pPr>
            <w:r w:rsidRPr="000502A9">
              <w:rPr>
                <w:rFonts w:asciiTheme="minorHAnsi" w:hAnsiTheme="minorHAnsi"/>
                <w:b/>
              </w:rPr>
              <w:t>Victoria – other</w:t>
            </w:r>
          </w:p>
        </w:tc>
        <w:tc>
          <w:tcPr>
            <w:tcW w:w="0" w:type="auto"/>
          </w:tcPr>
          <w:p w14:paraId="74335DA6"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$650,000</w:t>
            </w:r>
          </w:p>
        </w:tc>
      </w:tr>
      <w:tr w:rsidR="00F962D9" w:rsidRPr="000502A9" w14:paraId="0CDDD30F" w14:textId="77777777" w:rsidTr="00343494">
        <w:trPr>
          <w:trHeight w:val="550"/>
          <w:jc w:val="center"/>
        </w:trPr>
        <w:tc>
          <w:tcPr>
            <w:tcW w:w="0" w:type="auto"/>
            <w:shd w:val="clear" w:color="auto" w:fill="A6A6A6" w:themeFill="background1" w:themeFillShade="A6"/>
            <w:vAlign w:val="center"/>
          </w:tcPr>
          <w:p w14:paraId="2122BD5B" w14:textId="77777777" w:rsidR="00F962D9" w:rsidRPr="002413E4" w:rsidRDefault="00F962D9" w:rsidP="002E54FD">
            <w:pPr>
              <w:pStyle w:val="CABNETParagraph"/>
              <w:rPr>
                <w:rFonts w:asciiTheme="minorHAnsi" w:hAnsiTheme="minorHAnsi"/>
                <w:b/>
              </w:rPr>
            </w:pPr>
            <w:r w:rsidRPr="000502A9">
              <w:rPr>
                <w:rFonts w:asciiTheme="minorHAnsi" w:hAnsiTheme="minorHAnsi"/>
                <w:b/>
              </w:rPr>
              <w:t>Queensland – capital city and regional centre</w:t>
            </w:r>
          </w:p>
        </w:tc>
        <w:tc>
          <w:tcPr>
            <w:tcW w:w="0" w:type="auto"/>
          </w:tcPr>
          <w:p w14:paraId="4CC71783"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$1,000,000</w:t>
            </w:r>
          </w:p>
        </w:tc>
      </w:tr>
      <w:tr w:rsidR="00F962D9" w:rsidRPr="000502A9" w14:paraId="364842A0" w14:textId="77777777" w:rsidTr="00343494">
        <w:trPr>
          <w:trHeight w:val="550"/>
          <w:jc w:val="center"/>
        </w:trPr>
        <w:tc>
          <w:tcPr>
            <w:tcW w:w="0" w:type="auto"/>
            <w:shd w:val="clear" w:color="auto" w:fill="A6A6A6" w:themeFill="background1" w:themeFillShade="A6"/>
            <w:vAlign w:val="center"/>
          </w:tcPr>
          <w:p w14:paraId="34F6B174" w14:textId="77777777" w:rsidR="00F962D9" w:rsidRPr="002413E4" w:rsidRDefault="00F962D9" w:rsidP="002E54FD">
            <w:pPr>
              <w:pStyle w:val="CABNETParagraph"/>
              <w:rPr>
                <w:rFonts w:asciiTheme="minorHAnsi" w:hAnsiTheme="minorHAnsi"/>
                <w:b/>
              </w:rPr>
            </w:pPr>
            <w:r w:rsidRPr="000502A9">
              <w:rPr>
                <w:rFonts w:asciiTheme="minorHAnsi" w:hAnsiTheme="minorHAnsi"/>
                <w:b/>
              </w:rPr>
              <w:t>Queensland – other</w:t>
            </w:r>
          </w:p>
        </w:tc>
        <w:tc>
          <w:tcPr>
            <w:tcW w:w="0" w:type="auto"/>
          </w:tcPr>
          <w:p w14:paraId="77028228"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$700,000</w:t>
            </w:r>
          </w:p>
        </w:tc>
      </w:tr>
      <w:tr w:rsidR="00F962D9" w:rsidRPr="000502A9" w14:paraId="067CFBEF" w14:textId="77777777" w:rsidTr="00343494">
        <w:trPr>
          <w:trHeight w:val="565"/>
          <w:jc w:val="center"/>
        </w:trPr>
        <w:tc>
          <w:tcPr>
            <w:tcW w:w="0" w:type="auto"/>
            <w:shd w:val="clear" w:color="auto" w:fill="A6A6A6" w:themeFill="background1" w:themeFillShade="A6"/>
            <w:vAlign w:val="center"/>
          </w:tcPr>
          <w:p w14:paraId="0D30C4FA" w14:textId="77777777" w:rsidR="00F962D9" w:rsidRPr="002413E4" w:rsidRDefault="00F962D9" w:rsidP="002E54FD">
            <w:pPr>
              <w:pStyle w:val="CABNETParagraph"/>
              <w:rPr>
                <w:rFonts w:asciiTheme="minorHAnsi" w:hAnsiTheme="minorHAnsi"/>
                <w:b/>
              </w:rPr>
            </w:pPr>
            <w:r w:rsidRPr="000502A9">
              <w:rPr>
                <w:rFonts w:asciiTheme="minorHAnsi" w:hAnsiTheme="minorHAnsi"/>
                <w:b/>
              </w:rPr>
              <w:t>Western Australia – capital city</w:t>
            </w:r>
          </w:p>
        </w:tc>
        <w:tc>
          <w:tcPr>
            <w:tcW w:w="0" w:type="auto"/>
          </w:tcPr>
          <w:p w14:paraId="23015DEC"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$850,000</w:t>
            </w:r>
          </w:p>
        </w:tc>
      </w:tr>
      <w:tr w:rsidR="00F962D9" w:rsidRPr="000502A9" w14:paraId="2FBEA9E7" w14:textId="77777777" w:rsidTr="00343494">
        <w:trPr>
          <w:trHeight w:val="550"/>
          <w:jc w:val="center"/>
        </w:trPr>
        <w:tc>
          <w:tcPr>
            <w:tcW w:w="0" w:type="auto"/>
            <w:shd w:val="clear" w:color="auto" w:fill="A6A6A6" w:themeFill="background1" w:themeFillShade="A6"/>
            <w:vAlign w:val="center"/>
          </w:tcPr>
          <w:p w14:paraId="03D9A119" w14:textId="77777777" w:rsidR="00F962D9" w:rsidRPr="002413E4" w:rsidRDefault="00F962D9" w:rsidP="002E54FD">
            <w:pPr>
              <w:pStyle w:val="CABNETParagraph"/>
              <w:rPr>
                <w:rFonts w:asciiTheme="minorHAnsi" w:hAnsiTheme="minorHAnsi"/>
                <w:b/>
              </w:rPr>
            </w:pPr>
            <w:r w:rsidRPr="000502A9">
              <w:rPr>
                <w:rFonts w:asciiTheme="minorHAnsi" w:hAnsiTheme="minorHAnsi"/>
                <w:b/>
              </w:rPr>
              <w:t>Western Australia – other</w:t>
            </w:r>
          </w:p>
        </w:tc>
        <w:tc>
          <w:tcPr>
            <w:tcW w:w="0" w:type="auto"/>
          </w:tcPr>
          <w:p w14:paraId="4F05E212"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$600,000</w:t>
            </w:r>
          </w:p>
        </w:tc>
      </w:tr>
      <w:tr w:rsidR="00F962D9" w:rsidRPr="000502A9" w14:paraId="7FD7FD05" w14:textId="77777777" w:rsidTr="00343494">
        <w:trPr>
          <w:trHeight w:val="550"/>
          <w:jc w:val="center"/>
        </w:trPr>
        <w:tc>
          <w:tcPr>
            <w:tcW w:w="0" w:type="auto"/>
            <w:shd w:val="clear" w:color="auto" w:fill="A6A6A6" w:themeFill="background1" w:themeFillShade="A6"/>
            <w:vAlign w:val="center"/>
          </w:tcPr>
          <w:p w14:paraId="4088C2D5" w14:textId="77777777" w:rsidR="00F962D9" w:rsidRPr="002413E4" w:rsidRDefault="00F962D9" w:rsidP="002E54FD">
            <w:pPr>
              <w:pStyle w:val="CABNETParagraph"/>
              <w:rPr>
                <w:rFonts w:asciiTheme="minorHAnsi" w:hAnsiTheme="minorHAnsi"/>
                <w:b/>
              </w:rPr>
            </w:pPr>
            <w:r w:rsidRPr="000502A9">
              <w:rPr>
                <w:rFonts w:asciiTheme="minorHAnsi" w:hAnsiTheme="minorHAnsi"/>
                <w:b/>
              </w:rPr>
              <w:t>South Australia – capital city</w:t>
            </w:r>
          </w:p>
        </w:tc>
        <w:tc>
          <w:tcPr>
            <w:tcW w:w="0" w:type="auto"/>
          </w:tcPr>
          <w:p w14:paraId="59A73CE5"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$900,000</w:t>
            </w:r>
          </w:p>
        </w:tc>
      </w:tr>
      <w:tr w:rsidR="00F962D9" w:rsidRPr="000502A9" w14:paraId="11DA1EB9" w14:textId="77777777" w:rsidTr="00343494">
        <w:trPr>
          <w:trHeight w:val="550"/>
          <w:jc w:val="center"/>
        </w:trPr>
        <w:tc>
          <w:tcPr>
            <w:tcW w:w="0" w:type="auto"/>
            <w:shd w:val="clear" w:color="auto" w:fill="A6A6A6" w:themeFill="background1" w:themeFillShade="A6"/>
            <w:vAlign w:val="center"/>
          </w:tcPr>
          <w:p w14:paraId="1C12B53C" w14:textId="77777777" w:rsidR="00F962D9" w:rsidRPr="002413E4" w:rsidRDefault="00F962D9" w:rsidP="002E54FD">
            <w:pPr>
              <w:pStyle w:val="CABNETParagraph"/>
              <w:rPr>
                <w:rFonts w:asciiTheme="minorHAnsi" w:hAnsiTheme="minorHAnsi"/>
                <w:b/>
              </w:rPr>
            </w:pPr>
            <w:r w:rsidRPr="000502A9">
              <w:rPr>
                <w:rFonts w:asciiTheme="minorHAnsi" w:hAnsiTheme="minorHAnsi"/>
                <w:b/>
              </w:rPr>
              <w:t>South Australia – other</w:t>
            </w:r>
          </w:p>
        </w:tc>
        <w:tc>
          <w:tcPr>
            <w:tcW w:w="0" w:type="auto"/>
          </w:tcPr>
          <w:p w14:paraId="14BF8190"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$500,000</w:t>
            </w:r>
          </w:p>
        </w:tc>
      </w:tr>
      <w:tr w:rsidR="00F962D9" w:rsidRPr="000502A9" w14:paraId="5B86631F" w14:textId="77777777" w:rsidTr="00343494">
        <w:trPr>
          <w:trHeight w:val="550"/>
          <w:jc w:val="center"/>
        </w:trPr>
        <w:tc>
          <w:tcPr>
            <w:tcW w:w="0" w:type="auto"/>
            <w:shd w:val="clear" w:color="auto" w:fill="A6A6A6" w:themeFill="background1" w:themeFillShade="A6"/>
            <w:vAlign w:val="center"/>
          </w:tcPr>
          <w:p w14:paraId="77D95587" w14:textId="77777777" w:rsidR="00F962D9" w:rsidRPr="002413E4" w:rsidRDefault="00F962D9" w:rsidP="002E54FD">
            <w:pPr>
              <w:pStyle w:val="CABNETParagraph"/>
              <w:rPr>
                <w:rFonts w:asciiTheme="minorHAnsi" w:hAnsiTheme="minorHAnsi"/>
                <w:b/>
              </w:rPr>
            </w:pPr>
            <w:r w:rsidRPr="000502A9">
              <w:rPr>
                <w:rFonts w:asciiTheme="minorHAnsi" w:hAnsiTheme="minorHAnsi"/>
                <w:b/>
              </w:rPr>
              <w:t>Tasmania – capital city</w:t>
            </w:r>
          </w:p>
        </w:tc>
        <w:tc>
          <w:tcPr>
            <w:tcW w:w="0" w:type="auto"/>
          </w:tcPr>
          <w:p w14:paraId="67B31054"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$700,000</w:t>
            </w:r>
          </w:p>
        </w:tc>
      </w:tr>
      <w:tr w:rsidR="00F962D9" w:rsidRPr="000502A9" w14:paraId="4B65F376" w14:textId="77777777" w:rsidTr="00343494">
        <w:trPr>
          <w:trHeight w:val="550"/>
          <w:jc w:val="center"/>
        </w:trPr>
        <w:tc>
          <w:tcPr>
            <w:tcW w:w="0" w:type="auto"/>
            <w:shd w:val="clear" w:color="auto" w:fill="A6A6A6" w:themeFill="background1" w:themeFillShade="A6"/>
            <w:vAlign w:val="center"/>
          </w:tcPr>
          <w:p w14:paraId="4D9578B9" w14:textId="77777777" w:rsidR="00F962D9" w:rsidRPr="002413E4" w:rsidRDefault="00F962D9" w:rsidP="002E54FD">
            <w:pPr>
              <w:pStyle w:val="CABNETParagraph"/>
              <w:rPr>
                <w:rFonts w:asciiTheme="minorHAnsi" w:hAnsiTheme="minorHAnsi"/>
                <w:b/>
              </w:rPr>
            </w:pPr>
            <w:r w:rsidRPr="000502A9">
              <w:rPr>
                <w:rFonts w:asciiTheme="minorHAnsi" w:hAnsiTheme="minorHAnsi"/>
                <w:b/>
              </w:rPr>
              <w:t>Tasmania – other</w:t>
            </w:r>
          </w:p>
        </w:tc>
        <w:tc>
          <w:tcPr>
            <w:tcW w:w="0" w:type="auto"/>
          </w:tcPr>
          <w:p w14:paraId="7A453096"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$550,000</w:t>
            </w:r>
          </w:p>
        </w:tc>
      </w:tr>
      <w:tr w:rsidR="00F962D9" w:rsidRPr="000502A9" w14:paraId="391C88CD" w14:textId="77777777" w:rsidTr="00343494">
        <w:trPr>
          <w:trHeight w:val="565"/>
          <w:jc w:val="center"/>
        </w:trPr>
        <w:tc>
          <w:tcPr>
            <w:tcW w:w="0" w:type="auto"/>
            <w:shd w:val="clear" w:color="auto" w:fill="A6A6A6" w:themeFill="background1" w:themeFillShade="A6"/>
            <w:vAlign w:val="center"/>
          </w:tcPr>
          <w:p w14:paraId="2139D135" w14:textId="77777777" w:rsidR="00F962D9" w:rsidRPr="002413E4" w:rsidRDefault="00F962D9" w:rsidP="002E54FD">
            <w:pPr>
              <w:pStyle w:val="CABNETParagraph"/>
              <w:rPr>
                <w:rFonts w:asciiTheme="minorHAnsi" w:hAnsiTheme="minorHAnsi"/>
                <w:b/>
              </w:rPr>
            </w:pPr>
            <w:r w:rsidRPr="000502A9">
              <w:rPr>
                <w:rFonts w:asciiTheme="minorHAnsi" w:hAnsiTheme="minorHAnsi"/>
                <w:b/>
              </w:rPr>
              <w:t>Australian Capital Territory</w:t>
            </w:r>
          </w:p>
        </w:tc>
        <w:tc>
          <w:tcPr>
            <w:tcW w:w="0" w:type="auto"/>
          </w:tcPr>
          <w:p w14:paraId="421BA1D7"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$1,000,000</w:t>
            </w:r>
          </w:p>
        </w:tc>
      </w:tr>
      <w:tr w:rsidR="00F962D9" w:rsidRPr="000502A9" w14:paraId="5E6D65B3" w14:textId="77777777" w:rsidTr="00343494">
        <w:trPr>
          <w:trHeight w:val="550"/>
          <w:jc w:val="center"/>
        </w:trPr>
        <w:tc>
          <w:tcPr>
            <w:tcW w:w="0" w:type="auto"/>
            <w:shd w:val="clear" w:color="auto" w:fill="A6A6A6" w:themeFill="background1" w:themeFillShade="A6"/>
            <w:vAlign w:val="center"/>
          </w:tcPr>
          <w:p w14:paraId="16B8F632" w14:textId="77777777" w:rsidR="00F962D9" w:rsidRPr="002413E4" w:rsidRDefault="00F962D9" w:rsidP="002E54FD">
            <w:pPr>
              <w:pStyle w:val="CABNETParagraph"/>
              <w:rPr>
                <w:rFonts w:asciiTheme="minorHAnsi" w:hAnsiTheme="minorHAnsi"/>
                <w:b/>
              </w:rPr>
            </w:pPr>
            <w:r w:rsidRPr="000502A9">
              <w:rPr>
                <w:rFonts w:asciiTheme="minorHAnsi" w:hAnsiTheme="minorHAnsi"/>
                <w:b/>
              </w:rPr>
              <w:t>Northern Territory</w:t>
            </w:r>
          </w:p>
        </w:tc>
        <w:tc>
          <w:tcPr>
            <w:tcW w:w="0" w:type="auto"/>
          </w:tcPr>
          <w:p w14:paraId="50C987D9"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$600,000</w:t>
            </w:r>
          </w:p>
        </w:tc>
      </w:tr>
      <w:tr w:rsidR="00F962D9" w:rsidRPr="000502A9" w14:paraId="22D61137" w14:textId="77777777" w:rsidTr="00343494">
        <w:trPr>
          <w:trHeight w:val="550"/>
          <w:jc w:val="center"/>
        </w:trPr>
        <w:tc>
          <w:tcPr>
            <w:tcW w:w="0" w:type="auto"/>
            <w:shd w:val="clear" w:color="auto" w:fill="A6A6A6" w:themeFill="background1" w:themeFillShade="A6"/>
            <w:vAlign w:val="center"/>
          </w:tcPr>
          <w:p w14:paraId="25E36403" w14:textId="77777777" w:rsidR="00F962D9" w:rsidRPr="002413E4" w:rsidRDefault="00F962D9" w:rsidP="002E54FD">
            <w:pPr>
              <w:pStyle w:val="CABNETParagraph"/>
              <w:rPr>
                <w:rFonts w:asciiTheme="minorHAnsi" w:hAnsiTheme="minorHAnsi"/>
                <w:b/>
              </w:rPr>
            </w:pPr>
            <w:r w:rsidRPr="000502A9">
              <w:rPr>
                <w:rFonts w:asciiTheme="minorHAnsi" w:hAnsiTheme="minorHAnsi"/>
                <w:b/>
              </w:rPr>
              <w:t>Jervis Bay Territory and Norfolk Island</w:t>
            </w:r>
          </w:p>
        </w:tc>
        <w:tc>
          <w:tcPr>
            <w:tcW w:w="0" w:type="auto"/>
          </w:tcPr>
          <w:p w14:paraId="1F8094B8" w14:textId="77777777" w:rsidR="00F962D9" w:rsidRPr="002413E4"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$550,000</w:t>
            </w:r>
          </w:p>
        </w:tc>
      </w:tr>
      <w:tr w:rsidR="00F962D9" w14:paraId="456E51DB" w14:textId="77777777" w:rsidTr="00343494">
        <w:trPr>
          <w:trHeight w:val="550"/>
          <w:jc w:val="center"/>
        </w:trPr>
        <w:tc>
          <w:tcPr>
            <w:tcW w:w="0" w:type="auto"/>
            <w:shd w:val="clear" w:color="auto" w:fill="A6A6A6" w:themeFill="background1" w:themeFillShade="A6"/>
            <w:vAlign w:val="center"/>
          </w:tcPr>
          <w:p w14:paraId="095F3191" w14:textId="77777777" w:rsidR="00F962D9" w:rsidRPr="002413E4" w:rsidRDefault="00F962D9" w:rsidP="002E54FD">
            <w:pPr>
              <w:pStyle w:val="CABNETParagraph"/>
              <w:rPr>
                <w:rFonts w:asciiTheme="minorHAnsi" w:hAnsiTheme="minorHAnsi"/>
                <w:b/>
              </w:rPr>
            </w:pPr>
            <w:r w:rsidRPr="000502A9">
              <w:rPr>
                <w:rFonts w:asciiTheme="minorHAnsi" w:hAnsiTheme="minorHAnsi"/>
                <w:b/>
              </w:rPr>
              <w:lastRenderedPageBreak/>
              <w:t>Christmas Island and Cocos (Keeling) Islands</w:t>
            </w:r>
          </w:p>
        </w:tc>
        <w:tc>
          <w:tcPr>
            <w:tcW w:w="0" w:type="auto"/>
          </w:tcPr>
          <w:p w14:paraId="23FD3F33" w14:textId="77777777" w:rsidR="00F962D9" w:rsidRPr="000502A9" w:rsidRDefault="00F962D9" w:rsidP="002E54FD">
            <w:pPr>
              <w:pStyle w:val="TableTextCab"/>
              <w:jc w:val="center"/>
              <w:rPr>
                <w:rFonts w:asciiTheme="minorHAnsi" w:hAnsiTheme="minorHAnsi" w:cstheme="minorHAnsi"/>
                <w:b/>
                <w:sz w:val="22"/>
                <w:szCs w:val="22"/>
              </w:rPr>
            </w:pPr>
            <w:r w:rsidRPr="000502A9">
              <w:rPr>
                <w:rFonts w:asciiTheme="minorHAnsi" w:hAnsiTheme="minorHAnsi" w:cstheme="minorHAnsi"/>
                <w:color w:val="000000"/>
                <w:sz w:val="22"/>
                <w:szCs w:val="22"/>
              </w:rPr>
              <w:t>$400,000</w:t>
            </w:r>
          </w:p>
        </w:tc>
      </w:tr>
    </w:tbl>
    <w:p w14:paraId="34471F97" w14:textId="77777777" w:rsidR="00F962D9" w:rsidRDefault="00F962D9" w:rsidP="00F962D9"/>
    <w:p w14:paraId="75BE78C7" w14:textId="77777777" w:rsidR="000B0460" w:rsidRDefault="000B0460" w:rsidP="00F962D9"/>
    <w:p w14:paraId="0ABA3E04" w14:textId="77777777" w:rsidR="000B0460" w:rsidRDefault="000B0460" w:rsidP="00F962D9"/>
    <w:p w14:paraId="01393158" w14:textId="604BFE07" w:rsidR="00930C37" w:rsidRPr="0036688E" w:rsidRDefault="00930C37" w:rsidP="00930C37">
      <w:pPr>
        <w:rPr>
          <w:b/>
          <w:bCs/>
          <w:color w:val="004261" w:themeColor="accent2"/>
        </w:rPr>
      </w:pPr>
      <w:r>
        <w:rPr>
          <w:b/>
          <w:bCs/>
          <w:color w:val="004261" w:themeColor="accent2"/>
          <w:szCs w:val="22"/>
        </w:rPr>
        <w:t xml:space="preserve">Interaction with </w:t>
      </w:r>
      <w:r w:rsidR="00455B5D">
        <w:rPr>
          <w:b/>
          <w:bCs/>
          <w:color w:val="004261" w:themeColor="accent2"/>
          <w:szCs w:val="22"/>
        </w:rPr>
        <w:t>participants</w:t>
      </w:r>
    </w:p>
    <w:p w14:paraId="34DDC524" w14:textId="6DFE4C70" w:rsidR="00930C37" w:rsidRDefault="00930C37" w:rsidP="00930C37">
      <w:r w:rsidRPr="007E5407">
        <w:t>While</w:t>
      </w:r>
      <w:r w:rsidR="00FE5A7A">
        <w:t xml:space="preserve"> the precise </w:t>
      </w:r>
      <w:r w:rsidR="00EA10F4">
        <w:t xml:space="preserve">nature of the </w:t>
      </w:r>
      <w:r w:rsidR="00CD67F8">
        <w:t xml:space="preserve">roles and responsibilities of </w:t>
      </w:r>
      <w:r w:rsidR="00EA10F4">
        <w:t xml:space="preserve">Housing Australia, lenders and participants will be </w:t>
      </w:r>
      <w:r w:rsidR="00513C25">
        <w:t xml:space="preserve">finalised </w:t>
      </w:r>
      <w:r w:rsidR="007E0885">
        <w:t>d</w:t>
      </w:r>
      <w:r w:rsidR="00A74AD1">
        <w:t>uring implementation</w:t>
      </w:r>
      <w:r w:rsidR="002E11C7">
        <w:t xml:space="preserve">, the Program Directions </w:t>
      </w:r>
      <w:r w:rsidR="00CD67F8">
        <w:t>provide</w:t>
      </w:r>
      <w:r w:rsidR="00C05D25">
        <w:t xml:space="preserve"> detail on how these interactions will be managed.</w:t>
      </w:r>
    </w:p>
    <w:p w14:paraId="55B76D7A" w14:textId="16076472" w:rsidR="00C05D25" w:rsidRDefault="009B2377" w:rsidP="00930C37">
      <w:pPr>
        <w:rPr>
          <w:i/>
          <w:iCs/>
          <w:szCs w:val="22"/>
        </w:rPr>
      </w:pPr>
      <w:r w:rsidRPr="00421B2A">
        <w:rPr>
          <w:i/>
          <w:iCs/>
          <w:szCs w:val="22"/>
        </w:rPr>
        <w:t xml:space="preserve">Income </w:t>
      </w:r>
      <w:r w:rsidR="00535FAB">
        <w:rPr>
          <w:i/>
          <w:iCs/>
          <w:szCs w:val="22"/>
        </w:rPr>
        <w:t>c</w:t>
      </w:r>
      <w:r w:rsidRPr="00421B2A">
        <w:rPr>
          <w:i/>
          <w:iCs/>
          <w:szCs w:val="22"/>
        </w:rPr>
        <w:t>aps</w:t>
      </w:r>
      <w:r w:rsidR="00D33A32">
        <w:rPr>
          <w:i/>
          <w:iCs/>
          <w:szCs w:val="22"/>
        </w:rPr>
        <w:t xml:space="preserve">, </w:t>
      </w:r>
      <w:r w:rsidR="00D60A23">
        <w:rPr>
          <w:i/>
          <w:iCs/>
          <w:szCs w:val="22"/>
        </w:rPr>
        <w:t>r</w:t>
      </w:r>
      <w:r>
        <w:rPr>
          <w:i/>
          <w:iCs/>
          <w:szCs w:val="22"/>
        </w:rPr>
        <w:t>efinancing</w:t>
      </w:r>
      <w:r w:rsidR="00D33A32">
        <w:rPr>
          <w:i/>
          <w:iCs/>
          <w:szCs w:val="22"/>
        </w:rPr>
        <w:t xml:space="preserve"> and exit from the </w:t>
      </w:r>
      <w:r w:rsidR="00B438A2">
        <w:rPr>
          <w:i/>
          <w:iCs/>
          <w:szCs w:val="22"/>
        </w:rPr>
        <w:t>scheme</w:t>
      </w:r>
    </w:p>
    <w:p w14:paraId="0D87BDF0" w14:textId="415D115C" w:rsidR="009B2377" w:rsidRPr="00C0176A" w:rsidRDefault="00227506" w:rsidP="00930C37">
      <w:pPr>
        <w:rPr>
          <w:szCs w:val="22"/>
        </w:rPr>
      </w:pPr>
      <w:r>
        <w:rPr>
          <w:szCs w:val="22"/>
        </w:rPr>
        <w:t xml:space="preserve">Under the Program Directions, </w:t>
      </w:r>
      <w:r w:rsidR="0074183E">
        <w:rPr>
          <w:szCs w:val="22"/>
        </w:rPr>
        <w:t>w</w:t>
      </w:r>
      <w:r w:rsidR="0074183E" w:rsidRPr="0074183E">
        <w:rPr>
          <w:szCs w:val="22"/>
        </w:rPr>
        <w:t xml:space="preserve">hen participants </w:t>
      </w:r>
      <w:r w:rsidR="002E0C03" w:rsidRPr="00C0176A">
        <w:rPr>
          <w:szCs w:val="22"/>
        </w:rPr>
        <w:t>exceed</w:t>
      </w:r>
      <w:r w:rsidR="0074183E" w:rsidRPr="00C0176A">
        <w:rPr>
          <w:szCs w:val="22"/>
        </w:rPr>
        <w:t xml:space="preserve"> the income caps, they will be expected to work with their bank to determine how much</w:t>
      </w:r>
      <w:r w:rsidR="00CA183E" w:rsidRPr="00C0176A">
        <w:rPr>
          <w:szCs w:val="22"/>
        </w:rPr>
        <w:t>, if any,</w:t>
      </w:r>
      <w:r w:rsidR="0074183E" w:rsidRPr="00C0176A">
        <w:rPr>
          <w:szCs w:val="22"/>
        </w:rPr>
        <w:t xml:space="preserve"> of the Commonwealth’s share they can repay. The Commonwealth will empower Housing Australia to consider whether the participant </w:t>
      </w:r>
      <w:r w:rsidR="00433797" w:rsidRPr="00C0176A">
        <w:rPr>
          <w:szCs w:val="22"/>
        </w:rPr>
        <w:t>should be required to repay</w:t>
      </w:r>
      <w:r w:rsidR="0074183E" w:rsidRPr="00C0176A">
        <w:rPr>
          <w:szCs w:val="22"/>
        </w:rPr>
        <w:t xml:space="preserve"> all or part of the Commonwealth contribution based on</w:t>
      </w:r>
      <w:r w:rsidR="00124725" w:rsidRPr="00C0176A">
        <w:rPr>
          <w:szCs w:val="22"/>
        </w:rPr>
        <w:t>:</w:t>
      </w:r>
      <w:r w:rsidR="0074183E" w:rsidRPr="00C0176A">
        <w:rPr>
          <w:szCs w:val="22"/>
        </w:rPr>
        <w:t xml:space="preserve"> their financial capacity at that time</w:t>
      </w:r>
      <w:r w:rsidR="00E93124" w:rsidRPr="00C0176A">
        <w:rPr>
          <w:szCs w:val="22"/>
        </w:rPr>
        <w:t>, as assessed by a lender,</w:t>
      </w:r>
      <w:r w:rsidR="0074183E" w:rsidRPr="00C0176A">
        <w:rPr>
          <w:szCs w:val="22"/>
        </w:rPr>
        <w:t xml:space="preserve"> and</w:t>
      </w:r>
      <w:r w:rsidR="00124725" w:rsidRPr="00C0176A">
        <w:rPr>
          <w:szCs w:val="22"/>
        </w:rPr>
        <w:t>;</w:t>
      </w:r>
      <w:r w:rsidR="0074183E" w:rsidRPr="00C0176A">
        <w:rPr>
          <w:szCs w:val="22"/>
        </w:rPr>
        <w:t xml:space="preserve"> the</w:t>
      </w:r>
      <w:r w:rsidR="00773C0B" w:rsidRPr="00C0176A">
        <w:rPr>
          <w:szCs w:val="22"/>
        </w:rPr>
        <w:t xml:space="preserve"> participant’s personal </w:t>
      </w:r>
      <w:r w:rsidR="0074183E" w:rsidRPr="00C0176A">
        <w:rPr>
          <w:szCs w:val="22"/>
        </w:rPr>
        <w:t>circumstances.</w:t>
      </w:r>
      <w:r w:rsidR="005D7FF1">
        <w:rPr>
          <w:szCs w:val="22"/>
        </w:rPr>
        <w:t xml:space="preserve"> This legislated requirement will ensure participants </w:t>
      </w:r>
      <w:r w:rsidR="002B1398">
        <w:rPr>
          <w:szCs w:val="22"/>
        </w:rPr>
        <w:t>repay the Commonwealth share</w:t>
      </w:r>
      <w:r w:rsidR="005615BC">
        <w:rPr>
          <w:szCs w:val="22"/>
        </w:rPr>
        <w:t>, as appropriate for their financial circumstances,</w:t>
      </w:r>
      <w:r w:rsidR="002B1398">
        <w:rPr>
          <w:szCs w:val="22"/>
        </w:rPr>
        <w:t xml:space="preserve"> alongside their regular mortgage repayments.</w:t>
      </w:r>
      <w:r w:rsidR="00693EF0" w:rsidRPr="00C0176A">
        <w:rPr>
          <w:szCs w:val="22"/>
        </w:rPr>
        <w:t xml:space="preserve"> Participants will also be able to make voluntary repayments of the Commonwealth’s contribution at any time to increase their stake in the property</w:t>
      </w:r>
      <w:r w:rsidR="00555ED7" w:rsidRPr="00C0176A">
        <w:rPr>
          <w:szCs w:val="22"/>
        </w:rPr>
        <w:t>, including by refinancing</w:t>
      </w:r>
      <w:r w:rsidR="00693EF0" w:rsidRPr="00C0176A">
        <w:rPr>
          <w:szCs w:val="22"/>
        </w:rPr>
        <w:t>.</w:t>
      </w:r>
      <w:r w:rsidR="00344EBC" w:rsidRPr="00C0176A">
        <w:rPr>
          <w:szCs w:val="22"/>
        </w:rPr>
        <w:t xml:space="preserve"> </w:t>
      </w:r>
    </w:p>
    <w:p w14:paraId="5BBC46F7" w14:textId="6EEB3E9C" w:rsidR="00D12D65" w:rsidRPr="00C0176A" w:rsidRDefault="00D12D65" w:rsidP="00930C37">
      <w:pPr>
        <w:rPr>
          <w:i/>
          <w:iCs/>
          <w:szCs w:val="22"/>
        </w:rPr>
      </w:pPr>
      <w:r w:rsidRPr="00C0176A">
        <w:rPr>
          <w:i/>
          <w:iCs/>
          <w:szCs w:val="22"/>
        </w:rPr>
        <w:t>Sale of the property</w:t>
      </w:r>
    </w:p>
    <w:p w14:paraId="1B6FE90B" w14:textId="42A165FD" w:rsidR="00D12D65" w:rsidRDefault="00CF2753" w:rsidP="00930C37">
      <w:pPr>
        <w:rPr>
          <w:szCs w:val="22"/>
        </w:rPr>
      </w:pPr>
      <w:r w:rsidRPr="00C0176A">
        <w:rPr>
          <w:szCs w:val="22"/>
        </w:rPr>
        <w:t>Participants</w:t>
      </w:r>
      <w:r w:rsidR="00720399" w:rsidRPr="00C0176A">
        <w:rPr>
          <w:szCs w:val="22"/>
        </w:rPr>
        <w:t xml:space="preserve"> will be the sole</w:t>
      </w:r>
      <w:r w:rsidR="00E72B47" w:rsidRPr="00C0176A">
        <w:rPr>
          <w:szCs w:val="22"/>
        </w:rPr>
        <w:t xml:space="preserve"> owner of </w:t>
      </w:r>
      <w:r w:rsidR="00B76DC8" w:rsidRPr="00C0176A">
        <w:rPr>
          <w:szCs w:val="22"/>
        </w:rPr>
        <w:t>the</w:t>
      </w:r>
      <w:r w:rsidR="00720399" w:rsidRPr="00C0176A">
        <w:rPr>
          <w:szCs w:val="22"/>
        </w:rPr>
        <w:t>ir</w:t>
      </w:r>
      <w:r w:rsidR="00E72B47" w:rsidRPr="00C0176A">
        <w:rPr>
          <w:szCs w:val="22"/>
        </w:rPr>
        <w:t xml:space="preserve"> property</w:t>
      </w:r>
      <w:r w:rsidR="00720399" w:rsidRPr="00C0176A">
        <w:rPr>
          <w:szCs w:val="22"/>
        </w:rPr>
        <w:t xml:space="preserve"> and as such </w:t>
      </w:r>
      <w:r w:rsidR="00E72B47" w:rsidRPr="00C0176A">
        <w:rPr>
          <w:szCs w:val="22"/>
        </w:rPr>
        <w:t xml:space="preserve">will be able to </w:t>
      </w:r>
      <w:r w:rsidR="00B76DC8" w:rsidRPr="00C0176A">
        <w:rPr>
          <w:szCs w:val="22"/>
        </w:rPr>
        <w:t xml:space="preserve">decide to sell at any time. In such circumstances, sale will proceed as </w:t>
      </w:r>
      <w:r w:rsidR="006201FE" w:rsidRPr="00C0176A">
        <w:rPr>
          <w:szCs w:val="22"/>
        </w:rPr>
        <w:t>with</w:t>
      </w:r>
      <w:r w:rsidR="00B76DC8" w:rsidRPr="00C0176A">
        <w:rPr>
          <w:szCs w:val="22"/>
        </w:rPr>
        <w:t xml:space="preserve"> any other </w:t>
      </w:r>
      <w:r w:rsidR="00CA1BE6" w:rsidRPr="00C0176A">
        <w:rPr>
          <w:szCs w:val="22"/>
        </w:rPr>
        <w:t>sale of residential property</w:t>
      </w:r>
      <w:r w:rsidR="009518BA" w:rsidRPr="00C0176A">
        <w:rPr>
          <w:szCs w:val="22"/>
        </w:rPr>
        <w:t xml:space="preserve">. The </w:t>
      </w:r>
      <w:r w:rsidR="00B62426" w:rsidRPr="00C0176A">
        <w:rPr>
          <w:szCs w:val="22"/>
        </w:rPr>
        <w:t>capital gains and losses</w:t>
      </w:r>
      <w:r w:rsidR="00B62426">
        <w:rPr>
          <w:szCs w:val="22"/>
        </w:rPr>
        <w:t xml:space="preserve"> </w:t>
      </w:r>
      <w:r w:rsidR="009C7DAD">
        <w:rPr>
          <w:szCs w:val="22"/>
        </w:rPr>
        <w:t xml:space="preserve">received by the Commonwealth will be calculated </w:t>
      </w:r>
      <w:r w:rsidR="00B50B91">
        <w:rPr>
          <w:szCs w:val="22"/>
        </w:rPr>
        <w:t xml:space="preserve">with reference to the size of its equity share in the property. </w:t>
      </w:r>
      <w:r w:rsidR="00D12D65">
        <w:rPr>
          <w:szCs w:val="22"/>
        </w:rPr>
        <w:t>Regardless of circumstances, the Commonwealth will not be able to unilaterally force sale</w:t>
      </w:r>
      <w:r w:rsidR="00B50B91">
        <w:rPr>
          <w:szCs w:val="22"/>
        </w:rPr>
        <w:t>.</w:t>
      </w:r>
    </w:p>
    <w:p w14:paraId="3859E543" w14:textId="4FA8BCE4" w:rsidR="00B50B91" w:rsidRPr="006C7830" w:rsidRDefault="00B50B91" w:rsidP="00930C37">
      <w:pPr>
        <w:rPr>
          <w:szCs w:val="22"/>
        </w:rPr>
      </w:pPr>
      <w:r w:rsidRPr="006C7830">
        <w:rPr>
          <w:i/>
          <w:iCs/>
          <w:szCs w:val="22"/>
        </w:rPr>
        <w:t>Renovations and revaluations</w:t>
      </w:r>
    </w:p>
    <w:p w14:paraId="7BEC9F39" w14:textId="70B229FB" w:rsidR="00D4767E" w:rsidRPr="006C7830" w:rsidRDefault="009E4570" w:rsidP="00930C37">
      <w:pPr>
        <w:rPr>
          <w:i/>
          <w:iCs/>
          <w:szCs w:val="22"/>
        </w:rPr>
      </w:pPr>
      <w:r w:rsidRPr="006C7830">
        <w:rPr>
          <w:szCs w:val="22"/>
        </w:rPr>
        <w:t>The</w:t>
      </w:r>
      <w:r w:rsidR="00B50B91" w:rsidRPr="006C7830">
        <w:rPr>
          <w:szCs w:val="22"/>
        </w:rPr>
        <w:t xml:space="preserve"> Program Directions</w:t>
      </w:r>
      <w:r w:rsidR="0021428A" w:rsidRPr="006C7830">
        <w:rPr>
          <w:szCs w:val="22"/>
        </w:rPr>
        <w:t xml:space="preserve"> provide for participants to </w:t>
      </w:r>
      <w:r w:rsidR="00DB74C6" w:rsidRPr="006C7830">
        <w:rPr>
          <w:szCs w:val="22"/>
        </w:rPr>
        <w:t xml:space="preserve">benefit </w:t>
      </w:r>
      <w:r w:rsidR="00306294" w:rsidRPr="006C7830">
        <w:rPr>
          <w:szCs w:val="22"/>
        </w:rPr>
        <w:t>from renovations they</w:t>
      </w:r>
      <w:r w:rsidR="00AD3948" w:rsidRPr="006C7830">
        <w:rPr>
          <w:szCs w:val="22"/>
        </w:rPr>
        <w:t xml:space="preserve"> undertake to their property</w:t>
      </w:r>
      <w:r w:rsidR="00F06E2F" w:rsidRPr="006C7830">
        <w:rPr>
          <w:szCs w:val="22"/>
        </w:rPr>
        <w:t xml:space="preserve">. For participants to claim the </w:t>
      </w:r>
      <w:r w:rsidR="00306294" w:rsidRPr="006C7830">
        <w:rPr>
          <w:szCs w:val="22"/>
        </w:rPr>
        <w:t xml:space="preserve">full </w:t>
      </w:r>
      <w:r w:rsidR="00E50893" w:rsidRPr="006C7830">
        <w:rPr>
          <w:szCs w:val="22"/>
        </w:rPr>
        <w:t>value uplift of the renovation,</w:t>
      </w:r>
      <w:r w:rsidRPr="006C7830">
        <w:rPr>
          <w:szCs w:val="22"/>
        </w:rPr>
        <w:t xml:space="preserve"> the Program Directions</w:t>
      </w:r>
      <w:r w:rsidR="00B50B91" w:rsidRPr="006C7830">
        <w:rPr>
          <w:szCs w:val="22"/>
        </w:rPr>
        <w:t xml:space="preserve"> require </w:t>
      </w:r>
      <w:r w:rsidRPr="006C7830">
        <w:rPr>
          <w:szCs w:val="22"/>
        </w:rPr>
        <w:t>the property</w:t>
      </w:r>
      <w:r w:rsidR="00E607AA" w:rsidRPr="006C7830">
        <w:rPr>
          <w:szCs w:val="22"/>
        </w:rPr>
        <w:t xml:space="preserve"> be </w:t>
      </w:r>
      <w:r w:rsidR="00485787" w:rsidRPr="006C7830">
        <w:rPr>
          <w:szCs w:val="22"/>
        </w:rPr>
        <w:t xml:space="preserve">valued </w:t>
      </w:r>
      <w:r w:rsidR="00306294" w:rsidRPr="006C7830">
        <w:rPr>
          <w:szCs w:val="22"/>
        </w:rPr>
        <w:t xml:space="preserve">both </w:t>
      </w:r>
      <w:r w:rsidR="00485787" w:rsidRPr="006C7830">
        <w:rPr>
          <w:szCs w:val="22"/>
        </w:rPr>
        <w:t>before and after the renovation is undertaken. The Commonwealth’s share of the property will then be adjusted to reflect the change in value due to the renovation.</w:t>
      </w:r>
    </w:p>
    <w:p w14:paraId="235392D3" w14:textId="44454011" w:rsidR="00344EBC" w:rsidRDefault="00D4767E" w:rsidP="00930C37">
      <w:pPr>
        <w:rPr>
          <w:i/>
          <w:iCs/>
          <w:szCs w:val="22"/>
        </w:rPr>
      </w:pPr>
      <w:r>
        <w:rPr>
          <w:i/>
          <w:iCs/>
          <w:szCs w:val="22"/>
        </w:rPr>
        <w:t>Inheritance</w:t>
      </w:r>
    </w:p>
    <w:p w14:paraId="75C849A8" w14:textId="4090E320" w:rsidR="00D4767E" w:rsidRPr="006C7830" w:rsidRDefault="00F7388B" w:rsidP="00930C37">
      <w:pPr>
        <w:rPr>
          <w:szCs w:val="22"/>
        </w:rPr>
      </w:pPr>
      <w:r>
        <w:rPr>
          <w:szCs w:val="22"/>
        </w:rPr>
        <w:t>W</w:t>
      </w:r>
      <w:r w:rsidR="00CE04BB">
        <w:rPr>
          <w:szCs w:val="22"/>
        </w:rPr>
        <w:t xml:space="preserve">here a </w:t>
      </w:r>
      <w:r w:rsidR="00B438A2">
        <w:rPr>
          <w:szCs w:val="22"/>
        </w:rPr>
        <w:t>scheme</w:t>
      </w:r>
      <w:r w:rsidR="00CE04BB">
        <w:rPr>
          <w:szCs w:val="22"/>
        </w:rPr>
        <w:t xml:space="preserve"> participant passes</w:t>
      </w:r>
      <w:r w:rsidR="007E4D50">
        <w:rPr>
          <w:szCs w:val="22"/>
        </w:rPr>
        <w:t xml:space="preserve"> away</w:t>
      </w:r>
      <w:r w:rsidR="001E15A6">
        <w:rPr>
          <w:szCs w:val="22"/>
        </w:rPr>
        <w:t xml:space="preserve"> and their beneficiary would be eligible </w:t>
      </w:r>
      <w:r>
        <w:rPr>
          <w:szCs w:val="22"/>
        </w:rPr>
        <w:t>under the Program Directions</w:t>
      </w:r>
      <w:r w:rsidR="0064670F">
        <w:rPr>
          <w:szCs w:val="22"/>
        </w:rPr>
        <w:t xml:space="preserve">, </w:t>
      </w:r>
      <w:r w:rsidR="00176129">
        <w:rPr>
          <w:szCs w:val="22"/>
        </w:rPr>
        <w:t>the beneficiary</w:t>
      </w:r>
      <w:r w:rsidR="0064670F">
        <w:rPr>
          <w:szCs w:val="22"/>
        </w:rPr>
        <w:t xml:space="preserve"> will be able to participate in </w:t>
      </w:r>
      <w:r w:rsidR="00A75550">
        <w:rPr>
          <w:szCs w:val="22"/>
        </w:rPr>
        <w:t xml:space="preserve">Help to Buy. </w:t>
      </w:r>
      <w:r w:rsidR="00BB6233">
        <w:rPr>
          <w:szCs w:val="22"/>
        </w:rPr>
        <w:t xml:space="preserve">Alternatively, beneficiaries (or their executors) may opt to </w:t>
      </w:r>
      <w:r w:rsidR="00B81D5E">
        <w:rPr>
          <w:szCs w:val="22"/>
        </w:rPr>
        <w:t xml:space="preserve">instead </w:t>
      </w:r>
      <w:r w:rsidR="00BB6233">
        <w:rPr>
          <w:szCs w:val="22"/>
        </w:rPr>
        <w:t>repay the Commonwealth’s equity contribution.</w:t>
      </w:r>
    </w:p>
    <w:p w14:paraId="2793C650" w14:textId="11BD587B" w:rsidR="00F962D9" w:rsidRPr="0036688E" w:rsidRDefault="00F962D9" w:rsidP="00F962D9">
      <w:pPr>
        <w:rPr>
          <w:b/>
          <w:bCs/>
          <w:color w:val="004261" w:themeColor="accent2"/>
        </w:rPr>
      </w:pPr>
      <w:r w:rsidRPr="0036688E">
        <w:rPr>
          <w:b/>
          <w:bCs/>
          <w:color w:val="004261" w:themeColor="accent2"/>
          <w:szCs w:val="22"/>
        </w:rPr>
        <w:lastRenderedPageBreak/>
        <w:t xml:space="preserve">Delivery through </w:t>
      </w:r>
      <w:r w:rsidRPr="0036688E">
        <w:rPr>
          <w:b/>
          <w:bCs/>
          <w:color w:val="004261" w:themeColor="accent2"/>
        </w:rPr>
        <w:t xml:space="preserve">Housing Australia and </w:t>
      </w:r>
      <w:r w:rsidR="005740F9">
        <w:rPr>
          <w:b/>
          <w:bCs/>
          <w:color w:val="004261" w:themeColor="accent2"/>
        </w:rPr>
        <w:t>l</w:t>
      </w:r>
      <w:r w:rsidRPr="0036688E">
        <w:rPr>
          <w:b/>
          <w:bCs/>
          <w:color w:val="004261" w:themeColor="accent2"/>
        </w:rPr>
        <w:t>enders</w:t>
      </w:r>
    </w:p>
    <w:p w14:paraId="6B2BB876" w14:textId="171EF59A" w:rsidR="00F962D9" w:rsidRPr="007E5407" w:rsidRDefault="00F962D9" w:rsidP="00F962D9">
      <w:r w:rsidRPr="007E5407">
        <w:t xml:space="preserve">The Help to Buy </w:t>
      </w:r>
      <w:r w:rsidR="00B438A2">
        <w:t>scheme</w:t>
      </w:r>
      <w:r w:rsidRPr="007E5407">
        <w:t xml:space="preserve"> will be implemented by Housing Australia working closely with selected lenders. Housing Australia is the primary delivery agency for Commonwealth Government housing programs and has considerable experience with the delivery of </w:t>
      </w:r>
      <w:r w:rsidR="00B438A2">
        <w:t>scheme</w:t>
      </w:r>
      <w:r w:rsidRPr="007E5407">
        <w:t xml:space="preserve">s such as </w:t>
      </w:r>
      <w:r>
        <w:t>HGS</w:t>
      </w:r>
      <w:r w:rsidRPr="007E5407">
        <w:t xml:space="preserve">. In contrast to </w:t>
      </w:r>
      <w:r>
        <w:t>HGS</w:t>
      </w:r>
      <w:r w:rsidRPr="007E5407">
        <w:t xml:space="preserve">, however, the Help to Buy </w:t>
      </w:r>
      <w:r w:rsidR="00B438A2">
        <w:t>scheme</w:t>
      </w:r>
      <w:r w:rsidRPr="007E5407">
        <w:t xml:space="preserve"> will require direct interaction between Housing Australia and participants. While details of these processes will be determined by Housing Australia during the implementation process, it is expected that Housing Australia will provide dedicated </w:t>
      </w:r>
      <w:r>
        <w:t xml:space="preserve">IT systems for the </w:t>
      </w:r>
      <w:r w:rsidR="00B438A2">
        <w:t>scheme</w:t>
      </w:r>
      <w:r w:rsidRPr="007E5407">
        <w:t>, ensuring that all necessary interaction is as simple as possible for participants</w:t>
      </w:r>
      <w:r>
        <w:t xml:space="preserve"> and lenders</w:t>
      </w:r>
      <w:r w:rsidRPr="007E5407">
        <w:t>.</w:t>
      </w:r>
    </w:p>
    <w:p w14:paraId="07507910" w14:textId="13FC3744" w:rsidR="00F962D9" w:rsidRPr="00E86FA6" w:rsidRDefault="00F962D9" w:rsidP="00F962D9">
      <w:r w:rsidRPr="00E86FA6">
        <w:t>Lenders will also play an important role in the implementation of Help to Buy. As with</w:t>
      </w:r>
      <w:r w:rsidRPr="002413E4">
        <w:t xml:space="preserve"> </w:t>
      </w:r>
      <w:r>
        <w:t>HGS</w:t>
      </w:r>
      <w:r w:rsidRPr="00E86FA6">
        <w:t xml:space="preserve">, it is expected Housing Australia will engage in a formal procurement process to select a panel of </w:t>
      </w:r>
      <w:r>
        <w:t xml:space="preserve">participating </w:t>
      </w:r>
      <w:r w:rsidRPr="00E86FA6">
        <w:t xml:space="preserve">lenders who will </w:t>
      </w:r>
      <w:r>
        <w:t>assist in the delivery of</w:t>
      </w:r>
      <w:r w:rsidRPr="00E86FA6">
        <w:t xml:space="preserve"> Help to Buy. While the ongoing eligibility requirements in the </w:t>
      </w:r>
      <w:r w:rsidRPr="002413E4">
        <w:t>Help to Buy P</w:t>
      </w:r>
      <w:r w:rsidRPr="00E86FA6">
        <w:t xml:space="preserve">rogram </w:t>
      </w:r>
      <w:r w:rsidRPr="002413E4">
        <w:t>D</w:t>
      </w:r>
      <w:r w:rsidRPr="00E86FA6">
        <w:t>irections will necessitate some additional information gathering and verification procedures</w:t>
      </w:r>
      <w:r>
        <w:t xml:space="preserve"> by lenders</w:t>
      </w:r>
      <w:r w:rsidRPr="00E86FA6">
        <w:t>, it is expected that Housing Australia will engage closely with lenders to limit any disruptions and ensure any additional costs are minimised for all parties.</w:t>
      </w:r>
    </w:p>
    <w:p w14:paraId="35410765" w14:textId="30468C46" w:rsidR="00F962D9" w:rsidRPr="00E86FA6" w:rsidRDefault="00F962D9" w:rsidP="00F962D9">
      <w:r>
        <w:t xml:space="preserve">The Help to Buy </w:t>
      </w:r>
      <w:r w:rsidR="00B438A2">
        <w:t>scheme</w:t>
      </w:r>
      <w:r>
        <w:t xml:space="preserve"> is intended to operate as a national </w:t>
      </w:r>
      <w:r w:rsidR="00B438A2">
        <w:t>scheme</w:t>
      </w:r>
      <w:r>
        <w:t>. As such, places will be allocated to participating States and Territories according to population. Additionally, Housing Australia will report on the share of places allocated to regional areas.</w:t>
      </w:r>
    </w:p>
    <w:p w14:paraId="1AC58A75" w14:textId="70A639B4" w:rsidR="00F962D9" w:rsidRPr="00BA4330" w:rsidRDefault="00F962D9" w:rsidP="00F962D9">
      <w:pPr>
        <w:rPr>
          <w:b/>
          <w:bCs/>
          <w:color w:val="004261" w:themeColor="accent2"/>
        </w:rPr>
      </w:pPr>
      <w:r w:rsidRPr="00BA4330">
        <w:rPr>
          <w:b/>
          <w:bCs/>
          <w:color w:val="004261" w:themeColor="accent2"/>
        </w:rPr>
        <w:t xml:space="preserve">Governance </w:t>
      </w:r>
      <w:r w:rsidR="005740F9">
        <w:rPr>
          <w:b/>
          <w:bCs/>
          <w:color w:val="004261" w:themeColor="accent2"/>
        </w:rPr>
        <w:t>m</w:t>
      </w:r>
      <w:r w:rsidRPr="00BA4330">
        <w:rPr>
          <w:b/>
          <w:bCs/>
          <w:color w:val="004261" w:themeColor="accent2"/>
        </w:rPr>
        <w:t>odel</w:t>
      </w:r>
    </w:p>
    <w:p w14:paraId="275D5909" w14:textId="7FE90380" w:rsidR="00F962D9" w:rsidRPr="00E86FA6" w:rsidRDefault="00F962D9" w:rsidP="00F962D9">
      <w:r w:rsidRPr="00E86FA6">
        <w:t xml:space="preserve">The Help to Buy </w:t>
      </w:r>
      <w:r w:rsidR="00B438A2">
        <w:t>scheme</w:t>
      </w:r>
      <w:r w:rsidRPr="00E86FA6">
        <w:t xml:space="preserve"> will be implemented by Housing Australia subject to </w:t>
      </w:r>
      <w:r>
        <w:t xml:space="preserve">Directions given by the responsible Minister to the Housing Australia Board. </w:t>
      </w:r>
      <w:r w:rsidRPr="00E86FA6">
        <w:t xml:space="preserve">These </w:t>
      </w:r>
      <w:r>
        <w:t xml:space="preserve">Ministerial </w:t>
      </w:r>
      <w:r w:rsidRPr="00E86FA6">
        <w:t xml:space="preserve">directions are the Help to Buy Program Directions and </w:t>
      </w:r>
      <w:r>
        <w:t>include</w:t>
      </w:r>
      <w:r w:rsidRPr="00E86FA6">
        <w:t xml:space="preserve"> </w:t>
      </w:r>
      <w:r>
        <w:t>the detailed parameters</w:t>
      </w:r>
      <w:r w:rsidRPr="00E86FA6">
        <w:t xml:space="preserve"> </w:t>
      </w:r>
      <w:r>
        <w:t xml:space="preserve">and criteria for the </w:t>
      </w:r>
      <w:r w:rsidR="00B438A2">
        <w:t>scheme</w:t>
      </w:r>
      <w:r w:rsidRPr="00E86FA6">
        <w:t xml:space="preserve">, while ensuring Housing Australia retains the flexibility to </w:t>
      </w:r>
      <w:r>
        <w:t>manage</w:t>
      </w:r>
      <w:r w:rsidRPr="00E86FA6">
        <w:t xml:space="preserve"> implementation or operational challenges.</w:t>
      </w:r>
    </w:p>
    <w:p w14:paraId="432D8064" w14:textId="77777777" w:rsidR="00F962D9" w:rsidRPr="00E86FA6" w:rsidRDefault="00F962D9" w:rsidP="00F962D9">
      <w:r w:rsidRPr="00E86FA6">
        <w:t xml:space="preserve">Housing Australia will also be required to act in accordance with the requirements of subsections 10(3), 15(2) and 20(2) of the </w:t>
      </w:r>
      <w:r w:rsidRPr="002413E4">
        <w:rPr>
          <w:i/>
          <w:iCs/>
        </w:rPr>
        <w:t>Help to Buy Act</w:t>
      </w:r>
      <w:r w:rsidRPr="00E86FA6">
        <w:rPr>
          <w:i/>
          <w:iCs/>
        </w:rPr>
        <w:t xml:space="preserve"> 202</w:t>
      </w:r>
      <w:r>
        <w:rPr>
          <w:i/>
          <w:iCs/>
        </w:rPr>
        <w:t>4.</w:t>
      </w:r>
      <w:r w:rsidRPr="00E86FA6">
        <w:t xml:space="preserve"> These provisions require Housing Australia to act in a proper, efficient and effective manner whilst undertaking its functions under the Act.</w:t>
      </w:r>
    </w:p>
    <w:p w14:paraId="0FFEC8A5" w14:textId="0941036A" w:rsidR="00AF01C2" w:rsidRDefault="00F962D9" w:rsidP="00F962D9">
      <w:r w:rsidRPr="00E86FA6">
        <w:t xml:space="preserve">Housing Australia will also be required to provide regular reporting on a variety of aspects of the </w:t>
      </w:r>
      <w:r w:rsidR="00B438A2">
        <w:t>scheme</w:t>
      </w:r>
      <w:r w:rsidRPr="00E86FA6">
        <w:t xml:space="preserve">. This will ensure that the principal objectives outlined in </w:t>
      </w:r>
      <w:r>
        <w:t>section</w:t>
      </w:r>
      <w:r w:rsidRPr="00E86FA6">
        <w:t xml:space="preserve"> 3 of the </w:t>
      </w:r>
      <w:r w:rsidRPr="00E1277E">
        <w:rPr>
          <w:i/>
          <w:iCs/>
        </w:rPr>
        <w:t>Help to Buy Act</w:t>
      </w:r>
      <w:r w:rsidRPr="00E86FA6">
        <w:rPr>
          <w:i/>
          <w:iCs/>
        </w:rPr>
        <w:t xml:space="preserve"> 202</w:t>
      </w:r>
      <w:r>
        <w:rPr>
          <w:i/>
          <w:iCs/>
        </w:rPr>
        <w:t>4</w:t>
      </w:r>
      <w:r w:rsidRPr="00E86FA6">
        <w:t xml:space="preserve"> are being achieved, and the </w:t>
      </w:r>
      <w:r w:rsidR="00B438A2">
        <w:t>scheme</w:t>
      </w:r>
      <w:r w:rsidRPr="00E86FA6">
        <w:t xml:space="preserve"> framework is operating effectively.</w:t>
      </w:r>
      <w:r w:rsidR="00AF01C2">
        <w:t xml:space="preserve"> </w:t>
      </w:r>
    </w:p>
    <w:p w14:paraId="79BB3F88" w14:textId="77777777" w:rsidR="007937CD" w:rsidRDefault="007937CD" w:rsidP="00236821">
      <w:pPr>
        <w:pStyle w:val="Heading1"/>
        <w:sectPr w:rsidR="007937CD" w:rsidSect="00023A52">
          <w:pgSz w:w="11906" w:h="16838"/>
          <w:pgMar w:top="1701" w:right="1134" w:bottom="1843" w:left="1134" w:header="993" w:footer="709" w:gutter="0"/>
          <w:cols w:space="708"/>
          <w:titlePg/>
          <w:docGrid w:linePitch="360"/>
        </w:sectPr>
      </w:pPr>
    </w:p>
    <w:p w14:paraId="547F4BED" w14:textId="4D940361" w:rsidR="0014151F" w:rsidRPr="00343494" w:rsidRDefault="00236821" w:rsidP="00236821">
      <w:pPr>
        <w:pStyle w:val="Heading1"/>
        <w:rPr>
          <w:color w:val="004261" w:themeColor="accent2"/>
        </w:rPr>
      </w:pPr>
      <w:bookmarkStart w:id="6" w:name="_Toc200114837"/>
      <w:r w:rsidRPr="00343494">
        <w:rPr>
          <w:color w:val="004261" w:themeColor="accent2"/>
        </w:rPr>
        <w:lastRenderedPageBreak/>
        <w:t xml:space="preserve">4. </w:t>
      </w:r>
      <w:r w:rsidR="0014151F" w:rsidRPr="00343494">
        <w:rPr>
          <w:color w:val="004261" w:themeColor="accent2"/>
        </w:rPr>
        <w:t xml:space="preserve">What </w:t>
      </w:r>
      <w:r w:rsidR="007927B1" w:rsidRPr="00343494">
        <w:rPr>
          <w:color w:val="004261" w:themeColor="accent2"/>
        </w:rPr>
        <w:t>are</w:t>
      </w:r>
      <w:r w:rsidR="0014151F" w:rsidRPr="00343494">
        <w:rPr>
          <w:color w:val="004261" w:themeColor="accent2"/>
        </w:rPr>
        <w:t xml:space="preserve"> the likely net benefit</w:t>
      </w:r>
      <w:r w:rsidR="007927B1" w:rsidRPr="00343494">
        <w:rPr>
          <w:color w:val="004261" w:themeColor="accent2"/>
        </w:rPr>
        <w:t xml:space="preserve">s of </w:t>
      </w:r>
      <w:r w:rsidR="00CB6F52" w:rsidRPr="00343494">
        <w:rPr>
          <w:color w:val="004261" w:themeColor="accent2"/>
        </w:rPr>
        <w:t>Help to Buy</w:t>
      </w:r>
      <w:bookmarkEnd w:id="6"/>
    </w:p>
    <w:p w14:paraId="59D4E496" w14:textId="32AD3474" w:rsidR="003E0CD7" w:rsidRDefault="003E0CD7" w:rsidP="003E0CD7">
      <w:bookmarkStart w:id="7" w:name="_Toc158819011"/>
      <w:r w:rsidRPr="00B576B2">
        <w:t>The analysis of the ne</w:t>
      </w:r>
      <w:r>
        <w:t>t</w:t>
      </w:r>
      <w:r w:rsidRPr="00B576B2">
        <w:t xml:space="preserve"> benefit </w:t>
      </w:r>
      <w:r>
        <w:t xml:space="preserve">of the Help to Buy </w:t>
      </w:r>
      <w:r w:rsidR="00B438A2">
        <w:t>scheme</w:t>
      </w:r>
      <w:r>
        <w:t xml:space="preserve"> compared to the status quo focuses principally on the direct financial benefits to participants. While home ownership has significant long-term economic and social benefits for individuals and benefits to society more broadly, these are often difficult to quantify. </w:t>
      </w:r>
    </w:p>
    <w:p w14:paraId="0E484E73" w14:textId="6571A773" w:rsidR="008F1E1B" w:rsidRPr="0041655E" w:rsidRDefault="003E0CD7" w:rsidP="003E0CD7">
      <w:r>
        <w:t xml:space="preserve">It is expected that Housing Australia will, where possible, seek to minimise differences between the Help to Buy shared equity product and those of a standard residential mortgage product for lenders. As a result, consideration of regulatory burden focuses on areas where Help to Buy imposes potential additional costs when compared with a standard mortgage. Importantly, lenders have the choice of whether to participate in the </w:t>
      </w:r>
      <w:r w:rsidR="00B438A2">
        <w:t>scheme</w:t>
      </w:r>
      <w:r w:rsidR="00557359">
        <w:t>.</w:t>
      </w:r>
    </w:p>
    <w:p w14:paraId="68F54E53" w14:textId="46030B04" w:rsidR="00D9675F" w:rsidRPr="00343494" w:rsidRDefault="00D9675F" w:rsidP="00236821">
      <w:pPr>
        <w:pStyle w:val="Heading2"/>
        <w:rPr>
          <w:i/>
          <w:color w:val="004261" w:themeColor="accent2"/>
        </w:rPr>
      </w:pPr>
      <w:r w:rsidRPr="00343494">
        <w:rPr>
          <w:color w:val="004261" w:themeColor="accent2"/>
        </w:rPr>
        <w:t xml:space="preserve">4.1 Status </w:t>
      </w:r>
      <w:r w:rsidR="00FB6E9C">
        <w:rPr>
          <w:color w:val="004261" w:themeColor="accent2"/>
        </w:rPr>
        <w:t>q</w:t>
      </w:r>
      <w:r w:rsidRPr="00343494">
        <w:rPr>
          <w:color w:val="004261" w:themeColor="accent2"/>
        </w:rPr>
        <w:t>uo</w:t>
      </w:r>
      <w:bookmarkEnd w:id="7"/>
    </w:p>
    <w:p w14:paraId="4F9F0969" w14:textId="6B9D79DA" w:rsidR="00653CF2" w:rsidRPr="00694C3F" w:rsidRDefault="00653CF2" w:rsidP="00653CF2">
      <w:r w:rsidRPr="00192949">
        <w:t xml:space="preserve">Under the status quo option, </w:t>
      </w:r>
      <w:r w:rsidR="008F278E">
        <w:t xml:space="preserve">the </w:t>
      </w:r>
      <w:r w:rsidRPr="00192949">
        <w:t xml:space="preserve">many homebuyers who have </w:t>
      </w:r>
      <w:r>
        <w:t xml:space="preserve">the borrowing power to service a mortgage but lack a sufficient deposit (or cannot afford LMI costs), can be supported into home ownership through HGS. HGS </w:t>
      </w:r>
      <w:r w:rsidRPr="00192949">
        <w:t>support</w:t>
      </w:r>
      <w:r>
        <w:t>s</w:t>
      </w:r>
      <w:r w:rsidRPr="00192949">
        <w:t xml:space="preserve"> up t</w:t>
      </w:r>
      <w:r w:rsidRPr="00264626">
        <w:t>o 50,000 Australian households each year to purchase a home.</w:t>
      </w:r>
      <w:r>
        <w:t xml:space="preserve"> </w:t>
      </w:r>
      <w:r w:rsidRPr="00192949">
        <w:t xml:space="preserve">However, </w:t>
      </w:r>
      <w:r>
        <w:t>HGS</w:t>
      </w:r>
      <w:r w:rsidRPr="00694C3F">
        <w:t xml:space="preserve"> can only support homebuyers </w:t>
      </w:r>
      <w:r>
        <w:t>who</w:t>
      </w:r>
      <w:r w:rsidRPr="00694C3F">
        <w:t xml:space="preserve"> have the financial capacity to service a </w:t>
      </w:r>
      <w:r>
        <w:t xml:space="preserve">high loan-to-valuation ratio </w:t>
      </w:r>
      <w:r w:rsidRPr="00694C3F">
        <w:t>mortgage (up to 9</w:t>
      </w:r>
      <w:r>
        <w:t>8</w:t>
      </w:r>
      <w:r w:rsidRPr="00694C3F">
        <w:t xml:space="preserve"> per cent of the value of </w:t>
      </w:r>
      <w:r>
        <w:t>the</w:t>
      </w:r>
      <w:r w:rsidRPr="00694C3F">
        <w:t xml:space="preserve"> home).  </w:t>
      </w:r>
    </w:p>
    <w:p w14:paraId="2338CE53" w14:textId="01A7E6AE" w:rsidR="00653CF2" w:rsidRDefault="00653CF2" w:rsidP="00653CF2">
      <w:r w:rsidRPr="00694C3F">
        <w:t xml:space="preserve">While there would be no Commonwealth-supported shared equity program under this option, a number of similar </w:t>
      </w:r>
      <w:r w:rsidR="00B438A2">
        <w:t>scheme</w:t>
      </w:r>
      <w:r w:rsidRPr="00694C3F">
        <w:t>s are currently operated by state and territory governments.</w:t>
      </w:r>
      <w:r w:rsidR="003D0095">
        <w:rPr>
          <w:rStyle w:val="FootnoteReference"/>
        </w:rPr>
        <w:footnoteReference w:id="30"/>
      </w:r>
      <w:r w:rsidRPr="00694C3F">
        <w:t xml:space="preserve"> However, these </w:t>
      </w:r>
      <w:r w:rsidR="00B438A2">
        <w:t>scheme</w:t>
      </w:r>
      <w:r w:rsidRPr="00694C3F">
        <w:t xml:space="preserve">s are not available </w:t>
      </w:r>
      <w:r>
        <w:t>nationally</w:t>
      </w:r>
      <w:r w:rsidRPr="00694C3F">
        <w:t xml:space="preserve">, have small numbers of places and generally </w:t>
      </w:r>
      <w:r>
        <w:t>support a narrower cohort than</w:t>
      </w:r>
      <w:r w:rsidRPr="00694C3F">
        <w:t xml:space="preserve"> the proposed Commonwealth model.</w:t>
      </w:r>
    </w:p>
    <w:p w14:paraId="554FFD13" w14:textId="380173D7" w:rsidR="00653CF2" w:rsidRPr="00EA3012" w:rsidRDefault="00653CF2" w:rsidP="00653CF2">
      <w:r>
        <w:t xml:space="preserve">It should also be noted that one of the larger state shared equity </w:t>
      </w:r>
      <w:r w:rsidR="00B438A2">
        <w:t>scheme</w:t>
      </w:r>
      <w:r>
        <w:t xml:space="preserve">s in Australia – the Victorian Homebuyer Fund – will receive one final </w:t>
      </w:r>
      <w:r w:rsidRPr="00EA3012">
        <w:t xml:space="preserve">year of funding in 2024-25 before </w:t>
      </w:r>
      <w:r w:rsidR="000418E7" w:rsidRPr="00EA3012">
        <w:t>ceasing</w:t>
      </w:r>
      <w:r w:rsidRPr="00EA3012">
        <w:t>. This will significantly reduce the aggregate level of support provided by states.</w:t>
      </w:r>
    </w:p>
    <w:p w14:paraId="0D50643B" w14:textId="7F8B96D6" w:rsidR="004C1990" w:rsidRDefault="00A9231C" w:rsidP="00653CF2">
      <w:r w:rsidRPr="00EA3012">
        <w:t xml:space="preserve">As Help to Buy is </w:t>
      </w:r>
      <w:r w:rsidR="00BD6C31" w:rsidRPr="00EA3012">
        <w:t>targeted specifically to</w:t>
      </w:r>
      <w:r w:rsidRPr="00EA3012">
        <w:t xml:space="preserve"> individuals who </w:t>
      </w:r>
      <w:r w:rsidR="003E7E75" w:rsidRPr="00EA3012">
        <w:t>would</w:t>
      </w:r>
      <w:r w:rsidR="00BD6C31" w:rsidRPr="00EA3012">
        <w:t xml:space="preserve"> otherwise</w:t>
      </w:r>
      <w:r w:rsidR="003E7E75" w:rsidRPr="00EA3012">
        <w:t xml:space="preserve"> be</w:t>
      </w:r>
      <w:r w:rsidR="00BD6C31" w:rsidRPr="00EA3012">
        <w:t xml:space="preserve"> unable</w:t>
      </w:r>
      <w:r w:rsidRPr="00EA3012">
        <w:t xml:space="preserve"> to purchase a home, the cohort </w:t>
      </w:r>
      <w:r w:rsidR="003E7E75" w:rsidRPr="00EA3012">
        <w:t xml:space="preserve">that will benefit from this </w:t>
      </w:r>
      <w:r w:rsidR="00B438A2">
        <w:t>scheme</w:t>
      </w:r>
      <w:r w:rsidR="00BF7F1B" w:rsidRPr="00EA3012">
        <w:t xml:space="preserve"> would not be </w:t>
      </w:r>
      <w:r w:rsidR="00144432" w:rsidRPr="00EA3012">
        <w:t>able to achieve homeownership</w:t>
      </w:r>
      <w:r w:rsidR="00C75729" w:rsidRPr="00EA3012">
        <w:t xml:space="preserve"> under the status quo</w:t>
      </w:r>
      <w:r w:rsidR="00144432" w:rsidRPr="00EA3012">
        <w:t xml:space="preserve">. This has a wide variety of </w:t>
      </w:r>
      <w:r w:rsidR="0025448B" w:rsidRPr="00EA3012">
        <w:t>impacts</w:t>
      </w:r>
      <w:r w:rsidR="004C0317" w:rsidRPr="00EA3012">
        <w:t xml:space="preserve"> which are outlined in the section below.</w:t>
      </w:r>
      <w:r w:rsidR="00C17CBC" w:rsidRPr="00EA3012">
        <w:t xml:space="preserve"> While it is likely that some proportion </w:t>
      </w:r>
      <w:r w:rsidR="008F4A78" w:rsidRPr="00EA3012">
        <w:t>of this cohort would be able to achieve homeownership in future</w:t>
      </w:r>
      <w:r w:rsidR="00830BE1" w:rsidRPr="00EA3012">
        <w:t>,</w:t>
      </w:r>
      <w:r w:rsidR="008F4A78" w:rsidRPr="00EA3012">
        <w:t xml:space="preserve"> the evidence </w:t>
      </w:r>
      <w:r w:rsidR="00BF1095" w:rsidRPr="00EA3012">
        <w:t xml:space="preserve">indicates that </w:t>
      </w:r>
      <w:r w:rsidR="002F7BF3" w:rsidRPr="00EA3012">
        <w:t xml:space="preserve">only </w:t>
      </w:r>
      <w:r w:rsidR="008174DA" w:rsidRPr="00EA3012">
        <w:t xml:space="preserve">around 30 per cent of the difference in </w:t>
      </w:r>
      <w:r w:rsidR="00246BB2" w:rsidRPr="00EA3012">
        <w:t>homeownership rates between cohorts is made up within 10 years, and only around</w:t>
      </w:r>
      <w:r w:rsidR="00246BB2">
        <w:t xml:space="preserve"> 50 per cent is made up within </w:t>
      </w:r>
      <w:r w:rsidR="00246BB2">
        <w:lastRenderedPageBreak/>
        <w:t>20 years.</w:t>
      </w:r>
      <w:r w:rsidR="004C1990">
        <w:rPr>
          <w:rStyle w:val="FootnoteReference"/>
        </w:rPr>
        <w:footnoteReference w:id="31"/>
      </w:r>
      <w:r w:rsidR="00246BB2">
        <w:t xml:space="preserve"> This indicates that</w:t>
      </w:r>
      <w:r w:rsidR="001D2F46">
        <w:t xml:space="preserve">, under the status quo option, </w:t>
      </w:r>
      <w:r w:rsidR="0058779F">
        <w:t xml:space="preserve">of the cohort of 40,000 households, approximately 28,000 fewer would have </w:t>
      </w:r>
      <w:r w:rsidR="0071679E">
        <w:t>achieved homeownership</w:t>
      </w:r>
      <w:r w:rsidR="00A844E8">
        <w:t xml:space="preserve"> after 10 years, and </w:t>
      </w:r>
      <w:r w:rsidR="004B53A3">
        <w:t>20,000 fewer woul</w:t>
      </w:r>
      <w:r w:rsidR="004C1990">
        <w:t>d have achieved homeownership after 20 years.</w:t>
      </w:r>
    </w:p>
    <w:p w14:paraId="5700C945" w14:textId="3637EDEB" w:rsidR="00D9675F" w:rsidRDefault="00653CF2" w:rsidP="00653CF2">
      <w:r>
        <w:t xml:space="preserve">Opting for the status quo and not implementing the Help to Buy shared equity </w:t>
      </w:r>
      <w:r w:rsidR="00B438A2">
        <w:t>scheme</w:t>
      </w:r>
      <w:r>
        <w:t xml:space="preserve"> will result in low- and middle-income Australians </w:t>
      </w:r>
      <w:r w:rsidR="003E2D23">
        <w:t>continuing to face significant challenge</w:t>
      </w:r>
      <w:r w:rsidR="00023D7B">
        <w:t>s in overcoming the deposit and serviceability hurdles</w:t>
      </w:r>
      <w:r w:rsidR="00D9675F">
        <w:t>.</w:t>
      </w:r>
    </w:p>
    <w:p w14:paraId="408222A6" w14:textId="4D72F9AC" w:rsidR="00D9675F" w:rsidRPr="00343494" w:rsidRDefault="00D9675F" w:rsidP="00236821">
      <w:pPr>
        <w:pStyle w:val="Heading2"/>
        <w:rPr>
          <w:color w:val="004261" w:themeColor="accent2"/>
        </w:rPr>
      </w:pPr>
      <w:bookmarkStart w:id="8" w:name="_Toc158819012"/>
      <w:r w:rsidRPr="00343494">
        <w:rPr>
          <w:color w:val="004261" w:themeColor="accent2"/>
        </w:rPr>
        <w:t xml:space="preserve">4.2 </w:t>
      </w:r>
      <w:bookmarkEnd w:id="8"/>
      <w:r w:rsidR="004D1331" w:rsidRPr="00343494">
        <w:rPr>
          <w:color w:val="004261" w:themeColor="accent2"/>
        </w:rPr>
        <w:t xml:space="preserve">Implementing the Help to Buy </w:t>
      </w:r>
      <w:r w:rsidR="00B438A2">
        <w:rPr>
          <w:color w:val="004261" w:themeColor="accent2"/>
        </w:rPr>
        <w:t>Scheme</w:t>
      </w:r>
    </w:p>
    <w:p w14:paraId="4A6953E1" w14:textId="587A681D" w:rsidR="00717630" w:rsidRDefault="00B9544C" w:rsidP="00B9544C">
      <w:r w:rsidRPr="00694C3F">
        <w:t xml:space="preserve">The Help to Buy </w:t>
      </w:r>
      <w:r w:rsidR="00B438A2">
        <w:t>scheme</w:t>
      </w:r>
      <w:r w:rsidRPr="00694C3F">
        <w:t xml:space="preserve"> would complement the Government’s existing </w:t>
      </w:r>
      <w:r w:rsidR="00B438A2">
        <w:t>Home Guarantee Scheme</w:t>
      </w:r>
      <w:r w:rsidRPr="00694C3F">
        <w:t>.</w:t>
      </w:r>
      <w:r>
        <w:t xml:space="preserve"> </w:t>
      </w:r>
      <w:r w:rsidRPr="00694C3F">
        <w:t xml:space="preserve">Help to Buy will </w:t>
      </w:r>
      <w:r w:rsidR="00D34BEC">
        <w:t>support</w:t>
      </w:r>
      <w:r w:rsidRPr="00694C3F">
        <w:t xml:space="preserve"> 40,000 </w:t>
      </w:r>
      <w:r w:rsidR="00EB06E4">
        <w:t>low- and middle- income</w:t>
      </w:r>
      <w:r w:rsidR="00EB06E4" w:rsidRPr="00694C3F">
        <w:t xml:space="preserve"> </w:t>
      </w:r>
      <w:r w:rsidRPr="00694C3F">
        <w:t xml:space="preserve">households to purchase a home of their own and realise the social and economic benefits associated with </w:t>
      </w:r>
      <w:r>
        <w:t>home ownership</w:t>
      </w:r>
      <w:r w:rsidRPr="00694C3F">
        <w:t>. While the program will not target specific cohorts it is expected the program will support a range of vulnerable cohorts</w:t>
      </w:r>
      <w:r w:rsidR="006B0D8C">
        <w:t xml:space="preserve"> who </w:t>
      </w:r>
      <w:r w:rsidR="004C3419">
        <w:t xml:space="preserve">are disproportionately represented </w:t>
      </w:r>
      <w:r w:rsidR="00B171A2">
        <w:t>amongst low- and middle- income earners</w:t>
      </w:r>
      <w:r w:rsidRPr="00694C3F">
        <w:t xml:space="preserve">, including single parents, mature aged </w:t>
      </w:r>
      <w:r w:rsidRPr="00055CE2">
        <w:t>women</w:t>
      </w:r>
      <w:r>
        <w:t>, First Nations Australians</w:t>
      </w:r>
      <w:r w:rsidRPr="00055CE2">
        <w:t xml:space="preserve"> and long-term renters.</w:t>
      </w:r>
    </w:p>
    <w:p w14:paraId="687C9502" w14:textId="51BEA03D" w:rsidR="00B9544C" w:rsidRPr="00055CE2" w:rsidRDefault="00F0210B" w:rsidP="00B9544C">
      <w:r>
        <w:t xml:space="preserve">It is estimated that the Commonwealth will contribute $6.3 billion in equity investments </w:t>
      </w:r>
      <w:r w:rsidR="00FC6B3A">
        <w:t xml:space="preserve">through the </w:t>
      </w:r>
      <w:r w:rsidR="00B438A2">
        <w:t>Scheme</w:t>
      </w:r>
      <w:r w:rsidR="00FC6B3A">
        <w:t>.</w:t>
      </w:r>
      <w:r w:rsidR="00717630" w:rsidRPr="00717630">
        <w:t xml:space="preserve"> </w:t>
      </w:r>
      <w:r w:rsidR="00717630">
        <w:t>A</w:t>
      </w:r>
      <w:r w:rsidR="00717630" w:rsidRPr="00717630">
        <w:t>ctual investment will depend on a number of factors including property prices and interest rates. Costs will be subject to periodic updates, including to reflect the timing of the roll-out of the scheme, and actual program data including uptake, participant behaviour and other parameters.</w:t>
      </w:r>
    </w:p>
    <w:p w14:paraId="0E6D6611" w14:textId="0E1F16B3" w:rsidR="00B9544C" w:rsidRPr="00E61387" w:rsidRDefault="00B9544C" w:rsidP="00B9544C">
      <w:r w:rsidRPr="00055CE2">
        <w:t xml:space="preserve">Help to Buy will only be available to applicants who do not own any other property, either in Australia or overseas. Help to Buy also has lower income caps </w:t>
      </w:r>
      <w:r w:rsidRPr="00E61387">
        <w:t xml:space="preserve">than </w:t>
      </w:r>
      <w:r w:rsidR="005316C2" w:rsidRPr="00E61387">
        <w:t xml:space="preserve">the </w:t>
      </w:r>
      <w:r w:rsidRPr="00E61387">
        <w:t xml:space="preserve">HGS. </w:t>
      </w:r>
      <w:r w:rsidR="00026DB0" w:rsidRPr="00E61387">
        <w:t xml:space="preserve">While </w:t>
      </w:r>
      <w:r w:rsidR="00AD3527" w:rsidRPr="00E61387">
        <w:t>households</w:t>
      </w:r>
      <w:r w:rsidR="002A57E1" w:rsidRPr="00E61387">
        <w:t xml:space="preserve"> </w:t>
      </w:r>
      <w:r w:rsidR="00117205" w:rsidRPr="00E61387">
        <w:t xml:space="preserve">who are earning </w:t>
      </w:r>
      <w:r w:rsidR="002D42BE" w:rsidRPr="00E61387">
        <w:t xml:space="preserve">above the income caps will not be able to </w:t>
      </w:r>
      <w:r w:rsidR="00ED0DF0" w:rsidRPr="00E61387">
        <w:t xml:space="preserve">make use of Help to Buy, </w:t>
      </w:r>
      <w:r w:rsidR="00750543" w:rsidRPr="00E61387">
        <w:t xml:space="preserve">they will remain eligible for support under HGS, </w:t>
      </w:r>
      <w:r w:rsidR="001303D4" w:rsidRPr="00E61387">
        <w:t xml:space="preserve">and </w:t>
      </w:r>
      <w:r w:rsidR="00452DEB" w:rsidRPr="00E61387">
        <w:t xml:space="preserve">approximately </w:t>
      </w:r>
      <w:r w:rsidR="00F15217" w:rsidRPr="00E61387">
        <w:t xml:space="preserve">50 per cent of dwellings would be accessible </w:t>
      </w:r>
      <w:r w:rsidR="00AD3527" w:rsidRPr="00E61387">
        <w:t xml:space="preserve">to these </w:t>
      </w:r>
      <w:r w:rsidR="00D93F6B" w:rsidRPr="00E61387">
        <w:t xml:space="preserve">households given current market conditions </w:t>
      </w:r>
      <w:r w:rsidR="00ED7E5A" w:rsidRPr="00E61387">
        <w:t>and interest rate settings.</w:t>
      </w:r>
    </w:p>
    <w:p w14:paraId="60AB7275" w14:textId="513C8068" w:rsidR="00251D7A" w:rsidRDefault="00EA0CB0" w:rsidP="00B9544C">
      <w:r w:rsidRPr="00E61387">
        <w:t>It is also possible</w:t>
      </w:r>
      <w:r w:rsidR="00EA23DF" w:rsidRPr="00E61387">
        <w:t xml:space="preserve"> the Help to Buy </w:t>
      </w:r>
      <w:r w:rsidR="00B438A2">
        <w:t>scheme</w:t>
      </w:r>
      <w:r w:rsidR="00EA23DF" w:rsidRPr="00E61387">
        <w:t xml:space="preserve"> </w:t>
      </w:r>
      <w:r w:rsidR="00E12CFD" w:rsidRPr="00E61387">
        <w:t xml:space="preserve">may </w:t>
      </w:r>
      <w:r w:rsidR="00B171A2">
        <w:t>result in</w:t>
      </w:r>
      <w:r w:rsidR="00B171A2" w:rsidRPr="00E61387">
        <w:t xml:space="preserve"> </w:t>
      </w:r>
      <w:r w:rsidR="007C3A06" w:rsidRPr="00E61387">
        <w:t>individuals w</w:t>
      </w:r>
      <w:r w:rsidR="00236A71" w:rsidRPr="00E61387">
        <w:t xml:space="preserve">ho would otherwise purchase </w:t>
      </w:r>
      <w:r w:rsidR="00326CA0" w:rsidRPr="00E74693">
        <w:t xml:space="preserve">a relevant </w:t>
      </w:r>
      <w:r w:rsidR="00236A71" w:rsidRPr="00E61387">
        <w:t>propert</w:t>
      </w:r>
      <w:r w:rsidR="00A05BE8" w:rsidRPr="00E74693">
        <w:t>y</w:t>
      </w:r>
      <w:r w:rsidR="00236A71" w:rsidRPr="00E61387">
        <w:t xml:space="preserve"> </w:t>
      </w:r>
      <w:r w:rsidR="002C7F80" w:rsidRPr="00E74693">
        <w:t xml:space="preserve">being displaced by participants who </w:t>
      </w:r>
      <w:r w:rsidR="00BE67FE" w:rsidRPr="00E74693">
        <w:t xml:space="preserve">are able to purchase </w:t>
      </w:r>
      <w:r w:rsidR="005574C8" w:rsidRPr="00E74693">
        <w:t>them with the support of Help to Buy</w:t>
      </w:r>
      <w:r w:rsidR="00236A71" w:rsidRPr="00E61387">
        <w:t>.</w:t>
      </w:r>
      <w:r w:rsidR="00ED2CAA" w:rsidRPr="00E61387">
        <w:t xml:space="preserve"> However, </w:t>
      </w:r>
      <w:r w:rsidR="00B42926" w:rsidRPr="00E61387">
        <w:t xml:space="preserve">as the </w:t>
      </w:r>
      <w:r w:rsidR="006941EA">
        <w:t>s</w:t>
      </w:r>
      <w:r w:rsidR="00B438A2">
        <w:t>cheme</w:t>
      </w:r>
      <w:r w:rsidR="00B42926" w:rsidRPr="00E61387">
        <w:t xml:space="preserve"> </w:t>
      </w:r>
      <w:r w:rsidR="00C504F2" w:rsidRPr="00E61387">
        <w:t>impacts</w:t>
      </w:r>
      <w:r w:rsidR="00C504F2">
        <w:t xml:space="preserve"> at most </w:t>
      </w:r>
      <w:r w:rsidR="009440BD">
        <w:t xml:space="preserve">10,000 dwellings each year for </w:t>
      </w:r>
      <w:r w:rsidR="00DD1854">
        <w:t xml:space="preserve">4 </w:t>
      </w:r>
      <w:r w:rsidR="009440BD">
        <w:t>year</w:t>
      </w:r>
      <w:r w:rsidR="00DD1854">
        <w:t>s</w:t>
      </w:r>
      <w:r w:rsidR="009440BD">
        <w:t xml:space="preserve">, in the context </w:t>
      </w:r>
      <w:r w:rsidR="000401C1">
        <w:t xml:space="preserve">of </w:t>
      </w:r>
      <w:r w:rsidR="00625972">
        <w:t xml:space="preserve">a </w:t>
      </w:r>
      <w:r w:rsidR="00C14476">
        <w:t xml:space="preserve">market with around 530,000 </w:t>
      </w:r>
      <w:r w:rsidR="00B054F8">
        <w:t xml:space="preserve">residential </w:t>
      </w:r>
      <w:r w:rsidR="00C14476">
        <w:t>property transactions in 2024,</w:t>
      </w:r>
      <w:r w:rsidR="00011BDB">
        <w:rPr>
          <w:rStyle w:val="FootnoteReference"/>
        </w:rPr>
        <w:footnoteReference w:id="32"/>
      </w:r>
      <w:r w:rsidR="00C14476">
        <w:t xml:space="preserve"> the vast majority of these individuals are likely to be able to </w:t>
      </w:r>
      <w:r w:rsidR="001F3A66">
        <w:t>purchase a different dwelling.</w:t>
      </w:r>
      <w:r w:rsidR="004C508C">
        <w:t xml:space="preserve"> </w:t>
      </w:r>
      <w:r w:rsidR="0062431C">
        <w:t>As t</w:t>
      </w:r>
      <w:r w:rsidR="00261000">
        <w:t xml:space="preserve">he property price caps under the </w:t>
      </w:r>
      <w:r w:rsidR="00B438A2">
        <w:t>scheme</w:t>
      </w:r>
      <w:r w:rsidR="00261000">
        <w:t xml:space="preserve"> have </w:t>
      </w:r>
      <w:r w:rsidR="00C27B9C">
        <w:t xml:space="preserve">generally </w:t>
      </w:r>
      <w:r w:rsidR="00261000">
        <w:t>been set at the median house price in each housing market</w:t>
      </w:r>
      <w:r w:rsidR="00191AAC">
        <w:t xml:space="preserve">, </w:t>
      </w:r>
      <w:r w:rsidR="0062431C">
        <w:t xml:space="preserve">the </w:t>
      </w:r>
      <w:r w:rsidR="00261000">
        <w:t xml:space="preserve">impact of the </w:t>
      </w:r>
      <w:r w:rsidR="00B438A2">
        <w:t>scheme</w:t>
      </w:r>
      <w:r w:rsidR="00261000">
        <w:t xml:space="preserve"> </w:t>
      </w:r>
      <w:r w:rsidR="0062431C">
        <w:t xml:space="preserve">will be </w:t>
      </w:r>
      <w:r w:rsidR="00261000">
        <w:t xml:space="preserve">concentrated in the entry level section of the </w:t>
      </w:r>
      <w:r w:rsidR="00261000">
        <w:lastRenderedPageBreak/>
        <w:t>market</w:t>
      </w:r>
      <w:r w:rsidR="00191AAC">
        <w:t xml:space="preserve">. However, given </w:t>
      </w:r>
      <w:r w:rsidR="00261000">
        <w:t xml:space="preserve">Treasury estimates that </w:t>
      </w:r>
      <w:r w:rsidR="005D0E1C">
        <w:t xml:space="preserve">more than </w:t>
      </w:r>
      <w:r w:rsidR="00261000">
        <w:t>half of all transactions would be below the Help to Buy price caps</w:t>
      </w:r>
      <w:r w:rsidR="00191AAC">
        <w:t xml:space="preserve">, the total impact of </w:t>
      </w:r>
      <w:r w:rsidR="00B02D93">
        <w:t>the additional</w:t>
      </w:r>
      <w:r w:rsidR="000A42EF">
        <w:t xml:space="preserve"> </w:t>
      </w:r>
      <w:r w:rsidR="005D0E1C">
        <w:t xml:space="preserve">10,000 </w:t>
      </w:r>
      <w:r w:rsidR="000A42EF">
        <w:t xml:space="preserve">transactions </w:t>
      </w:r>
      <w:r w:rsidR="001B0848">
        <w:t>on prices in this subset of the market is</w:t>
      </w:r>
      <w:r w:rsidR="009B2A19">
        <w:t xml:space="preserve"> also</w:t>
      </w:r>
      <w:r w:rsidR="001B0848">
        <w:t xml:space="preserve"> likely to be modest.</w:t>
      </w:r>
      <w:r w:rsidR="00261000">
        <w:rPr>
          <w:rStyle w:val="FootnoteReference"/>
        </w:rPr>
        <w:footnoteReference w:id="33"/>
      </w:r>
    </w:p>
    <w:p w14:paraId="15C863EA" w14:textId="245BD1DD" w:rsidR="00EA23DF" w:rsidRDefault="001F3A66" w:rsidP="00B9544C">
      <w:r>
        <w:t xml:space="preserve">The limited demand-side impact of the </w:t>
      </w:r>
      <w:r w:rsidR="00B438A2">
        <w:t>scheme</w:t>
      </w:r>
      <w:r>
        <w:t xml:space="preserve"> is reflected in </w:t>
      </w:r>
      <w:r w:rsidR="00291670">
        <w:t xml:space="preserve">previous </w:t>
      </w:r>
      <w:r>
        <w:t xml:space="preserve">modelling by the Grattan Institute which estimated the </w:t>
      </w:r>
      <w:r w:rsidR="00B438A2">
        <w:t>scheme</w:t>
      </w:r>
      <w:r>
        <w:t xml:space="preserve"> would increase </w:t>
      </w:r>
      <w:r w:rsidR="00B449D9">
        <w:t xml:space="preserve">prices by less </w:t>
      </w:r>
      <w:r w:rsidR="002F0138">
        <w:t>than</w:t>
      </w:r>
      <w:r w:rsidR="00B449D9">
        <w:t xml:space="preserve"> 0.02 per cent</w:t>
      </w:r>
      <w:r w:rsidR="002F0138">
        <w:t>.</w:t>
      </w:r>
      <w:r w:rsidR="009A6A99">
        <w:rPr>
          <w:rStyle w:val="FootnoteReference"/>
        </w:rPr>
        <w:footnoteReference w:id="34"/>
      </w:r>
      <w:r w:rsidR="00304E32">
        <w:t xml:space="preserve"> Additionally, </w:t>
      </w:r>
      <w:r w:rsidR="00BF59BE">
        <w:t xml:space="preserve">the Help to Buy Program Directions </w:t>
      </w:r>
      <w:r w:rsidR="00300EEF">
        <w:t>require Housing Australia to</w:t>
      </w:r>
      <w:r w:rsidR="00C0124D">
        <w:t xml:space="preserve"> </w:t>
      </w:r>
      <w:r w:rsidR="0013355F">
        <w:t xml:space="preserve">satisfy itself that </w:t>
      </w:r>
      <w:r w:rsidR="004F082B">
        <w:t xml:space="preserve">it </w:t>
      </w:r>
      <w:r w:rsidR="005E04BC">
        <w:t>is unlikely that the applicant (or join</w:t>
      </w:r>
      <w:r w:rsidR="006365BD">
        <w:t>t</w:t>
      </w:r>
      <w:r w:rsidR="005E04BC">
        <w:t xml:space="preserve"> applicants) </w:t>
      </w:r>
      <w:r w:rsidR="00AF4F0F">
        <w:t xml:space="preserve">could acquire the relevant property </w:t>
      </w:r>
      <w:r w:rsidR="00333DA3">
        <w:t>without the assistance of the Commonwealth through Help to Buy.</w:t>
      </w:r>
    </w:p>
    <w:p w14:paraId="1D6E8D61" w14:textId="5A74A4A1" w:rsidR="00C73B7C" w:rsidRPr="009B6059" w:rsidRDefault="00C73B7C" w:rsidP="00C73B7C">
      <w:pPr>
        <w:pStyle w:val="Heading2"/>
        <w:rPr>
          <w:color w:val="004261" w:themeColor="accent2"/>
        </w:rPr>
      </w:pPr>
      <w:r>
        <w:rPr>
          <w:color w:val="004261" w:themeColor="accent2"/>
        </w:rPr>
        <w:t>4</w:t>
      </w:r>
      <w:r w:rsidRPr="009B6059">
        <w:rPr>
          <w:color w:val="004261" w:themeColor="accent2"/>
        </w:rPr>
        <w:t>.</w:t>
      </w:r>
      <w:r>
        <w:rPr>
          <w:color w:val="004261" w:themeColor="accent2"/>
        </w:rPr>
        <w:t>3</w:t>
      </w:r>
      <w:r w:rsidRPr="009B6059">
        <w:rPr>
          <w:color w:val="004261" w:themeColor="accent2"/>
        </w:rPr>
        <w:t xml:space="preserve"> Help to Buy complements existing programs by providing targeted support</w:t>
      </w:r>
    </w:p>
    <w:p w14:paraId="353284ED" w14:textId="313250CB" w:rsidR="00C73B7C" w:rsidRDefault="00841ED8" w:rsidP="00C73B7C">
      <w:r>
        <w:t>As has been discussed in Sections 1 and 2, t</w:t>
      </w:r>
      <w:r w:rsidR="00C73B7C">
        <w:t>he intersection of the deposit and serviceability hurdle faced by lower income households justifies government intervention. While many aspiring homeowners are constrained by both the deposit and serviceability hurdle, existing Government programs assist only with the former. AHURI modelling indicates that</w:t>
      </w:r>
      <w:r>
        <w:t xml:space="preserve"> </w:t>
      </w:r>
      <w:r w:rsidR="00071BD9">
        <w:t xml:space="preserve">approximately </w:t>
      </w:r>
      <w:r w:rsidR="00C73B7C">
        <w:t xml:space="preserve">22 per cent of aspiring homebuyers who </w:t>
      </w:r>
      <w:r w:rsidR="000F4732">
        <w:t xml:space="preserve">may </w:t>
      </w:r>
      <w:r w:rsidR="00C73B7C">
        <w:t xml:space="preserve">be eligible for the </w:t>
      </w:r>
      <w:r w:rsidR="00B438A2">
        <w:t>scheme</w:t>
      </w:r>
      <w:r w:rsidR="00C73B7C">
        <w:t xml:space="preserve"> are able to achieve home ownership with the support of HGS, 55.8 per cent of eligible homebuyers remain constrained by one of the two hurdles even with the support of HGS.</w:t>
      </w:r>
      <w:r w:rsidR="00C73B7C">
        <w:rPr>
          <w:rStyle w:val="FootnoteReference"/>
        </w:rPr>
        <w:footnoteReference w:id="35"/>
      </w:r>
    </w:p>
    <w:p w14:paraId="6E2244E6" w14:textId="0FC0BCFB" w:rsidR="00C73B7C" w:rsidRDefault="00C73B7C" w:rsidP="00C73B7C">
      <w:r>
        <w:t>This demonstrates the need for Government support that is also able to assist aspiring homebuyers with the serviceability hurdle</w:t>
      </w:r>
      <w:r w:rsidR="009C7C46">
        <w:t xml:space="preserve"> to achieve the policy goal of home ownership</w:t>
      </w:r>
      <w:r>
        <w:t>. According to AHURI modelling, approximately 31</w:t>
      </w:r>
      <w:r w:rsidR="008174DA">
        <w:t xml:space="preserve"> per cent</w:t>
      </w:r>
      <w:r>
        <w:t xml:space="preserve"> of aspiring homebuyers </w:t>
      </w:r>
      <w:r w:rsidR="00FB55E1">
        <w:t xml:space="preserve">may </w:t>
      </w:r>
      <w:r>
        <w:t xml:space="preserve">have been eligible for a shared equity </w:t>
      </w:r>
      <w:r w:rsidR="00B438A2">
        <w:t>scheme</w:t>
      </w:r>
      <w:r>
        <w:t xml:space="preserve"> modelled on the Help to Buy </w:t>
      </w:r>
      <w:r w:rsidR="00B438A2">
        <w:t>scheme</w:t>
      </w:r>
      <w:r>
        <w:t xml:space="preserve"> in May 2023, noting that this does not take into account the increase to the income caps and property price caps in the 2025-26 Budget.</w:t>
      </w:r>
    </w:p>
    <w:p w14:paraId="33BA0C5D" w14:textId="258C9D9B" w:rsidR="00C73B7C" w:rsidRDefault="00C73B7C" w:rsidP="00C73B7C">
      <w:r>
        <w:t xml:space="preserve">AHURI estimates this </w:t>
      </w:r>
      <w:r w:rsidR="00B438A2">
        <w:t>scheme</w:t>
      </w:r>
      <w:r>
        <w:t xml:space="preserve"> </w:t>
      </w:r>
      <w:r w:rsidR="00B278E2">
        <w:t>c</w:t>
      </w:r>
      <w:r>
        <w:t xml:space="preserve">ould remove the relevant constraint for 41 per cent of eligible aspiring homebuyers. This represents a significant increase in the number of </w:t>
      </w:r>
      <w:r w:rsidR="005A5D7F">
        <w:t xml:space="preserve">potentially </w:t>
      </w:r>
      <w:r w:rsidR="00EA50A0">
        <w:t xml:space="preserve">eligible </w:t>
      </w:r>
      <w:r>
        <w:t xml:space="preserve">homebuyers </w:t>
      </w:r>
      <w:r w:rsidR="00EA50A0">
        <w:t>that could</w:t>
      </w:r>
      <w:r w:rsidR="003B0160">
        <w:t xml:space="preserve"> </w:t>
      </w:r>
      <w:r>
        <w:t xml:space="preserve">be assisted into home ownership by the Help to Buy </w:t>
      </w:r>
      <w:r w:rsidR="00B438A2">
        <w:t>scheme</w:t>
      </w:r>
      <w:r>
        <w:t xml:space="preserve"> in addition to those who could be assisted by HGS.</w:t>
      </w:r>
      <w:r>
        <w:rPr>
          <w:rStyle w:val="FootnoteReference"/>
        </w:rPr>
        <w:footnoteReference w:id="36"/>
      </w:r>
      <w:r>
        <w:t xml:space="preserve"> This clearly demonstrates the role that a shared equity </w:t>
      </w:r>
      <w:r w:rsidR="00B438A2">
        <w:lastRenderedPageBreak/>
        <w:t>scheme</w:t>
      </w:r>
      <w:r>
        <w:t xml:space="preserve"> complementing existing Government programs could have in supporting home ownership in Australia.</w:t>
      </w:r>
    </w:p>
    <w:p w14:paraId="03791957" w14:textId="206F0382" w:rsidR="00C73B7C" w:rsidRPr="0036688E" w:rsidRDefault="00C73B7C" w:rsidP="00C73B7C">
      <w:pPr>
        <w:rPr>
          <w:b/>
          <w:color w:val="004261" w:themeColor="accent2"/>
          <w:sz w:val="20"/>
          <w:szCs w:val="20"/>
        </w:rPr>
      </w:pPr>
      <w:r w:rsidRPr="0036688E">
        <w:rPr>
          <w:b/>
          <w:color w:val="004261" w:themeColor="accent2"/>
          <w:sz w:val="20"/>
          <w:szCs w:val="20"/>
        </w:rPr>
        <w:t xml:space="preserve">Figure </w:t>
      </w:r>
      <w:r w:rsidR="00841ED8">
        <w:rPr>
          <w:b/>
          <w:color w:val="004261" w:themeColor="accent2"/>
          <w:sz w:val="20"/>
          <w:szCs w:val="20"/>
        </w:rPr>
        <w:t>4</w:t>
      </w:r>
      <w:r>
        <w:rPr>
          <w:b/>
          <w:color w:val="004261" w:themeColor="accent2"/>
          <w:sz w:val="20"/>
          <w:szCs w:val="20"/>
        </w:rPr>
        <w:t>.1</w:t>
      </w:r>
      <w:r w:rsidRPr="0036688E">
        <w:rPr>
          <w:b/>
          <w:color w:val="004261" w:themeColor="accent2"/>
          <w:sz w:val="20"/>
          <w:szCs w:val="20"/>
        </w:rPr>
        <w:t xml:space="preserve">: Impact of Mortgage Guarantee and Shared Equity </w:t>
      </w:r>
      <w:r w:rsidR="00B438A2">
        <w:rPr>
          <w:b/>
          <w:color w:val="004261" w:themeColor="accent2"/>
          <w:sz w:val="20"/>
          <w:szCs w:val="20"/>
        </w:rPr>
        <w:t>Scheme</w:t>
      </w:r>
      <w:r w:rsidRPr="0036688E">
        <w:rPr>
          <w:b/>
          <w:color w:val="004261" w:themeColor="accent2"/>
          <w:sz w:val="20"/>
          <w:szCs w:val="20"/>
        </w:rPr>
        <w:t>s on constraints to home ownership among aspiring first homebuyers.</w:t>
      </w:r>
      <w:r w:rsidRPr="0036688E">
        <w:rPr>
          <w:rStyle w:val="FootnoteReference"/>
          <w:b/>
          <w:color w:val="004261" w:themeColor="accent2"/>
          <w:sz w:val="20"/>
          <w:szCs w:val="20"/>
        </w:rPr>
        <w:footnoteReference w:id="37"/>
      </w:r>
    </w:p>
    <w:p w14:paraId="57CDD201" w14:textId="77777777" w:rsidR="00C73B7C" w:rsidRPr="0040699A" w:rsidRDefault="00C73B7C" w:rsidP="00C73B7C">
      <w:pPr>
        <w:rPr>
          <w:b/>
          <w:sz w:val="20"/>
          <w:szCs w:val="20"/>
        </w:rPr>
      </w:pPr>
      <w:r>
        <w:rPr>
          <w:noProof/>
          <w:lang w:eastAsia="en-AU"/>
        </w:rPr>
        <w:drawing>
          <wp:inline distT="0" distB="0" distL="0" distR="0" wp14:anchorId="5D626D8C" wp14:editId="24117B7D">
            <wp:extent cx="6285485" cy="2247900"/>
            <wp:effectExtent l="0" t="0" r="1270" b="0"/>
            <wp:docPr id="839430984" name="Picture 83943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288977" cy="2249149"/>
                    </a:xfrm>
                    <a:prstGeom prst="rect">
                      <a:avLst/>
                    </a:prstGeom>
                  </pic:spPr>
                </pic:pic>
              </a:graphicData>
            </a:graphic>
          </wp:inline>
        </w:drawing>
      </w:r>
    </w:p>
    <w:p w14:paraId="0DFE616F" w14:textId="6AE6A431" w:rsidR="00C73B7C" w:rsidRPr="00494D75" w:rsidRDefault="00C73B7C" w:rsidP="00C73B7C">
      <w:pPr>
        <w:pStyle w:val="Heading2"/>
        <w:rPr>
          <w:color w:val="004261" w:themeColor="accent2"/>
        </w:rPr>
      </w:pPr>
      <w:r>
        <w:rPr>
          <w:color w:val="004261" w:themeColor="accent2"/>
        </w:rPr>
        <w:t>4</w:t>
      </w:r>
      <w:r w:rsidRPr="009B6059">
        <w:rPr>
          <w:color w:val="004261" w:themeColor="accent2"/>
        </w:rPr>
        <w:t>.</w:t>
      </w:r>
      <w:r>
        <w:rPr>
          <w:color w:val="004261" w:themeColor="accent2"/>
        </w:rPr>
        <w:t>4</w:t>
      </w:r>
      <w:r w:rsidRPr="009B6059">
        <w:rPr>
          <w:color w:val="004261" w:themeColor="accent2"/>
        </w:rPr>
        <w:t xml:space="preserve"> </w:t>
      </w:r>
      <w:r>
        <w:rPr>
          <w:color w:val="004261" w:themeColor="accent2"/>
        </w:rPr>
        <w:t xml:space="preserve">Shared equity </w:t>
      </w:r>
      <w:r w:rsidR="00B438A2">
        <w:rPr>
          <w:color w:val="004261" w:themeColor="accent2"/>
        </w:rPr>
        <w:t>scheme</w:t>
      </w:r>
      <w:r>
        <w:rPr>
          <w:color w:val="004261" w:themeColor="accent2"/>
        </w:rPr>
        <w:t>s have proven effective</w:t>
      </w:r>
    </w:p>
    <w:p w14:paraId="72EC9678" w14:textId="0D8968EA" w:rsidR="00C73B7C" w:rsidRDefault="00C73B7C" w:rsidP="00C73B7C">
      <w:r>
        <w:t xml:space="preserve">This has been </w:t>
      </w:r>
      <w:r w:rsidR="00305B1E">
        <w:t xml:space="preserve">demonstrated through the </w:t>
      </w:r>
      <w:r w:rsidR="00602F6A">
        <w:t>strong take-up of</w:t>
      </w:r>
      <w:r w:rsidR="00305B1E">
        <w:t xml:space="preserve"> shared equity </w:t>
      </w:r>
      <w:r w:rsidR="00B438A2">
        <w:t>scheme</w:t>
      </w:r>
      <w:r w:rsidR="00305B1E">
        <w:t xml:space="preserve">s in various state and international jurisdictions. </w:t>
      </w:r>
      <w:r w:rsidR="006B5953">
        <w:t xml:space="preserve">While the take-up of a </w:t>
      </w:r>
      <w:r w:rsidR="00B438A2">
        <w:t>scheme</w:t>
      </w:r>
      <w:r w:rsidR="006B5953">
        <w:t xml:space="preserve"> </w:t>
      </w:r>
      <w:r w:rsidR="00ED1D10">
        <w:t xml:space="preserve">can vary </w:t>
      </w:r>
      <w:r w:rsidR="00E10DF8">
        <w:t xml:space="preserve">depending </w:t>
      </w:r>
      <w:r w:rsidR="006B5953">
        <w:t xml:space="preserve">on the </w:t>
      </w:r>
      <w:r w:rsidR="00F80EC3">
        <w:t>eligibility criteria applied, e</w:t>
      </w:r>
      <w:r>
        <w:t xml:space="preserve">vidence shows that </w:t>
      </w:r>
      <w:r w:rsidR="00900D09">
        <w:t xml:space="preserve">appropriately designed </w:t>
      </w:r>
      <w:r>
        <w:t>shared equity</w:t>
      </w:r>
      <w:r w:rsidRPr="007042CC">
        <w:t xml:space="preserve"> </w:t>
      </w:r>
      <w:r w:rsidR="00B438A2">
        <w:t>scheme</w:t>
      </w:r>
      <w:r w:rsidRPr="007042CC">
        <w:t xml:space="preserve">s implemented by </w:t>
      </w:r>
      <w:r>
        <w:t>s</w:t>
      </w:r>
      <w:r w:rsidRPr="007042CC">
        <w:t xml:space="preserve">tate governments have effectively supported </w:t>
      </w:r>
      <w:r>
        <w:t>home ownership</w:t>
      </w:r>
      <w:r w:rsidRPr="007042CC">
        <w:t xml:space="preserve"> for </w:t>
      </w:r>
      <w:r>
        <w:t>lower income</w:t>
      </w:r>
      <w:r w:rsidRPr="007042CC">
        <w:t xml:space="preserve"> households in Australia</w:t>
      </w:r>
      <w:r>
        <w:t>. In particular, as of November 2024 the Victorian Homebuyer Fund had assisted 13,700 households to purchase a home.</w:t>
      </w:r>
      <w:r w:rsidR="002A2B03">
        <w:rPr>
          <w:rStyle w:val="FootnoteReference"/>
        </w:rPr>
        <w:footnoteReference w:id="38"/>
      </w:r>
    </w:p>
    <w:p w14:paraId="79556DCE" w14:textId="2EBAB17A" w:rsidR="00C73B7C" w:rsidRDefault="00C73B7C" w:rsidP="00C73B7C">
      <w:r>
        <w:t xml:space="preserve">Similar </w:t>
      </w:r>
      <w:r w:rsidR="00B438A2">
        <w:t>scheme</w:t>
      </w:r>
      <w:r>
        <w:t xml:space="preserve">s are also relatively common overseas </w:t>
      </w:r>
      <w:r w:rsidRPr="007042CC">
        <w:t>where there is a strong record of support for targeted household</w:t>
      </w:r>
      <w:r>
        <w:t xml:space="preserve"> cohorts</w:t>
      </w:r>
      <w:r w:rsidRPr="007042CC">
        <w:t>.</w:t>
      </w:r>
      <w:r>
        <w:t xml:space="preserve"> </w:t>
      </w:r>
      <w:r w:rsidRPr="007042CC">
        <w:t xml:space="preserve">Shared equity </w:t>
      </w:r>
      <w:r w:rsidR="00B438A2">
        <w:t>scheme</w:t>
      </w:r>
      <w:r w:rsidRPr="007042CC">
        <w:t xml:space="preserve">s </w:t>
      </w:r>
      <w:r>
        <w:t>operate</w:t>
      </w:r>
      <w:r w:rsidRPr="007042CC">
        <w:t xml:space="preserve"> in some US </w:t>
      </w:r>
      <w:r>
        <w:t>s</w:t>
      </w:r>
      <w:r w:rsidRPr="007042CC">
        <w:t>tates, the U</w:t>
      </w:r>
      <w:r>
        <w:t xml:space="preserve">nited </w:t>
      </w:r>
      <w:r w:rsidRPr="007042CC">
        <w:t>K</w:t>
      </w:r>
      <w:r>
        <w:t>ingdom</w:t>
      </w:r>
      <w:r w:rsidRPr="007042CC">
        <w:t>, Canada, and N</w:t>
      </w:r>
      <w:r>
        <w:t>ew </w:t>
      </w:r>
      <w:r w:rsidRPr="007042CC">
        <w:t>Z</w:t>
      </w:r>
      <w:r>
        <w:t>ealand</w:t>
      </w:r>
      <w:r w:rsidRPr="007042CC">
        <w:t>. Canada has a $1.25 billion shared equity program for first</w:t>
      </w:r>
      <w:r>
        <w:t xml:space="preserve"> </w:t>
      </w:r>
      <w:r w:rsidRPr="007042CC">
        <w:t>home buyers and a</w:t>
      </w:r>
      <w:r>
        <w:t> </w:t>
      </w:r>
      <w:r w:rsidRPr="007042CC">
        <w:t>separate $100 million fund which supports equity mortgage providers.</w:t>
      </w:r>
      <w:r w:rsidR="00E95B32">
        <w:rPr>
          <w:rStyle w:val="FootnoteReference"/>
        </w:rPr>
        <w:footnoteReference w:id="39"/>
      </w:r>
      <w:r w:rsidRPr="007042CC">
        <w:t xml:space="preserve"> In England, there </w:t>
      </w:r>
      <w:r>
        <w:t>were</w:t>
      </w:r>
      <w:r w:rsidRPr="007042CC">
        <w:t xml:space="preserve"> approximately 202,000 households living in shared ownership homes</w:t>
      </w:r>
      <w:r>
        <w:t xml:space="preserve"> in 2021</w:t>
      </w:r>
      <w:r w:rsidRPr="007042CC">
        <w:t xml:space="preserve"> </w:t>
      </w:r>
      <w:r w:rsidRPr="007042CC">
        <w:lastRenderedPageBreak/>
        <w:t xml:space="preserve">and the </w:t>
      </w:r>
      <w:r>
        <w:t>use</w:t>
      </w:r>
      <w:r w:rsidRPr="007042CC">
        <w:t xml:space="preserve"> </w:t>
      </w:r>
      <w:r w:rsidRPr="003642CF">
        <w:t>of</w:t>
      </w:r>
      <w:r>
        <w:t xml:space="preserve"> shared ownership programs </w:t>
      </w:r>
      <w:r w:rsidRPr="007042CC">
        <w:t xml:space="preserve">has increased in recent years. Approximately 76,500 new shared ownership homes were delivered </w:t>
      </w:r>
      <w:r>
        <w:t>between 2016 and 2021</w:t>
      </w:r>
      <w:r w:rsidRPr="007042CC">
        <w:t xml:space="preserve"> and 90,000 new shared ownership homes </w:t>
      </w:r>
      <w:r>
        <w:t>are</w:t>
      </w:r>
      <w:r w:rsidRPr="007042CC">
        <w:t xml:space="preserve"> expected </w:t>
      </w:r>
      <w:r>
        <w:t>between 2021 and 2026</w:t>
      </w:r>
      <w:r w:rsidRPr="007042CC">
        <w:t xml:space="preserve"> under the new </w:t>
      </w:r>
      <w:r w:rsidRPr="00FA62F2">
        <w:t>£</w:t>
      </w:r>
      <w:r w:rsidRPr="007042CC">
        <w:t>11.5 billion Affordable Homes Programme.</w:t>
      </w:r>
      <w:r>
        <w:rPr>
          <w:rStyle w:val="FootnoteReference"/>
        </w:rPr>
        <w:footnoteReference w:id="40"/>
      </w:r>
      <w:r>
        <w:t xml:space="preserve"> </w:t>
      </w:r>
      <w:r w:rsidR="00D73008">
        <w:t xml:space="preserve">The successful administration of shared equity </w:t>
      </w:r>
      <w:r w:rsidR="00B438A2">
        <w:t>scheme</w:t>
      </w:r>
      <w:r w:rsidR="00D73008">
        <w:t>s</w:t>
      </w:r>
      <w:r>
        <w:t xml:space="preserve"> in various state and international jurisdictions supports the position in this Impact Analysis that the Government has the capacity to intervene successfully.</w:t>
      </w:r>
    </w:p>
    <w:p w14:paraId="33390C69" w14:textId="28BBC90D" w:rsidR="00C73B7C" w:rsidRPr="00E74693" w:rsidRDefault="00841ED8" w:rsidP="00E74693">
      <w:pPr>
        <w:pStyle w:val="Heading2"/>
        <w:rPr>
          <w:color w:val="004261" w:themeColor="accent2"/>
        </w:rPr>
      </w:pPr>
      <w:r>
        <w:rPr>
          <w:color w:val="004261" w:themeColor="accent2"/>
        </w:rPr>
        <w:t>4</w:t>
      </w:r>
      <w:r w:rsidRPr="009B6059">
        <w:rPr>
          <w:color w:val="004261" w:themeColor="accent2"/>
        </w:rPr>
        <w:t>.</w:t>
      </w:r>
      <w:r w:rsidR="00BC6B11">
        <w:rPr>
          <w:color w:val="004261" w:themeColor="accent2"/>
        </w:rPr>
        <w:t>5</w:t>
      </w:r>
      <w:r w:rsidRPr="009B6059">
        <w:rPr>
          <w:color w:val="004261" w:themeColor="accent2"/>
        </w:rPr>
        <w:t xml:space="preserve"> </w:t>
      </w:r>
      <w:r>
        <w:rPr>
          <w:color w:val="004261" w:themeColor="accent2"/>
        </w:rPr>
        <w:t xml:space="preserve">Benefits to </w:t>
      </w:r>
      <w:r w:rsidR="00B438A2">
        <w:rPr>
          <w:color w:val="004261" w:themeColor="accent2"/>
        </w:rPr>
        <w:t>Scheme</w:t>
      </w:r>
      <w:r>
        <w:rPr>
          <w:color w:val="004261" w:themeColor="accent2"/>
        </w:rPr>
        <w:t xml:space="preserve"> Participants</w:t>
      </w:r>
    </w:p>
    <w:p w14:paraId="15F142B7" w14:textId="77777777" w:rsidR="00B9544C" w:rsidRPr="00BA4330" w:rsidRDefault="00B9544C" w:rsidP="00B9544C">
      <w:pPr>
        <w:rPr>
          <w:b/>
          <w:bCs/>
          <w:color w:val="004261" w:themeColor="accent2"/>
          <w:sz w:val="24"/>
          <w:szCs w:val="24"/>
        </w:rPr>
      </w:pPr>
      <w:r w:rsidRPr="00BA4330">
        <w:rPr>
          <w:b/>
          <w:bCs/>
          <w:color w:val="004261" w:themeColor="accent2"/>
          <w:sz w:val="24"/>
          <w:szCs w:val="24"/>
        </w:rPr>
        <w:t>Lowered mortgage and rent repayments</w:t>
      </w:r>
    </w:p>
    <w:p w14:paraId="35DFD168" w14:textId="5304455C" w:rsidR="00EE1B50" w:rsidRPr="00E43640" w:rsidRDefault="00B438A2" w:rsidP="00B9544C">
      <w:r>
        <w:t>Scheme</w:t>
      </w:r>
      <w:r w:rsidR="00B9544C" w:rsidRPr="00F64B72">
        <w:t xml:space="preserve"> participants will benefit from lower ongoing repayments from a smaller home loan – </w:t>
      </w:r>
      <w:r w:rsidR="00B9544C" w:rsidRPr="004820A8">
        <w:t xml:space="preserve">as the Commonwealth would share </w:t>
      </w:r>
      <w:r w:rsidR="00B9544C" w:rsidRPr="00E43640">
        <w:t xml:space="preserve">the </w:t>
      </w:r>
      <w:r w:rsidR="000453F0" w:rsidRPr="00E43640">
        <w:t xml:space="preserve">up-front </w:t>
      </w:r>
      <w:r w:rsidR="00B9544C" w:rsidRPr="00E43640">
        <w:t>cost of purchasing a home – with the financial risk and benefit (capital gains and losses) to be shared between the participant and the Commonwealth proportionate to their interests.</w:t>
      </w:r>
    </w:p>
    <w:p w14:paraId="4C10CF5A" w14:textId="2A29BF63" w:rsidR="003852D0" w:rsidRPr="006C09DE" w:rsidRDefault="00F6195F" w:rsidP="006C09DE">
      <w:r w:rsidRPr="00E43640">
        <w:t>The Government’s contribution – up to 40 per cent – will significantly reduce the mortgage required by the participant to facilitate the purchase, and</w:t>
      </w:r>
      <w:r w:rsidR="003F06E9" w:rsidRPr="00E43640">
        <w:t xml:space="preserve"> it is expected that </w:t>
      </w:r>
      <w:r w:rsidR="00276663" w:rsidRPr="00E43640">
        <w:t xml:space="preserve">mortgage repayments would reduce </w:t>
      </w:r>
      <w:r w:rsidR="003F06E9" w:rsidRPr="00E43640">
        <w:t xml:space="preserve">by a similar order of magnitude. It is important to note that the exact size of each participant’s saving will be dependent </w:t>
      </w:r>
      <w:r w:rsidR="00F21259" w:rsidRPr="00E43640">
        <w:t>on</w:t>
      </w:r>
      <w:r w:rsidR="00F21259" w:rsidRPr="00A15F66">
        <w:t xml:space="preserve"> factors such as </w:t>
      </w:r>
      <w:r w:rsidR="003F06E9" w:rsidRPr="00A15F66">
        <w:t>the precise terms of their loan</w:t>
      </w:r>
      <w:r w:rsidR="00426ABA" w:rsidRPr="00A15F66">
        <w:t xml:space="preserve">, </w:t>
      </w:r>
      <w:r w:rsidR="0035645F" w:rsidRPr="00A15F66">
        <w:t>the size of the Commonwealth equity share</w:t>
      </w:r>
      <w:r w:rsidR="00F21259" w:rsidRPr="00A15F66">
        <w:t>.</w:t>
      </w:r>
      <w:r w:rsidR="004951C2" w:rsidRPr="00A15F66">
        <w:t xml:space="preserve"> </w:t>
      </w:r>
      <w:r w:rsidR="00B9544C" w:rsidRPr="00A15F66">
        <w:t>Participants</w:t>
      </w:r>
      <w:r w:rsidR="00B9544C">
        <w:t xml:space="preserve"> will also benefit from any savings associated with no longer needing to participate in the rental market</w:t>
      </w:r>
      <w:r w:rsidR="00073EA9">
        <w:t xml:space="preserve">, as of December 2024 the median </w:t>
      </w:r>
      <w:r w:rsidR="00C15CA9">
        <w:t>rent in Australia was $643 per week</w:t>
      </w:r>
      <w:r w:rsidR="00B9544C">
        <w:t>.</w:t>
      </w:r>
      <w:r w:rsidR="00862410">
        <w:rPr>
          <w:rStyle w:val="FootnoteReference"/>
        </w:rPr>
        <w:footnoteReference w:id="41"/>
      </w:r>
    </w:p>
    <w:p w14:paraId="050F6BF6" w14:textId="449966FD" w:rsidR="00B9544C" w:rsidRPr="00BA4330" w:rsidRDefault="00B9544C" w:rsidP="00B9544C">
      <w:pPr>
        <w:rPr>
          <w:b/>
          <w:bCs/>
          <w:color w:val="004261" w:themeColor="accent2"/>
          <w:sz w:val="24"/>
          <w:szCs w:val="24"/>
        </w:rPr>
      </w:pPr>
      <w:r w:rsidRPr="00BA4330">
        <w:rPr>
          <w:b/>
          <w:bCs/>
          <w:color w:val="004261" w:themeColor="accent2"/>
          <w:sz w:val="24"/>
          <w:szCs w:val="24"/>
        </w:rPr>
        <w:t>Additional wealth accumulation</w:t>
      </w:r>
    </w:p>
    <w:p w14:paraId="354E3897" w14:textId="7288A675" w:rsidR="004B61C4" w:rsidRDefault="00B9544C" w:rsidP="00B9544C">
      <w:r>
        <w:t xml:space="preserve">One of the principal benefits of home ownership is the additional equity created by the appreciation of home values over time. The Help to Buy </w:t>
      </w:r>
      <w:r w:rsidR="00B438A2">
        <w:t>scheme</w:t>
      </w:r>
      <w:r>
        <w:t xml:space="preserve"> will assist 40,000 Australians to purchase a home that they would not </w:t>
      </w:r>
      <w:r w:rsidRPr="007247C2">
        <w:t>otherwise be able to buy</w:t>
      </w:r>
      <w:r w:rsidR="00B30C51">
        <w:t>, allowing</w:t>
      </w:r>
      <w:r w:rsidRPr="007247C2">
        <w:t xml:space="preserve"> participants to benefit from the appreciation </w:t>
      </w:r>
      <w:r>
        <w:t xml:space="preserve">in value </w:t>
      </w:r>
      <w:r w:rsidRPr="007247C2">
        <w:t xml:space="preserve">of their property. While a proportion of this equity </w:t>
      </w:r>
      <w:r w:rsidR="003C273B">
        <w:t>appreciation</w:t>
      </w:r>
      <w:r w:rsidR="003C273B" w:rsidRPr="007247C2">
        <w:t xml:space="preserve"> </w:t>
      </w:r>
      <w:r w:rsidRPr="007247C2">
        <w:t xml:space="preserve">will be shared with the Commonwealth, </w:t>
      </w:r>
      <w:r w:rsidR="00F066C2">
        <w:t xml:space="preserve">homeowners will still receive significant benefits from participating in the </w:t>
      </w:r>
      <w:r w:rsidR="00B438A2">
        <w:t>scheme</w:t>
      </w:r>
      <w:r w:rsidR="00F066C2">
        <w:t xml:space="preserve">. It is also </w:t>
      </w:r>
      <w:r w:rsidR="006B62C1">
        <w:t xml:space="preserve">important to note that </w:t>
      </w:r>
      <w:r w:rsidR="009A4EC7">
        <w:t xml:space="preserve">no interest will be charged </w:t>
      </w:r>
      <w:r w:rsidR="00790085">
        <w:t xml:space="preserve">on </w:t>
      </w:r>
      <w:r w:rsidR="006B62C1">
        <w:t>Commonwealth’s equity contribution.</w:t>
      </w:r>
    </w:p>
    <w:p w14:paraId="4F8306CE" w14:textId="282225AC" w:rsidR="004B61C4" w:rsidRDefault="004B61C4" w:rsidP="00B9544C">
      <w:r>
        <w:t>Whil</w:t>
      </w:r>
      <w:r w:rsidR="009A046A">
        <w:t xml:space="preserve">e the precise impact of this effect will be heavily </w:t>
      </w:r>
      <w:r w:rsidR="0F9E2ED8">
        <w:t>dependent</w:t>
      </w:r>
      <w:r w:rsidR="009A046A">
        <w:t xml:space="preserve"> on </w:t>
      </w:r>
      <w:r w:rsidR="00AF462A">
        <w:t xml:space="preserve">property markets, the terms of a participant’s mortgage and </w:t>
      </w:r>
      <w:r w:rsidR="00D50179">
        <w:t xml:space="preserve">the size of the Commonwealth’s equity stake, </w:t>
      </w:r>
      <w:r w:rsidR="135110C8">
        <w:t xml:space="preserve">a potential </w:t>
      </w:r>
      <w:r w:rsidR="135110C8">
        <w:lastRenderedPageBreak/>
        <w:t>quantification</w:t>
      </w:r>
      <w:r w:rsidR="00D50179">
        <w:t xml:space="preserve"> </w:t>
      </w:r>
      <w:r w:rsidR="00D03E3B">
        <w:t xml:space="preserve">can be ascertained by considering the impact </w:t>
      </w:r>
      <w:r w:rsidR="0091692B">
        <w:t xml:space="preserve">such a </w:t>
      </w:r>
      <w:r w:rsidR="00B438A2">
        <w:t>scheme</w:t>
      </w:r>
      <w:r w:rsidR="0091692B">
        <w:t xml:space="preserve"> would have had on an individual purchasing </w:t>
      </w:r>
      <w:r w:rsidR="000841D7">
        <w:t xml:space="preserve">a property 30 years </w:t>
      </w:r>
      <w:r w:rsidR="006A0C64">
        <w:t>ago.</w:t>
      </w:r>
      <w:r w:rsidR="00C14712">
        <w:t xml:space="preserve"> </w:t>
      </w:r>
    </w:p>
    <w:p w14:paraId="269CD398" w14:textId="407B8EDF" w:rsidR="004B61C4" w:rsidRDefault="009E0836" w:rsidP="00B9544C">
      <w:r w:rsidDel="00FB49BB">
        <w:t xml:space="preserve">If an individual </w:t>
      </w:r>
      <w:r w:rsidR="007E5E65" w:rsidDel="00FB49BB">
        <w:t xml:space="preserve">had been able to purchase a </w:t>
      </w:r>
      <w:r w:rsidR="00845F1F" w:rsidDel="00FB49BB">
        <w:t xml:space="preserve">median dwelling through the use of a shared equity </w:t>
      </w:r>
      <w:r w:rsidR="00B438A2">
        <w:t>scheme</w:t>
      </w:r>
      <w:r w:rsidR="00845F1F" w:rsidDel="00FB49BB">
        <w:t xml:space="preserve"> in </w:t>
      </w:r>
      <w:r w:rsidR="00CA6A3B" w:rsidDel="00FB49BB">
        <w:t xml:space="preserve">December </w:t>
      </w:r>
      <w:r w:rsidR="00CA6A3B">
        <w:t>1994</w:t>
      </w:r>
      <w:r w:rsidR="00EF4BED">
        <w:t xml:space="preserve"> </w:t>
      </w:r>
      <w:r w:rsidR="00825C52">
        <w:t xml:space="preserve">at the median price of </w:t>
      </w:r>
      <w:r w:rsidR="0068338B">
        <w:t xml:space="preserve">$123,411, </w:t>
      </w:r>
      <w:r w:rsidR="50270718">
        <w:t>and assuming</w:t>
      </w:r>
      <w:r w:rsidR="0068338B">
        <w:t xml:space="preserve"> </w:t>
      </w:r>
      <w:r w:rsidR="009335BB">
        <w:t>that</w:t>
      </w:r>
      <w:r w:rsidR="5F081175">
        <w:t xml:space="preserve"> dwelling tracked price growth, </w:t>
      </w:r>
      <w:r w:rsidR="009335BB">
        <w:t>t</w:t>
      </w:r>
      <w:r w:rsidR="0027622D">
        <w:t xml:space="preserve">hat </w:t>
      </w:r>
      <w:r w:rsidR="0027622D" w:rsidDel="00564358">
        <w:t>property</w:t>
      </w:r>
      <w:r w:rsidR="0027622D">
        <w:t xml:space="preserve"> would now be valued at approximately $820,331</w:t>
      </w:r>
      <w:r w:rsidR="00B439E2">
        <w:t>.</w:t>
      </w:r>
      <w:r w:rsidR="007A28EE">
        <w:rPr>
          <w:rStyle w:val="FootnoteReference"/>
        </w:rPr>
        <w:footnoteReference w:id="42"/>
      </w:r>
      <w:r w:rsidR="00B439E2">
        <w:t xml:space="preserve"> </w:t>
      </w:r>
      <w:r w:rsidR="00B249EF">
        <w:t xml:space="preserve">With a </w:t>
      </w:r>
      <w:r w:rsidR="00B249EF" w:rsidDel="00A3775C">
        <w:t>Government</w:t>
      </w:r>
      <w:r w:rsidR="000B7B1F" w:rsidDel="00A3775C">
        <w:t xml:space="preserve"> </w:t>
      </w:r>
      <w:r w:rsidR="007D2EAA" w:rsidDel="00A3775C">
        <w:t>equity</w:t>
      </w:r>
      <w:r w:rsidR="00132C0F">
        <w:t xml:space="preserve"> contribution </w:t>
      </w:r>
      <w:r w:rsidR="007D2EAA">
        <w:t>of 30</w:t>
      </w:r>
      <w:r w:rsidR="008174DA">
        <w:t xml:space="preserve"> per cent</w:t>
      </w:r>
      <w:r w:rsidR="00CE32D5">
        <w:t>, the participant</w:t>
      </w:r>
      <w:r w:rsidR="00A05248">
        <w:t xml:space="preserve">’s capital gain would be approximately </w:t>
      </w:r>
      <w:r w:rsidR="00CE5AC9">
        <w:t>$450,000</w:t>
      </w:r>
      <w:r w:rsidR="1B48FE5E">
        <w:t>, without factoring</w:t>
      </w:r>
      <w:r w:rsidR="0789BA6F">
        <w:t xml:space="preserve"> </w:t>
      </w:r>
      <w:r w:rsidR="2E9F25A4">
        <w:t>in further interest</w:t>
      </w:r>
      <w:r w:rsidR="0789BA6F">
        <w:t xml:space="preserve"> </w:t>
      </w:r>
      <w:r w:rsidR="2E9F25A4">
        <w:t>savings.</w:t>
      </w:r>
    </w:p>
    <w:p w14:paraId="0938112B" w14:textId="4DEF70BB" w:rsidR="00B9544C" w:rsidRPr="00BA4330" w:rsidRDefault="00B9544C" w:rsidP="00B9544C">
      <w:pPr>
        <w:rPr>
          <w:b/>
          <w:bCs/>
          <w:color w:val="004261" w:themeColor="accent2"/>
          <w:sz w:val="24"/>
          <w:szCs w:val="24"/>
        </w:rPr>
      </w:pPr>
      <w:r w:rsidRPr="00BA4330">
        <w:rPr>
          <w:b/>
          <w:bCs/>
          <w:color w:val="004261" w:themeColor="accent2"/>
          <w:sz w:val="24"/>
          <w:szCs w:val="24"/>
        </w:rPr>
        <w:t>Benefits associated with home ownership</w:t>
      </w:r>
    </w:p>
    <w:p w14:paraId="46F75445" w14:textId="418CAB08" w:rsidR="00B9544C" w:rsidRPr="00B576B2" w:rsidRDefault="00B9544C" w:rsidP="00B9544C">
      <w:pPr>
        <w:rPr>
          <w:b/>
          <w:bCs/>
          <w:sz w:val="24"/>
          <w:szCs w:val="24"/>
        </w:rPr>
      </w:pPr>
      <w:r>
        <w:t>As discussed in Section 2, a</w:t>
      </w:r>
      <w:r w:rsidRPr="00435505">
        <w:t>c</w:t>
      </w:r>
      <w:r>
        <w:t>cess to affordable and quality housing provides significant economic and social benefits both to individuals and society more broadly.</w:t>
      </w:r>
      <w:r w:rsidR="00536B8B">
        <w:rPr>
          <w:rStyle w:val="FootnoteReference"/>
        </w:rPr>
        <w:footnoteReference w:id="43"/>
      </w:r>
      <w:r>
        <w:t xml:space="preserve"> While many of these benefits can also be provided by affordable and high-quality rental accommodation, home ownership can increase the extent of these benefits. </w:t>
      </w:r>
      <w:r w:rsidRPr="000232C4">
        <w:t>It can offer stable tenure, which supports long-term planning around work, education, and staying connected to your community. Financially, it can act as a form of savings, with mortgage repayments building equity over time</w:t>
      </w:r>
      <w:r>
        <w:t xml:space="preserve">, which is particularly important in </w:t>
      </w:r>
      <w:r w:rsidRPr="000232C4">
        <w:t>improv</w:t>
      </w:r>
      <w:r>
        <w:t>ing</w:t>
      </w:r>
      <w:r w:rsidRPr="000232C4">
        <w:t xml:space="preserve"> retirement outcomes</w:t>
      </w:r>
      <w:r w:rsidR="00964F61">
        <w:t>.</w:t>
      </w:r>
      <w:r w:rsidR="00964F61">
        <w:rPr>
          <w:rStyle w:val="FootnoteReference"/>
        </w:rPr>
        <w:footnoteReference w:id="44"/>
      </w:r>
      <w:r w:rsidRPr="000232C4">
        <w:t xml:space="preserve"> </w:t>
      </w:r>
      <w:r>
        <w:t xml:space="preserve">While these effects are difficult to quantify, they will provide real benefits to participants in the </w:t>
      </w:r>
      <w:r w:rsidR="00B438A2">
        <w:t>scheme</w:t>
      </w:r>
      <w:r>
        <w:t>.</w:t>
      </w:r>
    </w:p>
    <w:p w14:paraId="1968B702" w14:textId="77777777" w:rsidR="00B9544C" w:rsidRPr="00BA4330" w:rsidRDefault="00B9544C" w:rsidP="00B9544C">
      <w:pPr>
        <w:rPr>
          <w:b/>
          <w:bCs/>
          <w:color w:val="004261" w:themeColor="accent2"/>
          <w:sz w:val="24"/>
          <w:szCs w:val="24"/>
        </w:rPr>
      </w:pPr>
      <w:r w:rsidRPr="00BA4330">
        <w:rPr>
          <w:b/>
          <w:bCs/>
          <w:color w:val="004261" w:themeColor="accent2"/>
          <w:sz w:val="24"/>
          <w:szCs w:val="24"/>
        </w:rPr>
        <w:t>Impact on house prices</w:t>
      </w:r>
    </w:p>
    <w:p w14:paraId="61417655" w14:textId="22607270" w:rsidR="00B9544C" w:rsidRPr="00694C3F" w:rsidRDefault="00B9544C" w:rsidP="00B9544C">
      <w:r w:rsidRPr="00694C3F">
        <w:t xml:space="preserve">Help to Buy increases the purchasing capacity of eligible applicants. Policies that increase the purchasing capacity of buyers can put upward pressure on housing prices by adding to demand, without a corresponding increase in supply. However, Help to Buy is expected to have </w:t>
      </w:r>
      <w:r>
        <w:t>a limited</w:t>
      </w:r>
      <w:r w:rsidRPr="00694C3F">
        <w:t xml:space="preserve"> impact on the aggregate level of housing prices </w:t>
      </w:r>
      <w:r w:rsidR="0018157A">
        <w:t xml:space="preserve">as support under the </w:t>
      </w:r>
      <w:r w:rsidR="00B438A2">
        <w:t>scheme</w:t>
      </w:r>
      <w:r w:rsidR="0018157A">
        <w:t xml:space="preserve"> is capped </w:t>
      </w:r>
      <w:r w:rsidR="005051EC">
        <w:t xml:space="preserve">at </w:t>
      </w:r>
      <w:r w:rsidRPr="00694C3F">
        <w:t>10,000 property purchases each year, which is a small proportion of</w:t>
      </w:r>
      <w:r>
        <w:t xml:space="preserve"> the</w:t>
      </w:r>
      <w:r w:rsidRPr="00694C3F">
        <w:t xml:space="preserve"> </w:t>
      </w:r>
      <w:r>
        <w:t>5</w:t>
      </w:r>
      <w:r w:rsidR="00C64423">
        <w:t>30</w:t>
      </w:r>
      <w:r>
        <w:t xml:space="preserve">,000 </w:t>
      </w:r>
      <w:r w:rsidR="00B054F8">
        <w:t xml:space="preserve">residential </w:t>
      </w:r>
      <w:r w:rsidRPr="00694C3F">
        <w:t>property transactions that occur</w:t>
      </w:r>
      <w:r>
        <w:t>red</w:t>
      </w:r>
      <w:r w:rsidRPr="00694C3F">
        <w:t xml:space="preserve"> in Australia </w:t>
      </w:r>
      <w:r>
        <w:t>in 2024</w:t>
      </w:r>
      <w:r w:rsidRPr="00694C3F">
        <w:t>.</w:t>
      </w:r>
      <w:r>
        <w:rPr>
          <w:rStyle w:val="FootnoteReference"/>
        </w:rPr>
        <w:footnoteReference w:id="45"/>
      </w:r>
      <w:r w:rsidRPr="00694C3F">
        <w:t xml:space="preserve"> </w:t>
      </w:r>
      <w:r w:rsidR="005C2F21">
        <w:t xml:space="preserve">While the </w:t>
      </w:r>
      <w:r w:rsidR="00B438A2">
        <w:t>scheme</w:t>
      </w:r>
      <w:r w:rsidR="005C2F21">
        <w:t xml:space="preserve">’s property price caps will result in the impact of Help to Buy being concentrated in the </w:t>
      </w:r>
      <w:r w:rsidR="002A08CC">
        <w:t>entry level section of the market</w:t>
      </w:r>
      <w:r w:rsidR="005C2F21">
        <w:t xml:space="preserve">, it remains a very small proportion of the total </w:t>
      </w:r>
      <w:r w:rsidR="00F22780">
        <w:t xml:space="preserve">annual </w:t>
      </w:r>
      <w:r w:rsidR="005C2F21">
        <w:t>transactions</w:t>
      </w:r>
      <w:r w:rsidR="00F22780">
        <w:t>.</w:t>
      </w:r>
    </w:p>
    <w:p w14:paraId="06B3F0D8" w14:textId="1F7515BB" w:rsidR="00F22780" w:rsidRDefault="00B01365" w:rsidP="00B9544C">
      <w:pPr>
        <w:rPr>
          <w:rStyle w:val="CommentReference"/>
          <w:rFonts w:eastAsiaTheme="minorHAnsi"/>
          <w:color w:val="314A63" w:themeColor="text1" w:themeTint="D9"/>
        </w:rPr>
      </w:pPr>
      <w:r>
        <w:t xml:space="preserve">While the limited scale of </w:t>
      </w:r>
      <w:r w:rsidR="00B9544C" w:rsidRPr="00694C3F">
        <w:t xml:space="preserve">Help to Buy </w:t>
      </w:r>
      <w:r>
        <w:t xml:space="preserve">is unlikely to significantly impact housing supply, the </w:t>
      </w:r>
      <w:r w:rsidR="00B438A2">
        <w:t>scheme</w:t>
      </w:r>
      <w:r>
        <w:t xml:space="preserve"> </w:t>
      </w:r>
      <w:r w:rsidR="00762972">
        <w:t xml:space="preserve">may </w:t>
      </w:r>
      <w:r w:rsidR="00B9544C" w:rsidRPr="00694C3F">
        <w:t>encourage eligible buyers to choose new dwelling construction where possible by offering more support for this type of dwelling (40 per cent rather than 30 per cent). Long</w:t>
      </w:r>
      <w:r w:rsidR="00B9544C">
        <w:noBreakHyphen/>
      </w:r>
      <w:r w:rsidR="00B9544C" w:rsidRPr="00694C3F">
        <w:t xml:space="preserve">term housing </w:t>
      </w:r>
      <w:r w:rsidR="00B9544C" w:rsidRPr="00694C3F">
        <w:lastRenderedPageBreak/>
        <w:t xml:space="preserve">affordability relies on the provision of new supply. As such, measures that encourage new dwelling supply will generally deliver a net benefit for homebuyers in the long term. </w:t>
      </w:r>
      <w:r w:rsidR="00B9544C">
        <w:t>C</w:t>
      </w:r>
      <w:r w:rsidR="00B9544C" w:rsidRPr="00694C3F">
        <w:t>apacity constraints and labour shortages in the construction sector mean that any measure that increases demand for new dwellings in the current environment may not meaningfully increase overall supply. Rather, bringing forward demand for new dwellings when construction capacity is fully utilised may only result in price increases for all buyers.</w:t>
      </w:r>
    </w:p>
    <w:p w14:paraId="7A1EC9CE" w14:textId="4FEA7113" w:rsidR="00B9544C" w:rsidRDefault="00F22780" w:rsidP="00B9544C">
      <w:r>
        <w:t>As</w:t>
      </w:r>
      <w:r w:rsidR="00962257">
        <w:t xml:space="preserve"> with the broader price impacts of the </w:t>
      </w:r>
      <w:r w:rsidR="00B438A2">
        <w:t>scheme</w:t>
      </w:r>
      <w:r>
        <w:t>, the impact on new constructions</w:t>
      </w:r>
      <w:r w:rsidR="00962257">
        <w:t xml:space="preserve"> is likely to be limited, </w:t>
      </w:r>
      <w:r w:rsidR="000D7AF1">
        <w:t xml:space="preserve">at most the </w:t>
      </w:r>
      <w:r w:rsidR="00B438A2">
        <w:t>scheme</w:t>
      </w:r>
      <w:r w:rsidR="000D7AF1">
        <w:t xml:space="preserve"> would be able to support the construction of 10,000 additional dwelling each year</w:t>
      </w:r>
      <w:r w:rsidR="00FD07C7">
        <w:t xml:space="preserve">. </w:t>
      </w:r>
      <w:r w:rsidR="00C5795E">
        <w:t xml:space="preserve">This represents a relatively small proportion of the </w:t>
      </w:r>
      <w:r w:rsidR="006B3FEE">
        <w:t xml:space="preserve">approximately 180,000 new dwellings completed in Australia in 2024. </w:t>
      </w:r>
      <w:r w:rsidR="009E3157">
        <w:t xml:space="preserve">While the </w:t>
      </w:r>
      <w:r w:rsidR="00B438A2">
        <w:t>scheme</w:t>
      </w:r>
      <w:r w:rsidR="009E3157">
        <w:t xml:space="preserve"> property price caps </w:t>
      </w:r>
      <w:r w:rsidR="0069246A">
        <w:t>mean</w:t>
      </w:r>
      <w:r w:rsidR="003872AC">
        <w:t xml:space="preserve"> the</w:t>
      </w:r>
      <w:r w:rsidR="009E3157">
        <w:t xml:space="preserve"> impact of the </w:t>
      </w:r>
      <w:r w:rsidR="00B438A2">
        <w:t>scheme</w:t>
      </w:r>
      <w:r w:rsidR="009E3157">
        <w:t xml:space="preserve"> </w:t>
      </w:r>
      <w:r w:rsidR="0069246A">
        <w:t xml:space="preserve">will be concentrated </w:t>
      </w:r>
      <w:r w:rsidR="003872AC">
        <w:t xml:space="preserve">in </w:t>
      </w:r>
      <w:r w:rsidR="006543AA">
        <w:t xml:space="preserve">the entry level section of the market, </w:t>
      </w:r>
      <w:r w:rsidR="000F457E">
        <w:t xml:space="preserve">as with the broader impact of the </w:t>
      </w:r>
      <w:r w:rsidR="00B438A2">
        <w:t>scheme</w:t>
      </w:r>
      <w:r w:rsidR="000F457E">
        <w:t xml:space="preserve">, it is unlikely this will have a significant impact on the </w:t>
      </w:r>
      <w:r w:rsidR="00510998">
        <w:t>market.</w:t>
      </w:r>
      <w:r w:rsidR="005178FE">
        <w:t xml:space="preserve"> </w:t>
      </w:r>
      <w:r w:rsidR="00B9544C" w:rsidRPr="00694C3F">
        <w:t>Moreover, by splitting demand between existing and new dwellings, the potential impact on aggregate dwelling prices</w:t>
      </w:r>
      <w:r w:rsidR="001F3A05">
        <w:t xml:space="preserve"> will be further </w:t>
      </w:r>
      <w:r w:rsidR="00262592">
        <w:t>moderated</w:t>
      </w:r>
      <w:r w:rsidR="007E665C">
        <w:t xml:space="preserve"> by encouraging a portion of </w:t>
      </w:r>
      <w:r w:rsidR="00B91829">
        <w:t>purchase</w:t>
      </w:r>
      <w:r w:rsidR="00262592">
        <w:t>d</w:t>
      </w:r>
      <w:r w:rsidR="00B91829">
        <w:t xml:space="preserve"> dwellings to be new supply</w:t>
      </w:r>
      <w:r w:rsidR="00B9544C" w:rsidRPr="00694C3F">
        <w:t>.</w:t>
      </w:r>
    </w:p>
    <w:p w14:paraId="0A30E671" w14:textId="77777777" w:rsidR="00B9544C" w:rsidRPr="00BA4330" w:rsidRDefault="00B9544C" w:rsidP="00B9544C">
      <w:pPr>
        <w:rPr>
          <w:b/>
          <w:bCs/>
          <w:color w:val="004261" w:themeColor="accent2"/>
          <w:sz w:val="24"/>
          <w:szCs w:val="24"/>
        </w:rPr>
      </w:pPr>
      <w:r w:rsidRPr="00BA4330">
        <w:rPr>
          <w:b/>
          <w:bCs/>
          <w:color w:val="004261" w:themeColor="accent2"/>
          <w:sz w:val="24"/>
          <w:szCs w:val="24"/>
        </w:rPr>
        <w:t>Impact on lenders and LMI providers</w:t>
      </w:r>
    </w:p>
    <w:p w14:paraId="1105213F" w14:textId="0B736C00" w:rsidR="00B9544C" w:rsidRPr="00694C3F" w:rsidRDefault="00B9544C" w:rsidP="00B9544C">
      <w:r w:rsidRPr="00694C3F">
        <w:t xml:space="preserve">Participating lenders will assist with the delivery of Help to Buy. </w:t>
      </w:r>
      <w:r>
        <w:t xml:space="preserve">Importantly, Help to Buy is not mandatory for lenders and they have the choice of whether to apply to participate. For those lenders already involved in delivery of </w:t>
      </w:r>
      <w:r w:rsidRPr="00694C3F">
        <w:t xml:space="preserve">the First Home Guarantee (formerly the First Home Loan Deposit </w:t>
      </w:r>
      <w:r w:rsidR="00B438A2">
        <w:t>Scheme</w:t>
      </w:r>
      <w:r w:rsidRPr="00694C3F">
        <w:t xml:space="preserve">) which has been in operation since January 2020, </w:t>
      </w:r>
      <w:r>
        <w:t>should they elect to implement Help to Buy, they will be able to leverage from their experiences</w:t>
      </w:r>
      <w:r w:rsidRPr="00694C3F">
        <w:t xml:space="preserve">. </w:t>
      </w:r>
      <w:r>
        <w:t>Housing Australia will seek to align its implementation, where possible, with industry practice to minimise additional compliance and regulatory burden.</w:t>
      </w:r>
      <w:r w:rsidRPr="00694C3F">
        <w:t xml:space="preserve"> </w:t>
      </w:r>
    </w:p>
    <w:p w14:paraId="52E8B131" w14:textId="33D6074E" w:rsidR="00EA5863" w:rsidRDefault="00B9544C" w:rsidP="00B9544C">
      <w:r>
        <w:t xml:space="preserve">The </w:t>
      </w:r>
      <w:r w:rsidRPr="00694C3F">
        <w:t xml:space="preserve">Help to Buy </w:t>
      </w:r>
      <w:r w:rsidR="00B438A2">
        <w:t>scheme</w:t>
      </w:r>
      <w:r w:rsidRPr="00694C3F">
        <w:t xml:space="preserve"> is targeted at homebuyers who would otherwise </w:t>
      </w:r>
      <w:r>
        <w:t>not be able</w:t>
      </w:r>
      <w:r w:rsidRPr="00694C3F">
        <w:t xml:space="preserve"> to enter the property market, which </w:t>
      </w:r>
      <w:r>
        <w:t>by design should mean it is not displacing demand for private LMI products, where homebuyers would need to be able to service high loan-to-valuation ratio mortgages</w:t>
      </w:r>
      <w:r w:rsidRPr="00694C3F">
        <w:t xml:space="preserve">. That said, a proportion of Help to Buy places </w:t>
      </w:r>
      <w:r>
        <w:t>may</w:t>
      </w:r>
      <w:r w:rsidRPr="00694C3F">
        <w:t xml:space="preserve"> go to households who may have otherwise been able to enter the market within a few years. Some of these, in turn, may have entered </w:t>
      </w:r>
      <w:r>
        <w:t xml:space="preserve">the market </w:t>
      </w:r>
      <w:r w:rsidRPr="00694C3F">
        <w:t xml:space="preserve">with the support of </w:t>
      </w:r>
      <w:r>
        <w:t xml:space="preserve">the </w:t>
      </w:r>
      <w:r w:rsidR="00B438A2">
        <w:t>Home Guarantee Scheme</w:t>
      </w:r>
      <w:r>
        <w:t>. As such</w:t>
      </w:r>
      <w:r w:rsidRPr="00694C3F">
        <w:t xml:space="preserve">, </w:t>
      </w:r>
      <w:r>
        <w:t>the implementation of Help to Buy</w:t>
      </w:r>
      <w:r w:rsidRPr="00694C3F">
        <w:t xml:space="preserve"> would not necessarily represent foregone future demand for LMI-support</w:t>
      </w:r>
      <w:r>
        <w:t>ed</w:t>
      </w:r>
      <w:r w:rsidRPr="00694C3F">
        <w:t xml:space="preserve"> loans.</w:t>
      </w:r>
    </w:p>
    <w:p w14:paraId="0CD9171A" w14:textId="58D65245" w:rsidR="00B9544C" w:rsidRDefault="00881B29" w:rsidP="00B9544C">
      <w:r>
        <w:t xml:space="preserve">Additionally, </w:t>
      </w:r>
      <w:r w:rsidR="00EA5863">
        <w:t xml:space="preserve">some of the properties purchased under the </w:t>
      </w:r>
      <w:r w:rsidR="00B438A2">
        <w:t>scheme</w:t>
      </w:r>
      <w:r w:rsidR="00EA5863">
        <w:t xml:space="preserve"> would have otherwise been purchased </w:t>
      </w:r>
      <w:r w:rsidR="00F14786">
        <w:t>by individuals making use of LMI. However,</w:t>
      </w:r>
      <w:r w:rsidR="00EA5863">
        <w:t xml:space="preserve"> </w:t>
      </w:r>
      <w:r w:rsidR="00E60577">
        <w:t xml:space="preserve">as has been previously noted, given Help to Buy will </w:t>
      </w:r>
      <w:r w:rsidR="003405DB">
        <w:t xml:space="preserve">assist in the purchase </w:t>
      </w:r>
      <w:r w:rsidR="00900EB4">
        <w:t>of 10,000 dwellings each year for 4 years</w:t>
      </w:r>
      <w:r w:rsidR="00F14786">
        <w:t xml:space="preserve"> in the context of a market that had 530,000 </w:t>
      </w:r>
      <w:r w:rsidR="00B054F8">
        <w:t xml:space="preserve">residential </w:t>
      </w:r>
      <w:r w:rsidR="00F14786">
        <w:t xml:space="preserve">property transactions </w:t>
      </w:r>
      <w:r w:rsidR="004A40C1">
        <w:t>in 2024, the total impact of this is likely to be negligible.</w:t>
      </w:r>
    </w:p>
    <w:p w14:paraId="34EBC515" w14:textId="795D1E50" w:rsidR="00C3757D" w:rsidRPr="00E74693" w:rsidRDefault="00C3757D" w:rsidP="00B9544C">
      <w:pPr>
        <w:rPr>
          <w:b/>
          <w:bCs/>
          <w:color w:val="004261" w:themeColor="accent2"/>
          <w:sz w:val="24"/>
          <w:szCs w:val="24"/>
        </w:rPr>
      </w:pPr>
      <w:r>
        <w:rPr>
          <w:b/>
          <w:bCs/>
          <w:color w:val="004261" w:themeColor="accent2"/>
          <w:sz w:val="24"/>
          <w:szCs w:val="24"/>
        </w:rPr>
        <w:t>Conclusion</w:t>
      </w:r>
    </w:p>
    <w:p w14:paraId="58445FBD" w14:textId="3021A9A1" w:rsidR="004243E8" w:rsidRPr="00B9544C" w:rsidRDefault="00B9544C" w:rsidP="00EB0DC5">
      <w:pPr>
        <w:rPr>
          <w:rStyle w:val="BodyTextChar"/>
          <w:rFonts w:eastAsiaTheme="minorEastAsia"/>
          <w:color w:val="auto"/>
          <w:sz w:val="22"/>
          <w:szCs w:val="21"/>
        </w:rPr>
      </w:pPr>
      <w:r w:rsidRPr="00694C3F">
        <w:t>Overall, the benefits of enabling 40,000 additional low</w:t>
      </w:r>
      <w:r>
        <w:t xml:space="preserve">- and </w:t>
      </w:r>
      <w:r w:rsidRPr="00694C3F">
        <w:t>middle</w:t>
      </w:r>
      <w:r>
        <w:t>-</w:t>
      </w:r>
      <w:r w:rsidRPr="00694C3F">
        <w:t xml:space="preserve">income households to achieve </w:t>
      </w:r>
      <w:r>
        <w:t>home ownership</w:t>
      </w:r>
      <w:r w:rsidRPr="00694C3F">
        <w:t xml:space="preserve">, including obtaining the social and economic benefits that </w:t>
      </w:r>
      <w:r>
        <w:t>home ownership</w:t>
      </w:r>
      <w:r w:rsidRPr="00694C3F">
        <w:t xml:space="preserve"> </w:t>
      </w:r>
      <w:r w:rsidRPr="00694C3F">
        <w:lastRenderedPageBreak/>
        <w:t xml:space="preserve">entails, outweigh the potential disadvantages. As discussed in this section, Help to Buy is not expected to have significant impacts on established housing prices and demand </w:t>
      </w:r>
      <w:r>
        <w:t>in</w:t>
      </w:r>
      <w:r w:rsidRPr="00694C3F">
        <w:t xml:space="preserve"> the residential construction and LMI sectors, nor impose significant additional compliance costs on participating lenders.</w:t>
      </w:r>
    </w:p>
    <w:p w14:paraId="499AC81D" w14:textId="32065D53" w:rsidR="00FD7ACA" w:rsidRPr="0034229C" w:rsidRDefault="00981C63" w:rsidP="00F94843">
      <w:pPr>
        <w:pStyle w:val="Heading2"/>
        <w:rPr>
          <w:color w:val="004261" w:themeColor="accent2"/>
        </w:rPr>
      </w:pPr>
      <w:r w:rsidRPr="0034229C">
        <w:rPr>
          <w:color w:val="004261" w:themeColor="accent2"/>
        </w:rPr>
        <w:t>4.</w:t>
      </w:r>
      <w:r w:rsidR="00B81AE6">
        <w:rPr>
          <w:color w:val="004261" w:themeColor="accent2"/>
        </w:rPr>
        <w:t xml:space="preserve">6 </w:t>
      </w:r>
      <w:r w:rsidR="00FD7ACA" w:rsidRPr="0034229C">
        <w:rPr>
          <w:color w:val="004261" w:themeColor="accent2"/>
        </w:rPr>
        <w:t>Regulatory Burden Estimate</w:t>
      </w:r>
    </w:p>
    <w:p w14:paraId="4E11CCE5" w14:textId="3E08EA50" w:rsidR="00FD7ACA" w:rsidRPr="00BA4330" w:rsidRDefault="00FD7ACA" w:rsidP="00BC2557">
      <w:pPr>
        <w:rPr>
          <w:b/>
          <w:bCs/>
          <w:color w:val="004261" w:themeColor="accent2"/>
        </w:rPr>
      </w:pPr>
      <w:r w:rsidRPr="00BA4330">
        <w:rPr>
          <w:b/>
          <w:bCs/>
          <w:color w:val="004261" w:themeColor="accent2"/>
        </w:rPr>
        <w:t xml:space="preserve">Table </w:t>
      </w:r>
      <w:r w:rsidR="00825D3D" w:rsidRPr="00BA4330">
        <w:rPr>
          <w:b/>
          <w:bCs/>
          <w:color w:val="004261" w:themeColor="accent2"/>
        </w:rPr>
        <w:t>4.</w:t>
      </w:r>
      <w:r w:rsidR="00343494">
        <w:rPr>
          <w:b/>
          <w:bCs/>
          <w:color w:val="004261" w:themeColor="accent2"/>
        </w:rPr>
        <w:t>1</w:t>
      </w:r>
      <w:r w:rsidRPr="00BA4330">
        <w:rPr>
          <w:b/>
          <w:bCs/>
          <w:color w:val="004261" w:themeColor="accent2"/>
        </w:rPr>
        <w:t>: Regulatory burden estimate (RBE) table</w:t>
      </w:r>
      <w:r w:rsidR="00BC2557" w:rsidRPr="00BA4330">
        <w:rPr>
          <w:b/>
          <w:bCs/>
          <w:color w:val="004261" w:themeColor="accent2"/>
        </w:rPr>
        <w:t xml:space="preserve"> - </w:t>
      </w:r>
      <w:r w:rsidRPr="00BA4330">
        <w:rPr>
          <w:b/>
          <w:bCs/>
          <w:color w:val="004261" w:themeColor="accent2"/>
        </w:rPr>
        <w:t xml:space="preserve">Average annual regulatory costs (from </w:t>
      </w:r>
      <w:r w:rsidR="00255B4E">
        <w:rPr>
          <w:b/>
          <w:bCs/>
          <w:color w:val="004261" w:themeColor="accent2"/>
        </w:rPr>
        <w:t>s</w:t>
      </w:r>
      <w:r w:rsidR="0033060E" w:rsidRPr="00BA4330">
        <w:rPr>
          <w:b/>
          <w:bCs/>
          <w:color w:val="004261" w:themeColor="accent2"/>
        </w:rPr>
        <w:t xml:space="preserve">tatus </w:t>
      </w:r>
      <w:r w:rsidR="00255B4E">
        <w:rPr>
          <w:b/>
          <w:bCs/>
          <w:color w:val="004261" w:themeColor="accent2"/>
        </w:rPr>
        <w:t>q</w:t>
      </w:r>
      <w:r w:rsidR="0033060E" w:rsidRPr="00BA4330">
        <w:rPr>
          <w:b/>
          <w:bCs/>
          <w:color w:val="004261" w:themeColor="accent2"/>
        </w:rPr>
        <w:t>uo</w:t>
      </w:r>
      <w:r w:rsidRPr="00BA4330">
        <w:rPr>
          <w:b/>
          <w:bCs/>
          <w:color w:val="004261" w:themeColor="accent2"/>
        </w:rPr>
        <w:t>)</w:t>
      </w:r>
    </w:p>
    <w:tbl>
      <w:tblPr>
        <w:tblStyle w:val="Custom1"/>
        <w:tblW w:w="0" w:type="auto"/>
        <w:tblLook w:val="04A0" w:firstRow="1" w:lastRow="0" w:firstColumn="1" w:lastColumn="0" w:noHBand="0" w:noVBand="1"/>
      </w:tblPr>
      <w:tblGrid>
        <w:gridCol w:w="1925"/>
        <w:gridCol w:w="1925"/>
        <w:gridCol w:w="1926"/>
        <w:gridCol w:w="1926"/>
        <w:gridCol w:w="1926"/>
      </w:tblGrid>
      <w:tr w:rsidR="00FD7ACA" w:rsidRPr="00BC2557" w14:paraId="4D415C62" w14:textId="77777777" w:rsidTr="00670B75">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1C2B39" w:themeColor="accent1"/>
              <w:left w:val="nil"/>
              <w:bottom w:val="single" w:sz="4" w:space="0" w:color="1C2B39" w:themeColor="accent1"/>
              <w:right w:val="nil"/>
            </w:tcBorders>
            <w:shd w:val="clear" w:color="auto" w:fill="auto"/>
            <w:hideMark/>
          </w:tcPr>
          <w:p w14:paraId="1BEE57AB" w14:textId="77777777" w:rsidR="00FD7ACA" w:rsidRPr="00BC2557" w:rsidRDefault="00FD7ACA">
            <w:pPr>
              <w:pStyle w:val="Figure"/>
              <w:numPr>
                <w:ilvl w:val="0"/>
                <w:numId w:val="0"/>
              </w:numPr>
              <w:rPr>
                <w:b w:val="0"/>
                <w:color w:val="auto"/>
              </w:rPr>
            </w:pPr>
            <w:r w:rsidRPr="00BC2557">
              <w:rPr>
                <w:b w:val="0"/>
                <w:color w:val="auto"/>
              </w:rPr>
              <w:t>Change in costs ($ million)</w:t>
            </w:r>
          </w:p>
        </w:tc>
        <w:tc>
          <w:tcPr>
            <w:tcW w:w="0" w:type="dxa"/>
            <w:tcBorders>
              <w:top w:val="single" w:sz="4" w:space="0" w:color="1C2B39" w:themeColor="accent1"/>
              <w:left w:val="nil"/>
              <w:bottom w:val="single" w:sz="4" w:space="0" w:color="1C2B39" w:themeColor="accent1"/>
              <w:right w:val="nil"/>
            </w:tcBorders>
            <w:shd w:val="clear" w:color="auto" w:fill="auto"/>
            <w:hideMark/>
          </w:tcPr>
          <w:p w14:paraId="21A5F2DF" w14:textId="77777777" w:rsidR="00FD7ACA" w:rsidRPr="00BC2557" w:rsidRDefault="00FD7ACA">
            <w:pPr>
              <w:pStyle w:val="Figure"/>
              <w:numPr>
                <w:ilvl w:val="0"/>
                <w:numId w:val="0"/>
              </w:numPr>
              <w:rPr>
                <w:b w:val="0"/>
                <w:color w:val="auto"/>
              </w:rPr>
            </w:pPr>
            <w:r w:rsidRPr="00BC2557">
              <w:rPr>
                <w:b w:val="0"/>
                <w:color w:val="auto"/>
              </w:rPr>
              <w:t>Business</w:t>
            </w:r>
          </w:p>
        </w:tc>
        <w:tc>
          <w:tcPr>
            <w:tcW w:w="0" w:type="dxa"/>
            <w:tcBorders>
              <w:top w:val="single" w:sz="4" w:space="0" w:color="1C2B39" w:themeColor="accent1"/>
              <w:left w:val="nil"/>
              <w:bottom w:val="single" w:sz="4" w:space="0" w:color="1C2B39" w:themeColor="accent1"/>
              <w:right w:val="nil"/>
            </w:tcBorders>
            <w:shd w:val="clear" w:color="auto" w:fill="auto"/>
            <w:hideMark/>
          </w:tcPr>
          <w:p w14:paraId="76630DE1" w14:textId="77777777" w:rsidR="00FD7ACA" w:rsidRPr="00BC2557" w:rsidRDefault="00FD7ACA">
            <w:pPr>
              <w:pStyle w:val="Figure"/>
              <w:numPr>
                <w:ilvl w:val="0"/>
                <w:numId w:val="0"/>
              </w:numPr>
              <w:rPr>
                <w:b w:val="0"/>
                <w:color w:val="auto"/>
              </w:rPr>
            </w:pPr>
            <w:r w:rsidRPr="00BC2557">
              <w:rPr>
                <w:b w:val="0"/>
                <w:color w:val="auto"/>
              </w:rPr>
              <w:t>Community organisations</w:t>
            </w:r>
          </w:p>
        </w:tc>
        <w:tc>
          <w:tcPr>
            <w:tcW w:w="0" w:type="dxa"/>
            <w:tcBorders>
              <w:top w:val="single" w:sz="4" w:space="0" w:color="1C2B39" w:themeColor="accent1"/>
              <w:left w:val="nil"/>
              <w:bottom w:val="single" w:sz="4" w:space="0" w:color="1C2B39" w:themeColor="accent1"/>
              <w:right w:val="nil"/>
            </w:tcBorders>
            <w:shd w:val="clear" w:color="auto" w:fill="auto"/>
            <w:hideMark/>
          </w:tcPr>
          <w:p w14:paraId="51186BC5" w14:textId="77777777" w:rsidR="00FD7ACA" w:rsidRPr="00BC2557" w:rsidRDefault="00FD7ACA">
            <w:pPr>
              <w:pStyle w:val="Figure"/>
              <w:numPr>
                <w:ilvl w:val="0"/>
                <w:numId w:val="0"/>
              </w:numPr>
              <w:rPr>
                <w:b w:val="0"/>
                <w:color w:val="auto"/>
              </w:rPr>
            </w:pPr>
            <w:r w:rsidRPr="00BC2557">
              <w:rPr>
                <w:b w:val="0"/>
                <w:color w:val="auto"/>
              </w:rPr>
              <w:t>Individuals</w:t>
            </w:r>
          </w:p>
        </w:tc>
        <w:tc>
          <w:tcPr>
            <w:tcW w:w="0" w:type="dxa"/>
            <w:tcBorders>
              <w:top w:val="single" w:sz="4" w:space="0" w:color="1C2B39" w:themeColor="accent1"/>
              <w:left w:val="nil"/>
              <w:bottom w:val="single" w:sz="4" w:space="0" w:color="1C2B39" w:themeColor="accent1"/>
              <w:right w:val="nil"/>
            </w:tcBorders>
            <w:shd w:val="clear" w:color="auto" w:fill="auto"/>
            <w:hideMark/>
          </w:tcPr>
          <w:p w14:paraId="30EB484C" w14:textId="77777777" w:rsidR="00FD7ACA" w:rsidRPr="00BC2557" w:rsidRDefault="00FD7ACA">
            <w:pPr>
              <w:pStyle w:val="Figure"/>
              <w:numPr>
                <w:ilvl w:val="0"/>
                <w:numId w:val="0"/>
              </w:numPr>
              <w:rPr>
                <w:b w:val="0"/>
                <w:color w:val="auto"/>
              </w:rPr>
            </w:pPr>
            <w:r w:rsidRPr="00BC2557">
              <w:rPr>
                <w:b w:val="0"/>
                <w:color w:val="auto"/>
              </w:rPr>
              <w:t>Total change in costs</w:t>
            </w:r>
          </w:p>
        </w:tc>
      </w:tr>
      <w:tr w:rsidR="00FD7ACA" w:rsidRPr="00BC2557" w14:paraId="05938DCA" w14:textId="77777777" w:rsidTr="00FD7ACA">
        <w:trPr>
          <w:cnfStyle w:val="000000100000" w:firstRow="0" w:lastRow="0" w:firstColumn="0" w:lastColumn="0" w:oddVBand="0" w:evenVBand="0" w:oddHBand="1" w:evenHBand="0" w:firstRowFirstColumn="0" w:firstRowLastColumn="0" w:lastRowFirstColumn="0" w:lastRowLastColumn="0"/>
        </w:trPr>
        <w:tc>
          <w:tcPr>
            <w:tcW w:w="1925" w:type="dxa"/>
            <w:tcBorders>
              <w:top w:val="single" w:sz="4" w:space="0" w:color="1C2B39" w:themeColor="accent1"/>
              <w:left w:val="nil"/>
              <w:bottom w:val="single" w:sz="12" w:space="0" w:color="1C2B39" w:themeColor="accent1"/>
              <w:right w:val="nil"/>
            </w:tcBorders>
            <w:hideMark/>
          </w:tcPr>
          <w:p w14:paraId="5F81EE19" w14:textId="77777777" w:rsidR="00FD7ACA" w:rsidRPr="00BC2557" w:rsidRDefault="00FD7ACA">
            <w:pPr>
              <w:pStyle w:val="Figure"/>
              <w:numPr>
                <w:ilvl w:val="0"/>
                <w:numId w:val="0"/>
              </w:numPr>
              <w:rPr>
                <w:color w:val="auto"/>
              </w:rPr>
            </w:pPr>
            <w:r w:rsidRPr="00BC2557">
              <w:rPr>
                <w:color w:val="auto"/>
              </w:rPr>
              <w:t>Total, by sector</w:t>
            </w:r>
          </w:p>
        </w:tc>
        <w:tc>
          <w:tcPr>
            <w:tcW w:w="1925" w:type="dxa"/>
            <w:tcBorders>
              <w:top w:val="single" w:sz="4" w:space="0" w:color="1C2B39" w:themeColor="accent1"/>
              <w:left w:val="nil"/>
              <w:bottom w:val="single" w:sz="12" w:space="0" w:color="1C2B39" w:themeColor="accent1"/>
              <w:right w:val="nil"/>
            </w:tcBorders>
            <w:hideMark/>
          </w:tcPr>
          <w:p w14:paraId="16980E66" w14:textId="63D8128E" w:rsidR="00FD7ACA" w:rsidRPr="00BC2557" w:rsidRDefault="00FD7ACA">
            <w:pPr>
              <w:pStyle w:val="Figure"/>
              <w:numPr>
                <w:ilvl w:val="0"/>
                <w:numId w:val="0"/>
              </w:numPr>
              <w:rPr>
                <w:color w:val="auto"/>
              </w:rPr>
            </w:pPr>
            <w:r w:rsidRPr="00BC2557">
              <w:rPr>
                <w:color w:val="auto"/>
              </w:rPr>
              <w:t>$</w:t>
            </w:r>
            <w:r w:rsidR="00021261">
              <w:rPr>
                <w:color w:val="auto"/>
              </w:rPr>
              <w:t>4.474</w:t>
            </w:r>
          </w:p>
        </w:tc>
        <w:tc>
          <w:tcPr>
            <w:tcW w:w="1926" w:type="dxa"/>
            <w:tcBorders>
              <w:top w:val="single" w:sz="4" w:space="0" w:color="1C2B39" w:themeColor="accent1"/>
              <w:left w:val="nil"/>
              <w:bottom w:val="single" w:sz="12" w:space="0" w:color="1C2B39" w:themeColor="accent1"/>
              <w:right w:val="nil"/>
            </w:tcBorders>
            <w:hideMark/>
          </w:tcPr>
          <w:p w14:paraId="626D264F" w14:textId="5F61E5E1" w:rsidR="00FD7ACA" w:rsidRPr="00BC2557" w:rsidRDefault="00FD7ACA">
            <w:pPr>
              <w:pStyle w:val="Figure"/>
              <w:numPr>
                <w:ilvl w:val="0"/>
                <w:numId w:val="0"/>
              </w:numPr>
              <w:rPr>
                <w:color w:val="auto"/>
              </w:rPr>
            </w:pPr>
            <w:r w:rsidRPr="00BC2557">
              <w:rPr>
                <w:color w:val="auto"/>
              </w:rPr>
              <w:t>$</w:t>
            </w:r>
            <w:r w:rsidR="00021261">
              <w:rPr>
                <w:color w:val="auto"/>
              </w:rPr>
              <w:t>0</w:t>
            </w:r>
            <w:r w:rsidR="00BC2557" w:rsidRPr="00BC2557">
              <w:rPr>
                <w:color w:val="auto"/>
              </w:rPr>
              <w:t>.0</w:t>
            </w:r>
          </w:p>
        </w:tc>
        <w:tc>
          <w:tcPr>
            <w:tcW w:w="1926" w:type="dxa"/>
            <w:tcBorders>
              <w:top w:val="single" w:sz="4" w:space="0" w:color="1C2B39" w:themeColor="accent1"/>
              <w:left w:val="nil"/>
              <w:bottom w:val="single" w:sz="12" w:space="0" w:color="1C2B39" w:themeColor="accent1"/>
              <w:right w:val="nil"/>
            </w:tcBorders>
            <w:hideMark/>
          </w:tcPr>
          <w:p w14:paraId="10639AF0" w14:textId="3B7F73DC" w:rsidR="00FD7ACA" w:rsidRPr="00BC2557" w:rsidRDefault="00FD7ACA">
            <w:pPr>
              <w:pStyle w:val="Figure"/>
              <w:numPr>
                <w:ilvl w:val="0"/>
                <w:numId w:val="0"/>
              </w:numPr>
              <w:rPr>
                <w:color w:val="auto"/>
              </w:rPr>
            </w:pPr>
            <w:r w:rsidRPr="00BC2557">
              <w:rPr>
                <w:color w:val="auto"/>
              </w:rPr>
              <w:t>$</w:t>
            </w:r>
            <w:r w:rsidR="00021261">
              <w:rPr>
                <w:color w:val="auto"/>
              </w:rPr>
              <w:t>1</w:t>
            </w:r>
            <w:r w:rsidR="00BC2557" w:rsidRPr="00BC2557">
              <w:rPr>
                <w:color w:val="auto"/>
              </w:rPr>
              <w:t>.</w:t>
            </w:r>
            <w:r w:rsidR="00021261">
              <w:rPr>
                <w:color w:val="auto"/>
              </w:rPr>
              <w:t>406</w:t>
            </w:r>
          </w:p>
        </w:tc>
        <w:tc>
          <w:tcPr>
            <w:tcW w:w="1926" w:type="dxa"/>
            <w:tcBorders>
              <w:top w:val="single" w:sz="4" w:space="0" w:color="1C2B39" w:themeColor="accent1"/>
              <w:left w:val="nil"/>
              <w:bottom w:val="single" w:sz="12" w:space="0" w:color="1C2B39" w:themeColor="accent1"/>
              <w:right w:val="nil"/>
            </w:tcBorders>
            <w:hideMark/>
          </w:tcPr>
          <w:p w14:paraId="583BB4CA" w14:textId="08C52DA1" w:rsidR="00FD7ACA" w:rsidRPr="00BC2557" w:rsidRDefault="00FD7ACA">
            <w:pPr>
              <w:pStyle w:val="Figure"/>
              <w:numPr>
                <w:ilvl w:val="0"/>
                <w:numId w:val="0"/>
              </w:numPr>
              <w:rPr>
                <w:color w:val="auto"/>
              </w:rPr>
            </w:pPr>
            <w:r w:rsidRPr="00BC2557">
              <w:rPr>
                <w:color w:val="auto"/>
              </w:rPr>
              <w:t>$</w:t>
            </w:r>
            <w:r w:rsidR="00021261">
              <w:rPr>
                <w:color w:val="auto"/>
              </w:rPr>
              <w:t>5</w:t>
            </w:r>
            <w:r w:rsidR="00BC2557" w:rsidRPr="00BC2557">
              <w:rPr>
                <w:color w:val="auto"/>
              </w:rPr>
              <w:t>.</w:t>
            </w:r>
            <w:r w:rsidR="00021261">
              <w:rPr>
                <w:color w:val="auto"/>
              </w:rPr>
              <w:t>88</w:t>
            </w:r>
          </w:p>
        </w:tc>
      </w:tr>
    </w:tbl>
    <w:p w14:paraId="24440D1A" w14:textId="4CB5FB4F" w:rsidR="004B64B3" w:rsidRDefault="004B64B3" w:rsidP="00BB4C7C">
      <w:pPr>
        <w:rPr>
          <w:color w:val="FF0000"/>
        </w:rPr>
      </w:pPr>
    </w:p>
    <w:p w14:paraId="21A86CCB" w14:textId="05CA037F" w:rsidR="00FD7ACA" w:rsidRPr="00BA4330" w:rsidRDefault="00FD7ACA" w:rsidP="00BC2557">
      <w:pPr>
        <w:pStyle w:val="Heading3"/>
        <w:rPr>
          <w:color w:val="004261" w:themeColor="accent2"/>
        </w:rPr>
      </w:pPr>
      <w:r w:rsidRPr="00BA4330">
        <w:rPr>
          <w:color w:val="004261" w:themeColor="accent2"/>
        </w:rPr>
        <w:t>Methodology</w:t>
      </w:r>
      <w:r w:rsidR="0033060E" w:rsidRPr="00BA4330">
        <w:rPr>
          <w:color w:val="004261" w:themeColor="accent2"/>
        </w:rPr>
        <w:t xml:space="preserve"> used to estimate costs to </w:t>
      </w:r>
      <w:r w:rsidR="00580677" w:rsidRPr="00BA4330">
        <w:rPr>
          <w:color w:val="004261" w:themeColor="accent2"/>
        </w:rPr>
        <w:t>individuals</w:t>
      </w:r>
    </w:p>
    <w:p w14:paraId="22956B47" w14:textId="702B747B" w:rsidR="00672B87" w:rsidRPr="00D1580C" w:rsidRDefault="00672B87" w:rsidP="00D1580C">
      <w:r w:rsidRPr="00C31678">
        <w:rPr>
          <w:rFonts w:cstheme="minorHAnsi"/>
          <w:szCs w:val="22"/>
        </w:rPr>
        <w:t xml:space="preserve">Regulatory costs to individuals from implementing the Help to Buy </w:t>
      </w:r>
      <w:r w:rsidR="00B438A2">
        <w:rPr>
          <w:rFonts w:cstheme="minorHAnsi"/>
          <w:szCs w:val="22"/>
        </w:rPr>
        <w:t>scheme</w:t>
      </w:r>
      <w:r w:rsidRPr="00C31678">
        <w:rPr>
          <w:rFonts w:cstheme="minorHAnsi"/>
          <w:szCs w:val="22"/>
        </w:rPr>
        <w:t xml:space="preserve"> come from the additional time it takes individuals to understand the requirements of the Help to Buy </w:t>
      </w:r>
      <w:r w:rsidR="00B438A2">
        <w:rPr>
          <w:rFonts w:cstheme="minorHAnsi"/>
          <w:szCs w:val="22"/>
        </w:rPr>
        <w:t>scheme</w:t>
      </w:r>
      <w:r w:rsidRPr="00C31678">
        <w:rPr>
          <w:rFonts w:cstheme="minorHAnsi"/>
          <w:szCs w:val="22"/>
        </w:rPr>
        <w:t xml:space="preserve"> during the application stage, </w:t>
      </w:r>
      <w:r>
        <w:rPr>
          <w:rFonts w:cstheme="minorHAnsi"/>
          <w:szCs w:val="22"/>
        </w:rPr>
        <w:t>compliance requirements associated with Housing Australia’s five yearly-reviews,</w:t>
      </w:r>
      <w:r w:rsidRPr="00C31678">
        <w:rPr>
          <w:rFonts w:cstheme="minorHAnsi"/>
          <w:szCs w:val="22"/>
        </w:rPr>
        <w:t xml:space="preserve"> </w:t>
      </w:r>
      <w:r>
        <w:rPr>
          <w:rFonts w:cstheme="minorHAnsi"/>
          <w:szCs w:val="22"/>
        </w:rPr>
        <w:t>and</w:t>
      </w:r>
      <w:r w:rsidRPr="00C31678">
        <w:rPr>
          <w:rFonts w:cstheme="minorHAnsi"/>
          <w:szCs w:val="22"/>
        </w:rPr>
        <w:t xml:space="preserve"> the ongoing cost of considering when to exit the </w:t>
      </w:r>
      <w:r w:rsidR="00B438A2">
        <w:rPr>
          <w:rFonts w:cstheme="minorHAnsi"/>
          <w:szCs w:val="22"/>
        </w:rPr>
        <w:t>scheme</w:t>
      </w:r>
      <w:r w:rsidRPr="00C31678">
        <w:rPr>
          <w:rFonts w:cstheme="minorHAnsi"/>
          <w:szCs w:val="22"/>
        </w:rPr>
        <w:t xml:space="preserve"> through refinancing or sale of the property.</w:t>
      </w:r>
      <w:r w:rsidRPr="002413E4">
        <w:rPr>
          <w:rFonts w:cstheme="minorHAnsi"/>
          <w:szCs w:val="22"/>
        </w:rPr>
        <w:t xml:space="preserve"> Additionally, participation in the </w:t>
      </w:r>
      <w:r w:rsidR="00B438A2">
        <w:rPr>
          <w:rFonts w:cstheme="minorHAnsi"/>
          <w:szCs w:val="22"/>
        </w:rPr>
        <w:t>scheme</w:t>
      </w:r>
      <w:r w:rsidRPr="002413E4">
        <w:rPr>
          <w:rFonts w:cstheme="minorHAnsi"/>
          <w:szCs w:val="22"/>
        </w:rPr>
        <w:t xml:space="preserve"> is entirely discretionary. Individuals will be able choose whether or not to participate in the </w:t>
      </w:r>
      <w:r w:rsidR="00B438A2">
        <w:rPr>
          <w:rFonts w:cstheme="minorHAnsi"/>
          <w:szCs w:val="22"/>
        </w:rPr>
        <w:t>scheme</w:t>
      </w:r>
      <w:r w:rsidRPr="002413E4">
        <w:rPr>
          <w:rFonts w:cstheme="minorHAnsi"/>
          <w:szCs w:val="22"/>
        </w:rPr>
        <w:t xml:space="preserve">. This means individuals will be able to take into account both the potential benefits of the </w:t>
      </w:r>
      <w:r w:rsidR="00B438A2">
        <w:rPr>
          <w:rFonts w:cstheme="minorHAnsi"/>
          <w:szCs w:val="22"/>
        </w:rPr>
        <w:t>scheme</w:t>
      </w:r>
      <w:r w:rsidRPr="002413E4">
        <w:rPr>
          <w:rFonts w:cstheme="minorHAnsi"/>
          <w:szCs w:val="22"/>
        </w:rPr>
        <w:t xml:space="preserve">, as well as any potential regulatory costs, </w:t>
      </w:r>
      <w:r w:rsidRPr="00D1580C">
        <w:t>before deciding to participate.</w:t>
      </w:r>
    </w:p>
    <w:p w14:paraId="5941422E" w14:textId="77777777" w:rsidR="00672B87" w:rsidRPr="00C31678" w:rsidRDefault="00672B87" w:rsidP="00D1580C">
      <w:pPr>
        <w:rPr>
          <w:rFonts w:cstheme="minorHAnsi"/>
          <w:szCs w:val="22"/>
        </w:rPr>
      </w:pPr>
      <w:r w:rsidRPr="00D1580C">
        <w:t>Based on feedback</w:t>
      </w:r>
      <w:r w:rsidRPr="00C31678">
        <w:rPr>
          <w:rFonts w:cstheme="minorHAnsi"/>
          <w:szCs w:val="22"/>
        </w:rPr>
        <w:t xml:space="preserve"> from industry and the Government’s experience with HGS, the following assumptions were made to determine the regulatory costs to individuals under Option 2:</w:t>
      </w:r>
    </w:p>
    <w:p w14:paraId="3794D22D" w14:textId="77777777" w:rsidR="00672B87" w:rsidRPr="00C31678" w:rsidRDefault="00672B87" w:rsidP="00672B87">
      <w:pPr>
        <w:numPr>
          <w:ilvl w:val="0"/>
          <w:numId w:val="24"/>
        </w:numPr>
        <w:spacing w:after="0" w:line="240" w:lineRule="auto"/>
        <w:ind w:left="1260"/>
        <w:textAlignment w:val="center"/>
        <w:rPr>
          <w:rFonts w:cstheme="minorHAnsi"/>
        </w:rPr>
      </w:pPr>
      <w:r w:rsidRPr="00C31678">
        <w:rPr>
          <w:rFonts w:cstheme="minorHAnsi"/>
        </w:rPr>
        <w:t>10,000 places per year as outlined in section 3 above.</w:t>
      </w:r>
    </w:p>
    <w:p w14:paraId="634FDEAA" w14:textId="3F931670" w:rsidR="00672B87" w:rsidRPr="00C31678" w:rsidRDefault="00672B87" w:rsidP="00672B87">
      <w:pPr>
        <w:numPr>
          <w:ilvl w:val="0"/>
          <w:numId w:val="24"/>
        </w:numPr>
        <w:spacing w:after="0" w:line="240" w:lineRule="auto"/>
        <w:ind w:left="1260"/>
        <w:textAlignment w:val="center"/>
        <w:rPr>
          <w:rFonts w:cstheme="minorHAnsi"/>
        </w:rPr>
      </w:pPr>
      <w:r w:rsidRPr="00C31678">
        <w:rPr>
          <w:rFonts w:cstheme="minorHAnsi"/>
        </w:rPr>
        <w:t xml:space="preserve">Individuals spend 2 additional hours to understand the requirements of the </w:t>
      </w:r>
      <w:r w:rsidR="00B438A2">
        <w:rPr>
          <w:rFonts w:cstheme="minorHAnsi"/>
        </w:rPr>
        <w:t>scheme</w:t>
      </w:r>
      <w:r w:rsidRPr="00C31678">
        <w:rPr>
          <w:rFonts w:cstheme="minorHAnsi"/>
        </w:rPr>
        <w:t xml:space="preserve"> in the application stage, then one additional hour each year until </w:t>
      </w:r>
      <w:r w:rsidR="00B438A2">
        <w:rPr>
          <w:rFonts w:cstheme="minorHAnsi"/>
        </w:rPr>
        <w:t>scheme</w:t>
      </w:r>
      <w:r w:rsidRPr="00C31678">
        <w:rPr>
          <w:rFonts w:cstheme="minorHAnsi"/>
        </w:rPr>
        <w:t xml:space="preserve"> exit.</w:t>
      </w:r>
    </w:p>
    <w:p w14:paraId="0A1E0331" w14:textId="48CA7446" w:rsidR="00672B87" w:rsidRPr="00C31678" w:rsidRDefault="00672B87" w:rsidP="00B94455">
      <w:pPr>
        <w:numPr>
          <w:ilvl w:val="1"/>
          <w:numId w:val="25"/>
        </w:numPr>
        <w:spacing w:after="0" w:line="240" w:lineRule="auto"/>
        <w:textAlignment w:val="center"/>
        <w:rPr>
          <w:rFonts w:cstheme="minorHAnsi"/>
        </w:rPr>
      </w:pPr>
      <w:r w:rsidRPr="00C31678">
        <w:rPr>
          <w:rFonts w:cstheme="minorHAnsi"/>
        </w:rPr>
        <w:t xml:space="preserve">These additional costs each year are derived from the additional requirements of participation in the </w:t>
      </w:r>
      <w:r w:rsidR="00B438A2">
        <w:rPr>
          <w:rFonts w:cstheme="minorHAnsi"/>
        </w:rPr>
        <w:t>scheme</w:t>
      </w:r>
      <w:r w:rsidRPr="00C31678">
        <w:rPr>
          <w:rFonts w:cstheme="minorHAnsi"/>
        </w:rPr>
        <w:t xml:space="preserve"> above those of a standard mortgage. In particular, the 5 yearly review, and the yearly insurance checks required under the Program Directions.</w:t>
      </w:r>
    </w:p>
    <w:p w14:paraId="3C6D23B3" w14:textId="77777777" w:rsidR="00672B87" w:rsidRPr="00C31678" w:rsidRDefault="00672B87" w:rsidP="00672B87">
      <w:pPr>
        <w:numPr>
          <w:ilvl w:val="0"/>
          <w:numId w:val="24"/>
        </w:numPr>
        <w:spacing w:after="0" w:line="240" w:lineRule="auto"/>
        <w:ind w:left="1260"/>
        <w:textAlignment w:val="center"/>
        <w:rPr>
          <w:rFonts w:cstheme="minorHAnsi"/>
        </w:rPr>
      </w:pPr>
      <w:r w:rsidRPr="00C31678">
        <w:rPr>
          <w:rFonts w:cstheme="minorHAnsi"/>
        </w:rPr>
        <w:t>Using the Office of Impact Analysis estimate for individual costs at $37 per hour.</w:t>
      </w:r>
    </w:p>
    <w:p w14:paraId="3ACC966C" w14:textId="12A51B4E" w:rsidR="00535A89" w:rsidRDefault="00672B87" w:rsidP="00672B87">
      <w:r w:rsidRPr="00C31678">
        <w:rPr>
          <w:rFonts w:cstheme="minorHAnsi"/>
        </w:rPr>
        <w:t xml:space="preserve">The total estimated average regulatory costs to individuals under Option 2 is $0.74 million in the first year of the </w:t>
      </w:r>
      <w:r w:rsidR="00B438A2">
        <w:rPr>
          <w:rFonts w:cstheme="minorHAnsi"/>
        </w:rPr>
        <w:t>scheme</w:t>
      </w:r>
      <w:r w:rsidRPr="00C31678">
        <w:rPr>
          <w:rFonts w:cstheme="minorHAnsi"/>
        </w:rPr>
        <w:t xml:space="preserve">, followed by $1.11 million in the second year, $1.48 million in the third year, $1.85 million in the fourth year, before falling to $1.48 million per year for the remainder </w:t>
      </w:r>
      <w:r w:rsidRPr="00C31678">
        <w:rPr>
          <w:rFonts w:cstheme="minorHAnsi"/>
        </w:rPr>
        <w:lastRenderedPageBreak/>
        <w:t xml:space="preserve">of the </w:t>
      </w:r>
      <w:r w:rsidR="00B438A2">
        <w:rPr>
          <w:rFonts w:cstheme="minorHAnsi"/>
        </w:rPr>
        <w:t>scheme</w:t>
      </w:r>
      <w:r w:rsidRPr="00C31678">
        <w:rPr>
          <w:rFonts w:cstheme="minorHAnsi"/>
        </w:rPr>
        <w:t>’s operation. This results in an average yearly cost to each successful applicant of $41 a year</w:t>
      </w:r>
      <w:r w:rsidR="00DC206C">
        <w:t>.</w:t>
      </w:r>
    </w:p>
    <w:p w14:paraId="4FF50AB6" w14:textId="104744A8" w:rsidR="0033060E" w:rsidRPr="00BA4330" w:rsidRDefault="0033060E" w:rsidP="005223C4">
      <w:pPr>
        <w:pStyle w:val="Heading3"/>
        <w:rPr>
          <w:color w:val="004261" w:themeColor="accent2"/>
        </w:rPr>
      </w:pPr>
      <w:r w:rsidRPr="00BA4330">
        <w:rPr>
          <w:color w:val="004261" w:themeColor="accent2"/>
        </w:rPr>
        <w:t xml:space="preserve">Methodology used to estimate costs to </w:t>
      </w:r>
      <w:r w:rsidR="00F713E2" w:rsidRPr="00BA4330">
        <w:rPr>
          <w:color w:val="004261" w:themeColor="accent2"/>
        </w:rPr>
        <w:t>b</w:t>
      </w:r>
      <w:r w:rsidRPr="00BA4330">
        <w:rPr>
          <w:color w:val="004261" w:themeColor="accent2"/>
        </w:rPr>
        <w:t>usinesses</w:t>
      </w:r>
    </w:p>
    <w:p w14:paraId="2516E13D" w14:textId="2EF5E4D4" w:rsidR="004D329E" w:rsidRPr="00F13259" w:rsidRDefault="004D329E" w:rsidP="00D1580C">
      <w:pPr>
        <w:rPr>
          <w:rFonts w:cstheme="minorHAnsi"/>
          <w:szCs w:val="22"/>
        </w:rPr>
      </w:pPr>
      <w:r w:rsidRPr="00F13259">
        <w:rPr>
          <w:rFonts w:cstheme="minorHAnsi"/>
          <w:szCs w:val="22"/>
        </w:rPr>
        <w:t xml:space="preserve">Regulatory costs to lenders from implementing the </w:t>
      </w:r>
      <w:r w:rsidR="00B438A2">
        <w:rPr>
          <w:rFonts w:cstheme="minorHAnsi"/>
          <w:szCs w:val="22"/>
        </w:rPr>
        <w:t>scheme</w:t>
      </w:r>
      <w:r w:rsidRPr="00F13259">
        <w:rPr>
          <w:rFonts w:cstheme="minorHAnsi"/>
          <w:szCs w:val="22"/>
        </w:rPr>
        <w:t xml:space="preserve"> come from the additional time it takes to educate front-line lenders on the requirements of the Help to Buy </w:t>
      </w:r>
      <w:r w:rsidR="00B438A2">
        <w:rPr>
          <w:rFonts w:cstheme="minorHAnsi"/>
          <w:szCs w:val="22"/>
        </w:rPr>
        <w:t>scheme</w:t>
      </w:r>
      <w:r w:rsidRPr="00F13259">
        <w:rPr>
          <w:rFonts w:cstheme="minorHAnsi"/>
          <w:szCs w:val="22"/>
        </w:rPr>
        <w:t xml:space="preserve">, system updates, and ongoing administrative costs to lenders through processing additional loans. Only requirements of the </w:t>
      </w:r>
      <w:r w:rsidR="00B438A2">
        <w:rPr>
          <w:rFonts w:cstheme="minorHAnsi"/>
          <w:szCs w:val="22"/>
        </w:rPr>
        <w:t>scheme</w:t>
      </w:r>
      <w:r w:rsidRPr="00F13259">
        <w:rPr>
          <w:rFonts w:cstheme="minorHAnsi"/>
          <w:szCs w:val="22"/>
        </w:rPr>
        <w:t xml:space="preserve"> that impose additional costs beyond those of a standard mortgage represent additional regulatory costs.</w:t>
      </w:r>
    </w:p>
    <w:p w14:paraId="41C38B0D" w14:textId="7362F1CB" w:rsidR="004D329E" w:rsidRPr="00F13259" w:rsidRDefault="004D329E" w:rsidP="00D1580C">
      <w:pPr>
        <w:rPr>
          <w:rFonts w:cstheme="minorHAnsi"/>
          <w:szCs w:val="22"/>
        </w:rPr>
      </w:pPr>
      <w:r w:rsidRPr="00F13259">
        <w:rPr>
          <w:rFonts w:cstheme="minorHAnsi"/>
          <w:szCs w:val="22"/>
        </w:rPr>
        <w:t xml:space="preserve">As the </w:t>
      </w:r>
      <w:r w:rsidR="00B438A2">
        <w:rPr>
          <w:rFonts w:cstheme="minorHAnsi"/>
          <w:szCs w:val="22"/>
        </w:rPr>
        <w:t>Scheme</w:t>
      </w:r>
      <w:r w:rsidRPr="00F13259">
        <w:rPr>
          <w:rFonts w:cstheme="minorHAnsi"/>
          <w:szCs w:val="22"/>
        </w:rPr>
        <w:t xml:space="preserve"> will be delivered by a panel of lenders selected by a competitive procurement process undertaken by Housing Australia, any regulatory costs associated with the </w:t>
      </w:r>
      <w:r w:rsidR="00B438A2">
        <w:rPr>
          <w:rFonts w:cstheme="minorHAnsi"/>
          <w:szCs w:val="22"/>
        </w:rPr>
        <w:t>Scheme</w:t>
      </w:r>
      <w:r w:rsidRPr="00F13259">
        <w:rPr>
          <w:rFonts w:cstheme="minorHAnsi"/>
          <w:szCs w:val="22"/>
        </w:rPr>
        <w:t xml:space="preserve"> will be discretionary. Lenders will be able to choose whether or not to participate in the </w:t>
      </w:r>
      <w:r w:rsidR="00B438A2">
        <w:rPr>
          <w:rFonts w:cstheme="minorHAnsi"/>
          <w:szCs w:val="22"/>
        </w:rPr>
        <w:t>Scheme</w:t>
      </w:r>
      <w:r w:rsidRPr="00F13259">
        <w:rPr>
          <w:rFonts w:cstheme="minorHAnsi"/>
          <w:szCs w:val="22"/>
        </w:rPr>
        <w:t xml:space="preserve">, taking into account the regulatory costs associated with participation. However, as the panel of lenders has yet to be selected, it is </w:t>
      </w:r>
      <w:r>
        <w:rPr>
          <w:rFonts w:cstheme="minorHAnsi"/>
          <w:szCs w:val="22"/>
        </w:rPr>
        <w:t xml:space="preserve">not </w:t>
      </w:r>
      <w:r w:rsidRPr="00F13259">
        <w:rPr>
          <w:rFonts w:cstheme="minorHAnsi"/>
          <w:szCs w:val="22"/>
        </w:rPr>
        <w:t xml:space="preserve">possible to determine the number of lenders that will participate in the </w:t>
      </w:r>
      <w:r w:rsidR="00B438A2">
        <w:rPr>
          <w:rFonts w:cstheme="minorHAnsi"/>
          <w:szCs w:val="22"/>
        </w:rPr>
        <w:t>Scheme</w:t>
      </w:r>
      <w:r w:rsidRPr="00F13259">
        <w:rPr>
          <w:rFonts w:cstheme="minorHAnsi"/>
          <w:szCs w:val="22"/>
        </w:rPr>
        <w:t xml:space="preserve"> on commencement, additionally this number may change over the four years that </w:t>
      </w:r>
      <w:r w:rsidRPr="002413E4">
        <w:rPr>
          <w:rFonts w:cstheme="minorHAnsi"/>
          <w:szCs w:val="22"/>
        </w:rPr>
        <w:t>applicants</w:t>
      </w:r>
      <w:r w:rsidRPr="00F13259">
        <w:rPr>
          <w:rFonts w:cstheme="minorHAnsi"/>
          <w:szCs w:val="22"/>
        </w:rPr>
        <w:t xml:space="preserve"> will be able to enter the </w:t>
      </w:r>
      <w:r w:rsidR="00B438A2">
        <w:rPr>
          <w:rFonts w:cstheme="minorHAnsi"/>
          <w:szCs w:val="22"/>
        </w:rPr>
        <w:t>Scheme</w:t>
      </w:r>
      <w:r w:rsidRPr="00F13259">
        <w:rPr>
          <w:rFonts w:cstheme="minorHAnsi"/>
          <w:szCs w:val="22"/>
        </w:rPr>
        <w:t>.</w:t>
      </w:r>
    </w:p>
    <w:p w14:paraId="05BA4B57" w14:textId="231D03DC" w:rsidR="004D329E" w:rsidRPr="00F13259" w:rsidRDefault="004D329E" w:rsidP="00D1580C">
      <w:pPr>
        <w:rPr>
          <w:rFonts w:cstheme="minorHAnsi"/>
          <w:szCs w:val="22"/>
        </w:rPr>
      </w:pPr>
      <w:r w:rsidRPr="00F13259">
        <w:rPr>
          <w:rFonts w:cstheme="minorHAnsi"/>
          <w:szCs w:val="22"/>
        </w:rPr>
        <w:t xml:space="preserve">Given the uncertainty regarding the number of lenders that will participate, this assessment will consider the costs to a single lender administering all 40,000 participants. </w:t>
      </w:r>
      <w:r w:rsidR="00B96111">
        <w:rPr>
          <w:rFonts w:cstheme="minorHAnsi"/>
          <w:szCs w:val="22"/>
        </w:rPr>
        <w:t>These cost estimates are b</w:t>
      </w:r>
      <w:r w:rsidRPr="00F13259">
        <w:rPr>
          <w:rFonts w:cstheme="minorHAnsi"/>
          <w:szCs w:val="22"/>
        </w:rPr>
        <w:t xml:space="preserve">ased on </w:t>
      </w:r>
      <w:r w:rsidR="000D42DE">
        <w:rPr>
          <w:rFonts w:cstheme="minorHAnsi"/>
          <w:szCs w:val="22"/>
        </w:rPr>
        <w:t xml:space="preserve">initial general </w:t>
      </w:r>
      <w:r w:rsidRPr="00F13259">
        <w:rPr>
          <w:rFonts w:cstheme="minorHAnsi"/>
          <w:szCs w:val="22"/>
        </w:rPr>
        <w:t>feedback from industry and the Government’s experience with HGS</w:t>
      </w:r>
      <w:r w:rsidR="00B96111">
        <w:rPr>
          <w:rFonts w:cstheme="minorHAnsi"/>
          <w:szCs w:val="22"/>
        </w:rPr>
        <w:t>. As a result,</w:t>
      </w:r>
      <w:r w:rsidRPr="00F13259">
        <w:rPr>
          <w:rFonts w:cstheme="minorHAnsi"/>
          <w:szCs w:val="22"/>
        </w:rPr>
        <w:t xml:space="preserve"> the following assumptions were made to estimate the regulatory costs associated with the education of front-line lenders, including system updates:</w:t>
      </w:r>
    </w:p>
    <w:p w14:paraId="56E9055F" w14:textId="77777777" w:rsidR="004D329E" w:rsidRPr="00F13259" w:rsidRDefault="004D329E" w:rsidP="004D329E">
      <w:pPr>
        <w:numPr>
          <w:ilvl w:val="0"/>
          <w:numId w:val="25"/>
        </w:numPr>
        <w:spacing w:after="0" w:line="240" w:lineRule="auto"/>
        <w:ind w:left="1260"/>
        <w:textAlignment w:val="center"/>
        <w:rPr>
          <w:rFonts w:cstheme="minorHAnsi"/>
        </w:rPr>
      </w:pPr>
      <w:r w:rsidRPr="002413E4">
        <w:rPr>
          <w:rFonts w:cstheme="minorHAnsi"/>
        </w:rPr>
        <w:t>Total of 100 relevant employees</w:t>
      </w:r>
    </w:p>
    <w:p w14:paraId="447FF344" w14:textId="77777777" w:rsidR="004D329E" w:rsidRPr="00F13259" w:rsidRDefault="004D329E" w:rsidP="004D329E">
      <w:pPr>
        <w:numPr>
          <w:ilvl w:val="1"/>
          <w:numId w:val="25"/>
        </w:numPr>
        <w:spacing w:after="0" w:line="240" w:lineRule="auto"/>
        <w:textAlignment w:val="center"/>
        <w:rPr>
          <w:rFonts w:cstheme="minorHAnsi"/>
        </w:rPr>
      </w:pPr>
      <w:r w:rsidRPr="00F13259">
        <w:rPr>
          <w:rFonts w:cstheme="minorHAnsi"/>
        </w:rPr>
        <w:t xml:space="preserve">16 hours of additional training </w:t>
      </w:r>
      <w:r w:rsidRPr="002413E4">
        <w:rPr>
          <w:rFonts w:cstheme="minorHAnsi"/>
        </w:rPr>
        <w:t>per employee</w:t>
      </w:r>
    </w:p>
    <w:p w14:paraId="7BA444CD" w14:textId="77777777" w:rsidR="004D329E" w:rsidRPr="00F13259" w:rsidRDefault="004D329E" w:rsidP="004D329E">
      <w:pPr>
        <w:numPr>
          <w:ilvl w:val="0"/>
          <w:numId w:val="25"/>
        </w:numPr>
        <w:spacing w:after="0" w:line="240" w:lineRule="auto"/>
        <w:ind w:left="1260"/>
        <w:textAlignment w:val="center"/>
        <w:rPr>
          <w:rFonts w:cstheme="minorHAnsi"/>
        </w:rPr>
      </w:pPr>
      <w:r w:rsidRPr="00F13259">
        <w:rPr>
          <w:rFonts w:cstheme="minorHAnsi"/>
        </w:rPr>
        <w:t>Total of 100</w:t>
      </w:r>
      <w:r w:rsidRPr="002413E4">
        <w:rPr>
          <w:rFonts w:cstheme="minorHAnsi"/>
        </w:rPr>
        <w:t>0</w:t>
      </w:r>
      <w:r w:rsidRPr="00F13259">
        <w:rPr>
          <w:rFonts w:cstheme="minorHAnsi"/>
        </w:rPr>
        <w:t xml:space="preserve"> additional hours to update systems</w:t>
      </w:r>
    </w:p>
    <w:p w14:paraId="67F06927" w14:textId="61B42BDB" w:rsidR="004D329E" w:rsidRPr="00F13259" w:rsidRDefault="004D329E" w:rsidP="004D329E">
      <w:pPr>
        <w:numPr>
          <w:ilvl w:val="0"/>
          <w:numId w:val="25"/>
        </w:numPr>
        <w:spacing w:after="0" w:line="240" w:lineRule="auto"/>
        <w:ind w:left="1260"/>
        <w:textAlignment w:val="center"/>
        <w:rPr>
          <w:rFonts w:cstheme="minorHAnsi"/>
        </w:rPr>
      </w:pPr>
      <w:r w:rsidRPr="00F13259">
        <w:rPr>
          <w:rFonts w:cstheme="minorHAnsi"/>
        </w:rPr>
        <w:t xml:space="preserve">Using the Office of </w:t>
      </w:r>
      <w:r w:rsidR="002968E4">
        <w:rPr>
          <w:rFonts w:cstheme="minorHAnsi"/>
        </w:rPr>
        <w:t>Impact Analysis</w:t>
      </w:r>
      <w:r w:rsidRPr="00F13259">
        <w:rPr>
          <w:rFonts w:cstheme="minorHAnsi"/>
        </w:rPr>
        <w:t xml:space="preserve"> estimate for business costs at $85.17 per hour</w:t>
      </w:r>
      <w:r w:rsidR="00387C85">
        <w:rPr>
          <w:rFonts w:cstheme="minorHAnsi"/>
        </w:rPr>
        <w:t xml:space="preserve">, </w:t>
      </w:r>
      <w:r w:rsidR="006863B5">
        <w:rPr>
          <w:rFonts w:cstheme="minorHAnsi"/>
        </w:rPr>
        <w:t xml:space="preserve">as the precise final design and delivery of the </w:t>
      </w:r>
      <w:r w:rsidR="00B438A2">
        <w:rPr>
          <w:rFonts w:cstheme="minorHAnsi"/>
        </w:rPr>
        <w:t>scheme</w:t>
      </w:r>
      <w:r w:rsidR="006863B5">
        <w:rPr>
          <w:rFonts w:cstheme="minorHAnsi"/>
        </w:rPr>
        <w:t xml:space="preserve"> by frontline lenders has not been finalised and will be dependent on decisions by lenders and Housing Australia, it is not possible to develop a more specific business cost estimate.</w:t>
      </w:r>
    </w:p>
    <w:p w14:paraId="3E1EC9F9" w14:textId="77777777" w:rsidR="00EB6419" w:rsidRDefault="00EB6419" w:rsidP="00D1580C">
      <w:pPr>
        <w:rPr>
          <w:rFonts w:cstheme="minorHAnsi"/>
          <w:szCs w:val="22"/>
        </w:rPr>
      </w:pPr>
    </w:p>
    <w:p w14:paraId="28FB28D9" w14:textId="1599CB11" w:rsidR="004D329E" w:rsidRPr="00F13259" w:rsidRDefault="004D329E" w:rsidP="00D1580C">
      <w:pPr>
        <w:rPr>
          <w:rFonts w:cstheme="minorHAnsi"/>
          <w:szCs w:val="22"/>
        </w:rPr>
      </w:pPr>
      <w:r w:rsidRPr="00F13259">
        <w:rPr>
          <w:rFonts w:cstheme="minorHAnsi"/>
          <w:szCs w:val="22"/>
        </w:rPr>
        <w:t>Estimated average regulatory costs associated with the education of front-line lenders, including systems updates, is $</w:t>
      </w:r>
      <w:r w:rsidRPr="002413E4">
        <w:rPr>
          <w:rFonts w:cstheme="minorHAnsi"/>
          <w:szCs w:val="22"/>
        </w:rPr>
        <w:t>0</w:t>
      </w:r>
      <w:r w:rsidRPr="00F13259">
        <w:rPr>
          <w:rFonts w:cstheme="minorHAnsi"/>
          <w:szCs w:val="22"/>
        </w:rPr>
        <w:t>.</w:t>
      </w:r>
      <w:r w:rsidRPr="002413E4">
        <w:rPr>
          <w:rFonts w:cstheme="minorHAnsi"/>
          <w:szCs w:val="22"/>
        </w:rPr>
        <w:t>221</w:t>
      </w:r>
      <w:r w:rsidRPr="00F13259">
        <w:rPr>
          <w:rFonts w:cstheme="minorHAnsi"/>
          <w:szCs w:val="22"/>
        </w:rPr>
        <w:t xml:space="preserve"> million per year over the first year of the </w:t>
      </w:r>
      <w:r w:rsidR="00B438A2">
        <w:rPr>
          <w:rFonts w:cstheme="minorHAnsi"/>
          <w:szCs w:val="22"/>
        </w:rPr>
        <w:t>Scheme</w:t>
      </w:r>
      <w:r w:rsidRPr="00F13259">
        <w:rPr>
          <w:rFonts w:cstheme="minorHAnsi"/>
          <w:szCs w:val="22"/>
        </w:rPr>
        <w:t>. </w:t>
      </w:r>
    </w:p>
    <w:p w14:paraId="465AC973" w14:textId="77777777" w:rsidR="004D329E" w:rsidRPr="00F13259" w:rsidRDefault="004D329E" w:rsidP="00D1580C">
      <w:pPr>
        <w:rPr>
          <w:rFonts w:cstheme="minorHAnsi"/>
          <w:szCs w:val="22"/>
        </w:rPr>
      </w:pPr>
      <w:r w:rsidRPr="00F13259">
        <w:rPr>
          <w:rFonts w:cstheme="minorHAnsi"/>
          <w:szCs w:val="22"/>
        </w:rPr>
        <w:t>The following additional assumptions were made to estimate the regulatory costs associated with ongoing administrative costs to lenders through processing Help to Buy applications.</w:t>
      </w:r>
    </w:p>
    <w:p w14:paraId="23EF1898" w14:textId="53C31982" w:rsidR="004D329E" w:rsidRPr="00F13259" w:rsidRDefault="004D329E" w:rsidP="004D329E">
      <w:pPr>
        <w:pStyle w:val="NormalWeb"/>
        <w:numPr>
          <w:ilvl w:val="0"/>
          <w:numId w:val="26"/>
        </w:numPr>
        <w:spacing w:line="276" w:lineRule="auto"/>
        <w:rPr>
          <w:rFonts w:asciiTheme="minorHAnsi" w:hAnsiTheme="minorHAnsi" w:cstheme="minorHAnsi"/>
          <w:sz w:val="22"/>
          <w:szCs w:val="22"/>
        </w:rPr>
      </w:pPr>
      <w:r w:rsidRPr="00F13259">
        <w:rPr>
          <w:rFonts w:asciiTheme="minorHAnsi" w:hAnsiTheme="minorHAnsi" w:cstheme="minorHAnsi"/>
          <w:sz w:val="22"/>
          <w:szCs w:val="22"/>
        </w:rPr>
        <w:t xml:space="preserve">Additional four hours for a lender to process a Help to Buy application, including reserving a </w:t>
      </w:r>
      <w:r w:rsidR="00B438A2">
        <w:rPr>
          <w:rFonts w:asciiTheme="minorHAnsi" w:hAnsiTheme="minorHAnsi" w:cstheme="minorHAnsi"/>
          <w:sz w:val="22"/>
          <w:szCs w:val="22"/>
        </w:rPr>
        <w:t>scheme</w:t>
      </w:r>
      <w:r w:rsidRPr="00F13259">
        <w:rPr>
          <w:rFonts w:asciiTheme="minorHAnsi" w:hAnsiTheme="minorHAnsi" w:cstheme="minorHAnsi"/>
          <w:sz w:val="22"/>
          <w:szCs w:val="22"/>
        </w:rPr>
        <w:t xml:space="preserve"> place with the </w:t>
      </w:r>
      <w:r w:rsidR="00B438A2">
        <w:rPr>
          <w:rFonts w:asciiTheme="minorHAnsi" w:hAnsiTheme="minorHAnsi" w:cstheme="minorHAnsi"/>
          <w:sz w:val="22"/>
          <w:szCs w:val="22"/>
        </w:rPr>
        <w:t>Scheme</w:t>
      </w:r>
      <w:r w:rsidRPr="00F13259">
        <w:rPr>
          <w:rFonts w:asciiTheme="minorHAnsi" w:hAnsiTheme="minorHAnsi" w:cstheme="minorHAnsi"/>
          <w:sz w:val="22"/>
          <w:szCs w:val="22"/>
        </w:rPr>
        <w:t xml:space="preserve"> administrator.</w:t>
      </w:r>
    </w:p>
    <w:p w14:paraId="268F5490" w14:textId="3E52D9AC" w:rsidR="004D329E" w:rsidRPr="00F13259" w:rsidRDefault="004D329E" w:rsidP="00D1580C">
      <w:pPr>
        <w:rPr>
          <w:rFonts w:cstheme="minorHAnsi"/>
          <w:szCs w:val="22"/>
        </w:rPr>
      </w:pPr>
      <w:r w:rsidRPr="00F13259">
        <w:rPr>
          <w:rFonts w:cstheme="minorHAnsi"/>
          <w:szCs w:val="22"/>
        </w:rPr>
        <w:t>Estimated average regulatory costs associated with ongoing administrative costs to lenders through processing additional loans is</w:t>
      </w:r>
      <w:r w:rsidR="000C1FDE">
        <w:rPr>
          <w:rFonts w:cstheme="minorHAnsi"/>
          <w:szCs w:val="22"/>
        </w:rPr>
        <w:t xml:space="preserve"> therefore</w:t>
      </w:r>
      <w:r w:rsidR="002968E4">
        <w:rPr>
          <w:rFonts w:cstheme="minorHAnsi"/>
          <w:szCs w:val="22"/>
        </w:rPr>
        <w:t xml:space="preserve"> four hours per applicant, using the OIA</w:t>
      </w:r>
      <w:r w:rsidRPr="00F13259">
        <w:rPr>
          <w:rFonts w:cstheme="minorHAnsi"/>
          <w:szCs w:val="22"/>
        </w:rPr>
        <w:t xml:space="preserve"> </w:t>
      </w:r>
      <w:r w:rsidR="00EB6419">
        <w:rPr>
          <w:rFonts w:cstheme="minorHAnsi"/>
          <w:szCs w:val="22"/>
        </w:rPr>
        <w:t xml:space="preserve">estimate </w:t>
      </w:r>
      <w:r w:rsidR="00EB6419">
        <w:rPr>
          <w:rFonts w:cstheme="minorHAnsi"/>
          <w:szCs w:val="22"/>
        </w:rPr>
        <w:lastRenderedPageBreak/>
        <w:t>for business cost</w:t>
      </w:r>
      <w:r w:rsidR="008C60DE">
        <w:rPr>
          <w:rFonts w:cstheme="minorHAnsi"/>
          <w:szCs w:val="22"/>
        </w:rPr>
        <w:t xml:space="preserve"> of </w:t>
      </w:r>
      <w:r w:rsidR="008C60DE" w:rsidRPr="00F13259">
        <w:rPr>
          <w:rFonts w:cstheme="minorHAnsi"/>
        </w:rPr>
        <w:t>$85.17 per hour</w:t>
      </w:r>
      <w:r w:rsidR="00EB6419">
        <w:rPr>
          <w:rFonts w:cstheme="minorHAnsi"/>
          <w:szCs w:val="22"/>
        </w:rPr>
        <w:t xml:space="preserve"> this represents total costs of </w:t>
      </w:r>
      <w:r w:rsidRPr="00F13259">
        <w:rPr>
          <w:rFonts w:cstheme="minorHAnsi"/>
          <w:szCs w:val="22"/>
        </w:rPr>
        <w:t xml:space="preserve">$3.407 million per </w:t>
      </w:r>
      <w:r>
        <w:rPr>
          <w:rFonts w:cstheme="minorHAnsi"/>
          <w:szCs w:val="22"/>
        </w:rPr>
        <w:t xml:space="preserve">year for the first four years of the </w:t>
      </w:r>
      <w:r w:rsidR="00B438A2">
        <w:rPr>
          <w:rFonts w:cstheme="minorHAnsi"/>
          <w:szCs w:val="22"/>
        </w:rPr>
        <w:t>scheme</w:t>
      </w:r>
      <w:r>
        <w:rPr>
          <w:rFonts w:cstheme="minorHAnsi"/>
          <w:szCs w:val="22"/>
        </w:rPr>
        <w:t>.</w:t>
      </w:r>
    </w:p>
    <w:p w14:paraId="63ABEDE1" w14:textId="1A7AEF0A" w:rsidR="004D329E" w:rsidRPr="00F13259" w:rsidRDefault="004D329E" w:rsidP="004D329E">
      <w:pPr>
        <w:pStyle w:val="NormalWeb"/>
        <w:rPr>
          <w:rFonts w:asciiTheme="minorHAnsi" w:hAnsiTheme="minorHAnsi" w:cstheme="minorHAnsi"/>
          <w:sz w:val="22"/>
          <w:szCs w:val="22"/>
        </w:rPr>
      </w:pPr>
      <w:r w:rsidRPr="00F13259">
        <w:rPr>
          <w:rFonts w:asciiTheme="minorHAnsi" w:hAnsiTheme="minorHAnsi" w:cstheme="minorHAnsi"/>
          <w:sz w:val="22"/>
          <w:szCs w:val="22"/>
        </w:rPr>
        <w:t xml:space="preserve">Ongoing costs relating to existing </w:t>
      </w:r>
      <w:r w:rsidR="00B438A2">
        <w:rPr>
          <w:rFonts w:asciiTheme="minorHAnsi" w:hAnsiTheme="minorHAnsi" w:cstheme="minorHAnsi"/>
          <w:sz w:val="22"/>
          <w:szCs w:val="22"/>
        </w:rPr>
        <w:t>Scheme</w:t>
      </w:r>
      <w:r w:rsidRPr="00F13259">
        <w:rPr>
          <w:rFonts w:asciiTheme="minorHAnsi" w:hAnsiTheme="minorHAnsi" w:cstheme="minorHAnsi"/>
          <w:sz w:val="22"/>
          <w:szCs w:val="22"/>
        </w:rPr>
        <w:t xml:space="preserve"> participants for lenders compared to a standard mortgage is limited, as most ongoing compliance checks will be undertaken by Housing Australia. As such the ongoing cost to lenders is estimated at 1 hour per participant per year. This equates to ongoing costs of $0.852 million in the second year, $1.703 million in the third year, $2.555 million in the fourth year and $3.</w:t>
      </w:r>
      <w:r>
        <w:rPr>
          <w:rFonts w:asciiTheme="minorHAnsi" w:hAnsiTheme="minorHAnsi" w:cstheme="minorHAnsi"/>
          <w:sz w:val="22"/>
          <w:szCs w:val="22"/>
        </w:rPr>
        <w:t>407</w:t>
      </w:r>
      <w:r w:rsidRPr="00F13259">
        <w:rPr>
          <w:rFonts w:asciiTheme="minorHAnsi" w:hAnsiTheme="minorHAnsi" w:cstheme="minorHAnsi"/>
          <w:sz w:val="22"/>
          <w:szCs w:val="22"/>
        </w:rPr>
        <w:t xml:space="preserve"> million per year thereafter.</w:t>
      </w:r>
    </w:p>
    <w:p w14:paraId="55D1BB36" w14:textId="6D19BFEC" w:rsidR="004D329E" w:rsidRPr="00F13259" w:rsidRDefault="004D329E" w:rsidP="00D1580C">
      <w:pPr>
        <w:rPr>
          <w:rFonts w:cstheme="minorHAnsi"/>
          <w:szCs w:val="22"/>
        </w:rPr>
      </w:pPr>
      <w:r w:rsidRPr="00F13259">
        <w:rPr>
          <w:rFonts w:cstheme="minorHAnsi"/>
          <w:szCs w:val="22"/>
        </w:rPr>
        <w:t>This results in an estimated regulatory cost of $</w:t>
      </w:r>
      <w:r w:rsidRPr="002413E4">
        <w:rPr>
          <w:rFonts w:cstheme="minorHAnsi"/>
          <w:szCs w:val="22"/>
        </w:rPr>
        <w:t>3</w:t>
      </w:r>
      <w:r w:rsidRPr="00F13259">
        <w:rPr>
          <w:rFonts w:cstheme="minorHAnsi"/>
          <w:szCs w:val="22"/>
        </w:rPr>
        <w:t>.</w:t>
      </w:r>
      <w:r w:rsidRPr="002413E4">
        <w:rPr>
          <w:rFonts w:cstheme="minorHAnsi"/>
          <w:szCs w:val="22"/>
        </w:rPr>
        <w:t>628</w:t>
      </w:r>
      <w:r w:rsidRPr="00F13259">
        <w:rPr>
          <w:rFonts w:cstheme="minorHAnsi"/>
          <w:szCs w:val="22"/>
        </w:rPr>
        <w:t xml:space="preserve"> million for the first year of the </w:t>
      </w:r>
      <w:r w:rsidR="00B438A2">
        <w:rPr>
          <w:rFonts w:cstheme="minorHAnsi"/>
          <w:szCs w:val="22"/>
        </w:rPr>
        <w:t>Scheme</w:t>
      </w:r>
      <w:r w:rsidRPr="00F13259">
        <w:rPr>
          <w:rFonts w:cstheme="minorHAnsi"/>
          <w:szCs w:val="22"/>
        </w:rPr>
        <w:t>, $4.259 million for the second year, $5.111 million for the third year, $5.963 million for the fourth year and $3.</w:t>
      </w:r>
      <w:r>
        <w:rPr>
          <w:rFonts w:cstheme="minorHAnsi"/>
          <w:szCs w:val="22"/>
        </w:rPr>
        <w:t>407</w:t>
      </w:r>
      <w:r w:rsidRPr="00F13259">
        <w:rPr>
          <w:rFonts w:cstheme="minorHAnsi"/>
          <w:szCs w:val="22"/>
        </w:rPr>
        <w:t xml:space="preserve"> million thereafter.</w:t>
      </w:r>
    </w:p>
    <w:p w14:paraId="3273F5D7" w14:textId="28C812E3" w:rsidR="0033060E" w:rsidRPr="00FD7ACA" w:rsidRDefault="004D329E" w:rsidP="00FD7ACA">
      <w:pPr>
        <w:sectPr w:rsidR="0033060E" w:rsidRPr="00FD7ACA" w:rsidSect="00023A52">
          <w:pgSz w:w="11906" w:h="16838"/>
          <w:pgMar w:top="1701" w:right="1134" w:bottom="1843" w:left="1134" w:header="993" w:footer="709" w:gutter="0"/>
          <w:cols w:space="708"/>
          <w:titlePg/>
          <w:docGrid w:linePitch="360"/>
        </w:sectPr>
      </w:pPr>
      <w:r w:rsidRPr="00F13259">
        <w:rPr>
          <w:rFonts w:cstheme="minorHAnsi"/>
        </w:rPr>
        <w:t>The total estimated average regulatory costs to lenders is $4.</w:t>
      </w:r>
      <w:r w:rsidRPr="002413E4">
        <w:rPr>
          <w:rFonts w:cstheme="minorHAnsi"/>
        </w:rPr>
        <w:t>4</w:t>
      </w:r>
      <w:r>
        <w:rPr>
          <w:rFonts w:cstheme="minorHAnsi"/>
        </w:rPr>
        <w:t>74</w:t>
      </w:r>
      <w:r w:rsidRPr="00F13259">
        <w:rPr>
          <w:rFonts w:cstheme="minorHAnsi"/>
        </w:rPr>
        <w:t xml:space="preserve"> million per year</w:t>
      </w:r>
      <w:r>
        <w:rPr>
          <w:rFonts w:cstheme="minorHAnsi"/>
        </w:rPr>
        <w:t xml:space="preserve"> for the first five years of the </w:t>
      </w:r>
      <w:r w:rsidR="00B438A2">
        <w:rPr>
          <w:rFonts w:cstheme="minorHAnsi"/>
        </w:rPr>
        <w:t>scheme</w:t>
      </w:r>
      <w:r w:rsidR="00947DE7">
        <w:t>.</w:t>
      </w:r>
      <w:r w:rsidR="007D076B">
        <w:t xml:space="preserve"> However, as previously noted, participation by lenders in the </w:t>
      </w:r>
      <w:r w:rsidR="00B438A2">
        <w:t>scheme</w:t>
      </w:r>
      <w:r w:rsidR="007D076B">
        <w:t xml:space="preserve"> is voluntary and it is expected that lenders will only seek to offer the Help to Buy product where expected revenue outweighs any additional regulatory burden.</w:t>
      </w:r>
      <w:r w:rsidR="001E2DD4">
        <w:t xml:space="preserve"> The Help to Buy Program Direction</w:t>
      </w:r>
      <w:r w:rsidR="001D456D">
        <w:t xml:space="preserve">s additionally require Housing Australia to </w:t>
      </w:r>
      <w:r w:rsidR="00394E62">
        <w:t xml:space="preserve">consider the competitiveness of </w:t>
      </w:r>
      <w:r w:rsidR="00D8174C">
        <w:t xml:space="preserve">a lender’s mortgage products as a criteria when approving entities to become participating lenders. It is expected that this will ensure participating lenders do not pass additional costs on to </w:t>
      </w:r>
      <w:r w:rsidR="00B438A2">
        <w:t>scheme</w:t>
      </w:r>
      <w:r w:rsidR="00D8174C">
        <w:t xml:space="preserve"> participants.</w:t>
      </w:r>
    </w:p>
    <w:p w14:paraId="32909BBD" w14:textId="51314261" w:rsidR="0014151F" w:rsidRPr="00343494" w:rsidRDefault="002942B3" w:rsidP="002942B3">
      <w:pPr>
        <w:pStyle w:val="Heading1"/>
        <w:rPr>
          <w:color w:val="004261" w:themeColor="accent2"/>
        </w:rPr>
      </w:pPr>
      <w:bookmarkStart w:id="9" w:name="_Toc200114838"/>
      <w:r w:rsidRPr="00343494">
        <w:rPr>
          <w:color w:val="004261" w:themeColor="accent2"/>
        </w:rPr>
        <w:lastRenderedPageBreak/>
        <w:t xml:space="preserve">5. </w:t>
      </w:r>
      <w:r w:rsidR="007927B1" w:rsidRPr="00343494">
        <w:rPr>
          <w:color w:val="004261" w:themeColor="accent2"/>
        </w:rPr>
        <w:t>Consultation</w:t>
      </w:r>
      <w:bookmarkEnd w:id="9"/>
    </w:p>
    <w:p w14:paraId="126D517E" w14:textId="77777777" w:rsidR="00A168F2" w:rsidRPr="009D55D4" w:rsidRDefault="00A168F2" w:rsidP="00A168F2">
      <w:r>
        <w:t xml:space="preserve">Treasury </w:t>
      </w:r>
      <w:r w:rsidRPr="009D55D4">
        <w:t xml:space="preserve">has undertaken </w:t>
      </w:r>
      <w:r>
        <w:t xml:space="preserve">extensive </w:t>
      </w:r>
      <w:r w:rsidRPr="009D55D4">
        <w:t>consultation with a number of commercial lenders, housing industry representatives, state and territory governments, financial regulators and other impacted stakeholders, and has drawn on this feedback to inform the detailed design of the proposal.</w:t>
      </w:r>
    </w:p>
    <w:p w14:paraId="1B4F5848" w14:textId="1FD95BDE" w:rsidR="00835A98" w:rsidRDefault="00A168F2" w:rsidP="00A168F2">
      <w:r w:rsidRPr="009D55D4">
        <w:t xml:space="preserve">Consideration has been given to the interactions with other </w:t>
      </w:r>
      <w:r>
        <w:t>home ownership</w:t>
      </w:r>
      <w:r w:rsidRPr="009D55D4">
        <w:t xml:space="preserve"> </w:t>
      </w:r>
      <w:r w:rsidR="00B438A2">
        <w:t>scheme</w:t>
      </w:r>
      <w:r w:rsidRPr="009D55D4">
        <w:t xml:space="preserve">s, including similar state-run </w:t>
      </w:r>
      <w:r w:rsidR="00B438A2">
        <w:t>scheme</w:t>
      </w:r>
      <w:r w:rsidRPr="009D55D4">
        <w:t xml:space="preserve">s, the </w:t>
      </w:r>
      <w:r>
        <w:t>Commonwealth support offered by HGS</w:t>
      </w:r>
      <w:r w:rsidRPr="009D55D4">
        <w:t xml:space="preserve"> and the first home buyer grants and stamp duty concessions offered by state and territory governments</w:t>
      </w:r>
      <w:r w:rsidR="00835A98">
        <w:t xml:space="preserve">. </w:t>
      </w:r>
    </w:p>
    <w:p w14:paraId="4DFA891D" w14:textId="558531DC" w:rsidR="00E0559D" w:rsidRPr="00343494" w:rsidRDefault="00835A98" w:rsidP="00E0559D">
      <w:pPr>
        <w:pStyle w:val="Heading2"/>
        <w:rPr>
          <w:color w:val="004261" w:themeColor="accent2"/>
        </w:rPr>
      </w:pPr>
      <w:r w:rsidRPr="00343494">
        <w:rPr>
          <w:color w:val="004261" w:themeColor="accent2"/>
        </w:rPr>
        <w:t xml:space="preserve">5.1 Consultation </w:t>
      </w:r>
      <w:r w:rsidR="005223C4" w:rsidRPr="00343494">
        <w:rPr>
          <w:color w:val="004261" w:themeColor="accent2"/>
        </w:rPr>
        <w:t>rounds</w:t>
      </w:r>
    </w:p>
    <w:p w14:paraId="7952A129" w14:textId="2DBF1EA0" w:rsidR="009C5EF9" w:rsidRPr="00E74693" w:rsidRDefault="009C5EF9" w:rsidP="009C5EF9">
      <w:pPr>
        <w:rPr>
          <w:b/>
          <w:bCs/>
          <w:color w:val="004261" w:themeColor="accent2"/>
          <w:sz w:val="28"/>
          <w:szCs w:val="28"/>
        </w:rPr>
      </w:pPr>
      <w:r w:rsidRPr="00E74693">
        <w:rPr>
          <w:b/>
          <w:bCs/>
          <w:color w:val="004261" w:themeColor="accent2"/>
          <w:sz w:val="28"/>
          <w:szCs w:val="28"/>
        </w:rPr>
        <w:t xml:space="preserve">Public </w:t>
      </w:r>
      <w:r w:rsidR="00255B4E">
        <w:rPr>
          <w:b/>
          <w:bCs/>
          <w:color w:val="004261" w:themeColor="accent2"/>
          <w:sz w:val="28"/>
          <w:szCs w:val="28"/>
        </w:rPr>
        <w:t>c</w:t>
      </w:r>
      <w:r w:rsidRPr="00E74693">
        <w:rPr>
          <w:b/>
          <w:bCs/>
          <w:color w:val="004261" w:themeColor="accent2"/>
          <w:sz w:val="28"/>
          <w:szCs w:val="28"/>
        </w:rPr>
        <w:t>onsultation on the Help to Buy Program Directions</w:t>
      </w:r>
    </w:p>
    <w:p w14:paraId="71FDABC3" w14:textId="77777777" w:rsidR="009C5EF9" w:rsidRPr="00BA4330" w:rsidRDefault="009C5EF9" w:rsidP="009C5EF9">
      <w:pPr>
        <w:rPr>
          <w:rFonts w:cstheme="majorHAnsi"/>
        </w:rPr>
      </w:pPr>
      <w:r w:rsidRPr="00BA4330">
        <w:t xml:space="preserve">Treasury released an exposure draft version of the </w:t>
      </w:r>
      <w:r w:rsidRPr="00BA4330">
        <w:rPr>
          <w:i/>
          <w:iCs/>
        </w:rPr>
        <w:t xml:space="preserve">Help to Buy Program Directions </w:t>
      </w:r>
      <w:r w:rsidRPr="00BA4330">
        <w:t xml:space="preserve">for public consultation between </w:t>
      </w:r>
      <w:r w:rsidRPr="00BA4330">
        <w:rPr>
          <w:rFonts w:cstheme="majorHAnsi"/>
        </w:rPr>
        <w:t>23 April 2024 and 21 May 2024. The Program Directions set out the detailed requirements of the program, including income and price caps, eligibility requirements for participants and rules surrounding contracts.</w:t>
      </w:r>
    </w:p>
    <w:p w14:paraId="2BB33A13" w14:textId="77777777" w:rsidR="009C5EF9" w:rsidRDefault="009C5EF9" w:rsidP="009C5EF9">
      <w:pPr>
        <w:rPr>
          <w:rFonts w:cstheme="majorHAnsi"/>
        </w:rPr>
      </w:pPr>
      <w:r w:rsidRPr="00BA4330">
        <w:rPr>
          <w:rFonts w:cstheme="majorHAnsi"/>
        </w:rPr>
        <w:t xml:space="preserve">Stakeholders were given an opportunity to provide written feedback on the Program Directions, with a total of 51 written submissions on 8 key topics from a wide range of stakeholders including lenders, States and Territories, the development and construction sectors and community organisations. Treasury also met directly with 32 organisations over 20 </w:t>
      </w:r>
      <w:r w:rsidRPr="00E74693">
        <w:rPr>
          <w:rFonts w:cstheme="majorHAnsi"/>
        </w:rPr>
        <w:t>meetings.</w:t>
      </w:r>
    </w:p>
    <w:p w14:paraId="4DA9909C" w14:textId="3151135B" w:rsidR="00516C80" w:rsidRPr="00B253EC" w:rsidRDefault="00485107" w:rsidP="009C5EF9">
      <w:pPr>
        <w:rPr>
          <w:rFonts w:cstheme="majorHAnsi"/>
        </w:rPr>
      </w:pPr>
      <w:r>
        <w:rPr>
          <w:rFonts w:cstheme="majorHAnsi"/>
        </w:rPr>
        <w:t>Public feedback on the broader design of the scheme was also provided through t</w:t>
      </w:r>
      <w:r w:rsidR="00516C80">
        <w:rPr>
          <w:rFonts w:cstheme="majorHAnsi"/>
        </w:rPr>
        <w:t xml:space="preserve">he Senate Economics Committee </w:t>
      </w:r>
      <w:r>
        <w:rPr>
          <w:rFonts w:cstheme="majorHAnsi"/>
        </w:rPr>
        <w:t xml:space="preserve">inquiry </w:t>
      </w:r>
      <w:r w:rsidR="00A9103C">
        <w:rPr>
          <w:rFonts w:cstheme="majorHAnsi"/>
        </w:rPr>
        <w:t xml:space="preserve">on the </w:t>
      </w:r>
      <w:r w:rsidR="00A9103C">
        <w:rPr>
          <w:rFonts w:cstheme="majorHAnsi"/>
          <w:i/>
          <w:iCs/>
        </w:rPr>
        <w:t>Help to Buy Bill 2023</w:t>
      </w:r>
      <w:r w:rsidR="00A9103C">
        <w:rPr>
          <w:rFonts w:cstheme="majorHAnsi"/>
        </w:rPr>
        <w:t xml:space="preserve">. Feedback from this process </w:t>
      </w:r>
      <w:r w:rsidR="00AE05FD">
        <w:rPr>
          <w:rFonts w:cstheme="majorHAnsi"/>
        </w:rPr>
        <w:t xml:space="preserve">was </w:t>
      </w:r>
      <w:r w:rsidR="000A1C06">
        <w:rPr>
          <w:rFonts w:cstheme="majorHAnsi"/>
        </w:rPr>
        <w:t xml:space="preserve">considered by Government </w:t>
      </w:r>
      <w:r w:rsidR="00830066">
        <w:rPr>
          <w:rFonts w:cstheme="majorHAnsi"/>
        </w:rPr>
        <w:t xml:space="preserve">during the final policy development process for the </w:t>
      </w:r>
      <w:r w:rsidR="00462399">
        <w:rPr>
          <w:rFonts w:cstheme="majorHAnsi"/>
        </w:rPr>
        <w:t>Help to Buy Program Directions.</w:t>
      </w:r>
      <w:r w:rsidR="00462399">
        <w:rPr>
          <w:rStyle w:val="FootnoteReference"/>
          <w:rFonts w:cstheme="majorHAnsi"/>
        </w:rPr>
        <w:footnoteReference w:id="46"/>
      </w:r>
    </w:p>
    <w:p w14:paraId="15C7A37A" w14:textId="15578523" w:rsidR="009C5EF9" w:rsidRPr="00E74693" w:rsidRDefault="009C5EF9" w:rsidP="009C5EF9">
      <w:pPr>
        <w:rPr>
          <w:rFonts w:asciiTheme="majorHAnsi" w:hAnsiTheme="majorHAnsi" w:cstheme="majorHAnsi"/>
          <w:b/>
          <w:bCs/>
          <w:color w:val="004261" w:themeColor="accent2"/>
          <w:sz w:val="28"/>
          <w:szCs w:val="28"/>
        </w:rPr>
      </w:pPr>
      <w:r w:rsidRPr="00E74693">
        <w:rPr>
          <w:rFonts w:asciiTheme="majorHAnsi" w:hAnsiTheme="majorHAnsi" w:cstheme="majorHAnsi"/>
          <w:b/>
          <w:bCs/>
          <w:color w:val="004261" w:themeColor="accent2"/>
          <w:sz w:val="28"/>
          <w:szCs w:val="28"/>
        </w:rPr>
        <w:t xml:space="preserve">Key </w:t>
      </w:r>
      <w:r w:rsidR="005B0E44">
        <w:rPr>
          <w:rFonts w:asciiTheme="majorHAnsi" w:hAnsiTheme="majorHAnsi" w:cstheme="majorHAnsi"/>
          <w:b/>
          <w:bCs/>
          <w:color w:val="004261" w:themeColor="accent2"/>
          <w:sz w:val="28"/>
          <w:szCs w:val="28"/>
        </w:rPr>
        <w:t>t</w:t>
      </w:r>
      <w:r w:rsidRPr="00E74693">
        <w:rPr>
          <w:rFonts w:asciiTheme="majorHAnsi" w:hAnsiTheme="majorHAnsi" w:cstheme="majorHAnsi"/>
          <w:b/>
          <w:bCs/>
          <w:color w:val="004261" w:themeColor="accent2"/>
          <w:sz w:val="28"/>
          <w:szCs w:val="28"/>
        </w:rPr>
        <w:t>hemes</w:t>
      </w:r>
    </w:p>
    <w:p w14:paraId="292F2519" w14:textId="06ACC0C5" w:rsidR="008B65C9" w:rsidRDefault="001B07D2" w:rsidP="009C5EF9">
      <w:pPr>
        <w:rPr>
          <w:rFonts w:cstheme="minorHAnsi"/>
        </w:rPr>
      </w:pPr>
      <w:r w:rsidRPr="00E74693">
        <w:rPr>
          <w:rFonts w:cstheme="minorHAnsi"/>
        </w:rPr>
        <w:t xml:space="preserve">Stakeholder feedback focused principally on </w:t>
      </w:r>
      <w:r w:rsidR="00A12FBC" w:rsidRPr="00E74693">
        <w:rPr>
          <w:rFonts w:cstheme="minorHAnsi"/>
        </w:rPr>
        <w:t>the</w:t>
      </w:r>
      <w:r w:rsidRPr="00E74693">
        <w:rPr>
          <w:rFonts w:cstheme="minorHAnsi"/>
        </w:rPr>
        <w:t xml:space="preserve"> key themes set out below. </w:t>
      </w:r>
      <w:r w:rsidR="00F1192A" w:rsidRPr="00E74693">
        <w:rPr>
          <w:rFonts w:cstheme="minorHAnsi"/>
        </w:rPr>
        <w:t xml:space="preserve">The Government considered each </w:t>
      </w:r>
      <w:r w:rsidR="0002403C" w:rsidRPr="00E74693">
        <w:rPr>
          <w:rFonts w:cstheme="minorHAnsi"/>
        </w:rPr>
        <w:t>of these recommendations</w:t>
      </w:r>
      <w:r w:rsidR="005B4511" w:rsidRPr="00E74693">
        <w:rPr>
          <w:rFonts w:cstheme="minorHAnsi"/>
        </w:rPr>
        <w:t xml:space="preserve"> and several were incorporated into the final Program Directions</w:t>
      </w:r>
      <w:r w:rsidR="006E3CB4" w:rsidRPr="00E74693">
        <w:rPr>
          <w:rFonts w:cstheme="minorHAnsi"/>
        </w:rPr>
        <w:t>.</w:t>
      </w:r>
      <w:r w:rsidR="003E41BA" w:rsidRPr="00E74693">
        <w:rPr>
          <w:rFonts w:cstheme="minorHAnsi"/>
        </w:rPr>
        <w:t xml:space="preserve"> </w:t>
      </w:r>
      <w:r w:rsidR="006E3CB4" w:rsidRPr="00E74693">
        <w:rPr>
          <w:rFonts w:cstheme="minorHAnsi"/>
        </w:rPr>
        <w:t>D</w:t>
      </w:r>
      <w:r w:rsidR="003E41BA" w:rsidRPr="00E74693">
        <w:rPr>
          <w:rFonts w:cstheme="minorHAnsi"/>
        </w:rPr>
        <w:t xml:space="preserve">etail on changes </w:t>
      </w:r>
      <w:r w:rsidR="006E3CB4" w:rsidRPr="00E74693">
        <w:rPr>
          <w:rFonts w:cstheme="minorHAnsi"/>
        </w:rPr>
        <w:t>to the Program Directions as a result of consultation</w:t>
      </w:r>
      <w:r w:rsidR="006E3CB4">
        <w:rPr>
          <w:rFonts w:cstheme="minorHAnsi"/>
        </w:rPr>
        <w:t xml:space="preserve"> is set out </w:t>
      </w:r>
      <w:r w:rsidR="00406479">
        <w:rPr>
          <w:rFonts w:cstheme="minorHAnsi"/>
        </w:rPr>
        <w:t>in the Response and Consideration section below.</w:t>
      </w:r>
    </w:p>
    <w:p w14:paraId="01FC7AE9" w14:textId="77777777" w:rsidR="0061480E" w:rsidRDefault="0061480E" w:rsidP="009C5EF9">
      <w:pPr>
        <w:rPr>
          <w:rFonts w:cstheme="minorHAnsi"/>
        </w:rPr>
      </w:pPr>
    </w:p>
    <w:p w14:paraId="06D235F1" w14:textId="77777777" w:rsidR="0061480E" w:rsidRDefault="0061480E" w:rsidP="009C5EF9">
      <w:pPr>
        <w:rPr>
          <w:rFonts w:cstheme="minorHAnsi"/>
          <w:b/>
          <w:bCs/>
          <w:color w:val="004261" w:themeColor="accent2"/>
        </w:rPr>
      </w:pPr>
    </w:p>
    <w:p w14:paraId="26D7381E" w14:textId="2D18A08A" w:rsidR="009C5EF9" w:rsidRPr="00BA4330" w:rsidRDefault="009C5EF9" w:rsidP="009C5EF9">
      <w:pPr>
        <w:rPr>
          <w:rFonts w:cstheme="minorHAnsi"/>
          <w:b/>
          <w:bCs/>
          <w:color w:val="004261" w:themeColor="accent2"/>
        </w:rPr>
      </w:pPr>
      <w:r w:rsidRPr="00BA4330">
        <w:rPr>
          <w:rFonts w:cstheme="minorHAnsi"/>
          <w:b/>
          <w:bCs/>
          <w:color w:val="004261" w:themeColor="accent2"/>
        </w:rPr>
        <w:lastRenderedPageBreak/>
        <w:t xml:space="preserve">Increasing </w:t>
      </w:r>
      <w:r w:rsidRPr="00BA4330">
        <w:rPr>
          <w:rFonts w:cstheme="minorHAnsi"/>
          <w:b/>
          <w:color w:val="004261" w:themeColor="accent2"/>
        </w:rPr>
        <w:t xml:space="preserve">the </w:t>
      </w:r>
      <w:r w:rsidR="00B438A2">
        <w:rPr>
          <w:rFonts w:cstheme="minorHAnsi"/>
          <w:b/>
          <w:color w:val="004261" w:themeColor="accent2"/>
        </w:rPr>
        <w:t>Scheme</w:t>
      </w:r>
      <w:r w:rsidRPr="00BA4330">
        <w:rPr>
          <w:rFonts w:cstheme="minorHAnsi"/>
          <w:b/>
          <w:bCs/>
          <w:color w:val="004261" w:themeColor="accent2"/>
        </w:rPr>
        <w:t>’s income caps</w:t>
      </w:r>
    </w:p>
    <w:p w14:paraId="2990A49A" w14:textId="0A9C5C6D" w:rsidR="009C5EF9" w:rsidRDefault="009C5EF9" w:rsidP="009C5EF9">
      <w:pPr>
        <w:rPr>
          <w:rFonts w:cstheme="minorHAnsi"/>
        </w:rPr>
      </w:pPr>
      <w:r>
        <w:rPr>
          <w:rFonts w:cstheme="minorHAnsi"/>
        </w:rPr>
        <w:t xml:space="preserve">Stakeholders suggested that the </w:t>
      </w:r>
      <w:r w:rsidR="00B438A2">
        <w:rPr>
          <w:rFonts w:cstheme="minorHAnsi"/>
        </w:rPr>
        <w:t>scheme</w:t>
      </w:r>
      <w:r>
        <w:rPr>
          <w:rFonts w:cstheme="minorHAnsi"/>
        </w:rPr>
        <w:t xml:space="preserve"> income caps should be raised</w:t>
      </w:r>
      <w:r w:rsidR="00657F6F">
        <w:rPr>
          <w:rFonts w:cstheme="minorHAnsi"/>
        </w:rPr>
        <w:t xml:space="preserve"> </w:t>
      </w:r>
      <w:r>
        <w:rPr>
          <w:rFonts w:cstheme="minorHAnsi"/>
        </w:rPr>
        <w:t xml:space="preserve">and could limit the ability of Australians to participate in the </w:t>
      </w:r>
      <w:r w:rsidR="00B438A2">
        <w:rPr>
          <w:rFonts w:cstheme="minorHAnsi"/>
        </w:rPr>
        <w:t>scheme</w:t>
      </w:r>
      <w:r>
        <w:rPr>
          <w:rFonts w:cstheme="minorHAnsi"/>
        </w:rPr>
        <w:t xml:space="preserve"> and purchase a dwelling </w:t>
      </w:r>
      <w:r w:rsidR="00DF6653">
        <w:rPr>
          <w:rFonts w:cstheme="minorHAnsi"/>
        </w:rPr>
        <w:t xml:space="preserve">within </w:t>
      </w:r>
      <w:r>
        <w:rPr>
          <w:rFonts w:cstheme="minorHAnsi"/>
        </w:rPr>
        <w:t>the property price caps.</w:t>
      </w:r>
    </w:p>
    <w:p w14:paraId="2D076949" w14:textId="2C3AB03B" w:rsidR="009C5EF9" w:rsidRPr="00BA4330" w:rsidRDefault="009C5EF9" w:rsidP="009C5EF9">
      <w:pPr>
        <w:rPr>
          <w:rFonts w:cstheme="minorHAnsi"/>
          <w:b/>
          <w:bCs/>
          <w:color w:val="004261" w:themeColor="accent2"/>
        </w:rPr>
      </w:pPr>
      <w:r w:rsidRPr="00BA4330">
        <w:rPr>
          <w:rFonts w:cstheme="minorHAnsi"/>
          <w:b/>
          <w:bCs/>
          <w:color w:val="004261" w:themeColor="accent2"/>
        </w:rPr>
        <w:t xml:space="preserve">Increasing the </w:t>
      </w:r>
      <w:r w:rsidR="00B438A2">
        <w:rPr>
          <w:rFonts w:cstheme="minorHAnsi"/>
          <w:b/>
          <w:bCs/>
          <w:color w:val="004261" w:themeColor="accent2"/>
        </w:rPr>
        <w:t>Scheme</w:t>
      </w:r>
      <w:r w:rsidRPr="00BA4330">
        <w:rPr>
          <w:rFonts w:cstheme="minorHAnsi"/>
          <w:b/>
          <w:bCs/>
          <w:color w:val="004261" w:themeColor="accent2"/>
        </w:rPr>
        <w:t>’s property price caps</w:t>
      </w:r>
    </w:p>
    <w:p w14:paraId="105ED7FC" w14:textId="076E15AD" w:rsidR="009C5EF9" w:rsidRPr="002413E4" w:rsidRDefault="009C5EF9" w:rsidP="009C5EF9">
      <w:pPr>
        <w:rPr>
          <w:rFonts w:cstheme="minorHAnsi"/>
        </w:rPr>
      </w:pPr>
      <w:r>
        <w:rPr>
          <w:rFonts w:cstheme="minorHAnsi"/>
        </w:rPr>
        <w:t xml:space="preserve">Stakeholders suggested that the </w:t>
      </w:r>
      <w:r w:rsidR="00B438A2">
        <w:rPr>
          <w:rFonts w:cstheme="minorHAnsi"/>
        </w:rPr>
        <w:t>Scheme</w:t>
      </w:r>
      <w:r>
        <w:rPr>
          <w:rFonts w:cstheme="minorHAnsi"/>
        </w:rPr>
        <w:t xml:space="preserve"> property price caps should be raised as the current price caps were under median prices in several markets.</w:t>
      </w:r>
    </w:p>
    <w:p w14:paraId="21909672" w14:textId="77777777" w:rsidR="009C5EF9" w:rsidRPr="00BA4330" w:rsidRDefault="009C5EF9" w:rsidP="009C5EF9">
      <w:pPr>
        <w:rPr>
          <w:rFonts w:cstheme="minorHAnsi"/>
          <w:b/>
          <w:bCs/>
          <w:color w:val="004261" w:themeColor="accent2"/>
        </w:rPr>
      </w:pPr>
      <w:r w:rsidRPr="00BA4330">
        <w:rPr>
          <w:rFonts w:cstheme="minorHAnsi"/>
          <w:b/>
          <w:bCs/>
          <w:color w:val="004261" w:themeColor="accent2"/>
        </w:rPr>
        <w:t>Modifying the requirements for off-the-plan dwellings</w:t>
      </w:r>
    </w:p>
    <w:p w14:paraId="42E85A39" w14:textId="256053CF" w:rsidR="009C5EF9" w:rsidRPr="00435505" w:rsidRDefault="009C5EF9" w:rsidP="009C5EF9">
      <w:pPr>
        <w:rPr>
          <w:rFonts w:cstheme="minorHAnsi"/>
        </w:rPr>
      </w:pPr>
      <w:r>
        <w:rPr>
          <w:rFonts w:cstheme="minorHAnsi"/>
        </w:rPr>
        <w:t xml:space="preserve">Stakeholders suggested that the requirement for off-the-plan dwellings to be near completion to qualify under the </w:t>
      </w:r>
      <w:r w:rsidR="00B438A2">
        <w:rPr>
          <w:rFonts w:cstheme="minorHAnsi"/>
        </w:rPr>
        <w:t>Scheme</w:t>
      </w:r>
      <w:r>
        <w:rPr>
          <w:rFonts w:cstheme="minorHAnsi"/>
        </w:rPr>
        <w:t xml:space="preserve"> was overly restrictive and would limit the ability of participants to use off-the-plan dwellings under the </w:t>
      </w:r>
      <w:r w:rsidR="00B438A2">
        <w:rPr>
          <w:rFonts w:cstheme="minorHAnsi"/>
        </w:rPr>
        <w:t>Scheme</w:t>
      </w:r>
      <w:r>
        <w:rPr>
          <w:rFonts w:cstheme="minorHAnsi"/>
        </w:rPr>
        <w:t>.</w:t>
      </w:r>
    </w:p>
    <w:p w14:paraId="66DA0922" w14:textId="77777777" w:rsidR="009C5EF9" w:rsidRPr="00BA4330" w:rsidRDefault="009C5EF9" w:rsidP="009C5EF9">
      <w:pPr>
        <w:rPr>
          <w:rFonts w:cstheme="minorHAnsi"/>
          <w:b/>
          <w:bCs/>
          <w:color w:val="004261" w:themeColor="accent2"/>
        </w:rPr>
      </w:pPr>
      <w:r w:rsidRPr="00BA4330">
        <w:rPr>
          <w:rFonts w:cstheme="minorHAnsi"/>
          <w:b/>
          <w:bCs/>
          <w:color w:val="004261" w:themeColor="accent2"/>
        </w:rPr>
        <w:t>Increase the timeframe for completion of new builds</w:t>
      </w:r>
    </w:p>
    <w:p w14:paraId="559D41AE" w14:textId="73B63FE9" w:rsidR="009C5EF9" w:rsidRPr="00435505" w:rsidRDefault="009C5EF9" w:rsidP="009C5EF9">
      <w:pPr>
        <w:rPr>
          <w:rFonts w:cstheme="minorHAnsi"/>
        </w:rPr>
      </w:pPr>
      <w:r>
        <w:rPr>
          <w:rFonts w:cstheme="minorHAnsi"/>
        </w:rPr>
        <w:t xml:space="preserve">Stakeholders suggested that the requirement that construction of a dwelling under the </w:t>
      </w:r>
      <w:r w:rsidR="00B438A2">
        <w:rPr>
          <w:rFonts w:cstheme="minorHAnsi"/>
        </w:rPr>
        <w:t>Scheme</w:t>
      </w:r>
      <w:r>
        <w:rPr>
          <w:rFonts w:cstheme="minorHAnsi"/>
        </w:rPr>
        <w:t xml:space="preserve"> be completed within 24 months be extended to 36 months to provide additional certainty to participants in the </w:t>
      </w:r>
      <w:r w:rsidR="00B438A2">
        <w:rPr>
          <w:rFonts w:cstheme="minorHAnsi"/>
        </w:rPr>
        <w:t>Scheme</w:t>
      </w:r>
      <w:r>
        <w:rPr>
          <w:rFonts w:cstheme="minorHAnsi"/>
        </w:rPr>
        <w:t>.</w:t>
      </w:r>
    </w:p>
    <w:p w14:paraId="0CED925F" w14:textId="77777777" w:rsidR="009C5EF9" w:rsidRPr="00BA4330" w:rsidRDefault="009C5EF9" w:rsidP="009C5EF9">
      <w:pPr>
        <w:rPr>
          <w:rFonts w:cstheme="minorHAnsi"/>
          <w:b/>
          <w:bCs/>
          <w:color w:val="004261" w:themeColor="accent2"/>
        </w:rPr>
      </w:pPr>
      <w:r w:rsidRPr="00BA4330">
        <w:rPr>
          <w:rFonts w:cstheme="minorHAnsi"/>
          <w:b/>
          <w:bCs/>
          <w:color w:val="004261" w:themeColor="accent2"/>
        </w:rPr>
        <w:t>Allow the Commonwealth to provide additional funds as necessary to ensure new builds are completed</w:t>
      </w:r>
    </w:p>
    <w:p w14:paraId="1114F80B" w14:textId="77777777" w:rsidR="009C5EF9" w:rsidRPr="00435505" w:rsidRDefault="009C5EF9" w:rsidP="009C5EF9">
      <w:pPr>
        <w:rPr>
          <w:rFonts w:cstheme="minorHAnsi"/>
        </w:rPr>
      </w:pPr>
      <w:r>
        <w:rPr>
          <w:rFonts w:cstheme="minorHAnsi"/>
        </w:rPr>
        <w:t>Stakeholders suggested Housing Australia be given the ability to contribute additional funds to a new construction where costs increase, and participants and lenders are unable to provide additional funds. This would ensure new builds are completed.</w:t>
      </w:r>
    </w:p>
    <w:p w14:paraId="6C7C73F1" w14:textId="77777777" w:rsidR="009C5EF9" w:rsidRPr="00BA4330" w:rsidRDefault="009C5EF9" w:rsidP="009C5EF9">
      <w:pPr>
        <w:rPr>
          <w:rFonts w:cstheme="minorHAnsi"/>
          <w:b/>
          <w:bCs/>
          <w:color w:val="004261" w:themeColor="accent2"/>
        </w:rPr>
      </w:pPr>
      <w:r w:rsidRPr="00BA4330">
        <w:rPr>
          <w:rFonts w:cstheme="minorHAnsi"/>
          <w:b/>
          <w:bCs/>
          <w:color w:val="004261" w:themeColor="accent2"/>
        </w:rPr>
        <w:t>Provide greater flexibility on the application of eligibility requirements</w:t>
      </w:r>
    </w:p>
    <w:p w14:paraId="7D78DC5C" w14:textId="77777777" w:rsidR="009C5EF9" w:rsidRPr="00435505" w:rsidRDefault="009C5EF9" w:rsidP="009C5EF9">
      <w:pPr>
        <w:rPr>
          <w:rFonts w:cstheme="minorHAnsi"/>
        </w:rPr>
      </w:pPr>
      <w:r>
        <w:rPr>
          <w:rFonts w:cstheme="minorHAnsi"/>
        </w:rPr>
        <w:t>Stakeholders suggested that Housing Australia be given additional flexibility on certain eligibility requirements in the Program Directions to ensure individual circumstances could be catered to more effectively.</w:t>
      </w:r>
    </w:p>
    <w:p w14:paraId="20AAA059" w14:textId="00FA036D" w:rsidR="009C5EF9" w:rsidRPr="00BA4330" w:rsidRDefault="009C5EF9" w:rsidP="009C5EF9">
      <w:pPr>
        <w:rPr>
          <w:rFonts w:cstheme="minorHAnsi"/>
          <w:b/>
          <w:bCs/>
          <w:color w:val="004261" w:themeColor="accent2"/>
        </w:rPr>
      </w:pPr>
      <w:r w:rsidRPr="00BA4330">
        <w:rPr>
          <w:rFonts w:cstheme="minorHAnsi"/>
          <w:b/>
          <w:bCs/>
          <w:color w:val="004261" w:themeColor="accent2"/>
        </w:rPr>
        <w:t xml:space="preserve">Increase the size or length of the </w:t>
      </w:r>
      <w:r w:rsidR="00B438A2">
        <w:rPr>
          <w:rFonts w:cstheme="minorHAnsi"/>
          <w:b/>
          <w:bCs/>
          <w:color w:val="004261" w:themeColor="accent2"/>
        </w:rPr>
        <w:t>Scheme</w:t>
      </w:r>
    </w:p>
    <w:p w14:paraId="4CD6319A" w14:textId="59DFA5CA" w:rsidR="009C5EF9" w:rsidRPr="00435505" w:rsidRDefault="009C5EF9" w:rsidP="009C5EF9">
      <w:pPr>
        <w:rPr>
          <w:rFonts w:cstheme="minorHAnsi"/>
        </w:rPr>
      </w:pPr>
      <w:r>
        <w:rPr>
          <w:rFonts w:cstheme="minorHAnsi"/>
        </w:rPr>
        <w:t xml:space="preserve">Stakeholders suggested expanding the number of places offered under the </w:t>
      </w:r>
      <w:r w:rsidR="00B438A2">
        <w:rPr>
          <w:rFonts w:cstheme="minorHAnsi"/>
        </w:rPr>
        <w:t>Scheme</w:t>
      </w:r>
      <w:r>
        <w:rPr>
          <w:rFonts w:cstheme="minorHAnsi"/>
        </w:rPr>
        <w:t xml:space="preserve"> either by expanding the number provided each year and/or extending the number of years in which places would be offered to support more Australians into home ownership.</w:t>
      </w:r>
    </w:p>
    <w:p w14:paraId="5039AE6C" w14:textId="77777777" w:rsidR="009C5EF9" w:rsidRPr="00BA4330" w:rsidRDefault="009C5EF9" w:rsidP="009C5EF9">
      <w:pPr>
        <w:rPr>
          <w:rFonts w:cstheme="minorHAnsi"/>
          <w:b/>
          <w:bCs/>
          <w:color w:val="004261" w:themeColor="accent2"/>
        </w:rPr>
      </w:pPr>
      <w:r w:rsidRPr="00BA4330">
        <w:rPr>
          <w:rFonts w:cstheme="minorHAnsi"/>
          <w:b/>
          <w:bCs/>
          <w:color w:val="004261" w:themeColor="accent2"/>
        </w:rPr>
        <w:t>Reserve places for priority cohorts</w:t>
      </w:r>
    </w:p>
    <w:p w14:paraId="4FE53808" w14:textId="2A908796" w:rsidR="009C5EF9" w:rsidRDefault="009C5EF9" w:rsidP="009C5EF9">
      <w:pPr>
        <w:rPr>
          <w:rFonts w:cstheme="minorHAnsi"/>
        </w:rPr>
      </w:pPr>
      <w:r>
        <w:rPr>
          <w:rFonts w:cstheme="minorHAnsi"/>
        </w:rPr>
        <w:t xml:space="preserve">Stakeholders suggested reserving a certain number of places each year for a variety of priority cohorts to ensure sufficient uptake of the </w:t>
      </w:r>
      <w:r w:rsidR="00B438A2">
        <w:rPr>
          <w:rFonts w:cstheme="minorHAnsi"/>
        </w:rPr>
        <w:t>Scheme</w:t>
      </w:r>
      <w:r>
        <w:rPr>
          <w:rFonts w:cstheme="minorHAnsi"/>
        </w:rPr>
        <w:t xml:space="preserve"> amongst relevant target groups.</w:t>
      </w:r>
    </w:p>
    <w:p w14:paraId="524444FB" w14:textId="77777777" w:rsidR="0061480E" w:rsidRDefault="0061480E" w:rsidP="009C5EF9">
      <w:pPr>
        <w:rPr>
          <w:rFonts w:cstheme="minorHAnsi"/>
        </w:rPr>
      </w:pPr>
    </w:p>
    <w:p w14:paraId="3597E2CF" w14:textId="77777777" w:rsidR="0061480E" w:rsidRPr="002413E4" w:rsidRDefault="0061480E" w:rsidP="009C5EF9">
      <w:pPr>
        <w:rPr>
          <w:rFonts w:cstheme="minorHAnsi"/>
        </w:rPr>
      </w:pPr>
    </w:p>
    <w:p w14:paraId="27A359BC" w14:textId="77777777" w:rsidR="009C5EF9" w:rsidRPr="00E74693" w:rsidRDefault="009C5EF9" w:rsidP="009C5EF9">
      <w:pPr>
        <w:rPr>
          <w:rFonts w:asciiTheme="majorHAnsi" w:hAnsiTheme="majorHAnsi" w:cstheme="majorHAnsi"/>
          <w:b/>
          <w:bCs/>
          <w:color w:val="004261" w:themeColor="accent2"/>
          <w:sz w:val="28"/>
          <w:szCs w:val="28"/>
        </w:rPr>
      </w:pPr>
      <w:r w:rsidRPr="00E74693">
        <w:rPr>
          <w:rFonts w:asciiTheme="majorHAnsi" w:hAnsiTheme="majorHAnsi" w:cstheme="majorHAnsi"/>
          <w:b/>
          <w:bCs/>
          <w:color w:val="004261" w:themeColor="accent2"/>
          <w:sz w:val="28"/>
          <w:szCs w:val="28"/>
        </w:rPr>
        <w:lastRenderedPageBreak/>
        <w:t>Response and Considerations</w:t>
      </w:r>
    </w:p>
    <w:p w14:paraId="40B63812" w14:textId="0B922851" w:rsidR="009C5EF9" w:rsidRPr="00BA4330" w:rsidRDefault="009C5EF9" w:rsidP="009C5EF9">
      <w:pPr>
        <w:rPr>
          <w:rFonts w:cstheme="majorHAnsi"/>
        </w:rPr>
      </w:pPr>
      <w:r w:rsidRPr="00BA4330">
        <w:rPr>
          <w:rFonts w:cstheme="majorHAnsi"/>
        </w:rPr>
        <w:t>In response to feedback from stakeholders during the public consultation process</w:t>
      </w:r>
      <w:r w:rsidR="00255B4E">
        <w:rPr>
          <w:rFonts w:cstheme="majorHAnsi"/>
        </w:rPr>
        <w:t>,</w:t>
      </w:r>
      <w:r w:rsidRPr="00BA4330">
        <w:rPr>
          <w:rFonts w:cstheme="majorHAnsi"/>
        </w:rPr>
        <w:t xml:space="preserve"> the Government has made several changes to the parameters of the </w:t>
      </w:r>
      <w:r w:rsidR="00B438A2">
        <w:rPr>
          <w:rFonts w:cstheme="majorHAnsi"/>
        </w:rPr>
        <w:t>scheme</w:t>
      </w:r>
      <w:r w:rsidRPr="00BA4330">
        <w:rPr>
          <w:rFonts w:cstheme="majorHAnsi"/>
        </w:rPr>
        <w:t>, to ensure participation is as simple as possible for individuals and lenders.</w:t>
      </w:r>
    </w:p>
    <w:p w14:paraId="2991DBEA" w14:textId="77777777" w:rsidR="009C5EF9" w:rsidRPr="00BA4330" w:rsidRDefault="009C5EF9" w:rsidP="009C5EF9">
      <w:pPr>
        <w:rPr>
          <w:b/>
          <w:bCs/>
          <w:color w:val="004261" w:themeColor="accent2"/>
        </w:rPr>
      </w:pPr>
      <w:r w:rsidRPr="00BA4330">
        <w:rPr>
          <w:b/>
          <w:bCs/>
          <w:color w:val="004261" w:themeColor="accent2"/>
        </w:rPr>
        <w:t>Increasing income caps</w:t>
      </w:r>
    </w:p>
    <w:p w14:paraId="5BAE5D86" w14:textId="4844AEC7" w:rsidR="009C5EF9" w:rsidRPr="00116E93" w:rsidRDefault="009C5EF9" w:rsidP="009C5EF9">
      <w:r w:rsidRPr="00116E93">
        <w:t xml:space="preserve">Stakeholders considered that the proposed income caps were overly restrictive. Given the increases in both incomes and house prices since the Government’s initial election commitment in 2022, the Government considered that increases to the </w:t>
      </w:r>
      <w:r w:rsidR="00B438A2">
        <w:t>scheme</w:t>
      </w:r>
      <w:r w:rsidRPr="00116E93">
        <w:t xml:space="preserve"> income caps would improve the ability of Australians to participate in the </w:t>
      </w:r>
      <w:r w:rsidR="00B438A2">
        <w:t>scheme</w:t>
      </w:r>
      <w:r w:rsidRPr="00116E93">
        <w:t>.</w:t>
      </w:r>
    </w:p>
    <w:p w14:paraId="4B46BC64" w14:textId="77777777" w:rsidR="009C5EF9" w:rsidRPr="00BA4330" w:rsidRDefault="009C5EF9" w:rsidP="009C5EF9">
      <w:pPr>
        <w:rPr>
          <w:b/>
          <w:bCs/>
          <w:color w:val="004261" w:themeColor="accent2"/>
        </w:rPr>
      </w:pPr>
      <w:r w:rsidRPr="00BA4330">
        <w:rPr>
          <w:b/>
          <w:bCs/>
          <w:color w:val="004261" w:themeColor="accent2"/>
        </w:rPr>
        <w:t>Enabling single parents and legal guardians to access the joint income cap</w:t>
      </w:r>
    </w:p>
    <w:p w14:paraId="73B61294" w14:textId="77777777" w:rsidR="009C5EF9" w:rsidRPr="00116E93" w:rsidRDefault="009C5EF9" w:rsidP="009C5EF9">
      <w:r w:rsidRPr="00116E93">
        <w:t>As dependents may reduce the ability of individuals to access mortgage finance, allowing single parents and legal guardians to access the higher income cap for joint applicants ensure that they are not disadvantaged compared to dual income families.</w:t>
      </w:r>
    </w:p>
    <w:p w14:paraId="2AF3B832" w14:textId="77777777" w:rsidR="009C5EF9" w:rsidRPr="00BA4330" w:rsidRDefault="009C5EF9" w:rsidP="009C5EF9">
      <w:pPr>
        <w:rPr>
          <w:b/>
          <w:bCs/>
          <w:color w:val="004261" w:themeColor="accent2"/>
        </w:rPr>
      </w:pPr>
      <w:r w:rsidRPr="00BA4330">
        <w:rPr>
          <w:b/>
          <w:bCs/>
          <w:color w:val="004261" w:themeColor="accent2"/>
        </w:rPr>
        <w:t>Changes to support the construction of new homes</w:t>
      </w:r>
    </w:p>
    <w:p w14:paraId="62EE1687" w14:textId="120474F8" w:rsidR="009C5EF9" w:rsidRPr="00116E93" w:rsidRDefault="009C5EF9" w:rsidP="009C5EF9">
      <w:r w:rsidRPr="00116E93">
        <w:t xml:space="preserve">Providing Housing Australia with flexibility to assist participants to finish new constructions will assist in ensuring as many homes as possible that are started under the </w:t>
      </w:r>
      <w:r w:rsidR="00B438A2">
        <w:t>scheme</w:t>
      </w:r>
      <w:r w:rsidRPr="00116E93">
        <w:t xml:space="preserve"> are completed. This is important both to improving participant outcomes and protecting the Commonwealth’s financial interests, and these suggested changes were included.</w:t>
      </w:r>
    </w:p>
    <w:p w14:paraId="62E31401" w14:textId="77777777" w:rsidR="009C5EF9" w:rsidRPr="00BA4330" w:rsidRDefault="009C5EF9" w:rsidP="009C5EF9">
      <w:pPr>
        <w:rPr>
          <w:b/>
          <w:bCs/>
          <w:color w:val="004261" w:themeColor="accent2"/>
        </w:rPr>
      </w:pPr>
      <w:r w:rsidRPr="00BA4330">
        <w:rPr>
          <w:b/>
          <w:bCs/>
          <w:color w:val="004261" w:themeColor="accent2"/>
        </w:rPr>
        <w:t>Feedback that was not incorporated</w:t>
      </w:r>
    </w:p>
    <w:p w14:paraId="3C8357D6" w14:textId="3D8D9B24" w:rsidR="009C5EF9" w:rsidRPr="0044424B" w:rsidRDefault="009C5EF9" w:rsidP="009C5EF9">
      <w:r w:rsidRPr="00116E93">
        <w:t xml:space="preserve">Changes to </w:t>
      </w:r>
      <w:r w:rsidR="00B438A2">
        <w:t>scheme</w:t>
      </w:r>
      <w:r w:rsidRPr="00116E93">
        <w:t xml:space="preserve"> requirements in relation to off-the-plan dwellings were considered to present </w:t>
      </w:r>
      <w:r>
        <w:t>too significant</w:t>
      </w:r>
      <w:r w:rsidRPr="00116E93">
        <w:t xml:space="preserve"> a risk </w:t>
      </w:r>
      <w:r>
        <w:t>to</w:t>
      </w:r>
      <w:r w:rsidRPr="00116E93">
        <w:t xml:space="preserve"> participants </w:t>
      </w:r>
      <w:r>
        <w:t>being</w:t>
      </w:r>
      <w:r w:rsidRPr="00116E93">
        <w:t xml:space="preserve"> exposed to losses and </w:t>
      </w:r>
      <w:r>
        <w:t xml:space="preserve">with the potential to end up in financial hardship, so </w:t>
      </w:r>
      <w:r w:rsidRPr="00116E93">
        <w:t>were not adopted. A</w:t>
      </w:r>
      <w:r>
        <w:t xml:space="preserve">lso not adopted were </w:t>
      </w:r>
      <w:r w:rsidRPr="00116E93">
        <w:t xml:space="preserve">proposals to reserve a portion of </w:t>
      </w:r>
      <w:r w:rsidR="00B438A2">
        <w:t>scheme</w:t>
      </w:r>
      <w:r w:rsidRPr="00116E93">
        <w:t xml:space="preserve"> places for target cohort</w:t>
      </w:r>
      <w:r>
        <w:t>s</w:t>
      </w:r>
      <w:r w:rsidRPr="00116E93">
        <w:t xml:space="preserve">, as </w:t>
      </w:r>
      <w:r>
        <w:t xml:space="preserve">it was considered that this </w:t>
      </w:r>
      <w:r w:rsidR="008B65C9">
        <w:t xml:space="preserve">could </w:t>
      </w:r>
      <w:r w:rsidR="008B65C9" w:rsidRPr="00116E93">
        <w:t>limit</w:t>
      </w:r>
      <w:r w:rsidRPr="00116E93">
        <w:t xml:space="preserve"> overall uptake of the </w:t>
      </w:r>
      <w:r w:rsidR="00B438A2">
        <w:t>scheme</w:t>
      </w:r>
      <w:r w:rsidRPr="00116E93">
        <w:t>.</w:t>
      </w:r>
    </w:p>
    <w:p w14:paraId="15CD6EAF" w14:textId="18D20A2C" w:rsidR="009C5EF9" w:rsidRPr="00BA4330" w:rsidRDefault="009C5EF9" w:rsidP="009C5EF9">
      <w:pPr>
        <w:rPr>
          <w:b/>
          <w:bCs/>
          <w:color w:val="004261" w:themeColor="accent2"/>
          <w:sz w:val="24"/>
          <w:szCs w:val="24"/>
        </w:rPr>
      </w:pPr>
      <w:r w:rsidRPr="00BA4330">
        <w:rPr>
          <w:b/>
          <w:bCs/>
          <w:color w:val="004261" w:themeColor="accent2"/>
          <w:sz w:val="24"/>
          <w:szCs w:val="24"/>
        </w:rPr>
        <w:t xml:space="preserve">Consultation with </w:t>
      </w:r>
      <w:r w:rsidR="00255B4E">
        <w:rPr>
          <w:b/>
          <w:bCs/>
          <w:color w:val="004261" w:themeColor="accent2"/>
          <w:sz w:val="24"/>
          <w:szCs w:val="24"/>
        </w:rPr>
        <w:t>s</w:t>
      </w:r>
      <w:r w:rsidRPr="00BA4330">
        <w:rPr>
          <w:b/>
          <w:bCs/>
          <w:color w:val="004261" w:themeColor="accent2"/>
          <w:sz w:val="24"/>
          <w:szCs w:val="24"/>
        </w:rPr>
        <w:t xml:space="preserve">tates and </w:t>
      </w:r>
      <w:r w:rsidR="00255B4E">
        <w:rPr>
          <w:b/>
          <w:bCs/>
          <w:color w:val="004261" w:themeColor="accent2"/>
          <w:sz w:val="24"/>
          <w:szCs w:val="24"/>
        </w:rPr>
        <w:t>t</w:t>
      </w:r>
      <w:r w:rsidRPr="00BA4330">
        <w:rPr>
          <w:b/>
          <w:bCs/>
          <w:color w:val="004261" w:themeColor="accent2"/>
          <w:sz w:val="24"/>
          <w:szCs w:val="24"/>
        </w:rPr>
        <w:t>erritories</w:t>
      </w:r>
    </w:p>
    <w:p w14:paraId="051BDD0F" w14:textId="63BFCE9B" w:rsidR="009C5EF9" w:rsidRPr="002413E4" w:rsidRDefault="009C5EF9" w:rsidP="009C5EF9">
      <w:pPr>
        <w:rPr>
          <w:szCs w:val="22"/>
        </w:rPr>
      </w:pPr>
      <w:r>
        <w:t xml:space="preserve">Treasury engaged in detailed discussions over an extended period with </w:t>
      </w:r>
      <w:r w:rsidR="00255B4E">
        <w:t>s</w:t>
      </w:r>
      <w:r>
        <w:t xml:space="preserve">tates and </w:t>
      </w:r>
      <w:r w:rsidR="00255B4E">
        <w:t>t</w:t>
      </w:r>
      <w:r>
        <w:t xml:space="preserve">erritories to finalise the terms of the referrals of power that form the Constitutional basis of the </w:t>
      </w:r>
      <w:r w:rsidR="00B438A2">
        <w:t>scheme</w:t>
      </w:r>
      <w:r>
        <w:t xml:space="preserve">. Additionally, Treasury worked closely with </w:t>
      </w:r>
      <w:r w:rsidR="00255B4E">
        <w:t>s</w:t>
      </w:r>
      <w:r>
        <w:t xml:space="preserve">tate and </w:t>
      </w:r>
      <w:r w:rsidR="00255B4E">
        <w:t>t</w:t>
      </w:r>
      <w:r>
        <w:t xml:space="preserve">erritory housing officials on the final design of the </w:t>
      </w:r>
      <w:r w:rsidR="00B438A2">
        <w:t>scheme</w:t>
      </w:r>
      <w:r>
        <w:t>.</w:t>
      </w:r>
    </w:p>
    <w:p w14:paraId="18FC45BE" w14:textId="77777777" w:rsidR="009C5EF9" w:rsidRPr="00BA4330" w:rsidRDefault="009C5EF9" w:rsidP="009C5EF9">
      <w:pPr>
        <w:rPr>
          <w:b/>
          <w:bCs/>
          <w:color w:val="004261" w:themeColor="accent2"/>
          <w:sz w:val="24"/>
          <w:szCs w:val="24"/>
        </w:rPr>
      </w:pPr>
      <w:r w:rsidRPr="00BA4330">
        <w:rPr>
          <w:b/>
          <w:bCs/>
          <w:color w:val="004261" w:themeColor="accent2"/>
          <w:sz w:val="24"/>
          <w:szCs w:val="24"/>
        </w:rPr>
        <w:t>Consultations with other Commonwealth Departments and Agencies</w:t>
      </w:r>
    </w:p>
    <w:p w14:paraId="210C53D4" w14:textId="77777777" w:rsidR="009C5EF9" w:rsidRDefault="009C5EF9" w:rsidP="009C5EF9">
      <w:r>
        <w:t>Treasury consulted with a range of Commonwealth departments and agencies in developing options for Help to Buy, including Housing Australia, the Department of Finance, and the Department of the Prime Minister and Cabinet.</w:t>
      </w:r>
    </w:p>
    <w:p w14:paraId="70F8C2A1" w14:textId="4D547CE8" w:rsidR="009C5EF9" w:rsidRDefault="009C5EF9" w:rsidP="009C5EF9">
      <w:r>
        <w:lastRenderedPageBreak/>
        <w:t xml:space="preserve">Further, legal advice was sought from the Australian Government Solicitor on the Constitutional basis of the </w:t>
      </w:r>
      <w:r w:rsidR="00B438A2">
        <w:t>scheme</w:t>
      </w:r>
      <w:r>
        <w:t xml:space="preserve"> as well as certain parameters of the </w:t>
      </w:r>
      <w:r w:rsidR="00B438A2">
        <w:t>scheme</w:t>
      </w:r>
      <w:r>
        <w:t xml:space="preserve"> design.</w:t>
      </w:r>
    </w:p>
    <w:p w14:paraId="124F99CB" w14:textId="762B8553" w:rsidR="009C5EF9" w:rsidRPr="00BA4330" w:rsidRDefault="009C5EF9" w:rsidP="009C5EF9">
      <w:pPr>
        <w:rPr>
          <w:rFonts w:ascii="Arial" w:hAnsi="Arial"/>
          <w:b/>
          <w:bCs/>
          <w:color w:val="004261" w:themeColor="accent2"/>
          <w:sz w:val="24"/>
          <w:szCs w:val="24"/>
        </w:rPr>
      </w:pPr>
      <w:r w:rsidRPr="00BA4330">
        <w:rPr>
          <w:b/>
          <w:bCs/>
          <w:color w:val="004261" w:themeColor="accent2"/>
          <w:sz w:val="24"/>
          <w:szCs w:val="24"/>
        </w:rPr>
        <w:t xml:space="preserve">Targeted </w:t>
      </w:r>
      <w:r w:rsidR="0009066D">
        <w:rPr>
          <w:b/>
          <w:bCs/>
          <w:color w:val="004261" w:themeColor="accent2"/>
          <w:sz w:val="24"/>
          <w:szCs w:val="24"/>
        </w:rPr>
        <w:t>c</w:t>
      </w:r>
      <w:r w:rsidRPr="00BA4330">
        <w:rPr>
          <w:b/>
          <w:bCs/>
          <w:color w:val="004261" w:themeColor="accent2"/>
          <w:sz w:val="24"/>
          <w:szCs w:val="24"/>
        </w:rPr>
        <w:t>onsultations</w:t>
      </w:r>
    </w:p>
    <w:p w14:paraId="12CBCB9A" w14:textId="37B7BA0F" w:rsidR="009C5EF9" w:rsidRPr="009D55D4" w:rsidRDefault="009C5EF9" w:rsidP="009C5EF9">
      <w:r w:rsidRPr="009D55D4">
        <w:t xml:space="preserve">Feedback from lenders and other market participants indicated that the </w:t>
      </w:r>
      <w:r w:rsidR="00B438A2">
        <w:t>scheme</w:t>
      </w:r>
      <w:r w:rsidRPr="009D55D4">
        <w:t xml:space="preserve"> should be simple to understand and provide confidence to potential buyers. In response to this feedback, the design of </w:t>
      </w:r>
      <w:r>
        <w:t xml:space="preserve">the </w:t>
      </w:r>
      <w:r w:rsidR="00B438A2">
        <w:t>scheme</w:t>
      </w:r>
      <w:r w:rsidRPr="009D55D4">
        <w:t xml:space="preserve"> </w:t>
      </w:r>
      <w:r>
        <w:t>seeks to align</w:t>
      </w:r>
      <w:r w:rsidRPr="009D55D4">
        <w:t xml:space="preserve"> with existing housing market </w:t>
      </w:r>
      <w:r>
        <w:t>and</w:t>
      </w:r>
      <w:r w:rsidRPr="009D55D4">
        <w:t xml:space="preserve"> mortgage lending practice</w:t>
      </w:r>
      <w:r>
        <w:t>s</w:t>
      </w:r>
      <w:r w:rsidRPr="009D55D4">
        <w:t xml:space="preserve">. </w:t>
      </w:r>
    </w:p>
    <w:p w14:paraId="2F4E9808" w14:textId="660F887C" w:rsidR="009C5EF9" w:rsidRPr="009D55D4" w:rsidRDefault="009C5EF9" w:rsidP="009C5EF9">
      <w:r w:rsidRPr="009D55D4">
        <w:t xml:space="preserve">Feedback from lenders, regulators and others informed the design of the terms of the shared equity arrangements, including with regards to loan terms and the administration of the Government’s equity stake. Feedback from lenders has also informed the development of </w:t>
      </w:r>
      <w:r>
        <w:t xml:space="preserve">the </w:t>
      </w:r>
      <w:r w:rsidR="00B438A2">
        <w:t>scheme</w:t>
      </w:r>
      <w:r>
        <w:t xml:space="preserve">’s </w:t>
      </w:r>
      <w:r w:rsidRPr="009D55D4">
        <w:t xml:space="preserve">operational design and </w:t>
      </w:r>
      <w:r>
        <w:t>ongoing</w:t>
      </w:r>
      <w:r w:rsidRPr="009D55D4">
        <w:t xml:space="preserve"> responsibilities of </w:t>
      </w:r>
      <w:r w:rsidR="00B438A2">
        <w:t>scheme</w:t>
      </w:r>
      <w:r w:rsidRPr="009D55D4">
        <w:t xml:space="preserve"> participants, including the design and implementation of oversight and review mechanisms. </w:t>
      </w:r>
    </w:p>
    <w:p w14:paraId="4F12BE30" w14:textId="662D03C3" w:rsidR="00E86115" w:rsidRDefault="009C5EF9" w:rsidP="00835A98">
      <w:r w:rsidRPr="009D55D4">
        <w:t xml:space="preserve">Contributions from commercial lenders on </w:t>
      </w:r>
      <w:r w:rsidR="00B438A2">
        <w:t>scheme</w:t>
      </w:r>
      <w:r w:rsidRPr="009D55D4">
        <w:t xml:space="preserve"> eligibility and the number of eligible properties has guided the Government’s understanding of the scope and potential impact of </w:t>
      </w:r>
      <w:r>
        <w:t xml:space="preserve">the </w:t>
      </w:r>
      <w:r w:rsidR="00B438A2">
        <w:t>scheme</w:t>
      </w:r>
      <w:r w:rsidRPr="009D55D4">
        <w:t xml:space="preserve"> on housing markets in Australia, which has in-turn guided this assessment of the potential impacts of the Help to Buy </w:t>
      </w:r>
      <w:r w:rsidR="00B438A2">
        <w:t>scheme</w:t>
      </w:r>
      <w:r w:rsidRPr="009D55D4">
        <w:t>.</w:t>
      </w:r>
    </w:p>
    <w:p w14:paraId="69CC6B3D" w14:textId="77777777" w:rsidR="007927B1" w:rsidRDefault="007927B1" w:rsidP="00E86115">
      <w:pPr>
        <w:pStyle w:val="Heading1"/>
        <w:sectPr w:rsidR="007927B1" w:rsidSect="00023A52">
          <w:pgSz w:w="11906" w:h="16838"/>
          <w:pgMar w:top="1701" w:right="1134" w:bottom="1843" w:left="1134" w:header="993" w:footer="709" w:gutter="0"/>
          <w:cols w:space="708"/>
          <w:titlePg/>
          <w:docGrid w:linePitch="360"/>
        </w:sectPr>
      </w:pPr>
    </w:p>
    <w:p w14:paraId="70B376ED" w14:textId="6CD0C0DA" w:rsidR="0014151F" w:rsidRPr="001C3917" w:rsidRDefault="00E86115" w:rsidP="00E86115">
      <w:pPr>
        <w:pStyle w:val="Heading1"/>
        <w:rPr>
          <w:color w:val="004261" w:themeColor="accent2"/>
        </w:rPr>
      </w:pPr>
      <w:bookmarkStart w:id="10" w:name="_Toc200114839"/>
      <w:r w:rsidRPr="001C3917">
        <w:rPr>
          <w:color w:val="004261" w:themeColor="accent2"/>
        </w:rPr>
        <w:lastRenderedPageBreak/>
        <w:t xml:space="preserve">6. </w:t>
      </w:r>
      <w:r w:rsidR="00D426AD" w:rsidRPr="001C3917">
        <w:rPr>
          <w:color w:val="004261" w:themeColor="accent2"/>
        </w:rPr>
        <w:t>Chosen option and implementation</w:t>
      </w:r>
      <w:bookmarkEnd w:id="10"/>
      <w:r w:rsidR="00D426AD" w:rsidRPr="001C3917">
        <w:rPr>
          <w:color w:val="004261" w:themeColor="accent2"/>
        </w:rPr>
        <w:t xml:space="preserve"> </w:t>
      </w:r>
    </w:p>
    <w:p w14:paraId="530239AC" w14:textId="41E88C55" w:rsidR="00E26940" w:rsidRDefault="00E26940" w:rsidP="00E26940">
      <w:r>
        <w:rPr>
          <w:b/>
          <w:bCs/>
        </w:rPr>
        <w:t xml:space="preserve">Implementing the Help to Buy </w:t>
      </w:r>
      <w:r w:rsidR="00B438A2">
        <w:rPr>
          <w:b/>
          <w:bCs/>
        </w:rPr>
        <w:t>Scheme</w:t>
      </w:r>
      <w:r>
        <w:rPr>
          <w:b/>
          <w:bCs/>
        </w:rPr>
        <w:t xml:space="preserve"> (option 2)</w:t>
      </w:r>
      <w:r w:rsidRPr="009D55D4">
        <w:t xml:space="preserve"> is the preferred option</w:t>
      </w:r>
      <w:r>
        <w:t>.</w:t>
      </w:r>
      <w:r w:rsidRPr="009D55D4">
        <w:t xml:space="preserve"> </w:t>
      </w:r>
      <w:r>
        <w:t xml:space="preserve">The </w:t>
      </w:r>
      <w:r w:rsidR="00B438A2">
        <w:t>scheme</w:t>
      </w:r>
      <w:r>
        <w:t xml:space="preserve"> </w:t>
      </w:r>
      <w:r w:rsidRPr="009D55D4">
        <w:t xml:space="preserve">enables additional </w:t>
      </w:r>
      <w:r>
        <w:t>low-to middle-income</w:t>
      </w:r>
      <w:r w:rsidRPr="009D55D4">
        <w:t xml:space="preserve"> households to achieve </w:t>
      </w:r>
      <w:r>
        <w:t>home ownership</w:t>
      </w:r>
      <w:r w:rsidRPr="009D55D4">
        <w:t xml:space="preserve">, and all the benefits </w:t>
      </w:r>
      <w:r>
        <w:t>home ownership</w:t>
      </w:r>
      <w:r w:rsidRPr="009D55D4">
        <w:t xml:space="preserve"> entails, with limited impacts on hous</w:t>
      </w:r>
      <w:r>
        <w:t>ing</w:t>
      </w:r>
      <w:r w:rsidRPr="009D55D4">
        <w:t xml:space="preserve"> prices, lenders, and the residential construction and LMI sectors.</w:t>
      </w:r>
    </w:p>
    <w:p w14:paraId="176B6B6E" w14:textId="77777777" w:rsidR="00E26940" w:rsidRPr="009D55D4" w:rsidRDefault="00E26940" w:rsidP="00E26940">
      <w:r w:rsidRPr="009D55D4">
        <w:t xml:space="preserve">Given the difficulties that many low- to middle-income households face in attempting to enter the property market, particularly given recent increases in dwelling prices and rising interest rates, there are strong arguments in favour of Government assistance to those households. </w:t>
      </w:r>
    </w:p>
    <w:p w14:paraId="0F051CAD" w14:textId="031B3A47" w:rsidR="00E26940" w:rsidRPr="009D55D4" w:rsidRDefault="00E26940" w:rsidP="00E26940">
      <w:r w:rsidRPr="009D55D4">
        <w:t xml:space="preserve">The barrier to </w:t>
      </w:r>
      <w:r>
        <w:t>home ownership</w:t>
      </w:r>
      <w:r w:rsidRPr="009D55D4">
        <w:t xml:space="preserve"> created by the time it takes to save for a deposit is addressed under the status quo through the Government’s existing </w:t>
      </w:r>
      <w:r w:rsidR="00B438A2">
        <w:t>Home Guarantee Scheme</w:t>
      </w:r>
      <w:r w:rsidRPr="009D55D4">
        <w:t xml:space="preserve">. However, </w:t>
      </w:r>
      <w:r>
        <w:t>HGS</w:t>
      </w:r>
      <w:r w:rsidRPr="009D55D4">
        <w:t xml:space="preserve"> does not support buyers who do not have the financial means to service a typical mortgage.  </w:t>
      </w:r>
    </w:p>
    <w:p w14:paraId="5229D7C9" w14:textId="5C31E5BF" w:rsidR="00E26940" w:rsidRPr="009D55D4" w:rsidRDefault="00E26940" w:rsidP="00E26940">
      <w:r w:rsidRPr="009D55D4">
        <w:t xml:space="preserve">There is currently no nation-wide </w:t>
      </w:r>
      <w:r w:rsidR="00B438A2">
        <w:t>scheme</w:t>
      </w:r>
      <w:r w:rsidRPr="009D55D4">
        <w:t xml:space="preserve"> designed to assist low- to middle-income households to purchase a property, that they otherwise would</w:t>
      </w:r>
      <w:r>
        <w:t xml:space="preserve"> </w:t>
      </w:r>
      <w:r w:rsidRPr="009D55D4">
        <w:t>n</w:t>
      </w:r>
      <w:r>
        <w:t>o</w:t>
      </w:r>
      <w:r w:rsidRPr="009D55D4">
        <w:t xml:space="preserve">t be able to purchase. </w:t>
      </w:r>
      <w:r>
        <w:t>As demonstrated, this represents a significant gap in Government support to low- and middle-income first homebuyers.</w:t>
      </w:r>
    </w:p>
    <w:p w14:paraId="2A482A0A" w14:textId="74F94B89" w:rsidR="00E26940" w:rsidRDefault="00E26940" w:rsidP="00E26940">
      <w:r w:rsidRPr="009D55D4">
        <w:t>Access to secure and affordable housing confers significant economic and social benefits, including improved health and education outcomes and greater workforce participation.</w:t>
      </w:r>
      <w:r>
        <w:rPr>
          <w:rStyle w:val="FootnoteReference"/>
        </w:rPr>
        <w:footnoteReference w:id="47"/>
      </w:r>
      <w:r w:rsidRPr="009D55D4">
        <w:t xml:space="preserve"> </w:t>
      </w:r>
      <w:r>
        <w:t>Home ownership</w:t>
      </w:r>
      <w:r w:rsidRPr="009D55D4">
        <w:t xml:space="preserve"> is linked to long term economic security, including in retirement where it acts as a store of capital.</w:t>
      </w:r>
      <w:r>
        <w:rPr>
          <w:rStyle w:val="FootnoteReference"/>
        </w:rPr>
        <w:footnoteReference w:id="48"/>
      </w:r>
      <w:r w:rsidRPr="009D55D4">
        <w:t xml:space="preserve"> Retiree homeowners generally have lower housing costs and an asset that can be drawn on in retirement which generally translates into lower dependence on Government support in retirement.</w:t>
      </w:r>
      <w:r>
        <w:rPr>
          <w:rStyle w:val="FootnoteReference"/>
        </w:rPr>
        <w:footnoteReference w:id="49"/>
      </w:r>
    </w:p>
    <w:p w14:paraId="62AF0B26" w14:textId="036A777D" w:rsidR="00D426AD" w:rsidRDefault="00D426AD" w:rsidP="00D426AD">
      <w:pPr>
        <w:pStyle w:val="Heading2"/>
      </w:pPr>
      <w:r w:rsidRPr="00343494">
        <w:rPr>
          <w:color w:val="004261" w:themeColor="accent2"/>
        </w:rPr>
        <w:t xml:space="preserve">6.1 Implementation details </w:t>
      </w:r>
    </w:p>
    <w:p w14:paraId="287200CB" w14:textId="77777777" w:rsidR="00AE0A2C" w:rsidRPr="002413E4" w:rsidRDefault="00AE0A2C" w:rsidP="00AE0A2C">
      <w:pPr>
        <w:rPr>
          <w:rFonts w:cstheme="minorHAnsi"/>
        </w:rPr>
      </w:pPr>
      <w:r w:rsidRPr="002413E4">
        <w:rPr>
          <w:rFonts w:cstheme="minorHAnsi"/>
        </w:rPr>
        <w:t xml:space="preserve">While the broad policy was established by the Government’s election commitment, the focus of the detailed policy design and implementation process has been based on </w:t>
      </w:r>
      <w:r>
        <w:rPr>
          <w:rFonts w:cstheme="minorHAnsi"/>
        </w:rPr>
        <w:t>ensuring that the</w:t>
      </w:r>
      <w:r w:rsidRPr="002413E4">
        <w:rPr>
          <w:rFonts w:cstheme="minorHAnsi"/>
        </w:rPr>
        <w:t xml:space="preserve"> following objectives</w:t>
      </w:r>
      <w:r>
        <w:rPr>
          <w:rFonts w:cstheme="minorHAnsi"/>
        </w:rPr>
        <w:t xml:space="preserve"> are met</w:t>
      </w:r>
      <w:r w:rsidRPr="002413E4">
        <w:rPr>
          <w:rFonts w:cstheme="minorHAnsi"/>
        </w:rPr>
        <w:t>:</w:t>
      </w:r>
    </w:p>
    <w:p w14:paraId="389533D4" w14:textId="77777777" w:rsidR="00AE0A2C" w:rsidRDefault="00AE0A2C" w:rsidP="00AE0A2C">
      <w:pPr>
        <w:pStyle w:val="Bullet"/>
        <w:tabs>
          <w:tab w:val="clear" w:pos="472"/>
          <w:tab w:val="num" w:pos="661"/>
        </w:tabs>
        <w:spacing w:before="120" w:after="120" w:line="240" w:lineRule="auto"/>
        <w:ind w:left="661" w:hanging="661"/>
        <w:rPr>
          <w:rFonts w:cstheme="minorHAnsi"/>
          <w:color w:val="auto"/>
          <w:sz w:val="22"/>
          <w:szCs w:val="22"/>
        </w:rPr>
      </w:pPr>
      <w:r>
        <w:rPr>
          <w:rFonts w:cstheme="minorHAnsi"/>
          <w:color w:val="auto"/>
          <w:sz w:val="22"/>
          <w:szCs w:val="22"/>
        </w:rPr>
        <w:t>That Housing Australia is able to effectively support 40,000 low- and middle-income Australians over four years into home ownership.</w:t>
      </w:r>
    </w:p>
    <w:p w14:paraId="4EF21BD0" w14:textId="77777777" w:rsidR="00AE0A2C" w:rsidRPr="00764303" w:rsidRDefault="00AE0A2C" w:rsidP="00AE0A2C">
      <w:pPr>
        <w:pStyle w:val="Bullet"/>
        <w:tabs>
          <w:tab w:val="clear" w:pos="472"/>
          <w:tab w:val="num" w:pos="661"/>
        </w:tabs>
        <w:spacing w:before="120" w:after="120" w:line="240" w:lineRule="auto"/>
        <w:ind w:left="661" w:hanging="661"/>
        <w:rPr>
          <w:rFonts w:cstheme="minorHAnsi"/>
          <w:color w:val="auto"/>
          <w:sz w:val="22"/>
          <w:szCs w:val="22"/>
        </w:rPr>
      </w:pPr>
      <w:r w:rsidRPr="00764303">
        <w:rPr>
          <w:rFonts w:cstheme="minorHAnsi"/>
          <w:color w:val="auto"/>
          <w:sz w:val="22"/>
          <w:szCs w:val="22"/>
        </w:rPr>
        <w:lastRenderedPageBreak/>
        <w:t>That supported households are those who would genuinely not be able to buy or build a home without the Government's equity contribution. This will be assessed by Housing Australia through the financial capacity test required by the Help to Buy Program Directions.</w:t>
      </w:r>
    </w:p>
    <w:p w14:paraId="3921E590" w14:textId="77777777" w:rsidR="00AE0A2C" w:rsidRPr="00435505" w:rsidRDefault="00AE0A2C" w:rsidP="00AE0A2C">
      <w:pPr>
        <w:pStyle w:val="Bullet"/>
        <w:tabs>
          <w:tab w:val="clear" w:pos="472"/>
          <w:tab w:val="num" w:pos="661"/>
        </w:tabs>
        <w:spacing w:before="120" w:after="120" w:line="240" w:lineRule="auto"/>
        <w:ind w:left="661" w:hanging="661"/>
        <w:rPr>
          <w:rFonts w:cstheme="minorHAnsi"/>
          <w:color w:val="auto"/>
        </w:rPr>
      </w:pPr>
      <w:r>
        <w:rPr>
          <w:rFonts w:cstheme="minorHAnsi"/>
          <w:color w:val="auto"/>
          <w:sz w:val="22"/>
          <w:szCs w:val="22"/>
        </w:rPr>
        <w:t>T</w:t>
      </w:r>
      <w:r w:rsidRPr="00E25F2B">
        <w:rPr>
          <w:rFonts w:cstheme="minorHAnsi"/>
          <w:color w:val="auto"/>
          <w:sz w:val="22"/>
          <w:szCs w:val="22"/>
        </w:rPr>
        <w:t>hat Help to Buy support is distributed appropriately across Australia. In particular</w:t>
      </w:r>
      <w:r>
        <w:rPr>
          <w:rFonts w:cstheme="minorHAnsi"/>
          <w:color w:val="auto"/>
          <w:sz w:val="22"/>
          <w:szCs w:val="22"/>
        </w:rPr>
        <w:t>,</w:t>
      </w:r>
      <w:r w:rsidRPr="00E25F2B">
        <w:rPr>
          <w:rFonts w:cstheme="minorHAnsi"/>
          <w:color w:val="auto"/>
          <w:sz w:val="22"/>
          <w:szCs w:val="22"/>
        </w:rPr>
        <w:t xml:space="preserve"> the share of places used in regional areas, compared with those used in metro areas and capital cities.</w:t>
      </w:r>
      <w:r>
        <w:rPr>
          <w:rFonts w:cstheme="minorHAnsi"/>
          <w:color w:val="auto"/>
          <w:sz w:val="22"/>
          <w:szCs w:val="22"/>
        </w:rPr>
        <w:t xml:space="preserve"> This will be achieved by allocating places to participating States according to population and requiring regular reporting from Housing Australia.</w:t>
      </w:r>
    </w:p>
    <w:p w14:paraId="64708779" w14:textId="3676D7F1" w:rsidR="00AE0A2C" w:rsidRPr="00435505" w:rsidRDefault="00AE0A2C" w:rsidP="00AE0A2C">
      <w:pPr>
        <w:pStyle w:val="Bullet"/>
        <w:tabs>
          <w:tab w:val="clear" w:pos="472"/>
          <w:tab w:val="num" w:pos="661"/>
        </w:tabs>
        <w:spacing w:before="120" w:after="120" w:line="240" w:lineRule="auto"/>
        <w:ind w:left="661" w:hanging="661"/>
        <w:rPr>
          <w:rFonts w:cstheme="minorHAnsi"/>
          <w:color w:val="auto"/>
        </w:rPr>
      </w:pPr>
      <w:r>
        <w:rPr>
          <w:rFonts w:cstheme="minorHAnsi"/>
          <w:color w:val="auto"/>
          <w:sz w:val="22"/>
          <w:szCs w:val="22"/>
        </w:rPr>
        <w:t>T</w:t>
      </w:r>
      <w:r w:rsidRPr="00E25F2B">
        <w:rPr>
          <w:rFonts w:cstheme="minorHAnsi"/>
          <w:color w:val="auto"/>
          <w:sz w:val="22"/>
          <w:szCs w:val="22"/>
        </w:rPr>
        <w:t>hat target cohorts, such as single parents, mature aged women, key workers such as teachers, nurses and social workers,</w:t>
      </w:r>
      <w:r>
        <w:rPr>
          <w:rFonts w:cstheme="minorHAnsi"/>
          <w:color w:val="auto"/>
          <w:sz w:val="22"/>
          <w:szCs w:val="22"/>
        </w:rPr>
        <w:t xml:space="preserve"> First Nations Australians,</w:t>
      </w:r>
      <w:r w:rsidRPr="00E25F2B">
        <w:rPr>
          <w:rFonts w:cstheme="minorHAnsi"/>
          <w:color w:val="auto"/>
          <w:sz w:val="22"/>
          <w:szCs w:val="22"/>
        </w:rPr>
        <w:t xml:space="preserve"> and long-term renters are able to benefit from the </w:t>
      </w:r>
      <w:r w:rsidR="00B438A2">
        <w:rPr>
          <w:rFonts w:cstheme="minorHAnsi"/>
          <w:color w:val="auto"/>
          <w:sz w:val="22"/>
          <w:szCs w:val="22"/>
        </w:rPr>
        <w:t>scheme</w:t>
      </w:r>
      <w:r w:rsidRPr="00E25F2B">
        <w:rPr>
          <w:rFonts w:cstheme="minorHAnsi"/>
          <w:color w:val="auto"/>
          <w:sz w:val="22"/>
          <w:szCs w:val="22"/>
        </w:rPr>
        <w:t>.</w:t>
      </w:r>
      <w:r>
        <w:rPr>
          <w:rFonts w:cstheme="minorHAnsi"/>
          <w:color w:val="auto"/>
          <w:sz w:val="22"/>
          <w:szCs w:val="22"/>
        </w:rPr>
        <w:t xml:space="preserve"> This will be achieved by requiring regular reporting from Housing Australia.</w:t>
      </w:r>
    </w:p>
    <w:p w14:paraId="5E746940" w14:textId="77777777" w:rsidR="006F1307" w:rsidRDefault="00AE0A2C" w:rsidP="006F1307">
      <w:pPr>
        <w:pStyle w:val="Bullet"/>
        <w:tabs>
          <w:tab w:val="clear" w:pos="472"/>
          <w:tab w:val="num" w:pos="661"/>
        </w:tabs>
        <w:spacing w:before="120" w:after="120" w:line="240" w:lineRule="auto"/>
        <w:ind w:left="661" w:hanging="661"/>
        <w:rPr>
          <w:rFonts w:cstheme="minorHAnsi"/>
          <w:color w:val="1C2B39" w:themeColor="text1"/>
        </w:rPr>
      </w:pPr>
      <w:r w:rsidRPr="00764303">
        <w:rPr>
          <w:rFonts w:cstheme="minorHAnsi"/>
          <w:color w:val="auto"/>
          <w:sz w:val="22"/>
          <w:szCs w:val="22"/>
        </w:rPr>
        <w:t>That participants are supported in repaying the Commonwealth equity share as appropriate for their financial circumstances. This has been achieved by providing for participants to repay the Commonwealth equity share according to their financial capacity, and allowing Housing Australia to take relevant personal circumstances into account during this process.</w:t>
      </w:r>
    </w:p>
    <w:p w14:paraId="39EF980C" w14:textId="000F8D30" w:rsidR="00AE0A2C" w:rsidRPr="006F1307" w:rsidRDefault="00AE0A2C" w:rsidP="006F1307">
      <w:pPr>
        <w:pStyle w:val="Bullet"/>
        <w:numPr>
          <w:ilvl w:val="0"/>
          <w:numId w:val="0"/>
        </w:numPr>
        <w:spacing w:before="120" w:after="120" w:line="240" w:lineRule="auto"/>
        <w:rPr>
          <w:rFonts w:cstheme="minorHAnsi"/>
          <w:color w:val="1C2B39" w:themeColor="text1"/>
        </w:rPr>
      </w:pPr>
      <w:r w:rsidRPr="006F1307">
        <w:rPr>
          <w:rFonts w:cstheme="minorHAnsi"/>
          <w:b/>
          <w:bCs/>
          <w:color w:val="004261" w:themeColor="accent2"/>
          <w:sz w:val="24"/>
          <w:szCs w:val="24"/>
        </w:rPr>
        <w:t xml:space="preserve">Review </w:t>
      </w:r>
      <w:r w:rsidR="00255B4E">
        <w:rPr>
          <w:rFonts w:cstheme="minorHAnsi"/>
          <w:b/>
          <w:bCs/>
          <w:color w:val="004261" w:themeColor="accent2"/>
          <w:sz w:val="24"/>
          <w:szCs w:val="24"/>
        </w:rPr>
        <w:t>m</w:t>
      </w:r>
      <w:r w:rsidRPr="006F1307">
        <w:rPr>
          <w:rFonts w:cstheme="minorHAnsi"/>
          <w:b/>
          <w:bCs/>
          <w:color w:val="004261" w:themeColor="accent2"/>
          <w:sz w:val="24"/>
          <w:szCs w:val="24"/>
        </w:rPr>
        <w:t>echanism</w:t>
      </w:r>
    </w:p>
    <w:p w14:paraId="64AFAB19" w14:textId="7689A102" w:rsidR="00835A98" w:rsidRPr="00AE0A2C" w:rsidRDefault="00AE0A2C" w:rsidP="00AE0A2C">
      <w:pPr>
        <w:pStyle w:val="Bullet"/>
        <w:numPr>
          <w:ilvl w:val="0"/>
          <w:numId w:val="0"/>
        </w:numPr>
        <w:rPr>
          <w:rFonts w:cstheme="minorHAnsi"/>
          <w:color w:val="auto"/>
          <w:sz w:val="22"/>
          <w:szCs w:val="22"/>
        </w:rPr>
      </w:pPr>
      <w:r w:rsidRPr="002413E4">
        <w:rPr>
          <w:rFonts w:cstheme="minorHAnsi"/>
          <w:color w:val="auto"/>
          <w:sz w:val="22"/>
          <w:szCs w:val="22"/>
        </w:rPr>
        <w:t xml:space="preserve">The Help to Buy </w:t>
      </w:r>
      <w:r>
        <w:rPr>
          <w:rFonts w:cstheme="minorHAnsi"/>
          <w:color w:val="auto"/>
          <w:sz w:val="22"/>
          <w:szCs w:val="22"/>
        </w:rPr>
        <w:t>Act</w:t>
      </w:r>
      <w:r w:rsidRPr="002413E4">
        <w:rPr>
          <w:rFonts w:cstheme="minorHAnsi"/>
          <w:color w:val="auto"/>
          <w:sz w:val="22"/>
          <w:szCs w:val="22"/>
        </w:rPr>
        <w:t xml:space="preserve"> includes a statutory review provision which requires a detailed review of the effectiveness of </w:t>
      </w:r>
      <w:r>
        <w:rPr>
          <w:rFonts w:cstheme="minorHAnsi"/>
          <w:color w:val="auto"/>
          <w:sz w:val="22"/>
          <w:szCs w:val="22"/>
        </w:rPr>
        <w:t xml:space="preserve">the </w:t>
      </w:r>
      <w:r w:rsidR="00B438A2">
        <w:rPr>
          <w:rFonts w:cstheme="minorHAnsi"/>
          <w:color w:val="auto"/>
          <w:sz w:val="22"/>
          <w:szCs w:val="22"/>
        </w:rPr>
        <w:t>scheme</w:t>
      </w:r>
      <w:r w:rsidRPr="002413E4">
        <w:rPr>
          <w:rFonts w:cstheme="minorHAnsi"/>
          <w:color w:val="auto"/>
          <w:sz w:val="22"/>
          <w:szCs w:val="22"/>
        </w:rPr>
        <w:t xml:space="preserve"> in supporting Australians into </w:t>
      </w:r>
      <w:r>
        <w:rPr>
          <w:rFonts w:cstheme="minorHAnsi"/>
          <w:color w:val="auto"/>
          <w:sz w:val="22"/>
          <w:szCs w:val="22"/>
        </w:rPr>
        <w:t>home ownership</w:t>
      </w:r>
      <w:r w:rsidRPr="002413E4">
        <w:rPr>
          <w:rFonts w:cstheme="minorHAnsi"/>
          <w:color w:val="auto"/>
          <w:sz w:val="22"/>
          <w:szCs w:val="22"/>
        </w:rPr>
        <w:t xml:space="preserve">. Additionally, Housing Australia will be required to provide regular and detailed reporting on a variety of aspects of </w:t>
      </w:r>
      <w:r>
        <w:rPr>
          <w:rFonts w:cstheme="minorHAnsi"/>
          <w:color w:val="auto"/>
          <w:sz w:val="22"/>
          <w:szCs w:val="22"/>
        </w:rPr>
        <w:t xml:space="preserve">the </w:t>
      </w:r>
      <w:r w:rsidR="00B438A2">
        <w:rPr>
          <w:rFonts w:cstheme="minorHAnsi"/>
          <w:color w:val="auto"/>
          <w:sz w:val="22"/>
          <w:szCs w:val="22"/>
        </w:rPr>
        <w:t>scheme</w:t>
      </w:r>
      <w:r w:rsidRPr="002413E4">
        <w:rPr>
          <w:rFonts w:cstheme="minorHAnsi"/>
          <w:color w:val="auto"/>
          <w:sz w:val="22"/>
          <w:szCs w:val="22"/>
        </w:rPr>
        <w:t xml:space="preserve"> to ensure Treasury is able to regularly assess the targeting of </w:t>
      </w:r>
      <w:r>
        <w:rPr>
          <w:rFonts w:cstheme="minorHAnsi"/>
          <w:color w:val="auto"/>
          <w:sz w:val="22"/>
          <w:szCs w:val="22"/>
        </w:rPr>
        <w:t xml:space="preserve">the </w:t>
      </w:r>
      <w:r w:rsidR="00B438A2">
        <w:rPr>
          <w:rFonts w:cstheme="minorHAnsi"/>
          <w:color w:val="auto"/>
          <w:sz w:val="22"/>
          <w:szCs w:val="22"/>
        </w:rPr>
        <w:t>scheme</w:t>
      </w:r>
      <w:r w:rsidRPr="002413E4">
        <w:rPr>
          <w:rFonts w:cstheme="minorHAnsi"/>
          <w:color w:val="auto"/>
          <w:sz w:val="22"/>
          <w:szCs w:val="22"/>
        </w:rPr>
        <w:t xml:space="preserve"> and any difficulties with implementation.</w:t>
      </w:r>
      <w:r w:rsidR="00835A98" w:rsidRPr="00E86115">
        <w:rPr>
          <w:rFonts w:eastAsia="Calibri" w:cs="Calibri"/>
        </w:rPr>
        <w:t xml:space="preserve"> </w:t>
      </w:r>
    </w:p>
    <w:p w14:paraId="4243C3E9" w14:textId="1E77563D" w:rsidR="00835A98" w:rsidRPr="00343494" w:rsidRDefault="00835A98" w:rsidP="00835A98">
      <w:pPr>
        <w:pStyle w:val="Heading2"/>
        <w:rPr>
          <w:color w:val="004261" w:themeColor="accent2"/>
        </w:rPr>
      </w:pPr>
      <w:bookmarkStart w:id="11" w:name="_Toc158819022"/>
      <w:r w:rsidRPr="00343494">
        <w:rPr>
          <w:color w:val="004261" w:themeColor="accent2"/>
        </w:rPr>
        <w:t>6.</w:t>
      </w:r>
      <w:r w:rsidR="001C4F2C" w:rsidRPr="00343494">
        <w:rPr>
          <w:color w:val="004261" w:themeColor="accent2"/>
        </w:rPr>
        <w:t xml:space="preserve">2 </w:t>
      </w:r>
      <w:r w:rsidRPr="00343494">
        <w:rPr>
          <w:color w:val="004261" w:themeColor="accent2"/>
        </w:rPr>
        <w:t>Implementation challenges</w:t>
      </w:r>
      <w:bookmarkEnd w:id="11"/>
      <w:r w:rsidRPr="00343494">
        <w:rPr>
          <w:color w:val="004261" w:themeColor="accent2"/>
        </w:rPr>
        <w:t xml:space="preserve"> </w:t>
      </w:r>
    </w:p>
    <w:p w14:paraId="14772593" w14:textId="40BD182A" w:rsidR="004C5384" w:rsidRPr="00BA4330" w:rsidRDefault="004C5384" w:rsidP="004C5384">
      <w:pPr>
        <w:pStyle w:val="Bullet"/>
        <w:numPr>
          <w:ilvl w:val="0"/>
          <w:numId w:val="0"/>
        </w:numPr>
        <w:rPr>
          <w:rFonts w:cstheme="minorHAnsi"/>
          <w:b/>
          <w:bCs/>
          <w:color w:val="004261" w:themeColor="accent2"/>
          <w:sz w:val="24"/>
          <w:szCs w:val="24"/>
        </w:rPr>
      </w:pPr>
      <w:r w:rsidRPr="00BA4330">
        <w:rPr>
          <w:rFonts w:cstheme="minorHAnsi"/>
          <w:b/>
          <w:bCs/>
          <w:color w:val="004261" w:themeColor="accent2"/>
          <w:sz w:val="24"/>
          <w:szCs w:val="24"/>
        </w:rPr>
        <w:t xml:space="preserve">State </w:t>
      </w:r>
      <w:r w:rsidR="00255B4E">
        <w:rPr>
          <w:rFonts w:cstheme="minorHAnsi"/>
          <w:b/>
          <w:bCs/>
          <w:color w:val="004261" w:themeColor="accent2"/>
          <w:sz w:val="24"/>
          <w:szCs w:val="24"/>
        </w:rPr>
        <w:t>u</w:t>
      </w:r>
      <w:r w:rsidRPr="00BA4330">
        <w:rPr>
          <w:rFonts w:cstheme="minorHAnsi"/>
          <w:b/>
          <w:bCs/>
          <w:color w:val="004261" w:themeColor="accent2"/>
          <w:sz w:val="24"/>
          <w:szCs w:val="24"/>
        </w:rPr>
        <w:t xml:space="preserve">ptake and Constitutional </w:t>
      </w:r>
      <w:r w:rsidR="00255B4E">
        <w:rPr>
          <w:rFonts w:cstheme="minorHAnsi"/>
          <w:b/>
          <w:bCs/>
          <w:color w:val="004261" w:themeColor="accent2"/>
          <w:sz w:val="24"/>
          <w:szCs w:val="24"/>
        </w:rPr>
        <w:t>b</w:t>
      </w:r>
      <w:r w:rsidRPr="00BA4330">
        <w:rPr>
          <w:rFonts w:cstheme="minorHAnsi"/>
          <w:b/>
          <w:bCs/>
          <w:color w:val="004261" w:themeColor="accent2"/>
          <w:sz w:val="24"/>
          <w:szCs w:val="24"/>
        </w:rPr>
        <w:t>asis</w:t>
      </w:r>
    </w:p>
    <w:p w14:paraId="39E93F36" w14:textId="4CE12D27" w:rsidR="004C5384" w:rsidRDefault="004C5384" w:rsidP="004C5384">
      <w:pPr>
        <w:pStyle w:val="Bullet"/>
        <w:numPr>
          <w:ilvl w:val="0"/>
          <w:numId w:val="0"/>
        </w:numPr>
        <w:rPr>
          <w:rFonts w:cstheme="minorHAnsi"/>
          <w:color w:val="auto"/>
          <w:sz w:val="22"/>
          <w:szCs w:val="22"/>
        </w:rPr>
      </w:pPr>
      <w:r>
        <w:rPr>
          <w:rFonts w:cstheme="minorHAnsi"/>
          <w:color w:val="auto"/>
          <w:sz w:val="22"/>
          <w:szCs w:val="22"/>
        </w:rPr>
        <w:t xml:space="preserve">As the Help to Buy </w:t>
      </w:r>
      <w:r w:rsidR="00B438A2">
        <w:rPr>
          <w:rFonts w:cstheme="minorHAnsi"/>
          <w:color w:val="auto"/>
          <w:sz w:val="22"/>
          <w:szCs w:val="22"/>
        </w:rPr>
        <w:t>scheme</w:t>
      </w:r>
      <w:r>
        <w:rPr>
          <w:rFonts w:cstheme="minorHAnsi"/>
          <w:color w:val="auto"/>
          <w:sz w:val="22"/>
          <w:szCs w:val="22"/>
        </w:rPr>
        <w:t xml:space="preserve"> relies on State referrals of power for its constitutional basis, the success of the </w:t>
      </w:r>
      <w:r w:rsidR="00B438A2">
        <w:rPr>
          <w:rFonts w:cstheme="minorHAnsi"/>
          <w:color w:val="auto"/>
          <w:sz w:val="22"/>
          <w:szCs w:val="22"/>
        </w:rPr>
        <w:t>scheme</w:t>
      </w:r>
      <w:r>
        <w:rPr>
          <w:rFonts w:cstheme="minorHAnsi"/>
          <w:color w:val="auto"/>
          <w:sz w:val="22"/>
          <w:szCs w:val="22"/>
        </w:rPr>
        <w:t xml:space="preserve"> will rely on all States passing adoption legislation that will enable the </w:t>
      </w:r>
      <w:r w:rsidR="00B438A2">
        <w:rPr>
          <w:rFonts w:cstheme="minorHAnsi"/>
          <w:color w:val="auto"/>
          <w:sz w:val="22"/>
          <w:szCs w:val="22"/>
        </w:rPr>
        <w:t>scheme</w:t>
      </w:r>
      <w:r>
        <w:rPr>
          <w:rFonts w:cstheme="minorHAnsi"/>
          <w:color w:val="auto"/>
          <w:sz w:val="22"/>
          <w:szCs w:val="22"/>
        </w:rPr>
        <w:t xml:space="preserve"> to achieve the policy intent. To provide States with flexibility surrounding the timing of passage, the Program Directions provides for places to be reserved for all States for the first 8 months following commencement of the </w:t>
      </w:r>
      <w:r w:rsidR="00B438A2">
        <w:rPr>
          <w:rFonts w:cstheme="minorHAnsi"/>
          <w:color w:val="auto"/>
          <w:sz w:val="22"/>
          <w:szCs w:val="22"/>
        </w:rPr>
        <w:t>scheme</w:t>
      </w:r>
      <w:r>
        <w:rPr>
          <w:rFonts w:cstheme="minorHAnsi"/>
          <w:color w:val="auto"/>
          <w:sz w:val="22"/>
          <w:szCs w:val="22"/>
        </w:rPr>
        <w:t>.</w:t>
      </w:r>
    </w:p>
    <w:p w14:paraId="442AC70B" w14:textId="5F9CC553" w:rsidR="004C5384" w:rsidRPr="00BA4330" w:rsidRDefault="004C5384" w:rsidP="004C5384">
      <w:pPr>
        <w:pStyle w:val="Bullet"/>
        <w:numPr>
          <w:ilvl w:val="0"/>
          <w:numId w:val="0"/>
        </w:numPr>
        <w:rPr>
          <w:rFonts w:cstheme="minorHAnsi"/>
          <w:b/>
          <w:bCs/>
          <w:color w:val="004261" w:themeColor="accent2"/>
          <w:sz w:val="24"/>
          <w:szCs w:val="24"/>
        </w:rPr>
      </w:pPr>
      <w:r w:rsidRPr="00BA4330">
        <w:rPr>
          <w:rFonts w:cstheme="minorHAnsi"/>
          <w:b/>
          <w:bCs/>
          <w:color w:val="004261" w:themeColor="accent2"/>
          <w:sz w:val="24"/>
          <w:szCs w:val="24"/>
        </w:rPr>
        <w:t xml:space="preserve">Lender </w:t>
      </w:r>
      <w:r w:rsidR="00255B4E">
        <w:rPr>
          <w:rFonts w:cstheme="minorHAnsi"/>
          <w:b/>
          <w:bCs/>
          <w:color w:val="004261" w:themeColor="accent2"/>
          <w:sz w:val="24"/>
          <w:szCs w:val="24"/>
        </w:rPr>
        <w:t>i</w:t>
      </w:r>
      <w:r w:rsidRPr="00BA4330">
        <w:rPr>
          <w:rFonts w:cstheme="minorHAnsi"/>
          <w:b/>
          <w:bCs/>
          <w:color w:val="004261" w:themeColor="accent2"/>
          <w:sz w:val="24"/>
          <w:szCs w:val="24"/>
        </w:rPr>
        <w:t>nterest</w:t>
      </w:r>
    </w:p>
    <w:p w14:paraId="3822D553" w14:textId="1D74078C" w:rsidR="004C5384" w:rsidRDefault="004C5384" w:rsidP="004C5384">
      <w:pPr>
        <w:pStyle w:val="Bullet"/>
        <w:numPr>
          <w:ilvl w:val="0"/>
          <w:numId w:val="0"/>
        </w:numPr>
        <w:rPr>
          <w:rFonts w:cstheme="minorHAnsi"/>
          <w:color w:val="auto"/>
          <w:sz w:val="22"/>
          <w:szCs w:val="22"/>
        </w:rPr>
      </w:pPr>
      <w:r>
        <w:rPr>
          <w:rFonts w:cstheme="minorHAnsi"/>
          <w:color w:val="auto"/>
          <w:sz w:val="22"/>
          <w:szCs w:val="22"/>
        </w:rPr>
        <w:t xml:space="preserve">The Help to Buy </w:t>
      </w:r>
      <w:r w:rsidR="00B438A2">
        <w:rPr>
          <w:rFonts w:cstheme="minorHAnsi"/>
          <w:color w:val="auto"/>
          <w:sz w:val="22"/>
          <w:szCs w:val="22"/>
        </w:rPr>
        <w:t>scheme</w:t>
      </w:r>
      <w:r>
        <w:rPr>
          <w:rFonts w:cstheme="minorHAnsi"/>
          <w:color w:val="auto"/>
          <w:sz w:val="22"/>
          <w:szCs w:val="22"/>
        </w:rPr>
        <w:t xml:space="preserve"> will be offered as a mortgage product via a panel of lenders. To ensure the product is offered broadly and at competitive rates, it will be important for the lender panel to be sufficiently diverse. The Program Directions provide Housing Australia with the necessary flexibility to work closely with lenders to limit the additional costs associated with providing Help to Buy, ensuring that the </w:t>
      </w:r>
      <w:r w:rsidR="00B438A2">
        <w:rPr>
          <w:rFonts w:cstheme="minorHAnsi"/>
          <w:color w:val="auto"/>
          <w:sz w:val="22"/>
          <w:szCs w:val="22"/>
        </w:rPr>
        <w:t>scheme</w:t>
      </w:r>
      <w:r>
        <w:rPr>
          <w:rFonts w:cstheme="minorHAnsi"/>
          <w:color w:val="auto"/>
          <w:sz w:val="22"/>
          <w:szCs w:val="22"/>
        </w:rPr>
        <w:t xml:space="preserve"> remains attractive to lenders.</w:t>
      </w:r>
    </w:p>
    <w:p w14:paraId="2B5EB34F" w14:textId="3917BDBB" w:rsidR="004C5384" w:rsidRPr="00BA4330" w:rsidRDefault="004C5384" w:rsidP="004C5384">
      <w:pPr>
        <w:pStyle w:val="Bullet"/>
        <w:numPr>
          <w:ilvl w:val="0"/>
          <w:numId w:val="0"/>
        </w:numPr>
        <w:rPr>
          <w:rFonts w:cstheme="minorHAnsi"/>
          <w:b/>
          <w:bCs/>
          <w:color w:val="004261" w:themeColor="accent2"/>
          <w:sz w:val="24"/>
          <w:szCs w:val="24"/>
        </w:rPr>
      </w:pPr>
      <w:r w:rsidRPr="00BA4330">
        <w:rPr>
          <w:rFonts w:cstheme="minorHAnsi"/>
          <w:b/>
          <w:bCs/>
          <w:color w:val="004261" w:themeColor="accent2"/>
          <w:sz w:val="24"/>
          <w:szCs w:val="24"/>
        </w:rPr>
        <w:t xml:space="preserve">Interest </w:t>
      </w:r>
      <w:r w:rsidR="00255B4E">
        <w:rPr>
          <w:rFonts w:cstheme="minorHAnsi"/>
          <w:b/>
          <w:bCs/>
          <w:color w:val="004261" w:themeColor="accent2"/>
          <w:sz w:val="24"/>
          <w:szCs w:val="24"/>
        </w:rPr>
        <w:t>r</w:t>
      </w:r>
      <w:r w:rsidRPr="00BA4330">
        <w:rPr>
          <w:rFonts w:cstheme="minorHAnsi"/>
          <w:b/>
          <w:bCs/>
          <w:color w:val="004261" w:themeColor="accent2"/>
          <w:sz w:val="24"/>
          <w:szCs w:val="24"/>
        </w:rPr>
        <w:t xml:space="preserve">ate </w:t>
      </w:r>
      <w:r w:rsidR="00255B4E">
        <w:rPr>
          <w:rFonts w:cstheme="minorHAnsi"/>
          <w:b/>
          <w:bCs/>
          <w:color w:val="004261" w:themeColor="accent2"/>
          <w:sz w:val="24"/>
          <w:szCs w:val="24"/>
        </w:rPr>
        <w:t>e</w:t>
      </w:r>
      <w:r w:rsidRPr="00BA4330">
        <w:rPr>
          <w:rFonts w:cstheme="minorHAnsi"/>
          <w:b/>
          <w:bCs/>
          <w:color w:val="004261" w:themeColor="accent2"/>
          <w:sz w:val="24"/>
          <w:szCs w:val="24"/>
        </w:rPr>
        <w:t>nvironment</w:t>
      </w:r>
    </w:p>
    <w:p w14:paraId="16563A70" w14:textId="0421A2A7" w:rsidR="00507BCB" w:rsidRDefault="004C5384" w:rsidP="004C5384">
      <w:r>
        <w:rPr>
          <w:rFonts w:cstheme="minorHAnsi"/>
          <w:szCs w:val="22"/>
        </w:rPr>
        <w:lastRenderedPageBreak/>
        <w:t xml:space="preserve">The Help to Buy </w:t>
      </w:r>
      <w:r w:rsidR="00B438A2">
        <w:rPr>
          <w:rFonts w:cstheme="minorHAnsi"/>
          <w:szCs w:val="22"/>
        </w:rPr>
        <w:t>scheme</w:t>
      </w:r>
      <w:r>
        <w:rPr>
          <w:rFonts w:cstheme="minorHAnsi"/>
          <w:szCs w:val="22"/>
        </w:rPr>
        <w:t xml:space="preserve"> relies on participants being able to afford a standard mortgage loan on a significant portion of the relevant property. This will be impacted by the interest rate environment and where repayment costs rise significantly the ability of the </w:t>
      </w:r>
      <w:r w:rsidR="00B438A2">
        <w:rPr>
          <w:rFonts w:cstheme="minorHAnsi"/>
          <w:szCs w:val="22"/>
        </w:rPr>
        <w:t>scheme</w:t>
      </w:r>
      <w:r>
        <w:rPr>
          <w:rFonts w:cstheme="minorHAnsi"/>
          <w:szCs w:val="22"/>
        </w:rPr>
        <w:t xml:space="preserve"> to support particularly low-income Australians into home ownership may become more limited</w:t>
      </w:r>
      <w:r w:rsidR="00835A98" w:rsidRPr="00A8033C">
        <w:t>.</w:t>
      </w:r>
      <w:r w:rsidR="00835A98">
        <w:t xml:space="preserve"> </w:t>
      </w:r>
    </w:p>
    <w:p w14:paraId="23E8CE76" w14:textId="77777777" w:rsidR="00507BCB" w:rsidRPr="00835A98" w:rsidRDefault="00507BCB" w:rsidP="00835A98"/>
    <w:p w14:paraId="0EB6587A" w14:textId="77777777" w:rsidR="007927B1" w:rsidRDefault="007927B1" w:rsidP="00E86115">
      <w:pPr>
        <w:pStyle w:val="Heading1"/>
        <w:sectPr w:rsidR="007927B1" w:rsidSect="00023A52">
          <w:pgSz w:w="11906" w:h="16838"/>
          <w:pgMar w:top="1701" w:right="1134" w:bottom="1843" w:left="1134" w:header="993" w:footer="709" w:gutter="0"/>
          <w:cols w:space="708"/>
          <w:titlePg/>
          <w:docGrid w:linePitch="360"/>
        </w:sectPr>
      </w:pPr>
    </w:p>
    <w:p w14:paraId="2FE65710" w14:textId="1512240D" w:rsidR="0014151F" w:rsidRPr="00343494" w:rsidRDefault="00E86115" w:rsidP="00E86115">
      <w:pPr>
        <w:pStyle w:val="Heading1"/>
        <w:rPr>
          <w:color w:val="004261" w:themeColor="accent2"/>
        </w:rPr>
      </w:pPr>
      <w:bookmarkStart w:id="12" w:name="_Toc200114840"/>
      <w:r w:rsidRPr="00343494">
        <w:rPr>
          <w:color w:val="004261" w:themeColor="accent2"/>
        </w:rPr>
        <w:lastRenderedPageBreak/>
        <w:t xml:space="preserve">7. </w:t>
      </w:r>
      <w:r w:rsidR="007927B1" w:rsidRPr="00343494">
        <w:rPr>
          <w:color w:val="004261" w:themeColor="accent2"/>
        </w:rPr>
        <w:t>Measuring success</w:t>
      </w:r>
      <w:bookmarkEnd w:id="12"/>
    </w:p>
    <w:p w14:paraId="3F5BEA05" w14:textId="0422AD12" w:rsidR="002E7CAF" w:rsidRPr="00662BC7" w:rsidRDefault="002E7CAF" w:rsidP="002E7CAF">
      <w:r w:rsidRPr="002413E4">
        <w:rPr>
          <w:szCs w:val="22"/>
        </w:rPr>
        <w:t xml:space="preserve">Robust </w:t>
      </w:r>
      <w:r w:rsidRPr="00637CDA">
        <w:t xml:space="preserve">data </w:t>
      </w:r>
      <w:r w:rsidRPr="002413E4">
        <w:rPr>
          <w:szCs w:val="22"/>
        </w:rPr>
        <w:t xml:space="preserve">reporting </w:t>
      </w:r>
      <w:r w:rsidRPr="00637CDA">
        <w:t xml:space="preserve">requirements are critical in ensuring the Help to Buy </w:t>
      </w:r>
      <w:r w:rsidR="00B438A2">
        <w:t>scheme</w:t>
      </w:r>
      <w:r w:rsidRPr="00637CDA">
        <w:t xml:space="preserve"> is achieving its principal objectives. These requirements have been put in place principally through the</w:t>
      </w:r>
      <w:r>
        <w:t xml:space="preserve"> </w:t>
      </w:r>
      <w:r>
        <w:rPr>
          <w:i/>
          <w:iCs/>
        </w:rPr>
        <w:t xml:space="preserve">Housing Australia Act 2018, </w:t>
      </w:r>
      <w:r>
        <w:t>the</w:t>
      </w:r>
      <w:r w:rsidRPr="00637CDA">
        <w:t xml:space="preserve"> </w:t>
      </w:r>
      <w:r w:rsidRPr="00637CDA">
        <w:rPr>
          <w:i/>
        </w:rPr>
        <w:t xml:space="preserve">Help to Buy </w:t>
      </w:r>
      <w:r w:rsidRPr="002413E4">
        <w:rPr>
          <w:i/>
          <w:szCs w:val="28"/>
        </w:rPr>
        <w:t>Act</w:t>
      </w:r>
      <w:r w:rsidRPr="002413E4">
        <w:rPr>
          <w:i/>
          <w:sz w:val="20"/>
          <w:szCs w:val="20"/>
        </w:rPr>
        <w:t xml:space="preserve"> </w:t>
      </w:r>
      <w:r w:rsidRPr="00637CDA">
        <w:rPr>
          <w:i/>
        </w:rPr>
        <w:t xml:space="preserve">2024 </w:t>
      </w:r>
      <w:r w:rsidRPr="00637CDA">
        <w:t>and the Help to Buy Intergovernmental Agreement.</w:t>
      </w:r>
    </w:p>
    <w:p w14:paraId="442D97FC" w14:textId="77777777" w:rsidR="002E7CAF" w:rsidRPr="00662BC7" w:rsidRDefault="002E7CAF" w:rsidP="002E7CAF">
      <w:r w:rsidRPr="00662BC7">
        <w:t xml:space="preserve">Section 44 of the </w:t>
      </w:r>
      <w:r w:rsidRPr="00662BC7">
        <w:rPr>
          <w:i/>
          <w:iCs/>
        </w:rPr>
        <w:t xml:space="preserve">Help to Buy </w:t>
      </w:r>
      <w:r w:rsidRPr="002413E4">
        <w:rPr>
          <w:i/>
          <w:iCs/>
        </w:rPr>
        <w:t xml:space="preserve">Act </w:t>
      </w:r>
      <w:r w:rsidRPr="00662BC7">
        <w:rPr>
          <w:i/>
          <w:iCs/>
        </w:rPr>
        <w:t>202</w:t>
      </w:r>
      <w:r>
        <w:rPr>
          <w:i/>
          <w:iCs/>
        </w:rPr>
        <w:t>4</w:t>
      </w:r>
      <w:r w:rsidRPr="00662BC7">
        <w:rPr>
          <w:i/>
          <w:iCs/>
        </w:rPr>
        <w:t xml:space="preserve"> </w:t>
      </w:r>
      <w:r w:rsidRPr="00662BC7">
        <w:t xml:space="preserve">requires that the Board of Housing Australia provide an annual report to the Minister in accordance with section 46 of the </w:t>
      </w:r>
      <w:r w:rsidRPr="00662BC7">
        <w:rPr>
          <w:i/>
          <w:iCs/>
        </w:rPr>
        <w:t>Public Governance, Performance and Accountability A</w:t>
      </w:r>
      <w:r w:rsidRPr="002413E4">
        <w:rPr>
          <w:i/>
          <w:iCs/>
        </w:rPr>
        <w:t>c</w:t>
      </w:r>
      <w:r w:rsidRPr="00662BC7">
        <w:rPr>
          <w:i/>
          <w:iCs/>
        </w:rPr>
        <w:t>t 2013</w:t>
      </w:r>
      <w:r w:rsidRPr="00662BC7">
        <w:t>. These reporting requirements will ensure the impact of any modifications made to the Help to Buy Program Directions are adequately scrutinised.</w:t>
      </w:r>
    </w:p>
    <w:p w14:paraId="242C740B" w14:textId="77777777" w:rsidR="002E7CAF" w:rsidRPr="00EA5FD5" w:rsidRDefault="002E7CAF" w:rsidP="002E7CAF">
      <w:r>
        <w:t xml:space="preserve">The </w:t>
      </w:r>
      <w:r>
        <w:rPr>
          <w:i/>
          <w:iCs/>
        </w:rPr>
        <w:t xml:space="preserve">Housing Australia Act 2018 </w:t>
      </w:r>
      <w:r>
        <w:t>also requires that a review of Housing Australia’s support for first home buyers be conducted every 12 months, which must be tabled in each House of the Parliament.</w:t>
      </w:r>
    </w:p>
    <w:p w14:paraId="586C8723" w14:textId="58F5C9C1" w:rsidR="002E7CAF" w:rsidRPr="00662BC7" w:rsidRDefault="002E7CAF" w:rsidP="002E7CAF">
      <w:r w:rsidRPr="00662BC7">
        <w:t>The Help to Buy Intergovernmental Agreement requires more detailed reporting be provided by Housing Australia to the States and Territories. This reporting will be release</w:t>
      </w:r>
      <w:r>
        <w:t>d</w:t>
      </w:r>
      <w:r w:rsidRPr="00662BC7">
        <w:t xml:space="preserve"> publicly and will provide detailed information on uptake numbers and the demographic and geographic breakdown of participation in the </w:t>
      </w:r>
      <w:r w:rsidR="00B438A2">
        <w:t>scheme</w:t>
      </w:r>
      <w:r w:rsidRPr="00662BC7">
        <w:t xml:space="preserve">. This information will allow Treasury and Housing Australia to monitor the effectiveness of the </w:t>
      </w:r>
      <w:r w:rsidR="00B438A2">
        <w:t>scheme</w:t>
      </w:r>
      <w:r w:rsidRPr="00662BC7">
        <w:t xml:space="preserve"> and ensure it is providing appropriate support to all Australians, and particular to select target cohorts.</w:t>
      </w:r>
    </w:p>
    <w:p w14:paraId="2D86AA07" w14:textId="3659C0B6" w:rsidR="00835A98" w:rsidRDefault="002E7CAF" w:rsidP="002E7CAF">
      <w:r w:rsidRPr="00662BC7">
        <w:t xml:space="preserve">Section 45 of the </w:t>
      </w:r>
      <w:r w:rsidRPr="00662BC7">
        <w:rPr>
          <w:i/>
          <w:iCs/>
        </w:rPr>
        <w:t xml:space="preserve">Help to Buy </w:t>
      </w:r>
      <w:r>
        <w:rPr>
          <w:i/>
          <w:iCs/>
        </w:rPr>
        <w:t>Act</w:t>
      </w:r>
      <w:r w:rsidRPr="00662BC7">
        <w:rPr>
          <w:i/>
          <w:iCs/>
        </w:rPr>
        <w:t xml:space="preserve"> 202</w:t>
      </w:r>
      <w:r>
        <w:rPr>
          <w:i/>
          <w:iCs/>
        </w:rPr>
        <w:t>4</w:t>
      </w:r>
      <w:r w:rsidRPr="00662BC7">
        <w:rPr>
          <w:i/>
          <w:iCs/>
        </w:rPr>
        <w:t xml:space="preserve"> </w:t>
      </w:r>
      <w:r w:rsidRPr="00662BC7">
        <w:t xml:space="preserve">requires that a review of the operation of the Help to Buy </w:t>
      </w:r>
      <w:r w:rsidR="00B438A2">
        <w:t>scheme</w:t>
      </w:r>
      <w:r w:rsidRPr="00662BC7">
        <w:t xml:space="preserve"> be undertaken </w:t>
      </w:r>
      <w:r>
        <w:t xml:space="preserve">as soon as possible </w:t>
      </w:r>
      <w:r w:rsidRPr="00662BC7">
        <w:t>after 3 y</w:t>
      </w:r>
      <w:r>
        <w:t>e</w:t>
      </w:r>
      <w:r w:rsidRPr="00662BC7">
        <w:t xml:space="preserve">ars. This statutory review will provide an additional opportunity to </w:t>
      </w:r>
      <w:r>
        <w:t>evaluate</w:t>
      </w:r>
      <w:r w:rsidRPr="00662BC7">
        <w:t xml:space="preserve"> the effectiveness of the </w:t>
      </w:r>
      <w:r w:rsidR="00B438A2">
        <w:t>scheme</w:t>
      </w:r>
      <w:r w:rsidR="00835A98">
        <w:t>.</w:t>
      </w:r>
    </w:p>
    <w:p w14:paraId="311C916D" w14:textId="4B5D0518" w:rsidR="004C713A" w:rsidRDefault="00D34D66" w:rsidP="00E74693">
      <w:pPr>
        <w:pStyle w:val="Heading2"/>
      </w:pPr>
      <w:r w:rsidRPr="00343494">
        <w:rPr>
          <w:color w:val="004261" w:themeColor="accent2"/>
        </w:rPr>
        <w:t xml:space="preserve">7.1 </w:t>
      </w:r>
      <w:r w:rsidR="008E123B" w:rsidRPr="008E123B">
        <w:rPr>
          <w:color w:val="004261" w:themeColor="accent2"/>
        </w:rPr>
        <w:t>Monitoring</w:t>
      </w:r>
      <w:r w:rsidR="008E123B">
        <w:rPr>
          <w:color w:val="004261" w:themeColor="accent2"/>
        </w:rPr>
        <w:t>,</w:t>
      </w:r>
      <w:r w:rsidR="008E123B" w:rsidRPr="008E123B">
        <w:rPr>
          <w:color w:val="004261" w:themeColor="accent2"/>
        </w:rPr>
        <w:t xml:space="preserve"> </w:t>
      </w:r>
      <w:r w:rsidR="008E123B">
        <w:rPr>
          <w:color w:val="004261" w:themeColor="accent2"/>
        </w:rPr>
        <w:t>Reporting</w:t>
      </w:r>
      <w:r w:rsidR="00A62514">
        <w:rPr>
          <w:color w:val="004261" w:themeColor="accent2"/>
        </w:rPr>
        <w:t xml:space="preserve"> and Evaluation</w:t>
      </w:r>
    </w:p>
    <w:p w14:paraId="25C31A0C" w14:textId="190754AD" w:rsidR="00237ECC" w:rsidRPr="00E25F2B" w:rsidRDefault="00237ECC" w:rsidP="00237ECC">
      <w:r w:rsidRPr="00E25F2B">
        <w:t xml:space="preserve">The primary policy objective of the Help to Buy </w:t>
      </w:r>
      <w:r w:rsidR="00B438A2">
        <w:t>scheme</w:t>
      </w:r>
      <w:r w:rsidRPr="00E25F2B">
        <w:t xml:space="preserve"> is to support 40,000 low- and middle-income Australia</w:t>
      </w:r>
      <w:r w:rsidRPr="007A18B9">
        <w:t xml:space="preserve">n households to achieve home ownership by providing support in the form </w:t>
      </w:r>
      <w:r w:rsidR="00A62514">
        <w:t xml:space="preserve">of </w:t>
      </w:r>
      <w:r w:rsidRPr="007A18B9">
        <w:t>a shared equity contribution from Housing Australia</w:t>
      </w:r>
      <w:r w:rsidR="00EB4B87">
        <w:t xml:space="preserve"> on behalf of the Commonwealth</w:t>
      </w:r>
      <w:r w:rsidRPr="007A18B9">
        <w:t>.</w:t>
      </w:r>
    </w:p>
    <w:p w14:paraId="48CB1281" w14:textId="06B793A7" w:rsidR="00237ECC" w:rsidRPr="00E25F2B" w:rsidRDefault="00237ECC" w:rsidP="00237ECC">
      <w:r>
        <w:t>Secondary</w:t>
      </w:r>
      <w:r w:rsidRPr="00E25F2B">
        <w:t xml:space="preserve"> </w:t>
      </w:r>
      <w:r>
        <w:t>measures to be monitored</w:t>
      </w:r>
      <w:r w:rsidRPr="00E25F2B">
        <w:t xml:space="preserve"> </w:t>
      </w:r>
      <w:r>
        <w:t>include</w:t>
      </w:r>
      <w:r w:rsidR="00297E6D">
        <w:t>:</w:t>
      </w:r>
    </w:p>
    <w:p w14:paraId="3191B807" w14:textId="38AB7944" w:rsidR="00237ECC" w:rsidRPr="00D1580C" w:rsidRDefault="00237ECC" w:rsidP="00D1580C">
      <w:pPr>
        <w:pStyle w:val="Bullet"/>
        <w:tabs>
          <w:tab w:val="clear" w:pos="472"/>
          <w:tab w:val="num" w:pos="661"/>
        </w:tabs>
        <w:spacing w:before="120" w:after="120" w:line="240" w:lineRule="auto"/>
        <w:ind w:left="661" w:hanging="661"/>
        <w:rPr>
          <w:rFonts w:cstheme="minorHAnsi"/>
          <w:color w:val="auto"/>
          <w:sz w:val="22"/>
          <w:szCs w:val="22"/>
        </w:rPr>
      </w:pPr>
      <w:r w:rsidRPr="00D1580C">
        <w:rPr>
          <w:rFonts w:cstheme="minorHAnsi"/>
          <w:color w:val="auto"/>
          <w:sz w:val="22"/>
          <w:szCs w:val="22"/>
        </w:rPr>
        <w:t xml:space="preserve">Supported households are those who would genuinely </w:t>
      </w:r>
      <w:r w:rsidR="007109B5" w:rsidRPr="00D1580C">
        <w:rPr>
          <w:rFonts w:cstheme="minorHAnsi"/>
          <w:color w:val="auto"/>
          <w:sz w:val="22"/>
          <w:szCs w:val="22"/>
        </w:rPr>
        <w:t>be unable</w:t>
      </w:r>
      <w:r w:rsidRPr="00D1580C">
        <w:rPr>
          <w:rFonts w:cstheme="minorHAnsi"/>
          <w:color w:val="auto"/>
          <w:sz w:val="22"/>
          <w:szCs w:val="22"/>
        </w:rPr>
        <w:t xml:space="preserve"> to buy or build a home without the Government's equity contribution</w:t>
      </w:r>
      <w:r w:rsidR="001C5D69" w:rsidRPr="00D1580C">
        <w:rPr>
          <w:rFonts w:cstheme="minorHAnsi"/>
          <w:color w:val="auto"/>
          <w:sz w:val="22"/>
          <w:szCs w:val="22"/>
        </w:rPr>
        <w:t>;</w:t>
      </w:r>
    </w:p>
    <w:p w14:paraId="3E4DC43A" w14:textId="6FE2B31B" w:rsidR="00237ECC" w:rsidRPr="00D1580C" w:rsidRDefault="00237ECC" w:rsidP="00D1580C">
      <w:pPr>
        <w:pStyle w:val="Bullet"/>
        <w:tabs>
          <w:tab w:val="clear" w:pos="472"/>
          <w:tab w:val="num" w:pos="661"/>
        </w:tabs>
        <w:spacing w:before="120" w:after="120" w:line="240" w:lineRule="auto"/>
        <w:ind w:left="661" w:hanging="661"/>
        <w:rPr>
          <w:rFonts w:cstheme="minorHAnsi"/>
          <w:color w:val="auto"/>
          <w:sz w:val="22"/>
          <w:szCs w:val="22"/>
        </w:rPr>
      </w:pPr>
      <w:r w:rsidRPr="00D1580C">
        <w:rPr>
          <w:rFonts w:cstheme="minorHAnsi"/>
          <w:color w:val="auto"/>
          <w:sz w:val="22"/>
          <w:szCs w:val="22"/>
        </w:rPr>
        <w:t xml:space="preserve">Support under the Help to Buy </w:t>
      </w:r>
      <w:r w:rsidR="00B438A2">
        <w:rPr>
          <w:rFonts w:cstheme="minorHAnsi"/>
          <w:color w:val="auto"/>
          <w:sz w:val="22"/>
          <w:szCs w:val="22"/>
        </w:rPr>
        <w:t>scheme</w:t>
      </w:r>
      <w:r w:rsidRPr="00D1580C">
        <w:rPr>
          <w:rFonts w:cstheme="minorHAnsi"/>
          <w:color w:val="auto"/>
          <w:sz w:val="22"/>
          <w:szCs w:val="22"/>
        </w:rPr>
        <w:t xml:space="preserve"> is distributed appropriately across Australia. For example, an appropriate share of places is used in regional areas, compared with those used in metro areas and capital cities</w:t>
      </w:r>
      <w:r w:rsidR="001C5D69" w:rsidRPr="00D1580C">
        <w:rPr>
          <w:rFonts w:cstheme="minorHAnsi"/>
          <w:color w:val="auto"/>
          <w:sz w:val="22"/>
          <w:szCs w:val="22"/>
        </w:rPr>
        <w:t>;</w:t>
      </w:r>
    </w:p>
    <w:p w14:paraId="06CFE70F" w14:textId="4CDA93C8" w:rsidR="00B41216" w:rsidRPr="00D1580C" w:rsidRDefault="00237ECC" w:rsidP="00D1580C">
      <w:pPr>
        <w:pStyle w:val="Bullet"/>
        <w:tabs>
          <w:tab w:val="clear" w:pos="472"/>
          <w:tab w:val="num" w:pos="661"/>
        </w:tabs>
        <w:spacing w:before="120" w:after="120" w:line="240" w:lineRule="auto"/>
        <w:ind w:left="661" w:hanging="661"/>
        <w:rPr>
          <w:rFonts w:cstheme="minorHAnsi"/>
          <w:color w:val="auto"/>
          <w:sz w:val="22"/>
          <w:szCs w:val="22"/>
        </w:rPr>
      </w:pPr>
      <w:r w:rsidRPr="00D1580C">
        <w:rPr>
          <w:rFonts w:cstheme="minorHAnsi"/>
          <w:color w:val="auto"/>
          <w:sz w:val="22"/>
          <w:szCs w:val="22"/>
        </w:rPr>
        <w:t xml:space="preserve">Participants are supported in repaying the Commonwealth equity share as appropriate </w:t>
      </w:r>
      <w:r w:rsidR="00701FDA" w:rsidRPr="00D1580C">
        <w:rPr>
          <w:rFonts w:cstheme="minorHAnsi"/>
          <w:color w:val="auto"/>
          <w:sz w:val="22"/>
          <w:szCs w:val="22"/>
        </w:rPr>
        <w:t>given</w:t>
      </w:r>
      <w:r w:rsidRPr="00D1580C">
        <w:rPr>
          <w:rFonts w:cstheme="minorHAnsi"/>
          <w:color w:val="auto"/>
          <w:sz w:val="22"/>
          <w:szCs w:val="22"/>
        </w:rPr>
        <w:t xml:space="preserve"> their financial circumstances</w:t>
      </w:r>
      <w:r w:rsidR="001C5D69" w:rsidRPr="00D1580C">
        <w:rPr>
          <w:rFonts w:cstheme="minorHAnsi"/>
          <w:color w:val="auto"/>
          <w:sz w:val="22"/>
          <w:szCs w:val="22"/>
        </w:rPr>
        <w:t>;</w:t>
      </w:r>
    </w:p>
    <w:p w14:paraId="24788A09" w14:textId="3AA25DA1" w:rsidR="004A5061" w:rsidRPr="00D1580C" w:rsidRDefault="00715310" w:rsidP="00D1580C">
      <w:pPr>
        <w:pStyle w:val="Bullet"/>
        <w:tabs>
          <w:tab w:val="clear" w:pos="472"/>
          <w:tab w:val="num" w:pos="661"/>
        </w:tabs>
        <w:spacing w:before="120" w:after="120" w:line="240" w:lineRule="auto"/>
        <w:ind w:left="661" w:hanging="661"/>
        <w:rPr>
          <w:rFonts w:cstheme="minorHAnsi"/>
          <w:color w:val="auto"/>
          <w:sz w:val="22"/>
          <w:szCs w:val="22"/>
        </w:rPr>
      </w:pPr>
      <w:r w:rsidRPr="00D1580C">
        <w:rPr>
          <w:rFonts w:cstheme="minorHAnsi"/>
          <w:color w:val="auto"/>
          <w:sz w:val="22"/>
          <w:szCs w:val="22"/>
        </w:rPr>
        <w:t xml:space="preserve">High proportion of participants </w:t>
      </w:r>
      <w:r w:rsidR="00B12C4D" w:rsidRPr="00D1580C">
        <w:rPr>
          <w:rFonts w:cstheme="minorHAnsi"/>
          <w:color w:val="auto"/>
          <w:sz w:val="22"/>
          <w:szCs w:val="22"/>
        </w:rPr>
        <w:t xml:space="preserve">are </w:t>
      </w:r>
      <w:r w:rsidRPr="00D1580C">
        <w:rPr>
          <w:rFonts w:cstheme="minorHAnsi"/>
          <w:color w:val="auto"/>
          <w:sz w:val="22"/>
          <w:szCs w:val="22"/>
        </w:rPr>
        <w:t xml:space="preserve">in stable accommodation, either remaining in a </w:t>
      </w:r>
      <w:r w:rsidR="00B438A2">
        <w:rPr>
          <w:rFonts w:cstheme="minorHAnsi"/>
          <w:color w:val="auto"/>
          <w:sz w:val="22"/>
          <w:szCs w:val="22"/>
        </w:rPr>
        <w:t>scheme</w:t>
      </w:r>
      <w:r w:rsidRPr="00D1580C">
        <w:rPr>
          <w:rFonts w:cstheme="minorHAnsi"/>
          <w:color w:val="auto"/>
          <w:sz w:val="22"/>
          <w:szCs w:val="22"/>
        </w:rPr>
        <w:t xml:space="preserve"> property or transitioned to other stable accommodation</w:t>
      </w:r>
      <w:r w:rsidR="00F52594" w:rsidRPr="00D1580C">
        <w:rPr>
          <w:rFonts w:cstheme="minorHAnsi"/>
          <w:color w:val="auto"/>
          <w:sz w:val="22"/>
          <w:szCs w:val="22"/>
        </w:rPr>
        <w:t>;</w:t>
      </w:r>
      <w:r w:rsidRPr="00D1580C" w:rsidDel="00715310">
        <w:rPr>
          <w:rFonts w:cstheme="minorHAnsi"/>
          <w:color w:val="auto"/>
          <w:sz w:val="22"/>
          <w:szCs w:val="22"/>
        </w:rPr>
        <w:t xml:space="preserve"> </w:t>
      </w:r>
    </w:p>
    <w:p w14:paraId="1F94AC20" w14:textId="402CDAA9" w:rsidR="005A2306" w:rsidRPr="00D1580C" w:rsidRDefault="0034592A" w:rsidP="00D1580C">
      <w:pPr>
        <w:pStyle w:val="Bullet"/>
        <w:tabs>
          <w:tab w:val="clear" w:pos="472"/>
          <w:tab w:val="num" w:pos="661"/>
        </w:tabs>
        <w:spacing w:before="120" w:after="120" w:line="240" w:lineRule="auto"/>
        <w:ind w:left="661" w:hanging="661"/>
        <w:rPr>
          <w:rFonts w:cstheme="minorHAnsi"/>
          <w:color w:val="auto"/>
          <w:sz w:val="22"/>
          <w:szCs w:val="22"/>
        </w:rPr>
      </w:pPr>
      <w:r w:rsidRPr="00D1580C">
        <w:rPr>
          <w:rFonts w:cstheme="minorHAnsi"/>
          <w:color w:val="auto"/>
          <w:sz w:val="22"/>
          <w:szCs w:val="22"/>
        </w:rPr>
        <w:lastRenderedPageBreak/>
        <w:t xml:space="preserve">Homes purchased under the </w:t>
      </w:r>
      <w:r w:rsidR="00B438A2">
        <w:rPr>
          <w:rFonts w:cstheme="minorHAnsi"/>
          <w:color w:val="auto"/>
          <w:sz w:val="22"/>
          <w:szCs w:val="22"/>
        </w:rPr>
        <w:t>scheme</w:t>
      </w:r>
      <w:r w:rsidRPr="00D1580C">
        <w:rPr>
          <w:rFonts w:cstheme="minorHAnsi"/>
          <w:color w:val="auto"/>
          <w:sz w:val="22"/>
          <w:szCs w:val="22"/>
        </w:rPr>
        <w:t xml:space="preserve"> </w:t>
      </w:r>
      <w:r w:rsidR="00234E21" w:rsidRPr="00D1580C">
        <w:rPr>
          <w:rFonts w:cstheme="minorHAnsi"/>
          <w:color w:val="auto"/>
          <w:sz w:val="22"/>
          <w:szCs w:val="22"/>
        </w:rPr>
        <w:t>reflect a diverse range of housing types to account for varying community needs</w:t>
      </w:r>
      <w:r w:rsidR="00026492" w:rsidRPr="00D1580C">
        <w:rPr>
          <w:rFonts w:cstheme="minorHAnsi"/>
          <w:color w:val="auto"/>
          <w:sz w:val="22"/>
          <w:szCs w:val="22"/>
        </w:rPr>
        <w:t>;</w:t>
      </w:r>
    </w:p>
    <w:p w14:paraId="12257BC2" w14:textId="44BACE51" w:rsidR="00A74335" w:rsidRPr="00D1580C" w:rsidRDefault="033FE1E3" w:rsidP="00D1580C">
      <w:pPr>
        <w:pStyle w:val="Bullet"/>
        <w:tabs>
          <w:tab w:val="clear" w:pos="472"/>
          <w:tab w:val="num" w:pos="661"/>
        </w:tabs>
        <w:spacing w:before="120" w:after="120" w:line="240" w:lineRule="auto"/>
        <w:ind w:left="661" w:hanging="661"/>
        <w:rPr>
          <w:rFonts w:cstheme="minorHAnsi"/>
          <w:color w:val="auto"/>
          <w:sz w:val="22"/>
          <w:szCs w:val="22"/>
        </w:rPr>
      </w:pPr>
      <w:r w:rsidRPr="00D1580C">
        <w:rPr>
          <w:rFonts w:cstheme="minorHAnsi"/>
          <w:color w:val="auto"/>
          <w:sz w:val="22"/>
          <w:szCs w:val="22"/>
        </w:rPr>
        <w:t>The pro</w:t>
      </w:r>
      <w:r w:rsidR="00A74335" w:rsidRPr="00D1580C">
        <w:rPr>
          <w:rFonts w:cstheme="minorHAnsi"/>
          <w:color w:val="auto"/>
          <w:sz w:val="22"/>
          <w:szCs w:val="22"/>
        </w:rPr>
        <w:t xml:space="preserve">portion of </w:t>
      </w:r>
      <w:r w:rsidRPr="00D1580C">
        <w:rPr>
          <w:rFonts w:cstheme="minorHAnsi"/>
          <w:color w:val="auto"/>
          <w:sz w:val="22"/>
          <w:szCs w:val="22"/>
        </w:rPr>
        <w:t>houses</w:t>
      </w:r>
      <w:r w:rsidR="00A74335" w:rsidRPr="00D1580C">
        <w:rPr>
          <w:rFonts w:cstheme="minorHAnsi"/>
          <w:color w:val="auto"/>
          <w:sz w:val="22"/>
          <w:szCs w:val="22"/>
        </w:rPr>
        <w:t xml:space="preserve"> </w:t>
      </w:r>
      <w:r w:rsidR="00A306B4" w:rsidRPr="00D1580C">
        <w:rPr>
          <w:rFonts w:cstheme="minorHAnsi"/>
          <w:color w:val="auto"/>
          <w:sz w:val="22"/>
          <w:szCs w:val="22"/>
        </w:rPr>
        <w:t xml:space="preserve">that </w:t>
      </w:r>
      <w:r w:rsidR="00A74335" w:rsidRPr="00D1580C">
        <w:rPr>
          <w:rFonts w:cstheme="minorHAnsi"/>
          <w:color w:val="auto"/>
          <w:sz w:val="22"/>
          <w:szCs w:val="22"/>
        </w:rPr>
        <w:t>are new builds</w:t>
      </w:r>
      <w:r w:rsidR="2F9401E8" w:rsidRPr="00D1580C">
        <w:rPr>
          <w:rFonts w:cstheme="minorHAnsi"/>
          <w:color w:val="auto"/>
          <w:sz w:val="22"/>
          <w:szCs w:val="22"/>
        </w:rPr>
        <w:t xml:space="preserve">; and </w:t>
      </w:r>
    </w:p>
    <w:p w14:paraId="14DCF39B" w14:textId="4A1BBA57" w:rsidR="00641A3B" w:rsidRPr="00D1580C" w:rsidRDefault="004B3001" w:rsidP="00D1580C">
      <w:pPr>
        <w:pStyle w:val="Bullet"/>
        <w:tabs>
          <w:tab w:val="clear" w:pos="472"/>
          <w:tab w:val="num" w:pos="661"/>
        </w:tabs>
        <w:spacing w:before="120" w:after="120" w:line="240" w:lineRule="auto"/>
        <w:ind w:left="661" w:hanging="661"/>
        <w:rPr>
          <w:rFonts w:cstheme="minorHAnsi"/>
          <w:color w:val="auto"/>
          <w:sz w:val="22"/>
          <w:szCs w:val="22"/>
        </w:rPr>
      </w:pPr>
      <w:r w:rsidRPr="00D1580C">
        <w:rPr>
          <w:rFonts w:cstheme="minorHAnsi"/>
          <w:color w:val="auto"/>
          <w:sz w:val="22"/>
          <w:szCs w:val="22"/>
        </w:rPr>
        <w:t>T</w:t>
      </w:r>
      <w:r w:rsidR="2F9401E8" w:rsidRPr="00D1580C">
        <w:rPr>
          <w:rFonts w:cstheme="minorHAnsi"/>
          <w:color w:val="auto"/>
          <w:sz w:val="22"/>
          <w:szCs w:val="22"/>
        </w:rPr>
        <w:t>he</w:t>
      </w:r>
      <w:r w:rsidR="00A74335" w:rsidRPr="00D1580C">
        <w:rPr>
          <w:rFonts w:cstheme="minorHAnsi"/>
          <w:color w:val="auto"/>
          <w:sz w:val="22"/>
          <w:szCs w:val="22"/>
        </w:rPr>
        <w:t xml:space="preserve"> impact </w:t>
      </w:r>
      <w:r w:rsidR="07628C08" w:rsidRPr="00D1580C">
        <w:rPr>
          <w:rFonts w:cstheme="minorHAnsi"/>
          <w:color w:val="auto"/>
          <w:sz w:val="22"/>
          <w:szCs w:val="22"/>
        </w:rPr>
        <w:t xml:space="preserve">of the </w:t>
      </w:r>
      <w:r w:rsidR="00B438A2">
        <w:rPr>
          <w:rFonts w:cstheme="minorHAnsi"/>
          <w:color w:val="auto"/>
          <w:sz w:val="22"/>
          <w:szCs w:val="22"/>
        </w:rPr>
        <w:t>scheme</w:t>
      </w:r>
      <w:r w:rsidR="00A74335" w:rsidRPr="00D1580C">
        <w:rPr>
          <w:rFonts w:cstheme="minorHAnsi"/>
          <w:color w:val="auto"/>
          <w:sz w:val="22"/>
          <w:szCs w:val="22"/>
        </w:rPr>
        <w:t xml:space="preserve"> </w:t>
      </w:r>
      <w:r w:rsidR="00C91A22" w:rsidRPr="00D1580C">
        <w:rPr>
          <w:rFonts w:cstheme="minorHAnsi"/>
          <w:color w:val="auto"/>
          <w:sz w:val="22"/>
          <w:szCs w:val="22"/>
        </w:rPr>
        <w:t>on dwelling prices</w:t>
      </w:r>
      <w:r w:rsidR="00A74335" w:rsidRPr="00D1580C">
        <w:rPr>
          <w:rFonts w:cstheme="minorHAnsi"/>
          <w:color w:val="auto"/>
          <w:sz w:val="22"/>
          <w:szCs w:val="22"/>
        </w:rPr>
        <w:t>.</w:t>
      </w:r>
    </w:p>
    <w:p w14:paraId="65D38B39" w14:textId="3A5C9BEE" w:rsidR="00A62514" w:rsidRDefault="00BA39F4" w:rsidP="00A52C77">
      <w:r w:rsidRPr="005A2306">
        <w:rPr>
          <w:szCs w:val="22"/>
        </w:rPr>
        <w:t xml:space="preserve">The success of the </w:t>
      </w:r>
      <w:r w:rsidR="00B438A2">
        <w:rPr>
          <w:szCs w:val="22"/>
        </w:rPr>
        <w:t>Scheme</w:t>
      </w:r>
      <w:r w:rsidRPr="005A2306">
        <w:rPr>
          <w:szCs w:val="22"/>
        </w:rPr>
        <w:t xml:space="preserve"> will be assessed in relation to achievement of the primary objective,</w:t>
      </w:r>
      <w:r w:rsidRPr="005A2306">
        <w:t xml:space="preserve"> </w:t>
      </w:r>
      <w:r>
        <w:t xml:space="preserve">supported by consideration of </w:t>
      </w:r>
      <w:r w:rsidRPr="007D30C2">
        <w:t xml:space="preserve">these </w:t>
      </w:r>
      <w:r>
        <w:t>secondary measures</w:t>
      </w:r>
      <w:r w:rsidRPr="00D212C3">
        <w:t>.</w:t>
      </w:r>
      <w:r>
        <w:t xml:space="preserve"> </w:t>
      </w:r>
    </w:p>
    <w:p w14:paraId="294CABD8" w14:textId="77777777" w:rsidR="00007075" w:rsidRDefault="00007075" w:rsidP="00007075">
      <w:pPr>
        <w:pStyle w:val="Heading3"/>
      </w:pPr>
      <w:r>
        <w:t xml:space="preserve">Reporting Requirements </w:t>
      </w:r>
    </w:p>
    <w:p w14:paraId="7D69428D" w14:textId="1AD3BE35" w:rsidR="00007075" w:rsidRPr="006F6B33" w:rsidRDefault="00007075" w:rsidP="00007075">
      <w:r w:rsidRPr="006F6B33">
        <w:t xml:space="preserve">The </w:t>
      </w:r>
      <w:r w:rsidRPr="006F6B33">
        <w:rPr>
          <w:i/>
          <w:iCs/>
        </w:rPr>
        <w:t xml:space="preserve">Help to Buy </w:t>
      </w:r>
      <w:r w:rsidRPr="002413E4">
        <w:rPr>
          <w:i/>
          <w:iCs/>
        </w:rPr>
        <w:t>Act</w:t>
      </w:r>
      <w:r w:rsidRPr="006F6B33">
        <w:rPr>
          <w:i/>
          <w:iCs/>
        </w:rPr>
        <w:t xml:space="preserve"> 202</w:t>
      </w:r>
      <w:r>
        <w:rPr>
          <w:i/>
          <w:iCs/>
        </w:rPr>
        <w:t>4</w:t>
      </w:r>
      <w:r w:rsidRPr="006F6B33">
        <w:rPr>
          <w:i/>
          <w:iCs/>
        </w:rPr>
        <w:t xml:space="preserve"> </w:t>
      </w:r>
      <w:r>
        <w:t>requires</w:t>
      </w:r>
      <w:r w:rsidRPr="006F6B33">
        <w:t>:</w:t>
      </w:r>
    </w:p>
    <w:p w14:paraId="4A2B0732" w14:textId="77777777" w:rsidR="00007075" w:rsidRPr="002413E4" w:rsidRDefault="00007075" w:rsidP="00007075">
      <w:pPr>
        <w:rPr>
          <w:b/>
          <w:bCs/>
        </w:rPr>
      </w:pPr>
      <w:r w:rsidRPr="002413E4">
        <w:rPr>
          <w:b/>
          <w:bCs/>
        </w:rPr>
        <w:t>Section 44</w:t>
      </w:r>
    </w:p>
    <w:p w14:paraId="6FBFD943" w14:textId="77777777" w:rsidR="00007075" w:rsidRPr="006F6B33" w:rsidRDefault="00007075" w:rsidP="00007075">
      <w:pPr>
        <w:pStyle w:val="ListParagraph"/>
        <w:numPr>
          <w:ilvl w:val="0"/>
          <w:numId w:val="27"/>
        </w:numPr>
        <w:tabs>
          <w:tab w:val="left" w:pos="851"/>
        </w:tabs>
        <w:spacing w:after="0" w:line="240" w:lineRule="auto"/>
      </w:pPr>
      <w:r w:rsidRPr="006F6B33">
        <w:t xml:space="preserve">The annual report prepared by the Board and given to the Minister under section 46 of the </w:t>
      </w:r>
      <w:r w:rsidRPr="006F6B33">
        <w:rPr>
          <w:i/>
          <w:iCs/>
        </w:rPr>
        <w:t xml:space="preserve">Public Governance, Performance and Accountability At 2013 </w:t>
      </w:r>
      <w:r w:rsidRPr="002413E4">
        <w:t>for a peri</w:t>
      </w:r>
      <w:r w:rsidRPr="006F6B33">
        <w:t>od of time must include particulars of:</w:t>
      </w:r>
    </w:p>
    <w:p w14:paraId="2DFEBFD9" w14:textId="77777777" w:rsidR="00007075" w:rsidRPr="006F6B33" w:rsidRDefault="00007075" w:rsidP="00007075">
      <w:pPr>
        <w:pStyle w:val="ListParagraph"/>
        <w:numPr>
          <w:ilvl w:val="1"/>
          <w:numId w:val="27"/>
        </w:numPr>
        <w:tabs>
          <w:tab w:val="left" w:pos="851"/>
        </w:tabs>
        <w:spacing w:after="0" w:line="240" w:lineRule="auto"/>
      </w:pPr>
      <w:r w:rsidRPr="006F6B33">
        <w:t>Any changes to the Help to Buy Program Directions during the period; and</w:t>
      </w:r>
    </w:p>
    <w:p w14:paraId="2112BFE0" w14:textId="77777777" w:rsidR="00007075" w:rsidRPr="006F6B33" w:rsidRDefault="00007075" w:rsidP="00007075">
      <w:pPr>
        <w:pStyle w:val="ListParagraph"/>
        <w:numPr>
          <w:ilvl w:val="1"/>
          <w:numId w:val="27"/>
        </w:numPr>
        <w:tabs>
          <w:tab w:val="left" w:pos="851"/>
        </w:tabs>
        <w:spacing w:after="0" w:line="240" w:lineRule="auto"/>
      </w:pPr>
      <w:r w:rsidRPr="006F6B33">
        <w:t>The impact of the changes on the operation of Housing Australia</w:t>
      </w:r>
    </w:p>
    <w:p w14:paraId="6757B842" w14:textId="77777777" w:rsidR="00007075" w:rsidRPr="006F6B33" w:rsidRDefault="00007075" w:rsidP="00007075">
      <w:pPr>
        <w:rPr>
          <w:b/>
          <w:bCs/>
        </w:rPr>
      </w:pPr>
      <w:r w:rsidRPr="006F6B33">
        <w:rPr>
          <w:b/>
          <w:bCs/>
        </w:rPr>
        <w:t>Section 45</w:t>
      </w:r>
    </w:p>
    <w:p w14:paraId="2B44AB8C" w14:textId="4834BF69" w:rsidR="00007075" w:rsidRPr="006F6B33" w:rsidRDefault="00007075" w:rsidP="00007075">
      <w:pPr>
        <w:pStyle w:val="ListParagraph"/>
        <w:numPr>
          <w:ilvl w:val="0"/>
          <w:numId w:val="28"/>
        </w:numPr>
        <w:tabs>
          <w:tab w:val="left" w:pos="851"/>
        </w:tabs>
        <w:spacing w:after="0" w:line="240" w:lineRule="auto"/>
      </w:pPr>
      <w:r w:rsidRPr="006F6B33">
        <w:t>The Minister must cause a review of the operation of the Help to Buy program to be undertaken as soon as possible after the end of 3 years after the commencement of this Part.</w:t>
      </w:r>
    </w:p>
    <w:p w14:paraId="0475DF19" w14:textId="77777777" w:rsidR="00007075" w:rsidRPr="006F6B33" w:rsidRDefault="00007075" w:rsidP="00007075">
      <w:pPr>
        <w:pStyle w:val="ListParagraph"/>
        <w:numPr>
          <w:ilvl w:val="0"/>
          <w:numId w:val="28"/>
        </w:numPr>
        <w:tabs>
          <w:tab w:val="left" w:pos="851"/>
        </w:tabs>
        <w:spacing w:after="0" w:line="240" w:lineRule="auto"/>
      </w:pPr>
      <w:r w:rsidRPr="006F6B33">
        <w:t>The persons undertaking the review must give the Minister a written report of the review. The report must not include:</w:t>
      </w:r>
    </w:p>
    <w:p w14:paraId="38FC6F44" w14:textId="77777777" w:rsidR="00007075" w:rsidRPr="006F6B33" w:rsidRDefault="00007075" w:rsidP="00007075">
      <w:pPr>
        <w:pStyle w:val="ListParagraph"/>
        <w:numPr>
          <w:ilvl w:val="1"/>
          <w:numId w:val="28"/>
        </w:numPr>
        <w:tabs>
          <w:tab w:val="left" w:pos="851"/>
        </w:tabs>
        <w:spacing w:after="0" w:line="240" w:lineRule="auto"/>
      </w:pPr>
      <w:r w:rsidRPr="006F6B33">
        <w:t>personal information (within the meaning of the Privacy Act 26 1988); or</w:t>
      </w:r>
    </w:p>
    <w:p w14:paraId="47454B7C" w14:textId="77777777" w:rsidR="00007075" w:rsidRPr="006F6B33" w:rsidRDefault="00007075" w:rsidP="00007075">
      <w:pPr>
        <w:pStyle w:val="ListParagraph"/>
        <w:numPr>
          <w:ilvl w:val="1"/>
          <w:numId w:val="28"/>
        </w:numPr>
        <w:tabs>
          <w:tab w:val="left" w:pos="851"/>
        </w:tabs>
        <w:spacing w:after="0" w:line="240" w:lineRule="auto"/>
      </w:pPr>
      <w:r w:rsidRPr="006F6B33">
        <w:t>information that is commercially sensitive.</w:t>
      </w:r>
    </w:p>
    <w:p w14:paraId="486DAE56" w14:textId="77777777" w:rsidR="00007075" w:rsidRPr="006F6B33" w:rsidRDefault="00007075" w:rsidP="00007075">
      <w:pPr>
        <w:pStyle w:val="ListParagraph"/>
        <w:numPr>
          <w:ilvl w:val="0"/>
          <w:numId w:val="28"/>
        </w:numPr>
        <w:tabs>
          <w:tab w:val="left" w:pos="851"/>
        </w:tabs>
        <w:spacing w:after="0" w:line="240" w:lineRule="auto"/>
      </w:pPr>
      <w:r w:rsidRPr="006F6B33">
        <w:t>The Minister must cause a copy of the report of the review to be tabled in each House of the Parliament within 15 sitting days of that House after the report is given to the Minister.</w:t>
      </w:r>
    </w:p>
    <w:p w14:paraId="32C5EE5D" w14:textId="77777777" w:rsidR="00007075" w:rsidRPr="006F6B33" w:rsidRDefault="00007075" w:rsidP="00007075"/>
    <w:p w14:paraId="6E562672" w14:textId="77777777" w:rsidR="00007075" w:rsidRDefault="00007075" w:rsidP="00007075">
      <w:pPr>
        <w:pStyle w:val="Bullet"/>
        <w:numPr>
          <w:ilvl w:val="0"/>
          <w:numId w:val="0"/>
        </w:numPr>
        <w:ind w:left="661" w:hanging="661"/>
        <w:rPr>
          <w:rFonts w:cstheme="minorHAnsi"/>
          <w:color w:val="auto"/>
          <w:sz w:val="22"/>
          <w:szCs w:val="22"/>
        </w:rPr>
      </w:pPr>
      <w:r>
        <w:rPr>
          <w:rFonts w:cstheme="minorHAnsi"/>
          <w:color w:val="auto"/>
          <w:sz w:val="22"/>
          <w:szCs w:val="22"/>
        </w:rPr>
        <w:t xml:space="preserve">Similarly, the </w:t>
      </w:r>
      <w:r>
        <w:rPr>
          <w:rFonts w:cstheme="minorHAnsi"/>
          <w:i/>
          <w:iCs/>
          <w:color w:val="auto"/>
          <w:sz w:val="22"/>
          <w:szCs w:val="22"/>
        </w:rPr>
        <w:t xml:space="preserve">Housing Australia Act 2018 </w:t>
      </w:r>
      <w:r>
        <w:rPr>
          <w:rFonts w:cstheme="minorHAnsi"/>
          <w:color w:val="auto"/>
          <w:sz w:val="22"/>
          <w:szCs w:val="22"/>
        </w:rPr>
        <w:t>includes the following reporting requirements:</w:t>
      </w:r>
    </w:p>
    <w:p w14:paraId="7A0DDA3F" w14:textId="77777777" w:rsidR="00007075" w:rsidRPr="006F6B33" w:rsidRDefault="00007075" w:rsidP="00007075">
      <w:pPr>
        <w:rPr>
          <w:b/>
          <w:bCs/>
        </w:rPr>
      </w:pPr>
      <w:r w:rsidRPr="006F6B33">
        <w:rPr>
          <w:b/>
          <w:bCs/>
        </w:rPr>
        <w:t xml:space="preserve">Section </w:t>
      </w:r>
      <w:r>
        <w:rPr>
          <w:b/>
          <w:bCs/>
        </w:rPr>
        <w:t>57A</w:t>
      </w:r>
    </w:p>
    <w:p w14:paraId="007AA664" w14:textId="77777777" w:rsidR="00007075" w:rsidRDefault="00007075" w:rsidP="00007075">
      <w:pPr>
        <w:pStyle w:val="Bullet"/>
        <w:numPr>
          <w:ilvl w:val="0"/>
          <w:numId w:val="29"/>
        </w:numPr>
        <w:spacing w:before="120" w:after="120" w:line="240" w:lineRule="auto"/>
        <w:rPr>
          <w:rFonts w:cstheme="minorHAnsi"/>
          <w:color w:val="auto"/>
          <w:sz w:val="22"/>
          <w:szCs w:val="22"/>
        </w:rPr>
      </w:pPr>
      <w:r w:rsidRPr="00B15F1E">
        <w:rPr>
          <w:rFonts w:ascii="Arial" w:hAnsi="Arial"/>
          <w:color w:val="auto"/>
          <w:sz w:val="22"/>
          <w:szCs w:val="22"/>
        </w:rPr>
        <w:t xml:space="preserve">The Minister must cause a review of Housing Australia’s activities assisting additional first home buyers to enter the housing market to be commenced within 3 months after the end of </w:t>
      </w:r>
    </w:p>
    <w:p w14:paraId="7C4DF569" w14:textId="77777777" w:rsidR="00007075" w:rsidRDefault="00007075" w:rsidP="00007075">
      <w:pPr>
        <w:pStyle w:val="Bullet"/>
        <w:numPr>
          <w:ilvl w:val="1"/>
          <w:numId w:val="29"/>
        </w:numPr>
        <w:spacing w:before="120" w:after="120" w:line="240" w:lineRule="auto"/>
        <w:rPr>
          <w:rFonts w:cstheme="minorHAnsi"/>
          <w:color w:val="auto"/>
          <w:sz w:val="22"/>
          <w:szCs w:val="22"/>
        </w:rPr>
      </w:pPr>
      <w:r w:rsidRPr="00E24C44">
        <w:rPr>
          <w:rFonts w:ascii="Arial" w:hAnsi="Arial"/>
          <w:color w:val="auto"/>
          <w:sz w:val="22"/>
          <w:szCs w:val="22"/>
        </w:rPr>
        <w:t xml:space="preserve">the period beginning on the date when the first guarantee is issued by the NHFIC and ending 12 months after that date; and </w:t>
      </w:r>
    </w:p>
    <w:p w14:paraId="55CCA7FE" w14:textId="77777777" w:rsidR="00007075" w:rsidRPr="00E24C44" w:rsidRDefault="00007075" w:rsidP="00007075">
      <w:pPr>
        <w:pStyle w:val="Bullet"/>
        <w:numPr>
          <w:ilvl w:val="1"/>
          <w:numId w:val="29"/>
        </w:numPr>
        <w:spacing w:before="120" w:after="120" w:line="240" w:lineRule="auto"/>
        <w:rPr>
          <w:rFonts w:cstheme="minorHAnsi"/>
          <w:color w:val="auto"/>
          <w:sz w:val="22"/>
          <w:szCs w:val="22"/>
        </w:rPr>
      </w:pPr>
      <w:r w:rsidRPr="00E24C44">
        <w:rPr>
          <w:rFonts w:ascii="Arial" w:hAnsi="Arial"/>
          <w:color w:val="auto"/>
          <w:sz w:val="22"/>
          <w:szCs w:val="22"/>
        </w:rPr>
        <w:t xml:space="preserve">each subsequent 12 month period. </w:t>
      </w:r>
    </w:p>
    <w:p w14:paraId="2755A167" w14:textId="77777777" w:rsidR="00007075" w:rsidRPr="00E24C44" w:rsidRDefault="00007075" w:rsidP="00007075">
      <w:pPr>
        <w:pStyle w:val="Bullet"/>
        <w:numPr>
          <w:ilvl w:val="0"/>
          <w:numId w:val="29"/>
        </w:numPr>
        <w:spacing w:before="120" w:after="120" w:line="240" w:lineRule="auto"/>
        <w:rPr>
          <w:rFonts w:cstheme="minorHAnsi"/>
          <w:color w:val="auto"/>
          <w:sz w:val="22"/>
          <w:szCs w:val="22"/>
        </w:rPr>
      </w:pPr>
      <w:r w:rsidRPr="00E24C44">
        <w:rPr>
          <w:rFonts w:ascii="Arial" w:hAnsi="Arial"/>
          <w:color w:val="auto"/>
          <w:sz w:val="22"/>
          <w:szCs w:val="22"/>
        </w:rPr>
        <w:t>The persons undertaking the review must give the Minister a written report of the review within 3 months of the commencement of the review</w:t>
      </w:r>
      <w:r>
        <w:rPr>
          <w:rFonts w:ascii="Arial" w:hAnsi="Arial"/>
          <w:color w:val="auto"/>
          <w:sz w:val="22"/>
          <w:szCs w:val="22"/>
        </w:rPr>
        <w:t>.</w:t>
      </w:r>
    </w:p>
    <w:p w14:paraId="1B1DB600" w14:textId="77777777" w:rsidR="00007075" w:rsidRPr="00E24C44" w:rsidRDefault="00007075" w:rsidP="00007075">
      <w:pPr>
        <w:pStyle w:val="Bullet"/>
        <w:numPr>
          <w:ilvl w:val="0"/>
          <w:numId w:val="29"/>
        </w:numPr>
        <w:spacing w:before="120" w:after="120" w:line="240" w:lineRule="auto"/>
        <w:rPr>
          <w:rFonts w:cstheme="minorHAnsi"/>
          <w:color w:val="auto"/>
          <w:sz w:val="22"/>
          <w:szCs w:val="22"/>
        </w:rPr>
      </w:pPr>
      <w:r w:rsidRPr="00E24C44">
        <w:rPr>
          <w:rFonts w:ascii="Arial" w:hAnsi="Arial"/>
          <w:color w:val="auto"/>
          <w:sz w:val="22"/>
          <w:szCs w:val="22"/>
        </w:rPr>
        <w:t>The Minister must cause a copy of the report to be tabled in each House of the Parliament within 15 sitting days of that House after the report is given to the Minister.</w:t>
      </w:r>
    </w:p>
    <w:p w14:paraId="5DDBDFB6" w14:textId="77777777" w:rsidR="00007075" w:rsidRPr="002413E4" w:rsidRDefault="00007075" w:rsidP="00007075">
      <w:pPr>
        <w:pStyle w:val="Bullet"/>
        <w:numPr>
          <w:ilvl w:val="0"/>
          <w:numId w:val="0"/>
        </w:numPr>
        <w:rPr>
          <w:rFonts w:cstheme="minorHAnsi"/>
          <w:b/>
          <w:bCs/>
          <w:color w:val="auto"/>
          <w:sz w:val="22"/>
          <w:szCs w:val="22"/>
        </w:rPr>
      </w:pPr>
      <w:r w:rsidRPr="002413E4">
        <w:rPr>
          <w:rFonts w:cstheme="minorHAnsi"/>
          <w:b/>
          <w:bCs/>
          <w:color w:val="auto"/>
          <w:sz w:val="22"/>
          <w:szCs w:val="22"/>
        </w:rPr>
        <w:lastRenderedPageBreak/>
        <w:t>Help to Buy Intergovernmental Agreement</w:t>
      </w:r>
    </w:p>
    <w:p w14:paraId="57222E6B" w14:textId="77777777" w:rsidR="00007075" w:rsidRPr="006F6B33" w:rsidRDefault="00007075" w:rsidP="00007075">
      <w:pPr>
        <w:pStyle w:val="Bullet"/>
        <w:numPr>
          <w:ilvl w:val="0"/>
          <w:numId w:val="0"/>
        </w:numPr>
        <w:rPr>
          <w:rFonts w:cstheme="minorHAnsi"/>
          <w:color w:val="auto"/>
          <w:sz w:val="22"/>
          <w:szCs w:val="22"/>
        </w:rPr>
      </w:pPr>
      <w:r>
        <w:rPr>
          <w:rFonts w:cstheme="minorHAnsi"/>
          <w:color w:val="auto"/>
          <w:sz w:val="22"/>
          <w:szCs w:val="22"/>
        </w:rPr>
        <w:t>T</w:t>
      </w:r>
      <w:r w:rsidRPr="006F6B33">
        <w:rPr>
          <w:rFonts w:cstheme="minorHAnsi"/>
          <w:color w:val="auto"/>
          <w:sz w:val="22"/>
          <w:szCs w:val="22"/>
        </w:rPr>
        <w:t>he Help to Buy Intergovernmental Agreement requires that Housing Australia report on:</w:t>
      </w:r>
    </w:p>
    <w:p w14:paraId="555BAEE3" w14:textId="77777777" w:rsidR="00007075" w:rsidRPr="002413E4" w:rsidRDefault="00007075" w:rsidP="00007075">
      <w:pPr>
        <w:pStyle w:val="BulletedList-Level1"/>
        <w:rPr>
          <w:rFonts w:cstheme="minorHAnsi"/>
          <w:sz w:val="18"/>
          <w:szCs w:val="18"/>
        </w:rPr>
      </w:pPr>
      <w:r w:rsidRPr="006F6B33">
        <w:t>the number of new participants in each 12-month period</w:t>
      </w:r>
    </w:p>
    <w:p w14:paraId="39512982" w14:textId="77777777" w:rsidR="00007075" w:rsidRPr="006F6B33" w:rsidRDefault="00007075" w:rsidP="00007075">
      <w:pPr>
        <w:pStyle w:val="BulletedList-Level1"/>
        <w:rPr>
          <w:rFonts w:cstheme="minorHAnsi"/>
          <w:szCs w:val="22"/>
        </w:rPr>
      </w:pPr>
      <w:r w:rsidRPr="002413E4">
        <w:t>basic demographic data for those new participants (including age, gender, median income and number of Aboriginal/Torres Strait Islander participants);</w:t>
      </w:r>
    </w:p>
    <w:p w14:paraId="79B24168" w14:textId="77777777" w:rsidR="00007075" w:rsidRPr="006F6B33" w:rsidRDefault="00007075" w:rsidP="00007075">
      <w:pPr>
        <w:pStyle w:val="BulletedList-Level1"/>
        <w:rPr>
          <w:rFonts w:cstheme="minorHAnsi"/>
          <w:szCs w:val="22"/>
        </w:rPr>
      </w:pPr>
      <w:r w:rsidRPr="006F6B33">
        <w:t xml:space="preserve">median shared equity </w:t>
      </w:r>
      <w:r w:rsidRPr="006F6B33">
        <w:rPr>
          <w:rFonts w:cstheme="minorHAnsi"/>
          <w:szCs w:val="22"/>
        </w:rPr>
        <w:t>contribution and median purchase price</w:t>
      </w:r>
    </w:p>
    <w:p w14:paraId="30A32391" w14:textId="04D409E4" w:rsidR="00007075" w:rsidRPr="00AD1691" w:rsidRDefault="00007075" w:rsidP="00007075">
      <w:pPr>
        <w:pStyle w:val="BulletedList-Level1"/>
        <w:rPr>
          <w:rFonts w:cstheme="minorHAnsi"/>
          <w:szCs w:val="22"/>
        </w:rPr>
      </w:pPr>
      <w:r w:rsidRPr="006F6B33">
        <w:t xml:space="preserve">number of discharges of the Commonwealth equity investment (Help to Buy </w:t>
      </w:r>
      <w:r w:rsidR="00B438A2">
        <w:t>scheme</w:t>
      </w:r>
      <w:r w:rsidRPr="006F6B33">
        <w:t xml:space="preserve"> exits) during each 12-month period;</w:t>
      </w:r>
      <w:r w:rsidRPr="00007075">
        <w:rPr>
          <w:rFonts w:eastAsiaTheme="majorEastAsia"/>
        </w:rPr>
        <w:t xml:space="preserve"> </w:t>
      </w:r>
    </w:p>
    <w:p w14:paraId="4684232C" w14:textId="1BB60323" w:rsidR="00007075" w:rsidRPr="00AD1691" w:rsidRDefault="00007075" w:rsidP="00007075">
      <w:pPr>
        <w:pStyle w:val="BulletedList-Level1"/>
        <w:rPr>
          <w:rFonts w:cstheme="minorHAnsi"/>
          <w:szCs w:val="22"/>
        </w:rPr>
      </w:pPr>
      <w:r w:rsidRPr="002413E4">
        <w:rPr>
          <w:rFonts w:eastAsiaTheme="majorEastAsia"/>
        </w:rPr>
        <w:t xml:space="preserve">key trends and insights, including location of participants (with a split between metropolitan </w:t>
      </w:r>
      <w:r w:rsidRPr="00AD1691">
        <w:rPr>
          <w:rFonts w:eastAsiaTheme="majorEastAsia"/>
        </w:rPr>
        <w:t>and regional</w:t>
      </w:r>
    </w:p>
    <w:p w14:paraId="642E1775" w14:textId="37E35810" w:rsidR="004C713A" w:rsidRPr="00AD1691" w:rsidRDefault="00A62514" w:rsidP="00AD1691">
      <w:pPr>
        <w:pStyle w:val="Heading3"/>
        <w:rPr>
          <w:szCs w:val="22"/>
        </w:rPr>
      </w:pPr>
      <w:r w:rsidRPr="00AD1691">
        <w:t>Monitoring</w:t>
      </w:r>
    </w:p>
    <w:p w14:paraId="3A8E1E63" w14:textId="7C38F8BF" w:rsidR="004C713A" w:rsidRPr="00AD1691" w:rsidRDefault="004C713A" w:rsidP="004C713A">
      <w:r w:rsidRPr="00AD1691">
        <w:t xml:space="preserve">As the agency responsible for the delivery of Help to Buy, Housing Australia will collect data to support monitoring of the </w:t>
      </w:r>
      <w:r w:rsidR="00B438A2">
        <w:t>scheme</w:t>
      </w:r>
      <w:r w:rsidRPr="00AD1691">
        <w:t>. Housing Australia and Treasury will develop ongoing data sharing process</w:t>
      </w:r>
      <w:r w:rsidR="00EE20D1" w:rsidRPr="00AD1691">
        <w:t>es</w:t>
      </w:r>
      <w:r w:rsidRPr="00AD1691">
        <w:t xml:space="preserve"> to facilitate effective monitoring practices.</w:t>
      </w:r>
    </w:p>
    <w:p w14:paraId="7930865E" w14:textId="255C9600" w:rsidR="004C713A" w:rsidRPr="00AD1691" w:rsidRDefault="004C713A" w:rsidP="004C713A">
      <w:r w:rsidRPr="00AD1691">
        <w:t xml:space="preserve">In addition to Housing Australia’s internal monitoring practices, Treasury will monitor Housing Australia’s data on an ongoing basis. Treasury’s monitoring </w:t>
      </w:r>
      <w:r w:rsidR="00BD7A1D" w:rsidRPr="00AD1691">
        <w:t>approach</w:t>
      </w:r>
      <w:r w:rsidRPr="00AD1691">
        <w:t xml:space="preserve"> can be divided into 3 main categories – uptake, trends and risks. Treasury’s focus </w:t>
      </w:r>
      <w:r w:rsidR="0011068F" w:rsidRPr="00AD1691">
        <w:t>will be</w:t>
      </w:r>
      <w:r w:rsidRPr="00AD1691">
        <w:t xml:space="preserve"> on ensuring</w:t>
      </w:r>
      <w:r w:rsidR="0011068F" w:rsidRPr="00AD1691">
        <w:t>;</w:t>
      </w:r>
      <w:r w:rsidRPr="00AD1691">
        <w:t xml:space="preserve"> that the program meets its objectives</w:t>
      </w:r>
      <w:r w:rsidR="0011068F" w:rsidRPr="00AD1691">
        <w:t xml:space="preserve">; </w:t>
      </w:r>
      <w:r w:rsidRPr="00AD1691">
        <w:t>the settings in the program remain fit for purpose</w:t>
      </w:r>
      <w:r w:rsidR="0011068F" w:rsidRPr="00AD1691">
        <w:t>, and; the program</w:t>
      </w:r>
      <w:r w:rsidRPr="00AD1691">
        <w:t xml:space="preserve"> does not expose the Commonwealth </w:t>
      </w:r>
      <w:r w:rsidR="00F33C72" w:rsidRPr="00AD1691">
        <w:t xml:space="preserve">or participants </w:t>
      </w:r>
      <w:r w:rsidRPr="00AD1691">
        <w:t xml:space="preserve">to undue risk. </w:t>
      </w:r>
    </w:p>
    <w:p w14:paraId="05E0FD60" w14:textId="3764A0F2" w:rsidR="00462FB4" w:rsidRPr="00AD1691" w:rsidRDefault="004C713A" w:rsidP="00462FB4">
      <w:pPr>
        <w:pStyle w:val="BulletedList-Level1"/>
      </w:pPr>
      <w:r w:rsidRPr="00AD1691">
        <w:rPr>
          <w:b/>
          <w:bCs/>
        </w:rPr>
        <w:t>Uptake:</w:t>
      </w:r>
      <w:r w:rsidRPr="00AD1691">
        <w:t xml:space="preserve"> Uptake data may provide insight into whether the program has sufficient market </w:t>
      </w:r>
      <w:r w:rsidR="00917254" w:rsidRPr="00AD1691">
        <w:t>coverage</w:t>
      </w:r>
      <w:r w:rsidRPr="00AD1691">
        <w:t xml:space="preserve"> to support the number of places the Government wishes to support and</w:t>
      </w:r>
      <w:r w:rsidRPr="00AD1691">
        <w:rPr>
          <w:szCs w:val="22"/>
        </w:rPr>
        <w:t xml:space="preserve"> may provide an early indicator of potential issues with </w:t>
      </w:r>
      <w:r w:rsidR="00917254" w:rsidRPr="00AD1691">
        <w:rPr>
          <w:szCs w:val="22"/>
        </w:rPr>
        <w:t>program settings.</w:t>
      </w:r>
      <w:r w:rsidRPr="00AD1691">
        <w:rPr>
          <w:szCs w:val="22"/>
        </w:rPr>
        <w:t xml:space="preserve"> </w:t>
      </w:r>
      <w:r w:rsidR="00C37951" w:rsidRPr="00AD1691">
        <w:t>An example may be demographic analysis related to</w:t>
      </w:r>
      <w:r w:rsidR="000C06C5" w:rsidRPr="00AD1691">
        <w:t xml:space="preserve"> cohorts, such as single parents, mature aged women, key workers such as teachers, nurses and social workers, First Nations Australians, long-term renters</w:t>
      </w:r>
      <w:r w:rsidR="002A22C2" w:rsidRPr="00AD1691">
        <w:t>, and regional Australians more broadly,</w:t>
      </w:r>
      <w:r w:rsidR="000C06C5" w:rsidRPr="00AD1691">
        <w:t xml:space="preserve"> may also be monitored.</w:t>
      </w:r>
    </w:p>
    <w:p w14:paraId="3E3F949F" w14:textId="7276B263" w:rsidR="00641A3B" w:rsidRPr="00AD1691" w:rsidRDefault="004C713A" w:rsidP="00AD1691">
      <w:pPr>
        <w:pStyle w:val="BulletedList-Level1"/>
        <w:rPr>
          <w:szCs w:val="22"/>
        </w:rPr>
      </w:pPr>
      <w:r w:rsidRPr="00AD1691">
        <w:rPr>
          <w:b/>
          <w:bCs/>
        </w:rPr>
        <w:t>Trends:</w:t>
      </w:r>
      <w:r w:rsidRPr="00AD1691">
        <w:t xml:space="preserve"> Trends data, such as purchase price distributions or purchases by states, may be useful as an early indicator of </w:t>
      </w:r>
      <w:r w:rsidR="00C122AF" w:rsidRPr="00AD1691">
        <w:t>program</w:t>
      </w:r>
      <w:r w:rsidRPr="00AD1691">
        <w:t xml:space="preserve"> impacts, including by income, geography</w:t>
      </w:r>
      <w:r w:rsidR="00462FB4" w:rsidRPr="00AD1691">
        <w:t xml:space="preserve"> and</w:t>
      </w:r>
      <w:r w:rsidRPr="00AD1691">
        <w:t xml:space="preserve"> age.</w:t>
      </w:r>
      <w:r w:rsidR="00462FB4" w:rsidRPr="00AD1691">
        <w:t xml:space="preserve"> </w:t>
      </w:r>
    </w:p>
    <w:p w14:paraId="265F2188" w14:textId="05004E6E" w:rsidR="004C713A" w:rsidRPr="00AD1691" w:rsidRDefault="004C713A" w:rsidP="00AD1691">
      <w:pPr>
        <w:pStyle w:val="BulletedList-Level1"/>
        <w:rPr>
          <w:b/>
        </w:rPr>
      </w:pPr>
      <w:r w:rsidRPr="00AD1691">
        <w:rPr>
          <w:b/>
        </w:rPr>
        <w:t>Risks:</w:t>
      </w:r>
      <w:r w:rsidRPr="00AD1691">
        <w:t xml:space="preserve"> </w:t>
      </w:r>
      <w:r w:rsidR="00744963" w:rsidRPr="00AD1691">
        <w:t>D</w:t>
      </w:r>
      <w:r w:rsidRPr="00AD1691">
        <w:t>ata such as defaults and hardship rate</w:t>
      </w:r>
      <w:r w:rsidR="00C70383" w:rsidRPr="00AD1691">
        <w:t xml:space="preserve"> and compliance events may</w:t>
      </w:r>
      <w:r w:rsidRPr="00AD1691">
        <w:t xml:space="preserve"> be used to identify </w:t>
      </w:r>
      <w:r w:rsidR="01666AB0" w:rsidRPr="00AD1691">
        <w:t xml:space="preserve">emerging </w:t>
      </w:r>
      <w:r w:rsidRPr="00AD1691">
        <w:t>risks.</w:t>
      </w:r>
    </w:p>
    <w:p w14:paraId="4FCD39AA" w14:textId="75B6B380" w:rsidR="00F42BDC" w:rsidRDefault="005D64EF" w:rsidP="00AD1691">
      <w:pPr>
        <w:pStyle w:val="Heading3"/>
      </w:pPr>
      <w:bookmarkStart w:id="13" w:name="_Hlk196306139"/>
      <w:r w:rsidRPr="00A62514">
        <w:t xml:space="preserve">Evaluation </w:t>
      </w:r>
    </w:p>
    <w:p w14:paraId="04548041" w14:textId="461CDBEB" w:rsidR="000466A4" w:rsidRDefault="009A4D24" w:rsidP="008E5B26">
      <w:pPr>
        <w:spacing w:after="0"/>
      </w:pPr>
      <w:r>
        <w:t>As described above, various legislative instruments requir</w:t>
      </w:r>
      <w:r w:rsidR="001D3B3C">
        <w:t>e</w:t>
      </w:r>
      <w:r>
        <w:t xml:space="preserve"> annual reviews</w:t>
      </w:r>
      <w:r w:rsidR="001D3B3C">
        <w:t xml:space="preserve"> of </w:t>
      </w:r>
      <w:r w:rsidR="000C06C5">
        <w:t xml:space="preserve">the </w:t>
      </w:r>
      <w:r w:rsidR="001D3B3C">
        <w:t>Help to Buy</w:t>
      </w:r>
      <w:r w:rsidR="000C06C5">
        <w:t xml:space="preserve"> </w:t>
      </w:r>
      <w:r w:rsidR="00B438A2">
        <w:t>scheme</w:t>
      </w:r>
      <w:r>
        <w:t xml:space="preserve">, </w:t>
      </w:r>
      <w:r w:rsidR="001D3B3C">
        <w:t>with an</w:t>
      </w:r>
      <w:r w:rsidR="00DE7E86">
        <w:t xml:space="preserve"> additional requirement </w:t>
      </w:r>
      <w:r w:rsidR="007F07C1">
        <w:t xml:space="preserve">under </w:t>
      </w:r>
      <w:r w:rsidR="00DE7E86">
        <w:t>the</w:t>
      </w:r>
      <w:r w:rsidR="007F07C1" w:rsidRPr="007F07C1">
        <w:t xml:space="preserve"> </w:t>
      </w:r>
      <w:r w:rsidR="007F07C1" w:rsidRPr="00AD1691">
        <w:rPr>
          <w:i/>
          <w:iCs/>
        </w:rPr>
        <w:t>Help to Buy Act 2024</w:t>
      </w:r>
      <w:r w:rsidR="00DE7E86">
        <w:t xml:space="preserve"> for a three-year</w:t>
      </w:r>
      <w:r>
        <w:t xml:space="preserve"> review </w:t>
      </w:r>
      <w:r w:rsidR="0008510B">
        <w:t>into</w:t>
      </w:r>
      <w:r>
        <w:t xml:space="preserve"> the </w:t>
      </w:r>
      <w:r w:rsidR="00C14EF0">
        <w:t xml:space="preserve">operation of the </w:t>
      </w:r>
      <w:r w:rsidR="00B438A2">
        <w:t>scheme</w:t>
      </w:r>
      <w:r>
        <w:t>.</w:t>
      </w:r>
      <w:r w:rsidR="00DE7E86">
        <w:t xml:space="preserve"> </w:t>
      </w:r>
      <w:r>
        <w:t xml:space="preserve">The annual report </w:t>
      </w:r>
      <w:r w:rsidR="003F4630">
        <w:t>legislative</w:t>
      </w:r>
      <w:r>
        <w:t xml:space="preserve"> </w:t>
      </w:r>
      <w:r w:rsidR="00DE7E86">
        <w:t>requirements</w:t>
      </w:r>
      <w:r>
        <w:t xml:space="preserve"> </w:t>
      </w:r>
      <w:r w:rsidR="0008510B">
        <w:t>are likely to be met by</w:t>
      </w:r>
      <w:r>
        <w:t xml:space="preserve"> one annual report</w:t>
      </w:r>
      <w:r w:rsidR="00C14EF0">
        <w:t xml:space="preserve">, however multiple reports may be </w:t>
      </w:r>
      <w:r w:rsidR="00353255">
        <w:t>commissioned instead.</w:t>
      </w:r>
    </w:p>
    <w:p w14:paraId="26F0DC45" w14:textId="77777777" w:rsidR="000466A4" w:rsidRDefault="000466A4" w:rsidP="008E5B26">
      <w:pPr>
        <w:spacing w:after="0"/>
      </w:pPr>
    </w:p>
    <w:p w14:paraId="139D40D0" w14:textId="13D275D0" w:rsidR="0036660F" w:rsidRDefault="000470AF" w:rsidP="008E5B26">
      <w:pPr>
        <w:spacing w:after="0"/>
      </w:pPr>
      <w:r>
        <w:lastRenderedPageBreak/>
        <w:t xml:space="preserve">The annual </w:t>
      </w:r>
      <w:r w:rsidR="000D6540">
        <w:t>HGS</w:t>
      </w:r>
      <w:r>
        <w:t xml:space="preserve"> Trends and Insights Report provides an example </w:t>
      </w:r>
      <w:r w:rsidR="00076F05">
        <w:t xml:space="preserve">of what </w:t>
      </w:r>
      <w:r w:rsidR="00BF01BC">
        <w:t xml:space="preserve">a Help to Buy annual report </w:t>
      </w:r>
      <w:r w:rsidR="000D6540">
        <w:t>may</w:t>
      </w:r>
      <w:r w:rsidR="003D2C80">
        <w:t xml:space="preserve"> include</w:t>
      </w:r>
      <w:r w:rsidR="00BF01BC">
        <w:t xml:space="preserve"> </w:t>
      </w:r>
      <w:r w:rsidR="00053C12">
        <w:t xml:space="preserve">both </w:t>
      </w:r>
      <w:r w:rsidR="00FE2BB5">
        <w:t>to fulfill</w:t>
      </w:r>
      <w:r w:rsidR="00053C12">
        <w:t xml:space="preserve"> the legislative requirements</w:t>
      </w:r>
      <w:r w:rsidR="00104F5A">
        <w:t xml:space="preserve"> and </w:t>
      </w:r>
      <w:r w:rsidR="00053C12">
        <w:t>to provide additional reporting</w:t>
      </w:r>
      <w:r w:rsidR="003D2C80">
        <w:t xml:space="preserve">. The </w:t>
      </w:r>
      <w:r w:rsidR="000D6540">
        <w:t xml:space="preserve">HGS </w:t>
      </w:r>
      <w:r w:rsidR="00DC1E68">
        <w:t>r</w:t>
      </w:r>
      <w:r w:rsidR="000D6540">
        <w:t xml:space="preserve">eport </w:t>
      </w:r>
      <w:r w:rsidR="00A22D63">
        <w:t>prov</w:t>
      </w:r>
      <w:r w:rsidR="00802CD3">
        <w:t xml:space="preserve">ides </w:t>
      </w:r>
      <w:r w:rsidR="00DC1E68">
        <w:t xml:space="preserve">information on the performance of the </w:t>
      </w:r>
      <w:r w:rsidR="00B438A2">
        <w:t>scheme</w:t>
      </w:r>
      <w:r w:rsidR="00DC1E68">
        <w:t xml:space="preserve"> in </w:t>
      </w:r>
      <w:r w:rsidR="00802CD3">
        <w:t>the previous financial year</w:t>
      </w:r>
      <w:r w:rsidR="00802CD3" w:rsidRPr="00802CD3">
        <w:t xml:space="preserve">, as well as broader trends since the </w:t>
      </w:r>
      <w:r w:rsidR="00B438A2">
        <w:t>scheme</w:t>
      </w:r>
      <w:r w:rsidR="00802CD3" w:rsidRPr="00802CD3">
        <w:t>’s initial implementation</w:t>
      </w:r>
      <w:r w:rsidR="00802CD3">
        <w:t>. The report</w:t>
      </w:r>
      <w:r w:rsidR="00530BE2">
        <w:t xml:space="preserve"> specifically</w:t>
      </w:r>
      <w:r w:rsidR="00802CD3">
        <w:t xml:space="preserve"> provides </w:t>
      </w:r>
      <w:r w:rsidR="00DC1E68">
        <w:t>insights</w:t>
      </w:r>
      <w:r w:rsidR="00802CD3">
        <w:t xml:space="preserve"> on the profile of </w:t>
      </w:r>
      <w:r w:rsidR="00B438A2">
        <w:t>scheme</w:t>
      </w:r>
      <w:r w:rsidR="00802CD3">
        <w:t xml:space="preserve"> participants, the properties purchased under the </w:t>
      </w:r>
      <w:r w:rsidR="00B438A2">
        <w:t>scheme</w:t>
      </w:r>
      <w:r w:rsidR="00802CD3">
        <w:t xml:space="preserve"> and where they are located, and how the </w:t>
      </w:r>
      <w:r w:rsidR="002B4C46">
        <w:t>portfolio is performing</w:t>
      </w:r>
      <w:r w:rsidR="00802CD3">
        <w:t xml:space="preserve">. </w:t>
      </w:r>
      <w:r w:rsidR="00167459">
        <w:t>It may be appropriate to include s</w:t>
      </w:r>
      <w:r w:rsidR="002B4C46">
        <w:t xml:space="preserve">imilar analysis </w:t>
      </w:r>
      <w:r w:rsidR="007A75E2">
        <w:t xml:space="preserve">in </w:t>
      </w:r>
      <w:r w:rsidR="00167459">
        <w:t xml:space="preserve">a </w:t>
      </w:r>
      <w:r w:rsidR="007A75E2">
        <w:t>Help to Buy annual report</w:t>
      </w:r>
      <w:r w:rsidR="00640514">
        <w:t>. T</w:t>
      </w:r>
      <w:r w:rsidR="00907455">
        <w:t>hese</w:t>
      </w:r>
      <w:r w:rsidR="005D0F3C">
        <w:t xml:space="preserve"> types of analyses may </w:t>
      </w:r>
      <w:r w:rsidR="00BD1C56">
        <w:t xml:space="preserve">help </w:t>
      </w:r>
      <w:r w:rsidR="00167459">
        <w:t xml:space="preserve">provide </w:t>
      </w:r>
      <w:r w:rsidR="002D034C">
        <w:t xml:space="preserve">evidence as to </w:t>
      </w:r>
      <w:r w:rsidR="00D7113E">
        <w:t>whether</w:t>
      </w:r>
      <w:r w:rsidR="007A75E2" w:rsidRPr="007A75E2">
        <w:t xml:space="preserve"> </w:t>
      </w:r>
      <w:r w:rsidR="002D034C">
        <w:t xml:space="preserve">the </w:t>
      </w:r>
      <w:r w:rsidR="00B438A2">
        <w:t>scheme</w:t>
      </w:r>
      <w:r w:rsidR="007A75E2" w:rsidRPr="007A75E2">
        <w:t xml:space="preserve"> is achieving its principal </w:t>
      </w:r>
      <w:r w:rsidR="00BD1C56">
        <w:t xml:space="preserve">objective, </w:t>
      </w:r>
      <w:r w:rsidR="00382926">
        <w:t xml:space="preserve">as well as providing reporting </w:t>
      </w:r>
      <w:r w:rsidR="00BD1C56">
        <w:t>with respect to secondary measures of success</w:t>
      </w:r>
      <w:r w:rsidR="005D0F3C">
        <w:t>.</w:t>
      </w:r>
      <w:r w:rsidR="007A75E2" w:rsidRPr="007A75E2" w:rsidDel="003D2C80">
        <w:t xml:space="preserve"> </w:t>
      </w:r>
    </w:p>
    <w:p w14:paraId="22F808C5" w14:textId="77777777" w:rsidR="000470AF" w:rsidRDefault="000470AF" w:rsidP="008E5B26">
      <w:pPr>
        <w:spacing w:after="0"/>
      </w:pPr>
    </w:p>
    <w:p w14:paraId="16ECB32F" w14:textId="390423CE" w:rsidR="00521B44" w:rsidRDefault="00665C56" w:rsidP="008E5B26">
      <w:pPr>
        <w:spacing w:after="0"/>
      </w:pPr>
      <w:r>
        <w:t xml:space="preserve">In addition to the </w:t>
      </w:r>
      <w:r w:rsidR="002A168B">
        <w:t>reviews required by legislation</w:t>
      </w:r>
      <w:r w:rsidR="001508C7">
        <w:t>,</w:t>
      </w:r>
      <w:r w:rsidR="0070221A">
        <w:t xml:space="preserve"> Treasury will conduct</w:t>
      </w:r>
      <w:r w:rsidR="00004623">
        <w:t>:</w:t>
      </w:r>
    </w:p>
    <w:p w14:paraId="15A56889" w14:textId="61A615B1" w:rsidR="00004623" w:rsidRPr="00BA2C1B" w:rsidRDefault="00980B59" w:rsidP="00AD1691">
      <w:pPr>
        <w:pStyle w:val="BulletedList-Level1"/>
        <w:rPr>
          <w:szCs w:val="22"/>
        </w:rPr>
      </w:pPr>
      <w:r>
        <w:t>R</w:t>
      </w:r>
      <w:r w:rsidR="00004623" w:rsidRPr="008A7E0B">
        <w:t>eviews of the property price and income thresholds and will report to the Minister on whether changes are recommended</w:t>
      </w:r>
      <w:r w:rsidR="002A168B">
        <w:rPr>
          <w:szCs w:val="22"/>
        </w:rPr>
        <w:t xml:space="preserve">, and </w:t>
      </w:r>
    </w:p>
    <w:p w14:paraId="67DD2EB1" w14:textId="23AC8101" w:rsidR="00A652F8" w:rsidRPr="009A6B2F" w:rsidRDefault="00004623" w:rsidP="00AD1691">
      <w:pPr>
        <w:pStyle w:val="BulletedList-Level1"/>
        <w:rPr>
          <w:szCs w:val="22"/>
        </w:rPr>
      </w:pPr>
      <w:r w:rsidRPr="008A7E0B">
        <w:t>Ad hoc reviews of policy parameters</w:t>
      </w:r>
      <w:r w:rsidR="002A168B">
        <w:rPr>
          <w:szCs w:val="22"/>
        </w:rPr>
        <w:t xml:space="preserve"> when identified via monitoring processes.</w:t>
      </w:r>
    </w:p>
    <w:p w14:paraId="70F5D876" w14:textId="3B43B3F3" w:rsidR="007550AB" w:rsidRPr="00A52C77" w:rsidRDefault="00A652F8" w:rsidP="00AD1691">
      <w:pPr>
        <w:pStyle w:val="Bullet"/>
        <w:numPr>
          <w:ilvl w:val="0"/>
          <w:numId w:val="0"/>
        </w:numPr>
        <w:spacing w:before="120" w:after="120" w:line="240" w:lineRule="auto"/>
        <w:rPr>
          <w:rFonts w:eastAsiaTheme="majorEastAsia" w:cstheme="minorHAnsi"/>
          <w:color w:val="1C2B39" w:themeColor="text1"/>
          <w:sz w:val="28"/>
          <w:szCs w:val="28"/>
        </w:rPr>
      </w:pPr>
      <w:r w:rsidRPr="00AD1691">
        <w:rPr>
          <w:color w:val="auto"/>
          <w:sz w:val="22"/>
          <w:szCs w:val="22"/>
        </w:rPr>
        <w:t xml:space="preserve">Treasury may </w:t>
      </w:r>
      <w:r w:rsidR="002729AE">
        <w:rPr>
          <w:color w:val="auto"/>
          <w:sz w:val="22"/>
          <w:szCs w:val="22"/>
        </w:rPr>
        <w:t xml:space="preserve">consider additional evaluative tools as the </w:t>
      </w:r>
      <w:r w:rsidR="00B438A2">
        <w:rPr>
          <w:color w:val="auto"/>
          <w:sz w:val="22"/>
          <w:szCs w:val="22"/>
        </w:rPr>
        <w:t>scheme</w:t>
      </w:r>
      <w:r w:rsidR="002729AE">
        <w:rPr>
          <w:color w:val="auto"/>
          <w:sz w:val="22"/>
          <w:szCs w:val="22"/>
        </w:rPr>
        <w:t xml:space="preserve"> progresses, such as </w:t>
      </w:r>
      <w:r w:rsidR="009A6B2F">
        <w:rPr>
          <w:color w:val="auto"/>
          <w:sz w:val="22"/>
          <w:szCs w:val="22"/>
        </w:rPr>
        <w:t>qualitative surveys</w:t>
      </w:r>
      <w:bookmarkStart w:id="14" w:name="_GoBack"/>
      <w:bookmarkEnd w:id="14"/>
      <w:r w:rsidR="009A6B2F">
        <w:rPr>
          <w:color w:val="auto"/>
          <w:sz w:val="22"/>
          <w:szCs w:val="22"/>
        </w:rPr>
        <w:t xml:space="preserve"> </w:t>
      </w:r>
      <w:r w:rsidR="00EF4760">
        <w:rPr>
          <w:color w:val="auto"/>
          <w:sz w:val="22"/>
          <w:szCs w:val="22"/>
        </w:rPr>
        <w:t>to provid</w:t>
      </w:r>
      <w:r w:rsidR="00C643DB">
        <w:rPr>
          <w:color w:val="auto"/>
          <w:sz w:val="22"/>
          <w:szCs w:val="22"/>
        </w:rPr>
        <w:t>e greater insight into participant experience.</w:t>
      </w:r>
      <w:r w:rsidR="000470AF">
        <w:rPr>
          <w:color w:val="auto"/>
          <w:sz w:val="22"/>
          <w:szCs w:val="22"/>
        </w:rPr>
        <w:t xml:space="preserve"> </w:t>
      </w:r>
      <w:bookmarkEnd w:id="13"/>
    </w:p>
    <w:sectPr w:rsidR="007550AB" w:rsidRPr="00A52C77" w:rsidSect="00023A52">
      <w:pgSz w:w="11906" w:h="16838"/>
      <w:pgMar w:top="1701" w:right="1134" w:bottom="1843" w:left="113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918D6" w14:textId="77777777" w:rsidR="008261CA" w:rsidRDefault="008261CA" w:rsidP="00F957C6">
      <w:pPr>
        <w:spacing w:after="0" w:line="240" w:lineRule="auto"/>
      </w:pPr>
      <w:r>
        <w:separator/>
      </w:r>
    </w:p>
  </w:endnote>
  <w:endnote w:type="continuationSeparator" w:id="0">
    <w:p w14:paraId="4E05B90D" w14:textId="77777777" w:rsidR="008261CA" w:rsidRDefault="008261CA" w:rsidP="00F957C6">
      <w:pPr>
        <w:spacing w:after="0" w:line="240" w:lineRule="auto"/>
      </w:pPr>
      <w:r>
        <w:continuationSeparator/>
      </w:r>
    </w:p>
  </w:endnote>
  <w:endnote w:type="continuationNotice" w:id="1">
    <w:p w14:paraId="2422EB64" w14:textId="77777777" w:rsidR="008261CA" w:rsidRDefault="008261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Semibold">
    <w:altName w:val="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9E7FD" w14:textId="5B4C9E85" w:rsidR="00096B93" w:rsidRDefault="00E60A0A">
    <w:pPr>
      <w:pStyle w:val="Footer"/>
    </w:pPr>
    <w:r>
      <w:rPr>
        <w:noProof/>
        <w:lang w:eastAsia="en-AU"/>
      </w:rPr>
      <mc:AlternateContent>
        <mc:Choice Requires="wps">
          <w:drawing>
            <wp:anchor distT="0" distB="0" distL="0" distR="0" simplePos="0" relativeHeight="251658254" behindDoc="0" locked="0" layoutInCell="1" allowOverlap="1" wp14:anchorId="256A38B9" wp14:editId="364FBD8D">
              <wp:simplePos x="635" y="635"/>
              <wp:positionH relativeFrom="page">
                <wp:align>center</wp:align>
              </wp:positionH>
              <wp:positionV relativeFrom="page">
                <wp:align>bottom</wp:align>
              </wp:positionV>
              <wp:extent cx="551815" cy="394970"/>
              <wp:effectExtent l="0" t="0" r="635" b="0"/>
              <wp:wrapNone/>
              <wp:docPr id="809429948" name="Text Box 14"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0EE6A4DE" w14:textId="414F8F1F"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56A38B9" id="_x0000_t202" coordsize="21600,21600" o:spt="202" path="m,l,21600r21600,l21600,xe">
              <v:stroke joinstyle="miter"/>
              <v:path gradientshapeok="t" o:connecttype="rect"/>
            </v:shapetype>
            <v:shape id="Text Box 14" o:spid="_x0000_s1028" type="#_x0000_t202" alt="OFFICIAL" style="position:absolute;margin-left:0;margin-top:0;width:43.45pt;height:31.1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D68s17EAIA&#10;ABwEAAAOAAAAAAAAAAAAAAAAAC4CAABkcnMvZTJvRG9jLnhtbFBLAQItABQABgAIAAAAIQDj409W&#10;2wAAAAMBAAAPAAAAAAAAAAAAAAAAAGoEAABkcnMvZG93bnJldi54bWxQSwUGAAAAAAQABADzAAAA&#10;cgUAAAAA&#10;" filled="f" stroked="f">
              <v:textbox style="mso-fit-shape-to-text:t" inset="0,0,0,15pt">
                <w:txbxContent>
                  <w:p w14:paraId="0EE6A4DE" w14:textId="414F8F1F"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608C" w14:textId="490C82E6" w:rsidR="00096B93" w:rsidRDefault="00E60A0A">
    <w:pPr>
      <w:pStyle w:val="Footer"/>
    </w:pPr>
    <w:r>
      <w:rPr>
        <w:noProof/>
        <w:lang w:eastAsia="en-AU"/>
      </w:rPr>
      <mc:AlternateContent>
        <mc:Choice Requires="wps">
          <w:drawing>
            <wp:anchor distT="0" distB="0" distL="0" distR="0" simplePos="0" relativeHeight="251658263" behindDoc="0" locked="0" layoutInCell="1" allowOverlap="1" wp14:anchorId="00068554" wp14:editId="0F0BE5E9">
              <wp:simplePos x="635" y="635"/>
              <wp:positionH relativeFrom="page">
                <wp:align>center</wp:align>
              </wp:positionH>
              <wp:positionV relativeFrom="page">
                <wp:align>bottom</wp:align>
              </wp:positionV>
              <wp:extent cx="551815" cy="394970"/>
              <wp:effectExtent l="0" t="0" r="635" b="0"/>
              <wp:wrapNone/>
              <wp:docPr id="1667787969" name="Text Box 2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44F50F08" w14:textId="084E89CF"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0068554" id="_x0000_t202" coordsize="21600,21600" o:spt="202" path="m,l,21600r21600,l21600,xe">
              <v:stroke joinstyle="miter"/>
              <v:path gradientshapeok="t" o:connecttype="rect"/>
            </v:shapetype>
            <v:shape id="Text Box 23" o:spid="_x0000_s1046" type="#_x0000_t202" alt="OFFICIAL" style="position:absolute;margin-left:0;margin-top:0;width:43.45pt;height:31.1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MOyg8IPAgAA&#10;HQQAAA4AAAAAAAAAAAAAAAAALgIAAGRycy9lMm9Eb2MueG1sUEsBAi0AFAAGAAgAAAAhAOPjT1bb&#10;AAAAAwEAAA8AAAAAAAAAAAAAAAAAaQQAAGRycy9kb3ducmV2LnhtbFBLBQYAAAAABAAEAPMAAABx&#10;BQAAAAA=&#10;" filled="f" stroked="f">
              <v:textbox style="mso-fit-shape-to-text:t" inset="0,0,0,15pt">
                <w:txbxContent>
                  <w:p w14:paraId="44F50F08" w14:textId="084E89CF"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BB295" w14:textId="5E706285" w:rsidR="00DE2DB3" w:rsidRPr="00852F35" w:rsidRDefault="00DE2DB3" w:rsidP="00DE2DB3">
    <w:pPr>
      <w:pStyle w:val="Header"/>
      <w:rPr>
        <w:rFonts w:ascii="Segoe UI" w:hAnsi="Segoe UI" w:cs="Segoe UI"/>
        <w:color w:val="6E6E6E"/>
        <w:sz w:val="18"/>
      </w:rPr>
    </w:pPr>
    <w:r>
      <w:rPr>
        <w:color w:val="6E6E6E"/>
        <w:sz w:val="18"/>
        <w:szCs w:val="18"/>
      </w:rPr>
      <w:t xml:space="preserve">The Treasury </w:t>
    </w:r>
    <w:r w:rsidRPr="00852F35">
      <w:rPr>
        <w:color w:val="6E6E6E"/>
        <w:sz w:val="18"/>
        <w:szCs w:val="18"/>
      </w:rPr>
      <w:t xml:space="preserve">| </w:t>
    </w:r>
    <w:r>
      <w:rPr>
        <w:color w:val="6E6E6E"/>
        <w:sz w:val="18"/>
        <w:szCs w:val="18"/>
      </w:rPr>
      <w:t>Help to Buy Impact Analysis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413C11">
      <w:rPr>
        <w:rFonts w:ascii="Segoe UI" w:hAnsi="Segoe UI" w:cs="Segoe UI"/>
        <w:noProof/>
        <w:color w:val="6E6E6E"/>
        <w:sz w:val="18"/>
      </w:rPr>
      <w:t>43</w:t>
    </w:r>
    <w:r w:rsidRPr="00852F35">
      <w:rPr>
        <w:rFonts w:ascii="Segoe UI" w:hAnsi="Segoe UI" w:cs="Segoe UI"/>
        <w:noProof/>
        <w:color w:val="6E6E6E"/>
        <w:sz w:val="18"/>
      </w:rPr>
      <w:fldChar w:fldCharType="end"/>
    </w:r>
  </w:p>
  <w:p w14:paraId="006FB877" w14:textId="02DF5FA5" w:rsidR="00096B93" w:rsidRDefault="00096B9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0C54A" w14:textId="216E8FD9" w:rsidR="00DE2DB3" w:rsidRPr="00852F35" w:rsidRDefault="00DE2DB3" w:rsidP="00DE2DB3">
    <w:pPr>
      <w:pStyle w:val="Header"/>
      <w:rPr>
        <w:rFonts w:ascii="Segoe UI" w:hAnsi="Segoe UI" w:cs="Segoe UI"/>
        <w:color w:val="6E6E6E"/>
        <w:sz w:val="18"/>
      </w:rPr>
    </w:pPr>
    <w:r>
      <w:rPr>
        <w:color w:val="6E6E6E"/>
        <w:sz w:val="18"/>
        <w:szCs w:val="18"/>
      </w:rPr>
      <w:t xml:space="preserve">The Treasury </w:t>
    </w:r>
    <w:r w:rsidRPr="00852F35">
      <w:rPr>
        <w:color w:val="6E6E6E"/>
        <w:sz w:val="18"/>
        <w:szCs w:val="18"/>
      </w:rPr>
      <w:t xml:space="preserve">| </w:t>
    </w:r>
    <w:r>
      <w:rPr>
        <w:color w:val="6E6E6E"/>
        <w:sz w:val="18"/>
        <w:szCs w:val="18"/>
      </w:rPr>
      <w:t>Help to Buy Impact Analysis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413C11">
      <w:rPr>
        <w:rFonts w:ascii="Segoe UI" w:hAnsi="Segoe UI" w:cs="Segoe UI"/>
        <w:noProof/>
        <w:color w:val="6E6E6E"/>
        <w:sz w:val="18"/>
      </w:rPr>
      <w:t>40</w:t>
    </w:r>
    <w:r w:rsidRPr="00852F35">
      <w:rPr>
        <w:rFonts w:ascii="Segoe UI" w:hAnsi="Segoe UI" w:cs="Segoe UI"/>
        <w:noProof/>
        <w:color w:val="6E6E6E"/>
        <w:sz w:val="18"/>
      </w:rPr>
      <w:fldChar w:fldCharType="end"/>
    </w:r>
  </w:p>
  <w:p w14:paraId="55D31F59" w14:textId="23A21C93" w:rsidR="00096B93" w:rsidRDefault="00096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57B7" w14:textId="19D933DC" w:rsidR="00D10635" w:rsidRPr="00F86700" w:rsidRDefault="00D10635" w:rsidP="00F86700">
    <w:pPr>
      <w:pStyle w:val="CLASSIFICATION"/>
    </w:pPr>
  </w:p>
  <w:p w14:paraId="3FE30A75" w14:textId="17E1925A" w:rsidR="00037513" w:rsidRPr="00852F35" w:rsidRDefault="00B12932" w:rsidP="00D10635">
    <w:pPr>
      <w:pStyle w:val="Header"/>
      <w:rPr>
        <w:rFonts w:ascii="Segoe UI" w:hAnsi="Segoe UI" w:cs="Segoe UI"/>
        <w:color w:val="6E6E6E"/>
        <w:sz w:val="18"/>
      </w:rPr>
    </w:pPr>
    <w:r>
      <w:rPr>
        <w:color w:val="6E6E6E"/>
        <w:sz w:val="18"/>
        <w:szCs w:val="18"/>
      </w:rPr>
      <w:t xml:space="preserve">The Treasury </w:t>
    </w:r>
    <w:r w:rsidR="00037513" w:rsidRPr="00852F35">
      <w:rPr>
        <w:color w:val="6E6E6E"/>
        <w:sz w:val="18"/>
        <w:szCs w:val="18"/>
      </w:rPr>
      <w:t xml:space="preserve">| </w:t>
    </w:r>
    <w:r w:rsidR="00F03D51">
      <w:rPr>
        <w:color w:val="6E6E6E"/>
        <w:sz w:val="18"/>
        <w:szCs w:val="18"/>
      </w:rPr>
      <w:t>Help to Buy</w:t>
    </w:r>
    <w:r w:rsidR="00E463AF">
      <w:rPr>
        <w:color w:val="6E6E6E"/>
        <w:sz w:val="18"/>
        <w:szCs w:val="18"/>
      </w:rPr>
      <w:t xml:space="preserve"> </w:t>
    </w:r>
    <w:r>
      <w:rPr>
        <w:color w:val="6E6E6E"/>
        <w:sz w:val="18"/>
        <w:szCs w:val="18"/>
      </w:rPr>
      <w:t>Impact Analysis</w:t>
    </w:r>
    <w:r w:rsidR="00037513" w:rsidRPr="00852F35">
      <w:rPr>
        <w:color w:val="6E6E6E"/>
      </w:rPr>
      <w:ptab w:relativeTo="margin" w:alignment="right" w:leader="none"/>
    </w:r>
    <w:r w:rsidR="00037513" w:rsidRPr="00852F35">
      <w:rPr>
        <w:rFonts w:ascii="Segoe UI" w:hAnsi="Segoe UI" w:cs="Segoe UI"/>
        <w:color w:val="6E6E6E"/>
        <w:sz w:val="18"/>
      </w:rPr>
      <w:fldChar w:fldCharType="begin"/>
    </w:r>
    <w:r w:rsidR="00037513" w:rsidRPr="00852F35">
      <w:rPr>
        <w:rFonts w:ascii="Segoe UI" w:hAnsi="Segoe UI" w:cs="Segoe UI"/>
        <w:color w:val="6E6E6E"/>
        <w:sz w:val="18"/>
      </w:rPr>
      <w:instrText xml:space="preserve"> PAGE   \* MERGEFORMAT </w:instrText>
    </w:r>
    <w:r w:rsidR="00037513" w:rsidRPr="00852F35">
      <w:rPr>
        <w:rFonts w:ascii="Segoe UI" w:hAnsi="Segoe UI" w:cs="Segoe UI"/>
        <w:color w:val="6E6E6E"/>
        <w:sz w:val="18"/>
      </w:rPr>
      <w:fldChar w:fldCharType="separate"/>
    </w:r>
    <w:r w:rsidR="00413C11">
      <w:rPr>
        <w:rFonts w:ascii="Segoe UI" w:hAnsi="Segoe UI" w:cs="Segoe UI"/>
        <w:noProof/>
        <w:color w:val="6E6E6E"/>
        <w:sz w:val="18"/>
      </w:rPr>
      <w:t>2</w:t>
    </w:r>
    <w:r w:rsidR="00037513"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6BD7" w14:textId="79690573" w:rsidR="00464D89" w:rsidRDefault="00E60A0A" w:rsidP="00464D89">
    <w:pPr>
      <w:pStyle w:val="Header"/>
      <w:jc w:val="center"/>
    </w:pPr>
    <w:r>
      <w:rPr>
        <w:noProof/>
        <w:lang w:eastAsia="en-AU"/>
      </w:rPr>
      <mc:AlternateContent>
        <mc:Choice Requires="wps">
          <w:drawing>
            <wp:anchor distT="0" distB="0" distL="0" distR="0" simplePos="0" relativeHeight="251658253" behindDoc="0" locked="0" layoutInCell="1" allowOverlap="1" wp14:anchorId="4D03106D" wp14:editId="06E203B4">
              <wp:simplePos x="635" y="635"/>
              <wp:positionH relativeFrom="page">
                <wp:align>center</wp:align>
              </wp:positionH>
              <wp:positionV relativeFrom="page">
                <wp:align>bottom</wp:align>
              </wp:positionV>
              <wp:extent cx="551815" cy="394970"/>
              <wp:effectExtent l="0" t="0" r="635" b="0"/>
              <wp:wrapNone/>
              <wp:docPr id="394625234" name="Text Box 1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4BDF3C9" w14:textId="363E67B9"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D03106D" id="_x0000_t202" coordsize="21600,21600" o:spt="202" path="m,l,21600r21600,l21600,xe">
              <v:stroke joinstyle="miter"/>
              <v:path gradientshapeok="t" o:connecttype="rect"/>
            </v:shapetype>
            <v:shape id="Text Box 13" o:spid="_x0000_s1031" type="#_x0000_t202" alt="OFFICIAL" style="position:absolute;left:0;text-align:left;margin-left:0;margin-top:0;width:43.45pt;height:31.1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PnO0MsPAgAA&#10;HAQAAA4AAAAAAAAAAAAAAAAALgIAAGRycy9lMm9Eb2MueG1sUEsBAi0AFAAGAAgAAAAhAOPjT1bb&#10;AAAAAwEAAA8AAAAAAAAAAAAAAAAAaQQAAGRycy9kb3ducmV2LnhtbFBLBQYAAAAABAAEAPMAAABx&#10;BQAAAAA=&#10;" filled="f" stroked="f">
              <v:textbox style="mso-fit-shape-to-text:t" inset="0,0,0,15pt">
                <w:txbxContent>
                  <w:p w14:paraId="74BDF3C9" w14:textId="363E67B9"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p w14:paraId="6215FD61" w14:textId="0303D727" w:rsidR="00464D89" w:rsidRPr="00BB1526" w:rsidRDefault="00B12932" w:rsidP="00BB1526">
    <w:pPr>
      <w:pStyle w:val="Header"/>
      <w:rPr>
        <w:rFonts w:ascii="Segoe UI" w:hAnsi="Segoe UI" w:cs="Segoe UI"/>
        <w:color w:val="6E6E6E"/>
        <w:sz w:val="18"/>
      </w:rPr>
    </w:pPr>
    <w:r>
      <w:rPr>
        <w:color w:val="6E6E6E"/>
        <w:sz w:val="18"/>
        <w:szCs w:val="18"/>
      </w:rPr>
      <w:t xml:space="preserve">The Treasury </w:t>
    </w:r>
    <w:r w:rsidR="00BB1526" w:rsidRPr="00852F35">
      <w:rPr>
        <w:color w:val="6E6E6E"/>
        <w:sz w:val="18"/>
        <w:szCs w:val="18"/>
      </w:rPr>
      <w:t>|</w:t>
    </w:r>
    <w:r w:rsidR="00E93291">
      <w:rPr>
        <w:color w:val="6E6E6E"/>
        <w:sz w:val="18"/>
        <w:szCs w:val="18"/>
      </w:rPr>
      <w:t xml:space="preserve"> HAFF and Accord</w:t>
    </w:r>
    <w:r w:rsidR="00BB1526" w:rsidRPr="00852F35">
      <w:rPr>
        <w:color w:val="6E6E6E"/>
        <w:sz w:val="18"/>
        <w:szCs w:val="18"/>
      </w:rPr>
      <w:t xml:space="preserve"> </w:t>
    </w:r>
    <w:r>
      <w:rPr>
        <w:color w:val="6E6E6E"/>
        <w:sz w:val="18"/>
        <w:szCs w:val="18"/>
      </w:rPr>
      <w:t>Impact Analysis</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5B683F">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45FD" w14:textId="352AE1EB" w:rsidR="00096B93" w:rsidRDefault="00E60A0A">
    <w:pPr>
      <w:pStyle w:val="Footer"/>
    </w:pPr>
    <w:r>
      <w:rPr>
        <w:noProof/>
        <w:lang w:eastAsia="en-AU"/>
      </w:rPr>
      <mc:AlternateContent>
        <mc:Choice Requires="wps">
          <w:drawing>
            <wp:anchor distT="0" distB="0" distL="0" distR="0" simplePos="0" relativeHeight="251658257" behindDoc="0" locked="0" layoutInCell="1" allowOverlap="1" wp14:anchorId="4929BA6E" wp14:editId="4D9153DB">
              <wp:simplePos x="635" y="635"/>
              <wp:positionH relativeFrom="page">
                <wp:align>center</wp:align>
              </wp:positionH>
              <wp:positionV relativeFrom="page">
                <wp:align>bottom</wp:align>
              </wp:positionV>
              <wp:extent cx="551815" cy="394970"/>
              <wp:effectExtent l="0" t="0" r="635" b="0"/>
              <wp:wrapNone/>
              <wp:docPr id="1352682503" name="Text Box 17"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54922023" w14:textId="04E7BD21"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929BA6E" id="_x0000_t202" coordsize="21600,21600" o:spt="202" path="m,l,21600r21600,l21600,xe">
              <v:stroke joinstyle="miter"/>
              <v:path gradientshapeok="t" o:connecttype="rect"/>
            </v:shapetype>
            <v:shape id="Text Box 17" o:spid="_x0000_s1034" type="#_x0000_t202" alt="OFFICIAL" style="position:absolute;margin-left:0;margin-top:0;width:43.45pt;height:31.1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AJcUw2EAIA&#10;ABwEAAAOAAAAAAAAAAAAAAAAAC4CAABkcnMvZTJvRG9jLnhtbFBLAQItABQABgAIAAAAIQDj409W&#10;2wAAAAMBAAAPAAAAAAAAAAAAAAAAAGoEAABkcnMvZG93bnJldi54bWxQSwUGAAAAAAQABADzAAAA&#10;cgUAAAAA&#10;" filled="f" stroked="f">
              <v:textbox style="mso-fit-shape-to-text:t" inset="0,0,0,15pt">
                <w:txbxContent>
                  <w:p w14:paraId="54922023" w14:textId="04E7BD21"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1120A" w14:textId="1FD038C0" w:rsidR="00F03D51" w:rsidRPr="00852F35" w:rsidRDefault="00F03D51" w:rsidP="00F03D51">
    <w:pPr>
      <w:pStyle w:val="Header"/>
      <w:rPr>
        <w:rFonts w:ascii="Segoe UI" w:hAnsi="Segoe UI" w:cs="Segoe UI"/>
        <w:color w:val="6E6E6E"/>
        <w:sz w:val="18"/>
      </w:rPr>
    </w:pPr>
    <w:r>
      <w:rPr>
        <w:color w:val="6E6E6E"/>
        <w:sz w:val="18"/>
        <w:szCs w:val="18"/>
      </w:rPr>
      <w:t xml:space="preserve">The Treasury </w:t>
    </w:r>
    <w:r w:rsidRPr="00852F35">
      <w:rPr>
        <w:color w:val="6E6E6E"/>
        <w:sz w:val="18"/>
        <w:szCs w:val="18"/>
      </w:rPr>
      <w:t xml:space="preserve">| </w:t>
    </w:r>
    <w:r>
      <w:rPr>
        <w:color w:val="6E6E6E"/>
        <w:sz w:val="18"/>
        <w:szCs w:val="18"/>
      </w:rPr>
      <w:t>Help to Buy Impact Analysis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413C11">
      <w:rPr>
        <w:rFonts w:ascii="Segoe UI" w:hAnsi="Segoe UI" w:cs="Segoe UI"/>
        <w:noProof/>
        <w:color w:val="6E6E6E"/>
        <w:sz w:val="18"/>
      </w:rPr>
      <w:t>3</w:t>
    </w:r>
    <w:r w:rsidRPr="00852F35">
      <w:rPr>
        <w:rFonts w:ascii="Segoe UI" w:hAnsi="Segoe UI" w:cs="Segoe UI"/>
        <w:noProof/>
        <w:color w:val="6E6E6E"/>
        <w:sz w:val="18"/>
      </w:rPr>
      <w:fldChar w:fldCharType="end"/>
    </w:r>
  </w:p>
  <w:p w14:paraId="1D430FB0" w14:textId="68DEE99D" w:rsidR="00096B93" w:rsidRDefault="00096B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17E5" w14:textId="5674285C" w:rsidR="00096B93" w:rsidRDefault="00E60A0A">
    <w:pPr>
      <w:pStyle w:val="Footer"/>
    </w:pPr>
    <w:r>
      <w:rPr>
        <w:noProof/>
        <w:lang w:eastAsia="en-AU"/>
      </w:rPr>
      <mc:AlternateContent>
        <mc:Choice Requires="wps">
          <w:drawing>
            <wp:anchor distT="0" distB="0" distL="0" distR="0" simplePos="0" relativeHeight="251658256" behindDoc="0" locked="0" layoutInCell="1" allowOverlap="1" wp14:anchorId="413D4509" wp14:editId="4327FFEF">
              <wp:simplePos x="635" y="635"/>
              <wp:positionH relativeFrom="page">
                <wp:align>center</wp:align>
              </wp:positionH>
              <wp:positionV relativeFrom="page">
                <wp:align>bottom</wp:align>
              </wp:positionV>
              <wp:extent cx="551815" cy="394970"/>
              <wp:effectExtent l="0" t="0" r="635" b="0"/>
              <wp:wrapNone/>
              <wp:docPr id="269556052" name="Text Box 16"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C6745DD" w14:textId="20F031AA"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13D4509" id="_x0000_t202" coordsize="21600,21600" o:spt="202" path="m,l,21600r21600,l21600,xe">
              <v:stroke joinstyle="miter"/>
              <v:path gradientshapeok="t" o:connecttype="rect"/>
            </v:shapetype>
            <v:shape id="Text Box 16" o:spid="_x0000_s1037" type="#_x0000_t202" alt="OFFICIAL" style="position:absolute;margin-left:0;margin-top:0;width:43.45pt;height:31.1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ED8cqoPAgAA&#10;HQQAAA4AAAAAAAAAAAAAAAAALgIAAGRycy9lMm9Eb2MueG1sUEsBAi0AFAAGAAgAAAAhAOPjT1bb&#10;AAAAAwEAAA8AAAAAAAAAAAAAAAAAaQQAAGRycy9kb3ducmV2LnhtbFBLBQYAAAAABAAEAPMAAABx&#10;BQAAAAA=&#10;" filled="f" stroked="f">
              <v:textbox style="mso-fit-shape-to-text:t" inset="0,0,0,15pt">
                <w:txbxContent>
                  <w:p w14:paraId="7C6745DD" w14:textId="20F031AA"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4421F" w14:textId="0C95250F" w:rsidR="00096B93" w:rsidRDefault="00E60A0A">
    <w:pPr>
      <w:pStyle w:val="Footer"/>
    </w:pPr>
    <w:r>
      <w:rPr>
        <w:noProof/>
        <w:lang w:eastAsia="en-AU"/>
      </w:rPr>
      <mc:AlternateContent>
        <mc:Choice Requires="wps">
          <w:drawing>
            <wp:anchor distT="0" distB="0" distL="0" distR="0" simplePos="0" relativeHeight="251658260" behindDoc="0" locked="0" layoutInCell="1" allowOverlap="1" wp14:anchorId="50BB5790" wp14:editId="42370CF5">
              <wp:simplePos x="635" y="635"/>
              <wp:positionH relativeFrom="page">
                <wp:align>center</wp:align>
              </wp:positionH>
              <wp:positionV relativeFrom="page">
                <wp:align>bottom</wp:align>
              </wp:positionV>
              <wp:extent cx="551815" cy="394970"/>
              <wp:effectExtent l="0" t="0" r="635" b="0"/>
              <wp:wrapNone/>
              <wp:docPr id="1273547306" name="Text Box 20"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2D2CBAFF" w14:textId="280EA5C6"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0BB5790" id="_x0000_t202" coordsize="21600,21600" o:spt="202" path="m,l,21600r21600,l21600,xe">
              <v:stroke joinstyle="miter"/>
              <v:path gradientshapeok="t" o:connecttype="rect"/>
            </v:shapetype>
            <v:shape id="Text Box 20" o:spid="_x0000_s1040" type="#_x0000_t202" alt="OFFICIAL" style="position:absolute;margin-left:0;margin-top:0;width:43.45pt;height:31.1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CZvgphEAIA&#10;AB0EAAAOAAAAAAAAAAAAAAAAAC4CAABkcnMvZTJvRG9jLnhtbFBLAQItABQABgAIAAAAIQDj409W&#10;2wAAAAMBAAAPAAAAAAAAAAAAAAAAAGoEAABkcnMvZG93bnJldi54bWxQSwUGAAAAAAQABADzAAAA&#10;cgUAAAAA&#10;" filled="f" stroked="f">
              <v:textbox style="mso-fit-shape-to-text:t" inset="0,0,0,15pt">
                <w:txbxContent>
                  <w:p w14:paraId="2D2CBAFF" w14:textId="280EA5C6"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28789" w14:textId="07F8CE43" w:rsidR="00F03D51" w:rsidRPr="00852F35" w:rsidRDefault="00F03D51" w:rsidP="00F03D51">
    <w:pPr>
      <w:pStyle w:val="Header"/>
      <w:rPr>
        <w:rFonts w:ascii="Segoe UI" w:hAnsi="Segoe UI" w:cs="Segoe UI"/>
        <w:color w:val="6E6E6E"/>
        <w:sz w:val="18"/>
      </w:rPr>
    </w:pPr>
    <w:r>
      <w:rPr>
        <w:color w:val="6E6E6E"/>
        <w:sz w:val="18"/>
        <w:szCs w:val="18"/>
      </w:rPr>
      <w:t xml:space="preserve">The Treasury </w:t>
    </w:r>
    <w:r w:rsidRPr="00852F35">
      <w:rPr>
        <w:color w:val="6E6E6E"/>
        <w:sz w:val="18"/>
        <w:szCs w:val="18"/>
      </w:rPr>
      <w:t xml:space="preserve">| </w:t>
    </w:r>
    <w:r>
      <w:rPr>
        <w:color w:val="6E6E6E"/>
        <w:sz w:val="18"/>
        <w:szCs w:val="18"/>
      </w:rPr>
      <w:t>Help to Buy Impact Analysis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413C11">
      <w:rPr>
        <w:rFonts w:ascii="Segoe UI" w:hAnsi="Segoe UI" w:cs="Segoe UI"/>
        <w:noProof/>
        <w:color w:val="6E6E6E"/>
        <w:sz w:val="18"/>
      </w:rPr>
      <w:t>6</w:t>
    </w:r>
    <w:r w:rsidRPr="00852F35">
      <w:rPr>
        <w:rFonts w:ascii="Segoe UI" w:hAnsi="Segoe UI" w:cs="Segoe UI"/>
        <w:noProof/>
        <w:color w:val="6E6E6E"/>
        <w:sz w:val="18"/>
      </w:rPr>
      <w:fldChar w:fldCharType="end"/>
    </w:r>
  </w:p>
  <w:p w14:paraId="73DE7F03" w14:textId="66873BB8" w:rsidR="00096B93" w:rsidRDefault="00096B9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81D9" w14:textId="36C7D394" w:rsidR="00F03D51" w:rsidRPr="00852F35" w:rsidRDefault="00E60A0A" w:rsidP="00F03D51">
    <w:pPr>
      <w:pStyle w:val="Header"/>
      <w:rPr>
        <w:rFonts w:ascii="Segoe UI" w:hAnsi="Segoe UI" w:cs="Segoe UI"/>
        <w:color w:val="6E6E6E"/>
        <w:sz w:val="18"/>
      </w:rPr>
    </w:pPr>
    <w:r>
      <w:rPr>
        <w:noProof/>
        <w:color w:val="6E6E6E"/>
        <w:sz w:val="18"/>
        <w:szCs w:val="18"/>
        <w:lang w:eastAsia="en-AU"/>
      </w:rPr>
      <mc:AlternateContent>
        <mc:Choice Requires="wps">
          <w:drawing>
            <wp:anchor distT="0" distB="0" distL="0" distR="0" simplePos="0" relativeHeight="251658259" behindDoc="0" locked="0" layoutInCell="1" allowOverlap="1" wp14:anchorId="2B0CA35E" wp14:editId="301ACF20">
              <wp:simplePos x="635" y="635"/>
              <wp:positionH relativeFrom="page">
                <wp:align>center</wp:align>
              </wp:positionH>
              <wp:positionV relativeFrom="page">
                <wp:align>bottom</wp:align>
              </wp:positionV>
              <wp:extent cx="551815" cy="394970"/>
              <wp:effectExtent l="0" t="0" r="635" b="0"/>
              <wp:wrapNone/>
              <wp:docPr id="696363523" name="Text Box 19"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2F1507FA" w14:textId="54DFBE36"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B0CA35E" id="_x0000_t202" coordsize="21600,21600" o:spt="202" path="m,l,21600r21600,l21600,xe">
              <v:stroke joinstyle="miter"/>
              <v:path gradientshapeok="t" o:connecttype="rect"/>
            </v:shapetype>
            <v:shape id="Text Box 19" o:spid="_x0000_s1043" type="#_x0000_t202" alt="OFFICIAL" style="position:absolute;margin-left:0;margin-top:0;width:43.45pt;height:31.1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Auf90nEAIA&#10;AB0EAAAOAAAAAAAAAAAAAAAAAC4CAABkcnMvZTJvRG9jLnhtbFBLAQItABQABgAIAAAAIQDj409W&#10;2wAAAAMBAAAPAAAAAAAAAAAAAAAAAGoEAABkcnMvZG93bnJldi54bWxQSwUGAAAAAAQABADzAAAA&#10;cgUAAAAA&#10;" filled="f" stroked="f">
              <v:textbox style="mso-fit-shape-to-text:t" inset="0,0,0,15pt">
                <w:txbxContent>
                  <w:p w14:paraId="2F1507FA" w14:textId="54DFBE36"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r w:rsidR="00F03D51">
      <w:rPr>
        <w:color w:val="6E6E6E"/>
        <w:sz w:val="18"/>
        <w:szCs w:val="18"/>
      </w:rPr>
      <w:t xml:space="preserve">The Treasury </w:t>
    </w:r>
    <w:r w:rsidR="00F03D51" w:rsidRPr="00852F35">
      <w:rPr>
        <w:color w:val="6E6E6E"/>
        <w:sz w:val="18"/>
        <w:szCs w:val="18"/>
      </w:rPr>
      <w:t xml:space="preserve">| </w:t>
    </w:r>
    <w:r w:rsidR="00F03D51">
      <w:rPr>
        <w:color w:val="6E6E6E"/>
        <w:sz w:val="18"/>
        <w:szCs w:val="18"/>
      </w:rPr>
      <w:t>Help to Buy Impact Analysis</w:t>
    </w:r>
    <w:r w:rsidR="00F03D51" w:rsidRPr="00852F35">
      <w:rPr>
        <w:color w:val="6E6E6E"/>
      </w:rPr>
      <w:ptab w:relativeTo="margin" w:alignment="right" w:leader="none"/>
    </w:r>
    <w:r w:rsidR="00F03D51" w:rsidRPr="00852F35">
      <w:rPr>
        <w:rFonts w:ascii="Segoe UI" w:hAnsi="Segoe UI" w:cs="Segoe UI"/>
        <w:color w:val="6E6E6E"/>
        <w:sz w:val="18"/>
      </w:rPr>
      <w:fldChar w:fldCharType="begin"/>
    </w:r>
    <w:r w:rsidR="00F03D51" w:rsidRPr="00852F35">
      <w:rPr>
        <w:rFonts w:ascii="Segoe UI" w:hAnsi="Segoe UI" w:cs="Segoe UI"/>
        <w:color w:val="6E6E6E"/>
        <w:sz w:val="18"/>
      </w:rPr>
      <w:instrText xml:space="preserve"> PAGE   \* MERGEFORMAT </w:instrText>
    </w:r>
    <w:r w:rsidR="00F03D51" w:rsidRPr="00852F35">
      <w:rPr>
        <w:rFonts w:ascii="Segoe UI" w:hAnsi="Segoe UI" w:cs="Segoe UI"/>
        <w:color w:val="6E6E6E"/>
        <w:sz w:val="18"/>
      </w:rPr>
      <w:fldChar w:fldCharType="separate"/>
    </w:r>
    <w:r w:rsidR="00F03D51">
      <w:rPr>
        <w:rFonts w:ascii="Segoe UI" w:hAnsi="Segoe UI" w:cs="Segoe UI"/>
        <w:color w:val="6E6E6E"/>
        <w:sz w:val="18"/>
      </w:rPr>
      <w:t>2</w:t>
    </w:r>
    <w:r w:rsidR="00F03D51" w:rsidRPr="00852F35">
      <w:rPr>
        <w:rFonts w:ascii="Segoe UI" w:hAnsi="Segoe UI" w:cs="Segoe UI"/>
        <w:noProof/>
        <w:color w:val="6E6E6E"/>
        <w:sz w:val="18"/>
      </w:rPr>
      <w:fldChar w:fldCharType="end"/>
    </w:r>
  </w:p>
  <w:p w14:paraId="65DAD02F" w14:textId="2E4612C8" w:rsidR="00096B93" w:rsidRDefault="00096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ABEAD" w14:textId="77777777" w:rsidR="008261CA" w:rsidRDefault="008261CA" w:rsidP="00F957C6">
      <w:pPr>
        <w:spacing w:after="0" w:line="240" w:lineRule="auto"/>
      </w:pPr>
      <w:r>
        <w:separator/>
      </w:r>
    </w:p>
  </w:footnote>
  <w:footnote w:type="continuationSeparator" w:id="0">
    <w:p w14:paraId="7DBB35B2" w14:textId="77777777" w:rsidR="008261CA" w:rsidRDefault="008261CA" w:rsidP="00F957C6">
      <w:pPr>
        <w:spacing w:after="0" w:line="240" w:lineRule="auto"/>
      </w:pPr>
      <w:r>
        <w:continuationSeparator/>
      </w:r>
    </w:p>
  </w:footnote>
  <w:footnote w:type="continuationNotice" w:id="1">
    <w:p w14:paraId="56E69C41" w14:textId="77777777" w:rsidR="008261CA" w:rsidRDefault="008261CA">
      <w:pPr>
        <w:spacing w:after="0" w:line="240" w:lineRule="auto"/>
      </w:pPr>
    </w:p>
  </w:footnote>
  <w:footnote w:id="2">
    <w:p w14:paraId="49497481" w14:textId="73CE555A" w:rsidR="0043172B" w:rsidRDefault="0043172B" w:rsidP="0043172B">
      <w:pPr>
        <w:pStyle w:val="FootnoteText"/>
      </w:pPr>
      <w:r>
        <w:rPr>
          <w:rStyle w:val="FootnoteReference"/>
        </w:rPr>
        <w:footnoteRef/>
      </w:r>
      <w:r>
        <w:t xml:space="preserve"> Australian Bureau of Statistics, Survey of Income and Housing, </w:t>
      </w:r>
      <w:r w:rsidR="00A4681D" w:rsidRPr="00A4681D">
        <w:t>https://www.abs.gov.au/statistics/people/housing/housing-census/latest-release</w:t>
      </w:r>
      <w:r>
        <w:t>.</w:t>
      </w:r>
    </w:p>
  </w:footnote>
  <w:footnote w:id="3">
    <w:p w14:paraId="220764C3" w14:textId="52A129EA" w:rsidR="0043172B" w:rsidRDefault="0043172B" w:rsidP="0043172B">
      <w:pPr>
        <w:pStyle w:val="FootnoteText"/>
      </w:pPr>
      <w:r>
        <w:rPr>
          <w:rStyle w:val="FootnoteReference"/>
        </w:rPr>
        <w:footnoteRef/>
      </w:r>
      <w:r>
        <w:t xml:space="preserve"> Australian Bureau of Statistics, 2021 Census</w:t>
      </w:r>
      <w:r w:rsidR="00A4681D">
        <w:t xml:space="preserve">, </w:t>
      </w:r>
      <w:r w:rsidR="00A4681D" w:rsidRPr="00A4681D">
        <w:t>https://www.abs.gov.au/statistics/people/housing/housing-census/latest-release</w:t>
      </w:r>
      <w:r>
        <w:t>.</w:t>
      </w:r>
    </w:p>
  </w:footnote>
  <w:footnote w:id="4">
    <w:p w14:paraId="52111FD8" w14:textId="6D19EE31" w:rsidR="003A63BC" w:rsidRDefault="003A63BC" w:rsidP="003A63BC">
      <w:pPr>
        <w:pStyle w:val="FootnoteText"/>
      </w:pPr>
      <w:r>
        <w:rPr>
          <w:rStyle w:val="FootnoteReference"/>
        </w:rPr>
        <w:footnoteRef/>
      </w:r>
      <w:r>
        <w:t xml:space="preserve"> Australian Bureau of Statistics, Survey of Income and Housing</w:t>
      </w:r>
      <w:r w:rsidR="00A67812">
        <w:t>,</w:t>
      </w:r>
      <w:r w:rsidR="00A67812" w:rsidRPr="00A67812">
        <w:rPr>
          <w:rFonts w:eastAsiaTheme="minorEastAsia"/>
          <w:color w:val="auto"/>
          <w:sz w:val="22"/>
          <w:szCs w:val="21"/>
        </w:rPr>
        <w:t xml:space="preserve"> </w:t>
      </w:r>
      <w:r w:rsidR="00FB0BAC" w:rsidRPr="00FB0BAC">
        <w:t>https://www.abs.gov.au/statistics/people/housing/housing-census/latest-release</w:t>
      </w:r>
      <w:r>
        <w:t>.</w:t>
      </w:r>
    </w:p>
  </w:footnote>
  <w:footnote w:id="5">
    <w:p w14:paraId="75FF7DB4" w14:textId="3506BBB1" w:rsidR="003A63BC" w:rsidRDefault="003A63BC" w:rsidP="003A63BC">
      <w:pPr>
        <w:pStyle w:val="FootnoteText"/>
      </w:pPr>
      <w:r>
        <w:rPr>
          <w:rStyle w:val="FootnoteReference"/>
        </w:rPr>
        <w:footnoteRef/>
      </w:r>
      <w:r>
        <w:t xml:space="preserve"> </w:t>
      </w:r>
      <w:r w:rsidR="003A3DA5">
        <w:t>Grattan Institute (2022), The Great Australian Nightmare report</w:t>
      </w:r>
      <w:r w:rsidR="00A67812">
        <w:t xml:space="preserve">, </w:t>
      </w:r>
      <w:r w:rsidR="004E31E6" w:rsidRPr="004E31E6">
        <w:t>https://grattan.edu.au/news/the-great-australian-nightmare/</w:t>
      </w:r>
      <w:r w:rsidR="003A3DA5">
        <w:t>.</w:t>
      </w:r>
    </w:p>
  </w:footnote>
  <w:footnote w:id="6">
    <w:p w14:paraId="6586533B" w14:textId="63792F41" w:rsidR="003A63BC" w:rsidRDefault="003A63BC" w:rsidP="003A63BC">
      <w:pPr>
        <w:pStyle w:val="FootnoteText"/>
      </w:pPr>
      <w:r>
        <w:rPr>
          <w:rStyle w:val="FootnoteReference"/>
        </w:rPr>
        <w:footnoteRef/>
      </w:r>
      <w:r>
        <w:t xml:space="preserve"> Grattan Institute (2022), The Great Australian Nightmare report</w:t>
      </w:r>
      <w:r w:rsidR="00A67812">
        <w:t>,</w:t>
      </w:r>
      <w:r w:rsidR="00A67812" w:rsidRPr="00A67812">
        <w:rPr>
          <w:rFonts w:eastAsiaTheme="minorEastAsia"/>
          <w:color w:val="auto"/>
          <w:sz w:val="22"/>
          <w:szCs w:val="21"/>
        </w:rPr>
        <w:t xml:space="preserve"> </w:t>
      </w:r>
      <w:r w:rsidR="004E31E6" w:rsidRPr="004E31E6">
        <w:t>https://grattan.edu.au/news/the-great-australian-nightmare/</w:t>
      </w:r>
      <w:r>
        <w:t>.</w:t>
      </w:r>
    </w:p>
  </w:footnote>
  <w:footnote w:id="7">
    <w:p w14:paraId="6D33ED8D" w14:textId="1E2EA45C" w:rsidR="003A63BC" w:rsidRDefault="003A63BC" w:rsidP="003A63BC">
      <w:pPr>
        <w:pStyle w:val="FootnoteText"/>
      </w:pPr>
      <w:r>
        <w:rPr>
          <w:rStyle w:val="FootnoteReference"/>
        </w:rPr>
        <w:footnoteRef/>
      </w:r>
      <w:r>
        <w:t xml:space="preserve"> Australian Bureau of Statistics, Survey of Income and Housing</w:t>
      </w:r>
      <w:r w:rsidR="00A67812">
        <w:t>,</w:t>
      </w:r>
      <w:r w:rsidR="00A67812" w:rsidRPr="00A67812">
        <w:t xml:space="preserve"> </w:t>
      </w:r>
      <w:r w:rsidR="00FB0BAC" w:rsidRPr="00FB0BAC">
        <w:t>https://www.abs.gov.au/statistics/people/housing/housing-census/latest-release</w:t>
      </w:r>
      <w:r>
        <w:t xml:space="preserve">. </w:t>
      </w:r>
    </w:p>
  </w:footnote>
  <w:footnote w:id="8">
    <w:p w14:paraId="6B813AEC" w14:textId="2701F94D" w:rsidR="00A832AE" w:rsidRDefault="00A01821" w:rsidP="00A01821">
      <w:pPr>
        <w:pStyle w:val="FootnoteText"/>
      </w:pPr>
      <w:r>
        <w:rPr>
          <w:rStyle w:val="FootnoteReference"/>
        </w:rPr>
        <w:footnoteRef/>
      </w:r>
      <w:r>
        <w:t xml:space="preserve"> </w:t>
      </w:r>
      <w:r w:rsidRPr="007633DC">
        <w:t>See page 4, Reserve Bank of Australia (2021), Submission to the Inquiry into Housing Affordability and Supply in Australia</w:t>
      </w:r>
      <w:r w:rsidR="001E4016">
        <w:t>,</w:t>
      </w:r>
      <w:r w:rsidR="00A832AE">
        <w:rPr>
          <w:rFonts w:eastAsiaTheme="minorEastAsia"/>
          <w:color w:val="auto"/>
          <w:sz w:val="22"/>
          <w:szCs w:val="21"/>
        </w:rPr>
        <w:t xml:space="preserve"> </w:t>
      </w:r>
      <w:hyperlink r:id="rId1" w:history="1">
        <w:r w:rsidR="00A832AE" w:rsidRPr="00754677">
          <w:rPr>
            <w:rStyle w:val="Hyperlink"/>
          </w:rPr>
          <w:t>https://www.aph.gov.au/Parliamentary_Business/Committees/House/Former_Committees/Tax_and_Revenue/Housingaffordability/Submissions</w:t>
        </w:r>
      </w:hyperlink>
      <w:r w:rsidR="00A832AE">
        <w:t>;</w:t>
      </w:r>
      <w:r w:rsidR="00A832AE">
        <w:rPr>
          <w:rFonts w:eastAsiaTheme="minorEastAsia"/>
          <w:color w:val="auto"/>
          <w:sz w:val="22"/>
          <w:szCs w:val="21"/>
        </w:rPr>
        <w:t xml:space="preserve"> </w:t>
      </w:r>
    </w:p>
    <w:p w14:paraId="1DF12826" w14:textId="62D6A430" w:rsidR="00A01821" w:rsidRDefault="00A01821" w:rsidP="00A01821">
      <w:pPr>
        <w:pStyle w:val="FootnoteText"/>
      </w:pPr>
      <w:r w:rsidRPr="0046445E">
        <w:t>Also, See Kohler and van der Merwe (2015), Long-run Trends in Housing Price Growth</w:t>
      </w:r>
      <w:r w:rsidR="0046445E" w:rsidRPr="0046445E">
        <w:t>,</w:t>
      </w:r>
      <w:r w:rsidR="0046445E" w:rsidRPr="0046445E">
        <w:rPr>
          <w:rFonts w:eastAsiaTheme="minorEastAsia"/>
          <w:color w:val="auto"/>
          <w:sz w:val="22"/>
          <w:szCs w:val="21"/>
        </w:rPr>
        <w:t xml:space="preserve"> </w:t>
      </w:r>
      <w:r w:rsidR="00FE262D" w:rsidRPr="00FE262D">
        <w:t>https://www.rba.gov.au/publications/bulletin/2015/sep/pdf/bu-0915-3.pdf</w:t>
      </w:r>
      <w:r w:rsidRPr="0046445E">
        <w:t>.</w:t>
      </w:r>
    </w:p>
  </w:footnote>
  <w:footnote w:id="9">
    <w:p w14:paraId="479DEB55" w14:textId="38E3FF1D" w:rsidR="00A01821" w:rsidRDefault="00A01821" w:rsidP="00A01821">
      <w:pPr>
        <w:pStyle w:val="FootnoteText"/>
      </w:pPr>
      <w:r>
        <w:rPr>
          <w:rStyle w:val="FootnoteReference"/>
        </w:rPr>
        <w:footnoteRef/>
      </w:r>
      <w:r>
        <w:t xml:space="preserve"> See graph A1 in Reserve Bank of Australia (2021), Submission to the Inquiry into Housing Affordability and Supply in Australia</w:t>
      </w:r>
      <w:r w:rsidR="00466C56">
        <w:t>,</w:t>
      </w:r>
      <w:r w:rsidR="00466C56" w:rsidRPr="00466C56">
        <w:t xml:space="preserve"> </w:t>
      </w:r>
      <w:r w:rsidR="002E36C3" w:rsidRPr="002E36C3">
        <w:t>https://www.aph.gov.au/Parliamentary_Business/Committees/House/Former_Committees/Tax_and_Revenue/Housingaffordability/Submissions</w:t>
      </w:r>
      <w:r>
        <w:t>.</w:t>
      </w:r>
    </w:p>
  </w:footnote>
  <w:footnote w:id="10">
    <w:p w14:paraId="1059F832" w14:textId="5E881AC4" w:rsidR="00A01821" w:rsidRDefault="00A01821" w:rsidP="00A01821">
      <w:pPr>
        <w:pStyle w:val="FootnoteText"/>
      </w:pPr>
      <w:r>
        <w:rPr>
          <w:rStyle w:val="FootnoteReference"/>
        </w:rPr>
        <w:footnoteRef/>
      </w:r>
      <w:r>
        <w:t xml:space="preserve"> ANZ – CoreLogic (2024)</w:t>
      </w:r>
      <w:r w:rsidR="00A40E95">
        <w:t>,</w:t>
      </w:r>
      <w:r w:rsidR="00A40E95" w:rsidRPr="00A40E95">
        <w:rPr>
          <w:rFonts w:eastAsiaTheme="minorEastAsia"/>
          <w:color w:val="auto"/>
          <w:sz w:val="22"/>
          <w:szCs w:val="21"/>
        </w:rPr>
        <w:t xml:space="preserve"> </w:t>
      </w:r>
      <w:r w:rsidR="004A3E4A" w:rsidRPr="004A3E4A">
        <w:t>https://www.anz.com.au/content/dam/anzcomau/bluenotes/documents/ANZ_CoreLogic_%20Housing_Affordability%20Report_November-2024.pdf</w:t>
      </w:r>
      <w:r>
        <w:t>.</w:t>
      </w:r>
    </w:p>
  </w:footnote>
  <w:footnote w:id="11">
    <w:p w14:paraId="6693413F" w14:textId="77777777" w:rsidR="00A01821" w:rsidRDefault="00A01821" w:rsidP="00A01821">
      <w:pPr>
        <w:pStyle w:val="FootnoteText"/>
      </w:pPr>
      <w:r>
        <w:rPr>
          <w:rStyle w:val="FootnoteReference"/>
        </w:rPr>
        <w:footnoteRef/>
      </w:r>
      <w:r>
        <w:t xml:space="preserve"> Other factors, beyond a large deposit hurdle, that have contributed to declining home ownership rates, include social and demographic factors (</w:t>
      </w:r>
      <w:hyperlink r:id="rId2" w:history="1">
        <w:r w:rsidRPr="004752FF">
          <w:t>RBA, 2015</w:t>
        </w:r>
      </w:hyperlink>
      <w:r>
        <w:t xml:space="preserve">; </w:t>
      </w:r>
      <w:hyperlink r:id="rId3" w:history="1">
        <w:r w:rsidRPr="004752FF">
          <w:t>Burke, Nygaard &amp; Ralston, 2020</w:t>
        </w:r>
      </w:hyperlink>
      <w:r w:rsidRPr="004752FF">
        <w:t xml:space="preserve">), </w:t>
      </w:r>
      <w:r>
        <w:t>rising intergenerational income inequality (</w:t>
      </w:r>
      <w:hyperlink r:id="rId4" w:anchor="page=6" w:history="1">
        <w:r w:rsidRPr="003618A0">
          <w:t>Yates, 2011</w:t>
        </w:r>
      </w:hyperlink>
      <w:r>
        <w:t>), and financial innovation (</w:t>
      </w:r>
      <w:hyperlink r:id="rId5" w:history="1">
        <w:r w:rsidRPr="003618A0">
          <w:t>RBA, 2015</w:t>
        </w:r>
      </w:hyperlink>
      <w:r>
        <w:t xml:space="preserve">; </w:t>
      </w:r>
      <w:hyperlink r:id="rId6" w:anchor="page=6" w:history="1">
        <w:r w:rsidRPr="003618A0">
          <w:t>Yates, 2011</w:t>
        </w:r>
      </w:hyperlink>
      <w:r w:rsidRPr="003618A0">
        <w:t>).</w:t>
      </w:r>
    </w:p>
  </w:footnote>
  <w:footnote w:id="12">
    <w:p w14:paraId="03651EE4" w14:textId="73512C9E" w:rsidR="00A01821" w:rsidRDefault="00A01821" w:rsidP="00A01821">
      <w:pPr>
        <w:pStyle w:val="FootnoteText"/>
      </w:pPr>
      <w:r>
        <w:rPr>
          <w:rStyle w:val="FootnoteReference"/>
        </w:rPr>
        <w:footnoteRef/>
      </w:r>
      <w:r>
        <w:t xml:space="preserve"> </w:t>
      </w:r>
      <w:r w:rsidR="003C4B4B">
        <w:t>ANZ – CoreLogic (2024),</w:t>
      </w:r>
      <w:r w:rsidR="003C4B4B" w:rsidRPr="00A40E95">
        <w:rPr>
          <w:rFonts w:eastAsiaTheme="minorEastAsia"/>
          <w:color w:val="auto"/>
          <w:sz w:val="22"/>
          <w:szCs w:val="21"/>
        </w:rPr>
        <w:t xml:space="preserve"> </w:t>
      </w:r>
      <w:r w:rsidR="004A3E4A" w:rsidRPr="004A3E4A">
        <w:t>https://www.anz.com.au/content/dam/anzcomau/bluenotes/documents/ANZ_CoreLogic_%20Housing_Affordability%20Report_November-2024.pdf</w:t>
      </w:r>
      <w:r w:rsidR="003C4B4B">
        <w:t>.</w:t>
      </w:r>
    </w:p>
  </w:footnote>
  <w:footnote w:id="13">
    <w:p w14:paraId="595EB518" w14:textId="1EAC79D5" w:rsidR="00A01821" w:rsidRDefault="00A01821" w:rsidP="00A01821">
      <w:pPr>
        <w:pStyle w:val="FootnoteText"/>
      </w:pPr>
      <w:r>
        <w:rPr>
          <w:rStyle w:val="FootnoteReference"/>
        </w:rPr>
        <w:footnoteRef/>
      </w:r>
      <w:r>
        <w:t xml:space="preserve"> 2024-25 Budget Paper No. 1, Statement 4: Meeting Australia’s Housing Challenge, p. 136</w:t>
      </w:r>
      <w:r w:rsidR="003C4B4B">
        <w:t xml:space="preserve">, </w:t>
      </w:r>
      <w:r w:rsidR="001D3170" w:rsidRPr="001D3170">
        <w:t>https://archive.budget.gov.au/2024-25/bp1/download/bp1_bs-4.pdf</w:t>
      </w:r>
      <w:r w:rsidR="008D0698">
        <w:t>.</w:t>
      </w:r>
    </w:p>
    <w:p w14:paraId="21563043" w14:textId="78419F85" w:rsidR="00A01821" w:rsidRDefault="00A01821" w:rsidP="00A01821">
      <w:pPr>
        <w:pStyle w:val="FootnoteText"/>
      </w:pPr>
      <w:r>
        <w:t>Note: Income refers to median gross disposable household income. Data is for national dwellings, reported quarterly.</w:t>
      </w:r>
    </w:p>
  </w:footnote>
  <w:footnote w:id="14">
    <w:p w14:paraId="02864C51" w14:textId="0099597E" w:rsidR="00A01821" w:rsidRDefault="00A01821" w:rsidP="00A01821">
      <w:pPr>
        <w:pStyle w:val="FootnoteText"/>
      </w:pPr>
      <w:r>
        <w:rPr>
          <w:rStyle w:val="FootnoteReference"/>
        </w:rPr>
        <w:footnoteRef/>
      </w:r>
      <w:r>
        <w:t xml:space="preserve"> PropTrack Housing Affordability Report 2024</w:t>
      </w:r>
      <w:r w:rsidR="00424FEC">
        <w:t>,</w:t>
      </w:r>
      <w:r w:rsidR="00424FEC" w:rsidRPr="00424FEC">
        <w:rPr>
          <w:rFonts w:eastAsiaTheme="minorEastAsia"/>
          <w:color w:val="auto"/>
          <w:sz w:val="22"/>
          <w:szCs w:val="21"/>
        </w:rPr>
        <w:t xml:space="preserve"> </w:t>
      </w:r>
      <w:r w:rsidR="00AB35CC" w:rsidRPr="00AB35CC">
        <w:t>https://cdn.rea-group.com/wp-content/uploads/2024/09/21004733/PropTrack-Housing-Affordability-Report-August-2024.pdf</w:t>
      </w:r>
      <w:r>
        <w:t>.</w:t>
      </w:r>
    </w:p>
  </w:footnote>
  <w:footnote w:id="15">
    <w:p w14:paraId="752A67F6" w14:textId="78053A07" w:rsidR="00A01821" w:rsidRDefault="00A01821" w:rsidP="00A01821">
      <w:pPr>
        <w:pStyle w:val="FootnoteText"/>
      </w:pPr>
      <w:r>
        <w:rPr>
          <w:rStyle w:val="FootnoteReference"/>
        </w:rPr>
        <w:footnoteRef/>
      </w:r>
      <w:r>
        <w:t xml:space="preserve"> Reserve Bank of Australia (202</w:t>
      </w:r>
      <w:r w:rsidR="00C07181">
        <w:t>5</w:t>
      </w:r>
      <w:r>
        <w:t xml:space="preserve">), </w:t>
      </w:r>
      <w:r w:rsidR="00B47C12" w:rsidRPr="00B47C12">
        <w:t>https://www.rba.gov.au/statistics/cash-rate/</w:t>
      </w:r>
      <w:r>
        <w:t xml:space="preserve">. </w:t>
      </w:r>
    </w:p>
  </w:footnote>
  <w:footnote w:id="16">
    <w:p w14:paraId="76E32C79" w14:textId="77777777" w:rsidR="00A01821" w:rsidRDefault="00A01821" w:rsidP="00A01821">
      <w:pPr>
        <w:pStyle w:val="FootnoteText"/>
      </w:pPr>
      <w:r>
        <w:rPr>
          <w:rStyle w:val="FootnoteReference"/>
        </w:rPr>
        <w:footnoteRef/>
      </w:r>
      <w:r>
        <w:t xml:space="preserve"> </w:t>
      </w:r>
      <w:r w:rsidRPr="00C21EA9">
        <w:t>Mr Johnathan Mott, Founding Partner, Barrenjoey, </w:t>
      </w:r>
      <w:r w:rsidRPr="00C21EA9">
        <w:rPr>
          <w:i/>
          <w:iCs/>
        </w:rPr>
        <w:t>Proof Committee Hansard</w:t>
      </w:r>
      <w:r w:rsidRPr="00C21EA9">
        <w:t>, 16</w:t>
      </w:r>
      <w:r>
        <w:t xml:space="preserve"> </w:t>
      </w:r>
      <w:r w:rsidRPr="00C21EA9">
        <w:t>October 2024, p. 25.</w:t>
      </w:r>
    </w:p>
  </w:footnote>
  <w:footnote w:id="17">
    <w:p w14:paraId="65B795BD" w14:textId="672EFD9C" w:rsidR="009C32E3" w:rsidRDefault="009C32E3" w:rsidP="009C32E3">
      <w:pPr>
        <w:pStyle w:val="FootnoteText"/>
      </w:pPr>
      <w:r>
        <w:rPr>
          <w:rStyle w:val="FootnoteReference"/>
        </w:rPr>
        <w:footnoteRef/>
      </w:r>
      <w:r>
        <w:t xml:space="preserve"> Housing Australia, </w:t>
      </w:r>
      <w:r w:rsidR="00B438A2">
        <w:t>Home Guarantee Scheme</w:t>
      </w:r>
      <w:r>
        <w:t xml:space="preserve"> Trends and Insights Report 2023-24</w:t>
      </w:r>
      <w:r w:rsidR="00A32365">
        <w:t>,</w:t>
      </w:r>
      <w:r w:rsidR="00A32365" w:rsidRPr="00A32365">
        <w:rPr>
          <w:rFonts w:eastAsiaTheme="minorEastAsia"/>
          <w:color w:val="auto"/>
          <w:sz w:val="22"/>
          <w:szCs w:val="21"/>
        </w:rPr>
        <w:t xml:space="preserve"> </w:t>
      </w:r>
      <w:r w:rsidR="003329FF" w:rsidRPr="003329FF">
        <w:t>https://www.housingaustralia.gov.au/research-data-analytics/hgs-trends-and-insights-report-2023-24</w:t>
      </w:r>
    </w:p>
  </w:footnote>
  <w:footnote w:id="18">
    <w:p w14:paraId="4EF86A7F" w14:textId="7473DC5C" w:rsidR="009C32E3" w:rsidRDefault="009C32E3" w:rsidP="009C32E3">
      <w:pPr>
        <w:pStyle w:val="FootnoteText"/>
      </w:pPr>
      <w:r>
        <w:rPr>
          <w:rStyle w:val="FootnoteReference"/>
        </w:rPr>
        <w:footnoteRef/>
      </w:r>
      <w:r>
        <w:t xml:space="preserve"> Housing Australia, </w:t>
      </w:r>
      <w:r w:rsidR="00B438A2">
        <w:t>Home Guarantee Scheme</w:t>
      </w:r>
      <w:r>
        <w:t xml:space="preserve"> Trends and Insights Report 2023-24</w:t>
      </w:r>
      <w:r w:rsidR="00A32365">
        <w:t>,</w:t>
      </w:r>
      <w:r w:rsidR="00A32365" w:rsidRPr="00A32365">
        <w:rPr>
          <w:rFonts w:eastAsiaTheme="minorEastAsia"/>
          <w:color w:val="auto"/>
          <w:sz w:val="22"/>
          <w:szCs w:val="21"/>
        </w:rPr>
        <w:t xml:space="preserve"> </w:t>
      </w:r>
      <w:r w:rsidR="00CB4BA7" w:rsidRPr="00CB4BA7">
        <w:t>https://www.housingaustralia.gov.au/research-data-analytics/hgs-trends-and-insights-report-2023-24</w:t>
      </w:r>
      <w:r>
        <w:t>.</w:t>
      </w:r>
    </w:p>
  </w:footnote>
  <w:footnote w:id="19">
    <w:p w14:paraId="2B1A6720" w14:textId="6267EF22" w:rsidR="009C32E3" w:rsidRDefault="009C32E3" w:rsidP="009C32E3">
      <w:pPr>
        <w:pStyle w:val="FootnoteText"/>
      </w:pPr>
      <w:r>
        <w:rPr>
          <w:rStyle w:val="FootnoteReference"/>
        </w:rPr>
        <w:footnoteRef/>
      </w:r>
      <w:r>
        <w:t xml:space="preserve"> National Housing Finance and Investment Corporation, First Home Loan Deposit </w:t>
      </w:r>
      <w:r w:rsidR="00B438A2">
        <w:t>Scheme</w:t>
      </w:r>
      <w:r>
        <w:t xml:space="preserve"> and New Home Guarantee Trends and Insights Report 2020-21</w:t>
      </w:r>
      <w:r w:rsidR="00CA3AC1">
        <w:t>,</w:t>
      </w:r>
      <w:r w:rsidR="00CA3AC1" w:rsidRPr="00CA3AC1">
        <w:rPr>
          <w:rFonts w:eastAsiaTheme="minorEastAsia"/>
          <w:color w:val="auto"/>
          <w:sz w:val="22"/>
          <w:szCs w:val="21"/>
        </w:rPr>
        <w:t xml:space="preserve"> </w:t>
      </w:r>
      <w:r w:rsidR="00136502" w:rsidRPr="00136502">
        <w:t>https://www.housingaustralia.gov.au/research-data-analytics/fhlds-trends-and-insights-report-2021-22</w:t>
      </w:r>
      <w:r>
        <w:t>.</w:t>
      </w:r>
    </w:p>
  </w:footnote>
  <w:footnote w:id="20">
    <w:p w14:paraId="11746404" w14:textId="18395B53" w:rsidR="00F706D3" w:rsidRDefault="00F706D3" w:rsidP="00F706D3">
      <w:pPr>
        <w:pStyle w:val="FootnoteText"/>
      </w:pPr>
      <w:r>
        <w:rPr>
          <w:rStyle w:val="FootnoteReference"/>
        </w:rPr>
        <w:footnoteRef/>
      </w:r>
      <w:r>
        <w:t xml:space="preserve"> Productivity Commission (2004), First Home Ownership - Productivity Commission Inquiry Report</w:t>
      </w:r>
      <w:r w:rsidR="003923B4">
        <w:t>,</w:t>
      </w:r>
      <w:r w:rsidR="003923B4" w:rsidRPr="003923B4">
        <w:rPr>
          <w:rFonts w:eastAsiaTheme="minorEastAsia"/>
          <w:color w:val="auto"/>
          <w:sz w:val="22"/>
          <w:szCs w:val="21"/>
        </w:rPr>
        <w:t xml:space="preserve"> </w:t>
      </w:r>
      <w:r w:rsidR="005630A7" w:rsidRPr="005630A7">
        <w:t>https://www.pc.gov.au/inquiries/completed/first-home-ownership/report/housing.pdf</w:t>
      </w:r>
      <w:r>
        <w:t>.</w:t>
      </w:r>
    </w:p>
  </w:footnote>
  <w:footnote w:id="21">
    <w:p w14:paraId="392D982A" w14:textId="1D807D7F" w:rsidR="00F706D3" w:rsidRDefault="00F706D3" w:rsidP="00F706D3">
      <w:pPr>
        <w:pStyle w:val="FootnoteText"/>
      </w:pPr>
      <w:r>
        <w:rPr>
          <w:rStyle w:val="FootnoteReference"/>
        </w:rPr>
        <w:footnoteRef/>
      </w:r>
      <w:r>
        <w:t xml:space="preserve"> Productivity Commission (2004), First Home Ownership - Productivity Commission Inquiry Report</w:t>
      </w:r>
      <w:r w:rsidR="003923B4">
        <w:t>,</w:t>
      </w:r>
      <w:r w:rsidR="003923B4" w:rsidRPr="003923B4">
        <w:rPr>
          <w:rFonts w:eastAsiaTheme="minorEastAsia"/>
          <w:color w:val="auto"/>
          <w:sz w:val="22"/>
          <w:szCs w:val="21"/>
        </w:rPr>
        <w:t xml:space="preserve"> </w:t>
      </w:r>
      <w:r w:rsidR="005630A7" w:rsidRPr="005630A7">
        <w:t>https://www.pc.gov.au/inquiries/completed/first-home-ownership/report/housing.pdf</w:t>
      </w:r>
      <w:r>
        <w:t>.</w:t>
      </w:r>
    </w:p>
  </w:footnote>
  <w:footnote w:id="22">
    <w:p w14:paraId="25334B44" w14:textId="62693811" w:rsidR="00F706D3" w:rsidRDefault="00F706D3" w:rsidP="00F706D3">
      <w:pPr>
        <w:pStyle w:val="FootnoteText"/>
      </w:pPr>
      <w:r>
        <w:rPr>
          <w:rStyle w:val="FootnoteReference"/>
        </w:rPr>
        <w:footnoteRef/>
      </w:r>
      <w:r>
        <w:t xml:space="preserve"> Treasury (2020), Retirement Income Review</w:t>
      </w:r>
      <w:r w:rsidR="003923B4">
        <w:t>,</w:t>
      </w:r>
      <w:r w:rsidR="003923B4" w:rsidRPr="003923B4">
        <w:rPr>
          <w:rFonts w:eastAsiaTheme="minorEastAsia"/>
          <w:color w:val="auto"/>
          <w:sz w:val="22"/>
          <w:szCs w:val="21"/>
        </w:rPr>
        <w:t xml:space="preserve"> </w:t>
      </w:r>
      <w:r w:rsidR="005630A7" w:rsidRPr="00FC141A">
        <w:t>https://treasury.gov.au/sites/default/files/2021-02/p2020-100554-udcomplete-report.pdf</w:t>
      </w:r>
      <w:r w:rsidR="005630A7">
        <w:t>.</w:t>
      </w:r>
    </w:p>
  </w:footnote>
  <w:footnote w:id="23">
    <w:p w14:paraId="3BDB3889" w14:textId="570D3785" w:rsidR="00F706D3" w:rsidRDefault="00F706D3" w:rsidP="00F706D3">
      <w:pPr>
        <w:pStyle w:val="FootnoteText"/>
      </w:pPr>
      <w:r>
        <w:rPr>
          <w:rStyle w:val="FootnoteReference"/>
        </w:rPr>
        <w:footnoteRef/>
      </w:r>
      <w:r>
        <w:t xml:space="preserve"> Treasury (202</w:t>
      </w:r>
      <w:r w:rsidR="00DF638D">
        <w:t>1</w:t>
      </w:r>
      <w:r>
        <w:t>), Intergenerational Report</w:t>
      </w:r>
      <w:r w:rsidR="003923B4">
        <w:t>,</w:t>
      </w:r>
      <w:r w:rsidR="003923B4" w:rsidRPr="003923B4">
        <w:rPr>
          <w:rFonts w:eastAsiaTheme="minorEastAsia"/>
          <w:color w:val="auto"/>
          <w:sz w:val="22"/>
          <w:szCs w:val="21"/>
        </w:rPr>
        <w:t xml:space="preserve"> </w:t>
      </w:r>
      <w:r w:rsidR="005630A7" w:rsidRPr="00FC141A">
        <w:t>https://treasury.gov.au/publication/2021-intergenerational-report</w:t>
      </w:r>
      <w:r>
        <w:t>.</w:t>
      </w:r>
    </w:p>
  </w:footnote>
  <w:footnote w:id="24">
    <w:p w14:paraId="151BE4C5" w14:textId="44F0A072" w:rsidR="008C1B1F" w:rsidRDefault="008C1B1F" w:rsidP="008C1B1F">
      <w:pPr>
        <w:pStyle w:val="FootnoteText"/>
      </w:pPr>
      <w:r>
        <w:rPr>
          <w:rStyle w:val="FootnoteReference"/>
        </w:rPr>
        <w:footnoteRef/>
      </w:r>
      <w:r>
        <w:t xml:space="preserve"> Ong ViforJ, R., Graham, J., Cigdem-Bayram, M., Phelps, C. and Whelan, S. (2023) </w:t>
      </w:r>
      <w:r w:rsidRPr="002413E4">
        <w:rPr>
          <w:i/>
          <w:iCs/>
        </w:rPr>
        <w:t>Financing first home ownership: modelling policy impacts at market and individual levels</w:t>
      </w:r>
      <w:r>
        <w:t>, AHURI Final Report No. 398, Australian Housing and Urban Research Institute Limited, Melbourne</w:t>
      </w:r>
      <w:r w:rsidR="008E3364">
        <w:t>,</w:t>
      </w:r>
      <w:r w:rsidR="008E3364" w:rsidRPr="008E3364">
        <w:rPr>
          <w:rFonts w:eastAsiaTheme="minorEastAsia"/>
          <w:color w:val="auto"/>
          <w:sz w:val="22"/>
          <w:szCs w:val="21"/>
        </w:rPr>
        <w:t xml:space="preserve"> </w:t>
      </w:r>
      <w:r w:rsidR="008733D4" w:rsidRPr="008733D4">
        <w:t>https://www.ahuri.edu.au/sites/default/files/documents/2023-05/AHURI-Final-Report-398-Financing-first%20home-ownership-modelling-policy-impacts-at-market-and-individual-levels.pdf</w:t>
      </w:r>
      <w:r>
        <w:t>.</w:t>
      </w:r>
    </w:p>
  </w:footnote>
  <w:footnote w:id="25">
    <w:p w14:paraId="6A241E20" w14:textId="2464D936" w:rsidR="008C1B1F" w:rsidRDefault="008C1B1F" w:rsidP="008C1B1F">
      <w:pPr>
        <w:pStyle w:val="FootnoteText"/>
      </w:pPr>
      <w:r>
        <w:rPr>
          <w:rStyle w:val="FootnoteReference"/>
        </w:rPr>
        <w:footnoteRef/>
      </w:r>
      <w:r>
        <w:t xml:space="preserve"> Ong ViforJ, R., Graham, J., Cigdem-Bayram, M., Phelps, C. and Whelan, S. (2023) </w:t>
      </w:r>
      <w:r w:rsidRPr="00435505">
        <w:rPr>
          <w:i/>
          <w:iCs/>
        </w:rPr>
        <w:t>Financing first home ownership: modelling policy impacts at market and individual levels</w:t>
      </w:r>
      <w:r>
        <w:t>, AHURI Final Report No. 398, Australian Housing and Urban Research Institute Limited, Melbourne</w:t>
      </w:r>
      <w:r w:rsidR="008E3364">
        <w:t>,</w:t>
      </w:r>
      <w:r w:rsidR="008E3364" w:rsidRPr="008E3364">
        <w:rPr>
          <w:rFonts w:eastAsiaTheme="minorEastAsia"/>
          <w:color w:val="auto"/>
          <w:sz w:val="22"/>
          <w:szCs w:val="21"/>
        </w:rPr>
        <w:t xml:space="preserve"> </w:t>
      </w:r>
      <w:r w:rsidR="008733D4" w:rsidRPr="008733D4">
        <w:t>https://www.ahuri.edu.au/sites/default/files/documents/2023-05/AHURI-Final-Report-398-Financing-first%20home-ownership-modelling-policy-impacts-at-market-and-individual-levels.pdf</w:t>
      </w:r>
      <w:r>
        <w:t>.</w:t>
      </w:r>
    </w:p>
  </w:footnote>
  <w:footnote w:id="26">
    <w:p w14:paraId="06A4932F" w14:textId="77777777" w:rsidR="008C1B1F" w:rsidRDefault="008C1B1F" w:rsidP="008C1B1F">
      <w:pPr>
        <w:pStyle w:val="FootnoteText"/>
      </w:pPr>
      <w:r>
        <w:rPr>
          <w:rStyle w:val="FootnoteReference"/>
        </w:rPr>
        <w:footnoteRef/>
      </w:r>
      <w:r>
        <w:t xml:space="preserve"> Based on a 30-year mortgage term for an owner occupier, excluding stamp duty (</w:t>
      </w:r>
      <w:r w:rsidRPr="00D803FB">
        <w:t>https://helia.com.au/the-hub/calculators-estimators/lmi-fee-estimator</w:t>
      </w:r>
      <w:r>
        <w:t>).</w:t>
      </w:r>
    </w:p>
  </w:footnote>
  <w:footnote w:id="27">
    <w:p w14:paraId="4D409D1B" w14:textId="78333BDC" w:rsidR="004A0EF9" w:rsidRDefault="004A0EF9" w:rsidP="004A0EF9">
      <w:pPr>
        <w:pStyle w:val="FootnoteText"/>
      </w:pPr>
      <w:r>
        <w:rPr>
          <w:rStyle w:val="FootnoteReference"/>
        </w:rPr>
        <w:footnoteRef/>
      </w:r>
      <w:r>
        <w:t xml:space="preserve"> Ong ViforJ, R., Graham, J., Cigdem-Bayram, M., Phelps, C. and Whelan, S. (2023) </w:t>
      </w:r>
      <w:r w:rsidRPr="00435505">
        <w:rPr>
          <w:i/>
          <w:iCs/>
        </w:rPr>
        <w:t>Financing first home ownership: modelling policy impacts at market and individual levels</w:t>
      </w:r>
      <w:r>
        <w:t>, AHURI Final Report No. 398, Australian Housing and Urban Research Institute Limited, Melbourne</w:t>
      </w:r>
      <w:r w:rsidR="00775558">
        <w:t>,</w:t>
      </w:r>
      <w:r w:rsidR="00775558" w:rsidRPr="00775558">
        <w:t xml:space="preserve"> </w:t>
      </w:r>
      <w:r w:rsidR="00775558" w:rsidRPr="008733D4">
        <w:t>https://www.ahuri.edu.au/sites/default/files/documents/2023-05/AHURI-Final-Report-398-Financing-first%20home-ownership-modelling-policy-impacts-at-market-and-individual-levels.pdf</w:t>
      </w:r>
      <w:r>
        <w:t>.</w:t>
      </w:r>
    </w:p>
    <w:p w14:paraId="42D7F757" w14:textId="77777777" w:rsidR="004A0EF9" w:rsidRDefault="004A0EF9" w:rsidP="004A0EF9">
      <w:pPr>
        <w:pStyle w:val="FootnoteText"/>
      </w:pPr>
      <w:r>
        <w:t>Note: These estimates do not account for the 50,000 place cap currently legislated for HGS.</w:t>
      </w:r>
    </w:p>
  </w:footnote>
  <w:footnote w:id="28">
    <w:p w14:paraId="723898F9" w14:textId="12A11E85" w:rsidR="004A0EF9" w:rsidRDefault="004A0EF9" w:rsidP="004A0EF9">
      <w:pPr>
        <w:pStyle w:val="FootnoteText"/>
      </w:pPr>
      <w:r>
        <w:rPr>
          <w:rStyle w:val="FootnoteReference"/>
        </w:rPr>
        <w:footnoteRef/>
      </w:r>
      <w:r>
        <w:t xml:space="preserve"> Ong ViforJ, R., Graham, J., Cigdem-Bayram, M., Phelps, C. and Whelan, S. (2023) </w:t>
      </w:r>
      <w:r w:rsidRPr="00435505">
        <w:rPr>
          <w:i/>
          <w:iCs/>
        </w:rPr>
        <w:t>Financing first home ownership: modelling policy impacts at market and individual levels</w:t>
      </w:r>
      <w:r>
        <w:t>, AHURI Final Report No. 398, Australian Housing and Urban Research Institute Limited, Melbourne</w:t>
      </w:r>
      <w:r w:rsidR="00775558">
        <w:t>,</w:t>
      </w:r>
      <w:r w:rsidR="00775558" w:rsidRPr="00775558">
        <w:t xml:space="preserve"> </w:t>
      </w:r>
      <w:r w:rsidR="00775558" w:rsidRPr="008733D4">
        <w:t>https://www.ahuri.edu.au/sites/default/files/documents/2023-05/AHURI-Final-Report-398-Financing-first%20home-ownership-modelling-policy-impacts-at-market-and-individual-levels.pdf</w:t>
      </w:r>
      <w:r>
        <w:t>.</w:t>
      </w:r>
    </w:p>
  </w:footnote>
  <w:footnote w:id="29">
    <w:p w14:paraId="61910B74" w14:textId="7810C059" w:rsidR="000F23C0" w:rsidRPr="00370E6F" w:rsidRDefault="000F23C0">
      <w:pPr>
        <w:pStyle w:val="FootnoteText"/>
      </w:pPr>
      <w:r>
        <w:rPr>
          <w:rStyle w:val="FootnoteReference"/>
        </w:rPr>
        <w:footnoteRef/>
      </w:r>
      <w:r>
        <w:t xml:space="preserve"> </w:t>
      </w:r>
      <w:r w:rsidR="00370E6F">
        <w:t xml:space="preserve">Regional Centres are defined in the </w:t>
      </w:r>
      <w:r w:rsidR="00370E6F">
        <w:rPr>
          <w:i/>
          <w:iCs/>
        </w:rPr>
        <w:t xml:space="preserve">Help to Buy Program Directions </w:t>
      </w:r>
      <w:r w:rsidR="00370E6F">
        <w:t>s7(2).</w:t>
      </w:r>
    </w:p>
  </w:footnote>
  <w:footnote w:id="30">
    <w:p w14:paraId="21495B35" w14:textId="5B6D2B72" w:rsidR="003D0095" w:rsidRDefault="003D0095">
      <w:pPr>
        <w:pStyle w:val="FootnoteText"/>
      </w:pPr>
      <w:r>
        <w:rPr>
          <w:rStyle w:val="FootnoteReference"/>
        </w:rPr>
        <w:footnoteRef/>
      </w:r>
      <w:r>
        <w:t xml:space="preserve"> </w:t>
      </w:r>
      <w:r w:rsidR="00453B01">
        <w:t xml:space="preserve">For example, see </w:t>
      </w:r>
      <w:r w:rsidR="00370E6F" w:rsidRPr="00370E6F">
        <w:t>State Revenue Office Victoria, Annual Review 2023-24, https://annualreview2324.sro.vic.gov.au/delivering-for-victorians/helping-victorians-own-their-homes.</w:t>
      </w:r>
    </w:p>
  </w:footnote>
  <w:footnote w:id="31">
    <w:p w14:paraId="71ADF6F1" w14:textId="5B055057" w:rsidR="004C1990" w:rsidRDefault="004C1990">
      <w:pPr>
        <w:pStyle w:val="FootnoteText"/>
      </w:pPr>
      <w:r>
        <w:rPr>
          <w:rStyle w:val="FootnoteReference"/>
        </w:rPr>
        <w:footnoteRef/>
      </w:r>
      <w:r>
        <w:t xml:space="preserve"> </w:t>
      </w:r>
      <w:r w:rsidR="008B2981">
        <w:t xml:space="preserve">Atalay, K. Edwards, R. </w:t>
      </w:r>
      <w:r w:rsidR="001349A8">
        <w:t>Han, F</w:t>
      </w:r>
      <w:r w:rsidR="008B2981">
        <w:t>. (202</w:t>
      </w:r>
      <w:r w:rsidR="00D715C0">
        <w:t>4</w:t>
      </w:r>
      <w:r w:rsidR="008B2981">
        <w:t xml:space="preserve">) </w:t>
      </w:r>
      <w:r w:rsidR="00D715C0">
        <w:rPr>
          <w:i/>
          <w:iCs/>
        </w:rPr>
        <w:t>Lost in Transition: A Cohort Analysis of Catch-Up in Homeownership in Australia</w:t>
      </w:r>
      <w:r w:rsidR="008B2981">
        <w:t xml:space="preserve">, </w:t>
      </w:r>
      <w:r w:rsidR="006B2FC0">
        <w:t>Economic Record, Vol. 1</w:t>
      </w:r>
      <w:r w:rsidR="00EB37F0">
        <w:t>00, No. 331, December 2024</w:t>
      </w:r>
      <w:r w:rsidR="008B2981">
        <w:t>,</w:t>
      </w:r>
      <w:r w:rsidR="00723BE7">
        <w:t xml:space="preserve"> 513</w:t>
      </w:r>
      <w:r w:rsidR="00AE504A">
        <w:t>-532</w:t>
      </w:r>
      <w:r w:rsidR="00326739">
        <w:t xml:space="preserve">, </w:t>
      </w:r>
      <w:r w:rsidR="00326739" w:rsidRPr="00326739">
        <w:t>https://onlinelibrary.wiley.com/doi/full/10.1111/1475-4932.12831</w:t>
      </w:r>
      <w:r w:rsidR="008B2981">
        <w:t>.</w:t>
      </w:r>
    </w:p>
  </w:footnote>
  <w:footnote w:id="32">
    <w:p w14:paraId="60A7EDE0" w14:textId="54A8A8AF" w:rsidR="00011BDB" w:rsidRDefault="00011BDB">
      <w:pPr>
        <w:pStyle w:val="FootnoteText"/>
      </w:pPr>
      <w:r>
        <w:rPr>
          <w:rStyle w:val="FootnoteReference"/>
        </w:rPr>
        <w:footnoteRef/>
      </w:r>
      <w:r>
        <w:t xml:space="preserve"> </w:t>
      </w:r>
      <w:r w:rsidR="0044009A">
        <w:t>ABS Lending Indicators, December Quarter 2024</w:t>
      </w:r>
      <w:r w:rsidR="00CE4887">
        <w:t xml:space="preserve">, </w:t>
      </w:r>
      <w:r w:rsidR="00CE4887" w:rsidRPr="00CE4887">
        <w:t>https://www.abs.gov.au/statistics/economy/finance/lending-indicators/dec-quarter-2024</w:t>
      </w:r>
      <w:r w:rsidR="0044009A">
        <w:t>.</w:t>
      </w:r>
    </w:p>
  </w:footnote>
  <w:footnote w:id="33">
    <w:p w14:paraId="55AC005C" w14:textId="4D692157" w:rsidR="00261000" w:rsidRDefault="00261000">
      <w:pPr>
        <w:pStyle w:val="FootnoteText"/>
      </w:pPr>
      <w:r>
        <w:rPr>
          <w:rStyle w:val="FootnoteReference"/>
        </w:rPr>
        <w:footnoteRef/>
      </w:r>
      <w:r>
        <w:t xml:space="preserve"> Treasury estimate using </w:t>
      </w:r>
      <w:r w:rsidR="00AC6678">
        <w:t>CoreLogic data.</w:t>
      </w:r>
    </w:p>
  </w:footnote>
  <w:footnote w:id="34">
    <w:p w14:paraId="010A1FFA" w14:textId="3FF9CF2D" w:rsidR="009A6A99" w:rsidRDefault="009A6A99">
      <w:pPr>
        <w:pStyle w:val="FootnoteText"/>
      </w:pPr>
      <w:r>
        <w:rPr>
          <w:rStyle w:val="FootnoteReference"/>
        </w:rPr>
        <w:footnoteRef/>
      </w:r>
      <w:r>
        <w:t xml:space="preserve"> Grattan Institute (202</w:t>
      </w:r>
      <w:r w:rsidR="00170E71">
        <w:t>3</w:t>
      </w:r>
      <w:r>
        <w:t xml:space="preserve">), </w:t>
      </w:r>
      <w:r w:rsidR="002A2B03">
        <w:t xml:space="preserve">Opening remarks to the </w:t>
      </w:r>
      <w:r>
        <w:t>Senate Economics Committee inquiry into the Help to Buy Bill 2023</w:t>
      </w:r>
      <w:r w:rsidR="00CE4887">
        <w:t xml:space="preserve">, </w:t>
      </w:r>
      <w:r w:rsidR="00CE4887" w:rsidRPr="00CE4887">
        <w:t>https://grattan.edu.au/news/pass-the-help-to-buy-bill/</w:t>
      </w:r>
      <w:r>
        <w:t>.</w:t>
      </w:r>
    </w:p>
  </w:footnote>
  <w:footnote w:id="35">
    <w:p w14:paraId="1FA9F14D" w14:textId="47EDDB01" w:rsidR="00C73B7C" w:rsidRDefault="00C73B7C" w:rsidP="00C73B7C">
      <w:pPr>
        <w:pStyle w:val="FootnoteText"/>
      </w:pPr>
      <w:r>
        <w:rPr>
          <w:rStyle w:val="FootnoteReference"/>
        </w:rPr>
        <w:footnoteRef/>
      </w:r>
      <w:r>
        <w:t xml:space="preserve"> Ong ViforJ, R., Graham, J., Cigdem-Bayram, M., Phelps, C. and Whelan, S. (2023) </w:t>
      </w:r>
      <w:r w:rsidRPr="00435505">
        <w:rPr>
          <w:i/>
          <w:iCs/>
        </w:rPr>
        <w:t>Financing first home ownership: modelling policy impacts at market and individual levels</w:t>
      </w:r>
      <w:r>
        <w:t>, AHURI Final Report No. 398, Australian Housing and Urban Research Institute Limited, Melbourne</w:t>
      </w:r>
      <w:r w:rsidR="00CE4887">
        <w:t xml:space="preserve">, </w:t>
      </w:r>
      <w:r w:rsidR="00CE4887" w:rsidRPr="008733D4">
        <w:t>https://www.ahuri.edu.au/sites/default/files/documents/2023-05/AHURI-Final-Report-398-Financing-first%20home-ownership-modelling-policy-impacts-at-market-and-individual-levels.pdf</w:t>
      </w:r>
      <w:r>
        <w:t>.</w:t>
      </w:r>
    </w:p>
  </w:footnote>
  <w:footnote w:id="36">
    <w:p w14:paraId="559ADD67" w14:textId="2BD04CDB" w:rsidR="00C73B7C" w:rsidRDefault="00C73B7C" w:rsidP="00C73B7C">
      <w:pPr>
        <w:pStyle w:val="FootnoteText"/>
      </w:pPr>
      <w:r>
        <w:rPr>
          <w:rStyle w:val="FootnoteReference"/>
        </w:rPr>
        <w:footnoteRef/>
      </w:r>
      <w:r>
        <w:t xml:space="preserve"> Ong ViforJ, R., Graham, J., Cigdem-Bayram, M., Phelps, C. and Whelan, S. (2023) </w:t>
      </w:r>
      <w:r w:rsidRPr="00435505">
        <w:rPr>
          <w:i/>
          <w:iCs/>
        </w:rPr>
        <w:t>Financing first home ownership: modelling policy impacts at market and individual levels</w:t>
      </w:r>
      <w:r>
        <w:t>, AHURI Final Report No. 398, Australian Housing and Urban Research Institute Limited, Melbourne</w:t>
      </w:r>
      <w:r w:rsidR="00CE4887">
        <w:t xml:space="preserve">, </w:t>
      </w:r>
      <w:r w:rsidR="00CE4887" w:rsidRPr="008733D4">
        <w:t>https://www.ahuri.edu.au/sites/default/files/documents/2023-05/AHURI-Final-Report-398-Financing-first%20home-ownership-modelling-policy-impacts-at-market-and-individual-levels.pdf</w:t>
      </w:r>
      <w:r>
        <w:t>.</w:t>
      </w:r>
    </w:p>
  </w:footnote>
  <w:footnote w:id="37">
    <w:p w14:paraId="312CAEBB" w14:textId="101B119B" w:rsidR="00C73B7C" w:rsidRDefault="00C73B7C" w:rsidP="00C73B7C">
      <w:pPr>
        <w:pStyle w:val="FootnoteText"/>
      </w:pPr>
      <w:r>
        <w:rPr>
          <w:rStyle w:val="FootnoteReference"/>
        </w:rPr>
        <w:footnoteRef/>
      </w:r>
      <w:r>
        <w:t xml:space="preserve"> Ong ViforJ, R., Graham, J., Cigdem-Bayram, M., Phelps, C. and Whelan, S. (2023) </w:t>
      </w:r>
      <w:r w:rsidRPr="00435505">
        <w:rPr>
          <w:i/>
          <w:iCs/>
        </w:rPr>
        <w:t>Financing first home ownership: modelling policy impacts at market and individual levels</w:t>
      </w:r>
      <w:r>
        <w:t>, AHURI Final Report No. 398, Australian Housing and Urban Research Institute Limited, Melbourne</w:t>
      </w:r>
      <w:r w:rsidR="00CE4887">
        <w:t xml:space="preserve">, </w:t>
      </w:r>
      <w:r w:rsidR="00CE4887" w:rsidRPr="008733D4">
        <w:t>https://www.ahuri.edu.au/sites/default/files/documents/2023-05/AHURI-Final-Report-398-Financing-first%20home-ownership-modelling-policy-impacts-at-market-and-individual-levels.pdf</w:t>
      </w:r>
      <w:r>
        <w:t>.</w:t>
      </w:r>
    </w:p>
  </w:footnote>
  <w:footnote w:id="38">
    <w:p w14:paraId="2A7B1C53" w14:textId="451C6CD2" w:rsidR="002A2B03" w:rsidRDefault="002A2B03">
      <w:pPr>
        <w:pStyle w:val="FootnoteText"/>
      </w:pPr>
      <w:r>
        <w:rPr>
          <w:rStyle w:val="FootnoteReference"/>
        </w:rPr>
        <w:footnoteRef/>
      </w:r>
      <w:r>
        <w:t xml:space="preserve"> </w:t>
      </w:r>
      <w:r w:rsidR="006C017F">
        <w:t>State Revenue Office Victoria</w:t>
      </w:r>
      <w:r w:rsidR="009C7365">
        <w:t>,</w:t>
      </w:r>
      <w:r w:rsidR="006C017F">
        <w:t xml:space="preserve"> Annual Review 2023-24, </w:t>
      </w:r>
      <w:r w:rsidR="009C7365" w:rsidRPr="009C7365">
        <w:t>https://annualreview2324.sro.vic.gov.au/delivering-for-victorians/helping-victorians-own-their-homes</w:t>
      </w:r>
      <w:r w:rsidR="009C7365">
        <w:t>.</w:t>
      </w:r>
    </w:p>
  </w:footnote>
  <w:footnote w:id="39">
    <w:p w14:paraId="34BD4C21" w14:textId="034C898B" w:rsidR="00E95B32" w:rsidRDefault="00E95B32">
      <w:pPr>
        <w:pStyle w:val="FootnoteText"/>
      </w:pPr>
      <w:r>
        <w:rPr>
          <w:rStyle w:val="FootnoteReference"/>
        </w:rPr>
        <w:footnoteRef/>
      </w:r>
      <w:r>
        <w:t xml:space="preserve"> </w:t>
      </w:r>
      <w:r w:rsidR="006B53F0">
        <w:t xml:space="preserve">Canada Mortgage and Housing Corporation, </w:t>
      </w:r>
      <w:r w:rsidR="0008015B" w:rsidRPr="0008015B">
        <w:t>https://www.cmhc-schl.gc.ca/professionals/project-funding-and-mortgage-financing/funding-programs/all-funding-programs/shared-equity-mortgage-providers-fund</w:t>
      </w:r>
    </w:p>
  </w:footnote>
  <w:footnote w:id="40">
    <w:p w14:paraId="1A380E82" w14:textId="20663327" w:rsidR="00C73B7C" w:rsidRDefault="00C73B7C" w:rsidP="00C73B7C">
      <w:pPr>
        <w:pStyle w:val="FootnoteText"/>
      </w:pPr>
      <w:r>
        <w:rPr>
          <w:rStyle w:val="FootnoteReference"/>
        </w:rPr>
        <w:footnoteRef/>
      </w:r>
      <w:r>
        <w:t xml:space="preserve"> House of Commons Library (2021), Shared ownership (England): the fourth tenure?</w:t>
      </w:r>
      <w:r w:rsidR="00861019">
        <w:t xml:space="preserve">, </w:t>
      </w:r>
      <w:r w:rsidR="00861019" w:rsidRPr="00861019">
        <w:t>https://commonslibrary.parliament.uk/research-briefings/cbp-8828/</w:t>
      </w:r>
      <w:r w:rsidR="00861019">
        <w:t>.</w:t>
      </w:r>
    </w:p>
  </w:footnote>
  <w:footnote w:id="41">
    <w:p w14:paraId="70F1DED4" w14:textId="3DE134DD" w:rsidR="00862410" w:rsidRDefault="00862410">
      <w:pPr>
        <w:pStyle w:val="FootnoteText"/>
      </w:pPr>
      <w:r>
        <w:rPr>
          <w:rStyle w:val="FootnoteReference"/>
        </w:rPr>
        <w:footnoteRef/>
      </w:r>
      <w:r>
        <w:t xml:space="preserve"> CoreLogic </w:t>
      </w:r>
      <w:r w:rsidR="006E5D13">
        <w:t>Quarterly Rental Review Report, Q4 2024</w:t>
      </w:r>
      <w:r w:rsidR="006D1486">
        <w:t xml:space="preserve">, </w:t>
      </w:r>
      <w:r w:rsidR="006D1486" w:rsidRPr="006D1486">
        <w:t>https://www.corelogic.com.au/__data/assets/pdf_file/0027/25569/2501-CoreLogic-RentalReview-DecQtr-Report-FINAL.pdf</w:t>
      </w:r>
      <w:r w:rsidR="006E5D13">
        <w:t>.</w:t>
      </w:r>
    </w:p>
  </w:footnote>
  <w:footnote w:id="42">
    <w:p w14:paraId="3975772F" w14:textId="50A245C0" w:rsidR="007A28EE" w:rsidRDefault="007A28EE">
      <w:pPr>
        <w:pStyle w:val="FootnoteText"/>
      </w:pPr>
      <w:r>
        <w:rPr>
          <w:rStyle w:val="FootnoteReference"/>
        </w:rPr>
        <w:footnoteRef/>
      </w:r>
      <w:r>
        <w:t xml:space="preserve"> CoreLogic </w:t>
      </w:r>
      <w:r w:rsidR="000C1879">
        <w:t>Hedonic Home Value Index, March 2025</w:t>
      </w:r>
      <w:r w:rsidR="00C55E3A">
        <w:t xml:space="preserve">, </w:t>
      </w:r>
      <w:r w:rsidR="00C55E3A" w:rsidRPr="00C55E3A">
        <w:t>https://www.corelogic.com.au/__data/assets/pdf_file/0015/26214/CoreLogic-HVI-March-2025.pdf</w:t>
      </w:r>
      <w:r w:rsidR="000C1879">
        <w:t>.</w:t>
      </w:r>
    </w:p>
  </w:footnote>
  <w:footnote w:id="43">
    <w:p w14:paraId="1F9D41BD" w14:textId="064A9713" w:rsidR="00536B8B" w:rsidRDefault="00536B8B">
      <w:pPr>
        <w:pStyle w:val="FootnoteText"/>
      </w:pPr>
      <w:r>
        <w:rPr>
          <w:rStyle w:val="FootnoteReference"/>
        </w:rPr>
        <w:footnoteRef/>
      </w:r>
      <w:r>
        <w:t xml:space="preserve"> Productivity Commission (2004), First Home Ownership - Productivity Commission Inquiry Report</w:t>
      </w:r>
      <w:r w:rsidR="00481648">
        <w:t xml:space="preserve">, </w:t>
      </w:r>
      <w:r w:rsidR="00481648" w:rsidRPr="00481648">
        <w:t>https://www.pc.gov.au/inquiries/completed/first-home-ownership/report/housing.pdf</w:t>
      </w:r>
      <w:r>
        <w:t>.</w:t>
      </w:r>
    </w:p>
  </w:footnote>
  <w:footnote w:id="44">
    <w:p w14:paraId="7E9B91F6" w14:textId="20240AA7" w:rsidR="00964F61" w:rsidRDefault="00964F61">
      <w:pPr>
        <w:pStyle w:val="FootnoteText"/>
      </w:pPr>
      <w:r>
        <w:rPr>
          <w:rStyle w:val="FootnoteReference"/>
        </w:rPr>
        <w:footnoteRef/>
      </w:r>
      <w:r>
        <w:t xml:space="preserve"> </w:t>
      </w:r>
      <w:r w:rsidR="00536B8B">
        <w:t>Treasury (2020), Retirement Income Review</w:t>
      </w:r>
      <w:r w:rsidR="00FC141A">
        <w:t xml:space="preserve">, </w:t>
      </w:r>
      <w:r w:rsidR="00FC141A" w:rsidRPr="00FC141A">
        <w:t>https://treasury.gov.au/sites/default/files/2021-02/p2020-100554-udcomplete-report.pdf</w:t>
      </w:r>
      <w:r w:rsidR="00671B61">
        <w:t>; Treasury (202</w:t>
      </w:r>
      <w:r w:rsidR="00481648">
        <w:t>1</w:t>
      </w:r>
      <w:r w:rsidR="00671B61">
        <w:t>), Intergenerational Report</w:t>
      </w:r>
      <w:r w:rsidR="00FC141A">
        <w:t xml:space="preserve">, </w:t>
      </w:r>
      <w:r w:rsidR="00FC141A" w:rsidRPr="00FC141A">
        <w:t>https://treasury.gov.au/publication/2021-intergenerational-report</w:t>
      </w:r>
      <w:r w:rsidR="00671B61">
        <w:t>.</w:t>
      </w:r>
    </w:p>
  </w:footnote>
  <w:footnote w:id="45">
    <w:p w14:paraId="54747069" w14:textId="41065376" w:rsidR="00B9544C" w:rsidRDefault="00B9544C" w:rsidP="00B9544C">
      <w:pPr>
        <w:pStyle w:val="FootnoteText"/>
      </w:pPr>
      <w:r>
        <w:rPr>
          <w:rStyle w:val="FootnoteReference"/>
        </w:rPr>
        <w:footnoteRef/>
      </w:r>
      <w:r>
        <w:t xml:space="preserve"> </w:t>
      </w:r>
      <w:r w:rsidR="00606D1D" w:rsidRPr="00606D1D">
        <w:t>Grattan Institute (2023), Opening remarks to the Senate Economics Committee inquiry into the Help to Buy Bill 2023, https://grattan.edu.au/news/pass-the-help-to-buy-bill/</w:t>
      </w:r>
      <w:r>
        <w:t xml:space="preserve">; </w:t>
      </w:r>
      <w:r w:rsidR="00606D1D" w:rsidRPr="00606D1D">
        <w:t>ABS Lending Indicators, December Quarter 2024, https://www.abs.gov.au/statistics/economy/finance/lending-indicators/dec-quarter-2024</w:t>
      </w:r>
      <w:r>
        <w:t>.</w:t>
      </w:r>
    </w:p>
  </w:footnote>
  <w:footnote w:id="46">
    <w:p w14:paraId="0E605537" w14:textId="26C4D652" w:rsidR="00462399" w:rsidRPr="000A25A6" w:rsidRDefault="00462399">
      <w:pPr>
        <w:pStyle w:val="FootnoteText"/>
      </w:pPr>
      <w:r>
        <w:rPr>
          <w:rStyle w:val="FootnoteReference"/>
        </w:rPr>
        <w:footnoteRef/>
      </w:r>
      <w:r>
        <w:t xml:space="preserve"> Senate Economics </w:t>
      </w:r>
      <w:r w:rsidR="002B4625">
        <w:t xml:space="preserve">Legislation </w:t>
      </w:r>
      <w:r>
        <w:t>C</w:t>
      </w:r>
      <w:r w:rsidR="002B4625">
        <w:t xml:space="preserve">ommittee Inquiry into the </w:t>
      </w:r>
      <w:r w:rsidR="002B4625">
        <w:rPr>
          <w:i/>
          <w:iCs/>
        </w:rPr>
        <w:t xml:space="preserve">Help to Buy Bill 2023 </w:t>
      </w:r>
      <w:r w:rsidR="002B4625">
        <w:t xml:space="preserve">and the </w:t>
      </w:r>
      <w:r w:rsidR="002B4625">
        <w:rPr>
          <w:i/>
          <w:iCs/>
        </w:rPr>
        <w:t xml:space="preserve">Help to Buy (Consequential Provisions) Bill 2023 [Provisions], </w:t>
      </w:r>
      <w:r w:rsidR="000A25A6" w:rsidRPr="000A25A6">
        <w:t>https://www.aph.gov.au/Parliamentary_Business/Committees/Senate/Economics/HelptoBuyBills2023/Submissions</w:t>
      </w:r>
      <w:r w:rsidR="000A25A6">
        <w:t>.</w:t>
      </w:r>
    </w:p>
  </w:footnote>
  <w:footnote w:id="47">
    <w:p w14:paraId="58A30E87" w14:textId="780F27CF" w:rsidR="00E26940" w:rsidRDefault="00E26940" w:rsidP="00E26940">
      <w:pPr>
        <w:pStyle w:val="FootnoteText"/>
      </w:pPr>
      <w:r>
        <w:rPr>
          <w:rStyle w:val="FootnoteReference"/>
        </w:rPr>
        <w:footnoteRef/>
      </w:r>
      <w:r>
        <w:t xml:space="preserve"> Productivity Commission (2004), First Home Ownership - Productivity Commission Inquiry Report</w:t>
      </w:r>
      <w:r w:rsidR="001A4547">
        <w:t xml:space="preserve">, </w:t>
      </w:r>
      <w:r w:rsidR="001A4547" w:rsidRPr="001A4547">
        <w:t>https://www.pc.gov.au/inquiries/completed/first-home-ownership/report/housing.pdf</w:t>
      </w:r>
      <w:r>
        <w:t>.</w:t>
      </w:r>
    </w:p>
  </w:footnote>
  <w:footnote w:id="48">
    <w:p w14:paraId="02714410" w14:textId="1A262DD5" w:rsidR="00E26940" w:rsidRDefault="00E26940" w:rsidP="00E26940">
      <w:pPr>
        <w:pStyle w:val="FootnoteText"/>
      </w:pPr>
      <w:r>
        <w:rPr>
          <w:rStyle w:val="FootnoteReference"/>
        </w:rPr>
        <w:footnoteRef/>
      </w:r>
      <w:r>
        <w:t xml:space="preserve"> Treasury (2020), Retirement Income Review</w:t>
      </w:r>
      <w:r w:rsidR="001A4547">
        <w:t xml:space="preserve">, </w:t>
      </w:r>
      <w:r w:rsidR="001A4547" w:rsidRPr="001A4547">
        <w:t>https://treasury.gov.au/sites/default/files/2021-02/p2020-100554-udcomplete-report.pdf</w:t>
      </w:r>
      <w:r>
        <w:t xml:space="preserve">. </w:t>
      </w:r>
      <w:r w:rsidRPr="00AE34B5">
        <w:t>The Retirement Income Review found that “the home is the most important component of voluntary savings and is an important factor influencing retirement outcomes and how people feel about retirement.</w:t>
      </w:r>
      <w:r>
        <w:t>”</w:t>
      </w:r>
    </w:p>
  </w:footnote>
  <w:footnote w:id="49">
    <w:p w14:paraId="4E4CC652" w14:textId="3DE9EEE3" w:rsidR="00E26940" w:rsidRDefault="00E26940" w:rsidP="00E26940">
      <w:pPr>
        <w:pStyle w:val="FootnoteText"/>
      </w:pPr>
      <w:r>
        <w:rPr>
          <w:rStyle w:val="FootnoteReference"/>
        </w:rPr>
        <w:footnoteRef/>
      </w:r>
      <w:r>
        <w:t xml:space="preserve"> Treasury (2020), Intergenerational Report</w:t>
      </w:r>
      <w:r w:rsidR="001A4547">
        <w:t xml:space="preserve">, </w:t>
      </w:r>
      <w:r>
        <w:t xml:space="preserve"> </w:t>
      </w:r>
      <w:r w:rsidR="001A4547" w:rsidRPr="001A4547">
        <w:t>https://treasury.gov.au/publication/2021-intergenerational-report</w:t>
      </w:r>
      <w:r w:rsidR="001A454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C6B7E" w14:textId="1A48A356" w:rsidR="00096B93" w:rsidRDefault="00E60A0A">
    <w:pPr>
      <w:pStyle w:val="Header"/>
    </w:pPr>
    <w:r>
      <w:rPr>
        <w:noProof/>
        <w:lang w:eastAsia="en-AU"/>
      </w:rPr>
      <mc:AlternateContent>
        <mc:Choice Requires="wps">
          <w:drawing>
            <wp:anchor distT="0" distB="0" distL="0" distR="0" simplePos="0" relativeHeight="251658242" behindDoc="0" locked="0" layoutInCell="1" allowOverlap="1" wp14:anchorId="6FAEE997" wp14:editId="4B0A9939">
              <wp:simplePos x="635" y="635"/>
              <wp:positionH relativeFrom="page">
                <wp:align>center</wp:align>
              </wp:positionH>
              <wp:positionV relativeFrom="page">
                <wp:align>top</wp:align>
              </wp:positionV>
              <wp:extent cx="551815" cy="394970"/>
              <wp:effectExtent l="0" t="0" r="635" b="5080"/>
              <wp:wrapNone/>
              <wp:docPr id="799094043"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668EC9D1" w14:textId="0EE14B5E"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FAEE997" id="_x0000_t202" coordsize="21600,21600" o:spt="202" path="m,l,21600r21600,l21600,xe">
              <v:stroke joinstyle="miter"/>
              <v:path gradientshapeok="t" o:connecttype="rect"/>
            </v:shapetype>
            <v:shape id="Text Box 2" o:spid="_x0000_s1026" type="#_x0000_t202" alt="OFFICIAL" style="position:absolute;margin-left:0;margin-top:0;width:43.45pt;height:31.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" filled="f" stroked="f">
              <v:textbox style="mso-fit-shape-to-text:t" inset="0,15pt,0,0">
                <w:txbxContent>
                  <w:p w14:paraId="668EC9D1" w14:textId="0EE14B5E"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A87A1" w14:textId="37F66D4C" w:rsidR="00096B93" w:rsidRDefault="00E60A0A">
    <w:pPr>
      <w:pStyle w:val="Header"/>
    </w:pPr>
    <w:r>
      <w:rPr>
        <w:noProof/>
        <w:lang w:eastAsia="en-AU"/>
      </w:rPr>
      <mc:AlternateContent>
        <mc:Choice Requires="wps">
          <w:drawing>
            <wp:anchor distT="0" distB="0" distL="0" distR="0" simplePos="0" relativeHeight="251658251" behindDoc="0" locked="0" layoutInCell="1" allowOverlap="1" wp14:anchorId="03CBDDF2" wp14:editId="3A07325F">
              <wp:simplePos x="635" y="635"/>
              <wp:positionH relativeFrom="page">
                <wp:align>center</wp:align>
              </wp:positionH>
              <wp:positionV relativeFrom="page">
                <wp:align>top</wp:align>
              </wp:positionV>
              <wp:extent cx="551815" cy="394970"/>
              <wp:effectExtent l="0" t="0" r="635" b="5080"/>
              <wp:wrapNone/>
              <wp:docPr id="184354727" name="Text Box 1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2081313C" w14:textId="174A9820"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3CBDDF2" id="_x0000_t202" coordsize="21600,21600" o:spt="202" path="m,l,21600r21600,l21600,xe">
              <v:stroke joinstyle="miter"/>
              <v:path gradientshapeok="t" o:connecttype="rect"/>
            </v:shapetype>
            <v:shape id="Text Box 11" o:spid="_x0000_s1044" type="#_x0000_t202" alt="OFFICIAL" style="position:absolute;margin-left:0;margin-top:0;width:43.45pt;height:31.1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mnl1FQ8CAAAd&#10;BAAADgAAAAAAAAAAAAAAAAAuAgAAZHJzL2Uyb0RvYy54bWxQSwECLQAUAAYACAAAACEAABCT6doA&#10;AAADAQAADwAAAAAAAAAAAAAAAABpBAAAZHJzL2Rvd25yZXYueG1sUEsFBgAAAAAEAAQA8wAAAHAF&#10;AAAAAA==&#10;" filled="f" stroked="f">
              <v:textbox style="mso-fit-shape-to-text:t" inset="0,15pt,0,0">
                <w:txbxContent>
                  <w:p w14:paraId="2081313C" w14:textId="174A9820"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1E154" w14:textId="308C0DD4" w:rsidR="00096B93" w:rsidRDefault="00096B9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5306" w14:textId="552C233A" w:rsidR="00E84211" w:rsidRDefault="00E84211" w:rsidP="00E84211">
    <w:pPr>
      <w:pStyle w:val="Header"/>
      <w:rPr>
        <w:rStyle w:val="CLASSIFICATIONCha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F27D5" w14:textId="022ADDB6" w:rsidR="00037513" w:rsidRPr="00D10635" w:rsidRDefault="00037513"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4D938" w14:textId="511A9284" w:rsidR="00E9516C" w:rsidRDefault="00E60A0A" w:rsidP="00E84211">
    <w:pPr>
      <w:pStyle w:val="Header"/>
      <w:rPr>
        <w:rStyle w:val="CLASSIFICATIONChar"/>
      </w:rPr>
    </w:pPr>
    <w:r>
      <w:rPr>
        <w:noProof/>
        <w:color w:val="1C2B39" w:themeColor="text1"/>
        <w:lang w:eastAsia="en-AU"/>
      </w:rPr>
      <mc:AlternateContent>
        <mc:Choice Requires="wps">
          <w:drawing>
            <wp:anchor distT="0" distB="0" distL="0" distR="0" simplePos="0" relativeHeight="251658241" behindDoc="0" locked="0" layoutInCell="1" allowOverlap="1" wp14:anchorId="0373BF81" wp14:editId="4F64AFB3">
              <wp:simplePos x="635" y="635"/>
              <wp:positionH relativeFrom="page">
                <wp:align>center</wp:align>
              </wp:positionH>
              <wp:positionV relativeFrom="page">
                <wp:align>top</wp:align>
              </wp:positionV>
              <wp:extent cx="551815" cy="394970"/>
              <wp:effectExtent l="0" t="0" r="635" b="5080"/>
              <wp:wrapNone/>
              <wp:docPr id="1760883130" name="Text Box 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5F471781" w14:textId="455D93E4"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373BF81" id="_x0000_t202" coordsize="21600,21600" o:spt="202" path="m,l,21600r21600,l21600,xe">
              <v:stroke joinstyle="miter"/>
              <v:path gradientshapeok="t" o:connecttype="rect"/>
            </v:shapetype>
            <v:shape id="Text Box 1" o:spid="_x0000_s1030" type="#_x0000_t202" alt="OFFICIAL" style="position:absolute;margin-left:0;margin-top:0;width:43.45pt;height:31.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CrYzQg8CAAAc&#10;BAAADgAAAAAAAAAAAAAAAAAuAgAAZHJzL2Uyb0RvYy54bWxQSwECLQAUAAYACAAAACEAABCT6doA&#10;AAADAQAADwAAAAAAAAAAAAAAAABpBAAAZHJzL2Rvd25yZXYueG1sUEsFBgAAAAAEAAQA8wAAAHAF&#10;AAAAAA==&#10;" filled="f" stroked="f">
              <v:textbox style="mso-fit-shape-to-text:t" inset="0,15pt,0,0">
                <w:txbxContent>
                  <w:p w14:paraId="5F471781" w14:textId="455D93E4"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r w:rsidR="00E84211">
      <w:rPr>
        <w:noProof/>
        <w:color w:val="1C2B39" w:themeColor="text1"/>
        <w:lang w:eastAsia="en-AU"/>
      </w:rPr>
      <w:drawing>
        <wp:anchor distT="0" distB="0" distL="114300" distR="114300" simplePos="0" relativeHeight="251658240" behindDoc="0" locked="0" layoutInCell="1" allowOverlap="1" wp14:anchorId="65DBE8D4" wp14:editId="2DD5CFC8">
          <wp:simplePos x="0" y="0"/>
          <wp:positionH relativeFrom="page">
            <wp:align>right</wp:align>
          </wp:positionH>
          <wp:positionV relativeFrom="page">
            <wp:posOffset>10795</wp:posOffset>
          </wp:positionV>
          <wp:extent cx="7560000" cy="1512000"/>
          <wp:effectExtent l="0" t="0" r="3175" b="0"/>
          <wp:wrapTopAndBottom/>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6DB5" w14:textId="5A0D7228" w:rsidR="00096B93" w:rsidRDefault="00E60A0A">
    <w:pPr>
      <w:pStyle w:val="Header"/>
    </w:pPr>
    <w:r>
      <w:rPr>
        <w:noProof/>
        <w:lang w:eastAsia="en-AU"/>
      </w:rPr>
      <mc:AlternateContent>
        <mc:Choice Requires="wps">
          <w:drawing>
            <wp:anchor distT="0" distB="0" distL="0" distR="0" simplePos="0" relativeHeight="251658245" behindDoc="0" locked="0" layoutInCell="1" allowOverlap="1" wp14:anchorId="50E1595F" wp14:editId="28F38957">
              <wp:simplePos x="635" y="635"/>
              <wp:positionH relativeFrom="page">
                <wp:align>center</wp:align>
              </wp:positionH>
              <wp:positionV relativeFrom="page">
                <wp:align>top</wp:align>
              </wp:positionV>
              <wp:extent cx="551815" cy="394970"/>
              <wp:effectExtent l="0" t="0" r="635" b="5080"/>
              <wp:wrapNone/>
              <wp:docPr id="102304472" name="Text Box 5"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4303C8E6" w14:textId="033EEDB5"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0E1595F" id="_x0000_t202" coordsize="21600,21600" o:spt="202" path="m,l,21600r21600,l21600,xe">
              <v:stroke joinstyle="miter"/>
              <v:path gradientshapeok="t" o:connecttype="rect"/>
            </v:shapetype>
            <v:shape id="Text Box 5" o:spid="_x0000_s1032" type="#_x0000_t202" alt="OFFICIAL" style="position:absolute;margin-left:0;margin-top:0;width:43.45pt;height:31.1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0MhWOQ8CAAAc&#10;BAAADgAAAAAAAAAAAAAAAAAuAgAAZHJzL2Uyb0RvYy54bWxQSwECLQAUAAYACAAAACEAABCT6doA&#10;AAADAQAADwAAAAAAAAAAAAAAAABpBAAAZHJzL2Rvd25yZXYueG1sUEsFBgAAAAAEAAQA8wAAAHAF&#10;AAAAAA==&#10;" filled="f" stroked="f">
              <v:textbox style="mso-fit-shape-to-text:t" inset="0,15pt,0,0">
                <w:txbxContent>
                  <w:p w14:paraId="4303C8E6" w14:textId="033EEDB5"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3D169" w14:textId="245C620F" w:rsidR="00096B93" w:rsidRDefault="00096B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8D0C" w14:textId="30ABFC4C" w:rsidR="00332946" w:rsidRDefault="00E60A0A" w:rsidP="00E84211">
    <w:pPr>
      <w:pStyle w:val="Header"/>
      <w:rPr>
        <w:rStyle w:val="CLASSIFICATIONChar"/>
      </w:rPr>
    </w:pPr>
    <w:r>
      <w:rPr>
        <w:rFonts w:ascii="Segoe UI" w:hAnsi="Segoe UI"/>
        <w:caps/>
        <w:noProof/>
        <w:color w:val="BD3432" w:themeColor="accent6"/>
        <w:sz w:val="18"/>
        <w:lang w:eastAsia="en-AU"/>
      </w:rPr>
      <mc:AlternateContent>
        <mc:Choice Requires="wps">
          <w:drawing>
            <wp:anchor distT="0" distB="0" distL="0" distR="0" simplePos="0" relativeHeight="251658244" behindDoc="0" locked="0" layoutInCell="1" allowOverlap="1" wp14:anchorId="50FAB06C" wp14:editId="373C0A69">
              <wp:simplePos x="635" y="635"/>
              <wp:positionH relativeFrom="page">
                <wp:align>center</wp:align>
              </wp:positionH>
              <wp:positionV relativeFrom="page">
                <wp:align>top</wp:align>
              </wp:positionV>
              <wp:extent cx="551815" cy="394970"/>
              <wp:effectExtent l="0" t="0" r="635" b="5080"/>
              <wp:wrapNone/>
              <wp:docPr id="677852400" name="Text Box 4"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3D6577B0" w14:textId="78AD5F1E"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0FAB06C" id="_x0000_t202" coordsize="21600,21600" o:spt="202" path="m,l,21600r21600,l21600,xe">
              <v:stroke joinstyle="miter"/>
              <v:path gradientshapeok="t" o:connecttype="rect"/>
            </v:shapetype>
            <v:shape id="Text Box 4" o:spid="_x0000_s1036" type="#_x0000_t202" alt="OFFICIAL" style="position:absolute;margin-left:0;margin-top:0;width:43.45pt;height:31.1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" filled="f" stroked="f">
              <v:textbox style="mso-fit-shape-to-text:t" inset="0,15pt,0,0">
                <w:txbxContent>
                  <w:p w14:paraId="3D6577B0" w14:textId="78AD5F1E"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7E526" w14:textId="64E7CC60" w:rsidR="00096B93" w:rsidRDefault="00E60A0A">
    <w:pPr>
      <w:pStyle w:val="Header"/>
    </w:pPr>
    <w:r>
      <w:rPr>
        <w:noProof/>
        <w:lang w:eastAsia="en-AU"/>
      </w:rPr>
      <mc:AlternateContent>
        <mc:Choice Requires="wps">
          <w:drawing>
            <wp:anchor distT="0" distB="0" distL="0" distR="0" simplePos="0" relativeHeight="251658248" behindDoc="0" locked="0" layoutInCell="1" allowOverlap="1" wp14:anchorId="2B986873" wp14:editId="6E9909DD">
              <wp:simplePos x="635" y="635"/>
              <wp:positionH relativeFrom="page">
                <wp:align>center</wp:align>
              </wp:positionH>
              <wp:positionV relativeFrom="page">
                <wp:align>top</wp:align>
              </wp:positionV>
              <wp:extent cx="551815" cy="394970"/>
              <wp:effectExtent l="0" t="0" r="635" b="5080"/>
              <wp:wrapNone/>
              <wp:docPr id="2017886584" name="Text Box 8"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433D2C99" w14:textId="1CE4B9C2"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B986873" id="_x0000_t202" coordsize="21600,21600" o:spt="202" path="m,l,21600r21600,l21600,xe">
              <v:stroke joinstyle="miter"/>
              <v:path gradientshapeok="t" o:connecttype="rect"/>
            </v:shapetype>
            <v:shape id="Text Box 8" o:spid="_x0000_s1038" type="#_x0000_t202" alt="OFFICIAL" style="position:absolute;margin-left:0;margin-top:0;width:43.45pt;height:31.1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afr0WA8CAAAd&#10;BAAADgAAAAAAAAAAAAAAAAAuAgAAZHJzL2Uyb0RvYy54bWxQSwECLQAUAAYACAAAACEAABCT6doA&#10;AAADAQAADwAAAAAAAAAAAAAAAABpBAAAZHJzL2Rvd25yZXYueG1sUEsFBgAAAAAEAAQA8wAAAHAF&#10;AAAAAA==&#10;" filled="f" stroked="f">
              <v:textbox style="mso-fit-shape-to-text:t" inset="0,15pt,0,0">
                <w:txbxContent>
                  <w:p w14:paraId="433D2C99" w14:textId="1CE4B9C2"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28DA" w14:textId="1FB27881" w:rsidR="00096B93" w:rsidRDefault="00096B9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D903" w14:textId="12DD02B2" w:rsidR="002448C2" w:rsidRDefault="00E60A0A" w:rsidP="00E84211">
    <w:pPr>
      <w:pStyle w:val="Header"/>
      <w:rPr>
        <w:rStyle w:val="CLASSIFICATIONChar"/>
      </w:rPr>
    </w:pPr>
    <w:r>
      <w:rPr>
        <w:rFonts w:ascii="Segoe UI" w:hAnsi="Segoe UI"/>
        <w:caps/>
        <w:noProof/>
        <w:color w:val="BD3432" w:themeColor="accent6"/>
        <w:sz w:val="18"/>
        <w:lang w:eastAsia="en-AU"/>
      </w:rPr>
      <mc:AlternateContent>
        <mc:Choice Requires="wps">
          <w:drawing>
            <wp:anchor distT="0" distB="0" distL="0" distR="0" simplePos="0" relativeHeight="251658247" behindDoc="0" locked="0" layoutInCell="1" allowOverlap="1" wp14:anchorId="43BD0FBA" wp14:editId="1793B515">
              <wp:simplePos x="635" y="635"/>
              <wp:positionH relativeFrom="page">
                <wp:align>center</wp:align>
              </wp:positionH>
              <wp:positionV relativeFrom="page">
                <wp:align>top</wp:align>
              </wp:positionV>
              <wp:extent cx="551815" cy="394970"/>
              <wp:effectExtent l="0" t="0" r="635" b="5080"/>
              <wp:wrapNone/>
              <wp:docPr id="1451530432" name="Text Box 7"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63B2856" w14:textId="5687521E"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3BD0FBA" id="_x0000_t202" coordsize="21600,21600" o:spt="202" path="m,l,21600r21600,l21600,xe">
              <v:stroke joinstyle="miter"/>
              <v:path gradientshapeok="t" o:connecttype="rect"/>
            </v:shapetype>
            <v:shape id="Text Box 7" o:spid="_x0000_s1042" type="#_x0000_t202" alt="OFFICIAL" style="position:absolute;margin-left:0;margin-top:0;width:43.45pt;height:31.1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3Qc+rg8CAAAd&#10;BAAADgAAAAAAAAAAAAAAAAAuAgAAZHJzL2Uyb0RvYy54bWxQSwECLQAUAAYACAAAACEAABCT6doA&#10;AAADAQAADwAAAAAAAAAAAAAAAABpBAAAZHJzL2Rvd25yZXYueG1sUEsFBgAAAAAEAAQA8wAAAHAF&#10;AAAAAA==&#10;" filled="f" stroked="f">
              <v:textbox style="mso-fit-shape-to-text:t" inset="0,15pt,0,0">
                <w:txbxContent>
                  <w:p w14:paraId="763B2856" w14:textId="5687521E" w:rsidR="00E60A0A" w:rsidRPr="00E60A0A" w:rsidRDefault="00E60A0A" w:rsidP="00E60A0A">
                    <w:pPr>
                      <w:spacing w:after="0"/>
                      <w:rPr>
                        <w:rFonts w:ascii="Calibri" w:eastAsia="Calibri" w:hAnsi="Calibri" w:cs="Calibri"/>
                        <w:noProof/>
                        <w:color w:val="FF0000"/>
                        <w:sz w:val="24"/>
                        <w:szCs w:val="24"/>
                      </w:rPr>
                    </w:pPr>
                    <w:r w:rsidRPr="00E60A0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7031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922CD9"/>
    <w:multiLevelType w:val="hybridMultilevel"/>
    <w:tmpl w:val="CEE4B88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3B7A07"/>
    <w:multiLevelType w:val="multilevel"/>
    <w:tmpl w:val="82CE9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color w:val="auto"/>
        <w:sz w:val="32"/>
        <w:szCs w:val="32"/>
        <w:effect w:val="non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7" w15:restartNumberingAfterBreak="0">
    <w:nsid w:val="1543696B"/>
    <w:multiLevelType w:val="hybridMultilevel"/>
    <w:tmpl w:val="ED8E03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33BBA"/>
    <w:multiLevelType w:val="hybridMultilevel"/>
    <w:tmpl w:val="0812E2DE"/>
    <w:lvl w:ilvl="0" w:tplc="E1AE5D66">
      <w:start w:val="1"/>
      <w:numFmt w:val="decimal"/>
      <w:pStyle w:val="Figure"/>
      <w:suff w:val="space"/>
      <w:lvlText w:val="Figure %1."/>
      <w:lvlJc w:val="left"/>
      <w:pPr>
        <w:ind w:left="2836" w:hanging="567"/>
      </w:pPr>
      <w:rPr>
        <w:rFonts w:hint="default"/>
      </w:rPr>
    </w:lvl>
    <w:lvl w:ilvl="1" w:tplc="0C090019" w:tentative="1">
      <w:start w:val="1"/>
      <w:numFmt w:val="lowerLetter"/>
      <w:lvlText w:val="%2."/>
      <w:lvlJc w:val="left"/>
      <w:pPr>
        <w:ind w:left="3709" w:hanging="360"/>
      </w:pPr>
    </w:lvl>
    <w:lvl w:ilvl="2" w:tplc="0C09001B" w:tentative="1">
      <w:start w:val="1"/>
      <w:numFmt w:val="lowerRoman"/>
      <w:lvlText w:val="%3."/>
      <w:lvlJc w:val="right"/>
      <w:pPr>
        <w:ind w:left="4429" w:hanging="180"/>
      </w:p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9" w15:restartNumberingAfterBreak="0">
    <w:nsid w:val="1F1E0591"/>
    <w:multiLevelType w:val="multilevel"/>
    <w:tmpl w:val="85AA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38A2ACA"/>
    <w:multiLevelType w:val="hybridMultilevel"/>
    <w:tmpl w:val="0076292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B07600"/>
    <w:multiLevelType w:val="hybridMultilevel"/>
    <w:tmpl w:val="4BEAA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4" w15:restartNumberingAfterBreak="0">
    <w:nsid w:val="3C927EEF"/>
    <w:multiLevelType w:val="multilevel"/>
    <w:tmpl w:val="EC4232B8"/>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C05571"/>
    <w:multiLevelType w:val="hybridMultilevel"/>
    <w:tmpl w:val="8CAE505E"/>
    <w:lvl w:ilvl="0" w:tplc="DB6C5B02">
      <w:start w:val="1"/>
      <w:numFmt w:val="bullet"/>
      <w:pStyle w:val="BulletedList-Level1"/>
      <w:lvlText w:val=""/>
      <w:lvlJc w:val="left"/>
      <w:pPr>
        <w:ind w:left="567" w:hanging="567"/>
      </w:pPr>
      <w:rPr>
        <w:rFonts w:ascii="Symbol" w:hAnsi="Symbol" w:hint="default"/>
      </w:rPr>
    </w:lvl>
    <w:lvl w:ilvl="1" w:tplc="FFFFFFFF">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bullet"/>
      <w:lvlText w:val=""/>
      <w:lvlJc w:val="left"/>
      <w:pPr>
        <w:ind w:left="992" w:hanging="283"/>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6"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7" w15:restartNumberingAfterBreak="0">
    <w:nsid w:val="4E112CF0"/>
    <w:multiLevelType w:val="hybridMultilevel"/>
    <w:tmpl w:val="136A1946"/>
    <w:lvl w:ilvl="0" w:tplc="0332E2B6">
      <w:start w:val="1"/>
      <w:numFmt w:val="decimal"/>
      <w:lvlText w:val="%1)"/>
      <w:lvlJc w:val="left"/>
      <w:pPr>
        <w:ind w:left="720" w:hanging="360"/>
      </w:pPr>
      <w:rPr>
        <w:rFonts w:ascii="Arial" w:eastAsiaTheme="minorHAnsi" w:hAnsi="Arial" w:cstheme="minorBid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436AAF"/>
    <w:multiLevelType w:val="hybridMultilevel"/>
    <w:tmpl w:val="A73ADE0A"/>
    <w:lvl w:ilvl="0" w:tplc="CB54DCB4">
      <w:numFmt w:val="bullet"/>
      <w:lvlText w:val="-"/>
      <w:lvlJc w:val="left"/>
      <w:pPr>
        <w:ind w:left="720" w:hanging="360"/>
      </w:pPr>
      <w:rPr>
        <w:rFonts w:ascii="Segoe UI Symbol" w:eastAsiaTheme="minorEastAsia" w:hAnsi="Segoe UI 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FF38A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3F608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3F608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1" w15:restartNumberingAfterBreak="0">
    <w:nsid w:val="625C2D13"/>
    <w:multiLevelType w:val="multilevel"/>
    <w:tmpl w:val="EF506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778"/>
        </w:tabs>
        <w:ind w:left="1778"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060E5B"/>
    <w:multiLevelType w:val="multilevel"/>
    <w:tmpl w:val="7D3E2E92"/>
    <w:name w:val="StandardBulletedList"/>
    <w:lvl w:ilvl="0">
      <w:start w:val="1"/>
      <w:numFmt w:val="bullet"/>
      <w:pStyle w:val="Bullet"/>
      <w:lvlText w:val="•"/>
      <w:lvlJc w:val="left"/>
      <w:pPr>
        <w:tabs>
          <w:tab w:val="num" w:pos="472"/>
        </w:tabs>
        <w:ind w:left="472" w:hanging="472"/>
      </w:pPr>
      <w:rPr>
        <w:rFonts w:ascii="Times New Roman" w:hAnsi="Times New Roman" w:cs="Times New Roman" w:hint="default"/>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2101" w:hanging="360"/>
      </w:pPr>
    </w:lvl>
    <w:lvl w:ilvl="4">
      <w:start w:val="1"/>
      <w:numFmt w:val="lowerLetter"/>
      <w:lvlText w:val="(%5)"/>
      <w:lvlJc w:val="left"/>
      <w:pPr>
        <w:ind w:left="2461" w:hanging="360"/>
      </w:pPr>
    </w:lvl>
    <w:lvl w:ilvl="5">
      <w:start w:val="1"/>
      <w:numFmt w:val="lowerRoman"/>
      <w:lvlText w:val="(%6)"/>
      <w:lvlJc w:val="left"/>
      <w:pPr>
        <w:ind w:left="2821" w:hanging="360"/>
      </w:pPr>
    </w:lvl>
    <w:lvl w:ilvl="6">
      <w:start w:val="1"/>
      <w:numFmt w:val="decimal"/>
      <w:lvlText w:val="%7."/>
      <w:lvlJc w:val="left"/>
      <w:pPr>
        <w:ind w:left="3181" w:hanging="360"/>
      </w:pPr>
    </w:lvl>
    <w:lvl w:ilvl="7">
      <w:start w:val="1"/>
      <w:numFmt w:val="lowerLetter"/>
      <w:lvlText w:val="%8."/>
      <w:lvlJc w:val="left"/>
      <w:pPr>
        <w:ind w:left="3541" w:hanging="360"/>
      </w:pPr>
    </w:lvl>
    <w:lvl w:ilvl="8">
      <w:start w:val="1"/>
      <w:numFmt w:val="lowerRoman"/>
      <w:lvlText w:val="%9."/>
      <w:lvlJc w:val="left"/>
      <w:pPr>
        <w:ind w:left="3901" w:hanging="360"/>
      </w:pPr>
    </w:lvl>
  </w:abstractNum>
  <w:abstractNum w:abstractNumId="24" w15:restartNumberingAfterBreak="0">
    <w:nsid w:val="72CD7B17"/>
    <w:multiLevelType w:val="hybridMultilevel"/>
    <w:tmpl w:val="AD423CD6"/>
    <w:lvl w:ilvl="0" w:tplc="FFFFFFFF">
      <w:start w:val="1"/>
      <w:numFmt w:val="bullet"/>
      <w:lvlText w:val=""/>
      <w:lvlJc w:val="left"/>
      <w:pPr>
        <w:ind w:left="567" w:hanging="567"/>
      </w:pPr>
      <w:rPr>
        <w:rFonts w:ascii="Symbol" w:hAnsi="Symbol" w:hint="default"/>
      </w:rPr>
    </w:lvl>
    <w:lvl w:ilvl="1" w:tplc="FFFFFFFF">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EE0104A">
      <w:start w:val="1"/>
      <w:numFmt w:val="bullet"/>
      <w:lvlText w:val=""/>
      <w:lvlJc w:val="left"/>
      <w:pPr>
        <w:ind w:left="1069" w:hanging="360"/>
      </w:pPr>
      <w:rPr>
        <w:rFonts w:ascii="Symbol" w:hAnsi="Symbol" w:hint="default"/>
        <w:color w:val="auto"/>
        <w:sz w:val="32"/>
        <w:szCs w:val="32"/>
        <w:effect w:val="none"/>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5"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6"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4A5634"/>
    <w:multiLevelType w:val="hybridMultilevel"/>
    <w:tmpl w:val="B742E890"/>
    <w:lvl w:ilvl="0" w:tplc="947CE1AE">
      <w:start w:val="1"/>
      <w:numFmt w:val="bullet"/>
      <w:lvlText w:val=""/>
      <w:lvlJc w:val="left"/>
      <w:pPr>
        <w:ind w:left="720" w:hanging="360"/>
      </w:pPr>
      <w:rPr>
        <w:rFonts w:ascii="Symbol" w:hAnsi="Symbol"/>
      </w:rPr>
    </w:lvl>
    <w:lvl w:ilvl="1" w:tplc="5F56F810">
      <w:start w:val="1"/>
      <w:numFmt w:val="bullet"/>
      <w:lvlText w:val=""/>
      <w:lvlJc w:val="left"/>
      <w:pPr>
        <w:ind w:left="720" w:hanging="360"/>
      </w:pPr>
      <w:rPr>
        <w:rFonts w:ascii="Symbol" w:hAnsi="Symbol"/>
      </w:rPr>
    </w:lvl>
    <w:lvl w:ilvl="2" w:tplc="23CEEB72">
      <w:start w:val="1"/>
      <w:numFmt w:val="bullet"/>
      <w:lvlText w:val=""/>
      <w:lvlJc w:val="left"/>
      <w:pPr>
        <w:ind w:left="720" w:hanging="360"/>
      </w:pPr>
      <w:rPr>
        <w:rFonts w:ascii="Symbol" w:hAnsi="Symbol"/>
      </w:rPr>
    </w:lvl>
    <w:lvl w:ilvl="3" w:tplc="102488EA">
      <w:start w:val="1"/>
      <w:numFmt w:val="bullet"/>
      <w:lvlText w:val=""/>
      <w:lvlJc w:val="left"/>
      <w:pPr>
        <w:ind w:left="720" w:hanging="360"/>
      </w:pPr>
      <w:rPr>
        <w:rFonts w:ascii="Symbol" w:hAnsi="Symbol"/>
      </w:rPr>
    </w:lvl>
    <w:lvl w:ilvl="4" w:tplc="EE32A198">
      <w:start w:val="1"/>
      <w:numFmt w:val="bullet"/>
      <w:lvlText w:val=""/>
      <w:lvlJc w:val="left"/>
      <w:pPr>
        <w:ind w:left="720" w:hanging="360"/>
      </w:pPr>
      <w:rPr>
        <w:rFonts w:ascii="Symbol" w:hAnsi="Symbol"/>
      </w:rPr>
    </w:lvl>
    <w:lvl w:ilvl="5" w:tplc="AB846266">
      <w:start w:val="1"/>
      <w:numFmt w:val="bullet"/>
      <w:lvlText w:val=""/>
      <w:lvlJc w:val="left"/>
      <w:pPr>
        <w:ind w:left="720" w:hanging="360"/>
      </w:pPr>
      <w:rPr>
        <w:rFonts w:ascii="Symbol" w:hAnsi="Symbol"/>
      </w:rPr>
    </w:lvl>
    <w:lvl w:ilvl="6" w:tplc="7602AAD4">
      <w:start w:val="1"/>
      <w:numFmt w:val="bullet"/>
      <w:lvlText w:val=""/>
      <w:lvlJc w:val="left"/>
      <w:pPr>
        <w:ind w:left="720" w:hanging="360"/>
      </w:pPr>
      <w:rPr>
        <w:rFonts w:ascii="Symbol" w:hAnsi="Symbol"/>
      </w:rPr>
    </w:lvl>
    <w:lvl w:ilvl="7" w:tplc="095C62D4">
      <w:start w:val="1"/>
      <w:numFmt w:val="bullet"/>
      <w:lvlText w:val=""/>
      <w:lvlJc w:val="left"/>
      <w:pPr>
        <w:ind w:left="720" w:hanging="360"/>
      </w:pPr>
      <w:rPr>
        <w:rFonts w:ascii="Symbol" w:hAnsi="Symbol"/>
      </w:rPr>
    </w:lvl>
    <w:lvl w:ilvl="8" w:tplc="F09E76BE">
      <w:start w:val="1"/>
      <w:numFmt w:val="bullet"/>
      <w:lvlText w:val=""/>
      <w:lvlJc w:val="left"/>
      <w:pPr>
        <w:ind w:left="720" w:hanging="360"/>
      </w:pPr>
      <w:rPr>
        <w:rFonts w:ascii="Symbol" w:hAnsi="Symbol"/>
      </w:rPr>
    </w:lvl>
  </w:abstractNum>
  <w:abstractNum w:abstractNumId="28" w15:restartNumberingAfterBreak="0">
    <w:nsid w:val="7F617E6B"/>
    <w:multiLevelType w:val="multilevel"/>
    <w:tmpl w:val="44364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22"/>
  </w:num>
  <w:num w:numId="4">
    <w:abstractNumId w:val="26"/>
  </w:num>
  <w:num w:numId="5">
    <w:abstractNumId w:val="8"/>
  </w:num>
  <w:num w:numId="6">
    <w:abstractNumId w:val="16"/>
  </w:num>
  <w:num w:numId="7">
    <w:abstractNumId w:val="6"/>
  </w:num>
  <w:num w:numId="8">
    <w:abstractNumId w:val="10"/>
  </w:num>
  <w:num w:numId="9">
    <w:abstractNumId w:val="5"/>
  </w:num>
  <w:num w:numId="10">
    <w:abstractNumId w:val="25"/>
  </w:num>
  <w:num w:numId="11">
    <w:abstractNumId w:val="13"/>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
    <w:abstractNumId w:val="0"/>
  </w:num>
  <w:num w:numId="13">
    <w:abstractNumId w:val="23"/>
  </w:num>
  <w:num w:numId="14">
    <w:abstractNumId w:val="7"/>
  </w:num>
  <w:num w:numId="15">
    <w:abstractNumId w:val="18"/>
  </w:num>
  <w:num w:numId="16">
    <w:abstractNumId w:val="20"/>
  </w:num>
  <w:num w:numId="17">
    <w:abstractNumId w:val="15"/>
  </w:num>
  <w:num w:numId="18">
    <w:abstractNumId w:val="14"/>
  </w:num>
  <w:num w:numId="19">
    <w:abstractNumId w:val="19"/>
  </w:num>
  <w:num w:numId="20">
    <w:abstractNumId w:val="15"/>
  </w:num>
  <w:num w:numId="21">
    <w:abstractNumId w:val="15"/>
  </w:num>
  <w:num w:numId="22">
    <w:abstractNumId w:val="24"/>
  </w:num>
  <w:num w:numId="23">
    <w:abstractNumId w:val="28"/>
  </w:num>
  <w:num w:numId="24">
    <w:abstractNumId w:val="4"/>
  </w:num>
  <w:num w:numId="25">
    <w:abstractNumId w:val="21"/>
  </w:num>
  <w:num w:numId="26">
    <w:abstractNumId w:val="9"/>
  </w:num>
  <w:num w:numId="27">
    <w:abstractNumId w:val="11"/>
  </w:num>
  <w:num w:numId="28">
    <w:abstractNumId w:val="3"/>
  </w:num>
  <w:num w:numId="29">
    <w:abstractNumId w:val="17"/>
  </w:num>
  <w:num w:numId="30">
    <w:abstractNumId w:val="12"/>
  </w:num>
  <w:num w:numId="31">
    <w:abstractNumId w:val="15"/>
  </w:num>
  <w:num w:numId="32">
    <w:abstractNumId w:val="23"/>
  </w:num>
  <w:num w:numId="33">
    <w:abstractNumId w:val="27"/>
  </w:num>
  <w:num w:numId="34">
    <w:abstractNumId w:val="15"/>
  </w:num>
  <w:num w:numId="3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4"/>
  <w:removePersonalInformation/>
  <w:removeDateAndTime/>
  <w:activeWritingStyle w:appName="MSWord" w:lang="en-US" w:vendorID="64" w:dllVersion="0" w:nlCheck="1" w:checkStyle="0"/>
  <w:activeWritingStyle w:appName="MSWord" w:lang="en-AU" w:vendorID="64" w:dllVersion="0" w:nlCheck="1" w:checkStyle="0"/>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32"/>
    <w:rsid w:val="000000AB"/>
    <w:rsid w:val="000009AE"/>
    <w:rsid w:val="00000DE7"/>
    <w:rsid w:val="00000FEE"/>
    <w:rsid w:val="0000152C"/>
    <w:rsid w:val="0000162F"/>
    <w:rsid w:val="000017DC"/>
    <w:rsid w:val="00002684"/>
    <w:rsid w:val="00002E35"/>
    <w:rsid w:val="00002FF1"/>
    <w:rsid w:val="00003475"/>
    <w:rsid w:val="00004623"/>
    <w:rsid w:val="00004C34"/>
    <w:rsid w:val="00005028"/>
    <w:rsid w:val="0000605D"/>
    <w:rsid w:val="00006147"/>
    <w:rsid w:val="00007047"/>
    <w:rsid w:val="00007075"/>
    <w:rsid w:val="000074CB"/>
    <w:rsid w:val="000078C5"/>
    <w:rsid w:val="000078EC"/>
    <w:rsid w:val="000103A3"/>
    <w:rsid w:val="00010E62"/>
    <w:rsid w:val="00011104"/>
    <w:rsid w:val="00011497"/>
    <w:rsid w:val="0001180A"/>
    <w:rsid w:val="00011BDB"/>
    <w:rsid w:val="00011EFE"/>
    <w:rsid w:val="00012013"/>
    <w:rsid w:val="00012301"/>
    <w:rsid w:val="00012390"/>
    <w:rsid w:val="00012564"/>
    <w:rsid w:val="000126DE"/>
    <w:rsid w:val="0001281C"/>
    <w:rsid w:val="00012861"/>
    <w:rsid w:val="00012A66"/>
    <w:rsid w:val="00012AD2"/>
    <w:rsid w:val="00012E0B"/>
    <w:rsid w:val="00012F8C"/>
    <w:rsid w:val="00013785"/>
    <w:rsid w:val="00013814"/>
    <w:rsid w:val="00013EE8"/>
    <w:rsid w:val="00014235"/>
    <w:rsid w:val="0001445A"/>
    <w:rsid w:val="000146D4"/>
    <w:rsid w:val="00014F8F"/>
    <w:rsid w:val="000153C5"/>
    <w:rsid w:val="00016168"/>
    <w:rsid w:val="000167E9"/>
    <w:rsid w:val="00016E84"/>
    <w:rsid w:val="00016EBB"/>
    <w:rsid w:val="00016F7E"/>
    <w:rsid w:val="0001713A"/>
    <w:rsid w:val="000171DB"/>
    <w:rsid w:val="000176F5"/>
    <w:rsid w:val="00017B23"/>
    <w:rsid w:val="00017C9D"/>
    <w:rsid w:val="0002049F"/>
    <w:rsid w:val="00020C58"/>
    <w:rsid w:val="00021261"/>
    <w:rsid w:val="000215A2"/>
    <w:rsid w:val="000223C3"/>
    <w:rsid w:val="000237DD"/>
    <w:rsid w:val="00023A52"/>
    <w:rsid w:val="00023D7B"/>
    <w:rsid w:val="0002403C"/>
    <w:rsid w:val="0002476B"/>
    <w:rsid w:val="00024863"/>
    <w:rsid w:val="000253C8"/>
    <w:rsid w:val="00026492"/>
    <w:rsid w:val="00026DB0"/>
    <w:rsid w:val="00026E1D"/>
    <w:rsid w:val="00027038"/>
    <w:rsid w:val="000270D5"/>
    <w:rsid w:val="0003031B"/>
    <w:rsid w:val="000312D9"/>
    <w:rsid w:val="0003154E"/>
    <w:rsid w:val="00032053"/>
    <w:rsid w:val="00032C1D"/>
    <w:rsid w:val="00032C6F"/>
    <w:rsid w:val="000334E0"/>
    <w:rsid w:val="00033F32"/>
    <w:rsid w:val="00034285"/>
    <w:rsid w:val="00034803"/>
    <w:rsid w:val="00034A7F"/>
    <w:rsid w:val="00034CB4"/>
    <w:rsid w:val="0003510A"/>
    <w:rsid w:val="000354A5"/>
    <w:rsid w:val="00035737"/>
    <w:rsid w:val="00035DEA"/>
    <w:rsid w:val="00036943"/>
    <w:rsid w:val="00036AEC"/>
    <w:rsid w:val="00036D80"/>
    <w:rsid w:val="00037513"/>
    <w:rsid w:val="00037A1F"/>
    <w:rsid w:val="000401C1"/>
    <w:rsid w:val="0004033B"/>
    <w:rsid w:val="000406DF"/>
    <w:rsid w:val="00040F0F"/>
    <w:rsid w:val="000418E7"/>
    <w:rsid w:val="00041BC6"/>
    <w:rsid w:val="000423AC"/>
    <w:rsid w:val="00042906"/>
    <w:rsid w:val="00042CA9"/>
    <w:rsid w:val="00043C86"/>
    <w:rsid w:val="00044619"/>
    <w:rsid w:val="00044B8D"/>
    <w:rsid w:val="00044D45"/>
    <w:rsid w:val="000453F0"/>
    <w:rsid w:val="00045435"/>
    <w:rsid w:val="000455BB"/>
    <w:rsid w:val="00045F08"/>
    <w:rsid w:val="00045F17"/>
    <w:rsid w:val="000466A4"/>
    <w:rsid w:val="00046A79"/>
    <w:rsid w:val="000470AF"/>
    <w:rsid w:val="000470E9"/>
    <w:rsid w:val="000475B3"/>
    <w:rsid w:val="0004780E"/>
    <w:rsid w:val="00050218"/>
    <w:rsid w:val="00050297"/>
    <w:rsid w:val="000505B3"/>
    <w:rsid w:val="00050604"/>
    <w:rsid w:val="00050642"/>
    <w:rsid w:val="00050719"/>
    <w:rsid w:val="0005095E"/>
    <w:rsid w:val="00050C99"/>
    <w:rsid w:val="00050E86"/>
    <w:rsid w:val="0005150C"/>
    <w:rsid w:val="0005172A"/>
    <w:rsid w:val="00051C5A"/>
    <w:rsid w:val="0005202B"/>
    <w:rsid w:val="0005248D"/>
    <w:rsid w:val="00052918"/>
    <w:rsid w:val="00052C08"/>
    <w:rsid w:val="000537C7"/>
    <w:rsid w:val="00053C12"/>
    <w:rsid w:val="00053DEC"/>
    <w:rsid w:val="00054239"/>
    <w:rsid w:val="000546B5"/>
    <w:rsid w:val="000546BC"/>
    <w:rsid w:val="0005501C"/>
    <w:rsid w:val="0005601D"/>
    <w:rsid w:val="000564F4"/>
    <w:rsid w:val="000565D4"/>
    <w:rsid w:val="00056B16"/>
    <w:rsid w:val="00056C36"/>
    <w:rsid w:val="00056C97"/>
    <w:rsid w:val="00056E26"/>
    <w:rsid w:val="000578E2"/>
    <w:rsid w:val="00057B36"/>
    <w:rsid w:val="00061644"/>
    <w:rsid w:val="00061833"/>
    <w:rsid w:val="00061AC5"/>
    <w:rsid w:val="000620D3"/>
    <w:rsid w:val="00062E14"/>
    <w:rsid w:val="00063C8E"/>
    <w:rsid w:val="00064455"/>
    <w:rsid w:val="0006445D"/>
    <w:rsid w:val="00064750"/>
    <w:rsid w:val="0006499D"/>
    <w:rsid w:val="0006531B"/>
    <w:rsid w:val="0006627F"/>
    <w:rsid w:val="0006678C"/>
    <w:rsid w:val="00067A04"/>
    <w:rsid w:val="00070588"/>
    <w:rsid w:val="00070A12"/>
    <w:rsid w:val="00071BD9"/>
    <w:rsid w:val="00071BED"/>
    <w:rsid w:val="00071DBD"/>
    <w:rsid w:val="00073A4E"/>
    <w:rsid w:val="00073BB2"/>
    <w:rsid w:val="00073D95"/>
    <w:rsid w:val="00073EA9"/>
    <w:rsid w:val="00073EAB"/>
    <w:rsid w:val="000746B5"/>
    <w:rsid w:val="000748F5"/>
    <w:rsid w:val="00075544"/>
    <w:rsid w:val="00075841"/>
    <w:rsid w:val="00076F05"/>
    <w:rsid w:val="00077298"/>
    <w:rsid w:val="00077789"/>
    <w:rsid w:val="00077997"/>
    <w:rsid w:val="00077A92"/>
    <w:rsid w:val="00077EB8"/>
    <w:rsid w:val="0008015B"/>
    <w:rsid w:val="00080823"/>
    <w:rsid w:val="00081196"/>
    <w:rsid w:val="000811E4"/>
    <w:rsid w:val="00081473"/>
    <w:rsid w:val="0008206A"/>
    <w:rsid w:val="00082599"/>
    <w:rsid w:val="000839C7"/>
    <w:rsid w:val="000841D7"/>
    <w:rsid w:val="0008465C"/>
    <w:rsid w:val="00085094"/>
    <w:rsid w:val="0008510B"/>
    <w:rsid w:val="000866D1"/>
    <w:rsid w:val="00086952"/>
    <w:rsid w:val="00086DB8"/>
    <w:rsid w:val="000875EA"/>
    <w:rsid w:val="0009005B"/>
    <w:rsid w:val="000905FF"/>
    <w:rsid w:val="0009066D"/>
    <w:rsid w:val="000907D4"/>
    <w:rsid w:val="000911EA"/>
    <w:rsid w:val="00091419"/>
    <w:rsid w:val="000917B8"/>
    <w:rsid w:val="00091946"/>
    <w:rsid w:val="00092705"/>
    <w:rsid w:val="0009306A"/>
    <w:rsid w:val="000936C0"/>
    <w:rsid w:val="00094281"/>
    <w:rsid w:val="00094699"/>
    <w:rsid w:val="0009578C"/>
    <w:rsid w:val="00095855"/>
    <w:rsid w:val="00095D9C"/>
    <w:rsid w:val="00095EE3"/>
    <w:rsid w:val="00096372"/>
    <w:rsid w:val="00096650"/>
    <w:rsid w:val="00096B93"/>
    <w:rsid w:val="00097363"/>
    <w:rsid w:val="00097F17"/>
    <w:rsid w:val="000A075A"/>
    <w:rsid w:val="000A1027"/>
    <w:rsid w:val="000A18D8"/>
    <w:rsid w:val="000A1C06"/>
    <w:rsid w:val="000A1DBD"/>
    <w:rsid w:val="000A1E15"/>
    <w:rsid w:val="000A25A6"/>
    <w:rsid w:val="000A3396"/>
    <w:rsid w:val="000A4091"/>
    <w:rsid w:val="000A42EF"/>
    <w:rsid w:val="000A4913"/>
    <w:rsid w:val="000A4E62"/>
    <w:rsid w:val="000A7000"/>
    <w:rsid w:val="000B0012"/>
    <w:rsid w:val="000B0460"/>
    <w:rsid w:val="000B0992"/>
    <w:rsid w:val="000B1B7A"/>
    <w:rsid w:val="000B32EB"/>
    <w:rsid w:val="000B3417"/>
    <w:rsid w:val="000B4E62"/>
    <w:rsid w:val="000B555A"/>
    <w:rsid w:val="000B5609"/>
    <w:rsid w:val="000B580F"/>
    <w:rsid w:val="000B58AE"/>
    <w:rsid w:val="000B592E"/>
    <w:rsid w:val="000B5B83"/>
    <w:rsid w:val="000B5DF1"/>
    <w:rsid w:val="000B66C5"/>
    <w:rsid w:val="000B6A28"/>
    <w:rsid w:val="000B6F7B"/>
    <w:rsid w:val="000B7148"/>
    <w:rsid w:val="000B72C0"/>
    <w:rsid w:val="000B7318"/>
    <w:rsid w:val="000B735A"/>
    <w:rsid w:val="000B7B1F"/>
    <w:rsid w:val="000B7D65"/>
    <w:rsid w:val="000B7F6D"/>
    <w:rsid w:val="000C037E"/>
    <w:rsid w:val="000C06C5"/>
    <w:rsid w:val="000C07A6"/>
    <w:rsid w:val="000C0A09"/>
    <w:rsid w:val="000C0D2A"/>
    <w:rsid w:val="000C0FE5"/>
    <w:rsid w:val="000C154C"/>
    <w:rsid w:val="000C1879"/>
    <w:rsid w:val="000C1BD8"/>
    <w:rsid w:val="000C1D98"/>
    <w:rsid w:val="000C1DAB"/>
    <w:rsid w:val="000C1FDE"/>
    <w:rsid w:val="000C234B"/>
    <w:rsid w:val="000C2D38"/>
    <w:rsid w:val="000C391F"/>
    <w:rsid w:val="000C48DF"/>
    <w:rsid w:val="000C4EF2"/>
    <w:rsid w:val="000C4FF0"/>
    <w:rsid w:val="000C5E1E"/>
    <w:rsid w:val="000C64BE"/>
    <w:rsid w:val="000C6DB9"/>
    <w:rsid w:val="000C6E2E"/>
    <w:rsid w:val="000C6FF4"/>
    <w:rsid w:val="000C744A"/>
    <w:rsid w:val="000C7CBB"/>
    <w:rsid w:val="000C7CEE"/>
    <w:rsid w:val="000C7D05"/>
    <w:rsid w:val="000C7DF6"/>
    <w:rsid w:val="000D1277"/>
    <w:rsid w:val="000D191E"/>
    <w:rsid w:val="000D2156"/>
    <w:rsid w:val="000D21C4"/>
    <w:rsid w:val="000D320C"/>
    <w:rsid w:val="000D3B74"/>
    <w:rsid w:val="000D42DE"/>
    <w:rsid w:val="000D4566"/>
    <w:rsid w:val="000D4809"/>
    <w:rsid w:val="000D5546"/>
    <w:rsid w:val="000D589D"/>
    <w:rsid w:val="000D652B"/>
    <w:rsid w:val="000D6540"/>
    <w:rsid w:val="000D749D"/>
    <w:rsid w:val="000D7A22"/>
    <w:rsid w:val="000D7AF1"/>
    <w:rsid w:val="000E143E"/>
    <w:rsid w:val="000E14FF"/>
    <w:rsid w:val="000E1B90"/>
    <w:rsid w:val="000E1F10"/>
    <w:rsid w:val="000E27F9"/>
    <w:rsid w:val="000E290A"/>
    <w:rsid w:val="000E2C3D"/>
    <w:rsid w:val="000E328D"/>
    <w:rsid w:val="000E3524"/>
    <w:rsid w:val="000E3BFC"/>
    <w:rsid w:val="000E3CF8"/>
    <w:rsid w:val="000E4C4F"/>
    <w:rsid w:val="000E65BB"/>
    <w:rsid w:val="000E695A"/>
    <w:rsid w:val="000E7048"/>
    <w:rsid w:val="000E714A"/>
    <w:rsid w:val="000E7C20"/>
    <w:rsid w:val="000F0090"/>
    <w:rsid w:val="000F0CAB"/>
    <w:rsid w:val="000F0ECE"/>
    <w:rsid w:val="000F2056"/>
    <w:rsid w:val="000F2141"/>
    <w:rsid w:val="000F23C0"/>
    <w:rsid w:val="000F3457"/>
    <w:rsid w:val="000F3515"/>
    <w:rsid w:val="000F3720"/>
    <w:rsid w:val="000F457E"/>
    <w:rsid w:val="000F4732"/>
    <w:rsid w:val="000F5297"/>
    <w:rsid w:val="000F5F7A"/>
    <w:rsid w:val="000F64C5"/>
    <w:rsid w:val="000F6530"/>
    <w:rsid w:val="000F722A"/>
    <w:rsid w:val="000F79C6"/>
    <w:rsid w:val="0010008F"/>
    <w:rsid w:val="00100624"/>
    <w:rsid w:val="00100CB1"/>
    <w:rsid w:val="00101BB2"/>
    <w:rsid w:val="00101CD4"/>
    <w:rsid w:val="00101D8A"/>
    <w:rsid w:val="00101FBD"/>
    <w:rsid w:val="0010368F"/>
    <w:rsid w:val="00104EBB"/>
    <w:rsid w:val="00104F5A"/>
    <w:rsid w:val="001051A2"/>
    <w:rsid w:val="00105278"/>
    <w:rsid w:val="00105843"/>
    <w:rsid w:val="00106487"/>
    <w:rsid w:val="0010658A"/>
    <w:rsid w:val="00107050"/>
    <w:rsid w:val="0011068F"/>
    <w:rsid w:val="00110699"/>
    <w:rsid w:val="00110E71"/>
    <w:rsid w:val="00111B11"/>
    <w:rsid w:val="0011202C"/>
    <w:rsid w:val="001129A8"/>
    <w:rsid w:val="00112A62"/>
    <w:rsid w:val="00112D0C"/>
    <w:rsid w:val="0011322F"/>
    <w:rsid w:val="001139E8"/>
    <w:rsid w:val="00113BDD"/>
    <w:rsid w:val="001143B2"/>
    <w:rsid w:val="00114D0B"/>
    <w:rsid w:val="00114D12"/>
    <w:rsid w:val="00114DB9"/>
    <w:rsid w:val="00115264"/>
    <w:rsid w:val="00115E26"/>
    <w:rsid w:val="0011714D"/>
    <w:rsid w:val="00117205"/>
    <w:rsid w:val="00117A77"/>
    <w:rsid w:val="00117F50"/>
    <w:rsid w:val="001201F6"/>
    <w:rsid w:val="00120853"/>
    <w:rsid w:val="001209D5"/>
    <w:rsid w:val="001218F3"/>
    <w:rsid w:val="00121E36"/>
    <w:rsid w:val="00121F86"/>
    <w:rsid w:val="00122202"/>
    <w:rsid w:val="00122538"/>
    <w:rsid w:val="00122CD0"/>
    <w:rsid w:val="00122D1E"/>
    <w:rsid w:val="001234BF"/>
    <w:rsid w:val="00124725"/>
    <w:rsid w:val="00124FD3"/>
    <w:rsid w:val="001252FA"/>
    <w:rsid w:val="00125CAE"/>
    <w:rsid w:val="00125E5D"/>
    <w:rsid w:val="0012621D"/>
    <w:rsid w:val="00126BC9"/>
    <w:rsid w:val="00127558"/>
    <w:rsid w:val="00130234"/>
    <w:rsid w:val="001303D4"/>
    <w:rsid w:val="00130A88"/>
    <w:rsid w:val="00132B4C"/>
    <w:rsid w:val="00132C0F"/>
    <w:rsid w:val="001334A7"/>
    <w:rsid w:val="0013355F"/>
    <w:rsid w:val="00133C4F"/>
    <w:rsid w:val="001349A8"/>
    <w:rsid w:val="00135B9B"/>
    <w:rsid w:val="00135CF4"/>
    <w:rsid w:val="00135E56"/>
    <w:rsid w:val="00136420"/>
    <w:rsid w:val="00136502"/>
    <w:rsid w:val="001368D2"/>
    <w:rsid w:val="00137011"/>
    <w:rsid w:val="00137141"/>
    <w:rsid w:val="00137C82"/>
    <w:rsid w:val="00137F5C"/>
    <w:rsid w:val="00137F5F"/>
    <w:rsid w:val="001400CA"/>
    <w:rsid w:val="001403FA"/>
    <w:rsid w:val="00141323"/>
    <w:rsid w:val="0014151F"/>
    <w:rsid w:val="00141942"/>
    <w:rsid w:val="00143ED9"/>
    <w:rsid w:val="00144432"/>
    <w:rsid w:val="00144483"/>
    <w:rsid w:val="00146158"/>
    <w:rsid w:val="0014673E"/>
    <w:rsid w:val="00146A20"/>
    <w:rsid w:val="001474C0"/>
    <w:rsid w:val="001508C7"/>
    <w:rsid w:val="001527E6"/>
    <w:rsid w:val="00152ADB"/>
    <w:rsid w:val="0015316D"/>
    <w:rsid w:val="00153261"/>
    <w:rsid w:val="001537A4"/>
    <w:rsid w:val="001538EB"/>
    <w:rsid w:val="00153A72"/>
    <w:rsid w:val="00153F7F"/>
    <w:rsid w:val="00154E29"/>
    <w:rsid w:val="00154ED2"/>
    <w:rsid w:val="00155A58"/>
    <w:rsid w:val="001565C5"/>
    <w:rsid w:val="0015671D"/>
    <w:rsid w:val="00157D90"/>
    <w:rsid w:val="00157E60"/>
    <w:rsid w:val="00160392"/>
    <w:rsid w:val="001603D6"/>
    <w:rsid w:val="00160414"/>
    <w:rsid w:val="00160520"/>
    <w:rsid w:val="00160992"/>
    <w:rsid w:val="00160B4E"/>
    <w:rsid w:val="001611BF"/>
    <w:rsid w:val="0016139C"/>
    <w:rsid w:val="00161A25"/>
    <w:rsid w:val="00161BBF"/>
    <w:rsid w:val="00162074"/>
    <w:rsid w:val="00162DF7"/>
    <w:rsid w:val="001631C2"/>
    <w:rsid w:val="0016349F"/>
    <w:rsid w:val="001636CC"/>
    <w:rsid w:val="00163855"/>
    <w:rsid w:val="001659DB"/>
    <w:rsid w:val="00165CC4"/>
    <w:rsid w:val="00166373"/>
    <w:rsid w:val="00166A57"/>
    <w:rsid w:val="00166B87"/>
    <w:rsid w:val="00166B9A"/>
    <w:rsid w:val="00166C01"/>
    <w:rsid w:val="001673AA"/>
    <w:rsid w:val="00167459"/>
    <w:rsid w:val="0017045F"/>
    <w:rsid w:val="00170E71"/>
    <w:rsid w:val="00171138"/>
    <w:rsid w:val="00171370"/>
    <w:rsid w:val="00171455"/>
    <w:rsid w:val="001727F8"/>
    <w:rsid w:val="00172E13"/>
    <w:rsid w:val="001735EC"/>
    <w:rsid w:val="001737C0"/>
    <w:rsid w:val="00173900"/>
    <w:rsid w:val="00173E31"/>
    <w:rsid w:val="0017436A"/>
    <w:rsid w:val="0017531D"/>
    <w:rsid w:val="00175B29"/>
    <w:rsid w:val="00176129"/>
    <w:rsid w:val="0017639A"/>
    <w:rsid w:val="00176470"/>
    <w:rsid w:val="00176874"/>
    <w:rsid w:val="00180B9B"/>
    <w:rsid w:val="00180D0C"/>
    <w:rsid w:val="00180DC2"/>
    <w:rsid w:val="00180ECE"/>
    <w:rsid w:val="00180F53"/>
    <w:rsid w:val="00180F75"/>
    <w:rsid w:val="00181215"/>
    <w:rsid w:val="0018157A"/>
    <w:rsid w:val="0018201C"/>
    <w:rsid w:val="0018338D"/>
    <w:rsid w:val="00184276"/>
    <w:rsid w:val="0018443E"/>
    <w:rsid w:val="001846C7"/>
    <w:rsid w:val="0018470A"/>
    <w:rsid w:val="00185942"/>
    <w:rsid w:val="00186F71"/>
    <w:rsid w:val="00187F6A"/>
    <w:rsid w:val="001907BF"/>
    <w:rsid w:val="00191472"/>
    <w:rsid w:val="00191AAC"/>
    <w:rsid w:val="00192BCA"/>
    <w:rsid w:val="00193533"/>
    <w:rsid w:val="001940FA"/>
    <w:rsid w:val="001942B1"/>
    <w:rsid w:val="001943E3"/>
    <w:rsid w:val="001945EE"/>
    <w:rsid w:val="0019504B"/>
    <w:rsid w:val="001954B4"/>
    <w:rsid w:val="00195598"/>
    <w:rsid w:val="00195924"/>
    <w:rsid w:val="00195E60"/>
    <w:rsid w:val="00195ED6"/>
    <w:rsid w:val="00196E1F"/>
    <w:rsid w:val="00197027"/>
    <w:rsid w:val="001974D4"/>
    <w:rsid w:val="0019776F"/>
    <w:rsid w:val="00197925"/>
    <w:rsid w:val="00197AFB"/>
    <w:rsid w:val="00197EAD"/>
    <w:rsid w:val="001A0454"/>
    <w:rsid w:val="001A0CD6"/>
    <w:rsid w:val="001A0FF5"/>
    <w:rsid w:val="001A14BD"/>
    <w:rsid w:val="001A2AE8"/>
    <w:rsid w:val="001A3428"/>
    <w:rsid w:val="001A3BD7"/>
    <w:rsid w:val="001A432B"/>
    <w:rsid w:val="001A4547"/>
    <w:rsid w:val="001A4AC7"/>
    <w:rsid w:val="001A4DBD"/>
    <w:rsid w:val="001A4DDB"/>
    <w:rsid w:val="001A4E19"/>
    <w:rsid w:val="001A681E"/>
    <w:rsid w:val="001A6CD3"/>
    <w:rsid w:val="001A6DCB"/>
    <w:rsid w:val="001B0431"/>
    <w:rsid w:val="001B07D2"/>
    <w:rsid w:val="001B0848"/>
    <w:rsid w:val="001B11FC"/>
    <w:rsid w:val="001B1BA9"/>
    <w:rsid w:val="001B20AA"/>
    <w:rsid w:val="001B270A"/>
    <w:rsid w:val="001B2D56"/>
    <w:rsid w:val="001B2E0E"/>
    <w:rsid w:val="001B33A6"/>
    <w:rsid w:val="001B35A7"/>
    <w:rsid w:val="001B4265"/>
    <w:rsid w:val="001B44B0"/>
    <w:rsid w:val="001B490F"/>
    <w:rsid w:val="001B50A2"/>
    <w:rsid w:val="001B50BB"/>
    <w:rsid w:val="001B5164"/>
    <w:rsid w:val="001B6262"/>
    <w:rsid w:val="001B657C"/>
    <w:rsid w:val="001B670D"/>
    <w:rsid w:val="001B6B6A"/>
    <w:rsid w:val="001B7935"/>
    <w:rsid w:val="001C021F"/>
    <w:rsid w:val="001C196E"/>
    <w:rsid w:val="001C19C1"/>
    <w:rsid w:val="001C1AC9"/>
    <w:rsid w:val="001C245B"/>
    <w:rsid w:val="001C35BE"/>
    <w:rsid w:val="001C35EC"/>
    <w:rsid w:val="001C3917"/>
    <w:rsid w:val="001C3F6D"/>
    <w:rsid w:val="001C4F2C"/>
    <w:rsid w:val="001C5D69"/>
    <w:rsid w:val="001C64E6"/>
    <w:rsid w:val="001C72D2"/>
    <w:rsid w:val="001C7D01"/>
    <w:rsid w:val="001D1756"/>
    <w:rsid w:val="001D1A84"/>
    <w:rsid w:val="001D1B89"/>
    <w:rsid w:val="001D24F2"/>
    <w:rsid w:val="001D2988"/>
    <w:rsid w:val="001D2F46"/>
    <w:rsid w:val="001D3170"/>
    <w:rsid w:val="001D3364"/>
    <w:rsid w:val="001D3B3C"/>
    <w:rsid w:val="001D4374"/>
    <w:rsid w:val="001D456D"/>
    <w:rsid w:val="001D49FC"/>
    <w:rsid w:val="001D4D97"/>
    <w:rsid w:val="001D4FF6"/>
    <w:rsid w:val="001D5EB3"/>
    <w:rsid w:val="001D5FA2"/>
    <w:rsid w:val="001D6A68"/>
    <w:rsid w:val="001D6B7F"/>
    <w:rsid w:val="001D7222"/>
    <w:rsid w:val="001D77F3"/>
    <w:rsid w:val="001D7993"/>
    <w:rsid w:val="001E03E1"/>
    <w:rsid w:val="001E04BC"/>
    <w:rsid w:val="001E0767"/>
    <w:rsid w:val="001E1443"/>
    <w:rsid w:val="001E15A6"/>
    <w:rsid w:val="001E2DD4"/>
    <w:rsid w:val="001E2F7A"/>
    <w:rsid w:val="001E3EA6"/>
    <w:rsid w:val="001E4016"/>
    <w:rsid w:val="001E4B2E"/>
    <w:rsid w:val="001E4DBB"/>
    <w:rsid w:val="001E5661"/>
    <w:rsid w:val="001E5694"/>
    <w:rsid w:val="001E5B9C"/>
    <w:rsid w:val="001E5F97"/>
    <w:rsid w:val="001E6B21"/>
    <w:rsid w:val="001F02B8"/>
    <w:rsid w:val="001F03FE"/>
    <w:rsid w:val="001F0BD7"/>
    <w:rsid w:val="001F1D1D"/>
    <w:rsid w:val="001F252C"/>
    <w:rsid w:val="001F25FF"/>
    <w:rsid w:val="001F2CB7"/>
    <w:rsid w:val="001F2F66"/>
    <w:rsid w:val="001F3388"/>
    <w:rsid w:val="001F3A05"/>
    <w:rsid w:val="001F3A66"/>
    <w:rsid w:val="001F4453"/>
    <w:rsid w:val="001F4C9E"/>
    <w:rsid w:val="001F509A"/>
    <w:rsid w:val="001F5280"/>
    <w:rsid w:val="001F5C69"/>
    <w:rsid w:val="001F66AC"/>
    <w:rsid w:val="001F746C"/>
    <w:rsid w:val="001F7869"/>
    <w:rsid w:val="001F7D15"/>
    <w:rsid w:val="002007FB"/>
    <w:rsid w:val="002009CA"/>
    <w:rsid w:val="00200A5F"/>
    <w:rsid w:val="002011CE"/>
    <w:rsid w:val="00201446"/>
    <w:rsid w:val="002025C4"/>
    <w:rsid w:val="00203ADF"/>
    <w:rsid w:val="00203C56"/>
    <w:rsid w:val="0020420B"/>
    <w:rsid w:val="00204233"/>
    <w:rsid w:val="002048E4"/>
    <w:rsid w:val="002049B9"/>
    <w:rsid w:val="00204AA4"/>
    <w:rsid w:val="00205009"/>
    <w:rsid w:val="00205056"/>
    <w:rsid w:val="0020514D"/>
    <w:rsid w:val="00205C12"/>
    <w:rsid w:val="00205ED4"/>
    <w:rsid w:val="0020697B"/>
    <w:rsid w:val="00206A6A"/>
    <w:rsid w:val="00207CC1"/>
    <w:rsid w:val="002100C0"/>
    <w:rsid w:val="002104EF"/>
    <w:rsid w:val="00210A18"/>
    <w:rsid w:val="00211069"/>
    <w:rsid w:val="002114BB"/>
    <w:rsid w:val="00212443"/>
    <w:rsid w:val="0021285A"/>
    <w:rsid w:val="00212C9A"/>
    <w:rsid w:val="00212CCE"/>
    <w:rsid w:val="0021428A"/>
    <w:rsid w:val="002148C2"/>
    <w:rsid w:val="00214C92"/>
    <w:rsid w:val="002151D6"/>
    <w:rsid w:val="002155B3"/>
    <w:rsid w:val="0021663E"/>
    <w:rsid w:val="00217199"/>
    <w:rsid w:val="0021765E"/>
    <w:rsid w:val="00217C13"/>
    <w:rsid w:val="00217D5F"/>
    <w:rsid w:val="00217DF7"/>
    <w:rsid w:val="00220C34"/>
    <w:rsid w:val="00220DDA"/>
    <w:rsid w:val="00221091"/>
    <w:rsid w:val="002214FB"/>
    <w:rsid w:val="002217EF"/>
    <w:rsid w:val="00222805"/>
    <w:rsid w:val="00222A2B"/>
    <w:rsid w:val="00224386"/>
    <w:rsid w:val="002251F9"/>
    <w:rsid w:val="0022531F"/>
    <w:rsid w:val="002265F1"/>
    <w:rsid w:val="00226600"/>
    <w:rsid w:val="00226D84"/>
    <w:rsid w:val="002270D6"/>
    <w:rsid w:val="00227444"/>
    <w:rsid w:val="00227506"/>
    <w:rsid w:val="00227A94"/>
    <w:rsid w:val="00227DB5"/>
    <w:rsid w:val="002312B5"/>
    <w:rsid w:val="00231331"/>
    <w:rsid w:val="00231932"/>
    <w:rsid w:val="00231E63"/>
    <w:rsid w:val="002326B4"/>
    <w:rsid w:val="0023289C"/>
    <w:rsid w:val="00232DC8"/>
    <w:rsid w:val="00232F3A"/>
    <w:rsid w:val="00233B69"/>
    <w:rsid w:val="002344CF"/>
    <w:rsid w:val="002345AE"/>
    <w:rsid w:val="00234E21"/>
    <w:rsid w:val="0023549C"/>
    <w:rsid w:val="00235755"/>
    <w:rsid w:val="002360BF"/>
    <w:rsid w:val="0023612E"/>
    <w:rsid w:val="002362EE"/>
    <w:rsid w:val="002365C7"/>
    <w:rsid w:val="0023670A"/>
    <w:rsid w:val="00236821"/>
    <w:rsid w:val="00236A71"/>
    <w:rsid w:val="00236F47"/>
    <w:rsid w:val="0023777F"/>
    <w:rsid w:val="00237967"/>
    <w:rsid w:val="00237ECC"/>
    <w:rsid w:val="002400D9"/>
    <w:rsid w:val="002405B7"/>
    <w:rsid w:val="00241749"/>
    <w:rsid w:val="00242D9C"/>
    <w:rsid w:val="00243AFA"/>
    <w:rsid w:val="002448C2"/>
    <w:rsid w:val="00244A0E"/>
    <w:rsid w:val="00244E64"/>
    <w:rsid w:val="00244EF8"/>
    <w:rsid w:val="0024565C"/>
    <w:rsid w:val="0024682D"/>
    <w:rsid w:val="00246BB2"/>
    <w:rsid w:val="00246D73"/>
    <w:rsid w:val="00247085"/>
    <w:rsid w:val="002474CC"/>
    <w:rsid w:val="002475B1"/>
    <w:rsid w:val="00250298"/>
    <w:rsid w:val="002506FD"/>
    <w:rsid w:val="00251B26"/>
    <w:rsid w:val="00251C82"/>
    <w:rsid w:val="00251D7A"/>
    <w:rsid w:val="00251ECD"/>
    <w:rsid w:val="00252439"/>
    <w:rsid w:val="002528EA"/>
    <w:rsid w:val="00252D13"/>
    <w:rsid w:val="00253901"/>
    <w:rsid w:val="0025448B"/>
    <w:rsid w:val="00255252"/>
    <w:rsid w:val="0025571C"/>
    <w:rsid w:val="00255B4E"/>
    <w:rsid w:val="00255ED1"/>
    <w:rsid w:val="00256027"/>
    <w:rsid w:val="00257894"/>
    <w:rsid w:val="002578E4"/>
    <w:rsid w:val="00257982"/>
    <w:rsid w:val="00261000"/>
    <w:rsid w:val="0026165A"/>
    <w:rsid w:val="00262592"/>
    <w:rsid w:val="00262BF9"/>
    <w:rsid w:val="00262EFC"/>
    <w:rsid w:val="002645AB"/>
    <w:rsid w:val="00264D1C"/>
    <w:rsid w:val="0026511A"/>
    <w:rsid w:val="002651EE"/>
    <w:rsid w:val="002656BE"/>
    <w:rsid w:val="002665E0"/>
    <w:rsid w:val="00266CCC"/>
    <w:rsid w:val="00267C71"/>
    <w:rsid w:val="00267EFB"/>
    <w:rsid w:val="00270135"/>
    <w:rsid w:val="0027018C"/>
    <w:rsid w:val="00270742"/>
    <w:rsid w:val="00271EB6"/>
    <w:rsid w:val="002728F2"/>
    <w:rsid w:val="002729AE"/>
    <w:rsid w:val="00272F53"/>
    <w:rsid w:val="00273137"/>
    <w:rsid w:val="00273A40"/>
    <w:rsid w:val="00273E1B"/>
    <w:rsid w:val="00274251"/>
    <w:rsid w:val="00274D42"/>
    <w:rsid w:val="0027555C"/>
    <w:rsid w:val="00275C6C"/>
    <w:rsid w:val="00275D46"/>
    <w:rsid w:val="0027622D"/>
    <w:rsid w:val="002764FE"/>
    <w:rsid w:val="00276568"/>
    <w:rsid w:val="00276663"/>
    <w:rsid w:val="002771EC"/>
    <w:rsid w:val="0027736C"/>
    <w:rsid w:val="00277D98"/>
    <w:rsid w:val="00280127"/>
    <w:rsid w:val="00280C5B"/>
    <w:rsid w:val="002816C0"/>
    <w:rsid w:val="00282D29"/>
    <w:rsid w:val="00283313"/>
    <w:rsid w:val="00283447"/>
    <w:rsid w:val="0028345F"/>
    <w:rsid w:val="00284459"/>
    <w:rsid w:val="002850A6"/>
    <w:rsid w:val="00285CAF"/>
    <w:rsid w:val="00285E90"/>
    <w:rsid w:val="00287997"/>
    <w:rsid w:val="00290C2A"/>
    <w:rsid w:val="00290E93"/>
    <w:rsid w:val="002912F6"/>
    <w:rsid w:val="00291670"/>
    <w:rsid w:val="0029263A"/>
    <w:rsid w:val="00292BAD"/>
    <w:rsid w:val="00292BFC"/>
    <w:rsid w:val="0029399E"/>
    <w:rsid w:val="0029429C"/>
    <w:rsid w:val="002942B3"/>
    <w:rsid w:val="00294AAB"/>
    <w:rsid w:val="00294B27"/>
    <w:rsid w:val="00294B28"/>
    <w:rsid w:val="002951B4"/>
    <w:rsid w:val="002958C4"/>
    <w:rsid w:val="00295A1B"/>
    <w:rsid w:val="00295E2A"/>
    <w:rsid w:val="00295FA6"/>
    <w:rsid w:val="002968E4"/>
    <w:rsid w:val="002972E0"/>
    <w:rsid w:val="00297E6D"/>
    <w:rsid w:val="002A08CC"/>
    <w:rsid w:val="002A0AD3"/>
    <w:rsid w:val="002A0C3A"/>
    <w:rsid w:val="002A15A9"/>
    <w:rsid w:val="002A168B"/>
    <w:rsid w:val="002A1A51"/>
    <w:rsid w:val="002A2003"/>
    <w:rsid w:val="002A2172"/>
    <w:rsid w:val="002A22C2"/>
    <w:rsid w:val="002A25FA"/>
    <w:rsid w:val="002A2B03"/>
    <w:rsid w:val="002A2D86"/>
    <w:rsid w:val="002A3171"/>
    <w:rsid w:val="002A3F9D"/>
    <w:rsid w:val="002A4353"/>
    <w:rsid w:val="002A43EA"/>
    <w:rsid w:val="002A48DE"/>
    <w:rsid w:val="002A4F16"/>
    <w:rsid w:val="002A4F7A"/>
    <w:rsid w:val="002A50D8"/>
    <w:rsid w:val="002A5288"/>
    <w:rsid w:val="002A536C"/>
    <w:rsid w:val="002A571F"/>
    <w:rsid w:val="002A57E1"/>
    <w:rsid w:val="002A596F"/>
    <w:rsid w:val="002A6116"/>
    <w:rsid w:val="002A662F"/>
    <w:rsid w:val="002A6ABD"/>
    <w:rsid w:val="002A6FFC"/>
    <w:rsid w:val="002A71EB"/>
    <w:rsid w:val="002A79A5"/>
    <w:rsid w:val="002A7E61"/>
    <w:rsid w:val="002B020D"/>
    <w:rsid w:val="002B0620"/>
    <w:rsid w:val="002B0827"/>
    <w:rsid w:val="002B0992"/>
    <w:rsid w:val="002B09F5"/>
    <w:rsid w:val="002B1336"/>
    <w:rsid w:val="002B1398"/>
    <w:rsid w:val="002B13DE"/>
    <w:rsid w:val="002B1C4B"/>
    <w:rsid w:val="002B1D63"/>
    <w:rsid w:val="002B28F7"/>
    <w:rsid w:val="002B31F9"/>
    <w:rsid w:val="002B39AA"/>
    <w:rsid w:val="002B4625"/>
    <w:rsid w:val="002B4C46"/>
    <w:rsid w:val="002B5C2B"/>
    <w:rsid w:val="002B6166"/>
    <w:rsid w:val="002B661A"/>
    <w:rsid w:val="002B73FA"/>
    <w:rsid w:val="002B77C6"/>
    <w:rsid w:val="002B7997"/>
    <w:rsid w:val="002B7BCD"/>
    <w:rsid w:val="002B7E85"/>
    <w:rsid w:val="002C06F4"/>
    <w:rsid w:val="002C09B1"/>
    <w:rsid w:val="002C0B45"/>
    <w:rsid w:val="002C1714"/>
    <w:rsid w:val="002C1F13"/>
    <w:rsid w:val="002C2402"/>
    <w:rsid w:val="002C37F9"/>
    <w:rsid w:val="002C5618"/>
    <w:rsid w:val="002C6C42"/>
    <w:rsid w:val="002C79D9"/>
    <w:rsid w:val="002C7A05"/>
    <w:rsid w:val="002C7F80"/>
    <w:rsid w:val="002D034C"/>
    <w:rsid w:val="002D1364"/>
    <w:rsid w:val="002D1376"/>
    <w:rsid w:val="002D1FF4"/>
    <w:rsid w:val="002D336C"/>
    <w:rsid w:val="002D41AE"/>
    <w:rsid w:val="002D41AF"/>
    <w:rsid w:val="002D42BE"/>
    <w:rsid w:val="002D52D3"/>
    <w:rsid w:val="002D5652"/>
    <w:rsid w:val="002D58CA"/>
    <w:rsid w:val="002D59D1"/>
    <w:rsid w:val="002D6903"/>
    <w:rsid w:val="002D6B3D"/>
    <w:rsid w:val="002D7771"/>
    <w:rsid w:val="002D7EA7"/>
    <w:rsid w:val="002D7ED2"/>
    <w:rsid w:val="002E031D"/>
    <w:rsid w:val="002E0C03"/>
    <w:rsid w:val="002E0F76"/>
    <w:rsid w:val="002E11C7"/>
    <w:rsid w:val="002E1BAC"/>
    <w:rsid w:val="002E229A"/>
    <w:rsid w:val="002E260B"/>
    <w:rsid w:val="002E29F8"/>
    <w:rsid w:val="002E36C3"/>
    <w:rsid w:val="002E3E37"/>
    <w:rsid w:val="002E3F3D"/>
    <w:rsid w:val="002E41EB"/>
    <w:rsid w:val="002E449C"/>
    <w:rsid w:val="002E494A"/>
    <w:rsid w:val="002E4E7A"/>
    <w:rsid w:val="002E4EDC"/>
    <w:rsid w:val="002E5294"/>
    <w:rsid w:val="002E543A"/>
    <w:rsid w:val="002E54FD"/>
    <w:rsid w:val="002E5693"/>
    <w:rsid w:val="002E5916"/>
    <w:rsid w:val="002E5F20"/>
    <w:rsid w:val="002E6013"/>
    <w:rsid w:val="002E6305"/>
    <w:rsid w:val="002E640B"/>
    <w:rsid w:val="002E6495"/>
    <w:rsid w:val="002E7247"/>
    <w:rsid w:val="002E7C62"/>
    <w:rsid w:val="002E7CAF"/>
    <w:rsid w:val="002F0138"/>
    <w:rsid w:val="002F0D79"/>
    <w:rsid w:val="002F1081"/>
    <w:rsid w:val="002F1872"/>
    <w:rsid w:val="002F19E8"/>
    <w:rsid w:val="002F1B33"/>
    <w:rsid w:val="002F1DA0"/>
    <w:rsid w:val="002F23D3"/>
    <w:rsid w:val="002F2941"/>
    <w:rsid w:val="002F2C47"/>
    <w:rsid w:val="002F308D"/>
    <w:rsid w:val="002F363C"/>
    <w:rsid w:val="002F3674"/>
    <w:rsid w:val="002F38B2"/>
    <w:rsid w:val="002F3AB4"/>
    <w:rsid w:val="002F3DE7"/>
    <w:rsid w:val="002F446C"/>
    <w:rsid w:val="002F4587"/>
    <w:rsid w:val="002F49DD"/>
    <w:rsid w:val="002F4A44"/>
    <w:rsid w:val="002F56FF"/>
    <w:rsid w:val="002F5799"/>
    <w:rsid w:val="002F5C3A"/>
    <w:rsid w:val="002F66EF"/>
    <w:rsid w:val="002F6B65"/>
    <w:rsid w:val="002F6D29"/>
    <w:rsid w:val="002F6DA6"/>
    <w:rsid w:val="002F71C0"/>
    <w:rsid w:val="002F76D5"/>
    <w:rsid w:val="002F7A04"/>
    <w:rsid w:val="002F7B1F"/>
    <w:rsid w:val="002F7BF3"/>
    <w:rsid w:val="00300EEF"/>
    <w:rsid w:val="00301297"/>
    <w:rsid w:val="003017A5"/>
    <w:rsid w:val="00301C2D"/>
    <w:rsid w:val="00301DA2"/>
    <w:rsid w:val="003028B1"/>
    <w:rsid w:val="003028DF"/>
    <w:rsid w:val="003029A9"/>
    <w:rsid w:val="0030328F"/>
    <w:rsid w:val="0030371A"/>
    <w:rsid w:val="00303732"/>
    <w:rsid w:val="00303C55"/>
    <w:rsid w:val="00304D2A"/>
    <w:rsid w:val="00304E32"/>
    <w:rsid w:val="003058E9"/>
    <w:rsid w:val="00305B1E"/>
    <w:rsid w:val="00305B97"/>
    <w:rsid w:val="00305F38"/>
    <w:rsid w:val="00306294"/>
    <w:rsid w:val="00306C83"/>
    <w:rsid w:val="00306CCA"/>
    <w:rsid w:val="003078D2"/>
    <w:rsid w:val="00307C7F"/>
    <w:rsid w:val="00310026"/>
    <w:rsid w:val="003102A3"/>
    <w:rsid w:val="00310740"/>
    <w:rsid w:val="00311C2D"/>
    <w:rsid w:val="0031285F"/>
    <w:rsid w:val="003132D4"/>
    <w:rsid w:val="003137C6"/>
    <w:rsid w:val="00314061"/>
    <w:rsid w:val="0031447E"/>
    <w:rsid w:val="003148D2"/>
    <w:rsid w:val="00314919"/>
    <w:rsid w:val="00314DBE"/>
    <w:rsid w:val="00314FC6"/>
    <w:rsid w:val="00315DCF"/>
    <w:rsid w:val="003166E3"/>
    <w:rsid w:val="00316B30"/>
    <w:rsid w:val="00316B63"/>
    <w:rsid w:val="00317030"/>
    <w:rsid w:val="00317DA8"/>
    <w:rsid w:val="00320095"/>
    <w:rsid w:val="003202E4"/>
    <w:rsid w:val="003212C2"/>
    <w:rsid w:val="003212D2"/>
    <w:rsid w:val="003224AD"/>
    <w:rsid w:val="00323288"/>
    <w:rsid w:val="00323657"/>
    <w:rsid w:val="00323979"/>
    <w:rsid w:val="00324F60"/>
    <w:rsid w:val="00325164"/>
    <w:rsid w:val="003251EE"/>
    <w:rsid w:val="003251F2"/>
    <w:rsid w:val="00326308"/>
    <w:rsid w:val="00326739"/>
    <w:rsid w:val="00326CA0"/>
    <w:rsid w:val="00327B89"/>
    <w:rsid w:val="00330258"/>
    <w:rsid w:val="00330510"/>
    <w:rsid w:val="0033060E"/>
    <w:rsid w:val="003310D3"/>
    <w:rsid w:val="00332088"/>
    <w:rsid w:val="00332619"/>
    <w:rsid w:val="00332946"/>
    <w:rsid w:val="00332947"/>
    <w:rsid w:val="003329FF"/>
    <w:rsid w:val="00332B80"/>
    <w:rsid w:val="00333A91"/>
    <w:rsid w:val="00333C8F"/>
    <w:rsid w:val="00333DA3"/>
    <w:rsid w:val="0033566D"/>
    <w:rsid w:val="00335CCC"/>
    <w:rsid w:val="00335D89"/>
    <w:rsid w:val="00336016"/>
    <w:rsid w:val="00336832"/>
    <w:rsid w:val="00336BA6"/>
    <w:rsid w:val="00337228"/>
    <w:rsid w:val="00337CE9"/>
    <w:rsid w:val="00337F32"/>
    <w:rsid w:val="003405DB"/>
    <w:rsid w:val="003409E5"/>
    <w:rsid w:val="00341378"/>
    <w:rsid w:val="00341507"/>
    <w:rsid w:val="003418F7"/>
    <w:rsid w:val="0034227F"/>
    <w:rsid w:val="0034229C"/>
    <w:rsid w:val="003424DC"/>
    <w:rsid w:val="00342864"/>
    <w:rsid w:val="00343494"/>
    <w:rsid w:val="00343554"/>
    <w:rsid w:val="003438CC"/>
    <w:rsid w:val="00343B13"/>
    <w:rsid w:val="00343EC2"/>
    <w:rsid w:val="00344A93"/>
    <w:rsid w:val="00344EBC"/>
    <w:rsid w:val="00345501"/>
    <w:rsid w:val="00345570"/>
    <w:rsid w:val="003457E3"/>
    <w:rsid w:val="0034592A"/>
    <w:rsid w:val="00345DB8"/>
    <w:rsid w:val="00345E28"/>
    <w:rsid w:val="00346556"/>
    <w:rsid w:val="003466EA"/>
    <w:rsid w:val="00346B5A"/>
    <w:rsid w:val="00347B0E"/>
    <w:rsid w:val="00347DE6"/>
    <w:rsid w:val="003502AE"/>
    <w:rsid w:val="00351B9B"/>
    <w:rsid w:val="00351FB6"/>
    <w:rsid w:val="0035313E"/>
    <w:rsid w:val="00353175"/>
    <w:rsid w:val="00353255"/>
    <w:rsid w:val="00353431"/>
    <w:rsid w:val="00353E5E"/>
    <w:rsid w:val="00353F36"/>
    <w:rsid w:val="0035465A"/>
    <w:rsid w:val="0035645F"/>
    <w:rsid w:val="0036007E"/>
    <w:rsid w:val="003608C4"/>
    <w:rsid w:val="00361020"/>
    <w:rsid w:val="00361F8A"/>
    <w:rsid w:val="003626DE"/>
    <w:rsid w:val="003628D9"/>
    <w:rsid w:val="00363202"/>
    <w:rsid w:val="00363479"/>
    <w:rsid w:val="0036358F"/>
    <w:rsid w:val="0036387E"/>
    <w:rsid w:val="003642E1"/>
    <w:rsid w:val="00364F9D"/>
    <w:rsid w:val="00365DC6"/>
    <w:rsid w:val="00365FC1"/>
    <w:rsid w:val="00366087"/>
    <w:rsid w:val="00366424"/>
    <w:rsid w:val="0036660F"/>
    <w:rsid w:val="003666AC"/>
    <w:rsid w:val="0036688E"/>
    <w:rsid w:val="00366DF9"/>
    <w:rsid w:val="003700DD"/>
    <w:rsid w:val="00370326"/>
    <w:rsid w:val="00370B8B"/>
    <w:rsid w:val="00370E6F"/>
    <w:rsid w:val="00371866"/>
    <w:rsid w:val="00371977"/>
    <w:rsid w:val="0037212A"/>
    <w:rsid w:val="003723FF"/>
    <w:rsid w:val="00372E07"/>
    <w:rsid w:val="00374107"/>
    <w:rsid w:val="003744AB"/>
    <w:rsid w:val="00374D2A"/>
    <w:rsid w:val="00375750"/>
    <w:rsid w:val="00376521"/>
    <w:rsid w:val="00376FE6"/>
    <w:rsid w:val="00377199"/>
    <w:rsid w:val="0037731B"/>
    <w:rsid w:val="00377B0D"/>
    <w:rsid w:val="00377E39"/>
    <w:rsid w:val="0038002F"/>
    <w:rsid w:val="00380620"/>
    <w:rsid w:val="003806E8"/>
    <w:rsid w:val="00380AB0"/>
    <w:rsid w:val="003814A5"/>
    <w:rsid w:val="0038179E"/>
    <w:rsid w:val="003819C0"/>
    <w:rsid w:val="00381A51"/>
    <w:rsid w:val="00381DBD"/>
    <w:rsid w:val="00382926"/>
    <w:rsid w:val="00382E98"/>
    <w:rsid w:val="00383CF3"/>
    <w:rsid w:val="00384236"/>
    <w:rsid w:val="00384396"/>
    <w:rsid w:val="00384C9B"/>
    <w:rsid w:val="003852D0"/>
    <w:rsid w:val="0038534C"/>
    <w:rsid w:val="00385979"/>
    <w:rsid w:val="00385BD5"/>
    <w:rsid w:val="00385D05"/>
    <w:rsid w:val="003860B1"/>
    <w:rsid w:val="00386DF8"/>
    <w:rsid w:val="003872AC"/>
    <w:rsid w:val="00387C85"/>
    <w:rsid w:val="00390755"/>
    <w:rsid w:val="00390E6A"/>
    <w:rsid w:val="003910DC"/>
    <w:rsid w:val="00391107"/>
    <w:rsid w:val="00391780"/>
    <w:rsid w:val="00391ECA"/>
    <w:rsid w:val="003923B4"/>
    <w:rsid w:val="00392715"/>
    <w:rsid w:val="00392D6A"/>
    <w:rsid w:val="0039334F"/>
    <w:rsid w:val="003949C4"/>
    <w:rsid w:val="00394A95"/>
    <w:rsid w:val="00394B96"/>
    <w:rsid w:val="00394E62"/>
    <w:rsid w:val="00395C4F"/>
    <w:rsid w:val="003971D2"/>
    <w:rsid w:val="003976AC"/>
    <w:rsid w:val="003977EE"/>
    <w:rsid w:val="003A0482"/>
    <w:rsid w:val="003A07F9"/>
    <w:rsid w:val="003A0C20"/>
    <w:rsid w:val="003A105D"/>
    <w:rsid w:val="003A139F"/>
    <w:rsid w:val="003A141C"/>
    <w:rsid w:val="003A1432"/>
    <w:rsid w:val="003A1A6C"/>
    <w:rsid w:val="003A1EA4"/>
    <w:rsid w:val="003A2930"/>
    <w:rsid w:val="003A2CB2"/>
    <w:rsid w:val="003A35A1"/>
    <w:rsid w:val="003A36BC"/>
    <w:rsid w:val="003A3DA5"/>
    <w:rsid w:val="003A3E14"/>
    <w:rsid w:val="003A41CA"/>
    <w:rsid w:val="003A4FE6"/>
    <w:rsid w:val="003A5C4F"/>
    <w:rsid w:val="003A6320"/>
    <w:rsid w:val="003A63BC"/>
    <w:rsid w:val="003A6544"/>
    <w:rsid w:val="003A6F6F"/>
    <w:rsid w:val="003A74A9"/>
    <w:rsid w:val="003A7DC8"/>
    <w:rsid w:val="003B0160"/>
    <w:rsid w:val="003B1DB3"/>
    <w:rsid w:val="003B1DE5"/>
    <w:rsid w:val="003B230D"/>
    <w:rsid w:val="003B2715"/>
    <w:rsid w:val="003B3D96"/>
    <w:rsid w:val="003B44FF"/>
    <w:rsid w:val="003B484C"/>
    <w:rsid w:val="003B48ED"/>
    <w:rsid w:val="003B58D7"/>
    <w:rsid w:val="003B5B1D"/>
    <w:rsid w:val="003B5BCB"/>
    <w:rsid w:val="003B5F75"/>
    <w:rsid w:val="003B6B39"/>
    <w:rsid w:val="003B7568"/>
    <w:rsid w:val="003C0045"/>
    <w:rsid w:val="003C0D26"/>
    <w:rsid w:val="003C181D"/>
    <w:rsid w:val="003C19E0"/>
    <w:rsid w:val="003C1CAC"/>
    <w:rsid w:val="003C273B"/>
    <w:rsid w:val="003C318B"/>
    <w:rsid w:val="003C3B83"/>
    <w:rsid w:val="003C4B4B"/>
    <w:rsid w:val="003C4C84"/>
    <w:rsid w:val="003C4D20"/>
    <w:rsid w:val="003C4D81"/>
    <w:rsid w:val="003C4E96"/>
    <w:rsid w:val="003C52CD"/>
    <w:rsid w:val="003C560B"/>
    <w:rsid w:val="003C5A1B"/>
    <w:rsid w:val="003C5D91"/>
    <w:rsid w:val="003C60A0"/>
    <w:rsid w:val="003C6B10"/>
    <w:rsid w:val="003C6B9A"/>
    <w:rsid w:val="003C726D"/>
    <w:rsid w:val="003C7A79"/>
    <w:rsid w:val="003D0095"/>
    <w:rsid w:val="003D087B"/>
    <w:rsid w:val="003D0C4B"/>
    <w:rsid w:val="003D0D49"/>
    <w:rsid w:val="003D0F85"/>
    <w:rsid w:val="003D26E6"/>
    <w:rsid w:val="003D2754"/>
    <w:rsid w:val="003D27BC"/>
    <w:rsid w:val="003D2B37"/>
    <w:rsid w:val="003D2C80"/>
    <w:rsid w:val="003D2FE6"/>
    <w:rsid w:val="003D3040"/>
    <w:rsid w:val="003D3142"/>
    <w:rsid w:val="003D3771"/>
    <w:rsid w:val="003D42C5"/>
    <w:rsid w:val="003D6287"/>
    <w:rsid w:val="003D66C0"/>
    <w:rsid w:val="003D676D"/>
    <w:rsid w:val="003D6861"/>
    <w:rsid w:val="003D7281"/>
    <w:rsid w:val="003D7B76"/>
    <w:rsid w:val="003E0709"/>
    <w:rsid w:val="003E08ED"/>
    <w:rsid w:val="003E0C00"/>
    <w:rsid w:val="003E0CD7"/>
    <w:rsid w:val="003E10E2"/>
    <w:rsid w:val="003E1384"/>
    <w:rsid w:val="003E1E75"/>
    <w:rsid w:val="003E2D23"/>
    <w:rsid w:val="003E31C1"/>
    <w:rsid w:val="003E366A"/>
    <w:rsid w:val="003E371B"/>
    <w:rsid w:val="003E3E9D"/>
    <w:rsid w:val="003E3F9C"/>
    <w:rsid w:val="003E41BA"/>
    <w:rsid w:val="003E4573"/>
    <w:rsid w:val="003E4FE9"/>
    <w:rsid w:val="003E5AD6"/>
    <w:rsid w:val="003E62C8"/>
    <w:rsid w:val="003E706A"/>
    <w:rsid w:val="003E71F3"/>
    <w:rsid w:val="003E7344"/>
    <w:rsid w:val="003E7E75"/>
    <w:rsid w:val="003E7E7F"/>
    <w:rsid w:val="003F06BF"/>
    <w:rsid w:val="003F06E9"/>
    <w:rsid w:val="003F0733"/>
    <w:rsid w:val="003F117F"/>
    <w:rsid w:val="003F1216"/>
    <w:rsid w:val="003F1F93"/>
    <w:rsid w:val="003F1F9B"/>
    <w:rsid w:val="003F22EF"/>
    <w:rsid w:val="003F23E9"/>
    <w:rsid w:val="003F4470"/>
    <w:rsid w:val="003F4630"/>
    <w:rsid w:val="003F58DE"/>
    <w:rsid w:val="003F5919"/>
    <w:rsid w:val="003F59F2"/>
    <w:rsid w:val="003F6004"/>
    <w:rsid w:val="003F6EFB"/>
    <w:rsid w:val="003F7063"/>
    <w:rsid w:val="003F766B"/>
    <w:rsid w:val="004008A3"/>
    <w:rsid w:val="00400C57"/>
    <w:rsid w:val="00400E5C"/>
    <w:rsid w:val="0040112D"/>
    <w:rsid w:val="0040146F"/>
    <w:rsid w:val="004023CC"/>
    <w:rsid w:val="00402472"/>
    <w:rsid w:val="00402E76"/>
    <w:rsid w:val="004033E5"/>
    <w:rsid w:val="00405052"/>
    <w:rsid w:val="00405232"/>
    <w:rsid w:val="0040573C"/>
    <w:rsid w:val="00405A6D"/>
    <w:rsid w:val="00405FA5"/>
    <w:rsid w:val="004060B4"/>
    <w:rsid w:val="00406479"/>
    <w:rsid w:val="004069FA"/>
    <w:rsid w:val="00407492"/>
    <w:rsid w:val="00410010"/>
    <w:rsid w:val="004109BD"/>
    <w:rsid w:val="00410E9E"/>
    <w:rsid w:val="0041116C"/>
    <w:rsid w:val="0041131F"/>
    <w:rsid w:val="00411465"/>
    <w:rsid w:val="004124A2"/>
    <w:rsid w:val="00413BE9"/>
    <w:rsid w:val="00413C11"/>
    <w:rsid w:val="00413FC0"/>
    <w:rsid w:val="00414285"/>
    <w:rsid w:val="00414750"/>
    <w:rsid w:val="0041484D"/>
    <w:rsid w:val="00414EAE"/>
    <w:rsid w:val="0041546E"/>
    <w:rsid w:val="004157BF"/>
    <w:rsid w:val="00415AD6"/>
    <w:rsid w:val="00415F7A"/>
    <w:rsid w:val="0041655E"/>
    <w:rsid w:val="0041667B"/>
    <w:rsid w:val="004168C6"/>
    <w:rsid w:val="00416C50"/>
    <w:rsid w:val="004204AC"/>
    <w:rsid w:val="00420F40"/>
    <w:rsid w:val="00421AFD"/>
    <w:rsid w:val="00421B2A"/>
    <w:rsid w:val="00422161"/>
    <w:rsid w:val="00422C2A"/>
    <w:rsid w:val="00422CC4"/>
    <w:rsid w:val="0042371F"/>
    <w:rsid w:val="00423C58"/>
    <w:rsid w:val="004243E8"/>
    <w:rsid w:val="004246ED"/>
    <w:rsid w:val="00424E8B"/>
    <w:rsid w:val="00424FEC"/>
    <w:rsid w:val="00425109"/>
    <w:rsid w:val="00425734"/>
    <w:rsid w:val="004260E1"/>
    <w:rsid w:val="0042690F"/>
    <w:rsid w:val="00426ABA"/>
    <w:rsid w:val="00427010"/>
    <w:rsid w:val="00427053"/>
    <w:rsid w:val="0042757F"/>
    <w:rsid w:val="00427661"/>
    <w:rsid w:val="00427F1D"/>
    <w:rsid w:val="004304FB"/>
    <w:rsid w:val="004306A2"/>
    <w:rsid w:val="0043153A"/>
    <w:rsid w:val="0043172B"/>
    <w:rsid w:val="00431981"/>
    <w:rsid w:val="004319A0"/>
    <w:rsid w:val="00431A12"/>
    <w:rsid w:val="0043235D"/>
    <w:rsid w:val="00433689"/>
    <w:rsid w:val="00433742"/>
    <w:rsid w:val="00433797"/>
    <w:rsid w:val="004339F3"/>
    <w:rsid w:val="00433BC4"/>
    <w:rsid w:val="00434294"/>
    <w:rsid w:val="0043452B"/>
    <w:rsid w:val="0043470A"/>
    <w:rsid w:val="004347A4"/>
    <w:rsid w:val="00434815"/>
    <w:rsid w:val="00434ACB"/>
    <w:rsid w:val="00434BE5"/>
    <w:rsid w:val="00434C9F"/>
    <w:rsid w:val="004355F9"/>
    <w:rsid w:val="004356C5"/>
    <w:rsid w:val="004357E9"/>
    <w:rsid w:val="004357EB"/>
    <w:rsid w:val="00435CF9"/>
    <w:rsid w:val="00435D2D"/>
    <w:rsid w:val="00436476"/>
    <w:rsid w:val="00437742"/>
    <w:rsid w:val="00437A21"/>
    <w:rsid w:val="00437FD8"/>
    <w:rsid w:val="0044009A"/>
    <w:rsid w:val="004409D9"/>
    <w:rsid w:val="00440EF3"/>
    <w:rsid w:val="004420B6"/>
    <w:rsid w:val="00442F90"/>
    <w:rsid w:val="0044343F"/>
    <w:rsid w:val="004434EB"/>
    <w:rsid w:val="004437E4"/>
    <w:rsid w:val="00443F97"/>
    <w:rsid w:val="0044405C"/>
    <w:rsid w:val="0044415B"/>
    <w:rsid w:val="00444518"/>
    <w:rsid w:val="00444B39"/>
    <w:rsid w:val="0044522C"/>
    <w:rsid w:val="00446B02"/>
    <w:rsid w:val="00447B1E"/>
    <w:rsid w:val="00447BA2"/>
    <w:rsid w:val="004515A2"/>
    <w:rsid w:val="00451A57"/>
    <w:rsid w:val="00452191"/>
    <w:rsid w:val="0045265D"/>
    <w:rsid w:val="00452752"/>
    <w:rsid w:val="00452DEB"/>
    <w:rsid w:val="004530BA"/>
    <w:rsid w:val="00453572"/>
    <w:rsid w:val="0045359E"/>
    <w:rsid w:val="004537D8"/>
    <w:rsid w:val="00453B01"/>
    <w:rsid w:val="00454A38"/>
    <w:rsid w:val="00455B5D"/>
    <w:rsid w:val="00455C70"/>
    <w:rsid w:val="00456029"/>
    <w:rsid w:val="0045685B"/>
    <w:rsid w:val="00456A92"/>
    <w:rsid w:val="00457131"/>
    <w:rsid w:val="004604D3"/>
    <w:rsid w:val="004604F8"/>
    <w:rsid w:val="00461230"/>
    <w:rsid w:val="004615C4"/>
    <w:rsid w:val="004615D1"/>
    <w:rsid w:val="00462399"/>
    <w:rsid w:val="0046269C"/>
    <w:rsid w:val="0046280E"/>
    <w:rsid w:val="00462FB4"/>
    <w:rsid w:val="0046330B"/>
    <w:rsid w:val="00463E02"/>
    <w:rsid w:val="00463EF6"/>
    <w:rsid w:val="0046443D"/>
    <w:rsid w:val="0046445E"/>
    <w:rsid w:val="00464D89"/>
    <w:rsid w:val="0046507B"/>
    <w:rsid w:val="004653D1"/>
    <w:rsid w:val="0046544F"/>
    <w:rsid w:val="004669EE"/>
    <w:rsid w:val="00466C0B"/>
    <w:rsid w:val="00466C56"/>
    <w:rsid w:val="00467042"/>
    <w:rsid w:val="00467C7E"/>
    <w:rsid w:val="00467CA7"/>
    <w:rsid w:val="00467D70"/>
    <w:rsid w:val="00467EFA"/>
    <w:rsid w:val="00470254"/>
    <w:rsid w:val="0047040D"/>
    <w:rsid w:val="004714C2"/>
    <w:rsid w:val="00471668"/>
    <w:rsid w:val="0047381B"/>
    <w:rsid w:val="00473B07"/>
    <w:rsid w:val="00473CDD"/>
    <w:rsid w:val="00474EF5"/>
    <w:rsid w:val="00475DCF"/>
    <w:rsid w:val="00476B88"/>
    <w:rsid w:val="00477B6B"/>
    <w:rsid w:val="00480736"/>
    <w:rsid w:val="00480994"/>
    <w:rsid w:val="00480AE3"/>
    <w:rsid w:val="00480BDC"/>
    <w:rsid w:val="00480E56"/>
    <w:rsid w:val="00481648"/>
    <w:rsid w:val="004825E1"/>
    <w:rsid w:val="00485019"/>
    <w:rsid w:val="00485107"/>
    <w:rsid w:val="00485366"/>
    <w:rsid w:val="00485522"/>
    <w:rsid w:val="00485787"/>
    <w:rsid w:val="00485804"/>
    <w:rsid w:val="004860C4"/>
    <w:rsid w:val="00486321"/>
    <w:rsid w:val="00486C71"/>
    <w:rsid w:val="004873E5"/>
    <w:rsid w:val="00490113"/>
    <w:rsid w:val="004905B8"/>
    <w:rsid w:val="00490B90"/>
    <w:rsid w:val="00490D77"/>
    <w:rsid w:val="0049105D"/>
    <w:rsid w:val="0049126C"/>
    <w:rsid w:val="00491B3D"/>
    <w:rsid w:val="00491BAC"/>
    <w:rsid w:val="004921DF"/>
    <w:rsid w:val="0049268D"/>
    <w:rsid w:val="004926CF"/>
    <w:rsid w:val="00492E41"/>
    <w:rsid w:val="004930F8"/>
    <w:rsid w:val="004938D9"/>
    <w:rsid w:val="00493E64"/>
    <w:rsid w:val="00494B4C"/>
    <w:rsid w:val="00494D75"/>
    <w:rsid w:val="00494FB8"/>
    <w:rsid w:val="004951C2"/>
    <w:rsid w:val="0049530B"/>
    <w:rsid w:val="00495623"/>
    <w:rsid w:val="0049592F"/>
    <w:rsid w:val="00495935"/>
    <w:rsid w:val="004959B9"/>
    <w:rsid w:val="00495C5C"/>
    <w:rsid w:val="00496348"/>
    <w:rsid w:val="0049695F"/>
    <w:rsid w:val="004971D5"/>
    <w:rsid w:val="00497E1F"/>
    <w:rsid w:val="00497F59"/>
    <w:rsid w:val="004A04C6"/>
    <w:rsid w:val="004A09D9"/>
    <w:rsid w:val="004A0AAB"/>
    <w:rsid w:val="004A0EF9"/>
    <w:rsid w:val="004A1873"/>
    <w:rsid w:val="004A1AB9"/>
    <w:rsid w:val="004A2067"/>
    <w:rsid w:val="004A254B"/>
    <w:rsid w:val="004A2B73"/>
    <w:rsid w:val="004A2B9F"/>
    <w:rsid w:val="004A2C6E"/>
    <w:rsid w:val="004A2ED7"/>
    <w:rsid w:val="004A32AC"/>
    <w:rsid w:val="004A34BA"/>
    <w:rsid w:val="004A363C"/>
    <w:rsid w:val="004A3695"/>
    <w:rsid w:val="004A39F7"/>
    <w:rsid w:val="004A3AF4"/>
    <w:rsid w:val="004A3D31"/>
    <w:rsid w:val="004A3E4A"/>
    <w:rsid w:val="004A40C1"/>
    <w:rsid w:val="004A4A38"/>
    <w:rsid w:val="004A4A73"/>
    <w:rsid w:val="004A5061"/>
    <w:rsid w:val="004A5485"/>
    <w:rsid w:val="004A5746"/>
    <w:rsid w:val="004A581C"/>
    <w:rsid w:val="004A5CEB"/>
    <w:rsid w:val="004A5D0D"/>
    <w:rsid w:val="004A611B"/>
    <w:rsid w:val="004A62FD"/>
    <w:rsid w:val="004A663A"/>
    <w:rsid w:val="004A6A0E"/>
    <w:rsid w:val="004A7DC2"/>
    <w:rsid w:val="004B167E"/>
    <w:rsid w:val="004B1BC1"/>
    <w:rsid w:val="004B1CE6"/>
    <w:rsid w:val="004B1F44"/>
    <w:rsid w:val="004B2100"/>
    <w:rsid w:val="004B2233"/>
    <w:rsid w:val="004B27B3"/>
    <w:rsid w:val="004B2C90"/>
    <w:rsid w:val="004B3001"/>
    <w:rsid w:val="004B39B5"/>
    <w:rsid w:val="004B45B5"/>
    <w:rsid w:val="004B489A"/>
    <w:rsid w:val="004B4A37"/>
    <w:rsid w:val="004B4B11"/>
    <w:rsid w:val="004B4D81"/>
    <w:rsid w:val="004B4F53"/>
    <w:rsid w:val="004B5382"/>
    <w:rsid w:val="004B53A3"/>
    <w:rsid w:val="004B56BE"/>
    <w:rsid w:val="004B61C4"/>
    <w:rsid w:val="004B62E1"/>
    <w:rsid w:val="004B64B3"/>
    <w:rsid w:val="004B7753"/>
    <w:rsid w:val="004B7D99"/>
    <w:rsid w:val="004C0317"/>
    <w:rsid w:val="004C09EA"/>
    <w:rsid w:val="004C1250"/>
    <w:rsid w:val="004C136E"/>
    <w:rsid w:val="004C17DE"/>
    <w:rsid w:val="004C1990"/>
    <w:rsid w:val="004C19B7"/>
    <w:rsid w:val="004C1B6D"/>
    <w:rsid w:val="004C251B"/>
    <w:rsid w:val="004C278B"/>
    <w:rsid w:val="004C3419"/>
    <w:rsid w:val="004C3F06"/>
    <w:rsid w:val="004C4470"/>
    <w:rsid w:val="004C4586"/>
    <w:rsid w:val="004C5013"/>
    <w:rsid w:val="004C508C"/>
    <w:rsid w:val="004C5384"/>
    <w:rsid w:val="004C713A"/>
    <w:rsid w:val="004C7503"/>
    <w:rsid w:val="004C7C3A"/>
    <w:rsid w:val="004D1331"/>
    <w:rsid w:val="004D1C06"/>
    <w:rsid w:val="004D1C15"/>
    <w:rsid w:val="004D329E"/>
    <w:rsid w:val="004D365D"/>
    <w:rsid w:val="004D3666"/>
    <w:rsid w:val="004D3928"/>
    <w:rsid w:val="004D497B"/>
    <w:rsid w:val="004D54D2"/>
    <w:rsid w:val="004D56B3"/>
    <w:rsid w:val="004D636E"/>
    <w:rsid w:val="004D7080"/>
    <w:rsid w:val="004D7211"/>
    <w:rsid w:val="004D7E42"/>
    <w:rsid w:val="004E0066"/>
    <w:rsid w:val="004E063C"/>
    <w:rsid w:val="004E158D"/>
    <w:rsid w:val="004E1949"/>
    <w:rsid w:val="004E1BA4"/>
    <w:rsid w:val="004E1DC6"/>
    <w:rsid w:val="004E1F67"/>
    <w:rsid w:val="004E2571"/>
    <w:rsid w:val="004E25A2"/>
    <w:rsid w:val="004E31E6"/>
    <w:rsid w:val="004E3211"/>
    <w:rsid w:val="004E3ADB"/>
    <w:rsid w:val="004E3B99"/>
    <w:rsid w:val="004E3C69"/>
    <w:rsid w:val="004E413D"/>
    <w:rsid w:val="004E542E"/>
    <w:rsid w:val="004E5759"/>
    <w:rsid w:val="004E5C50"/>
    <w:rsid w:val="004E60AE"/>
    <w:rsid w:val="004E70AA"/>
    <w:rsid w:val="004E7586"/>
    <w:rsid w:val="004E779F"/>
    <w:rsid w:val="004F01A1"/>
    <w:rsid w:val="004F082B"/>
    <w:rsid w:val="004F153A"/>
    <w:rsid w:val="004F19A0"/>
    <w:rsid w:val="004F19AA"/>
    <w:rsid w:val="004F258E"/>
    <w:rsid w:val="004F2717"/>
    <w:rsid w:val="004F3082"/>
    <w:rsid w:val="004F31CF"/>
    <w:rsid w:val="004F3C02"/>
    <w:rsid w:val="004F49F2"/>
    <w:rsid w:val="004F4C4F"/>
    <w:rsid w:val="004F584C"/>
    <w:rsid w:val="004F6756"/>
    <w:rsid w:val="004F7694"/>
    <w:rsid w:val="004F78E5"/>
    <w:rsid w:val="004F7C2B"/>
    <w:rsid w:val="00500600"/>
    <w:rsid w:val="00500B04"/>
    <w:rsid w:val="00500C2F"/>
    <w:rsid w:val="0050145A"/>
    <w:rsid w:val="005017EF"/>
    <w:rsid w:val="00501D6C"/>
    <w:rsid w:val="00501E06"/>
    <w:rsid w:val="0050232A"/>
    <w:rsid w:val="005024B3"/>
    <w:rsid w:val="00503798"/>
    <w:rsid w:val="005051EC"/>
    <w:rsid w:val="00506ACF"/>
    <w:rsid w:val="00506EA3"/>
    <w:rsid w:val="00507325"/>
    <w:rsid w:val="00507689"/>
    <w:rsid w:val="00507BCB"/>
    <w:rsid w:val="005106AF"/>
    <w:rsid w:val="00510998"/>
    <w:rsid w:val="0051147B"/>
    <w:rsid w:val="00511EE9"/>
    <w:rsid w:val="00513C25"/>
    <w:rsid w:val="00513FEC"/>
    <w:rsid w:val="00514C83"/>
    <w:rsid w:val="00514F85"/>
    <w:rsid w:val="00515034"/>
    <w:rsid w:val="00515553"/>
    <w:rsid w:val="0051593D"/>
    <w:rsid w:val="00515E98"/>
    <w:rsid w:val="00515EB7"/>
    <w:rsid w:val="0051616F"/>
    <w:rsid w:val="00516C80"/>
    <w:rsid w:val="005173AC"/>
    <w:rsid w:val="005176F1"/>
    <w:rsid w:val="005178FE"/>
    <w:rsid w:val="0052022D"/>
    <w:rsid w:val="005205A9"/>
    <w:rsid w:val="0052135E"/>
    <w:rsid w:val="005215B8"/>
    <w:rsid w:val="00521626"/>
    <w:rsid w:val="00521B44"/>
    <w:rsid w:val="005223C4"/>
    <w:rsid w:val="005226B9"/>
    <w:rsid w:val="00523E92"/>
    <w:rsid w:val="0052416F"/>
    <w:rsid w:val="00524584"/>
    <w:rsid w:val="005245C4"/>
    <w:rsid w:val="00524F24"/>
    <w:rsid w:val="00525393"/>
    <w:rsid w:val="00525895"/>
    <w:rsid w:val="00525AF9"/>
    <w:rsid w:val="00525C72"/>
    <w:rsid w:val="00525E98"/>
    <w:rsid w:val="00525F00"/>
    <w:rsid w:val="00526A4E"/>
    <w:rsid w:val="00527194"/>
    <w:rsid w:val="00527664"/>
    <w:rsid w:val="00527750"/>
    <w:rsid w:val="0053011B"/>
    <w:rsid w:val="0053023F"/>
    <w:rsid w:val="00530BC7"/>
    <w:rsid w:val="00530BE2"/>
    <w:rsid w:val="00531313"/>
    <w:rsid w:val="005316C2"/>
    <w:rsid w:val="00531AC4"/>
    <w:rsid w:val="00531C21"/>
    <w:rsid w:val="005323E8"/>
    <w:rsid w:val="00532DA1"/>
    <w:rsid w:val="0053332A"/>
    <w:rsid w:val="00533CC2"/>
    <w:rsid w:val="005346CD"/>
    <w:rsid w:val="00534803"/>
    <w:rsid w:val="005350CF"/>
    <w:rsid w:val="005358B3"/>
    <w:rsid w:val="00535A89"/>
    <w:rsid w:val="00535CB5"/>
    <w:rsid w:val="00535F0C"/>
    <w:rsid w:val="00535FAB"/>
    <w:rsid w:val="00536AB0"/>
    <w:rsid w:val="00536B8B"/>
    <w:rsid w:val="00536DC7"/>
    <w:rsid w:val="00536FFD"/>
    <w:rsid w:val="00537297"/>
    <w:rsid w:val="00537342"/>
    <w:rsid w:val="005374BD"/>
    <w:rsid w:val="005374F5"/>
    <w:rsid w:val="0054081B"/>
    <w:rsid w:val="00540C03"/>
    <w:rsid w:val="00540EB7"/>
    <w:rsid w:val="00540F44"/>
    <w:rsid w:val="005410D6"/>
    <w:rsid w:val="00541530"/>
    <w:rsid w:val="00541A18"/>
    <w:rsid w:val="00541DC3"/>
    <w:rsid w:val="005424F7"/>
    <w:rsid w:val="005430F7"/>
    <w:rsid w:val="00543354"/>
    <w:rsid w:val="00543A62"/>
    <w:rsid w:val="00543C2A"/>
    <w:rsid w:val="00544286"/>
    <w:rsid w:val="005445BD"/>
    <w:rsid w:val="00544630"/>
    <w:rsid w:val="00544894"/>
    <w:rsid w:val="00545149"/>
    <w:rsid w:val="0054633B"/>
    <w:rsid w:val="00546549"/>
    <w:rsid w:val="0055021D"/>
    <w:rsid w:val="005515D6"/>
    <w:rsid w:val="00553228"/>
    <w:rsid w:val="0055396F"/>
    <w:rsid w:val="00553F22"/>
    <w:rsid w:val="005541B1"/>
    <w:rsid w:val="00554678"/>
    <w:rsid w:val="00554AE2"/>
    <w:rsid w:val="00554B95"/>
    <w:rsid w:val="005552EC"/>
    <w:rsid w:val="00555ED7"/>
    <w:rsid w:val="005563E2"/>
    <w:rsid w:val="0055694E"/>
    <w:rsid w:val="00556C52"/>
    <w:rsid w:val="00556CB1"/>
    <w:rsid w:val="005572EE"/>
    <w:rsid w:val="00557359"/>
    <w:rsid w:val="005574C8"/>
    <w:rsid w:val="0055750E"/>
    <w:rsid w:val="005575FF"/>
    <w:rsid w:val="005577A5"/>
    <w:rsid w:val="00557E20"/>
    <w:rsid w:val="00560917"/>
    <w:rsid w:val="005615BC"/>
    <w:rsid w:val="00561AE9"/>
    <w:rsid w:val="00561FB9"/>
    <w:rsid w:val="005622EA"/>
    <w:rsid w:val="005623D3"/>
    <w:rsid w:val="005626D8"/>
    <w:rsid w:val="005630A7"/>
    <w:rsid w:val="005633C1"/>
    <w:rsid w:val="00563BA1"/>
    <w:rsid w:val="00564045"/>
    <w:rsid w:val="00564358"/>
    <w:rsid w:val="005649ED"/>
    <w:rsid w:val="00564D29"/>
    <w:rsid w:val="00565FD0"/>
    <w:rsid w:val="005662FB"/>
    <w:rsid w:val="00567170"/>
    <w:rsid w:val="00567757"/>
    <w:rsid w:val="00567815"/>
    <w:rsid w:val="005704A1"/>
    <w:rsid w:val="00570D37"/>
    <w:rsid w:val="005713A7"/>
    <w:rsid w:val="00572826"/>
    <w:rsid w:val="00572DE2"/>
    <w:rsid w:val="0057308D"/>
    <w:rsid w:val="0057356A"/>
    <w:rsid w:val="005736B8"/>
    <w:rsid w:val="005736C7"/>
    <w:rsid w:val="005740AE"/>
    <w:rsid w:val="005740F9"/>
    <w:rsid w:val="0057425C"/>
    <w:rsid w:val="00574461"/>
    <w:rsid w:val="00574DC5"/>
    <w:rsid w:val="005752DA"/>
    <w:rsid w:val="00575611"/>
    <w:rsid w:val="00575C32"/>
    <w:rsid w:val="005763FC"/>
    <w:rsid w:val="00576EC9"/>
    <w:rsid w:val="0057703E"/>
    <w:rsid w:val="005773CB"/>
    <w:rsid w:val="00577954"/>
    <w:rsid w:val="0058027A"/>
    <w:rsid w:val="00580677"/>
    <w:rsid w:val="0058073F"/>
    <w:rsid w:val="00580C49"/>
    <w:rsid w:val="00580F68"/>
    <w:rsid w:val="0058171D"/>
    <w:rsid w:val="00582323"/>
    <w:rsid w:val="00582A20"/>
    <w:rsid w:val="005837A3"/>
    <w:rsid w:val="00583A47"/>
    <w:rsid w:val="00584054"/>
    <w:rsid w:val="00584B56"/>
    <w:rsid w:val="00584FF5"/>
    <w:rsid w:val="00585507"/>
    <w:rsid w:val="00585680"/>
    <w:rsid w:val="005857C7"/>
    <w:rsid w:val="00586183"/>
    <w:rsid w:val="00586D03"/>
    <w:rsid w:val="00586E4B"/>
    <w:rsid w:val="005872DD"/>
    <w:rsid w:val="00587321"/>
    <w:rsid w:val="0058765C"/>
    <w:rsid w:val="0058779F"/>
    <w:rsid w:val="005877A1"/>
    <w:rsid w:val="00587FE0"/>
    <w:rsid w:val="00590240"/>
    <w:rsid w:val="005910A8"/>
    <w:rsid w:val="00591288"/>
    <w:rsid w:val="005917FD"/>
    <w:rsid w:val="00591906"/>
    <w:rsid w:val="00591F40"/>
    <w:rsid w:val="0059253F"/>
    <w:rsid w:val="005937CC"/>
    <w:rsid w:val="0059438C"/>
    <w:rsid w:val="0059439C"/>
    <w:rsid w:val="00594E54"/>
    <w:rsid w:val="0059598D"/>
    <w:rsid w:val="00595B6E"/>
    <w:rsid w:val="00595CAE"/>
    <w:rsid w:val="00595FD3"/>
    <w:rsid w:val="005960CB"/>
    <w:rsid w:val="00596332"/>
    <w:rsid w:val="00596D7E"/>
    <w:rsid w:val="00597283"/>
    <w:rsid w:val="00597A97"/>
    <w:rsid w:val="005A00FE"/>
    <w:rsid w:val="005A0A24"/>
    <w:rsid w:val="005A0CEB"/>
    <w:rsid w:val="005A1343"/>
    <w:rsid w:val="005A1656"/>
    <w:rsid w:val="005A1681"/>
    <w:rsid w:val="005A2182"/>
    <w:rsid w:val="005A22EC"/>
    <w:rsid w:val="005A2306"/>
    <w:rsid w:val="005A2711"/>
    <w:rsid w:val="005A339C"/>
    <w:rsid w:val="005A3535"/>
    <w:rsid w:val="005A4739"/>
    <w:rsid w:val="005A48FE"/>
    <w:rsid w:val="005A4AA1"/>
    <w:rsid w:val="005A5986"/>
    <w:rsid w:val="005A59C0"/>
    <w:rsid w:val="005A5ABA"/>
    <w:rsid w:val="005A5BD1"/>
    <w:rsid w:val="005A5D7F"/>
    <w:rsid w:val="005A5F10"/>
    <w:rsid w:val="005A5F38"/>
    <w:rsid w:val="005A6478"/>
    <w:rsid w:val="005A68BA"/>
    <w:rsid w:val="005A7317"/>
    <w:rsid w:val="005A7A17"/>
    <w:rsid w:val="005B0E44"/>
    <w:rsid w:val="005B11EC"/>
    <w:rsid w:val="005B1690"/>
    <w:rsid w:val="005B18B5"/>
    <w:rsid w:val="005B1B2E"/>
    <w:rsid w:val="005B21E3"/>
    <w:rsid w:val="005B23CA"/>
    <w:rsid w:val="005B2D7B"/>
    <w:rsid w:val="005B3358"/>
    <w:rsid w:val="005B356D"/>
    <w:rsid w:val="005B3DCE"/>
    <w:rsid w:val="005B3E2A"/>
    <w:rsid w:val="005B4085"/>
    <w:rsid w:val="005B40E3"/>
    <w:rsid w:val="005B4511"/>
    <w:rsid w:val="005B4B1B"/>
    <w:rsid w:val="005B4D8B"/>
    <w:rsid w:val="005B521B"/>
    <w:rsid w:val="005B53A7"/>
    <w:rsid w:val="005B55DA"/>
    <w:rsid w:val="005B58A6"/>
    <w:rsid w:val="005B58EC"/>
    <w:rsid w:val="005B5B0A"/>
    <w:rsid w:val="005B5B5E"/>
    <w:rsid w:val="005B63CF"/>
    <w:rsid w:val="005B683F"/>
    <w:rsid w:val="005B72ED"/>
    <w:rsid w:val="005B7598"/>
    <w:rsid w:val="005B7C23"/>
    <w:rsid w:val="005B7FDB"/>
    <w:rsid w:val="005C016E"/>
    <w:rsid w:val="005C02D3"/>
    <w:rsid w:val="005C0F15"/>
    <w:rsid w:val="005C11DD"/>
    <w:rsid w:val="005C1AB7"/>
    <w:rsid w:val="005C1B36"/>
    <w:rsid w:val="005C1C7C"/>
    <w:rsid w:val="005C1F19"/>
    <w:rsid w:val="005C2E58"/>
    <w:rsid w:val="005C2E70"/>
    <w:rsid w:val="005C2E8F"/>
    <w:rsid w:val="005C2F1A"/>
    <w:rsid w:val="005C2F21"/>
    <w:rsid w:val="005C3B76"/>
    <w:rsid w:val="005C3C13"/>
    <w:rsid w:val="005C4AC9"/>
    <w:rsid w:val="005C4AFF"/>
    <w:rsid w:val="005C50F8"/>
    <w:rsid w:val="005C54F1"/>
    <w:rsid w:val="005C6F9A"/>
    <w:rsid w:val="005C73C1"/>
    <w:rsid w:val="005D00BA"/>
    <w:rsid w:val="005D06CB"/>
    <w:rsid w:val="005D08AD"/>
    <w:rsid w:val="005D0E1C"/>
    <w:rsid w:val="005D0F3C"/>
    <w:rsid w:val="005D12E9"/>
    <w:rsid w:val="005D15BF"/>
    <w:rsid w:val="005D1933"/>
    <w:rsid w:val="005D1EEF"/>
    <w:rsid w:val="005D2352"/>
    <w:rsid w:val="005D26A7"/>
    <w:rsid w:val="005D2C48"/>
    <w:rsid w:val="005D328E"/>
    <w:rsid w:val="005D394F"/>
    <w:rsid w:val="005D412D"/>
    <w:rsid w:val="005D45BD"/>
    <w:rsid w:val="005D45C8"/>
    <w:rsid w:val="005D4706"/>
    <w:rsid w:val="005D4A07"/>
    <w:rsid w:val="005D60BC"/>
    <w:rsid w:val="005D64EF"/>
    <w:rsid w:val="005D69FF"/>
    <w:rsid w:val="005D7504"/>
    <w:rsid w:val="005D776E"/>
    <w:rsid w:val="005D7FF1"/>
    <w:rsid w:val="005E041E"/>
    <w:rsid w:val="005E04BC"/>
    <w:rsid w:val="005E150A"/>
    <w:rsid w:val="005E185D"/>
    <w:rsid w:val="005E1A65"/>
    <w:rsid w:val="005E1E8F"/>
    <w:rsid w:val="005E2511"/>
    <w:rsid w:val="005E2700"/>
    <w:rsid w:val="005E2FDE"/>
    <w:rsid w:val="005E308B"/>
    <w:rsid w:val="005E31B2"/>
    <w:rsid w:val="005E376C"/>
    <w:rsid w:val="005E3911"/>
    <w:rsid w:val="005E39F3"/>
    <w:rsid w:val="005E52C0"/>
    <w:rsid w:val="005E5874"/>
    <w:rsid w:val="005E59AE"/>
    <w:rsid w:val="005E5A17"/>
    <w:rsid w:val="005E5A40"/>
    <w:rsid w:val="005E734A"/>
    <w:rsid w:val="005E7476"/>
    <w:rsid w:val="005E7664"/>
    <w:rsid w:val="005F0519"/>
    <w:rsid w:val="005F147C"/>
    <w:rsid w:val="005F26A8"/>
    <w:rsid w:val="005F2C04"/>
    <w:rsid w:val="005F32CF"/>
    <w:rsid w:val="005F3650"/>
    <w:rsid w:val="005F37CA"/>
    <w:rsid w:val="005F51CD"/>
    <w:rsid w:val="005F5ADB"/>
    <w:rsid w:val="005F5E4B"/>
    <w:rsid w:val="005F6559"/>
    <w:rsid w:val="005F66B4"/>
    <w:rsid w:val="005F71F5"/>
    <w:rsid w:val="005F7632"/>
    <w:rsid w:val="005F7717"/>
    <w:rsid w:val="005F7DA2"/>
    <w:rsid w:val="0060011C"/>
    <w:rsid w:val="00600799"/>
    <w:rsid w:val="00600957"/>
    <w:rsid w:val="00600D31"/>
    <w:rsid w:val="00600FBE"/>
    <w:rsid w:val="006010F9"/>
    <w:rsid w:val="006011E0"/>
    <w:rsid w:val="006013D8"/>
    <w:rsid w:val="00601C12"/>
    <w:rsid w:val="00602384"/>
    <w:rsid w:val="006024CA"/>
    <w:rsid w:val="00602942"/>
    <w:rsid w:val="00602C22"/>
    <w:rsid w:val="00602C9F"/>
    <w:rsid w:val="00602F6A"/>
    <w:rsid w:val="006039D9"/>
    <w:rsid w:val="00603DF8"/>
    <w:rsid w:val="0060456F"/>
    <w:rsid w:val="0060480C"/>
    <w:rsid w:val="00604C2A"/>
    <w:rsid w:val="0060556E"/>
    <w:rsid w:val="00605A57"/>
    <w:rsid w:val="006069C0"/>
    <w:rsid w:val="00606BE6"/>
    <w:rsid w:val="00606D1D"/>
    <w:rsid w:val="00606FB9"/>
    <w:rsid w:val="006073BB"/>
    <w:rsid w:val="00607828"/>
    <w:rsid w:val="00607941"/>
    <w:rsid w:val="00607D25"/>
    <w:rsid w:val="00610011"/>
    <w:rsid w:val="00610545"/>
    <w:rsid w:val="00610C89"/>
    <w:rsid w:val="00611DA2"/>
    <w:rsid w:val="00611E46"/>
    <w:rsid w:val="00612987"/>
    <w:rsid w:val="00613912"/>
    <w:rsid w:val="00614321"/>
    <w:rsid w:val="006147EB"/>
    <w:rsid w:val="0061480E"/>
    <w:rsid w:val="00614C4B"/>
    <w:rsid w:val="00615686"/>
    <w:rsid w:val="00615732"/>
    <w:rsid w:val="00617074"/>
    <w:rsid w:val="00617A82"/>
    <w:rsid w:val="006200EB"/>
    <w:rsid w:val="006201FE"/>
    <w:rsid w:val="00620D34"/>
    <w:rsid w:val="0062170D"/>
    <w:rsid w:val="006218F7"/>
    <w:rsid w:val="006219B0"/>
    <w:rsid w:val="00621A1D"/>
    <w:rsid w:val="00621EA3"/>
    <w:rsid w:val="00622131"/>
    <w:rsid w:val="00622240"/>
    <w:rsid w:val="00622315"/>
    <w:rsid w:val="006227B8"/>
    <w:rsid w:val="00622D7C"/>
    <w:rsid w:val="00623606"/>
    <w:rsid w:val="00623854"/>
    <w:rsid w:val="00623F34"/>
    <w:rsid w:val="006241EF"/>
    <w:rsid w:val="0062431C"/>
    <w:rsid w:val="006244AD"/>
    <w:rsid w:val="00624AAE"/>
    <w:rsid w:val="00624D97"/>
    <w:rsid w:val="00624E1C"/>
    <w:rsid w:val="00625972"/>
    <w:rsid w:val="0062643C"/>
    <w:rsid w:val="0062728E"/>
    <w:rsid w:val="00627C92"/>
    <w:rsid w:val="0063157A"/>
    <w:rsid w:val="00631596"/>
    <w:rsid w:val="00632020"/>
    <w:rsid w:val="006325B3"/>
    <w:rsid w:val="00632D24"/>
    <w:rsid w:val="006342C4"/>
    <w:rsid w:val="0063431A"/>
    <w:rsid w:val="006347B0"/>
    <w:rsid w:val="00634971"/>
    <w:rsid w:val="006350DA"/>
    <w:rsid w:val="0063554B"/>
    <w:rsid w:val="006358B4"/>
    <w:rsid w:val="00635E9B"/>
    <w:rsid w:val="0063641B"/>
    <w:rsid w:val="006365BD"/>
    <w:rsid w:val="006367D7"/>
    <w:rsid w:val="00636CF2"/>
    <w:rsid w:val="0063765B"/>
    <w:rsid w:val="006377C8"/>
    <w:rsid w:val="00640234"/>
    <w:rsid w:val="00640514"/>
    <w:rsid w:val="00640F62"/>
    <w:rsid w:val="00641724"/>
    <w:rsid w:val="00641A3B"/>
    <w:rsid w:val="0064256C"/>
    <w:rsid w:val="00642CC9"/>
    <w:rsid w:val="00642FFF"/>
    <w:rsid w:val="006431CD"/>
    <w:rsid w:val="0064335C"/>
    <w:rsid w:val="0064343A"/>
    <w:rsid w:val="00643BF5"/>
    <w:rsid w:val="00643F7C"/>
    <w:rsid w:val="00643FF7"/>
    <w:rsid w:val="00644686"/>
    <w:rsid w:val="006447AA"/>
    <w:rsid w:val="00644AAB"/>
    <w:rsid w:val="006451D8"/>
    <w:rsid w:val="006460A1"/>
    <w:rsid w:val="00646267"/>
    <w:rsid w:val="006464EB"/>
    <w:rsid w:val="0064658D"/>
    <w:rsid w:val="0064670F"/>
    <w:rsid w:val="00646734"/>
    <w:rsid w:val="006467C9"/>
    <w:rsid w:val="00646D00"/>
    <w:rsid w:val="00646DC0"/>
    <w:rsid w:val="00646E95"/>
    <w:rsid w:val="0064753D"/>
    <w:rsid w:val="00647862"/>
    <w:rsid w:val="0065049F"/>
    <w:rsid w:val="006513A5"/>
    <w:rsid w:val="00652180"/>
    <w:rsid w:val="00653CF2"/>
    <w:rsid w:val="00653F66"/>
    <w:rsid w:val="00654313"/>
    <w:rsid w:val="006543AA"/>
    <w:rsid w:val="00654612"/>
    <w:rsid w:val="00654630"/>
    <w:rsid w:val="00654837"/>
    <w:rsid w:val="00654AAF"/>
    <w:rsid w:val="00654D5C"/>
    <w:rsid w:val="00655540"/>
    <w:rsid w:val="00655898"/>
    <w:rsid w:val="00656518"/>
    <w:rsid w:val="0065677C"/>
    <w:rsid w:val="006567DE"/>
    <w:rsid w:val="00657F6F"/>
    <w:rsid w:val="0066078A"/>
    <w:rsid w:val="006613B9"/>
    <w:rsid w:val="006623FD"/>
    <w:rsid w:val="0066272B"/>
    <w:rsid w:val="006632FB"/>
    <w:rsid w:val="0066515D"/>
    <w:rsid w:val="00665232"/>
    <w:rsid w:val="00665C56"/>
    <w:rsid w:val="00665D13"/>
    <w:rsid w:val="00665FB6"/>
    <w:rsid w:val="00666515"/>
    <w:rsid w:val="00666B6F"/>
    <w:rsid w:val="00666CB2"/>
    <w:rsid w:val="00667BD0"/>
    <w:rsid w:val="00667E63"/>
    <w:rsid w:val="00667FAF"/>
    <w:rsid w:val="00670B75"/>
    <w:rsid w:val="0067120E"/>
    <w:rsid w:val="0067151E"/>
    <w:rsid w:val="006715A1"/>
    <w:rsid w:val="00671B61"/>
    <w:rsid w:val="00671EAC"/>
    <w:rsid w:val="006729CD"/>
    <w:rsid w:val="00672B87"/>
    <w:rsid w:val="00672E9D"/>
    <w:rsid w:val="006746CF"/>
    <w:rsid w:val="00675F52"/>
    <w:rsid w:val="0068027A"/>
    <w:rsid w:val="00680523"/>
    <w:rsid w:val="00681177"/>
    <w:rsid w:val="00681C03"/>
    <w:rsid w:val="0068227C"/>
    <w:rsid w:val="006822CE"/>
    <w:rsid w:val="00682402"/>
    <w:rsid w:val="006828B5"/>
    <w:rsid w:val="0068338B"/>
    <w:rsid w:val="00683CC8"/>
    <w:rsid w:val="00683F50"/>
    <w:rsid w:val="0068498F"/>
    <w:rsid w:val="00684AF4"/>
    <w:rsid w:val="00684C2D"/>
    <w:rsid w:val="00684EF1"/>
    <w:rsid w:val="006854DC"/>
    <w:rsid w:val="00685605"/>
    <w:rsid w:val="00685E4F"/>
    <w:rsid w:val="006861ED"/>
    <w:rsid w:val="00686361"/>
    <w:rsid w:val="006863B5"/>
    <w:rsid w:val="00687C40"/>
    <w:rsid w:val="00691103"/>
    <w:rsid w:val="006918C4"/>
    <w:rsid w:val="0069246A"/>
    <w:rsid w:val="00693987"/>
    <w:rsid w:val="00693D93"/>
    <w:rsid w:val="00693EF0"/>
    <w:rsid w:val="006941EA"/>
    <w:rsid w:val="006942AB"/>
    <w:rsid w:val="00694869"/>
    <w:rsid w:val="00695895"/>
    <w:rsid w:val="00695A7E"/>
    <w:rsid w:val="006960A6"/>
    <w:rsid w:val="006965D9"/>
    <w:rsid w:val="00697016"/>
    <w:rsid w:val="006977BA"/>
    <w:rsid w:val="006A008F"/>
    <w:rsid w:val="006A010D"/>
    <w:rsid w:val="006A034F"/>
    <w:rsid w:val="006A0C64"/>
    <w:rsid w:val="006A0C98"/>
    <w:rsid w:val="006A190A"/>
    <w:rsid w:val="006A1940"/>
    <w:rsid w:val="006A195B"/>
    <w:rsid w:val="006A1BE3"/>
    <w:rsid w:val="006A1EC2"/>
    <w:rsid w:val="006A25BB"/>
    <w:rsid w:val="006A31E8"/>
    <w:rsid w:val="006A3FED"/>
    <w:rsid w:val="006A50F7"/>
    <w:rsid w:val="006A5672"/>
    <w:rsid w:val="006A5AA6"/>
    <w:rsid w:val="006A5E63"/>
    <w:rsid w:val="006A5FBE"/>
    <w:rsid w:val="006A6B18"/>
    <w:rsid w:val="006A6BEF"/>
    <w:rsid w:val="006A6C8E"/>
    <w:rsid w:val="006A70AE"/>
    <w:rsid w:val="006A7738"/>
    <w:rsid w:val="006A7B18"/>
    <w:rsid w:val="006B053B"/>
    <w:rsid w:val="006B0767"/>
    <w:rsid w:val="006B0D8C"/>
    <w:rsid w:val="006B0E3B"/>
    <w:rsid w:val="006B10B9"/>
    <w:rsid w:val="006B167E"/>
    <w:rsid w:val="006B19AA"/>
    <w:rsid w:val="006B20A0"/>
    <w:rsid w:val="006B2321"/>
    <w:rsid w:val="006B2F9D"/>
    <w:rsid w:val="006B2FC0"/>
    <w:rsid w:val="006B34CD"/>
    <w:rsid w:val="006B3C35"/>
    <w:rsid w:val="006B3FEE"/>
    <w:rsid w:val="006B4300"/>
    <w:rsid w:val="006B53F0"/>
    <w:rsid w:val="006B547C"/>
    <w:rsid w:val="006B5953"/>
    <w:rsid w:val="006B5FD4"/>
    <w:rsid w:val="006B6218"/>
    <w:rsid w:val="006B62C1"/>
    <w:rsid w:val="006B6A1C"/>
    <w:rsid w:val="006B6B00"/>
    <w:rsid w:val="006B6CE6"/>
    <w:rsid w:val="006B7D32"/>
    <w:rsid w:val="006C0151"/>
    <w:rsid w:val="006C017F"/>
    <w:rsid w:val="006C05C4"/>
    <w:rsid w:val="006C070B"/>
    <w:rsid w:val="006C088A"/>
    <w:rsid w:val="006C09DE"/>
    <w:rsid w:val="006C0BD1"/>
    <w:rsid w:val="006C0C66"/>
    <w:rsid w:val="006C1AAE"/>
    <w:rsid w:val="006C23BA"/>
    <w:rsid w:val="006C2D17"/>
    <w:rsid w:val="006C31CD"/>
    <w:rsid w:val="006C352B"/>
    <w:rsid w:val="006C36B9"/>
    <w:rsid w:val="006C407A"/>
    <w:rsid w:val="006C41EC"/>
    <w:rsid w:val="006C4753"/>
    <w:rsid w:val="006C5423"/>
    <w:rsid w:val="006C549B"/>
    <w:rsid w:val="006C558A"/>
    <w:rsid w:val="006C56E9"/>
    <w:rsid w:val="006C57BD"/>
    <w:rsid w:val="006C5F8B"/>
    <w:rsid w:val="006C6444"/>
    <w:rsid w:val="006C667C"/>
    <w:rsid w:val="006C6B45"/>
    <w:rsid w:val="006C6D58"/>
    <w:rsid w:val="006C6FCE"/>
    <w:rsid w:val="006C7830"/>
    <w:rsid w:val="006D06D6"/>
    <w:rsid w:val="006D11B9"/>
    <w:rsid w:val="006D1486"/>
    <w:rsid w:val="006D1F42"/>
    <w:rsid w:val="006D2173"/>
    <w:rsid w:val="006D2340"/>
    <w:rsid w:val="006D29D1"/>
    <w:rsid w:val="006D2FEB"/>
    <w:rsid w:val="006D33CE"/>
    <w:rsid w:val="006D51CB"/>
    <w:rsid w:val="006D5384"/>
    <w:rsid w:val="006D55FE"/>
    <w:rsid w:val="006D565C"/>
    <w:rsid w:val="006D61DF"/>
    <w:rsid w:val="006D66FF"/>
    <w:rsid w:val="006D74B3"/>
    <w:rsid w:val="006D76E4"/>
    <w:rsid w:val="006D76E5"/>
    <w:rsid w:val="006D7C48"/>
    <w:rsid w:val="006E036E"/>
    <w:rsid w:val="006E0B48"/>
    <w:rsid w:val="006E1580"/>
    <w:rsid w:val="006E170D"/>
    <w:rsid w:val="006E18F8"/>
    <w:rsid w:val="006E1C25"/>
    <w:rsid w:val="006E2530"/>
    <w:rsid w:val="006E28C4"/>
    <w:rsid w:val="006E3CB4"/>
    <w:rsid w:val="006E4B41"/>
    <w:rsid w:val="006E5D13"/>
    <w:rsid w:val="006E639E"/>
    <w:rsid w:val="006E698B"/>
    <w:rsid w:val="006E6D4C"/>
    <w:rsid w:val="006E6FEE"/>
    <w:rsid w:val="006E74DE"/>
    <w:rsid w:val="006E7796"/>
    <w:rsid w:val="006E7908"/>
    <w:rsid w:val="006E7996"/>
    <w:rsid w:val="006E7C1E"/>
    <w:rsid w:val="006F01AA"/>
    <w:rsid w:val="006F0865"/>
    <w:rsid w:val="006F0A14"/>
    <w:rsid w:val="006F1307"/>
    <w:rsid w:val="006F1357"/>
    <w:rsid w:val="006F1677"/>
    <w:rsid w:val="006F172A"/>
    <w:rsid w:val="006F18B7"/>
    <w:rsid w:val="006F1D92"/>
    <w:rsid w:val="006F4138"/>
    <w:rsid w:val="006F4AF0"/>
    <w:rsid w:val="006F5368"/>
    <w:rsid w:val="006F5968"/>
    <w:rsid w:val="006F5AE5"/>
    <w:rsid w:val="006F67A4"/>
    <w:rsid w:val="006F6C01"/>
    <w:rsid w:val="006F76C5"/>
    <w:rsid w:val="006F7D37"/>
    <w:rsid w:val="006F7D87"/>
    <w:rsid w:val="007001AD"/>
    <w:rsid w:val="0070077B"/>
    <w:rsid w:val="007009BE"/>
    <w:rsid w:val="00700D69"/>
    <w:rsid w:val="0070108B"/>
    <w:rsid w:val="00701FDA"/>
    <w:rsid w:val="00702057"/>
    <w:rsid w:val="0070221A"/>
    <w:rsid w:val="00702FAB"/>
    <w:rsid w:val="007042BC"/>
    <w:rsid w:val="007055F0"/>
    <w:rsid w:val="0070594D"/>
    <w:rsid w:val="00705C33"/>
    <w:rsid w:val="00706348"/>
    <w:rsid w:val="00706AC1"/>
    <w:rsid w:val="00706B82"/>
    <w:rsid w:val="00706B99"/>
    <w:rsid w:val="00706F79"/>
    <w:rsid w:val="007074A0"/>
    <w:rsid w:val="00707928"/>
    <w:rsid w:val="007102F5"/>
    <w:rsid w:val="007109B5"/>
    <w:rsid w:val="00710FAA"/>
    <w:rsid w:val="007111FE"/>
    <w:rsid w:val="00711802"/>
    <w:rsid w:val="00711864"/>
    <w:rsid w:val="007118AE"/>
    <w:rsid w:val="00711ACC"/>
    <w:rsid w:val="00711BAF"/>
    <w:rsid w:val="00712057"/>
    <w:rsid w:val="007126B6"/>
    <w:rsid w:val="00712C43"/>
    <w:rsid w:val="0071329C"/>
    <w:rsid w:val="007139A4"/>
    <w:rsid w:val="00713EF4"/>
    <w:rsid w:val="00714ECC"/>
    <w:rsid w:val="00715197"/>
    <w:rsid w:val="00715310"/>
    <w:rsid w:val="0071548B"/>
    <w:rsid w:val="00715798"/>
    <w:rsid w:val="007159E7"/>
    <w:rsid w:val="00715A6B"/>
    <w:rsid w:val="0071614E"/>
    <w:rsid w:val="00716509"/>
    <w:rsid w:val="0071679E"/>
    <w:rsid w:val="00716859"/>
    <w:rsid w:val="00716E43"/>
    <w:rsid w:val="00717630"/>
    <w:rsid w:val="00720399"/>
    <w:rsid w:val="007203E4"/>
    <w:rsid w:val="007204A9"/>
    <w:rsid w:val="0072118A"/>
    <w:rsid w:val="007217B7"/>
    <w:rsid w:val="00721803"/>
    <w:rsid w:val="00721B12"/>
    <w:rsid w:val="0072305D"/>
    <w:rsid w:val="007234F9"/>
    <w:rsid w:val="007236D9"/>
    <w:rsid w:val="00723BE7"/>
    <w:rsid w:val="00723D75"/>
    <w:rsid w:val="007244FD"/>
    <w:rsid w:val="00725201"/>
    <w:rsid w:val="007253BF"/>
    <w:rsid w:val="00725B8A"/>
    <w:rsid w:val="00726424"/>
    <w:rsid w:val="00727725"/>
    <w:rsid w:val="00730866"/>
    <w:rsid w:val="00730EC8"/>
    <w:rsid w:val="00731851"/>
    <w:rsid w:val="00731A0E"/>
    <w:rsid w:val="00731A5B"/>
    <w:rsid w:val="00731BD4"/>
    <w:rsid w:val="00732574"/>
    <w:rsid w:val="007328DF"/>
    <w:rsid w:val="00732A86"/>
    <w:rsid w:val="00732D00"/>
    <w:rsid w:val="00733202"/>
    <w:rsid w:val="007334BE"/>
    <w:rsid w:val="00733BBF"/>
    <w:rsid w:val="007354A4"/>
    <w:rsid w:val="00736067"/>
    <w:rsid w:val="00736331"/>
    <w:rsid w:val="00736D8D"/>
    <w:rsid w:val="0073714A"/>
    <w:rsid w:val="0073720B"/>
    <w:rsid w:val="007379BB"/>
    <w:rsid w:val="0074012A"/>
    <w:rsid w:val="0074073A"/>
    <w:rsid w:val="007412FE"/>
    <w:rsid w:val="0074183E"/>
    <w:rsid w:val="007418FC"/>
    <w:rsid w:val="007420DE"/>
    <w:rsid w:val="00742968"/>
    <w:rsid w:val="0074300C"/>
    <w:rsid w:val="00743432"/>
    <w:rsid w:val="0074432A"/>
    <w:rsid w:val="00744963"/>
    <w:rsid w:val="00744A58"/>
    <w:rsid w:val="00744E39"/>
    <w:rsid w:val="00746EAB"/>
    <w:rsid w:val="00750543"/>
    <w:rsid w:val="00750682"/>
    <w:rsid w:val="00750C4B"/>
    <w:rsid w:val="00750F3A"/>
    <w:rsid w:val="00751DC0"/>
    <w:rsid w:val="00752FBF"/>
    <w:rsid w:val="007534C5"/>
    <w:rsid w:val="007537A2"/>
    <w:rsid w:val="0075486F"/>
    <w:rsid w:val="00754FC5"/>
    <w:rsid w:val="007550AB"/>
    <w:rsid w:val="007552EF"/>
    <w:rsid w:val="0075552B"/>
    <w:rsid w:val="007564CC"/>
    <w:rsid w:val="00756929"/>
    <w:rsid w:val="00757446"/>
    <w:rsid w:val="0076115B"/>
    <w:rsid w:val="00761772"/>
    <w:rsid w:val="0076219B"/>
    <w:rsid w:val="007623EC"/>
    <w:rsid w:val="007627DF"/>
    <w:rsid w:val="0076280F"/>
    <w:rsid w:val="00762972"/>
    <w:rsid w:val="00762A34"/>
    <w:rsid w:val="00763AAC"/>
    <w:rsid w:val="00764625"/>
    <w:rsid w:val="00764A8A"/>
    <w:rsid w:val="00764F25"/>
    <w:rsid w:val="0076587F"/>
    <w:rsid w:val="00765CF0"/>
    <w:rsid w:val="00766434"/>
    <w:rsid w:val="00766759"/>
    <w:rsid w:val="00766ADD"/>
    <w:rsid w:val="00767DBB"/>
    <w:rsid w:val="0077006A"/>
    <w:rsid w:val="00770147"/>
    <w:rsid w:val="0077016B"/>
    <w:rsid w:val="007705DC"/>
    <w:rsid w:val="0077068E"/>
    <w:rsid w:val="007723A3"/>
    <w:rsid w:val="00772474"/>
    <w:rsid w:val="00772A0C"/>
    <w:rsid w:val="00772C91"/>
    <w:rsid w:val="007731CD"/>
    <w:rsid w:val="00773313"/>
    <w:rsid w:val="00773376"/>
    <w:rsid w:val="00773C0B"/>
    <w:rsid w:val="00773C1B"/>
    <w:rsid w:val="00773C5D"/>
    <w:rsid w:val="00774646"/>
    <w:rsid w:val="00774D72"/>
    <w:rsid w:val="00775425"/>
    <w:rsid w:val="00775558"/>
    <w:rsid w:val="00775867"/>
    <w:rsid w:val="00775BED"/>
    <w:rsid w:val="00775D82"/>
    <w:rsid w:val="007761B4"/>
    <w:rsid w:val="00776A66"/>
    <w:rsid w:val="007803A5"/>
    <w:rsid w:val="007806E2"/>
    <w:rsid w:val="0078073A"/>
    <w:rsid w:val="00781695"/>
    <w:rsid w:val="00782260"/>
    <w:rsid w:val="0078284E"/>
    <w:rsid w:val="00782881"/>
    <w:rsid w:val="0078298B"/>
    <w:rsid w:val="00782B2E"/>
    <w:rsid w:val="007836A5"/>
    <w:rsid w:val="00783B3A"/>
    <w:rsid w:val="007847DB"/>
    <w:rsid w:val="007848A6"/>
    <w:rsid w:val="00784F4C"/>
    <w:rsid w:val="0078537E"/>
    <w:rsid w:val="007856EB"/>
    <w:rsid w:val="0078585C"/>
    <w:rsid w:val="00785AAA"/>
    <w:rsid w:val="00785DD8"/>
    <w:rsid w:val="007867BD"/>
    <w:rsid w:val="00786A73"/>
    <w:rsid w:val="00786F4A"/>
    <w:rsid w:val="00787AA4"/>
    <w:rsid w:val="00790085"/>
    <w:rsid w:val="007901CD"/>
    <w:rsid w:val="007905DB"/>
    <w:rsid w:val="00790D53"/>
    <w:rsid w:val="0079172E"/>
    <w:rsid w:val="007927B1"/>
    <w:rsid w:val="0079283A"/>
    <w:rsid w:val="00792E53"/>
    <w:rsid w:val="0079315F"/>
    <w:rsid w:val="007937CD"/>
    <w:rsid w:val="007938F0"/>
    <w:rsid w:val="00793A40"/>
    <w:rsid w:val="00794417"/>
    <w:rsid w:val="007952A9"/>
    <w:rsid w:val="00795F9F"/>
    <w:rsid w:val="00796249"/>
    <w:rsid w:val="00796321"/>
    <w:rsid w:val="00796635"/>
    <w:rsid w:val="007966C9"/>
    <w:rsid w:val="00797061"/>
    <w:rsid w:val="007972E7"/>
    <w:rsid w:val="007A02A7"/>
    <w:rsid w:val="007A0C86"/>
    <w:rsid w:val="007A1838"/>
    <w:rsid w:val="007A2600"/>
    <w:rsid w:val="007A28EE"/>
    <w:rsid w:val="007A36B0"/>
    <w:rsid w:val="007A37B1"/>
    <w:rsid w:val="007A39D5"/>
    <w:rsid w:val="007A3BA7"/>
    <w:rsid w:val="007A4192"/>
    <w:rsid w:val="007A4480"/>
    <w:rsid w:val="007A4A75"/>
    <w:rsid w:val="007A5084"/>
    <w:rsid w:val="007A6E9E"/>
    <w:rsid w:val="007A715A"/>
    <w:rsid w:val="007A716D"/>
    <w:rsid w:val="007A75E2"/>
    <w:rsid w:val="007A7F92"/>
    <w:rsid w:val="007B067F"/>
    <w:rsid w:val="007B158A"/>
    <w:rsid w:val="007B264D"/>
    <w:rsid w:val="007B31B4"/>
    <w:rsid w:val="007B3838"/>
    <w:rsid w:val="007B3D50"/>
    <w:rsid w:val="007B43CA"/>
    <w:rsid w:val="007B4FDE"/>
    <w:rsid w:val="007B50D2"/>
    <w:rsid w:val="007B5A80"/>
    <w:rsid w:val="007B6AB3"/>
    <w:rsid w:val="007B6F68"/>
    <w:rsid w:val="007B7284"/>
    <w:rsid w:val="007B754D"/>
    <w:rsid w:val="007B75D1"/>
    <w:rsid w:val="007B7684"/>
    <w:rsid w:val="007C0607"/>
    <w:rsid w:val="007C0935"/>
    <w:rsid w:val="007C1673"/>
    <w:rsid w:val="007C1691"/>
    <w:rsid w:val="007C1959"/>
    <w:rsid w:val="007C2A09"/>
    <w:rsid w:val="007C2BE5"/>
    <w:rsid w:val="007C34B0"/>
    <w:rsid w:val="007C35A0"/>
    <w:rsid w:val="007C3A06"/>
    <w:rsid w:val="007C4538"/>
    <w:rsid w:val="007C48B0"/>
    <w:rsid w:val="007C4E86"/>
    <w:rsid w:val="007C504B"/>
    <w:rsid w:val="007C5E67"/>
    <w:rsid w:val="007C633D"/>
    <w:rsid w:val="007C66C6"/>
    <w:rsid w:val="007C68FE"/>
    <w:rsid w:val="007C6964"/>
    <w:rsid w:val="007C6F8A"/>
    <w:rsid w:val="007C701C"/>
    <w:rsid w:val="007C758D"/>
    <w:rsid w:val="007D01A2"/>
    <w:rsid w:val="007D0289"/>
    <w:rsid w:val="007D076B"/>
    <w:rsid w:val="007D13E3"/>
    <w:rsid w:val="007D1C0F"/>
    <w:rsid w:val="007D2A6C"/>
    <w:rsid w:val="007D2EAA"/>
    <w:rsid w:val="007D383E"/>
    <w:rsid w:val="007D39ED"/>
    <w:rsid w:val="007D44AA"/>
    <w:rsid w:val="007D4F8E"/>
    <w:rsid w:val="007D5864"/>
    <w:rsid w:val="007D59E9"/>
    <w:rsid w:val="007D5E34"/>
    <w:rsid w:val="007D5FC1"/>
    <w:rsid w:val="007D71C5"/>
    <w:rsid w:val="007D7E71"/>
    <w:rsid w:val="007E068B"/>
    <w:rsid w:val="007E0885"/>
    <w:rsid w:val="007E0974"/>
    <w:rsid w:val="007E1140"/>
    <w:rsid w:val="007E3A05"/>
    <w:rsid w:val="007E4465"/>
    <w:rsid w:val="007E4D50"/>
    <w:rsid w:val="007E514A"/>
    <w:rsid w:val="007E5338"/>
    <w:rsid w:val="007E5982"/>
    <w:rsid w:val="007E5A8F"/>
    <w:rsid w:val="007E5E65"/>
    <w:rsid w:val="007E5FA0"/>
    <w:rsid w:val="007E65DD"/>
    <w:rsid w:val="007E665C"/>
    <w:rsid w:val="007E6917"/>
    <w:rsid w:val="007E712F"/>
    <w:rsid w:val="007E748C"/>
    <w:rsid w:val="007E7A9C"/>
    <w:rsid w:val="007E7C1F"/>
    <w:rsid w:val="007F06CC"/>
    <w:rsid w:val="007F06F0"/>
    <w:rsid w:val="007F07C1"/>
    <w:rsid w:val="007F0DC5"/>
    <w:rsid w:val="007F1312"/>
    <w:rsid w:val="007F1D2E"/>
    <w:rsid w:val="007F1D78"/>
    <w:rsid w:val="007F22C9"/>
    <w:rsid w:val="007F267F"/>
    <w:rsid w:val="007F29D4"/>
    <w:rsid w:val="007F2D90"/>
    <w:rsid w:val="007F34DA"/>
    <w:rsid w:val="007F3817"/>
    <w:rsid w:val="007F3961"/>
    <w:rsid w:val="007F3AF6"/>
    <w:rsid w:val="007F4E93"/>
    <w:rsid w:val="007F5078"/>
    <w:rsid w:val="007F6093"/>
    <w:rsid w:val="007F634F"/>
    <w:rsid w:val="007F6AB7"/>
    <w:rsid w:val="007F6D6E"/>
    <w:rsid w:val="007F7EB2"/>
    <w:rsid w:val="00800B11"/>
    <w:rsid w:val="008015DD"/>
    <w:rsid w:val="00801956"/>
    <w:rsid w:val="00801BB8"/>
    <w:rsid w:val="00802660"/>
    <w:rsid w:val="00802CD3"/>
    <w:rsid w:val="0080324D"/>
    <w:rsid w:val="0080394C"/>
    <w:rsid w:val="00803B2B"/>
    <w:rsid w:val="0080441D"/>
    <w:rsid w:val="008046D4"/>
    <w:rsid w:val="008052FE"/>
    <w:rsid w:val="00805493"/>
    <w:rsid w:val="008054F9"/>
    <w:rsid w:val="00805707"/>
    <w:rsid w:val="00805D28"/>
    <w:rsid w:val="00805E70"/>
    <w:rsid w:val="008066D5"/>
    <w:rsid w:val="00806C4E"/>
    <w:rsid w:val="00807357"/>
    <w:rsid w:val="00810A0D"/>
    <w:rsid w:val="00810AC2"/>
    <w:rsid w:val="00811583"/>
    <w:rsid w:val="008116ED"/>
    <w:rsid w:val="00811C68"/>
    <w:rsid w:val="00811CCE"/>
    <w:rsid w:val="00811FE9"/>
    <w:rsid w:val="008122AE"/>
    <w:rsid w:val="0081265F"/>
    <w:rsid w:val="00812C2A"/>
    <w:rsid w:val="00812DAA"/>
    <w:rsid w:val="00813123"/>
    <w:rsid w:val="00813C2D"/>
    <w:rsid w:val="00814171"/>
    <w:rsid w:val="0081463C"/>
    <w:rsid w:val="00814F7C"/>
    <w:rsid w:val="00815583"/>
    <w:rsid w:val="0081589D"/>
    <w:rsid w:val="008158E7"/>
    <w:rsid w:val="00815A83"/>
    <w:rsid w:val="00815C9D"/>
    <w:rsid w:val="00815EF6"/>
    <w:rsid w:val="00816593"/>
    <w:rsid w:val="00816AD9"/>
    <w:rsid w:val="008170C4"/>
    <w:rsid w:val="008174DA"/>
    <w:rsid w:val="00817B06"/>
    <w:rsid w:val="00817B09"/>
    <w:rsid w:val="00821245"/>
    <w:rsid w:val="00821989"/>
    <w:rsid w:val="00822C93"/>
    <w:rsid w:val="00822DCD"/>
    <w:rsid w:val="00823B03"/>
    <w:rsid w:val="00824138"/>
    <w:rsid w:val="00824215"/>
    <w:rsid w:val="0082479A"/>
    <w:rsid w:val="008250A0"/>
    <w:rsid w:val="00825651"/>
    <w:rsid w:val="00825C52"/>
    <w:rsid w:val="00825D3D"/>
    <w:rsid w:val="008261CA"/>
    <w:rsid w:val="008262B3"/>
    <w:rsid w:val="00826C51"/>
    <w:rsid w:val="00826EC9"/>
    <w:rsid w:val="00827586"/>
    <w:rsid w:val="00827820"/>
    <w:rsid w:val="00827DE2"/>
    <w:rsid w:val="00830066"/>
    <w:rsid w:val="00830175"/>
    <w:rsid w:val="008304B7"/>
    <w:rsid w:val="00830BE1"/>
    <w:rsid w:val="008325F5"/>
    <w:rsid w:val="0083321D"/>
    <w:rsid w:val="00833792"/>
    <w:rsid w:val="00834777"/>
    <w:rsid w:val="008348CD"/>
    <w:rsid w:val="00834AB7"/>
    <w:rsid w:val="008352D8"/>
    <w:rsid w:val="00835325"/>
    <w:rsid w:val="00835A98"/>
    <w:rsid w:val="0083708A"/>
    <w:rsid w:val="00837603"/>
    <w:rsid w:val="0083761A"/>
    <w:rsid w:val="0084035B"/>
    <w:rsid w:val="00840D96"/>
    <w:rsid w:val="008418ED"/>
    <w:rsid w:val="00841ED8"/>
    <w:rsid w:val="00842465"/>
    <w:rsid w:val="0084278D"/>
    <w:rsid w:val="00842D74"/>
    <w:rsid w:val="00842E0C"/>
    <w:rsid w:val="008432D3"/>
    <w:rsid w:val="00843481"/>
    <w:rsid w:val="008434BD"/>
    <w:rsid w:val="008441E0"/>
    <w:rsid w:val="008442C6"/>
    <w:rsid w:val="008446D9"/>
    <w:rsid w:val="00844C90"/>
    <w:rsid w:val="00845F1F"/>
    <w:rsid w:val="008462CB"/>
    <w:rsid w:val="00846718"/>
    <w:rsid w:val="00847897"/>
    <w:rsid w:val="008505F2"/>
    <w:rsid w:val="00850A45"/>
    <w:rsid w:val="0085105C"/>
    <w:rsid w:val="0085116A"/>
    <w:rsid w:val="00851789"/>
    <w:rsid w:val="008525CB"/>
    <w:rsid w:val="00852F35"/>
    <w:rsid w:val="00853494"/>
    <w:rsid w:val="00853C74"/>
    <w:rsid w:val="00853DF3"/>
    <w:rsid w:val="008540DD"/>
    <w:rsid w:val="0085495C"/>
    <w:rsid w:val="00854C34"/>
    <w:rsid w:val="0085510E"/>
    <w:rsid w:val="00855C6A"/>
    <w:rsid w:val="00855D14"/>
    <w:rsid w:val="00856DD2"/>
    <w:rsid w:val="00857050"/>
    <w:rsid w:val="00857363"/>
    <w:rsid w:val="008577AC"/>
    <w:rsid w:val="00857A33"/>
    <w:rsid w:val="00857F74"/>
    <w:rsid w:val="00860877"/>
    <w:rsid w:val="008608B4"/>
    <w:rsid w:val="00860C8D"/>
    <w:rsid w:val="00861019"/>
    <w:rsid w:val="00861279"/>
    <w:rsid w:val="00861C36"/>
    <w:rsid w:val="00862410"/>
    <w:rsid w:val="00862749"/>
    <w:rsid w:val="008635A7"/>
    <w:rsid w:val="00863FAE"/>
    <w:rsid w:val="0086494C"/>
    <w:rsid w:val="008649FB"/>
    <w:rsid w:val="00864C73"/>
    <w:rsid w:val="00864EDB"/>
    <w:rsid w:val="0086521F"/>
    <w:rsid w:val="00865238"/>
    <w:rsid w:val="0086560C"/>
    <w:rsid w:val="0086588D"/>
    <w:rsid w:val="00865A16"/>
    <w:rsid w:val="00866BBF"/>
    <w:rsid w:val="00867BB9"/>
    <w:rsid w:val="008703F0"/>
    <w:rsid w:val="00870D0D"/>
    <w:rsid w:val="00870ED8"/>
    <w:rsid w:val="008711BE"/>
    <w:rsid w:val="00871D73"/>
    <w:rsid w:val="00872223"/>
    <w:rsid w:val="008724F2"/>
    <w:rsid w:val="008728AF"/>
    <w:rsid w:val="00872A3C"/>
    <w:rsid w:val="008730E3"/>
    <w:rsid w:val="008733D4"/>
    <w:rsid w:val="00873684"/>
    <w:rsid w:val="00873D9A"/>
    <w:rsid w:val="00874855"/>
    <w:rsid w:val="008749F8"/>
    <w:rsid w:val="00874B55"/>
    <w:rsid w:val="00875778"/>
    <w:rsid w:val="00875935"/>
    <w:rsid w:val="00876BB1"/>
    <w:rsid w:val="00877FD4"/>
    <w:rsid w:val="008800FD"/>
    <w:rsid w:val="0088042F"/>
    <w:rsid w:val="00880485"/>
    <w:rsid w:val="0088051A"/>
    <w:rsid w:val="008805EB"/>
    <w:rsid w:val="008807FB"/>
    <w:rsid w:val="00880AFE"/>
    <w:rsid w:val="0088194A"/>
    <w:rsid w:val="00881B29"/>
    <w:rsid w:val="00881FC5"/>
    <w:rsid w:val="0088213D"/>
    <w:rsid w:val="0088258A"/>
    <w:rsid w:val="00882E4C"/>
    <w:rsid w:val="00883248"/>
    <w:rsid w:val="008847D2"/>
    <w:rsid w:val="008848FA"/>
    <w:rsid w:val="00884F73"/>
    <w:rsid w:val="008852A0"/>
    <w:rsid w:val="00885CE1"/>
    <w:rsid w:val="00885CE6"/>
    <w:rsid w:val="008865AC"/>
    <w:rsid w:val="00886C5B"/>
    <w:rsid w:val="00887792"/>
    <w:rsid w:val="0088779F"/>
    <w:rsid w:val="00887B0A"/>
    <w:rsid w:val="008900BA"/>
    <w:rsid w:val="008902A3"/>
    <w:rsid w:val="0089168B"/>
    <w:rsid w:val="008930C8"/>
    <w:rsid w:val="00893D01"/>
    <w:rsid w:val="00894EA3"/>
    <w:rsid w:val="008955B1"/>
    <w:rsid w:val="00896145"/>
    <w:rsid w:val="00896B3C"/>
    <w:rsid w:val="00896BDB"/>
    <w:rsid w:val="00897316"/>
    <w:rsid w:val="008974D9"/>
    <w:rsid w:val="0089773C"/>
    <w:rsid w:val="008A0614"/>
    <w:rsid w:val="008A08F4"/>
    <w:rsid w:val="008A113D"/>
    <w:rsid w:val="008A16BE"/>
    <w:rsid w:val="008A1DF1"/>
    <w:rsid w:val="008A22EB"/>
    <w:rsid w:val="008A262A"/>
    <w:rsid w:val="008A263A"/>
    <w:rsid w:val="008A289A"/>
    <w:rsid w:val="008A3342"/>
    <w:rsid w:val="008A3945"/>
    <w:rsid w:val="008A3F18"/>
    <w:rsid w:val="008A43AA"/>
    <w:rsid w:val="008A451D"/>
    <w:rsid w:val="008A45BE"/>
    <w:rsid w:val="008A5EA5"/>
    <w:rsid w:val="008A63CB"/>
    <w:rsid w:val="008A6407"/>
    <w:rsid w:val="008A645E"/>
    <w:rsid w:val="008A767B"/>
    <w:rsid w:val="008A77E5"/>
    <w:rsid w:val="008A7E0B"/>
    <w:rsid w:val="008B0AB7"/>
    <w:rsid w:val="008B0CAA"/>
    <w:rsid w:val="008B1479"/>
    <w:rsid w:val="008B2981"/>
    <w:rsid w:val="008B2A07"/>
    <w:rsid w:val="008B300B"/>
    <w:rsid w:val="008B33BE"/>
    <w:rsid w:val="008B44F5"/>
    <w:rsid w:val="008B495C"/>
    <w:rsid w:val="008B4B7C"/>
    <w:rsid w:val="008B59C6"/>
    <w:rsid w:val="008B5D9C"/>
    <w:rsid w:val="008B6287"/>
    <w:rsid w:val="008B65C9"/>
    <w:rsid w:val="008B66A4"/>
    <w:rsid w:val="008B6AF5"/>
    <w:rsid w:val="008B6B37"/>
    <w:rsid w:val="008B733D"/>
    <w:rsid w:val="008C050C"/>
    <w:rsid w:val="008C05AF"/>
    <w:rsid w:val="008C0C0A"/>
    <w:rsid w:val="008C0C7B"/>
    <w:rsid w:val="008C11B2"/>
    <w:rsid w:val="008C1681"/>
    <w:rsid w:val="008C18EE"/>
    <w:rsid w:val="008C1AF3"/>
    <w:rsid w:val="008C1B1F"/>
    <w:rsid w:val="008C1C5A"/>
    <w:rsid w:val="008C2226"/>
    <w:rsid w:val="008C2D05"/>
    <w:rsid w:val="008C30B9"/>
    <w:rsid w:val="008C3805"/>
    <w:rsid w:val="008C4154"/>
    <w:rsid w:val="008C47A1"/>
    <w:rsid w:val="008C4A37"/>
    <w:rsid w:val="008C57BA"/>
    <w:rsid w:val="008C5B80"/>
    <w:rsid w:val="008C5FC1"/>
    <w:rsid w:val="008C60DE"/>
    <w:rsid w:val="008C6E3F"/>
    <w:rsid w:val="008C738F"/>
    <w:rsid w:val="008C7658"/>
    <w:rsid w:val="008C7F4C"/>
    <w:rsid w:val="008D0263"/>
    <w:rsid w:val="008D0698"/>
    <w:rsid w:val="008D0E93"/>
    <w:rsid w:val="008D0FEA"/>
    <w:rsid w:val="008D180D"/>
    <w:rsid w:val="008D2684"/>
    <w:rsid w:val="008D29C5"/>
    <w:rsid w:val="008D37EE"/>
    <w:rsid w:val="008D3834"/>
    <w:rsid w:val="008D3EA6"/>
    <w:rsid w:val="008D4F99"/>
    <w:rsid w:val="008D5036"/>
    <w:rsid w:val="008D5751"/>
    <w:rsid w:val="008D5ECF"/>
    <w:rsid w:val="008D6ABE"/>
    <w:rsid w:val="008D6B9E"/>
    <w:rsid w:val="008D6BB2"/>
    <w:rsid w:val="008D70CE"/>
    <w:rsid w:val="008D789A"/>
    <w:rsid w:val="008D7FBC"/>
    <w:rsid w:val="008E1024"/>
    <w:rsid w:val="008E123B"/>
    <w:rsid w:val="008E15E6"/>
    <w:rsid w:val="008E1F9F"/>
    <w:rsid w:val="008E32B3"/>
    <w:rsid w:val="008E3364"/>
    <w:rsid w:val="008E5B26"/>
    <w:rsid w:val="008E5E40"/>
    <w:rsid w:val="008E675A"/>
    <w:rsid w:val="008E67F5"/>
    <w:rsid w:val="008F058B"/>
    <w:rsid w:val="008F08F6"/>
    <w:rsid w:val="008F1E1B"/>
    <w:rsid w:val="008F20E7"/>
    <w:rsid w:val="008F21BA"/>
    <w:rsid w:val="008F25CC"/>
    <w:rsid w:val="008F278E"/>
    <w:rsid w:val="008F3A8C"/>
    <w:rsid w:val="008F4A78"/>
    <w:rsid w:val="008F6694"/>
    <w:rsid w:val="008F6850"/>
    <w:rsid w:val="008F6C54"/>
    <w:rsid w:val="008F6E7D"/>
    <w:rsid w:val="008F753B"/>
    <w:rsid w:val="00900059"/>
    <w:rsid w:val="00900A24"/>
    <w:rsid w:val="00900D09"/>
    <w:rsid w:val="00900E81"/>
    <w:rsid w:val="00900EB4"/>
    <w:rsid w:val="00901168"/>
    <w:rsid w:val="0090242E"/>
    <w:rsid w:val="0090267E"/>
    <w:rsid w:val="009027E5"/>
    <w:rsid w:val="00902EF3"/>
    <w:rsid w:val="00903427"/>
    <w:rsid w:val="00904A0A"/>
    <w:rsid w:val="00904E66"/>
    <w:rsid w:val="00904FE8"/>
    <w:rsid w:val="0090578C"/>
    <w:rsid w:val="0090739F"/>
    <w:rsid w:val="00907455"/>
    <w:rsid w:val="00907A87"/>
    <w:rsid w:val="009101DA"/>
    <w:rsid w:val="00910330"/>
    <w:rsid w:val="00911B7A"/>
    <w:rsid w:val="00911D27"/>
    <w:rsid w:val="00911E9A"/>
    <w:rsid w:val="00912C03"/>
    <w:rsid w:val="00913E1C"/>
    <w:rsid w:val="00913ED0"/>
    <w:rsid w:val="00914683"/>
    <w:rsid w:val="00915D06"/>
    <w:rsid w:val="009163F5"/>
    <w:rsid w:val="0091692B"/>
    <w:rsid w:val="00916992"/>
    <w:rsid w:val="00917013"/>
    <w:rsid w:val="0091701A"/>
    <w:rsid w:val="00917087"/>
    <w:rsid w:val="00917254"/>
    <w:rsid w:val="00917626"/>
    <w:rsid w:val="00917B95"/>
    <w:rsid w:val="009204E8"/>
    <w:rsid w:val="00920CB2"/>
    <w:rsid w:val="0092114E"/>
    <w:rsid w:val="00921F36"/>
    <w:rsid w:val="00922039"/>
    <w:rsid w:val="0092237E"/>
    <w:rsid w:val="00922802"/>
    <w:rsid w:val="00923CE0"/>
    <w:rsid w:val="0092408C"/>
    <w:rsid w:val="00924117"/>
    <w:rsid w:val="009248F1"/>
    <w:rsid w:val="00924E9E"/>
    <w:rsid w:val="0092515A"/>
    <w:rsid w:val="009252BA"/>
    <w:rsid w:val="00926817"/>
    <w:rsid w:val="00927426"/>
    <w:rsid w:val="0092752F"/>
    <w:rsid w:val="00927650"/>
    <w:rsid w:val="009277A6"/>
    <w:rsid w:val="00927973"/>
    <w:rsid w:val="00927AE6"/>
    <w:rsid w:val="009302FF"/>
    <w:rsid w:val="0093045C"/>
    <w:rsid w:val="00930669"/>
    <w:rsid w:val="00930C37"/>
    <w:rsid w:val="00930D9C"/>
    <w:rsid w:val="00931225"/>
    <w:rsid w:val="00931319"/>
    <w:rsid w:val="0093185F"/>
    <w:rsid w:val="009326A0"/>
    <w:rsid w:val="009335BB"/>
    <w:rsid w:val="009335E6"/>
    <w:rsid w:val="009338C0"/>
    <w:rsid w:val="00933FB1"/>
    <w:rsid w:val="009341BB"/>
    <w:rsid w:val="00934D7A"/>
    <w:rsid w:val="00935599"/>
    <w:rsid w:val="0093582D"/>
    <w:rsid w:val="009362CF"/>
    <w:rsid w:val="0093723D"/>
    <w:rsid w:val="0093750B"/>
    <w:rsid w:val="009376F4"/>
    <w:rsid w:val="00940258"/>
    <w:rsid w:val="00940D98"/>
    <w:rsid w:val="00941040"/>
    <w:rsid w:val="00941A98"/>
    <w:rsid w:val="00942CB6"/>
    <w:rsid w:val="00942CE9"/>
    <w:rsid w:val="00942D6F"/>
    <w:rsid w:val="00942FC3"/>
    <w:rsid w:val="009433DF"/>
    <w:rsid w:val="009435E6"/>
    <w:rsid w:val="009436D4"/>
    <w:rsid w:val="009440BD"/>
    <w:rsid w:val="00944491"/>
    <w:rsid w:val="009444B2"/>
    <w:rsid w:val="00944A6D"/>
    <w:rsid w:val="00944F1F"/>
    <w:rsid w:val="00945763"/>
    <w:rsid w:val="00946282"/>
    <w:rsid w:val="00946583"/>
    <w:rsid w:val="00946C92"/>
    <w:rsid w:val="00946CC2"/>
    <w:rsid w:val="00947D85"/>
    <w:rsid w:val="00947DE7"/>
    <w:rsid w:val="00947E83"/>
    <w:rsid w:val="00950463"/>
    <w:rsid w:val="00950904"/>
    <w:rsid w:val="009514C8"/>
    <w:rsid w:val="009517BD"/>
    <w:rsid w:val="009518BA"/>
    <w:rsid w:val="00952527"/>
    <w:rsid w:val="00952571"/>
    <w:rsid w:val="00952E8C"/>
    <w:rsid w:val="009537B8"/>
    <w:rsid w:val="0095484F"/>
    <w:rsid w:val="00954FF2"/>
    <w:rsid w:val="009552F7"/>
    <w:rsid w:val="0095540B"/>
    <w:rsid w:val="00955CC4"/>
    <w:rsid w:val="009560CC"/>
    <w:rsid w:val="00956FDE"/>
    <w:rsid w:val="00957FF2"/>
    <w:rsid w:val="009605BD"/>
    <w:rsid w:val="00960708"/>
    <w:rsid w:val="009615D2"/>
    <w:rsid w:val="00962257"/>
    <w:rsid w:val="0096237A"/>
    <w:rsid w:val="00962EC2"/>
    <w:rsid w:val="00962EE8"/>
    <w:rsid w:val="009634B2"/>
    <w:rsid w:val="00963775"/>
    <w:rsid w:val="00963C95"/>
    <w:rsid w:val="00964E01"/>
    <w:rsid w:val="00964F61"/>
    <w:rsid w:val="009652BB"/>
    <w:rsid w:val="00965A09"/>
    <w:rsid w:val="00965F77"/>
    <w:rsid w:val="00965F8A"/>
    <w:rsid w:val="00966397"/>
    <w:rsid w:val="0096680A"/>
    <w:rsid w:val="009675DE"/>
    <w:rsid w:val="009707D9"/>
    <w:rsid w:val="00971A6D"/>
    <w:rsid w:val="00971B89"/>
    <w:rsid w:val="00972226"/>
    <w:rsid w:val="0097248E"/>
    <w:rsid w:val="00972624"/>
    <w:rsid w:val="009727D9"/>
    <w:rsid w:val="0097444B"/>
    <w:rsid w:val="009744C1"/>
    <w:rsid w:val="00974953"/>
    <w:rsid w:val="009757C0"/>
    <w:rsid w:val="00976EE9"/>
    <w:rsid w:val="00980B59"/>
    <w:rsid w:val="00981BC3"/>
    <w:rsid w:val="00981C63"/>
    <w:rsid w:val="00981EF7"/>
    <w:rsid w:val="0098228F"/>
    <w:rsid w:val="00983428"/>
    <w:rsid w:val="00983E0F"/>
    <w:rsid w:val="00984376"/>
    <w:rsid w:val="00985276"/>
    <w:rsid w:val="00985CC1"/>
    <w:rsid w:val="009862F8"/>
    <w:rsid w:val="00986467"/>
    <w:rsid w:val="0098668D"/>
    <w:rsid w:val="0098722A"/>
    <w:rsid w:val="009875A8"/>
    <w:rsid w:val="00987CEB"/>
    <w:rsid w:val="00987F86"/>
    <w:rsid w:val="00990151"/>
    <w:rsid w:val="00990411"/>
    <w:rsid w:val="00990BA0"/>
    <w:rsid w:val="009911B9"/>
    <w:rsid w:val="009916ED"/>
    <w:rsid w:val="00992282"/>
    <w:rsid w:val="00992B88"/>
    <w:rsid w:val="009933E2"/>
    <w:rsid w:val="00993669"/>
    <w:rsid w:val="00993740"/>
    <w:rsid w:val="0099374A"/>
    <w:rsid w:val="00993FAE"/>
    <w:rsid w:val="00993FD9"/>
    <w:rsid w:val="00994058"/>
    <w:rsid w:val="00994EB8"/>
    <w:rsid w:val="00994EF5"/>
    <w:rsid w:val="00995541"/>
    <w:rsid w:val="00995674"/>
    <w:rsid w:val="0099582F"/>
    <w:rsid w:val="00995B2D"/>
    <w:rsid w:val="00995D4B"/>
    <w:rsid w:val="009968C7"/>
    <w:rsid w:val="00996DD4"/>
    <w:rsid w:val="00997170"/>
    <w:rsid w:val="00997451"/>
    <w:rsid w:val="00997542"/>
    <w:rsid w:val="00997DC5"/>
    <w:rsid w:val="00997FCB"/>
    <w:rsid w:val="009A046A"/>
    <w:rsid w:val="009A04F0"/>
    <w:rsid w:val="009A14A4"/>
    <w:rsid w:val="009A183F"/>
    <w:rsid w:val="009A1C1B"/>
    <w:rsid w:val="009A250F"/>
    <w:rsid w:val="009A26E3"/>
    <w:rsid w:val="009A28F5"/>
    <w:rsid w:val="009A2CBF"/>
    <w:rsid w:val="009A34EA"/>
    <w:rsid w:val="009A3BB5"/>
    <w:rsid w:val="009A40D0"/>
    <w:rsid w:val="009A42D6"/>
    <w:rsid w:val="009A45B1"/>
    <w:rsid w:val="009A45BE"/>
    <w:rsid w:val="009A4D24"/>
    <w:rsid w:val="009A4EC7"/>
    <w:rsid w:val="009A5091"/>
    <w:rsid w:val="009A5ED1"/>
    <w:rsid w:val="009A6A99"/>
    <w:rsid w:val="009A6B2F"/>
    <w:rsid w:val="009A6B77"/>
    <w:rsid w:val="009A6D65"/>
    <w:rsid w:val="009A6D9C"/>
    <w:rsid w:val="009A6DD3"/>
    <w:rsid w:val="009A78F2"/>
    <w:rsid w:val="009A7C09"/>
    <w:rsid w:val="009A7E66"/>
    <w:rsid w:val="009B0507"/>
    <w:rsid w:val="009B0663"/>
    <w:rsid w:val="009B10ED"/>
    <w:rsid w:val="009B11CA"/>
    <w:rsid w:val="009B14A7"/>
    <w:rsid w:val="009B19A0"/>
    <w:rsid w:val="009B19B9"/>
    <w:rsid w:val="009B1CE8"/>
    <w:rsid w:val="009B222F"/>
    <w:rsid w:val="009B2377"/>
    <w:rsid w:val="009B273D"/>
    <w:rsid w:val="009B2A19"/>
    <w:rsid w:val="009B2C4E"/>
    <w:rsid w:val="009B2CCC"/>
    <w:rsid w:val="009B2DE6"/>
    <w:rsid w:val="009B35E7"/>
    <w:rsid w:val="009B3AB9"/>
    <w:rsid w:val="009B3BAF"/>
    <w:rsid w:val="009B4139"/>
    <w:rsid w:val="009B4A33"/>
    <w:rsid w:val="009B5612"/>
    <w:rsid w:val="009B5DED"/>
    <w:rsid w:val="009B6059"/>
    <w:rsid w:val="009B65EC"/>
    <w:rsid w:val="009B7FFB"/>
    <w:rsid w:val="009C0260"/>
    <w:rsid w:val="009C05C1"/>
    <w:rsid w:val="009C123E"/>
    <w:rsid w:val="009C1BED"/>
    <w:rsid w:val="009C2953"/>
    <w:rsid w:val="009C2ADB"/>
    <w:rsid w:val="009C32E3"/>
    <w:rsid w:val="009C34C0"/>
    <w:rsid w:val="009C391D"/>
    <w:rsid w:val="009C4617"/>
    <w:rsid w:val="009C4649"/>
    <w:rsid w:val="009C4FAA"/>
    <w:rsid w:val="009C5252"/>
    <w:rsid w:val="009C55DC"/>
    <w:rsid w:val="009C5EF9"/>
    <w:rsid w:val="009C60ED"/>
    <w:rsid w:val="009C60F6"/>
    <w:rsid w:val="009C6945"/>
    <w:rsid w:val="009C6B7D"/>
    <w:rsid w:val="009C6BDE"/>
    <w:rsid w:val="009C7365"/>
    <w:rsid w:val="009C77C9"/>
    <w:rsid w:val="009C7C46"/>
    <w:rsid w:val="009C7DAD"/>
    <w:rsid w:val="009D0465"/>
    <w:rsid w:val="009D08E7"/>
    <w:rsid w:val="009D0D49"/>
    <w:rsid w:val="009D0FC4"/>
    <w:rsid w:val="009D1080"/>
    <w:rsid w:val="009D1CE7"/>
    <w:rsid w:val="009D24C6"/>
    <w:rsid w:val="009D2A9A"/>
    <w:rsid w:val="009D2AB1"/>
    <w:rsid w:val="009D2DBC"/>
    <w:rsid w:val="009D320D"/>
    <w:rsid w:val="009D3710"/>
    <w:rsid w:val="009D3AE3"/>
    <w:rsid w:val="009D4617"/>
    <w:rsid w:val="009D4840"/>
    <w:rsid w:val="009D4B03"/>
    <w:rsid w:val="009D4BEE"/>
    <w:rsid w:val="009D4DB7"/>
    <w:rsid w:val="009D7060"/>
    <w:rsid w:val="009D7076"/>
    <w:rsid w:val="009E016A"/>
    <w:rsid w:val="009E0836"/>
    <w:rsid w:val="009E1142"/>
    <w:rsid w:val="009E154A"/>
    <w:rsid w:val="009E248D"/>
    <w:rsid w:val="009E29F3"/>
    <w:rsid w:val="009E2D26"/>
    <w:rsid w:val="009E3157"/>
    <w:rsid w:val="009E3D39"/>
    <w:rsid w:val="009E4570"/>
    <w:rsid w:val="009E4DFC"/>
    <w:rsid w:val="009E4F43"/>
    <w:rsid w:val="009E53CF"/>
    <w:rsid w:val="009E5432"/>
    <w:rsid w:val="009E5A2D"/>
    <w:rsid w:val="009E5D01"/>
    <w:rsid w:val="009E5DB8"/>
    <w:rsid w:val="009E5FFA"/>
    <w:rsid w:val="009E691F"/>
    <w:rsid w:val="009E6AD0"/>
    <w:rsid w:val="009F0814"/>
    <w:rsid w:val="009F0889"/>
    <w:rsid w:val="009F0D83"/>
    <w:rsid w:val="009F0ECA"/>
    <w:rsid w:val="009F0F34"/>
    <w:rsid w:val="009F2FA0"/>
    <w:rsid w:val="009F3749"/>
    <w:rsid w:val="009F3CC2"/>
    <w:rsid w:val="009F4863"/>
    <w:rsid w:val="009F493D"/>
    <w:rsid w:val="009F4A20"/>
    <w:rsid w:val="009F53B7"/>
    <w:rsid w:val="009F56D5"/>
    <w:rsid w:val="009F63DB"/>
    <w:rsid w:val="009F6668"/>
    <w:rsid w:val="009F6701"/>
    <w:rsid w:val="009F6796"/>
    <w:rsid w:val="009F6A0F"/>
    <w:rsid w:val="009F709C"/>
    <w:rsid w:val="009F74E9"/>
    <w:rsid w:val="009F77DB"/>
    <w:rsid w:val="00A00396"/>
    <w:rsid w:val="00A0065D"/>
    <w:rsid w:val="00A0086E"/>
    <w:rsid w:val="00A008E6"/>
    <w:rsid w:val="00A00C1E"/>
    <w:rsid w:val="00A01821"/>
    <w:rsid w:val="00A020A3"/>
    <w:rsid w:val="00A0261F"/>
    <w:rsid w:val="00A027E4"/>
    <w:rsid w:val="00A036F2"/>
    <w:rsid w:val="00A039EF"/>
    <w:rsid w:val="00A03E32"/>
    <w:rsid w:val="00A0419B"/>
    <w:rsid w:val="00A0453B"/>
    <w:rsid w:val="00A05248"/>
    <w:rsid w:val="00A05ADB"/>
    <w:rsid w:val="00A05BE8"/>
    <w:rsid w:val="00A067C5"/>
    <w:rsid w:val="00A07056"/>
    <w:rsid w:val="00A10510"/>
    <w:rsid w:val="00A10777"/>
    <w:rsid w:val="00A114DB"/>
    <w:rsid w:val="00A116A6"/>
    <w:rsid w:val="00A11D08"/>
    <w:rsid w:val="00A124C7"/>
    <w:rsid w:val="00A12C83"/>
    <w:rsid w:val="00A12FBC"/>
    <w:rsid w:val="00A13295"/>
    <w:rsid w:val="00A13BDA"/>
    <w:rsid w:val="00A14428"/>
    <w:rsid w:val="00A144CC"/>
    <w:rsid w:val="00A1459B"/>
    <w:rsid w:val="00A14CF8"/>
    <w:rsid w:val="00A15210"/>
    <w:rsid w:val="00A15594"/>
    <w:rsid w:val="00A15A95"/>
    <w:rsid w:val="00A15F66"/>
    <w:rsid w:val="00A16238"/>
    <w:rsid w:val="00A16706"/>
    <w:rsid w:val="00A168F2"/>
    <w:rsid w:val="00A17343"/>
    <w:rsid w:val="00A17527"/>
    <w:rsid w:val="00A176AD"/>
    <w:rsid w:val="00A17D2D"/>
    <w:rsid w:val="00A17F80"/>
    <w:rsid w:val="00A200AD"/>
    <w:rsid w:val="00A20116"/>
    <w:rsid w:val="00A212F4"/>
    <w:rsid w:val="00A216BE"/>
    <w:rsid w:val="00A22198"/>
    <w:rsid w:val="00A226C6"/>
    <w:rsid w:val="00A22D63"/>
    <w:rsid w:val="00A232DC"/>
    <w:rsid w:val="00A2349C"/>
    <w:rsid w:val="00A2372D"/>
    <w:rsid w:val="00A23CDD"/>
    <w:rsid w:val="00A23D0A"/>
    <w:rsid w:val="00A23DC1"/>
    <w:rsid w:val="00A2437D"/>
    <w:rsid w:val="00A24760"/>
    <w:rsid w:val="00A24A5E"/>
    <w:rsid w:val="00A2588A"/>
    <w:rsid w:val="00A25DB0"/>
    <w:rsid w:val="00A306B4"/>
    <w:rsid w:val="00A30745"/>
    <w:rsid w:val="00A30DC3"/>
    <w:rsid w:val="00A30E0B"/>
    <w:rsid w:val="00A30E1D"/>
    <w:rsid w:val="00A31686"/>
    <w:rsid w:val="00A318BC"/>
    <w:rsid w:val="00A32365"/>
    <w:rsid w:val="00A32C47"/>
    <w:rsid w:val="00A32FB7"/>
    <w:rsid w:val="00A334E6"/>
    <w:rsid w:val="00A35340"/>
    <w:rsid w:val="00A353AD"/>
    <w:rsid w:val="00A3578D"/>
    <w:rsid w:val="00A35AB6"/>
    <w:rsid w:val="00A35D77"/>
    <w:rsid w:val="00A36282"/>
    <w:rsid w:val="00A36CC3"/>
    <w:rsid w:val="00A373DA"/>
    <w:rsid w:val="00A375C3"/>
    <w:rsid w:val="00A3775C"/>
    <w:rsid w:val="00A40038"/>
    <w:rsid w:val="00A40686"/>
    <w:rsid w:val="00A40E95"/>
    <w:rsid w:val="00A410A2"/>
    <w:rsid w:val="00A41DEE"/>
    <w:rsid w:val="00A42FDD"/>
    <w:rsid w:val="00A43537"/>
    <w:rsid w:val="00A43832"/>
    <w:rsid w:val="00A447B0"/>
    <w:rsid w:val="00A44847"/>
    <w:rsid w:val="00A44E7F"/>
    <w:rsid w:val="00A45279"/>
    <w:rsid w:val="00A45731"/>
    <w:rsid w:val="00A45D98"/>
    <w:rsid w:val="00A46045"/>
    <w:rsid w:val="00A465FF"/>
    <w:rsid w:val="00A4681D"/>
    <w:rsid w:val="00A478AB"/>
    <w:rsid w:val="00A47E9E"/>
    <w:rsid w:val="00A50690"/>
    <w:rsid w:val="00A50726"/>
    <w:rsid w:val="00A50D9C"/>
    <w:rsid w:val="00A51697"/>
    <w:rsid w:val="00A51736"/>
    <w:rsid w:val="00A51D13"/>
    <w:rsid w:val="00A52C77"/>
    <w:rsid w:val="00A545CB"/>
    <w:rsid w:val="00A55950"/>
    <w:rsid w:val="00A55EB4"/>
    <w:rsid w:val="00A56447"/>
    <w:rsid w:val="00A56C08"/>
    <w:rsid w:val="00A56C5A"/>
    <w:rsid w:val="00A57100"/>
    <w:rsid w:val="00A57782"/>
    <w:rsid w:val="00A57D56"/>
    <w:rsid w:val="00A6013F"/>
    <w:rsid w:val="00A6094E"/>
    <w:rsid w:val="00A6135C"/>
    <w:rsid w:val="00A6183A"/>
    <w:rsid w:val="00A62514"/>
    <w:rsid w:val="00A62544"/>
    <w:rsid w:val="00A62E9A"/>
    <w:rsid w:val="00A62EF3"/>
    <w:rsid w:val="00A6319E"/>
    <w:rsid w:val="00A6324B"/>
    <w:rsid w:val="00A632B1"/>
    <w:rsid w:val="00A63B41"/>
    <w:rsid w:val="00A63FFF"/>
    <w:rsid w:val="00A6411D"/>
    <w:rsid w:val="00A64161"/>
    <w:rsid w:val="00A652F8"/>
    <w:rsid w:val="00A65501"/>
    <w:rsid w:val="00A65A7B"/>
    <w:rsid w:val="00A66BD7"/>
    <w:rsid w:val="00A67234"/>
    <w:rsid w:val="00A67812"/>
    <w:rsid w:val="00A67FB7"/>
    <w:rsid w:val="00A70404"/>
    <w:rsid w:val="00A71C8A"/>
    <w:rsid w:val="00A72592"/>
    <w:rsid w:val="00A72767"/>
    <w:rsid w:val="00A73659"/>
    <w:rsid w:val="00A73818"/>
    <w:rsid w:val="00A74130"/>
    <w:rsid w:val="00A74208"/>
    <w:rsid w:val="00A74335"/>
    <w:rsid w:val="00A74422"/>
    <w:rsid w:val="00A74AD1"/>
    <w:rsid w:val="00A74F08"/>
    <w:rsid w:val="00A75107"/>
    <w:rsid w:val="00A7547D"/>
    <w:rsid w:val="00A75550"/>
    <w:rsid w:val="00A75796"/>
    <w:rsid w:val="00A75D2D"/>
    <w:rsid w:val="00A7625E"/>
    <w:rsid w:val="00A762C6"/>
    <w:rsid w:val="00A7683F"/>
    <w:rsid w:val="00A76F31"/>
    <w:rsid w:val="00A7701C"/>
    <w:rsid w:val="00A770C3"/>
    <w:rsid w:val="00A77757"/>
    <w:rsid w:val="00A779FD"/>
    <w:rsid w:val="00A77F7A"/>
    <w:rsid w:val="00A80005"/>
    <w:rsid w:val="00A82102"/>
    <w:rsid w:val="00A82373"/>
    <w:rsid w:val="00A8275B"/>
    <w:rsid w:val="00A832AE"/>
    <w:rsid w:val="00A8333D"/>
    <w:rsid w:val="00A83530"/>
    <w:rsid w:val="00A8375C"/>
    <w:rsid w:val="00A83E15"/>
    <w:rsid w:val="00A844E8"/>
    <w:rsid w:val="00A853B3"/>
    <w:rsid w:val="00A86304"/>
    <w:rsid w:val="00A869B6"/>
    <w:rsid w:val="00A86AA5"/>
    <w:rsid w:val="00A871DF"/>
    <w:rsid w:val="00A878C0"/>
    <w:rsid w:val="00A905E5"/>
    <w:rsid w:val="00A906CB"/>
    <w:rsid w:val="00A9103C"/>
    <w:rsid w:val="00A91599"/>
    <w:rsid w:val="00A918A7"/>
    <w:rsid w:val="00A91BA7"/>
    <w:rsid w:val="00A9231C"/>
    <w:rsid w:val="00A92738"/>
    <w:rsid w:val="00A928EA"/>
    <w:rsid w:val="00A940B9"/>
    <w:rsid w:val="00A94675"/>
    <w:rsid w:val="00A94ABD"/>
    <w:rsid w:val="00A95234"/>
    <w:rsid w:val="00A954FE"/>
    <w:rsid w:val="00A96071"/>
    <w:rsid w:val="00A962CC"/>
    <w:rsid w:val="00A973B0"/>
    <w:rsid w:val="00A978CA"/>
    <w:rsid w:val="00AA0EC8"/>
    <w:rsid w:val="00AA1256"/>
    <w:rsid w:val="00AA12EC"/>
    <w:rsid w:val="00AA1CE5"/>
    <w:rsid w:val="00AA1FFE"/>
    <w:rsid w:val="00AA282E"/>
    <w:rsid w:val="00AA47C5"/>
    <w:rsid w:val="00AA4994"/>
    <w:rsid w:val="00AA4A35"/>
    <w:rsid w:val="00AA509C"/>
    <w:rsid w:val="00AA58DD"/>
    <w:rsid w:val="00AA67BF"/>
    <w:rsid w:val="00AA69BA"/>
    <w:rsid w:val="00AA6D2A"/>
    <w:rsid w:val="00AA705F"/>
    <w:rsid w:val="00AA7095"/>
    <w:rsid w:val="00AA7A5E"/>
    <w:rsid w:val="00AB0928"/>
    <w:rsid w:val="00AB0931"/>
    <w:rsid w:val="00AB093B"/>
    <w:rsid w:val="00AB0E24"/>
    <w:rsid w:val="00AB17AB"/>
    <w:rsid w:val="00AB1B7F"/>
    <w:rsid w:val="00AB35CC"/>
    <w:rsid w:val="00AB36A7"/>
    <w:rsid w:val="00AB498F"/>
    <w:rsid w:val="00AB6591"/>
    <w:rsid w:val="00AB66A7"/>
    <w:rsid w:val="00AB6954"/>
    <w:rsid w:val="00AB6F51"/>
    <w:rsid w:val="00AB78DE"/>
    <w:rsid w:val="00AB7F63"/>
    <w:rsid w:val="00AC0D96"/>
    <w:rsid w:val="00AC0FBF"/>
    <w:rsid w:val="00AC1004"/>
    <w:rsid w:val="00AC2CDC"/>
    <w:rsid w:val="00AC2FB2"/>
    <w:rsid w:val="00AC2FBB"/>
    <w:rsid w:val="00AC36F1"/>
    <w:rsid w:val="00AC3BA3"/>
    <w:rsid w:val="00AC425C"/>
    <w:rsid w:val="00AC5C39"/>
    <w:rsid w:val="00AC5F36"/>
    <w:rsid w:val="00AC6678"/>
    <w:rsid w:val="00AC6B24"/>
    <w:rsid w:val="00AC6EE8"/>
    <w:rsid w:val="00AC7141"/>
    <w:rsid w:val="00AC7589"/>
    <w:rsid w:val="00AC75D5"/>
    <w:rsid w:val="00AD0ADA"/>
    <w:rsid w:val="00AD1691"/>
    <w:rsid w:val="00AD1972"/>
    <w:rsid w:val="00AD2216"/>
    <w:rsid w:val="00AD3527"/>
    <w:rsid w:val="00AD356E"/>
    <w:rsid w:val="00AD3948"/>
    <w:rsid w:val="00AD3C18"/>
    <w:rsid w:val="00AD3CC9"/>
    <w:rsid w:val="00AD45EB"/>
    <w:rsid w:val="00AD4F2A"/>
    <w:rsid w:val="00AD514F"/>
    <w:rsid w:val="00AD51FD"/>
    <w:rsid w:val="00AD5538"/>
    <w:rsid w:val="00AD6992"/>
    <w:rsid w:val="00AD7805"/>
    <w:rsid w:val="00AD7C56"/>
    <w:rsid w:val="00AE05FD"/>
    <w:rsid w:val="00AE0A2C"/>
    <w:rsid w:val="00AE1E59"/>
    <w:rsid w:val="00AE1F85"/>
    <w:rsid w:val="00AE20BA"/>
    <w:rsid w:val="00AE212E"/>
    <w:rsid w:val="00AE243D"/>
    <w:rsid w:val="00AE31F3"/>
    <w:rsid w:val="00AE3467"/>
    <w:rsid w:val="00AE431F"/>
    <w:rsid w:val="00AE443F"/>
    <w:rsid w:val="00AE4A7C"/>
    <w:rsid w:val="00AE504A"/>
    <w:rsid w:val="00AE55AA"/>
    <w:rsid w:val="00AE5BE5"/>
    <w:rsid w:val="00AE6092"/>
    <w:rsid w:val="00AE6ADA"/>
    <w:rsid w:val="00AE6B71"/>
    <w:rsid w:val="00AE7800"/>
    <w:rsid w:val="00AF00F4"/>
    <w:rsid w:val="00AF018F"/>
    <w:rsid w:val="00AF01C2"/>
    <w:rsid w:val="00AF0899"/>
    <w:rsid w:val="00AF1187"/>
    <w:rsid w:val="00AF19E4"/>
    <w:rsid w:val="00AF1F81"/>
    <w:rsid w:val="00AF28EB"/>
    <w:rsid w:val="00AF345E"/>
    <w:rsid w:val="00AF3794"/>
    <w:rsid w:val="00AF3F04"/>
    <w:rsid w:val="00AF45A3"/>
    <w:rsid w:val="00AF462A"/>
    <w:rsid w:val="00AF485C"/>
    <w:rsid w:val="00AF4F0F"/>
    <w:rsid w:val="00AF555D"/>
    <w:rsid w:val="00AF5B25"/>
    <w:rsid w:val="00AF5B7D"/>
    <w:rsid w:val="00AF6033"/>
    <w:rsid w:val="00AF67E5"/>
    <w:rsid w:val="00AF75A4"/>
    <w:rsid w:val="00AF78AF"/>
    <w:rsid w:val="00AF79B4"/>
    <w:rsid w:val="00B002C7"/>
    <w:rsid w:val="00B007AE"/>
    <w:rsid w:val="00B00EB8"/>
    <w:rsid w:val="00B01154"/>
    <w:rsid w:val="00B01365"/>
    <w:rsid w:val="00B01925"/>
    <w:rsid w:val="00B025A3"/>
    <w:rsid w:val="00B02603"/>
    <w:rsid w:val="00B02CBA"/>
    <w:rsid w:val="00B02D93"/>
    <w:rsid w:val="00B03022"/>
    <w:rsid w:val="00B03776"/>
    <w:rsid w:val="00B054F8"/>
    <w:rsid w:val="00B05714"/>
    <w:rsid w:val="00B05817"/>
    <w:rsid w:val="00B05848"/>
    <w:rsid w:val="00B05854"/>
    <w:rsid w:val="00B05C8B"/>
    <w:rsid w:val="00B05E5A"/>
    <w:rsid w:val="00B05E9C"/>
    <w:rsid w:val="00B061CB"/>
    <w:rsid w:val="00B069C4"/>
    <w:rsid w:val="00B0762B"/>
    <w:rsid w:val="00B07D23"/>
    <w:rsid w:val="00B07EE1"/>
    <w:rsid w:val="00B10993"/>
    <w:rsid w:val="00B10F72"/>
    <w:rsid w:val="00B115D3"/>
    <w:rsid w:val="00B11C14"/>
    <w:rsid w:val="00B11F97"/>
    <w:rsid w:val="00B125C0"/>
    <w:rsid w:val="00B12932"/>
    <w:rsid w:val="00B12B68"/>
    <w:rsid w:val="00B12C26"/>
    <w:rsid w:val="00B12C4D"/>
    <w:rsid w:val="00B1315D"/>
    <w:rsid w:val="00B132F0"/>
    <w:rsid w:val="00B1394D"/>
    <w:rsid w:val="00B13D3B"/>
    <w:rsid w:val="00B13D41"/>
    <w:rsid w:val="00B13DFF"/>
    <w:rsid w:val="00B14042"/>
    <w:rsid w:val="00B14713"/>
    <w:rsid w:val="00B149E1"/>
    <w:rsid w:val="00B14CEB"/>
    <w:rsid w:val="00B1527B"/>
    <w:rsid w:val="00B15F37"/>
    <w:rsid w:val="00B15FA3"/>
    <w:rsid w:val="00B1674E"/>
    <w:rsid w:val="00B171A2"/>
    <w:rsid w:val="00B173D1"/>
    <w:rsid w:val="00B17D23"/>
    <w:rsid w:val="00B213D3"/>
    <w:rsid w:val="00B213F5"/>
    <w:rsid w:val="00B21723"/>
    <w:rsid w:val="00B21A1C"/>
    <w:rsid w:val="00B234FF"/>
    <w:rsid w:val="00B23523"/>
    <w:rsid w:val="00B237CF"/>
    <w:rsid w:val="00B242CB"/>
    <w:rsid w:val="00B2443C"/>
    <w:rsid w:val="00B2461F"/>
    <w:rsid w:val="00B2480C"/>
    <w:rsid w:val="00B249EF"/>
    <w:rsid w:val="00B24AA6"/>
    <w:rsid w:val="00B253EC"/>
    <w:rsid w:val="00B2572F"/>
    <w:rsid w:val="00B25759"/>
    <w:rsid w:val="00B263C9"/>
    <w:rsid w:val="00B26795"/>
    <w:rsid w:val="00B27013"/>
    <w:rsid w:val="00B278E2"/>
    <w:rsid w:val="00B27F23"/>
    <w:rsid w:val="00B3056E"/>
    <w:rsid w:val="00B30C51"/>
    <w:rsid w:val="00B30F87"/>
    <w:rsid w:val="00B3112D"/>
    <w:rsid w:val="00B33285"/>
    <w:rsid w:val="00B3390D"/>
    <w:rsid w:val="00B3477F"/>
    <w:rsid w:val="00B34B35"/>
    <w:rsid w:val="00B3579C"/>
    <w:rsid w:val="00B35957"/>
    <w:rsid w:val="00B36A66"/>
    <w:rsid w:val="00B36A7F"/>
    <w:rsid w:val="00B36F67"/>
    <w:rsid w:val="00B4060B"/>
    <w:rsid w:val="00B41216"/>
    <w:rsid w:val="00B41815"/>
    <w:rsid w:val="00B41879"/>
    <w:rsid w:val="00B41958"/>
    <w:rsid w:val="00B422CF"/>
    <w:rsid w:val="00B42926"/>
    <w:rsid w:val="00B42C5D"/>
    <w:rsid w:val="00B438A2"/>
    <w:rsid w:val="00B439E2"/>
    <w:rsid w:val="00B43A77"/>
    <w:rsid w:val="00B43DA4"/>
    <w:rsid w:val="00B449D9"/>
    <w:rsid w:val="00B46373"/>
    <w:rsid w:val="00B46E81"/>
    <w:rsid w:val="00B4725B"/>
    <w:rsid w:val="00B47C12"/>
    <w:rsid w:val="00B47D40"/>
    <w:rsid w:val="00B50836"/>
    <w:rsid w:val="00B50A3E"/>
    <w:rsid w:val="00B50A61"/>
    <w:rsid w:val="00B50B91"/>
    <w:rsid w:val="00B50DDB"/>
    <w:rsid w:val="00B51091"/>
    <w:rsid w:val="00B51495"/>
    <w:rsid w:val="00B518C4"/>
    <w:rsid w:val="00B51C43"/>
    <w:rsid w:val="00B52314"/>
    <w:rsid w:val="00B52DCA"/>
    <w:rsid w:val="00B53370"/>
    <w:rsid w:val="00B53EB1"/>
    <w:rsid w:val="00B54E07"/>
    <w:rsid w:val="00B555B1"/>
    <w:rsid w:val="00B56736"/>
    <w:rsid w:val="00B5742A"/>
    <w:rsid w:val="00B57C22"/>
    <w:rsid w:val="00B57E90"/>
    <w:rsid w:val="00B57F24"/>
    <w:rsid w:val="00B60062"/>
    <w:rsid w:val="00B61879"/>
    <w:rsid w:val="00B61D6C"/>
    <w:rsid w:val="00B62296"/>
    <w:rsid w:val="00B62426"/>
    <w:rsid w:val="00B62C7C"/>
    <w:rsid w:val="00B63351"/>
    <w:rsid w:val="00B63470"/>
    <w:rsid w:val="00B63798"/>
    <w:rsid w:val="00B63E3B"/>
    <w:rsid w:val="00B63F15"/>
    <w:rsid w:val="00B64302"/>
    <w:rsid w:val="00B643F7"/>
    <w:rsid w:val="00B64B47"/>
    <w:rsid w:val="00B6547C"/>
    <w:rsid w:val="00B6596F"/>
    <w:rsid w:val="00B66BC8"/>
    <w:rsid w:val="00B67AA0"/>
    <w:rsid w:val="00B70B35"/>
    <w:rsid w:val="00B71044"/>
    <w:rsid w:val="00B712CB"/>
    <w:rsid w:val="00B7198B"/>
    <w:rsid w:val="00B71A75"/>
    <w:rsid w:val="00B7282E"/>
    <w:rsid w:val="00B73457"/>
    <w:rsid w:val="00B74068"/>
    <w:rsid w:val="00B7464D"/>
    <w:rsid w:val="00B75C33"/>
    <w:rsid w:val="00B75C39"/>
    <w:rsid w:val="00B75D59"/>
    <w:rsid w:val="00B766CA"/>
    <w:rsid w:val="00B767DD"/>
    <w:rsid w:val="00B76DC8"/>
    <w:rsid w:val="00B772E5"/>
    <w:rsid w:val="00B77479"/>
    <w:rsid w:val="00B80746"/>
    <w:rsid w:val="00B81AE6"/>
    <w:rsid w:val="00B81D5E"/>
    <w:rsid w:val="00B837FB"/>
    <w:rsid w:val="00B84E40"/>
    <w:rsid w:val="00B85A1F"/>
    <w:rsid w:val="00B85BC0"/>
    <w:rsid w:val="00B85CCB"/>
    <w:rsid w:val="00B85E71"/>
    <w:rsid w:val="00B85F73"/>
    <w:rsid w:val="00B86AAE"/>
    <w:rsid w:val="00B86AF0"/>
    <w:rsid w:val="00B87E51"/>
    <w:rsid w:val="00B87E56"/>
    <w:rsid w:val="00B909BC"/>
    <w:rsid w:val="00B9124A"/>
    <w:rsid w:val="00B91582"/>
    <w:rsid w:val="00B91683"/>
    <w:rsid w:val="00B91829"/>
    <w:rsid w:val="00B91AC6"/>
    <w:rsid w:val="00B91C63"/>
    <w:rsid w:val="00B91D1A"/>
    <w:rsid w:val="00B92826"/>
    <w:rsid w:val="00B93C12"/>
    <w:rsid w:val="00B940D2"/>
    <w:rsid w:val="00B94455"/>
    <w:rsid w:val="00B94F77"/>
    <w:rsid w:val="00B95298"/>
    <w:rsid w:val="00B9544C"/>
    <w:rsid w:val="00B95657"/>
    <w:rsid w:val="00B958D7"/>
    <w:rsid w:val="00B96111"/>
    <w:rsid w:val="00B9619E"/>
    <w:rsid w:val="00B96A33"/>
    <w:rsid w:val="00B97755"/>
    <w:rsid w:val="00B97BAE"/>
    <w:rsid w:val="00BA0A60"/>
    <w:rsid w:val="00BA0BFC"/>
    <w:rsid w:val="00BA0E10"/>
    <w:rsid w:val="00BA13F1"/>
    <w:rsid w:val="00BA240B"/>
    <w:rsid w:val="00BA2694"/>
    <w:rsid w:val="00BA2ACE"/>
    <w:rsid w:val="00BA2C1B"/>
    <w:rsid w:val="00BA33D7"/>
    <w:rsid w:val="00BA39F4"/>
    <w:rsid w:val="00BA3E68"/>
    <w:rsid w:val="00BA3F95"/>
    <w:rsid w:val="00BA3FFF"/>
    <w:rsid w:val="00BA4121"/>
    <w:rsid w:val="00BA4330"/>
    <w:rsid w:val="00BA4503"/>
    <w:rsid w:val="00BA467B"/>
    <w:rsid w:val="00BA46CD"/>
    <w:rsid w:val="00BA5C9C"/>
    <w:rsid w:val="00BA61EC"/>
    <w:rsid w:val="00BA6CA2"/>
    <w:rsid w:val="00BA6EFE"/>
    <w:rsid w:val="00BA729B"/>
    <w:rsid w:val="00BA78C0"/>
    <w:rsid w:val="00BA791F"/>
    <w:rsid w:val="00BB04DC"/>
    <w:rsid w:val="00BB08EA"/>
    <w:rsid w:val="00BB0B4B"/>
    <w:rsid w:val="00BB0CE1"/>
    <w:rsid w:val="00BB0D04"/>
    <w:rsid w:val="00BB1353"/>
    <w:rsid w:val="00BB1458"/>
    <w:rsid w:val="00BB1526"/>
    <w:rsid w:val="00BB1BED"/>
    <w:rsid w:val="00BB1CDD"/>
    <w:rsid w:val="00BB2610"/>
    <w:rsid w:val="00BB3455"/>
    <w:rsid w:val="00BB3DB7"/>
    <w:rsid w:val="00BB4363"/>
    <w:rsid w:val="00BB4884"/>
    <w:rsid w:val="00BB4B8C"/>
    <w:rsid w:val="00BB4C7C"/>
    <w:rsid w:val="00BB4D86"/>
    <w:rsid w:val="00BB5F6C"/>
    <w:rsid w:val="00BB6148"/>
    <w:rsid w:val="00BB6233"/>
    <w:rsid w:val="00BB642E"/>
    <w:rsid w:val="00BB6D16"/>
    <w:rsid w:val="00BC0091"/>
    <w:rsid w:val="00BC0613"/>
    <w:rsid w:val="00BC0CA4"/>
    <w:rsid w:val="00BC1101"/>
    <w:rsid w:val="00BC1557"/>
    <w:rsid w:val="00BC1B92"/>
    <w:rsid w:val="00BC225B"/>
    <w:rsid w:val="00BC2557"/>
    <w:rsid w:val="00BC2763"/>
    <w:rsid w:val="00BC2879"/>
    <w:rsid w:val="00BC2DFA"/>
    <w:rsid w:val="00BC3717"/>
    <w:rsid w:val="00BC3754"/>
    <w:rsid w:val="00BC3FD6"/>
    <w:rsid w:val="00BC410C"/>
    <w:rsid w:val="00BC43DA"/>
    <w:rsid w:val="00BC49DC"/>
    <w:rsid w:val="00BC5218"/>
    <w:rsid w:val="00BC62C7"/>
    <w:rsid w:val="00BC64BE"/>
    <w:rsid w:val="00BC6536"/>
    <w:rsid w:val="00BC6B11"/>
    <w:rsid w:val="00BC71CC"/>
    <w:rsid w:val="00BD0CD1"/>
    <w:rsid w:val="00BD11D6"/>
    <w:rsid w:val="00BD129F"/>
    <w:rsid w:val="00BD171D"/>
    <w:rsid w:val="00BD1C56"/>
    <w:rsid w:val="00BD1E3B"/>
    <w:rsid w:val="00BD4108"/>
    <w:rsid w:val="00BD48F3"/>
    <w:rsid w:val="00BD54AE"/>
    <w:rsid w:val="00BD57F5"/>
    <w:rsid w:val="00BD5C1A"/>
    <w:rsid w:val="00BD62A8"/>
    <w:rsid w:val="00BD62C3"/>
    <w:rsid w:val="00BD6608"/>
    <w:rsid w:val="00BD6C31"/>
    <w:rsid w:val="00BD70D2"/>
    <w:rsid w:val="00BD75E0"/>
    <w:rsid w:val="00BD780D"/>
    <w:rsid w:val="00BD7A1D"/>
    <w:rsid w:val="00BD7C6A"/>
    <w:rsid w:val="00BD7CFC"/>
    <w:rsid w:val="00BE0A68"/>
    <w:rsid w:val="00BE2058"/>
    <w:rsid w:val="00BE28B9"/>
    <w:rsid w:val="00BE35E5"/>
    <w:rsid w:val="00BE39A7"/>
    <w:rsid w:val="00BE4150"/>
    <w:rsid w:val="00BE43C2"/>
    <w:rsid w:val="00BE4760"/>
    <w:rsid w:val="00BE48A4"/>
    <w:rsid w:val="00BE54A7"/>
    <w:rsid w:val="00BE56F0"/>
    <w:rsid w:val="00BE5C3D"/>
    <w:rsid w:val="00BE66C5"/>
    <w:rsid w:val="00BE67FE"/>
    <w:rsid w:val="00BE6CB3"/>
    <w:rsid w:val="00BE7646"/>
    <w:rsid w:val="00BE7DAB"/>
    <w:rsid w:val="00BE7FAC"/>
    <w:rsid w:val="00BF01BC"/>
    <w:rsid w:val="00BF084E"/>
    <w:rsid w:val="00BF0983"/>
    <w:rsid w:val="00BF0E78"/>
    <w:rsid w:val="00BF1095"/>
    <w:rsid w:val="00BF109A"/>
    <w:rsid w:val="00BF1330"/>
    <w:rsid w:val="00BF1844"/>
    <w:rsid w:val="00BF1C8B"/>
    <w:rsid w:val="00BF2309"/>
    <w:rsid w:val="00BF30BA"/>
    <w:rsid w:val="00BF4584"/>
    <w:rsid w:val="00BF459A"/>
    <w:rsid w:val="00BF53F1"/>
    <w:rsid w:val="00BF59BE"/>
    <w:rsid w:val="00BF5BE0"/>
    <w:rsid w:val="00BF62B6"/>
    <w:rsid w:val="00BF6835"/>
    <w:rsid w:val="00BF6EB3"/>
    <w:rsid w:val="00BF70AA"/>
    <w:rsid w:val="00BF7AD7"/>
    <w:rsid w:val="00BF7F1B"/>
    <w:rsid w:val="00C00EA0"/>
    <w:rsid w:val="00C01013"/>
    <w:rsid w:val="00C0124D"/>
    <w:rsid w:val="00C01667"/>
    <w:rsid w:val="00C0176A"/>
    <w:rsid w:val="00C01B51"/>
    <w:rsid w:val="00C02048"/>
    <w:rsid w:val="00C02731"/>
    <w:rsid w:val="00C03495"/>
    <w:rsid w:val="00C035CB"/>
    <w:rsid w:val="00C041E1"/>
    <w:rsid w:val="00C049E2"/>
    <w:rsid w:val="00C04DBF"/>
    <w:rsid w:val="00C04E14"/>
    <w:rsid w:val="00C05136"/>
    <w:rsid w:val="00C05D25"/>
    <w:rsid w:val="00C06485"/>
    <w:rsid w:val="00C0656D"/>
    <w:rsid w:val="00C07181"/>
    <w:rsid w:val="00C07580"/>
    <w:rsid w:val="00C101B2"/>
    <w:rsid w:val="00C107B1"/>
    <w:rsid w:val="00C116DB"/>
    <w:rsid w:val="00C11883"/>
    <w:rsid w:val="00C11E55"/>
    <w:rsid w:val="00C122AF"/>
    <w:rsid w:val="00C1262C"/>
    <w:rsid w:val="00C12A9E"/>
    <w:rsid w:val="00C12D35"/>
    <w:rsid w:val="00C13B07"/>
    <w:rsid w:val="00C14476"/>
    <w:rsid w:val="00C14712"/>
    <w:rsid w:val="00C14BA4"/>
    <w:rsid w:val="00C14C50"/>
    <w:rsid w:val="00C14C71"/>
    <w:rsid w:val="00C14EF0"/>
    <w:rsid w:val="00C15069"/>
    <w:rsid w:val="00C15189"/>
    <w:rsid w:val="00C152E6"/>
    <w:rsid w:val="00C15384"/>
    <w:rsid w:val="00C1556E"/>
    <w:rsid w:val="00C15CA9"/>
    <w:rsid w:val="00C160C4"/>
    <w:rsid w:val="00C16EA7"/>
    <w:rsid w:val="00C1753B"/>
    <w:rsid w:val="00C175E9"/>
    <w:rsid w:val="00C17CBC"/>
    <w:rsid w:val="00C203F4"/>
    <w:rsid w:val="00C207EA"/>
    <w:rsid w:val="00C20944"/>
    <w:rsid w:val="00C21291"/>
    <w:rsid w:val="00C212B1"/>
    <w:rsid w:val="00C21BD8"/>
    <w:rsid w:val="00C21CAC"/>
    <w:rsid w:val="00C2340D"/>
    <w:rsid w:val="00C23B53"/>
    <w:rsid w:val="00C243DF"/>
    <w:rsid w:val="00C246DF"/>
    <w:rsid w:val="00C25453"/>
    <w:rsid w:val="00C25972"/>
    <w:rsid w:val="00C263AD"/>
    <w:rsid w:val="00C27139"/>
    <w:rsid w:val="00C274E3"/>
    <w:rsid w:val="00C279E3"/>
    <w:rsid w:val="00C27B9C"/>
    <w:rsid w:val="00C27BD1"/>
    <w:rsid w:val="00C30C21"/>
    <w:rsid w:val="00C31A9D"/>
    <w:rsid w:val="00C323B2"/>
    <w:rsid w:val="00C32869"/>
    <w:rsid w:val="00C328A1"/>
    <w:rsid w:val="00C3336C"/>
    <w:rsid w:val="00C33546"/>
    <w:rsid w:val="00C33B55"/>
    <w:rsid w:val="00C33D7D"/>
    <w:rsid w:val="00C343D4"/>
    <w:rsid w:val="00C34626"/>
    <w:rsid w:val="00C346E9"/>
    <w:rsid w:val="00C34987"/>
    <w:rsid w:val="00C34DCA"/>
    <w:rsid w:val="00C3615E"/>
    <w:rsid w:val="00C362F3"/>
    <w:rsid w:val="00C36771"/>
    <w:rsid w:val="00C367EA"/>
    <w:rsid w:val="00C36EBF"/>
    <w:rsid w:val="00C37493"/>
    <w:rsid w:val="00C37556"/>
    <w:rsid w:val="00C3757D"/>
    <w:rsid w:val="00C37951"/>
    <w:rsid w:val="00C37E89"/>
    <w:rsid w:val="00C404B6"/>
    <w:rsid w:val="00C40B0F"/>
    <w:rsid w:val="00C41100"/>
    <w:rsid w:val="00C41AA9"/>
    <w:rsid w:val="00C41F2D"/>
    <w:rsid w:val="00C421D1"/>
    <w:rsid w:val="00C4234B"/>
    <w:rsid w:val="00C42747"/>
    <w:rsid w:val="00C42947"/>
    <w:rsid w:val="00C42DC1"/>
    <w:rsid w:val="00C443BF"/>
    <w:rsid w:val="00C44F7F"/>
    <w:rsid w:val="00C45263"/>
    <w:rsid w:val="00C452D1"/>
    <w:rsid w:val="00C4635F"/>
    <w:rsid w:val="00C471FC"/>
    <w:rsid w:val="00C47270"/>
    <w:rsid w:val="00C47386"/>
    <w:rsid w:val="00C47620"/>
    <w:rsid w:val="00C47F7E"/>
    <w:rsid w:val="00C50491"/>
    <w:rsid w:val="00C504F2"/>
    <w:rsid w:val="00C51823"/>
    <w:rsid w:val="00C518E1"/>
    <w:rsid w:val="00C51C28"/>
    <w:rsid w:val="00C51C57"/>
    <w:rsid w:val="00C532DF"/>
    <w:rsid w:val="00C5376A"/>
    <w:rsid w:val="00C5381A"/>
    <w:rsid w:val="00C53F01"/>
    <w:rsid w:val="00C5414B"/>
    <w:rsid w:val="00C54E7F"/>
    <w:rsid w:val="00C555E6"/>
    <w:rsid w:val="00C55E3A"/>
    <w:rsid w:val="00C55ECF"/>
    <w:rsid w:val="00C55F15"/>
    <w:rsid w:val="00C560C4"/>
    <w:rsid w:val="00C56176"/>
    <w:rsid w:val="00C564F6"/>
    <w:rsid w:val="00C56EEA"/>
    <w:rsid w:val="00C57002"/>
    <w:rsid w:val="00C5795E"/>
    <w:rsid w:val="00C57C76"/>
    <w:rsid w:val="00C604A0"/>
    <w:rsid w:val="00C61D53"/>
    <w:rsid w:val="00C6288E"/>
    <w:rsid w:val="00C62FC5"/>
    <w:rsid w:val="00C6314C"/>
    <w:rsid w:val="00C631A5"/>
    <w:rsid w:val="00C64043"/>
    <w:rsid w:val="00C640B5"/>
    <w:rsid w:val="00C643DB"/>
    <w:rsid w:val="00C64423"/>
    <w:rsid w:val="00C64AAE"/>
    <w:rsid w:val="00C655FF"/>
    <w:rsid w:val="00C65840"/>
    <w:rsid w:val="00C6586D"/>
    <w:rsid w:val="00C659DB"/>
    <w:rsid w:val="00C65EC9"/>
    <w:rsid w:val="00C66B61"/>
    <w:rsid w:val="00C67770"/>
    <w:rsid w:val="00C67BCD"/>
    <w:rsid w:val="00C7026D"/>
    <w:rsid w:val="00C70272"/>
    <w:rsid w:val="00C70383"/>
    <w:rsid w:val="00C70687"/>
    <w:rsid w:val="00C70947"/>
    <w:rsid w:val="00C715C4"/>
    <w:rsid w:val="00C71881"/>
    <w:rsid w:val="00C7277A"/>
    <w:rsid w:val="00C7362A"/>
    <w:rsid w:val="00C7372B"/>
    <w:rsid w:val="00C73B7C"/>
    <w:rsid w:val="00C73F39"/>
    <w:rsid w:val="00C742F5"/>
    <w:rsid w:val="00C74476"/>
    <w:rsid w:val="00C75729"/>
    <w:rsid w:val="00C7587A"/>
    <w:rsid w:val="00C76619"/>
    <w:rsid w:val="00C767F5"/>
    <w:rsid w:val="00C76B32"/>
    <w:rsid w:val="00C77030"/>
    <w:rsid w:val="00C77D14"/>
    <w:rsid w:val="00C800AB"/>
    <w:rsid w:val="00C8010C"/>
    <w:rsid w:val="00C809F0"/>
    <w:rsid w:val="00C81788"/>
    <w:rsid w:val="00C820E1"/>
    <w:rsid w:val="00C82858"/>
    <w:rsid w:val="00C8309A"/>
    <w:rsid w:val="00C83130"/>
    <w:rsid w:val="00C83E9E"/>
    <w:rsid w:val="00C840A5"/>
    <w:rsid w:val="00C8413B"/>
    <w:rsid w:val="00C843C8"/>
    <w:rsid w:val="00C8441C"/>
    <w:rsid w:val="00C84AA2"/>
    <w:rsid w:val="00C84EF9"/>
    <w:rsid w:val="00C85196"/>
    <w:rsid w:val="00C87158"/>
    <w:rsid w:val="00C9094C"/>
    <w:rsid w:val="00C909F3"/>
    <w:rsid w:val="00C91534"/>
    <w:rsid w:val="00C91A22"/>
    <w:rsid w:val="00C91E82"/>
    <w:rsid w:val="00C926CA"/>
    <w:rsid w:val="00C92D3D"/>
    <w:rsid w:val="00C93467"/>
    <w:rsid w:val="00C9374E"/>
    <w:rsid w:val="00C939C9"/>
    <w:rsid w:val="00C93C82"/>
    <w:rsid w:val="00C93FF2"/>
    <w:rsid w:val="00C941CB"/>
    <w:rsid w:val="00C94826"/>
    <w:rsid w:val="00C94A9E"/>
    <w:rsid w:val="00C95253"/>
    <w:rsid w:val="00C96048"/>
    <w:rsid w:val="00C96957"/>
    <w:rsid w:val="00C96B1D"/>
    <w:rsid w:val="00C97553"/>
    <w:rsid w:val="00C978C8"/>
    <w:rsid w:val="00C97A23"/>
    <w:rsid w:val="00CA00A7"/>
    <w:rsid w:val="00CA0908"/>
    <w:rsid w:val="00CA11C1"/>
    <w:rsid w:val="00CA183E"/>
    <w:rsid w:val="00CA1A99"/>
    <w:rsid w:val="00CA1B6E"/>
    <w:rsid w:val="00CA1BE6"/>
    <w:rsid w:val="00CA2023"/>
    <w:rsid w:val="00CA2460"/>
    <w:rsid w:val="00CA3AC1"/>
    <w:rsid w:val="00CA538C"/>
    <w:rsid w:val="00CA5E77"/>
    <w:rsid w:val="00CA5F1D"/>
    <w:rsid w:val="00CA6045"/>
    <w:rsid w:val="00CA6054"/>
    <w:rsid w:val="00CA643A"/>
    <w:rsid w:val="00CA6A3B"/>
    <w:rsid w:val="00CA6D51"/>
    <w:rsid w:val="00CA796B"/>
    <w:rsid w:val="00CB0106"/>
    <w:rsid w:val="00CB0143"/>
    <w:rsid w:val="00CB1759"/>
    <w:rsid w:val="00CB1983"/>
    <w:rsid w:val="00CB242F"/>
    <w:rsid w:val="00CB4A0A"/>
    <w:rsid w:val="00CB4BA7"/>
    <w:rsid w:val="00CB517F"/>
    <w:rsid w:val="00CB691D"/>
    <w:rsid w:val="00CB6A4E"/>
    <w:rsid w:val="00CB6F52"/>
    <w:rsid w:val="00CB76C3"/>
    <w:rsid w:val="00CB79C7"/>
    <w:rsid w:val="00CC042A"/>
    <w:rsid w:val="00CC04ED"/>
    <w:rsid w:val="00CC2577"/>
    <w:rsid w:val="00CC2DF5"/>
    <w:rsid w:val="00CC34D7"/>
    <w:rsid w:val="00CC3570"/>
    <w:rsid w:val="00CC386A"/>
    <w:rsid w:val="00CC3B1D"/>
    <w:rsid w:val="00CC40B0"/>
    <w:rsid w:val="00CC41E3"/>
    <w:rsid w:val="00CC4AC3"/>
    <w:rsid w:val="00CC5E14"/>
    <w:rsid w:val="00CC6110"/>
    <w:rsid w:val="00CC6171"/>
    <w:rsid w:val="00CC6C7A"/>
    <w:rsid w:val="00CC7BA5"/>
    <w:rsid w:val="00CC7C56"/>
    <w:rsid w:val="00CC7F01"/>
    <w:rsid w:val="00CD016F"/>
    <w:rsid w:val="00CD0CE2"/>
    <w:rsid w:val="00CD17A0"/>
    <w:rsid w:val="00CD1AF0"/>
    <w:rsid w:val="00CD2896"/>
    <w:rsid w:val="00CD2974"/>
    <w:rsid w:val="00CD2F42"/>
    <w:rsid w:val="00CD3343"/>
    <w:rsid w:val="00CD36F1"/>
    <w:rsid w:val="00CD3A83"/>
    <w:rsid w:val="00CD3C73"/>
    <w:rsid w:val="00CD46E0"/>
    <w:rsid w:val="00CD4C1B"/>
    <w:rsid w:val="00CD4FAD"/>
    <w:rsid w:val="00CD522F"/>
    <w:rsid w:val="00CD5640"/>
    <w:rsid w:val="00CD569D"/>
    <w:rsid w:val="00CD5860"/>
    <w:rsid w:val="00CD5C5D"/>
    <w:rsid w:val="00CD5F24"/>
    <w:rsid w:val="00CD6502"/>
    <w:rsid w:val="00CD67F8"/>
    <w:rsid w:val="00CD6BB0"/>
    <w:rsid w:val="00CD72D4"/>
    <w:rsid w:val="00CD75C0"/>
    <w:rsid w:val="00CD7673"/>
    <w:rsid w:val="00CD7C74"/>
    <w:rsid w:val="00CE0248"/>
    <w:rsid w:val="00CE038C"/>
    <w:rsid w:val="00CE04BB"/>
    <w:rsid w:val="00CE1534"/>
    <w:rsid w:val="00CE1BDD"/>
    <w:rsid w:val="00CE32D5"/>
    <w:rsid w:val="00CE4887"/>
    <w:rsid w:val="00CE4FEB"/>
    <w:rsid w:val="00CE5441"/>
    <w:rsid w:val="00CE5AC9"/>
    <w:rsid w:val="00CE60F2"/>
    <w:rsid w:val="00CE66B4"/>
    <w:rsid w:val="00CE67BC"/>
    <w:rsid w:val="00CE777A"/>
    <w:rsid w:val="00CE7CFD"/>
    <w:rsid w:val="00CE7FA8"/>
    <w:rsid w:val="00CF1471"/>
    <w:rsid w:val="00CF16C2"/>
    <w:rsid w:val="00CF1881"/>
    <w:rsid w:val="00CF230A"/>
    <w:rsid w:val="00CF2753"/>
    <w:rsid w:val="00CF2FB6"/>
    <w:rsid w:val="00CF363F"/>
    <w:rsid w:val="00CF377C"/>
    <w:rsid w:val="00CF3DCC"/>
    <w:rsid w:val="00CF3F37"/>
    <w:rsid w:val="00CF7CE3"/>
    <w:rsid w:val="00D00C25"/>
    <w:rsid w:val="00D011F9"/>
    <w:rsid w:val="00D02227"/>
    <w:rsid w:val="00D030CA"/>
    <w:rsid w:val="00D03430"/>
    <w:rsid w:val="00D03799"/>
    <w:rsid w:val="00D03B59"/>
    <w:rsid w:val="00D03E3B"/>
    <w:rsid w:val="00D04412"/>
    <w:rsid w:val="00D049A0"/>
    <w:rsid w:val="00D04B4D"/>
    <w:rsid w:val="00D04E61"/>
    <w:rsid w:val="00D058DF"/>
    <w:rsid w:val="00D05A39"/>
    <w:rsid w:val="00D06B8A"/>
    <w:rsid w:val="00D06B92"/>
    <w:rsid w:val="00D07C6B"/>
    <w:rsid w:val="00D07C94"/>
    <w:rsid w:val="00D10635"/>
    <w:rsid w:val="00D113DF"/>
    <w:rsid w:val="00D12182"/>
    <w:rsid w:val="00D12A73"/>
    <w:rsid w:val="00D12D65"/>
    <w:rsid w:val="00D12F26"/>
    <w:rsid w:val="00D12FE2"/>
    <w:rsid w:val="00D1461D"/>
    <w:rsid w:val="00D15401"/>
    <w:rsid w:val="00D1580C"/>
    <w:rsid w:val="00D15967"/>
    <w:rsid w:val="00D15968"/>
    <w:rsid w:val="00D1645C"/>
    <w:rsid w:val="00D165DD"/>
    <w:rsid w:val="00D16CAF"/>
    <w:rsid w:val="00D170E8"/>
    <w:rsid w:val="00D171E5"/>
    <w:rsid w:val="00D17D01"/>
    <w:rsid w:val="00D200A6"/>
    <w:rsid w:val="00D2053C"/>
    <w:rsid w:val="00D20652"/>
    <w:rsid w:val="00D20B48"/>
    <w:rsid w:val="00D20E35"/>
    <w:rsid w:val="00D21119"/>
    <w:rsid w:val="00D212C3"/>
    <w:rsid w:val="00D2256D"/>
    <w:rsid w:val="00D22D54"/>
    <w:rsid w:val="00D22EDA"/>
    <w:rsid w:val="00D2338B"/>
    <w:rsid w:val="00D235F9"/>
    <w:rsid w:val="00D23682"/>
    <w:rsid w:val="00D250DE"/>
    <w:rsid w:val="00D25951"/>
    <w:rsid w:val="00D262B2"/>
    <w:rsid w:val="00D269AF"/>
    <w:rsid w:val="00D30A98"/>
    <w:rsid w:val="00D31B04"/>
    <w:rsid w:val="00D31B38"/>
    <w:rsid w:val="00D32037"/>
    <w:rsid w:val="00D3278B"/>
    <w:rsid w:val="00D32A64"/>
    <w:rsid w:val="00D33A32"/>
    <w:rsid w:val="00D33B4D"/>
    <w:rsid w:val="00D33B51"/>
    <w:rsid w:val="00D34808"/>
    <w:rsid w:val="00D34ACA"/>
    <w:rsid w:val="00D34BEC"/>
    <w:rsid w:val="00D34D66"/>
    <w:rsid w:val="00D35405"/>
    <w:rsid w:val="00D35632"/>
    <w:rsid w:val="00D36925"/>
    <w:rsid w:val="00D3735C"/>
    <w:rsid w:val="00D373B1"/>
    <w:rsid w:val="00D375C1"/>
    <w:rsid w:val="00D40675"/>
    <w:rsid w:val="00D426AD"/>
    <w:rsid w:val="00D428B0"/>
    <w:rsid w:val="00D42B68"/>
    <w:rsid w:val="00D42D9F"/>
    <w:rsid w:val="00D43BC2"/>
    <w:rsid w:val="00D4526D"/>
    <w:rsid w:val="00D458AB"/>
    <w:rsid w:val="00D46A65"/>
    <w:rsid w:val="00D46AC4"/>
    <w:rsid w:val="00D4767E"/>
    <w:rsid w:val="00D47B9A"/>
    <w:rsid w:val="00D500C1"/>
    <w:rsid w:val="00D50179"/>
    <w:rsid w:val="00D509F0"/>
    <w:rsid w:val="00D50B54"/>
    <w:rsid w:val="00D512A8"/>
    <w:rsid w:val="00D51616"/>
    <w:rsid w:val="00D51C6F"/>
    <w:rsid w:val="00D525B8"/>
    <w:rsid w:val="00D52981"/>
    <w:rsid w:val="00D531D5"/>
    <w:rsid w:val="00D53CAA"/>
    <w:rsid w:val="00D5407E"/>
    <w:rsid w:val="00D548AC"/>
    <w:rsid w:val="00D54BD7"/>
    <w:rsid w:val="00D54D85"/>
    <w:rsid w:val="00D54E2D"/>
    <w:rsid w:val="00D551BE"/>
    <w:rsid w:val="00D55354"/>
    <w:rsid w:val="00D55A8A"/>
    <w:rsid w:val="00D55B53"/>
    <w:rsid w:val="00D5653D"/>
    <w:rsid w:val="00D56765"/>
    <w:rsid w:val="00D56AFC"/>
    <w:rsid w:val="00D60A23"/>
    <w:rsid w:val="00D612DC"/>
    <w:rsid w:val="00D616B4"/>
    <w:rsid w:val="00D623CF"/>
    <w:rsid w:val="00D630E8"/>
    <w:rsid w:val="00D633AC"/>
    <w:rsid w:val="00D63706"/>
    <w:rsid w:val="00D63A3C"/>
    <w:rsid w:val="00D64879"/>
    <w:rsid w:val="00D64F24"/>
    <w:rsid w:val="00D6533D"/>
    <w:rsid w:val="00D65BA1"/>
    <w:rsid w:val="00D65D48"/>
    <w:rsid w:val="00D70054"/>
    <w:rsid w:val="00D702AF"/>
    <w:rsid w:val="00D704E2"/>
    <w:rsid w:val="00D70B3F"/>
    <w:rsid w:val="00D70CF4"/>
    <w:rsid w:val="00D7113E"/>
    <w:rsid w:val="00D71592"/>
    <w:rsid w:val="00D715C0"/>
    <w:rsid w:val="00D71BDF"/>
    <w:rsid w:val="00D73008"/>
    <w:rsid w:val="00D733C3"/>
    <w:rsid w:val="00D73A8D"/>
    <w:rsid w:val="00D73FAD"/>
    <w:rsid w:val="00D744BE"/>
    <w:rsid w:val="00D745BA"/>
    <w:rsid w:val="00D74C1C"/>
    <w:rsid w:val="00D74D1A"/>
    <w:rsid w:val="00D75D7C"/>
    <w:rsid w:val="00D7637D"/>
    <w:rsid w:val="00D7639F"/>
    <w:rsid w:val="00D76A1C"/>
    <w:rsid w:val="00D76E55"/>
    <w:rsid w:val="00D76F60"/>
    <w:rsid w:val="00D7795A"/>
    <w:rsid w:val="00D77A33"/>
    <w:rsid w:val="00D8082E"/>
    <w:rsid w:val="00D80843"/>
    <w:rsid w:val="00D81235"/>
    <w:rsid w:val="00D8174C"/>
    <w:rsid w:val="00D81DBA"/>
    <w:rsid w:val="00D81EE7"/>
    <w:rsid w:val="00D8255E"/>
    <w:rsid w:val="00D82761"/>
    <w:rsid w:val="00D83264"/>
    <w:rsid w:val="00D83A50"/>
    <w:rsid w:val="00D84AD2"/>
    <w:rsid w:val="00D84B7E"/>
    <w:rsid w:val="00D860FC"/>
    <w:rsid w:val="00D8652D"/>
    <w:rsid w:val="00D8711E"/>
    <w:rsid w:val="00D872A5"/>
    <w:rsid w:val="00D873FF"/>
    <w:rsid w:val="00D87463"/>
    <w:rsid w:val="00D87B08"/>
    <w:rsid w:val="00D87BB8"/>
    <w:rsid w:val="00D9068E"/>
    <w:rsid w:val="00D90D6D"/>
    <w:rsid w:val="00D90E03"/>
    <w:rsid w:val="00D9121C"/>
    <w:rsid w:val="00D92556"/>
    <w:rsid w:val="00D929EB"/>
    <w:rsid w:val="00D92B8C"/>
    <w:rsid w:val="00D92C98"/>
    <w:rsid w:val="00D938E2"/>
    <w:rsid w:val="00D93D87"/>
    <w:rsid w:val="00D93EFC"/>
    <w:rsid w:val="00D93F6B"/>
    <w:rsid w:val="00D94083"/>
    <w:rsid w:val="00D944CA"/>
    <w:rsid w:val="00D94E25"/>
    <w:rsid w:val="00D955DE"/>
    <w:rsid w:val="00D9675F"/>
    <w:rsid w:val="00D971BD"/>
    <w:rsid w:val="00D971C8"/>
    <w:rsid w:val="00D97AC2"/>
    <w:rsid w:val="00DA0329"/>
    <w:rsid w:val="00DA06DC"/>
    <w:rsid w:val="00DA09C8"/>
    <w:rsid w:val="00DA0E90"/>
    <w:rsid w:val="00DA128B"/>
    <w:rsid w:val="00DA1558"/>
    <w:rsid w:val="00DA18A2"/>
    <w:rsid w:val="00DA1C9C"/>
    <w:rsid w:val="00DA1FDE"/>
    <w:rsid w:val="00DA289D"/>
    <w:rsid w:val="00DA395B"/>
    <w:rsid w:val="00DA39CA"/>
    <w:rsid w:val="00DA3DA5"/>
    <w:rsid w:val="00DA426E"/>
    <w:rsid w:val="00DA556C"/>
    <w:rsid w:val="00DA5715"/>
    <w:rsid w:val="00DA574E"/>
    <w:rsid w:val="00DA5C43"/>
    <w:rsid w:val="00DA5C7D"/>
    <w:rsid w:val="00DA61E0"/>
    <w:rsid w:val="00DA6533"/>
    <w:rsid w:val="00DA65FE"/>
    <w:rsid w:val="00DA67E3"/>
    <w:rsid w:val="00DA73FE"/>
    <w:rsid w:val="00DB028E"/>
    <w:rsid w:val="00DB04E3"/>
    <w:rsid w:val="00DB054C"/>
    <w:rsid w:val="00DB08A5"/>
    <w:rsid w:val="00DB09B6"/>
    <w:rsid w:val="00DB107C"/>
    <w:rsid w:val="00DB23F9"/>
    <w:rsid w:val="00DB2544"/>
    <w:rsid w:val="00DB2CAE"/>
    <w:rsid w:val="00DB3AB9"/>
    <w:rsid w:val="00DB4864"/>
    <w:rsid w:val="00DB4FE1"/>
    <w:rsid w:val="00DB5B55"/>
    <w:rsid w:val="00DB5D14"/>
    <w:rsid w:val="00DB64E1"/>
    <w:rsid w:val="00DB6719"/>
    <w:rsid w:val="00DB74C6"/>
    <w:rsid w:val="00DB774B"/>
    <w:rsid w:val="00DB79C4"/>
    <w:rsid w:val="00DC00A9"/>
    <w:rsid w:val="00DC1141"/>
    <w:rsid w:val="00DC1E68"/>
    <w:rsid w:val="00DC206C"/>
    <w:rsid w:val="00DC2261"/>
    <w:rsid w:val="00DC2E72"/>
    <w:rsid w:val="00DC332A"/>
    <w:rsid w:val="00DC336E"/>
    <w:rsid w:val="00DC3712"/>
    <w:rsid w:val="00DC379A"/>
    <w:rsid w:val="00DC39AC"/>
    <w:rsid w:val="00DC3FD9"/>
    <w:rsid w:val="00DC45A0"/>
    <w:rsid w:val="00DC474D"/>
    <w:rsid w:val="00DC4AB1"/>
    <w:rsid w:val="00DC4DB5"/>
    <w:rsid w:val="00DC505D"/>
    <w:rsid w:val="00DC5DDC"/>
    <w:rsid w:val="00DC6048"/>
    <w:rsid w:val="00DC64E0"/>
    <w:rsid w:val="00DC7739"/>
    <w:rsid w:val="00DC7C36"/>
    <w:rsid w:val="00DC7DCE"/>
    <w:rsid w:val="00DD0BA0"/>
    <w:rsid w:val="00DD1854"/>
    <w:rsid w:val="00DD1ABD"/>
    <w:rsid w:val="00DD1CAB"/>
    <w:rsid w:val="00DD225E"/>
    <w:rsid w:val="00DD25EE"/>
    <w:rsid w:val="00DD36F1"/>
    <w:rsid w:val="00DD3E9A"/>
    <w:rsid w:val="00DD40D4"/>
    <w:rsid w:val="00DD5392"/>
    <w:rsid w:val="00DD5634"/>
    <w:rsid w:val="00DD5803"/>
    <w:rsid w:val="00DD612E"/>
    <w:rsid w:val="00DD63BE"/>
    <w:rsid w:val="00DD6A02"/>
    <w:rsid w:val="00DD70C6"/>
    <w:rsid w:val="00DD7C07"/>
    <w:rsid w:val="00DD7E96"/>
    <w:rsid w:val="00DD7FC1"/>
    <w:rsid w:val="00DE01AC"/>
    <w:rsid w:val="00DE02B3"/>
    <w:rsid w:val="00DE0ECD"/>
    <w:rsid w:val="00DE1330"/>
    <w:rsid w:val="00DE13DB"/>
    <w:rsid w:val="00DE1E43"/>
    <w:rsid w:val="00DE2112"/>
    <w:rsid w:val="00DE2C72"/>
    <w:rsid w:val="00DE2DB3"/>
    <w:rsid w:val="00DE3AE1"/>
    <w:rsid w:val="00DE42D9"/>
    <w:rsid w:val="00DE4690"/>
    <w:rsid w:val="00DE4E17"/>
    <w:rsid w:val="00DE4E2E"/>
    <w:rsid w:val="00DE52D0"/>
    <w:rsid w:val="00DE5C64"/>
    <w:rsid w:val="00DE604D"/>
    <w:rsid w:val="00DE63CA"/>
    <w:rsid w:val="00DE715D"/>
    <w:rsid w:val="00DE72E3"/>
    <w:rsid w:val="00DE7E86"/>
    <w:rsid w:val="00DF02DE"/>
    <w:rsid w:val="00DF0498"/>
    <w:rsid w:val="00DF1144"/>
    <w:rsid w:val="00DF1E95"/>
    <w:rsid w:val="00DF2685"/>
    <w:rsid w:val="00DF2F8D"/>
    <w:rsid w:val="00DF3133"/>
    <w:rsid w:val="00DF3B17"/>
    <w:rsid w:val="00DF3DA5"/>
    <w:rsid w:val="00DF48DB"/>
    <w:rsid w:val="00DF510B"/>
    <w:rsid w:val="00DF60ED"/>
    <w:rsid w:val="00DF62A7"/>
    <w:rsid w:val="00DF638D"/>
    <w:rsid w:val="00DF6653"/>
    <w:rsid w:val="00DF75B8"/>
    <w:rsid w:val="00DF77A9"/>
    <w:rsid w:val="00DF7B20"/>
    <w:rsid w:val="00DF7F25"/>
    <w:rsid w:val="00E00E49"/>
    <w:rsid w:val="00E010C4"/>
    <w:rsid w:val="00E016DE"/>
    <w:rsid w:val="00E023DA"/>
    <w:rsid w:val="00E02D5C"/>
    <w:rsid w:val="00E03586"/>
    <w:rsid w:val="00E03D14"/>
    <w:rsid w:val="00E03E25"/>
    <w:rsid w:val="00E0559D"/>
    <w:rsid w:val="00E059C8"/>
    <w:rsid w:val="00E05FA4"/>
    <w:rsid w:val="00E0683F"/>
    <w:rsid w:val="00E07C8B"/>
    <w:rsid w:val="00E07F95"/>
    <w:rsid w:val="00E07FB4"/>
    <w:rsid w:val="00E10798"/>
    <w:rsid w:val="00E10988"/>
    <w:rsid w:val="00E10DF8"/>
    <w:rsid w:val="00E11A96"/>
    <w:rsid w:val="00E11B1C"/>
    <w:rsid w:val="00E11BC0"/>
    <w:rsid w:val="00E11C9B"/>
    <w:rsid w:val="00E12425"/>
    <w:rsid w:val="00E126E5"/>
    <w:rsid w:val="00E12A97"/>
    <w:rsid w:val="00E12CFD"/>
    <w:rsid w:val="00E13383"/>
    <w:rsid w:val="00E134EF"/>
    <w:rsid w:val="00E13540"/>
    <w:rsid w:val="00E13609"/>
    <w:rsid w:val="00E14BCF"/>
    <w:rsid w:val="00E150BF"/>
    <w:rsid w:val="00E15E06"/>
    <w:rsid w:val="00E15EF7"/>
    <w:rsid w:val="00E16012"/>
    <w:rsid w:val="00E16264"/>
    <w:rsid w:val="00E16470"/>
    <w:rsid w:val="00E16512"/>
    <w:rsid w:val="00E1722E"/>
    <w:rsid w:val="00E175A7"/>
    <w:rsid w:val="00E200B7"/>
    <w:rsid w:val="00E204F7"/>
    <w:rsid w:val="00E207A1"/>
    <w:rsid w:val="00E21F3F"/>
    <w:rsid w:val="00E22297"/>
    <w:rsid w:val="00E224F4"/>
    <w:rsid w:val="00E22994"/>
    <w:rsid w:val="00E23245"/>
    <w:rsid w:val="00E23D33"/>
    <w:rsid w:val="00E23FE9"/>
    <w:rsid w:val="00E24121"/>
    <w:rsid w:val="00E245CF"/>
    <w:rsid w:val="00E252A5"/>
    <w:rsid w:val="00E2591C"/>
    <w:rsid w:val="00E259A7"/>
    <w:rsid w:val="00E25A72"/>
    <w:rsid w:val="00E25D0B"/>
    <w:rsid w:val="00E25E35"/>
    <w:rsid w:val="00E263AE"/>
    <w:rsid w:val="00E266B2"/>
    <w:rsid w:val="00E26940"/>
    <w:rsid w:val="00E2753F"/>
    <w:rsid w:val="00E279C4"/>
    <w:rsid w:val="00E30668"/>
    <w:rsid w:val="00E30AC8"/>
    <w:rsid w:val="00E3106B"/>
    <w:rsid w:val="00E310A7"/>
    <w:rsid w:val="00E31101"/>
    <w:rsid w:val="00E31197"/>
    <w:rsid w:val="00E322F8"/>
    <w:rsid w:val="00E32805"/>
    <w:rsid w:val="00E33053"/>
    <w:rsid w:val="00E33A28"/>
    <w:rsid w:val="00E34E2A"/>
    <w:rsid w:val="00E34F11"/>
    <w:rsid w:val="00E360F7"/>
    <w:rsid w:val="00E367AD"/>
    <w:rsid w:val="00E372F3"/>
    <w:rsid w:val="00E374D2"/>
    <w:rsid w:val="00E37614"/>
    <w:rsid w:val="00E405B7"/>
    <w:rsid w:val="00E41492"/>
    <w:rsid w:val="00E41DB9"/>
    <w:rsid w:val="00E41F70"/>
    <w:rsid w:val="00E42495"/>
    <w:rsid w:val="00E4257C"/>
    <w:rsid w:val="00E425D5"/>
    <w:rsid w:val="00E42D93"/>
    <w:rsid w:val="00E433D4"/>
    <w:rsid w:val="00E43640"/>
    <w:rsid w:val="00E4370F"/>
    <w:rsid w:val="00E43805"/>
    <w:rsid w:val="00E43EAE"/>
    <w:rsid w:val="00E44FED"/>
    <w:rsid w:val="00E45264"/>
    <w:rsid w:val="00E453E2"/>
    <w:rsid w:val="00E45415"/>
    <w:rsid w:val="00E45811"/>
    <w:rsid w:val="00E45BE5"/>
    <w:rsid w:val="00E463AF"/>
    <w:rsid w:val="00E46595"/>
    <w:rsid w:val="00E475B2"/>
    <w:rsid w:val="00E47CF5"/>
    <w:rsid w:val="00E47D8F"/>
    <w:rsid w:val="00E506E5"/>
    <w:rsid w:val="00E506F5"/>
    <w:rsid w:val="00E50893"/>
    <w:rsid w:val="00E51639"/>
    <w:rsid w:val="00E52B51"/>
    <w:rsid w:val="00E53164"/>
    <w:rsid w:val="00E534E8"/>
    <w:rsid w:val="00E53936"/>
    <w:rsid w:val="00E53D46"/>
    <w:rsid w:val="00E5420D"/>
    <w:rsid w:val="00E5537D"/>
    <w:rsid w:val="00E55AEF"/>
    <w:rsid w:val="00E5700C"/>
    <w:rsid w:val="00E57812"/>
    <w:rsid w:val="00E6002B"/>
    <w:rsid w:val="00E603D0"/>
    <w:rsid w:val="00E604FD"/>
    <w:rsid w:val="00E60577"/>
    <w:rsid w:val="00E607AA"/>
    <w:rsid w:val="00E609F6"/>
    <w:rsid w:val="00E60A0A"/>
    <w:rsid w:val="00E61387"/>
    <w:rsid w:val="00E619B4"/>
    <w:rsid w:val="00E6253B"/>
    <w:rsid w:val="00E6268F"/>
    <w:rsid w:val="00E627D9"/>
    <w:rsid w:val="00E62802"/>
    <w:rsid w:val="00E62B6A"/>
    <w:rsid w:val="00E63318"/>
    <w:rsid w:val="00E63D20"/>
    <w:rsid w:val="00E64543"/>
    <w:rsid w:val="00E6610C"/>
    <w:rsid w:val="00E661ED"/>
    <w:rsid w:val="00E66622"/>
    <w:rsid w:val="00E66BD0"/>
    <w:rsid w:val="00E66DAF"/>
    <w:rsid w:val="00E675D4"/>
    <w:rsid w:val="00E676B5"/>
    <w:rsid w:val="00E67F92"/>
    <w:rsid w:val="00E70501"/>
    <w:rsid w:val="00E707B2"/>
    <w:rsid w:val="00E70A9A"/>
    <w:rsid w:val="00E72892"/>
    <w:rsid w:val="00E7294A"/>
    <w:rsid w:val="00E72B47"/>
    <w:rsid w:val="00E7359E"/>
    <w:rsid w:val="00E74693"/>
    <w:rsid w:val="00E74CE3"/>
    <w:rsid w:val="00E74EB2"/>
    <w:rsid w:val="00E758F4"/>
    <w:rsid w:val="00E75A89"/>
    <w:rsid w:val="00E75FB3"/>
    <w:rsid w:val="00E76E87"/>
    <w:rsid w:val="00E772E4"/>
    <w:rsid w:val="00E77384"/>
    <w:rsid w:val="00E77877"/>
    <w:rsid w:val="00E779A6"/>
    <w:rsid w:val="00E77ABE"/>
    <w:rsid w:val="00E80A29"/>
    <w:rsid w:val="00E80B70"/>
    <w:rsid w:val="00E80BDC"/>
    <w:rsid w:val="00E80DA1"/>
    <w:rsid w:val="00E81513"/>
    <w:rsid w:val="00E827C0"/>
    <w:rsid w:val="00E828B5"/>
    <w:rsid w:val="00E83154"/>
    <w:rsid w:val="00E835BC"/>
    <w:rsid w:val="00E84211"/>
    <w:rsid w:val="00E845B0"/>
    <w:rsid w:val="00E84855"/>
    <w:rsid w:val="00E84F06"/>
    <w:rsid w:val="00E85A16"/>
    <w:rsid w:val="00E85DF3"/>
    <w:rsid w:val="00E86115"/>
    <w:rsid w:val="00E8714E"/>
    <w:rsid w:val="00E876A1"/>
    <w:rsid w:val="00E9037C"/>
    <w:rsid w:val="00E90D03"/>
    <w:rsid w:val="00E91985"/>
    <w:rsid w:val="00E91F6C"/>
    <w:rsid w:val="00E922E0"/>
    <w:rsid w:val="00E922F2"/>
    <w:rsid w:val="00E923C3"/>
    <w:rsid w:val="00E92551"/>
    <w:rsid w:val="00E92775"/>
    <w:rsid w:val="00E92FF2"/>
    <w:rsid w:val="00E93124"/>
    <w:rsid w:val="00E93291"/>
    <w:rsid w:val="00E934AA"/>
    <w:rsid w:val="00E94C3E"/>
    <w:rsid w:val="00E9516C"/>
    <w:rsid w:val="00E956E6"/>
    <w:rsid w:val="00E95B32"/>
    <w:rsid w:val="00E95E40"/>
    <w:rsid w:val="00E9642C"/>
    <w:rsid w:val="00E96812"/>
    <w:rsid w:val="00E97801"/>
    <w:rsid w:val="00E97F30"/>
    <w:rsid w:val="00EA059D"/>
    <w:rsid w:val="00EA0999"/>
    <w:rsid w:val="00EA0CB0"/>
    <w:rsid w:val="00EA10F4"/>
    <w:rsid w:val="00EA17AF"/>
    <w:rsid w:val="00EA23DF"/>
    <w:rsid w:val="00EA2579"/>
    <w:rsid w:val="00EA2B0B"/>
    <w:rsid w:val="00EA3012"/>
    <w:rsid w:val="00EA322C"/>
    <w:rsid w:val="00EA3DCE"/>
    <w:rsid w:val="00EA42A6"/>
    <w:rsid w:val="00EA4427"/>
    <w:rsid w:val="00EA445F"/>
    <w:rsid w:val="00EA50A0"/>
    <w:rsid w:val="00EA558C"/>
    <w:rsid w:val="00EA5863"/>
    <w:rsid w:val="00EA5C5E"/>
    <w:rsid w:val="00EA6CE5"/>
    <w:rsid w:val="00EA7232"/>
    <w:rsid w:val="00EB06E4"/>
    <w:rsid w:val="00EB08B0"/>
    <w:rsid w:val="00EB09C8"/>
    <w:rsid w:val="00EB0DC5"/>
    <w:rsid w:val="00EB1312"/>
    <w:rsid w:val="00EB169A"/>
    <w:rsid w:val="00EB1A76"/>
    <w:rsid w:val="00EB1FDB"/>
    <w:rsid w:val="00EB2A9F"/>
    <w:rsid w:val="00EB2B12"/>
    <w:rsid w:val="00EB37F0"/>
    <w:rsid w:val="00EB44FD"/>
    <w:rsid w:val="00EB48EF"/>
    <w:rsid w:val="00EB4B87"/>
    <w:rsid w:val="00EB5989"/>
    <w:rsid w:val="00EB6171"/>
    <w:rsid w:val="00EB6419"/>
    <w:rsid w:val="00EB7349"/>
    <w:rsid w:val="00EC0603"/>
    <w:rsid w:val="00EC0AD2"/>
    <w:rsid w:val="00EC11BB"/>
    <w:rsid w:val="00EC1E8C"/>
    <w:rsid w:val="00EC27E6"/>
    <w:rsid w:val="00EC2D0D"/>
    <w:rsid w:val="00EC2E5C"/>
    <w:rsid w:val="00EC30C2"/>
    <w:rsid w:val="00EC3143"/>
    <w:rsid w:val="00EC3451"/>
    <w:rsid w:val="00EC3D78"/>
    <w:rsid w:val="00EC445D"/>
    <w:rsid w:val="00EC44A5"/>
    <w:rsid w:val="00EC456A"/>
    <w:rsid w:val="00EC476D"/>
    <w:rsid w:val="00EC4B2D"/>
    <w:rsid w:val="00EC5572"/>
    <w:rsid w:val="00EC7020"/>
    <w:rsid w:val="00EC736E"/>
    <w:rsid w:val="00EC7428"/>
    <w:rsid w:val="00EC76CD"/>
    <w:rsid w:val="00ED0063"/>
    <w:rsid w:val="00ED0178"/>
    <w:rsid w:val="00ED0697"/>
    <w:rsid w:val="00ED082B"/>
    <w:rsid w:val="00ED0DF0"/>
    <w:rsid w:val="00ED1997"/>
    <w:rsid w:val="00ED1D10"/>
    <w:rsid w:val="00ED1D2E"/>
    <w:rsid w:val="00ED2261"/>
    <w:rsid w:val="00ED2753"/>
    <w:rsid w:val="00ED27A1"/>
    <w:rsid w:val="00ED2CAA"/>
    <w:rsid w:val="00ED30B1"/>
    <w:rsid w:val="00ED34E5"/>
    <w:rsid w:val="00ED35CA"/>
    <w:rsid w:val="00ED3835"/>
    <w:rsid w:val="00ED3E2F"/>
    <w:rsid w:val="00ED414A"/>
    <w:rsid w:val="00ED440C"/>
    <w:rsid w:val="00ED4DD9"/>
    <w:rsid w:val="00ED5E71"/>
    <w:rsid w:val="00ED6112"/>
    <w:rsid w:val="00ED6B7A"/>
    <w:rsid w:val="00ED6F91"/>
    <w:rsid w:val="00ED7868"/>
    <w:rsid w:val="00ED7DEE"/>
    <w:rsid w:val="00ED7E5A"/>
    <w:rsid w:val="00EE051B"/>
    <w:rsid w:val="00EE07EA"/>
    <w:rsid w:val="00EE0C4C"/>
    <w:rsid w:val="00EE0F01"/>
    <w:rsid w:val="00EE1169"/>
    <w:rsid w:val="00EE161B"/>
    <w:rsid w:val="00EE17A2"/>
    <w:rsid w:val="00EE18FF"/>
    <w:rsid w:val="00EE1B50"/>
    <w:rsid w:val="00EE1C80"/>
    <w:rsid w:val="00EE20D1"/>
    <w:rsid w:val="00EE3ABD"/>
    <w:rsid w:val="00EE3B45"/>
    <w:rsid w:val="00EE3C37"/>
    <w:rsid w:val="00EE4C8A"/>
    <w:rsid w:val="00EE4CCE"/>
    <w:rsid w:val="00EE52CA"/>
    <w:rsid w:val="00EE57F7"/>
    <w:rsid w:val="00EE5E8A"/>
    <w:rsid w:val="00EE6938"/>
    <w:rsid w:val="00EE7A86"/>
    <w:rsid w:val="00EF1233"/>
    <w:rsid w:val="00EF1301"/>
    <w:rsid w:val="00EF1615"/>
    <w:rsid w:val="00EF1A3E"/>
    <w:rsid w:val="00EF2D5B"/>
    <w:rsid w:val="00EF2E55"/>
    <w:rsid w:val="00EF2F91"/>
    <w:rsid w:val="00EF330D"/>
    <w:rsid w:val="00EF3418"/>
    <w:rsid w:val="00EF36B4"/>
    <w:rsid w:val="00EF3D92"/>
    <w:rsid w:val="00EF4760"/>
    <w:rsid w:val="00EF4790"/>
    <w:rsid w:val="00EF4A04"/>
    <w:rsid w:val="00EF4BED"/>
    <w:rsid w:val="00EF4EA2"/>
    <w:rsid w:val="00EF55E8"/>
    <w:rsid w:val="00EF56A9"/>
    <w:rsid w:val="00EF56C3"/>
    <w:rsid w:val="00EF6A4A"/>
    <w:rsid w:val="00EF71F3"/>
    <w:rsid w:val="00EF7217"/>
    <w:rsid w:val="00EF7223"/>
    <w:rsid w:val="00EF75D3"/>
    <w:rsid w:val="00EF7B09"/>
    <w:rsid w:val="00F004F7"/>
    <w:rsid w:val="00F00FEE"/>
    <w:rsid w:val="00F01525"/>
    <w:rsid w:val="00F01DCC"/>
    <w:rsid w:val="00F01EE0"/>
    <w:rsid w:val="00F02071"/>
    <w:rsid w:val="00F0210B"/>
    <w:rsid w:val="00F0218A"/>
    <w:rsid w:val="00F02266"/>
    <w:rsid w:val="00F02996"/>
    <w:rsid w:val="00F03073"/>
    <w:rsid w:val="00F03386"/>
    <w:rsid w:val="00F03D51"/>
    <w:rsid w:val="00F040B6"/>
    <w:rsid w:val="00F044F3"/>
    <w:rsid w:val="00F048C7"/>
    <w:rsid w:val="00F049C2"/>
    <w:rsid w:val="00F05263"/>
    <w:rsid w:val="00F058D2"/>
    <w:rsid w:val="00F05901"/>
    <w:rsid w:val="00F05AF3"/>
    <w:rsid w:val="00F05B6C"/>
    <w:rsid w:val="00F05EC0"/>
    <w:rsid w:val="00F063BB"/>
    <w:rsid w:val="00F0643F"/>
    <w:rsid w:val="00F066C2"/>
    <w:rsid w:val="00F067B8"/>
    <w:rsid w:val="00F068F7"/>
    <w:rsid w:val="00F069F0"/>
    <w:rsid w:val="00F06E2F"/>
    <w:rsid w:val="00F07F42"/>
    <w:rsid w:val="00F10B9B"/>
    <w:rsid w:val="00F1192A"/>
    <w:rsid w:val="00F12264"/>
    <w:rsid w:val="00F12510"/>
    <w:rsid w:val="00F1351F"/>
    <w:rsid w:val="00F13732"/>
    <w:rsid w:val="00F145CC"/>
    <w:rsid w:val="00F14614"/>
    <w:rsid w:val="00F14786"/>
    <w:rsid w:val="00F14B0A"/>
    <w:rsid w:val="00F14DD3"/>
    <w:rsid w:val="00F14E5E"/>
    <w:rsid w:val="00F15217"/>
    <w:rsid w:val="00F16513"/>
    <w:rsid w:val="00F16647"/>
    <w:rsid w:val="00F1730B"/>
    <w:rsid w:val="00F17623"/>
    <w:rsid w:val="00F204BF"/>
    <w:rsid w:val="00F20EBD"/>
    <w:rsid w:val="00F20F67"/>
    <w:rsid w:val="00F21259"/>
    <w:rsid w:val="00F218D7"/>
    <w:rsid w:val="00F21C3C"/>
    <w:rsid w:val="00F2224A"/>
    <w:rsid w:val="00F22780"/>
    <w:rsid w:val="00F22829"/>
    <w:rsid w:val="00F22FF4"/>
    <w:rsid w:val="00F234C9"/>
    <w:rsid w:val="00F2373F"/>
    <w:rsid w:val="00F24126"/>
    <w:rsid w:val="00F24F2C"/>
    <w:rsid w:val="00F254C3"/>
    <w:rsid w:val="00F25775"/>
    <w:rsid w:val="00F25E3B"/>
    <w:rsid w:val="00F25E56"/>
    <w:rsid w:val="00F27A4F"/>
    <w:rsid w:val="00F27F9F"/>
    <w:rsid w:val="00F30550"/>
    <w:rsid w:val="00F30631"/>
    <w:rsid w:val="00F3180B"/>
    <w:rsid w:val="00F31C7A"/>
    <w:rsid w:val="00F321AE"/>
    <w:rsid w:val="00F323A6"/>
    <w:rsid w:val="00F325CC"/>
    <w:rsid w:val="00F32939"/>
    <w:rsid w:val="00F32978"/>
    <w:rsid w:val="00F32CCF"/>
    <w:rsid w:val="00F33C4B"/>
    <w:rsid w:val="00F33C58"/>
    <w:rsid w:val="00F33C72"/>
    <w:rsid w:val="00F3400E"/>
    <w:rsid w:val="00F34B0A"/>
    <w:rsid w:val="00F34DA5"/>
    <w:rsid w:val="00F35C4E"/>
    <w:rsid w:val="00F36431"/>
    <w:rsid w:val="00F36555"/>
    <w:rsid w:val="00F3693B"/>
    <w:rsid w:val="00F36A9B"/>
    <w:rsid w:val="00F36B26"/>
    <w:rsid w:val="00F37458"/>
    <w:rsid w:val="00F40157"/>
    <w:rsid w:val="00F402CA"/>
    <w:rsid w:val="00F40C10"/>
    <w:rsid w:val="00F40CFA"/>
    <w:rsid w:val="00F41376"/>
    <w:rsid w:val="00F416A9"/>
    <w:rsid w:val="00F41BF3"/>
    <w:rsid w:val="00F425E4"/>
    <w:rsid w:val="00F42BDC"/>
    <w:rsid w:val="00F43415"/>
    <w:rsid w:val="00F4345E"/>
    <w:rsid w:val="00F43EE9"/>
    <w:rsid w:val="00F4464D"/>
    <w:rsid w:val="00F45283"/>
    <w:rsid w:val="00F45CA5"/>
    <w:rsid w:val="00F47308"/>
    <w:rsid w:val="00F475BA"/>
    <w:rsid w:val="00F476D5"/>
    <w:rsid w:val="00F50352"/>
    <w:rsid w:val="00F509DE"/>
    <w:rsid w:val="00F50C56"/>
    <w:rsid w:val="00F50F36"/>
    <w:rsid w:val="00F51AEF"/>
    <w:rsid w:val="00F52594"/>
    <w:rsid w:val="00F531FA"/>
    <w:rsid w:val="00F53621"/>
    <w:rsid w:val="00F54386"/>
    <w:rsid w:val="00F543CC"/>
    <w:rsid w:val="00F54573"/>
    <w:rsid w:val="00F5507D"/>
    <w:rsid w:val="00F55E59"/>
    <w:rsid w:val="00F56210"/>
    <w:rsid w:val="00F5697E"/>
    <w:rsid w:val="00F56C7B"/>
    <w:rsid w:val="00F57B19"/>
    <w:rsid w:val="00F60005"/>
    <w:rsid w:val="00F60A77"/>
    <w:rsid w:val="00F60FDC"/>
    <w:rsid w:val="00F61101"/>
    <w:rsid w:val="00F6195F"/>
    <w:rsid w:val="00F61D5F"/>
    <w:rsid w:val="00F622DA"/>
    <w:rsid w:val="00F630E3"/>
    <w:rsid w:val="00F63998"/>
    <w:rsid w:val="00F639E6"/>
    <w:rsid w:val="00F63F2A"/>
    <w:rsid w:val="00F64C65"/>
    <w:rsid w:val="00F6526F"/>
    <w:rsid w:val="00F65732"/>
    <w:rsid w:val="00F65887"/>
    <w:rsid w:val="00F65AA6"/>
    <w:rsid w:val="00F66078"/>
    <w:rsid w:val="00F6640F"/>
    <w:rsid w:val="00F665DE"/>
    <w:rsid w:val="00F66D74"/>
    <w:rsid w:val="00F706D3"/>
    <w:rsid w:val="00F711B6"/>
    <w:rsid w:val="00F71220"/>
    <w:rsid w:val="00F713E2"/>
    <w:rsid w:val="00F72775"/>
    <w:rsid w:val="00F72B1F"/>
    <w:rsid w:val="00F72BB6"/>
    <w:rsid w:val="00F72FA1"/>
    <w:rsid w:val="00F7341D"/>
    <w:rsid w:val="00F7388B"/>
    <w:rsid w:val="00F74430"/>
    <w:rsid w:val="00F74867"/>
    <w:rsid w:val="00F74AF9"/>
    <w:rsid w:val="00F74B66"/>
    <w:rsid w:val="00F74D77"/>
    <w:rsid w:val="00F74F6B"/>
    <w:rsid w:val="00F74FB7"/>
    <w:rsid w:val="00F75419"/>
    <w:rsid w:val="00F75E84"/>
    <w:rsid w:val="00F75E91"/>
    <w:rsid w:val="00F76C8C"/>
    <w:rsid w:val="00F76EE2"/>
    <w:rsid w:val="00F774F4"/>
    <w:rsid w:val="00F7752C"/>
    <w:rsid w:val="00F77E0D"/>
    <w:rsid w:val="00F8025E"/>
    <w:rsid w:val="00F80EC3"/>
    <w:rsid w:val="00F80F44"/>
    <w:rsid w:val="00F81844"/>
    <w:rsid w:val="00F81AF7"/>
    <w:rsid w:val="00F81B2E"/>
    <w:rsid w:val="00F820F8"/>
    <w:rsid w:val="00F82610"/>
    <w:rsid w:val="00F8362E"/>
    <w:rsid w:val="00F83968"/>
    <w:rsid w:val="00F84CC9"/>
    <w:rsid w:val="00F8615E"/>
    <w:rsid w:val="00F861DE"/>
    <w:rsid w:val="00F86700"/>
    <w:rsid w:val="00F873E3"/>
    <w:rsid w:val="00F87586"/>
    <w:rsid w:val="00F87898"/>
    <w:rsid w:val="00F87D15"/>
    <w:rsid w:val="00F87DC0"/>
    <w:rsid w:val="00F90AA1"/>
    <w:rsid w:val="00F90C10"/>
    <w:rsid w:val="00F90FAA"/>
    <w:rsid w:val="00F91620"/>
    <w:rsid w:val="00F917AC"/>
    <w:rsid w:val="00F9243F"/>
    <w:rsid w:val="00F92972"/>
    <w:rsid w:val="00F94058"/>
    <w:rsid w:val="00F9477E"/>
    <w:rsid w:val="00F94843"/>
    <w:rsid w:val="00F9507F"/>
    <w:rsid w:val="00F9515A"/>
    <w:rsid w:val="00F957C6"/>
    <w:rsid w:val="00F962D9"/>
    <w:rsid w:val="00F9633D"/>
    <w:rsid w:val="00F9695E"/>
    <w:rsid w:val="00F97A12"/>
    <w:rsid w:val="00F97B0A"/>
    <w:rsid w:val="00FA01CC"/>
    <w:rsid w:val="00FA0781"/>
    <w:rsid w:val="00FA085E"/>
    <w:rsid w:val="00FA105D"/>
    <w:rsid w:val="00FA1188"/>
    <w:rsid w:val="00FA146D"/>
    <w:rsid w:val="00FA1EDA"/>
    <w:rsid w:val="00FA42EF"/>
    <w:rsid w:val="00FA4418"/>
    <w:rsid w:val="00FA4C0E"/>
    <w:rsid w:val="00FA6B96"/>
    <w:rsid w:val="00FA6BBE"/>
    <w:rsid w:val="00FA6F76"/>
    <w:rsid w:val="00FA718B"/>
    <w:rsid w:val="00FB03FD"/>
    <w:rsid w:val="00FB0BAC"/>
    <w:rsid w:val="00FB1B9E"/>
    <w:rsid w:val="00FB231A"/>
    <w:rsid w:val="00FB2A02"/>
    <w:rsid w:val="00FB2F55"/>
    <w:rsid w:val="00FB3295"/>
    <w:rsid w:val="00FB36E8"/>
    <w:rsid w:val="00FB370A"/>
    <w:rsid w:val="00FB3DCB"/>
    <w:rsid w:val="00FB49BB"/>
    <w:rsid w:val="00FB4FAE"/>
    <w:rsid w:val="00FB4FB5"/>
    <w:rsid w:val="00FB5244"/>
    <w:rsid w:val="00FB55E1"/>
    <w:rsid w:val="00FB668A"/>
    <w:rsid w:val="00FB6A7A"/>
    <w:rsid w:val="00FB6E9C"/>
    <w:rsid w:val="00FB71D8"/>
    <w:rsid w:val="00FB7373"/>
    <w:rsid w:val="00FC06CC"/>
    <w:rsid w:val="00FC141A"/>
    <w:rsid w:val="00FC19AA"/>
    <w:rsid w:val="00FC1AC7"/>
    <w:rsid w:val="00FC1BFE"/>
    <w:rsid w:val="00FC2B5D"/>
    <w:rsid w:val="00FC3835"/>
    <w:rsid w:val="00FC4135"/>
    <w:rsid w:val="00FC47F0"/>
    <w:rsid w:val="00FC4D2A"/>
    <w:rsid w:val="00FC5557"/>
    <w:rsid w:val="00FC581F"/>
    <w:rsid w:val="00FC6511"/>
    <w:rsid w:val="00FC6B3A"/>
    <w:rsid w:val="00FC7AAD"/>
    <w:rsid w:val="00FC7D7A"/>
    <w:rsid w:val="00FC7EC6"/>
    <w:rsid w:val="00FC7ECF"/>
    <w:rsid w:val="00FD0227"/>
    <w:rsid w:val="00FD0275"/>
    <w:rsid w:val="00FD02A4"/>
    <w:rsid w:val="00FD03BE"/>
    <w:rsid w:val="00FD0691"/>
    <w:rsid w:val="00FD06E7"/>
    <w:rsid w:val="00FD07C7"/>
    <w:rsid w:val="00FD0D73"/>
    <w:rsid w:val="00FD0E63"/>
    <w:rsid w:val="00FD1DB9"/>
    <w:rsid w:val="00FD1F6A"/>
    <w:rsid w:val="00FD20A5"/>
    <w:rsid w:val="00FD27B1"/>
    <w:rsid w:val="00FD2A2C"/>
    <w:rsid w:val="00FD2C22"/>
    <w:rsid w:val="00FD2C6C"/>
    <w:rsid w:val="00FD2FDF"/>
    <w:rsid w:val="00FD326D"/>
    <w:rsid w:val="00FD473C"/>
    <w:rsid w:val="00FD56D2"/>
    <w:rsid w:val="00FD5882"/>
    <w:rsid w:val="00FD58F4"/>
    <w:rsid w:val="00FD610B"/>
    <w:rsid w:val="00FD7ACA"/>
    <w:rsid w:val="00FD7C19"/>
    <w:rsid w:val="00FE0D6B"/>
    <w:rsid w:val="00FE0EA7"/>
    <w:rsid w:val="00FE1420"/>
    <w:rsid w:val="00FE1943"/>
    <w:rsid w:val="00FE2265"/>
    <w:rsid w:val="00FE262D"/>
    <w:rsid w:val="00FE26D8"/>
    <w:rsid w:val="00FE2BB5"/>
    <w:rsid w:val="00FE2C7F"/>
    <w:rsid w:val="00FE3E95"/>
    <w:rsid w:val="00FE4253"/>
    <w:rsid w:val="00FE4DC7"/>
    <w:rsid w:val="00FE4E8E"/>
    <w:rsid w:val="00FE5701"/>
    <w:rsid w:val="00FE5A7A"/>
    <w:rsid w:val="00FE5BCC"/>
    <w:rsid w:val="00FE6FB0"/>
    <w:rsid w:val="00FF05C8"/>
    <w:rsid w:val="00FF0A00"/>
    <w:rsid w:val="00FF0AC7"/>
    <w:rsid w:val="00FF0C40"/>
    <w:rsid w:val="00FF2D47"/>
    <w:rsid w:val="00FF4A90"/>
    <w:rsid w:val="00FF4B6C"/>
    <w:rsid w:val="00FF4FF1"/>
    <w:rsid w:val="00FF59A0"/>
    <w:rsid w:val="00FF5AC9"/>
    <w:rsid w:val="00FF65B4"/>
    <w:rsid w:val="00FF7270"/>
    <w:rsid w:val="00FF75BA"/>
    <w:rsid w:val="01666AB0"/>
    <w:rsid w:val="033FE1E3"/>
    <w:rsid w:val="07628C08"/>
    <w:rsid w:val="0789BA6F"/>
    <w:rsid w:val="0926FB52"/>
    <w:rsid w:val="0929743F"/>
    <w:rsid w:val="0BE2A344"/>
    <w:rsid w:val="0F9E2ED8"/>
    <w:rsid w:val="135110C8"/>
    <w:rsid w:val="15F33266"/>
    <w:rsid w:val="1748A2AA"/>
    <w:rsid w:val="18B6B84B"/>
    <w:rsid w:val="1B48FE5E"/>
    <w:rsid w:val="1CE22B1B"/>
    <w:rsid w:val="1DF34551"/>
    <w:rsid w:val="1EDB5593"/>
    <w:rsid w:val="21C8F783"/>
    <w:rsid w:val="27244099"/>
    <w:rsid w:val="28B88AAC"/>
    <w:rsid w:val="2A7058F0"/>
    <w:rsid w:val="2E9F25A4"/>
    <w:rsid w:val="2F9401E8"/>
    <w:rsid w:val="307FBDD0"/>
    <w:rsid w:val="316B9B38"/>
    <w:rsid w:val="359E40E3"/>
    <w:rsid w:val="38B7A07F"/>
    <w:rsid w:val="38C15A06"/>
    <w:rsid w:val="3913834A"/>
    <w:rsid w:val="39AF4410"/>
    <w:rsid w:val="3EF26CD7"/>
    <w:rsid w:val="439974C8"/>
    <w:rsid w:val="446EF96F"/>
    <w:rsid w:val="4562FDFB"/>
    <w:rsid w:val="4768D347"/>
    <w:rsid w:val="493D8267"/>
    <w:rsid w:val="4C08BDFD"/>
    <w:rsid w:val="4D7F7585"/>
    <w:rsid w:val="4DA73BC5"/>
    <w:rsid w:val="50270718"/>
    <w:rsid w:val="512AD403"/>
    <w:rsid w:val="5206B8CF"/>
    <w:rsid w:val="521D0FC9"/>
    <w:rsid w:val="545A2933"/>
    <w:rsid w:val="571B6B47"/>
    <w:rsid w:val="57EFFB09"/>
    <w:rsid w:val="5F081175"/>
    <w:rsid w:val="6342C68F"/>
    <w:rsid w:val="661B2D85"/>
    <w:rsid w:val="695FC7CC"/>
    <w:rsid w:val="6AA4669C"/>
    <w:rsid w:val="71CD33BD"/>
    <w:rsid w:val="74FAD27D"/>
    <w:rsid w:val="793C68B8"/>
    <w:rsid w:val="7AE9E2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8AF2"/>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9"/>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qFormat/>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qFormat/>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5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5"/>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95541"/>
    <w:pPr>
      <w:spacing w:after="0" w:line="240" w:lineRule="auto"/>
    </w:pPr>
    <w:rPr>
      <w:rFonts w:ascii="Segoe UI" w:hAnsi="Segoe UI" w:cs="Segoe UI"/>
      <w:color w:val="FFFFFF" w:themeColor="background1"/>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aliases w:val="CAB - List Bullet,List Bullet Cab"/>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17"/>
      </w:numPr>
    </w:pPr>
  </w:style>
  <w:style w:type="paragraph" w:customStyle="1" w:styleId="BulletedList-Level2">
    <w:name w:val="Bulleted List - Level 2"/>
    <w:basedOn w:val="BulletedList-Level1"/>
    <w:uiPriority w:val="1"/>
    <w:qFormat/>
    <w:rsid w:val="00BD171D"/>
    <w:pPr>
      <w:numPr>
        <w:numId w:val="8"/>
      </w:numPr>
    </w:pPr>
  </w:style>
  <w:style w:type="paragraph" w:customStyle="1" w:styleId="BulletedList-Level3">
    <w:name w:val="Bulleted List - Level 3"/>
    <w:basedOn w:val="ListParagraph"/>
    <w:uiPriority w:val="1"/>
    <w:qFormat/>
    <w:rsid w:val="00BD171D"/>
    <w:pPr>
      <w:numPr>
        <w:numId w:val="9"/>
      </w:numPr>
      <w:ind w:left="1135" w:hanging="284"/>
    </w:pPr>
  </w:style>
  <w:style w:type="paragraph" w:customStyle="1" w:styleId="NumberedList-Level1">
    <w:name w:val="Numbered List - Level 1"/>
    <w:basedOn w:val="ListParagraph"/>
    <w:uiPriority w:val="1"/>
    <w:qFormat/>
    <w:rsid w:val="00BD171D"/>
    <w:pPr>
      <w:numPr>
        <w:numId w:val="4"/>
      </w:numPr>
      <w:ind w:left="568" w:hanging="284"/>
    </w:pPr>
  </w:style>
  <w:style w:type="paragraph" w:customStyle="1" w:styleId="NumberedList-level2">
    <w:name w:val="Numbered List - level 2"/>
    <w:basedOn w:val="ListParagraph"/>
    <w:uiPriority w:val="1"/>
    <w:qFormat/>
    <w:rsid w:val="00BD171D"/>
    <w:pPr>
      <w:numPr>
        <w:ilvl w:val="1"/>
        <w:numId w:val="4"/>
      </w:numPr>
    </w:pPr>
  </w:style>
  <w:style w:type="paragraph" w:customStyle="1" w:styleId="NumberedList-Level3">
    <w:name w:val="Numbered List - Level 3"/>
    <w:basedOn w:val="ListParagraph"/>
    <w:uiPriority w:val="1"/>
    <w:qFormat/>
    <w:rsid w:val="00BD171D"/>
    <w:pPr>
      <w:numPr>
        <w:ilvl w:val="2"/>
        <w:numId w:val="4"/>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3058E9"/>
    <w:pPr>
      <w:tabs>
        <w:tab w:val="right" w:leader="dot" w:pos="9628"/>
      </w:tabs>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6"/>
      </w:numPr>
      <w:ind w:left="584" w:hanging="357"/>
    </w:pPr>
  </w:style>
  <w:style w:type="paragraph" w:customStyle="1" w:styleId="BoxDark-NumberedList">
    <w:name w:val="Box Dark - Numbered List"/>
    <w:basedOn w:val="BOXNumberedList"/>
    <w:uiPriority w:val="8"/>
    <w:rsid w:val="00FE2C7F"/>
    <w:pPr>
      <w:numPr>
        <w:numId w:val="7"/>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customStyle="1" w:styleId="EmphasisPanelBullet">
    <w:name w:val="Emphasis Panel Bullet"/>
    <w:uiPriority w:val="11"/>
    <w:qFormat/>
    <w:rsid w:val="0014151F"/>
    <w:pPr>
      <w:keepLines/>
      <w:numPr>
        <w:numId w:val="10"/>
      </w:numPr>
      <w:pBdr>
        <w:top w:val="single" w:sz="4" w:space="8" w:color="FFFFFF" w:themeColor="background2"/>
        <w:left w:val="single" w:sz="4" w:space="8" w:color="FFFFFF" w:themeColor="background2"/>
        <w:bottom w:val="single" w:sz="4" w:space="8" w:color="FFFFFF" w:themeColor="background2"/>
        <w:right w:val="single" w:sz="4" w:space="8" w:color="FFFFFF" w:themeColor="background2"/>
      </w:pBdr>
      <w:shd w:val="clear" w:color="auto" w:fill="FFFFFF" w:themeFill="background2"/>
      <w:spacing w:before="120" w:after="120" w:line="264" w:lineRule="auto"/>
      <w:ind w:right="215"/>
    </w:pPr>
    <w:rPr>
      <w:rFonts w:eastAsia="Times New Roman" w:cstheme="minorHAnsi"/>
      <w:color w:val="314A63" w:themeColor="text1" w:themeTint="D9"/>
      <w:sz w:val="20"/>
      <w:szCs w:val="22"/>
      <w:lang w:val="en-US"/>
    </w:rPr>
  </w:style>
  <w:style w:type="paragraph" w:customStyle="1" w:styleId="TableNumbering">
    <w:name w:val="Table Numbering"/>
    <w:uiPriority w:val="11"/>
    <w:qFormat/>
    <w:rsid w:val="002771EC"/>
    <w:pPr>
      <w:numPr>
        <w:numId w:val="11"/>
      </w:numPr>
      <w:spacing w:before="40" w:after="40" w:line="264" w:lineRule="auto"/>
    </w:pPr>
    <w:rPr>
      <w:rFonts w:eastAsiaTheme="minorHAnsi"/>
      <w:color w:val="1C2B39" w:themeColor="text1"/>
      <w:sz w:val="18"/>
      <w:szCs w:val="20"/>
    </w:rPr>
  </w:style>
  <w:style w:type="character" w:styleId="FollowedHyperlink">
    <w:name w:val="FollowedHyperlink"/>
    <w:basedOn w:val="DefaultParagraphFont"/>
    <w:uiPriority w:val="99"/>
    <w:semiHidden/>
    <w:unhideWhenUsed/>
    <w:rsid w:val="007E6917"/>
    <w:rPr>
      <w:color w:val="DE761C" w:themeColor="followedHyperlink"/>
      <w:u w:val="single"/>
    </w:rPr>
  </w:style>
  <w:style w:type="paragraph" w:styleId="ListBullet">
    <w:name w:val="List Bullet"/>
    <w:basedOn w:val="Normal"/>
    <w:uiPriority w:val="99"/>
    <w:unhideWhenUsed/>
    <w:rsid w:val="00A45279"/>
    <w:pPr>
      <w:numPr>
        <w:numId w:val="12"/>
      </w:numPr>
      <w:contextualSpacing/>
    </w:pPr>
  </w:style>
  <w:style w:type="paragraph" w:styleId="FootnoteText">
    <w:name w:val="footnote text"/>
    <w:basedOn w:val="Normal"/>
    <w:link w:val="FootnoteTextChar"/>
    <w:uiPriority w:val="99"/>
    <w:rsid w:val="00E661ED"/>
    <w:pPr>
      <w:spacing w:after="0" w:line="240" w:lineRule="auto"/>
    </w:pPr>
    <w:rPr>
      <w:rFonts w:eastAsiaTheme="minorHAnsi"/>
      <w:color w:val="314A63" w:themeColor="text1" w:themeTint="D9"/>
      <w:sz w:val="20"/>
      <w:szCs w:val="20"/>
    </w:rPr>
  </w:style>
  <w:style w:type="character" w:customStyle="1" w:styleId="FootnoteTextChar">
    <w:name w:val="Footnote Text Char"/>
    <w:basedOn w:val="DefaultParagraphFont"/>
    <w:link w:val="FootnoteText"/>
    <w:uiPriority w:val="99"/>
    <w:rsid w:val="00E661ED"/>
    <w:rPr>
      <w:rFonts w:eastAsiaTheme="minorHAnsi"/>
      <w:color w:val="314A63" w:themeColor="text1" w:themeTint="D9"/>
      <w:sz w:val="20"/>
      <w:szCs w:val="20"/>
    </w:rPr>
  </w:style>
  <w:style w:type="character" w:styleId="FootnoteReference">
    <w:name w:val="footnote reference"/>
    <w:basedOn w:val="DefaultParagraphFont"/>
    <w:uiPriority w:val="99"/>
    <w:rsid w:val="00E661ED"/>
    <w:rPr>
      <w:vertAlign w:val="superscript"/>
    </w:rPr>
  </w:style>
  <w:style w:type="character" w:styleId="CommentReference">
    <w:name w:val="annotation reference"/>
    <w:basedOn w:val="DefaultParagraphFont"/>
    <w:uiPriority w:val="99"/>
    <w:semiHidden/>
    <w:unhideWhenUsed/>
    <w:rsid w:val="00166B87"/>
    <w:rPr>
      <w:sz w:val="16"/>
      <w:szCs w:val="16"/>
    </w:rPr>
  </w:style>
  <w:style w:type="paragraph" w:styleId="CommentText">
    <w:name w:val="annotation text"/>
    <w:basedOn w:val="Normal"/>
    <w:link w:val="CommentTextChar"/>
    <w:uiPriority w:val="99"/>
    <w:unhideWhenUsed/>
    <w:rsid w:val="00166B87"/>
    <w:pPr>
      <w:spacing w:after="120" w:line="240" w:lineRule="auto"/>
    </w:pPr>
    <w:rPr>
      <w:rFonts w:eastAsiaTheme="minorHAnsi"/>
      <w:color w:val="314A63" w:themeColor="text1" w:themeTint="D9"/>
      <w:sz w:val="20"/>
      <w:szCs w:val="20"/>
    </w:rPr>
  </w:style>
  <w:style w:type="character" w:customStyle="1" w:styleId="CommentTextChar">
    <w:name w:val="Comment Text Char"/>
    <w:basedOn w:val="DefaultParagraphFont"/>
    <w:link w:val="CommentText"/>
    <w:uiPriority w:val="99"/>
    <w:rsid w:val="00166B87"/>
    <w:rPr>
      <w:rFonts w:eastAsiaTheme="minorHAnsi"/>
      <w:color w:val="314A63" w:themeColor="text1" w:themeTint="D9"/>
      <w:sz w:val="20"/>
      <w:szCs w:val="20"/>
    </w:rPr>
  </w:style>
  <w:style w:type="paragraph" w:customStyle="1" w:styleId="Bullet">
    <w:name w:val="Bullet"/>
    <w:aliases w:val="Body,BodyNum,Bullet + line,Bullet Char1,Bullet Char1 Char Char Char,Bullet Char1 Char Char Char Char,Bullet Char1 Char Char Char Char Char,CG-Bullet,b,b + line,b1,b1 Char Char Char,bulleted,level 1"/>
    <w:basedOn w:val="Normal"/>
    <w:link w:val="BulletChar"/>
    <w:qFormat/>
    <w:rsid w:val="00166B87"/>
    <w:pPr>
      <w:numPr>
        <w:numId w:val="13"/>
      </w:numPr>
      <w:spacing w:after="240"/>
    </w:pPr>
    <w:rPr>
      <w:rFonts w:eastAsiaTheme="minorHAnsi"/>
      <w:color w:val="314A63" w:themeColor="text1" w:themeTint="D9"/>
      <w:sz w:val="20"/>
      <w:szCs w:val="20"/>
    </w:rPr>
  </w:style>
  <w:style w:type="character" w:customStyle="1" w:styleId="BulletChar">
    <w:name w:val="Bullet Char"/>
    <w:aliases w:val="AR bullet 1 Char,Body Char,Bullet + line Char,L C,List Paragraph11 Cha,Number Char,Recommendation Char,b + line Char,b + line Char Char,b Char,b Char Char,b1 Char,level 1 Char,Bulleted Para Char,Bullets Char,FooterText Char,L Char,L Char2"/>
    <w:basedOn w:val="DefaultParagraphFont"/>
    <w:link w:val="Bullet"/>
    <w:qFormat/>
    <w:rsid w:val="00166B87"/>
    <w:rPr>
      <w:rFonts w:eastAsiaTheme="minorHAnsi"/>
      <w:color w:val="314A63" w:themeColor="text1" w:themeTint="D9"/>
      <w:sz w:val="20"/>
      <w:szCs w:val="20"/>
    </w:rPr>
  </w:style>
  <w:style w:type="paragraph" w:customStyle="1" w:styleId="Dash">
    <w:name w:val="Dash"/>
    <w:basedOn w:val="Normal"/>
    <w:link w:val="DashChar"/>
    <w:qFormat/>
    <w:rsid w:val="00166B87"/>
    <w:pPr>
      <w:numPr>
        <w:ilvl w:val="1"/>
        <w:numId w:val="13"/>
      </w:numPr>
      <w:spacing w:after="240"/>
    </w:pPr>
    <w:rPr>
      <w:rFonts w:eastAsiaTheme="minorHAnsi"/>
      <w:color w:val="314A63" w:themeColor="text1" w:themeTint="D9"/>
      <w:sz w:val="20"/>
      <w:szCs w:val="20"/>
    </w:rPr>
  </w:style>
  <w:style w:type="paragraph" w:customStyle="1" w:styleId="DoubleDot">
    <w:name w:val="Double Dot"/>
    <w:basedOn w:val="Normal"/>
    <w:qFormat/>
    <w:rsid w:val="00166B87"/>
    <w:pPr>
      <w:numPr>
        <w:ilvl w:val="2"/>
        <w:numId w:val="13"/>
      </w:numPr>
      <w:spacing w:after="240"/>
    </w:pPr>
    <w:rPr>
      <w:rFonts w:eastAsiaTheme="minorHAnsi"/>
      <w:color w:val="314A63" w:themeColor="text1" w:themeTint="D9"/>
      <w:sz w:val="20"/>
      <w:szCs w:val="20"/>
    </w:rPr>
  </w:style>
  <w:style w:type="paragraph" w:styleId="BodyText">
    <w:name w:val="Body Text"/>
    <w:basedOn w:val="Normal"/>
    <w:link w:val="BodyTextChar"/>
    <w:qFormat/>
    <w:rsid w:val="00166B87"/>
    <w:pPr>
      <w:spacing w:after="120"/>
    </w:pPr>
    <w:rPr>
      <w:rFonts w:eastAsiaTheme="minorHAnsi"/>
      <w:color w:val="314A63" w:themeColor="text1" w:themeTint="D9"/>
      <w:sz w:val="20"/>
      <w:szCs w:val="20"/>
    </w:rPr>
  </w:style>
  <w:style w:type="character" w:customStyle="1" w:styleId="BodyTextChar">
    <w:name w:val="Body Text Char"/>
    <w:basedOn w:val="DefaultParagraphFont"/>
    <w:link w:val="BodyText"/>
    <w:rsid w:val="00166B87"/>
    <w:rPr>
      <w:rFonts w:eastAsiaTheme="minorHAnsi"/>
      <w:color w:val="314A63" w:themeColor="text1" w:themeTint="D9"/>
      <w:sz w:val="20"/>
      <w:szCs w:val="20"/>
    </w:rPr>
  </w:style>
  <w:style w:type="character" w:customStyle="1" w:styleId="DashChar">
    <w:name w:val="Dash Char"/>
    <w:basedOn w:val="DefaultParagraphFont"/>
    <w:link w:val="Dash"/>
    <w:rsid w:val="00835A98"/>
    <w:rPr>
      <w:rFonts w:eastAsiaTheme="minorHAnsi"/>
      <w:color w:val="314A63" w:themeColor="text1" w:themeTint="D9"/>
      <w:sz w:val="20"/>
      <w:szCs w:val="20"/>
    </w:rPr>
  </w:style>
  <w:style w:type="paragraph" w:customStyle="1" w:styleId="CABNETParagraph">
    <w:name w:val="CABNET Paragraph."/>
    <w:basedOn w:val="Normal"/>
    <w:link w:val="CABNETParagraphChar"/>
    <w:uiPriority w:val="98"/>
    <w:qFormat/>
    <w:rsid w:val="00835A98"/>
    <w:pPr>
      <w:spacing w:before="120" w:after="120" w:line="240" w:lineRule="auto"/>
    </w:pPr>
    <w:rPr>
      <w:rFonts w:ascii="Arial" w:eastAsiaTheme="minorHAnsi" w:hAnsi="Arial" w:cstheme="minorHAnsi"/>
      <w:szCs w:val="22"/>
    </w:rPr>
  </w:style>
  <w:style w:type="character" w:customStyle="1" w:styleId="CABNETParagraphChar">
    <w:name w:val="CABNET Paragraph. Char"/>
    <w:basedOn w:val="DefaultParagraphFont"/>
    <w:link w:val="CABNETParagraph"/>
    <w:uiPriority w:val="98"/>
    <w:rsid w:val="00835A98"/>
    <w:rPr>
      <w:rFonts w:ascii="Arial" w:eastAsiaTheme="minorHAnsi" w:hAnsi="Arial" w:cstheme="minorHAnsi"/>
      <w:sz w:val="22"/>
      <w:szCs w:val="22"/>
    </w:rPr>
  </w:style>
  <w:style w:type="character" w:customStyle="1" w:styleId="normaltextrun">
    <w:name w:val="normaltextrun"/>
    <w:basedOn w:val="DefaultParagraphFont"/>
    <w:rsid w:val="00835A98"/>
  </w:style>
  <w:style w:type="character" w:customStyle="1" w:styleId="UnresolvedMention">
    <w:name w:val="Unresolved Mention"/>
    <w:basedOn w:val="DefaultParagraphFont"/>
    <w:uiPriority w:val="99"/>
    <w:semiHidden/>
    <w:unhideWhenUsed/>
    <w:rsid w:val="002942B3"/>
    <w:rPr>
      <w:color w:val="605E5C"/>
      <w:shd w:val="clear" w:color="auto" w:fill="E1DFDD"/>
    </w:rPr>
  </w:style>
  <w:style w:type="table" w:styleId="PlainTable3">
    <w:name w:val="Plain Table 3"/>
    <w:basedOn w:val="TableNormal"/>
    <w:uiPriority w:val="43"/>
    <w:rsid w:val="00EB0DC5"/>
    <w:pPr>
      <w:spacing w:after="0" w:line="240" w:lineRule="auto"/>
    </w:pPr>
    <w:rPr>
      <w:rFonts w:eastAsiaTheme="minorHAnsi"/>
      <w:sz w:val="22"/>
      <w:szCs w:val="22"/>
    </w:rPr>
    <w:tblPr>
      <w:tblStyleRowBandSize w:val="1"/>
      <w:tblStyleColBandSize w:val="1"/>
    </w:tblPr>
    <w:tblStylePr w:type="firstRow">
      <w:rPr>
        <w:b/>
        <w:bCs/>
        <w:caps/>
      </w:rPr>
      <w:tblPr/>
      <w:tcPr>
        <w:tcBorders>
          <w:bottom w:val="single" w:sz="4" w:space="0" w:color="6F95B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F95B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hartGraphic">
    <w:name w:val="Chart Graphic"/>
    <w:basedOn w:val="Normal"/>
    <w:next w:val="Normal"/>
    <w:link w:val="ChartGraphicChar"/>
    <w:rsid w:val="0029399E"/>
    <w:pPr>
      <w:keepNext/>
      <w:spacing w:after="0" w:line="240" w:lineRule="auto"/>
      <w:jc w:val="center"/>
    </w:pPr>
    <w:rPr>
      <w:rFonts w:ascii="Calibri Light" w:eastAsia="Times New Roman" w:hAnsi="Calibri Light" w:cs="Times New Roman"/>
      <w:color w:val="004A7F"/>
      <w:sz w:val="20"/>
      <w:szCs w:val="20"/>
      <w:lang w:eastAsia="en-AU"/>
    </w:rPr>
  </w:style>
  <w:style w:type="paragraph" w:styleId="CommentSubject">
    <w:name w:val="annotation subject"/>
    <w:basedOn w:val="CommentText"/>
    <w:next w:val="CommentText"/>
    <w:link w:val="CommentSubjectChar"/>
    <w:uiPriority w:val="99"/>
    <w:semiHidden/>
    <w:unhideWhenUsed/>
    <w:rsid w:val="00DB2CAE"/>
    <w:pPr>
      <w:spacing w:after="160"/>
    </w:pPr>
    <w:rPr>
      <w:rFonts w:eastAsiaTheme="minorEastAsia"/>
      <w:b/>
      <w:bCs/>
      <w:color w:val="auto"/>
    </w:rPr>
  </w:style>
  <w:style w:type="character" w:customStyle="1" w:styleId="CommentSubjectChar">
    <w:name w:val="Comment Subject Char"/>
    <w:basedOn w:val="CommentTextChar"/>
    <w:link w:val="CommentSubject"/>
    <w:uiPriority w:val="99"/>
    <w:semiHidden/>
    <w:rsid w:val="00DB2CAE"/>
    <w:rPr>
      <w:rFonts w:eastAsiaTheme="minorHAnsi"/>
      <w:b/>
      <w:bCs/>
      <w:color w:val="314A63" w:themeColor="text1" w:themeTint="D9"/>
      <w:sz w:val="20"/>
      <w:szCs w:val="20"/>
    </w:rPr>
  </w:style>
  <w:style w:type="paragraph" w:styleId="Revision">
    <w:name w:val="Revision"/>
    <w:hidden/>
    <w:uiPriority w:val="99"/>
    <w:semiHidden/>
    <w:rsid w:val="002151D6"/>
    <w:pPr>
      <w:spacing w:after="0" w:line="240" w:lineRule="auto"/>
    </w:pPr>
    <w:rPr>
      <w:sz w:val="22"/>
    </w:rPr>
  </w:style>
  <w:style w:type="paragraph" w:customStyle="1" w:styleId="paragraph">
    <w:name w:val="paragraph"/>
    <w:basedOn w:val="Normal"/>
    <w:link w:val="paragraphChar"/>
    <w:rsid w:val="005A1343"/>
    <w:pPr>
      <w:spacing w:before="120" w:beforeAutospacing="1" w:after="120" w:afterAutospacing="1" w:line="276" w:lineRule="auto"/>
    </w:pPr>
    <w:rPr>
      <w:rFonts w:ascii="Calibri" w:eastAsia="Times New Roman" w:hAnsi="Calibri" w:cs="Times New Roman"/>
      <w:sz w:val="24"/>
      <w:szCs w:val="24"/>
      <w:lang w:eastAsia="en-AU"/>
    </w:rPr>
  </w:style>
  <w:style w:type="character" w:customStyle="1" w:styleId="eop">
    <w:name w:val="eop"/>
    <w:basedOn w:val="DefaultParagraphFont"/>
    <w:rsid w:val="005A1343"/>
  </w:style>
  <w:style w:type="character" w:customStyle="1" w:styleId="paragraphChar">
    <w:name w:val="paragraph Char"/>
    <w:basedOn w:val="DefaultParagraphFont"/>
    <w:link w:val="paragraph"/>
    <w:rsid w:val="005A1343"/>
    <w:rPr>
      <w:rFonts w:ascii="Calibri" w:eastAsia="Times New Roman" w:hAnsi="Calibri" w:cs="Times New Roman"/>
      <w:sz w:val="24"/>
      <w:szCs w:val="24"/>
      <w:lang w:eastAsia="en-AU"/>
    </w:rPr>
  </w:style>
  <w:style w:type="paragraph" w:customStyle="1" w:styleId="BulletedListlvl1">
    <w:name w:val="Bulleted List lvl1"/>
    <w:uiPriority w:val="10"/>
    <w:qFormat/>
    <w:rsid w:val="00C70272"/>
    <w:pPr>
      <w:numPr>
        <w:numId w:val="16"/>
      </w:numPr>
      <w:spacing w:after="0" w:line="264" w:lineRule="auto"/>
    </w:pPr>
    <w:rPr>
      <w:rFonts w:eastAsiaTheme="minorHAnsi"/>
      <w:color w:val="314A63" w:themeColor="text1" w:themeTint="D9"/>
      <w:sz w:val="20"/>
      <w:szCs w:val="20"/>
    </w:rPr>
  </w:style>
  <w:style w:type="paragraph" w:customStyle="1" w:styleId="BulletedListlvl2">
    <w:name w:val="Bulleted List lvl2"/>
    <w:basedOn w:val="BulletedListlvl1"/>
    <w:uiPriority w:val="10"/>
    <w:rsid w:val="00C70272"/>
    <w:pPr>
      <w:numPr>
        <w:ilvl w:val="1"/>
      </w:numPr>
      <w:ind w:left="1021" w:hanging="283"/>
    </w:pPr>
  </w:style>
  <w:style w:type="paragraph" w:customStyle="1" w:styleId="BulletedListlvl3">
    <w:name w:val="Bulleted List lvl3"/>
    <w:basedOn w:val="BulletedListlvl2"/>
    <w:uiPriority w:val="10"/>
    <w:rsid w:val="00C70272"/>
    <w:pPr>
      <w:numPr>
        <w:ilvl w:val="2"/>
      </w:numPr>
      <w:ind w:left="1418" w:hanging="284"/>
    </w:pPr>
    <w:rPr>
      <w:sz w:val="19"/>
      <w:szCs w:val="19"/>
    </w:rPr>
  </w:style>
  <w:style w:type="paragraph" w:customStyle="1" w:styleId="OutlineNumbered1">
    <w:name w:val="Outline Numbered 1"/>
    <w:basedOn w:val="Normal"/>
    <w:link w:val="OutlineNumbered1Char"/>
    <w:rsid w:val="003608C4"/>
    <w:pPr>
      <w:numPr>
        <w:numId w:val="18"/>
      </w:numPr>
    </w:pPr>
  </w:style>
  <w:style w:type="character" w:customStyle="1" w:styleId="OutlineNumbered1Char">
    <w:name w:val="Outline Numbered 1 Char"/>
    <w:basedOn w:val="DefaultParagraphFont"/>
    <w:link w:val="OutlineNumbered1"/>
    <w:rsid w:val="003608C4"/>
    <w:rPr>
      <w:sz w:val="22"/>
    </w:rPr>
  </w:style>
  <w:style w:type="paragraph" w:customStyle="1" w:styleId="OutlineNumbered2">
    <w:name w:val="Outline Numbered 2"/>
    <w:basedOn w:val="Normal"/>
    <w:link w:val="OutlineNumbered2Char"/>
    <w:rsid w:val="003608C4"/>
    <w:pPr>
      <w:numPr>
        <w:ilvl w:val="1"/>
        <w:numId w:val="18"/>
      </w:numPr>
    </w:pPr>
  </w:style>
  <w:style w:type="character" w:customStyle="1" w:styleId="OutlineNumbered2Char">
    <w:name w:val="Outline Numbered 2 Char"/>
    <w:basedOn w:val="DefaultParagraphFont"/>
    <w:link w:val="OutlineNumbered2"/>
    <w:rsid w:val="003608C4"/>
    <w:rPr>
      <w:sz w:val="22"/>
    </w:rPr>
  </w:style>
  <w:style w:type="paragraph" w:customStyle="1" w:styleId="OutlineNumbered3">
    <w:name w:val="Outline Numbered 3"/>
    <w:basedOn w:val="Normal"/>
    <w:link w:val="OutlineNumbered3Char"/>
    <w:rsid w:val="003608C4"/>
    <w:pPr>
      <w:numPr>
        <w:ilvl w:val="2"/>
        <w:numId w:val="18"/>
      </w:numPr>
    </w:pPr>
  </w:style>
  <w:style w:type="character" w:customStyle="1" w:styleId="OutlineNumbered3Char">
    <w:name w:val="Outline Numbered 3 Char"/>
    <w:basedOn w:val="DefaultParagraphFont"/>
    <w:link w:val="OutlineNumbered3"/>
    <w:rsid w:val="003608C4"/>
    <w:rPr>
      <w:sz w:val="22"/>
    </w:rPr>
  </w:style>
  <w:style w:type="paragraph" w:customStyle="1" w:styleId="TableParagraph">
    <w:name w:val="Table Paragraph"/>
    <w:basedOn w:val="Normal"/>
    <w:uiPriority w:val="1"/>
    <w:qFormat/>
    <w:rsid w:val="00366424"/>
    <w:pPr>
      <w:widowControl w:val="0"/>
      <w:autoSpaceDE w:val="0"/>
      <w:autoSpaceDN w:val="0"/>
      <w:spacing w:after="0" w:line="240" w:lineRule="auto"/>
    </w:pPr>
    <w:rPr>
      <w:rFonts w:ascii="Arial" w:eastAsia="Arial" w:hAnsi="Arial" w:cs="Arial"/>
      <w:szCs w:val="22"/>
      <w:lang w:val="en-US"/>
    </w:rPr>
  </w:style>
  <w:style w:type="paragraph" w:customStyle="1" w:styleId="ChartandTableFootnote">
    <w:name w:val="Chart and Table Footnote"/>
    <w:basedOn w:val="Normal"/>
    <w:next w:val="Normal"/>
    <w:rsid w:val="00B96A33"/>
    <w:pPr>
      <w:tabs>
        <w:tab w:val="left" w:pos="709"/>
      </w:tabs>
      <w:spacing w:before="30" w:after="0" w:line="240" w:lineRule="auto"/>
      <w:ind w:left="709" w:hanging="709"/>
    </w:pPr>
    <w:rPr>
      <w:rFonts w:ascii="Arial" w:eastAsia="Times New Roman" w:hAnsi="Arial" w:cs="Times New Roman"/>
      <w:color w:val="000000"/>
      <w:sz w:val="16"/>
      <w:szCs w:val="20"/>
      <w:lang w:eastAsia="en-AU"/>
    </w:rPr>
  </w:style>
  <w:style w:type="paragraph" w:customStyle="1" w:styleId="ChartHeading">
    <w:name w:val="Chart Heading"/>
    <w:basedOn w:val="Normal"/>
    <w:next w:val="ChartGraphic"/>
    <w:qFormat/>
    <w:rsid w:val="00B96A33"/>
    <w:pPr>
      <w:keepNext/>
      <w:spacing w:before="120" w:after="20" w:line="240" w:lineRule="auto"/>
    </w:pPr>
    <w:rPr>
      <w:rFonts w:ascii="Arial" w:eastAsia="Times New Roman" w:hAnsi="Arial" w:cs="Times New Roman"/>
      <w:b/>
      <w:sz w:val="20"/>
      <w:szCs w:val="20"/>
      <w:lang w:eastAsia="en-AU"/>
    </w:rPr>
  </w:style>
  <w:style w:type="character" w:customStyle="1" w:styleId="ChartGraphicChar">
    <w:name w:val="Chart Graphic Char"/>
    <w:basedOn w:val="DefaultParagraphFont"/>
    <w:link w:val="ChartGraphic"/>
    <w:locked/>
    <w:rsid w:val="00B96A33"/>
    <w:rPr>
      <w:rFonts w:ascii="Calibri Light" w:eastAsia="Times New Roman" w:hAnsi="Calibri Light" w:cs="Times New Roman"/>
      <w:color w:val="004A7F"/>
      <w:sz w:val="20"/>
      <w:szCs w:val="20"/>
      <w:lang w:eastAsia="en-AU"/>
    </w:rPr>
  </w:style>
  <w:style w:type="paragraph" w:customStyle="1" w:styleId="pf1">
    <w:name w:val="pf1"/>
    <w:basedOn w:val="Normal"/>
    <w:rsid w:val="007E1140"/>
    <w:pPr>
      <w:spacing w:before="100" w:beforeAutospacing="1" w:after="100" w:afterAutospacing="1" w:line="240" w:lineRule="auto"/>
      <w:ind w:left="560"/>
    </w:pPr>
    <w:rPr>
      <w:rFonts w:ascii="Times New Roman" w:eastAsia="Times New Roman" w:hAnsi="Times New Roman" w:cs="Times New Roman"/>
      <w:sz w:val="24"/>
      <w:szCs w:val="24"/>
      <w:lang w:eastAsia="en-AU"/>
    </w:rPr>
  </w:style>
  <w:style w:type="paragraph" w:customStyle="1" w:styleId="pf0">
    <w:name w:val="pf0"/>
    <w:basedOn w:val="Normal"/>
    <w:rsid w:val="007E11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7E1140"/>
    <w:rPr>
      <w:rFonts w:ascii="Segoe UI" w:hAnsi="Segoe UI" w:cs="Segoe UI" w:hint="default"/>
      <w:sz w:val="18"/>
      <w:szCs w:val="18"/>
    </w:rPr>
  </w:style>
  <w:style w:type="character" w:customStyle="1" w:styleId="HousingauthoritymainbodytextChar">
    <w:name w:val="Housing authority main body text Char"/>
    <w:basedOn w:val="DefaultParagraphFont"/>
    <w:link w:val="Housingauthoritymainbodytext"/>
    <w:locked/>
    <w:rsid w:val="00A01821"/>
    <w:rPr>
      <w:rFonts w:ascii="Arial" w:eastAsia="Calibri" w:hAnsi="Arial" w:cs="Arial"/>
    </w:rPr>
  </w:style>
  <w:style w:type="paragraph" w:customStyle="1" w:styleId="Housingauthoritymainbodytext">
    <w:name w:val="Housing authority main body text"/>
    <w:basedOn w:val="Normal"/>
    <w:link w:val="HousingauthoritymainbodytextChar"/>
    <w:qFormat/>
    <w:rsid w:val="00A01821"/>
    <w:pPr>
      <w:spacing w:after="200" w:line="276" w:lineRule="auto"/>
      <w:jc w:val="both"/>
    </w:pPr>
    <w:rPr>
      <w:rFonts w:ascii="Arial" w:eastAsia="Calibri" w:hAnsi="Arial" w:cs="Arial"/>
      <w:sz w:val="21"/>
    </w:rPr>
  </w:style>
  <w:style w:type="character" w:customStyle="1" w:styleId="Mention">
    <w:name w:val="Mention"/>
    <w:basedOn w:val="DefaultParagraphFont"/>
    <w:uiPriority w:val="99"/>
    <w:unhideWhenUsed/>
    <w:rsid w:val="0073720B"/>
    <w:rPr>
      <w:color w:val="2B579A"/>
      <w:shd w:val="clear" w:color="auto" w:fill="E1DFDD"/>
    </w:rPr>
  </w:style>
  <w:style w:type="paragraph" w:customStyle="1" w:styleId="TableTextCab">
    <w:name w:val="Table Text Cab"/>
    <w:basedOn w:val="BodyText"/>
    <w:uiPriority w:val="8"/>
    <w:qFormat/>
    <w:rsid w:val="00F962D9"/>
    <w:pPr>
      <w:spacing w:before="50" w:after="50" w:line="240" w:lineRule="auto"/>
    </w:pPr>
    <w:rPr>
      <w:rFonts w:ascii="Arial" w:hAnsi="Arial"/>
      <w:color w:val="auto"/>
    </w:rPr>
  </w:style>
  <w:style w:type="paragraph" w:styleId="NormalWeb">
    <w:name w:val="Normal (Web)"/>
    <w:basedOn w:val="Normal"/>
    <w:uiPriority w:val="99"/>
    <w:unhideWhenUsed/>
    <w:rsid w:val="00672B8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4803">
      <w:bodyDiv w:val="1"/>
      <w:marLeft w:val="0"/>
      <w:marRight w:val="0"/>
      <w:marTop w:val="0"/>
      <w:marBottom w:val="0"/>
      <w:divBdr>
        <w:top w:val="none" w:sz="0" w:space="0" w:color="auto"/>
        <w:left w:val="none" w:sz="0" w:space="0" w:color="auto"/>
        <w:bottom w:val="none" w:sz="0" w:space="0" w:color="auto"/>
        <w:right w:val="none" w:sz="0" w:space="0" w:color="auto"/>
      </w:divBdr>
    </w:div>
    <w:div w:id="15690878">
      <w:bodyDiv w:val="1"/>
      <w:marLeft w:val="0"/>
      <w:marRight w:val="0"/>
      <w:marTop w:val="0"/>
      <w:marBottom w:val="0"/>
      <w:divBdr>
        <w:top w:val="none" w:sz="0" w:space="0" w:color="auto"/>
        <w:left w:val="none" w:sz="0" w:space="0" w:color="auto"/>
        <w:bottom w:val="none" w:sz="0" w:space="0" w:color="auto"/>
        <w:right w:val="none" w:sz="0" w:space="0" w:color="auto"/>
      </w:divBdr>
    </w:div>
    <w:div w:id="395395168">
      <w:bodyDiv w:val="1"/>
      <w:marLeft w:val="0"/>
      <w:marRight w:val="0"/>
      <w:marTop w:val="0"/>
      <w:marBottom w:val="0"/>
      <w:divBdr>
        <w:top w:val="none" w:sz="0" w:space="0" w:color="auto"/>
        <w:left w:val="none" w:sz="0" w:space="0" w:color="auto"/>
        <w:bottom w:val="none" w:sz="0" w:space="0" w:color="auto"/>
        <w:right w:val="none" w:sz="0" w:space="0" w:color="auto"/>
      </w:divBdr>
    </w:div>
    <w:div w:id="551355847">
      <w:bodyDiv w:val="1"/>
      <w:marLeft w:val="0"/>
      <w:marRight w:val="0"/>
      <w:marTop w:val="0"/>
      <w:marBottom w:val="0"/>
      <w:divBdr>
        <w:top w:val="none" w:sz="0" w:space="0" w:color="auto"/>
        <w:left w:val="none" w:sz="0" w:space="0" w:color="auto"/>
        <w:bottom w:val="none" w:sz="0" w:space="0" w:color="auto"/>
        <w:right w:val="none" w:sz="0" w:space="0" w:color="auto"/>
      </w:divBdr>
    </w:div>
    <w:div w:id="1128745371">
      <w:bodyDiv w:val="1"/>
      <w:marLeft w:val="0"/>
      <w:marRight w:val="0"/>
      <w:marTop w:val="0"/>
      <w:marBottom w:val="0"/>
      <w:divBdr>
        <w:top w:val="none" w:sz="0" w:space="0" w:color="auto"/>
        <w:left w:val="none" w:sz="0" w:space="0" w:color="auto"/>
        <w:bottom w:val="none" w:sz="0" w:space="0" w:color="auto"/>
        <w:right w:val="none" w:sz="0" w:space="0" w:color="auto"/>
      </w:divBdr>
    </w:div>
    <w:div w:id="1607732840">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8877106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0821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deed.en" TargetMode="External"/><Relationship Id="rId13" Type="http://schemas.openxmlformats.org/officeDocument/2006/relationships/hyperlink" Target="mailto:media@treasury.gov.au"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image" Target="media/image6.png"/><Relationship Id="rId42"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hyperlink" Target="https://www.pmc.gov.au/honours-and-symbols/commonwealth-coat-arms"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image" Target="media/image5.png"/><Relationship Id="rId38" Type="http://schemas.openxmlformats.org/officeDocument/2006/relationships/header" Target="header10.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header" Target="header6.xm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footer" Target="footer10.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image" Target="media/image8.png"/><Relationship Id="rId10" Type="http://schemas.openxmlformats.org/officeDocument/2006/relationships/image" Target="media/image2.wmf"/><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7.png"/><Relationship Id="rId43"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s://www.ahuri.edu.au/sites/default/files/migration/documents/AHURI-Final-Report-328-Australian-home-ownership-past-reflections-future-directions.pdf" TargetMode="External"/><Relationship Id="rId2" Type="http://schemas.openxmlformats.org/officeDocument/2006/relationships/hyperlink" Target="https://www.rba.gov.au/publications/submissions/housing-and-housing-finance/inquiry-into-home-ownership/home-ownership-rates.html" TargetMode="External"/><Relationship Id="rId1" Type="http://schemas.openxmlformats.org/officeDocument/2006/relationships/hyperlink" Target="https://www.aph.gov.au/Parliamentary_Business/Committees/House/Former_Committees/Tax_and_Revenue/Housingaffordability/Submissions" TargetMode="External"/><Relationship Id="rId6" Type="http://schemas.openxmlformats.org/officeDocument/2006/relationships/hyperlink" Target="https://www.housingfinance.org/wp-content/uploads/2020/03/HFI-4-2011.pdf" TargetMode="External"/><Relationship Id="rId5" Type="http://schemas.openxmlformats.org/officeDocument/2006/relationships/hyperlink" Target="https://www.rba.gov.au/publications/submissions/housing-and-housing-finance/inquiry-into-home-ownership/home-ownership-rates.html" TargetMode="External"/><Relationship Id="rId4" Type="http://schemas.openxmlformats.org/officeDocument/2006/relationships/hyperlink" Target="https://www.housingfinance.org/wp-content/uploads/2020/03/HFI-4-201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11840</Words>
  <Characters>67489</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79171</CharactersWithSpaces>
  <SharedDoc>false</SharedDoc>
  <HLinks>
    <vt:vector size="126" baseType="variant">
      <vt:variant>
        <vt:i4>1507378</vt:i4>
      </vt:variant>
      <vt:variant>
        <vt:i4>65</vt:i4>
      </vt:variant>
      <vt:variant>
        <vt:i4>0</vt:i4>
      </vt:variant>
      <vt:variant>
        <vt:i4>5</vt:i4>
      </vt:variant>
      <vt:variant>
        <vt:lpwstr/>
      </vt:variant>
      <vt:variant>
        <vt:lpwstr>_Toc197606492</vt:lpwstr>
      </vt:variant>
      <vt:variant>
        <vt:i4>1507378</vt:i4>
      </vt:variant>
      <vt:variant>
        <vt:i4>59</vt:i4>
      </vt:variant>
      <vt:variant>
        <vt:i4>0</vt:i4>
      </vt:variant>
      <vt:variant>
        <vt:i4>5</vt:i4>
      </vt:variant>
      <vt:variant>
        <vt:lpwstr/>
      </vt:variant>
      <vt:variant>
        <vt:lpwstr>_Toc197606491</vt:lpwstr>
      </vt:variant>
      <vt:variant>
        <vt:i4>1507378</vt:i4>
      </vt:variant>
      <vt:variant>
        <vt:i4>53</vt:i4>
      </vt:variant>
      <vt:variant>
        <vt:i4>0</vt:i4>
      </vt:variant>
      <vt:variant>
        <vt:i4>5</vt:i4>
      </vt:variant>
      <vt:variant>
        <vt:lpwstr/>
      </vt:variant>
      <vt:variant>
        <vt:lpwstr>_Toc197606490</vt:lpwstr>
      </vt:variant>
      <vt:variant>
        <vt:i4>1441842</vt:i4>
      </vt:variant>
      <vt:variant>
        <vt:i4>47</vt:i4>
      </vt:variant>
      <vt:variant>
        <vt:i4>0</vt:i4>
      </vt:variant>
      <vt:variant>
        <vt:i4>5</vt:i4>
      </vt:variant>
      <vt:variant>
        <vt:lpwstr/>
      </vt:variant>
      <vt:variant>
        <vt:lpwstr>_Toc197606489</vt:lpwstr>
      </vt:variant>
      <vt:variant>
        <vt:i4>1441842</vt:i4>
      </vt:variant>
      <vt:variant>
        <vt:i4>41</vt:i4>
      </vt:variant>
      <vt:variant>
        <vt:i4>0</vt:i4>
      </vt:variant>
      <vt:variant>
        <vt:i4>5</vt:i4>
      </vt:variant>
      <vt:variant>
        <vt:lpwstr/>
      </vt:variant>
      <vt:variant>
        <vt:lpwstr>_Toc197606488</vt:lpwstr>
      </vt:variant>
      <vt:variant>
        <vt:i4>1441842</vt:i4>
      </vt:variant>
      <vt:variant>
        <vt:i4>35</vt:i4>
      </vt:variant>
      <vt:variant>
        <vt:i4>0</vt:i4>
      </vt:variant>
      <vt:variant>
        <vt:i4>5</vt:i4>
      </vt:variant>
      <vt:variant>
        <vt:lpwstr/>
      </vt:variant>
      <vt:variant>
        <vt:lpwstr>_Toc197606487</vt:lpwstr>
      </vt:variant>
      <vt:variant>
        <vt:i4>1441842</vt:i4>
      </vt:variant>
      <vt:variant>
        <vt:i4>29</vt:i4>
      </vt:variant>
      <vt:variant>
        <vt:i4>0</vt:i4>
      </vt:variant>
      <vt:variant>
        <vt:i4>5</vt:i4>
      </vt:variant>
      <vt:variant>
        <vt:lpwstr/>
      </vt:variant>
      <vt:variant>
        <vt:lpwstr>_Toc197606486</vt:lpwstr>
      </vt:variant>
      <vt:variant>
        <vt:i4>1441842</vt:i4>
      </vt:variant>
      <vt:variant>
        <vt:i4>23</vt:i4>
      </vt:variant>
      <vt:variant>
        <vt:i4>0</vt:i4>
      </vt:variant>
      <vt:variant>
        <vt:i4>5</vt:i4>
      </vt:variant>
      <vt:variant>
        <vt:lpwstr/>
      </vt:variant>
      <vt:variant>
        <vt:lpwstr>_Toc197606485</vt:lpwstr>
      </vt:variant>
      <vt:variant>
        <vt:i4>1441842</vt:i4>
      </vt:variant>
      <vt:variant>
        <vt:i4>17</vt:i4>
      </vt:variant>
      <vt:variant>
        <vt:i4>0</vt:i4>
      </vt:variant>
      <vt:variant>
        <vt:i4>5</vt:i4>
      </vt:variant>
      <vt:variant>
        <vt:lpwstr/>
      </vt:variant>
      <vt:variant>
        <vt:lpwstr>_Toc197606484</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3735654</vt:i4>
      </vt:variant>
      <vt:variant>
        <vt:i4>15</vt:i4>
      </vt:variant>
      <vt:variant>
        <vt:i4>0</vt:i4>
      </vt:variant>
      <vt:variant>
        <vt:i4>5</vt:i4>
      </vt:variant>
      <vt:variant>
        <vt:lpwstr>https://www.housingfinance.org/wp-content/uploads/2020/03/HFI-4-2011.pdf</vt:lpwstr>
      </vt:variant>
      <vt:variant>
        <vt:lpwstr>page=6</vt:lpwstr>
      </vt:variant>
      <vt:variant>
        <vt:i4>1900549</vt:i4>
      </vt:variant>
      <vt:variant>
        <vt:i4>12</vt:i4>
      </vt:variant>
      <vt:variant>
        <vt:i4>0</vt:i4>
      </vt:variant>
      <vt:variant>
        <vt:i4>5</vt:i4>
      </vt:variant>
      <vt:variant>
        <vt:lpwstr>https://www.rba.gov.au/publications/submissions/housing-and-housing-finance/inquiry-into-home-ownership/home-ownership-rates.html</vt:lpwstr>
      </vt:variant>
      <vt:variant>
        <vt:lpwstr/>
      </vt:variant>
      <vt:variant>
        <vt:i4>3735654</vt:i4>
      </vt:variant>
      <vt:variant>
        <vt:i4>9</vt:i4>
      </vt:variant>
      <vt:variant>
        <vt:i4>0</vt:i4>
      </vt:variant>
      <vt:variant>
        <vt:i4>5</vt:i4>
      </vt:variant>
      <vt:variant>
        <vt:lpwstr>https://www.housingfinance.org/wp-content/uploads/2020/03/HFI-4-2011.pdf</vt:lpwstr>
      </vt:variant>
      <vt:variant>
        <vt:lpwstr>page=6</vt:lpwstr>
      </vt:variant>
      <vt:variant>
        <vt:i4>5505114</vt:i4>
      </vt:variant>
      <vt:variant>
        <vt:i4>6</vt:i4>
      </vt:variant>
      <vt:variant>
        <vt:i4>0</vt:i4>
      </vt:variant>
      <vt:variant>
        <vt:i4>5</vt:i4>
      </vt:variant>
      <vt:variant>
        <vt:lpwstr>https://www.ahuri.edu.au/sites/default/files/migration/documents/AHURI-Final-Report-328-Australian-home-ownership-past-reflections-future-directions.pdf</vt:lpwstr>
      </vt:variant>
      <vt:variant>
        <vt:lpwstr/>
      </vt:variant>
      <vt:variant>
        <vt:i4>1900549</vt:i4>
      </vt:variant>
      <vt:variant>
        <vt:i4>3</vt:i4>
      </vt:variant>
      <vt:variant>
        <vt:i4>0</vt:i4>
      </vt:variant>
      <vt:variant>
        <vt:i4>5</vt:i4>
      </vt:variant>
      <vt:variant>
        <vt:lpwstr>https://www.rba.gov.au/publications/submissions/housing-and-housing-finance/inquiry-into-home-ownership/home-ownership-rates.html</vt:lpwstr>
      </vt:variant>
      <vt:variant>
        <vt:lpwstr/>
      </vt:variant>
      <vt:variant>
        <vt:i4>6684705</vt:i4>
      </vt:variant>
      <vt:variant>
        <vt:i4>0</vt:i4>
      </vt:variant>
      <vt:variant>
        <vt:i4>0</vt:i4>
      </vt:variant>
      <vt:variant>
        <vt:i4>5</vt:i4>
      </vt:variant>
      <vt:variant>
        <vt:lpwstr>https://www.aph.gov.au/Parliamentary_Business/Committees/House/Former_Committees/Tax_and_Revenue/Housingaffordability/Submissions</vt:lpwstr>
      </vt:variant>
      <vt:variant>
        <vt:lpwstr/>
      </vt:variant>
      <vt:variant>
        <vt:i4>2031643</vt:i4>
      </vt:variant>
      <vt:variant>
        <vt:i4>0</vt:i4>
      </vt:variant>
      <vt:variant>
        <vt:i4>0</vt:i4>
      </vt:variant>
      <vt:variant>
        <vt:i4>5</vt:i4>
      </vt:variant>
      <vt:variant>
        <vt:lpwstr>https://oia.pmc.gov.au/resources/guidance-impact-analysis/australian-government-guide-policy-impact-analysis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2025-06-23T22:47:00Z</dcterms:created>
  <dcterms:modified xsi:type="dcterms:W3CDTF">2025-06-24T23:27:00Z</dcterms:modified>
  <cp:category/>
</cp:coreProperties>
</file>