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E1539" w14:textId="6FA320E4" w:rsidR="00891095" w:rsidRDefault="00891095" w:rsidP="00BB6480">
      <w:pPr>
        <w:tabs>
          <w:tab w:val="left" w:pos="7655"/>
        </w:tabs>
      </w:pPr>
    </w:p>
    <w:tbl>
      <w:tblPr>
        <w:tblStyle w:val="TableGrid"/>
        <w:tblpPr w:leftFromText="180" w:rightFromText="180" w:vertAnchor="page" w:horzAnchor="margin" w:tblpXSpec="right" w:tblpY="175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11FC1" w:rsidRPr="00215D48" w14:paraId="4849437C" w14:textId="705E3453" w:rsidTr="0079175B">
        <w:trPr>
          <w:trHeight w:val="300"/>
        </w:trPr>
        <w:tc>
          <w:tcPr>
            <w:tcW w:w="9072" w:type="dxa"/>
          </w:tcPr>
          <w:p w14:paraId="1E6073C7" w14:textId="77777777" w:rsidR="0057395F" w:rsidRDefault="0057395F" w:rsidP="00211FC1">
            <w:pPr>
              <w:pStyle w:val="Title"/>
              <w:ind w:left="33"/>
              <w:rPr>
                <w:sz w:val="40"/>
                <w:szCs w:val="40"/>
              </w:rPr>
            </w:pPr>
          </w:p>
          <w:p w14:paraId="025B0650" w14:textId="77777777" w:rsidR="0057395F" w:rsidRDefault="0057395F" w:rsidP="00211FC1">
            <w:pPr>
              <w:pStyle w:val="Title"/>
              <w:ind w:left="33"/>
              <w:rPr>
                <w:sz w:val="40"/>
                <w:szCs w:val="40"/>
              </w:rPr>
            </w:pPr>
          </w:p>
          <w:p w14:paraId="4DA83014" w14:textId="29D74F13" w:rsidR="00211FC1" w:rsidRPr="00EC135B" w:rsidRDefault="00211FC1" w:rsidP="00EC135B">
            <w:pPr>
              <w:rPr>
                <w:sz w:val="40"/>
                <w:szCs w:val="40"/>
              </w:rPr>
            </w:pPr>
            <w:bookmarkStart w:id="0" w:name="_Toc163229824"/>
            <w:bookmarkStart w:id="1" w:name="_Toc163231028"/>
            <w:bookmarkStart w:id="2" w:name="_Toc172126716"/>
            <w:r w:rsidRPr="00EC135B">
              <w:rPr>
                <w:color w:val="002060"/>
                <w:sz w:val="40"/>
                <w:szCs w:val="40"/>
              </w:rPr>
              <w:t xml:space="preserve">Proposal to introduce </w:t>
            </w:r>
            <w:r w:rsidR="00D52EE0" w:rsidRPr="00EC135B">
              <w:rPr>
                <w:color w:val="002060"/>
                <w:sz w:val="40"/>
                <w:szCs w:val="40"/>
              </w:rPr>
              <w:t>mandatory reporting of medical device adverse events by healthcare facilities</w:t>
            </w:r>
            <w:bookmarkEnd w:id="0"/>
            <w:bookmarkEnd w:id="1"/>
            <w:bookmarkEnd w:id="2"/>
          </w:p>
        </w:tc>
      </w:tr>
      <w:tr w:rsidR="00211FC1" w:rsidRPr="00215D48" w14:paraId="75DBDC45" w14:textId="21196F46" w:rsidTr="0079175B">
        <w:trPr>
          <w:trHeight w:val="1916"/>
        </w:trPr>
        <w:tc>
          <w:tcPr>
            <w:tcW w:w="9072" w:type="dxa"/>
          </w:tcPr>
          <w:p w14:paraId="508A291B" w14:textId="77777777" w:rsidR="00211FC1" w:rsidRDefault="00211FC1" w:rsidP="00902613">
            <w:pPr>
              <w:pStyle w:val="Subtitle"/>
              <w:ind w:left="0"/>
              <w:rPr>
                <w:sz w:val="36"/>
                <w:szCs w:val="36"/>
              </w:rPr>
            </w:pPr>
          </w:p>
          <w:p w14:paraId="77DCE678" w14:textId="06E7819C" w:rsidR="00211FC1" w:rsidRDefault="00AD053D" w:rsidP="00902613">
            <w:pPr>
              <w:pStyle w:val="Subtitle"/>
              <w:ind w:left="0"/>
              <w:rPr>
                <w:i/>
                <w:iCs w:val="0"/>
                <w:sz w:val="36"/>
                <w:szCs w:val="36"/>
              </w:rPr>
            </w:pPr>
            <w:r>
              <w:rPr>
                <w:sz w:val="36"/>
                <w:szCs w:val="36"/>
              </w:rPr>
              <w:t xml:space="preserve">Final </w:t>
            </w:r>
            <w:r w:rsidR="00211FC1">
              <w:rPr>
                <w:sz w:val="36"/>
                <w:szCs w:val="36"/>
              </w:rPr>
              <w:t>Impact Analysis</w:t>
            </w:r>
          </w:p>
          <w:p w14:paraId="66BB9C0C" w14:textId="339EF358" w:rsidR="00211FC1" w:rsidRDefault="00211FC1" w:rsidP="00902613">
            <w:pPr>
              <w:pStyle w:val="Subtitle"/>
              <w:ind w:left="0"/>
              <w:rPr>
                <w:i/>
                <w:iCs w:val="0"/>
                <w:sz w:val="36"/>
                <w:szCs w:val="36"/>
              </w:rPr>
            </w:pPr>
          </w:p>
          <w:p w14:paraId="63DCCEFC" w14:textId="3B74CAA7" w:rsidR="00211FC1" w:rsidRDefault="00211FC1" w:rsidP="00902613">
            <w:pPr>
              <w:pStyle w:val="Date"/>
            </w:pPr>
            <w:r w:rsidRPr="00525CB6">
              <w:t>Office of Impact A</w:t>
            </w:r>
            <w:r>
              <w:t>nalysis</w:t>
            </w:r>
            <w:r w:rsidRPr="00525CB6">
              <w:t xml:space="preserve"> (OIA) ID number:</w:t>
            </w:r>
            <w:r>
              <w:t xml:space="preserve"> </w:t>
            </w:r>
            <w:r w:rsidRPr="00F249D3">
              <w:t>OBPR2</w:t>
            </w:r>
            <w:r w:rsidR="00AB69F3">
              <w:t>2</w:t>
            </w:r>
            <w:r w:rsidRPr="00F249D3">
              <w:t>-</w:t>
            </w:r>
            <w:r w:rsidR="00AB69F3">
              <w:t>02137</w:t>
            </w:r>
          </w:p>
          <w:p w14:paraId="6E5810DC" w14:textId="77777777" w:rsidR="00211FC1" w:rsidRDefault="00211FC1" w:rsidP="00902613"/>
          <w:p w14:paraId="3DAECC2E" w14:textId="710BD786" w:rsidR="00211FC1" w:rsidRPr="007E7A68" w:rsidRDefault="00211FC1" w:rsidP="00902613"/>
        </w:tc>
      </w:tr>
      <w:tr w:rsidR="00211FC1" w:rsidRPr="00215D48" w14:paraId="6853C224" w14:textId="5E125D9E" w:rsidTr="0079175B">
        <w:trPr>
          <w:trHeight w:val="300"/>
        </w:trPr>
        <w:tc>
          <w:tcPr>
            <w:tcW w:w="9072" w:type="dxa"/>
          </w:tcPr>
          <w:p w14:paraId="0E9E41EC" w14:textId="0D520838" w:rsidR="00211FC1" w:rsidRPr="00215D48" w:rsidRDefault="00211FC1" w:rsidP="009E0245">
            <w:r w:rsidRPr="00215D48">
              <w:t xml:space="preserve">Version </w:t>
            </w:r>
            <w:r w:rsidR="0008341E">
              <w:t>8</w:t>
            </w:r>
            <w:r w:rsidR="00CB7998">
              <w:t>.0</w:t>
            </w:r>
            <w:r>
              <w:t xml:space="preserve">, </w:t>
            </w:r>
            <w:r w:rsidR="0008341E">
              <w:t>February 2025</w:t>
            </w:r>
          </w:p>
        </w:tc>
      </w:tr>
    </w:tbl>
    <w:p w14:paraId="704BBCE3" w14:textId="236EC047" w:rsidR="00F02AEC" w:rsidRPr="00215D48" w:rsidRDefault="006337E1" w:rsidP="0079175B">
      <w:pPr>
        <w:pStyle w:val="ListBullet"/>
        <w:ind w:left="142" w:firstLine="0"/>
        <w:sectPr w:rsidR="00F02AEC" w:rsidRPr="00215D48" w:rsidSect="006527F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bookmarkStart w:id="3" w:name="_Hlk176122055"/>
      <w:bookmarkStart w:id="4" w:name="_GoBack"/>
      <w:bookmarkEnd w:id="3"/>
      <w:bookmarkEnd w:id="4"/>
      <w:r>
        <w:rPr>
          <w:rFonts w:eastAsiaTheme="minorHAnsi" w:cstheme="minorBidi"/>
          <w:noProof/>
          <w:lang w:eastAsia="en-AU"/>
        </w:rPr>
        <w:drawing>
          <wp:anchor distT="0" distB="0" distL="114300" distR="114300" simplePos="0" relativeHeight="251700736" behindDoc="1" locked="0" layoutInCell="1" allowOverlap="1" wp14:anchorId="6AD32581" wp14:editId="5F3F5556">
            <wp:simplePos x="0" y="0"/>
            <wp:positionH relativeFrom="page">
              <wp:align>left</wp:align>
            </wp:positionH>
            <wp:positionV relativeFrom="paragraph">
              <wp:posOffset>6517005</wp:posOffset>
            </wp:positionV>
            <wp:extent cx="7566660" cy="3011170"/>
            <wp:effectExtent l="0" t="0" r="0" b="0"/>
            <wp:wrapNone/>
            <wp:docPr id="1046265436" name="Picture 1046265436" descr="A person us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65436" name="Picture 1046265436" descr="A person using a tablet&#10;&#10;AI-generated content may be incorrect."/>
                    <pic:cNvPicPr>
                      <a:picLocks noChangeAspect="1" noChangeArrowheads="1"/>
                    </pic:cNvPicPr>
                  </pic:nvPicPr>
                  <pic:blipFill>
                    <a:blip r:embed="rId13"/>
                    <a:stretch>
                      <a:fillRect/>
                    </a:stretch>
                  </pic:blipFill>
                  <pic:spPr bwMode="auto">
                    <a:xfrm>
                      <a:off x="0" y="0"/>
                      <a:ext cx="756666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A3A31" w14:textId="77777777" w:rsidR="00F02AEC" w:rsidRPr="00E1198B" w:rsidRDefault="00F02AEC" w:rsidP="00972693">
      <w:bookmarkStart w:id="5" w:name="_Toc156388518"/>
      <w:bookmarkStart w:id="6" w:name="_Toc156388563"/>
      <w:bookmarkStart w:id="7" w:name="_Toc160811456"/>
      <w:bookmarkStart w:id="8" w:name="_Toc162009839"/>
      <w:bookmarkStart w:id="9" w:name="_Toc162024218"/>
      <w:bookmarkStart w:id="10" w:name="_Toc163229825"/>
      <w:bookmarkStart w:id="11" w:name="_Toc163231029"/>
      <w:bookmarkStart w:id="12" w:name="_Toc169077377"/>
      <w:bookmarkStart w:id="13" w:name="_Toc172126717"/>
      <w:r w:rsidRPr="00BA0DFC">
        <w:t>Copyright</w:t>
      </w:r>
      <w:bookmarkEnd w:id="5"/>
      <w:bookmarkEnd w:id="6"/>
      <w:bookmarkEnd w:id="7"/>
      <w:bookmarkEnd w:id="8"/>
      <w:bookmarkEnd w:id="9"/>
      <w:bookmarkEnd w:id="10"/>
      <w:bookmarkEnd w:id="11"/>
      <w:bookmarkEnd w:id="12"/>
      <w:bookmarkEnd w:id="13"/>
    </w:p>
    <w:p w14:paraId="35E9F834" w14:textId="55A51B3B" w:rsidR="007D059C" w:rsidRPr="00A85C64" w:rsidRDefault="00F02AEC" w:rsidP="00A85C64">
      <w:pPr>
        <w:pStyle w:val="LegalCopy"/>
        <w:rPr>
          <w:rFonts w:cs="Arial"/>
        </w:rPr>
      </w:pPr>
      <w:r w:rsidRPr="00215D48">
        <w:rPr>
          <w:rFonts w:cs="Arial"/>
        </w:rPr>
        <w:t>© Commonwealth of Australia 20</w:t>
      </w:r>
      <w:r>
        <w:rPr>
          <w:rFonts w:cs="Arial"/>
        </w:rPr>
        <w:t>2</w:t>
      </w:r>
      <w:r w:rsidR="00FB3CF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p w14:paraId="204F3341" w14:textId="77777777" w:rsidR="007D059C" w:rsidRDefault="007D059C" w:rsidP="00175CD8"/>
    <w:p w14:paraId="2D62BE8B" w14:textId="77777777" w:rsidR="007D059C" w:rsidRDefault="007D059C" w:rsidP="00175CD8"/>
    <w:p w14:paraId="3E117A48" w14:textId="77777777" w:rsidR="007D059C" w:rsidRDefault="007D059C" w:rsidP="00175CD8"/>
    <w:p w14:paraId="1C111CF8" w14:textId="77777777" w:rsidR="007D059C" w:rsidRDefault="007D059C" w:rsidP="00175CD8"/>
    <w:p w14:paraId="73FAA2C2" w14:textId="77777777" w:rsidR="007D059C" w:rsidRDefault="007D059C" w:rsidP="00175CD8"/>
    <w:p w14:paraId="2D1D3C60" w14:textId="77777777" w:rsidR="007D059C" w:rsidRDefault="007D059C" w:rsidP="00175CD8"/>
    <w:p w14:paraId="43E4A9C6" w14:textId="77777777" w:rsidR="007D059C" w:rsidRDefault="007D059C" w:rsidP="00175CD8"/>
    <w:p w14:paraId="7FA2997E" w14:textId="77777777" w:rsidR="007D059C" w:rsidRDefault="007D059C" w:rsidP="00175CD8"/>
    <w:p w14:paraId="1AF7191F" w14:textId="77777777" w:rsidR="007D059C" w:rsidRDefault="007D059C" w:rsidP="00175CD8"/>
    <w:p w14:paraId="43FADD76" w14:textId="77777777" w:rsidR="007D059C" w:rsidRDefault="007D059C" w:rsidP="00175CD8"/>
    <w:p w14:paraId="761CB816" w14:textId="77777777" w:rsidR="007D059C" w:rsidRDefault="007D059C" w:rsidP="00175CD8"/>
    <w:p w14:paraId="12171639" w14:textId="77777777" w:rsidR="007D059C" w:rsidRDefault="007D059C" w:rsidP="00175CD8"/>
    <w:p w14:paraId="453AA7C5" w14:textId="77777777" w:rsidR="007D059C" w:rsidRDefault="007D059C" w:rsidP="00175CD8"/>
    <w:p w14:paraId="02A0043A" w14:textId="77777777" w:rsidR="007D059C" w:rsidRDefault="007D059C" w:rsidP="00175CD8"/>
    <w:p w14:paraId="4EA3B588" w14:textId="77777777" w:rsidR="007D059C" w:rsidRDefault="007D059C" w:rsidP="00175CD8"/>
    <w:p w14:paraId="0BCFA628" w14:textId="77777777" w:rsidR="007D059C" w:rsidRDefault="007D059C" w:rsidP="00175CD8"/>
    <w:p w14:paraId="24E69DE2" w14:textId="77777777" w:rsidR="007D059C" w:rsidRDefault="007D059C" w:rsidP="00175CD8"/>
    <w:p w14:paraId="45C40C73" w14:textId="77777777" w:rsidR="007D059C" w:rsidRDefault="007D059C" w:rsidP="00175CD8"/>
    <w:p w14:paraId="65807A7B" w14:textId="77777777" w:rsidR="007D059C" w:rsidRDefault="007D059C" w:rsidP="00175CD8"/>
    <w:p w14:paraId="2E4D7F44" w14:textId="77777777" w:rsidR="007D059C" w:rsidRDefault="007D059C" w:rsidP="00175CD8"/>
    <w:p w14:paraId="2BB2B78E" w14:textId="77777777" w:rsidR="007D059C" w:rsidRDefault="007D059C" w:rsidP="00175CD8"/>
    <w:p w14:paraId="4FD8DEA6" w14:textId="77777777" w:rsidR="007D059C" w:rsidRDefault="007D059C" w:rsidP="00175CD8"/>
    <w:p w14:paraId="0318F6E5" w14:textId="77777777" w:rsidR="007D059C" w:rsidRDefault="007D059C" w:rsidP="00175CD8"/>
    <w:p w14:paraId="5904CE95" w14:textId="77777777" w:rsidR="007D059C" w:rsidRDefault="007D059C" w:rsidP="00175CD8"/>
    <w:p w14:paraId="554BF2B1" w14:textId="77777777" w:rsidR="007D059C" w:rsidRDefault="007D059C" w:rsidP="00175CD8"/>
    <w:p w14:paraId="6AEAC1BA" w14:textId="77777777" w:rsidR="007D059C" w:rsidRDefault="007D059C" w:rsidP="00175CD8"/>
    <w:p w14:paraId="4B289278" w14:textId="77777777" w:rsidR="007D059C" w:rsidRDefault="007D059C" w:rsidP="00175CD8"/>
    <w:p w14:paraId="1DA24853" w14:textId="77777777" w:rsidR="000776E7" w:rsidRPr="000776E7" w:rsidRDefault="000776E7" w:rsidP="000776E7"/>
    <w:p w14:paraId="7C66D600" w14:textId="77777777" w:rsidR="000776E7" w:rsidRPr="000776E7" w:rsidRDefault="000776E7" w:rsidP="000776E7"/>
    <w:p w14:paraId="1C424867" w14:textId="77777777" w:rsidR="000776E7" w:rsidRPr="000776E7" w:rsidRDefault="000776E7" w:rsidP="000776E7"/>
    <w:p w14:paraId="7BBC814C" w14:textId="77777777" w:rsidR="000776E7" w:rsidRDefault="000776E7" w:rsidP="000776E7"/>
    <w:p w14:paraId="1FCAC1D6" w14:textId="77777777" w:rsidR="000776E7" w:rsidRPr="000776E7" w:rsidRDefault="000776E7" w:rsidP="000776E7"/>
    <w:sdt>
      <w:sdtPr>
        <w:rPr>
          <w:rFonts w:ascii="Overpass" w:eastAsiaTheme="minorEastAsia" w:hAnsi="Overpass" w:cstheme="minorBidi"/>
          <w:b w:val="0"/>
          <w:color w:val="000000" w:themeColor="text1"/>
          <w:sz w:val="20"/>
        </w:rPr>
        <w:id w:val="-1806608905"/>
        <w:docPartObj>
          <w:docPartGallery w:val="Table of Contents"/>
          <w:docPartUnique/>
        </w:docPartObj>
      </w:sdtPr>
      <w:sdtEndPr>
        <w:rPr>
          <w:rFonts w:ascii="Arial" w:hAnsi="Arial"/>
          <w:color w:val="auto"/>
        </w:rPr>
      </w:sdtEndPr>
      <w:sdtContent>
        <w:sdt>
          <w:sdtPr>
            <w:rPr>
              <w:rFonts w:ascii="Overpass" w:eastAsiaTheme="minorEastAsia" w:hAnsi="Overpass" w:cstheme="minorBidi"/>
              <w:b w:val="0"/>
              <w:color w:val="000000" w:themeColor="text1"/>
              <w:sz w:val="20"/>
            </w:rPr>
            <w:id w:val="1702208334"/>
            <w:docPartObj>
              <w:docPartGallery w:val="Table of Contents"/>
              <w:docPartUnique/>
            </w:docPartObj>
          </w:sdtPr>
          <w:sdtEndPr>
            <w:rPr>
              <w:rFonts w:ascii="Arial" w:hAnsi="Arial"/>
              <w:color w:val="auto"/>
            </w:rPr>
          </w:sdtEndPr>
          <w:sdtContent>
            <w:sdt>
              <w:sdtPr>
                <w:rPr>
                  <w:rFonts w:ascii="Overpass" w:eastAsiaTheme="minorEastAsia" w:hAnsi="Overpass" w:cstheme="minorBidi"/>
                  <w:b w:val="0"/>
                  <w:color w:val="000000" w:themeColor="text1"/>
                  <w:sz w:val="20"/>
                </w:rPr>
                <w:id w:val="1610468398"/>
                <w:docPartObj>
                  <w:docPartGallery w:val="Table of Contents"/>
                  <w:docPartUnique/>
                </w:docPartObj>
              </w:sdtPr>
              <w:sdtEndPr>
                <w:rPr>
                  <w:rFonts w:ascii="Arial" w:hAnsi="Arial" w:cs="Times New Roman"/>
                  <w:b/>
                  <w:color w:val="333F48"/>
                  <w:sz w:val="32"/>
                </w:rPr>
              </w:sdtEndPr>
              <w:sdtContent>
                <w:p w14:paraId="659E6F2E" w14:textId="77777777" w:rsidR="006466AD" w:rsidRDefault="006466AD">
                  <w:pPr>
                    <w:pStyle w:val="TOC1"/>
                    <w:rPr>
                      <w:rFonts w:ascii="Overpass" w:eastAsiaTheme="minorEastAsia" w:hAnsi="Overpass" w:cstheme="minorBidi"/>
                      <w:b w:val="0"/>
                      <w:color w:val="auto"/>
                      <w:sz w:val="20"/>
                    </w:rPr>
                  </w:pPr>
                </w:p>
                <w:sdt>
                  <w:sdtPr>
                    <w:rPr>
                      <w:rFonts w:ascii="Overpass" w:eastAsiaTheme="minorEastAsia" w:hAnsi="Overpass" w:cstheme="minorBidi"/>
                      <w:b w:val="0"/>
                      <w:color w:val="000000" w:themeColor="text1"/>
                      <w:sz w:val="20"/>
                    </w:rPr>
                    <w:id w:val="1150328024"/>
                    <w:docPartObj>
                      <w:docPartGallery w:val="Table of Contents"/>
                      <w:docPartUnique/>
                    </w:docPartObj>
                  </w:sdtPr>
                  <w:sdtEndPr>
                    <w:rPr>
                      <w:rFonts w:ascii="Arial" w:hAnsi="Arial" w:cs="Times New Roman"/>
                      <w:b/>
                      <w:color w:val="333F48"/>
                      <w:sz w:val="32"/>
                    </w:rPr>
                  </w:sdtEndPr>
                  <w:sdtContent>
                    <w:p w14:paraId="36E54ACD" w14:textId="77777777" w:rsidR="007A394D" w:rsidRDefault="00CE52F3">
                      <w:pPr>
                        <w:pStyle w:val="TOC2"/>
                        <w:rPr>
                          <w:rStyle w:val="Heading2Char"/>
                          <w:rFonts w:eastAsia="Batang"/>
                        </w:rPr>
                      </w:pPr>
                      <w:r w:rsidRPr="00C2652F">
                        <w:rPr>
                          <w:rStyle w:val="Heading2Char"/>
                          <w:rFonts w:eastAsia="Batang"/>
                        </w:rPr>
                        <w:t>C</w:t>
                      </w:r>
                      <w:r w:rsidR="00C2652F" w:rsidRPr="00C2652F">
                        <w:rPr>
                          <w:rStyle w:val="Heading2Char"/>
                          <w:rFonts w:eastAsia="Batang"/>
                        </w:rPr>
                        <w:t>ontents</w:t>
                      </w:r>
                    </w:p>
                    <w:p w14:paraId="4831EC50" w14:textId="190B6AE8" w:rsidR="00D5116A" w:rsidRDefault="00CE52F3">
                      <w:pPr>
                        <w:pStyle w:val="TOC2"/>
                        <w:rPr>
                          <w:rFonts w:asciiTheme="minorHAnsi" w:eastAsiaTheme="minorEastAsia" w:hAnsiTheme="minorHAnsi" w:cstheme="minorBidi"/>
                          <w:b w:val="0"/>
                          <w:noProof/>
                          <w:color w:val="auto"/>
                          <w:kern w:val="2"/>
                          <w:sz w:val="24"/>
                          <w:szCs w:val="24"/>
                          <w:lang w:eastAsia="en-AU"/>
                          <w14:ligatures w14:val="standardContextual"/>
                        </w:rPr>
                      </w:pPr>
                      <w:r>
                        <w:rPr>
                          <w:rStyle w:val="Heading2Char"/>
                          <w:rFonts w:eastAsiaTheme="minorHAnsi"/>
                          <w:caps/>
                          <w:spacing w:val="-15"/>
                          <w:lang w:val="en-US"/>
                        </w:rPr>
                        <w:fldChar w:fldCharType="begin"/>
                      </w:r>
                      <w:r w:rsidRPr="00C2652F">
                        <w:rPr>
                          <w:rStyle w:val="Heading2Char"/>
                          <w:rFonts w:eastAsia="Batang"/>
                        </w:rPr>
                        <w:instrText xml:space="preserve"> TOC \o "1-3" \h \z \u </w:instrText>
                      </w:r>
                      <w:r>
                        <w:rPr>
                          <w:rStyle w:val="Heading2Char"/>
                          <w:rFonts w:eastAsiaTheme="minorHAnsi"/>
                          <w:caps/>
                          <w:spacing w:val="-15"/>
                          <w:lang w:val="en-US"/>
                        </w:rPr>
                        <w:fldChar w:fldCharType="separate"/>
                      </w:r>
                      <w:hyperlink w:anchor="_Toc188012837" w:history="1">
                        <w:r w:rsidR="00D5116A" w:rsidRPr="002E25FF">
                          <w:rPr>
                            <w:rStyle w:val="Hyperlink"/>
                            <w:noProof/>
                          </w:rPr>
                          <w:t>Executive Summary</w:t>
                        </w:r>
                        <w:r w:rsidR="00D5116A">
                          <w:rPr>
                            <w:noProof/>
                            <w:webHidden/>
                          </w:rPr>
                          <w:tab/>
                        </w:r>
                        <w:r w:rsidR="00D5116A">
                          <w:rPr>
                            <w:noProof/>
                            <w:webHidden/>
                          </w:rPr>
                          <w:fldChar w:fldCharType="begin"/>
                        </w:r>
                        <w:r w:rsidR="00D5116A">
                          <w:rPr>
                            <w:noProof/>
                            <w:webHidden/>
                          </w:rPr>
                          <w:instrText xml:space="preserve"> PAGEREF _Toc188012837 \h </w:instrText>
                        </w:r>
                        <w:r w:rsidR="00D5116A">
                          <w:rPr>
                            <w:noProof/>
                            <w:webHidden/>
                          </w:rPr>
                        </w:r>
                        <w:r w:rsidR="00D5116A">
                          <w:rPr>
                            <w:noProof/>
                            <w:webHidden/>
                          </w:rPr>
                          <w:fldChar w:fldCharType="separate"/>
                        </w:r>
                        <w:r w:rsidR="00D5116A">
                          <w:rPr>
                            <w:noProof/>
                            <w:webHidden/>
                          </w:rPr>
                          <w:t>5</w:t>
                        </w:r>
                        <w:r w:rsidR="00D5116A">
                          <w:rPr>
                            <w:noProof/>
                            <w:webHidden/>
                          </w:rPr>
                          <w:fldChar w:fldCharType="end"/>
                        </w:r>
                      </w:hyperlink>
                    </w:p>
                    <w:p w14:paraId="3E43A496" w14:textId="6BF8FF96"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38" w:history="1">
                        <w:r w:rsidR="00D5116A" w:rsidRPr="002E25FF">
                          <w:rPr>
                            <w:rStyle w:val="Hyperlink"/>
                            <w:noProof/>
                          </w:rPr>
                          <w:t>Analysis of options</w:t>
                        </w:r>
                        <w:r w:rsidR="00D5116A">
                          <w:rPr>
                            <w:noProof/>
                            <w:webHidden/>
                          </w:rPr>
                          <w:tab/>
                        </w:r>
                        <w:r w:rsidR="00D5116A">
                          <w:rPr>
                            <w:noProof/>
                            <w:webHidden/>
                          </w:rPr>
                          <w:fldChar w:fldCharType="begin"/>
                        </w:r>
                        <w:r w:rsidR="00D5116A">
                          <w:rPr>
                            <w:noProof/>
                            <w:webHidden/>
                          </w:rPr>
                          <w:instrText xml:space="preserve"> PAGEREF _Toc188012838 \h </w:instrText>
                        </w:r>
                        <w:r w:rsidR="00D5116A">
                          <w:rPr>
                            <w:noProof/>
                            <w:webHidden/>
                          </w:rPr>
                        </w:r>
                        <w:r w:rsidR="00D5116A">
                          <w:rPr>
                            <w:noProof/>
                            <w:webHidden/>
                          </w:rPr>
                          <w:fldChar w:fldCharType="separate"/>
                        </w:r>
                        <w:r w:rsidR="00D5116A">
                          <w:rPr>
                            <w:noProof/>
                            <w:webHidden/>
                          </w:rPr>
                          <w:t>8</w:t>
                        </w:r>
                        <w:r w:rsidR="00D5116A">
                          <w:rPr>
                            <w:noProof/>
                            <w:webHidden/>
                          </w:rPr>
                          <w:fldChar w:fldCharType="end"/>
                        </w:r>
                      </w:hyperlink>
                    </w:p>
                    <w:p w14:paraId="440DDB12" w14:textId="451BDF67"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39" w:history="1">
                        <w:r w:rsidR="00D5116A" w:rsidRPr="002E25FF">
                          <w:rPr>
                            <w:rStyle w:val="Hyperlink"/>
                            <w:noProof/>
                          </w:rPr>
                          <w:t>Preferred option</w:t>
                        </w:r>
                        <w:r w:rsidR="00D5116A">
                          <w:rPr>
                            <w:noProof/>
                            <w:webHidden/>
                          </w:rPr>
                          <w:tab/>
                        </w:r>
                        <w:r w:rsidR="00D5116A">
                          <w:rPr>
                            <w:noProof/>
                            <w:webHidden/>
                          </w:rPr>
                          <w:fldChar w:fldCharType="begin"/>
                        </w:r>
                        <w:r w:rsidR="00D5116A">
                          <w:rPr>
                            <w:noProof/>
                            <w:webHidden/>
                          </w:rPr>
                          <w:instrText xml:space="preserve"> PAGEREF _Toc188012839 \h </w:instrText>
                        </w:r>
                        <w:r w:rsidR="00D5116A">
                          <w:rPr>
                            <w:noProof/>
                            <w:webHidden/>
                          </w:rPr>
                        </w:r>
                        <w:r w:rsidR="00D5116A">
                          <w:rPr>
                            <w:noProof/>
                            <w:webHidden/>
                          </w:rPr>
                          <w:fldChar w:fldCharType="separate"/>
                        </w:r>
                        <w:r w:rsidR="00D5116A">
                          <w:rPr>
                            <w:noProof/>
                            <w:webHidden/>
                          </w:rPr>
                          <w:t>10</w:t>
                        </w:r>
                        <w:r w:rsidR="00D5116A">
                          <w:rPr>
                            <w:noProof/>
                            <w:webHidden/>
                          </w:rPr>
                          <w:fldChar w:fldCharType="end"/>
                        </w:r>
                      </w:hyperlink>
                    </w:p>
                    <w:p w14:paraId="629A0D71" w14:textId="05B97132"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0" w:history="1">
                        <w:r w:rsidR="00D5116A" w:rsidRPr="002E25FF">
                          <w:rPr>
                            <w:rStyle w:val="Hyperlink"/>
                            <w:noProof/>
                          </w:rPr>
                          <w:t xml:space="preserve">Stakeholder consultations </w:t>
                        </w:r>
                        <w:r w:rsidR="00D5116A" w:rsidRPr="002E25FF">
                          <w:rPr>
                            <w:rStyle w:val="Hyperlink"/>
                            <w:rFonts w:eastAsiaTheme="minorHAnsi"/>
                            <w:noProof/>
                          </w:rPr>
                          <w:t xml:space="preserve"> Extensive consultations with a diverse range of stakeholders informed the development of the preferred option and the proposed implementation strategy.</w:t>
                        </w:r>
                        <w:r w:rsidR="00D5116A">
                          <w:rPr>
                            <w:noProof/>
                            <w:webHidden/>
                          </w:rPr>
                          <w:tab/>
                        </w:r>
                        <w:r w:rsidR="00D5116A">
                          <w:rPr>
                            <w:noProof/>
                            <w:webHidden/>
                          </w:rPr>
                          <w:fldChar w:fldCharType="begin"/>
                        </w:r>
                        <w:r w:rsidR="00D5116A">
                          <w:rPr>
                            <w:noProof/>
                            <w:webHidden/>
                          </w:rPr>
                          <w:instrText xml:space="preserve"> PAGEREF _Toc188012840 \h </w:instrText>
                        </w:r>
                        <w:r w:rsidR="00D5116A">
                          <w:rPr>
                            <w:noProof/>
                            <w:webHidden/>
                          </w:rPr>
                        </w:r>
                        <w:r w:rsidR="00D5116A">
                          <w:rPr>
                            <w:noProof/>
                            <w:webHidden/>
                          </w:rPr>
                          <w:fldChar w:fldCharType="separate"/>
                        </w:r>
                        <w:r w:rsidR="00D5116A">
                          <w:rPr>
                            <w:noProof/>
                            <w:webHidden/>
                          </w:rPr>
                          <w:t>10</w:t>
                        </w:r>
                        <w:r w:rsidR="00D5116A">
                          <w:rPr>
                            <w:noProof/>
                            <w:webHidden/>
                          </w:rPr>
                          <w:fldChar w:fldCharType="end"/>
                        </w:r>
                      </w:hyperlink>
                    </w:p>
                    <w:p w14:paraId="4B0281F7" w14:textId="62C3EF16"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1" w:history="1">
                        <w:r w:rsidR="00D5116A" w:rsidRPr="002E25FF">
                          <w:rPr>
                            <w:rStyle w:val="Hyperlink"/>
                            <w:noProof/>
                          </w:rPr>
                          <w:t>Implementation strategy</w:t>
                        </w:r>
                        <w:r w:rsidR="00D5116A">
                          <w:rPr>
                            <w:noProof/>
                            <w:webHidden/>
                          </w:rPr>
                          <w:tab/>
                        </w:r>
                        <w:r w:rsidR="00D5116A">
                          <w:rPr>
                            <w:noProof/>
                            <w:webHidden/>
                          </w:rPr>
                          <w:fldChar w:fldCharType="begin"/>
                        </w:r>
                        <w:r w:rsidR="00D5116A">
                          <w:rPr>
                            <w:noProof/>
                            <w:webHidden/>
                          </w:rPr>
                          <w:instrText xml:space="preserve"> PAGEREF _Toc188012841 \h </w:instrText>
                        </w:r>
                        <w:r w:rsidR="00D5116A">
                          <w:rPr>
                            <w:noProof/>
                            <w:webHidden/>
                          </w:rPr>
                        </w:r>
                        <w:r w:rsidR="00D5116A">
                          <w:rPr>
                            <w:noProof/>
                            <w:webHidden/>
                          </w:rPr>
                          <w:fldChar w:fldCharType="separate"/>
                        </w:r>
                        <w:r w:rsidR="00D5116A">
                          <w:rPr>
                            <w:noProof/>
                            <w:webHidden/>
                          </w:rPr>
                          <w:t>11</w:t>
                        </w:r>
                        <w:r w:rsidR="00D5116A">
                          <w:rPr>
                            <w:noProof/>
                            <w:webHidden/>
                          </w:rPr>
                          <w:fldChar w:fldCharType="end"/>
                        </w:r>
                      </w:hyperlink>
                    </w:p>
                    <w:p w14:paraId="3A40B95F" w14:textId="4BC43D57"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42" w:history="1">
                        <w:r w:rsidR="00D5116A" w:rsidRPr="002E25FF">
                          <w:rPr>
                            <w:rStyle w:val="Hyperlink"/>
                            <w:noProof/>
                          </w:rPr>
                          <w:t>Introduction</w:t>
                        </w:r>
                        <w:r w:rsidR="00D5116A">
                          <w:rPr>
                            <w:noProof/>
                            <w:webHidden/>
                          </w:rPr>
                          <w:tab/>
                        </w:r>
                        <w:r w:rsidR="00D5116A">
                          <w:rPr>
                            <w:noProof/>
                            <w:webHidden/>
                          </w:rPr>
                          <w:fldChar w:fldCharType="begin"/>
                        </w:r>
                        <w:r w:rsidR="00D5116A">
                          <w:rPr>
                            <w:noProof/>
                            <w:webHidden/>
                          </w:rPr>
                          <w:instrText xml:space="preserve"> PAGEREF _Toc188012842 \h </w:instrText>
                        </w:r>
                        <w:r w:rsidR="00D5116A">
                          <w:rPr>
                            <w:noProof/>
                            <w:webHidden/>
                          </w:rPr>
                        </w:r>
                        <w:r w:rsidR="00D5116A">
                          <w:rPr>
                            <w:noProof/>
                            <w:webHidden/>
                          </w:rPr>
                          <w:fldChar w:fldCharType="separate"/>
                        </w:r>
                        <w:r w:rsidR="00D5116A">
                          <w:rPr>
                            <w:noProof/>
                            <w:webHidden/>
                          </w:rPr>
                          <w:t>12</w:t>
                        </w:r>
                        <w:r w:rsidR="00D5116A">
                          <w:rPr>
                            <w:noProof/>
                            <w:webHidden/>
                          </w:rPr>
                          <w:fldChar w:fldCharType="end"/>
                        </w:r>
                      </w:hyperlink>
                    </w:p>
                    <w:p w14:paraId="601446C7" w14:textId="6AA6206E"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3" w:history="1">
                        <w:r w:rsidR="00D5116A" w:rsidRPr="002E25FF">
                          <w:rPr>
                            <w:rStyle w:val="Hyperlink"/>
                            <w:noProof/>
                          </w:rPr>
                          <w:t>Background</w:t>
                        </w:r>
                        <w:r w:rsidR="00D5116A">
                          <w:rPr>
                            <w:noProof/>
                            <w:webHidden/>
                          </w:rPr>
                          <w:tab/>
                        </w:r>
                        <w:r w:rsidR="00D5116A">
                          <w:rPr>
                            <w:noProof/>
                            <w:webHidden/>
                          </w:rPr>
                          <w:fldChar w:fldCharType="begin"/>
                        </w:r>
                        <w:r w:rsidR="00D5116A">
                          <w:rPr>
                            <w:noProof/>
                            <w:webHidden/>
                          </w:rPr>
                          <w:instrText xml:space="preserve"> PAGEREF _Toc188012843 \h </w:instrText>
                        </w:r>
                        <w:r w:rsidR="00D5116A">
                          <w:rPr>
                            <w:noProof/>
                            <w:webHidden/>
                          </w:rPr>
                        </w:r>
                        <w:r w:rsidR="00D5116A">
                          <w:rPr>
                            <w:noProof/>
                            <w:webHidden/>
                          </w:rPr>
                          <w:fldChar w:fldCharType="separate"/>
                        </w:r>
                        <w:r w:rsidR="00D5116A">
                          <w:rPr>
                            <w:noProof/>
                            <w:webHidden/>
                          </w:rPr>
                          <w:t>12</w:t>
                        </w:r>
                        <w:r w:rsidR="00D5116A">
                          <w:rPr>
                            <w:noProof/>
                            <w:webHidden/>
                          </w:rPr>
                          <w:fldChar w:fldCharType="end"/>
                        </w:r>
                      </w:hyperlink>
                    </w:p>
                    <w:p w14:paraId="04EC3543" w14:textId="45EAFB08"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4" w:history="1">
                        <w:r w:rsidR="00D5116A" w:rsidRPr="002E25FF">
                          <w:rPr>
                            <w:rStyle w:val="Hyperlink"/>
                            <w:noProof/>
                          </w:rPr>
                          <w:t>What is a medical device?</w:t>
                        </w:r>
                        <w:r w:rsidR="00D5116A">
                          <w:rPr>
                            <w:noProof/>
                            <w:webHidden/>
                          </w:rPr>
                          <w:tab/>
                        </w:r>
                        <w:r w:rsidR="00D5116A">
                          <w:rPr>
                            <w:noProof/>
                            <w:webHidden/>
                          </w:rPr>
                          <w:fldChar w:fldCharType="begin"/>
                        </w:r>
                        <w:r w:rsidR="00D5116A">
                          <w:rPr>
                            <w:noProof/>
                            <w:webHidden/>
                          </w:rPr>
                          <w:instrText xml:space="preserve"> PAGEREF _Toc188012844 \h </w:instrText>
                        </w:r>
                        <w:r w:rsidR="00D5116A">
                          <w:rPr>
                            <w:noProof/>
                            <w:webHidden/>
                          </w:rPr>
                        </w:r>
                        <w:r w:rsidR="00D5116A">
                          <w:rPr>
                            <w:noProof/>
                            <w:webHidden/>
                          </w:rPr>
                          <w:fldChar w:fldCharType="separate"/>
                        </w:r>
                        <w:r w:rsidR="00D5116A">
                          <w:rPr>
                            <w:noProof/>
                            <w:webHidden/>
                          </w:rPr>
                          <w:t>15</w:t>
                        </w:r>
                        <w:r w:rsidR="00D5116A">
                          <w:rPr>
                            <w:noProof/>
                            <w:webHidden/>
                          </w:rPr>
                          <w:fldChar w:fldCharType="end"/>
                        </w:r>
                      </w:hyperlink>
                    </w:p>
                    <w:p w14:paraId="74C3ED34" w14:textId="7B5D7427"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5" w:history="1">
                        <w:r w:rsidR="00D5116A" w:rsidRPr="002E25FF">
                          <w:rPr>
                            <w:rStyle w:val="Hyperlink"/>
                            <w:noProof/>
                          </w:rPr>
                          <w:t>What is an adverse event?</w:t>
                        </w:r>
                        <w:r w:rsidR="00D5116A">
                          <w:rPr>
                            <w:noProof/>
                            <w:webHidden/>
                          </w:rPr>
                          <w:tab/>
                        </w:r>
                        <w:r w:rsidR="00D5116A">
                          <w:rPr>
                            <w:noProof/>
                            <w:webHidden/>
                          </w:rPr>
                          <w:fldChar w:fldCharType="begin"/>
                        </w:r>
                        <w:r w:rsidR="00D5116A">
                          <w:rPr>
                            <w:noProof/>
                            <w:webHidden/>
                          </w:rPr>
                          <w:instrText xml:space="preserve"> PAGEREF _Toc188012845 \h </w:instrText>
                        </w:r>
                        <w:r w:rsidR="00D5116A">
                          <w:rPr>
                            <w:noProof/>
                            <w:webHidden/>
                          </w:rPr>
                        </w:r>
                        <w:r w:rsidR="00D5116A">
                          <w:rPr>
                            <w:noProof/>
                            <w:webHidden/>
                          </w:rPr>
                          <w:fldChar w:fldCharType="separate"/>
                        </w:r>
                        <w:r w:rsidR="00D5116A">
                          <w:rPr>
                            <w:noProof/>
                            <w:webHidden/>
                          </w:rPr>
                          <w:t>16</w:t>
                        </w:r>
                        <w:r w:rsidR="00D5116A">
                          <w:rPr>
                            <w:noProof/>
                            <w:webHidden/>
                          </w:rPr>
                          <w:fldChar w:fldCharType="end"/>
                        </w:r>
                      </w:hyperlink>
                    </w:p>
                    <w:p w14:paraId="1B6FE7FE" w14:textId="58C4D9FA"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6" w:history="1">
                        <w:r w:rsidR="00D5116A" w:rsidRPr="002E25FF">
                          <w:rPr>
                            <w:rStyle w:val="Hyperlink"/>
                            <w:noProof/>
                          </w:rPr>
                          <w:t>Medical devices post-market monitoring</w:t>
                        </w:r>
                        <w:r w:rsidR="00D5116A">
                          <w:rPr>
                            <w:noProof/>
                            <w:webHidden/>
                          </w:rPr>
                          <w:tab/>
                        </w:r>
                        <w:r w:rsidR="00D5116A">
                          <w:rPr>
                            <w:noProof/>
                            <w:webHidden/>
                          </w:rPr>
                          <w:fldChar w:fldCharType="begin"/>
                        </w:r>
                        <w:r w:rsidR="00D5116A">
                          <w:rPr>
                            <w:noProof/>
                            <w:webHidden/>
                          </w:rPr>
                          <w:instrText xml:space="preserve"> PAGEREF _Toc188012846 \h </w:instrText>
                        </w:r>
                        <w:r w:rsidR="00D5116A">
                          <w:rPr>
                            <w:noProof/>
                            <w:webHidden/>
                          </w:rPr>
                        </w:r>
                        <w:r w:rsidR="00D5116A">
                          <w:rPr>
                            <w:noProof/>
                            <w:webHidden/>
                          </w:rPr>
                          <w:fldChar w:fldCharType="separate"/>
                        </w:r>
                        <w:r w:rsidR="00D5116A">
                          <w:rPr>
                            <w:noProof/>
                            <w:webHidden/>
                          </w:rPr>
                          <w:t>17</w:t>
                        </w:r>
                        <w:r w:rsidR="00D5116A">
                          <w:rPr>
                            <w:noProof/>
                            <w:webHidden/>
                          </w:rPr>
                          <w:fldChar w:fldCharType="end"/>
                        </w:r>
                      </w:hyperlink>
                    </w:p>
                    <w:p w14:paraId="2F23B7BE" w14:textId="17E5A019"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7" w:history="1">
                        <w:r w:rsidR="00D5116A" w:rsidRPr="002E25FF">
                          <w:rPr>
                            <w:rStyle w:val="Hyperlink"/>
                            <w:noProof/>
                          </w:rPr>
                          <w:t>Reporting medical device adverse events</w:t>
                        </w:r>
                        <w:r w:rsidR="00D5116A">
                          <w:rPr>
                            <w:noProof/>
                            <w:webHidden/>
                          </w:rPr>
                          <w:tab/>
                        </w:r>
                        <w:r w:rsidR="00D5116A">
                          <w:rPr>
                            <w:noProof/>
                            <w:webHidden/>
                          </w:rPr>
                          <w:fldChar w:fldCharType="begin"/>
                        </w:r>
                        <w:r w:rsidR="00D5116A">
                          <w:rPr>
                            <w:noProof/>
                            <w:webHidden/>
                          </w:rPr>
                          <w:instrText xml:space="preserve"> PAGEREF _Toc188012847 \h </w:instrText>
                        </w:r>
                        <w:r w:rsidR="00D5116A">
                          <w:rPr>
                            <w:noProof/>
                            <w:webHidden/>
                          </w:rPr>
                        </w:r>
                        <w:r w:rsidR="00D5116A">
                          <w:rPr>
                            <w:noProof/>
                            <w:webHidden/>
                          </w:rPr>
                          <w:fldChar w:fldCharType="separate"/>
                        </w:r>
                        <w:r w:rsidR="00D5116A">
                          <w:rPr>
                            <w:noProof/>
                            <w:webHidden/>
                          </w:rPr>
                          <w:t>19</w:t>
                        </w:r>
                        <w:r w:rsidR="00D5116A">
                          <w:rPr>
                            <w:noProof/>
                            <w:webHidden/>
                          </w:rPr>
                          <w:fldChar w:fldCharType="end"/>
                        </w:r>
                      </w:hyperlink>
                    </w:p>
                    <w:p w14:paraId="084CBDE8" w14:textId="036B8BC3"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8" w:history="1">
                        <w:r w:rsidR="00D5116A" w:rsidRPr="002E25FF">
                          <w:rPr>
                            <w:rStyle w:val="Hyperlink"/>
                            <w:noProof/>
                          </w:rPr>
                          <w:t>Legislative framework</w:t>
                        </w:r>
                        <w:r w:rsidR="00D5116A">
                          <w:rPr>
                            <w:noProof/>
                            <w:webHidden/>
                          </w:rPr>
                          <w:tab/>
                        </w:r>
                        <w:r w:rsidR="00D5116A">
                          <w:rPr>
                            <w:noProof/>
                            <w:webHidden/>
                          </w:rPr>
                          <w:fldChar w:fldCharType="begin"/>
                        </w:r>
                        <w:r w:rsidR="00D5116A">
                          <w:rPr>
                            <w:noProof/>
                            <w:webHidden/>
                          </w:rPr>
                          <w:instrText xml:space="preserve"> PAGEREF _Toc188012848 \h </w:instrText>
                        </w:r>
                        <w:r w:rsidR="00D5116A">
                          <w:rPr>
                            <w:noProof/>
                            <w:webHidden/>
                          </w:rPr>
                        </w:r>
                        <w:r w:rsidR="00D5116A">
                          <w:rPr>
                            <w:noProof/>
                            <w:webHidden/>
                          </w:rPr>
                          <w:fldChar w:fldCharType="separate"/>
                        </w:r>
                        <w:r w:rsidR="00D5116A">
                          <w:rPr>
                            <w:noProof/>
                            <w:webHidden/>
                          </w:rPr>
                          <w:t>22</w:t>
                        </w:r>
                        <w:r w:rsidR="00D5116A">
                          <w:rPr>
                            <w:noProof/>
                            <w:webHidden/>
                          </w:rPr>
                          <w:fldChar w:fldCharType="end"/>
                        </w:r>
                      </w:hyperlink>
                    </w:p>
                    <w:p w14:paraId="031E2482" w14:textId="5E27077A"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49" w:history="1">
                        <w:r w:rsidR="00D5116A" w:rsidRPr="002E25FF">
                          <w:rPr>
                            <w:rStyle w:val="Hyperlink"/>
                            <w:noProof/>
                          </w:rPr>
                          <w:t>Impact Analysis</w:t>
                        </w:r>
                        <w:r w:rsidR="00D5116A">
                          <w:rPr>
                            <w:noProof/>
                            <w:webHidden/>
                          </w:rPr>
                          <w:tab/>
                        </w:r>
                        <w:r w:rsidR="00D5116A">
                          <w:rPr>
                            <w:noProof/>
                            <w:webHidden/>
                          </w:rPr>
                          <w:fldChar w:fldCharType="begin"/>
                        </w:r>
                        <w:r w:rsidR="00D5116A">
                          <w:rPr>
                            <w:noProof/>
                            <w:webHidden/>
                          </w:rPr>
                          <w:instrText xml:space="preserve"> PAGEREF _Toc188012849 \h </w:instrText>
                        </w:r>
                        <w:r w:rsidR="00D5116A">
                          <w:rPr>
                            <w:noProof/>
                            <w:webHidden/>
                          </w:rPr>
                        </w:r>
                        <w:r w:rsidR="00D5116A">
                          <w:rPr>
                            <w:noProof/>
                            <w:webHidden/>
                          </w:rPr>
                          <w:fldChar w:fldCharType="separate"/>
                        </w:r>
                        <w:r w:rsidR="00D5116A">
                          <w:rPr>
                            <w:noProof/>
                            <w:webHidden/>
                          </w:rPr>
                          <w:t>23</w:t>
                        </w:r>
                        <w:r w:rsidR="00D5116A">
                          <w:rPr>
                            <w:noProof/>
                            <w:webHidden/>
                          </w:rPr>
                          <w:fldChar w:fldCharType="end"/>
                        </w:r>
                      </w:hyperlink>
                    </w:p>
                    <w:p w14:paraId="366B3DAF" w14:textId="252E62EC"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50" w:history="1">
                        <w:r w:rsidR="00D5116A" w:rsidRPr="002E25FF">
                          <w:rPr>
                            <w:rStyle w:val="Hyperlink"/>
                            <w:noProof/>
                          </w:rPr>
                          <w:t>Question One: What is the problem you are trying to solve?</w:t>
                        </w:r>
                        <w:r w:rsidR="00D5116A">
                          <w:rPr>
                            <w:noProof/>
                            <w:webHidden/>
                          </w:rPr>
                          <w:tab/>
                        </w:r>
                        <w:r w:rsidR="00D5116A">
                          <w:rPr>
                            <w:noProof/>
                            <w:webHidden/>
                          </w:rPr>
                          <w:fldChar w:fldCharType="begin"/>
                        </w:r>
                        <w:r w:rsidR="00D5116A">
                          <w:rPr>
                            <w:noProof/>
                            <w:webHidden/>
                          </w:rPr>
                          <w:instrText xml:space="preserve"> PAGEREF _Toc188012850 \h </w:instrText>
                        </w:r>
                        <w:r w:rsidR="00D5116A">
                          <w:rPr>
                            <w:noProof/>
                            <w:webHidden/>
                          </w:rPr>
                        </w:r>
                        <w:r w:rsidR="00D5116A">
                          <w:rPr>
                            <w:noProof/>
                            <w:webHidden/>
                          </w:rPr>
                          <w:fldChar w:fldCharType="separate"/>
                        </w:r>
                        <w:r w:rsidR="00D5116A">
                          <w:rPr>
                            <w:noProof/>
                            <w:webHidden/>
                          </w:rPr>
                          <w:t>24</w:t>
                        </w:r>
                        <w:r w:rsidR="00D5116A">
                          <w:rPr>
                            <w:noProof/>
                            <w:webHidden/>
                          </w:rPr>
                          <w:fldChar w:fldCharType="end"/>
                        </w:r>
                      </w:hyperlink>
                    </w:p>
                    <w:p w14:paraId="4B2A2DBB" w14:textId="27133688"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51" w:history="1">
                        <w:r w:rsidR="00D5116A" w:rsidRPr="002E25FF">
                          <w:rPr>
                            <w:rStyle w:val="Hyperlink"/>
                            <w:noProof/>
                          </w:rPr>
                          <w:t>Question Two: Why is government action needed?</w:t>
                        </w:r>
                        <w:r w:rsidR="00D5116A">
                          <w:rPr>
                            <w:noProof/>
                            <w:webHidden/>
                          </w:rPr>
                          <w:tab/>
                        </w:r>
                        <w:r w:rsidR="00D5116A">
                          <w:rPr>
                            <w:noProof/>
                            <w:webHidden/>
                          </w:rPr>
                          <w:fldChar w:fldCharType="begin"/>
                        </w:r>
                        <w:r w:rsidR="00D5116A">
                          <w:rPr>
                            <w:noProof/>
                            <w:webHidden/>
                          </w:rPr>
                          <w:instrText xml:space="preserve"> PAGEREF _Toc188012851 \h </w:instrText>
                        </w:r>
                        <w:r w:rsidR="00D5116A">
                          <w:rPr>
                            <w:noProof/>
                            <w:webHidden/>
                          </w:rPr>
                        </w:r>
                        <w:r w:rsidR="00D5116A">
                          <w:rPr>
                            <w:noProof/>
                            <w:webHidden/>
                          </w:rPr>
                          <w:fldChar w:fldCharType="separate"/>
                        </w:r>
                        <w:r w:rsidR="00D5116A">
                          <w:rPr>
                            <w:noProof/>
                            <w:webHidden/>
                          </w:rPr>
                          <w:t>33</w:t>
                        </w:r>
                        <w:r w:rsidR="00D5116A">
                          <w:rPr>
                            <w:noProof/>
                            <w:webHidden/>
                          </w:rPr>
                          <w:fldChar w:fldCharType="end"/>
                        </w:r>
                      </w:hyperlink>
                    </w:p>
                    <w:p w14:paraId="2C293088" w14:textId="48E57BF9"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2" w:history="1">
                        <w:r w:rsidR="00D5116A" w:rsidRPr="002E25FF">
                          <w:rPr>
                            <w:rStyle w:val="Hyperlink"/>
                            <w:noProof/>
                          </w:rPr>
                          <w:t>Education approaches have not worked</w:t>
                        </w:r>
                        <w:r w:rsidR="00D5116A">
                          <w:rPr>
                            <w:noProof/>
                            <w:webHidden/>
                          </w:rPr>
                          <w:tab/>
                        </w:r>
                        <w:r w:rsidR="00D5116A">
                          <w:rPr>
                            <w:noProof/>
                            <w:webHidden/>
                          </w:rPr>
                          <w:fldChar w:fldCharType="begin"/>
                        </w:r>
                        <w:r w:rsidR="00D5116A">
                          <w:rPr>
                            <w:noProof/>
                            <w:webHidden/>
                          </w:rPr>
                          <w:instrText xml:space="preserve"> PAGEREF _Toc188012852 \h </w:instrText>
                        </w:r>
                        <w:r w:rsidR="00D5116A">
                          <w:rPr>
                            <w:noProof/>
                            <w:webHidden/>
                          </w:rPr>
                        </w:r>
                        <w:r w:rsidR="00D5116A">
                          <w:rPr>
                            <w:noProof/>
                            <w:webHidden/>
                          </w:rPr>
                          <w:fldChar w:fldCharType="separate"/>
                        </w:r>
                        <w:r w:rsidR="00D5116A">
                          <w:rPr>
                            <w:noProof/>
                            <w:webHidden/>
                          </w:rPr>
                          <w:t>33</w:t>
                        </w:r>
                        <w:r w:rsidR="00D5116A">
                          <w:rPr>
                            <w:noProof/>
                            <w:webHidden/>
                          </w:rPr>
                          <w:fldChar w:fldCharType="end"/>
                        </w:r>
                      </w:hyperlink>
                    </w:p>
                    <w:p w14:paraId="4337A3D4" w14:textId="3014F8B6"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3" w:history="1">
                        <w:r w:rsidR="00D5116A" w:rsidRPr="002E25FF">
                          <w:rPr>
                            <w:rStyle w:val="Hyperlink"/>
                            <w:noProof/>
                          </w:rPr>
                          <w:t>Limitations of overseas reporting for signal detection</w:t>
                        </w:r>
                        <w:r w:rsidR="00D5116A">
                          <w:rPr>
                            <w:noProof/>
                            <w:webHidden/>
                          </w:rPr>
                          <w:tab/>
                        </w:r>
                        <w:r w:rsidR="00D5116A">
                          <w:rPr>
                            <w:noProof/>
                            <w:webHidden/>
                          </w:rPr>
                          <w:fldChar w:fldCharType="begin"/>
                        </w:r>
                        <w:r w:rsidR="00D5116A">
                          <w:rPr>
                            <w:noProof/>
                            <w:webHidden/>
                          </w:rPr>
                          <w:instrText xml:space="preserve"> PAGEREF _Toc188012853 \h </w:instrText>
                        </w:r>
                        <w:r w:rsidR="00D5116A">
                          <w:rPr>
                            <w:noProof/>
                            <w:webHidden/>
                          </w:rPr>
                        </w:r>
                        <w:r w:rsidR="00D5116A">
                          <w:rPr>
                            <w:noProof/>
                            <w:webHidden/>
                          </w:rPr>
                          <w:fldChar w:fldCharType="separate"/>
                        </w:r>
                        <w:r w:rsidR="00D5116A">
                          <w:rPr>
                            <w:noProof/>
                            <w:webHidden/>
                          </w:rPr>
                          <w:t>34</w:t>
                        </w:r>
                        <w:r w:rsidR="00D5116A">
                          <w:rPr>
                            <w:noProof/>
                            <w:webHidden/>
                          </w:rPr>
                          <w:fldChar w:fldCharType="end"/>
                        </w:r>
                      </w:hyperlink>
                    </w:p>
                    <w:p w14:paraId="4894CE5D" w14:textId="74622FF4"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4" w:history="1">
                        <w:r w:rsidR="00D5116A" w:rsidRPr="002E25FF">
                          <w:rPr>
                            <w:rStyle w:val="Hyperlink"/>
                            <w:noProof/>
                          </w:rPr>
                          <w:t>Streamlined reporting tools</w:t>
                        </w:r>
                        <w:r w:rsidR="00D5116A">
                          <w:rPr>
                            <w:noProof/>
                            <w:webHidden/>
                          </w:rPr>
                          <w:tab/>
                        </w:r>
                        <w:r w:rsidR="00D5116A">
                          <w:rPr>
                            <w:noProof/>
                            <w:webHidden/>
                          </w:rPr>
                          <w:fldChar w:fldCharType="begin"/>
                        </w:r>
                        <w:r w:rsidR="00D5116A">
                          <w:rPr>
                            <w:noProof/>
                            <w:webHidden/>
                          </w:rPr>
                          <w:instrText xml:space="preserve"> PAGEREF _Toc188012854 \h </w:instrText>
                        </w:r>
                        <w:r w:rsidR="00D5116A">
                          <w:rPr>
                            <w:noProof/>
                            <w:webHidden/>
                          </w:rPr>
                        </w:r>
                        <w:r w:rsidR="00D5116A">
                          <w:rPr>
                            <w:noProof/>
                            <w:webHidden/>
                          </w:rPr>
                          <w:fldChar w:fldCharType="separate"/>
                        </w:r>
                        <w:r w:rsidR="00D5116A">
                          <w:rPr>
                            <w:noProof/>
                            <w:webHidden/>
                          </w:rPr>
                          <w:t>34</w:t>
                        </w:r>
                        <w:r w:rsidR="00D5116A">
                          <w:rPr>
                            <w:noProof/>
                            <w:webHidden/>
                          </w:rPr>
                          <w:fldChar w:fldCharType="end"/>
                        </w:r>
                      </w:hyperlink>
                    </w:p>
                    <w:p w14:paraId="0FBD912B" w14:textId="4EADAA08"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5" w:history="1">
                        <w:r w:rsidR="00D5116A" w:rsidRPr="002E25FF">
                          <w:rPr>
                            <w:rStyle w:val="Hyperlink"/>
                            <w:noProof/>
                          </w:rPr>
                          <w:t>Regulatory tools available to intervene</w:t>
                        </w:r>
                        <w:r w:rsidR="00D5116A">
                          <w:rPr>
                            <w:noProof/>
                            <w:webHidden/>
                          </w:rPr>
                          <w:tab/>
                        </w:r>
                        <w:r w:rsidR="00D5116A">
                          <w:rPr>
                            <w:noProof/>
                            <w:webHidden/>
                          </w:rPr>
                          <w:fldChar w:fldCharType="begin"/>
                        </w:r>
                        <w:r w:rsidR="00D5116A">
                          <w:rPr>
                            <w:noProof/>
                            <w:webHidden/>
                          </w:rPr>
                          <w:instrText xml:space="preserve"> PAGEREF _Toc188012855 \h </w:instrText>
                        </w:r>
                        <w:r w:rsidR="00D5116A">
                          <w:rPr>
                            <w:noProof/>
                            <w:webHidden/>
                          </w:rPr>
                        </w:r>
                        <w:r w:rsidR="00D5116A">
                          <w:rPr>
                            <w:noProof/>
                            <w:webHidden/>
                          </w:rPr>
                          <w:fldChar w:fldCharType="separate"/>
                        </w:r>
                        <w:r w:rsidR="00D5116A">
                          <w:rPr>
                            <w:noProof/>
                            <w:webHidden/>
                          </w:rPr>
                          <w:t>35</w:t>
                        </w:r>
                        <w:r w:rsidR="00D5116A">
                          <w:rPr>
                            <w:noProof/>
                            <w:webHidden/>
                          </w:rPr>
                          <w:fldChar w:fldCharType="end"/>
                        </w:r>
                      </w:hyperlink>
                    </w:p>
                    <w:p w14:paraId="7676C7C1" w14:textId="5769B1D7"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6" w:history="1">
                        <w:r w:rsidR="00D5116A" w:rsidRPr="002E25FF">
                          <w:rPr>
                            <w:rStyle w:val="Hyperlink"/>
                            <w:noProof/>
                          </w:rPr>
                          <w:t>The Government/TGA’s Objectives</w:t>
                        </w:r>
                        <w:r w:rsidR="00D5116A">
                          <w:rPr>
                            <w:noProof/>
                            <w:webHidden/>
                          </w:rPr>
                          <w:tab/>
                        </w:r>
                        <w:r w:rsidR="00D5116A">
                          <w:rPr>
                            <w:noProof/>
                            <w:webHidden/>
                          </w:rPr>
                          <w:fldChar w:fldCharType="begin"/>
                        </w:r>
                        <w:r w:rsidR="00D5116A">
                          <w:rPr>
                            <w:noProof/>
                            <w:webHidden/>
                          </w:rPr>
                          <w:instrText xml:space="preserve"> PAGEREF _Toc188012856 \h </w:instrText>
                        </w:r>
                        <w:r w:rsidR="00D5116A">
                          <w:rPr>
                            <w:noProof/>
                            <w:webHidden/>
                          </w:rPr>
                        </w:r>
                        <w:r w:rsidR="00D5116A">
                          <w:rPr>
                            <w:noProof/>
                            <w:webHidden/>
                          </w:rPr>
                          <w:fldChar w:fldCharType="separate"/>
                        </w:r>
                        <w:r w:rsidR="00D5116A">
                          <w:rPr>
                            <w:noProof/>
                            <w:webHidden/>
                          </w:rPr>
                          <w:t>35</w:t>
                        </w:r>
                        <w:r w:rsidR="00D5116A">
                          <w:rPr>
                            <w:noProof/>
                            <w:webHidden/>
                          </w:rPr>
                          <w:fldChar w:fldCharType="end"/>
                        </w:r>
                      </w:hyperlink>
                    </w:p>
                    <w:p w14:paraId="45DA2C9A" w14:textId="14A65B48"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7" w:history="1">
                        <w:r w:rsidR="00D5116A" w:rsidRPr="002E25FF">
                          <w:rPr>
                            <w:rStyle w:val="Hyperlink"/>
                            <w:noProof/>
                          </w:rPr>
                          <w:t>Government intentions</w:t>
                        </w:r>
                        <w:r w:rsidR="00D5116A">
                          <w:rPr>
                            <w:noProof/>
                            <w:webHidden/>
                          </w:rPr>
                          <w:tab/>
                        </w:r>
                        <w:r w:rsidR="00D5116A">
                          <w:rPr>
                            <w:noProof/>
                            <w:webHidden/>
                          </w:rPr>
                          <w:fldChar w:fldCharType="begin"/>
                        </w:r>
                        <w:r w:rsidR="00D5116A">
                          <w:rPr>
                            <w:noProof/>
                            <w:webHidden/>
                          </w:rPr>
                          <w:instrText xml:space="preserve"> PAGEREF _Toc188012857 \h </w:instrText>
                        </w:r>
                        <w:r w:rsidR="00D5116A">
                          <w:rPr>
                            <w:noProof/>
                            <w:webHidden/>
                          </w:rPr>
                        </w:r>
                        <w:r w:rsidR="00D5116A">
                          <w:rPr>
                            <w:noProof/>
                            <w:webHidden/>
                          </w:rPr>
                          <w:fldChar w:fldCharType="separate"/>
                        </w:r>
                        <w:r w:rsidR="00D5116A">
                          <w:rPr>
                            <w:noProof/>
                            <w:webHidden/>
                          </w:rPr>
                          <w:t>35</w:t>
                        </w:r>
                        <w:r w:rsidR="00D5116A">
                          <w:rPr>
                            <w:noProof/>
                            <w:webHidden/>
                          </w:rPr>
                          <w:fldChar w:fldCharType="end"/>
                        </w:r>
                      </w:hyperlink>
                    </w:p>
                    <w:p w14:paraId="5DEDE297" w14:textId="2A31A6FB"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58" w:history="1">
                        <w:r w:rsidR="00D5116A" w:rsidRPr="002E25FF">
                          <w:rPr>
                            <w:rStyle w:val="Hyperlink"/>
                            <w:noProof/>
                          </w:rPr>
                          <w:t>What would success look like?</w:t>
                        </w:r>
                        <w:r w:rsidR="00D5116A">
                          <w:rPr>
                            <w:noProof/>
                            <w:webHidden/>
                          </w:rPr>
                          <w:tab/>
                        </w:r>
                        <w:r w:rsidR="00D5116A">
                          <w:rPr>
                            <w:noProof/>
                            <w:webHidden/>
                          </w:rPr>
                          <w:fldChar w:fldCharType="begin"/>
                        </w:r>
                        <w:r w:rsidR="00D5116A">
                          <w:rPr>
                            <w:noProof/>
                            <w:webHidden/>
                          </w:rPr>
                          <w:instrText xml:space="preserve"> PAGEREF _Toc188012858 \h </w:instrText>
                        </w:r>
                        <w:r w:rsidR="00D5116A">
                          <w:rPr>
                            <w:noProof/>
                            <w:webHidden/>
                          </w:rPr>
                        </w:r>
                        <w:r w:rsidR="00D5116A">
                          <w:rPr>
                            <w:noProof/>
                            <w:webHidden/>
                          </w:rPr>
                          <w:fldChar w:fldCharType="separate"/>
                        </w:r>
                        <w:r w:rsidR="00D5116A">
                          <w:rPr>
                            <w:noProof/>
                            <w:webHidden/>
                          </w:rPr>
                          <w:t>36</w:t>
                        </w:r>
                        <w:r w:rsidR="00D5116A">
                          <w:rPr>
                            <w:noProof/>
                            <w:webHidden/>
                          </w:rPr>
                          <w:fldChar w:fldCharType="end"/>
                        </w:r>
                      </w:hyperlink>
                    </w:p>
                    <w:p w14:paraId="0A1AA21C" w14:textId="34C93012"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59" w:history="1">
                        <w:r w:rsidR="00D5116A" w:rsidRPr="002E25FF">
                          <w:rPr>
                            <w:rStyle w:val="Hyperlink"/>
                            <w:noProof/>
                          </w:rPr>
                          <w:t>Question Three: What policy options are you considering?</w:t>
                        </w:r>
                        <w:r w:rsidR="00D5116A">
                          <w:rPr>
                            <w:noProof/>
                            <w:webHidden/>
                          </w:rPr>
                          <w:tab/>
                        </w:r>
                        <w:r w:rsidR="00D5116A">
                          <w:rPr>
                            <w:noProof/>
                            <w:webHidden/>
                          </w:rPr>
                          <w:fldChar w:fldCharType="begin"/>
                        </w:r>
                        <w:r w:rsidR="00D5116A">
                          <w:rPr>
                            <w:noProof/>
                            <w:webHidden/>
                          </w:rPr>
                          <w:instrText xml:space="preserve"> PAGEREF _Toc188012859 \h </w:instrText>
                        </w:r>
                        <w:r w:rsidR="00D5116A">
                          <w:rPr>
                            <w:noProof/>
                            <w:webHidden/>
                          </w:rPr>
                        </w:r>
                        <w:r w:rsidR="00D5116A">
                          <w:rPr>
                            <w:noProof/>
                            <w:webHidden/>
                          </w:rPr>
                          <w:fldChar w:fldCharType="separate"/>
                        </w:r>
                        <w:r w:rsidR="00D5116A">
                          <w:rPr>
                            <w:noProof/>
                            <w:webHidden/>
                          </w:rPr>
                          <w:t>37</w:t>
                        </w:r>
                        <w:r w:rsidR="00D5116A">
                          <w:rPr>
                            <w:noProof/>
                            <w:webHidden/>
                          </w:rPr>
                          <w:fldChar w:fldCharType="end"/>
                        </w:r>
                      </w:hyperlink>
                    </w:p>
                    <w:p w14:paraId="3AC9CB30" w14:textId="3B79C668"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0" w:history="1">
                        <w:r w:rsidR="00D5116A" w:rsidRPr="002E25FF">
                          <w:rPr>
                            <w:rStyle w:val="Hyperlink"/>
                            <w:noProof/>
                          </w:rPr>
                          <w:t>Option 1: Maintaining the status quo</w:t>
                        </w:r>
                        <w:r w:rsidR="00D5116A">
                          <w:rPr>
                            <w:noProof/>
                            <w:webHidden/>
                          </w:rPr>
                          <w:tab/>
                        </w:r>
                        <w:r w:rsidR="00D5116A">
                          <w:rPr>
                            <w:noProof/>
                            <w:webHidden/>
                          </w:rPr>
                          <w:fldChar w:fldCharType="begin"/>
                        </w:r>
                        <w:r w:rsidR="00D5116A">
                          <w:rPr>
                            <w:noProof/>
                            <w:webHidden/>
                          </w:rPr>
                          <w:instrText xml:space="preserve"> PAGEREF _Toc188012860 \h </w:instrText>
                        </w:r>
                        <w:r w:rsidR="00D5116A">
                          <w:rPr>
                            <w:noProof/>
                            <w:webHidden/>
                          </w:rPr>
                        </w:r>
                        <w:r w:rsidR="00D5116A">
                          <w:rPr>
                            <w:noProof/>
                            <w:webHidden/>
                          </w:rPr>
                          <w:fldChar w:fldCharType="separate"/>
                        </w:r>
                        <w:r w:rsidR="00D5116A">
                          <w:rPr>
                            <w:noProof/>
                            <w:webHidden/>
                          </w:rPr>
                          <w:t>39</w:t>
                        </w:r>
                        <w:r w:rsidR="00D5116A">
                          <w:rPr>
                            <w:noProof/>
                            <w:webHidden/>
                          </w:rPr>
                          <w:fldChar w:fldCharType="end"/>
                        </w:r>
                      </w:hyperlink>
                    </w:p>
                    <w:p w14:paraId="6A84C10F" w14:textId="1F71628D"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1" w:history="1">
                        <w:r w:rsidR="00D5116A" w:rsidRPr="002E25FF">
                          <w:rPr>
                            <w:rStyle w:val="Hyperlink"/>
                            <w:noProof/>
                          </w:rPr>
                          <w:t>Option 2: Public and Private hospitals report adverse events relating to high-risk medical devices</w:t>
                        </w:r>
                        <w:r w:rsidR="00D5116A">
                          <w:rPr>
                            <w:noProof/>
                            <w:webHidden/>
                          </w:rPr>
                          <w:tab/>
                        </w:r>
                        <w:r w:rsidR="00D5116A">
                          <w:rPr>
                            <w:noProof/>
                            <w:webHidden/>
                          </w:rPr>
                          <w:fldChar w:fldCharType="begin"/>
                        </w:r>
                        <w:r w:rsidR="00D5116A">
                          <w:rPr>
                            <w:noProof/>
                            <w:webHidden/>
                          </w:rPr>
                          <w:instrText xml:space="preserve"> PAGEREF _Toc188012861 \h </w:instrText>
                        </w:r>
                        <w:r w:rsidR="00D5116A">
                          <w:rPr>
                            <w:noProof/>
                            <w:webHidden/>
                          </w:rPr>
                        </w:r>
                        <w:r w:rsidR="00D5116A">
                          <w:rPr>
                            <w:noProof/>
                            <w:webHidden/>
                          </w:rPr>
                          <w:fldChar w:fldCharType="separate"/>
                        </w:r>
                        <w:r w:rsidR="00D5116A">
                          <w:rPr>
                            <w:noProof/>
                            <w:webHidden/>
                          </w:rPr>
                          <w:t>41</w:t>
                        </w:r>
                        <w:r w:rsidR="00D5116A">
                          <w:rPr>
                            <w:noProof/>
                            <w:webHidden/>
                          </w:rPr>
                          <w:fldChar w:fldCharType="end"/>
                        </w:r>
                      </w:hyperlink>
                    </w:p>
                    <w:p w14:paraId="01EF4760" w14:textId="1DA7E5D0"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2" w:history="1">
                        <w:r w:rsidR="00D5116A" w:rsidRPr="002E25FF">
                          <w:rPr>
                            <w:rStyle w:val="Hyperlink"/>
                            <w:noProof/>
                          </w:rPr>
                          <w:t>Measure 1 – Mandatory Reporting by Health Care Facilities</w:t>
                        </w:r>
                        <w:r w:rsidR="00D5116A">
                          <w:rPr>
                            <w:noProof/>
                            <w:webHidden/>
                          </w:rPr>
                          <w:tab/>
                        </w:r>
                        <w:r w:rsidR="00D5116A">
                          <w:rPr>
                            <w:noProof/>
                            <w:webHidden/>
                          </w:rPr>
                          <w:fldChar w:fldCharType="begin"/>
                        </w:r>
                        <w:r w:rsidR="00D5116A">
                          <w:rPr>
                            <w:noProof/>
                            <w:webHidden/>
                          </w:rPr>
                          <w:instrText xml:space="preserve"> PAGEREF _Toc188012862 \h </w:instrText>
                        </w:r>
                        <w:r w:rsidR="00D5116A">
                          <w:rPr>
                            <w:noProof/>
                            <w:webHidden/>
                          </w:rPr>
                        </w:r>
                        <w:r w:rsidR="00D5116A">
                          <w:rPr>
                            <w:noProof/>
                            <w:webHidden/>
                          </w:rPr>
                          <w:fldChar w:fldCharType="separate"/>
                        </w:r>
                        <w:r w:rsidR="00D5116A">
                          <w:rPr>
                            <w:noProof/>
                            <w:webHidden/>
                          </w:rPr>
                          <w:t>41</w:t>
                        </w:r>
                        <w:r w:rsidR="00D5116A">
                          <w:rPr>
                            <w:noProof/>
                            <w:webHidden/>
                          </w:rPr>
                          <w:fldChar w:fldCharType="end"/>
                        </w:r>
                      </w:hyperlink>
                    </w:p>
                    <w:p w14:paraId="5391E911" w14:textId="47FC3E12"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3" w:history="1">
                        <w:r w:rsidR="00D5116A" w:rsidRPr="002E25FF">
                          <w:rPr>
                            <w:rStyle w:val="Hyperlink"/>
                            <w:noProof/>
                          </w:rPr>
                          <w:t>Measure 2 – Prescribe medical devices considered to be of ‘high-risk’ as Reportable Medical Devices</w:t>
                        </w:r>
                        <w:r w:rsidR="00D5116A">
                          <w:rPr>
                            <w:noProof/>
                            <w:webHidden/>
                          </w:rPr>
                          <w:tab/>
                        </w:r>
                        <w:r w:rsidR="00D5116A">
                          <w:rPr>
                            <w:noProof/>
                            <w:webHidden/>
                          </w:rPr>
                          <w:fldChar w:fldCharType="begin"/>
                        </w:r>
                        <w:r w:rsidR="00D5116A">
                          <w:rPr>
                            <w:noProof/>
                            <w:webHidden/>
                          </w:rPr>
                          <w:instrText xml:space="preserve"> PAGEREF _Toc188012863 \h </w:instrText>
                        </w:r>
                        <w:r w:rsidR="00D5116A">
                          <w:rPr>
                            <w:noProof/>
                            <w:webHidden/>
                          </w:rPr>
                        </w:r>
                        <w:r w:rsidR="00D5116A">
                          <w:rPr>
                            <w:noProof/>
                            <w:webHidden/>
                          </w:rPr>
                          <w:fldChar w:fldCharType="separate"/>
                        </w:r>
                        <w:r w:rsidR="00D5116A">
                          <w:rPr>
                            <w:noProof/>
                            <w:webHidden/>
                          </w:rPr>
                          <w:t>42</w:t>
                        </w:r>
                        <w:r w:rsidR="00D5116A">
                          <w:rPr>
                            <w:noProof/>
                            <w:webHidden/>
                          </w:rPr>
                          <w:fldChar w:fldCharType="end"/>
                        </w:r>
                      </w:hyperlink>
                    </w:p>
                    <w:p w14:paraId="1FA71E0D" w14:textId="01F9B194"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4" w:history="1">
                        <w:r w:rsidR="00D5116A" w:rsidRPr="002E25FF">
                          <w:rPr>
                            <w:rStyle w:val="Hyperlink"/>
                            <w:noProof/>
                          </w:rPr>
                          <w:t>Measure 3 – Addition of reporting fields relating to medical devices</w:t>
                        </w:r>
                        <w:r w:rsidR="00D5116A">
                          <w:rPr>
                            <w:noProof/>
                            <w:webHidden/>
                          </w:rPr>
                          <w:tab/>
                        </w:r>
                        <w:r w:rsidR="00D5116A">
                          <w:rPr>
                            <w:noProof/>
                            <w:webHidden/>
                          </w:rPr>
                          <w:fldChar w:fldCharType="begin"/>
                        </w:r>
                        <w:r w:rsidR="00D5116A">
                          <w:rPr>
                            <w:noProof/>
                            <w:webHidden/>
                          </w:rPr>
                          <w:instrText xml:space="preserve"> PAGEREF _Toc188012864 \h </w:instrText>
                        </w:r>
                        <w:r w:rsidR="00D5116A">
                          <w:rPr>
                            <w:noProof/>
                            <w:webHidden/>
                          </w:rPr>
                        </w:r>
                        <w:r w:rsidR="00D5116A">
                          <w:rPr>
                            <w:noProof/>
                            <w:webHidden/>
                          </w:rPr>
                          <w:fldChar w:fldCharType="separate"/>
                        </w:r>
                        <w:r w:rsidR="00D5116A">
                          <w:rPr>
                            <w:noProof/>
                            <w:webHidden/>
                          </w:rPr>
                          <w:t>43</w:t>
                        </w:r>
                        <w:r w:rsidR="00D5116A">
                          <w:rPr>
                            <w:noProof/>
                            <w:webHidden/>
                          </w:rPr>
                          <w:fldChar w:fldCharType="end"/>
                        </w:r>
                      </w:hyperlink>
                    </w:p>
                    <w:p w14:paraId="6938A047" w14:textId="01738B2C"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5" w:history="1">
                        <w:r w:rsidR="00D5116A" w:rsidRPr="002E25FF">
                          <w:rPr>
                            <w:rStyle w:val="Hyperlink"/>
                            <w:noProof/>
                          </w:rPr>
                          <w:t>Measure 4 – awareness / communication campaign</w:t>
                        </w:r>
                        <w:r w:rsidR="00D5116A">
                          <w:rPr>
                            <w:noProof/>
                            <w:webHidden/>
                          </w:rPr>
                          <w:tab/>
                        </w:r>
                        <w:r w:rsidR="00D5116A">
                          <w:rPr>
                            <w:noProof/>
                            <w:webHidden/>
                          </w:rPr>
                          <w:fldChar w:fldCharType="begin"/>
                        </w:r>
                        <w:r w:rsidR="00D5116A">
                          <w:rPr>
                            <w:noProof/>
                            <w:webHidden/>
                          </w:rPr>
                          <w:instrText xml:space="preserve"> PAGEREF _Toc188012865 \h </w:instrText>
                        </w:r>
                        <w:r w:rsidR="00D5116A">
                          <w:rPr>
                            <w:noProof/>
                            <w:webHidden/>
                          </w:rPr>
                        </w:r>
                        <w:r w:rsidR="00D5116A">
                          <w:rPr>
                            <w:noProof/>
                            <w:webHidden/>
                          </w:rPr>
                          <w:fldChar w:fldCharType="separate"/>
                        </w:r>
                        <w:r w:rsidR="00D5116A">
                          <w:rPr>
                            <w:noProof/>
                            <w:webHidden/>
                          </w:rPr>
                          <w:t>46</w:t>
                        </w:r>
                        <w:r w:rsidR="00D5116A">
                          <w:rPr>
                            <w:noProof/>
                            <w:webHidden/>
                          </w:rPr>
                          <w:fldChar w:fldCharType="end"/>
                        </w:r>
                      </w:hyperlink>
                    </w:p>
                    <w:p w14:paraId="3C69AF8A" w14:textId="2F4CA038"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6" w:history="1">
                        <w:r w:rsidR="00D5116A" w:rsidRPr="002E25FF">
                          <w:rPr>
                            <w:rStyle w:val="Hyperlink"/>
                            <w:noProof/>
                          </w:rPr>
                          <w:t>Measure 5 – reporting in batch</w:t>
                        </w:r>
                        <w:r w:rsidR="00D5116A">
                          <w:rPr>
                            <w:noProof/>
                            <w:webHidden/>
                          </w:rPr>
                          <w:tab/>
                        </w:r>
                        <w:r w:rsidR="00D5116A">
                          <w:rPr>
                            <w:noProof/>
                            <w:webHidden/>
                          </w:rPr>
                          <w:fldChar w:fldCharType="begin"/>
                        </w:r>
                        <w:r w:rsidR="00D5116A">
                          <w:rPr>
                            <w:noProof/>
                            <w:webHidden/>
                          </w:rPr>
                          <w:instrText xml:space="preserve"> PAGEREF _Toc188012866 \h </w:instrText>
                        </w:r>
                        <w:r w:rsidR="00D5116A">
                          <w:rPr>
                            <w:noProof/>
                            <w:webHidden/>
                          </w:rPr>
                        </w:r>
                        <w:r w:rsidR="00D5116A">
                          <w:rPr>
                            <w:noProof/>
                            <w:webHidden/>
                          </w:rPr>
                          <w:fldChar w:fldCharType="separate"/>
                        </w:r>
                        <w:r w:rsidR="00D5116A">
                          <w:rPr>
                            <w:noProof/>
                            <w:webHidden/>
                          </w:rPr>
                          <w:t>47</w:t>
                        </w:r>
                        <w:r w:rsidR="00D5116A">
                          <w:rPr>
                            <w:noProof/>
                            <w:webHidden/>
                          </w:rPr>
                          <w:fldChar w:fldCharType="end"/>
                        </w:r>
                      </w:hyperlink>
                    </w:p>
                    <w:p w14:paraId="3D80229D" w14:textId="449CC57B"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7" w:history="1">
                        <w:r w:rsidR="00D5116A" w:rsidRPr="002E25FF">
                          <w:rPr>
                            <w:rStyle w:val="Hyperlink"/>
                            <w:noProof/>
                          </w:rPr>
                          <w:t>Measure 6 – reporting on occurrence</w:t>
                        </w:r>
                        <w:r w:rsidR="00D5116A">
                          <w:rPr>
                            <w:noProof/>
                            <w:webHidden/>
                          </w:rPr>
                          <w:tab/>
                        </w:r>
                        <w:r w:rsidR="00D5116A">
                          <w:rPr>
                            <w:noProof/>
                            <w:webHidden/>
                          </w:rPr>
                          <w:fldChar w:fldCharType="begin"/>
                        </w:r>
                        <w:r w:rsidR="00D5116A">
                          <w:rPr>
                            <w:noProof/>
                            <w:webHidden/>
                          </w:rPr>
                          <w:instrText xml:space="preserve"> PAGEREF _Toc188012867 \h </w:instrText>
                        </w:r>
                        <w:r w:rsidR="00D5116A">
                          <w:rPr>
                            <w:noProof/>
                            <w:webHidden/>
                          </w:rPr>
                        </w:r>
                        <w:r w:rsidR="00D5116A">
                          <w:rPr>
                            <w:noProof/>
                            <w:webHidden/>
                          </w:rPr>
                          <w:fldChar w:fldCharType="separate"/>
                        </w:r>
                        <w:r w:rsidR="00D5116A">
                          <w:rPr>
                            <w:noProof/>
                            <w:webHidden/>
                          </w:rPr>
                          <w:t>47</w:t>
                        </w:r>
                        <w:r w:rsidR="00D5116A">
                          <w:rPr>
                            <w:noProof/>
                            <w:webHidden/>
                          </w:rPr>
                          <w:fldChar w:fldCharType="end"/>
                        </w:r>
                      </w:hyperlink>
                    </w:p>
                    <w:p w14:paraId="77BCC6EF" w14:textId="1FB625A3"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8" w:history="1">
                        <w:r w:rsidR="00D5116A" w:rsidRPr="002E25FF">
                          <w:rPr>
                            <w:rStyle w:val="Hyperlink"/>
                            <w:noProof/>
                          </w:rPr>
                          <w:t>Option 3 – Public and Private hospitals report adverse events relating to medium and high risk medical devices</w:t>
                        </w:r>
                        <w:r w:rsidR="00D5116A">
                          <w:rPr>
                            <w:noProof/>
                            <w:webHidden/>
                          </w:rPr>
                          <w:tab/>
                        </w:r>
                        <w:r w:rsidR="00D5116A">
                          <w:rPr>
                            <w:noProof/>
                            <w:webHidden/>
                          </w:rPr>
                          <w:fldChar w:fldCharType="begin"/>
                        </w:r>
                        <w:r w:rsidR="00D5116A">
                          <w:rPr>
                            <w:noProof/>
                            <w:webHidden/>
                          </w:rPr>
                          <w:instrText xml:space="preserve"> PAGEREF _Toc188012868 \h </w:instrText>
                        </w:r>
                        <w:r w:rsidR="00D5116A">
                          <w:rPr>
                            <w:noProof/>
                            <w:webHidden/>
                          </w:rPr>
                        </w:r>
                        <w:r w:rsidR="00D5116A">
                          <w:rPr>
                            <w:noProof/>
                            <w:webHidden/>
                          </w:rPr>
                          <w:fldChar w:fldCharType="separate"/>
                        </w:r>
                        <w:r w:rsidR="00D5116A">
                          <w:rPr>
                            <w:noProof/>
                            <w:webHidden/>
                          </w:rPr>
                          <w:t>49</w:t>
                        </w:r>
                        <w:r w:rsidR="00D5116A">
                          <w:rPr>
                            <w:noProof/>
                            <w:webHidden/>
                          </w:rPr>
                          <w:fldChar w:fldCharType="end"/>
                        </w:r>
                      </w:hyperlink>
                    </w:p>
                    <w:p w14:paraId="2028C03A" w14:textId="7929E38C"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69" w:history="1">
                        <w:r w:rsidR="00D5116A" w:rsidRPr="002E25FF">
                          <w:rPr>
                            <w:rStyle w:val="Hyperlink"/>
                            <w:noProof/>
                          </w:rPr>
                          <w:t>Measure 7 – expand scope of ‘reportable medical devices’ to include medium-risk medical devices</w:t>
                        </w:r>
                        <w:r w:rsidR="00D5116A">
                          <w:rPr>
                            <w:noProof/>
                            <w:webHidden/>
                          </w:rPr>
                          <w:tab/>
                        </w:r>
                        <w:r w:rsidR="00D5116A">
                          <w:rPr>
                            <w:noProof/>
                            <w:webHidden/>
                          </w:rPr>
                          <w:fldChar w:fldCharType="begin"/>
                        </w:r>
                        <w:r w:rsidR="00D5116A">
                          <w:rPr>
                            <w:noProof/>
                            <w:webHidden/>
                          </w:rPr>
                          <w:instrText xml:space="preserve"> PAGEREF _Toc188012869 \h </w:instrText>
                        </w:r>
                        <w:r w:rsidR="00D5116A">
                          <w:rPr>
                            <w:noProof/>
                            <w:webHidden/>
                          </w:rPr>
                        </w:r>
                        <w:r w:rsidR="00D5116A">
                          <w:rPr>
                            <w:noProof/>
                            <w:webHidden/>
                          </w:rPr>
                          <w:fldChar w:fldCharType="separate"/>
                        </w:r>
                        <w:r w:rsidR="00D5116A">
                          <w:rPr>
                            <w:noProof/>
                            <w:webHidden/>
                          </w:rPr>
                          <w:t>49</w:t>
                        </w:r>
                        <w:r w:rsidR="00D5116A">
                          <w:rPr>
                            <w:noProof/>
                            <w:webHidden/>
                          </w:rPr>
                          <w:fldChar w:fldCharType="end"/>
                        </w:r>
                      </w:hyperlink>
                    </w:p>
                    <w:p w14:paraId="56633F38" w14:textId="41EE5498"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70" w:history="1">
                        <w:r w:rsidR="00D5116A" w:rsidRPr="002E25FF">
                          <w:rPr>
                            <w:rStyle w:val="Hyperlink"/>
                            <w:noProof/>
                          </w:rPr>
                          <w:t>Option 4 – Public and Private hospitals and approved Residential Aged Care facilities (excluding MPS facilities) report adverse events relating to medium and high risk medical devices</w:t>
                        </w:r>
                        <w:r w:rsidR="00D5116A">
                          <w:rPr>
                            <w:noProof/>
                            <w:webHidden/>
                          </w:rPr>
                          <w:tab/>
                        </w:r>
                        <w:r w:rsidR="00D5116A">
                          <w:rPr>
                            <w:noProof/>
                            <w:webHidden/>
                          </w:rPr>
                          <w:fldChar w:fldCharType="begin"/>
                        </w:r>
                        <w:r w:rsidR="00D5116A">
                          <w:rPr>
                            <w:noProof/>
                            <w:webHidden/>
                          </w:rPr>
                          <w:instrText xml:space="preserve"> PAGEREF _Toc188012870 \h </w:instrText>
                        </w:r>
                        <w:r w:rsidR="00D5116A">
                          <w:rPr>
                            <w:noProof/>
                            <w:webHidden/>
                          </w:rPr>
                        </w:r>
                        <w:r w:rsidR="00D5116A">
                          <w:rPr>
                            <w:noProof/>
                            <w:webHidden/>
                          </w:rPr>
                          <w:fldChar w:fldCharType="separate"/>
                        </w:r>
                        <w:r w:rsidR="00D5116A">
                          <w:rPr>
                            <w:noProof/>
                            <w:webHidden/>
                          </w:rPr>
                          <w:t>51</w:t>
                        </w:r>
                        <w:r w:rsidR="00D5116A">
                          <w:rPr>
                            <w:noProof/>
                            <w:webHidden/>
                          </w:rPr>
                          <w:fldChar w:fldCharType="end"/>
                        </w:r>
                      </w:hyperlink>
                    </w:p>
                    <w:p w14:paraId="387D327E" w14:textId="2F5EC22B"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71" w:history="1">
                        <w:r w:rsidR="00D5116A" w:rsidRPr="002E25FF">
                          <w:rPr>
                            <w:rStyle w:val="Hyperlink"/>
                            <w:noProof/>
                          </w:rPr>
                          <w:t>Measure 8 – expand mandatory reporting of medical device adverse events to include approved Residential Aged Care Facilities</w:t>
                        </w:r>
                        <w:r w:rsidR="00D5116A">
                          <w:rPr>
                            <w:noProof/>
                            <w:webHidden/>
                          </w:rPr>
                          <w:tab/>
                        </w:r>
                        <w:r w:rsidR="00D5116A">
                          <w:rPr>
                            <w:noProof/>
                            <w:webHidden/>
                          </w:rPr>
                          <w:fldChar w:fldCharType="begin"/>
                        </w:r>
                        <w:r w:rsidR="00D5116A">
                          <w:rPr>
                            <w:noProof/>
                            <w:webHidden/>
                          </w:rPr>
                          <w:instrText xml:space="preserve"> PAGEREF _Toc188012871 \h </w:instrText>
                        </w:r>
                        <w:r w:rsidR="00D5116A">
                          <w:rPr>
                            <w:noProof/>
                            <w:webHidden/>
                          </w:rPr>
                        </w:r>
                        <w:r w:rsidR="00D5116A">
                          <w:rPr>
                            <w:noProof/>
                            <w:webHidden/>
                          </w:rPr>
                          <w:fldChar w:fldCharType="separate"/>
                        </w:r>
                        <w:r w:rsidR="00D5116A">
                          <w:rPr>
                            <w:noProof/>
                            <w:webHidden/>
                          </w:rPr>
                          <w:t>51</w:t>
                        </w:r>
                        <w:r w:rsidR="00D5116A">
                          <w:rPr>
                            <w:noProof/>
                            <w:webHidden/>
                          </w:rPr>
                          <w:fldChar w:fldCharType="end"/>
                        </w:r>
                      </w:hyperlink>
                    </w:p>
                    <w:p w14:paraId="3606DBDF" w14:textId="11434601"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72" w:history="1">
                        <w:r w:rsidR="00D5116A" w:rsidRPr="002E25FF">
                          <w:rPr>
                            <w:rStyle w:val="Hyperlink"/>
                            <w:noProof/>
                          </w:rPr>
                          <w:t>Question Four: What is the likely net benefit of each option?</w:t>
                        </w:r>
                        <w:r w:rsidR="00D5116A">
                          <w:rPr>
                            <w:noProof/>
                            <w:webHidden/>
                          </w:rPr>
                          <w:tab/>
                        </w:r>
                        <w:r w:rsidR="00D5116A">
                          <w:rPr>
                            <w:noProof/>
                            <w:webHidden/>
                          </w:rPr>
                          <w:fldChar w:fldCharType="begin"/>
                        </w:r>
                        <w:r w:rsidR="00D5116A">
                          <w:rPr>
                            <w:noProof/>
                            <w:webHidden/>
                          </w:rPr>
                          <w:instrText xml:space="preserve"> PAGEREF _Toc188012872 \h </w:instrText>
                        </w:r>
                        <w:r w:rsidR="00D5116A">
                          <w:rPr>
                            <w:noProof/>
                            <w:webHidden/>
                          </w:rPr>
                        </w:r>
                        <w:r w:rsidR="00D5116A">
                          <w:rPr>
                            <w:noProof/>
                            <w:webHidden/>
                          </w:rPr>
                          <w:fldChar w:fldCharType="separate"/>
                        </w:r>
                        <w:r w:rsidR="00D5116A">
                          <w:rPr>
                            <w:noProof/>
                            <w:webHidden/>
                          </w:rPr>
                          <w:t>54</w:t>
                        </w:r>
                        <w:r w:rsidR="00D5116A">
                          <w:rPr>
                            <w:noProof/>
                            <w:webHidden/>
                          </w:rPr>
                          <w:fldChar w:fldCharType="end"/>
                        </w:r>
                      </w:hyperlink>
                    </w:p>
                    <w:p w14:paraId="402DDA85" w14:textId="0FC6FA13"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73" w:history="1">
                        <w:r w:rsidR="00D5116A" w:rsidRPr="002E25FF">
                          <w:rPr>
                            <w:rStyle w:val="Hyperlink"/>
                            <w:noProof/>
                          </w:rPr>
                          <w:t>Option 1: Maintaining the status quo</w:t>
                        </w:r>
                        <w:r w:rsidR="00D5116A">
                          <w:rPr>
                            <w:noProof/>
                            <w:webHidden/>
                          </w:rPr>
                          <w:tab/>
                        </w:r>
                        <w:r w:rsidR="00D5116A">
                          <w:rPr>
                            <w:noProof/>
                            <w:webHidden/>
                          </w:rPr>
                          <w:fldChar w:fldCharType="begin"/>
                        </w:r>
                        <w:r w:rsidR="00D5116A">
                          <w:rPr>
                            <w:noProof/>
                            <w:webHidden/>
                          </w:rPr>
                          <w:instrText xml:space="preserve"> PAGEREF _Toc188012873 \h </w:instrText>
                        </w:r>
                        <w:r w:rsidR="00D5116A">
                          <w:rPr>
                            <w:noProof/>
                            <w:webHidden/>
                          </w:rPr>
                        </w:r>
                        <w:r w:rsidR="00D5116A">
                          <w:rPr>
                            <w:noProof/>
                            <w:webHidden/>
                          </w:rPr>
                          <w:fldChar w:fldCharType="separate"/>
                        </w:r>
                        <w:r w:rsidR="00D5116A">
                          <w:rPr>
                            <w:noProof/>
                            <w:webHidden/>
                          </w:rPr>
                          <w:t>58</w:t>
                        </w:r>
                        <w:r w:rsidR="00D5116A">
                          <w:rPr>
                            <w:noProof/>
                            <w:webHidden/>
                          </w:rPr>
                          <w:fldChar w:fldCharType="end"/>
                        </w:r>
                      </w:hyperlink>
                    </w:p>
                    <w:p w14:paraId="3A24F85C" w14:textId="7F3942DC"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74" w:history="1">
                        <w:r w:rsidR="00D5116A" w:rsidRPr="002E25FF">
                          <w:rPr>
                            <w:rStyle w:val="Hyperlink"/>
                            <w:noProof/>
                          </w:rPr>
                          <w:t>Option 2: Public and Private hospitals report adverse events relating to ‘high-risk’ medical devices</w:t>
                        </w:r>
                        <w:r w:rsidR="00D5116A">
                          <w:rPr>
                            <w:noProof/>
                            <w:webHidden/>
                          </w:rPr>
                          <w:tab/>
                        </w:r>
                        <w:r w:rsidR="00D5116A">
                          <w:rPr>
                            <w:noProof/>
                            <w:webHidden/>
                          </w:rPr>
                          <w:fldChar w:fldCharType="begin"/>
                        </w:r>
                        <w:r w:rsidR="00D5116A">
                          <w:rPr>
                            <w:noProof/>
                            <w:webHidden/>
                          </w:rPr>
                          <w:instrText xml:space="preserve"> PAGEREF _Toc188012874 \h </w:instrText>
                        </w:r>
                        <w:r w:rsidR="00D5116A">
                          <w:rPr>
                            <w:noProof/>
                            <w:webHidden/>
                          </w:rPr>
                        </w:r>
                        <w:r w:rsidR="00D5116A">
                          <w:rPr>
                            <w:noProof/>
                            <w:webHidden/>
                          </w:rPr>
                          <w:fldChar w:fldCharType="separate"/>
                        </w:r>
                        <w:r w:rsidR="00D5116A">
                          <w:rPr>
                            <w:noProof/>
                            <w:webHidden/>
                          </w:rPr>
                          <w:t>59</w:t>
                        </w:r>
                        <w:r w:rsidR="00D5116A">
                          <w:rPr>
                            <w:noProof/>
                            <w:webHidden/>
                          </w:rPr>
                          <w:fldChar w:fldCharType="end"/>
                        </w:r>
                      </w:hyperlink>
                    </w:p>
                    <w:p w14:paraId="3758A54F" w14:textId="2BED04F7"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75" w:history="1">
                        <w:r w:rsidR="00D5116A" w:rsidRPr="002E25FF">
                          <w:rPr>
                            <w:rStyle w:val="Hyperlink"/>
                            <w:noProof/>
                          </w:rPr>
                          <w:t>Option 3: Public and Private hospitals report adverse events relating to medium and high risk medical devices</w:t>
                        </w:r>
                        <w:r w:rsidR="00D5116A">
                          <w:rPr>
                            <w:noProof/>
                            <w:webHidden/>
                          </w:rPr>
                          <w:tab/>
                        </w:r>
                        <w:r w:rsidR="00D5116A">
                          <w:rPr>
                            <w:noProof/>
                            <w:webHidden/>
                          </w:rPr>
                          <w:fldChar w:fldCharType="begin"/>
                        </w:r>
                        <w:r w:rsidR="00D5116A">
                          <w:rPr>
                            <w:noProof/>
                            <w:webHidden/>
                          </w:rPr>
                          <w:instrText xml:space="preserve"> PAGEREF _Toc188012875 \h </w:instrText>
                        </w:r>
                        <w:r w:rsidR="00D5116A">
                          <w:rPr>
                            <w:noProof/>
                            <w:webHidden/>
                          </w:rPr>
                        </w:r>
                        <w:r w:rsidR="00D5116A">
                          <w:rPr>
                            <w:noProof/>
                            <w:webHidden/>
                          </w:rPr>
                          <w:fldChar w:fldCharType="separate"/>
                        </w:r>
                        <w:r w:rsidR="00D5116A">
                          <w:rPr>
                            <w:noProof/>
                            <w:webHidden/>
                          </w:rPr>
                          <w:t>65</w:t>
                        </w:r>
                        <w:r w:rsidR="00D5116A">
                          <w:rPr>
                            <w:noProof/>
                            <w:webHidden/>
                          </w:rPr>
                          <w:fldChar w:fldCharType="end"/>
                        </w:r>
                      </w:hyperlink>
                    </w:p>
                    <w:p w14:paraId="5ECA90E7" w14:textId="7DBBD6EE"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76" w:history="1">
                        <w:r w:rsidR="00D5116A" w:rsidRPr="002E25FF">
                          <w:rPr>
                            <w:rStyle w:val="Hyperlink"/>
                            <w:noProof/>
                          </w:rPr>
                          <w:t xml:space="preserve"> Option 4 – Public and Private hospitals and approved Residential Aged Care facilities (excluding MPS facilities) report adverse events related to medium and high risk medical devices</w:t>
                        </w:r>
                        <w:r w:rsidR="00D5116A">
                          <w:rPr>
                            <w:noProof/>
                            <w:webHidden/>
                          </w:rPr>
                          <w:tab/>
                        </w:r>
                        <w:r w:rsidR="00D5116A">
                          <w:rPr>
                            <w:noProof/>
                            <w:webHidden/>
                          </w:rPr>
                          <w:fldChar w:fldCharType="begin"/>
                        </w:r>
                        <w:r w:rsidR="00D5116A">
                          <w:rPr>
                            <w:noProof/>
                            <w:webHidden/>
                          </w:rPr>
                          <w:instrText xml:space="preserve"> PAGEREF _Toc188012876 \h </w:instrText>
                        </w:r>
                        <w:r w:rsidR="00D5116A">
                          <w:rPr>
                            <w:noProof/>
                            <w:webHidden/>
                          </w:rPr>
                        </w:r>
                        <w:r w:rsidR="00D5116A">
                          <w:rPr>
                            <w:noProof/>
                            <w:webHidden/>
                          </w:rPr>
                          <w:fldChar w:fldCharType="separate"/>
                        </w:r>
                        <w:r w:rsidR="00D5116A">
                          <w:rPr>
                            <w:noProof/>
                            <w:webHidden/>
                          </w:rPr>
                          <w:t>67</w:t>
                        </w:r>
                        <w:r w:rsidR="00D5116A">
                          <w:rPr>
                            <w:noProof/>
                            <w:webHidden/>
                          </w:rPr>
                          <w:fldChar w:fldCharType="end"/>
                        </w:r>
                      </w:hyperlink>
                    </w:p>
                    <w:p w14:paraId="1C25D984" w14:textId="3E02BD7F"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77" w:history="1">
                        <w:r w:rsidR="00D5116A" w:rsidRPr="002E25FF">
                          <w:rPr>
                            <w:rStyle w:val="Hyperlink"/>
                            <w:noProof/>
                          </w:rPr>
                          <w:t>Question Five: Who did you consult with and how was this consultation conducted?</w:t>
                        </w:r>
                        <w:r w:rsidR="00D5116A">
                          <w:rPr>
                            <w:noProof/>
                            <w:webHidden/>
                          </w:rPr>
                          <w:tab/>
                        </w:r>
                        <w:r w:rsidR="00D5116A">
                          <w:rPr>
                            <w:noProof/>
                            <w:webHidden/>
                          </w:rPr>
                          <w:fldChar w:fldCharType="begin"/>
                        </w:r>
                        <w:r w:rsidR="00D5116A">
                          <w:rPr>
                            <w:noProof/>
                            <w:webHidden/>
                          </w:rPr>
                          <w:instrText xml:space="preserve"> PAGEREF _Toc188012877 \h </w:instrText>
                        </w:r>
                        <w:r w:rsidR="00D5116A">
                          <w:rPr>
                            <w:noProof/>
                            <w:webHidden/>
                          </w:rPr>
                        </w:r>
                        <w:r w:rsidR="00D5116A">
                          <w:rPr>
                            <w:noProof/>
                            <w:webHidden/>
                          </w:rPr>
                          <w:fldChar w:fldCharType="separate"/>
                        </w:r>
                        <w:r w:rsidR="00D5116A">
                          <w:rPr>
                            <w:noProof/>
                            <w:webHidden/>
                          </w:rPr>
                          <w:t>69</w:t>
                        </w:r>
                        <w:r w:rsidR="00D5116A">
                          <w:rPr>
                            <w:noProof/>
                            <w:webHidden/>
                          </w:rPr>
                          <w:fldChar w:fldCharType="end"/>
                        </w:r>
                      </w:hyperlink>
                    </w:p>
                    <w:p w14:paraId="7316707F" w14:textId="6BDDDDCF"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78" w:history="1">
                        <w:r w:rsidR="00D5116A" w:rsidRPr="00D81712">
                          <w:rPr>
                            <w:rStyle w:val="Hyperlink"/>
                            <w:noProof/>
                          </w:rPr>
                          <w:t>Independent Senate Community Affairs References Committee</w:t>
                        </w:r>
                        <w:r w:rsidR="00D5116A" w:rsidRPr="0030137C">
                          <w:rPr>
                            <w:noProof/>
                            <w:webHidden/>
                          </w:rPr>
                          <w:tab/>
                        </w:r>
                        <w:r w:rsidR="00D5116A" w:rsidRPr="0030137C">
                          <w:rPr>
                            <w:noProof/>
                            <w:webHidden/>
                          </w:rPr>
                          <w:fldChar w:fldCharType="begin"/>
                        </w:r>
                        <w:r w:rsidR="00D5116A" w:rsidRPr="0030137C">
                          <w:rPr>
                            <w:noProof/>
                            <w:webHidden/>
                          </w:rPr>
                          <w:instrText xml:space="preserve"> PAGEREF _Toc188012878 \h </w:instrText>
                        </w:r>
                        <w:r w:rsidR="00D5116A" w:rsidRPr="0030137C">
                          <w:rPr>
                            <w:noProof/>
                            <w:webHidden/>
                          </w:rPr>
                        </w:r>
                        <w:r w:rsidR="00D5116A" w:rsidRPr="0030137C">
                          <w:rPr>
                            <w:noProof/>
                            <w:webHidden/>
                          </w:rPr>
                          <w:fldChar w:fldCharType="separate"/>
                        </w:r>
                        <w:r w:rsidR="00D5116A" w:rsidRPr="0030137C">
                          <w:rPr>
                            <w:noProof/>
                            <w:webHidden/>
                          </w:rPr>
                          <w:t>69</w:t>
                        </w:r>
                        <w:r w:rsidR="00D5116A" w:rsidRPr="0030137C">
                          <w:rPr>
                            <w:noProof/>
                            <w:webHidden/>
                          </w:rPr>
                          <w:fldChar w:fldCharType="end"/>
                        </w:r>
                      </w:hyperlink>
                    </w:p>
                    <w:p w14:paraId="3EE6A648" w14:textId="55F17CB4"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79" w:history="1">
                        <w:r w:rsidR="00D5116A" w:rsidRPr="002E25FF">
                          <w:rPr>
                            <w:rStyle w:val="Hyperlink"/>
                            <w:noProof/>
                          </w:rPr>
                          <w:t>Preliminary Public Consultations</w:t>
                        </w:r>
                        <w:r w:rsidR="00D5116A">
                          <w:rPr>
                            <w:noProof/>
                            <w:webHidden/>
                          </w:rPr>
                          <w:tab/>
                        </w:r>
                        <w:r w:rsidR="00D5116A">
                          <w:rPr>
                            <w:noProof/>
                            <w:webHidden/>
                          </w:rPr>
                          <w:fldChar w:fldCharType="begin"/>
                        </w:r>
                        <w:r w:rsidR="00D5116A">
                          <w:rPr>
                            <w:noProof/>
                            <w:webHidden/>
                          </w:rPr>
                          <w:instrText xml:space="preserve"> PAGEREF _Toc188012879 \h </w:instrText>
                        </w:r>
                        <w:r w:rsidR="00D5116A">
                          <w:rPr>
                            <w:noProof/>
                            <w:webHidden/>
                          </w:rPr>
                        </w:r>
                        <w:r w:rsidR="00D5116A">
                          <w:rPr>
                            <w:noProof/>
                            <w:webHidden/>
                          </w:rPr>
                          <w:fldChar w:fldCharType="separate"/>
                        </w:r>
                        <w:r w:rsidR="00D5116A">
                          <w:rPr>
                            <w:noProof/>
                            <w:webHidden/>
                          </w:rPr>
                          <w:t>69</w:t>
                        </w:r>
                        <w:r w:rsidR="00D5116A">
                          <w:rPr>
                            <w:noProof/>
                            <w:webHidden/>
                          </w:rPr>
                          <w:fldChar w:fldCharType="end"/>
                        </w:r>
                      </w:hyperlink>
                    </w:p>
                    <w:p w14:paraId="3185F299" w14:textId="1E699B5C"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80" w:history="1">
                        <w:r w:rsidR="00D5116A" w:rsidRPr="002E25FF">
                          <w:rPr>
                            <w:rStyle w:val="Hyperlink"/>
                            <w:noProof/>
                          </w:rPr>
                          <w:t xml:space="preserve">Consultation </w:t>
                        </w:r>
                        <w:r w:rsidR="00D5116A">
                          <w:rPr>
                            <w:noProof/>
                            <w:webHidden/>
                          </w:rPr>
                          <w:tab/>
                        </w:r>
                        <w:r w:rsidR="00D5116A">
                          <w:rPr>
                            <w:noProof/>
                            <w:webHidden/>
                          </w:rPr>
                          <w:fldChar w:fldCharType="begin"/>
                        </w:r>
                        <w:r w:rsidR="00D5116A">
                          <w:rPr>
                            <w:noProof/>
                            <w:webHidden/>
                          </w:rPr>
                          <w:instrText xml:space="preserve"> PAGEREF _Toc188012880 \h </w:instrText>
                        </w:r>
                        <w:r w:rsidR="00D5116A">
                          <w:rPr>
                            <w:noProof/>
                            <w:webHidden/>
                          </w:rPr>
                        </w:r>
                        <w:r w:rsidR="00D5116A">
                          <w:rPr>
                            <w:noProof/>
                            <w:webHidden/>
                          </w:rPr>
                          <w:fldChar w:fldCharType="separate"/>
                        </w:r>
                        <w:r w:rsidR="00D5116A">
                          <w:rPr>
                            <w:noProof/>
                            <w:webHidden/>
                          </w:rPr>
                          <w:t>70</w:t>
                        </w:r>
                        <w:r w:rsidR="00D5116A">
                          <w:rPr>
                            <w:noProof/>
                            <w:webHidden/>
                          </w:rPr>
                          <w:fldChar w:fldCharType="end"/>
                        </w:r>
                      </w:hyperlink>
                    </w:p>
                    <w:p w14:paraId="7AB89445" w14:textId="46BC7835"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81" w:history="1">
                        <w:r w:rsidR="00D5116A" w:rsidRPr="002E25FF">
                          <w:rPr>
                            <w:rStyle w:val="Hyperlink"/>
                            <w:noProof/>
                          </w:rPr>
                          <w:t>Question Six: What is the best option from those you have considered and how will it be implemented?</w:t>
                        </w:r>
                        <w:r w:rsidR="00D5116A">
                          <w:rPr>
                            <w:noProof/>
                            <w:webHidden/>
                          </w:rPr>
                          <w:tab/>
                        </w:r>
                        <w:r w:rsidR="00D5116A">
                          <w:rPr>
                            <w:noProof/>
                            <w:webHidden/>
                          </w:rPr>
                          <w:fldChar w:fldCharType="begin"/>
                        </w:r>
                        <w:r w:rsidR="00D5116A">
                          <w:rPr>
                            <w:noProof/>
                            <w:webHidden/>
                          </w:rPr>
                          <w:instrText xml:space="preserve"> PAGEREF _Toc188012881 \h </w:instrText>
                        </w:r>
                        <w:r w:rsidR="00D5116A">
                          <w:rPr>
                            <w:noProof/>
                            <w:webHidden/>
                          </w:rPr>
                        </w:r>
                        <w:r w:rsidR="00D5116A">
                          <w:rPr>
                            <w:noProof/>
                            <w:webHidden/>
                          </w:rPr>
                          <w:fldChar w:fldCharType="separate"/>
                        </w:r>
                        <w:r w:rsidR="00D5116A">
                          <w:rPr>
                            <w:noProof/>
                            <w:webHidden/>
                          </w:rPr>
                          <w:t>76</w:t>
                        </w:r>
                        <w:r w:rsidR="00D5116A">
                          <w:rPr>
                            <w:noProof/>
                            <w:webHidden/>
                          </w:rPr>
                          <w:fldChar w:fldCharType="end"/>
                        </w:r>
                      </w:hyperlink>
                    </w:p>
                    <w:p w14:paraId="161D2038" w14:textId="6E05BA55"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82" w:history="1">
                        <w:r w:rsidR="00D5116A" w:rsidRPr="002E25FF">
                          <w:rPr>
                            <w:rStyle w:val="Hyperlink"/>
                            <w:noProof/>
                          </w:rPr>
                          <w:t>Implementation</w:t>
                        </w:r>
                        <w:r w:rsidR="00D5116A">
                          <w:rPr>
                            <w:noProof/>
                            <w:webHidden/>
                          </w:rPr>
                          <w:tab/>
                        </w:r>
                        <w:r w:rsidR="00D5116A">
                          <w:rPr>
                            <w:noProof/>
                            <w:webHidden/>
                          </w:rPr>
                          <w:fldChar w:fldCharType="begin"/>
                        </w:r>
                        <w:r w:rsidR="00D5116A">
                          <w:rPr>
                            <w:noProof/>
                            <w:webHidden/>
                          </w:rPr>
                          <w:instrText xml:space="preserve"> PAGEREF _Toc188012882 \h </w:instrText>
                        </w:r>
                        <w:r w:rsidR="00D5116A">
                          <w:rPr>
                            <w:noProof/>
                            <w:webHidden/>
                          </w:rPr>
                        </w:r>
                        <w:r w:rsidR="00D5116A">
                          <w:rPr>
                            <w:noProof/>
                            <w:webHidden/>
                          </w:rPr>
                          <w:fldChar w:fldCharType="separate"/>
                        </w:r>
                        <w:r w:rsidR="00D5116A">
                          <w:rPr>
                            <w:noProof/>
                            <w:webHidden/>
                          </w:rPr>
                          <w:t>79</w:t>
                        </w:r>
                        <w:r w:rsidR="00D5116A">
                          <w:rPr>
                            <w:noProof/>
                            <w:webHidden/>
                          </w:rPr>
                          <w:fldChar w:fldCharType="end"/>
                        </w:r>
                      </w:hyperlink>
                    </w:p>
                    <w:p w14:paraId="7669AF46" w14:textId="22B0DE82"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83" w:history="1">
                        <w:r w:rsidR="00D5116A" w:rsidRPr="002E25FF">
                          <w:rPr>
                            <w:rStyle w:val="Hyperlink"/>
                            <w:noProof/>
                          </w:rPr>
                          <w:t>Question Seven: How will you evaluate your chosen option against the success metrics?    Evaluation</w:t>
                        </w:r>
                        <w:r w:rsidR="00D5116A">
                          <w:rPr>
                            <w:noProof/>
                            <w:webHidden/>
                          </w:rPr>
                          <w:tab/>
                        </w:r>
                        <w:r w:rsidR="00D5116A">
                          <w:rPr>
                            <w:noProof/>
                            <w:webHidden/>
                          </w:rPr>
                          <w:fldChar w:fldCharType="begin"/>
                        </w:r>
                        <w:r w:rsidR="00D5116A">
                          <w:rPr>
                            <w:noProof/>
                            <w:webHidden/>
                          </w:rPr>
                          <w:instrText xml:space="preserve"> PAGEREF _Toc188012883 \h </w:instrText>
                        </w:r>
                        <w:r w:rsidR="00D5116A">
                          <w:rPr>
                            <w:noProof/>
                            <w:webHidden/>
                          </w:rPr>
                        </w:r>
                        <w:r w:rsidR="00D5116A">
                          <w:rPr>
                            <w:noProof/>
                            <w:webHidden/>
                          </w:rPr>
                          <w:fldChar w:fldCharType="separate"/>
                        </w:r>
                        <w:r w:rsidR="00D5116A">
                          <w:rPr>
                            <w:noProof/>
                            <w:webHidden/>
                          </w:rPr>
                          <w:t>86</w:t>
                        </w:r>
                        <w:r w:rsidR="00D5116A">
                          <w:rPr>
                            <w:noProof/>
                            <w:webHidden/>
                          </w:rPr>
                          <w:fldChar w:fldCharType="end"/>
                        </w:r>
                      </w:hyperlink>
                    </w:p>
                    <w:p w14:paraId="4F7613B4" w14:textId="1303C278"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84" w:history="1">
                        <w:r w:rsidR="00D5116A" w:rsidRPr="002E25FF">
                          <w:rPr>
                            <w:rStyle w:val="Hyperlink"/>
                            <w:noProof/>
                          </w:rPr>
                          <w:t>Appendix A: Cost Benefits Summary and Multi-Criteria Analysis</w:t>
                        </w:r>
                        <w:r w:rsidR="00D5116A">
                          <w:rPr>
                            <w:noProof/>
                            <w:webHidden/>
                          </w:rPr>
                          <w:tab/>
                        </w:r>
                        <w:r w:rsidR="00D5116A">
                          <w:rPr>
                            <w:noProof/>
                            <w:webHidden/>
                          </w:rPr>
                          <w:fldChar w:fldCharType="begin"/>
                        </w:r>
                        <w:r w:rsidR="00D5116A">
                          <w:rPr>
                            <w:noProof/>
                            <w:webHidden/>
                          </w:rPr>
                          <w:instrText xml:space="preserve"> PAGEREF _Toc188012884 \h </w:instrText>
                        </w:r>
                        <w:r w:rsidR="00D5116A">
                          <w:rPr>
                            <w:noProof/>
                            <w:webHidden/>
                          </w:rPr>
                        </w:r>
                        <w:r w:rsidR="00D5116A">
                          <w:rPr>
                            <w:noProof/>
                            <w:webHidden/>
                          </w:rPr>
                          <w:fldChar w:fldCharType="separate"/>
                        </w:r>
                        <w:r w:rsidR="00D5116A">
                          <w:rPr>
                            <w:noProof/>
                            <w:webHidden/>
                          </w:rPr>
                          <w:t>92</w:t>
                        </w:r>
                        <w:r w:rsidR="00D5116A">
                          <w:rPr>
                            <w:noProof/>
                            <w:webHidden/>
                          </w:rPr>
                          <w:fldChar w:fldCharType="end"/>
                        </w:r>
                      </w:hyperlink>
                    </w:p>
                    <w:p w14:paraId="7FDEC338" w14:textId="7F1CE1A5"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85" w:history="1">
                        <w:r w:rsidR="00D5116A" w:rsidRPr="002E25FF">
                          <w:rPr>
                            <w:rStyle w:val="Hyperlink"/>
                            <w:noProof/>
                          </w:rPr>
                          <w:t>Appendix B: Regulatory Burden Estimate</w:t>
                        </w:r>
                        <w:r w:rsidR="00D5116A">
                          <w:rPr>
                            <w:noProof/>
                            <w:webHidden/>
                          </w:rPr>
                          <w:tab/>
                        </w:r>
                        <w:r w:rsidR="00D5116A">
                          <w:rPr>
                            <w:noProof/>
                            <w:webHidden/>
                          </w:rPr>
                          <w:fldChar w:fldCharType="begin"/>
                        </w:r>
                        <w:r w:rsidR="00D5116A">
                          <w:rPr>
                            <w:noProof/>
                            <w:webHidden/>
                          </w:rPr>
                          <w:instrText xml:space="preserve"> PAGEREF _Toc188012885 \h </w:instrText>
                        </w:r>
                        <w:r w:rsidR="00D5116A">
                          <w:rPr>
                            <w:noProof/>
                            <w:webHidden/>
                          </w:rPr>
                        </w:r>
                        <w:r w:rsidR="00D5116A">
                          <w:rPr>
                            <w:noProof/>
                            <w:webHidden/>
                          </w:rPr>
                          <w:fldChar w:fldCharType="separate"/>
                        </w:r>
                        <w:r w:rsidR="00D5116A">
                          <w:rPr>
                            <w:noProof/>
                            <w:webHidden/>
                          </w:rPr>
                          <w:t>104</w:t>
                        </w:r>
                        <w:r w:rsidR="00D5116A">
                          <w:rPr>
                            <w:noProof/>
                            <w:webHidden/>
                          </w:rPr>
                          <w:fldChar w:fldCharType="end"/>
                        </w:r>
                      </w:hyperlink>
                    </w:p>
                    <w:p w14:paraId="1FF42B97" w14:textId="6320FAB9"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86" w:history="1">
                        <w:r w:rsidR="00D5116A" w:rsidRPr="002E25FF">
                          <w:rPr>
                            <w:rStyle w:val="Hyperlink"/>
                            <w:rFonts w:eastAsia="Times New Roman"/>
                            <w:bCs/>
                            <w:noProof/>
                          </w:rPr>
                          <w:t>Overview</w:t>
                        </w:r>
                        <w:r w:rsidR="00D5116A">
                          <w:rPr>
                            <w:noProof/>
                            <w:webHidden/>
                          </w:rPr>
                          <w:tab/>
                        </w:r>
                        <w:r w:rsidR="00D5116A">
                          <w:rPr>
                            <w:noProof/>
                            <w:webHidden/>
                          </w:rPr>
                          <w:fldChar w:fldCharType="begin"/>
                        </w:r>
                        <w:r w:rsidR="00D5116A">
                          <w:rPr>
                            <w:noProof/>
                            <w:webHidden/>
                          </w:rPr>
                          <w:instrText xml:space="preserve"> PAGEREF _Toc188012886 \h </w:instrText>
                        </w:r>
                        <w:r w:rsidR="00D5116A">
                          <w:rPr>
                            <w:noProof/>
                            <w:webHidden/>
                          </w:rPr>
                        </w:r>
                        <w:r w:rsidR="00D5116A">
                          <w:rPr>
                            <w:noProof/>
                            <w:webHidden/>
                          </w:rPr>
                          <w:fldChar w:fldCharType="separate"/>
                        </w:r>
                        <w:r w:rsidR="00D5116A">
                          <w:rPr>
                            <w:noProof/>
                            <w:webHidden/>
                          </w:rPr>
                          <w:t>104</w:t>
                        </w:r>
                        <w:r w:rsidR="00D5116A">
                          <w:rPr>
                            <w:noProof/>
                            <w:webHidden/>
                          </w:rPr>
                          <w:fldChar w:fldCharType="end"/>
                        </w:r>
                      </w:hyperlink>
                    </w:p>
                    <w:p w14:paraId="7538F739" w14:textId="6F51AEF5"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87" w:history="1">
                        <w:r w:rsidR="00D5116A" w:rsidRPr="002E25FF">
                          <w:rPr>
                            <w:rStyle w:val="Hyperlink"/>
                            <w:rFonts w:eastAsia="Times New Roman"/>
                            <w:bCs/>
                            <w:noProof/>
                          </w:rPr>
                          <w:t>Assumptions</w:t>
                        </w:r>
                        <w:r w:rsidR="00D5116A">
                          <w:rPr>
                            <w:noProof/>
                            <w:webHidden/>
                          </w:rPr>
                          <w:tab/>
                        </w:r>
                        <w:r w:rsidR="00D5116A">
                          <w:rPr>
                            <w:noProof/>
                            <w:webHidden/>
                          </w:rPr>
                          <w:fldChar w:fldCharType="begin"/>
                        </w:r>
                        <w:r w:rsidR="00D5116A">
                          <w:rPr>
                            <w:noProof/>
                            <w:webHidden/>
                          </w:rPr>
                          <w:instrText xml:space="preserve"> PAGEREF _Toc188012887 \h </w:instrText>
                        </w:r>
                        <w:r w:rsidR="00D5116A">
                          <w:rPr>
                            <w:noProof/>
                            <w:webHidden/>
                          </w:rPr>
                        </w:r>
                        <w:r w:rsidR="00D5116A">
                          <w:rPr>
                            <w:noProof/>
                            <w:webHidden/>
                          </w:rPr>
                          <w:fldChar w:fldCharType="separate"/>
                        </w:r>
                        <w:r w:rsidR="00D5116A">
                          <w:rPr>
                            <w:noProof/>
                            <w:webHidden/>
                          </w:rPr>
                          <w:t>106</w:t>
                        </w:r>
                        <w:r w:rsidR="00D5116A">
                          <w:rPr>
                            <w:noProof/>
                            <w:webHidden/>
                          </w:rPr>
                          <w:fldChar w:fldCharType="end"/>
                        </w:r>
                      </w:hyperlink>
                    </w:p>
                    <w:p w14:paraId="25714ED4" w14:textId="0029CA05"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88" w:history="1">
                        <w:r w:rsidR="00D5116A" w:rsidRPr="002E25FF">
                          <w:rPr>
                            <w:rStyle w:val="Hyperlink"/>
                            <w:noProof/>
                          </w:rPr>
                          <w:t>Annex A – Acronyms and Abbreviations</w:t>
                        </w:r>
                        <w:r w:rsidR="00D5116A">
                          <w:rPr>
                            <w:noProof/>
                            <w:webHidden/>
                          </w:rPr>
                          <w:tab/>
                        </w:r>
                        <w:r w:rsidR="00D5116A">
                          <w:rPr>
                            <w:noProof/>
                            <w:webHidden/>
                          </w:rPr>
                          <w:fldChar w:fldCharType="begin"/>
                        </w:r>
                        <w:r w:rsidR="00D5116A">
                          <w:rPr>
                            <w:noProof/>
                            <w:webHidden/>
                          </w:rPr>
                          <w:instrText xml:space="preserve"> PAGEREF _Toc188012888 \h </w:instrText>
                        </w:r>
                        <w:r w:rsidR="00D5116A">
                          <w:rPr>
                            <w:noProof/>
                            <w:webHidden/>
                          </w:rPr>
                        </w:r>
                        <w:r w:rsidR="00D5116A">
                          <w:rPr>
                            <w:noProof/>
                            <w:webHidden/>
                          </w:rPr>
                          <w:fldChar w:fldCharType="separate"/>
                        </w:r>
                        <w:r w:rsidR="00D5116A">
                          <w:rPr>
                            <w:noProof/>
                            <w:webHidden/>
                          </w:rPr>
                          <w:t>116</w:t>
                        </w:r>
                        <w:r w:rsidR="00D5116A">
                          <w:rPr>
                            <w:noProof/>
                            <w:webHidden/>
                          </w:rPr>
                          <w:fldChar w:fldCharType="end"/>
                        </w:r>
                      </w:hyperlink>
                    </w:p>
                    <w:p w14:paraId="06E9DE15" w14:textId="18198967" w:rsidR="00D5116A" w:rsidRDefault="00DA1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8012889" w:history="1">
                        <w:r w:rsidR="00D5116A" w:rsidRPr="002E25FF">
                          <w:rPr>
                            <w:rStyle w:val="Hyperlink"/>
                            <w:noProof/>
                          </w:rPr>
                          <w:t>Annex B – Impact on Healthcare Facilities</w:t>
                        </w:r>
                        <w:r w:rsidR="00D5116A">
                          <w:rPr>
                            <w:noProof/>
                            <w:webHidden/>
                          </w:rPr>
                          <w:tab/>
                        </w:r>
                        <w:r w:rsidR="00D5116A">
                          <w:rPr>
                            <w:noProof/>
                            <w:webHidden/>
                          </w:rPr>
                          <w:fldChar w:fldCharType="begin"/>
                        </w:r>
                        <w:r w:rsidR="00D5116A">
                          <w:rPr>
                            <w:noProof/>
                            <w:webHidden/>
                          </w:rPr>
                          <w:instrText xml:space="preserve"> PAGEREF _Toc188012889 \h </w:instrText>
                        </w:r>
                        <w:r w:rsidR="00D5116A">
                          <w:rPr>
                            <w:noProof/>
                            <w:webHidden/>
                          </w:rPr>
                        </w:r>
                        <w:r w:rsidR="00D5116A">
                          <w:rPr>
                            <w:noProof/>
                            <w:webHidden/>
                          </w:rPr>
                          <w:fldChar w:fldCharType="separate"/>
                        </w:r>
                        <w:r w:rsidR="00D5116A">
                          <w:rPr>
                            <w:noProof/>
                            <w:webHidden/>
                          </w:rPr>
                          <w:t>117</w:t>
                        </w:r>
                        <w:r w:rsidR="00D5116A">
                          <w:rPr>
                            <w:noProof/>
                            <w:webHidden/>
                          </w:rPr>
                          <w:fldChar w:fldCharType="end"/>
                        </w:r>
                      </w:hyperlink>
                    </w:p>
                    <w:p w14:paraId="54F96E8B" w14:textId="34DA8EE3" w:rsidR="00D5116A" w:rsidRDefault="00DA1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8012890" w:history="1">
                        <w:r w:rsidR="00D5116A" w:rsidRPr="002E25FF">
                          <w:rPr>
                            <w:rStyle w:val="Hyperlink"/>
                            <w:noProof/>
                          </w:rPr>
                          <w:t>Purpose of this annexure</w:t>
                        </w:r>
                        <w:r w:rsidR="00D5116A">
                          <w:rPr>
                            <w:noProof/>
                            <w:webHidden/>
                          </w:rPr>
                          <w:tab/>
                        </w:r>
                        <w:r w:rsidR="00D5116A">
                          <w:rPr>
                            <w:noProof/>
                            <w:webHidden/>
                          </w:rPr>
                          <w:fldChar w:fldCharType="begin"/>
                        </w:r>
                        <w:r w:rsidR="00D5116A">
                          <w:rPr>
                            <w:noProof/>
                            <w:webHidden/>
                          </w:rPr>
                          <w:instrText xml:space="preserve"> PAGEREF _Toc188012890 \h </w:instrText>
                        </w:r>
                        <w:r w:rsidR="00D5116A">
                          <w:rPr>
                            <w:noProof/>
                            <w:webHidden/>
                          </w:rPr>
                        </w:r>
                        <w:r w:rsidR="00D5116A">
                          <w:rPr>
                            <w:noProof/>
                            <w:webHidden/>
                          </w:rPr>
                          <w:fldChar w:fldCharType="separate"/>
                        </w:r>
                        <w:r w:rsidR="00D5116A">
                          <w:rPr>
                            <w:noProof/>
                            <w:webHidden/>
                          </w:rPr>
                          <w:t>117</w:t>
                        </w:r>
                        <w:r w:rsidR="00D5116A">
                          <w:rPr>
                            <w:noProof/>
                            <w:webHidden/>
                          </w:rPr>
                          <w:fldChar w:fldCharType="end"/>
                        </w:r>
                      </w:hyperlink>
                    </w:p>
                    <w:p w14:paraId="74528371" w14:textId="0012BD11" w:rsidR="00CE52F3" w:rsidRDefault="00CE52F3">
                      <w:pPr>
                        <w:pStyle w:val="TOC1"/>
                        <w:rPr>
                          <w:rStyle w:val="Heading2Char"/>
                          <w:rFonts w:eastAsiaTheme="minorHAnsi"/>
                          <w:b/>
                          <w:caps/>
                          <w:spacing w:val="-15"/>
                          <w:lang w:val="en-US"/>
                        </w:rPr>
                      </w:pPr>
                      <w:r>
                        <w:rPr>
                          <w:b w:val="0"/>
                          <w:bCs/>
                          <w:noProof/>
                        </w:rPr>
                        <w:fldChar w:fldCharType="end"/>
                      </w:r>
                    </w:p>
                  </w:sdtContent>
                </w:sdt>
              </w:sdtContent>
            </w:sdt>
            <w:p w14:paraId="33511B15" w14:textId="281B0819" w:rsidR="00F9197A" w:rsidRPr="00F9197A" w:rsidRDefault="00DA18FC">
              <w:pPr>
                <w:rPr>
                  <w:b/>
                  <w:bCs/>
                  <w:noProof/>
                </w:rPr>
              </w:pPr>
            </w:p>
          </w:sdtContent>
        </w:sdt>
      </w:sdtContent>
    </w:sdt>
    <w:bookmarkStart w:id="14" w:name="_Toc156375126" w:displacedByCustomXml="prev"/>
    <w:p w14:paraId="2B8E0391" w14:textId="77777777" w:rsidR="00FB39D1" w:rsidRDefault="00FB39D1">
      <w:pPr>
        <w:rPr>
          <w:rFonts w:eastAsia="Times New Roman" w:cs="Times New Roman"/>
          <w:b/>
          <w:bCs/>
          <w:color w:val="001871"/>
          <w:sz w:val="38"/>
          <w:szCs w:val="38"/>
        </w:rPr>
      </w:pPr>
      <w:r>
        <w:br w:type="page"/>
      </w:r>
    </w:p>
    <w:p w14:paraId="094D2030" w14:textId="77777777" w:rsidR="00B96BEC" w:rsidRDefault="00CE52F3" w:rsidP="00F9197A">
      <w:pPr>
        <w:pStyle w:val="Heading2"/>
      </w:pPr>
      <w:bookmarkStart w:id="15" w:name="_Toc179531293"/>
      <w:bookmarkStart w:id="16" w:name="_Toc188012837"/>
      <w:r>
        <w:lastRenderedPageBreak/>
        <w:t>Executive Summary</w:t>
      </w:r>
      <w:bookmarkEnd w:id="15"/>
      <w:bookmarkEnd w:id="16"/>
      <w:bookmarkEnd w:id="14"/>
    </w:p>
    <w:p w14:paraId="122B9FAF" w14:textId="47092F6F" w:rsidR="00AB2975" w:rsidRDefault="006704DD" w:rsidP="0079175B">
      <w:r>
        <w:t>In Australia, the Therapeutic Goods Administration (TGA)</w:t>
      </w:r>
      <w:r w:rsidR="00233D16">
        <w:t xml:space="preserve"> is responsible for monitoring the safety and </w:t>
      </w:r>
      <w:r w:rsidR="00AB2975">
        <w:t>performance</w:t>
      </w:r>
      <w:r w:rsidR="00233D16">
        <w:t xml:space="preserve"> of therapeutic goods. This includes </w:t>
      </w:r>
      <w:r w:rsidR="00AB2975">
        <w:t xml:space="preserve">identifying and addressing emerging issues with the safety and performance of medical devices. </w:t>
      </w:r>
      <w:r w:rsidR="00CE498A">
        <w:t xml:space="preserve">Multiple inquiries and reviews have identified the need for strengthened post-market monitoring of medical devices to improve the TGA’s capability to </w:t>
      </w:r>
      <w:r w:rsidR="003E4228">
        <w:t xml:space="preserve">detect </w:t>
      </w:r>
      <w:r w:rsidR="00793C52">
        <w:t>issues in the Australian market and provide timely information to consumers</w:t>
      </w:r>
      <w:r w:rsidR="00AD2C43">
        <w:t>, health professionals and medical device sponsors and manufacturers.</w:t>
      </w:r>
    </w:p>
    <w:p w14:paraId="3F57D0EB" w14:textId="7EA5ECFB" w:rsidR="00CE52F3" w:rsidRPr="00485D9F" w:rsidRDefault="00D25F81" w:rsidP="0079175B">
      <w:r>
        <w:t xml:space="preserve">This </w:t>
      </w:r>
      <w:r w:rsidR="001D3ACD">
        <w:t xml:space="preserve">regulatory impact </w:t>
      </w:r>
      <w:r w:rsidR="00737454">
        <w:t>analysis</w:t>
      </w:r>
      <w:r w:rsidR="001D3ACD">
        <w:t xml:space="preserve"> </w:t>
      </w:r>
      <w:r w:rsidR="00D60B46">
        <w:t xml:space="preserve">describes the </w:t>
      </w:r>
      <w:r w:rsidR="00D32034" w:rsidRPr="001D3ACD">
        <w:t>introduc</w:t>
      </w:r>
      <w:r w:rsidR="00D32034">
        <w:t>tion</w:t>
      </w:r>
      <w:r w:rsidR="00271EF9">
        <w:t xml:space="preserve"> of</w:t>
      </w:r>
      <w:r w:rsidR="001D3ACD" w:rsidRPr="001D3ACD">
        <w:t xml:space="preserve"> </w:t>
      </w:r>
      <w:r w:rsidR="002F7BCB">
        <w:t>m</w:t>
      </w:r>
      <w:r w:rsidR="001D3ACD" w:rsidRPr="001D3ACD">
        <w:t>andatory reporting requirements for adverse events involving medical devices</w:t>
      </w:r>
      <w:r w:rsidR="0071325B">
        <w:t>.</w:t>
      </w:r>
      <w:r w:rsidR="001D3ACD" w:rsidRPr="001D3ACD">
        <w:t xml:space="preserve"> </w:t>
      </w:r>
      <w:r w:rsidR="00E507E4">
        <w:t>Th</w:t>
      </w:r>
      <w:r w:rsidR="00652EE8">
        <w:t>is</w:t>
      </w:r>
      <w:r w:rsidR="00E507E4">
        <w:t xml:space="preserve"> </w:t>
      </w:r>
      <w:r w:rsidR="00CB2A51">
        <w:t>impact analysis</w:t>
      </w:r>
      <w:r w:rsidR="00E422F0">
        <w:t xml:space="preserve"> (IA)</w:t>
      </w:r>
      <w:r w:rsidR="00CB2A51">
        <w:t xml:space="preserve"> </w:t>
      </w:r>
      <w:r w:rsidR="00652EE8">
        <w:t>details and analyses a range of potential options to address the public</w:t>
      </w:r>
      <w:r w:rsidR="00E507E4">
        <w:t xml:space="preserve"> health</w:t>
      </w:r>
      <w:r w:rsidR="00CE52F3" w:rsidDel="00D25F81">
        <w:t xml:space="preserve"> </w:t>
      </w:r>
      <w:r w:rsidR="00F35309">
        <w:t>problem</w:t>
      </w:r>
      <w:r w:rsidR="00652EE8">
        <w:t xml:space="preserve"> -</w:t>
      </w:r>
      <w:r w:rsidR="001C1CB4">
        <w:t xml:space="preserve"> the underreporting of medical device adverse events</w:t>
      </w:r>
      <w:r w:rsidR="001F35F5">
        <w:t xml:space="preserve">, </w:t>
      </w:r>
      <w:r w:rsidR="00E4716E">
        <w:t xml:space="preserve">which </w:t>
      </w:r>
      <w:r w:rsidR="00A05DB4">
        <w:t xml:space="preserve">affects the TGA’s ability to identify emerging safety and </w:t>
      </w:r>
      <w:r w:rsidR="001F35F5">
        <w:t>performance issues early</w:t>
      </w:r>
      <w:r w:rsidR="001C1CB4">
        <w:t>.</w:t>
      </w:r>
      <w:r w:rsidR="002A5CC1">
        <w:t xml:space="preserve"> </w:t>
      </w:r>
      <w:r w:rsidR="00345B3D">
        <w:t xml:space="preserve">This impact </w:t>
      </w:r>
      <w:r w:rsidR="008C458A">
        <w:t>analysis</w:t>
      </w:r>
      <w:r w:rsidR="00345B3D">
        <w:t xml:space="preserve"> provides comprehensive answers to the</w:t>
      </w:r>
      <w:r w:rsidR="009A4C86">
        <w:t xml:space="preserve"> seven questions posed by the</w:t>
      </w:r>
      <w:r w:rsidR="00345B3D">
        <w:t xml:space="preserve"> Office of Impact </w:t>
      </w:r>
      <w:r w:rsidR="0093105C">
        <w:t>Analys</w:t>
      </w:r>
      <w:r w:rsidR="004768F5">
        <w:t>is</w:t>
      </w:r>
      <w:r w:rsidR="0093105C">
        <w:t xml:space="preserve"> </w:t>
      </w:r>
      <w:r w:rsidR="00350E34">
        <w:t>(OIA)</w:t>
      </w:r>
      <w:r w:rsidR="00345B3D">
        <w:t>.</w:t>
      </w:r>
      <w:r w:rsidR="00221B64">
        <w:t xml:space="preserve"> From the analysis of options </w:t>
      </w:r>
      <w:r w:rsidR="00E059D9">
        <w:t>prepared</w:t>
      </w:r>
      <w:r w:rsidR="00221B64">
        <w:t xml:space="preserve"> through the development of the impact statement</w:t>
      </w:r>
      <w:r w:rsidR="00D15544">
        <w:t>, a</w:t>
      </w:r>
      <w:r w:rsidR="00534F99">
        <w:t xml:space="preserve">n effective and balanced option emerges. </w:t>
      </w:r>
      <w:r w:rsidR="00D21E6D">
        <w:t>This impact analysis describes the context, the options, the benefits and costs associated with each option, and the implementation for the proposed option.</w:t>
      </w:r>
    </w:p>
    <w:p w14:paraId="26F6A27C" w14:textId="77777777" w:rsidR="00CE52F3" w:rsidRDefault="00CE52F3" w:rsidP="00E44D70">
      <w:pPr>
        <w:pStyle w:val="Heading4"/>
      </w:pPr>
      <w:bookmarkStart w:id="17" w:name="_Toc156375127"/>
      <w:r>
        <w:t>The public health problem</w:t>
      </w:r>
      <w:bookmarkEnd w:id="17"/>
      <w:r>
        <w:t xml:space="preserve"> </w:t>
      </w:r>
    </w:p>
    <w:p w14:paraId="5EC44417" w14:textId="43E33BDE" w:rsidR="00CE52F3" w:rsidRPr="006D0FCA" w:rsidRDefault="00CE52F3" w:rsidP="00F3751D">
      <w:pPr>
        <w:spacing w:line="240" w:lineRule="auto"/>
        <w:rPr>
          <w:rFonts w:cstheme="minorHAnsi"/>
          <w:bCs/>
        </w:rPr>
      </w:pPr>
      <w:r w:rsidRPr="0079175B">
        <w:t>The</w:t>
      </w:r>
      <w:r w:rsidRPr="019B8D41">
        <w:rPr>
          <w:rFonts w:ascii="Overpass" w:eastAsia="Overpass" w:hAnsi="Overpass" w:cs="Times New Roman"/>
          <w:color w:val="C1E4F5" w:themeColor="accent1" w:themeTint="33"/>
          <w:sz w:val="24"/>
          <w:szCs w:val="24"/>
        </w:rPr>
        <w:t xml:space="preserve"> </w:t>
      </w:r>
      <w:r>
        <w:t>2017-2018 Senate Inquiry into transvaginal mesh implants and related matters highlighted the</w:t>
      </w:r>
      <w:r w:rsidDel="00CE52F3">
        <w:t xml:space="preserve"> </w:t>
      </w:r>
      <w:r>
        <w:t xml:space="preserve">need for rapid information sharing between health providers and regulators about medical device safety and efficacy. </w:t>
      </w:r>
      <w:r w:rsidR="00AD475D">
        <w:rPr>
          <w:rFonts w:cstheme="minorHAnsi"/>
          <w:bCs/>
        </w:rPr>
        <w:t xml:space="preserve">A lack of reports had restricted the TGA’s ability to take timely action to safeguard patients. </w:t>
      </w:r>
      <w:r>
        <w:t xml:space="preserve">The TGA introduced measures to improve information sharing, including streamlined processes for electronic reporting of information by </w:t>
      </w:r>
      <w:r w:rsidR="00914E3F">
        <w:t xml:space="preserve">device </w:t>
      </w:r>
      <w:r>
        <w:t>manufacturers,</w:t>
      </w:r>
      <w:r w:rsidR="002B62D4">
        <w:t xml:space="preserve"> sponsors,</w:t>
      </w:r>
      <w:r>
        <w:t xml:space="preserve"> health professionals and consumers</w:t>
      </w:r>
      <w:r w:rsidR="0067503B">
        <w:t>,</w:t>
      </w:r>
      <w:r>
        <w:t xml:space="preserve"> and </w:t>
      </w:r>
      <w:r w:rsidR="0067503B">
        <w:t xml:space="preserve">measures to </w:t>
      </w:r>
      <w:r>
        <w:t xml:space="preserve">strengthen post-market risk assessment. However, two issues remain </w:t>
      </w:r>
      <w:r w:rsidR="0067503B">
        <w:t>outstanding</w:t>
      </w:r>
      <w:r>
        <w:t xml:space="preserve">: </w:t>
      </w:r>
    </w:p>
    <w:p w14:paraId="2A75066A" w14:textId="77777777" w:rsidR="00CE52F3" w:rsidRDefault="00CE52F3" w:rsidP="00F9197A">
      <w:pPr>
        <w:pStyle w:val="Numberbullet0"/>
      </w:pPr>
      <w:r>
        <w:t xml:space="preserve">Mandatory adverse event reporting requirements exist only for device manufacturers and sponsors. </w:t>
      </w:r>
    </w:p>
    <w:p w14:paraId="6683E51A" w14:textId="427F273F" w:rsidR="00CE52F3" w:rsidRDefault="00CE52F3" w:rsidP="00F9197A">
      <w:pPr>
        <w:pStyle w:val="Numberbullet0"/>
      </w:pPr>
      <w:r>
        <w:t xml:space="preserve">Longer term device failures </w:t>
      </w:r>
      <w:r w:rsidR="00D06338">
        <w:t xml:space="preserve">may </w:t>
      </w:r>
      <w:r>
        <w:t xml:space="preserve">have serious clinical impacts well after device </w:t>
      </w:r>
      <w:r w:rsidR="002B62D4">
        <w:t xml:space="preserve">implantation </w:t>
      </w:r>
      <w:r>
        <w:t xml:space="preserve">and may present in a different </w:t>
      </w:r>
      <w:r w:rsidR="006C2AD4">
        <w:t>healthcare</w:t>
      </w:r>
      <w:r>
        <w:t xml:space="preserve"> setting. </w:t>
      </w:r>
    </w:p>
    <w:p w14:paraId="6CF8F30E" w14:textId="3435B393" w:rsidR="00CE52F3" w:rsidRDefault="00CE52F3" w:rsidP="00F9197A">
      <w:r>
        <w:t>In conjunction with these prevailing concerns, the TGA and stakeholders are concerned that the current underreporting of medical device adverse events by involved parties does not support the early identification of emerging safety and performance issues. In 2020, the TGA received approximately 6</w:t>
      </w:r>
      <w:r w:rsidR="00DA1F3B">
        <w:t>,</w:t>
      </w:r>
      <w:r>
        <w:t xml:space="preserve">000 medical device adverse event reports, of which, </w:t>
      </w:r>
      <w:r w:rsidR="00895EB1">
        <w:t>nearly</w:t>
      </w:r>
      <w:r>
        <w:t xml:space="preserve"> 89% of reports were made by </w:t>
      </w:r>
      <w:r w:rsidR="002B62D4">
        <w:t>medical device</w:t>
      </w:r>
      <w:r w:rsidR="00D20758">
        <w:t xml:space="preserve"> </w:t>
      </w:r>
      <w:r>
        <w:t xml:space="preserve">sponsors. </w:t>
      </w:r>
      <w:r w:rsidR="000619A1">
        <w:t>It is evident to the TGA that although reported numbers have</w:t>
      </w:r>
      <w:r w:rsidR="00DA1F3B">
        <w:t xml:space="preserve"> been</w:t>
      </w:r>
      <w:r w:rsidR="000619A1">
        <w:t xml:space="preserve"> increas</w:t>
      </w:r>
      <w:r w:rsidR="00DA1F3B">
        <w:t>ing</w:t>
      </w:r>
      <w:r w:rsidR="000619A1">
        <w:t xml:space="preserve">, </w:t>
      </w:r>
      <w:r>
        <w:t xml:space="preserve">a significant number of medical device adverse events </w:t>
      </w:r>
      <w:r w:rsidR="00904A87">
        <w:t>remain un</w:t>
      </w:r>
      <w:r>
        <w:t>reported</w:t>
      </w:r>
      <w:r w:rsidR="007E36C0">
        <w:t xml:space="preserve"> (see </w:t>
      </w:r>
      <w:r w:rsidR="00766A0E">
        <w:t>Table 3 for reporting trends over the last 10 calendar years)</w:t>
      </w:r>
      <w:r>
        <w:t xml:space="preserve">. </w:t>
      </w:r>
    </w:p>
    <w:p w14:paraId="25914D69" w14:textId="77777777" w:rsidR="00CE52F3" w:rsidRDefault="00CE52F3" w:rsidP="00F9197A">
      <w:r>
        <w:t xml:space="preserve">To address this underreporting, the TGA committed to: </w:t>
      </w:r>
    </w:p>
    <w:p w14:paraId="52536938" w14:textId="38544FE3" w:rsidR="00CE52F3" w:rsidRPr="00B333F0" w:rsidRDefault="00CE52F3" w:rsidP="00F9197A">
      <w:pPr>
        <w:pStyle w:val="Bullet1"/>
      </w:pPr>
      <w:r w:rsidRPr="00B333F0">
        <w:t xml:space="preserve">Undertaking public consultation with key Australian stakeholders, including representatives from each state and territory departments of health, the Australian Commission </w:t>
      </w:r>
      <w:r w:rsidR="00624338">
        <w:t>on</w:t>
      </w:r>
      <w:r w:rsidRPr="00B333F0">
        <w:t xml:space="preserve"> </w:t>
      </w:r>
      <w:r w:rsidR="00EE680E" w:rsidRPr="00B333F0">
        <w:t>Safety and</w:t>
      </w:r>
      <w:r w:rsidRPr="00B333F0">
        <w:t xml:space="preserve"> Quality in Health </w:t>
      </w:r>
      <w:r w:rsidR="003A379C" w:rsidRPr="00B333F0">
        <w:t>Care</w:t>
      </w:r>
      <w:r w:rsidR="0064296F">
        <w:t xml:space="preserve"> (the Commission)</w:t>
      </w:r>
      <w:r w:rsidR="003A379C" w:rsidRPr="00B333F0">
        <w:t>,</w:t>
      </w:r>
      <w:r w:rsidRPr="00B333F0">
        <w:t xml:space="preserve"> a range of healthcare organisations and some </w:t>
      </w:r>
      <w:r w:rsidR="00270608" w:rsidRPr="00270608">
        <w:t>Organisation for Economic Co-operation and Development</w:t>
      </w:r>
      <w:r w:rsidR="00270608">
        <w:t xml:space="preserve"> (</w:t>
      </w:r>
      <w:r w:rsidRPr="00B333F0">
        <w:t>OECD</w:t>
      </w:r>
      <w:r w:rsidR="00270608">
        <w:t>)</w:t>
      </w:r>
      <w:r w:rsidRPr="00B333F0">
        <w:t xml:space="preserve"> health regulators</w:t>
      </w:r>
      <w:r w:rsidR="00022C48" w:rsidRPr="00B333F0">
        <w:t>. This consultation was</w:t>
      </w:r>
      <w:r w:rsidRPr="00B333F0">
        <w:t xml:space="preserve"> completed in October 2021.</w:t>
      </w:r>
    </w:p>
    <w:p w14:paraId="64F86C66" w14:textId="69131D28" w:rsidR="00CE52F3" w:rsidRPr="00B333F0" w:rsidRDefault="00CE52F3" w:rsidP="00F9197A">
      <w:pPr>
        <w:pStyle w:val="Bullet1"/>
      </w:pPr>
      <w:r w:rsidRPr="00B333F0">
        <w:t>Publishing</w:t>
      </w:r>
      <w:r w:rsidR="00B94901" w:rsidRPr="00B333F0">
        <w:t xml:space="preserve"> a</w:t>
      </w:r>
      <w:r w:rsidRPr="00B333F0">
        <w:t xml:space="preserve"> </w:t>
      </w:r>
      <w:r w:rsidR="00B96157">
        <w:t>d</w:t>
      </w:r>
      <w:r w:rsidR="00C20DCF" w:rsidRPr="00C20DCF">
        <w:t xml:space="preserve">iscussion paper on </w:t>
      </w:r>
      <w:r w:rsidR="00B96157" w:rsidRPr="00F3751D">
        <w:rPr>
          <w:i/>
          <w:iCs/>
        </w:rPr>
        <w:t>P</w:t>
      </w:r>
      <w:r w:rsidR="00C20DCF" w:rsidRPr="00F3751D">
        <w:rPr>
          <w:i/>
          <w:iCs/>
        </w:rPr>
        <w:t xml:space="preserve">otential for </w:t>
      </w:r>
      <w:r w:rsidR="00B96157" w:rsidRPr="00F3751D">
        <w:rPr>
          <w:i/>
          <w:iCs/>
        </w:rPr>
        <w:t>M</w:t>
      </w:r>
      <w:r w:rsidR="00C20DCF" w:rsidRPr="00F3751D">
        <w:rPr>
          <w:i/>
          <w:iCs/>
        </w:rPr>
        <w:t xml:space="preserve">andatory </w:t>
      </w:r>
      <w:r w:rsidR="006C4179" w:rsidRPr="00F3751D">
        <w:rPr>
          <w:i/>
          <w:iCs/>
        </w:rPr>
        <w:t>R</w:t>
      </w:r>
      <w:r w:rsidR="00C20DCF" w:rsidRPr="00F3751D">
        <w:rPr>
          <w:i/>
          <w:iCs/>
        </w:rPr>
        <w:t xml:space="preserve">eporting of </w:t>
      </w:r>
      <w:r w:rsidR="006C4179" w:rsidRPr="00F3751D">
        <w:rPr>
          <w:i/>
          <w:iCs/>
        </w:rPr>
        <w:t>M</w:t>
      </w:r>
      <w:r w:rsidR="00C20DCF" w:rsidRPr="00F3751D">
        <w:rPr>
          <w:i/>
          <w:iCs/>
        </w:rPr>
        <w:t xml:space="preserve">edical </w:t>
      </w:r>
      <w:r w:rsidR="006C4179" w:rsidRPr="00F3751D">
        <w:rPr>
          <w:i/>
          <w:iCs/>
        </w:rPr>
        <w:t>D</w:t>
      </w:r>
      <w:r w:rsidR="00C20DCF" w:rsidRPr="00F3751D">
        <w:rPr>
          <w:i/>
          <w:iCs/>
        </w:rPr>
        <w:t xml:space="preserve">evice </w:t>
      </w:r>
      <w:r w:rsidR="006C4179" w:rsidRPr="00F3751D">
        <w:rPr>
          <w:i/>
          <w:iCs/>
        </w:rPr>
        <w:t>A</w:t>
      </w:r>
      <w:r w:rsidR="00C20DCF" w:rsidRPr="00F3751D">
        <w:rPr>
          <w:i/>
          <w:iCs/>
        </w:rPr>
        <w:t xml:space="preserve">dverse </w:t>
      </w:r>
      <w:r w:rsidR="006C4179" w:rsidRPr="00F3751D">
        <w:rPr>
          <w:i/>
          <w:iCs/>
        </w:rPr>
        <w:t>E</w:t>
      </w:r>
      <w:r w:rsidR="00C20DCF" w:rsidRPr="00F3751D">
        <w:rPr>
          <w:i/>
          <w:iCs/>
        </w:rPr>
        <w:t xml:space="preserve">vents by </w:t>
      </w:r>
      <w:r w:rsidR="006C4179" w:rsidRPr="00F3751D">
        <w:rPr>
          <w:i/>
          <w:iCs/>
        </w:rPr>
        <w:t>H</w:t>
      </w:r>
      <w:r w:rsidR="00C20DCF" w:rsidRPr="00F3751D">
        <w:rPr>
          <w:i/>
          <w:iCs/>
        </w:rPr>
        <w:t xml:space="preserve">ealthcare </w:t>
      </w:r>
      <w:r w:rsidR="006C4179" w:rsidRPr="00F3751D">
        <w:rPr>
          <w:i/>
          <w:iCs/>
        </w:rPr>
        <w:t>F</w:t>
      </w:r>
      <w:r w:rsidR="00C20DCF" w:rsidRPr="00F3751D">
        <w:rPr>
          <w:i/>
          <w:iCs/>
        </w:rPr>
        <w:t>acilities in Australia</w:t>
      </w:r>
      <w:r w:rsidRPr="00B333F0">
        <w:t xml:space="preserve">, to gauge stakeholder appetite for mandatory reporting of medical device related adverse events by healthcare facilities and gather information relating to circumstances that may impact the introduction of </w:t>
      </w:r>
      <w:r w:rsidR="0018354E">
        <w:t xml:space="preserve">a </w:t>
      </w:r>
      <w:r w:rsidRPr="00B333F0">
        <w:t>mandatory reporting</w:t>
      </w:r>
      <w:r w:rsidR="0018354E">
        <w:t xml:space="preserve"> scheme</w:t>
      </w:r>
      <w:r w:rsidRPr="00B333F0">
        <w:t xml:space="preserve">.  </w:t>
      </w:r>
    </w:p>
    <w:p w14:paraId="33DC6D44" w14:textId="2CE16D54" w:rsidR="00766A0E" w:rsidRPr="00B333F0" w:rsidRDefault="00CE52F3" w:rsidP="00F9197A">
      <w:pPr>
        <w:pStyle w:val="Bullet1"/>
      </w:pPr>
      <w:r w:rsidRPr="00B333F0">
        <w:t xml:space="preserve">Working with </w:t>
      </w:r>
      <w:r w:rsidR="007C4F9A">
        <w:t xml:space="preserve">the </w:t>
      </w:r>
      <w:r w:rsidR="003A379C" w:rsidRPr="00B333F0">
        <w:t>Commission</w:t>
      </w:r>
      <w:r w:rsidRPr="00B333F0">
        <w:t xml:space="preserve"> to incorporate mandatory reporting within existing frameworks for hospital quality assurance and accreditation processes to minimise any additional regulatory burden.</w:t>
      </w:r>
    </w:p>
    <w:p w14:paraId="2FC08D29" w14:textId="2FB1931A" w:rsidR="00A85C64" w:rsidRPr="00B333F0" w:rsidRDefault="00191E9E" w:rsidP="00582F14">
      <w:pPr>
        <w:pStyle w:val="Bullet1"/>
        <w:rPr>
          <w:rFonts w:eastAsia="Times New Roman"/>
          <w:b/>
          <w:bCs/>
          <w:color w:val="001871"/>
        </w:rPr>
      </w:pPr>
      <w:r>
        <w:lastRenderedPageBreak/>
        <w:t>D</w:t>
      </w:r>
      <w:r w:rsidR="00CE52F3" w:rsidRPr="00B333F0">
        <w:t xml:space="preserve">rafting and </w:t>
      </w:r>
      <w:r w:rsidRPr="00B333F0">
        <w:t>implement</w:t>
      </w:r>
      <w:r>
        <w:t>ation</w:t>
      </w:r>
      <w:r w:rsidRPr="00B333F0">
        <w:t xml:space="preserve"> </w:t>
      </w:r>
      <w:r w:rsidR="00CE52F3" w:rsidRPr="00B333F0">
        <w:t xml:space="preserve">of the </w:t>
      </w:r>
      <w:r w:rsidR="00CE52F3" w:rsidRPr="00191E9E">
        <w:rPr>
          <w:i/>
          <w:iCs/>
        </w:rPr>
        <w:t xml:space="preserve">Therapeutic Goods Amendment (2022 Measures No.1) </w:t>
      </w:r>
      <w:r w:rsidR="00CE52F3" w:rsidRPr="00B333F0">
        <w:t>which received Royal Assent on 21 March 2023.</w:t>
      </w:r>
      <w:bookmarkStart w:id="18" w:name="_Toc156375128"/>
    </w:p>
    <w:p w14:paraId="13ACAB75" w14:textId="346CA343" w:rsidR="00CE52F3" w:rsidRDefault="00CE52F3" w:rsidP="00E44D70">
      <w:pPr>
        <w:pStyle w:val="Heading4"/>
      </w:pPr>
      <w:r>
        <w:t>Options considered</w:t>
      </w:r>
      <w:bookmarkEnd w:id="18"/>
    </w:p>
    <w:p w14:paraId="58317D60" w14:textId="20982412" w:rsidR="00613085" w:rsidRPr="00613085" w:rsidRDefault="008F7434" w:rsidP="00B37DCC">
      <w:r>
        <w:t xml:space="preserve">The development of this </w:t>
      </w:r>
      <w:r w:rsidR="00F57BB7">
        <w:t>Impact Analysis</w:t>
      </w:r>
      <w:r>
        <w:t xml:space="preserve"> considered the options described in </w:t>
      </w:r>
      <w:r w:rsidR="00F57BB7">
        <w:t>Figure</w:t>
      </w:r>
      <w:r>
        <w:t xml:space="preserve"> </w:t>
      </w:r>
      <w:r w:rsidR="00E44D70">
        <w:t>1</w:t>
      </w:r>
      <w:r>
        <w:t>.</w:t>
      </w:r>
      <w:r w:rsidR="007E5C21">
        <w:t xml:space="preserve"> Progressive options have been developed based upon scalability in addressing identified gaps, achieving policy objectives, and balancing regulatory burden and costs.</w:t>
      </w:r>
    </w:p>
    <w:p w14:paraId="4B8E09DC" w14:textId="34352C86" w:rsidR="008F6E93" w:rsidRDefault="008F6E93">
      <w:bookmarkStart w:id="19" w:name="_Toc156375129"/>
      <w:r w:rsidRPr="008F6E93">
        <w:rPr>
          <w:noProof/>
          <w:lang w:eastAsia="en-AU"/>
        </w:rPr>
        <w:lastRenderedPageBreak/>
        <w:drawing>
          <wp:inline distT="0" distB="0" distL="0" distR="0" wp14:anchorId="358AC809" wp14:editId="473CA555">
            <wp:extent cx="5677269" cy="6885940"/>
            <wp:effectExtent l="0" t="0" r="0" b="0"/>
            <wp:docPr id="18" name="Picture 1">
              <a:extLst xmlns:a="http://schemas.openxmlformats.org/drawingml/2006/main">
                <a:ext uri="{FF2B5EF4-FFF2-40B4-BE49-F238E27FC236}">
                  <a16:creationId xmlns:a16="http://schemas.microsoft.com/office/drawing/2014/main" id="{E874522C-83DE-C092-F9BC-F896C24CE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74522C-83DE-C092-F9BC-F896C24CE81F}"/>
                        </a:ext>
                      </a:extLst>
                    </pic:cNvPr>
                    <pic:cNvPicPr>
                      <a:picLocks noChangeAspect="1"/>
                    </pic:cNvPicPr>
                  </pic:nvPicPr>
                  <pic:blipFill>
                    <a:blip r:embed="rId15"/>
                    <a:stretch>
                      <a:fillRect/>
                    </a:stretch>
                  </pic:blipFill>
                  <pic:spPr>
                    <a:xfrm>
                      <a:off x="0" y="0"/>
                      <a:ext cx="5711677" cy="6927674"/>
                    </a:xfrm>
                    <a:prstGeom prst="rect">
                      <a:avLst/>
                    </a:prstGeom>
                  </pic:spPr>
                </pic:pic>
              </a:graphicData>
            </a:graphic>
          </wp:inline>
        </w:drawing>
      </w:r>
      <w:r w:rsidR="00781924">
        <w:br/>
      </w:r>
      <w:r>
        <w:rPr>
          <w:noProof/>
          <w:lang w:eastAsia="en-AU"/>
        </w:rPr>
        <mc:AlternateContent>
          <mc:Choice Requires="wps">
            <w:drawing>
              <wp:anchor distT="0" distB="0" distL="114300" distR="114300" simplePos="0" relativeHeight="251629056" behindDoc="0" locked="0" layoutInCell="1" allowOverlap="1" wp14:anchorId="12F4E9B0" wp14:editId="60E1F69F">
                <wp:simplePos x="0" y="0"/>
                <wp:positionH relativeFrom="margin">
                  <wp:align>left</wp:align>
                </wp:positionH>
                <wp:positionV relativeFrom="paragraph">
                  <wp:posOffset>81915</wp:posOffset>
                </wp:positionV>
                <wp:extent cx="5759450" cy="372110"/>
                <wp:effectExtent l="0" t="0" r="0" b="8890"/>
                <wp:wrapTopAndBottom/>
                <wp:docPr id="167545009" name="Text Box 1"/>
                <wp:cNvGraphicFramePr/>
                <a:graphic xmlns:a="http://schemas.openxmlformats.org/drawingml/2006/main">
                  <a:graphicData uri="http://schemas.microsoft.com/office/word/2010/wordprocessingShape">
                    <wps:wsp>
                      <wps:cNvSpPr txBox="1"/>
                      <wps:spPr>
                        <a:xfrm>
                          <a:off x="0" y="0"/>
                          <a:ext cx="5759450" cy="372110"/>
                        </a:xfrm>
                        <a:prstGeom prst="rect">
                          <a:avLst/>
                        </a:prstGeom>
                        <a:solidFill>
                          <a:prstClr val="white"/>
                        </a:solidFill>
                        <a:ln>
                          <a:noFill/>
                        </a:ln>
                      </wps:spPr>
                      <wps:txbx>
                        <w:txbxContent>
                          <w:p w14:paraId="3126C1E1" w14:textId="180CA5E1" w:rsidR="008461AF" w:rsidRPr="00672B36" w:rsidRDefault="008461AF" w:rsidP="00112799">
                            <w:pPr>
                              <w:pStyle w:val="Caption"/>
                              <w:rPr>
                                <w:noProof/>
                                <w14:ligatures w14:val="none"/>
                              </w:rPr>
                            </w:pPr>
                            <w:r>
                              <w:t xml:space="preserve">Figure </w:t>
                            </w:r>
                            <w:r>
                              <w:fldChar w:fldCharType="begin"/>
                            </w:r>
                            <w:r>
                              <w:instrText>SEQ Figure \* ARABIC</w:instrText>
                            </w:r>
                            <w:r>
                              <w:fldChar w:fldCharType="separate"/>
                            </w:r>
                            <w:r>
                              <w:rPr>
                                <w:noProof/>
                              </w:rPr>
                              <w:t>1</w:t>
                            </w:r>
                            <w:r>
                              <w:fldChar w:fldCharType="end"/>
                            </w:r>
                            <w:r>
                              <w:t xml:space="preserve"> - </w:t>
                            </w:r>
                            <w:r w:rsidRPr="003350F3">
                              <w:t>Policy options considered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F4E9B0" id="_x0000_t202" coordsize="21600,21600" o:spt="202" path="m,l,21600r21600,l21600,xe">
                <v:stroke joinstyle="miter"/>
                <v:path gradientshapeok="t" o:connecttype="rect"/>
              </v:shapetype>
              <v:shape id="Text Box 1" o:spid="_x0000_s1026" type="#_x0000_t202" style="position:absolute;margin-left:0;margin-top:6.45pt;width:453.5pt;height:29.3pt;z-index:251629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" stroked="f">
                <v:textbox inset="0,0,0,0">
                  <w:txbxContent>
                    <w:p w14:paraId="3126C1E1" w14:textId="180CA5E1" w:rsidR="008461AF" w:rsidRPr="00672B36" w:rsidRDefault="008461AF" w:rsidP="00112799">
                      <w:pPr>
                        <w:pStyle w:val="Caption"/>
                        <w:rPr>
                          <w:noProof/>
                          <w14:ligatures w14:val="none"/>
                        </w:rPr>
                      </w:pPr>
                      <w:r>
                        <w:t xml:space="preserve">Figure </w:t>
                      </w:r>
                      <w:r>
                        <w:fldChar w:fldCharType="begin"/>
                      </w:r>
                      <w:r>
                        <w:instrText>SEQ Figure \* ARABIC</w:instrText>
                      </w:r>
                      <w:r>
                        <w:fldChar w:fldCharType="separate"/>
                      </w:r>
                      <w:r>
                        <w:rPr>
                          <w:noProof/>
                        </w:rPr>
                        <w:t>1</w:t>
                      </w:r>
                      <w:r>
                        <w:fldChar w:fldCharType="end"/>
                      </w:r>
                      <w:r>
                        <w:t xml:space="preserve"> - </w:t>
                      </w:r>
                      <w:r w:rsidRPr="003350F3">
                        <w:t>Policy options considered</w:t>
                      </w:r>
                    </w:p>
                  </w:txbxContent>
                </v:textbox>
                <w10:wrap type="topAndBottom" anchorx="margin"/>
              </v:shape>
            </w:pict>
          </mc:Fallback>
        </mc:AlternateContent>
      </w:r>
      <w:r w:rsidR="00131321">
        <w:br w:type="page"/>
      </w:r>
    </w:p>
    <w:p w14:paraId="74F69A57" w14:textId="6123109E" w:rsidR="00CE52F3" w:rsidRDefault="00CE52F3" w:rsidP="00F9197A">
      <w:pPr>
        <w:pStyle w:val="Heading3"/>
      </w:pPr>
      <w:bookmarkStart w:id="20" w:name="_Toc179531294"/>
      <w:bookmarkStart w:id="21" w:name="_Toc188012838"/>
      <w:r>
        <w:lastRenderedPageBreak/>
        <w:t>Analysis of options</w:t>
      </w:r>
      <w:bookmarkEnd w:id="19"/>
      <w:bookmarkEnd w:id="20"/>
      <w:bookmarkEnd w:id="21"/>
      <w:r>
        <w:t xml:space="preserve"> </w:t>
      </w:r>
    </w:p>
    <w:p w14:paraId="38D060C7" w14:textId="3FF62FF0" w:rsidR="007D0B34" w:rsidRDefault="007D0B34" w:rsidP="007D0B34">
      <w:r>
        <w:t xml:space="preserve">Each of the above options were carefully analysed and a summary of the outcomes of this analysis is described in detail in </w:t>
      </w:r>
      <w:hyperlink w:anchor="_Question_Six:_What" w:history="1">
        <w:r w:rsidRPr="007D0B34">
          <w:rPr>
            <w:rStyle w:val="Hyperlink"/>
          </w:rPr>
          <w:t>Question Six</w:t>
        </w:r>
      </w:hyperlink>
      <w:r>
        <w:t>.</w:t>
      </w:r>
    </w:p>
    <w:p w14:paraId="2D1D9460" w14:textId="230E1103" w:rsidR="007D0B34" w:rsidRDefault="007D0B34" w:rsidP="007D0B34">
      <w:r>
        <w:t xml:space="preserve">Based on the comprehensive assessment undertaken, </w:t>
      </w:r>
      <w:r w:rsidRPr="00C92F12">
        <w:rPr>
          <w:b/>
          <w:bCs/>
        </w:rPr>
        <w:t>Option 3A</w:t>
      </w:r>
      <w:r w:rsidRPr="00A85C64">
        <w:t xml:space="preserve"> </w:t>
      </w:r>
      <w:r>
        <w:t>is currently considered</w:t>
      </w:r>
      <w:r w:rsidR="00E35B9F">
        <w:rPr>
          <w:rStyle w:val="FootnoteReference"/>
        </w:rPr>
        <w:footnoteReference w:id="2"/>
      </w:r>
      <w:r>
        <w:t xml:space="preserve"> to provide</w:t>
      </w:r>
      <w:r w:rsidRPr="00A85C64">
        <w:t xml:space="preserve"> the best balance between addressal of the policy objectives and regulatory burden placed on the reporting population</w:t>
      </w:r>
      <w:r>
        <w:t>;</w:t>
      </w:r>
      <w:r w:rsidRPr="00A85C64">
        <w:t xml:space="preserve"> and is therefore the preferred option.</w:t>
      </w:r>
    </w:p>
    <w:p w14:paraId="18B24C5D" w14:textId="3E217370" w:rsidR="00112799" w:rsidRDefault="00112799" w:rsidP="00B37DCC">
      <w:pPr>
        <w:pStyle w:val="Caption"/>
        <w:keepNext/>
      </w:pPr>
      <w:r>
        <w:t xml:space="preserve">Figure </w:t>
      </w:r>
      <w:r>
        <w:fldChar w:fldCharType="begin"/>
      </w:r>
      <w:r>
        <w:instrText>SEQ Figure \* ARABIC</w:instrText>
      </w:r>
      <w:r>
        <w:fldChar w:fldCharType="separate"/>
      </w:r>
      <w:r w:rsidR="00CA03EA">
        <w:rPr>
          <w:noProof/>
        </w:rPr>
        <w:t>2</w:t>
      </w:r>
      <w:r>
        <w:fldChar w:fldCharType="end"/>
      </w:r>
      <w:r>
        <w:t xml:space="preserve"> - </w:t>
      </w:r>
      <w:r w:rsidRPr="0063419E">
        <w:t>Summary of options analysis</w:t>
      </w:r>
    </w:p>
    <w:p w14:paraId="62D1F7CC" w14:textId="5926B811" w:rsidR="007D0B34" w:rsidRDefault="00B750A7" w:rsidP="007D0B34">
      <w:r w:rsidRPr="00B750A7">
        <w:rPr>
          <w:noProof/>
          <w:lang w:eastAsia="en-AU"/>
        </w:rPr>
        <w:drawing>
          <wp:inline distT="0" distB="0" distL="0" distR="0" wp14:anchorId="3D705505" wp14:editId="73B0DBA2">
            <wp:extent cx="5731510" cy="4471670"/>
            <wp:effectExtent l="0" t="0" r="2540" b="5080"/>
            <wp:docPr id="1197671116" name="Picture 3">
              <a:extLst xmlns:a="http://schemas.openxmlformats.org/drawingml/2006/main">
                <a:ext uri="{FF2B5EF4-FFF2-40B4-BE49-F238E27FC236}">
                  <a16:creationId xmlns:a16="http://schemas.microsoft.com/office/drawing/2014/main" id="{9AF85073-815E-EBF4-BEB0-A43B1D43F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F85073-815E-EBF4-BEB0-A43B1D43F6CF}"/>
                        </a:ext>
                      </a:extLst>
                    </pic:cNvPr>
                    <pic:cNvPicPr>
                      <a:picLocks noChangeAspect="1"/>
                    </pic:cNvPicPr>
                  </pic:nvPicPr>
                  <pic:blipFill>
                    <a:blip r:embed="rId16"/>
                    <a:stretch>
                      <a:fillRect/>
                    </a:stretch>
                  </pic:blipFill>
                  <pic:spPr>
                    <a:xfrm>
                      <a:off x="0" y="0"/>
                      <a:ext cx="5731510" cy="4471670"/>
                    </a:xfrm>
                    <a:prstGeom prst="rect">
                      <a:avLst/>
                    </a:prstGeom>
                  </pic:spPr>
                </pic:pic>
              </a:graphicData>
            </a:graphic>
          </wp:inline>
        </w:drawing>
      </w:r>
    </w:p>
    <w:p w14:paraId="65AB3878" w14:textId="77777777" w:rsidR="007E5C21" w:rsidRPr="007E5C21" w:rsidRDefault="007E5C21" w:rsidP="007E5C21">
      <w:pPr>
        <w:pStyle w:val="ListParagraph"/>
        <w:ind w:left="927"/>
      </w:pPr>
    </w:p>
    <w:p w14:paraId="067B52C2" w14:textId="61BE896E" w:rsidR="00781924" w:rsidRPr="00E44DB5" w:rsidRDefault="00781924" w:rsidP="007E5C21">
      <w:pPr>
        <w:pStyle w:val="ListParagraph"/>
        <w:numPr>
          <w:ilvl w:val="0"/>
          <w:numId w:val="60"/>
        </w:numPr>
      </w:pPr>
      <w:r w:rsidRPr="007E5C21">
        <w:rPr>
          <w:b/>
          <w:bCs/>
        </w:rPr>
        <w:t>Option 1: Status Quo</w:t>
      </w:r>
    </w:p>
    <w:p w14:paraId="44228011" w14:textId="77777777" w:rsidR="00781924" w:rsidRPr="00E44DB5" w:rsidRDefault="00781924" w:rsidP="00781924">
      <w:pPr>
        <w:numPr>
          <w:ilvl w:val="1"/>
          <w:numId w:val="57"/>
        </w:numPr>
        <w:spacing w:after="160"/>
      </w:pPr>
      <w:r w:rsidRPr="00E44DB5">
        <w:rPr>
          <w:b/>
          <w:bCs/>
        </w:rPr>
        <w:t>Description:</w:t>
      </w:r>
      <w:r w:rsidRPr="00E44DB5">
        <w:t xml:space="preserve"> Retain current voluntary reporting requirements for health</w:t>
      </w:r>
      <w:r>
        <w:t>care</w:t>
      </w:r>
      <w:r w:rsidRPr="00E44DB5">
        <w:t xml:space="preserve"> facilities.</w:t>
      </w:r>
    </w:p>
    <w:p w14:paraId="7A97F0BA" w14:textId="77777777" w:rsidR="00781924" w:rsidRPr="00E44DB5" w:rsidRDefault="00781924" w:rsidP="00781924">
      <w:pPr>
        <w:numPr>
          <w:ilvl w:val="1"/>
          <w:numId w:val="57"/>
        </w:numPr>
        <w:spacing w:after="160"/>
      </w:pPr>
      <w:r w:rsidRPr="00E44DB5">
        <w:rPr>
          <w:b/>
          <w:bCs/>
        </w:rPr>
        <w:t>Outcome:</w:t>
      </w:r>
      <w:r w:rsidRPr="00E44DB5">
        <w:t xml:space="preserve"> </w:t>
      </w:r>
    </w:p>
    <w:p w14:paraId="31FB06A2" w14:textId="77777777" w:rsidR="00781924" w:rsidRDefault="00781924" w:rsidP="00781924">
      <w:pPr>
        <w:numPr>
          <w:ilvl w:val="2"/>
          <w:numId w:val="57"/>
        </w:numPr>
        <w:spacing w:after="160"/>
      </w:pPr>
      <w:r w:rsidRPr="00E44DB5">
        <w:t>Fails to address underreporting or meet government objectives.</w:t>
      </w:r>
    </w:p>
    <w:p w14:paraId="7434D3EF" w14:textId="33464B71" w:rsidR="007E5C21" w:rsidRPr="00E44DB5" w:rsidRDefault="007E5C21" w:rsidP="00781924">
      <w:pPr>
        <w:numPr>
          <w:ilvl w:val="2"/>
          <w:numId w:val="57"/>
        </w:numPr>
        <w:spacing w:after="160"/>
      </w:pPr>
      <w:r>
        <w:t>Fails to en</w:t>
      </w:r>
      <w:r w:rsidR="00873C30">
        <w:t>act</w:t>
      </w:r>
      <w:r>
        <w:t xml:space="preserve"> legislative requirements of the </w:t>
      </w:r>
      <w:r w:rsidRPr="005377C0">
        <w:rPr>
          <w:i/>
          <w:iCs/>
        </w:rPr>
        <w:t>Therapeutic Goods Amendment (2022 Measures No. 1) Act 2023 (No. 10, 2023)</w:t>
      </w:r>
      <w:r>
        <w:t xml:space="preserve"> – Schedule 1 </w:t>
      </w:r>
    </w:p>
    <w:p w14:paraId="063A4075" w14:textId="77777777" w:rsidR="00781924" w:rsidRPr="00E44DB5" w:rsidRDefault="00781924" w:rsidP="00781924">
      <w:pPr>
        <w:numPr>
          <w:ilvl w:val="2"/>
          <w:numId w:val="57"/>
        </w:numPr>
        <w:spacing w:after="160"/>
      </w:pPr>
      <w:r w:rsidRPr="00E44DB5">
        <w:t>Leaves current gaps in adverse event reporting unaddressed.</w:t>
      </w:r>
    </w:p>
    <w:p w14:paraId="03C7868C" w14:textId="690CBDC0" w:rsidR="00781924" w:rsidRPr="00E44DB5" w:rsidRDefault="00781924" w:rsidP="00781924">
      <w:pPr>
        <w:numPr>
          <w:ilvl w:val="1"/>
          <w:numId w:val="57"/>
        </w:numPr>
        <w:spacing w:after="160"/>
      </w:pPr>
      <w:r w:rsidRPr="00E44DB5">
        <w:rPr>
          <w:b/>
          <w:bCs/>
        </w:rPr>
        <w:lastRenderedPageBreak/>
        <w:t>Net Benefit:</w:t>
      </w:r>
      <w:r w:rsidRPr="00E44DB5">
        <w:t xml:space="preserve"> </w:t>
      </w:r>
      <w:r w:rsidR="00873C30">
        <w:t xml:space="preserve">Nil. </w:t>
      </w:r>
      <w:r w:rsidRPr="00E44DB5">
        <w:t>No improvement in safety signal detection, surveillance, or public health outcomes.</w:t>
      </w:r>
    </w:p>
    <w:p w14:paraId="18816BA0" w14:textId="20060C54" w:rsidR="00781924" w:rsidRPr="00E44DB5" w:rsidRDefault="00781924" w:rsidP="007E5C21">
      <w:pPr>
        <w:pStyle w:val="ListParagraph"/>
        <w:numPr>
          <w:ilvl w:val="0"/>
          <w:numId w:val="60"/>
        </w:numPr>
        <w:spacing w:after="160"/>
      </w:pPr>
      <w:r w:rsidRPr="00781924">
        <w:rPr>
          <w:b/>
          <w:bCs/>
        </w:rPr>
        <w:t>Option 2: Public and private hospitals (including day hospitals) report adverse events relating to high</w:t>
      </w:r>
      <w:r w:rsidR="00873C30">
        <w:rPr>
          <w:b/>
          <w:bCs/>
        </w:rPr>
        <w:t>-</w:t>
      </w:r>
      <w:r w:rsidRPr="00781924">
        <w:rPr>
          <w:b/>
          <w:bCs/>
        </w:rPr>
        <w:t>risk medical devices</w:t>
      </w:r>
    </w:p>
    <w:p w14:paraId="380A8688" w14:textId="2313B2F5" w:rsidR="00781924" w:rsidRPr="00E44DB5" w:rsidRDefault="00781924" w:rsidP="00781924">
      <w:pPr>
        <w:numPr>
          <w:ilvl w:val="1"/>
          <w:numId w:val="57"/>
        </w:numPr>
        <w:spacing w:after="160"/>
      </w:pPr>
      <w:r w:rsidRPr="00E44DB5">
        <w:rPr>
          <w:b/>
          <w:bCs/>
        </w:rPr>
        <w:t>Description:</w:t>
      </w:r>
      <w:r w:rsidRPr="00E44DB5">
        <w:t xml:space="preserve"> Require reporting of adverse events for high</w:t>
      </w:r>
      <w:r w:rsidR="00873C30">
        <w:t>-</w:t>
      </w:r>
      <w:r w:rsidRPr="00E44DB5">
        <w:t>risk medical devices</w:t>
      </w:r>
      <w:r>
        <w:t xml:space="preserve"> (i.e., those classified as Class III, AIMDs and Class 4 IVDs)</w:t>
      </w:r>
      <w:r w:rsidRPr="00E44DB5">
        <w:t>.</w:t>
      </w:r>
      <w:r>
        <w:t xml:space="preserve"> Two sub-options are proposed based on the reporting frequency. These are option 2A – reporting in batch and option 2B – reporting on occurrence.</w:t>
      </w:r>
    </w:p>
    <w:p w14:paraId="06D7EC19" w14:textId="45C51C92" w:rsidR="00781924" w:rsidRPr="00E44DB5" w:rsidRDefault="00781924" w:rsidP="00781924">
      <w:pPr>
        <w:numPr>
          <w:ilvl w:val="1"/>
          <w:numId w:val="57"/>
        </w:numPr>
        <w:spacing w:after="160"/>
      </w:pPr>
      <w:r w:rsidRPr="00E44DB5">
        <w:rPr>
          <w:b/>
          <w:bCs/>
        </w:rPr>
        <w:t>Cost</w:t>
      </w:r>
      <w:r>
        <w:rPr>
          <w:b/>
          <w:bCs/>
        </w:rPr>
        <w:t xml:space="preserve"> per year for all private healthcare facilities combined over the ten</w:t>
      </w:r>
      <w:r w:rsidR="00873C30">
        <w:rPr>
          <w:b/>
          <w:bCs/>
        </w:rPr>
        <w:t>-</w:t>
      </w:r>
      <w:r>
        <w:rPr>
          <w:b/>
          <w:bCs/>
        </w:rPr>
        <w:t>year default period</w:t>
      </w:r>
      <w:r w:rsidRPr="00E44DB5">
        <w:rPr>
          <w:b/>
          <w:bCs/>
        </w:rPr>
        <w:t>:</w:t>
      </w:r>
      <w:r w:rsidRPr="00E44DB5">
        <w:t xml:space="preserve"> </w:t>
      </w:r>
      <w:r>
        <w:t>$1.19</w:t>
      </w:r>
      <w:r w:rsidRPr="00E44DB5">
        <w:t xml:space="preserve"> million (</w:t>
      </w:r>
      <w:r>
        <w:t xml:space="preserve">option </w:t>
      </w:r>
      <w:r w:rsidRPr="00E44DB5">
        <w:t xml:space="preserve">2A) and </w:t>
      </w:r>
      <w:r>
        <w:t>$1.20</w:t>
      </w:r>
      <w:r w:rsidRPr="00E44DB5">
        <w:t xml:space="preserve"> million (</w:t>
      </w:r>
      <w:r>
        <w:t xml:space="preserve">option </w:t>
      </w:r>
      <w:r w:rsidRPr="00E44DB5">
        <w:t>2B).</w:t>
      </w:r>
      <w:r>
        <w:t xml:space="preserve"> T</w:t>
      </w:r>
      <w:r w:rsidRPr="009B43A6">
        <w:t>his</w:t>
      </w:r>
      <w:r>
        <w:t xml:space="preserve"> </w:t>
      </w:r>
      <w:r w:rsidRPr="009B43A6">
        <w:t>equates to $18</w:t>
      </w:r>
      <w:r>
        <w:t>,</w:t>
      </w:r>
      <w:r w:rsidRPr="009B43A6">
        <w:t>507 and $18,662 per facility for options 2A and 2B respectively.</w:t>
      </w:r>
    </w:p>
    <w:p w14:paraId="248922A5" w14:textId="77777777" w:rsidR="00781924" w:rsidRPr="00E44DB5" w:rsidRDefault="00781924" w:rsidP="00781924">
      <w:pPr>
        <w:numPr>
          <w:ilvl w:val="1"/>
          <w:numId w:val="57"/>
        </w:numPr>
        <w:spacing w:after="160"/>
      </w:pPr>
      <w:r w:rsidRPr="00E44DB5">
        <w:rPr>
          <w:b/>
          <w:bCs/>
        </w:rPr>
        <w:t>Outcome:</w:t>
      </w:r>
      <w:r w:rsidRPr="00E44DB5">
        <w:t xml:space="preserve"> </w:t>
      </w:r>
    </w:p>
    <w:p w14:paraId="3C02EA2F" w14:textId="35E5F664" w:rsidR="00781924" w:rsidRPr="00E44DB5" w:rsidRDefault="00781924" w:rsidP="00781924">
      <w:pPr>
        <w:numPr>
          <w:ilvl w:val="2"/>
          <w:numId w:val="57"/>
        </w:numPr>
        <w:spacing w:after="160"/>
      </w:pPr>
      <w:r w:rsidRPr="00E44DB5">
        <w:t>Improves detection of safety signals related to high</w:t>
      </w:r>
      <w:r w:rsidR="00873C30">
        <w:t>-</w:t>
      </w:r>
      <w:r w:rsidRPr="00E44DB5">
        <w:t xml:space="preserve">risk </w:t>
      </w:r>
      <w:r>
        <w:t>medical devices</w:t>
      </w:r>
      <w:r w:rsidRPr="00E44DB5">
        <w:t>.</w:t>
      </w:r>
    </w:p>
    <w:p w14:paraId="56DEE989" w14:textId="77777777" w:rsidR="00781924" w:rsidRPr="00E44DB5" w:rsidRDefault="00781924" w:rsidP="00781924">
      <w:pPr>
        <w:numPr>
          <w:ilvl w:val="2"/>
          <w:numId w:val="57"/>
        </w:numPr>
        <w:spacing w:after="160"/>
      </w:pPr>
      <w:r w:rsidRPr="00E44DB5">
        <w:t>Limited scope restricts broader public health benefits.</w:t>
      </w:r>
    </w:p>
    <w:p w14:paraId="40B20C27" w14:textId="77777777" w:rsidR="00781924" w:rsidRPr="00E44DB5" w:rsidRDefault="00781924" w:rsidP="00781924">
      <w:pPr>
        <w:numPr>
          <w:ilvl w:val="1"/>
          <w:numId w:val="57"/>
        </w:numPr>
        <w:spacing w:after="160"/>
      </w:pPr>
      <w:r w:rsidRPr="00E44DB5">
        <w:rPr>
          <w:b/>
          <w:bCs/>
        </w:rPr>
        <w:t>Net Benefit:</w:t>
      </w:r>
      <w:r w:rsidRPr="00E44DB5">
        <w:t xml:space="preserve"> Moderate improvement in targeted areas but does not address broader underreporting issues.</w:t>
      </w:r>
    </w:p>
    <w:p w14:paraId="098916C7" w14:textId="522A1CA4" w:rsidR="00781924" w:rsidRPr="00E44DB5" w:rsidRDefault="00781924" w:rsidP="007E5C21">
      <w:pPr>
        <w:pStyle w:val="ListParagraph"/>
        <w:numPr>
          <w:ilvl w:val="0"/>
          <w:numId w:val="60"/>
        </w:numPr>
        <w:spacing w:after="160"/>
      </w:pPr>
      <w:r w:rsidRPr="00781924">
        <w:rPr>
          <w:b/>
          <w:bCs/>
        </w:rPr>
        <w:t>Option 3: Public and private hospitals (including day hospitals) report adverse events relating to medium and high</w:t>
      </w:r>
      <w:r w:rsidR="00873C30">
        <w:rPr>
          <w:b/>
          <w:bCs/>
        </w:rPr>
        <w:t>-</w:t>
      </w:r>
      <w:r w:rsidRPr="00781924">
        <w:rPr>
          <w:b/>
          <w:bCs/>
        </w:rPr>
        <w:t>risk medical devices</w:t>
      </w:r>
    </w:p>
    <w:p w14:paraId="6B3B8544" w14:textId="34998FE7" w:rsidR="00781924" w:rsidRPr="00E44DB5" w:rsidRDefault="00781924" w:rsidP="00781924">
      <w:pPr>
        <w:numPr>
          <w:ilvl w:val="1"/>
          <w:numId w:val="57"/>
        </w:numPr>
        <w:spacing w:after="160"/>
      </w:pPr>
      <w:r w:rsidRPr="00E44DB5">
        <w:rPr>
          <w:b/>
          <w:bCs/>
        </w:rPr>
        <w:t>Description:</w:t>
      </w:r>
      <w:r w:rsidRPr="00E44DB5">
        <w:t xml:space="preserve"> </w:t>
      </w:r>
      <w:r>
        <w:t xml:space="preserve">Builds </w:t>
      </w:r>
      <w:r w:rsidR="00873C30">
        <w:t>up</w:t>
      </w:r>
      <w:r>
        <w:t>on option 2</w:t>
      </w:r>
      <w:r w:rsidR="00873C30">
        <w:t xml:space="preserve"> by</w:t>
      </w:r>
      <w:r>
        <w:t xml:space="preserve"> expand</w:t>
      </w:r>
      <w:r w:rsidR="00873C30">
        <w:t>ing</w:t>
      </w:r>
      <w:r w:rsidRPr="00E44DB5">
        <w:t xml:space="preserve"> mandatory reporting to include medium and high</w:t>
      </w:r>
      <w:r w:rsidR="00873C30">
        <w:t>-</w:t>
      </w:r>
      <w:r w:rsidRPr="00E44DB5">
        <w:t>risk medical devices</w:t>
      </w:r>
      <w:r w:rsidR="000D1644">
        <w:t xml:space="preserve"> (i.e.,</w:t>
      </w:r>
      <w:r w:rsidR="000D1644" w:rsidRPr="000D1644">
        <w:t xml:space="preserve"> </w:t>
      </w:r>
      <w:r w:rsidR="000D1644">
        <w:t>Class IIa, IIb and III, Class 3 and 4 IVDs, and AIMDs)</w:t>
      </w:r>
      <w:r w:rsidRPr="00E44DB5">
        <w:t>.</w:t>
      </w:r>
      <w:r w:rsidR="000D1644" w:rsidRPr="000D1644">
        <w:t xml:space="preserve"> </w:t>
      </w:r>
      <w:r w:rsidR="000D1644">
        <w:t>Similar to option 2, there are two sub-options based on the reporting frequency. These are option 3A – reporting in batch and option 3B – reporting on occurrence.</w:t>
      </w:r>
    </w:p>
    <w:p w14:paraId="2C972679" w14:textId="02325FF9" w:rsidR="003B39B5" w:rsidRPr="003B39B5" w:rsidRDefault="00781924" w:rsidP="00873C30">
      <w:pPr>
        <w:pStyle w:val="ListParagraph"/>
        <w:numPr>
          <w:ilvl w:val="1"/>
          <w:numId w:val="57"/>
        </w:numPr>
        <w:spacing w:after="160" w:line="259" w:lineRule="auto"/>
        <w:ind w:left="1434" w:hanging="357"/>
        <w:contextualSpacing w:val="0"/>
      </w:pPr>
      <w:r w:rsidRPr="0081186A">
        <w:rPr>
          <w:b/>
          <w:bCs/>
          <w:sz w:val="20"/>
          <w:szCs w:val="20"/>
        </w:rPr>
        <w:t xml:space="preserve">Cost </w:t>
      </w:r>
      <w:r w:rsidRPr="0081186A">
        <w:rPr>
          <w:b/>
          <w:bCs/>
          <w:kern w:val="0"/>
          <w:sz w:val="20"/>
          <w:szCs w:val="20"/>
          <w14:ligatures w14:val="none"/>
        </w:rPr>
        <w:t>per year for all private healthcare facilities combined over the ten</w:t>
      </w:r>
      <w:r w:rsidR="00873C30">
        <w:rPr>
          <w:b/>
          <w:bCs/>
          <w:kern w:val="0"/>
          <w:sz w:val="20"/>
          <w:szCs w:val="20"/>
          <w14:ligatures w14:val="none"/>
        </w:rPr>
        <w:t>-</w:t>
      </w:r>
      <w:r w:rsidRPr="0081186A">
        <w:rPr>
          <w:b/>
          <w:bCs/>
          <w:kern w:val="0"/>
          <w:sz w:val="20"/>
          <w:szCs w:val="20"/>
          <w14:ligatures w14:val="none"/>
        </w:rPr>
        <w:t>year default period:</w:t>
      </w:r>
      <w:r w:rsidRPr="00C833F2">
        <w:rPr>
          <w:kern w:val="0"/>
          <w:sz w:val="20"/>
          <w:szCs w:val="20"/>
          <w14:ligatures w14:val="none"/>
        </w:rPr>
        <w:t xml:space="preserve"> $1.</w:t>
      </w:r>
      <w:r>
        <w:rPr>
          <w:kern w:val="0"/>
          <w:sz w:val="20"/>
          <w:szCs w:val="20"/>
          <w14:ligatures w14:val="none"/>
        </w:rPr>
        <w:t>62</w:t>
      </w:r>
      <w:r w:rsidRPr="00C833F2">
        <w:rPr>
          <w:kern w:val="0"/>
          <w:sz w:val="20"/>
          <w:szCs w:val="20"/>
          <w14:ligatures w14:val="none"/>
        </w:rPr>
        <w:t xml:space="preserve"> million (option </w:t>
      </w:r>
      <w:r>
        <w:rPr>
          <w:kern w:val="0"/>
          <w:sz w:val="20"/>
          <w:szCs w:val="20"/>
          <w14:ligatures w14:val="none"/>
        </w:rPr>
        <w:t>3</w:t>
      </w:r>
      <w:r w:rsidRPr="00C833F2">
        <w:rPr>
          <w:kern w:val="0"/>
          <w:sz w:val="20"/>
          <w:szCs w:val="20"/>
          <w14:ligatures w14:val="none"/>
        </w:rPr>
        <w:t>A) and $1.</w:t>
      </w:r>
      <w:r>
        <w:rPr>
          <w:kern w:val="0"/>
          <w:sz w:val="20"/>
          <w:szCs w:val="20"/>
          <w14:ligatures w14:val="none"/>
        </w:rPr>
        <w:t>67</w:t>
      </w:r>
      <w:r w:rsidRPr="00C833F2">
        <w:rPr>
          <w:kern w:val="0"/>
          <w:sz w:val="20"/>
          <w:szCs w:val="20"/>
          <w14:ligatures w14:val="none"/>
        </w:rPr>
        <w:t xml:space="preserve"> million (option </w:t>
      </w:r>
      <w:r>
        <w:rPr>
          <w:kern w:val="0"/>
          <w:sz w:val="20"/>
          <w:szCs w:val="20"/>
          <w14:ligatures w14:val="none"/>
        </w:rPr>
        <w:t>3</w:t>
      </w:r>
      <w:r w:rsidRPr="00C833F2">
        <w:rPr>
          <w:kern w:val="0"/>
          <w:sz w:val="20"/>
          <w:szCs w:val="20"/>
          <w14:ligatures w14:val="none"/>
        </w:rPr>
        <w:t>B). This equates to $</w:t>
      </w:r>
      <w:r>
        <w:rPr>
          <w:kern w:val="0"/>
          <w:sz w:val="20"/>
          <w:szCs w:val="20"/>
          <w14:ligatures w14:val="none"/>
        </w:rPr>
        <w:t>25,194</w:t>
      </w:r>
      <w:r w:rsidRPr="00C833F2">
        <w:rPr>
          <w:kern w:val="0"/>
          <w:sz w:val="20"/>
          <w:szCs w:val="20"/>
          <w14:ligatures w14:val="none"/>
        </w:rPr>
        <w:t xml:space="preserve"> and $</w:t>
      </w:r>
      <w:r>
        <w:rPr>
          <w:kern w:val="0"/>
          <w:sz w:val="20"/>
          <w:szCs w:val="20"/>
          <w14:ligatures w14:val="none"/>
        </w:rPr>
        <w:t>25,972</w:t>
      </w:r>
      <w:r w:rsidRPr="00C833F2">
        <w:rPr>
          <w:kern w:val="0"/>
          <w:sz w:val="20"/>
          <w:szCs w:val="20"/>
          <w14:ligatures w14:val="none"/>
        </w:rPr>
        <w:t xml:space="preserve"> per facility for options </w:t>
      </w:r>
      <w:r>
        <w:rPr>
          <w:kern w:val="0"/>
          <w:sz w:val="20"/>
          <w:szCs w:val="20"/>
          <w14:ligatures w14:val="none"/>
        </w:rPr>
        <w:t>3</w:t>
      </w:r>
      <w:r w:rsidRPr="00C833F2">
        <w:rPr>
          <w:kern w:val="0"/>
          <w:sz w:val="20"/>
          <w:szCs w:val="20"/>
          <w14:ligatures w14:val="none"/>
        </w:rPr>
        <w:t xml:space="preserve">A and </w:t>
      </w:r>
      <w:r>
        <w:rPr>
          <w:kern w:val="0"/>
          <w:sz w:val="20"/>
          <w:szCs w:val="20"/>
          <w14:ligatures w14:val="none"/>
        </w:rPr>
        <w:t>3</w:t>
      </w:r>
      <w:r w:rsidRPr="00C833F2">
        <w:rPr>
          <w:kern w:val="0"/>
          <w:sz w:val="20"/>
          <w:szCs w:val="20"/>
          <w14:ligatures w14:val="none"/>
        </w:rPr>
        <w:t>B respectively.</w:t>
      </w:r>
    </w:p>
    <w:p w14:paraId="3E52B983" w14:textId="0879329B" w:rsidR="00781924" w:rsidRPr="00873C30" w:rsidRDefault="00781924" w:rsidP="00873C30">
      <w:pPr>
        <w:pStyle w:val="ListParagraph"/>
        <w:numPr>
          <w:ilvl w:val="1"/>
          <w:numId w:val="57"/>
        </w:numPr>
        <w:spacing w:after="160" w:line="259" w:lineRule="auto"/>
        <w:ind w:left="1434" w:hanging="357"/>
        <w:rPr>
          <w:b/>
          <w:bCs/>
          <w:sz w:val="20"/>
          <w:szCs w:val="20"/>
        </w:rPr>
      </w:pPr>
      <w:r w:rsidRPr="00873C30">
        <w:rPr>
          <w:b/>
          <w:bCs/>
          <w:sz w:val="20"/>
          <w:szCs w:val="20"/>
        </w:rPr>
        <w:t xml:space="preserve">Outcome: </w:t>
      </w:r>
    </w:p>
    <w:p w14:paraId="06A3BA40" w14:textId="77777777" w:rsidR="00781924" w:rsidRPr="00E44DB5" w:rsidRDefault="00781924" w:rsidP="00781924">
      <w:pPr>
        <w:numPr>
          <w:ilvl w:val="2"/>
          <w:numId w:val="57"/>
        </w:numPr>
        <w:spacing w:after="160"/>
      </w:pPr>
      <w:r w:rsidRPr="00E44DB5">
        <w:t>Addresses underreporting more comprehensively, covering a wider range of products.</w:t>
      </w:r>
    </w:p>
    <w:p w14:paraId="522CCCB1" w14:textId="77777777" w:rsidR="00781924" w:rsidRPr="00E44DB5" w:rsidRDefault="00781924" w:rsidP="00781924">
      <w:pPr>
        <w:numPr>
          <w:ilvl w:val="2"/>
          <w:numId w:val="57"/>
        </w:numPr>
        <w:spacing w:after="160"/>
      </w:pPr>
      <w:r w:rsidRPr="00E44DB5">
        <w:t xml:space="preserve">Enhances the </w:t>
      </w:r>
      <w:r>
        <w:t>TGA</w:t>
      </w:r>
      <w:r w:rsidRPr="00E44DB5">
        <w:t>'s ability to detect safety signals and improve patient safety outcomes.</w:t>
      </w:r>
    </w:p>
    <w:p w14:paraId="1BB578EC" w14:textId="77777777" w:rsidR="00781924" w:rsidRPr="00E44DB5" w:rsidRDefault="00781924" w:rsidP="00781924">
      <w:pPr>
        <w:numPr>
          <w:ilvl w:val="1"/>
          <w:numId w:val="57"/>
        </w:numPr>
        <w:spacing w:after="160"/>
      </w:pPr>
      <w:r w:rsidRPr="00E44DB5">
        <w:rPr>
          <w:b/>
          <w:bCs/>
        </w:rPr>
        <w:t>Net Benefit:</w:t>
      </w:r>
      <w:r w:rsidRPr="00E44DB5">
        <w:t xml:space="preserve"> Moderate-to-high improvement in safety detection and public health outcomes.</w:t>
      </w:r>
    </w:p>
    <w:p w14:paraId="1BECA850" w14:textId="77777777" w:rsidR="00781924" w:rsidRPr="00E44DB5" w:rsidRDefault="00781924" w:rsidP="007E5C21">
      <w:pPr>
        <w:pStyle w:val="ListParagraph"/>
        <w:numPr>
          <w:ilvl w:val="0"/>
          <w:numId w:val="60"/>
        </w:numPr>
        <w:spacing w:after="160"/>
      </w:pPr>
      <w:r w:rsidRPr="00781924">
        <w:rPr>
          <w:b/>
          <w:bCs/>
        </w:rPr>
        <w:t>Option 4: Public and private hospitals and approved Residential Aged Care facilities (excluding Multi-Purpose Services facilities) report adverse events relating to medium and high risk medical devices</w:t>
      </w:r>
    </w:p>
    <w:p w14:paraId="7ABD6686" w14:textId="00A7B085" w:rsidR="000D1644" w:rsidRPr="00E44DB5" w:rsidRDefault="00781924" w:rsidP="000D1644">
      <w:pPr>
        <w:numPr>
          <w:ilvl w:val="1"/>
          <w:numId w:val="57"/>
        </w:numPr>
        <w:spacing w:after="160"/>
      </w:pPr>
      <w:r w:rsidRPr="00E44DB5">
        <w:rPr>
          <w:b/>
          <w:bCs/>
        </w:rPr>
        <w:t>Description:</w:t>
      </w:r>
      <w:r w:rsidRPr="00E44DB5">
        <w:t xml:space="preserve"> Expand mandatory reporting to include </w:t>
      </w:r>
      <w:r w:rsidR="000D1644">
        <w:t xml:space="preserve">residential </w:t>
      </w:r>
      <w:r w:rsidR="00736EFC">
        <w:t>aged care facilities</w:t>
      </w:r>
      <w:r w:rsidR="000D1644">
        <w:t xml:space="preserve"> (excluding multi-purpose services facilities)</w:t>
      </w:r>
      <w:r w:rsidRPr="00E44DB5">
        <w:t>.</w:t>
      </w:r>
      <w:r w:rsidR="000D1644" w:rsidRPr="000D1644">
        <w:t xml:space="preserve"> </w:t>
      </w:r>
      <w:r w:rsidR="000D1644">
        <w:t>There are two sub-options based on the reporting frequency. These are option 4A – reporting in batch and option 4B – reporting on occurrence.</w:t>
      </w:r>
    </w:p>
    <w:p w14:paraId="1D8F4F96" w14:textId="77777777" w:rsidR="00781924" w:rsidRPr="00E44DB5" w:rsidRDefault="00781924" w:rsidP="00781924">
      <w:pPr>
        <w:numPr>
          <w:ilvl w:val="1"/>
          <w:numId w:val="57"/>
        </w:numPr>
        <w:spacing w:after="160"/>
      </w:pPr>
      <w:r w:rsidRPr="00E44DB5">
        <w:rPr>
          <w:b/>
          <w:bCs/>
        </w:rPr>
        <w:t>Cost</w:t>
      </w:r>
      <w:r>
        <w:rPr>
          <w:b/>
          <w:bCs/>
        </w:rPr>
        <w:t xml:space="preserve"> per year for all private healthcare facilities and residential aged care facilities (excluding Multi-Purpose Services facilities)</w:t>
      </w:r>
      <w:r w:rsidRPr="00E44DB5">
        <w:rPr>
          <w:b/>
          <w:bCs/>
        </w:rPr>
        <w:t>:</w:t>
      </w:r>
      <w:r w:rsidRPr="00E44DB5">
        <w:t xml:space="preserve"> </w:t>
      </w:r>
      <w:r>
        <w:t>$5.56</w:t>
      </w:r>
      <w:r w:rsidRPr="00E44DB5">
        <w:t xml:space="preserve"> million (</w:t>
      </w:r>
      <w:r>
        <w:t xml:space="preserve">option </w:t>
      </w:r>
      <w:r w:rsidRPr="00E44DB5">
        <w:t xml:space="preserve">4A) and </w:t>
      </w:r>
      <w:r>
        <w:t>$5.61</w:t>
      </w:r>
      <w:r w:rsidRPr="00E44DB5">
        <w:t xml:space="preserve"> million (</w:t>
      </w:r>
      <w:r>
        <w:t xml:space="preserve">option </w:t>
      </w:r>
      <w:r w:rsidRPr="00E44DB5">
        <w:t>4B).</w:t>
      </w:r>
      <w:r w:rsidRPr="00D76559">
        <w:t xml:space="preserve"> </w:t>
      </w:r>
      <w:r>
        <w:t>T</w:t>
      </w:r>
      <w:r w:rsidRPr="009B43A6">
        <w:t>his</w:t>
      </w:r>
      <w:r>
        <w:t xml:space="preserve"> </w:t>
      </w:r>
      <w:r w:rsidRPr="009B43A6">
        <w:t>equates to $</w:t>
      </w:r>
      <w:r>
        <w:t>16,936</w:t>
      </w:r>
      <w:r w:rsidRPr="009B43A6">
        <w:t xml:space="preserve"> and $</w:t>
      </w:r>
      <w:r>
        <w:t>17,100</w:t>
      </w:r>
      <w:r w:rsidRPr="009B43A6">
        <w:t xml:space="preserve"> per facility for options </w:t>
      </w:r>
      <w:r>
        <w:t>4</w:t>
      </w:r>
      <w:r w:rsidRPr="009B43A6">
        <w:t xml:space="preserve">A and </w:t>
      </w:r>
      <w:r>
        <w:t>4</w:t>
      </w:r>
      <w:r w:rsidRPr="009B43A6">
        <w:t>B respectively.</w:t>
      </w:r>
    </w:p>
    <w:p w14:paraId="1DECF739" w14:textId="77777777" w:rsidR="00781924" w:rsidRPr="00E44DB5" w:rsidRDefault="00781924" w:rsidP="00781924">
      <w:pPr>
        <w:numPr>
          <w:ilvl w:val="1"/>
          <w:numId w:val="57"/>
        </w:numPr>
        <w:spacing w:after="160"/>
      </w:pPr>
      <w:r w:rsidRPr="00E44DB5">
        <w:rPr>
          <w:b/>
          <w:bCs/>
        </w:rPr>
        <w:lastRenderedPageBreak/>
        <w:t>Outcome:</w:t>
      </w:r>
      <w:r w:rsidRPr="00E44DB5">
        <w:t xml:space="preserve"> </w:t>
      </w:r>
    </w:p>
    <w:p w14:paraId="26D5155C" w14:textId="77777777" w:rsidR="00781924" w:rsidRPr="00E44DB5" w:rsidRDefault="00781924" w:rsidP="00781924">
      <w:pPr>
        <w:numPr>
          <w:ilvl w:val="2"/>
          <w:numId w:val="57"/>
        </w:numPr>
        <w:spacing w:after="160"/>
      </w:pPr>
      <w:r w:rsidRPr="00E44DB5">
        <w:t>Offers the most comprehensive coverage and potential public health benefits.</w:t>
      </w:r>
    </w:p>
    <w:p w14:paraId="57A1211E" w14:textId="77777777" w:rsidR="00781924" w:rsidRPr="00E44DB5" w:rsidRDefault="00781924" w:rsidP="00781924">
      <w:pPr>
        <w:numPr>
          <w:ilvl w:val="2"/>
          <w:numId w:val="57"/>
        </w:numPr>
        <w:spacing w:after="160"/>
      </w:pPr>
      <w:r>
        <w:t xml:space="preserve">While the cost per facility decreases, the total number of facilities needing to upgrade compliance systems, train staff and integrate reporting mechanisms into their operations increases significantly. </w:t>
      </w:r>
    </w:p>
    <w:p w14:paraId="5B806CAA" w14:textId="0B85CCF4" w:rsidR="00781924" w:rsidRPr="00E44DB5" w:rsidRDefault="00781924" w:rsidP="00781924">
      <w:pPr>
        <w:numPr>
          <w:ilvl w:val="1"/>
          <w:numId w:val="57"/>
        </w:numPr>
        <w:spacing w:after="160"/>
      </w:pPr>
      <w:r w:rsidRPr="00E44DB5">
        <w:rPr>
          <w:b/>
          <w:bCs/>
        </w:rPr>
        <w:t>Net Benefit:</w:t>
      </w:r>
      <w:r w:rsidRPr="00E44DB5">
        <w:t xml:space="preserve"> Maximi</w:t>
      </w:r>
      <w:r w:rsidR="00362590">
        <w:t>s</w:t>
      </w:r>
      <w:r w:rsidRPr="00E44DB5">
        <w:t>ed public health benefits but with significant implementation challenges.</w:t>
      </w:r>
    </w:p>
    <w:p w14:paraId="68D59DC2" w14:textId="77777777" w:rsidR="00781924" w:rsidRDefault="00781924" w:rsidP="00781924"/>
    <w:p w14:paraId="6611F9CF" w14:textId="77777777" w:rsidR="00781924" w:rsidRDefault="00781924" w:rsidP="00781924">
      <w:pPr>
        <w:pStyle w:val="Heading3"/>
      </w:pPr>
      <w:bookmarkStart w:id="22" w:name="_Toc184038000"/>
      <w:bookmarkStart w:id="23" w:name="_Toc188012839"/>
      <w:r>
        <w:t>Preferred option</w:t>
      </w:r>
      <w:bookmarkEnd w:id="22"/>
      <w:bookmarkEnd w:id="23"/>
    </w:p>
    <w:p w14:paraId="5AA96E56" w14:textId="4E04E021" w:rsidR="00781924" w:rsidRDefault="00781924" w:rsidP="00781924">
      <w:r>
        <w:t xml:space="preserve">Based on the comprehensive assessment undertaken, </w:t>
      </w:r>
      <w:r w:rsidRPr="00C92F12">
        <w:rPr>
          <w:b/>
          <w:bCs/>
        </w:rPr>
        <w:t>Option 3A</w:t>
      </w:r>
      <w:r w:rsidRPr="00A85C64">
        <w:t xml:space="preserve"> </w:t>
      </w:r>
      <w:r>
        <w:t xml:space="preserve">is </w:t>
      </w:r>
      <w:r w:rsidR="00300D76">
        <w:t>considered t</w:t>
      </w:r>
      <w:r>
        <w:t>o provide</w:t>
      </w:r>
      <w:r w:rsidRPr="00A85C64">
        <w:t xml:space="preserve"> the best balance between addressal of the policy objectives and regulatory burden placed on the reporting population</w:t>
      </w:r>
      <w:r>
        <w:t>;</w:t>
      </w:r>
      <w:r w:rsidRPr="00A85C64">
        <w:t xml:space="preserve"> and is therefore the preferred option.</w:t>
      </w:r>
    </w:p>
    <w:p w14:paraId="30FAC7EA" w14:textId="77777777" w:rsidR="00781924" w:rsidRPr="00E44DB5" w:rsidRDefault="00781924" w:rsidP="00781924">
      <w:pPr>
        <w:numPr>
          <w:ilvl w:val="0"/>
          <w:numId w:val="58"/>
        </w:numPr>
        <w:spacing w:after="160"/>
      </w:pPr>
      <w:r w:rsidRPr="00E44DB5">
        <w:rPr>
          <w:b/>
          <w:bCs/>
        </w:rPr>
        <w:t>Key Benefits:</w:t>
      </w:r>
    </w:p>
    <w:p w14:paraId="1FD41A5A" w14:textId="77777777" w:rsidR="00781924" w:rsidRPr="00E44DB5" w:rsidRDefault="00781924" w:rsidP="00781924">
      <w:pPr>
        <w:numPr>
          <w:ilvl w:val="1"/>
          <w:numId w:val="58"/>
        </w:numPr>
        <w:spacing w:after="160"/>
      </w:pPr>
      <w:r w:rsidRPr="00E44DB5">
        <w:t>Strikes a balance between comprehensive safety signal detection and manageable regulatory costs.</w:t>
      </w:r>
    </w:p>
    <w:p w14:paraId="2703A6F8" w14:textId="77777777" w:rsidR="00781924" w:rsidRPr="00E44DB5" w:rsidRDefault="00781924" w:rsidP="00781924">
      <w:pPr>
        <w:numPr>
          <w:ilvl w:val="1"/>
          <w:numId w:val="58"/>
        </w:numPr>
        <w:spacing w:after="160"/>
      </w:pPr>
      <w:r w:rsidRPr="00E44DB5">
        <w:t xml:space="preserve">Enhances the </w:t>
      </w:r>
      <w:r>
        <w:t>TGA</w:t>
      </w:r>
      <w:r w:rsidRPr="00E44DB5">
        <w:t>’s ability to monitor and respond to safety issues effectively.</w:t>
      </w:r>
    </w:p>
    <w:p w14:paraId="52293B61" w14:textId="43369CAA" w:rsidR="00781924" w:rsidRDefault="00781924" w:rsidP="00781924">
      <w:pPr>
        <w:numPr>
          <w:ilvl w:val="1"/>
          <w:numId w:val="58"/>
        </w:numPr>
        <w:spacing w:after="160"/>
      </w:pPr>
      <w:r w:rsidRPr="00E44DB5">
        <w:t xml:space="preserve">Aligns with feedback </w:t>
      </w:r>
      <w:r w:rsidR="00427F7E">
        <w:t xml:space="preserve">from consumers, healthcare practitioners, </w:t>
      </w:r>
      <w:r w:rsidR="00427F7E" w:rsidRPr="00B333F0">
        <w:t>state and territory departments of health</w:t>
      </w:r>
      <w:r w:rsidR="00427F7E">
        <w:t xml:space="preserve"> and a range of healthcare </w:t>
      </w:r>
      <w:r w:rsidR="009121D8">
        <w:t>organisations</w:t>
      </w:r>
      <w:r w:rsidR="00427F7E">
        <w:t xml:space="preserve"> </w:t>
      </w:r>
      <w:r w:rsidRPr="00E44DB5">
        <w:t>to focus on areas of highest clinical risk while minimi</w:t>
      </w:r>
      <w:r w:rsidR="00362590">
        <w:t>s</w:t>
      </w:r>
      <w:r w:rsidRPr="00E44DB5">
        <w:t>ing unnecessary reporting burdens.</w:t>
      </w:r>
    </w:p>
    <w:p w14:paraId="1A76AF59" w14:textId="526D39AD" w:rsidR="00BC2E24" w:rsidRPr="00E44DB5" w:rsidRDefault="00BC2E24" w:rsidP="00781924">
      <w:pPr>
        <w:numPr>
          <w:ilvl w:val="1"/>
          <w:numId w:val="58"/>
        </w:numPr>
        <w:spacing w:after="160"/>
      </w:pPr>
      <w:r>
        <w:t xml:space="preserve">Addresses policy objectives </w:t>
      </w:r>
      <w:r w:rsidR="00427F7E">
        <w:t>by utilising batch reporting to</w:t>
      </w:r>
      <w:r>
        <w:t xml:space="preserve"> minimise regulatory burden whil</w:t>
      </w:r>
      <w:r w:rsidR="009121D8">
        <w:t>st</w:t>
      </w:r>
      <w:r>
        <w:t xml:space="preserve"> </w:t>
      </w:r>
      <w:r w:rsidR="00427F7E">
        <w:t>providing timely data</w:t>
      </w:r>
      <w:r w:rsidR="009121D8">
        <w:t xml:space="preserve"> and earlier signal detection</w:t>
      </w:r>
      <w:r w:rsidR="00427F7E">
        <w:t>.</w:t>
      </w:r>
    </w:p>
    <w:p w14:paraId="12D7D66D" w14:textId="77777777" w:rsidR="00781924" w:rsidRPr="00E44DB5" w:rsidRDefault="00781924" w:rsidP="00781924">
      <w:pPr>
        <w:numPr>
          <w:ilvl w:val="0"/>
          <w:numId w:val="58"/>
        </w:numPr>
        <w:spacing w:after="160"/>
      </w:pPr>
      <w:r w:rsidRPr="00E44DB5">
        <w:rPr>
          <w:b/>
          <w:bCs/>
        </w:rPr>
        <w:t>Net Benefit:</w:t>
      </w:r>
    </w:p>
    <w:p w14:paraId="7D49D36F" w14:textId="77777777" w:rsidR="00781924" w:rsidRPr="00E44DB5" w:rsidRDefault="00781924" w:rsidP="00781924">
      <w:pPr>
        <w:numPr>
          <w:ilvl w:val="1"/>
          <w:numId w:val="58"/>
        </w:numPr>
        <w:spacing w:after="160"/>
      </w:pPr>
      <w:r w:rsidRPr="00E44DB5">
        <w:t>Provides a significant improvement in public health outcomes through enhanced surveillance and early detection of safety issues.</w:t>
      </w:r>
    </w:p>
    <w:p w14:paraId="1441403D" w14:textId="2124ECF1" w:rsidR="00781924" w:rsidRDefault="00781924" w:rsidP="00781924">
      <w:pPr>
        <w:numPr>
          <w:ilvl w:val="1"/>
          <w:numId w:val="58"/>
        </w:numPr>
        <w:spacing w:after="160"/>
      </w:pPr>
      <w:r w:rsidRPr="00E44DB5">
        <w:t>Mitigates the risk of underreporting by focusing on high-</w:t>
      </w:r>
      <w:r w:rsidR="00A048D8">
        <w:t>risk</w:t>
      </w:r>
      <w:r w:rsidRPr="00E44DB5">
        <w:t xml:space="preserve"> </w:t>
      </w:r>
      <w:r>
        <w:t>medical device</w:t>
      </w:r>
      <w:r w:rsidRPr="00E44DB5">
        <w:t xml:space="preserve"> categories</w:t>
      </w:r>
      <w:r w:rsidR="00324859">
        <w:t xml:space="preserve"> by all</w:t>
      </w:r>
      <w:r w:rsidR="009121D8">
        <w:t>owing earlier signal detection at the point of care</w:t>
      </w:r>
      <w:r w:rsidRPr="00E44DB5">
        <w:t>.</w:t>
      </w:r>
      <w:r w:rsidR="009121D8">
        <w:t xml:space="preserve"> </w:t>
      </w:r>
    </w:p>
    <w:p w14:paraId="679E1031" w14:textId="6786D84C" w:rsidR="00324859" w:rsidRPr="00E44DB5" w:rsidRDefault="00C2367C" w:rsidP="00781924">
      <w:pPr>
        <w:numPr>
          <w:ilvl w:val="1"/>
          <w:numId w:val="58"/>
        </w:numPr>
        <w:spacing w:after="160"/>
      </w:pPr>
      <w:r>
        <w:t xml:space="preserve">Option 3A </w:t>
      </w:r>
      <w:r w:rsidR="00324859">
        <w:t xml:space="preserve">will </w:t>
      </w:r>
      <w:r w:rsidR="009121D8">
        <w:t xml:space="preserve">first </w:t>
      </w:r>
      <w:r>
        <w:t>introduce mandatory reporting of</w:t>
      </w:r>
      <w:r w:rsidR="00324859">
        <w:t xml:space="preserve"> high-risk medical devices then transition broader to include m</w:t>
      </w:r>
      <w:r w:rsidR="009121D8">
        <w:t>edium</w:t>
      </w:r>
      <w:r w:rsidR="00324859">
        <w:t xml:space="preserve">-risk </w:t>
      </w:r>
      <w:r w:rsidR="00FB7A4F">
        <w:t xml:space="preserve">medical </w:t>
      </w:r>
      <w:r w:rsidR="00324859">
        <w:t xml:space="preserve">devices as appropriate systems </w:t>
      </w:r>
      <w:r w:rsidR="00FB7A4F">
        <w:t>are</w:t>
      </w:r>
      <w:r w:rsidR="00324859">
        <w:t xml:space="preserve"> established.</w:t>
      </w:r>
    </w:p>
    <w:p w14:paraId="264A21D4" w14:textId="77777777" w:rsidR="00781924" w:rsidRPr="00FD5FFC" w:rsidRDefault="00781924" w:rsidP="00781924">
      <w:pPr>
        <w:pStyle w:val="Heading3"/>
      </w:pPr>
      <w:bookmarkStart w:id="24" w:name="_Hlk184048838"/>
      <w:bookmarkStart w:id="25" w:name="_Toc188012840"/>
      <w:r>
        <w:t>Stakeholder consultations</w:t>
      </w:r>
      <w:bookmarkEnd w:id="24"/>
      <w:r>
        <w:br/>
      </w:r>
      <w:r>
        <w:rPr>
          <w:rFonts w:eastAsiaTheme="minorHAnsi"/>
          <w:b w:val="0"/>
          <w:bCs w:val="0"/>
          <w:sz w:val="20"/>
          <w:szCs w:val="20"/>
        </w:rPr>
        <w:br/>
      </w:r>
      <w:r w:rsidRPr="003B39B5">
        <w:rPr>
          <w:rFonts w:eastAsiaTheme="minorHAnsi" w:cstheme="minorBidi"/>
          <w:b w:val="0"/>
          <w:bCs w:val="0"/>
          <w:color w:val="auto"/>
          <w:sz w:val="20"/>
          <w:szCs w:val="20"/>
        </w:rPr>
        <w:t>Extensive consultations with a diverse range of stakeholders informed the development of the preferred option and the proposed implementation strategy.</w:t>
      </w:r>
      <w:bookmarkEnd w:id="25"/>
    </w:p>
    <w:p w14:paraId="0500884D" w14:textId="77777777" w:rsidR="00781924" w:rsidRPr="00E44DB5" w:rsidRDefault="00781924" w:rsidP="00781924">
      <w:pPr>
        <w:numPr>
          <w:ilvl w:val="0"/>
          <w:numId w:val="59"/>
        </w:numPr>
        <w:spacing w:after="160"/>
      </w:pPr>
      <w:r w:rsidRPr="00E44DB5">
        <w:rPr>
          <w:b/>
          <w:bCs/>
        </w:rPr>
        <w:t>Stakeholders Consulted:</w:t>
      </w:r>
    </w:p>
    <w:p w14:paraId="7B292044" w14:textId="6A25EDB6" w:rsidR="00204FD3" w:rsidRPr="00E44DB5" w:rsidRDefault="00781924" w:rsidP="00204FD3">
      <w:pPr>
        <w:numPr>
          <w:ilvl w:val="1"/>
          <w:numId w:val="59"/>
        </w:numPr>
        <w:spacing w:after="160"/>
      </w:pPr>
      <w:r w:rsidRPr="00E44DB5">
        <w:t xml:space="preserve">Public and private hospitals, day hospitals, jurisdictions, </w:t>
      </w:r>
      <w:r>
        <w:t>specialist organisations such as the Australian Medical Association, Royal Australasian College of Medical Administrators, consumers</w:t>
      </w:r>
      <w:r w:rsidR="00204FD3">
        <w:t xml:space="preserve"> and consumer groups,</w:t>
      </w:r>
      <w:r>
        <w:t xml:space="preserve"> and </w:t>
      </w:r>
      <w:r w:rsidRPr="00E44DB5">
        <w:t xml:space="preserve">medical </w:t>
      </w:r>
      <w:r>
        <w:t>device</w:t>
      </w:r>
      <w:r w:rsidRPr="00E44DB5">
        <w:t xml:space="preserve"> sponsors, manufacturers.</w:t>
      </w:r>
    </w:p>
    <w:p w14:paraId="57FAA55C" w14:textId="77777777" w:rsidR="00781924" w:rsidRPr="00E44DB5" w:rsidRDefault="00781924" w:rsidP="00781924">
      <w:pPr>
        <w:numPr>
          <w:ilvl w:val="0"/>
          <w:numId w:val="59"/>
        </w:numPr>
        <w:spacing w:after="160"/>
      </w:pPr>
      <w:r w:rsidRPr="00E44DB5">
        <w:rPr>
          <w:b/>
          <w:bCs/>
        </w:rPr>
        <w:t>Engagement Timeline and Activities:</w:t>
      </w:r>
    </w:p>
    <w:p w14:paraId="45A699F5" w14:textId="77777777" w:rsidR="00781924" w:rsidRPr="00E44DB5" w:rsidRDefault="00781924" w:rsidP="00781924">
      <w:pPr>
        <w:numPr>
          <w:ilvl w:val="1"/>
          <w:numId w:val="59"/>
        </w:numPr>
        <w:spacing w:after="160"/>
      </w:pPr>
      <w:r>
        <w:rPr>
          <w:b/>
          <w:bCs/>
        </w:rPr>
        <w:lastRenderedPageBreak/>
        <w:t>Public c</w:t>
      </w:r>
      <w:r w:rsidRPr="00E44DB5">
        <w:rPr>
          <w:b/>
          <w:bCs/>
        </w:rPr>
        <w:t>onsultation</w:t>
      </w:r>
      <w:r>
        <w:rPr>
          <w:b/>
          <w:bCs/>
        </w:rPr>
        <w:t xml:space="preserve"> (2021)</w:t>
      </w:r>
      <w:r w:rsidRPr="00E44DB5">
        <w:rPr>
          <w:b/>
          <w:bCs/>
        </w:rPr>
        <w:t>:</w:t>
      </w:r>
      <w:r w:rsidRPr="00E44DB5">
        <w:t xml:space="preserve"> Broad support for a mandatory reporting scheme, with a willingness to align it with existing quality assurance frameworks to reduce regulatory burden.</w:t>
      </w:r>
    </w:p>
    <w:p w14:paraId="236D21A6" w14:textId="77777777" w:rsidR="00781924" w:rsidRPr="00E44DB5" w:rsidRDefault="00781924" w:rsidP="00781924">
      <w:pPr>
        <w:numPr>
          <w:ilvl w:val="1"/>
          <w:numId w:val="59"/>
        </w:numPr>
        <w:spacing w:after="160"/>
      </w:pPr>
      <w:r w:rsidRPr="0081186A">
        <w:rPr>
          <w:b/>
          <w:bCs/>
          <w:i/>
          <w:iCs/>
        </w:rPr>
        <w:t>Therapeutic Goods Act 1989</w:t>
      </w:r>
      <w:r w:rsidRPr="00E44DB5">
        <w:rPr>
          <w:b/>
          <w:bCs/>
        </w:rPr>
        <w:t xml:space="preserve"> </w:t>
      </w:r>
      <w:r>
        <w:rPr>
          <w:b/>
          <w:bCs/>
        </w:rPr>
        <w:t>a</w:t>
      </w:r>
      <w:r w:rsidRPr="00E44DB5">
        <w:rPr>
          <w:b/>
          <w:bCs/>
        </w:rPr>
        <w:t>mendments</w:t>
      </w:r>
      <w:r>
        <w:rPr>
          <w:b/>
          <w:bCs/>
        </w:rPr>
        <w:t xml:space="preserve"> (2023)</w:t>
      </w:r>
      <w:r w:rsidRPr="00E44DB5">
        <w:rPr>
          <w:b/>
          <w:bCs/>
        </w:rPr>
        <w:t>:</w:t>
      </w:r>
      <w:r w:rsidRPr="00E44DB5">
        <w:t xml:space="preserve"> Mandated reporting by public and private hospitals, with supporting regulations planned for 2025.</w:t>
      </w:r>
    </w:p>
    <w:p w14:paraId="2CB0A862" w14:textId="77777777" w:rsidR="00781924" w:rsidRPr="00E44DB5" w:rsidRDefault="00781924" w:rsidP="00781924">
      <w:pPr>
        <w:numPr>
          <w:ilvl w:val="1"/>
          <w:numId w:val="59"/>
        </w:numPr>
        <w:spacing w:after="160"/>
      </w:pPr>
      <w:r w:rsidRPr="00E44DB5">
        <w:rPr>
          <w:b/>
          <w:bCs/>
        </w:rPr>
        <w:t>Roundtable Discussions (2023):</w:t>
      </w:r>
      <w:r w:rsidRPr="00E44DB5">
        <w:t xml:space="preserve"> Focused on existing reporting mechanisms, implementation challenges, and stakeholder feedback.</w:t>
      </w:r>
    </w:p>
    <w:p w14:paraId="10389198" w14:textId="77777777" w:rsidR="00781924" w:rsidRPr="00E44DB5" w:rsidRDefault="00781924" w:rsidP="00781924">
      <w:pPr>
        <w:numPr>
          <w:ilvl w:val="1"/>
          <w:numId w:val="59"/>
        </w:numPr>
        <w:spacing w:after="160"/>
      </w:pPr>
      <w:r w:rsidRPr="00E44DB5">
        <w:rPr>
          <w:b/>
          <w:bCs/>
        </w:rPr>
        <w:t>Interjurisdictional and IT Working Groups</w:t>
      </w:r>
      <w:r>
        <w:rPr>
          <w:b/>
          <w:bCs/>
        </w:rPr>
        <w:t xml:space="preserve"> (2024)</w:t>
      </w:r>
      <w:r w:rsidRPr="00E44DB5">
        <w:rPr>
          <w:b/>
          <w:bCs/>
        </w:rPr>
        <w:t>:</w:t>
      </w:r>
      <w:r w:rsidRPr="00E44DB5">
        <w:t xml:space="preserve"> Established to address ongoing implementation and technical requirements.</w:t>
      </w:r>
    </w:p>
    <w:p w14:paraId="65362D76" w14:textId="77777777" w:rsidR="00781924" w:rsidRDefault="00781924" w:rsidP="00781924">
      <w:pPr>
        <w:pStyle w:val="Heading3"/>
      </w:pPr>
      <w:bookmarkStart w:id="26" w:name="_Toc188012841"/>
      <w:r>
        <w:t>Implementation strategy</w:t>
      </w:r>
      <w:bookmarkEnd w:id="26"/>
      <w:r>
        <w:br/>
      </w:r>
    </w:p>
    <w:p w14:paraId="6A7AFF60" w14:textId="5D124C25" w:rsidR="00781924" w:rsidRPr="001406CC" w:rsidRDefault="00C70E70" w:rsidP="00781924">
      <w:r>
        <w:t>I</w:t>
      </w:r>
      <w:r w:rsidR="00781924">
        <w:t>mplementation will follow an iterative, staged process to ensure healthcare facilities can adapt to the new reporting requirements effectively</w:t>
      </w:r>
      <w:r>
        <w:t xml:space="preserve"> and allow</w:t>
      </w:r>
      <w:r w:rsidR="005410D9">
        <w:t xml:space="preserve"> sufficient time for state and territory governments and private health facilities to develop the appropriate systems to implement the mandatory reporting scheme.</w:t>
      </w:r>
      <w:r w:rsidR="00781924">
        <w:t xml:space="preserve"> A 12-month </w:t>
      </w:r>
      <w:r w:rsidR="005410D9">
        <w:t xml:space="preserve">voluntary </w:t>
      </w:r>
      <w:r w:rsidR="00781924">
        <w:t>transition period will be included, during which no compliance actions will be taken. This period will allow for IT system adjustments, stakeholder feedback, and identification of challenges to ensure a smooth transition to mandatory reporting</w:t>
      </w:r>
      <w:r w:rsidR="005410D9">
        <w:t>.</w:t>
      </w:r>
      <w:r>
        <w:t xml:space="preserve"> A staged </w:t>
      </w:r>
      <w:r w:rsidR="005410D9">
        <w:t xml:space="preserve">implementation </w:t>
      </w:r>
      <w:r>
        <w:t xml:space="preserve">approach </w:t>
      </w:r>
      <w:r w:rsidR="005410D9">
        <w:t xml:space="preserve">commencing with reporting of high-risk medical devices </w:t>
      </w:r>
      <w:r>
        <w:t xml:space="preserve">will allow for iterative </w:t>
      </w:r>
      <w:r w:rsidR="005410D9">
        <w:t xml:space="preserve">system </w:t>
      </w:r>
      <w:r>
        <w:t>improvements to be managed ahead of each timeframe.</w:t>
      </w:r>
    </w:p>
    <w:p w14:paraId="6D2EF327" w14:textId="0BA3FB37" w:rsidR="00426DB6" w:rsidRPr="00834045" w:rsidRDefault="00426DB6">
      <w:r>
        <w:br w:type="page"/>
      </w:r>
      <w:bookmarkStart w:id="27" w:name="_Toc156375130"/>
    </w:p>
    <w:p w14:paraId="262CC332" w14:textId="0419CF36" w:rsidR="00C61E0F" w:rsidRDefault="00CE52F3" w:rsidP="00C61E0F">
      <w:pPr>
        <w:pStyle w:val="Heading2"/>
      </w:pPr>
      <w:bookmarkStart w:id="28" w:name="_Toc179531295"/>
      <w:bookmarkStart w:id="29" w:name="_Toc188012842"/>
      <w:r w:rsidRPr="00E15950">
        <w:lastRenderedPageBreak/>
        <w:t>Introduction</w:t>
      </w:r>
      <w:bookmarkStart w:id="30" w:name="_Toc156375131"/>
      <w:bookmarkEnd w:id="27"/>
      <w:bookmarkEnd w:id="28"/>
      <w:bookmarkEnd w:id="29"/>
    </w:p>
    <w:p w14:paraId="6E5FAEB7" w14:textId="619DD646" w:rsidR="003C7D6F" w:rsidRDefault="00541CC3" w:rsidP="00DD68F1">
      <w:r>
        <w:t xml:space="preserve">This </w:t>
      </w:r>
      <w:r w:rsidR="007E4B1B">
        <w:t xml:space="preserve">Impact Analysis </w:t>
      </w:r>
      <w:r w:rsidR="00840088">
        <w:t xml:space="preserve">presents the analysis </w:t>
      </w:r>
      <w:r w:rsidR="0065404C">
        <w:t xml:space="preserve">of the </w:t>
      </w:r>
      <w:r w:rsidR="00000A30">
        <w:t>p</w:t>
      </w:r>
      <w:r w:rsidR="007E4B1B" w:rsidRPr="007E4B1B">
        <w:t xml:space="preserve">roposal to introduce mandatory reporting requirements for adverse events involving medical devices to support improved </w:t>
      </w:r>
      <w:r w:rsidR="00C91C21">
        <w:t xml:space="preserve">end-user </w:t>
      </w:r>
      <w:r w:rsidR="007E4B1B" w:rsidRPr="007E4B1B">
        <w:t>safety outcomes</w:t>
      </w:r>
      <w:r w:rsidR="002D1D45">
        <w:t xml:space="preserve">. It does so </w:t>
      </w:r>
      <w:r w:rsidR="00B378C9">
        <w:t>by</w:t>
      </w:r>
      <w:r w:rsidR="002B0DE7">
        <w:t xml:space="preserve"> us</w:t>
      </w:r>
      <w:r w:rsidR="00B378C9">
        <w:t>ing</w:t>
      </w:r>
      <w:r w:rsidR="002D1D45">
        <w:t xml:space="preserve"> guidance provided by the Office of Impact Analysis</w:t>
      </w:r>
      <w:r w:rsidR="006A5184">
        <w:t xml:space="preserve"> within the Department of Prime Minister and Cabinet</w:t>
      </w:r>
      <w:r w:rsidR="002D1D45">
        <w:t>.</w:t>
      </w:r>
      <w:r w:rsidR="00C960FC">
        <w:t xml:space="preserve"> The first section of the document describes in detail </w:t>
      </w:r>
      <w:r w:rsidR="004E2CA5">
        <w:t xml:space="preserve">the context and background of medical devices, the drivers for the proposal </w:t>
      </w:r>
      <w:r w:rsidR="001D6E88">
        <w:t xml:space="preserve">and </w:t>
      </w:r>
      <w:r w:rsidR="00144FFC">
        <w:t>an overview</w:t>
      </w:r>
      <w:r w:rsidR="001D6E88">
        <w:t xml:space="preserve"> of the current reporting framework and </w:t>
      </w:r>
      <w:r w:rsidR="00E962FE">
        <w:t>its implementation</w:t>
      </w:r>
      <w:r w:rsidR="001D6E88">
        <w:t>.</w:t>
      </w:r>
      <w:r w:rsidR="003B3BF1">
        <w:t xml:space="preserve"> </w:t>
      </w:r>
      <w:r w:rsidR="00F30D2C">
        <w:t>The subsequent sections</w:t>
      </w:r>
      <w:r w:rsidR="001B0402">
        <w:t xml:space="preserve"> of the document </w:t>
      </w:r>
      <w:r w:rsidR="00F30D2C">
        <w:t>are</w:t>
      </w:r>
      <w:r w:rsidR="001B0402">
        <w:t xml:space="preserve"> used to answer the </w:t>
      </w:r>
      <w:r w:rsidR="003C7D6F">
        <w:t>Office of Impact</w:t>
      </w:r>
      <w:r w:rsidR="00C70E70">
        <w:t xml:space="preserve"> </w:t>
      </w:r>
      <w:r w:rsidR="008F0D65">
        <w:t>Analysis</w:t>
      </w:r>
      <w:r w:rsidR="003C7D6F">
        <w:t>’s ‘</w:t>
      </w:r>
      <w:r w:rsidR="001B0402">
        <w:t>seven questions</w:t>
      </w:r>
      <w:r w:rsidR="003C7D6F">
        <w:t xml:space="preserve">’. </w:t>
      </w:r>
    </w:p>
    <w:p w14:paraId="2CF2859B" w14:textId="40AFBCD2" w:rsidR="00DD68F1" w:rsidRPr="00DD68F1" w:rsidRDefault="00355B69" w:rsidP="0079175B">
      <w:r>
        <w:t xml:space="preserve">Answering the </w:t>
      </w:r>
      <w:r w:rsidR="00464081">
        <w:t>central questions</w:t>
      </w:r>
      <w:r w:rsidR="003C7D6F">
        <w:t xml:space="preserve"> saw the development of f</w:t>
      </w:r>
      <w:r w:rsidR="00917A83">
        <w:t>our</w:t>
      </w:r>
      <w:r w:rsidR="003C7D6F">
        <w:t xml:space="preserve"> options for consideration (including </w:t>
      </w:r>
      <w:r w:rsidR="00917A83">
        <w:t xml:space="preserve">2 </w:t>
      </w:r>
      <w:r w:rsidR="003C7D6F">
        <w:t xml:space="preserve">sub-options). Each </w:t>
      </w:r>
      <w:r w:rsidR="000862D3">
        <w:t>option</w:t>
      </w:r>
      <w:r w:rsidR="00917A83">
        <w:t xml:space="preserve"> (and sub-option)</w:t>
      </w:r>
      <w:r w:rsidR="003C7D6F">
        <w:t xml:space="preserve"> is carefully </w:t>
      </w:r>
      <w:r w:rsidR="00C55E50">
        <w:t>analysed,</w:t>
      </w:r>
      <w:r w:rsidR="003C7D6F">
        <w:t xml:space="preserve"> and </w:t>
      </w:r>
      <w:r w:rsidR="00D87C1A">
        <w:t>the relevant</w:t>
      </w:r>
      <w:r w:rsidR="003C7D6F">
        <w:t xml:space="preserve"> benefits and impacts</w:t>
      </w:r>
      <w:r w:rsidR="00D87C1A">
        <w:t xml:space="preserve"> are detailed</w:t>
      </w:r>
      <w:r w:rsidR="003C7D6F">
        <w:t xml:space="preserve">. This analysis is supported </w:t>
      </w:r>
      <w:r w:rsidR="000D764C">
        <w:t>through</w:t>
      </w:r>
      <w:r w:rsidR="003C7D6F">
        <w:t xml:space="preserve"> </w:t>
      </w:r>
      <w:r w:rsidR="00630DA8">
        <w:t>wide engagement with stakeholders and the</w:t>
      </w:r>
      <w:r w:rsidR="003C7D6F">
        <w:t xml:space="preserve"> thorough analysis of data from Australia</w:t>
      </w:r>
      <w:r w:rsidR="000D764C">
        <w:t>n</w:t>
      </w:r>
      <w:r w:rsidR="003C7D6F">
        <w:t xml:space="preserve"> and overseas</w:t>
      </w:r>
      <w:r w:rsidR="000D764C">
        <w:t xml:space="preserve"> sources</w:t>
      </w:r>
      <w:r w:rsidR="003C7D6F">
        <w:t xml:space="preserve">. The background </w:t>
      </w:r>
      <w:r w:rsidR="001F4E27">
        <w:t>and detail of</w:t>
      </w:r>
      <w:r w:rsidR="003C7D6F">
        <w:t xml:space="preserve"> this analysis is contained in </w:t>
      </w:r>
      <w:r w:rsidR="0043468D">
        <w:t>attached</w:t>
      </w:r>
      <w:r w:rsidR="003C7D6F">
        <w:t xml:space="preserve"> anne</w:t>
      </w:r>
      <w:r w:rsidR="0043468D">
        <w:t>xes</w:t>
      </w:r>
      <w:r w:rsidR="001F4E27">
        <w:t xml:space="preserve"> and enclosures</w:t>
      </w:r>
      <w:r w:rsidR="0043468D">
        <w:t xml:space="preserve">. </w:t>
      </w:r>
    </w:p>
    <w:p w14:paraId="50A3A1F0" w14:textId="47FF3F50" w:rsidR="006D6047" w:rsidRDefault="006D6047" w:rsidP="00C61E0F">
      <w:pPr>
        <w:pStyle w:val="Heading3"/>
      </w:pPr>
      <w:bookmarkStart w:id="31" w:name="_Toc179531296"/>
      <w:bookmarkStart w:id="32" w:name="_Toc188012843"/>
      <w:r>
        <w:t>Background</w:t>
      </w:r>
      <w:bookmarkEnd w:id="31"/>
      <w:bookmarkEnd w:id="32"/>
    </w:p>
    <w:p w14:paraId="4D06D12B" w14:textId="30A60462" w:rsidR="009E0CC1" w:rsidRDefault="00E84D4D" w:rsidP="006D6047">
      <w:r>
        <w:t>In June 2011</w:t>
      </w:r>
      <w:r w:rsidR="002A3F34">
        <w:t xml:space="preserve"> an independent panel tasked with reviewing the transparency of the Therapeutic Goods Administration</w:t>
      </w:r>
      <w:r w:rsidR="009548A3">
        <w:t xml:space="preserve"> </w:t>
      </w:r>
      <w:r w:rsidR="002A3F34">
        <w:t>released their final report.</w:t>
      </w:r>
      <w:r w:rsidR="002A3F34">
        <w:rPr>
          <w:rStyle w:val="FootnoteReference"/>
        </w:rPr>
        <w:footnoteReference w:id="3"/>
      </w:r>
      <w:r w:rsidR="008E35BF">
        <w:t xml:space="preserve"> Recommendation 19 stated that, ‘The TGA more effectively facilitate the </w:t>
      </w:r>
      <w:r w:rsidR="00E87F91">
        <w:t xml:space="preserve">recognition and reporting of </w:t>
      </w:r>
      <w:r w:rsidR="00F861AB">
        <w:t>adverse events by health practitioners and consumers, and promote the adverse event</w:t>
      </w:r>
      <w:r w:rsidR="00325D3A">
        <w:t xml:space="preserve"> reporting system’</w:t>
      </w:r>
      <w:r w:rsidR="00711C63">
        <w:t xml:space="preserve"> with Recommendation 21</w:t>
      </w:r>
      <w:r w:rsidR="00361AF0">
        <w:t xml:space="preserve"> stating that</w:t>
      </w:r>
      <w:r w:rsidR="002B4A37">
        <w:t>,</w:t>
      </w:r>
      <w:r w:rsidR="00361AF0">
        <w:t xml:space="preserve"> ‘The TGA work with State and Terr</w:t>
      </w:r>
      <w:r w:rsidR="006A48B1">
        <w:t>itory government stakeholders, and other relevant agencies, to improve the management of adverse event reporting in support of consumer safety’</w:t>
      </w:r>
      <w:r w:rsidR="00DA766F">
        <w:t>.</w:t>
      </w:r>
      <w:r w:rsidR="003D149B">
        <w:rPr>
          <w:rStyle w:val="FootnoteReference"/>
        </w:rPr>
        <w:footnoteReference w:id="4"/>
      </w:r>
    </w:p>
    <w:p w14:paraId="30885C30" w14:textId="14072028" w:rsidR="006D6047" w:rsidRDefault="006D6047" w:rsidP="006D6047">
      <w:r>
        <w:t xml:space="preserve">In late 2016, the Australian Government responded to the March 2015 independent </w:t>
      </w:r>
      <w:r w:rsidRPr="0079175B">
        <w:rPr>
          <w:i/>
        </w:rPr>
        <w:t>Review of Medicines and Medical Devices Regulation</w:t>
      </w:r>
      <w:r>
        <w:rPr>
          <w:rStyle w:val="FootnoteReference"/>
        </w:rPr>
        <w:footnoteReference w:id="5"/>
      </w:r>
      <w:r>
        <w:t xml:space="preserve"> following extensive consultation with stakeholders. </w:t>
      </w:r>
      <w:r w:rsidR="00601B05">
        <w:t>A</w:t>
      </w:r>
      <w:r>
        <w:t>greed recommendations relating to medical devices included more comprehensive</w:t>
      </w:r>
      <w:r w:rsidR="00176F6E">
        <w:t xml:space="preserve"> and active</w:t>
      </w:r>
      <w:r>
        <w:t xml:space="preserve"> </w:t>
      </w:r>
      <w:r w:rsidR="0046450C">
        <w:t xml:space="preserve">post-market </w:t>
      </w:r>
      <w:r>
        <w:t xml:space="preserve">monitoring of devices approved for use in the Australian marketplace with more timely analysis of hospital information, the introduction of electronic reporting for adverse event information, and enhanced collaboration with overseas </w:t>
      </w:r>
      <w:r w:rsidRPr="006963A1">
        <w:rPr>
          <w:rStyle w:val="Emphasis"/>
          <w:i w:val="0"/>
          <w:iCs w:val="0"/>
        </w:rPr>
        <w:t>regulators</w:t>
      </w:r>
      <w:r w:rsidRPr="006963A1">
        <w:rPr>
          <w:i/>
          <w:iCs/>
        </w:rPr>
        <w:t xml:space="preserve"> </w:t>
      </w:r>
      <w:r>
        <w:t xml:space="preserve">to improve the sharing of information relating to the ongoing safety and </w:t>
      </w:r>
      <w:r w:rsidR="00027E3F">
        <w:t>performance</w:t>
      </w:r>
      <w:r>
        <w:t xml:space="preserve"> of medical device</w:t>
      </w:r>
      <w:r w:rsidR="002C744B">
        <w:t>s</w:t>
      </w:r>
      <w:r>
        <w:t xml:space="preserve">. </w:t>
      </w:r>
    </w:p>
    <w:p w14:paraId="2F4D2EAE" w14:textId="76A14298" w:rsidR="00FF5651" w:rsidRPr="00FF5651" w:rsidRDefault="006D6047" w:rsidP="00FF5651">
      <w:r>
        <w:t>The 2017</w:t>
      </w:r>
      <w:r w:rsidR="000D49C2">
        <w:t>/18</w:t>
      </w:r>
      <w:r>
        <w:t xml:space="preserve"> Senate Inquiry</w:t>
      </w:r>
      <w:r w:rsidR="00CB0F2C">
        <w:rPr>
          <w:rStyle w:val="FootnoteReference"/>
        </w:rPr>
        <w:footnoteReference w:id="6"/>
      </w:r>
      <w:r>
        <w:t xml:space="preserve"> into the </w:t>
      </w:r>
      <w:r w:rsidRPr="002D7C49">
        <w:rPr>
          <w:i/>
          <w:iCs/>
        </w:rPr>
        <w:t>Number of women in Australia who have had transvaginal mesh implants and related matters</w:t>
      </w:r>
      <w:r>
        <w:t xml:space="preserve"> (the Inquiry) investigated medical devices that were developed in the late 1990s for the treatment of stress urinary incontinence. </w:t>
      </w:r>
      <w:r w:rsidR="00884D5C" w:rsidRPr="00884D5C">
        <w:t xml:space="preserve">The </w:t>
      </w:r>
      <w:r w:rsidR="00AD33BD">
        <w:t>i</w:t>
      </w:r>
      <w:r w:rsidR="00884D5C" w:rsidRPr="00884D5C">
        <w:t>nquiry highlighted that with rapid technological changes, the number, range and complexity of medical devices will increase over time</w:t>
      </w:r>
      <w:r w:rsidR="00A47E26">
        <w:t xml:space="preserve">. </w:t>
      </w:r>
      <w:r>
        <w:t xml:space="preserve">This means that this will have a greater impact upon the TGA’s capacity to detect problems in the Australian market and </w:t>
      </w:r>
      <w:r w:rsidR="00AD33BD">
        <w:t>its</w:t>
      </w:r>
      <w:r>
        <w:t xml:space="preserve"> ability to provide timely information regarding medical devices to consumers and healthcare professionals</w:t>
      </w:r>
      <w:r w:rsidR="00E92070">
        <w:t xml:space="preserve">, thus </w:t>
      </w:r>
      <w:r w:rsidR="00E92070" w:rsidRPr="00884D5C">
        <w:t xml:space="preserve">emphasising the need for improvements in safeguarding patient safety through </w:t>
      </w:r>
      <w:r w:rsidR="00D32134">
        <w:t xml:space="preserve">enhanced </w:t>
      </w:r>
      <w:r w:rsidR="00E92070" w:rsidRPr="00884D5C">
        <w:t>post-market monitoring.</w:t>
      </w:r>
      <w:r w:rsidR="00E92070">
        <w:t xml:space="preserve"> </w:t>
      </w:r>
      <w:r>
        <w:t xml:space="preserve">Recommendation 1 of the </w:t>
      </w:r>
      <w:r w:rsidR="00B43DFC">
        <w:t>I</w:t>
      </w:r>
      <w:r>
        <w:t xml:space="preserve">nquiry (see call-out box below) noted the vital role of adverse event reporting in post-market surveillance and recommended </w:t>
      </w:r>
      <w:r>
        <w:lastRenderedPageBreak/>
        <w:t>the implementation of mandatory reporting of adverse events by medical practitioners.</w:t>
      </w:r>
      <w:r w:rsidR="00FF5651">
        <w:br/>
      </w:r>
    </w:p>
    <w:p w14:paraId="6535A871" w14:textId="5400B723" w:rsidR="00FF5651" w:rsidRPr="00840B1F" w:rsidRDefault="00FF5651" w:rsidP="006D6047">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840B1F">
        <w:rPr>
          <w:b/>
          <w:bCs/>
        </w:rPr>
        <w:t>Recommendation 1</w:t>
      </w:r>
      <w:r w:rsidR="00840B1F" w:rsidRPr="00840B1F">
        <w:rPr>
          <w:b/>
          <w:bCs/>
        </w:rPr>
        <w:t xml:space="preserve"> </w:t>
      </w:r>
      <w:r w:rsidRPr="00840B1F">
        <w:rPr>
          <w:b/>
          <w:bCs/>
        </w:rPr>
        <w:t>from the 2017/18 Senate Inquiry into the Number of women in Australia who have had transvaginal mesh implants and related matters</w:t>
      </w:r>
      <w:r w:rsidRPr="00840B1F" w:rsidDel="006664B6">
        <w:rPr>
          <w:b/>
          <w:bCs/>
        </w:rPr>
        <w:t xml:space="preserve"> </w:t>
      </w:r>
      <w:r w:rsidRPr="00840B1F">
        <w:rPr>
          <w:b/>
          <w:bCs/>
        </w:rPr>
        <w:br/>
      </w:r>
    </w:p>
    <w:p w14:paraId="58E87035" w14:textId="4E2B10F0" w:rsidR="006D6047" w:rsidRDefault="006D6047" w:rsidP="006D6047">
      <w:pPr>
        <w:pBdr>
          <w:top w:val="single" w:sz="4" w:space="1" w:color="auto"/>
          <w:left w:val="single" w:sz="4" w:space="4" w:color="auto"/>
          <w:bottom w:val="single" w:sz="4" w:space="1" w:color="auto"/>
          <w:right w:val="single" w:sz="4" w:space="4" w:color="auto"/>
        </w:pBdr>
        <w:shd w:val="clear" w:color="auto" w:fill="F2F2F2" w:themeFill="background1" w:themeFillShade="F2"/>
      </w:pPr>
      <w:r>
        <w:t>Noting the vital role of adverse reporting in post-market surveillance, the committee recommends that the Australian Government, in consultation with the states and territories and the Medical Board of Australia, review the current system of reporting adverse events to the Therapeutic Goods Administration to:</w:t>
      </w:r>
    </w:p>
    <w:p w14:paraId="682593E4" w14:textId="77777777" w:rsidR="006D6047" w:rsidRDefault="006D6047" w:rsidP="006D6047">
      <w:pPr>
        <w:pStyle w:val="Bullet1"/>
        <w:pBdr>
          <w:top w:val="single" w:sz="4" w:space="1" w:color="auto"/>
          <w:left w:val="single" w:sz="4" w:space="4" w:color="auto"/>
          <w:bottom w:val="single" w:sz="4" w:space="1" w:color="auto"/>
          <w:right w:val="single" w:sz="4" w:space="4" w:color="auto"/>
        </w:pBdr>
        <w:shd w:val="clear" w:color="auto" w:fill="F2F2F2" w:themeFill="background1" w:themeFillShade="F2"/>
      </w:pPr>
      <w:r>
        <w:t>implement mandatory reporting of adverse events by medical practitioners</w:t>
      </w:r>
    </w:p>
    <w:p w14:paraId="04A78E96" w14:textId="77777777" w:rsidR="006D6047" w:rsidRDefault="006D6047" w:rsidP="006D6047">
      <w:pPr>
        <w:pStyle w:val="Bullet1"/>
        <w:pBdr>
          <w:top w:val="single" w:sz="4" w:space="1" w:color="auto"/>
          <w:left w:val="single" w:sz="4" w:space="4" w:color="auto"/>
          <w:bottom w:val="single" w:sz="4" w:space="1" w:color="auto"/>
          <w:right w:val="single" w:sz="4" w:space="4" w:color="auto"/>
        </w:pBdr>
        <w:shd w:val="clear" w:color="auto" w:fill="F2F2F2" w:themeFill="background1" w:themeFillShade="F2"/>
      </w:pPr>
      <w:r>
        <w:t>provide guidance on what constitutes an adverse event for use by consumers, medical practitioners and device sponsors</w:t>
      </w:r>
    </w:p>
    <w:p w14:paraId="10079739" w14:textId="77777777" w:rsidR="00CE663B" w:rsidRDefault="006D6047" w:rsidP="00CE663B">
      <w:pPr>
        <w:pStyle w:val="Bullet1"/>
        <w:pBdr>
          <w:top w:val="single" w:sz="4" w:space="1" w:color="auto"/>
          <w:left w:val="single" w:sz="4" w:space="4" w:color="auto"/>
          <w:bottom w:val="single" w:sz="4" w:space="1" w:color="auto"/>
          <w:right w:val="single" w:sz="4" w:space="4" w:color="auto"/>
        </w:pBdr>
        <w:shd w:val="clear" w:color="auto" w:fill="F2F2F2" w:themeFill="background1" w:themeFillShade="F2"/>
      </w:pPr>
      <w:r>
        <w:t>improve awareness of the reporting system</w:t>
      </w:r>
    </w:p>
    <w:p w14:paraId="4EC7E7E0" w14:textId="269EACDC" w:rsidR="00217485" w:rsidRDefault="006D6047" w:rsidP="00F3751D">
      <w:pPr>
        <w:pStyle w:val="Bullet1"/>
        <w:pBdr>
          <w:top w:val="single" w:sz="4" w:space="1" w:color="auto"/>
          <w:left w:val="single" w:sz="4" w:space="4" w:color="auto"/>
          <w:bottom w:val="single" w:sz="4" w:space="1" w:color="auto"/>
          <w:right w:val="single" w:sz="4" w:space="4" w:color="auto"/>
        </w:pBdr>
        <w:shd w:val="clear" w:color="auto" w:fill="F2F2F2" w:themeFill="background1" w:themeFillShade="F2"/>
      </w:pPr>
      <w:r>
        <w:t>examine options to simplify the reporting process.</w:t>
      </w:r>
      <w:r>
        <w:rPr>
          <w:rStyle w:val="FootnoteReference"/>
        </w:rPr>
        <w:footnoteReference w:id="7"/>
      </w:r>
    </w:p>
    <w:p w14:paraId="1703D4F3" w14:textId="65D589C7" w:rsidR="00DB6838" w:rsidRDefault="006D6047" w:rsidP="006D6047">
      <w:r>
        <w:t xml:space="preserve">While the Government supported this recommendation in principle, it </w:t>
      </w:r>
      <w:r w:rsidR="00440346">
        <w:t xml:space="preserve">was </w:t>
      </w:r>
      <w:r>
        <w:t>noted that it posed policy and implementation issues that needed further consideration</w:t>
      </w:r>
      <w:r w:rsidR="00573558">
        <w:t>.</w:t>
      </w:r>
      <w:r w:rsidR="008F7E01">
        <w:rPr>
          <w:rStyle w:val="FootnoteReference"/>
        </w:rPr>
        <w:footnoteReference w:id="8"/>
      </w:r>
      <w:r w:rsidRPr="00125E37">
        <w:t xml:space="preserve"> </w:t>
      </w:r>
      <w:r w:rsidR="007E4DC1">
        <w:t>T</w:t>
      </w:r>
      <w:r w:rsidR="004E6792">
        <w:t xml:space="preserve">o </w:t>
      </w:r>
      <w:r w:rsidR="00DD4758">
        <w:t>inform this consideration</w:t>
      </w:r>
      <w:r w:rsidR="00237538">
        <w:t>, t</w:t>
      </w:r>
      <w:r w:rsidR="00617967">
        <w:t>he TGA consulted with</w:t>
      </w:r>
      <w:r w:rsidR="000E39EC">
        <w:t xml:space="preserve"> other Australian Government agencies,</w:t>
      </w:r>
      <w:r w:rsidR="00617967">
        <w:t xml:space="preserve"> State and Territory representatives and key stakeholders </w:t>
      </w:r>
      <w:r w:rsidR="00154D23">
        <w:t>internationally</w:t>
      </w:r>
      <w:r w:rsidR="00617967">
        <w:t xml:space="preserve"> to explore the range of issues and approaches to mandatory reporting of medical device adverse events. </w:t>
      </w:r>
    </w:p>
    <w:p w14:paraId="52CDDF83" w14:textId="1830474C" w:rsidR="00770A07" w:rsidRDefault="00D36AB4" w:rsidP="00770A07">
      <w:r w:rsidRPr="00D36AB4">
        <w:t>Feedback</w:t>
      </w:r>
      <w:r w:rsidR="000D0DA9">
        <w:rPr>
          <w:rStyle w:val="FootnoteReference"/>
        </w:rPr>
        <w:footnoteReference w:id="9"/>
      </w:r>
      <w:r w:rsidRPr="00D36AB4">
        <w:t xml:space="preserve"> indicated that most adverse events involving medical devices would likely occur, and be recorded, in public and private hospitals</w:t>
      </w:r>
      <w:r w:rsidR="00262E12">
        <w:t xml:space="preserve"> at the time of presentation or admission</w:t>
      </w:r>
      <w:r w:rsidRPr="00D36AB4">
        <w:t>, and that in most instances these hospitals already record some information about medical device adverse events but may not provide it to relevant State or Territory health departments and/or the Commission and/or the TGA.</w:t>
      </w:r>
      <w:r w:rsidR="00B9755B">
        <w:t xml:space="preserve"> </w:t>
      </w:r>
      <w:r w:rsidR="00975EEF">
        <w:t>Additionally, the experience of select overseas regulators (principally Canada and the USA)</w:t>
      </w:r>
      <w:r w:rsidR="00A61A7C">
        <w:t xml:space="preserve"> found that mandating reporting responsibilities for organisations rather tha</w:t>
      </w:r>
      <w:r w:rsidR="00770A07">
        <w:t>n individual health practitioners:</w:t>
      </w:r>
    </w:p>
    <w:p w14:paraId="34F09041" w14:textId="4D5AF308" w:rsidR="00770A07" w:rsidRDefault="00770A07" w:rsidP="00770A07">
      <w:pPr>
        <w:pStyle w:val="Bullet1"/>
      </w:pPr>
      <w:r>
        <w:t>reduced the overall level of reporting burden placed upon individual health professionals</w:t>
      </w:r>
    </w:p>
    <w:p w14:paraId="6BDCFB0E" w14:textId="77777777" w:rsidR="00770A07" w:rsidRDefault="00770A07" w:rsidP="00770A07">
      <w:pPr>
        <w:pStyle w:val="Bullet1"/>
      </w:pPr>
      <w:r>
        <w:t>provided greater flexibility for health services to allocate resources required for adverse event reporting</w:t>
      </w:r>
    </w:p>
    <w:p w14:paraId="6F1B03D6" w14:textId="203F5713" w:rsidR="009028F9" w:rsidRDefault="00770A07" w:rsidP="00770A07">
      <w:pPr>
        <w:pStyle w:val="Bullet1"/>
      </w:pPr>
      <w:r>
        <w:lastRenderedPageBreak/>
        <w:t>increased the potential quality of adverse event reports to the regulator</w:t>
      </w:r>
      <w:r w:rsidR="00E83E96">
        <w:rPr>
          <w:rStyle w:val="FootnoteReference"/>
        </w:rPr>
        <w:footnoteReference w:id="10"/>
      </w:r>
      <w:r>
        <w:t xml:space="preserve">, particularly information relating to specific medical devices that may otherwise be unavailable to individual </w:t>
      </w:r>
      <w:r w:rsidR="006C2AD4">
        <w:t>healthcare</w:t>
      </w:r>
      <w:r>
        <w:t xml:space="preserve"> professionals at the time of incident notification</w:t>
      </w:r>
      <w:r w:rsidR="00D45DCB">
        <w:t xml:space="preserve"> </w:t>
      </w:r>
      <w:r w:rsidR="000577E3">
        <w:t xml:space="preserve">that </w:t>
      </w:r>
      <w:r w:rsidR="00BE2963">
        <w:t>enabled more</w:t>
      </w:r>
      <w:r>
        <w:t xml:space="preserve"> reliabl</w:t>
      </w:r>
      <w:r w:rsidR="00BE2963">
        <w:t>e</w:t>
      </w:r>
      <w:r>
        <w:t xml:space="preserve"> monitor</w:t>
      </w:r>
      <w:r w:rsidR="00697812">
        <w:t>ing</w:t>
      </w:r>
      <w:r>
        <w:t xml:space="preserve"> and enforce</w:t>
      </w:r>
      <w:r w:rsidR="00BE2963">
        <w:t>ment</w:t>
      </w:r>
      <w:r>
        <w:t xml:space="preserve"> by regulators</w:t>
      </w:r>
      <w:r w:rsidR="00DA1F3B">
        <w:t>, and</w:t>
      </w:r>
    </w:p>
    <w:p w14:paraId="6339300F" w14:textId="481CBC3C" w:rsidR="00770A07" w:rsidRDefault="00BE2963" w:rsidP="00770A07">
      <w:pPr>
        <w:pStyle w:val="Bullet1"/>
      </w:pPr>
      <w:r>
        <w:t xml:space="preserve">was </w:t>
      </w:r>
      <w:r w:rsidR="00770A07">
        <w:t xml:space="preserve">more consistent with </w:t>
      </w:r>
      <w:r>
        <w:t>the r</w:t>
      </w:r>
      <w:r w:rsidR="00770A07">
        <w:t>esponsibilities of device manufacturers for the reporting of adverse events.</w:t>
      </w:r>
    </w:p>
    <w:p w14:paraId="7C6AEC6D" w14:textId="33A2844B" w:rsidR="006D6047" w:rsidRDefault="00B9755B" w:rsidP="006D6047">
      <w:r>
        <w:t>T</w:t>
      </w:r>
      <w:r w:rsidR="006D6047" w:rsidRPr="00125E37">
        <w:t xml:space="preserve">he Government </w:t>
      </w:r>
      <w:r w:rsidR="006D6047">
        <w:t>directed</w:t>
      </w:r>
      <w:r w:rsidR="006D6047" w:rsidRPr="00125E37">
        <w:t xml:space="preserve"> the TGA undertake </w:t>
      </w:r>
      <w:r w:rsidR="00965338">
        <w:t xml:space="preserve">further </w:t>
      </w:r>
      <w:r w:rsidR="006D6047" w:rsidRPr="00125E37">
        <w:t>consultation in relation to mandatory reporting by healthcare facilities</w:t>
      </w:r>
      <w:r w:rsidR="00217F61">
        <w:t xml:space="preserve"> rather than directly by medical practitioners</w:t>
      </w:r>
      <w:r w:rsidR="006D6047" w:rsidRPr="00125E37">
        <w:t>.</w:t>
      </w:r>
      <w:r w:rsidR="006D6047">
        <w:rPr>
          <w:rStyle w:val="FootnoteReference"/>
        </w:rPr>
        <w:footnoteReference w:id="11"/>
      </w:r>
    </w:p>
    <w:p w14:paraId="5943644B" w14:textId="1CEEB6E0" w:rsidR="000067BD" w:rsidRDefault="00B9755B" w:rsidP="006D6047">
      <w:r>
        <w:t>In 2019 the</w:t>
      </w:r>
      <w:r w:rsidR="006D6047">
        <w:t xml:space="preserve"> Australian Government endorsed </w:t>
      </w:r>
      <w:r w:rsidR="006D6047" w:rsidRPr="0079175B">
        <w:rPr>
          <w:i/>
        </w:rPr>
        <w:t>An Action Plan for Medical Devices: Improving Australia’s medical device regulatory framework</w:t>
      </w:r>
      <w:r w:rsidR="006D6047">
        <w:t>.</w:t>
      </w:r>
      <w:r w:rsidR="006D6047">
        <w:rPr>
          <w:rStyle w:val="FootnoteReference"/>
        </w:rPr>
        <w:footnoteReference w:id="12"/>
      </w:r>
      <w:r w:rsidR="00A94EFF">
        <w:t xml:space="preserve"> </w:t>
      </w:r>
      <w:r w:rsidR="006D6047">
        <w:t xml:space="preserve">The plan noted that many incidents involving medical devices adverse events are not currently reported by private or public hospitals or by individual healthcare professionals. The plan also noted that recent incidents involving medical devices (such as transvaginal mesh) have highlighted the need to access more complete data on adverse events and </w:t>
      </w:r>
      <w:r w:rsidR="005979A4">
        <w:t xml:space="preserve">to </w:t>
      </w:r>
      <w:r w:rsidR="006D6047">
        <w:t xml:space="preserve">rapidly share information about emerging safety issues to </w:t>
      </w:r>
      <w:r w:rsidR="00880C24">
        <w:t>address threats more promptly</w:t>
      </w:r>
      <w:r w:rsidR="006D6047">
        <w:t xml:space="preserve"> to patient safety and to take quicker action. The plan committed the TGA to consult publicly on whether it should be mandatory for healthcare facilities to report adverse events for medical devices to the TGA.</w:t>
      </w:r>
      <w:r w:rsidR="006D6047">
        <w:rPr>
          <w:rStyle w:val="FootnoteReference"/>
        </w:rPr>
        <w:footnoteReference w:id="13"/>
      </w:r>
      <w:r w:rsidR="00C84CB3">
        <w:t xml:space="preserve"> </w:t>
      </w:r>
      <w:r w:rsidR="00AE2B80">
        <w:t>The</w:t>
      </w:r>
      <w:r w:rsidR="00C84CB3" w:rsidRPr="00C84CB3">
        <w:t xml:space="preserve"> TGA</w:t>
      </w:r>
      <w:r w:rsidR="00AE2B80">
        <w:t xml:space="preserve"> was also requested by Gover</w:t>
      </w:r>
      <w:r w:rsidR="00261BCE">
        <w:t>nment</w:t>
      </w:r>
      <w:r w:rsidR="00C84CB3" w:rsidRPr="00C84CB3">
        <w:t xml:space="preserve"> to progress development of an implementation strategy in collaboration with the </w:t>
      </w:r>
      <w:r w:rsidR="00E42B0D">
        <w:t xml:space="preserve">Commission </w:t>
      </w:r>
      <w:r w:rsidR="00C84CB3" w:rsidRPr="00C84CB3">
        <w:t>and other stakeholders to leverage existing adverse event reporting and healthcare facility accreditation frameworks</w:t>
      </w:r>
      <w:r w:rsidR="00A469BF">
        <w:t xml:space="preserve">. </w:t>
      </w:r>
    </w:p>
    <w:p w14:paraId="02D1C089" w14:textId="49BD04DA" w:rsidR="006D6047" w:rsidRDefault="000067BD" w:rsidP="006D6047">
      <w:r>
        <w:t>A</w:t>
      </w:r>
      <w:r w:rsidR="006D6047">
        <w:t xml:space="preserve"> public discussion paper, </w:t>
      </w:r>
      <w:r w:rsidR="006D6047" w:rsidRPr="0079175B">
        <w:rPr>
          <w:i/>
        </w:rPr>
        <w:t>Potential for Mandatory Reporting of Medical Device Adverse Events by Healthcare Facilities in Australia</w:t>
      </w:r>
      <w:r w:rsidR="00217E10">
        <w:t>,</w:t>
      </w:r>
      <w:r w:rsidR="006D6047">
        <w:t xml:space="preserve"> was released for feedback in October 2021. </w:t>
      </w:r>
      <w:r w:rsidR="006D6047" w:rsidRPr="00285C8F">
        <w:t xml:space="preserve">Almost three quarters of respondents were in favour of introducing mandatory reporting of medical device adverse events by healthcare facilities in Australia. Some respondents felt </w:t>
      </w:r>
      <w:r w:rsidR="006D6047">
        <w:t>such</w:t>
      </w:r>
      <w:r w:rsidR="006D6047" w:rsidRPr="00285C8F">
        <w:t xml:space="preserve"> reporting </w:t>
      </w:r>
      <w:r w:rsidR="006D6047">
        <w:t>was</w:t>
      </w:r>
      <w:r w:rsidR="006D6047" w:rsidRPr="00285C8F">
        <w:t xml:space="preserve"> long overdue and that without it, the current underreporting</w:t>
      </w:r>
      <w:r w:rsidR="006D6047">
        <w:t xml:space="preserve"> complicated </w:t>
      </w:r>
      <w:r w:rsidR="006D6047" w:rsidRPr="00285C8F">
        <w:t>the early identification of emerging safety and performance issues</w:t>
      </w:r>
      <w:r w:rsidR="000C439F">
        <w:t xml:space="preserve"> with medical devices</w:t>
      </w:r>
      <w:r w:rsidR="006D6047">
        <w:t>.</w:t>
      </w:r>
      <w:r w:rsidR="006D6047">
        <w:rPr>
          <w:rStyle w:val="FootnoteReference"/>
        </w:rPr>
        <w:footnoteReference w:id="14"/>
      </w:r>
    </w:p>
    <w:p w14:paraId="43D3F793" w14:textId="7A2F8B31" w:rsidR="006D6047" w:rsidRDefault="006D6047" w:rsidP="006D6047">
      <w:r>
        <w:t xml:space="preserve">Stakeholder feedback was considered together with other data and government priorities, which resulted in the drafting of legislation, the </w:t>
      </w:r>
      <w:r w:rsidRPr="000C439F">
        <w:rPr>
          <w:i/>
          <w:iCs/>
        </w:rPr>
        <w:t>Therapeutic Goods Amendment (2022 Measures No.1) Bill 2022</w:t>
      </w:r>
      <w:r>
        <w:t>, to support mandatory reporting of medical device adverse events by Australian public hospitals, private hospitals, and any other healthcare facilities (as prescribed by regulations). The Bill was signed into law on 21 March 2023.</w:t>
      </w:r>
    </w:p>
    <w:p w14:paraId="70D0BA1D" w14:textId="77777777" w:rsidR="00211FC1" w:rsidRDefault="00211FC1">
      <w:pPr>
        <w:rPr>
          <w:rFonts w:eastAsia="Times New Roman" w:cs="Times New Roman"/>
          <w:b/>
          <w:bCs/>
          <w:color w:val="001871"/>
          <w:sz w:val="32"/>
          <w:szCs w:val="32"/>
        </w:rPr>
      </w:pPr>
      <w:r>
        <w:br w:type="page"/>
      </w:r>
    </w:p>
    <w:p w14:paraId="17F99600" w14:textId="3005FD3C" w:rsidR="00615E2F" w:rsidRPr="00615E2F" w:rsidRDefault="0027607F" w:rsidP="00615E2F">
      <w:pPr>
        <w:pStyle w:val="Heading3"/>
      </w:pPr>
      <w:bookmarkStart w:id="33" w:name="_Toc179531297"/>
      <w:bookmarkStart w:id="34" w:name="_Toc188012844"/>
      <w:r>
        <w:lastRenderedPageBreak/>
        <w:t>What is a medical device?</w:t>
      </w:r>
      <w:bookmarkEnd w:id="33"/>
      <w:bookmarkEnd w:id="34"/>
    </w:p>
    <w:p w14:paraId="6595E94B" w14:textId="40453781" w:rsidR="00C8451E" w:rsidRDefault="00615E2F" w:rsidP="00A84F7A">
      <w:r>
        <w:t>Medical devices are defined in Section</w:t>
      </w:r>
      <w:r w:rsidR="0027446F" w:rsidRPr="0027446F">
        <w:t xml:space="preserve"> 41BD of </w:t>
      </w:r>
      <w:r w:rsidR="00474C31" w:rsidRPr="0027446F">
        <w:t xml:space="preserve">the </w:t>
      </w:r>
      <w:r w:rsidR="00474C31">
        <w:t>Therapeutic</w:t>
      </w:r>
      <w:r w:rsidR="007F5D11" w:rsidRPr="007F5D11">
        <w:rPr>
          <w:i/>
          <w:iCs/>
        </w:rPr>
        <w:t xml:space="preserve"> Goods </w:t>
      </w:r>
      <w:r w:rsidR="0027446F" w:rsidRPr="007F5D11">
        <w:rPr>
          <w:i/>
          <w:iCs/>
        </w:rPr>
        <w:t>Act</w:t>
      </w:r>
      <w:r w:rsidR="007F5D11" w:rsidRPr="007F5D11">
        <w:rPr>
          <w:i/>
          <w:iCs/>
        </w:rPr>
        <w:t xml:space="preserve"> 1989</w:t>
      </w:r>
      <w:r w:rsidR="00532D6C">
        <w:t xml:space="preserve">. </w:t>
      </w:r>
      <w:r w:rsidR="00C21781">
        <w:t>Medical</w:t>
      </w:r>
      <w:r w:rsidR="00532D6C" w:rsidRPr="00532D6C">
        <w:t xml:space="preserve"> devices include a wide range of products, such as medical gloves, bandages, syringes, blood pressure monitors, x-ray </w:t>
      </w:r>
      <w:r w:rsidR="00BF528A" w:rsidRPr="00532D6C">
        <w:t>equipment</w:t>
      </w:r>
      <w:r w:rsidR="00F855D5">
        <w:t xml:space="preserve">, </w:t>
      </w:r>
      <w:r w:rsidR="00A37950">
        <w:t>joint</w:t>
      </w:r>
      <w:r w:rsidR="00D209D5">
        <w:t xml:space="preserve"> </w:t>
      </w:r>
      <w:r w:rsidR="004E1B84" w:rsidRPr="004E1B84">
        <w:t>replacement devices</w:t>
      </w:r>
      <w:r w:rsidR="00A37950">
        <w:t>,</w:t>
      </w:r>
      <w:r w:rsidR="004E1B84">
        <w:t xml:space="preserve"> </w:t>
      </w:r>
      <w:r w:rsidR="006B6668">
        <w:t>pacemakers</w:t>
      </w:r>
      <w:r w:rsidR="004E1B84">
        <w:t xml:space="preserve"> and breast implants</w:t>
      </w:r>
      <w:r w:rsidR="00BF528A" w:rsidRPr="00532D6C">
        <w:t>.</w:t>
      </w:r>
      <w:r w:rsidR="00532D6C" w:rsidRPr="00532D6C">
        <w:t xml:space="preserve"> They differ from medicines as they generally have a physical or mechanical effect on the body or are used to measure (or monitor) the body and its functions.</w:t>
      </w:r>
      <w:r w:rsidR="00EA23DE">
        <w:t xml:space="preserve"> Medical devices </w:t>
      </w:r>
      <w:r w:rsidR="006967A9">
        <w:t>are classified depending on the level of risk they pose (as detailed in the table below).</w:t>
      </w:r>
    </w:p>
    <w:p w14:paraId="2490D331" w14:textId="373719DB" w:rsidR="006967A9" w:rsidRDefault="006967A9" w:rsidP="0079175B">
      <w:pPr>
        <w:pStyle w:val="Caption"/>
      </w:pPr>
      <w:r>
        <w:t xml:space="preserve">Table </w:t>
      </w:r>
      <w:r>
        <w:fldChar w:fldCharType="begin"/>
      </w:r>
      <w:r>
        <w:instrText>SEQ Table \* ARABIC</w:instrText>
      </w:r>
      <w:r>
        <w:fldChar w:fldCharType="separate"/>
      </w:r>
      <w:r w:rsidR="00CA03EA">
        <w:rPr>
          <w:noProof/>
        </w:rPr>
        <w:t>1</w:t>
      </w:r>
      <w:r>
        <w:fldChar w:fldCharType="end"/>
      </w:r>
      <w:r>
        <w:t>. Medical device c</w:t>
      </w:r>
      <w:r w:rsidR="0032589A">
        <w:t>las</w:t>
      </w:r>
      <w:r w:rsidR="009E3958">
        <w:t>sification</w:t>
      </w:r>
      <w:r w:rsidR="006664B6">
        <w:rPr>
          <w:rStyle w:val="FootnoteReference"/>
        </w:rPr>
        <w:footnoteReference w:id="15"/>
      </w:r>
    </w:p>
    <w:tbl>
      <w:tblPr>
        <w:tblStyle w:val="TableTGAblue2023"/>
        <w:tblW w:w="0" w:type="auto"/>
        <w:tblLook w:val="04A0" w:firstRow="1" w:lastRow="0" w:firstColumn="1" w:lastColumn="0" w:noHBand="0" w:noVBand="1"/>
      </w:tblPr>
      <w:tblGrid>
        <w:gridCol w:w="1814"/>
        <w:gridCol w:w="2697"/>
        <w:gridCol w:w="1195"/>
        <w:gridCol w:w="2086"/>
        <w:gridCol w:w="1229"/>
      </w:tblGrid>
      <w:tr w:rsidR="00116AC0" w:rsidRPr="004256A7" w14:paraId="2F9D0B28" w14:textId="77777777" w:rsidTr="00377EF8">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shd w:val="clear" w:color="auto" w:fill="0E2841" w:themeFill="text2"/>
            <w:hideMark/>
          </w:tcPr>
          <w:p w14:paraId="5C6683D8" w14:textId="77777777" w:rsidR="00116AC0" w:rsidRPr="00C92F12" w:rsidRDefault="00116AC0" w:rsidP="001615EC">
            <w:pPr>
              <w:spacing w:after="0" w:line="240" w:lineRule="auto"/>
              <w:ind w:left="0"/>
              <w:rPr>
                <w:rFonts w:eastAsia="Times New Roman" w:cs="Arial"/>
                <w:color w:val="FFFFFF" w:themeColor="background1"/>
                <w:sz w:val="18"/>
                <w:szCs w:val="18"/>
              </w:rPr>
            </w:pPr>
            <w:r w:rsidRPr="00C92F12">
              <w:rPr>
                <w:rFonts w:eastAsia="Times New Roman" w:cs="Arial"/>
                <w:color w:val="FFFFFF" w:themeColor="background1"/>
                <w:sz w:val="18"/>
                <w:szCs w:val="18"/>
              </w:rPr>
              <w:t>Classification(s)</w:t>
            </w:r>
          </w:p>
        </w:tc>
        <w:tc>
          <w:tcPr>
            <w:tcW w:w="2697" w:type="dxa"/>
            <w:shd w:val="clear" w:color="auto" w:fill="0E2841" w:themeFill="text2"/>
          </w:tcPr>
          <w:p w14:paraId="63DCE5A2" w14:textId="77777777" w:rsidR="00116AC0" w:rsidRPr="00C92F12" w:rsidRDefault="00116AC0"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sidRPr="00C92F12">
              <w:rPr>
                <w:rFonts w:eastAsia="Times New Roman" w:cs="Arial"/>
                <w:color w:val="FFFFFF" w:themeColor="background1"/>
                <w:sz w:val="18"/>
                <w:szCs w:val="18"/>
              </w:rPr>
              <w:t xml:space="preserve">Definition </w:t>
            </w:r>
          </w:p>
        </w:tc>
        <w:tc>
          <w:tcPr>
            <w:tcW w:w="1195" w:type="dxa"/>
            <w:shd w:val="clear" w:color="auto" w:fill="0E2841" w:themeFill="text2"/>
          </w:tcPr>
          <w:p w14:paraId="2C6274D5" w14:textId="77777777" w:rsidR="00116AC0" w:rsidRPr="00C92F12" w:rsidRDefault="00116AC0"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sidRPr="00C92F12">
              <w:rPr>
                <w:rFonts w:eastAsia="Times New Roman" w:cs="Arial"/>
                <w:color w:val="FFFFFF" w:themeColor="background1"/>
                <w:sz w:val="18"/>
                <w:szCs w:val="18"/>
              </w:rPr>
              <w:t>Risk</w:t>
            </w:r>
          </w:p>
        </w:tc>
        <w:tc>
          <w:tcPr>
            <w:tcW w:w="2086" w:type="dxa"/>
            <w:tcBorders>
              <w:right w:val="single" w:sz="4" w:space="0" w:color="auto"/>
            </w:tcBorders>
            <w:shd w:val="clear" w:color="auto" w:fill="0E2841" w:themeFill="text2"/>
            <w:hideMark/>
          </w:tcPr>
          <w:p w14:paraId="5828E851" w14:textId="77777777" w:rsidR="00116AC0" w:rsidRPr="00C92F12" w:rsidRDefault="00116AC0"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sidRPr="00C92F12">
              <w:rPr>
                <w:rFonts w:eastAsia="Times New Roman" w:cs="Arial"/>
                <w:color w:val="FFFFFF" w:themeColor="background1"/>
                <w:sz w:val="18"/>
                <w:szCs w:val="18"/>
              </w:rPr>
              <w:t>Examples</w:t>
            </w:r>
          </w:p>
        </w:tc>
        <w:tc>
          <w:tcPr>
            <w:tcW w:w="1229" w:type="dxa"/>
            <w:tcBorders>
              <w:top w:val="nil"/>
              <w:left w:val="single" w:sz="4" w:space="0" w:color="auto"/>
              <w:bottom w:val="nil"/>
              <w:right w:val="nil"/>
            </w:tcBorders>
            <w:shd w:val="clear" w:color="auto" w:fill="auto"/>
          </w:tcPr>
          <w:p w14:paraId="34655C92" w14:textId="77777777" w:rsidR="00116AC0" w:rsidRPr="00C92F12" w:rsidRDefault="00116AC0"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i/>
                <w:iCs/>
                <w:color w:val="FFFFFF" w:themeColor="background1"/>
                <w:sz w:val="18"/>
                <w:szCs w:val="18"/>
              </w:rPr>
            </w:pPr>
            <w:r w:rsidRPr="00C92F12">
              <w:rPr>
                <w:rFonts w:eastAsia="Times New Roman" w:cs="Arial"/>
                <w:i/>
                <w:iCs/>
                <w:color w:val="FFFFFF" w:themeColor="background1"/>
                <w:sz w:val="18"/>
                <w:szCs w:val="18"/>
              </w:rPr>
              <w:t>Options</w:t>
            </w:r>
          </w:p>
        </w:tc>
      </w:tr>
      <w:tr w:rsidR="00116AC0" w:rsidRPr="004256A7" w14:paraId="05A2EEBC" w14:textId="77777777" w:rsidTr="00377EF8">
        <w:trPr>
          <w:trHeight w:val="552"/>
        </w:trPr>
        <w:tc>
          <w:tcPr>
            <w:cnfStyle w:val="001000000000" w:firstRow="0" w:lastRow="0" w:firstColumn="1" w:lastColumn="0" w:oddVBand="0" w:evenVBand="0" w:oddHBand="0" w:evenHBand="0" w:firstRowFirstColumn="0" w:firstRowLastColumn="0" w:lastRowFirstColumn="0" w:lastRowLastColumn="0"/>
            <w:tcW w:w="0" w:type="auto"/>
            <w:shd w:val="clear" w:color="auto" w:fill="D9F2D0" w:themeFill="accent6" w:themeFillTint="33"/>
            <w:hideMark/>
          </w:tcPr>
          <w:p w14:paraId="36C1C743" w14:textId="77777777" w:rsidR="00116AC0" w:rsidRPr="0079175B" w:rsidRDefault="00116AC0" w:rsidP="001615EC">
            <w:pPr>
              <w:spacing w:after="0" w:line="240" w:lineRule="auto"/>
              <w:ind w:left="0"/>
              <w:rPr>
                <w:rFonts w:eastAsia="Times New Roman" w:cs="Arial"/>
                <w:i/>
                <w:iCs/>
                <w:color w:val="313131"/>
                <w:szCs w:val="18"/>
              </w:rPr>
            </w:pPr>
            <w:r w:rsidRPr="0079175B">
              <w:rPr>
                <w:rFonts w:eastAsia="Times New Roman" w:cs="Arial"/>
                <w:i/>
                <w:iCs/>
                <w:color w:val="313131"/>
                <w:szCs w:val="18"/>
              </w:rPr>
              <w:t>Class I</w:t>
            </w:r>
          </w:p>
        </w:tc>
        <w:tc>
          <w:tcPr>
            <w:tcW w:w="2697" w:type="dxa"/>
            <w:shd w:val="clear" w:color="auto" w:fill="D9F2D0" w:themeFill="accent6" w:themeFillTint="33"/>
          </w:tcPr>
          <w:p w14:paraId="430624FD" w14:textId="77777777" w:rsidR="00116AC0"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t xml:space="preserve">Intended use for basic medical functions. </w:t>
            </w:r>
          </w:p>
          <w:p w14:paraId="5DC5DAF8" w14:textId="77777777" w:rsidR="00116AC0" w:rsidRPr="004256A7"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t xml:space="preserve">Not intended for use in </w:t>
            </w:r>
            <w:r w:rsidRPr="00551D54">
              <w:t xml:space="preserve">supporting or sustaining human life </w:t>
            </w:r>
            <w:r>
              <w:t xml:space="preserve">or </w:t>
            </w:r>
            <w:r w:rsidRPr="00551D54">
              <w:t>diagnosis, cure, mitigation, treatment or prevention of disease.</w:t>
            </w:r>
          </w:p>
        </w:tc>
        <w:tc>
          <w:tcPr>
            <w:tcW w:w="1195" w:type="dxa"/>
            <w:shd w:val="clear" w:color="auto" w:fill="D9F2D0" w:themeFill="accent6" w:themeFillTint="33"/>
          </w:tcPr>
          <w:p w14:paraId="0A6E4CDD" w14:textId="77777777" w:rsidR="00116AC0"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 xml:space="preserve">Low </w:t>
            </w:r>
          </w:p>
        </w:tc>
        <w:tc>
          <w:tcPr>
            <w:tcW w:w="2086" w:type="dxa"/>
            <w:tcBorders>
              <w:right w:val="single" w:sz="4" w:space="0" w:color="auto"/>
            </w:tcBorders>
            <w:shd w:val="clear" w:color="auto" w:fill="D9F2D0" w:themeFill="accent6" w:themeFillTint="33"/>
            <w:hideMark/>
          </w:tcPr>
          <w:p w14:paraId="44877BEC" w14:textId="77777777" w:rsidR="00116AC0" w:rsidRPr="004256A7"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Surgical retractors</w:t>
            </w:r>
          </w:p>
          <w:p w14:paraId="1CA9EB12" w14:textId="77777777" w:rsidR="00116AC0" w:rsidRPr="00F3019C"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Tongue depressors</w:t>
            </w:r>
          </w:p>
        </w:tc>
        <w:tc>
          <w:tcPr>
            <w:tcW w:w="1229" w:type="dxa"/>
            <w:tcBorders>
              <w:top w:val="nil"/>
              <w:left w:val="single" w:sz="4" w:space="0" w:color="auto"/>
              <w:bottom w:val="nil"/>
              <w:right w:val="nil"/>
            </w:tcBorders>
            <w:shd w:val="clear" w:color="auto" w:fill="auto"/>
          </w:tcPr>
          <w:p w14:paraId="3DABDF51" w14:textId="77777777" w:rsidR="00116AC0" w:rsidRPr="00C92F12"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rPr>
            </w:pPr>
          </w:p>
        </w:tc>
      </w:tr>
      <w:tr w:rsidR="00116AC0" w:rsidRPr="004256A7" w14:paraId="108142A7" w14:textId="77777777" w:rsidTr="00377EF8">
        <w:trPr>
          <w:trHeight w:val="292"/>
        </w:trPr>
        <w:tc>
          <w:tcPr>
            <w:cnfStyle w:val="001000000000" w:firstRow="0" w:lastRow="0" w:firstColumn="1" w:lastColumn="0" w:oddVBand="0" w:evenVBand="0" w:oddHBand="0" w:evenHBand="0" w:firstRowFirstColumn="0" w:firstRowLastColumn="0" w:lastRowFirstColumn="0" w:lastRowLastColumn="0"/>
            <w:tcW w:w="0" w:type="auto"/>
            <w:shd w:val="clear" w:color="auto" w:fill="D9F2D0" w:themeFill="accent6" w:themeFillTint="33"/>
            <w:hideMark/>
          </w:tcPr>
          <w:p w14:paraId="56AD60A3" w14:textId="77777777" w:rsidR="00116AC0" w:rsidRPr="0079175B" w:rsidRDefault="00116AC0" w:rsidP="001615EC">
            <w:pPr>
              <w:spacing w:after="0" w:line="240" w:lineRule="auto"/>
              <w:ind w:left="0"/>
              <w:rPr>
                <w:rFonts w:eastAsia="Times New Roman" w:cs="Arial"/>
                <w:i/>
                <w:iCs/>
                <w:color w:val="313131"/>
                <w:szCs w:val="18"/>
              </w:rPr>
            </w:pPr>
            <w:r w:rsidRPr="0079175B">
              <w:rPr>
                <w:rFonts w:eastAsia="Times New Roman" w:cs="Arial"/>
                <w:i/>
                <w:iCs/>
                <w:color w:val="313131"/>
                <w:szCs w:val="18"/>
              </w:rPr>
              <w:t>Class I - supplied sterile</w:t>
            </w:r>
          </w:p>
          <w:p w14:paraId="54612BD9" w14:textId="77777777" w:rsidR="00116AC0" w:rsidRPr="0079175B" w:rsidRDefault="00116AC0" w:rsidP="001615EC">
            <w:pPr>
              <w:spacing w:after="0" w:line="240" w:lineRule="auto"/>
              <w:rPr>
                <w:rFonts w:eastAsia="Times New Roman" w:cs="Arial"/>
                <w:i/>
                <w:iCs/>
                <w:color w:val="313131"/>
                <w:szCs w:val="18"/>
              </w:rPr>
            </w:pPr>
          </w:p>
        </w:tc>
        <w:tc>
          <w:tcPr>
            <w:tcW w:w="2697" w:type="dxa"/>
            <w:shd w:val="clear" w:color="auto" w:fill="D9F2D0" w:themeFill="accent6" w:themeFillTint="33"/>
          </w:tcPr>
          <w:p w14:paraId="2EDC0D7B" w14:textId="77777777" w:rsidR="00116AC0"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Sterile on the point of sale</w:t>
            </w:r>
            <w:r>
              <w:t>.</w:t>
            </w:r>
            <w:r w:rsidRPr="00551D54">
              <w:t xml:space="preserve"> </w:t>
            </w:r>
          </w:p>
          <w:p w14:paraId="4AFE05DE" w14:textId="77777777" w:rsidR="00116AC0" w:rsidRPr="00551D54"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Intended for single use only</w:t>
            </w:r>
            <w:r>
              <w:t>.</w:t>
            </w:r>
          </w:p>
        </w:tc>
        <w:tc>
          <w:tcPr>
            <w:tcW w:w="1195" w:type="dxa"/>
            <w:shd w:val="clear" w:color="auto" w:fill="D9F2D0" w:themeFill="accent6" w:themeFillTint="33"/>
          </w:tcPr>
          <w:p w14:paraId="0E33FBDB" w14:textId="77777777" w:rsidR="00116AC0"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 xml:space="preserve">Low to Medium </w:t>
            </w:r>
          </w:p>
        </w:tc>
        <w:tc>
          <w:tcPr>
            <w:tcW w:w="2086" w:type="dxa"/>
            <w:tcBorders>
              <w:right w:val="single" w:sz="4" w:space="0" w:color="auto"/>
            </w:tcBorders>
            <w:shd w:val="clear" w:color="auto" w:fill="D9F2D0" w:themeFill="accent6" w:themeFillTint="33"/>
            <w:hideMark/>
          </w:tcPr>
          <w:p w14:paraId="7B51AABD" w14:textId="77777777" w:rsidR="00116AC0" w:rsidRPr="004256A7"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Sterile surgical glove</w:t>
            </w:r>
            <w:r>
              <w:t>s</w:t>
            </w:r>
          </w:p>
        </w:tc>
        <w:tc>
          <w:tcPr>
            <w:tcW w:w="1229" w:type="dxa"/>
            <w:tcBorders>
              <w:top w:val="nil"/>
              <w:left w:val="single" w:sz="4" w:space="0" w:color="auto"/>
              <w:bottom w:val="nil"/>
              <w:right w:val="nil"/>
            </w:tcBorders>
            <w:shd w:val="clear" w:color="auto" w:fill="auto"/>
          </w:tcPr>
          <w:p w14:paraId="07101EFB" w14:textId="77777777" w:rsidR="00116AC0" w:rsidRPr="00C92F12"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rPr>
            </w:pPr>
          </w:p>
        </w:tc>
      </w:tr>
      <w:tr w:rsidR="00116AC0" w:rsidRPr="004256A7" w14:paraId="439FC776" w14:textId="77777777" w:rsidTr="00377EF8">
        <w:trPr>
          <w:trHeight w:val="464"/>
        </w:trPr>
        <w:tc>
          <w:tcPr>
            <w:cnfStyle w:val="001000000000" w:firstRow="0" w:lastRow="0" w:firstColumn="1" w:lastColumn="0" w:oddVBand="0" w:evenVBand="0" w:oddHBand="0" w:evenHBand="0" w:firstRowFirstColumn="0" w:firstRowLastColumn="0" w:lastRowFirstColumn="0" w:lastRowLastColumn="0"/>
            <w:tcW w:w="0" w:type="auto"/>
            <w:shd w:val="clear" w:color="auto" w:fill="D9F2D0" w:themeFill="accent6" w:themeFillTint="33"/>
          </w:tcPr>
          <w:p w14:paraId="49E6AE60" w14:textId="77777777" w:rsidR="00116AC0" w:rsidRPr="0079175B" w:rsidRDefault="00116AC0" w:rsidP="001615EC">
            <w:pPr>
              <w:spacing w:after="0" w:line="240" w:lineRule="auto"/>
              <w:ind w:left="0"/>
              <w:rPr>
                <w:rFonts w:eastAsia="Times New Roman" w:cs="Arial"/>
                <w:i/>
                <w:iCs/>
                <w:color w:val="313131"/>
                <w:szCs w:val="18"/>
              </w:rPr>
            </w:pPr>
            <w:r w:rsidRPr="0079175B">
              <w:rPr>
                <w:rFonts w:eastAsia="Times New Roman" w:cs="Arial"/>
                <w:i/>
                <w:iCs/>
                <w:color w:val="313131"/>
                <w:szCs w:val="18"/>
              </w:rPr>
              <w:t>Class I - with a measuring function</w:t>
            </w:r>
          </w:p>
        </w:tc>
        <w:tc>
          <w:tcPr>
            <w:tcW w:w="2697" w:type="dxa"/>
            <w:shd w:val="clear" w:color="auto" w:fill="D9F2D0" w:themeFill="accent6" w:themeFillTint="33"/>
          </w:tcPr>
          <w:p w14:paraId="31BC6B13" w14:textId="77777777" w:rsidR="00116AC0" w:rsidRPr="00551D54"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Intended for basic measuring activities</w:t>
            </w:r>
            <w:r>
              <w:t>.</w:t>
            </w:r>
          </w:p>
        </w:tc>
        <w:tc>
          <w:tcPr>
            <w:tcW w:w="1195" w:type="dxa"/>
            <w:shd w:val="clear" w:color="auto" w:fill="D9F2D0" w:themeFill="accent6" w:themeFillTint="33"/>
          </w:tcPr>
          <w:p w14:paraId="24647558" w14:textId="77777777" w:rsidR="00116AC0" w:rsidRPr="004256A7"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Low to Medium</w:t>
            </w:r>
          </w:p>
        </w:tc>
        <w:tc>
          <w:tcPr>
            <w:tcW w:w="2086" w:type="dxa"/>
            <w:tcBorders>
              <w:right w:val="single" w:sz="4" w:space="0" w:color="auto"/>
            </w:tcBorders>
            <w:shd w:val="clear" w:color="auto" w:fill="D9F2D0" w:themeFill="accent6" w:themeFillTint="33"/>
          </w:tcPr>
          <w:p w14:paraId="3CF688B6" w14:textId="77777777" w:rsidR="00116AC0" w:rsidRPr="00024EC9"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Medicine cup with specific units of measurement</w:t>
            </w:r>
          </w:p>
        </w:tc>
        <w:tc>
          <w:tcPr>
            <w:tcW w:w="1229" w:type="dxa"/>
            <w:tcBorders>
              <w:top w:val="nil"/>
              <w:left w:val="single" w:sz="4" w:space="0" w:color="auto"/>
              <w:bottom w:val="nil"/>
              <w:right w:val="nil"/>
            </w:tcBorders>
            <w:shd w:val="clear" w:color="auto" w:fill="auto"/>
          </w:tcPr>
          <w:p w14:paraId="58E77C7E" w14:textId="77777777" w:rsidR="00116AC0" w:rsidRPr="00C92F12"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rPr>
            </w:pPr>
          </w:p>
        </w:tc>
      </w:tr>
      <w:tr w:rsidR="00116AC0" w:rsidRPr="004256A7" w14:paraId="12045327" w14:textId="77777777" w:rsidTr="00377EF8">
        <w:trPr>
          <w:trHeight w:val="165"/>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tcPr>
          <w:p w14:paraId="63B3E3F7" w14:textId="77777777" w:rsidR="00116AC0" w:rsidRPr="0079175B" w:rsidRDefault="00116AC0" w:rsidP="001615EC">
            <w:pPr>
              <w:spacing w:after="0" w:line="240" w:lineRule="auto"/>
              <w:ind w:left="0"/>
              <w:rPr>
                <w:rFonts w:eastAsia="Times New Roman" w:cs="Arial"/>
                <w:i/>
                <w:iCs/>
                <w:color w:val="313131"/>
                <w:szCs w:val="18"/>
              </w:rPr>
            </w:pPr>
            <w:r w:rsidRPr="0079175B">
              <w:rPr>
                <w:rFonts w:eastAsia="Times New Roman" w:cs="Arial"/>
                <w:i/>
                <w:iCs/>
                <w:color w:val="313131"/>
                <w:szCs w:val="18"/>
              </w:rPr>
              <w:t>Class IIa</w:t>
            </w:r>
          </w:p>
        </w:tc>
        <w:tc>
          <w:tcPr>
            <w:tcW w:w="2697" w:type="dxa"/>
            <w:shd w:val="clear" w:color="auto" w:fill="CAEDFB" w:themeFill="accent4" w:themeFillTint="33"/>
          </w:tcPr>
          <w:p w14:paraId="073D5C5E" w14:textId="77777777" w:rsidR="00116AC0"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Intended to support or sustain human life</w:t>
            </w:r>
            <w:r>
              <w:t>.</w:t>
            </w:r>
            <w:r w:rsidRPr="00551D54">
              <w:t xml:space="preserve"> </w:t>
            </w:r>
          </w:p>
          <w:p w14:paraId="580D2943" w14:textId="77777777" w:rsidR="00116AC0" w:rsidRPr="00551D54"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Use</w:t>
            </w:r>
            <w:r>
              <w:t>d</w:t>
            </w:r>
            <w:r w:rsidRPr="00551D54">
              <w:t xml:space="preserve"> in diagnosis, cure, mitigation, treatment or prevention of a disease</w:t>
            </w:r>
            <w:r>
              <w:t>.</w:t>
            </w:r>
          </w:p>
        </w:tc>
        <w:tc>
          <w:tcPr>
            <w:tcW w:w="1195" w:type="dxa"/>
            <w:shd w:val="clear" w:color="auto" w:fill="CAEDFB" w:themeFill="accent4" w:themeFillTint="33"/>
          </w:tcPr>
          <w:p w14:paraId="0BF4C224" w14:textId="77777777" w:rsidR="00116AC0" w:rsidRPr="004256A7"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Low to Medium</w:t>
            </w:r>
          </w:p>
        </w:tc>
        <w:tc>
          <w:tcPr>
            <w:tcW w:w="2086" w:type="dxa"/>
            <w:tcBorders>
              <w:right w:val="single" w:sz="4" w:space="0" w:color="auto"/>
            </w:tcBorders>
            <w:shd w:val="clear" w:color="auto" w:fill="CAEDFB" w:themeFill="accent4" w:themeFillTint="33"/>
          </w:tcPr>
          <w:p w14:paraId="47C8878A" w14:textId="77777777" w:rsidR="00116AC0" w:rsidRPr="00F3019C"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 xml:space="preserve">Dental drills; ultrasound machines; </w:t>
            </w:r>
            <w:r>
              <w:t>hearing aids</w:t>
            </w:r>
          </w:p>
        </w:tc>
        <w:tc>
          <w:tcPr>
            <w:tcW w:w="1229" w:type="dxa"/>
            <w:vMerge w:val="restart"/>
            <w:tcBorders>
              <w:top w:val="nil"/>
              <w:left w:val="single" w:sz="4" w:space="0" w:color="auto"/>
              <w:bottom w:val="nil"/>
              <w:right w:val="nil"/>
            </w:tcBorders>
            <w:shd w:val="clear" w:color="auto" w:fill="auto"/>
          </w:tcPr>
          <w:p w14:paraId="73049644"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0B769F" w:themeColor="accent4" w:themeShade="BF"/>
              </w:rPr>
            </w:pPr>
          </w:p>
          <w:p w14:paraId="1205A671"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0B769F" w:themeColor="accent4" w:themeShade="BF"/>
              </w:rPr>
            </w:pPr>
          </w:p>
          <w:p w14:paraId="7DCEFAB7"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0B769F" w:themeColor="accent4" w:themeShade="BF"/>
              </w:rPr>
            </w:pPr>
          </w:p>
          <w:p w14:paraId="08752B21" w14:textId="490D7A41" w:rsidR="00116AC0" w:rsidRPr="00C92F12"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rPr>
            </w:pPr>
            <w:r w:rsidRPr="00C92F12">
              <w:rPr>
                <w:i/>
                <w:iCs/>
                <w:color w:val="0B769F" w:themeColor="accent4" w:themeShade="BF"/>
              </w:rPr>
              <w:t>Included in Options 3A, 3B</w:t>
            </w:r>
            <w:r w:rsidR="00711CBA">
              <w:rPr>
                <w:i/>
                <w:iCs/>
                <w:color w:val="0B769F" w:themeColor="accent4" w:themeShade="BF"/>
              </w:rPr>
              <w:t xml:space="preserve">, </w:t>
            </w:r>
            <w:r w:rsidRPr="00C92F12">
              <w:rPr>
                <w:i/>
                <w:iCs/>
                <w:color w:val="0B769F" w:themeColor="accent4" w:themeShade="BF"/>
              </w:rPr>
              <w:t>4</w:t>
            </w:r>
            <w:r w:rsidR="00672D8E">
              <w:rPr>
                <w:i/>
                <w:iCs/>
                <w:color w:val="0B769F" w:themeColor="accent4" w:themeShade="BF"/>
              </w:rPr>
              <w:t>A</w:t>
            </w:r>
            <w:r w:rsidR="007D4AD5">
              <w:rPr>
                <w:i/>
                <w:iCs/>
                <w:color w:val="0B769F" w:themeColor="accent4" w:themeShade="BF"/>
              </w:rPr>
              <w:t xml:space="preserve"> and 4B</w:t>
            </w:r>
          </w:p>
        </w:tc>
      </w:tr>
      <w:tr w:rsidR="00116AC0" w:rsidRPr="004256A7" w14:paraId="407FF7F6" w14:textId="77777777" w:rsidTr="00377EF8">
        <w:trPr>
          <w:trHeight w:val="572"/>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hideMark/>
          </w:tcPr>
          <w:p w14:paraId="4AF6C18E" w14:textId="77777777" w:rsidR="00116AC0" w:rsidRPr="0079175B" w:rsidRDefault="00116AC0" w:rsidP="001615EC">
            <w:pPr>
              <w:spacing w:after="0" w:line="240" w:lineRule="auto"/>
              <w:ind w:left="0"/>
              <w:rPr>
                <w:rFonts w:eastAsia="Times New Roman" w:cs="Arial"/>
                <w:i/>
                <w:iCs/>
                <w:color w:val="313131"/>
                <w:szCs w:val="18"/>
              </w:rPr>
            </w:pPr>
            <w:r w:rsidRPr="0079175B">
              <w:rPr>
                <w:rFonts w:eastAsia="Times New Roman" w:cs="Arial"/>
                <w:i/>
                <w:iCs/>
                <w:color w:val="313131"/>
                <w:szCs w:val="18"/>
              </w:rPr>
              <w:t>Class IIb</w:t>
            </w:r>
          </w:p>
        </w:tc>
        <w:tc>
          <w:tcPr>
            <w:tcW w:w="2697" w:type="dxa"/>
            <w:shd w:val="clear" w:color="auto" w:fill="CAEDFB" w:themeFill="accent4" w:themeFillTint="33"/>
          </w:tcPr>
          <w:p w14:paraId="776C3BE0" w14:textId="77777777" w:rsidR="00116AC0"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Intended to support or sustain human life</w:t>
            </w:r>
            <w:r>
              <w:t>.</w:t>
            </w:r>
            <w:r w:rsidRPr="00551D54">
              <w:t xml:space="preserve"> </w:t>
            </w:r>
          </w:p>
          <w:p w14:paraId="0E41F1AC" w14:textId="77777777" w:rsidR="00116AC0" w:rsidRPr="00551D54"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Use</w:t>
            </w:r>
            <w:r>
              <w:t>d</w:t>
            </w:r>
            <w:r w:rsidRPr="00551D54">
              <w:t xml:space="preserve"> in diagnosis, cure, mitigation, treatment or prevention of a disease</w:t>
            </w:r>
            <w:r>
              <w:t>.</w:t>
            </w:r>
          </w:p>
        </w:tc>
        <w:tc>
          <w:tcPr>
            <w:tcW w:w="1195" w:type="dxa"/>
            <w:shd w:val="clear" w:color="auto" w:fill="CAEDFB" w:themeFill="accent4" w:themeFillTint="33"/>
          </w:tcPr>
          <w:p w14:paraId="12E0F92D" w14:textId="77777777" w:rsidR="00116AC0" w:rsidRPr="004256A7"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 xml:space="preserve">Medium to High </w:t>
            </w:r>
          </w:p>
        </w:tc>
        <w:tc>
          <w:tcPr>
            <w:tcW w:w="2086" w:type="dxa"/>
            <w:tcBorders>
              <w:right w:val="single" w:sz="4" w:space="0" w:color="auto"/>
            </w:tcBorders>
            <w:shd w:val="clear" w:color="auto" w:fill="CAEDFB" w:themeFill="accent4" w:themeFillTint="33"/>
            <w:hideMark/>
          </w:tcPr>
          <w:p w14:paraId="5BC3F4D5" w14:textId="77777777" w:rsidR="00116AC0" w:rsidRPr="004256A7"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Surgical lasers</w:t>
            </w:r>
          </w:p>
          <w:p w14:paraId="07948625" w14:textId="77777777" w:rsidR="00116AC0"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Diagnostic X-ray</w:t>
            </w:r>
          </w:p>
          <w:p w14:paraId="67EAE918" w14:textId="77777777" w:rsidR="00116AC0" w:rsidRPr="00F3019C"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Cardiac monitors</w:t>
            </w:r>
          </w:p>
        </w:tc>
        <w:tc>
          <w:tcPr>
            <w:tcW w:w="1229" w:type="dxa"/>
            <w:vMerge/>
            <w:tcBorders>
              <w:top w:val="nil"/>
              <w:left w:val="single" w:sz="4" w:space="0" w:color="auto"/>
              <w:bottom w:val="nil"/>
              <w:right w:val="nil"/>
            </w:tcBorders>
            <w:shd w:val="clear" w:color="auto" w:fill="auto"/>
          </w:tcPr>
          <w:p w14:paraId="39FD2BA4" w14:textId="77777777" w:rsidR="00116AC0" w:rsidRPr="00C92F12"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rPr>
            </w:pPr>
          </w:p>
        </w:tc>
      </w:tr>
      <w:tr w:rsidR="00116AC0" w:rsidRPr="004256A7" w14:paraId="625E45AE" w14:textId="77777777" w:rsidTr="00377EF8">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AE2D5" w:themeFill="accent2" w:themeFillTint="33"/>
            <w:hideMark/>
          </w:tcPr>
          <w:p w14:paraId="085879DA" w14:textId="77777777" w:rsidR="00116AC0" w:rsidRPr="0079175B" w:rsidRDefault="00116AC0" w:rsidP="001615EC">
            <w:pPr>
              <w:spacing w:after="0" w:line="240" w:lineRule="auto"/>
              <w:ind w:left="0"/>
              <w:rPr>
                <w:rFonts w:eastAsia="Times New Roman" w:cs="Arial"/>
                <w:i/>
                <w:iCs/>
                <w:color w:val="313131"/>
                <w:szCs w:val="18"/>
              </w:rPr>
            </w:pPr>
            <w:r w:rsidRPr="0079175B">
              <w:rPr>
                <w:rFonts w:eastAsia="Times New Roman" w:cs="Arial"/>
                <w:i/>
                <w:iCs/>
                <w:color w:val="313131"/>
                <w:szCs w:val="18"/>
              </w:rPr>
              <w:t>Class III</w:t>
            </w:r>
          </w:p>
        </w:tc>
        <w:tc>
          <w:tcPr>
            <w:tcW w:w="2697" w:type="dxa"/>
            <w:shd w:val="clear" w:color="auto" w:fill="FAE2D5" w:themeFill="accent2" w:themeFillTint="33"/>
          </w:tcPr>
          <w:p w14:paraId="45475FBC" w14:textId="77777777" w:rsidR="00116AC0" w:rsidRPr="00551D54"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Intended to support or sustain human life</w:t>
            </w:r>
            <w:r>
              <w:t>.</w:t>
            </w:r>
          </w:p>
          <w:p w14:paraId="5E308A55" w14:textId="77777777" w:rsidR="00116AC0" w:rsidRPr="00551D54"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rsidRPr="00551D54">
              <w:t>Use</w:t>
            </w:r>
            <w:r>
              <w:t>d</w:t>
            </w:r>
            <w:r w:rsidRPr="00551D54">
              <w:t xml:space="preserve"> in diagnosis, cure, mitigation, treatment or prevention of a disease</w:t>
            </w:r>
            <w:r>
              <w:t>.</w:t>
            </w:r>
          </w:p>
          <w:p w14:paraId="0737D352" w14:textId="77777777" w:rsidR="00116AC0" w:rsidRPr="00E91F53" w:rsidRDefault="00116AC0" w:rsidP="001615EC">
            <w:pPr>
              <w:pStyle w:val="Bullet1"/>
              <w:spacing w:before="0" w:after="60"/>
              <w:ind w:left="227" w:hanging="227"/>
              <w:cnfStyle w:val="000000000000" w:firstRow="0" w:lastRow="0" w:firstColumn="0" w:lastColumn="0" w:oddVBand="0" w:evenVBand="0" w:oddHBand="0" w:evenHBand="0" w:firstRowFirstColumn="0" w:firstRowLastColumn="0" w:lastRowFirstColumn="0" w:lastRowLastColumn="0"/>
            </w:pPr>
            <w:r>
              <w:t>Typically include implantable devices.</w:t>
            </w:r>
          </w:p>
        </w:tc>
        <w:tc>
          <w:tcPr>
            <w:tcW w:w="1195" w:type="dxa"/>
            <w:shd w:val="clear" w:color="auto" w:fill="FAE2D5" w:themeFill="accent2" w:themeFillTint="33"/>
          </w:tcPr>
          <w:p w14:paraId="03B2AE9C" w14:textId="77777777" w:rsidR="00116AC0" w:rsidRPr="004256A7"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 xml:space="preserve">High </w:t>
            </w:r>
          </w:p>
        </w:tc>
        <w:tc>
          <w:tcPr>
            <w:tcW w:w="2086" w:type="dxa"/>
            <w:tcBorders>
              <w:right w:val="single" w:sz="4" w:space="0" w:color="auto"/>
            </w:tcBorders>
            <w:shd w:val="clear" w:color="auto" w:fill="FAE2D5" w:themeFill="accent2" w:themeFillTint="33"/>
            <w:hideMark/>
          </w:tcPr>
          <w:p w14:paraId="78E14486" w14:textId="77777777" w:rsidR="00116AC0" w:rsidRPr="004256A7"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Prosthetic heart valves</w:t>
            </w:r>
          </w:p>
          <w:p w14:paraId="750ECF2C" w14:textId="77777777" w:rsidR="00116AC0" w:rsidRPr="004256A7"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Absorbable surgical sutures</w:t>
            </w:r>
          </w:p>
          <w:p w14:paraId="227ABF15" w14:textId="3A40EA6B" w:rsidR="00116AC0" w:rsidRPr="00375FDD" w:rsidRDefault="00116AC0" w:rsidP="00375FDD">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4256A7">
              <w:t>Hip prostheses (for example, replacement of hip joint)</w:t>
            </w:r>
          </w:p>
        </w:tc>
        <w:tc>
          <w:tcPr>
            <w:tcW w:w="1229" w:type="dxa"/>
            <w:vMerge w:val="restart"/>
            <w:tcBorders>
              <w:top w:val="nil"/>
              <w:left w:val="single" w:sz="4" w:space="0" w:color="auto"/>
              <w:bottom w:val="nil"/>
              <w:right w:val="nil"/>
            </w:tcBorders>
            <w:shd w:val="clear" w:color="auto" w:fill="auto"/>
          </w:tcPr>
          <w:p w14:paraId="5A0152CF"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C00000"/>
              </w:rPr>
            </w:pPr>
          </w:p>
          <w:p w14:paraId="7FD2A24B"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C00000"/>
              </w:rPr>
            </w:pPr>
          </w:p>
          <w:p w14:paraId="4EA901F2"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C00000"/>
              </w:rPr>
            </w:pPr>
          </w:p>
          <w:p w14:paraId="44BC6D91"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C00000"/>
              </w:rPr>
            </w:pPr>
          </w:p>
          <w:p w14:paraId="0BC4268D"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color w:val="C00000"/>
              </w:rPr>
            </w:pPr>
          </w:p>
          <w:p w14:paraId="7F079EA6" w14:textId="54A9BCDB" w:rsidR="00116AC0" w:rsidRPr="00C92F12" w:rsidRDefault="00377EF8"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rPr>
                <w:i/>
                <w:iCs/>
              </w:rPr>
            </w:pPr>
            <w:r w:rsidRPr="00377EF8">
              <w:rPr>
                <w:i/>
                <w:iCs/>
                <w:color w:val="C00000"/>
              </w:rPr>
              <w:lastRenderedPageBreak/>
              <w:t>Included in Options 2A, 2B, 3A, 3B</w:t>
            </w:r>
            <w:r w:rsidR="00711CBA">
              <w:rPr>
                <w:i/>
                <w:iCs/>
                <w:color w:val="C00000"/>
              </w:rPr>
              <w:t xml:space="preserve">, </w:t>
            </w:r>
            <w:r w:rsidRPr="00377EF8">
              <w:rPr>
                <w:i/>
                <w:iCs/>
                <w:color w:val="C00000"/>
              </w:rPr>
              <w:t>4</w:t>
            </w:r>
            <w:r w:rsidR="007D4AD5">
              <w:rPr>
                <w:i/>
                <w:iCs/>
                <w:color w:val="C00000"/>
              </w:rPr>
              <w:t>A and 4B</w:t>
            </w:r>
          </w:p>
        </w:tc>
      </w:tr>
      <w:tr w:rsidR="00116AC0" w:rsidRPr="004256A7" w14:paraId="0C0CAC27" w14:textId="77777777" w:rsidTr="00377EF8">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AE2D5" w:themeFill="accent2" w:themeFillTint="33"/>
          </w:tcPr>
          <w:p w14:paraId="55A41C52" w14:textId="77777777" w:rsidR="00116AC0" w:rsidRPr="0079175B" w:rsidRDefault="00116AC0" w:rsidP="001615EC">
            <w:pPr>
              <w:spacing w:after="0" w:line="240" w:lineRule="auto"/>
              <w:ind w:left="0"/>
              <w:rPr>
                <w:rFonts w:eastAsia="Times New Roman" w:cs="Arial"/>
                <w:i/>
                <w:iCs/>
                <w:color w:val="313131"/>
                <w:szCs w:val="18"/>
              </w:rPr>
            </w:pPr>
            <w:r>
              <w:rPr>
                <w:rFonts w:eastAsia="Times New Roman" w:cs="Arial"/>
                <w:i/>
                <w:iCs/>
                <w:color w:val="313131"/>
                <w:szCs w:val="18"/>
              </w:rPr>
              <w:lastRenderedPageBreak/>
              <w:t>AIMDs</w:t>
            </w:r>
            <w:r>
              <w:rPr>
                <w:rStyle w:val="FootnoteReference"/>
              </w:rPr>
              <w:footnoteReference w:id="16"/>
            </w:r>
          </w:p>
        </w:tc>
        <w:tc>
          <w:tcPr>
            <w:tcW w:w="2697" w:type="dxa"/>
            <w:shd w:val="clear" w:color="auto" w:fill="FAE2D5" w:themeFill="accent2" w:themeFillTint="33"/>
          </w:tcPr>
          <w:p w14:paraId="13DF5626" w14:textId="77777777" w:rsidR="00116AC0"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An active implantable medical device.</w:t>
            </w:r>
          </w:p>
          <w:p w14:paraId="79F8B9E8" w14:textId="77777777" w:rsidR="00116AC0"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An implantable accessory to an active implantable medical device.</w:t>
            </w:r>
          </w:p>
          <w:p w14:paraId="5600EBC5" w14:textId="77777777" w:rsidR="00116AC0" w:rsidRPr="00551D54"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Used to control, monitor, or directly influence, the performance of an active implantable medical device.</w:t>
            </w:r>
          </w:p>
        </w:tc>
        <w:tc>
          <w:tcPr>
            <w:tcW w:w="1195" w:type="dxa"/>
            <w:shd w:val="clear" w:color="auto" w:fill="FAE2D5" w:themeFill="accent2" w:themeFillTint="33"/>
          </w:tcPr>
          <w:p w14:paraId="7C61D362" w14:textId="77777777" w:rsidR="00116AC0" w:rsidRDefault="00116AC0"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High</w:t>
            </w:r>
          </w:p>
        </w:tc>
        <w:tc>
          <w:tcPr>
            <w:tcW w:w="2086" w:type="dxa"/>
            <w:tcBorders>
              <w:right w:val="single" w:sz="4" w:space="0" w:color="auto"/>
            </w:tcBorders>
            <w:shd w:val="clear" w:color="auto" w:fill="FAE2D5" w:themeFill="accent2" w:themeFillTint="33"/>
          </w:tcPr>
          <w:p w14:paraId="4FF7493E" w14:textId="77777777" w:rsidR="00116AC0" w:rsidRPr="004256A7" w:rsidRDefault="00116AC0"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Implantable defibrillator</w:t>
            </w:r>
          </w:p>
        </w:tc>
        <w:tc>
          <w:tcPr>
            <w:tcW w:w="1229" w:type="dxa"/>
            <w:vMerge/>
            <w:tcBorders>
              <w:top w:val="nil"/>
              <w:left w:val="single" w:sz="4" w:space="0" w:color="auto"/>
              <w:bottom w:val="nil"/>
              <w:right w:val="nil"/>
            </w:tcBorders>
            <w:shd w:val="clear" w:color="auto" w:fill="auto"/>
          </w:tcPr>
          <w:p w14:paraId="5CC1A610" w14:textId="77777777" w:rsidR="00116AC0" w:rsidRDefault="00116AC0" w:rsidP="001615EC">
            <w:pPr>
              <w:pStyle w:val="Bullet1"/>
              <w:numPr>
                <w:ilvl w:val="0"/>
                <w:numId w:val="0"/>
              </w:numPr>
              <w:spacing w:before="60" w:after="60"/>
              <w:cnfStyle w:val="000000000000" w:firstRow="0" w:lastRow="0" w:firstColumn="0" w:lastColumn="0" w:oddVBand="0" w:evenVBand="0" w:oddHBand="0" w:evenHBand="0" w:firstRowFirstColumn="0" w:firstRowLastColumn="0" w:lastRowFirstColumn="0" w:lastRowLastColumn="0"/>
            </w:pPr>
          </w:p>
        </w:tc>
      </w:tr>
    </w:tbl>
    <w:p w14:paraId="278452CF" w14:textId="77777777" w:rsidR="00EB13BB" w:rsidRDefault="00EB13BB" w:rsidP="00B37DCC">
      <w:pPr>
        <w:pStyle w:val="Caption"/>
        <w:keepNext/>
      </w:pPr>
    </w:p>
    <w:p w14:paraId="2E4F494F" w14:textId="51AA67C4" w:rsidR="00112799" w:rsidRDefault="00112799" w:rsidP="00B37DCC">
      <w:pPr>
        <w:pStyle w:val="Caption"/>
        <w:keepNext/>
      </w:pPr>
      <w:r>
        <w:t xml:space="preserve">Table </w:t>
      </w:r>
      <w:r>
        <w:fldChar w:fldCharType="begin"/>
      </w:r>
      <w:r>
        <w:instrText>SEQ Table \* ARABIC</w:instrText>
      </w:r>
      <w:r>
        <w:fldChar w:fldCharType="separate"/>
      </w:r>
      <w:r w:rsidR="00CA03EA">
        <w:rPr>
          <w:noProof/>
        </w:rPr>
        <w:t>2</w:t>
      </w:r>
      <w:r>
        <w:fldChar w:fldCharType="end"/>
      </w:r>
      <w:r>
        <w:t xml:space="preserve"> - </w:t>
      </w:r>
      <w:r w:rsidR="00EB13BB" w:rsidRPr="00EB13BB">
        <w:t>In vitro diagnostic (IVD) medical device</w:t>
      </w:r>
      <w:r w:rsidR="00EB13BB">
        <w:t xml:space="preserve"> c</w:t>
      </w:r>
      <w:r w:rsidRPr="003228FD">
        <w:t>lassification</w:t>
      </w:r>
    </w:p>
    <w:tbl>
      <w:tblPr>
        <w:tblStyle w:val="TableTGAblue2023"/>
        <w:tblW w:w="0" w:type="auto"/>
        <w:tblLook w:val="04A0" w:firstRow="1" w:lastRow="0" w:firstColumn="1" w:lastColumn="0" w:noHBand="0" w:noVBand="1"/>
      </w:tblPr>
      <w:tblGrid>
        <w:gridCol w:w="1607"/>
        <w:gridCol w:w="1991"/>
        <w:gridCol w:w="977"/>
        <w:gridCol w:w="3217"/>
        <w:gridCol w:w="1229"/>
      </w:tblGrid>
      <w:tr w:rsidR="00377EF8" w:rsidRPr="004256A7" w14:paraId="723FFDB7" w14:textId="77777777" w:rsidTr="00377E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shd w:val="clear" w:color="auto" w:fill="0E2841" w:themeFill="text2"/>
          </w:tcPr>
          <w:p w14:paraId="444DDD1B" w14:textId="77777777" w:rsidR="00377EF8" w:rsidRPr="00C92F12" w:rsidRDefault="00377EF8" w:rsidP="001615EC">
            <w:pPr>
              <w:spacing w:after="0" w:line="240" w:lineRule="auto"/>
              <w:ind w:left="0"/>
              <w:rPr>
                <w:rFonts w:eastAsia="Times New Roman" w:cs="Arial"/>
                <w:color w:val="FFFFFF" w:themeColor="background1"/>
                <w:sz w:val="18"/>
                <w:szCs w:val="18"/>
              </w:rPr>
            </w:pPr>
            <w:r w:rsidRPr="00C92F12">
              <w:rPr>
                <w:rFonts w:eastAsia="Times New Roman" w:cs="Arial"/>
                <w:color w:val="FFFFFF" w:themeColor="background1"/>
                <w:sz w:val="18"/>
                <w:szCs w:val="18"/>
              </w:rPr>
              <w:t>Classification(s)</w:t>
            </w:r>
          </w:p>
        </w:tc>
        <w:tc>
          <w:tcPr>
            <w:tcW w:w="0" w:type="auto"/>
            <w:shd w:val="clear" w:color="auto" w:fill="0E2841" w:themeFill="text2"/>
          </w:tcPr>
          <w:p w14:paraId="7A282AE6" w14:textId="77777777" w:rsidR="00377EF8" w:rsidRPr="00C92F12" w:rsidRDefault="00377EF8"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sidRPr="00C92F12">
              <w:rPr>
                <w:rFonts w:eastAsia="Times New Roman" w:cs="Arial"/>
                <w:color w:val="FFFFFF" w:themeColor="background1"/>
                <w:sz w:val="18"/>
                <w:szCs w:val="18"/>
              </w:rPr>
              <w:t xml:space="preserve">Definition </w:t>
            </w:r>
          </w:p>
        </w:tc>
        <w:tc>
          <w:tcPr>
            <w:tcW w:w="0" w:type="auto"/>
            <w:shd w:val="clear" w:color="auto" w:fill="0E2841" w:themeFill="text2"/>
          </w:tcPr>
          <w:p w14:paraId="7202AE71" w14:textId="77777777" w:rsidR="00377EF8" w:rsidRPr="00C92F12" w:rsidRDefault="00377EF8"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sidRPr="00C92F12">
              <w:rPr>
                <w:rFonts w:eastAsia="Times New Roman" w:cs="Arial"/>
                <w:color w:val="FFFFFF" w:themeColor="background1"/>
                <w:sz w:val="18"/>
                <w:szCs w:val="18"/>
              </w:rPr>
              <w:t>Risk</w:t>
            </w:r>
          </w:p>
        </w:tc>
        <w:tc>
          <w:tcPr>
            <w:tcW w:w="3217" w:type="dxa"/>
            <w:tcBorders>
              <w:right w:val="single" w:sz="4" w:space="0" w:color="auto"/>
            </w:tcBorders>
            <w:shd w:val="clear" w:color="auto" w:fill="0E2841" w:themeFill="text2"/>
          </w:tcPr>
          <w:p w14:paraId="6BEB0CAD" w14:textId="77777777" w:rsidR="00377EF8" w:rsidRPr="00C92F12" w:rsidRDefault="00377EF8"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sidRPr="00C92F12">
              <w:rPr>
                <w:rFonts w:eastAsia="Times New Roman" w:cs="Arial"/>
                <w:color w:val="FFFFFF" w:themeColor="background1"/>
                <w:sz w:val="18"/>
                <w:szCs w:val="18"/>
              </w:rPr>
              <w:t>Examples</w:t>
            </w:r>
          </w:p>
        </w:tc>
        <w:tc>
          <w:tcPr>
            <w:tcW w:w="1229" w:type="dxa"/>
            <w:tcBorders>
              <w:top w:val="nil"/>
              <w:left w:val="single" w:sz="4" w:space="0" w:color="auto"/>
              <w:bottom w:val="nil"/>
              <w:right w:val="nil"/>
            </w:tcBorders>
            <w:shd w:val="clear" w:color="auto" w:fill="auto"/>
          </w:tcPr>
          <w:p w14:paraId="33522AC8" w14:textId="77777777" w:rsidR="00377EF8" w:rsidRPr="00740655" w:rsidRDefault="00377EF8" w:rsidP="001615EC">
            <w:pPr>
              <w:spacing w:after="0" w:line="240" w:lineRule="auto"/>
              <w:ind w:left="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rPr>
            </w:pPr>
            <w:r>
              <w:rPr>
                <w:rFonts w:eastAsia="Times New Roman" w:cs="Arial"/>
                <w:color w:val="FFFFFF" w:themeColor="background1"/>
                <w:sz w:val="18"/>
                <w:szCs w:val="18"/>
              </w:rPr>
              <w:t>Options</w:t>
            </w:r>
          </w:p>
        </w:tc>
      </w:tr>
      <w:tr w:rsidR="00377EF8" w:rsidRPr="004256A7" w14:paraId="04343A18" w14:textId="77777777" w:rsidTr="00377EF8">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D9F2D0" w:themeFill="accent6" w:themeFillTint="33"/>
          </w:tcPr>
          <w:p w14:paraId="1BF54520" w14:textId="77777777" w:rsidR="00377EF8" w:rsidRPr="008C401C" w:rsidRDefault="00377EF8" w:rsidP="001615EC">
            <w:pPr>
              <w:spacing w:after="0" w:line="240" w:lineRule="auto"/>
              <w:ind w:left="0"/>
              <w:rPr>
                <w:rFonts w:eastAsia="Times New Roman" w:cs="Arial"/>
                <w:i/>
                <w:iCs/>
                <w:color w:val="313131"/>
                <w:szCs w:val="18"/>
              </w:rPr>
            </w:pPr>
            <w:r w:rsidRPr="00670C99">
              <w:rPr>
                <w:i/>
                <w:iCs/>
              </w:rPr>
              <w:t xml:space="preserve">Class </w:t>
            </w:r>
            <w:r>
              <w:rPr>
                <w:i/>
                <w:iCs/>
              </w:rPr>
              <w:t>1</w:t>
            </w:r>
            <w:r w:rsidRPr="00670C99">
              <w:rPr>
                <w:i/>
                <w:iCs/>
              </w:rPr>
              <w:t xml:space="preserve"> IVDs</w:t>
            </w:r>
          </w:p>
        </w:tc>
        <w:tc>
          <w:tcPr>
            <w:tcW w:w="0" w:type="auto"/>
            <w:shd w:val="clear" w:color="auto" w:fill="D9F2D0" w:themeFill="accent6" w:themeFillTint="33"/>
          </w:tcPr>
          <w:p w14:paraId="2B69A8FA" w14:textId="77777777" w:rsidR="00377EF8" w:rsidRPr="007840C7"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E91F53">
              <w:t>No public health risk or low personal risk</w:t>
            </w:r>
          </w:p>
        </w:tc>
        <w:tc>
          <w:tcPr>
            <w:tcW w:w="0" w:type="auto"/>
            <w:shd w:val="clear" w:color="auto" w:fill="D9F2D0" w:themeFill="accent6" w:themeFillTint="33"/>
          </w:tcPr>
          <w:p w14:paraId="0F845C2F" w14:textId="77777777" w:rsidR="00377EF8" w:rsidRDefault="00377EF8"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Low</w:t>
            </w:r>
          </w:p>
        </w:tc>
        <w:tc>
          <w:tcPr>
            <w:tcW w:w="3217" w:type="dxa"/>
            <w:tcBorders>
              <w:right w:val="single" w:sz="4" w:space="0" w:color="auto"/>
            </w:tcBorders>
            <w:shd w:val="clear" w:color="auto" w:fill="D9F2D0" w:themeFill="accent6" w:themeFillTint="33"/>
          </w:tcPr>
          <w:p w14:paraId="63D136FC" w14:textId="77777777" w:rsidR="00377EF8" w:rsidRPr="00743977"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Sample collection container</w:t>
            </w:r>
          </w:p>
          <w:p w14:paraId="6C375F6D" w14:textId="77777777" w:rsidR="00377EF8"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Microbiological culture media</w:t>
            </w:r>
          </w:p>
        </w:tc>
        <w:tc>
          <w:tcPr>
            <w:tcW w:w="1229" w:type="dxa"/>
            <w:tcBorders>
              <w:top w:val="nil"/>
              <w:left w:val="single" w:sz="4" w:space="0" w:color="auto"/>
              <w:bottom w:val="nil"/>
              <w:right w:val="nil"/>
            </w:tcBorders>
            <w:shd w:val="clear" w:color="auto" w:fill="auto"/>
          </w:tcPr>
          <w:p w14:paraId="2354B86F" w14:textId="77777777" w:rsidR="00377EF8" w:rsidRPr="00743977" w:rsidRDefault="00377EF8" w:rsidP="001615EC">
            <w:pPr>
              <w:pStyle w:val="Bullet1"/>
              <w:numPr>
                <w:ilvl w:val="0"/>
                <w:numId w:val="0"/>
              </w:numPr>
              <w:spacing w:before="0" w:after="0"/>
              <w:cnfStyle w:val="000000000000" w:firstRow="0" w:lastRow="0" w:firstColumn="0" w:lastColumn="0" w:oddVBand="0" w:evenVBand="0" w:oddHBand="0" w:evenHBand="0" w:firstRowFirstColumn="0" w:firstRowLastColumn="0" w:lastRowFirstColumn="0" w:lastRowLastColumn="0"/>
            </w:pPr>
          </w:p>
        </w:tc>
      </w:tr>
      <w:tr w:rsidR="00377EF8" w:rsidRPr="004256A7" w14:paraId="1DE4F99D" w14:textId="77777777" w:rsidTr="00377EF8">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D9F2D0" w:themeFill="accent6" w:themeFillTint="33"/>
          </w:tcPr>
          <w:p w14:paraId="62A54DEF" w14:textId="77777777" w:rsidR="00377EF8" w:rsidRPr="00715E86" w:rsidRDefault="00377EF8" w:rsidP="001615EC">
            <w:pPr>
              <w:spacing w:after="0" w:line="240" w:lineRule="auto"/>
              <w:ind w:left="0"/>
              <w:rPr>
                <w:i/>
                <w:iCs/>
              </w:rPr>
            </w:pPr>
            <w:r w:rsidRPr="00DE4847">
              <w:rPr>
                <w:i/>
                <w:iCs/>
              </w:rPr>
              <w:t xml:space="preserve">Class </w:t>
            </w:r>
            <w:r>
              <w:rPr>
                <w:i/>
                <w:iCs/>
              </w:rPr>
              <w:t>2</w:t>
            </w:r>
            <w:r w:rsidRPr="00DE4847">
              <w:rPr>
                <w:i/>
                <w:iCs/>
              </w:rPr>
              <w:t xml:space="preserve"> IVDs</w:t>
            </w:r>
          </w:p>
        </w:tc>
        <w:tc>
          <w:tcPr>
            <w:tcW w:w="0" w:type="auto"/>
            <w:shd w:val="clear" w:color="auto" w:fill="D9F2D0" w:themeFill="accent6" w:themeFillTint="33"/>
          </w:tcPr>
          <w:p w14:paraId="7AABB1E5" w14:textId="77777777" w:rsidR="00377EF8" w:rsidRPr="00B8618B"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Low public health risk or moderate personal risk</w:t>
            </w:r>
          </w:p>
        </w:tc>
        <w:tc>
          <w:tcPr>
            <w:tcW w:w="0" w:type="auto"/>
            <w:shd w:val="clear" w:color="auto" w:fill="D9F2D0" w:themeFill="accent6" w:themeFillTint="33"/>
          </w:tcPr>
          <w:p w14:paraId="27D4A9DC" w14:textId="77777777" w:rsidR="00377EF8" w:rsidRDefault="00377EF8"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Low</w:t>
            </w:r>
          </w:p>
        </w:tc>
        <w:tc>
          <w:tcPr>
            <w:tcW w:w="3217" w:type="dxa"/>
            <w:tcBorders>
              <w:right w:val="single" w:sz="4" w:space="0" w:color="auto"/>
            </w:tcBorders>
            <w:shd w:val="clear" w:color="auto" w:fill="D9F2D0" w:themeFill="accent6" w:themeFillTint="33"/>
          </w:tcPr>
          <w:p w14:paraId="24852694" w14:textId="77777777" w:rsidR="00377EF8" w:rsidRPr="00743977"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Pregnancy and fertility self-testing kits</w:t>
            </w:r>
          </w:p>
          <w:p w14:paraId="2325C473" w14:textId="77777777" w:rsidR="00377EF8" w:rsidRPr="00B8618B"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Cholesterol test</w:t>
            </w:r>
          </w:p>
        </w:tc>
        <w:tc>
          <w:tcPr>
            <w:tcW w:w="1229" w:type="dxa"/>
            <w:tcBorders>
              <w:top w:val="nil"/>
              <w:left w:val="single" w:sz="4" w:space="0" w:color="auto"/>
              <w:bottom w:val="nil"/>
              <w:right w:val="nil"/>
            </w:tcBorders>
            <w:shd w:val="clear" w:color="auto" w:fill="auto"/>
          </w:tcPr>
          <w:p w14:paraId="7AEE2A98" w14:textId="77777777" w:rsidR="00377EF8" w:rsidRPr="00743977" w:rsidRDefault="00377EF8" w:rsidP="001615EC">
            <w:pPr>
              <w:pStyle w:val="Bullet1"/>
              <w:numPr>
                <w:ilvl w:val="0"/>
                <w:numId w:val="0"/>
              </w:numPr>
              <w:spacing w:before="0" w:after="0"/>
              <w:cnfStyle w:val="000000000000" w:firstRow="0" w:lastRow="0" w:firstColumn="0" w:lastColumn="0" w:oddVBand="0" w:evenVBand="0" w:oddHBand="0" w:evenHBand="0" w:firstRowFirstColumn="0" w:firstRowLastColumn="0" w:lastRowFirstColumn="0" w:lastRowLastColumn="0"/>
            </w:pPr>
          </w:p>
        </w:tc>
      </w:tr>
      <w:tr w:rsidR="00377EF8" w:rsidRPr="004256A7" w14:paraId="09854303" w14:textId="77777777" w:rsidTr="00377EF8">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tcPr>
          <w:p w14:paraId="7448C131" w14:textId="77777777" w:rsidR="00377EF8" w:rsidRPr="00715E86" w:rsidRDefault="00377EF8" w:rsidP="001615EC">
            <w:pPr>
              <w:spacing w:after="0" w:line="240" w:lineRule="auto"/>
              <w:ind w:left="0"/>
              <w:rPr>
                <w:i/>
                <w:iCs/>
              </w:rPr>
            </w:pPr>
            <w:r w:rsidRPr="00DE4847">
              <w:rPr>
                <w:i/>
                <w:iCs/>
              </w:rPr>
              <w:t xml:space="preserve">Class </w:t>
            </w:r>
            <w:r>
              <w:rPr>
                <w:i/>
                <w:iCs/>
              </w:rPr>
              <w:t>3</w:t>
            </w:r>
            <w:r w:rsidRPr="00DE4847">
              <w:rPr>
                <w:i/>
                <w:iCs/>
              </w:rPr>
              <w:t xml:space="preserve"> IVDs</w:t>
            </w:r>
          </w:p>
        </w:tc>
        <w:tc>
          <w:tcPr>
            <w:tcW w:w="0" w:type="auto"/>
            <w:shd w:val="clear" w:color="auto" w:fill="CAEDFB" w:themeFill="accent4" w:themeFillTint="33"/>
          </w:tcPr>
          <w:p w14:paraId="262867BE" w14:textId="77777777" w:rsidR="00377EF8" w:rsidRPr="00B8618B"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Moderate public health risk or high personal risk</w:t>
            </w:r>
          </w:p>
        </w:tc>
        <w:tc>
          <w:tcPr>
            <w:tcW w:w="0" w:type="auto"/>
            <w:shd w:val="clear" w:color="auto" w:fill="CAEDFB" w:themeFill="accent4" w:themeFillTint="33"/>
          </w:tcPr>
          <w:p w14:paraId="7720B013" w14:textId="77777777" w:rsidR="00377EF8" w:rsidRDefault="00377EF8"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Moderate</w:t>
            </w:r>
          </w:p>
        </w:tc>
        <w:tc>
          <w:tcPr>
            <w:tcW w:w="3217" w:type="dxa"/>
            <w:tcBorders>
              <w:right w:val="single" w:sz="4" w:space="0" w:color="auto"/>
            </w:tcBorders>
            <w:shd w:val="clear" w:color="auto" w:fill="CAEDFB" w:themeFill="accent4" w:themeFillTint="33"/>
          </w:tcPr>
          <w:p w14:paraId="3C0FB0C1" w14:textId="77777777" w:rsidR="00377EF8" w:rsidRPr="00743977"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Tests to detect a sexually transmitted disease (e.g., chlamydia, gonorrhoea)</w:t>
            </w:r>
          </w:p>
          <w:p w14:paraId="40FCACA9" w14:textId="77777777" w:rsidR="00377EF8" w:rsidRPr="00B8618B"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Human genetic tests</w:t>
            </w:r>
          </w:p>
        </w:tc>
        <w:tc>
          <w:tcPr>
            <w:tcW w:w="1229" w:type="dxa"/>
            <w:tcBorders>
              <w:top w:val="nil"/>
              <w:left w:val="single" w:sz="4" w:space="0" w:color="auto"/>
              <w:bottom w:val="nil"/>
              <w:right w:val="nil"/>
            </w:tcBorders>
            <w:shd w:val="clear" w:color="auto" w:fill="auto"/>
          </w:tcPr>
          <w:p w14:paraId="3878B35A" w14:textId="72EE65B1" w:rsidR="00377EF8" w:rsidRPr="00743977" w:rsidRDefault="00377EF8" w:rsidP="001615EC">
            <w:pPr>
              <w:pStyle w:val="Bullet1"/>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rsidRPr="00C128D1">
              <w:rPr>
                <w:i/>
                <w:iCs/>
                <w:color w:val="0B769F" w:themeColor="accent4" w:themeShade="BF"/>
              </w:rPr>
              <w:t>Included in Options 3A, 3B</w:t>
            </w:r>
            <w:r w:rsidR="007D4AD5">
              <w:rPr>
                <w:i/>
                <w:iCs/>
                <w:color w:val="0B769F" w:themeColor="accent4" w:themeShade="BF"/>
              </w:rPr>
              <w:t>,</w:t>
            </w:r>
            <w:r w:rsidRPr="00C128D1">
              <w:rPr>
                <w:i/>
                <w:iCs/>
                <w:color w:val="0B769F" w:themeColor="accent4" w:themeShade="BF"/>
              </w:rPr>
              <w:t>4</w:t>
            </w:r>
            <w:r w:rsidR="001462DA">
              <w:rPr>
                <w:i/>
                <w:iCs/>
                <w:color w:val="0B769F" w:themeColor="accent4" w:themeShade="BF"/>
              </w:rPr>
              <w:t>A and 4B</w:t>
            </w:r>
          </w:p>
        </w:tc>
      </w:tr>
      <w:tr w:rsidR="00377EF8" w:rsidRPr="004256A7" w14:paraId="339101DE" w14:textId="77777777" w:rsidTr="00377EF8">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AE2D5" w:themeFill="accent2" w:themeFillTint="33"/>
          </w:tcPr>
          <w:p w14:paraId="58689039" w14:textId="77777777" w:rsidR="00377EF8" w:rsidRPr="00715E86" w:rsidRDefault="00377EF8" w:rsidP="001615EC">
            <w:pPr>
              <w:spacing w:after="0" w:line="240" w:lineRule="auto"/>
              <w:ind w:left="0"/>
              <w:rPr>
                <w:i/>
                <w:iCs/>
              </w:rPr>
            </w:pPr>
            <w:r w:rsidRPr="00743977">
              <w:rPr>
                <w:i/>
                <w:iCs/>
              </w:rPr>
              <w:t>Class 4 IVDs</w:t>
            </w:r>
          </w:p>
        </w:tc>
        <w:tc>
          <w:tcPr>
            <w:tcW w:w="0" w:type="auto"/>
            <w:shd w:val="clear" w:color="auto" w:fill="FAE2D5" w:themeFill="accent2" w:themeFillTint="33"/>
          </w:tcPr>
          <w:p w14:paraId="3E71B525" w14:textId="77777777" w:rsidR="00377EF8" w:rsidRPr="00B8618B"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t>High public health risk</w:t>
            </w:r>
          </w:p>
        </w:tc>
        <w:tc>
          <w:tcPr>
            <w:tcW w:w="0" w:type="auto"/>
            <w:shd w:val="clear" w:color="auto" w:fill="FAE2D5" w:themeFill="accent2" w:themeFillTint="33"/>
          </w:tcPr>
          <w:p w14:paraId="2B3F2F80" w14:textId="77777777" w:rsidR="00377EF8" w:rsidRDefault="00377EF8" w:rsidP="001615EC">
            <w:pPr>
              <w:spacing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313131"/>
                <w:szCs w:val="18"/>
              </w:rPr>
            </w:pPr>
            <w:r>
              <w:rPr>
                <w:rFonts w:eastAsia="Times New Roman" w:cs="Arial"/>
                <w:color w:val="313131"/>
                <w:szCs w:val="18"/>
              </w:rPr>
              <w:t>High</w:t>
            </w:r>
          </w:p>
        </w:tc>
        <w:tc>
          <w:tcPr>
            <w:tcW w:w="3217" w:type="dxa"/>
            <w:tcBorders>
              <w:right w:val="single" w:sz="4" w:space="0" w:color="auto"/>
            </w:tcBorders>
            <w:shd w:val="clear" w:color="auto" w:fill="FAE2D5" w:themeFill="accent2" w:themeFillTint="33"/>
          </w:tcPr>
          <w:p w14:paraId="320DF9EC" w14:textId="77777777" w:rsidR="00377EF8" w:rsidRPr="00743977"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Blood donor screening tests for HIV</w:t>
            </w:r>
          </w:p>
          <w:p w14:paraId="5D39A3F5" w14:textId="77777777" w:rsidR="00377EF8" w:rsidRPr="00B8618B" w:rsidRDefault="00377EF8" w:rsidP="001615EC">
            <w:pPr>
              <w:pStyle w:val="Bullet1"/>
              <w:spacing w:before="0" w:after="0"/>
              <w:ind w:left="227" w:hanging="227"/>
              <w:cnfStyle w:val="000000000000" w:firstRow="0" w:lastRow="0" w:firstColumn="0" w:lastColumn="0" w:oddVBand="0" w:evenVBand="0" w:oddHBand="0" w:evenHBand="0" w:firstRowFirstColumn="0" w:firstRowLastColumn="0" w:lastRowFirstColumn="0" w:lastRowLastColumn="0"/>
            </w:pPr>
            <w:r w:rsidRPr="00743977">
              <w:t>Test for Ebola</w:t>
            </w:r>
          </w:p>
        </w:tc>
        <w:tc>
          <w:tcPr>
            <w:tcW w:w="1229" w:type="dxa"/>
            <w:tcBorders>
              <w:top w:val="nil"/>
              <w:left w:val="single" w:sz="4" w:space="0" w:color="auto"/>
              <w:bottom w:val="nil"/>
              <w:right w:val="nil"/>
            </w:tcBorders>
            <w:shd w:val="clear" w:color="auto" w:fill="auto"/>
          </w:tcPr>
          <w:p w14:paraId="0753C3F3" w14:textId="0FD2AC0D" w:rsidR="00377EF8" w:rsidRPr="00743977" w:rsidRDefault="00377EF8" w:rsidP="001615EC">
            <w:pPr>
              <w:pStyle w:val="Bullet1"/>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rsidRPr="00C128D1">
              <w:rPr>
                <w:i/>
                <w:iCs/>
                <w:color w:val="C00000"/>
              </w:rPr>
              <w:t>Included in Options 2A, 2B, 3A, 3B</w:t>
            </w:r>
            <w:r w:rsidR="001462DA">
              <w:rPr>
                <w:i/>
                <w:iCs/>
                <w:color w:val="C00000"/>
              </w:rPr>
              <w:t xml:space="preserve">, </w:t>
            </w:r>
            <w:r w:rsidRPr="00C128D1">
              <w:rPr>
                <w:i/>
                <w:iCs/>
                <w:color w:val="C00000"/>
              </w:rPr>
              <w:t>4</w:t>
            </w:r>
            <w:r w:rsidR="001462DA">
              <w:rPr>
                <w:i/>
                <w:iCs/>
                <w:color w:val="C00000"/>
              </w:rPr>
              <w:t>A and 4B</w:t>
            </w:r>
          </w:p>
        </w:tc>
      </w:tr>
    </w:tbl>
    <w:p w14:paraId="34187BD9" w14:textId="1071D8E0" w:rsidR="00A87A71" w:rsidRPr="00615E2F" w:rsidRDefault="00A87A71" w:rsidP="006E0EF3">
      <w:pPr>
        <w:pStyle w:val="Heading3"/>
      </w:pPr>
      <w:bookmarkStart w:id="35" w:name="_Toc179531298"/>
      <w:bookmarkStart w:id="36" w:name="_Toc188012845"/>
      <w:r>
        <w:t xml:space="preserve">What is an adverse </w:t>
      </w:r>
      <w:r w:rsidR="0061118B">
        <w:t>event?</w:t>
      </w:r>
      <w:bookmarkEnd w:id="35"/>
      <w:bookmarkEnd w:id="36"/>
    </w:p>
    <w:p w14:paraId="7EBCA920" w14:textId="6BC5DE61" w:rsidR="00CC7DD2" w:rsidRDefault="00CC7DD2" w:rsidP="00CC7DD2">
      <w:r>
        <w:t xml:space="preserve">An adverse event is an occurrence </w:t>
      </w:r>
      <w:r w:rsidRPr="00840CEA">
        <w:rPr>
          <w:i/>
          <w:iCs/>
        </w:rPr>
        <w:t>involving a medical device</w:t>
      </w:r>
      <w:r>
        <w:t xml:space="preserve"> that meets any of the following criteria</w:t>
      </w:r>
      <w:r w:rsidR="003C552D">
        <w:rPr>
          <w:rStyle w:val="FootnoteReference"/>
        </w:rPr>
        <w:footnoteReference w:id="17"/>
      </w:r>
      <w:r>
        <w:t>:</w:t>
      </w:r>
    </w:p>
    <w:p w14:paraId="26B1200C" w14:textId="77777777" w:rsidR="00CC7DD2" w:rsidRPr="00C45013" w:rsidRDefault="00CC7DD2" w:rsidP="00CC7DD2">
      <w:pPr>
        <w:pStyle w:val="Bullet1"/>
      </w:pPr>
      <w:r w:rsidRPr="00C45013">
        <w:t xml:space="preserve">death of a patient, </w:t>
      </w:r>
      <w:r>
        <w:t>healthcare</w:t>
      </w:r>
      <w:r w:rsidRPr="00C45013">
        <w:t xml:space="preserve"> provider, user or other person </w:t>
      </w:r>
    </w:p>
    <w:p w14:paraId="742723BB" w14:textId="77777777" w:rsidR="00CC7DD2" w:rsidRPr="00C45013" w:rsidRDefault="00CC7DD2" w:rsidP="00CC7DD2">
      <w:pPr>
        <w:pStyle w:val="Bullet1"/>
      </w:pPr>
      <w:r w:rsidRPr="00C45013">
        <w:t xml:space="preserve">a serious injury or serious deterioration to a patient, </w:t>
      </w:r>
      <w:r>
        <w:t>healthcare</w:t>
      </w:r>
      <w:r w:rsidRPr="00C45013">
        <w:t xml:space="preserve"> provider, user or other person, including;</w:t>
      </w:r>
    </w:p>
    <w:p w14:paraId="1C929FB1" w14:textId="77777777" w:rsidR="00CC7DD2" w:rsidRPr="00C45013" w:rsidRDefault="00CC7DD2" w:rsidP="00CC7DD2">
      <w:pPr>
        <w:pStyle w:val="ListBullet2"/>
        <w:rPr>
          <w:color w:val="auto"/>
        </w:rPr>
      </w:pPr>
      <w:r w:rsidRPr="00C45013">
        <w:rPr>
          <w:color w:val="auto"/>
        </w:rPr>
        <w:t>a life-threatening illness or injury</w:t>
      </w:r>
    </w:p>
    <w:p w14:paraId="40050C5D" w14:textId="77777777" w:rsidR="00CC7DD2" w:rsidRPr="00C45013" w:rsidRDefault="00CC7DD2" w:rsidP="00CC7DD2">
      <w:pPr>
        <w:pStyle w:val="ListBullet2"/>
        <w:rPr>
          <w:color w:val="auto"/>
        </w:rPr>
      </w:pPr>
      <w:r w:rsidRPr="00C45013">
        <w:rPr>
          <w:color w:val="auto"/>
        </w:rPr>
        <w:t>permanent impairment of a body function</w:t>
      </w:r>
    </w:p>
    <w:p w14:paraId="1CB81511" w14:textId="77777777" w:rsidR="00CC7DD2" w:rsidRPr="00C45013" w:rsidRDefault="00CC7DD2" w:rsidP="00CC7DD2">
      <w:pPr>
        <w:pStyle w:val="ListBullet2"/>
        <w:rPr>
          <w:color w:val="auto"/>
        </w:rPr>
      </w:pPr>
      <w:r w:rsidRPr="00C45013">
        <w:rPr>
          <w:color w:val="auto"/>
        </w:rPr>
        <w:t xml:space="preserve">permanent damage to a body structure </w:t>
      </w:r>
    </w:p>
    <w:p w14:paraId="5D0CF960" w14:textId="77777777" w:rsidR="00CC7DD2" w:rsidRDefault="00CC7DD2" w:rsidP="00CC7DD2">
      <w:pPr>
        <w:pStyle w:val="ListBullet2"/>
        <w:rPr>
          <w:color w:val="auto"/>
        </w:rPr>
      </w:pPr>
      <w:r w:rsidRPr="00C45013">
        <w:rPr>
          <w:color w:val="auto"/>
        </w:rPr>
        <w:t>a condition necessitating medical or surgical intervention to prevent permanent impairment of a body function or permanent damage to a body structure.</w:t>
      </w:r>
    </w:p>
    <w:p w14:paraId="408CA864" w14:textId="1C7C23CA" w:rsidR="001B1E23" w:rsidRDefault="001B1E23" w:rsidP="001B1E23">
      <w:r>
        <w:t>A 'near adverse event' (also known as a ‘near-</w:t>
      </w:r>
      <w:r w:rsidR="0079175B">
        <w:t>miss</w:t>
      </w:r>
      <w:r>
        <w:t xml:space="preserve">) is an occurrence involving a medical device that might have led to a death or serious injury if, for example, the timely intervention of a healthcare practitioner is the only reason a death or serious injury did not occur. For an event to be defined as a </w:t>
      </w:r>
      <w:r>
        <w:lastRenderedPageBreak/>
        <w:t>near adverse event, it is sufficient that an event associated with the device occurred and that if the event occurred again, it might lead to death or serious injury.</w:t>
      </w:r>
    </w:p>
    <w:p w14:paraId="62E833FB" w14:textId="20109A08" w:rsidR="00024A67" w:rsidRDefault="00024A67" w:rsidP="001B1E23">
      <w:r>
        <w:t xml:space="preserve">For the purposes of the </w:t>
      </w:r>
      <w:r w:rsidR="00605C3E">
        <w:t xml:space="preserve">proposed mandatory reporting of adverse events relating to medical devices, </w:t>
      </w:r>
      <w:r w:rsidR="003905AC">
        <w:t xml:space="preserve">Section 41JM of the </w:t>
      </w:r>
      <w:r w:rsidR="003905AC" w:rsidRPr="00F3751D">
        <w:rPr>
          <w:i/>
          <w:iCs/>
        </w:rPr>
        <w:t>Therapeutic Goods Act</w:t>
      </w:r>
      <w:r w:rsidR="003905AC">
        <w:t xml:space="preserve"> </w:t>
      </w:r>
      <w:r w:rsidR="007D646C" w:rsidRPr="007D646C">
        <w:rPr>
          <w:i/>
          <w:iCs/>
        </w:rPr>
        <w:t xml:space="preserve">1989 </w:t>
      </w:r>
      <w:r w:rsidR="003C023C">
        <w:t xml:space="preserve">details the requirement </w:t>
      </w:r>
      <w:r w:rsidR="00053469">
        <w:t xml:space="preserve">for the </w:t>
      </w:r>
      <w:r w:rsidR="00347B16">
        <w:t>chief executive officer (</w:t>
      </w:r>
      <w:r w:rsidR="00053469">
        <w:t>CEO</w:t>
      </w:r>
      <w:r w:rsidR="00347B16">
        <w:t>)</w:t>
      </w:r>
      <w:r w:rsidR="00053469">
        <w:t xml:space="preserve"> of a </w:t>
      </w:r>
      <w:r w:rsidR="00347B16">
        <w:t>healthcare</w:t>
      </w:r>
      <w:r w:rsidR="00053469">
        <w:t xml:space="preserve"> facility </w:t>
      </w:r>
      <w:r w:rsidR="003C023C">
        <w:t>to report adverse events involving reportable medical devices if:</w:t>
      </w:r>
    </w:p>
    <w:p w14:paraId="10E7B5E0" w14:textId="7D24399E" w:rsidR="003C023C" w:rsidRDefault="00312BD5" w:rsidP="00082264">
      <w:pPr>
        <w:pStyle w:val="ListParagraph"/>
        <w:numPr>
          <w:ilvl w:val="0"/>
          <w:numId w:val="25"/>
        </w:numPr>
        <w:rPr>
          <w:sz w:val="20"/>
          <w:szCs w:val="20"/>
        </w:rPr>
      </w:pPr>
      <w:r w:rsidRPr="00582F14">
        <w:rPr>
          <w:sz w:val="20"/>
          <w:szCs w:val="20"/>
        </w:rPr>
        <w:t>a reportable medical device is used in the facility; and the use of the device has resulted in the death, or a serious deterioration</w:t>
      </w:r>
      <w:r w:rsidR="00053469">
        <w:rPr>
          <w:sz w:val="20"/>
          <w:szCs w:val="20"/>
        </w:rPr>
        <w:t xml:space="preserve"> in the health, of a person while the device is used in the </w:t>
      </w:r>
      <w:r w:rsidR="00347B16">
        <w:rPr>
          <w:sz w:val="20"/>
          <w:szCs w:val="20"/>
        </w:rPr>
        <w:t>facility</w:t>
      </w:r>
    </w:p>
    <w:p w14:paraId="5448CCA3" w14:textId="5C53F767" w:rsidR="00CC574D" w:rsidRDefault="00CC574D" w:rsidP="00082264">
      <w:pPr>
        <w:pStyle w:val="ListParagraph"/>
        <w:numPr>
          <w:ilvl w:val="0"/>
          <w:numId w:val="25"/>
        </w:numPr>
        <w:rPr>
          <w:sz w:val="20"/>
          <w:szCs w:val="20"/>
        </w:rPr>
      </w:pPr>
      <w:r>
        <w:rPr>
          <w:sz w:val="20"/>
          <w:szCs w:val="20"/>
        </w:rPr>
        <w:t>a reportable medical device is not used in the facility because of the intervention of a person in the facility; and the use of the device, i</w:t>
      </w:r>
      <w:r w:rsidR="00DF59B8">
        <w:rPr>
          <w:sz w:val="20"/>
          <w:szCs w:val="20"/>
        </w:rPr>
        <w:t>f the device were used, would result in, or would be likely to result in, the death, or a serious deterioration in the health, of a person</w:t>
      </w:r>
    </w:p>
    <w:p w14:paraId="6C01666B" w14:textId="726DB474" w:rsidR="00DF59B8" w:rsidRPr="008F51CE" w:rsidRDefault="00DF59B8" w:rsidP="00082264">
      <w:pPr>
        <w:pStyle w:val="ListParagraph"/>
        <w:numPr>
          <w:ilvl w:val="0"/>
          <w:numId w:val="25"/>
        </w:numPr>
      </w:pPr>
      <w:r>
        <w:rPr>
          <w:sz w:val="20"/>
          <w:szCs w:val="20"/>
        </w:rPr>
        <w:t xml:space="preserve">a </w:t>
      </w:r>
      <w:r w:rsidR="00CC152A">
        <w:rPr>
          <w:sz w:val="20"/>
          <w:szCs w:val="20"/>
        </w:rPr>
        <w:t>health practitioner provides treatment to a person in the facility for a serious deterioration in the health of the person; and the use of a reportable medical device has resulted in the serious deterioration in the health of the person</w:t>
      </w:r>
      <w:r w:rsidR="00BB377D">
        <w:rPr>
          <w:rStyle w:val="FootnoteReference"/>
          <w:sz w:val="20"/>
          <w:szCs w:val="20"/>
        </w:rPr>
        <w:footnoteReference w:id="18"/>
      </w:r>
      <w:r w:rsidR="00CC152A">
        <w:rPr>
          <w:sz w:val="20"/>
          <w:szCs w:val="20"/>
        </w:rPr>
        <w:t>.</w:t>
      </w:r>
    </w:p>
    <w:p w14:paraId="0FBCCE72" w14:textId="77777777" w:rsidR="007066FE" w:rsidRDefault="007066FE" w:rsidP="007066FE">
      <w:pPr>
        <w:pStyle w:val="Heading3"/>
      </w:pPr>
      <w:bookmarkStart w:id="37" w:name="_Toc179531299"/>
      <w:bookmarkStart w:id="38" w:name="_Toc188012846"/>
      <w:r>
        <w:t>Medical devices post-market monitoring</w:t>
      </w:r>
      <w:bookmarkEnd w:id="37"/>
      <w:bookmarkEnd w:id="38"/>
    </w:p>
    <w:p w14:paraId="594897EC" w14:textId="5C4B2026" w:rsidR="007066FE" w:rsidRDefault="007066FE" w:rsidP="007066FE">
      <w:r>
        <w:t>Post-market monitoring, including the collection and analysis of adverse event data, is critical to undertaking compliance actions, including suspension and cancellation of Australian Register of Therapeutic Goods (ARTG) entries, recalls, and the imposition of civil penalty or criminal proceedings for non-compliance</w:t>
      </w:r>
      <w:r w:rsidR="008F018E">
        <w:rPr>
          <w:rStyle w:val="FootnoteReference"/>
        </w:rPr>
        <w:footnoteReference w:id="19"/>
      </w:r>
      <w:r>
        <w:t>.</w:t>
      </w:r>
    </w:p>
    <w:p w14:paraId="15D7F8EE" w14:textId="2C0B3C17" w:rsidR="003D732E" w:rsidRPr="003D732E" w:rsidRDefault="007066FE" w:rsidP="00CC7DD2">
      <w:r>
        <w:t>The sought outcome for the TGA’s post-market monitoring and vigilance activities is to improve the health and safety of patients</w:t>
      </w:r>
      <w:r w:rsidR="0080510B">
        <w:t xml:space="preserve"> and</w:t>
      </w:r>
      <w:r>
        <w:t xml:space="preserve"> users by reducing the likelihood of adverse events </w:t>
      </w:r>
      <w:r w:rsidR="00A338A3">
        <w:t>occurring</w:t>
      </w:r>
      <w:r>
        <w:t xml:space="preserve">. </w:t>
      </w:r>
    </w:p>
    <w:p w14:paraId="34503E0D" w14:textId="13201C7F" w:rsidR="00554E32" w:rsidRDefault="00554E32" w:rsidP="00433AFA">
      <w:r>
        <w:t>An important consideration</w:t>
      </w:r>
      <w:r w:rsidR="005C4FED">
        <w:t xml:space="preserve"> is that there needs to be </w:t>
      </w:r>
      <w:r w:rsidR="007D61FC">
        <w:t xml:space="preserve">only </w:t>
      </w:r>
      <w:r w:rsidR="005C4FED" w:rsidRPr="005C4FED">
        <w:rPr>
          <w:i/>
          <w:iCs/>
        </w:rPr>
        <w:t>reasonable grounds to suspect involvement of a medical device failure or deterioration in effectiveness</w:t>
      </w:r>
      <w:r w:rsidR="005C4FED">
        <w:t xml:space="preserve"> </w:t>
      </w:r>
      <w:r w:rsidR="007D61FC">
        <w:t>for the reporting of an adverse events (or near-miss)</w:t>
      </w:r>
      <w:r w:rsidR="009F12C7">
        <w:rPr>
          <w:rStyle w:val="FootnoteReference"/>
        </w:rPr>
        <w:footnoteReference w:id="20"/>
      </w:r>
      <w:r w:rsidR="00930E1D">
        <w:t>.</w:t>
      </w:r>
      <w:r w:rsidR="003C6575">
        <w:t xml:space="preserve"> An adverse </w:t>
      </w:r>
      <w:r w:rsidR="00363548">
        <w:t>event is not always caused by the therapeutic goods itself</w:t>
      </w:r>
      <w:r w:rsidR="00564340">
        <w:t xml:space="preserve">; it could arise from incorrect use </w:t>
      </w:r>
      <w:r w:rsidR="00AE37A0">
        <w:t>or</w:t>
      </w:r>
      <w:r w:rsidR="00564340">
        <w:t xml:space="preserve"> other circumstances, </w:t>
      </w:r>
      <w:r w:rsidR="0055179B">
        <w:t>such as two properly functioning devices</w:t>
      </w:r>
      <w:r w:rsidR="008A7192">
        <w:t xml:space="preserve"> that do not operate as intended when used in comb</w:t>
      </w:r>
      <w:r w:rsidR="00244379">
        <w:t xml:space="preserve">ination. </w:t>
      </w:r>
      <w:r w:rsidR="00930E1D">
        <w:t>The reporter does not need to conduct a</w:t>
      </w:r>
      <w:r w:rsidR="00190764">
        <w:t xml:space="preserve"> full (rather than interim)</w:t>
      </w:r>
      <w:r w:rsidR="00930E1D">
        <w:t xml:space="preserve"> investigation to demonstrate cau</w:t>
      </w:r>
      <w:r w:rsidR="00433AFA">
        <w:t>sality between the medical device and the adverse event</w:t>
      </w:r>
      <w:r w:rsidR="003D732E">
        <w:t xml:space="preserve"> as this will</w:t>
      </w:r>
      <w:r w:rsidR="00190764">
        <w:t xml:space="preserve"> most likely introduce delays </w:t>
      </w:r>
      <w:r w:rsidR="00061A3B">
        <w:t xml:space="preserve">of </w:t>
      </w:r>
      <w:r w:rsidR="00190764">
        <w:t xml:space="preserve">reporting </w:t>
      </w:r>
      <w:r w:rsidR="0057207C">
        <w:t xml:space="preserve">and such investigation are more appropriately conducted by the device sponsor. </w:t>
      </w:r>
    </w:p>
    <w:p w14:paraId="3BEBEFA9" w14:textId="471BB18B" w:rsidR="007066FE" w:rsidRDefault="007066FE" w:rsidP="00B811C8">
      <w:pPr>
        <w:rPr>
          <w:rStyle w:val="Hyperlink"/>
          <w:sz w:val="16"/>
          <w:szCs w:val="16"/>
        </w:rPr>
      </w:pPr>
      <w:r>
        <w:t xml:space="preserve">Through adverse event reporting, the TGA can monitor medical device use, performance in the real world and identify trends that may indicate emerging safety and performance issues. This facilitates taking appropriate regulatory action to address these issues in a timely fashion. </w:t>
      </w:r>
    </w:p>
    <w:p w14:paraId="278290ED" w14:textId="2B1EFEA0" w:rsidR="00BB5359" w:rsidRDefault="003C34B3" w:rsidP="00377EF8">
      <w:pPr>
        <w:pStyle w:val="Heading5"/>
      </w:pPr>
      <w:r>
        <w:t>Database of Adverse Event Notifications</w:t>
      </w:r>
      <w:r w:rsidR="00002462">
        <w:t xml:space="preserve"> </w:t>
      </w:r>
      <w:r>
        <w:t>– Medical Devices</w:t>
      </w:r>
    </w:p>
    <w:p w14:paraId="7FD01B50" w14:textId="0C770DD9" w:rsidR="00516C5B" w:rsidRDefault="00516C5B" w:rsidP="003C34B3">
      <w:r w:rsidRPr="00516C5B">
        <w:t>The Database of Adverse Event Notifications </w:t>
      </w:r>
      <w:r w:rsidR="00002462">
        <w:t xml:space="preserve">(DAEN) </w:t>
      </w:r>
      <w:r w:rsidRPr="00516C5B">
        <w:t>- medical devices</w:t>
      </w:r>
      <w:r w:rsidR="00C373D1">
        <w:t>,</w:t>
      </w:r>
      <w:r w:rsidRPr="00516C5B">
        <w:t xml:space="preserve"> contains information </w:t>
      </w:r>
      <w:r w:rsidR="00C373D1">
        <w:t xml:space="preserve">and </w:t>
      </w:r>
      <w:r w:rsidRPr="00516C5B">
        <w:t>reports of adverse events that the TGA has received in relation to medical devices used in Australia</w:t>
      </w:r>
      <w:r w:rsidR="00DF5FD5">
        <w:t xml:space="preserve"> since July 2012. </w:t>
      </w:r>
      <w:r w:rsidR="00FA0BB7">
        <w:t xml:space="preserve">The publicly accessible search facility </w:t>
      </w:r>
      <w:r w:rsidR="00243A58" w:rsidRPr="00243A58">
        <w:t>do</w:t>
      </w:r>
      <w:r w:rsidR="00243A58">
        <w:t>es</w:t>
      </w:r>
      <w:r w:rsidR="00243A58" w:rsidRPr="00243A58">
        <w:t xml:space="preserve"> not include </w:t>
      </w:r>
      <w:r w:rsidR="00243A58">
        <w:t xml:space="preserve">reports submitted in </w:t>
      </w:r>
      <w:r w:rsidR="00D76319">
        <w:t xml:space="preserve">the </w:t>
      </w:r>
      <w:r w:rsidR="00243A58">
        <w:t>previous</w:t>
      </w:r>
      <w:r w:rsidR="00243A58" w:rsidRPr="00243A58">
        <w:t xml:space="preserve"> three months. This is to allow the TGA time to review </w:t>
      </w:r>
      <w:r w:rsidR="00202342">
        <w:t>and assess</w:t>
      </w:r>
      <w:r w:rsidR="00243A58" w:rsidRPr="00243A58">
        <w:t xml:space="preserve"> new reports submitted.</w:t>
      </w:r>
      <w:r w:rsidR="00276E58">
        <w:t xml:space="preserve"> Furthermore, as the DAEN</w:t>
      </w:r>
      <w:r w:rsidR="00276E58" w:rsidRPr="00276E58">
        <w:t xml:space="preserve"> does not contain all known safety information about a particular medical device</w:t>
      </w:r>
      <w:r w:rsidR="00276E58">
        <w:t xml:space="preserve">, </w:t>
      </w:r>
      <w:r w:rsidR="00A1149B">
        <w:t xml:space="preserve">users are cautioned against </w:t>
      </w:r>
      <w:r w:rsidR="00AE33DB">
        <w:t xml:space="preserve">making </w:t>
      </w:r>
      <w:r w:rsidR="00276E58" w:rsidRPr="00276E58">
        <w:t>assessment about the safety of a medical device based on the information in</w:t>
      </w:r>
      <w:r w:rsidR="00AE33DB">
        <w:t xml:space="preserve"> the database. </w:t>
      </w:r>
    </w:p>
    <w:p w14:paraId="4460A45E" w14:textId="4C2AD7CB" w:rsidR="00366BEB" w:rsidRDefault="00D32707" w:rsidP="003C34B3">
      <w:r>
        <w:lastRenderedPageBreak/>
        <w:t xml:space="preserve">Users </w:t>
      </w:r>
      <w:r w:rsidR="00446308">
        <w:t>can</w:t>
      </w:r>
      <w:r>
        <w:t xml:space="preserve"> </w:t>
      </w:r>
      <w:r w:rsidR="004F5ED4">
        <w:t xml:space="preserve">execute a text query (for example, </w:t>
      </w:r>
      <w:r w:rsidR="00366BEB">
        <w:t xml:space="preserve">trade name, </w:t>
      </w:r>
      <w:r w:rsidR="00A22DF5">
        <w:t xml:space="preserve">sponsor, device descriptor etc., and specify a date range </w:t>
      </w:r>
      <w:r w:rsidR="00E03F8C">
        <w:t>for returned records (see figure below).</w:t>
      </w:r>
      <w:r w:rsidR="000F6E7B">
        <w:t xml:space="preserve"> Relatively l</w:t>
      </w:r>
      <w:r w:rsidR="00037FCB">
        <w:t>ittle information is provided</w:t>
      </w:r>
      <w:r w:rsidR="00A84771">
        <w:t xml:space="preserve"> in the returned reports</w:t>
      </w:r>
      <w:r w:rsidR="007864DF">
        <w:t>, with the</w:t>
      </w:r>
      <w:r w:rsidR="00A84771">
        <w:t xml:space="preserve"> likely</w:t>
      </w:r>
      <w:r w:rsidR="007864DF">
        <w:t xml:space="preserve"> k</w:t>
      </w:r>
      <w:r w:rsidR="00A84771">
        <w:t>ey field of interest for users being the ‘event description’.</w:t>
      </w:r>
      <w:r w:rsidR="001A5BA1">
        <w:t xml:space="preserve"> </w:t>
      </w:r>
    </w:p>
    <w:p w14:paraId="3EB4A46C" w14:textId="77777777" w:rsidR="00E10B65" w:rsidRDefault="00E10B65" w:rsidP="00B37DCC">
      <w:pPr>
        <w:pStyle w:val="Caption"/>
        <w:keepNext/>
      </w:pPr>
    </w:p>
    <w:p w14:paraId="0149DB8A" w14:textId="663C9F35" w:rsidR="00112799" w:rsidRDefault="00112799" w:rsidP="00B37DCC">
      <w:pPr>
        <w:pStyle w:val="Caption"/>
        <w:keepNext/>
      </w:pPr>
      <w:r>
        <w:t xml:space="preserve">Figure </w:t>
      </w:r>
      <w:r>
        <w:fldChar w:fldCharType="begin"/>
      </w:r>
      <w:r>
        <w:instrText>SEQ Figure \* ARABIC</w:instrText>
      </w:r>
      <w:r>
        <w:fldChar w:fldCharType="separate"/>
      </w:r>
      <w:r w:rsidR="00CA03EA">
        <w:rPr>
          <w:noProof/>
        </w:rPr>
        <w:t>3</w:t>
      </w:r>
      <w:r>
        <w:fldChar w:fldCharType="end"/>
      </w:r>
      <w:r>
        <w:t xml:space="preserve"> - </w:t>
      </w:r>
      <w:r w:rsidRPr="008F0C51">
        <w:t>DAEN – medical devices search interface</w:t>
      </w:r>
      <w:r>
        <w:rPr>
          <w:rStyle w:val="FootnoteReference"/>
        </w:rPr>
        <w:footnoteReference w:id="21"/>
      </w:r>
    </w:p>
    <w:p w14:paraId="2DEC46A0" w14:textId="54618096" w:rsidR="007D382F" w:rsidRPr="00410A99" w:rsidRDefault="007D382F" w:rsidP="007D382F">
      <w:pPr>
        <w:rPr>
          <w:rStyle w:val="Hyperlink"/>
          <w:sz w:val="16"/>
          <w:szCs w:val="16"/>
        </w:rPr>
      </w:pPr>
      <w:r>
        <w:rPr>
          <w:noProof/>
          <w:lang w:eastAsia="en-AU"/>
        </w:rPr>
        <w:drawing>
          <wp:inline distT="0" distB="0" distL="0" distR="0" wp14:anchorId="040E656D" wp14:editId="3755C2B1">
            <wp:extent cx="5457825" cy="4371975"/>
            <wp:effectExtent l="0" t="0" r="9525" b="9525"/>
            <wp:docPr id="189723894"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894" name="Picture 1" descr="A screenshot of a search box&#10;&#10;Description automatically generated"/>
                    <pic:cNvPicPr/>
                  </pic:nvPicPr>
                  <pic:blipFill>
                    <a:blip r:embed="rId17"/>
                    <a:stretch>
                      <a:fillRect/>
                    </a:stretch>
                  </pic:blipFill>
                  <pic:spPr>
                    <a:xfrm>
                      <a:off x="0" y="0"/>
                      <a:ext cx="5457825" cy="4371975"/>
                    </a:xfrm>
                    <a:prstGeom prst="rect">
                      <a:avLst/>
                    </a:prstGeom>
                  </pic:spPr>
                </pic:pic>
              </a:graphicData>
            </a:graphic>
          </wp:inline>
        </w:drawing>
      </w:r>
    </w:p>
    <w:p w14:paraId="04524F2E" w14:textId="77777777" w:rsidR="00211FC1" w:rsidRDefault="00211FC1">
      <w:pPr>
        <w:rPr>
          <w:rFonts w:eastAsia="Times New Roman" w:cs="Times New Roman"/>
          <w:b/>
          <w:bCs/>
          <w:color w:val="001871"/>
          <w:sz w:val="32"/>
          <w:szCs w:val="32"/>
        </w:rPr>
      </w:pPr>
      <w:r>
        <w:br w:type="page"/>
      </w:r>
    </w:p>
    <w:p w14:paraId="1328CB0F" w14:textId="0634F0D0" w:rsidR="003973FB" w:rsidRDefault="003973FB" w:rsidP="003973FB">
      <w:pPr>
        <w:pStyle w:val="Heading3"/>
      </w:pPr>
      <w:bookmarkStart w:id="39" w:name="_Toc179531300"/>
      <w:bookmarkStart w:id="40" w:name="_Toc188012847"/>
      <w:r>
        <w:lastRenderedPageBreak/>
        <w:t>Reporting medical device adverse events</w:t>
      </w:r>
      <w:bookmarkEnd w:id="39"/>
      <w:bookmarkEnd w:id="40"/>
      <w:r w:rsidR="0060794A" w:rsidRPr="0060794A">
        <w:rPr>
          <w:rFonts w:eastAsiaTheme="minorHAnsi" w:cstheme="minorBidi"/>
          <w:b w:val="0"/>
          <w:bCs w:val="0"/>
          <w:noProof/>
          <w:color w:val="auto"/>
          <w:sz w:val="20"/>
          <w:szCs w:val="20"/>
        </w:rPr>
        <w:t xml:space="preserve"> </w:t>
      </w:r>
    </w:p>
    <w:p w14:paraId="1E822B7F" w14:textId="602EDE5D" w:rsidR="00211FC1" w:rsidRDefault="00211FC1" w:rsidP="002C6787">
      <w:pPr>
        <w:pStyle w:val="Heading5"/>
      </w:pPr>
      <w:r>
        <w:t>Process overview – current state</w:t>
      </w:r>
    </w:p>
    <w:p w14:paraId="3ACAD3AA" w14:textId="0758FEBC" w:rsidR="00112799" w:rsidRDefault="00211FC1" w:rsidP="00112799">
      <w:r>
        <w:t>The figure below summarises the current process for mandatory and voluntary reporting of adverse events.</w:t>
      </w:r>
    </w:p>
    <w:p w14:paraId="1226F655" w14:textId="7EB0F1A6" w:rsidR="00112799" w:rsidRDefault="00112799" w:rsidP="00B37DCC">
      <w:pPr>
        <w:pStyle w:val="Caption"/>
        <w:keepNext/>
      </w:pPr>
      <w:r>
        <w:t xml:space="preserve">Figure </w:t>
      </w:r>
      <w:r>
        <w:fldChar w:fldCharType="begin"/>
      </w:r>
      <w:r>
        <w:instrText>SEQ Figure \* ARABIC</w:instrText>
      </w:r>
      <w:r>
        <w:fldChar w:fldCharType="separate"/>
      </w:r>
      <w:r w:rsidR="00CA03EA">
        <w:rPr>
          <w:noProof/>
        </w:rPr>
        <w:t>4</w:t>
      </w:r>
      <w:r>
        <w:fldChar w:fldCharType="end"/>
      </w:r>
      <w:r>
        <w:t xml:space="preserve"> - </w:t>
      </w:r>
      <w:r w:rsidRPr="004C559A">
        <w:t>Current process for medical device adverse event reporting</w:t>
      </w:r>
    </w:p>
    <w:p w14:paraId="51346A1E" w14:textId="1D203EA9" w:rsidR="00211FC1" w:rsidRDefault="00E4196E" w:rsidP="00B37DCC">
      <w:r w:rsidRPr="00E4196E">
        <w:rPr>
          <w:noProof/>
          <w:lang w:eastAsia="en-AU"/>
        </w:rPr>
        <w:drawing>
          <wp:inline distT="0" distB="0" distL="0" distR="0" wp14:anchorId="7910A046" wp14:editId="0DE19731">
            <wp:extent cx="5730737" cy="3182388"/>
            <wp:effectExtent l="0" t="0" r="3810" b="0"/>
            <wp:docPr id="1536990862" name="Picture 3">
              <a:extLst xmlns:a="http://schemas.openxmlformats.org/drawingml/2006/main">
                <a:ext uri="{FF2B5EF4-FFF2-40B4-BE49-F238E27FC236}">
                  <a16:creationId xmlns:a16="http://schemas.microsoft.com/office/drawing/2014/main" id="{AA34B48A-FD6C-A5CD-5CF0-A5EA9388A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34B48A-FD6C-A5CD-5CF0-A5EA9388AA3B}"/>
                        </a:ext>
                      </a:extLst>
                    </pic:cNvPr>
                    <pic:cNvPicPr>
                      <a:picLocks noChangeAspect="1"/>
                    </pic:cNvPicPr>
                  </pic:nvPicPr>
                  <pic:blipFill>
                    <a:blip r:embed="rId18"/>
                    <a:stretch>
                      <a:fillRect/>
                    </a:stretch>
                  </pic:blipFill>
                  <pic:spPr>
                    <a:xfrm>
                      <a:off x="0" y="0"/>
                      <a:ext cx="5730737" cy="3182388"/>
                    </a:xfrm>
                    <a:prstGeom prst="rect">
                      <a:avLst/>
                    </a:prstGeom>
                  </pic:spPr>
                </pic:pic>
              </a:graphicData>
            </a:graphic>
          </wp:inline>
        </w:drawing>
      </w:r>
    </w:p>
    <w:p w14:paraId="1F02BF1D" w14:textId="77777777" w:rsidR="003973FB" w:rsidRDefault="003973FB" w:rsidP="002C6787">
      <w:pPr>
        <w:pStyle w:val="Heading5"/>
      </w:pPr>
      <w:r>
        <w:t>Sponsor responsibilities</w:t>
      </w:r>
    </w:p>
    <w:p w14:paraId="526BB00C" w14:textId="11FB6BB8" w:rsidR="00F468C4" w:rsidRDefault="003973FB" w:rsidP="004E2743">
      <w:r w:rsidRPr="0027519E">
        <w:t xml:space="preserve">It is an automatic condition of inclusion under </w:t>
      </w:r>
      <w:r>
        <w:t xml:space="preserve">Regulation </w:t>
      </w:r>
      <w:r w:rsidRPr="0027519E">
        <w:t xml:space="preserve">5.7 of the </w:t>
      </w:r>
      <w:r w:rsidRPr="00A35DE4">
        <w:rPr>
          <w:i/>
        </w:rPr>
        <w:t>Therapeutic Goods (Medical Devices) Regulations 2002</w:t>
      </w:r>
      <w:r>
        <w:t xml:space="preserve"> </w:t>
      </w:r>
      <w:r w:rsidRPr="0027519E">
        <w:t>that sponsor</w:t>
      </w:r>
      <w:r w:rsidR="00E7563A">
        <w:t>s</w:t>
      </w:r>
      <w:r w:rsidRPr="0027519E">
        <w:t xml:space="preserve"> of medical device</w:t>
      </w:r>
      <w:r w:rsidR="00E7563A">
        <w:t>s</w:t>
      </w:r>
      <w:r w:rsidRPr="0027519E">
        <w:t xml:space="preserve"> report adverse events or near adverse events</w:t>
      </w:r>
      <w:r>
        <w:rPr>
          <w:rStyle w:val="FootnoteReference"/>
        </w:rPr>
        <w:footnoteReference w:id="22"/>
      </w:r>
      <w:r w:rsidRPr="0027519E">
        <w:t xml:space="preserve"> to the TGA Incident Reporting and Investigation Scheme (IRIS).</w:t>
      </w:r>
      <w:r w:rsidR="00D257B3">
        <w:rPr>
          <w:rStyle w:val="FootnoteReference"/>
        </w:rPr>
        <w:footnoteReference w:id="23"/>
      </w:r>
      <w:r w:rsidR="002734BA">
        <w:t xml:space="preserve"> </w:t>
      </w:r>
      <w:r w:rsidR="004E2743">
        <w:t>IRIS reports include information about the adverse event and the medical device, and other information such as how the adverse event was treated. Adverse event reports submitted via the TGA website automatically flow through to the IRIS database.</w:t>
      </w:r>
    </w:p>
    <w:p w14:paraId="28397CFB" w14:textId="650D831C" w:rsidR="00ED7A56" w:rsidRDefault="002734BA" w:rsidP="002734BA">
      <w:r>
        <w:t xml:space="preserve">Consumers or health professionals can notify the product sponsor (and/or manufacturer) of the adverse event directly, or, if the adverse event occurred in a healthcare facility, indirectly via the facility’s product/quality manager who will then notify the device sponsor. Manufacturers may also become aware of an adverse event </w:t>
      </w:r>
      <w:r w:rsidR="00ED7A56">
        <w:t xml:space="preserve">(which has occurred in Australia) </w:t>
      </w:r>
      <w:r>
        <w:t>related to one of their</w:t>
      </w:r>
      <w:r w:rsidR="00ED7A56">
        <w:t xml:space="preserve"> </w:t>
      </w:r>
      <w:r>
        <w:t xml:space="preserve">devices. In this case the manufacturer must notify the device sponsor. </w:t>
      </w:r>
    </w:p>
    <w:p w14:paraId="5D8A05B6" w14:textId="549B9BCC" w:rsidR="003973FB" w:rsidRDefault="003973FB" w:rsidP="003973FB">
      <w:r>
        <w:lastRenderedPageBreak/>
        <w:t xml:space="preserve">Initial adverse </w:t>
      </w:r>
      <w:r w:rsidR="00C519B2">
        <w:t xml:space="preserve">event </w:t>
      </w:r>
      <w:r>
        <w:t xml:space="preserve">reports are required to be submitted in accordance with the below </w:t>
      </w:r>
      <w:r w:rsidR="00870A24">
        <w:t xml:space="preserve">legislated </w:t>
      </w:r>
      <w:r>
        <w:t>timeframes</w:t>
      </w:r>
      <w:r w:rsidR="00037B26">
        <w:rPr>
          <w:rStyle w:val="FootnoteReference"/>
        </w:rPr>
        <w:footnoteReference w:id="24"/>
      </w:r>
      <w:r w:rsidR="00990016">
        <w:t xml:space="preserve"> (unless they believe that an exemption rule can be applied)</w:t>
      </w:r>
      <w:r>
        <w:t>:</w:t>
      </w:r>
    </w:p>
    <w:p w14:paraId="130A00EB" w14:textId="71356661" w:rsidR="003973FB" w:rsidRDefault="003973FB" w:rsidP="003973FB">
      <w:pPr>
        <w:pStyle w:val="Bullet1"/>
      </w:pPr>
      <w:r>
        <w:t>within</w:t>
      </w:r>
      <w:r w:rsidR="00F01074">
        <w:t xml:space="preserve"> 2 </w:t>
      </w:r>
      <w:r>
        <w:t>days of becoming aware of an issue of serious public health threat or concern that will require prompt action to reduce the hazard</w:t>
      </w:r>
    </w:p>
    <w:p w14:paraId="01D1FD22" w14:textId="41A7B6FA" w:rsidR="003973FB" w:rsidRDefault="003973FB" w:rsidP="003973FB">
      <w:pPr>
        <w:pStyle w:val="Bullet1"/>
      </w:pPr>
      <w:r>
        <w:t xml:space="preserve">within </w:t>
      </w:r>
      <w:r w:rsidR="00F01074">
        <w:t>10</w:t>
      </w:r>
      <w:r>
        <w:t xml:space="preserve"> days of becoming aware of a death or serious injury</w:t>
      </w:r>
      <w:r w:rsidR="009D2E01">
        <w:t xml:space="preserve">  </w:t>
      </w:r>
    </w:p>
    <w:p w14:paraId="6FE8B8F2" w14:textId="536AADE0" w:rsidR="003973FB" w:rsidRPr="004D5F55" w:rsidRDefault="003973FB" w:rsidP="003973FB">
      <w:pPr>
        <w:pStyle w:val="Bullet1"/>
      </w:pPr>
      <w:r>
        <w:t>within</w:t>
      </w:r>
      <w:r w:rsidR="00F01074">
        <w:t xml:space="preserve"> 30</w:t>
      </w:r>
      <w:r>
        <w:t xml:space="preserve"> days of becoming aware of an event that might have led to serious injury or death.</w:t>
      </w:r>
    </w:p>
    <w:p w14:paraId="669BE88B" w14:textId="6A04EDB5" w:rsidR="00870A24" w:rsidRDefault="003973FB" w:rsidP="003973FB">
      <w:r>
        <w:t xml:space="preserve">Additional information is to be provided as it becomes available. Updates on the status of </w:t>
      </w:r>
      <w:r w:rsidR="000426F1">
        <w:t xml:space="preserve">any </w:t>
      </w:r>
      <w:r>
        <w:t>internal manufacturing investigations are expected to be provided to the TGA at regular intervals (defined as no less than every 30 days) with</w:t>
      </w:r>
      <w:r w:rsidR="0008475D">
        <w:t xml:space="preserve"> </w:t>
      </w:r>
      <w:r>
        <w:t xml:space="preserve">a final report provided within </w:t>
      </w:r>
      <w:r w:rsidR="0008475D">
        <w:t>120</w:t>
      </w:r>
      <w:r>
        <w:t xml:space="preserve"> days following the submission of the initial report. </w:t>
      </w:r>
      <w:r w:rsidR="004B6E56">
        <w:t>The final report will provide detailed information about the incident including details of the conduct and the outcome of the manufacture</w:t>
      </w:r>
      <w:r w:rsidR="00A111F1">
        <w:t xml:space="preserve">r’s investigation of the incident. </w:t>
      </w:r>
    </w:p>
    <w:p w14:paraId="4E0C1394" w14:textId="0FC6CB56" w:rsidR="003973FB" w:rsidRDefault="003973FB" w:rsidP="003973FB">
      <w:r>
        <w:t>Reports are submitted electronically via the Medical Device Incident Report (M</w:t>
      </w:r>
      <w:r w:rsidR="003D450F">
        <w:t>DI</w:t>
      </w:r>
      <w:r>
        <w:t xml:space="preserve">R) application contained within the TGA Business Services (TBS) portal. </w:t>
      </w:r>
    </w:p>
    <w:p w14:paraId="4057E251" w14:textId="3D5BC6D8" w:rsidR="003973FB" w:rsidRDefault="003973FB" w:rsidP="003973FB">
      <w:pPr>
        <w:pStyle w:val="Heading6"/>
      </w:pPr>
      <w:r>
        <w:t>Other reporting of adverse events</w:t>
      </w:r>
    </w:p>
    <w:p w14:paraId="2D907D81" w14:textId="30FA9CCF" w:rsidR="003973FB" w:rsidRDefault="003973FB" w:rsidP="003973FB">
      <w:r>
        <w:t>S</w:t>
      </w:r>
      <w:r w:rsidRPr="001407AE">
        <w:t>tate and territory health departments</w:t>
      </w:r>
      <w:r>
        <w:t xml:space="preserve">, </w:t>
      </w:r>
      <w:r w:rsidRPr="001407AE">
        <w:t>hospitals, health professionals and consumers</w:t>
      </w:r>
      <w:r>
        <w:t xml:space="preserve"> are also able to submit adverse event reports</w:t>
      </w:r>
      <w:r w:rsidR="00EF29F5">
        <w:t>,</w:t>
      </w:r>
      <w:r>
        <w:t xml:space="preserve"> though, unlike for sponsors</w:t>
      </w:r>
      <w:r w:rsidR="00D11D9A">
        <w:t xml:space="preserve"> and manufacturers</w:t>
      </w:r>
      <w:r>
        <w:t>, this reporting is entirely voluntary. Separate online forms have been created for the reporting of medical device incidents by consumers and by health professionals (see the figures below).</w:t>
      </w:r>
    </w:p>
    <w:p w14:paraId="2973682F" w14:textId="75C36F65" w:rsidR="00112799" w:rsidRDefault="00112799" w:rsidP="00B37DCC">
      <w:pPr>
        <w:pStyle w:val="Caption"/>
        <w:keepNext/>
      </w:pPr>
      <w:r>
        <w:t xml:space="preserve">Figure </w:t>
      </w:r>
      <w:r>
        <w:fldChar w:fldCharType="begin"/>
      </w:r>
      <w:r>
        <w:instrText>SEQ Figure \* ARABIC</w:instrText>
      </w:r>
      <w:r>
        <w:fldChar w:fldCharType="separate"/>
      </w:r>
      <w:r w:rsidR="00CA03EA">
        <w:rPr>
          <w:noProof/>
        </w:rPr>
        <w:t>5</w:t>
      </w:r>
      <w:r>
        <w:fldChar w:fldCharType="end"/>
      </w:r>
      <w:r>
        <w:t xml:space="preserve"> - </w:t>
      </w:r>
      <w:r w:rsidRPr="005D165B">
        <w:t>Consumer Online Medical Device Incident Report Form</w:t>
      </w:r>
      <w:r>
        <w:rPr>
          <w:rStyle w:val="FootnoteReference"/>
        </w:rPr>
        <w:footnoteReference w:id="25"/>
      </w:r>
    </w:p>
    <w:p w14:paraId="72F47FB9" w14:textId="77777777" w:rsidR="003973FB" w:rsidRPr="00AB5448" w:rsidRDefault="003973FB" w:rsidP="003973FB">
      <w:r w:rsidRPr="00506AAE">
        <w:rPr>
          <w:noProof/>
          <w:lang w:eastAsia="en-AU"/>
        </w:rPr>
        <w:drawing>
          <wp:inline distT="0" distB="0" distL="0" distR="0" wp14:anchorId="109D8E8A" wp14:editId="0771EB2D">
            <wp:extent cx="5144494" cy="3481339"/>
            <wp:effectExtent l="0" t="0" r="0" b="5080"/>
            <wp:docPr id="1443335394" name="Picture 14433353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85464" name="Picture 1" descr="A screenshot of a computer&#10;&#10;Description automatically generated"/>
                    <pic:cNvPicPr/>
                  </pic:nvPicPr>
                  <pic:blipFill>
                    <a:blip r:embed="rId19"/>
                    <a:stretch>
                      <a:fillRect/>
                    </a:stretch>
                  </pic:blipFill>
                  <pic:spPr>
                    <a:xfrm>
                      <a:off x="0" y="0"/>
                      <a:ext cx="5150326" cy="3485285"/>
                    </a:xfrm>
                    <a:prstGeom prst="rect">
                      <a:avLst/>
                    </a:prstGeom>
                  </pic:spPr>
                </pic:pic>
              </a:graphicData>
            </a:graphic>
          </wp:inline>
        </w:drawing>
      </w:r>
    </w:p>
    <w:p w14:paraId="337E6106" w14:textId="77777777" w:rsidR="00112799" w:rsidRDefault="00112799">
      <w:pPr>
        <w:rPr>
          <w:rFonts w:eastAsia="Times New Roman" w:cs="Times New Roman"/>
          <w:b/>
          <w:bCs/>
          <w:i/>
          <w:color w:val="001871"/>
          <w:sz w:val="24"/>
          <w:szCs w:val="21"/>
        </w:rPr>
      </w:pPr>
      <w:r>
        <w:br w:type="page"/>
      </w:r>
    </w:p>
    <w:p w14:paraId="59F255DA" w14:textId="0602C64E" w:rsidR="006F1182" w:rsidRDefault="006F1182" w:rsidP="006F1182">
      <w:pPr>
        <w:pStyle w:val="Heading6"/>
      </w:pPr>
      <w:r>
        <w:lastRenderedPageBreak/>
        <w:t>Risk assessment</w:t>
      </w:r>
    </w:p>
    <w:p w14:paraId="4A6A0ED8" w14:textId="18F3E0E4" w:rsidR="00307516" w:rsidRDefault="00307516" w:rsidP="006F1182">
      <w:r>
        <w:t>TGA staff undertake risk-based assessments of the IRIS reports to determine the appropriate investigation required</w:t>
      </w:r>
      <w:r w:rsidR="006A7671">
        <w:rPr>
          <w:rStyle w:val="FootnoteReference"/>
        </w:rPr>
        <w:footnoteReference w:id="26"/>
      </w:r>
      <w:r>
        <w:t>. Serious adverse events are prioritised for investigation.</w:t>
      </w:r>
      <w:r w:rsidR="001D1523">
        <w:t xml:space="preserve"> The </w:t>
      </w:r>
      <w:r w:rsidR="007B54B8">
        <w:t>assessments</w:t>
      </w:r>
      <w:r w:rsidR="001D1523">
        <w:t xml:space="preserve"> and </w:t>
      </w:r>
      <w:r w:rsidR="007B54B8">
        <w:t>investigations can result in a number of different outcomes.</w:t>
      </w:r>
    </w:p>
    <w:p w14:paraId="4C946662" w14:textId="07511329" w:rsidR="00307516" w:rsidRDefault="00307516" w:rsidP="006F1182">
      <w:r w:rsidRPr="00307516">
        <w:rPr>
          <w:b/>
          <w:bCs/>
        </w:rPr>
        <w:t>No regulatory action required</w:t>
      </w:r>
      <w:r>
        <w:t xml:space="preserve">: If the TGA determines the adverse event is not of significant concern to public health, (e.g., if the incident is isolated, or appropriate preventative measures are in place to reduce the risk of further adverse events), no regulatory action is taken. Rather, these incidents are entered into IRIS and assessed as part of a broader trend analysis. Should there be an increase in reports for </w:t>
      </w:r>
      <w:r w:rsidR="004028FB">
        <w:t>certain device categories,</w:t>
      </w:r>
      <w:r w:rsidR="00D17283">
        <w:t xml:space="preserve"> </w:t>
      </w:r>
      <w:r>
        <w:t xml:space="preserve">further investigation may be undertaken. </w:t>
      </w:r>
    </w:p>
    <w:p w14:paraId="68AECE01" w14:textId="22A55FD7" w:rsidR="006F1182" w:rsidRDefault="00307516" w:rsidP="006F1182">
      <w:r w:rsidRPr="00307516">
        <w:rPr>
          <w:b/>
          <w:bCs/>
        </w:rPr>
        <w:t>Regulatory action required</w:t>
      </w:r>
      <w:r>
        <w:t xml:space="preserve">: If it is determined the adverse event is a significant risk to public health (e.g., there are a large number of reports or the impact is significant), further investigation will be undertaken and may result in regulatory action. This may include communicating with various stakeholders, enforcing product </w:t>
      </w:r>
      <w:r w:rsidR="00F371AB">
        <w:t xml:space="preserve">information </w:t>
      </w:r>
      <w:r>
        <w:t>changes, limiting the use of the device, conducting additional post-market studies, or cancelling the product from the</w:t>
      </w:r>
      <w:r w:rsidR="00F61C76">
        <w:t xml:space="preserve"> </w:t>
      </w:r>
      <w:r w:rsidR="00CB315A">
        <w:t>ARTG</w:t>
      </w:r>
      <w:r w:rsidR="006E0AC3">
        <w:t>.</w:t>
      </w:r>
    </w:p>
    <w:p w14:paraId="71D315CD" w14:textId="132F79D8" w:rsidR="00F77768" w:rsidRDefault="00F77768" w:rsidP="00F77768">
      <w:r>
        <w:t>There are four distinct recall actions available to sponsors, as detailed below:</w:t>
      </w:r>
    </w:p>
    <w:p w14:paraId="7F418761" w14:textId="77777777" w:rsidR="00532971" w:rsidRDefault="00F77768" w:rsidP="00F77768">
      <w:pPr>
        <w:pStyle w:val="Bullet1"/>
      </w:pPr>
      <w:r w:rsidRPr="00F77768">
        <w:rPr>
          <w:b/>
          <w:bCs/>
        </w:rPr>
        <w:t>Recall</w:t>
      </w:r>
      <w:r>
        <w:rPr>
          <w:b/>
          <w:bCs/>
        </w:rPr>
        <w:t xml:space="preserve">. </w:t>
      </w:r>
      <w:r w:rsidRPr="00BB6919">
        <w:t>C</w:t>
      </w:r>
      <w:r>
        <w:t>onducted to remove therapeutic goods permanently from the market or from use when there are deficiencies or potential deficiencies in safety, quality, efficacy, performance or presentation.</w:t>
      </w:r>
    </w:p>
    <w:p w14:paraId="6EA5EC59" w14:textId="5CE520EF" w:rsidR="00532971" w:rsidRDefault="00F77768" w:rsidP="00F77768">
      <w:pPr>
        <w:pStyle w:val="Bullet1"/>
      </w:pPr>
      <w:r w:rsidRPr="00532971">
        <w:rPr>
          <w:b/>
          <w:bCs/>
        </w:rPr>
        <w:t>Product defect correction</w:t>
      </w:r>
      <w:r w:rsidR="00532971">
        <w:t>. U</w:t>
      </w:r>
      <w:r>
        <w:t xml:space="preserve">ndertaken to correct a specific or potential deficiency and includes repair, modification, </w:t>
      </w:r>
      <w:r w:rsidR="004E0950">
        <w:t>adjustment,</w:t>
      </w:r>
      <w:r>
        <w:t xml:space="preserve"> or re-labelling of a therapeutic good. Corrections involving a product’s expiry date or updates or changes to any accessories, operating instructions or software. The corrective action may take place at the user's premises or any other agreed location. In some instances, the product can continue to be used if there is robust mitigation in place until a permanent correction has been implemented.</w:t>
      </w:r>
    </w:p>
    <w:p w14:paraId="6D79B779" w14:textId="4C58C48A" w:rsidR="00EA3D56" w:rsidRDefault="00F77768" w:rsidP="00F77768">
      <w:pPr>
        <w:pStyle w:val="Bullet1"/>
      </w:pPr>
      <w:r w:rsidRPr="00532971">
        <w:rPr>
          <w:b/>
          <w:bCs/>
        </w:rPr>
        <w:t>Hazard alert</w:t>
      </w:r>
      <w:r w:rsidR="00532971">
        <w:t>. A</w:t>
      </w:r>
      <w:r>
        <w:t xml:space="preserve"> hazard alert is issued for an implanted therapeutic good with a deficiency or potential deficiency relating to its safety, quality, </w:t>
      </w:r>
      <w:r w:rsidR="00503616">
        <w:t xml:space="preserve">or </w:t>
      </w:r>
      <w:r w:rsidR="004E0950">
        <w:t>performance,</w:t>
      </w:r>
      <w:r>
        <w:t xml:space="preserve"> because implanted goods (medical devices or biologicals or medicines) cannot be recalled. The hazard alert will typically contain precautionary information issued to healthcare professionals about issues or deficiencies relating to an implanted therapeutic good and advice about the ongoing management of affected patients. There may or may not be advice to consumers in the event the hazard alert is published on the TGA Website. A hazard alert may also be issued in conjunction with a recall notice for affected products that have not yet been implanted.</w:t>
      </w:r>
    </w:p>
    <w:p w14:paraId="6D56ED07" w14:textId="547A1F1F" w:rsidR="004B168C" w:rsidRDefault="00F77768" w:rsidP="006F1182">
      <w:pPr>
        <w:pStyle w:val="Bullet1"/>
      </w:pPr>
      <w:r w:rsidRPr="00EA3D56">
        <w:rPr>
          <w:b/>
          <w:bCs/>
        </w:rPr>
        <w:t>Product defect alert</w:t>
      </w:r>
      <w:r w:rsidR="00EA3D56">
        <w:rPr>
          <w:b/>
          <w:bCs/>
        </w:rPr>
        <w:t>.</w:t>
      </w:r>
      <w:r>
        <w:t xml:space="preserve"> </w:t>
      </w:r>
      <w:r w:rsidR="00EA3D56">
        <w:t>A</w:t>
      </w:r>
      <w:r>
        <w:t>llows the informed, continued use of defective but critical therapeutic goods, raises awareness of the issue and describes the precautionary actions that clinicians or patients may take to mitigate any associated risk. A product defect alert may later be followed by a recall once unaffected or alternative products become available. It is often the case that a product defect alert is utilised where there is no alternative product available at the time and/or for which a recall action will result in a significant interruption of patient treatment or a medicine shortage, either of which would likely present greater adverse clinical sequelae than the defect itself.</w:t>
      </w:r>
    </w:p>
    <w:p w14:paraId="61EE5534" w14:textId="3E049598" w:rsidR="00C4228F" w:rsidRDefault="00C4228F" w:rsidP="00582F14">
      <w:r>
        <w:t xml:space="preserve">Most recall actions are voluntarily initiated by the </w:t>
      </w:r>
      <w:r w:rsidR="00522D8F">
        <w:t>sponsor</w:t>
      </w:r>
      <w:r>
        <w:t xml:space="preserve"> once they become aware of a problem. The sponsor has responsibility for the recovery and disposal of the goods or completion of the agreed corrective action.</w:t>
      </w:r>
      <w:r w:rsidR="00522D8F">
        <w:t xml:space="preserve"> </w:t>
      </w:r>
      <w:r>
        <w:t xml:space="preserve">If necessary, the TGA does have legislative powers to mandate the recall of therapeutic goods under </w:t>
      </w:r>
      <w:r w:rsidR="002E3628">
        <w:t xml:space="preserve">Section 41K of the </w:t>
      </w:r>
      <w:r w:rsidR="002E3628" w:rsidRPr="00093ED4">
        <w:rPr>
          <w:i/>
          <w:iCs/>
        </w:rPr>
        <w:t>T</w:t>
      </w:r>
      <w:r w:rsidR="00512B4A" w:rsidRPr="00093ED4">
        <w:rPr>
          <w:i/>
          <w:iCs/>
        </w:rPr>
        <w:t>herapeutic Goods Act</w:t>
      </w:r>
      <w:r w:rsidR="00093ED4">
        <w:t xml:space="preserve"> </w:t>
      </w:r>
      <w:r w:rsidR="00093ED4" w:rsidRPr="00093ED4">
        <w:rPr>
          <w:i/>
          <w:iCs/>
        </w:rPr>
        <w:t>1989</w:t>
      </w:r>
      <w:r w:rsidR="00512B4A">
        <w:t>, namely</w:t>
      </w:r>
      <w:r w:rsidR="00A811AD">
        <w:t>:</w:t>
      </w:r>
    </w:p>
    <w:p w14:paraId="5E5F5C25" w14:textId="680FE8AC" w:rsidR="00A811AD" w:rsidRPr="008F51CE" w:rsidRDefault="00512B4A" w:rsidP="00582F14">
      <w:pPr>
        <w:pStyle w:val="Quote"/>
        <w:ind w:left="142" w:right="521"/>
        <w:rPr>
          <w:rFonts w:cs="Arial"/>
        </w:rPr>
      </w:pPr>
      <w:r w:rsidRPr="00582F14">
        <w:rPr>
          <w:rFonts w:ascii="Arial" w:hAnsi="Arial" w:cs="Arial"/>
          <w:sz w:val="20"/>
          <w:szCs w:val="20"/>
        </w:rPr>
        <w:t>The Secretary can require action to recall medical devices, or to inform the public about medical devices, that do not comply with requirements or cannot lawfully be supplied.</w:t>
      </w:r>
    </w:p>
    <w:p w14:paraId="0AAD62AC" w14:textId="09F0134C" w:rsidR="00B811C8" w:rsidRDefault="00B811C8" w:rsidP="00B37DCC">
      <w:r>
        <w:lastRenderedPageBreak/>
        <w:t>The table below details the outcomes of medical device incident reports received over the last five financial years</w:t>
      </w:r>
      <w:r w:rsidR="00AB74B4">
        <w:t xml:space="preserve"> (n</w:t>
      </w:r>
      <w:r w:rsidR="0072546A">
        <w:t>=37,540)</w:t>
      </w:r>
      <w:r>
        <w:t>.</w:t>
      </w:r>
      <w:r w:rsidR="00033DA2">
        <w:t xml:space="preserve"> </w:t>
      </w:r>
      <w:r w:rsidR="005545EF">
        <w:t xml:space="preserve">Of the reports received less than 5% </w:t>
      </w:r>
      <w:r w:rsidR="00056E34">
        <w:t xml:space="preserve">(4.29%) were investigated, of which </w:t>
      </w:r>
      <w:r w:rsidR="003E1426">
        <w:t>for over two-thirds (70.33%) there was no other outcome</w:t>
      </w:r>
      <w:r w:rsidR="009F3B6F">
        <w:t>.</w:t>
      </w:r>
      <w:r w:rsidR="004D4F43">
        <w:t xml:space="preserve"> Of those investigations that did result in </w:t>
      </w:r>
      <w:r w:rsidR="00EC359E">
        <w:t xml:space="preserve">a specific outcome, the highest outcomes relate to </w:t>
      </w:r>
      <w:r w:rsidR="00BC5213">
        <w:t>product corrections (</w:t>
      </w:r>
      <w:r w:rsidR="001D0854">
        <w:rPr>
          <w:rFonts w:cs="Arial"/>
        </w:rPr>
        <w:t>≈</w:t>
      </w:r>
      <w:r w:rsidR="00A15B53">
        <w:t xml:space="preserve">4%) </w:t>
      </w:r>
      <w:r w:rsidR="005E0FDB">
        <w:t xml:space="preserve">and product recalls </w:t>
      </w:r>
      <w:r w:rsidR="00610A9D">
        <w:t>(</w:t>
      </w:r>
      <w:r w:rsidR="00610A9D">
        <w:rPr>
          <w:rFonts w:cs="Arial"/>
        </w:rPr>
        <w:t>≈</w:t>
      </w:r>
      <w:r w:rsidR="00610A9D">
        <w:t xml:space="preserve">3%). </w:t>
      </w:r>
      <w:r w:rsidR="00421103">
        <w:t xml:space="preserve">Approximately 1% of outcomes resulted in products being having their ARTG </w:t>
      </w:r>
      <w:r w:rsidR="003523E2">
        <w:t xml:space="preserve">entry cancelled or suspended. </w:t>
      </w:r>
    </w:p>
    <w:p w14:paraId="1BE49E4F" w14:textId="019E080C" w:rsidR="00112799" w:rsidRDefault="00112799" w:rsidP="00B37DCC">
      <w:pPr>
        <w:pStyle w:val="Caption"/>
        <w:keepNext/>
      </w:pPr>
      <w:r>
        <w:t xml:space="preserve">Table </w:t>
      </w:r>
      <w:r>
        <w:fldChar w:fldCharType="begin"/>
      </w:r>
      <w:r>
        <w:instrText>SEQ Table \* ARABIC</w:instrText>
      </w:r>
      <w:r>
        <w:fldChar w:fldCharType="separate"/>
      </w:r>
      <w:r w:rsidR="00CA03EA">
        <w:rPr>
          <w:noProof/>
        </w:rPr>
        <w:t>3</w:t>
      </w:r>
      <w:r>
        <w:fldChar w:fldCharType="end"/>
      </w:r>
      <w:r>
        <w:t xml:space="preserve"> - </w:t>
      </w:r>
      <w:r w:rsidRPr="009F13BC">
        <w:t>Medical devices incident report outcomes (2019 Quarter 1 to 2023 Quarter 3)</w:t>
      </w:r>
      <w:r w:rsidRPr="00112799">
        <w:rPr>
          <w:rStyle w:val="FootnoteReference"/>
        </w:rPr>
        <w:t xml:space="preserve"> </w:t>
      </w:r>
      <w:r>
        <w:rPr>
          <w:rStyle w:val="FootnoteReference"/>
        </w:rPr>
        <w:footnoteReference w:id="27"/>
      </w:r>
    </w:p>
    <w:tbl>
      <w:tblPr>
        <w:tblW w:w="6692" w:type="dxa"/>
        <w:tblLook w:val="04A0" w:firstRow="1" w:lastRow="0" w:firstColumn="1" w:lastColumn="0" w:noHBand="0" w:noVBand="1"/>
      </w:tblPr>
      <w:tblGrid>
        <w:gridCol w:w="4536"/>
        <w:gridCol w:w="1060"/>
        <w:gridCol w:w="1096"/>
      </w:tblGrid>
      <w:tr w:rsidR="00B811C8" w:rsidRPr="00240CB6" w14:paraId="482C37BE" w14:textId="77777777" w:rsidTr="006527BE">
        <w:trPr>
          <w:trHeight w:val="287"/>
          <w:tblHeader/>
        </w:trPr>
        <w:tc>
          <w:tcPr>
            <w:tcW w:w="4536" w:type="dxa"/>
            <w:tcBorders>
              <w:top w:val="nil"/>
              <w:left w:val="nil"/>
              <w:bottom w:val="nil"/>
              <w:right w:val="nil"/>
            </w:tcBorders>
            <w:shd w:val="clear" w:color="000000" w:fill="002060"/>
            <w:vAlign w:val="center"/>
            <w:hideMark/>
          </w:tcPr>
          <w:p w14:paraId="38AF1250" w14:textId="77777777" w:rsidR="00B811C8" w:rsidRPr="00240CB6" w:rsidRDefault="00B811C8">
            <w:pPr>
              <w:spacing w:after="0" w:line="240" w:lineRule="auto"/>
              <w:jc w:val="center"/>
              <w:rPr>
                <w:rFonts w:ascii="Overpass" w:eastAsia="Times New Roman" w:hAnsi="Overpass" w:cs="Calibri"/>
                <w:b/>
                <w:bCs/>
                <w:color w:val="FFFFFF"/>
                <w:sz w:val="18"/>
                <w:szCs w:val="18"/>
                <w:lang w:eastAsia="en-AU"/>
              </w:rPr>
            </w:pPr>
            <w:r w:rsidRPr="00240CB6">
              <w:rPr>
                <w:rFonts w:ascii="Overpass" w:eastAsia="Times New Roman" w:hAnsi="Overpass" w:cs="Calibri"/>
                <w:b/>
                <w:bCs/>
                <w:color w:val="FFFFFF"/>
                <w:sz w:val="18"/>
                <w:szCs w:val="18"/>
                <w:lang w:eastAsia="en-AU"/>
              </w:rPr>
              <w:t>Incident Report Outcome</w:t>
            </w:r>
            <w:r>
              <w:rPr>
                <w:rFonts w:ascii="Overpass" w:eastAsia="Times New Roman" w:hAnsi="Overpass" w:cs="Calibri"/>
                <w:b/>
                <w:bCs/>
                <w:color w:val="FFFFFF"/>
                <w:sz w:val="18"/>
                <w:szCs w:val="18"/>
                <w:lang w:eastAsia="en-AU"/>
              </w:rPr>
              <w:t>*</w:t>
            </w:r>
          </w:p>
        </w:tc>
        <w:tc>
          <w:tcPr>
            <w:tcW w:w="1060" w:type="dxa"/>
            <w:tcBorders>
              <w:top w:val="nil"/>
              <w:left w:val="nil"/>
              <w:bottom w:val="nil"/>
              <w:right w:val="nil"/>
            </w:tcBorders>
            <w:shd w:val="clear" w:color="000000" w:fill="002060"/>
            <w:vAlign w:val="center"/>
            <w:hideMark/>
          </w:tcPr>
          <w:p w14:paraId="2F5E58E3" w14:textId="7E1CDCDA" w:rsidR="00B811C8" w:rsidRPr="00240CB6" w:rsidRDefault="00C254D2">
            <w:pPr>
              <w:spacing w:after="0" w:line="240" w:lineRule="auto"/>
              <w:jc w:val="center"/>
              <w:rPr>
                <w:rFonts w:ascii="Overpass" w:eastAsia="Times New Roman" w:hAnsi="Overpass" w:cs="Calibri"/>
                <w:b/>
                <w:bCs/>
                <w:color w:val="FFFFFF"/>
                <w:sz w:val="18"/>
                <w:szCs w:val="18"/>
                <w:lang w:eastAsia="en-AU"/>
              </w:rPr>
            </w:pPr>
            <w:r>
              <w:rPr>
                <w:rFonts w:ascii="Overpass" w:eastAsia="Times New Roman" w:hAnsi="Overpass" w:cs="Calibri"/>
                <w:b/>
                <w:bCs/>
                <w:color w:val="FFFFFF"/>
                <w:sz w:val="18"/>
                <w:szCs w:val="18"/>
                <w:lang w:eastAsia="en-AU"/>
              </w:rPr>
              <w:t>2019-2023</w:t>
            </w:r>
          </w:p>
        </w:tc>
        <w:tc>
          <w:tcPr>
            <w:tcW w:w="1096" w:type="dxa"/>
            <w:tcBorders>
              <w:top w:val="nil"/>
              <w:left w:val="nil"/>
              <w:bottom w:val="nil"/>
              <w:right w:val="nil"/>
            </w:tcBorders>
            <w:shd w:val="clear" w:color="000000" w:fill="002060"/>
          </w:tcPr>
          <w:p w14:paraId="7C322326" w14:textId="13601879" w:rsidR="00485195" w:rsidRDefault="00485195">
            <w:pPr>
              <w:spacing w:after="0" w:line="240" w:lineRule="auto"/>
              <w:jc w:val="center"/>
              <w:rPr>
                <w:rFonts w:ascii="Overpass" w:eastAsia="Times New Roman" w:hAnsi="Overpass" w:cs="Calibri"/>
                <w:b/>
                <w:bCs/>
                <w:color w:val="FFFFFF"/>
                <w:sz w:val="18"/>
                <w:szCs w:val="18"/>
                <w:lang w:eastAsia="en-AU"/>
              </w:rPr>
            </w:pPr>
            <w:r>
              <w:rPr>
                <w:rFonts w:ascii="Overpass" w:eastAsia="Times New Roman" w:hAnsi="Overpass" w:cs="Calibri"/>
                <w:b/>
                <w:bCs/>
                <w:color w:val="FFFFFF"/>
                <w:sz w:val="18"/>
                <w:szCs w:val="18"/>
                <w:lang w:eastAsia="en-AU"/>
              </w:rPr>
              <w:t>%</w:t>
            </w:r>
            <w:r w:rsidR="00C254D2">
              <w:rPr>
                <w:rFonts w:ascii="Overpass" w:eastAsia="Times New Roman" w:hAnsi="Overpass" w:cs="Calibri"/>
                <w:b/>
                <w:bCs/>
                <w:color w:val="FFFFFF"/>
                <w:sz w:val="18"/>
                <w:szCs w:val="18"/>
                <w:lang w:eastAsia="en-AU"/>
              </w:rPr>
              <w:t xml:space="preserve"> of Outcomes</w:t>
            </w:r>
          </w:p>
        </w:tc>
      </w:tr>
      <w:tr w:rsidR="00B811C8" w:rsidRPr="00240CB6" w14:paraId="18BD774B" w14:textId="77777777" w:rsidTr="006527BE">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482B" w14:textId="72F42BFB" w:rsidR="00B811C8" w:rsidRPr="00C254D2" w:rsidRDefault="00C254D2">
            <w:pPr>
              <w:spacing w:after="0" w:line="240" w:lineRule="auto"/>
              <w:rPr>
                <w:rFonts w:eastAsia="Times New Roman" w:cs="Arial"/>
                <w:color w:val="000000"/>
                <w:sz w:val="18"/>
                <w:szCs w:val="18"/>
                <w:lang w:eastAsia="en-AU"/>
              </w:rPr>
            </w:pPr>
            <w:r w:rsidRPr="00C254D2">
              <w:rPr>
                <w:rFonts w:cs="Arial"/>
                <w:color w:val="000000"/>
                <w:sz w:val="18"/>
                <w:szCs w:val="18"/>
              </w:rPr>
              <w:t>Reviewed, for Trending Purposes Only</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2D472C8" w14:textId="6F144983" w:rsidR="00B811C8" w:rsidRPr="00C254D2" w:rsidRDefault="00C254D2">
            <w:pPr>
              <w:spacing w:after="0" w:line="240" w:lineRule="auto"/>
              <w:jc w:val="right"/>
              <w:rPr>
                <w:rFonts w:eastAsia="Times New Roman" w:cs="Arial"/>
                <w:color w:val="000000"/>
                <w:sz w:val="18"/>
                <w:szCs w:val="18"/>
                <w:lang w:eastAsia="en-AU"/>
              </w:rPr>
            </w:pPr>
            <w:r w:rsidRPr="00C254D2">
              <w:rPr>
                <w:rFonts w:cs="Arial"/>
                <w:color w:val="000000"/>
                <w:sz w:val="18"/>
                <w:szCs w:val="18"/>
              </w:rPr>
              <w:t>1</w:t>
            </w:r>
            <w:r w:rsidR="00981BF9">
              <w:rPr>
                <w:rFonts w:cs="Arial"/>
                <w:color w:val="000000"/>
                <w:sz w:val="18"/>
                <w:szCs w:val="18"/>
              </w:rPr>
              <w:t>,</w:t>
            </w:r>
            <w:r w:rsidRPr="00C254D2">
              <w:rPr>
                <w:rFonts w:cs="Arial"/>
                <w:color w:val="000000"/>
                <w:sz w:val="18"/>
                <w:szCs w:val="18"/>
              </w:rPr>
              <w:t>240</w:t>
            </w:r>
          </w:p>
        </w:tc>
        <w:tc>
          <w:tcPr>
            <w:tcW w:w="1096" w:type="dxa"/>
            <w:tcBorders>
              <w:top w:val="single" w:sz="4" w:space="0" w:color="auto"/>
              <w:left w:val="nil"/>
              <w:bottom w:val="single" w:sz="4" w:space="0" w:color="auto"/>
              <w:right w:val="single" w:sz="4" w:space="0" w:color="auto"/>
            </w:tcBorders>
            <w:vAlign w:val="bottom"/>
          </w:tcPr>
          <w:p w14:paraId="32410E6E" w14:textId="649B4DF1" w:rsidR="00C254D2" w:rsidRPr="00C254D2" w:rsidRDefault="00C254D2" w:rsidP="00C254D2">
            <w:pPr>
              <w:spacing w:after="0" w:line="240" w:lineRule="auto"/>
              <w:jc w:val="right"/>
              <w:rPr>
                <w:rFonts w:cs="Arial"/>
                <w:color w:val="000000"/>
                <w:sz w:val="18"/>
                <w:szCs w:val="18"/>
              </w:rPr>
            </w:pPr>
            <w:r w:rsidRPr="00C254D2">
              <w:rPr>
                <w:rFonts w:cs="Arial"/>
                <w:color w:val="000000"/>
                <w:sz w:val="18"/>
                <w:szCs w:val="18"/>
              </w:rPr>
              <w:t>70.33%</w:t>
            </w:r>
          </w:p>
        </w:tc>
      </w:tr>
      <w:tr w:rsidR="00B811C8" w:rsidRPr="00240CB6" w14:paraId="31C024AF"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79644C0" w14:textId="760960D7" w:rsidR="00B811C8" w:rsidRPr="00C254D2" w:rsidRDefault="00C254D2">
            <w:pPr>
              <w:spacing w:after="0" w:line="240" w:lineRule="auto"/>
              <w:rPr>
                <w:rFonts w:eastAsia="Times New Roman" w:cs="Arial"/>
                <w:color w:val="000000"/>
                <w:sz w:val="18"/>
                <w:szCs w:val="18"/>
                <w:lang w:eastAsia="en-AU"/>
              </w:rPr>
            </w:pPr>
            <w:r w:rsidRPr="00C254D2">
              <w:rPr>
                <w:rFonts w:cs="Arial"/>
                <w:color w:val="000000"/>
                <w:sz w:val="18"/>
                <w:szCs w:val="18"/>
              </w:rPr>
              <w:t>Active Investigations</w:t>
            </w:r>
          </w:p>
        </w:tc>
        <w:tc>
          <w:tcPr>
            <w:tcW w:w="1060" w:type="dxa"/>
            <w:tcBorders>
              <w:top w:val="nil"/>
              <w:left w:val="nil"/>
              <w:bottom w:val="single" w:sz="4" w:space="0" w:color="auto"/>
              <w:right w:val="single" w:sz="4" w:space="0" w:color="auto"/>
            </w:tcBorders>
            <w:shd w:val="clear" w:color="auto" w:fill="auto"/>
            <w:noWrap/>
            <w:vAlign w:val="bottom"/>
            <w:hideMark/>
          </w:tcPr>
          <w:p w14:paraId="1AD83EB0" w14:textId="699C85D2" w:rsidR="00B811C8" w:rsidRPr="00C254D2" w:rsidRDefault="00C254D2">
            <w:pPr>
              <w:spacing w:after="0" w:line="240" w:lineRule="auto"/>
              <w:jc w:val="right"/>
              <w:rPr>
                <w:rFonts w:eastAsia="Times New Roman" w:cs="Arial"/>
                <w:color w:val="000000"/>
                <w:sz w:val="18"/>
                <w:szCs w:val="18"/>
                <w:lang w:eastAsia="en-AU"/>
              </w:rPr>
            </w:pPr>
            <w:r w:rsidRPr="00C254D2">
              <w:rPr>
                <w:rFonts w:cs="Arial"/>
                <w:color w:val="000000"/>
                <w:sz w:val="18"/>
                <w:szCs w:val="18"/>
              </w:rPr>
              <w:t>120</w:t>
            </w:r>
          </w:p>
        </w:tc>
        <w:tc>
          <w:tcPr>
            <w:tcW w:w="1096" w:type="dxa"/>
            <w:tcBorders>
              <w:top w:val="nil"/>
              <w:left w:val="nil"/>
              <w:bottom w:val="single" w:sz="4" w:space="0" w:color="auto"/>
              <w:right w:val="single" w:sz="4" w:space="0" w:color="auto"/>
            </w:tcBorders>
            <w:vAlign w:val="bottom"/>
          </w:tcPr>
          <w:p w14:paraId="7CB39D62" w14:textId="350A1541" w:rsidR="00C254D2" w:rsidRPr="00C254D2" w:rsidRDefault="00C254D2" w:rsidP="00C254D2">
            <w:pPr>
              <w:spacing w:after="0" w:line="240" w:lineRule="auto"/>
              <w:jc w:val="right"/>
              <w:rPr>
                <w:rFonts w:cs="Arial"/>
                <w:color w:val="000000"/>
                <w:sz w:val="18"/>
                <w:szCs w:val="18"/>
              </w:rPr>
            </w:pPr>
            <w:r w:rsidRPr="00C254D2">
              <w:rPr>
                <w:rFonts w:cs="Arial"/>
                <w:color w:val="000000"/>
                <w:sz w:val="18"/>
                <w:szCs w:val="18"/>
              </w:rPr>
              <w:t>6.81%</w:t>
            </w:r>
          </w:p>
        </w:tc>
      </w:tr>
      <w:tr w:rsidR="00B811C8" w:rsidRPr="00240CB6" w14:paraId="21EDA064"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34C174E" w14:textId="47C5689C" w:rsidR="00B811C8" w:rsidRPr="00C254D2" w:rsidRDefault="00C254D2">
            <w:pPr>
              <w:spacing w:after="0" w:line="240" w:lineRule="auto"/>
              <w:rPr>
                <w:rFonts w:eastAsia="Times New Roman" w:cs="Arial"/>
                <w:color w:val="000000"/>
                <w:sz w:val="18"/>
                <w:szCs w:val="18"/>
                <w:lang w:eastAsia="en-AU"/>
              </w:rPr>
            </w:pPr>
            <w:r w:rsidRPr="00C254D2">
              <w:rPr>
                <w:rFonts w:cs="Arial"/>
                <w:color w:val="000000"/>
                <w:sz w:val="18"/>
                <w:szCs w:val="18"/>
              </w:rPr>
              <w:t>Field Safety Corrective Action Product correction</w:t>
            </w:r>
          </w:p>
        </w:tc>
        <w:tc>
          <w:tcPr>
            <w:tcW w:w="1060" w:type="dxa"/>
            <w:tcBorders>
              <w:top w:val="nil"/>
              <w:left w:val="nil"/>
              <w:bottom w:val="single" w:sz="4" w:space="0" w:color="auto"/>
              <w:right w:val="single" w:sz="4" w:space="0" w:color="auto"/>
            </w:tcBorders>
            <w:shd w:val="clear" w:color="auto" w:fill="auto"/>
            <w:noWrap/>
            <w:vAlign w:val="bottom"/>
            <w:hideMark/>
          </w:tcPr>
          <w:p w14:paraId="0926DAFD" w14:textId="0A1071B8" w:rsidR="00B811C8" w:rsidRPr="00C254D2" w:rsidRDefault="00C254D2">
            <w:pPr>
              <w:spacing w:after="0" w:line="240" w:lineRule="auto"/>
              <w:jc w:val="right"/>
              <w:rPr>
                <w:rFonts w:eastAsia="Times New Roman" w:cs="Arial"/>
                <w:color w:val="000000"/>
                <w:sz w:val="18"/>
                <w:szCs w:val="18"/>
                <w:lang w:eastAsia="en-AU"/>
              </w:rPr>
            </w:pPr>
            <w:r w:rsidRPr="00C254D2">
              <w:rPr>
                <w:rFonts w:cs="Arial"/>
                <w:color w:val="000000"/>
                <w:sz w:val="18"/>
                <w:szCs w:val="18"/>
              </w:rPr>
              <w:t>70</w:t>
            </w:r>
          </w:p>
        </w:tc>
        <w:tc>
          <w:tcPr>
            <w:tcW w:w="1096" w:type="dxa"/>
            <w:tcBorders>
              <w:top w:val="nil"/>
              <w:left w:val="nil"/>
              <w:bottom w:val="single" w:sz="4" w:space="0" w:color="auto"/>
              <w:right w:val="single" w:sz="4" w:space="0" w:color="auto"/>
            </w:tcBorders>
            <w:vAlign w:val="bottom"/>
          </w:tcPr>
          <w:p w14:paraId="64F4A493" w14:textId="5EDE3E5F" w:rsidR="00C254D2" w:rsidRPr="00C254D2" w:rsidRDefault="00C254D2" w:rsidP="00C254D2">
            <w:pPr>
              <w:spacing w:after="0" w:line="240" w:lineRule="auto"/>
              <w:jc w:val="right"/>
              <w:rPr>
                <w:rFonts w:cs="Arial"/>
                <w:color w:val="000000"/>
                <w:sz w:val="18"/>
                <w:szCs w:val="18"/>
              </w:rPr>
            </w:pPr>
            <w:r w:rsidRPr="00C254D2">
              <w:rPr>
                <w:rFonts w:cs="Arial"/>
                <w:color w:val="000000"/>
                <w:sz w:val="18"/>
                <w:szCs w:val="18"/>
              </w:rPr>
              <w:t>3.97%</w:t>
            </w:r>
          </w:p>
        </w:tc>
      </w:tr>
      <w:tr w:rsidR="00093D55" w:rsidRPr="00240CB6" w14:paraId="275F1E6F"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tcPr>
          <w:p w14:paraId="22D03072" w14:textId="417B5FFA" w:rsidR="00093D55" w:rsidRPr="00C254D2" w:rsidRDefault="00093D55" w:rsidP="00093D55">
            <w:pPr>
              <w:spacing w:after="0" w:line="240" w:lineRule="auto"/>
              <w:rPr>
                <w:rFonts w:cs="Arial"/>
                <w:color w:val="000000"/>
                <w:sz w:val="18"/>
                <w:szCs w:val="18"/>
              </w:rPr>
            </w:pPr>
            <w:r w:rsidRPr="00C254D2">
              <w:rPr>
                <w:rFonts w:cs="Arial"/>
                <w:color w:val="000000"/>
                <w:sz w:val="18"/>
                <w:szCs w:val="18"/>
              </w:rPr>
              <w:t>Referral to other TGA Process</w:t>
            </w:r>
          </w:p>
        </w:tc>
        <w:tc>
          <w:tcPr>
            <w:tcW w:w="1060" w:type="dxa"/>
            <w:tcBorders>
              <w:top w:val="nil"/>
              <w:left w:val="nil"/>
              <w:bottom w:val="single" w:sz="4" w:space="0" w:color="auto"/>
              <w:right w:val="single" w:sz="4" w:space="0" w:color="auto"/>
            </w:tcBorders>
            <w:shd w:val="clear" w:color="auto" w:fill="auto"/>
            <w:noWrap/>
            <w:vAlign w:val="bottom"/>
          </w:tcPr>
          <w:p w14:paraId="27DF4FD2" w14:textId="351DCD4B"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66</w:t>
            </w:r>
          </w:p>
        </w:tc>
        <w:tc>
          <w:tcPr>
            <w:tcW w:w="1096" w:type="dxa"/>
            <w:tcBorders>
              <w:top w:val="nil"/>
              <w:left w:val="nil"/>
              <w:bottom w:val="single" w:sz="4" w:space="0" w:color="auto"/>
              <w:right w:val="single" w:sz="4" w:space="0" w:color="auto"/>
            </w:tcBorders>
            <w:vAlign w:val="bottom"/>
          </w:tcPr>
          <w:p w14:paraId="3D05ECED" w14:textId="5359770F"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3.74%</w:t>
            </w:r>
          </w:p>
        </w:tc>
      </w:tr>
      <w:tr w:rsidR="00B811C8" w:rsidRPr="00240CB6" w14:paraId="13CE3E40"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42EE4A3" w14:textId="4D153B38"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Field Safety Corrective Action Product recall</w:t>
            </w:r>
          </w:p>
        </w:tc>
        <w:tc>
          <w:tcPr>
            <w:tcW w:w="1060" w:type="dxa"/>
            <w:tcBorders>
              <w:top w:val="nil"/>
              <w:left w:val="nil"/>
              <w:bottom w:val="single" w:sz="4" w:space="0" w:color="auto"/>
              <w:right w:val="single" w:sz="4" w:space="0" w:color="auto"/>
            </w:tcBorders>
            <w:shd w:val="clear" w:color="auto" w:fill="auto"/>
            <w:noWrap/>
            <w:vAlign w:val="bottom"/>
            <w:hideMark/>
          </w:tcPr>
          <w:p w14:paraId="0605FF8F" w14:textId="5011778E"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53</w:t>
            </w:r>
          </w:p>
        </w:tc>
        <w:tc>
          <w:tcPr>
            <w:tcW w:w="1096" w:type="dxa"/>
            <w:tcBorders>
              <w:top w:val="nil"/>
              <w:left w:val="nil"/>
              <w:bottom w:val="single" w:sz="4" w:space="0" w:color="auto"/>
              <w:right w:val="single" w:sz="4" w:space="0" w:color="auto"/>
            </w:tcBorders>
            <w:vAlign w:val="bottom"/>
          </w:tcPr>
          <w:p w14:paraId="1CBA273C" w14:textId="0F0BA199"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3.01%</w:t>
            </w:r>
          </w:p>
        </w:tc>
      </w:tr>
      <w:tr w:rsidR="00B811C8" w:rsidRPr="00240CB6" w14:paraId="6A6C6521"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A36DDB0" w14:textId="15CEF2AF"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Manufacturing process improvements</w:t>
            </w:r>
          </w:p>
        </w:tc>
        <w:tc>
          <w:tcPr>
            <w:tcW w:w="1060" w:type="dxa"/>
            <w:tcBorders>
              <w:top w:val="nil"/>
              <w:left w:val="nil"/>
              <w:bottom w:val="single" w:sz="4" w:space="0" w:color="auto"/>
              <w:right w:val="single" w:sz="4" w:space="0" w:color="auto"/>
            </w:tcBorders>
            <w:shd w:val="clear" w:color="auto" w:fill="auto"/>
            <w:noWrap/>
            <w:vAlign w:val="bottom"/>
            <w:hideMark/>
          </w:tcPr>
          <w:p w14:paraId="55E38ADE" w14:textId="350E24D4"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40</w:t>
            </w:r>
          </w:p>
        </w:tc>
        <w:tc>
          <w:tcPr>
            <w:tcW w:w="1096" w:type="dxa"/>
            <w:tcBorders>
              <w:top w:val="nil"/>
              <w:left w:val="nil"/>
              <w:bottom w:val="single" w:sz="4" w:space="0" w:color="auto"/>
              <w:right w:val="single" w:sz="4" w:space="0" w:color="auto"/>
            </w:tcBorders>
            <w:vAlign w:val="bottom"/>
          </w:tcPr>
          <w:p w14:paraId="6143F828" w14:textId="4C433150"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2.27%</w:t>
            </w:r>
          </w:p>
        </w:tc>
      </w:tr>
      <w:tr w:rsidR="00B811C8" w:rsidRPr="00240CB6" w14:paraId="40809D67"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B708E82" w14:textId="0BA56E57"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Other</w:t>
            </w:r>
          </w:p>
        </w:tc>
        <w:tc>
          <w:tcPr>
            <w:tcW w:w="1060" w:type="dxa"/>
            <w:tcBorders>
              <w:top w:val="nil"/>
              <w:left w:val="nil"/>
              <w:bottom w:val="single" w:sz="4" w:space="0" w:color="auto"/>
              <w:right w:val="single" w:sz="4" w:space="0" w:color="auto"/>
            </w:tcBorders>
            <w:shd w:val="clear" w:color="auto" w:fill="auto"/>
            <w:noWrap/>
            <w:vAlign w:val="bottom"/>
            <w:hideMark/>
          </w:tcPr>
          <w:p w14:paraId="0818042C" w14:textId="21655DB6"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40</w:t>
            </w:r>
          </w:p>
        </w:tc>
        <w:tc>
          <w:tcPr>
            <w:tcW w:w="1096" w:type="dxa"/>
            <w:tcBorders>
              <w:top w:val="nil"/>
              <w:left w:val="nil"/>
              <w:bottom w:val="single" w:sz="4" w:space="0" w:color="auto"/>
              <w:right w:val="single" w:sz="4" w:space="0" w:color="auto"/>
            </w:tcBorders>
            <w:vAlign w:val="bottom"/>
          </w:tcPr>
          <w:p w14:paraId="22282575" w14:textId="48C7B5E2"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2.27%</w:t>
            </w:r>
          </w:p>
        </w:tc>
      </w:tr>
      <w:tr w:rsidR="00B811C8" w:rsidRPr="00240CB6" w14:paraId="2915DA51"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3D48DE4" w14:textId="752E91BF"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Field Safety Corrective Action Safety alert</w:t>
            </w:r>
          </w:p>
        </w:tc>
        <w:tc>
          <w:tcPr>
            <w:tcW w:w="1060" w:type="dxa"/>
            <w:tcBorders>
              <w:top w:val="nil"/>
              <w:left w:val="nil"/>
              <w:bottom w:val="single" w:sz="4" w:space="0" w:color="auto"/>
              <w:right w:val="single" w:sz="4" w:space="0" w:color="auto"/>
            </w:tcBorders>
            <w:shd w:val="clear" w:color="auto" w:fill="auto"/>
            <w:noWrap/>
            <w:vAlign w:val="bottom"/>
            <w:hideMark/>
          </w:tcPr>
          <w:p w14:paraId="4C543D84" w14:textId="393C85CF"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19</w:t>
            </w:r>
          </w:p>
        </w:tc>
        <w:tc>
          <w:tcPr>
            <w:tcW w:w="1096" w:type="dxa"/>
            <w:tcBorders>
              <w:top w:val="nil"/>
              <w:left w:val="nil"/>
              <w:bottom w:val="single" w:sz="4" w:space="0" w:color="auto"/>
              <w:right w:val="single" w:sz="4" w:space="0" w:color="auto"/>
            </w:tcBorders>
            <w:vAlign w:val="bottom"/>
          </w:tcPr>
          <w:p w14:paraId="608833E5" w14:textId="0CF20E02"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1.08%</w:t>
            </w:r>
          </w:p>
        </w:tc>
      </w:tr>
      <w:tr w:rsidR="00B811C8" w:rsidRPr="00240CB6" w14:paraId="7BA02A21" w14:textId="77777777" w:rsidTr="006527BE">
        <w:trPr>
          <w:trHeight w:val="33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665314A" w14:textId="56076A3A" w:rsidR="00B811C8" w:rsidRPr="00C254D2" w:rsidRDefault="00B811C8">
            <w:pPr>
              <w:spacing w:after="0" w:line="240" w:lineRule="auto"/>
              <w:rPr>
                <w:rFonts w:eastAsia="Times New Roman" w:cs="Arial"/>
                <w:color w:val="000000"/>
                <w:sz w:val="18"/>
                <w:szCs w:val="18"/>
                <w:lang w:eastAsia="en-AU"/>
              </w:rPr>
            </w:pPr>
            <w:r w:rsidRPr="00C254D2">
              <w:rPr>
                <w:rFonts w:cs="Arial"/>
                <w:color w:val="000000"/>
                <w:sz w:val="18"/>
                <w:szCs w:val="18"/>
              </w:rPr>
              <w:t>Instructions for use amended</w:t>
            </w:r>
          </w:p>
        </w:tc>
        <w:tc>
          <w:tcPr>
            <w:tcW w:w="1060" w:type="dxa"/>
            <w:tcBorders>
              <w:top w:val="nil"/>
              <w:left w:val="nil"/>
              <w:bottom w:val="single" w:sz="4" w:space="0" w:color="auto"/>
              <w:right w:val="single" w:sz="4" w:space="0" w:color="auto"/>
            </w:tcBorders>
            <w:shd w:val="clear" w:color="auto" w:fill="auto"/>
            <w:noWrap/>
            <w:vAlign w:val="bottom"/>
            <w:hideMark/>
          </w:tcPr>
          <w:p w14:paraId="3320B1E2" w14:textId="41E05DCE"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18</w:t>
            </w:r>
          </w:p>
        </w:tc>
        <w:tc>
          <w:tcPr>
            <w:tcW w:w="1096" w:type="dxa"/>
            <w:tcBorders>
              <w:top w:val="nil"/>
              <w:left w:val="nil"/>
              <w:bottom w:val="single" w:sz="4" w:space="0" w:color="auto"/>
              <w:right w:val="single" w:sz="4" w:space="0" w:color="auto"/>
            </w:tcBorders>
            <w:vAlign w:val="bottom"/>
          </w:tcPr>
          <w:p w14:paraId="22BE9472" w14:textId="3D1017C7"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1.02%</w:t>
            </w:r>
          </w:p>
        </w:tc>
      </w:tr>
      <w:tr w:rsidR="00B811C8" w:rsidRPr="00240CB6" w14:paraId="46679562" w14:textId="77777777" w:rsidTr="006527BE">
        <w:trPr>
          <w:trHeight w:val="33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A7D26C7" w14:textId="37FC9D97"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Field Safety Corrective Action Product alert</w:t>
            </w:r>
          </w:p>
        </w:tc>
        <w:tc>
          <w:tcPr>
            <w:tcW w:w="1060" w:type="dxa"/>
            <w:tcBorders>
              <w:top w:val="nil"/>
              <w:left w:val="nil"/>
              <w:bottom w:val="single" w:sz="4" w:space="0" w:color="auto"/>
              <w:right w:val="single" w:sz="4" w:space="0" w:color="auto"/>
            </w:tcBorders>
            <w:shd w:val="clear" w:color="auto" w:fill="auto"/>
            <w:noWrap/>
            <w:vAlign w:val="bottom"/>
            <w:hideMark/>
          </w:tcPr>
          <w:p w14:paraId="3E45849F" w14:textId="51B7E8BC"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16</w:t>
            </w:r>
          </w:p>
        </w:tc>
        <w:tc>
          <w:tcPr>
            <w:tcW w:w="1096" w:type="dxa"/>
            <w:tcBorders>
              <w:top w:val="nil"/>
              <w:left w:val="nil"/>
              <w:bottom w:val="single" w:sz="4" w:space="0" w:color="auto"/>
              <w:right w:val="single" w:sz="4" w:space="0" w:color="auto"/>
            </w:tcBorders>
            <w:vAlign w:val="bottom"/>
          </w:tcPr>
          <w:p w14:paraId="702C3AE9" w14:textId="2D6CF7D9"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0.91%</w:t>
            </w:r>
          </w:p>
        </w:tc>
      </w:tr>
      <w:tr w:rsidR="00B811C8" w:rsidRPr="00240CB6" w14:paraId="347A4F07"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0EDAAB31" w14:textId="181FDFAA"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Change to design</w:t>
            </w:r>
          </w:p>
        </w:tc>
        <w:tc>
          <w:tcPr>
            <w:tcW w:w="1060" w:type="dxa"/>
            <w:tcBorders>
              <w:top w:val="nil"/>
              <w:left w:val="nil"/>
              <w:bottom w:val="single" w:sz="4" w:space="0" w:color="auto"/>
              <w:right w:val="single" w:sz="4" w:space="0" w:color="auto"/>
            </w:tcBorders>
            <w:shd w:val="clear" w:color="auto" w:fill="auto"/>
            <w:noWrap/>
            <w:vAlign w:val="bottom"/>
            <w:hideMark/>
          </w:tcPr>
          <w:p w14:paraId="75E6416D" w14:textId="7E9B64D3"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14</w:t>
            </w:r>
          </w:p>
        </w:tc>
        <w:tc>
          <w:tcPr>
            <w:tcW w:w="1096" w:type="dxa"/>
            <w:tcBorders>
              <w:top w:val="nil"/>
              <w:left w:val="nil"/>
              <w:bottom w:val="single" w:sz="4" w:space="0" w:color="auto"/>
              <w:right w:val="single" w:sz="4" w:space="0" w:color="auto"/>
            </w:tcBorders>
            <w:vAlign w:val="bottom"/>
          </w:tcPr>
          <w:p w14:paraId="285FC809" w14:textId="486D0F68"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0.79%</w:t>
            </w:r>
          </w:p>
        </w:tc>
      </w:tr>
      <w:tr w:rsidR="00B811C8" w:rsidRPr="00240CB6" w14:paraId="1DB96B1F"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336A046" w14:textId="55DD969E"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User Education</w:t>
            </w:r>
          </w:p>
        </w:tc>
        <w:tc>
          <w:tcPr>
            <w:tcW w:w="1060" w:type="dxa"/>
            <w:tcBorders>
              <w:top w:val="nil"/>
              <w:left w:val="nil"/>
              <w:bottom w:val="single" w:sz="4" w:space="0" w:color="auto"/>
              <w:right w:val="single" w:sz="4" w:space="0" w:color="auto"/>
            </w:tcBorders>
            <w:shd w:val="clear" w:color="auto" w:fill="auto"/>
            <w:noWrap/>
            <w:vAlign w:val="bottom"/>
            <w:hideMark/>
          </w:tcPr>
          <w:p w14:paraId="71AF8A5F" w14:textId="4F90ED2B"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14</w:t>
            </w:r>
          </w:p>
        </w:tc>
        <w:tc>
          <w:tcPr>
            <w:tcW w:w="1096" w:type="dxa"/>
            <w:tcBorders>
              <w:top w:val="nil"/>
              <w:left w:val="nil"/>
              <w:bottom w:val="single" w:sz="4" w:space="0" w:color="auto"/>
              <w:right w:val="single" w:sz="4" w:space="0" w:color="auto"/>
            </w:tcBorders>
            <w:vAlign w:val="bottom"/>
          </w:tcPr>
          <w:p w14:paraId="1A419776" w14:textId="1AF4DEE0"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0.79%</w:t>
            </w:r>
          </w:p>
        </w:tc>
      </w:tr>
      <w:tr w:rsidR="00B811C8" w:rsidRPr="00240CB6" w14:paraId="5D9B4CC8"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D4F4CF1" w14:textId="1A78A3DC"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Quality system process improvements</w:t>
            </w:r>
          </w:p>
        </w:tc>
        <w:tc>
          <w:tcPr>
            <w:tcW w:w="1060" w:type="dxa"/>
            <w:tcBorders>
              <w:top w:val="nil"/>
              <w:left w:val="nil"/>
              <w:bottom w:val="single" w:sz="4" w:space="0" w:color="auto"/>
              <w:right w:val="single" w:sz="4" w:space="0" w:color="auto"/>
            </w:tcBorders>
            <w:shd w:val="clear" w:color="auto" w:fill="auto"/>
            <w:noWrap/>
            <w:vAlign w:val="bottom"/>
            <w:hideMark/>
          </w:tcPr>
          <w:p w14:paraId="16479ABC" w14:textId="38E4CC10"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11</w:t>
            </w:r>
          </w:p>
        </w:tc>
        <w:tc>
          <w:tcPr>
            <w:tcW w:w="1096" w:type="dxa"/>
            <w:tcBorders>
              <w:top w:val="nil"/>
              <w:left w:val="nil"/>
              <w:bottom w:val="single" w:sz="4" w:space="0" w:color="auto"/>
              <w:right w:val="single" w:sz="4" w:space="0" w:color="auto"/>
            </w:tcBorders>
            <w:vAlign w:val="bottom"/>
          </w:tcPr>
          <w:p w14:paraId="3F7AA987" w14:textId="3F1705E6"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0.62%</w:t>
            </w:r>
          </w:p>
        </w:tc>
      </w:tr>
      <w:tr w:rsidR="00B811C8" w:rsidRPr="00240CB6" w14:paraId="091EE4C9"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9DD7F0E" w14:textId="7C16552D" w:rsidR="00B811C8" w:rsidRPr="00C254D2" w:rsidRDefault="00B811C8">
            <w:pPr>
              <w:spacing w:after="0" w:line="240" w:lineRule="auto"/>
              <w:rPr>
                <w:rFonts w:eastAsia="Times New Roman" w:cs="Arial"/>
                <w:color w:val="000000"/>
                <w:sz w:val="18"/>
                <w:szCs w:val="18"/>
                <w:lang w:eastAsia="en-AU"/>
              </w:rPr>
            </w:pPr>
            <w:r w:rsidRPr="00C254D2">
              <w:rPr>
                <w:rFonts w:cs="Arial"/>
                <w:color w:val="000000"/>
                <w:sz w:val="18"/>
                <w:szCs w:val="18"/>
              </w:rPr>
              <w:t xml:space="preserve">Product </w:t>
            </w:r>
            <w:r w:rsidR="00093D55" w:rsidRPr="00C254D2">
              <w:rPr>
                <w:rFonts w:cs="Arial"/>
                <w:color w:val="000000"/>
                <w:sz w:val="18"/>
                <w:szCs w:val="18"/>
              </w:rPr>
              <w:t>Cancelled</w:t>
            </w:r>
            <w:r w:rsidRPr="00C254D2">
              <w:rPr>
                <w:rFonts w:cs="Arial"/>
                <w:color w:val="000000"/>
                <w:sz w:val="18"/>
                <w:szCs w:val="18"/>
              </w:rPr>
              <w:t xml:space="preserve"> from ARTG</w:t>
            </w:r>
          </w:p>
        </w:tc>
        <w:tc>
          <w:tcPr>
            <w:tcW w:w="1060" w:type="dxa"/>
            <w:tcBorders>
              <w:top w:val="nil"/>
              <w:left w:val="nil"/>
              <w:bottom w:val="single" w:sz="4" w:space="0" w:color="auto"/>
              <w:right w:val="single" w:sz="4" w:space="0" w:color="auto"/>
            </w:tcBorders>
            <w:shd w:val="clear" w:color="auto" w:fill="auto"/>
            <w:noWrap/>
            <w:vAlign w:val="bottom"/>
            <w:hideMark/>
          </w:tcPr>
          <w:p w14:paraId="3160133B" w14:textId="31D1F851"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10</w:t>
            </w:r>
          </w:p>
        </w:tc>
        <w:tc>
          <w:tcPr>
            <w:tcW w:w="1096" w:type="dxa"/>
            <w:tcBorders>
              <w:top w:val="nil"/>
              <w:left w:val="nil"/>
              <w:bottom w:val="single" w:sz="4" w:space="0" w:color="auto"/>
              <w:right w:val="single" w:sz="4" w:space="0" w:color="auto"/>
            </w:tcBorders>
            <w:vAlign w:val="bottom"/>
          </w:tcPr>
          <w:p w14:paraId="2F509B2C" w14:textId="714A302E"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0.57%</w:t>
            </w:r>
          </w:p>
        </w:tc>
      </w:tr>
      <w:tr w:rsidR="00B811C8" w:rsidRPr="00240CB6" w14:paraId="3311F583"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013BB6D5" w14:textId="51A42F46"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Product Suspended from ARTG</w:t>
            </w:r>
          </w:p>
        </w:tc>
        <w:tc>
          <w:tcPr>
            <w:tcW w:w="1060" w:type="dxa"/>
            <w:tcBorders>
              <w:top w:val="nil"/>
              <w:left w:val="nil"/>
              <w:bottom w:val="single" w:sz="4" w:space="0" w:color="auto"/>
              <w:right w:val="single" w:sz="4" w:space="0" w:color="auto"/>
            </w:tcBorders>
            <w:shd w:val="clear" w:color="auto" w:fill="auto"/>
            <w:noWrap/>
            <w:vAlign w:val="bottom"/>
            <w:hideMark/>
          </w:tcPr>
          <w:p w14:paraId="6AE1CB9D" w14:textId="4A59F346"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9</w:t>
            </w:r>
          </w:p>
        </w:tc>
        <w:tc>
          <w:tcPr>
            <w:tcW w:w="1096" w:type="dxa"/>
            <w:tcBorders>
              <w:top w:val="nil"/>
              <w:left w:val="nil"/>
              <w:bottom w:val="single" w:sz="4" w:space="0" w:color="auto"/>
              <w:right w:val="single" w:sz="4" w:space="0" w:color="auto"/>
            </w:tcBorders>
            <w:vAlign w:val="bottom"/>
          </w:tcPr>
          <w:p w14:paraId="08E27626" w14:textId="46273691"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0.51%</w:t>
            </w:r>
          </w:p>
        </w:tc>
      </w:tr>
      <w:tr w:rsidR="00B811C8" w:rsidRPr="00240CB6" w14:paraId="6315B5CB"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3046859" w14:textId="7FF58990"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TGA Publication</w:t>
            </w:r>
          </w:p>
        </w:tc>
        <w:tc>
          <w:tcPr>
            <w:tcW w:w="1060" w:type="dxa"/>
            <w:tcBorders>
              <w:top w:val="nil"/>
              <w:left w:val="nil"/>
              <w:bottom w:val="single" w:sz="4" w:space="0" w:color="auto"/>
              <w:right w:val="single" w:sz="4" w:space="0" w:color="auto"/>
            </w:tcBorders>
            <w:shd w:val="clear" w:color="auto" w:fill="auto"/>
            <w:noWrap/>
            <w:vAlign w:val="bottom"/>
            <w:hideMark/>
          </w:tcPr>
          <w:p w14:paraId="6B23FC4A" w14:textId="0BD582E1"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7</w:t>
            </w:r>
          </w:p>
        </w:tc>
        <w:tc>
          <w:tcPr>
            <w:tcW w:w="1096" w:type="dxa"/>
            <w:tcBorders>
              <w:top w:val="nil"/>
              <w:left w:val="nil"/>
              <w:bottom w:val="single" w:sz="4" w:space="0" w:color="auto"/>
              <w:right w:val="single" w:sz="4" w:space="0" w:color="auto"/>
            </w:tcBorders>
            <w:vAlign w:val="bottom"/>
          </w:tcPr>
          <w:p w14:paraId="23777263" w14:textId="69653B34"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0.40%</w:t>
            </w:r>
          </w:p>
        </w:tc>
      </w:tr>
      <w:tr w:rsidR="00B811C8" w:rsidRPr="00240CB6" w14:paraId="34F9FE05"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2EC2468" w14:textId="4806A570"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Product enhancement/improvement notice</w:t>
            </w:r>
          </w:p>
        </w:tc>
        <w:tc>
          <w:tcPr>
            <w:tcW w:w="1060" w:type="dxa"/>
            <w:tcBorders>
              <w:top w:val="nil"/>
              <w:left w:val="nil"/>
              <w:bottom w:val="single" w:sz="4" w:space="0" w:color="auto"/>
              <w:right w:val="single" w:sz="4" w:space="0" w:color="auto"/>
            </w:tcBorders>
            <w:shd w:val="clear" w:color="auto" w:fill="auto"/>
            <w:noWrap/>
            <w:vAlign w:val="bottom"/>
            <w:hideMark/>
          </w:tcPr>
          <w:p w14:paraId="483D86B1" w14:textId="6AC2D62B"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5</w:t>
            </w:r>
          </w:p>
        </w:tc>
        <w:tc>
          <w:tcPr>
            <w:tcW w:w="1096" w:type="dxa"/>
            <w:tcBorders>
              <w:top w:val="nil"/>
              <w:left w:val="nil"/>
              <w:bottom w:val="single" w:sz="4" w:space="0" w:color="auto"/>
              <w:right w:val="single" w:sz="4" w:space="0" w:color="auto"/>
            </w:tcBorders>
            <w:vAlign w:val="bottom"/>
          </w:tcPr>
          <w:p w14:paraId="6FE227AE" w14:textId="6B9D349F"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0.28%</w:t>
            </w:r>
          </w:p>
        </w:tc>
      </w:tr>
      <w:tr w:rsidR="00B811C8" w:rsidRPr="00240CB6" w14:paraId="1938E761"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592E366" w14:textId="2925A163"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Company Warned</w:t>
            </w:r>
          </w:p>
        </w:tc>
        <w:tc>
          <w:tcPr>
            <w:tcW w:w="1060" w:type="dxa"/>
            <w:tcBorders>
              <w:top w:val="nil"/>
              <w:left w:val="nil"/>
              <w:bottom w:val="single" w:sz="4" w:space="0" w:color="auto"/>
              <w:right w:val="single" w:sz="4" w:space="0" w:color="auto"/>
            </w:tcBorders>
            <w:shd w:val="clear" w:color="auto" w:fill="auto"/>
            <w:noWrap/>
            <w:vAlign w:val="bottom"/>
            <w:hideMark/>
          </w:tcPr>
          <w:p w14:paraId="1F2ABB3D" w14:textId="4207B5C3"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4</w:t>
            </w:r>
          </w:p>
        </w:tc>
        <w:tc>
          <w:tcPr>
            <w:tcW w:w="1096" w:type="dxa"/>
            <w:tcBorders>
              <w:top w:val="nil"/>
              <w:left w:val="nil"/>
              <w:bottom w:val="single" w:sz="4" w:space="0" w:color="auto"/>
              <w:right w:val="single" w:sz="4" w:space="0" w:color="auto"/>
            </w:tcBorders>
            <w:vAlign w:val="bottom"/>
          </w:tcPr>
          <w:p w14:paraId="79399D56" w14:textId="08F8A5D6"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0.23%</w:t>
            </w:r>
          </w:p>
        </w:tc>
      </w:tr>
      <w:tr w:rsidR="00B811C8" w:rsidRPr="00240CB6" w14:paraId="5031D22A"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7112458" w14:textId="4D421AF1" w:rsidR="00B811C8" w:rsidRPr="00C254D2" w:rsidRDefault="00B811C8">
            <w:pPr>
              <w:spacing w:after="0" w:line="240" w:lineRule="auto"/>
              <w:rPr>
                <w:rFonts w:eastAsia="Times New Roman" w:cs="Arial"/>
                <w:color w:val="000000"/>
                <w:sz w:val="18"/>
                <w:szCs w:val="18"/>
                <w:lang w:eastAsia="en-AU"/>
              </w:rPr>
            </w:pPr>
            <w:r w:rsidRPr="00C254D2">
              <w:rPr>
                <w:rFonts w:cs="Arial"/>
                <w:color w:val="000000"/>
                <w:sz w:val="18"/>
                <w:szCs w:val="18"/>
              </w:rPr>
              <w:t>Not device related</w:t>
            </w:r>
          </w:p>
        </w:tc>
        <w:tc>
          <w:tcPr>
            <w:tcW w:w="1060" w:type="dxa"/>
            <w:tcBorders>
              <w:top w:val="nil"/>
              <w:left w:val="nil"/>
              <w:bottom w:val="single" w:sz="4" w:space="0" w:color="auto"/>
              <w:right w:val="single" w:sz="4" w:space="0" w:color="auto"/>
            </w:tcBorders>
            <w:shd w:val="clear" w:color="auto" w:fill="auto"/>
            <w:noWrap/>
            <w:vAlign w:val="bottom"/>
            <w:hideMark/>
          </w:tcPr>
          <w:p w14:paraId="27AC0EF9" w14:textId="1C2C5890"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4</w:t>
            </w:r>
          </w:p>
        </w:tc>
        <w:tc>
          <w:tcPr>
            <w:tcW w:w="1096" w:type="dxa"/>
            <w:tcBorders>
              <w:top w:val="nil"/>
              <w:left w:val="nil"/>
              <w:bottom w:val="single" w:sz="4" w:space="0" w:color="auto"/>
              <w:right w:val="single" w:sz="4" w:space="0" w:color="auto"/>
            </w:tcBorders>
            <w:vAlign w:val="bottom"/>
          </w:tcPr>
          <w:p w14:paraId="1573B869" w14:textId="45FEAFC6"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0.23%</w:t>
            </w:r>
          </w:p>
        </w:tc>
      </w:tr>
      <w:tr w:rsidR="00B811C8" w:rsidRPr="00240CB6" w14:paraId="721D5A76"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25882E1" w14:textId="1472D1B5"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Field Safety Corrective Action Hazard alert</w:t>
            </w:r>
          </w:p>
        </w:tc>
        <w:tc>
          <w:tcPr>
            <w:tcW w:w="1060" w:type="dxa"/>
            <w:tcBorders>
              <w:top w:val="nil"/>
              <w:left w:val="nil"/>
              <w:bottom w:val="single" w:sz="4" w:space="0" w:color="auto"/>
              <w:right w:val="single" w:sz="4" w:space="0" w:color="auto"/>
            </w:tcBorders>
            <w:shd w:val="clear" w:color="auto" w:fill="auto"/>
            <w:noWrap/>
            <w:vAlign w:val="bottom"/>
            <w:hideMark/>
          </w:tcPr>
          <w:p w14:paraId="38A1C19D" w14:textId="260FC98D"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2</w:t>
            </w:r>
          </w:p>
        </w:tc>
        <w:tc>
          <w:tcPr>
            <w:tcW w:w="1096" w:type="dxa"/>
            <w:tcBorders>
              <w:top w:val="nil"/>
              <w:left w:val="nil"/>
              <w:bottom w:val="single" w:sz="4" w:space="0" w:color="auto"/>
              <w:right w:val="single" w:sz="4" w:space="0" w:color="auto"/>
            </w:tcBorders>
            <w:vAlign w:val="bottom"/>
          </w:tcPr>
          <w:p w14:paraId="6C86064B" w14:textId="56AA1F23"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0.11%</w:t>
            </w:r>
          </w:p>
        </w:tc>
      </w:tr>
      <w:tr w:rsidR="00B811C8" w:rsidRPr="00240CB6" w14:paraId="0FA2F205" w14:textId="77777777" w:rsidTr="006527BE">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B245527" w14:textId="012B863B" w:rsidR="00B811C8" w:rsidRPr="00C254D2" w:rsidRDefault="00093D55">
            <w:pPr>
              <w:spacing w:after="0" w:line="240" w:lineRule="auto"/>
              <w:rPr>
                <w:rFonts w:eastAsia="Times New Roman" w:cs="Arial"/>
                <w:color w:val="000000"/>
                <w:sz w:val="18"/>
                <w:szCs w:val="18"/>
                <w:lang w:eastAsia="en-AU"/>
              </w:rPr>
            </w:pPr>
            <w:r w:rsidRPr="00C254D2">
              <w:rPr>
                <w:rFonts w:cs="Arial"/>
                <w:color w:val="000000"/>
                <w:sz w:val="18"/>
                <w:szCs w:val="18"/>
              </w:rPr>
              <w:t>Maintenance carried out by the hospital</w:t>
            </w:r>
          </w:p>
        </w:tc>
        <w:tc>
          <w:tcPr>
            <w:tcW w:w="1060" w:type="dxa"/>
            <w:tcBorders>
              <w:top w:val="nil"/>
              <w:left w:val="nil"/>
              <w:bottom w:val="single" w:sz="4" w:space="0" w:color="auto"/>
              <w:right w:val="single" w:sz="4" w:space="0" w:color="auto"/>
            </w:tcBorders>
            <w:shd w:val="clear" w:color="auto" w:fill="auto"/>
            <w:noWrap/>
            <w:vAlign w:val="bottom"/>
            <w:hideMark/>
          </w:tcPr>
          <w:p w14:paraId="6BE3B5C5" w14:textId="2CF204CD" w:rsidR="00B811C8" w:rsidRPr="00C254D2" w:rsidRDefault="00093D55">
            <w:pPr>
              <w:spacing w:after="0" w:line="240" w:lineRule="auto"/>
              <w:jc w:val="right"/>
              <w:rPr>
                <w:rFonts w:eastAsia="Times New Roman" w:cs="Arial"/>
                <w:color w:val="000000"/>
                <w:sz w:val="18"/>
                <w:szCs w:val="18"/>
                <w:lang w:eastAsia="en-AU"/>
              </w:rPr>
            </w:pPr>
            <w:r w:rsidRPr="00C254D2">
              <w:rPr>
                <w:rFonts w:cs="Arial"/>
                <w:color w:val="000000"/>
                <w:sz w:val="18"/>
                <w:szCs w:val="18"/>
              </w:rPr>
              <w:t>1</w:t>
            </w:r>
          </w:p>
        </w:tc>
        <w:tc>
          <w:tcPr>
            <w:tcW w:w="1096" w:type="dxa"/>
            <w:tcBorders>
              <w:top w:val="nil"/>
              <w:left w:val="nil"/>
              <w:bottom w:val="single" w:sz="4" w:space="0" w:color="auto"/>
              <w:right w:val="single" w:sz="4" w:space="0" w:color="auto"/>
            </w:tcBorders>
            <w:vAlign w:val="bottom"/>
          </w:tcPr>
          <w:p w14:paraId="10E33C7B" w14:textId="5779643F" w:rsidR="00093D55" w:rsidRPr="00C254D2" w:rsidRDefault="00093D55" w:rsidP="00093D55">
            <w:pPr>
              <w:spacing w:after="0" w:line="240" w:lineRule="auto"/>
              <w:jc w:val="right"/>
              <w:rPr>
                <w:rFonts w:cs="Arial"/>
                <w:color w:val="000000"/>
                <w:sz w:val="18"/>
                <w:szCs w:val="18"/>
              </w:rPr>
            </w:pPr>
            <w:r w:rsidRPr="00C254D2">
              <w:rPr>
                <w:rFonts w:cs="Arial"/>
                <w:color w:val="000000"/>
                <w:sz w:val="18"/>
                <w:szCs w:val="18"/>
              </w:rPr>
              <w:t>0.06%</w:t>
            </w:r>
          </w:p>
        </w:tc>
      </w:tr>
      <w:tr w:rsidR="00B811C8" w:rsidRPr="00240CB6" w14:paraId="72D5D3FD" w14:textId="77777777" w:rsidTr="00670C99">
        <w:trPr>
          <w:trHeight w:val="166"/>
        </w:trPr>
        <w:tc>
          <w:tcPr>
            <w:tcW w:w="4536" w:type="dxa"/>
            <w:tcBorders>
              <w:top w:val="nil"/>
              <w:left w:val="single" w:sz="4" w:space="0" w:color="auto"/>
              <w:bottom w:val="single" w:sz="4" w:space="0" w:color="auto"/>
              <w:right w:val="single" w:sz="4" w:space="0" w:color="auto"/>
            </w:tcBorders>
            <w:shd w:val="clear" w:color="auto" w:fill="C1E4F5" w:themeFill="accent1" w:themeFillTint="33"/>
            <w:noWrap/>
            <w:vAlign w:val="bottom"/>
            <w:hideMark/>
          </w:tcPr>
          <w:p w14:paraId="792B6562" w14:textId="2C59F17F" w:rsidR="00B811C8" w:rsidRPr="00670C99" w:rsidRDefault="00093D55">
            <w:pPr>
              <w:spacing w:after="0" w:line="240" w:lineRule="auto"/>
              <w:rPr>
                <w:rFonts w:eastAsia="Times New Roman" w:cs="Arial"/>
                <w:b/>
                <w:color w:val="000000"/>
                <w:sz w:val="18"/>
                <w:szCs w:val="18"/>
                <w:lang w:eastAsia="en-AU"/>
              </w:rPr>
            </w:pPr>
            <w:r w:rsidRPr="00670C99">
              <w:rPr>
                <w:rFonts w:eastAsia="Times New Roman" w:cs="Arial"/>
                <w:b/>
                <w:color w:val="000000"/>
                <w:sz w:val="18"/>
                <w:szCs w:val="18"/>
                <w:lang w:eastAsia="en-AU"/>
              </w:rPr>
              <w:t>Total</w:t>
            </w:r>
          </w:p>
        </w:tc>
        <w:tc>
          <w:tcPr>
            <w:tcW w:w="1060" w:type="dxa"/>
            <w:tcBorders>
              <w:top w:val="nil"/>
              <w:left w:val="nil"/>
              <w:bottom w:val="single" w:sz="4" w:space="0" w:color="auto"/>
              <w:right w:val="single" w:sz="4" w:space="0" w:color="auto"/>
            </w:tcBorders>
            <w:shd w:val="clear" w:color="auto" w:fill="C1E4F5" w:themeFill="accent1" w:themeFillTint="33"/>
            <w:noWrap/>
            <w:vAlign w:val="bottom"/>
            <w:hideMark/>
          </w:tcPr>
          <w:p w14:paraId="10DD49F4" w14:textId="53956E86" w:rsidR="00B811C8" w:rsidRPr="00670C99" w:rsidRDefault="00093D55">
            <w:pPr>
              <w:spacing w:after="0" w:line="240" w:lineRule="auto"/>
              <w:jc w:val="right"/>
              <w:rPr>
                <w:rFonts w:eastAsia="Times New Roman" w:cs="Arial"/>
                <w:b/>
                <w:color w:val="000000"/>
                <w:sz w:val="18"/>
                <w:szCs w:val="18"/>
                <w:lang w:eastAsia="en-AU"/>
              </w:rPr>
            </w:pPr>
            <w:r w:rsidRPr="00670C99">
              <w:rPr>
                <w:rFonts w:eastAsia="Times New Roman" w:cs="Arial"/>
                <w:b/>
                <w:color w:val="000000"/>
                <w:sz w:val="18"/>
                <w:szCs w:val="18"/>
                <w:lang w:eastAsia="en-AU"/>
              </w:rPr>
              <w:t>1</w:t>
            </w:r>
            <w:r w:rsidR="00981BF9">
              <w:rPr>
                <w:rFonts w:eastAsia="Times New Roman" w:cs="Arial"/>
                <w:b/>
                <w:color w:val="000000"/>
                <w:sz w:val="18"/>
                <w:szCs w:val="18"/>
                <w:lang w:eastAsia="en-AU"/>
              </w:rPr>
              <w:t>,</w:t>
            </w:r>
            <w:r w:rsidRPr="00670C99">
              <w:rPr>
                <w:rFonts w:eastAsia="Times New Roman" w:cs="Arial"/>
                <w:b/>
                <w:color w:val="000000"/>
                <w:sz w:val="18"/>
                <w:szCs w:val="18"/>
                <w:lang w:eastAsia="en-AU"/>
              </w:rPr>
              <w:t>763</w:t>
            </w:r>
          </w:p>
        </w:tc>
        <w:tc>
          <w:tcPr>
            <w:tcW w:w="1096" w:type="dxa"/>
            <w:tcBorders>
              <w:top w:val="nil"/>
              <w:left w:val="nil"/>
              <w:bottom w:val="single" w:sz="4" w:space="0" w:color="auto"/>
              <w:right w:val="single" w:sz="4" w:space="0" w:color="auto"/>
            </w:tcBorders>
            <w:shd w:val="clear" w:color="auto" w:fill="C1E4F5" w:themeFill="accent1" w:themeFillTint="33"/>
          </w:tcPr>
          <w:p w14:paraId="476756F9" w14:textId="26F77154" w:rsidR="00093D55" w:rsidRPr="00670C99" w:rsidRDefault="00093D55" w:rsidP="00093D55">
            <w:pPr>
              <w:spacing w:after="0" w:line="240" w:lineRule="auto"/>
              <w:jc w:val="right"/>
              <w:rPr>
                <w:rFonts w:eastAsia="Times New Roman" w:cs="Arial"/>
                <w:b/>
                <w:color w:val="000000"/>
                <w:sz w:val="18"/>
                <w:szCs w:val="18"/>
                <w:lang w:eastAsia="en-AU"/>
              </w:rPr>
            </w:pPr>
            <w:r w:rsidRPr="00670C99">
              <w:rPr>
                <w:rFonts w:eastAsia="Times New Roman" w:cs="Arial"/>
                <w:b/>
                <w:color w:val="000000"/>
                <w:sz w:val="18"/>
                <w:szCs w:val="18"/>
                <w:lang w:eastAsia="en-AU"/>
              </w:rPr>
              <w:t>100%</w:t>
            </w:r>
          </w:p>
        </w:tc>
      </w:tr>
    </w:tbl>
    <w:p w14:paraId="54282680" w14:textId="4A68123A" w:rsidR="00C771D3" w:rsidRPr="005A0EA7" w:rsidRDefault="00B811C8" w:rsidP="0079175B">
      <w:r>
        <w:rPr>
          <w:sz w:val="16"/>
          <w:szCs w:val="16"/>
        </w:rPr>
        <w:t>* Outcomes are not mutually exclusive</w:t>
      </w:r>
    </w:p>
    <w:p w14:paraId="5C044B98" w14:textId="5CBC111C" w:rsidR="00D12FAD" w:rsidRDefault="00F319FE" w:rsidP="00E15950">
      <w:pPr>
        <w:pStyle w:val="Heading3"/>
      </w:pPr>
      <w:bookmarkStart w:id="41" w:name="_Toc179531301"/>
      <w:bookmarkStart w:id="42" w:name="_Toc188012848"/>
      <w:r>
        <w:t xml:space="preserve">Legislative </w:t>
      </w:r>
      <w:r w:rsidR="00A87A9D">
        <w:t>framework</w:t>
      </w:r>
      <w:bookmarkEnd w:id="41"/>
      <w:bookmarkEnd w:id="42"/>
    </w:p>
    <w:p w14:paraId="628FAF4C" w14:textId="4D345983" w:rsidR="009275FB" w:rsidRDefault="00BC6A61" w:rsidP="009275FB">
      <w:r w:rsidRPr="00462AE0">
        <w:t xml:space="preserve">At the </w:t>
      </w:r>
      <w:r w:rsidR="006D1E7A">
        <w:t xml:space="preserve">Australian </w:t>
      </w:r>
      <w:r w:rsidR="003A3E44">
        <w:t>Government</w:t>
      </w:r>
      <w:r w:rsidRPr="00462AE0">
        <w:t xml:space="preserve"> level, </w:t>
      </w:r>
      <w:r w:rsidR="00CC3E56">
        <w:t>therapeutic goods (a subset of which are medical devices</w:t>
      </w:r>
      <w:r w:rsidR="005F2785">
        <w:t>)</w:t>
      </w:r>
      <w:r w:rsidRPr="00462AE0">
        <w:t xml:space="preserve"> are regulated under the </w:t>
      </w:r>
      <w:r w:rsidRPr="00462AE0">
        <w:rPr>
          <w:i/>
          <w:iCs/>
        </w:rPr>
        <w:t>Therapeutic Goods Act 1989</w:t>
      </w:r>
      <w:r w:rsidRPr="00462AE0">
        <w:t xml:space="preserve"> </w:t>
      </w:r>
      <w:r w:rsidR="005F2785">
        <w:t>and associated regulations</w:t>
      </w:r>
      <w:r w:rsidRPr="00CC3E56">
        <w:t>.</w:t>
      </w:r>
      <w:r w:rsidR="003B0643">
        <w:t xml:space="preserve"> The </w:t>
      </w:r>
      <w:r w:rsidR="00067B1C" w:rsidRPr="007F5D11">
        <w:rPr>
          <w:i/>
          <w:iCs/>
        </w:rPr>
        <w:t>Therapeutic Goods Act 1989</w:t>
      </w:r>
      <w:r w:rsidR="00067B1C">
        <w:rPr>
          <w:i/>
          <w:iCs/>
        </w:rPr>
        <w:t xml:space="preserve"> </w:t>
      </w:r>
      <w:r w:rsidR="003B0643">
        <w:t xml:space="preserve">was amended </w:t>
      </w:r>
      <w:r w:rsidR="001C7E0A">
        <w:t xml:space="preserve">by the </w:t>
      </w:r>
      <w:r w:rsidR="003B0643" w:rsidRPr="001C7E0A">
        <w:rPr>
          <w:i/>
          <w:iCs/>
        </w:rPr>
        <w:t>Therapeutic Goods Amendment (2022 Measures No. 1) Act 202</w:t>
      </w:r>
      <w:r w:rsidR="007A6FB0" w:rsidRPr="001C7E0A">
        <w:rPr>
          <w:i/>
          <w:iCs/>
        </w:rPr>
        <w:t>3</w:t>
      </w:r>
      <w:r w:rsidR="001C7E0A">
        <w:t xml:space="preserve">, </w:t>
      </w:r>
      <w:r w:rsidR="00A0331B">
        <w:t xml:space="preserve">to introduce </w:t>
      </w:r>
      <w:r w:rsidR="001E4AEE">
        <w:t>a framework for the mandatory reporting of adverse events involving medical device</w:t>
      </w:r>
      <w:r w:rsidR="00432263">
        <w:t>s</w:t>
      </w:r>
      <w:r w:rsidR="001E4AEE">
        <w:t>, principally by hospitals</w:t>
      </w:r>
      <w:r w:rsidR="00A94611">
        <w:t>.</w:t>
      </w:r>
      <w:r w:rsidR="000B2A3F">
        <w:t xml:space="preserve"> </w:t>
      </w:r>
      <w:r w:rsidR="007E3963">
        <w:t xml:space="preserve">Subsection </w:t>
      </w:r>
      <w:r w:rsidR="00F75B5C">
        <w:t>41JM(</w:t>
      </w:r>
      <w:r w:rsidR="00BF6AC6">
        <w:t xml:space="preserve">2) </w:t>
      </w:r>
      <w:r w:rsidR="0091703B">
        <w:t>relates to</w:t>
      </w:r>
      <w:r w:rsidR="00E27538">
        <w:t xml:space="preserve"> </w:t>
      </w:r>
      <w:r w:rsidR="009037B4">
        <w:t xml:space="preserve">incidents </w:t>
      </w:r>
      <w:r w:rsidR="009037B4" w:rsidRPr="00E04073">
        <w:rPr>
          <w:i/>
          <w:iCs/>
        </w:rPr>
        <w:t xml:space="preserve">where </w:t>
      </w:r>
      <w:r w:rsidR="00B5296E" w:rsidRPr="00E04073">
        <w:rPr>
          <w:i/>
          <w:iCs/>
        </w:rPr>
        <w:t xml:space="preserve">use of a </w:t>
      </w:r>
      <w:r w:rsidR="00243D11">
        <w:rPr>
          <w:i/>
          <w:iCs/>
        </w:rPr>
        <w:t xml:space="preserve">reportable </w:t>
      </w:r>
      <w:r w:rsidR="00B5296E" w:rsidRPr="00E04073">
        <w:rPr>
          <w:i/>
          <w:iCs/>
        </w:rPr>
        <w:t>medical device</w:t>
      </w:r>
      <w:r w:rsidR="00B5296E">
        <w:t xml:space="preserve"> </w:t>
      </w:r>
      <w:r w:rsidR="009667E1">
        <w:t xml:space="preserve">has resulted </w:t>
      </w:r>
      <w:r w:rsidR="003F7A2A">
        <w:t xml:space="preserve">in a death, or a </w:t>
      </w:r>
      <w:r w:rsidR="009447CE">
        <w:t>serious</w:t>
      </w:r>
      <w:r w:rsidR="00C73220">
        <w:t xml:space="preserve"> </w:t>
      </w:r>
      <w:r w:rsidR="000629C7">
        <w:t>deterioration</w:t>
      </w:r>
      <w:r w:rsidR="00515483">
        <w:t xml:space="preserve"> in the health </w:t>
      </w:r>
      <w:r w:rsidR="001D0EDF">
        <w:t xml:space="preserve">of a </w:t>
      </w:r>
      <w:r w:rsidR="00A3690B">
        <w:t>pe</w:t>
      </w:r>
      <w:r w:rsidR="00023E08">
        <w:t>rson wh</w:t>
      </w:r>
      <w:r w:rsidR="00744FD3">
        <w:t>en</w:t>
      </w:r>
      <w:r w:rsidR="00023E08">
        <w:t xml:space="preserve"> the de</w:t>
      </w:r>
      <w:r w:rsidR="00D71391">
        <w:t xml:space="preserve">vice is used in the facility. Subsection 41JM(3) relates to a ‘near-miss’, where, </w:t>
      </w:r>
      <w:r w:rsidR="00E66E5D">
        <w:t xml:space="preserve">except for the intervention of </w:t>
      </w:r>
      <w:r w:rsidR="000E32AA">
        <w:t>a person in the facility</w:t>
      </w:r>
      <w:r w:rsidR="00F66265">
        <w:t xml:space="preserve"> (</w:t>
      </w:r>
      <w:r w:rsidR="008B6A1F">
        <w:t>such as a health</w:t>
      </w:r>
      <w:r w:rsidR="00DE06B7">
        <w:t>care practitioner</w:t>
      </w:r>
      <w:r w:rsidR="002B5964">
        <w:t>)</w:t>
      </w:r>
      <w:r w:rsidR="008B61B7">
        <w:t xml:space="preserve"> the </w:t>
      </w:r>
      <w:r w:rsidR="008B61B7" w:rsidRPr="00E04073">
        <w:rPr>
          <w:i/>
          <w:iCs/>
        </w:rPr>
        <w:t>use of the</w:t>
      </w:r>
      <w:r w:rsidR="00E04073" w:rsidRPr="00E04073">
        <w:rPr>
          <w:i/>
          <w:iCs/>
        </w:rPr>
        <w:t xml:space="preserve"> </w:t>
      </w:r>
      <w:r w:rsidR="00243D11">
        <w:rPr>
          <w:i/>
          <w:iCs/>
        </w:rPr>
        <w:t xml:space="preserve">reportable </w:t>
      </w:r>
      <w:r w:rsidR="00E04073" w:rsidRPr="00E04073">
        <w:rPr>
          <w:i/>
          <w:iCs/>
        </w:rPr>
        <w:t>medical</w:t>
      </w:r>
      <w:r w:rsidR="008B61B7" w:rsidRPr="00E04073">
        <w:rPr>
          <w:i/>
          <w:iCs/>
        </w:rPr>
        <w:t xml:space="preserve"> device</w:t>
      </w:r>
      <w:r w:rsidR="008B61B7">
        <w:t xml:space="preserve"> would</w:t>
      </w:r>
      <w:r w:rsidR="008D66AB">
        <w:t xml:space="preserve"> have resulted in, or be likely to have resulted in, the </w:t>
      </w:r>
      <w:r w:rsidR="001C6D17">
        <w:t>death, or a serious deterioration in the health of a person</w:t>
      </w:r>
      <w:r w:rsidR="00224ED9">
        <w:t xml:space="preserve"> at that facility</w:t>
      </w:r>
      <w:r w:rsidR="000B2A3F">
        <w:t xml:space="preserve">. </w:t>
      </w:r>
      <w:r w:rsidR="000A57F0">
        <w:t xml:space="preserve">Subsection </w:t>
      </w:r>
      <w:r w:rsidR="00E03928">
        <w:t xml:space="preserve">41JM(4) </w:t>
      </w:r>
      <w:r w:rsidR="00854068">
        <w:t xml:space="preserve">applies if a health practitioner provides </w:t>
      </w:r>
      <w:r w:rsidR="00854068">
        <w:lastRenderedPageBreak/>
        <w:t>treatment to a person</w:t>
      </w:r>
      <w:r w:rsidR="00DC3C27">
        <w:t xml:space="preserve"> </w:t>
      </w:r>
      <w:r w:rsidR="00854068">
        <w:t>in the facility for a serious deterioration in the health of a person</w:t>
      </w:r>
      <w:r w:rsidR="004E765D">
        <w:t xml:space="preserve"> arising from the </w:t>
      </w:r>
      <w:r w:rsidR="004E765D" w:rsidRPr="00243D11">
        <w:rPr>
          <w:i/>
          <w:iCs/>
        </w:rPr>
        <w:t xml:space="preserve">use of </w:t>
      </w:r>
      <w:r w:rsidR="00854068" w:rsidRPr="00243D11">
        <w:rPr>
          <w:i/>
          <w:iCs/>
        </w:rPr>
        <w:t>a</w:t>
      </w:r>
      <w:r w:rsidR="004E765D" w:rsidRPr="00243D11">
        <w:rPr>
          <w:i/>
          <w:iCs/>
        </w:rPr>
        <w:t xml:space="preserve"> </w:t>
      </w:r>
      <w:r w:rsidR="00854068" w:rsidRPr="00243D11">
        <w:rPr>
          <w:i/>
          <w:iCs/>
        </w:rPr>
        <w:t>reportable medical device</w:t>
      </w:r>
      <w:r w:rsidR="00F52F97" w:rsidRPr="00243D11">
        <w:rPr>
          <w:i/>
          <w:iCs/>
        </w:rPr>
        <w:t>.</w:t>
      </w:r>
      <w:r w:rsidR="0010481E">
        <w:t xml:space="preserve"> This clause is intended to capture </w:t>
      </w:r>
      <w:r w:rsidR="00854068">
        <w:t>situation</w:t>
      </w:r>
      <w:r w:rsidR="0010481E">
        <w:t>s</w:t>
      </w:r>
      <w:r w:rsidR="00854068">
        <w:t xml:space="preserve"> where a person presents at</w:t>
      </w:r>
      <w:r w:rsidR="0010481E">
        <w:t xml:space="preserve"> </w:t>
      </w:r>
      <w:r w:rsidR="00854068">
        <w:t>a healthcare facility because of ill-health and the health practitioner identifies that the</w:t>
      </w:r>
      <w:r w:rsidR="00EB75A4">
        <w:t xml:space="preserve"> </w:t>
      </w:r>
      <w:r w:rsidR="00854068">
        <w:t>person may be experiencing an adverse event associated with the use of a medical</w:t>
      </w:r>
      <w:r w:rsidR="00EB75A4">
        <w:t xml:space="preserve"> </w:t>
      </w:r>
      <w:r w:rsidR="00854068">
        <w:t>device.</w:t>
      </w:r>
      <w:r w:rsidR="00767B35">
        <w:t xml:space="preserve"> </w:t>
      </w:r>
      <w:r w:rsidR="00854068">
        <w:t>This would include where the reportable medical device was used at home and</w:t>
      </w:r>
      <w:r w:rsidR="008E3046">
        <w:t xml:space="preserve"> </w:t>
      </w:r>
      <w:r w:rsidR="00854068">
        <w:t xml:space="preserve">the user presents at </w:t>
      </w:r>
      <w:r w:rsidR="00DC7A73">
        <w:t xml:space="preserve">the healthcare </w:t>
      </w:r>
      <w:r w:rsidR="003616CE">
        <w:t>facility</w:t>
      </w:r>
      <w:r w:rsidR="00854068">
        <w:t xml:space="preserve"> after experiencing an adverse event. This provision may</w:t>
      </w:r>
      <w:r w:rsidR="00F23281">
        <w:t xml:space="preserve"> </w:t>
      </w:r>
      <w:r w:rsidR="00854068">
        <w:t>also apply where a person was treated using a medical device</w:t>
      </w:r>
      <w:r w:rsidR="008B75B1">
        <w:t xml:space="preserve"> at a healthcare facility</w:t>
      </w:r>
      <w:r w:rsidR="00854068">
        <w:t xml:space="preserve"> in the past and a person</w:t>
      </w:r>
      <w:r w:rsidR="0072754F">
        <w:t xml:space="preserve"> </w:t>
      </w:r>
      <w:r w:rsidR="00854068">
        <w:t xml:space="preserve">presents at </w:t>
      </w:r>
      <w:r w:rsidR="0072754F">
        <w:t>a healthcare facility</w:t>
      </w:r>
      <w:r w:rsidR="00854068">
        <w:t xml:space="preserve"> with poor health which is then determined to have associated with the prior use of a reportable medical device.</w:t>
      </w:r>
    </w:p>
    <w:p w14:paraId="71BDE7D9" w14:textId="6C433881" w:rsidR="00A87A9D" w:rsidRDefault="00C32E48" w:rsidP="00C32E48">
      <w:r>
        <w:t>The Australian Government’s regulatory roles include overseeing the safety and quality of therapeutic goods, while the state and territory governments license or</w:t>
      </w:r>
      <w:r w:rsidR="00E2469D">
        <w:t xml:space="preserve"> </w:t>
      </w:r>
      <w:r>
        <w:t xml:space="preserve">register private </w:t>
      </w:r>
      <w:r w:rsidR="00A54481">
        <w:t>hospitals and</w:t>
      </w:r>
      <w:r>
        <w:t xml:space="preserve"> have legislation for the operation of public hospitals.</w:t>
      </w:r>
      <w:r w:rsidR="00A23466">
        <w:t xml:space="preserve"> </w:t>
      </w:r>
      <w:r w:rsidR="00406AAA">
        <w:t xml:space="preserve">As such, </w:t>
      </w:r>
      <w:r w:rsidR="004429A1">
        <w:t>th</w:t>
      </w:r>
      <w:r w:rsidR="0047271E">
        <w:t>e chief executive officer</w:t>
      </w:r>
      <w:r w:rsidR="00615FCF">
        <w:t xml:space="preserve"> </w:t>
      </w:r>
      <w:r w:rsidR="00AB5E09">
        <w:t xml:space="preserve">(however described) </w:t>
      </w:r>
      <w:r w:rsidR="00621566">
        <w:t xml:space="preserve">of a healthcare </w:t>
      </w:r>
      <w:r w:rsidR="00AB5E09">
        <w:t>facility</w:t>
      </w:r>
      <w:r w:rsidR="00AB33BA">
        <w:t xml:space="preserve"> was specifically </w:t>
      </w:r>
      <w:r w:rsidR="002102B4">
        <w:t xml:space="preserve">identified </w:t>
      </w:r>
      <w:r w:rsidR="003A26B7">
        <w:t xml:space="preserve">in the </w:t>
      </w:r>
      <w:r w:rsidR="00067B1C" w:rsidRPr="007F5D11">
        <w:rPr>
          <w:i/>
          <w:iCs/>
        </w:rPr>
        <w:t>Therapeutic Goods Act 1989</w:t>
      </w:r>
      <w:r w:rsidR="00067B1C">
        <w:rPr>
          <w:i/>
          <w:iCs/>
        </w:rPr>
        <w:t xml:space="preserve"> </w:t>
      </w:r>
      <w:r w:rsidR="002102B4">
        <w:t>as being responsible</w:t>
      </w:r>
      <w:r w:rsidR="000C00F5">
        <w:rPr>
          <w:rStyle w:val="FootnoteReference"/>
        </w:rPr>
        <w:footnoteReference w:id="28"/>
      </w:r>
      <w:r w:rsidR="002102B4">
        <w:t xml:space="preserve"> </w:t>
      </w:r>
      <w:r w:rsidR="00E8335B">
        <w:t xml:space="preserve">for the provision of </w:t>
      </w:r>
      <w:r w:rsidR="009D203E">
        <w:t>reports concerning medical de</w:t>
      </w:r>
      <w:r w:rsidR="003A26B7">
        <w:t>v</w:t>
      </w:r>
      <w:r w:rsidR="009D203E">
        <w:t xml:space="preserve">ice adverse events </w:t>
      </w:r>
      <w:r w:rsidR="00D10D03">
        <w:t>for reportable medical devices</w:t>
      </w:r>
      <w:r w:rsidR="002203F2">
        <w:rPr>
          <w:rStyle w:val="FootnoteReference"/>
        </w:rPr>
        <w:footnoteReference w:id="29"/>
      </w:r>
      <w:r w:rsidR="00D10D03">
        <w:t xml:space="preserve"> </w:t>
      </w:r>
      <w:r w:rsidR="009D203E">
        <w:t>to the Secretary of the Australian Government Department of Health</w:t>
      </w:r>
      <w:r w:rsidR="000F43EB">
        <w:t>, Disability and Ageing</w:t>
      </w:r>
      <w:r w:rsidR="009D203E">
        <w:t>.</w:t>
      </w:r>
      <w:r w:rsidR="00BD7F1D">
        <w:rPr>
          <w:rStyle w:val="FootnoteReference"/>
        </w:rPr>
        <w:footnoteReference w:id="30"/>
      </w:r>
      <w:r w:rsidR="009D203E">
        <w:t xml:space="preserve"> </w:t>
      </w:r>
      <w:r w:rsidR="00615FCF">
        <w:t xml:space="preserve">However, </w:t>
      </w:r>
      <w:r w:rsidR="00AC4D68">
        <w:t xml:space="preserve">to </w:t>
      </w:r>
      <w:r w:rsidR="00E6044D">
        <w:t xml:space="preserve">reduce the likelihood of </w:t>
      </w:r>
      <w:r w:rsidR="00BA087A">
        <w:t>duplicate reporting</w:t>
      </w:r>
      <w:r w:rsidR="000D2825">
        <w:t>,</w:t>
      </w:r>
      <w:r w:rsidR="009652D6">
        <w:rPr>
          <w:rStyle w:val="FootnoteReference"/>
        </w:rPr>
        <w:footnoteReference w:id="31"/>
      </w:r>
      <w:r w:rsidR="000D2825">
        <w:t xml:space="preserve"> </w:t>
      </w:r>
      <w:r w:rsidR="00DE1BB5">
        <w:rPr>
          <w:lang w:val="en-US"/>
        </w:rPr>
        <w:t>t</w:t>
      </w:r>
      <w:r w:rsidR="00615FCF">
        <w:rPr>
          <w:lang w:val="en-US"/>
        </w:rPr>
        <w:t>he provision of the report</w:t>
      </w:r>
      <w:r w:rsidR="008A0B06">
        <w:rPr>
          <w:lang w:val="en-US"/>
        </w:rPr>
        <w:t xml:space="preserve"> to the </w:t>
      </w:r>
      <w:r w:rsidR="00767537">
        <w:rPr>
          <w:lang w:val="en-US"/>
        </w:rPr>
        <w:t>Secretary</w:t>
      </w:r>
      <w:r w:rsidR="00615FCF">
        <w:rPr>
          <w:lang w:val="en-US"/>
        </w:rPr>
        <w:t xml:space="preserve"> is not required if the CEO has reported the relevant matters to either the CEO of the </w:t>
      </w:r>
      <w:r w:rsidR="00A71589" w:rsidRPr="00A71589">
        <w:rPr>
          <w:lang w:val="en-US"/>
        </w:rPr>
        <w:t xml:space="preserve">Commission </w:t>
      </w:r>
      <w:r w:rsidR="00615FCF">
        <w:rPr>
          <w:lang w:val="en-US"/>
        </w:rPr>
        <w:t xml:space="preserve">or </w:t>
      </w:r>
      <w:r w:rsidR="00E02531">
        <w:rPr>
          <w:lang w:val="en-US"/>
        </w:rPr>
        <w:t xml:space="preserve">to </w:t>
      </w:r>
      <w:r w:rsidR="00615FCF">
        <w:rPr>
          <w:lang w:val="en-US"/>
        </w:rPr>
        <w:t>the head of the relevant state/territory health department.</w:t>
      </w:r>
      <w:r w:rsidR="00615FCF">
        <w:rPr>
          <w:rStyle w:val="FootnoteReference"/>
          <w:lang w:val="en-US"/>
        </w:rPr>
        <w:footnoteReference w:id="32"/>
      </w:r>
    </w:p>
    <w:p w14:paraId="22AA61A5" w14:textId="1D8A2747" w:rsidR="00CE52F3" w:rsidRDefault="00CE52F3" w:rsidP="00F9197A">
      <w:pPr>
        <w:pStyle w:val="Heading3"/>
      </w:pPr>
      <w:bookmarkStart w:id="43" w:name="_Toc156375134"/>
      <w:bookmarkStart w:id="44" w:name="_Toc179531302"/>
      <w:bookmarkStart w:id="45" w:name="_Toc188012849"/>
      <w:bookmarkEnd w:id="30"/>
      <w:r>
        <w:t>Impact Analysis</w:t>
      </w:r>
      <w:bookmarkEnd w:id="43"/>
      <w:bookmarkEnd w:id="44"/>
      <w:bookmarkEnd w:id="45"/>
    </w:p>
    <w:p w14:paraId="314A31DC" w14:textId="5CFFCCFE" w:rsidR="005F5D73" w:rsidRPr="00D246EB" w:rsidRDefault="00FE2E56" w:rsidP="00D75920">
      <w:r>
        <w:t xml:space="preserve">In July 2022, the then Office of Best Practice Regulation (OBPR) and the </w:t>
      </w:r>
      <w:r w:rsidR="000F43EB">
        <w:t>Department of Health, Disability and Ageing</w:t>
      </w:r>
      <w:r>
        <w:t xml:space="preserve"> </w:t>
      </w:r>
      <w:r w:rsidR="00B55BC4">
        <w:t xml:space="preserve">agreed that while the proposed amendments to the </w:t>
      </w:r>
      <w:r w:rsidR="00664D36" w:rsidRPr="007F5D11">
        <w:rPr>
          <w:i/>
          <w:iCs/>
        </w:rPr>
        <w:t>Therapeutic Goods Act 1989</w:t>
      </w:r>
      <w:r w:rsidR="00664D36">
        <w:rPr>
          <w:i/>
          <w:iCs/>
        </w:rPr>
        <w:t xml:space="preserve"> </w:t>
      </w:r>
      <w:r w:rsidR="00B55BC4">
        <w:t>to support the option of strengthening the mandatory reporting framework</w:t>
      </w:r>
      <w:r w:rsidR="001A5D06">
        <w:t xml:space="preserve"> were able to proceed, a </w:t>
      </w:r>
      <w:r w:rsidR="00D970A8">
        <w:t>Regulatory Impact Statement (</w:t>
      </w:r>
      <w:r w:rsidR="001A5D06">
        <w:t>RIS</w:t>
      </w:r>
      <w:r w:rsidR="00D970A8">
        <w:t>)</w:t>
      </w:r>
      <w:r w:rsidR="001A5D06">
        <w:t xml:space="preserve"> must be prepared in advance of the supporting regulations being registered</w:t>
      </w:r>
      <w:r w:rsidR="005A2442">
        <w:t>. Furthermore</w:t>
      </w:r>
      <w:r w:rsidR="00EE03E7">
        <w:t xml:space="preserve">, it was agreed that an early assessment </w:t>
      </w:r>
      <w:r w:rsidR="007F28D2">
        <w:t xml:space="preserve">RIS be prepared to inform the policy decision with respect to the relevant bill. </w:t>
      </w:r>
      <w:r w:rsidR="00C64C82">
        <w:t>Accordingly</w:t>
      </w:r>
      <w:r w:rsidR="00A23D0F">
        <w:t>, o</w:t>
      </w:r>
      <w:r w:rsidR="00E72820">
        <w:t>n 3 November 2022</w:t>
      </w:r>
      <w:r w:rsidR="005F5D73">
        <w:t xml:space="preserve"> </w:t>
      </w:r>
      <w:r w:rsidR="00C50EDE">
        <w:t xml:space="preserve">an Early Assessment </w:t>
      </w:r>
      <w:r w:rsidR="001F4F86">
        <w:t xml:space="preserve">RIS </w:t>
      </w:r>
      <w:r w:rsidR="007708D9">
        <w:t xml:space="preserve">was submitted to the </w:t>
      </w:r>
      <w:r w:rsidR="007F535A">
        <w:t>OIA</w:t>
      </w:r>
      <w:r w:rsidR="007708D9">
        <w:t xml:space="preserve"> </w:t>
      </w:r>
      <w:r w:rsidR="00D246EB">
        <w:t xml:space="preserve">to support the </w:t>
      </w:r>
      <w:r w:rsidR="00D246EB">
        <w:rPr>
          <w:i/>
          <w:iCs/>
        </w:rPr>
        <w:t>Therapeutic Goods Amendment (2022 Measures No.1) Bill 2022</w:t>
      </w:r>
      <w:r w:rsidR="00317F1B">
        <w:t xml:space="preserve">. </w:t>
      </w:r>
      <w:r w:rsidR="0061504A">
        <w:t xml:space="preserve">This document </w:t>
      </w:r>
      <w:r w:rsidR="00383D6A">
        <w:t>provided early information to the OBPR on some of the likely regulatory impacts</w:t>
      </w:r>
      <w:r w:rsidR="0008023E">
        <w:t xml:space="preserve"> of introducing the meas</w:t>
      </w:r>
      <w:r w:rsidR="00735A06">
        <w:t>ure</w:t>
      </w:r>
      <w:r w:rsidR="00BB0D60">
        <w:t xml:space="preserve">, with </w:t>
      </w:r>
      <w:r w:rsidR="004B6555">
        <w:t xml:space="preserve">it being agreed that </w:t>
      </w:r>
      <w:r w:rsidR="00BB0D60">
        <w:t xml:space="preserve">a complete and final RIS </w:t>
      </w:r>
      <w:r w:rsidR="004B6555">
        <w:t xml:space="preserve">was </w:t>
      </w:r>
      <w:r w:rsidR="00BB0D60">
        <w:t>to be prepared</w:t>
      </w:r>
      <w:r w:rsidR="00F23651">
        <w:t xml:space="preserve"> and reviewed</w:t>
      </w:r>
      <w:r w:rsidR="00BB0D60">
        <w:t xml:space="preserve"> </w:t>
      </w:r>
      <w:r w:rsidR="002526BF">
        <w:t xml:space="preserve">prior to the </w:t>
      </w:r>
      <w:r w:rsidR="00E80BCD">
        <w:t xml:space="preserve">amended regulations being </w:t>
      </w:r>
      <w:r w:rsidR="00FB1DF2">
        <w:t>tabled</w:t>
      </w:r>
      <w:r w:rsidR="005032A8">
        <w:t xml:space="preserve"> and a</w:t>
      </w:r>
      <w:r w:rsidR="00DB775B">
        <w:t>dditional</w:t>
      </w:r>
      <w:r w:rsidR="00360BEA">
        <w:t xml:space="preserve"> consultation would be undertaken to support the development of the </w:t>
      </w:r>
      <w:r w:rsidR="008158A3">
        <w:t xml:space="preserve">final RIS (Final IA). </w:t>
      </w:r>
    </w:p>
    <w:p w14:paraId="5EBCFBB5" w14:textId="77777777" w:rsidR="00227246" w:rsidRDefault="00227246">
      <w:pPr>
        <w:rPr>
          <w:rFonts w:eastAsia="Times New Roman" w:cs="Times New Roman"/>
          <w:b/>
          <w:bCs/>
          <w:color w:val="001871"/>
          <w:sz w:val="38"/>
          <w:szCs w:val="38"/>
        </w:rPr>
      </w:pPr>
      <w:bookmarkStart w:id="46" w:name="_Toc156375135"/>
      <w:r>
        <w:br w:type="page"/>
      </w:r>
    </w:p>
    <w:p w14:paraId="509F3BB9" w14:textId="175A3A7F" w:rsidR="0055265D" w:rsidRDefault="00CE52F3" w:rsidP="006F0082">
      <w:pPr>
        <w:pStyle w:val="Heading2"/>
      </w:pPr>
      <w:bookmarkStart w:id="47" w:name="_Toc179531303"/>
      <w:bookmarkStart w:id="48" w:name="_Toc188012850"/>
      <w:r>
        <w:lastRenderedPageBreak/>
        <w:t>Question One: What is the problem you are trying to solve?</w:t>
      </w:r>
      <w:bookmarkEnd w:id="46"/>
      <w:bookmarkEnd w:id="47"/>
      <w:bookmarkEnd w:id="48"/>
      <w:r w:rsidR="00CB7998">
        <w:br/>
      </w:r>
    </w:p>
    <w:p w14:paraId="752FAFE9" w14:textId="06323EC8" w:rsidR="00026055" w:rsidRDefault="007F16DA" w:rsidP="000A7A02">
      <w:r>
        <w:t>Two key issues continue to limit the capacity of the TGA to identify and act upon market signals that indicate potential or emerging issues about the safety and effectiveness of medical devices</w:t>
      </w:r>
      <w:r w:rsidR="002E2C1A">
        <w:rPr>
          <w:rStyle w:val="FootnoteReference"/>
        </w:rPr>
        <w:footnoteReference w:id="33"/>
      </w:r>
      <w:r>
        <w:t>.</w:t>
      </w:r>
      <w:r w:rsidR="009B311B">
        <w:t xml:space="preserve"> These are:</w:t>
      </w:r>
    </w:p>
    <w:p w14:paraId="7EB6B052" w14:textId="3E16043E" w:rsidR="007835E8" w:rsidRDefault="007F16DA" w:rsidP="00026055">
      <w:pPr>
        <w:pStyle w:val="Bullet1"/>
      </w:pPr>
      <w:r>
        <w:t xml:space="preserve">In Australia, mandatory adverse event reporting requirements </w:t>
      </w:r>
      <w:r w:rsidR="00C00EDA">
        <w:t xml:space="preserve">have only </w:t>
      </w:r>
      <w:r>
        <w:t>exist</w:t>
      </w:r>
      <w:r w:rsidR="00C00EDA">
        <w:t>ed</w:t>
      </w:r>
      <w:r>
        <w:t xml:space="preserve"> for device manufacturers and sponsors.</w:t>
      </w:r>
    </w:p>
    <w:p w14:paraId="2B4916BC" w14:textId="6B2DD22E" w:rsidR="0079560E" w:rsidRDefault="007F16DA" w:rsidP="0079560E">
      <w:pPr>
        <w:pStyle w:val="Bullet1"/>
        <w:numPr>
          <w:ilvl w:val="0"/>
          <w:numId w:val="0"/>
        </w:numPr>
      </w:pPr>
      <w:r>
        <w:t xml:space="preserve">Longer term device </w:t>
      </w:r>
      <w:r w:rsidR="0020602E">
        <w:t>problems</w:t>
      </w:r>
      <w:r>
        <w:t>, such as those that have been a recent focus of public attention (for example, urogynaecological mesh, metal-on-metal hip</w:t>
      </w:r>
      <w:r w:rsidR="00C00EDA">
        <w:t xml:space="preserve"> </w:t>
      </w:r>
      <w:r w:rsidR="00C6078A">
        <w:t>devices</w:t>
      </w:r>
      <w:r>
        <w:t>, textured breast implants) are more likely to have serious clinical impacts some years after the device implantation, rather than</w:t>
      </w:r>
      <w:r w:rsidR="0055265D">
        <w:t xml:space="preserve"> identified as</w:t>
      </w:r>
      <w:r>
        <w:t xml:space="preserve"> an immediate adverse event</w:t>
      </w:r>
      <w:r w:rsidR="0020602E">
        <w:t>. These may</w:t>
      </w:r>
      <w:r>
        <w:t xml:space="preserve"> present in a different healthcare setting to the original procedure. </w:t>
      </w:r>
      <w:r w:rsidR="008D36FD">
        <w:t>Adverse e</w:t>
      </w:r>
      <w:r w:rsidR="00E91548">
        <w:t>vents</w:t>
      </w:r>
      <w:r w:rsidR="008D36FD">
        <w:t xml:space="preserve"> that arise years after </w:t>
      </w:r>
      <w:r w:rsidR="0079253A">
        <w:t xml:space="preserve">device implantation </w:t>
      </w:r>
      <w:r w:rsidR="00B12C47">
        <w:t xml:space="preserve">may not </w:t>
      </w:r>
      <w:r w:rsidR="0079253A">
        <w:t>be immediately linked to the medi</w:t>
      </w:r>
      <w:r w:rsidR="0055265D">
        <w:t>c</w:t>
      </w:r>
      <w:r w:rsidR="0079253A">
        <w:t xml:space="preserve">al </w:t>
      </w:r>
      <w:r w:rsidR="007E42CC">
        <w:t>device,</w:t>
      </w:r>
      <w:r w:rsidR="00C973EB">
        <w:t xml:space="preserve"> </w:t>
      </w:r>
      <w:r w:rsidR="007E42CC">
        <w:t xml:space="preserve">as the </w:t>
      </w:r>
      <w:r w:rsidR="002451C6">
        <w:t>causal connection</w:t>
      </w:r>
      <w:r w:rsidR="007E42CC">
        <w:t xml:space="preserve"> may not be apparent without thorough investigation. </w:t>
      </w:r>
      <w:r w:rsidR="00B12C47">
        <w:t>Patients may present at a healthcare facility multiple times</w:t>
      </w:r>
      <w:r w:rsidR="00C059CD">
        <w:t xml:space="preserve"> or experience delayed complications</w:t>
      </w:r>
      <w:r w:rsidR="00B12C47">
        <w:t xml:space="preserve"> before a link to the original medical device is identified, increasing disease burden and healthcare costs. </w:t>
      </w:r>
      <w:r w:rsidR="0079560E">
        <w:t>Additionally, over time, patient records related to the original procedure may become inaccessible or incomplete, especially if the patient transitions to a different healthcare facility. This loss of continuity can make it challenging to establish a causative link between the medical device and an adverse event. The lack of systematic reporting requirements for healthcare facilities means that even when adverse events are recorded in hospital incident management systems, they are often not communicated to the TGA or sponsors or manufacturers for further investigation in a consistent manner. These factors create a significant blind spot for the TGA where critical safety signals may remain undetected, delaying responses to emerging risks and increasing the potential for further patient harm.</w:t>
      </w:r>
    </w:p>
    <w:p w14:paraId="36B5DB91" w14:textId="06D77C9E" w:rsidR="00B12C47" w:rsidRPr="00223976" w:rsidRDefault="00223976" w:rsidP="003B0BB9">
      <w:pPr>
        <w:pStyle w:val="Bullet1"/>
        <w:numPr>
          <w:ilvl w:val="0"/>
          <w:numId w:val="0"/>
        </w:numPr>
      </w:pPr>
      <w:r w:rsidRPr="00610300">
        <w:t>The medical device adverse event reporting requirement for healthcare facilities has remained voluntary for many years without any</w:t>
      </w:r>
      <w:r w:rsidR="00877C48" w:rsidRPr="00610300">
        <w:t xml:space="preserve"> sustained</w:t>
      </w:r>
      <w:r w:rsidRPr="00610300">
        <w:t xml:space="preserve"> change or improvements in reporting data, even with increased efforts and the introduction of education awareness initiatives. </w:t>
      </w:r>
      <w:r w:rsidR="00CA0AFE" w:rsidRPr="00610300">
        <w:t>The existing voluntary reporting system frequently results in critical gaps</w:t>
      </w:r>
      <w:r w:rsidR="00DD6105" w:rsidRPr="00610300">
        <w:t xml:space="preserve"> in the data received by the TGA</w:t>
      </w:r>
      <w:r w:rsidR="00CA0AFE" w:rsidRPr="00610300">
        <w:t>, including incomplete details about adverse events, the medical devices involved, and their impact on patient health. These data deficiencies create significant uncertainty in understanding the true extent and nature of adverse events, making it challenging to accurately assess the costs and benefits of regulatory interventions. Under</w:t>
      </w:r>
      <w:r w:rsidR="00877C48" w:rsidRPr="00610300">
        <w:t>-</w:t>
      </w:r>
      <w:r w:rsidR="00CA0AFE" w:rsidRPr="00610300">
        <w:t>reporting delays the detection of emerging safety issues with medical devices, prolonging patient exposure to potential risks before appropriate regulatory actions can be taken. This uncertainty in the timing and frequency of adverse events complicates cost-benefit analysis, as the potential benefits of early intervention and harm reduction remain under</w:t>
      </w:r>
      <w:r w:rsidR="00877C48" w:rsidRPr="00610300">
        <w:t>-</w:t>
      </w:r>
      <w:r w:rsidR="00CA0AFE" w:rsidRPr="00610300">
        <w:t>represented in projections.</w:t>
      </w:r>
      <w:r w:rsidR="00A910A0" w:rsidRPr="00610300">
        <w:t xml:space="preserve"> </w:t>
      </w:r>
      <w:r w:rsidR="0079560E" w:rsidRPr="00610300">
        <w:t>It was not until t</w:t>
      </w:r>
      <w:r w:rsidR="00C059CD" w:rsidRPr="00610300">
        <w:t>he</w:t>
      </w:r>
      <w:r w:rsidRPr="00610300">
        <w:t xml:space="preserve"> </w:t>
      </w:r>
      <w:r w:rsidRPr="00610300">
        <w:rPr>
          <w:i/>
          <w:iCs/>
        </w:rPr>
        <w:t>2017-2018</w:t>
      </w:r>
      <w:r w:rsidRPr="00610300">
        <w:t xml:space="preserve"> </w:t>
      </w:r>
      <w:r w:rsidRPr="00610300">
        <w:rPr>
          <w:i/>
          <w:iCs/>
        </w:rPr>
        <w:t xml:space="preserve">Senate Inquiry into transvaginal mesh implants and related matters </w:t>
      </w:r>
      <w:r w:rsidR="0079560E" w:rsidRPr="00610300">
        <w:t>that r</w:t>
      </w:r>
      <w:r w:rsidR="00C059CD" w:rsidRPr="00610300">
        <w:t xml:space="preserve">evealed that earlier signal detection could have prevented or addressed these issues sooner which prompted </w:t>
      </w:r>
      <w:r w:rsidR="0079560E" w:rsidRPr="00610300">
        <w:t xml:space="preserve">the </w:t>
      </w:r>
      <w:r w:rsidR="00C059CD" w:rsidRPr="00610300">
        <w:t>Government to introduce mandatory reporting of medical device adverse events by healthcare facilities.</w:t>
      </w:r>
      <w:r w:rsidR="00321826">
        <w:t xml:space="preserve"> </w:t>
      </w:r>
    </w:p>
    <w:p w14:paraId="276341C5" w14:textId="7F773FE5" w:rsidR="00215D5E" w:rsidRPr="001E0ACD" w:rsidRDefault="00F53BAF" w:rsidP="00422DE8">
      <w:pPr>
        <w:pStyle w:val="Bullet1"/>
        <w:numPr>
          <w:ilvl w:val="0"/>
          <w:numId w:val="0"/>
        </w:numPr>
        <w:rPr>
          <w:strike/>
        </w:rPr>
      </w:pPr>
      <w:r>
        <w:br/>
      </w:r>
      <w:r w:rsidR="00DD1CE9">
        <w:t>A recent investigation of spinal cord stimulators (SCS) found that 2,605 adverse events were reported to the TGA over the past 10-years during 2014-2024</w:t>
      </w:r>
      <w:r w:rsidR="00DD1CE9">
        <w:rPr>
          <w:rFonts w:cs="Arial"/>
          <w:shd w:val="clear" w:color="auto" w:fill="FFFFFF"/>
        </w:rPr>
        <w:t xml:space="preserve">. </w:t>
      </w:r>
      <w:r w:rsidR="00DD1CE9">
        <w:t xml:space="preserve">This prompted the TGA to request adverse event data from manufacturers and sponsors, revealing that many sponsors and manufacturers have been relying on or interpreting the medical device adverse event exemption rules to exclude many </w:t>
      </w:r>
      <w:r w:rsidR="00DD1CE9">
        <w:lastRenderedPageBreak/>
        <w:t xml:space="preserve">adverse events related to SCS from being reported. The TGA is undertaking a review of the exemption rules to ensure that such incidents are reported promptly, supporting improved monitoring and timely intervention. </w:t>
      </w:r>
      <w:r w:rsidR="0036752A">
        <w:t>A</w:t>
      </w:r>
      <w:r w:rsidR="00215D5E">
        <w:t>dditional requirements</w:t>
      </w:r>
      <w:r w:rsidR="0036752A">
        <w:t xml:space="preserve"> will also be imposed</w:t>
      </w:r>
      <w:r w:rsidR="00215D5E">
        <w:t xml:space="preserve"> on sponsors and manufacturers, such as improving information regarding the indications and contraindications for use and providing information about </w:t>
      </w:r>
      <w:r w:rsidR="00C00EDA">
        <w:t xml:space="preserve">the </w:t>
      </w:r>
      <w:r w:rsidR="00215D5E">
        <w:t>expected lifespan of the device</w:t>
      </w:r>
      <w:r w:rsidR="00074146">
        <w:t>.</w:t>
      </w:r>
      <w:r w:rsidR="00215D5E">
        <w:rPr>
          <w:rStyle w:val="FootnoteReference"/>
        </w:rPr>
        <w:footnoteReference w:id="34"/>
      </w:r>
      <w:r w:rsidR="00074146">
        <w:t xml:space="preserve"> </w:t>
      </w:r>
      <w:r w:rsidR="00215D5E">
        <w:t>Other regulators such as the U.S. FDA acknowledge the data limitations</w:t>
      </w:r>
      <w:r w:rsidR="00C00EDA">
        <w:t>,</w:t>
      </w:r>
      <w:r w:rsidR="00215D5E">
        <w:t xml:space="preserve"> and underreporting ma</w:t>
      </w:r>
      <w:r w:rsidR="0020602E">
        <w:t>de</w:t>
      </w:r>
      <w:r w:rsidR="00215D5E">
        <w:t xml:space="preserve"> it </w:t>
      </w:r>
      <w:r w:rsidR="00215D5E" w:rsidRPr="007101C0">
        <w:rPr>
          <w:rFonts w:cs="Arial"/>
        </w:rPr>
        <w:t xml:space="preserve">difficult to </w:t>
      </w:r>
      <w:r w:rsidR="00215D5E" w:rsidRPr="00753930">
        <w:rPr>
          <w:rFonts w:cs="Arial"/>
          <w:shd w:val="clear" w:color="auto" w:fill="FFFFFF"/>
        </w:rPr>
        <w:t>determine whether a device directly caused an injury or death.</w:t>
      </w:r>
      <w:r w:rsidR="00215D5E">
        <w:t xml:space="preserve"> </w:t>
      </w:r>
    </w:p>
    <w:p w14:paraId="183DCC2E" w14:textId="76A98643" w:rsidR="009318CD" w:rsidRDefault="000458A9" w:rsidP="00567831">
      <w:r>
        <w:t xml:space="preserve">With over </w:t>
      </w:r>
      <w:r w:rsidR="004C2913">
        <w:t>1,</w:t>
      </w:r>
      <w:r w:rsidR="00465906">
        <w:t>4</w:t>
      </w:r>
      <w:r w:rsidR="004C2913">
        <w:t xml:space="preserve">00,000 medical devices currently </w:t>
      </w:r>
      <w:r w:rsidR="00653685">
        <w:t>approved for use</w:t>
      </w:r>
      <w:r w:rsidR="004C2913">
        <w:t xml:space="preserve"> </w:t>
      </w:r>
      <w:r w:rsidR="00653685">
        <w:t>in</w:t>
      </w:r>
      <w:r w:rsidR="004C2913">
        <w:t xml:space="preserve"> Australia,</w:t>
      </w:r>
      <w:r>
        <w:t xml:space="preserve"> </w:t>
      </w:r>
      <w:r w:rsidR="006E4C75">
        <w:t>strong</w:t>
      </w:r>
      <w:r w:rsidR="00FD7A06">
        <w:t>e</w:t>
      </w:r>
      <w:r w:rsidR="008B5BAA">
        <w:t>r</w:t>
      </w:r>
      <w:r w:rsidR="006E4C75">
        <w:t xml:space="preserve"> post-market </w:t>
      </w:r>
      <w:r w:rsidR="008B5BAA">
        <w:t xml:space="preserve">monitoring of the safety and operation of medical devices </w:t>
      </w:r>
      <w:r w:rsidR="00842DDE">
        <w:t xml:space="preserve">is </w:t>
      </w:r>
      <w:r w:rsidR="009067EC">
        <w:t>required</w:t>
      </w:r>
      <w:r w:rsidR="00842DDE">
        <w:t xml:space="preserve"> to </w:t>
      </w:r>
      <w:r w:rsidR="0031789F">
        <w:t xml:space="preserve">access </w:t>
      </w:r>
      <w:r w:rsidR="00496339">
        <w:t>critical data on adverse events and rapidly shar</w:t>
      </w:r>
      <w:r w:rsidR="00F0658C">
        <w:t xml:space="preserve">e </w:t>
      </w:r>
      <w:r w:rsidR="000D2FE8">
        <w:t xml:space="preserve">information relating to </w:t>
      </w:r>
      <w:r w:rsidR="00A66DE8">
        <w:t>emerging safety issues</w:t>
      </w:r>
      <w:r w:rsidR="006A7372">
        <w:t>.</w:t>
      </w:r>
      <w:r w:rsidR="00465906">
        <w:rPr>
          <w:rStyle w:val="FootnoteReference"/>
        </w:rPr>
        <w:footnoteReference w:id="35"/>
      </w:r>
      <w:r w:rsidR="000132E6">
        <w:t xml:space="preserve"> </w:t>
      </w:r>
    </w:p>
    <w:p w14:paraId="62847912" w14:textId="727C2D67" w:rsidR="00E32230" w:rsidRDefault="00D253D0" w:rsidP="00567831">
      <w:r>
        <w:t xml:space="preserve">The volume of </w:t>
      </w:r>
      <w:r w:rsidR="00DD3CB5">
        <w:t>registered medical devices</w:t>
      </w:r>
      <w:r w:rsidR="0092147B">
        <w:t xml:space="preserve"> on the ARTG</w:t>
      </w:r>
      <w:r w:rsidR="00DD3CB5">
        <w:t xml:space="preserve"> has increased consistently overtime (e.g., an 11% increase </w:t>
      </w:r>
      <w:r w:rsidR="00DF27BA">
        <w:t>over the last 5 years</w:t>
      </w:r>
      <w:r w:rsidR="00EC5313">
        <w:rPr>
          <w:rStyle w:val="FootnoteReference"/>
        </w:rPr>
        <w:footnoteReference w:id="36"/>
      </w:r>
      <w:r w:rsidR="00DF27BA">
        <w:t>) and is likely to continue to grow.</w:t>
      </w:r>
      <w:r w:rsidR="00EC5313">
        <w:t xml:space="preserve"> </w:t>
      </w:r>
      <w:r w:rsidR="00D23CBA">
        <w:t xml:space="preserve">Over this same </w:t>
      </w:r>
      <w:r w:rsidR="008570E0">
        <w:t>period,</w:t>
      </w:r>
      <w:r w:rsidR="0092147B">
        <w:t xml:space="preserve"> </w:t>
      </w:r>
      <w:r w:rsidR="0069097E">
        <w:t xml:space="preserve">a range of </w:t>
      </w:r>
      <w:r w:rsidR="008F03C3">
        <w:t>technological advancements</w:t>
      </w:r>
      <w:r w:rsidR="00A3228B">
        <w:t xml:space="preserve"> </w:t>
      </w:r>
      <w:r w:rsidR="00CA4F7B">
        <w:t xml:space="preserve">have </w:t>
      </w:r>
      <w:r w:rsidR="00630011">
        <w:t>led</w:t>
      </w:r>
      <w:r w:rsidR="00A3228B">
        <w:t xml:space="preserve"> to the introduction of </w:t>
      </w:r>
      <w:r w:rsidR="0069097E">
        <w:t>more complex medical devices.</w:t>
      </w:r>
      <w:r w:rsidR="000A2F30">
        <w:t xml:space="preserve"> This increase in volume and complexity of registered medical devices introduces new risks and challenges </w:t>
      </w:r>
      <w:r w:rsidR="0051224F">
        <w:t>related to product design</w:t>
      </w:r>
      <w:r w:rsidR="00073767">
        <w:t>, usage and regulation which may contribute to a higher likelihood of medical device adverse events.</w:t>
      </w:r>
    </w:p>
    <w:p w14:paraId="03A20FD9" w14:textId="1CDB3286" w:rsidR="00424343" w:rsidRDefault="00434DBB" w:rsidP="00567831">
      <w:r>
        <w:t>Whil</w:t>
      </w:r>
      <w:r w:rsidR="004B68FF">
        <w:t>e</w:t>
      </w:r>
      <w:r>
        <w:t xml:space="preserve"> healthcare facilities, health professionals and consumers are strongly encouraged to report adverse events, </w:t>
      </w:r>
      <w:r w:rsidR="00053159">
        <w:t xml:space="preserve">currently, </w:t>
      </w:r>
      <w:r>
        <w:t xml:space="preserve">this is done voluntarily. </w:t>
      </w:r>
      <w:r w:rsidR="00A467E2">
        <w:t xml:space="preserve">A breakdown of reports </w:t>
      </w:r>
      <w:r w:rsidR="00F952D7">
        <w:t xml:space="preserve">(Figure </w:t>
      </w:r>
      <w:r w:rsidR="0092147B">
        <w:t>6</w:t>
      </w:r>
      <w:r w:rsidR="00F952D7">
        <w:t xml:space="preserve"> below)</w:t>
      </w:r>
      <w:r w:rsidR="00A467E2">
        <w:t xml:space="preserve"> received over the previous five calendar years (2019-23) </w:t>
      </w:r>
      <w:r w:rsidR="00F952D7">
        <w:t>shows that</w:t>
      </w:r>
      <w:r w:rsidR="00C16FE5">
        <w:t xml:space="preserve"> </w:t>
      </w:r>
      <w:r w:rsidR="00A467E2">
        <w:t>reports</w:t>
      </w:r>
      <w:r w:rsidR="00C16FE5">
        <w:t xml:space="preserve"> are</w:t>
      </w:r>
      <w:r w:rsidR="00A467E2">
        <w:t xml:space="preserve"> predominantly (around </w:t>
      </w:r>
      <w:r w:rsidR="00D23063">
        <w:t>88</w:t>
      </w:r>
      <w:r w:rsidR="00A467E2">
        <w:t>%) submitted by sponsors</w:t>
      </w:r>
      <w:r w:rsidR="00FC76C6">
        <w:t xml:space="preserve"> and manufacturers</w:t>
      </w:r>
      <w:r w:rsidR="00366001">
        <w:t>,</w:t>
      </w:r>
      <w:r w:rsidR="00C16FE5">
        <w:t xml:space="preserve"> with </w:t>
      </w:r>
      <w:r w:rsidR="00786986">
        <w:t>the remaining</w:t>
      </w:r>
      <w:r w:rsidR="00FC365B">
        <w:t xml:space="preserve"> 1</w:t>
      </w:r>
      <w:r w:rsidR="00D23063">
        <w:t>1</w:t>
      </w:r>
      <w:r w:rsidR="00FC365B">
        <w:t xml:space="preserve">% </w:t>
      </w:r>
      <w:r w:rsidR="00432758">
        <w:t xml:space="preserve">sourced </w:t>
      </w:r>
      <w:r w:rsidR="00006E04">
        <w:t>from healthcare professionals and patients/consumers</w:t>
      </w:r>
      <w:r w:rsidR="00A467E2">
        <w:t xml:space="preserve">. </w:t>
      </w:r>
    </w:p>
    <w:p w14:paraId="2B231E3B" w14:textId="77777777" w:rsidR="004462E1" w:rsidDel="004462E1" w:rsidRDefault="004462E1" w:rsidP="004462E1">
      <w:r w:rsidDel="004462E1">
        <w:t>A further breakdown of reports during this same period (Figure 7) shows the average percentage of medical device adverse event reports from public and private hospitals is 5% and 6% respectively, whereas day surgeries make up only 1% of adverse event reports submitted to the TGA. The facility type was unable to be determined for approximately 8% of reports. Furthermore, no reports were received from other facility types including rehabilitation centres, pharmacies, diagnostic facilities, ambulance services and aged care facilities.</w:t>
      </w:r>
    </w:p>
    <w:p w14:paraId="3CAC93D0" w14:textId="77777777" w:rsidR="004462E1" w:rsidRDefault="004462E1" w:rsidP="00567831"/>
    <w:p w14:paraId="36CDACF0" w14:textId="3D18F215" w:rsidR="00112799" w:rsidRDefault="00112799" w:rsidP="00B37DCC">
      <w:pPr>
        <w:pStyle w:val="Caption"/>
        <w:keepNext/>
      </w:pPr>
      <w:r>
        <w:lastRenderedPageBreak/>
        <w:t xml:space="preserve">Figure </w:t>
      </w:r>
      <w:r>
        <w:fldChar w:fldCharType="begin"/>
      </w:r>
      <w:r>
        <w:instrText>SEQ Figure \* ARABIC</w:instrText>
      </w:r>
      <w:r>
        <w:fldChar w:fldCharType="separate"/>
      </w:r>
      <w:r w:rsidR="00CA03EA">
        <w:rPr>
          <w:noProof/>
        </w:rPr>
        <w:t>6</w:t>
      </w:r>
      <w:r>
        <w:fldChar w:fldCharType="end"/>
      </w:r>
      <w:r>
        <w:t xml:space="preserve"> - </w:t>
      </w:r>
      <w:bookmarkStart w:id="49" w:name="_Hlk185599367"/>
      <w:r w:rsidRPr="004C3F9F">
        <w:t xml:space="preserve">Breakdown by source of medical device incident </w:t>
      </w:r>
      <w:r w:rsidRPr="005C5475">
        <w:rPr>
          <w:color w:val="44546A"/>
        </w:rPr>
        <w:t>reports</w:t>
      </w:r>
      <w:r w:rsidRPr="004C3F9F">
        <w:t xml:space="preserve"> (1 January 2019 – 31 December 2023</w:t>
      </w:r>
      <w:bookmarkEnd w:id="49"/>
      <w:r w:rsidRPr="004C3F9F">
        <w:t>)</w:t>
      </w:r>
      <w:r w:rsidRPr="00112799">
        <w:rPr>
          <w:rStyle w:val="FootnoteReference"/>
        </w:rPr>
        <w:t xml:space="preserve"> </w:t>
      </w:r>
      <w:r>
        <w:rPr>
          <w:rStyle w:val="FootnoteReference"/>
        </w:rPr>
        <w:footnoteReference w:id="37"/>
      </w:r>
    </w:p>
    <w:p w14:paraId="2C38F777" w14:textId="202DFBC0" w:rsidR="008C3D9E" w:rsidRPr="0063704B" w:rsidRDefault="00412767" w:rsidP="008C3D9E">
      <w:r>
        <w:rPr>
          <w:noProof/>
          <w:lang w:eastAsia="en-AU"/>
        </w:rPr>
        <w:drawing>
          <wp:inline distT="0" distB="0" distL="0" distR="0" wp14:anchorId="46375046" wp14:editId="00D4E048">
            <wp:extent cx="5731510" cy="3200400"/>
            <wp:effectExtent l="0" t="0" r="2540" b="0"/>
            <wp:docPr id="1946010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1098" name="Picture 1" descr="A screenshot of a computer screen&#10;&#10;Description automatically generated"/>
                    <pic:cNvPicPr/>
                  </pic:nvPicPr>
                  <pic:blipFill>
                    <a:blip r:embed="rId20"/>
                    <a:stretch>
                      <a:fillRect/>
                    </a:stretch>
                  </pic:blipFill>
                  <pic:spPr>
                    <a:xfrm>
                      <a:off x="0" y="0"/>
                      <a:ext cx="5731510" cy="3200400"/>
                    </a:xfrm>
                    <a:prstGeom prst="rect">
                      <a:avLst/>
                    </a:prstGeom>
                  </pic:spPr>
                </pic:pic>
              </a:graphicData>
            </a:graphic>
          </wp:inline>
        </w:drawing>
      </w:r>
    </w:p>
    <w:p w14:paraId="6B307344" w14:textId="40C7270B" w:rsidR="00412767" w:rsidRPr="005C5475" w:rsidDel="004462E1" w:rsidRDefault="00412767" w:rsidP="008C3D9E">
      <w:pPr>
        <w:rPr>
          <w:i/>
          <w:iCs/>
          <w:color w:val="44546A"/>
          <w:sz w:val="18"/>
          <w:szCs w:val="18"/>
          <w:vertAlign w:val="superscript"/>
        </w:rPr>
      </w:pPr>
      <w:r w:rsidRPr="005C5475" w:rsidDel="004462E1">
        <w:rPr>
          <w:i/>
          <w:iCs/>
          <w:color w:val="44546A"/>
          <w:sz w:val="18"/>
          <w:szCs w:val="18"/>
        </w:rPr>
        <w:t xml:space="preserve">Figure </w:t>
      </w:r>
      <w:r w:rsidDel="004462E1">
        <w:rPr>
          <w:i/>
          <w:iCs/>
          <w:color w:val="44546A"/>
          <w:sz w:val="18"/>
          <w:szCs w:val="18"/>
        </w:rPr>
        <w:t>7</w:t>
      </w:r>
      <w:r w:rsidRPr="005C5475" w:rsidDel="004462E1">
        <w:rPr>
          <w:i/>
          <w:iCs/>
          <w:color w:val="44546A"/>
          <w:sz w:val="18"/>
          <w:szCs w:val="18"/>
        </w:rPr>
        <w:t xml:space="preserve"> - Breakdown of medical device incident reports</w:t>
      </w:r>
      <w:r w:rsidDel="004462E1">
        <w:rPr>
          <w:i/>
          <w:iCs/>
          <w:color w:val="44546A"/>
          <w:sz w:val="18"/>
          <w:szCs w:val="18"/>
        </w:rPr>
        <w:t>: proportion by facility type</w:t>
      </w:r>
      <w:r w:rsidRPr="005C5475" w:rsidDel="004462E1">
        <w:rPr>
          <w:i/>
          <w:iCs/>
          <w:color w:val="44546A"/>
          <w:sz w:val="18"/>
          <w:szCs w:val="18"/>
        </w:rPr>
        <w:t xml:space="preserve"> (1 January 2019 – 31 December 2023</w:t>
      </w:r>
      <w:r w:rsidDel="004462E1">
        <w:rPr>
          <w:i/>
          <w:iCs/>
          <w:color w:val="44546A"/>
          <w:sz w:val="18"/>
          <w:szCs w:val="18"/>
        </w:rPr>
        <w:t>)</w:t>
      </w:r>
      <w:r w:rsidDel="004462E1">
        <w:rPr>
          <w:i/>
          <w:iCs/>
          <w:color w:val="44546A"/>
          <w:sz w:val="18"/>
          <w:szCs w:val="18"/>
          <w:vertAlign w:val="superscript"/>
        </w:rPr>
        <w:t>36</w:t>
      </w:r>
    </w:p>
    <w:p w14:paraId="2CF8E51C" w14:textId="2B6C7970" w:rsidR="00412767" w:rsidRDefault="00412767" w:rsidP="008C3D9E">
      <w:r>
        <w:rPr>
          <w:noProof/>
          <w:lang w:eastAsia="en-AU"/>
        </w:rPr>
        <w:drawing>
          <wp:inline distT="0" distB="0" distL="0" distR="0" wp14:anchorId="7B7B888A" wp14:editId="31A8BE1D">
            <wp:extent cx="5731510" cy="2856230"/>
            <wp:effectExtent l="0" t="0" r="2540" b="1270"/>
            <wp:docPr id="68885169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1695" name="Picture 1" descr="A graph of a number of people&#10;&#10;Description automatically generated with medium confidence"/>
                    <pic:cNvPicPr/>
                  </pic:nvPicPr>
                  <pic:blipFill>
                    <a:blip r:embed="rId21"/>
                    <a:stretch>
                      <a:fillRect/>
                    </a:stretch>
                  </pic:blipFill>
                  <pic:spPr>
                    <a:xfrm>
                      <a:off x="0" y="0"/>
                      <a:ext cx="5731510" cy="2856230"/>
                    </a:xfrm>
                    <a:prstGeom prst="rect">
                      <a:avLst/>
                    </a:prstGeom>
                  </pic:spPr>
                </pic:pic>
              </a:graphicData>
            </a:graphic>
          </wp:inline>
        </w:drawing>
      </w:r>
    </w:p>
    <w:p w14:paraId="7E54AB34" w14:textId="1BD0F5AE" w:rsidR="00302F74" w:rsidRDefault="00A67272" w:rsidP="00411D66">
      <w:r>
        <w:t>In 2014/15 the IRIS InSite program was initiated to improve awareness amongst healthcare professionals about the TGA’s responsibilities in managing reports of adverse events and complaints associated with medical devices. The program aimed to raise awareness of the critical role clinical staff play in assisting the TGA take appropriate regulatory action to ensure the continued safety of medical device</w:t>
      </w:r>
      <w:r w:rsidR="007110D9">
        <w:t>s</w:t>
      </w:r>
      <w:r>
        <w:t xml:space="preserve"> supplied in Australia.</w:t>
      </w:r>
      <w:r>
        <w:rPr>
          <w:rStyle w:val="FootnoteReference"/>
        </w:rPr>
        <w:footnoteReference w:id="38"/>
      </w:r>
      <w:r>
        <w:t xml:space="preserve"> The program was initiated to address the significant under-reporting of adverse events by healthcare professionals, </w:t>
      </w:r>
      <w:r w:rsidRPr="005D58C8">
        <w:t>stating at the time “While difficult to quantify, the TGA may only be receiving 5% of reportable medical device adverse events”</w:t>
      </w:r>
      <w:r w:rsidR="00411D66">
        <w:t>.</w:t>
      </w:r>
      <w:r w:rsidR="00411D66">
        <w:rPr>
          <w:rStyle w:val="FootnoteReference"/>
        </w:rPr>
        <w:footnoteReference w:id="39"/>
      </w:r>
      <w:r w:rsidR="000C6744">
        <w:t xml:space="preserve"> </w:t>
      </w:r>
      <w:r w:rsidR="00041525">
        <w:t xml:space="preserve">Without a clear </w:t>
      </w:r>
      <w:r w:rsidR="00041525" w:rsidRPr="00411D66">
        <w:lastRenderedPageBreak/>
        <w:t xml:space="preserve">understanding of the full scope of adverse events, it is difficult to assess the </w:t>
      </w:r>
      <w:r w:rsidR="001A6DDD" w:rsidRPr="00411D66">
        <w:t>true extent of risks associated with medical devices. This incomplete picture may lead to an underestimation of the potential harm to patients, delaying the identification of critical safety signals</w:t>
      </w:r>
      <w:r w:rsidR="00793146" w:rsidRPr="00411D66">
        <w:t xml:space="preserve"> and earlier health interventions to provide patients with necessary care and potentially avoid future harm to other patients using the medical device who may </w:t>
      </w:r>
      <w:r w:rsidR="00FF0429">
        <w:t xml:space="preserve">be as yet </w:t>
      </w:r>
      <w:r w:rsidR="00FF0429" w:rsidRPr="00FF0429">
        <w:t xml:space="preserve">unaffected. </w:t>
      </w:r>
      <w:r w:rsidR="00A87BC5">
        <w:t xml:space="preserve"> The </w:t>
      </w:r>
      <w:r w:rsidR="001E2B10" w:rsidRPr="00411D66">
        <w:t xml:space="preserve">decision to discontinue the IRIS InSite program was made </w:t>
      </w:r>
      <w:r w:rsidR="00D07445" w:rsidRPr="00411D66">
        <w:t xml:space="preserve">in 2020 </w:t>
      </w:r>
      <w:r w:rsidR="007C1240" w:rsidRPr="00411D66">
        <w:t>following a review of the program which</w:t>
      </w:r>
      <w:r w:rsidR="00077B26" w:rsidRPr="00411D66">
        <w:t xml:space="preserve"> </w:t>
      </w:r>
      <w:r w:rsidR="001228B9" w:rsidRPr="00411D66">
        <w:t>demonstrate</w:t>
      </w:r>
      <w:r w:rsidR="00077B26" w:rsidRPr="00411D66">
        <w:t>d</w:t>
      </w:r>
      <w:r w:rsidR="001228B9" w:rsidRPr="00411D66">
        <w:t xml:space="preserve"> </w:t>
      </w:r>
      <w:r w:rsidR="00DE17F9" w:rsidRPr="00411D66">
        <w:t xml:space="preserve">minimal </w:t>
      </w:r>
      <w:r w:rsidR="0037574D" w:rsidRPr="00411D66">
        <w:t xml:space="preserve">changes to the </w:t>
      </w:r>
      <w:r w:rsidR="00494D84" w:rsidRPr="00411D66">
        <w:t xml:space="preserve">embedded </w:t>
      </w:r>
      <w:r w:rsidR="00077B26" w:rsidRPr="00411D66">
        <w:t>reporting</w:t>
      </w:r>
      <w:r w:rsidR="001228B9" w:rsidRPr="00411D66">
        <w:t xml:space="preserve"> practices</w:t>
      </w:r>
      <w:r w:rsidR="00523836" w:rsidRPr="00411D66">
        <w:t xml:space="preserve"> and a very small and unsustained increase </w:t>
      </w:r>
      <w:r w:rsidR="00077B26" w:rsidRPr="00411D66">
        <w:t>in reportin</w:t>
      </w:r>
      <w:r w:rsidR="00EF3DC2" w:rsidRPr="00411D66">
        <w:t>g incidents to the TGA</w:t>
      </w:r>
      <w:r w:rsidR="0037574D" w:rsidRPr="00411D66">
        <w:t>.</w:t>
      </w:r>
      <w:r w:rsidR="00302F74" w:rsidRPr="00411D66">
        <w:br/>
      </w:r>
      <w:r w:rsidR="00302F74" w:rsidRPr="00411D66">
        <w:br/>
        <w:t xml:space="preserve">The </w:t>
      </w:r>
      <w:r w:rsidR="00CE3D38" w:rsidRPr="00411D66">
        <w:t xml:space="preserve">Government </w:t>
      </w:r>
      <w:r w:rsidR="00302F74" w:rsidRPr="00411D66">
        <w:t>has established clinical quality registries as a tool that can be used</w:t>
      </w:r>
      <w:r w:rsidR="00E93E10">
        <w:t xml:space="preserve"> by</w:t>
      </w:r>
      <w:r w:rsidR="00302F74" w:rsidRPr="00411D66">
        <w:t xml:space="preserve"> </w:t>
      </w:r>
      <w:r w:rsidR="00E93E10" w:rsidRPr="00E93E10">
        <w:t xml:space="preserve">the community, clinicians, hospital administrators and governments </w:t>
      </w:r>
      <w:r w:rsidR="00302F74" w:rsidRPr="00411D66">
        <w:t xml:space="preserve">to monitor the safety and </w:t>
      </w:r>
      <w:r w:rsidR="00CE3D38" w:rsidRPr="00411D66">
        <w:t>performance</w:t>
      </w:r>
      <w:r w:rsidR="009D2C3E" w:rsidRPr="00411D66">
        <w:t xml:space="preserve"> </w:t>
      </w:r>
      <w:r w:rsidR="00302F74" w:rsidRPr="00411D66">
        <w:t xml:space="preserve">of some of the high risk implantable medical </w:t>
      </w:r>
      <w:r w:rsidR="00411D66" w:rsidRPr="00411D66">
        <w:t>devices</w:t>
      </w:r>
      <w:r w:rsidR="00E93E10">
        <w:t>,</w:t>
      </w:r>
      <w:r w:rsidR="000D20EF">
        <w:t xml:space="preserve"> however</w:t>
      </w:r>
      <w:r w:rsidR="00E93E10">
        <w:t>,</w:t>
      </w:r>
      <w:r w:rsidR="000D20EF">
        <w:t xml:space="preserve"> use of these registries is voluntary with varying levels of data entry</w:t>
      </w:r>
      <w:r w:rsidR="00FF0429">
        <w:t>.</w:t>
      </w:r>
      <w:r w:rsidR="00A87BC5">
        <w:rPr>
          <w:rStyle w:val="FootnoteReference"/>
        </w:rPr>
        <w:footnoteReference w:id="40"/>
      </w:r>
      <w:r w:rsidR="00FF0429" w:rsidRPr="00411D66" w:rsidDel="00411D66">
        <w:t xml:space="preserve"> </w:t>
      </w:r>
      <w:r w:rsidR="00F44C2B">
        <w:t xml:space="preserve">Health service organisations are responsible for reporting to the clinical quality registries. </w:t>
      </w:r>
      <w:r w:rsidR="00DF4A15">
        <w:t xml:space="preserve">The reports are collected and managed by registry data custodians, which </w:t>
      </w:r>
      <w:r w:rsidR="003B1FE4">
        <w:t>include</w:t>
      </w:r>
      <w:r w:rsidR="00793146">
        <w:t>s</w:t>
      </w:r>
      <w:r w:rsidR="003B1FE4">
        <w:t xml:space="preserve"> state and territory health departments, health service administrators and clinicians. </w:t>
      </w:r>
      <w:r w:rsidR="00302F74">
        <w:t>Examples include the Australian Breast Device Registry (1997), Australian Orthopaedic Association National Joint Replacement Registry (2002), Australian Pelvic Floor Procedures Registry (2019). However, data completeness and accuracy, limited scope and delayed reporting</w:t>
      </w:r>
      <w:r w:rsidR="00CE3D38">
        <w:t>,</w:t>
      </w:r>
      <w:r w:rsidR="00302F74">
        <w:t xml:space="preserve"> are limitation</w:t>
      </w:r>
      <w:r w:rsidR="00331058">
        <w:t>s</w:t>
      </w:r>
      <w:r w:rsidR="00302F74">
        <w:t xml:space="preserve"> that impact the effectiveness of registry data. </w:t>
      </w:r>
    </w:p>
    <w:p w14:paraId="3CDD078C" w14:textId="1955334E" w:rsidR="002406E6" w:rsidRPr="00BC1A4C" w:rsidRDefault="00302F74" w:rsidP="002406E6">
      <w:pPr>
        <w:pStyle w:val="Bullet1"/>
        <w:numPr>
          <w:ilvl w:val="0"/>
          <w:numId w:val="0"/>
        </w:numPr>
      </w:pPr>
      <w:r>
        <w:br/>
      </w:r>
      <w:r w:rsidR="0082712A">
        <w:t xml:space="preserve">Evidence of </w:t>
      </w:r>
      <w:r w:rsidR="00667F96">
        <w:t xml:space="preserve">underreporting was further highlighted in the </w:t>
      </w:r>
      <w:r w:rsidR="00667F96" w:rsidRPr="23689D7B">
        <w:rPr>
          <w:i/>
          <w:iCs/>
        </w:rPr>
        <w:t>2017-2018</w:t>
      </w:r>
      <w:r w:rsidR="00667F96">
        <w:t xml:space="preserve"> </w:t>
      </w:r>
      <w:r w:rsidR="00667F96" w:rsidRPr="23689D7B">
        <w:rPr>
          <w:i/>
          <w:iCs/>
        </w:rPr>
        <w:t>Senate Inquiry into transvaginal mesh implants and related matters</w:t>
      </w:r>
      <w:r w:rsidR="00BC1A4C">
        <w:t xml:space="preserve">, where </w:t>
      </w:r>
      <w:r w:rsidR="006C16EF">
        <w:t>the following statistics were outlined:</w:t>
      </w:r>
    </w:p>
    <w:p w14:paraId="222B090E" w14:textId="154DCD6E" w:rsidR="001B3350" w:rsidRPr="00BC1A4C" w:rsidRDefault="001B3350" w:rsidP="001B3350">
      <w:pPr>
        <w:pStyle w:val="Bullet1"/>
      </w:pPr>
      <w:bookmarkStart w:id="50" w:name="_Hlk188369912"/>
      <w:r w:rsidRPr="001B3350">
        <w:t xml:space="preserve"> </w:t>
      </w:r>
      <w:r w:rsidR="00AF2C2A">
        <w:br/>
      </w:r>
      <w:r>
        <w:t>the first adverse event relating to transvaginal mesh was reported to the TGA in 2006. It was 7 years post implantation before the first adverse event relating to mesh devices was reported to the TGA</w:t>
      </w:r>
    </w:p>
    <w:bookmarkEnd w:id="50"/>
    <w:p w14:paraId="5BD7261C" w14:textId="7C15F5F4" w:rsidR="00DB5A85" w:rsidRPr="00BC1A4C" w:rsidRDefault="00DB5A85" w:rsidP="006C16EF">
      <w:pPr>
        <w:pStyle w:val="Bullet1"/>
      </w:pPr>
      <w:r>
        <w:t xml:space="preserve">by </w:t>
      </w:r>
      <w:r w:rsidR="00365912">
        <w:t>the end of 2015</w:t>
      </w:r>
      <w:r w:rsidR="00E57596">
        <w:t>,</w:t>
      </w:r>
      <w:r w:rsidR="00365912">
        <w:t xml:space="preserve"> there were 12 </w:t>
      </w:r>
      <w:r w:rsidR="00830AE8">
        <w:t>patients with adverse events identified</w:t>
      </w:r>
    </w:p>
    <w:p w14:paraId="6863C117" w14:textId="1B4F1925" w:rsidR="00830AE8" w:rsidRPr="00BC1A4C" w:rsidRDefault="00086EF4" w:rsidP="006C16EF">
      <w:pPr>
        <w:pStyle w:val="Bullet1"/>
      </w:pPr>
      <w:r>
        <w:t xml:space="preserve">by </w:t>
      </w:r>
      <w:r w:rsidR="00E57596">
        <w:t xml:space="preserve">29 May 2017, </w:t>
      </w:r>
      <w:r w:rsidR="00465BE2">
        <w:t>the TGA had received a total of 226 adverse event reports (covering 249 patients)</w:t>
      </w:r>
    </w:p>
    <w:p w14:paraId="2700E89A" w14:textId="3453E174" w:rsidR="00465BE2" w:rsidRPr="00BC1A4C" w:rsidRDefault="00465BE2" w:rsidP="006C16EF">
      <w:pPr>
        <w:pStyle w:val="Bullet1"/>
      </w:pPr>
      <w:r>
        <w:t xml:space="preserve">by </w:t>
      </w:r>
      <w:r w:rsidR="002420CE">
        <w:t>3 January 2018, the TGA had received 327 adverse event reports (covering 349 patients)</w:t>
      </w:r>
    </w:p>
    <w:p w14:paraId="0F692711" w14:textId="2488E21C" w:rsidR="00065979" w:rsidRPr="00BC1A4C" w:rsidRDefault="00065979" w:rsidP="006C16EF">
      <w:pPr>
        <w:pStyle w:val="Bullet1"/>
      </w:pPr>
      <w:r>
        <w:t xml:space="preserve">by </w:t>
      </w:r>
      <w:r w:rsidR="004E16ED">
        <w:t xml:space="preserve">3 August 2017, 2,400 </w:t>
      </w:r>
      <w:r w:rsidR="00450BA6">
        <w:t xml:space="preserve">women had </w:t>
      </w:r>
      <w:r w:rsidR="00DD6964">
        <w:t xml:space="preserve">provided accounts </w:t>
      </w:r>
      <w:r w:rsidR="006C4472">
        <w:t>to the Health Issues Centre (HIC) describing</w:t>
      </w:r>
      <w:r w:rsidR="00DD6964">
        <w:t xml:space="preserve"> adverse complications</w:t>
      </w:r>
      <w:r w:rsidR="006C4472">
        <w:t>.</w:t>
      </w:r>
      <w:r w:rsidR="009263A9">
        <w:rPr>
          <w:rStyle w:val="FootnoteReference"/>
        </w:rPr>
        <w:footnoteReference w:id="41"/>
      </w:r>
    </w:p>
    <w:p w14:paraId="5DA6DAFD" w14:textId="57B8F441" w:rsidR="006C7C73" w:rsidRDefault="00F81DA1" w:rsidP="007E3194">
      <w:r>
        <w:t xml:space="preserve">As detailed, </w:t>
      </w:r>
      <w:r w:rsidR="00C52B5E">
        <w:t>there is a significant discrepancy between the number of impa</w:t>
      </w:r>
      <w:r w:rsidR="002A47F3">
        <w:t>cted</w:t>
      </w:r>
      <w:r w:rsidR="00C52B5E">
        <w:t xml:space="preserve"> patients and the volume of adverse events reported to the TGA.</w:t>
      </w:r>
    </w:p>
    <w:p w14:paraId="16C2B74F" w14:textId="1B2CD872" w:rsidR="00D40F76" w:rsidRPr="00431380" w:rsidRDefault="007135FE" w:rsidP="007E3194">
      <w:r w:rsidRPr="00431380">
        <w:t>There have been other notable examples of medical device adverse event under reporting</w:t>
      </w:r>
      <w:r w:rsidR="006C7C73" w:rsidRPr="00431380">
        <w:t>,</w:t>
      </w:r>
      <w:r w:rsidRPr="00431380">
        <w:t xml:space="preserve"> including reports of adverse events related to textured breast implants and metal-on-metal hip prostheses. These examples illustrate the challenges inherent in ensuring timely and comprehensive reporting of medical device adverse events. The current reliance on voluntary reporting by healthcare professionals and consumers has created gaps in </w:t>
      </w:r>
      <w:r w:rsidR="000D20EF" w:rsidRPr="00431380">
        <w:t xml:space="preserve">timely </w:t>
      </w:r>
      <w:r w:rsidRPr="00431380">
        <w:t xml:space="preserve">data availability, which can delay the identification of safety signals. </w:t>
      </w:r>
      <w:r w:rsidR="00B27EC2" w:rsidRPr="00431380">
        <w:t xml:space="preserve">Submissions </w:t>
      </w:r>
      <w:r w:rsidR="00FF5B87" w:rsidRPr="00431380">
        <w:t xml:space="preserve">as well as the </w:t>
      </w:r>
      <w:r w:rsidR="00B27EC2" w:rsidRPr="00431380">
        <w:t xml:space="preserve">recommendations </w:t>
      </w:r>
      <w:r w:rsidR="00F748FB" w:rsidRPr="00431380">
        <w:t xml:space="preserve">that </w:t>
      </w:r>
      <w:r w:rsidR="00630011" w:rsidRPr="00431380">
        <w:t xml:space="preserve">came </w:t>
      </w:r>
      <w:r w:rsidR="00FF5B87" w:rsidRPr="00431380">
        <w:t xml:space="preserve">out of the </w:t>
      </w:r>
      <w:r w:rsidR="001C791C" w:rsidRPr="00431380">
        <w:t>Senate Inquiry</w:t>
      </w:r>
      <w:r w:rsidR="00DA185F" w:rsidRPr="00431380">
        <w:t xml:space="preserve"> </w:t>
      </w:r>
      <w:r w:rsidR="00432B30" w:rsidRPr="00431380">
        <w:t>were aligned</w:t>
      </w:r>
      <w:r w:rsidR="00DA185F" w:rsidRPr="00431380">
        <w:t xml:space="preserve"> that</w:t>
      </w:r>
      <w:r w:rsidR="00432B30" w:rsidRPr="00431380">
        <w:t xml:space="preserve"> </w:t>
      </w:r>
      <w:r w:rsidR="007F2494" w:rsidRPr="00431380">
        <w:t>more needed to be done to facilitate the reporting of adverse events, particularly by patients and medical practitioners.</w:t>
      </w:r>
      <w:r w:rsidR="007E3194" w:rsidRPr="00431380">
        <w:t xml:space="preserve"> </w:t>
      </w:r>
    </w:p>
    <w:p w14:paraId="06776133" w14:textId="1006D736" w:rsidR="002406E6" w:rsidRPr="00AD0A47" w:rsidRDefault="007E3194" w:rsidP="001E5510">
      <w:r w:rsidRPr="00431380">
        <w:t xml:space="preserve">Since the </w:t>
      </w:r>
      <w:r w:rsidRPr="00431380">
        <w:rPr>
          <w:i/>
          <w:iCs/>
        </w:rPr>
        <w:t>2017-2018</w:t>
      </w:r>
      <w:r w:rsidRPr="00431380">
        <w:t xml:space="preserve"> </w:t>
      </w:r>
      <w:r w:rsidRPr="00431380">
        <w:rPr>
          <w:i/>
          <w:iCs/>
        </w:rPr>
        <w:t>Senate Inquiry into transvaginal mesh implants and related matters</w:t>
      </w:r>
      <w:r w:rsidRPr="00431380">
        <w:t>, the TGA ha</w:t>
      </w:r>
      <w:r w:rsidR="00BE6D5A" w:rsidRPr="00431380">
        <w:t>s</w:t>
      </w:r>
      <w:r w:rsidRPr="00431380">
        <w:t xml:space="preserve"> implemented a </w:t>
      </w:r>
      <w:r w:rsidR="00BE6D5A" w:rsidRPr="00431380">
        <w:t xml:space="preserve">range of </w:t>
      </w:r>
      <w:r w:rsidRPr="00431380">
        <w:t xml:space="preserve">strategies to increase reporting of medical device adverse events, and while the </w:t>
      </w:r>
      <w:r w:rsidR="002406E6" w:rsidRPr="00431380">
        <w:t>number of reported medical device incidents has steadily increas</w:t>
      </w:r>
      <w:r w:rsidR="009C0FD0" w:rsidRPr="00431380">
        <w:t>ed</w:t>
      </w:r>
      <w:r w:rsidR="002406E6" w:rsidRPr="00431380">
        <w:t xml:space="preserve"> over the past years</w:t>
      </w:r>
      <w:r w:rsidR="007444E1" w:rsidRPr="00431380">
        <w:t>,</w:t>
      </w:r>
      <w:r w:rsidR="00377F70" w:rsidRPr="00431380">
        <w:t xml:space="preserve"> as shown in </w:t>
      </w:r>
      <w:r w:rsidR="00954454" w:rsidRPr="00431380">
        <w:rPr>
          <w:i/>
          <w:iCs/>
        </w:rPr>
        <w:t xml:space="preserve">Figure </w:t>
      </w:r>
      <w:r w:rsidR="00412767" w:rsidRPr="00431380">
        <w:rPr>
          <w:i/>
          <w:iCs/>
        </w:rPr>
        <w:t>8</w:t>
      </w:r>
      <w:r w:rsidR="00377F70" w:rsidRPr="00431380">
        <w:rPr>
          <w:i/>
          <w:iCs/>
        </w:rPr>
        <w:t xml:space="preserve">. Volume of device incident reports </w:t>
      </w:r>
      <w:r w:rsidR="007C2A4B" w:rsidRPr="00431380">
        <w:rPr>
          <w:i/>
          <w:iCs/>
        </w:rPr>
        <w:t>received</w:t>
      </w:r>
      <w:r w:rsidR="007444E1" w:rsidRPr="00431380">
        <w:t>,</w:t>
      </w:r>
      <w:r w:rsidR="00A33039" w:rsidRPr="00431380">
        <w:t xml:space="preserve"> </w:t>
      </w:r>
      <w:r w:rsidR="00377F70" w:rsidRPr="00431380">
        <w:t>i</w:t>
      </w:r>
      <w:r w:rsidR="002406E6" w:rsidRPr="00431380">
        <w:t xml:space="preserve">t is evident that a significant number are not reported to the TGA. This may be because patients or health professionals are unaware that </w:t>
      </w:r>
      <w:r w:rsidR="002406E6" w:rsidRPr="00431380">
        <w:lastRenderedPageBreak/>
        <w:t xml:space="preserve">they can report incidents directly to the TGA; or do not want to take the time to do so; or, the incidents are reported to other parties, such as hospitals, who may/may not report the incident to the TGA, sponsor, or manufacturer of the device. </w:t>
      </w:r>
      <w:r w:rsidR="00B4638C" w:rsidRPr="00431380">
        <w:t>During consultations</w:t>
      </w:r>
      <w:r w:rsidR="00E40D30" w:rsidRPr="00431380">
        <w:t xml:space="preserve"> </w:t>
      </w:r>
      <w:r w:rsidR="00FE0A1E" w:rsidRPr="00431380">
        <w:t xml:space="preserve">there was general </w:t>
      </w:r>
      <w:r w:rsidR="002408C4" w:rsidRPr="00431380">
        <w:t>acknowledgement</w:t>
      </w:r>
      <w:r w:rsidR="00FE0A1E" w:rsidRPr="00431380">
        <w:t xml:space="preserve"> from </w:t>
      </w:r>
      <w:r w:rsidR="00672C87" w:rsidRPr="00431380">
        <w:t xml:space="preserve">both public and private healthcare </w:t>
      </w:r>
      <w:r w:rsidR="002408C4" w:rsidRPr="00431380">
        <w:t>facilities</w:t>
      </w:r>
      <w:r w:rsidR="00672C87" w:rsidRPr="00431380">
        <w:t xml:space="preserve"> about inconsistencies in their </w:t>
      </w:r>
      <w:r w:rsidR="002408C4" w:rsidRPr="00431380">
        <w:t>reporting</w:t>
      </w:r>
      <w:r w:rsidR="00672C87" w:rsidRPr="00431380">
        <w:t xml:space="preserve"> practices. The </w:t>
      </w:r>
      <w:r w:rsidR="00C36756" w:rsidRPr="00431380">
        <w:t>reasons cited</w:t>
      </w:r>
      <w:r w:rsidR="00C736AE" w:rsidRPr="00431380">
        <w:t xml:space="preserve"> include</w:t>
      </w:r>
      <w:r w:rsidR="00927169" w:rsidRPr="00431380">
        <w:t>d</w:t>
      </w:r>
      <w:r w:rsidR="00C736AE" w:rsidRPr="00431380">
        <w:t xml:space="preserve">: lack of </w:t>
      </w:r>
      <w:r w:rsidR="002408C4" w:rsidRPr="00431380">
        <w:t>awareness</w:t>
      </w:r>
      <w:r w:rsidR="00C736AE" w:rsidRPr="00431380">
        <w:t>, time constraints</w:t>
      </w:r>
      <w:r w:rsidR="00526679" w:rsidRPr="00431380">
        <w:t>,</w:t>
      </w:r>
      <w:r w:rsidR="00605022" w:rsidRPr="00431380">
        <w:t xml:space="preserve"> </w:t>
      </w:r>
      <w:r w:rsidR="002408C4" w:rsidRPr="00431380">
        <w:t>complexity</w:t>
      </w:r>
      <w:r w:rsidR="00605022" w:rsidRPr="00431380">
        <w:t xml:space="preserve"> in identifying medical device related adverse events</w:t>
      </w:r>
      <w:r w:rsidR="00556F23" w:rsidRPr="00431380">
        <w:t xml:space="preserve"> and </w:t>
      </w:r>
      <w:r w:rsidR="005129A2" w:rsidRPr="00431380">
        <w:t>inconsistent</w:t>
      </w:r>
      <w:r w:rsidR="00773A86" w:rsidRPr="00431380">
        <w:t xml:space="preserve"> systems and processes</w:t>
      </w:r>
      <w:r w:rsidR="000D20EF" w:rsidRPr="00431380">
        <w:t xml:space="preserve"> across facilities</w:t>
      </w:r>
      <w:r w:rsidR="005129A2" w:rsidRPr="00431380">
        <w:t xml:space="preserve">. </w:t>
      </w:r>
      <w:r w:rsidR="004025B3" w:rsidRPr="00431380">
        <w:t xml:space="preserve">Healthcare staff have also cited the significant time pressures and resource constraints they often face, making it challenging to prioritise incident reporting amidst clinical responsibilities. </w:t>
      </w:r>
      <w:r w:rsidR="00811F11" w:rsidRPr="00431380">
        <w:t>This under</w:t>
      </w:r>
      <w:r w:rsidR="00577D50" w:rsidRPr="00431380">
        <w:t>reporting has resulted in</w:t>
      </w:r>
      <w:r w:rsidR="00811F11" w:rsidRPr="00431380">
        <w:t xml:space="preserve"> increased risk to the health and wellbeing of patients, and delays in regulatory action for devices that may pose a threat.</w:t>
      </w:r>
    </w:p>
    <w:p w14:paraId="3AE9A352" w14:textId="6D707CBA" w:rsidR="00112799" w:rsidRDefault="00112799" w:rsidP="00B37DCC">
      <w:pPr>
        <w:pStyle w:val="Caption"/>
        <w:keepNext/>
      </w:pPr>
      <w:r>
        <w:t xml:space="preserve">Figure </w:t>
      </w:r>
      <w:r w:rsidR="00412767">
        <w:t>8</w:t>
      </w:r>
      <w:r>
        <w:t xml:space="preserve"> - </w:t>
      </w:r>
      <w:r w:rsidRPr="004D12DD">
        <w:t>Volume of medical device incident reports received</w:t>
      </w:r>
      <w:r>
        <w:rPr>
          <w:rStyle w:val="FootnoteReference"/>
        </w:rPr>
        <w:footnoteReference w:id="42"/>
      </w:r>
    </w:p>
    <w:p w14:paraId="33EAC29E" w14:textId="7F02ED10" w:rsidR="00211FC1" w:rsidRDefault="00A97719" w:rsidP="00B84D9A">
      <w:pPr>
        <w:rPr>
          <w:sz w:val="16"/>
          <w:szCs w:val="16"/>
        </w:rPr>
      </w:pPr>
      <w:r>
        <w:rPr>
          <w:noProof/>
          <w:sz w:val="16"/>
          <w:szCs w:val="16"/>
          <w:lang w:eastAsia="en-AU"/>
        </w:rPr>
        <w:drawing>
          <wp:inline distT="0" distB="0" distL="0" distR="0" wp14:anchorId="2D18D010" wp14:editId="723B66B7">
            <wp:extent cx="5610225" cy="3139239"/>
            <wp:effectExtent l="0" t="0" r="0" b="4445"/>
            <wp:docPr id="147538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5227" cy="3158825"/>
                    </a:xfrm>
                    <a:prstGeom prst="rect">
                      <a:avLst/>
                    </a:prstGeom>
                    <a:noFill/>
                  </pic:spPr>
                </pic:pic>
              </a:graphicData>
            </a:graphic>
          </wp:inline>
        </w:drawing>
      </w:r>
    </w:p>
    <w:p w14:paraId="1BAE8918" w14:textId="36ED2D23" w:rsidR="003571BE" w:rsidRPr="004E1D8E" w:rsidRDefault="00B84D9A" w:rsidP="003571BE">
      <w:r w:rsidRPr="00582F14">
        <w:t xml:space="preserve">Currently, voluntary reporting from healthcare facilities and consumers creates an information sharing gap between the consumer (patient), </w:t>
      </w:r>
      <w:r w:rsidR="00AC7B82" w:rsidRPr="00582F14">
        <w:t xml:space="preserve">the </w:t>
      </w:r>
      <w:r w:rsidRPr="00582F14">
        <w:t>medical practitioner/service (hospital/healthcare facility)</w:t>
      </w:r>
      <w:r w:rsidR="00901665">
        <w:t>,</w:t>
      </w:r>
      <w:r w:rsidRPr="00582F14">
        <w:t xml:space="preserve"> and industry (the manufacturer and sponsor). Patients present to healthcare facilities to express concerns associated with medical devices, but </w:t>
      </w:r>
      <w:r w:rsidR="00476FBF">
        <w:t>the</w:t>
      </w:r>
      <w:r w:rsidR="00C412DC">
        <w:t xml:space="preserve"> lack of feedback</w:t>
      </w:r>
      <w:r w:rsidR="003E5B8C">
        <w:t xml:space="preserve"> and follow-up </w:t>
      </w:r>
      <w:r w:rsidR="00476FBF">
        <w:t xml:space="preserve">mechanisms is </w:t>
      </w:r>
      <w:r w:rsidR="003E5B8C">
        <w:t>contributing to a possible disconnect between incident reporting and</w:t>
      </w:r>
      <w:r w:rsidR="00476FBF">
        <w:t xml:space="preserve"> </w:t>
      </w:r>
      <w:r w:rsidR="00533CFE">
        <w:t xml:space="preserve">addressing </w:t>
      </w:r>
      <w:r w:rsidR="00476FBF">
        <w:t>the identified issues</w:t>
      </w:r>
      <w:r w:rsidRPr="00582F14">
        <w:t>.</w:t>
      </w:r>
      <w:r>
        <w:t xml:space="preserve"> </w:t>
      </w:r>
      <w:r w:rsidR="00B62848">
        <w:br/>
      </w:r>
      <w:r>
        <w:t>The identification of medical device adverse events may occur earlier if reporting was required by multiple sources</w:t>
      </w:r>
      <w:r w:rsidRPr="00431380">
        <w:t>.</w:t>
      </w:r>
      <w:r w:rsidR="0069045E" w:rsidRPr="00431380">
        <w:t xml:space="preserve"> </w:t>
      </w:r>
      <w:r w:rsidR="00B62848" w:rsidRPr="00431380">
        <w:t>Timely reporting enables</w:t>
      </w:r>
      <w:r w:rsidR="00901665" w:rsidRPr="00431380">
        <w:t xml:space="preserve"> industry and</w:t>
      </w:r>
      <w:r w:rsidR="00B62848" w:rsidRPr="00431380">
        <w:t xml:space="preserve"> healthcare facilities to take corrective actions sooner, such as monitoring, implant removal, or discontinuing defective devices, enhancing patient safety. Early detection of issues reduces the need for extensive treatments and helps identify devices with safety or performance issues, thereby lowering healthcare costs and improving overall healthcare outcomes.</w:t>
      </w:r>
      <w:r w:rsidR="003571BE" w:rsidRPr="00431380">
        <w:t xml:space="preserve"> A robust reporting framework ensures faster identification and resolution of safety issues, reducing harm to patients. By ensuring comprehensive and timely reporting, adverse events can be addressed at an earlier stage, reducing the need for complex and costly treatments. For example, early removal of a defective implant may prevent secondary complications that require hospitalisation.</w:t>
      </w:r>
    </w:p>
    <w:p w14:paraId="3FB40790" w14:textId="77777777" w:rsidR="004B4873" w:rsidRPr="00BD632C" w:rsidRDefault="004B4873" w:rsidP="004B4873">
      <w:pPr>
        <w:keepNext/>
        <w:keepLines/>
        <w:spacing w:before="240" w:line="240" w:lineRule="atLeast"/>
        <w:outlineLvl w:val="4"/>
        <w:rPr>
          <w:rFonts w:eastAsia="Times New Roman" w:cs="Times New Roman"/>
          <w:b/>
          <w:bCs/>
          <w:i/>
          <w:color w:val="001871"/>
          <w:sz w:val="26"/>
          <w:szCs w:val="26"/>
        </w:rPr>
      </w:pPr>
      <w:bookmarkStart w:id="51" w:name="_Toc156375136"/>
      <w:r w:rsidRPr="00BD632C">
        <w:rPr>
          <w:rFonts w:eastAsia="Times New Roman" w:cs="Times New Roman"/>
          <w:b/>
          <w:bCs/>
          <w:i/>
          <w:color w:val="001871"/>
          <w:sz w:val="26"/>
          <w:szCs w:val="26"/>
        </w:rPr>
        <w:t>Impacted Stakeholders</w:t>
      </w:r>
    </w:p>
    <w:p w14:paraId="06F51403" w14:textId="1D085E19" w:rsidR="009D7CC4" w:rsidRDefault="009D7CC4" w:rsidP="00422DE8">
      <w:r>
        <w:t>The</w:t>
      </w:r>
      <w:r w:rsidR="00965630">
        <w:t xml:space="preserve"> underreporting of adverse events related to medical devices </w:t>
      </w:r>
      <w:r w:rsidR="002E4C15">
        <w:t xml:space="preserve">has broad implications </w:t>
      </w:r>
      <w:r w:rsidR="00E42DC7">
        <w:t>on those responsible for</w:t>
      </w:r>
      <w:r w:rsidR="00C21297">
        <w:t xml:space="preserve"> medical device</w:t>
      </w:r>
      <w:r w:rsidR="00E42DC7">
        <w:t xml:space="preserve"> manufacturing, testing</w:t>
      </w:r>
      <w:r w:rsidR="00C21297">
        <w:t>, utilisation and regulation. Below outlines the key stakeholder groups and how they are impacted.</w:t>
      </w:r>
    </w:p>
    <w:p w14:paraId="26A40AFE" w14:textId="5FB6E827" w:rsidR="000967D4" w:rsidRDefault="00C02E11" w:rsidP="00422DE8">
      <w:pPr>
        <w:pStyle w:val="Heading6"/>
      </w:pPr>
      <w:r>
        <w:lastRenderedPageBreak/>
        <w:t>Government</w:t>
      </w:r>
    </w:p>
    <w:p w14:paraId="119B0F9F" w14:textId="44CE0029" w:rsidR="000C5537" w:rsidRDefault="000C5537" w:rsidP="000C5537">
      <w:r>
        <w:t xml:space="preserve">The Australian Government (i.e., the TGA), as the regulator, faces significant challenges </w:t>
      </w:r>
      <w:r w:rsidR="00CE3D38">
        <w:t xml:space="preserve">to identify and mitigate risks effectively </w:t>
      </w:r>
      <w:r>
        <w:t xml:space="preserve">due to the consistent underreporting of adverse events related to medical devices. Incomplete data hampers </w:t>
      </w:r>
      <w:r w:rsidR="00CE3D38">
        <w:t xml:space="preserve">effective </w:t>
      </w:r>
      <w:r>
        <w:t>regulation and</w:t>
      </w:r>
      <w:r w:rsidR="00CE3D38">
        <w:t xml:space="preserve"> can cause</w:t>
      </w:r>
      <w:r>
        <w:t xml:space="preserve"> diminished public trust. This lack of comprehensive reporting also </w:t>
      </w:r>
      <w:r w:rsidR="00CE3D38">
        <w:t>hampers</w:t>
      </w:r>
      <w:r>
        <w:t xml:space="preserve"> </w:t>
      </w:r>
      <w:r w:rsidR="00596339">
        <w:t xml:space="preserve">the TGA’s </w:t>
      </w:r>
      <w:r w:rsidR="00CE3D38">
        <w:t xml:space="preserve">monitoring and </w:t>
      </w:r>
      <w:r w:rsidR="001C760B">
        <w:t>compliance responsibilities</w:t>
      </w:r>
      <w:r w:rsidR="00DD7FEC">
        <w:t xml:space="preserve"> </w:t>
      </w:r>
      <w:r w:rsidR="00596339">
        <w:t>relating to:</w:t>
      </w:r>
    </w:p>
    <w:p w14:paraId="161AB13B" w14:textId="14EB9F78" w:rsidR="00C02E11" w:rsidRDefault="00596339" w:rsidP="00A10C39">
      <w:pPr>
        <w:pStyle w:val="Bullet1"/>
      </w:pPr>
      <w:r>
        <w:t>timely signal detection</w:t>
      </w:r>
    </w:p>
    <w:p w14:paraId="306019C0" w14:textId="006E012E" w:rsidR="00596339" w:rsidRDefault="00596339" w:rsidP="00A10C39">
      <w:pPr>
        <w:pStyle w:val="Bullet1"/>
      </w:pPr>
      <w:r>
        <w:t>identification of rarer events</w:t>
      </w:r>
      <w:r w:rsidR="00EB7AFA">
        <w:t xml:space="preserve"> and emerging issues</w:t>
      </w:r>
    </w:p>
    <w:p w14:paraId="65FBD9DB" w14:textId="5F77E38C" w:rsidR="00EB7AFA" w:rsidRDefault="00DE0EA8" w:rsidP="00A10C39">
      <w:pPr>
        <w:pStyle w:val="Bullet1"/>
      </w:pPr>
      <w:r>
        <w:t>timely investigation and regulatory response actions to address safety concerns</w:t>
      </w:r>
    </w:p>
    <w:p w14:paraId="4313E79F" w14:textId="74F054CE" w:rsidR="00C5678C" w:rsidRDefault="00C5678C" w:rsidP="00422DE8">
      <w:pPr>
        <w:pStyle w:val="Bullet1"/>
      </w:pPr>
      <w:r>
        <w:t>provision of safety information to healthcare providers, medical device sponsors and manufacturers, and the general public.</w:t>
      </w:r>
    </w:p>
    <w:p w14:paraId="7B77EF9A" w14:textId="2844AD2F" w:rsidR="00C02E11" w:rsidRDefault="00C02E11" w:rsidP="00422DE8">
      <w:pPr>
        <w:pStyle w:val="Heading6"/>
      </w:pPr>
      <w:r>
        <w:t>Sponsors &amp; Manufacturers</w:t>
      </w:r>
    </w:p>
    <w:p w14:paraId="495BE90C" w14:textId="2BC829B5" w:rsidR="00C02E11" w:rsidRDefault="00CE3D38" w:rsidP="000967D4">
      <w:r w:rsidRPr="00431380">
        <w:t>M</w:t>
      </w:r>
      <w:r w:rsidR="003976FB" w:rsidRPr="00431380">
        <w:t xml:space="preserve">anufacturers and sponsors of medical devices are affected by the underreporting of adverse events. </w:t>
      </w:r>
      <w:r w:rsidR="009B1B1E" w:rsidRPr="00431380">
        <w:t xml:space="preserve">There is currently no specific data available </w:t>
      </w:r>
      <w:r w:rsidR="00983870" w:rsidRPr="00431380">
        <w:t xml:space="preserve">to quantify how many manufacturers or </w:t>
      </w:r>
      <w:r w:rsidR="00336FFC" w:rsidRPr="00431380">
        <w:t>sponsors</w:t>
      </w:r>
      <w:r w:rsidR="00983870" w:rsidRPr="00431380">
        <w:t xml:space="preserve"> are </w:t>
      </w:r>
      <w:r w:rsidR="00FC40B3" w:rsidRPr="00431380">
        <w:t xml:space="preserve">impacted </w:t>
      </w:r>
      <w:r w:rsidR="00983870" w:rsidRPr="00431380">
        <w:t>by the under reporting of medical device adverse events</w:t>
      </w:r>
      <w:r w:rsidR="00FC40B3" w:rsidRPr="00431380">
        <w:t xml:space="preserve"> by facilities, and there is no available evidence to suggest that </w:t>
      </w:r>
      <w:r w:rsidR="00590CE7" w:rsidRPr="00431380">
        <w:t>particular cohorts of sponsors or manufacturers</w:t>
      </w:r>
      <w:r w:rsidR="00FC40B3" w:rsidRPr="00431380">
        <w:t xml:space="preserve"> may be disproportionately impacted</w:t>
      </w:r>
      <w:r w:rsidR="00033FFA" w:rsidRPr="00431380">
        <w:t>.</w:t>
      </w:r>
      <w:r w:rsidR="00C70644" w:rsidRPr="00431380">
        <w:t xml:space="preserve"> </w:t>
      </w:r>
      <w:r w:rsidR="00FC40B3" w:rsidRPr="00431380">
        <w:t xml:space="preserve">However, the lack of early signal detection creates </w:t>
      </w:r>
      <w:r w:rsidR="004C47DE" w:rsidRPr="00431380">
        <w:t xml:space="preserve">broad </w:t>
      </w:r>
      <w:r w:rsidR="00FC40B3" w:rsidRPr="00431380">
        <w:t xml:space="preserve">impacts </w:t>
      </w:r>
      <w:r w:rsidR="004C47DE" w:rsidRPr="00431380">
        <w:t>that span various types of devices and stakeholders</w:t>
      </w:r>
      <w:r w:rsidR="00FC40B3" w:rsidRPr="00431380">
        <w:t xml:space="preserve">. </w:t>
      </w:r>
      <w:r w:rsidR="009B3A36" w:rsidRPr="00431380">
        <w:t>Additional challenges are faced by m</w:t>
      </w:r>
      <w:r w:rsidR="00A5022C" w:rsidRPr="00431380">
        <w:t xml:space="preserve">anufacturers and sponsors </w:t>
      </w:r>
      <w:r w:rsidR="009B3A36" w:rsidRPr="00431380">
        <w:t>in the</w:t>
      </w:r>
      <w:r w:rsidR="00A5022C" w:rsidRPr="00431380">
        <w:t xml:space="preserve"> lack </w:t>
      </w:r>
      <w:r w:rsidR="009B3A36" w:rsidRPr="00431380">
        <w:t xml:space="preserve">of </w:t>
      </w:r>
      <w:r w:rsidR="00A5022C" w:rsidRPr="00431380">
        <w:t xml:space="preserve">visibility </w:t>
      </w:r>
      <w:r w:rsidR="009B3A36" w:rsidRPr="00431380">
        <w:t>of</w:t>
      </w:r>
      <w:r w:rsidR="00A5022C" w:rsidRPr="00431380">
        <w:t xml:space="preserve"> where their medical devices are used once distributed. This creates significant challenges in tracing devices or implants back to specific patients or healthcare facilities in the event of safety concerns or recalls. Patients, meanwhile, may not always return to the original place of supply or implantation for follow-up care, further complicating efforts to monitor and address adverse events effectively. </w:t>
      </w:r>
      <w:r w:rsidR="00FC40B3" w:rsidRPr="00431380">
        <w:t>T</w:t>
      </w:r>
      <w:r w:rsidR="003976FB" w:rsidRPr="00431380">
        <w:t xml:space="preserve">he limited feedback loop prevents manufacturers and sponsors from identifying and addressing </w:t>
      </w:r>
      <w:r w:rsidR="00BE17B8" w:rsidRPr="00431380">
        <w:t xml:space="preserve">emerging </w:t>
      </w:r>
      <w:r w:rsidR="003976FB" w:rsidRPr="00431380">
        <w:t xml:space="preserve">safety issues, hindering product </w:t>
      </w:r>
      <w:r w:rsidR="00BE17B8" w:rsidRPr="00431380">
        <w:t xml:space="preserve">safety </w:t>
      </w:r>
      <w:r w:rsidR="003976FB" w:rsidRPr="00431380">
        <w:t>improvements. Additionally, the lack of transparency can damage their market reputation, leading to more severe regulatory actions and increased risks of litigation</w:t>
      </w:r>
      <w:r w:rsidR="00204FD3" w:rsidRPr="00431380">
        <w:t xml:space="preserve">. </w:t>
      </w:r>
      <w:r w:rsidR="003976FB" w:rsidRPr="00431380">
        <w:t xml:space="preserve"> </w:t>
      </w:r>
      <w:r w:rsidR="00FB25A6" w:rsidRPr="00431380">
        <w:t xml:space="preserve">Litigation can </w:t>
      </w:r>
      <w:r w:rsidR="00CD1EAE" w:rsidRPr="00431380">
        <w:t>result in significant financial costs, rep</w:t>
      </w:r>
      <w:r w:rsidR="004D506F" w:rsidRPr="00431380">
        <w:t>utational damage and heightened regulatory scrutiny</w:t>
      </w:r>
      <w:r w:rsidR="00204FD3" w:rsidRPr="00431380">
        <w:t xml:space="preserve"> concerns.</w:t>
      </w:r>
      <w:r w:rsidR="00204FD3" w:rsidRPr="00431380">
        <w:rPr>
          <w:rStyle w:val="FootnoteReference"/>
        </w:rPr>
        <w:footnoteReference w:id="43"/>
      </w:r>
      <w:r w:rsidR="004D506F" w:rsidRPr="00431380">
        <w:t xml:space="preserve"> These consequences may </w:t>
      </w:r>
      <w:r w:rsidR="00751588" w:rsidRPr="00431380">
        <w:t xml:space="preserve">delay </w:t>
      </w:r>
      <w:r w:rsidR="00D35754" w:rsidRPr="00431380">
        <w:t>innovation and</w:t>
      </w:r>
      <w:r w:rsidR="00675414" w:rsidRPr="00431380">
        <w:t xml:space="preserve"> </w:t>
      </w:r>
      <w:r w:rsidR="00FC40B3" w:rsidRPr="00431380">
        <w:t xml:space="preserve">create </w:t>
      </w:r>
      <w:r w:rsidR="00675414" w:rsidRPr="00431380">
        <w:t xml:space="preserve">hesitancy amongst </w:t>
      </w:r>
      <w:r w:rsidR="00D35754" w:rsidRPr="00431380">
        <w:t>clinicians</w:t>
      </w:r>
      <w:r w:rsidR="00675414" w:rsidRPr="00431380">
        <w:t>, healthcare facilities</w:t>
      </w:r>
      <w:r w:rsidR="009B3A36" w:rsidRPr="00431380">
        <w:t>,</w:t>
      </w:r>
      <w:r w:rsidR="006411A8" w:rsidRPr="00431380">
        <w:t xml:space="preserve"> </w:t>
      </w:r>
      <w:r w:rsidR="00675414" w:rsidRPr="00431380">
        <w:t xml:space="preserve">and consumers </w:t>
      </w:r>
      <w:r w:rsidR="00D35754" w:rsidRPr="00431380">
        <w:t>in adopting newer technologies</w:t>
      </w:r>
      <w:r w:rsidR="00204FD3" w:rsidRPr="00431380">
        <w:t>, which result in increased burden of disease at greater cost to the health care system</w:t>
      </w:r>
      <w:r w:rsidR="00D35754" w:rsidRPr="00431380">
        <w:t>.</w:t>
      </w:r>
    </w:p>
    <w:p w14:paraId="16526124" w14:textId="32945D0D" w:rsidR="00C02E11" w:rsidRDefault="00243F3E" w:rsidP="00422DE8">
      <w:pPr>
        <w:pStyle w:val="Heading6"/>
      </w:pPr>
      <w:r>
        <w:t>Healthcare Facilities</w:t>
      </w:r>
    </w:p>
    <w:p w14:paraId="5F09940C" w14:textId="77777777" w:rsidR="002F00C8" w:rsidRPr="001631E8" w:rsidRDefault="00D1465F" w:rsidP="002F00C8">
      <w:pPr>
        <w:rPr>
          <w:b/>
          <w:bCs/>
          <w:i/>
          <w:iCs/>
        </w:rPr>
      </w:pPr>
      <w:r w:rsidRPr="00D1465F">
        <w:t xml:space="preserve">Healthcare facilities also suffer from the impacts of underreporting </w:t>
      </w:r>
      <w:r>
        <w:t xml:space="preserve">medical device </w:t>
      </w:r>
      <w:r w:rsidRPr="00D1465F">
        <w:t>adverse events. Patient safety is compromised as unsafe devices continue to be used, and clinicians are left making misinformed decisions due to incomplete data. This situation poses challenges in meeting accreditation and compliance standards, and ultimately leads to a loss of trust from patients who expect prioritised safety and transparency.</w:t>
      </w:r>
      <w:r w:rsidR="002F00C8">
        <w:br/>
      </w:r>
    </w:p>
    <w:p w14:paraId="75B7EC49" w14:textId="58EA00AC" w:rsidR="002F00C8" w:rsidRPr="00884146" w:rsidRDefault="002F00C8" w:rsidP="002F00C8">
      <w:r w:rsidRPr="00884146">
        <w:rPr>
          <w:b/>
          <w:bCs/>
          <w:i/>
          <w:iCs/>
        </w:rPr>
        <w:t xml:space="preserve">Consideration for </w:t>
      </w:r>
      <w:r w:rsidR="00BE39FE">
        <w:rPr>
          <w:b/>
          <w:bCs/>
          <w:i/>
          <w:iCs/>
        </w:rPr>
        <w:t>s</w:t>
      </w:r>
      <w:r w:rsidRPr="00884146">
        <w:rPr>
          <w:b/>
          <w:bCs/>
          <w:i/>
          <w:iCs/>
        </w:rPr>
        <w:t xml:space="preserve">maller </w:t>
      </w:r>
      <w:r w:rsidR="00BE39FE">
        <w:rPr>
          <w:b/>
          <w:bCs/>
          <w:i/>
          <w:iCs/>
        </w:rPr>
        <w:t>healthcare f</w:t>
      </w:r>
      <w:r w:rsidRPr="00884146">
        <w:rPr>
          <w:b/>
          <w:bCs/>
          <w:i/>
          <w:iCs/>
        </w:rPr>
        <w:t>acilities</w:t>
      </w:r>
      <w:r w:rsidRPr="00884146">
        <w:br/>
        <w:t xml:space="preserve">During consultations, </w:t>
      </w:r>
      <w:r>
        <w:t>the TGA has</w:t>
      </w:r>
      <w:r w:rsidRPr="00884146">
        <w:t xml:space="preserve"> identified that smaller private </w:t>
      </w:r>
      <w:r>
        <w:t>and</w:t>
      </w:r>
      <w:r w:rsidRPr="00884146">
        <w:t xml:space="preserve"> day hospitals may lack the IT systems or infrastructure found in larger public or private facilities. To address this, multiple reporting channels </w:t>
      </w:r>
      <w:r>
        <w:t xml:space="preserve">will be incorporated </w:t>
      </w:r>
      <w:r w:rsidRPr="00884146">
        <w:t xml:space="preserve">(e.g., email, web portal) allowing reports in accessible formats such as </w:t>
      </w:r>
      <w:r w:rsidR="005601AB">
        <w:t>e</w:t>
      </w:r>
      <w:r w:rsidRPr="00884146">
        <w:t>xcel or CSV files. This approach minimi</w:t>
      </w:r>
      <w:r w:rsidR="00C04145">
        <w:t>s</w:t>
      </w:r>
      <w:r w:rsidRPr="00884146">
        <w:t>es the need for costly technology upgrades, ensuring equitable participation</w:t>
      </w:r>
      <w:r>
        <w:t>.</w:t>
      </w:r>
      <w:r w:rsidR="00FC40B3">
        <w:t xml:space="preserve"> An approach of continuous improvement would be taken to further streamline and support data provision over time.</w:t>
      </w:r>
    </w:p>
    <w:p w14:paraId="712D195D" w14:textId="048B962C" w:rsidR="00243F3E" w:rsidRDefault="00243F3E" w:rsidP="000967D4"/>
    <w:p w14:paraId="6E11C8B6" w14:textId="46E6155F" w:rsidR="00C02E11" w:rsidRDefault="00C02E11" w:rsidP="00422DE8">
      <w:pPr>
        <w:pStyle w:val="Heading6"/>
      </w:pPr>
      <w:r>
        <w:lastRenderedPageBreak/>
        <w:t>The Community</w:t>
      </w:r>
    </w:p>
    <w:p w14:paraId="13525C56" w14:textId="41F774CF" w:rsidR="00C02E11" w:rsidRDefault="00E108BF" w:rsidP="000967D4">
      <w:r w:rsidRPr="00E108BF">
        <w:t xml:space="preserve">The general public, particularly patients, </w:t>
      </w:r>
      <w:r w:rsidR="00CE3D38">
        <w:t xml:space="preserve">may </w:t>
      </w:r>
      <w:r w:rsidRPr="00E108BF">
        <w:t xml:space="preserve">face </w:t>
      </w:r>
      <w:r w:rsidR="00CE3D38">
        <w:t xml:space="preserve">unknown </w:t>
      </w:r>
      <w:r w:rsidRPr="00E108BF">
        <w:t>health risks due to the underreporting of adverse events. Continued use of unsafe devices can lead to complications, with patients making healthcare decisions based on incomplete information. This not only increases healthcare costs but also erodes public trust in the healthcare system, as people lose confidence in its ability to protect their safety.</w:t>
      </w:r>
      <w:r w:rsidR="00D553BC">
        <w:br/>
      </w:r>
    </w:p>
    <w:p w14:paraId="2C4E7125" w14:textId="06A7BDB9" w:rsidR="009948BE" w:rsidRDefault="005B0BF4" w:rsidP="00884146">
      <w:r>
        <w:rPr>
          <w:b/>
          <w:bCs/>
          <w:i/>
          <w:iCs/>
        </w:rPr>
        <w:t>Distributional impacts</w:t>
      </w:r>
      <w:r w:rsidR="00884146" w:rsidRPr="00884146">
        <w:br/>
      </w:r>
      <w:r>
        <w:t>Based on currently available data related to medical device adverse events, it is challenging to determine whether the mandatory reporting scheme w</w:t>
      </w:r>
      <w:r w:rsidR="009948BE">
        <w:t>ill</w:t>
      </w:r>
      <w:r>
        <w:t xml:space="preserve"> cause any distributional impacts </w:t>
      </w:r>
      <w:r w:rsidR="006A0967">
        <w:t xml:space="preserve">related to </w:t>
      </w:r>
      <w:r>
        <w:t>demographics, socioeconomic status or organisational</w:t>
      </w:r>
      <w:r w:rsidR="009948BE">
        <w:t xml:space="preserve"> factors</w:t>
      </w:r>
      <w:r>
        <w:t xml:space="preserve">. </w:t>
      </w:r>
      <w:r w:rsidR="009948BE">
        <w:t xml:space="preserve">As </w:t>
      </w:r>
      <w:r w:rsidR="00D42289">
        <w:t>the scheme focuse</w:t>
      </w:r>
      <w:r w:rsidR="009948BE">
        <w:t>s</w:t>
      </w:r>
      <w:r w:rsidR="00D42289">
        <w:t xml:space="preserve"> on improving safety</w:t>
      </w:r>
      <w:r w:rsidR="009948BE">
        <w:t xml:space="preserve"> for all patients with medical devices</w:t>
      </w:r>
      <w:r w:rsidR="00D42289">
        <w:t xml:space="preserve">, </w:t>
      </w:r>
      <w:r w:rsidR="009948BE">
        <w:t xml:space="preserve">no direct </w:t>
      </w:r>
      <w:r w:rsidR="00D42289">
        <w:t>gender specific impacts</w:t>
      </w:r>
      <w:r w:rsidR="009948BE">
        <w:t xml:space="preserve"> </w:t>
      </w:r>
      <w:r w:rsidR="00194AC4">
        <w:t>can be</w:t>
      </w:r>
      <w:r w:rsidR="009948BE">
        <w:t xml:space="preserve"> identified</w:t>
      </w:r>
      <w:r w:rsidR="000D20EF">
        <w:t xml:space="preserve"> beyond those already acknowledged relating to health equity</w:t>
      </w:r>
      <w:r w:rsidR="00D42289">
        <w:t xml:space="preserve">. </w:t>
      </w:r>
      <w:r w:rsidR="00194AC4">
        <w:t xml:space="preserve">Additionally, it is acknowledged that </w:t>
      </w:r>
      <w:r w:rsidR="00194AC4" w:rsidRPr="001E7A52">
        <w:t xml:space="preserve">the proposal was a recommendation from a report on medical events that affected women, </w:t>
      </w:r>
      <w:r w:rsidR="00194AC4">
        <w:t xml:space="preserve">and current data is </w:t>
      </w:r>
      <w:r w:rsidR="00194AC4" w:rsidRPr="001E7A52">
        <w:t xml:space="preserve">insufficient to show that adverse medical events affect women at a higher rate </w:t>
      </w:r>
      <w:r w:rsidR="00194AC4">
        <w:t>compared to</w:t>
      </w:r>
      <w:r w:rsidR="00194AC4" w:rsidRPr="001E7A52">
        <w:t xml:space="preserve"> the total population</w:t>
      </w:r>
      <w:r w:rsidR="00194AC4">
        <w:t xml:space="preserve">. </w:t>
      </w:r>
      <w:r w:rsidR="009948BE">
        <w:t xml:space="preserve">Over time as the reporting requirement is established, </w:t>
      </w:r>
      <w:r w:rsidR="00194AC4">
        <w:t xml:space="preserve">consideration should be given to identifying </w:t>
      </w:r>
      <w:r w:rsidR="009948BE">
        <w:t xml:space="preserve">opportunities for analysis of data trends </w:t>
      </w:r>
      <w:r w:rsidR="00194AC4">
        <w:t>that could</w:t>
      </w:r>
      <w:r w:rsidR="001B35FB">
        <w:t xml:space="preserve"> be conducted </w:t>
      </w:r>
      <w:r w:rsidR="00194AC4">
        <w:t>in order to identify</w:t>
      </w:r>
      <w:r w:rsidR="001B35FB">
        <w:t xml:space="preserve"> any </w:t>
      </w:r>
      <w:r w:rsidR="009948BE">
        <w:t xml:space="preserve">disproportionate impacts </w:t>
      </w:r>
      <w:r w:rsidR="00194AC4">
        <w:t>on certain cohorts</w:t>
      </w:r>
      <w:r w:rsidR="001B35FB">
        <w:t>.</w:t>
      </w:r>
    </w:p>
    <w:p w14:paraId="00937AA4" w14:textId="6E645318" w:rsidR="001B35FB" w:rsidRDefault="001B35FB" w:rsidP="00884146">
      <w:r>
        <w:t>T</w:t>
      </w:r>
      <w:r w:rsidR="006A0967">
        <w:t xml:space="preserve">he scheme </w:t>
      </w:r>
      <w:r w:rsidR="00D13EAC">
        <w:t>is aimed at institutional compliance</w:t>
      </w:r>
      <w:r>
        <w:t xml:space="preserve">, with no individual focus given to reporting by </w:t>
      </w:r>
      <w:r w:rsidR="00D13EAC">
        <w:t>specific roles or individuals</w:t>
      </w:r>
      <w:r>
        <w:t>, other than the legislative requirement to report being the responsibility of the</w:t>
      </w:r>
      <w:r w:rsidRPr="001B35FB">
        <w:t xml:space="preserve"> chief executive officer (however described)</w:t>
      </w:r>
      <w:r>
        <w:t>. Therefore, no disproportionate workforce impacts are currently identified</w:t>
      </w:r>
      <w:r w:rsidR="00D13EAC">
        <w:t xml:space="preserve">. </w:t>
      </w:r>
    </w:p>
    <w:p w14:paraId="3984F424" w14:textId="19D4A52D" w:rsidR="00884146" w:rsidRPr="00884146" w:rsidRDefault="00D13EAC" w:rsidP="00884146">
      <w:r>
        <w:br/>
      </w:r>
      <w:r w:rsidR="00D42289">
        <w:t xml:space="preserve">The TGA will ensure that </w:t>
      </w:r>
      <w:r w:rsidR="00884146" w:rsidRPr="00884146">
        <w:t>multiple reporting channel</w:t>
      </w:r>
      <w:r w:rsidR="00D42289">
        <w:t xml:space="preserve">s, </w:t>
      </w:r>
      <w:r w:rsidR="00884146" w:rsidRPr="00884146">
        <w:t>such as the existing voluntary online forms, email, and phon</w:t>
      </w:r>
      <w:r w:rsidR="00D42289">
        <w:t xml:space="preserve">e, </w:t>
      </w:r>
      <w:r w:rsidR="00884146" w:rsidRPr="00884146">
        <w:t>remain available for consumers and other stakeholders who wish to report directly.</w:t>
      </w:r>
      <w:r>
        <w:t xml:space="preserve"> </w:t>
      </w:r>
      <w:r w:rsidR="00884146" w:rsidRPr="00884146">
        <w:t xml:space="preserve">Throughout the implementation of the scheme the </w:t>
      </w:r>
      <w:r w:rsidR="00D42289">
        <w:t>TGA</w:t>
      </w:r>
      <w:r w:rsidR="00884146" w:rsidRPr="00884146">
        <w:t xml:space="preserve"> will develop further guidance and communication materials to enhance awareness and support healthcare professionals in interrogating</w:t>
      </w:r>
      <w:r>
        <w:t xml:space="preserve"> </w:t>
      </w:r>
      <w:r w:rsidR="00884146" w:rsidRPr="00884146">
        <w:t xml:space="preserve">adverse events to gather additional details. </w:t>
      </w:r>
      <w:r w:rsidR="00D42289" w:rsidRPr="00884146">
        <w:t>While the current adverse event dat</w:t>
      </w:r>
      <w:r w:rsidR="00BE39FE">
        <w:t>a does not provide sufficient granularity</w:t>
      </w:r>
      <w:r w:rsidR="00D42289" w:rsidRPr="00884146">
        <w:t xml:space="preserve">, </w:t>
      </w:r>
      <w:r w:rsidR="00BE39FE">
        <w:t xml:space="preserve">as more consistent and comprehensive data becomes available </w:t>
      </w:r>
      <w:r w:rsidR="00D42289">
        <w:t>o</w:t>
      </w:r>
      <w:r w:rsidR="00884146" w:rsidRPr="00884146">
        <w:t>ver time,</w:t>
      </w:r>
      <w:r>
        <w:t xml:space="preserve"> </w:t>
      </w:r>
      <w:r w:rsidR="00BE39FE">
        <w:t>it may become possible to analyse and assess any potential distributional impacts of the scheme in the future.</w:t>
      </w:r>
    </w:p>
    <w:p w14:paraId="44D1BE0C" w14:textId="3FC1E206" w:rsidR="00DB41D8" w:rsidRPr="00DB41D8" w:rsidRDefault="00DB41D8" w:rsidP="00DB41D8"/>
    <w:p w14:paraId="0F0DAA33" w14:textId="72A2AFE2" w:rsidR="00520749" w:rsidRPr="00520749" w:rsidRDefault="00F9197A" w:rsidP="00B94B25">
      <w:pPr>
        <w:pStyle w:val="Heading2"/>
      </w:pPr>
      <w:r>
        <w:br w:type="page"/>
      </w:r>
      <w:bookmarkStart w:id="52" w:name="_Toc179531304"/>
      <w:bookmarkStart w:id="53" w:name="_Toc188012851"/>
      <w:r w:rsidR="00CE52F3">
        <w:lastRenderedPageBreak/>
        <w:t xml:space="preserve">Question Two: Why is government action </w:t>
      </w:r>
      <w:r w:rsidR="00520749">
        <w:rPr>
          <w:noProof/>
          <w:lang w:eastAsia="en-AU"/>
        </w:rPr>
        <mc:AlternateContent>
          <mc:Choice Requires="wps">
            <w:drawing>
              <wp:anchor distT="45720" distB="45720" distL="114300" distR="114300" simplePos="0" relativeHeight="251674112" behindDoc="0" locked="0" layoutInCell="1" allowOverlap="1" wp14:anchorId="54DBBB2D" wp14:editId="1C68916B">
                <wp:simplePos x="0" y="0"/>
                <wp:positionH relativeFrom="margin">
                  <wp:align>left</wp:align>
                </wp:positionH>
                <wp:positionV relativeFrom="paragraph">
                  <wp:posOffset>796290</wp:posOffset>
                </wp:positionV>
                <wp:extent cx="5604510" cy="1044575"/>
                <wp:effectExtent l="0" t="0" r="15240" b="222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045028"/>
                        </a:xfrm>
                        <a:prstGeom prst="rect">
                          <a:avLst/>
                        </a:prstGeom>
                        <a:solidFill>
                          <a:srgbClr val="FFFFFF"/>
                        </a:solidFill>
                        <a:ln w="9525">
                          <a:solidFill>
                            <a:srgbClr val="000000"/>
                          </a:solidFill>
                          <a:miter lim="800000"/>
                          <a:headEnd/>
                          <a:tailEnd/>
                        </a:ln>
                      </wps:spPr>
                      <wps:txbx>
                        <w:txbxContent>
                          <w:p w14:paraId="0BFB0300" w14:textId="77777777" w:rsidR="008461AF" w:rsidRPr="00966B9A" w:rsidRDefault="008461AF" w:rsidP="00966B9A">
                            <w:pPr>
                              <w:shd w:val="clear" w:color="auto" w:fill="F2F2F2" w:themeFill="background1" w:themeFillShade="F2"/>
                              <w:rPr>
                                <w:rFonts w:cs="Arial"/>
                                <w:b/>
                                <w:bCs/>
                                <w:i/>
                                <w:iCs/>
                              </w:rPr>
                            </w:pPr>
                            <w:r w:rsidRPr="00966B9A">
                              <w:rPr>
                                <w:rFonts w:cs="Arial"/>
                                <w:b/>
                                <w:bCs/>
                                <w:i/>
                                <w:iCs/>
                              </w:rPr>
                              <w:t xml:space="preserve">Strengthening patient safety </w:t>
                            </w:r>
                          </w:p>
                          <w:p w14:paraId="37AEC801" w14:textId="77777777" w:rsidR="008461AF" w:rsidRPr="009B7EA1" w:rsidRDefault="008461AF" w:rsidP="00966B9A">
                            <w:pPr>
                              <w:shd w:val="clear" w:color="auto" w:fill="F2F2F2" w:themeFill="background1" w:themeFillShade="F2"/>
                              <w:rPr>
                                <w:rFonts w:cs="Arial"/>
                              </w:rPr>
                            </w:pPr>
                            <w:r w:rsidRPr="00966B9A">
                              <w:rPr>
                                <w:rFonts w:cs="Arial"/>
                              </w:rPr>
                              <w:t>Implementing mandatory reporting would allow more systematic data collection and analysis of medical devices related adverse events, enabling rapid identification of issues and timely interventions. It would support information sharing and assist in ensuring that health professionals receive timely updates on patient safety risks, improving patient safety.</w:t>
                            </w:r>
                            <w:r>
                              <w:rPr>
                                <w:rFonts w:cs="Arial"/>
                              </w:rPr>
                              <w:t xml:space="preserve"> </w:t>
                            </w:r>
                          </w:p>
                          <w:p w14:paraId="09733943" w14:textId="364DE1CE" w:rsidR="008461AF" w:rsidRPr="009B7EA1" w:rsidRDefault="008461AF" w:rsidP="00520749">
                            <w:pPr>
                              <w:shd w:val="clear" w:color="auto" w:fill="F2F2F2" w:themeFill="background1" w:themeFillShade="F2"/>
                              <w:rPr>
                                <w:rFonts w:cs="Arial"/>
                              </w:rPr>
                            </w:pPr>
                            <w:r>
                              <w:rPr>
                                <w:rFonts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BB2D" id="Text Box 2" o:spid="_x0000_s1027" type="#_x0000_t202" style="position:absolute;margin-left:0;margin-top:62.7pt;width:441.3pt;height:82.2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">
                <v:textbox>
                  <w:txbxContent>
                    <w:p w14:paraId="0BFB0300" w14:textId="77777777" w:rsidR="008461AF" w:rsidRPr="00966B9A" w:rsidRDefault="008461AF" w:rsidP="00966B9A">
                      <w:pPr>
                        <w:shd w:val="clear" w:color="auto" w:fill="F2F2F2" w:themeFill="background1" w:themeFillShade="F2"/>
                        <w:rPr>
                          <w:rFonts w:cs="Arial"/>
                          <w:b/>
                          <w:bCs/>
                          <w:i/>
                          <w:iCs/>
                        </w:rPr>
                      </w:pPr>
                      <w:r w:rsidRPr="00966B9A">
                        <w:rPr>
                          <w:rFonts w:cs="Arial"/>
                          <w:b/>
                          <w:bCs/>
                          <w:i/>
                          <w:iCs/>
                        </w:rPr>
                        <w:t xml:space="preserve">Strengthening patient safety </w:t>
                      </w:r>
                    </w:p>
                    <w:p w14:paraId="37AEC801" w14:textId="77777777" w:rsidR="008461AF" w:rsidRPr="009B7EA1" w:rsidRDefault="008461AF" w:rsidP="00966B9A">
                      <w:pPr>
                        <w:shd w:val="clear" w:color="auto" w:fill="F2F2F2" w:themeFill="background1" w:themeFillShade="F2"/>
                        <w:rPr>
                          <w:rFonts w:cs="Arial"/>
                        </w:rPr>
                      </w:pPr>
                      <w:r w:rsidRPr="00966B9A">
                        <w:rPr>
                          <w:rFonts w:cs="Arial"/>
                        </w:rPr>
                        <w:t>Implementing mandatory reporting would allow more systematic data collection and analysis of medical devices related adverse events, enabling rapid identification of issues and timely interventions. It would support information sharing and assist in ensuring that health professionals receive timely updates on patient safety risks, improving patient safety.</w:t>
                      </w:r>
                      <w:r>
                        <w:rPr>
                          <w:rFonts w:cs="Arial"/>
                        </w:rPr>
                        <w:t xml:space="preserve"> </w:t>
                      </w:r>
                    </w:p>
                    <w:p w14:paraId="09733943" w14:textId="364DE1CE" w:rsidR="008461AF" w:rsidRPr="009B7EA1" w:rsidRDefault="008461AF" w:rsidP="00520749">
                      <w:pPr>
                        <w:shd w:val="clear" w:color="auto" w:fill="F2F2F2" w:themeFill="background1" w:themeFillShade="F2"/>
                        <w:rPr>
                          <w:rFonts w:cs="Arial"/>
                        </w:rPr>
                      </w:pPr>
                      <w:r>
                        <w:rPr>
                          <w:rFonts w:cs="Arial"/>
                        </w:rPr>
                        <w:t xml:space="preserve"> </w:t>
                      </w:r>
                    </w:p>
                  </w:txbxContent>
                </v:textbox>
                <w10:wrap type="square" anchorx="margin"/>
              </v:shape>
            </w:pict>
          </mc:Fallback>
        </mc:AlternateContent>
      </w:r>
      <w:r w:rsidR="00CE52F3">
        <w:t>needed?</w:t>
      </w:r>
      <w:bookmarkEnd w:id="51"/>
      <w:bookmarkEnd w:id="52"/>
      <w:bookmarkEnd w:id="53"/>
      <w:r w:rsidR="00CE52F3">
        <w:t xml:space="preserve"> </w:t>
      </w:r>
      <w:r w:rsidR="00820E9A">
        <w:br/>
      </w:r>
    </w:p>
    <w:p w14:paraId="36C45B5C" w14:textId="014A7341" w:rsidR="0076492F" w:rsidRDefault="0076492F" w:rsidP="0076492F">
      <w:r>
        <w:t>As noted, the TGA is Australia’s government authority responsible for evaluating, assessing and monitoring products that are defined as therapeutic goods (e.g., medicines, medical devices and biologicals). A primary function within the monitoring of products is Post Market Event Monitoring. This area’s focus is to improve the health and safety of patients, healthcare professionals, users and others by reducing the likelihood of adverse events occurring and being repeated.</w:t>
      </w:r>
    </w:p>
    <w:p w14:paraId="25F196D7" w14:textId="4A2703F6" w:rsidR="0076492F" w:rsidRPr="00C638A1" w:rsidRDefault="0076492F" w:rsidP="0076492F">
      <w:r>
        <w:t>A key input for this function is adverse event reporting. Adverse event reporting allows the TGA to monitor medical device use, monitor their performance in the real world and identify trends that may indicate emerging safety and/or performance issues. These activities allow the TGA to take appropriate regulatory action to address these issues, thereby reducing the impact on the public.</w:t>
      </w:r>
    </w:p>
    <w:p w14:paraId="51A890C8" w14:textId="0D361B96" w:rsidR="006D0AC2" w:rsidRDefault="005242BD" w:rsidP="0079175B">
      <w:r>
        <w:t xml:space="preserve">As noted, there is </w:t>
      </w:r>
      <w:r w:rsidR="00834DE3">
        <w:t>range of evidence pointing to the fact there is significant underreporting of medical device adverse events</w:t>
      </w:r>
      <w:r w:rsidR="00FD5612">
        <w:t>.</w:t>
      </w:r>
      <w:r w:rsidR="001E5F92">
        <w:rPr>
          <w:rStyle w:val="FootnoteReference"/>
        </w:rPr>
        <w:footnoteReference w:id="44"/>
      </w:r>
      <w:r w:rsidR="00FD5612">
        <w:t xml:space="preserve"> </w:t>
      </w:r>
      <w:r w:rsidR="00816FEB">
        <w:t>This is impacting the TGA’s ability</w:t>
      </w:r>
      <w:r w:rsidR="003560DE">
        <w:t xml:space="preserve"> </w:t>
      </w:r>
      <w:r w:rsidR="003E2FBF">
        <w:t xml:space="preserve">to </w:t>
      </w:r>
      <w:r w:rsidR="00816FEB">
        <w:t xml:space="preserve">effectively identify </w:t>
      </w:r>
      <w:r w:rsidR="00A76934">
        <w:t xml:space="preserve">and act upon </w:t>
      </w:r>
      <w:r w:rsidR="004233A4">
        <w:t xml:space="preserve">signals that indicate potential or emerging issues </w:t>
      </w:r>
      <w:r w:rsidR="00A53886">
        <w:t>in relation to medical devices.</w:t>
      </w:r>
      <w:r w:rsidR="00FB2B02">
        <w:t xml:space="preserve"> </w:t>
      </w:r>
      <w:r w:rsidR="00D772B0">
        <w:t xml:space="preserve">Prior government </w:t>
      </w:r>
      <w:r w:rsidR="00786565">
        <w:t>initiatives</w:t>
      </w:r>
      <w:r w:rsidR="00D772B0">
        <w:t xml:space="preserve"> ha</w:t>
      </w:r>
      <w:r w:rsidR="00786565">
        <w:t>ve</w:t>
      </w:r>
      <w:r w:rsidR="00D772B0">
        <w:t xml:space="preserve"> seen limited improvements and thus </w:t>
      </w:r>
      <w:r w:rsidR="00E220E4">
        <w:t xml:space="preserve">further government </w:t>
      </w:r>
      <w:r w:rsidR="005665E9">
        <w:t>action</w:t>
      </w:r>
      <w:r w:rsidR="00865033">
        <w:t xml:space="preserve"> is required</w:t>
      </w:r>
      <w:r w:rsidR="00F727DF">
        <w:t xml:space="preserve"> </w:t>
      </w:r>
      <w:r w:rsidR="00755227">
        <w:t>It is proposed that t</w:t>
      </w:r>
      <w:r w:rsidR="00865033">
        <w:t>hrough</w:t>
      </w:r>
      <w:r w:rsidR="003E237C">
        <w:t xml:space="preserve"> increase</w:t>
      </w:r>
      <w:r w:rsidR="005665E9">
        <w:t>d</w:t>
      </w:r>
      <w:r w:rsidR="00D772B0">
        <w:t xml:space="preserve"> regulatory intervention</w:t>
      </w:r>
      <w:r w:rsidR="005152FD">
        <w:t>,</w:t>
      </w:r>
      <w:r w:rsidR="000155A0">
        <w:t xml:space="preserve"> TGA’s capability to identify</w:t>
      </w:r>
      <w:r w:rsidR="00F727DF">
        <w:t>, locate</w:t>
      </w:r>
      <w:r w:rsidR="000155A0">
        <w:t xml:space="preserve"> and act upon market signals that indicate </w:t>
      </w:r>
      <w:r w:rsidR="00ED4D51">
        <w:t>potential or emerging issues about the safety of effectiveness of medical devices</w:t>
      </w:r>
      <w:r w:rsidR="00755227">
        <w:t xml:space="preserve"> will be uplifted</w:t>
      </w:r>
      <w:r w:rsidR="00ED4D51">
        <w:t>.</w:t>
      </w:r>
      <w:r w:rsidR="00C27E5F">
        <w:t xml:space="preserve"> </w:t>
      </w:r>
    </w:p>
    <w:p w14:paraId="42F7DBFA" w14:textId="77777777" w:rsidR="009E159E" w:rsidRDefault="009E159E" w:rsidP="009E159E">
      <w:pPr>
        <w:pStyle w:val="Heading3"/>
      </w:pPr>
      <w:bookmarkStart w:id="54" w:name="_Toc179531305"/>
      <w:bookmarkStart w:id="55" w:name="_Toc188012852"/>
      <w:r>
        <w:t>Education approaches have not worked</w:t>
      </w:r>
      <w:bookmarkEnd w:id="54"/>
      <w:bookmarkEnd w:id="55"/>
    </w:p>
    <w:p w14:paraId="39BEEE92" w14:textId="77777777" w:rsidR="009E159E" w:rsidRDefault="009E159E" w:rsidP="009E159E">
      <w:r>
        <w:t xml:space="preserve">To address recommendations raised in the 2011 review, Therapeutic Goods Administration, </w:t>
      </w:r>
      <w:r w:rsidRPr="009264AC">
        <w:rPr>
          <w:i/>
          <w:iCs/>
        </w:rPr>
        <w:t>Final Report of the Review Panel and TGA reforms, A Blueprint for Australia’s Future</w:t>
      </w:r>
      <w:r>
        <w:t xml:space="preserve">, </w:t>
      </w:r>
      <w:bookmarkStart w:id="56" w:name="_Hlk185602888"/>
      <w:r>
        <w:t>the IRIS InSite program</w:t>
      </w:r>
      <w:bookmarkEnd w:id="56"/>
      <w:r>
        <w:t xml:space="preserve"> (the Program) was initiated. Targeted at healthcare professionals, the Program sought to improve their understanding of the TGA’s responsibilities in managing reports of adverse events and complaints relating to medical devices to ensure the continued safety of patients, medical professionals and medical devices used in Australia.</w:t>
      </w:r>
    </w:p>
    <w:p w14:paraId="6CD32E54" w14:textId="1290A27D" w:rsidR="009E159E" w:rsidRDefault="009E159E" w:rsidP="009E159E">
      <w:r>
        <w:t>However, this attempt to increase voluntary medical device adverse event reporting through educational/awareness initiatives saw limited improvements. Upon review (2020 InSite Review Plan and Report), the InSite Program showed limited evidence of sustained improvements to the quantity and quality of medical device adverse event reporting</w:t>
      </w:r>
      <w:r w:rsidR="005D3C19">
        <w:t>. F</w:t>
      </w:r>
      <w:r w:rsidR="003E5AE2">
        <w:t xml:space="preserve">rom 2015 to 2019, there was an initial increase in the number of reports from the </w:t>
      </w:r>
      <w:r w:rsidR="00C62F1F">
        <w:t>facilities</w:t>
      </w:r>
      <w:r w:rsidR="003E5AE2">
        <w:t xml:space="preserve"> </w:t>
      </w:r>
      <w:r w:rsidR="00C95A15">
        <w:t xml:space="preserve">involved in the pilot program, rising from 139 reports in 2015 to a peak of 239 in 2018. However, </w:t>
      </w:r>
      <w:r w:rsidR="005D3C19">
        <w:t xml:space="preserve">after the initial increase, the following year decreased, with </w:t>
      </w:r>
      <w:r w:rsidR="00581510">
        <w:t xml:space="preserve">194 </w:t>
      </w:r>
      <w:r w:rsidR="005D3C19">
        <w:t xml:space="preserve">reports </w:t>
      </w:r>
      <w:r w:rsidR="00581510">
        <w:t xml:space="preserve">in 2019 </w:t>
      </w:r>
      <w:r w:rsidR="00C62F1F">
        <w:t>).</w:t>
      </w:r>
      <w:r w:rsidR="00A13E1D">
        <w:t xml:space="preserve"> </w:t>
      </w:r>
      <w:r w:rsidR="003716AE">
        <w:t>Following the completion of the</w:t>
      </w:r>
      <w:r w:rsidR="00AE6694">
        <w:t xml:space="preserve"> InSite</w:t>
      </w:r>
      <w:r w:rsidR="003716AE">
        <w:t xml:space="preserve"> pilot program</w:t>
      </w:r>
      <w:r w:rsidR="00F229A0">
        <w:t xml:space="preserve"> in 2020</w:t>
      </w:r>
      <w:r w:rsidR="003716AE">
        <w:t xml:space="preserve">, from 2020 to 2024, the number of reports continued to decrease with a total of 303 reports from healthcare facilities averaging </w:t>
      </w:r>
      <w:r w:rsidR="00F229A0">
        <w:t xml:space="preserve">only </w:t>
      </w:r>
      <w:r w:rsidR="003716AE">
        <w:t>60 reports per year</w:t>
      </w:r>
      <w:r w:rsidR="00D80AE1">
        <w:t xml:space="preserve"> further adding to limitations of the </w:t>
      </w:r>
      <w:r w:rsidR="00D80AE1">
        <w:lastRenderedPageBreak/>
        <w:t>educational/awareness initiative</w:t>
      </w:r>
      <w:r w:rsidR="003716AE">
        <w:t xml:space="preserve">. </w:t>
      </w:r>
      <w:r>
        <w:t>It is also worth noting that the number of medical device adverse event reports across Australia (for those not taking part in the pilot program) also continued to increase over this period. This increase in reporting external to the program makes it unclear whether the limited improvements identified in the pilot program was a result of the IRIS InSite program, or macro trends in reporting nationally.</w:t>
      </w:r>
      <w:r w:rsidR="00D55029">
        <w:br/>
      </w:r>
    </w:p>
    <w:p w14:paraId="037ED4A0" w14:textId="06463CE8" w:rsidR="00D26507" w:rsidRPr="005976E9" w:rsidRDefault="00D26507" w:rsidP="00D26507">
      <w:pPr>
        <w:pStyle w:val="Heading3"/>
      </w:pPr>
      <w:bookmarkStart w:id="57" w:name="_Toc188012853"/>
      <w:r w:rsidRPr="005976E9">
        <w:t xml:space="preserve">Limitations </w:t>
      </w:r>
      <w:r w:rsidR="00F03D8B" w:rsidRPr="005976E9">
        <w:t xml:space="preserve">of </w:t>
      </w:r>
      <w:r w:rsidR="007D5C29" w:rsidRPr="005976E9">
        <w:t>o</w:t>
      </w:r>
      <w:r w:rsidR="00F03D8B" w:rsidRPr="005976E9">
        <w:t>verseas reporting for signal detection</w:t>
      </w:r>
      <w:bookmarkEnd w:id="57"/>
    </w:p>
    <w:p w14:paraId="229993E0" w14:textId="2E6D1717" w:rsidR="00646F3D" w:rsidRPr="005976E9" w:rsidRDefault="000A4A6C" w:rsidP="00F03D8B">
      <w:r w:rsidRPr="005976E9">
        <w:t xml:space="preserve">The TGA </w:t>
      </w:r>
      <w:r w:rsidR="00C1285E" w:rsidRPr="005976E9">
        <w:t>actively collaborates with overseas regulators through its participation in</w:t>
      </w:r>
      <w:r w:rsidR="00BD7CC4" w:rsidRPr="005976E9">
        <w:t xml:space="preserve"> initiatives like the International Medical Devi</w:t>
      </w:r>
      <w:r w:rsidR="00B1296E" w:rsidRPr="005976E9">
        <w:t>ce Regulators Forum (IMDRF)</w:t>
      </w:r>
      <w:r w:rsidR="00042363" w:rsidRPr="005976E9">
        <w:t xml:space="preserve"> and International Medical Device Safety Updates Forum. These platforms </w:t>
      </w:r>
      <w:r w:rsidR="0056497E" w:rsidRPr="005976E9">
        <w:t>enable</w:t>
      </w:r>
      <w:r w:rsidR="00042363" w:rsidRPr="005976E9">
        <w:t xml:space="preserve"> </w:t>
      </w:r>
      <w:r w:rsidR="0056497E" w:rsidRPr="005976E9">
        <w:t xml:space="preserve">comparable regulatory agencies worldwide to share </w:t>
      </w:r>
      <w:r w:rsidR="00EC1CFD" w:rsidRPr="005976E9">
        <w:t>data, insights</w:t>
      </w:r>
      <w:r w:rsidR="0056497E" w:rsidRPr="005976E9">
        <w:t xml:space="preserve"> and safety signals, fostering a collaborative environment for</w:t>
      </w:r>
      <w:r w:rsidR="009F436D" w:rsidRPr="005976E9">
        <w:t xml:space="preserve"> improving</w:t>
      </w:r>
      <w:r w:rsidR="000508EB" w:rsidRPr="005976E9">
        <w:t xml:space="preserve"> global medical device </w:t>
      </w:r>
      <w:r w:rsidR="0067167D" w:rsidRPr="005976E9">
        <w:t xml:space="preserve">safety. </w:t>
      </w:r>
      <w:r w:rsidR="00CD2237" w:rsidRPr="005976E9">
        <w:t>The information from overseas regulators can be useful for general signal detection by providing early indications of potential safety concerns or emerging issues related to medical devices.</w:t>
      </w:r>
      <w:r w:rsidR="006A27F9" w:rsidRPr="005976E9">
        <w:t xml:space="preserve"> </w:t>
      </w:r>
      <w:r w:rsidR="00CD2237" w:rsidRPr="005976E9">
        <w:t xml:space="preserve">Data from global sources may help identify broader trends, such as increased performance issues or adverse events associated with </w:t>
      </w:r>
      <w:r w:rsidR="0087481A" w:rsidRPr="005976E9">
        <w:t xml:space="preserve">a </w:t>
      </w:r>
      <w:r w:rsidR="00CD2237" w:rsidRPr="005976E9">
        <w:t xml:space="preserve">particular category of devices. </w:t>
      </w:r>
    </w:p>
    <w:p w14:paraId="4C19FD6E" w14:textId="201C9DC7" w:rsidR="00F03D8B" w:rsidRDefault="0067167D" w:rsidP="00F03D8B">
      <w:r w:rsidRPr="005976E9">
        <w:t xml:space="preserve">While these collaborations are crucial for global regulatory harmonisation, </w:t>
      </w:r>
      <w:r w:rsidR="00165CEC" w:rsidRPr="005976E9">
        <w:t xml:space="preserve">the TGA’s ability to act solely on overseas data is limited by its regulatory jurisdiction. </w:t>
      </w:r>
      <w:r w:rsidR="00CD2237" w:rsidRPr="005976E9">
        <w:t>T</w:t>
      </w:r>
      <w:r w:rsidR="00233454" w:rsidRPr="005976E9">
        <w:t xml:space="preserve">he TGA does not have the authority to </w:t>
      </w:r>
      <w:r w:rsidR="00B611F9" w:rsidRPr="005976E9">
        <w:t xml:space="preserve">directly </w:t>
      </w:r>
      <w:r w:rsidR="00233454" w:rsidRPr="005976E9">
        <w:t xml:space="preserve">act on </w:t>
      </w:r>
      <w:r w:rsidR="000A1573" w:rsidRPr="005976E9">
        <w:t xml:space="preserve">events occurring outside Australia. </w:t>
      </w:r>
      <w:r w:rsidR="00C3142E" w:rsidRPr="005976E9">
        <w:t xml:space="preserve">Any regulatory actions in </w:t>
      </w:r>
      <w:r w:rsidR="00FA5C8A" w:rsidRPr="005976E9">
        <w:t>Australia</w:t>
      </w:r>
      <w:r w:rsidR="00C3142E" w:rsidRPr="005976E9">
        <w:t xml:space="preserve"> must be supported by do</w:t>
      </w:r>
      <w:r w:rsidR="00A12B6B" w:rsidRPr="005976E9">
        <w:t xml:space="preserve">mestic data or evidence </w:t>
      </w:r>
      <w:r w:rsidR="006F1D03" w:rsidRPr="005976E9">
        <w:t xml:space="preserve">and </w:t>
      </w:r>
      <w:r w:rsidR="00A12B6B" w:rsidRPr="005976E9">
        <w:t xml:space="preserve">align with </w:t>
      </w:r>
      <w:r w:rsidR="00E84636" w:rsidRPr="005976E9">
        <w:t xml:space="preserve">the </w:t>
      </w:r>
      <w:r w:rsidR="00A72405" w:rsidRPr="005976E9">
        <w:rPr>
          <w:i/>
          <w:iCs/>
        </w:rPr>
        <w:t>Therapeutic Goods Act 1989</w:t>
      </w:r>
      <w:r w:rsidR="006F1D03" w:rsidRPr="005976E9">
        <w:t>.</w:t>
      </w:r>
      <w:r w:rsidR="00CE1E01" w:rsidRPr="005976E9">
        <w:t xml:space="preserve"> </w:t>
      </w:r>
      <w:r w:rsidR="00140BA7" w:rsidRPr="005976E9">
        <w:t xml:space="preserve">Overseas reports also </w:t>
      </w:r>
      <w:r w:rsidR="00B91CD8" w:rsidRPr="005976E9">
        <w:t>reflect</w:t>
      </w:r>
      <w:r w:rsidR="00140BA7" w:rsidRPr="005976E9">
        <w:t xml:space="preserve"> different healthcare systems</w:t>
      </w:r>
      <w:r w:rsidR="00AC7BFE" w:rsidRPr="005976E9">
        <w:t xml:space="preserve">, </w:t>
      </w:r>
      <w:r w:rsidR="00140BA7" w:rsidRPr="005976E9">
        <w:t>patient populations</w:t>
      </w:r>
      <w:r w:rsidR="00AC3B0F" w:rsidRPr="005976E9">
        <w:t xml:space="preserve">, </w:t>
      </w:r>
      <w:r w:rsidR="00140BA7" w:rsidRPr="005976E9">
        <w:t xml:space="preserve">and regulatory frameworks, which may not align with Australian conditions. </w:t>
      </w:r>
      <w:r w:rsidR="0058072B" w:rsidRPr="005976E9">
        <w:t xml:space="preserve">Medical device models supplied in overseas markets may vary significantly in design, manufacturing, or intended use. As a result, the performance and safety profiles of products can differ across regions. </w:t>
      </w:r>
      <w:r w:rsidR="003A7B74" w:rsidRPr="005976E9">
        <w:t>Therefore</w:t>
      </w:r>
      <w:r w:rsidR="000A1573" w:rsidRPr="005976E9">
        <w:t>, the data fr</w:t>
      </w:r>
      <w:r w:rsidR="007B210A" w:rsidRPr="005976E9">
        <w:t>o</w:t>
      </w:r>
      <w:r w:rsidR="000A1573" w:rsidRPr="005976E9">
        <w:t xml:space="preserve">m other </w:t>
      </w:r>
      <w:r w:rsidR="003A7B74" w:rsidRPr="005976E9">
        <w:t>jurisdictions</w:t>
      </w:r>
      <w:r w:rsidR="000A1573" w:rsidRPr="005976E9">
        <w:t xml:space="preserve"> cannot directly </w:t>
      </w:r>
      <w:r w:rsidR="00995B4A" w:rsidRPr="005976E9">
        <w:t xml:space="preserve">inform the regulatory action within </w:t>
      </w:r>
      <w:r w:rsidR="009D0AD8" w:rsidRPr="005976E9">
        <w:t>Australia</w:t>
      </w:r>
      <w:r w:rsidR="007D5C29" w:rsidRPr="005976E9">
        <w:t xml:space="preserve"> and can be used </w:t>
      </w:r>
      <w:r w:rsidR="0087481A" w:rsidRPr="005976E9">
        <w:t xml:space="preserve">only </w:t>
      </w:r>
      <w:r w:rsidR="007D5C29" w:rsidRPr="005976E9">
        <w:t xml:space="preserve">as a supplementary source </w:t>
      </w:r>
      <w:r w:rsidR="00B91CD8" w:rsidRPr="005976E9">
        <w:t>to enhance the TGA’s signal detection capabilities.</w:t>
      </w:r>
      <w:r w:rsidR="0070307A">
        <w:t xml:space="preserve"> </w:t>
      </w:r>
      <w:r w:rsidR="00290C1B">
        <w:br/>
      </w:r>
    </w:p>
    <w:p w14:paraId="1EF95C51" w14:textId="77777777" w:rsidR="006F0554" w:rsidRPr="005976E9" w:rsidRDefault="006F0554" w:rsidP="006F0554">
      <w:pPr>
        <w:pStyle w:val="Heading3"/>
      </w:pPr>
      <w:bookmarkStart w:id="58" w:name="_Toc188012854"/>
      <w:r w:rsidRPr="005976E9">
        <w:t>Streamlined reporting tools</w:t>
      </w:r>
      <w:bookmarkEnd w:id="58"/>
    </w:p>
    <w:p w14:paraId="5F575662" w14:textId="4AD8C662" w:rsidR="006F0554" w:rsidRDefault="00BD04AB" w:rsidP="006F0554">
      <w:r w:rsidRPr="005976E9">
        <w:t xml:space="preserve">The Senate </w:t>
      </w:r>
      <w:r w:rsidR="00784304" w:rsidRPr="005976E9">
        <w:t>I</w:t>
      </w:r>
      <w:r w:rsidRPr="005976E9">
        <w:t xml:space="preserve">nquiry highlighted that many women </w:t>
      </w:r>
      <w:r w:rsidR="0087481A" w:rsidRPr="005976E9">
        <w:t xml:space="preserve">who experienced adverse outcomes related to mesh implants </w:t>
      </w:r>
      <w:r w:rsidRPr="005976E9">
        <w:t xml:space="preserve">faced significant </w:t>
      </w:r>
      <w:r w:rsidR="0087481A" w:rsidRPr="005976E9">
        <w:t xml:space="preserve">reporting </w:t>
      </w:r>
      <w:r w:rsidRPr="005976E9">
        <w:t>barriers. These challenges included</w:t>
      </w:r>
      <w:r w:rsidR="003F7F58" w:rsidRPr="005976E9">
        <w:t xml:space="preserve"> a lack of awareness of reporting mechanisms and difficulty navigating complex reporting systems</w:t>
      </w:r>
      <w:r w:rsidR="0056177D" w:rsidRPr="005976E9">
        <w:t>. In response to these issues</w:t>
      </w:r>
      <w:r w:rsidR="001A0A1C" w:rsidRPr="005976E9">
        <w:t xml:space="preserve">, the TGA released the </w:t>
      </w:r>
      <w:r w:rsidR="001A0A1C" w:rsidRPr="005976E9">
        <w:rPr>
          <w:i/>
          <w:iCs/>
        </w:rPr>
        <w:t xml:space="preserve">Action Plan </w:t>
      </w:r>
      <w:r w:rsidR="00BD1A8C" w:rsidRPr="005976E9">
        <w:rPr>
          <w:i/>
          <w:iCs/>
        </w:rPr>
        <w:t>for</w:t>
      </w:r>
      <w:r w:rsidR="001A0A1C" w:rsidRPr="005976E9">
        <w:rPr>
          <w:i/>
          <w:iCs/>
        </w:rPr>
        <w:t xml:space="preserve"> Medical Devices in 2019</w:t>
      </w:r>
      <w:r w:rsidR="001A0A1C" w:rsidRPr="005976E9">
        <w:t>. A core focus of the action plan was to enhance</w:t>
      </w:r>
      <w:r w:rsidR="00AE1FF0" w:rsidRPr="005976E9">
        <w:t xml:space="preserve"> the accessibility and usability of adverse event reporting mechanisms. </w:t>
      </w:r>
      <w:r w:rsidR="00BD1A8C" w:rsidRPr="005976E9">
        <w:t>This commitment led to t</w:t>
      </w:r>
      <w:r w:rsidR="00321A1D" w:rsidRPr="005976E9">
        <w:t xml:space="preserve">he </w:t>
      </w:r>
      <w:r w:rsidR="00BD1A8C" w:rsidRPr="005976E9">
        <w:t>development of</w:t>
      </w:r>
      <w:r w:rsidR="00321A1D" w:rsidRPr="005976E9">
        <w:t xml:space="preserve"> </w:t>
      </w:r>
      <w:r w:rsidR="006F0554" w:rsidRPr="005976E9">
        <w:t>simplified online</w:t>
      </w:r>
      <w:r w:rsidR="00726244" w:rsidRPr="005976E9">
        <w:t xml:space="preserve"> reportin</w:t>
      </w:r>
      <w:r w:rsidR="001C0E1B" w:rsidRPr="005976E9">
        <w:t>g</w:t>
      </w:r>
      <w:r w:rsidR="006F0554" w:rsidRPr="005976E9">
        <w:t xml:space="preserve"> forms for health professionals and </w:t>
      </w:r>
      <w:r w:rsidR="00321A1D" w:rsidRPr="005976E9">
        <w:t>consumers</w:t>
      </w:r>
      <w:r w:rsidR="006F0554" w:rsidRPr="005976E9">
        <w:t xml:space="preserve"> in 2019 to </w:t>
      </w:r>
      <w:r w:rsidR="006B2720" w:rsidRPr="005976E9">
        <w:t xml:space="preserve">encourage </w:t>
      </w:r>
      <w:r w:rsidR="00FE5E5B" w:rsidRPr="005976E9">
        <w:t xml:space="preserve">completion </w:t>
      </w:r>
      <w:r w:rsidR="00A83338" w:rsidRPr="005976E9">
        <w:t xml:space="preserve">and </w:t>
      </w:r>
      <w:r w:rsidR="006F0554" w:rsidRPr="005976E9">
        <w:t xml:space="preserve">make </w:t>
      </w:r>
      <w:r w:rsidR="00321A1D" w:rsidRPr="005976E9">
        <w:t>reporting</w:t>
      </w:r>
      <w:r w:rsidR="006F0554" w:rsidRPr="005976E9">
        <w:t xml:space="preserve"> of adverse events more user friendly, </w:t>
      </w:r>
      <w:r w:rsidR="0087481A" w:rsidRPr="005976E9">
        <w:t xml:space="preserve">while also </w:t>
      </w:r>
      <w:r w:rsidR="006F0554" w:rsidRPr="005976E9">
        <w:t xml:space="preserve">reducing </w:t>
      </w:r>
      <w:r w:rsidR="0087481A" w:rsidRPr="005976E9">
        <w:t xml:space="preserve">the </w:t>
      </w:r>
      <w:r w:rsidR="006F0554" w:rsidRPr="005976E9">
        <w:t xml:space="preserve">administrative burden for healthcare providers and </w:t>
      </w:r>
      <w:r w:rsidR="00321A1D" w:rsidRPr="005976E9">
        <w:t>consumers</w:t>
      </w:r>
      <w:r w:rsidR="008608D0" w:rsidRPr="005976E9">
        <w:t xml:space="preserve">. </w:t>
      </w:r>
      <w:r w:rsidR="006F0554" w:rsidRPr="005976E9">
        <w:t xml:space="preserve">These systems were designed to encourage higher reporting rates by making the process accessible. While these tools improved the ease of submitting reports, they did not address the fundamental </w:t>
      </w:r>
      <w:r w:rsidR="00321A1D" w:rsidRPr="005976E9">
        <w:t>issue of</w:t>
      </w:r>
      <w:r w:rsidR="006F0554" w:rsidRPr="005976E9">
        <w:t xml:space="preserve"> under </w:t>
      </w:r>
      <w:r w:rsidR="00321A1D" w:rsidRPr="005976E9">
        <w:t>reporting</w:t>
      </w:r>
      <w:r w:rsidR="006F0554" w:rsidRPr="005976E9">
        <w:t xml:space="preserve"> and lack of timely signals. Without an obligation to report, stakeholders did not </w:t>
      </w:r>
      <w:r w:rsidR="00321A1D" w:rsidRPr="005976E9">
        <w:t>engage</w:t>
      </w:r>
      <w:r w:rsidR="006F0554" w:rsidRPr="005976E9">
        <w:t xml:space="preserve"> systematically. The </w:t>
      </w:r>
      <w:r w:rsidR="00321A1D" w:rsidRPr="005976E9">
        <w:t>voluntary</w:t>
      </w:r>
      <w:r w:rsidR="006F0554" w:rsidRPr="005976E9">
        <w:t xml:space="preserve"> approach led to inconsistent </w:t>
      </w:r>
      <w:r w:rsidR="00321A1D" w:rsidRPr="005976E9">
        <w:t>reporting</w:t>
      </w:r>
      <w:r w:rsidR="006F0554" w:rsidRPr="005976E9">
        <w:t xml:space="preserve"> undermining the </w:t>
      </w:r>
      <w:r w:rsidR="00321A1D" w:rsidRPr="005976E9">
        <w:t>efforts</w:t>
      </w:r>
      <w:r w:rsidR="006F0554" w:rsidRPr="005976E9">
        <w:t xml:space="preserve"> to build a comprehensive dataset for signal detection and regulatory action.</w:t>
      </w:r>
      <w:r w:rsidR="00A5144E" w:rsidRPr="005976E9">
        <w:rPr>
          <w:rStyle w:val="FootnoteReference"/>
        </w:rPr>
        <w:footnoteReference w:id="45"/>
      </w:r>
      <w:r w:rsidR="003B0ABE" w:rsidRPr="005976E9">
        <w:t xml:space="preserve"> </w:t>
      </w:r>
    </w:p>
    <w:p w14:paraId="3C806D2A" w14:textId="77777777" w:rsidR="003672C9" w:rsidRPr="001B34CA" w:rsidRDefault="003672C9" w:rsidP="006F0554">
      <w:pPr>
        <w:rPr>
          <w:vertAlign w:val="subscript"/>
        </w:rPr>
      </w:pPr>
    </w:p>
    <w:p w14:paraId="7CA53DCE" w14:textId="77777777" w:rsidR="009E159E" w:rsidRDefault="009E159E" w:rsidP="009E159E">
      <w:pPr>
        <w:pStyle w:val="Heading3"/>
      </w:pPr>
      <w:bookmarkStart w:id="59" w:name="_Toc179531306"/>
      <w:bookmarkStart w:id="60" w:name="_Toc188012855"/>
      <w:r>
        <w:t>Regulatory tools available to intervene</w:t>
      </w:r>
      <w:bookmarkEnd w:id="59"/>
      <w:bookmarkEnd w:id="60"/>
    </w:p>
    <w:p w14:paraId="6A40FA40" w14:textId="77777777" w:rsidR="009E159E" w:rsidRDefault="009E159E" w:rsidP="009E159E">
      <w:r>
        <w:t xml:space="preserve">The </w:t>
      </w:r>
      <w:r w:rsidRPr="008C1661">
        <w:rPr>
          <w:i/>
          <w:iCs/>
        </w:rPr>
        <w:t>Therapeutic Goods Act 1989</w:t>
      </w:r>
      <w:r>
        <w:t xml:space="preserve"> provides the legislative basis for the regulation of therapeutic goods in Australia. More specifically, the Act prescribes mandatory reporting of adverse events involving </w:t>
      </w:r>
      <w:r>
        <w:lastRenderedPageBreak/>
        <w:t xml:space="preserve">medical devices. The </w:t>
      </w:r>
      <w:r w:rsidRPr="002E1D49">
        <w:rPr>
          <w:i/>
          <w:iCs/>
        </w:rPr>
        <w:t xml:space="preserve">Therapeutic Goods Amendment </w:t>
      </w:r>
      <w:r>
        <w:rPr>
          <w:i/>
          <w:iCs/>
        </w:rPr>
        <w:t>(</w:t>
      </w:r>
      <w:r w:rsidRPr="002E1D49">
        <w:rPr>
          <w:i/>
          <w:iCs/>
        </w:rPr>
        <w:t>2022 Measures No.1) Bill</w:t>
      </w:r>
      <w:r>
        <w:t xml:space="preserve"> 2023 provides a framework for the mandatory reporting of medical device adverse events by healthcare facilities (principally public and private hospitals) in specified circumstance (e.g., where the use of a reportable device in a hospital has resulted in a person’s death or serious health deterioration), to enhance patient safety and improve the safe use of medical devices.</w:t>
      </w:r>
    </w:p>
    <w:p w14:paraId="1F5F50F3" w14:textId="5346794E" w:rsidR="004134FE" w:rsidRDefault="004134FE" w:rsidP="004134FE">
      <w:pPr>
        <w:pStyle w:val="Heading3"/>
      </w:pPr>
      <w:bookmarkStart w:id="61" w:name="_Toc179531307"/>
      <w:bookmarkStart w:id="62" w:name="_Toc188012856"/>
      <w:r>
        <w:t>The Government/TGA’s Objectives</w:t>
      </w:r>
      <w:bookmarkEnd w:id="61"/>
      <w:bookmarkEnd w:id="62"/>
    </w:p>
    <w:p w14:paraId="26B14CC6" w14:textId="77777777" w:rsidR="004134FE" w:rsidRDefault="004134FE" w:rsidP="004134FE">
      <w:r>
        <w:t xml:space="preserve">The objectives of the Government’s actions are to: </w:t>
      </w:r>
    </w:p>
    <w:p w14:paraId="2EC4AD04" w14:textId="1D6F5621" w:rsidR="00502CDE" w:rsidRDefault="00502CDE" w:rsidP="004134FE">
      <w:pPr>
        <w:pStyle w:val="Bullet1"/>
      </w:pPr>
      <w:r>
        <w:t>enhance patient safety and improve the safe use of medical devices by introducing a framework for the mandatory reporting o</w:t>
      </w:r>
      <w:r w:rsidR="00F973AF">
        <w:t>f</w:t>
      </w:r>
      <w:r>
        <w:t xml:space="preserve"> adverse events involving medical devices, </w:t>
      </w:r>
      <w:r w:rsidR="00AF070F">
        <w:t>principally by hospitals</w:t>
      </w:r>
      <w:r w:rsidR="00844C62">
        <w:rPr>
          <w:rStyle w:val="FootnoteReference"/>
        </w:rPr>
        <w:footnoteReference w:id="46"/>
      </w:r>
      <w:r w:rsidR="00F973AF">
        <w:t>.</w:t>
      </w:r>
    </w:p>
    <w:p w14:paraId="6AD1A9D6" w14:textId="77777777" w:rsidR="004134FE" w:rsidRDefault="004134FE" w:rsidP="004134FE">
      <w:pPr>
        <w:pStyle w:val="Heading3"/>
      </w:pPr>
      <w:bookmarkStart w:id="63" w:name="_Toc179531308"/>
      <w:bookmarkStart w:id="64" w:name="_Toc188012857"/>
      <w:r>
        <w:t>Government intentions</w:t>
      </w:r>
      <w:bookmarkEnd w:id="63"/>
      <w:bookmarkEnd w:id="64"/>
    </w:p>
    <w:p w14:paraId="086D603F" w14:textId="77777777" w:rsidR="004134FE" w:rsidRDefault="004134FE" w:rsidP="004134FE">
      <w:r>
        <w:t>The aim of the legislation and associated regulations is to enhance the capacity of the TGA to:</w:t>
      </w:r>
    </w:p>
    <w:p w14:paraId="6711FAC5" w14:textId="77777777" w:rsidR="004134FE" w:rsidRDefault="004134FE" w:rsidP="004134FE">
      <w:pPr>
        <w:pStyle w:val="Bullet1"/>
      </w:pPr>
      <w:r>
        <w:t>more rapidly identify and respond to significant issues associated with medical devices that impact upon the quality of care and life experienced by Australian consumers</w:t>
      </w:r>
    </w:p>
    <w:p w14:paraId="37CE4603" w14:textId="3D8E04AE" w:rsidR="004134FE" w:rsidRDefault="004134FE" w:rsidP="004134FE">
      <w:pPr>
        <w:pStyle w:val="Bullet1"/>
      </w:pPr>
      <w:r>
        <w:t xml:space="preserve">more systematically identify emerging signals that could indicate potential </w:t>
      </w:r>
      <w:r w:rsidR="00C739F2">
        <w:t xml:space="preserve">risks </w:t>
      </w:r>
      <w:r>
        <w:t>to the quality of care o</w:t>
      </w:r>
      <w:r w:rsidR="008F73EF">
        <w:t>r</w:t>
      </w:r>
      <w:r>
        <w:t xml:space="preserve"> quality of life experienced by Australians</w:t>
      </w:r>
    </w:p>
    <w:p w14:paraId="7F60B0E3" w14:textId="41B5C561" w:rsidR="004134FE" w:rsidRDefault="004134FE" w:rsidP="004134FE">
      <w:pPr>
        <w:pStyle w:val="Bullet1"/>
      </w:pPr>
      <w:r>
        <w:t xml:space="preserve">undertake more timely and comprehensive analysis and </w:t>
      </w:r>
      <w:r w:rsidR="00C10EA5">
        <w:t>informa</w:t>
      </w:r>
      <w:r w:rsidR="000F411E">
        <w:t xml:space="preserve">tion-sharing </w:t>
      </w:r>
      <w:r>
        <w:t>of information between governments and healthcare organisations</w:t>
      </w:r>
    </w:p>
    <w:p w14:paraId="3B6EDF77" w14:textId="77777777" w:rsidR="004134FE" w:rsidRDefault="004134FE" w:rsidP="004134FE">
      <w:pPr>
        <w:pStyle w:val="Bullet1"/>
      </w:pPr>
      <w:r>
        <w:t>minimise the ongoing burden of data collection placed upon individual healthcare facilities by requiring a minimal amount of information to support further follow-up by the regulator or product sponsors.</w:t>
      </w:r>
    </w:p>
    <w:p w14:paraId="696CC5E0" w14:textId="6A26DEE5" w:rsidR="004134FE" w:rsidRDefault="004134FE" w:rsidP="004134FE">
      <w:pPr>
        <w:pStyle w:val="Bullet1"/>
      </w:pPr>
      <w:r>
        <w:t xml:space="preserve">provision of more </w:t>
      </w:r>
      <w:r w:rsidR="00C739F2">
        <w:t xml:space="preserve">timely </w:t>
      </w:r>
      <w:r>
        <w:t xml:space="preserve">information to healthcare providers about possible </w:t>
      </w:r>
      <w:r w:rsidR="00C739F2">
        <w:t xml:space="preserve">risks </w:t>
      </w:r>
      <w:r>
        <w:t>to patient and professional safety.</w:t>
      </w:r>
    </w:p>
    <w:p w14:paraId="0CF014CB" w14:textId="2E134C0C" w:rsidR="004134FE" w:rsidRDefault="004134FE" w:rsidP="004134FE">
      <w:pPr>
        <w:pStyle w:val="Bullet1"/>
        <w:numPr>
          <w:ilvl w:val="0"/>
          <w:numId w:val="0"/>
        </w:numPr>
      </w:pPr>
      <w:r>
        <w:t xml:space="preserve">In </w:t>
      </w:r>
      <w:r w:rsidR="00E00CBA">
        <w:t>addition, the</w:t>
      </w:r>
      <w:r w:rsidR="00E82F0A">
        <w:t xml:space="preserve"> inf</w:t>
      </w:r>
      <w:r w:rsidR="00E3470A">
        <w:t xml:space="preserve">ormation could be used to </w:t>
      </w:r>
      <w:r>
        <w:t xml:space="preserve">actively compare adverse event reports received by health professionals or healthcare facilities with those reported </w:t>
      </w:r>
      <w:r w:rsidR="00FC37B6">
        <w:t>by device</w:t>
      </w:r>
      <w:r w:rsidR="00E3470A">
        <w:t xml:space="preserve"> </w:t>
      </w:r>
      <w:r>
        <w:t>manufacturers to monitor compliance with reporting requirements, and to ascertain and address potential gaps in reporting by different stakeholders</w:t>
      </w:r>
      <w:r w:rsidR="00271B5C">
        <w:t>.</w:t>
      </w:r>
      <w:r w:rsidR="00421F22">
        <w:rPr>
          <w:rStyle w:val="FootnoteReference"/>
        </w:rPr>
        <w:footnoteReference w:id="47"/>
      </w:r>
    </w:p>
    <w:p w14:paraId="715D35D1" w14:textId="77777777" w:rsidR="00B43EA8" w:rsidRDefault="00B43EA8" w:rsidP="00B43EA8">
      <w:pPr>
        <w:pStyle w:val="Heading3"/>
      </w:pPr>
      <w:bookmarkStart w:id="65" w:name="_Toc179531309"/>
      <w:bookmarkStart w:id="66" w:name="_Toc188012858"/>
      <w:bookmarkStart w:id="67" w:name="_Toc156375141"/>
      <w:r>
        <w:t>What would success look like?</w:t>
      </w:r>
      <w:bookmarkEnd w:id="65"/>
      <w:bookmarkEnd w:id="66"/>
    </w:p>
    <w:p w14:paraId="6920D07D" w14:textId="77777777" w:rsidR="00083E1C" w:rsidRDefault="000B74A1" w:rsidP="0039599B">
      <w:r>
        <w:t xml:space="preserve">Overall, </w:t>
      </w:r>
      <w:r w:rsidR="00273A02">
        <w:t>success of government intervention would see</w:t>
      </w:r>
      <w:r w:rsidR="00083E1C">
        <w:t>:</w:t>
      </w:r>
    </w:p>
    <w:p w14:paraId="7BB89682" w14:textId="2CDEEAC1"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increased volume of reported medical device adverse events by healthcare facilities</w:t>
      </w:r>
      <w:r w:rsidR="00CE3D38">
        <w:rPr>
          <w:rFonts w:ascii="Arial" w:hAnsi="Arial" w:cs="Arial"/>
          <w:bCs/>
          <w:sz w:val="20"/>
          <w:szCs w:val="20"/>
        </w:rPr>
        <w:t xml:space="preserve"> over a given period</w:t>
      </w:r>
      <w:r w:rsidRPr="00CB1FA8">
        <w:rPr>
          <w:rFonts w:ascii="Arial" w:hAnsi="Arial" w:cs="Arial"/>
          <w:bCs/>
          <w:sz w:val="20"/>
          <w:szCs w:val="20"/>
        </w:rPr>
        <w:t xml:space="preserve"> –A higher volume of reported incidents would indicate that health care facilities are actively identifying and documenting adverse events.</w:t>
      </w:r>
    </w:p>
    <w:p w14:paraId="7372F3A8" w14:textId="2B20987F"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 xml:space="preserve">timelier signal detection of medical device adverse events as they occur – </w:t>
      </w:r>
      <w:r w:rsidR="00252846">
        <w:rPr>
          <w:rFonts w:ascii="Arial" w:hAnsi="Arial" w:cs="Arial"/>
          <w:bCs/>
          <w:sz w:val="20"/>
          <w:szCs w:val="20"/>
        </w:rPr>
        <w:t xml:space="preserve">A well-functioning </w:t>
      </w:r>
      <w:r w:rsidRPr="00CB1FA8">
        <w:rPr>
          <w:rFonts w:ascii="Arial" w:hAnsi="Arial" w:cs="Arial"/>
          <w:bCs/>
          <w:sz w:val="20"/>
          <w:szCs w:val="20"/>
        </w:rPr>
        <w:t>mandatory reporting system</w:t>
      </w:r>
      <w:r w:rsidR="00252846">
        <w:rPr>
          <w:rFonts w:ascii="Arial" w:hAnsi="Arial" w:cs="Arial"/>
          <w:bCs/>
          <w:sz w:val="20"/>
          <w:szCs w:val="20"/>
        </w:rPr>
        <w:t xml:space="preserve"> complemented by robust</w:t>
      </w:r>
      <w:r w:rsidRPr="00CB1FA8">
        <w:rPr>
          <w:rFonts w:ascii="Arial" w:hAnsi="Arial" w:cs="Arial"/>
          <w:bCs/>
          <w:sz w:val="20"/>
          <w:szCs w:val="20"/>
        </w:rPr>
        <w:t xml:space="preserve"> data analytics, </w:t>
      </w:r>
      <w:r w:rsidR="00252846">
        <w:rPr>
          <w:rFonts w:ascii="Arial" w:hAnsi="Arial" w:cs="Arial"/>
          <w:bCs/>
          <w:sz w:val="20"/>
          <w:szCs w:val="20"/>
        </w:rPr>
        <w:t xml:space="preserve">will enable </w:t>
      </w:r>
      <w:r w:rsidRPr="00CB1FA8">
        <w:rPr>
          <w:rFonts w:ascii="Arial" w:hAnsi="Arial" w:cs="Arial"/>
          <w:bCs/>
          <w:sz w:val="20"/>
          <w:szCs w:val="20"/>
        </w:rPr>
        <w:t xml:space="preserve">healthcare facilities and </w:t>
      </w:r>
      <w:r w:rsidR="00D80236" w:rsidRPr="00CB1FA8">
        <w:rPr>
          <w:rFonts w:ascii="Arial" w:hAnsi="Arial" w:cs="Arial"/>
          <w:bCs/>
          <w:sz w:val="20"/>
          <w:szCs w:val="20"/>
        </w:rPr>
        <w:t xml:space="preserve">the </w:t>
      </w:r>
      <w:r w:rsidRPr="00CB1FA8">
        <w:rPr>
          <w:rFonts w:ascii="Arial" w:hAnsi="Arial" w:cs="Arial"/>
          <w:bCs/>
          <w:sz w:val="20"/>
          <w:szCs w:val="20"/>
        </w:rPr>
        <w:t xml:space="preserve">TGA </w:t>
      </w:r>
      <w:r w:rsidR="00252846">
        <w:rPr>
          <w:rFonts w:ascii="Arial" w:hAnsi="Arial" w:cs="Arial"/>
          <w:bCs/>
          <w:sz w:val="20"/>
          <w:szCs w:val="20"/>
        </w:rPr>
        <w:t>to</w:t>
      </w:r>
      <w:r w:rsidRPr="00CB1FA8">
        <w:rPr>
          <w:rFonts w:ascii="Arial" w:hAnsi="Arial" w:cs="Arial"/>
          <w:bCs/>
          <w:sz w:val="20"/>
          <w:szCs w:val="20"/>
        </w:rPr>
        <w:t xml:space="preserve"> identify signals of potential issues more quickly. This allows for </w:t>
      </w:r>
      <w:r w:rsidR="00252846">
        <w:rPr>
          <w:rFonts w:ascii="Arial" w:hAnsi="Arial" w:cs="Arial"/>
          <w:bCs/>
          <w:sz w:val="20"/>
          <w:szCs w:val="20"/>
        </w:rPr>
        <w:lastRenderedPageBreak/>
        <w:t xml:space="preserve">appropriate </w:t>
      </w:r>
      <w:r w:rsidRPr="00CB1FA8">
        <w:rPr>
          <w:rFonts w:ascii="Arial" w:hAnsi="Arial" w:cs="Arial"/>
          <w:bCs/>
          <w:sz w:val="20"/>
          <w:szCs w:val="20"/>
        </w:rPr>
        <w:t xml:space="preserve">interventions and </w:t>
      </w:r>
      <w:r w:rsidR="00252846">
        <w:rPr>
          <w:rFonts w:ascii="Arial" w:hAnsi="Arial" w:cs="Arial"/>
          <w:bCs/>
          <w:sz w:val="20"/>
          <w:szCs w:val="20"/>
        </w:rPr>
        <w:t xml:space="preserve">rapid </w:t>
      </w:r>
      <w:r w:rsidRPr="00CB1FA8">
        <w:rPr>
          <w:rFonts w:ascii="Arial" w:hAnsi="Arial" w:cs="Arial"/>
          <w:bCs/>
          <w:sz w:val="20"/>
          <w:szCs w:val="20"/>
        </w:rPr>
        <w:t>corrective actions,</w:t>
      </w:r>
      <w:r w:rsidR="00252846">
        <w:rPr>
          <w:rFonts w:ascii="Arial" w:hAnsi="Arial" w:cs="Arial"/>
          <w:bCs/>
          <w:sz w:val="20"/>
          <w:szCs w:val="20"/>
        </w:rPr>
        <w:t xml:space="preserve"> which</w:t>
      </w:r>
      <w:r w:rsidRPr="00CB1FA8">
        <w:rPr>
          <w:rFonts w:ascii="Arial" w:hAnsi="Arial" w:cs="Arial"/>
          <w:bCs/>
          <w:sz w:val="20"/>
          <w:szCs w:val="20"/>
        </w:rPr>
        <w:t xml:space="preserve"> </w:t>
      </w:r>
      <w:r w:rsidR="00252846">
        <w:rPr>
          <w:rFonts w:ascii="Arial" w:hAnsi="Arial" w:cs="Arial"/>
          <w:bCs/>
          <w:sz w:val="20"/>
          <w:szCs w:val="20"/>
        </w:rPr>
        <w:t>reduces</w:t>
      </w:r>
      <w:r w:rsidRPr="00CB1FA8">
        <w:rPr>
          <w:rFonts w:ascii="Arial" w:hAnsi="Arial" w:cs="Arial"/>
          <w:bCs/>
          <w:sz w:val="20"/>
          <w:szCs w:val="20"/>
        </w:rPr>
        <w:t xml:space="preserve"> the impact of adverse events.</w:t>
      </w:r>
    </w:p>
    <w:p w14:paraId="1BFA6CBE" w14:textId="59A9B257"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improved identification of rarer events and potential emerging issues across the country – A comprehensive reporting system would enable nationwide surveillance</w:t>
      </w:r>
      <w:r w:rsidR="00252846">
        <w:rPr>
          <w:rFonts w:ascii="Arial" w:hAnsi="Arial" w:cs="Arial"/>
          <w:bCs/>
          <w:sz w:val="20"/>
          <w:szCs w:val="20"/>
        </w:rPr>
        <w:t>. D</w:t>
      </w:r>
      <w:r w:rsidRPr="00CB1FA8">
        <w:rPr>
          <w:rFonts w:ascii="Arial" w:hAnsi="Arial" w:cs="Arial"/>
          <w:bCs/>
          <w:sz w:val="20"/>
          <w:szCs w:val="20"/>
        </w:rPr>
        <w:t>ata from diverse healthcare settings and regions</w:t>
      </w:r>
      <w:r w:rsidR="00252846">
        <w:rPr>
          <w:rFonts w:ascii="Arial" w:hAnsi="Arial" w:cs="Arial"/>
          <w:bCs/>
          <w:sz w:val="20"/>
          <w:szCs w:val="20"/>
        </w:rPr>
        <w:t xml:space="preserve"> can be captured,</w:t>
      </w:r>
      <w:r w:rsidRPr="00CB1FA8">
        <w:rPr>
          <w:rFonts w:ascii="Arial" w:hAnsi="Arial" w:cs="Arial"/>
          <w:bCs/>
          <w:sz w:val="20"/>
          <w:szCs w:val="20"/>
        </w:rPr>
        <w:t xml:space="preserve"> increasing the likelihood of detecting rare events. Identifying rarer events and emerging issues is </w:t>
      </w:r>
      <w:r w:rsidR="00252846">
        <w:rPr>
          <w:rFonts w:ascii="Arial" w:hAnsi="Arial" w:cs="Arial"/>
          <w:bCs/>
          <w:sz w:val="20"/>
          <w:szCs w:val="20"/>
        </w:rPr>
        <w:t>important</w:t>
      </w:r>
      <w:r w:rsidRPr="00CB1FA8">
        <w:rPr>
          <w:rFonts w:ascii="Arial" w:hAnsi="Arial" w:cs="Arial"/>
          <w:bCs/>
          <w:sz w:val="20"/>
          <w:szCs w:val="20"/>
        </w:rPr>
        <w:t xml:space="preserve"> for understanding the full scope of risks associated with medical devices.</w:t>
      </w:r>
    </w:p>
    <w:p w14:paraId="712A8079" w14:textId="78CDDB3F"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 xml:space="preserve">earlier regulatory responses to address safety concerns – Earlier detection </w:t>
      </w:r>
      <w:r w:rsidR="00252846">
        <w:rPr>
          <w:rFonts w:ascii="Arial" w:hAnsi="Arial" w:cs="Arial"/>
          <w:bCs/>
          <w:sz w:val="20"/>
          <w:szCs w:val="20"/>
        </w:rPr>
        <w:t xml:space="preserve">of issues with medical devices </w:t>
      </w:r>
      <w:r w:rsidRPr="00CB1FA8">
        <w:rPr>
          <w:rFonts w:ascii="Arial" w:hAnsi="Arial" w:cs="Arial"/>
          <w:bCs/>
          <w:sz w:val="20"/>
          <w:szCs w:val="20"/>
        </w:rPr>
        <w:t xml:space="preserve">through </w:t>
      </w:r>
      <w:r w:rsidR="00252846">
        <w:rPr>
          <w:rFonts w:ascii="Arial" w:hAnsi="Arial" w:cs="Arial"/>
          <w:bCs/>
          <w:sz w:val="20"/>
          <w:szCs w:val="20"/>
        </w:rPr>
        <w:t xml:space="preserve">the </w:t>
      </w:r>
      <w:r w:rsidRPr="00CB1FA8">
        <w:rPr>
          <w:rFonts w:ascii="Arial" w:hAnsi="Arial" w:cs="Arial"/>
          <w:bCs/>
          <w:sz w:val="20"/>
          <w:szCs w:val="20"/>
        </w:rPr>
        <w:t xml:space="preserve">mandatory reporting </w:t>
      </w:r>
      <w:r w:rsidR="00252846">
        <w:rPr>
          <w:rFonts w:ascii="Arial" w:hAnsi="Arial" w:cs="Arial"/>
          <w:bCs/>
          <w:sz w:val="20"/>
          <w:szCs w:val="20"/>
        </w:rPr>
        <w:t xml:space="preserve">scheme </w:t>
      </w:r>
      <w:r w:rsidRPr="00CB1FA8">
        <w:rPr>
          <w:rFonts w:ascii="Arial" w:hAnsi="Arial" w:cs="Arial"/>
          <w:bCs/>
          <w:sz w:val="20"/>
          <w:szCs w:val="20"/>
        </w:rPr>
        <w:t>would allow the TGA and health care facilities to take timely action, such as issue warnings, updating guidelines or recall actions on unsafe devices.</w:t>
      </w:r>
    </w:p>
    <w:p w14:paraId="068F9ECB" w14:textId="742127D8"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 xml:space="preserve">more frequent provision of information to healthcare facilities regarding alerts to patient and professional safety – </w:t>
      </w:r>
      <w:r w:rsidR="00252846">
        <w:rPr>
          <w:rFonts w:ascii="Arial" w:hAnsi="Arial" w:cs="Arial"/>
          <w:bCs/>
          <w:sz w:val="20"/>
          <w:szCs w:val="20"/>
        </w:rPr>
        <w:t>Regular and timely</w:t>
      </w:r>
      <w:r w:rsidRPr="00CB1FA8">
        <w:rPr>
          <w:rFonts w:ascii="Arial" w:hAnsi="Arial" w:cs="Arial"/>
          <w:bCs/>
          <w:sz w:val="20"/>
          <w:szCs w:val="20"/>
        </w:rPr>
        <w:t xml:space="preserve"> information w</w:t>
      </w:r>
      <w:r w:rsidR="00252846">
        <w:rPr>
          <w:rFonts w:ascii="Arial" w:hAnsi="Arial" w:cs="Arial"/>
          <w:bCs/>
          <w:sz w:val="20"/>
          <w:szCs w:val="20"/>
        </w:rPr>
        <w:t xml:space="preserve">ill </w:t>
      </w:r>
      <w:r w:rsidRPr="00CB1FA8">
        <w:rPr>
          <w:rFonts w:ascii="Arial" w:hAnsi="Arial" w:cs="Arial"/>
          <w:bCs/>
          <w:sz w:val="20"/>
          <w:szCs w:val="20"/>
        </w:rPr>
        <w:t>help healthcare facilities stay informed about safety and performance issues</w:t>
      </w:r>
      <w:r w:rsidR="00252846">
        <w:rPr>
          <w:rFonts w:ascii="Arial" w:hAnsi="Arial" w:cs="Arial"/>
          <w:bCs/>
          <w:sz w:val="20"/>
          <w:szCs w:val="20"/>
        </w:rPr>
        <w:t>,</w:t>
      </w:r>
      <w:r w:rsidRPr="00CB1FA8">
        <w:rPr>
          <w:rFonts w:ascii="Arial" w:hAnsi="Arial" w:cs="Arial"/>
          <w:bCs/>
          <w:sz w:val="20"/>
          <w:szCs w:val="20"/>
        </w:rPr>
        <w:t xml:space="preserve"> take appropriate actions </w:t>
      </w:r>
      <w:r w:rsidR="00252846">
        <w:rPr>
          <w:rFonts w:ascii="Arial" w:hAnsi="Arial" w:cs="Arial"/>
          <w:bCs/>
          <w:sz w:val="20"/>
          <w:szCs w:val="20"/>
        </w:rPr>
        <w:t xml:space="preserve">and </w:t>
      </w:r>
      <w:r w:rsidRPr="00CB1FA8">
        <w:rPr>
          <w:rFonts w:ascii="Arial" w:hAnsi="Arial" w:cs="Arial"/>
          <w:bCs/>
          <w:sz w:val="20"/>
          <w:szCs w:val="20"/>
        </w:rPr>
        <w:t xml:space="preserve">promote continuous improvement in safety protocols and reporting practices. </w:t>
      </w:r>
    </w:p>
    <w:p w14:paraId="4ECB7689" w14:textId="050F81C8"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 xml:space="preserve">proactively identify and mitigate risks associated with medical devices – Proactive risk management ensures patient safety and maintains trust in medical devices and healthcare systems. </w:t>
      </w:r>
    </w:p>
    <w:p w14:paraId="6E8F46B9" w14:textId="7F0513B9" w:rsidR="00F46400" w:rsidRPr="00CB1FA8" w:rsidRDefault="00F46400" w:rsidP="00F46400">
      <w:pPr>
        <w:pStyle w:val="NumberedList1"/>
        <w:spacing w:before="120" w:after="120"/>
        <w:rPr>
          <w:rFonts w:ascii="Arial" w:hAnsi="Arial" w:cs="Arial"/>
          <w:bCs/>
          <w:sz w:val="20"/>
          <w:szCs w:val="20"/>
        </w:rPr>
      </w:pPr>
      <w:r w:rsidRPr="00CB1FA8">
        <w:rPr>
          <w:rFonts w:ascii="Arial" w:hAnsi="Arial" w:cs="Arial"/>
          <w:bCs/>
          <w:sz w:val="20"/>
          <w:szCs w:val="20"/>
        </w:rPr>
        <w:t>improved data quality enabling meaningful trend identification and analysis – Standardising data collection methods and definitions ensure</w:t>
      </w:r>
      <w:r w:rsidR="004436F8">
        <w:rPr>
          <w:rFonts w:ascii="Arial" w:hAnsi="Arial" w:cs="Arial"/>
          <w:bCs/>
          <w:sz w:val="20"/>
          <w:szCs w:val="20"/>
        </w:rPr>
        <w:t>s</w:t>
      </w:r>
      <w:r w:rsidRPr="00CB1FA8">
        <w:rPr>
          <w:rFonts w:ascii="Arial" w:hAnsi="Arial" w:cs="Arial"/>
          <w:bCs/>
          <w:sz w:val="20"/>
          <w:szCs w:val="20"/>
        </w:rPr>
        <w:t xml:space="preserve"> consistency and comparability of reported data. </w:t>
      </w:r>
      <w:r w:rsidR="004436F8">
        <w:rPr>
          <w:rFonts w:ascii="Arial" w:hAnsi="Arial" w:cs="Arial"/>
          <w:bCs/>
          <w:sz w:val="20"/>
          <w:szCs w:val="20"/>
        </w:rPr>
        <w:t>A</w:t>
      </w:r>
      <w:r w:rsidRPr="00CB1FA8">
        <w:rPr>
          <w:rFonts w:ascii="Arial" w:hAnsi="Arial" w:cs="Arial"/>
          <w:bCs/>
          <w:sz w:val="20"/>
          <w:szCs w:val="20"/>
        </w:rPr>
        <w:t xml:space="preserve">nalytical capabilities and data validation processes would </w:t>
      </w:r>
      <w:r w:rsidR="004436F8">
        <w:rPr>
          <w:rFonts w:ascii="Arial" w:hAnsi="Arial" w:cs="Arial"/>
          <w:bCs/>
          <w:sz w:val="20"/>
          <w:szCs w:val="20"/>
        </w:rPr>
        <w:t xml:space="preserve">be enhanced. </w:t>
      </w:r>
    </w:p>
    <w:p w14:paraId="1D92D700" w14:textId="0BCA2345" w:rsidR="003E7B8D" w:rsidRDefault="00083E1C">
      <w:r>
        <w:t xml:space="preserve">The following section (Question 3) will outline each policy option considered and indicate </w:t>
      </w:r>
      <w:r w:rsidR="003E7B8D">
        <w:t>the level to which</w:t>
      </w:r>
      <w:r w:rsidR="00CA0496">
        <w:t xml:space="preserve"> they address </w:t>
      </w:r>
      <w:r w:rsidR="00EB0CA6">
        <w:t xml:space="preserve">these </w:t>
      </w:r>
      <w:r w:rsidR="003E7B8D">
        <w:t xml:space="preserve">success </w:t>
      </w:r>
      <w:r w:rsidR="00EB0CA6">
        <w:t>criteria</w:t>
      </w:r>
      <w:r w:rsidR="003E7B8D">
        <w:t>.</w:t>
      </w:r>
    </w:p>
    <w:p w14:paraId="7396B061" w14:textId="18092142" w:rsidR="00BA1B80" w:rsidRDefault="00BA1B80">
      <w:r>
        <w:br w:type="page"/>
      </w:r>
    </w:p>
    <w:p w14:paraId="1F8917A5" w14:textId="0723C83F" w:rsidR="00520749" w:rsidRDefault="00520749" w:rsidP="00A82CE6">
      <w:pPr>
        <w:pStyle w:val="Heading2"/>
      </w:pPr>
      <w:bookmarkStart w:id="68" w:name="_Toc179531310"/>
      <w:bookmarkStart w:id="69" w:name="_Toc188012859"/>
      <w:r>
        <w:rPr>
          <w:noProof/>
          <w:lang w:eastAsia="en-AU"/>
        </w:rPr>
        <w:lastRenderedPageBreak/>
        <mc:AlternateContent>
          <mc:Choice Requires="wps">
            <w:drawing>
              <wp:anchor distT="45720" distB="45720" distL="114300" distR="114300" simplePos="0" relativeHeight="251673088" behindDoc="0" locked="0" layoutInCell="1" allowOverlap="1" wp14:anchorId="02C5C76C" wp14:editId="3395FF1C">
                <wp:simplePos x="0" y="0"/>
                <wp:positionH relativeFrom="margin">
                  <wp:align>right</wp:align>
                </wp:positionH>
                <wp:positionV relativeFrom="paragraph">
                  <wp:posOffset>991082</wp:posOffset>
                </wp:positionV>
                <wp:extent cx="5709285" cy="1616075"/>
                <wp:effectExtent l="0" t="0" r="24765" b="222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616075"/>
                        </a:xfrm>
                        <a:prstGeom prst="rect">
                          <a:avLst/>
                        </a:prstGeom>
                        <a:solidFill>
                          <a:srgbClr val="FFFFFF"/>
                        </a:solidFill>
                        <a:ln w="9525">
                          <a:solidFill>
                            <a:srgbClr val="000000"/>
                          </a:solidFill>
                          <a:miter lim="800000"/>
                          <a:headEnd/>
                          <a:tailEnd/>
                        </a:ln>
                      </wps:spPr>
                      <wps:txbx>
                        <w:txbxContent>
                          <w:p w14:paraId="47D205FB" w14:textId="77777777" w:rsidR="008461AF" w:rsidRPr="00966B9A" w:rsidRDefault="008461AF" w:rsidP="00966B9A">
                            <w:pPr>
                              <w:shd w:val="clear" w:color="auto" w:fill="F2F2F2" w:themeFill="background1" w:themeFillShade="F2"/>
                              <w:rPr>
                                <w:rFonts w:cs="Arial"/>
                                <w:b/>
                                <w:bCs/>
                                <w:i/>
                                <w:iCs/>
                              </w:rPr>
                            </w:pPr>
                            <w:r w:rsidRPr="00966B9A">
                              <w:rPr>
                                <w:rFonts w:cs="Arial"/>
                                <w:b/>
                                <w:bCs/>
                                <w:i/>
                                <w:iCs/>
                              </w:rPr>
                              <w:t>Policy Options</w:t>
                            </w:r>
                          </w:p>
                          <w:p w14:paraId="5F3C4DDE" w14:textId="77777777" w:rsidR="008461AF" w:rsidRPr="009B7EA1" w:rsidRDefault="008461AF" w:rsidP="00966B9A">
                            <w:pPr>
                              <w:shd w:val="clear" w:color="auto" w:fill="F2F2F2" w:themeFill="background1" w:themeFillShade="F2"/>
                              <w:rPr>
                                <w:rFonts w:cs="Arial"/>
                              </w:rPr>
                            </w:pPr>
                            <w:r w:rsidRPr="00966B9A">
                              <w:t xml:space="preserve">The four regulatory options proposed in this IA are: </w:t>
                            </w:r>
                            <w:r w:rsidRPr="00966B9A">
                              <w:br/>
                            </w:r>
                            <w:r w:rsidRPr="00966B9A">
                              <w:rPr>
                                <w:b/>
                                <w:bCs/>
                              </w:rPr>
                              <w:t>Option 1</w:t>
                            </w:r>
                            <w:r w:rsidRPr="00966B9A">
                              <w:t>: Maintaining the status quo</w:t>
                            </w:r>
                            <w:r w:rsidRPr="00966B9A">
                              <w:br/>
                            </w:r>
                            <w:r w:rsidRPr="00966B9A">
                              <w:rPr>
                                <w:b/>
                                <w:bCs/>
                              </w:rPr>
                              <w:t>Option 2</w:t>
                            </w:r>
                            <w:r w:rsidRPr="00966B9A">
                              <w:t xml:space="preserve">: Public and Private hospitals report adverse events relating to high-risk medical devices </w:t>
                            </w:r>
                            <w:r w:rsidRPr="00966B9A">
                              <w:br/>
                            </w:r>
                            <w:r w:rsidRPr="00966B9A">
                              <w:rPr>
                                <w:b/>
                                <w:bCs/>
                              </w:rPr>
                              <w:t>Option 3</w:t>
                            </w:r>
                            <w:r w:rsidRPr="00966B9A">
                              <w:t>: Public and Private hospitals report adverse events relating to medium and high-risk medical devices</w:t>
                            </w:r>
                            <w:r w:rsidRPr="00966B9A">
                              <w:rPr>
                                <w:rFonts w:cs="Arial"/>
                              </w:rPr>
                              <w:t xml:space="preserve">  </w:t>
                            </w:r>
                            <w:r w:rsidRPr="00966B9A">
                              <w:rPr>
                                <w:rFonts w:cs="Arial"/>
                              </w:rPr>
                              <w:br/>
                            </w:r>
                            <w:r w:rsidRPr="00966B9A">
                              <w:rPr>
                                <w:b/>
                                <w:bCs/>
                              </w:rPr>
                              <w:t>Option 4</w:t>
                            </w:r>
                            <w:r w:rsidRPr="00966B9A">
                              <w:t>: Public and Private hospitals and approved Residential Aged Care facilities (excluding Multi-Purpose Services (MPS) facilities) report adverse events relating to medium and high-risk medical devices</w:t>
                            </w:r>
                            <w:r w:rsidRPr="009B7EA1">
                              <w:rPr>
                                <w:rFonts w:cs="Arial"/>
                              </w:rPr>
                              <w:t xml:space="preserve">  </w:t>
                            </w:r>
                          </w:p>
                          <w:p w14:paraId="70299AC7" w14:textId="67EA45C5" w:rsidR="008461AF" w:rsidRPr="009B7EA1" w:rsidRDefault="008461AF" w:rsidP="00520749">
                            <w:pPr>
                              <w:shd w:val="clear" w:color="auto" w:fill="F2F2F2" w:themeFill="background1" w:themeFillShade="F2"/>
                              <w:rPr>
                                <w:rFonts w:cs="Arial"/>
                              </w:rPr>
                            </w:pPr>
                            <w:r w:rsidRPr="009B7EA1">
                              <w:rPr>
                                <w:rFonts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5C76C" id="_x0000_s1028" type="#_x0000_t202" style="position:absolute;margin-left:398.35pt;margin-top:78.05pt;width:449.55pt;height:127.2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gJwIAAE0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">
                <v:textbox>
                  <w:txbxContent>
                    <w:p w14:paraId="47D205FB" w14:textId="77777777" w:rsidR="008461AF" w:rsidRPr="00966B9A" w:rsidRDefault="008461AF" w:rsidP="00966B9A">
                      <w:pPr>
                        <w:shd w:val="clear" w:color="auto" w:fill="F2F2F2" w:themeFill="background1" w:themeFillShade="F2"/>
                        <w:rPr>
                          <w:rFonts w:cs="Arial"/>
                          <w:b/>
                          <w:bCs/>
                          <w:i/>
                          <w:iCs/>
                        </w:rPr>
                      </w:pPr>
                      <w:r w:rsidRPr="00966B9A">
                        <w:rPr>
                          <w:rFonts w:cs="Arial"/>
                          <w:b/>
                          <w:bCs/>
                          <w:i/>
                          <w:iCs/>
                        </w:rPr>
                        <w:t>Policy Options</w:t>
                      </w:r>
                    </w:p>
                    <w:p w14:paraId="5F3C4DDE" w14:textId="77777777" w:rsidR="008461AF" w:rsidRPr="009B7EA1" w:rsidRDefault="008461AF" w:rsidP="00966B9A">
                      <w:pPr>
                        <w:shd w:val="clear" w:color="auto" w:fill="F2F2F2" w:themeFill="background1" w:themeFillShade="F2"/>
                        <w:rPr>
                          <w:rFonts w:cs="Arial"/>
                        </w:rPr>
                      </w:pPr>
                      <w:r w:rsidRPr="00966B9A">
                        <w:t xml:space="preserve">The four regulatory options proposed in this IA are: </w:t>
                      </w:r>
                      <w:r w:rsidRPr="00966B9A">
                        <w:br/>
                      </w:r>
                      <w:r w:rsidRPr="00966B9A">
                        <w:rPr>
                          <w:b/>
                          <w:bCs/>
                        </w:rPr>
                        <w:t>Option 1</w:t>
                      </w:r>
                      <w:r w:rsidRPr="00966B9A">
                        <w:t>: Maintaining the status quo</w:t>
                      </w:r>
                      <w:r w:rsidRPr="00966B9A">
                        <w:br/>
                      </w:r>
                      <w:r w:rsidRPr="00966B9A">
                        <w:rPr>
                          <w:b/>
                          <w:bCs/>
                        </w:rPr>
                        <w:t>Option 2</w:t>
                      </w:r>
                      <w:r w:rsidRPr="00966B9A">
                        <w:t xml:space="preserve">: Public and Private hospitals report adverse events relating to high-risk medical devices </w:t>
                      </w:r>
                      <w:r w:rsidRPr="00966B9A">
                        <w:br/>
                      </w:r>
                      <w:r w:rsidRPr="00966B9A">
                        <w:rPr>
                          <w:b/>
                          <w:bCs/>
                        </w:rPr>
                        <w:t>Option 3</w:t>
                      </w:r>
                      <w:r w:rsidRPr="00966B9A">
                        <w:t>: Public and Private hospitals report adverse events relating to medium and high-risk medical devices</w:t>
                      </w:r>
                      <w:r w:rsidRPr="00966B9A">
                        <w:rPr>
                          <w:rFonts w:cs="Arial"/>
                        </w:rPr>
                        <w:t xml:space="preserve">  </w:t>
                      </w:r>
                      <w:r w:rsidRPr="00966B9A">
                        <w:rPr>
                          <w:rFonts w:cs="Arial"/>
                        </w:rPr>
                        <w:br/>
                      </w:r>
                      <w:r w:rsidRPr="00966B9A">
                        <w:rPr>
                          <w:b/>
                          <w:bCs/>
                        </w:rPr>
                        <w:t>Option 4</w:t>
                      </w:r>
                      <w:r w:rsidRPr="00966B9A">
                        <w:t>: Public and Private hospitals and approved Residential Aged Care facilities (excluding Multi-Purpose Services (MPS) facilities) report adverse events relating to medium and high-risk medical devices</w:t>
                      </w:r>
                      <w:r w:rsidRPr="009B7EA1">
                        <w:rPr>
                          <w:rFonts w:cs="Arial"/>
                        </w:rPr>
                        <w:t xml:space="preserve">  </w:t>
                      </w:r>
                    </w:p>
                    <w:p w14:paraId="70299AC7" w14:textId="67EA45C5" w:rsidR="008461AF" w:rsidRPr="009B7EA1" w:rsidRDefault="008461AF" w:rsidP="00520749">
                      <w:pPr>
                        <w:shd w:val="clear" w:color="auto" w:fill="F2F2F2" w:themeFill="background1" w:themeFillShade="F2"/>
                        <w:rPr>
                          <w:rFonts w:cs="Arial"/>
                        </w:rPr>
                      </w:pPr>
                      <w:r w:rsidRPr="009B7EA1">
                        <w:rPr>
                          <w:rFonts w:cs="Arial"/>
                        </w:rPr>
                        <w:t xml:space="preserve"> </w:t>
                      </w:r>
                    </w:p>
                  </w:txbxContent>
                </v:textbox>
                <w10:wrap type="square" anchorx="margin"/>
              </v:shape>
            </w:pict>
          </mc:Fallback>
        </mc:AlternateContent>
      </w:r>
      <w:r w:rsidR="00CE52F3">
        <w:t>Question Three: What policy options are you considering?</w:t>
      </w:r>
      <w:bookmarkEnd w:id="67"/>
      <w:bookmarkEnd w:id="68"/>
      <w:bookmarkEnd w:id="69"/>
      <w:r w:rsidR="00A82CE6">
        <w:br/>
      </w:r>
    </w:p>
    <w:p w14:paraId="1AE86050" w14:textId="77777777" w:rsidR="008F0047" w:rsidRDefault="008F0047" w:rsidP="00A03BF1">
      <w:bookmarkStart w:id="70" w:name="_Toc156375142"/>
    </w:p>
    <w:p w14:paraId="4727586C" w14:textId="55BEFC78" w:rsidR="00A03BF1" w:rsidRDefault="00A03BF1" w:rsidP="00A03BF1">
      <w:r>
        <w:t xml:space="preserve">The problem, its root cause, prior regulatory interventions and the </w:t>
      </w:r>
      <w:r w:rsidR="00BD71A6">
        <w:t>objective</w:t>
      </w:r>
      <w:r>
        <w:t xml:space="preserve"> of the regulatory response suggest</w:t>
      </w:r>
      <w:r w:rsidR="00B8621C">
        <w:t>s</w:t>
      </w:r>
      <w:r>
        <w:t xml:space="preserve"> that there are four potential policy options.</w:t>
      </w:r>
      <w:r w:rsidR="00351976">
        <w:t xml:space="preserve"> A progressive approach has been taken to the development of these policy options</w:t>
      </w:r>
      <w:r w:rsidR="00726DA0" w:rsidRPr="00A60B15">
        <w:t>, w</w:t>
      </w:r>
      <w:r w:rsidR="00351976" w:rsidRPr="00A60B15">
        <w:t xml:space="preserve">ith </w:t>
      </w:r>
      <w:r w:rsidR="0057229E" w:rsidRPr="00A60B15">
        <w:t>Option 1 posing the least regulatory burden, through to Option 4 which poses the most significant.</w:t>
      </w:r>
      <w:r w:rsidR="00496F7C" w:rsidRPr="00A60B15">
        <w:t xml:space="preserve"> </w:t>
      </w:r>
      <w:r w:rsidR="00680B37" w:rsidRPr="00A60B15">
        <w:t>Similar</w:t>
      </w:r>
      <w:r w:rsidR="000E393D">
        <w:t>ly</w:t>
      </w:r>
      <w:r w:rsidR="00680B37" w:rsidRPr="00A60B15">
        <w:t xml:space="preserve">, the structure of this section mirrors </w:t>
      </w:r>
      <w:r w:rsidR="00680B37" w:rsidRPr="00211FC1">
        <w:t>this progressive approach, with each section building upon the last.</w:t>
      </w:r>
      <w:r w:rsidR="00B95515">
        <w:br/>
      </w:r>
      <w:r w:rsidR="004B4873">
        <w:br/>
      </w:r>
      <w:r w:rsidR="004B4873">
        <w:br/>
      </w:r>
    </w:p>
    <w:p w14:paraId="4B781275" w14:textId="51F2F165" w:rsidR="00A03BF1" w:rsidRPr="00D10421" w:rsidRDefault="000E393D" w:rsidP="00A03BF1">
      <w:pPr>
        <w:pStyle w:val="Heading7"/>
        <w:rPr>
          <w:rFonts w:ascii="Arial" w:hAnsi="Arial" w:cs="Arial"/>
          <w:sz w:val="18"/>
          <w:szCs w:val="18"/>
        </w:rPr>
      </w:pPr>
      <w:r w:rsidRPr="00D10421">
        <w:rPr>
          <w:rFonts w:ascii="Arial" w:hAnsi="Arial" w:cs="Arial"/>
          <w:sz w:val="18"/>
          <w:szCs w:val="18"/>
        </w:rPr>
        <w:lastRenderedPageBreak/>
        <w:t>Figure</w:t>
      </w:r>
      <w:r w:rsidR="00A03BF1" w:rsidRPr="00D10421">
        <w:rPr>
          <w:rFonts w:ascii="Arial" w:hAnsi="Arial" w:cs="Arial"/>
          <w:sz w:val="18"/>
          <w:szCs w:val="18"/>
        </w:rPr>
        <w:t xml:space="preserve"> </w:t>
      </w:r>
      <w:r w:rsidR="00412767">
        <w:rPr>
          <w:rFonts w:ascii="Arial" w:hAnsi="Arial" w:cs="Arial"/>
          <w:sz w:val="18"/>
          <w:szCs w:val="18"/>
        </w:rPr>
        <w:t>9</w:t>
      </w:r>
      <w:r w:rsidR="00A03BF1" w:rsidRPr="00D10421">
        <w:rPr>
          <w:rFonts w:ascii="Arial" w:hAnsi="Arial" w:cs="Arial"/>
          <w:sz w:val="18"/>
          <w:szCs w:val="18"/>
        </w:rPr>
        <w:t>. Policy options</w:t>
      </w:r>
      <w:r w:rsidR="000C0211" w:rsidRPr="00D10421">
        <w:rPr>
          <w:rFonts w:ascii="Arial" w:hAnsi="Arial" w:cs="Arial"/>
          <w:sz w:val="18"/>
          <w:szCs w:val="18"/>
        </w:rPr>
        <w:t xml:space="preserve"> considered</w:t>
      </w:r>
    </w:p>
    <w:p w14:paraId="1CF14DED" w14:textId="4C3C72C3" w:rsidR="0060751D" w:rsidRDefault="0005460E">
      <w:pPr>
        <w:rPr>
          <w:rFonts w:eastAsia="Times New Roman" w:cs="Times New Roman"/>
          <w:b/>
          <w:bCs/>
          <w:color w:val="001871"/>
          <w:sz w:val="32"/>
          <w:szCs w:val="32"/>
        </w:rPr>
      </w:pPr>
      <w:bookmarkStart w:id="71" w:name="_Toc156382749"/>
      <w:bookmarkEnd w:id="70"/>
      <w:r w:rsidRPr="008F6E93">
        <w:rPr>
          <w:noProof/>
          <w:lang w:eastAsia="en-AU"/>
        </w:rPr>
        <w:drawing>
          <wp:inline distT="0" distB="0" distL="0" distR="0" wp14:anchorId="460B6F0B" wp14:editId="3FAFC86C">
            <wp:extent cx="5677269" cy="6885940"/>
            <wp:effectExtent l="0" t="0" r="0" b="0"/>
            <wp:docPr id="19" name="Picture 1">
              <a:extLst xmlns:a="http://schemas.openxmlformats.org/drawingml/2006/main">
                <a:ext uri="{FF2B5EF4-FFF2-40B4-BE49-F238E27FC236}">
                  <a16:creationId xmlns:a16="http://schemas.microsoft.com/office/drawing/2014/main" id="{E874522C-83DE-C092-F9BC-F896C24CE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74522C-83DE-C092-F9BC-F896C24CE81F}"/>
                        </a:ext>
                      </a:extLst>
                    </pic:cNvPr>
                    <pic:cNvPicPr>
                      <a:picLocks noChangeAspect="1"/>
                    </pic:cNvPicPr>
                  </pic:nvPicPr>
                  <pic:blipFill>
                    <a:blip r:embed="rId15"/>
                    <a:stretch>
                      <a:fillRect/>
                    </a:stretch>
                  </pic:blipFill>
                  <pic:spPr>
                    <a:xfrm>
                      <a:off x="0" y="0"/>
                      <a:ext cx="5711677" cy="6927674"/>
                    </a:xfrm>
                    <a:prstGeom prst="rect">
                      <a:avLst/>
                    </a:prstGeom>
                  </pic:spPr>
                </pic:pic>
              </a:graphicData>
            </a:graphic>
          </wp:inline>
        </w:drawing>
      </w:r>
      <w:r w:rsidR="0060751D">
        <w:br w:type="page"/>
      </w:r>
    </w:p>
    <w:p w14:paraId="30F95CA1" w14:textId="17A30D40" w:rsidR="006E040F" w:rsidRPr="00422DE8" w:rsidRDefault="006008AA" w:rsidP="007027E1">
      <w:pPr>
        <w:pStyle w:val="Heading3"/>
        <w:rPr>
          <w:color w:val="FFFFFF" w:themeColor="background1"/>
        </w:rPr>
      </w:pPr>
      <w:bookmarkStart w:id="72" w:name="_Toc179531311"/>
      <w:bookmarkStart w:id="73" w:name="_Toc188012860"/>
      <w:r>
        <w:rPr>
          <w:noProof/>
          <w:lang w:eastAsia="en-AU"/>
        </w:rPr>
        <w:lastRenderedPageBreak/>
        <w:drawing>
          <wp:anchor distT="0" distB="0" distL="114300" distR="114300" simplePos="0" relativeHeight="251650560" behindDoc="0" locked="0" layoutInCell="1" allowOverlap="1" wp14:anchorId="3CE4990B" wp14:editId="672B295E">
            <wp:simplePos x="0" y="0"/>
            <wp:positionH relativeFrom="margin">
              <wp:align>right</wp:align>
            </wp:positionH>
            <wp:positionV relativeFrom="paragraph">
              <wp:posOffset>63632</wp:posOffset>
            </wp:positionV>
            <wp:extent cx="6452235" cy="570865"/>
            <wp:effectExtent l="0" t="0" r="5715" b="635"/>
            <wp:wrapNone/>
            <wp:docPr id="16847396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2235" cy="570865"/>
                    </a:xfrm>
                    <a:prstGeom prst="rect">
                      <a:avLst/>
                    </a:prstGeom>
                    <a:noFill/>
                  </pic:spPr>
                </pic:pic>
              </a:graphicData>
            </a:graphic>
          </wp:anchor>
        </w:drawing>
      </w:r>
      <w:r w:rsidR="006E040F" w:rsidRPr="00422DE8">
        <w:rPr>
          <w:color w:val="FFFFFF" w:themeColor="background1"/>
        </w:rPr>
        <w:t>Option 1: Maintaining the status</w:t>
      </w:r>
      <w:r w:rsidR="00B73CDD" w:rsidRPr="00422DE8">
        <w:rPr>
          <w:color w:val="FFFFFF" w:themeColor="background1"/>
        </w:rPr>
        <w:t xml:space="preserve"> </w:t>
      </w:r>
      <w:r w:rsidR="006E040F" w:rsidRPr="00422DE8">
        <w:rPr>
          <w:color w:val="FFFFFF" w:themeColor="background1"/>
        </w:rPr>
        <w:t>quo</w:t>
      </w:r>
      <w:bookmarkEnd w:id="71"/>
      <w:bookmarkEnd w:id="72"/>
      <w:bookmarkEnd w:id="73"/>
    </w:p>
    <w:p w14:paraId="6DF20B10" w14:textId="043DB2A3" w:rsidR="006008AA" w:rsidRDefault="006008AA" w:rsidP="00DD4A97"/>
    <w:p w14:paraId="293259A0" w14:textId="77777777" w:rsidR="006008AA" w:rsidRDefault="006008AA" w:rsidP="00DD4A97"/>
    <w:p w14:paraId="1DEF766C" w14:textId="684B3B64" w:rsidR="00EC17A9" w:rsidRDefault="001234CD" w:rsidP="00DD4A97">
      <w:r>
        <w:t>T</w:t>
      </w:r>
      <w:r w:rsidR="002B1C23">
        <w:t>he comm</w:t>
      </w:r>
      <w:r w:rsidR="00037B3E">
        <w:t xml:space="preserve">encement of the provisions </w:t>
      </w:r>
      <w:r w:rsidR="00FE308E">
        <w:t xml:space="preserve">outlined in the </w:t>
      </w:r>
      <w:r w:rsidR="00FE308E">
        <w:rPr>
          <w:i/>
          <w:iCs/>
        </w:rPr>
        <w:t>Therapeutic Goods Amendment (2022 Measures No. 1) Bill 2023</w:t>
      </w:r>
      <w:r>
        <w:rPr>
          <w:i/>
          <w:iCs/>
        </w:rPr>
        <w:t xml:space="preserve"> </w:t>
      </w:r>
      <w:r w:rsidRPr="00582F14">
        <w:t xml:space="preserve">is expected to </w:t>
      </w:r>
      <w:r w:rsidR="00931963">
        <w:t>be implemented</w:t>
      </w:r>
      <w:r w:rsidRPr="00582F14">
        <w:t xml:space="preserve"> in March 2025</w:t>
      </w:r>
      <w:r w:rsidR="00212CB0">
        <w:t xml:space="preserve">. </w:t>
      </w:r>
      <w:r w:rsidR="009B53FC">
        <w:t xml:space="preserve">However, </w:t>
      </w:r>
      <w:r w:rsidR="001F092A">
        <w:t xml:space="preserve">under </w:t>
      </w:r>
      <w:r w:rsidR="002F7B4F">
        <w:t>Option</w:t>
      </w:r>
      <w:r w:rsidR="00446AB2">
        <w:t xml:space="preserve"> </w:t>
      </w:r>
      <w:r w:rsidR="002F7B4F">
        <w:t>1</w:t>
      </w:r>
      <w:r w:rsidR="00446AB2">
        <w:t xml:space="preserve"> -</w:t>
      </w:r>
      <w:r w:rsidR="007B0EFD">
        <w:t xml:space="preserve"> </w:t>
      </w:r>
      <w:r w:rsidR="00362B70">
        <w:t xml:space="preserve">Maintaining </w:t>
      </w:r>
      <w:r w:rsidR="001F092A">
        <w:t>the status quo</w:t>
      </w:r>
      <w:r w:rsidR="00EC17A9">
        <w:t>:</w:t>
      </w:r>
    </w:p>
    <w:p w14:paraId="60F3924B" w14:textId="7473592F" w:rsidR="00EC17A9" w:rsidRDefault="00422169" w:rsidP="00EC17A9">
      <w:pPr>
        <w:pStyle w:val="Bullet1"/>
      </w:pPr>
      <w:r>
        <w:t xml:space="preserve">the </w:t>
      </w:r>
      <w:r w:rsidR="00950E0B">
        <w:t xml:space="preserve">amendments to the </w:t>
      </w:r>
      <w:r w:rsidR="00950E0B" w:rsidRPr="00B75DCF">
        <w:rPr>
          <w:i/>
          <w:iCs/>
        </w:rPr>
        <w:t xml:space="preserve">Therapeutic Goods Act </w:t>
      </w:r>
      <w:r w:rsidR="00B75DCF" w:rsidRPr="00B75DCF">
        <w:rPr>
          <w:i/>
          <w:iCs/>
        </w:rPr>
        <w:t>1989</w:t>
      </w:r>
      <w:r w:rsidR="00B75DCF">
        <w:t xml:space="preserve"> </w:t>
      </w:r>
      <w:r w:rsidR="00A416EA">
        <w:t>would</w:t>
      </w:r>
      <w:r w:rsidR="00950E0B">
        <w:t xml:space="preserve"> not </w:t>
      </w:r>
      <w:r w:rsidR="0035785A">
        <w:t xml:space="preserve">be </w:t>
      </w:r>
      <w:r w:rsidR="00950E0B">
        <w:t>implemented</w:t>
      </w:r>
      <w:r w:rsidR="003F488C">
        <w:t>; and thus</w:t>
      </w:r>
    </w:p>
    <w:p w14:paraId="215EFCA9" w14:textId="03F053E0" w:rsidR="003F488C" w:rsidRDefault="003F488C" w:rsidP="00EC17A9">
      <w:pPr>
        <w:pStyle w:val="Bullet1"/>
      </w:pPr>
      <w:r>
        <w:t>there is no requirement for healthcare facilities to report adverse events relating to medical devices.</w:t>
      </w:r>
    </w:p>
    <w:p w14:paraId="63EF9913" w14:textId="070AF342" w:rsidR="004F7752" w:rsidRDefault="008A3DE5" w:rsidP="00DD4A97">
      <w:r>
        <w:t xml:space="preserve">In effect, this would </w:t>
      </w:r>
      <w:r w:rsidR="007F7B78">
        <w:t xml:space="preserve">see medical device adverse event reporting continue to </w:t>
      </w:r>
      <w:r w:rsidR="00792121">
        <w:t xml:space="preserve">occur largely </w:t>
      </w:r>
      <w:r w:rsidR="00C35F9B">
        <w:t>in line</w:t>
      </w:r>
      <w:r w:rsidR="00792121">
        <w:t xml:space="preserve"> with current reporting requirements and mechanisms</w:t>
      </w:r>
      <w:r w:rsidR="003331E9">
        <w:t>.</w:t>
      </w:r>
      <w:r w:rsidR="001114F7">
        <w:t xml:space="preserve"> Medical </w:t>
      </w:r>
      <w:r w:rsidR="00B41EB3">
        <w:t xml:space="preserve">device adverse event reporting would continue to be mandatory for medical device manufacturers and sponsors, </w:t>
      </w:r>
      <w:r w:rsidR="00134E6C">
        <w:t>with the addition of healthcare facilities</w:t>
      </w:r>
      <w:r w:rsidR="00EF3490">
        <w:t xml:space="preserve">, </w:t>
      </w:r>
      <w:r w:rsidR="002765A0">
        <w:t>and voluntary for medical practi</w:t>
      </w:r>
      <w:r w:rsidR="0009434A">
        <w:t>tioners and medical device consumers</w:t>
      </w:r>
      <w:r w:rsidR="00134E6C">
        <w:t xml:space="preserve">. </w:t>
      </w:r>
      <w:r w:rsidR="0027004B">
        <w:t>However, with</w:t>
      </w:r>
      <w:r w:rsidR="00541FD2">
        <w:t xml:space="preserve"> no mechanism </w:t>
      </w:r>
      <w:r w:rsidR="00274CD4">
        <w:t xml:space="preserve">to give effect to the amended legislation, and </w:t>
      </w:r>
      <w:r w:rsidR="00561186">
        <w:t xml:space="preserve">no </w:t>
      </w:r>
      <w:r w:rsidR="00F3693B">
        <w:t xml:space="preserve">revised procedures and systems </w:t>
      </w:r>
      <w:r w:rsidR="0003689E">
        <w:t xml:space="preserve">to support </w:t>
      </w:r>
      <w:r w:rsidR="00CC26F1">
        <w:t>the new reporting r</w:t>
      </w:r>
      <w:r w:rsidR="0062168D">
        <w:t>equirements</w:t>
      </w:r>
      <w:r w:rsidR="0009434A">
        <w:t>,</w:t>
      </w:r>
      <w:r w:rsidR="00C47A40">
        <w:t xml:space="preserve"> the onus would be on the </w:t>
      </w:r>
      <w:r w:rsidR="00C47A40" w:rsidRPr="00A1242A">
        <w:t xml:space="preserve">individual healthcare facilities </w:t>
      </w:r>
      <w:r w:rsidR="00A20464" w:rsidRPr="00A1242A">
        <w:t xml:space="preserve">to report incidents via the pathways already </w:t>
      </w:r>
      <w:r w:rsidR="00F357DB" w:rsidRPr="00A1242A">
        <w:t>in place</w:t>
      </w:r>
      <w:r w:rsidR="00165A0E" w:rsidRPr="00A1242A">
        <w:t>. Namely</w:t>
      </w:r>
      <w:r w:rsidR="00A36CAE" w:rsidRPr="00A1242A">
        <w:t xml:space="preserve">, the </w:t>
      </w:r>
      <w:r w:rsidR="005B4801" w:rsidRPr="00A1242A">
        <w:t>Consumer</w:t>
      </w:r>
      <w:r w:rsidR="005B4801">
        <w:t xml:space="preserve"> Online Medical Device Incident Report Form</w:t>
      </w:r>
      <w:r w:rsidR="00A36CAE">
        <w:t xml:space="preserve"> </w:t>
      </w:r>
      <w:r w:rsidR="00E416E8">
        <w:t>(</w:t>
      </w:r>
      <w:r w:rsidR="00A36CAE">
        <w:t xml:space="preserve">shown at </w:t>
      </w:r>
      <w:r w:rsidR="0057395F" w:rsidRPr="0079175B">
        <w:t xml:space="preserve">Figure </w:t>
      </w:r>
      <w:r w:rsidR="006351FB">
        <w:t>5</w:t>
      </w:r>
      <w:r w:rsidR="00E416E8">
        <w:t>)</w:t>
      </w:r>
      <w:r w:rsidR="00222B56">
        <w:t xml:space="preserve"> and the Users Medical Device Incident Reporting platform for healthcare professionals</w:t>
      </w:r>
      <w:r w:rsidR="00A36CAE">
        <w:t>.</w:t>
      </w:r>
    </w:p>
    <w:p w14:paraId="1E7DE820" w14:textId="504A37AE" w:rsidR="00B30100" w:rsidRDefault="00B30100" w:rsidP="00B30100">
      <w:r>
        <w:t>Whil</w:t>
      </w:r>
      <w:r w:rsidR="00000400">
        <w:t>e</w:t>
      </w:r>
      <w:r>
        <w:t xml:space="preserve"> difficult to quantify, it is thought that the TGA may only be receiving 5% of reportable medical device adverse events. </w:t>
      </w:r>
      <w:r w:rsidR="00867171">
        <w:t>Maintaining the status quo</w:t>
      </w:r>
      <w:r w:rsidR="00BF5C90">
        <w:t xml:space="preserve"> w</w:t>
      </w:r>
      <w:r w:rsidR="00867171">
        <w:t>ould</w:t>
      </w:r>
      <w:r w:rsidR="00983217">
        <w:t xml:space="preserve"> </w:t>
      </w:r>
      <w:r w:rsidR="00306447">
        <w:t>see medical device adverse events continue to be significantly underreported</w:t>
      </w:r>
      <w:r w:rsidR="00E769D5">
        <w:t xml:space="preserve">, </w:t>
      </w:r>
      <w:r w:rsidR="00E769D5" w:rsidRPr="00E769D5">
        <w:t>propagating the current challenges in identifying, mitigating and responding to potential patient safety issues relating to medical devices</w:t>
      </w:r>
      <w:r w:rsidR="00E769D5">
        <w:t>.</w:t>
      </w:r>
      <w:r w:rsidR="00BF5C90">
        <w:t xml:space="preserve"> </w:t>
      </w:r>
      <w:r w:rsidR="00E769D5">
        <w:t xml:space="preserve">This, in turn, </w:t>
      </w:r>
      <w:r w:rsidR="004876BD">
        <w:t>c</w:t>
      </w:r>
      <w:r w:rsidR="00E769D5">
        <w:t xml:space="preserve">ould </w:t>
      </w:r>
      <w:r w:rsidR="00933332">
        <w:t>continu</w:t>
      </w:r>
      <w:r w:rsidR="00BF5C90">
        <w:t>e</w:t>
      </w:r>
      <w:r w:rsidR="00933332">
        <w:t xml:space="preserve"> to propagate the current </w:t>
      </w:r>
      <w:r w:rsidR="003A74CA">
        <w:t>reporting trends</w:t>
      </w:r>
      <w:r w:rsidR="00BF5C90">
        <w:t>, volumes and demographics</w:t>
      </w:r>
      <w:r w:rsidR="003A74CA">
        <w:t xml:space="preserve"> (i.e., </w:t>
      </w:r>
      <w:r w:rsidR="00AC52FF">
        <w:t xml:space="preserve">medical device adverse event reporting in 2020 comprised of </w:t>
      </w:r>
      <w:r w:rsidR="0064694B">
        <w:t>89% medical device sponsors</w:t>
      </w:r>
      <w:r w:rsidR="00E769D5">
        <w:t xml:space="preserve"> and </w:t>
      </w:r>
      <w:r w:rsidR="0064694B">
        <w:t>manufacturers; 8% healthcare professionals; 1% patients; 2% other</w:t>
      </w:r>
      <w:r w:rsidR="003A74CA">
        <w:t>)</w:t>
      </w:r>
      <w:r w:rsidR="0064694B">
        <w:t>.</w:t>
      </w:r>
    </w:p>
    <w:p w14:paraId="331DE724" w14:textId="55A3AE41" w:rsidR="002C3046" w:rsidRDefault="004876BD" w:rsidP="000D770D">
      <w:r>
        <w:t>M</w:t>
      </w:r>
      <w:r w:rsidR="00D44B44">
        <w:t>aintaining the status quo</w:t>
      </w:r>
      <w:r w:rsidR="00FC4E3D">
        <w:t xml:space="preserve"> poses risks to the TGA’ ability to comprehensively monitor and act upon emerging </w:t>
      </w:r>
      <w:r w:rsidR="0008522B">
        <w:t xml:space="preserve">safety and performance issues of medical devices. While the current system provides some level of oversight, it remains </w:t>
      </w:r>
      <w:r w:rsidR="001B11FA">
        <w:t>insufficient for identifying and mitigating longer term device failures</w:t>
      </w:r>
      <w:r w:rsidR="001B11FA" w:rsidRPr="001B11FA">
        <w:t xml:space="preserve"> </w:t>
      </w:r>
      <w:r w:rsidR="001B11FA">
        <w:t xml:space="preserve">such as those that have been </w:t>
      </w:r>
      <w:r>
        <w:t>the</w:t>
      </w:r>
      <w:r w:rsidR="001B11FA">
        <w:t xml:space="preserve"> focus of public attention (e.g., urogynaecological mesh, metal-on-metal hip prostheses, and textured breast implants)</w:t>
      </w:r>
      <w:r w:rsidR="00E2612A">
        <w:t xml:space="preserve"> that may only become apparent after years of use.</w:t>
      </w:r>
      <w:r w:rsidR="0085005A">
        <w:t xml:space="preserve"> Failure to expand the scope of mandatory </w:t>
      </w:r>
      <w:r w:rsidR="001368D4">
        <w:t>reporting</w:t>
      </w:r>
      <w:r w:rsidR="0085005A">
        <w:t xml:space="preserve"> scheme to health care </w:t>
      </w:r>
      <w:r w:rsidR="001368D4">
        <w:t>facilities</w:t>
      </w:r>
      <w:r w:rsidR="0085005A">
        <w:t xml:space="preserve"> could result in missed opportunities to detect early warning signals</w:t>
      </w:r>
      <w:r w:rsidR="00A342AC">
        <w:t xml:space="preserve">, ultimately compromising patient safety. This limitation could lead to </w:t>
      </w:r>
      <w:r w:rsidR="0052103A">
        <w:t>significant reputational risks</w:t>
      </w:r>
      <w:r w:rsidR="00A342AC">
        <w:t xml:space="preserve"> regarding the TGA’s </w:t>
      </w:r>
      <w:r w:rsidR="00767A77">
        <w:t xml:space="preserve">effectiveness as a national regulator </w:t>
      </w:r>
      <w:r w:rsidR="006F7DC8">
        <w:t>and its commitment to safeguarding public health</w:t>
      </w:r>
      <w:r>
        <w:t>,</w:t>
      </w:r>
      <w:r w:rsidR="006F7DC8">
        <w:t xml:space="preserve"> </w:t>
      </w:r>
      <w:r>
        <w:t xml:space="preserve">eroding </w:t>
      </w:r>
      <w:r w:rsidR="00901FC2">
        <w:t xml:space="preserve">trust and confidence in </w:t>
      </w:r>
      <w:r w:rsidR="00E00CBA">
        <w:t>TGA’s ability</w:t>
      </w:r>
      <w:r w:rsidR="00901FC2">
        <w:t xml:space="preserve"> to </w:t>
      </w:r>
      <w:r w:rsidR="001368D4">
        <w:t>protect</w:t>
      </w:r>
      <w:r w:rsidR="00901FC2">
        <w:t xml:space="preserve"> public health. </w:t>
      </w:r>
    </w:p>
    <w:p w14:paraId="56BC9B72" w14:textId="33E91EC5" w:rsidR="00210B38" w:rsidRDefault="00210B38" w:rsidP="00210B38">
      <w:r>
        <w:t xml:space="preserve">The responses to the </w:t>
      </w:r>
      <w:r w:rsidR="0073761E">
        <w:t xml:space="preserve">September 2021 </w:t>
      </w:r>
      <w:r w:rsidR="00F26DE5">
        <w:t xml:space="preserve">discussion paper indicated </w:t>
      </w:r>
      <w:r w:rsidR="002C6A17">
        <w:t xml:space="preserve">there is </w:t>
      </w:r>
      <w:r w:rsidR="00E74004">
        <w:t xml:space="preserve">limited support by </w:t>
      </w:r>
      <w:r w:rsidR="00A225B9">
        <w:t>c</w:t>
      </w:r>
      <w:r w:rsidR="0013670D">
        <w:t xml:space="preserve">onsumers, industry and healthcare professionals </w:t>
      </w:r>
      <w:r w:rsidR="003546CA">
        <w:t xml:space="preserve">for </w:t>
      </w:r>
      <w:r w:rsidR="000276A8">
        <w:t xml:space="preserve">maintaining the status </w:t>
      </w:r>
      <w:r w:rsidR="005D26CD">
        <w:t xml:space="preserve">quo for the </w:t>
      </w:r>
      <w:r w:rsidR="00D66118">
        <w:t>reporting of medical device adverse events</w:t>
      </w:r>
      <w:r w:rsidR="00D851E2">
        <w:t xml:space="preserve"> (i.e., </w:t>
      </w:r>
      <w:r w:rsidR="00F95E07">
        <w:t>73%</w:t>
      </w:r>
      <w:r w:rsidR="00495A1A">
        <w:t xml:space="preserve"> (n=41)</w:t>
      </w:r>
      <w:r w:rsidR="00F95E07">
        <w:t xml:space="preserve"> of</w:t>
      </w:r>
      <w:r w:rsidR="00495A1A">
        <w:t xml:space="preserve"> total</w:t>
      </w:r>
      <w:r w:rsidR="00F95E07">
        <w:t xml:space="preserve"> respondents </w:t>
      </w:r>
      <w:r w:rsidR="00080DF8">
        <w:t>(n=</w:t>
      </w:r>
      <w:r w:rsidR="00495A1A">
        <w:t>55</w:t>
      </w:r>
      <w:r w:rsidR="00080DF8">
        <w:t>)</w:t>
      </w:r>
      <w:r w:rsidR="009F628E">
        <w:t xml:space="preserve"> were in favour of mandatory reporting</w:t>
      </w:r>
      <w:r w:rsidR="005E0F25">
        <w:t>)</w:t>
      </w:r>
      <w:r w:rsidR="000E7CB9">
        <w:t>.</w:t>
      </w:r>
      <w:r w:rsidR="007C15C4">
        <w:rPr>
          <w:rStyle w:val="FootnoteReference"/>
        </w:rPr>
        <w:footnoteReference w:id="48"/>
      </w:r>
    </w:p>
    <w:p w14:paraId="733BEA09" w14:textId="53DA7261" w:rsidR="005E0F25" w:rsidRPr="00CA4C75" w:rsidRDefault="005E0F25" w:rsidP="00210B38">
      <w:r>
        <w:t>The status qu</w:t>
      </w:r>
      <w:r w:rsidR="002158A2">
        <w:t>o option provides the baseline for the determination of any changes to regulatory compliance costs for the other options being considered.</w:t>
      </w:r>
    </w:p>
    <w:p w14:paraId="4140E148" w14:textId="05850878" w:rsidR="00112799" w:rsidRDefault="00112799">
      <w:pPr>
        <w:rPr>
          <w:rFonts w:eastAsia="Times New Roman" w:cs="Times New Roman"/>
          <w:b/>
          <w:bCs/>
          <w:i/>
          <w:color w:val="001871"/>
          <w:sz w:val="26"/>
          <w:szCs w:val="26"/>
        </w:rPr>
      </w:pPr>
      <w:bookmarkStart w:id="74" w:name="_Toc156375143"/>
      <w:bookmarkStart w:id="75" w:name="_Toc156382750"/>
    </w:p>
    <w:p w14:paraId="4ABDA2B7" w14:textId="35BA2597" w:rsidR="0090226E" w:rsidRDefault="0090226E" w:rsidP="0090226E">
      <w:pPr>
        <w:pStyle w:val="Heading5"/>
      </w:pPr>
      <w:r>
        <w:lastRenderedPageBreak/>
        <w:t>Success Criteria</w:t>
      </w:r>
    </w:p>
    <w:p w14:paraId="5338B5FD" w14:textId="2E02F763" w:rsidR="008511E2" w:rsidRDefault="008511E2">
      <w:r>
        <w:t xml:space="preserve">Option 1 does nothing to address the Government’s </w:t>
      </w:r>
      <w:r w:rsidR="00146660">
        <w:t>objectives</w:t>
      </w:r>
      <w:r>
        <w:t xml:space="preserve"> and will make no </w:t>
      </w:r>
      <w:r w:rsidR="00146660">
        <w:t>impact on the achievement of the success criteria.</w:t>
      </w:r>
    </w:p>
    <w:p w14:paraId="45502960" w14:textId="7C57E6A8" w:rsidR="00EB0CA6" w:rsidRPr="0090226E" w:rsidRDefault="0090226E">
      <w:r>
        <w:t>The following table details the level to which the proposed option addresses the success criteria of government intervention. The ratings provided are qualitative and are rela</w:t>
      </w:r>
      <w:r w:rsidR="005B07F8">
        <w:t>tive</w:t>
      </w:r>
      <w:r>
        <w:t xml:space="preserve"> to the other policy options proposed.</w:t>
      </w:r>
    </w:p>
    <w:p w14:paraId="005C20E6" w14:textId="096AD805" w:rsidR="00112799" w:rsidRDefault="00112799" w:rsidP="00B37DCC">
      <w:pPr>
        <w:pStyle w:val="Caption"/>
        <w:keepNext/>
      </w:pPr>
      <w:r>
        <w:t xml:space="preserve">Table </w:t>
      </w:r>
      <w:r>
        <w:fldChar w:fldCharType="begin"/>
      </w:r>
      <w:r>
        <w:instrText>SEQ Table \* ARABIC</w:instrText>
      </w:r>
      <w:r>
        <w:fldChar w:fldCharType="separate"/>
      </w:r>
      <w:r w:rsidR="00CA03EA">
        <w:rPr>
          <w:noProof/>
        </w:rPr>
        <w:t>4</w:t>
      </w:r>
      <w:r>
        <w:fldChar w:fldCharType="end"/>
      </w:r>
      <w:r>
        <w:t xml:space="preserve"> - Success criteria</w:t>
      </w:r>
    </w:p>
    <w:tbl>
      <w:tblPr>
        <w:tblStyle w:val="GridTable2-Accent1"/>
        <w:tblW w:w="0" w:type="auto"/>
        <w:tblLook w:val="04A0" w:firstRow="1" w:lastRow="0" w:firstColumn="1" w:lastColumn="0" w:noHBand="0" w:noVBand="1"/>
      </w:tblPr>
      <w:tblGrid>
        <w:gridCol w:w="6516"/>
        <w:gridCol w:w="2500"/>
      </w:tblGrid>
      <w:tr w:rsidR="003E7B8D" w14:paraId="5419FBA0" w14:textId="77777777" w:rsidTr="003E7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8691046" w14:textId="06730336" w:rsidR="003E7B8D" w:rsidRPr="003E7B8D" w:rsidRDefault="003E7B8D">
            <w:r w:rsidRPr="003E7B8D">
              <w:t>Success Criteria</w:t>
            </w:r>
          </w:p>
        </w:tc>
        <w:tc>
          <w:tcPr>
            <w:tcW w:w="2500" w:type="dxa"/>
          </w:tcPr>
          <w:p w14:paraId="51A222B3" w14:textId="12F93C5D" w:rsidR="003E7B8D" w:rsidRPr="003E7B8D" w:rsidRDefault="003E7B8D" w:rsidP="00801E46">
            <w:pPr>
              <w:jc w:val="center"/>
              <w:cnfStyle w:val="100000000000" w:firstRow="1" w:lastRow="0" w:firstColumn="0" w:lastColumn="0" w:oddVBand="0" w:evenVBand="0" w:oddHBand="0" w:evenHBand="0" w:firstRowFirstColumn="0" w:firstRowLastColumn="0" w:lastRowFirstColumn="0" w:lastRowLastColumn="0"/>
            </w:pPr>
            <w:r w:rsidRPr="003E7B8D">
              <w:t>Level of Addressal</w:t>
            </w:r>
          </w:p>
        </w:tc>
      </w:tr>
      <w:tr w:rsidR="003E7B8D" w14:paraId="724FCF85" w14:textId="77777777" w:rsidTr="0080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3D717B9" w14:textId="21B3532C" w:rsidR="003E7B8D" w:rsidRPr="003A4817" w:rsidRDefault="003E7B8D" w:rsidP="003A4817">
            <w:pPr>
              <w:pStyle w:val="Numberbullet0"/>
              <w:numPr>
                <w:ilvl w:val="0"/>
                <w:numId w:val="23"/>
              </w:numPr>
              <w:spacing w:before="0" w:after="0"/>
              <w:rPr>
                <w:sz w:val="16"/>
                <w:szCs w:val="16"/>
              </w:rPr>
            </w:pPr>
            <w:r w:rsidRPr="003A4817">
              <w:rPr>
                <w:sz w:val="16"/>
                <w:szCs w:val="16"/>
              </w:rPr>
              <w:t>increased volume of reported medical device adverse events by healthcare facilities</w:t>
            </w:r>
          </w:p>
        </w:tc>
        <w:tc>
          <w:tcPr>
            <w:tcW w:w="2500" w:type="dxa"/>
            <w:vAlign w:val="center"/>
          </w:tcPr>
          <w:p w14:paraId="6DB5CB94" w14:textId="1999C4F6" w:rsidR="003E7B8D" w:rsidRPr="00801E46" w:rsidRDefault="006725DD" w:rsidP="00801E46">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Low - d</w:t>
            </w:r>
            <w:r w:rsidR="003000E4" w:rsidRPr="00801E46">
              <w:rPr>
                <w:sz w:val="16"/>
                <w:szCs w:val="16"/>
              </w:rPr>
              <w:t>oes not address</w:t>
            </w:r>
          </w:p>
        </w:tc>
      </w:tr>
      <w:tr w:rsidR="003E7B8D" w14:paraId="3E56F7F8" w14:textId="77777777" w:rsidTr="00801E46">
        <w:tc>
          <w:tcPr>
            <w:cnfStyle w:val="001000000000" w:firstRow="0" w:lastRow="0" w:firstColumn="1" w:lastColumn="0" w:oddVBand="0" w:evenVBand="0" w:oddHBand="0" w:evenHBand="0" w:firstRowFirstColumn="0" w:firstRowLastColumn="0" w:lastRowFirstColumn="0" w:lastRowLastColumn="0"/>
            <w:tcW w:w="6516" w:type="dxa"/>
            <w:vAlign w:val="center"/>
          </w:tcPr>
          <w:p w14:paraId="3515D26D" w14:textId="778A8005" w:rsidR="003E7B8D" w:rsidRPr="003A4817" w:rsidRDefault="003E7B8D" w:rsidP="003A4817">
            <w:pPr>
              <w:pStyle w:val="Numberbullet0"/>
              <w:spacing w:before="0" w:after="0"/>
              <w:rPr>
                <w:sz w:val="16"/>
                <w:szCs w:val="16"/>
              </w:rPr>
            </w:pPr>
            <w:r w:rsidRPr="003A4817">
              <w:rPr>
                <w:sz w:val="16"/>
                <w:szCs w:val="16"/>
              </w:rPr>
              <w:t>timelier signal detection of medical device adverse events as they occur</w:t>
            </w:r>
          </w:p>
        </w:tc>
        <w:tc>
          <w:tcPr>
            <w:tcW w:w="2500" w:type="dxa"/>
            <w:vAlign w:val="center"/>
          </w:tcPr>
          <w:p w14:paraId="213661E9" w14:textId="446CB664" w:rsidR="003E7B8D" w:rsidRPr="003A4817" w:rsidRDefault="006725DD" w:rsidP="00801E46">
            <w:pPr>
              <w:jc w:val="center"/>
              <w:cnfStyle w:val="000000000000" w:firstRow="0" w:lastRow="0" w:firstColumn="0" w:lastColumn="0" w:oddVBand="0" w:evenVBand="0" w:oddHBand="0" w:evenHBand="0" w:firstRowFirstColumn="0" w:firstRowLastColumn="0" w:lastRowFirstColumn="0" w:lastRowLastColumn="0"/>
              <w:rPr>
                <w:b/>
                <w:sz w:val="16"/>
                <w:szCs w:val="16"/>
              </w:rPr>
            </w:pPr>
            <w:r>
              <w:rPr>
                <w:sz w:val="16"/>
                <w:szCs w:val="16"/>
              </w:rPr>
              <w:t>Low - d</w:t>
            </w:r>
            <w:r w:rsidR="00801E46" w:rsidRPr="00AE63B0">
              <w:rPr>
                <w:sz w:val="16"/>
                <w:szCs w:val="16"/>
              </w:rPr>
              <w:t>oes not address</w:t>
            </w:r>
          </w:p>
        </w:tc>
      </w:tr>
      <w:tr w:rsidR="003E7B8D" w14:paraId="3FAF307C" w14:textId="77777777" w:rsidTr="0080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7AD90ABD" w14:textId="175E3322" w:rsidR="003E7B8D" w:rsidRPr="003A4817" w:rsidRDefault="003E7B8D" w:rsidP="003A4817">
            <w:pPr>
              <w:pStyle w:val="Numberbullet0"/>
              <w:spacing w:before="0" w:after="0"/>
              <w:rPr>
                <w:sz w:val="16"/>
                <w:szCs w:val="16"/>
              </w:rPr>
            </w:pPr>
            <w:r w:rsidRPr="003A4817">
              <w:rPr>
                <w:sz w:val="16"/>
                <w:szCs w:val="16"/>
              </w:rPr>
              <w:t>improved identification of rarer events and potential emerging issues across the country</w:t>
            </w:r>
          </w:p>
        </w:tc>
        <w:tc>
          <w:tcPr>
            <w:tcW w:w="2500" w:type="dxa"/>
            <w:vAlign w:val="center"/>
          </w:tcPr>
          <w:p w14:paraId="737DE460" w14:textId="17BE647D" w:rsidR="003E7B8D" w:rsidRPr="003A4817" w:rsidRDefault="006725DD" w:rsidP="00801E46">
            <w:pPr>
              <w:jc w:val="center"/>
              <w:cnfStyle w:val="000000100000" w:firstRow="0" w:lastRow="0" w:firstColumn="0" w:lastColumn="0" w:oddVBand="0" w:evenVBand="0" w:oddHBand="1" w:evenHBand="0" w:firstRowFirstColumn="0" w:firstRowLastColumn="0" w:lastRowFirstColumn="0" w:lastRowLastColumn="0"/>
              <w:rPr>
                <w:b/>
                <w:sz w:val="16"/>
                <w:szCs w:val="16"/>
              </w:rPr>
            </w:pPr>
            <w:r>
              <w:rPr>
                <w:sz w:val="16"/>
                <w:szCs w:val="16"/>
              </w:rPr>
              <w:t>Low - d</w:t>
            </w:r>
            <w:r w:rsidR="00801E46" w:rsidRPr="00AE63B0">
              <w:rPr>
                <w:sz w:val="16"/>
                <w:szCs w:val="16"/>
              </w:rPr>
              <w:t>oes not address</w:t>
            </w:r>
          </w:p>
        </w:tc>
      </w:tr>
      <w:tr w:rsidR="003E7B8D" w14:paraId="1927C70A" w14:textId="77777777" w:rsidTr="00801E46">
        <w:tc>
          <w:tcPr>
            <w:cnfStyle w:val="001000000000" w:firstRow="0" w:lastRow="0" w:firstColumn="1" w:lastColumn="0" w:oddVBand="0" w:evenVBand="0" w:oddHBand="0" w:evenHBand="0" w:firstRowFirstColumn="0" w:firstRowLastColumn="0" w:lastRowFirstColumn="0" w:lastRowLastColumn="0"/>
            <w:tcW w:w="6516" w:type="dxa"/>
            <w:vAlign w:val="center"/>
          </w:tcPr>
          <w:p w14:paraId="3EE3D765" w14:textId="13DC67CF" w:rsidR="003E7B8D" w:rsidRPr="003A4817" w:rsidRDefault="003E7B8D" w:rsidP="003A4817">
            <w:pPr>
              <w:pStyle w:val="Numberbullet0"/>
              <w:spacing w:before="0" w:after="0"/>
              <w:rPr>
                <w:sz w:val="16"/>
                <w:szCs w:val="16"/>
              </w:rPr>
            </w:pPr>
            <w:r w:rsidRPr="003A4817">
              <w:rPr>
                <w:sz w:val="16"/>
                <w:szCs w:val="16"/>
              </w:rPr>
              <w:t>earlier regulatory responses to address safety concerns</w:t>
            </w:r>
          </w:p>
        </w:tc>
        <w:tc>
          <w:tcPr>
            <w:tcW w:w="2500" w:type="dxa"/>
            <w:vAlign w:val="center"/>
          </w:tcPr>
          <w:p w14:paraId="45CB0912" w14:textId="1A3B15E6" w:rsidR="003E7B8D" w:rsidRPr="003A4817" w:rsidRDefault="006725DD" w:rsidP="00801E4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9513F">
              <w:rPr>
                <w:sz w:val="16"/>
                <w:szCs w:val="16"/>
              </w:rPr>
              <w:t>Low - does</w:t>
            </w:r>
            <w:r w:rsidR="00801E46" w:rsidRPr="00AE63B0">
              <w:rPr>
                <w:sz w:val="16"/>
                <w:szCs w:val="16"/>
              </w:rPr>
              <w:t xml:space="preserve"> not address</w:t>
            </w:r>
          </w:p>
        </w:tc>
      </w:tr>
      <w:tr w:rsidR="00555796" w14:paraId="4757DE83" w14:textId="77777777" w:rsidTr="00801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60B99C2" w14:textId="1A37F1E9" w:rsidR="00555796" w:rsidRPr="003A4817" w:rsidRDefault="00555796" w:rsidP="00555796">
            <w:pPr>
              <w:pStyle w:val="Numberbullet0"/>
              <w:spacing w:before="0" w:after="0"/>
              <w:rPr>
                <w:sz w:val="16"/>
                <w:szCs w:val="16"/>
              </w:rPr>
            </w:pPr>
            <w:r w:rsidRPr="00E42BAD">
              <w:rPr>
                <w:sz w:val="16"/>
                <w:szCs w:val="16"/>
              </w:rPr>
              <w:t>more frequent provision of information to healthcare facilities regarding possible threats to patient and professional safety</w:t>
            </w:r>
          </w:p>
        </w:tc>
        <w:tc>
          <w:tcPr>
            <w:tcW w:w="2500" w:type="dxa"/>
            <w:vAlign w:val="center"/>
          </w:tcPr>
          <w:p w14:paraId="26167A20" w14:textId="5F658A55" w:rsidR="00555796" w:rsidRPr="003A4817" w:rsidRDefault="00555796" w:rsidP="0055579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9513F">
              <w:rPr>
                <w:sz w:val="16"/>
                <w:szCs w:val="16"/>
              </w:rPr>
              <w:t>Low - does</w:t>
            </w:r>
            <w:r w:rsidRPr="00AE63B0">
              <w:rPr>
                <w:sz w:val="16"/>
                <w:szCs w:val="16"/>
              </w:rPr>
              <w:t xml:space="preserve"> not address</w:t>
            </w:r>
          </w:p>
        </w:tc>
      </w:tr>
      <w:tr w:rsidR="00555796" w14:paraId="0AAA0C9D" w14:textId="77777777" w:rsidTr="00422DE8">
        <w:tc>
          <w:tcPr>
            <w:cnfStyle w:val="001000000000" w:firstRow="0" w:lastRow="0" w:firstColumn="1" w:lastColumn="0" w:oddVBand="0" w:evenVBand="0" w:oddHBand="0" w:evenHBand="0" w:firstRowFirstColumn="0" w:firstRowLastColumn="0" w:lastRowFirstColumn="0" w:lastRowLastColumn="0"/>
            <w:tcW w:w="0" w:type="dxa"/>
          </w:tcPr>
          <w:p w14:paraId="3297633C" w14:textId="6B126D14" w:rsidR="00555796" w:rsidRPr="003A4817" w:rsidRDefault="00555796" w:rsidP="00555796">
            <w:pPr>
              <w:pStyle w:val="Numberbullet0"/>
              <w:spacing w:before="0" w:after="0"/>
              <w:rPr>
                <w:sz w:val="16"/>
                <w:szCs w:val="16"/>
              </w:rPr>
            </w:pPr>
            <w:r w:rsidRPr="00036AC3">
              <w:rPr>
                <w:sz w:val="16"/>
                <w:szCs w:val="16"/>
              </w:rPr>
              <w:t>proactively identify and mitigate risks associated with medical devices</w:t>
            </w:r>
          </w:p>
        </w:tc>
        <w:tc>
          <w:tcPr>
            <w:tcW w:w="0" w:type="dxa"/>
          </w:tcPr>
          <w:p w14:paraId="74C6D36E" w14:textId="5E3AA2DC" w:rsidR="00555796" w:rsidRPr="0049513F" w:rsidRDefault="00555796" w:rsidP="0055579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2C8A">
              <w:rPr>
                <w:sz w:val="16"/>
                <w:szCs w:val="16"/>
              </w:rPr>
              <w:t>Low - does not address</w:t>
            </w:r>
          </w:p>
        </w:tc>
      </w:tr>
      <w:tr w:rsidR="00555796" w14:paraId="295B016D"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5268D0" w14:textId="3CEF76E7" w:rsidR="00555796" w:rsidRPr="003A4817" w:rsidRDefault="00555796" w:rsidP="00555796">
            <w:pPr>
              <w:pStyle w:val="Numberbullet0"/>
              <w:spacing w:before="0" w:after="0"/>
              <w:rPr>
                <w:sz w:val="16"/>
                <w:szCs w:val="16"/>
              </w:rPr>
            </w:pPr>
            <w:r w:rsidRPr="00036AC3">
              <w:rPr>
                <w:sz w:val="16"/>
                <w:szCs w:val="16"/>
              </w:rPr>
              <w:t>improved data quality enabling meaningful trend identification and analysis</w:t>
            </w:r>
          </w:p>
        </w:tc>
        <w:tc>
          <w:tcPr>
            <w:tcW w:w="0" w:type="dxa"/>
          </w:tcPr>
          <w:p w14:paraId="748B9188" w14:textId="0A86CDB5" w:rsidR="00555796" w:rsidRPr="0049513F" w:rsidRDefault="00555796" w:rsidP="00555796">
            <w:pPr>
              <w:jc w:val="center"/>
              <w:cnfStyle w:val="000000100000" w:firstRow="0" w:lastRow="0" w:firstColumn="0" w:lastColumn="0" w:oddVBand="0" w:evenVBand="0" w:oddHBand="1" w:evenHBand="0" w:firstRowFirstColumn="0" w:firstRowLastColumn="0" w:lastRowFirstColumn="0" w:lastRowLastColumn="0"/>
              <w:rPr>
                <w:sz w:val="16"/>
                <w:szCs w:val="16"/>
              </w:rPr>
            </w:pPr>
            <w:r w:rsidRPr="00FE2C8A">
              <w:rPr>
                <w:sz w:val="16"/>
                <w:szCs w:val="16"/>
              </w:rPr>
              <w:t>Low - does not address</w:t>
            </w:r>
          </w:p>
        </w:tc>
      </w:tr>
    </w:tbl>
    <w:p w14:paraId="7A03AB09" w14:textId="77777777" w:rsidR="00112799" w:rsidRDefault="00112799" w:rsidP="00CC15DA">
      <w:pPr>
        <w:pStyle w:val="Heading3"/>
      </w:pPr>
    </w:p>
    <w:p w14:paraId="24EB4B77" w14:textId="77777777" w:rsidR="00112799" w:rsidRDefault="00112799">
      <w:pPr>
        <w:rPr>
          <w:rFonts w:eastAsia="Times New Roman" w:cs="Times New Roman"/>
          <w:b/>
          <w:bCs/>
          <w:color w:val="001871"/>
          <w:sz w:val="32"/>
          <w:szCs w:val="32"/>
        </w:rPr>
      </w:pPr>
      <w:r>
        <w:br w:type="page"/>
      </w:r>
    </w:p>
    <w:p w14:paraId="696350D2" w14:textId="6762714C" w:rsidR="006E040F" w:rsidRDefault="005E551F" w:rsidP="00CC15DA">
      <w:pPr>
        <w:pStyle w:val="Heading3"/>
        <w:rPr>
          <w:color w:val="FFFFFF" w:themeColor="background1"/>
        </w:rPr>
      </w:pPr>
      <w:bookmarkStart w:id="76" w:name="_Toc179531312"/>
      <w:bookmarkStart w:id="77" w:name="_Toc188012861"/>
      <w:r>
        <w:rPr>
          <w:noProof/>
          <w:lang w:eastAsia="en-AU"/>
        </w:rPr>
        <w:lastRenderedPageBreak/>
        <w:drawing>
          <wp:anchor distT="0" distB="0" distL="114300" distR="114300" simplePos="0" relativeHeight="251689472" behindDoc="0" locked="0" layoutInCell="1" allowOverlap="1" wp14:anchorId="6A79A855" wp14:editId="5FFBA7F5">
            <wp:simplePos x="0" y="0"/>
            <wp:positionH relativeFrom="column">
              <wp:posOffset>-154379</wp:posOffset>
            </wp:positionH>
            <wp:positionV relativeFrom="paragraph">
              <wp:posOffset>10597</wp:posOffset>
            </wp:positionV>
            <wp:extent cx="6478270" cy="2256155"/>
            <wp:effectExtent l="0" t="0" r="0" b="0"/>
            <wp:wrapNone/>
            <wp:docPr id="1726986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6639"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8270" cy="2256155"/>
                    </a:xfrm>
                    <a:prstGeom prst="rect">
                      <a:avLst/>
                    </a:prstGeom>
                    <a:noFill/>
                  </pic:spPr>
                </pic:pic>
              </a:graphicData>
            </a:graphic>
            <wp14:sizeRelH relativeFrom="margin">
              <wp14:pctWidth>0</wp14:pctWidth>
            </wp14:sizeRelH>
            <wp14:sizeRelV relativeFrom="margin">
              <wp14:pctHeight>0</wp14:pctHeight>
            </wp14:sizeRelV>
          </wp:anchor>
        </w:drawing>
      </w:r>
      <w:r w:rsidR="006E040F" w:rsidRPr="00422DE8">
        <w:rPr>
          <w:color w:val="FFFFFF" w:themeColor="background1"/>
        </w:rPr>
        <w:t xml:space="preserve">Option 2: </w:t>
      </w:r>
      <w:r w:rsidR="00431F8A" w:rsidRPr="00422DE8">
        <w:rPr>
          <w:color w:val="FFFFFF" w:themeColor="background1"/>
        </w:rPr>
        <w:t xml:space="preserve">Public and Private hospitals report </w:t>
      </w:r>
      <w:r w:rsidR="0095781D" w:rsidRPr="00422DE8">
        <w:rPr>
          <w:color w:val="FFFFFF" w:themeColor="background1"/>
        </w:rPr>
        <w:t xml:space="preserve">adverse events relating to </w:t>
      </w:r>
      <w:r w:rsidR="00D13E9D" w:rsidRPr="00422DE8">
        <w:rPr>
          <w:color w:val="FFFFFF" w:themeColor="background1"/>
        </w:rPr>
        <w:t>high-risk</w:t>
      </w:r>
      <w:r w:rsidR="00431F8A" w:rsidRPr="00422DE8">
        <w:rPr>
          <w:color w:val="FFFFFF" w:themeColor="background1"/>
        </w:rPr>
        <w:t xml:space="preserve"> medical devices</w:t>
      </w:r>
      <w:bookmarkEnd w:id="76"/>
      <w:bookmarkEnd w:id="77"/>
    </w:p>
    <w:p w14:paraId="59B41F85" w14:textId="02DBE017" w:rsidR="00740FA9" w:rsidRDefault="00740FA9" w:rsidP="00740FA9"/>
    <w:p w14:paraId="203B689B" w14:textId="1B8E0E45" w:rsidR="00740FA9" w:rsidRDefault="00740FA9" w:rsidP="00740FA9"/>
    <w:p w14:paraId="3A46934A" w14:textId="4A711DB1" w:rsidR="00740FA9" w:rsidRDefault="00740FA9" w:rsidP="00740FA9"/>
    <w:p w14:paraId="4BDA5325" w14:textId="4022B306" w:rsidR="00740FA9" w:rsidRDefault="00740FA9" w:rsidP="00740FA9"/>
    <w:p w14:paraId="4D602588" w14:textId="6E7E2D9F" w:rsidR="00740FA9" w:rsidRPr="00740FA9" w:rsidRDefault="00740FA9" w:rsidP="00422DE8"/>
    <w:p w14:paraId="5AF9513D" w14:textId="6E75FF2A" w:rsidR="00740FA9" w:rsidRDefault="00740FA9" w:rsidP="00371389"/>
    <w:p w14:paraId="18E7FF65" w14:textId="789E2E48" w:rsidR="00740FA9" w:rsidRDefault="00740FA9" w:rsidP="00371389"/>
    <w:p w14:paraId="0B3B677F" w14:textId="77777777" w:rsidR="00740FA9" w:rsidRDefault="00740FA9" w:rsidP="00371389"/>
    <w:p w14:paraId="6F54D268" w14:textId="28BD7C0A" w:rsidR="00371389" w:rsidRDefault="00371389" w:rsidP="00371389">
      <w:r w:rsidRPr="002948B1">
        <w:t xml:space="preserve">Option </w:t>
      </w:r>
      <w:r>
        <w:t>2</w:t>
      </w:r>
      <w:r w:rsidRPr="002948B1">
        <w:t xml:space="preserve"> would see the implementation of mandatory medical device adverse event reporting for publi</w:t>
      </w:r>
      <w:r>
        <w:t>c and private hospitals (including day hospitals)</w:t>
      </w:r>
      <w:r w:rsidRPr="002948B1">
        <w:t xml:space="preserve">. </w:t>
      </w:r>
      <w:r>
        <w:t xml:space="preserve">This option proposes that reporting be mandatory for reportable medical devices </w:t>
      </w:r>
      <w:r w:rsidR="007B0F90">
        <w:t>deemed to be high-risk (i.e., those classified as</w:t>
      </w:r>
      <w:r>
        <w:t xml:space="preserve"> Class III</w:t>
      </w:r>
      <w:r w:rsidR="007B0F90">
        <w:t xml:space="preserve">, AIMDs, and Class 4 IVDs). </w:t>
      </w:r>
      <w:r>
        <w:t xml:space="preserve">As is described in this section, two sub options </w:t>
      </w:r>
      <w:r w:rsidR="00F012B3">
        <w:t>are</w:t>
      </w:r>
      <w:r>
        <w:t xml:space="preserve"> proposed regarding the frequency of reporting. Th</w:t>
      </w:r>
      <w:r w:rsidR="00DF7C2E">
        <w:t>e</w:t>
      </w:r>
      <w:r>
        <w:t xml:space="preserve">se </w:t>
      </w:r>
      <w:r w:rsidR="00DF7C2E">
        <w:t>are</w:t>
      </w:r>
      <w:r>
        <w:t>:</w:t>
      </w:r>
    </w:p>
    <w:p w14:paraId="2418BFD7" w14:textId="52831323" w:rsidR="00371389" w:rsidRDefault="005B7A57" w:rsidP="00371389">
      <w:pPr>
        <w:pStyle w:val="Bullet1"/>
      </w:pPr>
      <w:r>
        <w:t xml:space="preserve">Option 2A – reporting </w:t>
      </w:r>
      <w:r w:rsidR="00371389">
        <w:t>in batch</w:t>
      </w:r>
      <w:r w:rsidR="005A1022">
        <w:rPr>
          <w:rStyle w:val="FootnoteReference"/>
        </w:rPr>
        <w:footnoteReference w:id="49"/>
      </w:r>
    </w:p>
    <w:p w14:paraId="68A923F2" w14:textId="448226C5" w:rsidR="00422C6A" w:rsidRDefault="005B7A57" w:rsidP="00735397">
      <w:pPr>
        <w:pStyle w:val="Bullet1"/>
      </w:pPr>
      <w:r>
        <w:t>Option 2B – reporting on</w:t>
      </w:r>
      <w:r w:rsidR="00371389">
        <w:t xml:space="preserve"> occurrence</w:t>
      </w:r>
      <w:r w:rsidR="00371389" w:rsidRPr="002948B1">
        <w:t>.</w:t>
      </w:r>
    </w:p>
    <w:p w14:paraId="171CBD52" w14:textId="641661B6" w:rsidR="00410D24" w:rsidRPr="002A7AC4" w:rsidRDefault="007D3CD1" w:rsidP="00371389">
      <w:pPr>
        <w:pStyle w:val="Heading3-NotinTOC"/>
      </w:pPr>
      <w:bookmarkStart w:id="78" w:name="_Toc160784002"/>
      <w:bookmarkStart w:id="79" w:name="_Toc160784064"/>
      <w:bookmarkStart w:id="80" w:name="_Toc160811479"/>
      <w:bookmarkStart w:id="81" w:name="_Toc162009861"/>
      <w:bookmarkStart w:id="82" w:name="_Toc162024240"/>
      <w:bookmarkStart w:id="83" w:name="_Toc163229847"/>
      <w:bookmarkStart w:id="84" w:name="_Toc163231051"/>
      <w:bookmarkStart w:id="85" w:name="_Toc172126738"/>
      <w:bookmarkStart w:id="86" w:name="_Toc179531313"/>
      <w:bookmarkStart w:id="87" w:name="_Toc188012862"/>
      <w:r w:rsidRPr="002A7AC4">
        <w:t xml:space="preserve">Measure 1 – Mandatory Reporting by </w:t>
      </w:r>
      <w:r w:rsidR="00410D24" w:rsidRPr="002A7AC4">
        <w:t>Health Care Facilities</w:t>
      </w:r>
      <w:bookmarkEnd w:id="78"/>
      <w:bookmarkEnd w:id="79"/>
      <w:bookmarkEnd w:id="80"/>
      <w:bookmarkEnd w:id="81"/>
      <w:bookmarkEnd w:id="82"/>
      <w:bookmarkEnd w:id="83"/>
      <w:bookmarkEnd w:id="84"/>
      <w:bookmarkEnd w:id="85"/>
      <w:bookmarkEnd w:id="86"/>
      <w:bookmarkEnd w:id="87"/>
    </w:p>
    <w:p w14:paraId="51E3B3D9" w14:textId="723E5920" w:rsidR="00756BA9" w:rsidRDefault="00896A72" w:rsidP="00756BA9">
      <w:r>
        <w:t xml:space="preserve">As noted, </w:t>
      </w:r>
      <w:r w:rsidR="005E7B63">
        <w:t xml:space="preserve">Option 2 (as well as the ensuing </w:t>
      </w:r>
      <w:r w:rsidR="0055331A">
        <w:t>Options 3 and 4)</w:t>
      </w:r>
      <w:r w:rsidR="00874933">
        <w:t xml:space="preserve"> sees the </w:t>
      </w:r>
      <w:r w:rsidR="007E5158">
        <w:t xml:space="preserve">implementation, compliance monitoring and </w:t>
      </w:r>
      <w:r w:rsidR="0054036C">
        <w:t xml:space="preserve">enforcement of amended legislation mandating reporting of medical device adverse events by healthcare facilities, namely public and private hospitals. </w:t>
      </w:r>
      <w:r w:rsidR="00756BA9">
        <w:t>This approach is guided by practice in other countries, such as the USA</w:t>
      </w:r>
      <w:r w:rsidR="007C15C4">
        <w:rPr>
          <w:rStyle w:val="FootnoteReference"/>
        </w:rPr>
        <w:footnoteReference w:id="50"/>
      </w:r>
      <w:r w:rsidR="00756BA9">
        <w:t xml:space="preserve"> and more recently, Canada</w:t>
      </w:r>
      <w:r w:rsidR="007C15C4">
        <w:rPr>
          <w:rStyle w:val="FootnoteReference"/>
        </w:rPr>
        <w:footnoteReference w:id="51"/>
      </w:r>
      <w:r w:rsidR="00756BA9">
        <w:t xml:space="preserve">, where it </w:t>
      </w:r>
      <w:r w:rsidR="004876BD">
        <w:t xml:space="preserve">is </w:t>
      </w:r>
      <w:r w:rsidR="00756BA9">
        <w:t xml:space="preserve">mandatory for healthcare facilities to report </w:t>
      </w:r>
      <w:r w:rsidR="00BE17AA">
        <w:t xml:space="preserve">side effects or adverse </w:t>
      </w:r>
      <w:r w:rsidR="00756BA9">
        <w:t>events that may be related to medical devices. In these cases, an organisation-focussed approach, rather than imposing requirements on individual medical practitioners / staff was considered to:</w:t>
      </w:r>
    </w:p>
    <w:p w14:paraId="27775E08" w14:textId="7E64D6DC" w:rsidR="00756BA9" w:rsidRDefault="00AE707C" w:rsidP="00756BA9">
      <w:pPr>
        <w:pStyle w:val="Bullet1"/>
      </w:pPr>
      <w:r>
        <w:t>r</w:t>
      </w:r>
      <w:r w:rsidR="00756BA9">
        <w:t>educe the overall level of reporting burden placed upon individual health professionals</w:t>
      </w:r>
    </w:p>
    <w:p w14:paraId="295F1659" w14:textId="1121376C" w:rsidR="00756BA9" w:rsidRDefault="00AE707C" w:rsidP="00756BA9">
      <w:pPr>
        <w:pStyle w:val="Bullet1"/>
      </w:pPr>
      <w:r>
        <w:t>p</w:t>
      </w:r>
      <w:r w:rsidR="00756BA9">
        <w:t>rovide greater flexibility for health services to allocate resources required for adverse event reporting</w:t>
      </w:r>
    </w:p>
    <w:p w14:paraId="3FE92C13" w14:textId="711E7E48" w:rsidR="00756BA9" w:rsidRDefault="00AE707C" w:rsidP="00756BA9">
      <w:pPr>
        <w:pStyle w:val="Bullet1"/>
      </w:pPr>
      <w:r>
        <w:t>i</w:t>
      </w:r>
      <w:r w:rsidR="00756BA9">
        <w:t xml:space="preserve">ncrease the potential quality of adverse event reports to the </w:t>
      </w:r>
      <w:r w:rsidR="00B50091">
        <w:t>TGA</w:t>
      </w:r>
      <w:r w:rsidR="00756BA9">
        <w:t>, particularly information relating to specific medical devices that may otherwise be unavailable to individual healthcare professionals at the time of incident notification</w:t>
      </w:r>
    </w:p>
    <w:p w14:paraId="6F4CA346" w14:textId="481A9BB6" w:rsidR="00756BA9" w:rsidRPr="00E36420" w:rsidRDefault="00AE707C" w:rsidP="00756BA9">
      <w:pPr>
        <w:pStyle w:val="Bullet1"/>
      </w:pPr>
      <w:r>
        <w:t>b</w:t>
      </w:r>
      <w:r w:rsidR="00756BA9">
        <w:t>e more reliably monitored and able to be enforced by regulators, and more consistent with responsibilities of device manufacturers for the reporting of adverse events.</w:t>
      </w:r>
    </w:p>
    <w:p w14:paraId="6A20B47B" w14:textId="0F68F212" w:rsidR="00756BA9" w:rsidRDefault="00756BA9" w:rsidP="00756BA9">
      <w:r>
        <w:t xml:space="preserve">In consultation with key state and territory stakeholders, there was strong support for the introduction of mandatory reporting by all </w:t>
      </w:r>
      <w:r w:rsidR="00BE17AA">
        <w:t xml:space="preserve">Australian </w:t>
      </w:r>
      <w:r>
        <w:t>healthcare facilities, including:</w:t>
      </w:r>
    </w:p>
    <w:p w14:paraId="03B8BCDC" w14:textId="61502CEC" w:rsidR="00756BA9" w:rsidRDefault="002724E8" w:rsidP="00756BA9">
      <w:pPr>
        <w:pStyle w:val="Bullet1"/>
      </w:pPr>
      <w:r>
        <w:t>s</w:t>
      </w:r>
      <w:r w:rsidR="00756BA9">
        <w:t>pecialist medical practices</w:t>
      </w:r>
    </w:p>
    <w:p w14:paraId="61320628" w14:textId="5BD84E3F" w:rsidR="00756BA9" w:rsidRDefault="002724E8" w:rsidP="00756BA9">
      <w:pPr>
        <w:pStyle w:val="Bullet1"/>
      </w:pPr>
      <w:r>
        <w:lastRenderedPageBreak/>
        <w:t>p</w:t>
      </w:r>
      <w:r w:rsidR="00756BA9">
        <w:t>ublic and private ambulance services</w:t>
      </w:r>
    </w:p>
    <w:p w14:paraId="57231C40" w14:textId="143EB20A" w:rsidR="00756BA9" w:rsidRDefault="002724E8" w:rsidP="00756BA9">
      <w:pPr>
        <w:pStyle w:val="Bullet1"/>
      </w:pPr>
      <w:r>
        <w:t>p</w:t>
      </w:r>
      <w:r w:rsidR="00756BA9">
        <w:t>harmacies</w:t>
      </w:r>
    </w:p>
    <w:p w14:paraId="78FF966B" w14:textId="4440D35E" w:rsidR="00756BA9" w:rsidRDefault="002724E8" w:rsidP="00756BA9">
      <w:pPr>
        <w:pStyle w:val="Bullet1"/>
      </w:pPr>
      <w:r>
        <w:t>r</w:t>
      </w:r>
      <w:r w:rsidR="00756BA9">
        <w:t>esidential care providers</w:t>
      </w:r>
    </w:p>
    <w:p w14:paraId="003A788B" w14:textId="05F99DA9" w:rsidR="00756BA9" w:rsidRDefault="002724E8" w:rsidP="00756BA9">
      <w:pPr>
        <w:pStyle w:val="Bullet1"/>
      </w:pPr>
      <w:r>
        <w:t>n</w:t>
      </w:r>
      <w:r w:rsidR="00756BA9">
        <w:t>on-medical specialist cosmetic procedure centres</w:t>
      </w:r>
    </w:p>
    <w:p w14:paraId="5E2F0EBD" w14:textId="54220E12" w:rsidR="00756BA9" w:rsidRDefault="002724E8" w:rsidP="00756BA9">
      <w:pPr>
        <w:pStyle w:val="Bullet1"/>
      </w:pPr>
      <w:r>
        <w:t>g</w:t>
      </w:r>
      <w:r w:rsidR="00756BA9">
        <w:t>eneral practices</w:t>
      </w:r>
    </w:p>
    <w:p w14:paraId="4E5542E0" w14:textId="3982B2CA" w:rsidR="00756BA9" w:rsidRDefault="002724E8" w:rsidP="00756BA9">
      <w:pPr>
        <w:pStyle w:val="Bullet1"/>
      </w:pPr>
      <w:r>
        <w:t>d</w:t>
      </w:r>
      <w:r w:rsidR="00756BA9">
        <w:t>ental and orthodontic practices</w:t>
      </w:r>
    </w:p>
    <w:p w14:paraId="37F367EA" w14:textId="6611B896" w:rsidR="00756BA9" w:rsidRDefault="002724E8" w:rsidP="00756BA9">
      <w:pPr>
        <w:pStyle w:val="Bullet1"/>
      </w:pPr>
      <w:r>
        <w:t>c</w:t>
      </w:r>
      <w:r w:rsidR="00756BA9">
        <w:t>ommunity based health services such as district nursing services</w:t>
      </w:r>
    </w:p>
    <w:p w14:paraId="0FE63C00" w14:textId="50E33E17" w:rsidR="00756BA9" w:rsidRDefault="002724E8" w:rsidP="00756BA9">
      <w:pPr>
        <w:pStyle w:val="Bullet1"/>
      </w:pPr>
      <w:r>
        <w:t>c</w:t>
      </w:r>
      <w:r w:rsidR="00756BA9">
        <w:t>hiropractic practices who conduct diagnostic imaging</w:t>
      </w:r>
    </w:p>
    <w:p w14:paraId="0E988420" w14:textId="74123A51" w:rsidR="00756BA9" w:rsidRDefault="002724E8" w:rsidP="00756BA9">
      <w:pPr>
        <w:pStyle w:val="Bullet1"/>
      </w:pPr>
      <w:r>
        <w:t>a</w:t>
      </w:r>
      <w:r w:rsidR="00756BA9">
        <w:t>llied health practices</w:t>
      </w:r>
      <w:r w:rsidR="00E943B5">
        <w:t xml:space="preserve"> recognised and regulated by the Australian Health Practitioner Regulation Agency (AHPRA) such as physiotherapists, medical radiation practitioners, audiologists</w:t>
      </w:r>
      <w:r w:rsidR="00645C3B">
        <w:t>.</w:t>
      </w:r>
      <w:r w:rsidR="00E943B5">
        <w:rPr>
          <w:rStyle w:val="FootnoteReference"/>
        </w:rPr>
        <w:footnoteReference w:id="52"/>
      </w:r>
    </w:p>
    <w:p w14:paraId="0C1174FA" w14:textId="39DF8FC3" w:rsidR="00756BA9" w:rsidRDefault="00756BA9" w:rsidP="00756BA9">
      <w:r>
        <w:t>Whil</w:t>
      </w:r>
      <w:r w:rsidR="00A93E35">
        <w:t>e</w:t>
      </w:r>
      <w:r>
        <w:t xml:space="preserve"> broad coverage of healthcare facilities would improve TGA’s capability to detect, identify and respond to adverse events and potential emerging issues relating to the safety of medical devices, it would also impose significant regulatory burden. Option </w:t>
      </w:r>
      <w:r w:rsidR="00072C13">
        <w:t>2</w:t>
      </w:r>
      <w:r>
        <w:t xml:space="preserve"> proposes to introduce mandatory reporting of medical device adverse events to a targeted population</w:t>
      </w:r>
      <w:r w:rsidR="00DD034D">
        <w:t xml:space="preserve"> -</w:t>
      </w:r>
      <w:r>
        <w:t xml:space="preserve"> public</w:t>
      </w:r>
      <w:r w:rsidR="006548EC">
        <w:t xml:space="preserve"> and</w:t>
      </w:r>
      <w:r>
        <w:t xml:space="preserve"> private </w:t>
      </w:r>
      <w:r w:rsidR="006548EC">
        <w:t>hospitals (inclusive of day hospitals</w:t>
      </w:r>
      <w:r w:rsidR="00867A8A">
        <w:t>)</w:t>
      </w:r>
      <w:r>
        <w:t xml:space="preserve"> accredited to the </w:t>
      </w:r>
      <w:r w:rsidR="0051689A" w:rsidRPr="0051689A">
        <w:t>National Safety and Quality Health Service</w:t>
      </w:r>
      <w:r w:rsidR="0051689A">
        <w:t xml:space="preserve"> (</w:t>
      </w:r>
      <w:r w:rsidR="00733656">
        <w:t>NSQHS</w:t>
      </w:r>
      <w:r w:rsidR="0051689A">
        <w:t>)</w:t>
      </w:r>
      <w:r>
        <w:t xml:space="preserve"> Standards (1</w:t>
      </w:r>
      <w:r w:rsidR="007E0B61">
        <w:t>,</w:t>
      </w:r>
      <w:r>
        <w:t>3</w:t>
      </w:r>
      <w:r w:rsidR="00BF0B5C">
        <w:t>2</w:t>
      </w:r>
      <w:r w:rsidR="0076236F">
        <w:t>9</w:t>
      </w:r>
      <w:r>
        <w:t xml:space="preserve"> hospitals, day procedure services and public dental practices accredited</w:t>
      </w:r>
      <w:r w:rsidR="0060422B">
        <w:t xml:space="preserve"> as</w:t>
      </w:r>
      <w:r w:rsidR="001F77B7">
        <w:t xml:space="preserve"> at 2023</w:t>
      </w:r>
      <w:r>
        <w:t>).</w:t>
      </w:r>
      <w:r w:rsidR="00DF28D9">
        <w:rPr>
          <w:rStyle w:val="FootnoteReference"/>
        </w:rPr>
        <w:footnoteReference w:id="53"/>
      </w:r>
      <w:r>
        <w:t xml:space="preserve"> Th</w:t>
      </w:r>
      <w:r w:rsidR="00A819F7">
        <w:t>is</w:t>
      </w:r>
      <w:r>
        <w:t xml:space="preserve"> population w</w:t>
      </w:r>
      <w:r w:rsidR="0035785A">
        <w:t>ould</w:t>
      </w:r>
      <w:r>
        <w:t xml:space="preserve"> provide significantly greater reporting coverage</w:t>
      </w:r>
      <w:r w:rsidR="00684CFF">
        <w:t xml:space="preserve"> w</w:t>
      </w:r>
      <w:r w:rsidR="008935F1">
        <w:t>ithout imposing</w:t>
      </w:r>
      <w:r>
        <w:t xml:space="preserve"> a disproportionate regulatory burden</w:t>
      </w:r>
      <w:r w:rsidR="009D1516">
        <w:t xml:space="preserve"> on the broader community. This is due to the target population’s:</w:t>
      </w:r>
    </w:p>
    <w:p w14:paraId="79C03FBE" w14:textId="51AC5C86" w:rsidR="009D1516" w:rsidRDefault="002E34F7" w:rsidP="009D1516">
      <w:pPr>
        <w:pStyle w:val="Bullet1"/>
      </w:pPr>
      <w:r>
        <w:t xml:space="preserve">organisational </w:t>
      </w:r>
      <w:r w:rsidR="00761241">
        <w:t xml:space="preserve">resources available </w:t>
      </w:r>
      <w:r w:rsidR="00CD1C97">
        <w:t>for reporting purposes</w:t>
      </w:r>
    </w:p>
    <w:p w14:paraId="2C116BAD" w14:textId="715A8800" w:rsidR="00CD1C97" w:rsidRDefault="007A6633" w:rsidP="009D1516">
      <w:pPr>
        <w:pStyle w:val="Bullet1"/>
      </w:pPr>
      <w:r>
        <w:t xml:space="preserve">in line with their </w:t>
      </w:r>
      <w:r w:rsidR="00B40902">
        <w:t>NS</w:t>
      </w:r>
      <w:r w:rsidR="005268B0">
        <w:t>Q</w:t>
      </w:r>
      <w:r w:rsidR="00B40902">
        <w:t>HS</w:t>
      </w:r>
      <w:r w:rsidR="00733656">
        <w:t xml:space="preserve"> </w:t>
      </w:r>
      <w:r w:rsidR="00B40902">
        <w:t xml:space="preserve">Standards </w:t>
      </w:r>
      <w:r>
        <w:t>accreditation requirements</w:t>
      </w:r>
      <w:r w:rsidR="00B40902">
        <w:t>,</w:t>
      </w:r>
      <w:r>
        <w:t xml:space="preserve"> </w:t>
      </w:r>
      <w:r w:rsidR="00B90226">
        <w:t xml:space="preserve">reporting </w:t>
      </w:r>
      <w:r>
        <w:t>systems and processes</w:t>
      </w:r>
      <w:r w:rsidR="00B40902">
        <w:t xml:space="preserve"> with the capability </w:t>
      </w:r>
      <w:r w:rsidR="00B90226">
        <w:t>for further development will largely already be</w:t>
      </w:r>
      <w:r>
        <w:t xml:space="preserve"> in place</w:t>
      </w:r>
      <w:r w:rsidR="00B90226">
        <w:t>.</w:t>
      </w:r>
    </w:p>
    <w:p w14:paraId="14C15AE3" w14:textId="639506C6" w:rsidR="00756BA9" w:rsidRPr="00E36420" w:rsidRDefault="00756BA9" w:rsidP="00756BA9">
      <w:r>
        <w:t>This was supported broadly across multiple consultation responses, including that from the</w:t>
      </w:r>
      <w:r w:rsidR="00CE3D4C">
        <w:t xml:space="preserve"> </w:t>
      </w:r>
      <w:r>
        <w:t>Commission, who acknowledged that the systems and infrastructure of a larger health service organisation may be able to participate more readily in a mandatory reporting system. Additionally, they recognised that individual health practitioners, such as general practitioners, may find additional reporting burdensome</w:t>
      </w:r>
      <w:r w:rsidR="00B50313">
        <w:t>.</w:t>
      </w:r>
      <w:r w:rsidR="00521179">
        <w:rPr>
          <w:rStyle w:val="FootnoteReference"/>
        </w:rPr>
        <w:footnoteReference w:id="54"/>
      </w:r>
    </w:p>
    <w:p w14:paraId="1646D9B4" w14:textId="23066A9B" w:rsidR="00476C2B" w:rsidRPr="002A7AC4" w:rsidRDefault="002A7AC4" w:rsidP="00371389">
      <w:pPr>
        <w:pStyle w:val="Heading3-NotinTOC"/>
      </w:pPr>
      <w:bookmarkStart w:id="88" w:name="_Toc160784003"/>
      <w:bookmarkStart w:id="89" w:name="_Toc160784065"/>
      <w:bookmarkStart w:id="90" w:name="_Toc160811480"/>
      <w:bookmarkStart w:id="91" w:name="_Toc162009862"/>
      <w:bookmarkStart w:id="92" w:name="_Toc162024241"/>
      <w:bookmarkStart w:id="93" w:name="_Toc163229848"/>
      <w:bookmarkStart w:id="94" w:name="_Toc163231052"/>
      <w:bookmarkStart w:id="95" w:name="_Toc172126739"/>
      <w:bookmarkStart w:id="96" w:name="_Toc179531314"/>
      <w:bookmarkStart w:id="97" w:name="_Toc188012863"/>
      <w:r>
        <w:t xml:space="preserve">Measure 2 </w:t>
      </w:r>
      <w:r w:rsidR="00627169">
        <w:t>–</w:t>
      </w:r>
      <w:r>
        <w:t xml:space="preserve"> </w:t>
      </w:r>
      <w:r w:rsidR="00627169">
        <w:t xml:space="preserve">Prescribe medical devices </w:t>
      </w:r>
      <w:r w:rsidR="00DA1B4F">
        <w:t>considered to be of ‘high-risk’</w:t>
      </w:r>
      <w:r w:rsidR="00C73E1E">
        <w:t xml:space="preserve"> </w:t>
      </w:r>
      <w:r w:rsidR="00627169">
        <w:t xml:space="preserve">as </w:t>
      </w:r>
      <w:r w:rsidR="00476C2B" w:rsidRPr="002A7AC4">
        <w:t>Reportable Medical Devices</w:t>
      </w:r>
      <w:bookmarkEnd w:id="88"/>
      <w:bookmarkEnd w:id="89"/>
      <w:bookmarkEnd w:id="90"/>
      <w:bookmarkEnd w:id="91"/>
      <w:bookmarkEnd w:id="92"/>
      <w:bookmarkEnd w:id="93"/>
      <w:bookmarkEnd w:id="94"/>
      <w:bookmarkEnd w:id="95"/>
      <w:bookmarkEnd w:id="96"/>
      <w:bookmarkEnd w:id="97"/>
    </w:p>
    <w:p w14:paraId="18F1A3B6" w14:textId="43451CEF" w:rsidR="00476C2B" w:rsidRDefault="00333107" w:rsidP="00410D24">
      <w:r>
        <w:t xml:space="preserve">As </w:t>
      </w:r>
      <w:r w:rsidR="0009416A">
        <w:t xml:space="preserve">described in the </w:t>
      </w:r>
      <w:r w:rsidR="0009416A">
        <w:rPr>
          <w:i/>
          <w:iCs/>
        </w:rPr>
        <w:t>Therapeutic Goods Amendment (2022 Measures No. 1) Bill 2023</w:t>
      </w:r>
      <w:r w:rsidR="007B7920">
        <w:t>:</w:t>
      </w:r>
    </w:p>
    <w:p w14:paraId="6E052030" w14:textId="694417B2" w:rsidR="007B7920" w:rsidRDefault="007B7920" w:rsidP="007B7920">
      <w:pPr>
        <w:pStyle w:val="Quote"/>
      </w:pPr>
      <w:r>
        <w:t>‘reportable medical device means a medical device of a kind prescribed by regulations made for the purposes of this definition’</w:t>
      </w:r>
    </w:p>
    <w:p w14:paraId="48372110" w14:textId="2E0BF548" w:rsidR="007B7920" w:rsidRDefault="00627169" w:rsidP="00121039">
      <w:r>
        <w:t>Measure</w:t>
      </w:r>
      <w:r w:rsidR="00121039">
        <w:t xml:space="preserve"> 2 propose</w:t>
      </w:r>
      <w:r w:rsidR="00857A4A">
        <w:t>s</w:t>
      </w:r>
      <w:r w:rsidR="00121039">
        <w:t xml:space="preserve"> that </w:t>
      </w:r>
      <w:r w:rsidR="001D3FFB">
        <w:t>the regulations w</w:t>
      </w:r>
      <w:r w:rsidR="0035785A">
        <w:t>ould</w:t>
      </w:r>
      <w:r w:rsidR="001D3FFB">
        <w:t xml:space="preserve"> prescribe </w:t>
      </w:r>
      <w:r w:rsidR="00121039">
        <w:t xml:space="preserve">reportable medical devices </w:t>
      </w:r>
      <w:r w:rsidR="001D3FFB">
        <w:t>as</w:t>
      </w:r>
      <w:r w:rsidR="000F4E16">
        <w:t xml:space="preserve"> those that are</w:t>
      </w:r>
      <w:r w:rsidR="00121039">
        <w:t xml:space="preserve"> currently (and in future) classified as</w:t>
      </w:r>
      <w:r w:rsidR="00DA1B4F">
        <w:t xml:space="preserve"> high-risk. This includes</w:t>
      </w:r>
      <w:r w:rsidR="00121039">
        <w:t xml:space="preserve"> Class III medical devices</w:t>
      </w:r>
      <w:r w:rsidR="00DA1B4F">
        <w:t>, AIMDs and Class 4 IVDs</w:t>
      </w:r>
      <w:r w:rsidR="00121039">
        <w:t>.</w:t>
      </w:r>
      <w:r w:rsidR="00AF1A5F">
        <w:t xml:space="preserve"> This means that reporting of medical device adverse events would be mandatory for events (either near</w:t>
      </w:r>
      <w:r w:rsidR="0075186A">
        <w:t xml:space="preserve"> miss, serious injury or death) involving (or potentially involving) a </w:t>
      </w:r>
      <w:r w:rsidR="0075186A" w:rsidRPr="00DA1B4F">
        <w:t>Class III medical device</w:t>
      </w:r>
      <w:r w:rsidR="00DA1B4F" w:rsidRPr="00582F14">
        <w:t>, AIMD or Class 4 IVD</w:t>
      </w:r>
      <w:r w:rsidR="0075186A" w:rsidRPr="00DA1B4F">
        <w:t xml:space="preserve">. </w:t>
      </w:r>
      <w:r w:rsidR="00DA1B4F" w:rsidRPr="00582F14">
        <w:t>These categories</w:t>
      </w:r>
      <w:r w:rsidR="0075186A" w:rsidRPr="00DA1B4F">
        <w:t xml:space="preserve"> </w:t>
      </w:r>
      <w:r w:rsidR="000F4E16" w:rsidRPr="00DA1B4F">
        <w:t>comprise</w:t>
      </w:r>
      <w:r w:rsidR="00DA1B4F" w:rsidRPr="00582F14">
        <w:t xml:space="preserve"> of</w:t>
      </w:r>
      <w:r w:rsidR="003A7555" w:rsidRPr="00DA1B4F">
        <w:t xml:space="preserve"> medical devices that have been </w:t>
      </w:r>
      <w:r w:rsidR="003A7555" w:rsidRPr="00DA1B4F">
        <w:lastRenderedPageBreak/>
        <w:t>determined to have a high</w:t>
      </w:r>
      <w:r w:rsidR="00B86FCD" w:rsidRPr="00DA1B4F">
        <w:t>er</w:t>
      </w:r>
      <w:r w:rsidR="003A7555" w:rsidRPr="00DA1B4F">
        <w:t xml:space="preserve"> </w:t>
      </w:r>
      <w:r w:rsidR="00B86FCD" w:rsidRPr="00DA1B4F">
        <w:t xml:space="preserve">risk </w:t>
      </w:r>
      <w:r w:rsidR="0073135A" w:rsidRPr="00DA1B4F">
        <w:t xml:space="preserve">of </w:t>
      </w:r>
      <w:r w:rsidR="003A7555" w:rsidRPr="00DA1B4F">
        <w:t>potential harm, either to th</w:t>
      </w:r>
      <w:r w:rsidR="00D80B1D" w:rsidRPr="00DA1B4F">
        <w:t xml:space="preserve">ose </w:t>
      </w:r>
      <w:r w:rsidR="006D53AE" w:rsidRPr="00DA1B4F">
        <w:t>the medical device is intending to help (i.e., patients), or those tha</w:t>
      </w:r>
      <w:r w:rsidR="00C9387F">
        <w:t>t</w:t>
      </w:r>
      <w:r w:rsidR="006D53AE" w:rsidRPr="00DA1B4F">
        <w:t xml:space="preserve"> ma</w:t>
      </w:r>
      <w:r w:rsidR="00E33971" w:rsidRPr="00DA1B4F">
        <w:t>y come into contact with it (e.g., medical practitioners).</w:t>
      </w:r>
    </w:p>
    <w:p w14:paraId="278986DA" w14:textId="2726A479" w:rsidR="00130B4C" w:rsidRDefault="00E0340B" w:rsidP="00121039">
      <w:bookmarkStart w:id="98" w:name="_Hlk185592491"/>
      <w:r>
        <w:t>These high-risk</w:t>
      </w:r>
      <w:r w:rsidR="00130B4C">
        <w:t xml:space="preserve"> medical devices make up roughly 10% of medical devices registered on the ARTG. However, this same Class has been attributed to 4</w:t>
      </w:r>
      <w:r w:rsidR="009D648D">
        <w:t>9</w:t>
      </w:r>
      <w:r w:rsidR="00130B4C">
        <w:t>.</w:t>
      </w:r>
      <w:r w:rsidR="009D648D">
        <w:t>5</w:t>
      </w:r>
      <w:r w:rsidR="00130B4C">
        <w:t xml:space="preserve">% of medical device adverse events reported over the last </w:t>
      </w:r>
      <w:r w:rsidR="00F41B5C">
        <w:t xml:space="preserve">five </w:t>
      </w:r>
      <w:r w:rsidR="00130B4C">
        <w:t>calendar years (Q1 2019 to Q4 2023).</w:t>
      </w:r>
      <w:bookmarkEnd w:id="98"/>
      <w:r w:rsidR="00130B4C">
        <w:t xml:space="preserve"> In comparison, Class I devices, which are of low risk relative to Class III and make up 53.7% of medical devices currently registered, are attributed to 4.4% of medical device adverse events reported in the same period</w:t>
      </w:r>
      <w:r w:rsidR="0080026E">
        <w:t>.</w:t>
      </w:r>
      <w:r w:rsidR="0093421C">
        <w:rPr>
          <w:rStyle w:val="FootnoteReference"/>
        </w:rPr>
        <w:footnoteReference w:id="55"/>
      </w:r>
    </w:p>
    <w:p w14:paraId="13DDE57D" w14:textId="441AD6D9" w:rsidR="00CD6A70" w:rsidRDefault="00CD6A70" w:rsidP="00121039">
      <w:r>
        <w:t xml:space="preserve">The </w:t>
      </w:r>
      <w:r w:rsidR="00857A4A">
        <w:t xml:space="preserve">intention of limiting </w:t>
      </w:r>
      <w:r w:rsidR="0003132F">
        <w:t xml:space="preserve">the prescribed </w:t>
      </w:r>
      <w:r w:rsidR="00857A4A">
        <w:t xml:space="preserve">reportable medical devices </w:t>
      </w:r>
      <w:r w:rsidR="00023A42">
        <w:t xml:space="preserve">to </w:t>
      </w:r>
      <w:r w:rsidR="0003132F">
        <w:t>comprise solely of Class III</w:t>
      </w:r>
      <w:r w:rsidR="001456F1">
        <w:t xml:space="preserve"> medical devices</w:t>
      </w:r>
      <w:r w:rsidR="00095B71">
        <w:t>, AIMDs and Class 4 IVDs</w:t>
      </w:r>
      <w:r w:rsidR="0003132F">
        <w:t>, is twofold:</w:t>
      </w:r>
    </w:p>
    <w:p w14:paraId="2EE517E8" w14:textId="27215D37" w:rsidR="0003132F" w:rsidRDefault="00502E9B" w:rsidP="00422DE8">
      <w:pPr>
        <w:pStyle w:val="Numberbullet0"/>
        <w:numPr>
          <w:ilvl w:val="0"/>
          <w:numId w:val="37"/>
        </w:numPr>
      </w:pPr>
      <w:r>
        <w:t>limit the regulatory burden imposed on the regulated community (i.e., public and private hospit</w:t>
      </w:r>
      <w:r w:rsidR="00DC239D">
        <w:t>als)</w:t>
      </w:r>
      <w:r w:rsidR="0031718A">
        <w:t>; and</w:t>
      </w:r>
    </w:p>
    <w:p w14:paraId="01A0CA9E" w14:textId="5C442227" w:rsidR="0075577D" w:rsidRDefault="0031718A" w:rsidP="00844033">
      <w:pPr>
        <w:pStyle w:val="Numberbullet0"/>
      </w:pPr>
      <w:r>
        <w:t xml:space="preserve">maintain </w:t>
      </w:r>
      <w:r w:rsidR="00D35D74">
        <w:t xml:space="preserve">focus </w:t>
      </w:r>
      <w:r w:rsidR="005972A5">
        <w:t xml:space="preserve">on medical devices that pose the highest potential risk to </w:t>
      </w:r>
      <w:r w:rsidR="00844033">
        <w:t xml:space="preserve">consumers, medical </w:t>
      </w:r>
      <w:r w:rsidR="000824EC">
        <w:t>practitioners</w:t>
      </w:r>
      <w:r w:rsidR="00844033">
        <w:t xml:space="preserve"> and the </w:t>
      </w:r>
      <w:r w:rsidR="000824EC">
        <w:t>public</w:t>
      </w:r>
      <w:r w:rsidR="00844033">
        <w:t>.</w:t>
      </w:r>
    </w:p>
    <w:p w14:paraId="7DFACF5D" w14:textId="7DE16887" w:rsidR="00F53C69" w:rsidRPr="00371389" w:rsidRDefault="00371389" w:rsidP="00371389">
      <w:pPr>
        <w:pStyle w:val="Heading3-NotinTOC"/>
      </w:pPr>
      <w:bookmarkStart w:id="99" w:name="_Toc162009863"/>
      <w:bookmarkStart w:id="100" w:name="_Toc162024242"/>
      <w:bookmarkStart w:id="101" w:name="_Toc163229849"/>
      <w:bookmarkStart w:id="102" w:name="_Toc163231053"/>
      <w:bookmarkStart w:id="103" w:name="_Toc172126740"/>
      <w:bookmarkStart w:id="104" w:name="_Toc179531315"/>
      <w:bookmarkStart w:id="105" w:name="_Toc188012864"/>
      <w:r w:rsidRPr="00371389">
        <w:t>Measure 3 – Addition of reporting fields relating to medical devices</w:t>
      </w:r>
      <w:bookmarkEnd w:id="99"/>
      <w:bookmarkEnd w:id="100"/>
      <w:bookmarkEnd w:id="101"/>
      <w:bookmarkEnd w:id="102"/>
      <w:bookmarkEnd w:id="103"/>
      <w:bookmarkEnd w:id="104"/>
      <w:bookmarkEnd w:id="105"/>
    </w:p>
    <w:p w14:paraId="454975A1" w14:textId="040EC2D5" w:rsidR="00295472" w:rsidRDefault="00FC55F2" w:rsidP="00F53C69">
      <w:r>
        <w:t>Measure 3</w:t>
      </w:r>
      <w:r w:rsidR="00F53C69">
        <w:t xml:space="preserve"> proposes</w:t>
      </w:r>
      <w:r w:rsidR="00D62F76">
        <w:t xml:space="preserve"> to introduce additional data fields to </w:t>
      </w:r>
      <w:r w:rsidR="00B961F2">
        <w:t xml:space="preserve">existing local incident management systems for the </w:t>
      </w:r>
      <w:r w:rsidR="00341BBF">
        <w:t>reporting population. A</w:t>
      </w:r>
      <w:r w:rsidR="00F53C69">
        <w:t>n iterative approach</w:t>
      </w:r>
      <w:r w:rsidR="00341BBF">
        <w:t xml:space="preserve"> has been taken</w:t>
      </w:r>
      <w:r w:rsidR="00F53C69">
        <w:t xml:space="preserve"> </w:t>
      </w:r>
      <w:r w:rsidR="00ED123F">
        <w:t>in developing</w:t>
      </w:r>
      <w:r w:rsidR="00F53C69">
        <w:t xml:space="preserve"> the information requirements of medical device adverse event</w:t>
      </w:r>
      <w:r w:rsidR="008C71DA">
        <w:t xml:space="preserve"> reporting</w:t>
      </w:r>
      <w:r w:rsidR="00F53C69">
        <w:t>.</w:t>
      </w:r>
      <w:r w:rsidR="00AE192E">
        <w:t xml:space="preserve"> As much as possible,</w:t>
      </w:r>
      <w:r w:rsidR="00A72A9D">
        <w:t xml:space="preserve"> to reduce the regulatory burden imposed on the regulated community, </w:t>
      </w:r>
      <w:r>
        <w:t>Measure 3</w:t>
      </w:r>
      <w:r w:rsidR="00AE192E">
        <w:t xml:space="preserve"> seeks to leverage extant </w:t>
      </w:r>
      <w:r w:rsidR="00E34EC9">
        <w:t>public and private hospital reporting systems and data fields.</w:t>
      </w:r>
      <w:r w:rsidR="007618FD">
        <w:t xml:space="preserve"> </w:t>
      </w:r>
    </w:p>
    <w:p w14:paraId="203C4D12" w14:textId="22E94E5A" w:rsidR="00AE192E" w:rsidRDefault="007618FD" w:rsidP="00F53C69">
      <w:r>
        <w:t>The</w:t>
      </w:r>
      <w:r w:rsidR="00295472">
        <w:t xml:space="preserve"> following</w:t>
      </w:r>
      <w:r>
        <w:t xml:space="preserve"> data</w:t>
      </w:r>
      <w:r w:rsidR="002752F4">
        <w:t>set</w:t>
      </w:r>
      <w:r w:rsidR="00A74282">
        <w:t>s</w:t>
      </w:r>
      <w:r w:rsidR="00295472">
        <w:t xml:space="preserve"> </w:t>
      </w:r>
      <w:r w:rsidR="00A74282">
        <w:t xml:space="preserve">(both existing and new) </w:t>
      </w:r>
      <w:r w:rsidR="00303730">
        <w:t>were</w:t>
      </w:r>
      <w:r w:rsidR="002752F4">
        <w:t xml:space="preserve"> identified in </w:t>
      </w:r>
      <w:r w:rsidR="00295472">
        <w:t xml:space="preserve">consultation </w:t>
      </w:r>
      <w:r w:rsidR="002752F4">
        <w:t>with stakeholders</w:t>
      </w:r>
      <w:r w:rsidR="00A74282">
        <w:t xml:space="preserve">. </w:t>
      </w:r>
      <w:r w:rsidR="00192E78">
        <w:t>The</w:t>
      </w:r>
      <w:r w:rsidR="00A74282">
        <w:t xml:space="preserve"> new</w:t>
      </w:r>
      <w:r w:rsidR="00192E78">
        <w:t xml:space="preserve"> data fields</w:t>
      </w:r>
      <w:r w:rsidR="004718C5">
        <w:t xml:space="preserve"> w</w:t>
      </w:r>
      <w:r w:rsidR="007152DC">
        <w:t>ould</w:t>
      </w:r>
      <w:r w:rsidR="004718C5">
        <w:t xml:space="preserve"> be critical in </w:t>
      </w:r>
      <w:r w:rsidR="005345C7">
        <w:t>str</w:t>
      </w:r>
      <w:r w:rsidR="007A7C29">
        <w:t>engthening post-market medical device monitoring</w:t>
      </w:r>
      <w:r w:rsidR="00F446AF">
        <w:t xml:space="preserve"> and </w:t>
      </w:r>
      <w:r w:rsidR="007A7C29">
        <w:t xml:space="preserve">improving patient safety, </w:t>
      </w:r>
      <w:r w:rsidR="00F446AF">
        <w:t xml:space="preserve">thereby </w:t>
      </w:r>
      <w:r w:rsidR="007A7C29">
        <w:t xml:space="preserve">uplifting the TGA’s capability to </w:t>
      </w:r>
      <w:r w:rsidR="00F446AF">
        <w:t>identify and act upon market signals that indicate potential or emerging issues about the safety and effectiveness of medical devices.</w:t>
      </w:r>
    </w:p>
    <w:p w14:paraId="1ECFC0B5" w14:textId="7601A79D" w:rsidR="00FF1763" w:rsidRDefault="00FF1763" w:rsidP="00FF1763">
      <w:pPr>
        <w:pStyle w:val="Heading5"/>
      </w:pPr>
      <w:r>
        <w:t>Existing Data</w:t>
      </w:r>
    </w:p>
    <w:p w14:paraId="00BAA5CE" w14:textId="161C7FB1" w:rsidR="00FF24A9" w:rsidRPr="006B705B" w:rsidRDefault="00F53C69" w:rsidP="00F53C69">
      <w:r>
        <w:t xml:space="preserve">Responses to the </w:t>
      </w:r>
      <w:r w:rsidR="006A5741">
        <w:t xml:space="preserve">2021 </w:t>
      </w:r>
      <w:r>
        <w:t xml:space="preserve">consultation paper </w:t>
      </w:r>
      <w:r w:rsidR="00EA6027">
        <w:t xml:space="preserve">highlighted the </w:t>
      </w:r>
      <w:r w:rsidR="00B10EB9">
        <w:t>limited consistency across public and private hospitals in relation to the reporting</w:t>
      </w:r>
      <w:r w:rsidR="00EA6027">
        <w:t xml:space="preserve"> systems</w:t>
      </w:r>
      <w:r w:rsidR="00A826C5">
        <w:t xml:space="preserve"> in operation. Further, </w:t>
      </w:r>
      <w:r w:rsidR="00C52D26">
        <w:t xml:space="preserve">respondents explained that there </w:t>
      </w:r>
      <w:r w:rsidR="00C0200F">
        <w:t xml:space="preserve">is </w:t>
      </w:r>
      <w:r w:rsidR="00C52D26">
        <w:t>a patient-centric approach to reporting</w:t>
      </w:r>
      <w:r w:rsidR="00300160">
        <w:t xml:space="preserve">, and that data and information currently being collated is usually used for purposes other than </w:t>
      </w:r>
      <w:r w:rsidR="00FF24A9">
        <w:t xml:space="preserve">adverse event reporting (that being, adverse events broadly – not specifically related to medical devices). This means that </w:t>
      </w:r>
      <w:r w:rsidR="00C401B1">
        <w:t xml:space="preserve">the data fields / information currently being collected </w:t>
      </w:r>
      <w:r w:rsidR="00FF24A9">
        <w:t>has</w:t>
      </w:r>
      <w:r w:rsidR="00025C99">
        <w:t xml:space="preserve"> a</w:t>
      </w:r>
      <w:r w:rsidR="00FB366A">
        <w:t xml:space="preserve"> limited focus on the medical devices in use</w:t>
      </w:r>
      <w:r w:rsidR="00FF24A9">
        <w:t>.</w:t>
      </w:r>
      <w:r w:rsidR="00941004">
        <w:t xml:space="preserve"> However, </w:t>
      </w:r>
      <w:r w:rsidR="00251518">
        <w:t xml:space="preserve">it was identified that </w:t>
      </w:r>
      <w:r w:rsidR="0066031B">
        <w:t xml:space="preserve">some </w:t>
      </w:r>
      <w:r w:rsidR="00C414C3">
        <w:t>and/or all</w:t>
      </w:r>
      <w:r w:rsidR="00F566A8">
        <w:t xml:space="preserve"> of </w:t>
      </w:r>
      <w:r w:rsidR="00C414C3">
        <w:t xml:space="preserve">the </w:t>
      </w:r>
      <w:r w:rsidR="00251518">
        <w:t xml:space="preserve">following data </w:t>
      </w:r>
      <w:r w:rsidR="008B5158">
        <w:t xml:space="preserve">is </w:t>
      </w:r>
      <w:r w:rsidR="00F566A8">
        <w:t>being collected</w:t>
      </w:r>
      <w:r w:rsidR="001D790D">
        <w:t xml:space="preserve"> through current platforms</w:t>
      </w:r>
      <w:r w:rsidR="00F566A8">
        <w:t>:</w:t>
      </w:r>
    </w:p>
    <w:p w14:paraId="7A68A7E4" w14:textId="77777777" w:rsidR="00F53C69" w:rsidRDefault="00F53C69" w:rsidP="00F53C69">
      <w:pPr>
        <w:pStyle w:val="Bullet1"/>
      </w:pPr>
      <w:r>
        <w:t>suspected involvement of a medical device</w:t>
      </w:r>
    </w:p>
    <w:p w14:paraId="1BFDD090" w14:textId="77777777" w:rsidR="00F53C69" w:rsidRDefault="00F53C69" w:rsidP="00F53C69">
      <w:pPr>
        <w:pStyle w:val="Bullet1"/>
      </w:pPr>
      <w:r>
        <w:t>brand/trade name of the medical device</w:t>
      </w:r>
    </w:p>
    <w:p w14:paraId="7336EC2A" w14:textId="77777777" w:rsidR="00F53C69" w:rsidRPr="0035461F" w:rsidRDefault="00F53C69" w:rsidP="00F53C69">
      <w:pPr>
        <w:pStyle w:val="Bullet1"/>
      </w:pPr>
      <w:r w:rsidRPr="0035461F">
        <w:t>where the device came from (e.g., facility / health professional)</w:t>
      </w:r>
    </w:p>
    <w:p w14:paraId="1D0F0EE1" w14:textId="77777777" w:rsidR="00F53C69" w:rsidRPr="0035461F" w:rsidRDefault="00F53C69" w:rsidP="00F53C69">
      <w:pPr>
        <w:pStyle w:val="Bullet1"/>
      </w:pPr>
      <w:r w:rsidRPr="0035461F">
        <w:t>current location of the medical device</w:t>
      </w:r>
    </w:p>
    <w:p w14:paraId="65BA9EE2" w14:textId="77777777" w:rsidR="00F53C69" w:rsidRDefault="00F53C69" w:rsidP="00F53C69">
      <w:pPr>
        <w:pStyle w:val="Bullet1"/>
      </w:pPr>
      <w:r>
        <w:t>a free text field for other information, often including:</w:t>
      </w:r>
    </w:p>
    <w:p w14:paraId="436E3970" w14:textId="77777777" w:rsidR="00F53C69" w:rsidRPr="00FD767D" w:rsidRDefault="00F53C69" w:rsidP="00F53C69">
      <w:pPr>
        <w:pStyle w:val="ListBullet2"/>
        <w:rPr>
          <w:color w:val="auto"/>
        </w:rPr>
      </w:pPr>
      <w:r>
        <w:rPr>
          <w:color w:val="auto"/>
        </w:rPr>
        <w:t>t</w:t>
      </w:r>
      <w:r w:rsidRPr="00FD767D">
        <w:rPr>
          <w:color w:val="auto"/>
        </w:rPr>
        <w:t>raceability information such as barcode/batch number/lot number</w:t>
      </w:r>
    </w:p>
    <w:p w14:paraId="769E68C2" w14:textId="77777777" w:rsidR="00F53C69" w:rsidRPr="00FD767D" w:rsidRDefault="00F53C69" w:rsidP="00F53C69">
      <w:pPr>
        <w:pStyle w:val="ListBullet2"/>
        <w:rPr>
          <w:color w:val="auto"/>
        </w:rPr>
      </w:pPr>
      <w:r>
        <w:rPr>
          <w:color w:val="auto"/>
        </w:rPr>
        <w:t>e</w:t>
      </w:r>
      <w:r w:rsidRPr="00FD767D">
        <w:rPr>
          <w:color w:val="auto"/>
        </w:rPr>
        <w:t>vent details and the device’s environment</w:t>
      </w:r>
    </w:p>
    <w:p w14:paraId="3625C9F9" w14:textId="77777777" w:rsidR="00F53C69" w:rsidRPr="00FD767D" w:rsidRDefault="00F53C69" w:rsidP="00F53C69">
      <w:pPr>
        <w:pStyle w:val="ListBullet2"/>
        <w:rPr>
          <w:color w:val="auto"/>
        </w:rPr>
      </w:pPr>
      <w:r>
        <w:rPr>
          <w:color w:val="auto"/>
        </w:rPr>
        <w:t>i</w:t>
      </w:r>
      <w:r w:rsidRPr="00FD767D">
        <w:rPr>
          <w:color w:val="auto"/>
        </w:rPr>
        <w:t>f any other devices were involved</w:t>
      </w:r>
    </w:p>
    <w:p w14:paraId="62C213B8" w14:textId="77777777" w:rsidR="00F53C69" w:rsidRPr="00FD767D" w:rsidRDefault="00F53C69" w:rsidP="00F53C69">
      <w:pPr>
        <w:pStyle w:val="ListBullet2"/>
        <w:rPr>
          <w:color w:val="auto"/>
        </w:rPr>
      </w:pPr>
      <w:r>
        <w:rPr>
          <w:color w:val="auto"/>
        </w:rPr>
        <w:t>p</w:t>
      </w:r>
      <w:r w:rsidRPr="00FD767D">
        <w:rPr>
          <w:color w:val="auto"/>
        </w:rPr>
        <w:t>atient consequences and outcomes</w:t>
      </w:r>
    </w:p>
    <w:p w14:paraId="4A7B77DF" w14:textId="77777777" w:rsidR="00F53C69" w:rsidRPr="00FD767D" w:rsidRDefault="00F53C69" w:rsidP="00F53C69">
      <w:pPr>
        <w:pStyle w:val="ListBullet2"/>
        <w:rPr>
          <w:color w:val="auto"/>
        </w:rPr>
      </w:pPr>
      <w:r>
        <w:rPr>
          <w:color w:val="auto"/>
        </w:rPr>
        <w:lastRenderedPageBreak/>
        <w:t>i</w:t>
      </w:r>
      <w:r w:rsidRPr="00FD767D">
        <w:rPr>
          <w:color w:val="auto"/>
        </w:rPr>
        <w:t>f device was returned</w:t>
      </w:r>
    </w:p>
    <w:p w14:paraId="7DB293C7" w14:textId="77777777" w:rsidR="00F53C69" w:rsidRPr="00FD767D" w:rsidRDefault="00F53C69" w:rsidP="00F53C69">
      <w:pPr>
        <w:pStyle w:val="ListBullet2"/>
        <w:rPr>
          <w:color w:val="auto"/>
        </w:rPr>
      </w:pPr>
      <w:r>
        <w:rPr>
          <w:color w:val="auto"/>
        </w:rPr>
        <w:t>t</w:t>
      </w:r>
      <w:r w:rsidRPr="00FD767D">
        <w:rPr>
          <w:color w:val="auto"/>
        </w:rPr>
        <w:t>he healthcare provider that used the device</w:t>
      </w:r>
    </w:p>
    <w:p w14:paraId="46DC3D77" w14:textId="15DE118D" w:rsidR="00F53C69" w:rsidRPr="00FD767D" w:rsidRDefault="00F53C69" w:rsidP="00F53C69">
      <w:pPr>
        <w:pStyle w:val="ListBullet2"/>
        <w:rPr>
          <w:color w:val="auto"/>
        </w:rPr>
      </w:pPr>
      <w:r>
        <w:rPr>
          <w:color w:val="auto"/>
        </w:rPr>
        <w:t>i</w:t>
      </w:r>
      <w:r w:rsidRPr="00FD767D">
        <w:rPr>
          <w:color w:val="auto"/>
        </w:rPr>
        <w:t>ncident number</w:t>
      </w:r>
      <w:r w:rsidR="00152604">
        <w:rPr>
          <w:color w:val="auto"/>
        </w:rPr>
        <w:t xml:space="preserve"> or identifier</w:t>
      </w:r>
      <w:r w:rsidRPr="00FD767D">
        <w:rPr>
          <w:color w:val="auto"/>
        </w:rPr>
        <w:t xml:space="preserve"> (if applicable)</w:t>
      </w:r>
      <w:r w:rsidR="00543987">
        <w:rPr>
          <w:color w:val="auto"/>
        </w:rPr>
        <w:t>.</w:t>
      </w:r>
    </w:p>
    <w:p w14:paraId="5D01B436" w14:textId="61DC5729" w:rsidR="00FF1763" w:rsidRDefault="00FF1763" w:rsidP="00FF1763">
      <w:pPr>
        <w:pStyle w:val="Heading5"/>
      </w:pPr>
      <w:r>
        <w:t>New Data</w:t>
      </w:r>
    </w:p>
    <w:p w14:paraId="0A2EE7F5" w14:textId="604EBB04" w:rsidR="00F53C69" w:rsidRDefault="006C32B3" w:rsidP="006C32B3">
      <w:r>
        <w:t>Beyond the data currently being collected across existing systems</w:t>
      </w:r>
      <w:r w:rsidR="00FF1763">
        <w:t xml:space="preserve">, </w:t>
      </w:r>
      <w:r w:rsidR="00FC55F2">
        <w:t>Measure 3</w:t>
      </w:r>
      <w:r w:rsidR="00FF1763">
        <w:t xml:space="preserve"> would</w:t>
      </w:r>
      <w:r w:rsidR="009A148B">
        <w:t xml:space="preserve"> see the addition of a field relating to the classification of the incident. Specifically, whether it was a:</w:t>
      </w:r>
    </w:p>
    <w:p w14:paraId="120679B9" w14:textId="002C56DA" w:rsidR="009A148B" w:rsidRDefault="009A148B" w:rsidP="009A148B">
      <w:pPr>
        <w:pStyle w:val="Bullet1"/>
      </w:pPr>
      <w:r>
        <w:t>death</w:t>
      </w:r>
    </w:p>
    <w:p w14:paraId="0822A66E" w14:textId="400C8C1D" w:rsidR="009A148B" w:rsidRDefault="0088787B" w:rsidP="009A148B">
      <w:pPr>
        <w:pStyle w:val="Bullet1"/>
      </w:pPr>
      <w:r>
        <w:t>serious injury or deterioration in health or major harm</w:t>
      </w:r>
    </w:p>
    <w:p w14:paraId="533250D9" w14:textId="35629464" w:rsidR="0088787B" w:rsidRDefault="0088787B" w:rsidP="009A148B">
      <w:pPr>
        <w:pStyle w:val="Bullet1"/>
      </w:pPr>
      <w:r>
        <w:t>treatment for a serious injury or deterioration in health related to a medical device</w:t>
      </w:r>
      <w:r w:rsidR="001C080A">
        <w:rPr>
          <w:rStyle w:val="FootnoteReference"/>
        </w:rPr>
        <w:footnoteReference w:id="56"/>
      </w:r>
      <w:r>
        <w:t>,</w:t>
      </w:r>
      <w:r w:rsidR="00191E41">
        <w:t xml:space="preserve"> or</w:t>
      </w:r>
    </w:p>
    <w:p w14:paraId="43953902" w14:textId="35522719" w:rsidR="00191E41" w:rsidRDefault="00191E41" w:rsidP="009A148B">
      <w:pPr>
        <w:pStyle w:val="Bullet1"/>
      </w:pPr>
      <w:r>
        <w:t>prevention of a serious injury or deterioration in health (near miss).</w:t>
      </w:r>
    </w:p>
    <w:p w14:paraId="211FA2E3" w14:textId="4175C258" w:rsidR="008F6104" w:rsidRPr="008F6104" w:rsidRDefault="005F6CF0" w:rsidP="00B37DCC">
      <w:r>
        <w:rPr>
          <w:noProof/>
          <w:lang w:eastAsia="en-AU"/>
        </w:rPr>
        <w:lastRenderedPageBreak/>
        <mc:AlternateContent>
          <mc:Choice Requires="wps">
            <w:drawing>
              <wp:anchor distT="0" distB="0" distL="114300" distR="114300" simplePos="0" relativeHeight="251630080" behindDoc="0" locked="0" layoutInCell="1" allowOverlap="1" wp14:anchorId="73B2FE56" wp14:editId="57BF1364">
                <wp:simplePos x="0" y="0"/>
                <wp:positionH relativeFrom="column">
                  <wp:posOffset>0</wp:posOffset>
                </wp:positionH>
                <wp:positionV relativeFrom="paragraph">
                  <wp:posOffset>270535</wp:posOffset>
                </wp:positionV>
                <wp:extent cx="6515100" cy="457200"/>
                <wp:effectExtent l="0" t="0" r="0" b="0"/>
                <wp:wrapTopAndBottom/>
                <wp:docPr id="1741929480" name="Text Box 1"/>
                <wp:cNvGraphicFramePr/>
                <a:graphic xmlns:a="http://schemas.openxmlformats.org/drawingml/2006/main">
                  <a:graphicData uri="http://schemas.microsoft.com/office/word/2010/wordprocessingShape">
                    <wps:wsp>
                      <wps:cNvSpPr txBox="1"/>
                      <wps:spPr>
                        <a:xfrm>
                          <a:off x="0" y="0"/>
                          <a:ext cx="6515100" cy="457200"/>
                        </a:xfrm>
                        <a:prstGeom prst="rect">
                          <a:avLst/>
                        </a:prstGeom>
                        <a:solidFill>
                          <a:prstClr val="white"/>
                        </a:solidFill>
                        <a:ln>
                          <a:noFill/>
                        </a:ln>
                      </wps:spPr>
                      <wps:txbx>
                        <w:txbxContent>
                          <w:p w14:paraId="1D433AD4" w14:textId="2684A671" w:rsidR="008461AF" w:rsidRPr="00B93DEE" w:rsidRDefault="008461AF" w:rsidP="00B37DCC">
                            <w:pPr>
                              <w:pStyle w:val="Caption"/>
                              <w:rPr>
                                <w:noProof/>
                              </w:rPr>
                            </w:pPr>
                            <w:r>
                              <w:t xml:space="preserve">Figure </w:t>
                            </w:r>
                            <w:r w:rsidR="00412767">
                              <w:t>10</w:t>
                            </w:r>
                            <w:r>
                              <w:t xml:space="preserve"> - </w:t>
                            </w:r>
                            <w:r w:rsidRPr="000E0F1E">
                              <w:t>Possible data items for reporting to the TGA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B2FE56" id="_x0000_s1029" type="#_x0000_t202" style="position:absolute;margin-left:0;margin-top:21.3pt;width:513pt;height:36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" stroked="f">
                <v:textbox inset="0,0,0,0">
                  <w:txbxContent>
                    <w:p w14:paraId="1D433AD4" w14:textId="2684A671" w:rsidR="008461AF" w:rsidRPr="00B93DEE" w:rsidRDefault="008461AF" w:rsidP="00B37DCC">
                      <w:pPr>
                        <w:pStyle w:val="Caption"/>
                        <w:rPr>
                          <w:noProof/>
                        </w:rPr>
                      </w:pPr>
                      <w:r>
                        <w:t xml:space="preserve">Figure </w:t>
                      </w:r>
                      <w:r w:rsidR="00412767">
                        <w:t>10</w:t>
                      </w:r>
                      <w:r>
                        <w:t xml:space="preserve"> - </w:t>
                      </w:r>
                      <w:r w:rsidRPr="000E0F1E">
                        <w:t>Possible data items for reporting to the TGA</w:t>
                      </w:r>
                    </w:p>
                  </w:txbxContent>
                </v:textbox>
                <w10:wrap type="topAndBottom"/>
              </v:shape>
            </w:pict>
          </mc:Fallback>
        </mc:AlternateContent>
      </w:r>
      <w:r w:rsidR="004633EF" w:rsidRPr="0057395F">
        <w:t>A</w:t>
      </w:r>
      <w:r w:rsidR="00534866" w:rsidRPr="0057395F">
        <w:t xml:space="preserve"> breakdown of the </w:t>
      </w:r>
      <w:r w:rsidR="004633EF" w:rsidRPr="0057395F">
        <w:t>proposed data</w:t>
      </w:r>
      <w:r w:rsidR="00DF568E" w:rsidRPr="0057395F">
        <w:t xml:space="preserve"> fields</w:t>
      </w:r>
      <w:r w:rsidR="00D500A5">
        <w:t xml:space="preserve"> </w:t>
      </w:r>
      <w:r w:rsidR="00DF568E" w:rsidRPr="0057395F">
        <w:t>is outlined in the figure below</w:t>
      </w:r>
      <w:r w:rsidR="00CB2D45">
        <w:t>.</w:t>
      </w:r>
      <w:r w:rsidR="00916D2D">
        <w:rPr>
          <w:rStyle w:val="FootnoteReference"/>
        </w:rPr>
        <w:footnoteReference w:id="57"/>
      </w:r>
      <w:r>
        <w:br/>
      </w:r>
      <w:r>
        <w:rPr>
          <w:noProof/>
          <w:lang w:eastAsia="en-AU"/>
        </w:rPr>
        <w:drawing>
          <wp:inline distT="0" distB="0" distL="0" distR="0" wp14:anchorId="00B01D97" wp14:editId="71F108E1">
            <wp:extent cx="5674651" cy="6400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1478" cy="6419780"/>
                    </a:xfrm>
                    <a:prstGeom prst="rect">
                      <a:avLst/>
                    </a:prstGeom>
                  </pic:spPr>
                </pic:pic>
              </a:graphicData>
            </a:graphic>
          </wp:inline>
        </w:drawing>
      </w:r>
      <w:r>
        <w:br/>
      </w:r>
    </w:p>
    <w:p w14:paraId="5F2DF983" w14:textId="64C851BF" w:rsidR="00CF6624" w:rsidRPr="00CF6624" w:rsidRDefault="00CF6624" w:rsidP="0079175B">
      <w:pPr>
        <w:pStyle w:val="Heading5"/>
      </w:pPr>
      <w:bookmarkStart w:id="106" w:name="_Toc160784005"/>
      <w:bookmarkStart w:id="107" w:name="_Toc160784067"/>
      <w:bookmarkStart w:id="108" w:name="_Toc160811482"/>
      <w:r>
        <w:t>Systems</w:t>
      </w:r>
    </w:p>
    <w:p w14:paraId="3303E48F" w14:textId="5C0FF7D6" w:rsidR="00F71FFB" w:rsidRDefault="00F71FFB" w:rsidP="00F71FFB">
      <w:bookmarkStart w:id="109" w:name="_Toc162009864"/>
      <w:r>
        <w:t xml:space="preserve">Key to the efficient transfer of medical device </w:t>
      </w:r>
      <w:r w:rsidR="004766D7">
        <w:t>adverse event reports from healthcare facilities to the TGA are the underlying Incident Management Systems (IMS) used by public and private hospitals. The IMS</w:t>
      </w:r>
      <w:r w:rsidR="005C056A">
        <w:t>’</w:t>
      </w:r>
      <w:r w:rsidR="004766D7">
        <w:t xml:space="preserve"> used across public and private hospitals varies, however through consultation with key stakeholders, the following was identified:</w:t>
      </w:r>
    </w:p>
    <w:p w14:paraId="7C24541D" w14:textId="77777777" w:rsidR="00520C4A" w:rsidRDefault="003B11E0" w:rsidP="004766D7">
      <w:pPr>
        <w:pStyle w:val="Bullet1"/>
      </w:pPr>
      <w:r>
        <w:lastRenderedPageBreak/>
        <w:t>RiskMan is widely used across public hospitals in VIC, NSW, QLD, ACT and NT</w:t>
      </w:r>
      <w:r w:rsidR="002279AA">
        <w:t>, however additional systems include</w:t>
      </w:r>
      <w:r w:rsidR="00520C4A">
        <w:t>:</w:t>
      </w:r>
    </w:p>
    <w:p w14:paraId="1C76E5E2" w14:textId="3AAEEEB0" w:rsidR="004766D7" w:rsidRDefault="002279AA" w:rsidP="00520C4A">
      <w:pPr>
        <w:pStyle w:val="ListBullet2"/>
        <w:rPr>
          <w:color w:val="auto"/>
        </w:rPr>
      </w:pPr>
      <w:r w:rsidRPr="0079175B">
        <w:rPr>
          <w:color w:val="auto"/>
        </w:rPr>
        <w:t>Clinical Incident Management System (used in WA)</w:t>
      </w:r>
    </w:p>
    <w:p w14:paraId="520C4F95" w14:textId="0BB6B84E" w:rsidR="00520C4A" w:rsidRDefault="00520C4A" w:rsidP="00520C4A">
      <w:pPr>
        <w:pStyle w:val="ListBullet2"/>
        <w:rPr>
          <w:color w:val="auto"/>
        </w:rPr>
      </w:pPr>
      <w:r>
        <w:rPr>
          <w:color w:val="auto"/>
        </w:rPr>
        <w:t>Safety (Reporting and) Learning System(s) (SLS/SRLS) (used in SA and TAS)</w:t>
      </w:r>
    </w:p>
    <w:p w14:paraId="074113DC" w14:textId="4E5C7006" w:rsidR="00520C4A" w:rsidRDefault="00520C4A" w:rsidP="00520C4A">
      <w:pPr>
        <w:pStyle w:val="ListBullet2"/>
        <w:rPr>
          <w:color w:val="auto"/>
        </w:rPr>
      </w:pPr>
      <w:r>
        <w:rPr>
          <w:color w:val="auto"/>
        </w:rPr>
        <w:t>Incident Management System Plus (IMS+) (used in NSW)</w:t>
      </w:r>
    </w:p>
    <w:p w14:paraId="3FB7A8D5" w14:textId="49B55F15" w:rsidR="00520C4A" w:rsidRDefault="00520C4A" w:rsidP="00520C4A">
      <w:pPr>
        <w:pStyle w:val="ListBullet2"/>
        <w:rPr>
          <w:color w:val="auto"/>
        </w:rPr>
      </w:pPr>
      <w:r>
        <w:rPr>
          <w:color w:val="auto"/>
        </w:rPr>
        <w:t>Victorian Health Incident Management System</w:t>
      </w:r>
    </w:p>
    <w:p w14:paraId="32B5B1F5" w14:textId="6B3B6A0E" w:rsidR="00A93747" w:rsidRPr="00A93747" w:rsidRDefault="00A93747" w:rsidP="00A93747">
      <w:pPr>
        <w:pStyle w:val="Bullet1"/>
      </w:pPr>
      <w:r w:rsidRPr="00A93747">
        <w:t>Around two thirds of private hospitals utilise the following IMS:</w:t>
      </w:r>
    </w:p>
    <w:p w14:paraId="0CE27468" w14:textId="618C6118" w:rsidR="00A93747" w:rsidRPr="0079175B" w:rsidRDefault="00A93747" w:rsidP="00A93747">
      <w:pPr>
        <w:pStyle w:val="ListBullet2"/>
        <w:rPr>
          <w:color w:val="auto"/>
        </w:rPr>
      </w:pPr>
      <w:r w:rsidRPr="0079175B">
        <w:rPr>
          <w:color w:val="auto"/>
        </w:rPr>
        <w:t>RiskMan</w:t>
      </w:r>
    </w:p>
    <w:p w14:paraId="7BE23973" w14:textId="70E40365" w:rsidR="00A93747" w:rsidRPr="0079175B" w:rsidRDefault="00A93747" w:rsidP="00A93747">
      <w:pPr>
        <w:pStyle w:val="ListBullet2"/>
        <w:rPr>
          <w:color w:val="auto"/>
        </w:rPr>
      </w:pPr>
      <w:r w:rsidRPr="0079175B">
        <w:rPr>
          <w:color w:val="auto"/>
        </w:rPr>
        <w:t>The Patient Safety Company (TPSC)</w:t>
      </w:r>
    </w:p>
    <w:p w14:paraId="3B1ED9EB" w14:textId="16E2F10F" w:rsidR="00A93747" w:rsidRDefault="00A93747" w:rsidP="00A93747">
      <w:pPr>
        <w:pStyle w:val="ListBullet2"/>
        <w:rPr>
          <w:color w:val="auto"/>
        </w:rPr>
      </w:pPr>
      <w:r w:rsidRPr="0079175B">
        <w:rPr>
          <w:color w:val="auto"/>
        </w:rPr>
        <w:t>Events, Risk, Improvements, and Compliance (ERIC)</w:t>
      </w:r>
    </w:p>
    <w:p w14:paraId="7493D880" w14:textId="6B6F9947" w:rsidR="00A93747" w:rsidRDefault="00A93747" w:rsidP="00A93747">
      <w:r>
        <w:t>While the majority of facilities utilise a digital IMS, it must be noted that is likely that many private hospitals w</w:t>
      </w:r>
      <w:r w:rsidR="007152DC">
        <w:t>ould</w:t>
      </w:r>
      <w:r>
        <w:t xml:space="preserve"> utilise a range of hard copy and/or electronic IMS that have not been identified in stakeholder consultation.</w:t>
      </w:r>
    </w:p>
    <w:p w14:paraId="209CC968" w14:textId="34602E5B" w:rsidR="004B7D08" w:rsidRPr="00A93747" w:rsidRDefault="004B7D08" w:rsidP="0079175B">
      <w:r>
        <w:t xml:space="preserve">Measure 3 proposes the addition of data fields </w:t>
      </w:r>
      <w:r w:rsidR="003C700D">
        <w:t xml:space="preserve">related to medical devices to ensure minimum data requirements for reporting are met. This </w:t>
      </w:r>
      <w:r w:rsidR="007152DC">
        <w:t>would</w:t>
      </w:r>
      <w:r w:rsidR="003C700D">
        <w:t xml:space="preserve"> require upgrades and/or updates to local IMS’, which </w:t>
      </w:r>
      <w:r w:rsidR="00B80100">
        <w:t xml:space="preserve">could </w:t>
      </w:r>
      <w:r w:rsidR="003C700D">
        <w:t xml:space="preserve">incur a significant cost to the </w:t>
      </w:r>
      <w:r w:rsidR="0097707F">
        <w:t>healthcare facilities</w:t>
      </w:r>
      <w:r w:rsidR="003C700D">
        <w:t xml:space="preserve">. Implementation of the regulations </w:t>
      </w:r>
      <w:r w:rsidR="003F39AE">
        <w:t>are likely to be iterative, and so far as is possible, w</w:t>
      </w:r>
      <w:r w:rsidR="007152DC">
        <w:t>ould</w:t>
      </w:r>
      <w:r w:rsidR="003F39AE">
        <w:t xml:space="preserve"> try to align with </w:t>
      </w:r>
      <w:r w:rsidR="00F04B8C">
        <w:t>healthcare facilities’ current system upgrade lifecycle</w:t>
      </w:r>
      <w:r w:rsidR="00EE4283">
        <w:t xml:space="preserve"> (</w:t>
      </w:r>
      <w:r w:rsidR="00EB52EB">
        <w:t xml:space="preserve">to maintain accreditation to </w:t>
      </w:r>
      <w:r w:rsidR="0035461F">
        <w:t>the NSQHS</w:t>
      </w:r>
      <w:r w:rsidR="00D32252">
        <w:t xml:space="preserve"> Standards</w:t>
      </w:r>
      <w:r w:rsidR="00EB52EB">
        <w:t>, healthcare facilities are</w:t>
      </w:r>
      <w:r w:rsidR="00D32252">
        <w:t xml:space="preserve"> require</w:t>
      </w:r>
      <w:r w:rsidR="00EB52EB">
        <w:t>d to</w:t>
      </w:r>
      <w:r w:rsidR="00D32252">
        <w:t xml:space="preserve"> </w:t>
      </w:r>
      <w:r w:rsidR="000B22DC">
        <w:t>regular</w:t>
      </w:r>
      <w:r w:rsidR="00EB52EB">
        <w:t>ly</w:t>
      </w:r>
      <w:r w:rsidR="000B22DC">
        <w:t xml:space="preserve"> review </w:t>
      </w:r>
      <w:r w:rsidR="00EB52EB">
        <w:t>their</w:t>
      </w:r>
      <w:r w:rsidR="0014111C">
        <w:t xml:space="preserve"> incident management systems</w:t>
      </w:r>
      <w:r w:rsidR="00EB52EB">
        <w:rPr>
          <w:rStyle w:val="FootnoteReference"/>
        </w:rPr>
        <w:footnoteReference w:id="58"/>
      </w:r>
      <w:r w:rsidR="00EA50D3">
        <w:t>).</w:t>
      </w:r>
    </w:p>
    <w:p w14:paraId="423F19F9" w14:textId="5F2BEBDA" w:rsidR="00B346D9" w:rsidRDefault="00B346D9" w:rsidP="00410D24">
      <w:pPr>
        <w:pStyle w:val="Heading3-NotinTOC"/>
      </w:pPr>
      <w:bookmarkStart w:id="110" w:name="_Toc162024243"/>
      <w:bookmarkStart w:id="111" w:name="_Toc163229850"/>
      <w:bookmarkStart w:id="112" w:name="_Toc163231054"/>
      <w:bookmarkStart w:id="113" w:name="_Toc172126741"/>
      <w:bookmarkStart w:id="114" w:name="_Toc179531316"/>
      <w:bookmarkStart w:id="115" w:name="_Toc188012865"/>
      <w:r>
        <w:t xml:space="preserve">Measure 4 </w:t>
      </w:r>
      <w:r w:rsidR="00D921FC">
        <w:t>–</w:t>
      </w:r>
      <w:r>
        <w:t xml:space="preserve"> </w:t>
      </w:r>
      <w:r w:rsidR="00D921FC">
        <w:t>awareness / communication campaign</w:t>
      </w:r>
      <w:bookmarkEnd w:id="109"/>
      <w:bookmarkEnd w:id="110"/>
      <w:bookmarkEnd w:id="111"/>
      <w:bookmarkEnd w:id="112"/>
      <w:bookmarkEnd w:id="113"/>
      <w:bookmarkEnd w:id="114"/>
      <w:bookmarkEnd w:id="115"/>
    </w:p>
    <w:p w14:paraId="425B78E0" w14:textId="64AE0002" w:rsidR="006D42AF" w:rsidRDefault="005A11D4" w:rsidP="006D42AF">
      <w:r w:rsidRPr="0079175B">
        <w:t xml:space="preserve">Measure 4 proposes the </w:t>
      </w:r>
      <w:r w:rsidR="000353DC" w:rsidRPr="0079175B">
        <w:t xml:space="preserve">development and implementation of a comprehensive </w:t>
      </w:r>
      <w:r w:rsidR="006D42AF">
        <w:t>communication and awareness campaign targeted specifically at healthcare facilities, emphasising the importance of reporting medical device adverse events. Such a campaign would involve disseminating information through various channels within healthcare settings, including training sessions, informational materials, and digital platforms. The objective of this initiative would be to educate healthcare professionals about the significance of promptly reporting any adverse events associated with medical devices they encounter in their practice.</w:t>
      </w:r>
      <w:r w:rsidR="0012154F">
        <w:br/>
      </w:r>
      <w:r w:rsidR="0012154F">
        <w:br/>
      </w:r>
      <w:r w:rsidR="00C42A91" w:rsidRPr="00194882">
        <w:t>The TGA currently provides a range</w:t>
      </w:r>
      <w:r w:rsidR="000418BC" w:rsidRPr="00194882">
        <w:t xml:space="preserve"> of</w:t>
      </w:r>
      <w:r w:rsidR="00C42A91" w:rsidRPr="00194882">
        <w:t xml:space="preserve"> online tools and resources to facilitate </w:t>
      </w:r>
      <w:r w:rsidR="000418BC" w:rsidRPr="00194882">
        <w:t>medical</w:t>
      </w:r>
      <w:r w:rsidR="00C42A91" w:rsidRPr="00194882">
        <w:t xml:space="preserve"> device adverse event </w:t>
      </w:r>
      <w:r w:rsidR="000418BC" w:rsidRPr="00194882">
        <w:t>reporting</w:t>
      </w:r>
      <w:r w:rsidR="00C42A91" w:rsidRPr="00194882">
        <w:t xml:space="preserve">. </w:t>
      </w:r>
      <w:r w:rsidR="00F23B13" w:rsidRPr="00194882">
        <w:t xml:space="preserve">The TGA has also published detailed guidance </w:t>
      </w:r>
      <w:r w:rsidR="009A3F6B" w:rsidRPr="00194882">
        <w:t xml:space="preserve">to support stakeholders in understanding </w:t>
      </w:r>
      <w:r w:rsidR="000A5E36" w:rsidRPr="00194882">
        <w:t>reporting</w:t>
      </w:r>
      <w:r w:rsidR="009A3F6B" w:rsidRPr="00194882">
        <w:t xml:space="preserve"> processes, </w:t>
      </w:r>
      <w:r w:rsidR="0087481A" w:rsidRPr="00194882">
        <w:t xml:space="preserve">which </w:t>
      </w:r>
      <w:r w:rsidR="009A3F6B" w:rsidRPr="00194882">
        <w:t>includ</w:t>
      </w:r>
      <w:r w:rsidR="0087481A" w:rsidRPr="00194882">
        <w:t>es</w:t>
      </w:r>
      <w:r w:rsidR="009A3F6B" w:rsidRPr="00194882">
        <w:t xml:space="preserve"> </w:t>
      </w:r>
      <w:r w:rsidR="000A5E36" w:rsidRPr="00194882">
        <w:t>stepwise instructions and frequently asked questions</w:t>
      </w:r>
      <w:r w:rsidR="00A62338" w:rsidRPr="00194882">
        <w:t>.</w:t>
      </w:r>
      <w:r w:rsidR="0066287E" w:rsidRPr="00194882">
        <w:rPr>
          <w:rStyle w:val="FootnoteReference"/>
        </w:rPr>
        <w:footnoteReference w:id="59"/>
      </w:r>
      <w:r w:rsidR="002C0B5E" w:rsidRPr="00194882">
        <w:rPr>
          <w:vertAlign w:val="superscript"/>
        </w:rPr>
        <w:t>,</w:t>
      </w:r>
      <w:r w:rsidR="002C0B5E" w:rsidRPr="00194882">
        <w:rPr>
          <w:rStyle w:val="FootnoteReference"/>
        </w:rPr>
        <w:footnoteReference w:id="60"/>
      </w:r>
      <w:r w:rsidR="00A62338" w:rsidRPr="00194882">
        <w:t xml:space="preserve"> </w:t>
      </w:r>
      <w:r w:rsidR="002E5053" w:rsidRPr="00194882">
        <w:t xml:space="preserve">Building </w:t>
      </w:r>
      <w:r w:rsidR="0087481A" w:rsidRPr="00194882">
        <w:t>up</w:t>
      </w:r>
      <w:r w:rsidR="002E5053" w:rsidRPr="00194882">
        <w:t xml:space="preserve">on these existing </w:t>
      </w:r>
      <w:r w:rsidR="006C367B" w:rsidRPr="00194882">
        <w:t>resources</w:t>
      </w:r>
      <w:r w:rsidR="002E5053" w:rsidRPr="00194882">
        <w:t>,</w:t>
      </w:r>
      <w:r w:rsidR="006C367B" w:rsidRPr="00194882">
        <w:t xml:space="preserve"> </w:t>
      </w:r>
      <w:r w:rsidR="002E5053" w:rsidRPr="00194882">
        <w:t>the TG</w:t>
      </w:r>
      <w:r w:rsidR="0095243E" w:rsidRPr="00194882">
        <w:t>A</w:t>
      </w:r>
      <w:r w:rsidR="00C6366C" w:rsidRPr="00194882">
        <w:t xml:space="preserve"> </w:t>
      </w:r>
      <w:r w:rsidR="002344C5" w:rsidRPr="00194882">
        <w:t xml:space="preserve">will publish </w:t>
      </w:r>
      <w:r w:rsidR="003C302D" w:rsidRPr="00194882">
        <w:t xml:space="preserve">comprehensive </w:t>
      </w:r>
      <w:r w:rsidR="002344C5" w:rsidRPr="00194882">
        <w:t>guidance and communication materi</w:t>
      </w:r>
      <w:r w:rsidR="00E70AEF" w:rsidRPr="00194882">
        <w:t xml:space="preserve">als </w:t>
      </w:r>
      <w:r w:rsidR="00AD4DFD" w:rsidRPr="00194882">
        <w:t xml:space="preserve">throughout the roll out of the mandatory reporting </w:t>
      </w:r>
      <w:r w:rsidR="00E70AEF" w:rsidRPr="00194882">
        <w:t xml:space="preserve">to ensure </w:t>
      </w:r>
      <w:r w:rsidR="000438DA" w:rsidRPr="00194882">
        <w:t xml:space="preserve">healthcare facilities have </w:t>
      </w:r>
      <w:r w:rsidR="00E70AEF" w:rsidRPr="00194882">
        <w:t xml:space="preserve">a clear understanding of the requirements </w:t>
      </w:r>
      <w:r w:rsidR="00DF6EEE" w:rsidRPr="00194882">
        <w:t xml:space="preserve">in order to </w:t>
      </w:r>
      <w:r w:rsidR="00E70AEF" w:rsidRPr="00194882">
        <w:t>facilitate compliance</w:t>
      </w:r>
      <w:r w:rsidR="006C367B" w:rsidRPr="00194882">
        <w:t>.</w:t>
      </w:r>
    </w:p>
    <w:p w14:paraId="7B68C4D6" w14:textId="3728BC01" w:rsidR="00577AA8" w:rsidRDefault="00973681" w:rsidP="006D42AF">
      <w:r>
        <w:t>Leveraging the learnings from prior communication campaigns (i.e., the InSite Program), a</w:t>
      </w:r>
      <w:r w:rsidR="00F12923">
        <w:t xml:space="preserve"> well-considered</w:t>
      </w:r>
      <w:r w:rsidR="006D42AF">
        <w:t xml:space="preserve"> communication and awareness campaign</w:t>
      </w:r>
      <w:r w:rsidR="00F12923">
        <w:t xml:space="preserve"> w</w:t>
      </w:r>
      <w:r w:rsidR="007152DC">
        <w:t>ould</w:t>
      </w:r>
      <w:r w:rsidR="00F12923">
        <w:t xml:space="preserve"> still</w:t>
      </w:r>
      <w:r w:rsidR="006D42AF">
        <w:t xml:space="preserve"> serve as</w:t>
      </w:r>
      <w:r w:rsidR="00F12923">
        <w:t xml:space="preserve"> a</w:t>
      </w:r>
      <w:r w:rsidR="006D42AF">
        <w:t xml:space="preserve"> crucial mechanism for fostering a culture of vigilance and accountability within healthcare facilities. </w:t>
      </w:r>
      <w:r w:rsidR="00577AA8">
        <w:t>This measure is expected to be planned and implemented in collaboration with the Commission, in line with the release of updates to the NSQHS Standards</w:t>
      </w:r>
      <w:r w:rsidR="003358BF">
        <w:t>.</w:t>
      </w:r>
      <w:r w:rsidR="00577AA8">
        <w:rPr>
          <w:rStyle w:val="FootnoteReference"/>
        </w:rPr>
        <w:footnoteReference w:id="61"/>
      </w:r>
      <w:r w:rsidR="003358BF">
        <w:t xml:space="preserve"> </w:t>
      </w:r>
      <w:r w:rsidR="00577AA8">
        <w:t xml:space="preserve">The Commission will be updating the NSQHS Standards to </w:t>
      </w:r>
      <w:r w:rsidR="00577AA8">
        <w:lastRenderedPageBreak/>
        <w:t>require the mandatory reporting of adverse events associated with medical devices and it has an established program focussed on communicating and educating health care professionals and health services on the requirements of the standards.</w:t>
      </w:r>
    </w:p>
    <w:p w14:paraId="3575E4BE" w14:textId="0A4BC2BB" w:rsidR="00D921FC" w:rsidRDefault="00D273E3" w:rsidP="006D42AF">
      <w:r>
        <w:t>The TGA collaborates annually with medicines safety organi</w:t>
      </w:r>
      <w:r w:rsidR="00C83E3C">
        <w:t>s</w:t>
      </w:r>
      <w:r>
        <w:t xml:space="preserve">ations and regulators worldwide to promote #MedSafetyWeek. </w:t>
      </w:r>
      <w:r w:rsidRPr="00924EE1">
        <w:t>#MedSafetyWeek promotes reporting of medicine side effects by consumers and health professionals.</w:t>
      </w:r>
      <w:r>
        <w:t xml:space="preserve"> In the future, this event could be leveraged to design similar initiatives for medical devices. By </w:t>
      </w:r>
      <w:r w:rsidR="006D42AF">
        <w:t xml:space="preserve">raising awareness about the necessity of reporting medical device adverse events, healthcare providers can contribute to the early detection of potential safety issues, facilitating timely interventions and mitigating risks to patient health. Ultimately, the success of such a campaign hinges upon fostering a collaborative environment where healthcare </w:t>
      </w:r>
      <w:r w:rsidR="00F12923">
        <w:t xml:space="preserve">facilities and </w:t>
      </w:r>
      <w:r w:rsidR="006D42AF">
        <w:t>professionals recogni</w:t>
      </w:r>
      <w:r w:rsidR="00F12923">
        <w:t>s</w:t>
      </w:r>
      <w:r w:rsidR="006D42AF">
        <w:t>e their pivotal role in safeguarding patient well-being through active and transparent reporting practices.</w:t>
      </w:r>
    </w:p>
    <w:p w14:paraId="0818DE8B" w14:textId="0B839172" w:rsidR="009D2C3E" w:rsidRDefault="009D2C3E" w:rsidP="006D42AF">
      <w:r>
        <w:t>In addition</w:t>
      </w:r>
      <w:r w:rsidR="00CB2D45">
        <w:t>,</w:t>
      </w:r>
      <w:r>
        <w:t xml:space="preserve"> </w:t>
      </w:r>
      <w:r w:rsidR="00CB2D45">
        <w:t>the</w:t>
      </w:r>
      <w:r>
        <w:t xml:space="preserve"> TGA has launched its sponsor directed medical devices vigilance program to further educate medical device sponsors on the importance of having established systems and procedures in place including for reporting adverse </w:t>
      </w:r>
      <w:r w:rsidR="005931C7">
        <w:t>event</w:t>
      </w:r>
      <w:r w:rsidR="00FC2C74">
        <w:t>s</w:t>
      </w:r>
      <w:r w:rsidR="005931C7">
        <w:t xml:space="preserve"> received</w:t>
      </w:r>
      <w:r w:rsidR="00F04C19">
        <w:t xml:space="preserve"> from all sources.</w:t>
      </w:r>
    </w:p>
    <w:p w14:paraId="49F5D6AD" w14:textId="393F86D2" w:rsidR="0032639C" w:rsidRPr="0032639C" w:rsidRDefault="00E029FE" w:rsidP="00410D24">
      <w:pPr>
        <w:pStyle w:val="Heading3-NotinTOC"/>
      </w:pPr>
      <w:bookmarkStart w:id="116" w:name="_Toc162009865"/>
      <w:bookmarkStart w:id="117" w:name="_Toc162024244"/>
      <w:bookmarkStart w:id="118" w:name="_Toc163229851"/>
      <w:bookmarkStart w:id="119" w:name="_Toc163231055"/>
      <w:bookmarkStart w:id="120" w:name="_Toc172126742"/>
      <w:bookmarkStart w:id="121" w:name="_Toc179531317"/>
      <w:bookmarkStart w:id="122" w:name="_Toc188012866"/>
      <w:r>
        <w:rPr>
          <w:noProof/>
          <w:lang w:eastAsia="en-AU"/>
        </w:rPr>
        <w:drawing>
          <wp:anchor distT="0" distB="0" distL="114300" distR="114300" simplePos="0" relativeHeight="251646464" behindDoc="0" locked="0" layoutInCell="1" allowOverlap="1" wp14:anchorId="79A38BE1" wp14:editId="60BF49F2">
            <wp:simplePos x="0" y="0"/>
            <wp:positionH relativeFrom="column">
              <wp:posOffset>0</wp:posOffset>
            </wp:positionH>
            <wp:positionV relativeFrom="paragraph">
              <wp:posOffset>0</wp:posOffset>
            </wp:positionV>
            <wp:extent cx="5742940" cy="383621"/>
            <wp:effectExtent l="0" t="0" r="0" b="0"/>
            <wp:wrapTopAndBottom/>
            <wp:docPr id="13775841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2940" cy="383621"/>
                    </a:xfrm>
                    <a:prstGeom prst="rect">
                      <a:avLst/>
                    </a:prstGeom>
                    <a:noFill/>
                  </pic:spPr>
                </pic:pic>
              </a:graphicData>
            </a:graphic>
          </wp:anchor>
        </w:drawing>
      </w:r>
      <w:r w:rsidR="00FB53AA">
        <w:t xml:space="preserve">Measure 5 – </w:t>
      </w:r>
      <w:r w:rsidR="00994F22">
        <w:t>r</w:t>
      </w:r>
      <w:r w:rsidR="00FB53AA">
        <w:t xml:space="preserve">eporting in </w:t>
      </w:r>
      <w:r w:rsidR="00994F22">
        <w:t>b</w:t>
      </w:r>
      <w:r w:rsidR="00FB53AA">
        <w:t>atch</w:t>
      </w:r>
      <w:bookmarkEnd w:id="106"/>
      <w:bookmarkEnd w:id="107"/>
      <w:bookmarkEnd w:id="108"/>
      <w:bookmarkEnd w:id="116"/>
      <w:bookmarkEnd w:id="117"/>
      <w:bookmarkEnd w:id="118"/>
      <w:bookmarkEnd w:id="119"/>
      <w:bookmarkEnd w:id="120"/>
      <w:bookmarkEnd w:id="121"/>
      <w:bookmarkEnd w:id="122"/>
    </w:p>
    <w:p w14:paraId="337892AE" w14:textId="0D5BDFF2" w:rsidR="00E83176" w:rsidRDefault="008B0329" w:rsidP="00291AB7">
      <w:r>
        <w:t>Measure 5</w:t>
      </w:r>
      <w:r w:rsidR="00FB53AA">
        <w:t xml:space="preserve"> </w:t>
      </w:r>
      <w:r w:rsidR="00C01372">
        <w:t>proposes the reporting of medical device adverse events</w:t>
      </w:r>
      <w:r w:rsidR="001B764F">
        <w:t xml:space="preserve"> to be conducted in batch</w:t>
      </w:r>
      <w:r w:rsidR="00C01372">
        <w:t xml:space="preserve">. In practice, this </w:t>
      </w:r>
      <w:r w:rsidR="002C6D35">
        <w:t>c</w:t>
      </w:r>
      <w:r w:rsidR="00C01372">
        <w:t>ould occur monthly</w:t>
      </w:r>
      <w:r w:rsidR="00B827E3">
        <w:t xml:space="preserve"> </w:t>
      </w:r>
      <w:r w:rsidR="002C034A">
        <w:t>or every two months</w:t>
      </w:r>
      <w:r w:rsidR="000C5C35">
        <w:rPr>
          <w:rStyle w:val="FootnoteReference"/>
        </w:rPr>
        <w:footnoteReference w:id="62"/>
      </w:r>
      <w:r w:rsidR="00C01372">
        <w:t xml:space="preserve">, with each </w:t>
      </w:r>
      <w:r w:rsidR="006E3442">
        <w:t xml:space="preserve">healthcare facility generating and submitting </w:t>
      </w:r>
      <w:r w:rsidR="001B1E93">
        <w:t>a</w:t>
      </w:r>
      <w:r w:rsidR="00610061">
        <w:t xml:space="preserve"> </w:t>
      </w:r>
      <w:r w:rsidR="00CE6091">
        <w:t xml:space="preserve">summary </w:t>
      </w:r>
      <w:r w:rsidR="00610061">
        <w:t>of medical device adverse events for that</w:t>
      </w:r>
      <w:r w:rsidR="001B1E93">
        <w:t xml:space="preserve"> period. </w:t>
      </w:r>
    </w:p>
    <w:p w14:paraId="1C666C92" w14:textId="21094352" w:rsidR="006632BF" w:rsidRDefault="001B1E93" w:rsidP="00291AB7">
      <w:r>
        <w:t xml:space="preserve">In consultation with stakeholders, it was expressed that </w:t>
      </w:r>
      <w:r w:rsidR="000A5441">
        <w:t xml:space="preserve">the usage of an </w:t>
      </w:r>
      <w:r w:rsidR="002879FB">
        <w:t>Application Programming Interface (</w:t>
      </w:r>
      <w:r w:rsidR="000A5441">
        <w:t>API</w:t>
      </w:r>
      <w:r w:rsidR="002879FB">
        <w:t xml:space="preserve">) </w:t>
      </w:r>
      <w:r w:rsidR="000A5441">
        <w:t>to assist in the expedient transfer of data would be welcomed</w:t>
      </w:r>
      <w:r w:rsidR="00805A15">
        <w:t xml:space="preserve"> as a future option</w:t>
      </w:r>
      <w:r w:rsidR="000A5441" w:rsidRPr="00BF75A7">
        <w:t>.</w:t>
      </w:r>
      <w:r w:rsidR="00620DC1">
        <w:t xml:space="preserve"> </w:t>
      </w:r>
      <w:r w:rsidR="00620DC1" w:rsidRPr="00620DC1">
        <w:t>Because of the range of capabilities, there will be capacity to transfer data to the TGA in multiple ways - portal/emails/attachments (current approach); individual reporting via webforms</w:t>
      </w:r>
      <w:r w:rsidR="00456727">
        <w:t xml:space="preserve"> </w:t>
      </w:r>
      <w:r w:rsidR="00620DC1" w:rsidRPr="00620DC1">
        <w:t>and API readiness as systems develop.</w:t>
      </w:r>
      <w:r w:rsidR="00620DC1">
        <w:t xml:space="preserve"> </w:t>
      </w:r>
      <w:r w:rsidR="00B5305A" w:rsidRPr="00582F14">
        <w:t>Batch reporting does not, however, preclude the use of on occurrence reporting for significant or complex cases of adverse or suspected adverse events.</w:t>
      </w:r>
      <w:r w:rsidR="00B5305A" w:rsidRPr="00BF75A7">
        <w:t xml:space="preserve"> </w:t>
      </w:r>
      <w:r w:rsidR="00A25C17">
        <w:t>I</w:t>
      </w:r>
      <w:r w:rsidR="001A4DB5" w:rsidRPr="001A4DB5">
        <w:t>t is recognised, and expected, that if there are rare events that pose serious harm on a broader scale (i.e., a 'public threat'), these events would be reported on occurrence and not held back to be reported as a batch. This applies for all options proposing batch reporting</w:t>
      </w:r>
      <w:r w:rsidR="0006229A">
        <w:t xml:space="preserve"> and </w:t>
      </w:r>
      <w:r w:rsidR="00091A19">
        <w:t xml:space="preserve">would be at the discretion of the </w:t>
      </w:r>
      <w:r w:rsidR="00F85DA2">
        <w:t>facility</w:t>
      </w:r>
      <w:r w:rsidR="00C943DA">
        <w:t xml:space="preserve"> </w:t>
      </w:r>
      <w:r w:rsidR="00F85DA2">
        <w:t>apply</w:t>
      </w:r>
      <w:r w:rsidR="00847E44">
        <w:t>ing</w:t>
      </w:r>
      <w:r w:rsidR="00C943DA">
        <w:t xml:space="preserve"> TGA guidance.</w:t>
      </w:r>
      <w:r w:rsidR="00BE559C">
        <w:t xml:space="preserve"> </w:t>
      </w:r>
    </w:p>
    <w:p w14:paraId="1498B79F" w14:textId="2BED657C" w:rsidR="007A0F14" w:rsidRDefault="00E029FE" w:rsidP="00291AB7">
      <w:r>
        <w:rPr>
          <w:noProof/>
          <w:lang w:eastAsia="en-AU"/>
        </w:rPr>
        <w:drawing>
          <wp:anchor distT="0" distB="0" distL="114300" distR="114300" simplePos="0" relativeHeight="251648512" behindDoc="0" locked="0" layoutInCell="1" allowOverlap="1" wp14:anchorId="5265B14F" wp14:editId="6DB7C886">
            <wp:simplePos x="0" y="0"/>
            <wp:positionH relativeFrom="margin">
              <wp:align>left</wp:align>
            </wp:positionH>
            <wp:positionV relativeFrom="paragraph">
              <wp:posOffset>533400</wp:posOffset>
            </wp:positionV>
            <wp:extent cx="5742940" cy="380320"/>
            <wp:effectExtent l="0" t="0" r="0" b="1270"/>
            <wp:wrapTopAndBottom/>
            <wp:docPr id="2048701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2940" cy="380320"/>
                    </a:xfrm>
                    <a:prstGeom prst="rect">
                      <a:avLst/>
                    </a:prstGeom>
                    <a:noFill/>
                  </pic:spPr>
                </pic:pic>
              </a:graphicData>
            </a:graphic>
          </wp:anchor>
        </w:drawing>
      </w:r>
      <w:r w:rsidR="006632BF">
        <w:t>Additionally, t</w:t>
      </w:r>
      <w:r w:rsidR="00BE559C">
        <w:t xml:space="preserve">he TGA anticipates that smaller facilities, those most likely to </w:t>
      </w:r>
      <w:r w:rsidR="00585CD9">
        <w:t xml:space="preserve">have immature local incident management systems, may opt to </w:t>
      </w:r>
      <w:r w:rsidR="00A8485F">
        <w:t xml:space="preserve">utilise existing mechanisms </w:t>
      </w:r>
      <w:r w:rsidR="00B01356">
        <w:t>to report medical device adverse events (e.g., reporting via TGA’s website).</w:t>
      </w:r>
    </w:p>
    <w:p w14:paraId="320B802C" w14:textId="23DE8DAA" w:rsidR="0028040F" w:rsidRDefault="0028040F" w:rsidP="0028040F">
      <w:pPr>
        <w:pStyle w:val="Heading3-NotinTOC"/>
      </w:pPr>
      <w:bookmarkStart w:id="123" w:name="_Toc162009866"/>
      <w:bookmarkStart w:id="124" w:name="_Toc162024245"/>
      <w:bookmarkStart w:id="125" w:name="_Toc163229852"/>
      <w:bookmarkStart w:id="126" w:name="_Toc163231056"/>
      <w:bookmarkStart w:id="127" w:name="_Toc172126743"/>
      <w:bookmarkStart w:id="128" w:name="_Toc179531318"/>
      <w:bookmarkStart w:id="129" w:name="_Toc188012867"/>
      <w:r>
        <w:t>Measure</w:t>
      </w:r>
      <w:r w:rsidR="00FB53AA">
        <w:t xml:space="preserve"> 6 – </w:t>
      </w:r>
      <w:r w:rsidR="00994F22">
        <w:t>r</w:t>
      </w:r>
      <w:r w:rsidR="00FB53AA">
        <w:t xml:space="preserve">eporting on </w:t>
      </w:r>
      <w:r w:rsidR="00994F22">
        <w:t>o</w:t>
      </w:r>
      <w:r w:rsidR="00FB53AA">
        <w:t>ccurrence</w:t>
      </w:r>
      <w:bookmarkEnd w:id="123"/>
      <w:bookmarkEnd w:id="124"/>
      <w:bookmarkEnd w:id="125"/>
      <w:bookmarkEnd w:id="126"/>
      <w:bookmarkEnd w:id="127"/>
      <w:bookmarkEnd w:id="128"/>
      <w:bookmarkEnd w:id="129"/>
    </w:p>
    <w:p w14:paraId="31CBFD77" w14:textId="08024198" w:rsidR="009B489C" w:rsidRPr="00DB453F" w:rsidRDefault="00BD1B01" w:rsidP="00B37DCC">
      <w:r>
        <w:t>Measure 6</w:t>
      </w:r>
      <w:r w:rsidR="006D4DD6">
        <w:t xml:space="preserve"> </w:t>
      </w:r>
      <w:r w:rsidR="0032639C">
        <w:t xml:space="preserve">proposes </w:t>
      </w:r>
      <w:r w:rsidR="007851A7">
        <w:t>that</w:t>
      </w:r>
      <w:r w:rsidR="0032639C">
        <w:t xml:space="preserve"> reporting </w:t>
      </w:r>
      <w:r w:rsidR="007851A7">
        <w:t xml:space="preserve">is </w:t>
      </w:r>
      <w:r w:rsidR="0032639C">
        <w:t>on an on-occurrence basis. Meaning upon identification of a medical device adverse event, healthcare services (i.e., public</w:t>
      </w:r>
      <w:r w:rsidR="00613734">
        <w:t xml:space="preserve"> and</w:t>
      </w:r>
      <w:r w:rsidR="0032639C">
        <w:t xml:space="preserve"> private hospitals) w</w:t>
      </w:r>
      <w:r w:rsidR="007152DC">
        <w:t>ould</w:t>
      </w:r>
      <w:r w:rsidR="0032639C">
        <w:t xml:space="preserve"> need to report each unique </w:t>
      </w:r>
      <w:r w:rsidR="00613734">
        <w:t xml:space="preserve">medical device </w:t>
      </w:r>
      <w:r w:rsidR="0032639C">
        <w:t>adverse event within the relevant timeframe outlined in the regulations. Reporting timeframes w</w:t>
      </w:r>
      <w:r w:rsidR="007152DC">
        <w:t>ould</w:t>
      </w:r>
      <w:r w:rsidR="0032639C">
        <w:t xml:space="preserve"> be based on the determined complexity/severity of the adverse event, following similar categorisations as to those currently imposed on medical device sponsors / manufacturers in relation to medical device adverse event reporting</w:t>
      </w:r>
      <w:r w:rsidR="00A66BE6">
        <w:t>.</w:t>
      </w:r>
      <w:r w:rsidR="0095511E">
        <w:rPr>
          <w:rStyle w:val="FootnoteReference"/>
        </w:rPr>
        <w:footnoteReference w:id="63"/>
      </w:r>
      <w:r w:rsidR="00A66BE6">
        <w:t xml:space="preserve"> </w:t>
      </w:r>
      <w:r w:rsidR="0032639C">
        <w:t xml:space="preserve">These categories and </w:t>
      </w:r>
      <w:r w:rsidR="007221B7">
        <w:t xml:space="preserve">current </w:t>
      </w:r>
      <w:r w:rsidR="0032639C">
        <w:t xml:space="preserve">associated timeframes </w:t>
      </w:r>
      <w:r w:rsidR="007221B7">
        <w:t xml:space="preserve">for sponsors/manufacturers </w:t>
      </w:r>
      <w:r w:rsidR="0032639C">
        <w:t xml:space="preserve">are </w:t>
      </w:r>
      <w:r w:rsidR="00A10B78">
        <w:t xml:space="preserve">described </w:t>
      </w:r>
      <w:r w:rsidR="0032639C">
        <w:t>in the table below.</w:t>
      </w:r>
    </w:p>
    <w:p w14:paraId="4A91BD23" w14:textId="6A668831" w:rsidR="00112799" w:rsidRDefault="00112799" w:rsidP="00B37DCC">
      <w:pPr>
        <w:pStyle w:val="Caption"/>
        <w:keepNext/>
      </w:pPr>
      <w:r>
        <w:lastRenderedPageBreak/>
        <w:t xml:space="preserve">Table </w:t>
      </w:r>
      <w:r>
        <w:fldChar w:fldCharType="begin"/>
      </w:r>
      <w:r>
        <w:instrText>SEQ Table \* ARABIC</w:instrText>
      </w:r>
      <w:r>
        <w:fldChar w:fldCharType="separate"/>
      </w:r>
      <w:r w:rsidR="00CA03EA">
        <w:rPr>
          <w:noProof/>
        </w:rPr>
        <w:t>5</w:t>
      </w:r>
      <w:r>
        <w:fldChar w:fldCharType="end"/>
      </w:r>
      <w:r>
        <w:t xml:space="preserve"> - </w:t>
      </w:r>
      <w:r w:rsidR="00F22A66">
        <w:t>I</w:t>
      </w:r>
      <w:r w:rsidRPr="00981F50">
        <w:t>ncident severity scale with associated timeframes for reporting</w:t>
      </w:r>
      <w:r w:rsidR="00E4743B">
        <w:t xml:space="preserve"> </w:t>
      </w:r>
    </w:p>
    <w:tbl>
      <w:tblPr>
        <w:tblStyle w:val="TableTGAblue2023"/>
        <w:tblW w:w="0" w:type="auto"/>
        <w:tblLook w:val="04A0" w:firstRow="1" w:lastRow="0" w:firstColumn="1" w:lastColumn="0" w:noHBand="0" w:noVBand="1"/>
      </w:tblPr>
      <w:tblGrid>
        <w:gridCol w:w="3681"/>
        <w:gridCol w:w="5335"/>
      </w:tblGrid>
      <w:tr w:rsidR="0032639C" w14:paraId="02A56CF2" w14:textId="77777777" w:rsidTr="00F37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2E64D5A" w14:textId="77777777" w:rsidR="0032639C" w:rsidRDefault="0032639C">
            <w:r>
              <w:t>Severity</w:t>
            </w:r>
          </w:p>
        </w:tc>
        <w:tc>
          <w:tcPr>
            <w:tcW w:w="5335" w:type="dxa"/>
          </w:tcPr>
          <w:p w14:paraId="38327453" w14:textId="281C583C" w:rsidR="0032639C" w:rsidRDefault="00CD0816">
            <w:pPr>
              <w:cnfStyle w:val="100000000000" w:firstRow="1" w:lastRow="0" w:firstColumn="0" w:lastColumn="0" w:oddVBand="0" w:evenVBand="0" w:oddHBand="0" w:evenHBand="0" w:firstRowFirstColumn="0" w:firstRowLastColumn="0" w:lastRowFirstColumn="0" w:lastRowLastColumn="0"/>
            </w:pPr>
            <w:r>
              <w:t>Current r</w:t>
            </w:r>
            <w:r w:rsidR="0032639C">
              <w:t xml:space="preserve">eporting </w:t>
            </w:r>
            <w:r>
              <w:t>t</w:t>
            </w:r>
            <w:r w:rsidR="0032639C">
              <w:t>imeframe</w:t>
            </w:r>
            <w:r w:rsidR="00C27FE1">
              <w:t xml:space="preserve"> for sponsors</w:t>
            </w:r>
            <w:r w:rsidR="00062995">
              <w:t>/manufacturers</w:t>
            </w:r>
          </w:p>
        </w:tc>
      </w:tr>
      <w:tr w:rsidR="0032639C" w14:paraId="038485BB" w14:textId="77777777" w:rsidTr="00F3751D">
        <w:tc>
          <w:tcPr>
            <w:cnfStyle w:val="001000000000" w:firstRow="0" w:lastRow="0" w:firstColumn="1" w:lastColumn="0" w:oddVBand="0" w:evenVBand="0" w:oddHBand="0" w:evenHBand="0" w:firstRowFirstColumn="0" w:firstRowLastColumn="0" w:lastRowFirstColumn="0" w:lastRowLastColumn="0"/>
            <w:tcW w:w="3681" w:type="dxa"/>
          </w:tcPr>
          <w:p w14:paraId="1F513CC2" w14:textId="77777777" w:rsidR="0032639C" w:rsidRDefault="0032639C">
            <w:r>
              <w:t>Serious public health threat or concern</w:t>
            </w:r>
          </w:p>
        </w:tc>
        <w:tc>
          <w:tcPr>
            <w:tcW w:w="5335" w:type="dxa"/>
          </w:tcPr>
          <w:p w14:paraId="0A94A4D7" w14:textId="77777777" w:rsidR="0032639C" w:rsidRDefault="0032639C" w:rsidP="00684620">
            <w:pPr>
              <w:cnfStyle w:val="000000000000" w:firstRow="0" w:lastRow="0" w:firstColumn="0" w:lastColumn="0" w:oddVBand="0" w:evenVBand="0" w:oddHBand="0" w:evenHBand="0" w:firstRowFirstColumn="0" w:firstRowLastColumn="0" w:lastRowFirstColumn="0" w:lastRowLastColumn="0"/>
            </w:pPr>
            <w:r>
              <w:t>48 hours</w:t>
            </w:r>
          </w:p>
        </w:tc>
      </w:tr>
      <w:tr w:rsidR="0032639C" w14:paraId="1DB0D224" w14:textId="77777777" w:rsidTr="00F3751D">
        <w:tc>
          <w:tcPr>
            <w:cnfStyle w:val="001000000000" w:firstRow="0" w:lastRow="0" w:firstColumn="1" w:lastColumn="0" w:oddVBand="0" w:evenVBand="0" w:oddHBand="0" w:evenHBand="0" w:firstRowFirstColumn="0" w:firstRowLastColumn="0" w:lastRowFirstColumn="0" w:lastRowLastColumn="0"/>
            <w:tcW w:w="3681" w:type="dxa"/>
          </w:tcPr>
          <w:p w14:paraId="0E0AFE33" w14:textId="77777777" w:rsidR="0032639C" w:rsidRDefault="0032639C">
            <w:r>
              <w:t>Death or serious injury</w:t>
            </w:r>
          </w:p>
        </w:tc>
        <w:tc>
          <w:tcPr>
            <w:tcW w:w="5335" w:type="dxa"/>
          </w:tcPr>
          <w:p w14:paraId="56C6A4E5" w14:textId="77777777" w:rsidR="0032639C" w:rsidRDefault="0032639C" w:rsidP="00684620">
            <w:pPr>
              <w:cnfStyle w:val="000000000000" w:firstRow="0" w:lastRow="0" w:firstColumn="0" w:lastColumn="0" w:oddVBand="0" w:evenVBand="0" w:oddHBand="0" w:evenHBand="0" w:firstRowFirstColumn="0" w:firstRowLastColumn="0" w:lastRowFirstColumn="0" w:lastRowLastColumn="0"/>
            </w:pPr>
            <w:r>
              <w:t>10 days</w:t>
            </w:r>
          </w:p>
        </w:tc>
      </w:tr>
      <w:tr w:rsidR="0032639C" w14:paraId="1C7B1A77" w14:textId="77777777" w:rsidTr="00F3751D">
        <w:tc>
          <w:tcPr>
            <w:cnfStyle w:val="001000000000" w:firstRow="0" w:lastRow="0" w:firstColumn="1" w:lastColumn="0" w:oddVBand="0" w:evenVBand="0" w:oddHBand="0" w:evenHBand="0" w:firstRowFirstColumn="0" w:firstRowLastColumn="0" w:lastRowFirstColumn="0" w:lastRowLastColumn="0"/>
            <w:tcW w:w="3681" w:type="dxa"/>
          </w:tcPr>
          <w:p w14:paraId="237A669A" w14:textId="77777777" w:rsidR="0032639C" w:rsidRDefault="0032639C">
            <w:r>
              <w:t>Near misses that could have resulted in death or serious injury</w:t>
            </w:r>
          </w:p>
        </w:tc>
        <w:tc>
          <w:tcPr>
            <w:tcW w:w="5335" w:type="dxa"/>
          </w:tcPr>
          <w:p w14:paraId="29BEEC47" w14:textId="77777777" w:rsidR="0032639C" w:rsidRDefault="0032639C" w:rsidP="00684620">
            <w:pPr>
              <w:cnfStyle w:val="000000000000" w:firstRow="0" w:lastRow="0" w:firstColumn="0" w:lastColumn="0" w:oddVBand="0" w:evenVBand="0" w:oddHBand="0" w:evenHBand="0" w:firstRowFirstColumn="0" w:firstRowLastColumn="0" w:lastRowFirstColumn="0" w:lastRowLastColumn="0"/>
            </w:pPr>
            <w:r>
              <w:t>30 days</w:t>
            </w:r>
          </w:p>
        </w:tc>
      </w:tr>
      <w:tr w:rsidR="0032639C" w14:paraId="661F9769" w14:textId="77777777" w:rsidTr="00F3751D">
        <w:tc>
          <w:tcPr>
            <w:cnfStyle w:val="001000000000" w:firstRow="0" w:lastRow="0" w:firstColumn="1" w:lastColumn="0" w:oddVBand="0" w:evenVBand="0" w:oddHBand="0" w:evenHBand="0" w:firstRowFirstColumn="0" w:firstRowLastColumn="0" w:lastRowFirstColumn="0" w:lastRowLastColumn="0"/>
            <w:tcW w:w="3681" w:type="dxa"/>
          </w:tcPr>
          <w:p w14:paraId="39B30353" w14:textId="77777777" w:rsidR="0032639C" w:rsidRDefault="0032639C">
            <w:r>
              <w:t>All others</w:t>
            </w:r>
          </w:p>
        </w:tc>
        <w:tc>
          <w:tcPr>
            <w:tcW w:w="5335" w:type="dxa"/>
            <w:vAlign w:val="center"/>
          </w:tcPr>
          <w:p w14:paraId="2393548E" w14:textId="77777777" w:rsidR="0032639C" w:rsidRDefault="0032639C" w:rsidP="00684620">
            <w:pPr>
              <w:cnfStyle w:val="000000000000" w:firstRow="0" w:lastRow="0" w:firstColumn="0" w:lastColumn="0" w:oddVBand="0" w:evenVBand="0" w:oddHBand="0" w:evenHBand="0" w:firstRowFirstColumn="0" w:firstRowLastColumn="0" w:lastRowFirstColumn="0" w:lastRowLastColumn="0"/>
            </w:pPr>
            <w:r>
              <w:t>60 days</w:t>
            </w:r>
          </w:p>
        </w:tc>
      </w:tr>
    </w:tbl>
    <w:p w14:paraId="1B173D75" w14:textId="779BE090" w:rsidR="00422C6A" w:rsidRDefault="006743F2" w:rsidP="006743F2">
      <w:pPr>
        <w:pStyle w:val="Heading5"/>
      </w:pPr>
      <w:r>
        <w:t>Success Criteria</w:t>
      </w:r>
    </w:p>
    <w:p w14:paraId="5FCAFFC2" w14:textId="735B35DF" w:rsidR="00E85030" w:rsidRDefault="00B06F96" w:rsidP="006743F2">
      <w:r>
        <w:t xml:space="preserve">Option 2A and 2B </w:t>
      </w:r>
      <w:r w:rsidR="00FC0219">
        <w:t>are</w:t>
      </w:r>
      <w:r>
        <w:t xml:space="preserve"> estimated to address the success criteria to a </w:t>
      </w:r>
      <w:r w:rsidR="00C16BBA">
        <w:t xml:space="preserve">moderate level. </w:t>
      </w:r>
      <w:r w:rsidR="00674E4B">
        <w:t>Compared to the status quo, i</w:t>
      </w:r>
      <w:r w:rsidR="00D175CB">
        <w:t xml:space="preserve">t is anticipated that </w:t>
      </w:r>
      <w:r w:rsidR="00D81D03">
        <w:t>b</w:t>
      </w:r>
      <w:r w:rsidR="00DC79E3">
        <w:t xml:space="preserve">oth Options </w:t>
      </w:r>
      <w:r w:rsidR="006659B7">
        <w:t xml:space="preserve">2A and 2B </w:t>
      </w:r>
      <w:r w:rsidR="00D175CB">
        <w:t>will</w:t>
      </w:r>
      <w:r w:rsidR="00D81D03">
        <w:t xml:space="preserve"> provide</w:t>
      </w:r>
      <w:r w:rsidR="00E2109E">
        <w:t xml:space="preserve"> timely signal detection</w:t>
      </w:r>
      <w:r w:rsidR="00F922AD">
        <w:t xml:space="preserve"> </w:t>
      </w:r>
      <w:r w:rsidR="00E2109E">
        <w:t xml:space="preserve">as both </w:t>
      </w:r>
      <w:r w:rsidR="00621783">
        <w:t>cover</w:t>
      </w:r>
      <w:r w:rsidR="003D640E">
        <w:t>s</w:t>
      </w:r>
      <w:r w:rsidR="006659B7">
        <w:t xml:space="preserve"> </w:t>
      </w:r>
      <w:r w:rsidR="00150F4F">
        <w:t>high-risk</w:t>
      </w:r>
      <w:r w:rsidR="003E3614">
        <w:t xml:space="preserve"> medical devices</w:t>
      </w:r>
      <w:r w:rsidR="006659B7">
        <w:t xml:space="preserve"> </w:t>
      </w:r>
      <w:r w:rsidR="00C00B42">
        <w:t>(i.e., Class III medical devices, AIMDs and Class 4 IVDs)</w:t>
      </w:r>
      <w:r w:rsidR="00D175CB">
        <w:t>,</w:t>
      </w:r>
      <w:r w:rsidR="003D640E">
        <w:t xml:space="preserve"> which are more likely to be associated with </w:t>
      </w:r>
      <w:r w:rsidR="00F14915">
        <w:t xml:space="preserve">serious </w:t>
      </w:r>
      <w:r w:rsidR="003D640E">
        <w:t>adverse events</w:t>
      </w:r>
      <w:r w:rsidR="00E2109E">
        <w:t xml:space="preserve">. </w:t>
      </w:r>
      <w:r w:rsidR="001F332E">
        <w:t xml:space="preserve">Regardless of batch or on occurrence reporting, </w:t>
      </w:r>
      <w:r w:rsidR="003D640E">
        <w:t xml:space="preserve">adverse events involving </w:t>
      </w:r>
      <w:r w:rsidR="00F922AD">
        <w:t xml:space="preserve">high-risk devices </w:t>
      </w:r>
      <w:r w:rsidR="003D640E">
        <w:t xml:space="preserve">will be identified early and reported within the specified timeframes </w:t>
      </w:r>
      <w:r w:rsidR="001F332E">
        <w:t>allowing for safety concerns to be addressed.</w:t>
      </w:r>
      <w:r w:rsidR="003D640E">
        <w:t xml:space="preserve"> </w:t>
      </w:r>
      <w:r w:rsidR="00621783">
        <w:t xml:space="preserve">Additionally, compared with the status quo, healthcare facilities </w:t>
      </w:r>
      <w:r w:rsidR="000F03E4">
        <w:t xml:space="preserve">will receive </w:t>
      </w:r>
      <w:r w:rsidR="00621783">
        <w:t>safety</w:t>
      </w:r>
      <w:r w:rsidR="000F03E4">
        <w:t xml:space="preserve"> related information more frequently, enabling them to stay informed about potential risks and improve patient care</w:t>
      </w:r>
      <w:r w:rsidR="00621783">
        <w:t>.</w:t>
      </w:r>
      <w:r w:rsidR="00E97D54">
        <w:t xml:space="preserve"> </w:t>
      </w:r>
      <w:r w:rsidR="0099303F">
        <w:t>On occurrence reporting allows critical incidents, such as deaths or serious harm</w:t>
      </w:r>
      <w:r w:rsidR="00E97D54">
        <w:t xml:space="preserve">, to be flagged immediately. Batch reporting, although periodic, still provides </w:t>
      </w:r>
      <w:r w:rsidR="00255258">
        <w:t>m</w:t>
      </w:r>
      <w:r w:rsidR="00E97D54">
        <w:t>ore frequent updates compared to voluntary reporting, enabling earlier identification of trends.</w:t>
      </w:r>
    </w:p>
    <w:p w14:paraId="0BEAF375" w14:textId="36C55E87" w:rsidR="00621783" w:rsidRDefault="00621783" w:rsidP="006743F2">
      <w:r>
        <w:t xml:space="preserve">It should be noted that the limited scope of </w:t>
      </w:r>
      <w:r w:rsidRPr="00621783">
        <w:t>medical device adverse events being captured (i</w:t>
      </w:r>
      <w:r>
        <w:t>.</w:t>
      </w:r>
      <w:r w:rsidRPr="00621783">
        <w:t>e. only high-risk devices including Class III</w:t>
      </w:r>
      <w:r w:rsidR="00D55639">
        <w:t>s</w:t>
      </w:r>
      <w:r w:rsidRPr="00621783">
        <w:t>, AIMDs and Class 4 IVDs)</w:t>
      </w:r>
      <w:r>
        <w:t xml:space="preserve">, </w:t>
      </w:r>
      <w:r w:rsidR="00FF1BE8">
        <w:t>which constitute</w:t>
      </w:r>
      <w:r w:rsidRPr="00621783">
        <w:t xml:space="preserve"> </w:t>
      </w:r>
      <w:r>
        <w:t xml:space="preserve">only </w:t>
      </w:r>
      <w:r w:rsidRPr="00621783">
        <w:t>9.8%</w:t>
      </w:r>
      <w:r>
        <w:t xml:space="preserve"> of all medical devices</w:t>
      </w:r>
      <w:r w:rsidRPr="00621783">
        <w:t xml:space="preserve"> </w:t>
      </w:r>
      <w:r w:rsidR="003D2AC6">
        <w:t xml:space="preserve">included in the ARTG, </w:t>
      </w:r>
      <w:r w:rsidR="009D45A5">
        <w:t xml:space="preserve">will </w:t>
      </w:r>
      <w:r w:rsidRPr="00621783">
        <w:t xml:space="preserve">significantly limit the ability to obtain meaningful trend identification and analysis. </w:t>
      </w:r>
    </w:p>
    <w:p w14:paraId="3901079B" w14:textId="16D244E4" w:rsidR="006743F2" w:rsidRPr="006743F2" w:rsidRDefault="006743F2" w:rsidP="006743F2">
      <w:r>
        <w:t xml:space="preserve">The following table details the level to which the proposed option addresses the </w:t>
      </w:r>
      <w:r w:rsidR="005414EA">
        <w:t xml:space="preserve">success criteria of government intervention. The ratings provided </w:t>
      </w:r>
      <w:r w:rsidR="00324C1F">
        <w:t>are</w:t>
      </w:r>
      <w:r w:rsidR="005E0D21">
        <w:t xml:space="preserve"> qualitative and are </w:t>
      </w:r>
      <w:r w:rsidR="005B07F8">
        <w:t>relative</w:t>
      </w:r>
      <w:r w:rsidR="0090226E">
        <w:t xml:space="preserve"> to the other policy options proposed.</w:t>
      </w:r>
    </w:p>
    <w:p w14:paraId="180D5425" w14:textId="19C4F0CB" w:rsidR="00112799" w:rsidRDefault="00112799" w:rsidP="00B37DCC">
      <w:pPr>
        <w:pStyle w:val="Caption"/>
        <w:keepNext/>
      </w:pPr>
      <w:r>
        <w:t xml:space="preserve">Table </w:t>
      </w:r>
      <w:r>
        <w:fldChar w:fldCharType="begin"/>
      </w:r>
      <w:r>
        <w:instrText>SEQ Table \* ARABIC</w:instrText>
      </w:r>
      <w:r>
        <w:fldChar w:fldCharType="separate"/>
      </w:r>
      <w:r w:rsidR="00CA03EA">
        <w:rPr>
          <w:noProof/>
        </w:rPr>
        <w:t>6</w:t>
      </w:r>
      <w:r>
        <w:fldChar w:fldCharType="end"/>
      </w:r>
      <w:r>
        <w:t xml:space="preserve"> - Success criteria</w:t>
      </w:r>
    </w:p>
    <w:tbl>
      <w:tblPr>
        <w:tblStyle w:val="GridTable2-Accent1"/>
        <w:tblW w:w="0" w:type="auto"/>
        <w:tblLook w:val="04A0" w:firstRow="1" w:lastRow="0" w:firstColumn="1" w:lastColumn="0" w:noHBand="0" w:noVBand="1"/>
      </w:tblPr>
      <w:tblGrid>
        <w:gridCol w:w="6516"/>
        <w:gridCol w:w="2500"/>
      </w:tblGrid>
      <w:tr w:rsidR="00801E46" w14:paraId="75095E9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615292D" w14:textId="77777777" w:rsidR="00801E46" w:rsidRPr="003E7B8D" w:rsidRDefault="00801E46">
            <w:r w:rsidRPr="003E7B8D">
              <w:t>Success Criteria</w:t>
            </w:r>
          </w:p>
        </w:tc>
        <w:tc>
          <w:tcPr>
            <w:tcW w:w="2500" w:type="dxa"/>
          </w:tcPr>
          <w:p w14:paraId="14D9727A" w14:textId="77777777" w:rsidR="00801E46" w:rsidRPr="003E7B8D" w:rsidRDefault="00801E46">
            <w:pPr>
              <w:jc w:val="center"/>
              <w:cnfStyle w:val="100000000000" w:firstRow="1" w:lastRow="0" w:firstColumn="0" w:lastColumn="0" w:oddVBand="0" w:evenVBand="0" w:oddHBand="0" w:evenHBand="0" w:firstRowFirstColumn="0" w:firstRowLastColumn="0" w:lastRowFirstColumn="0" w:lastRowLastColumn="0"/>
            </w:pPr>
            <w:r w:rsidRPr="003E7B8D">
              <w:t>Level of Addressal</w:t>
            </w:r>
          </w:p>
        </w:tc>
      </w:tr>
      <w:tr w:rsidR="00801E46" w14:paraId="316F44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37F2133" w14:textId="77777777" w:rsidR="00801E46" w:rsidRPr="00801E46" w:rsidRDefault="00801E46" w:rsidP="00D0287E">
            <w:pPr>
              <w:pStyle w:val="Numberbullet0"/>
              <w:numPr>
                <w:ilvl w:val="0"/>
                <w:numId w:val="34"/>
              </w:numPr>
              <w:spacing w:before="0" w:after="0"/>
              <w:rPr>
                <w:sz w:val="16"/>
                <w:szCs w:val="16"/>
              </w:rPr>
            </w:pPr>
            <w:r w:rsidRPr="00801E46">
              <w:rPr>
                <w:sz w:val="16"/>
                <w:szCs w:val="16"/>
              </w:rPr>
              <w:t>increased volume of reported medical device adverse events by healthcare facilities</w:t>
            </w:r>
          </w:p>
        </w:tc>
        <w:tc>
          <w:tcPr>
            <w:tcW w:w="2500" w:type="dxa"/>
            <w:vAlign w:val="center"/>
          </w:tcPr>
          <w:p w14:paraId="3F2960B1" w14:textId="31C7AF34" w:rsidR="00801E46" w:rsidRPr="00801E46" w:rsidRDefault="00AF320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moderate</w:t>
            </w:r>
          </w:p>
        </w:tc>
      </w:tr>
      <w:tr w:rsidR="00801E46" w14:paraId="14E95915" w14:textId="77777777">
        <w:tc>
          <w:tcPr>
            <w:cnfStyle w:val="001000000000" w:firstRow="0" w:lastRow="0" w:firstColumn="1" w:lastColumn="0" w:oddVBand="0" w:evenVBand="0" w:oddHBand="0" w:evenHBand="0" w:firstRowFirstColumn="0" w:firstRowLastColumn="0" w:lastRowFirstColumn="0" w:lastRowLastColumn="0"/>
            <w:tcW w:w="6516" w:type="dxa"/>
            <w:vAlign w:val="center"/>
          </w:tcPr>
          <w:p w14:paraId="14B18E9B" w14:textId="77777777" w:rsidR="00801E46" w:rsidRPr="003A4817" w:rsidRDefault="00801E46">
            <w:pPr>
              <w:pStyle w:val="Numberbullet0"/>
              <w:spacing w:before="0" w:after="0"/>
              <w:rPr>
                <w:sz w:val="16"/>
                <w:szCs w:val="16"/>
              </w:rPr>
            </w:pPr>
            <w:r w:rsidRPr="003A4817">
              <w:rPr>
                <w:sz w:val="16"/>
                <w:szCs w:val="16"/>
              </w:rPr>
              <w:t>timelier signal detection of medical device adverse events as they occur</w:t>
            </w:r>
          </w:p>
        </w:tc>
        <w:tc>
          <w:tcPr>
            <w:tcW w:w="2500" w:type="dxa"/>
            <w:vAlign w:val="center"/>
          </w:tcPr>
          <w:p w14:paraId="7AB88C3F" w14:textId="2DB257C2" w:rsidR="00801E46" w:rsidRPr="003A4817" w:rsidRDefault="002E6D80">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sz w:val="16"/>
                <w:szCs w:val="16"/>
              </w:rPr>
              <w:t>moderate</w:t>
            </w:r>
          </w:p>
        </w:tc>
      </w:tr>
      <w:tr w:rsidR="00801E46" w14:paraId="1EE33F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70B2869" w14:textId="77777777" w:rsidR="00801E46" w:rsidRPr="003A4817" w:rsidRDefault="00801E46">
            <w:pPr>
              <w:pStyle w:val="Numberbullet0"/>
              <w:spacing w:before="0" w:after="0"/>
              <w:rPr>
                <w:sz w:val="16"/>
                <w:szCs w:val="16"/>
              </w:rPr>
            </w:pPr>
            <w:r w:rsidRPr="003A4817">
              <w:rPr>
                <w:sz w:val="16"/>
                <w:szCs w:val="16"/>
              </w:rPr>
              <w:t>improved identification of rarer events and potential emerging issues across the country</w:t>
            </w:r>
          </w:p>
        </w:tc>
        <w:tc>
          <w:tcPr>
            <w:tcW w:w="2500" w:type="dxa"/>
            <w:vAlign w:val="center"/>
          </w:tcPr>
          <w:p w14:paraId="621A1D4F" w14:textId="015EBD4B" w:rsidR="00801E46" w:rsidRPr="003A4817" w:rsidRDefault="00B422B1">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sz w:val="16"/>
                <w:szCs w:val="16"/>
              </w:rPr>
              <w:t>moderate</w:t>
            </w:r>
          </w:p>
        </w:tc>
      </w:tr>
      <w:tr w:rsidR="00801E46" w14:paraId="5B8F9B1C" w14:textId="77777777">
        <w:tc>
          <w:tcPr>
            <w:cnfStyle w:val="001000000000" w:firstRow="0" w:lastRow="0" w:firstColumn="1" w:lastColumn="0" w:oddVBand="0" w:evenVBand="0" w:oddHBand="0" w:evenHBand="0" w:firstRowFirstColumn="0" w:firstRowLastColumn="0" w:lastRowFirstColumn="0" w:lastRowLastColumn="0"/>
            <w:tcW w:w="6516" w:type="dxa"/>
            <w:vAlign w:val="center"/>
          </w:tcPr>
          <w:p w14:paraId="0F036AB8" w14:textId="77777777" w:rsidR="00801E46" w:rsidRPr="003A4817" w:rsidRDefault="00801E46">
            <w:pPr>
              <w:pStyle w:val="Numberbullet0"/>
              <w:spacing w:before="0" w:after="0"/>
              <w:rPr>
                <w:sz w:val="16"/>
                <w:szCs w:val="16"/>
              </w:rPr>
            </w:pPr>
            <w:r w:rsidRPr="003A4817">
              <w:rPr>
                <w:sz w:val="16"/>
                <w:szCs w:val="16"/>
              </w:rPr>
              <w:t>earlier regulatory responses to address safety concerns</w:t>
            </w:r>
          </w:p>
        </w:tc>
        <w:tc>
          <w:tcPr>
            <w:tcW w:w="2500" w:type="dxa"/>
            <w:vAlign w:val="center"/>
          </w:tcPr>
          <w:p w14:paraId="1121DFB3" w14:textId="7ED4576D" w:rsidR="00801E46" w:rsidRPr="003A4817" w:rsidRDefault="006725DD">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sz w:val="16"/>
                <w:szCs w:val="16"/>
              </w:rPr>
              <w:t>moderate</w:t>
            </w:r>
          </w:p>
        </w:tc>
      </w:tr>
      <w:tr w:rsidR="00801E46" w14:paraId="2BC852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F3E6D25" w14:textId="54993CE6" w:rsidR="00801E46" w:rsidRPr="00E42BAD" w:rsidRDefault="00801E46">
            <w:pPr>
              <w:pStyle w:val="Numberbullet0"/>
              <w:spacing w:before="0" w:after="0"/>
              <w:rPr>
                <w:sz w:val="16"/>
                <w:szCs w:val="16"/>
              </w:rPr>
            </w:pPr>
            <w:r w:rsidRPr="00E42BAD">
              <w:rPr>
                <w:sz w:val="16"/>
                <w:szCs w:val="16"/>
              </w:rPr>
              <w:t>more frequent provision of information to healthcare facilities regarding possible threats to patient and professional safety</w:t>
            </w:r>
          </w:p>
        </w:tc>
        <w:tc>
          <w:tcPr>
            <w:tcW w:w="2500" w:type="dxa"/>
            <w:vAlign w:val="center"/>
          </w:tcPr>
          <w:p w14:paraId="08EDF478" w14:textId="35F6D44B" w:rsidR="00801E46" w:rsidRPr="003A4817" w:rsidRDefault="006725DD">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sz w:val="16"/>
                <w:szCs w:val="16"/>
              </w:rPr>
              <w:t>m</w:t>
            </w:r>
            <w:r w:rsidR="006743F2">
              <w:rPr>
                <w:sz w:val="16"/>
                <w:szCs w:val="16"/>
              </w:rPr>
              <w:t>oderate</w:t>
            </w:r>
          </w:p>
        </w:tc>
      </w:tr>
      <w:tr w:rsidR="00555796" w14:paraId="7707F2E9" w14:textId="77777777" w:rsidTr="00422DE8">
        <w:tc>
          <w:tcPr>
            <w:cnfStyle w:val="001000000000" w:firstRow="0" w:lastRow="0" w:firstColumn="1" w:lastColumn="0" w:oddVBand="0" w:evenVBand="0" w:oddHBand="0" w:evenHBand="0" w:firstRowFirstColumn="0" w:firstRowLastColumn="0" w:lastRowFirstColumn="0" w:lastRowLastColumn="0"/>
            <w:tcW w:w="0" w:type="dxa"/>
          </w:tcPr>
          <w:p w14:paraId="66BDAB0F" w14:textId="6B7C4507" w:rsidR="00555796" w:rsidRPr="00E42BAD" w:rsidRDefault="00555796" w:rsidP="00555796">
            <w:pPr>
              <w:pStyle w:val="Numberbullet0"/>
              <w:spacing w:before="0" w:after="0"/>
              <w:rPr>
                <w:sz w:val="16"/>
                <w:szCs w:val="16"/>
              </w:rPr>
            </w:pPr>
            <w:r w:rsidRPr="00422DE8">
              <w:rPr>
                <w:sz w:val="16"/>
                <w:szCs w:val="16"/>
              </w:rPr>
              <w:t>proactively identify and mitigate risks associated with medical devices</w:t>
            </w:r>
          </w:p>
        </w:tc>
        <w:tc>
          <w:tcPr>
            <w:tcW w:w="0" w:type="dxa"/>
            <w:vAlign w:val="center"/>
          </w:tcPr>
          <w:p w14:paraId="1558497D" w14:textId="4DF2BA28" w:rsidR="00555796" w:rsidRDefault="00AF3209" w:rsidP="00555796">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sidR="00BE6EE6">
              <w:rPr>
                <w:sz w:val="16"/>
                <w:szCs w:val="16"/>
              </w:rPr>
              <w:t>oderate</w:t>
            </w:r>
          </w:p>
        </w:tc>
      </w:tr>
      <w:tr w:rsidR="00555796" w14:paraId="24385C94"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1A2444" w14:textId="3A7CE1AE" w:rsidR="00555796" w:rsidRPr="00E42BAD" w:rsidRDefault="00555796" w:rsidP="00555796">
            <w:pPr>
              <w:pStyle w:val="Numberbullet0"/>
              <w:spacing w:before="0" w:after="0"/>
              <w:rPr>
                <w:sz w:val="16"/>
                <w:szCs w:val="16"/>
              </w:rPr>
            </w:pPr>
            <w:r w:rsidRPr="00422DE8">
              <w:rPr>
                <w:sz w:val="16"/>
                <w:szCs w:val="16"/>
              </w:rPr>
              <w:t>improved data quality enabling meaningful trend identification and analysis</w:t>
            </w:r>
          </w:p>
        </w:tc>
        <w:tc>
          <w:tcPr>
            <w:tcW w:w="0" w:type="dxa"/>
            <w:vAlign w:val="center"/>
          </w:tcPr>
          <w:p w14:paraId="4EEE3A1D" w14:textId="0B23EB8A" w:rsidR="00555796" w:rsidRDefault="00BE6EE6" w:rsidP="00555796">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low</w:t>
            </w:r>
          </w:p>
        </w:tc>
      </w:tr>
    </w:tbl>
    <w:p w14:paraId="6431AC18" w14:textId="1206F04B" w:rsidR="00422C6A" w:rsidRDefault="00422C6A">
      <w:pPr>
        <w:rPr>
          <w:rFonts w:eastAsia="Times New Roman" w:cs="Times New Roman"/>
          <w:b/>
          <w:bCs/>
          <w:color w:val="001871"/>
          <w:sz w:val="32"/>
          <w:szCs w:val="32"/>
        </w:rPr>
      </w:pPr>
      <w:r>
        <w:br w:type="page"/>
      </w:r>
    </w:p>
    <w:p w14:paraId="76049ACF" w14:textId="41653116" w:rsidR="00CA3DCE" w:rsidRPr="008620C0" w:rsidRDefault="008620C0" w:rsidP="005A771E">
      <w:pPr>
        <w:pStyle w:val="Heading3"/>
        <w:rPr>
          <w:color w:val="FFFFFF" w:themeColor="background1"/>
        </w:rPr>
      </w:pPr>
      <w:bookmarkStart w:id="130" w:name="_Toc179531319"/>
      <w:bookmarkStart w:id="131" w:name="_Toc188012868"/>
      <w:r w:rsidRPr="001C2675">
        <w:rPr>
          <w:noProof/>
          <w:lang w:eastAsia="en-AU"/>
        </w:rPr>
        <w:lastRenderedPageBreak/>
        <w:drawing>
          <wp:anchor distT="0" distB="0" distL="114300" distR="114300" simplePos="0" relativeHeight="251687424" behindDoc="0" locked="0" layoutInCell="1" allowOverlap="1" wp14:anchorId="04242A33" wp14:editId="09B781CF">
            <wp:simplePos x="0" y="0"/>
            <wp:positionH relativeFrom="margin">
              <wp:align>center</wp:align>
            </wp:positionH>
            <wp:positionV relativeFrom="paragraph">
              <wp:posOffset>11867</wp:posOffset>
            </wp:positionV>
            <wp:extent cx="5731510" cy="2130425"/>
            <wp:effectExtent l="0" t="0" r="2540" b="3175"/>
            <wp:wrapNone/>
            <wp:docPr id="7" name="Picture 6">
              <a:extLst xmlns:a="http://schemas.openxmlformats.org/drawingml/2006/main">
                <a:ext uri="{FF2B5EF4-FFF2-40B4-BE49-F238E27FC236}">
                  <a16:creationId xmlns:a16="http://schemas.microsoft.com/office/drawing/2014/main" id="{3C183C3D-325A-3C35-F8BC-8A1C89D64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C183C3D-325A-3C35-F8BC-8A1C89D648A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130425"/>
                    </a:xfrm>
                    <a:prstGeom prst="rect">
                      <a:avLst/>
                    </a:prstGeom>
                  </pic:spPr>
                </pic:pic>
              </a:graphicData>
            </a:graphic>
          </wp:anchor>
        </w:drawing>
      </w:r>
      <w:r w:rsidR="005A771E" w:rsidRPr="008620C0">
        <w:rPr>
          <w:color w:val="FFFFFF" w:themeColor="background1"/>
        </w:rPr>
        <w:t>Option 3 – Public and Private hospitals report adverse events relating to medium and high risk medical devices</w:t>
      </w:r>
      <w:bookmarkEnd w:id="130"/>
      <w:bookmarkEnd w:id="131"/>
    </w:p>
    <w:p w14:paraId="74166AFA" w14:textId="1F7E95B3" w:rsidR="00CA3DCE" w:rsidRDefault="00CA3DCE" w:rsidP="00CA3DCE"/>
    <w:bookmarkEnd w:id="74"/>
    <w:bookmarkEnd w:id="75"/>
    <w:p w14:paraId="097FF669" w14:textId="0575B652" w:rsidR="004C25AF" w:rsidRDefault="004C25AF" w:rsidP="00CA3DCE"/>
    <w:p w14:paraId="28F8428F" w14:textId="5CE4678B" w:rsidR="00CA3DCE" w:rsidRDefault="00CA3DCE" w:rsidP="009C1BA3"/>
    <w:p w14:paraId="33D5C09F" w14:textId="77777777" w:rsidR="005A771E" w:rsidRDefault="005A771E" w:rsidP="009C1BA3"/>
    <w:p w14:paraId="2B2B7972" w14:textId="77777777" w:rsidR="005A771E" w:rsidRDefault="005A771E" w:rsidP="009C1BA3"/>
    <w:p w14:paraId="292137B8" w14:textId="77777777" w:rsidR="005A771E" w:rsidRDefault="005A771E" w:rsidP="009C1BA3"/>
    <w:p w14:paraId="5253F8D5" w14:textId="77777777" w:rsidR="005A771E" w:rsidRDefault="005A771E" w:rsidP="009C1BA3"/>
    <w:p w14:paraId="7FAA799D" w14:textId="77777777" w:rsidR="0009468E" w:rsidRDefault="0009468E" w:rsidP="009C1BA3"/>
    <w:p w14:paraId="567339BE" w14:textId="72998163" w:rsidR="009C1BA3" w:rsidRDefault="009C1BA3" w:rsidP="009C1BA3">
      <w:r w:rsidRPr="00125277">
        <w:t xml:space="preserve">Option 3 would see the implementation of mandatory medical device adverse event reporting for </w:t>
      </w:r>
      <w:r>
        <w:t xml:space="preserve">the </w:t>
      </w:r>
      <w:r w:rsidRPr="00125277">
        <w:t xml:space="preserve">same population as Option 2 (i.e., public and private hospitals). However, it is proposed that the scope of reportable medical devices be expanded to include </w:t>
      </w:r>
      <w:r w:rsidR="00F10DBD">
        <w:t>medical devices deemed to be medium to high</w:t>
      </w:r>
      <w:r w:rsidR="00362590">
        <w:t xml:space="preserve"> </w:t>
      </w:r>
      <w:r w:rsidR="00F10DBD">
        <w:t xml:space="preserve">risk (i.e., </w:t>
      </w:r>
      <w:r w:rsidRPr="00125277">
        <w:t>Class IIa, IIb and III</w:t>
      </w:r>
      <w:r w:rsidR="00F10DBD">
        <w:t xml:space="preserve"> medical devices, AIMDs and Class </w:t>
      </w:r>
      <w:r w:rsidR="00A007BE">
        <w:t>3</w:t>
      </w:r>
      <w:r w:rsidR="00E63852">
        <w:t xml:space="preserve"> and </w:t>
      </w:r>
      <w:r w:rsidR="00F10DBD">
        <w:t>4 IVDs)</w:t>
      </w:r>
      <w:r w:rsidR="00A42371">
        <w:rPr>
          <w:rStyle w:val="FootnoteReference"/>
        </w:rPr>
        <w:footnoteReference w:id="64"/>
      </w:r>
      <w:r w:rsidRPr="00125277">
        <w:t>. Option 3 also proposes two sub options regarding the frequency of reporting. Those being:</w:t>
      </w:r>
    </w:p>
    <w:p w14:paraId="1D7B00BF" w14:textId="77777777" w:rsidR="009C1BA3" w:rsidRDefault="009C1BA3" w:rsidP="009C1BA3">
      <w:pPr>
        <w:pStyle w:val="Bullet1"/>
      </w:pPr>
      <w:r>
        <w:t xml:space="preserve">in batch </w:t>
      </w:r>
    </w:p>
    <w:p w14:paraId="12D8673F" w14:textId="77777777" w:rsidR="009C1BA3" w:rsidRDefault="009C1BA3" w:rsidP="009C1BA3">
      <w:pPr>
        <w:pStyle w:val="Bullet1"/>
      </w:pPr>
      <w:r>
        <w:t>on occurrence.</w:t>
      </w:r>
    </w:p>
    <w:p w14:paraId="12FD96C9" w14:textId="77777777" w:rsidR="009C1BA3" w:rsidRDefault="009C1BA3" w:rsidP="009C1BA3">
      <w:r>
        <w:t>In summary, Option 3 would propose:</w:t>
      </w:r>
    </w:p>
    <w:p w14:paraId="258E47A8" w14:textId="3EA13389" w:rsidR="009C1BA3" w:rsidRDefault="009C1BA3" w:rsidP="009C1BA3">
      <w:pPr>
        <w:pStyle w:val="Bullet1"/>
      </w:pPr>
      <w:r>
        <w:t>healthcare facilities to include public and private hospitals</w:t>
      </w:r>
    </w:p>
    <w:p w14:paraId="5E5FB911" w14:textId="641CCCB6" w:rsidR="009C1BA3" w:rsidRDefault="009C1BA3" w:rsidP="009C1BA3">
      <w:pPr>
        <w:pStyle w:val="Bullet1"/>
      </w:pPr>
      <w:r>
        <w:t>reportable medical devices would include Class IIa, IIb and Class III</w:t>
      </w:r>
      <w:r w:rsidR="00F10DBD">
        <w:t xml:space="preserve"> medical devices, AIMDs and Class 4 IVDs</w:t>
      </w:r>
    </w:p>
    <w:p w14:paraId="194BB47E" w14:textId="1BB13618" w:rsidR="009C1BA3" w:rsidRDefault="009C1BA3" w:rsidP="009C1BA3">
      <w:pPr>
        <w:pStyle w:val="Bullet1"/>
      </w:pPr>
      <w:r>
        <w:t>reporting information would leverage, as far as is possible, existing systems and data collected to meet a minimum dataset requirement</w:t>
      </w:r>
    </w:p>
    <w:p w14:paraId="43DC13B9" w14:textId="133226E0" w:rsidR="00422C6A" w:rsidRDefault="00FC55F2" w:rsidP="00494414">
      <w:pPr>
        <w:pStyle w:val="Bullet1"/>
      </w:pPr>
      <w:r w:rsidRPr="0026235D">
        <w:t xml:space="preserve">reporting frequency would be either on occurrence, or in batch </w:t>
      </w:r>
      <w:r w:rsidR="003C2F94" w:rsidRPr="0026235D">
        <w:t>monthly</w:t>
      </w:r>
      <w:r w:rsidR="00A10A46">
        <w:t xml:space="preserve"> or every two months</w:t>
      </w:r>
      <w:r w:rsidRPr="0026235D">
        <w:t>.</w:t>
      </w:r>
    </w:p>
    <w:p w14:paraId="79F52019" w14:textId="3FE6410D" w:rsidR="00377D7B" w:rsidRDefault="00FC55F2" w:rsidP="00410D24">
      <w:pPr>
        <w:pStyle w:val="Heading3-NotinTOC"/>
      </w:pPr>
      <w:bookmarkStart w:id="132" w:name="_Toc160784007"/>
      <w:bookmarkStart w:id="133" w:name="_Toc160784069"/>
      <w:bookmarkStart w:id="134" w:name="_Toc160811484"/>
      <w:bookmarkStart w:id="135" w:name="_Toc162009868"/>
      <w:bookmarkStart w:id="136" w:name="_Toc162024247"/>
      <w:bookmarkStart w:id="137" w:name="_Toc163229854"/>
      <w:bookmarkStart w:id="138" w:name="_Toc163231058"/>
      <w:bookmarkStart w:id="139" w:name="_Toc172126745"/>
      <w:bookmarkStart w:id="140" w:name="_Toc179531320"/>
      <w:bookmarkStart w:id="141" w:name="_Toc188012869"/>
      <w:r>
        <w:t xml:space="preserve">Measure </w:t>
      </w:r>
      <w:r w:rsidR="00C41711">
        <w:t>7</w:t>
      </w:r>
      <w:r>
        <w:t xml:space="preserve"> </w:t>
      </w:r>
      <w:r w:rsidR="007E3D22">
        <w:t>–</w:t>
      </w:r>
      <w:r>
        <w:t xml:space="preserve"> </w:t>
      </w:r>
      <w:bookmarkEnd w:id="132"/>
      <w:bookmarkEnd w:id="133"/>
      <w:bookmarkEnd w:id="134"/>
      <w:r w:rsidR="00994F22" w:rsidRPr="00994F22">
        <w:t xml:space="preserve">expand scope of ‘reportable medical devices’ to include </w:t>
      </w:r>
      <w:bookmarkEnd w:id="135"/>
      <w:bookmarkEnd w:id="136"/>
      <w:r w:rsidR="00F10DBD">
        <w:t>medium-risk medical devices</w:t>
      </w:r>
      <w:bookmarkEnd w:id="137"/>
      <w:bookmarkEnd w:id="138"/>
      <w:bookmarkEnd w:id="139"/>
      <w:bookmarkEnd w:id="140"/>
      <w:bookmarkEnd w:id="141"/>
    </w:p>
    <w:p w14:paraId="3D3AE687" w14:textId="060A1B9F" w:rsidR="00756BA9" w:rsidRDefault="00B23CEF" w:rsidP="00756BA9">
      <w:r>
        <w:t>As noted, Option 3 would see the expansion o</w:t>
      </w:r>
      <w:r w:rsidR="00160E1C">
        <w:t xml:space="preserve">f the scope of reportable medical devices. </w:t>
      </w:r>
      <w:r w:rsidR="006F52E9">
        <w:t>More specifically,</w:t>
      </w:r>
      <w:r w:rsidR="007E3D22">
        <w:t xml:space="preserve"> Measure </w:t>
      </w:r>
      <w:r w:rsidR="00502C98">
        <w:t>7</w:t>
      </w:r>
      <w:r w:rsidR="007361CB">
        <w:t xml:space="preserve"> proposes to include</w:t>
      </w:r>
      <w:r w:rsidR="004E2D05">
        <w:t>:</w:t>
      </w:r>
    </w:p>
    <w:p w14:paraId="08AD9F66" w14:textId="3F12D201" w:rsidR="004E2D05" w:rsidRDefault="004E2D05" w:rsidP="004E2D05">
      <w:pPr>
        <w:pStyle w:val="Bullet1"/>
      </w:pPr>
      <w:r>
        <w:t xml:space="preserve">Class IIa – </w:t>
      </w:r>
      <w:r w:rsidR="004F009C">
        <w:t xml:space="preserve">low to </w:t>
      </w:r>
      <w:r>
        <w:t xml:space="preserve">medium </w:t>
      </w:r>
      <w:r w:rsidR="00D610D1" w:rsidRPr="00D610D1">
        <w:t>risk level for potential harm</w:t>
      </w:r>
    </w:p>
    <w:p w14:paraId="1C40F840" w14:textId="02DEAD4A" w:rsidR="0051444C" w:rsidRDefault="0051444C" w:rsidP="004E2D05">
      <w:pPr>
        <w:pStyle w:val="Bullet1"/>
      </w:pPr>
      <w:r>
        <w:t xml:space="preserve">Class IIb – medium to high </w:t>
      </w:r>
      <w:r w:rsidR="00D610D1" w:rsidRPr="00D610D1">
        <w:t>risk level for potential harm</w:t>
      </w:r>
    </w:p>
    <w:p w14:paraId="7F6F232B" w14:textId="6449EEAE" w:rsidR="006632BF" w:rsidRDefault="006632BF" w:rsidP="004E2D05">
      <w:pPr>
        <w:pStyle w:val="Bullet1"/>
      </w:pPr>
      <w:r>
        <w:t xml:space="preserve">Class 3 IVDs </w:t>
      </w:r>
      <w:r w:rsidR="008A6C83">
        <w:t>–</w:t>
      </w:r>
      <w:r>
        <w:t xml:space="preserve"> </w:t>
      </w:r>
      <w:r w:rsidR="008A6C83">
        <w:t>moderate risk level for potential harm</w:t>
      </w:r>
    </w:p>
    <w:p w14:paraId="3A33C96A" w14:textId="77777777" w:rsidR="00E948BF" w:rsidRDefault="00E948BF" w:rsidP="00E948BF">
      <w:pPr>
        <w:pStyle w:val="Bullet1"/>
      </w:pPr>
      <w:r>
        <w:t>Class III – high risk level for potential harm</w:t>
      </w:r>
    </w:p>
    <w:p w14:paraId="00514787" w14:textId="61475BE5" w:rsidR="00974AE5" w:rsidRDefault="00974AE5" w:rsidP="00E948BF">
      <w:pPr>
        <w:pStyle w:val="Bullet1"/>
      </w:pPr>
      <w:r>
        <w:t>AIMDs – high risk level for potential harm</w:t>
      </w:r>
    </w:p>
    <w:p w14:paraId="32940D68" w14:textId="3850AD39" w:rsidR="00E948BF" w:rsidRDefault="00E948BF" w:rsidP="00974AE5">
      <w:pPr>
        <w:pStyle w:val="Bullet1"/>
      </w:pPr>
      <w:r>
        <w:t>Class 4 IVDs –</w:t>
      </w:r>
      <w:r w:rsidR="00974AE5">
        <w:t xml:space="preserve"> </w:t>
      </w:r>
      <w:r>
        <w:t>high risk level for potential harm</w:t>
      </w:r>
      <w:r w:rsidR="00974AE5">
        <w:t>.</w:t>
      </w:r>
    </w:p>
    <w:p w14:paraId="764354F9" w14:textId="77777777" w:rsidR="0014467A" w:rsidRDefault="0014467A" w:rsidP="0014467A">
      <w:pPr>
        <w:pStyle w:val="Bullet1"/>
        <w:numPr>
          <w:ilvl w:val="0"/>
          <w:numId w:val="0"/>
        </w:numPr>
      </w:pPr>
      <w:r>
        <w:t xml:space="preserve">While this expanded scope would increase the reporting burden placed on public and private hospitals, it would more comprehensively cover medical devices deemed to be of higher risk, which aligns with the policy objectives of the amended legislation. The addition of these two classes would </w:t>
      </w:r>
      <w:r>
        <w:lastRenderedPageBreak/>
        <w:t>see the coverage of registered medical device expand from 9.8% (i.e., Class III medical devices, AIMDs and Class 4 IVDs), to 43.4% (Class IIa, IIb and III medical devices, AIMDs and Class 3 and 4 IVDs). In relation to historic medical device adverse event reporting, this would increase coverage from 49.5% of reports in the last five calendar years, to 90.9%.</w:t>
      </w:r>
    </w:p>
    <w:p w14:paraId="66980454" w14:textId="77777777" w:rsidR="005B07F8" w:rsidRDefault="005B07F8" w:rsidP="005B07F8">
      <w:pPr>
        <w:pStyle w:val="Heading5"/>
      </w:pPr>
      <w:bookmarkStart w:id="142" w:name="_Toc156375144"/>
      <w:bookmarkStart w:id="143" w:name="_Toc156382751"/>
      <w:r>
        <w:t>Success Criteria</w:t>
      </w:r>
    </w:p>
    <w:p w14:paraId="082C73C8" w14:textId="70348478" w:rsidR="00706110" w:rsidRDefault="004B2585" w:rsidP="005B07F8">
      <w:r w:rsidRPr="004B2585">
        <w:t>Option</w:t>
      </w:r>
      <w:r w:rsidR="002F52C3">
        <w:t>s</w:t>
      </w:r>
      <w:r w:rsidRPr="004B2585">
        <w:t xml:space="preserve"> </w:t>
      </w:r>
      <w:r>
        <w:t>3</w:t>
      </w:r>
      <w:r w:rsidRPr="004B2585">
        <w:t xml:space="preserve">A and </w:t>
      </w:r>
      <w:r>
        <w:t>3</w:t>
      </w:r>
      <w:r w:rsidRPr="004B2585">
        <w:t>B are estimated to address the success criteria to a moderate</w:t>
      </w:r>
      <w:r>
        <w:t xml:space="preserve"> to high</w:t>
      </w:r>
      <w:r w:rsidRPr="004B2585">
        <w:t xml:space="preserve"> level. </w:t>
      </w:r>
      <w:r w:rsidR="0035128B">
        <w:t>Similar to Option 2, t</w:t>
      </w:r>
      <w:r w:rsidRPr="004B2585">
        <w:t xml:space="preserve">he introduction of mandatory reporting regulations would increase the volume of reports and thus support the timelier detection of adverse events </w:t>
      </w:r>
      <w:r w:rsidR="00D175CB">
        <w:t xml:space="preserve">due to the </w:t>
      </w:r>
      <w:r w:rsidR="0035128B">
        <w:t xml:space="preserve">expanded </w:t>
      </w:r>
      <w:r w:rsidRPr="004B2585">
        <w:t xml:space="preserve">scope </w:t>
      </w:r>
      <w:r w:rsidR="00D175CB">
        <w:t>of</w:t>
      </w:r>
      <w:r w:rsidRPr="004B2585">
        <w:t xml:space="preserve"> medical devices </w:t>
      </w:r>
      <w:r w:rsidR="00D175CB">
        <w:t>to</w:t>
      </w:r>
      <w:r w:rsidR="0035128B">
        <w:t xml:space="preserve"> include</w:t>
      </w:r>
      <w:r w:rsidR="00D175CB">
        <w:t xml:space="preserve"> </w:t>
      </w:r>
      <w:r w:rsidR="00BA36B2">
        <w:t>medium</w:t>
      </w:r>
      <w:r w:rsidR="00D175CB">
        <w:t xml:space="preserve"> to high-risk medical devices</w:t>
      </w:r>
      <w:r w:rsidR="0035128B">
        <w:t xml:space="preserve"> </w:t>
      </w:r>
      <w:r w:rsidR="00D175CB">
        <w:t xml:space="preserve">(i.e. </w:t>
      </w:r>
      <w:r w:rsidR="0035128B">
        <w:t xml:space="preserve">Class IIa, </w:t>
      </w:r>
      <w:r w:rsidR="003F7DC4">
        <w:t xml:space="preserve">IIb and </w:t>
      </w:r>
      <w:r w:rsidRPr="004B2585">
        <w:t xml:space="preserve">III medical devices, AIMDs and Class </w:t>
      </w:r>
      <w:r w:rsidR="003F7DC4">
        <w:t xml:space="preserve">3 and </w:t>
      </w:r>
      <w:r w:rsidRPr="004B2585">
        <w:t>4 IVDs</w:t>
      </w:r>
      <w:r w:rsidR="00D175CB">
        <w:t xml:space="preserve">) </w:t>
      </w:r>
      <w:r w:rsidR="00D175CB" w:rsidRPr="00D175CB">
        <w:t>which would</w:t>
      </w:r>
      <w:r w:rsidR="00137045">
        <w:t xml:space="preserve"> ensure a wider range of medical devices are monitored</w:t>
      </w:r>
      <w:r w:rsidR="00D175CB" w:rsidRPr="00D175CB">
        <w:t>.</w:t>
      </w:r>
    </w:p>
    <w:p w14:paraId="06A75C71" w14:textId="29CADC17" w:rsidR="004B2585" w:rsidRDefault="00F9503A" w:rsidP="005B07F8">
      <w:r>
        <w:t>A larger dataset from medium- and high- risk devices</w:t>
      </w:r>
      <w:r w:rsidR="00F94C39">
        <w:t xml:space="preserve"> </w:t>
      </w:r>
      <w:r w:rsidR="00B230DB">
        <w:t xml:space="preserve"> would improve the TGA’s ability to detect, assess and respond to potential </w:t>
      </w:r>
      <w:r w:rsidR="00E96DDC">
        <w:t>safety issues related to medical devices and more holistically achieve the objectives of Government</w:t>
      </w:r>
      <w:r w:rsidR="00706110">
        <w:t xml:space="preserve"> (i.e., through the more comprehensive coverage of medical devices assess</w:t>
      </w:r>
      <w:r w:rsidR="00DA408F">
        <w:t>ed</w:t>
      </w:r>
      <w:r w:rsidR="00706110">
        <w:t xml:space="preserve"> as being of high potential risk to safety)</w:t>
      </w:r>
      <w:r w:rsidR="00D175CB">
        <w:t>.</w:t>
      </w:r>
      <w:r w:rsidR="00C33C34">
        <w:t xml:space="preserve"> </w:t>
      </w:r>
      <w:r w:rsidR="00490100">
        <w:t xml:space="preserve">Including </w:t>
      </w:r>
      <w:r w:rsidR="00BA36B2">
        <w:t xml:space="preserve">medium to high risk </w:t>
      </w:r>
      <w:r w:rsidR="006A5E0E">
        <w:t xml:space="preserve">devices allows for earlier </w:t>
      </w:r>
      <w:r w:rsidR="000824D2">
        <w:t>identification</w:t>
      </w:r>
      <w:r w:rsidR="006A5E0E">
        <w:t xml:space="preserve"> and mitigation of issues before they escalate to more severe incidents, </w:t>
      </w:r>
      <w:r w:rsidR="000824D2">
        <w:t>reducing</w:t>
      </w:r>
      <w:r w:rsidR="006A5E0E">
        <w:t xml:space="preserve"> long term harm</w:t>
      </w:r>
      <w:r w:rsidR="000824D2">
        <w:t xml:space="preserve"> and healthcare costs. </w:t>
      </w:r>
      <w:r w:rsidR="001F670E">
        <w:t xml:space="preserve">The expanded coverage </w:t>
      </w:r>
      <w:r w:rsidR="00F42035">
        <w:t xml:space="preserve">would also allow for more frequent provision of information to stakeholders. </w:t>
      </w:r>
      <w:r w:rsidR="002A242B">
        <w:t xml:space="preserve">The inclusion of </w:t>
      </w:r>
      <w:r w:rsidR="00507E2E">
        <w:t>medium risk</w:t>
      </w:r>
      <w:r w:rsidR="002A242B">
        <w:t xml:space="preserve"> devices will generate a more substantial and continuous stream of adverse </w:t>
      </w:r>
      <w:r w:rsidR="00507E2E">
        <w:t>event</w:t>
      </w:r>
      <w:r w:rsidR="002A242B">
        <w:t xml:space="preserve"> reports, </w:t>
      </w:r>
      <w:r w:rsidR="00507E2E">
        <w:t>enabling the TGA to deliver tailored safety information and recommendations to health care facilities and industry based on specific risks associated with different device categories.</w:t>
      </w:r>
      <w:r w:rsidR="00BD6E93">
        <w:t xml:space="preserve"> </w:t>
      </w:r>
      <w:r w:rsidR="00C33C34">
        <w:t xml:space="preserve">The increased scope of </w:t>
      </w:r>
      <w:r w:rsidR="00C33C34" w:rsidRPr="00C33C34">
        <w:t xml:space="preserve">reporting data will </w:t>
      </w:r>
      <w:r w:rsidR="00C33C34">
        <w:t xml:space="preserve">allow for </w:t>
      </w:r>
      <w:r w:rsidR="00C33C34" w:rsidRPr="00C33C34">
        <w:t xml:space="preserve">better comparability, analytical capabilities, data validation processes </w:t>
      </w:r>
      <w:r w:rsidR="00C33C34">
        <w:t>thereby</w:t>
      </w:r>
      <w:r w:rsidR="00C33C34" w:rsidRPr="00C33C34">
        <w:t xml:space="preserve"> producing meaningful signals and trend analysis.</w:t>
      </w:r>
    </w:p>
    <w:p w14:paraId="70EAFB9C" w14:textId="0E484C64" w:rsidR="005B07F8" w:rsidRPr="006743F2" w:rsidRDefault="005B07F8" w:rsidP="005B07F8">
      <w:r>
        <w:t>The following table details the level to which the proposed option addresses the success criteria of government intervention. The ratings provided are qualitative and are relative to the other policy options proposed.</w:t>
      </w:r>
    </w:p>
    <w:p w14:paraId="4C252D7A" w14:textId="51041C27" w:rsidR="00112799" w:rsidRDefault="00112799" w:rsidP="00B37DCC">
      <w:pPr>
        <w:pStyle w:val="Caption"/>
        <w:keepNext/>
      </w:pPr>
      <w:r>
        <w:t xml:space="preserve">Table </w:t>
      </w:r>
      <w:r>
        <w:fldChar w:fldCharType="begin"/>
      </w:r>
      <w:r>
        <w:instrText>SEQ Table \* ARABIC</w:instrText>
      </w:r>
      <w:r>
        <w:fldChar w:fldCharType="separate"/>
      </w:r>
      <w:r w:rsidR="00CA03EA">
        <w:rPr>
          <w:noProof/>
        </w:rPr>
        <w:t>7</w:t>
      </w:r>
      <w:r>
        <w:fldChar w:fldCharType="end"/>
      </w:r>
      <w:r>
        <w:t xml:space="preserve"> - Success criteria</w:t>
      </w:r>
    </w:p>
    <w:tbl>
      <w:tblPr>
        <w:tblStyle w:val="GridTable2-Accent1"/>
        <w:tblW w:w="0" w:type="auto"/>
        <w:tblLook w:val="04A0" w:firstRow="1" w:lastRow="0" w:firstColumn="1" w:lastColumn="0" w:noHBand="0" w:noVBand="1"/>
      </w:tblPr>
      <w:tblGrid>
        <w:gridCol w:w="6516"/>
        <w:gridCol w:w="2500"/>
      </w:tblGrid>
      <w:tr w:rsidR="005B07F8" w14:paraId="059D33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1C3749B" w14:textId="77777777" w:rsidR="005B07F8" w:rsidRPr="003E7B8D" w:rsidRDefault="005B07F8">
            <w:r w:rsidRPr="003E7B8D">
              <w:t>Success Criteria</w:t>
            </w:r>
          </w:p>
        </w:tc>
        <w:tc>
          <w:tcPr>
            <w:tcW w:w="2500" w:type="dxa"/>
          </w:tcPr>
          <w:p w14:paraId="425D0532" w14:textId="77777777" w:rsidR="005B07F8" w:rsidRPr="003E7B8D" w:rsidRDefault="005B07F8">
            <w:pPr>
              <w:jc w:val="center"/>
              <w:cnfStyle w:val="100000000000" w:firstRow="1" w:lastRow="0" w:firstColumn="0" w:lastColumn="0" w:oddVBand="0" w:evenVBand="0" w:oddHBand="0" w:evenHBand="0" w:firstRowFirstColumn="0" w:firstRowLastColumn="0" w:lastRowFirstColumn="0" w:lastRowLastColumn="0"/>
            </w:pPr>
            <w:r w:rsidRPr="003E7B8D">
              <w:t>Level of Addressal</w:t>
            </w:r>
          </w:p>
        </w:tc>
      </w:tr>
      <w:tr w:rsidR="005B07F8" w14:paraId="1AFB59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7ACA820F" w14:textId="77777777" w:rsidR="005B07F8" w:rsidRPr="00422DE8" w:rsidRDefault="005B07F8" w:rsidP="00422DE8">
            <w:pPr>
              <w:pStyle w:val="Numberbullet0"/>
              <w:numPr>
                <w:ilvl w:val="0"/>
                <w:numId w:val="39"/>
              </w:numPr>
              <w:spacing w:before="0" w:after="0"/>
              <w:rPr>
                <w:sz w:val="16"/>
                <w:szCs w:val="16"/>
              </w:rPr>
            </w:pPr>
            <w:r w:rsidRPr="00422DE8">
              <w:rPr>
                <w:sz w:val="16"/>
                <w:szCs w:val="16"/>
              </w:rPr>
              <w:t>increased volume of reported medical device adverse events by healthcare facilities</w:t>
            </w:r>
          </w:p>
        </w:tc>
        <w:tc>
          <w:tcPr>
            <w:tcW w:w="2500" w:type="dxa"/>
            <w:vAlign w:val="center"/>
          </w:tcPr>
          <w:p w14:paraId="45EC72C2" w14:textId="0EBAC085" w:rsidR="005B07F8" w:rsidRPr="00801E46" w:rsidRDefault="005B07F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moderate</w:t>
            </w:r>
          </w:p>
        </w:tc>
      </w:tr>
      <w:tr w:rsidR="005B07F8" w14:paraId="2D34BB4B" w14:textId="77777777">
        <w:tc>
          <w:tcPr>
            <w:cnfStyle w:val="001000000000" w:firstRow="0" w:lastRow="0" w:firstColumn="1" w:lastColumn="0" w:oddVBand="0" w:evenVBand="0" w:oddHBand="0" w:evenHBand="0" w:firstRowFirstColumn="0" w:firstRowLastColumn="0" w:lastRowFirstColumn="0" w:lastRowLastColumn="0"/>
            <w:tcW w:w="6516" w:type="dxa"/>
            <w:vAlign w:val="center"/>
          </w:tcPr>
          <w:p w14:paraId="379E2DED" w14:textId="77777777" w:rsidR="005B07F8" w:rsidRPr="003A4817" w:rsidRDefault="005B07F8">
            <w:pPr>
              <w:pStyle w:val="Numberbullet0"/>
              <w:spacing w:before="0" w:after="0"/>
              <w:rPr>
                <w:sz w:val="16"/>
                <w:szCs w:val="16"/>
              </w:rPr>
            </w:pPr>
            <w:r w:rsidRPr="003A4817">
              <w:rPr>
                <w:sz w:val="16"/>
                <w:szCs w:val="16"/>
              </w:rPr>
              <w:t>timelier signal detection of medical device adverse events as they occur</w:t>
            </w:r>
          </w:p>
        </w:tc>
        <w:tc>
          <w:tcPr>
            <w:tcW w:w="2500" w:type="dxa"/>
            <w:vAlign w:val="center"/>
          </w:tcPr>
          <w:p w14:paraId="4A54AB19" w14:textId="2DC69BF9" w:rsidR="005B07F8" w:rsidRPr="003A4817" w:rsidRDefault="009C65F8">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sz w:val="16"/>
                <w:szCs w:val="16"/>
              </w:rPr>
              <w:t>high</w:t>
            </w:r>
          </w:p>
        </w:tc>
      </w:tr>
      <w:tr w:rsidR="005B07F8" w14:paraId="23D34C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B020496" w14:textId="77777777" w:rsidR="005B07F8" w:rsidRPr="003A4817" w:rsidRDefault="005B07F8">
            <w:pPr>
              <w:pStyle w:val="Numberbullet0"/>
              <w:spacing w:before="0" w:after="0"/>
              <w:rPr>
                <w:sz w:val="16"/>
                <w:szCs w:val="16"/>
              </w:rPr>
            </w:pPr>
            <w:r w:rsidRPr="003A4817">
              <w:rPr>
                <w:sz w:val="16"/>
                <w:szCs w:val="16"/>
              </w:rPr>
              <w:t>improved identification of rarer events and potential emerging issues across the country</w:t>
            </w:r>
          </w:p>
        </w:tc>
        <w:tc>
          <w:tcPr>
            <w:tcW w:w="2500" w:type="dxa"/>
            <w:vAlign w:val="center"/>
          </w:tcPr>
          <w:p w14:paraId="7776CE3F" w14:textId="77777777" w:rsidR="005B07F8" w:rsidRPr="003A4817" w:rsidRDefault="005B07F8">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sz w:val="16"/>
                <w:szCs w:val="16"/>
              </w:rPr>
              <w:t>moderate</w:t>
            </w:r>
          </w:p>
        </w:tc>
      </w:tr>
      <w:tr w:rsidR="005B07F8" w14:paraId="19F0EF23" w14:textId="77777777">
        <w:tc>
          <w:tcPr>
            <w:cnfStyle w:val="001000000000" w:firstRow="0" w:lastRow="0" w:firstColumn="1" w:lastColumn="0" w:oddVBand="0" w:evenVBand="0" w:oddHBand="0" w:evenHBand="0" w:firstRowFirstColumn="0" w:firstRowLastColumn="0" w:lastRowFirstColumn="0" w:lastRowLastColumn="0"/>
            <w:tcW w:w="6516" w:type="dxa"/>
            <w:vAlign w:val="center"/>
          </w:tcPr>
          <w:p w14:paraId="7C24460C" w14:textId="77777777" w:rsidR="005B07F8" w:rsidRPr="003A4817" w:rsidRDefault="005B07F8">
            <w:pPr>
              <w:pStyle w:val="Numberbullet0"/>
              <w:spacing w:before="0" w:after="0"/>
              <w:rPr>
                <w:sz w:val="16"/>
                <w:szCs w:val="16"/>
              </w:rPr>
            </w:pPr>
            <w:r w:rsidRPr="003A4817">
              <w:rPr>
                <w:sz w:val="16"/>
                <w:szCs w:val="16"/>
              </w:rPr>
              <w:t>earlier regulatory responses to address safety concerns</w:t>
            </w:r>
          </w:p>
        </w:tc>
        <w:tc>
          <w:tcPr>
            <w:tcW w:w="2500" w:type="dxa"/>
            <w:vAlign w:val="center"/>
          </w:tcPr>
          <w:p w14:paraId="16A02D27" w14:textId="3F605E9E" w:rsidR="005B07F8" w:rsidRPr="003A4817" w:rsidRDefault="00FD50B3">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sz w:val="16"/>
                <w:szCs w:val="16"/>
              </w:rPr>
              <w:t>high</w:t>
            </w:r>
          </w:p>
        </w:tc>
      </w:tr>
      <w:tr w:rsidR="00555796" w14:paraId="083D77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4B12CD82" w14:textId="0438E543" w:rsidR="00555796" w:rsidRPr="003A4817" w:rsidRDefault="00555796" w:rsidP="00555796">
            <w:pPr>
              <w:pStyle w:val="Numberbullet0"/>
              <w:spacing w:before="0" w:after="0"/>
              <w:rPr>
                <w:sz w:val="16"/>
                <w:szCs w:val="16"/>
              </w:rPr>
            </w:pPr>
            <w:r w:rsidRPr="00E42BAD">
              <w:rPr>
                <w:sz w:val="16"/>
                <w:szCs w:val="16"/>
              </w:rPr>
              <w:t>more frequent provision of information</w:t>
            </w:r>
            <w:r w:rsidR="00CB4A86">
              <w:rPr>
                <w:sz w:val="16"/>
                <w:szCs w:val="16"/>
              </w:rPr>
              <w:t xml:space="preserve"> </w:t>
            </w:r>
            <w:r w:rsidR="0074407A">
              <w:rPr>
                <w:sz w:val="16"/>
                <w:szCs w:val="16"/>
              </w:rPr>
              <w:t xml:space="preserve">with the inclusion of </w:t>
            </w:r>
            <w:r w:rsidR="005F7297">
              <w:rPr>
                <w:sz w:val="16"/>
                <w:szCs w:val="16"/>
              </w:rPr>
              <w:t xml:space="preserve">medium </w:t>
            </w:r>
            <w:r w:rsidR="0074407A">
              <w:rPr>
                <w:sz w:val="16"/>
                <w:szCs w:val="16"/>
              </w:rPr>
              <w:t>and</w:t>
            </w:r>
            <w:r w:rsidR="005F7297">
              <w:rPr>
                <w:sz w:val="16"/>
                <w:szCs w:val="16"/>
              </w:rPr>
              <w:t xml:space="preserve"> </w:t>
            </w:r>
            <w:r w:rsidR="00F04CC3">
              <w:rPr>
                <w:sz w:val="16"/>
                <w:szCs w:val="16"/>
              </w:rPr>
              <w:t>high</w:t>
            </w:r>
            <w:r w:rsidR="00362590">
              <w:rPr>
                <w:sz w:val="16"/>
                <w:szCs w:val="16"/>
              </w:rPr>
              <w:t xml:space="preserve"> </w:t>
            </w:r>
            <w:r w:rsidR="00F04CC3">
              <w:rPr>
                <w:sz w:val="16"/>
                <w:szCs w:val="16"/>
              </w:rPr>
              <w:t>risk</w:t>
            </w:r>
            <w:r w:rsidR="005F7297">
              <w:rPr>
                <w:sz w:val="16"/>
                <w:szCs w:val="16"/>
              </w:rPr>
              <w:t xml:space="preserve"> devices</w:t>
            </w:r>
            <w:r w:rsidR="008F5FE8">
              <w:rPr>
                <w:sz w:val="16"/>
                <w:szCs w:val="16"/>
              </w:rPr>
              <w:t>,</w:t>
            </w:r>
            <w:r w:rsidRPr="00E42BAD">
              <w:rPr>
                <w:sz w:val="16"/>
                <w:szCs w:val="16"/>
              </w:rPr>
              <w:t xml:space="preserve"> </w:t>
            </w:r>
            <w:r w:rsidR="004F39B7">
              <w:rPr>
                <w:sz w:val="16"/>
                <w:szCs w:val="16"/>
              </w:rPr>
              <w:t>enabling</w:t>
            </w:r>
            <w:r w:rsidRPr="00E42BAD">
              <w:rPr>
                <w:sz w:val="16"/>
                <w:szCs w:val="16"/>
              </w:rPr>
              <w:t xml:space="preserve"> healthcare facilities </w:t>
            </w:r>
            <w:r w:rsidR="004F39B7">
              <w:rPr>
                <w:sz w:val="16"/>
                <w:szCs w:val="16"/>
              </w:rPr>
              <w:t>to identify</w:t>
            </w:r>
            <w:r w:rsidRPr="00E42BAD">
              <w:rPr>
                <w:sz w:val="16"/>
                <w:szCs w:val="16"/>
              </w:rPr>
              <w:t xml:space="preserve"> </w:t>
            </w:r>
            <w:r w:rsidR="008F5FE8">
              <w:rPr>
                <w:sz w:val="16"/>
                <w:szCs w:val="16"/>
              </w:rPr>
              <w:t>e</w:t>
            </w:r>
            <w:r w:rsidR="00FD22EE">
              <w:rPr>
                <w:sz w:val="16"/>
                <w:szCs w:val="16"/>
              </w:rPr>
              <w:t xml:space="preserve">arly signals and </w:t>
            </w:r>
            <w:r w:rsidRPr="00E42BAD">
              <w:rPr>
                <w:sz w:val="16"/>
                <w:szCs w:val="16"/>
              </w:rPr>
              <w:t>possible threats to patient and professional safety</w:t>
            </w:r>
          </w:p>
        </w:tc>
        <w:tc>
          <w:tcPr>
            <w:tcW w:w="2500" w:type="dxa"/>
            <w:vAlign w:val="center"/>
          </w:tcPr>
          <w:p w14:paraId="2B62CC1E" w14:textId="6E5AF19E" w:rsidR="00555796" w:rsidRPr="003A4817" w:rsidRDefault="00555796" w:rsidP="00555796">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sz w:val="16"/>
                <w:szCs w:val="16"/>
              </w:rPr>
              <w:t>high</w:t>
            </w:r>
          </w:p>
        </w:tc>
      </w:tr>
      <w:tr w:rsidR="00555796" w14:paraId="51C0B9C6" w14:textId="77777777" w:rsidTr="00422DE8">
        <w:tc>
          <w:tcPr>
            <w:cnfStyle w:val="001000000000" w:firstRow="0" w:lastRow="0" w:firstColumn="1" w:lastColumn="0" w:oddVBand="0" w:evenVBand="0" w:oddHBand="0" w:evenHBand="0" w:firstRowFirstColumn="0" w:firstRowLastColumn="0" w:lastRowFirstColumn="0" w:lastRowLastColumn="0"/>
            <w:tcW w:w="0" w:type="dxa"/>
          </w:tcPr>
          <w:p w14:paraId="1FD2D41E" w14:textId="158C3FB1" w:rsidR="00555796" w:rsidRPr="003A4817" w:rsidRDefault="00555796" w:rsidP="00555796">
            <w:pPr>
              <w:pStyle w:val="Numberbullet0"/>
              <w:spacing w:before="0" w:after="0"/>
              <w:rPr>
                <w:sz w:val="16"/>
                <w:szCs w:val="16"/>
              </w:rPr>
            </w:pPr>
            <w:r w:rsidRPr="00036AC3">
              <w:rPr>
                <w:sz w:val="16"/>
                <w:szCs w:val="16"/>
              </w:rPr>
              <w:t>proactively identify and mitigate risks associated with medical devices</w:t>
            </w:r>
          </w:p>
        </w:tc>
        <w:tc>
          <w:tcPr>
            <w:tcW w:w="0" w:type="dxa"/>
            <w:vAlign w:val="center"/>
          </w:tcPr>
          <w:p w14:paraId="76205744" w14:textId="286734A5" w:rsidR="00555796" w:rsidRDefault="005A3F39" w:rsidP="00555796">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high</w:t>
            </w:r>
          </w:p>
        </w:tc>
      </w:tr>
      <w:tr w:rsidR="00555796" w14:paraId="383C6F00"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0C0B6F1" w14:textId="365C5913" w:rsidR="00555796" w:rsidRPr="003A4817" w:rsidRDefault="00555796" w:rsidP="00555796">
            <w:pPr>
              <w:pStyle w:val="Numberbullet0"/>
              <w:spacing w:before="0" w:after="0"/>
              <w:rPr>
                <w:sz w:val="16"/>
                <w:szCs w:val="16"/>
              </w:rPr>
            </w:pPr>
            <w:r w:rsidRPr="00036AC3">
              <w:rPr>
                <w:sz w:val="16"/>
                <w:szCs w:val="16"/>
              </w:rPr>
              <w:t xml:space="preserve">improved data quality </w:t>
            </w:r>
            <w:r w:rsidR="00A928E5">
              <w:rPr>
                <w:sz w:val="16"/>
                <w:szCs w:val="16"/>
              </w:rPr>
              <w:t xml:space="preserve">due to </w:t>
            </w:r>
            <w:r w:rsidR="004C2158">
              <w:rPr>
                <w:sz w:val="16"/>
                <w:szCs w:val="16"/>
              </w:rPr>
              <w:t>the inclusion of</w:t>
            </w:r>
            <w:r w:rsidR="0001344B">
              <w:rPr>
                <w:sz w:val="16"/>
                <w:szCs w:val="16"/>
              </w:rPr>
              <w:t xml:space="preserve"> medium to high</w:t>
            </w:r>
            <w:r w:rsidR="00362590">
              <w:rPr>
                <w:sz w:val="16"/>
                <w:szCs w:val="16"/>
              </w:rPr>
              <w:t xml:space="preserve"> </w:t>
            </w:r>
            <w:r w:rsidR="0001344B">
              <w:rPr>
                <w:sz w:val="16"/>
                <w:szCs w:val="16"/>
              </w:rPr>
              <w:t xml:space="preserve">risk medical </w:t>
            </w:r>
            <w:r w:rsidR="005B40E4">
              <w:rPr>
                <w:sz w:val="16"/>
                <w:szCs w:val="16"/>
              </w:rPr>
              <w:t>devices</w:t>
            </w:r>
            <w:r w:rsidR="00585544">
              <w:rPr>
                <w:sz w:val="16"/>
                <w:szCs w:val="16"/>
              </w:rPr>
              <w:t xml:space="preserve">. This expanded scope </w:t>
            </w:r>
            <w:r w:rsidR="009A5A97">
              <w:rPr>
                <w:sz w:val="16"/>
                <w:szCs w:val="16"/>
              </w:rPr>
              <w:t>allows for</w:t>
            </w:r>
            <w:r w:rsidR="005B40E4" w:rsidRPr="00036AC3">
              <w:rPr>
                <w:sz w:val="16"/>
                <w:szCs w:val="16"/>
              </w:rPr>
              <w:t xml:space="preserve"> meaningful</w:t>
            </w:r>
            <w:r w:rsidRPr="00036AC3">
              <w:rPr>
                <w:sz w:val="16"/>
                <w:szCs w:val="16"/>
              </w:rPr>
              <w:t xml:space="preserve"> trend identification and analysis</w:t>
            </w:r>
          </w:p>
        </w:tc>
        <w:tc>
          <w:tcPr>
            <w:tcW w:w="0" w:type="dxa"/>
            <w:vAlign w:val="center"/>
          </w:tcPr>
          <w:p w14:paraId="0C371565" w14:textId="6B38AD76" w:rsidR="00555796" w:rsidRDefault="005A3F39" w:rsidP="00555796">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moderate</w:t>
            </w:r>
          </w:p>
        </w:tc>
      </w:tr>
    </w:tbl>
    <w:p w14:paraId="53273235" w14:textId="7B532964" w:rsidR="006E040F" w:rsidRPr="0072379C" w:rsidRDefault="00422C6A" w:rsidP="0072379C">
      <w:pPr>
        <w:rPr>
          <w:rFonts w:eastAsia="Times New Roman" w:cs="Times New Roman"/>
          <w:b/>
          <w:bCs/>
          <w:color w:val="001871"/>
          <w:sz w:val="32"/>
          <w:szCs w:val="32"/>
        </w:rPr>
      </w:pPr>
      <w:r>
        <w:br w:type="page"/>
      </w:r>
      <w:bookmarkEnd w:id="142"/>
      <w:bookmarkEnd w:id="143"/>
    </w:p>
    <w:p w14:paraId="69834A4F" w14:textId="506A749D" w:rsidR="00F149A8" w:rsidRPr="008620C0" w:rsidRDefault="008620C0" w:rsidP="006C7DD9">
      <w:pPr>
        <w:pStyle w:val="Heading3"/>
        <w:rPr>
          <w:b w:val="0"/>
          <w:bCs w:val="0"/>
          <w:color w:val="FFFFFF" w:themeColor="background1"/>
        </w:rPr>
      </w:pPr>
      <w:bookmarkStart w:id="144" w:name="_Toc179531321"/>
      <w:bookmarkStart w:id="145" w:name="_Toc188012870"/>
      <w:r w:rsidRPr="006C7DD9">
        <w:rPr>
          <w:rStyle w:val="Heading3Char"/>
          <w:noProof/>
          <w:lang w:eastAsia="en-AU"/>
        </w:rPr>
        <w:lastRenderedPageBreak/>
        <w:drawing>
          <wp:anchor distT="0" distB="0" distL="114300" distR="114300" simplePos="0" relativeHeight="251690496" behindDoc="0" locked="0" layoutInCell="1" allowOverlap="1" wp14:anchorId="538F1A2B" wp14:editId="6E3F33EA">
            <wp:simplePos x="0" y="0"/>
            <wp:positionH relativeFrom="margin">
              <wp:align>right</wp:align>
            </wp:positionH>
            <wp:positionV relativeFrom="paragraph">
              <wp:posOffset>15933</wp:posOffset>
            </wp:positionV>
            <wp:extent cx="5731510" cy="2173605"/>
            <wp:effectExtent l="0" t="0" r="2540" b="0"/>
            <wp:wrapNone/>
            <wp:docPr id="20" name="Picture 7">
              <a:extLst xmlns:a="http://schemas.openxmlformats.org/drawingml/2006/main">
                <a:ext uri="{FF2B5EF4-FFF2-40B4-BE49-F238E27FC236}">
                  <a16:creationId xmlns:a16="http://schemas.microsoft.com/office/drawing/2014/main" id="{528A2248-82B6-1167-8C93-87AD49516CE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8A2248-82B6-1167-8C93-87AD49516CE2}"/>
                        </a:ext>
                      </a:extLst>
                    </pic:cNvPr>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173605"/>
                    </a:xfrm>
                    <a:prstGeom prst="rect">
                      <a:avLst/>
                    </a:prstGeom>
                  </pic:spPr>
                </pic:pic>
              </a:graphicData>
            </a:graphic>
          </wp:anchor>
        </w:drawing>
      </w:r>
      <w:r w:rsidR="0009468E" w:rsidRPr="008620C0">
        <w:rPr>
          <w:rStyle w:val="Heading3Char"/>
          <w:b/>
          <w:bCs/>
          <w:color w:val="FFFFFF" w:themeColor="background1"/>
        </w:rPr>
        <w:t>Option 4 – Public and Private hospitals and approved Residential Aged Care facilities (excluding MPS facilities) report adverse events relating to medium and high risk</w:t>
      </w:r>
      <w:r w:rsidR="0009468E" w:rsidRPr="008620C0">
        <w:rPr>
          <w:b w:val="0"/>
          <w:bCs w:val="0"/>
          <w:color w:val="FFFFFF" w:themeColor="background1"/>
        </w:rPr>
        <w:t xml:space="preserve"> medical devices</w:t>
      </w:r>
      <w:bookmarkEnd w:id="144"/>
      <w:bookmarkEnd w:id="145"/>
    </w:p>
    <w:p w14:paraId="40CFA9E7" w14:textId="02E6196F" w:rsidR="008D5F74" w:rsidRDefault="008D5F74" w:rsidP="00A00D22"/>
    <w:p w14:paraId="7B136056" w14:textId="6C3073A5" w:rsidR="004A5864" w:rsidRDefault="004A5864" w:rsidP="00A00D22"/>
    <w:p w14:paraId="0743A581" w14:textId="4043982D" w:rsidR="004A5864" w:rsidRDefault="004A5864" w:rsidP="00A00D22"/>
    <w:p w14:paraId="77F6E379" w14:textId="77777777" w:rsidR="004A5864" w:rsidRDefault="004A5864" w:rsidP="00A00D22"/>
    <w:p w14:paraId="6426165F" w14:textId="4179BCAA" w:rsidR="004A5864" w:rsidRDefault="004A5864" w:rsidP="00A00D22"/>
    <w:p w14:paraId="549E3C7E" w14:textId="77777777" w:rsidR="008620C0" w:rsidRDefault="008620C0" w:rsidP="00A00D22"/>
    <w:p w14:paraId="3D7645B3" w14:textId="087D3430" w:rsidR="00A00D22" w:rsidRPr="00A124B8" w:rsidRDefault="00125277" w:rsidP="00A00D22">
      <w:r w:rsidRPr="00A124B8">
        <w:t>Option 4</w:t>
      </w:r>
      <w:r w:rsidR="00AB25E3" w:rsidRPr="00A124B8">
        <w:t xml:space="preserve"> would build upon the previously described option 3 (i.e., public and private hospitals report adverse events relating to </w:t>
      </w:r>
      <w:r w:rsidR="00D70E26" w:rsidRPr="00A124B8">
        <w:t>medium and high-risk medical devices</w:t>
      </w:r>
      <w:r w:rsidR="00AB25E3" w:rsidRPr="00A124B8">
        <w:t>)</w:t>
      </w:r>
      <w:r w:rsidR="006E2BCE" w:rsidRPr="00A124B8">
        <w:t xml:space="preserve">, expanding the population to include </w:t>
      </w:r>
      <w:r w:rsidR="000F7A4A" w:rsidRPr="00A124B8">
        <w:t>approved residential aged care facilities (excluding MPS facilities)</w:t>
      </w:r>
      <w:r w:rsidR="00F55D67">
        <w:t>.</w:t>
      </w:r>
      <w:r w:rsidR="006C7361" w:rsidRPr="00A124B8">
        <w:rPr>
          <w:rStyle w:val="FootnoteReference"/>
        </w:rPr>
        <w:footnoteReference w:id="65"/>
      </w:r>
      <w:r w:rsidR="00F55D67">
        <w:t xml:space="preserve"> </w:t>
      </w:r>
      <w:r w:rsidR="00A00D22" w:rsidRPr="00A124B8">
        <w:t>Option 4 also proposes two sub options regarding the frequency of reporting. Those being:</w:t>
      </w:r>
    </w:p>
    <w:p w14:paraId="7D5CBF83" w14:textId="77777777" w:rsidR="00A00D22" w:rsidRPr="00A124B8" w:rsidRDefault="00A00D22" w:rsidP="00A00D22">
      <w:pPr>
        <w:pStyle w:val="Bullet1"/>
        <w:spacing w:before="0" w:after="120"/>
        <w:ind w:left="357" w:hanging="357"/>
      </w:pPr>
      <w:r w:rsidRPr="00A124B8">
        <w:t xml:space="preserve">in batch </w:t>
      </w:r>
    </w:p>
    <w:p w14:paraId="6A2BFC79" w14:textId="77777777" w:rsidR="00A00D22" w:rsidRPr="00A124B8" w:rsidRDefault="00A00D22" w:rsidP="00A00D22">
      <w:pPr>
        <w:pStyle w:val="Bullet1"/>
        <w:spacing w:before="0" w:after="120"/>
        <w:ind w:left="357" w:hanging="357"/>
      </w:pPr>
      <w:r w:rsidRPr="00A124B8">
        <w:t>on occurrence.</w:t>
      </w:r>
    </w:p>
    <w:p w14:paraId="0ED493FD" w14:textId="79A1CF84" w:rsidR="003B0459" w:rsidRDefault="004E70F4" w:rsidP="00CE52F3">
      <w:r>
        <w:t>In summary, Option 4 would propose:</w:t>
      </w:r>
    </w:p>
    <w:p w14:paraId="4AADB425" w14:textId="125F9EF1" w:rsidR="004E70F4" w:rsidRDefault="004E70F4" w:rsidP="004E70F4">
      <w:pPr>
        <w:pStyle w:val="Bullet1"/>
      </w:pPr>
      <w:r>
        <w:t>healthcare facilities to include public and private hospitals, as well as approved residential aged care facilities</w:t>
      </w:r>
      <w:r w:rsidR="00C01D3E">
        <w:t xml:space="preserve"> (excluding MPS facilities)</w:t>
      </w:r>
    </w:p>
    <w:p w14:paraId="24FEAAE1" w14:textId="4014BEF5" w:rsidR="004E70F4" w:rsidRDefault="004E70F4" w:rsidP="004E70F4">
      <w:pPr>
        <w:pStyle w:val="Bullet1"/>
      </w:pPr>
      <w:r>
        <w:t>reportable medical devices would include Class IIa, IIb and Class III</w:t>
      </w:r>
      <w:r w:rsidR="00D70E26">
        <w:t xml:space="preserve"> medical devices, AIMDs and Class </w:t>
      </w:r>
      <w:r w:rsidR="00C01D3E">
        <w:t xml:space="preserve">3 and </w:t>
      </w:r>
      <w:r w:rsidR="00D70E26">
        <w:t>4 IVDs</w:t>
      </w:r>
    </w:p>
    <w:p w14:paraId="512DB8B2" w14:textId="72193A28" w:rsidR="004E70F4" w:rsidRDefault="00EE272C" w:rsidP="004E70F4">
      <w:pPr>
        <w:pStyle w:val="Bullet1"/>
      </w:pPr>
      <w:r>
        <w:t xml:space="preserve">reporting information would </w:t>
      </w:r>
      <w:r w:rsidR="00FF5B3D">
        <w:t>use</w:t>
      </w:r>
      <w:r>
        <w:t>, as far as is possible, existing systems and data</w:t>
      </w:r>
      <w:r w:rsidR="00B162C4">
        <w:t xml:space="preserve"> collected to meet a minimum dataset</w:t>
      </w:r>
    </w:p>
    <w:p w14:paraId="424B62AF" w14:textId="3C7CB13F" w:rsidR="00B162C4" w:rsidRDefault="00B162C4" w:rsidP="006C7361">
      <w:pPr>
        <w:pStyle w:val="Bullet1"/>
      </w:pPr>
      <w:r>
        <w:t xml:space="preserve">reporting frequency would be </w:t>
      </w:r>
      <w:r w:rsidR="008F6024">
        <w:t xml:space="preserve">on occurrence or </w:t>
      </w:r>
      <w:r>
        <w:t>in batch</w:t>
      </w:r>
      <w:r w:rsidR="00E07D5E">
        <w:t xml:space="preserve"> </w:t>
      </w:r>
      <w:r w:rsidR="008F6024">
        <w:t xml:space="preserve">monthly or every two months </w:t>
      </w:r>
    </w:p>
    <w:p w14:paraId="3D1B9F0C" w14:textId="55BC6FD8" w:rsidR="000F7A4A" w:rsidRDefault="002C439D" w:rsidP="000F7A4A">
      <w:pPr>
        <w:pStyle w:val="Heading3-NotinTOC"/>
      </w:pPr>
      <w:bookmarkStart w:id="146" w:name="_Toc162009870"/>
      <w:bookmarkStart w:id="147" w:name="_Toc162024249"/>
      <w:bookmarkStart w:id="148" w:name="_Toc163229856"/>
      <w:bookmarkStart w:id="149" w:name="_Toc163231060"/>
      <w:bookmarkStart w:id="150" w:name="_Toc172126747"/>
      <w:bookmarkStart w:id="151" w:name="_Toc179531322"/>
      <w:bookmarkStart w:id="152" w:name="_Toc188012871"/>
      <w:r>
        <w:t xml:space="preserve">Measure 8 – </w:t>
      </w:r>
      <w:r w:rsidR="005D7450">
        <w:t>e</w:t>
      </w:r>
      <w:r>
        <w:t xml:space="preserve">xpand </w:t>
      </w:r>
      <w:r w:rsidR="005D7450" w:rsidRPr="005D7450">
        <w:t>mandatory reporting of medical device adverse events to include approved Residential Aged Care Facilities</w:t>
      </w:r>
      <w:bookmarkEnd w:id="146"/>
      <w:bookmarkEnd w:id="147"/>
      <w:bookmarkEnd w:id="148"/>
      <w:bookmarkEnd w:id="149"/>
      <w:bookmarkEnd w:id="150"/>
      <w:bookmarkEnd w:id="151"/>
      <w:bookmarkEnd w:id="152"/>
    </w:p>
    <w:p w14:paraId="68D2D506" w14:textId="77777777" w:rsidR="00B9281B" w:rsidRDefault="005D7450" w:rsidP="00D126A0">
      <w:r>
        <w:t>Measure 8</w:t>
      </w:r>
      <w:r w:rsidR="00937A8A">
        <w:t xml:space="preserve"> would see the inclusion of </w:t>
      </w:r>
      <w:r w:rsidR="00735E6E">
        <w:t>approved residential aged care facilities to those mandated to report medical device adverse events.</w:t>
      </w:r>
      <w:r w:rsidR="00AB1495">
        <w:t xml:space="preserve"> It is proposed that this would </w:t>
      </w:r>
      <w:r w:rsidR="006A5B61">
        <w:t xml:space="preserve">include residential aged care facilities accredited by the Aged Care </w:t>
      </w:r>
      <w:r w:rsidR="00956B97">
        <w:t xml:space="preserve">Quality and Safety Commission </w:t>
      </w:r>
      <w:r w:rsidR="00531F78">
        <w:t>(ACQSC).</w:t>
      </w:r>
    </w:p>
    <w:p w14:paraId="063B6DDB" w14:textId="6DB26944" w:rsidR="00D126A0" w:rsidRDefault="00D126A0" w:rsidP="00D126A0">
      <w:r>
        <w:br/>
        <w:t>Aged care residents are more susceptible to adverse events due to their frailty and the complexity of their health conditions</w:t>
      </w:r>
      <w:r w:rsidR="00F55D67">
        <w:t>.</w:t>
      </w:r>
      <w:r>
        <w:rPr>
          <w:rStyle w:val="FootnoteReference"/>
        </w:rPr>
        <w:footnoteReference w:id="66"/>
      </w:r>
      <w:r w:rsidR="00F55D67">
        <w:t xml:space="preserve"> </w:t>
      </w:r>
      <w:r w:rsidR="00B8317D" w:rsidRPr="00B8317D">
        <w:t>Complex medical devices and emerging technology can play a crucial role in elderly care, assisting with diagnosis, therapy, monitoring, and rehabilitation</w:t>
      </w:r>
      <w:r w:rsidR="00646EE5">
        <w:t>.</w:t>
      </w:r>
      <w:r w:rsidR="00B8317D">
        <w:rPr>
          <w:rStyle w:val="FootnoteReference"/>
        </w:rPr>
        <w:footnoteReference w:id="67"/>
      </w:r>
      <w:r w:rsidR="00646EE5">
        <w:t xml:space="preserve"> </w:t>
      </w:r>
      <w:r w:rsidR="00B8317D" w:rsidRPr="00B8317D">
        <w:t>Effective management of these devices is essential to ensure high-quality patient care while minimi</w:t>
      </w:r>
      <w:r w:rsidR="009E3100">
        <w:t>s</w:t>
      </w:r>
      <w:r w:rsidR="00B8317D" w:rsidRPr="00B8317D">
        <w:t>ing risks of adverse events.</w:t>
      </w:r>
      <w:r w:rsidR="00B8317D">
        <w:t xml:space="preserve"> </w:t>
      </w:r>
      <w:r>
        <w:t xml:space="preserve">Ensuring that adverse events are reported can help better protect this </w:t>
      </w:r>
      <w:r w:rsidR="00A93581">
        <w:t>high-risk</w:t>
      </w:r>
      <w:r>
        <w:t xml:space="preserve"> group by identifying risks early and enabling timely corrective actions. </w:t>
      </w:r>
    </w:p>
    <w:p w14:paraId="77D14394" w14:textId="4F25E4A0" w:rsidR="000F7A4A" w:rsidRDefault="009D56E3" w:rsidP="00CE52F3">
      <w:r w:rsidRPr="00A5217B">
        <w:lastRenderedPageBreak/>
        <w:t xml:space="preserve">This suggestion is in line with </w:t>
      </w:r>
      <w:r w:rsidR="00921F4C" w:rsidRPr="00A5217B">
        <w:t xml:space="preserve">new regulations introduced </w:t>
      </w:r>
      <w:r w:rsidR="00E30EDF" w:rsidRPr="00A5217B">
        <w:t>internationally</w:t>
      </w:r>
      <w:r w:rsidR="00F326A4">
        <w:t xml:space="preserve"> such as the U.S. FDA </w:t>
      </w:r>
      <w:r w:rsidR="00E30EDF" w:rsidRPr="00A5217B">
        <w:t>and</w:t>
      </w:r>
      <w:r w:rsidR="00921F4C" w:rsidRPr="00A5217B">
        <w:t xml:space="preserve"> has the potential to provide a more complete picture of adverse events</w:t>
      </w:r>
      <w:r w:rsidR="00B03DE3" w:rsidRPr="00A5217B">
        <w:t>.</w:t>
      </w:r>
      <w:r w:rsidR="00134357">
        <w:rPr>
          <w:rStyle w:val="FootnoteReference"/>
        </w:rPr>
        <w:footnoteReference w:id="68"/>
      </w:r>
      <w:r w:rsidR="00B03DE3" w:rsidRPr="00A5217B">
        <w:t xml:space="preserve"> </w:t>
      </w:r>
    </w:p>
    <w:p w14:paraId="773F9E86" w14:textId="128BBD92" w:rsidR="0060751D" w:rsidRDefault="009C25DB">
      <w:r>
        <w:t>As noted, t</w:t>
      </w:r>
      <w:r w:rsidR="007911BB">
        <w:t>his expanded scope of</w:t>
      </w:r>
      <w:r w:rsidR="00FB5AC5">
        <w:t xml:space="preserve"> reporting population w</w:t>
      </w:r>
      <w:r w:rsidR="007152DC">
        <w:t>ould</w:t>
      </w:r>
      <w:r w:rsidR="00FB5AC5">
        <w:t xml:space="preserve"> provide TGA with a larger database to analyse, </w:t>
      </w:r>
      <w:r w:rsidR="00C834C4">
        <w:t xml:space="preserve">potentially increasing their capability to </w:t>
      </w:r>
      <w:r w:rsidR="00D86F48">
        <w:t xml:space="preserve">detect </w:t>
      </w:r>
      <w:r w:rsidR="00BD493B">
        <w:t>weak signals that indicate potential or emerging issues related to the safety and/or effectiveness of medical devices.</w:t>
      </w:r>
      <w:r w:rsidR="00E946F4">
        <w:t xml:space="preserve"> </w:t>
      </w:r>
      <w:bookmarkStart w:id="153" w:name="_Toc156375146"/>
      <w:r w:rsidR="00D37CB2">
        <w:t>This would improve TGA’s ability to meet its objectives.</w:t>
      </w:r>
    </w:p>
    <w:p w14:paraId="51650B53" w14:textId="05FFE3B3" w:rsidR="007B31DD" w:rsidRDefault="007B31DD">
      <w:r>
        <w:t>Accreditation by the ACQSC, similar to the accreditation for hospitals to the NSQHS standards, is key to implementation. Amendments to the existing standards w</w:t>
      </w:r>
      <w:r w:rsidR="007152DC">
        <w:t>ould</w:t>
      </w:r>
      <w:r>
        <w:t xml:space="preserve"> be critical in effective implementation of mandatory reporting for this population as they w</w:t>
      </w:r>
      <w:r w:rsidR="007152DC">
        <w:t>ould</w:t>
      </w:r>
      <w:r>
        <w:t xml:space="preserve"> prescribe the incident management and reporting requirements to facilitate mandatory reporting</w:t>
      </w:r>
      <w:r w:rsidR="00670592">
        <w:t>.</w:t>
      </w:r>
      <w:r w:rsidR="00CA3DF6">
        <w:rPr>
          <w:rStyle w:val="FootnoteReference"/>
        </w:rPr>
        <w:footnoteReference w:id="69"/>
      </w:r>
    </w:p>
    <w:p w14:paraId="1987E14B" w14:textId="35575014" w:rsidR="007B31DD" w:rsidRPr="00582F14" w:rsidRDefault="007B31DD">
      <w:pPr>
        <w:rPr>
          <w:b/>
          <w:bCs/>
        </w:rPr>
      </w:pPr>
      <w:r>
        <w:rPr>
          <w:b/>
          <w:bCs/>
        </w:rPr>
        <w:t>Future Expansion of Population</w:t>
      </w:r>
    </w:p>
    <w:p w14:paraId="5F9EAC37" w14:textId="11A246EE" w:rsidR="00E47BDC" w:rsidRDefault="00E47BDC">
      <w:r>
        <w:t xml:space="preserve">In </w:t>
      </w:r>
      <w:r w:rsidR="00BD3607">
        <w:t>consultation with stakeholders,</w:t>
      </w:r>
      <w:r w:rsidR="001843F0">
        <w:t xml:space="preserve"> the TGA </w:t>
      </w:r>
      <w:r w:rsidR="000405C7">
        <w:t xml:space="preserve">looked into the viability of including healthcare facilities that were not declared as hospitals by the </w:t>
      </w:r>
      <w:r w:rsidR="000405C7" w:rsidRPr="00422DE8">
        <w:rPr>
          <w:i/>
          <w:iCs/>
        </w:rPr>
        <w:t>Private Health Insurance Act 2007</w:t>
      </w:r>
      <w:r w:rsidR="000405C7">
        <w:t>.</w:t>
      </w:r>
      <w:r w:rsidR="006B15B5">
        <w:t xml:space="preserve"> Through careful consideration with these stakeholders</w:t>
      </w:r>
      <w:r w:rsidR="00D3377C">
        <w:t>,</w:t>
      </w:r>
      <w:r w:rsidR="00BD3607">
        <w:t xml:space="preserve"> it was </w:t>
      </w:r>
      <w:r w:rsidR="00076A96">
        <w:t>determined</w:t>
      </w:r>
      <w:r w:rsidR="00BD3607">
        <w:t xml:space="preserve"> that</w:t>
      </w:r>
      <w:r w:rsidR="002F2C02">
        <w:t xml:space="preserve"> public and private hospitals (including day hospitals) and </w:t>
      </w:r>
      <w:r w:rsidR="00076A96">
        <w:t xml:space="preserve">approved residential aged care facilities </w:t>
      </w:r>
      <w:r w:rsidR="00003D33">
        <w:t>were the key facilities to be included as part of mandatory reporting. However,</w:t>
      </w:r>
      <w:r w:rsidR="00BD3607">
        <w:t xml:space="preserve"> in future, mandatory reporting could be expanded to include </w:t>
      </w:r>
      <w:r w:rsidR="006B15B5">
        <w:t>other facilities</w:t>
      </w:r>
      <w:r w:rsidR="00003D33">
        <w:t>, inclusive of:</w:t>
      </w:r>
    </w:p>
    <w:p w14:paraId="2425B16D" w14:textId="29338BA0" w:rsidR="00003D33" w:rsidRDefault="00FD68B3" w:rsidP="00B0573D">
      <w:pPr>
        <w:pStyle w:val="Bullet1"/>
      </w:pPr>
      <w:r>
        <w:t>specialist medical practices</w:t>
      </w:r>
    </w:p>
    <w:p w14:paraId="41369AC8" w14:textId="3772D7F2" w:rsidR="00276D72" w:rsidRDefault="00FD68B3" w:rsidP="00B0573D">
      <w:pPr>
        <w:pStyle w:val="Bullet1"/>
      </w:pPr>
      <w:r>
        <w:t>public and private ambulance services</w:t>
      </w:r>
    </w:p>
    <w:p w14:paraId="220C0409" w14:textId="017CF28E" w:rsidR="00FD68B3" w:rsidRDefault="00FD68B3" w:rsidP="00B0573D">
      <w:pPr>
        <w:pStyle w:val="Bullet1"/>
      </w:pPr>
      <w:r>
        <w:t>pharmacies</w:t>
      </w:r>
    </w:p>
    <w:p w14:paraId="232F51CA" w14:textId="5BF20AF3" w:rsidR="00FD68B3" w:rsidRDefault="00FD68B3" w:rsidP="00B0573D">
      <w:pPr>
        <w:pStyle w:val="Bullet1"/>
      </w:pPr>
      <w:r>
        <w:t>non-medical specialist cosmetic procedure centres</w:t>
      </w:r>
    </w:p>
    <w:p w14:paraId="70FFC78A" w14:textId="45F3822B" w:rsidR="00FD68B3" w:rsidRDefault="00FD68B3" w:rsidP="00B0573D">
      <w:pPr>
        <w:pStyle w:val="Bullet1"/>
      </w:pPr>
      <w:r>
        <w:t>general practices</w:t>
      </w:r>
    </w:p>
    <w:p w14:paraId="456B306F" w14:textId="35316268" w:rsidR="00FD68B3" w:rsidRDefault="00FD68B3" w:rsidP="00B0573D">
      <w:pPr>
        <w:pStyle w:val="Bullet1"/>
      </w:pPr>
      <w:r>
        <w:t>dental and orthodontic practices</w:t>
      </w:r>
    </w:p>
    <w:p w14:paraId="586AE8FF" w14:textId="6D411806" w:rsidR="00FD68B3" w:rsidRDefault="00FD68B3" w:rsidP="00B0573D">
      <w:pPr>
        <w:pStyle w:val="Bullet1"/>
      </w:pPr>
      <w:r>
        <w:t>community based health services (e.g., district nursing services)</w:t>
      </w:r>
    </w:p>
    <w:p w14:paraId="7C39FFF7" w14:textId="71102E05" w:rsidR="00FD68B3" w:rsidRDefault="00FD68B3" w:rsidP="00FD68B3">
      <w:pPr>
        <w:pStyle w:val="Bullet1"/>
      </w:pPr>
      <w:r>
        <w:t>chiropractic practices who conduct diagnostic imaging</w:t>
      </w:r>
    </w:p>
    <w:p w14:paraId="11291B9E" w14:textId="067DFED2" w:rsidR="00FD68B3" w:rsidRDefault="00FD68B3" w:rsidP="00FD68B3">
      <w:pPr>
        <w:pStyle w:val="Bullet1"/>
      </w:pPr>
      <w:r>
        <w:t>allied health practices.</w:t>
      </w:r>
    </w:p>
    <w:p w14:paraId="2EFE2D3C" w14:textId="7BC0A51D" w:rsidR="005C25CB" w:rsidRPr="00511D7A" w:rsidRDefault="00047B3A" w:rsidP="005C25CB">
      <w:r>
        <w:t>Mandatory</w:t>
      </w:r>
      <w:r w:rsidR="005C25CB">
        <w:t xml:space="preserve"> reporting by these facilities w</w:t>
      </w:r>
      <w:r>
        <w:t>as</w:t>
      </w:r>
      <w:r w:rsidR="005C25CB">
        <w:t xml:space="preserve"> generally well supported </w:t>
      </w:r>
      <w:r>
        <w:t xml:space="preserve">by the </w:t>
      </w:r>
      <w:r w:rsidR="00BC03FA">
        <w:t>stakeholders</w:t>
      </w:r>
      <w:r>
        <w:t xml:space="preserve"> </w:t>
      </w:r>
      <w:r w:rsidR="007B31DD">
        <w:t>engaged and</w:t>
      </w:r>
      <w:r>
        <w:t xml:space="preserve"> </w:t>
      </w:r>
      <w:r w:rsidR="00174CAA">
        <w:t xml:space="preserve">may </w:t>
      </w:r>
      <w:r>
        <w:t xml:space="preserve">be taken forward </w:t>
      </w:r>
      <w:r w:rsidR="00BF41F3">
        <w:t xml:space="preserve">by the TGA for consideration for </w:t>
      </w:r>
      <w:r w:rsidR="00BC03FA">
        <w:t xml:space="preserve">future </w:t>
      </w:r>
      <w:r w:rsidR="00BF41F3">
        <w:t>inclusion</w:t>
      </w:r>
      <w:r w:rsidR="00BC03FA">
        <w:t>.</w:t>
      </w:r>
    </w:p>
    <w:p w14:paraId="78FB1ED6" w14:textId="77777777" w:rsidR="006725DD" w:rsidRDefault="006725DD" w:rsidP="006725DD">
      <w:pPr>
        <w:pStyle w:val="Heading5"/>
      </w:pPr>
      <w:r>
        <w:t>Success Criteria</w:t>
      </w:r>
    </w:p>
    <w:p w14:paraId="24346A0A" w14:textId="1B7014E2" w:rsidR="00146660" w:rsidRDefault="00146660" w:rsidP="006725DD">
      <w:r>
        <w:t xml:space="preserve">Options </w:t>
      </w:r>
      <w:r w:rsidR="00A00D22">
        <w:t xml:space="preserve">4A and 4B are </w:t>
      </w:r>
      <w:r>
        <w:t>estimated to most comprehensively address the success criteria, as well as achieving the Government’s objectives from the introduction of new regulations. The</w:t>
      </w:r>
      <w:r w:rsidR="00EC311A">
        <w:t xml:space="preserve"> expansion of reporting population to include approved Residential Aged Care facilities </w:t>
      </w:r>
      <w:r w:rsidR="00453D0C">
        <w:t>would further increase the volume of adverse event reporting and thus the TGA’s ability to identify, assess and respond to emerging safety issues relating to medical devices.</w:t>
      </w:r>
    </w:p>
    <w:p w14:paraId="332D4437" w14:textId="0CFB262A" w:rsidR="00453D0C" w:rsidRDefault="00DC3096" w:rsidP="006725DD">
      <w:r>
        <w:t xml:space="preserve">Amendments to the existing Aged Care Quality Standards will be critical for the effective implementation of mandatory reporting for this population in the future. The existing incident management systems and reporting practices within residential aged care facilities have not </w:t>
      </w:r>
      <w:r w:rsidR="00F62358">
        <w:t xml:space="preserve">yet </w:t>
      </w:r>
      <w:r>
        <w:t xml:space="preserve">been fully assessed. Further exclusive consultation is required to fully understand the systems, reporting practices and associated data requirements before proceeding with expanding mandatory reporting scheme to these facilities. </w:t>
      </w:r>
      <w:r w:rsidR="00453D0C">
        <w:t xml:space="preserve">The limitations of this option </w:t>
      </w:r>
      <w:r w:rsidR="00FB02FF">
        <w:t xml:space="preserve">also </w:t>
      </w:r>
      <w:r w:rsidR="00453D0C">
        <w:t xml:space="preserve">relate to the </w:t>
      </w:r>
      <w:r w:rsidR="00A67B70">
        <w:t xml:space="preserve">typical class of medical </w:t>
      </w:r>
      <w:r w:rsidR="00A67B70">
        <w:lastRenderedPageBreak/>
        <w:t xml:space="preserve">devices used within said facilities, and their relevance to the Government’s objectives </w:t>
      </w:r>
      <w:r w:rsidR="00873F3C">
        <w:t>from new regulation</w:t>
      </w:r>
      <w:r w:rsidR="00EA6574">
        <w:t xml:space="preserve"> (i.e., t</w:t>
      </w:r>
      <w:r w:rsidR="00873F3C">
        <w:t xml:space="preserve">he medical devices </w:t>
      </w:r>
      <w:r w:rsidR="00BB43D5">
        <w:t xml:space="preserve">used </w:t>
      </w:r>
      <w:r w:rsidR="00873F3C">
        <w:t>are typically of lower risk</w:t>
      </w:r>
      <w:r w:rsidR="00EA6574">
        <w:t>). As such, consideration must be given to the relative costs and benefits of expanding the scope.</w:t>
      </w:r>
    </w:p>
    <w:p w14:paraId="54DAF28C" w14:textId="7F16AE94" w:rsidR="006725DD" w:rsidRPr="006743F2" w:rsidRDefault="006725DD" w:rsidP="006725DD">
      <w:r>
        <w:t>The following table details the level to which the proposed option addresses the success criteria of government intervention. The ratings provided are qualitative and are relative to the other policy options proposed.</w:t>
      </w:r>
    </w:p>
    <w:p w14:paraId="66390F43" w14:textId="2F9B9F91" w:rsidR="00CE2647" w:rsidRDefault="00CE2647" w:rsidP="00B37DCC">
      <w:pPr>
        <w:pStyle w:val="Caption"/>
        <w:keepNext/>
      </w:pPr>
      <w:r>
        <w:t xml:space="preserve">Table </w:t>
      </w:r>
      <w:r>
        <w:fldChar w:fldCharType="begin"/>
      </w:r>
      <w:r>
        <w:instrText>SEQ Table \* ARABIC</w:instrText>
      </w:r>
      <w:r>
        <w:fldChar w:fldCharType="separate"/>
      </w:r>
      <w:r w:rsidR="00CA03EA">
        <w:rPr>
          <w:noProof/>
        </w:rPr>
        <w:t>8</w:t>
      </w:r>
      <w:r>
        <w:fldChar w:fldCharType="end"/>
      </w:r>
      <w:r>
        <w:t xml:space="preserve"> - Success criteria</w:t>
      </w:r>
    </w:p>
    <w:tbl>
      <w:tblPr>
        <w:tblStyle w:val="GridTable2-Accent1"/>
        <w:tblW w:w="0" w:type="auto"/>
        <w:tblLook w:val="04A0" w:firstRow="1" w:lastRow="0" w:firstColumn="1" w:lastColumn="0" w:noHBand="0" w:noVBand="1"/>
      </w:tblPr>
      <w:tblGrid>
        <w:gridCol w:w="6516"/>
        <w:gridCol w:w="2500"/>
      </w:tblGrid>
      <w:tr w:rsidR="006725DD" w14:paraId="456EFE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E97D9F8" w14:textId="77777777" w:rsidR="006725DD" w:rsidRPr="003E7B8D" w:rsidRDefault="006725DD">
            <w:r w:rsidRPr="003E7B8D">
              <w:t>Success Criteria</w:t>
            </w:r>
          </w:p>
        </w:tc>
        <w:tc>
          <w:tcPr>
            <w:tcW w:w="2500" w:type="dxa"/>
          </w:tcPr>
          <w:p w14:paraId="5291FBA0" w14:textId="77777777" w:rsidR="006725DD" w:rsidRPr="003E7B8D" w:rsidRDefault="006725DD">
            <w:pPr>
              <w:jc w:val="center"/>
              <w:cnfStyle w:val="100000000000" w:firstRow="1" w:lastRow="0" w:firstColumn="0" w:lastColumn="0" w:oddVBand="0" w:evenVBand="0" w:oddHBand="0" w:evenHBand="0" w:firstRowFirstColumn="0" w:firstRowLastColumn="0" w:lastRowFirstColumn="0" w:lastRowLastColumn="0"/>
            </w:pPr>
            <w:r w:rsidRPr="003E7B8D">
              <w:t>Level of Addressal</w:t>
            </w:r>
          </w:p>
        </w:tc>
      </w:tr>
      <w:tr w:rsidR="006725DD" w14:paraId="388CB712" w14:textId="77777777" w:rsidTr="00672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4E3096A5" w14:textId="77777777" w:rsidR="006725DD" w:rsidRPr="006725DD" w:rsidRDefault="006725DD" w:rsidP="00D0287E">
            <w:pPr>
              <w:pStyle w:val="Numberbullet0"/>
              <w:numPr>
                <w:ilvl w:val="0"/>
                <w:numId w:val="35"/>
              </w:numPr>
              <w:spacing w:before="0" w:after="0"/>
              <w:rPr>
                <w:sz w:val="16"/>
                <w:szCs w:val="16"/>
              </w:rPr>
            </w:pPr>
            <w:r w:rsidRPr="006725DD">
              <w:rPr>
                <w:sz w:val="16"/>
                <w:szCs w:val="16"/>
              </w:rPr>
              <w:t>increased volume of reported medical device adverse events by healthcare facilities</w:t>
            </w:r>
          </w:p>
        </w:tc>
        <w:tc>
          <w:tcPr>
            <w:tcW w:w="2500" w:type="dxa"/>
            <w:vAlign w:val="center"/>
          </w:tcPr>
          <w:p w14:paraId="391011EE" w14:textId="0DE6C35D" w:rsidR="006725DD" w:rsidRPr="00801E46" w:rsidRDefault="006725DD" w:rsidP="006725DD">
            <w:pPr>
              <w:jc w:val="center"/>
              <w:cnfStyle w:val="000000100000" w:firstRow="0" w:lastRow="0" w:firstColumn="0" w:lastColumn="0" w:oddVBand="0" w:evenVBand="0" w:oddHBand="1" w:evenHBand="0" w:firstRowFirstColumn="0" w:firstRowLastColumn="0" w:lastRowFirstColumn="0" w:lastRowLastColumn="0"/>
              <w:rPr>
                <w:sz w:val="16"/>
                <w:szCs w:val="16"/>
              </w:rPr>
            </w:pPr>
            <w:r w:rsidRPr="00A57FD5">
              <w:rPr>
                <w:sz w:val="16"/>
                <w:szCs w:val="16"/>
              </w:rPr>
              <w:t>high</w:t>
            </w:r>
          </w:p>
        </w:tc>
      </w:tr>
      <w:tr w:rsidR="006725DD" w14:paraId="17DBF9B8" w14:textId="77777777" w:rsidTr="006725DD">
        <w:tc>
          <w:tcPr>
            <w:cnfStyle w:val="001000000000" w:firstRow="0" w:lastRow="0" w:firstColumn="1" w:lastColumn="0" w:oddVBand="0" w:evenVBand="0" w:oddHBand="0" w:evenHBand="0" w:firstRowFirstColumn="0" w:firstRowLastColumn="0" w:lastRowFirstColumn="0" w:lastRowLastColumn="0"/>
            <w:tcW w:w="6516" w:type="dxa"/>
            <w:vAlign w:val="center"/>
          </w:tcPr>
          <w:p w14:paraId="0957FEB1" w14:textId="77777777" w:rsidR="006725DD" w:rsidRPr="003A4817" w:rsidRDefault="006725DD" w:rsidP="006725DD">
            <w:pPr>
              <w:pStyle w:val="Numberbullet0"/>
              <w:spacing w:before="0" w:after="0"/>
              <w:rPr>
                <w:sz w:val="16"/>
                <w:szCs w:val="16"/>
              </w:rPr>
            </w:pPr>
            <w:r w:rsidRPr="003A4817">
              <w:rPr>
                <w:sz w:val="16"/>
                <w:szCs w:val="16"/>
              </w:rPr>
              <w:t>timelier signal detection of medical device adverse events as they occur</w:t>
            </w:r>
          </w:p>
        </w:tc>
        <w:tc>
          <w:tcPr>
            <w:tcW w:w="2500" w:type="dxa"/>
            <w:vAlign w:val="center"/>
          </w:tcPr>
          <w:p w14:paraId="0FD274EA" w14:textId="2BF41B55" w:rsidR="006725DD" w:rsidRPr="003A4817" w:rsidRDefault="006725DD" w:rsidP="006725DD">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57FD5">
              <w:rPr>
                <w:sz w:val="16"/>
                <w:szCs w:val="16"/>
              </w:rPr>
              <w:t>high</w:t>
            </w:r>
          </w:p>
        </w:tc>
      </w:tr>
      <w:tr w:rsidR="006725DD" w14:paraId="7FDDB4BB" w14:textId="77777777" w:rsidTr="00672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D07D0F9" w14:textId="77777777" w:rsidR="006725DD" w:rsidRPr="003A4817" w:rsidRDefault="006725DD" w:rsidP="006725DD">
            <w:pPr>
              <w:pStyle w:val="Numberbullet0"/>
              <w:spacing w:before="0" w:after="0"/>
              <w:rPr>
                <w:sz w:val="16"/>
                <w:szCs w:val="16"/>
              </w:rPr>
            </w:pPr>
            <w:r w:rsidRPr="003A4817">
              <w:rPr>
                <w:sz w:val="16"/>
                <w:szCs w:val="16"/>
              </w:rPr>
              <w:t>improved identification of rarer events and potential emerging issues across the country</w:t>
            </w:r>
          </w:p>
        </w:tc>
        <w:tc>
          <w:tcPr>
            <w:tcW w:w="2500" w:type="dxa"/>
            <w:vAlign w:val="center"/>
          </w:tcPr>
          <w:p w14:paraId="5FE8C516" w14:textId="1F9DB207" w:rsidR="006725DD" w:rsidRPr="003A4817" w:rsidRDefault="006725DD" w:rsidP="006725DD">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57FD5">
              <w:rPr>
                <w:sz w:val="16"/>
                <w:szCs w:val="16"/>
              </w:rPr>
              <w:t>high</w:t>
            </w:r>
          </w:p>
        </w:tc>
      </w:tr>
      <w:tr w:rsidR="006725DD" w14:paraId="5D942FE6" w14:textId="77777777" w:rsidTr="006725DD">
        <w:tc>
          <w:tcPr>
            <w:cnfStyle w:val="001000000000" w:firstRow="0" w:lastRow="0" w:firstColumn="1" w:lastColumn="0" w:oddVBand="0" w:evenVBand="0" w:oddHBand="0" w:evenHBand="0" w:firstRowFirstColumn="0" w:firstRowLastColumn="0" w:lastRowFirstColumn="0" w:lastRowLastColumn="0"/>
            <w:tcW w:w="6516" w:type="dxa"/>
            <w:vAlign w:val="center"/>
          </w:tcPr>
          <w:p w14:paraId="776B5EAB" w14:textId="77777777" w:rsidR="006725DD" w:rsidRPr="003A4817" w:rsidRDefault="006725DD" w:rsidP="006725DD">
            <w:pPr>
              <w:pStyle w:val="Numberbullet0"/>
              <w:spacing w:before="0" w:after="0"/>
              <w:rPr>
                <w:sz w:val="16"/>
                <w:szCs w:val="16"/>
              </w:rPr>
            </w:pPr>
            <w:r w:rsidRPr="003A4817">
              <w:rPr>
                <w:sz w:val="16"/>
                <w:szCs w:val="16"/>
              </w:rPr>
              <w:t>earlier regulatory responses to address safety concerns</w:t>
            </w:r>
          </w:p>
        </w:tc>
        <w:tc>
          <w:tcPr>
            <w:tcW w:w="2500" w:type="dxa"/>
            <w:vAlign w:val="center"/>
          </w:tcPr>
          <w:p w14:paraId="6D1BC652" w14:textId="07486DAC" w:rsidR="006725DD" w:rsidRPr="003A4817" w:rsidRDefault="006725DD" w:rsidP="006725DD">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57FD5">
              <w:rPr>
                <w:sz w:val="16"/>
                <w:szCs w:val="16"/>
              </w:rPr>
              <w:t>high</w:t>
            </w:r>
          </w:p>
        </w:tc>
      </w:tr>
      <w:tr w:rsidR="00555796" w14:paraId="0E3F578E" w14:textId="77777777" w:rsidTr="00672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8FE6AFD" w14:textId="17D207F9" w:rsidR="00555796" w:rsidRPr="003A4817" w:rsidRDefault="00555796" w:rsidP="00555796">
            <w:pPr>
              <w:pStyle w:val="Numberbullet0"/>
              <w:spacing w:before="0" w:after="0"/>
              <w:rPr>
                <w:sz w:val="16"/>
                <w:szCs w:val="16"/>
              </w:rPr>
            </w:pPr>
            <w:r w:rsidRPr="00E42BAD">
              <w:rPr>
                <w:sz w:val="16"/>
                <w:szCs w:val="16"/>
              </w:rPr>
              <w:t>more frequent provision of information to healthcare facilities regarding possible threats to patient and professional safety</w:t>
            </w:r>
          </w:p>
        </w:tc>
        <w:tc>
          <w:tcPr>
            <w:tcW w:w="2500" w:type="dxa"/>
            <w:vAlign w:val="center"/>
          </w:tcPr>
          <w:p w14:paraId="735B3CFB" w14:textId="325E2EB2" w:rsidR="00555796" w:rsidRPr="003A4817" w:rsidRDefault="00555796" w:rsidP="00555796">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57FD5">
              <w:rPr>
                <w:sz w:val="16"/>
                <w:szCs w:val="16"/>
              </w:rPr>
              <w:t>high</w:t>
            </w:r>
          </w:p>
        </w:tc>
      </w:tr>
      <w:tr w:rsidR="00555796" w14:paraId="304BE1D8" w14:textId="77777777" w:rsidTr="00422DE8">
        <w:tc>
          <w:tcPr>
            <w:cnfStyle w:val="001000000000" w:firstRow="0" w:lastRow="0" w:firstColumn="1" w:lastColumn="0" w:oddVBand="0" w:evenVBand="0" w:oddHBand="0" w:evenHBand="0" w:firstRowFirstColumn="0" w:firstRowLastColumn="0" w:lastRowFirstColumn="0" w:lastRowLastColumn="0"/>
            <w:tcW w:w="0" w:type="dxa"/>
          </w:tcPr>
          <w:p w14:paraId="5415DB0D" w14:textId="71D0AC14" w:rsidR="00555796" w:rsidRPr="003A4817" w:rsidRDefault="00555796" w:rsidP="00555796">
            <w:pPr>
              <w:pStyle w:val="Numberbullet0"/>
              <w:spacing w:before="0" w:after="0"/>
              <w:rPr>
                <w:sz w:val="16"/>
                <w:szCs w:val="16"/>
              </w:rPr>
            </w:pPr>
            <w:r w:rsidRPr="00036AC3">
              <w:rPr>
                <w:sz w:val="16"/>
                <w:szCs w:val="16"/>
              </w:rPr>
              <w:t>proactively identify and mitigate risks associated with medical devices</w:t>
            </w:r>
          </w:p>
        </w:tc>
        <w:tc>
          <w:tcPr>
            <w:tcW w:w="0" w:type="dxa"/>
            <w:vAlign w:val="center"/>
          </w:tcPr>
          <w:p w14:paraId="658166A6" w14:textId="708305BE" w:rsidR="00555796" w:rsidRPr="00A57FD5" w:rsidRDefault="005A3F39" w:rsidP="00555796">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high</w:t>
            </w:r>
          </w:p>
        </w:tc>
      </w:tr>
      <w:tr w:rsidR="00555796" w14:paraId="67F840B6"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51C706A" w14:textId="6D667911" w:rsidR="00555796" w:rsidRPr="003A4817" w:rsidRDefault="00555796" w:rsidP="00555796">
            <w:pPr>
              <w:pStyle w:val="Numberbullet0"/>
              <w:spacing w:before="0" w:after="0"/>
              <w:rPr>
                <w:sz w:val="16"/>
                <w:szCs w:val="16"/>
              </w:rPr>
            </w:pPr>
            <w:r w:rsidRPr="00036AC3">
              <w:rPr>
                <w:sz w:val="16"/>
                <w:szCs w:val="16"/>
              </w:rPr>
              <w:t>improved data quality enabling meaningful trend identification and analysis</w:t>
            </w:r>
          </w:p>
        </w:tc>
        <w:tc>
          <w:tcPr>
            <w:tcW w:w="0" w:type="dxa"/>
            <w:vAlign w:val="center"/>
          </w:tcPr>
          <w:p w14:paraId="4F115BB6" w14:textId="1F3F84EA" w:rsidR="00555796" w:rsidRPr="00A57FD5" w:rsidRDefault="005A3F39" w:rsidP="00555796">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r>
    </w:tbl>
    <w:p w14:paraId="0019640B" w14:textId="77777777" w:rsidR="00C331FB" w:rsidRPr="006F3156" w:rsidRDefault="00C331FB">
      <w:pPr>
        <w:rPr>
          <w:rFonts w:eastAsia="Times New Roman" w:cs="Times New Roman"/>
          <w:b/>
          <w:color w:val="001871"/>
          <w:sz w:val="32"/>
          <w:szCs w:val="32"/>
        </w:rPr>
      </w:pPr>
      <w:r>
        <w:br w:type="page"/>
      </w:r>
    </w:p>
    <w:p w14:paraId="4970B31D" w14:textId="2FFE9C2D" w:rsidR="004576B5" w:rsidRPr="004576B5" w:rsidRDefault="00520749" w:rsidP="00C47484">
      <w:pPr>
        <w:pStyle w:val="Heading2"/>
      </w:pPr>
      <w:bookmarkStart w:id="154" w:name="_Toc179531323"/>
      <w:bookmarkStart w:id="155" w:name="_Toc188012872"/>
      <w:r>
        <w:rPr>
          <w:noProof/>
          <w:lang w:eastAsia="en-AU"/>
        </w:rPr>
        <w:lastRenderedPageBreak/>
        <mc:AlternateContent>
          <mc:Choice Requires="wps">
            <w:drawing>
              <wp:anchor distT="45720" distB="45720" distL="114300" distR="114300" simplePos="0" relativeHeight="251671040" behindDoc="0" locked="0" layoutInCell="1" allowOverlap="1" wp14:anchorId="2B47A19D" wp14:editId="0681AF84">
                <wp:simplePos x="0" y="0"/>
                <wp:positionH relativeFrom="margin">
                  <wp:align>right</wp:align>
                </wp:positionH>
                <wp:positionV relativeFrom="paragraph">
                  <wp:posOffset>712470</wp:posOffset>
                </wp:positionV>
                <wp:extent cx="5709285" cy="2968625"/>
                <wp:effectExtent l="0" t="0" r="24765" b="222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968625"/>
                        </a:xfrm>
                        <a:prstGeom prst="rect">
                          <a:avLst/>
                        </a:prstGeom>
                        <a:solidFill>
                          <a:srgbClr val="FFFFFF"/>
                        </a:solidFill>
                        <a:ln w="9525">
                          <a:solidFill>
                            <a:srgbClr val="000000"/>
                          </a:solidFill>
                          <a:miter lim="800000"/>
                          <a:headEnd/>
                          <a:tailEnd/>
                        </a:ln>
                      </wps:spPr>
                      <wps:txbx>
                        <w:txbxContent>
                          <w:p w14:paraId="7B15E81D" w14:textId="77777777" w:rsidR="008461AF" w:rsidRPr="00966B9A" w:rsidRDefault="008461AF" w:rsidP="00966B9A">
                            <w:pPr>
                              <w:shd w:val="clear" w:color="auto" w:fill="F2F2F2" w:themeFill="background1" w:themeFillShade="F2"/>
                              <w:rPr>
                                <w:rFonts w:cs="Arial"/>
                                <w:b/>
                                <w:bCs/>
                                <w:i/>
                                <w:iCs/>
                              </w:rPr>
                            </w:pPr>
                            <w:r w:rsidRPr="00966B9A">
                              <w:rPr>
                                <w:rFonts w:cs="Arial"/>
                                <w:b/>
                                <w:bCs/>
                                <w:i/>
                                <w:iCs/>
                              </w:rPr>
                              <w:t>Benefits and Risks of Policy Options</w:t>
                            </w:r>
                          </w:p>
                          <w:p w14:paraId="12768D09" w14:textId="77777777" w:rsidR="008461AF" w:rsidRPr="00966B9A" w:rsidRDefault="008461AF" w:rsidP="00966B9A">
                            <w:pPr>
                              <w:shd w:val="clear" w:color="auto" w:fill="F2F2F2" w:themeFill="background1" w:themeFillShade="F2"/>
                            </w:pPr>
                            <w:r w:rsidRPr="00966B9A">
                              <w:rPr>
                                <w:b/>
                                <w:bCs/>
                              </w:rPr>
                              <w:t>Option 1</w:t>
                            </w:r>
                            <w:r w:rsidRPr="00966B9A">
                              <w:t xml:space="preserve"> maintains the status quo. This option does not address the public health problem that has been identified and prevents the delivery of the Government’s policy objectives.</w:t>
                            </w:r>
                          </w:p>
                          <w:p w14:paraId="690D4658" w14:textId="77777777" w:rsidR="008461AF" w:rsidRPr="00966B9A" w:rsidRDefault="008461AF" w:rsidP="00966B9A">
                            <w:pPr>
                              <w:shd w:val="clear" w:color="auto" w:fill="F2F2F2" w:themeFill="background1" w:themeFillShade="F2"/>
                            </w:pPr>
                            <w:r w:rsidRPr="00966B9A">
                              <w:rPr>
                                <w:b/>
                                <w:bCs/>
                              </w:rPr>
                              <w:t>Options 2A and 2B</w:t>
                            </w:r>
                            <w:r w:rsidRPr="00966B9A">
                              <w:t xml:space="preserve"> seek to mandate reporting of adverse events relating to high-risk medical devices by healthcare facilities. These options address the success criteria to a moderate level. The introduction of mandatory reporting requirements would increase the volume of reports and support the timelier detection of adverse events and potential medical device safety issues. However, Options 2A and 2B are limited by the scope of medical devices mandated to be reported on (i.e., only on high-risk medical devices).</w:t>
                            </w:r>
                          </w:p>
                          <w:p w14:paraId="3D508106" w14:textId="77777777" w:rsidR="008461AF" w:rsidRPr="00966B9A" w:rsidRDefault="008461AF" w:rsidP="00966B9A">
                            <w:pPr>
                              <w:shd w:val="clear" w:color="auto" w:fill="F2F2F2" w:themeFill="background1" w:themeFillShade="F2"/>
                              <w:rPr>
                                <w:rFonts w:cs="Arial"/>
                              </w:rPr>
                            </w:pPr>
                            <w:r w:rsidRPr="00966B9A">
                              <w:rPr>
                                <w:rFonts w:cs="Arial"/>
                                <w:b/>
                                <w:bCs/>
                              </w:rPr>
                              <w:t>Options 3A and 3B</w:t>
                            </w:r>
                            <w:r w:rsidRPr="00966B9A">
                              <w:t xml:space="preserve"> seek to mandate reporting of adverse events relating to medium and high-risk medical devices by healthcare facilities. </w:t>
                            </w:r>
                            <w:r w:rsidRPr="00966B9A">
                              <w:rPr>
                                <w:rFonts w:cs="Arial"/>
                              </w:rPr>
                              <w:t xml:space="preserve">These options are estimated to address the success criteria to a moderate to high level. The </w:t>
                            </w:r>
                            <w:r w:rsidRPr="00966B9A">
                              <w:t>expanded scope would more comprehensively cover medical devices deemed to be of medium to high potential risk to safety.</w:t>
                            </w:r>
                          </w:p>
                          <w:p w14:paraId="577B9B64" w14:textId="5472A1F7" w:rsidR="008461AF" w:rsidRPr="00236512" w:rsidRDefault="008461AF" w:rsidP="00966B9A">
                            <w:pPr>
                              <w:shd w:val="clear" w:color="auto" w:fill="F2F2F2" w:themeFill="background1" w:themeFillShade="F2"/>
                              <w:rPr>
                                <w:rFonts w:cs="Arial"/>
                                <w:b/>
                                <w:bCs/>
                                <w:i/>
                                <w:iCs/>
                              </w:rPr>
                            </w:pPr>
                            <w:r w:rsidRPr="00966B9A">
                              <w:rPr>
                                <w:b/>
                                <w:bCs/>
                              </w:rPr>
                              <w:t>Options 4A and 4B</w:t>
                            </w:r>
                            <w:r w:rsidRPr="00966B9A">
                              <w:t xml:space="preserve"> will see further expansion to the scope of regulation imposed on healthcare facilities through a broadening of the population mandated to report on medical device adverse events. These options, however, will pose the most significant regulatory burden.</w:t>
                            </w:r>
                            <w:r>
                              <w:br/>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7A19D" id="_x0000_s1030" type="#_x0000_t202" style="position:absolute;margin-left:398.35pt;margin-top:56.1pt;width:449.55pt;height:233.75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">
                <v:textbox>
                  <w:txbxContent>
                    <w:p w14:paraId="7B15E81D" w14:textId="77777777" w:rsidR="008461AF" w:rsidRPr="00966B9A" w:rsidRDefault="008461AF" w:rsidP="00966B9A">
                      <w:pPr>
                        <w:shd w:val="clear" w:color="auto" w:fill="F2F2F2" w:themeFill="background1" w:themeFillShade="F2"/>
                        <w:rPr>
                          <w:rFonts w:cs="Arial"/>
                          <w:b/>
                          <w:bCs/>
                          <w:i/>
                          <w:iCs/>
                        </w:rPr>
                      </w:pPr>
                      <w:r w:rsidRPr="00966B9A">
                        <w:rPr>
                          <w:rFonts w:cs="Arial"/>
                          <w:b/>
                          <w:bCs/>
                          <w:i/>
                          <w:iCs/>
                        </w:rPr>
                        <w:t>Benefits and Risks of Policy Options</w:t>
                      </w:r>
                    </w:p>
                    <w:p w14:paraId="12768D09" w14:textId="77777777" w:rsidR="008461AF" w:rsidRPr="00966B9A" w:rsidRDefault="008461AF" w:rsidP="00966B9A">
                      <w:pPr>
                        <w:shd w:val="clear" w:color="auto" w:fill="F2F2F2" w:themeFill="background1" w:themeFillShade="F2"/>
                      </w:pPr>
                      <w:r w:rsidRPr="00966B9A">
                        <w:rPr>
                          <w:b/>
                          <w:bCs/>
                        </w:rPr>
                        <w:t>Option 1</w:t>
                      </w:r>
                      <w:r w:rsidRPr="00966B9A">
                        <w:t xml:space="preserve"> maintains the status quo. This option does not address the public health problem that has been identified and prevents the delivery of the Government’s policy objectives.</w:t>
                      </w:r>
                    </w:p>
                    <w:p w14:paraId="690D4658" w14:textId="77777777" w:rsidR="008461AF" w:rsidRPr="00966B9A" w:rsidRDefault="008461AF" w:rsidP="00966B9A">
                      <w:pPr>
                        <w:shd w:val="clear" w:color="auto" w:fill="F2F2F2" w:themeFill="background1" w:themeFillShade="F2"/>
                      </w:pPr>
                      <w:r w:rsidRPr="00966B9A">
                        <w:rPr>
                          <w:b/>
                          <w:bCs/>
                        </w:rPr>
                        <w:t>Options 2A and 2B</w:t>
                      </w:r>
                      <w:r w:rsidRPr="00966B9A">
                        <w:t xml:space="preserve"> seek to mandate reporting of adverse events relating to high-risk medical devices by healthcare facilities. These options address the success criteria to a moderate level. The introduction of mandatory reporting requirements would increase the volume of reports and support the timelier detection of adverse events and potential medical device safety issues. However, Options 2A and 2B are limited by the scope of medical devices mandated to be reported on (i.e., only on high-risk medical devices).</w:t>
                      </w:r>
                    </w:p>
                    <w:p w14:paraId="3D508106" w14:textId="77777777" w:rsidR="008461AF" w:rsidRPr="00966B9A" w:rsidRDefault="008461AF" w:rsidP="00966B9A">
                      <w:pPr>
                        <w:shd w:val="clear" w:color="auto" w:fill="F2F2F2" w:themeFill="background1" w:themeFillShade="F2"/>
                        <w:rPr>
                          <w:rFonts w:cs="Arial"/>
                        </w:rPr>
                      </w:pPr>
                      <w:r w:rsidRPr="00966B9A">
                        <w:rPr>
                          <w:rFonts w:cs="Arial"/>
                          <w:b/>
                          <w:bCs/>
                        </w:rPr>
                        <w:t>Options 3A and 3B</w:t>
                      </w:r>
                      <w:r w:rsidRPr="00966B9A">
                        <w:t xml:space="preserve"> seek to mandate reporting of adverse events relating to medium and high-risk medical devices by healthcare facilities. </w:t>
                      </w:r>
                      <w:r w:rsidRPr="00966B9A">
                        <w:rPr>
                          <w:rFonts w:cs="Arial"/>
                        </w:rPr>
                        <w:t xml:space="preserve">These options are estimated to address the success criteria to a moderate to high level. The </w:t>
                      </w:r>
                      <w:r w:rsidRPr="00966B9A">
                        <w:t>expanded scope would more comprehensively cover medical devices deemed to be of medium to high potential risk to safety.</w:t>
                      </w:r>
                    </w:p>
                    <w:p w14:paraId="577B9B64" w14:textId="5472A1F7" w:rsidR="008461AF" w:rsidRPr="00236512" w:rsidRDefault="008461AF" w:rsidP="00966B9A">
                      <w:pPr>
                        <w:shd w:val="clear" w:color="auto" w:fill="F2F2F2" w:themeFill="background1" w:themeFillShade="F2"/>
                        <w:rPr>
                          <w:rFonts w:cs="Arial"/>
                          <w:b/>
                          <w:bCs/>
                          <w:i/>
                          <w:iCs/>
                        </w:rPr>
                      </w:pPr>
                      <w:r w:rsidRPr="00966B9A">
                        <w:rPr>
                          <w:b/>
                          <w:bCs/>
                        </w:rPr>
                        <w:t>Options 4A and 4B</w:t>
                      </w:r>
                      <w:r w:rsidRPr="00966B9A">
                        <w:t xml:space="preserve"> will see further expansion to the scope of regulation imposed on healthcare facilities through a broadening of the population mandated to report on medical device adverse events. These options, however, will pose the most significant regulatory burden.</w:t>
                      </w:r>
                      <w:r>
                        <w:br/>
                      </w:r>
                      <w:r>
                        <w:br/>
                      </w:r>
                      <w:r>
                        <w:br/>
                      </w:r>
                    </w:p>
                  </w:txbxContent>
                </v:textbox>
                <w10:wrap type="square" anchorx="margin"/>
              </v:shape>
            </w:pict>
          </mc:Fallback>
        </mc:AlternateContent>
      </w:r>
      <w:r w:rsidR="00CE52F3">
        <w:t>Question Four: What is the likely net benefit of each option?</w:t>
      </w:r>
      <w:bookmarkEnd w:id="153"/>
      <w:bookmarkEnd w:id="154"/>
      <w:bookmarkEnd w:id="155"/>
    </w:p>
    <w:p w14:paraId="1EE38454" w14:textId="77777777" w:rsidR="004C20A4" w:rsidRDefault="004C20A4" w:rsidP="004259BA"/>
    <w:p w14:paraId="458A54C3" w14:textId="776CAADB" w:rsidR="004259BA" w:rsidRDefault="0053632B" w:rsidP="004259BA">
      <w:r>
        <w:t>This section outlines the benefits and costs for each of the four options proposed in this Impact Analysis.</w:t>
      </w:r>
    </w:p>
    <w:p w14:paraId="796FF289" w14:textId="0489DE6D" w:rsidR="00190600" w:rsidRDefault="005A7E1D" w:rsidP="005A7E1D">
      <w:pPr>
        <w:pStyle w:val="Heading4"/>
      </w:pPr>
      <w:r>
        <w:t>Method of Analysis</w:t>
      </w:r>
    </w:p>
    <w:p w14:paraId="3C513D85" w14:textId="557B848D" w:rsidR="005A7E1D" w:rsidRPr="005A7E1D" w:rsidRDefault="009359AA" w:rsidP="005A7E1D">
      <w:r>
        <w:t>A</w:t>
      </w:r>
      <w:r w:rsidR="008351D7">
        <w:t xml:space="preserve"> </w:t>
      </w:r>
      <w:r w:rsidR="00A251F2">
        <w:t xml:space="preserve">multi-criteria analysis </w:t>
      </w:r>
      <w:r w:rsidR="00892CBC">
        <w:t>(MCA)</w:t>
      </w:r>
      <w:r>
        <w:t xml:space="preserve"> methodology </w:t>
      </w:r>
      <w:r w:rsidR="00A251F2">
        <w:t xml:space="preserve">was </w:t>
      </w:r>
      <w:r>
        <w:t>utilised to</w:t>
      </w:r>
      <w:r w:rsidR="00E05FD1">
        <w:t xml:space="preserve"> </w:t>
      </w:r>
      <w:r w:rsidR="0000398E">
        <w:t xml:space="preserve">adequately </w:t>
      </w:r>
      <w:r>
        <w:t>analyse</w:t>
      </w:r>
      <w:r w:rsidR="0000398E">
        <w:t>, assess</w:t>
      </w:r>
      <w:r w:rsidR="00B9281B">
        <w:t>,</w:t>
      </w:r>
      <w:r w:rsidR="0000398E">
        <w:t xml:space="preserve"> and recommend the </w:t>
      </w:r>
      <w:r w:rsidR="00985E28">
        <w:t>most suitable policy option</w:t>
      </w:r>
      <w:r w:rsidR="008351D7">
        <w:t>.</w:t>
      </w:r>
      <w:r w:rsidR="001F531D">
        <w:t xml:space="preserve"> In development of this I</w:t>
      </w:r>
      <w:r w:rsidR="00DC4D00">
        <w:t xml:space="preserve">mpact </w:t>
      </w:r>
      <w:r w:rsidR="001F531D">
        <w:t>A</w:t>
      </w:r>
      <w:r w:rsidR="00DC4D00">
        <w:t>nalysis</w:t>
      </w:r>
      <w:r w:rsidR="001F531D">
        <w:t xml:space="preserve">, </w:t>
      </w:r>
      <w:r w:rsidR="004B1C97">
        <w:t>Value of Statistical Life (VSL)</w:t>
      </w:r>
      <w:r w:rsidR="009827D1">
        <w:t xml:space="preserve"> analysis was considered for use. However, due to the limited data available (and the varying reliability of the data</w:t>
      </w:r>
      <w:r w:rsidR="00A028CB">
        <w:rPr>
          <w:rStyle w:val="FootnoteReference"/>
        </w:rPr>
        <w:footnoteReference w:id="70"/>
      </w:r>
      <w:r w:rsidR="009827D1">
        <w:t xml:space="preserve">) </w:t>
      </w:r>
      <w:r w:rsidR="00DE5F9D">
        <w:t>it was decided not to be used in support of this I</w:t>
      </w:r>
      <w:r w:rsidR="00B626CA">
        <w:t xml:space="preserve">mpact </w:t>
      </w:r>
      <w:r w:rsidR="00DE5F9D">
        <w:t>A</w:t>
      </w:r>
      <w:r w:rsidR="00B626CA">
        <w:t>nalysis</w:t>
      </w:r>
      <w:r w:rsidR="00FA184B">
        <w:t>.</w:t>
      </w:r>
    </w:p>
    <w:p w14:paraId="04D5086A" w14:textId="725EF9E0" w:rsidR="001A7C17" w:rsidRDefault="001A7C17" w:rsidP="00303611">
      <w:pPr>
        <w:pStyle w:val="Heading5"/>
      </w:pPr>
      <w:r>
        <w:t>Multi-Criteria Analysis</w:t>
      </w:r>
    </w:p>
    <w:p w14:paraId="49F1DCD3" w14:textId="54D31E76" w:rsidR="00303611" w:rsidRDefault="00303611" w:rsidP="00303611">
      <w:r>
        <w:t xml:space="preserve">Multi-criteria analysis is a decision-making methodology used to evaluate and compare different options based on multiple criteria or factors. It offers a structured approach to complex decision-making by breaking down </w:t>
      </w:r>
      <w:r w:rsidR="00F96D1B">
        <w:t>each policy option</w:t>
      </w:r>
      <w:r>
        <w:t xml:space="preserve"> into its constituent parts and systematically considering the various objectives, constraints, and preferences involved. MCA involves identifying relevant criteria, </w:t>
      </w:r>
      <w:r w:rsidR="002E116C">
        <w:t>weighting</w:t>
      </w:r>
      <w:r>
        <w:t xml:space="preserve"> their relative importance, and aggregating </w:t>
      </w:r>
      <w:r w:rsidR="002E116C">
        <w:t xml:space="preserve">an assessment that facilitates </w:t>
      </w:r>
      <w:r>
        <w:t xml:space="preserve">the comparison and ranking of </w:t>
      </w:r>
      <w:r w:rsidR="002E116C">
        <w:t xml:space="preserve">policy </w:t>
      </w:r>
      <w:r>
        <w:t xml:space="preserve">options. </w:t>
      </w:r>
    </w:p>
    <w:p w14:paraId="64EE328B" w14:textId="77777777" w:rsidR="00B06FCA" w:rsidRPr="00DF6EEE" w:rsidRDefault="00B06FCA" w:rsidP="00B06FCA">
      <w:r w:rsidRPr="00DF6EEE">
        <w:t>For the purposes of this Impact Analysis, each policy option, sub-option, and constituent measures, were assessed and ranked relative to each other on the following criteria:</w:t>
      </w:r>
    </w:p>
    <w:p w14:paraId="2115EE84" w14:textId="77777777" w:rsidR="00B06FCA" w:rsidRPr="00DF6EEE" w:rsidRDefault="00B06FCA" w:rsidP="00B06FCA">
      <w:pPr>
        <w:pStyle w:val="Bullet1"/>
      </w:pPr>
      <w:r w:rsidRPr="00DF6EEE">
        <w:rPr>
          <w:b/>
          <w:bCs/>
        </w:rPr>
        <w:t>Achievement of Success Criteria</w:t>
      </w:r>
      <w:r w:rsidRPr="00DF6EEE">
        <w:t>: the level to which the proposed option addresses the success criteria of government intervention (as outlined in Tables 4, 6, 7 and 8)</w:t>
      </w:r>
    </w:p>
    <w:p w14:paraId="616C06A2" w14:textId="77777777" w:rsidR="00B06FCA" w:rsidRPr="00DF6EEE" w:rsidRDefault="00B06FCA" w:rsidP="00B06FCA">
      <w:pPr>
        <w:pStyle w:val="Bullet1"/>
      </w:pPr>
      <w:r w:rsidRPr="00DF6EEE">
        <w:rPr>
          <w:b/>
          <w:bCs/>
        </w:rPr>
        <w:lastRenderedPageBreak/>
        <w:t>Benefits and Costs:</w:t>
      </w:r>
      <w:r w:rsidRPr="00DF6EEE">
        <w:t xml:space="preserve"> the aggregate relative benefits and costs across affected populations, specifically:</w:t>
      </w:r>
    </w:p>
    <w:p w14:paraId="0847560A" w14:textId="77777777" w:rsidR="00B06FCA" w:rsidRPr="00DF6EEE" w:rsidRDefault="00B06FCA" w:rsidP="00B06FCA">
      <w:pPr>
        <w:pStyle w:val="ListBullet2"/>
        <w:rPr>
          <w:color w:val="auto"/>
        </w:rPr>
      </w:pPr>
      <w:r w:rsidRPr="00DF6EEE">
        <w:rPr>
          <w:color w:val="auto"/>
        </w:rPr>
        <w:t>businesses e.g., public and private hospitals, aged care facilities, medical device sponsors and manufacturers</w:t>
      </w:r>
    </w:p>
    <w:p w14:paraId="33BC614D" w14:textId="77777777" w:rsidR="00B06FCA" w:rsidRPr="00DF6EEE" w:rsidRDefault="00B06FCA" w:rsidP="00B06FCA">
      <w:pPr>
        <w:pStyle w:val="ListBullet2"/>
        <w:rPr>
          <w:color w:val="auto"/>
        </w:rPr>
      </w:pPr>
      <w:r w:rsidRPr="00DF6EEE">
        <w:rPr>
          <w:color w:val="auto"/>
        </w:rPr>
        <w:t>government e.g., TGA</w:t>
      </w:r>
    </w:p>
    <w:p w14:paraId="5CED8C21" w14:textId="77777777" w:rsidR="00B06FCA" w:rsidRPr="00DF6EEE" w:rsidRDefault="00B06FCA" w:rsidP="00B06FCA">
      <w:pPr>
        <w:pStyle w:val="ListBullet2"/>
        <w:rPr>
          <w:color w:val="auto"/>
        </w:rPr>
      </w:pPr>
      <w:r w:rsidRPr="00DF6EEE">
        <w:rPr>
          <w:color w:val="auto"/>
        </w:rPr>
        <w:t>general public</w:t>
      </w:r>
    </w:p>
    <w:p w14:paraId="2025C0EE" w14:textId="77777777" w:rsidR="00B06FCA" w:rsidRPr="00DF6EEE" w:rsidRDefault="00B06FCA" w:rsidP="00B06FCA">
      <w:pPr>
        <w:pStyle w:val="Bullet1"/>
      </w:pPr>
      <w:r w:rsidRPr="00DF6EEE">
        <w:rPr>
          <w:b/>
          <w:bCs/>
        </w:rPr>
        <w:t>Regulatory Burden</w:t>
      </w:r>
      <w:r w:rsidRPr="00DF6EEE">
        <w:t>: the total regulatory burden on the regulated community over 10 years, annualised.</w:t>
      </w:r>
    </w:p>
    <w:p w14:paraId="2C4CB13B" w14:textId="7EF4B728" w:rsidR="000B6B80" w:rsidRDefault="00BD79E0" w:rsidP="0044668C">
      <w:pPr>
        <w:pStyle w:val="Bullet1"/>
        <w:numPr>
          <w:ilvl w:val="0"/>
          <w:numId w:val="0"/>
        </w:numPr>
      </w:pPr>
      <w:r>
        <w:t xml:space="preserve">Consultations with key state and territory stakeholders informed the weightings allocated to each </w:t>
      </w:r>
      <w:r w:rsidR="0074714B">
        <w:t>criterion</w:t>
      </w:r>
      <w:r>
        <w:t xml:space="preserve"> listed in the MCA. </w:t>
      </w:r>
      <w:r w:rsidR="000B6B80">
        <w:t>A 40% weighting was placed on the</w:t>
      </w:r>
      <w:r w:rsidRPr="00F52CC4">
        <w:t xml:space="preserve"> achievement of success </w:t>
      </w:r>
      <w:r w:rsidR="000B6B80">
        <w:t>criterion as a high value was placed on</w:t>
      </w:r>
      <w:r w:rsidR="00B2544A" w:rsidRPr="00B2544A">
        <w:t xml:space="preserve"> ensuring the policy option selected is facilitating achievement of positive health outcomes (e.g., timelier detection of weak signals)</w:t>
      </w:r>
      <w:r w:rsidR="003537E3">
        <w:t>, improved patient safety, and compliance with legislative requirements</w:t>
      </w:r>
      <w:r w:rsidR="0044668C">
        <w:t xml:space="preserve">. </w:t>
      </w:r>
    </w:p>
    <w:p w14:paraId="025D8ABF" w14:textId="5FE40978" w:rsidR="00C3659A" w:rsidRPr="00C3659A" w:rsidRDefault="000B6B80" w:rsidP="00C3659A">
      <w:r w:rsidRPr="00C3659A">
        <w:t>The</w:t>
      </w:r>
      <w:r w:rsidR="00BD79E0" w:rsidRPr="00C3659A">
        <w:t xml:space="preserve"> regulatory burden criteri</w:t>
      </w:r>
      <w:r w:rsidRPr="00C3659A">
        <w:t>on</w:t>
      </w:r>
      <w:r w:rsidR="00BD79E0" w:rsidRPr="00C3659A">
        <w:t xml:space="preserve"> </w:t>
      </w:r>
      <w:r w:rsidR="0044668C" w:rsidRPr="00C3659A">
        <w:t xml:space="preserve">was </w:t>
      </w:r>
      <w:r w:rsidRPr="00C3659A">
        <w:t xml:space="preserve">also </w:t>
      </w:r>
      <w:r w:rsidR="0044668C" w:rsidRPr="00C3659A">
        <w:t>weighted highly at</w:t>
      </w:r>
      <w:r w:rsidR="00BD79E0" w:rsidRPr="00C3659A">
        <w:t xml:space="preserve"> 40</w:t>
      </w:r>
      <w:r w:rsidR="0044668C" w:rsidRPr="00C3659A">
        <w:t>%</w:t>
      </w:r>
      <w:r w:rsidR="00E3343D" w:rsidRPr="00C3659A">
        <w:t xml:space="preserve">. </w:t>
      </w:r>
      <w:r w:rsidR="003537E3">
        <w:t xml:space="preserve">Minimising regulatory burden is critical for practical implementation of and compliance with the scheme. A high weighting aligns with </w:t>
      </w:r>
      <w:r w:rsidR="00C3659A" w:rsidRPr="00C3659A">
        <w:t>discussions with stakeholders, that a large number of healthcare facilities in the regulated population have limited resources and are concerned about resourcing pressure through introduction of excessive reporting requirements.</w:t>
      </w:r>
    </w:p>
    <w:p w14:paraId="1E723791" w14:textId="763E464C" w:rsidR="00BD79E0" w:rsidRDefault="000B6B80" w:rsidP="00B2544A">
      <w:pPr>
        <w:pStyle w:val="Bullet1"/>
        <w:numPr>
          <w:ilvl w:val="0"/>
          <w:numId w:val="0"/>
        </w:numPr>
      </w:pPr>
      <w:r>
        <w:t>A</w:t>
      </w:r>
      <w:r w:rsidR="00BD79E0" w:rsidRPr="00FF4D99">
        <w:t xml:space="preserve"> 20% weighting was applied to the overall benefit and cost </w:t>
      </w:r>
      <w:r w:rsidR="008721F7">
        <w:t>across affected populations</w:t>
      </w:r>
      <w:r>
        <w:t xml:space="preserve"> as</w:t>
      </w:r>
      <w:r w:rsidR="00E3343D">
        <w:t xml:space="preserve"> </w:t>
      </w:r>
      <w:r w:rsidR="00C3659A">
        <w:t xml:space="preserve">it is </w:t>
      </w:r>
      <w:r w:rsidR="00C3659A" w:rsidRPr="00D346FC">
        <w:t xml:space="preserve">deemed an important consideration but </w:t>
      </w:r>
      <w:r w:rsidR="00D346FC">
        <w:t>considered secondary to achieving success criteria</w:t>
      </w:r>
      <w:r w:rsidR="00C3659A" w:rsidRPr="00D346FC">
        <w:t>.</w:t>
      </w:r>
      <w:r w:rsidR="00D346FC">
        <w:t xml:space="preserve"> A lower weighting is considered appropriate because stakeholders </w:t>
      </w:r>
      <w:r w:rsidR="003537E3">
        <w:t>recognised</w:t>
      </w:r>
      <w:r w:rsidR="00D346FC">
        <w:t xml:space="preserve"> that initial costs </w:t>
      </w:r>
      <w:r w:rsidR="003537E3">
        <w:t>may</w:t>
      </w:r>
      <w:r w:rsidR="00D346FC">
        <w:t xml:space="preserve"> be high, </w:t>
      </w:r>
      <w:r w:rsidR="003537E3">
        <w:t>but</w:t>
      </w:r>
      <w:r w:rsidR="00D346FC">
        <w:t xml:space="preserve"> the longer-term benefits, such as improved healthcare outcomes, justify the investment. </w:t>
      </w:r>
      <w:r w:rsidR="00C3659A">
        <w:t xml:space="preserve"> </w:t>
      </w:r>
      <w:r>
        <w:t xml:space="preserve"> </w:t>
      </w:r>
    </w:p>
    <w:p w14:paraId="6367365D" w14:textId="12A7A133" w:rsidR="00B06FCA" w:rsidRDefault="00781F21" w:rsidP="00B06FCA">
      <w:r>
        <w:t>The table</w:t>
      </w:r>
      <w:r w:rsidR="00B06FCA" w:rsidRPr="00DF6EEE">
        <w:t xml:space="preserve"> below </w:t>
      </w:r>
      <w:r w:rsidR="00FB1AA8">
        <w:t>summarises</w:t>
      </w:r>
      <w:r w:rsidR="00B06FCA" w:rsidRPr="00DF6EEE">
        <w:t xml:space="preserve"> the weighting of each criterion, and the relative ranking for each policy option and sub option against said criterion. These rankings are informed by an aggregation of both qualitative and qualitative data and have been averaged to provide an overall ranking of options. </w:t>
      </w:r>
      <w:r w:rsidR="00054753">
        <w:t xml:space="preserve">Option 3A </w:t>
      </w:r>
      <w:r w:rsidR="009466F3">
        <w:t xml:space="preserve">has an overall ranking of 1 </w:t>
      </w:r>
      <w:r w:rsidR="007E4136">
        <w:t xml:space="preserve">(i.e. preferred option) </w:t>
      </w:r>
      <w:r w:rsidR="009466F3">
        <w:t>based on the MCA criteria.</w:t>
      </w:r>
      <w:r w:rsidR="006928FF">
        <w:t xml:space="preserve"> </w:t>
      </w:r>
      <w:r w:rsidR="00FB1AA8">
        <w:t>F</w:t>
      </w:r>
      <w:r w:rsidR="00A812DA">
        <w:t xml:space="preserve">urther explanation </w:t>
      </w:r>
      <w:r w:rsidR="000C4047">
        <w:t>across the d</w:t>
      </w:r>
      <w:r w:rsidR="000B67DE">
        <w:t>ifferent policy options and rankings can be found in Appendix A.</w:t>
      </w:r>
    </w:p>
    <w:p w14:paraId="0FAA8118" w14:textId="77777777" w:rsidR="003F1844" w:rsidRPr="00DF6EEE" w:rsidRDefault="003F1844" w:rsidP="00B06FCA"/>
    <w:p w14:paraId="099D67B4" w14:textId="0E1CB8D7" w:rsidR="00B06FCA" w:rsidRDefault="00B06FCA" w:rsidP="00B06FCA">
      <w:pPr>
        <w:pStyle w:val="Caption"/>
      </w:pPr>
      <w:r w:rsidRPr="00DF6EEE">
        <w:t xml:space="preserve">Table </w:t>
      </w:r>
      <w:r w:rsidR="005A7699">
        <w:t>9</w:t>
      </w:r>
      <w:r w:rsidRPr="00DF6EEE">
        <w:t>: MCA Criteria, Weightings and Rankings Across Policy Options</w:t>
      </w:r>
    </w:p>
    <w:tbl>
      <w:tblPr>
        <w:tblStyle w:val="GridTable2-Accent1"/>
        <w:tblW w:w="0" w:type="auto"/>
        <w:tblLayout w:type="fixed"/>
        <w:tblLook w:val="04A0" w:firstRow="1" w:lastRow="0" w:firstColumn="1" w:lastColumn="0" w:noHBand="0" w:noVBand="1"/>
      </w:tblPr>
      <w:tblGrid>
        <w:gridCol w:w="1843"/>
        <w:gridCol w:w="1146"/>
        <w:gridCol w:w="862"/>
        <w:gridCol w:w="862"/>
        <w:gridCol w:w="863"/>
        <w:gridCol w:w="862"/>
        <w:gridCol w:w="863"/>
        <w:gridCol w:w="862"/>
        <w:gridCol w:w="863"/>
      </w:tblGrid>
      <w:tr w:rsidR="00147487" w:rsidRPr="000A4874" w14:paraId="6DE813A5" w14:textId="77777777" w:rsidTr="005E2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C43F821" w14:textId="77777777" w:rsidR="00147487" w:rsidRPr="000A4874" w:rsidRDefault="00147487" w:rsidP="005E2DE9">
            <w:pPr>
              <w:spacing w:after="120" w:line="259" w:lineRule="auto"/>
              <w:rPr>
                <w:color w:val="000000" w:themeColor="text1"/>
              </w:rPr>
            </w:pPr>
            <w:r>
              <w:rPr>
                <w:color w:val="000000" w:themeColor="text1"/>
              </w:rPr>
              <w:t>MCA Criteria</w:t>
            </w:r>
          </w:p>
        </w:tc>
        <w:tc>
          <w:tcPr>
            <w:tcW w:w="1146" w:type="dxa"/>
            <w:vAlign w:val="center"/>
          </w:tcPr>
          <w:p w14:paraId="6692F549" w14:textId="05206921" w:rsidR="00147487" w:rsidRPr="00E525AD"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C3A45">
              <w:rPr>
                <w:color w:val="000000" w:themeColor="text1"/>
                <w:sz w:val="16"/>
                <w:szCs w:val="16"/>
              </w:rPr>
              <w:t>Weighting</w:t>
            </w:r>
            <w:r w:rsidR="00DA7A52">
              <w:rPr>
                <w:color w:val="000000" w:themeColor="text1"/>
                <w:sz w:val="16"/>
                <w:szCs w:val="16"/>
              </w:rPr>
              <w:t xml:space="preserve"> %</w:t>
            </w:r>
          </w:p>
        </w:tc>
        <w:tc>
          <w:tcPr>
            <w:tcW w:w="862" w:type="dxa"/>
            <w:vAlign w:val="center"/>
          </w:tcPr>
          <w:p w14:paraId="2ED8CF8E" w14:textId="77777777" w:rsidR="00147487" w:rsidRPr="00E525AD"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525AD">
              <w:rPr>
                <w:color w:val="000000" w:themeColor="text1"/>
              </w:rPr>
              <w:t>1</w:t>
            </w:r>
          </w:p>
        </w:tc>
        <w:tc>
          <w:tcPr>
            <w:tcW w:w="862" w:type="dxa"/>
            <w:vAlign w:val="center"/>
          </w:tcPr>
          <w:p w14:paraId="4E9F52DA" w14:textId="77777777" w:rsidR="00147487" w:rsidRPr="00E525AD"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525AD">
              <w:rPr>
                <w:color w:val="000000" w:themeColor="text1"/>
              </w:rPr>
              <w:t>2A</w:t>
            </w:r>
          </w:p>
        </w:tc>
        <w:tc>
          <w:tcPr>
            <w:tcW w:w="863" w:type="dxa"/>
            <w:vAlign w:val="center"/>
          </w:tcPr>
          <w:p w14:paraId="513A4DFC" w14:textId="77777777" w:rsidR="00147487" w:rsidRPr="00E525AD"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525AD">
              <w:rPr>
                <w:color w:val="000000" w:themeColor="text1"/>
              </w:rPr>
              <w:t>2B</w:t>
            </w:r>
          </w:p>
        </w:tc>
        <w:tc>
          <w:tcPr>
            <w:tcW w:w="862" w:type="dxa"/>
            <w:shd w:val="clear" w:color="auto" w:fill="B3E5A1" w:themeFill="accent6" w:themeFillTint="66"/>
            <w:vAlign w:val="center"/>
          </w:tcPr>
          <w:p w14:paraId="44CE9FC1" w14:textId="77777777" w:rsidR="00147487" w:rsidRPr="00197F98" w:rsidRDefault="00147487" w:rsidP="005E2DE9">
            <w:pPr>
              <w:jc w:val="center"/>
              <w:cnfStyle w:val="100000000000" w:firstRow="1" w:lastRow="0" w:firstColumn="0" w:lastColumn="0" w:oddVBand="0" w:evenVBand="0" w:oddHBand="0" w:evenHBand="0" w:firstRowFirstColumn="0" w:firstRowLastColumn="0" w:lastRowFirstColumn="0" w:lastRowLastColumn="0"/>
            </w:pPr>
            <w:r w:rsidRPr="00197F98">
              <w:t>3A</w:t>
            </w:r>
          </w:p>
        </w:tc>
        <w:tc>
          <w:tcPr>
            <w:tcW w:w="863" w:type="dxa"/>
            <w:vAlign w:val="center"/>
          </w:tcPr>
          <w:p w14:paraId="45D37579" w14:textId="77777777" w:rsidR="00147487" w:rsidRPr="00E525AD"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525AD">
              <w:rPr>
                <w:color w:val="000000" w:themeColor="text1"/>
              </w:rPr>
              <w:t>3B</w:t>
            </w:r>
          </w:p>
        </w:tc>
        <w:tc>
          <w:tcPr>
            <w:tcW w:w="862" w:type="dxa"/>
            <w:vAlign w:val="center"/>
          </w:tcPr>
          <w:p w14:paraId="5C4E6BF0" w14:textId="77777777" w:rsidR="00147487" w:rsidRPr="00E525AD"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525AD">
              <w:rPr>
                <w:color w:val="000000" w:themeColor="text1"/>
              </w:rPr>
              <w:t>4A</w:t>
            </w:r>
          </w:p>
        </w:tc>
        <w:tc>
          <w:tcPr>
            <w:tcW w:w="863" w:type="dxa"/>
            <w:vAlign w:val="center"/>
          </w:tcPr>
          <w:p w14:paraId="478FACE1" w14:textId="77777777" w:rsidR="00147487" w:rsidRPr="000A4874" w:rsidRDefault="00147487" w:rsidP="005E2DE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4B</w:t>
            </w:r>
          </w:p>
        </w:tc>
      </w:tr>
      <w:tr w:rsidR="00147487" w:rsidRPr="000A4874" w14:paraId="5B530476" w14:textId="77777777" w:rsidTr="005E2D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B468DF5" w14:textId="77777777" w:rsidR="00147487" w:rsidRPr="000A4874" w:rsidRDefault="00147487" w:rsidP="005E2DE9">
            <w:pPr>
              <w:spacing w:after="120" w:line="240" w:lineRule="atLeast"/>
              <w:rPr>
                <w:rFonts w:eastAsia="Cambria" w:cs="Times New Roman"/>
                <w:b w:val="0"/>
                <w:bCs w:val="0"/>
                <w:color w:val="000000" w:themeColor="text1"/>
                <w:sz w:val="16"/>
                <w:szCs w:val="16"/>
              </w:rPr>
            </w:pPr>
            <w:r w:rsidRPr="003C3A45">
              <w:rPr>
                <w:rFonts w:eastAsia="Cambria" w:cs="Times New Roman"/>
                <w:b w:val="0"/>
                <w:bCs w:val="0"/>
                <w:color w:val="000000" w:themeColor="text1"/>
                <w:sz w:val="16"/>
                <w:szCs w:val="16"/>
              </w:rPr>
              <w:t>Achievement of Success Criteria</w:t>
            </w:r>
          </w:p>
        </w:tc>
        <w:tc>
          <w:tcPr>
            <w:tcW w:w="1146" w:type="dxa"/>
            <w:vAlign w:val="center"/>
          </w:tcPr>
          <w:p w14:paraId="5CC0FB4B" w14:textId="77777777" w:rsidR="00147487" w:rsidRPr="003C3A45"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40%</w:t>
            </w:r>
          </w:p>
        </w:tc>
        <w:tc>
          <w:tcPr>
            <w:tcW w:w="862" w:type="dxa"/>
            <w:vAlign w:val="center"/>
          </w:tcPr>
          <w:p w14:paraId="72755FDC"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7</w:t>
            </w:r>
          </w:p>
        </w:tc>
        <w:tc>
          <w:tcPr>
            <w:tcW w:w="862" w:type="dxa"/>
            <w:vAlign w:val="center"/>
          </w:tcPr>
          <w:p w14:paraId="1BEB5F2E"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6</w:t>
            </w:r>
          </w:p>
        </w:tc>
        <w:tc>
          <w:tcPr>
            <w:tcW w:w="863" w:type="dxa"/>
            <w:vAlign w:val="center"/>
          </w:tcPr>
          <w:p w14:paraId="2FAF1CB0"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5</w:t>
            </w:r>
          </w:p>
        </w:tc>
        <w:tc>
          <w:tcPr>
            <w:tcW w:w="862" w:type="dxa"/>
            <w:shd w:val="clear" w:color="auto" w:fill="B3E5A1" w:themeFill="accent6" w:themeFillTint="66"/>
            <w:vAlign w:val="center"/>
          </w:tcPr>
          <w:p w14:paraId="6BEC4F85" w14:textId="77777777" w:rsidR="00147487" w:rsidRPr="00197F98" w:rsidRDefault="00147487" w:rsidP="005E2DE9">
            <w:pPr>
              <w:jc w:val="center"/>
              <w:cnfStyle w:val="000000100000" w:firstRow="0" w:lastRow="0" w:firstColumn="0" w:lastColumn="0" w:oddVBand="0" w:evenVBand="0" w:oddHBand="1" w:evenHBand="0" w:firstRowFirstColumn="0" w:firstRowLastColumn="0" w:lastRowFirstColumn="0" w:lastRowLastColumn="0"/>
              <w:rPr>
                <w:sz w:val="16"/>
                <w:szCs w:val="16"/>
              </w:rPr>
            </w:pPr>
            <w:r w:rsidRPr="00197F98">
              <w:rPr>
                <w:sz w:val="16"/>
                <w:szCs w:val="16"/>
              </w:rPr>
              <w:t>4</w:t>
            </w:r>
          </w:p>
        </w:tc>
        <w:tc>
          <w:tcPr>
            <w:tcW w:w="863" w:type="dxa"/>
            <w:vAlign w:val="center"/>
          </w:tcPr>
          <w:p w14:paraId="63B39B5F"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3</w:t>
            </w:r>
          </w:p>
        </w:tc>
        <w:tc>
          <w:tcPr>
            <w:tcW w:w="862" w:type="dxa"/>
            <w:vAlign w:val="center"/>
          </w:tcPr>
          <w:p w14:paraId="7C5C87AA"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2</w:t>
            </w:r>
          </w:p>
        </w:tc>
        <w:tc>
          <w:tcPr>
            <w:tcW w:w="863" w:type="dxa"/>
            <w:vAlign w:val="center"/>
          </w:tcPr>
          <w:p w14:paraId="04CD8424" w14:textId="77777777" w:rsidR="00147487" w:rsidRPr="000A4874"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1</w:t>
            </w:r>
          </w:p>
        </w:tc>
      </w:tr>
      <w:tr w:rsidR="00147487" w:rsidRPr="000A4874" w14:paraId="23D2AD5C" w14:textId="77777777" w:rsidTr="005E2DE9">
        <w:trPr>
          <w:trHeight w:val="454"/>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ADF033A" w14:textId="77777777" w:rsidR="00147487" w:rsidRPr="000A4874" w:rsidRDefault="00147487" w:rsidP="005E2DE9">
            <w:pPr>
              <w:spacing w:line="240" w:lineRule="atLeast"/>
              <w:ind w:left="360" w:hanging="360"/>
              <w:rPr>
                <w:rFonts w:eastAsia="Cambria" w:cs="Times New Roman"/>
                <w:b w:val="0"/>
                <w:bCs w:val="0"/>
                <w:color w:val="000000" w:themeColor="text1"/>
                <w:sz w:val="16"/>
                <w:szCs w:val="16"/>
              </w:rPr>
            </w:pPr>
            <w:r w:rsidRPr="003C3A45">
              <w:rPr>
                <w:rFonts w:eastAsia="Cambria" w:cs="Times New Roman"/>
                <w:b w:val="0"/>
                <w:bCs w:val="0"/>
                <w:color w:val="000000" w:themeColor="text1"/>
                <w:sz w:val="16"/>
                <w:szCs w:val="16"/>
              </w:rPr>
              <w:t>Benefits and Cost</w:t>
            </w:r>
          </w:p>
        </w:tc>
        <w:tc>
          <w:tcPr>
            <w:tcW w:w="1146" w:type="dxa"/>
            <w:vAlign w:val="center"/>
          </w:tcPr>
          <w:p w14:paraId="788B922C" w14:textId="77777777" w:rsidR="00147487" w:rsidRPr="003C3A45"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20%</w:t>
            </w:r>
          </w:p>
        </w:tc>
        <w:tc>
          <w:tcPr>
            <w:tcW w:w="862" w:type="dxa"/>
            <w:vAlign w:val="center"/>
          </w:tcPr>
          <w:p w14:paraId="1D73947A"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D371B">
              <w:rPr>
                <w:sz w:val="16"/>
                <w:szCs w:val="16"/>
              </w:rPr>
              <w:t>7</w:t>
            </w:r>
          </w:p>
        </w:tc>
        <w:tc>
          <w:tcPr>
            <w:tcW w:w="862" w:type="dxa"/>
            <w:vAlign w:val="center"/>
          </w:tcPr>
          <w:p w14:paraId="7613D4C6"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D371B">
              <w:rPr>
                <w:sz w:val="16"/>
                <w:szCs w:val="16"/>
              </w:rPr>
              <w:t>5</w:t>
            </w:r>
          </w:p>
        </w:tc>
        <w:tc>
          <w:tcPr>
            <w:tcW w:w="863" w:type="dxa"/>
            <w:vAlign w:val="center"/>
          </w:tcPr>
          <w:p w14:paraId="71D6A291"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D371B">
              <w:rPr>
                <w:sz w:val="16"/>
                <w:szCs w:val="16"/>
              </w:rPr>
              <w:t>6</w:t>
            </w:r>
          </w:p>
        </w:tc>
        <w:tc>
          <w:tcPr>
            <w:tcW w:w="862" w:type="dxa"/>
            <w:shd w:val="clear" w:color="auto" w:fill="B3E5A1" w:themeFill="accent6" w:themeFillTint="66"/>
            <w:vAlign w:val="center"/>
          </w:tcPr>
          <w:p w14:paraId="52279195" w14:textId="77777777" w:rsidR="00147487" w:rsidRPr="00197F98" w:rsidRDefault="00147487" w:rsidP="005E2DE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97F98">
              <w:rPr>
                <w:sz w:val="16"/>
                <w:szCs w:val="16"/>
              </w:rPr>
              <w:t>1</w:t>
            </w:r>
          </w:p>
        </w:tc>
        <w:tc>
          <w:tcPr>
            <w:tcW w:w="863" w:type="dxa"/>
            <w:vAlign w:val="center"/>
          </w:tcPr>
          <w:p w14:paraId="5308D32D"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D371B">
              <w:rPr>
                <w:sz w:val="16"/>
                <w:szCs w:val="16"/>
              </w:rPr>
              <w:t>4</w:t>
            </w:r>
          </w:p>
        </w:tc>
        <w:tc>
          <w:tcPr>
            <w:tcW w:w="862" w:type="dxa"/>
            <w:vAlign w:val="center"/>
          </w:tcPr>
          <w:p w14:paraId="149A3B38"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D371B">
              <w:rPr>
                <w:sz w:val="16"/>
                <w:szCs w:val="16"/>
              </w:rPr>
              <w:t>2</w:t>
            </w:r>
          </w:p>
        </w:tc>
        <w:tc>
          <w:tcPr>
            <w:tcW w:w="863" w:type="dxa"/>
            <w:vAlign w:val="center"/>
          </w:tcPr>
          <w:p w14:paraId="7BDE8CF6" w14:textId="77777777" w:rsidR="00147487" w:rsidRPr="000A4874" w:rsidRDefault="00147487" w:rsidP="005E2DE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D371B">
              <w:rPr>
                <w:sz w:val="16"/>
                <w:szCs w:val="16"/>
              </w:rPr>
              <w:t>3</w:t>
            </w:r>
          </w:p>
        </w:tc>
      </w:tr>
      <w:tr w:rsidR="00147487" w:rsidRPr="000A4874" w14:paraId="2B3551CB" w14:textId="77777777" w:rsidTr="005E2D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4515CCA" w14:textId="77777777" w:rsidR="00147487" w:rsidRPr="000A4874" w:rsidRDefault="00147487" w:rsidP="005E2DE9">
            <w:pPr>
              <w:spacing w:line="240" w:lineRule="atLeast"/>
              <w:ind w:left="360" w:hanging="360"/>
              <w:rPr>
                <w:rFonts w:eastAsia="Cambria" w:cs="Times New Roman"/>
                <w:b w:val="0"/>
                <w:bCs w:val="0"/>
                <w:color w:val="000000" w:themeColor="text1"/>
                <w:sz w:val="16"/>
                <w:szCs w:val="16"/>
              </w:rPr>
            </w:pPr>
            <w:r w:rsidRPr="003C3A45">
              <w:rPr>
                <w:rFonts w:eastAsia="Cambria" w:cs="Times New Roman"/>
                <w:b w:val="0"/>
                <w:bCs w:val="0"/>
                <w:color w:val="000000" w:themeColor="text1"/>
                <w:sz w:val="16"/>
                <w:szCs w:val="16"/>
              </w:rPr>
              <w:t>Regulatory Burden</w:t>
            </w:r>
          </w:p>
        </w:tc>
        <w:tc>
          <w:tcPr>
            <w:tcW w:w="1146" w:type="dxa"/>
            <w:vAlign w:val="center"/>
          </w:tcPr>
          <w:p w14:paraId="20619E55" w14:textId="77777777" w:rsidR="00147487" w:rsidRPr="003C3A45"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40%</w:t>
            </w:r>
          </w:p>
        </w:tc>
        <w:tc>
          <w:tcPr>
            <w:tcW w:w="862" w:type="dxa"/>
            <w:vAlign w:val="center"/>
          </w:tcPr>
          <w:p w14:paraId="5C03DA66"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1</w:t>
            </w:r>
          </w:p>
        </w:tc>
        <w:tc>
          <w:tcPr>
            <w:tcW w:w="862" w:type="dxa"/>
            <w:vAlign w:val="center"/>
          </w:tcPr>
          <w:p w14:paraId="1ADE6BC0"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2</w:t>
            </w:r>
          </w:p>
        </w:tc>
        <w:tc>
          <w:tcPr>
            <w:tcW w:w="863" w:type="dxa"/>
            <w:vAlign w:val="center"/>
          </w:tcPr>
          <w:p w14:paraId="61D85F6B"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3</w:t>
            </w:r>
          </w:p>
        </w:tc>
        <w:tc>
          <w:tcPr>
            <w:tcW w:w="862" w:type="dxa"/>
            <w:shd w:val="clear" w:color="auto" w:fill="B3E5A1" w:themeFill="accent6" w:themeFillTint="66"/>
            <w:vAlign w:val="center"/>
          </w:tcPr>
          <w:p w14:paraId="44D16E54" w14:textId="77777777" w:rsidR="00147487" w:rsidRPr="00197F98" w:rsidRDefault="00147487" w:rsidP="005E2DE9">
            <w:pPr>
              <w:jc w:val="center"/>
              <w:cnfStyle w:val="000000100000" w:firstRow="0" w:lastRow="0" w:firstColumn="0" w:lastColumn="0" w:oddVBand="0" w:evenVBand="0" w:oddHBand="1" w:evenHBand="0" w:firstRowFirstColumn="0" w:firstRowLastColumn="0" w:lastRowFirstColumn="0" w:lastRowLastColumn="0"/>
              <w:rPr>
                <w:sz w:val="16"/>
                <w:szCs w:val="16"/>
              </w:rPr>
            </w:pPr>
            <w:r w:rsidRPr="00197F98">
              <w:rPr>
                <w:sz w:val="16"/>
                <w:szCs w:val="16"/>
              </w:rPr>
              <w:t>4</w:t>
            </w:r>
          </w:p>
        </w:tc>
        <w:tc>
          <w:tcPr>
            <w:tcW w:w="863" w:type="dxa"/>
            <w:vAlign w:val="center"/>
          </w:tcPr>
          <w:p w14:paraId="318259EB"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5</w:t>
            </w:r>
          </w:p>
        </w:tc>
        <w:tc>
          <w:tcPr>
            <w:tcW w:w="862" w:type="dxa"/>
            <w:vAlign w:val="center"/>
          </w:tcPr>
          <w:p w14:paraId="70C05832" w14:textId="77777777" w:rsidR="00147487" w:rsidRPr="001D371B"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6</w:t>
            </w:r>
          </w:p>
        </w:tc>
        <w:tc>
          <w:tcPr>
            <w:tcW w:w="863" w:type="dxa"/>
            <w:vAlign w:val="center"/>
          </w:tcPr>
          <w:p w14:paraId="1E046F7A" w14:textId="77777777" w:rsidR="00147487" w:rsidRPr="000A4874" w:rsidRDefault="00147487" w:rsidP="005E2DE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D371B">
              <w:rPr>
                <w:sz w:val="16"/>
                <w:szCs w:val="16"/>
              </w:rPr>
              <w:t>7</w:t>
            </w:r>
          </w:p>
        </w:tc>
      </w:tr>
      <w:tr w:rsidR="00147487" w:rsidRPr="000A4874" w14:paraId="6C7228E7" w14:textId="77777777" w:rsidTr="005E2DE9">
        <w:trPr>
          <w:trHeight w:val="454"/>
        </w:trPr>
        <w:tc>
          <w:tcPr>
            <w:cnfStyle w:val="001000000000" w:firstRow="0" w:lastRow="0" w:firstColumn="1" w:lastColumn="0" w:oddVBand="0" w:evenVBand="0" w:oddHBand="0" w:evenHBand="0" w:firstRowFirstColumn="0" w:firstRowLastColumn="0" w:lastRowFirstColumn="0" w:lastRowLastColumn="0"/>
            <w:tcW w:w="1843" w:type="dxa"/>
            <w:shd w:val="clear" w:color="auto" w:fill="0E2841" w:themeFill="text2"/>
            <w:vAlign w:val="center"/>
          </w:tcPr>
          <w:p w14:paraId="378FB49C" w14:textId="77777777" w:rsidR="00147487" w:rsidRPr="001D371B" w:rsidRDefault="00147487" w:rsidP="005E2DE9">
            <w:pPr>
              <w:spacing w:line="240" w:lineRule="atLeast"/>
              <w:ind w:left="360" w:hanging="360"/>
              <w:rPr>
                <w:rFonts w:eastAsia="Cambria" w:cs="Times New Roman"/>
                <w:b w:val="0"/>
                <w:bCs w:val="0"/>
                <w:color w:val="FFFFFF" w:themeColor="background1"/>
                <w:sz w:val="16"/>
                <w:szCs w:val="16"/>
              </w:rPr>
            </w:pPr>
            <w:r>
              <w:rPr>
                <w:rFonts w:eastAsia="Cambria" w:cs="Times New Roman"/>
                <w:color w:val="FFFFFF" w:themeColor="background1"/>
                <w:sz w:val="16"/>
                <w:szCs w:val="16"/>
              </w:rPr>
              <w:t>Average Ranking</w:t>
            </w:r>
          </w:p>
        </w:tc>
        <w:tc>
          <w:tcPr>
            <w:tcW w:w="1146" w:type="dxa"/>
            <w:shd w:val="clear" w:color="auto" w:fill="0E2841" w:themeFill="text2"/>
            <w:vAlign w:val="center"/>
          </w:tcPr>
          <w:p w14:paraId="1F1092AD" w14:textId="77777777" w:rsidR="00147487" w:rsidRPr="003C3A45"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p>
        </w:tc>
        <w:tc>
          <w:tcPr>
            <w:tcW w:w="862" w:type="dxa"/>
            <w:shd w:val="clear" w:color="auto" w:fill="0E2841" w:themeFill="text2"/>
            <w:vAlign w:val="center"/>
          </w:tcPr>
          <w:p w14:paraId="59D7ADB2"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1D371B">
              <w:rPr>
                <w:color w:val="FFFFFF" w:themeColor="background1"/>
                <w:sz w:val="16"/>
                <w:szCs w:val="16"/>
              </w:rPr>
              <w:t>4.60</w:t>
            </w:r>
          </w:p>
        </w:tc>
        <w:tc>
          <w:tcPr>
            <w:tcW w:w="862" w:type="dxa"/>
            <w:shd w:val="clear" w:color="auto" w:fill="0E2841" w:themeFill="text2"/>
            <w:vAlign w:val="center"/>
          </w:tcPr>
          <w:p w14:paraId="422F5E01"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1D371B">
              <w:rPr>
                <w:color w:val="FFFFFF" w:themeColor="background1"/>
                <w:sz w:val="16"/>
                <w:szCs w:val="16"/>
              </w:rPr>
              <w:t>4.20</w:t>
            </w:r>
          </w:p>
        </w:tc>
        <w:tc>
          <w:tcPr>
            <w:tcW w:w="863" w:type="dxa"/>
            <w:shd w:val="clear" w:color="auto" w:fill="0E2841" w:themeFill="text2"/>
            <w:vAlign w:val="center"/>
          </w:tcPr>
          <w:p w14:paraId="2E362C20"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1D371B">
              <w:rPr>
                <w:color w:val="FFFFFF" w:themeColor="background1"/>
                <w:sz w:val="16"/>
                <w:szCs w:val="16"/>
              </w:rPr>
              <w:t>4.40</w:t>
            </w:r>
          </w:p>
        </w:tc>
        <w:tc>
          <w:tcPr>
            <w:tcW w:w="862" w:type="dxa"/>
            <w:shd w:val="clear" w:color="auto" w:fill="B3E5A1" w:themeFill="accent6" w:themeFillTint="66"/>
            <w:vAlign w:val="center"/>
          </w:tcPr>
          <w:p w14:paraId="6F478058" w14:textId="77777777" w:rsidR="00147487" w:rsidRPr="00197F98" w:rsidRDefault="00147487" w:rsidP="005E2DE9">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197F98">
              <w:rPr>
                <w:sz w:val="16"/>
                <w:szCs w:val="16"/>
              </w:rPr>
              <w:t>3.40</w:t>
            </w:r>
          </w:p>
        </w:tc>
        <w:tc>
          <w:tcPr>
            <w:tcW w:w="863" w:type="dxa"/>
            <w:shd w:val="clear" w:color="auto" w:fill="0E2841" w:themeFill="text2"/>
            <w:vAlign w:val="center"/>
          </w:tcPr>
          <w:p w14:paraId="25139D11"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1D371B">
              <w:rPr>
                <w:color w:val="FFFFFF" w:themeColor="background1"/>
                <w:sz w:val="16"/>
                <w:szCs w:val="16"/>
              </w:rPr>
              <w:t>4.00</w:t>
            </w:r>
          </w:p>
        </w:tc>
        <w:tc>
          <w:tcPr>
            <w:tcW w:w="862" w:type="dxa"/>
            <w:shd w:val="clear" w:color="auto" w:fill="0E2841" w:themeFill="text2"/>
            <w:vAlign w:val="center"/>
          </w:tcPr>
          <w:p w14:paraId="7C7D5AA2"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1D371B">
              <w:rPr>
                <w:color w:val="FFFFFF" w:themeColor="background1"/>
                <w:sz w:val="16"/>
                <w:szCs w:val="16"/>
              </w:rPr>
              <w:t>3.60</w:t>
            </w:r>
          </w:p>
        </w:tc>
        <w:tc>
          <w:tcPr>
            <w:tcW w:w="863" w:type="dxa"/>
            <w:shd w:val="clear" w:color="auto" w:fill="0E2841" w:themeFill="text2"/>
            <w:vAlign w:val="center"/>
          </w:tcPr>
          <w:p w14:paraId="700AE14D" w14:textId="77777777" w:rsidR="00147487" w:rsidRPr="001D371B" w:rsidRDefault="00147487" w:rsidP="005E2DE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1D371B">
              <w:rPr>
                <w:color w:val="FFFFFF" w:themeColor="background1"/>
                <w:sz w:val="16"/>
                <w:szCs w:val="16"/>
              </w:rPr>
              <w:t>3.80</w:t>
            </w:r>
          </w:p>
        </w:tc>
      </w:tr>
      <w:tr w:rsidR="00147487" w:rsidRPr="000A4874" w14:paraId="690A1C02" w14:textId="77777777" w:rsidTr="005E2D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shd w:val="clear" w:color="auto" w:fill="071320" w:themeFill="text2" w:themeFillShade="80"/>
            <w:vAlign w:val="center"/>
          </w:tcPr>
          <w:p w14:paraId="72980F57" w14:textId="77777777" w:rsidR="00147487" w:rsidRPr="000A4874" w:rsidRDefault="00147487" w:rsidP="005E2DE9">
            <w:pPr>
              <w:spacing w:line="240" w:lineRule="atLeast"/>
              <w:ind w:left="360" w:hanging="360"/>
              <w:rPr>
                <w:rFonts w:eastAsia="Cambria" w:cs="Times New Roman"/>
                <w:color w:val="FFFFFF" w:themeColor="background1"/>
                <w:sz w:val="16"/>
                <w:szCs w:val="16"/>
              </w:rPr>
            </w:pPr>
            <w:r w:rsidRPr="00E525AD">
              <w:rPr>
                <w:rFonts w:eastAsia="Cambria" w:cs="Times New Roman"/>
                <w:color w:val="FFFFFF" w:themeColor="background1"/>
                <w:sz w:val="16"/>
                <w:szCs w:val="16"/>
              </w:rPr>
              <w:t>Overall Ranking</w:t>
            </w:r>
          </w:p>
        </w:tc>
        <w:tc>
          <w:tcPr>
            <w:tcW w:w="1146" w:type="dxa"/>
            <w:shd w:val="clear" w:color="auto" w:fill="071320" w:themeFill="text2" w:themeFillShade="80"/>
            <w:vAlign w:val="center"/>
          </w:tcPr>
          <w:p w14:paraId="4E916C53" w14:textId="77777777" w:rsidR="00147487" w:rsidRPr="00E525AD"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p>
        </w:tc>
        <w:tc>
          <w:tcPr>
            <w:tcW w:w="862" w:type="dxa"/>
            <w:shd w:val="clear" w:color="auto" w:fill="071320" w:themeFill="text2" w:themeFillShade="80"/>
            <w:vAlign w:val="center"/>
          </w:tcPr>
          <w:p w14:paraId="3BF57F66" w14:textId="77777777" w:rsidR="00147487" w:rsidRPr="00E525AD"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Pr>
                <w:b/>
                <w:bCs/>
                <w:color w:val="FFFFFF" w:themeColor="background1"/>
                <w:sz w:val="16"/>
                <w:szCs w:val="16"/>
              </w:rPr>
              <w:t>7</w:t>
            </w:r>
          </w:p>
        </w:tc>
        <w:tc>
          <w:tcPr>
            <w:tcW w:w="862" w:type="dxa"/>
            <w:shd w:val="clear" w:color="auto" w:fill="071320" w:themeFill="text2" w:themeFillShade="80"/>
            <w:vAlign w:val="center"/>
          </w:tcPr>
          <w:p w14:paraId="54253E53" w14:textId="77777777" w:rsidR="00147487" w:rsidRPr="00E525AD"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Pr>
                <w:b/>
                <w:bCs/>
                <w:color w:val="FFFFFF" w:themeColor="background1"/>
                <w:sz w:val="16"/>
                <w:szCs w:val="16"/>
              </w:rPr>
              <w:t>5</w:t>
            </w:r>
          </w:p>
        </w:tc>
        <w:tc>
          <w:tcPr>
            <w:tcW w:w="863" w:type="dxa"/>
            <w:shd w:val="clear" w:color="auto" w:fill="071320" w:themeFill="text2" w:themeFillShade="80"/>
            <w:vAlign w:val="center"/>
          </w:tcPr>
          <w:p w14:paraId="33D4E0ED" w14:textId="77777777" w:rsidR="00147487" w:rsidRPr="00E525AD"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Pr>
                <w:b/>
                <w:bCs/>
                <w:color w:val="FFFFFF" w:themeColor="background1"/>
                <w:sz w:val="16"/>
                <w:szCs w:val="16"/>
              </w:rPr>
              <w:t>6</w:t>
            </w:r>
          </w:p>
        </w:tc>
        <w:tc>
          <w:tcPr>
            <w:tcW w:w="862" w:type="dxa"/>
            <w:shd w:val="clear" w:color="auto" w:fill="B3E5A1" w:themeFill="accent6" w:themeFillTint="66"/>
            <w:vAlign w:val="center"/>
          </w:tcPr>
          <w:p w14:paraId="08C5B7B9" w14:textId="77777777" w:rsidR="00147487" w:rsidRPr="00197F98" w:rsidRDefault="00147487" w:rsidP="005E2DE9">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197F98">
              <w:rPr>
                <w:b/>
                <w:bCs/>
                <w:sz w:val="16"/>
                <w:szCs w:val="16"/>
              </w:rPr>
              <w:t>1</w:t>
            </w:r>
          </w:p>
        </w:tc>
        <w:tc>
          <w:tcPr>
            <w:tcW w:w="863" w:type="dxa"/>
            <w:shd w:val="clear" w:color="auto" w:fill="071320" w:themeFill="text2" w:themeFillShade="80"/>
            <w:vAlign w:val="center"/>
          </w:tcPr>
          <w:p w14:paraId="2425DC98" w14:textId="77777777" w:rsidR="00147487" w:rsidRPr="00E525AD"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Pr>
                <w:b/>
                <w:bCs/>
                <w:color w:val="FFFFFF" w:themeColor="background1"/>
                <w:sz w:val="16"/>
                <w:szCs w:val="16"/>
              </w:rPr>
              <w:t>4</w:t>
            </w:r>
          </w:p>
        </w:tc>
        <w:tc>
          <w:tcPr>
            <w:tcW w:w="862" w:type="dxa"/>
            <w:shd w:val="clear" w:color="auto" w:fill="071320" w:themeFill="text2" w:themeFillShade="80"/>
            <w:vAlign w:val="center"/>
          </w:tcPr>
          <w:p w14:paraId="5B8C8963" w14:textId="77777777" w:rsidR="00147487" w:rsidRPr="00E525AD"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Pr>
                <w:b/>
                <w:bCs/>
                <w:color w:val="FFFFFF" w:themeColor="background1"/>
                <w:sz w:val="16"/>
                <w:szCs w:val="16"/>
              </w:rPr>
              <w:t>2</w:t>
            </w:r>
          </w:p>
        </w:tc>
        <w:tc>
          <w:tcPr>
            <w:tcW w:w="863" w:type="dxa"/>
            <w:shd w:val="clear" w:color="auto" w:fill="071320" w:themeFill="text2" w:themeFillShade="80"/>
            <w:vAlign w:val="center"/>
          </w:tcPr>
          <w:p w14:paraId="397F7075" w14:textId="77777777" w:rsidR="00147487" w:rsidRPr="000A4874" w:rsidRDefault="00147487" w:rsidP="005E2DE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Pr>
                <w:b/>
                <w:bCs/>
                <w:color w:val="FFFFFF" w:themeColor="background1"/>
                <w:sz w:val="16"/>
                <w:szCs w:val="16"/>
              </w:rPr>
              <w:t>3</w:t>
            </w:r>
          </w:p>
        </w:tc>
      </w:tr>
    </w:tbl>
    <w:p w14:paraId="45367778" w14:textId="1F01D6F8" w:rsidR="006B45BA" w:rsidRDefault="006B45BA">
      <w:pPr>
        <w:rPr>
          <w:rFonts w:eastAsia="Cambria" w:cs="Arial"/>
          <w:b/>
          <w:bCs/>
          <w:color w:val="001871"/>
          <w:sz w:val="28"/>
          <w:szCs w:val="26"/>
        </w:rPr>
      </w:pPr>
    </w:p>
    <w:p w14:paraId="1FCB7986" w14:textId="78E0DD93" w:rsidR="00D742D5" w:rsidRDefault="00190600" w:rsidP="00190600">
      <w:pPr>
        <w:pStyle w:val="Heading4"/>
      </w:pPr>
      <w:r>
        <w:t>The Regulatory Burden Measurement</w:t>
      </w:r>
    </w:p>
    <w:p w14:paraId="6DAB3C97" w14:textId="7BFA719F" w:rsidR="0053632B" w:rsidRDefault="00D742D5" w:rsidP="004259BA">
      <w:r>
        <w:t>The</w:t>
      </w:r>
      <w:r w:rsidR="0053632B">
        <w:t xml:space="preserve"> Regulatory Burden Measurement Framework (the Framework) has been applied to each option outlined in the Impact Analysis </w:t>
      </w:r>
      <w:r w:rsidR="0053632B" w:rsidRPr="00403A07">
        <w:t xml:space="preserve">(see </w:t>
      </w:r>
      <w:hyperlink w:anchor="_Appendix_B:_Regulatory" w:history="1">
        <w:r w:rsidR="007C088C">
          <w:rPr>
            <w:rStyle w:val="Hyperlink"/>
          </w:rPr>
          <w:t>Appendix B</w:t>
        </w:r>
      </w:hyperlink>
      <w:r w:rsidR="0053632B" w:rsidRPr="00403A07">
        <w:t>).</w:t>
      </w:r>
    </w:p>
    <w:p w14:paraId="67568D64" w14:textId="1FF6C413" w:rsidR="0053632B" w:rsidRDefault="0053632B" w:rsidP="004259BA">
      <w:r>
        <w:lastRenderedPageBreak/>
        <w:t>The Framework follows the guidelines provided by the Office of Impact Analysis</w:t>
      </w:r>
      <w:r w:rsidR="003A7092">
        <w:rPr>
          <w:rStyle w:val="FootnoteReference"/>
        </w:rPr>
        <w:footnoteReference w:id="71"/>
      </w:r>
      <w:r>
        <w:t xml:space="preserve">. The regulatory burden measurements are </w:t>
      </w:r>
      <w:r w:rsidR="002A4ADB">
        <w:t>calculated</w:t>
      </w:r>
      <w:r>
        <w:t xml:space="preserve"> on a ten-year basis. Costs are presented on an average per year bas</w:t>
      </w:r>
      <w:r w:rsidR="002A4ADB">
        <w:t>i</w:t>
      </w:r>
      <w:r>
        <w:t>s</w:t>
      </w:r>
      <w:r w:rsidR="00DA4C15">
        <w:t>, with on</w:t>
      </w:r>
      <w:r w:rsidR="00B7652D">
        <w:t>e</w:t>
      </w:r>
      <w:r w:rsidR="00DA4C15">
        <w:t>-tenth of the initial start-up costs added to the expected ongoing annual regulatory burden costs to provide the annual average cost that is expected for the first ten years</w:t>
      </w:r>
      <w:r w:rsidR="000B5595">
        <w:t xml:space="preserve">. A range of assumptions </w:t>
      </w:r>
      <w:r w:rsidR="00712292">
        <w:t>are</w:t>
      </w:r>
      <w:r w:rsidR="000B5595">
        <w:t xml:space="preserve"> used as model inputs. Many of the key assumptions are the same between measures.</w:t>
      </w:r>
    </w:p>
    <w:p w14:paraId="4D878075" w14:textId="5F79E0B7" w:rsidR="00DF5EA7" w:rsidRDefault="000C75B5" w:rsidP="00DF5EA7">
      <w:r>
        <w:t xml:space="preserve">The regulatory burden </w:t>
      </w:r>
      <w:r w:rsidR="001913A5">
        <w:t>estimates</w:t>
      </w:r>
      <w:r>
        <w:t xml:space="preserve"> depend upon </w:t>
      </w:r>
      <w:r w:rsidR="001913A5">
        <w:t>publicly</w:t>
      </w:r>
      <w:r>
        <w:t xml:space="preserve"> available data and externa</w:t>
      </w:r>
      <w:r w:rsidR="00285C0E">
        <w:t>l</w:t>
      </w:r>
      <w:r w:rsidR="00AF782A">
        <w:t xml:space="preserve"> (third party) perspectives on how the proposed regulations w</w:t>
      </w:r>
      <w:r w:rsidR="007152DC">
        <w:t>ould</w:t>
      </w:r>
      <w:r w:rsidR="00AF782A">
        <w:t xml:space="preserve"> impact upon the</w:t>
      </w:r>
      <w:r w:rsidR="00F0386D">
        <w:t xml:space="preserve"> potential</w:t>
      </w:r>
      <w:r w:rsidR="00AF782A">
        <w:t xml:space="preserve"> reporting populations </w:t>
      </w:r>
      <w:r w:rsidR="00F0386D">
        <w:t>(i.e., public</w:t>
      </w:r>
      <w:r w:rsidR="00DF5EA7" w:rsidRPr="00DF5EA7">
        <w:t xml:space="preserve"> </w:t>
      </w:r>
      <w:r w:rsidR="00DF5EA7">
        <w:t>and private hospitals and approved residential aged care providers).</w:t>
      </w:r>
      <w:r w:rsidR="006466AD">
        <w:t xml:space="preserve"> T</w:t>
      </w:r>
      <w:r w:rsidR="006466AD" w:rsidRPr="5A711C47">
        <w:t>he preferred option will have a $</w:t>
      </w:r>
      <w:r w:rsidR="006466AD">
        <w:t>1.66 million</w:t>
      </w:r>
      <w:r w:rsidR="006466AD" w:rsidRPr="5A711C47">
        <w:t xml:space="preserve"> cost to public hospitals, as per </w:t>
      </w:r>
      <w:r w:rsidR="00D30EFC">
        <w:t>F</w:t>
      </w:r>
      <w:r w:rsidR="006466AD" w:rsidRPr="5A711C47">
        <w:t xml:space="preserve">igure </w:t>
      </w:r>
      <w:r w:rsidR="006466AD">
        <w:t>1</w:t>
      </w:r>
      <w:r w:rsidR="00D346FC">
        <w:t>2</w:t>
      </w:r>
      <w:r w:rsidR="006466AD" w:rsidRPr="5A711C47">
        <w:t>. These costs have been excluded from the RBE calculation in alignment with the IA Framework which states only costs to individuals, businesses and community org</w:t>
      </w:r>
      <w:r w:rsidR="006466AD">
        <w:t>anisations</w:t>
      </w:r>
      <w:r w:rsidR="006466AD" w:rsidRPr="5A711C47">
        <w:t xml:space="preserve"> are included in the RBE</w:t>
      </w:r>
      <w:r w:rsidR="006466AD">
        <w:t>.</w:t>
      </w:r>
    </w:p>
    <w:p w14:paraId="0F6D2129" w14:textId="31ACAE96" w:rsidR="00D346FC" w:rsidRDefault="00FB6A7B" w:rsidP="004259BA">
      <w:pPr>
        <w:rPr>
          <w:noProof/>
        </w:rPr>
      </w:pPr>
      <w:r w:rsidRPr="00FB6A7B">
        <w:rPr>
          <w:noProof/>
        </w:rPr>
        <w:t xml:space="preserve"> </w:t>
      </w:r>
    </w:p>
    <w:p w14:paraId="599AA26E" w14:textId="2D7188B5" w:rsidR="00D346FC" w:rsidRPr="008F47FF" w:rsidRDefault="00D346FC" w:rsidP="00D346FC">
      <w:pPr>
        <w:pStyle w:val="Caption"/>
        <w:rPr>
          <w:noProof/>
        </w:rPr>
      </w:pPr>
      <w:r>
        <w:t xml:space="preserve">Figure 11 - </w:t>
      </w:r>
      <w:r w:rsidRPr="00066323">
        <w:t xml:space="preserve">annualised average cost of new regulations on </w:t>
      </w:r>
      <w:r>
        <w:t xml:space="preserve">private </w:t>
      </w:r>
      <w:r w:rsidRPr="00066323">
        <w:t>stakeholder groups</w:t>
      </w:r>
      <w:r>
        <w:t xml:space="preserve"> (from business as usual 10-year avg, $million)</w:t>
      </w:r>
    </w:p>
    <w:p w14:paraId="5D15338F" w14:textId="6C9424CA" w:rsidR="000C75B5" w:rsidRPr="004259BA" w:rsidRDefault="00FB6A7B" w:rsidP="004259BA">
      <w:r>
        <w:rPr>
          <w:noProof/>
          <w:lang w:eastAsia="en-AU"/>
        </w:rPr>
        <w:drawing>
          <wp:inline distT="0" distB="0" distL="0" distR="0" wp14:anchorId="5F5B33AE" wp14:editId="46F1EA2A">
            <wp:extent cx="6262908" cy="838200"/>
            <wp:effectExtent l="0" t="0" r="5080" b="0"/>
            <wp:docPr id="1817489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89209" name="Picture 1" descr="A screenshot of a computer&#10;&#10;Description automatically generated"/>
                    <pic:cNvPicPr/>
                  </pic:nvPicPr>
                  <pic:blipFill>
                    <a:blip r:embed="rId30"/>
                    <a:stretch>
                      <a:fillRect/>
                    </a:stretch>
                  </pic:blipFill>
                  <pic:spPr>
                    <a:xfrm>
                      <a:off x="0" y="0"/>
                      <a:ext cx="6270359" cy="839197"/>
                    </a:xfrm>
                    <a:prstGeom prst="rect">
                      <a:avLst/>
                    </a:prstGeom>
                  </pic:spPr>
                </pic:pic>
              </a:graphicData>
            </a:graphic>
          </wp:inline>
        </w:drawing>
      </w:r>
    </w:p>
    <w:p w14:paraId="42539099" w14:textId="77777777" w:rsidR="00AD4CD3" w:rsidRPr="00AD4CD3" w:rsidRDefault="00AD4CD3" w:rsidP="00AD4CD3">
      <w:bookmarkStart w:id="156" w:name="_Toc156382754"/>
      <w:bookmarkStart w:id="157" w:name="_Toc156375147"/>
      <w:bookmarkStart w:id="158" w:name="_Toc156375155"/>
    </w:p>
    <w:p w14:paraId="5686593B" w14:textId="6FBA4DA7" w:rsidR="00FB6A7B" w:rsidRPr="00DF6EEE" w:rsidRDefault="00CE2647" w:rsidP="00DF6EEE">
      <w:pPr>
        <w:rPr>
          <w:color w:val="44546A"/>
        </w:rPr>
      </w:pPr>
      <w:r w:rsidRPr="00A85D51">
        <w:rPr>
          <w:color w:val="44546A"/>
        </w:rPr>
        <w:t xml:space="preserve">Figure </w:t>
      </w:r>
      <w:r w:rsidR="005610BE" w:rsidRPr="00A85D51">
        <w:rPr>
          <w:color w:val="44546A"/>
        </w:rPr>
        <w:t>1</w:t>
      </w:r>
      <w:r w:rsidR="00D346FC" w:rsidRPr="00A85D51">
        <w:rPr>
          <w:color w:val="44546A"/>
        </w:rPr>
        <w:t>2</w:t>
      </w:r>
      <w:r w:rsidRPr="00A85D51">
        <w:rPr>
          <w:color w:val="44546A"/>
        </w:rPr>
        <w:t xml:space="preserve"> - annualised average cost of new regulations on the public sector</w:t>
      </w:r>
      <w:r w:rsidR="009777E2" w:rsidRPr="00A85D51">
        <w:rPr>
          <w:rStyle w:val="FootnoteReference"/>
          <w:color w:val="44546A"/>
        </w:rPr>
        <w:footnoteReference w:id="72"/>
      </w:r>
      <w:r w:rsidRPr="00A85D51">
        <w:rPr>
          <w:color w:val="44546A"/>
        </w:rPr>
        <w:t xml:space="preserve"> </w:t>
      </w:r>
      <w:r w:rsidR="00666E6D" w:rsidRPr="00A85D51">
        <w:rPr>
          <w:color w:val="44546A"/>
        </w:rPr>
        <w:t xml:space="preserve">in $million </w:t>
      </w:r>
      <w:r w:rsidRPr="00A85D51">
        <w:rPr>
          <w:color w:val="44546A"/>
        </w:rPr>
        <w:t>(excluded from Regulatory Burden Estimate (RBE)</w:t>
      </w:r>
    </w:p>
    <w:p w14:paraId="4994EED9" w14:textId="5941F574" w:rsidR="00006A79" w:rsidRDefault="00FB6A7B" w:rsidP="00F32E53">
      <w:pPr>
        <w:pStyle w:val="Caption"/>
        <w:keepNext/>
      </w:pPr>
      <w:r>
        <w:rPr>
          <w:noProof/>
          <w:lang w:eastAsia="en-AU"/>
        </w:rPr>
        <w:drawing>
          <wp:inline distT="0" distB="0" distL="0" distR="0" wp14:anchorId="38D555CD" wp14:editId="27D8F091">
            <wp:extent cx="6238875" cy="716787"/>
            <wp:effectExtent l="0" t="0" r="0" b="7620"/>
            <wp:docPr id="2959615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61555" name="Picture 1" descr="A screenshot of a computer&#10;&#10;Description automatically generated"/>
                    <pic:cNvPicPr/>
                  </pic:nvPicPr>
                  <pic:blipFill>
                    <a:blip r:embed="rId31"/>
                    <a:stretch>
                      <a:fillRect/>
                    </a:stretch>
                  </pic:blipFill>
                  <pic:spPr>
                    <a:xfrm>
                      <a:off x="0" y="0"/>
                      <a:ext cx="6263873" cy="719659"/>
                    </a:xfrm>
                    <a:prstGeom prst="rect">
                      <a:avLst/>
                    </a:prstGeom>
                  </pic:spPr>
                </pic:pic>
              </a:graphicData>
            </a:graphic>
          </wp:inline>
        </w:drawing>
      </w:r>
    </w:p>
    <w:p w14:paraId="1E4D33E8" w14:textId="7E7E2D18" w:rsidR="002412C5" w:rsidRDefault="00403A07" w:rsidP="00905122">
      <w:pPr>
        <w:pStyle w:val="Caption"/>
        <w:rPr>
          <w:rFonts w:eastAsia="Times New Roman" w:cs="Times New Roman"/>
          <w:b/>
          <w:bCs/>
          <w:color w:val="001871"/>
          <w:sz w:val="32"/>
          <w:szCs w:val="32"/>
        </w:rPr>
      </w:pPr>
      <w:r w:rsidRPr="00403A07">
        <w:t xml:space="preserve"> </w:t>
      </w:r>
      <w:r w:rsidR="002412C5">
        <w:br w:type="page"/>
      </w:r>
    </w:p>
    <w:p w14:paraId="393C4BB2" w14:textId="1230C4AD" w:rsidR="00BD1B30" w:rsidRDefault="006008AA" w:rsidP="0079175B">
      <w:pPr>
        <w:pStyle w:val="Heading3"/>
        <w:rPr>
          <w:color w:val="FFFFFF" w:themeColor="background1"/>
        </w:rPr>
      </w:pPr>
      <w:bookmarkStart w:id="159" w:name="_Toc179531324"/>
      <w:bookmarkStart w:id="160" w:name="_Toc188012873"/>
      <w:r>
        <w:rPr>
          <w:noProof/>
          <w:color w:val="FFFFFF" w:themeColor="background1"/>
          <w:lang w:eastAsia="en-AU"/>
        </w:rPr>
        <w:lastRenderedPageBreak/>
        <w:drawing>
          <wp:anchor distT="0" distB="0" distL="114300" distR="114300" simplePos="0" relativeHeight="251653632" behindDoc="0" locked="0" layoutInCell="1" allowOverlap="1" wp14:anchorId="504A8A97" wp14:editId="33259F99">
            <wp:simplePos x="0" y="0"/>
            <wp:positionH relativeFrom="margin">
              <wp:align>right</wp:align>
            </wp:positionH>
            <wp:positionV relativeFrom="paragraph">
              <wp:posOffset>-7636</wp:posOffset>
            </wp:positionV>
            <wp:extent cx="6450330" cy="567055"/>
            <wp:effectExtent l="0" t="0" r="7620" b="4445"/>
            <wp:wrapNone/>
            <wp:docPr id="17984472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0330" cy="567055"/>
                    </a:xfrm>
                    <a:prstGeom prst="rect">
                      <a:avLst/>
                    </a:prstGeom>
                    <a:noFill/>
                  </pic:spPr>
                </pic:pic>
              </a:graphicData>
            </a:graphic>
          </wp:anchor>
        </w:drawing>
      </w:r>
      <w:r w:rsidR="00D41BB2" w:rsidRPr="00422DE8">
        <w:rPr>
          <w:color w:val="FFFFFF" w:themeColor="background1"/>
        </w:rPr>
        <w:t>Option 1: Maintaining the status quo</w:t>
      </w:r>
      <w:bookmarkEnd w:id="156"/>
      <w:bookmarkEnd w:id="159"/>
      <w:bookmarkEnd w:id="160"/>
    </w:p>
    <w:p w14:paraId="46FE414A" w14:textId="77777777" w:rsidR="006008AA" w:rsidRDefault="006008AA" w:rsidP="006008AA"/>
    <w:p w14:paraId="73CDDBBA" w14:textId="77777777" w:rsidR="006008AA" w:rsidRPr="006008AA" w:rsidRDefault="006008AA" w:rsidP="00422DE8"/>
    <w:p w14:paraId="70C86F4A" w14:textId="77777777" w:rsidR="002D0E33" w:rsidRDefault="002D0E33" w:rsidP="002D0E33">
      <w:r>
        <w:t>Option 1, maintenance of the status quo would see:</w:t>
      </w:r>
    </w:p>
    <w:p w14:paraId="771C9C99" w14:textId="494E3033" w:rsidR="00D93E2A" w:rsidRPr="00D93E2A" w:rsidRDefault="00D93E2A" w:rsidP="00582F14">
      <w:pPr>
        <w:pStyle w:val="Bullet1"/>
      </w:pPr>
      <w:r w:rsidRPr="00D93E2A">
        <w:t xml:space="preserve">the amendments to the </w:t>
      </w:r>
      <w:r w:rsidRPr="00F737EA">
        <w:rPr>
          <w:i/>
          <w:iCs/>
        </w:rPr>
        <w:t xml:space="preserve">Therapeutic Goods Act </w:t>
      </w:r>
      <w:r w:rsidR="00F737EA" w:rsidRPr="00F737EA">
        <w:rPr>
          <w:i/>
          <w:iCs/>
        </w:rPr>
        <w:t>1989</w:t>
      </w:r>
      <w:r w:rsidR="00F737EA">
        <w:t xml:space="preserve"> </w:t>
      </w:r>
      <w:r w:rsidRPr="00D93E2A">
        <w:t>are not implemented; and thus</w:t>
      </w:r>
    </w:p>
    <w:p w14:paraId="04CD92A3" w14:textId="0158A601" w:rsidR="002412C5" w:rsidRDefault="00D93E2A" w:rsidP="00D93E2A">
      <w:pPr>
        <w:pStyle w:val="Bullet1"/>
      </w:pPr>
      <w:r w:rsidRPr="00D93E2A">
        <w:t>there is no requirement for healthcare facilities to report adverse events relating to medical devices</w:t>
      </w:r>
      <w:r>
        <w:t>.</w:t>
      </w:r>
    </w:p>
    <w:p w14:paraId="607DC7F0" w14:textId="0B47A924" w:rsidR="00BD1B30" w:rsidRPr="005936EA" w:rsidRDefault="00BD1B30" w:rsidP="0079175B">
      <w:pPr>
        <w:pStyle w:val="Heading5"/>
      </w:pPr>
      <w:r w:rsidRPr="0079175B">
        <w:t>Benefits</w:t>
      </w:r>
    </w:p>
    <w:p w14:paraId="7AC0BF94" w14:textId="7C1AE4B0" w:rsidR="00BD1B30" w:rsidRDefault="0065702D" w:rsidP="0079175B">
      <w:bookmarkStart w:id="161" w:name="_Toc156375148"/>
      <w:r>
        <w:t xml:space="preserve">The benefits tied to maintaining the status </w:t>
      </w:r>
      <w:r w:rsidR="00B9281B">
        <w:t xml:space="preserve">quo </w:t>
      </w:r>
      <w:r>
        <w:t xml:space="preserve">would </w:t>
      </w:r>
      <w:r w:rsidR="00625D0C">
        <w:t xml:space="preserve">primarily </w:t>
      </w:r>
      <w:r w:rsidR="00EB16D6">
        <w:t>relat</w:t>
      </w:r>
      <w:r w:rsidR="00625D0C">
        <w:t>e</w:t>
      </w:r>
      <w:r w:rsidR="00EB16D6">
        <w:t xml:space="preserve"> to the </w:t>
      </w:r>
      <w:r w:rsidR="00625D0C">
        <w:t xml:space="preserve">lower </w:t>
      </w:r>
      <w:r w:rsidR="00EB16D6">
        <w:t>regulatory impost on the reporting populations</w:t>
      </w:r>
      <w:r>
        <w:t>.</w:t>
      </w:r>
      <w:r w:rsidR="00EB16D6">
        <w:t xml:space="preserve"> Should the </w:t>
      </w:r>
      <w:r w:rsidR="001334FB">
        <w:t xml:space="preserve">status quo be maintained, </w:t>
      </w:r>
      <w:r w:rsidR="007042B5">
        <w:t>the TGA</w:t>
      </w:r>
      <w:r w:rsidR="00DC2211">
        <w:t xml:space="preserve"> would not be able</w:t>
      </w:r>
      <w:r w:rsidR="007042B5">
        <w:t xml:space="preserve"> to enforce the legislation requiring </w:t>
      </w:r>
      <w:r w:rsidR="008B009B">
        <w:t>healthcare facilities (in particular, public and private hospitals)</w:t>
      </w:r>
      <w:r w:rsidR="007042B5">
        <w:t xml:space="preserve"> to </w:t>
      </w:r>
      <w:r w:rsidR="00E1419A">
        <w:t>mandatorily report on medical device adverse events</w:t>
      </w:r>
      <w:r w:rsidR="005478F4">
        <w:t>. Of the options proposed, this provides the lowest level of intervention, and thus the lowest cost on the regulated community</w:t>
      </w:r>
      <w:r w:rsidR="004F7FC3">
        <w:t>.</w:t>
      </w:r>
    </w:p>
    <w:p w14:paraId="3E98E42A" w14:textId="2459D68A" w:rsidR="00BD1B30" w:rsidRPr="00CA4C75" w:rsidRDefault="00BD1B30" w:rsidP="0079175B">
      <w:pPr>
        <w:pStyle w:val="Heading6"/>
      </w:pPr>
      <w:r>
        <w:t>Costs</w:t>
      </w:r>
      <w:bookmarkEnd w:id="161"/>
    </w:p>
    <w:p w14:paraId="4E30CBA8" w14:textId="26A81EE9" w:rsidR="005041E4" w:rsidRDefault="00F51CCB" w:rsidP="007F526A">
      <w:r>
        <w:t>As</w:t>
      </w:r>
      <w:r w:rsidR="002D0E33">
        <w:t xml:space="preserve"> noted, Option 1 </w:t>
      </w:r>
      <w:r w:rsidR="00B3200B">
        <w:t xml:space="preserve">proposes that the </w:t>
      </w:r>
      <w:r w:rsidR="00A33B78">
        <w:t xml:space="preserve">amendments </w:t>
      </w:r>
      <w:r w:rsidR="002D3A91">
        <w:t xml:space="preserve">outlined in the </w:t>
      </w:r>
      <w:r w:rsidR="002D3A91" w:rsidRPr="0079175B">
        <w:rPr>
          <w:i/>
          <w:iCs/>
        </w:rPr>
        <w:t>Therapeutic Goods Amendment (2022 Measures No. 1) Bill 2023</w:t>
      </w:r>
      <w:r w:rsidR="00A33B78">
        <w:rPr>
          <w:i/>
          <w:iCs/>
        </w:rPr>
        <w:t xml:space="preserve"> </w:t>
      </w:r>
      <w:r w:rsidR="00A33B78">
        <w:t xml:space="preserve">are not implemented, </w:t>
      </w:r>
      <w:r w:rsidR="002F4FED">
        <w:t>thus imposing no requirements on healthcare facilities to report medical device adverse events</w:t>
      </w:r>
      <w:r w:rsidR="0049645D">
        <w:t xml:space="preserve">. In addition, the system and process changes required to local incident management systems in healthcare facilities </w:t>
      </w:r>
      <w:r w:rsidR="009A25D3">
        <w:t>would not be developed, finalised or implemented.</w:t>
      </w:r>
      <w:r w:rsidR="000B492E">
        <w:t xml:space="preserve"> </w:t>
      </w:r>
      <w:r w:rsidR="009A25D3">
        <w:t>Without the regulations</w:t>
      </w:r>
      <w:r w:rsidR="00016DBF">
        <w:t>:</w:t>
      </w:r>
    </w:p>
    <w:p w14:paraId="05E1D284" w14:textId="4EBE1524" w:rsidR="001267A0" w:rsidRDefault="005041E4" w:rsidP="001267A0">
      <w:pPr>
        <w:pStyle w:val="Bullet1"/>
      </w:pPr>
      <w:r>
        <w:t>m</w:t>
      </w:r>
      <w:r w:rsidR="003F7FC0">
        <w:t xml:space="preserve">edical device adverse events would continue to be </w:t>
      </w:r>
      <w:r w:rsidR="001267A0">
        <w:t>underreported</w:t>
      </w:r>
    </w:p>
    <w:p w14:paraId="59E4E367" w14:textId="2B87AFF5" w:rsidR="007F526A" w:rsidRDefault="00950F65" w:rsidP="001615EC">
      <w:pPr>
        <w:pStyle w:val="Bullet1"/>
      </w:pPr>
      <w:r>
        <w:t xml:space="preserve">the </w:t>
      </w:r>
      <w:r w:rsidR="0009301B">
        <w:t>TGA’s capability to detect</w:t>
      </w:r>
      <w:r w:rsidR="005F13FA">
        <w:t xml:space="preserve"> weak signals relating to medical devices that pose a potential </w:t>
      </w:r>
      <w:r w:rsidR="006B1791">
        <w:t>health risk</w:t>
      </w:r>
      <w:r w:rsidR="00A06E41">
        <w:t xml:space="preserve"> would </w:t>
      </w:r>
      <w:r w:rsidR="002F4FED">
        <w:t>l</w:t>
      </w:r>
      <w:r w:rsidR="00A06E41">
        <w:t>ikely be un</w:t>
      </w:r>
      <w:r w:rsidR="005B02B8">
        <w:t>changed</w:t>
      </w:r>
    </w:p>
    <w:p w14:paraId="6F2DF521" w14:textId="77F0C342" w:rsidR="00C00AA0" w:rsidRDefault="005B02B8" w:rsidP="00275E7D">
      <w:pPr>
        <w:pStyle w:val="Bullet1"/>
      </w:pPr>
      <w:r>
        <w:t xml:space="preserve">a repeat of </w:t>
      </w:r>
      <w:r w:rsidR="00950F65">
        <w:t xml:space="preserve">significant </w:t>
      </w:r>
      <w:r w:rsidR="00D56A3B">
        <w:t xml:space="preserve">public health incidents, similar to those experienced in the </w:t>
      </w:r>
      <w:r w:rsidR="00532F26">
        <w:t>Uro</w:t>
      </w:r>
      <w:r w:rsidR="00635C2D">
        <w:t>gynaecological</w:t>
      </w:r>
      <w:r w:rsidR="00D56A3B">
        <w:t xml:space="preserve"> </w:t>
      </w:r>
      <w:r w:rsidR="00532F26">
        <w:t>M</w:t>
      </w:r>
      <w:r w:rsidR="00D56A3B">
        <w:t>esh</w:t>
      </w:r>
      <w:r w:rsidR="00CE1565">
        <w:t xml:space="preserve"> case</w:t>
      </w:r>
      <w:r>
        <w:t xml:space="preserve"> is possible</w:t>
      </w:r>
      <w:r w:rsidR="00CB55A8">
        <w:t>.</w:t>
      </w:r>
      <w:r w:rsidR="005B65EA">
        <w:rPr>
          <w:rStyle w:val="FootnoteReference"/>
        </w:rPr>
        <w:footnoteReference w:id="73"/>
      </w:r>
      <w:bookmarkStart w:id="162" w:name="_Toc156382755"/>
    </w:p>
    <w:p w14:paraId="539F7927" w14:textId="1FA2427C" w:rsidR="0092036F" w:rsidRDefault="0092036F" w:rsidP="00C00AA0">
      <w:r>
        <w:t xml:space="preserve">Each of these issues would raise significant reputational risks for the TGA and broader </w:t>
      </w:r>
      <w:r w:rsidR="000F43EB">
        <w:t>Department of Health, Disability and Ageing</w:t>
      </w:r>
      <w:r>
        <w:t>, and its ability to effectively regulate medical device safety</w:t>
      </w:r>
      <w:r w:rsidR="00361A31">
        <w:t>.</w:t>
      </w:r>
    </w:p>
    <w:p w14:paraId="3E973774" w14:textId="6414C1F7" w:rsidR="00EC7A4E" w:rsidRDefault="003D0B6A" w:rsidP="00C00AA0">
      <w:r>
        <w:t xml:space="preserve">The proliferation of these issues would have obvious impacts on patient safety </w:t>
      </w:r>
      <w:r w:rsidR="00A474B6">
        <w:t>outcomes but</w:t>
      </w:r>
      <w:r>
        <w:t xml:space="preserve"> would also have follow on </w:t>
      </w:r>
      <w:r w:rsidR="00A93581">
        <w:t>e</w:t>
      </w:r>
      <w:r>
        <w:t>ffects</w:t>
      </w:r>
      <w:r w:rsidR="00E45EC7">
        <w:t xml:space="preserve"> on other businesses, for example, medical indemnity insurers. </w:t>
      </w:r>
      <w:r w:rsidR="00A474B6" w:rsidRPr="00A474B6">
        <w:t>The lack of comprehensive reporting increases the likelihood of undiscovered issues leading to claims, which can result in</w:t>
      </w:r>
      <w:r w:rsidR="00EC7A4E">
        <w:t>:</w:t>
      </w:r>
    </w:p>
    <w:p w14:paraId="0DF75FBE" w14:textId="77777777" w:rsidR="00EC7A4E" w:rsidRDefault="00A474B6" w:rsidP="00EC7A4E">
      <w:pPr>
        <w:pStyle w:val="Bullet1"/>
      </w:pPr>
      <w:r w:rsidRPr="00A474B6">
        <w:t>higher payouts and increased premiums</w:t>
      </w:r>
    </w:p>
    <w:p w14:paraId="70C2C7EC" w14:textId="77777777" w:rsidR="00EC7A4E" w:rsidRDefault="00A474B6" w:rsidP="00EC7A4E">
      <w:pPr>
        <w:pStyle w:val="Bullet1"/>
      </w:pPr>
      <w:r w:rsidRPr="00A474B6">
        <w:t xml:space="preserve">greater financial risk due to the inability to accurately assess and price policies </w:t>
      </w:r>
    </w:p>
    <w:p w14:paraId="28455643" w14:textId="77777777" w:rsidR="000B492E" w:rsidRDefault="00A474B6" w:rsidP="00EC7A4E">
      <w:pPr>
        <w:pStyle w:val="Bullet1"/>
      </w:pPr>
      <w:r w:rsidRPr="00A474B6">
        <w:t>strain</w:t>
      </w:r>
      <w:r w:rsidR="00EC7A4E">
        <w:t>ing</w:t>
      </w:r>
      <w:r w:rsidRPr="00A474B6">
        <w:t xml:space="preserve"> insurer resources and necessitate more stringent underwriting practices.</w:t>
      </w:r>
      <w:r w:rsidR="00E45EC7">
        <w:t xml:space="preserve"> </w:t>
      </w:r>
    </w:p>
    <w:p w14:paraId="35A1AE91" w14:textId="77777777" w:rsidR="007D1D53" w:rsidRDefault="000B492E" w:rsidP="000B492E">
      <w:r w:rsidRPr="000B492E">
        <w:t xml:space="preserve">This option would come at a cost to Australian businesses, individuals and the community through on-going costs related to the failure to identify and quickly rectify issues with medical devices. </w:t>
      </w:r>
    </w:p>
    <w:p w14:paraId="334F424A" w14:textId="1DD95514" w:rsidR="00722C48" w:rsidRPr="00275E7D" w:rsidRDefault="000B492E" w:rsidP="00422DE8">
      <w:r w:rsidRPr="000B492E">
        <w:t xml:space="preserve">This option does not address the public health problem that has been identified and prevents the delivery of the Government’s policy objectives to strengthen patient safety and post-market monitoring of medical devices. </w:t>
      </w:r>
      <w:r w:rsidR="00722C48">
        <w:br w:type="page"/>
      </w:r>
    </w:p>
    <w:p w14:paraId="242AFFCA" w14:textId="091EB4C2" w:rsidR="00722C48" w:rsidRPr="00422DE8" w:rsidRDefault="006008AA" w:rsidP="00722C48">
      <w:pPr>
        <w:pStyle w:val="Heading3"/>
        <w:rPr>
          <w:color w:val="FFFFFF" w:themeColor="background1"/>
        </w:rPr>
      </w:pPr>
      <w:bookmarkStart w:id="163" w:name="_Toc179531325"/>
      <w:bookmarkStart w:id="164" w:name="_Toc188012874"/>
      <w:r>
        <w:rPr>
          <w:noProof/>
          <w:color w:val="FFFFFF" w:themeColor="background1"/>
          <w:lang w:eastAsia="en-AU"/>
        </w:rPr>
        <w:lastRenderedPageBreak/>
        <w:drawing>
          <wp:anchor distT="0" distB="0" distL="114300" distR="114300" simplePos="0" relativeHeight="251656704" behindDoc="0" locked="0" layoutInCell="1" allowOverlap="1" wp14:anchorId="36BB0F64" wp14:editId="3C871F43">
            <wp:simplePos x="0" y="0"/>
            <wp:positionH relativeFrom="column">
              <wp:posOffset>-629285</wp:posOffset>
            </wp:positionH>
            <wp:positionV relativeFrom="paragraph">
              <wp:posOffset>4255</wp:posOffset>
            </wp:positionV>
            <wp:extent cx="6474460" cy="2255520"/>
            <wp:effectExtent l="0" t="0" r="2540" b="0"/>
            <wp:wrapNone/>
            <wp:docPr id="14787771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4460" cy="2255520"/>
                    </a:xfrm>
                    <a:prstGeom prst="rect">
                      <a:avLst/>
                    </a:prstGeom>
                    <a:noFill/>
                  </pic:spPr>
                </pic:pic>
              </a:graphicData>
            </a:graphic>
          </wp:anchor>
        </w:drawing>
      </w:r>
      <w:r w:rsidR="00722C48" w:rsidRPr="00422DE8">
        <w:rPr>
          <w:color w:val="FFFFFF" w:themeColor="background1"/>
        </w:rPr>
        <w:t xml:space="preserve">Option 2: </w:t>
      </w:r>
      <w:r w:rsidR="00A03FCE" w:rsidRPr="00422DE8">
        <w:rPr>
          <w:color w:val="FFFFFF" w:themeColor="background1"/>
        </w:rPr>
        <w:t>Public and Private hospitals report adverse events relating to ‘high-risk’ medical devices</w:t>
      </w:r>
      <w:bookmarkEnd w:id="163"/>
      <w:bookmarkEnd w:id="164"/>
      <w:r w:rsidR="00A03FCE" w:rsidRPr="00422DE8" w:rsidDel="00A03FCE">
        <w:rPr>
          <w:color w:val="FFFFFF" w:themeColor="background1"/>
        </w:rPr>
        <w:t xml:space="preserve"> </w:t>
      </w:r>
    </w:p>
    <w:p w14:paraId="2C7BEF00" w14:textId="77777777" w:rsidR="006008AA" w:rsidRDefault="006008AA" w:rsidP="006008AA"/>
    <w:p w14:paraId="3A85E7F3" w14:textId="77777777" w:rsidR="006008AA" w:rsidRDefault="006008AA" w:rsidP="006008AA"/>
    <w:p w14:paraId="41087500" w14:textId="77777777" w:rsidR="006008AA" w:rsidRPr="006008AA" w:rsidRDefault="006008AA" w:rsidP="00422DE8"/>
    <w:p w14:paraId="0A46AE41" w14:textId="77777777" w:rsidR="006008AA" w:rsidRDefault="006008AA" w:rsidP="00AB0741"/>
    <w:p w14:paraId="0F3DEB47" w14:textId="77777777" w:rsidR="006008AA" w:rsidRDefault="006008AA" w:rsidP="00AB0741"/>
    <w:p w14:paraId="4831536B" w14:textId="77777777" w:rsidR="006008AA" w:rsidRDefault="006008AA" w:rsidP="00AB0741"/>
    <w:p w14:paraId="1D52EDD3" w14:textId="77777777" w:rsidR="006008AA" w:rsidRDefault="006008AA" w:rsidP="00AB0741"/>
    <w:p w14:paraId="4DDE9B47" w14:textId="77777777" w:rsidR="006008AA" w:rsidRDefault="006008AA" w:rsidP="00AB0741"/>
    <w:p w14:paraId="5233035A" w14:textId="09FCC090" w:rsidR="00AB0741" w:rsidRDefault="00745C57" w:rsidP="00AB0741">
      <w:r>
        <w:t xml:space="preserve">Option 2 seeks to </w:t>
      </w:r>
      <w:r w:rsidR="000C4465">
        <w:t xml:space="preserve">mandate medical device adverse event reporting for healthcare facilities, inclusive of public and private hospitals. </w:t>
      </w:r>
      <w:r w:rsidR="008D0A1D">
        <w:t>However, mandatory reporting is restricted to adverse events relating to devices</w:t>
      </w:r>
      <w:r w:rsidR="00992F20">
        <w:t xml:space="preserve"> </w:t>
      </w:r>
      <w:r w:rsidR="00833273">
        <w:t xml:space="preserve">deemed to be of high potential </w:t>
      </w:r>
      <w:r w:rsidR="004D3650">
        <w:t>harm</w:t>
      </w:r>
      <w:r w:rsidR="00833273">
        <w:t xml:space="preserve"> to public safety (i.e., those </w:t>
      </w:r>
      <w:r w:rsidR="00992F20">
        <w:t>classifie</w:t>
      </w:r>
      <w:r w:rsidR="00337924">
        <w:t>d</w:t>
      </w:r>
      <w:r w:rsidR="00992F20">
        <w:t xml:space="preserve"> as Class III</w:t>
      </w:r>
      <w:r w:rsidR="00BA65BE">
        <w:t>, AIMDs or Class 4 IVD</w:t>
      </w:r>
      <w:r w:rsidR="00992F20">
        <w:t xml:space="preserve"> </w:t>
      </w:r>
      <w:r w:rsidR="00833273">
        <w:t>medical devices)</w:t>
      </w:r>
      <w:r>
        <w:t xml:space="preserve"> </w:t>
      </w:r>
    </w:p>
    <w:p w14:paraId="74F5F2DC" w14:textId="50F98ECA" w:rsidR="00992F20" w:rsidRDefault="00A8602D" w:rsidP="00AB0741">
      <w:r>
        <w:t xml:space="preserve">Additionally, </w:t>
      </w:r>
      <w:r w:rsidR="00992F20">
        <w:t>Option 2 presents two sub-options:</w:t>
      </w:r>
    </w:p>
    <w:p w14:paraId="13E8E6D0" w14:textId="2B891B1F" w:rsidR="00992F20" w:rsidRDefault="00A8602D" w:rsidP="00992F20">
      <w:pPr>
        <w:pStyle w:val="Bullet1"/>
      </w:pPr>
      <w:r>
        <w:t xml:space="preserve">Option 2A </w:t>
      </w:r>
      <w:r w:rsidR="00495600">
        <w:t>–</w:t>
      </w:r>
      <w:r>
        <w:t xml:space="preserve"> </w:t>
      </w:r>
      <w:r w:rsidR="002C5FB8">
        <w:t>reporting medical device adverse events in batch; and</w:t>
      </w:r>
    </w:p>
    <w:p w14:paraId="1E724674" w14:textId="15FD8B91" w:rsidR="002C5FB8" w:rsidRPr="00AB0741" w:rsidRDefault="00A8602D" w:rsidP="0079175B">
      <w:pPr>
        <w:pStyle w:val="Bullet1"/>
      </w:pPr>
      <w:r>
        <w:t xml:space="preserve">Option 2B </w:t>
      </w:r>
      <w:r w:rsidR="00495600">
        <w:t>–</w:t>
      </w:r>
      <w:r>
        <w:t xml:space="preserve"> </w:t>
      </w:r>
      <w:r w:rsidR="002C5FB8">
        <w:t>reporting medical device adverse events on occurrence.</w:t>
      </w:r>
    </w:p>
    <w:p w14:paraId="53943CA9" w14:textId="77777777" w:rsidR="002E1A1F" w:rsidRDefault="002E1A1F" w:rsidP="004E21EF">
      <w:pPr>
        <w:pStyle w:val="Heading4"/>
      </w:pPr>
      <w:r>
        <w:t>Benefits</w:t>
      </w:r>
    </w:p>
    <w:p w14:paraId="78E80153" w14:textId="5E4E57A3" w:rsidR="002E1A1F" w:rsidRDefault="002E1A1F" w:rsidP="002E1A1F">
      <w:r>
        <w:t xml:space="preserve">The key benefit of </w:t>
      </w:r>
      <w:r w:rsidR="00992F20">
        <w:t>Option 2 (both 2A and 2B)</w:t>
      </w:r>
      <w:r>
        <w:t xml:space="preserve"> is that they would support earlier identification of, and response to, emerging medical device issues. </w:t>
      </w:r>
      <w:r w:rsidR="001514CE">
        <w:t>This</w:t>
      </w:r>
      <w:r>
        <w:t xml:space="preserve"> would enable the TGA to:</w:t>
      </w:r>
    </w:p>
    <w:p w14:paraId="7787B680" w14:textId="7E84EE0A" w:rsidR="002E1A1F" w:rsidRDefault="002E1A1F" w:rsidP="002E1A1F">
      <w:pPr>
        <w:pStyle w:val="Bullet1"/>
      </w:pPr>
      <w:r>
        <w:t>obtain a more rapid estimation of the frequency and severity of safety problems associated with particular medical devices</w:t>
      </w:r>
    </w:p>
    <w:p w14:paraId="2C713554" w14:textId="4CACF011" w:rsidR="002E1A1F" w:rsidRDefault="002E1A1F" w:rsidP="002E1A1F">
      <w:pPr>
        <w:pStyle w:val="Bullet1"/>
      </w:pPr>
      <w:r>
        <w:t>understand whether a broader range of safety or performance events with specific medical devices have occurred (that may not be known or reported by medical device sponsors or manufacturers)</w:t>
      </w:r>
    </w:p>
    <w:p w14:paraId="0E178F7E" w14:textId="21828E86" w:rsidR="002E1A1F" w:rsidRDefault="002E1A1F" w:rsidP="002E1A1F">
      <w:pPr>
        <w:pStyle w:val="Bullet1"/>
      </w:pPr>
      <w:r>
        <w:t>detect rarer events / weaker signals based upon more complete reporting</w:t>
      </w:r>
    </w:p>
    <w:p w14:paraId="38E87C30" w14:textId="77777777" w:rsidR="002E1A1F" w:rsidRDefault="002E1A1F" w:rsidP="002E1A1F">
      <w:pPr>
        <w:pStyle w:val="Bullet1"/>
      </w:pPr>
      <w:r>
        <w:t>inform consumers and health professionals about emerging areas of concern to enable earlier action.</w:t>
      </w:r>
    </w:p>
    <w:p w14:paraId="49F105BE" w14:textId="570D42F1" w:rsidR="002E1A1F" w:rsidRDefault="002E1A1F" w:rsidP="002E1A1F">
      <w:r>
        <w:t>More broadly, they would:</w:t>
      </w:r>
    </w:p>
    <w:p w14:paraId="3E762EBA" w14:textId="28A2760F" w:rsidR="002E1A1F" w:rsidRDefault="002E1A1F" w:rsidP="002E1A1F">
      <w:pPr>
        <w:pStyle w:val="Bullet1"/>
      </w:pPr>
      <w:r>
        <w:t>reduce impost of reporting for individual healthcare professionals</w:t>
      </w:r>
    </w:p>
    <w:p w14:paraId="56EB7434" w14:textId="1AB68BC4" w:rsidR="002E1A1F" w:rsidRPr="004A3E0B" w:rsidRDefault="002E1A1F" w:rsidP="002E1A1F">
      <w:pPr>
        <w:pStyle w:val="Bullet1"/>
      </w:pPr>
      <w:r>
        <w:t>support more informed procurement decisions made by healthcare facilities, professionals and consumers.</w:t>
      </w:r>
    </w:p>
    <w:p w14:paraId="21D5D88B" w14:textId="527251A9" w:rsidR="002E1A1F" w:rsidRDefault="002E1A1F" w:rsidP="002E1A1F">
      <w:r>
        <w:t>Whil</w:t>
      </w:r>
      <w:r w:rsidR="008B7426">
        <w:t>e</w:t>
      </w:r>
      <w:r>
        <w:t xml:space="preserve"> benefits of the proposed regulatory changes are those relating to patient and medical practitioner safety, </w:t>
      </w:r>
      <w:r w:rsidR="00C75345">
        <w:t xml:space="preserve">detecting </w:t>
      </w:r>
      <w:r>
        <w:t xml:space="preserve">these early signals </w:t>
      </w:r>
      <w:r w:rsidR="00C76231">
        <w:t>are</w:t>
      </w:r>
      <w:r>
        <w:t xml:space="preserve"> crucial in minimising the risk of medical device </w:t>
      </w:r>
      <w:r w:rsidR="00374D2E">
        <w:t>defects,</w:t>
      </w:r>
      <w:r>
        <w:t xml:space="preserve"> which will in turn lower sponsors’ and manufacturers’ financial exposure to legal proceedings of faulty products. </w:t>
      </w:r>
      <w:r w:rsidR="003E5087">
        <w:t>Therefore</w:t>
      </w:r>
      <w:r w:rsidR="004A641A">
        <w:t>,</w:t>
      </w:r>
      <w:r w:rsidR="003E5087">
        <w:t xml:space="preserve"> the costs in rectification </w:t>
      </w:r>
      <w:r w:rsidR="004A641A">
        <w:t xml:space="preserve">will be reduced across the lifecycle of a medical device. </w:t>
      </w:r>
      <w:r>
        <w:t>This benefit is explored in further detail through the case studies below</w:t>
      </w:r>
      <w:r w:rsidR="00985873">
        <w:t xml:space="preserve"> and is further explained in Appendix A.</w:t>
      </w:r>
    </w:p>
    <w:p w14:paraId="23E10452" w14:textId="77777777" w:rsidR="002E1A1F" w:rsidRPr="00D82DA5" w:rsidRDefault="002E1A1F" w:rsidP="002E1A1F">
      <w:pPr>
        <w:pStyle w:val="Box1Heading"/>
      </w:pPr>
      <w:r>
        <w:lastRenderedPageBreak/>
        <w:t xml:space="preserve">Case Study – Urogynaecological Mesh </w:t>
      </w:r>
    </w:p>
    <w:p w14:paraId="0A6F7DA2" w14:textId="0B621087" w:rsidR="002E1A1F" w:rsidRPr="00D82DA5" w:rsidRDefault="002E1A1F" w:rsidP="002E1A1F">
      <w:pPr>
        <w:pStyle w:val="Box1Text"/>
      </w:pPr>
      <w:r>
        <w:t xml:space="preserve">Urogynaecological mesh is used to treat Stress Urinary Incontinence and Pelvic Organ Prolapse, by providing additional structural support to the surrounding organs. In most cases, this </w:t>
      </w:r>
      <w:r w:rsidR="0054634C">
        <w:t xml:space="preserve">surgical procedure </w:t>
      </w:r>
      <w:r>
        <w:t xml:space="preserve">was successful, however many patients experienced an array of complications. Due to mesh migration and erosion, many women experienced differing levels of discomfort. Patients experienced an array of symptoms including nerve damage, painful sexual intercourse and chronic pain.  The first reported event was in 2006 and by 2012, a class action was filed against Johnson &amp; Johnson, and its subsidiary Ethicon, which resulted in a settlement sum of $300 million. This is the largest settlement in a product liability class action in Australian history. </w:t>
      </w:r>
    </w:p>
    <w:p w14:paraId="72335A09" w14:textId="77777777" w:rsidR="002E1A1F" w:rsidRDefault="002E1A1F" w:rsidP="002E1A1F">
      <w:pPr>
        <w:pStyle w:val="Box1Heading"/>
      </w:pPr>
      <w:r>
        <w:t>Case Study – Metal-on-metal Hip Prostheses</w:t>
      </w:r>
    </w:p>
    <w:p w14:paraId="3711EF3A" w14:textId="0B6D8EEE" w:rsidR="002E1A1F" w:rsidRPr="00262013" w:rsidRDefault="002E1A1F" w:rsidP="00DF5EA7">
      <w:pPr>
        <w:pStyle w:val="Box1Text"/>
        <w:shd w:val="clear" w:color="auto" w:fill="F2F2F2" w:themeFill="background1" w:themeFillShade="F2"/>
      </w:pPr>
      <w:r>
        <w:t xml:space="preserve">Metal-on-metal hip prostheses were developed as an alternative to traditional hip replacements, which typically use materials like ceramics or plastic, in order to be more durable. In the early 2000’s, reports of implant failure, metallosis, pseudotumours and osteolysis began to emerge. Patients reported various degrees of pain in the hip, groin and/or thigh area. The same area was often inflamed, patients experience limited mobility and some reported loosening of the implant. Some experienced implant failure and required revision surgery, however the most severe cases included the diagnosis of metallosis which caused tissue damage, inflammation and pseudotumours. An Australian class action was launched in 2011 against pharmaceutical distributor Johnson &amp; Johnson and manufacturer DePuy International Ltd, which included a 17-week trial in the Federal Court of Australia. </w:t>
      </w:r>
      <w:r w:rsidR="00262013" w:rsidRPr="00262013">
        <w:rPr>
          <w:rFonts w:ascii="Roboto" w:hAnsi="Roboto"/>
          <w:color w:val="111111"/>
          <w:shd w:val="clear" w:color="auto" w:fill="F7F7F7"/>
        </w:rPr>
        <w:t xml:space="preserve"> </w:t>
      </w:r>
      <w:r w:rsidR="00262013" w:rsidRPr="00422DE8">
        <w:rPr>
          <w:color w:val="111111"/>
          <w:shd w:val="clear" w:color="auto" w:fill="F7F7F7"/>
        </w:rPr>
        <w:t>In 2016, the </w:t>
      </w:r>
      <w:r w:rsidR="00262013" w:rsidRPr="00422DE8">
        <w:rPr>
          <w:rStyle w:val="Strong"/>
          <w:b w:val="0"/>
          <w:bCs w:val="0"/>
          <w:color w:val="111111"/>
          <w:shd w:val="clear" w:color="auto" w:fill="F7F7F7"/>
        </w:rPr>
        <w:t>Federal Court of Australia</w:t>
      </w:r>
      <w:r w:rsidR="00262013" w:rsidRPr="00422DE8">
        <w:rPr>
          <w:color w:val="111111"/>
          <w:shd w:val="clear" w:color="auto" w:fill="F7F7F7"/>
        </w:rPr>
        <w:t> approved the settlement of the </w:t>
      </w:r>
      <w:r w:rsidR="00262013" w:rsidRPr="00422DE8">
        <w:rPr>
          <w:rStyle w:val="Strong"/>
          <w:b w:val="0"/>
          <w:bCs w:val="0"/>
          <w:color w:val="111111"/>
          <w:shd w:val="clear" w:color="auto" w:fill="F7F7F7"/>
        </w:rPr>
        <w:t>DePuy ASR Hip Implant Class Action</w:t>
      </w:r>
      <w:r w:rsidR="00262013" w:rsidRPr="00422DE8">
        <w:rPr>
          <w:color w:val="111111"/>
          <w:shd w:val="clear" w:color="auto" w:fill="F7F7F7"/>
        </w:rPr>
        <w:t> for </w:t>
      </w:r>
      <w:r w:rsidR="00262013" w:rsidRPr="00422DE8">
        <w:rPr>
          <w:rStyle w:val="Strong"/>
          <w:b w:val="0"/>
          <w:bCs w:val="0"/>
          <w:color w:val="111111"/>
          <w:shd w:val="clear" w:color="auto" w:fill="F7F7F7"/>
        </w:rPr>
        <w:t>$250 million</w:t>
      </w:r>
      <w:r w:rsidR="00262013" w:rsidRPr="00422DE8">
        <w:rPr>
          <w:color w:val="111111"/>
          <w:shd w:val="clear" w:color="auto" w:fill="F7F7F7"/>
        </w:rPr>
        <w:t> plus interest and legal costs.</w:t>
      </w:r>
    </w:p>
    <w:p w14:paraId="46134389" w14:textId="77777777" w:rsidR="002E1A1F" w:rsidRDefault="002E1A1F" w:rsidP="004E21EF">
      <w:pPr>
        <w:pStyle w:val="Heading4"/>
      </w:pPr>
      <w:r>
        <w:t>Costs</w:t>
      </w:r>
    </w:p>
    <w:p w14:paraId="6C12B2D6" w14:textId="215EF63B" w:rsidR="002E1A1F" w:rsidRDefault="002E1A1F" w:rsidP="002E1A1F">
      <w:r>
        <w:t>The success of these option</w:t>
      </w:r>
      <w:r w:rsidR="004C15BB">
        <w:t xml:space="preserve">s </w:t>
      </w:r>
      <w:r>
        <w:t>would see an increase in the volume of medical device adverse event reports. This in turn, would likely result in an increased expenditure of resources in relation to undertaking the reporting, assessing incoming reports, as well as response activities</w:t>
      </w:r>
      <w:r w:rsidR="00814791">
        <w:t>.</w:t>
      </w:r>
      <w:r w:rsidR="00045DDC">
        <w:rPr>
          <w:rStyle w:val="FootnoteReference"/>
        </w:rPr>
        <w:footnoteReference w:id="74"/>
      </w:r>
      <w:r w:rsidR="003832F7">
        <w:t xml:space="preserve"> These impacts will be felt across both healthcare facilities and medical device sponsors and manufacturers.</w:t>
      </w:r>
    </w:p>
    <w:p w14:paraId="74416CB4" w14:textId="1D325AD9" w:rsidR="004E21EF" w:rsidRDefault="004E21EF" w:rsidP="004E21EF">
      <w:pPr>
        <w:pStyle w:val="Heading5"/>
      </w:pPr>
      <w:r>
        <w:t>Businesses</w:t>
      </w:r>
    </w:p>
    <w:p w14:paraId="2008D1DB" w14:textId="03BFE85A" w:rsidR="002E1A1F" w:rsidRDefault="002E1A1F" w:rsidP="002E1A1F">
      <w:pPr>
        <w:rPr>
          <w:b/>
          <w:bCs/>
        </w:rPr>
      </w:pPr>
      <w:r w:rsidRPr="007B64D9">
        <w:rPr>
          <w:b/>
          <w:bCs/>
        </w:rPr>
        <w:t>Healthcare Facilities</w:t>
      </w:r>
    </w:p>
    <w:p w14:paraId="0D6776E8" w14:textId="6DBD0A52" w:rsidR="002E1A1F" w:rsidRDefault="002E1A1F" w:rsidP="002E1A1F">
      <w:r>
        <w:t>Public</w:t>
      </w:r>
      <w:r w:rsidR="007E2F8A">
        <w:rPr>
          <w:rStyle w:val="FootnoteReference"/>
        </w:rPr>
        <w:footnoteReference w:id="75"/>
      </w:r>
      <w:r>
        <w:t xml:space="preserve"> and private hospitals will now be required to report adverse events relating to medical devices directly to the TGA (either on occurrence, or via batch reporting). This will impose additional pressure on existing resources in the form of:</w:t>
      </w:r>
    </w:p>
    <w:p w14:paraId="55496C89" w14:textId="48C8F90E" w:rsidR="002E1A1F" w:rsidRDefault="002E1A1F" w:rsidP="002E1A1F">
      <w:pPr>
        <w:pStyle w:val="Bullet1"/>
      </w:pPr>
      <w:r>
        <w:t>increased reporting data fields</w:t>
      </w:r>
      <w:r w:rsidR="00B36AA1">
        <w:t xml:space="preserve"> </w:t>
      </w:r>
    </w:p>
    <w:p w14:paraId="7CD59DD4" w14:textId="7AD5DD3C" w:rsidR="002E1A1F" w:rsidRDefault="002E1A1F" w:rsidP="002E1A1F">
      <w:pPr>
        <w:pStyle w:val="Bullet1"/>
      </w:pPr>
      <w:r>
        <w:t>increased frequency of submission to the TGA</w:t>
      </w:r>
      <w:r w:rsidR="00427493">
        <w:rPr>
          <w:rStyle w:val="FootnoteReference"/>
        </w:rPr>
        <w:footnoteReference w:id="76"/>
      </w:r>
    </w:p>
    <w:p w14:paraId="2A14DAF5" w14:textId="77777777" w:rsidR="002E1A1F" w:rsidRDefault="002E1A1F" w:rsidP="002E1A1F">
      <w:pPr>
        <w:pStyle w:val="Bullet1"/>
      </w:pPr>
      <w:r>
        <w:t>upskilling via guidance material on the TGA’s reporting requirements.</w:t>
      </w:r>
    </w:p>
    <w:p w14:paraId="57EA1E67" w14:textId="1A0A7FA7" w:rsidR="00D14922" w:rsidRDefault="0030181F" w:rsidP="002E1A1F">
      <w:pPr>
        <w:rPr>
          <w:b/>
          <w:bCs/>
        </w:rPr>
      </w:pPr>
      <w:r>
        <w:t xml:space="preserve">The current reporting practices among healthcare facilities vary widely, depending on their size, resources and existing systems for incident management and data collection. Larger facilities often </w:t>
      </w:r>
      <w:r>
        <w:lastRenderedPageBreak/>
        <w:t xml:space="preserve">have more sophisticated systems in place that can be adapted to meet new requirements with relative ease. In contrast, smaller facilities may rely on manual or less integrated systems, which could require significant upgrades or additional resources to comply. </w:t>
      </w:r>
      <w:r w:rsidR="002E1A1F">
        <w:t>Whil</w:t>
      </w:r>
      <w:r w:rsidR="00C403ED">
        <w:t>e</w:t>
      </w:r>
      <w:r w:rsidR="002E1A1F">
        <w:t xml:space="preserve"> this does impose additional strain on existing resources, the population (i.e., public and private hospitals) were chosen initially as they were deemed to have the requisite resources, systems and processes in place to </w:t>
      </w:r>
      <w:r w:rsidR="00987CF3">
        <w:t>support mandatory reporting most easily</w:t>
      </w:r>
      <w:r w:rsidR="002E1A1F">
        <w:t>.</w:t>
      </w:r>
      <w:r w:rsidR="005D2C54">
        <w:t xml:space="preserve"> </w:t>
      </w:r>
      <w:r w:rsidR="0065659D">
        <w:t>During stakeholder consultation, it was recognised that a one-size-fits-all approach to reporting could disproportionately impact smaller facilities. To address this, multiple reporting channels</w:t>
      </w:r>
      <w:r w:rsidR="0065659D" w:rsidRPr="00BB48A4">
        <w:t xml:space="preserve"> </w:t>
      </w:r>
      <w:r w:rsidR="0065659D">
        <w:t xml:space="preserve">including online forms, email or portal will be offered initially to accommodate facilities with varying levels of digital maturity. </w:t>
      </w:r>
      <w:r w:rsidR="00864CF2">
        <w:t xml:space="preserve">Additionally, the TGA </w:t>
      </w:r>
      <w:r w:rsidR="00F32E53">
        <w:t xml:space="preserve">intends to adopt a </w:t>
      </w:r>
      <w:r w:rsidR="00864CF2">
        <w:t xml:space="preserve">staged </w:t>
      </w:r>
      <w:r w:rsidR="00F32E53">
        <w:t xml:space="preserve">approach to </w:t>
      </w:r>
      <w:r w:rsidR="00864CF2">
        <w:t xml:space="preserve">implementation and </w:t>
      </w:r>
      <w:r w:rsidR="0065659D">
        <w:t>t</w:t>
      </w:r>
      <w:r w:rsidR="001D5E0E">
        <w:t xml:space="preserve">his approach is designed to leverage existing systems and processes wherever possible, </w:t>
      </w:r>
      <w:r w:rsidR="006B60BF">
        <w:t xml:space="preserve">thereby </w:t>
      </w:r>
      <w:r w:rsidR="001D5E0E">
        <w:t>reducing the burden on healthcare facilities.</w:t>
      </w:r>
      <w:r w:rsidR="00453005">
        <w:t xml:space="preserve"> </w:t>
      </w:r>
      <w:r w:rsidR="001D5E0E">
        <w:t xml:space="preserve">It also provides </w:t>
      </w:r>
      <w:r w:rsidR="006B60BF">
        <w:t>leeway</w:t>
      </w:r>
      <w:r w:rsidR="001D5E0E">
        <w:t xml:space="preserve"> for facilities to transition into the scheme in a manner that aligns with their operational capabilities, ensuring the scheme’s implementation is efficient and equitable.</w:t>
      </w:r>
      <w:r w:rsidR="002C7F47">
        <w:br/>
      </w:r>
    </w:p>
    <w:p w14:paraId="20CCAF0F" w14:textId="37AF3752" w:rsidR="002E1A1F" w:rsidRDefault="002E1A1F" w:rsidP="002E1A1F">
      <w:r w:rsidRPr="00BA5A32">
        <w:rPr>
          <w:b/>
          <w:bCs/>
        </w:rPr>
        <w:t>Medical Device Sponsors and Manufacturers</w:t>
      </w:r>
    </w:p>
    <w:p w14:paraId="6764876C" w14:textId="467AE5CF" w:rsidR="002E1A1F" w:rsidRDefault="002E1A1F" w:rsidP="002E1A1F">
      <w:r>
        <w:t>Whil</w:t>
      </w:r>
      <w:r w:rsidR="004A2BEA">
        <w:t>e</w:t>
      </w:r>
      <w:r>
        <w:t xml:space="preserve"> the proposed regulatory options do not alter sponsors’ / manufacturers’ mandatory reporting requirements for medical device adverse events, any regulatory changes that impact the volume of medical device adverse event reporting will likely have downstream impacts. For example, the increased requirement to aid compliance/regulatory activities (i.e., participation in external investigations and/or running of internal investigations), </w:t>
      </w:r>
      <w:r w:rsidR="00070311">
        <w:t>and possib</w:t>
      </w:r>
      <w:r w:rsidR="00FC4935">
        <w:t>l</w:t>
      </w:r>
      <w:r w:rsidR="00070311">
        <w:t xml:space="preserve">y </w:t>
      </w:r>
      <w:r>
        <w:t>an increased volume of:</w:t>
      </w:r>
    </w:p>
    <w:p w14:paraId="16AC2430" w14:textId="77777777" w:rsidR="002E1A1F" w:rsidRDefault="002E1A1F" w:rsidP="002E1A1F">
      <w:pPr>
        <w:pStyle w:val="Bullet1"/>
      </w:pPr>
      <w:r>
        <w:t>product recalls</w:t>
      </w:r>
    </w:p>
    <w:p w14:paraId="64F4F2C4" w14:textId="77777777" w:rsidR="002E1A1F" w:rsidRDefault="002E1A1F" w:rsidP="002E1A1F">
      <w:pPr>
        <w:pStyle w:val="Bullet1"/>
      </w:pPr>
      <w:r>
        <w:t>product defect corrections</w:t>
      </w:r>
    </w:p>
    <w:p w14:paraId="24124549" w14:textId="77777777" w:rsidR="002E1A1F" w:rsidRDefault="002E1A1F" w:rsidP="002E1A1F">
      <w:pPr>
        <w:pStyle w:val="Bullet1"/>
      </w:pPr>
      <w:r>
        <w:t>product hazard alerts</w:t>
      </w:r>
    </w:p>
    <w:p w14:paraId="6BF8D390" w14:textId="77777777" w:rsidR="002E1A1F" w:rsidRDefault="002E1A1F" w:rsidP="002E1A1F">
      <w:pPr>
        <w:pStyle w:val="Bullet1"/>
      </w:pPr>
      <w:r>
        <w:t>product defect alerts</w:t>
      </w:r>
    </w:p>
    <w:p w14:paraId="43D9378B" w14:textId="77777777" w:rsidR="002E1A1F" w:rsidRDefault="002E1A1F" w:rsidP="002E1A1F">
      <w:pPr>
        <w:pStyle w:val="Bullet1"/>
      </w:pPr>
      <w:r>
        <w:t>product suspensions</w:t>
      </w:r>
    </w:p>
    <w:p w14:paraId="7F34AFA0" w14:textId="77777777" w:rsidR="002E1A1F" w:rsidRDefault="002E1A1F" w:rsidP="002E1A1F">
      <w:pPr>
        <w:pStyle w:val="Bullet1"/>
      </w:pPr>
      <w:r>
        <w:t>product cancellations</w:t>
      </w:r>
    </w:p>
    <w:p w14:paraId="23428F0E" w14:textId="77777777" w:rsidR="002E1A1F" w:rsidRDefault="002E1A1F" w:rsidP="002E1A1F">
      <w:pPr>
        <w:pStyle w:val="Bullet1"/>
      </w:pPr>
      <w:r>
        <w:t>manufacturing process improvements</w:t>
      </w:r>
    </w:p>
    <w:p w14:paraId="4B76BE5D" w14:textId="77777777" w:rsidR="002E1A1F" w:rsidRDefault="002E1A1F" w:rsidP="002E1A1F">
      <w:pPr>
        <w:pStyle w:val="Bullet1"/>
      </w:pPr>
      <w:r>
        <w:t>quality system process improvements</w:t>
      </w:r>
    </w:p>
    <w:p w14:paraId="2571CB0E" w14:textId="4354F485" w:rsidR="002E1A1F" w:rsidRDefault="002E1A1F" w:rsidP="002E1A1F">
      <w:r>
        <w:t>However, whil</w:t>
      </w:r>
      <w:r w:rsidR="00FF28C4">
        <w:t>e</w:t>
      </w:r>
      <w:r>
        <w:t xml:space="preserve"> these changes will have a significant impact on medical device sponsors and manufacturers, it is important to note that OIA guidance (the Regulatory Burden Measurement Framework) excludes non-compliance and enforcement costs imposed on the regulated community. </w:t>
      </w:r>
      <w:r w:rsidR="0065659D">
        <w:t>In the context of this impact analysis, the regulated community refers to healthcare facilities rather than industry entities such as sponsors and manufacturers. As a result, the costs associated with non-compliance and enforcement actions are not factored into the analysis. Quantifying these costs also presents challenges due to the variability of circumstances under which such actions occur and the lack of consistent and comprehensive data in this area.</w:t>
      </w:r>
      <w:r w:rsidR="00EC093C">
        <w:t xml:space="preserve"> </w:t>
      </w:r>
      <w:r w:rsidR="0065659D">
        <w:br/>
      </w:r>
      <w:r>
        <w:t>Of most relevance to this policy option:</w:t>
      </w:r>
    </w:p>
    <w:p w14:paraId="1987A6B0" w14:textId="77777777" w:rsidR="002E1A1F" w:rsidRDefault="002E1A1F" w:rsidP="002E1A1F">
      <w:pPr>
        <w:pStyle w:val="Bullet1"/>
      </w:pPr>
      <w:r>
        <w:t>costs such as fines for failing to comply with a policy and legal fees, including costs incurred in court and tribunal processes</w:t>
      </w:r>
    </w:p>
    <w:p w14:paraId="0412762C" w14:textId="7E445D75" w:rsidR="002E1A1F" w:rsidRDefault="002E1A1F" w:rsidP="002E1A1F">
      <w:pPr>
        <w:pStyle w:val="Bullet1"/>
      </w:pPr>
      <w:r>
        <w:t>costs that arise when businesses or individuals fail to comply with government requirements and action is necessary by the business or individual/s to ensure compliance</w:t>
      </w:r>
      <w:r w:rsidR="00814791">
        <w:t>.</w:t>
      </w:r>
      <w:r w:rsidR="00442FFA">
        <w:rPr>
          <w:rStyle w:val="FootnoteReference"/>
        </w:rPr>
        <w:footnoteReference w:id="77"/>
      </w:r>
    </w:p>
    <w:p w14:paraId="534C2D5B" w14:textId="6BECDCB4" w:rsidR="002E1A1F" w:rsidRDefault="002E1A1F" w:rsidP="002E1A1F">
      <w:r>
        <w:t xml:space="preserve">Contextualised to the introduction of mandatory medical device adverse event reporting; if reporting and subsequently, an investigation, indicates a potential safety issue with a medical device, this could indicate non-compliance with a range of medical device sponsor and manufacturer legal obligations (described in the </w:t>
      </w:r>
      <w:r>
        <w:rPr>
          <w:i/>
          <w:iCs/>
        </w:rPr>
        <w:t>Therapeutic Goods Act 1989, Therapeutic Goods Regulations 1990,</w:t>
      </w:r>
      <w:r w:rsidRPr="00375B99">
        <w:t xml:space="preserve"> and</w:t>
      </w:r>
      <w:r>
        <w:rPr>
          <w:i/>
          <w:iCs/>
        </w:rPr>
        <w:t xml:space="preserve"> Therapeutic Goods (Medical Devices) Regulations 2002)</w:t>
      </w:r>
      <w:r>
        <w:t>. For example, non-compliance with:</w:t>
      </w:r>
    </w:p>
    <w:p w14:paraId="2C74DED1" w14:textId="77777777" w:rsidR="002E1A1F" w:rsidRDefault="002E1A1F" w:rsidP="002E1A1F">
      <w:pPr>
        <w:pStyle w:val="Bullet1"/>
      </w:pPr>
      <w:r>
        <w:t>Essential Principles</w:t>
      </w:r>
    </w:p>
    <w:p w14:paraId="1A94BAD7" w14:textId="77777777" w:rsidR="002E1A1F" w:rsidRDefault="002E1A1F" w:rsidP="002E1A1F">
      <w:pPr>
        <w:pStyle w:val="Bullet1"/>
      </w:pPr>
      <w:r>
        <w:t>conditions of inclusion (COI)</w:t>
      </w:r>
    </w:p>
    <w:p w14:paraId="56D08573" w14:textId="2D24B110" w:rsidR="002E1A1F" w:rsidRDefault="002E1A1F" w:rsidP="002E1A1F">
      <w:pPr>
        <w:pStyle w:val="Bullet1"/>
      </w:pPr>
      <w:r>
        <w:t>conformity assessment procedures (CAP)</w:t>
      </w:r>
      <w:r w:rsidR="00551D3C">
        <w:t>.</w:t>
      </w:r>
    </w:p>
    <w:p w14:paraId="36F27087" w14:textId="08A6BEE6" w:rsidR="002E1A1F" w:rsidRDefault="002E1A1F" w:rsidP="002E1A1F">
      <w:r>
        <w:t>This cost, while noted as significant, will therefore be excluded from the regulatory burden estimates.</w:t>
      </w:r>
    </w:p>
    <w:p w14:paraId="6ADCA96B" w14:textId="046C0C7A" w:rsidR="006616ED" w:rsidRDefault="004E21EF" w:rsidP="004E21EF">
      <w:pPr>
        <w:pStyle w:val="Heading5"/>
      </w:pPr>
      <w:r>
        <w:t>General Public</w:t>
      </w:r>
    </w:p>
    <w:p w14:paraId="481364E4" w14:textId="24CD985A" w:rsidR="00C00744" w:rsidRPr="00C00744" w:rsidRDefault="00C00744" w:rsidP="00C00744">
      <w:r w:rsidRPr="00C00744">
        <w:t xml:space="preserve">In considering the costs borne by these </w:t>
      </w:r>
      <w:r>
        <w:t>businesse</w:t>
      </w:r>
      <w:r w:rsidRPr="00C00744">
        <w:t>s, the potential for these costs to be passed on to consumers must be noted. These flow-on costs are relevant to each policy option and could include:</w:t>
      </w:r>
    </w:p>
    <w:p w14:paraId="2B125778" w14:textId="38EEF1E0" w:rsidR="00C00744" w:rsidRPr="00C00744" w:rsidRDefault="00C00744" w:rsidP="00C00744">
      <w:pPr>
        <w:pStyle w:val="Bullet1"/>
      </w:pPr>
      <w:r w:rsidRPr="00C00744">
        <w:t>Higher Healthcare Fees: Healthcare facilities might increase their service fees to cover the additional administrative and operational expenses.</w:t>
      </w:r>
    </w:p>
    <w:p w14:paraId="79B26BDC" w14:textId="08276DF8" w:rsidR="00C00744" w:rsidRPr="00C00744" w:rsidRDefault="00C00744" w:rsidP="00C00744">
      <w:pPr>
        <w:pStyle w:val="Bullet1"/>
      </w:pPr>
      <w:r w:rsidRPr="00C00744">
        <w:t xml:space="preserve">Increased Insurance Premiums: </w:t>
      </w:r>
      <w:r w:rsidR="0065659D" w:rsidRPr="00DB62EF">
        <w:t>If mandatory reporting reveals a higher number of incidents than previously recognised, insurers might adjust premium upwards to account for these elevated risks.</w:t>
      </w:r>
      <w:r w:rsidR="0065659D">
        <w:t xml:space="preserve"> </w:t>
      </w:r>
      <w:r w:rsidRPr="00C00744">
        <w:t>Medical indemnity insurers facing higher costs due to more claims and increased reporting might pass these costs onto healthcare facilities, which in turn might lead to higher health insurance premiums for consumers.</w:t>
      </w:r>
    </w:p>
    <w:p w14:paraId="4CE0CBE2" w14:textId="1431A3A8" w:rsidR="00C00744" w:rsidRPr="00C00744" w:rsidRDefault="00C00744" w:rsidP="00C00744">
      <w:pPr>
        <w:pStyle w:val="Bullet1"/>
      </w:pPr>
      <w:r w:rsidRPr="00C00744">
        <w:t>Higher Out-of-Pocket Expenses: Patients might face increased out-of-pocket expenses for medical procedures and treatments as healthcare providers adjust their pricing to cover the new reporting requirements.</w:t>
      </w:r>
    </w:p>
    <w:p w14:paraId="733E6B7E" w14:textId="58ED3208" w:rsidR="00C00744" w:rsidRDefault="00C00744" w:rsidP="00C00744">
      <w:pPr>
        <w:pStyle w:val="Bullet1"/>
      </w:pPr>
      <w:r w:rsidRPr="00C00744">
        <w:t>Indirect Costs: There might be indirect costs such as longer wait times for medical procedures as facilities manage the increased administrative workload, which could affect the overall quality of patient care.</w:t>
      </w:r>
    </w:p>
    <w:p w14:paraId="713F6CEA" w14:textId="76854F41" w:rsidR="003975EB" w:rsidRDefault="003975EB" w:rsidP="00C00744">
      <w:pPr>
        <w:pStyle w:val="Heading5"/>
      </w:pPr>
      <w:r>
        <w:t>Government</w:t>
      </w:r>
    </w:p>
    <w:p w14:paraId="1701A4D1" w14:textId="46DB7AC7" w:rsidR="00B42153" w:rsidRDefault="00B42153" w:rsidP="003975EB">
      <w:pPr>
        <w:rPr>
          <w:b/>
          <w:bCs/>
        </w:rPr>
      </w:pPr>
      <w:r>
        <w:rPr>
          <w:b/>
          <w:bCs/>
        </w:rPr>
        <w:t>Therapeutic Goods Administration</w:t>
      </w:r>
    </w:p>
    <w:p w14:paraId="7F349EE4" w14:textId="5E05F078" w:rsidR="00B42153" w:rsidRDefault="0033659E" w:rsidP="003975EB">
      <w:r w:rsidRPr="001B34CA">
        <w:t>Whilst no funding has been allocated to support the rollout of the scheme at this stage,</w:t>
      </w:r>
      <w:r w:rsidRPr="002B3090">
        <w:t xml:space="preserve"> </w:t>
      </w:r>
      <w:r w:rsidR="00960D61" w:rsidRPr="002B3090">
        <w:t>i</w:t>
      </w:r>
      <w:r w:rsidR="00726D60" w:rsidRPr="002B3090">
        <w:t>t is expected that the new regulations will impose sign</w:t>
      </w:r>
      <w:r w:rsidR="0097759D" w:rsidRPr="002B3090">
        <w:t xml:space="preserve">ificant resourcing costs on the TGA. Namely, in the volume of monitoring, compliance and </w:t>
      </w:r>
      <w:r w:rsidR="00FC781A" w:rsidRPr="002B3090">
        <w:t>response activities needing to be undertaken. It is assumed that should the volume of reporting increase (</w:t>
      </w:r>
      <w:r w:rsidR="00BD279C" w:rsidRPr="002B3090">
        <w:t>estimated to be 10x current reporting</w:t>
      </w:r>
      <w:r w:rsidR="000B6BA2" w:rsidRPr="002B3090">
        <w:rPr>
          <w:rStyle w:val="FootnoteReference"/>
        </w:rPr>
        <w:footnoteReference w:id="78"/>
      </w:r>
      <w:r w:rsidR="00BD279C" w:rsidRPr="002B3090">
        <w:t xml:space="preserve">), ostensibly, the volume of the following activities would </w:t>
      </w:r>
      <w:r w:rsidR="005D58FB" w:rsidRPr="002B3090">
        <w:t>also increase:</w:t>
      </w:r>
    </w:p>
    <w:p w14:paraId="3595E45E" w14:textId="7734C732" w:rsidR="00936577" w:rsidRDefault="00563A8C" w:rsidP="005D58FB">
      <w:pPr>
        <w:pStyle w:val="Bullet1"/>
      </w:pPr>
      <w:r>
        <w:t>reporting triage and assessment</w:t>
      </w:r>
    </w:p>
    <w:p w14:paraId="07F0AB4C" w14:textId="4460186D" w:rsidR="00936577" w:rsidRDefault="00936577" w:rsidP="005D58FB">
      <w:pPr>
        <w:pStyle w:val="Bullet1"/>
      </w:pPr>
      <w:r>
        <w:t>regulatory actions e.g., notices for:</w:t>
      </w:r>
    </w:p>
    <w:p w14:paraId="171014F3" w14:textId="58531F9D" w:rsidR="005D58FB" w:rsidRPr="00422DE8" w:rsidRDefault="005D58FB" w:rsidP="00936577">
      <w:pPr>
        <w:pStyle w:val="ListBullet2"/>
        <w:rPr>
          <w:color w:val="auto"/>
        </w:rPr>
      </w:pPr>
      <w:r w:rsidRPr="00422DE8">
        <w:rPr>
          <w:color w:val="auto"/>
        </w:rPr>
        <w:t>product recalls</w:t>
      </w:r>
    </w:p>
    <w:p w14:paraId="5F0061FA" w14:textId="77777777" w:rsidR="005D58FB" w:rsidRPr="00422DE8" w:rsidRDefault="005D58FB" w:rsidP="00936577">
      <w:pPr>
        <w:pStyle w:val="ListBullet2"/>
        <w:rPr>
          <w:color w:val="auto"/>
        </w:rPr>
      </w:pPr>
      <w:r w:rsidRPr="00422DE8">
        <w:rPr>
          <w:color w:val="auto"/>
        </w:rPr>
        <w:t>product defect corrections</w:t>
      </w:r>
    </w:p>
    <w:p w14:paraId="2CBB9A66" w14:textId="77777777" w:rsidR="005D58FB" w:rsidRPr="00422DE8" w:rsidRDefault="005D58FB" w:rsidP="00936577">
      <w:pPr>
        <w:pStyle w:val="ListBullet2"/>
        <w:rPr>
          <w:color w:val="auto"/>
        </w:rPr>
      </w:pPr>
      <w:r w:rsidRPr="00422DE8">
        <w:rPr>
          <w:color w:val="auto"/>
        </w:rPr>
        <w:t>product hazard alerts</w:t>
      </w:r>
    </w:p>
    <w:p w14:paraId="341F0815" w14:textId="77777777" w:rsidR="005D58FB" w:rsidRPr="00422DE8" w:rsidRDefault="005D58FB" w:rsidP="00936577">
      <w:pPr>
        <w:pStyle w:val="ListBullet2"/>
        <w:rPr>
          <w:color w:val="auto"/>
        </w:rPr>
      </w:pPr>
      <w:r w:rsidRPr="00422DE8">
        <w:rPr>
          <w:color w:val="auto"/>
        </w:rPr>
        <w:t>product defect alerts</w:t>
      </w:r>
    </w:p>
    <w:p w14:paraId="2585DCFB" w14:textId="77777777" w:rsidR="005D58FB" w:rsidRPr="00422DE8" w:rsidRDefault="005D58FB" w:rsidP="00936577">
      <w:pPr>
        <w:pStyle w:val="ListBullet2"/>
        <w:rPr>
          <w:color w:val="auto"/>
        </w:rPr>
      </w:pPr>
      <w:r w:rsidRPr="00422DE8">
        <w:rPr>
          <w:color w:val="auto"/>
        </w:rPr>
        <w:t>product suspensions</w:t>
      </w:r>
    </w:p>
    <w:p w14:paraId="1B7B4A60" w14:textId="77777777" w:rsidR="005D58FB" w:rsidRPr="00422DE8" w:rsidRDefault="005D58FB" w:rsidP="00936577">
      <w:pPr>
        <w:pStyle w:val="ListBullet2"/>
        <w:rPr>
          <w:color w:val="auto"/>
        </w:rPr>
      </w:pPr>
      <w:r w:rsidRPr="00422DE8">
        <w:rPr>
          <w:color w:val="auto"/>
        </w:rPr>
        <w:t>product cancellations</w:t>
      </w:r>
    </w:p>
    <w:p w14:paraId="63E0F966" w14:textId="77777777" w:rsidR="005D58FB" w:rsidRPr="00422DE8" w:rsidRDefault="005D58FB" w:rsidP="00936577">
      <w:pPr>
        <w:pStyle w:val="ListBullet2"/>
        <w:rPr>
          <w:color w:val="auto"/>
        </w:rPr>
      </w:pPr>
      <w:r w:rsidRPr="00422DE8">
        <w:rPr>
          <w:color w:val="auto"/>
        </w:rPr>
        <w:t>manufacturing process improvements</w:t>
      </w:r>
    </w:p>
    <w:p w14:paraId="0F324865" w14:textId="05A03C4E" w:rsidR="005D58FB" w:rsidRPr="00422DE8" w:rsidRDefault="005D58FB" w:rsidP="00936577">
      <w:pPr>
        <w:pStyle w:val="ListBullet2"/>
        <w:rPr>
          <w:color w:val="auto"/>
        </w:rPr>
      </w:pPr>
      <w:r w:rsidRPr="00422DE8">
        <w:rPr>
          <w:color w:val="auto"/>
        </w:rPr>
        <w:t>quality system process improvements</w:t>
      </w:r>
      <w:r w:rsidR="00D6350A" w:rsidRPr="00422DE8">
        <w:rPr>
          <w:color w:val="auto"/>
        </w:rPr>
        <w:t>.</w:t>
      </w:r>
    </w:p>
    <w:p w14:paraId="5F56FFB8" w14:textId="77777777" w:rsidR="00B9281B" w:rsidRDefault="00D6350A" w:rsidP="00D6350A">
      <w:pPr>
        <w:rPr>
          <w:szCs w:val="21"/>
          <w:lang w:val="en-US"/>
        </w:rPr>
      </w:pPr>
      <w:r>
        <w:t xml:space="preserve">The predicted costs to the TGA remain the same across Options 2 – 4, </w:t>
      </w:r>
      <w:r w:rsidR="006B2487">
        <w:t xml:space="preserve">noting they will increase proportionate to the volume of reports being submitted (i.e., </w:t>
      </w:r>
      <w:r w:rsidR="007064DC">
        <w:t>as the scope, and estimated reporting volume increases across options, so will the costs to the TGA).</w:t>
      </w:r>
      <w:r w:rsidR="00D32DC3">
        <w:br/>
      </w:r>
      <w:r w:rsidR="00D32DC3">
        <w:br/>
      </w:r>
      <w:r w:rsidR="00262013">
        <w:rPr>
          <w:szCs w:val="21"/>
          <w:lang w:val="en-US"/>
        </w:rPr>
        <w:t xml:space="preserve">In addition to the IT enhancements and associated costs, there will be </w:t>
      </w:r>
      <w:r w:rsidR="00883D8F">
        <w:rPr>
          <w:szCs w:val="21"/>
          <w:lang w:val="en-US"/>
        </w:rPr>
        <w:t xml:space="preserve">operational </w:t>
      </w:r>
      <w:r w:rsidR="00262013">
        <w:rPr>
          <w:szCs w:val="21"/>
          <w:lang w:val="en-US"/>
        </w:rPr>
        <w:t>expenses related to recruitment and training of staff members to man</w:t>
      </w:r>
      <w:r w:rsidR="00883D8F">
        <w:rPr>
          <w:szCs w:val="21"/>
          <w:lang w:val="en-US"/>
        </w:rPr>
        <w:t>a</w:t>
      </w:r>
      <w:r w:rsidR="00262013">
        <w:rPr>
          <w:szCs w:val="21"/>
          <w:lang w:val="en-US"/>
        </w:rPr>
        <w:t xml:space="preserve">ge the expected influx of new </w:t>
      </w:r>
      <w:r w:rsidR="00883D8F">
        <w:rPr>
          <w:szCs w:val="21"/>
          <w:lang w:val="en-US"/>
        </w:rPr>
        <w:t xml:space="preserve">incident reports and investigations. </w:t>
      </w:r>
    </w:p>
    <w:p w14:paraId="705AEA4A" w14:textId="2955E5A0" w:rsidR="00262013" w:rsidRPr="00B42153" w:rsidRDefault="00883D8F" w:rsidP="00D6350A">
      <w:r>
        <w:rPr>
          <w:szCs w:val="21"/>
          <w:lang w:val="en-US"/>
        </w:rPr>
        <w:br/>
      </w:r>
      <w:r>
        <w:t xml:space="preserve">If no upgrades or enhancements to the TGA’s IT systems are implemented, and staffing is increased to manage the additional influx of reports, the estimated staffing cost will range from </w:t>
      </w:r>
      <w:r>
        <w:rPr>
          <w:szCs w:val="21"/>
          <w:lang w:val="en-US"/>
        </w:rPr>
        <w:t>$1.5m to $4.4m (under a 3 factor increase in reporting) per annum to $15.8m (under a 10 factor increase in reporting) per annum.</w:t>
      </w:r>
      <w:r>
        <w:rPr>
          <w:szCs w:val="21"/>
          <w:lang w:val="en-US"/>
        </w:rPr>
        <w:br/>
      </w:r>
    </w:p>
    <w:p w14:paraId="3C0508D3" w14:textId="341C6199" w:rsidR="004A3E0B" w:rsidRPr="00422DE8" w:rsidRDefault="00DB65A3" w:rsidP="004A3E0B">
      <w:pPr>
        <w:pStyle w:val="Heading4"/>
        <w:rPr>
          <w:color w:val="FFFFFF" w:themeColor="background1"/>
        </w:rPr>
      </w:pPr>
      <w:r>
        <w:rPr>
          <w:noProof/>
          <w:lang w:eastAsia="en-AU"/>
        </w:rPr>
        <w:drawing>
          <wp:anchor distT="0" distB="0" distL="114300" distR="114300" simplePos="0" relativeHeight="251662848" behindDoc="0" locked="0" layoutInCell="1" allowOverlap="1" wp14:anchorId="12C97884" wp14:editId="3BBD427E">
            <wp:simplePos x="0" y="0"/>
            <wp:positionH relativeFrom="margin">
              <wp:align>right</wp:align>
            </wp:positionH>
            <wp:positionV relativeFrom="paragraph">
              <wp:posOffset>163013</wp:posOffset>
            </wp:positionV>
            <wp:extent cx="5742940" cy="383621"/>
            <wp:effectExtent l="0" t="0" r="0" b="0"/>
            <wp:wrapNone/>
            <wp:docPr id="1645535261" name="Picture 31" descr="A white board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35261" name="Picture 31" descr="A white board with blue bord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2940" cy="383621"/>
                    </a:xfrm>
                    <a:prstGeom prst="rect">
                      <a:avLst/>
                    </a:prstGeom>
                    <a:noFill/>
                  </pic:spPr>
                </pic:pic>
              </a:graphicData>
            </a:graphic>
          </wp:anchor>
        </w:drawing>
      </w:r>
      <w:r w:rsidR="004A3E0B" w:rsidRPr="00422DE8">
        <w:rPr>
          <w:color w:val="FFFFFF" w:themeColor="background1"/>
        </w:rPr>
        <w:t>Option 2A: Batch Reporting</w:t>
      </w:r>
    </w:p>
    <w:p w14:paraId="5C8C2DD5" w14:textId="77777777" w:rsidR="00DB65A3" w:rsidRDefault="00DB65A3" w:rsidP="004A3E0B"/>
    <w:p w14:paraId="35F6F55C" w14:textId="77777777" w:rsidR="0047181F" w:rsidRDefault="0047181F" w:rsidP="004A3E0B"/>
    <w:p w14:paraId="28304B83" w14:textId="2EF2DC37" w:rsidR="004A3E0B" w:rsidRDefault="008051B1" w:rsidP="004A3E0B">
      <w:r>
        <w:t xml:space="preserve">In addition to the </w:t>
      </w:r>
      <w:r w:rsidR="00C57B6E">
        <w:t xml:space="preserve">benefits and costs outlined </w:t>
      </w:r>
      <w:r w:rsidR="000271CE">
        <w:t xml:space="preserve">in the Option 2 summary section </w:t>
      </w:r>
      <w:r w:rsidR="00C57B6E">
        <w:t xml:space="preserve">above, </w:t>
      </w:r>
      <w:r w:rsidR="00E425C1">
        <w:t>Option 2A</w:t>
      </w:r>
      <w:r w:rsidR="0033239C">
        <w:t>, utilising batch reporting</w:t>
      </w:r>
      <w:r w:rsidR="00D5543D">
        <w:t xml:space="preserve">, </w:t>
      </w:r>
      <w:r w:rsidR="00D20654">
        <w:t>has the following additional benefits and costs</w:t>
      </w:r>
      <w:r w:rsidR="005A660A">
        <w:t xml:space="preserve"> </w:t>
      </w:r>
      <w:r w:rsidR="005A660A" w:rsidRPr="005A660A">
        <w:t xml:space="preserve">(in </w:t>
      </w:r>
      <w:r w:rsidR="003D69A8" w:rsidRPr="005A660A">
        <w:t>co</w:t>
      </w:r>
      <w:r w:rsidR="003D69A8">
        <w:t>ntrast</w:t>
      </w:r>
      <w:r w:rsidR="003D69A8" w:rsidRPr="005A660A">
        <w:t xml:space="preserve"> </w:t>
      </w:r>
      <w:r w:rsidR="005A660A" w:rsidRPr="005A660A">
        <w:t>to 2</w:t>
      </w:r>
      <w:r w:rsidR="005A660A">
        <w:t>B</w:t>
      </w:r>
      <w:r w:rsidR="005A660A" w:rsidRPr="005A660A">
        <w:t>):</w:t>
      </w:r>
    </w:p>
    <w:p w14:paraId="3068949D" w14:textId="5682CA12" w:rsidR="00D20654" w:rsidRDefault="00D20654" w:rsidP="00D20654">
      <w:pPr>
        <w:pStyle w:val="Bullet1"/>
      </w:pPr>
      <w:r>
        <w:t>Benefits</w:t>
      </w:r>
    </w:p>
    <w:p w14:paraId="721F1C9A" w14:textId="7161F6A7" w:rsidR="00D20654" w:rsidRPr="0079175B" w:rsidRDefault="00D20654" w:rsidP="00D20654">
      <w:pPr>
        <w:pStyle w:val="ListBullet2"/>
        <w:rPr>
          <w:color w:val="auto"/>
        </w:rPr>
      </w:pPr>
      <w:r w:rsidRPr="0079175B">
        <w:rPr>
          <w:color w:val="auto"/>
        </w:rPr>
        <w:t xml:space="preserve">lower resource impost on healthcare facilities due to the </w:t>
      </w:r>
      <w:r w:rsidR="00AE0068" w:rsidRPr="0079175B">
        <w:rPr>
          <w:color w:val="auto"/>
        </w:rPr>
        <w:t xml:space="preserve">likely lower reporting frequency in comparison to on occurrence reporting. This is of particular benefit to larger public and private hospitals who are likely to experience </w:t>
      </w:r>
      <w:r w:rsidR="0055562E" w:rsidRPr="0079175B">
        <w:rPr>
          <w:color w:val="auto"/>
        </w:rPr>
        <w:t xml:space="preserve">a higher volume of reports, and thus benefit more </w:t>
      </w:r>
      <w:r w:rsidR="00D27878" w:rsidRPr="0079175B">
        <w:rPr>
          <w:color w:val="auto"/>
        </w:rPr>
        <w:t xml:space="preserve">from the introduction of </w:t>
      </w:r>
      <w:r w:rsidR="003D2790" w:rsidRPr="0079175B">
        <w:rPr>
          <w:color w:val="auto"/>
        </w:rPr>
        <w:t>batch reporting</w:t>
      </w:r>
    </w:p>
    <w:p w14:paraId="19702B74" w14:textId="72882E1E" w:rsidR="00007A86" w:rsidRPr="0079175B" w:rsidRDefault="00F24F24" w:rsidP="00D20654">
      <w:pPr>
        <w:pStyle w:val="ListBullet2"/>
        <w:rPr>
          <w:color w:val="auto"/>
        </w:rPr>
      </w:pPr>
      <w:r w:rsidRPr="0079175B">
        <w:rPr>
          <w:color w:val="auto"/>
        </w:rPr>
        <w:t>potential utility of an API</w:t>
      </w:r>
      <w:r w:rsidR="0047181F">
        <w:rPr>
          <w:color w:val="auto"/>
        </w:rPr>
        <w:t xml:space="preserve"> as a future option</w:t>
      </w:r>
      <w:r w:rsidRPr="0079175B">
        <w:rPr>
          <w:color w:val="auto"/>
        </w:rPr>
        <w:t xml:space="preserve"> in transferring reporting data from health facilities to the TGA</w:t>
      </w:r>
      <w:r w:rsidR="009D716A" w:rsidRPr="0079175B">
        <w:rPr>
          <w:color w:val="auto"/>
        </w:rPr>
        <w:t xml:space="preserve"> could </w:t>
      </w:r>
      <w:r w:rsidR="00601DD1" w:rsidRPr="0079175B">
        <w:rPr>
          <w:color w:val="auto"/>
        </w:rPr>
        <w:t xml:space="preserve">be a </w:t>
      </w:r>
      <w:r w:rsidR="00F466B1" w:rsidRPr="0079175B">
        <w:rPr>
          <w:color w:val="auto"/>
        </w:rPr>
        <w:t>further benefit</w:t>
      </w:r>
      <w:r w:rsidR="00601DD1" w:rsidRPr="0079175B">
        <w:rPr>
          <w:color w:val="auto"/>
        </w:rPr>
        <w:t xml:space="preserve"> in the form of increased effici</w:t>
      </w:r>
      <w:r w:rsidR="000A1F62" w:rsidRPr="0079175B">
        <w:rPr>
          <w:color w:val="auto"/>
        </w:rPr>
        <w:t>encies.</w:t>
      </w:r>
    </w:p>
    <w:p w14:paraId="0381DBDF" w14:textId="59F70AFB" w:rsidR="00D20654" w:rsidRDefault="00D20654" w:rsidP="00D20654">
      <w:pPr>
        <w:pStyle w:val="Bullet1"/>
      </w:pPr>
      <w:r>
        <w:t>Costs</w:t>
      </w:r>
    </w:p>
    <w:p w14:paraId="785F8A94" w14:textId="40659A42" w:rsidR="00D20654" w:rsidRPr="0079175B" w:rsidRDefault="003A3F6D" w:rsidP="00D20654">
      <w:pPr>
        <w:pStyle w:val="ListBullet2"/>
        <w:rPr>
          <w:color w:val="auto"/>
        </w:rPr>
      </w:pPr>
      <w:r>
        <w:rPr>
          <w:color w:val="auto"/>
        </w:rPr>
        <w:t>p</w:t>
      </w:r>
      <w:r w:rsidR="003577DC" w:rsidRPr="0079175B">
        <w:rPr>
          <w:color w:val="auto"/>
        </w:rPr>
        <w:t xml:space="preserve">otential for a </w:t>
      </w:r>
      <w:r w:rsidR="00FC50DC" w:rsidRPr="0079175B">
        <w:rPr>
          <w:color w:val="auto"/>
        </w:rPr>
        <w:t>larger time delay</w:t>
      </w:r>
      <w:r w:rsidR="001C706B" w:rsidRPr="0079175B">
        <w:rPr>
          <w:color w:val="auto"/>
        </w:rPr>
        <w:t xml:space="preserve"> in identifying weak signals for medical devices </w:t>
      </w:r>
      <w:r w:rsidR="003C6443" w:rsidRPr="0079175B">
        <w:rPr>
          <w:color w:val="auto"/>
        </w:rPr>
        <w:t>that may pose a</w:t>
      </w:r>
      <w:r w:rsidR="001C706B" w:rsidRPr="0079175B">
        <w:rPr>
          <w:color w:val="auto"/>
        </w:rPr>
        <w:t xml:space="preserve"> potential health </w:t>
      </w:r>
      <w:r w:rsidR="003C6443" w:rsidRPr="0079175B">
        <w:rPr>
          <w:color w:val="auto"/>
        </w:rPr>
        <w:t>risk to health practitioners or patients</w:t>
      </w:r>
      <w:r w:rsidR="000A1F62" w:rsidRPr="0079175B">
        <w:rPr>
          <w:color w:val="auto"/>
        </w:rPr>
        <w:t xml:space="preserve"> (noting that the </w:t>
      </w:r>
      <w:r w:rsidR="009120C1" w:rsidRPr="0079175B">
        <w:rPr>
          <w:color w:val="auto"/>
        </w:rPr>
        <w:t>imposition</w:t>
      </w:r>
      <w:r w:rsidR="000A1F62" w:rsidRPr="0079175B">
        <w:rPr>
          <w:color w:val="auto"/>
        </w:rPr>
        <w:t xml:space="preserve"> of a monthly </w:t>
      </w:r>
      <w:r w:rsidR="009120C1" w:rsidRPr="0079175B">
        <w:rPr>
          <w:color w:val="auto"/>
        </w:rPr>
        <w:t xml:space="preserve">cadence to </w:t>
      </w:r>
      <w:r w:rsidR="000A1F62" w:rsidRPr="0079175B">
        <w:rPr>
          <w:color w:val="auto"/>
        </w:rPr>
        <w:t>batch reporting</w:t>
      </w:r>
      <w:r w:rsidR="006C75C2" w:rsidRPr="0079175B">
        <w:rPr>
          <w:color w:val="auto"/>
        </w:rPr>
        <w:t xml:space="preserve">, in combination with the ability to directly report to the TGA through other avenues if </w:t>
      </w:r>
      <w:r w:rsidR="00AE5FCC" w:rsidRPr="0079175B">
        <w:rPr>
          <w:color w:val="auto"/>
        </w:rPr>
        <w:t>deemed necessary</w:t>
      </w:r>
      <w:r w:rsidR="009120C1" w:rsidRPr="0079175B">
        <w:rPr>
          <w:color w:val="auto"/>
        </w:rPr>
        <w:t>, largely</w:t>
      </w:r>
      <w:r w:rsidR="000A1F62" w:rsidRPr="0079175B">
        <w:rPr>
          <w:color w:val="auto"/>
        </w:rPr>
        <w:t xml:space="preserve"> </w:t>
      </w:r>
      <w:r w:rsidR="00125B01" w:rsidRPr="0079175B">
        <w:rPr>
          <w:color w:val="auto"/>
        </w:rPr>
        <w:t>mitigates this risk)</w:t>
      </w:r>
      <w:r w:rsidR="003C6443" w:rsidRPr="0079175B">
        <w:rPr>
          <w:color w:val="auto"/>
        </w:rPr>
        <w:t>.</w:t>
      </w:r>
    </w:p>
    <w:p w14:paraId="5FCDB7A8" w14:textId="1F189373" w:rsidR="004A3E0B" w:rsidRDefault="007F2AB2" w:rsidP="004A3E0B">
      <w:pPr>
        <w:pStyle w:val="Heading4"/>
      </w:pPr>
      <w:r w:rsidRPr="00422DE8">
        <w:rPr>
          <w:noProof/>
          <w:color w:val="FFFFFF" w:themeColor="background1"/>
          <w:lang w:eastAsia="en-AU"/>
        </w:rPr>
        <w:drawing>
          <wp:anchor distT="0" distB="0" distL="114300" distR="114300" simplePos="0" relativeHeight="251665920" behindDoc="0" locked="0" layoutInCell="1" allowOverlap="1" wp14:anchorId="503AC5E1" wp14:editId="3C120AB0">
            <wp:simplePos x="0" y="0"/>
            <wp:positionH relativeFrom="margin">
              <wp:align>right</wp:align>
            </wp:positionH>
            <wp:positionV relativeFrom="paragraph">
              <wp:posOffset>-11876</wp:posOffset>
            </wp:positionV>
            <wp:extent cx="5742940" cy="380320"/>
            <wp:effectExtent l="0" t="0" r="0" b="1270"/>
            <wp:wrapNone/>
            <wp:docPr id="1504674770" name="Picture 32" descr="A white board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74770" name="Picture 32" descr="A white board with blue bord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2940" cy="380320"/>
                    </a:xfrm>
                    <a:prstGeom prst="rect">
                      <a:avLst/>
                    </a:prstGeom>
                    <a:noFill/>
                  </pic:spPr>
                </pic:pic>
              </a:graphicData>
            </a:graphic>
          </wp:anchor>
        </w:drawing>
      </w:r>
      <w:r w:rsidR="004A3E0B" w:rsidRPr="00422DE8">
        <w:rPr>
          <w:color w:val="FFFFFF" w:themeColor="background1"/>
        </w:rPr>
        <w:t>Option 2B</w:t>
      </w:r>
    </w:p>
    <w:p w14:paraId="79E9F16B" w14:textId="77777777" w:rsidR="00DB65A3" w:rsidRDefault="00DB65A3" w:rsidP="00D20654"/>
    <w:p w14:paraId="7B8CFD4F" w14:textId="4D315DD7" w:rsidR="00D20654" w:rsidRDefault="00D20654" w:rsidP="00D20654">
      <w:r>
        <w:t xml:space="preserve">In addition to the benefits and costs outlined </w:t>
      </w:r>
      <w:r w:rsidR="00AE4D5E">
        <w:t xml:space="preserve">in the Option 2 </w:t>
      </w:r>
      <w:r w:rsidR="003D69A8">
        <w:t>su</w:t>
      </w:r>
      <w:r w:rsidR="00AE4D5E">
        <w:t xml:space="preserve">mmary </w:t>
      </w:r>
      <w:r>
        <w:t>above, Option 2B, utilising on occurrence reporting, has the following additional benefits and costs</w:t>
      </w:r>
      <w:r w:rsidR="005A660A">
        <w:t xml:space="preserve"> (in con</w:t>
      </w:r>
      <w:r w:rsidR="003D69A8">
        <w:t>trast</w:t>
      </w:r>
      <w:r w:rsidR="005A660A">
        <w:t xml:space="preserve"> to 2A)</w:t>
      </w:r>
      <w:r>
        <w:t>:</w:t>
      </w:r>
    </w:p>
    <w:p w14:paraId="6ADEBB2E" w14:textId="3CC52357" w:rsidR="00D20654" w:rsidRDefault="00D20654" w:rsidP="00D20654">
      <w:pPr>
        <w:pStyle w:val="Bullet1"/>
      </w:pPr>
      <w:r>
        <w:t>Benefits</w:t>
      </w:r>
    </w:p>
    <w:p w14:paraId="7DBFBABC" w14:textId="271FE0C5" w:rsidR="00D20654" w:rsidRPr="0079175B" w:rsidRDefault="000A1F62" w:rsidP="00D20654">
      <w:pPr>
        <w:pStyle w:val="ListBullet2"/>
        <w:rPr>
          <w:color w:val="auto"/>
        </w:rPr>
      </w:pPr>
      <w:r w:rsidRPr="0079175B">
        <w:rPr>
          <w:color w:val="auto"/>
        </w:rPr>
        <w:t>more timely reporting of</w:t>
      </w:r>
      <w:r w:rsidR="00554C8B">
        <w:rPr>
          <w:color w:val="auto"/>
        </w:rPr>
        <w:t xml:space="preserve"> serious</w:t>
      </w:r>
      <w:r w:rsidRPr="0079175B">
        <w:rPr>
          <w:color w:val="auto"/>
        </w:rPr>
        <w:t xml:space="preserve"> medical device adverse events to the TGA</w:t>
      </w:r>
      <w:r w:rsidR="009120C1" w:rsidRPr="0079175B">
        <w:rPr>
          <w:color w:val="auto"/>
        </w:rPr>
        <w:t xml:space="preserve">, which in turn leads to increased capability for the TGA to identify, in a </w:t>
      </w:r>
      <w:r w:rsidR="00736BD6" w:rsidRPr="0079175B">
        <w:rPr>
          <w:color w:val="auto"/>
        </w:rPr>
        <w:t>timelier</w:t>
      </w:r>
      <w:r w:rsidR="009120C1" w:rsidRPr="0079175B">
        <w:rPr>
          <w:color w:val="auto"/>
        </w:rPr>
        <w:t xml:space="preserve"> manner, </w:t>
      </w:r>
      <w:r w:rsidR="00B53018" w:rsidRPr="0079175B">
        <w:rPr>
          <w:color w:val="auto"/>
        </w:rPr>
        <w:t xml:space="preserve">signals </w:t>
      </w:r>
      <w:r w:rsidR="00C551D4" w:rsidRPr="0079175B">
        <w:rPr>
          <w:color w:val="auto"/>
        </w:rPr>
        <w:t xml:space="preserve">relating to medical devices with potential health </w:t>
      </w:r>
      <w:r w:rsidR="00B87570" w:rsidRPr="0079175B">
        <w:rPr>
          <w:color w:val="auto"/>
        </w:rPr>
        <w:t>risks.</w:t>
      </w:r>
    </w:p>
    <w:p w14:paraId="3F6BB535" w14:textId="16546C67" w:rsidR="00D20654" w:rsidRPr="00B367B6" w:rsidRDefault="00D20654" w:rsidP="00D20654">
      <w:pPr>
        <w:pStyle w:val="Bullet1"/>
      </w:pPr>
      <w:r w:rsidRPr="00B367B6">
        <w:t>Costs</w:t>
      </w:r>
    </w:p>
    <w:p w14:paraId="22139649" w14:textId="4E8D19A9" w:rsidR="004A3E0B" w:rsidRDefault="000A6B5C" w:rsidP="00D20654">
      <w:pPr>
        <w:pStyle w:val="ListBullet2"/>
        <w:rPr>
          <w:color w:val="auto"/>
        </w:rPr>
      </w:pPr>
      <w:r w:rsidRPr="001F13E3">
        <w:rPr>
          <w:color w:val="auto"/>
        </w:rPr>
        <w:t>increased impost on the regulated community</w:t>
      </w:r>
      <w:r w:rsidR="00F30A9F" w:rsidRPr="001F13E3">
        <w:rPr>
          <w:color w:val="auto"/>
        </w:rPr>
        <w:t>, which will disproportionately affect those healthcare facilities that have either</w:t>
      </w:r>
      <w:r w:rsidR="00E0353E" w:rsidRPr="001F13E3">
        <w:rPr>
          <w:color w:val="auto"/>
        </w:rPr>
        <w:t>, relative high volumes</w:t>
      </w:r>
      <w:r w:rsidR="00F30A9F" w:rsidRPr="001F13E3">
        <w:rPr>
          <w:color w:val="auto"/>
        </w:rPr>
        <w:t xml:space="preserve"> </w:t>
      </w:r>
      <w:r w:rsidR="00222173" w:rsidRPr="001F13E3">
        <w:rPr>
          <w:color w:val="auto"/>
        </w:rPr>
        <w:t>of patients/procedures,</w:t>
      </w:r>
      <w:r w:rsidR="00E230F6" w:rsidRPr="001F13E3">
        <w:rPr>
          <w:color w:val="auto"/>
        </w:rPr>
        <w:t xml:space="preserve"> or relative</w:t>
      </w:r>
      <w:r w:rsidR="00A9025E" w:rsidRPr="001F13E3">
        <w:rPr>
          <w:color w:val="auto"/>
        </w:rPr>
        <w:t xml:space="preserve"> low</w:t>
      </w:r>
      <w:r w:rsidR="00736BD6" w:rsidRPr="001F13E3">
        <w:rPr>
          <w:color w:val="auto"/>
        </w:rPr>
        <w:t xml:space="preserve"> staffing resources to support mandatory reporting.</w:t>
      </w:r>
    </w:p>
    <w:p w14:paraId="00B7AE95" w14:textId="77777777" w:rsidR="0027684F" w:rsidRDefault="0027684F" w:rsidP="0027684F">
      <w:pPr>
        <w:pStyle w:val="Heading4"/>
      </w:pPr>
      <w:r>
        <w:t>Regulatory burden measurement framework</w:t>
      </w:r>
    </w:p>
    <w:p w14:paraId="21B14D44" w14:textId="0510E6C1" w:rsidR="0027684F" w:rsidRDefault="00206B1B" w:rsidP="0027684F">
      <w:r>
        <w:rPr>
          <w:noProof/>
          <w:lang w:eastAsia="en-AU"/>
        </w:rPr>
        <mc:AlternateContent>
          <mc:Choice Requires="wps">
            <w:drawing>
              <wp:anchor distT="45720" distB="45720" distL="114300" distR="114300" simplePos="0" relativeHeight="251680256" behindDoc="0" locked="0" layoutInCell="1" allowOverlap="1" wp14:anchorId="4B95EA49" wp14:editId="6E6772AC">
                <wp:simplePos x="0" y="0"/>
                <wp:positionH relativeFrom="margin">
                  <wp:align>left</wp:align>
                </wp:positionH>
                <wp:positionV relativeFrom="paragraph">
                  <wp:posOffset>1120775</wp:posOffset>
                </wp:positionV>
                <wp:extent cx="5443855" cy="1404620"/>
                <wp:effectExtent l="0" t="0" r="23495" b="17145"/>
                <wp:wrapSquare wrapText="bothSides"/>
                <wp:docPr id="1331393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404620"/>
                        </a:xfrm>
                        <a:prstGeom prst="rect">
                          <a:avLst/>
                        </a:prstGeom>
                        <a:solidFill>
                          <a:srgbClr val="FFFFFF"/>
                        </a:solidFill>
                        <a:ln w="9525">
                          <a:solidFill>
                            <a:srgbClr val="000000"/>
                          </a:solidFill>
                          <a:miter lim="800000"/>
                          <a:headEnd/>
                          <a:tailEnd/>
                        </a:ln>
                      </wps:spPr>
                      <wps:txbx>
                        <w:txbxContent>
                          <w:p w14:paraId="59FA90BF" w14:textId="72868586" w:rsidR="008461AF" w:rsidRDefault="008461AF" w:rsidP="00D57FC7">
                            <w:pPr>
                              <w:shd w:val="clear" w:color="auto" w:fill="E8E8E8" w:themeFill="background2"/>
                            </w:pPr>
                            <w:r>
                              <w:t>OPTION 2B</w:t>
                            </w:r>
                            <w:r>
                              <w:br/>
                              <w:t xml:space="preserve">Average cost per year for all private healthcare facilities (businesses) combined over the default ten-year period under regulatory burden framework measurement is $1.20 million.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5EA49" id="_x0000_s1031" type="#_x0000_t202" style="position:absolute;margin-left:0;margin-top:88.25pt;width:428.65pt;height:110.6pt;z-index:251680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">
                <v:textbox style="mso-fit-shape-to-text:t">
                  <w:txbxContent>
                    <w:p w14:paraId="59FA90BF" w14:textId="72868586" w:rsidR="008461AF" w:rsidRDefault="008461AF" w:rsidP="00D57FC7">
                      <w:pPr>
                        <w:shd w:val="clear" w:color="auto" w:fill="E8E8E8" w:themeFill="background2"/>
                      </w:pPr>
                      <w:r>
                        <w:t>OPTION 2B</w:t>
                      </w:r>
                      <w:r>
                        <w:br/>
                        <w:t xml:space="preserve">Average cost per year for all private healthcare facilities (businesses) combined over the default ten-year period under regulatory burden framework measurement is $1.20 million. </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79232" behindDoc="0" locked="0" layoutInCell="1" allowOverlap="1" wp14:anchorId="18D52E98" wp14:editId="6899C6AB">
                <wp:simplePos x="0" y="0"/>
                <wp:positionH relativeFrom="margin">
                  <wp:align>left</wp:align>
                </wp:positionH>
                <wp:positionV relativeFrom="paragraph">
                  <wp:posOffset>288595</wp:posOffset>
                </wp:positionV>
                <wp:extent cx="5443855" cy="1404620"/>
                <wp:effectExtent l="0" t="0" r="23495" b="17145"/>
                <wp:wrapSquare wrapText="bothSides"/>
                <wp:docPr id="167607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404620"/>
                        </a:xfrm>
                        <a:prstGeom prst="rect">
                          <a:avLst/>
                        </a:prstGeom>
                        <a:solidFill>
                          <a:srgbClr val="FFFFFF"/>
                        </a:solidFill>
                        <a:ln w="9525">
                          <a:solidFill>
                            <a:srgbClr val="000000"/>
                          </a:solidFill>
                          <a:miter lim="800000"/>
                          <a:headEnd/>
                          <a:tailEnd/>
                        </a:ln>
                      </wps:spPr>
                      <wps:txbx>
                        <w:txbxContent>
                          <w:p w14:paraId="6C937CA6" w14:textId="05ABCC19" w:rsidR="008461AF" w:rsidRDefault="008461AF" w:rsidP="00627A57">
                            <w:pPr>
                              <w:shd w:val="clear" w:color="auto" w:fill="E8E8E8" w:themeFill="background2"/>
                            </w:pPr>
                            <w:r>
                              <w:t>OPTION 2A</w:t>
                            </w:r>
                            <w:r>
                              <w:br/>
                              <w:t xml:space="preserve">Average cost per year for all private healthcare facilities (businesses) combined over the default ten-year period under regulatory burden framework measurement is $1.19 million.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52E98" id="_x0000_s1032" type="#_x0000_t202" style="position:absolute;margin-left:0;margin-top:22.7pt;width:428.65pt;height:110.6pt;z-index:251679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">
                <v:textbox style="mso-fit-shape-to-text:t">
                  <w:txbxContent>
                    <w:p w14:paraId="6C937CA6" w14:textId="05ABCC19" w:rsidR="008461AF" w:rsidRDefault="008461AF" w:rsidP="00627A57">
                      <w:pPr>
                        <w:shd w:val="clear" w:color="auto" w:fill="E8E8E8" w:themeFill="background2"/>
                      </w:pPr>
                      <w:r>
                        <w:t>OPTION 2A</w:t>
                      </w:r>
                      <w:r>
                        <w:br/>
                        <w:t xml:space="preserve">Average cost per year for all private healthcare facilities (businesses) combined over the default ten-year period under regulatory burden framework measurement is $1.19 million. </w:t>
                      </w:r>
                    </w:p>
                  </w:txbxContent>
                </v:textbox>
                <w10:wrap type="square" anchorx="margin"/>
              </v:shape>
            </w:pict>
          </mc:Fallback>
        </mc:AlternateContent>
      </w:r>
      <w:r w:rsidR="00FC5596">
        <w:t>Total a</w:t>
      </w:r>
      <w:r w:rsidR="00E66E2A">
        <w:t xml:space="preserve">nnualised over a </w:t>
      </w:r>
      <w:r w:rsidR="00475525">
        <w:t>10-year</w:t>
      </w:r>
      <w:r w:rsidR="00E66E2A">
        <w:t xml:space="preserve"> period, i</w:t>
      </w:r>
      <w:r w:rsidR="0027684F">
        <w:t>t is estimated that:</w:t>
      </w:r>
    </w:p>
    <w:p w14:paraId="62126658" w14:textId="227DDFFF" w:rsidR="00206B1B" w:rsidRDefault="00206B1B" w:rsidP="0027684F"/>
    <w:p w14:paraId="348C3E28" w14:textId="6A502207" w:rsidR="0027684F" w:rsidRDefault="0027684F" w:rsidP="0027684F">
      <w:r w:rsidRPr="001D18CD">
        <w:t xml:space="preserve">Regulatory burdens for both Option 2A and 2B, although likely to have flow on impacts to medical device manufacturers and sponsors, primarily effects healthcare facilities. Although impacting both public and private hospitals, for the purposes of the regulatory burden estimate, the figure above represents the </w:t>
      </w:r>
      <w:r w:rsidR="00DD4BEB" w:rsidRPr="001D18CD">
        <w:t>average annual</w:t>
      </w:r>
      <w:r w:rsidR="00580F82" w:rsidRPr="001D18CD">
        <w:t xml:space="preserve"> cost to private healthcare facilities</w:t>
      </w:r>
      <w:r w:rsidR="008D5CB0">
        <w:t>.</w:t>
      </w:r>
      <w:r w:rsidR="00F515EE" w:rsidRPr="001D18CD">
        <w:rPr>
          <w:rStyle w:val="FootnoteReference"/>
        </w:rPr>
        <w:footnoteReference w:id="79"/>
      </w:r>
      <w:r w:rsidR="008D5CB0">
        <w:t xml:space="preserve"> </w:t>
      </w:r>
      <w:r w:rsidR="00E14F0F" w:rsidRPr="001D18CD">
        <w:t>It is expected that the first-year costs will be higher, the main drivers for this being the likely system improvements required to facilitate the expedient transfer of medical device adverse event reports from local incident management systems to the TGA.</w:t>
      </w:r>
    </w:p>
    <w:p w14:paraId="6C9ED4C3" w14:textId="1BACA23C" w:rsidR="003975EB" w:rsidRPr="00D6350A" w:rsidRDefault="0027684F">
      <w:r>
        <w:t>Further detail on the</w:t>
      </w:r>
      <w:r w:rsidR="006F11AE">
        <w:t xml:space="preserve"> costs and benefits, the</w:t>
      </w:r>
      <w:r>
        <w:t xml:space="preserve"> likely regulatory burden, and the key assumptions and inputs can be found</w:t>
      </w:r>
      <w:r w:rsidR="00FF3717">
        <w:t xml:space="preserve"> </w:t>
      </w:r>
      <w:r w:rsidRPr="00C83AB2">
        <w:t xml:space="preserve">at </w:t>
      </w:r>
      <w:r>
        <w:t xml:space="preserve">Appendix </w:t>
      </w:r>
      <w:r w:rsidR="00B9037D">
        <w:t>A</w:t>
      </w:r>
      <w:r w:rsidR="006F11AE">
        <w:t xml:space="preserve"> and Appendix B respectively</w:t>
      </w:r>
      <w:r w:rsidRPr="00C83AB2">
        <w:t>.</w:t>
      </w:r>
    </w:p>
    <w:p w14:paraId="3E8220CC" w14:textId="77777777" w:rsidR="00ED7841" w:rsidRDefault="00ED7841">
      <w:pPr>
        <w:rPr>
          <w:rFonts w:eastAsia="Times New Roman" w:cs="Times New Roman"/>
          <w:b/>
          <w:bCs/>
          <w:color w:val="001871"/>
          <w:sz w:val="32"/>
          <w:szCs w:val="32"/>
        </w:rPr>
      </w:pPr>
      <w:r>
        <w:br w:type="page"/>
      </w:r>
    </w:p>
    <w:p w14:paraId="0455B3FE" w14:textId="7E9F925A" w:rsidR="006008AA" w:rsidRPr="00BC2703" w:rsidRDefault="00BC2703" w:rsidP="004C3113">
      <w:pPr>
        <w:pStyle w:val="Heading3"/>
        <w:rPr>
          <w:color w:val="FFFFFF" w:themeColor="background1"/>
        </w:rPr>
      </w:pPr>
      <w:bookmarkStart w:id="165" w:name="_Toc179531326"/>
      <w:bookmarkStart w:id="166" w:name="_Toc188012875"/>
      <w:r w:rsidRPr="00331F85">
        <w:rPr>
          <w:noProof/>
          <w:lang w:eastAsia="en-AU"/>
        </w:rPr>
        <w:drawing>
          <wp:anchor distT="0" distB="0" distL="114300" distR="114300" simplePos="0" relativeHeight="251685376" behindDoc="0" locked="0" layoutInCell="1" allowOverlap="1" wp14:anchorId="74DC69F4" wp14:editId="2566A7C7">
            <wp:simplePos x="0" y="0"/>
            <wp:positionH relativeFrom="margin">
              <wp:align>right</wp:align>
            </wp:positionH>
            <wp:positionV relativeFrom="paragraph">
              <wp:posOffset>-95910</wp:posOffset>
            </wp:positionV>
            <wp:extent cx="5731510" cy="2130425"/>
            <wp:effectExtent l="0" t="0" r="2540" b="3175"/>
            <wp:wrapNone/>
            <wp:docPr id="1128560404" name="Picture 3">
              <a:extLst xmlns:a="http://schemas.openxmlformats.org/drawingml/2006/main">
                <a:ext uri="{FF2B5EF4-FFF2-40B4-BE49-F238E27FC236}">
                  <a16:creationId xmlns:a16="http://schemas.microsoft.com/office/drawing/2014/main" id="{F9333EE7-AD59-B050-FA54-CE083992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9333EE7-AD59-B050-FA54-CE0839929AF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130425"/>
                    </a:xfrm>
                    <a:prstGeom prst="rect">
                      <a:avLst/>
                    </a:prstGeom>
                  </pic:spPr>
                </pic:pic>
              </a:graphicData>
            </a:graphic>
          </wp:anchor>
        </w:drawing>
      </w:r>
      <w:r w:rsidR="00037401" w:rsidRPr="00BC2703">
        <w:rPr>
          <w:color w:val="FFFFFF" w:themeColor="background1"/>
        </w:rPr>
        <w:t>Opti</w:t>
      </w:r>
      <w:r w:rsidR="00D41BB2" w:rsidRPr="00BC2703">
        <w:rPr>
          <w:color w:val="FFFFFF" w:themeColor="background1"/>
        </w:rPr>
        <w:t xml:space="preserve">on 3: </w:t>
      </w:r>
      <w:bookmarkEnd w:id="162"/>
      <w:r w:rsidR="00A03FCE" w:rsidRPr="00BC2703">
        <w:rPr>
          <w:color w:val="FFFFFF" w:themeColor="background1"/>
        </w:rPr>
        <w:t>Public and Private hospitals report adverse ev</w:t>
      </w:r>
      <w:r w:rsidR="00037401" w:rsidRPr="00BC2703">
        <w:rPr>
          <w:color w:val="FFFFFF" w:themeColor="background1"/>
        </w:rPr>
        <w:t>ents relating to medium and high risk medical devices</w:t>
      </w:r>
      <w:bookmarkEnd w:id="165"/>
      <w:bookmarkEnd w:id="166"/>
      <w:r w:rsidR="00A03FCE" w:rsidRPr="00BC2703">
        <w:rPr>
          <w:color w:val="FFFFFF" w:themeColor="background1"/>
        </w:rPr>
        <w:t xml:space="preserve"> </w:t>
      </w:r>
    </w:p>
    <w:p w14:paraId="27D7F3D1" w14:textId="5A68E8AC" w:rsidR="00037401" w:rsidRPr="00037401" w:rsidRDefault="00037401" w:rsidP="00ED7841"/>
    <w:p w14:paraId="5D69CCC0" w14:textId="7F125DA5" w:rsidR="00037401" w:rsidRPr="00037401" w:rsidRDefault="00037401" w:rsidP="00ED7841"/>
    <w:p w14:paraId="7C9C9F39" w14:textId="6CF84A68" w:rsidR="00037401" w:rsidRDefault="00037401" w:rsidP="00ED7841"/>
    <w:p w14:paraId="3EAC8BE0" w14:textId="77777777" w:rsidR="00037401" w:rsidRPr="00037401" w:rsidRDefault="00037401" w:rsidP="00ED7841"/>
    <w:p w14:paraId="0BDD42C4" w14:textId="04F6C8DE" w:rsidR="00037401" w:rsidRDefault="00037401" w:rsidP="00037401"/>
    <w:p w14:paraId="40018C33" w14:textId="77777777" w:rsidR="00BC2703" w:rsidRDefault="00BC2703" w:rsidP="00ED7841"/>
    <w:p w14:paraId="581B1F91" w14:textId="77777777" w:rsidR="00BC2703" w:rsidRDefault="00BC2703" w:rsidP="00ED7841"/>
    <w:p w14:paraId="0498A57B" w14:textId="1CFF1F90" w:rsidR="00ED7841" w:rsidRDefault="00ED7841" w:rsidP="00ED7841">
      <w:r>
        <w:t xml:space="preserve">Option 3 seeks to mandate medical device adverse event reporting for healthcare facilities, inclusive of public and private hospitals. However, mandatory reporting would be expanded to include devices </w:t>
      </w:r>
      <w:r w:rsidR="00833273">
        <w:t xml:space="preserve">deemed to be </w:t>
      </w:r>
      <w:r w:rsidR="004D3650">
        <w:t xml:space="preserve">of medium risk of potential harm to public safety (i.e., those </w:t>
      </w:r>
      <w:r>
        <w:t>classifie</w:t>
      </w:r>
      <w:r w:rsidR="00F32697">
        <w:t>d</w:t>
      </w:r>
      <w:r>
        <w:t xml:space="preserve"> as Class</w:t>
      </w:r>
      <w:r w:rsidR="00F32697">
        <w:t xml:space="preserve"> IIa</w:t>
      </w:r>
      <w:r w:rsidR="004D3650">
        <w:t xml:space="preserve">, </w:t>
      </w:r>
      <w:r w:rsidR="00BA65BE">
        <w:t xml:space="preserve">Class </w:t>
      </w:r>
      <w:r w:rsidR="00F32697">
        <w:t>I</w:t>
      </w:r>
      <w:r w:rsidR="0080310C">
        <w:t>I</w:t>
      </w:r>
      <w:r w:rsidR="00F32697">
        <w:t>b</w:t>
      </w:r>
      <w:r w:rsidR="005623DB">
        <w:t>, Class</w:t>
      </w:r>
      <w:r>
        <w:t xml:space="preserve"> III</w:t>
      </w:r>
      <w:r w:rsidR="005623DB">
        <w:t>, AIMDs, Class 3 and Class 4 IVD</w:t>
      </w:r>
      <w:r>
        <w:t xml:space="preserve"> </w:t>
      </w:r>
      <w:r w:rsidR="004D3650">
        <w:t>medical devices).</w:t>
      </w:r>
      <w:r>
        <w:t xml:space="preserve"> </w:t>
      </w:r>
    </w:p>
    <w:p w14:paraId="6F1125BD" w14:textId="7A993AFC" w:rsidR="00ED7841" w:rsidRDefault="00ED7841" w:rsidP="00ED7841">
      <w:r>
        <w:t xml:space="preserve">Additionally, Option </w:t>
      </w:r>
      <w:r w:rsidR="00911FAE">
        <w:t>3</w:t>
      </w:r>
      <w:r>
        <w:t xml:space="preserve"> presents two sub-options:</w:t>
      </w:r>
    </w:p>
    <w:p w14:paraId="7FE1BD7D" w14:textId="72AC4DA6" w:rsidR="00ED7841" w:rsidRDefault="00ED7841" w:rsidP="0079175B">
      <w:pPr>
        <w:pStyle w:val="Bullet1"/>
      </w:pPr>
      <w:r>
        <w:t xml:space="preserve">Option </w:t>
      </w:r>
      <w:r w:rsidR="00911FAE">
        <w:t>3</w:t>
      </w:r>
      <w:r>
        <w:t xml:space="preserve">A </w:t>
      </w:r>
      <w:r w:rsidR="003D411B">
        <w:t>–</w:t>
      </w:r>
      <w:r>
        <w:t xml:space="preserve"> reporting medical device adverse events in batch</w:t>
      </w:r>
    </w:p>
    <w:p w14:paraId="4970C027" w14:textId="572BD948" w:rsidR="00ED7841" w:rsidRPr="00ED7841" w:rsidRDefault="00ED7841" w:rsidP="0079175B">
      <w:pPr>
        <w:pStyle w:val="Bullet1"/>
      </w:pPr>
      <w:r>
        <w:t xml:space="preserve">Option </w:t>
      </w:r>
      <w:r w:rsidR="00911FAE">
        <w:t>3</w:t>
      </w:r>
      <w:r>
        <w:t xml:space="preserve">B </w:t>
      </w:r>
      <w:r w:rsidR="003D411B">
        <w:t>–</w:t>
      </w:r>
      <w:r>
        <w:t xml:space="preserve"> reporting medical device adverse events on occurrence.</w:t>
      </w:r>
    </w:p>
    <w:p w14:paraId="3BC47914" w14:textId="771A195C" w:rsidR="00386FC0" w:rsidRDefault="00386FC0" w:rsidP="00D6350A">
      <w:pPr>
        <w:pStyle w:val="Heading4"/>
      </w:pPr>
      <w:r>
        <w:t>Benefits</w:t>
      </w:r>
    </w:p>
    <w:p w14:paraId="71F8C3B6" w14:textId="019BDAC6" w:rsidR="00157EEA" w:rsidRDefault="00D3189B" w:rsidP="00B44D85">
      <w:r>
        <w:t xml:space="preserve">The key differentiator for Option 3 (both 3A and 3B), is the expansion </w:t>
      </w:r>
      <w:r w:rsidR="00947FDE">
        <w:t>in scope of reportable medical devices prescribed by the regulations. Namely, the addition of Class I</w:t>
      </w:r>
      <w:r w:rsidR="0080310C">
        <w:t>I</w:t>
      </w:r>
      <w:r w:rsidR="00947FDE">
        <w:t>a</w:t>
      </w:r>
      <w:r w:rsidR="002F5362">
        <w:t>, Class IIb</w:t>
      </w:r>
      <w:r w:rsidR="00947FDE">
        <w:t xml:space="preserve"> and </w:t>
      </w:r>
      <w:r w:rsidR="002F5362">
        <w:t>Class 3 IVDs</w:t>
      </w:r>
      <w:r w:rsidR="00B302BA">
        <w:t>.</w:t>
      </w:r>
      <w:r w:rsidR="00615819">
        <w:t xml:space="preserve"> </w:t>
      </w:r>
      <w:r w:rsidR="00991697">
        <w:t>In addition to the benefits described in Option 2, t</w:t>
      </w:r>
      <w:r w:rsidR="00615819">
        <w:t>h</w:t>
      </w:r>
      <w:r w:rsidR="002B3D93">
        <w:t>e key benefi</w:t>
      </w:r>
      <w:r w:rsidR="00990839">
        <w:t>t</w:t>
      </w:r>
      <w:r w:rsidR="002B3D93">
        <w:t xml:space="preserve"> </w:t>
      </w:r>
      <w:r w:rsidR="0014431E">
        <w:t>of</w:t>
      </w:r>
      <w:r w:rsidR="00157EEA">
        <w:t xml:space="preserve"> this option </w:t>
      </w:r>
      <w:r w:rsidR="001E5832">
        <w:t>is</w:t>
      </w:r>
      <w:r w:rsidR="00FC5596">
        <w:t xml:space="preserve"> </w:t>
      </w:r>
      <w:r w:rsidR="00A47C69">
        <w:t xml:space="preserve">improved coverage of medical devices deemed to be of </w:t>
      </w:r>
      <w:r w:rsidR="00991697">
        <w:t xml:space="preserve">medium to </w:t>
      </w:r>
      <w:r w:rsidR="00A47C69">
        <w:t>high potential risk to safety</w:t>
      </w:r>
      <w:r w:rsidR="001E5832">
        <w:t>.</w:t>
      </w:r>
    </w:p>
    <w:p w14:paraId="711D0D37" w14:textId="43D901A3" w:rsidR="0004632F" w:rsidRDefault="00A11653" w:rsidP="006B55BF">
      <w:r>
        <w:t>By</w:t>
      </w:r>
      <w:r w:rsidR="00D1147F">
        <w:t xml:space="preserve"> i</w:t>
      </w:r>
      <w:r w:rsidR="00DC6F6C">
        <w:t>ncreasing the</w:t>
      </w:r>
      <w:r w:rsidR="006B55BF">
        <w:t xml:space="preserve"> scope of medical devices to be reported against, </w:t>
      </w:r>
      <w:r w:rsidR="00AB1F8D">
        <w:t xml:space="preserve">it is </w:t>
      </w:r>
      <w:r w:rsidR="00297EA8">
        <w:t xml:space="preserve">appropriate to assume this will </w:t>
      </w:r>
      <w:r w:rsidR="00D1147F">
        <w:t>result in increased volumes of medical device adverse event reporting (in and above the volumes expected of Options 1, 2A and 2B). This, in turn, will improve the TGA’s capability to</w:t>
      </w:r>
      <w:r w:rsidR="00991FAF">
        <w:t xml:space="preserve"> detect and respond to weak signals </w:t>
      </w:r>
      <w:r w:rsidR="00A34396">
        <w:t xml:space="preserve">that may </w:t>
      </w:r>
      <w:r w:rsidR="00A65230">
        <w:t>indicat</w:t>
      </w:r>
      <w:r w:rsidR="00A34396">
        <w:t>e</w:t>
      </w:r>
      <w:r w:rsidR="00A65230">
        <w:t xml:space="preserve"> a medical device </w:t>
      </w:r>
      <w:r w:rsidR="00DA2E51">
        <w:t>that poses a safety risk.</w:t>
      </w:r>
    </w:p>
    <w:p w14:paraId="0BA6C238" w14:textId="4889BB6A" w:rsidR="00D31A25" w:rsidRDefault="00D31A25" w:rsidP="006B55BF">
      <w:r>
        <w:t>This</w:t>
      </w:r>
      <w:r w:rsidR="00FC65BD">
        <w:t xml:space="preserve"> therefore would have some tangential flow on effects on the medical device manufacturers and sponsors. Namely, the reduced likelihood of serious </w:t>
      </w:r>
      <w:r w:rsidR="0048515D">
        <w:t xml:space="preserve">adverse public health events that </w:t>
      </w:r>
      <w:r w:rsidR="007C509A">
        <w:t xml:space="preserve">could </w:t>
      </w:r>
      <w:r w:rsidR="0048515D">
        <w:t xml:space="preserve">result in </w:t>
      </w:r>
      <w:r w:rsidR="009D548E">
        <w:t xml:space="preserve">legal action or </w:t>
      </w:r>
      <w:r w:rsidR="0048515D">
        <w:t>significant costs for the medical device manufacturers and sponsors (</w:t>
      </w:r>
      <w:r w:rsidR="00E02A73">
        <w:t xml:space="preserve">e.g., </w:t>
      </w:r>
      <w:r w:rsidR="009D548E">
        <w:t xml:space="preserve">surgical mesh </w:t>
      </w:r>
      <w:r w:rsidR="00E02A73">
        <w:t>case).</w:t>
      </w:r>
    </w:p>
    <w:p w14:paraId="22D04C5D" w14:textId="2E2258D6" w:rsidR="00386FC0" w:rsidRDefault="00386FC0" w:rsidP="00D6350A">
      <w:pPr>
        <w:pStyle w:val="Heading4"/>
      </w:pPr>
      <w:r>
        <w:t>Costs</w:t>
      </w:r>
    </w:p>
    <w:p w14:paraId="61C4171C" w14:textId="72F5C44F" w:rsidR="00386FC0" w:rsidRDefault="00986B24" w:rsidP="00386FC0">
      <w:r>
        <w:t>The costs outlined in Option 2 also apply to Option 3</w:t>
      </w:r>
      <w:r w:rsidR="00914022">
        <w:t>, however, t</w:t>
      </w:r>
      <w:r w:rsidR="005A660A">
        <w:t>h</w:t>
      </w:r>
      <w:r w:rsidR="009F100F">
        <w:t xml:space="preserve">e broadening of </w:t>
      </w:r>
      <w:r w:rsidR="00F02BA3">
        <w:t>classes prescribed as reportable medical devices under the regulations</w:t>
      </w:r>
      <w:r w:rsidR="00EE206D">
        <w:t xml:space="preserve">, as noted, will </w:t>
      </w:r>
      <w:r w:rsidR="00914022">
        <w:t xml:space="preserve">further </w:t>
      </w:r>
      <w:r w:rsidR="00EE206D">
        <w:t>increase the volume of mandatory report</w:t>
      </w:r>
      <w:r w:rsidR="00940DBC">
        <w:t>s</w:t>
      </w:r>
      <w:r w:rsidR="001C2C05">
        <w:t>.</w:t>
      </w:r>
      <w:r w:rsidR="003817E5">
        <w:t xml:space="preserve"> Th</w:t>
      </w:r>
      <w:r w:rsidR="00EF6CC1">
        <w:t xml:space="preserve">is </w:t>
      </w:r>
      <w:r w:rsidR="00684218">
        <w:t>has a range of flow on impacts on both healthcare facilities and medical device sponsors and manufacturers</w:t>
      </w:r>
      <w:r w:rsidR="00C22EB0">
        <w:t>.</w:t>
      </w:r>
    </w:p>
    <w:p w14:paraId="5D618D79" w14:textId="3E54B67D" w:rsidR="00D6350A" w:rsidRPr="00386FC0" w:rsidRDefault="00D6350A" w:rsidP="00D6350A">
      <w:pPr>
        <w:pStyle w:val="Heading5"/>
      </w:pPr>
      <w:r>
        <w:t>Businesses</w:t>
      </w:r>
    </w:p>
    <w:p w14:paraId="5106FA1C" w14:textId="77777777" w:rsidR="00CE3699" w:rsidRPr="0079175B" w:rsidRDefault="00CE3699" w:rsidP="0079175B">
      <w:pPr>
        <w:rPr>
          <w:b/>
          <w:bCs/>
        </w:rPr>
      </w:pPr>
      <w:r w:rsidRPr="0079175B">
        <w:rPr>
          <w:b/>
          <w:bCs/>
        </w:rPr>
        <w:t>Healthcare Facilities</w:t>
      </w:r>
    </w:p>
    <w:p w14:paraId="3B705DDE" w14:textId="7FD09E06" w:rsidR="00684218" w:rsidRDefault="00684218" w:rsidP="001615EC">
      <w:pPr>
        <w:pStyle w:val="Bullet1"/>
      </w:pPr>
      <w:r>
        <w:t xml:space="preserve">increased </w:t>
      </w:r>
      <w:r w:rsidR="0066393B">
        <w:t>resources required by healthcare facilities to support the reporting of medical device adverse events</w:t>
      </w:r>
      <w:r w:rsidR="00FB0909">
        <w:t>, such as:</w:t>
      </w:r>
    </w:p>
    <w:p w14:paraId="54B55C72" w14:textId="6AC683AE" w:rsidR="00FB0909" w:rsidRPr="0079175B" w:rsidRDefault="00FB0909" w:rsidP="00FB0909">
      <w:pPr>
        <w:pStyle w:val="ListBullet2"/>
        <w:rPr>
          <w:color w:val="auto"/>
        </w:rPr>
      </w:pPr>
      <w:r w:rsidRPr="0079175B">
        <w:rPr>
          <w:color w:val="auto"/>
        </w:rPr>
        <w:t>t</w:t>
      </w:r>
      <w:r w:rsidR="006C4450" w:rsidRPr="0079175B">
        <w:rPr>
          <w:color w:val="auto"/>
        </w:rPr>
        <w:t>raining of staff</w:t>
      </w:r>
    </w:p>
    <w:p w14:paraId="37BFAC26" w14:textId="4C8328C3" w:rsidR="006C4450" w:rsidRPr="0079175B" w:rsidRDefault="00D84FC6" w:rsidP="00FB0909">
      <w:pPr>
        <w:pStyle w:val="ListBullet2"/>
        <w:rPr>
          <w:color w:val="auto"/>
        </w:rPr>
      </w:pPr>
      <w:r w:rsidRPr="0079175B">
        <w:rPr>
          <w:color w:val="auto"/>
        </w:rPr>
        <w:t>changes to internal systems of work</w:t>
      </w:r>
    </w:p>
    <w:p w14:paraId="27E2D232" w14:textId="11996F62" w:rsidR="00AD1F92" w:rsidRPr="0079175B" w:rsidRDefault="00AD1F92" w:rsidP="00FB0909">
      <w:pPr>
        <w:pStyle w:val="ListBullet2"/>
        <w:rPr>
          <w:color w:val="auto"/>
        </w:rPr>
      </w:pPr>
      <w:r w:rsidRPr="0079175B">
        <w:rPr>
          <w:color w:val="auto"/>
        </w:rPr>
        <w:t xml:space="preserve">increased </w:t>
      </w:r>
      <w:r w:rsidR="0001336E">
        <w:rPr>
          <w:color w:val="auto"/>
        </w:rPr>
        <w:t>full-time equivalent (</w:t>
      </w:r>
      <w:r w:rsidR="003D256D">
        <w:rPr>
          <w:color w:val="auto"/>
        </w:rPr>
        <w:t>FTE</w:t>
      </w:r>
      <w:r w:rsidR="0001336E">
        <w:rPr>
          <w:color w:val="auto"/>
        </w:rPr>
        <w:t>)</w:t>
      </w:r>
      <w:r w:rsidR="003D256D">
        <w:rPr>
          <w:color w:val="auto"/>
        </w:rPr>
        <w:t xml:space="preserve"> required </w:t>
      </w:r>
      <w:r w:rsidRPr="0079175B">
        <w:rPr>
          <w:color w:val="auto"/>
        </w:rPr>
        <w:t xml:space="preserve">to undertake </w:t>
      </w:r>
      <w:r w:rsidR="003D256D">
        <w:rPr>
          <w:color w:val="auto"/>
        </w:rPr>
        <w:t>completion, review, compilation and submission of</w:t>
      </w:r>
      <w:r w:rsidRPr="0079175B">
        <w:rPr>
          <w:color w:val="auto"/>
        </w:rPr>
        <w:t xml:space="preserve"> report</w:t>
      </w:r>
      <w:r w:rsidR="003D256D">
        <w:rPr>
          <w:color w:val="auto"/>
        </w:rPr>
        <w:t>s</w:t>
      </w:r>
    </w:p>
    <w:p w14:paraId="2ACC1730" w14:textId="315F8562" w:rsidR="00D84FC6" w:rsidRPr="00EC2712" w:rsidRDefault="00D84FC6" w:rsidP="0079175B">
      <w:pPr>
        <w:pStyle w:val="ListBullet2"/>
      </w:pPr>
      <w:r w:rsidRPr="00EC2712">
        <w:rPr>
          <w:color w:val="auto"/>
        </w:rPr>
        <w:t>changes to information technology systems</w:t>
      </w:r>
      <w:r w:rsidR="003D256D">
        <w:rPr>
          <w:color w:val="auto"/>
        </w:rPr>
        <w:t>.</w:t>
      </w:r>
    </w:p>
    <w:p w14:paraId="7C9B05A6" w14:textId="63682FC8" w:rsidR="00CE3699" w:rsidRPr="0079175B" w:rsidRDefault="00CE3699" w:rsidP="0079175B">
      <w:pPr>
        <w:rPr>
          <w:b/>
          <w:bCs/>
        </w:rPr>
      </w:pPr>
      <w:r w:rsidRPr="0079175B">
        <w:rPr>
          <w:b/>
          <w:bCs/>
        </w:rPr>
        <w:t>Medical Device Sponsors and Manufacturers</w:t>
      </w:r>
    </w:p>
    <w:p w14:paraId="2454B9BD" w14:textId="780B72DB" w:rsidR="0054491A" w:rsidRDefault="0054491A" w:rsidP="00684218">
      <w:pPr>
        <w:pStyle w:val="Bullet1"/>
      </w:pPr>
      <w:r>
        <w:t xml:space="preserve">increased resources </w:t>
      </w:r>
      <w:r w:rsidR="00F05C0A">
        <w:t xml:space="preserve">expended by </w:t>
      </w:r>
      <w:r w:rsidR="005346CB">
        <w:t xml:space="preserve">medical device sponsors and/or manufacturers in investigating, responding to and addressing any outcomes of </w:t>
      </w:r>
      <w:r w:rsidR="00D63BD3">
        <w:t>adverse event reporting (</w:t>
      </w:r>
      <w:r w:rsidR="00B92084">
        <w:t>noting that the monetary cost of this is to be excluded for the purposes</w:t>
      </w:r>
      <w:r w:rsidR="00770137">
        <w:t xml:space="preserve"> of this regulatory burden estimate).</w:t>
      </w:r>
    </w:p>
    <w:p w14:paraId="1F7C645E" w14:textId="77777777" w:rsidR="0027684F" w:rsidRDefault="0027684F" w:rsidP="0027684F">
      <w:pPr>
        <w:pStyle w:val="Heading4"/>
      </w:pPr>
      <w:r>
        <w:t>Regulatory burden measurement framework</w:t>
      </w:r>
    </w:p>
    <w:p w14:paraId="02232D23" w14:textId="5324887D" w:rsidR="0027684F" w:rsidRDefault="00FC5596" w:rsidP="0027684F">
      <w:r>
        <w:t>Total a</w:t>
      </w:r>
      <w:r w:rsidR="001B2597" w:rsidRPr="001B2597">
        <w:t>nnualised over a 10-year period, it is estimated that</w:t>
      </w:r>
      <w:r w:rsidR="0027684F">
        <w:t>:</w:t>
      </w:r>
    </w:p>
    <w:p w14:paraId="10558A23" w14:textId="15F876BE" w:rsidR="007446AF" w:rsidRDefault="001B4AC6" w:rsidP="0027684F">
      <w:r>
        <w:rPr>
          <w:noProof/>
          <w:lang w:eastAsia="en-AU"/>
        </w:rPr>
        <mc:AlternateContent>
          <mc:Choice Requires="wps">
            <w:drawing>
              <wp:anchor distT="45720" distB="45720" distL="114300" distR="114300" simplePos="0" relativeHeight="251682304" behindDoc="0" locked="0" layoutInCell="1" allowOverlap="1" wp14:anchorId="6D09E32C" wp14:editId="54A4F176">
                <wp:simplePos x="0" y="0"/>
                <wp:positionH relativeFrom="margin">
                  <wp:align>left</wp:align>
                </wp:positionH>
                <wp:positionV relativeFrom="paragraph">
                  <wp:posOffset>1094740</wp:posOffset>
                </wp:positionV>
                <wp:extent cx="5443855" cy="1404620"/>
                <wp:effectExtent l="0" t="0" r="23495" b="17145"/>
                <wp:wrapSquare wrapText="bothSides"/>
                <wp:docPr id="1149115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404620"/>
                        </a:xfrm>
                        <a:prstGeom prst="rect">
                          <a:avLst/>
                        </a:prstGeom>
                        <a:solidFill>
                          <a:srgbClr val="FFFFFF"/>
                        </a:solidFill>
                        <a:ln w="9525">
                          <a:solidFill>
                            <a:srgbClr val="000000"/>
                          </a:solidFill>
                          <a:miter lim="800000"/>
                          <a:headEnd/>
                          <a:tailEnd/>
                        </a:ln>
                      </wps:spPr>
                      <wps:txbx>
                        <w:txbxContent>
                          <w:p w14:paraId="102C9092" w14:textId="7AA7B955" w:rsidR="008461AF" w:rsidRDefault="008461AF" w:rsidP="007446AF">
                            <w:pPr>
                              <w:shd w:val="clear" w:color="auto" w:fill="E8E8E8" w:themeFill="background2"/>
                            </w:pPr>
                            <w:r>
                              <w:t>OPTION 3B</w:t>
                            </w:r>
                            <w:r>
                              <w:br/>
                              <w:t xml:space="preserve">Average cost per year for all private healthcare facilities (businesses) combined over the default ten-year period under regulatory burden framework measurement is $1.67 million.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9E32C" id="_x0000_s1033" type="#_x0000_t202" style="position:absolute;margin-left:0;margin-top:86.2pt;width:428.65pt;height:110.6pt;z-index:251682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">
                <v:textbox style="mso-fit-shape-to-text:t">
                  <w:txbxContent>
                    <w:p w14:paraId="102C9092" w14:textId="7AA7B955" w:rsidR="008461AF" w:rsidRDefault="008461AF" w:rsidP="007446AF">
                      <w:pPr>
                        <w:shd w:val="clear" w:color="auto" w:fill="E8E8E8" w:themeFill="background2"/>
                      </w:pPr>
                      <w:r>
                        <w:t>OPTION 3B</w:t>
                      </w:r>
                      <w:r>
                        <w:br/>
                        <w:t xml:space="preserve">Average cost per year for all private healthcare facilities (businesses) combined over the default ten-year period under regulatory burden framework measurement is $1.67 million. </w:t>
                      </w:r>
                    </w:p>
                  </w:txbxContent>
                </v:textbox>
                <w10:wrap type="square" anchorx="margin"/>
              </v:shape>
            </w:pict>
          </mc:Fallback>
        </mc:AlternateContent>
      </w:r>
      <w:r w:rsidR="007446AF">
        <w:rPr>
          <w:noProof/>
          <w:lang w:eastAsia="en-AU"/>
        </w:rPr>
        <mc:AlternateContent>
          <mc:Choice Requires="wps">
            <w:drawing>
              <wp:anchor distT="45720" distB="45720" distL="114300" distR="114300" simplePos="0" relativeHeight="251681280" behindDoc="0" locked="0" layoutInCell="1" allowOverlap="1" wp14:anchorId="5F3E0589" wp14:editId="11A7278C">
                <wp:simplePos x="0" y="0"/>
                <wp:positionH relativeFrom="margin">
                  <wp:posOffset>0</wp:posOffset>
                </wp:positionH>
                <wp:positionV relativeFrom="paragraph">
                  <wp:posOffset>274320</wp:posOffset>
                </wp:positionV>
                <wp:extent cx="5443855" cy="1404620"/>
                <wp:effectExtent l="0" t="0" r="23495" b="17145"/>
                <wp:wrapSquare wrapText="bothSides"/>
                <wp:docPr id="598949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404620"/>
                        </a:xfrm>
                        <a:prstGeom prst="rect">
                          <a:avLst/>
                        </a:prstGeom>
                        <a:solidFill>
                          <a:srgbClr val="FFFFFF"/>
                        </a:solidFill>
                        <a:ln w="9525">
                          <a:solidFill>
                            <a:srgbClr val="000000"/>
                          </a:solidFill>
                          <a:miter lim="800000"/>
                          <a:headEnd/>
                          <a:tailEnd/>
                        </a:ln>
                      </wps:spPr>
                      <wps:txbx>
                        <w:txbxContent>
                          <w:p w14:paraId="237593C5" w14:textId="3372C872" w:rsidR="008461AF" w:rsidRDefault="008461AF" w:rsidP="007446AF">
                            <w:pPr>
                              <w:shd w:val="clear" w:color="auto" w:fill="E8E8E8" w:themeFill="background2"/>
                            </w:pPr>
                            <w:r>
                              <w:t>OPTION 3A</w:t>
                            </w:r>
                            <w:r>
                              <w:br/>
                              <w:t xml:space="preserve">Average cost per year for all private healthcare facilities (businesses) combined over the default ten-year period under regulatory burden framework measurement is $1.62 million.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E0589" id="_x0000_s1034" type="#_x0000_t202" style="position:absolute;margin-left:0;margin-top:21.6pt;width:428.65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">
                <v:textbox style="mso-fit-shape-to-text:t">
                  <w:txbxContent>
                    <w:p w14:paraId="237593C5" w14:textId="3372C872" w:rsidR="008461AF" w:rsidRDefault="008461AF" w:rsidP="007446AF">
                      <w:pPr>
                        <w:shd w:val="clear" w:color="auto" w:fill="E8E8E8" w:themeFill="background2"/>
                      </w:pPr>
                      <w:r>
                        <w:t>OPTION 3A</w:t>
                      </w:r>
                      <w:r>
                        <w:br/>
                        <w:t xml:space="preserve">Average cost per year for all private healthcare facilities (businesses) combined over the default ten-year period under regulatory burden framework measurement is $1.62 million. </w:t>
                      </w:r>
                    </w:p>
                  </w:txbxContent>
                </v:textbox>
                <w10:wrap type="square" anchorx="margin"/>
              </v:shape>
            </w:pict>
          </mc:Fallback>
        </mc:AlternateContent>
      </w:r>
    </w:p>
    <w:p w14:paraId="0C969BCE" w14:textId="77777777" w:rsidR="00FC5596" w:rsidRDefault="00FC5596" w:rsidP="0027684F"/>
    <w:p w14:paraId="6596C0B3" w14:textId="5B6D565A" w:rsidR="0027684F" w:rsidRDefault="0027684F" w:rsidP="0027684F">
      <w:r>
        <w:t xml:space="preserve">Regulatory burdens for both Option 3A and 3B, although likely to have flow on impacts to medical device manufacturers and sponsors, primarily </w:t>
      </w:r>
      <w:r w:rsidR="001F4DD6">
        <w:t>a</w:t>
      </w:r>
      <w:r>
        <w:t xml:space="preserve">ffects healthcare facilities. Although impacting both public and private hospitals, for the purposes of the regulatory burden estimate, the figure above represents the </w:t>
      </w:r>
      <w:r w:rsidR="00DD4BEB">
        <w:t xml:space="preserve">average </w:t>
      </w:r>
      <w:r w:rsidR="001B2597">
        <w:t>annual</w:t>
      </w:r>
      <w:r w:rsidR="00DD4BEB">
        <w:t xml:space="preserve"> </w:t>
      </w:r>
      <w:r>
        <w:t>cost to private healthcare facilities.</w:t>
      </w:r>
      <w:r w:rsidR="007A0264">
        <w:t xml:space="preserve"> It is expected that the </w:t>
      </w:r>
      <w:r w:rsidR="007A0264" w:rsidRPr="001A33F0">
        <w:t>first-year costs will be higher</w:t>
      </w:r>
      <w:r w:rsidR="00E14F0F">
        <w:t>, the</w:t>
      </w:r>
      <w:r>
        <w:t xml:space="preserve"> main drivers </w:t>
      </w:r>
      <w:r w:rsidR="00E14F0F">
        <w:t>for this being</w:t>
      </w:r>
      <w:r>
        <w:t xml:space="preserve"> the likely system improvements required to facilitate the expedient transfer of medical device adverse event reports from local incident management systems to the TGA.</w:t>
      </w:r>
    </w:p>
    <w:p w14:paraId="636B7C00" w14:textId="54BE6401" w:rsidR="0027684F" w:rsidRDefault="00535D1B" w:rsidP="0027684F">
      <w:r>
        <w:t>Both Option 3A and 3B represent an increase in regulatory b</w:t>
      </w:r>
      <w:r w:rsidR="00453ED0">
        <w:t xml:space="preserve">urden cost </w:t>
      </w:r>
      <w:r w:rsidR="00185D6D">
        <w:t>on the reporting population. The cause of this relates to the expanded scope of reportable medical devices to include Classes IIa, IIb and III</w:t>
      </w:r>
      <w:r w:rsidR="00C557CE">
        <w:t xml:space="preserve"> and Class 3 IVDs</w:t>
      </w:r>
      <w:r w:rsidR="00185D6D">
        <w:t>.</w:t>
      </w:r>
    </w:p>
    <w:p w14:paraId="0CC830C2" w14:textId="0A0BBC37" w:rsidR="009A55DB" w:rsidRDefault="006F11AE" w:rsidP="00422DE8">
      <w:r w:rsidRPr="006F11AE">
        <w:t>Further detail on the costs and benefits, the likely regulatory burden, and the key assumptions and inputs can be found at Appendix A and Appendix B respectively.</w:t>
      </w:r>
    </w:p>
    <w:p w14:paraId="70F52AD0" w14:textId="77777777" w:rsidR="009A55DB" w:rsidRPr="00B177ED" w:rsidRDefault="009A55DB" w:rsidP="009A55DB"/>
    <w:p w14:paraId="4A8D1C81" w14:textId="77777777" w:rsidR="009A55DB" w:rsidRDefault="009A55DB" w:rsidP="0079175B"/>
    <w:p w14:paraId="403B99F3" w14:textId="77777777" w:rsidR="005A1007" w:rsidRDefault="005A1007" w:rsidP="0079175B"/>
    <w:p w14:paraId="6FC1EF0B" w14:textId="77777777" w:rsidR="005A1007" w:rsidRDefault="005A1007" w:rsidP="0079175B"/>
    <w:p w14:paraId="561C3561" w14:textId="77777777" w:rsidR="005A1007" w:rsidRDefault="005A1007" w:rsidP="0079175B"/>
    <w:p w14:paraId="0082535A" w14:textId="77777777" w:rsidR="005A1007" w:rsidRPr="009A55DB" w:rsidRDefault="005A1007" w:rsidP="0079175B"/>
    <w:p w14:paraId="0C6DA259" w14:textId="21BCF0BD" w:rsidR="006008AA" w:rsidRPr="007E005B" w:rsidRDefault="00B57675" w:rsidP="00DE00C2">
      <w:pPr>
        <w:pStyle w:val="Heading3"/>
        <w:rPr>
          <w:color w:val="auto"/>
        </w:rPr>
      </w:pPr>
      <w:bookmarkStart w:id="167" w:name="_Toc179531327"/>
      <w:bookmarkStart w:id="168" w:name="_Toc188012876"/>
      <w:r w:rsidRPr="00AF6DB9">
        <w:rPr>
          <w:noProof/>
          <w:color w:val="FFFFFF" w:themeColor="background1"/>
          <w:lang w:eastAsia="en-AU"/>
        </w:rPr>
        <w:drawing>
          <wp:anchor distT="0" distB="0" distL="114300" distR="114300" simplePos="0" relativeHeight="251686400" behindDoc="0" locked="0" layoutInCell="1" allowOverlap="1" wp14:anchorId="2C2E25E0" wp14:editId="4A6A3CBA">
            <wp:simplePos x="0" y="0"/>
            <wp:positionH relativeFrom="margin">
              <wp:posOffset>-2540</wp:posOffset>
            </wp:positionH>
            <wp:positionV relativeFrom="paragraph">
              <wp:posOffset>-112504</wp:posOffset>
            </wp:positionV>
            <wp:extent cx="5731510" cy="1923415"/>
            <wp:effectExtent l="0" t="0" r="2540" b="635"/>
            <wp:wrapNone/>
            <wp:docPr id="6" name="Picture 5">
              <a:extLst xmlns:a="http://schemas.openxmlformats.org/drawingml/2006/main">
                <a:ext uri="{FF2B5EF4-FFF2-40B4-BE49-F238E27FC236}">
                  <a16:creationId xmlns:a16="http://schemas.microsoft.com/office/drawing/2014/main" id="{591C6EC0-ACBD-C417-F60A-954D6DB61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91C6EC0-ACBD-C417-F60A-954D6DB612B4}"/>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923415"/>
                    </a:xfrm>
                    <a:prstGeom prst="rect">
                      <a:avLst/>
                    </a:prstGeom>
                  </pic:spPr>
                </pic:pic>
              </a:graphicData>
            </a:graphic>
          </wp:anchor>
        </w:drawing>
      </w:r>
      <w:r w:rsidR="00A03FCE" w:rsidRPr="00890CCD">
        <w:rPr>
          <w:color w:val="000000" w:themeColor="text1"/>
        </w:rPr>
        <w:t xml:space="preserve"> </w:t>
      </w:r>
      <w:r w:rsidR="009B01FA" w:rsidRPr="007E005B">
        <w:rPr>
          <w:color w:val="FFFFFF" w:themeColor="background1"/>
        </w:rPr>
        <w:t xml:space="preserve">Option 4 – Public and Private hospitals and approved Residential Aged Care facilities (excluding MPS facilities) report adverse events related to medium and high risk </w:t>
      </w:r>
      <w:r w:rsidR="007E005B" w:rsidRPr="007E005B">
        <w:rPr>
          <w:color w:val="FFFFFF" w:themeColor="background1"/>
        </w:rPr>
        <w:t xml:space="preserve">medical </w:t>
      </w:r>
      <w:r w:rsidR="00897C1F" w:rsidRPr="007E005B">
        <w:rPr>
          <w:color w:val="FFFFFF" w:themeColor="background1"/>
        </w:rPr>
        <w:t>devices</w:t>
      </w:r>
      <w:bookmarkEnd w:id="167"/>
      <w:bookmarkEnd w:id="168"/>
    </w:p>
    <w:p w14:paraId="7180984B" w14:textId="45655B6B" w:rsidR="005A1007" w:rsidRPr="00890CCD" w:rsidRDefault="005A1007" w:rsidP="005A1007">
      <w:pPr>
        <w:rPr>
          <w:color w:val="000000" w:themeColor="text1"/>
        </w:rPr>
      </w:pPr>
    </w:p>
    <w:p w14:paraId="1849FCF6" w14:textId="4A1F00E5" w:rsidR="00897C1F" w:rsidRDefault="00897C1F" w:rsidP="00261E6E"/>
    <w:p w14:paraId="3EB194B9" w14:textId="77777777" w:rsidR="00897C1F" w:rsidRDefault="00897C1F" w:rsidP="00261E6E"/>
    <w:p w14:paraId="023EDC5A" w14:textId="77777777" w:rsidR="001A5C34" w:rsidRDefault="001A5C34" w:rsidP="00261E6E"/>
    <w:p w14:paraId="616E8A3C" w14:textId="77777777" w:rsidR="00B1106B" w:rsidRDefault="0063420D" w:rsidP="00B1106B">
      <w:r w:rsidRPr="0063420D">
        <w:t>Option 4 will see further expansion to the scope of regulation imposed on healthcare facilities through a broadening of the population</w:t>
      </w:r>
      <w:r>
        <w:t xml:space="preserve"> mandated to report on medical device adverse events</w:t>
      </w:r>
      <w:r w:rsidRPr="0063420D">
        <w:t>. This is proposed to be achieved through the addition of approved residential aged care facilities</w:t>
      </w:r>
      <w:r>
        <w:t xml:space="preserve"> (excluding MPS </w:t>
      </w:r>
      <w:r w:rsidR="007056CA">
        <w:t>facilities)</w:t>
      </w:r>
      <w:r w:rsidRPr="0063420D">
        <w:t>.</w:t>
      </w:r>
      <w:r w:rsidR="00261E6E">
        <w:br/>
      </w:r>
      <w:r w:rsidR="00261E6E">
        <w:br/>
      </w:r>
      <w:r w:rsidR="00B1106B">
        <w:t>Additionally, Option 4 presents two sub-options:</w:t>
      </w:r>
    </w:p>
    <w:p w14:paraId="68BA0266" w14:textId="77777777" w:rsidR="00B1106B" w:rsidRDefault="00B1106B" w:rsidP="00B1106B">
      <w:pPr>
        <w:pStyle w:val="Bullet1"/>
      </w:pPr>
      <w:r>
        <w:t>Option 4A – reporting medical device adverse events in batch</w:t>
      </w:r>
    </w:p>
    <w:p w14:paraId="42FB04C1" w14:textId="77777777" w:rsidR="00B1106B" w:rsidRPr="00ED7841" w:rsidRDefault="00B1106B" w:rsidP="00B1106B">
      <w:pPr>
        <w:pStyle w:val="Bullet1"/>
      </w:pPr>
      <w:r>
        <w:t>Option 4B – reporting medical device adverse events on occurrence.</w:t>
      </w:r>
    </w:p>
    <w:p w14:paraId="4F4D48D2" w14:textId="77777777" w:rsidR="00386FC0" w:rsidRDefault="00386FC0" w:rsidP="007064DC">
      <w:pPr>
        <w:pStyle w:val="Heading4"/>
      </w:pPr>
      <w:r>
        <w:t>Benefits</w:t>
      </w:r>
    </w:p>
    <w:p w14:paraId="0B409D0D" w14:textId="247F294A" w:rsidR="007056CA" w:rsidRDefault="008A29AB" w:rsidP="00386FC0">
      <w:r>
        <w:t>The key benefit</w:t>
      </w:r>
      <w:r w:rsidR="00785AAA">
        <w:t xml:space="preserve"> associated with this addition, is</w:t>
      </w:r>
      <w:r w:rsidR="007056CA">
        <w:t>:</w:t>
      </w:r>
    </w:p>
    <w:p w14:paraId="1AB8E27C" w14:textId="1F60F486" w:rsidR="007056CA" w:rsidRDefault="00122D0A" w:rsidP="0079175B">
      <w:pPr>
        <w:pStyle w:val="Bullet1"/>
      </w:pPr>
      <w:r>
        <w:t>increased access to reporting data related to medical device adverse events.</w:t>
      </w:r>
    </w:p>
    <w:p w14:paraId="62EF92C7" w14:textId="3D0EA460" w:rsidR="00386FC0" w:rsidRDefault="00FF0B1B" w:rsidP="00386FC0">
      <w:r>
        <w:t xml:space="preserve">This option would see the number of healthcare facilities mandated to report medical device adverse events increase from 1,324 to 3,964 (representing an increase of 2,640 healthcare facilities or </w:t>
      </w:r>
      <w:r w:rsidR="007E737D">
        <w:t>approximately</w:t>
      </w:r>
      <w:r>
        <w:t xml:space="preserve"> ~</w:t>
      </w:r>
      <w:r w:rsidR="007F65E7">
        <w:t>2</w:t>
      </w:r>
      <w:r>
        <w:t xml:space="preserve">00%). </w:t>
      </w:r>
      <w:r w:rsidR="00122D0A">
        <w:t xml:space="preserve">Similar to the expansion in scope to </w:t>
      </w:r>
      <w:r w:rsidR="000A48C4">
        <w:t xml:space="preserve">what is deemed an ‘approved medical device’, the extension of mandatory reporting to </w:t>
      </w:r>
      <w:r w:rsidR="00F63C39">
        <w:t xml:space="preserve">approved residential aged care facilities will likely facilitate an increase in volume of reporting to the TGA. </w:t>
      </w:r>
      <w:r w:rsidR="00FD73C1">
        <w:t>It is likely that</w:t>
      </w:r>
      <w:r w:rsidR="00785AAA">
        <w:t xml:space="preserve"> </w:t>
      </w:r>
      <w:r w:rsidR="00A97602">
        <w:t xml:space="preserve">increased access to relevant data </w:t>
      </w:r>
      <w:r w:rsidR="00FD73C1">
        <w:t>will</w:t>
      </w:r>
      <w:r w:rsidR="00A97602">
        <w:t xml:space="preserve"> support</w:t>
      </w:r>
      <w:r w:rsidR="00FD73C1">
        <w:t xml:space="preserve">, in and above </w:t>
      </w:r>
      <w:r w:rsidR="00A60CBF">
        <w:t>all other options,</w:t>
      </w:r>
      <w:r w:rsidR="00A97602">
        <w:t xml:space="preserve"> the timely identification of medical devices with potential safety issues.</w:t>
      </w:r>
      <w:r w:rsidR="00B66BB0">
        <w:t xml:space="preserve"> </w:t>
      </w:r>
    </w:p>
    <w:p w14:paraId="1BDECB1D" w14:textId="20A3A389" w:rsidR="00386FC0" w:rsidRDefault="00386FC0" w:rsidP="007064DC">
      <w:pPr>
        <w:pStyle w:val="Heading4"/>
      </w:pPr>
      <w:r>
        <w:t>Costs</w:t>
      </w:r>
    </w:p>
    <w:p w14:paraId="09DFCE61" w14:textId="69999F71" w:rsidR="00FC5C84" w:rsidRDefault="00C3646D" w:rsidP="00386FC0">
      <w:r>
        <w:t xml:space="preserve">In addition </w:t>
      </w:r>
      <w:r w:rsidR="003B6F85">
        <w:t xml:space="preserve">to the costs </w:t>
      </w:r>
      <w:r w:rsidR="00E257A5">
        <w:t xml:space="preserve">described </w:t>
      </w:r>
      <w:r w:rsidR="0096282E">
        <w:t>in</w:t>
      </w:r>
      <w:r w:rsidR="00E257A5">
        <w:t xml:space="preserve"> the preceding policy options, Option 4 further increases the regulatory burden on </w:t>
      </w:r>
      <w:r w:rsidR="00770D6B">
        <w:t xml:space="preserve">both healthcare </w:t>
      </w:r>
      <w:r w:rsidR="00DD0696">
        <w:t>facilities</w:t>
      </w:r>
      <w:r w:rsidR="00770D6B">
        <w:t xml:space="preserve"> and medical device sponsors and manufacturers.</w:t>
      </w:r>
    </w:p>
    <w:p w14:paraId="77CAC5A0" w14:textId="20D7DC19" w:rsidR="007064DC" w:rsidRDefault="007064DC" w:rsidP="007064DC">
      <w:pPr>
        <w:pStyle w:val="Heading5"/>
      </w:pPr>
      <w:r>
        <w:t>Businesses</w:t>
      </w:r>
    </w:p>
    <w:p w14:paraId="7A2D6B58" w14:textId="4577549B" w:rsidR="00770D6B" w:rsidRPr="0079175B" w:rsidRDefault="00770D6B" w:rsidP="00386FC0">
      <w:pPr>
        <w:rPr>
          <w:b/>
          <w:bCs/>
        </w:rPr>
      </w:pPr>
      <w:r w:rsidRPr="0079175B">
        <w:rPr>
          <w:b/>
          <w:bCs/>
        </w:rPr>
        <w:t>Healthcare Facilities</w:t>
      </w:r>
    </w:p>
    <w:p w14:paraId="6ABE6AB6" w14:textId="4E3B11AD" w:rsidR="00FC5C84" w:rsidRDefault="00770D6B" w:rsidP="003C4328">
      <w:pPr>
        <w:pStyle w:val="Bullet1"/>
      </w:pPr>
      <w:r>
        <w:t>highest level of</w:t>
      </w:r>
      <w:r w:rsidR="00722E9E">
        <w:t xml:space="preserve"> </w:t>
      </w:r>
      <w:r w:rsidR="00B30D53">
        <w:t xml:space="preserve">resources expended </w:t>
      </w:r>
      <w:r>
        <w:t xml:space="preserve">completing, </w:t>
      </w:r>
      <w:r w:rsidR="00BB0756">
        <w:t>compiling</w:t>
      </w:r>
      <w:r>
        <w:t>, reviewing</w:t>
      </w:r>
      <w:r w:rsidR="00914878">
        <w:t xml:space="preserve"> and submitting </w:t>
      </w:r>
      <w:r w:rsidR="0046716C">
        <w:t>adverse event reports</w:t>
      </w:r>
    </w:p>
    <w:p w14:paraId="5D9D110E" w14:textId="394719C2" w:rsidR="00770D6B" w:rsidRDefault="00013976" w:rsidP="0079175B">
      <w:pPr>
        <w:pStyle w:val="Bullet1"/>
      </w:pPr>
      <w:r>
        <w:t xml:space="preserve">disproportionate impact on </w:t>
      </w:r>
      <w:r w:rsidR="00A42D1F">
        <w:t>aged care facilities that do not have the requisite local incident management systems capability to facilitate efficient transfer/submission of medical device adverse event reports.</w:t>
      </w:r>
    </w:p>
    <w:p w14:paraId="6969F8EC" w14:textId="77777777" w:rsidR="00AF462A" w:rsidRDefault="00AF462A">
      <w:pPr>
        <w:rPr>
          <w:b/>
          <w:bCs/>
        </w:rPr>
      </w:pPr>
      <w:r>
        <w:rPr>
          <w:b/>
          <w:bCs/>
        </w:rPr>
        <w:br w:type="page"/>
      </w:r>
    </w:p>
    <w:p w14:paraId="1E69FEED" w14:textId="69A49160" w:rsidR="00770D6B" w:rsidRPr="0079175B" w:rsidRDefault="00770D6B" w:rsidP="00386FC0">
      <w:pPr>
        <w:rPr>
          <w:b/>
          <w:bCs/>
        </w:rPr>
      </w:pPr>
      <w:r w:rsidRPr="0079175B">
        <w:rPr>
          <w:b/>
          <w:bCs/>
        </w:rPr>
        <w:t>Medical Device Sponsors and Manufacturers</w:t>
      </w:r>
    </w:p>
    <w:p w14:paraId="1A27126D" w14:textId="40D4A7A8" w:rsidR="00770D6B" w:rsidRPr="00770D6B" w:rsidRDefault="00770D6B" w:rsidP="0079175B">
      <w:pPr>
        <w:pStyle w:val="Bullet1"/>
      </w:pPr>
      <w:r>
        <w:t>highest expenditure of</w:t>
      </w:r>
      <w:r w:rsidRPr="00770D6B">
        <w:t xml:space="preserve"> resources </w:t>
      </w:r>
      <w:r>
        <w:t xml:space="preserve">(of the options presented) </w:t>
      </w:r>
      <w:r w:rsidRPr="00770D6B">
        <w:t>by medical device sponsors and/or manufacturers in investigating, responding to and addressing any outcomes of adverse event reporting (noting that the monetary cost of this is to be excluded for the purposes of this regulatory burden estimate).</w:t>
      </w:r>
    </w:p>
    <w:p w14:paraId="22876B7C" w14:textId="70469BD7" w:rsidR="00386FC0" w:rsidRDefault="0096282E" w:rsidP="00386FC0">
      <w:r>
        <w:t>Whil</w:t>
      </w:r>
      <w:r w:rsidR="00085575">
        <w:t>e</w:t>
      </w:r>
      <w:r>
        <w:t xml:space="preserve"> previous options have seen marginal increases in the resources expended to adhere to the proposed regulations, Option 4 would see a </w:t>
      </w:r>
      <w:r w:rsidR="00982EF2">
        <w:t xml:space="preserve">more </w:t>
      </w:r>
      <w:r>
        <w:t>significant increase</w:t>
      </w:r>
      <w:r w:rsidR="00025823">
        <w:t>.</w:t>
      </w:r>
    </w:p>
    <w:p w14:paraId="2C728B1B" w14:textId="77777777" w:rsidR="0027684F" w:rsidRDefault="0027684F" w:rsidP="0027684F">
      <w:pPr>
        <w:pStyle w:val="Heading4"/>
      </w:pPr>
      <w:r>
        <w:t>Regulatory burden measurement framework</w:t>
      </w:r>
    </w:p>
    <w:p w14:paraId="414F67DF" w14:textId="3B9503D8" w:rsidR="0027684F" w:rsidRDefault="00F45B45" w:rsidP="0027684F">
      <w:r>
        <w:rPr>
          <w:noProof/>
          <w:lang w:eastAsia="en-AU"/>
        </w:rPr>
        <mc:AlternateContent>
          <mc:Choice Requires="wps">
            <w:drawing>
              <wp:anchor distT="45720" distB="45720" distL="114300" distR="114300" simplePos="0" relativeHeight="251684352" behindDoc="0" locked="0" layoutInCell="1" allowOverlap="1" wp14:anchorId="5508CD65" wp14:editId="0972E032">
                <wp:simplePos x="0" y="0"/>
                <wp:positionH relativeFrom="margin">
                  <wp:align>left</wp:align>
                </wp:positionH>
                <wp:positionV relativeFrom="paragraph">
                  <wp:posOffset>1167765</wp:posOffset>
                </wp:positionV>
                <wp:extent cx="5443855" cy="1404620"/>
                <wp:effectExtent l="0" t="0" r="23495" b="17145"/>
                <wp:wrapSquare wrapText="bothSides"/>
                <wp:docPr id="90421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404620"/>
                        </a:xfrm>
                        <a:prstGeom prst="rect">
                          <a:avLst/>
                        </a:prstGeom>
                        <a:solidFill>
                          <a:srgbClr val="FFFFFF"/>
                        </a:solidFill>
                        <a:ln w="9525">
                          <a:solidFill>
                            <a:srgbClr val="000000"/>
                          </a:solidFill>
                          <a:miter lim="800000"/>
                          <a:headEnd/>
                          <a:tailEnd/>
                        </a:ln>
                      </wps:spPr>
                      <wps:txbx>
                        <w:txbxContent>
                          <w:p w14:paraId="34037DF8" w14:textId="44B73477" w:rsidR="008461AF" w:rsidRDefault="008461AF" w:rsidP="00F45B45">
                            <w:pPr>
                              <w:shd w:val="clear" w:color="auto" w:fill="E8E8E8" w:themeFill="background2"/>
                            </w:pPr>
                            <w:r>
                              <w:t>OPTION 4B</w:t>
                            </w:r>
                            <w:r>
                              <w:br/>
                              <w:t>Average cost per year for all private healthcare facilities and residential aged care facilities (excluding MPS facilities) (businesses) combined over the default ten-year period under regulatory burden framework measurement is $5.</w:t>
                            </w:r>
                            <w:r w:rsidR="00FB6A7B">
                              <w:t>61</w:t>
                            </w:r>
                            <w:r>
                              <w:t xml:space="preserve"> million.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8CD65" id="_x0000_s1035" type="#_x0000_t202" style="position:absolute;margin-left:0;margin-top:91.95pt;width:428.65pt;height:110.6pt;z-index:251684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">
                <v:textbox style="mso-fit-shape-to-text:t">
                  <w:txbxContent>
                    <w:p w14:paraId="34037DF8" w14:textId="44B73477" w:rsidR="008461AF" w:rsidRDefault="008461AF" w:rsidP="00F45B45">
                      <w:pPr>
                        <w:shd w:val="clear" w:color="auto" w:fill="E8E8E8" w:themeFill="background2"/>
                      </w:pPr>
                      <w:r>
                        <w:t>OPTION 4B</w:t>
                      </w:r>
                      <w:r>
                        <w:br/>
                        <w:t>Average cost per year for all private healthcare facilities and residential aged care facilities (excluding MPS facilities) (businesses) combined over the default ten-year period under regulatory burden framework measurement is $5.</w:t>
                      </w:r>
                      <w:r w:rsidR="00FB6A7B">
                        <w:t>61</w:t>
                      </w:r>
                      <w:r>
                        <w:t xml:space="preserve"> million. </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83328" behindDoc="0" locked="0" layoutInCell="1" allowOverlap="1" wp14:anchorId="33AFA182" wp14:editId="56D02045">
                <wp:simplePos x="0" y="0"/>
                <wp:positionH relativeFrom="margin">
                  <wp:align>left</wp:align>
                </wp:positionH>
                <wp:positionV relativeFrom="paragraph">
                  <wp:posOffset>284480</wp:posOffset>
                </wp:positionV>
                <wp:extent cx="5443855" cy="1404620"/>
                <wp:effectExtent l="0" t="0" r="23495" b="17145"/>
                <wp:wrapSquare wrapText="bothSides"/>
                <wp:docPr id="1132818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404620"/>
                        </a:xfrm>
                        <a:prstGeom prst="rect">
                          <a:avLst/>
                        </a:prstGeom>
                        <a:solidFill>
                          <a:srgbClr val="FFFFFF"/>
                        </a:solidFill>
                        <a:ln w="9525">
                          <a:solidFill>
                            <a:srgbClr val="000000"/>
                          </a:solidFill>
                          <a:miter lim="800000"/>
                          <a:headEnd/>
                          <a:tailEnd/>
                        </a:ln>
                      </wps:spPr>
                      <wps:txbx>
                        <w:txbxContent>
                          <w:p w14:paraId="3E268DFC" w14:textId="5A00BB59" w:rsidR="008461AF" w:rsidRDefault="008461AF" w:rsidP="00F45B45">
                            <w:pPr>
                              <w:shd w:val="clear" w:color="auto" w:fill="E8E8E8" w:themeFill="background2"/>
                            </w:pPr>
                            <w:r>
                              <w:t>OPTION 4A</w:t>
                            </w:r>
                            <w:r>
                              <w:br/>
                              <w:t>Average cost per year for all private healthcare facilities and residential aged care facilities (excluding MPS facilities) (businesses) combined over the default ten-year period under regulatory burden framework measurement is $5.</w:t>
                            </w:r>
                            <w:r w:rsidR="00844584">
                              <w:t>56</w:t>
                            </w:r>
                            <w:r>
                              <w:t xml:space="preserve"> million.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FA182" id="_x0000_s1036" type="#_x0000_t202" style="position:absolute;margin-left:0;margin-top:22.4pt;width:428.65pt;height:110.6pt;z-index:251683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">
                <v:textbox style="mso-fit-shape-to-text:t">
                  <w:txbxContent>
                    <w:p w14:paraId="3E268DFC" w14:textId="5A00BB59" w:rsidR="008461AF" w:rsidRDefault="008461AF" w:rsidP="00F45B45">
                      <w:pPr>
                        <w:shd w:val="clear" w:color="auto" w:fill="E8E8E8" w:themeFill="background2"/>
                      </w:pPr>
                      <w:r>
                        <w:t>OPTION 4A</w:t>
                      </w:r>
                      <w:r>
                        <w:br/>
                        <w:t>Average cost per year for all private healthcare facilities and residential aged care facilities (excluding MPS facilities) (businesses) combined over the default ten-year period under regulatory burden framework measurement is $5.</w:t>
                      </w:r>
                      <w:r w:rsidR="00844584">
                        <w:t>56</w:t>
                      </w:r>
                      <w:r>
                        <w:t xml:space="preserve"> million. </w:t>
                      </w:r>
                    </w:p>
                  </w:txbxContent>
                </v:textbox>
                <w10:wrap type="square" anchorx="margin"/>
              </v:shape>
            </w:pict>
          </mc:Fallback>
        </mc:AlternateContent>
      </w:r>
      <w:r w:rsidR="00D22D08">
        <w:t>Total a</w:t>
      </w:r>
      <w:r w:rsidR="00DD4BEB" w:rsidRPr="00DD4BEB">
        <w:t>nnualised over a 10-year period</w:t>
      </w:r>
      <w:r w:rsidR="0073179E">
        <w:t>:</w:t>
      </w:r>
    </w:p>
    <w:p w14:paraId="20EE175F" w14:textId="77777777" w:rsidR="00D22D08" w:rsidRDefault="00D22D08" w:rsidP="0027684F"/>
    <w:p w14:paraId="1E50A06B" w14:textId="48132137" w:rsidR="0027684F" w:rsidRDefault="0027684F" w:rsidP="0027684F">
      <w:r>
        <w:t xml:space="preserve">Regulatory burdens for </w:t>
      </w:r>
      <w:r w:rsidR="00DE00C2">
        <w:t xml:space="preserve">both </w:t>
      </w:r>
      <w:r>
        <w:t>Option</w:t>
      </w:r>
      <w:r w:rsidR="00391513">
        <w:t>s</w:t>
      </w:r>
      <w:r>
        <w:t xml:space="preserve"> 4</w:t>
      </w:r>
      <w:r w:rsidR="00DE00C2">
        <w:t>A and 4B</w:t>
      </w:r>
      <w:r>
        <w:t xml:space="preserve">, although likely to have flow on impacts to medical device manufacturers and sponsors, primarily </w:t>
      </w:r>
      <w:r w:rsidR="00DE00C2">
        <w:t>a</w:t>
      </w:r>
      <w:r>
        <w:t>ffects healthcare facilities</w:t>
      </w:r>
      <w:r w:rsidR="0079704A">
        <w:t xml:space="preserve"> and residential aged care facilities</w:t>
      </w:r>
      <w:r>
        <w:t xml:space="preserve">. Although impacting both public and private hospitals, for the purposes of the regulatory burden estimate, the figure above represents the </w:t>
      </w:r>
      <w:r w:rsidR="00DD4BEB">
        <w:t>average annual</w:t>
      </w:r>
      <w:r>
        <w:t xml:space="preserve"> cost to private healthcare facilities</w:t>
      </w:r>
      <w:r w:rsidR="004576B5">
        <w:t xml:space="preserve"> and residential aged care facilities (excluding MPS facilities)</w:t>
      </w:r>
      <w:r>
        <w:t xml:space="preserve">. </w:t>
      </w:r>
      <w:r w:rsidR="00E14F0F" w:rsidRPr="00E14F0F">
        <w:t xml:space="preserve">It is expected that the first-year costs will be </w:t>
      </w:r>
      <w:r w:rsidR="00E14F0F">
        <w:t xml:space="preserve">significantly </w:t>
      </w:r>
      <w:r w:rsidR="00E14F0F" w:rsidRPr="00E14F0F">
        <w:t>higher, the main drivers for this being the likely system improvements required to facilitate the expedient transfer of medical device adverse event reports from local incident management systems to the TGA.</w:t>
      </w:r>
    </w:p>
    <w:p w14:paraId="1626EA83" w14:textId="663B9330" w:rsidR="0027684F" w:rsidRDefault="00AC0C6A" w:rsidP="0027684F">
      <w:r>
        <w:t>Beyond the costs and benefits detailed in Option</w:t>
      </w:r>
      <w:r w:rsidR="00DE00C2">
        <w:t>s</w:t>
      </w:r>
      <w:r>
        <w:t xml:space="preserve"> 3A</w:t>
      </w:r>
      <w:r w:rsidR="00DE00C2">
        <w:t xml:space="preserve"> and 3B</w:t>
      </w:r>
      <w:r>
        <w:t xml:space="preserve">, the reasoning behind the significant increase in regulatory cost can be attributed to the large increase in reporting population (almost doubling). This results in a significant increase in one-off </w:t>
      </w:r>
      <w:r w:rsidR="00C41A7B">
        <w:t>technological</w:t>
      </w:r>
      <w:r>
        <w:t xml:space="preserve"> </w:t>
      </w:r>
      <w:r w:rsidR="00C41A7B">
        <w:t>upgrade costs to local incident management systems.</w:t>
      </w:r>
    </w:p>
    <w:p w14:paraId="0B66A84B" w14:textId="60E7A91C" w:rsidR="008051C0" w:rsidRDefault="006F11AE" w:rsidP="00422DE8">
      <w:r w:rsidRPr="006F11AE">
        <w:t>Further detail on the costs and benefits, the likely regulatory burden, and the key assumptions and inputs can be found at Appendix A and Appendix B respectively.</w:t>
      </w:r>
    </w:p>
    <w:p w14:paraId="6A3C2FD5" w14:textId="77777777" w:rsidR="008051C0" w:rsidRDefault="008051C0" w:rsidP="008051C0"/>
    <w:bookmarkEnd w:id="157"/>
    <w:p w14:paraId="0B38F7F1" w14:textId="77777777" w:rsidR="00FF1473" w:rsidRDefault="00FF1473">
      <w:pPr>
        <w:rPr>
          <w:rFonts w:eastAsia="Times New Roman" w:cs="Times New Roman"/>
          <w:b/>
          <w:bCs/>
          <w:color w:val="001871"/>
          <w:sz w:val="38"/>
          <w:szCs w:val="38"/>
        </w:rPr>
      </w:pPr>
      <w:r>
        <w:br w:type="page"/>
      </w:r>
    </w:p>
    <w:p w14:paraId="4ABAE50D" w14:textId="77777777" w:rsidR="0004173F" w:rsidRDefault="00F62492" w:rsidP="00F62492">
      <w:pPr>
        <w:pStyle w:val="Heading2"/>
      </w:pPr>
      <w:bookmarkStart w:id="169" w:name="_Toc188012877"/>
      <w:bookmarkStart w:id="170" w:name="_Toc179531328"/>
      <w:r>
        <w:rPr>
          <w:noProof/>
          <w:lang w:eastAsia="en-AU"/>
        </w:rPr>
        <mc:AlternateContent>
          <mc:Choice Requires="wps">
            <w:drawing>
              <wp:anchor distT="45720" distB="45720" distL="114300" distR="114300" simplePos="0" relativeHeight="251677184" behindDoc="0" locked="0" layoutInCell="1" allowOverlap="1" wp14:anchorId="1EB3961F" wp14:editId="7378C9F4">
                <wp:simplePos x="0" y="0"/>
                <wp:positionH relativeFrom="margin">
                  <wp:align>right</wp:align>
                </wp:positionH>
                <wp:positionV relativeFrom="paragraph">
                  <wp:posOffset>805023</wp:posOffset>
                </wp:positionV>
                <wp:extent cx="5709285" cy="1078230"/>
                <wp:effectExtent l="0" t="0" r="24765"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078301"/>
                        </a:xfrm>
                        <a:prstGeom prst="rect">
                          <a:avLst/>
                        </a:prstGeom>
                        <a:solidFill>
                          <a:srgbClr val="FFFFFF"/>
                        </a:solidFill>
                        <a:ln w="9525">
                          <a:solidFill>
                            <a:srgbClr val="000000"/>
                          </a:solidFill>
                          <a:miter lim="800000"/>
                          <a:headEnd/>
                          <a:tailEnd/>
                        </a:ln>
                      </wps:spPr>
                      <wps:txbx>
                        <w:txbxContent>
                          <w:p w14:paraId="2307E111" w14:textId="77777777" w:rsidR="008461AF" w:rsidRPr="000D1A49" w:rsidRDefault="008461AF" w:rsidP="000D1A49">
                            <w:pPr>
                              <w:shd w:val="clear" w:color="auto" w:fill="F2F2F2" w:themeFill="background1" w:themeFillShade="F2"/>
                              <w:rPr>
                                <w:rFonts w:cs="Arial"/>
                                <w:b/>
                                <w:bCs/>
                                <w:i/>
                                <w:iCs/>
                              </w:rPr>
                            </w:pPr>
                            <w:r w:rsidRPr="000D1A49">
                              <w:rPr>
                                <w:rFonts w:cs="Arial"/>
                                <w:b/>
                                <w:bCs/>
                                <w:i/>
                                <w:iCs/>
                              </w:rPr>
                              <w:t>Consultations and Engagement</w:t>
                            </w:r>
                          </w:p>
                          <w:p w14:paraId="4FE0CEB3" w14:textId="49F211A6" w:rsidR="008461AF" w:rsidRPr="00236512" w:rsidRDefault="008461AF" w:rsidP="000D1A49">
                            <w:pPr>
                              <w:shd w:val="clear" w:color="auto" w:fill="F2F2F2" w:themeFill="background1" w:themeFillShade="F2"/>
                              <w:rPr>
                                <w:rFonts w:cs="Arial"/>
                                <w:b/>
                                <w:bCs/>
                                <w:i/>
                                <w:iCs/>
                              </w:rPr>
                            </w:pPr>
                            <w:r w:rsidRPr="000D1A49">
                              <w:t>A wide range of stakeholders have been consulted as part of our engagement process including, jurisdictions, public hospitals, private and day hospitals, the Australian Commission on Safety and Quality in Health Care, Royal Australasian College of Medical Administrators, Australian Medical Association, medical device sponsors and manufacturers</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961F" id="_x0000_s1037" type="#_x0000_t202" style="position:absolute;margin-left:398.35pt;margin-top:63.4pt;width:449.55pt;height:84.9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hmJw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">
                <v:textbox>
                  <w:txbxContent>
                    <w:p w14:paraId="2307E111" w14:textId="77777777" w:rsidR="008461AF" w:rsidRPr="000D1A49" w:rsidRDefault="008461AF" w:rsidP="000D1A49">
                      <w:pPr>
                        <w:shd w:val="clear" w:color="auto" w:fill="F2F2F2" w:themeFill="background1" w:themeFillShade="F2"/>
                        <w:rPr>
                          <w:rFonts w:cs="Arial"/>
                          <w:b/>
                          <w:bCs/>
                          <w:i/>
                          <w:iCs/>
                        </w:rPr>
                      </w:pPr>
                      <w:r w:rsidRPr="000D1A49">
                        <w:rPr>
                          <w:rFonts w:cs="Arial"/>
                          <w:b/>
                          <w:bCs/>
                          <w:i/>
                          <w:iCs/>
                        </w:rPr>
                        <w:t>Consultations and Engagement</w:t>
                      </w:r>
                    </w:p>
                    <w:p w14:paraId="4FE0CEB3" w14:textId="49F211A6" w:rsidR="008461AF" w:rsidRPr="00236512" w:rsidRDefault="008461AF" w:rsidP="000D1A49">
                      <w:pPr>
                        <w:shd w:val="clear" w:color="auto" w:fill="F2F2F2" w:themeFill="background1" w:themeFillShade="F2"/>
                        <w:rPr>
                          <w:rFonts w:cs="Arial"/>
                          <w:b/>
                          <w:bCs/>
                          <w:i/>
                          <w:iCs/>
                        </w:rPr>
                      </w:pPr>
                      <w:r w:rsidRPr="000D1A49">
                        <w:t>A wide range of stakeholders have been consulted as part of our engagement process including, jurisdictions, public hospitals, private and day hospitals, the Australian Commission on Safety and Quality in Health Care, Royal Australasian College of Medical Administrators, Australian Medical Association, medical device sponsors and manufacturers</w:t>
                      </w:r>
                      <w:r>
                        <w:br/>
                      </w:r>
                      <w:r>
                        <w:br/>
                      </w:r>
                    </w:p>
                  </w:txbxContent>
                </v:textbox>
                <w10:wrap type="square" anchorx="margin"/>
              </v:shape>
            </w:pict>
          </mc:Fallback>
        </mc:AlternateContent>
      </w:r>
      <w:r w:rsidR="00CE52F3">
        <w:t>Question Five: Who did you consult with and how was this consultation conducted?</w:t>
      </w:r>
      <w:bookmarkEnd w:id="158"/>
      <w:bookmarkEnd w:id="169"/>
      <w:r w:rsidR="00CE52F3">
        <w:t xml:space="preserve"> </w:t>
      </w:r>
      <w:r w:rsidR="00520749">
        <w:br/>
      </w:r>
    </w:p>
    <w:p w14:paraId="40FB3E43" w14:textId="48E9C1C1" w:rsidR="0004173F" w:rsidRPr="001B34CA" w:rsidRDefault="00A15886" w:rsidP="00F62492">
      <w:pPr>
        <w:pStyle w:val="Heading2"/>
      </w:pPr>
      <w:bookmarkStart w:id="171" w:name="_Toc188012878"/>
      <w:r w:rsidRPr="001B34CA">
        <w:t xml:space="preserve">Independent Senate </w:t>
      </w:r>
      <w:r w:rsidR="0004173F" w:rsidRPr="001B34CA">
        <w:t>Community Affairs References Committee</w:t>
      </w:r>
      <w:bookmarkEnd w:id="171"/>
    </w:p>
    <w:p w14:paraId="5BF7D8A5" w14:textId="157C4149" w:rsidR="0004173F" w:rsidRDefault="0011472E" w:rsidP="0004173F">
      <w:r w:rsidRPr="001B34CA">
        <w:t xml:space="preserve">On </w:t>
      </w:r>
      <w:r w:rsidR="00DF0211" w:rsidRPr="001B34CA">
        <w:t>15 February 2017, a</w:t>
      </w:r>
      <w:r w:rsidR="0004173F" w:rsidRPr="001B34CA">
        <w:t xml:space="preserve">n independent Senate Community Affairs References Committee </w:t>
      </w:r>
      <w:r w:rsidR="00B5553A" w:rsidRPr="001B34CA">
        <w:t>conducted</w:t>
      </w:r>
      <w:r w:rsidR="0004173F" w:rsidRPr="001B34CA">
        <w:t xml:space="preserve"> an Inquiry</w:t>
      </w:r>
      <w:r w:rsidR="00B240B2" w:rsidRPr="001B34CA">
        <w:t xml:space="preserve"> into the </w:t>
      </w:r>
      <w:r w:rsidR="00390EB9" w:rsidRPr="001B34CA">
        <w:rPr>
          <w:i/>
          <w:iCs/>
        </w:rPr>
        <w:t>Number of women in Australia who have had transvaginal mesh implants and related matters</w:t>
      </w:r>
      <w:r w:rsidR="0004173F" w:rsidRPr="001B34CA">
        <w:t xml:space="preserve"> </w:t>
      </w:r>
      <w:r w:rsidR="00912D1D" w:rsidRPr="001B34CA">
        <w:t>and</w:t>
      </w:r>
      <w:r w:rsidR="0004173F" w:rsidRPr="001B34CA">
        <w:t xml:space="preserve"> the serious and long-standing impacts reported by women following mesh related procedures. A total of 555 submissions were received w</w:t>
      </w:r>
      <w:r w:rsidR="00255297" w:rsidRPr="001B34CA">
        <w:t>hich resulted in</w:t>
      </w:r>
      <w:r w:rsidR="0004173F" w:rsidRPr="001B34CA">
        <w:t xml:space="preserve"> five public hearings taking place between August 2017 to February 2018</w:t>
      </w:r>
      <w:r w:rsidR="00B30836" w:rsidRPr="001B34CA">
        <w:t xml:space="preserve"> and</w:t>
      </w:r>
      <w:r w:rsidR="00782899" w:rsidRPr="001B34CA">
        <w:t xml:space="preserve"> evidence provided by</w:t>
      </w:r>
      <w:r w:rsidR="00B30836" w:rsidRPr="001B34CA">
        <w:t xml:space="preserve"> 184 witnesses</w:t>
      </w:r>
      <w:r w:rsidR="00D50A8A" w:rsidRPr="001B34CA">
        <w:t>. The Inquiry highlighted limited awareness amongst consumers and healthcare practitioners about adverse event reporting to the TGA</w:t>
      </w:r>
      <w:r w:rsidR="00994422" w:rsidRPr="001B34CA">
        <w:t xml:space="preserve"> and debilitating effects </w:t>
      </w:r>
      <w:r w:rsidR="00B30062" w:rsidRPr="001B34CA">
        <w:t xml:space="preserve">on patient safety when a medical device </w:t>
      </w:r>
      <w:r w:rsidR="005048E2" w:rsidRPr="001B34CA">
        <w:t>adverse</w:t>
      </w:r>
      <w:r w:rsidR="00B30062" w:rsidRPr="001B34CA">
        <w:t xml:space="preserve"> event is not </w:t>
      </w:r>
      <w:r w:rsidR="005048E2" w:rsidRPr="001B34CA">
        <w:t>detecte</w:t>
      </w:r>
      <w:r w:rsidR="00B30062" w:rsidRPr="001B34CA">
        <w:t>d</w:t>
      </w:r>
      <w:r w:rsidR="005048E2" w:rsidRPr="001B34CA">
        <w:t xml:space="preserve"> in a timely manner</w:t>
      </w:r>
      <w:r w:rsidR="00D50A8A" w:rsidRPr="001B34CA">
        <w:t>.</w:t>
      </w:r>
      <w:r w:rsidR="00AC158D" w:rsidRPr="001B34CA">
        <w:rPr>
          <w:rStyle w:val="FootnoteReference"/>
        </w:rPr>
        <w:footnoteReference w:id="80"/>
      </w:r>
    </w:p>
    <w:p w14:paraId="782B8A9A" w14:textId="4713FDC0" w:rsidR="00CE52F3" w:rsidRPr="00A124B8" w:rsidRDefault="00F06F73" w:rsidP="00F62492">
      <w:pPr>
        <w:pStyle w:val="Heading2"/>
      </w:pPr>
      <w:bookmarkStart w:id="172" w:name="_Toc188012879"/>
      <w:r w:rsidRPr="000D1A49">
        <w:t xml:space="preserve">Preliminary </w:t>
      </w:r>
      <w:r w:rsidR="004E5E20" w:rsidRPr="000D1A49">
        <w:t xml:space="preserve">Public </w:t>
      </w:r>
      <w:r w:rsidRPr="000D1A49">
        <w:t>Consultation</w:t>
      </w:r>
      <w:r w:rsidR="004E5E20" w:rsidRPr="000D1A49">
        <w:t>s</w:t>
      </w:r>
      <w:bookmarkEnd w:id="170"/>
      <w:bookmarkEnd w:id="172"/>
      <w:r w:rsidRPr="00A124B8">
        <w:t xml:space="preserve"> </w:t>
      </w:r>
    </w:p>
    <w:p w14:paraId="04F9E169" w14:textId="77777777" w:rsidR="007344E9" w:rsidRPr="00A124B8" w:rsidRDefault="007344E9" w:rsidP="007344E9">
      <w:r w:rsidRPr="00A124B8">
        <w:t>The Review of Medicines and Medical Devices Regulation (MMDR) that was undertaken in 2014-15, included several recommendations to enhance the post-market surveillance and regulation of medical devices. The review recommended improving post market monitoring of medical devices by implementing</w:t>
      </w:r>
      <w:r>
        <w:t xml:space="preserve"> more</w:t>
      </w:r>
      <w:r w:rsidRPr="00A124B8">
        <w:t xml:space="preserve"> robust data collection and analysis systems and improving the integration of the data sets to enhance monitoring. The review also proposed improvements to the adverse event reporting system for medical devices to make it more user friendly, and to assist healthcare professionals, patients, sponsors and manufacturers to report issues consistently and accurately. The TGA introduced a range of medical device reforms to implement the recommendations of the MMDR review. These included reforms to enhance post market surveillance with better integration and analysis of available datasets for adverse events and device performance. </w:t>
      </w:r>
    </w:p>
    <w:p w14:paraId="014921FC" w14:textId="77777777" w:rsidR="007344E9" w:rsidRPr="00A124B8" w:rsidRDefault="007344E9" w:rsidP="007344E9">
      <w:r w:rsidRPr="00A124B8">
        <w:t>Amongst the measures to support this were updates to its online medical device adverse event reporting forms for consumers, health professionals and sponsors in 2019, to streamline the process and facilitate reporting.</w:t>
      </w:r>
      <w:r w:rsidRPr="00A124B8">
        <w:rPr>
          <w:rStyle w:val="FootnoteReference"/>
        </w:rPr>
        <w:footnoteReference w:id="81"/>
      </w:r>
      <w:r w:rsidRPr="00A124B8">
        <w:t xml:space="preserve"> The TGA conducted a preliminary consultation process in 2020 which sought public feedback on a number of proposed enhancements to medical device adverse event reporting. The options provided on regulatory amendments were intended to improve the reporting, analysis, and communication of medical device adverse events and near adverse events. The proposed enhancements to adverse event reporting and related activities included: </w:t>
      </w:r>
    </w:p>
    <w:p w14:paraId="6DA973CC" w14:textId="77777777" w:rsidR="007344E9" w:rsidRPr="00A124B8" w:rsidRDefault="007344E9" w:rsidP="007344E9">
      <w:pPr>
        <w:pStyle w:val="Bullet1"/>
      </w:pPr>
      <w:r w:rsidRPr="00A124B8">
        <w:t>Proposal 1 — make changes to the current adverse event reporting exemptions</w:t>
      </w:r>
    </w:p>
    <w:p w14:paraId="18CC3C3E" w14:textId="77777777" w:rsidR="007344E9" w:rsidRPr="00A124B8" w:rsidRDefault="007344E9" w:rsidP="007344E9">
      <w:pPr>
        <w:pStyle w:val="Bullet1"/>
      </w:pPr>
      <w:r w:rsidRPr="00A124B8">
        <w:t xml:space="preserve">Proposal 2 — strengthen reporting requirements for medical device adverse events </w:t>
      </w:r>
    </w:p>
    <w:p w14:paraId="6E2FE186" w14:textId="77777777" w:rsidR="007344E9" w:rsidRPr="00A124B8" w:rsidRDefault="007344E9" w:rsidP="007344E9">
      <w:pPr>
        <w:pStyle w:val="Bullet1"/>
      </w:pPr>
      <w:r w:rsidRPr="00A124B8">
        <w:t xml:space="preserve">Proposal 3 — implement a program of TGA inspections and audits of sponsor activities and premises to validate how they conduct their post market surveillance obligations </w:t>
      </w:r>
    </w:p>
    <w:p w14:paraId="3DEBCB10" w14:textId="77777777" w:rsidR="007344E9" w:rsidRPr="00A124B8" w:rsidRDefault="007344E9" w:rsidP="007344E9">
      <w:pPr>
        <w:pStyle w:val="Bullet1"/>
      </w:pPr>
      <w:r w:rsidRPr="00A124B8">
        <w:t xml:space="preserve">Proposal 4 — review post-market definitions in the Medical Device Regulations </w:t>
      </w:r>
    </w:p>
    <w:p w14:paraId="19DA088B" w14:textId="77777777" w:rsidR="007344E9" w:rsidRPr="00A124B8" w:rsidRDefault="007344E9" w:rsidP="007344E9">
      <w:pPr>
        <w:pStyle w:val="Bullet1"/>
      </w:pPr>
      <w:r w:rsidRPr="00A124B8">
        <w:t xml:space="preserve">Proposal 5 — find ways to enhance communication between the TGA and the consumers of medical devices </w:t>
      </w:r>
    </w:p>
    <w:p w14:paraId="0B751BF6" w14:textId="1F0D6D2B" w:rsidR="00512C6E" w:rsidRDefault="008C667D" w:rsidP="00512C6E">
      <w:r w:rsidRPr="00F52A70">
        <w:t xml:space="preserve">On </w:t>
      </w:r>
      <w:r w:rsidR="00A95D0A" w:rsidRPr="00F52A70">
        <w:t xml:space="preserve">18 October 2021, </w:t>
      </w:r>
      <w:r w:rsidR="00DF6E25" w:rsidRPr="00F52A70">
        <w:t>the</w:t>
      </w:r>
      <w:r w:rsidR="00A95D0A" w:rsidRPr="00F52A70">
        <w:t xml:space="preserve"> </w:t>
      </w:r>
      <w:r w:rsidR="00935609" w:rsidRPr="00F52A70">
        <w:t>TGA</w:t>
      </w:r>
      <w:r w:rsidR="00935609">
        <w:t xml:space="preserve"> released a public consultation paper titled </w:t>
      </w:r>
      <w:r w:rsidR="00935609" w:rsidRPr="00422DE8">
        <w:rPr>
          <w:i/>
          <w:iCs/>
        </w:rPr>
        <w:t xml:space="preserve">Potential for Mandatory Reporting of Medical Device </w:t>
      </w:r>
      <w:r w:rsidR="00CA1A34" w:rsidRPr="00422DE8">
        <w:rPr>
          <w:i/>
          <w:iCs/>
        </w:rPr>
        <w:t>Adverse</w:t>
      </w:r>
      <w:r w:rsidR="00935609" w:rsidRPr="00422DE8">
        <w:rPr>
          <w:i/>
          <w:iCs/>
        </w:rPr>
        <w:t xml:space="preserve"> Events by Healthcare Facilities in Australia</w:t>
      </w:r>
      <w:r w:rsidR="002B005A">
        <w:rPr>
          <w:i/>
          <w:iCs/>
        </w:rPr>
        <w:t>.</w:t>
      </w:r>
      <w:r w:rsidR="0074261A">
        <w:rPr>
          <w:rStyle w:val="FootnoteReference"/>
        </w:rPr>
        <w:footnoteReference w:id="82"/>
      </w:r>
      <w:r w:rsidR="002B005A">
        <w:t xml:space="preserve"> </w:t>
      </w:r>
      <w:r w:rsidR="00754FD7">
        <w:t>In</w:t>
      </w:r>
      <w:r w:rsidR="001F6C60">
        <w:t xml:space="preserve"> addition, </w:t>
      </w:r>
      <w:r w:rsidR="005B762D">
        <w:t>targeted consultations</w:t>
      </w:r>
      <w:r w:rsidR="001F6C60">
        <w:t xml:space="preserve"> with</w:t>
      </w:r>
      <w:r w:rsidR="00E475CF">
        <w:t xml:space="preserve"> Australian stakeholders</w:t>
      </w:r>
      <w:r w:rsidR="009A3FA8">
        <w:t xml:space="preserve">, </w:t>
      </w:r>
      <w:r w:rsidR="00E475CF">
        <w:t>includ</w:t>
      </w:r>
      <w:r w:rsidR="009A3FA8">
        <w:t>ing</w:t>
      </w:r>
      <w:r w:rsidR="00E475CF">
        <w:t xml:space="preserve"> representatives from each state and territory departments of health, the Commission</w:t>
      </w:r>
      <w:r w:rsidR="00DD46F6">
        <w:t>,</w:t>
      </w:r>
      <w:r w:rsidR="00E475CF">
        <w:t xml:space="preserve"> and a range of private healthcare organisations and peak bodies</w:t>
      </w:r>
      <w:bookmarkStart w:id="173" w:name="_Toc156375157"/>
      <w:r w:rsidR="00104181">
        <w:t>,</w:t>
      </w:r>
      <w:r w:rsidR="0035542E">
        <w:t xml:space="preserve"> and some OE</w:t>
      </w:r>
      <w:r w:rsidR="006828BA">
        <w:t>CD</w:t>
      </w:r>
      <w:r w:rsidR="00D115CF">
        <w:t xml:space="preserve"> </w:t>
      </w:r>
      <w:r w:rsidR="007719CE">
        <w:t xml:space="preserve">countries, </w:t>
      </w:r>
      <w:r w:rsidR="0018116F">
        <w:t>were</w:t>
      </w:r>
      <w:r w:rsidR="00F86BA1">
        <w:t xml:space="preserve"> held to  e</w:t>
      </w:r>
      <w:r w:rsidR="007719CE">
        <w:t>xplor</w:t>
      </w:r>
      <w:r w:rsidR="00F86BA1">
        <w:t>e</w:t>
      </w:r>
      <w:r w:rsidR="00104181">
        <w:t xml:space="preserve"> </w:t>
      </w:r>
      <w:r w:rsidR="009A661E">
        <w:t xml:space="preserve">the potential </w:t>
      </w:r>
      <w:r w:rsidR="001A5E0D">
        <w:t xml:space="preserve">benefits and </w:t>
      </w:r>
      <w:r w:rsidR="001F38AD">
        <w:t xml:space="preserve">limitations of mandatory reporting </w:t>
      </w:r>
      <w:r w:rsidR="008B4D35">
        <w:t xml:space="preserve">for adverse events related to medical devices. </w:t>
      </w:r>
    </w:p>
    <w:p w14:paraId="1ECCF377" w14:textId="16CD2CDF" w:rsidR="00B74C99" w:rsidRDefault="0090239A" w:rsidP="00512C6E">
      <w:r>
        <w:t xml:space="preserve">Countries such as </w:t>
      </w:r>
      <w:r w:rsidR="00A24479">
        <w:t xml:space="preserve">the </w:t>
      </w:r>
      <w:r>
        <w:t>US</w:t>
      </w:r>
      <w:r w:rsidR="00A24479">
        <w:t>A</w:t>
      </w:r>
      <w:r>
        <w:t xml:space="preserve">, and more recently Canada, have </w:t>
      </w:r>
      <w:r w:rsidR="008D3161">
        <w:t xml:space="preserve">made it mandatory for healthcare facilities to report </w:t>
      </w:r>
      <w:r w:rsidR="005538F6">
        <w:t>suspicious events that may be cause</w:t>
      </w:r>
      <w:r w:rsidR="008E0049">
        <w:t>d</w:t>
      </w:r>
      <w:r w:rsidR="005538F6">
        <w:t xml:space="preserve"> by a </w:t>
      </w:r>
      <w:r w:rsidR="006F440F">
        <w:t xml:space="preserve">medical device. </w:t>
      </w:r>
      <w:r w:rsidR="00846229">
        <w:t xml:space="preserve">These mandates are considered to: </w:t>
      </w:r>
    </w:p>
    <w:p w14:paraId="72D8BF75" w14:textId="44E6BF4A" w:rsidR="00846229" w:rsidRDefault="00034D44" w:rsidP="00846229">
      <w:pPr>
        <w:pStyle w:val="Bullet1"/>
      </w:pPr>
      <w:r>
        <w:t>i</w:t>
      </w:r>
      <w:r w:rsidR="00653F9B">
        <w:t xml:space="preserve">ncrease the potential quality of reporting </w:t>
      </w:r>
      <w:r w:rsidR="0083508C">
        <w:t>to the regulator</w:t>
      </w:r>
      <w:r w:rsidR="00046846">
        <w:t xml:space="preserve">, </w:t>
      </w:r>
      <w:r w:rsidR="005C0CD5">
        <w:t xml:space="preserve">particularly information relating to specific medical devices that may otherwise be unavailable to individual health care professionals at the time of </w:t>
      </w:r>
      <w:r w:rsidR="00D40468">
        <w:t>incident</w:t>
      </w:r>
      <w:r w:rsidR="005C0CD5">
        <w:t xml:space="preserve"> </w:t>
      </w:r>
      <w:r w:rsidR="00D40468">
        <w:t>notification</w:t>
      </w:r>
      <w:r w:rsidR="00C61BBD">
        <w:t xml:space="preserve"> </w:t>
      </w:r>
    </w:p>
    <w:p w14:paraId="32A1538A" w14:textId="63456481" w:rsidR="0083508C" w:rsidRDefault="00034D44" w:rsidP="00846229">
      <w:pPr>
        <w:pStyle w:val="Bullet1"/>
      </w:pPr>
      <w:r>
        <w:t>p</w:t>
      </w:r>
      <w:r w:rsidR="004453E9">
        <w:t xml:space="preserve">rovide greater flexibility </w:t>
      </w:r>
      <w:r w:rsidR="00A521F0">
        <w:t xml:space="preserve">for the healthcare </w:t>
      </w:r>
      <w:r w:rsidR="00424F5E">
        <w:t>facilities</w:t>
      </w:r>
      <w:r w:rsidR="00A521F0">
        <w:t xml:space="preserve"> to </w:t>
      </w:r>
      <w:r w:rsidR="00207CE2">
        <w:t xml:space="preserve">adequately </w:t>
      </w:r>
      <w:r w:rsidR="00FB2821">
        <w:t xml:space="preserve">assign resources to </w:t>
      </w:r>
      <w:r w:rsidR="001240E0">
        <w:t xml:space="preserve">report against adverse medical devices </w:t>
      </w:r>
    </w:p>
    <w:p w14:paraId="098A0C7A" w14:textId="782D94E8" w:rsidR="001240E0" w:rsidRDefault="00034D44" w:rsidP="00846229">
      <w:pPr>
        <w:pStyle w:val="Bullet1"/>
      </w:pPr>
      <w:r>
        <w:t>b</w:t>
      </w:r>
      <w:r w:rsidR="00B74B92">
        <w:t xml:space="preserve">e less burdensome </w:t>
      </w:r>
      <w:r w:rsidR="002918A1">
        <w:t>than</w:t>
      </w:r>
      <w:r w:rsidR="00B74B92">
        <w:t xml:space="preserve"> </w:t>
      </w:r>
      <w:r w:rsidR="00E86349">
        <w:t>requiring individual health practitioners to report against adverse medical devices</w:t>
      </w:r>
      <w:r>
        <w:t>.</w:t>
      </w:r>
    </w:p>
    <w:p w14:paraId="39712CA2" w14:textId="118DE7D7" w:rsidR="00CE52F3" w:rsidRPr="00134350" w:rsidRDefault="00CE52F3" w:rsidP="00512C6E">
      <w:pPr>
        <w:pStyle w:val="Heading3"/>
      </w:pPr>
      <w:bookmarkStart w:id="174" w:name="_Toc179531329"/>
      <w:bookmarkStart w:id="175" w:name="_Toc188012880"/>
      <w:r>
        <w:t>Consultation</w:t>
      </w:r>
      <w:bookmarkEnd w:id="174"/>
      <w:r>
        <w:t xml:space="preserve"> </w:t>
      </w:r>
      <w:bookmarkEnd w:id="173"/>
      <w:bookmarkEnd w:id="175"/>
    </w:p>
    <w:p w14:paraId="499080D9" w14:textId="76EDDE29" w:rsidR="00DE6C9F" w:rsidRPr="00F3751D" w:rsidRDefault="00DE6C9F" w:rsidP="002E72F7">
      <w:pPr>
        <w:rPr>
          <w:rFonts w:asciiTheme="minorHAnsi" w:hAnsiTheme="minorHAnsi"/>
        </w:rPr>
      </w:pPr>
      <w:bookmarkStart w:id="176" w:name="_Toc156375158"/>
      <w:r w:rsidRPr="007E7686">
        <w:t>With the aim to improve the quality and timeliness of monitoring the safety and performance of medical devices, issues and approaches to mandatory reporting were explored by key state and territory representatives</w:t>
      </w:r>
      <w:r w:rsidR="007B49E8" w:rsidRPr="007E7686">
        <w:t>, industry</w:t>
      </w:r>
      <w:r w:rsidR="000A0A63" w:rsidRPr="007E7686">
        <w:t xml:space="preserve">, consumers and health care </w:t>
      </w:r>
      <w:r w:rsidR="007F0EDC" w:rsidRPr="007E7686">
        <w:t>(including healthcare organisations, CRAFT groups, healthcare practitioners and health funds)</w:t>
      </w:r>
      <w:r w:rsidR="00C14108">
        <w:t xml:space="preserve"> </w:t>
      </w:r>
      <w:r w:rsidRPr="007E7686">
        <w:t xml:space="preserve">in </w:t>
      </w:r>
      <w:r w:rsidRPr="007E7686">
        <w:rPr>
          <w:i/>
          <w:iCs/>
        </w:rPr>
        <w:t>Potential for Mandatory Reporting of Medical Devices Adverse Events by Healthcare Facilities in Australia</w:t>
      </w:r>
      <w:r>
        <w:rPr>
          <w:i/>
          <w:iCs/>
        </w:rPr>
        <w:t xml:space="preserve">. </w:t>
      </w:r>
      <w:r w:rsidRPr="00EF7413">
        <w:t xml:space="preserve">The </w:t>
      </w:r>
      <w:r w:rsidR="0039515D">
        <w:t>consultation paper</w:t>
      </w:r>
      <w:r>
        <w:rPr>
          <w:i/>
          <w:iCs/>
        </w:rPr>
        <w:t xml:space="preserve"> </w:t>
      </w:r>
      <w:r w:rsidRPr="0006520F">
        <w:t>presented</w:t>
      </w:r>
      <w:r>
        <w:t xml:space="preserve"> the </w:t>
      </w:r>
      <w:r w:rsidRPr="00495870">
        <w:t>bro</w:t>
      </w:r>
      <w:r w:rsidR="00495870" w:rsidRPr="00495870">
        <w:t>a</w:t>
      </w:r>
      <w:r w:rsidRPr="00495870">
        <w:t>d</w:t>
      </w:r>
      <w:r>
        <w:t xml:space="preserve"> level of support for expanding the list of entities required to report adverse events of medical devices and acknowledged existing jurisdictional data collection and reporting systems need to be developed to make better use of the data and minimise unnecessary regulatory cost. </w:t>
      </w:r>
    </w:p>
    <w:p w14:paraId="4D3A3D76" w14:textId="3B9889BC" w:rsidR="00465607" w:rsidRDefault="00603259" w:rsidP="002E72F7">
      <w:r>
        <w:t>T</w:t>
      </w:r>
      <w:r w:rsidR="00A45E60">
        <w:t xml:space="preserve">he </w:t>
      </w:r>
      <w:r>
        <w:t>consultation</w:t>
      </w:r>
      <w:r w:rsidR="00A45E60">
        <w:t xml:space="preserve"> paper s</w:t>
      </w:r>
      <w:r>
        <w:t>ought</w:t>
      </w:r>
      <w:r w:rsidR="00A45E60">
        <w:t xml:space="preserve"> broader feedback on the potential benefits and challenges of implementing mandatory reporting of medical device related adverse events by healthcare facilities in Australia. The </w:t>
      </w:r>
      <w:r w:rsidR="00DC0214">
        <w:t>consultation</w:t>
      </w:r>
      <w:r w:rsidR="00A45E60">
        <w:t xml:space="preserve"> paper was published on the TGA website and the TGA </w:t>
      </w:r>
      <w:r w:rsidR="00A45E60" w:rsidRPr="00DE5C59">
        <w:t>Consultation Hub, on 18 October 2021, closing on 13 December 2021; with a number of late email submissions after this date.</w:t>
      </w:r>
    </w:p>
    <w:p w14:paraId="60C53F8F" w14:textId="527B7962" w:rsidR="00044524" w:rsidRDefault="00044524" w:rsidP="002E72F7">
      <w:r>
        <w:t xml:space="preserve">There were 56 submissions to the </w:t>
      </w:r>
      <w:r w:rsidR="00DC0214">
        <w:t>consultation</w:t>
      </w:r>
      <w:r>
        <w:t xml:space="preserve"> paper:</w:t>
      </w:r>
    </w:p>
    <w:p w14:paraId="0A243535" w14:textId="735877BC" w:rsidR="00044524" w:rsidRDefault="00044524" w:rsidP="002E72F7">
      <w:pPr>
        <w:pStyle w:val="Bullet1"/>
      </w:pPr>
      <w:r>
        <w:t xml:space="preserve">39 via the TGA’s Consultation Hub; and </w:t>
      </w:r>
    </w:p>
    <w:p w14:paraId="2A19E714" w14:textId="113913A9" w:rsidR="00044524" w:rsidRDefault="00044524" w:rsidP="002E72F7">
      <w:pPr>
        <w:pStyle w:val="Bullet1"/>
      </w:pPr>
      <w:r>
        <w:t>17 via direct email to the TGA.</w:t>
      </w:r>
    </w:p>
    <w:p w14:paraId="3EC2C647" w14:textId="4DDF35CF" w:rsidR="00044524" w:rsidRDefault="00044524" w:rsidP="00044524">
      <w:r>
        <w:t>For the purpose of this analysis, respondents were divided into four main categories:</w:t>
      </w:r>
    </w:p>
    <w:p w14:paraId="513D6DBB" w14:textId="63960A6C" w:rsidR="00044524" w:rsidRDefault="00044524" w:rsidP="00082264">
      <w:pPr>
        <w:pStyle w:val="Numberbullet0"/>
        <w:numPr>
          <w:ilvl w:val="0"/>
          <w:numId w:val="24"/>
        </w:numPr>
      </w:pPr>
      <w:r>
        <w:t>Consumers (including consumer groups and individual consumers)</w:t>
      </w:r>
    </w:p>
    <w:p w14:paraId="3CA773E7" w14:textId="13CA61C9" w:rsidR="00044524" w:rsidRDefault="00044524" w:rsidP="00082264">
      <w:pPr>
        <w:pStyle w:val="Numberbullet0"/>
        <w:numPr>
          <w:ilvl w:val="0"/>
          <w:numId w:val="24"/>
        </w:numPr>
      </w:pPr>
      <w:r>
        <w:t>Industry (including peak industry bodies and individual sponsors)</w:t>
      </w:r>
    </w:p>
    <w:p w14:paraId="589EEA49" w14:textId="1E2EA474" w:rsidR="00044524" w:rsidRDefault="00044524" w:rsidP="00082264">
      <w:pPr>
        <w:pStyle w:val="Numberbullet0"/>
        <w:numPr>
          <w:ilvl w:val="0"/>
          <w:numId w:val="24"/>
        </w:numPr>
      </w:pPr>
      <w:r>
        <w:t>Healthcare (including healthcare organisations, CRAFT groups</w:t>
      </w:r>
      <w:r w:rsidR="003D411B">
        <w:t xml:space="preserve"> (a group of specialty medical accredited practitioners who provide oversight of clinical governance)</w:t>
      </w:r>
      <w:r>
        <w:t>, state and territory</w:t>
      </w:r>
      <w:r w:rsidR="00375547">
        <w:t xml:space="preserve"> </w:t>
      </w:r>
      <w:r>
        <w:t>governments, healthcare practitioners and health funds)</w:t>
      </w:r>
      <w:r w:rsidR="00375547">
        <w:t xml:space="preserve"> and the </w:t>
      </w:r>
      <w:r>
        <w:t>Therapeutic Goods Administration</w:t>
      </w:r>
    </w:p>
    <w:p w14:paraId="6EC49689" w14:textId="4B6BEDAC" w:rsidR="00044524" w:rsidRDefault="00044524" w:rsidP="00082264">
      <w:pPr>
        <w:pStyle w:val="Numberbullet0"/>
        <w:numPr>
          <w:ilvl w:val="0"/>
          <w:numId w:val="24"/>
        </w:numPr>
      </w:pPr>
      <w:r>
        <w:t>Unknown (two respondents provided insufficient information to allow us to determine whether the respondent was an individual or other entity, and which sector, if any, they</w:t>
      </w:r>
      <w:r w:rsidR="00E2708F">
        <w:t xml:space="preserve"> </w:t>
      </w:r>
      <w:r>
        <w:t>belonged to).</w:t>
      </w:r>
    </w:p>
    <w:p w14:paraId="06D004A0" w14:textId="40C466F6" w:rsidR="00044524" w:rsidRDefault="00044524" w:rsidP="00044524">
      <w:r>
        <w:t>Responses were received as follows:</w:t>
      </w:r>
    </w:p>
    <w:p w14:paraId="754E3587" w14:textId="6AD2AFEA" w:rsidR="00044524" w:rsidRDefault="00044524" w:rsidP="00E2708F">
      <w:pPr>
        <w:pStyle w:val="Bullet1"/>
      </w:pPr>
      <w:r>
        <w:t>Healthcare (25 respondents, 44%)</w:t>
      </w:r>
    </w:p>
    <w:p w14:paraId="54688037" w14:textId="31F854A4" w:rsidR="00044524" w:rsidRDefault="00044524" w:rsidP="00E2708F">
      <w:pPr>
        <w:pStyle w:val="Bullet1"/>
      </w:pPr>
      <w:r>
        <w:t>Industry (16 respondents, 29%)</w:t>
      </w:r>
    </w:p>
    <w:p w14:paraId="480BA7B4" w14:textId="6B63BEE9" w:rsidR="00044524" w:rsidRDefault="00044524" w:rsidP="00E2708F">
      <w:pPr>
        <w:pStyle w:val="Bullet1"/>
      </w:pPr>
      <w:r>
        <w:t>Consumers (13 respondents, 23%)</w:t>
      </w:r>
    </w:p>
    <w:p w14:paraId="1851EB7A" w14:textId="3A17CDD8" w:rsidR="00167FCF" w:rsidRDefault="00044524" w:rsidP="00DE6C9F">
      <w:pPr>
        <w:pStyle w:val="Bullet1"/>
      </w:pPr>
      <w:r>
        <w:t>Unknown (2 respondents, 4%)</w:t>
      </w:r>
    </w:p>
    <w:p w14:paraId="68DB9190" w14:textId="6102E8BB" w:rsidR="00B674B7" w:rsidRDefault="003D29E8" w:rsidP="00B710C7">
      <w:pPr>
        <w:spacing w:after="160"/>
      </w:pPr>
      <w:r>
        <w:t>A</w:t>
      </w:r>
      <w:r w:rsidR="00000195">
        <w:t xml:space="preserve">lmost </w:t>
      </w:r>
      <w:r w:rsidR="00167FCF">
        <w:t xml:space="preserve">three quarters of respondents </w:t>
      </w:r>
      <w:r w:rsidR="00000195">
        <w:t xml:space="preserve">to the </w:t>
      </w:r>
      <w:r w:rsidR="008A0F20">
        <w:t>consultation</w:t>
      </w:r>
      <w:r w:rsidR="00000195">
        <w:t xml:space="preserve"> paper (</w:t>
      </w:r>
      <w:r w:rsidR="00EF3923">
        <w:t>n</w:t>
      </w:r>
      <w:r w:rsidR="007C7D87">
        <w:t xml:space="preserve">=56) </w:t>
      </w:r>
      <w:r w:rsidR="00167FCF">
        <w:t xml:space="preserve">expressed broad support for the introduction of mandatory reporting for </w:t>
      </w:r>
      <w:r w:rsidR="00167FCF" w:rsidRPr="00FD4958">
        <w:rPr>
          <w:i/>
          <w:iCs/>
        </w:rPr>
        <w:t xml:space="preserve">all </w:t>
      </w:r>
      <w:r w:rsidR="00167FCF">
        <w:t xml:space="preserve">healthcare facilities in Australia. </w:t>
      </w:r>
      <w:r w:rsidR="008E20BC">
        <w:t>Some s</w:t>
      </w:r>
      <w:r w:rsidR="00167FCF">
        <w:t>takeholders also expressed</w:t>
      </w:r>
      <w:r w:rsidR="005A64E2">
        <w:t xml:space="preserve"> an </w:t>
      </w:r>
      <w:r w:rsidR="00431952">
        <w:t>opinion</w:t>
      </w:r>
      <w:r w:rsidR="00167FCF">
        <w:t xml:space="preserve"> that the mandatory reporting for healthcare facilities was long overdue and does not currently support the early identification of emerging safety and performance issues.</w:t>
      </w:r>
      <w:r w:rsidR="002D00C9">
        <w:rPr>
          <w:rStyle w:val="FootnoteReference"/>
        </w:rPr>
        <w:footnoteReference w:id="83"/>
      </w:r>
      <w:r w:rsidR="006A19AD">
        <w:t xml:space="preserve"> </w:t>
      </w:r>
      <w:r w:rsidR="002C2A43">
        <w:t>While the majority</w:t>
      </w:r>
      <w:r w:rsidR="0065659D">
        <w:t xml:space="preserve"> (73%)</w:t>
      </w:r>
      <w:r w:rsidR="002C2A43">
        <w:t xml:space="preserve"> of respondents</w:t>
      </w:r>
      <w:r w:rsidR="00760DBB">
        <w:t xml:space="preserve"> were in favour of the inclusion of all healthcare facilities</w:t>
      </w:r>
      <w:r w:rsidR="0051021B">
        <w:t>, some</w:t>
      </w:r>
      <w:r w:rsidR="0065659D">
        <w:t xml:space="preserve"> (9%)</w:t>
      </w:r>
      <w:r w:rsidR="0051021B">
        <w:t xml:space="preserve"> </w:t>
      </w:r>
      <w:r w:rsidR="001C2193">
        <w:t xml:space="preserve">raised concerns </w:t>
      </w:r>
      <w:r w:rsidR="00010206">
        <w:t xml:space="preserve">about smaller facilities, such as general practices and residential aged care </w:t>
      </w:r>
      <w:r w:rsidR="003A57CF">
        <w:t xml:space="preserve">facilities, </w:t>
      </w:r>
      <w:r w:rsidR="00C71972">
        <w:t>d</w:t>
      </w:r>
      <w:r w:rsidR="002C5700">
        <w:t xml:space="preserve">ue to them </w:t>
      </w:r>
      <w:r w:rsidR="00C97E21">
        <w:t xml:space="preserve">potentially </w:t>
      </w:r>
      <w:r w:rsidR="002C5700">
        <w:t xml:space="preserve">lacking the capacity to </w:t>
      </w:r>
      <w:r w:rsidR="008E6BBF">
        <w:t>undertake mandatory reporting</w:t>
      </w:r>
      <w:r w:rsidR="00DC7E11">
        <w:t xml:space="preserve">. </w:t>
      </w:r>
    </w:p>
    <w:p w14:paraId="14F5C2F7" w14:textId="6B5EDF7D" w:rsidR="00DC6F5A" w:rsidRDefault="00725FF2" w:rsidP="00B710C7">
      <w:pPr>
        <w:spacing w:after="160"/>
      </w:pPr>
      <w:r w:rsidRPr="002E40B5">
        <w:t xml:space="preserve">The consultation revealed strong consumer support for mandatory reporting in healthcare facilities, </w:t>
      </w:r>
      <w:r w:rsidR="001F185B">
        <w:t xml:space="preserve">who </w:t>
      </w:r>
      <w:r w:rsidRPr="002E40B5">
        <w:t>emphasi</w:t>
      </w:r>
      <w:r w:rsidR="00C04145">
        <w:t>s</w:t>
      </w:r>
      <w:r w:rsidR="001F185B">
        <w:t>ed</w:t>
      </w:r>
      <w:r w:rsidRPr="002E40B5">
        <w:t xml:space="preserve"> the need for a comprehensive approach to patient safety, including improved data collection through enhanced adverse event reporting.</w:t>
      </w:r>
      <w:r>
        <w:t xml:space="preserve"> </w:t>
      </w:r>
      <w:r w:rsidRPr="002E40B5">
        <w:t xml:space="preserve">Among the respondents opposed to mandatory reporting, the majority were from industry </w:t>
      </w:r>
      <w:r w:rsidR="00D063C3">
        <w:t>who expressed</w:t>
      </w:r>
      <w:r w:rsidRPr="002E40B5">
        <w:t xml:space="preserve"> concerns </w:t>
      </w:r>
      <w:r w:rsidR="00D063C3">
        <w:t>around</w:t>
      </w:r>
      <w:r w:rsidRPr="002E40B5">
        <w:t xml:space="preserve"> the potential burden and cost on staff, data duplication and quality issues, and the lack of existing </w:t>
      </w:r>
      <w:r w:rsidR="004C716C">
        <w:t>feedback</w:t>
      </w:r>
      <w:r w:rsidRPr="002E40B5">
        <w:t xml:space="preserve"> systems and </w:t>
      </w:r>
      <w:r w:rsidR="00A7649E">
        <w:t>additional efforts needed on education and awareness</w:t>
      </w:r>
      <w:r w:rsidRPr="002E40B5">
        <w:t>.</w:t>
      </w:r>
      <w:r>
        <w:t xml:space="preserve"> </w:t>
      </w:r>
      <w:r w:rsidRPr="002E40B5">
        <w:t xml:space="preserve">Support for mandatory reporting was indicated by </w:t>
      </w:r>
      <w:r w:rsidR="00013970">
        <w:t>the</w:t>
      </w:r>
      <w:r w:rsidRPr="00434370">
        <w:t xml:space="preserve"> Commission</w:t>
      </w:r>
      <w:r>
        <w:t xml:space="preserve">, </w:t>
      </w:r>
      <w:r w:rsidRPr="00434370">
        <w:t>Australian Medical Association</w:t>
      </w:r>
      <w:r>
        <w:t xml:space="preserve"> and the </w:t>
      </w:r>
      <w:r w:rsidRPr="00434370">
        <w:t>Australian Private Hospitals Association</w:t>
      </w:r>
      <w:r w:rsidRPr="002E40B5">
        <w:t xml:space="preserve">, while state and territory health departments had mixed views, with three out of </w:t>
      </w:r>
      <w:r w:rsidR="004B6712">
        <w:t xml:space="preserve">the </w:t>
      </w:r>
      <w:r w:rsidRPr="002E40B5">
        <w:t>five</w:t>
      </w:r>
      <w:r w:rsidR="004B6712">
        <w:t xml:space="preserve"> who responded</w:t>
      </w:r>
      <w:r w:rsidRPr="002E40B5">
        <w:t xml:space="preserve"> </w:t>
      </w:r>
      <w:r w:rsidR="004246BC">
        <w:t xml:space="preserve">were </w:t>
      </w:r>
      <w:r w:rsidRPr="002E40B5">
        <w:t>in favour.</w:t>
      </w:r>
      <w:r w:rsidR="00DC7E11">
        <w:t xml:space="preserve"> </w:t>
      </w:r>
      <w:r w:rsidR="002D397F">
        <w:t xml:space="preserve">Some other concerns were also raised in relation </w:t>
      </w:r>
      <w:r w:rsidR="00C5491D">
        <w:t xml:space="preserve">to submission of duplicate reports by both the </w:t>
      </w:r>
      <w:r w:rsidR="00584218">
        <w:t xml:space="preserve">healthcare facility and the sponsor. However, </w:t>
      </w:r>
      <w:r w:rsidR="00D76C2E">
        <w:t xml:space="preserve">the TGA already has processes and controls in place to identify duplicate reports and reconcile </w:t>
      </w:r>
      <w:r w:rsidR="00652082">
        <w:t xml:space="preserve">the overall reporting </w:t>
      </w:r>
      <w:r w:rsidR="00006F40">
        <w:t xml:space="preserve">data </w:t>
      </w:r>
      <w:r w:rsidR="004465D8">
        <w:t xml:space="preserve">so that the number of </w:t>
      </w:r>
      <w:r w:rsidR="00ED6649">
        <w:t xml:space="preserve">adverse events </w:t>
      </w:r>
      <w:r w:rsidR="00433FBE">
        <w:t>associated with a device are not artificially inflated.</w:t>
      </w:r>
    </w:p>
    <w:p w14:paraId="5E89D0C9" w14:textId="31B0B6AC" w:rsidR="00DC6F5A" w:rsidRDefault="005A3764" w:rsidP="00301883">
      <w:pPr>
        <w:rPr>
          <w:kern w:val="2"/>
          <w14:ligatures w14:val="standardContextual"/>
        </w:rPr>
      </w:pPr>
      <w:r w:rsidRPr="005A3764">
        <w:t xml:space="preserve">Feedback from stakeholders highlighted concerns about the potential burden and administrative costs associated with requiring individual practitioners to report adverse events. </w:t>
      </w:r>
      <w:r w:rsidR="00D61BE4">
        <w:t>The Government noted the reporting systems were already in place at healthcare facilities and considered that it was more appropriate for these facilities to report adverse events to the TGA, especially since patients are more likely to present at hospitals in the event of serious adverse events. T</w:t>
      </w:r>
      <w:r w:rsidRPr="005A3764">
        <w:t xml:space="preserve">he </w:t>
      </w:r>
      <w:r w:rsidR="00D61BE4">
        <w:t>reporting burden</w:t>
      </w:r>
      <w:r w:rsidRPr="005A3764">
        <w:t xml:space="preserve"> </w:t>
      </w:r>
      <w:r w:rsidR="00D61BE4">
        <w:t>and financial costs including training, systems development and ongoing monitoring by</w:t>
      </w:r>
      <w:r w:rsidRPr="005A3764">
        <w:t xml:space="preserve"> individual practitioners</w:t>
      </w:r>
      <w:r w:rsidR="00D61BE4">
        <w:t xml:space="preserve"> is reduced</w:t>
      </w:r>
      <w:r w:rsidR="00A5212B">
        <w:t xml:space="preserve"> </w:t>
      </w:r>
      <w:r w:rsidR="00A5212B">
        <w:rPr>
          <w:kern w:val="2"/>
          <w14:ligatures w14:val="standardContextual"/>
        </w:rPr>
        <w:t>b</w:t>
      </w:r>
      <w:r w:rsidR="007360EA" w:rsidRPr="00422DE8">
        <w:rPr>
          <w:kern w:val="2"/>
          <w14:ligatures w14:val="standardContextual"/>
        </w:rPr>
        <w:t>y centrali</w:t>
      </w:r>
      <w:r w:rsidR="00362590">
        <w:rPr>
          <w:kern w:val="2"/>
          <w14:ligatures w14:val="standardContextual"/>
        </w:rPr>
        <w:t>s</w:t>
      </w:r>
      <w:r w:rsidR="007360EA" w:rsidRPr="00422DE8">
        <w:rPr>
          <w:kern w:val="2"/>
          <w14:ligatures w14:val="standardContextual"/>
        </w:rPr>
        <w:t>ing reporting at the facility level</w:t>
      </w:r>
      <w:r w:rsidR="00A5212B">
        <w:rPr>
          <w:kern w:val="2"/>
          <w14:ligatures w14:val="standardContextual"/>
        </w:rPr>
        <w:t>. H</w:t>
      </w:r>
      <w:r w:rsidR="007360EA" w:rsidRPr="00422DE8">
        <w:rPr>
          <w:kern w:val="2"/>
          <w14:ligatures w14:val="standardContextual"/>
        </w:rPr>
        <w:t xml:space="preserve">ealthcare facilities </w:t>
      </w:r>
      <w:r w:rsidR="00546DF7" w:rsidRPr="00546DF7">
        <w:rPr>
          <w:kern w:val="2"/>
          <w14:ligatures w14:val="standardContextual"/>
        </w:rPr>
        <w:t>typically have centrali</w:t>
      </w:r>
      <w:r w:rsidR="00362590">
        <w:rPr>
          <w:kern w:val="2"/>
          <w14:ligatures w14:val="standardContextual"/>
        </w:rPr>
        <w:t>s</w:t>
      </w:r>
      <w:r w:rsidR="00546DF7" w:rsidRPr="00546DF7">
        <w:rPr>
          <w:kern w:val="2"/>
          <w14:ligatures w14:val="standardContextual"/>
        </w:rPr>
        <w:t xml:space="preserve">ed systems and </w:t>
      </w:r>
      <w:r w:rsidR="00A5212B">
        <w:rPr>
          <w:kern w:val="2"/>
          <w14:ligatures w14:val="standardContextual"/>
        </w:rPr>
        <w:t xml:space="preserve">more </w:t>
      </w:r>
      <w:r w:rsidR="00546DF7" w:rsidRPr="00546DF7">
        <w:rPr>
          <w:kern w:val="2"/>
          <w14:ligatures w14:val="standardContextual"/>
        </w:rPr>
        <w:t>streamlined processes for data collection and management</w:t>
      </w:r>
      <w:r w:rsidR="00A5212B">
        <w:rPr>
          <w:kern w:val="2"/>
          <w14:ligatures w14:val="standardContextual"/>
        </w:rPr>
        <w:t xml:space="preserve">, enabling </w:t>
      </w:r>
      <w:r w:rsidR="00546DF7" w:rsidRPr="00546DF7">
        <w:rPr>
          <w:kern w:val="2"/>
          <w14:ligatures w14:val="standardContextual"/>
        </w:rPr>
        <w:t xml:space="preserve">adverse event data </w:t>
      </w:r>
      <w:r w:rsidR="00A5212B">
        <w:rPr>
          <w:kern w:val="2"/>
          <w14:ligatures w14:val="standardContextual"/>
        </w:rPr>
        <w:t xml:space="preserve">to </w:t>
      </w:r>
      <w:r w:rsidR="00546DF7" w:rsidRPr="00546DF7">
        <w:rPr>
          <w:kern w:val="2"/>
          <w14:ligatures w14:val="standardContextual"/>
        </w:rPr>
        <w:t xml:space="preserve">be consolidated and managed more efficiently. </w:t>
      </w:r>
    </w:p>
    <w:p w14:paraId="238800B6" w14:textId="7342512C" w:rsidR="00DC6F5A" w:rsidRDefault="003B21C6" w:rsidP="00730ED6">
      <w:pPr>
        <w:spacing w:after="160"/>
      </w:pPr>
      <w:r>
        <w:t>T</w:t>
      </w:r>
      <w:r w:rsidRPr="001B4F6E">
        <w:t xml:space="preserve">he Commission supported mandatory reporting, indicating their willingness to take a leadership role in working with the TGA and other stakeholders to incorporate mandatory reporting within the existing frameworks for hospital quality assurance and accreditation processes thus minimising any additional regulatory burden. </w:t>
      </w:r>
      <w:r w:rsidR="001C7B0D">
        <w:t xml:space="preserve">During roundtable discussions, healthcare facilities expressed their support to the suggestion to incorporate the reporting of adverse events to NSQHS Standards. </w:t>
      </w:r>
      <w:r w:rsidR="00546DF7" w:rsidRPr="00546DF7">
        <w:t xml:space="preserve">The suggestion to use </w:t>
      </w:r>
      <w:r w:rsidR="00E54A11" w:rsidRPr="00E54A11">
        <w:t>NSQHS</w:t>
      </w:r>
      <w:r w:rsidR="00947044">
        <w:t xml:space="preserve"> </w:t>
      </w:r>
      <w:r w:rsidR="00E54A11" w:rsidRPr="00E54A11">
        <w:t>Standards</w:t>
      </w:r>
      <w:r w:rsidR="00811D82">
        <w:t xml:space="preserve"> </w:t>
      </w:r>
      <w:r w:rsidR="00546DF7" w:rsidRPr="00546DF7">
        <w:t>as a compliance mechanism, proposed by the Commission, aligns with industry best practices and regulatory frameworks in other jurisdictions.</w:t>
      </w:r>
      <w:r w:rsidR="00BD6149">
        <w:t xml:space="preserve"> The NSQHS </w:t>
      </w:r>
      <w:r w:rsidR="00546DF7" w:rsidRPr="00546DF7">
        <w:t>Standards provide clear guidelines and benchmarks for healthcare facilities to follow, ensuring consistency and quality in adverse event reporting practices. By incorporating mandatory reporting requirements into existing standards</w:t>
      </w:r>
      <w:r w:rsidR="00A115B4">
        <w:t xml:space="preserve"> and providing guidance on the Commission’s website</w:t>
      </w:r>
      <w:r w:rsidR="00546DF7" w:rsidRPr="00546DF7">
        <w:t>, healthcare facilities can integrate reporting seamlessly into their quality assurance processes.</w:t>
      </w:r>
    </w:p>
    <w:p w14:paraId="43F8E6B8" w14:textId="701F1396" w:rsidR="00064133" w:rsidRDefault="00546DF7" w:rsidP="00301883">
      <w:pPr>
        <w:rPr>
          <w:kern w:val="2"/>
          <w14:ligatures w14:val="standardContextual"/>
        </w:rPr>
      </w:pPr>
      <w:r>
        <w:t>During consultations s</w:t>
      </w:r>
      <w:r w:rsidRPr="003432F5">
        <w:rPr>
          <w:kern w:val="2"/>
          <w14:ligatures w14:val="standardContextual"/>
        </w:rPr>
        <w:t>takeholders emphasi</w:t>
      </w:r>
      <w:r w:rsidR="00C04145">
        <w:rPr>
          <w:kern w:val="2"/>
          <w14:ligatures w14:val="standardContextual"/>
        </w:rPr>
        <w:t>s</w:t>
      </w:r>
      <w:r w:rsidRPr="003432F5">
        <w:rPr>
          <w:kern w:val="2"/>
          <w14:ligatures w14:val="standardContextual"/>
        </w:rPr>
        <w:t>ed the importance of ensuring data integrity and integration into existing systems. Effective integration of adverse event reporting mechanisms with healthcare facilities' existing processes and information systems is crucial for accurate and timely reporting. Health care facilities might also be able to leverage existing sentinel event reporting systems with the goal of minimi</w:t>
      </w:r>
      <w:r w:rsidR="00C04145">
        <w:rPr>
          <w:kern w:val="2"/>
          <w14:ligatures w14:val="standardContextual"/>
        </w:rPr>
        <w:t>s</w:t>
      </w:r>
      <w:r w:rsidRPr="003432F5">
        <w:rPr>
          <w:kern w:val="2"/>
          <w14:ligatures w14:val="standardContextual"/>
        </w:rPr>
        <w:t>ing administrative burden and leveraging existing infrastructure.</w:t>
      </w:r>
    </w:p>
    <w:p w14:paraId="69501793" w14:textId="047A64D3" w:rsidR="00546DF7" w:rsidRPr="00064133" w:rsidRDefault="00546DF7" w:rsidP="00301883">
      <w:pPr>
        <w:rPr>
          <w:kern w:val="2"/>
          <w14:ligatures w14:val="standardContextual"/>
        </w:rPr>
      </w:pPr>
      <w:r>
        <w:rPr>
          <w:kern w:val="2"/>
          <w14:ligatures w14:val="standardContextual"/>
        </w:rPr>
        <w:t>F</w:t>
      </w:r>
      <w:r w:rsidRPr="003432F5">
        <w:rPr>
          <w:kern w:val="2"/>
          <w14:ligatures w14:val="standardContextual"/>
        </w:rPr>
        <w:t>ocusing on high and medium-risk devices allows for a targeted approach to mandatory reporting, prioriti</w:t>
      </w:r>
      <w:r w:rsidR="00710876">
        <w:rPr>
          <w:kern w:val="2"/>
          <w14:ligatures w14:val="standardContextual"/>
        </w:rPr>
        <w:t>s</w:t>
      </w:r>
      <w:r w:rsidRPr="003432F5">
        <w:rPr>
          <w:kern w:val="2"/>
          <w14:ligatures w14:val="standardContextual"/>
        </w:rPr>
        <w:t>ing resources and efforts where they are most needed. These devices often pose greater potential for adverse events, making them a priority for enhanced monitoring and reporting.</w:t>
      </w:r>
      <w:r w:rsidR="007036DD">
        <w:rPr>
          <w:rStyle w:val="CommentReference"/>
        </w:rPr>
        <w:t xml:space="preserve"> </w:t>
      </w:r>
      <w:r w:rsidR="007036DD">
        <w:rPr>
          <w:kern w:val="2"/>
          <w14:ligatures w14:val="standardContextual"/>
        </w:rPr>
        <w:t>Stakeholders</w:t>
      </w:r>
      <w:r w:rsidR="00FD2C21">
        <w:rPr>
          <w:kern w:val="2"/>
          <w14:ligatures w14:val="standardContextual"/>
        </w:rPr>
        <w:t xml:space="preserve"> expressed concerns </w:t>
      </w:r>
      <w:r w:rsidR="00730ED6">
        <w:rPr>
          <w:kern w:val="2"/>
          <w14:ligatures w14:val="standardContextual"/>
        </w:rPr>
        <w:t xml:space="preserve">that the current </w:t>
      </w:r>
      <w:r w:rsidR="00FD2C21">
        <w:rPr>
          <w:kern w:val="2"/>
          <w14:ligatures w14:val="standardContextual"/>
        </w:rPr>
        <w:t xml:space="preserve">under </w:t>
      </w:r>
      <w:r w:rsidR="005D7A9A">
        <w:rPr>
          <w:kern w:val="2"/>
          <w14:ligatures w14:val="standardContextual"/>
        </w:rPr>
        <w:t>reporting</w:t>
      </w:r>
      <w:r w:rsidR="00FD2C21">
        <w:rPr>
          <w:kern w:val="2"/>
          <w14:ligatures w14:val="standardContextual"/>
        </w:rPr>
        <w:t xml:space="preserve"> of adverse events hampers the early identification of </w:t>
      </w:r>
      <w:r w:rsidR="00683F28">
        <w:rPr>
          <w:kern w:val="2"/>
          <w14:ligatures w14:val="standardContextual"/>
        </w:rPr>
        <w:t>medical device safety and performance issues. By prioriti</w:t>
      </w:r>
      <w:r w:rsidR="00C04145">
        <w:rPr>
          <w:kern w:val="2"/>
          <w14:ligatures w14:val="standardContextual"/>
        </w:rPr>
        <w:t>s</w:t>
      </w:r>
      <w:r w:rsidR="00683F28">
        <w:rPr>
          <w:kern w:val="2"/>
          <w14:ligatures w14:val="standardContextual"/>
        </w:rPr>
        <w:t>ing medium and high</w:t>
      </w:r>
      <w:r w:rsidR="00730ED6">
        <w:rPr>
          <w:kern w:val="2"/>
          <w14:ligatures w14:val="standardContextual"/>
        </w:rPr>
        <w:t>-</w:t>
      </w:r>
      <w:r w:rsidR="00683F28">
        <w:rPr>
          <w:kern w:val="2"/>
          <w14:ligatures w14:val="standardContextual"/>
        </w:rPr>
        <w:t>risk device</w:t>
      </w:r>
      <w:r w:rsidR="00AF2A6E">
        <w:rPr>
          <w:kern w:val="2"/>
          <w14:ligatures w14:val="standardContextual"/>
        </w:rPr>
        <w:t xml:space="preserve">s, mandatory reporting could focus resources on </w:t>
      </w:r>
      <w:r w:rsidR="005536F7">
        <w:rPr>
          <w:kern w:val="2"/>
          <w14:ligatures w14:val="standardContextual"/>
        </w:rPr>
        <w:t>adverse events</w:t>
      </w:r>
      <w:r w:rsidR="005D7A9A">
        <w:rPr>
          <w:kern w:val="2"/>
          <w14:ligatures w14:val="standardContextual"/>
        </w:rPr>
        <w:t xml:space="preserve"> that are most likely to have significant clinical and regulatory implications.</w:t>
      </w:r>
      <w:r w:rsidR="001705F3">
        <w:rPr>
          <w:kern w:val="2"/>
          <w14:ligatures w14:val="standardContextual"/>
        </w:rPr>
        <w:t xml:space="preserve"> While most stakeholders support</w:t>
      </w:r>
      <w:r w:rsidR="003E7F2B">
        <w:rPr>
          <w:kern w:val="2"/>
          <w14:ligatures w14:val="standardContextual"/>
        </w:rPr>
        <w:t xml:space="preserve">ed </w:t>
      </w:r>
      <w:r w:rsidR="001705F3">
        <w:rPr>
          <w:kern w:val="2"/>
          <w14:ligatures w14:val="standardContextual"/>
        </w:rPr>
        <w:t>mandatory reporting</w:t>
      </w:r>
      <w:r w:rsidR="003E7F2B">
        <w:rPr>
          <w:kern w:val="2"/>
          <w14:ligatures w14:val="standardContextual"/>
        </w:rPr>
        <w:t>, their concerns about implementation and resource allocation</w:t>
      </w:r>
      <w:r w:rsidR="007036DD">
        <w:rPr>
          <w:kern w:val="2"/>
          <w14:ligatures w14:val="standardContextual"/>
        </w:rPr>
        <w:t xml:space="preserve"> highlight the importance of a phased and targeted approach. Starting with medium and high</w:t>
      </w:r>
      <w:r w:rsidR="00730ED6">
        <w:rPr>
          <w:kern w:val="2"/>
          <w14:ligatures w14:val="standardContextual"/>
        </w:rPr>
        <w:t>-</w:t>
      </w:r>
      <w:r w:rsidR="007036DD">
        <w:rPr>
          <w:kern w:val="2"/>
          <w14:ligatures w14:val="standardContextual"/>
        </w:rPr>
        <w:t>risk devices provides a manageable pathway for facilities to adapt, creating a foundation for broader implementation in future, if necessary.</w:t>
      </w:r>
    </w:p>
    <w:p w14:paraId="2AAF21AC" w14:textId="2D7F345A" w:rsidR="007410D1" w:rsidRDefault="007410D1" w:rsidP="007410D1">
      <w:pPr>
        <w:pStyle w:val="Heading6"/>
      </w:pPr>
      <w:r>
        <w:t>Regula</w:t>
      </w:r>
      <w:r w:rsidR="00313269">
        <w:t>tions Development and Implementation</w:t>
      </w:r>
    </w:p>
    <w:p w14:paraId="146E920A" w14:textId="4481E8ED" w:rsidR="00932B29" w:rsidRPr="00582F14" w:rsidRDefault="00932B29" w:rsidP="00582F14">
      <w:r w:rsidRPr="00582F14">
        <w:rPr>
          <w:b/>
          <w:bCs/>
        </w:rPr>
        <w:t>Round Tables</w:t>
      </w:r>
    </w:p>
    <w:p w14:paraId="5D513F7B" w14:textId="45253F96" w:rsidR="00313269" w:rsidRDefault="00313269" w:rsidP="00945D33">
      <w:r>
        <w:t xml:space="preserve">To support the development of fit-for-purpose, implementable regulations, the TGA </w:t>
      </w:r>
      <w:r w:rsidR="001E262D">
        <w:t xml:space="preserve">have held a number of Round Tables with key stakeholders from across the country (e.g., </w:t>
      </w:r>
      <w:r w:rsidR="00773A30">
        <w:t xml:space="preserve">jurisdictional health departments, </w:t>
      </w:r>
      <w:r w:rsidR="007C4F9A">
        <w:t xml:space="preserve">the </w:t>
      </w:r>
      <w:r w:rsidR="00371D62" w:rsidRPr="00371D62">
        <w:t xml:space="preserve">Commission </w:t>
      </w:r>
      <w:r w:rsidR="00773A30">
        <w:t xml:space="preserve">and </w:t>
      </w:r>
      <w:r w:rsidR="007B23AF">
        <w:t>private</w:t>
      </w:r>
      <w:r w:rsidR="00C04145">
        <w:t xml:space="preserve"> </w:t>
      </w:r>
      <w:r w:rsidR="00371D62">
        <w:t xml:space="preserve">and day hospital </w:t>
      </w:r>
      <w:r w:rsidR="007B23AF">
        <w:t xml:space="preserve">representatives). </w:t>
      </w:r>
      <w:r w:rsidR="00945D33">
        <w:t>The roundtables sought to stimulate discussion and elicit issues and concerns that may not have been anticipated across the breadth of representative stakeholders and to identify gaps in information and where further work needs to be undertaken. The intent was to identify next steps and “road test” for relevance, practicality, acceptability, feasibility for implementation and assess the level of support from stakeholders.</w:t>
      </w:r>
      <w:r w:rsidR="00CB489C">
        <w:t xml:space="preserve"> </w:t>
      </w:r>
      <w:r w:rsidR="00200FB3">
        <w:t>The themes of these round tables have included:</w:t>
      </w:r>
    </w:p>
    <w:p w14:paraId="60CE3B3F" w14:textId="483611B6" w:rsidR="00200FB3" w:rsidRDefault="00EE7CE2" w:rsidP="00200FB3">
      <w:pPr>
        <w:pStyle w:val="Bullet1"/>
      </w:pPr>
      <w:r>
        <w:t>Round</w:t>
      </w:r>
      <w:r w:rsidR="00825805">
        <w:t xml:space="preserve"> table 1: Introduction to Mandatory Reporting</w:t>
      </w:r>
    </w:p>
    <w:p w14:paraId="1668011C" w14:textId="2B29870E" w:rsidR="00825805" w:rsidRDefault="00825805" w:rsidP="00200FB3">
      <w:pPr>
        <w:pStyle w:val="Bullet1"/>
      </w:pPr>
      <w:r>
        <w:t>Round table 2: National Standards to Support Mandatory Reporting of Medical Device Adverse Events</w:t>
      </w:r>
    </w:p>
    <w:p w14:paraId="33D344F6" w14:textId="38E43176" w:rsidR="00825805" w:rsidRDefault="00825805" w:rsidP="00200FB3">
      <w:pPr>
        <w:pStyle w:val="Bullet1"/>
      </w:pPr>
      <w:r>
        <w:t>Round table 3: Data Fields for Mandatory Reporting</w:t>
      </w:r>
    </w:p>
    <w:p w14:paraId="2EF99831" w14:textId="4B8B434E" w:rsidR="00825805" w:rsidRDefault="00825805" w:rsidP="00200FB3">
      <w:pPr>
        <w:pStyle w:val="Bullet1"/>
      </w:pPr>
      <w:r>
        <w:t>Round table 4: Instruments to Support Mandatory Reporting</w:t>
      </w:r>
    </w:p>
    <w:p w14:paraId="44E4FD73" w14:textId="09660C79" w:rsidR="00825805" w:rsidRDefault="00825805" w:rsidP="00200FB3">
      <w:pPr>
        <w:pStyle w:val="Bullet1"/>
      </w:pPr>
      <w:r>
        <w:t>Round table 5: Analysis and Feedback from Mandatory Reporting</w:t>
      </w:r>
    </w:p>
    <w:p w14:paraId="4DCB7479" w14:textId="5085C436" w:rsidR="00A5212B" w:rsidRDefault="00825805" w:rsidP="001E0ACD">
      <w:pPr>
        <w:pStyle w:val="Bullet1"/>
      </w:pPr>
      <w:r>
        <w:t>Round table 6: Data Transfer Requirements</w:t>
      </w:r>
    </w:p>
    <w:p w14:paraId="0CE66328" w14:textId="64AEF17F" w:rsidR="007E0F99" w:rsidRPr="00000C63" w:rsidRDefault="00A5212B" w:rsidP="00C85D18">
      <w:r>
        <w:t xml:space="preserve">These roundtables are further supported by </w:t>
      </w:r>
      <w:r w:rsidR="009C5634" w:rsidRPr="00732843">
        <w:rPr>
          <w:rStyle w:val="Heading3Char"/>
          <w:rFonts w:eastAsiaTheme="minorHAnsi"/>
          <w:b w:val="0"/>
          <w:color w:val="auto"/>
          <w:sz w:val="20"/>
          <w:szCs w:val="20"/>
        </w:rPr>
        <w:t>an interjurisdictional steering committee</w:t>
      </w:r>
      <w:r>
        <w:rPr>
          <w:rStyle w:val="Heading3Char"/>
          <w:rFonts w:eastAsiaTheme="minorHAnsi"/>
          <w:b w:val="0"/>
          <w:color w:val="auto"/>
          <w:sz w:val="20"/>
          <w:szCs w:val="20"/>
        </w:rPr>
        <w:t xml:space="preserve">, established by the TGA to </w:t>
      </w:r>
      <w:r>
        <w:t>continue the engagement and consultation</w:t>
      </w:r>
      <w:r w:rsidR="009C5634" w:rsidRPr="00732843">
        <w:t xml:space="preserve">. </w:t>
      </w:r>
      <w:r w:rsidR="007119E4" w:rsidRPr="007119E4">
        <w:t>The interjurisdictional steering committee has representation from all states and territory health departments, private and day hospitals and hospital peak bodies and specialist organisations such as the Royal Australasian College of Medical Administrators and Australian Medical Association.</w:t>
      </w:r>
      <w:r w:rsidR="00FE2D32">
        <w:t xml:space="preserve"> </w:t>
      </w:r>
      <w:r w:rsidR="003E297E" w:rsidRPr="00732843">
        <w:rPr>
          <w:rStyle w:val="Heading3Char"/>
          <w:rFonts w:eastAsiaTheme="minorHAnsi"/>
          <w:b w:val="0"/>
          <w:color w:val="auto"/>
          <w:sz w:val="20"/>
          <w:szCs w:val="20"/>
        </w:rPr>
        <w:t>The interjurisdictional steering committee’</w:t>
      </w:r>
      <w:r w:rsidR="00FE2D32">
        <w:rPr>
          <w:rStyle w:val="Heading3Char"/>
          <w:rFonts w:eastAsiaTheme="minorHAnsi"/>
          <w:b w:val="0"/>
          <w:color w:val="auto"/>
          <w:sz w:val="20"/>
          <w:szCs w:val="20"/>
        </w:rPr>
        <w:t xml:space="preserve">s main </w:t>
      </w:r>
      <w:r w:rsidR="003E297E" w:rsidRPr="00732843">
        <w:rPr>
          <w:rStyle w:val="Heading3Char"/>
          <w:rFonts w:eastAsiaTheme="minorHAnsi"/>
          <w:b w:val="0"/>
          <w:color w:val="auto"/>
          <w:sz w:val="20"/>
          <w:szCs w:val="20"/>
        </w:rPr>
        <w:t>objective</w:t>
      </w:r>
      <w:r w:rsidR="00FE2D32">
        <w:rPr>
          <w:rStyle w:val="Heading3Char"/>
          <w:rFonts w:eastAsiaTheme="minorHAnsi"/>
          <w:b w:val="0"/>
          <w:color w:val="auto"/>
          <w:sz w:val="20"/>
          <w:szCs w:val="20"/>
        </w:rPr>
        <w:t xml:space="preserve"> is</w:t>
      </w:r>
      <w:r w:rsidR="003E297E" w:rsidRPr="00732843">
        <w:rPr>
          <w:rStyle w:val="Heading3Char"/>
          <w:rFonts w:eastAsiaTheme="minorHAnsi"/>
          <w:b w:val="0"/>
          <w:color w:val="auto"/>
          <w:sz w:val="20"/>
          <w:szCs w:val="20"/>
        </w:rPr>
        <w:t xml:space="preserve"> to formulate effective implementation strategies </w:t>
      </w:r>
      <w:r w:rsidR="003D78D9" w:rsidRPr="00732843">
        <w:rPr>
          <w:rFonts w:eastAsia="Arial"/>
          <w:lang w:val="en"/>
        </w:rPr>
        <w:t xml:space="preserve">for the mandatory reporting </w:t>
      </w:r>
      <w:r w:rsidR="003E297E" w:rsidRPr="00732843">
        <w:rPr>
          <w:rFonts w:eastAsia="Arial"/>
          <w:lang w:val="en"/>
        </w:rPr>
        <w:t>framework</w:t>
      </w:r>
      <w:r w:rsidR="00C85D18" w:rsidRPr="00732843">
        <w:rPr>
          <w:rFonts w:eastAsia="Arial"/>
          <w:lang w:val="en"/>
        </w:rPr>
        <w:t>.</w:t>
      </w:r>
      <w:r w:rsidR="00571568">
        <w:rPr>
          <w:rFonts w:eastAsia="Arial"/>
          <w:lang w:val="en"/>
        </w:rPr>
        <w:br/>
      </w:r>
      <w:r w:rsidR="00571568">
        <w:rPr>
          <w:rFonts w:eastAsia="Arial"/>
          <w:lang w:val="en"/>
        </w:rPr>
        <w:br/>
      </w:r>
      <w:r w:rsidR="00730ED6" w:rsidRPr="00000C63">
        <w:t>D</w:t>
      </w:r>
      <w:r w:rsidR="00270CC8" w:rsidRPr="00000C63">
        <w:t xml:space="preserve">evelopment of </w:t>
      </w:r>
      <w:r w:rsidR="00730ED6" w:rsidRPr="00000C63">
        <w:t xml:space="preserve">the </w:t>
      </w:r>
      <w:r w:rsidR="00270CC8" w:rsidRPr="00000C63">
        <w:t xml:space="preserve">options outlined in the IA was deeply informed by stakeholder engagement through roundtables in 2023 and jurisdictional steering committee meetings in 2024. </w:t>
      </w:r>
      <w:r w:rsidR="00EC15F6" w:rsidRPr="00000C63">
        <w:t>The roundtables were attended by representatives from all states and territories, private hospital</w:t>
      </w:r>
      <w:r w:rsidR="00730ED6" w:rsidRPr="00000C63">
        <w:t>s</w:t>
      </w:r>
      <w:r w:rsidR="00EC15F6" w:rsidRPr="00000C63">
        <w:t>, day hospitals, peak body organisations such as the Australian Private Hospitals Association, Day Hospitals Australia</w:t>
      </w:r>
      <w:r w:rsidR="00730ED6" w:rsidRPr="00000C63">
        <w:t>,</w:t>
      </w:r>
      <w:r w:rsidR="00EC15F6" w:rsidRPr="00000C63">
        <w:t xml:space="preserve"> and the Commission. To maintain ongoing engagement and consultation, an interjurisdictional steering committee was established comprising of the roundtable representatives along with additional members from the Australian Medical Association, </w:t>
      </w:r>
      <w:r w:rsidR="003B523B" w:rsidRPr="00000C63">
        <w:t xml:space="preserve">and the </w:t>
      </w:r>
      <w:r w:rsidR="00EC15F6" w:rsidRPr="00000C63">
        <w:t>Royal Australasian College of Medical Administrators. An additional technical working group was also formed comprising of data and security representatives from the same organisations involved in the steering committee to specifically consult on the technology landscape</w:t>
      </w:r>
      <w:r w:rsidR="003B523B" w:rsidRPr="00000C63">
        <w:t xml:space="preserve"> and to</w:t>
      </w:r>
      <w:r w:rsidR="00EC15F6" w:rsidRPr="00000C63">
        <w:t xml:space="preserve"> assess system readiness to identify and develop workable solutions. </w:t>
      </w:r>
      <w:r w:rsidR="00270CC8" w:rsidRPr="00000C63">
        <w:t>These discussions were instrumental in refining a framework that balances patient safety with practical implementation considerations for healthcare facilities and jurisdictions.</w:t>
      </w:r>
    </w:p>
    <w:p w14:paraId="66F84C08" w14:textId="3A51E67F" w:rsidR="00270CC8" w:rsidRPr="00000C63" w:rsidRDefault="00270CC8" w:rsidP="00270CC8">
      <w:r w:rsidRPr="00000C63">
        <w:t>Focus on Medium- and High-Risk Devices:</w:t>
      </w:r>
      <w:r w:rsidR="00864CF2" w:rsidRPr="00000C63">
        <w:t xml:space="preserve"> </w:t>
      </w:r>
      <w:r w:rsidRPr="00000C63">
        <w:t>Stakeholders</w:t>
      </w:r>
      <w:r w:rsidR="007D5D59" w:rsidRPr="00000C63">
        <w:t xml:space="preserve"> have </w:t>
      </w:r>
      <w:r w:rsidRPr="00000C63">
        <w:t>consistently emphasi</w:t>
      </w:r>
      <w:r w:rsidR="00C04145" w:rsidRPr="00000C63">
        <w:t>s</w:t>
      </w:r>
      <w:r w:rsidRPr="00000C63">
        <w:t xml:space="preserve">ed the </w:t>
      </w:r>
      <w:r w:rsidR="007D5D59" w:rsidRPr="00000C63">
        <w:t>importance of leveraging existing reporting systems and procedures</w:t>
      </w:r>
      <w:r w:rsidRPr="00000C63">
        <w:t>.</w:t>
      </w:r>
      <w:r w:rsidR="007D5D59" w:rsidRPr="00000C63">
        <w:t xml:space="preserve"> During consultations they also stressed the importance of maintaining a risk-based focus for the scheme.</w:t>
      </w:r>
      <w:r w:rsidRPr="00000C63">
        <w:t xml:space="preserve"> </w:t>
      </w:r>
      <w:r w:rsidR="003B523B" w:rsidRPr="00000C63">
        <w:t>M</w:t>
      </w:r>
      <w:r w:rsidR="007D5D59" w:rsidRPr="00000C63">
        <w:t>edium to high-risk</w:t>
      </w:r>
      <w:r w:rsidRPr="00000C63">
        <w:t xml:space="preserve"> devices are associated with the greatest potential for serious adverse events, making them a logical starting point to maximi</w:t>
      </w:r>
      <w:r w:rsidR="00C04145" w:rsidRPr="00000C63">
        <w:t>s</w:t>
      </w:r>
      <w:r w:rsidRPr="00000C63">
        <w:t>e safety outcomes while managing implementation complexity.</w:t>
      </w:r>
    </w:p>
    <w:p w14:paraId="5E89B8EE" w14:textId="17C91182" w:rsidR="00270CC8" w:rsidRPr="00000C63" w:rsidRDefault="00270CC8" w:rsidP="00270CC8">
      <w:r w:rsidRPr="00000C63">
        <w:t>Staged Implementation:</w:t>
      </w:r>
      <w:r w:rsidR="00864CF2" w:rsidRPr="00000C63">
        <w:t xml:space="preserve"> </w:t>
      </w:r>
      <w:r w:rsidR="00D425F6" w:rsidRPr="00000C63">
        <w:t xml:space="preserve">During consultations and based on the TGA’s analysis of data from jurisdictions, it became evident that healthcare </w:t>
      </w:r>
      <w:r w:rsidR="004A2DC2" w:rsidRPr="00000C63">
        <w:t>facilities</w:t>
      </w:r>
      <w:r w:rsidR="00D425F6" w:rsidRPr="00000C63">
        <w:t xml:space="preserve"> generally record incidents involving deaths and serious injuries consistently.</w:t>
      </w:r>
      <w:r w:rsidRPr="00000C63">
        <w:t xml:space="preserve"> </w:t>
      </w:r>
      <w:r w:rsidR="009C141A" w:rsidRPr="00000C63">
        <w:t>However, capturing near misses and treatment related issues presents challenges</w:t>
      </w:r>
      <w:r w:rsidR="00131E71" w:rsidRPr="00000C63">
        <w:t xml:space="preserve"> due to variability across </w:t>
      </w:r>
      <w:r w:rsidR="00CB62F8" w:rsidRPr="00000C63">
        <w:t>jurisdictions</w:t>
      </w:r>
      <w:r w:rsidR="00131E71" w:rsidRPr="00000C63">
        <w:t xml:space="preserve"> in how these incidents are rated and</w:t>
      </w:r>
      <w:r w:rsidR="004246BC" w:rsidRPr="00000C63">
        <w:t xml:space="preserve"> </w:t>
      </w:r>
      <w:r w:rsidR="00131E71" w:rsidRPr="00000C63">
        <w:t>categorise</w:t>
      </w:r>
      <w:r w:rsidR="004246BC" w:rsidRPr="00000C63">
        <w:t>d</w:t>
      </w:r>
      <w:r w:rsidR="009C141A" w:rsidRPr="00000C63">
        <w:t xml:space="preserve">. </w:t>
      </w:r>
      <w:r w:rsidRPr="00000C63">
        <w:t xml:space="preserve">To address this, a phased approach </w:t>
      </w:r>
      <w:r w:rsidR="003B523B" w:rsidRPr="00000C63">
        <w:t>has been</w:t>
      </w:r>
      <w:r w:rsidR="004246BC" w:rsidRPr="00000C63">
        <w:t xml:space="preserve"> designed, </w:t>
      </w:r>
      <w:r w:rsidR="009C141A" w:rsidRPr="00000C63">
        <w:t>with reporting requirements for near misses and treatment-related incidents scheduled</w:t>
      </w:r>
      <w:r w:rsidR="003B523B" w:rsidRPr="00000C63">
        <w:t xml:space="preserve"> for introduction in </w:t>
      </w:r>
      <w:r w:rsidR="009C141A" w:rsidRPr="00000C63">
        <w:t>the later stages of the reporting timeline</w:t>
      </w:r>
      <w:r w:rsidRPr="00000C63">
        <w:t xml:space="preserve">. </w:t>
      </w:r>
      <w:r w:rsidR="003B523B" w:rsidRPr="00000C63">
        <w:t>A</w:t>
      </w:r>
      <w:r w:rsidRPr="00000C63">
        <w:t>dditional</w:t>
      </w:r>
      <w:r w:rsidR="003B523B" w:rsidRPr="00000C63">
        <w:t xml:space="preserve">ly, a </w:t>
      </w:r>
      <w:r w:rsidRPr="00000C63">
        <w:t xml:space="preserve">12 month transition phase </w:t>
      </w:r>
      <w:r w:rsidR="007F35A1" w:rsidRPr="00000C63">
        <w:t xml:space="preserve">will </w:t>
      </w:r>
      <w:r w:rsidR="003B523B" w:rsidRPr="00000C63">
        <w:t xml:space="preserve">allow time </w:t>
      </w:r>
      <w:r w:rsidRPr="00000C63">
        <w:t>to build awareness, improve education, and allow for necessary upgrades in processes and systems.</w:t>
      </w:r>
    </w:p>
    <w:p w14:paraId="64885D1F" w14:textId="6FDA5E30" w:rsidR="00270CC8" w:rsidRPr="00000C63" w:rsidRDefault="00270CC8" w:rsidP="00270CC8">
      <w:r w:rsidRPr="00000C63">
        <w:t>Data Fields, Format, and Intervals: Extensive discussions during the roundtables and steering committee meetings focused on the specific data fields required for reporting, the format of submissions, and appropriate time intervals. This was vital to ensuring the framework aligns with existing workflows and minimi</w:t>
      </w:r>
      <w:r w:rsidR="00C04145" w:rsidRPr="00000C63">
        <w:t>s</w:t>
      </w:r>
      <w:r w:rsidRPr="00000C63">
        <w:t>es duplication while maintaining data integrity.</w:t>
      </w:r>
    </w:p>
    <w:p w14:paraId="7D742C11" w14:textId="0C1D42CA" w:rsidR="00A63B55" w:rsidRPr="00000C63" w:rsidRDefault="00270CC8" w:rsidP="00270CC8">
      <w:r w:rsidRPr="00000C63">
        <w:t>IT Landscape and System Readiness: A significant focus of stakeholder discussions was understanding the IT systems currently used by jurisdictions, private hospitals, and day hospitals for incident management. Stakeholders provided critical insights into the capabilities and limitations of their existing systems, any planned upgrades, and their readiness to transition to mandatory reporting.</w:t>
      </w:r>
      <w:r w:rsidR="00A63B55" w:rsidRPr="00000C63">
        <w:t xml:space="preserve"> </w:t>
      </w:r>
      <w:r w:rsidRPr="00000C63">
        <w:t xml:space="preserve">To accommodate varying levels of technical preparedness, </w:t>
      </w:r>
      <w:r w:rsidR="00F554D9" w:rsidRPr="00000C63">
        <w:t xml:space="preserve">a level of flexibility has been incorporated within </w:t>
      </w:r>
      <w:r w:rsidRPr="00000C63">
        <w:t>the implementation stages. During the initial phases, multiple channels for reporting will be maintained, including email</w:t>
      </w:r>
      <w:r w:rsidR="008C4565" w:rsidRPr="00000C63">
        <w:t xml:space="preserve">, </w:t>
      </w:r>
      <w:r w:rsidRPr="00000C63">
        <w:t xml:space="preserve">online portal. This multi-channel approach ensures that all stakeholders, regardless of their IT infrastructure maturity, can participate in the reporting process. It </w:t>
      </w:r>
      <w:r w:rsidR="00F554D9" w:rsidRPr="00000C63">
        <w:t xml:space="preserve">will </w:t>
      </w:r>
      <w:r w:rsidRPr="00000C63">
        <w:t>also provide time for facilities to upgrade their systems while ensuring continuity in reporting critical incidents.</w:t>
      </w:r>
      <w:r w:rsidR="00A63B55" w:rsidRPr="00000C63">
        <w:t xml:space="preserve"> </w:t>
      </w:r>
      <w:r w:rsidRPr="00000C63">
        <w:t>This phased and inclusive approach reflects stakeholder feedback, emphasi</w:t>
      </w:r>
      <w:r w:rsidR="00C04145" w:rsidRPr="00000C63">
        <w:t>s</w:t>
      </w:r>
      <w:r w:rsidRPr="00000C63">
        <w:t>ing the need for adaptability while progressing toward a unified and efficient reporting framework.</w:t>
      </w:r>
    </w:p>
    <w:p w14:paraId="41D3E59F" w14:textId="6B822B93" w:rsidR="00270CC8" w:rsidRPr="00000C63" w:rsidRDefault="00270CC8" w:rsidP="00270CC8">
      <w:r w:rsidRPr="00000C63">
        <w:t>Time and Resources for Reporting: Stakeholders consistently emphasi</w:t>
      </w:r>
      <w:r w:rsidR="00C04145" w:rsidRPr="00000C63">
        <w:t>s</w:t>
      </w:r>
      <w:r w:rsidRPr="00000C63">
        <w:t xml:space="preserve">ed the significant time and resources required to capture the additional data needed for mandatory reporting. During </w:t>
      </w:r>
      <w:r w:rsidR="00A63B55" w:rsidRPr="00000C63">
        <w:t>consultations</w:t>
      </w:r>
      <w:r w:rsidRPr="00000C63">
        <w:t>, participants detailed the effort hours involved in reporting, the internal review processes necessary to ensure accuracy, and the alignment required with existing regulatory frameworks.</w:t>
      </w:r>
      <w:r w:rsidR="00A63B55" w:rsidRPr="00000C63">
        <w:t xml:space="preserve"> </w:t>
      </w:r>
      <w:r w:rsidRPr="00000C63">
        <w:t>The assumptions for effort hours in the costings were directly informed by these stakeholder discussions.</w:t>
      </w:r>
    </w:p>
    <w:p w14:paraId="6207DD76" w14:textId="1786E6F8" w:rsidR="00270CC8" w:rsidRPr="00466C3F" w:rsidRDefault="00270CC8" w:rsidP="00270CC8">
      <w:r w:rsidRPr="00000C63">
        <w:t xml:space="preserve">Data Privacy and Legislative Compliance: A key focus was integrating data privacy and data-sharing obligations under state, territory, and Commonwealth legislation into the design of the mandatory reporting scheme. </w:t>
      </w:r>
      <w:r w:rsidR="00E47A5B" w:rsidRPr="00000C63">
        <w:t xml:space="preserve">Patient consent was also </w:t>
      </w:r>
      <w:r w:rsidR="008F3B0F" w:rsidRPr="00000C63">
        <w:t xml:space="preserve">a </w:t>
      </w:r>
      <w:r w:rsidR="00E47A5B" w:rsidRPr="00000C63">
        <w:t xml:space="preserve">key consideration in discussions with healthcare facilities. Feedback indicates that healthcare facilities already have established arrangements for sharing de-identified patient data under circumstances that require it, such as reporting adverse events. These practices help address privacy concerns while ensuring that essential safety data can be collected and analysed without compromising patient confidentiality. </w:t>
      </w:r>
      <w:r w:rsidRPr="00000C63">
        <w:t xml:space="preserve">Stakeholders </w:t>
      </w:r>
      <w:r w:rsidR="008F3B0F" w:rsidRPr="00000C63">
        <w:t xml:space="preserve">also </w:t>
      </w:r>
      <w:r w:rsidRPr="00000C63">
        <w:t>stressed the need for stringent compliance with privacy laws while facilitating efficient data reporting.</w:t>
      </w:r>
      <w:r w:rsidR="00A63B55" w:rsidRPr="00000C63">
        <w:t xml:space="preserve"> </w:t>
      </w:r>
      <w:r w:rsidRPr="00000C63">
        <w:t>To address these concerns, the proposed data fields are designed to minimi</w:t>
      </w:r>
      <w:r w:rsidR="00C04145" w:rsidRPr="00000C63">
        <w:t>s</w:t>
      </w:r>
      <w:r w:rsidRPr="00000C63">
        <w:t xml:space="preserve">e the use of free-text responses, relying instead on structured, predefined fields. This reduces variability and ensures consistency while maintaining compliance with privacy laws. Furthermore, the reporting scheme </w:t>
      </w:r>
      <w:r w:rsidR="00A63B55" w:rsidRPr="00000C63">
        <w:t xml:space="preserve">only </w:t>
      </w:r>
      <w:r w:rsidRPr="00000C63">
        <w:t>requires deidentified data; no patient details are requested. This approach aligns with jurisdictional privacy laws, safeguarding sensitive information while enabling effective regulatory oversight.</w:t>
      </w:r>
    </w:p>
    <w:p w14:paraId="13548C79" w14:textId="635CAC7D" w:rsidR="007A2D66" w:rsidRDefault="007A2D66" w:rsidP="00C85D18">
      <w:pPr>
        <w:rPr>
          <w:rStyle w:val="Heading3Char"/>
          <w:rFonts w:eastAsiaTheme="minorHAnsi"/>
          <w:b w:val="0"/>
          <w:color w:val="auto"/>
          <w:sz w:val="20"/>
          <w:szCs w:val="20"/>
        </w:rPr>
      </w:pPr>
      <w:r w:rsidRPr="00732843">
        <w:t xml:space="preserve">In addition, the TGA has also engaged with industry stakeholders through the </w:t>
      </w:r>
      <w:r w:rsidRPr="00732843">
        <w:rPr>
          <w:rStyle w:val="Heading3Char"/>
          <w:rFonts w:eastAsiaTheme="minorHAnsi"/>
          <w:b w:val="0"/>
          <w:color w:val="auto"/>
          <w:sz w:val="20"/>
          <w:szCs w:val="20"/>
        </w:rPr>
        <w:t>Regulatory and Technical Consultative Forum for medical devices</w:t>
      </w:r>
      <w:r w:rsidRPr="00732843">
        <w:rPr>
          <w:rStyle w:val="FootnoteReference"/>
          <w:rFonts w:cs="Times New Roman"/>
          <w:bCs/>
        </w:rPr>
        <w:footnoteReference w:id="84"/>
      </w:r>
      <w:r w:rsidRPr="00732843">
        <w:rPr>
          <w:rStyle w:val="Heading3Char"/>
          <w:rFonts w:eastAsiaTheme="minorHAnsi"/>
          <w:b w:val="0"/>
          <w:color w:val="auto"/>
          <w:sz w:val="20"/>
          <w:szCs w:val="20"/>
        </w:rPr>
        <w:t xml:space="preserve"> to provide updates and raise awareness about the new reporting requirements. This collaboration is essential </w:t>
      </w:r>
      <w:r w:rsidR="007E3B1A" w:rsidRPr="00732843">
        <w:rPr>
          <w:rStyle w:val="Heading3Char"/>
          <w:rFonts w:eastAsiaTheme="minorHAnsi"/>
          <w:b w:val="0"/>
          <w:color w:val="auto"/>
          <w:sz w:val="20"/>
          <w:szCs w:val="20"/>
        </w:rPr>
        <w:t>to enable coordination between hospitals and sponsors to</w:t>
      </w:r>
      <w:r w:rsidRPr="00732843">
        <w:rPr>
          <w:rStyle w:val="Heading3Char"/>
          <w:rFonts w:eastAsiaTheme="minorHAnsi"/>
          <w:b w:val="0"/>
          <w:color w:val="auto"/>
          <w:sz w:val="20"/>
          <w:szCs w:val="20"/>
        </w:rPr>
        <w:t xml:space="preserve"> conduct investigations and implement corrective actions, </w:t>
      </w:r>
    </w:p>
    <w:p w14:paraId="3D7FE4D2" w14:textId="47982C0E" w:rsidR="00B60707" w:rsidRPr="00DC74DE" w:rsidRDefault="001C3A17" w:rsidP="00DC74DE">
      <w:r w:rsidRPr="00000C63">
        <w:t xml:space="preserve">A </w:t>
      </w:r>
      <w:r w:rsidR="00DC6BE0" w:rsidRPr="00000C63">
        <w:t xml:space="preserve">Government </w:t>
      </w:r>
      <w:r w:rsidRPr="00000C63">
        <w:t xml:space="preserve">response was drafted after </w:t>
      </w:r>
      <w:r w:rsidR="00FF32A6" w:rsidRPr="00000C63">
        <w:t xml:space="preserve">discussions with </w:t>
      </w:r>
      <w:r w:rsidR="00B00ABB" w:rsidRPr="00000C63">
        <w:t>state and territory health departments, private and day hospitals</w:t>
      </w:r>
      <w:r w:rsidR="008B04DA" w:rsidRPr="00000C63">
        <w:t xml:space="preserve">, the </w:t>
      </w:r>
      <w:r w:rsidR="00595CCC">
        <w:t>Commission</w:t>
      </w:r>
      <w:r w:rsidR="008B04DA" w:rsidRPr="00000C63">
        <w:t xml:space="preserve">, </w:t>
      </w:r>
      <w:r w:rsidR="00B00ABB" w:rsidRPr="00000C63">
        <w:t>hospital peak bodies</w:t>
      </w:r>
      <w:r w:rsidR="00C66B6E" w:rsidRPr="00000C63">
        <w:t>,</w:t>
      </w:r>
      <w:r w:rsidR="00B00ABB" w:rsidRPr="00000C63">
        <w:t xml:space="preserve"> </w:t>
      </w:r>
      <w:r w:rsidR="008157C2" w:rsidRPr="00000C63">
        <w:t>and professional groups</w:t>
      </w:r>
      <w:r w:rsidRPr="00000C63">
        <w:t xml:space="preserve"> </w:t>
      </w:r>
      <w:r w:rsidR="00921BC8" w:rsidRPr="00000C63">
        <w:t>such as the</w:t>
      </w:r>
      <w:r w:rsidR="001D5738" w:rsidRPr="00000C63">
        <w:t xml:space="preserve"> </w:t>
      </w:r>
      <w:r w:rsidR="00921BC8" w:rsidRPr="00000C63">
        <w:t>Royal Australasian College of Medical Administrators and</w:t>
      </w:r>
      <w:r w:rsidR="00C66B6E" w:rsidRPr="00000C63">
        <w:t xml:space="preserve"> the</w:t>
      </w:r>
      <w:r w:rsidR="00921BC8" w:rsidRPr="00000C63">
        <w:t xml:space="preserve"> Australian Medical Association</w:t>
      </w:r>
      <w:r w:rsidR="00921BC8" w:rsidRPr="00000C63" w:rsidDel="00710E30">
        <w:t xml:space="preserve"> </w:t>
      </w:r>
      <w:r w:rsidRPr="00000C63">
        <w:t>on the</w:t>
      </w:r>
      <w:r w:rsidR="008157C2" w:rsidRPr="00000C63">
        <w:t xml:space="preserve"> </w:t>
      </w:r>
      <w:r w:rsidR="00C54D26" w:rsidRPr="00000C63">
        <w:t>preferred option</w:t>
      </w:r>
      <w:r w:rsidR="00B60707" w:rsidRPr="00000C63">
        <w:t xml:space="preserve"> (Option 3A)</w:t>
      </w:r>
      <w:r w:rsidR="008A7850" w:rsidRPr="00000C63">
        <w:t xml:space="preserve"> </w:t>
      </w:r>
      <w:r w:rsidR="0093197D" w:rsidRPr="00000C63">
        <w:t>to introduce mandatory reporting</w:t>
      </w:r>
      <w:r w:rsidR="0036285C" w:rsidRPr="00000C63">
        <w:t xml:space="preserve"> in healthcare facilities.</w:t>
      </w:r>
    </w:p>
    <w:p w14:paraId="275F7C95" w14:textId="2AC037CD" w:rsidR="007215CE" w:rsidRDefault="00C85D18" w:rsidP="007215CE">
      <w:r w:rsidRPr="0018373B">
        <w:t xml:space="preserve">Despite the overall support for mandatory reporting, some limitations and barriers were identified during </w:t>
      </w:r>
      <w:r w:rsidR="00BE6FEB">
        <w:t>consultations</w:t>
      </w:r>
      <w:r w:rsidRPr="0018373B">
        <w:t>. These included concerns about the capacity of smaller healthcare facilities to manage additional administrative requirements, potential duplication of reporting efforts, and the need for additional resources and training to support compliance with reporting standards. Striking a balance between regulatory compliance and operational priorities at the hospitals is a key challenge for healthcare facilities. Private healthcare facilities operating across different jurisdictions raised concerns about the inconsistencies across different jurisdictions. Divergent regulatory standards and reporting processes can create challenges leading to operational inefficiencies.</w:t>
      </w:r>
      <w:r w:rsidR="00A5212B">
        <w:t xml:space="preserve"> </w:t>
      </w:r>
      <w:r w:rsidR="00B94DA0">
        <w:br/>
      </w:r>
      <w:r w:rsidR="00B94DA0">
        <w:br/>
      </w:r>
      <w:r w:rsidR="0057032C" w:rsidRPr="00000C63">
        <w:t>Stakeholders have raised that a</w:t>
      </w:r>
      <w:r w:rsidR="00445E79" w:rsidRPr="00000C63">
        <w:t>dverse events reported directly to health professionals or doctors often remain siloed, with limited mechanisms for ensuring that such reports are communicated to healthcare facilities or centralized reporting systems. The lack of an integrated reporting framework limits the ability to share essential safety data among stakeholders, including health professionals, health care facilities, sponsors and regulatory bodies. By integrating complementary initiatives, such as Unique Device Identification (UDI) and leveraging the Australian Digital Health Agency's</w:t>
      </w:r>
      <w:r w:rsidR="00137704" w:rsidRPr="00000C63">
        <w:t xml:space="preserve"> </w:t>
      </w:r>
      <w:r w:rsidR="00445E79" w:rsidRPr="00000C63">
        <w:t>infrastructure to store and share adverse event information in My Health Records, the proposed mandatory reporting framework could bridge the gaps in data interoperability and create a more</w:t>
      </w:r>
      <w:r w:rsidR="00137704" w:rsidRPr="00000C63">
        <w:t xml:space="preserve"> </w:t>
      </w:r>
      <w:r w:rsidR="00445E79" w:rsidRPr="00000C63">
        <w:t>robust and effective mechanism for monitoring medical device safety.</w:t>
      </w:r>
      <w:r w:rsidR="007215CE" w:rsidRPr="00000C63">
        <w:br/>
      </w:r>
      <w:r w:rsidR="007215CE" w:rsidRPr="00000C63">
        <w:br/>
        <w:t xml:space="preserve">A limitation of the consultation process is that not all private and day hospitals were directly engaged. </w:t>
      </w:r>
      <w:r w:rsidR="00271A0D" w:rsidRPr="00000C63">
        <w:t xml:space="preserve">This also meant that a comprehensive review of all hospital incident reporting systems could not be conducted to fully understand their capabilities in terms of data transfer, quality control, and interoperability. </w:t>
      </w:r>
      <w:r w:rsidR="007215CE" w:rsidRPr="00000C63">
        <w:t>Our outreach efforts included consultations with the relevant hospital peak bodies, publishing information on our website, and engaging extensively with those involved in the steering committee and sending consultation updates to private hospital networks who chose not to participate in the steering committee. Moving forward, it will be important for healthcare facilities to assess and ensure their systems are equipped to support data transfer requirements when the scheme is implemented, with the TGA providing guidance and support where needed.</w:t>
      </w:r>
    </w:p>
    <w:p w14:paraId="5B74C2E9" w14:textId="0E9A0119" w:rsidR="00C85D18" w:rsidRPr="003E7FD6" w:rsidRDefault="00A5212B" w:rsidP="0018373B">
      <w:r>
        <w:t>Extensive</w:t>
      </w:r>
      <w:r w:rsidR="00FE1963">
        <w:t xml:space="preserve"> </w:t>
      </w:r>
      <w:r>
        <w:t xml:space="preserve">consultation and strong </w:t>
      </w:r>
      <w:r w:rsidR="007E0F99">
        <w:t xml:space="preserve">ongoing </w:t>
      </w:r>
      <w:r>
        <w:t>collaboration will assist in identifying ways for the practical</w:t>
      </w:r>
      <w:r w:rsidR="00FE1963">
        <w:t xml:space="preserve"> </w:t>
      </w:r>
      <w:r>
        <w:t>implementation of the reporting scheme.</w:t>
      </w:r>
    </w:p>
    <w:p w14:paraId="3281B153" w14:textId="77777777" w:rsidR="006B0446" w:rsidRDefault="006B0446">
      <w:pPr>
        <w:rPr>
          <w:rStyle w:val="Heading3Char"/>
          <w:rFonts w:eastAsiaTheme="minorHAnsi"/>
          <w:b w:val="0"/>
          <w:sz w:val="20"/>
          <w:szCs w:val="20"/>
        </w:rPr>
      </w:pPr>
    </w:p>
    <w:p w14:paraId="45CA11E7" w14:textId="0634C64A" w:rsidR="00CE52F3" w:rsidRPr="00301883" w:rsidRDefault="00CE52F3" w:rsidP="00301883">
      <w:pPr>
        <w:pStyle w:val="Heading2"/>
        <w:rPr>
          <w:rStyle w:val="Heading3Char"/>
          <w:b/>
          <w:bCs/>
          <w:sz w:val="38"/>
          <w:szCs w:val="38"/>
        </w:rPr>
      </w:pPr>
      <w:bookmarkStart w:id="177" w:name="_Question_Six:_What"/>
      <w:bookmarkStart w:id="178" w:name="_Toc179531330"/>
      <w:bookmarkStart w:id="179" w:name="_Toc188012881"/>
      <w:bookmarkEnd w:id="177"/>
      <w:r w:rsidRPr="00301883">
        <w:rPr>
          <w:rStyle w:val="Heading3Char"/>
          <w:b/>
          <w:bCs/>
          <w:sz w:val="38"/>
          <w:szCs w:val="38"/>
        </w:rPr>
        <w:t>Question Six: What is the best option from those you have considered</w:t>
      </w:r>
      <w:bookmarkEnd w:id="176"/>
      <w:r w:rsidR="000F1B41">
        <w:rPr>
          <w:rStyle w:val="Heading3Char"/>
          <w:b/>
          <w:bCs/>
          <w:sz w:val="38"/>
          <w:szCs w:val="38"/>
        </w:rPr>
        <w:t xml:space="preserve"> and how will it be implemented?</w:t>
      </w:r>
      <w:bookmarkEnd w:id="178"/>
      <w:bookmarkEnd w:id="179"/>
      <w:r w:rsidRPr="00301883">
        <w:rPr>
          <w:rStyle w:val="Heading3Char"/>
          <w:b/>
          <w:bCs/>
          <w:sz w:val="38"/>
          <w:szCs w:val="38"/>
        </w:rPr>
        <w:t xml:space="preserve"> </w:t>
      </w:r>
    </w:p>
    <w:p w14:paraId="741D9698" w14:textId="31A7A9D3" w:rsidR="00CE52F3" w:rsidRDefault="00485345" w:rsidP="00CE52F3">
      <w:bookmarkStart w:id="180" w:name="_Hlk174556113"/>
      <w:r>
        <w:rPr>
          <w:noProof/>
          <w:lang w:eastAsia="en-AU"/>
        </w:rPr>
        <mc:AlternateContent>
          <mc:Choice Requires="wps">
            <w:drawing>
              <wp:anchor distT="45720" distB="45720" distL="114300" distR="114300" simplePos="0" relativeHeight="251670016" behindDoc="0" locked="0" layoutInCell="1" allowOverlap="1" wp14:anchorId="11D00A82" wp14:editId="0B09800A">
                <wp:simplePos x="0" y="0"/>
                <wp:positionH relativeFrom="margin">
                  <wp:align>left</wp:align>
                </wp:positionH>
                <wp:positionV relativeFrom="paragraph">
                  <wp:posOffset>278130</wp:posOffset>
                </wp:positionV>
                <wp:extent cx="5754370" cy="900430"/>
                <wp:effectExtent l="0" t="0" r="17780" b="139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900752"/>
                        </a:xfrm>
                        <a:prstGeom prst="rect">
                          <a:avLst/>
                        </a:prstGeom>
                        <a:solidFill>
                          <a:srgbClr val="FFFFFF"/>
                        </a:solidFill>
                        <a:ln w="9525">
                          <a:solidFill>
                            <a:srgbClr val="000000"/>
                          </a:solidFill>
                          <a:miter lim="800000"/>
                          <a:headEnd/>
                          <a:tailEnd/>
                        </a:ln>
                      </wps:spPr>
                      <wps:txbx>
                        <w:txbxContent>
                          <w:p w14:paraId="48D0FA02" w14:textId="77777777" w:rsidR="008461AF" w:rsidRPr="007344E9" w:rsidRDefault="008461AF" w:rsidP="007344E9">
                            <w:pPr>
                              <w:shd w:val="clear" w:color="auto" w:fill="F2F2F2" w:themeFill="background1" w:themeFillShade="F2"/>
                              <w:rPr>
                                <w:b/>
                                <w:bCs/>
                                <w:i/>
                                <w:iCs/>
                              </w:rPr>
                            </w:pPr>
                            <w:r w:rsidRPr="007344E9">
                              <w:rPr>
                                <w:b/>
                                <w:bCs/>
                                <w:i/>
                                <w:iCs/>
                              </w:rPr>
                              <w:t>Preferred Option</w:t>
                            </w:r>
                          </w:p>
                          <w:p w14:paraId="1413EFE0" w14:textId="77777777" w:rsidR="008461AF" w:rsidRDefault="008461AF" w:rsidP="007344E9">
                            <w:pPr>
                              <w:shd w:val="clear" w:color="auto" w:fill="F2F2F2" w:themeFill="background1" w:themeFillShade="F2"/>
                            </w:pPr>
                            <w:r w:rsidRPr="007344E9">
                              <w:rPr>
                                <w:b/>
                                <w:bCs/>
                              </w:rPr>
                              <w:t>Option 3A</w:t>
                            </w:r>
                            <w:r w:rsidRPr="007344E9">
                              <w:t xml:space="preserve"> is considered the preferred option, expected to provide the greatest balance between achievement of policy objectives (through data driven signal detection) and regulatory burden on the populations prescribed.</w:t>
                            </w:r>
                          </w:p>
                          <w:p w14:paraId="3441600E" w14:textId="6A0BB6A7" w:rsidR="008461AF" w:rsidRDefault="008461AF" w:rsidP="00520749">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0A82" id="_x0000_s1038" type="#_x0000_t202" style="position:absolute;margin-left:0;margin-top:21.9pt;width:453.1pt;height:70.9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">
                <v:textbox>
                  <w:txbxContent>
                    <w:p w14:paraId="48D0FA02" w14:textId="77777777" w:rsidR="008461AF" w:rsidRPr="007344E9" w:rsidRDefault="008461AF" w:rsidP="007344E9">
                      <w:pPr>
                        <w:shd w:val="clear" w:color="auto" w:fill="F2F2F2" w:themeFill="background1" w:themeFillShade="F2"/>
                        <w:rPr>
                          <w:b/>
                          <w:bCs/>
                          <w:i/>
                          <w:iCs/>
                        </w:rPr>
                      </w:pPr>
                      <w:r w:rsidRPr="007344E9">
                        <w:rPr>
                          <w:b/>
                          <w:bCs/>
                          <w:i/>
                          <w:iCs/>
                        </w:rPr>
                        <w:t>Preferred Option</w:t>
                      </w:r>
                    </w:p>
                    <w:p w14:paraId="1413EFE0" w14:textId="77777777" w:rsidR="008461AF" w:rsidRDefault="008461AF" w:rsidP="007344E9">
                      <w:pPr>
                        <w:shd w:val="clear" w:color="auto" w:fill="F2F2F2" w:themeFill="background1" w:themeFillShade="F2"/>
                      </w:pPr>
                      <w:r w:rsidRPr="007344E9">
                        <w:rPr>
                          <w:b/>
                          <w:bCs/>
                        </w:rPr>
                        <w:t>Option 3A</w:t>
                      </w:r>
                      <w:r w:rsidRPr="007344E9">
                        <w:t xml:space="preserve"> is considered the preferred option, expected to provide the greatest balance between achievement of policy objectives (through data driven signal detection) and regulatory burden on the populations prescribed.</w:t>
                      </w:r>
                    </w:p>
                    <w:p w14:paraId="3441600E" w14:textId="6A0BB6A7" w:rsidR="008461AF" w:rsidRDefault="008461AF" w:rsidP="00520749">
                      <w:pPr>
                        <w:shd w:val="clear" w:color="auto" w:fill="F2F2F2" w:themeFill="background1" w:themeFillShade="F2"/>
                      </w:pPr>
                    </w:p>
                  </w:txbxContent>
                </v:textbox>
                <w10:wrap type="square" anchorx="margin"/>
              </v:shape>
            </w:pict>
          </mc:Fallback>
        </mc:AlternateContent>
      </w:r>
    </w:p>
    <w:p w14:paraId="662182D1" w14:textId="3F756DE1" w:rsidR="00520749" w:rsidRDefault="00520749" w:rsidP="00CE52F3"/>
    <w:p w14:paraId="749A65E9" w14:textId="77777777" w:rsidR="00520749" w:rsidRDefault="00520749" w:rsidP="00CE52F3"/>
    <w:bookmarkEnd w:id="180"/>
    <w:p w14:paraId="6EBAA359" w14:textId="4311A71B" w:rsidR="00282691" w:rsidRDefault="00282691" w:rsidP="00B37DCC">
      <w:pPr>
        <w:pStyle w:val="Caption"/>
        <w:keepNext/>
      </w:pPr>
      <w:r>
        <w:t xml:space="preserve">Figure </w:t>
      </w:r>
      <w:r w:rsidR="00E327F6">
        <w:t>1</w:t>
      </w:r>
      <w:r w:rsidR="00D346FC">
        <w:t>3</w:t>
      </w:r>
      <w:r>
        <w:t xml:space="preserve"> - </w:t>
      </w:r>
      <w:r w:rsidRPr="00CB1A65">
        <w:t>Summary of options analysis</w:t>
      </w:r>
    </w:p>
    <w:p w14:paraId="664C32AA" w14:textId="24028F15" w:rsidR="00841DE6" w:rsidRPr="00834045" w:rsidRDefault="00982DC7" w:rsidP="00841DE6">
      <w:r w:rsidRPr="00B750A7">
        <w:rPr>
          <w:noProof/>
          <w:lang w:eastAsia="en-AU"/>
        </w:rPr>
        <w:drawing>
          <wp:inline distT="0" distB="0" distL="0" distR="0" wp14:anchorId="1137D639" wp14:editId="4A134F17">
            <wp:extent cx="5731510" cy="4471670"/>
            <wp:effectExtent l="0" t="0" r="2540" b="5080"/>
            <wp:docPr id="1639215762" name="Picture 3">
              <a:extLst xmlns:a="http://schemas.openxmlformats.org/drawingml/2006/main">
                <a:ext uri="{FF2B5EF4-FFF2-40B4-BE49-F238E27FC236}">
                  <a16:creationId xmlns:a16="http://schemas.microsoft.com/office/drawing/2014/main" id="{9AF85073-815E-EBF4-BEB0-A43B1D43F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F85073-815E-EBF4-BEB0-A43B1D43F6CF}"/>
                        </a:ext>
                      </a:extLst>
                    </pic:cNvPr>
                    <pic:cNvPicPr>
                      <a:picLocks noChangeAspect="1"/>
                    </pic:cNvPicPr>
                  </pic:nvPicPr>
                  <pic:blipFill>
                    <a:blip r:embed="rId16"/>
                    <a:stretch>
                      <a:fillRect/>
                    </a:stretch>
                  </pic:blipFill>
                  <pic:spPr>
                    <a:xfrm>
                      <a:off x="0" y="0"/>
                      <a:ext cx="5731510" cy="4471670"/>
                    </a:xfrm>
                    <a:prstGeom prst="rect">
                      <a:avLst/>
                    </a:prstGeom>
                  </pic:spPr>
                </pic:pic>
              </a:graphicData>
            </a:graphic>
          </wp:inline>
        </w:drawing>
      </w:r>
      <w:r w:rsidR="00841DE6">
        <w:br w:type="page"/>
      </w:r>
    </w:p>
    <w:p w14:paraId="1FF84DF7" w14:textId="05819E00" w:rsidR="00C83313" w:rsidRDefault="00C83313" w:rsidP="00CE52F3">
      <w:r w:rsidRPr="00670C99">
        <w:rPr>
          <w:b/>
          <w:bCs/>
        </w:rPr>
        <w:t xml:space="preserve">Option 1, </w:t>
      </w:r>
      <w:r w:rsidR="00670C99" w:rsidRPr="00670C99">
        <w:rPr>
          <w:b/>
          <w:bCs/>
        </w:rPr>
        <w:t xml:space="preserve">maintaining </w:t>
      </w:r>
      <w:r w:rsidRPr="00670C99">
        <w:rPr>
          <w:b/>
          <w:bCs/>
        </w:rPr>
        <w:t>the status quo</w:t>
      </w:r>
      <w:r w:rsidRPr="00C83313">
        <w:t xml:space="preserve"> </w:t>
      </w:r>
      <w:r w:rsidR="00AD73F6">
        <w:t>doesn</w:t>
      </w:r>
      <w:r w:rsidR="00CA1D35">
        <w:t>’</w:t>
      </w:r>
      <w:r w:rsidR="00AD73F6">
        <w:t>t</w:t>
      </w:r>
      <w:r w:rsidRPr="00C83313">
        <w:t xml:space="preserve"> address the </w:t>
      </w:r>
      <w:r w:rsidR="00AD73F6">
        <w:t xml:space="preserve">public health </w:t>
      </w:r>
      <w:r w:rsidRPr="00C83313">
        <w:t xml:space="preserve">problem and </w:t>
      </w:r>
      <w:r w:rsidR="00AD73F6">
        <w:t>does</w:t>
      </w:r>
      <w:r w:rsidR="00CA1D35">
        <w:t>n’</w:t>
      </w:r>
      <w:r w:rsidR="00AD73F6">
        <w:t xml:space="preserve">t meet </w:t>
      </w:r>
      <w:r w:rsidRPr="00C83313">
        <w:t xml:space="preserve">the policy objectives of the Government. It </w:t>
      </w:r>
      <w:r w:rsidR="00CA1D35">
        <w:t>doesn’t</w:t>
      </w:r>
      <w:r w:rsidRPr="00C83313">
        <w:t xml:space="preserve"> address the core objective of strengthening patient safety and post-market monitoring of medical devices. Medical device adverse events would continue to be underreported, thereby not improving the TGA’s </w:t>
      </w:r>
      <w:r w:rsidR="004A06DE" w:rsidRPr="00C83313">
        <w:t>ability</w:t>
      </w:r>
      <w:r w:rsidRPr="00C83313">
        <w:t xml:space="preserve"> to detect </w:t>
      </w:r>
      <w:r w:rsidR="00DB188B">
        <w:t>emerging</w:t>
      </w:r>
      <w:r w:rsidRPr="00C83313">
        <w:t xml:space="preserve"> signals relating to medical devices that pose a potential health risk. The absence of an additional regulatory burden is not a reasonable basis for supporting the status quo.</w:t>
      </w:r>
      <w:r w:rsidR="00A75844">
        <w:t xml:space="preserve"> Consequently, this option should not be considered any further.</w:t>
      </w:r>
    </w:p>
    <w:p w14:paraId="50D813AD" w14:textId="5BC0C242" w:rsidR="00202E80" w:rsidRDefault="00C83313" w:rsidP="00202E80">
      <w:r w:rsidRPr="00670C99">
        <w:rPr>
          <w:b/>
          <w:bCs/>
        </w:rPr>
        <w:t>Option 2A</w:t>
      </w:r>
      <w:r w:rsidR="00596E63" w:rsidRPr="00670C99">
        <w:rPr>
          <w:b/>
          <w:bCs/>
        </w:rPr>
        <w:t>,</w:t>
      </w:r>
      <w:r w:rsidR="00202E80" w:rsidRPr="00670C99">
        <w:rPr>
          <w:b/>
          <w:bCs/>
        </w:rPr>
        <w:t xml:space="preserve"> public and private hospitals report adverse events relating to </w:t>
      </w:r>
      <w:r w:rsidR="00CC022E" w:rsidRPr="00670C99">
        <w:rPr>
          <w:b/>
          <w:bCs/>
        </w:rPr>
        <w:t>high-risk medical devices</w:t>
      </w:r>
      <w:r w:rsidR="00CC022E">
        <w:t xml:space="preserve"> (namely </w:t>
      </w:r>
      <w:r w:rsidR="00202E80">
        <w:t>Class III medical devices</w:t>
      </w:r>
      <w:r w:rsidR="00CC022E">
        <w:t>, AIMDs and Class 4 IVDs)</w:t>
      </w:r>
      <w:r w:rsidR="00202E80">
        <w:t xml:space="preserve">, </w:t>
      </w:r>
      <w:r w:rsidR="00202E80" w:rsidRPr="00670C99">
        <w:rPr>
          <w:b/>
          <w:bCs/>
        </w:rPr>
        <w:t>via batch reporting</w:t>
      </w:r>
      <w:r w:rsidR="00326474">
        <w:t xml:space="preserve">, would </w:t>
      </w:r>
      <w:r w:rsidR="004C6159">
        <w:t>likely improve TGA’s current ability to identify weak signals relating to</w:t>
      </w:r>
      <w:r w:rsidR="00326474">
        <w:t xml:space="preserve"> </w:t>
      </w:r>
      <w:r w:rsidR="0031453E">
        <w:t xml:space="preserve">medical </w:t>
      </w:r>
      <w:r w:rsidR="0013425A">
        <w:t xml:space="preserve">devices with potential safety issues/risks. However, it doesn’t </w:t>
      </w:r>
      <w:r w:rsidR="00CD343A">
        <w:t xml:space="preserve">cover the </w:t>
      </w:r>
      <w:r w:rsidR="00105AC2">
        <w:t xml:space="preserve">medium – high risk medical devices </w:t>
      </w:r>
      <w:r w:rsidR="00FE4451">
        <w:t xml:space="preserve">(which </w:t>
      </w:r>
      <w:r w:rsidR="000601D9">
        <w:t>accounts for a significant proportion of current reporting)</w:t>
      </w:r>
      <w:r w:rsidR="003A25E8">
        <w:t>, and therefore does not adequately meet the government’s policy objectives</w:t>
      </w:r>
      <w:r w:rsidR="000601D9">
        <w:t>.</w:t>
      </w:r>
      <w:r w:rsidR="00405939">
        <w:t xml:space="preserve"> Therefore</w:t>
      </w:r>
      <w:r w:rsidR="001B1D12">
        <w:t>,</w:t>
      </w:r>
      <w:r w:rsidR="00405939">
        <w:t xml:space="preserve"> this option should not be considered.</w:t>
      </w:r>
    </w:p>
    <w:p w14:paraId="0C77B8B4" w14:textId="35D644B8" w:rsidR="00202E80" w:rsidRDefault="00202E80" w:rsidP="00202E80">
      <w:r w:rsidRPr="00670C99">
        <w:rPr>
          <w:b/>
          <w:bCs/>
        </w:rPr>
        <w:t xml:space="preserve">Option 2B, public and private hospitals report adverse events relating to </w:t>
      </w:r>
      <w:r w:rsidR="00CC022E" w:rsidRPr="00670C99">
        <w:rPr>
          <w:b/>
          <w:bCs/>
        </w:rPr>
        <w:t>high-risk medical devices</w:t>
      </w:r>
      <w:r w:rsidR="00CC022E">
        <w:t xml:space="preserve"> (namely, </w:t>
      </w:r>
      <w:r>
        <w:t>Class III medical devices</w:t>
      </w:r>
      <w:r w:rsidR="00CC022E">
        <w:t>, AIMDs and Class 4 IVDs)</w:t>
      </w:r>
      <w:r>
        <w:t xml:space="preserve">, </w:t>
      </w:r>
      <w:r w:rsidRPr="00670C99">
        <w:rPr>
          <w:b/>
          <w:bCs/>
        </w:rPr>
        <w:t>on occurrence</w:t>
      </w:r>
      <w:r w:rsidR="003A25E8">
        <w:t>,</w:t>
      </w:r>
      <w:r w:rsidR="00371F1A">
        <w:t xml:space="preserve"> will also likely improve TGA’s current ability to detect weak signals. </w:t>
      </w:r>
      <w:r w:rsidR="00124C2F">
        <w:t>However</w:t>
      </w:r>
      <w:r w:rsidR="00AE79C8">
        <w:t xml:space="preserve">, </w:t>
      </w:r>
      <w:r w:rsidR="00B64597">
        <w:t xml:space="preserve">as </w:t>
      </w:r>
      <w:r w:rsidR="009439B6">
        <w:t xml:space="preserve">described above, this option </w:t>
      </w:r>
      <w:r w:rsidR="009030F3">
        <w:t>also does not c</w:t>
      </w:r>
      <w:r w:rsidR="00CD3DB9">
        <w:t xml:space="preserve">over </w:t>
      </w:r>
      <w:r w:rsidR="00EA2F1D">
        <w:t>medium – high risk medical devices. In compar</w:t>
      </w:r>
      <w:r w:rsidR="006E281D">
        <w:t xml:space="preserve">ison to Option 2A (batch reporting), the </w:t>
      </w:r>
      <w:r w:rsidR="00597487">
        <w:t>on-occurrence</w:t>
      </w:r>
      <w:r w:rsidR="006E281D">
        <w:t xml:space="preserve"> reporting frequency proposed by </w:t>
      </w:r>
      <w:r w:rsidR="00371F1A">
        <w:t>Option 2B will provide timelier access to key information</w:t>
      </w:r>
      <w:r w:rsidR="00E7239B">
        <w:t xml:space="preserve">, however </w:t>
      </w:r>
      <w:r w:rsidR="00F25E17">
        <w:t>it will likely impose a higher regulatory burden on the reporting population.</w:t>
      </w:r>
      <w:r w:rsidR="00DC7F57">
        <w:t xml:space="preserve"> While having some merits, this option</w:t>
      </w:r>
      <w:r w:rsidR="001B1D12">
        <w:t xml:space="preserve"> should not be considered.</w:t>
      </w:r>
    </w:p>
    <w:p w14:paraId="67F59799" w14:textId="78172207" w:rsidR="00202E80" w:rsidRDefault="00202E80" w:rsidP="00202E80">
      <w:r w:rsidRPr="00670C99">
        <w:rPr>
          <w:b/>
          <w:bCs/>
        </w:rPr>
        <w:t xml:space="preserve">Option 3A, public and private hospitals report adverse events relating to </w:t>
      </w:r>
      <w:r w:rsidR="00CC022E" w:rsidRPr="00670C99">
        <w:rPr>
          <w:b/>
          <w:bCs/>
        </w:rPr>
        <w:t>both medium and high-risk medical devices</w:t>
      </w:r>
      <w:r w:rsidR="00CC022E">
        <w:t xml:space="preserve"> (expanding the scope to include </w:t>
      </w:r>
      <w:r>
        <w:t>Class II</w:t>
      </w:r>
      <w:r w:rsidR="006B0F20">
        <w:t>a</w:t>
      </w:r>
      <w:r>
        <w:t>, Class I</w:t>
      </w:r>
      <w:r w:rsidR="00CC022E">
        <w:t>I</w:t>
      </w:r>
      <w:r w:rsidR="006B0F20">
        <w:t>b</w:t>
      </w:r>
      <w:r>
        <w:t xml:space="preserve"> and Class III medical devices</w:t>
      </w:r>
      <w:r w:rsidR="00CC022E">
        <w:t xml:space="preserve">, AIMDs and Class </w:t>
      </w:r>
      <w:r w:rsidR="00DD7250">
        <w:t xml:space="preserve">3 and </w:t>
      </w:r>
      <w:r w:rsidR="00CC022E">
        <w:t>4 IVDs)</w:t>
      </w:r>
      <w:r>
        <w:t xml:space="preserve">, </w:t>
      </w:r>
      <w:r w:rsidRPr="00670C99">
        <w:rPr>
          <w:b/>
          <w:bCs/>
        </w:rPr>
        <w:t xml:space="preserve">via </w:t>
      </w:r>
      <w:bookmarkStart w:id="181" w:name="_Hlk185593356"/>
      <w:r w:rsidRPr="00670C99">
        <w:rPr>
          <w:b/>
          <w:bCs/>
        </w:rPr>
        <w:t>batch reporting</w:t>
      </w:r>
      <w:r w:rsidR="00D30D12">
        <w:t xml:space="preserve"> will likely sign</w:t>
      </w:r>
      <w:r w:rsidR="0066239E">
        <w:t>ificantly improve the TGA’s ability to detect weak signals</w:t>
      </w:r>
      <w:r w:rsidR="00BF4FCC">
        <w:t xml:space="preserve">, </w:t>
      </w:r>
      <w:r w:rsidR="005A3881">
        <w:t>resulting in many positive patient and health practitioner health and safety outcomes.</w:t>
      </w:r>
      <w:bookmarkEnd w:id="181"/>
      <w:r w:rsidR="003902E3">
        <w:t xml:space="preserve"> In comparison to the prior options (2A and 2B), Option 3B provides much greater </w:t>
      </w:r>
      <w:r w:rsidR="00A4171B">
        <w:t xml:space="preserve">coverage </w:t>
      </w:r>
      <w:r w:rsidR="00B50657">
        <w:t xml:space="preserve">of </w:t>
      </w:r>
      <w:r w:rsidR="00CB769E">
        <w:t>medical device</w:t>
      </w:r>
      <w:r w:rsidR="001C5098">
        <w:t xml:space="preserve">s </w:t>
      </w:r>
      <w:r w:rsidR="004B4C05">
        <w:t xml:space="preserve">considered medium – high </w:t>
      </w:r>
      <w:r w:rsidR="00806F08">
        <w:t xml:space="preserve">risk, </w:t>
      </w:r>
      <w:r w:rsidR="001C5098">
        <w:t>with the inclusion of Class IIa and IIb</w:t>
      </w:r>
      <w:r w:rsidR="00AB6F72">
        <w:t xml:space="preserve">. </w:t>
      </w:r>
      <w:r w:rsidR="00C144AB">
        <w:t>The utilisation of batch reporting will</w:t>
      </w:r>
      <w:r w:rsidR="007D7CE7">
        <w:t xml:space="preserve"> minimise the additional regulatory burden placed on the reporting population.</w:t>
      </w:r>
      <w:r w:rsidR="0083532B">
        <w:t xml:space="preserve"> Option </w:t>
      </w:r>
      <w:r w:rsidR="004D1F1A">
        <w:t>3A</w:t>
      </w:r>
      <w:r w:rsidR="0083532B">
        <w:t xml:space="preserve"> provides the best balance between addressal of the policy objectives </w:t>
      </w:r>
      <w:r w:rsidR="00C93BCD">
        <w:t xml:space="preserve">and </w:t>
      </w:r>
      <w:r w:rsidR="00DB0C57">
        <w:t>regulatory burden placed on the reporting population</w:t>
      </w:r>
      <w:r w:rsidR="004D1F1A">
        <w:t xml:space="preserve"> and is therefore the preferred option.</w:t>
      </w:r>
    </w:p>
    <w:p w14:paraId="53C5A9FD" w14:textId="2A8168EB" w:rsidR="00202E80" w:rsidRDefault="00202E80" w:rsidP="00202E80">
      <w:r w:rsidRPr="00670C99">
        <w:rPr>
          <w:b/>
          <w:bCs/>
        </w:rPr>
        <w:t xml:space="preserve">Option 3B, public and private hospitals report adverse events relating to </w:t>
      </w:r>
      <w:r w:rsidR="00AB6F72" w:rsidRPr="00670C99">
        <w:rPr>
          <w:b/>
          <w:bCs/>
        </w:rPr>
        <w:t>both medium and high-risk medical devices</w:t>
      </w:r>
      <w:r w:rsidR="00AB6F72" w:rsidRPr="00AB6F72">
        <w:t xml:space="preserve"> (expanding the scope to include Class IIa, Class IIb and Class III medical devices, AIMDs and Class </w:t>
      </w:r>
      <w:r w:rsidR="00DD7250">
        <w:t xml:space="preserve">3 and </w:t>
      </w:r>
      <w:r w:rsidR="00AB6F72" w:rsidRPr="00AB6F72">
        <w:t>4 IVDs)</w:t>
      </w:r>
      <w:r>
        <w:t xml:space="preserve">, </w:t>
      </w:r>
      <w:r w:rsidRPr="00670C99">
        <w:rPr>
          <w:b/>
          <w:bCs/>
        </w:rPr>
        <w:t>on occurrence</w:t>
      </w:r>
      <w:r w:rsidR="00AB6AE2">
        <w:t>, will also signif</w:t>
      </w:r>
      <w:r w:rsidR="00BB7926">
        <w:t xml:space="preserve">icantly improve the TGA’s ability to </w:t>
      </w:r>
      <w:r w:rsidR="008367C4">
        <w:t>detect</w:t>
      </w:r>
      <w:r w:rsidR="00BB7926">
        <w:t xml:space="preserve"> weak signals.</w:t>
      </w:r>
      <w:r w:rsidR="00A951C2">
        <w:t xml:space="preserve"> The increased coverage of medical devices (i.e., </w:t>
      </w:r>
      <w:r w:rsidR="00AB6F72">
        <w:t>the addition</w:t>
      </w:r>
      <w:r w:rsidR="00A951C2">
        <w:t xml:space="preserve"> of Classes IIa</w:t>
      </w:r>
      <w:r w:rsidR="00AB6F72">
        <w:t xml:space="preserve"> and</w:t>
      </w:r>
      <w:r w:rsidR="00A951C2">
        <w:t xml:space="preserve"> IIb</w:t>
      </w:r>
      <w:r w:rsidR="00B953FB">
        <w:t xml:space="preserve"> and Class 3 IVDs</w:t>
      </w:r>
      <w:r w:rsidR="00A951C2">
        <w:t>)</w:t>
      </w:r>
      <w:r w:rsidR="00AB6F72">
        <w:t>,</w:t>
      </w:r>
      <w:r w:rsidR="00A951C2">
        <w:t xml:space="preserve"> in combination with on occurrence reporting, will provide the TGA </w:t>
      </w:r>
      <w:r w:rsidR="00171F2C">
        <w:t xml:space="preserve">with the </w:t>
      </w:r>
      <w:r w:rsidR="000E37C4">
        <w:t xml:space="preserve">timeliest information relating </w:t>
      </w:r>
      <w:r w:rsidR="000B2397">
        <w:t xml:space="preserve">to </w:t>
      </w:r>
      <w:r w:rsidR="000E37C4">
        <w:t>medical device adverse events of the other options proposed thus far</w:t>
      </w:r>
      <w:r w:rsidR="004F5BBA">
        <w:t xml:space="preserve">. However, </w:t>
      </w:r>
      <w:r w:rsidR="00507B7F">
        <w:t xml:space="preserve">the proposed </w:t>
      </w:r>
      <w:r w:rsidR="00734F32">
        <w:t xml:space="preserve">report submission </w:t>
      </w:r>
      <w:r w:rsidR="00507B7F">
        <w:t>frequency will impose a more significant regulatory burden on the reporting population</w:t>
      </w:r>
      <w:r w:rsidR="007B34DB">
        <w:t xml:space="preserve">, and disproportionately </w:t>
      </w:r>
      <w:r w:rsidR="00E24A76">
        <w:t>a</w:t>
      </w:r>
      <w:r w:rsidR="007B34DB">
        <w:t xml:space="preserve">ffect </w:t>
      </w:r>
      <w:r w:rsidR="00554290">
        <w:t xml:space="preserve">medical facilities with either limited resources, or much higher </w:t>
      </w:r>
      <w:r w:rsidR="00A85C64">
        <w:t>patient demand</w:t>
      </w:r>
      <w:r w:rsidR="00BE3433">
        <w:t>.</w:t>
      </w:r>
      <w:r w:rsidR="00A1297D">
        <w:t xml:space="preserve"> While having significant benefits, this option has too </w:t>
      </w:r>
      <w:r w:rsidR="00884B3A">
        <w:t xml:space="preserve">great an impact on </w:t>
      </w:r>
      <w:r w:rsidR="00832901">
        <w:t xml:space="preserve">health facilities that are least able to manage the burden and </w:t>
      </w:r>
      <w:r w:rsidR="00BA26C1">
        <w:t>the option should not be considered.</w:t>
      </w:r>
    </w:p>
    <w:p w14:paraId="35FB3717" w14:textId="41A2DB4F" w:rsidR="00D33F92" w:rsidRPr="00A124B8" w:rsidRDefault="00D33F92" w:rsidP="00D33F92">
      <w:bookmarkStart w:id="182" w:name="_Toc156375159"/>
      <w:r w:rsidRPr="00B44D85">
        <w:rPr>
          <w:b/>
          <w:bCs/>
        </w:rPr>
        <w:t>Option 4A,</w:t>
      </w:r>
      <w:r w:rsidRPr="00A124B8">
        <w:rPr>
          <w:b/>
          <w:bCs/>
        </w:rPr>
        <w:t xml:space="preserve"> public and private hospitals and approved residential aged care facilities</w:t>
      </w:r>
      <w:r w:rsidRPr="00A124B8">
        <w:t xml:space="preserve"> (excluding MPS facilities) </w:t>
      </w:r>
      <w:r w:rsidRPr="00A124B8">
        <w:rPr>
          <w:b/>
          <w:bCs/>
        </w:rPr>
        <w:t>report adverse events relating to both medium and high-risk medical devices</w:t>
      </w:r>
      <w:r w:rsidRPr="00A124B8">
        <w:t xml:space="preserve"> (inclusive of Class IIa, Class IIb and Class III medical devices, AIMDs and Class 3 and 4 IVDs), </w:t>
      </w:r>
      <w:r w:rsidRPr="00A124B8">
        <w:rPr>
          <w:b/>
          <w:bCs/>
        </w:rPr>
        <w:t>via batch reporting,</w:t>
      </w:r>
      <w:r w:rsidRPr="00A124B8">
        <w:t xml:space="preserve"> involves the significant broadening of the population (roughly 200% increase</w:t>
      </w:r>
      <w:r w:rsidRPr="00A124B8">
        <w:rPr>
          <w:rStyle w:val="FootnoteReference"/>
        </w:rPr>
        <w:footnoteReference w:id="85"/>
      </w:r>
      <w:r w:rsidRPr="00A124B8">
        <w:t>), namely, the inclusion of approved residential aged care facilities. This option will provide the TGA the greatest opportunity to improve their ability to detect weak signals, which would in turn lead to the best public health outcomes relating to patient and medical practitioner safety. However, this option also imposes the most significant regulatory burden on the reporting population. The existing incident management systems used in residential aged care facilities, current reporting practices and accreditation requirements need to be further explored and consulted to accurately gauge the data requirements and costing implications before proceeding with the implementation of this option. Further consultation with stakeholders in the aged care sector is necessary to tailor the reporting framework to the needs of this population. A comprehensive cost benefit analysis may also be required prior to the expansion of mandatory reporting requirements to residential aged care facilities.</w:t>
      </w:r>
      <w:r w:rsidRPr="00A124B8">
        <w:br/>
      </w:r>
    </w:p>
    <w:p w14:paraId="017D4C4B" w14:textId="1FC43AAC" w:rsidR="00D33F92" w:rsidRPr="00F3751D" w:rsidRDefault="00D33F92" w:rsidP="00D33F92">
      <w:pPr>
        <w:rPr>
          <w:rFonts w:asciiTheme="minorHAnsi" w:hAnsiTheme="minorHAnsi"/>
        </w:rPr>
      </w:pPr>
      <w:r w:rsidRPr="00B44D85">
        <w:rPr>
          <w:b/>
          <w:bCs/>
        </w:rPr>
        <w:t>Option 4B</w:t>
      </w:r>
      <w:r w:rsidRPr="00A124B8">
        <w:rPr>
          <w:b/>
          <w:bCs/>
        </w:rPr>
        <w:t xml:space="preserve"> proposes that public and private hospitals and approved residential aged care facilities </w:t>
      </w:r>
      <w:r w:rsidRPr="00A124B8">
        <w:t>(excluding MPS facilities)</w:t>
      </w:r>
      <w:r w:rsidRPr="00A124B8">
        <w:rPr>
          <w:b/>
          <w:bCs/>
        </w:rPr>
        <w:t>,</w:t>
      </w:r>
      <w:r w:rsidRPr="00A124B8">
        <w:t xml:space="preserve"> </w:t>
      </w:r>
      <w:r w:rsidRPr="00A124B8">
        <w:rPr>
          <w:b/>
          <w:bCs/>
        </w:rPr>
        <w:t xml:space="preserve">report adverse events related to both medium and high-risk medical devices </w:t>
      </w:r>
      <w:r w:rsidRPr="00A124B8">
        <w:t>(including Class IIa, Class IIb, and Class III medical devices, AIMDs, and Class 3 and 4 IVDs)</w:t>
      </w:r>
      <w:r w:rsidRPr="00A124B8">
        <w:rPr>
          <w:b/>
          <w:bCs/>
        </w:rPr>
        <w:t>, on occurrence</w:t>
      </w:r>
      <w:r w:rsidRPr="00A124B8">
        <w:t>. This option also significantly broadens the reporting population, approximately doubling its size. In comparison to Option 4A, the ability to report adverse events on occurrence will enable more timely provision of information to the TGA, enhancing their ability to detect weak signals and leading to the best public health outcomes and increased safety for patients and medical practitioners (in comparison to prior options). However, this approach imposes the most substantial regulatory burden on the reporting entities. The existing incident management systems used in residential aged care facilities, current reporting practices, and accreditation requirements need to be fully tested and consulted to understand the data requirements and costing implications before proceeding with implementation of this option. The significant increase in the reporting population would lead to heightened administrative and operational demands, specifically, on aged care facilities. Despite the potential for considerable public health benefits, a comprehensive evaluation of the financial and operational impacts is essential to understand the regulatory burden on these facilities for further consideration in future.</w:t>
      </w:r>
    </w:p>
    <w:p w14:paraId="2FE8205D" w14:textId="77777777" w:rsidR="00AF462A" w:rsidRDefault="00AF462A"/>
    <w:p w14:paraId="06159E75" w14:textId="217F68E7" w:rsidR="000F1B41" w:rsidRPr="001615EC" w:rsidRDefault="000F1B41">
      <w:r>
        <w:br w:type="page"/>
      </w:r>
    </w:p>
    <w:p w14:paraId="4AEFF7F8" w14:textId="2506847E" w:rsidR="000F1B41" w:rsidRDefault="000F1B41" w:rsidP="000F1B41">
      <w:pPr>
        <w:pStyle w:val="Heading3"/>
      </w:pPr>
      <w:bookmarkStart w:id="183" w:name="_Toc179531331"/>
      <w:bookmarkStart w:id="184" w:name="_Toc188012882"/>
      <w:r>
        <w:t>Implementation</w:t>
      </w:r>
      <w:bookmarkEnd w:id="183"/>
      <w:bookmarkEnd w:id="184"/>
    </w:p>
    <w:p w14:paraId="70F7A786" w14:textId="4C513D90" w:rsidR="00331DE6" w:rsidRDefault="00E25309" w:rsidP="00F06DD2">
      <w:pPr>
        <w:pStyle w:val="Heading5"/>
      </w:pPr>
      <w:r>
        <w:t xml:space="preserve">Approach </w:t>
      </w:r>
    </w:p>
    <w:p w14:paraId="23FBEDB7" w14:textId="0ED8CE50" w:rsidR="008E671E" w:rsidRDefault="001A4B67" w:rsidP="008E671E">
      <w:pPr>
        <w:rPr>
          <w:rFonts w:asciiTheme="minorHAnsi" w:hAnsiTheme="minorHAnsi" w:cstheme="minorHAnsi"/>
        </w:rPr>
      </w:pPr>
      <w:r w:rsidRPr="00FE5255">
        <w:t xml:space="preserve">An iterative approach to implementation will ensure </w:t>
      </w:r>
      <w:r w:rsidR="007F03F9" w:rsidRPr="00FE5255">
        <w:t>that health</w:t>
      </w:r>
      <w:r w:rsidR="0071252A" w:rsidRPr="00FE5255">
        <w:t xml:space="preserve"> care </w:t>
      </w:r>
      <w:r w:rsidR="00311792" w:rsidRPr="00FE5255">
        <w:t>facilities</w:t>
      </w:r>
      <w:r w:rsidR="0071252A" w:rsidRPr="00FE5255">
        <w:t xml:space="preserve"> </w:t>
      </w:r>
      <w:r w:rsidR="00955B87" w:rsidRPr="00FE5255">
        <w:t xml:space="preserve">will be prepared </w:t>
      </w:r>
      <w:r w:rsidR="00FF2AA7" w:rsidRPr="00FE5255">
        <w:t xml:space="preserve">for mandatory reporting. The approach consists of </w:t>
      </w:r>
      <w:r w:rsidR="00B47659">
        <w:t>four</w:t>
      </w:r>
      <w:r w:rsidR="00FF2AA7" w:rsidRPr="00FE5255">
        <w:t xml:space="preserve"> stages, </w:t>
      </w:r>
      <w:r w:rsidR="00B60CAC" w:rsidRPr="00FE5255">
        <w:t xml:space="preserve">progressively </w:t>
      </w:r>
      <w:r w:rsidR="000454E7" w:rsidRPr="00FE5255">
        <w:t xml:space="preserve">broadening the scope of events </w:t>
      </w:r>
      <w:r w:rsidR="00B60CAC" w:rsidRPr="00FE5255">
        <w:t>in which</w:t>
      </w:r>
      <w:r w:rsidR="000454E7" w:rsidRPr="00FE5255">
        <w:t xml:space="preserve"> reporting is mandatory</w:t>
      </w:r>
      <w:r w:rsidR="00B60CAC" w:rsidRPr="00FE5255">
        <w:t>, implemented in</w:t>
      </w:r>
      <w:r w:rsidR="00E27F53" w:rsidRPr="00FE5255">
        <w:t xml:space="preserve"> </w:t>
      </w:r>
      <w:r w:rsidR="00B60CAC" w:rsidRPr="00FE5255">
        <w:t>line with the update</w:t>
      </w:r>
      <w:r w:rsidR="001F07A5" w:rsidRPr="00FE5255">
        <w:t xml:space="preserve"> and </w:t>
      </w:r>
      <w:r w:rsidR="00B60CAC" w:rsidRPr="00FE5255">
        <w:t>release</w:t>
      </w:r>
      <w:r w:rsidR="00D3452D" w:rsidRPr="00FE5255">
        <w:t xml:space="preserve"> of </w:t>
      </w:r>
      <w:r w:rsidR="0080571B" w:rsidRPr="00FE5255">
        <w:t>the NSQHS Standards</w:t>
      </w:r>
      <w:r w:rsidR="00FE5255">
        <w:t>.</w:t>
      </w:r>
      <w:r w:rsidR="00FE5255" w:rsidRPr="00FE5255">
        <w:rPr>
          <w:rStyle w:val="FootnoteReference"/>
        </w:rPr>
        <w:footnoteReference w:id="86"/>
      </w:r>
      <w:r w:rsidR="0080571B" w:rsidRPr="00FE5255">
        <w:t xml:space="preserve"> </w:t>
      </w:r>
      <w:r w:rsidR="008E671E">
        <w:rPr>
          <w:rFonts w:cstheme="minorHAnsi"/>
        </w:rPr>
        <w:t xml:space="preserve">The TGA </w:t>
      </w:r>
      <w:r w:rsidR="00685FFE">
        <w:rPr>
          <w:rFonts w:cstheme="minorHAnsi"/>
        </w:rPr>
        <w:t>will consider</w:t>
      </w:r>
      <w:r w:rsidR="008E671E">
        <w:rPr>
          <w:rFonts w:cstheme="minorHAnsi"/>
        </w:rPr>
        <w:t xml:space="preserve"> an initial 12-month transition period from the date of commencement of the scheme, </w:t>
      </w:r>
      <w:r w:rsidR="00685FFE">
        <w:rPr>
          <w:rFonts w:cstheme="minorHAnsi"/>
        </w:rPr>
        <w:t xml:space="preserve">during which no compliance actions </w:t>
      </w:r>
      <w:r w:rsidR="004120CA">
        <w:rPr>
          <w:rFonts w:cstheme="minorHAnsi"/>
        </w:rPr>
        <w:t xml:space="preserve">against the new </w:t>
      </w:r>
      <w:r w:rsidR="0072722B">
        <w:rPr>
          <w:rFonts w:cstheme="minorHAnsi"/>
        </w:rPr>
        <w:t xml:space="preserve">reporting </w:t>
      </w:r>
      <w:r w:rsidR="004120CA">
        <w:rPr>
          <w:rFonts w:cstheme="minorHAnsi"/>
        </w:rPr>
        <w:t xml:space="preserve">requirements </w:t>
      </w:r>
      <w:r w:rsidR="00685FFE">
        <w:rPr>
          <w:rFonts w:cstheme="minorHAnsi"/>
        </w:rPr>
        <w:t xml:space="preserve">will be taken. </w:t>
      </w:r>
      <w:r w:rsidR="00D305BA">
        <w:rPr>
          <w:rFonts w:cstheme="minorHAnsi"/>
        </w:rPr>
        <w:t xml:space="preserve">This could be achieved by specifying in the regulations that the mandatory </w:t>
      </w:r>
      <w:r w:rsidR="00C42752">
        <w:rPr>
          <w:rFonts w:cstheme="minorHAnsi"/>
        </w:rPr>
        <w:t>reporting</w:t>
      </w:r>
      <w:r w:rsidR="00D305BA">
        <w:rPr>
          <w:rFonts w:cstheme="minorHAnsi"/>
        </w:rPr>
        <w:t xml:space="preserve"> requirements do not come into effect</w:t>
      </w:r>
      <w:r w:rsidR="00C42752">
        <w:rPr>
          <w:rFonts w:cstheme="minorHAnsi"/>
        </w:rPr>
        <w:t xml:space="preserve"> until 12 months after the commencement of the regulations. </w:t>
      </w:r>
      <w:r w:rsidR="00685FFE">
        <w:rPr>
          <w:rFonts w:cstheme="minorHAnsi"/>
        </w:rPr>
        <w:t xml:space="preserve">This period </w:t>
      </w:r>
      <w:r w:rsidR="008E671E">
        <w:rPr>
          <w:rFonts w:cstheme="minorHAnsi"/>
        </w:rPr>
        <w:t>will provide an opportunity to identify potential challenges in data transfer, gather feedback</w:t>
      </w:r>
      <w:r w:rsidR="00835251">
        <w:rPr>
          <w:rFonts w:cstheme="minorHAnsi"/>
        </w:rPr>
        <w:t>,</w:t>
      </w:r>
      <w:r w:rsidR="008E671E">
        <w:rPr>
          <w:rFonts w:cstheme="minorHAnsi"/>
        </w:rPr>
        <w:t xml:space="preserve"> and make necessary adjustments to ensure smo</w:t>
      </w:r>
      <w:r w:rsidR="00CA1B65">
        <w:rPr>
          <w:rFonts w:cstheme="minorHAnsi"/>
        </w:rPr>
        <w:t>o</w:t>
      </w:r>
      <w:r w:rsidR="008E671E">
        <w:rPr>
          <w:rFonts w:cstheme="minorHAnsi"/>
        </w:rPr>
        <w:t>ther integration of reporting systems.</w:t>
      </w:r>
      <w:r w:rsidR="003D5935">
        <w:rPr>
          <w:rFonts w:cstheme="minorHAnsi"/>
        </w:rPr>
        <w:t xml:space="preserve"> </w:t>
      </w:r>
    </w:p>
    <w:p w14:paraId="1604E86C" w14:textId="04BC408B" w:rsidR="00763DC6" w:rsidRDefault="004F08F5" w:rsidP="00ED65AB">
      <w:pPr>
        <w:pStyle w:val="Heading5"/>
      </w:pPr>
      <w:r>
        <w:t xml:space="preserve">Staging </w:t>
      </w:r>
    </w:p>
    <w:p w14:paraId="07782AA1" w14:textId="4504C593" w:rsidR="00763DC6" w:rsidRDefault="00602B6D" w:rsidP="00763DC6">
      <w:r>
        <w:rPr>
          <w:noProof/>
          <w:lang w:eastAsia="en-AU"/>
        </w:rPr>
        <mc:AlternateContent>
          <mc:Choice Requires="wps">
            <w:drawing>
              <wp:anchor distT="0" distB="0" distL="114300" distR="114300" simplePos="0" relativeHeight="251667968" behindDoc="0" locked="0" layoutInCell="1" allowOverlap="1" wp14:anchorId="7322A1D3" wp14:editId="38F6DACC">
                <wp:simplePos x="0" y="0"/>
                <wp:positionH relativeFrom="column">
                  <wp:posOffset>38100</wp:posOffset>
                </wp:positionH>
                <wp:positionV relativeFrom="paragraph">
                  <wp:posOffset>158750</wp:posOffset>
                </wp:positionV>
                <wp:extent cx="6337935" cy="189865"/>
                <wp:effectExtent l="0" t="0" r="5715" b="635"/>
                <wp:wrapTopAndBottom/>
                <wp:docPr id="1799371482" name="Text Box 1"/>
                <wp:cNvGraphicFramePr/>
                <a:graphic xmlns:a="http://schemas.openxmlformats.org/drawingml/2006/main">
                  <a:graphicData uri="http://schemas.microsoft.com/office/word/2010/wordprocessingShape">
                    <wps:wsp>
                      <wps:cNvSpPr txBox="1"/>
                      <wps:spPr>
                        <a:xfrm>
                          <a:off x="0" y="0"/>
                          <a:ext cx="6337935" cy="189865"/>
                        </a:xfrm>
                        <a:prstGeom prst="rect">
                          <a:avLst/>
                        </a:prstGeom>
                        <a:solidFill>
                          <a:prstClr val="white"/>
                        </a:solidFill>
                        <a:ln>
                          <a:noFill/>
                        </a:ln>
                      </wps:spPr>
                      <wps:txbx>
                        <w:txbxContent>
                          <w:p w14:paraId="04C93B15" w14:textId="669BDA8E" w:rsidR="008461AF" w:rsidRPr="00FE3AD3" w:rsidRDefault="008461AF" w:rsidP="00763DC6">
                            <w:pPr>
                              <w:pStyle w:val="Caption"/>
                              <w:rPr>
                                <w:noProof/>
                              </w:rPr>
                            </w:pPr>
                            <w:r>
                              <w:t xml:space="preserve">Figure </w:t>
                            </w:r>
                            <w:r w:rsidR="008056A1">
                              <w:t>1</w:t>
                            </w:r>
                            <w:r w:rsidR="00D346FC">
                              <w:t>4</w:t>
                            </w:r>
                            <w:r w:rsidR="008056A1">
                              <w:t xml:space="preserve"> </w:t>
                            </w:r>
                            <w:r>
                              <w:t>- Staged approach to the</w:t>
                            </w:r>
                            <w:r w:rsidRPr="005E433C">
                              <w:t xml:space="preserve"> implementation of new regulations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22A1D3" id="_x0000_s1039" type="#_x0000_t202" style="position:absolute;margin-left:3pt;margin-top:12.5pt;width:499.05pt;height:14.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" stroked="f">
                <v:textbox inset="0,0,0,0">
                  <w:txbxContent>
                    <w:p w14:paraId="04C93B15" w14:textId="669BDA8E" w:rsidR="008461AF" w:rsidRPr="00FE3AD3" w:rsidRDefault="008461AF" w:rsidP="00763DC6">
                      <w:pPr>
                        <w:pStyle w:val="Caption"/>
                        <w:rPr>
                          <w:noProof/>
                        </w:rPr>
                      </w:pPr>
                      <w:r>
                        <w:t xml:space="preserve">Figure </w:t>
                      </w:r>
                      <w:r w:rsidR="008056A1">
                        <w:t>1</w:t>
                      </w:r>
                      <w:r w:rsidR="00D346FC">
                        <w:t>4</w:t>
                      </w:r>
                      <w:r w:rsidR="008056A1">
                        <w:t xml:space="preserve"> </w:t>
                      </w:r>
                      <w:r>
                        <w:t>- Staged approach to the</w:t>
                      </w:r>
                      <w:r w:rsidRPr="005E433C">
                        <w:t xml:space="preserve"> implementation of new regulations</w:t>
                      </w:r>
                    </w:p>
                  </w:txbxContent>
                </v:textbox>
                <w10:wrap type="topAndBottom"/>
              </v:shape>
            </w:pict>
          </mc:Fallback>
        </mc:AlternateContent>
      </w:r>
    </w:p>
    <w:p w14:paraId="59468AEC" w14:textId="55D4FD20" w:rsidR="00AC7DA6" w:rsidRPr="00AC7DA6" w:rsidRDefault="006C2C18" w:rsidP="00ED65AB">
      <w:pPr>
        <w:pStyle w:val="Heading5"/>
      </w:pPr>
      <w:r w:rsidRPr="006C2C18">
        <w:rPr>
          <w:noProof/>
          <w:lang w:eastAsia="en-AU"/>
        </w:rPr>
        <w:drawing>
          <wp:inline distT="0" distB="0" distL="0" distR="0" wp14:anchorId="061A627C" wp14:editId="0FFA5018">
            <wp:extent cx="6247181" cy="2035559"/>
            <wp:effectExtent l="0" t="0" r="0" b="0"/>
            <wp:docPr id="5" name="Picture 4">
              <a:extLst xmlns:a="http://schemas.openxmlformats.org/drawingml/2006/main">
                <a:ext uri="{FF2B5EF4-FFF2-40B4-BE49-F238E27FC236}">
                  <a16:creationId xmlns:a16="http://schemas.microsoft.com/office/drawing/2014/main" id="{437E6E86-0D2B-0A60-9121-6B25B7FDE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37E6E86-0D2B-0A60-9121-6B25B7FDEB5C}"/>
                        </a:ext>
                      </a:extLst>
                    </pic:cNvPr>
                    <pic:cNvPicPr>
                      <a:picLocks noChangeAspect="1"/>
                    </pic:cNvPicPr>
                  </pic:nvPicPr>
                  <pic:blipFill>
                    <a:blip r:embed="rId35"/>
                    <a:stretch>
                      <a:fillRect/>
                    </a:stretch>
                  </pic:blipFill>
                  <pic:spPr>
                    <a:xfrm>
                      <a:off x="0" y="0"/>
                      <a:ext cx="6252832" cy="2037400"/>
                    </a:xfrm>
                    <a:prstGeom prst="rect">
                      <a:avLst/>
                    </a:prstGeom>
                  </pic:spPr>
                </pic:pic>
              </a:graphicData>
            </a:graphic>
          </wp:inline>
        </w:drawing>
      </w:r>
      <w:r w:rsidR="00681A9D" w:rsidRPr="00681A9D">
        <w:t xml:space="preserve"> </w:t>
      </w:r>
      <w:r w:rsidR="00AC7DA6" w:rsidRPr="00AC7DA6">
        <w:rPr>
          <w:noProof/>
          <w:lang w:eastAsia="en-AU"/>
        </w:rPr>
        <mc:AlternateContent>
          <mc:Choice Requires="wps">
            <w:drawing>
              <wp:anchor distT="0" distB="0" distL="114300" distR="114300" simplePos="0" relativeHeight="251634176" behindDoc="0" locked="0" layoutInCell="1" allowOverlap="1" wp14:anchorId="01209442" wp14:editId="553CA7C1">
                <wp:simplePos x="0" y="0"/>
                <wp:positionH relativeFrom="column">
                  <wp:posOffset>6919960</wp:posOffset>
                </wp:positionH>
                <wp:positionV relativeFrom="paragraph">
                  <wp:posOffset>909822</wp:posOffset>
                </wp:positionV>
                <wp:extent cx="231680" cy="352056"/>
                <wp:effectExtent l="0" t="0" r="0" b="0"/>
                <wp:wrapNone/>
                <wp:docPr id="22" name="TextBox 21">
                  <a:extLst xmlns:a="http://schemas.openxmlformats.org/drawingml/2006/main">
                    <a:ext uri="{FF2B5EF4-FFF2-40B4-BE49-F238E27FC236}">
                      <a16:creationId xmlns:a16="http://schemas.microsoft.com/office/drawing/2014/main" id="{074A3A9B-2717-5586-970D-5B500EC5B90B}"/>
                    </a:ext>
                  </a:extLst>
                </wp:docPr>
                <wp:cNvGraphicFramePr/>
                <a:graphic xmlns:a="http://schemas.openxmlformats.org/drawingml/2006/main">
                  <a:graphicData uri="http://schemas.microsoft.com/office/word/2010/wordprocessingShape">
                    <wps:wsp>
                      <wps:cNvSpPr txBox="1"/>
                      <wps:spPr>
                        <a:xfrm>
                          <a:off x="0" y="0"/>
                          <a:ext cx="231680" cy="352056"/>
                        </a:xfrm>
                        <a:prstGeom prst="rect">
                          <a:avLst/>
                        </a:prstGeom>
                        <a:noFill/>
                      </wps:spPr>
                      <wps:txbx>
                        <w:txbxContent>
                          <w:p w14:paraId="4DB5DDDF" w14:textId="041C5DD8" w:rsidR="008461AF" w:rsidRDefault="008461AF" w:rsidP="00AC7DA6">
                            <w:pPr>
                              <w:rPr>
                                <w:rFonts w:asciiTheme="majorHAnsi" w:hAnsi="Calibri Light"/>
                                <w:color w:val="0D223F"/>
                                <w:kern w:val="24"/>
                                <w:sz w:val="36"/>
                                <w:szCs w:val="36"/>
                              </w:rPr>
                            </w:pPr>
                            <w:r>
                              <w:rPr>
                                <w:rFonts w:asciiTheme="majorHAnsi" w:hAnsi="Calibri Light"/>
                                <w:color w:val="0D223F"/>
                                <w:kern w:val="24"/>
                                <w:sz w:val="36"/>
                                <w:szCs w:val="36"/>
                              </w:rPr>
                              <w:t>028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209442" id="TextBox 21" o:spid="_x0000_s1040" type="#_x0000_t202" style="position:absolute;margin-left:544.9pt;margin-top:71.65pt;width:18.25pt;height:27.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" filled="f" stroked="f">
                <v:textbox>
                  <w:txbxContent>
                    <w:p w14:paraId="4DB5DDDF" w14:textId="041C5DD8" w:rsidR="008461AF" w:rsidRDefault="008461AF" w:rsidP="00AC7DA6">
                      <w:pPr>
                        <w:rPr>
                          <w:rFonts w:asciiTheme="majorHAnsi" w:hAnsi="Calibri Light"/>
                          <w:color w:val="0D223F"/>
                          <w:kern w:val="24"/>
                          <w:sz w:val="36"/>
                          <w:szCs w:val="36"/>
                        </w:rPr>
                      </w:pPr>
                      <w:r>
                        <w:rPr>
                          <w:rFonts w:asciiTheme="majorHAnsi" w:hAnsi="Calibri Light"/>
                          <w:color w:val="0D223F"/>
                          <w:kern w:val="24"/>
                          <w:sz w:val="36"/>
                          <w:szCs w:val="36"/>
                        </w:rPr>
                        <w:t>028</w:t>
                      </w:r>
                    </w:p>
                  </w:txbxContent>
                </v:textbox>
              </v:shape>
            </w:pict>
          </mc:Fallback>
        </mc:AlternateContent>
      </w:r>
      <w:r w:rsidR="00AC7DA6" w:rsidRPr="00AC7DA6">
        <w:rPr>
          <w:noProof/>
          <w:lang w:eastAsia="en-AU"/>
        </w:rPr>
        <mc:AlternateContent>
          <mc:Choice Requires="wps">
            <w:drawing>
              <wp:anchor distT="0" distB="0" distL="114300" distR="114300" simplePos="0" relativeHeight="251635200" behindDoc="0" locked="0" layoutInCell="1" allowOverlap="1" wp14:anchorId="2719D3E3" wp14:editId="6CE75AB1">
                <wp:simplePos x="0" y="0"/>
                <wp:positionH relativeFrom="column">
                  <wp:posOffset>8548735</wp:posOffset>
                </wp:positionH>
                <wp:positionV relativeFrom="paragraph">
                  <wp:posOffset>900297</wp:posOffset>
                </wp:positionV>
                <wp:extent cx="231680" cy="352056"/>
                <wp:effectExtent l="0" t="0" r="0" b="0"/>
                <wp:wrapNone/>
                <wp:docPr id="23" name="TextBox 22">
                  <a:extLst xmlns:a="http://schemas.openxmlformats.org/drawingml/2006/main">
                    <a:ext uri="{FF2B5EF4-FFF2-40B4-BE49-F238E27FC236}">
                      <a16:creationId xmlns:a16="http://schemas.microsoft.com/office/drawing/2014/main" id="{A288629D-B869-302A-FA3F-599240FEE47D}"/>
                    </a:ext>
                  </a:extLst>
                </wp:docPr>
                <wp:cNvGraphicFramePr/>
                <a:graphic xmlns:a="http://schemas.openxmlformats.org/drawingml/2006/main">
                  <a:graphicData uri="http://schemas.microsoft.com/office/word/2010/wordprocessingShape">
                    <wps:wsp>
                      <wps:cNvSpPr txBox="1"/>
                      <wps:spPr>
                        <a:xfrm>
                          <a:off x="0" y="0"/>
                          <a:ext cx="231680" cy="352056"/>
                        </a:xfrm>
                        <a:prstGeom prst="rect">
                          <a:avLst/>
                        </a:prstGeom>
                        <a:noFill/>
                      </wps:spPr>
                      <wps:txbx>
                        <w:txbxContent>
                          <w:p w14:paraId="550D9D0F" w14:textId="4F48DC4B" w:rsidR="008461AF" w:rsidRDefault="008461AF" w:rsidP="00AC7DA6">
                            <w:pPr>
                              <w:rPr>
                                <w:rFonts w:asciiTheme="majorHAnsi" w:hAnsi="Calibri Light"/>
                                <w:color w:val="0D223F"/>
                                <w:kern w:val="24"/>
                                <w:sz w:val="36"/>
                                <w:szCs w:val="36"/>
                              </w:rPr>
                            </w:pPr>
                            <w:r>
                              <w:rPr>
                                <w:rFonts w:asciiTheme="majorHAnsi" w:hAnsi="Calibri Light"/>
                                <w:color w:val="0D223F"/>
                                <w:kern w:val="24"/>
                                <w:sz w:val="36"/>
                                <w:szCs w:val="36"/>
                              </w:rPr>
                              <w:t>229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9D3E3" id="TextBox 22" o:spid="_x0000_s1041" type="#_x0000_t202" style="position:absolute;margin-left:673.15pt;margin-top:70.9pt;width:18.25pt;height:27.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" filled="f" stroked="f">
                <v:textbox>
                  <w:txbxContent>
                    <w:p w14:paraId="550D9D0F" w14:textId="4F48DC4B" w:rsidR="008461AF" w:rsidRDefault="008461AF" w:rsidP="00AC7DA6">
                      <w:pPr>
                        <w:rPr>
                          <w:rFonts w:asciiTheme="majorHAnsi" w:hAnsi="Calibri Light"/>
                          <w:color w:val="0D223F"/>
                          <w:kern w:val="24"/>
                          <w:sz w:val="36"/>
                          <w:szCs w:val="36"/>
                        </w:rPr>
                      </w:pPr>
                      <w:r>
                        <w:rPr>
                          <w:rFonts w:asciiTheme="majorHAnsi" w:hAnsi="Calibri Light"/>
                          <w:color w:val="0D223F"/>
                          <w:kern w:val="24"/>
                          <w:sz w:val="36"/>
                          <w:szCs w:val="36"/>
                        </w:rPr>
                        <w:t>229</w:t>
                      </w:r>
                    </w:p>
                  </w:txbxContent>
                </v:textbox>
              </v:shape>
            </w:pict>
          </mc:Fallback>
        </mc:AlternateContent>
      </w:r>
      <w:r w:rsidR="00AC7DA6" w:rsidRPr="00AC7DA6">
        <w:rPr>
          <w:noProof/>
          <w:lang w:eastAsia="en-AU"/>
        </w:rPr>
        <mc:AlternateContent>
          <mc:Choice Requires="wps">
            <w:drawing>
              <wp:anchor distT="0" distB="0" distL="114300" distR="114300" simplePos="0" relativeHeight="251636224" behindDoc="0" locked="0" layoutInCell="1" allowOverlap="1" wp14:anchorId="1E101651" wp14:editId="028F3BCE">
                <wp:simplePos x="0" y="0"/>
                <wp:positionH relativeFrom="column">
                  <wp:posOffset>10110835</wp:posOffset>
                </wp:positionH>
                <wp:positionV relativeFrom="paragraph">
                  <wp:posOffset>881247</wp:posOffset>
                </wp:positionV>
                <wp:extent cx="231680" cy="352056"/>
                <wp:effectExtent l="0" t="0" r="0" b="0"/>
                <wp:wrapNone/>
                <wp:docPr id="24" name="TextBox 23">
                  <a:extLst xmlns:a="http://schemas.openxmlformats.org/drawingml/2006/main">
                    <a:ext uri="{FF2B5EF4-FFF2-40B4-BE49-F238E27FC236}">
                      <a16:creationId xmlns:a16="http://schemas.microsoft.com/office/drawing/2014/main" id="{AC2EF6FA-34D7-C7E5-8D38-BA2832D9C4C9}"/>
                    </a:ext>
                  </a:extLst>
                </wp:docPr>
                <wp:cNvGraphicFramePr/>
                <a:graphic xmlns:a="http://schemas.openxmlformats.org/drawingml/2006/main">
                  <a:graphicData uri="http://schemas.microsoft.com/office/word/2010/wordprocessingShape">
                    <wps:wsp>
                      <wps:cNvSpPr txBox="1"/>
                      <wps:spPr>
                        <a:xfrm>
                          <a:off x="0" y="0"/>
                          <a:ext cx="231680" cy="352056"/>
                        </a:xfrm>
                        <a:prstGeom prst="rect">
                          <a:avLst/>
                        </a:prstGeom>
                        <a:noFill/>
                      </wps:spPr>
                      <wps:txbx>
                        <w:txbxContent>
                          <w:p w14:paraId="064F3B9E" w14:textId="77777777" w:rsidR="008461AF" w:rsidRDefault="008461AF" w:rsidP="00AC7DA6">
                            <w:pPr>
                              <w:rPr>
                                <w:rFonts w:asciiTheme="majorHAnsi" w:hAnsi="Calibri Light"/>
                                <w:color w:val="0D223F"/>
                                <w:kern w:val="24"/>
                                <w:sz w:val="36"/>
                                <w:szCs w:val="36"/>
                              </w:rPr>
                            </w:pPr>
                            <w:r>
                              <w:rPr>
                                <w:rFonts w:asciiTheme="majorHAnsi" w:hAnsi="Calibri Light"/>
                                <w:color w:val="0D223F"/>
                                <w:kern w:val="24"/>
                                <w:sz w:val="36"/>
                                <w:szCs w:val="36"/>
                              </w:rPr>
                              <w:t>2030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101651" id="TextBox 23" o:spid="_x0000_s1042" type="#_x0000_t202" style="position:absolute;margin-left:796.15pt;margin-top:69.4pt;width:18.25pt;height:27.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" filled="f" stroked="f">
                <v:textbox>
                  <w:txbxContent>
                    <w:p w14:paraId="064F3B9E" w14:textId="77777777" w:rsidR="008461AF" w:rsidRDefault="008461AF" w:rsidP="00AC7DA6">
                      <w:pPr>
                        <w:rPr>
                          <w:rFonts w:asciiTheme="majorHAnsi" w:hAnsi="Calibri Light"/>
                          <w:color w:val="0D223F"/>
                          <w:kern w:val="24"/>
                          <w:sz w:val="36"/>
                          <w:szCs w:val="36"/>
                        </w:rPr>
                      </w:pPr>
                      <w:r>
                        <w:rPr>
                          <w:rFonts w:asciiTheme="majorHAnsi" w:hAnsi="Calibri Light"/>
                          <w:color w:val="0D223F"/>
                          <w:kern w:val="24"/>
                          <w:sz w:val="36"/>
                          <w:szCs w:val="36"/>
                        </w:rPr>
                        <w:t>2030</w:t>
                      </w:r>
                    </w:p>
                  </w:txbxContent>
                </v:textbox>
              </v:shape>
            </w:pict>
          </mc:Fallback>
        </mc:AlternateContent>
      </w:r>
      <w:r w:rsidR="00AC7DA6" w:rsidRPr="00AC7DA6">
        <w:rPr>
          <w:noProof/>
          <w:lang w:eastAsia="en-AU"/>
        </w:rPr>
        <mc:AlternateContent>
          <mc:Choice Requires="wps">
            <w:drawing>
              <wp:anchor distT="0" distB="0" distL="114300" distR="114300" simplePos="0" relativeHeight="251637248" behindDoc="0" locked="0" layoutInCell="1" allowOverlap="1" wp14:anchorId="1C4C00D4" wp14:editId="4BF5F8EB">
                <wp:simplePos x="0" y="0"/>
                <wp:positionH relativeFrom="column">
                  <wp:posOffset>10310382</wp:posOffset>
                </wp:positionH>
                <wp:positionV relativeFrom="paragraph">
                  <wp:posOffset>3871497</wp:posOffset>
                </wp:positionV>
                <wp:extent cx="357732" cy="405962"/>
                <wp:effectExtent l="38100" t="38100" r="99695" b="89535"/>
                <wp:wrapNone/>
                <wp:docPr id="38" name="Rectangle: Rounded Corners 37">
                  <a:extLst xmlns:a="http://schemas.openxmlformats.org/drawingml/2006/main">
                    <a:ext uri="{FF2B5EF4-FFF2-40B4-BE49-F238E27FC236}">
                      <a16:creationId xmlns:a16="http://schemas.microsoft.com/office/drawing/2014/main" id="{494BDCA0-EDD2-39B7-1B14-8F41F2EFA24D}"/>
                    </a:ext>
                  </a:extLst>
                </wp:docPr>
                <wp:cNvGraphicFramePr/>
                <a:graphic xmlns:a="http://schemas.openxmlformats.org/drawingml/2006/main">
                  <a:graphicData uri="http://schemas.microsoft.com/office/word/2010/wordprocessingShape">
                    <wps:wsp>
                      <wps:cNvSpPr/>
                      <wps:spPr>
                        <a:xfrm>
                          <a:off x="0" y="0"/>
                          <a:ext cx="357732" cy="405962"/>
                        </a:xfrm>
                        <a:prstGeom prst="roundRect">
                          <a:avLst/>
                        </a:prstGeom>
                        <a:solidFill>
                          <a:schemeClr val="accent5">
                            <a:lumMod val="60000"/>
                            <a:lumOff val="40000"/>
                          </a:schemeClr>
                        </a:solidFill>
                        <a:ln>
                          <a:noFill/>
                        </a:ln>
                        <a:effectLst>
                          <a:outerShdw blurRad="50800" dist="38100" dir="2700000" algn="tl" rotWithShape="0">
                            <a:prstClr val="black">
                              <a:alpha val="40000"/>
                            </a:prstClr>
                          </a:outerShdw>
                        </a:effectLst>
                      </wps:spPr>
                      <wps:style>
                        <a:lnRef idx="2">
                          <a:schemeClr val="accent2">
                            <a:shade val="15000"/>
                          </a:schemeClr>
                        </a:lnRef>
                        <a:fillRef idx="1">
                          <a:schemeClr val="accent2"/>
                        </a:fillRef>
                        <a:effectRef idx="0">
                          <a:schemeClr val="accent2"/>
                        </a:effectRef>
                        <a:fontRef idx="minor">
                          <a:schemeClr val="lt1"/>
                        </a:fontRef>
                      </wps:style>
                      <wps:txbx>
                        <w:txbxContent>
                          <w:p w14:paraId="5F4135AD" w14:textId="188B8C10" w:rsidR="008461AF" w:rsidRDefault="008461AF" w:rsidP="00AC7DA6">
                            <w:pPr>
                              <w:jc w:val="center"/>
                              <w:rPr>
                                <w:rFonts w:asciiTheme="minorHAnsi" w:hAnsi="Calibri"/>
                                <w:color w:val="FFFFFF" w:themeColor="light1"/>
                                <w:kern w:val="24"/>
                                <w:sz w:val="24"/>
                                <w:szCs w:val="24"/>
                              </w:rPr>
                            </w:pPr>
                            <w:r>
                              <w:rPr>
                                <w:rFonts w:asciiTheme="minorHAnsi" w:hAnsi="Calibri"/>
                                <w:color w:val="FFFFFF" w:themeColor="light1"/>
                                <w:kern w:val="24"/>
                              </w:rPr>
                              <w:t>3</w:t>
                            </w:r>
                            <w:r>
                              <w:rPr>
                                <w:rFonts w:asciiTheme="minorHAnsi" w:hAnsi="Calibri"/>
                                <w:color w:val="FFFFFF" w:themeColor="light1"/>
                                <w:kern w:val="24"/>
                                <w:position w:val="7"/>
                                <w:vertAlign w:val="superscript"/>
                              </w:rPr>
                              <w:t>rd</w:t>
                            </w:r>
                            <w:r>
                              <w:rPr>
                                <w:rFonts w:asciiTheme="minorHAnsi" w:hAnsi="Calibri"/>
                                <w:color w:val="FFFFFF" w:themeColor="light1"/>
                                <w:kern w:val="24"/>
                              </w:rPr>
                              <w:t xml:space="preserve"> Addition NSQHS Standards Enforced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C4C00D4" id="Rectangle: Rounded Corners 37" o:spid="_x0000_s1043" style="position:absolute;margin-left:811.85pt;margin-top:304.85pt;width:28.15pt;height:3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" fillcolor="#d86dcb [1944]" stroked="f" strokeweight="1.52778mm">
                <v:stroke linestyle="thickThin"/>
                <v:shadow on="t" color="black" opacity="26214f" origin="-.5,-.5" offset=".74836mm,.74836mm"/>
                <v:textbox>
                  <w:txbxContent>
                    <w:p w14:paraId="5F4135AD" w14:textId="188B8C10" w:rsidR="008461AF" w:rsidRDefault="008461AF" w:rsidP="00AC7DA6">
                      <w:pPr>
                        <w:jc w:val="center"/>
                        <w:rPr>
                          <w:rFonts w:asciiTheme="minorHAnsi" w:hAnsi="Calibri"/>
                          <w:color w:val="FFFFFF" w:themeColor="light1"/>
                          <w:kern w:val="24"/>
                          <w:sz w:val="24"/>
                          <w:szCs w:val="24"/>
                        </w:rPr>
                      </w:pPr>
                      <w:r>
                        <w:rPr>
                          <w:rFonts w:asciiTheme="minorHAnsi" w:hAnsi="Calibri"/>
                          <w:color w:val="FFFFFF" w:themeColor="light1"/>
                          <w:kern w:val="24"/>
                        </w:rPr>
                        <w:t>3</w:t>
                      </w:r>
                      <w:r>
                        <w:rPr>
                          <w:rFonts w:asciiTheme="minorHAnsi" w:hAnsi="Calibri"/>
                          <w:color w:val="FFFFFF" w:themeColor="light1"/>
                          <w:kern w:val="24"/>
                          <w:position w:val="7"/>
                          <w:vertAlign w:val="superscript"/>
                        </w:rPr>
                        <w:t>rd</w:t>
                      </w:r>
                      <w:r>
                        <w:rPr>
                          <w:rFonts w:asciiTheme="minorHAnsi" w:hAnsi="Calibri"/>
                          <w:color w:val="FFFFFF" w:themeColor="light1"/>
                          <w:kern w:val="24"/>
                        </w:rPr>
                        <w:t xml:space="preserve"> Addition NSQHS Standards Enforced</w:t>
                      </w:r>
                    </w:p>
                  </w:txbxContent>
                </v:textbox>
              </v:roundrect>
            </w:pict>
          </mc:Fallback>
        </mc:AlternateContent>
      </w:r>
    </w:p>
    <w:p w14:paraId="3C7DA8BF" w14:textId="4443AD9B" w:rsidR="00552F87" w:rsidRDefault="00C003CA" w:rsidP="00C003CA">
      <w:pPr>
        <w:pStyle w:val="Heading5"/>
      </w:pPr>
      <w:r>
        <w:t xml:space="preserve">Roles and Responsibilities </w:t>
      </w:r>
    </w:p>
    <w:p w14:paraId="2C825244" w14:textId="4DA831DE" w:rsidR="00F97539" w:rsidRPr="00F918BF" w:rsidRDefault="00200A16" w:rsidP="000623C4">
      <w:pPr>
        <w:rPr>
          <w:b/>
          <w:i/>
        </w:rPr>
      </w:pPr>
      <w:r w:rsidRPr="00F918BF">
        <w:rPr>
          <w:b/>
          <w:i/>
        </w:rPr>
        <w:t>I</w:t>
      </w:r>
      <w:r>
        <w:rPr>
          <w:b/>
          <w:i/>
        </w:rPr>
        <w:t>ntroduction</w:t>
      </w:r>
      <w:r w:rsidR="00A748A7" w:rsidRPr="00F918BF">
        <w:rPr>
          <w:b/>
          <w:i/>
        </w:rPr>
        <w:t xml:space="preserve"> of </w:t>
      </w:r>
      <w:r w:rsidR="0071735F">
        <w:rPr>
          <w:b/>
          <w:i/>
        </w:rPr>
        <w:t xml:space="preserve">New </w:t>
      </w:r>
      <w:r w:rsidR="00A748A7" w:rsidRPr="00F918BF">
        <w:rPr>
          <w:b/>
          <w:i/>
        </w:rPr>
        <w:t>Regulations</w:t>
      </w:r>
      <w:r w:rsidR="00F97539" w:rsidRPr="00F918BF">
        <w:rPr>
          <w:b/>
          <w:i/>
        </w:rPr>
        <w:t xml:space="preserve"> </w:t>
      </w:r>
    </w:p>
    <w:p w14:paraId="3DBD30C7" w14:textId="2D9C056A" w:rsidR="000623C4" w:rsidRDefault="000623C4" w:rsidP="0071223C">
      <w:r>
        <w:t xml:space="preserve">The TGA and </w:t>
      </w:r>
      <w:r w:rsidR="00E166D7">
        <w:t xml:space="preserve">the </w:t>
      </w:r>
      <w:r w:rsidR="00190349">
        <w:t>Commission is</w:t>
      </w:r>
      <w:r w:rsidR="00B56413">
        <w:t xml:space="preserve"> </w:t>
      </w:r>
      <w:r w:rsidR="007450CB">
        <w:t>responsible for the</w:t>
      </w:r>
      <w:r w:rsidR="00200A16">
        <w:t xml:space="preserve"> introduction and</w:t>
      </w:r>
      <w:r w:rsidR="007450CB">
        <w:t xml:space="preserve"> implementation of </w:t>
      </w:r>
      <w:r w:rsidR="0019110E">
        <w:t xml:space="preserve">the </w:t>
      </w:r>
      <w:r w:rsidR="0019110E" w:rsidRPr="000C439F">
        <w:rPr>
          <w:i/>
          <w:iCs/>
        </w:rPr>
        <w:t>Therapeutic Goods Amendment (2022 Measures No.1)</w:t>
      </w:r>
      <w:r w:rsidR="0019110E">
        <w:rPr>
          <w:i/>
          <w:iCs/>
        </w:rPr>
        <w:t xml:space="preserve"> </w:t>
      </w:r>
      <w:r w:rsidR="0019110E">
        <w:t>and</w:t>
      </w:r>
      <w:r w:rsidR="0043534C">
        <w:t xml:space="preserve"> updating the NSQHS Standards</w:t>
      </w:r>
      <w:r w:rsidR="009773D8">
        <w:t xml:space="preserve">, respectively. </w:t>
      </w:r>
    </w:p>
    <w:p w14:paraId="75D389FE" w14:textId="6CAC4E5D" w:rsidR="0070162C" w:rsidRDefault="0070162C" w:rsidP="0071223C">
      <w:r>
        <w:t xml:space="preserve">The implementation of the </w:t>
      </w:r>
      <w:r w:rsidRPr="0070162C">
        <w:rPr>
          <w:i/>
          <w:iCs/>
        </w:rPr>
        <w:t>Therapeutic Goods Amendment (2022 Measures No. 1)</w:t>
      </w:r>
      <w:r>
        <w:rPr>
          <w:i/>
          <w:iCs/>
        </w:rPr>
        <w:t xml:space="preserve"> </w:t>
      </w:r>
      <w:r>
        <w:t xml:space="preserve">will </w:t>
      </w:r>
      <w:r w:rsidR="00D61F9F">
        <w:t xml:space="preserve">progress </w:t>
      </w:r>
      <w:r>
        <w:t>in stages to en</w:t>
      </w:r>
      <w:r w:rsidR="000762A7">
        <w:t xml:space="preserve">sure stakeholder familiarity </w:t>
      </w:r>
      <w:r w:rsidR="00125E4E">
        <w:t>with reporting requirements, as well as adequate ti</w:t>
      </w:r>
      <w:r w:rsidR="00A72EFD">
        <w:t>me to embed</w:t>
      </w:r>
      <w:r w:rsidR="00314720">
        <w:t xml:space="preserve"> incident management system</w:t>
      </w:r>
      <w:r w:rsidR="00A72EFD">
        <w:t>/process</w:t>
      </w:r>
      <w:r w:rsidR="00314720">
        <w:t xml:space="preserve"> up</w:t>
      </w:r>
      <w:r w:rsidR="00A72EFD">
        <w:t>dates</w:t>
      </w:r>
      <w:r w:rsidR="00314720">
        <w:t>.</w:t>
      </w:r>
    </w:p>
    <w:p w14:paraId="1560BBA9" w14:textId="042B98BA" w:rsidR="00D61F9F" w:rsidRDefault="00D61F9F" w:rsidP="0071223C">
      <w:r>
        <w:t xml:space="preserve">The Commission is </w:t>
      </w:r>
      <w:r w:rsidR="0043534C">
        <w:t xml:space="preserve">responsible for the: </w:t>
      </w:r>
    </w:p>
    <w:p w14:paraId="7E55CEAF" w14:textId="0497DBAC" w:rsidR="006064D0" w:rsidRPr="00F97855" w:rsidRDefault="00284DAE" w:rsidP="006064D0">
      <w:pPr>
        <w:pStyle w:val="Bullet1"/>
      </w:pPr>
      <w:r>
        <w:t>p</w:t>
      </w:r>
      <w:r w:rsidR="0043534C">
        <w:t>ublication of the NSQHS Standards Advisory Notice</w:t>
      </w:r>
      <w:r w:rsidR="00E83CD3">
        <w:t xml:space="preserve"> </w:t>
      </w:r>
      <w:r w:rsidR="006064D0">
        <w:t xml:space="preserve">to give effect to the introduction of mandatory reporting </w:t>
      </w:r>
    </w:p>
    <w:p w14:paraId="5D7D6C9B" w14:textId="028660BC" w:rsidR="0043534C" w:rsidRDefault="00284DAE" w:rsidP="0043534C">
      <w:pPr>
        <w:pStyle w:val="Bullet1"/>
      </w:pPr>
      <w:r>
        <w:t>d</w:t>
      </w:r>
      <w:r w:rsidR="00434019">
        <w:t xml:space="preserve">evelopment of the third edition of the NSQHS Standards </w:t>
      </w:r>
      <w:r w:rsidR="006C6B36">
        <w:t xml:space="preserve">which will incorporate any lessons learnt/issue </w:t>
      </w:r>
      <w:r w:rsidR="00DB6EC8">
        <w:t>encountered</w:t>
      </w:r>
      <w:r w:rsidR="006C6B36">
        <w:t xml:space="preserve"> in complying with the </w:t>
      </w:r>
      <w:r w:rsidR="00DB6EC8">
        <w:t xml:space="preserve">second edition of </w:t>
      </w:r>
      <w:r w:rsidR="003972E6">
        <w:t>the NSQHS Standards</w:t>
      </w:r>
    </w:p>
    <w:p w14:paraId="42B3BCE8" w14:textId="5A2004DF" w:rsidR="000623C4" w:rsidRDefault="00284DAE" w:rsidP="0071223C">
      <w:pPr>
        <w:pStyle w:val="Bullet1"/>
      </w:pPr>
      <w:r>
        <w:t>p</w:t>
      </w:r>
      <w:r w:rsidR="003972E6">
        <w:t>ublication of the third edition of the N</w:t>
      </w:r>
      <w:r w:rsidR="006857C4">
        <w:t xml:space="preserve">SQHS Standards which will </w:t>
      </w:r>
      <w:r w:rsidR="00B11CA6">
        <w:t xml:space="preserve">outline </w:t>
      </w:r>
      <w:r w:rsidR="00B947DD">
        <w:t xml:space="preserve">reporting and incident management requirements that </w:t>
      </w:r>
      <w:r w:rsidR="00DF2806">
        <w:t>must be adhered to for</w:t>
      </w:r>
      <w:r w:rsidR="007772D6">
        <w:t xml:space="preserve"> accreditation</w:t>
      </w:r>
      <w:r w:rsidR="00805542">
        <w:t>.</w:t>
      </w:r>
    </w:p>
    <w:p w14:paraId="7A2D8BB9" w14:textId="1E050C40" w:rsidR="006833CE" w:rsidRPr="00A80525" w:rsidRDefault="00A748A7" w:rsidP="0071223C">
      <w:pPr>
        <w:rPr>
          <w:b/>
          <w:i/>
        </w:rPr>
      </w:pPr>
      <w:r w:rsidRPr="00F918BF">
        <w:rPr>
          <w:b/>
          <w:i/>
        </w:rPr>
        <w:t xml:space="preserve">Implementation of </w:t>
      </w:r>
      <w:r w:rsidR="008E3975" w:rsidRPr="00F918BF">
        <w:rPr>
          <w:b/>
          <w:i/>
        </w:rPr>
        <w:t>Supporting Systems and Processes</w:t>
      </w:r>
    </w:p>
    <w:p w14:paraId="014D3EB5" w14:textId="417BA214" w:rsidR="00F8029B" w:rsidRDefault="00A80525" w:rsidP="00F8029B">
      <w:pPr>
        <w:rPr>
          <w:rFonts w:eastAsia="Times New Roman" w:cs="Times New Roman"/>
          <w:b/>
          <w:bCs/>
          <w:i/>
          <w:color w:val="001871"/>
          <w:sz w:val="26"/>
          <w:szCs w:val="26"/>
        </w:rPr>
      </w:pPr>
      <w:r>
        <w:t>Private and public hospitals w</w:t>
      </w:r>
      <w:r w:rsidR="00636D48">
        <w:t xml:space="preserve">ould </w:t>
      </w:r>
      <w:r>
        <w:t xml:space="preserve">be </w:t>
      </w:r>
      <w:r w:rsidR="007A580D">
        <w:t>responsible for complying with the reporting requirements det</w:t>
      </w:r>
      <w:r w:rsidR="001E208C">
        <w:t xml:space="preserve">ailed in </w:t>
      </w:r>
      <w:r w:rsidR="00493632">
        <w:t>each stage</w:t>
      </w:r>
      <w:r w:rsidR="00C6201C">
        <w:t xml:space="preserve">, and ultimately, as determined in the </w:t>
      </w:r>
      <w:r w:rsidR="00C6201C" w:rsidRPr="00197B54">
        <w:rPr>
          <w:i/>
          <w:iCs/>
        </w:rPr>
        <w:t xml:space="preserve">Therapeutic Goods Amendment </w:t>
      </w:r>
      <w:r w:rsidR="00C6201C" w:rsidRPr="00C6201C">
        <w:rPr>
          <w:i/>
          <w:iCs/>
        </w:rPr>
        <w:t>(2022 Measures No.1</w:t>
      </w:r>
      <w:r w:rsidR="00C6201C" w:rsidRPr="00197B54">
        <w:rPr>
          <w:i/>
          <w:iCs/>
        </w:rPr>
        <w:t>)</w:t>
      </w:r>
      <w:r w:rsidR="00C6201C" w:rsidRPr="00197B54">
        <w:rPr>
          <w:rFonts w:eastAsia="Times New Roman" w:cs="Times New Roman"/>
          <w:iCs/>
          <w:color w:val="000000" w:themeColor="text1"/>
        </w:rPr>
        <w:t>.</w:t>
      </w:r>
      <w:r w:rsidR="00C6201C" w:rsidRPr="00197B54">
        <w:rPr>
          <w:rFonts w:eastAsia="Times New Roman" w:cs="Times New Roman"/>
          <w:iCs/>
          <w:sz w:val="26"/>
          <w:szCs w:val="26"/>
        </w:rPr>
        <w:t xml:space="preserve"> </w:t>
      </w:r>
      <w:r w:rsidR="005959E4">
        <w:t xml:space="preserve">These healthcare facilities will also be required to </w:t>
      </w:r>
      <w:r w:rsidR="00D34E33">
        <w:t xml:space="preserve">update and implement </w:t>
      </w:r>
      <w:r w:rsidR="00E8170D">
        <w:t xml:space="preserve">new </w:t>
      </w:r>
      <w:r w:rsidR="00D34E33">
        <w:t>reporting /</w:t>
      </w:r>
      <w:r w:rsidR="007F1461">
        <w:t xml:space="preserve"> incident management system</w:t>
      </w:r>
      <w:r w:rsidR="00BE29FB">
        <w:t>s</w:t>
      </w:r>
      <w:r w:rsidR="007F1461">
        <w:t xml:space="preserve"> </w:t>
      </w:r>
      <w:r w:rsidR="00D34E33">
        <w:t>and process</w:t>
      </w:r>
      <w:r w:rsidR="00E8170D">
        <w:t xml:space="preserve"> requirements to </w:t>
      </w:r>
      <w:r w:rsidR="00805542">
        <w:t>remain</w:t>
      </w:r>
      <w:r w:rsidR="00D34E33">
        <w:t xml:space="preserve"> </w:t>
      </w:r>
      <w:r w:rsidR="007F1461">
        <w:t>accred</w:t>
      </w:r>
      <w:r w:rsidR="00805542">
        <w:t>ited to</w:t>
      </w:r>
      <w:r w:rsidR="007F1461">
        <w:t xml:space="preserve"> the </w:t>
      </w:r>
      <w:r w:rsidR="000A20E4">
        <w:t xml:space="preserve">NSQHS Standards. </w:t>
      </w:r>
    </w:p>
    <w:p w14:paraId="3D48B0C6" w14:textId="6713E536" w:rsidR="00743BE7" w:rsidRPr="00F8029B" w:rsidRDefault="00A50C01" w:rsidP="00F8029B">
      <w:pPr>
        <w:pStyle w:val="Heading5"/>
      </w:pPr>
      <w:r>
        <w:t>Implementation of new regulations</w:t>
      </w:r>
    </w:p>
    <w:p w14:paraId="3E816CDA" w14:textId="662894AA" w:rsidR="00C165B7" w:rsidRDefault="00D94E66" w:rsidP="00743BE7">
      <w:r>
        <w:t xml:space="preserve">As detailed earlier, </w:t>
      </w:r>
      <w:r w:rsidR="00B1010C">
        <w:t>the regulations imposing m</w:t>
      </w:r>
      <w:r w:rsidR="00743BE7">
        <w:t xml:space="preserve">andatory reporting </w:t>
      </w:r>
      <w:r w:rsidR="00E27F53">
        <w:t>of</w:t>
      </w:r>
      <w:r w:rsidR="00743BE7">
        <w:t xml:space="preserve"> medical device adverse events </w:t>
      </w:r>
      <w:r w:rsidR="00B1010C">
        <w:t xml:space="preserve">by healthcare facilities </w:t>
      </w:r>
      <w:r w:rsidR="004F08F5">
        <w:t>are expected to be in place by 2025</w:t>
      </w:r>
      <w:r w:rsidR="00743BE7">
        <w:t xml:space="preserve">. </w:t>
      </w:r>
      <w:r w:rsidR="0032098A">
        <w:t xml:space="preserve">An iterative/progressive rollout of mandatory reporting regulations </w:t>
      </w:r>
      <w:r w:rsidR="005C1DE6">
        <w:t>will be taken</w:t>
      </w:r>
      <w:r w:rsidR="00A14C4A">
        <w:t xml:space="preserve"> </w:t>
      </w:r>
      <w:r w:rsidR="00B370C6">
        <w:t>to</w:t>
      </w:r>
      <w:r w:rsidR="00A14C4A">
        <w:t xml:space="preserve"> </w:t>
      </w:r>
      <w:r w:rsidR="00B370C6">
        <w:t xml:space="preserve">provide </w:t>
      </w:r>
      <w:r w:rsidR="00F217E7">
        <w:t>adequate time for</w:t>
      </w:r>
      <w:r w:rsidR="00E31BA5">
        <w:t>:</w:t>
      </w:r>
    </w:p>
    <w:p w14:paraId="44A4AC7F" w14:textId="77777777" w:rsidR="00E31BA5" w:rsidRDefault="00E31BA5" w:rsidP="00E31BA5">
      <w:pPr>
        <w:pStyle w:val="Bullet1"/>
      </w:pPr>
      <w:r>
        <w:t xml:space="preserve">healthcare facilities to understand </w:t>
      </w:r>
      <w:r w:rsidR="001712A3">
        <w:t xml:space="preserve">and embed systems and processes to support </w:t>
      </w:r>
      <w:r>
        <w:t>the new reporting requirements (i.e., develop and implement the required systems and processes to facilitate reporting of medical device adverse events to the TGA)</w:t>
      </w:r>
    </w:p>
    <w:p w14:paraId="7C7A5D86" w14:textId="77777777" w:rsidR="00E31BA5" w:rsidRDefault="00E31BA5" w:rsidP="00E31BA5">
      <w:pPr>
        <w:pStyle w:val="Bullet1"/>
      </w:pPr>
      <w:r>
        <w:t>medical practitioners and nurses to familiarise themselves with the particular situations within which medical device adverse event reporting is mandatory (i.e., death, serious injury and/or near misses).</w:t>
      </w:r>
    </w:p>
    <w:p w14:paraId="4F2933E4" w14:textId="658677FB" w:rsidR="001712A3" w:rsidRDefault="001712A3" w:rsidP="00743BE7">
      <w:r>
        <w:t xml:space="preserve">It is proposed that implementation of the preferred option (Option 3A) </w:t>
      </w:r>
      <w:r w:rsidR="00E27F53">
        <w:t>will occur over</w:t>
      </w:r>
      <w:r>
        <w:t xml:space="preserve"> </w:t>
      </w:r>
      <w:r w:rsidR="00681A9D">
        <w:t>four</w:t>
      </w:r>
      <w:r>
        <w:t xml:space="preserve"> stages</w:t>
      </w:r>
      <w:r w:rsidR="00B47659">
        <w:t xml:space="preserve"> including an initial transition period</w:t>
      </w:r>
      <w:r w:rsidR="00993213">
        <w:t>.</w:t>
      </w:r>
    </w:p>
    <w:p w14:paraId="3EA3142A" w14:textId="77777777" w:rsidR="00590765" w:rsidRDefault="00590765" w:rsidP="00681A9D">
      <w:pPr>
        <w:rPr>
          <w:b/>
          <w:bCs/>
        </w:rPr>
      </w:pPr>
    </w:p>
    <w:p w14:paraId="10F2A173" w14:textId="2D555B7A" w:rsidR="00681A9D" w:rsidRDefault="00681A9D" w:rsidP="00681A9D">
      <w:pPr>
        <w:rPr>
          <w:b/>
          <w:bCs/>
        </w:rPr>
      </w:pPr>
      <w:r>
        <w:rPr>
          <w:b/>
          <w:bCs/>
        </w:rPr>
        <w:t>Transition period – 12 months</w:t>
      </w:r>
    </w:p>
    <w:p w14:paraId="6E90DDC9" w14:textId="509FE4E3" w:rsidR="00681A9D" w:rsidRPr="00681A9D" w:rsidRDefault="00681A9D" w:rsidP="00681A9D">
      <w:pPr>
        <w:rPr>
          <w:bCs/>
        </w:rPr>
      </w:pPr>
      <w:r w:rsidRPr="00681A9D">
        <w:rPr>
          <w:bCs/>
        </w:rPr>
        <w:t xml:space="preserve">The new regulations specifying the mandatory reporting requirements will be in place, but </w:t>
      </w:r>
      <w:r>
        <w:rPr>
          <w:bCs/>
        </w:rPr>
        <w:t>t</w:t>
      </w:r>
      <w:r w:rsidRPr="00681A9D">
        <w:rPr>
          <w:bCs/>
        </w:rPr>
        <w:t>he commencement of the reporting requirements will be deferred for the first 12 months to allow sufficient time for health care facilities to adapt and prepare for full implementation.</w:t>
      </w:r>
    </w:p>
    <w:p w14:paraId="3105247B" w14:textId="77777777" w:rsidR="00590765" w:rsidRDefault="00590765" w:rsidP="00743BE7">
      <w:pPr>
        <w:rPr>
          <w:b/>
          <w:bCs/>
        </w:rPr>
      </w:pPr>
    </w:p>
    <w:p w14:paraId="72FE1E38" w14:textId="31C36BA3" w:rsidR="00993213" w:rsidRPr="000A179E" w:rsidRDefault="00993213" w:rsidP="00743BE7">
      <w:pPr>
        <w:rPr>
          <w:b/>
        </w:rPr>
      </w:pPr>
      <w:r w:rsidRPr="000A179E">
        <w:rPr>
          <w:b/>
          <w:bCs/>
        </w:rPr>
        <w:t>Stage 1</w:t>
      </w:r>
      <w:r w:rsidR="00835251">
        <w:rPr>
          <w:b/>
          <w:bCs/>
        </w:rPr>
        <w:t xml:space="preserve"> –</w:t>
      </w:r>
      <w:r w:rsidR="00721807">
        <w:rPr>
          <w:b/>
          <w:bCs/>
        </w:rPr>
        <w:t xml:space="preserve"> </w:t>
      </w:r>
      <w:r w:rsidR="00402DC4">
        <w:rPr>
          <w:b/>
          <w:bCs/>
        </w:rPr>
        <w:t xml:space="preserve">new regulations </w:t>
      </w:r>
      <w:r w:rsidR="00681A9D">
        <w:rPr>
          <w:b/>
          <w:bCs/>
        </w:rPr>
        <w:t>commence</w:t>
      </w:r>
    </w:p>
    <w:p w14:paraId="62062802" w14:textId="6D364A3B" w:rsidR="00B74AE3" w:rsidRDefault="00B74AE3" w:rsidP="00993213">
      <w:r>
        <w:t xml:space="preserve">Stage 1 will </w:t>
      </w:r>
      <w:r w:rsidR="00E40009">
        <w:t xml:space="preserve">involve </w:t>
      </w:r>
      <w:r w:rsidR="009B27F4">
        <w:t>m</w:t>
      </w:r>
      <w:r w:rsidR="00993213">
        <w:t xml:space="preserve">andatory reporting </w:t>
      </w:r>
      <w:r>
        <w:t>of</w:t>
      </w:r>
      <w:r w:rsidR="00993213">
        <w:t xml:space="preserve"> medical device adverse events </w:t>
      </w:r>
      <w:r>
        <w:t>relating to:</w:t>
      </w:r>
    </w:p>
    <w:p w14:paraId="369003F4" w14:textId="3E6EE47E" w:rsidR="001C1605" w:rsidRDefault="006E335A" w:rsidP="00B74AE3">
      <w:pPr>
        <w:pStyle w:val="Bullet1"/>
      </w:pPr>
      <w:r>
        <w:t xml:space="preserve">medical devices </w:t>
      </w:r>
      <w:r w:rsidR="00E4074C">
        <w:t>rated to be of high risk, inclusive of Class III, AIMDs</w:t>
      </w:r>
      <w:r w:rsidR="00702D7C">
        <w:t xml:space="preserve"> and Class 4 IVDs</w:t>
      </w:r>
    </w:p>
    <w:p w14:paraId="3EFE3550" w14:textId="05AC1AE2" w:rsidR="00B74AE3" w:rsidRDefault="004373FA" w:rsidP="00B74AE3">
      <w:pPr>
        <w:pStyle w:val="Bullet1"/>
      </w:pPr>
      <w:r>
        <w:t>a reportable medical device is used in the facility</w:t>
      </w:r>
      <w:r w:rsidR="00D1274C">
        <w:t>;</w:t>
      </w:r>
      <w:r>
        <w:t xml:space="preserve"> and </w:t>
      </w:r>
      <w:r w:rsidR="00B74AE3">
        <w:t xml:space="preserve">the </w:t>
      </w:r>
      <w:r w:rsidR="002809D6">
        <w:t>use of a device has resulted in the death, or serious deterioration in the health, of a person while the device is used in the facility</w:t>
      </w:r>
      <w:r w:rsidR="00446336">
        <w:t>.</w:t>
      </w:r>
    </w:p>
    <w:p w14:paraId="7117ADDA" w14:textId="211CC869" w:rsidR="00993213" w:rsidRDefault="00D1274C" w:rsidP="00993213">
      <w:r>
        <w:t xml:space="preserve">In short, the first stage will </w:t>
      </w:r>
      <w:r w:rsidR="0008517F">
        <w:t xml:space="preserve">only </w:t>
      </w:r>
      <w:r w:rsidR="0056688B">
        <w:t>impose mandatory requirements to report on events involving the death or serious injury of a person</w:t>
      </w:r>
      <w:r w:rsidR="00CC761F">
        <w:t xml:space="preserve"> where the medical device in question in </w:t>
      </w:r>
      <w:r w:rsidR="009E159D">
        <w:t>deemed to be of high risk</w:t>
      </w:r>
      <w:r w:rsidR="0056688B">
        <w:t>.</w:t>
      </w:r>
      <w:r w:rsidR="00AA3EA0">
        <w:t xml:space="preserve"> In line with this stage, the Commission will release an Advisory to the </w:t>
      </w:r>
      <w:r w:rsidR="00993213">
        <w:t>2</w:t>
      </w:r>
      <w:r w:rsidR="00993213" w:rsidRPr="00025D65">
        <w:rPr>
          <w:vertAlign w:val="superscript"/>
        </w:rPr>
        <w:t>nd</w:t>
      </w:r>
      <w:r w:rsidR="00993213">
        <w:t xml:space="preserve"> Edition of NSQHS</w:t>
      </w:r>
      <w:r w:rsidR="00AC53BC">
        <w:t xml:space="preserve"> </w:t>
      </w:r>
      <w:r w:rsidR="00993213">
        <w:t>Standards</w:t>
      </w:r>
      <w:r w:rsidR="00AA3EA0">
        <w:t xml:space="preserve"> outlining the </w:t>
      </w:r>
      <w:r w:rsidR="00914D9B">
        <w:t>various reporting system</w:t>
      </w:r>
      <w:r w:rsidR="00AC53BC">
        <w:t>s</w:t>
      </w:r>
      <w:r w:rsidR="00914D9B">
        <w:t xml:space="preserve"> </w:t>
      </w:r>
      <w:r w:rsidR="00F527F7">
        <w:t>and process require</w:t>
      </w:r>
      <w:r w:rsidR="000C3B92">
        <w:t>ments</w:t>
      </w:r>
      <w:r w:rsidR="00F527F7">
        <w:t xml:space="preserve"> for healthcare facilities to be accredited under the NSQHS Standards.</w:t>
      </w:r>
      <w:r w:rsidR="00800DF3">
        <w:t xml:space="preserve"> </w:t>
      </w:r>
    </w:p>
    <w:p w14:paraId="374D7662" w14:textId="77777777" w:rsidR="00590765" w:rsidRDefault="00590765" w:rsidP="00993213">
      <w:pPr>
        <w:rPr>
          <w:b/>
        </w:rPr>
      </w:pPr>
    </w:p>
    <w:p w14:paraId="30A21554" w14:textId="222D1A0F" w:rsidR="000A179E" w:rsidRPr="000A179E" w:rsidRDefault="00993213" w:rsidP="00993213">
      <w:pPr>
        <w:rPr>
          <w:b/>
          <w:bCs/>
        </w:rPr>
      </w:pPr>
      <w:r w:rsidRPr="000A179E">
        <w:rPr>
          <w:b/>
        </w:rPr>
        <w:t>Stage 2</w:t>
      </w:r>
      <w:r w:rsidR="00172DFC">
        <w:rPr>
          <w:b/>
          <w:bCs/>
        </w:rPr>
        <w:t xml:space="preserve"> </w:t>
      </w:r>
      <w:r w:rsidR="00835251">
        <w:rPr>
          <w:b/>
          <w:bCs/>
        </w:rPr>
        <w:t xml:space="preserve">– 24 months </w:t>
      </w:r>
      <w:r w:rsidR="00681A9D">
        <w:rPr>
          <w:b/>
          <w:bCs/>
        </w:rPr>
        <w:t>after stage 1</w:t>
      </w:r>
      <w:r w:rsidR="00835251">
        <w:rPr>
          <w:b/>
          <w:bCs/>
        </w:rPr>
        <w:t xml:space="preserve"> </w:t>
      </w:r>
    </w:p>
    <w:p w14:paraId="12AC635F" w14:textId="3DF5A698" w:rsidR="00446336" w:rsidRDefault="00446336" w:rsidP="00993213">
      <w:r>
        <w:t>Stage 2 will involve mandatory reporting of medical device adverse events relating to:</w:t>
      </w:r>
    </w:p>
    <w:p w14:paraId="0EE1BF72" w14:textId="7CF351F8" w:rsidR="000C3B92" w:rsidRDefault="000C3B92" w:rsidP="00993213">
      <w:pPr>
        <w:pStyle w:val="Bullet1"/>
      </w:pPr>
      <w:r>
        <w:t>medical devices r</w:t>
      </w:r>
      <w:r w:rsidR="00621779">
        <w:t>ated medium to high risk, inclusive of Class IIa, IIb</w:t>
      </w:r>
      <w:r w:rsidR="00610601">
        <w:t xml:space="preserve"> and III, Class 3 and 4 IVDs, and AIMDs</w:t>
      </w:r>
    </w:p>
    <w:p w14:paraId="1B1A9238" w14:textId="2008DBB7" w:rsidR="00446336" w:rsidRDefault="00446336" w:rsidP="00993213">
      <w:pPr>
        <w:pStyle w:val="Bullet1"/>
      </w:pPr>
      <w:r>
        <w:t>a reportable medical device is used in the facility; and the use of a device has resulted in the death, or serious deterioration in the health, of a person while the device is used in the facility.</w:t>
      </w:r>
    </w:p>
    <w:p w14:paraId="41778D29" w14:textId="3D825620" w:rsidR="00446336" w:rsidRPr="00446336" w:rsidRDefault="007C2057" w:rsidP="00993213">
      <w:pPr>
        <w:pStyle w:val="Bullet1"/>
      </w:pPr>
      <w:r>
        <w:t>a</w:t>
      </w:r>
      <w:r w:rsidR="0083355C">
        <w:t xml:space="preserve"> reportable medical device is not used in the facility because of the intervention of a person in the facility; and the use of the device, if the device were used, would result in, or would </w:t>
      </w:r>
      <w:r>
        <w:t>l</w:t>
      </w:r>
      <w:r w:rsidR="0083355C">
        <w:t xml:space="preserve">ikely to result in, the death, or </w:t>
      </w:r>
      <w:r w:rsidR="001224E3">
        <w:t xml:space="preserve">a </w:t>
      </w:r>
      <w:r w:rsidR="0083355C">
        <w:t xml:space="preserve">serious </w:t>
      </w:r>
      <w:r>
        <w:t>deterioration in the health, of a person.</w:t>
      </w:r>
    </w:p>
    <w:p w14:paraId="68ABCEE5" w14:textId="77777777" w:rsidR="00590765" w:rsidRDefault="00F527F7" w:rsidP="00993213">
      <w:pPr>
        <w:rPr>
          <w:b/>
        </w:rPr>
      </w:pPr>
      <w:r>
        <w:t xml:space="preserve">Stage 2 will </w:t>
      </w:r>
      <w:r w:rsidR="00094E83">
        <w:t>involve expanding the scope of medical devices to be reported on, as well as</w:t>
      </w:r>
      <w:r w:rsidR="00C2691D">
        <w:t xml:space="preserve"> adding</w:t>
      </w:r>
      <w:r w:rsidR="00094E83">
        <w:t xml:space="preserve"> </w:t>
      </w:r>
      <w:r>
        <w:t>near misses to the types of events to be included in m</w:t>
      </w:r>
      <w:r w:rsidR="00993213">
        <w:t xml:space="preserve">andatory reporting for medical device adverse events </w:t>
      </w:r>
      <w:r>
        <w:t xml:space="preserve">(i.e., </w:t>
      </w:r>
      <w:r w:rsidR="0024569D">
        <w:t>it will now cover</w:t>
      </w:r>
      <w:r w:rsidR="00993213">
        <w:t xml:space="preserve"> death, serious injury </w:t>
      </w:r>
      <w:r w:rsidR="0024569D">
        <w:t>and</w:t>
      </w:r>
      <w:r w:rsidR="00993213">
        <w:t xml:space="preserve"> near misses</w:t>
      </w:r>
      <w:r w:rsidR="0007217A">
        <w:t>).</w:t>
      </w:r>
      <w:r w:rsidR="00993213">
        <w:t xml:space="preserve"> </w:t>
      </w:r>
      <w:r w:rsidR="000B2CB5">
        <w:t>T</w:t>
      </w:r>
      <w:r w:rsidR="00172DFC">
        <w:t>he 3</w:t>
      </w:r>
      <w:r w:rsidR="00172DFC" w:rsidRPr="00172DFC">
        <w:rPr>
          <w:vertAlign w:val="superscript"/>
        </w:rPr>
        <w:t>rd</w:t>
      </w:r>
      <w:r w:rsidR="00172DFC">
        <w:t xml:space="preserve"> edition of the NSQHS Standards, which is currently planned to be released in 2027</w:t>
      </w:r>
      <w:r w:rsidR="0072722B" w:rsidRPr="0072722B">
        <w:t xml:space="preserve"> </w:t>
      </w:r>
      <w:r w:rsidR="0072722B">
        <w:t xml:space="preserve">will </w:t>
      </w:r>
      <w:r w:rsidR="0072722B" w:rsidRPr="0072722B">
        <w:t>incorporat</w:t>
      </w:r>
      <w:r w:rsidR="0072722B">
        <w:t>e</w:t>
      </w:r>
      <w:r w:rsidR="0072722B" w:rsidRPr="0072722B">
        <w:t xml:space="preserve"> mandatory reporting </w:t>
      </w:r>
      <w:r w:rsidR="0072722B">
        <w:t xml:space="preserve">requirements </w:t>
      </w:r>
      <w:r w:rsidR="0072722B" w:rsidRPr="0072722B">
        <w:t>into the edition</w:t>
      </w:r>
      <w:r w:rsidR="00172DFC">
        <w:t>.</w:t>
      </w:r>
      <w:r w:rsidR="004F08F5">
        <w:br/>
      </w:r>
    </w:p>
    <w:p w14:paraId="11FB5F10" w14:textId="478F89F1" w:rsidR="000A179E" w:rsidRPr="000A179E" w:rsidRDefault="00993213" w:rsidP="00993213">
      <w:pPr>
        <w:rPr>
          <w:b/>
          <w:bCs/>
        </w:rPr>
      </w:pPr>
      <w:r w:rsidRPr="000A179E">
        <w:rPr>
          <w:b/>
        </w:rPr>
        <w:t>Stage 3</w:t>
      </w:r>
      <w:r w:rsidR="00172DFC">
        <w:rPr>
          <w:b/>
          <w:bCs/>
        </w:rPr>
        <w:t xml:space="preserve"> </w:t>
      </w:r>
      <w:r w:rsidR="00835251">
        <w:rPr>
          <w:b/>
          <w:bCs/>
        </w:rPr>
        <w:t xml:space="preserve">– 48 months </w:t>
      </w:r>
      <w:r w:rsidR="00681A9D">
        <w:rPr>
          <w:b/>
          <w:bCs/>
        </w:rPr>
        <w:t>after stage 1</w:t>
      </w:r>
      <w:r w:rsidR="00835251">
        <w:rPr>
          <w:b/>
          <w:bCs/>
        </w:rPr>
        <w:t xml:space="preserve"> </w:t>
      </w:r>
    </w:p>
    <w:p w14:paraId="0F297470" w14:textId="721F88F4" w:rsidR="00446336" w:rsidRPr="00446336" w:rsidRDefault="007C2057" w:rsidP="00993213">
      <w:r>
        <w:t>Stage 3 will involve mandatory reporting of medical device adverse events relating to:</w:t>
      </w:r>
    </w:p>
    <w:p w14:paraId="2AA8AAC1" w14:textId="77777777" w:rsidR="007C2057" w:rsidRDefault="007C2057" w:rsidP="007C2057">
      <w:pPr>
        <w:pStyle w:val="Bullet1"/>
      </w:pPr>
      <w:r>
        <w:t>a reportable medical device is used in the facility; and the use of a device has resulted in the death, or serious deterioration in the health, of a person while the device is used in the facility.</w:t>
      </w:r>
    </w:p>
    <w:p w14:paraId="23AB85EE" w14:textId="77777777" w:rsidR="007C2057" w:rsidRPr="00446336" w:rsidRDefault="007C2057" w:rsidP="007C2057">
      <w:pPr>
        <w:pStyle w:val="Bullet1"/>
      </w:pPr>
      <w:r>
        <w:t>a reportable medical device is not used in the facility because of the intervention of a person in the facility; and the use of the device, if the device were used, would result in, or would likely to result in, the death, or a serious deterioration in the health, of a person.</w:t>
      </w:r>
    </w:p>
    <w:p w14:paraId="70FAF07C" w14:textId="1A9035C3" w:rsidR="00446336" w:rsidRPr="00446336" w:rsidRDefault="00446336" w:rsidP="00993213">
      <w:pPr>
        <w:pStyle w:val="Bullet1"/>
      </w:pPr>
      <w:r>
        <w:t>a health practitioner provides treatment to a person in the facility for a serious deterioration in the health of the person; and the use of a reportable medical device has resulted in the serious deterioration in the health of the person.</w:t>
      </w:r>
    </w:p>
    <w:p w14:paraId="4E188AE9" w14:textId="198AB07D" w:rsidR="00F8029B" w:rsidRDefault="00172DFC" w:rsidP="00F8029B">
      <w:r>
        <w:t xml:space="preserve">Stage 3 will see the </w:t>
      </w:r>
      <w:r w:rsidR="00FB1DC3">
        <w:t xml:space="preserve">rollout of all possible events required for mandatory reporting (i.e., it will now include death, serious injury, near misses, and </w:t>
      </w:r>
      <w:r w:rsidR="00F66634">
        <w:t>instances where patients</w:t>
      </w:r>
      <w:r w:rsidR="00E01955">
        <w:t xml:space="preserve"> present </w:t>
      </w:r>
      <w:r w:rsidR="007F1F65">
        <w:t xml:space="preserve">outside the healthcare </w:t>
      </w:r>
      <w:r w:rsidR="00BA6EFE">
        <w:t>setting the original procedure was conducted</w:t>
      </w:r>
      <w:r w:rsidR="002F57FE">
        <w:t>).</w:t>
      </w:r>
      <w:r w:rsidR="00F66634">
        <w:t xml:space="preserve"> </w:t>
      </w:r>
      <w:r w:rsidR="0072722B">
        <w:t>T</w:t>
      </w:r>
      <w:r w:rsidR="002F57FE">
        <w:t xml:space="preserve">he </w:t>
      </w:r>
      <w:r w:rsidR="00A357E1">
        <w:t xml:space="preserve">enforcement of the </w:t>
      </w:r>
      <w:r w:rsidR="00993213">
        <w:t>3</w:t>
      </w:r>
      <w:r w:rsidR="00993213" w:rsidRPr="0060546D">
        <w:rPr>
          <w:vertAlign w:val="superscript"/>
        </w:rPr>
        <w:t>rd</w:t>
      </w:r>
      <w:r w:rsidR="00993213">
        <w:t xml:space="preserve"> Edition of NSQHS Standards</w:t>
      </w:r>
      <w:r w:rsidR="0072722B">
        <w:t xml:space="preserve"> </w:t>
      </w:r>
      <w:r w:rsidR="00A357E1">
        <w:t xml:space="preserve">is currently planned to occur in </w:t>
      </w:r>
      <w:r w:rsidR="00993213">
        <w:t>2030</w:t>
      </w:r>
      <w:r w:rsidR="00C30381">
        <w:t xml:space="preserve"> (i.e., from 2030 healthcare facilities will be accredited against the 3</w:t>
      </w:r>
      <w:r w:rsidR="00C30381" w:rsidRPr="00C30381">
        <w:rPr>
          <w:vertAlign w:val="superscript"/>
        </w:rPr>
        <w:t>rd</w:t>
      </w:r>
      <w:r w:rsidR="00C30381">
        <w:t xml:space="preserve"> edition of the NSQHS Standards)</w:t>
      </w:r>
      <w:r w:rsidR="00993213">
        <w:t>.</w:t>
      </w:r>
    </w:p>
    <w:p w14:paraId="11AA988D" w14:textId="4146A444" w:rsidR="000F1B41" w:rsidRDefault="000F1B41" w:rsidP="00F8029B">
      <w:pPr>
        <w:pStyle w:val="Heading5"/>
      </w:pPr>
      <w:r>
        <w:t>Implementation of new standards</w:t>
      </w:r>
    </w:p>
    <w:p w14:paraId="4849CA18" w14:textId="254F5179" w:rsidR="008E3975" w:rsidRDefault="008E3975" w:rsidP="008E3975">
      <w:r>
        <w:t>The Commission</w:t>
      </w:r>
      <w:r w:rsidR="00ED1FAD">
        <w:t xml:space="preserve"> </w:t>
      </w:r>
      <w:r>
        <w:t>develop</w:t>
      </w:r>
      <w:r w:rsidR="003101D1">
        <w:t>s</w:t>
      </w:r>
      <w:r>
        <w:t xml:space="preserve"> the </w:t>
      </w:r>
      <w:r w:rsidRPr="00906DA2">
        <w:t xml:space="preserve">NSQHS Standards in collaboration with the Australian Government, states and territories, private sector providers, clinical experts, patients and carers. The primary aims of </w:t>
      </w:r>
      <w:r>
        <w:t>the</w:t>
      </w:r>
      <w:r w:rsidRPr="00906DA2">
        <w:t xml:space="preserve"> </w:t>
      </w:r>
      <w:r>
        <w:t>standards</w:t>
      </w:r>
      <w:r w:rsidRPr="00906DA2">
        <w:t xml:space="preserve"> are to protect the public from harm and to improve the quality of health </w:t>
      </w:r>
      <w:r w:rsidRPr="00426C44">
        <w:t xml:space="preserve">service provision. Implementation is mandated in all Australian hospitals, day procedure services and public dental </w:t>
      </w:r>
      <w:r>
        <w:t>hospitals. They</w:t>
      </w:r>
      <w:r w:rsidRPr="00E50995">
        <w:t xml:space="preserve"> provide a quality assurance mechanism that tests whether relevant systems are in place to ensure that </w:t>
      </w:r>
      <w:r>
        <w:t xml:space="preserve">the </w:t>
      </w:r>
      <w:r w:rsidRPr="00E50995">
        <w:t>expected standards of safety and quality are met.</w:t>
      </w:r>
      <w:r>
        <w:t xml:space="preserve"> There are currently eight standards, as detailed in the figure below.</w:t>
      </w:r>
    </w:p>
    <w:p w14:paraId="51DADA54" w14:textId="488DDDA0" w:rsidR="008E3975" w:rsidRDefault="008E3975" w:rsidP="008E3975">
      <w:pPr>
        <w:pStyle w:val="Caption"/>
        <w:rPr>
          <w:rStyle w:val="Hyperlink"/>
          <w:sz w:val="16"/>
          <w:szCs w:val="16"/>
        </w:rPr>
      </w:pPr>
      <w:r w:rsidRPr="003459D6">
        <w:rPr>
          <w:i w:val="0"/>
          <w:noProof/>
          <w:lang w:eastAsia="en-AU"/>
        </w:rPr>
        <w:drawing>
          <wp:anchor distT="0" distB="0" distL="114300" distR="114300" simplePos="0" relativeHeight="251641344" behindDoc="0" locked="0" layoutInCell="1" allowOverlap="1" wp14:anchorId="5E6EC61A" wp14:editId="64D567EF">
            <wp:simplePos x="0" y="0"/>
            <wp:positionH relativeFrom="margin">
              <wp:align>right</wp:align>
            </wp:positionH>
            <wp:positionV relativeFrom="paragraph">
              <wp:posOffset>227965</wp:posOffset>
            </wp:positionV>
            <wp:extent cx="5729605" cy="3493135"/>
            <wp:effectExtent l="0" t="0" r="4445" b="0"/>
            <wp:wrapTopAndBottom/>
            <wp:docPr id="715787368" name="Picture 1" descr="A group of ic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091" name="Picture 1" descr="A group of icons on a white backgroun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29605" cy="349313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rsidR="00C65DDD">
        <w:t>1</w:t>
      </w:r>
      <w:r w:rsidR="00D346FC">
        <w:t>5</w:t>
      </w:r>
      <w:r>
        <w:t>. NSQHS Standards</w:t>
      </w:r>
      <w:r>
        <w:rPr>
          <w:rStyle w:val="FootnoteReference"/>
        </w:rPr>
        <w:footnoteReference w:id="87"/>
      </w:r>
    </w:p>
    <w:p w14:paraId="53F699A9" w14:textId="11E83494" w:rsidR="008E3975" w:rsidRDefault="008E3975" w:rsidP="008E3975">
      <w:r w:rsidRPr="0079175B">
        <w:t>Each standard does not operate in isolation but are applied in conjunction with the other standards. Of the eight listed standards, the ‘Clinical Governance Standard’ under the ‘Patient safety and quality systems’ criteria, already includes a requirement for health service organisations to have ‘organisation-wide incident management and investigation systems’. The listed elements for incident management systems are detailed in the figure below.</w:t>
      </w:r>
    </w:p>
    <w:p w14:paraId="49543A02" w14:textId="067E3540" w:rsidR="008E3975" w:rsidRDefault="00282691" w:rsidP="008E3975">
      <w:pPr>
        <w:pStyle w:val="Caption"/>
      </w:pPr>
      <w:r w:rsidRPr="000E5552">
        <w:rPr>
          <w:noProof/>
          <w:lang w:eastAsia="en-AU"/>
        </w:rPr>
        <w:drawing>
          <wp:anchor distT="0" distB="0" distL="114300" distR="114300" simplePos="0" relativeHeight="251642368" behindDoc="0" locked="0" layoutInCell="1" allowOverlap="1" wp14:anchorId="16AB38CB" wp14:editId="6A0123BF">
            <wp:simplePos x="0" y="0"/>
            <wp:positionH relativeFrom="column">
              <wp:posOffset>-72390</wp:posOffset>
            </wp:positionH>
            <wp:positionV relativeFrom="paragraph">
              <wp:posOffset>153035</wp:posOffset>
            </wp:positionV>
            <wp:extent cx="5596255" cy="2468245"/>
            <wp:effectExtent l="0" t="0" r="4445" b="8255"/>
            <wp:wrapSquare wrapText="bothSides"/>
            <wp:docPr id="906159534" name="Picture 9061595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9534" name="Picture 906159534" descr="A screenshot of a computer scree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96255" cy="2468245"/>
                    </a:xfrm>
                    <a:prstGeom prst="rect">
                      <a:avLst/>
                    </a:prstGeom>
                  </pic:spPr>
                </pic:pic>
              </a:graphicData>
            </a:graphic>
            <wp14:sizeRelH relativeFrom="page">
              <wp14:pctWidth>0</wp14:pctWidth>
            </wp14:sizeRelH>
            <wp14:sizeRelV relativeFrom="page">
              <wp14:pctHeight>0</wp14:pctHeight>
            </wp14:sizeRelV>
          </wp:anchor>
        </w:drawing>
      </w:r>
      <w:r w:rsidR="008E3975">
        <w:t xml:space="preserve">Figure </w:t>
      </w:r>
      <w:r w:rsidR="00D346FC">
        <w:t>16</w:t>
      </w:r>
      <w:r w:rsidR="008E3975">
        <w:t>. Standards requirements for incident management systems</w:t>
      </w:r>
      <w:r w:rsidR="008E3975">
        <w:rPr>
          <w:rStyle w:val="FootnoteReference"/>
        </w:rPr>
        <w:footnoteReference w:id="88"/>
      </w:r>
    </w:p>
    <w:p w14:paraId="2E3E9091" w14:textId="77777777" w:rsidR="00F97855" w:rsidRDefault="00F97855"/>
    <w:p w14:paraId="3F4227DB" w14:textId="4BA12272" w:rsidR="008E3975" w:rsidRDefault="008E3975" w:rsidP="008E3975">
      <w:r w:rsidRPr="0079175B">
        <w:t xml:space="preserve">The TGA notes that adverse event reporting requirements are already in place </w:t>
      </w:r>
      <w:r w:rsidR="00147BE0" w:rsidRPr="0079175B">
        <w:t xml:space="preserve">for </w:t>
      </w:r>
      <w:r w:rsidR="00147BE0">
        <w:t>medicines</w:t>
      </w:r>
      <w:r w:rsidR="00892F86">
        <w:t xml:space="preserve"> </w:t>
      </w:r>
      <w:r w:rsidRPr="0079175B">
        <w:t xml:space="preserve">(Medication Safety Standard) (Figure </w:t>
      </w:r>
      <w:r>
        <w:t>1</w:t>
      </w:r>
      <w:r w:rsidR="00D346FC">
        <w:t>7</w:t>
      </w:r>
      <w:r w:rsidRPr="0079175B">
        <w:t xml:space="preserve">) and blood and blood products (Blood Management Standard) (Figure </w:t>
      </w:r>
      <w:r>
        <w:t>1</w:t>
      </w:r>
      <w:r w:rsidR="00D346FC">
        <w:t>8</w:t>
      </w:r>
      <w:r w:rsidRPr="0079175B">
        <w:t xml:space="preserve">). Similar phrasing to Action 4.09 referencing TGA requirements should be sufficient to embed mandatory reporting on medical devices adverse events (utilising the already mandated incident management systems) into the NSQHS Standards while allowing the TGA to provide, and modify, specific requirements via the </w:t>
      </w:r>
      <w:r w:rsidRPr="006230C3">
        <w:rPr>
          <w:i/>
          <w:iCs/>
        </w:rPr>
        <w:t>T</w:t>
      </w:r>
      <w:r w:rsidR="00DB4B5A" w:rsidRPr="006230C3">
        <w:rPr>
          <w:i/>
          <w:iCs/>
        </w:rPr>
        <w:t xml:space="preserve">herapeutic </w:t>
      </w:r>
      <w:r w:rsidR="001C6898" w:rsidRPr="006230C3">
        <w:rPr>
          <w:i/>
          <w:iCs/>
        </w:rPr>
        <w:t>Goods</w:t>
      </w:r>
      <w:r w:rsidR="001C6898">
        <w:rPr>
          <w:i/>
          <w:iCs/>
        </w:rPr>
        <w:t xml:space="preserve"> </w:t>
      </w:r>
      <w:r w:rsidR="001C6898" w:rsidRPr="006230C3">
        <w:rPr>
          <w:i/>
          <w:iCs/>
        </w:rPr>
        <w:t>(Medical</w:t>
      </w:r>
      <w:r w:rsidR="00DB4B5A" w:rsidRPr="006230C3">
        <w:rPr>
          <w:i/>
          <w:iCs/>
        </w:rPr>
        <w:t xml:space="preserve"> Devices)</w:t>
      </w:r>
      <w:r w:rsidR="001C6898">
        <w:rPr>
          <w:i/>
          <w:iCs/>
        </w:rPr>
        <w:t xml:space="preserve"> </w:t>
      </w:r>
      <w:r w:rsidRPr="006230C3">
        <w:rPr>
          <w:i/>
          <w:iCs/>
        </w:rPr>
        <w:t>Regulations</w:t>
      </w:r>
      <w:r w:rsidR="006230C3" w:rsidRPr="006230C3">
        <w:rPr>
          <w:i/>
          <w:iCs/>
        </w:rPr>
        <w:t xml:space="preserve"> 2002</w:t>
      </w:r>
      <w:r w:rsidRPr="0079175B">
        <w:t xml:space="preserve">. </w:t>
      </w:r>
      <w:r w:rsidR="009010DA">
        <w:br/>
      </w:r>
    </w:p>
    <w:p w14:paraId="316F7DA8" w14:textId="3BBE6A09" w:rsidR="00267B30" w:rsidRDefault="00267B30" w:rsidP="00F97855">
      <w:pPr>
        <w:pStyle w:val="Caption"/>
      </w:pPr>
      <w:r>
        <w:rPr>
          <w:noProof/>
          <w:lang w:eastAsia="en-AU"/>
        </w:rPr>
        <mc:AlternateContent>
          <mc:Choice Requires="wpg">
            <w:drawing>
              <wp:anchor distT="0" distB="0" distL="114300" distR="114300" simplePos="0" relativeHeight="251644416" behindDoc="0" locked="0" layoutInCell="1" allowOverlap="1" wp14:anchorId="3B20E51C" wp14:editId="370E32A3">
                <wp:simplePos x="0" y="0"/>
                <wp:positionH relativeFrom="margin">
                  <wp:align>left</wp:align>
                </wp:positionH>
                <wp:positionV relativeFrom="paragraph">
                  <wp:posOffset>364490</wp:posOffset>
                </wp:positionV>
                <wp:extent cx="4200525" cy="2863850"/>
                <wp:effectExtent l="0" t="0" r="9525" b="0"/>
                <wp:wrapTopAndBottom/>
                <wp:docPr id="932012424" name="Group 4"/>
                <wp:cNvGraphicFramePr/>
                <a:graphic xmlns:a="http://schemas.openxmlformats.org/drawingml/2006/main">
                  <a:graphicData uri="http://schemas.microsoft.com/office/word/2010/wordprocessingGroup">
                    <wpg:wgp>
                      <wpg:cNvGrpSpPr/>
                      <wpg:grpSpPr>
                        <a:xfrm>
                          <a:off x="0" y="0"/>
                          <a:ext cx="4201064" cy="2863970"/>
                          <a:chOff x="0" y="0"/>
                          <a:chExt cx="5066030" cy="3282315"/>
                        </a:xfrm>
                      </wpg:grpSpPr>
                      <pic:pic xmlns:pic="http://schemas.openxmlformats.org/drawingml/2006/picture">
                        <pic:nvPicPr>
                          <pic:cNvPr id="2105320415" name="Picture 1" descr="A screenshot of a medical information&#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66030" cy="3282315"/>
                          </a:xfrm>
                          <a:prstGeom prst="rect">
                            <a:avLst/>
                          </a:prstGeom>
                        </pic:spPr>
                      </pic:pic>
                      <wps:wsp>
                        <wps:cNvPr id="1105182709" name="Rectangle 2"/>
                        <wps:cNvSpPr/>
                        <wps:spPr>
                          <a:xfrm>
                            <a:off x="19050" y="1876425"/>
                            <a:ext cx="4848225" cy="129705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E47015" id="Group 4" o:spid="_x0000_s1026" style="position:absolute;margin-left:0;margin-top:28.7pt;width:330.75pt;height:225.5pt;z-index:251644416;mso-position-horizontal:left;mso-position-horizontal-relative:margin;mso-width-relative:margin;mso-height-relative:margin" coordsize="50660,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medical information&#10;&#10;Description automatically generated" style="position:absolute;width:50660;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">
                  <v:imagedata r:id="rId44" o:title="A screenshot of a medical information&#10;&#10;Description automatically generated"/>
                </v:shape>
                <v:rect id="Rectangle 2" o:spid="_x0000_s1028" style="position:absolute;left:190;top:18764;width:48482;height:1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" filled="f" strokecolor="red" strokeweight="3pt"/>
                <w10:wrap type="topAndBottom" anchorx="margin"/>
              </v:group>
            </w:pict>
          </mc:Fallback>
        </mc:AlternateContent>
      </w:r>
      <w:r w:rsidR="00A04F9F">
        <w:t>Figure 1</w:t>
      </w:r>
      <w:r w:rsidR="00D346FC">
        <w:t>7</w:t>
      </w:r>
      <w:r w:rsidR="00A04F9F">
        <w:t xml:space="preserve">. Requirement to report adverse </w:t>
      </w:r>
      <w:r w:rsidR="00D92ACE">
        <w:t>drug reactions</w:t>
      </w:r>
    </w:p>
    <w:p w14:paraId="05AA4F0F" w14:textId="77777777" w:rsidR="003C034A" w:rsidRDefault="003C034A" w:rsidP="00F97855">
      <w:pPr>
        <w:pStyle w:val="Caption"/>
      </w:pPr>
    </w:p>
    <w:p w14:paraId="549C3EEE" w14:textId="12F6BAE2" w:rsidR="00F97855" w:rsidRDefault="00E81C55" w:rsidP="00F97855">
      <w:pPr>
        <w:pStyle w:val="Caption"/>
      </w:pPr>
      <w:r>
        <w:rPr>
          <w:noProof/>
          <w:lang w:eastAsia="en-AU"/>
        </w:rPr>
        <mc:AlternateContent>
          <mc:Choice Requires="wps">
            <w:drawing>
              <wp:anchor distT="45720" distB="45720" distL="114300" distR="114300" simplePos="0" relativeHeight="251698688" behindDoc="0" locked="0" layoutInCell="1" allowOverlap="1" wp14:anchorId="5110C8C6" wp14:editId="0556B888">
                <wp:simplePos x="0" y="0"/>
                <wp:positionH relativeFrom="column">
                  <wp:posOffset>-34507</wp:posOffset>
                </wp:positionH>
                <wp:positionV relativeFrom="paragraph">
                  <wp:posOffset>177788</wp:posOffset>
                </wp:positionV>
                <wp:extent cx="5175849" cy="3096883"/>
                <wp:effectExtent l="0" t="0" r="6350" b="8890"/>
                <wp:wrapSquare wrapText="bothSides"/>
                <wp:docPr id="1494856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49" cy="3096883"/>
                        </a:xfrm>
                        <a:prstGeom prst="rect">
                          <a:avLst/>
                        </a:prstGeom>
                        <a:solidFill>
                          <a:srgbClr val="FFFFFF"/>
                        </a:solidFill>
                        <a:ln w="9525">
                          <a:noFill/>
                          <a:miter lim="800000"/>
                          <a:headEnd/>
                          <a:tailEnd/>
                        </a:ln>
                      </wps:spPr>
                      <wps:txbx>
                        <w:txbxContent>
                          <w:p w14:paraId="70E30F0A" w14:textId="270D6D5B" w:rsidR="00E81C55" w:rsidRDefault="00C37EC7">
                            <w:r w:rsidRPr="00C37EC7">
                              <w:rPr>
                                <w:noProof/>
                                <w:lang w:eastAsia="en-AU"/>
                              </w:rPr>
                              <w:drawing>
                                <wp:inline distT="0" distB="0" distL="0" distR="0" wp14:anchorId="50DCA94A" wp14:editId="6A5A497F">
                                  <wp:extent cx="4183811" cy="3013162"/>
                                  <wp:effectExtent l="0" t="0" r="7620" b="0"/>
                                  <wp:docPr id="213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1137" cy="3040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0C8C6" id="_x0000_s1044" type="#_x0000_t202" style="position:absolute;margin-left:-2.7pt;margin-top:14pt;width:407.55pt;height:243.8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" stroked="f">
                <v:textbox>
                  <w:txbxContent>
                    <w:p w14:paraId="70E30F0A" w14:textId="270D6D5B" w:rsidR="00E81C55" w:rsidRDefault="00C37EC7">
                      <w:r w:rsidRPr="00C37EC7">
                        <w:rPr>
                          <w:noProof/>
                          <w:lang w:eastAsia="en-AU"/>
                        </w:rPr>
                        <w:drawing>
                          <wp:inline distT="0" distB="0" distL="0" distR="0" wp14:anchorId="50DCA94A" wp14:editId="6A5A497F">
                            <wp:extent cx="4183811" cy="3013162"/>
                            <wp:effectExtent l="0" t="0" r="7620" b="0"/>
                            <wp:docPr id="213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1137" cy="3040044"/>
                                    </a:xfrm>
                                    <a:prstGeom prst="rect">
                                      <a:avLst/>
                                    </a:prstGeom>
                                    <a:noFill/>
                                    <a:ln>
                                      <a:noFill/>
                                    </a:ln>
                                  </pic:spPr>
                                </pic:pic>
                              </a:graphicData>
                            </a:graphic>
                          </wp:inline>
                        </w:drawing>
                      </w:r>
                    </w:p>
                  </w:txbxContent>
                </v:textbox>
                <w10:wrap type="square"/>
              </v:shape>
            </w:pict>
          </mc:Fallback>
        </mc:AlternateContent>
      </w:r>
      <w:r w:rsidR="00F97855">
        <w:t>Figure 1</w:t>
      </w:r>
      <w:r w:rsidR="00D346FC">
        <w:t>8</w:t>
      </w:r>
      <w:r w:rsidR="00F97855">
        <w:t>. Requirement to report blood and blood product transfusion-related adverse events</w:t>
      </w:r>
      <w:r w:rsidR="00F97855" w:rsidRPr="005B1DDE">
        <w:rPr>
          <w:vertAlign w:val="superscript"/>
        </w:rPr>
        <w:footnoteReference w:id="89"/>
      </w:r>
      <w:r w:rsidR="00763DC6">
        <w:br/>
      </w:r>
    </w:p>
    <w:p w14:paraId="34A108BA" w14:textId="11C1DD78" w:rsidR="00267B30" w:rsidRDefault="00267B30" w:rsidP="0017317E">
      <w:pPr>
        <w:pStyle w:val="Heading5"/>
      </w:pPr>
    </w:p>
    <w:p w14:paraId="7B88ABE2" w14:textId="4888BD99" w:rsidR="003C034A" w:rsidRDefault="003C034A">
      <w:pPr>
        <w:rPr>
          <w:rFonts w:eastAsia="Times New Roman" w:cs="Times New Roman"/>
          <w:b/>
          <w:bCs/>
          <w:i/>
          <w:color w:val="001871"/>
          <w:sz w:val="26"/>
          <w:szCs w:val="26"/>
        </w:rPr>
      </w:pPr>
      <w:r>
        <w:br w:type="page"/>
      </w:r>
    </w:p>
    <w:p w14:paraId="6D56C710" w14:textId="6E25E48B" w:rsidR="0017317E" w:rsidRDefault="0017317E" w:rsidP="0017317E">
      <w:pPr>
        <w:pStyle w:val="Heading5"/>
      </w:pPr>
      <w:r>
        <w:t xml:space="preserve">Risk Management </w:t>
      </w:r>
    </w:p>
    <w:p w14:paraId="23D75016" w14:textId="5A3AE1D7" w:rsidR="0031396A" w:rsidRDefault="00C15E52" w:rsidP="0031396A">
      <w:r>
        <w:t xml:space="preserve">The effectiveness of risk management is dependent on the TGA’s </w:t>
      </w:r>
      <w:r w:rsidR="00FD03E6">
        <w:t xml:space="preserve">commitment to </w:t>
      </w:r>
      <w:r w:rsidR="003B612C">
        <w:t>effectively communicate</w:t>
      </w:r>
      <w:r w:rsidR="0030155D">
        <w:t xml:space="preserve"> </w:t>
      </w:r>
      <w:r w:rsidR="00282863">
        <w:t>reporting requirement</w:t>
      </w:r>
      <w:r w:rsidR="0080524D">
        <w:t>s</w:t>
      </w:r>
      <w:r w:rsidR="00282863">
        <w:t xml:space="preserve"> </w:t>
      </w:r>
      <w:r w:rsidR="0080524D">
        <w:t>throughout implementation of the new regulat</w:t>
      </w:r>
      <w:r w:rsidR="00E05FBF">
        <w:t>ions</w:t>
      </w:r>
      <w:r w:rsidR="0080524D">
        <w:t xml:space="preserve">. </w:t>
      </w:r>
      <w:r w:rsidR="00F0375C">
        <w:t>I</w:t>
      </w:r>
      <w:r w:rsidR="00187948">
        <w:t>dentified</w:t>
      </w:r>
      <w:r w:rsidR="005E6120">
        <w:t xml:space="preserve"> risks </w:t>
      </w:r>
      <w:r w:rsidR="00D5769B">
        <w:t>must</w:t>
      </w:r>
      <w:r w:rsidR="005E6120">
        <w:t xml:space="preserve"> </w:t>
      </w:r>
      <w:r w:rsidR="00C56EB9">
        <w:t xml:space="preserve">be regularly addressed </w:t>
      </w:r>
      <w:r w:rsidR="00276118">
        <w:t xml:space="preserve">and resolved </w:t>
      </w:r>
      <w:r w:rsidR="002B3495">
        <w:t xml:space="preserve">to ensure </w:t>
      </w:r>
      <w:r w:rsidR="00276118">
        <w:t xml:space="preserve">public and private hospitals </w:t>
      </w:r>
      <w:r w:rsidR="002B3495">
        <w:t>are</w:t>
      </w:r>
      <w:r w:rsidR="00276118">
        <w:t xml:space="preserve"> </w:t>
      </w:r>
      <w:r w:rsidR="0031264D">
        <w:t xml:space="preserve">well-equipped to report medical device adverse events. </w:t>
      </w:r>
    </w:p>
    <w:p w14:paraId="61A8CD32" w14:textId="0D449F1D" w:rsidR="0031264D" w:rsidRPr="0031396A" w:rsidRDefault="0092527D" w:rsidP="0031396A">
      <w:r>
        <w:t>Key risk</w:t>
      </w:r>
      <w:r w:rsidR="00C73D6E">
        <w:t>s</w:t>
      </w:r>
      <w:r>
        <w:t xml:space="preserve"> associated with the </w:t>
      </w:r>
      <w:r w:rsidR="00A571E8">
        <w:t>implementation of new regulations:</w:t>
      </w:r>
    </w:p>
    <w:p w14:paraId="3AA1E755" w14:textId="7A8F21D6" w:rsidR="00924341" w:rsidRDefault="00BC4F7C" w:rsidP="00924341">
      <w:pPr>
        <w:pStyle w:val="Bullet1"/>
      </w:pPr>
      <w:r>
        <w:t xml:space="preserve">Stakeholders are resistant to change </w:t>
      </w:r>
    </w:p>
    <w:p w14:paraId="51BF56ED" w14:textId="157DB81F" w:rsidR="00BC4F7C" w:rsidRDefault="00BC4F7C" w:rsidP="00924341">
      <w:pPr>
        <w:pStyle w:val="Bullet1"/>
      </w:pPr>
      <w:r>
        <w:t xml:space="preserve">Stakeholders are unaware of the </w:t>
      </w:r>
      <w:r w:rsidR="00327F3D">
        <w:t xml:space="preserve">reporting requirements </w:t>
      </w:r>
      <w:r w:rsidR="00E467D2">
        <w:t>in line</w:t>
      </w:r>
      <w:r w:rsidR="00D869AE">
        <w:t xml:space="preserve"> with</w:t>
      </w:r>
      <w:r w:rsidR="00327F3D">
        <w:t xml:space="preserve"> the new regulations </w:t>
      </w:r>
    </w:p>
    <w:p w14:paraId="688A70F6" w14:textId="1D946787" w:rsidR="00327F3D" w:rsidRDefault="00050D44" w:rsidP="00924341">
      <w:pPr>
        <w:pStyle w:val="Bullet1"/>
      </w:pPr>
      <w:r>
        <w:t>Incident management process</w:t>
      </w:r>
      <w:r w:rsidR="00B23E89">
        <w:t>es</w:t>
      </w:r>
      <w:r>
        <w:t xml:space="preserve"> are not accredited </w:t>
      </w:r>
      <w:r w:rsidR="0046044D">
        <w:t>according to</w:t>
      </w:r>
      <w:r>
        <w:t xml:space="preserve"> the </w:t>
      </w:r>
      <w:r w:rsidR="0046044D">
        <w:t>relevant</w:t>
      </w:r>
      <w:r w:rsidR="00E879C9">
        <w:t xml:space="preserve"> edition of the NSQHS Standards </w:t>
      </w:r>
    </w:p>
    <w:p w14:paraId="6A7A1ED1" w14:textId="77777777" w:rsidR="00770F35" w:rsidRDefault="00DB5006" w:rsidP="00924341">
      <w:pPr>
        <w:pStyle w:val="Bullet1"/>
      </w:pPr>
      <w:r>
        <w:t xml:space="preserve">Duplicate reporting, flagged as an implementation risk, could also serve as a mechanism for cross-verification to ensure both sponsors/manufacturers and health care facilities are capturing the same types of adverse events effectively. </w:t>
      </w:r>
    </w:p>
    <w:p w14:paraId="1A48D76F" w14:textId="77777777" w:rsidR="00770F35" w:rsidRDefault="00770F35" w:rsidP="00770F35">
      <w:pPr>
        <w:pStyle w:val="Bullet1"/>
      </w:pPr>
      <w:r>
        <w:t>The security and integrity of interfaces between incident management systems and other patient records, such as discharge summaries, pose a risk to healthcare facilities. This risk includes the potential for unauthorised access, breaches or mishandling of sensitive private data during the implementation of mandatory reporting requirements.</w:t>
      </w:r>
    </w:p>
    <w:p w14:paraId="29E0A8C9" w14:textId="6AC1C08C" w:rsidR="00E879C9" w:rsidRDefault="00555FBE" w:rsidP="00555FBE">
      <w:pPr>
        <w:pStyle w:val="Bullet1"/>
        <w:numPr>
          <w:ilvl w:val="0"/>
          <w:numId w:val="0"/>
        </w:numPr>
      </w:pPr>
      <w:r>
        <w:t xml:space="preserve">Mitigation strategies include: </w:t>
      </w:r>
    </w:p>
    <w:p w14:paraId="1BC8E62C" w14:textId="1F7AEC45" w:rsidR="00555FBE" w:rsidRDefault="00A55672" w:rsidP="00555FBE">
      <w:pPr>
        <w:pStyle w:val="Bullet1"/>
      </w:pPr>
      <w:r>
        <w:t xml:space="preserve">Implementation of the ADKAR </w:t>
      </w:r>
      <w:r w:rsidR="00AF1C24">
        <w:t>(</w:t>
      </w:r>
      <w:r w:rsidR="008D780D">
        <w:t xml:space="preserve">an acronym for the five outcomes an individual needs to achieve for a change program to be successful - </w:t>
      </w:r>
      <w:r w:rsidR="00AF1C24">
        <w:t xml:space="preserve">Awareness, Desire, Knowledge, Ability and Reinforcement) </w:t>
      </w:r>
      <w:r>
        <w:t>approach to change management to prepare stakeholders</w:t>
      </w:r>
    </w:p>
    <w:p w14:paraId="51CCCAAF" w14:textId="08F8E411" w:rsidR="00552655" w:rsidRDefault="00552655" w:rsidP="002E0897">
      <w:pPr>
        <w:pStyle w:val="Bullet1"/>
        <w:numPr>
          <w:ilvl w:val="0"/>
          <w:numId w:val="49"/>
        </w:numPr>
      </w:pPr>
      <w:r w:rsidRPr="00552655">
        <w:t>Conduct information sessions, develop guidance documents and use tailored communication strategies</w:t>
      </w:r>
    </w:p>
    <w:p w14:paraId="690CB856" w14:textId="33AD96D1" w:rsidR="00552655" w:rsidRDefault="00552655" w:rsidP="002E0897">
      <w:pPr>
        <w:pStyle w:val="Bullet1"/>
        <w:numPr>
          <w:ilvl w:val="0"/>
          <w:numId w:val="49"/>
        </w:numPr>
      </w:pPr>
      <w:r w:rsidRPr="00167CDC">
        <w:t>Engage early, showcase the benefits of reporting and continuous communication</w:t>
      </w:r>
      <w:r>
        <w:t xml:space="preserve"> with stakeholders</w:t>
      </w:r>
    </w:p>
    <w:p w14:paraId="2FC3A4EA" w14:textId="20204565" w:rsidR="00552655" w:rsidRDefault="00552655" w:rsidP="002E0897">
      <w:pPr>
        <w:pStyle w:val="Bullet1"/>
        <w:numPr>
          <w:ilvl w:val="0"/>
          <w:numId w:val="49"/>
        </w:numPr>
      </w:pPr>
      <w:r w:rsidRPr="00167CDC">
        <w:t>Provide guidance material, helpdesk or email support</w:t>
      </w:r>
    </w:p>
    <w:p w14:paraId="38790015" w14:textId="404B01F8" w:rsidR="00552655" w:rsidRDefault="00552655" w:rsidP="002E0897">
      <w:pPr>
        <w:pStyle w:val="Bullet1"/>
        <w:numPr>
          <w:ilvl w:val="0"/>
          <w:numId w:val="49"/>
        </w:numPr>
      </w:pPr>
      <w:r w:rsidRPr="00167CDC">
        <w:t>12-month transition period and staged implementation to allow stakeholders adapt to the new</w:t>
      </w:r>
      <w:r>
        <w:t xml:space="preserve"> </w:t>
      </w:r>
      <w:r w:rsidRPr="00167CDC">
        <w:t>requirements and provide 2-way feedback to address gaps in understanding or execution</w:t>
      </w:r>
    </w:p>
    <w:p w14:paraId="77A97918" w14:textId="6C7AADB9" w:rsidR="00552655" w:rsidRDefault="00552655" w:rsidP="002E0897">
      <w:pPr>
        <w:pStyle w:val="Bullet1"/>
        <w:numPr>
          <w:ilvl w:val="0"/>
          <w:numId w:val="49"/>
        </w:numPr>
      </w:pPr>
      <w:r w:rsidRPr="00167CDC">
        <w:t>Establish ongoing monitoring and evaluation mechanisms to track progress and compliance</w:t>
      </w:r>
    </w:p>
    <w:p w14:paraId="7761ACC8" w14:textId="694C852B" w:rsidR="004548BF" w:rsidRDefault="00A55672" w:rsidP="003F7BD2">
      <w:pPr>
        <w:pStyle w:val="Bullet1"/>
      </w:pPr>
      <w:r>
        <w:t xml:space="preserve">Early </w:t>
      </w:r>
      <w:r w:rsidR="00A81A3A">
        <w:t xml:space="preserve">notification </w:t>
      </w:r>
      <w:r>
        <w:t xml:space="preserve">of changes to reporting requirements </w:t>
      </w:r>
      <w:r w:rsidR="00B42121">
        <w:t>throughout implementation</w:t>
      </w:r>
      <w:r w:rsidR="003F7BD2">
        <w:t xml:space="preserve">. Establishing precise timeframes for notifications poses challenges due to the iterative nature of the process. To mitigate this risk, detailed communication plan will be developed to provide clear and consistent updates, including specific requirements for each stage. Stakeholders will be also engaged proactively through steering committee and technical working group meetings to address concerns and clarify expectations. </w:t>
      </w:r>
    </w:p>
    <w:p w14:paraId="6E349866" w14:textId="77777777" w:rsidR="0034201C" w:rsidRDefault="00D960E8" w:rsidP="0034201C">
      <w:pPr>
        <w:pStyle w:val="Bullet1"/>
      </w:pPr>
      <w:r>
        <w:t>Early notification of requirements n</w:t>
      </w:r>
      <w:r w:rsidR="0032261E">
        <w:t xml:space="preserve">eeded to be accredited </w:t>
      </w:r>
      <w:r w:rsidR="000332A9">
        <w:t xml:space="preserve">by the appropriate </w:t>
      </w:r>
      <w:r w:rsidR="003E4205">
        <w:t>edition of the NSQHS Standards</w:t>
      </w:r>
      <w:r w:rsidR="000F3918">
        <w:t>.</w:t>
      </w:r>
    </w:p>
    <w:p w14:paraId="34A168B7" w14:textId="5DE42A8C" w:rsidR="0034201C" w:rsidRDefault="0034201C" w:rsidP="0034201C">
      <w:pPr>
        <w:pStyle w:val="Bullet1"/>
      </w:pPr>
      <w:r>
        <w:t>Implementation of robust data matching and reconciliation tools to identify and manage duplicate reports across different sources.</w:t>
      </w:r>
    </w:p>
    <w:p w14:paraId="01A99B5E" w14:textId="17A269CB" w:rsidR="003F7BD2" w:rsidRDefault="003F7BD2" w:rsidP="003F7BD2">
      <w:pPr>
        <w:pStyle w:val="Bullet1"/>
      </w:pPr>
      <w:r>
        <w:t>Ensure that de-identified data is collected by the TGA for reporting purposes, minimising the exposure of sensitive private data and healthcare facilities implement robust deidentification processes and maintain compliance with relevant privacy legislation in the respective jurisdictions.</w:t>
      </w:r>
    </w:p>
    <w:p w14:paraId="3734198B" w14:textId="77777777" w:rsidR="003F7BD2" w:rsidRDefault="003F7BD2" w:rsidP="003F7BD2">
      <w:pPr>
        <w:pStyle w:val="Bullet1"/>
        <w:numPr>
          <w:ilvl w:val="0"/>
          <w:numId w:val="0"/>
        </w:numPr>
        <w:ind w:left="360"/>
      </w:pPr>
    </w:p>
    <w:p w14:paraId="279504FF" w14:textId="255635FB" w:rsidR="000E14D9" w:rsidRPr="00B94193" w:rsidRDefault="000E14D9" w:rsidP="001B34CA">
      <w:pPr>
        <w:pStyle w:val="Bullet1"/>
        <w:numPr>
          <w:ilvl w:val="0"/>
          <w:numId w:val="0"/>
        </w:numPr>
        <w:ind w:left="360" w:hanging="360"/>
      </w:pPr>
      <w:r>
        <w:br w:type="page"/>
      </w:r>
    </w:p>
    <w:p w14:paraId="0C99483C" w14:textId="21663E16" w:rsidR="00CE52F3" w:rsidRDefault="00C85B1F" w:rsidP="00C85B1F">
      <w:pPr>
        <w:pStyle w:val="Heading2"/>
      </w:pPr>
      <w:bookmarkStart w:id="185" w:name="_Toc179531332"/>
      <w:bookmarkStart w:id="186" w:name="_Toc188012883"/>
      <w:r>
        <w:rPr>
          <w:noProof/>
          <w:lang w:eastAsia="en-AU"/>
        </w:rPr>
        <mc:AlternateContent>
          <mc:Choice Requires="wps">
            <w:drawing>
              <wp:anchor distT="45720" distB="45720" distL="114300" distR="114300" simplePos="0" relativeHeight="251678208" behindDoc="0" locked="0" layoutInCell="1" allowOverlap="1" wp14:anchorId="233D0AB8" wp14:editId="5FEED622">
                <wp:simplePos x="0" y="0"/>
                <wp:positionH relativeFrom="margin">
                  <wp:posOffset>-83185</wp:posOffset>
                </wp:positionH>
                <wp:positionV relativeFrom="paragraph">
                  <wp:posOffset>937895</wp:posOffset>
                </wp:positionV>
                <wp:extent cx="5709285" cy="723900"/>
                <wp:effectExtent l="0" t="0" r="2476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723900"/>
                        </a:xfrm>
                        <a:prstGeom prst="rect">
                          <a:avLst/>
                        </a:prstGeom>
                        <a:solidFill>
                          <a:srgbClr val="FFFFFF"/>
                        </a:solidFill>
                        <a:ln w="9525">
                          <a:solidFill>
                            <a:srgbClr val="000000"/>
                          </a:solidFill>
                          <a:miter lim="800000"/>
                          <a:headEnd/>
                          <a:tailEnd/>
                        </a:ln>
                      </wps:spPr>
                      <wps:txbx>
                        <w:txbxContent>
                          <w:p w14:paraId="3B7D41C6" w14:textId="77777777" w:rsidR="008461AF" w:rsidRPr="006F5C98" w:rsidRDefault="008461AF" w:rsidP="006F5C98">
                            <w:pPr>
                              <w:shd w:val="clear" w:color="auto" w:fill="F2F2F2" w:themeFill="background1" w:themeFillShade="F2"/>
                              <w:rPr>
                                <w:rFonts w:cs="Arial"/>
                                <w:b/>
                                <w:bCs/>
                                <w:i/>
                                <w:iCs/>
                              </w:rPr>
                            </w:pPr>
                            <w:r w:rsidRPr="006F5C98">
                              <w:rPr>
                                <w:rFonts w:cs="Arial"/>
                                <w:b/>
                                <w:bCs/>
                                <w:i/>
                                <w:iCs/>
                              </w:rPr>
                              <w:t>Evaluation</w:t>
                            </w:r>
                          </w:p>
                          <w:p w14:paraId="22C2A180" w14:textId="4F512DDC" w:rsidR="008461AF" w:rsidRPr="00236512" w:rsidRDefault="008461AF" w:rsidP="006F5C98">
                            <w:pPr>
                              <w:shd w:val="clear" w:color="auto" w:fill="F2F2F2" w:themeFill="background1" w:themeFillShade="F2"/>
                              <w:rPr>
                                <w:rFonts w:cs="Arial"/>
                                <w:b/>
                                <w:bCs/>
                                <w:i/>
                                <w:iCs/>
                              </w:rPr>
                            </w:pPr>
                            <w:r w:rsidRPr="006F5C98">
                              <w:t xml:space="preserve">Should Option 3A be chosen, a monitoring and evaluation program will be established in line with the </w:t>
                            </w:r>
                            <w:r w:rsidRPr="006F5C98">
                              <w:rPr>
                                <w:i/>
                                <w:iCs/>
                              </w:rPr>
                              <w:t>Commonwealth Evaluation Policy</w:t>
                            </w:r>
                            <w:r w:rsidRPr="006F5C98">
                              <w:t>.</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D0AB8" id="_x0000_s1045" type="#_x0000_t202" style="position:absolute;margin-left:-6.55pt;margin-top:73.85pt;width:449.55pt;height:57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VlKAIAAE0EAAAOAAAAZHJzL2Uyb0RvYy54bWysVNuO0zAQfUfiHyy/06ShZZu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">
                <v:textbox>
                  <w:txbxContent>
                    <w:p w14:paraId="3B7D41C6" w14:textId="77777777" w:rsidR="008461AF" w:rsidRPr="006F5C98" w:rsidRDefault="008461AF" w:rsidP="006F5C98">
                      <w:pPr>
                        <w:shd w:val="clear" w:color="auto" w:fill="F2F2F2" w:themeFill="background1" w:themeFillShade="F2"/>
                        <w:rPr>
                          <w:rFonts w:cs="Arial"/>
                          <w:b/>
                          <w:bCs/>
                          <w:i/>
                          <w:iCs/>
                        </w:rPr>
                      </w:pPr>
                      <w:r w:rsidRPr="006F5C98">
                        <w:rPr>
                          <w:rFonts w:cs="Arial"/>
                          <w:b/>
                          <w:bCs/>
                          <w:i/>
                          <w:iCs/>
                        </w:rPr>
                        <w:t>Evaluation</w:t>
                      </w:r>
                    </w:p>
                    <w:p w14:paraId="22C2A180" w14:textId="4F512DDC" w:rsidR="008461AF" w:rsidRPr="00236512" w:rsidRDefault="008461AF" w:rsidP="006F5C98">
                      <w:pPr>
                        <w:shd w:val="clear" w:color="auto" w:fill="F2F2F2" w:themeFill="background1" w:themeFillShade="F2"/>
                        <w:rPr>
                          <w:rFonts w:cs="Arial"/>
                          <w:b/>
                          <w:bCs/>
                          <w:i/>
                          <w:iCs/>
                        </w:rPr>
                      </w:pPr>
                      <w:r w:rsidRPr="006F5C98">
                        <w:t xml:space="preserve">Should Option 3A be chosen, a monitoring and evaluation program will be established in line with the </w:t>
                      </w:r>
                      <w:r w:rsidRPr="006F5C98">
                        <w:rPr>
                          <w:i/>
                          <w:iCs/>
                        </w:rPr>
                        <w:t>Commonwealth Evaluation Policy</w:t>
                      </w:r>
                      <w:r w:rsidRPr="006F5C98">
                        <w:t>.</w:t>
                      </w:r>
                      <w:r>
                        <w:br/>
                      </w:r>
                      <w:r>
                        <w:br/>
                      </w:r>
                    </w:p>
                  </w:txbxContent>
                </v:textbox>
                <w10:wrap type="square" anchorx="margin"/>
              </v:shape>
            </w:pict>
          </mc:Fallback>
        </mc:AlternateContent>
      </w:r>
      <w:r w:rsidR="00CE52F3">
        <w:t xml:space="preserve">Question Seven: </w:t>
      </w:r>
      <w:r w:rsidR="000F1B41">
        <w:t>How will you evaluate your chosen option against the success metrics</w:t>
      </w:r>
      <w:r w:rsidR="00CE52F3">
        <w:t>?</w:t>
      </w:r>
      <w:bookmarkEnd w:id="182"/>
      <w:r w:rsidR="00CE52F3">
        <w:t xml:space="preserve"> </w:t>
      </w:r>
      <w:r>
        <w:br/>
      </w:r>
      <w:r>
        <w:br/>
      </w:r>
      <w:r>
        <w:br/>
      </w:r>
      <w:r w:rsidR="00032C72">
        <w:t>Evaluation</w:t>
      </w:r>
      <w:bookmarkEnd w:id="185"/>
      <w:bookmarkEnd w:id="186"/>
    </w:p>
    <w:p w14:paraId="10408629" w14:textId="10DF3CB0" w:rsidR="00E307F6" w:rsidRPr="00E307F6" w:rsidRDefault="00B9503F" w:rsidP="00E307F6">
      <w:r>
        <w:t xml:space="preserve">To ensure the chosen option is </w:t>
      </w:r>
      <w:r w:rsidR="007B6117">
        <w:t xml:space="preserve">effectively meeting the success metrics </w:t>
      </w:r>
      <w:r w:rsidR="002A15BD">
        <w:t xml:space="preserve">identified in Question 2, </w:t>
      </w:r>
      <w:r w:rsidR="009A4510">
        <w:t xml:space="preserve">ongoing evaluation of the implemented regulations </w:t>
      </w:r>
      <w:r w:rsidR="000B1E4F">
        <w:t xml:space="preserve">should be </w:t>
      </w:r>
      <w:r w:rsidR="00111CD5">
        <w:t>undertaken</w:t>
      </w:r>
      <w:r w:rsidR="000B1E4F">
        <w:t xml:space="preserve">. The following section outlines the proposed </w:t>
      </w:r>
      <w:r w:rsidR="00B04C2E">
        <w:t>timeframes, roles and approach taken to</w:t>
      </w:r>
      <w:r w:rsidR="001A1F4C">
        <w:t xml:space="preserve"> carry out an effective evaluation of the chosen policy option (Option 3A).</w:t>
      </w:r>
    </w:p>
    <w:p w14:paraId="2B78C5DC" w14:textId="70C01993" w:rsidR="008F7656" w:rsidRDefault="008F7656" w:rsidP="008F7656">
      <w:pPr>
        <w:pStyle w:val="Heading5"/>
      </w:pPr>
      <w:r>
        <w:t>Timeline</w:t>
      </w:r>
    </w:p>
    <w:p w14:paraId="73A571AF" w14:textId="2F2FE183" w:rsidR="00ED3CDA" w:rsidRDefault="006C590F" w:rsidP="008F7656">
      <w:r>
        <w:t>The proposed time</w:t>
      </w:r>
      <w:r w:rsidR="009956AF">
        <w:t>frames for undertaking the evaluation are in</w:t>
      </w:r>
      <w:r w:rsidR="00A23520">
        <w:t xml:space="preserve"> </w:t>
      </w:r>
      <w:r w:rsidR="009956AF">
        <w:t xml:space="preserve">line with key milestones for </w:t>
      </w:r>
      <w:r w:rsidR="00D168AD">
        <w:t>implementation</w:t>
      </w:r>
      <w:r w:rsidR="00ED3CDA">
        <w:t>:</w:t>
      </w:r>
      <w:r w:rsidR="00D168AD">
        <w:t xml:space="preserve"> </w:t>
      </w:r>
    </w:p>
    <w:p w14:paraId="2BB061E8" w14:textId="1A1BAA6B" w:rsidR="00A23520" w:rsidRDefault="004941E5" w:rsidP="00ED3CDA">
      <w:pPr>
        <w:pStyle w:val="Bullet1"/>
      </w:pPr>
      <w:r>
        <w:t>Stage 1</w:t>
      </w:r>
    </w:p>
    <w:p w14:paraId="3AA24022" w14:textId="300C667E" w:rsidR="00A23520" w:rsidRPr="00A23520" w:rsidRDefault="00A23520" w:rsidP="00422DE8">
      <w:pPr>
        <w:pStyle w:val="ListBullet2"/>
      </w:pPr>
      <w:r w:rsidRPr="00A23520">
        <w:rPr>
          <w:color w:val="auto"/>
        </w:rPr>
        <w:t>I</w:t>
      </w:r>
      <w:r w:rsidR="00A5212B">
        <w:rPr>
          <w:color w:val="auto"/>
        </w:rPr>
        <w:t>ntroduction</w:t>
      </w:r>
      <w:r w:rsidRPr="00A23520">
        <w:rPr>
          <w:color w:val="auto"/>
        </w:rPr>
        <w:t xml:space="preserve"> of the</w:t>
      </w:r>
      <w:r w:rsidR="00A5212B">
        <w:rPr>
          <w:color w:val="auto"/>
        </w:rPr>
        <w:t xml:space="preserve"> new</w:t>
      </w:r>
      <w:r w:rsidRPr="00A23520">
        <w:rPr>
          <w:color w:val="auto"/>
        </w:rPr>
        <w:t xml:space="preserve"> regulations</w:t>
      </w:r>
      <w:r w:rsidR="00A5212B">
        <w:rPr>
          <w:color w:val="auto"/>
        </w:rPr>
        <w:t xml:space="preserve"> and implementation</w:t>
      </w:r>
    </w:p>
    <w:p w14:paraId="5530AD54" w14:textId="58825E8F" w:rsidR="00ED3CDA" w:rsidRPr="00A23520" w:rsidRDefault="004941E5" w:rsidP="00ED3CDA">
      <w:pPr>
        <w:pStyle w:val="Bullet1"/>
      </w:pPr>
      <w:r>
        <w:t>Stage 2</w:t>
      </w:r>
      <w:r w:rsidR="00A23520" w:rsidRPr="00A23520">
        <w:t xml:space="preserve"> (evaluation 1)</w:t>
      </w:r>
    </w:p>
    <w:p w14:paraId="4776630E" w14:textId="4ACC5552" w:rsidR="00ED3CDA" w:rsidRPr="00422DE8" w:rsidRDefault="00ED3CDA" w:rsidP="00ED3CDA">
      <w:pPr>
        <w:pStyle w:val="ListBullet2"/>
        <w:rPr>
          <w:color w:val="auto"/>
        </w:rPr>
      </w:pPr>
      <w:r w:rsidRPr="00422DE8">
        <w:rPr>
          <w:color w:val="auto"/>
        </w:rPr>
        <w:t>2 years post-implementation of the regulations</w:t>
      </w:r>
      <w:r w:rsidR="00412457">
        <w:rPr>
          <w:color w:val="auto"/>
        </w:rPr>
        <w:t xml:space="preserve"> </w:t>
      </w:r>
    </w:p>
    <w:p w14:paraId="23C2ED60" w14:textId="383A8534" w:rsidR="00ED3CDA" w:rsidRPr="00422DE8" w:rsidRDefault="004941E5" w:rsidP="00ED3CDA">
      <w:pPr>
        <w:pStyle w:val="ListBullet2"/>
        <w:rPr>
          <w:color w:val="auto"/>
        </w:rPr>
      </w:pPr>
      <w:r>
        <w:rPr>
          <w:color w:val="auto"/>
        </w:rPr>
        <w:t>2027 -</w:t>
      </w:r>
      <w:r w:rsidR="00ED3CDA" w:rsidRPr="00422DE8">
        <w:rPr>
          <w:color w:val="auto"/>
        </w:rPr>
        <w:t xml:space="preserve"> release of the 3</w:t>
      </w:r>
      <w:r w:rsidR="00ED3CDA" w:rsidRPr="00422DE8">
        <w:rPr>
          <w:color w:val="auto"/>
          <w:vertAlign w:val="superscript"/>
        </w:rPr>
        <w:t>rd</w:t>
      </w:r>
      <w:r w:rsidR="00ED3CDA" w:rsidRPr="00422DE8">
        <w:rPr>
          <w:color w:val="auto"/>
        </w:rPr>
        <w:t xml:space="preserve"> edition of the NSQHS Standards</w:t>
      </w:r>
    </w:p>
    <w:p w14:paraId="081934D3" w14:textId="27D48CF3" w:rsidR="00ED3CDA" w:rsidRPr="00A23520" w:rsidRDefault="004941E5" w:rsidP="00ED3CDA">
      <w:pPr>
        <w:pStyle w:val="Bullet1"/>
      </w:pPr>
      <w:r>
        <w:t>Stage 3</w:t>
      </w:r>
      <w:r w:rsidR="00A23520" w:rsidRPr="00A23520">
        <w:t xml:space="preserve"> (evaluation 2)</w:t>
      </w:r>
    </w:p>
    <w:p w14:paraId="4A0C37ED" w14:textId="77777777" w:rsidR="00ED3CDA" w:rsidRPr="00422DE8" w:rsidRDefault="00ED3CDA" w:rsidP="00ED3CDA">
      <w:pPr>
        <w:pStyle w:val="ListBullet2"/>
        <w:rPr>
          <w:color w:val="auto"/>
        </w:rPr>
      </w:pPr>
      <w:r w:rsidRPr="00422DE8">
        <w:rPr>
          <w:color w:val="auto"/>
        </w:rPr>
        <w:t>5 years post-implementation of the regulations</w:t>
      </w:r>
    </w:p>
    <w:p w14:paraId="51CA5E8E" w14:textId="11596C1E" w:rsidR="00ED3CDA" w:rsidRPr="00422DE8" w:rsidRDefault="004941E5" w:rsidP="00ED3CDA">
      <w:pPr>
        <w:pStyle w:val="ListBullet2"/>
        <w:rPr>
          <w:color w:val="auto"/>
        </w:rPr>
      </w:pPr>
      <w:r>
        <w:rPr>
          <w:color w:val="auto"/>
        </w:rPr>
        <w:t xml:space="preserve">2030 - </w:t>
      </w:r>
      <w:r w:rsidR="00ED3CDA" w:rsidRPr="00422DE8">
        <w:rPr>
          <w:color w:val="auto"/>
        </w:rPr>
        <w:t>enforcement/accreditation against the 3</w:t>
      </w:r>
      <w:r w:rsidR="00ED3CDA" w:rsidRPr="00422DE8">
        <w:rPr>
          <w:color w:val="auto"/>
          <w:vertAlign w:val="superscript"/>
        </w:rPr>
        <w:t>rd</w:t>
      </w:r>
      <w:r w:rsidR="00ED3CDA" w:rsidRPr="00422DE8">
        <w:rPr>
          <w:color w:val="auto"/>
        </w:rPr>
        <w:t xml:space="preserve"> edition of the NSQHS Standards.</w:t>
      </w:r>
    </w:p>
    <w:p w14:paraId="2A2D5843" w14:textId="0EF47045" w:rsidR="008F7656" w:rsidRPr="008F7656" w:rsidRDefault="00D168AD" w:rsidP="008F7656">
      <w:r>
        <w:t xml:space="preserve">This </w:t>
      </w:r>
      <w:r w:rsidR="0022534A">
        <w:t xml:space="preserve">approach has been taken to ensure the lessons learnt throughout each stage of the implementation process are </w:t>
      </w:r>
      <w:r w:rsidR="00CC2DD7">
        <w:t>identified, communicated and addressed</w:t>
      </w:r>
      <w:r w:rsidR="00ED3CDA">
        <w:t xml:space="preserve">. </w:t>
      </w:r>
      <w:r w:rsidR="00DB7E41">
        <w:t>Each evaluation is estimated to take up to six-month</w:t>
      </w:r>
      <w:r w:rsidR="00680C43">
        <w:t>s</w:t>
      </w:r>
      <w:r w:rsidR="00DB7E41">
        <w:t xml:space="preserve"> to complete.</w:t>
      </w:r>
    </w:p>
    <w:p w14:paraId="7135F344" w14:textId="65FCD6F0" w:rsidR="006D37AF" w:rsidRDefault="006D37AF" w:rsidP="006D37AF">
      <w:pPr>
        <w:pStyle w:val="Heading5"/>
      </w:pPr>
      <w:r>
        <w:t>Roles and Responsibilities</w:t>
      </w:r>
    </w:p>
    <w:p w14:paraId="2C9C29A3" w14:textId="18B54F82" w:rsidR="00527473" w:rsidRPr="00022FA8" w:rsidRDefault="00527473" w:rsidP="00DB7E41">
      <w:pPr>
        <w:rPr>
          <w:b/>
        </w:rPr>
      </w:pPr>
      <w:r w:rsidRPr="00022FA8">
        <w:rPr>
          <w:b/>
        </w:rPr>
        <w:t>Evaluation Lead</w:t>
      </w:r>
    </w:p>
    <w:p w14:paraId="10E5B6F2" w14:textId="0F50BC83" w:rsidR="00527473" w:rsidRPr="00A23520" w:rsidRDefault="006835B3" w:rsidP="00CD4D7C">
      <w:pPr>
        <w:pStyle w:val="Bullet1"/>
      </w:pPr>
      <w:r w:rsidRPr="00A23520">
        <w:t>Service Provider - I</w:t>
      </w:r>
      <w:r w:rsidR="00CD4D7C" w:rsidRPr="00A23520">
        <w:t xml:space="preserve">ndependent </w:t>
      </w:r>
      <w:r w:rsidR="00036F8E" w:rsidRPr="00A23520">
        <w:t>third-party</w:t>
      </w:r>
      <w:r w:rsidR="009320BD" w:rsidRPr="00A23520">
        <w:t xml:space="preserve"> policy evaluation </w:t>
      </w:r>
      <w:r w:rsidRPr="00A23520">
        <w:t>specialist</w:t>
      </w:r>
      <w:r w:rsidR="00F61C76">
        <w:t xml:space="preserve"> (pending availability of </w:t>
      </w:r>
      <w:r w:rsidR="00F61C76" w:rsidRPr="00891693">
        <w:t>funding</w:t>
      </w:r>
      <w:r w:rsidR="00AD2004" w:rsidRPr="00891693">
        <w:t xml:space="preserve"> as no funding has been allocated to support the roll out of the scheme at this stage</w:t>
      </w:r>
      <w:r w:rsidR="00F61C76" w:rsidRPr="00891693">
        <w:t>)</w:t>
      </w:r>
      <w:r w:rsidR="00AB70FB" w:rsidRPr="00891693">
        <w:t>.</w:t>
      </w:r>
    </w:p>
    <w:p w14:paraId="63B6C8C9" w14:textId="142E5614" w:rsidR="005367CD" w:rsidRPr="00422DE8" w:rsidRDefault="00D25947" w:rsidP="005367CD">
      <w:pPr>
        <w:pStyle w:val="ListBullet2"/>
        <w:rPr>
          <w:color w:val="auto"/>
        </w:rPr>
      </w:pPr>
      <w:r>
        <w:rPr>
          <w:color w:val="auto"/>
        </w:rPr>
        <w:t>Funding will be sought at the time t</w:t>
      </w:r>
      <w:r w:rsidR="006835B3" w:rsidRPr="00422DE8">
        <w:rPr>
          <w:color w:val="auto"/>
        </w:rPr>
        <w:t>o engage</w:t>
      </w:r>
      <w:r>
        <w:rPr>
          <w:color w:val="auto"/>
        </w:rPr>
        <w:t xml:space="preserve"> with the service provider to </w:t>
      </w:r>
      <w:r w:rsidR="006835B3" w:rsidRPr="00422DE8">
        <w:rPr>
          <w:color w:val="auto"/>
        </w:rPr>
        <w:t xml:space="preserve">collect, analyse and interpret data and complete </w:t>
      </w:r>
      <w:r w:rsidR="0050733A" w:rsidRPr="00422DE8">
        <w:rPr>
          <w:color w:val="auto"/>
        </w:rPr>
        <w:t xml:space="preserve">either (or both) the </w:t>
      </w:r>
      <w:r w:rsidR="00F22577" w:rsidRPr="00422DE8">
        <w:rPr>
          <w:color w:val="auto"/>
        </w:rPr>
        <w:t>2-</w:t>
      </w:r>
      <w:r w:rsidR="00C32A65" w:rsidRPr="00422DE8">
        <w:rPr>
          <w:color w:val="auto"/>
        </w:rPr>
        <w:t>, or 5-year evaluation</w:t>
      </w:r>
      <w:r w:rsidR="00934D8C" w:rsidRPr="00422DE8">
        <w:rPr>
          <w:color w:val="auto"/>
        </w:rPr>
        <w:t>.</w:t>
      </w:r>
      <w:r>
        <w:rPr>
          <w:color w:val="auto"/>
        </w:rPr>
        <w:t xml:space="preserve"> If an independent third-party </w:t>
      </w:r>
      <w:r w:rsidRPr="00891693">
        <w:rPr>
          <w:color w:val="auto"/>
        </w:rPr>
        <w:t>policy evaluation specialist cannot be engaged, f</w:t>
      </w:r>
      <w:r w:rsidRPr="00D25947">
        <w:rPr>
          <w:color w:val="auto"/>
        </w:rPr>
        <w:t xml:space="preserve">unding </w:t>
      </w:r>
      <w:r>
        <w:rPr>
          <w:color w:val="auto"/>
        </w:rPr>
        <w:t xml:space="preserve">may also be </w:t>
      </w:r>
      <w:r w:rsidR="00306F18">
        <w:rPr>
          <w:color w:val="auto"/>
        </w:rPr>
        <w:t>sought</w:t>
      </w:r>
      <w:r>
        <w:rPr>
          <w:color w:val="auto"/>
        </w:rPr>
        <w:t xml:space="preserve"> through the Government’s Health Economics and Research Division (HERD).</w:t>
      </w:r>
      <w:r w:rsidR="005367CD" w:rsidRPr="005367CD">
        <w:rPr>
          <w:color w:val="auto"/>
        </w:rPr>
        <w:t xml:space="preserve"> </w:t>
      </w:r>
      <w:r w:rsidR="005367CD">
        <w:rPr>
          <w:color w:val="auto"/>
        </w:rPr>
        <w:t>If no funding is secured, the TGA will conduct in-house evaluation in consultation with the Evaluation Centre in HERD.</w:t>
      </w:r>
    </w:p>
    <w:p w14:paraId="748791FF" w14:textId="7641B8DF" w:rsidR="006835B3" w:rsidRPr="00422DE8" w:rsidRDefault="006835B3" w:rsidP="005367CD">
      <w:pPr>
        <w:pStyle w:val="ListBullet2"/>
        <w:numPr>
          <w:ilvl w:val="0"/>
          <w:numId w:val="0"/>
        </w:numPr>
        <w:ind w:left="360"/>
        <w:rPr>
          <w:color w:val="auto"/>
        </w:rPr>
      </w:pPr>
    </w:p>
    <w:p w14:paraId="6C74C881" w14:textId="36CB1470" w:rsidR="00527473" w:rsidRPr="00A23520" w:rsidRDefault="00527473" w:rsidP="00DB7E41">
      <w:pPr>
        <w:rPr>
          <w:b/>
        </w:rPr>
      </w:pPr>
      <w:r w:rsidRPr="00A23520">
        <w:rPr>
          <w:b/>
        </w:rPr>
        <w:t xml:space="preserve">Evaluation </w:t>
      </w:r>
      <w:r w:rsidR="009B43C8" w:rsidRPr="00A23520">
        <w:rPr>
          <w:b/>
          <w:bCs/>
        </w:rPr>
        <w:t>Support</w:t>
      </w:r>
    </w:p>
    <w:p w14:paraId="76B5F1A8" w14:textId="09B4039A" w:rsidR="00527473" w:rsidRPr="00A23520" w:rsidRDefault="009B43C8" w:rsidP="009B43C8">
      <w:pPr>
        <w:pStyle w:val="Bullet1"/>
      </w:pPr>
      <w:r w:rsidRPr="00A23520">
        <w:t>TGA</w:t>
      </w:r>
    </w:p>
    <w:p w14:paraId="0B024694" w14:textId="50A28CCC" w:rsidR="009B43C8" w:rsidRPr="00422DE8" w:rsidRDefault="006E25A5" w:rsidP="009B43C8">
      <w:pPr>
        <w:pStyle w:val="ListBullet2"/>
        <w:rPr>
          <w:color w:val="auto"/>
        </w:rPr>
      </w:pPr>
      <w:r w:rsidRPr="00422DE8">
        <w:rPr>
          <w:color w:val="auto"/>
        </w:rPr>
        <w:t xml:space="preserve">Personnel from </w:t>
      </w:r>
      <w:r w:rsidR="00392EA9" w:rsidRPr="00422DE8">
        <w:rPr>
          <w:color w:val="auto"/>
        </w:rPr>
        <w:t xml:space="preserve">the </w:t>
      </w:r>
      <w:r w:rsidR="00F61C76">
        <w:rPr>
          <w:color w:val="auto"/>
        </w:rPr>
        <w:t>relevant teams</w:t>
      </w:r>
      <w:r w:rsidR="009F0960">
        <w:rPr>
          <w:color w:val="auto"/>
        </w:rPr>
        <w:t xml:space="preserve"> </w:t>
      </w:r>
      <w:r w:rsidR="00F61C76">
        <w:rPr>
          <w:color w:val="auto"/>
        </w:rPr>
        <w:t xml:space="preserve">will </w:t>
      </w:r>
      <w:r w:rsidR="00306F4C" w:rsidRPr="00422DE8">
        <w:rPr>
          <w:color w:val="auto"/>
        </w:rPr>
        <w:t xml:space="preserve">provide ongoing support to the Evaluation Lead in the form of information exchange and </w:t>
      </w:r>
      <w:r w:rsidR="008063EE" w:rsidRPr="00422DE8">
        <w:rPr>
          <w:color w:val="auto"/>
        </w:rPr>
        <w:t>coordination of engagement with key stakeholders.</w:t>
      </w:r>
    </w:p>
    <w:p w14:paraId="7A1BC927" w14:textId="4F1C1A1E" w:rsidR="00527473" w:rsidRPr="00022FA8" w:rsidRDefault="00D77A3F" w:rsidP="00DB7E41">
      <w:pPr>
        <w:rPr>
          <w:b/>
        </w:rPr>
      </w:pPr>
      <w:r w:rsidRPr="00022FA8">
        <w:rPr>
          <w:b/>
        </w:rPr>
        <w:t>Subject Matter Experts</w:t>
      </w:r>
    </w:p>
    <w:p w14:paraId="593C820E" w14:textId="557517BA" w:rsidR="00022FA8" w:rsidRPr="006D37AF" w:rsidRDefault="00327A4C" w:rsidP="00DB7E41">
      <w:r>
        <w:t xml:space="preserve">Identified throughout the evaluation process, </w:t>
      </w:r>
      <w:r w:rsidR="00DD689C">
        <w:t xml:space="preserve">Subject Matter Experts </w:t>
      </w:r>
      <w:r w:rsidR="00980FD3">
        <w:t xml:space="preserve">(SMEs) </w:t>
      </w:r>
      <w:r w:rsidR="00DD689C">
        <w:t xml:space="preserve">should be engaged to provide specialist insights into the operation of the regulation in context (i.e., how is the regulation operating within the </w:t>
      </w:r>
      <w:r w:rsidR="00980FD3">
        <w:t>regulated community, and what outcomes is it achieving). SMEs</w:t>
      </w:r>
      <w:r w:rsidR="002F7CB6">
        <w:t xml:space="preserve"> could </w:t>
      </w:r>
      <w:r w:rsidR="00261336">
        <w:t>include, but is not limited to</w:t>
      </w:r>
      <w:r w:rsidR="002F7CB6">
        <w:t>:</w:t>
      </w:r>
    </w:p>
    <w:p w14:paraId="7DB4B449" w14:textId="5476F100" w:rsidR="002F7CB6" w:rsidRDefault="002F7CB6" w:rsidP="002F7CB6">
      <w:pPr>
        <w:pStyle w:val="Bullet1"/>
      </w:pPr>
      <w:r>
        <w:t>medical practitioners</w:t>
      </w:r>
      <w:r w:rsidR="009F0960">
        <w:t xml:space="preserve"> and surgeons</w:t>
      </w:r>
    </w:p>
    <w:p w14:paraId="21AE18C9" w14:textId="5F5456A9" w:rsidR="00277831" w:rsidRDefault="00277831" w:rsidP="002F7CB6">
      <w:pPr>
        <w:pStyle w:val="Bullet1"/>
      </w:pPr>
      <w:r>
        <w:t>private and day hospital</w:t>
      </w:r>
      <w:r w:rsidR="00707602">
        <w:t xml:space="preserve"> representatives</w:t>
      </w:r>
    </w:p>
    <w:p w14:paraId="11169351" w14:textId="019A6BD4" w:rsidR="002F7CB6" w:rsidRPr="006D37AF" w:rsidRDefault="00223551" w:rsidP="002F7CB6">
      <w:pPr>
        <w:pStyle w:val="Bullet1"/>
      </w:pPr>
      <w:r>
        <w:t>industry representatives</w:t>
      </w:r>
    </w:p>
    <w:p w14:paraId="2E98F453" w14:textId="65DABAC7" w:rsidR="00223551" w:rsidRPr="006D37AF" w:rsidRDefault="00261336" w:rsidP="002F7CB6">
      <w:pPr>
        <w:pStyle w:val="Bullet1"/>
      </w:pPr>
      <w:r>
        <w:t>jurisdictional department representatives</w:t>
      </w:r>
    </w:p>
    <w:p w14:paraId="0D641F45" w14:textId="3C0DB1D4" w:rsidR="00261336" w:rsidRPr="006D37AF" w:rsidRDefault="00261336" w:rsidP="002F7CB6">
      <w:pPr>
        <w:pStyle w:val="Bullet1"/>
      </w:pPr>
      <w:r>
        <w:t>medical device sponsors and manufacturers.</w:t>
      </w:r>
    </w:p>
    <w:p w14:paraId="2D68A0B0" w14:textId="7742CE19" w:rsidR="008F7656" w:rsidRPr="008F7656" w:rsidRDefault="008F7656" w:rsidP="008F7656">
      <w:pPr>
        <w:pStyle w:val="Heading5"/>
      </w:pPr>
      <w:r>
        <w:t>Approach</w:t>
      </w:r>
    </w:p>
    <w:p w14:paraId="7A91D0C7" w14:textId="08DFC659" w:rsidR="009B489C" w:rsidRDefault="0011590E" w:rsidP="003A26C0">
      <w:bookmarkStart w:id="187" w:name="_Toc156375162"/>
      <w:r>
        <w:t xml:space="preserve">Option 3A will be evaluated in line with the </w:t>
      </w:r>
      <w:r w:rsidRPr="00422DE8">
        <w:rPr>
          <w:i/>
          <w:iCs/>
        </w:rPr>
        <w:t>Commonwealth Evaluation Policy</w:t>
      </w:r>
      <w:r w:rsidR="00850B70">
        <w:rPr>
          <w:rStyle w:val="FootnoteReference"/>
          <w:i/>
          <w:iCs/>
        </w:rPr>
        <w:footnoteReference w:id="90"/>
      </w:r>
      <w:r w:rsidR="003A26C0">
        <w:t xml:space="preserve">, </w:t>
      </w:r>
      <w:r w:rsidR="009B489C">
        <w:t xml:space="preserve">which outlines a principles-based approach for conducting evaluations. These principles, when applied effectively, improve the way entities assess both implementation and the achievement of outcomes (i.e., it will enable a comprehensive evaluation of both the implementation of the </w:t>
      </w:r>
      <w:r w:rsidR="003A26C0">
        <w:t>new regulations</w:t>
      </w:r>
      <w:r w:rsidR="009B489C">
        <w:t xml:space="preserve">, as well as whether or not the </w:t>
      </w:r>
      <w:r w:rsidR="003A26C0">
        <w:t>regulations</w:t>
      </w:r>
      <w:r w:rsidR="009B489C">
        <w:t xml:space="preserve"> ha</w:t>
      </w:r>
      <w:r w:rsidR="00EC113A">
        <w:t>ve</w:t>
      </w:r>
      <w:r w:rsidR="009B489C">
        <w:t>/</w:t>
      </w:r>
      <w:r w:rsidR="00EC113A">
        <w:t>is</w:t>
      </w:r>
      <w:r w:rsidR="009B489C">
        <w:t xml:space="preserve"> achieving the broader policy objectives it was designed to deliver). These assessments become a critical input into the design of new programs or policy decisions. The key principles are listed below:</w:t>
      </w:r>
    </w:p>
    <w:p w14:paraId="4703499E" w14:textId="263B6A85" w:rsidR="009B489C" w:rsidRDefault="009B489C" w:rsidP="0079175B">
      <w:pPr>
        <w:pStyle w:val="Bullet1"/>
      </w:pPr>
      <w:r>
        <w:t>fit-for-purpose</w:t>
      </w:r>
    </w:p>
    <w:p w14:paraId="642C1ED1" w14:textId="1CDCF612" w:rsidR="009B489C" w:rsidRDefault="009B489C" w:rsidP="0079175B">
      <w:pPr>
        <w:pStyle w:val="Bullet1"/>
      </w:pPr>
      <w:r>
        <w:t>useful</w:t>
      </w:r>
    </w:p>
    <w:p w14:paraId="0BA731C3" w14:textId="2731561E" w:rsidR="009B489C" w:rsidRDefault="009B489C" w:rsidP="0079175B">
      <w:pPr>
        <w:pStyle w:val="Bullet1"/>
      </w:pPr>
      <w:r>
        <w:t>robust, ethical and culturally appropriate</w:t>
      </w:r>
    </w:p>
    <w:p w14:paraId="282CC6A8" w14:textId="175C7191" w:rsidR="009B489C" w:rsidRDefault="009B489C" w:rsidP="0079175B">
      <w:pPr>
        <w:pStyle w:val="Bullet1"/>
      </w:pPr>
      <w:r>
        <w:t>credible</w:t>
      </w:r>
    </w:p>
    <w:p w14:paraId="58CDD314" w14:textId="423479A9" w:rsidR="009B489C" w:rsidRDefault="007E1620" w:rsidP="0079175B">
      <w:pPr>
        <w:pStyle w:val="Bullet1"/>
      </w:pPr>
      <w:r>
        <w:t>t</w:t>
      </w:r>
      <w:r w:rsidR="009B489C">
        <w:t xml:space="preserve">ransparent where appropriate. </w:t>
      </w:r>
    </w:p>
    <w:p w14:paraId="6B277B02" w14:textId="1871DCD3" w:rsidR="009B489C" w:rsidRPr="0079175B" w:rsidRDefault="009B489C" w:rsidP="009B489C">
      <w:pPr>
        <w:rPr>
          <w:b/>
          <w:bCs/>
        </w:rPr>
      </w:pPr>
      <w:r w:rsidRPr="0079175B">
        <w:rPr>
          <w:b/>
          <w:bCs/>
        </w:rPr>
        <w:t>Department of Finance – Evaluation in the Commonwealth (</w:t>
      </w:r>
      <w:r w:rsidR="00D63F99">
        <w:rPr>
          <w:b/>
          <w:bCs/>
        </w:rPr>
        <w:t>Resource Management Guide (</w:t>
      </w:r>
      <w:r w:rsidRPr="0079175B">
        <w:rPr>
          <w:b/>
          <w:bCs/>
        </w:rPr>
        <w:t>RMG</w:t>
      </w:r>
      <w:r w:rsidR="00D63F99">
        <w:rPr>
          <w:b/>
          <w:bCs/>
        </w:rPr>
        <w:t>)</w:t>
      </w:r>
      <w:r w:rsidRPr="0079175B">
        <w:rPr>
          <w:b/>
          <w:bCs/>
        </w:rPr>
        <w:t xml:space="preserve"> 130)</w:t>
      </w:r>
    </w:p>
    <w:p w14:paraId="64A6E646" w14:textId="73E0DDEC" w:rsidR="009B489C" w:rsidRDefault="009B489C" w:rsidP="009B489C">
      <w:r>
        <w:t>The guidance (RMG</w:t>
      </w:r>
      <w:r w:rsidR="00D63F99">
        <w:t xml:space="preserve"> </w:t>
      </w:r>
      <w:r>
        <w:t>130)</w:t>
      </w:r>
      <w:r w:rsidR="00850B70">
        <w:rPr>
          <w:rStyle w:val="FootnoteReference"/>
        </w:rPr>
        <w:footnoteReference w:id="91"/>
      </w:r>
      <w:r>
        <w:t xml:space="preserve"> was developed to assist Commonwealth entities meet the requirements and policy intent of the </w:t>
      </w:r>
      <w:r w:rsidRPr="00E3370F">
        <w:rPr>
          <w:i/>
          <w:iCs/>
        </w:rPr>
        <w:t>Commonwealth Evaluation Policy</w:t>
      </w:r>
      <w:r>
        <w:t xml:space="preserve"> and the evaluation requirements in related legislative and policy frameworks.</w:t>
      </w:r>
    </w:p>
    <w:p w14:paraId="71DCF0A8" w14:textId="45FF7E18" w:rsidR="009B489C" w:rsidRDefault="009B489C" w:rsidP="009B489C">
      <w:r>
        <w:t>RMG 130</w:t>
      </w:r>
      <w:r w:rsidR="00D63F99">
        <w:t xml:space="preserve"> will</w:t>
      </w:r>
      <w:r>
        <w:t xml:space="preserve"> be used as a guiding tool in the development of </w:t>
      </w:r>
      <w:r w:rsidR="00D63F99">
        <w:t>an</w:t>
      </w:r>
      <w:r>
        <w:t xml:space="preserve"> Evaluation Plan and </w:t>
      </w:r>
      <w:r w:rsidR="00D63F99">
        <w:t>will be</w:t>
      </w:r>
      <w:r>
        <w:t xml:space="preserve"> key in:</w:t>
      </w:r>
    </w:p>
    <w:p w14:paraId="44094615" w14:textId="6BAF9296" w:rsidR="009B489C" w:rsidRDefault="009B489C" w:rsidP="0079175B">
      <w:pPr>
        <w:pStyle w:val="Bullet1"/>
      </w:pPr>
      <w:r>
        <w:t>understanding the importance of planning how to evaluate early</w:t>
      </w:r>
    </w:p>
    <w:p w14:paraId="32D26095" w14:textId="7218E4F1" w:rsidR="009B489C" w:rsidRDefault="009B489C" w:rsidP="0079175B">
      <w:pPr>
        <w:pStyle w:val="Bullet1"/>
      </w:pPr>
      <w:r>
        <w:t>understanding the role of monitoring, evaluation and learning across the policy lifecycles</w:t>
      </w:r>
    </w:p>
    <w:p w14:paraId="4BCFFC82" w14:textId="2380E125" w:rsidR="009B489C" w:rsidRDefault="009B489C" w:rsidP="0079175B">
      <w:pPr>
        <w:pStyle w:val="Bullet1"/>
      </w:pPr>
      <w:r>
        <w:t>choosing fit-for-purpose evaluative approaches</w:t>
      </w:r>
    </w:p>
    <w:p w14:paraId="0516F2E7" w14:textId="4FC90998" w:rsidR="009B489C" w:rsidRDefault="009B489C" w:rsidP="0079175B">
      <w:pPr>
        <w:pStyle w:val="Bullet1"/>
      </w:pPr>
      <w:r>
        <w:t>planning and undertaking high-quality evaluations.</w:t>
      </w:r>
    </w:p>
    <w:p w14:paraId="5C713C11" w14:textId="446BB40E" w:rsidR="009B489C" w:rsidRDefault="009B489C" w:rsidP="009B489C">
      <w:r>
        <w:t xml:space="preserve">RMG 130 describes eight key evaluative steps in planning, undertaking and reporting against an evaluation. Figure </w:t>
      </w:r>
      <w:r w:rsidR="00670C99">
        <w:t>1</w:t>
      </w:r>
      <w:r w:rsidR="003225E5">
        <w:t>7</w:t>
      </w:r>
      <w:r>
        <w:t xml:space="preserve"> displays how and where this Evaluation Plan interacts with this sequence and </w:t>
      </w:r>
      <w:r w:rsidR="00D63F99">
        <w:t xml:space="preserve">will be used a guide to </w:t>
      </w:r>
      <w:r w:rsidR="006E37FD">
        <w:t>develop</w:t>
      </w:r>
      <w:r w:rsidR="00D63F99">
        <w:t xml:space="preserve"> the Evaluation Plan</w:t>
      </w:r>
      <w:r>
        <w:t xml:space="preserve">. </w:t>
      </w:r>
    </w:p>
    <w:p w14:paraId="081AF69F" w14:textId="56B0B79C" w:rsidR="00282691" w:rsidRDefault="00282691" w:rsidP="00B37DCC">
      <w:pPr>
        <w:pStyle w:val="Caption"/>
        <w:keepNext/>
      </w:pPr>
      <w:r>
        <w:t>Figure 1</w:t>
      </w:r>
      <w:r w:rsidR="00D346FC">
        <w:t>9</w:t>
      </w:r>
      <w:r>
        <w:t xml:space="preserve"> - </w:t>
      </w:r>
      <w:r w:rsidRPr="00AC3665">
        <w:t>Key elements for the conduct of an evaluation</w:t>
      </w:r>
    </w:p>
    <w:p w14:paraId="3759F20C" w14:textId="10C76623" w:rsidR="00932553" w:rsidRDefault="00932553">
      <w:r>
        <w:rPr>
          <w:noProof/>
          <w:lang w:eastAsia="en-AU"/>
        </w:rPr>
        <w:drawing>
          <wp:inline distT="0" distB="0" distL="0" distR="0" wp14:anchorId="4CA5FD0B" wp14:editId="1C13FF9C">
            <wp:extent cx="4991100" cy="3185786"/>
            <wp:effectExtent l="0" t="0" r="0" b="0"/>
            <wp:docPr id="1398284206" name="Graphic 139828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84206" name="Picture 1398284206"/>
                    <pic:cNvPicPr>
                      <a:picLocks noChangeAspect="1" noChangeArrowheads="1"/>
                    </pic:cNvPicPr>
                  </pic:nvPicPr>
                  <pic:blipFill rotWithShape="1">
                    <a:blip r:embed="rId4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rcRect t="5247"/>
                    <a:stretch/>
                  </pic:blipFill>
                  <pic:spPr bwMode="auto">
                    <a:xfrm>
                      <a:off x="0" y="0"/>
                      <a:ext cx="5009537" cy="3197554"/>
                    </a:xfrm>
                    <a:prstGeom prst="rect">
                      <a:avLst/>
                    </a:prstGeom>
                    <a:ln>
                      <a:noFill/>
                    </a:ln>
                    <a:extLst>
                      <a:ext uri="{53640926-AAD7-44D8-BBD7-CCE9431645EC}">
                        <a14:shadowObscured xmlns:a14="http://schemas.microsoft.com/office/drawing/2010/main"/>
                      </a:ext>
                    </a:extLst>
                  </pic:spPr>
                </pic:pic>
              </a:graphicData>
            </a:graphic>
          </wp:inline>
        </w:drawing>
      </w:r>
    </w:p>
    <w:p w14:paraId="780E0A0C" w14:textId="77777777" w:rsidR="00BE3B89" w:rsidRDefault="00CC220A" w:rsidP="00CC220A">
      <w:r>
        <w:t xml:space="preserve">In developing the Evaluation Plan, TGA </w:t>
      </w:r>
      <w:r w:rsidR="00060C60">
        <w:t xml:space="preserve">will seek to </w:t>
      </w:r>
      <w:r w:rsidR="00D41018">
        <w:t>assess the achieve</w:t>
      </w:r>
      <w:r w:rsidR="00BE3B89">
        <w:t>ment of the following success criteria:</w:t>
      </w:r>
    </w:p>
    <w:p w14:paraId="13E53DE7" w14:textId="77777777" w:rsidR="00BE3B89" w:rsidRPr="00B11789" w:rsidRDefault="00BE3B89" w:rsidP="00422DE8">
      <w:pPr>
        <w:pStyle w:val="NumberedList1"/>
        <w:numPr>
          <w:ilvl w:val="0"/>
          <w:numId w:val="38"/>
        </w:numPr>
        <w:spacing w:before="120" w:after="240"/>
        <w:rPr>
          <w:rFonts w:ascii="Arial" w:hAnsi="Arial" w:cs="Arial"/>
          <w:bCs/>
          <w:sz w:val="20"/>
          <w:szCs w:val="20"/>
        </w:rPr>
      </w:pPr>
      <w:r w:rsidRPr="00B11789">
        <w:rPr>
          <w:rFonts w:ascii="Arial" w:hAnsi="Arial" w:cs="Arial"/>
          <w:bCs/>
          <w:sz w:val="20"/>
          <w:szCs w:val="20"/>
        </w:rPr>
        <w:t>increased volume of reported medical device adverse events by healthcare facilities</w:t>
      </w:r>
    </w:p>
    <w:p w14:paraId="5C8490DF" w14:textId="77777777" w:rsidR="00BE3B89" w:rsidRPr="00B11789" w:rsidRDefault="00BE3B89" w:rsidP="00422DE8">
      <w:pPr>
        <w:pStyle w:val="NumberedList1"/>
        <w:spacing w:before="120" w:after="240"/>
        <w:rPr>
          <w:rFonts w:ascii="Arial" w:hAnsi="Arial" w:cs="Arial"/>
          <w:bCs/>
          <w:sz w:val="20"/>
          <w:szCs w:val="20"/>
        </w:rPr>
      </w:pPr>
      <w:r w:rsidRPr="00B11789">
        <w:rPr>
          <w:rFonts w:ascii="Arial" w:hAnsi="Arial" w:cs="Arial"/>
          <w:bCs/>
          <w:sz w:val="20"/>
          <w:szCs w:val="20"/>
        </w:rPr>
        <w:t>timelier signal detection of medical device adverse events as they occur</w:t>
      </w:r>
    </w:p>
    <w:p w14:paraId="64B69F90" w14:textId="77777777" w:rsidR="00BE3B89" w:rsidRPr="00B11789" w:rsidRDefault="00BE3B89" w:rsidP="00422DE8">
      <w:pPr>
        <w:pStyle w:val="NumberedList1"/>
        <w:spacing w:before="120" w:after="240"/>
        <w:rPr>
          <w:rFonts w:ascii="Arial" w:hAnsi="Arial" w:cs="Arial"/>
          <w:bCs/>
          <w:sz w:val="20"/>
          <w:szCs w:val="20"/>
        </w:rPr>
      </w:pPr>
      <w:r w:rsidRPr="00B11789">
        <w:rPr>
          <w:rFonts w:ascii="Arial" w:hAnsi="Arial" w:cs="Arial"/>
          <w:bCs/>
          <w:sz w:val="20"/>
          <w:szCs w:val="20"/>
        </w:rPr>
        <w:t>improved identification of rarer events and potential emerging issues across the country</w:t>
      </w:r>
    </w:p>
    <w:p w14:paraId="4D144E60" w14:textId="77777777" w:rsidR="00BE3B89" w:rsidRPr="00B11789" w:rsidRDefault="00BE3B89" w:rsidP="00422DE8">
      <w:pPr>
        <w:pStyle w:val="NumberedList1"/>
        <w:spacing w:before="120" w:after="240"/>
        <w:rPr>
          <w:rFonts w:ascii="Arial" w:hAnsi="Arial" w:cs="Arial"/>
          <w:bCs/>
          <w:sz w:val="20"/>
          <w:szCs w:val="20"/>
        </w:rPr>
      </w:pPr>
      <w:r w:rsidRPr="00B11789">
        <w:rPr>
          <w:rFonts w:ascii="Arial" w:hAnsi="Arial" w:cs="Arial"/>
          <w:bCs/>
          <w:sz w:val="20"/>
          <w:szCs w:val="20"/>
        </w:rPr>
        <w:t>earlier regulatory responses to address safety concerns</w:t>
      </w:r>
    </w:p>
    <w:p w14:paraId="1F0F8468" w14:textId="77777777" w:rsidR="00BE3B89" w:rsidRPr="00B11789" w:rsidRDefault="00BE3B89" w:rsidP="00422DE8">
      <w:pPr>
        <w:pStyle w:val="NumberedList1"/>
        <w:spacing w:before="120" w:after="240"/>
        <w:rPr>
          <w:rFonts w:ascii="Arial" w:hAnsi="Arial" w:cs="Arial"/>
          <w:bCs/>
          <w:sz w:val="20"/>
          <w:szCs w:val="20"/>
        </w:rPr>
      </w:pPr>
      <w:r w:rsidRPr="00B11789">
        <w:rPr>
          <w:rFonts w:ascii="Arial" w:hAnsi="Arial" w:cs="Arial"/>
          <w:bCs/>
          <w:sz w:val="20"/>
          <w:szCs w:val="20"/>
        </w:rPr>
        <w:t>more frequent provision of information to healthcare facilities regarding alerts to patient and professional safety</w:t>
      </w:r>
    </w:p>
    <w:p w14:paraId="315740DB" w14:textId="77777777" w:rsidR="00BE3B89" w:rsidRPr="00B11789" w:rsidRDefault="00BE3B89" w:rsidP="00422DE8">
      <w:pPr>
        <w:pStyle w:val="NumberedList1"/>
        <w:spacing w:before="120" w:after="240"/>
        <w:rPr>
          <w:rFonts w:ascii="Arial" w:hAnsi="Arial" w:cs="Arial"/>
          <w:bCs/>
          <w:sz w:val="20"/>
          <w:szCs w:val="20"/>
        </w:rPr>
      </w:pPr>
      <w:r w:rsidRPr="00B11789">
        <w:rPr>
          <w:rFonts w:ascii="Arial" w:hAnsi="Arial" w:cs="Arial"/>
          <w:bCs/>
          <w:sz w:val="20"/>
          <w:szCs w:val="20"/>
        </w:rPr>
        <w:t>proactively identify and mitigate risks associated with medical devices</w:t>
      </w:r>
    </w:p>
    <w:p w14:paraId="7B5FD870" w14:textId="77777777" w:rsidR="00BE3B89" w:rsidRPr="00B11789" w:rsidRDefault="00BE3B89" w:rsidP="00422DE8">
      <w:pPr>
        <w:pStyle w:val="NumberedList1"/>
        <w:spacing w:before="120" w:after="240"/>
        <w:rPr>
          <w:rFonts w:ascii="Arial" w:hAnsi="Arial" w:cs="Arial"/>
          <w:bCs/>
          <w:sz w:val="20"/>
          <w:szCs w:val="20"/>
        </w:rPr>
      </w:pPr>
      <w:r w:rsidRPr="00B11789">
        <w:rPr>
          <w:rFonts w:ascii="Arial" w:hAnsi="Arial" w:cs="Arial"/>
          <w:bCs/>
          <w:sz w:val="20"/>
          <w:szCs w:val="20"/>
        </w:rPr>
        <w:t>improved data quality enabling meaningful trend identification and analysis.</w:t>
      </w:r>
    </w:p>
    <w:p w14:paraId="1F3C8485" w14:textId="72C9FA63" w:rsidR="00CC220A" w:rsidRDefault="00BE3B89" w:rsidP="00CC220A">
      <w:r>
        <w:t xml:space="preserve">To interrogate the achievement of said criteria, the evaluation will </w:t>
      </w:r>
      <w:r w:rsidR="00060C60">
        <w:t>explore two key elements:</w:t>
      </w:r>
    </w:p>
    <w:p w14:paraId="4ADD0488" w14:textId="4BF995C0" w:rsidR="00EC123D" w:rsidRDefault="00060C60" w:rsidP="00060C60">
      <w:pPr>
        <w:pStyle w:val="Bullet1"/>
      </w:pPr>
      <w:r>
        <w:t>efficacy</w:t>
      </w:r>
      <w:r w:rsidR="00EC123D">
        <w:t>, efficiency and compliance against t</w:t>
      </w:r>
      <w:r>
        <w:t xml:space="preserve">he </w:t>
      </w:r>
      <w:r w:rsidR="00EC123D">
        <w:t xml:space="preserve">mandated </w:t>
      </w:r>
      <w:r>
        <w:t xml:space="preserve">reporting </w:t>
      </w:r>
      <w:r>
        <w:rPr>
          <w:b/>
          <w:bCs/>
        </w:rPr>
        <w:t>process</w:t>
      </w:r>
      <w:r w:rsidR="00C31030">
        <w:t xml:space="preserve"> -</w:t>
      </w:r>
      <w:r w:rsidR="00EA17F6">
        <w:t xml:space="preserve"> i.e.,</w:t>
      </w:r>
    </w:p>
    <w:p w14:paraId="6992FE8A" w14:textId="12598879" w:rsidR="00EA17F6" w:rsidRDefault="00EA17F6" w:rsidP="00422DE8">
      <w:pPr>
        <w:pStyle w:val="ListBullet2"/>
        <w:spacing w:after="120"/>
        <w:ind w:left="714" w:hanging="357"/>
        <w:rPr>
          <w:color w:val="auto"/>
        </w:rPr>
      </w:pPr>
      <w:r>
        <w:rPr>
          <w:color w:val="auto"/>
        </w:rPr>
        <w:t>efficacy and efficiency of the reporting process</w:t>
      </w:r>
    </w:p>
    <w:p w14:paraId="7F2B8DF7" w14:textId="710B9575" w:rsidR="00060C60" w:rsidRDefault="00EC123D" w:rsidP="00422DE8">
      <w:pPr>
        <w:pStyle w:val="ListBullet2"/>
        <w:spacing w:after="120"/>
        <w:ind w:left="714" w:hanging="357"/>
        <w:rPr>
          <w:color w:val="auto"/>
        </w:rPr>
      </w:pPr>
      <w:r w:rsidRPr="0079175B">
        <w:rPr>
          <w:color w:val="auto"/>
        </w:rPr>
        <w:t xml:space="preserve">extent to which </w:t>
      </w:r>
      <w:r>
        <w:rPr>
          <w:color w:val="auto"/>
        </w:rPr>
        <w:t>regulated entities comply</w:t>
      </w:r>
      <w:r w:rsidR="00EA17F6">
        <w:rPr>
          <w:color w:val="auto"/>
        </w:rPr>
        <w:t xml:space="preserve"> with the requirements outlined in the </w:t>
      </w:r>
      <w:r w:rsidR="00371813">
        <w:rPr>
          <w:color w:val="auto"/>
        </w:rPr>
        <w:t>legislation</w:t>
      </w:r>
    </w:p>
    <w:p w14:paraId="3AFB291F" w14:textId="06D0AD0C" w:rsidR="00371813" w:rsidRDefault="00371813" w:rsidP="00371813">
      <w:pPr>
        <w:pStyle w:val="Bullet1"/>
      </w:pPr>
      <w:r>
        <w:rPr>
          <w:b/>
          <w:bCs/>
        </w:rPr>
        <w:t xml:space="preserve">outcomes </w:t>
      </w:r>
      <w:r>
        <w:t>achieved as a result of the new regulations - i.e.,</w:t>
      </w:r>
      <w:r w:rsidR="00C31030">
        <w:t xml:space="preserve"> have the new regulations enabled TGA to:</w:t>
      </w:r>
    </w:p>
    <w:p w14:paraId="719CF213" w14:textId="77777777" w:rsidR="00371813" w:rsidRPr="0079175B" w:rsidRDefault="00371813" w:rsidP="00422DE8">
      <w:pPr>
        <w:pStyle w:val="ListBullet2"/>
        <w:spacing w:after="120"/>
        <w:ind w:left="714" w:hanging="357"/>
        <w:rPr>
          <w:color w:val="auto"/>
        </w:rPr>
      </w:pPr>
      <w:r w:rsidRPr="0079175B">
        <w:rPr>
          <w:color w:val="auto"/>
        </w:rPr>
        <w:t xml:space="preserve">effectively monitor the safety and performance of medical devices </w:t>
      </w:r>
    </w:p>
    <w:p w14:paraId="2CFFB5C5" w14:textId="77777777" w:rsidR="00371813" w:rsidRPr="0079175B" w:rsidRDefault="00371813" w:rsidP="00422DE8">
      <w:pPr>
        <w:pStyle w:val="ListBullet2"/>
        <w:spacing w:after="120"/>
        <w:ind w:left="714" w:hanging="357"/>
        <w:rPr>
          <w:color w:val="auto"/>
        </w:rPr>
      </w:pPr>
      <w:r w:rsidRPr="0079175B">
        <w:rPr>
          <w:color w:val="auto"/>
        </w:rPr>
        <w:t>identify and address emerging issues with the safety and performances of medical devices in a timely fashion</w:t>
      </w:r>
    </w:p>
    <w:p w14:paraId="201EBE09" w14:textId="3BF893EB" w:rsidR="00371813" w:rsidRPr="0079175B" w:rsidRDefault="00371813" w:rsidP="00422DE8">
      <w:pPr>
        <w:pStyle w:val="ListBullet2"/>
        <w:spacing w:after="120"/>
        <w:ind w:left="714" w:hanging="357"/>
        <w:rPr>
          <w:color w:val="auto"/>
        </w:rPr>
      </w:pPr>
      <w:r w:rsidRPr="0079175B">
        <w:rPr>
          <w:color w:val="auto"/>
        </w:rPr>
        <w:t>enact necessary regulatory action and notification of issues to manufacturers, suppliers and users of the impacted devices</w:t>
      </w:r>
      <w:r w:rsidR="00C31030">
        <w:rPr>
          <w:color w:val="auto"/>
        </w:rPr>
        <w:t>.</w:t>
      </w:r>
    </w:p>
    <w:p w14:paraId="3DB6ED5B" w14:textId="625CDAA3" w:rsidR="0011590E" w:rsidRDefault="0011590E" w:rsidP="0079175B">
      <w:pPr>
        <w:pStyle w:val="Heading6"/>
      </w:pPr>
      <w:r>
        <w:t>Process Evaluation</w:t>
      </w:r>
    </w:p>
    <w:p w14:paraId="73CF949B" w14:textId="6832F45E" w:rsidR="0011590E" w:rsidRDefault="00DD60FE">
      <w:r>
        <w:t>Process evaluation will be valuable to monitor the extent to which requirements in the legislation (and supporting regulations) are being met by healthcare facilities (i.e. public and private hospitals).</w:t>
      </w:r>
      <w:r w:rsidR="00BF5AFA">
        <w:t xml:space="preserve"> This component of the evaluation will seek to identify and assess whether there are any risks/factors that may impact on the </w:t>
      </w:r>
      <w:r w:rsidR="00177D74">
        <w:t>Government’s ability to achieve its policy objectives. This includes identification of areas fo</w:t>
      </w:r>
      <w:r w:rsidR="00F8265D">
        <w:t>r improvement to enable the achievement of objectives. Some suggested key evaluation questions are listed below:</w:t>
      </w:r>
    </w:p>
    <w:p w14:paraId="78CE616A" w14:textId="41A4E699" w:rsidR="00F8265D" w:rsidRPr="001838D5" w:rsidRDefault="00E02B8C" w:rsidP="00F8265D">
      <w:pPr>
        <w:pStyle w:val="Bullet1"/>
      </w:pPr>
      <w:r w:rsidRPr="001838D5">
        <w:t>Eff</w:t>
      </w:r>
      <w:r w:rsidR="006E418C" w:rsidRPr="001838D5">
        <w:t>ectiveness</w:t>
      </w:r>
    </w:p>
    <w:p w14:paraId="4B85C365" w14:textId="29F308FF" w:rsidR="00E02B8C" w:rsidRPr="00422DE8" w:rsidRDefault="00A446A8" w:rsidP="00422DE8">
      <w:pPr>
        <w:pStyle w:val="ListBullet2"/>
        <w:spacing w:after="120"/>
        <w:ind w:left="714" w:hanging="357"/>
        <w:rPr>
          <w:color w:val="auto"/>
        </w:rPr>
      </w:pPr>
      <w:r w:rsidRPr="00422DE8">
        <w:rPr>
          <w:color w:val="auto"/>
        </w:rPr>
        <w:t>Increase in v</w:t>
      </w:r>
      <w:r w:rsidR="003459F9" w:rsidRPr="00422DE8">
        <w:rPr>
          <w:color w:val="auto"/>
        </w:rPr>
        <w:t>olume of medical device incident reports?</w:t>
      </w:r>
    </w:p>
    <w:p w14:paraId="5E1B031F" w14:textId="2896885D" w:rsidR="003459F9" w:rsidRDefault="00A446A8" w:rsidP="00422DE8">
      <w:pPr>
        <w:pStyle w:val="ListBullet2"/>
        <w:spacing w:after="120"/>
        <w:ind w:left="714" w:hanging="357"/>
        <w:rPr>
          <w:color w:val="auto"/>
        </w:rPr>
      </w:pPr>
      <w:r w:rsidRPr="00422DE8">
        <w:rPr>
          <w:color w:val="auto"/>
        </w:rPr>
        <w:t>Increased p</w:t>
      </w:r>
      <w:r w:rsidR="003459F9" w:rsidRPr="00422DE8">
        <w:rPr>
          <w:color w:val="auto"/>
        </w:rPr>
        <w:t xml:space="preserve">roportion of medical device incident reports from </w:t>
      </w:r>
      <w:r w:rsidRPr="00422DE8">
        <w:rPr>
          <w:color w:val="auto"/>
        </w:rPr>
        <w:t xml:space="preserve">healthcare facilities (vs. </w:t>
      </w:r>
      <w:r w:rsidR="003459F9" w:rsidRPr="00422DE8">
        <w:rPr>
          <w:color w:val="auto"/>
        </w:rPr>
        <w:t>manufacturers and sponsors and others</w:t>
      </w:r>
      <w:r w:rsidRPr="00422DE8">
        <w:rPr>
          <w:color w:val="auto"/>
        </w:rPr>
        <w:t>)</w:t>
      </w:r>
      <w:r w:rsidR="003459F9" w:rsidRPr="00422DE8">
        <w:rPr>
          <w:color w:val="auto"/>
        </w:rPr>
        <w:t>?</w:t>
      </w:r>
    </w:p>
    <w:p w14:paraId="10214925" w14:textId="28C90E71" w:rsidR="00E4180C" w:rsidRPr="00422DE8" w:rsidRDefault="00E4180C" w:rsidP="00422DE8">
      <w:pPr>
        <w:pStyle w:val="ListBullet2"/>
        <w:spacing w:after="120"/>
        <w:ind w:left="714" w:hanging="357"/>
        <w:rPr>
          <w:color w:val="auto"/>
        </w:rPr>
      </w:pPr>
      <w:r>
        <w:rPr>
          <w:color w:val="auto"/>
        </w:rPr>
        <w:t xml:space="preserve">Increase in </w:t>
      </w:r>
      <w:r w:rsidR="0065145C">
        <w:rPr>
          <w:color w:val="auto"/>
        </w:rPr>
        <w:t>identif</w:t>
      </w:r>
      <w:r w:rsidR="008319AD">
        <w:rPr>
          <w:color w:val="auto"/>
        </w:rPr>
        <w:t>ication of</w:t>
      </w:r>
      <w:r w:rsidR="0065145C">
        <w:rPr>
          <w:color w:val="auto"/>
        </w:rPr>
        <w:t xml:space="preserve"> trends and emerging risks</w:t>
      </w:r>
      <w:r w:rsidR="008319AD">
        <w:rPr>
          <w:color w:val="auto"/>
        </w:rPr>
        <w:t xml:space="preserve"> of medical devices?</w:t>
      </w:r>
    </w:p>
    <w:p w14:paraId="15B177C1" w14:textId="77777777" w:rsidR="005367CD" w:rsidRPr="00422DE8" w:rsidRDefault="003459F9" w:rsidP="005367CD">
      <w:pPr>
        <w:pStyle w:val="ListBullet2"/>
        <w:spacing w:after="120"/>
        <w:ind w:left="714" w:hanging="357"/>
        <w:rPr>
          <w:color w:val="auto"/>
        </w:rPr>
      </w:pPr>
      <w:r w:rsidRPr="00422DE8">
        <w:rPr>
          <w:color w:val="auto"/>
        </w:rPr>
        <w:t>Proportion of medical device incident reports submitted in batch vs on occurrence</w:t>
      </w:r>
      <w:r w:rsidR="0065145C">
        <w:rPr>
          <w:color w:val="auto"/>
        </w:rPr>
        <w:t xml:space="preserve"> (indicates </w:t>
      </w:r>
      <w:r w:rsidR="008D6105">
        <w:rPr>
          <w:color w:val="auto"/>
        </w:rPr>
        <w:t xml:space="preserve">stakeholder </w:t>
      </w:r>
      <w:r w:rsidR="0065145C">
        <w:rPr>
          <w:color w:val="auto"/>
        </w:rPr>
        <w:t>compliance with reporting timeframes and protocols</w:t>
      </w:r>
      <w:r w:rsidR="008D6105">
        <w:rPr>
          <w:color w:val="auto"/>
        </w:rPr>
        <w:t>)</w:t>
      </w:r>
      <w:r w:rsidR="005367CD">
        <w:rPr>
          <w:color w:val="auto"/>
        </w:rPr>
        <w:t>. The proportion of batch versus on-occurrence reporting can indicate healthcare facilities’ responsiveness to incident severity. A balanced proportion, where less severe incidents such as near misses are reported in batches and serious adverse events such as deaths are reported on occurrence, would reflect higher compliance with reporting timeliness requirements. Variations in these proportions can identify areas where additional guidance and support may be required to ensure alignment with reporting expectations.</w:t>
      </w:r>
    </w:p>
    <w:p w14:paraId="33609EF6" w14:textId="0E2718E2" w:rsidR="00E02B8C" w:rsidRPr="001838D5" w:rsidRDefault="00E02B8C" w:rsidP="00E02B8C">
      <w:pPr>
        <w:pStyle w:val="Bullet1"/>
      </w:pPr>
      <w:r w:rsidRPr="001838D5">
        <w:t>Efficiency</w:t>
      </w:r>
    </w:p>
    <w:p w14:paraId="696025C8" w14:textId="31FA18AD" w:rsidR="00E02B8C" w:rsidRPr="00422DE8" w:rsidRDefault="00CD6811" w:rsidP="00422DE8">
      <w:pPr>
        <w:pStyle w:val="ListBullet2"/>
        <w:spacing w:after="120"/>
        <w:ind w:left="714" w:hanging="357"/>
        <w:rPr>
          <w:color w:val="auto"/>
        </w:rPr>
      </w:pPr>
      <w:r w:rsidRPr="00422DE8">
        <w:rPr>
          <w:color w:val="auto"/>
        </w:rPr>
        <w:t>Relative increase in r</w:t>
      </w:r>
      <w:r w:rsidR="00A21E9D" w:rsidRPr="00422DE8">
        <w:rPr>
          <w:color w:val="auto"/>
        </w:rPr>
        <w:t>esources expended in complying with the legislation (and supporting regulations)?</w:t>
      </w:r>
    </w:p>
    <w:p w14:paraId="71974CED" w14:textId="2313E6A4" w:rsidR="004B665A" w:rsidRPr="005367CD" w:rsidRDefault="004B665A" w:rsidP="005367CD">
      <w:pPr>
        <w:pStyle w:val="ListBullet2"/>
        <w:spacing w:after="120"/>
        <w:ind w:left="714" w:hanging="357"/>
        <w:rPr>
          <w:color w:val="auto"/>
        </w:rPr>
      </w:pPr>
      <w:r w:rsidRPr="00422DE8">
        <w:rPr>
          <w:color w:val="auto"/>
        </w:rPr>
        <w:t>Timeliness of medical device adverse event report</w:t>
      </w:r>
      <w:r w:rsidR="00CD6811" w:rsidRPr="00422DE8">
        <w:rPr>
          <w:color w:val="auto"/>
        </w:rPr>
        <w:t>ing</w:t>
      </w:r>
      <w:r w:rsidR="00812D78" w:rsidRPr="00422DE8">
        <w:rPr>
          <w:color w:val="auto"/>
        </w:rPr>
        <w:t xml:space="preserve"> (i.e., average time from event occurrence to date of submission. Should also consider severity of event)</w:t>
      </w:r>
      <w:r w:rsidRPr="00422DE8">
        <w:rPr>
          <w:color w:val="auto"/>
        </w:rPr>
        <w:t>?</w:t>
      </w:r>
      <w:r w:rsidR="000479FA">
        <w:rPr>
          <w:color w:val="auto"/>
        </w:rPr>
        <w:t xml:space="preserve"> </w:t>
      </w:r>
      <w:r w:rsidR="005367CD">
        <w:rPr>
          <w:color w:val="auto"/>
        </w:rPr>
        <w:t>(While batch reporting is the preferred approach, it does not eliminate the requirement to report more severe adverse events, such as deaths and cases of serious harm, on occurrence to ensure timely response and appropriate action. For more serious adverse events, timeliness can be measured by the promptness of reports submitted after the event and for less severe adverse events, timeliness can be evaluated based on the frequency and regularity of batch submissions).</w:t>
      </w:r>
    </w:p>
    <w:p w14:paraId="5C224A5D" w14:textId="31E45CEA" w:rsidR="00E02B8C" w:rsidRPr="001838D5" w:rsidRDefault="00E02B8C" w:rsidP="00E02B8C">
      <w:pPr>
        <w:pStyle w:val="Bullet1"/>
      </w:pPr>
      <w:r w:rsidRPr="001838D5">
        <w:t>Compliance</w:t>
      </w:r>
    </w:p>
    <w:p w14:paraId="465D3064" w14:textId="3657FDD9" w:rsidR="00E02B8C" w:rsidRPr="00422DE8" w:rsidRDefault="00A21E9D" w:rsidP="00422DE8">
      <w:pPr>
        <w:pStyle w:val="ListBullet2"/>
        <w:spacing w:after="120"/>
        <w:ind w:left="714" w:hanging="357"/>
        <w:rPr>
          <w:color w:val="auto"/>
        </w:rPr>
      </w:pPr>
      <w:r w:rsidRPr="00422DE8">
        <w:rPr>
          <w:color w:val="auto"/>
        </w:rPr>
        <w:t>Number of instance</w:t>
      </w:r>
      <w:r w:rsidR="003459F9" w:rsidRPr="00422DE8">
        <w:rPr>
          <w:color w:val="auto"/>
        </w:rPr>
        <w:t>s</w:t>
      </w:r>
      <w:r w:rsidRPr="00422DE8">
        <w:rPr>
          <w:color w:val="auto"/>
        </w:rPr>
        <w:t xml:space="preserve"> of non-compliance</w:t>
      </w:r>
      <w:r w:rsidR="007E7A4D" w:rsidRPr="00422DE8">
        <w:rPr>
          <w:color w:val="auto"/>
        </w:rPr>
        <w:t xml:space="preserve"> against the legislation (and supporting regulations) across public and private hospitals?</w:t>
      </w:r>
    </w:p>
    <w:p w14:paraId="1EF7AB7A" w14:textId="02D98B93" w:rsidR="00A21E9D" w:rsidRPr="001838D5" w:rsidRDefault="003459F9" w:rsidP="003459F9">
      <w:pPr>
        <w:pStyle w:val="Bullet1"/>
      </w:pPr>
      <w:r w:rsidRPr="001838D5">
        <w:t>Continuous Improvement</w:t>
      </w:r>
    </w:p>
    <w:p w14:paraId="21A8C36B" w14:textId="77777777" w:rsidR="003459F9" w:rsidRPr="00422DE8" w:rsidRDefault="003459F9" w:rsidP="00422DE8">
      <w:pPr>
        <w:pStyle w:val="ListBullet2"/>
        <w:spacing w:after="120"/>
        <w:ind w:left="714" w:hanging="357"/>
        <w:rPr>
          <w:color w:val="auto"/>
        </w:rPr>
      </w:pPr>
      <w:r w:rsidRPr="00422DE8">
        <w:rPr>
          <w:color w:val="auto"/>
        </w:rPr>
        <w:t>What lessons (best practices) have been identified?</w:t>
      </w:r>
    </w:p>
    <w:p w14:paraId="6110EAA7" w14:textId="4A653D38" w:rsidR="003459F9" w:rsidRPr="00422DE8" w:rsidRDefault="003459F9" w:rsidP="00422DE8">
      <w:pPr>
        <w:pStyle w:val="ListBullet2"/>
        <w:spacing w:after="120"/>
        <w:ind w:left="714" w:hanging="357"/>
        <w:rPr>
          <w:color w:val="auto"/>
        </w:rPr>
      </w:pPr>
      <w:r w:rsidRPr="00422DE8">
        <w:rPr>
          <w:color w:val="auto"/>
        </w:rPr>
        <w:t xml:space="preserve">How could the process be improved (i.e., the regulations) to best meet Government’s objectives? </w:t>
      </w:r>
    </w:p>
    <w:p w14:paraId="3CBD3321" w14:textId="6BB1669B" w:rsidR="0011590E" w:rsidRDefault="0011590E" w:rsidP="0079175B">
      <w:pPr>
        <w:pStyle w:val="Heading6"/>
      </w:pPr>
      <w:r>
        <w:t>Outcome Evaluation</w:t>
      </w:r>
    </w:p>
    <w:p w14:paraId="79CE361D" w14:textId="669BBA45" w:rsidR="0011590E" w:rsidRDefault="003459F9">
      <w:r>
        <w:t>In contrast to the process evaluation component which is largely volume/quantitative focussed</w:t>
      </w:r>
      <w:r w:rsidR="00D43CDD">
        <w:t>, the outcome evaluation element seeks to understand the extent to which the new legislation and support regulations have achieved government objectives. Some suggested key evaluation questions</w:t>
      </w:r>
      <w:r w:rsidR="002A531B">
        <w:t>, linked to the success criteria,</w:t>
      </w:r>
      <w:r w:rsidR="00D43CDD">
        <w:t xml:space="preserve"> are listed below:</w:t>
      </w:r>
    </w:p>
    <w:p w14:paraId="3D2CBA0B" w14:textId="77777777" w:rsidR="00BF292F" w:rsidRDefault="00BF292F" w:rsidP="00BF292F">
      <w:pPr>
        <w:pStyle w:val="Bullet1"/>
        <w:numPr>
          <w:ilvl w:val="0"/>
          <w:numId w:val="0"/>
        </w:numPr>
        <w:ind w:left="360" w:hanging="360"/>
      </w:pPr>
      <w:bookmarkStart w:id="188" w:name="_Hlk183613958"/>
    </w:p>
    <w:p w14:paraId="58F56F4D" w14:textId="77777777" w:rsidR="00BF292F" w:rsidRDefault="00BF292F" w:rsidP="00BF292F">
      <w:pPr>
        <w:pStyle w:val="Bullet1"/>
      </w:pPr>
      <w:r>
        <w:t>Has there been more rapid identification and response to significant issues associated with medical devices?</w:t>
      </w:r>
    </w:p>
    <w:p w14:paraId="5ABBC2F3" w14:textId="77777777" w:rsidR="00BF292F" w:rsidRDefault="00BF292F" w:rsidP="002E0897">
      <w:pPr>
        <w:pStyle w:val="Bullet1"/>
        <w:numPr>
          <w:ilvl w:val="0"/>
          <w:numId w:val="50"/>
        </w:numPr>
      </w:pPr>
      <w:r>
        <w:t>Number of significant adverse events identified and resolved within a reporting period</w:t>
      </w:r>
    </w:p>
    <w:p w14:paraId="7032C648" w14:textId="77777777" w:rsidR="00BF292F" w:rsidRDefault="00BF292F" w:rsidP="002E0897">
      <w:pPr>
        <w:pStyle w:val="Bullet1"/>
        <w:numPr>
          <w:ilvl w:val="0"/>
          <w:numId w:val="50"/>
        </w:numPr>
      </w:pPr>
      <w:r>
        <w:t>Monitoring outcomes such as reduction in related adverse events</w:t>
      </w:r>
    </w:p>
    <w:p w14:paraId="66EDA879" w14:textId="77777777" w:rsidR="00BF292F" w:rsidRDefault="00BF292F" w:rsidP="002E0897">
      <w:pPr>
        <w:pStyle w:val="Bullet1"/>
        <w:numPr>
          <w:ilvl w:val="0"/>
          <w:numId w:val="50"/>
        </w:numPr>
      </w:pPr>
      <w:r>
        <w:t>Stakeholder feedback</w:t>
      </w:r>
    </w:p>
    <w:p w14:paraId="46650E96" w14:textId="77777777" w:rsidR="00BF292F" w:rsidRDefault="00BF292F" w:rsidP="00BF292F">
      <w:pPr>
        <w:pStyle w:val="Bullet1"/>
      </w:pPr>
      <w:r>
        <w:t>Have the TGA more systematically identified emerging signals that could indicate potential threats to the quality of care or quality of life experienced by Australians?</w:t>
      </w:r>
    </w:p>
    <w:p w14:paraId="2DED6829" w14:textId="77777777" w:rsidR="00BF292F" w:rsidRDefault="00BF292F" w:rsidP="002E0897">
      <w:pPr>
        <w:pStyle w:val="Bullet1"/>
        <w:numPr>
          <w:ilvl w:val="0"/>
          <w:numId w:val="51"/>
        </w:numPr>
      </w:pPr>
      <w:r>
        <w:t>Number of emerging signals detected and validated over time</w:t>
      </w:r>
    </w:p>
    <w:p w14:paraId="07C1B44E" w14:textId="77777777" w:rsidR="00BF292F" w:rsidRDefault="00BF292F" w:rsidP="002E0897">
      <w:pPr>
        <w:pStyle w:val="Bullet1"/>
        <w:numPr>
          <w:ilvl w:val="0"/>
          <w:numId w:val="51"/>
        </w:numPr>
      </w:pPr>
      <w:r>
        <w:t>Time taken for signal validation from initial detection</w:t>
      </w:r>
    </w:p>
    <w:p w14:paraId="2D2ECBC9" w14:textId="77777777" w:rsidR="00BF292F" w:rsidRDefault="00BF292F" w:rsidP="00BF292F">
      <w:pPr>
        <w:pStyle w:val="Bullet1"/>
      </w:pPr>
      <w:r>
        <w:t>Has there been more timely and comprehensive information-sharing and analysis between governments and healthcare organisations?</w:t>
      </w:r>
    </w:p>
    <w:p w14:paraId="774CA161" w14:textId="77777777" w:rsidR="00BF292F" w:rsidRDefault="00BF292F" w:rsidP="002E0897">
      <w:pPr>
        <w:pStyle w:val="Bullet1"/>
        <w:numPr>
          <w:ilvl w:val="0"/>
          <w:numId w:val="52"/>
        </w:numPr>
      </w:pPr>
      <w:r>
        <w:t>Frequency and timeliness of data sharing between jurisdictions and health care facilities</w:t>
      </w:r>
    </w:p>
    <w:p w14:paraId="51D7EB64" w14:textId="77777777" w:rsidR="00BF292F" w:rsidRDefault="00BF292F" w:rsidP="002E0897">
      <w:pPr>
        <w:pStyle w:val="Bullet1"/>
        <w:numPr>
          <w:ilvl w:val="0"/>
          <w:numId w:val="52"/>
        </w:numPr>
      </w:pPr>
      <w:r>
        <w:t>Quality and comprehensiveness of shared data</w:t>
      </w:r>
    </w:p>
    <w:p w14:paraId="636E3D8F" w14:textId="77777777" w:rsidR="00BF292F" w:rsidRDefault="00BF292F" w:rsidP="002E0897">
      <w:pPr>
        <w:pStyle w:val="Bullet1"/>
        <w:numPr>
          <w:ilvl w:val="0"/>
          <w:numId w:val="52"/>
        </w:numPr>
      </w:pPr>
      <w:r>
        <w:t>Stakeholder feedback</w:t>
      </w:r>
    </w:p>
    <w:p w14:paraId="173C75D0" w14:textId="77777777" w:rsidR="00BF292F" w:rsidRDefault="00BF292F" w:rsidP="00BF292F">
      <w:pPr>
        <w:pStyle w:val="Bullet1"/>
      </w:pPr>
      <w:r>
        <w:t>Have the regulations facilitated more timely signal detection of medical device adverse events?</w:t>
      </w:r>
    </w:p>
    <w:p w14:paraId="05805E65" w14:textId="77777777" w:rsidR="00BF292F" w:rsidRDefault="00BF292F" w:rsidP="002E0897">
      <w:pPr>
        <w:pStyle w:val="Bullet1"/>
        <w:numPr>
          <w:ilvl w:val="0"/>
          <w:numId w:val="53"/>
        </w:numPr>
      </w:pPr>
      <w:r>
        <w:t>Reduction in time to detect signals</w:t>
      </w:r>
    </w:p>
    <w:p w14:paraId="28B1F427" w14:textId="77777777" w:rsidR="00BF292F" w:rsidRDefault="00BF292F" w:rsidP="002E0897">
      <w:pPr>
        <w:pStyle w:val="Bullet1"/>
        <w:numPr>
          <w:ilvl w:val="0"/>
          <w:numId w:val="53"/>
        </w:numPr>
      </w:pPr>
      <w:r>
        <w:t>Increase in the number of signals detected and acted upon</w:t>
      </w:r>
    </w:p>
    <w:p w14:paraId="4DF03D21" w14:textId="77777777" w:rsidR="00BF292F" w:rsidRDefault="00BF292F" w:rsidP="002E0897">
      <w:pPr>
        <w:pStyle w:val="Bullet1"/>
        <w:numPr>
          <w:ilvl w:val="0"/>
          <w:numId w:val="53"/>
        </w:numPr>
      </w:pPr>
      <w:r>
        <w:t>Proportion of adverse events identified as signals</w:t>
      </w:r>
    </w:p>
    <w:p w14:paraId="14660756" w14:textId="77777777" w:rsidR="00BF292F" w:rsidRDefault="00BF292F" w:rsidP="00BF292F">
      <w:pPr>
        <w:pStyle w:val="Bullet1"/>
      </w:pPr>
      <w:r>
        <w:t>Has there been better identification of rarer events and potential emerging issues across the country?</w:t>
      </w:r>
    </w:p>
    <w:p w14:paraId="29343ABF" w14:textId="77777777" w:rsidR="00BF292F" w:rsidRDefault="00BF292F" w:rsidP="002E0897">
      <w:pPr>
        <w:pStyle w:val="Bullet1"/>
        <w:numPr>
          <w:ilvl w:val="0"/>
          <w:numId w:val="54"/>
        </w:numPr>
      </w:pPr>
      <w:r>
        <w:t>Comparative analysis of data from diverse sources – contributing to identification of rarer events, ensuring that data from various health care facilities, manufacturers/sponsors and jurisdictions is integrated and utilised.</w:t>
      </w:r>
    </w:p>
    <w:p w14:paraId="53BE7652" w14:textId="77777777" w:rsidR="00BF292F" w:rsidRDefault="00BF292F" w:rsidP="00BF292F">
      <w:pPr>
        <w:pStyle w:val="Bullet1"/>
      </w:pPr>
      <w:r>
        <w:t>Have there been earlier investigations and/or actions to address safety concerns by national regulators?</w:t>
      </w:r>
    </w:p>
    <w:p w14:paraId="4CCE05D3" w14:textId="77777777" w:rsidR="00BF292F" w:rsidRDefault="00BF292F" w:rsidP="002E0897">
      <w:pPr>
        <w:pStyle w:val="Bullet1"/>
        <w:numPr>
          <w:ilvl w:val="0"/>
          <w:numId w:val="55"/>
        </w:numPr>
      </w:pPr>
      <w:r>
        <w:t>Reduction in time for reporting</w:t>
      </w:r>
    </w:p>
    <w:p w14:paraId="16C247EC" w14:textId="77777777" w:rsidR="00BF292F" w:rsidRDefault="00BF292F" w:rsidP="002E0897">
      <w:pPr>
        <w:pStyle w:val="Bullet1"/>
        <w:numPr>
          <w:ilvl w:val="0"/>
          <w:numId w:val="55"/>
        </w:numPr>
      </w:pPr>
      <w:r>
        <w:t>Number of regulatory actions implemented early due to prompt reporting and analysis</w:t>
      </w:r>
    </w:p>
    <w:p w14:paraId="364DDB29" w14:textId="77777777" w:rsidR="00BF292F" w:rsidRDefault="00BF292F" w:rsidP="00BF292F">
      <w:pPr>
        <w:pStyle w:val="Bullet1"/>
      </w:pPr>
      <w:r>
        <w:t>Has there been the provision of more frequent information to health care providers about possible threats to patient and professional safety?</w:t>
      </w:r>
    </w:p>
    <w:p w14:paraId="63DD9719" w14:textId="77777777" w:rsidR="00BF292F" w:rsidRDefault="00BF292F" w:rsidP="002E0897">
      <w:pPr>
        <w:pStyle w:val="Bullet1"/>
        <w:numPr>
          <w:ilvl w:val="0"/>
          <w:numId w:val="56"/>
        </w:numPr>
      </w:pPr>
      <w:r>
        <w:t xml:space="preserve">Earlier issuance of safety bulletins or advisories </w:t>
      </w:r>
    </w:p>
    <w:p w14:paraId="46FA86CE" w14:textId="77777777" w:rsidR="00BF292F" w:rsidRDefault="00BF292F" w:rsidP="002E0897">
      <w:pPr>
        <w:pStyle w:val="Bullet1"/>
        <w:numPr>
          <w:ilvl w:val="0"/>
          <w:numId w:val="56"/>
        </w:numPr>
      </w:pPr>
      <w:r>
        <w:t>Stakeholder feedback</w:t>
      </w:r>
    </w:p>
    <w:p w14:paraId="74BB840C" w14:textId="77777777" w:rsidR="00BF292F" w:rsidRDefault="00BF292F" w:rsidP="00BF292F">
      <w:pPr>
        <w:pStyle w:val="Bullet1"/>
        <w:numPr>
          <w:ilvl w:val="0"/>
          <w:numId w:val="0"/>
        </w:numPr>
        <w:ind w:left="360" w:hanging="360"/>
      </w:pPr>
    </w:p>
    <w:bookmarkEnd w:id="188"/>
    <w:p w14:paraId="372BB789" w14:textId="77777777" w:rsidR="001838D5" w:rsidRDefault="001838D5" w:rsidP="001838D5">
      <w:pPr>
        <w:pStyle w:val="Heading6"/>
      </w:pPr>
      <w:r>
        <w:t>Data Collection Methods</w:t>
      </w:r>
    </w:p>
    <w:p w14:paraId="053FE3D3" w14:textId="77777777" w:rsidR="00933F3B" w:rsidRDefault="00DD07BA" w:rsidP="001838D5">
      <w:r>
        <w:t>The evaluation would utilise mixed methods to collect the data (i.e., quantitative and qualitative)</w:t>
      </w:r>
      <w:r w:rsidR="00933F3B">
        <w:t xml:space="preserve"> and thus requires a range of data collection methods. The methods outlined below would be considered for use.</w:t>
      </w:r>
    </w:p>
    <w:tbl>
      <w:tblPr>
        <w:tblStyle w:val="GridTable4-Accent2"/>
        <w:tblW w:w="0" w:type="auto"/>
        <w:tblLook w:val="04A0" w:firstRow="1" w:lastRow="0" w:firstColumn="1" w:lastColumn="0" w:noHBand="0" w:noVBand="1"/>
      </w:tblPr>
      <w:tblGrid>
        <w:gridCol w:w="2359"/>
        <w:gridCol w:w="6283"/>
      </w:tblGrid>
      <w:tr w:rsidR="00EB3E07" w:rsidRPr="00EB3E07" w14:paraId="16812869" w14:textId="77777777" w:rsidTr="0042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5329823" w14:textId="77777777" w:rsidR="00EB3E07" w:rsidRPr="00EB3E07" w:rsidRDefault="00EB3E07" w:rsidP="00EB3E07">
            <w:pPr>
              <w:spacing w:before="0" w:line="259" w:lineRule="auto"/>
            </w:pPr>
            <w:r w:rsidRPr="00EB3E07">
              <w:t xml:space="preserve">Data Collection Method </w:t>
            </w:r>
          </w:p>
        </w:tc>
        <w:tc>
          <w:tcPr>
            <w:tcW w:w="6283" w:type="dxa"/>
          </w:tcPr>
          <w:p w14:paraId="21034BD7" w14:textId="77777777" w:rsidR="00EB3E07" w:rsidRPr="00EB3E07" w:rsidRDefault="00EB3E07" w:rsidP="00EB3E07">
            <w:pPr>
              <w:spacing w:before="0" w:line="259" w:lineRule="auto"/>
              <w:cnfStyle w:val="100000000000" w:firstRow="1" w:lastRow="0" w:firstColumn="0" w:lastColumn="0" w:oddVBand="0" w:evenVBand="0" w:oddHBand="0" w:evenHBand="0" w:firstRowFirstColumn="0" w:firstRowLastColumn="0" w:lastRowFirstColumn="0" w:lastRowLastColumn="0"/>
            </w:pPr>
            <w:r w:rsidRPr="00EB3E07">
              <w:t>How to derive qualitative/quantitative data</w:t>
            </w:r>
          </w:p>
        </w:tc>
      </w:tr>
      <w:tr w:rsidR="00EB3E07" w:rsidRPr="00EB3E07" w14:paraId="652162A1"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73F80B8C" w14:textId="002DB539" w:rsidR="00EB3E07" w:rsidRPr="00EB3E07" w:rsidRDefault="00EB3E07" w:rsidP="00EB3E07">
            <w:pPr>
              <w:spacing w:before="0" w:line="259" w:lineRule="auto"/>
            </w:pPr>
            <w:r w:rsidRPr="00EB3E07">
              <w:t>Administrative data, statistics, linked datasets</w:t>
            </w:r>
          </w:p>
        </w:tc>
        <w:tc>
          <w:tcPr>
            <w:tcW w:w="6283" w:type="dxa"/>
          </w:tcPr>
          <w:p w14:paraId="0DDFFE09" w14:textId="77777777" w:rsidR="00EB3E07" w:rsidRPr="00EB3E07" w:rsidRDefault="00EB3E07" w:rsidP="00EB3E07">
            <w:pPr>
              <w:spacing w:before="0" w:line="259" w:lineRule="auto"/>
              <w:cnfStyle w:val="000000100000" w:firstRow="0" w:lastRow="0" w:firstColumn="0" w:lastColumn="0" w:oddVBand="0" w:evenVBand="0" w:oddHBand="1" w:evenHBand="0" w:firstRowFirstColumn="0" w:firstRowLastColumn="0" w:lastRowFirstColumn="0" w:lastRowLastColumn="0"/>
            </w:pPr>
            <w:r w:rsidRPr="00EB3E07">
              <w:t>An aggregated selection of quantitative data will assist in measuring activity-based metrics</w:t>
            </w:r>
          </w:p>
        </w:tc>
      </w:tr>
      <w:tr w:rsidR="00EB3E07" w:rsidRPr="00EB3E07" w14:paraId="3DB96DA5" w14:textId="77777777" w:rsidTr="00422DE8">
        <w:tc>
          <w:tcPr>
            <w:cnfStyle w:val="001000000000" w:firstRow="0" w:lastRow="0" w:firstColumn="1" w:lastColumn="0" w:oddVBand="0" w:evenVBand="0" w:oddHBand="0" w:evenHBand="0" w:firstRowFirstColumn="0" w:firstRowLastColumn="0" w:lastRowFirstColumn="0" w:lastRowLastColumn="0"/>
            <w:tcW w:w="2359" w:type="dxa"/>
          </w:tcPr>
          <w:p w14:paraId="35660FDC" w14:textId="77777777" w:rsidR="00EB3E07" w:rsidRPr="00EB3E07" w:rsidRDefault="00EB3E07" w:rsidP="00EB3E07">
            <w:pPr>
              <w:spacing w:before="0" w:line="259" w:lineRule="auto"/>
            </w:pPr>
            <w:r w:rsidRPr="00EB3E07">
              <w:t xml:space="preserve">Focus group discussions/monitoring groups meetings </w:t>
            </w:r>
          </w:p>
        </w:tc>
        <w:tc>
          <w:tcPr>
            <w:tcW w:w="6283" w:type="dxa"/>
          </w:tcPr>
          <w:p w14:paraId="277B3BFF" w14:textId="32EBF29A" w:rsidR="00EB3E07" w:rsidRPr="00EB3E07" w:rsidRDefault="00EB3E07" w:rsidP="00EB3E07">
            <w:pPr>
              <w:spacing w:before="0" w:line="259" w:lineRule="auto"/>
              <w:cnfStyle w:val="000000000000" w:firstRow="0" w:lastRow="0" w:firstColumn="0" w:lastColumn="0" w:oddVBand="0" w:evenVBand="0" w:oddHBand="0" w:evenHBand="0" w:firstRowFirstColumn="0" w:firstRowLastColumn="0" w:lastRowFirstColumn="0" w:lastRowLastColumn="0"/>
            </w:pPr>
            <w:r w:rsidRPr="00EB3E07">
              <w:t>Forum-like discussions with affected stakeholders will assist in collating qualitative data</w:t>
            </w:r>
            <w:r w:rsidR="00D00B40">
              <w:t xml:space="preserve">. </w:t>
            </w:r>
          </w:p>
        </w:tc>
      </w:tr>
      <w:tr w:rsidR="00EB3E07" w:rsidRPr="00EB3E07" w14:paraId="2EFF78BA"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DB01BC6" w14:textId="77777777" w:rsidR="00EB3E07" w:rsidRPr="00EB3E07" w:rsidRDefault="00EB3E07" w:rsidP="00EB3E07">
            <w:pPr>
              <w:spacing w:before="0" w:line="259" w:lineRule="auto"/>
            </w:pPr>
            <w:r w:rsidRPr="00EB3E07">
              <w:t>Literature review</w:t>
            </w:r>
          </w:p>
        </w:tc>
        <w:tc>
          <w:tcPr>
            <w:tcW w:w="6283" w:type="dxa"/>
          </w:tcPr>
          <w:p w14:paraId="382643B0" w14:textId="2A7F8A63" w:rsidR="00EB3E07" w:rsidRPr="00EB3E07" w:rsidRDefault="00EB3E07" w:rsidP="00EB3E07">
            <w:pPr>
              <w:spacing w:before="0" w:line="259" w:lineRule="auto"/>
              <w:cnfStyle w:val="000000100000" w:firstRow="0" w:lastRow="0" w:firstColumn="0" w:lastColumn="0" w:oddVBand="0" w:evenVBand="0" w:oddHBand="1" w:evenHBand="0" w:firstRowFirstColumn="0" w:firstRowLastColumn="0" w:lastRowFirstColumn="0" w:lastRowLastColumn="0"/>
            </w:pPr>
            <w:r w:rsidRPr="00EB3E07">
              <w:t xml:space="preserve">A systematic review of similar </w:t>
            </w:r>
            <w:r>
              <w:t>regulations introduced</w:t>
            </w:r>
            <w:r w:rsidRPr="00EB3E07">
              <w:t xml:space="preserve"> in international jurisdictions. Understanding best practice and findings in other jurisdictions will enhance the understanding of the efficacy of the </w:t>
            </w:r>
            <w:r w:rsidR="004945E5">
              <w:t>new regulations</w:t>
            </w:r>
          </w:p>
        </w:tc>
      </w:tr>
      <w:tr w:rsidR="00EB3E07" w:rsidRPr="00EB3E07" w14:paraId="6F9AF665" w14:textId="77777777" w:rsidTr="00422DE8">
        <w:tc>
          <w:tcPr>
            <w:cnfStyle w:val="001000000000" w:firstRow="0" w:lastRow="0" w:firstColumn="1" w:lastColumn="0" w:oddVBand="0" w:evenVBand="0" w:oddHBand="0" w:evenHBand="0" w:firstRowFirstColumn="0" w:firstRowLastColumn="0" w:lastRowFirstColumn="0" w:lastRowLastColumn="0"/>
            <w:tcW w:w="2359" w:type="dxa"/>
          </w:tcPr>
          <w:p w14:paraId="19C73D7B" w14:textId="77777777" w:rsidR="00EB3E07" w:rsidRPr="00EB3E07" w:rsidRDefault="00EB3E07" w:rsidP="00EB3E07">
            <w:pPr>
              <w:spacing w:before="0" w:line="259" w:lineRule="auto"/>
            </w:pPr>
            <w:r w:rsidRPr="00EB3E07">
              <w:t>Stakeholder interviews</w:t>
            </w:r>
          </w:p>
        </w:tc>
        <w:tc>
          <w:tcPr>
            <w:tcW w:w="6283" w:type="dxa"/>
          </w:tcPr>
          <w:p w14:paraId="0B8E5D38" w14:textId="4E57CD86" w:rsidR="00EB3E07" w:rsidRPr="00EB3E07" w:rsidRDefault="00EB3E07" w:rsidP="00EB3E07">
            <w:pPr>
              <w:spacing w:before="0" w:line="259" w:lineRule="auto"/>
              <w:cnfStyle w:val="000000000000" w:firstRow="0" w:lastRow="0" w:firstColumn="0" w:lastColumn="0" w:oddVBand="0" w:evenVBand="0" w:oddHBand="0" w:evenHBand="0" w:firstRowFirstColumn="0" w:firstRowLastColumn="0" w:lastRowFirstColumn="0" w:lastRowLastColumn="0"/>
            </w:pPr>
            <w:r w:rsidRPr="00EB3E07">
              <w:t xml:space="preserve">Interviewing stakeholders will provide a more subjective insight to the efficacy of the </w:t>
            </w:r>
            <w:r w:rsidR="004945E5">
              <w:t>new regulations</w:t>
            </w:r>
          </w:p>
        </w:tc>
      </w:tr>
      <w:tr w:rsidR="00EB3E07" w:rsidRPr="00EB3E07" w14:paraId="5ECDA9D7" w14:textId="77777777" w:rsidTr="0042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6EB84B8" w14:textId="77777777" w:rsidR="00EB3E07" w:rsidRPr="00EB3E07" w:rsidRDefault="00EB3E07" w:rsidP="00EB3E07">
            <w:pPr>
              <w:spacing w:before="0" w:line="259" w:lineRule="auto"/>
            </w:pPr>
            <w:r w:rsidRPr="00EB3E07">
              <w:t xml:space="preserve">Survey </w:t>
            </w:r>
          </w:p>
        </w:tc>
        <w:tc>
          <w:tcPr>
            <w:tcW w:w="6283" w:type="dxa"/>
          </w:tcPr>
          <w:p w14:paraId="344F3C6B" w14:textId="18407253" w:rsidR="00EB3E07" w:rsidRPr="00EB3E07" w:rsidRDefault="00EB3E07" w:rsidP="00EB3E07">
            <w:pPr>
              <w:spacing w:before="0" w:line="259" w:lineRule="auto"/>
              <w:cnfStyle w:val="000000100000" w:firstRow="0" w:lastRow="0" w:firstColumn="0" w:lastColumn="0" w:oddVBand="0" w:evenVBand="0" w:oddHBand="1" w:evenHBand="0" w:firstRowFirstColumn="0" w:firstRowLastColumn="0" w:lastRowFirstColumn="0" w:lastRowLastColumn="0"/>
            </w:pPr>
            <w:r w:rsidRPr="00EB3E07">
              <w:t>Survey</w:t>
            </w:r>
            <w:r w:rsidR="004945E5">
              <w:t xml:space="preserve">s could </w:t>
            </w:r>
            <w:r w:rsidRPr="00EB3E07">
              <w:t xml:space="preserve">be structured to query and answer key aspects of the evaluation of the </w:t>
            </w:r>
            <w:r w:rsidR="004945E5">
              <w:t>new regulations</w:t>
            </w:r>
          </w:p>
        </w:tc>
      </w:tr>
      <w:tr w:rsidR="00664E8D" w:rsidRPr="00EB3E07" w14:paraId="30AFB79B" w14:textId="77777777" w:rsidTr="00D00B40">
        <w:tc>
          <w:tcPr>
            <w:cnfStyle w:val="001000000000" w:firstRow="0" w:lastRow="0" w:firstColumn="1" w:lastColumn="0" w:oddVBand="0" w:evenVBand="0" w:oddHBand="0" w:evenHBand="0" w:firstRowFirstColumn="0" w:firstRowLastColumn="0" w:lastRowFirstColumn="0" w:lastRowLastColumn="0"/>
            <w:tcW w:w="2359" w:type="dxa"/>
          </w:tcPr>
          <w:p w14:paraId="7441DD18" w14:textId="3C9588BC" w:rsidR="00664E8D" w:rsidRPr="00EB3E07" w:rsidRDefault="00664E8D" w:rsidP="00EB3E07">
            <w:r>
              <w:t>Compliance monitoring</w:t>
            </w:r>
          </w:p>
        </w:tc>
        <w:tc>
          <w:tcPr>
            <w:tcW w:w="6283" w:type="dxa"/>
          </w:tcPr>
          <w:p w14:paraId="1DCBDB7B" w14:textId="5C9E1EA5" w:rsidR="00664E8D" w:rsidRPr="00EB3E07" w:rsidRDefault="00664E8D" w:rsidP="00EB3E07">
            <w:pPr>
              <w:cnfStyle w:val="000000000000" w:firstRow="0" w:lastRow="0" w:firstColumn="0" w:lastColumn="0" w:oddVBand="0" w:evenVBand="0" w:oddHBand="0" w:evenHBand="0" w:firstRowFirstColumn="0" w:firstRowLastColumn="0" w:lastRowFirstColumn="0" w:lastRowLastColumn="0"/>
            </w:pPr>
            <w:r>
              <w:t>Conduct random sampling of reports for completeness and accuracy and perform regular audits to ensure ongoing compliance with reporting requirements.</w:t>
            </w:r>
          </w:p>
        </w:tc>
      </w:tr>
    </w:tbl>
    <w:p w14:paraId="6F168C62" w14:textId="77777777" w:rsidR="00D00B40" w:rsidRDefault="00D00B40"/>
    <w:p w14:paraId="5B99E084" w14:textId="7BB9F05D" w:rsidR="009809EF" w:rsidRPr="00313E9E" w:rsidRDefault="00D00B40" w:rsidP="00B5674C">
      <w:pPr>
        <w:pStyle w:val="Heading6"/>
      </w:pPr>
      <w:r>
        <w:t xml:space="preserve">Future consultation and reporting </w:t>
      </w:r>
      <w:r w:rsidR="002317E8">
        <w:br/>
      </w:r>
      <w:r w:rsidR="002317E8">
        <w:br/>
      </w:r>
      <w:r w:rsidR="009809EF" w:rsidRPr="00B5674C">
        <w:rPr>
          <w:b w:val="0"/>
          <w:bCs w:val="0"/>
          <w:i w:val="0"/>
          <w:iCs/>
          <w:sz w:val="20"/>
          <w:szCs w:val="20"/>
        </w:rPr>
        <w:t>The following consultation and reporting strategies are proposed:</w:t>
      </w:r>
    </w:p>
    <w:p w14:paraId="087B9B4F" w14:textId="77777777" w:rsidR="009809EF" w:rsidRPr="00EF3DC2" w:rsidRDefault="00D00B40" w:rsidP="00F3751D">
      <w:pPr>
        <w:pStyle w:val="ListParagraph"/>
        <w:numPr>
          <w:ilvl w:val="0"/>
          <w:numId w:val="44"/>
        </w:numPr>
      </w:pPr>
      <w:r w:rsidRPr="00F3751D">
        <w:rPr>
          <w:sz w:val="20"/>
          <w:szCs w:val="20"/>
        </w:rPr>
        <w:t>Maintain regular communication with stakeholders, including the Commission, public and private hospitals, industry representatives and patient advocacy groups to gather feedback and address emerging issues.</w:t>
      </w:r>
    </w:p>
    <w:p w14:paraId="3D71A973" w14:textId="6457699D" w:rsidR="009809EF" w:rsidRPr="00EF3DC2" w:rsidRDefault="00D00B40" w:rsidP="00F3751D">
      <w:pPr>
        <w:pStyle w:val="ListParagraph"/>
        <w:numPr>
          <w:ilvl w:val="0"/>
          <w:numId w:val="44"/>
        </w:numPr>
      </w:pPr>
      <w:r w:rsidRPr="00F3751D">
        <w:rPr>
          <w:sz w:val="20"/>
          <w:szCs w:val="20"/>
        </w:rPr>
        <w:t xml:space="preserve">Provide guidance and training materials </w:t>
      </w:r>
      <w:r w:rsidR="00664E8D" w:rsidRPr="00F3751D">
        <w:rPr>
          <w:sz w:val="20"/>
          <w:szCs w:val="20"/>
        </w:rPr>
        <w:t>on the reporting requirements and procedures.</w:t>
      </w:r>
    </w:p>
    <w:p w14:paraId="0743EDA2" w14:textId="5D39C28F" w:rsidR="00D00B40" w:rsidRPr="00F3751D" w:rsidRDefault="00980BB8">
      <w:pPr>
        <w:pStyle w:val="ListParagraph"/>
        <w:numPr>
          <w:ilvl w:val="0"/>
          <w:numId w:val="44"/>
        </w:numPr>
      </w:pPr>
      <w:r>
        <w:rPr>
          <w:sz w:val="20"/>
          <w:szCs w:val="20"/>
        </w:rPr>
        <w:t>The TGA</w:t>
      </w:r>
      <w:r w:rsidR="00D00B40" w:rsidRPr="00F3751D">
        <w:rPr>
          <w:sz w:val="20"/>
          <w:szCs w:val="20"/>
        </w:rPr>
        <w:t xml:space="preserve"> will continue engagement </w:t>
      </w:r>
      <w:r>
        <w:rPr>
          <w:sz w:val="20"/>
          <w:szCs w:val="20"/>
        </w:rPr>
        <w:t xml:space="preserve">with jurisdictions, private and day hospitals </w:t>
      </w:r>
      <w:r w:rsidR="00D00B40" w:rsidRPr="00F3751D">
        <w:rPr>
          <w:sz w:val="20"/>
          <w:szCs w:val="20"/>
        </w:rPr>
        <w:t>to provide periodic updates on the progress of implementation and any modifications to the IT systems or processes based on organisational requirements.</w:t>
      </w:r>
    </w:p>
    <w:p w14:paraId="107B836F" w14:textId="6854B300" w:rsidR="00D00B40" w:rsidRPr="00EF3DC2" w:rsidRDefault="00D00B40" w:rsidP="00F3751D">
      <w:pPr>
        <w:pStyle w:val="ListParagraph"/>
        <w:numPr>
          <w:ilvl w:val="0"/>
          <w:numId w:val="44"/>
        </w:numPr>
      </w:pPr>
      <w:r w:rsidRPr="00F3751D">
        <w:rPr>
          <w:sz w:val="20"/>
          <w:szCs w:val="20"/>
        </w:rPr>
        <w:t>Regular updates on the TGA website on the progress of the mandatory reporting scheme including key metrics, milestones achieved and any changes to the implementation plan.</w:t>
      </w:r>
    </w:p>
    <w:p w14:paraId="59B005DB" w14:textId="77777777" w:rsidR="00D00B40" w:rsidRDefault="00D00B40" w:rsidP="00D00B40"/>
    <w:p w14:paraId="683A8F4F" w14:textId="02D29322" w:rsidR="00C8738F" w:rsidRDefault="00C8738F">
      <w:r>
        <w:br w:type="page"/>
      </w:r>
    </w:p>
    <w:p w14:paraId="5596E7DF" w14:textId="7D602D1B" w:rsidR="00325224" w:rsidRDefault="00DE5D68" w:rsidP="00F9197A">
      <w:pPr>
        <w:pStyle w:val="Heading2"/>
      </w:pPr>
      <w:bookmarkStart w:id="189" w:name="_Toc179531333"/>
      <w:bookmarkStart w:id="190" w:name="_Toc188012884"/>
      <w:r>
        <w:t>Appendi</w:t>
      </w:r>
      <w:r w:rsidR="008770A1">
        <w:t>x</w:t>
      </w:r>
      <w:r w:rsidR="00D742D5">
        <w:t xml:space="preserve"> A</w:t>
      </w:r>
      <w:r w:rsidR="008770A1">
        <w:t xml:space="preserve">: </w:t>
      </w:r>
      <w:r w:rsidR="00325224">
        <w:t>Cost Benefits Summary</w:t>
      </w:r>
      <w:bookmarkEnd w:id="189"/>
      <w:r w:rsidR="00A449B0">
        <w:t xml:space="preserve"> and Multi-Criteria Analysis</w:t>
      </w:r>
      <w:bookmarkEnd w:id="190"/>
    </w:p>
    <w:p w14:paraId="55E38194" w14:textId="1BB9744F" w:rsidR="00325224" w:rsidRDefault="00325224" w:rsidP="00325224">
      <w:r>
        <w:t>The following table provides a summary of the benefits and costs of each measure, relative to each of the key stakeholder groups (i.e., government, manufacturers and sponsors, healthcare facilities, and the general public).</w:t>
      </w:r>
    </w:p>
    <w:p w14:paraId="1A983375" w14:textId="338AA19C" w:rsidR="005E0398" w:rsidRPr="005E0398" w:rsidRDefault="005E0398" w:rsidP="00325224">
      <w:pPr>
        <w:rPr>
          <w:i/>
          <w:iCs/>
          <w:color w:val="44546A"/>
        </w:rPr>
      </w:pPr>
      <w:r w:rsidRPr="005E0398">
        <w:rPr>
          <w:i/>
          <w:iCs/>
          <w:color w:val="44546A"/>
        </w:rPr>
        <w:t>Table 10. Cost Benefits Summary</w:t>
      </w:r>
    </w:p>
    <w:tbl>
      <w:tblPr>
        <w:tblStyle w:val="TableGrid"/>
        <w:tblW w:w="0" w:type="auto"/>
        <w:tblInd w:w="988" w:type="dxa"/>
        <w:tblLook w:val="04A0" w:firstRow="1" w:lastRow="0" w:firstColumn="1" w:lastColumn="0" w:noHBand="0" w:noVBand="1"/>
      </w:tblPr>
      <w:tblGrid>
        <w:gridCol w:w="1041"/>
        <w:gridCol w:w="1041"/>
        <w:gridCol w:w="1041"/>
      </w:tblGrid>
      <w:tr w:rsidR="00325224" w:rsidRPr="00325224" w14:paraId="7E6051E8" w14:textId="77777777" w:rsidTr="008C6AC3">
        <w:trPr>
          <w:trHeight w:val="453"/>
        </w:trPr>
        <w:tc>
          <w:tcPr>
            <w:tcW w:w="1041" w:type="dxa"/>
            <w:shd w:val="clear" w:color="auto" w:fill="0A2F41" w:themeFill="accent1" w:themeFillShade="80"/>
          </w:tcPr>
          <w:p w14:paraId="13EEE163" w14:textId="77777777" w:rsidR="00325224" w:rsidRPr="00325224" w:rsidRDefault="00325224" w:rsidP="00325224">
            <w:pPr>
              <w:spacing w:after="120" w:line="259" w:lineRule="auto"/>
              <w:rPr>
                <w:rFonts w:eastAsiaTheme="minorHAnsi" w:cstheme="minorBidi"/>
                <w:b/>
                <w:bCs/>
                <w:sz w:val="20"/>
                <w:szCs w:val="20"/>
                <w:lang w:eastAsia="en-US"/>
              </w:rPr>
            </w:pPr>
            <w:r w:rsidRPr="00325224">
              <w:rPr>
                <w:rFonts w:eastAsiaTheme="minorHAnsi" w:cstheme="minorBidi"/>
                <w:b/>
                <w:bCs/>
                <w:sz w:val="20"/>
                <w:szCs w:val="20"/>
                <w:lang w:eastAsia="en-US"/>
              </w:rPr>
              <w:t>Key</w:t>
            </w:r>
          </w:p>
        </w:tc>
        <w:tc>
          <w:tcPr>
            <w:tcW w:w="1041" w:type="dxa"/>
            <w:shd w:val="clear" w:color="auto" w:fill="D9F2D0" w:themeFill="accent6" w:themeFillTint="33"/>
          </w:tcPr>
          <w:p w14:paraId="4E49458A" w14:textId="77777777" w:rsidR="00325224" w:rsidRPr="00325224" w:rsidRDefault="00325224" w:rsidP="00325224">
            <w:pPr>
              <w:spacing w:after="120" w:line="259" w:lineRule="auto"/>
              <w:rPr>
                <w:rFonts w:eastAsiaTheme="minorHAnsi" w:cstheme="minorBidi"/>
                <w:sz w:val="20"/>
                <w:szCs w:val="20"/>
                <w:lang w:eastAsia="en-US"/>
              </w:rPr>
            </w:pPr>
            <w:r w:rsidRPr="00325224">
              <w:rPr>
                <w:rFonts w:eastAsiaTheme="minorHAnsi" w:cstheme="minorBidi"/>
                <w:sz w:val="20"/>
                <w:szCs w:val="20"/>
                <w:lang w:eastAsia="en-US"/>
              </w:rPr>
              <w:t>Benefits</w:t>
            </w:r>
          </w:p>
        </w:tc>
        <w:tc>
          <w:tcPr>
            <w:tcW w:w="1041" w:type="dxa"/>
            <w:shd w:val="clear" w:color="auto" w:fill="FAE2D5" w:themeFill="accent2" w:themeFillTint="33"/>
          </w:tcPr>
          <w:p w14:paraId="6BFDB046" w14:textId="77777777" w:rsidR="00325224" w:rsidRPr="00325224" w:rsidRDefault="00325224" w:rsidP="00325224">
            <w:pPr>
              <w:spacing w:after="120" w:line="259" w:lineRule="auto"/>
              <w:rPr>
                <w:rFonts w:eastAsiaTheme="minorHAnsi" w:cstheme="minorBidi"/>
                <w:sz w:val="20"/>
                <w:szCs w:val="20"/>
                <w:lang w:eastAsia="en-US"/>
              </w:rPr>
            </w:pPr>
            <w:r w:rsidRPr="00325224">
              <w:rPr>
                <w:rFonts w:eastAsiaTheme="minorHAnsi" w:cstheme="minorBidi"/>
                <w:sz w:val="20"/>
                <w:szCs w:val="20"/>
                <w:lang w:eastAsia="en-US"/>
              </w:rPr>
              <w:t>Costs</w:t>
            </w:r>
          </w:p>
        </w:tc>
      </w:tr>
    </w:tbl>
    <w:p w14:paraId="50332173" w14:textId="77777777" w:rsidR="00325224" w:rsidRPr="00325224" w:rsidRDefault="00325224" w:rsidP="00325224"/>
    <w:tbl>
      <w:tblPr>
        <w:tblStyle w:val="TableTGAblue2023"/>
        <w:tblW w:w="10774" w:type="dxa"/>
        <w:tblInd w:w="-851" w:type="dxa"/>
        <w:tblLayout w:type="fixed"/>
        <w:tblLook w:val="04A0" w:firstRow="1" w:lastRow="0" w:firstColumn="1" w:lastColumn="0" w:noHBand="0" w:noVBand="1"/>
      </w:tblPr>
      <w:tblGrid>
        <w:gridCol w:w="1843"/>
        <w:gridCol w:w="2232"/>
        <w:gridCol w:w="2233"/>
        <w:gridCol w:w="2233"/>
        <w:gridCol w:w="2233"/>
      </w:tblGrid>
      <w:tr w:rsidR="00325224" w:rsidRPr="00325224" w14:paraId="2B857186" w14:textId="77777777" w:rsidTr="008C6AC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tcBorders>
            <w:shd w:val="clear" w:color="auto" w:fill="auto"/>
          </w:tcPr>
          <w:p w14:paraId="54970F78" w14:textId="77777777" w:rsidR="00325224" w:rsidRPr="00325224" w:rsidRDefault="00325224" w:rsidP="00325224">
            <w:pPr>
              <w:keepNext w:val="0"/>
              <w:spacing w:before="0" w:after="120" w:line="259" w:lineRule="auto"/>
              <w:ind w:left="0"/>
              <w:rPr>
                <w:rFonts w:eastAsiaTheme="minorHAnsi" w:cstheme="minorBidi"/>
                <w:color w:val="auto"/>
                <w:sz w:val="20"/>
                <w:szCs w:val="20"/>
                <w:lang w:eastAsia="en-US"/>
              </w:rPr>
            </w:pPr>
          </w:p>
        </w:tc>
        <w:tc>
          <w:tcPr>
            <w:tcW w:w="8931" w:type="dxa"/>
            <w:gridSpan w:val="4"/>
            <w:shd w:val="clear" w:color="auto" w:fill="0A2F41" w:themeFill="accent1" w:themeFillShade="80"/>
            <w:vAlign w:val="center"/>
          </w:tcPr>
          <w:p w14:paraId="42394E81" w14:textId="77777777" w:rsidR="00325224" w:rsidRPr="00325224" w:rsidRDefault="00325224" w:rsidP="00325224">
            <w:pPr>
              <w:keepNext w:val="0"/>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IMPACT</w:t>
            </w:r>
          </w:p>
        </w:tc>
      </w:tr>
      <w:tr w:rsidR="00325224" w:rsidRPr="00325224" w14:paraId="34731649" w14:textId="77777777" w:rsidTr="008C6AC3">
        <w:trPr>
          <w:trHeight w:val="810"/>
        </w:trPr>
        <w:tc>
          <w:tcPr>
            <w:cnfStyle w:val="001000000000" w:firstRow="0" w:lastRow="0" w:firstColumn="1" w:lastColumn="0" w:oddVBand="0" w:evenVBand="0" w:oddHBand="0" w:evenHBand="0" w:firstRowFirstColumn="0" w:firstRowLastColumn="0" w:lastRowFirstColumn="0" w:lastRowLastColumn="0"/>
            <w:tcW w:w="1843" w:type="dxa"/>
            <w:shd w:val="clear" w:color="auto" w:fill="C1E4F5" w:themeFill="accent1" w:themeFillTint="33"/>
          </w:tcPr>
          <w:p w14:paraId="3960E02C"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Measure</w:t>
            </w:r>
          </w:p>
        </w:tc>
        <w:tc>
          <w:tcPr>
            <w:tcW w:w="2232" w:type="dxa"/>
            <w:shd w:val="clear" w:color="auto" w:fill="C1E4F5" w:themeFill="accent1" w:themeFillTint="33"/>
          </w:tcPr>
          <w:p w14:paraId="5484BE31"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b/>
                <w:color w:val="auto"/>
                <w:sz w:val="20"/>
                <w:szCs w:val="20"/>
                <w:lang w:eastAsia="en-US"/>
              </w:rPr>
              <w:t>Government</w:t>
            </w:r>
          </w:p>
        </w:tc>
        <w:tc>
          <w:tcPr>
            <w:tcW w:w="2233" w:type="dxa"/>
            <w:shd w:val="clear" w:color="auto" w:fill="C1E4F5" w:themeFill="accent1" w:themeFillTint="33"/>
          </w:tcPr>
          <w:p w14:paraId="03813F36"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b/>
                <w:color w:val="auto"/>
                <w:sz w:val="20"/>
                <w:szCs w:val="20"/>
                <w:lang w:eastAsia="en-US"/>
              </w:rPr>
              <w:t>Manufacturers &amp; Sponsors</w:t>
            </w:r>
          </w:p>
        </w:tc>
        <w:tc>
          <w:tcPr>
            <w:tcW w:w="2233" w:type="dxa"/>
            <w:shd w:val="clear" w:color="auto" w:fill="C1E4F5" w:themeFill="accent1" w:themeFillTint="33"/>
          </w:tcPr>
          <w:p w14:paraId="1062B331"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b/>
                <w:color w:val="auto"/>
                <w:sz w:val="20"/>
                <w:szCs w:val="20"/>
                <w:lang w:eastAsia="en-US"/>
              </w:rPr>
              <w:t>Healthcare Facilities</w:t>
            </w:r>
          </w:p>
        </w:tc>
        <w:tc>
          <w:tcPr>
            <w:tcW w:w="2233" w:type="dxa"/>
            <w:shd w:val="clear" w:color="auto" w:fill="C1E4F5" w:themeFill="accent1" w:themeFillTint="33"/>
          </w:tcPr>
          <w:p w14:paraId="35811799"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b/>
                <w:color w:val="auto"/>
                <w:sz w:val="20"/>
                <w:szCs w:val="20"/>
                <w:lang w:eastAsia="en-US"/>
              </w:rPr>
              <w:t>General Public</w:t>
            </w:r>
          </w:p>
        </w:tc>
      </w:tr>
      <w:tr w:rsidR="00325224" w:rsidRPr="00325224" w14:paraId="0276EA58" w14:textId="77777777" w:rsidTr="008C6AC3">
        <w:trPr>
          <w:trHeight w:val="1340"/>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3E2AAFDC"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r w:rsidRPr="00325224">
              <w:rPr>
                <w:rFonts w:eastAsiaTheme="minorHAnsi" w:cstheme="minorBidi"/>
                <w:b/>
                <w:bCs/>
                <w:color w:val="auto"/>
                <w:sz w:val="20"/>
                <w:szCs w:val="20"/>
                <w:u w:val="single"/>
                <w:lang w:eastAsia="en-US"/>
              </w:rPr>
              <w:t>Measure 1</w:t>
            </w:r>
          </w:p>
          <w:p w14:paraId="06A94D63"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Impose mandatory reporting of medical device adverse events for public and private hospitals (including day hospitals)</w:t>
            </w:r>
          </w:p>
        </w:tc>
        <w:tc>
          <w:tcPr>
            <w:tcW w:w="2232" w:type="dxa"/>
            <w:shd w:val="clear" w:color="auto" w:fill="D9F2D0" w:themeFill="accent6" w:themeFillTint="33"/>
          </w:tcPr>
          <w:p w14:paraId="280A86DD"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Increased volume of medical device adverse event data</w:t>
            </w:r>
          </w:p>
          <w:p w14:paraId="36E49318"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ability to detect rarer events / weaker signals</w:t>
            </w:r>
          </w:p>
          <w:p w14:paraId="79EBCC24"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Increased assurance relating to medical device adverse events reported by medical device sponsors and manufacturers</w:t>
            </w:r>
          </w:p>
        </w:tc>
        <w:tc>
          <w:tcPr>
            <w:tcW w:w="2233" w:type="dxa"/>
            <w:shd w:val="clear" w:color="auto" w:fill="D9F2D0" w:themeFill="accent6" w:themeFillTint="33"/>
          </w:tcPr>
          <w:p w14:paraId="66038BC5"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Increased quality of medical device reporting from healthcare facilities</w:t>
            </w:r>
          </w:p>
          <w:p w14:paraId="3115E6CC"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ability to prevent serious public health events (e.g., Urogynaecological Mesh case)</w:t>
            </w:r>
          </w:p>
        </w:tc>
        <w:tc>
          <w:tcPr>
            <w:tcW w:w="2233" w:type="dxa"/>
            <w:shd w:val="clear" w:color="auto" w:fill="D9F2D0" w:themeFill="accent6" w:themeFillTint="33"/>
          </w:tcPr>
          <w:p w14:paraId="3043FEF8"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More informed clinical decision making in relation to the procurement and use of medical devices</w:t>
            </w:r>
          </w:p>
        </w:tc>
        <w:tc>
          <w:tcPr>
            <w:tcW w:w="2233" w:type="dxa"/>
            <w:shd w:val="clear" w:color="auto" w:fill="D9F2D0" w:themeFill="accent6" w:themeFillTint="33"/>
          </w:tcPr>
          <w:p w14:paraId="3B994849" w14:textId="77777777" w:rsidR="00325224" w:rsidRPr="00325224" w:rsidRDefault="00325224" w:rsidP="00325224">
            <w:pPr>
              <w:numPr>
                <w:ilvl w:val="0"/>
                <w:numId w:val="26"/>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More timely notification of potential health risks relating to medical devices</w:t>
            </w:r>
          </w:p>
        </w:tc>
      </w:tr>
      <w:tr w:rsidR="00325224" w:rsidRPr="00325224" w14:paraId="41893EAD" w14:textId="77777777" w:rsidTr="008C6AC3">
        <w:trPr>
          <w:trHeight w:val="133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2708F2EF"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p>
        </w:tc>
        <w:tc>
          <w:tcPr>
            <w:tcW w:w="2232" w:type="dxa"/>
            <w:shd w:val="clear" w:color="auto" w:fill="FAE2D5" w:themeFill="accent2" w:themeFillTint="33"/>
          </w:tcPr>
          <w:p w14:paraId="1D5C80D0"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Cost of resources required to review, assess and respond to incoming medical device adverse event reports (e.g., investigations)</w:t>
            </w:r>
          </w:p>
        </w:tc>
        <w:tc>
          <w:tcPr>
            <w:tcW w:w="2233" w:type="dxa"/>
            <w:shd w:val="clear" w:color="auto" w:fill="FAE2D5" w:themeFill="accent2" w:themeFillTint="33"/>
          </w:tcPr>
          <w:p w14:paraId="00C668B5"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Increased volume and therefore cost of compliance and response activities related to medical device adverse events (e.g., fines, recalls, defect corrections, hazard alerts etc.)</w:t>
            </w:r>
          </w:p>
        </w:tc>
        <w:tc>
          <w:tcPr>
            <w:tcW w:w="2233" w:type="dxa"/>
            <w:shd w:val="clear" w:color="auto" w:fill="FAE2D5" w:themeFill="accent2" w:themeFillTint="33"/>
          </w:tcPr>
          <w:p w14:paraId="56ABA39F"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Cost of resources required to complete, review, compile and submit medical device adverse event reports</w:t>
            </w:r>
          </w:p>
          <w:p w14:paraId="11B0E9A0"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Cost of resources required to review guidance material relating to reporting of medical device adverse events</w:t>
            </w:r>
          </w:p>
        </w:tc>
        <w:tc>
          <w:tcPr>
            <w:tcW w:w="2233" w:type="dxa"/>
            <w:shd w:val="clear" w:color="auto" w:fill="FAE2D5" w:themeFill="accent2" w:themeFillTint="33"/>
          </w:tcPr>
          <w:p w14:paraId="4AFF5C6A"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to reduce consumer choice through a reduction in the number of medical device options available</w:t>
            </w:r>
          </w:p>
        </w:tc>
      </w:tr>
      <w:tr w:rsidR="00325224" w:rsidRPr="00325224" w14:paraId="5B633ECA" w14:textId="77777777" w:rsidTr="008C6AC3">
        <w:trPr>
          <w:trHeight w:val="938"/>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49364977"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r w:rsidRPr="00325224">
              <w:rPr>
                <w:rFonts w:eastAsiaTheme="minorHAnsi" w:cstheme="minorBidi"/>
                <w:b/>
                <w:bCs/>
                <w:color w:val="auto"/>
                <w:sz w:val="20"/>
                <w:szCs w:val="20"/>
                <w:u w:val="single"/>
                <w:lang w:eastAsia="en-US"/>
              </w:rPr>
              <w:t>Measure 2</w:t>
            </w:r>
          </w:p>
          <w:p w14:paraId="42AD332C"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Prescribe Class III medical devices, AIMDs and Class 4 IVDs as ‘reportable medical devices’</w:t>
            </w:r>
          </w:p>
        </w:tc>
        <w:tc>
          <w:tcPr>
            <w:tcW w:w="2232" w:type="dxa"/>
            <w:shd w:val="clear" w:color="auto" w:fill="D9F2D0" w:themeFill="accent6" w:themeFillTint="33"/>
          </w:tcPr>
          <w:p w14:paraId="0990E9C4"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More rapid estimation of the frequency and severity of safety problems associated with high-risk medical devices</w:t>
            </w:r>
          </w:p>
        </w:tc>
        <w:tc>
          <w:tcPr>
            <w:tcW w:w="2233" w:type="dxa"/>
            <w:shd w:val="clear" w:color="auto" w:fill="D9F2D0" w:themeFill="accent6" w:themeFillTint="33"/>
          </w:tcPr>
          <w:p w14:paraId="1764C252"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D9F2D0" w:themeFill="accent6" w:themeFillTint="33"/>
          </w:tcPr>
          <w:p w14:paraId="0F7F8D86"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Lowest resource impost on the regulated community (i.e., the smallest scope of reporting)</w:t>
            </w:r>
          </w:p>
        </w:tc>
        <w:tc>
          <w:tcPr>
            <w:tcW w:w="2233" w:type="dxa"/>
            <w:shd w:val="clear" w:color="auto" w:fill="D9F2D0" w:themeFill="accent6" w:themeFillTint="33"/>
          </w:tcPr>
          <w:p w14:paraId="2B64F6F7"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3040C025" w14:textId="77777777" w:rsidTr="008C6AC3">
        <w:trPr>
          <w:trHeight w:val="93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096CBC27"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p>
        </w:tc>
        <w:tc>
          <w:tcPr>
            <w:tcW w:w="2232" w:type="dxa"/>
            <w:shd w:val="clear" w:color="auto" w:fill="FAE2D5" w:themeFill="accent2" w:themeFillTint="33"/>
          </w:tcPr>
          <w:p w14:paraId="2B7AE5CF"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Smallest scope of reporting of the policy options presented</w:t>
            </w:r>
          </w:p>
        </w:tc>
        <w:tc>
          <w:tcPr>
            <w:tcW w:w="2233" w:type="dxa"/>
            <w:shd w:val="clear" w:color="auto" w:fill="FAE2D5" w:themeFill="accent2" w:themeFillTint="33"/>
          </w:tcPr>
          <w:p w14:paraId="24CEEE2C"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FAE2D5" w:themeFill="accent2" w:themeFillTint="33"/>
          </w:tcPr>
          <w:p w14:paraId="3193DBC3"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Resources required to upskill staff on how to identify and verify the class of medical device involved in the adverse event</w:t>
            </w:r>
          </w:p>
        </w:tc>
        <w:tc>
          <w:tcPr>
            <w:tcW w:w="2233" w:type="dxa"/>
            <w:shd w:val="clear" w:color="auto" w:fill="FAE2D5" w:themeFill="accent2" w:themeFillTint="33"/>
          </w:tcPr>
          <w:p w14:paraId="10629026"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6A57AF63" w14:textId="77777777" w:rsidTr="008C6AC3">
        <w:trPr>
          <w:trHeight w:val="938"/>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3F182A14"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r w:rsidRPr="00325224">
              <w:rPr>
                <w:rFonts w:eastAsiaTheme="minorHAnsi" w:cstheme="minorBidi"/>
                <w:b/>
                <w:bCs/>
                <w:color w:val="auto"/>
                <w:sz w:val="20"/>
                <w:szCs w:val="20"/>
                <w:u w:val="single"/>
                <w:lang w:eastAsia="en-US"/>
              </w:rPr>
              <w:t>Measure 3</w:t>
            </w:r>
          </w:p>
          <w:p w14:paraId="1D13048E"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Introduction of additional reporting fields relating to medical devices</w:t>
            </w:r>
          </w:p>
        </w:tc>
        <w:tc>
          <w:tcPr>
            <w:tcW w:w="2232" w:type="dxa"/>
            <w:shd w:val="clear" w:color="auto" w:fill="D9F2D0" w:themeFill="accent6" w:themeFillTint="33"/>
          </w:tcPr>
          <w:p w14:paraId="7DA27367"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ability to detect rarer events / weaker signals</w:t>
            </w:r>
          </w:p>
          <w:p w14:paraId="5C3242FB"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Increased consistency in the quality and content of medical devices adverse event reports</w:t>
            </w:r>
          </w:p>
        </w:tc>
        <w:tc>
          <w:tcPr>
            <w:tcW w:w="2233" w:type="dxa"/>
            <w:shd w:val="clear" w:color="auto" w:fill="D9F2D0" w:themeFill="accent6" w:themeFillTint="33"/>
          </w:tcPr>
          <w:p w14:paraId="0F408E19"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Increased consistency in the quality and content of medical devices adverse event reports</w:t>
            </w:r>
          </w:p>
        </w:tc>
        <w:tc>
          <w:tcPr>
            <w:tcW w:w="2233" w:type="dxa"/>
            <w:shd w:val="clear" w:color="auto" w:fill="D9F2D0" w:themeFill="accent6" w:themeFillTint="33"/>
          </w:tcPr>
          <w:p w14:paraId="3A9812AC"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guidance on the minimum data requirements for medical device adverse event reporting</w:t>
            </w:r>
          </w:p>
        </w:tc>
        <w:tc>
          <w:tcPr>
            <w:tcW w:w="2233" w:type="dxa"/>
            <w:shd w:val="clear" w:color="auto" w:fill="D9F2D0" w:themeFill="accent6" w:themeFillTint="33"/>
          </w:tcPr>
          <w:p w14:paraId="77113629" w14:textId="77777777" w:rsidR="00325224" w:rsidRPr="00325224" w:rsidRDefault="00325224" w:rsidP="00B44D85">
            <w:pPr>
              <w:spacing w:before="0" w:after="120" w:line="259" w:lineRule="auto"/>
              <w:ind w:left="36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18BD3EAF" w14:textId="77777777" w:rsidTr="008C6AC3">
        <w:trPr>
          <w:trHeight w:val="93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40F069C4"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p>
        </w:tc>
        <w:tc>
          <w:tcPr>
            <w:tcW w:w="2232" w:type="dxa"/>
            <w:shd w:val="clear" w:color="auto" w:fill="FAE2D5" w:themeFill="accent2" w:themeFillTint="33"/>
          </w:tcPr>
          <w:p w14:paraId="62166742"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Significant system development is required to facilitate the expedient transfer of medical device adverse event reporting data</w:t>
            </w:r>
          </w:p>
        </w:tc>
        <w:tc>
          <w:tcPr>
            <w:tcW w:w="2233" w:type="dxa"/>
            <w:shd w:val="clear" w:color="auto" w:fill="FAE2D5" w:themeFill="accent2" w:themeFillTint="33"/>
          </w:tcPr>
          <w:p w14:paraId="10842DC4"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FAE2D5" w:themeFill="accent2" w:themeFillTint="33"/>
          </w:tcPr>
          <w:p w14:paraId="39DC6310"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Cost of resources required to complete, review, compile and submit medical device adverse event reports</w:t>
            </w:r>
          </w:p>
          <w:p w14:paraId="56D132C1"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Cost of local incident management system improvements necessary to facilitate additional reporting fields</w:t>
            </w:r>
          </w:p>
        </w:tc>
        <w:tc>
          <w:tcPr>
            <w:tcW w:w="2233" w:type="dxa"/>
            <w:shd w:val="clear" w:color="auto" w:fill="FAE2D5" w:themeFill="accent2" w:themeFillTint="33"/>
          </w:tcPr>
          <w:p w14:paraId="3294FD11"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6D0D2603" w14:textId="77777777" w:rsidTr="008C6AC3">
        <w:trPr>
          <w:trHeight w:val="804"/>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2F1A7A52"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r w:rsidRPr="00325224">
              <w:rPr>
                <w:rFonts w:eastAsiaTheme="minorHAnsi" w:cstheme="minorBidi"/>
                <w:b/>
                <w:bCs/>
                <w:color w:val="auto"/>
                <w:sz w:val="20"/>
                <w:szCs w:val="20"/>
                <w:u w:val="single"/>
                <w:lang w:eastAsia="en-US"/>
              </w:rPr>
              <w:t>Measure 4</w:t>
            </w:r>
          </w:p>
          <w:p w14:paraId="25D35EDA"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Awareness / communication campaign</w:t>
            </w:r>
          </w:p>
        </w:tc>
        <w:tc>
          <w:tcPr>
            <w:tcW w:w="2232" w:type="dxa"/>
            <w:shd w:val="clear" w:color="auto" w:fill="D9F2D0" w:themeFill="accent6" w:themeFillTint="33"/>
          </w:tcPr>
          <w:p w14:paraId="38EA9A7A"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Support an increase in quantity and quality of medical device adverse event reporting</w:t>
            </w:r>
          </w:p>
        </w:tc>
        <w:tc>
          <w:tcPr>
            <w:tcW w:w="2233" w:type="dxa"/>
            <w:shd w:val="clear" w:color="auto" w:fill="D9F2D0" w:themeFill="accent6" w:themeFillTint="33"/>
          </w:tcPr>
          <w:p w14:paraId="1B350686"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D9F2D0" w:themeFill="accent6" w:themeFillTint="33"/>
          </w:tcPr>
          <w:p w14:paraId="5C48121A"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understanding of the benefits of reporting medical device adverse events</w:t>
            </w:r>
          </w:p>
          <w:p w14:paraId="53EB5DF7"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understanding of when and when not to report a medical device adverse event</w:t>
            </w:r>
          </w:p>
        </w:tc>
        <w:tc>
          <w:tcPr>
            <w:tcW w:w="2233" w:type="dxa"/>
            <w:shd w:val="clear" w:color="auto" w:fill="D9F2D0" w:themeFill="accent6" w:themeFillTint="33"/>
          </w:tcPr>
          <w:p w14:paraId="0780A380"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50623389" w14:textId="77777777" w:rsidTr="008C6AC3">
        <w:trPr>
          <w:trHeight w:val="80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2C7829FE"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p>
        </w:tc>
        <w:tc>
          <w:tcPr>
            <w:tcW w:w="2232" w:type="dxa"/>
            <w:shd w:val="clear" w:color="auto" w:fill="FAE2D5" w:themeFill="accent2" w:themeFillTint="33"/>
          </w:tcPr>
          <w:p w14:paraId="18EFB424"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Cost of campaign</w:t>
            </w:r>
          </w:p>
        </w:tc>
        <w:tc>
          <w:tcPr>
            <w:tcW w:w="2233" w:type="dxa"/>
            <w:shd w:val="clear" w:color="auto" w:fill="FAE2D5" w:themeFill="accent2" w:themeFillTint="33"/>
          </w:tcPr>
          <w:p w14:paraId="3EDE8BC4"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FAE2D5" w:themeFill="accent2" w:themeFillTint="33"/>
          </w:tcPr>
          <w:p w14:paraId="7AA4AB00"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Communication campaign may not be relevant for all healthcare facilities (e.g., smaller hospitals without the requisite reporting systems)</w:t>
            </w:r>
          </w:p>
        </w:tc>
        <w:tc>
          <w:tcPr>
            <w:tcW w:w="2233" w:type="dxa"/>
            <w:shd w:val="clear" w:color="auto" w:fill="FAE2D5" w:themeFill="accent2" w:themeFillTint="33"/>
          </w:tcPr>
          <w:p w14:paraId="1A41262C"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65F14108" w14:textId="77777777" w:rsidTr="008C6AC3">
        <w:trPr>
          <w:trHeight w:val="536"/>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625FE888"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r w:rsidRPr="00325224">
              <w:rPr>
                <w:rFonts w:eastAsiaTheme="minorHAnsi" w:cstheme="minorBidi"/>
                <w:b/>
                <w:bCs/>
                <w:color w:val="auto"/>
                <w:sz w:val="20"/>
                <w:szCs w:val="20"/>
                <w:u w:val="single"/>
                <w:lang w:eastAsia="en-US"/>
              </w:rPr>
              <w:t>Measure 5</w:t>
            </w:r>
          </w:p>
          <w:p w14:paraId="14689A7A"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Reporting in batch</w:t>
            </w:r>
          </w:p>
        </w:tc>
        <w:tc>
          <w:tcPr>
            <w:tcW w:w="2232" w:type="dxa"/>
            <w:shd w:val="clear" w:color="auto" w:fill="D9F2D0" w:themeFill="accent6" w:themeFillTint="33"/>
          </w:tcPr>
          <w:p w14:paraId="0BFAF179" w14:textId="2E95C6B0" w:rsidR="00325224" w:rsidRPr="00325224" w:rsidRDefault="00FA45B9"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Pr>
                <w:rFonts w:eastAsiaTheme="minorHAnsi" w:cstheme="minorBidi"/>
                <w:color w:val="auto"/>
                <w:sz w:val="20"/>
                <w:szCs w:val="20"/>
                <w:lang w:eastAsia="en-US"/>
              </w:rPr>
              <w:t>Potential u</w:t>
            </w:r>
            <w:r w:rsidR="00325224" w:rsidRPr="00325224">
              <w:rPr>
                <w:rFonts w:eastAsiaTheme="minorHAnsi" w:cstheme="minorBidi"/>
                <w:color w:val="auto"/>
                <w:sz w:val="20"/>
                <w:szCs w:val="20"/>
                <w:lang w:eastAsia="en-US"/>
              </w:rPr>
              <w:t>se of an API could result in significant efficiencies gained in terms of resources expended on reporting</w:t>
            </w:r>
          </w:p>
        </w:tc>
        <w:tc>
          <w:tcPr>
            <w:tcW w:w="2233" w:type="dxa"/>
            <w:shd w:val="clear" w:color="auto" w:fill="D9F2D0" w:themeFill="accent6" w:themeFillTint="33"/>
          </w:tcPr>
          <w:p w14:paraId="350E5672"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D9F2D0" w:themeFill="accent6" w:themeFillTint="33"/>
          </w:tcPr>
          <w:p w14:paraId="021722B1"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Lower resource impost on the reporting population</w:t>
            </w:r>
          </w:p>
          <w:p w14:paraId="4C9A9A85"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for increased quality of reporting due to the time delay (i.e., if the healthcare facility has additional time to investigate the incident, it will enable more accurate / informed reporting information)</w:t>
            </w:r>
          </w:p>
          <w:p w14:paraId="6226BF53" w14:textId="76A99789"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Use of an API</w:t>
            </w:r>
            <w:r w:rsidR="00051B94">
              <w:rPr>
                <w:rFonts w:eastAsiaTheme="minorHAnsi" w:cstheme="minorBidi"/>
                <w:color w:val="auto"/>
                <w:sz w:val="20"/>
                <w:szCs w:val="20"/>
                <w:lang w:eastAsia="en-US"/>
              </w:rPr>
              <w:t xml:space="preserve"> in future</w:t>
            </w:r>
            <w:r w:rsidRPr="00325224">
              <w:rPr>
                <w:rFonts w:eastAsiaTheme="minorHAnsi" w:cstheme="minorBidi"/>
                <w:color w:val="auto"/>
                <w:sz w:val="20"/>
                <w:szCs w:val="20"/>
                <w:lang w:eastAsia="en-US"/>
              </w:rPr>
              <w:t xml:space="preserve"> could result in significant efficiencies gained in terms of resources expended on reporting</w:t>
            </w:r>
          </w:p>
        </w:tc>
        <w:tc>
          <w:tcPr>
            <w:tcW w:w="2233" w:type="dxa"/>
            <w:shd w:val="clear" w:color="auto" w:fill="D9F2D0" w:themeFill="accent6" w:themeFillTint="33"/>
          </w:tcPr>
          <w:p w14:paraId="0386D049"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325224" w14:paraId="7D823739" w14:textId="77777777" w:rsidTr="008C6AC3">
        <w:trPr>
          <w:trHeight w:val="536"/>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7358B8CE"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p>
        </w:tc>
        <w:tc>
          <w:tcPr>
            <w:tcW w:w="2232" w:type="dxa"/>
            <w:shd w:val="clear" w:color="auto" w:fill="FAE2D5" w:themeFill="accent2" w:themeFillTint="33"/>
          </w:tcPr>
          <w:p w14:paraId="2DB69C11"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time delay in receiving adverse event reports</w:t>
            </w:r>
          </w:p>
        </w:tc>
        <w:tc>
          <w:tcPr>
            <w:tcW w:w="2233" w:type="dxa"/>
            <w:shd w:val="clear" w:color="auto" w:fill="FAE2D5" w:themeFill="accent2" w:themeFillTint="33"/>
          </w:tcPr>
          <w:p w14:paraId="518DFAF0"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time delay in notification of a medical device with a potential safety issue</w:t>
            </w:r>
          </w:p>
        </w:tc>
        <w:tc>
          <w:tcPr>
            <w:tcW w:w="2233" w:type="dxa"/>
            <w:shd w:val="clear" w:color="auto" w:fill="FAE2D5" w:themeFill="accent2" w:themeFillTint="33"/>
          </w:tcPr>
          <w:p w14:paraId="4EE09CF5"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time delay in notification of a medical device with a potential safety issue</w:t>
            </w:r>
          </w:p>
        </w:tc>
        <w:tc>
          <w:tcPr>
            <w:tcW w:w="2233" w:type="dxa"/>
            <w:shd w:val="clear" w:color="auto" w:fill="FAE2D5" w:themeFill="accent2" w:themeFillTint="33"/>
          </w:tcPr>
          <w:p w14:paraId="19F23FB1"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time delay in notification of a medical device with a potential safety issue</w:t>
            </w:r>
          </w:p>
        </w:tc>
      </w:tr>
      <w:tr w:rsidR="00325224" w:rsidRPr="00325224" w14:paraId="5283645D" w14:textId="77777777" w:rsidTr="008C6AC3">
        <w:trPr>
          <w:trHeight w:val="670"/>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078D8251"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r w:rsidRPr="00325224">
              <w:rPr>
                <w:rFonts w:eastAsiaTheme="minorHAnsi" w:cstheme="minorBidi"/>
                <w:b/>
                <w:bCs/>
                <w:color w:val="auto"/>
                <w:sz w:val="20"/>
                <w:szCs w:val="20"/>
                <w:u w:val="single"/>
                <w:lang w:eastAsia="en-US"/>
              </w:rPr>
              <w:t>Measure 6</w:t>
            </w:r>
          </w:p>
          <w:p w14:paraId="5ACD1399" w14:textId="77777777" w:rsidR="00325224" w:rsidRPr="00325224" w:rsidRDefault="00325224" w:rsidP="00325224">
            <w:pPr>
              <w:spacing w:before="0" w:after="120" w:line="259" w:lineRule="auto"/>
              <w:ind w:left="0"/>
              <w:rPr>
                <w:rFonts w:eastAsiaTheme="minorHAnsi" w:cstheme="minorBidi"/>
                <w:color w:val="auto"/>
                <w:sz w:val="20"/>
                <w:szCs w:val="20"/>
                <w:lang w:eastAsia="en-US"/>
              </w:rPr>
            </w:pPr>
            <w:r w:rsidRPr="00325224">
              <w:rPr>
                <w:rFonts w:eastAsiaTheme="minorHAnsi" w:cstheme="minorBidi"/>
                <w:color w:val="auto"/>
                <w:sz w:val="20"/>
                <w:szCs w:val="20"/>
                <w:lang w:eastAsia="en-US"/>
              </w:rPr>
              <w:t>Reporting on occurrence</w:t>
            </w:r>
          </w:p>
        </w:tc>
        <w:tc>
          <w:tcPr>
            <w:tcW w:w="2232" w:type="dxa"/>
            <w:shd w:val="clear" w:color="auto" w:fill="D9F2D0" w:themeFill="accent6" w:themeFillTint="33"/>
          </w:tcPr>
          <w:p w14:paraId="0875BAF0"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timeliness of medical device adverse event reporting</w:t>
            </w:r>
          </w:p>
          <w:p w14:paraId="27914150"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response time to serious medical device safety issues / risks</w:t>
            </w:r>
          </w:p>
        </w:tc>
        <w:tc>
          <w:tcPr>
            <w:tcW w:w="2233" w:type="dxa"/>
            <w:shd w:val="clear" w:color="auto" w:fill="D9F2D0" w:themeFill="accent6" w:themeFillTint="33"/>
          </w:tcPr>
          <w:p w14:paraId="0A834F6A"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D9F2D0" w:themeFill="accent6" w:themeFillTint="33"/>
          </w:tcPr>
          <w:p w14:paraId="6A8A5592"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D9F2D0" w:themeFill="accent6" w:themeFillTint="33"/>
          </w:tcPr>
          <w:p w14:paraId="5801A77E" w14:textId="77777777" w:rsidR="00325224" w:rsidRPr="00325224" w:rsidRDefault="00325224" w:rsidP="00325224">
            <w:pPr>
              <w:numPr>
                <w:ilvl w:val="0"/>
                <w:numId w:val="28"/>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Improved timeliness of notification of a medical device with a potential safety issue</w:t>
            </w:r>
          </w:p>
        </w:tc>
      </w:tr>
      <w:tr w:rsidR="00325224" w:rsidRPr="00325224" w14:paraId="7D2A18F1" w14:textId="77777777" w:rsidTr="008C6AC3">
        <w:trPr>
          <w:trHeight w:val="67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15AE2A97" w14:textId="77777777" w:rsidR="00325224" w:rsidRPr="00325224" w:rsidRDefault="00325224" w:rsidP="00325224">
            <w:pPr>
              <w:spacing w:before="0" w:after="120" w:line="259" w:lineRule="auto"/>
              <w:ind w:left="0"/>
              <w:rPr>
                <w:rFonts w:eastAsiaTheme="minorHAnsi" w:cstheme="minorBidi"/>
                <w:b/>
                <w:bCs/>
                <w:color w:val="auto"/>
                <w:sz w:val="20"/>
                <w:szCs w:val="20"/>
                <w:u w:val="single"/>
                <w:lang w:eastAsia="en-US"/>
              </w:rPr>
            </w:pPr>
          </w:p>
        </w:tc>
        <w:tc>
          <w:tcPr>
            <w:tcW w:w="2232" w:type="dxa"/>
            <w:shd w:val="clear" w:color="auto" w:fill="FAE2D5" w:themeFill="accent2" w:themeFillTint="33"/>
          </w:tcPr>
          <w:p w14:paraId="55A49E6C"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Potential for lower quality / fidelity of reporting information submitted by healthcare facilities (I.e., less time for internal review/investigation of the incident)</w:t>
            </w:r>
          </w:p>
        </w:tc>
        <w:tc>
          <w:tcPr>
            <w:tcW w:w="2233" w:type="dxa"/>
            <w:shd w:val="clear" w:color="auto" w:fill="FAE2D5" w:themeFill="accent2" w:themeFillTint="33"/>
          </w:tcPr>
          <w:p w14:paraId="275E7E96"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c>
          <w:tcPr>
            <w:tcW w:w="2233" w:type="dxa"/>
            <w:shd w:val="clear" w:color="auto" w:fill="FAE2D5" w:themeFill="accent2" w:themeFillTint="33"/>
          </w:tcPr>
          <w:p w14:paraId="6F2B02CD" w14:textId="77777777" w:rsidR="00325224" w:rsidRPr="00325224" w:rsidRDefault="00325224" w:rsidP="00325224">
            <w:pPr>
              <w:numPr>
                <w:ilvl w:val="0"/>
                <w:numId w:val="27"/>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r w:rsidRPr="00325224">
              <w:rPr>
                <w:rFonts w:eastAsiaTheme="minorHAnsi" w:cstheme="minorBidi"/>
                <w:color w:val="auto"/>
                <w:sz w:val="20"/>
                <w:szCs w:val="20"/>
                <w:lang w:eastAsia="en-US"/>
              </w:rPr>
              <w:t>Likely increased time/resource impost on the reporting population, disproportionately impacting on facilities with limited disposable resources (e.g., smaller facilities)</w:t>
            </w:r>
          </w:p>
        </w:tc>
        <w:tc>
          <w:tcPr>
            <w:tcW w:w="2233" w:type="dxa"/>
            <w:shd w:val="clear" w:color="auto" w:fill="FAE2D5" w:themeFill="accent2" w:themeFillTint="33"/>
          </w:tcPr>
          <w:p w14:paraId="60176928" w14:textId="77777777" w:rsidR="00325224" w:rsidRPr="00325224" w:rsidRDefault="00325224" w:rsidP="00325224">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 w:val="20"/>
                <w:szCs w:val="20"/>
                <w:lang w:eastAsia="en-US"/>
              </w:rPr>
            </w:pPr>
          </w:p>
        </w:tc>
      </w:tr>
      <w:tr w:rsidR="00325224" w:rsidRPr="000E149C" w14:paraId="6E297273" w14:textId="77777777" w:rsidTr="008C6AC3">
        <w:trPr>
          <w:trHeight w:val="1340"/>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404EDFDD" w14:textId="77777777" w:rsidR="00325224" w:rsidRPr="00F67CA6" w:rsidRDefault="00325224" w:rsidP="008C6AC3">
            <w:pPr>
              <w:pStyle w:val="Bullet1"/>
              <w:numPr>
                <w:ilvl w:val="0"/>
                <w:numId w:val="0"/>
              </w:numPr>
              <w:rPr>
                <w:b/>
                <w:bCs/>
                <w:sz w:val="20"/>
                <w:szCs w:val="20"/>
                <w:u w:val="single"/>
              </w:rPr>
            </w:pPr>
            <w:r w:rsidRPr="00F67CA6">
              <w:rPr>
                <w:b/>
                <w:bCs/>
                <w:sz w:val="20"/>
                <w:szCs w:val="20"/>
                <w:u w:val="single"/>
              </w:rPr>
              <w:t>Measure 7</w:t>
            </w:r>
          </w:p>
          <w:p w14:paraId="2CEEE9BE" w14:textId="382B4064" w:rsidR="00325224" w:rsidRPr="00F67CA6" w:rsidRDefault="00325224" w:rsidP="008C6AC3">
            <w:pPr>
              <w:pStyle w:val="Bullet1"/>
              <w:numPr>
                <w:ilvl w:val="0"/>
                <w:numId w:val="0"/>
              </w:numPr>
              <w:rPr>
                <w:sz w:val="20"/>
                <w:szCs w:val="20"/>
              </w:rPr>
            </w:pPr>
            <w:r w:rsidRPr="00F67CA6">
              <w:rPr>
                <w:sz w:val="20"/>
                <w:szCs w:val="20"/>
              </w:rPr>
              <w:t>Expand scope of ‘reportable medical devices’ to include Classes IIa and IIb</w:t>
            </w:r>
            <w:r w:rsidR="005A467A">
              <w:rPr>
                <w:sz w:val="20"/>
                <w:szCs w:val="20"/>
              </w:rPr>
              <w:t xml:space="preserve"> and Class 3 IVDs</w:t>
            </w:r>
          </w:p>
        </w:tc>
        <w:tc>
          <w:tcPr>
            <w:tcW w:w="2232" w:type="dxa"/>
            <w:shd w:val="clear" w:color="auto" w:fill="D9F2D0" w:themeFill="accent6" w:themeFillTint="33"/>
          </w:tcPr>
          <w:p w14:paraId="6489EA4C"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Improved coverage of medical devices deemed to be medium – high potential risk to safety</w:t>
            </w:r>
          </w:p>
          <w:p w14:paraId="19EE625E"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Increased volume of medical device adverse event reporting</w:t>
            </w:r>
          </w:p>
          <w:p w14:paraId="6940742E"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Improved ability to detect weak signals / rare events</w:t>
            </w:r>
          </w:p>
        </w:tc>
        <w:tc>
          <w:tcPr>
            <w:tcW w:w="2233" w:type="dxa"/>
            <w:shd w:val="clear" w:color="auto" w:fill="D9F2D0" w:themeFill="accent6" w:themeFillTint="33"/>
          </w:tcPr>
          <w:p w14:paraId="68B60637"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Increased quality of medical device reporting from healthcare facilities</w:t>
            </w:r>
          </w:p>
          <w:p w14:paraId="2A194F56"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Improved ability to prevent serious public health events (e.g., Urogynaecological Mesh case)</w:t>
            </w:r>
          </w:p>
        </w:tc>
        <w:tc>
          <w:tcPr>
            <w:tcW w:w="2233" w:type="dxa"/>
            <w:shd w:val="clear" w:color="auto" w:fill="D9F2D0" w:themeFill="accent6" w:themeFillTint="33"/>
          </w:tcPr>
          <w:p w14:paraId="28056A8A"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More informed clinical decision making in relation to the procurement and use of medical devices</w:t>
            </w:r>
          </w:p>
        </w:tc>
        <w:tc>
          <w:tcPr>
            <w:tcW w:w="2233" w:type="dxa"/>
            <w:shd w:val="clear" w:color="auto" w:fill="D9F2D0" w:themeFill="accent6" w:themeFillTint="33"/>
          </w:tcPr>
          <w:p w14:paraId="72D4F0DE"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More timely notification of potential health risks relating to medical devices</w:t>
            </w:r>
          </w:p>
        </w:tc>
      </w:tr>
      <w:tr w:rsidR="00325224" w:rsidRPr="000E149C" w14:paraId="5531D8B3" w14:textId="77777777" w:rsidTr="008C6AC3">
        <w:trPr>
          <w:trHeight w:val="133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4718A515" w14:textId="77777777" w:rsidR="00325224" w:rsidRDefault="00325224" w:rsidP="008C6AC3">
            <w:pPr>
              <w:pStyle w:val="Bullet1"/>
              <w:numPr>
                <w:ilvl w:val="0"/>
                <w:numId w:val="0"/>
              </w:numPr>
              <w:rPr>
                <w:b/>
                <w:bCs/>
                <w:u w:val="single"/>
              </w:rPr>
            </w:pPr>
          </w:p>
        </w:tc>
        <w:tc>
          <w:tcPr>
            <w:tcW w:w="2232" w:type="dxa"/>
            <w:shd w:val="clear" w:color="auto" w:fill="FAE2D5" w:themeFill="accent2" w:themeFillTint="33"/>
          </w:tcPr>
          <w:p w14:paraId="1781E17C"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Increased resources required to review, assess and respond to submitted medical device adverse event reports</w:t>
            </w:r>
          </w:p>
        </w:tc>
        <w:tc>
          <w:tcPr>
            <w:tcW w:w="2233" w:type="dxa"/>
            <w:shd w:val="clear" w:color="auto" w:fill="FAE2D5" w:themeFill="accent2" w:themeFillTint="33"/>
          </w:tcPr>
          <w:p w14:paraId="6CB41721"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Increased volume and therefore cost of compliance and response activities related to medical device adverse events (e.g., fines, recalls, defect corrections, hazard alerts etc.)</w:t>
            </w:r>
          </w:p>
        </w:tc>
        <w:tc>
          <w:tcPr>
            <w:tcW w:w="2233" w:type="dxa"/>
            <w:shd w:val="clear" w:color="auto" w:fill="FAE2D5" w:themeFill="accent2" w:themeFillTint="33"/>
          </w:tcPr>
          <w:p w14:paraId="53E838F6"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Higher cost of resources required to complete, review, compile and submit medical device adverse event reports (due to increased volumes of reporting)</w:t>
            </w:r>
          </w:p>
          <w:p w14:paraId="0EDE0578"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Higher cost of resources required to review guidance material relating to reporting of medical device adverse events (due to increased guidance material re medical device classes)</w:t>
            </w:r>
          </w:p>
        </w:tc>
        <w:tc>
          <w:tcPr>
            <w:tcW w:w="2233" w:type="dxa"/>
            <w:shd w:val="clear" w:color="auto" w:fill="FAE2D5" w:themeFill="accent2" w:themeFillTint="33"/>
          </w:tcPr>
          <w:p w14:paraId="768486BC" w14:textId="77777777" w:rsidR="00325224" w:rsidRPr="000E149C" w:rsidRDefault="00325224" w:rsidP="008C6AC3">
            <w:pPr>
              <w:pStyle w:val="Bullet1"/>
              <w:numPr>
                <w:ilvl w:val="0"/>
                <w:numId w:val="0"/>
              </w:numPr>
              <w:spacing w:before="40" w:after="40"/>
              <w:cnfStyle w:val="000000000000" w:firstRow="0" w:lastRow="0" w:firstColumn="0" w:lastColumn="0" w:oddVBand="0" w:evenVBand="0" w:oddHBand="0" w:evenHBand="0" w:firstRowFirstColumn="0" w:firstRowLastColumn="0" w:lastRowFirstColumn="0" w:lastRowLastColumn="0"/>
            </w:pPr>
          </w:p>
        </w:tc>
      </w:tr>
      <w:tr w:rsidR="00325224" w:rsidRPr="000E149C" w14:paraId="2BD47A00" w14:textId="77777777" w:rsidTr="008C6AC3">
        <w:trPr>
          <w:trHeight w:val="1340"/>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3F6FB"/>
          </w:tcPr>
          <w:p w14:paraId="342CB89E" w14:textId="77777777" w:rsidR="00325224" w:rsidRPr="005A467A" w:rsidRDefault="00325224" w:rsidP="008C6AC3">
            <w:pPr>
              <w:pStyle w:val="Bullet1"/>
              <w:numPr>
                <w:ilvl w:val="0"/>
                <w:numId w:val="0"/>
              </w:numPr>
              <w:rPr>
                <w:b/>
                <w:bCs/>
                <w:sz w:val="20"/>
                <w:szCs w:val="20"/>
                <w:u w:val="single"/>
              </w:rPr>
            </w:pPr>
            <w:r w:rsidRPr="005A467A">
              <w:rPr>
                <w:b/>
                <w:bCs/>
                <w:sz w:val="20"/>
                <w:szCs w:val="20"/>
                <w:u w:val="single"/>
              </w:rPr>
              <w:t>Measure 8</w:t>
            </w:r>
          </w:p>
          <w:p w14:paraId="32B35114" w14:textId="77777777" w:rsidR="00325224" w:rsidRPr="00027266" w:rsidRDefault="00325224" w:rsidP="008C6AC3">
            <w:pPr>
              <w:pStyle w:val="Bullet1"/>
              <w:numPr>
                <w:ilvl w:val="0"/>
                <w:numId w:val="0"/>
              </w:numPr>
              <w:rPr>
                <w:szCs w:val="18"/>
              </w:rPr>
            </w:pPr>
            <w:r w:rsidRPr="005A467A">
              <w:rPr>
                <w:sz w:val="20"/>
                <w:szCs w:val="20"/>
              </w:rPr>
              <w:t>Expand mandatory reporting of medical device adverse events to include approved Residential Aged Care Facilities (excluding MPS facilities)</w:t>
            </w:r>
          </w:p>
        </w:tc>
        <w:tc>
          <w:tcPr>
            <w:tcW w:w="2232" w:type="dxa"/>
            <w:shd w:val="clear" w:color="auto" w:fill="D9F2D0" w:themeFill="accent6" w:themeFillTint="33"/>
          </w:tcPr>
          <w:p w14:paraId="243A3147"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Improved coverage of healthcare facilities likely to experience medical device adverse events</w:t>
            </w:r>
          </w:p>
          <w:p w14:paraId="67812F6E"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Increased volume of medical device adverse event reporting</w:t>
            </w:r>
          </w:p>
          <w:p w14:paraId="62058978"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Improved ability to detect weak signals / rare events</w:t>
            </w:r>
          </w:p>
        </w:tc>
        <w:tc>
          <w:tcPr>
            <w:tcW w:w="2233" w:type="dxa"/>
            <w:shd w:val="clear" w:color="auto" w:fill="D9F2D0" w:themeFill="accent6" w:themeFillTint="33"/>
          </w:tcPr>
          <w:p w14:paraId="097799C3"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Increased quantity of medical device reporting from healthcare facilities</w:t>
            </w:r>
          </w:p>
          <w:p w14:paraId="4C528729"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Improved ability to prevent serious public health events (e.g., Urogynaecological Mesh case)</w:t>
            </w:r>
          </w:p>
        </w:tc>
        <w:tc>
          <w:tcPr>
            <w:tcW w:w="2233" w:type="dxa"/>
            <w:shd w:val="clear" w:color="auto" w:fill="D9F2D0" w:themeFill="accent6" w:themeFillTint="33"/>
          </w:tcPr>
          <w:p w14:paraId="15180803" w14:textId="77777777" w:rsidR="00325224" w:rsidRPr="00F67CA6"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More informed clinical decision making in relation to the procurement and use of medical devices</w:t>
            </w:r>
          </w:p>
        </w:tc>
        <w:tc>
          <w:tcPr>
            <w:tcW w:w="2233" w:type="dxa"/>
            <w:shd w:val="clear" w:color="auto" w:fill="D9F2D0" w:themeFill="accent6" w:themeFillTint="33"/>
          </w:tcPr>
          <w:p w14:paraId="55F825F1" w14:textId="77777777" w:rsidR="00325224" w:rsidRPr="00D2706D" w:rsidRDefault="00325224" w:rsidP="008C6AC3">
            <w:pPr>
              <w:pStyle w:val="Bullet1"/>
              <w:numPr>
                <w:ilvl w:val="0"/>
                <w:numId w:val="28"/>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D2706D">
              <w:rPr>
                <w:sz w:val="20"/>
                <w:szCs w:val="20"/>
              </w:rPr>
              <w:t>More informed decision making in relation to the procurement and use of medical devices</w:t>
            </w:r>
          </w:p>
        </w:tc>
      </w:tr>
      <w:tr w:rsidR="00325224" w:rsidRPr="000E149C" w14:paraId="1BF7568A" w14:textId="77777777" w:rsidTr="008C6AC3">
        <w:trPr>
          <w:trHeight w:val="133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3F6FB"/>
          </w:tcPr>
          <w:p w14:paraId="1159179D" w14:textId="77777777" w:rsidR="00325224" w:rsidRDefault="00325224" w:rsidP="008C6AC3">
            <w:pPr>
              <w:pStyle w:val="Bullet1"/>
              <w:numPr>
                <w:ilvl w:val="0"/>
                <w:numId w:val="0"/>
              </w:numPr>
              <w:rPr>
                <w:b/>
                <w:bCs/>
                <w:u w:val="single"/>
              </w:rPr>
            </w:pPr>
          </w:p>
        </w:tc>
        <w:tc>
          <w:tcPr>
            <w:tcW w:w="2232" w:type="dxa"/>
            <w:shd w:val="clear" w:color="auto" w:fill="FAE2D5" w:themeFill="accent2" w:themeFillTint="33"/>
          </w:tcPr>
          <w:p w14:paraId="21EB8BB3"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Highest cost of resources required to review, assess and respond to submitted medical device adverse event reports</w:t>
            </w:r>
          </w:p>
        </w:tc>
        <w:tc>
          <w:tcPr>
            <w:tcW w:w="2233" w:type="dxa"/>
            <w:shd w:val="clear" w:color="auto" w:fill="FAE2D5" w:themeFill="accent2" w:themeFillTint="33"/>
          </w:tcPr>
          <w:p w14:paraId="645B0534"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Largest cost impact relating to compliance and response activities related to medical device adverse events (e.g., fines, recalls, defect corrections, hazard alerts etc.)</w:t>
            </w:r>
          </w:p>
        </w:tc>
        <w:tc>
          <w:tcPr>
            <w:tcW w:w="2233" w:type="dxa"/>
            <w:shd w:val="clear" w:color="auto" w:fill="FAE2D5" w:themeFill="accent2" w:themeFillTint="33"/>
          </w:tcPr>
          <w:p w14:paraId="12E3780E"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Highest cost of resources required to complete, review, compile and submit medical device adverse event reports (due to increased volumes of reporting)</w:t>
            </w:r>
          </w:p>
          <w:p w14:paraId="3B817499" w14:textId="77777777" w:rsidR="00325224" w:rsidRPr="00F67CA6" w:rsidRDefault="00325224" w:rsidP="008C6AC3">
            <w:pPr>
              <w:pStyle w:val="Bullet1"/>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67CA6">
              <w:rPr>
                <w:sz w:val="20"/>
                <w:szCs w:val="20"/>
              </w:rPr>
              <w:t>Disproportionate impact on facilities that do not have the systems capability to facilitate efficient adverse event reporting (in particular, aged care facilities and small hospitals)</w:t>
            </w:r>
          </w:p>
        </w:tc>
        <w:tc>
          <w:tcPr>
            <w:tcW w:w="2233" w:type="dxa"/>
            <w:shd w:val="clear" w:color="auto" w:fill="FAE2D5" w:themeFill="accent2" w:themeFillTint="33"/>
          </w:tcPr>
          <w:p w14:paraId="7062DE4E" w14:textId="77777777" w:rsidR="00325224" w:rsidRPr="000E149C" w:rsidRDefault="00325224" w:rsidP="008C6AC3">
            <w:pPr>
              <w:pStyle w:val="Bullet1"/>
              <w:numPr>
                <w:ilvl w:val="0"/>
                <w:numId w:val="0"/>
              </w:numPr>
              <w:spacing w:before="40" w:after="40"/>
              <w:cnfStyle w:val="000000000000" w:firstRow="0" w:lastRow="0" w:firstColumn="0" w:lastColumn="0" w:oddVBand="0" w:evenVBand="0" w:oddHBand="0" w:evenHBand="0" w:firstRowFirstColumn="0" w:firstRowLastColumn="0" w:lastRowFirstColumn="0" w:lastRowLastColumn="0"/>
            </w:pPr>
          </w:p>
        </w:tc>
      </w:tr>
    </w:tbl>
    <w:p w14:paraId="063F193E" w14:textId="77777777" w:rsidR="00EC0608" w:rsidRDefault="00EC0608"/>
    <w:p w14:paraId="5B672588" w14:textId="77777777" w:rsidR="00EC0608" w:rsidRDefault="00EC0608">
      <w:r>
        <w:br w:type="page"/>
      </w:r>
    </w:p>
    <w:p w14:paraId="21859E23" w14:textId="77777777" w:rsidR="007702FA" w:rsidRDefault="007702FA" w:rsidP="005E2DE9">
      <w:pPr>
        <w:rPr>
          <w:b/>
          <w:bCs/>
          <w:color w:val="000000" w:themeColor="text1"/>
          <w:sz w:val="18"/>
          <w:szCs w:val="18"/>
        </w:rPr>
        <w:sectPr w:rsidR="007702FA" w:rsidSect="008F6E93">
          <w:headerReference w:type="even" r:id="rId48"/>
          <w:headerReference w:type="default" r:id="rId49"/>
          <w:pgSz w:w="11906" w:h="16838" w:code="9"/>
          <w:pgMar w:top="1440" w:right="1440" w:bottom="1440" w:left="1440" w:header="573" w:footer="567" w:gutter="0"/>
          <w:cols w:space="708"/>
          <w:docGrid w:linePitch="360"/>
        </w:sectPr>
      </w:pPr>
    </w:p>
    <w:tbl>
      <w:tblPr>
        <w:tblStyle w:val="GridTable2-Accent1"/>
        <w:tblpPr w:leftFromText="180" w:rightFromText="180" w:horzAnchor="margin" w:tblpY="525"/>
        <w:tblW w:w="1431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1560"/>
        <w:gridCol w:w="2126"/>
        <w:gridCol w:w="1982"/>
        <w:gridCol w:w="8649"/>
      </w:tblGrid>
      <w:tr w:rsidR="00A10535" w:rsidRPr="000A4874" w14:paraId="4BEE6E97" w14:textId="77777777" w:rsidTr="008D0FDD">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CC2E5"/>
              <w:left w:val="single" w:sz="4" w:space="0" w:color="9CC2E5"/>
              <w:bottom w:val="single" w:sz="4" w:space="0" w:color="9CC2E5"/>
              <w:right w:val="single" w:sz="4" w:space="0" w:color="9CC2E5"/>
            </w:tcBorders>
            <w:vAlign w:val="center"/>
          </w:tcPr>
          <w:p w14:paraId="12E655D0" w14:textId="77777777" w:rsidR="00A10535" w:rsidRPr="00D02C8D" w:rsidRDefault="00A10535" w:rsidP="00D30F39">
            <w:pPr>
              <w:rPr>
                <w:b w:val="0"/>
                <w:bCs w:val="0"/>
                <w:i/>
                <w:iCs/>
                <w:color w:val="000000" w:themeColor="text1"/>
                <w:sz w:val="16"/>
                <w:szCs w:val="16"/>
              </w:rPr>
            </w:pPr>
            <w:r w:rsidRPr="00986FB7">
              <w:rPr>
                <w:color w:val="000000" w:themeColor="text1"/>
                <w:sz w:val="18"/>
                <w:szCs w:val="18"/>
              </w:rPr>
              <w:t>MCA Criteria</w:t>
            </w:r>
          </w:p>
        </w:tc>
        <w:tc>
          <w:tcPr>
            <w:tcW w:w="12757" w:type="dxa"/>
            <w:gridSpan w:val="3"/>
            <w:tcBorders>
              <w:top w:val="single" w:sz="4" w:space="0" w:color="9CC2E5"/>
              <w:left w:val="single" w:sz="4" w:space="0" w:color="9CC2E5"/>
              <w:bottom w:val="single" w:sz="4" w:space="0" w:color="9CC2E5"/>
              <w:right w:val="single" w:sz="4" w:space="0" w:color="9CC2E5"/>
            </w:tcBorders>
            <w:vAlign w:val="center"/>
          </w:tcPr>
          <w:p w14:paraId="2976C19D" w14:textId="77777777" w:rsidR="00A10535" w:rsidRPr="00F62877" w:rsidRDefault="00A10535" w:rsidP="00D30F39">
            <w:pPr>
              <w:jc w:val="center"/>
              <w:cnfStyle w:val="100000000000" w:firstRow="1" w:lastRow="0" w:firstColumn="0" w:lastColumn="0" w:oddVBand="0" w:evenVBand="0" w:oddHBand="0" w:evenHBand="0" w:firstRowFirstColumn="0" w:firstRowLastColumn="0" w:lastRowFirstColumn="0" w:lastRowLastColumn="0"/>
              <w:rPr>
                <w:i/>
                <w:iCs/>
                <w:color w:val="000000" w:themeColor="text1"/>
                <w:sz w:val="18"/>
                <w:szCs w:val="18"/>
              </w:rPr>
            </w:pPr>
            <w:r w:rsidRPr="00F62877">
              <w:rPr>
                <w:i/>
                <w:iCs/>
                <w:color w:val="000000" w:themeColor="text1"/>
                <w:sz w:val="18"/>
                <w:szCs w:val="18"/>
              </w:rPr>
              <w:t xml:space="preserve">Achievement of Success Criteria </w:t>
            </w:r>
          </w:p>
        </w:tc>
      </w:tr>
      <w:tr w:rsidR="00CD48E8" w:rsidRPr="000A4874" w14:paraId="2771A459" w14:textId="77777777" w:rsidTr="00D30F39">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9CC2E5"/>
            </w:tcBorders>
            <w:vAlign w:val="center"/>
          </w:tcPr>
          <w:p w14:paraId="1515666F" w14:textId="77777777" w:rsidR="00A10535" w:rsidRPr="00D02C8D" w:rsidRDefault="00A10535" w:rsidP="00D30F39">
            <w:pPr>
              <w:rPr>
                <w:i/>
                <w:iCs/>
                <w:color w:val="000000" w:themeColor="text1"/>
                <w:sz w:val="16"/>
                <w:szCs w:val="16"/>
              </w:rPr>
            </w:pPr>
            <w:r>
              <w:rPr>
                <w:b w:val="0"/>
                <w:bCs w:val="0"/>
                <w:i/>
                <w:iCs/>
                <w:color w:val="000000" w:themeColor="text1"/>
                <w:sz w:val="16"/>
                <w:szCs w:val="16"/>
              </w:rPr>
              <w:t>Options</w:t>
            </w:r>
          </w:p>
        </w:tc>
        <w:tc>
          <w:tcPr>
            <w:tcW w:w="2126" w:type="dxa"/>
            <w:tcBorders>
              <w:top w:val="single" w:sz="4" w:space="0" w:color="9CC2E5"/>
            </w:tcBorders>
            <w:vAlign w:val="center"/>
          </w:tcPr>
          <w:p w14:paraId="7107600D" w14:textId="77777777" w:rsidR="00A10535" w:rsidRPr="00986FB7" w:rsidRDefault="00A10535" w:rsidP="00D30F39">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Pr>
                <w:i/>
                <w:iCs/>
                <w:color w:val="000000" w:themeColor="text1"/>
                <w:sz w:val="16"/>
                <w:szCs w:val="16"/>
              </w:rPr>
              <w:t xml:space="preserve">Government </w:t>
            </w:r>
            <w:r w:rsidRPr="00986FB7">
              <w:rPr>
                <w:i/>
                <w:iCs/>
                <w:color w:val="000000" w:themeColor="text1"/>
                <w:sz w:val="16"/>
                <w:szCs w:val="16"/>
              </w:rPr>
              <w:t>Objective met</w:t>
            </w:r>
          </w:p>
        </w:tc>
        <w:tc>
          <w:tcPr>
            <w:tcW w:w="1982" w:type="dxa"/>
            <w:tcBorders>
              <w:top w:val="single" w:sz="4" w:space="0" w:color="9CC2E5"/>
            </w:tcBorders>
            <w:vAlign w:val="center"/>
          </w:tcPr>
          <w:p w14:paraId="42FCC79C" w14:textId="77777777" w:rsidR="00A10535" w:rsidRDefault="00A10535" w:rsidP="00D30F39">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00986FB7">
              <w:rPr>
                <w:i/>
                <w:iCs/>
                <w:color w:val="000000" w:themeColor="text1"/>
                <w:sz w:val="16"/>
                <w:szCs w:val="16"/>
              </w:rPr>
              <w:t>Ra</w:t>
            </w:r>
            <w:r>
              <w:rPr>
                <w:i/>
                <w:iCs/>
                <w:color w:val="000000" w:themeColor="text1"/>
                <w:sz w:val="16"/>
                <w:szCs w:val="16"/>
              </w:rPr>
              <w:t>nking</w:t>
            </w:r>
          </w:p>
          <w:p w14:paraId="7682934B" w14:textId="77777777" w:rsidR="00A10535" w:rsidRPr="00986FB7" w:rsidRDefault="00A10535" w:rsidP="00D30F39">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Pr>
                <w:i/>
                <w:iCs/>
                <w:color w:val="000000" w:themeColor="text1"/>
                <w:sz w:val="16"/>
                <w:szCs w:val="16"/>
              </w:rPr>
              <w:t>Weighting (40%)</w:t>
            </w:r>
          </w:p>
        </w:tc>
        <w:tc>
          <w:tcPr>
            <w:tcW w:w="8649" w:type="dxa"/>
            <w:tcBorders>
              <w:top w:val="single" w:sz="4" w:space="0" w:color="9CC2E5"/>
            </w:tcBorders>
          </w:tcPr>
          <w:p w14:paraId="0A59AC78" w14:textId="77777777" w:rsidR="00A10535" w:rsidRDefault="00A10535" w:rsidP="00D30F39">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8"/>
                <w:szCs w:val="18"/>
              </w:rPr>
            </w:pPr>
          </w:p>
          <w:p w14:paraId="2D3A33C3" w14:textId="77777777" w:rsidR="00A10535" w:rsidRDefault="00A10535" w:rsidP="00D30F39">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8"/>
                <w:szCs w:val="18"/>
              </w:rPr>
            </w:pPr>
            <w:r w:rsidRPr="00331679">
              <w:rPr>
                <w:i/>
                <w:iCs/>
                <w:color w:val="000000" w:themeColor="text1"/>
                <w:sz w:val="16"/>
                <w:szCs w:val="16"/>
              </w:rPr>
              <w:t>Explanation</w:t>
            </w:r>
          </w:p>
        </w:tc>
      </w:tr>
      <w:tr w:rsidR="00A10535" w:rsidRPr="000A4874" w14:paraId="5740FD49" w14:textId="77777777" w:rsidTr="008D0FDD">
        <w:trPr>
          <w:trHeight w:val="454"/>
        </w:trPr>
        <w:tc>
          <w:tcPr>
            <w:cnfStyle w:val="001000000000" w:firstRow="0" w:lastRow="0" w:firstColumn="1" w:lastColumn="0" w:oddVBand="0" w:evenVBand="0" w:oddHBand="0" w:evenHBand="0" w:firstRowFirstColumn="0" w:firstRowLastColumn="0" w:lastRowFirstColumn="0" w:lastRowLastColumn="0"/>
            <w:tcW w:w="0" w:type="dxa"/>
            <w:vAlign w:val="center"/>
          </w:tcPr>
          <w:p w14:paraId="3EA2A353" w14:textId="77777777" w:rsidR="00A10535" w:rsidRPr="00B11292" w:rsidRDefault="00A10535" w:rsidP="00D30F39">
            <w:pPr>
              <w:spacing w:line="240" w:lineRule="atLeast"/>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 xml:space="preserve">Option 1 </w:t>
            </w:r>
          </w:p>
        </w:tc>
        <w:tc>
          <w:tcPr>
            <w:tcW w:w="0" w:type="dxa"/>
            <w:shd w:val="clear" w:color="auto" w:fill="FFCCCC"/>
            <w:vAlign w:val="center"/>
          </w:tcPr>
          <w:p w14:paraId="00607A7A" w14:textId="77777777" w:rsidR="00A10535" w:rsidRPr="00986FB7" w:rsidRDefault="00A10535" w:rsidP="00D30F39">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4F"/>
            </w:r>
          </w:p>
        </w:tc>
        <w:tc>
          <w:tcPr>
            <w:tcW w:w="0" w:type="dxa"/>
            <w:vAlign w:val="center"/>
          </w:tcPr>
          <w:p w14:paraId="10474D33" w14:textId="77777777" w:rsidR="00A10535" w:rsidRPr="001D371B" w:rsidRDefault="00A10535" w:rsidP="00D30F3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8649" w:type="dxa"/>
            <w:tcMar>
              <w:top w:w="108" w:type="dxa"/>
              <w:bottom w:w="108" w:type="dxa"/>
            </w:tcMar>
          </w:tcPr>
          <w:p w14:paraId="1A695DD2" w14:textId="77777777" w:rsidR="00A10535" w:rsidRPr="00033AA0" w:rsidRDefault="00A10535" w:rsidP="00D30F39">
            <w:pPr>
              <w:cnfStyle w:val="000000000000" w:firstRow="0" w:lastRow="0" w:firstColumn="0" w:lastColumn="0" w:oddVBand="0" w:evenVBand="0" w:oddHBand="0" w:evenHBand="0" w:firstRowFirstColumn="0" w:firstRowLastColumn="0" w:lastRowFirstColumn="0" w:lastRowLastColumn="0"/>
              <w:rPr>
                <w:sz w:val="18"/>
                <w:szCs w:val="18"/>
              </w:rPr>
            </w:pPr>
            <w:r>
              <w:rPr>
                <w:sz w:val="16"/>
                <w:szCs w:val="16"/>
              </w:rPr>
              <w:t>Option 1 will not meet the described success criteria. The status quo approach will have no impact on improving signal detection on medical device adverse events and will not meet the government objective for the mandatory reporting scheme.</w:t>
            </w:r>
          </w:p>
        </w:tc>
      </w:tr>
      <w:tr w:rsidR="00CD48E8" w:rsidRPr="000A4874" w14:paraId="74003701" w14:textId="77777777" w:rsidTr="008D0F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341CE29" w14:textId="77777777" w:rsidR="00A10535" w:rsidRPr="00B11292" w:rsidRDefault="00A10535" w:rsidP="00D30F39">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2A</w:t>
            </w:r>
          </w:p>
        </w:tc>
        <w:tc>
          <w:tcPr>
            <w:tcW w:w="2126" w:type="dxa"/>
            <w:shd w:val="clear" w:color="auto" w:fill="FFCCCC"/>
            <w:vAlign w:val="center"/>
          </w:tcPr>
          <w:p w14:paraId="3E8EFBD9" w14:textId="77777777" w:rsidR="00A10535" w:rsidRPr="001D371B" w:rsidRDefault="00A10535" w:rsidP="00D30F39">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rFonts w:ascii="Wingdings" w:hAnsi="Wingdings"/>
                <w:color w:val="000000" w:themeColor="text1"/>
                <w:sz w:val="16"/>
                <w:szCs w:val="16"/>
              </w:rPr>
              <w:sym w:font="Wingdings 2" w:char="F04F"/>
            </w:r>
          </w:p>
        </w:tc>
        <w:tc>
          <w:tcPr>
            <w:tcW w:w="1982" w:type="dxa"/>
            <w:vAlign w:val="center"/>
          </w:tcPr>
          <w:p w14:paraId="0E607E8A" w14:textId="77777777" w:rsidR="00A10535" w:rsidRPr="001D371B" w:rsidRDefault="00A10535" w:rsidP="00D30F3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w:t>
            </w:r>
          </w:p>
        </w:tc>
        <w:tc>
          <w:tcPr>
            <w:tcW w:w="8649" w:type="dxa"/>
            <w:tcMar>
              <w:top w:w="108" w:type="dxa"/>
              <w:bottom w:w="108" w:type="dxa"/>
            </w:tcMar>
          </w:tcPr>
          <w:p w14:paraId="26E32B48" w14:textId="77777777" w:rsidR="00A10535" w:rsidRPr="001D371B" w:rsidRDefault="00A10535" w:rsidP="00D30F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 2A will meet the success criteria of the government objectives to a moderate level however is limited to h</w:t>
            </w:r>
            <w:r w:rsidRPr="00165DC4">
              <w:rPr>
                <w:sz w:val="16"/>
                <w:szCs w:val="16"/>
              </w:rPr>
              <w:t>igh-risk medical device</w:t>
            </w:r>
            <w:r>
              <w:rPr>
                <w:sz w:val="16"/>
                <w:szCs w:val="16"/>
              </w:rPr>
              <w:t>s reported in batch. Coverage is limited to only 9.8% of registered medical devices which may result in underreporting to continue.</w:t>
            </w:r>
          </w:p>
        </w:tc>
      </w:tr>
      <w:tr w:rsidR="00A10535" w:rsidRPr="000A4874" w14:paraId="01CE0E88" w14:textId="77777777" w:rsidTr="008D0FDD">
        <w:trPr>
          <w:trHeight w:val="454"/>
        </w:trPr>
        <w:tc>
          <w:tcPr>
            <w:cnfStyle w:val="001000000000" w:firstRow="0" w:lastRow="0" w:firstColumn="1" w:lastColumn="0" w:oddVBand="0" w:evenVBand="0" w:oddHBand="0" w:evenHBand="0" w:firstRowFirstColumn="0" w:firstRowLastColumn="0" w:lastRowFirstColumn="0" w:lastRowLastColumn="0"/>
            <w:tcW w:w="0" w:type="dxa"/>
            <w:vAlign w:val="center"/>
          </w:tcPr>
          <w:p w14:paraId="474B1700" w14:textId="77777777" w:rsidR="00A10535" w:rsidRPr="00B11292" w:rsidRDefault="00A10535" w:rsidP="00D30F39">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2B</w:t>
            </w:r>
          </w:p>
        </w:tc>
        <w:tc>
          <w:tcPr>
            <w:tcW w:w="0" w:type="dxa"/>
            <w:shd w:val="clear" w:color="auto" w:fill="FFCCCC"/>
            <w:vAlign w:val="center"/>
          </w:tcPr>
          <w:p w14:paraId="26BE3BBC" w14:textId="77777777" w:rsidR="00A10535" w:rsidRPr="001D371B" w:rsidRDefault="00A10535" w:rsidP="00D30F39">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rFonts w:ascii="Wingdings" w:hAnsi="Wingdings"/>
                <w:color w:val="000000" w:themeColor="text1"/>
                <w:sz w:val="16"/>
                <w:szCs w:val="16"/>
              </w:rPr>
              <w:sym w:font="Wingdings 2" w:char="F04F"/>
            </w:r>
          </w:p>
        </w:tc>
        <w:tc>
          <w:tcPr>
            <w:tcW w:w="0" w:type="dxa"/>
            <w:vAlign w:val="center"/>
          </w:tcPr>
          <w:p w14:paraId="6B0661E1" w14:textId="77777777" w:rsidR="00A10535" w:rsidRPr="001D371B" w:rsidRDefault="00A10535" w:rsidP="00D30F3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8649" w:type="dxa"/>
            <w:tcMar>
              <w:top w:w="108" w:type="dxa"/>
              <w:bottom w:w="108" w:type="dxa"/>
            </w:tcMar>
          </w:tcPr>
          <w:p w14:paraId="6EE5D29F" w14:textId="77777777" w:rsidR="00A10535" w:rsidRPr="001D371B" w:rsidRDefault="00A10535" w:rsidP="00D30F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 2B will meet the success criteria of the government objectives to a moderate level and will include h</w:t>
            </w:r>
            <w:r w:rsidRPr="00165DC4">
              <w:rPr>
                <w:sz w:val="16"/>
                <w:szCs w:val="16"/>
              </w:rPr>
              <w:t>igh-risk medical device</w:t>
            </w:r>
            <w:r>
              <w:rPr>
                <w:sz w:val="16"/>
                <w:szCs w:val="16"/>
              </w:rPr>
              <w:t>s reported on occurrence. Coverage is limited to only 9.8% of registered medical devices which may result in underreporting to continue.</w:t>
            </w:r>
          </w:p>
        </w:tc>
      </w:tr>
      <w:tr w:rsidR="00CD48E8" w:rsidRPr="000A4874" w14:paraId="7ED913D2" w14:textId="77777777" w:rsidTr="008D0F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9CC2E5"/>
            </w:tcBorders>
            <w:vAlign w:val="center"/>
          </w:tcPr>
          <w:p w14:paraId="5910391E" w14:textId="77777777" w:rsidR="00A10535" w:rsidRPr="00B11292" w:rsidRDefault="00A10535" w:rsidP="00D30F39">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3A</w:t>
            </w:r>
          </w:p>
        </w:tc>
        <w:tc>
          <w:tcPr>
            <w:tcW w:w="2126" w:type="dxa"/>
            <w:tcBorders>
              <w:bottom w:val="single" w:sz="2" w:space="0" w:color="9CC2E5"/>
            </w:tcBorders>
            <w:shd w:val="clear" w:color="auto" w:fill="D9F2D0" w:themeFill="accent6" w:themeFillTint="33"/>
            <w:vAlign w:val="center"/>
          </w:tcPr>
          <w:p w14:paraId="5E6C1934" w14:textId="77777777" w:rsidR="00A10535" w:rsidRDefault="00A10535" w:rsidP="00D30F39">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2" w:type="dxa"/>
            <w:tcBorders>
              <w:bottom w:val="single" w:sz="2" w:space="0" w:color="9CC2E5"/>
            </w:tcBorders>
            <w:vAlign w:val="center"/>
          </w:tcPr>
          <w:p w14:paraId="740FC08C" w14:textId="77777777" w:rsidR="00A10535" w:rsidRPr="001D371B" w:rsidRDefault="00A10535" w:rsidP="00D30F3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c>
          <w:tcPr>
            <w:tcW w:w="8649" w:type="dxa"/>
            <w:tcBorders>
              <w:bottom w:val="single" w:sz="2" w:space="0" w:color="9CC2E5"/>
            </w:tcBorders>
            <w:tcMar>
              <w:top w:w="108" w:type="dxa"/>
              <w:bottom w:w="108" w:type="dxa"/>
            </w:tcMar>
          </w:tcPr>
          <w:p w14:paraId="1B5AA0D7" w14:textId="77777777" w:rsidR="00A10535" w:rsidRPr="004471B9" w:rsidRDefault="00A10535" w:rsidP="00D30F39">
            <w:pPr>
              <w:cnfStyle w:val="000000100000" w:firstRow="0" w:lastRow="0" w:firstColumn="0" w:lastColumn="0" w:oddVBand="0" w:evenVBand="0" w:oddHBand="1" w:evenHBand="0" w:firstRowFirstColumn="0" w:firstRowLastColumn="0" w:lastRowFirstColumn="0" w:lastRowLastColumn="0"/>
            </w:pPr>
            <w:r>
              <w:rPr>
                <w:sz w:val="16"/>
                <w:szCs w:val="16"/>
              </w:rPr>
              <w:t xml:space="preserve">Option 3A is estimated to meet the success criteria to a </w:t>
            </w:r>
            <w:r w:rsidRPr="00375E9F">
              <w:rPr>
                <w:sz w:val="16"/>
                <w:szCs w:val="16"/>
              </w:rPr>
              <w:t>moderate to high</w:t>
            </w:r>
            <w:r>
              <w:rPr>
                <w:sz w:val="16"/>
                <w:szCs w:val="16"/>
              </w:rPr>
              <w:t xml:space="preserve"> level. </w:t>
            </w:r>
            <w:r w:rsidRPr="00D23D4B">
              <w:rPr>
                <w:sz w:val="16"/>
                <w:szCs w:val="16"/>
              </w:rPr>
              <w:t xml:space="preserve">The scope for medical devices mandated to be reported on </w:t>
            </w:r>
            <w:r>
              <w:rPr>
                <w:sz w:val="16"/>
                <w:szCs w:val="16"/>
              </w:rPr>
              <w:t xml:space="preserve">is </w:t>
            </w:r>
            <w:r w:rsidRPr="00D23D4B">
              <w:rPr>
                <w:sz w:val="16"/>
                <w:szCs w:val="16"/>
              </w:rPr>
              <w:t>expanded to include</w:t>
            </w:r>
            <w:r>
              <w:rPr>
                <w:sz w:val="16"/>
                <w:szCs w:val="16"/>
              </w:rPr>
              <w:t xml:space="preserve"> medium-high risk medical devices including</w:t>
            </w:r>
            <w:r w:rsidRPr="00D23D4B">
              <w:rPr>
                <w:sz w:val="16"/>
                <w:szCs w:val="16"/>
              </w:rPr>
              <w:t xml:space="preserve"> Class IIa, IIb and III medical devices, AIMDs and Class 3 and 4 IVDs</w:t>
            </w:r>
            <w:r>
              <w:rPr>
                <w:sz w:val="16"/>
                <w:szCs w:val="16"/>
              </w:rPr>
              <w:t xml:space="preserve"> and will be reported in batch. This option will enable timelier signal detection and respond to possible threats to patient and professional safety whilst mitigating risks associated with medical devices. This option meets the government objective.</w:t>
            </w:r>
          </w:p>
        </w:tc>
      </w:tr>
      <w:tr w:rsidR="00A10535" w:rsidRPr="000A4874" w14:paraId="0103D9A9" w14:textId="77777777" w:rsidTr="008D0FDD">
        <w:trPr>
          <w:trHeight w:val="454"/>
        </w:trPr>
        <w:tc>
          <w:tcPr>
            <w:cnfStyle w:val="001000000000" w:firstRow="0" w:lastRow="0" w:firstColumn="1" w:lastColumn="0" w:oddVBand="0" w:evenVBand="0" w:oddHBand="0" w:evenHBand="0" w:firstRowFirstColumn="0" w:firstRowLastColumn="0" w:lastRowFirstColumn="0" w:lastRowLastColumn="0"/>
            <w:tcW w:w="0" w:type="dxa"/>
            <w:vAlign w:val="center"/>
          </w:tcPr>
          <w:p w14:paraId="68DA5693" w14:textId="77777777" w:rsidR="00A10535" w:rsidRPr="00B11292" w:rsidRDefault="00A10535" w:rsidP="00D30F39">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3B</w:t>
            </w:r>
          </w:p>
        </w:tc>
        <w:tc>
          <w:tcPr>
            <w:tcW w:w="0" w:type="dxa"/>
            <w:shd w:val="clear" w:color="auto" w:fill="D9F2D0" w:themeFill="accent6" w:themeFillTint="33"/>
            <w:vAlign w:val="center"/>
          </w:tcPr>
          <w:p w14:paraId="1B3825D6" w14:textId="77777777" w:rsidR="00A10535" w:rsidRDefault="00A10535" w:rsidP="00D30F39">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0" w:type="dxa"/>
            <w:vAlign w:val="center"/>
          </w:tcPr>
          <w:p w14:paraId="541053D0" w14:textId="77777777" w:rsidR="00A10535" w:rsidRPr="001D371B" w:rsidRDefault="00A10535" w:rsidP="00D30F3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8649" w:type="dxa"/>
            <w:tcMar>
              <w:top w:w="108" w:type="dxa"/>
              <w:bottom w:w="108" w:type="dxa"/>
            </w:tcMar>
          </w:tcPr>
          <w:p w14:paraId="116C40EF" w14:textId="77777777" w:rsidR="00A10535" w:rsidRPr="001D371B" w:rsidRDefault="00A10535" w:rsidP="00D30F3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Option 3B is estimated to meet the success criteria to </w:t>
            </w:r>
            <w:r w:rsidRPr="00375E9F">
              <w:rPr>
                <w:sz w:val="16"/>
                <w:szCs w:val="16"/>
              </w:rPr>
              <w:t>a moderate to high</w:t>
            </w:r>
            <w:r>
              <w:rPr>
                <w:sz w:val="16"/>
                <w:szCs w:val="16"/>
              </w:rPr>
              <w:t xml:space="preserve"> level. </w:t>
            </w:r>
            <w:r w:rsidRPr="00D23D4B">
              <w:rPr>
                <w:sz w:val="16"/>
                <w:szCs w:val="16"/>
              </w:rPr>
              <w:t>The scope for medical devices mandated to be reported on</w:t>
            </w:r>
            <w:r>
              <w:rPr>
                <w:sz w:val="16"/>
                <w:szCs w:val="16"/>
              </w:rPr>
              <w:t xml:space="preserve"> will </w:t>
            </w:r>
            <w:r w:rsidRPr="00D23D4B">
              <w:rPr>
                <w:sz w:val="16"/>
                <w:szCs w:val="16"/>
              </w:rPr>
              <w:t xml:space="preserve">include </w:t>
            </w:r>
            <w:r>
              <w:rPr>
                <w:sz w:val="16"/>
                <w:szCs w:val="16"/>
              </w:rPr>
              <w:t xml:space="preserve">medium-high risk medical devices including </w:t>
            </w:r>
            <w:r w:rsidRPr="00D23D4B">
              <w:rPr>
                <w:sz w:val="16"/>
                <w:szCs w:val="16"/>
              </w:rPr>
              <w:t>Class IIa, IIb and III medical devices, AIMDs and Class 3 and 4 IVDs)</w:t>
            </w:r>
            <w:r>
              <w:rPr>
                <w:sz w:val="16"/>
                <w:szCs w:val="16"/>
              </w:rPr>
              <w:t xml:space="preserve"> to be reported on occurrence. Option 3B will enable timelier signal detection and respond to possible threats to patient and professional safety whilst mitigating risks associated with medical devices. This option meets the government objective.</w:t>
            </w:r>
          </w:p>
        </w:tc>
      </w:tr>
      <w:tr w:rsidR="00CD48E8" w:rsidRPr="000A4874" w14:paraId="446836CE" w14:textId="77777777" w:rsidTr="008D0F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BC1CACA" w14:textId="77777777" w:rsidR="00A10535" w:rsidRPr="00B11292" w:rsidRDefault="00A10535" w:rsidP="00D30F39">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4A</w:t>
            </w:r>
          </w:p>
        </w:tc>
        <w:tc>
          <w:tcPr>
            <w:tcW w:w="2126" w:type="dxa"/>
            <w:shd w:val="clear" w:color="auto" w:fill="D9F2D0" w:themeFill="accent6" w:themeFillTint="33"/>
            <w:vAlign w:val="center"/>
          </w:tcPr>
          <w:p w14:paraId="248D692C" w14:textId="77777777" w:rsidR="00A10535" w:rsidRDefault="00A10535" w:rsidP="00D30F39">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2" w:type="dxa"/>
            <w:vAlign w:val="center"/>
          </w:tcPr>
          <w:p w14:paraId="60088E64" w14:textId="77777777" w:rsidR="00A10535" w:rsidRPr="001D371B" w:rsidRDefault="00A10535" w:rsidP="00D30F3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8649" w:type="dxa"/>
            <w:tcMar>
              <w:top w:w="108" w:type="dxa"/>
              <w:bottom w:w="108" w:type="dxa"/>
            </w:tcMar>
          </w:tcPr>
          <w:p w14:paraId="434B8CE0" w14:textId="77777777" w:rsidR="00A10535" w:rsidRPr="001D371B" w:rsidRDefault="00A10535" w:rsidP="00D30F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Option 4A comprehensively addresses the success criteria to include </w:t>
            </w:r>
            <w:r w:rsidRPr="00771CE8">
              <w:rPr>
                <w:sz w:val="16"/>
                <w:szCs w:val="16"/>
              </w:rPr>
              <w:t>approved Residential Aged Care facilitie</w:t>
            </w:r>
            <w:r>
              <w:rPr>
                <w:sz w:val="16"/>
                <w:szCs w:val="16"/>
              </w:rPr>
              <w:t xml:space="preserve">s in addition to medium to high-risk medical devices (i.e. Class </w:t>
            </w:r>
            <w:r w:rsidRPr="00D23D4B">
              <w:rPr>
                <w:sz w:val="16"/>
                <w:szCs w:val="16"/>
              </w:rPr>
              <w:t>IIa, IIb and III medical devices, AIMDs and Class 3 and 4 IVDs</w:t>
            </w:r>
            <w:r>
              <w:rPr>
                <w:sz w:val="16"/>
                <w:szCs w:val="16"/>
              </w:rPr>
              <w:t xml:space="preserve">).  increasing the volume </w:t>
            </w:r>
            <w:r w:rsidRPr="00771CE8">
              <w:rPr>
                <w:sz w:val="16"/>
                <w:szCs w:val="16"/>
              </w:rPr>
              <w:t>of adverse event reporting</w:t>
            </w:r>
            <w:r>
              <w:rPr>
                <w:sz w:val="16"/>
                <w:szCs w:val="16"/>
              </w:rPr>
              <w:t xml:space="preserve"> </w:t>
            </w:r>
            <w:r w:rsidRPr="00771CE8">
              <w:rPr>
                <w:sz w:val="16"/>
                <w:szCs w:val="16"/>
              </w:rPr>
              <w:t>and thus the TGA’s ability to identify, assess and respond to emerging safety issues relating to medical devices</w:t>
            </w:r>
            <w:r>
              <w:rPr>
                <w:sz w:val="16"/>
                <w:szCs w:val="16"/>
              </w:rPr>
              <w:t>. This option meets the government objective.</w:t>
            </w:r>
          </w:p>
        </w:tc>
      </w:tr>
      <w:tr w:rsidR="00A10535" w:rsidRPr="000A4874" w14:paraId="11A5DE32" w14:textId="77777777" w:rsidTr="008D0FDD">
        <w:trPr>
          <w:trHeight w:val="454"/>
        </w:trPr>
        <w:tc>
          <w:tcPr>
            <w:cnfStyle w:val="001000000000" w:firstRow="0" w:lastRow="0" w:firstColumn="1" w:lastColumn="0" w:oddVBand="0" w:evenVBand="0" w:oddHBand="0" w:evenHBand="0" w:firstRowFirstColumn="0" w:firstRowLastColumn="0" w:lastRowFirstColumn="0" w:lastRowLastColumn="0"/>
            <w:tcW w:w="0" w:type="dxa"/>
            <w:vAlign w:val="center"/>
          </w:tcPr>
          <w:p w14:paraId="6D0B56F9" w14:textId="77777777" w:rsidR="00A10535" w:rsidRPr="00B11292" w:rsidRDefault="00A10535" w:rsidP="00D30F39">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4B</w:t>
            </w:r>
          </w:p>
        </w:tc>
        <w:tc>
          <w:tcPr>
            <w:tcW w:w="0" w:type="dxa"/>
            <w:shd w:val="clear" w:color="auto" w:fill="D9F2D0" w:themeFill="accent6" w:themeFillTint="33"/>
            <w:vAlign w:val="center"/>
          </w:tcPr>
          <w:p w14:paraId="67147C00" w14:textId="77777777" w:rsidR="00A10535" w:rsidRDefault="00A10535" w:rsidP="00D30F39">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0" w:type="dxa"/>
            <w:vAlign w:val="center"/>
          </w:tcPr>
          <w:p w14:paraId="17E5FB6C" w14:textId="77777777" w:rsidR="00A10535" w:rsidRPr="001D371B" w:rsidRDefault="00A10535" w:rsidP="00D30F39">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8649" w:type="dxa"/>
            <w:tcMar>
              <w:top w:w="108" w:type="dxa"/>
              <w:bottom w:w="108" w:type="dxa"/>
            </w:tcMar>
          </w:tcPr>
          <w:p w14:paraId="6CEB1587" w14:textId="77777777" w:rsidR="00A10535" w:rsidRPr="00B03428" w:rsidRDefault="00A10535" w:rsidP="00D30F39">
            <w:pPr>
              <w:cnfStyle w:val="000000000000" w:firstRow="0" w:lastRow="0" w:firstColumn="0" w:lastColumn="0" w:oddVBand="0" w:evenVBand="0" w:oddHBand="0" w:evenHBand="0" w:firstRowFirstColumn="0" w:firstRowLastColumn="0" w:lastRowFirstColumn="0" w:lastRowLastColumn="0"/>
              <w:rPr>
                <w:sz w:val="16"/>
                <w:szCs w:val="16"/>
              </w:rPr>
            </w:pPr>
            <w:r w:rsidRPr="00B03428">
              <w:rPr>
                <w:sz w:val="16"/>
                <w:szCs w:val="16"/>
              </w:rPr>
              <w:t>Option 4B most comprehensively address</w:t>
            </w:r>
            <w:r>
              <w:rPr>
                <w:sz w:val="16"/>
                <w:szCs w:val="16"/>
              </w:rPr>
              <w:t>es</w:t>
            </w:r>
            <w:r w:rsidRPr="00B03428">
              <w:rPr>
                <w:sz w:val="16"/>
                <w:szCs w:val="16"/>
              </w:rPr>
              <w:t xml:space="preserve"> the success criteria</w:t>
            </w:r>
            <w:r>
              <w:rPr>
                <w:sz w:val="16"/>
                <w:szCs w:val="16"/>
              </w:rPr>
              <w:t>, in addition to</w:t>
            </w:r>
            <w:r w:rsidRPr="00B03428">
              <w:rPr>
                <w:sz w:val="16"/>
                <w:szCs w:val="16"/>
              </w:rPr>
              <w:t xml:space="preserve"> achieving the Government’s objectives from the introduction of new regulation</w:t>
            </w:r>
            <w:r>
              <w:rPr>
                <w:sz w:val="16"/>
                <w:szCs w:val="16"/>
              </w:rPr>
              <w:t xml:space="preserve">s. </w:t>
            </w:r>
            <w:r w:rsidRPr="00771CE8">
              <w:rPr>
                <w:sz w:val="16"/>
                <w:szCs w:val="16"/>
              </w:rPr>
              <w:t>The reporting population to include approved Residential Aged Care facilities would further increase the volume of adverse event reporting and thus the TGA’s ability to identify, assess and respond to emerging safety issues relating to medical devices</w:t>
            </w:r>
            <w:r>
              <w:rPr>
                <w:sz w:val="16"/>
                <w:szCs w:val="16"/>
              </w:rPr>
              <w:t>. This option meets the government objective.</w:t>
            </w:r>
          </w:p>
        </w:tc>
      </w:tr>
    </w:tbl>
    <w:p w14:paraId="21C19811" w14:textId="12C11E96" w:rsidR="007702FA" w:rsidRDefault="005E0398">
      <w:r>
        <w:t xml:space="preserve">The table below provides a summary of the achievement of success criteria for each policy option, whether it has met the government objective and its ranking. </w:t>
      </w:r>
      <w:r w:rsidRPr="005E0398">
        <w:rPr>
          <w:i/>
          <w:iCs/>
          <w:color w:val="44546A"/>
        </w:rPr>
        <w:t>Table 11. Multi-Criteria Analysis – Summary of Achievement of Success</w:t>
      </w:r>
      <w:r w:rsidRPr="005E0398">
        <w:rPr>
          <w:color w:val="44546A"/>
        </w:rPr>
        <w:t xml:space="preserve"> </w:t>
      </w:r>
    </w:p>
    <w:p w14:paraId="3CA7BA43" w14:textId="77777777" w:rsidR="005E0398" w:rsidRDefault="005E0398"/>
    <w:p w14:paraId="1E106C6C" w14:textId="4C5FF596" w:rsidR="00D30F39" w:rsidRDefault="00D30F39">
      <w:pPr>
        <w:sectPr w:rsidR="00D30F39" w:rsidSect="001B34CA">
          <w:pgSz w:w="16838" w:h="11906" w:orient="landscape" w:code="9"/>
          <w:pgMar w:top="1440" w:right="1440" w:bottom="1440" w:left="1440" w:header="573" w:footer="567" w:gutter="0"/>
          <w:cols w:space="708"/>
          <w:docGrid w:linePitch="360"/>
        </w:sectPr>
      </w:pPr>
    </w:p>
    <w:tbl>
      <w:tblPr>
        <w:tblStyle w:val="GridTable2-Accent1"/>
        <w:tblpPr w:leftFromText="180" w:rightFromText="180" w:vertAnchor="page" w:horzAnchor="margin" w:tblpY="1195"/>
        <w:tblW w:w="14459"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1560"/>
        <w:gridCol w:w="2126"/>
        <w:gridCol w:w="1984"/>
        <w:gridCol w:w="8789"/>
      </w:tblGrid>
      <w:tr w:rsidR="005E0398" w:rsidRPr="000A4874" w14:paraId="64D13C1C" w14:textId="77777777" w:rsidTr="002C0B7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4459" w:type="dxa"/>
            <w:gridSpan w:val="4"/>
            <w:tcBorders>
              <w:left w:val="nil"/>
              <w:bottom w:val="single" w:sz="4" w:space="0" w:color="9CC2E5"/>
              <w:right w:val="nil"/>
            </w:tcBorders>
            <w:vAlign w:val="center"/>
          </w:tcPr>
          <w:p w14:paraId="1F6F1409" w14:textId="45A39142" w:rsidR="005E0398" w:rsidRPr="005E0398" w:rsidRDefault="005E0398" w:rsidP="005E0398">
            <w:pPr>
              <w:rPr>
                <w:b w:val="0"/>
                <w:bCs w:val="0"/>
              </w:rPr>
            </w:pPr>
            <w:r w:rsidRPr="005E0398">
              <w:rPr>
                <w:b w:val="0"/>
                <w:bCs w:val="0"/>
              </w:rPr>
              <w:t xml:space="preserve">The table below provides a summary of the </w:t>
            </w:r>
            <w:r>
              <w:rPr>
                <w:b w:val="0"/>
                <w:bCs w:val="0"/>
              </w:rPr>
              <w:t>benefits and costs</w:t>
            </w:r>
            <w:r w:rsidRPr="005E0398">
              <w:rPr>
                <w:b w:val="0"/>
                <w:bCs w:val="0"/>
              </w:rPr>
              <w:t xml:space="preserve"> criteria for each policy option, whether it has met the government objective and its ranking.</w:t>
            </w:r>
            <w:r w:rsidRPr="005E0398">
              <w:rPr>
                <w:i/>
                <w:iCs/>
                <w:color w:val="44546A"/>
              </w:rPr>
              <w:t xml:space="preserve"> </w:t>
            </w:r>
            <w:r>
              <w:rPr>
                <w:i/>
                <w:iCs/>
                <w:color w:val="44546A"/>
              </w:rPr>
              <w:t xml:space="preserve">    </w:t>
            </w:r>
            <w:r w:rsidRPr="005E0398">
              <w:rPr>
                <w:b w:val="0"/>
                <w:bCs w:val="0"/>
                <w:i/>
                <w:iCs/>
                <w:color w:val="44546A"/>
              </w:rPr>
              <w:t>Table 12. Multi-Criteria Analysis – Summary of Benefits and Costs</w:t>
            </w:r>
          </w:p>
          <w:p w14:paraId="5C59319D" w14:textId="4EB1CC3F" w:rsidR="005E0398" w:rsidRPr="00F62877" w:rsidRDefault="005E0398" w:rsidP="005E0398">
            <w:pPr>
              <w:rPr>
                <w:i/>
                <w:iCs/>
                <w:color w:val="000000" w:themeColor="text1"/>
                <w:sz w:val="18"/>
                <w:szCs w:val="18"/>
              </w:rPr>
            </w:pPr>
          </w:p>
        </w:tc>
      </w:tr>
      <w:tr w:rsidR="005E0398" w:rsidRPr="000A4874" w14:paraId="32714A21" w14:textId="77777777" w:rsidTr="005E0398">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9CC2E5"/>
              <w:left w:val="single" w:sz="4" w:space="0" w:color="9CC2E5"/>
              <w:bottom w:val="single" w:sz="4" w:space="0" w:color="9CC2E5"/>
              <w:right w:val="single" w:sz="4" w:space="0" w:color="9CC2E5"/>
            </w:tcBorders>
            <w:shd w:val="clear" w:color="auto" w:fill="D9E2F3"/>
            <w:vAlign w:val="center"/>
          </w:tcPr>
          <w:p w14:paraId="096096EC" w14:textId="1D0673A9" w:rsidR="005E0398" w:rsidRPr="00986FB7" w:rsidRDefault="005E0398" w:rsidP="005E0398">
            <w:pPr>
              <w:rPr>
                <w:color w:val="000000" w:themeColor="text1"/>
                <w:sz w:val="18"/>
                <w:szCs w:val="18"/>
              </w:rPr>
            </w:pPr>
            <w:r w:rsidRPr="00986FB7">
              <w:rPr>
                <w:color w:val="000000" w:themeColor="text1"/>
                <w:sz w:val="18"/>
                <w:szCs w:val="18"/>
              </w:rPr>
              <w:t>MCA Criteria</w:t>
            </w:r>
          </w:p>
        </w:tc>
        <w:tc>
          <w:tcPr>
            <w:tcW w:w="12899" w:type="dxa"/>
            <w:gridSpan w:val="3"/>
            <w:tcBorders>
              <w:top w:val="single" w:sz="4" w:space="0" w:color="9CC2E5"/>
              <w:left w:val="single" w:sz="4" w:space="0" w:color="9CC2E5"/>
              <w:bottom w:val="single" w:sz="4" w:space="0" w:color="9CC2E5"/>
              <w:right w:val="single" w:sz="4" w:space="0" w:color="9CC2E5"/>
            </w:tcBorders>
            <w:shd w:val="clear" w:color="auto" w:fill="D9E2F3"/>
            <w:vAlign w:val="center"/>
          </w:tcPr>
          <w:p w14:paraId="598A8731" w14:textId="1B8FDBA9" w:rsidR="005E0398" w:rsidRDefault="005E0398" w:rsidP="005E0398">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8"/>
                <w:szCs w:val="18"/>
              </w:rPr>
            </w:pPr>
            <w:r>
              <w:rPr>
                <w:i/>
                <w:iCs/>
                <w:color w:val="000000" w:themeColor="text1"/>
                <w:sz w:val="18"/>
                <w:szCs w:val="18"/>
              </w:rPr>
              <w:t>Benefits and Costs</w:t>
            </w:r>
            <w:r w:rsidRPr="00F62877">
              <w:rPr>
                <w:i/>
                <w:iCs/>
                <w:color w:val="000000" w:themeColor="text1"/>
                <w:sz w:val="18"/>
                <w:szCs w:val="18"/>
              </w:rPr>
              <w:t xml:space="preserve"> </w:t>
            </w:r>
          </w:p>
        </w:tc>
      </w:tr>
      <w:tr w:rsidR="005E0398" w:rsidRPr="000A4874" w14:paraId="2029D210" w14:textId="77777777" w:rsidTr="005E0398">
        <w:trPr>
          <w:trHeight w:val="72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9CC2E5"/>
            </w:tcBorders>
            <w:vAlign w:val="center"/>
          </w:tcPr>
          <w:p w14:paraId="49FBE37A" w14:textId="77777777" w:rsidR="005E0398" w:rsidRPr="007033C1" w:rsidRDefault="005E0398" w:rsidP="005E0398">
            <w:pPr>
              <w:rPr>
                <w:b w:val="0"/>
                <w:bCs w:val="0"/>
                <w:i/>
                <w:iCs/>
                <w:color w:val="000000" w:themeColor="text1"/>
                <w:sz w:val="16"/>
                <w:szCs w:val="16"/>
              </w:rPr>
            </w:pPr>
            <w:r w:rsidRPr="007033C1">
              <w:rPr>
                <w:b w:val="0"/>
                <w:bCs w:val="0"/>
                <w:i/>
                <w:iCs/>
                <w:color w:val="000000" w:themeColor="text1"/>
                <w:sz w:val="16"/>
                <w:szCs w:val="16"/>
              </w:rPr>
              <w:t>Options</w:t>
            </w:r>
          </w:p>
        </w:tc>
        <w:tc>
          <w:tcPr>
            <w:tcW w:w="2126" w:type="dxa"/>
            <w:tcBorders>
              <w:top w:val="single" w:sz="4" w:space="0" w:color="9CC2E5"/>
            </w:tcBorders>
            <w:vAlign w:val="center"/>
          </w:tcPr>
          <w:p w14:paraId="5F5288F9" w14:textId="77777777" w:rsidR="005E0398" w:rsidRPr="00986FB7" w:rsidRDefault="005E0398"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Pr>
                <w:i/>
                <w:iCs/>
                <w:color w:val="000000" w:themeColor="text1"/>
                <w:sz w:val="16"/>
                <w:szCs w:val="16"/>
              </w:rPr>
              <w:t>Government O</w:t>
            </w:r>
            <w:r w:rsidRPr="00986FB7">
              <w:rPr>
                <w:i/>
                <w:iCs/>
                <w:color w:val="000000" w:themeColor="text1"/>
                <w:sz w:val="16"/>
                <w:szCs w:val="16"/>
              </w:rPr>
              <w:t>bjective met</w:t>
            </w:r>
          </w:p>
        </w:tc>
        <w:tc>
          <w:tcPr>
            <w:tcW w:w="1984" w:type="dxa"/>
            <w:tcBorders>
              <w:top w:val="single" w:sz="4" w:space="0" w:color="9CC2E5"/>
            </w:tcBorders>
            <w:vAlign w:val="center"/>
          </w:tcPr>
          <w:p w14:paraId="7C5DA77F" w14:textId="77777777" w:rsidR="005E0398" w:rsidRDefault="005E0398"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00986FB7">
              <w:rPr>
                <w:i/>
                <w:iCs/>
                <w:color w:val="000000" w:themeColor="text1"/>
                <w:sz w:val="16"/>
                <w:szCs w:val="16"/>
              </w:rPr>
              <w:t>Ra</w:t>
            </w:r>
            <w:r>
              <w:rPr>
                <w:i/>
                <w:iCs/>
                <w:color w:val="000000" w:themeColor="text1"/>
                <w:sz w:val="16"/>
                <w:szCs w:val="16"/>
              </w:rPr>
              <w:t>nking</w:t>
            </w:r>
          </w:p>
          <w:p w14:paraId="2FEFBAAF" w14:textId="7A89F2C8" w:rsidR="005E0398" w:rsidRPr="00986FB7" w:rsidRDefault="005E0398"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Pr>
                <w:i/>
                <w:iCs/>
                <w:color w:val="000000" w:themeColor="text1"/>
                <w:sz w:val="16"/>
                <w:szCs w:val="16"/>
              </w:rPr>
              <w:t>Weighting (20%)</w:t>
            </w:r>
          </w:p>
        </w:tc>
        <w:tc>
          <w:tcPr>
            <w:tcW w:w="8789" w:type="dxa"/>
            <w:tcBorders>
              <w:top w:val="single" w:sz="4" w:space="0" w:color="9CC2E5"/>
            </w:tcBorders>
          </w:tcPr>
          <w:p w14:paraId="1AD995AE" w14:textId="77777777" w:rsidR="005E0398" w:rsidRDefault="005E0398"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8"/>
                <w:szCs w:val="18"/>
              </w:rPr>
            </w:pPr>
          </w:p>
          <w:p w14:paraId="28500057" w14:textId="1EB88C12" w:rsidR="005E0398" w:rsidRDefault="005E0398"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8"/>
                <w:szCs w:val="18"/>
              </w:rPr>
            </w:pPr>
            <w:r w:rsidRPr="00331679">
              <w:rPr>
                <w:i/>
                <w:iCs/>
                <w:color w:val="000000" w:themeColor="text1"/>
                <w:sz w:val="16"/>
                <w:szCs w:val="16"/>
              </w:rPr>
              <w:t>Explanation</w:t>
            </w:r>
          </w:p>
        </w:tc>
      </w:tr>
      <w:tr w:rsidR="005E0398" w:rsidRPr="000A4874" w14:paraId="1CE1716B" w14:textId="77777777" w:rsidTr="008D0F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F6C7C16" w14:textId="77777777" w:rsidR="005E0398" w:rsidRPr="00B11292" w:rsidRDefault="005E0398" w:rsidP="005E0398">
            <w:pPr>
              <w:spacing w:line="240" w:lineRule="atLeast"/>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 xml:space="preserve">Option 1 </w:t>
            </w:r>
          </w:p>
        </w:tc>
        <w:tc>
          <w:tcPr>
            <w:tcW w:w="2126" w:type="dxa"/>
            <w:shd w:val="clear" w:color="auto" w:fill="FFCCCC"/>
            <w:vAlign w:val="center"/>
          </w:tcPr>
          <w:p w14:paraId="7FE154BF" w14:textId="77777777" w:rsidR="005E0398" w:rsidRPr="00986FB7" w:rsidRDefault="005E0398" w:rsidP="005E0398">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4F"/>
            </w:r>
          </w:p>
        </w:tc>
        <w:tc>
          <w:tcPr>
            <w:tcW w:w="1984" w:type="dxa"/>
            <w:shd w:val="clear" w:color="auto" w:fill="D9E2F3"/>
            <w:vAlign w:val="center"/>
          </w:tcPr>
          <w:p w14:paraId="027D0DDD" w14:textId="77777777" w:rsidR="005E0398" w:rsidRPr="001D371B" w:rsidRDefault="005E0398"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c>
          <w:tcPr>
            <w:tcW w:w="8789" w:type="dxa"/>
            <w:tcMar>
              <w:top w:w="108" w:type="dxa"/>
              <w:bottom w:w="108" w:type="dxa"/>
            </w:tcMar>
          </w:tcPr>
          <w:p w14:paraId="12898F1C" w14:textId="69DADA1A" w:rsidR="005E0398" w:rsidRPr="001D371B" w:rsidRDefault="005E0398" w:rsidP="005E039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Under Option 1, mandatory reporting of medical device adverse events will not be imposed on public and private hospitals (including day hospitals). The benefit to </w:t>
            </w:r>
            <w:r w:rsidR="008D0FDD">
              <w:rPr>
                <w:sz w:val="16"/>
                <w:szCs w:val="16"/>
              </w:rPr>
              <w:t>patients</w:t>
            </w:r>
            <w:r>
              <w:rPr>
                <w:sz w:val="16"/>
                <w:szCs w:val="16"/>
              </w:rPr>
              <w:t xml:space="preserve"> will remain unchanged. It is likely that underreporting will continue and notification of potential health risks related to medical devices will remain unchanged. No additional cost to resources will be required to complete, review and compile and submit medical device adverse event reports.</w:t>
            </w:r>
          </w:p>
        </w:tc>
      </w:tr>
      <w:tr w:rsidR="005E0398" w:rsidRPr="000A4874" w14:paraId="0CE4D488" w14:textId="77777777" w:rsidTr="008D0FDD">
        <w:trPr>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1B58BA4" w14:textId="77777777" w:rsidR="005E0398" w:rsidRPr="00B11292" w:rsidRDefault="005E0398"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2A</w:t>
            </w:r>
          </w:p>
        </w:tc>
        <w:tc>
          <w:tcPr>
            <w:tcW w:w="2126" w:type="dxa"/>
            <w:shd w:val="clear" w:color="auto" w:fill="FFCCCC"/>
            <w:vAlign w:val="center"/>
          </w:tcPr>
          <w:p w14:paraId="6CBAED77" w14:textId="77777777" w:rsidR="005E0398" w:rsidRPr="001D371B" w:rsidRDefault="005E0398" w:rsidP="005E0398">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rFonts w:ascii="Wingdings" w:hAnsi="Wingdings"/>
                <w:color w:val="000000" w:themeColor="text1"/>
                <w:sz w:val="16"/>
                <w:szCs w:val="16"/>
              </w:rPr>
              <w:sym w:font="Wingdings 2" w:char="F04F"/>
            </w:r>
          </w:p>
        </w:tc>
        <w:tc>
          <w:tcPr>
            <w:tcW w:w="1984" w:type="dxa"/>
            <w:vAlign w:val="center"/>
          </w:tcPr>
          <w:p w14:paraId="5A34D4BB" w14:textId="77777777" w:rsidR="005E0398" w:rsidRPr="001D371B" w:rsidRDefault="005E0398" w:rsidP="005E039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8789" w:type="dxa"/>
            <w:tcMar>
              <w:top w:w="108" w:type="dxa"/>
              <w:bottom w:w="108" w:type="dxa"/>
            </w:tcMar>
          </w:tcPr>
          <w:p w14:paraId="37D1F65B" w14:textId="77777777" w:rsidR="005E0398" w:rsidRPr="001D371B" w:rsidRDefault="005E0398" w:rsidP="005E0398">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Option 2A will introduce mandatory reporting to cover </w:t>
            </w:r>
            <w:r w:rsidRPr="00BB6B6B">
              <w:rPr>
                <w:sz w:val="16"/>
                <w:szCs w:val="16"/>
              </w:rPr>
              <w:t>Class III medical devices, AIMDs and Class 4 IVDs as ‘reportable medical devices’</w:t>
            </w:r>
            <w:r>
              <w:rPr>
                <w:sz w:val="16"/>
                <w:szCs w:val="16"/>
              </w:rPr>
              <w:t xml:space="preserve"> reported in batch. This option benefits the larger and private hospitals likely to experience a higher volume of reports and safety problems associated with high-risk medical devices will be identified earlier. The potential use of an API </w:t>
            </w:r>
            <w:r w:rsidRPr="003838BB">
              <w:rPr>
                <w:sz w:val="16"/>
                <w:szCs w:val="16"/>
              </w:rPr>
              <w:t>could result in significant efficiencies gained in terms of resources expended on reporting</w:t>
            </w:r>
            <w:r>
              <w:rPr>
                <w:sz w:val="16"/>
                <w:szCs w:val="16"/>
              </w:rPr>
              <w:t xml:space="preserve"> as well as lowering the resource impost on the reporting population. Costs to complete, review and submit medical device adverse event reports and identify weak signals may pose health risks to health practitioners or patients. Due to the limited scope of medical devices covered, Option 2A will not meet the overall government objective in terms of benefit and cost. </w:t>
            </w:r>
          </w:p>
        </w:tc>
      </w:tr>
      <w:tr w:rsidR="005E0398" w:rsidRPr="000A4874" w14:paraId="10B97163" w14:textId="77777777" w:rsidTr="008D0F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1BA2638" w14:textId="4DA3A763" w:rsidR="005E0398" w:rsidRPr="00B11292" w:rsidRDefault="005E0398"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2B</w:t>
            </w:r>
          </w:p>
        </w:tc>
        <w:tc>
          <w:tcPr>
            <w:tcW w:w="2126" w:type="dxa"/>
            <w:shd w:val="clear" w:color="auto" w:fill="FFCCCC"/>
            <w:vAlign w:val="center"/>
          </w:tcPr>
          <w:p w14:paraId="1D5910C1" w14:textId="77777777" w:rsidR="005E0398" w:rsidRPr="001D371B" w:rsidRDefault="005E0398" w:rsidP="005E0398">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rFonts w:ascii="Wingdings" w:hAnsi="Wingdings"/>
                <w:color w:val="000000" w:themeColor="text1"/>
                <w:sz w:val="16"/>
                <w:szCs w:val="16"/>
              </w:rPr>
              <w:sym w:font="Wingdings 2" w:char="F04F"/>
            </w:r>
          </w:p>
        </w:tc>
        <w:tc>
          <w:tcPr>
            <w:tcW w:w="1984" w:type="dxa"/>
            <w:vAlign w:val="center"/>
          </w:tcPr>
          <w:p w14:paraId="7CE490DB" w14:textId="3437BDB1" w:rsidR="005E0398" w:rsidRPr="001D371B" w:rsidRDefault="005E0398"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c>
          <w:tcPr>
            <w:tcW w:w="8789" w:type="dxa"/>
            <w:tcMar>
              <w:top w:w="108" w:type="dxa"/>
              <w:bottom w:w="108" w:type="dxa"/>
            </w:tcMar>
          </w:tcPr>
          <w:p w14:paraId="67960C1B" w14:textId="58C12FC0" w:rsidR="005E0398" w:rsidRPr="001D371B" w:rsidRDefault="005E0398" w:rsidP="005E039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Option 2B will introduce mandatory reporting to cover </w:t>
            </w:r>
            <w:r w:rsidRPr="00BB6B6B">
              <w:rPr>
                <w:sz w:val="16"/>
                <w:szCs w:val="16"/>
              </w:rPr>
              <w:t>Class III medical devices, AIMDs and Class 4 IVDs as ‘reportable medical devices’</w:t>
            </w:r>
            <w:r>
              <w:rPr>
                <w:sz w:val="16"/>
                <w:szCs w:val="16"/>
              </w:rPr>
              <w:t xml:space="preserve"> reported on occurrence. This option will enable timelier reporting of medical device adverse events and earlier identification and response to </w:t>
            </w:r>
            <w:r w:rsidRPr="00190934">
              <w:rPr>
                <w:sz w:val="16"/>
                <w:szCs w:val="16"/>
              </w:rPr>
              <w:t>potential medical device safety issues</w:t>
            </w:r>
            <w:r>
              <w:rPr>
                <w:sz w:val="16"/>
                <w:szCs w:val="16"/>
              </w:rPr>
              <w:t xml:space="preserve"> should a public health issue arise. Reporting on occurrence has the potential to produce lower quality reporting information submitted by healthcare facilities due to the reduced amount of time to review and investigate incidences. </w:t>
            </w:r>
            <w:r w:rsidRPr="00246887">
              <w:rPr>
                <w:sz w:val="16"/>
                <w:szCs w:val="16"/>
              </w:rPr>
              <w:t>Costs may cause increased impost on the regulated community</w:t>
            </w:r>
            <w:r>
              <w:rPr>
                <w:sz w:val="16"/>
                <w:szCs w:val="16"/>
              </w:rPr>
              <w:t xml:space="preserve">, especially healthcare facilities with disproportionate </w:t>
            </w:r>
            <w:r w:rsidRPr="007D73EF">
              <w:rPr>
                <w:sz w:val="16"/>
                <w:szCs w:val="16"/>
              </w:rPr>
              <w:t>high volumes of patients/procedures, or relative low staffing resources to support mandatory reporting</w:t>
            </w:r>
            <w:r>
              <w:rPr>
                <w:sz w:val="16"/>
                <w:szCs w:val="16"/>
              </w:rPr>
              <w:t>. Due to the limited scope of medical devices covered, Option 2B will not meet the overall government objective in terms of benefit and cost.</w:t>
            </w:r>
          </w:p>
        </w:tc>
      </w:tr>
      <w:tr w:rsidR="005E0398" w:rsidRPr="000A4874" w14:paraId="1BFA46CE" w14:textId="77777777" w:rsidTr="008D0FDD">
        <w:trPr>
          <w:trHeight w:val="454"/>
        </w:trPr>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9CC2E5"/>
            </w:tcBorders>
            <w:vAlign w:val="center"/>
          </w:tcPr>
          <w:p w14:paraId="03A73B53" w14:textId="7CD9D0D1" w:rsidR="005E0398" w:rsidRPr="00B11292" w:rsidRDefault="005E0398"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3A</w:t>
            </w:r>
          </w:p>
        </w:tc>
        <w:tc>
          <w:tcPr>
            <w:tcW w:w="2126" w:type="dxa"/>
            <w:tcBorders>
              <w:bottom w:val="single" w:sz="2" w:space="0" w:color="9CC2E5"/>
            </w:tcBorders>
            <w:shd w:val="clear" w:color="auto" w:fill="D9F2D0" w:themeFill="accent6" w:themeFillTint="33"/>
            <w:vAlign w:val="center"/>
          </w:tcPr>
          <w:p w14:paraId="419B8598" w14:textId="77777777" w:rsidR="005E0398" w:rsidRDefault="005E0398" w:rsidP="005E0398">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4" w:type="dxa"/>
            <w:tcBorders>
              <w:bottom w:val="single" w:sz="2" w:space="0" w:color="9CC2E5"/>
            </w:tcBorders>
            <w:vAlign w:val="center"/>
          </w:tcPr>
          <w:p w14:paraId="0660E9A9" w14:textId="77777777" w:rsidR="005E0398" w:rsidRPr="001D371B" w:rsidRDefault="005E0398" w:rsidP="005E039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8789" w:type="dxa"/>
            <w:tcBorders>
              <w:bottom w:val="single" w:sz="2" w:space="0" w:color="9CC2E5"/>
            </w:tcBorders>
            <w:tcMar>
              <w:top w:w="108" w:type="dxa"/>
              <w:bottom w:w="108" w:type="dxa"/>
            </w:tcMar>
          </w:tcPr>
          <w:p w14:paraId="4EF0AD98" w14:textId="72D7F192" w:rsidR="005E0398" w:rsidRPr="00AB3D1E" w:rsidRDefault="005E0398" w:rsidP="005E0398">
            <w:pPr>
              <w:cnfStyle w:val="000000000000" w:firstRow="0" w:lastRow="0" w:firstColumn="0" w:lastColumn="0" w:oddVBand="0" w:evenVBand="0" w:oddHBand="0" w:evenHBand="0" w:firstRowFirstColumn="0" w:firstRowLastColumn="0" w:lastRowFirstColumn="0" w:lastRowLastColumn="0"/>
              <w:rPr>
                <w:sz w:val="16"/>
                <w:szCs w:val="16"/>
              </w:rPr>
            </w:pPr>
            <w:r w:rsidRPr="00AB3D1E">
              <w:rPr>
                <w:sz w:val="16"/>
                <w:szCs w:val="16"/>
              </w:rPr>
              <w:t>Option 3A will expand the scope of ‘reportable medical devices’ to include Classes IIa and IIb and Class 3 IVDs</w:t>
            </w:r>
            <w:r>
              <w:rPr>
                <w:sz w:val="16"/>
                <w:szCs w:val="16"/>
              </w:rPr>
              <w:t xml:space="preserve"> deemed to be medium - high risk with reporting to be in batch. This option has the potential to detect weak signals and rare events and allow for timely notification of potential health risk relating to medical devices, benefiting the general public and some flow on effects on medical device manufacturers and sponsors. The potential use of </w:t>
            </w:r>
            <w:r w:rsidRPr="001A6BF3">
              <w:rPr>
                <w:sz w:val="16"/>
                <w:szCs w:val="16"/>
              </w:rPr>
              <w:t>API for data transmission in batch reporting will reduce the resource burden on the reporting population, enhance reporting quality, and improve efficiency in resource usage</w:t>
            </w:r>
            <w:r>
              <w:rPr>
                <w:sz w:val="16"/>
                <w:szCs w:val="16"/>
              </w:rPr>
              <w:t xml:space="preserve">. Option 3A meets the government objective in terms of benefit and cost. </w:t>
            </w:r>
          </w:p>
        </w:tc>
      </w:tr>
      <w:tr w:rsidR="005E0398" w:rsidRPr="000A4874" w14:paraId="62D33842" w14:textId="77777777" w:rsidTr="008D0F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E63A572" w14:textId="032360E2" w:rsidR="005E0398" w:rsidRPr="00B11292" w:rsidRDefault="005E0398"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3B</w:t>
            </w:r>
          </w:p>
        </w:tc>
        <w:tc>
          <w:tcPr>
            <w:tcW w:w="2126" w:type="dxa"/>
            <w:shd w:val="clear" w:color="auto" w:fill="D9F2D0" w:themeFill="accent6" w:themeFillTint="33"/>
            <w:vAlign w:val="center"/>
          </w:tcPr>
          <w:p w14:paraId="4FCF039F" w14:textId="77777777" w:rsidR="005E0398" w:rsidRDefault="005E0398" w:rsidP="005E0398">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4" w:type="dxa"/>
            <w:vAlign w:val="center"/>
          </w:tcPr>
          <w:p w14:paraId="53CAC93F" w14:textId="0150E6E1" w:rsidR="005E0398" w:rsidRPr="001D371B" w:rsidRDefault="005E0398"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w:t>
            </w:r>
          </w:p>
        </w:tc>
        <w:tc>
          <w:tcPr>
            <w:tcW w:w="8789" w:type="dxa"/>
            <w:tcMar>
              <w:top w:w="108" w:type="dxa"/>
              <w:bottom w:w="108" w:type="dxa"/>
            </w:tcMar>
          </w:tcPr>
          <w:p w14:paraId="2597519A" w14:textId="77777777" w:rsidR="005E0398" w:rsidRPr="001D371B" w:rsidRDefault="005E0398" w:rsidP="005E039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Option 3B </w:t>
            </w:r>
            <w:r w:rsidRPr="00AB3D1E">
              <w:rPr>
                <w:sz w:val="16"/>
                <w:szCs w:val="16"/>
              </w:rPr>
              <w:t>will expand the scope of ‘reportable medical devices’ to include Classes IIa and IIb and Class 3 IVDs</w:t>
            </w:r>
            <w:r>
              <w:rPr>
                <w:sz w:val="16"/>
                <w:szCs w:val="16"/>
              </w:rPr>
              <w:t xml:space="preserve"> with reporting to be on occurrence. Option 3B will enable detection of weak signals/ rare events related to a medical device adverse event. On occurrence reporting has the potential to produce lower quality reporting information submitted by healthcare facilities due to the reduced amount of time to review and investigate incidences. Similar to Option 3A, the volume of mandatory reports will likely increase and </w:t>
            </w:r>
            <w:r w:rsidRPr="004C4D47">
              <w:rPr>
                <w:sz w:val="16"/>
                <w:szCs w:val="16"/>
              </w:rPr>
              <w:t>have flow on impacts on both healthcare facilities and medical device sponsors and manufacturers.</w:t>
            </w:r>
            <w:r>
              <w:rPr>
                <w:sz w:val="16"/>
                <w:szCs w:val="16"/>
              </w:rPr>
              <w:t xml:space="preserve"> There will be increased resources by healthcare facilities to support training of staff and changes to internal procedures. Medical device manufacturers and sponsors will likely increase resources in </w:t>
            </w:r>
            <w:r w:rsidRPr="008574B9">
              <w:rPr>
                <w:sz w:val="16"/>
                <w:szCs w:val="16"/>
              </w:rPr>
              <w:t>investigating, responding to and addressing any outcomes of adverse event reporting</w:t>
            </w:r>
            <w:r>
              <w:rPr>
                <w:sz w:val="16"/>
                <w:szCs w:val="16"/>
              </w:rPr>
              <w:t>. Option 3B meets the government objective in terms of benefit and cost.</w:t>
            </w:r>
          </w:p>
        </w:tc>
      </w:tr>
      <w:tr w:rsidR="005E0398" w:rsidRPr="000A4874" w14:paraId="5F501F29" w14:textId="77777777" w:rsidTr="009F10C5">
        <w:trPr>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224CF2D" w14:textId="77777777" w:rsidR="005E0398" w:rsidRPr="00B11292" w:rsidRDefault="005E0398"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4A</w:t>
            </w:r>
          </w:p>
        </w:tc>
        <w:tc>
          <w:tcPr>
            <w:tcW w:w="2126" w:type="dxa"/>
            <w:shd w:val="clear" w:color="auto" w:fill="D9F2D0" w:themeFill="accent6" w:themeFillTint="33"/>
            <w:vAlign w:val="center"/>
          </w:tcPr>
          <w:p w14:paraId="092CEF4E" w14:textId="77777777" w:rsidR="005E0398" w:rsidRDefault="005E0398" w:rsidP="005E0398">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4" w:type="dxa"/>
            <w:vAlign w:val="center"/>
          </w:tcPr>
          <w:p w14:paraId="1BE543DA" w14:textId="77777777" w:rsidR="005E0398" w:rsidRPr="001D371B" w:rsidRDefault="005E0398" w:rsidP="005E039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8789" w:type="dxa"/>
            <w:tcMar>
              <w:top w:w="108" w:type="dxa"/>
              <w:bottom w:w="108" w:type="dxa"/>
            </w:tcMar>
          </w:tcPr>
          <w:p w14:paraId="4568C4BB" w14:textId="00892272" w:rsidR="005E0398" w:rsidRPr="00407BF2" w:rsidRDefault="005E0398" w:rsidP="005E0398">
            <w:pPr>
              <w:cnfStyle w:val="000000000000" w:firstRow="0" w:lastRow="0" w:firstColumn="0" w:lastColumn="0" w:oddVBand="0" w:evenVBand="0" w:oddHBand="0" w:evenHBand="0" w:firstRowFirstColumn="0" w:firstRowLastColumn="0" w:lastRowFirstColumn="0" w:lastRowLastColumn="0"/>
            </w:pPr>
            <w:r>
              <w:rPr>
                <w:sz w:val="16"/>
                <w:szCs w:val="16"/>
              </w:rPr>
              <w:t>Option 4A will improve coverage of healthcare facilities to</w:t>
            </w:r>
            <w:r w:rsidRPr="00666A53">
              <w:rPr>
                <w:sz w:val="16"/>
                <w:szCs w:val="16"/>
              </w:rPr>
              <w:t xml:space="preserve"> include approved Residential Aged Care Facilities (excluding MPS facilities)</w:t>
            </w:r>
            <w:r>
              <w:rPr>
                <w:sz w:val="16"/>
                <w:szCs w:val="16"/>
              </w:rPr>
              <w:t xml:space="preserve"> as well as </w:t>
            </w:r>
            <w:r w:rsidRPr="00AB3D1E">
              <w:rPr>
                <w:sz w:val="16"/>
                <w:szCs w:val="16"/>
              </w:rPr>
              <w:t>Classes IIa and IIb and Class 3 IVDs</w:t>
            </w:r>
            <w:r>
              <w:rPr>
                <w:sz w:val="16"/>
                <w:szCs w:val="16"/>
              </w:rPr>
              <w:t xml:space="preserve"> with reporting to occur in batch</w:t>
            </w:r>
            <w:r w:rsidRPr="00666A53">
              <w:rPr>
                <w:sz w:val="16"/>
                <w:szCs w:val="16"/>
              </w:rPr>
              <w:t>.</w:t>
            </w:r>
            <w:r>
              <w:rPr>
                <w:sz w:val="16"/>
                <w:szCs w:val="16"/>
              </w:rPr>
              <w:t xml:space="preserve"> There will be improved ability to detect and prevent </w:t>
            </w:r>
            <w:r w:rsidRPr="00624D16">
              <w:rPr>
                <w:sz w:val="16"/>
                <w:szCs w:val="16"/>
              </w:rPr>
              <w:t>serious public health events and allow for timelier detection of</w:t>
            </w:r>
            <w:r>
              <w:rPr>
                <w:sz w:val="16"/>
                <w:szCs w:val="16"/>
              </w:rPr>
              <w:t xml:space="preserve"> </w:t>
            </w:r>
            <w:r w:rsidRPr="00624D16">
              <w:rPr>
                <w:sz w:val="16"/>
                <w:szCs w:val="16"/>
              </w:rPr>
              <w:t>weak signals/ rare events related to a medical device adverse event</w:t>
            </w:r>
            <w:r>
              <w:rPr>
                <w:sz w:val="16"/>
                <w:szCs w:val="16"/>
              </w:rPr>
              <w:t xml:space="preserve">, improved clinical decision making in relation </w:t>
            </w:r>
            <w:r w:rsidRPr="00AA4061">
              <w:rPr>
                <w:sz w:val="16"/>
                <w:szCs w:val="16"/>
              </w:rPr>
              <w:t>to the procurement and use of medical devices.</w:t>
            </w:r>
            <w:r>
              <w:t xml:space="preserve"> </w:t>
            </w:r>
            <w:r w:rsidRPr="00407BF2">
              <w:rPr>
                <w:sz w:val="16"/>
                <w:szCs w:val="16"/>
              </w:rPr>
              <w:t xml:space="preserve">Option 4A will enable increased access to relevant data </w:t>
            </w:r>
            <w:r>
              <w:rPr>
                <w:sz w:val="16"/>
                <w:szCs w:val="16"/>
              </w:rPr>
              <w:t>to support</w:t>
            </w:r>
            <w:r w:rsidRPr="00407BF2">
              <w:rPr>
                <w:sz w:val="16"/>
                <w:szCs w:val="16"/>
              </w:rPr>
              <w:t xml:space="preserve"> the timely identification of medical devices with potential safety issues. </w:t>
            </w:r>
            <w:r>
              <w:rPr>
                <w:sz w:val="16"/>
                <w:szCs w:val="16"/>
              </w:rPr>
              <w:t>In addition to costs described in preceding policy options, there is a significant increase in regulatory burden on healthcare facilities, manufacturers and sponsors. Option 4A meets the government objective in terms of benefit and cost.</w:t>
            </w:r>
          </w:p>
        </w:tc>
      </w:tr>
      <w:tr w:rsidR="005E0398" w:rsidRPr="000A4874" w14:paraId="3F97F868" w14:textId="77777777" w:rsidTr="009F10C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FC850F2" w14:textId="77777777" w:rsidR="005E0398" w:rsidRPr="00B11292" w:rsidRDefault="005E0398"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4B</w:t>
            </w:r>
          </w:p>
        </w:tc>
        <w:tc>
          <w:tcPr>
            <w:tcW w:w="2126" w:type="dxa"/>
            <w:shd w:val="clear" w:color="auto" w:fill="D9F2D0" w:themeFill="accent6" w:themeFillTint="33"/>
            <w:vAlign w:val="center"/>
          </w:tcPr>
          <w:p w14:paraId="62D620B7" w14:textId="77777777" w:rsidR="005E0398" w:rsidRDefault="005E0398" w:rsidP="005E0398">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4" w:type="dxa"/>
            <w:vAlign w:val="center"/>
          </w:tcPr>
          <w:p w14:paraId="4BB1ED4A" w14:textId="77777777" w:rsidR="005E0398" w:rsidRPr="001D371B" w:rsidRDefault="005E0398"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8789" w:type="dxa"/>
            <w:tcMar>
              <w:top w:w="108" w:type="dxa"/>
              <w:bottom w:w="108" w:type="dxa"/>
            </w:tcMar>
          </w:tcPr>
          <w:p w14:paraId="03E8FD70" w14:textId="77777777" w:rsidR="005E0398" w:rsidRPr="001D371B" w:rsidRDefault="005E0398" w:rsidP="005E039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 4B will expand coverage of healthcare t</w:t>
            </w:r>
            <w:r w:rsidRPr="00666A53">
              <w:rPr>
                <w:sz w:val="16"/>
                <w:szCs w:val="16"/>
              </w:rPr>
              <w:t xml:space="preserve">o include </w:t>
            </w:r>
            <w:r w:rsidRPr="00AB3D1E">
              <w:rPr>
                <w:sz w:val="16"/>
                <w:szCs w:val="16"/>
              </w:rPr>
              <w:t>Classes IIa and IIb and Class 3 IVDs</w:t>
            </w:r>
            <w:r>
              <w:rPr>
                <w:sz w:val="16"/>
                <w:szCs w:val="16"/>
              </w:rPr>
              <w:t xml:space="preserve"> and </w:t>
            </w:r>
            <w:r w:rsidRPr="00666A53">
              <w:rPr>
                <w:sz w:val="16"/>
                <w:szCs w:val="16"/>
              </w:rPr>
              <w:t>approved Residential Aged Care Facilities (excluding MPS facilities)</w:t>
            </w:r>
            <w:r>
              <w:rPr>
                <w:sz w:val="16"/>
                <w:szCs w:val="16"/>
              </w:rPr>
              <w:t xml:space="preserve"> with reporting to occur on occurrence</w:t>
            </w:r>
            <w:r w:rsidRPr="00666A53">
              <w:rPr>
                <w:sz w:val="16"/>
                <w:szCs w:val="16"/>
              </w:rPr>
              <w:t>.</w:t>
            </w:r>
            <w:r>
              <w:rPr>
                <w:sz w:val="16"/>
                <w:szCs w:val="16"/>
              </w:rPr>
              <w:t xml:space="preserve"> There will be improved ability to detect and prevent </w:t>
            </w:r>
            <w:r w:rsidRPr="00624D16">
              <w:rPr>
                <w:sz w:val="16"/>
                <w:szCs w:val="16"/>
              </w:rPr>
              <w:t>serious public health events and allow for timelier detection of</w:t>
            </w:r>
            <w:r>
              <w:rPr>
                <w:sz w:val="16"/>
                <w:szCs w:val="16"/>
              </w:rPr>
              <w:t xml:space="preserve"> </w:t>
            </w:r>
            <w:r w:rsidRPr="00624D16">
              <w:rPr>
                <w:sz w:val="16"/>
                <w:szCs w:val="16"/>
              </w:rPr>
              <w:t>weak signals/ rare events related to medical device adverse events</w:t>
            </w:r>
            <w:r>
              <w:rPr>
                <w:sz w:val="16"/>
                <w:szCs w:val="16"/>
              </w:rPr>
              <w:t xml:space="preserve">, improved clinical decision making in relation </w:t>
            </w:r>
            <w:r w:rsidRPr="00AA4061">
              <w:rPr>
                <w:sz w:val="16"/>
                <w:szCs w:val="16"/>
              </w:rPr>
              <w:t>to the procurement and use of medical devices.</w:t>
            </w:r>
            <w:r>
              <w:t xml:space="preserve"> </w:t>
            </w:r>
            <w:r>
              <w:rPr>
                <w:sz w:val="16"/>
                <w:szCs w:val="16"/>
              </w:rPr>
              <w:t>In addition to costs described in preceding policy options, there is a significant increase in regulatory burden on healthcare facilities, manufacturers and sponsors. Option 4B best meets the government objective in terms of benefit and cost.</w:t>
            </w:r>
          </w:p>
        </w:tc>
      </w:tr>
    </w:tbl>
    <w:p w14:paraId="55EB2C5A" w14:textId="30E17491" w:rsidR="00592919" w:rsidRDefault="00592919"/>
    <w:tbl>
      <w:tblPr>
        <w:tblStyle w:val="GridTable2-Accent1"/>
        <w:tblpPr w:leftFromText="180" w:rightFromText="180" w:vertAnchor="page" w:horzAnchor="margin" w:tblpY="2161"/>
        <w:tblW w:w="14454"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1560"/>
        <w:gridCol w:w="2126"/>
        <w:gridCol w:w="1982"/>
        <w:gridCol w:w="8786"/>
      </w:tblGrid>
      <w:tr w:rsidR="00BB4EFF" w:rsidRPr="000A4874" w14:paraId="599EF870" w14:textId="77777777" w:rsidTr="00BB4EFF">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4454" w:type="dxa"/>
            <w:gridSpan w:val="4"/>
            <w:tcBorders>
              <w:left w:val="nil"/>
              <w:bottom w:val="single" w:sz="4" w:space="0" w:color="9CC2E5"/>
              <w:right w:val="nil"/>
            </w:tcBorders>
            <w:vAlign w:val="center"/>
          </w:tcPr>
          <w:p w14:paraId="04F844A8" w14:textId="77777777" w:rsidR="00BB4EFF" w:rsidRPr="00BB4EFF" w:rsidRDefault="00BB4EFF" w:rsidP="00BB4EFF">
            <w:pPr>
              <w:rPr>
                <w:b w:val="0"/>
                <w:bCs w:val="0"/>
                <w:color w:val="000000" w:themeColor="text1"/>
              </w:rPr>
            </w:pPr>
            <w:r w:rsidRPr="00BB4EFF">
              <w:rPr>
                <w:b w:val="0"/>
                <w:bCs w:val="0"/>
                <w:color w:val="000000" w:themeColor="text1"/>
              </w:rPr>
              <w:t>The table below provides a summary of the regulatory burden criteria for each policy option, whether it has met the government objective and its ranking</w:t>
            </w:r>
          </w:p>
          <w:p w14:paraId="0841A68C" w14:textId="5E019FCD" w:rsidR="00BB4EFF" w:rsidRDefault="00BB4EFF" w:rsidP="00BB4EFF">
            <w:pPr>
              <w:rPr>
                <w:i/>
                <w:iCs/>
                <w:color w:val="000000" w:themeColor="text1"/>
                <w:sz w:val="18"/>
                <w:szCs w:val="18"/>
              </w:rPr>
            </w:pPr>
            <w:r w:rsidRPr="00BB4EFF">
              <w:rPr>
                <w:b w:val="0"/>
                <w:bCs w:val="0"/>
                <w:i/>
                <w:iCs/>
                <w:color w:val="44546A"/>
              </w:rPr>
              <w:t>Table 13. Multi-Criteria Analysis – Summary of Regulatory Burden</w:t>
            </w:r>
          </w:p>
        </w:tc>
      </w:tr>
      <w:tr w:rsidR="008C15BE" w:rsidRPr="000A4874" w14:paraId="55555E63" w14:textId="77777777" w:rsidTr="00BB4EFF">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9CC2E5"/>
              <w:left w:val="single" w:sz="4" w:space="0" w:color="9CC2E5"/>
              <w:bottom w:val="single" w:sz="4" w:space="0" w:color="9CC2E5"/>
              <w:right w:val="single" w:sz="4" w:space="0" w:color="9CC2E5"/>
            </w:tcBorders>
            <w:vAlign w:val="center"/>
          </w:tcPr>
          <w:p w14:paraId="2E4749CC" w14:textId="77777777" w:rsidR="008C15BE" w:rsidRPr="00D02C8D" w:rsidRDefault="008C15BE" w:rsidP="005E0398">
            <w:pPr>
              <w:rPr>
                <w:b w:val="0"/>
                <w:bCs w:val="0"/>
                <w:i/>
                <w:iCs/>
                <w:color w:val="000000" w:themeColor="text1"/>
                <w:sz w:val="16"/>
                <w:szCs w:val="16"/>
              </w:rPr>
            </w:pPr>
            <w:r w:rsidRPr="00986FB7">
              <w:rPr>
                <w:color w:val="000000" w:themeColor="text1"/>
                <w:sz w:val="18"/>
                <w:szCs w:val="18"/>
              </w:rPr>
              <w:t>MCA Criteria</w:t>
            </w:r>
          </w:p>
        </w:tc>
        <w:tc>
          <w:tcPr>
            <w:tcW w:w="12894" w:type="dxa"/>
            <w:gridSpan w:val="3"/>
            <w:tcBorders>
              <w:top w:val="single" w:sz="4" w:space="0" w:color="9CC2E5"/>
              <w:left w:val="single" w:sz="4" w:space="0" w:color="9CC2E5"/>
              <w:bottom w:val="single" w:sz="4" w:space="0" w:color="9CC2E5"/>
              <w:right w:val="single" w:sz="4" w:space="0" w:color="9CC2E5"/>
            </w:tcBorders>
            <w:vAlign w:val="center"/>
          </w:tcPr>
          <w:p w14:paraId="7FE6D3B9" w14:textId="77777777" w:rsidR="008C15BE" w:rsidRPr="00F62877" w:rsidRDefault="008C15BE" w:rsidP="005E0398">
            <w:pPr>
              <w:jc w:val="center"/>
              <w:cnfStyle w:val="000000100000" w:firstRow="0" w:lastRow="0" w:firstColumn="0" w:lastColumn="0" w:oddVBand="0" w:evenVBand="0" w:oddHBand="1" w:evenHBand="0" w:firstRowFirstColumn="0" w:firstRowLastColumn="0" w:lastRowFirstColumn="0" w:lastRowLastColumn="0"/>
              <w:rPr>
                <w:i/>
                <w:iCs/>
                <w:color w:val="000000" w:themeColor="text1"/>
                <w:sz w:val="18"/>
                <w:szCs w:val="18"/>
              </w:rPr>
            </w:pPr>
            <w:r>
              <w:rPr>
                <w:i/>
                <w:iCs/>
                <w:color w:val="000000" w:themeColor="text1"/>
                <w:sz w:val="18"/>
                <w:szCs w:val="18"/>
              </w:rPr>
              <w:t>Regulatory Burden</w:t>
            </w:r>
            <w:r w:rsidRPr="00F62877">
              <w:rPr>
                <w:i/>
                <w:iCs/>
                <w:color w:val="000000" w:themeColor="text1"/>
                <w:sz w:val="18"/>
                <w:szCs w:val="18"/>
              </w:rPr>
              <w:t xml:space="preserve"> </w:t>
            </w:r>
          </w:p>
        </w:tc>
      </w:tr>
      <w:tr w:rsidR="008C15BE" w:rsidRPr="000A4874" w14:paraId="4D8A4018" w14:textId="77777777" w:rsidTr="005E0398">
        <w:trPr>
          <w:trHeight w:val="72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9CC2E5"/>
            </w:tcBorders>
            <w:vAlign w:val="center"/>
          </w:tcPr>
          <w:p w14:paraId="4712D14F" w14:textId="77777777" w:rsidR="008C15BE" w:rsidRPr="00D02C8D" w:rsidRDefault="008C15BE" w:rsidP="005E0398">
            <w:pPr>
              <w:rPr>
                <w:i/>
                <w:iCs/>
                <w:color w:val="000000" w:themeColor="text1"/>
                <w:sz w:val="16"/>
                <w:szCs w:val="16"/>
              </w:rPr>
            </w:pPr>
          </w:p>
        </w:tc>
        <w:tc>
          <w:tcPr>
            <w:tcW w:w="2126" w:type="dxa"/>
            <w:tcBorders>
              <w:top w:val="single" w:sz="4" w:space="0" w:color="9CC2E5"/>
            </w:tcBorders>
            <w:vAlign w:val="center"/>
          </w:tcPr>
          <w:p w14:paraId="37F49945" w14:textId="77777777" w:rsidR="008C15BE" w:rsidRPr="00986FB7" w:rsidRDefault="008C15BE"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00986FB7">
              <w:rPr>
                <w:i/>
                <w:iCs/>
                <w:color w:val="000000" w:themeColor="text1"/>
                <w:sz w:val="16"/>
                <w:szCs w:val="16"/>
              </w:rPr>
              <w:t>Objective met</w:t>
            </w:r>
          </w:p>
        </w:tc>
        <w:tc>
          <w:tcPr>
            <w:tcW w:w="1982" w:type="dxa"/>
            <w:tcBorders>
              <w:top w:val="single" w:sz="4" w:space="0" w:color="9CC2E5"/>
            </w:tcBorders>
            <w:vAlign w:val="center"/>
          </w:tcPr>
          <w:p w14:paraId="3DA8B02D" w14:textId="77777777" w:rsidR="008C15BE" w:rsidRDefault="008C15BE"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00986FB7">
              <w:rPr>
                <w:i/>
                <w:iCs/>
                <w:color w:val="000000" w:themeColor="text1"/>
                <w:sz w:val="16"/>
                <w:szCs w:val="16"/>
              </w:rPr>
              <w:t>Ra</w:t>
            </w:r>
            <w:r>
              <w:rPr>
                <w:i/>
                <w:iCs/>
                <w:color w:val="000000" w:themeColor="text1"/>
                <w:sz w:val="16"/>
                <w:szCs w:val="16"/>
              </w:rPr>
              <w:t>nking</w:t>
            </w:r>
          </w:p>
          <w:p w14:paraId="0B7B8C76" w14:textId="77777777" w:rsidR="008C15BE" w:rsidRPr="00986FB7" w:rsidRDefault="008C15BE"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Pr>
                <w:i/>
                <w:iCs/>
                <w:color w:val="000000" w:themeColor="text1"/>
                <w:sz w:val="16"/>
                <w:szCs w:val="16"/>
              </w:rPr>
              <w:t>Weighting (40%)</w:t>
            </w:r>
          </w:p>
        </w:tc>
        <w:tc>
          <w:tcPr>
            <w:tcW w:w="8786" w:type="dxa"/>
            <w:tcBorders>
              <w:top w:val="single" w:sz="4" w:space="0" w:color="9CC2E5"/>
            </w:tcBorders>
          </w:tcPr>
          <w:p w14:paraId="1DC843BD" w14:textId="77777777" w:rsidR="008C15BE" w:rsidRDefault="008C15BE"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8"/>
                <w:szCs w:val="18"/>
              </w:rPr>
            </w:pPr>
          </w:p>
          <w:p w14:paraId="26DB7E55" w14:textId="77777777" w:rsidR="008C15BE" w:rsidRDefault="008C15BE" w:rsidP="005E0398">
            <w:pPr>
              <w:jc w:val="center"/>
              <w:cnfStyle w:val="000000000000" w:firstRow="0" w:lastRow="0" w:firstColumn="0" w:lastColumn="0" w:oddVBand="0" w:evenVBand="0" w:oddHBand="0" w:evenHBand="0" w:firstRowFirstColumn="0" w:firstRowLastColumn="0" w:lastRowFirstColumn="0" w:lastRowLastColumn="0"/>
              <w:rPr>
                <w:i/>
                <w:iCs/>
                <w:color w:val="000000" w:themeColor="text1"/>
                <w:sz w:val="18"/>
                <w:szCs w:val="18"/>
              </w:rPr>
            </w:pPr>
            <w:r w:rsidRPr="00331679">
              <w:rPr>
                <w:i/>
                <w:iCs/>
                <w:color w:val="000000" w:themeColor="text1"/>
                <w:sz w:val="16"/>
                <w:szCs w:val="16"/>
              </w:rPr>
              <w:t>Explanation</w:t>
            </w:r>
          </w:p>
        </w:tc>
      </w:tr>
      <w:tr w:rsidR="008C15BE" w:rsidRPr="000A4874" w14:paraId="77031516" w14:textId="77777777" w:rsidTr="00BB4E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BC9C1EB" w14:textId="77777777" w:rsidR="008C15BE" w:rsidRPr="00B11292" w:rsidRDefault="008C15BE" w:rsidP="005E0398">
            <w:pPr>
              <w:spacing w:line="240" w:lineRule="atLeast"/>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 xml:space="preserve">Option 1 </w:t>
            </w:r>
          </w:p>
        </w:tc>
        <w:tc>
          <w:tcPr>
            <w:tcW w:w="2126" w:type="dxa"/>
            <w:shd w:val="clear" w:color="auto" w:fill="FFCCCC"/>
            <w:vAlign w:val="center"/>
          </w:tcPr>
          <w:p w14:paraId="16212F1D" w14:textId="77777777" w:rsidR="008C15BE" w:rsidRPr="00986FB7" w:rsidRDefault="008C15BE" w:rsidP="005E0398">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4F"/>
            </w:r>
          </w:p>
        </w:tc>
        <w:tc>
          <w:tcPr>
            <w:tcW w:w="1982" w:type="dxa"/>
            <w:vAlign w:val="center"/>
          </w:tcPr>
          <w:p w14:paraId="12191DBE" w14:textId="77777777" w:rsidR="008C15BE" w:rsidRPr="001D371B" w:rsidRDefault="008C15BE"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8786" w:type="dxa"/>
            <w:tcMar>
              <w:top w:w="108" w:type="dxa"/>
              <w:bottom w:w="108" w:type="dxa"/>
            </w:tcMar>
          </w:tcPr>
          <w:p w14:paraId="6896A9F5" w14:textId="77777777" w:rsidR="008C15BE" w:rsidRPr="001D371B" w:rsidRDefault="008C15BE" w:rsidP="005E039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Option 1 has the least regulatory burden on public and private hospitals (including day hospitals), however, it does not meet the government’s policy objective for the mandatory scheme and the public health problem. </w:t>
            </w:r>
            <w:r w:rsidRPr="00B05A7E">
              <w:rPr>
                <w:sz w:val="16"/>
                <w:szCs w:val="16"/>
              </w:rPr>
              <w:t xml:space="preserve">Medical device adverse events would continue to be underreported, thereby not improving the TGA’s ability to detect emerging signals relating to medical devices that pose a potential health risk. </w:t>
            </w:r>
          </w:p>
        </w:tc>
      </w:tr>
      <w:tr w:rsidR="00147487" w:rsidRPr="000A4874" w14:paraId="1A537A2A" w14:textId="77777777" w:rsidTr="00BB4EFF">
        <w:trPr>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C4CDB36" w14:textId="77777777" w:rsidR="008C15BE" w:rsidRPr="00B11292" w:rsidRDefault="008C15BE"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2A</w:t>
            </w:r>
          </w:p>
        </w:tc>
        <w:tc>
          <w:tcPr>
            <w:tcW w:w="2126" w:type="dxa"/>
            <w:shd w:val="clear" w:color="auto" w:fill="FFCCCC"/>
          </w:tcPr>
          <w:p w14:paraId="3B8287F3" w14:textId="77777777" w:rsidR="008C15BE" w:rsidRPr="001D371B" w:rsidRDefault="008C15BE" w:rsidP="005E0398">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537C2">
              <w:rPr>
                <w:rFonts w:ascii="Wingdings" w:hAnsi="Wingdings"/>
                <w:color w:val="000000" w:themeColor="text1"/>
                <w:sz w:val="16"/>
                <w:szCs w:val="16"/>
              </w:rPr>
              <w:sym w:font="Wingdings 2" w:char="F04F"/>
            </w:r>
          </w:p>
        </w:tc>
        <w:tc>
          <w:tcPr>
            <w:tcW w:w="1982" w:type="dxa"/>
            <w:shd w:val="clear" w:color="auto" w:fill="DEEAF6"/>
            <w:vAlign w:val="center"/>
          </w:tcPr>
          <w:p w14:paraId="19A64D3F" w14:textId="77777777" w:rsidR="008C15BE" w:rsidRPr="001D371B" w:rsidRDefault="008C15BE" w:rsidP="005E039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8786" w:type="dxa"/>
            <w:tcMar>
              <w:top w:w="108" w:type="dxa"/>
              <w:bottom w:w="108" w:type="dxa"/>
            </w:tcMar>
          </w:tcPr>
          <w:p w14:paraId="1BEE26CE" w14:textId="77777777" w:rsidR="008C15BE" w:rsidRPr="001D371B" w:rsidRDefault="008C15BE" w:rsidP="005E0398">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Option 2A will cost private healthcare facilities $1.19 million annualised over a ten- year period. There is some regulatory burden imposed on private healthcare facilities, however the scope of medical device reporting is limited and does not cover medium-high risk devices (i.e. </w:t>
            </w:r>
            <w:r w:rsidRPr="00BB6B6B">
              <w:rPr>
                <w:sz w:val="16"/>
                <w:szCs w:val="16"/>
              </w:rPr>
              <w:t>Class III medical devices, AIMDs and Class 4 IVDs</w:t>
            </w:r>
            <w:r>
              <w:rPr>
                <w:sz w:val="16"/>
                <w:szCs w:val="16"/>
              </w:rPr>
              <w:t>)</w:t>
            </w:r>
            <w:r w:rsidRPr="00BB6B6B">
              <w:rPr>
                <w:sz w:val="16"/>
                <w:szCs w:val="16"/>
              </w:rPr>
              <w:t xml:space="preserve"> </w:t>
            </w:r>
            <w:r>
              <w:rPr>
                <w:sz w:val="16"/>
                <w:szCs w:val="16"/>
              </w:rPr>
              <w:t xml:space="preserve">which makes up a significant proportion of registered medical devices. Option 2A will be limited in its ability to detect weak signals </w:t>
            </w:r>
            <w:r w:rsidRPr="00DF2B94">
              <w:rPr>
                <w:sz w:val="16"/>
                <w:szCs w:val="16"/>
              </w:rPr>
              <w:t>relating to medical devices with potential safety issues/risks.</w:t>
            </w:r>
          </w:p>
        </w:tc>
      </w:tr>
      <w:tr w:rsidR="008C15BE" w:rsidRPr="000A4874" w14:paraId="4F7709CA" w14:textId="77777777" w:rsidTr="00BB4E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F82621F" w14:textId="77777777" w:rsidR="008C15BE" w:rsidRPr="00B11292" w:rsidRDefault="008C15BE"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2B</w:t>
            </w:r>
          </w:p>
        </w:tc>
        <w:tc>
          <w:tcPr>
            <w:tcW w:w="2126" w:type="dxa"/>
            <w:shd w:val="clear" w:color="auto" w:fill="FFCCCC"/>
          </w:tcPr>
          <w:p w14:paraId="17FAEFF8" w14:textId="77777777" w:rsidR="008C15BE" w:rsidRPr="001D371B" w:rsidRDefault="008C15BE" w:rsidP="005E0398">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7537C2">
              <w:rPr>
                <w:rFonts w:ascii="Wingdings" w:hAnsi="Wingdings"/>
                <w:color w:val="000000" w:themeColor="text1"/>
                <w:sz w:val="16"/>
                <w:szCs w:val="16"/>
              </w:rPr>
              <w:sym w:font="Wingdings 2" w:char="F04F"/>
            </w:r>
          </w:p>
        </w:tc>
        <w:tc>
          <w:tcPr>
            <w:tcW w:w="1982" w:type="dxa"/>
            <w:vAlign w:val="center"/>
          </w:tcPr>
          <w:p w14:paraId="10D4B31F" w14:textId="77777777" w:rsidR="008C15BE" w:rsidRPr="001D371B" w:rsidRDefault="008C15BE"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w:t>
            </w:r>
          </w:p>
        </w:tc>
        <w:tc>
          <w:tcPr>
            <w:tcW w:w="8786" w:type="dxa"/>
            <w:tcMar>
              <w:top w:w="108" w:type="dxa"/>
              <w:bottom w:w="108" w:type="dxa"/>
            </w:tcMar>
          </w:tcPr>
          <w:p w14:paraId="4AE85E50" w14:textId="77777777" w:rsidR="008C15BE" w:rsidRPr="001D371B" w:rsidRDefault="008C15BE" w:rsidP="005E039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Option 2B will cost private healthcare facilities $1.20 million annualised over a ten-year period. There will be some regulatory burden imposed on private healthcare facilities, however the scope of medical device reporting is limited and does not cover medium-high risk devices (i.e. </w:t>
            </w:r>
            <w:r w:rsidRPr="00BB6B6B">
              <w:rPr>
                <w:sz w:val="16"/>
                <w:szCs w:val="16"/>
              </w:rPr>
              <w:t>Class III medical devices, AIMDs and Class 4 IVDs</w:t>
            </w:r>
            <w:r>
              <w:rPr>
                <w:sz w:val="16"/>
                <w:szCs w:val="16"/>
              </w:rPr>
              <w:t>)</w:t>
            </w:r>
            <w:r w:rsidRPr="00BB6B6B">
              <w:rPr>
                <w:sz w:val="16"/>
                <w:szCs w:val="16"/>
              </w:rPr>
              <w:t xml:space="preserve"> </w:t>
            </w:r>
            <w:r>
              <w:rPr>
                <w:sz w:val="16"/>
                <w:szCs w:val="16"/>
              </w:rPr>
              <w:t>which makes up a significant proportion of registered medical devices.</w:t>
            </w:r>
          </w:p>
        </w:tc>
      </w:tr>
      <w:tr w:rsidR="00147487" w:rsidRPr="000A4874" w14:paraId="4680E0B2" w14:textId="77777777" w:rsidTr="00BB4EFF">
        <w:trPr>
          <w:trHeight w:val="454"/>
        </w:trPr>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9CC2E5"/>
            </w:tcBorders>
            <w:shd w:val="clear" w:color="auto" w:fill="DEEAF6"/>
            <w:vAlign w:val="center"/>
          </w:tcPr>
          <w:p w14:paraId="24BF6559" w14:textId="77777777" w:rsidR="008C15BE" w:rsidRPr="00B11292" w:rsidRDefault="008C15BE"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3A</w:t>
            </w:r>
          </w:p>
        </w:tc>
        <w:tc>
          <w:tcPr>
            <w:tcW w:w="2126" w:type="dxa"/>
            <w:tcBorders>
              <w:bottom w:val="single" w:sz="2" w:space="0" w:color="9CC2E5"/>
            </w:tcBorders>
            <w:shd w:val="clear" w:color="auto" w:fill="D9F2D0" w:themeFill="accent6" w:themeFillTint="33"/>
            <w:vAlign w:val="center"/>
          </w:tcPr>
          <w:p w14:paraId="5D9FCE70" w14:textId="77777777" w:rsidR="008C15BE" w:rsidRDefault="008C15BE" w:rsidP="005E0398">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2" w:type="dxa"/>
            <w:tcBorders>
              <w:bottom w:val="single" w:sz="2" w:space="0" w:color="9CC2E5"/>
            </w:tcBorders>
            <w:shd w:val="clear" w:color="auto" w:fill="DEEAF6"/>
            <w:vAlign w:val="center"/>
          </w:tcPr>
          <w:p w14:paraId="56BF86FD" w14:textId="77777777" w:rsidR="008C15BE" w:rsidRPr="001D371B" w:rsidRDefault="008C15BE" w:rsidP="005E039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8786" w:type="dxa"/>
            <w:tcBorders>
              <w:bottom w:val="single" w:sz="2" w:space="0" w:color="9CC2E5"/>
            </w:tcBorders>
            <w:shd w:val="clear" w:color="auto" w:fill="DEEAF6"/>
            <w:tcMar>
              <w:top w:w="108" w:type="dxa"/>
              <w:bottom w:w="108" w:type="dxa"/>
            </w:tcMar>
          </w:tcPr>
          <w:p w14:paraId="0CAA6BC2" w14:textId="77777777" w:rsidR="008C15BE" w:rsidRPr="001D371B" w:rsidRDefault="008C15BE" w:rsidP="005E0398">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Option 3A will cost private healthcare facilities $1.61 million annualised over a ten-year period. Option 3A </w:t>
            </w:r>
            <w:r w:rsidRPr="00446623">
              <w:rPr>
                <w:sz w:val="16"/>
                <w:szCs w:val="16"/>
              </w:rPr>
              <w:t>via batch reporting will minimise the additional regulatory burden placed on the reporting population</w:t>
            </w:r>
            <w:r>
              <w:rPr>
                <w:sz w:val="16"/>
                <w:szCs w:val="16"/>
              </w:rPr>
              <w:t xml:space="preserve">, </w:t>
            </w:r>
            <w:r w:rsidRPr="00446623">
              <w:rPr>
                <w:sz w:val="16"/>
                <w:szCs w:val="16"/>
              </w:rPr>
              <w:t xml:space="preserve">improve the TGA’s ability to detect weak signals, resulting in many positive patient and health practitioner health and safety outcomes. Option 3A provides </w:t>
            </w:r>
            <w:r>
              <w:rPr>
                <w:sz w:val="16"/>
                <w:szCs w:val="16"/>
              </w:rPr>
              <w:t xml:space="preserve">greater coverage of medium – high risk medical devices and provides </w:t>
            </w:r>
            <w:r w:rsidRPr="00446623">
              <w:rPr>
                <w:sz w:val="16"/>
                <w:szCs w:val="16"/>
              </w:rPr>
              <w:t>the best balance between addressal of the policy objectives and regulatory burden placed on the reporting population and is therefore the preferred option.</w:t>
            </w:r>
          </w:p>
        </w:tc>
      </w:tr>
      <w:tr w:rsidR="008C15BE" w:rsidRPr="000A4874" w14:paraId="6F3D60E8" w14:textId="77777777" w:rsidTr="00BB4E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5E1855F" w14:textId="77777777" w:rsidR="008C15BE" w:rsidRPr="00B11292" w:rsidRDefault="008C15BE"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3B</w:t>
            </w:r>
          </w:p>
        </w:tc>
        <w:tc>
          <w:tcPr>
            <w:tcW w:w="2126" w:type="dxa"/>
            <w:shd w:val="clear" w:color="auto" w:fill="D9F2D0" w:themeFill="accent6" w:themeFillTint="33"/>
            <w:vAlign w:val="center"/>
          </w:tcPr>
          <w:p w14:paraId="77C66420" w14:textId="77777777" w:rsidR="008C15BE" w:rsidRDefault="008C15BE" w:rsidP="005E0398">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sz w:val="16"/>
                <w:szCs w:val="16"/>
              </w:rPr>
            </w:pPr>
            <w:r>
              <w:rPr>
                <w:rFonts w:ascii="Wingdings" w:hAnsi="Wingdings"/>
                <w:color w:val="000000" w:themeColor="text1"/>
                <w:sz w:val="16"/>
                <w:szCs w:val="16"/>
              </w:rPr>
              <w:sym w:font="Wingdings 2" w:char="F050"/>
            </w:r>
          </w:p>
        </w:tc>
        <w:tc>
          <w:tcPr>
            <w:tcW w:w="1982" w:type="dxa"/>
            <w:vAlign w:val="center"/>
          </w:tcPr>
          <w:p w14:paraId="10FC2A65" w14:textId="77777777" w:rsidR="008C15BE" w:rsidRPr="001D371B" w:rsidRDefault="008C15BE"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c>
          <w:tcPr>
            <w:tcW w:w="8786" w:type="dxa"/>
            <w:tcMar>
              <w:top w:w="108" w:type="dxa"/>
              <w:bottom w:w="108" w:type="dxa"/>
            </w:tcMar>
          </w:tcPr>
          <w:p w14:paraId="34F32774" w14:textId="77777777" w:rsidR="008C15BE" w:rsidRPr="00456287" w:rsidRDefault="008C15BE" w:rsidP="005E0398">
            <w:pPr>
              <w:cnfStyle w:val="000000100000" w:firstRow="0" w:lastRow="0" w:firstColumn="0" w:lastColumn="0" w:oddVBand="0" w:evenVBand="0" w:oddHBand="1" w:evenHBand="0" w:firstRowFirstColumn="0" w:firstRowLastColumn="0" w:lastRowFirstColumn="0" w:lastRowLastColumn="0"/>
              <w:rPr>
                <w:sz w:val="16"/>
                <w:szCs w:val="16"/>
              </w:rPr>
            </w:pPr>
            <w:r w:rsidRPr="00456287">
              <w:rPr>
                <w:sz w:val="16"/>
                <w:szCs w:val="16"/>
              </w:rPr>
              <w:t xml:space="preserve">Option 3B will cost private healthcare facilities $1.67 million annualised over a ten-year period. Option 3B expanding the scope to include </w:t>
            </w:r>
            <w:r>
              <w:rPr>
                <w:sz w:val="16"/>
                <w:szCs w:val="16"/>
              </w:rPr>
              <w:t>medium – high risk medical devices however</w:t>
            </w:r>
            <w:r w:rsidRPr="00456287">
              <w:rPr>
                <w:sz w:val="16"/>
                <w:szCs w:val="16"/>
              </w:rPr>
              <w:t xml:space="preserve">, </w:t>
            </w:r>
            <w:r>
              <w:rPr>
                <w:sz w:val="16"/>
                <w:szCs w:val="16"/>
              </w:rPr>
              <w:t xml:space="preserve">the proposed </w:t>
            </w:r>
            <w:r w:rsidRPr="00456287">
              <w:rPr>
                <w:sz w:val="16"/>
                <w:szCs w:val="16"/>
              </w:rPr>
              <w:t>on occurrence report submission frequency will impose a more significant regulatory burden on the reporting population, and disproportionately affect medical facilities with either limited resources, or much higher patient demand</w:t>
            </w:r>
            <w:r>
              <w:rPr>
                <w:sz w:val="16"/>
                <w:szCs w:val="16"/>
              </w:rPr>
              <w:t xml:space="preserve">. </w:t>
            </w:r>
          </w:p>
        </w:tc>
      </w:tr>
      <w:tr w:rsidR="008C15BE" w:rsidRPr="000A4874" w14:paraId="455FC428" w14:textId="77777777" w:rsidTr="00BB4EFF">
        <w:trPr>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0BBA755" w14:textId="77777777" w:rsidR="008C15BE" w:rsidRPr="00B11292" w:rsidRDefault="008C15BE"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4A</w:t>
            </w:r>
          </w:p>
        </w:tc>
        <w:tc>
          <w:tcPr>
            <w:tcW w:w="2126" w:type="dxa"/>
            <w:shd w:val="clear" w:color="auto" w:fill="D9F2D0" w:themeFill="accent6" w:themeFillTint="33"/>
          </w:tcPr>
          <w:p w14:paraId="5A0F35E1" w14:textId="77777777" w:rsidR="008C15BE" w:rsidRPr="001374D2" w:rsidRDefault="008C15BE" w:rsidP="005E0398">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FFCCCC"/>
                <w:sz w:val="16"/>
                <w:szCs w:val="16"/>
              </w:rPr>
            </w:pPr>
            <w:r w:rsidRPr="00244128">
              <w:rPr>
                <w:rFonts w:ascii="Wingdings" w:hAnsi="Wingdings"/>
                <w:color w:val="000000" w:themeColor="text1"/>
                <w:sz w:val="16"/>
                <w:szCs w:val="16"/>
              </w:rPr>
              <w:sym w:font="Wingdings 2" w:char="F050"/>
            </w:r>
          </w:p>
        </w:tc>
        <w:tc>
          <w:tcPr>
            <w:tcW w:w="1982" w:type="dxa"/>
            <w:vAlign w:val="center"/>
          </w:tcPr>
          <w:p w14:paraId="1492D5F4" w14:textId="77777777" w:rsidR="008C15BE" w:rsidRPr="001D371B" w:rsidRDefault="008C15BE" w:rsidP="005E0398">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8786" w:type="dxa"/>
            <w:tcMar>
              <w:top w:w="108" w:type="dxa"/>
              <w:bottom w:w="108" w:type="dxa"/>
            </w:tcMar>
          </w:tcPr>
          <w:p w14:paraId="6026A39E" w14:textId="77777777" w:rsidR="008C15BE" w:rsidRPr="001D371B" w:rsidRDefault="008C15BE" w:rsidP="005E0398">
            <w:pPr>
              <w:cnfStyle w:val="000000000000" w:firstRow="0" w:lastRow="0" w:firstColumn="0" w:lastColumn="0" w:oddVBand="0" w:evenVBand="0" w:oddHBand="0" w:evenHBand="0" w:firstRowFirstColumn="0" w:firstRowLastColumn="0" w:lastRowFirstColumn="0" w:lastRowLastColumn="0"/>
              <w:rPr>
                <w:sz w:val="16"/>
                <w:szCs w:val="16"/>
              </w:rPr>
            </w:pPr>
            <w:r w:rsidRPr="00303697">
              <w:rPr>
                <w:sz w:val="16"/>
                <w:szCs w:val="16"/>
              </w:rPr>
              <w:t xml:space="preserve">Option 4A will </w:t>
            </w:r>
            <w:r>
              <w:rPr>
                <w:sz w:val="16"/>
                <w:szCs w:val="16"/>
              </w:rPr>
              <w:t xml:space="preserve">incur a cost of $5.56 million annualised over a ten-year period on private healthcare facilities and would impose a significant regulatory burden estimated to increase the reporting population by 200%. </w:t>
            </w:r>
            <w:r w:rsidRPr="003E367B">
              <w:rPr>
                <w:sz w:val="16"/>
                <w:szCs w:val="16"/>
              </w:rPr>
              <w:t>This option would see the number of healthcare facilities mandated to report medical device adverse events increase from 1,324 to 3,964 (representing an increase of 2,640 healthcare facilities or approximately ~200%)</w:t>
            </w:r>
            <w:r>
              <w:rPr>
                <w:sz w:val="16"/>
                <w:szCs w:val="16"/>
              </w:rPr>
              <w:t xml:space="preserve">. </w:t>
            </w:r>
          </w:p>
        </w:tc>
      </w:tr>
      <w:tr w:rsidR="008C15BE" w:rsidRPr="000A4874" w14:paraId="08B88517" w14:textId="77777777" w:rsidTr="00BB4E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5F5119E" w14:textId="77777777" w:rsidR="008C15BE" w:rsidRPr="00B11292" w:rsidRDefault="008C15BE" w:rsidP="005E0398">
            <w:pPr>
              <w:spacing w:line="240" w:lineRule="atLeast"/>
              <w:ind w:left="360" w:hanging="360"/>
              <w:rPr>
                <w:rFonts w:eastAsia="Cambria" w:cs="Times New Roman"/>
                <w:b w:val="0"/>
                <w:bCs w:val="0"/>
                <w:color w:val="000000" w:themeColor="text1"/>
                <w:sz w:val="16"/>
                <w:szCs w:val="16"/>
              </w:rPr>
            </w:pPr>
            <w:r w:rsidRPr="00B11292">
              <w:rPr>
                <w:rFonts w:eastAsia="Cambria" w:cs="Times New Roman"/>
                <w:b w:val="0"/>
                <w:bCs w:val="0"/>
                <w:color w:val="000000" w:themeColor="text1"/>
                <w:sz w:val="16"/>
                <w:szCs w:val="16"/>
              </w:rPr>
              <w:t>Option 4B</w:t>
            </w:r>
          </w:p>
        </w:tc>
        <w:tc>
          <w:tcPr>
            <w:tcW w:w="2126" w:type="dxa"/>
            <w:shd w:val="clear" w:color="auto" w:fill="D9F2D0" w:themeFill="accent6" w:themeFillTint="33"/>
          </w:tcPr>
          <w:p w14:paraId="25B1A122" w14:textId="77777777" w:rsidR="008C15BE" w:rsidRPr="001374D2" w:rsidRDefault="008C15BE" w:rsidP="005E0398">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FFCCCC"/>
                <w:sz w:val="16"/>
                <w:szCs w:val="16"/>
              </w:rPr>
            </w:pPr>
            <w:r w:rsidRPr="00244128">
              <w:rPr>
                <w:rFonts w:ascii="Wingdings" w:hAnsi="Wingdings"/>
                <w:color w:val="000000" w:themeColor="text1"/>
                <w:sz w:val="16"/>
                <w:szCs w:val="16"/>
              </w:rPr>
              <w:sym w:font="Wingdings 2" w:char="F050"/>
            </w:r>
          </w:p>
        </w:tc>
        <w:tc>
          <w:tcPr>
            <w:tcW w:w="1982" w:type="dxa"/>
            <w:vAlign w:val="center"/>
          </w:tcPr>
          <w:p w14:paraId="2A7F5AD0" w14:textId="77777777" w:rsidR="008C15BE" w:rsidRPr="001D371B" w:rsidRDefault="008C15BE" w:rsidP="005E039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c>
          <w:tcPr>
            <w:tcW w:w="8786" w:type="dxa"/>
            <w:tcMar>
              <w:top w:w="108" w:type="dxa"/>
              <w:bottom w:w="108" w:type="dxa"/>
            </w:tcMar>
          </w:tcPr>
          <w:p w14:paraId="72CB9FA5" w14:textId="77777777" w:rsidR="008C15BE" w:rsidRPr="001D371B" w:rsidRDefault="008C15BE" w:rsidP="005E0398">
            <w:pPr>
              <w:cnfStyle w:val="000000100000" w:firstRow="0" w:lastRow="0" w:firstColumn="0" w:lastColumn="0" w:oddVBand="0" w:evenVBand="0" w:oddHBand="1" w:evenHBand="0" w:firstRowFirstColumn="0" w:firstRowLastColumn="0" w:lastRowFirstColumn="0" w:lastRowLastColumn="0"/>
              <w:rPr>
                <w:sz w:val="16"/>
                <w:szCs w:val="16"/>
              </w:rPr>
            </w:pPr>
            <w:r w:rsidRPr="00303697">
              <w:rPr>
                <w:sz w:val="16"/>
                <w:szCs w:val="16"/>
              </w:rPr>
              <w:t>Option 4</w:t>
            </w:r>
            <w:r>
              <w:rPr>
                <w:sz w:val="16"/>
                <w:szCs w:val="16"/>
              </w:rPr>
              <w:t>B</w:t>
            </w:r>
            <w:r w:rsidRPr="00303697">
              <w:rPr>
                <w:sz w:val="16"/>
                <w:szCs w:val="16"/>
              </w:rPr>
              <w:t xml:space="preserve"> will</w:t>
            </w:r>
            <w:r>
              <w:rPr>
                <w:sz w:val="16"/>
                <w:szCs w:val="16"/>
              </w:rPr>
              <w:t xml:space="preserve"> incur the highest cost estimated at $5.61million annualised over a ten-year period. This option will have the most regulatory burden to private healthcare facilities. Similar to Option 4A, t</w:t>
            </w:r>
            <w:r w:rsidRPr="003E367B">
              <w:rPr>
                <w:sz w:val="16"/>
                <w:szCs w:val="16"/>
              </w:rPr>
              <w:t>his option would see the number of healthcare facilities mandated to report medical device adverse events representing an increase of 2,640 healthcare facilities or approximately ~200%</w:t>
            </w:r>
            <w:r>
              <w:rPr>
                <w:sz w:val="16"/>
                <w:szCs w:val="16"/>
              </w:rPr>
              <w:t>. Option 4B would have the most regulatory burden in relation to staff training, IT upgrades, administrative costs.</w:t>
            </w:r>
          </w:p>
        </w:tc>
      </w:tr>
    </w:tbl>
    <w:p w14:paraId="51F6C784" w14:textId="7FEB1B79" w:rsidR="00CD48E8" w:rsidRDefault="00CD48E8">
      <w:pPr>
        <w:sectPr w:rsidR="00CD48E8" w:rsidSect="001B34CA">
          <w:pgSz w:w="16838" w:h="11906" w:orient="landscape" w:code="9"/>
          <w:pgMar w:top="1440" w:right="1440" w:bottom="1440" w:left="1440" w:header="573" w:footer="567" w:gutter="0"/>
          <w:cols w:space="708"/>
          <w:docGrid w:linePitch="360"/>
        </w:sectPr>
      </w:pPr>
    </w:p>
    <w:p w14:paraId="46629BD8" w14:textId="3C2B2CD6" w:rsidR="00DE5D68" w:rsidRDefault="00325224" w:rsidP="00325224">
      <w:pPr>
        <w:pStyle w:val="Heading2"/>
      </w:pPr>
      <w:bookmarkStart w:id="191" w:name="_Appendix_B:_Regulatory"/>
      <w:bookmarkStart w:id="192" w:name="_Toc179531334"/>
      <w:bookmarkStart w:id="193" w:name="_Toc188012885"/>
      <w:bookmarkEnd w:id="191"/>
      <w:r>
        <w:t xml:space="preserve">Appendix B: </w:t>
      </w:r>
      <w:r w:rsidR="008770A1">
        <w:t>Regulatory Burden Estimate</w:t>
      </w:r>
      <w:bookmarkEnd w:id="192"/>
      <w:bookmarkEnd w:id="193"/>
    </w:p>
    <w:p w14:paraId="49408F34" w14:textId="77777777" w:rsidR="00DA0825" w:rsidRPr="00DA0825" w:rsidRDefault="00DA0825" w:rsidP="00DA0825">
      <w:pPr>
        <w:keepNext/>
        <w:keepLines/>
        <w:spacing w:before="480" w:line="240" w:lineRule="atLeast"/>
        <w:outlineLvl w:val="2"/>
        <w:rPr>
          <w:rFonts w:eastAsia="Times New Roman" w:cs="Times New Roman"/>
          <w:b/>
          <w:bCs/>
          <w:color w:val="001871"/>
          <w:sz w:val="32"/>
          <w:szCs w:val="32"/>
        </w:rPr>
      </w:pPr>
      <w:bookmarkStart w:id="194" w:name="_Toc179531335"/>
      <w:bookmarkStart w:id="195" w:name="_Toc188012886"/>
      <w:r w:rsidRPr="00DA0825">
        <w:rPr>
          <w:rFonts w:eastAsia="Times New Roman" w:cs="Times New Roman"/>
          <w:b/>
          <w:bCs/>
          <w:color w:val="001871"/>
          <w:sz w:val="32"/>
          <w:szCs w:val="32"/>
        </w:rPr>
        <w:t>Overview</w:t>
      </w:r>
      <w:bookmarkEnd w:id="194"/>
      <w:bookmarkEnd w:id="195"/>
    </w:p>
    <w:p w14:paraId="4CC28F90" w14:textId="5115034C" w:rsidR="00DA0825" w:rsidRPr="00DA0825" w:rsidRDefault="00DA0825" w:rsidP="00DA0825">
      <w:r w:rsidRPr="00DA0825">
        <w:t>This appendix provides further detail on the approach taken to determine the Regulatory Burden Estimate</w:t>
      </w:r>
      <w:r w:rsidR="00C63B0B">
        <w:t xml:space="preserve"> (RBE)</w:t>
      </w:r>
      <w:r w:rsidRPr="00DA0825">
        <w:t xml:space="preserve"> for each option, with the approach taken being in line with the OIA’s Regulatory Burden Measurement Framework. The estimates are largely based on publicly available data and a number of explicit assumptions (detailed below). Consultation with government, industry and consumer groups assisted in developing / identifying a number of the assumptions and inputs.</w:t>
      </w:r>
    </w:p>
    <w:p w14:paraId="5F0A60B3" w14:textId="77777777" w:rsidR="00DA0825" w:rsidRPr="00DA0825" w:rsidRDefault="00DA0825" w:rsidP="00DA0825">
      <w:pPr>
        <w:keepNext/>
        <w:keepLines/>
        <w:spacing w:before="360" w:line="240" w:lineRule="atLeast"/>
        <w:outlineLvl w:val="3"/>
        <w:rPr>
          <w:rFonts w:eastAsia="Cambria" w:cs="Arial"/>
          <w:b/>
          <w:bCs/>
          <w:color w:val="001871"/>
          <w:sz w:val="28"/>
          <w:szCs w:val="26"/>
        </w:rPr>
      </w:pPr>
      <w:r w:rsidRPr="00DA0825">
        <w:rPr>
          <w:rFonts w:eastAsia="Cambria" w:cs="Arial"/>
          <w:b/>
          <w:bCs/>
          <w:color w:val="001871"/>
          <w:sz w:val="28"/>
          <w:szCs w:val="26"/>
        </w:rPr>
        <w:t>Stakeholder types</w:t>
      </w:r>
    </w:p>
    <w:p w14:paraId="2C2CA79E" w14:textId="77777777" w:rsidR="00DA0825" w:rsidRPr="00DA0825" w:rsidRDefault="00DA0825" w:rsidP="00DA0825">
      <w:r w:rsidRPr="00DA0825">
        <w:t xml:space="preserve">The standard RBE estimates the incremental cost imposed on </w:t>
      </w:r>
      <w:r w:rsidRPr="00DA0825">
        <w:rPr>
          <w:b/>
          <w:bCs/>
        </w:rPr>
        <w:t>Business</w:t>
      </w:r>
      <w:r w:rsidRPr="00DA0825">
        <w:t xml:space="preserve">, </w:t>
      </w:r>
      <w:r w:rsidRPr="00DA0825">
        <w:rPr>
          <w:b/>
          <w:bCs/>
        </w:rPr>
        <w:t>Community Organisations</w:t>
      </w:r>
      <w:r w:rsidRPr="00DA0825">
        <w:t xml:space="preserve"> and </w:t>
      </w:r>
      <w:r w:rsidRPr="00DA0825">
        <w:rPr>
          <w:b/>
          <w:bCs/>
        </w:rPr>
        <w:t>Individuals</w:t>
      </w:r>
      <w:r w:rsidRPr="00DA0825">
        <w:t xml:space="preserve"> by each of the proposed options.</w:t>
      </w:r>
    </w:p>
    <w:p w14:paraId="48272427" w14:textId="77777777" w:rsidR="00DA0825" w:rsidRPr="00DA0825" w:rsidRDefault="00DA0825" w:rsidP="00DA0825">
      <w:r w:rsidRPr="00DA0825">
        <w:t xml:space="preserve">We have also included key impacts on the </w:t>
      </w:r>
      <w:r w:rsidRPr="00DA0825">
        <w:rPr>
          <w:b/>
          <w:bCs/>
        </w:rPr>
        <w:t>Public Sector</w:t>
      </w:r>
      <w:r w:rsidRPr="00DA0825">
        <w:t xml:space="preserve"> (specifically Public Hospitals) for information purposes given materiality.</w:t>
      </w:r>
    </w:p>
    <w:p w14:paraId="1D7F4453" w14:textId="4B9F219F" w:rsidR="00DA0825" w:rsidRPr="00DA0825" w:rsidRDefault="00DA0825" w:rsidP="00B37DCC">
      <w:pPr>
        <w:rPr>
          <w:i/>
          <w:iCs/>
          <w:color w:val="0E2841" w:themeColor="text2"/>
          <w:kern w:val="2"/>
          <w:sz w:val="18"/>
          <w:szCs w:val="18"/>
          <w14:ligatures w14:val="standardContextual"/>
        </w:rPr>
      </w:pPr>
      <w:r w:rsidRPr="00DA0825">
        <w:t>The key stakeholders assessed in RBE are tabled below:</w:t>
      </w:r>
    </w:p>
    <w:p w14:paraId="1B2B161A" w14:textId="069777FC" w:rsidR="00282691" w:rsidRDefault="00282691" w:rsidP="00B37DCC">
      <w:pPr>
        <w:pStyle w:val="Caption"/>
        <w:keepNext/>
      </w:pPr>
      <w:r>
        <w:t xml:space="preserve">Table </w:t>
      </w:r>
      <w:r w:rsidR="005A7699">
        <w:t>1</w:t>
      </w:r>
      <w:r w:rsidR="00AD3148">
        <w:t>4</w:t>
      </w:r>
      <w:r w:rsidR="005A7699">
        <w:t xml:space="preserve"> </w:t>
      </w:r>
      <w:r>
        <w:t xml:space="preserve">- </w:t>
      </w:r>
      <w:r w:rsidRPr="005E0398">
        <w:rPr>
          <w:color w:val="44546A"/>
        </w:rPr>
        <w:t>Stakeholders</w:t>
      </w:r>
      <w:r w:rsidRPr="00802569">
        <w:t xml:space="preserve"> considered in the Regulatory Burden Estimate</w:t>
      </w:r>
    </w:p>
    <w:tbl>
      <w:tblPr>
        <w:tblStyle w:val="TableGrid"/>
        <w:tblW w:w="0" w:type="auto"/>
        <w:tblLook w:val="04A0" w:firstRow="1" w:lastRow="0" w:firstColumn="1" w:lastColumn="0" w:noHBand="0" w:noVBand="1"/>
      </w:tblPr>
      <w:tblGrid>
        <w:gridCol w:w="2717"/>
        <w:gridCol w:w="3760"/>
      </w:tblGrid>
      <w:tr w:rsidR="00DA0825" w:rsidRPr="00DA0825" w14:paraId="69E72110" w14:textId="77777777" w:rsidTr="001615EC">
        <w:tc>
          <w:tcPr>
            <w:tcW w:w="0" w:type="auto"/>
            <w:shd w:val="clear" w:color="auto" w:fill="0E2841" w:themeFill="text2"/>
          </w:tcPr>
          <w:p w14:paraId="366CF8AC" w14:textId="77777777" w:rsidR="00DA0825" w:rsidRPr="00E80E7C" w:rsidRDefault="00DA0825" w:rsidP="00DA0825">
            <w:pPr>
              <w:rPr>
                <w:b/>
                <w:bCs/>
                <w:color w:val="FFFFFF" w:themeColor="background1"/>
                <w:sz w:val="20"/>
                <w:szCs w:val="20"/>
              </w:rPr>
            </w:pPr>
            <w:r w:rsidRPr="00E80E7C">
              <w:rPr>
                <w:b/>
                <w:bCs/>
                <w:color w:val="FFFFFF" w:themeColor="background1"/>
                <w:sz w:val="20"/>
                <w:szCs w:val="20"/>
              </w:rPr>
              <w:t>Category</w:t>
            </w:r>
          </w:p>
        </w:tc>
        <w:tc>
          <w:tcPr>
            <w:tcW w:w="0" w:type="auto"/>
            <w:shd w:val="clear" w:color="auto" w:fill="0E2841" w:themeFill="text2"/>
          </w:tcPr>
          <w:p w14:paraId="0D8CB421" w14:textId="77777777" w:rsidR="00DA0825" w:rsidRPr="00E80E7C" w:rsidRDefault="00DA0825" w:rsidP="00DA0825">
            <w:pPr>
              <w:rPr>
                <w:b/>
                <w:bCs/>
                <w:color w:val="FFFFFF" w:themeColor="background1"/>
                <w:sz w:val="20"/>
                <w:szCs w:val="20"/>
              </w:rPr>
            </w:pPr>
            <w:r w:rsidRPr="00E80E7C">
              <w:rPr>
                <w:b/>
                <w:bCs/>
                <w:color w:val="FFFFFF" w:themeColor="background1"/>
                <w:sz w:val="20"/>
                <w:szCs w:val="20"/>
              </w:rPr>
              <w:t>Stakeholders</w:t>
            </w:r>
          </w:p>
        </w:tc>
      </w:tr>
      <w:tr w:rsidR="00DA0825" w:rsidRPr="00DA0825" w14:paraId="4EE96FB3" w14:textId="77777777" w:rsidTr="001615EC">
        <w:tc>
          <w:tcPr>
            <w:tcW w:w="0" w:type="auto"/>
            <w:shd w:val="clear" w:color="auto" w:fill="F2CEED" w:themeFill="accent5" w:themeFillTint="33"/>
          </w:tcPr>
          <w:p w14:paraId="62EC632A" w14:textId="77777777" w:rsidR="00DA0825" w:rsidRPr="00E80E7C" w:rsidRDefault="00DA0825" w:rsidP="00DA0825">
            <w:pPr>
              <w:rPr>
                <w:b/>
                <w:bCs/>
                <w:sz w:val="20"/>
                <w:szCs w:val="20"/>
              </w:rPr>
            </w:pPr>
            <w:r w:rsidRPr="00E80E7C">
              <w:rPr>
                <w:b/>
                <w:bCs/>
                <w:sz w:val="20"/>
                <w:szCs w:val="20"/>
              </w:rPr>
              <w:t>Business</w:t>
            </w:r>
          </w:p>
        </w:tc>
        <w:tc>
          <w:tcPr>
            <w:tcW w:w="0" w:type="auto"/>
          </w:tcPr>
          <w:p w14:paraId="21A521DE" w14:textId="77777777" w:rsidR="00DA0825" w:rsidRPr="00E80E7C" w:rsidRDefault="00DA0825" w:rsidP="00082264">
            <w:pPr>
              <w:numPr>
                <w:ilvl w:val="0"/>
                <w:numId w:val="29"/>
              </w:numPr>
              <w:contextualSpacing/>
              <w:rPr>
                <w:kern w:val="2"/>
                <w:sz w:val="20"/>
                <w:szCs w:val="20"/>
                <w14:ligatures w14:val="standardContextual"/>
              </w:rPr>
            </w:pPr>
            <w:r w:rsidRPr="00E80E7C">
              <w:rPr>
                <w:kern w:val="2"/>
                <w:sz w:val="20"/>
                <w:szCs w:val="20"/>
                <w14:ligatures w14:val="standardContextual"/>
              </w:rPr>
              <w:t>Sponsors / Manufacturers</w:t>
            </w:r>
          </w:p>
          <w:p w14:paraId="571112CB" w14:textId="77777777" w:rsidR="00DA0825" w:rsidRPr="00E80E7C" w:rsidRDefault="00DA0825" w:rsidP="00082264">
            <w:pPr>
              <w:numPr>
                <w:ilvl w:val="0"/>
                <w:numId w:val="29"/>
              </w:numPr>
              <w:contextualSpacing/>
              <w:rPr>
                <w:kern w:val="2"/>
                <w:sz w:val="20"/>
                <w:szCs w:val="20"/>
                <w14:ligatures w14:val="standardContextual"/>
              </w:rPr>
            </w:pPr>
            <w:r w:rsidRPr="00E80E7C">
              <w:rPr>
                <w:kern w:val="2"/>
                <w:sz w:val="20"/>
                <w:szCs w:val="20"/>
                <w14:ligatures w14:val="standardContextual"/>
              </w:rPr>
              <w:t>Private Hospitals</w:t>
            </w:r>
          </w:p>
          <w:p w14:paraId="450AEB15" w14:textId="77777777" w:rsidR="00DA0825" w:rsidRPr="00E80E7C" w:rsidRDefault="00DA0825" w:rsidP="00082264">
            <w:pPr>
              <w:numPr>
                <w:ilvl w:val="0"/>
                <w:numId w:val="29"/>
              </w:numPr>
              <w:contextualSpacing/>
              <w:rPr>
                <w:kern w:val="2"/>
                <w:sz w:val="20"/>
                <w:szCs w:val="20"/>
                <w14:ligatures w14:val="standardContextual"/>
              </w:rPr>
            </w:pPr>
            <w:r w:rsidRPr="00E80E7C">
              <w:rPr>
                <w:kern w:val="2"/>
                <w:sz w:val="20"/>
                <w:szCs w:val="20"/>
                <w14:ligatures w14:val="standardContextual"/>
              </w:rPr>
              <w:t>Residential Aged Care Facilities</w:t>
            </w:r>
          </w:p>
        </w:tc>
      </w:tr>
      <w:tr w:rsidR="00DA0825" w:rsidRPr="00DA0825" w14:paraId="2601E2A8" w14:textId="77777777" w:rsidTr="001615EC">
        <w:tc>
          <w:tcPr>
            <w:tcW w:w="0" w:type="auto"/>
            <w:shd w:val="clear" w:color="auto" w:fill="F2CEED" w:themeFill="accent5" w:themeFillTint="33"/>
          </w:tcPr>
          <w:p w14:paraId="6C6F1585" w14:textId="77777777" w:rsidR="00DA0825" w:rsidRPr="00E80E7C" w:rsidRDefault="00DA0825" w:rsidP="00DA0825">
            <w:pPr>
              <w:rPr>
                <w:b/>
                <w:bCs/>
                <w:sz w:val="20"/>
                <w:szCs w:val="20"/>
              </w:rPr>
            </w:pPr>
            <w:r w:rsidRPr="00E80E7C">
              <w:rPr>
                <w:b/>
                <w:bCs/>
                <w:sz w:val="20"/>
                <w:szCs w:val="20"/>
              </w:rPr>
              <w:t>Community Organisations</w:t>
            </w:r>
          </w:p>
        </w:tc>
        <w:tc>
          <w:tcPr>
            <w:tcW w:w="0" w:type="auto"/>
          </w:tcPr>
          <w:p w14:paraId="7C9973F1" w14:textId="77777777" w:rsidR="00DA0825" w:rsidRPr="00E80E7C" w:rsidRDefault="00DA0825" w:rsidP="00DA0825">
            <w:pPr>
              <w:ind w:left="720"/>
              <w:contextualSpacing/>
              <w:rPr>
                <w:kern w:val="2"/>
                <w:sz w:val="20"/>
                <w:szCs w:val="20"/>
                <w14:ligatures w14:val="standardContextual"/>
              </w:rPr>
            </w:pPr>
            <w:r w:rsidRPr="00E80E7C">
              <w:rPr>
                <w:kern w:val="2"/>
                <w:sz w:val="20"/>
                <w:szCs w:val="20"/>
                <w14:ligatures w14:val="standardContextual"/>
              </w:rPr>
              <w:t>-</w:t>
            </w:r>
          </w:p>
        </w:tc>
      </w:tr>
      <w:tr w:rsidR="00DA0825" w:rsidRPr="00DA0825" w14:paraId="37EE1F95" w14:textId="77777777" w:rsidTr="001615EC">
        <w:tc>
          <w:tcPr>
            <w:tcW w:w="0" w:type="auto"/>
            <w:shd w:val="clear" w:color="auto" w:fill="F2CEED" w:themeFill="accent5" w:themeFillTint="33"/>
          </w:tcPr>
          <w:p w14:paraId="3161157B" w14:textId="77777777" w:rsidR="00DA0825" w:rsidRPr="00E80E7C" w:rsidRDefault="00DA0825" w:rsidP="00DA0825">
            <w:pPr>
              <w:rPr>
                <w:b/>
                <w:bCs/>
                <w:sz w:val="20"/>
                <w:szCs w:val="20"/>
              </w:rPr>
            </w:pPr>
            <w:r w:rsidRPr="00E80E7C">
              <w:rPr>
                <w:b/>
                <w:bCs/>
                <w:sz w:val="20"/>
                <w:szCs w:val="20"/>
              </w:rPr>
              <w:t>Individuals</w:t>
            </w:r>
          </w:p>
        </w:tc>
        <w:tc>
          <w:tcPr>
            <w:tcW w:w="0" w:type="auto"/>
          </w:tcPr>
          <w:p w14:paraId="7481F057" w14:textId="77777777" w:rsidR="00DA0825" w:rsidRPr="00E80E7C" w:rsidRDefault="00DA0825" w:rsidP="00DA0825">
            <w:pPr>
              <w:ind w:left="720"/>
              <w:contextualSpacing/>
              <w:rPr>
                <w:kern w:val="2"/>
                <w:sz w:val="20"/>
                <w:szCs w:val="20"/>
                <w14:ligatures w14:val="standardContextual"/>
              </w:rPr>
            </w:pPr>
            <w:r w:rsidRPr="00E80E7C">
              <w:rPr>
                <w:kern w:val="2"/>
                <w:sz w:val="20"/>
                <w:szCs w:val="20"/>
                <w14:ligatures w14:val="standardContextual"/>
              </w:rPr>
              <w:t>-</w:t>
            </w:r>
          </w:p>
        </w:tc>
      </w:tr>
      <w:tr w:rsidR="00DA0825" w:rsidRPr="00DA0825" w14:paraId="508BD791" w14:textId="77777777" w:rsidTr="001615EC">
        <w:tc>
          <w:tcPr>
            <w:tcW w:w="0" w:type="auto"/>
            <w:shd w:val="clear" w:color="auto" w:fill="D1D1D1" w:themeFill="background2" w:themeFillShade="E6"/>
          </w:tcPr>
          <w:p w14:paraId="453E7936" w14:textId="77777777" w:rsidR="00DA0825" w:rsidRPr="00E80E7C" w:rsidRDefault="00DA0825" w:rsidP="00DA0825">
            <w:pPr>
              <w:rPr>
                <w:b/>
                <w:bCs/>
                <w:sz w:val="20"/>
                <w:szCs w:val="20"/>
              </w:rPr>
            </w:pPr>
            <w:r w:rsidRPr="00E80E7C">
              <w:rPr>
                <w:b/>
                <w:bCs/>
                <w:sz w:val="20"/>
                <w:szCs w:val="20"/>
              </w:rPr>
              <w:t>Public Sector</w:t>
            </w:r>
          </w:p>
        </w:tc>
        <w:tc>
          <w:tcPr>
            <w:tcW w:w="0" w:type="auto"/>
          </w:tcPr>
          <w:p w14:paraId="08BCDD8B" w14:textId="77777777" w:rsidR="00DA0825" w:rsidRPr="00E80E7C" w:rsidRDefault="00DA0825" w:rsidP="00082264">
            <w:pPr>
              <w:numPr>
                <w:ilvl w:val="0"/>
                <w:numId w:val="30"/>
              </w:numPr>
              <w:contextualSpacing/>
              <w:rPr>
                <w:kern w:val="2"/>
                <w:sz w:val="20"/>
                <w:szCs w:val="20"/>
                <w14:ligatures w14:val="standardContextual"/>
              </w:rPr>
            </w:pPr>
            <w:r w:rsidRPr="00E80E7C">
              <w:rPr>
                <w:kern w:val="2"/>
                <w:sz w:val="20"/>
                <w:szCs w:val="20"/>
                <w14:ligatures w14:val="standardContextual"/>
              </w:rPr>
              <w:t>Public Hospitals</w:t>
            </w:r>
          </w:p>
        </w:tc>
      </w:tr>
    </w:tbl>
    <w:p w14:paraId="1FD9A6C0" w14:textId="77777777" w:rsidR="00DA0825" w:rsidRPr="00DA0825" w:rsidRDefault="00DA0825" w:rsidP="00DA0825"/>
    <w:p w14:paraId="7BDEDBC1" w14:textId="77777777" w:rsidR="00DA0825" w:rsidRPr="00DA0825" w:rsidRDefault="00DA0825" w:rsidP="00DA0825">
      <w:r w:rsidRPr="00DA0825">
        <w:t>It has been assumed that no material regulatory burden is placed on either Community Organisations or Individuals by the proposed options.</w:t>
      </w:r>
    </w:p>
    <w:p w14:paraId="2FA16A4F" w14:textId="77777777" w:rsidR="00DA0825" w:rsidRPr="00DA0825" w:rsidRDefault="00DA0825" w:rsidP="00DA0825">
      <w:pPr>
        <w:keepNext/>
        <w:keepLines/>
        <w:spacing w:before="360" w:line="240" w:lineRule="atLeast"/>
        <w:outlineLvl w:val="3"/>
        <w:rPr>
          <w:rFonts w:eastAsia="Cambria" w:cs="Arial"/>
          <w:b/>
          <w:bCs/>
          <w:color w:val="001871"/>
          <w:sz w:val="28"/>
          <w:szCs w:val="26"/>
        </w:rPr>
      </w:pPr>
      <w:r w:rsidRPr="00DA0825">
        <w:rPr>
          <w:rFonts w:eastAsia="Cambria" w:cs="Arial"/>
          <w:b/>
          <w:bCs/>
          <w:color w:val="001871"/>
          <w:sz w:val="28"/>
          <w:szCs w:val="26"/>
        </w:rPr>
        <w:t>Cost types</w:t>
      </w:r>
    </w:p>
    <w:p w14:paraId="5E782174"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Included costs</w:t>
      </w:r>
    </w:p>
    <w:p w14:paraId="41A8474B" w14:textId="77777777" w:rsidR="00DA0825" w:rsidRPr="00DA0825" w:rsidRDefault="00DA0825" w:rsidP="00DA0825">
      <w:r w:rsidRPr="00DA0825">
        <w:t xml:space="preserve">Per the OIA’s Regulatory Burden Measurement Framework, the categories of costs to consider in the RBE are </w:t>
      </w:r>
      <w:r w:rsidRPr="00DA0825">
        <w:rPr>
          <w:b/>
          <w:bCs/>
        </w:rPr>
        <w:t>Administrative Costs</w:t>
      </w:r>
      <w:r w:rsidRPr="00DA0825">
        <w:t xml:space="preserve">, </w:t>
      </w:r>
      <w:r w:rsidRPr="00DA0825">
        <w:rPr>
          <w:b/>
          <w:bCs/>
        </w:rPr>
        <w:t>Substantive Compliance Costs</w:t>
      </w:r>
      <w:r w:rsidRPr="00DA0825">
        <w:t xml:space="preserve"> and </w:t>
      </w:r>
      <w:r w:rsidRPr="00DA0825">
        <w:rPr>
          <w:b/>
          <w:bCs/>
        </w:rPr>
        <w:t>Delay Costs</w:t>
      </w:r>
      <w:r w:rsidRPr="00DA0825">
        <w:t>.</w:t>
      </w:r>
    </w:p>
    <w:p w14:paraId="159D4EC4" w14:textId="746144BE" w:rsidR="00282691" w:rsidRDefault="00282691" w:rsidP="00B37DCC">
      <w:pPr>
        <w:pStyle w:val="Caption"/>
        <w:keepNext/>
      </w:pPr>
      <w:r>
        <w:t xml:space="preserve">Table </w:t>
      </w:r>
      <w:r w:rsidR="005A7699">
        <w:t>1</w:t>
      </w:r>
      <w:r w:rsidR="00AD3148">
        <w:t>5</w:t>
      </w:r>
      <w:r w:rsidR="005A7699">
        <w:t xml:space="preserve"> </w:t>
      </w:r>
      <w:r>
        <w:t xml:space="preserve">- </w:t>
      </w:r>
      <w:r w:rsidRPr="004A1065">
        <w:t>OIA guidance on costs to include in the RBE</w:t>
      </w:r>
    </w:p>
    <w:tbl>
      <w:tblPr>
        <w:tblStyle w:val="TableGrid"/>
        <w:tblW w:w="0" w:type="auto"/>
        <w:tblLook w:val="04A0" w:firstRow="1" w:lastRow="0" w:firstColumn="1" w:lastColumn="0" w:noHBand="0" w:noVBand="1"/>
      </w:tblPr>
      <w:tblGrid>
        <w:gridCol w:w="2380"/>
        <w:gridCol w:w="6636"/>
      </w:tblGrid>
      <w:tr w:rsidR="00DA0825" w:rsidRPr="00DA0825" w14:paraId="00788019" w14:textId="77777777" w:rsidTr="001615EC">
        <w:tc>
          <w:tcPr>
            <w:tcW w:w="0" w:type="auto"/>
            <w:shd w:val="clear" w:color="auto" w:fill="0E2841" w:themeFill="text2"/>
          </w:tcPr>
          <w:p w14:paraId="45C89A11" w14:textId="77777777" w:rsidR="00DA0825" w:rsidRPr="00DA0825" w:rsidRDefault="00DA0825" w:rsidP="00DA0825">
            <w:pPr>
              <w:rPr>
                <w:b/>
                <w:bCs/>
                <w:color w:val="FFFFFF" w:themeColor="background1"/>
              </w:rPr>
            </w:pPr>
            <w:r w:rsidRPr="00DA0825">
              <w:rPr>
                <w:b/>
                <w:bCs/>
                <w:color w:val="FFFFFF" w:themeColor="background1"/>
              </w:rPr>
              <w:t>Included Cost Types</w:t>
            </w:r>
          </w:p>
        </w:tc>
        <w:tc>
          <w:tcPr>
            <w:tcW w:w="0" w:type="auto"/>
            <w:shd w:val="clear" w:color="auto" w:fill="0E2841" w:themeFill="text2"/>
          </w:tcPr>
          <w:p w14:paraId="3BCB473B" w14:textId="77777777" w:rsidR="00DA0825" w:rsidRPr="00DA0825" w:rsidRDefault="00DA0825" w:rsidP="00DA0825">
            <w:pPr>
              <w:rPr>
                <w:b/>
                <w:bCs/>
                <w:color w:val="FFFFFF" w:themeColor="background1"/>
              </w:rPr>
            </w:pPr>
            <w:r w:rsidRPr="00DA0825">
              <w:rPr>
                <w:b/>
                <w:bCs/>
                <w:color w:val="FFFFFF" w:themeColor="background1"/>
              </w:rPr>
              <w:t>Definition</w:t>
            </w:r>
          </w:p>
        </w:tc>
      </w:tr>
      <w:tr w:rsidR="00DA0825" w:rsidRPr="00DA0825" w14:paraId="57845ECF" w14:textId="77777777" w:rsidTr="001615EC">
        <w:tc>
          <w:tcPr>
            <w:tcW w:w="0" w:type="auto"/>
            <w:shd w:val="clear" w:color="auto" w:fill="F2CEED" w:themeFill="accent5" w:themeFillTint="33"/>
          </w:tcPr>
          <w:p w14:paraId="29D6F482" w14:textId="77777777" w:rsidR="00DA0825" w:rsidRPr="00E80E7C" w:rsidRDefault="00DA0825" w:rsidP="00DA0825">
            <w:pPr>
              <w:rPr>
                <w:b/>
                <w:bCs/>
                <w:sz w:val="20"/>
                <w:szCs w:val="20"/>
              </w:rPr>
            </w:pPr>
            <w:r w:rsidRPr="00E80E7C">
              <w:rPr>
                <w:b/>
                <w:bCs/>
                <w:sz w:val="20"/>
                <w:szCs w:val="20"/>
              </w:rPr>
              <w:t>Administrative Costs</w:t>
            </w:r>
          </w:p>
        </w:tc>
        <w:tc>
          <w:tcPr>
            <w:tcW w:w="0" w:type="auto"/>
          </w:tcPr>
          <w:p w14:paraId="366EE643" w14:textId="77777777" w:rsidR="00DA0825" w:rsidRPr="00E80E7C" w:rsidRDefault="00DA0825" w:rsidP="00DA0825">
            <w:pPr>
              <w:rPr>
                <w:sz w:val="20"/>
                <w:szCs w:val="20"/>
              </w:rPr>
            </w:pPr>
            <w:r w:rsidRPr="00E80E7C">
              <w:rPr>
                <w:sz w:val="20"/>
                <w:szCs w:val="20"/>
              </w:rPr>
              <w:t>Costs incurred by regulated entities primarily to demonstrate compliance with the policy (usually record keeping and reporting costs)</w:t>
            </w:r>
          </w:p>
        </w:tc>
      </w:tr>
      <w:tr w:rsidR="00DA0825" w:rsidRPr="00DA0825" w14:paraId="6B759F07" w14:textId="77777777" w:rsidTr="001615EC">
        <w:tc>
          <w:tcPr>
            <w:tcW w:w="0" w:type="auto"/>
            <w:shd w:val="clear" w:color="auto" w:fill="F2CEED" w:themeFill="accent5" w:themeFillTint="33"/>
          </w:tcPr>
          <w:p w14:paraId="0C3611DB" w14:textId="77777777" w:rsidR="00DA0825" w:rsidRPr="00E80E7C" w:rsidRDefault="00DA0825" w:rsidP="00DA0825">
            <w:pPr>
              <w:rPr>
                <w:b/>
                <w:bCs/>
                <w:sz w:val="20"/>
                <w:szCs w:val="20"/>
              </w:rPr>
            </w:pPr>
            <w:r w:rsidRPr="00E80E7C">
              <w:rPr>
                <w:b/>
                <w:bCs/>
                <w:sz w:val="20"/>
                <w:szCs w:val="20"/>
              </w:rPr>
              <w:t>Substantive Compliance Costs</w:t>
            </w:r>
          </w:p>
        </w:tc>
        <w:tc>
          <w:tcPr>
            <w:tcW w:w="0" w:type="auto"/>
          </w:tcPr>
          <w:p w14:paraId="1157AC31" w14:textId="77777777" w:rsidR="00DA0825" w:rsidRPr="00E80E7C" w:rsidRDefault="00DA0825" w:rsidP="00DA0825">
            <w:pPr>
              <w:rPr>
                <w:sz w:val="20"/>
                <w:szCs w:val="20"/>
              </w:rPr>
            </w:pPr>
            <w:r w:rsidRPr="00E80E7C">
              <w:rPr>
                <w:sz w:val="20"/>
                <w:szCs w:val="20"/>
              </w:rPr>
              <w:t>Costs incurred to deliver the outcomes being sought (usually purchase and maintenance costs).</w:t>
            </w:r>
          </w:p>
        </w:tc>
      </w:tr>
      <w:tr w:rsidR="00DA0825" w:rsidRPr="00DA0825" w14:paraId="2A2F8823" w14:textId="77777777" w:rsidTr="001615EC">
        <w:tc>
          <w:tcPr>
            <w:tcW w:w="0" w:type="auto"/>
            <w:shd w:val="clear" w:color="auto" w:fill="F2CEED" w:themeFill="accent5" w:themeFillTint="33"/>
          </w:tcPr>
          <w:p w14:paraId="1A62B779" w14:textId="77777777" w:rsidR="00DA0825" w:rsidRPr="00E80E7C" w:rsidRDefault="00DA0825" w:rsidP="00DA0825">
            <w:pPr>
              <w:rPr>
                <w:b/>
                <w:bCs/>
                <w:sz w:val="20"/>
                <w:szCs w:val="20"/>
              </w:rPr>
            </w:pPr>
            <w:r w:rsidRPr="00E80E7C">
              <w:rPr>
                <w:b/>
                <w:bCs/>
                <w:sz w:val="20"/>
                <w:szCs w:val="20"/>
              </w:rPr>
              <w:t>Delay Costs</w:t>
            </w:r>
          </w:p>
        </w:tc>
        <w:tc>
          <w:tcPr>
            <w:tcW w:w="0" w:type="auto"/>
          </w:tcPr>
          <w:p w14:paraId="58254E09" w14:textId="77777777" w:rsidR="00DA0825" w:rsidRPr="00E80E7C" w:rsidRDefault="00DA0825" w:rsidP="00DA0825">
            <w:pPr>
              <w:rPr>
                <w:sz w:val="20"/>
                <w:szCs w:val="20"/>
              </w:rPr>
            </w:pPr>
            <w:r w:rsidRPr="00E80E7C">
              <w:rPr>
                <w:sz w:val="20"/>
                <w:szCs w:val="20"/>
              </w:rPr>
              <w:t>Expenses and loss of income incurred by an entity through an application or approval delay</w:t>
            </w:r>
          </w:p>
        </w:tc>
      </w:tr>
    </w:tbl>
    <w:p w14:paraId="7C866A86" w14:textId="77777777" w:rsidR="00DA0825" w:rsidRPr="00DA0825" w:rsidRDefault="00DA0825" w:rsidP="00DA0825"/>
    <w:p w14:paraId="37BB55C4" w14:textId="77777777" w:rsidR="00282691" w:rsidRDefault="00282691">
      <w:r>
        <w:br w:type="page"/>
      </w:r>
    </w:p>
    <w:p w14:paraId="4BB17F47" w14:textId="37439BC3" w:rsidR="00DA0825" w:rsidRPr="00DA0825" w:rsidRDefault="00DA0825" w:rsidP="00DA0825">
      <w:r w:rsidRPr="00DA0825">
        <w:t>Within these categories, the key costs quantified in this impact assessment are as tabled below.</w:t>
      </w:r>
    </w:p>
    <w:p w14:paraId="65C63E9A" w14:textId="017A5BF3" w:rsidR="00282691" w:rsidRDefault="00282691" w:rsidP="00B37DCC">
      <w:pPr>
        <w:pStyle w:val="Caption"/>
        <w:keepNext/>
      </w:pPr>
      <w:r>
        <w:t xml:space="preserve">Table </w:t>
      </w:r>
      <w:r w:rsidR="005A7699">
        <w:t>1</w:t>
      </w:r>
      <w:r w:rsidR="00AD3148">
        <w:t>6</w:t>
      </w:r>
      <w:r w:rsidR="005A7699">
        <w:t xml:space="preserve"> </w:t>
      </w:r>
      <w:r>
        <w:t xml:space="preserve">- </w:t>
      </w:r>
      <w:r w:rsidRPr="00C1077B">
        <w:t>Costs included in the RBE for this Impact Assessment</w:t>
      </w:r>
    </w:p>
    <w:tbl>
      <w:tblPr>
        <w:tblStyle w:val="TableGrid"/>
        <w:tblW w:w="0" w:type="auto"/>
        <w:tblLook w:val="04A0" w:firstRow="1" w:lastRow="0" w:firstColumn="1" w:lastColumn="0" w:noHBand="0" w:noVBand="1"/>
      </w:tblPr>
      <w:tblGrid>
        <w:gridCol w:w="1825"/>
        <w:gridCol w:w="1386"/>
        <w:gridCol w:w="5805"/>
      </w:tblGrid>
      <w:tr w:rsidR="008D3CB3" w:rsidRPr="00DA0825" w14:paraId="11E71CA3" w14:textId="77777777" w:rsidTr="001615EC">
        <w:tc>
          <w:tcPr>
            <w:tcW w:w="0" w:type="auto"/>
            <w:shd w:val="clear" w:color="auto" w:fill="0E2841" w:themeFill="text2"/>
          </w:tcPr>
          <w:p w14:paraId="2CA292C3" w14:textId="77777777" w:rsidR="00DA0825" w:rsidRPr="00E80E7C" w:rsidRDefault="00DA0825" w:rsidP="00DA0825">
            <w:pPr>
              <w:rPr>
                <w:b/>
                <w:bCs/>
                <w:color w:val="FFFFFF" w:themeColor="background1"/>
                <w:sz w:val="20"/>
                <w:szCs w:val="20"/>
              </w:rPr>
            </w:pPr>
            <w:r w:rsidRPr="00E80E7C">
              <w:rPr>
                <w:b/>
                <w:bCs/>
                <w:color w:val="FFFFFF" w:themeColor="background1"/>
                <w:sz w:val="20"/>
                <w:szCs w:val="20"/>
              </w:rPr>
              <w:t>Cost Type</w:t>
            </w:r>
          </w:p>
        </w:tc>
        <w:tc>
          <w:tcPr>
            <w:tcW w:w="0" w:type="auto"/>
            <w:shd w:val="clear" w:color="auto" w:fill="0E2841" w:themeFill="text2"/>
          </w:tcPr>
          <w:p w14:paraId="73E50E4A" w14:textId="77777777" w:rsidR="00DA0825" w:rsidRPr="00E80E7C" w:rsidRDefault="00DA0825" w:rsidP="00DA0825">
            <w:pPr>
              <w:rPr>
                <w:b/>
                <w:bCs/>
                <w:color w:val="FFFFFF" w:themeColor="background1"/>
                <w:sz w:val="20"/>
                <w:szCs w:val="20"/>
              </w:rPr>
            </w:pPr>
            <w:r w:rsidRPr="00E80E7C">
              <w:rPr>
                <w:b/>
                <w:bCs/>
                <w:color w:val="FFFFFF" w:themeColor="background1"/>
                <w:sz w:val="20"/>
                <w:szCs w:val="20"/>
              </w:rPr>
              <w:t>Cost</w:t>
            </w:r>
          </w:p>
        </w:tc>
        <w:tc>
          <w:tcPr>
            <w:tcW w:w="0" w:type="auto"/>
            <w:shd w:val="clear" w:color="auto" w:fill="0E2841" w:themeFill="text2"/>
          </w:tcPr>
          <w:p w14:paraId="356229B7" w14:textId="77777777" w:rsidR="00DA0825" w:rsidRPr="00E80E7C" w:rsidRDefault="00DA0825" w:rsidP="00DA0825">
            <w:pPr>
              <w:rPr>
                <w:b/>
                <w:bCs/>
                <w:color w:val="FFFFFF" w:themeColor="background1"/>
                <w:sz w:val="20"/>
                <w:szCs w:val="20"/>
              </w:rPr>
            </w:pPr>
            <w:r w:rsidRPr="00E80E7C">
              <w:rPr>
                <w:b/>
                <w:bCs/>
                <w:color w:val="FFFFFF" w:themeColor="background1"/>
                <w:sz w:val="20"/>
                <w:szCs w:val="20"/>
              </w:rPr>
              <w:t>Description</w:t>
            </w:r>
          </w:p>
        </w:tc>
      </w:tr>
      <w:tr w:rsidR="008D3CB3" w:rsidRPr="00DA0825" w14:paraId="7097C651" w14:textId="77777777" w:rsidTr="001615EC">
        <w:tc>
          <w:tcPr>
            <w:tcW w:w="0" w:type="auto"/>
            <w:shd w:val="clear" w:color="auto" w:fill="F2CEED" w:themeFill="accent5" w:themeFillTint="33"/>
          </w:tcPr>
          <w:p w14:paraId="6A4253CE" w14:textId="77777777" w:rsidR="00DA0825" w:rsidRPr="00E80E7C" w:rsidRDefault="00DA0825" w:rsidP="00DA0825">
            <w:pPr>
              <w:rPr>
                <w:sz w:val="20"/>
                <w:szCs w:val="20"/>
              </w:rPr>
            </w:pPr>
            <w:r w:rsidRPr="00E80E7C">
              <w:rPr>
                <w:sz w:val="20"/>
                <w:szCs w:val="20"/>
              </w:rPr>
              <w:t>Administrative Costs</w:t>
            </w:r>
          </w:p>
        </w:tc>
        <w:tc>
          <w:tcPr>
            <w:tcW w:w="0" w:type="auto"/>
            <w:shd w:val="clear" w:color="auto" w:fill="F2CEED" w:themeFill="accent5" w:themeFillTint="33"/>
          </w:tcPr>
          <w:p w14:paraId="0D9607B1" w14:textId="77777777" w:rsidR="00DA0825" w:rsidRPr="00E80E7C" w:rsidRDefault="00DA0825" w:rsidP="00DA0825">
            <w:pPr>
              <w:rPr>
                <w:b/>
                <w:bCs/>
                <w:sz w:val="20"/>
                <w:szCs w:val="20"/>
              </w:rPr>
            </w:pPr>
            <w:r w:rsidRPr="00E80E7C">
              <w:rPr>
                <w:b/>
                <w:bCs/>
                <w:sz w:val="20"/>
                <w:szCs w:val="20"/>
              </w:rPr>
              <w:t>Reporting</w:t>
            </w:r>
          </w:p>
        </w:tc>
        <w:tc>
          <w:tcPr>
            <w:tcW w:w="0" w:type="auto"/>
          </w:tcPr>
          <w:p w14:paraId="4FB1BC75" w14:textId="77777777" w:rsidR="00DA0825" w:rsidRPr="00E80E7C" w:rsidRDefault="00DA0825" w:rsidP="00DA0825">
            <w:pPr>
              <w:rPr>
                <w:sz w:val="20"/>
                <w:szCs w:val="20"/>
              </w:rPr>
            </w:pPr>
            <w:r w:rsidRPr="00E80E7C">
              <w:rPr>
                <w:sz w:val="20"/>
                <w:szCs w:val="20"/>
              </w:rPr>
              <w:t>Cost of administrative effort to each facility of the review and submission of additional reporting relating to medical device adverse events</w:t>
            </w:r>
          </w:p>
        </w:tc>
      </w:tr>
      <w:tr w:rsidR="008D3CB3" w:rsidRPr="00DA0825" w14:paraId="6FE91666" w14:textId="77777777" w:rsidTr="001615EC">
        <w:tc>
          <w:tcPr>
            <w:tcW w:w="0" w:type="auto"/>
            <w:shd w:val="clear" w:color="auto" w:fill="F2CEED" w:themeFill="accent5" w:themeFillTint="33"/>
          </w:tcPr>
          <w:p w14:paraId="09A00E43" w14:textId="77777777" w:rsidR="00DA0825" w:rsidRPr="00E80E7C" w:rsidRDefault="00DA0825" w:rsidP="00DA0825">
            <w:pPr>
              <w:rPr>
                <w:sz w:val="20"/>
                <w:szCs w:val="20"/>
              </w:rPr>
            </w:pPr>
            <w:r w:rsidRPr="00E80E7C">
              <w:rPr>
                <w:sz w:val="20"/>
                <w:szCs w:val="20"/>
              </w:rPr>
              <w:t>Substantive Compliance Costs</w:t>
            </w:r>
          </w:p>
        </w:tc>
        <w:tc>
          <w:tcPr>
            <w:tcW w:w="0" w:type="auto"/>
            <w:shd w:val="clear" w:color="auto" w:fill="F2CEED" w:themeFill="accent5" w:themeFillTint="33"/>
          </w:tcPr>
          <w:p w14:paraId="5C4FC521" w14:textId="77777777" w:rsidR="00DA0825" w:rsidRPr="00E80E7C" w:rsidRDefault="00DA0825" w:rsidP="00DA0825">
            <w:pPr>
              <w:rPr>
                <w:b/>
                <w:bCs/>
                <w:sz w:val="20"/>
                <w:szCs w:val="20"/>
              </w:rPr>
            </w:pPr>
            <w:r w:rsidRPr="00E80E7C">
              <w:rPr>
                <w:b/>
                <w:bCs/>
                <w:sz w:val="20"/>
                <w:szCs w:val="20"/>
              </w:rPr>
              <w:t>Staff Training</w:t>
            </w:r>
          </w:p>
        </w:tc>
        <w:tc>
          <w:tcPr>
            <w:tcW w:w="0" w:type="auto"/>
          </w:tcPr>
          <w:p w14:paraId="7B4A63F1" w14:textId="77777777" w:rsidR="00DA0825" w:rsidRPr="00E80E7C" w:rsidRDefault="00DA0825" w:rsidP="00DA0825">
            <w:pPr>
              <w:rPr>
                <w:sz w:val="20"/>
                <w:szCs w:val="20"/>
              </w:rPr>
            </w:pPr>
            <w:r w:rsidRPr="00E80E7C">
              <w:rPr>
                <w:sz w:val="20"/>
                <w:szCs w:val="20"/>
              </w:rPr>
              <w:t>Cost of initial training of facility staff to get them ready to comply with new reporting requirements</w:t>
            </w:r>
          </w:p>
        </w:tc>
      </w:tr>
      <w:tr w:rsidR="008D3CB3" w:rsidRPr="00DA0825" w14:paraId="58FD237A" w14:textId="77777777" w:rsidTr="00F3751D">
        <w:trPr>
          <w:trHeight w:val="904"/>
        </w:trPr>
        <w:tc>
          <w:tcPr>
            <w:tcW w:w="0" w:type="auto"/>
            <w:shd w:val="clear" w:color="auto" w:fill="F2CEED" w:themeFill="accent5" w:themeFillTint="33"/>
          </w:tcPr>
          <w:p w14:paraId="5C0D3F03" w14:textId="77777777" w:rsidR="00DA0825" w:rsidRPr="00E80E7C" w:rsidRDefault="00DA0825" w:rsidP="00DA0825">
            <w:pPr>
              <w:rPr>
                <w:sz w:val="20"/>
                <w:szCs w:val="20"/>
              </w:rPr>
            </w:pPr>
            <w:r w:rsidRPr="00E80E7C">
              <w:rPr>
                <w:sz w:val="20"/>
                <w:szCs w:val="20"/>
              </w:rPr>
              <w:t>Substantive Compliance Costs</w:t>
            </w:r>
          </w:p>
        </w:tc>
        <w:tc>
          <w:tcPr>
            <w:tcW w:w="0" w:type="auto"/>
            <w:shd w:val="clear" w:color="auto" w:fill="F2CEED" w:themeFill="accent5" w:themeFillTint="33"/>
          </w:tcPr>
          <w:p w14:paraId="03374EF4" w14:textId="6934349A" w:rsidR="00DA0825" w:rsidRPr="00E80E7C" w:rsidRDefault="008D3CB3" w:rsidP="00DA0825">
            <w:pPr>
              <w:rPr>
                <w:b/>
                <w:bCs/>
                <w:sz w:val="20"/>
                <w:szCs w:val="20"/>
              </w:rPr>
            </w:pPr>
            <w:r w:rsidRPr="00E80E7C">
              <w:rPr>
                <w:b/>
                <w:bCs/>
                <w:sz w:val="20"/>
                <w:szCs w:val="20"/>
              </w:rPr>
              <w:t>IT system upgrades</w:t>
            </w:r>
          </w:p>
        </w:tc>
        <w:tc>
          <w:tcPr>
            <w:tcW w:w="0" w:type="auto"/>
          </w:tcPr>
          <w:p w14:paraId="7BDC9997" w14:textId="040E4923" w:rsidR="00DA0825" w:rsidRPr="00E80E7C" w:rsidRDefault="00DA0825" w:rsidP="00DA0825">
            <w:pPr>
              <w:rPr>
                <w:sz w:val="20"/>
                <w:szCs w:val="20"/>
              </w:rPr>
            </w:pPr>
            <w:r w:rsidRPr="00E80E7C">
              <w:rPr>
                <w:sz w:val="20"/>
                <w:szCs w:val="20"/>
              </w:rPr>
              <w:t xml:space="preserve">Cost of </w:t>
            </w:r>
            <w:r w:rsidR="008D3CB3" w:rsidRPr="00E80E7C">
              <w:rPr>
                <w:sz w:val="20"/>
                <w:szCs w:val="20"/>
              </w:rPr>
              <w:t xml:space="preserve">upgrades/expansion/improvements </w:t>
            </w:r>
            <w:r w:rsidRPr="00E80E7C">
              <w:rPr>
                <w:sz w:val="20"/>
                <w:szCs w:val="20"/>
              </w:rPr>
              <w:t>to</w:t>
            </w:r>
            <w:r w:rsidR="008D3CB3" w:rsidRPr="00E80E7C">
              <w:rPr>
                <w:sz w:val="20"/>
                <w:szCs w:val="20"/>
              </w:rPr>
              <w:t xml:space="preserve"> IT systems to </w:t>
            </w:r>
            <w:r w:rsidRPr="00E80E7C">
              <w:rPr>
                <w:sz w:val="20"/>
                <w:szCs w:val="20"/>
              </w:rPr>
              <w:t>both capture additional reporting fields and to facilitate timely reporting of new requirements</w:t>
            </w:r>
          </w:p>
        </w:tc>
      </w:tr>
    </w:tbl>
    <w:p w14:paraId="0246E633" w14:textId="77777777" w:rsidR="00DA0825" w:rsidRPr="00DA0825" w:rsidRDefault="00DA0825" w:rsidP="00DA0825"/>
    <w:p w14:paraId="74F9F510" w14:textId="77777777" w:rsidR="00DA0825" w:rsidRPr="00DA0825" w:rsidRDefault="00DA0825" w:rsidP="00DA0825">
      <w:r w:rsidRPr="00DA0825">
        <w:t>It has been assumed that the proposed policy options will impose no Delay Costs on reporting populations.</w:t>
      </w:r>
    </w:p>
    <w:p w14:paraId="343B4C0B"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Excluded costs</w:t>
      </w:r>
    </w:p>
    <w:p w14:paraId="13EFF2AD" w14:textId="2C637D4D" w:rsidR="00DA0825" w:rsidRPr="00DA0825" w:rsidRDefault="00DA0825" w:rsidP="00B37DCC">
      <w:pPr>
        <w:spacing w:before="120" w:after="180" w:line="240" w:lineRule="atLeast"/>
        <w:rPr>
          <w:i/>
          <w:iCs/>
          <w:color w:val="0E2841" w:themeColor="text2"/>
          <w:kern w:val="2"/>
          <w:sz w:val="18"/>
          <w:szCs w:val="18"/>
          <w14:ligatures w14:val="standardContextual"/>
        </w:rPr>
      </w:pPr>
      <w:r w:rsidRPr="00DA0825">
        <w:rPr>
          <w:rFonts w:eastAsia="Cambria" w:cs="Times New Roman"/>
        </w:rPr>
        <w:t>The following costs are excluded from the Regulatory Burden Measurement Framework and are not required to be considered when quantifying an estimate of burden. However, depending on the significance of the following impacts, they should be analysed in the Impact Analysis so the decision maker can understand the importance of the impacts.</w:t>
      </w:r>
    </w:p>
    <w:p w14:paraId="6BE4DD9C" w14:textId="7BA58102" w:rsidR="00282691" w:rsidRDefault="00282691" w:rsidP="00B37DCC">
      <w:pPr>
        <w:pStyle w:val="Caption"/>
        <w:keepNext/>
      </w:pPr>
      <w:r>
        <w:t xml:space="preserve">Table </w:t>
      </w:r>
      <w:r w:rsidR="00AD3148">
        <w:t>17</w:t>
      </w:r>
      <w:r>
        <w:t xml:space="preserve"> -</w:t>
      </w:r>
      <w:r w:rsidRPr="0045164A">
        <w:t xml:space="preserve"> OIA guidance on costs to exclude from the RBE</w:t>
      </w:r>
    </w:p>
    <w:tbl>
      <w:tblPr>
        <w:tblStyle w:val="TableGrid"/>
        <w:tblW w:w="0" w:type="auto"/>
        <w:tblLook w:val="04A0" w:firstRow="1" w:lastRow="0" w:firstColumn="1" w:lastColumn="0" w:noHBand="0" w:noVBand="1"/>
      </w:tblPr>
      <w:tblGrid>
        <w:gridCol w:w="2820"/>
        <w:gridCol w:w="6196"/>
      </w:tblGrid>
      <w:tr w:rsidR="00DA0825" w:rsidRPr="00DA0825" w14:paraId="03CD73D3" w14:textId="77777777" w:rsidTr="001615EC">
        <w:tc>
          <w:tcPr>
            <w:tcW w:w="0" w:type="auto"/>
            <w:shd w:val="clear" w:color="auto" w:fill="0E2841" w:themeFill="text2"/>
          </w:tcPr>
          <w:p w14:paraId="773D921D" w14:textId="77777777" w:rsidR="00DA0825" w:rsidRPr="00AB27C4" w:rsidRDefault="00DA0825" w:rsidP="00DA0825">
            <w:pPr>
              <w:rPr>
                <w:b/>
                <w:bCs/>
                <w:color w:val="FFFFFF" w:themeColor="background1"/>
                <w:sz w:val="20"/>
                <w:szCs w:val="20"/>
              </w:rPr>
            </w:pPr>
            <w:r w:rsidRPr="00AB27C4">
              <w:rPr>
                <w:b/>
                <w:bCs/>
                <w:color w:val="FFFFFF" w:themeColor="background1"/>
                <w:sz w:val="20"/>
                <w:szCs w:val="20"/>
              </w:rPr>
              <w:t>Excluded Costs</w:t>
            </w:r>
          </w:p>
        </w:tc>
        <w:tc>
          <w:tcPr>
            <w:tcW w:w="0" w:type="auto"/>
            <w:shd w:val="clear" w:color="auto" w:fill="0E2841" w:themeFill="text2"/>
          </w:tcPr>
          <w:p w14:paraId="101B5661" w14:textId="77777777" w:rsidR="00DA0825" w:rsidRPr="00AB27C4" w:rsidRDefault="00DA0825" w:rsidP="00DA0825">
            <w:pPr>
              <w:rPr>
                <w:b/>
                <w:bCs/>
                <w:color w:val="FFFFFF" w:themeColor="background1"/>
                <w:sz w:val="20"/>
                <w:szCs w:val="20"/>
              </w:rPr>
            </w:pPr>
            <w:r w:rsidRPr="00AB27C4">
              <w:rPr>
                <w:b/>
                <w:bCs/>
                <w:color w:val="FFFFFF" w:themeColor="background1"/>
                <w:sz w:val="20"/>
                <w:szCs w:val="20"/>
              </w:rPr>
              <w:t xml:space="preserve">Consideration in this Impact Assessment </w:t>
            </w:r>
          </w:p>
        </w:tc>
      </w:tr>
      <w:tr w:rsidR="00DA0825" w:rsidRPr="00DA0825" w14:paraId="7A77C697" w14:textId="77777777" w:rsidTr="001615EC">
        <w:tc>
          <w:tcPr>
            <w:tcW w:w="0" w:type="auto"/>
            <w:shd w:val="clear" w:color="auto" w:fill="D9D9D9" w:themeFill="background1" w:themeFillShade="D9"/>
          </w:tcPr>
          <w:p w14:paraId="7BE11C0C" w14:textId="77777777" w:rsidR="00DA0825" w:rsidRPr="00AB27C4" w:rsidRDefault="00DA0825" w:rsidP="00DA0825">
            <w:pPr>
              <w:spacing w:after="120" w:line="259" w:lineRule="auto"/>
              <w:rPr>
                <w:b/>
                <w:bCs/>
                <w:sz w:val="20"/>
                <w:szCs w:val="20"/>
              </w:rPr>
            </w:pPr>
            <w:r w:rsidRPr="00AB27C4">
              <w:rPr>
                <w:b/>
                <w:bCs/>
                <w:sz w:val="20"/>
                <w:szCs w:val="20"/>
              </w:rPr>
              <w:t>Opportunity costs (unless they relate to a delay)</w:t>
            </w:r>
          </w:p>
        </w:tc>
        <w:tc>
          <w:tcPr>
            <w:tcW w:w="0" w:type="auto"/>
          </w:tcPr>
          <w:p w14:paraId="05FDF39F" w14:textId="77777777" w:rsidR="00DA0825" w:rsidRPr="00AB27C4" w:rsidRDefault="00DA0825" w:rsidP="00DA0825">
            <w:pPr>
              <w:rPr>
                <w:sz w:val="20"/>
                <w:szCs w:val="20"/>
              </w:rPr>
            </w:pPr>
            <w:r w:rsidRPr="00AB27C4">
              <w:rPr>
                <w:sz w:val="20"/>
                <w:szCs w:val="20"/>
              </w:rPr>
              <w:t>N/A</w:t>
            </w:r>
          </w:p>
        </w:tc>
      </w:tr>
      <w:tr w:rsidR="00DA0825" w:rsidRPr="00DA0825" w14:paraId="5B82F61C" w14:textId="77777777" w:rsidTr="001615EC">
        <w:tc>
          <w:tcPr>
            <w:tcW w:w="0" w:type="auto"/>
            <w:shd w:val="clear" w:color="auto" w:fill="D9D9D9" w:themeFill="background1" w:themeFillShade="D9"/>
          </w:tcPr>
          <w:p w14:paraId="600A9906" w14:textId="77777777" w:rsidR="00DA0825" w:rsidRPr="00AB27C4" w:rsidRDefault="00DA0825" w:rsidP="00DA0825">
            <w:pPr>
              <w:spacing w:after="120" w:line="259" w:lineRule="auto"/>
              <w:rPr>
                <w:b/>
                <w:bCs/>
                <w:sz w:val="20"/>
                <w:szCs w:val="20"/>
              </w:rPr>
            </w:pPr>
            <w:r w:rsidRPr="00AB27C4">
              <w:rPr>
                <w:b/>
                <w:bCs/>
                <w:sz w:val="20"/>
                <w:szCs w:val="20"/>
              </w:rPr>
              <w:t>Business-as-usual costs</w:t>
            </w:r>
          </w:p>
        </w:tc>
        <w:tc>
          <w:tcPr>
            <w:tcW w:w="0" w:type="auto"/>
          </w:tcPr>
          <w:p w14:paraId="119D52ED" w14:textId="77777777" w:rsidR="00DA0825" w:rsidRPr="00AB27C4" w:rsidRDefault="00DA0825" w:rsidP="00DA0825">
            <w:pPr>
              <w:rPr>
                <w:sz w:val="20"/>
                <w:szCs w:val="20"/>
              </w:rPr>
            </w:pPr>
            <w:r w:rsidRPr="00AB27C4">
              <w:rPr>
                <w:sz w:val="20"/>
                <w:szCs w:val="20"/>
              </w:rPr>
              <w:t>While we include the initial cost of facilities transitioning to the additional regulation; such costs are deemed to be BAU for any new facilities or for any additional people needing to be trained in the future, and hence those future costs are left out of the estimate.</w:t>
            </w:r>
          </w:p>
        </w:tc>
      </w:tr>
      <w:tr w:rsidR="00DA0825" w:rsidRPr="00DA0825" w14:paraId="30842C73" w14:textId="77777777" w:rsidTr="001615EC">
        <w:tc>
          <w:tcPr>
            <w:tcW w:w="0" w:type="auto"/>
            <w:shd w:val="clear" w:color="auto" w:fill="D9D9D9" w:themeFill="background1" w:themeFillShade="D9"/>
          </w:tcPr>
          <w:p w14:paraId="4A2869DC" w14:textId="77777777" w:rsidR="00DA0825" w:rsidRPr="00AB27C4" w:rsidRDefault="00DA0825" w:rsidP="00DA0825">
            <w:pPr>
              <w:spacing w:after="120" w:line="259" w:lineRule="auto"/>
              <w:rPr>
                <w:b/>
                <w:bCs/>
                <w:sz w:val="20"/>
                <w:szCs w:val="20"/>
              </w:rPr>
            </w:pPr>
            <w:r w:rsidRPr="00AB27C4">
              <w:rPr>
                <w:b/>
                <w:bCs/>
                <w:sz w:val="20"/>
                <w:szCs w:val="20"/>
              </w:rPr>
              <w:t>Non-compliance and enforcement costs</w:t>
            </w:r>
          </w:p>
        </w:tc>
        <w:tc>
          <w:tcPr>
            <w:tcW w:w="0" w:type="auto"/>
          </w:tcPr>
          <w:p w14:paraId="0B720706" w14:textId="7EB0E5E8" w:rsidR="00DA0825" w:rsidRPr="00AB27C4" w:rsidRDefault="00DA0825" w:rsidP="00DA0825">
            <w:pPr>
              <w:rPr>
                <w:sz w:val="20"/>
                <w:szCs w:val="20"/>
              </w:rPr>
            </w:pPr>
            <w:r w:rsidRPr="00AB27C4">
              <w:rPr>
                <w:sz w:val="20"/>
                <w:szCs w:val="20"/>
              </w:rPr>
              <w:t xml:space="preserve">Non-compliance and enforcement costs imposed on the medical device sponsors and </w:t>
            </w:r>
            <w:r w:rsidR="00036F8E" w:rsidRPr="00AB27C4">
              <w:rPr>
                <w:sz w:val="20"/>
                <w:szCs w:val="20"/>
              </w:rPr>
              <w:t>manufacturers,</w:t>
            </w:r>
            <w:r w:rsidRPr="00AB27C4">
              <w:rPr>
                <w:sz w:val="20"/>
                <w:szCs w:val="20"/>
              </w:rPr>
              <w:t xml:space="preserve"> or health care facilities are excluded from the regulatory burden estimate</w:t>
            </w:r>
          </w:p>
        </w:tc>
      </w:tr>
      <w:tr w:rsidR="00DA0825" w:rsidRPr="00DA0825" w14:paraId="72DDC7F7" w14:textId="77777777" w:rsidTr="001615EC">
        <w:tc>
          <w:tcPr>
            <w:tcW w:w="0" w:type="auto"/>
            <w:shd w:val="clear" w:color="auto" w:fill="D9D9D9" w:themeFill="background1" w:themeFillShade="D9"/>
          </w:tcPr>
          <w:p w14:paraId="59AA0541" w14:textId="77777777" w:rsidR="00DA0825" w:rsidRPr="00AB27C4" w:rsidRDefault="00DA0825" w:rsidP="00DA0825">
            <w:pPr>
              <w:spacing w:after="120" w:line="259" w:lineRule="auto"/>
              <w:rPr>
                <w:b/>
                <w:bCs/>
                <w:sz w:val="20"/>
                <w:szCs w:val="20"/>
              </w:rPr>
            </w:pPr>
            <w:r w:rsidRPr="00AB27C4">
              <w:rPr>
                <w:b/>
                <w:bCs/>
                <w:sz w:val="20"/>
                <w:szCs w:val="20"/>
              </w:rPr>
              <w:t>Regulatory impacts related to the administration of courts and tribunals</w:t>
            </w:r>
          </w:p>
        </w:tc>
        <w:tc>
          <w:tcPr>
            <w:tcW w:w="0" w:type="auto"/>
          </w:tcPr>
          <w:p w14:paraId="6A986168" w14:textId="77777777" w:rsidR="00DA0825" w:rsidRPr="00AB27C4" w:rsidRDefault="00DA0825" w:rsidP="00DA0825">
            <w:pPr>
              <w:rPr>
                <w:sz w:val="20"/>
                <w:szCs w:val="20"/>
              </w:rPr>
            </w:pPr>
            <w:r w:rsidRPr="00AB27C4">
              <w:rPr>
                <w:sz w:val="20"/>
                <w:szCs w:val="20"/>
              </w:rPr>
              <w:t>N/A</w:t>
            </w:r>
          </w:p>
        </w:tc>
      </w:tr>
      <w:tr w:rsidR="00DA0825" w:rsidRPr="00DA0825" w14:paraId="323C0C96" w14:textId="77777777" w:rsidTr="001615EC">
        <w:tc>
          <w:tcPr>
            <w:tcW w:w="0" w:type="auto"/>
            <w:shd w:val="clear" w:color="auto" w:fill="D9D9D9" w:themeFill="background1" w:themeFillShade="D9"/>
          </w:tcPr>
          <w:p w14:paraId="414D523B" w14:textId="77777777" w:rsidR="00DA0825" w:rsidRPr="00AB27C4" w:rsidRDefault="00DA0825" w:rsidP="00DA0825">
            <w:pPr>
              <w:spacing w:after="120" w:line="259" w:lineRule="auto"/>
              <w:rPr>
                <w:b/>
                <w:bCs/>
                <w:sz w:val="20"/>
                <w:szCs w:val="20"/>
              </w:rPr>
            </w:pPr>
            <w:r w:rsidRPr="00AB27C4">
              <w:rPr>
                <w:b/>
                <w:bCs/>
                <w:sz w:val="20"/>
                <w:szCs w:val="20"/>
              </w:rPr>
              <w:t>Indirect costs</w:t>
            </w:r>
          </w:p>
        </w:tc>
        <w:tc>
          <w:tcPr>
            <w:tcW w:w="0" w:type="auto"/>
          </w:tcPr>
          <w:p w14:paraId="4E5872E1" w14:textId="5C3E4F0F" w:rsidR="00DA0825" w:rsidRPr="00AB27C4" w:rsidRDefault="00DA0825" w:rsidP="00DA0825">
            <w:pPr>
              <w:rPr>
                <w:sz w:val="20"/>
                <w:szCs w:val="20"/>
              </w:rPr>
            </w:pPr>
            <w:r w:rsidRPr="00AB27C4">
              <w:rPr>
                <w:sz w:val="20"/>
                <w:szCs w:val="20"/>
              </w:rPr>
              <w:t xml:space="preserve">Indirect costs such as greater report volumes leading to a potential increase in medical device recalls by sponsors/manufacturers have not been included in the RBE. (An increase in the timely recall of problematic medical devices would </w:t>
            </w:r>
            <w:r w:rsidR="003C76CB">
              <w:rPr>
                <w:sz w:val="20"/>
                <w:szCs w:val="20"/>
              </w:rPr>
              <w:t xml:space="preserve">be </w:t>
            </w:r>
            <w:r w:rsidRPr="00AB27C4">
              <w:rPr>
                <w:sz w:val="20"/>
                <w:szCs w:val="20"/>
              </w:rPr>
              <w:t>a net win, irrespective of the dollar cost to sponsors/manufacturers)</w:t>
            </w:r>
            <w:r w:rsidR="00500045">
              <w:rPr>
                <w:sz w:val="20"/>
                <w:szCs w:val="20"/>
              </w:rPr>
              <w:t>.</w:t>
            </w:r>
          </w:p>
        </w:tc>
      </w:tr>
      <w:tr w:rsidR="00DA0825" w:rsidRPr="00DA0825" w14:paraId="658BE384" w14:textId="77777777" w:rsidTr="001615EC">
        <w:tc>
          <w:tcPr>
            <w:tcW w:w="0" w:type="auto"/>
            <w:shd w:val="clear" w:color="auto" w:fill="D9D9D9" w:themeFill="background1" w:themeFillShade="D9"/>
          </w:tcPr>
          <w:p w14:paraId="44BBB115" w14:textId="77777777" w:rsidR="00DA0825" w:rsidRPr="00AB27C4" w:rsidRDefault="00DA0825" w:rsidP="00DA0825">
            <w:pPr>
              <w:spacing w:after="120" w:line="259" w:lineRule="auto"/>
              <w:rPr>
                <w:b/>
                <w:bCs/>
                <w:sz w:val="20"/>
                <w:szCs w:val="20"/>
              </w:rPr>
            </w:pPr>
            <w:r w:rsidRPr="00AB27C4">
              <w:rPr>
                <w:b/>
                <w:bCs/>
                <w:sz w:val="20"/>
                <w:szCs w:val="20"/>
              </w:rPr>
              <w:t xml:space="preserve">Direct financial costs </w:t>
            </w:r>
          </w:p>
        </w:tc>
        <w:tc>
          <w:tcPr>
            <w:tcW w:w="0" w:type="auto"/>
          </w:tcPr>
          <w:p w14:paraId="6F853D41" w14:textId="77777777" w:rsidR="00DA0825" w:rsidRPr="00AB27C4" w:rsidRDefault="00DA0825" w:rsidP="00DA0825">
            <w:pPr>
              <w:rPr>
                <w:sz w:val="20"/>
                <w:szCs w:val="20"/>
              </w:rPr>
            </w:pPr>
            <w:r w:rsidRPr="00AB27C4">
              <w:rPr>
                <w:sz w:val="20"/>
                <w:szCs w:val="20"/>
              </w:rPr>
              <w:t>N/A beyond the Administrative and Substantive Compliance costs</w:t>
            </w:r>
          </w:p>
        </w:tc>
      </w:tr>
      <w:tr w:rsidR="00DA0825" w:rsidRPr="00DA0825" w14:paraId="05A7A6A8" w14:textId="77777777" w:rsidTr="001615EC">
        <w:tc>
          <w:tcPr>
            <w:tcW w:w="0" w:type="auto"/>
            <w:shd w:val="clear" w:color="auto" w:fill="D9D9D9" w:themeFill="background1" w:themeFillShade="D9"/>
          </w:tcPr>
          <w:p w14:paraId="42A4375D" w14:textId="77777777" w:rsidR="00DA0825" w:rsidRPr="00AB27C4" w:rsidRDefault="00DA0825" w:rsidP="00DA0825">
            <w:pPr>
              <w:rPr>
                <w:b/>
                <w:bCs/>
                <w:sz w:val="20"/>
                <w:szCs w:val="20"/>
              </w:rPr>
            </w:pPr>
            <w:r w:rsidRPr="00AB27C4">
              <w:rPr>
                <w:b/>
                <w:bCs/>
                <w:sz w:val="20"/>
                <w:szCs w:val="20"/>
              </w:rPr>
              <w:t>Costs of international obligations imposed as a prerequisite for participation in international markets</w:t>
            </w:r>
          </w:p>
        </w:tc>
        <w:tc>
          <w:tcPr>
            <w:tcW w:w="0" w:type="auto"/>
          </w:tcPr>
          <w:p w14:paraId="30ECC0A7" w14:textId="77777777" w:rsidR="00DA0825" w:rsidRPr="00AB27C4" w:rsidRDefault="00DA0825" w:rsidP="00DA0825">
            <w:pPr>
              <w:rPr>
                <w:sz w:val="20"/>
                <w:szCs w:val="20"/>
              </w:rPr>
            </w:pPr>
            <w:r w:rsidRPr="00AB27C4">
              <w:rPr>
                <w:sz w:val="20"/>
                <w:szCs w:val="20"/>
              </w:rPr>
              <w:t>N/A</w:t>
            </w:r>
          </w:p>
        </w:tc>
      </w:tr>
      <w:tr w:rsidR="00DA0825" w:rsidRPr="00DA0825" w14:paraId="59709EC4" w14:textId="77777777" w:rsidTr="001615EC">
        <w:tc>
          <w:tcPr>
            <w:tcW w:w="0" w:type="auto"/>
            <w:shd w:val="clear" w:color="auto" w:fill="D9D9D9" w:themeFill="background1" w:themeFillShade="D9"/>
          </w:tcPr>
          <w:p w14:paraId="0BB1224C" w14:textId="77777777" w:rsidR="00DA0825" w:rsidRPr="00AB27C4" w:rsidRDefault="00DA0825" w:rsidP="00DA0825">
            <w:pPr>
              <w:rPr>
                <w:b/>
                <w:bCs/>
                <w:sz w:val="20"/>
                <w:szCs w:val="20"/>
              </w:rPr>
            </w:pPr>
            <w:r w:rsidRPr="00AB27C4">
              <w:rPr>
                <w:b/>
                <w:bCs/>
                <w:sz w:val="20"/>
                <w:szCs w:val="20"/>
              </w:rPr>
              <w:t>Government-to-government policy</w:t>
            </w:r>
          </w:p>
        </w:tc>
        <w:tc>
          <w:tcPr>
            <w:tcW w:w="0" w:type="auto"/>
          </w:tcPr>
          <w:p w14:paraId="257D77FB" w14:textId="137A7745" w:rsidR="00DA0825" w:rsidRPr="00AB27C4" w:rsidRDefault="00DA0825" w:rsidP="00DA0825">
            <w:pPr>
              <w:rPr>
                <w:sz w:val="20"/>
                <w:szCs w:val="20"/>
              </w:rPr>
            </w:pPr>
            <w:r w:rsidRPr="00AB27C4">
              <w:rPr>
                <w:sz w:val="20"/>
                <w:szCs w:val="20"/>
              </w:rPr>
              <w:t xml:space="preserve">Any costs of changes to interactions between TGA and other government </w:t>
            </w:r>
            <w:r w:rsidR="008901F6" w:rsidRPr="00AB27C4">
              <w:rPr>
                <w:sz w:val="20"/>
                <w:szCs w:val="20"/>
              </w:rPr>
              <w:t>healthcare</w:t>
            </w:r>
            <w:r w:rsidRPr="00AB27C4">
              <w:rPr>
                <w:sz w:val="20"/>
                <w:szCs w:val="20"/>
              </w:rPr>
              <w:t xml:space="preserve"> facility oversight bodies has not been included in the RBE</w:t>
            </w:r>
            <w:r w:rsidR="00500045">
              <w:rPr>
                <w:sz w:val="20"/>
                <w:szCs w:val="20"/>
              </w:rPr>
              <w:t>.</w:t>
            </w:r>
          </w:p>
        </w:tc>
      </w:tr>
    </w:tbl>
    <w:p w14:paraId="7E8873AE" w14:textId="77777777" w:rsidR="00DA0825" w:rsidRPr="00DA0825" w:rsidRDefault="00DA0825" w:rsidP="00DA0825">
      <w:pPr>
        <w:keepNext/>
        <w:keepLines/>
        <w:spacing w:before="480" w:line="240" w:lineRule="atLeast"/>
        <w:outlineLvl w:val="2"/>
        <w:rPr>
          <w:rFonts w:eastAsia="Times New Roman" w:cs="Times New Roman"/>
          <w:b/>
          <w:bCs/>
          <w:color w:val="001871"/>
          <w:sz w:val="32"/>
          <w:szCs w:val="32"/>
        </w:rPr>
      </w:pPr>
      <w:bookmarkStart w:id="196" w:name="_Toc179531336"/>
      <w:bookmarkStart w:id="197" w:name="_Toc188012887"/>
      <w:r w:rsidRPr="00DA0825">
        <w:rPr>
          <w:rFonts w:eastAsia="Times New Roman" w:cs="Times New Roman"/>
          <w:b/>
          <w:bCs/>
          <w:color w:val="001871"/>
          <w:sz w:val="32"/>
          <w:szCs w:val="32"/>
        </w:rPr>
        <w:t>Assumptions</w:t>
      </w:r>
      <w:bookmarkEnd w:id="196"/>
      <w:bookmarkEnd w:id="197"/>
    </w:p>
    <w:p w14:paraId="53CAE19B" w14:textId="77777777" w:rsidR="00DA0825" w:rsidRPr="00DA0825" w:rsidRDefault="00DA0825" w:rsidP="00DA0825">
      <w:pPr>
        <w:keepNext/>
        <w:keepLines/>
        <w:spacing w:before="360" w:line="240" w:lineRule="atLeast"/>
        <w:outlineLvl w:val="3"/>
        <w:rPr>
          <w:rFonts w:eastAsia="Cambria" w:cs="Arial"/>
          <w:b/>
          <w:bCs/>
          <w:color w:val="001871"/>
          <w:sz w:val="28"/>
          <w:szCs w:val="26"/>
        </w:rPr>
      </w:pPr>
      <w:r w:rsidRPr="00DA0825">
        <w:rPr>
          <w:rFonts w:eastAsia="Cambria" w:cs="Arial"/>
          <w:b/>
          <w:bCs/>
          <w:color w:val="001871"/>
          <w:sz w:val="28"/>
          <w:szCs w:val="26"/>
        </w:rPr>
        <w:t>Populations</w:t>
      </w:r>
    </w:p>
    <w:p w14:paraId="293DD9D7"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Key inputs</w:t>
      </w:r>
    </w:p>
    <w:p w14:paraId="1C08CD07" w14:textId="6C14EFA6" w:rsidR="00DA0825" w:rsidRPr="00DA0825" w:rsidRDefault="00DA0825" w:rsidP="00B37DCC">
      <w:pPr>
        <w:rPr>
          <w:i/>
          <w:iCs/>
          <w:color w:val="0E2841" w:themeColor="text2"/>
          <w:kern w:val="2"/>
          <w:sz w:val="18"/>
          <w:szCs w:val="18"/>
          <w14:ligatures w14:val="standardContextual"/>
        </w:rPr>
      </w:pPr>
      <w:r w:rsidRPr="00DA0825">
        <w:t>For the purposes of the RBE, population refers to the number of facilities impacted.</w:t>
      </w:r>
    </w:p>
    <w:p w14:paraId="5A682442" w14:textId="18FA5774" w:rsidR="00282691" w:rsidRDefault="00282691" w:rsidP="00B37DCC">
      <w:pPr>
        <w:pStyle w:val="Caption"/>
        <w:keepNext/>
      </w:pPr>
      <w:r>
        <w:t xml:space="preserve">Table </w:t>
      </w:r>
      <w:r w:rsidR="00791B31">
        <w:t>1</w:t>
      </w:r>
      <w:r w:rsidR="00AD3148">
        <w:t>8</w:t>
      </w:r>
      <w:r w:rsidR="00791B31">
        <w:t xml:space="preserve"> </w:t>
      </w:r>
      <w:r>
        <w:t xml:space="preserve">- </w:t>
      </w:r>
      <w:r w:rsidRPr="007720E0">
        <w:t>Population of Health Facilities covered in the RBE</w:t>
      </w:r>
    </w:p>
    <w:tbl>
      <w:tblPr>
        <w:tblStyle w:val="TableGrid"/>
        <w:tblW w:w="0" w:type="auto"/>
        <w:tblLook w:val="04A0" w:firstRow="1" w:lastRow="0" w:firstColumn="1" w:lastColumn="0" w:noHBand="0" w:noVBand="1"/>
      </w:tblPr>
      <w:tblGrid>
        <w:gridCol w:w="3769"/>
        <w:gridCol w:w="823"/>
        <w:gridCol w:w="4424"/>
      </w:tblGrid>
      <w:tr w:rsidR="00DA0825" w:rsidRPr="00DA0825" w14:paraId="22F06707" w14:textId="77777777" w:rsidTr="001615EC">
        <w:tc>
          <w:tcPr>
            <w:tcW w:w="3769" w:type="dxa"/>
            <w:tcBorders>
              <w:bottom w:val="single" w:sz="4" w:space="0" w:color="auto"/>
            </w:tcBorders>
            <w:shd w:val="clear" w:color="auto" w:fill="0E2841" w:themeFill="text2"/>
          </w:tcPr>
          <w:p w14:paraId="18AE58DE" w14:textId="77777777" w:rsidR="00DA0825" w:rsidRPr="00AB27C4" w:rsidRDefault="00DA0825" w:rsidP="00DA0825">
            <w:pPr>
              <w:rPr>
                <w:b/>
                <w:bCs/>
                <w:color w:val="FFFFFF" w:themeColor="background1"/>
                <w:sz w:val="20"/>
                <w:szCs w:val="20"/>
              </w:rPr>
            </w:pPr>
            <w:r w:rsidRPr="00AB27C4">
              <w:rPr>
                <w:b/>
                <w:bCs/>
                <w:color w:val="FFFFFF" w:themeColor="background1"/>
                <w:sz w:val="20"/>
                <w:szCs w:val="20"/>
              </w:rPr>
              <w:t>Facility type</w:t>
            </w:r>
          </w:p>
        </w:tc>
        <w:tc>
          <w:tcPr>
            <w:tcW w:w="823" w:type="dxa"/>
            <w:tcBorders>
              <w:bottom w:val="single" w:sz="4" w:space="0" w:color="auto"/>
            </w:tcBorders>
            <w:shd w:val="clear" w:color="auto" w:fill="0E2841" w:themeFill="text2"/>
          </w:tcPr>
          <w:p w14:paraId="7393EF86" w14:textId="77777777" w:rsidR="00DA0825" w:rsidRPr="00AB27C4" w:rsidRDefault="00DA0825" w:rsidP="00DA0825">
            <w:pPr>
              <w:jc w:val="right"/>
              <w:rPr>
                <w:b/>
                <w:bCs/>
                <w:color w:val="FFFFFF" w:themeColor="background1"/>
                <w:sz w:val="20"/>
                <w:szCs w:val="20"/>
              </w:rPr>
            </w:pPr>
            <w:r w:rsidRPr="00AB27C4">
              <w:rPr>
                <w:b/>
                <w:bCs/>
                <w:color w:val="FFFFFF" w:themeColor="background1"/>
                <w:sz w:val="20"/>
                <w:szCs w:val="20"/>
              </w:rPr>
              <w:t>Count</w:t>
            </w:r>
          </w:p>
        </w:tc>
        <w:tc>
          <w:tcPr>
            <w:tcW w:w="4424" w:type="dxa"/>
            <w:tcBorders>
              <w:bottom w:val="single" w:sz="4" w:space="0" w:color="auto"/>
            </w:tcBorders>
            <w:shd w:val="clear" w:color="auto" w:fill="0E2841" w:themeFill="text2"/>
          </w:tcPr>
          <w:p w14:paraId="0D58CE56" w14:textId="77777777" w:rsidR="00DA0825" w:rsidRPr="00AB27C4" w:rsidRDefault="00DA0825" w:rsidP="00DA0825">
            <w:pPr>
              <w:rPr>
                <w:b/>
                <w:bCs/>
                <w:color w:val="FFFFFF" w:themeColor="background1"/>
                <w:sz w:val="20"/>
                <w:szCs w:val="20"/>
              </w:rPr>
            </w:pPr>
            <w:r w:rsidRPr="00AB27C4">
              <w:rPr>
                <w:b/>
                <w:bCs/>
                <w:color w:val="FFFFFF" w:themeColor="background1"/>
                <w:sz w:val="20"/>
                <w:szCs w:val="20"/>
              </w:rPr>
              <w:t>Basis</w:t>
            </w:r>
          </w:p>
        </w:tc>
      </w:tr>
      <w:tr w:rsidR="00DA0825" w:rsidRPr="00DA0825" w14:paraId="1D9E08BF" w14:textId="77777777">
        <w:tc>
          <w:tcPr>
            <w:tcW w:w="3769" w:type="dxa"/>
            <w:tcBorders>
              <w:bottom w:val="nil"/>
            </w:tcBorders>
            <w:shd w:val="clear" w:color="auto" w:fill="F2CEED" w:themeFill="accent5" w:themeFillTint="33"/>
          </w:tcPr>
          <w:p w14:paraId="7BAD2A57" w14:textId="77777777" w:rsidR="00DA0825" w:rsidRPr="00AB27C4" w:rsidRDefault="00DA0825" w:rsidP="00DA0825">
            <w:pPr>
              <w:rPr>
                <w:b/>
                <w:bCs/>
                <w:sz w:val="20"/>
                <w:szCs w:val="20"/>
              </w:rPr>
            </w:pPr>
            <w:r w:rsidRPr="00AB27C4">
              <w:rPr>
                <w:b/>
                <w:bCs/>
                <w:sz w:val="20"/>
                <w:szCs w:val="20"/>
              </w:rPr>
              <w:t>Private Hospitals</w:t>
            </w:r>
          </w:p>
        </w:tc>
        <w:tc>
          <w:tcPr>
            <w:tcW w:w="823" w:type="dxa"/>
            <w:tcBorders>
              <w:bottom w:val="nil"/>
            </w:tcBorders>
          </w:tcPr>
          <w:p w14:paraId="3D3E51A7" w14:textId="77777777" w:rsidR="00DA0825" w:rsidRPr="00AB27C4" w:rsidRDefault="00DA0825" w:rsidP="00DA0825">
            <w:pPr>
              <w:jc w:val="right"/>
              <w:rPr>
                <w:sz w:val="20"/>
                <w:szCs w:val="20"/>
              </w:rPr>
            </w:pPr>
          </w:p>
        </w:tc>
        <w:tc>
          <w:tcPr>
            <w:tcW w:w="4424" w:type="dxa"/>
            <w:vMerge w:val="restart"/>
          </w:tcPr>
          <w:p w14:paraId="1ACF4BDC" w14:textId="2C547240" w:rsidR="00DA0825" w:rsidRPr="00AB27C4" w:rsidRDefault="00DA0825" w:rsidP="00DA0825">
            <w:pPr>
              <w:rPr>
                <w:sz w:val="20"/>
                <w:szCs w:val="20"/>
              </w:rPr>
            </w:pPr>
            <w:r w:rsidRPr="00AB27C4">
              <w:rPr>
                <w:sz w:val="20"/>
                <w:szCs w:val="20"/>
              </w:rPr>
              <w:t>As per the list of Commonwealth Declared Hospitals at 22 Feb</w:t>
            </w:r>
            <w:r w:rsidR="001A0F6A">
              <w:rPr>
                <w:sz w:val="20"/>
                <w:szCs w:val="20"/>
              </w:rPr>
              <w:t>ruary</w:t>
            </w:r>
            <w:r w:rsidRPr="00AB27C4">
              <w:rPr>
                <w:sz w:val="20"/>
                <w:szCs w:val="20"/>
              </w:rPr>
              <w:t xml:space="preserve"> 2024, with breakdown into High / Medium / Low based upon the “Second-tier category” therein. Further detail provided in the section directly below.</w:t>
            </w:r>
          </w:p>
        </w:tc>
      </w:tr>
      <w:tr w:rsidR="00DA0825" w:rsidRPr="00DA0825" w14:paraId="63C46E6A" w14:textId="77777777">
        <w:tc>
          <w:tcPr>
            <w:tcW w:w="3769" w:type="dxa"/>
            <w:tcBorders>
              <w:top w:val="nil"/>
              <w:bottom w:val="nil"/>
            </w:tcBorders>
            <w:shd w:val="clear" w:color="auto" w:fill="F2CEED" w:themeFill="accent5" w:themeFillTint="33"/>
          </w:tcPr>
          <w:p w14:paraId="52C24859" w14:textId="77777777" w:rsidR="00DA0825" w:rsidRPr="00AB27C4" w:rsidRDefault="00DA0825" w:rsidP="00DA0825">
            <w:pPr>
              <w:rPr>
                <w:sz w:val="20"/>
                <w:szCs w:val="20"/>
              </w:rPr>
            </w:pPr>
            <w:r w:rsidRPr="00AB27C4">
              <w:rPr>
                <w:sz w:val="20"/>
                <w:szCs w:val="20"/>
              </w:rPr>
              <w:t xml:space="preserve">…with </w:t>
            </w:r>
            <w:r w:rsidRPr="00AB27C4">
              <w:rPr>
                <w:b/>
                <w:bCs/>
                <w:sz w:val="20"/>
                <w:szCs w:val="20"/>
              </w:rPr>
              <w:t>High</w:t>
            </w:r>
            <w:r w:rsidRPr="00AB27C4">
              <w:rPr>
                <w:sz w:val="20"/>
                <w:szCs w:val="20"/>
              </w:rPr>
              <w:t xml:space="preserve"> exposure to incidents</w:t>
            </w:r>
          </w:p>
        </w:tc>
        <w:tc>
          <w:tcPr>
            <w:tcW w:w="823" w:type="dxa"/>
            <w:tcBorders>
              <w:top w:val="nil"/>
              <w:bottom w:val="nil"/>
            </w:tcBorders>
          </w:tcPr>
          <w:p w14:paraId="025E6AAF" w14:textId="77777777" w:rsidR="00DA0825" w:rsidRPr="00AB27C4" w:rsidRDefault="00DA0825" w:rsidP="00DA0825">
            <w:pPr>
              <w:jc w:val="right"/>
              <w:rPr>
                <w:sz w:val="20"/>
                <w:szCs w:val="20"/>
              </w:rPr>
            </w:pPr>
            <w:r w:rsidRPr="00AB27C4">
              <w:rPr>
                <w:sz w:val="20"/>
                <w:szCs w:val="20"/>
              </w:rPr>
              <w:t>101</w:t>
            </w:r>
          </w:p>
        </w:tc>
        <w:tc>
          <w:tcPr>
            <w:tcW w:w="4424" w:type="dxa"/>
            <w:vMerge/>
          </w:tcPr>
          <w:p w14:paraId="7B2F61B6" w14:textId="77777777" w:rsidR="00DA0825" w:rsidRPr="00AB27C4" w:rsidRDefault="00DA0825" w:rsidP="00DA0825">
            <w:pPr>
              <w:rPr>
                <w:sz w:val="20"/>
                <w:szCs w:val="20"/>
              </w:rPr>
            </w:pPr>
          </w:p>
        </w:tc>
      </w:tr>
      <w:tr w:rsidR="00DA0825" w:rsidRPr="00DA0825" w14:paraId="265F6026" w14:textId="77777777">
        <w:tc>
          <w:tcPr>
            <w:tcW w:w="3769" w:type="dxa"/>
            <w:tcBorders>
              <w:top w:val="nil"/>
              <w:bottom w:val="nil"/>
            </w:tcBorders>
            <w:shd w:val="clear" w:color="auto" w:fill="F2CEED" w:themeFill="accent5" w:themeFillTint="33"/>
          </w:tcPr>
          <w:p w14:paraId="01CCCDA0" w14:textId="77777777" w:rsidR="00DA0825" w:rsidRPr="00AB27C4" w:rsidRDefault="00DA0825" w:rsidP="00DA0825">
            <w:pPr>
              <w:rPr>
                <w:sz w:val="20"/>
                <w:szCs w:val="20"/>
              </w:rPr>
            </w:pPr>
            <w:r w:rsidRPr="00AB27C4">
              <w:rPr>
                <w:sz w:val="20"/>
                <w:szCs w:val="20"/>
              </w:rPr>
              <w:t xml:space="preserve">…with </w:t>
            </w:r>
            <w:r w:rsidRPr="00AB27C4">
              <w:rPr>
                <w:b/>
                <w:bCs/>
                <w:sz w:val="20"/>
                <w:szCs w:val="20"/>
              </w:rPr>
              <w:t>Medium</w:t>
            </w:r>
            <w:r w:rsidRPr="00AB27C4">
              <w:rPr>
                <w:sz w:val="20"/>
                <w:szCs w:val="20"/>
              </w:rPr>
              <w:t xml:space="preserve"> exposure to incidents</w:t>
            </w:r>
          </w:p>
        </w:tc>
        <w:tc>
          <w:tcPr>
            <w:tcW w:w="823" w:type="dxa"/>
            <w:tcBorders>
              <w:top w:val="nil"/>
              <w:bottom w:val="nil"/>
            </w:tcBorders>
          </w:tcPr>
          <w:p w14:paraId="28F922EE" w14:textId="77777777" w:rsidR="00DA0825" w:rsidRPr="00AB27C4" w:rsidRDefault="00DA0825" w:rsidP="00DA0825">
            <w:pPr>
              <w:jc w:val="right"/>
              <w:rPr>
                <w:sz w:val="20"/>
                <w:szCs w:val="20"/>
              </w:rPr>
            </w:pPr>
            <w:r w:rsidRPr="00AB27C4">
              <w:rPr>
                <w:sz w:val="20"/>
                <w:szCs w:val="20"/>
              </w:rPr>
              <w:t>110</w:t>
            </w:r>
          </w:p>
        </w:tc>
        <w:tc>
          <w:tcPr>
            <w:tcW w:w="4424" w:type="dxa"/>
            <w:vMerge/>
          </w:tcPr>
          <w:p w14:paraId="78BDD9F4" w14:textId="77777777" w:rsidR="00DA0825" w:rsidRPr="00AB27C4" w:rsidRDefault="00DA0825" w:rsidP="00DA0825">
            <w:pPr>
              <w:rPr>
                <w:i/>
                <w:iCs/>
                <w:sz w:val="20"/>
                <w:szCs w:val="20"/>
              </w:rPr>
            </w:pPr>
          </w:p>
        </w:tc>
      </w:tr>
      <w:tr w:rsidR="00DA0825" w:rsidRPr="00DA0825" w14:paraId="48BCBC33" w14:textId="77777777">
        <w:tc>
          <w:tcPr>
            <w:tcW w:w="3769" w:type="dxa"/>
            <w:tcBorders>
              <w:top w:val="nil"/>
            </w:tcBorders>
            <w:shd w:val="clear" w:color="auto" w:fill="F2CEED" w:themeFill="accent5" w:themeFillTint="33"/>
          </w:tcPr>
          <w:p w14:paraId="33F86B0C" w14:textId="77777777" w:rsidR="00DA0825" w:rsidRPr="00AB27C4" w:rsidRDefault="00DA0825" w:rsidP="00DA0825">
            <w:pPr>
              <w:rPr>
                <w:sz w:val="20"/>
                <w:szCs w:val="20"/>
              </w:rPr>
            </w:pPr>
            <w:r w:rsidRPr="00AB27C4">
              <w:rPr>
                <w:sz w:val="20"/>
                <w:szCs w:val="20"/>
              </w:rPr>
              <w:t xml:space="preserve">…with </w:t>
            </w:r>
            <w:r w:rsidRPr="00AB27C4">
              <w:rPr>
                <w:b/>
                <w:bCs/>
                <w:sz w:val="20"/>
                <w:szCs w:val="20"/>
              </w:rPr>
              <w:t>Low</w:t>
            </w:r>
            <w:r w:rsidRPr="00AB27C4">
              <w:rPr>
                <w:sz w:val="20"/>
                <w:szCs w:val="20"/>
              </w:rPr>
              <w:t xml:space="preserve"> exposure to incidents</w:t>
            </w:r>
          </w:p>
        </w:tc>
        <w:tc>
          <w:tcPr>
            <w:tcW w:w="823" w:type="dxa"/>
            <w:tcBorders>
              <w:top w:val="nil"/>
            </w:tcBorders>
          </w:tcPr>
          <w:p w14:paraId="5C2F6BA5" w14:textId="77777777" w:rsidR="00DA0825" w:rsidRPr="00AB27C4" w:rsidRDefault="00DA0825" w:rsidP="00DA0825">
            <w:pPr>
              <w:jc w:val="right"/>
              <w:rPr>
                <w:sz w:val="20"/>
                <w:szCs w:val="20"/>
              </w:rPr>
            </w:pPr>
            <w:r w:rsidRPr="00AB27C4">
              <w:rPr>
                <w:sz w:val="20"/>
                <w:szCs w:val="20"/>
              </w:rPr>
              <w:t>432</w:t>
            </w:r>
          </w:p>
        </w:tc>
        <w:tc>
          <w:tcPr>
            <w:tcW w:w="4424" w:type="dxa"/>
            <w:vMerge/>
          </w:tcPr>
          <w:p w14:paraId="2241934D" w14:textId="77777777" w:rsidR="00DA0825" w:rsidRPr="00AB27C4" w:rsidRDefault="00DA0825" w:rsidP="00DA0825">
            <w:pPr>
              <w:rPr>
                <w:i/>
                <w:iCs/>
                <w:sz w:val="20"/>
                <w:szCs w:val="20"/>
              </w:rPr>
            </w:pPr>
          </w:p>
        </w:tc>
      </w:tr>
      <w:tr w:rsidR="00DA0825" w:rsidRPr="00DA0825" w14:paraId="2D8B858F" w14:textId="77777777" w:rsidTr="001615EC">
        <w:tc>
          <w:tcPr>
            <w:tcW w:w="3769" w:type="dxa"/>
            <w:shd w:val="clear" w:color="auto" w:fill="F2CEED" w:themeFill="accent5" w:themeFillTint="33"/>
          </w:tcPr>
          <w:p w14:paraId="0B8CD875" w14:textId="77777777" w:rsidR="00DA0825" w:rsidRPr="00AB27C4" w:rsidRDefault="00DA0825" w:rsidP="00DA0825">
            <w:pPr>
              <w:rPr>
                <w:b/>
                <w:bCs/>
                <w:sz w:val="20"/>
                <w:szCs w:val="20"/>
              </w:rPr>
            </w:pPr>
            <w:r w:rsidRPr="00AB27C4">
              <w:rPr>
                <w:b/>
                <w:bCs/>
                <w:sz w:val="20"/>
                <w:szCs w:val="20"/>
              </w:rPr>
              <w:t>Residential Aged Care</w:t>
            </w:r>
          </w:p>
        </w:tc>
        <w:tc>
          <w:tcPr>
            <w:tcW w:w="823" w:type="dxa"/>
          </w:tcPr>
          <w:p w14:paraId="3558B182" w14:textId="77777777" w:rsidR="00DA0825" w:rsidRPr="00AB27C4" w:rsidRDefault="00DA0825" w:rsidP="00DA0825">
            <w:pPr>
              <w:jc w:val="right"/>
              <w:rPr>
                <w:sz w:val="20"/>
                <w:szCs w:val="20"/>
              </w:rPr>
            </w:pPr>
            <w:r w:rsidRPr="00AB27C4">
              <w:rPr>
                <w:sz w:val="20"/>
                <w:szCs w:val="20"/>
              </w:rPr>
              <w:t>2,640</w:t>
            </w:r>
          </w:p>
        </w:tc>
        <w:tc>
          <w:tcPr>
            <w:tcW w:w="4424" w:type="dxa"/>
          </w:tcPr>
          <w:p w14:paraId="269E9A20" w14:textId="126208FE" w:rsidR="00DA0825" w:rsidRPr="00AB27C4" w:rsidRDefault="00DA0825" w:rsidP="00DA0825">
            <w:pPr>
              <w:rPr>
                <w:sz w:val="20"/>
                <w:szCs w:val="20"/>
              </w:rPr>
            </w:pPr>
            <w:r w:rsidRPr="00AB27C4">
              <w:rPr>
                <w:sz w:val="20"/>
                <w:szCs w:val="20"/>
              </w:rPr>
              <w:t xml:space="preserve">As per the GEN Aged Care data at </w:t>
            </w:r>
            <w:r w:rsidR="009E1909">
              <w:rPr>
                <w:sz w:val="20"/>
                <w:szCs w:val="20"/>
              </w:rPr>
              <w:br/>
            </w:r>
            <w:r w:rsidRPr="00AB27C4">
              <w:rPr>
                <w:sz w:val="20"/>
                <w:szCs w:val="20"/>
              </w:rPr>
              <w:t>30 Jun</w:t>
            </w:r>
            <w:r w:rsidR="001A0F6A">
              <w:rPr>
                <w:sz w:val="20"/>
                <w:szCs w:val="20"/>
              </w:rPr>
              <w:t>e</w:t>
            </w:r>
            <w:r w:rsidRPr="00AB27C4">
              <w:rPr>
                <w:sz w:val="20"/>
                <w:szCs w:val="20"/>
              </w:rPr>
              <w:t xml:space="preserve"> 2023. Further detail provided in </w:t>
            </w:r>
            <w:r w:rsidR="009E1909">
              <w:rPr>
                <w:sz w:val="20"/>
                <w:szCs w:val="20"/>
              </w:rPr>
              <w:br/>
            </w:r>
            <w:r w:rsidRPr="00AB27C4">
              <w:rPr>
                <w:sz w:val="20"/>
                <w:szCs w:val="20"/>
              </w:rPr>
              <w:t>Annex B</w:t>
            </w:r>
            <w:r w:rsidR="009E1909">
              <w:rPr>
                <w:sz w:val="20"/>
                <w:szCs w:val="20"/>
              </w:rPr>
              <w:t>.</w:t>
            </w:r>
          </w:p>
        </w:tc>
      </w:tr>
      <w:tr w:rsidR="00DA0825" w:rsidRPr="00DA0825" w14:paraId="1B72C6AA" w14:textId="77777777" w:rsidTr="001615EC">
        <w:tc>
          <w:tcPr>
            <w:tcW w:w="3769" w:type="dxa"/>
            <w:shd w:val="clear" w:color="auto" w:fill="F2CEED" w:themeFill="accent5" w:themeFillTint="33"/>
          </w:tcPr>
          <w:p w14:paraId="5C8F80CF" w14:textId="77777777" w:rsidR="00DA0825" w:rsidRPr="00AB27C4" w:rsidRDefault="00DA0825" w:rsidP="00DA0825">
            <w:pPr>
              <w:rPr>
                <w:b/>
                <w:bCs/>
                <w:sz w:val="20"/>
                <w:szCs w:val="20"/>
              </w:rPr>
            </w:pPr>
            <w:r w:rsidRPr="00AB27C4">
              <w:rPr>
                <w:b/>
                <w:bCs/>
                <w:sz w:val="20"/>
                <w:szCs w:val="20"/>
              </w:rPr>
              <w:t>Public Hospitals</w:t>
            </w:r>
          </w:p>
        </w:tc>
        <w:tc>
          <w:tcPr>
            <w:tcW w:w="823" w:type="dxa"/>
          </w:tcPr>
          <w:p w14:paraId="084D7871" w14:textId="77777777" w:rsidR="00DA0825" w:rsidRPr="00AB27C4" w:rsidRDefault="00DA0825" w:rsidP="00DA0825">
            <w:pPr>
              <w:jc w:val="right"/>
              <w:rPr>
                <w:sz w:val="20"/>
                <w:szCs w:val="20"/>
              </w:rPr>
            </w:pPr>
            <w:r w:rsidRPr="00AB27C4">
              <w:rPr>
                <w:sz w:val="20"/>
                <w:szCs w:val="20"/>
              </w:rPr>
              <w:t>686</w:t>
            </w:r>
          </w:p>
        </w:tc>
        <w:tc>
          <w:tcPr>
            <w:tcW w:w="4424" w:type="dxa"/>
          </w:tcPr>
          <w:p w14:paraId="1F124877" w14:textId="28086304" w:rsidR="00DA0825" w:rsidRPr="00E83657" w:rsidRDefault="00DA0825" w:rsidP="00DA0825">
            <w:pPr>
              <w:rPr>
                <w:sz w:val="20"/>
                <w:szCs w:val="20"/>
              </w:rPr>
            </w:pPr>
            <w:r w:rsidRPr="00E83657">
              <w:rPr>
                <w:sz w:val="20"/>
                <w:szCs w:val="20"/>
              </w:rPr>
              <w:t xml:space="preserve">As per the list of Commonwealth Declared Hospitals at 22 </w:t>
            </w:r>
            <w:r w:rsidR="00E83657" w:rsidRPr="00E83657">
              <w:rPr>
                <w:sz w:val="20"/>
                <w:szCs w:val="20"/>
              </w:rPr>
              <w:t>February</w:t>
            </w:r>
            <w:r w:rsidRPr="00E83657">
              <w:rPr>
                <w:sz w:val="20"/>
                <w:szCs w:val="20"/>
              </w:rPr>
              <w:t xml:space="preserve"> 2024. Further detail provided in Annex B</w:t>
            </w:r>
            <w:r w:rsidR="00500045" w:rsidRPr="00E83657">
              <w:rPr>
                <w:sz w:val="20"/>
                <w:szCs w:val="20"/>
              </w:rPr>
              <w:t>.</w:t>
            </w:r>
          </w:p>
        </w:tc>
      </w:tr>
    </w:tbl>
    <w:p w14:paraId="1D3C1B89" w14:textId="77777777" w:rsidR="00DA0825" w:rsidRPr="00DA0825" w:rsidRDefault="00DA0825" w:rsidP="00DA0825"/>
    <w:p w14:paraId="25F91DF4"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Private hospital categories</w:t>
      </w:r>
    </w:p>
    <w:p w14:paraId="60FEE28B" w14:textId="77777777" w:rsidR="00DA0825" w:rsidRPr="00DA0825" w:rsidRDefault="00DA0825" w:rsidP="00DA0825">
      <w:r w:rsidRPr="00DA0825">
        <w:t>The Private Hospitals within the Public and Private Hospitals listed in the “Commonwealth Declared Hospitals” are further divided into categories A-G based on their size and role.</w:t>
      </w:r>
    </w:p>
    <w:p w14:paraId="2D45E496" w14:textId="7C560C85" w:rsidR="00DA0825" w:rsidRPr="00DA0825" w:rsidRDefault="00DA0825" w:rsidP="00DA0825">
      <w:r w:rsidRPr="00DA0825">
        <w:t xml:space="preserve">For the purposes of the Impact </w:t>
      </w:r>
      <w:r w:rsidR="00036F8E">
        <w:t>A</w:t>
      </w:r>
      <w:r w:rsidRPr="00DA0825">
        <w:t>nalysis</w:t>
      </w:r>
      <w:r w:rsidR="00036F8E">
        <w:t>,</w:t>
      </w:r>
      <w:r w:rsidRPr="00DA0825">
        <w:t xml:space="preserve"> we have grouped these into subsets which can be assumed to align to High, Medium and Low levels of exposure to potential incidents. These groupings can also be assumed to broadly align to average technological capabilities with the larger hospitals with higher exposure to potential incidents also more likely to have technology infrastructure which is more ready to handle an additional reporting load.</w:t>
      </w:r>
    </w:p>
    <w:p w14:paraId="6D5F0C28" w14:textId="6AD11C77" w:rsidR="00DA0825" w:rsidRPr="00DA0825" w:rsidRDefault="00282691" w:rsidP="00DA0825">
      <w:pPr>
        <w:keepNext/>
        <w:spacing w:after="200" w:line="240" w:lineRule="auto"/>
        <w:rPr>
          <w:i/>
          <w:iCs/>
          <w:color w:val="0E2841" w:themeColor="text2"/>
          <w:kern w:val="2"/>
          <w:sz w:val="18"/>
          <w:szCs w:val="18"/>
          <w14:ligatures w14:val="standardContextual"/>
        </w:rPr>
      </w:pPr>
      <w:r>
        <w:rPr>
          <w:i/>
          <w:iCs/>
          <w:color w:val="0E2841" w:themeColor="text2"/>
          <w:kern w:val="2"/>
          <w:sz w:val="18"/>
          <w:szCs w:val="18"/>
          <w14:ligatures w14:val="standardContextual"/>
        </w:rPr>
        <w:t xml:space="preserve">Figure </w:t>
      </w:r>
      <w:r w:rsidR="00D346FC">
        <w:rPr>
          <w:i/>
          <w:iCs/>
          <w:color w:val="0E2841" w:themeColor="text2"/>
          <w:kern w:val="2"/>
          <w:sz w:val="18"/>
          <w:szCs w:val="18"/>
          <w14:ligatures w14:val="standardContextual"/>
        </w:rPr>
        <w:t>20</w:t>
      </w:r>
      <w:r>
        <w:rPr>
          <w:i/>
          <w:iCs/>
          <w:color w:val="0E2841" w:themeColor="text2"/>
          <w:kern w:val="2"/>
          <w:sz w:val="18"/>
          <w:szCs w:val="18"/>
          <w14:ligatures w14:val="standardContextual"/>
        </w:rPr>
        <w:t xml:space="preserve"> -</w:t>
      </w:r>
      <w:r w:rsidR="00DA0825" w:rsidRPr="00DA0825">
        <w:rPr>
          <w:i/>
          <w:iCs/>
          <w:color w:val="0E2841" w:themeColor="text2"/>
          <w:kern w:val="2"/>
          <w:sz w:val="18"/>
          <w:szCs w:val="18"/>
          <w14:ligatures w14:val="standardContextual"/>
        </w:rPr>
        <w:t xml:space="preserve"> Private Hospitals classified by assumed exposure to medical device incidents</w:t>
      </w:r>
    </w:p>
    <w:p w14:paraId="7262472D" w14:textId="77777777" w:rsidR="00DA0825" w:rsidRPr="00DA0825" w:rsidRDefault="00DA0825" w:rsidP="00DA0825">
      <w:r w:rsidRPr="00DA0825">
        <w:rPr>
          <w:noProof/>
          <w:lang w:eastAsia="en-AU"/>
        </w:rPr>
        <w:drawing>
          <wp:inline distT="0" distB="0" distL="0" distR="0" wp14:anchorId="38CCCEE9" wp14:editId="242A97DD">
            <wp:extent cx="4010660" cy="3851275"/>
            <wp:effectExtent l="0" t="0" r="8890" b="0"/>
            <wp:docPr id="1431709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660" cy="3851275"/>
                    </a:xfrm>
                    <a:prstGeom prst="rect">
                      <a:avLst/>
                    </a:prstGeom>
                    <a:noFill/>
                    <a:ln>
                      <a:noFill/>
                    </a:ln>
                  </pic:spPr>
                </pic:pic>
              </a:graphicData>
            </a:graphic>
          </wp:inline>
        </w:drawing>
      </w:r>
    </w:p>
    <w:p w14:paraId="3F5171DF" w14:textId="77777777" w:rsidR="00DA0825" w:rsidRPr="00DA0825" w:rsidRDefault="00DA0825" w:rsidP="00DA0825">
      <w:pPr>
        <w:keepNext/>
        <w:keepLines/>
        <w:spacing w:before="360" w:line="240" w:lineRule="atLeast"/>
        <w:outlineLvl w:val="3"/>
        <w:rPr>
          <w:rFonts w:eastAsia="Cambria" w:cs="Arial"/>
          <w:b/>
          <w:bCs/>
          <w:color w:val="001871"/>
          <w:sz w:val="28"/>
          <w:szCs w:val="26"/>
        </w:rPr>
      </w:pPr>
      <w:r w:rsidRPr="00DA0825">
        <w:rPr>
          <w:rFonts w:eastAsia="Cambria" w:cs="Arial"/>
          <w:b/>
          <w:bCs/>
          <w:color w:val="001871"/>
          <w:sz w:val="28"/>
          <w:szCs w:val="26"/>
        </w:rPr>
        <w:t>Labour costs</w:t>
      </w:r>
    </w:p>
    <w:p w14:paraId="328A60D6"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Key inputs</w:t>
      </w:r>
    </w:p>
    <w:p w14:paraId="1D857D2C" w14:textId="6668AA94" w:rsidR="00DA0825" w:rsidRPr="00DA0825" w:rsidRDefault="00DA0825" w:rsidP="00B37DCC">
      <w:pPr>
        <w:rPr>
          <w:i/>
          <w:iCs/>
          <w:color w:val="0E2841" w:themeColor="text2"/>
          <w:kern w:val="2"/>
          <w:sz w:val="18"/>
          <w:szCs w:val="18"/>
          <w14:ligatures w14:val="standardContextual"/>
        </w:rPr>
      </w:pPr>
      <w:r w:rsidRPr="00DA0825">
        <w:t xml:space="preserve">The value of the time used by staff in adhering to the new requirements is measured in their hourly pay rates </w:t>
      </w:r>
      <w:r w:rsidRPr="00DA0825">
        <w:rPr>
          <w:b/>
          <w:bCs/>
        </w:rPr>
        <w:t>inclusive of on costs</w:t>
      </w:r>
      <w:r w:rsidRPr="00DA0825">
        <w:t>, with assumed rates tabled below.</w:t>
      </w:r>
    </w:p>
    <w:p w14:paraId="6FF4E15F" w14:textId="648A3216" w:rsidR="00282691" w:rsidRDefault="00282691" w:rsidP="00B37DCC">
      <w:pPr>
        <w:pStyle w:val="Caption"/>
        <w:keepNext/>
      </w:pPr>
      <w:r>
        <w:t xml:space="preserve">Table </w:t>
      </w:r>
      <w:r w:rsidR="00791B31">
        <w:t>1</w:t>
      </w:r>
      <w:r w:rsidR="00AD3148">
        <w:t>9</w:t>
      </w:r>
      <w:r w:rsidR="00791B31">
        <w:t xml:space="preserve"> </w:t>
      </w:r>
      <w:r>
        <w:t>-</w:t>
      </w:r>
      <w:r w:rsidRPr="00AD51F2">
        <w:t xml:space="preserve"> Assume hourly labour costs of Health Facility staff (including on costs)</w:t>
      </w:r>
    </w:p>
    <w:tbl>
      <w:tblPr>
        <w:tblStyle w:val="TableGrid"/>
        <w:tblW w:w="0" w:type="auto"/>
        <w:tblLook w:val="04A0" w:firstRow="1" w:lastRow="0" w:firstColumn="1" w:lastColumn="0" w:noHBand="0" w:noVBand="1"/>
      </w:tblPr>
      <w:tblGrid>
        <w:gridCol w:w="1836"/>
        <w:gridCol w:w="1062"/>
        <w:gridCol w:w="6118"/>
      </w:tblGrid>
      <w:tr w:rsidR="00DA0825" w:rsidRPr="00DA0825" w14:paraId="22BF41DD" w14:textId="77777777" w:rsidTr="001615EC">
        <w:tc>
          <w:tcPr>
            <w:tcW w:w="0" w:type="auto"/>
            <w:tcBorders>
              <w:bottom w:val="single" w:sz="4" w:space="0" w:color="auto"/>
            </w:tcBorders>
            <w:shd w:val="clear" w:color="auto" w:fill="0E2841" w:themeFill="text2"/>
          </w:tcPr>
          <w:p w14:paraId="251FCD6A" w14:textId="77777777" w:rsidR="00DA0825" w:rsidRPr="006D62E1" w:rsidRDefault="00DA0825" w:rsidP="00DA0825">
            <w:pPr>
              <w:rPr>
                <w:b/>
                <w:bCs/>
                <w:color w:val="FFFFFF" w:themeColor="background1"/>
                <w:sz w:val="20"/>
                <w:szCs w:val="20"/>
              </w:rPr>
            </w:pPr>
            <w:r w:rsidRPr="006D62E1">
              <w:rPr>
                <w:b/>
                <w:bCs/>
                <w:color w:val="FFFFFF" w:themeColor="background1"/>
                <w:sz w:val="20"/>
                <w:szCs w:val="20"/>
              </w:rPr>
              <w:t>Role</w:t>
            </w:r>
          </w:p>
        </w:tc>
        <w:tc>
          <w:tcPr>
            <w:tcW w:w="0" w:type="auto"/>
            <w:tcBorders>
              <w:bottom w:val="single" w:sz="4" w:space="0" w:color="auto"/>
            </w:tcBorders>
            <w:shd w:val="clear" w:color="auto" w:fill="0E2841" w:themeFill="text2"/>
          </w:tcPr>
          <w:p w14:paraId="5018307A" w14:textId="77777777" w:rsidR="00DA0825" w:rsidRPr="006D62E1" w:rsidRDefault="00DA0825" w:rsidP="00DA0825">
            <w:pPr>
              <w:jc w:val="right"/>
              <w:rPr>
                <w:b/>
                <w:bCs/>
                <w:color w:val="FFFFFF" w:themeColor="background1"/>
                <w:sz w:val="20"/>
                <w:szCs w:val="20"/>
              </w:rPr>
            </w:pPr>
            <w:r w:rsidRPr="006D62E1">
              <w:rPr>
                <w:b/>
                <w:bCs/>
                <w:color w:val="FFFFFF" w:themeColor="background1"/>
                <w:sz w:val="20"/>
                <w:szCs w:val="20"/>
              </w:rPr>
              <w:t>Hourly rate</w:t>
            </w:r>
          </w:p>
        </w:tc>
        <w:tc>
          <w:tcPr>
            <w:tcW w:w="0" w:type="auto"/>
            <w:tcBorders>
              <w:bottom w:val="single" w:sz="4" w:space="0" w:color="auto"/>
            </w:tcBorders>
            <w:shd w:val="clear" w:color="auto" w:fill="0E2841" w:themeFill="text2"/>
          </w:tcPr>
          <w:p w14:paraId="4B089169" w14:textId="77777777" w:rsidR="00DA0825" w:rsidRPr="006D62E1" w:rsidRDefault="00DA0825" w:rsidP="00DA0825">
            <w:pPr>
              <w:rPr>
                <w:b/>
                <w:bCs/>
                <w:color w:val="FFFFFF" w:themeColor="background1"/>
                <w:sz w:val="20"/>
                <w:szCs w:val="20"/>
              </w:rPr>
            </w:pPr>
            <w:r w:rsidRPr="006D62E1">
              <w:rPr>
                <w:b/>
                <w:bCs/>
                <w:color w:val="FFFFFF" w:themeColor="background1"/>
                <w:sz w:val="20"/>
                <w:szCs w:val="20"/>
              </w:rPr>
              <w:t>Basis</w:t>
            </w:r>
          </w:p>
        </w:tc>
      </w:tr>
      <w:tr w:rsidR="00DA0825" w:rsidRPr="00DA0825" w14:paraId="0C80C3E7" w14:textId="77777777" w:rsidTr="001615EC">
        <w:tc>
          <w:tcPr>
            <w:tcW w:w="0" w:type="auto"/>
            <w:shd w:val="clear" w:color="auto" w:fill="F2CEED" w:themeFill="accent5" w:themeFillTint="33"/>
          </w:tcPr>
          <w:p w14:paraId="1E4E7129" w14:textId="0D77DDA3" w:rsidR="00DA0825" w:rsidRPr="006D62E1" w:rsidRDefault="00DA0825" w:rsidP="00DA0825">
            <w:pPr>
              <w:rPr>
                <w:b/>
                <w:bCs/>
                <w:sz w:val="20"/>
                <w:szCs w:val="20"/>
              </w:rPr>
            </w:pPr>
            <w:r w:rsidRPr="006D62E1">
              <w:rPr>
                <w:b/>
                <w:bCs/>
                <w:sz w:val="20"/>
                <w:szCs w:val="20"/>
              </w:rPr>
              <w:t>Administrative staff</w:t>
            </w:r>
            <w:r w:rsidR="00D73A48" w:rsidRPr="006D62E1">
              <w:rPr>
                <w:rStyle w:val="FootnoteReference"/>
                <w:b/>
                <w:bCs/>
                <w:sz w:val="20"/>
                <w:szCs w:val="20"/>
              </w:rPr>
              <w:footnoteReference w:id="92"/>
            </w:r>
          </w:p>
        </w:tc>
        <w:tc>
          <w:tcPr>
            <w:tcW w:w="0" w:type="auto"/>
          </w:tcPr>
          <w:p w14:paraId="4257FC60" w14:textId="77777777" w:rsidR="00DA0825" w:rsidRPr="006D62E1" w:rsidRDefault="00DA0825" w:rsidP="00DA0825">
            <w:pPr>
              <w:jc w:val="right"/>
              <w:rPr>
                <w:sz w:val="20"/>
                <w:szCs w:val="20"/>
              </w:rPr>
            </w:pPr>
            <w:r w:rsidRPr="006D62E1">
              <w:rPr>
                <w:sz w:val="20"/>
                <w:szCs w:val="20"/>
              </w:rPr>
              <w:t>$83.48</w:t>
            </w:r>
          </w:p>
        </w:tc>
        <w:tc>
          <w:tcPr>
            <w:tcW w:w="0" w:type="auto"/>
          </w:tcPr>
          <w:p w14:paraId="4479B77B" w14:textId="77777777" w:rsidR="00DA0825" w:rsidRPr="006D62E1" w:rsidRDefault="00DA0825" w:rsidP="00DA0825">
            <w:pPr>
              <w:rPr>
                <w:sz w:val="20"/>
                <w:szCs w:val="20"/>
              </w:rPr>
            </w:pPr>
            <w:r w:rsidRPr="006D62E1">
              <w:rPr>
                <w:sz w:val="20"/>
                <w:szCs w:val="20"/>
              </w:rPr>
              <w:t>As per ABS data, with further details provided in the section below.</w:t>
            </w:r>
          </w:p>
        </w:tc>
      </w:tr>
      <w:tr w:rsidR="00DA0825" w:rsidRPr="00DA0825" w14:paraId="09030DF2" w14:textId="77777777" w:rsidTr="001615EC">
        <w:tc>
          <w:tcPr>
            <w:tcW w:w="0" w:type="auto"/>
            <w:shd w:val="clear" w:color="auto" w:fill="F2CEED" w:themeFill="accent5" w:themeFillTint="33"/>
          </w:tcPr>
          <w:p w14:paraId="42E81CB4" w14:textId="38971F18" w:rsidR="00DA0825" w:rsidRPr="006D62E1" w:rsidRDefault="00DA0825" w:rsidP="00DA0825">
            <w:pPr>
              <w:rPr>
                <w:b/>
                <w:bCs/>
                <w:sz w:val="20"/>
                <w:szCs w:val="20"/>
              </w:rPr>
            </w:pPr>
            <w:r w:rsidRPr="006D62E1">
              <w:rPr>
                <w:b/>
                <w:bCs/>
                <w:sz w:val="20"/>
                <w:szCs w:val="20"/>
              </w:rPr>
              <w:t>Management staff</w:t>
            </w:r>
            <w:r w:rsidR="001D16A5" w:rsidRPr="006D62E1">
              <w:rPr>
                <w:rStyle w:val="FootnoteReference"/>
                <w:b/>
                <w:bCs/>
                <w:sz w:val="20"/>
                <w:szCs w:val="20"/>
              </w:rPr>
              <w:footnoteReference w:id="93"/>
            </w:r>
          </w:p>
        </w:tc>
        <w:tc>
          <w:tcPr>
            <w:tcW w:w="0" w:type="auto"/>
          </w:tcPr>
          <w:p w14:paraId="5DA21089" w14:textId="751D82D8" w:rsidR="00DA0825" w:rsidRPr="006D62E1" w:rsidRDefault="00DA0825" w:rsidP="00DA0825">
            <w:pPr>
              <w:jc w:val="right"/>
              <w:rPr>
                <w:sz w:val="20"/>
                <w:szCs w:val="20"/>
              </w:rPr>
            </w:pPr>
            <w:r w:rsidRPr="006D62E1">
              <w:rPr>
                <w:sz w:val="20"/>
                <w:szCs w:val="20"/>
              </w:rPr>
              <w:t>$182.7</w:t>
            </w:r>
            <w:r w:rsidR="0042771E" w:rsidRPr="006D62E1">
              <w:rPr>
                <w:sz w:val="20"/>
                <w:szCs w:val="20"/>
              </w:rPr>
              <w:t>6</w:t>
            </w:r>
          </w:p>
        </w:tc>
        <w:tc>
          <w:tcPr>
            <w:tcW w:w="0" w:type="auto"/>
          </w:tcPr>
          <w:p w14:paraId="2D614E3C" w14:textId="77777777" w:rsidR="00DA0825" w:rsidRPr="006D62E1" w:rsidRDefault="00DA0825" w:rsidP="00DA0825">
            <w:pPr>
              <w:rPr>
                <w:sz w:val="20"/>
                <w:szCs w:val="20"/>
              </w:rPr>
            </w:pPr>
            <w:r w:rsidRPr="006D62E1">
              <w:rPr>
                <w:sz w:val="20"/>
                <w:szCs w:val="20"/>
              </w:rPr>
              <w:t>Scaled up from Administrative staff rate based on average weekly cash earnings for Managers vs Clerical and Administrative workers. Further details below.</w:t>
            </w:r>
          </w:p>
        </w:tc>
      </w:tr>
    </w:tbl>
    <w:p w14:paraId="553AAE97" w14:textId="77777777" w:rsidR="00DA0825" w:rsidRPr="00DA0825" w:rsidRDefault="00DA0825" w:rsidP="00DA0825"/>
    <w:p w14:paraId="4748C11B"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Administrative Staff</w:t>
      </w:r>
    </w:p>
    <w:p w14:paraId="4D24F203" w14:textId="0EE41928" w:rsidR="00DA0825" w:rsidRPr="00DA0825" w:rsidRDefault="00DA0825" w:rsidP="00DA0825">
      <w:r w:rsidRPr="00DA0825">
        <w:t xml:space="preserve">The Australian Bureau of Statistics (ABS) published 'Employee Earnings and Hours’ on 24 Jan 2024 for the period of May 2023. </w:t>
      </w:r>
      <w:hyperlink r:id="rId51" w:history="1">
        <w:r w:rsidR="00D3364A" w:rsidRPr="00592FF5">
          <w:rPr>
            <w:rStyle w:val="Hyperlink"/>
          </w:rPr>
          <w:t>https://www.abs.gov.au/statistics/labour/earnings-and-working-conditions/employee-earnings-and-hours-australia</w:t>
        </w:r>
      </w:hyperlink>
    </w:p>
    <w:p w14:paraId="1D6548B0" w14:textId="77777777" w:rsidR="00DA0825" w:rsidRPr="00DA0825" w:rsidRDefault="00DA0825" w:rsidP="00DA0825">
      <w:r w:rsidRPr="00DA0825">
        <w:t xml:space="preserve">Given that private healthcare facilities could be based in any state/territory, the national dataset was used. The relevant table is Table 7 of DataCube 4 i.e. </w:t>
      </w:r>
      <w:r w:rsidRPr="00DA0825">
        <w:rPr>
          <w:i/>
          <w:iCs/>
        </w:rPr>
        <w:t xml:space="preserve">"NON-MANAGERIAL EMPLOYEES, Number of employees, Average weekly total cash earnings, Average weekly total hours paid for, Average hourly total cash earnings-Rate of pay, industry". </w:t>
      </w:r>
      <w:r w:rsidRPr="00DA0825">
        <w:t>Two Australian and New Zealand Standard Industrial Classification (ANZSIC) divisions were considered as being relevant to the particular activities being costed:</w:t>
      </w:r>
    </w:p>
    <w:p w14:paraId="51A25B7B" w14:textId="77777777" w:rsidR="00DA0825" w:rsidRPr="00DA0825" w:rsidRDefault="00DA0825" w:rsidP="00082264">
      <w:pPr>
        <w:numPr>
          <w:ilvl w:val="0"/>
          <w:numId w:val="31"/>
        </w:numPr>
        <w:spacing w:after="480" w:line="240" w:lineRule="auto"/>
        <w:contextualSpacing/>
        <w:rPr>
          <w:kern w:val="2"/>
          <w:sz w:val="22"/>
          <w:szCs w:val="22"/>
          <w14:ligatures w14:val="standardContextual"/>
        </w:rPr>
      </w:pPr>
      <w:r w:rsidRPr="00DA0825">
        <w:rPr>
          <w:b/>
          <w:bCs/>
          <w:kern w:val="2"/>
          <w14:ligatures w14:val="standardContextual"/>
        </w:rPr>
        <w:t>Professional, Scientific and Technical Services</w:t>
      </w:r>
      <w:r w:rsidRPr="00DA0825">
        <w:rPr>
          <w:kern w:val="2"/>
          <w14:ligatures w14:val="standardContextual"/>
        </w:rPr>
        <w:t xml:space="preserve"> (ANZSIC Division M). Industry subdivisions are: Professional, Scientific and Technical Services (Except Computer System Design and Related Services), and Computer System Design and Related Services. For May 2023, the average hourly total cash earnings for this industry was </w:t>
      </w:r>
      <w:r w:rsidRPr="00DA0825">
        <w:rPr>
          <w:b/>
          <w:bCs/>
          <w:kern w:val="2"/>
          <w14:ligatures w14:val="standardContextual"/>
        </w:rPr>
        <w:t>$53.70</w:t>
      </w:r>
    </w:p>
    <w:p w14:paraId="5C9C6BD4" w14:textId="77777777" w:rsidR="00DA0825" w:rsidRPr="00DA0825" w:rsidRDefault="00DA0825" w:rsidP="00082264">
      <w:pPr>
        <w:numPr>
          <w:ilvl w:val="0"/>
          <w:numId w:val="31"/>
        </w:numPr>
        <w:spacing w:after="480" w:line="240" w:lineRule="auto"/>
        <w:contextualSpacing/>
        <w:rPr>
          <w:kern w:val="2"/>
          <w:sz w:val="22"/>
          <w:szCs w:val="22"/>
          <w14:ligatures w14:val="standardContextual"/>
        </w:rPr>
      </w:pPr>
      <w:r w:rsidRPr="00DA0825">
        <w:rPr>
          <w:b/>
          <w:bCs/>
          <w:kern w:val="2"/>
          <w14:ligatures w14:val="standardContextual"/>
        </w:rPr>
        <w:t>Health Care and Social Assistance</w:t>
      </w:r>
      <w:r w:rsidRPr="00DA0825">
        <w:rPr>
          <w:kern w:val="2"/>
          <w14:ligatures w14:val="standardContextual"/>
        </w:rPr>
        <w:t xml:space="preserve"> (ANZSIC Division Q). Industry subdivisions are: Hospitals, Medical and Other Health Care Services, Residential Care Services, and Social Assistance Services. For May 2023, the average hourly total cash earnings for this industry was </w:t>
      </w:r>
      <w:r w:rsidRPr="00DA0825">
        <w:rPr>
          <w:b/>
          <w:bCs/>
          <w:kern w:val="2"/>
          <w14:ligatures w14:val="standardContextual"/>
        </w:rPr>
        <w:t>$47.70</w:t>
      </w:r>
    </w:p>
    <w:p w14:paraId="77E17E4D" w14:textId="77777777" w:rsidR="00DA0825" w:rsidRPr="00DA0825" w:rsidRDefault="00DA0825" w:rsidP="00DA0825">
      <w:r w:rsidRPr="00DA0825">
        <w:t xml:space="preserve">It was assessed that the </w:t>
      </w:r>
      <w:r w:rsidRPr="00DA0825">
        <w:rPr>
          <w:b/>
          <w:bCs/>
        </w:rPr>
        <w:t>Health Care and Social Assistance</w:t>
      </w:r>
      <w:r w:rsidRPr="00DA0825">
        <w:t xml:space="preserve"> was the more appropriate industry division because it is the division most likely to include the hospital staff who would undertake the reporting activities within the healthcare setting.</w:t>
      </w:r>
    </w:p>
    <w:p w14:paraId="20B74B75" w14:textId="77777777" w:rsidR="00DA0825" w:rsidRPr="00DA0825" w:rsidRDefault="00DA0825" w:rsidP="00DA0825">
      <w:r w:rsidRPr="00DA0825">
        <w:t xml:space="preserve">Assuming a </w:t>
      </w:r>
      <w:r w:rsidRPr="00DA0825">
        <w:rPr>
          <w:b/>
          <w:bCs/>
        </w:rPr>
        <w:t>1.75 multiplier for on-costs</w:t>
      </w:r>
      <w:r w:rsidRPr="00DA0825">
        <w:t xml:space="preserve"> (as directed in Appendix 2 of the Regulatory Burden Measurement Framework) this translates to an hourly rate of:</w:t>
      </w:r>
    </w:p>
    <w:p w14:paraId="32D6882B" w14:textId="77777777" w:rsidR="00DA0825" w:rsidRPr="00DA0825" w:rsidRDefault="00DA0825" w:rsidP="00DA0825">
      <m:oMathPara>
        <m:oMath>
          <m:r>
            <w:rPr>
              <w:rFonts w:ascii="Cambria Math" w:hAnsi="Cambria Math"/>
            </w:rPr>
            <m:t>1.75 ×47.70=83.48</m:t>
          </m:r>
        </m:oMath>
      </m:oMathPara>
    </w:p>
    <w:p w14:paraId="6B32AA17" w14:textId="77777777" w:rsidR="00DA0825" w:rsidRPr="00DA0825" w:rsidRDefault="00DA0825" w:rsidP="00DA0825">
      <w:r w:rsidRPr="00DA0825">
        <w:t xml:space="preserve">For the purpose of the regulatory costing this rate has been </w:t>
      </w:r>
      <w:r w:rsidRPr="00DA0825">
        <w:rPr>
          <w:b/>
          <w:bCs/>
        </w:rPr>
        <w:t>assumed for</w:t>
      </w:r>
      <w:r w:rsidRPr="00DA0825">
        <w:t xml:space="preserve"> </w:t>
      </w:r>
      <w:r w:rsidRPr="00DA0825">
        <w:rPr>
          <w:b/>
          <w:bCs/>
        </w:rPr>
        <w:t>all healthcare facility populations</w:t>
      </w:r>
      <w:r w:rsidRPr="00DA0825">
        <w:t>.</w:t>
      </w:r>
    </w:p>
    <w:p w14:paraId="11B437B5"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Management staff</w:t>
      </w:r>
    </w:p>
    <w:p w14:paraId="49C9DE44" w14:textId="0C2B3E29" w:rsidR="00DA0825" w:rsidRPr="00DA0825" w:rsidRDefault="00DA0825" w:rsidP="00DA0825">
      <w:r w:rsidRPr="00DA0825">
        <w:t xml:space="preserve">The above ABS data does not include a breakdown of hourly rates for management </w:t>
      </w:r>
      <w:r w:rsidR="0007150E" w:rsidRPr="00DA0825">
        <w:t>employees but</w:t>
      </w:r>
      <w:r w:rsidRPr="00DA0825">
        <w:t xml:space="preserve"> does include a table of average weekly total cash earnings split by occupation (shown below). This allows us to see that the ratio of average Manager earnings to average Administrative worker earnings is 2,712.4 to 1,238.9 i.e. 219%. Hence have assumed the hourly rate for Management staff (inclusive of on costs) to be</w:t>
      </w:r>
    </w:p>
    <w:p w14:paraId="766A8CCC" w14:textId="70AAFA7A" w:rsidR="00DA0825" w:rsidRPr="00DA0825" w:rsidRDefault="00DA18FC" w:rsidP="00B37DCC">
      <w:pPr>
        <w:rPr>
          <w:i/>
          <w:iCs/>
          <w:color w:val="0E2841" w:themeColor="text2"/>
          <w:kern w:val="2"/>
          <w:sz w:val="18"/>
          <w:szCs w:val="18"/>
          <w14:ligatures w14:val="standardContextual"/>
        </w:rPr>
      </w:pPr>
      <m:oMathPara>
        <m:oMath>
          <m:d>
            <m:dPr>
              <m:ctrlPr>
                <w:rPr>
                  <w:rFonts w:ascii="Cambria Math" w:hAnsi="Cambria Math"/>
                  <w:i/>
                </w:rPr>
              </m:ctrlPr>
            </m:dPr>
            <m:e>
              <m:f>
                <m:fPr>
                  <m:ctrlPr>
                    <w:rPr>
                      <w:rFonts w:ascii="Cambria Math" w:hAnsi="Cambria Math"/>
                      <w:i/>
                    </w:rPr>
                  </m:ctrlPr>
                </m:fPr>
                <m:num>
                  <m:r>
                    <w:rPr>
                      <w:rFonts w:ascii="Cambria Math" w:hAnsi="Cambria Math"/>
                    </w:rPr>
                    <m:t>2712.40</m:t>
                  </m:r>
                </m:num>
                <m:den>
                  <m:r>
                    <w:rPr>
                      <w:rFonts w:ascii="Cambria Math" w:hAnsi="Cambria Math"/>
                    </w:rPr>
                    <m:t>1238.90</m:t>
                  </m:r>
                </m:den>
              </m:f>
            </m:e>
          </m:d>
          <m:r>
            <w:rPr>
              <w:rFonts w:ascii="Cambria Math" w:hAnsi="Cambria Math"/>
            </w:rPr>
            <m:t>×83.48=182.76</m:t>
          </m:r>
        </m:oMath>
      </m:oMathPara>
    </w:p>
    <w:p w14:paraId="1D7BBE3B" w14:textId="69262239" w:rsidR="00282691" w:rsidRDefault="00282691" w:rsidP="00B37DCC">
      <w:pPr>
        <w:pStyle w:val="Caption"/>
        <w:keepNext/>
      </w:pPr>
      <w:r>
        <w:t xml:space="preserve">Table </w:t>
      </w:r>
      <w:r w:rsidR="00AD3148">
        <w:t>20</w:t>
      </w:r>
      <w:r w:rsidR="00791B31">
        <w:t xml:space="preserve"> </w:t>
      </w:r>
      <w:r>
        <w:t xml:space="preserve">- </w:t>
      </w:r>
      <w:r w:rsidRPr="00BE2F30">
        <w:t>Comparison of average weekly earnings across occupation types</w:t>
      </w:r>
    </w:p>
    <w:p w14:paraId="70A86624" w14:textId="77777777" w:rsidR="00DA0825" w:rsidRPr="00DA0825" w:rsidRDefault="00DA0825" w:rsidP="00DA0825">
      <w:r w:rsidRPr="00DA0825">
        <w:rPr>
          <w:noProof/>
          <w:lang w:eastAsia="en-AU"/>
        </w:rPr>
        <w:drawing>
          <wp:inline distT="0" distB="0" distL="0" distR="0" wp14:anchorId="1110BD40" wp14:editId="4A38EA0F">
            <wp:extent cx="5077460" cy="2202815"/>
            <wp:effectExtent l="0" t="0" r="8890" b="6985"/>
            <wp:docPr id="1925016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7460" cy="2202815"/>
                    </a:xfrm>
                    <a:prstGeom prst="rect">
                      <a:avLst/>
                    </a:prstGeom>
                    <a:noFill/>
                    <a:ln>
                      <a:noFill/>
                    </a:ln>
                  </pic:spPr>
                </pic:pic>
              </a:graphicData>
            </a:graphic>
          </wp:inline>
        </w:drawing>
      </w:r>
    </w:p>
    <w:p w14:paraId="076372FC" w14:textId="77777777" w:rsidR="00DA0825" w:rsidRPr="00DA0825" w:rsidRDefault="00DA0825" w:rsidP="00DA0825">
      <w:pPr>
        <w:keepNext/>
        <w:keepLines/>
        <w:spacing w:before="360" w:line="240" w:lineRule="atLeast"/>
        <w:outlineLvl w:val="3"/>
        <w:rPr>
          <w:rFonts w:eastAsia="Cambria" w:cs="Arial"/>
          <w:b/>
          <w:bCs/>
          <w:color w:val="001871"/>
          <w:sz w:val="28"/>
          <w:szCs w:val="26"/>
        </w:rPr>
      </w:pPr>
      <w:r w:rsidRPr="006F5C98">
        <w:rPr>
          <w:rFonts w:eastAsia="Cambria" w:cs="Arial"/>
          <w:b/>
          <w:bCs/>
          <w:color w:val="001871"/>
          <w:sz w:val="28"/>
          <w:szCs w:val="26"/>
        </w:rPr>
        <w:t>Administrative Cost: Reporting</w:t>
      </w:r>
    </w:p>
    <w:p w14:paraId="0D3EE36C"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Calculation and key inputs</w:t>
      </w:r>
    </w:p>
    <w:p w14:paraId="40A770B7" w14:textId="77777777" w:rsidR="00DA0825" w:rsidRPr="00DA0825" w:rsidRDefault="00DA0825" w:rsidP="00DA0825">
      <w:r w:rsidRPr="00DA0825">
        <w:t>The effort required to report incidents has been modelled as two components:</w:t>
      </w:r>
    </w:p>
    <w:p w14:paraId="729BE515" w14:textId="77777777" w:rsidR="00DA0825" w:rsidRPr="00DA0825" w:rsidRDefault="00DA0825" w:rsidP="00082264">
      <w:pPr>
        <w:numPr>
          <w:ilvl w:val="0"/>
          <w:numId w:val="33"/>
        </w:numPr>
        <w:spacing w:after="480" w:line="240" w:lineRule="auto"/>
        <w:contextualSpacing/>
        <w:rPr>
          <w:kern w:val="2"/>
          <w14:ligatures w14:val="standardContextual"/>
        </w:rPr>
      </w:pPr>
      <w:r w:rsidRPr="00DA0825">
        <w:rPr>
          <w:kern w:val="2"/>
          <w14:ligatures w14:val="standardContextual"/>
        </w:rPr>
        <w:t xml:space="preserve">The </w:t>
      </w:r>
      <w:r w:rsidRPr="00DA0825">
        <w:rPr>
          <w:b/>
          <w:bCs/>
          <w:kern w:val="2"/>
          <w14:ligatures w14:val="standardContextual"/>
        </w:rPr>
        <w:t>review</w:t>
      </w:r>
      <w:r w:rsidRPr="00DA0825">
        <w:rPr>
          <w:kern w:val="2"/>
          <w14:ligatures w14:val="standardContextual"/>
        </w:rPr>
        <w:t xml:space="preserve"> of each reported incident by </w:t>
      </w:r>
      <w:r w:rsidRPr="00DA0825">
        <w:rPr>
          <w:b/>
          <w:bCs/>
          <w:kern w:val="2"/>
          <w14:ligatures w14:val="standardContextual"/>
        </w:rPr>
        <w:t>Management staff</w:t>
      </w:r>
    </w:p>
    <w:p w14:paraId="61B05734" w14:textId="77777777" w:rsidR="00DA0825" w:rsidRPr="00DA0825" w:rsidRDefault="00DA0825" w:rsidP="00082264">
      <w:pPr>
        <w:numPr>
          <w:ilvl w:val="0"/>
          <w:numId w:val="33"/>
        </w:numPr>
        <w:spacing w:after="480" w:line="240" w:lineRule="auto"/>
        <w:contextualSpacing/>
        <w:rPr>
          <w:kern w:val="2"/>
          <w14:ligatures w14:val="standardContextual"/>
        </w:rPr>
      </w:pPr>
      <w:r w:rsidRPr="00DA0825">
        <w:rPr>
          <w:kern w:val="2"/>
          <w14:ligatures w14:val="standardContextual"/>
        </w:rPr>
        <w:t xml:space="preserve">The </w:t>
      </w:r>
      <w:r w:rsidRPr="00DA0825">
        <w:rPr>
          <w:b/>
          <w:bCs/>
          <w:kern w:val="2"/>
          <w14:ligatures w14:val="standardContextual"/>
        </w:rPr>
        <w:t>submission</w:t>
      </w:r>
      <w:r w:rsidRPr="00DA0825">
        <w:rPr>
          <w:kern w:val="2"/>
          <w14:ligatures w14:val="standardContextual"/>
        </w:rPr>
        <w:t xml:space="preserve"> of the report by </w:t>
      </w:r>
      <w:r w:rsidRPr="00DA0825">
        <w:rPr>
          <w:b/>
          <w:bCs/>
          <w:kern w:val="2"/>
          <w14:ligatures w14:val="standardContextual"/>
        </w:rPr>
        <w:t>Administrative staff</w:t>
      </w:r>
      <w:r w:rsidRPr="00DA0825">
        <w:rPr>
          <w:kern w:val="2"/>
          <w14:ligatures w14:val="standardContextual"/>
        </w:rPr>
        <w:t>.</w:t>
      </w:r>
    </w:p>
    <w:p w14:paraId="450E5A67" w14:textId="77777777" w:rsidR="00DA0825" w:rsidRPr="00DA0825" w:rsidRDefault="00DA0825" w:rsidP="00DA0825">
      <w:pPr>
        <w:rPr>
          <w:rFonts w:eastAsiaTheme="minorEastAsia"/>
        </w:rPr>
      </w:pPr>
      <w:r w:rsidRPr="00DA0825">
        <w:t xml:space="preserve">In both cases the standard way to calculate administrative costs is as </w:t>
      </w:r>
      <m:oMath>
        <m:r>
          <w:rPr>
            <w:rFonts w:ascii="Cambria Math" w:hAnsi="Cambria Math"/>
          </w:rPr>
          <m:t>Price ×Cost</m:t>
        </m:r>
      </m:oMath>
      <w:r w:rsidRPr="00DA0825">
        <w:rPr>
          <w:rFonts w:eastAsiaTheme="minorEastAsia"/>
        </w:rPr>
        <w:t xml:space="preserve"> where</w:t>
      </w:r>
    </w:p>
    <w:p w14:paraId="52AF0C91" w14:textId="77777777" w:rsidR="00DA0825" w:rsidRPr="00DA0825" w:rsidRDefault="00DA0825" w:rsidP="00082264">
      <w:pPr>
        <w:numPr>
          <w:ilvl w:val="0"/>
          <w:numId w:val="30"/>
        </w:numPr>
        <w:spacing w:after="480" w:line="240" w:lineRule="auto"/>
        <w:contextualSpacing/>
        <w:rPr>
          <w:kern w:val="2"/>
          <w:sz w:val="22"/>
          <w:szCs w:val="22"/>
          <w14:ligatures w14:val="standardContextual"/>
        </w:rPr>
      </w:pPr>
      <m:oMath>
        <m:r>
          <w:rPr>
            <w:rFonts w:ascii="Cambria Math" w:hAnsi="Cambria Math"/>
            <w:kern w:val="2"/>
            <w:sz w:val="22"/>
            <w:szCs w:val="22"/>
            <w14:ligatures w14:val="standardContextual"/>
          </w:rPr>
          <m:t>Price =Time required ×Labour Cost</m:t>
        </m:r>
      </m:oMath>
    </w:p>
    <w:p w14:paraId="2081E6C7" w14:textId="77777777" w:rsidR="00DA0825" w:rsidRPr="00DA0825" w:rsidRDefault="00DA0825" w:rsidP="00082264">
      <w:pPr>
        <w:numPr>
          <w:ilvl w:val="0"/>
          <w:numId w:val="30"/>
        </w:numPr>
        <w:spacing w:after="480" w:line="240" w:lineRule="auto"/>
        <w:contextualSpacing/>
        <w:rPr>
          <w:kern w:val="2"/>
          <w:sz w:val="22"/>
          <w:szCs w:val="22"/>
          <w14:ligatures w14:val="standardContextual"/>
        </w:rPr>
      </w:pPr>
      <m:oMath>
        <m:r>
          <w:rPr>
            <w:rFonts w:ascii="Cambria Math" w:hAnsi="Cambria Math"/>
            <w:kern w:val="2"/>
            <w:sz w:val="22"/>
            <w:szCs w:val="22"/>
            <w14:ligatures w14:val="standardContextual"/>
          </w:rPr>
          <m:t>Cost=Times performed ×Number of facilities ×Number of staff</m:t>
        </m:r>
      </m:oMath>
    </w:p>
    <w:p w14:paraId="327F1A70" w14:textId="77777777" w:rsidR="00DA0825" w:rsidRPr="00DA0825" w:rsidRDefault="00DA0825" w:rsidP="00DA0825">
      <w:r w:rsidRPr="00DA0825">
        <w:t>The effort of reviewing each reported incident is the same in either the batch or on-occurrence approach as it needs to be done for every incident individually.</w:t>
      </w:r>
    </w:p>
    <w:p w14:paraId="512612BA" w14:textId="77777777" w:rsidR="00DA0825" w:rsidRPr="00DA0825" w:rsidRDefault="00DA0825" w:rsidP="00DA0825">
      <w:r w:rsidRPr="00DA0825">
        <w:t>The submission of reports though differs based on whether there’s any saving when reporting incidents in bulk.</w:t>
      </w:r>
    </w:p>
    <w:p w14:paraId="3CA953D2" w14:textId="328BA51C" w:rsidR="00DA0825" w:rsidRPr="00DA0825" w:rsidRDefault="00DA0825" w:rsidP="00DA0825">
      <w:r w:rsidRPr="00DA0825">
        <w:t>We have assumed in the RBE that no further effort is required by the reporting facility after their report submission i.e.</w:t>
      </w:r>
      <w:r w:rsidR="006F3156">
        <w:t>,</w:t>
      </w:r>
      <w:r w:rsidRPr="00DA0825">
        <w:t xml:space="preserve"> any costs related to follow up discussions with the TGA have been excluded from the estimate on the basis that only a very small proportion of reported incidents result in further action being required.</w:t>
      </w:r>
    </w:p>
    <w:p w14:paraId="6EF4C6A1" w14:textId="3C00EAA6" w:rsidR="00282691" w:rsidRDefault="00282691" w:rsidP="00B37DCC">
      <w:pPr>
        <w:pStyle w:val="Caption"/>
        <w:keepNext/>
      </w:pPr>
      <w:r>
        <w:t xml:space="preserve">Table </w:t>
      </w:r>
      <w:r w:rsidR="00AD3148">
        <w:t>21</w:t>
      </w:r>
      <w:r>
        <w:t xml:space="preserve"> - </w:t>
      </w:r>
      <w:r w:rsidRPr="00A456D1">
        <w:t xml:space="preserve">Inputs into labour cost for </w:t>
      </w:r>
      <w:r w:rsidRPr="00900982">
        <w:t>incident</w:t>
      </w:r>
      <w:r w:rsidRPr="00A456D1">
        <w:t xml:space="preserve"> reporting</w:t>
      </w:r>
    </w:p>
    <w:tbl>
      <w:tblPr>
        <w:tblStyle w:val="TableGrid"/>
        <w:tblW w:w="0" w:type="auto"/>
        <w:tblLook w:val="04A0" w:firstRow="1" w:lastRow="0" w:firstColumn="1" w:lastColumn="0" w:noHBand="0" w:noVBand="1"/>
      </w:tblPr>
      <w:tblGrid>
        <w:gridCol w:w="1782"/>
        <w:gridCol w:w="1327"/>
        <w:gridCol w:w="1312"/>
        <w:gridCol w:w="4595"/>
      </w:tblGrid>
      <w:tr w:rsidR="009163AB" w:rsidRPr="00DA0825" w14:paraId="1B6D4F54" w14:textId="77777777" w:rsidTr="001615EC">
        <w:tc>
          <w:tcPr>
            <w:tcW w:w="0" w:type="auto"/>
            <w:tcBorders>
              <w:bottom w:val="single" w:sz="4" w:space="0" w:color="auto"/>
            </w:tcBorders>
            <w:shd w:val="clear" w:color="auto" w:fill="0E2841" w:themeFill="text2"/>
          </w:tcPr>
          <w:p w14:paraId="1C12955F" w14:textId="77777777" w:rsidR="00DA0825" w:rsidRPr="009616B8" w:rsidRDefault="00DA0825" w:rsidP="00DA0825">
            <w:pPr>
              <w:rPr>
                <w:b/>
                <w:bCs/>
                <w:color w:val="FFFFFF" w:themeColor="background1"/>
                <w:sz w:val="20"/>
                <w:szCs w:val="20"/>
              </w:rPr>
            </w:pPr>
            <w:r w:rsidRPr="009616B8">
              <w:rPr>
                <w:b/>
                <w:bCs/>
                <w:color w:val="FFFFFF" w:themeColor="background1"/>
                <w:sz w:val="20"/>
                <w:szCs w:val="20"/>
              </w:rPr>
              <w:t>Item</w:t>
            </w:r>
          </w:p>
        </w:tc>
        <w:tc>
          <w:tcPr>
            <w:tcW w:w="0" w:type="auto"/>
            <w:tcBorders>
              <w:bottom w:val="single" w:sz="4" w:space="0" w:color="auto"/>
            </w:tcBorders>
            <w:shd w:val="clear" w:color="auto" w:fill="0E2841" w:themeFill="text2"/>
          </w:tcPr>
          <w:p w14:paraId="0FF9310F" w14:textId="77777777" w:rsidR="00DA0825" w:rsidRPr="009616B8" w:rsidRDefault="00DA0825" w:rsidP="00DA0825">
            <w:pPr>
              <w:rPr>
                <w:b/>
                <w:bCs/>
                <w:color w:val="FFFFFF" w:themeColor="background1"/>
                <w:sz w:val="20"/>
                <w:szCs w:val="20"/>
              </w:rPr>
            </w:pPr>
            <w:r w:rsidRPr="009616B8">
              <w:rPr>
                <w:b/>
                <w:bCs/>
                <w:color w:val="FFFFFF" w:themeColor="background1"/>
                <w:sz w:val="20"/>
                <w:szCs w:val="20"/>
              </w:rPr>
              <w:t>Component</w:t>
            </w:r>
          </w:p>
        </w:tc>
        <w:tc>
          <w:tcPr>
            <w:tcW w:w="0" w:type="auto"/>
            <w:tcBorders>
              <w:bottom w:val="single" w:sz="4" w:space="0" w:color="auto"/>
            </w:tcBorders>
            <w:shd w:val="clear" w:color="auto" w:fill="0E2841" w:themeFill="text2"/>
          </w:tcPr>
          <w:p w14:paraId="65DBD43B" w14:textId="77777777" w:rsidR="00DA0825" w:rsidRPr="009616B8" w:rsidRDefault="00DA0825" w:rsidP="00DA0825">
            <w:pPr>
              <w:jc w:val="right"/>
              <w:rPr>
                <w:b/>
                <w:bCs/>
                <w:color w:val="FFFFFF" w:themeColor="background1"/>
                <w:sz w:val="20"/>
                <w:szCs w:val="20"/>
              </w:rPr>
            </w:pPr>
            <w:r w:rsidRPr="009616B8">
              <w:rPr>
                <w:b/>
                <w:bCs/>
                <w:color w:val="FFFFFF" w:themeColor="background1"/>
                <w:sz w:val="20"/>
                <w:szCs w:val="20"/>
              </w:rPr>
              <w:t>Value</w:t>
            </w:r>
          </w:p>
        </w:tc>
        <w:tc>
          <w:tcPr>
            <w:tcW w:w="0" w:type="auto"/>
            <w:tcBorders>
              <w:bottom w:val="single" w:sz="4" w:space="0" w:color="auto"/>
            </w:tcBorders>
            <w:shd w:val="clear" w:color="auto" w:fill="0E2841" w:themeFill="text2"/>
          </w:tcPr>
          <w:p w14:paraId="3D69B5B9" w14:textId="77777777" w:rsidR="00DA0825" w:rsidRPr="009616B8" w:rsidRDefault="00DA0825" w:rsidP="00DA0825">
            <w:pPr>
              <w:rPr>
                <w:b/>
                <w:bCs/>
                <w:color w:val="FFFFFF" w:themeColor="background1"/>
                <w:sz w:val="20"/>
                <w:szCs w:val="20"/>
              </w:rPr>
            </w:pPr>
            <w:r w:rsidRPr="009616B8">
              <w:rPr>
                <w:b/>
                <w:bCs/>
                <w:color w:val="FFFFFF" w:themeColor="background1"/>
                <w:sz w:val="20"/>
                <w:szCs w:val="20"/>
              </w:rPr>
              <w:t>Basis</w:t>
            </w:r>
          </w:p>
        </w:tc>
      </w:tr>
      <w:tr w:rsidR="009163AB" w:rsidRPr="00DA0825" w14:paraId="66491D02" w14:textId="77777777" w:rsidTr="001615EC">
        <w:tc>
          <w:tcPr>
            <w:tcW w:w="0" w:type="auto"/>
            <w:tcBorders>
              <w:bottom w:val="nil"/>
            </w:tcBorders>
            <w:shd w:val="clear" w:color="auto" w:fill="F2CEED" w:themeFill="accent5" w:themeFillTint="33"/>
          </w:tcPr>
          <w:p w14:paraId="4B890A2E" w14:textId="77777777" w:rsidR="00DA0825" w:rsidRPr="009616B8" w:rsidRDefault="00DA0825" w:rsidP="00DA0825">
            <w:pPr>
              <w:rPr>
                <w:b/>
                <w:bCs/>
                <w:sz w:val="20"/>
                <w:szCs w:val="20"/>
              </w:rPr>
            </w:pPr>
            <w:r w:rsidRPr="009616B8">
              <w:rPr>
                <w:b/>
                <w:bCs/>
                <w:sz w:val="20"/>
                <w:szCs w:val="20"/>
              </w:rPr>
              <w:t>Report review</w:t>
            </w:r>
          </w:p>
        </w:tc>
        <w:tc>
          <w:tcPr>
            <w:tcW w:w="0" w:type="auto"/>
            <w:shd w:val="clear" w:color="auto" w:fill="F2CEED" w:themeFill="accent5" w:themeFillTint="33"/>
          </w:tcPr>
          <w:p w14:paraId="6358572F" w14:textId="77777777" w:rsidR="00DA0825" w:rsidRPr="009616B8" w:rsidRDefault="00DA0825" w:rsidP="00DA0825">
            <w:pPr>
              <w:rPr>
                <w:sz w:val="20"/>
                <w:szCs w:val="20"/>
              </w:rPr>
            </w:pPr>
            <w:r w:rsidRPr="009616B8">
              <w:rPr>
                <w:sz w:val="20"/>
                <w:szCs w:val="20"/>
              </w:rPr>
              <w:t>Minutes</w:t>
            </w:r>
          </w:p>
        </w:tc>
        <w:tc>
          <w:tcPr>
            <w:tcW w:w="0" w:type="auto"/>
          </w:tcPr>
          <w:p w14:paraId="4F15830F" w14:textId="070056A3" w:rsidR="00DA0825" w:rsidRPr="009616B8" w:rsidRDefault="009113B3" w:rsidP="00DA0825">
            <w:pPr>
              <w:jc w:val="right"/>
              <w:rPr>
                <w:sz w:val="20"/>
                <w:szCs w:val="20"/>
              </w:rPr>
            </w:pPr>
            <w:r>
              <w:rPr>
                <w:sz w:val="20"/>
                <w:szCs w:val="20"/>
              </w:rPr>
              <w:t>50</w:t>
            </w:r>
          </w:p>
        </w:tc>
        <w:tc>
          <w:tcPr>
            <w:tcW w:w="0" w:type="auto"/>
          </w:tcPr>
          <w:p w14:paraId="0751C040" w14:textId="094A7875" w:rsidR="00DA0825" w:rsidRPr="00577524" w:rsidRDefault="00F44DCA" w:rsidP="00DA0825">
            <w:pPr>
              <w:rPr>
                <w:sz w:val="20"/>
                <w:szCs w:val="20"/>
              </w:rPr>
            </w:pPr>
            <w:r w:rsidRPr="00577524">
              <w:rPr>
                <w:sz w:val="20"/>
                <w:szCs w:val="20"/>
              </w:rPr>
              <w:t xml:space="preserve">Based on </w:t>
            </w:r>
            <w:r w:rsidR="002A0CE3" w:rsidRPr="00577524">
              <w:rPr>
                <w:sz w:val="20"/>
                <w:szCs w:val="20"/>
              </w:rPr>
              <w:t xml:space="preserve">initial input from </w:t>
            </w:r>
            <w:r w:rsidR="009163AB" w:rsidRPr="00577524">
              <w:rPr>
                <w:sz w:val="20"/>
                <w:szCs w:val="20"/>
              </w:rPr>
              <w:t>Australian Private Hospitals Association (A</w:t>
            </w:r>
            <w:r w:rsidR="002A0CE3" w:rsidRPr="00577524">
              <w:rPr>
                <w:sz w:val="20"/>
                <w:szCs w:val="20"/>
              </w:rPr>
              <w:t>PHA</w:t>
            </w:r>
            <w:r w:rsidR="009163AB" w:rsidRPr="00577524">
              <w:rPr>
                <w:sz w:val="20"/>
                <w:szCs w:val="20"/>
              </w:rPr>
              <w:t>)</w:t>
            </w:r>
            <w:r w:rsidR="002A0CE3" w:rsidRPr="00577524">
              <w:rPr>
                <w:sz w:val="20"/>
                <w:szCs w:val="20"/>
              </w:rPr>
              <w:t xml:space="preserve"> members and further </w:t>
            </w:r>
            <w:r w:rsidRPr="00577524">
              <w:rPr>
                <w:sz w:val="20"/>
                <w:szCs w:val="20"/>
              </w:rPr>
              <w:t>information from</w:t>
            </w:r>
            <w:r w:rsidR="00485345" w:rsidRPr="00577524">
              <w:rPr>
                <w:sz w:val="20"/>
                <w:szCs w:val="20"/>
              </w:rPr>
              <w:t xml:space="preserve"> the </w:t>
            </w:r>
            <w:r w:rsidR="002A0CE3" w:rsidRPr="00577524">
              <w:rPr>
                <w:sz w:val="20"/>
                <w:szCs w:val="20"/>
              </w:rPr>
              <w:t xml:space="preserve">interjurisdictional steering committee </w:t>
            </w:r>
            <w:r w:rsidR="001C70AF">
              <w:rPr>
                <w:sz w:val="20"/>
                <w:szCs w:val="20"/>
              </w:rPr>
              <w:t>representatives</w:t>
            </w:r>
          </w:p>
        </w:tc>
      </w:tr>
      <w:tr w:rsidR="009163AB" w:rsidRPr="00DA0825" w14:paraId="38BF405F" w14:textId="77777777" w:rsidTr="001615EC">
        <w:tc>
          <w:tcPr>
            <w:tcW w:w="0" w:type="auto"/>
            <w:tcBorders>
              <w:top w:val="nil"/>
              <w:bottom w:val="nil"/>
            </w:tcBorders>
            <w:shd w:val="clear" w:color="auto" w:fill="F2CEED" w:themeFill="accent5" w:themeFillTint="33"/>
          </w:tcPr>
          <w:p w14:paraId="1DEAB3B0" w14:textId="77777777" w:rsidR="00DA0825" w:rsidRPr="009616B8" w:rsidRDefault="00DA0825" w:rsidP="00DA0825">
            <w:pPr>
              <w:rPr>
                <w:b/>
                <w:bCs/>
                <w:sz w:val="20"/>
                <w:szCs w:val="20"/>
              </w:rPr>
            </w:pPr>
          </w:p>
        </w:tc>
        <w:tc>
          <w:tcPr>
            <w:tcW w:w="0" w:type="auto"/>
            <w:shd w:val="clear" w:color="auto" w:fill="F2CEED" w:themeFill="accent5" w:themeFillTint="33"/>
          </w:tcPr>
          <w:p w14:paraId="4FFC383C" w14:textId="77777777" w:rsidR="00DA0825" w:rsidRPr="009616B8" w:rsidRDefault="00DA0825" w:rsidP="00DA0825">
            <w:pPr>
              <w:rPr>
                <w:sz w:val="20"/>
                <w:szCs w:val="20"/>
              </w:rPr>
            </w:pPr>
            <w:r w:rsidRPr="009616B8">
              <w:rPr>
                <w:sz w:val="20"/>
                <w:szCs w:val="20"/>
              </w:rPr>
              <w:t>Hourly rate</w:t>
            </w:r>
          </w:p>
        </w:tc>
        <w:tc>
          <w:tcPr>
            <w:tcW w:w="0" w:type="auto"/>
          </w:tcPr>
          <w:p w14:paraId="1A0632B6" w14:textId="77777777" w:rsidR="00DA0825" w:rsidRPr="009616B8" w:rsidRDefault="00DA0825" w:rsidP="00DA0825">
            <w:pPr>
              <w:jc w:val="right"/>
              <w:rPr>
                <w:sz w:val="20"/>
                <w:szCs w:val="20"/>
              </w:rPr>
            </w:pPr>
            <w:r w:rsidRPr="009616B8">
              <w:rPr>
                <w:sz w:val="20"/>
                <w:szCs w:val="20"/>
              </w:rPr>
              <w:t>$182.77</w:t>
            </w:r>
          </w:p>
        </w:tc>
        <w:tc>
          <w:tcPr>
            <w:tcW w:w="0" w:type="auto"/>
          </w:tcPr>
          <w:p w14:paraId="7AD42C95" w14:textId="77777777" w:rsidR="00DA0825" w:rsidRPr="009616B8" w:rsidRDefault="00DA0825" w:rsidP="00DA0825">
            <w:pPr>
              <w:rPr>
                <w:sz w:val="20"/>
                <w:szCs w:val="20"/>
              </w:rPr>
            </w:pPr>
            <w:r w:rsidRPr="009616B8">
              <w:rPr>
                <w:sz w:val="20"/>
                <w:szCs w:val="20"/>
              </w:rPr>
              <w:t>Management staff rate (per Labour Costs sections)</w:t>
            </w:r>
          </w:p>
        </w:tc>
      </w:tr>
      <w:tr w:rsidR="009163AB" w:rsidRPr="00DA0825" w14:paraId="646CA33B" w14:textId="77777777" w:rsidTr="001615EC">
        <w:tc>
          <w:tcPr>
            <w:tcW w:w="0" w:type="auto"/>
            <w:tcBorders>
              <w:top w:val="nil"/>
              <w:bottom w:val="single" w:sz="4" w:space="0" w:color="auto"/>
            </w:tcBorders>
            <w:shd w:val="clear" w:color="auto" w:fill="F2CEED" w:themeFill="accent5" w:themeFillTint="33"/>
          </w:tcPr>
          <w:p w14:paraId="1C155A40" w14:textId="77777777" w:rsidR="00DA0825" w:rsidRPr="009616B8" w:rsidRDefault="00DA0825" w:rsidP="00DA0825">
            <w:pPr>
              <w:rPr>
                <w:b/>
                <w:bCs/>
                <w:sz w:val="20"/>
                <w:szCs w:val="20"/>
              </w:rPr>
            </w:pPr>
          </w:p>
        </w:tc>
        <w:tc>
          <w:tcPr>
            <w:tcW w:w="0" w:type="auto"/>
            <w:shd w:val="clear" w:color="auto" w:fill="F2CEED" w:themeFill="accent5" w:themeFillTint="33"/>
          </w:tcPr>
          <w:p w14:paraId="7A3405A4" w14:textId="77777777" w:rsidR="00DA0825" w:rsidRPr="009616B8" w:rsidRDefault="00DA0825" w:rsidP="00DA0825">
            <w:pPr>
              <w:rPr>
                <w:sz w:val="20"/>
                <w:szCs w:val="20"/>
              </w:rPr>
            </w:pPr>
            <w:r w:rsidRPr="009616B8">
              <w:rPr>
                <w:sz w:val="20"/>
                <w:szCs w:val="20"/>
              </w:rPr>
              <w:t>Frequency</w:t>
            </w:r>
          </w:p>
        </w:tc>
        <w:tc>
          <w:tcPr>
            <w:tcW w:w="0" w:type="auto"/>
          </w:tcPr>
          <w:p w14:paraId="38C94DDA" w14:textId="77777777" w:rsidR="00DA0825" w:rsidRPr="009616B8" w:rsidRDefault="00DA0825" w:rsidP="00DA0825">
            <w:pPr>
              <w:jc w:val="right"/>
              <w:rPr>
                <w:sz w:val="20"/>
                <w:szCs w:val="20"/>
                <w:highlight w:val="magenta"/>
              </w:rPr>
            </w:pPr>
            <w:r w:rsidRPr="009616B8">
              <w:rPr>
                <w:sz w:val="20"/>
                <w:szCs w:val="20"/>
              </w:rPr>
              <w:t>Expected # of incidents</w:t>
            </w:r>
          </w:p>
        </w:tc>
        <w:tc>
          <w:tcPr>
            <w:tcW w:w="0" w:type="auto"/>
          </w:tcPr>
          <w:p w14:paraId="1DBC85FB" w14:textId="77777777" w:rsidR="00DA0825" w:rsidRPr="009616B8" w:rsidRDefault="00DA0825" w:rsidP="00DA0825">
            <w:pPr>
              <w:rPr>
                <w:sz w:val="20"/>
                <w:szCs w:val="20"/>
              </w:rPr>
            </w:pPr>
            <w:r w:rsidRPr="009616B8">
              <w:rPr>
                <w:sz w:val="20"/>
                <w:szCs w:val="20"/>
              </w:rPr>
              <w:t>Needs to be done for each incident. Details in the next table</w:t>
            </w:r>
          </w:p>
        </w:tc>
      </w:tr>
      <w:tr w:rsidR="009163AB" w:rsidRPr="00DA0825" w14:paraId="56E7377F" w14:textId="77777777" w:rsidTr="001615EC">
        <w:tc>
          <w:tcPr>
            <w:tcW w:w="0" w:type="auto"/>
            <w:tcBorders>
              <w:bottom w:val="nil"/>
            </w:tcBorders>
            <w:shd w:val="clear" w:color="auto" w:fill="F2CEED" w:themeFill="accent5" w:themeFillTint="33"/>
          </w:tcPr>
          <w:p w14:paraId="36BEFF5A" w14:textId="77777777" w:rsidR="00DA0825" w:rsidRPr="009616B8" w:rsidRDefault="00DA0825" w:rsidP="00DA0825">
            <w:pPr>
              <w:rPr>
                <w:b/>
                <w:bCs/>
                <w:sz w:val="20"/>
                <w:szCs w:val="20"/>
              </w:rPr>
            </w:pPr>
            <w:r w:rsidRPr="009616B8">
              <w:rPr>
                <w:b/>
                <w:bCs/>
                <w:sz w:val="20"/>
                <w:szCs w:val="20"/>
              </w:rPr>
              <w:t>Report submission on occurrence</w:t>
            </w:r>
          </w:p>
        </w:tc>
        <w:tc>
          <w:tcPr>
            <w:tcW w:w="0" w:type="auto"/>
            <w:shd w:val="clear" w:color="auto" w:fill="F2CEED" w:themeFill="accent5" w:themeFillTint="33"/>
          </w:tcPr>
          <w:p w14:paraId="5856EF45" w14:textId="77777777" w:rsidR="00DA0825" w:rsidRPr="009616B8" w:rsidRDefault="00DA0825" w:rsidP="00DA0825">
            <w:pPr>
              <w:rPr>
                <w:sz w:val="20"/>
                <w:szCs w:val="20"/>
              </w:rPr>
            </w:pPr>
            <w:r w:rsidRPr="009616B8">
              <w:rPr>
                <w:sz w:val="20"/>
                <w:szCs w:val="20"/>
              </w:rPr>
              <w:t>Minutes</w:t>
            </w:r>
          </w:p>
        </w:tc>
        <w:tc>
          <w:tcPr>
            <w:tcW w:w="0" w:type="auto"/>
          </w:tcPr>
          <w:p w14:paraId="1A260029" w14:textId="77777777" w:rsidR="00DA0825" w:rsidRPr="009616B8" w:rsidRDefault="00DA0825" w:rsidP="00DA0825">
            <w:pPr>
              <w:jc w:val="right"/>
              <w:rPr>
                <w:sz w:val="20"/>
                <w:szCs w:val="20"/>
              </w:rPr>
            </w:pPr>
            <w:r w:rsidRPr="009616B8">
              <w:rPr>
                <w:sz w:val="20"/>
                <w:szCs w:val="20"/>
              </w:rPr>
              <w:t>22.5</w:t>
            </w:r>
          </w:p>
        </w:tc>
        <w:tc>
          <w:tcPr>
            <w:tcW w:w="0" w:type="auto"/>
          </w:tcPr>
          <w:p w14:paraId="3EE0F36B" w14:textId="7C06D9D1" w:rsidR="00DA0825" w:rsidRPr="009616B8" w:rsidRDefault="0098758B" w:rsidP="00DA0825">
            <w:pPr>
              <w:rPr>
                <w:sz w:val="20"/>
                <w:szCs w:val="20"/>
              </w:rPr>
            </w:pPr>
            <w:r w:rsidRPr="009616B8">
              <w:rPr>
                <w:sz w:val="20"/>
                <w:szCs w:val="20"/>
              </w:rPr>
              <w:t xml:space="preserve">Based </w:t>
            </w:r>
            <w:r w:rsidR="00765B6B" w:rsidRPr="009616B8">
              <w:rPr>
                <w:sz w:val="20"/>
                <w:szCs w:val="20"/>
              </w:rPr>
              <w:t>on input from APHA</w:t>
            </w:r>
            <w:r w:rsidR="0010688A">
              <w:rPr>
                <w:sz w:val="20"/>
                <w:szCs w:val="20"/>
              </w:rPr>
              <w:t xml:space="preserve">, </w:t>
            </w:r>
            <w:r w:rsidR="0010688A" w:rsidRPr="0010688A">
              <w:rPr>
                <w:sz w:val="20"/>
                <w:szCs w:val="20"/>
              </w:rPr>
              <w:t>interjurisdictional steering committee representatives</w:t>
            </w:r>
            <w:r w:rsidR="00765B6B" w:rsidRPr="009616B8">
              <w:rPr>
                <w:sz w:val="20"/>
                <w:szCs w:val="20"/>
              </w:rPr>
              <w:t xml:space="preserve"> and </w:t>
            </w:r>
            <w:r w:rsidR="00E74829" w:rsidRPr="00577524">
              <w:rPr>
                <w:sz w:val="20"/>
                <w:szCs w:val="20"/>
              </w:rPr>
              <w:t>Medical Software Industry Association Ltd (MSIA)</w:t>
            </w:r>
            <w:r w:rsidR="00765B6B" w:rsidRPr="009616B8">
              <w:rPr>
                <w:sz w:val="20"/>
                <w:szCs w:val="20"/>
              </w:rPr>
              <w:t xml:space="preserve"> members</w:t>
            </w:r>
          </w:p>
        </w:tc>
      </w:tr>
      <w:tr w:rsidR="009163AB" w:rsidRPr="00DA0825" w14:paraId="1B79BB2D" w14:textId="77777777" w:rsidTr="001615EC">
        <w:tc>
          <w:tcPr>
            <w:tcW w:w="0" w:type="auto"/>
            <w:tcBorders>
              <w:top w:val="nil"/>
              <w:bottom w:val="nil"/>
            </w:tcBorders>
            <w:shd w:val="clear" w:color="auto" w:fill="F2CEED" w:themeFill="accent5" w:themeFillTint="33"/>
          </w:tcPr>
          <w:p w14:paraId="7F48E4FD" w14:textId="77777777" w:rsidR="00DA0825" w:rsidRPr="009616B8" w:rsidRDefault="00DA0825" w:rsidP="00DA0825">
            <w:pPr>
              <w:rPr>
                <w:b/>
                <w:bCs/>
                <w:sz w:val="20"/>
                <w:szCs w:val="20"/>
              </w:rPr>
            </w:pPr>
          </w:p>
        </w:tc>
        <w:tc>
          <w:tcPr>
            <w:tcW w:w="0" w:type="auto"/>
            <w:shd w:val="clear" w:color="auto" w:fill="F2CEED" w:themeFill="accent5" w:themeFillTint="33"/>
          </w:tcPr>
          <w:p w14:paraId="2A85C6A8" w14:textId="77777777" w:rsidR="00DA0825" w:rsidRPr="009616B8" w:rsidRDefault="00DA0825" w:rsidP="00DA0825">
            <w:pPr>
              <w:rPr>
                <w:sz w:val="20"/>
                <w:szCs w:val="20"/>
              </w:rPr>
            </w:pPr>
            <w:r w:rsidRPr="009616B8">
              <w:rPr>
                <w:sz w:val="20"/>
                <w:szCs w:val="20"/>
              </w:rPr>
              <w:t>Hourly rate</w:t>
            </w:r>
          </w:p>
        </w:tc>
        <w:tc>
          <w:tcPr>
            <w:tcW w:w="0" w:type="auto"/>
          </w:tcPr>
          <w:p w14:paraId="6922E189" w14:textId="77777777" w:rsidR="00DA0825" w:rsidRPr="009616B8" w:rsidRDefault="00DA0825" w:rsidP="00DA0825">
            <w:pPr>
              <w:jc w:val="right"/>
              <w:rPr>
                <w:sz w:val="20"/>
                <w:szCs w:val="20"/>
              </w:rPr>
            </w:pPr>
            <w:r w:rsidRPr="009616B8">
              <w:rPr>
                <w:sz w:val="20"/>
                <w:szCs w:val="20"/>
              </w:rPr>
              <w:t>$83.48</w:t>
            </w:r>
          </w:p>
        </w:tc>
        <w:tc>
          <w:tcPr>
            <w:tcW w:w="0" w:type="auto"/>
          </w:tcPr>
          <w:p w14:paraId="7A33420C" w14:textId="77777777" w:rsidR="00DA0825" w:rsidRPr="009616B8" w:rsidRDefault="00DA0825" w:rsidP="00DA0825">
            <w:pPr>
              <w:rPr>
                <w:sz w:val="20"/>
                <w:szCs w:val="20"/>
              </w:rPr>
            </w:pPr>
            <w:r w:rsidRPr="009616B8">
              <w:rPr>
                <w:sz w:val="20"/>
                <w:szCs w:val="20"/>
              </w:rPr>
              <w:t>Administrative staff rate (per Labour Costs section)</w:t>
            </w:r>
          </w:p>
        </w:tc>
      </w:tr>
      <w:tr w:rsidR="009163AB" w:rsidRPr="00DA0825" w14:paraId="4AB3A5E8" w14:textId="77777777" w:rsidTr="00BA6BB8">
        <w:tc>
          <w:tcPr>
            <w:tcW w:w="0" w:type="auto"/>
            <w:tcBorders>
              <w:top w:val="nil"/>
              <w:bottom w:val="single" w:sz="4" w:space="0" w:color="auto"/>
            </w:tcBorders>
            <w:shd w:val="clear" w:color="auto" w:fill="F2CEED" w:themeFill="accent5" w:themeFillTint="33"/>
          </w:tcPr>
          <w:p w14:paraId="280E67B8" w14:textId="77777777" w:rsidR="00DA0825" w:rsidRPr="009616B8" w:rsidRDefault="00DA0825" w:rsidP="00DA0825">
            <w:pPr>
              <w:rPr>
                <w:b/>
                <w:bCs/>
                <w:sz w:val="20"/>
                <w:szCs w:val="20"/>
              </w:rPr>
            </w:pPr>
          </w:p>
        </w:tc>
        <w:tc>
          <w:tcPr>
            <w:tcW w:w="0" w:type="auto"/>
            <w:tcBorders>
              <w:bottom w:val="single" w:sz="4" w:space="0" w:color="auto"/>
            </w:tcBorders>
            <w:shd w:val="clear" w:color="auto" w:fill="F2CEED" w:themeFill="accent5" w:themeFillTint="33"/>
          </w:tcPr>
          <w:p w14:paraId="4BADC46D" w14:textId="77777777" w:rsidR="00DA0825" w:rsidRPr="009616B8" w:rsidRDefault="00DA0825" w:rsidP="00DA0825">
            <w:pPr>
              <w:rPr>
                <w:sz w:val="20"/>
                <w:szCs w:val="20"/>
              </w:rPr>
            </w:pPr>
            <w:r w:rsidRPr="009616B8">
              <w:rPr>
                <w:sz w:val="20"/>
                <w:szCs w:val="20"/>
              </w:rPr>
              <w:t>Frequency</w:t>
            </w:r>
          </w:p>
        </w:tc>
        <w:tc>
          <w:tcPr>
            <w:tcW w:w="0" w:type="auto"/>
            <w:tcBorders>
              <w:bottom w:val="single" w:sz="4" w:space="0" w:color="auto"/>
            </w:tcBorders>
          </w:tcPr>
          <w:p w14:paraId="6455677B" w14:textId="77777777" w:rsidR="00DA0825" w:rsidRPr="009616B8" w:rsidRDefault="00DA0825" w:rsidP="00DA0825">
            <w:pPr>
              <w:jc w:val="right"/>
              <w:rPr>
                <w:sz w:val="20"/>
                <w:szCs w:val="20"/>
              </w:rPr>
            </w:pPr>
            <w:r w:rsidRPr="009616B8">
              <w:rPr>
                <w:sz w:val="20"/>
                <w:szCs w:val="20"/>
              </w:rPr>
              <w:t>Expected # of incidents</w:t>
            </w:r>
          </w:p>
        </w:tc>
        <w:tc>
          <w:tcPr>
            <w:tcW w:w="0" w:type="auto"/>
            <w:tcBorders>
              <w:bottom w:val="single" w:sz="4" w:space="0" w:color="auto"/>
            </w:tcBorders>
          </w:tcPr>
          <w:p w14:paraId="3B6FCA60" w14:textId="77777777" w:rsidR="00DA0825" w:rsidRPr="009616B8" w:rsidRDefault="00DA0825" w:rsidP="00DA0825">
            <w:pPr>
              <w:rPr>
                <w:sz w:val="20"/>
                <w:szCs w:val="20"/>
              </w:rPr>
            </w:pPr>
            <w:r w:rsidRPr="009616B8">
              <w:rPr>
                <w:sz w:val="20"/>
                <w:szCs w:val="20"/>
              </w:rPr>
              <w:t>Needs to be done for each incident. Details in the next table</w:t>
            </w:r>
          </w:p>
        </w:tc>
      </w:tr>
      <w:tr w:rsidR="009163AB" w:rsidRPr="00DA0825" w14:paraId="6BEF5F70" w14:textId="77777777" w:rsidTr="008C6AC3">
        <w:tc>
          <w:tcPr>
            <w:tcW w:w="0" w:type="auto"/>
            <w:vMerge w:val="restart"/>
            <w:shd w:val="clear" w:color="auto" w:fill="F2CEED" w:themeFill="accent5" w:themeFillTint="33"/>
          </w:tcPr>
          <w:p w14:paraId="68F097BC" w14:textId="77777777" w:rsidR="00BA6BB8" w:rsidRPr="009616B8" w:rsidRDefault="00BA6BB8" w:rsidP="00DA0825">
            <w:pPr>
              <w:rPr>
                <w:b/>
                <w:bCs/>
                <w:sz w:val="20"/>
                <w:szCs w:val="20"/>
              </w:rPr>
            </w:pPr>
            <w:r w:rsidRPr="009616B8">
              <w:rPr>
                <w:b/>
                <w:bCs/>
                <w:sz w:val="20"/>
                <w:szCs w:val="20"/>
              </w:rPr>
              <w:t>Report submission in batch</w:t>
            </w:r>
          </w:p>
        </w:tc>
        <w:tc>
          <w:tcPr>
            <w:tcW w:w="0" w:type="auto"/>
            <w:tcBorders>
              <w:bottom w:val="single" w:sz="4" w:space="0" w:color="auto"/>
            </w:tcBorders>
            <w:shd w:val="clear" w:color="auto" w:fill="F2CEED" w:themeFill="accent5" w:themeFillTint="33"/>
          </w:tcPr>
          <w:p w14:paraId="70F9FB0F" w14:textId="77777777" w:rsidR="00BA6BB8" w:rsidRPr="009616B8" w:rsidRDefault="00BA6BB8" w:rsidP="00DA0825">
            <w:pPr>
              <w:rPr>
                <w:sz w:val="20"/>
                <w:szCs w:val="20"/>
              </w:rPr>
            </w:pPr>
            <w:r w:rsidRPr="009616B8">
              <w:rPr>
                <w:sz w:val="20"/>
                <w:szCs w:val="20"/>
              </w:rPr>
              <w:t>Minutes</w:t>
            </w:r>
          </w:p>
        </w:tc>
        <w:tc>
          <w:tcPr>
            <w:tcW w:w="0" w:type="auto"/>
            <w:tcBorders>
              <w:bottom w:val="single" w:sz="4" w:space="0" w:color="auto"/>
            </w:tcBorders>
            <w:shd w:val="clear" w:color="auto" w:fill="auto"/>
          </w:tcPr>
          <w:p w14:paraId="412160A4" w14:textId="77777777" w:rsidR="00BA6BB8" w:rsidRPr="009616B8" w:rsidRDefault="00BA6BB8" w:rsidP="00DA0825">
            <w:pPr>
              <w:jc w:val="right"/>
              <w:rPr>
                <w:sz w:val="20"/>
                <w:szCs w:val="20"/>
                <w:highlight w:val="magenta"/>
              </w:rPr>
            </w:pPr>
            <w:r w:rsidRPr="009616B8">
              <w:rPr>
                <w:sz w:val="20"/>
                <w:szCs w:val="20"/>
              </w:rPr>
              <w:t>22.5</w:t>
            </w:r>
          </w:p>
        </w:tc>
        <w:tc>
          <w:tcPr>
            <w:tcW w:w="0" w:type="auto"/>
            <w:tcBorders>
              <w:bottom w:val="single" w:sz="4" w:space="0" w:color="auto"/>
            </w:tcBorders>
          </w:tcPr>
          <w:p w14:paraId="38854686" w14:textId="2FCC4D0E" w:rsidR="00BA6BB8" w:rsidRPr="009616B8" w:rsidRDefault="0010688A" w:rsidP="00DA0825">
            <w:pPr>
              <w:rPr>
                <w:sz w:val="20"/>
                <w:szCs w:val="20"/>
              </w:rPr>
            </w:pPr>
            <w:r w:rsidRPr="009616B8">
              <w:rPr>
                <w:sz w:val="20"/>
                <w:szCs w:val="20"/>
              </w:rPr>
              <w:t>Based on input from APHA</w:t>
            </w:r>
            <w:r>
              <w:rPr>
                <w:sz w:val="20"/>
                <w:szCs w:val="20"/>
              </w:rPr>
              <w:t xml:space="preserve">, </w:t>
            </w:r>
            <w:r w:rsidRPr="0010688A">
              <w:rPr>
                <w:sz w:val="20"/>
                <w:szCs w:val="20"/>
              </w:rPr>
              <w:t>interjurisdictional steering committee representatives</w:t>
            </w:r>
            <w:r w:rsidRPr="009616B8">
              <w:rPr>
                <w:sz w:val="20"/>
                <w:szCs w:val="20"/>
              </w:rPr>
              <w:t xml:space="preserve"> and </w:t>
            </w:r>
            <w:r w:rsidRPr="00577524">
              <w:rPr>
                <w:sz w:val="20"/>
                <w:szCs w:val="20"/>
              </w:rPr>
              <w:t>MSIA</w:t>
            </w:r>
            <w:r>
              <w:rPr>
                <w:sz w:val="20"/>
                <w:szCs w:val="20"/>
              </w:rPr>
              <w:t xml:space="preserve"> </w:t>
            </w:r>
            <w:r w:rsidRPr="009616B8">
              <w:rPr>
                <w:sz w:val="20"/>
                <w:szCs w:val="20"/>
              </w:rPr>
              <w:t>members</w:t>
            </w:r>
          </w:p>
        </w:tc>
      </w:tr>
      <w:tr w:rsidR="009163AB" w:rsidRPr="00DA0825" w14:paraId="442CC9C3" w14:textId="77777777" w:rsidTr="008C6AC3">
        <w:tc>
          <w:tcPr>
            <w:tcW w:w="0" w:type="auto"/>
            <w:vMerge/>
            <w:shd w:val="clear" w:color="auto" w:fill="F2CEED" w:themeFill="accent5" w:themeFillTint="33"/>
          </w:tcPr>
          <w:p w14:paraId="592D46F1" w14:textId="77777777" w:rsidR="00BA6BB8" w:rsidRPr="009616B8" w:rsidRDefault="00BA6BB8" w:rsidP="00DA0825">
            <w:pPr>
              <w:rPr>
                <w:b/>
                <w:bCs/>
                <w:sz w:val="20"/>
                <w:szCs w:val="20"/>
              </w:rPr>
            </w:pPr>
          </w:p>
        </w:tc>
        <w:tc>
          <w:tcPr>
            <w:tcW w:w="0" w:type="auto"/>
            <w:tcBorders>
              <w:top w:val="single" w:sz="4" w:space="0" w:color="auto"/>
              <w:bottom w:val="single" w:sz="4" w:space="0" w:color="auto"/>
            </w:tcBorders>
            <w:shd w:val="clear" w:color="auto" w:fill="F2CEED" w:themeFill="accent5" w:themeFillTint="33"/>
          </w:tcPr>
          <w:p w14:paraId="3907841C" w14:textId="77777777" w:rsidR="00BA6BB8" w:rsidRPr="009616B8" w:rsidRDefault="00BA6BB8" w:rsidP="00DA0825">
            <w:pPr>
              <w:rPr>
                <w:sz w:val="20"/>
                <w:szCs w:val="20"/>
              </w:rPr>
            </w:pPr>
            <w:r w:rsidRPr="009616B8">
              <w:rPr>
                <w:sz w:val="20"/>
                <w:szCs w:val="20"/>
              </w:rPr>
              <w:t>Hourly rate</w:t>
            </w:r>
          </w:p>
        </w:tc>
        <w:tc>
          <w:tcPr>
            <w:tcW w:w="0" w:type="auto"/>
            <w:tcBorders>
              <w:top w:val="single" w:sz="4" w:space="0" w:color="auto"/>
              <w:bottom w:val="single" w:sz="4" w:space="0" w:color="auto"/>
            </w:tcBorders>
          </w:tcPr>
          <w:p w14:paraId="706409F9" w14:textId="77777777" w:rsidR="00BA6BB8" w:rsidRPr="009616B8" w:rsidRDefault="00BA6BB8" w:rsidP="00DA0825">
            <w:pPr>
              <w:jc w:val="right"/>
              <w:rPr>
                <w:sz w:val="20"/>
                <w:szCs w:val="20"/>
              </w:rPr>
            </w:pPr>
            <w:r w:rsidRPr="009616B8">
              <w:rPr>
                <w:sz w:val="20"/>
                <w:szCs w:val="20"/>
              </w:rPr>
              <w:t>$83.48</w:t>
            </w:r>
          </w:p>
        </w:tc>
        <w:tc>
          <w:tcPr>
            <w:tcW w:w="0" w:type="auto"/>
            <w:tcBorders>
              <w:top w:val="single" w:sz="4" w:space="0" w:color="auto"/>
              <w:bottom w:val="single" w:sz="4" w:space="0" w:color="auto"/>
            </w:tcBorders>
          </w:tcPr>
          <w:p w14:paraId="48DF9390" w14:textId="77777777" w:rsidR="00BA6BB8" w:rsidRPr="009616B8" w:rsidRDefault="00BA6BB8" w:rsidP="00DA0825">
            <w:pPr>
              <w:rPr>
                <w:sz w:val="20"/>
                <w:szCs w:val="20"/>
              </w:rPr>
            </w:pPr>
            <w:r w:rsidRPr="009616B8">
              <w:rPr>
                <w:sz w:val="20"/>
                <w:szCs w:val="20"/>
              </w:rPr>
              <w:t>Administrative staff rate (per Labour Costs section)</w:t>
            </w:r>
          </w:p>
        </w:tc>
      </w:tr>
      <w:tr w:rsidR="009163AB" w:rsidRPr="00DA0825" w14:paraId="32303455" w14:textId="77777777" w:rsidTr="008C6AC3">
        <w:tc>
          <w:tcPr>
            <w:tcW w:w="0" w:type="auto"/>
            <w:vMerge/>
            <w:shd w:val="clear" w:color="auto" w:fill="F2CEED" w:themeFill="accent5" w:themeFillTint="33"/>
          </w:tcPr>
          <w:p w14:paraId="05451E80" w14:textId="77777777" w:rsidR="00BA6BB8" w:rsidRPr="009616B8" w:rsidRDefault="00BA6BB8" w:rsidP="00DA0825">
            <w:pPr>
              <w:rPr>
                <w:sz w:val="20"/>
                <w:szCs w:val="20"/>
              </w:rPr>
            </w:pPr>
          </w:p>
        </w:tc>
        <w:tc>
          <w:tcPr>
            <w:tcW w:w="0" w:type="auto"/>
            <w:tcBorders>
              <w:top w:val="single" w:sz="4" w:space="0" w:color="auto"/>
            </w:tcBorders>
            <w:shd w:val="clear" w:color="auto" w:fill="F2CEED" w:themeFill="accent5" w:themeFillTint="33"/>
          </w:tcPr>
          <w:p w14:paraId="47AFD41D" w14:textId="77777777" w:rsidR="00BA6BB8" w:rsidRPr="009616B8" w:rsidRDefault="00BA6BB8" w:rsidP="00DA0825">
            <w:pPr>
              <w:rPr>
                <w:sz w:val="20"/>
                <w:szCs w:val="20"/>
              </w:rPr>
            </w:pPr>
            <w:r w:rsidRPr="009616B8">
              <w:rPr>
                <w:sz w:val="20"/>
                <w:szCs w:val="20"/>
              </w:rPr>
              <w:t>Frequency</w:t>
            </w:r>
          </w:p>
        </w:tc>
        <w:tc>
          <w:tcPr>
            <w:tcW w:w="0" w:type="auto"/>
            <w:tcBorders>
              <w:top w:val="single" w:sz="4" w:space="0" w:color="auto"/>
            </w:tcBorders>
          </w:tcPr>
          <w:p w14:paraId="3F693E8B" w14:textId="60FB2733" w:rsidR="00BA6BB8" w:rsidRPr="009616B8" w:rsidRDefault="00382DBC" w:rsidP="00DA0825">
            <w:pPr>
              <w:jc w:val="right"/>
              <w:rPr>
                <w:sz w:val="20"/>
                <w:szCs w:val="20"/>
              </w:rPr>
            </w:pPr>
            <w:r w:rsidRPr="009616B8">
              <w:rPr>
                <w:sz w:val="20"/>
                <w:szCs w:val="20"/>
              </w:rPr>
              <w:t>12 times a year</w:t>
            </w:r>
          </w:p>
        </w:tc>
        <w:tc>
          <w:tcPr>
            <w:tcW w:w="0" w:type="auto"/>
            <w:tcBorders>
              <w:top w:val="single" w:sz="4" w:space="0" w:color="auto"/>
            </w:tcBorders>
          </w:tcPr>
          <w:p w14:paraId="43912473" w14:textId="03F22BAC" w:rsidR="00BA6BB8" w:rsidRPr="009616B8" w:rsidRDefault="0020646F" w:rsidP="00DA0825">
            <w:pPr>
              <w:rPr>
                <w:sz w:val="20"/>
                <w:szCs w:val="20"/>
              </w:rPr>
            </w:pPr>
            <w:r w:rsidRPr="009616B8">
              <w:rPr>
                <w:sz w:val="20"/>
                <w:szCs w:val="20"/>
              </w:rPr>
              <w:t>Assuming</w:t>
            </w:r>
            <w:r w:rsidR="001E1219" w:rsidRPr="009616B8">
              <w:rPr>
                <w:sz w:val="20"/>
                <w:szCs w:val="20"/>
              </w:rPr>
              <w:t xml:space="preserve"> this will be done monthly</w:t>
            </w:r>
            <w:r w:rsidR="00BA6BB8" w:rsidRPr="009616B8">
              <w:rPr>
                <w:sz w:val="20"/>
                <w:szCs w:val="20"/>
              </w:rPr>
              <w:t>. (We assume incidents are evenly spread through year to be conservative). Details in the next table.</w:t>
            </w:r>
          </w:p>
        </w:tc>
      </w:tr>
    </w:tbl>
    <w:p w14:paraId="7E547193" w14:textId="77777777" w:rsidR="00DA0825" w:rsidRPr="00DA0825" w:rsidRDefault="00DA0825" w:rsidP="00DA0825"/>
    <w:p w14:paraId="5A38F7A1" w14:textId="108CF10D" w:rsidR="00282691" w:rsidRPr="00900982" w:rsidRDefault="00282691" w:rsidP="00B37DCC">
      <w:pPr>
        <w:keepNext/>
        <w:spacing w:after="200" w:line="240" w:lineRule="auto"/>
        <w:rPr>
          <w:i/>
          <w:iCs/>
          <w:color w:val="0E2841" w:themeColor="text2"/>
          <w:sz w:val="18"/>
          <w:szCs w:val="18"/>
        </w:rPr>
      </w:pPr>
      <w:r w:rsidRPr="00900982">
        <w:rPr>
          <w:i/>
          <w:iCs/>
          <w:color w:val="0E2841" w:themeColor="text2"/>
          <w:sz w:val="18"/>
          <w:szCs w:val="18"/>
        </w:rPr>
        <w:t xml:space="preserve">Table </w:t>
      </w:r>
      <w:r w:rsidR="00AD3148">
        <w:rPr>
          <w:i/>
          <w:iCs/>
          <w:color w:val="0E2841" w:themeColor="text2"/>
          <w:sz w:val="18"/>
          <w:szCs w:val="18"/>
        </w:rPr>
        <w:t>22</w:t>
      </w:r>
      <w:r w:rsidRPr="00900982">
        <w:rPr>
          <w:i/>
          <w:iCs/>
          <w:color w:val="0E2841" w:themeColor="text2"/>
          <w:sz w:val="18"/>
          <w:szCs w:val="18"/>
        </w:rPr>
        <w:t xml:space="preserve"> - Assumed incident frequency by facility and medical device type</w:t>
      </w:r>
    </w:p>
    <w:tbl>
      <w:tblPr>
        <w:tblStyle w:val="TableGrid"/>
        <w:tblW w:w="0" w:type="auto"/>
        <w:tblLook w:val="04A0" w:firstRow="1" w:lastRow="0" w:firstColumn="1" w:lastColumn="0" w:noHBand="0" w:noVBand="1"/>
      </w:tblPr>
      <w:tblGrid>
        <w:gridCol w:w="3114"/>
        <w:gridCol w:w="1701"/>
        <w:gridCol w:w="1559"/>
        <w:gridCol w:w="2642"/>
      </w:tblGrid>
      <w:tr w:rsidR="00DA0825" w:rsidRPr="00DA0825" w14:paraId="3C09D0A7" w14:textId="77777777" w:rsidTr="001615EC">
        <w:tc>
          <w:tcPr>
            <w:tcW w:w="3114" w:type="dxa"/>
            <w:tcBorders>
              <w:bottom w:val="single" w:sz="4" w:space="0" w:color="auto"/>
            </w:tcBorders>
            <w:shd w:val="clear" w:color="auto" w:fill="0E2841" w:themeFill="text2"/>
          </w:tcPr>
          <w:p w14:paraId="7E7C48AE" w14:textId="77777777" w:rsidR="00DA0825" w:rsidRPr="009616B8" w:rsidRDefault="00DA0825" w:rsidP="00DA0825">
            <w:pPr>
              <w:rPr>
                <w:b/>
                <w:bCs/>
                <w:color w:val="FFFFFF" w:themeColor="background1"/>
                <w:sz w:val="20"/>
                <w:szCs w:val="20"/>
              </w:rPr>
            </w:pPr>
            <w:r w:rsidRPr="009616B8">
              <w:rPr>
                <w:b/>
                <w:bCs/>
                <w:color w:val="FFFFFF" w:themeColor="background1"/>
                <w:sz w:val="20"/>
                <w:szCs w:val="20"/>
              </w:rPr>
              <w:t>Facility</w:t>
            </w:r>
          </w:p>
        </w:tc>
        <w:tc>
          <w:tcPr>
            <w:tcW w:w="1701" w:type="dxa"/>
            <w:tcBorders>
              <w:bottom w:val="single" w:sz="4" w:space="0" w:color="auto"/>
            </w:tcBorders>
            <w:shd w:val="clear" w:color="auto" w:fill="0E2841" w:themeFill="text2"/>
          </w:tcPr>
          <w:p w14:paraId="00FD2876" w14:textId="77777777" w:rsidR="00DA0825" w:rsidRPr="009616B8" w:rsidRDefault="00DA0825" w:rsidP="00DA0825">
            <w:pPr>
              <w:rPr>
                <w:b/>
                <w:bCs/>
                <w:color w:val="FFFFFF" w:themeColor="background1"/>
                <w:sz w:val="20"/>
                <w:szCs w:val="20"/>
              </w:rPr>
            </w:pPr>
            <w:r w:rsidRPr="009616B8">
              <w:rPr>
                <w:b/>
                <w:bCs/>
                <w:color w:val="FFFFFF" w:themeColor="background1"/>
                <w:sz w:val="20"/>
                <w:szCs w:val="20"/>
              </w:rPr>
              <w:t>Device Type</w:t>
            </w:r>
          </w:p>
        </w:tc>
        <w:tc>
          <w:tcPr>
            <w:tcW w:w="1559" w:type="dxa"/>
            <w:tcBorders>
              <w:bottom w:val="single" w:sz="4" w:space="0" w:color="auto"/>
            </w:tcBorders>
            <w:shd w:val="clear" w:color="auto" w:fill="0E2841" w:themeFill="text2"/>
          </w:tcPr>
          <w:p w14:paraId="0B05E40D" w14:textId="33186B34" w:rsidR="00DA0825" w:rsidRPr="009616B8" w:rsidRDefault="00DA0825" w:rsidP="00DA0825">
            <w:pPr>
              <w:jc w:val="right"/>
              <w:rPr>
                <w:b/>
                <w:bCs/>
                <w:color w:val="FFFFFF" w:themeColor="background1"/>
                <w:sz w:val="20"/>
                <w:szCs w:val="20"/>
              </w:rPr>
            </w:pPr>
            <w:r w:rsidRPr="009616B8">
              <w:rPr>
                <w:b/>
                <w:bCs/>
                <w:color w:val="FFFFFF" w:themeColor="background1"/>
                <w:sz w:val="20"/>
                <w:szCs w:val="20"/>
              </w:rPr>
              <w:t xml:space="preserve">Expected Incidents </w:t>
            </w:r>
            <w:r w:rsidR="00CE25A8" w:rsidRPr="009616B8">
              <w:rPr>
                <w:b/>
                <w:bCs/>
                <w:color w:val="FFFFFF" w:themeColor="background1"/>
                <w:sz w:val="20"/>
                <w:szCs w:val="20"/>
              </w:rPr>
              <w:t>per year</w:t>
            </w:r>
          </w:p>
        </w:tc>
        <w:tc>
          <w:tcPr>
            <w:tcW w:w="2642" w:type="dxa"/>
            <w:tcBorders>
              <w:bottom w:val="single" w:sz="4" w:space="0" w:color="auto"/>
            </w:tcBorders>
            <w:shd w:val="clear" w:color="auto" w:fill="0E2841" w:themeFill="text2"/>
          </w:tcPr>
          <w:p w14:paraId="7C0A8E80" w14:textId="77777777" w:rsidR="00DA0825" w:rsidRPr="009616B8" w:rsidRDefault="00DA0825" w:rsidP="00DA0825">
            <w:pPr>
              <w:rPr>
                <w:b/>
                <w:bCs/>
                <w:color w:val="FFFFFF" w:themeColor="background1"/>
                <w:sz w:val="20"/>
                <w:szCs w:val="20"/>
              </w:rPr>
            </w:pPr>
            <w:r w:rsidRPr="009616B8">
              <w:rPr>
                <w:b/>
                <w:bCs/>
                <w:color w:val="FFFFFF" w:themeColor="background1"/>
                <w:sz w:val="20"/>
                <w:szCs w:val="20"/>
              </w:rPr>
              <w:t>Basis</w:t>
            </w:r>
          </w:p>
        </w:tc>
      </w:tr>
      <w:tr w:rsidR="00DA0825" w:rsidRPr="00DA0825" w14:paraId="2ADB3247" w14:textId="77777777">
        <w:tc>
          <w:tcPr>
            <w:tcW w:w="3114" w:type="dxa"/>
            <w:vMerge w:val="restart"/>
            <w:shd w:val="clear" w:color="auto" w:fill="F2CEED" w:themeFill="accent5" w:themeFillTint="33"/>
          </w:tcPr>
          <w:p w14:paraId="5F967A8C" w14:textId="77777777" w:rsidR="00DA0825" w:rsidRPr="006415A4" w:rsidRDefault="00DA0825" w:rsidP="00DA0825">
            <w:pPr>
              <w:rPr>
                <w:b/>
                <w:bCs/>
                <w:sz w:val="20"/>
                <w:szCs w:val="20"/>
              </w:rPr>
            </w:pPr>
            <w:r w:rsidRPr="006415A4">
              <w:rPr>
                <w:b/>
                <w:bCs/>
                <w:sz w:val="20"/>
                <w:szCs w:val="20"/>
              </w:rPr>
              <w:t>Private Hospital – High Exposure to incidents</w:t>
            </w:r>
          </w:p>
        </w:tc>
        <w:tc>
          <w:tcPr>
            <w:tcW w:w="1701" w:type="dxa"/>
            <w:shd w:val="clear" w:color="auto" w:fill="F2CEED" w:themeFill="accent5" w:themeFillTint="33"/>
          </w:tcPr>
          <w:p w14:paraId="2AE82B92" w14:textId="77777777" w:rsidR="00DA0825" w:rsidRPr="006415A4" w:rsidRDefault="00DA0825" w:rsidP="00DA0825">
            <w:pPr>
              <w:rPr>
                <w:sz w:val="20"/>
                <w:szCs w:val="20"/>
              </w:rPr>
            </w:pPr>
            <w:r w:rsidRPr="006415A4">
              <w:rPr>
                <w:sz w:val="20"/>
                <w:szCs w:val="20"/>
              </w:rPr>
              <w:t>High Risk</w:t>
            </w:r>
          </w:p>
        </w:tc>
        <w:tc>
          <w:tcPr>
            <w:tcW w:w="1559" w:type="dxa"/>
          </w:tcPr>
          <w:p w14:paraId="27DC4A4B" w14:textId="4AD5792A" w:rsidR="00DA0825" w:rsidRPr="006415A4" w:rsidRDefault="00211029" w:rsidP="00DA0825">
            <w:pPr>
              <w:jc w:val="right"/>
              <w:rPr>
                <w:sz w:val="20"/>
                <w:szCs w:val="20"/>
              </w:rPr>
            </w:pPr>
            <w:r w:rsidRPr="006415A4">
              <w:rPr>
                <w:sz w:val="20"/>
                <w:szCs w:val="20"/>
              </w:rPr>
              <w:t>14</w:t>
            </w:r>
          </w:p>
        </w:tc>
        <w:tc>
          <w:tcPr>
            <w:tcW w:w="2642" w:type="dxa"/>
            <w:vMerge w:val="restart"/>
          </w:tcPr>
          <w:p w14:paraId="491AF94F" w14:textId="77777777" w:rsidR="00DA0825" w:rsidRPr="009616B8" w:rsidRDefault="00DA0825" w:rsidP="00DA0825">
            <w:pPr>
              <w:rPr>
                <w:sz w:val="20"/>
                <w:szCs w:val="20"/>
              </w:rPr>
            </w:pPr>
            <w:r w:rsidRPr="009616B8">
              <w:rPr>
                <w:sz w:val="20"/>
                <w:szCs w:val="20"/>
              </w:rPr>
              <w:t>See section below on "Reportable volumes”</w:t>
            </w:r>
          </w:p>
        </w:tc>
      </w:tr>
      <w:tr w:rsidR="00DA0825" w:rsidRPr="00DA0825" w14:paraId="1B837BEF" w14:textId="77777777">
        <w:tc>
          <w:tcPr>
            <w:tcW w:w="3114" w:type="dxa"/>
            <w:vMerge/>
            <w:tcBorders>
              <w:bottom w:val="single" w:sz="4" w:space="0" w:color="auto"/>
            </w:tcBorders>
            <w:shd w:val="clear" w:color="auto" w:fill="F2CEED" w:themeFill="accent5" w:themeFillTint="33"/>
          </w:tcPr>
          <w:p w14:paraId="36249AD2" w14:textId="77777777" w:rsidR="00DA0825" w:rsidRPr="006415A4" w:rsidRDefault="00DA0825" w:rsidP="00DA0825">
            <w:pPr>
              <w:rPr>
                <w:b/>
                <w:bCs/>
                <w:sz w:val="20"/>
                <w:szCs w:val="20"/>
              </w:rPr>
            </w:pPr>
          </w:p>
        </w:tc>
        <w:tc>
          <w:tcPr>
            <w:tcW w:w="1701" w:type="dxa"/>
            <w:shd w:val="clear" w:color="auto" w:fill="F2CEED" w:themeFill="accent5" w:themeFillTint="33"/>
          </w:tcPr>
          <w:p w14:paraId="355439A4" w14:textId="77777777" w:rsidR="00DA0825" w:rsidRPr="006415A4" w:rsidRDefault="00DA0825" w:rsidP="00DA0825">
            <w:pPr>
              <w:rPr>
                <w:sz w:val="20"/>
                <w:szCs w:val="20"/>
              </w:rPr>
            </w:pPr>
            <w:r w:rsidRPr="006415A4">
              <w:rPr>
                <w:sz w:val="20"/>
                <w:szCs w:val="20"/>
              </w:rPr>
              <w:t>Medium Risk</w:t>
            </w:r>
          </w:p>
        </w:tc>
        <w:tc>
          <w:tcPr>
            <w:tcW w:w="1559" w:type="dxa"/>
          </w:tcPr>
          <w:p w14:paraId="7B3409C3" w14:textId="7A9620D6" w:rsidR="00DA0825" w:rsidRPr="006415A4" w:rsidRDefault="00211029" w:rsidP="00DA0825">
            <w:pPr>
              <w:jc w:val="right"/>
              <w:rPr>
                <w:sz w:val="20"/>
                <w:szCs w:val="20"/>
              </w:rPr>
            </w:pPr>
            <w:r w:rsidRPr="006415A4">
              <w:rPr>
                <w:sz w:val="20"/>
                <w:szCs w:val="20"/>
              </w:rPr>
              <w:t>14</w:t>
            </w:r>
          </w:p>
        </w:tc>
        <w:tc>
          <w:tcPr>
            <w:tcW w:w="2642" w:type="dxa"/>
            <w:vMerge/>
          </w:tcPr>
          <w:p w14:paraId="16677F18" w14:textId="77777777" w:rsidR="00DA0825" w:rsidRPr="00DA0825" w:rsidRDefault="00DA0825" w:rsidP="00DA0825"/>
        </w:tc>
      </w:tr>
      <w:tr w:rsidR="00DA0825" w:rsidRPr="00DA0825" w14:paraId="35970C64" w14:textId="77777777">
        <w:tc>
          <w:tcPr>
            <w:tcW w:w="3114" w:type="dxa"/>
            <w:vMerge w:val="restart"/>
            <w:shd w:val="clear" w:color="auto" w:fill="F2CEED" w:themeFill="accent5" w:themeFillTint="33"/>
          </w:tcPr>
          <w:p w14:paraId="1E364CDA" w14:textId="77777777" w:rsidR="00DA0825" w:rsidRPr="006415A4" w:rsidRDefault="00DA0825" w:rsidP="00DA0825">
            <w:pPr>
              <w:rPr>
                <w:b/>
                <w:bCs/>
                <w:sz w:val="20"/>
                <w:szCs w:val="20"/>
              </w:rPr>
            </w:pPr>
            <w:r w:rsidRPr="006415A4">
              <w:rPr>
                <w:b/>
                <w:bCs/>
                <w:sz w:val="20"/>
                <w:szCs w:val="20"/>
              </w:rPr>
              <w:t>Private Hospital – Medium Exposure to incidents</w:t>
            </w:r>
          </w:p>
        </w:tc>
        <w:tc>
          <w:tcPr>
            <w:tcW w:w="1701" w:type="dxa"/>
            <w:shd w:val="clear" w:color="auto" w:fill="F2CEED" w:themeFill="accent5" w:themeFillTint="33"/>
          </w:tcPr>
          <w:p w14:paraId="242F168C" w14:textId="77777777" w:rsidR="00DA0825" w:rsidRPr="006415A4" w:rsidRDefault="00DA0825" w:rsidP="00DA0825">
            <w:pPr>
              <w:rPr>
                <w:sz w:val="20"/>
                <w:szCs w:val="20"/>
              </w:rPr>
            </w:pPr>
            <w:r w:rsidRPr="006415A4">
              <w:rPr>
                <w:sz w:val="20"/>
                <w:szCs w:val="20"/>
              </w:rPr>
              <w:t>High Risk</w:t>
            </w:r>
          </w:p>
        </w:tc>
        <w:tc>
          <w:tcPr>
            <w:tcW w:w="1559" w:type="dxa"/>
          </w:tcPr>
          <w:p w14:paraId="3D80BA0C" w14:textId="60D60CBB" w:rsidR="00DA0825" w:rsidRPr="006415A4" w:rsidRDefault="00DA0825" w:rsidP="00DA0825">
            <w:pPr>
              <w:jc w:val="right"/>
              <w:rPr>
                <w:sz w:val="20"/>
                <w:szCs w:val="20"/>
              </w:rPr>
            </w:pPr>
            <w:r w:rsidRPr="006415A4">
              <w:rPr>
                <w:sz w:val="20"/>
                <w:szCs w:val="20"/>
              </w:rPr>
              <w:t>6</w:t>
            </w:r>
            <w:r w:rsidR="00494C1E" w:rsidRPr="006415A4">
              <w:rPr>
                <w:sz w:val="20"/>
                <w:szCs w:val="20"/>
              </w:rPr>
              <w:t>-7</w:t>
            </w:r>
          </w:p>
        </w:tc>
        <w:tc>
          <w:tcPr>
            <w:tcW w:w="2642" w:type="dxa"/>
            <w:vMerge/>
          </w:tcPr>
          <w:p w14:paraId="0E6E3940" w14:textId="77777777" w:rsidR="00DA0825" w:rsidRPr="00DA0825" w:rsidRDefault="00DA0825" w:rsidP="00DA0825"/>
        </w:tc>
      </w:tr>
      <w:tr w:rsidR="00DA0825" w:rsidRPr="00DA0825" w14:paraId="106E4B2C" w14:textId="77777777">
        <w:tc>
          <w:tcPr>
            <w:tcW w:w="3114" w:type="dxa"/>
            <w:vMerge/>
            <w:tcBorders>
              <w:bottom w:val="single" w:sz="4" w:space="0" w:color="auto"/>
            </w:tcBorders>
            <w:shd w:val="clear" w:color="auto" w:fill="F2CEED" w:themeFill="accent5" w:themeFillTint="33"/>
          </w:tcPr>
          <w:p w14:paraId="7EC31E62" w14:textId="77777777" w:rsidR="00DA0825" w:rsidRPr="006415A4" w:rsidRDefault="00DA0825" w:rsidP="00DA0825">
            <w:pPr>
              <w:rPr>
                <w:b/>
                <w:bCs/>
                <w:sz w:val="20"/>
                <w:szCs w:val="20"/>
              </w:rPr>
            </w:pPr>
          </w:p>
        </w:tc>
        <w:tc>
          <w:tcPr>
            <w:tcW w:w="1701" w:type="dxa"/>
            <w:shd w:val="clear" w:color="auto" w:fill="F2CEED" w:themeFill="accent5" w:themeFillTint="33"/>
          </w:tcPr>
          <w:p w14:paraId="1E718F70" w14:textId="77777777" w:rsidR="00DA0825" w:rsidRPr="006415A4" w:rsidRDefault="00DA0825" w:rsidP="00DA0825">
            <w:pPr>
              <w:rPr>
                <w:sz w:val="20"/>
                <w:szCs w:val="20"/>
              </w:rPr>
            </w:pPr>
            <w:r w:rsidRPr="006415A4">
              <w:rPr>
                <w:sz w:val="20"/>
                <w:szCs w:val="20"/>
              </w:rPr>
              <w:t>Medium Risk</w:t>
            </w:r>
          </w:p>
        </w:tc>
        <w:tc>
          <w:tcPr>
            <w:tcW w:w="1559" w:type="dxa"/>
          </w:tcPr>
          <w:p w14:paraId="05987CA7" w14:textId="02FA0B27" w:rsidR="00DA0825" w:rsidRPr="006415A4" w:rsidRDefault="00494C1E" w:rsidP="00DA0825">
            <w:pPr>
              <w:jc w:val="right"/>
              <w:rPr>
                <w:sz w:val="20"/>
                <w:szCs w:val="20"/>
              </w:rPr>
            </w:pPr>
            <w:r w:rsidRPr="006415A4">
              <w:rPr>
                <w:sz w:val="20"/>
                <w:szCs w:val="20"/>
              </w:rPr>
              <w:t>6-7</w:t>
            </w:r>
          </w:p>
        </w:tc>
        <w:tc>
          <w:tcPr>
            <w:tcW w:w="2642" w:type="dxa"/>
            <w:vMerge/>
          </w:tcPr>
          <w:p w14:paraId="45F2D8A7" w14:textId="77777777" w:rsidR="00DA0825" w:rsidRPr="00DA0825" w:rsidRDefault="00DA0825" w:rsidP="00DA0825"/>
        </w:tc>
      </w:tr>
      <w:tr w:rsidR="00DA0825" w:rsidRPr="00DA0825" w14:paraId="5E0B41E6" w14:textId="77777777">
        <w:tc>
          <w:tcPr>
            <w:tcW w:w="3114" w:type="dxa"/>
            <w:vMerge w:val="restart"/>
            <w:shd w:val="clear" w:color="auto" w:fill="F2CEED" w:themeFill="accent5" w:themeFillTint="33"/>
          </w:tcPr>
          <w:p w14:paraId="72469BEA" w14:textId="77777777" w:rsidR="00DA0825" w:rsidRPr="006415A4" w:rsidRDefault="00DA0825" w:rsidP="00DA0825">
            <w:pPr>
              <w:rPr>
                <w:b/>
                <w:bCs/>
                <w:sz w:val="20"/>
                <w:szCs w:val="20"/>
              </w:rPr>
            </w:pPr>
            <w:r w:rsidRPr="006415A4">
              <w:rPr>
                <w:b/>
                <w:bCs/>
                <w:sz w:val="20"/>
                <w:szCs w:val="20"/>
              </w:rPr>
              <w:t>Private Hospital – Low Exposure to incidents</w:t>
            </w:r>
          </w:p>
        </w:tc>
        <w:tc>
          <w:tcPr>
            <w:tcW w:w="1701" w:type="dxa"/>
            <w:shd w:val="clear" w:color="auto" w:fill="F2CEED" w:themeFill="accent5" w:themeFillTint="33"/>
          </w:tcPr>
          <w:p w14:paraId="19D86469" w14:textId="77777777" w:rsidR="00DA0825" w:rsidRPr="006415A4" w:rsidRDefault="00DA0825" w:rsidP="00DA0825">
            <w:pPr>
              <w:rPr>
                <w:sz w:val="20"/>
                <w:szCs w:val="20"/>
              </w:rPr>
            </w:pPr>
            <w:r w:rsidRPr="006415A4">
              <w:rPr>
                <w:sz w:val="20"/>
                <w:szCs w:val="20"/>
              </w:rPr>
              <w:t>High Risk</w:t>
            </w:r>
          </w:p>
        </w:tc>
        <w:tc>
          <w:tcPr>
            <w:tcW w:w="1559" w:type="dxa"/>
          </w:tcPr>
          <w:p w14:paraId="1D90C220" w14:textId="77777777" w:rsidR="00DA0825" w:rsidRPr="006415A4" w:rsidRDefault="00DA0825" w:rsidP="00DA0825">
            <w:pPr>
              <w:jc w:val="right"/>
              <w:rPr>
                <w:sz w:val="20"/>
                <w:szCs w:val="20"/>
              </w:rPr>
            </w:pPr>
            <w:r w:rsidRPr="006415A4">
              <w:rPr>
                <w:sz w:val="20"/>
                <w:szCs w:val="20"/>
              </w:rPr>
              <w:t>1</w:t>
            </w:r>
          </w:p>
        </w:tc>
        <w:tc>
          <w:tcPr>
            <w:tcW w:w="2642" w:type="dxa"/>
            <w:vMerge/>
          </w:tcPr>
          <w:p w14:paraId="5573FF05" w14:textId="77777777" w:rsidR="00DA0825" w:rsidRPr="00DA0825" w:rsidRDefault="00DA0825" w:rsidP="00DA0825"/>
        </w:tc>
      </w:tr>
      <w:tr w:rsidR="00DA0825" w:rsidRPr="00DA0825" w14:paraId="4ABB31E1" w14:textId="77777777">
        <w:tc>
          <w:tcPr>
            <w:tcW w:w="3114" w:type="dxa"/>
            <w:vMerge/>
            <w:tcBorders>
              <w:bottom w:val="single" w:sz="4" w:space="0" w:color="auto"/>
            </w:tcBorders>
            <w:shd w:val="clear" w:color="auto" w:fill="F2CEED" w:themeFill="accent5" w:themeFillTint="33"/>
          </w:tcPr>
          <w:p w14:paraId="70EC01A6" w14:textId="77777777" w:rsidR="00DA0825" w:rsidRPr="006415A4" w:rsidRDefault="00DA0825" w:rsidP="00DA0825">
            <w:pPr>
              <w:rPr>
                <w:b/>
                <w:bCs/>
                <w:sz w:val="20"/>
                <w:szCs w:val="20"/>
              </w:rPr>
            </w:pPr>
          </w:p>
        </w:tc>
        <w:tc>
          <w:tcPr>
            <w:tcW w:w="1701" w:type="dxa"/>
            <w:shd w:val="clear" w:color="auto" w:fill="F2CEED" w:themeFill="accent5" w:themeFillTint="33"/>
          </w:tcPr>
          <w:p w14:paraId="29082921" w14:textId="77777777" w:rsidR="00DA0825" w:rsidRPr="006415A4" w:rsidRDefault="00DA0825" w:rsidP="00DA0825">
            <w:pPr>
              <w:rPr>
                <w:sz w:val="20"/>
                <w:szCs w:val="20"/>
              </w:rPr>
            </w:pPr>
            <w:r w:rsidRPr="006415A4">
              <w:rPr>
                <w:sz w:val="20"/>
                <w:szCs w:val="20"/>
              </w:rPr>
              <w:t>Medium Risk</w:t>
            </w:r>
          </w:p>
        </w:tc>
        <w:tc>
          <w:tcPr>
            <w:tcW w:w="1559" w:type="dxa"/>
          </w:tcPr>
          <w:p w14:paraId="391E9927" w14:textId="77777777" w:rsidR="00DA0825" w:rsidRPr="006415A4" w:rsidRDefault="00DA0825" w:rsidP="00DA0825">
            <w:pPr>
              <w:jc w:val="right"/>
              <w:rPr>
                <w:sz w:val="20"/>
                <w:szCs w:val="20"/>
              </w:rPr>
            </w:pPr>
            <w:r w:rsidRPr="006415A4">
              <w:rPr>
                <w:sz w:val="20"/>
                <w:szCs w:val="20"/>
              </w:rPr>
              <w:t>1</w:t>
            </w:r>
          </w:p>
        </w:tc>
        <w:tc>
          <w:tcPr>
            <w:tcW w:w="2642" w:type="dxa"/>
            <w:vMerge/>
          </w:tcPr>
          <w:p w14:paraId="65E62F8D" w14:textId="77777777" w:rsidR="00DA0825" w:rsidRPr="00DA0825" w:rsidRDefault="00DA0825" w:rsidP="00DA0825"/>
        </w:tc>
      </w:tr>
      <w:tr w:rsidR="00DA0825" w:rsidRPr="00DA0825" w14:paraId="38ACA72C" w14:textId="77777777" w:rsidTr="001615EC">
        <w:tc>
          <w:tcPr>
            <w:tcW w:w="3114" w:type="dxa"/>
            <w:tcBorders>
              <w:bottom w:val="nil"/>
            </w:tcBorders>
            <w:shd w:val="clear" w:color="auto" w:fill="F2CEED" w:themeFill="accent5" w:themeFillTint="33"/>
          </w:tcPr>
          <w:p w14:paraId="0A754FAC" w14:textId="77777777" w:rsidR="00DA0825" w:rsidRPr="006415A4" w:rsidRDefault="00DA0825" w:rsidP="00DA0825">
            <w:pPr>
              <w:rPr>
                <w:b/>
                <w:bCs/>
                <w:sz w:val="20"/>
                <w:szCs w:val="20"/>
              </w:rPr>
            </w:pPr>
            <w:r w:rsidRPr="006415A4">
              <w:rPr>
                <w:b/>
                <w:bCs/>
                <w:sz w:val="20"/>
                <w:szCs w:val="20"/>
              </w:rPr>
              <w:t>Residential Aged Care</w:t>
            </w:r>
          </w:p>
        </w:tc>
        <w:tc>
          <w:tcPr>
            <w:tcW w:w="1701" w:type="dxa"/>
            <w:shd w:val="clear" w:color="auto" w:fill="F2CEED" w:themeFill="accent5" w:themeFillTint="33"/>
          </w:tcPr>
          <w:p w14:paraId="517E1F2C" w14:textId="77777777" w:rsidR="00DA0825" w:rsidRPr="006415A4" w:rsidRDefault="00DA0825" w:rsidP="00DA0825">
            <w:pPr>
              <w:rPr>
                <w:sz w:val="20"/>
                <w:szCs w:val="20"/>
              </w:rPr>
            </w:pPr>
            <w:r w:rsidRPr="006415A4">
              <w:rPr>
                <w:sz w:val="20"/>
                <w:szCs w:val="20"/>
              </w:rPr>
              <w:t>High Risk</w:t>
            </w:r>
          </w:p>
        </w:tc>
        <w:tc>
          <w:tcPr>
            <w:tcW w:w="1559" w:type="dxa"/>
          </w:tcPr>
          <w:p w14:paraId="6E7EC2D5" w14:textId="77777777" w:rsidR="00DA0825" w:rsidRPr="006415A4" w:rsidRDefault="00DA0825" w:rsidP="00DA0825">
            <w:pPr>
              <w:jc w:val="right"/>
              <w:rPr>
                <w:sz w:val="20"/>
                <w:szCs w:val="20"/>
              </w:rPr>
            </w:pPr>
            <w:r w:rsidRPr="006415A4">
              <w:rPr>
                <w:sz w:val="20"/>
                <w:szCs w:val="20"/>
              </w:rPr>
              <w:t>1</w:t>
            </w:r>
          </w:p>
        </w:tc>
        <w:tc>
          <w:tcPr>
            <w:tcW w:w="2642" w:type="dxa"/>
            <w:vMerge/>
          </w:tcPr>
          <w:p w14:paraId="10055C25" w14:textId="77777777" w:rsidR="00DA0825" w:rsidRPr="00DA0825" w:rsidRDefault="00DA0825" w:rsidP="00DA0825"/>
        </w:tc>
      </w:tr>
      <w:tr w:rsidR="00DA0825" w:rsidRPr="00DA0825" w14:paraId="557BB33D" w14:textId="77777777" w:rsidTr="001615EC">
        <w:tc>
          <w:tcPr>
            <w:tcW w:w="3114" w:type="dxa"/>
            <w:tcBorders>
              <w:top w:val="nil"/>
              <w:bottom w:val="single" w:sz="4" w:space="0" w:color="auto"/>
            </w:tcBorders>
            <w:shd w:val="clear" w:color="auto" w:fill="F2CEED" w:themeFill="accent5" w:themeFillTint="33"/>
          </w:tcPr>
          <w:p w14:paraId="52961182" w14:textId="77777777" w:rsidR="00DA0825" w:rsidRPr="006415A4" w:rsidRDefault="00DA0825" w:rsidP="00DA0825">
            <w:pPr>
              <w:rPr>
                <w:b/>
                <w:bCs/>
                <w:sz w:val="20"/>
                <w:szCs w:val="20"/>
              </w:rPr>
            </w:pPr>
          </w:p>
        </w:tc>
        <w:tc>
          <w:tcPr>
            <w:tcW w:w="1701" w:type="dxa"/>
            <w:shd w:val="clear" w:color="auto" w:fill="F2CEED" w:themeFill="accent5" w:themeFillTint="33"/>
          </w:tcPr>
          <w:p w14:paraId="622A8FDA" w14:textId="77777777" w:rsidR="00DA0825" w:rsidRPr="006415A4" w:rsidRDefault="00DA0825" w:rsidP="00DA0825">
            <w:pPr>
              <w:rPr>
                <w:sz w:val="20"/>
                <w:szCs w:val="20"/>
              </w:rPr>
            </w:pPr>
            <w:r w:rsidRPr="006415A4">
              <w:rPr>
                <w:sz w:val="20"/>
                <w:szCs w:val="20"/>
              </w:rPr>
              <w:t>Medium Risk</w:t>
            </w:r>
          </w:p>
        </w:tc>
        <w:tc>
          <w:tcPr>
            <w:tcW w:w="1559" w:type="dxa"/>
          </w:tcPr>
          <w:p w14:paraId="15DD800E" w14:textId="77777777" w:rsidR="00DA0825" w:rsidRPr="006415A4" w:rsidRDefault="00DA0825" w:rsidP="00DA0825">
            <w:pPr>
              <w:jc w:val="right"/>
              <w:rPr>
                <w:sz w:val="20"/>
                <w:szCs w:val="20"/>
              </w:rPr>
            </w:pPr>
            <w:r w:rsidRPr="006415A4">
              <w:rPr>
                <w:sz w:val="20"/>
                <w:szCs w:val="20"/>
              </w:rPr>
              <w:t>1</w:t>
            </w:r>
          </w:p>
        </w:tc>
        <w:tc>
          <w:tcPr>
            <w:tcW w:w="2642" w:type="dxa"/>
            <w:vMerge/>
          </w:tcPr>
          <w:p w14:paraId="6D86551A" w14:textId="77777777" w:rsidR="00DA0825" w:rsidRPr="00DA0825" w:rsidRDefault="00DA0825" w:rsidP="00DA0825"/>
        </w:tc>
      </w:tr>
      <w:tr w:rsidR="00DA0825" w:rsidRPr="00DA0825" w14:paraId="523313EA" w14:textId="77777777" w:rsidTr="001615EC">
        <w:tc>
          <w:tcPr>
            <w:tcW w:w="3114" w:type="dxa"/>
            <w:tcBorders>
              <w:bottom w:val="nil"/>
            </w:tcBorders>
            <w:shd w:val="clear" w:color="auto" w:fill="F2CEED" w:themeFill="accent5" w:themeFillTint="33"/>
          </w:tcPr>
          <w:p w14:paraId="0598217A" w14:textId="77777777" w:rsidR="00DA0825" w:rsidRPr="006415A4" w:rsidRDefault="00DA0825" w:rsidP="00DA0825">
            <w:pPr>
              <w:rPr>
                <w:b/>
                <w:bCs/>
                <w:sz w:val="20"/>
                <w:szCs w:val="20"/>
              </w:rPr>
            </w:pPr>
            <w:r w:rsidRPr="006415A4">
              <w:rPr>
                <w:b/>
                <w:bCs/>
                <w:sz w:val="20"/>
                <w:szCs w:val="20"/>
              </w:rPr>
              <w:t>Public Hospital</w:t>
            </w:r>
          </w:p>
        </w:tc>
        <w:tc>
          <w:tcPr>
            <w:tcW w:w="1701" w:type="dxa"/>
            <w:shd w:val="clear" w:color="auto" w:fill="F2CEED" w:themeFill="accent5" w:themeFillTint="33"/>
          </w:tcPr>
          <w:p w14:paraId="3848F187" w14:textId="77777777" w:rsidR="00DA0825" w:rsidRPr="006415A4" w:rsidRDefault="00DA0825" w:rsidP="00DA0825">
            <w:pPr>
              <w:rPr>
                <w:sz w:val="20"/>
                <w:szCs w:val="20"/>
              </w:rPr>
            </w:pPr>
            <w:r w:rsidRPr="006415A4">
              <w:rPr>
                <w:sz w:val="20"/>
                <w:szCs w:val="20"/>
              </w:rPr>
              <w:t>High Risk</w:t>
            </w:r>
          </w:p>
        </w:tc>
        <w:tc>
          <w:tcPr>
            <w:tcW w:w="1559" w:type="dxa"/>
          </w:tcPr>
          <w:p w14:paraId="6166A853" w14:textId="62C78D1A" w:rsidR="00DA0825" w:rsidRPr="006415A4" w:rsidRDefault="00494C1E" w:rsidP="00DA0825">
            <w:pPr>
              <w:jc w:val="right"/>
              <w:rPr>
                <w:sz w:val="20"/>
                <w:szCs w:val="20"/>
              </w:rPr>
            </w:pPr>
            <w:r w:rsidRPr="006415A4">
              <w:rPr>
                <w:sz w:val="20"/>
                <w:szCs w:val="20"/>
              </w:rPr>
              <w:t>3-4</w:t>
            </w:r>
          </w:p>
        </w:tc>
        <w:tc>
          <w:tcPr>
            <w:tcW w:w="2642" w:type="dxa"/>
            <w:vMerge/>
          </w:tcPr>
          <w:p w14:paraId="3A5461A7" w14:textId="77777777" w:rsidR="00DA0825" w:rsidRPr="00DA0825" w:rsidRDefault="00DA0825" w:rsidP="00DA0825"/>
        </w:tc>
      </w:tr>
      <w:tr w:rsidR="00DA0825" w:rsidRPr="00DA0825" w14:paraId="5D944A55" w14:textId="77777777" w:rsidTr="001615EC">
        <w:tc>
          <w:tcPr>
            <w:tcW w:w="3114" w:type="dxa"/>
            <w:tcBorders>
              <w:top w:val="nil"/>
            </w:tcBorders>
            <w:shd w:val="clear" w:color="auto" w:fill="F2CEED" w:themeFill="accent5" w:themeFillTint="33"/>
          </w:tcPr>
          <w:p w14:paraId="0C8FE675" w14:textId="77777777" w:rsidR="00DA0825" w:rsidRPr="006415A4" w:rsidRDefault="00DA0825" w:rsidP="00DA0825">
            <w:pPr>
              <w:rPr>
                <w:b/>
                <w:bCs/>
                <w:sz w:val="20"/>
                <w:szCs w:val="20"/>
              </w:rPr>
            </w:pPr>
          </w:p>
        </w:tc>
        <w:tc>
          <w:tcPr>
            <w:tcW w:w="1701" w:type="dxa"/>
            <w:shd w:val="clear" w:color="auto" w:fill="F2CEED" w:themeFill="accent5" w:themeFillTint="33"/>
          </w:tcPr>
          <w:p w14:paraId="0788BFF1" w14:textId="77777777" w:rsidR="00DA0825" w:rsidRPr="006415A4" w:rsidRDefault="00DA0825" w:rsidP="00DA0825">
            <w:pPr>
              <w:rPr>
                <w:sz w:val="20"/>
                <w:szCs w:val="20"/>
              </w:rPr>
            </w:pPr>
            <w:r w:rsidRPr="006415A4">
              <w:rPr>
                <w:sz w:val="20"/>
                <w:szCs w:val="20"/>
              </w:rPr>
              <w:t>Medium Risk</w:t>
            </w:r>
          </w:p>
        </w:tc>
        <w:tc>
          <w:tcPr>
            <w:tcW w:w="1559" w:type="dxa"/>
          </w:tcPr>
          <w:p w14:paraId="24384530" w14:textId="7FABEB9B" w:rsidR="00DA0825" w:rsidRPr="006415A4" w:rsidRDefault="00494C1E" w:rsidP="00DA0825">
            <w:pPr>
              <w:jc w:val="right"/>
              <w:rPr>
                <w:sz w:val="20"/>
                <w:szCs w:val="20"/>
              </w:rPr>
            </w:pPr>
            <w:r w:rsidRPr="006415A4">
              <w:rPr>
                <w:sz w:val="20"/>
                <w:szCs w:val="20"/>
              </w:rPr>
              <w:t>3-4</w:t>
            </w:r>
          </w:p>
        </w:tc>
        <w:tc>
          <w:tcPr>
            <w:tcW w:w="2642" w:type="dxa"/>
            <w:vMerge/>
          </w:tcPr>
          <w:p w14:paraId="1DC3049A" w14:textId="77777777" w:rsidR="00DA0825" w:rsidRPr="00DA0825" w:rsidRDefault="00DA0825" w:rsidP="00DA0825"/>
        </w:tc>
      </w:tr>
    </w:tbl>
    <w:p w14:paraId="1CF4762C" w14:textId="77777777" w:rsidR="00DA0825" w:rsidRPr="00DA0825" w:rsidRDefault="00DA0825" w:rsidP="00DA0825"/>
    <w:p w14:paraId="696640E9"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Reportable volumes</w:t>
      </w:r>
    </w:p>
    <w:p w14:paraId="12D51D10" w14:textId="77777777" w:rsidR="00DA0825" w:rsidRPr="00DA0825" w:rsidRDefault="00DA0825" w:rsidP="00DA0825">
      <w:pPr>
        <w:rPr>
          <w:u w:val="single"/>
        </w:rPr>
      </w:pPr>
      <w:r w:rsidRPr="00DA0825">
        <w:rPr>
          <w:u w:val="single"/>
        </w:rPr>
        <w:t>Increase in total incidents reported</w:t>
      </w:r>
    </w:p>
    <w:p w14:paraId="14C8B04E" w14:textId="215BB9AA" w:rsidR="00DA0825" w:rsidRPr="00DA0825" w:rsidRDefault="00DA0825" w:rsidP="00DA0825">
      <w:r w:rsidRPr="00DA0825">
        <w:t xml:space="preserve">The TGA currently experiences around </w:t>
      </w:r>
      <w:r w:rsidR="00470FFD">
        <w:t xml:space="preserve">10,000 </w:t>
      </w:r>
      <w:r w:rsidRPr="00DA0825">
        <w:t>medical device incident reports per year</w:t>
      </w:r>
      <w:r w:rsidR="00042BBA">
        <w:rPr>
          <w:rStyle w:val="FootnoteReference"/>
        </w:rPr>
        <w:footnoteReference w:id="94"/>
      </w:r>
      <w:r w:rsidRPr="00DA0825">
        <w:t xml:space="preserve">, with around 90% coming from sponsors. When Canada and the US introduced their regulations around mandatory reporting by hospitals, they not only saw an increase in reporting by hospitals, but </w:t>
      </w:r>
      <w:r w:rsidRPr="00DA0825">
        <w:rPr>
          <w:b/>
          <w:bCs/>
        </w:rPr>
        <w:t>also a material increase in reports by manufacturers who were already subject to existing mandatory reporting requirements</w:t>
      </w:r>
      <w:r w:rsidRPr="00DA0825">
        <w:t>. Specifically</w:t>
      </w:r>
    </w:p>
    <w:p w14:paraId="72204A5E" w14:textId="77777777" w:rsidR="00DA0825" w:rsidRPr="00DA0825" w:rsidRDefault="00DA0825" w:rsidP="00082264">
      <w:pPr>
        <w:numPr>
          <w:ilvl w:val="0"/>
          <w:numId w:val="32"/>
        </w:numPr>
        <w:spacing w:after="480" w:line="240" w:lineRule="auto"/>
        <w:contextualSpacing/>
        <w:rPr>
          <w:kern w:val="2"/>
          <w:sz w:val="22"/>
          <w:szCs w:val="22"/>
          <w14:ligatures w14:val="standardContextual"/>
        </w:rPr>
      </w:pPr>
      <w:r w:rsidRPr="00DA0825">
        <w:rPr>
          <w:kern w:val="2"/>
          <w14:ligatures w14:val="standardContextual"/>
        </w:rPr>
        <w:t>There was an ~6x increase in reports by US manufacturers before and after 1991:</w:t>
      </w:r>
    </w:p>
    <w:p w14:paraId="6C0CDA0E" w14:textId="4E0643EF" w:rsidR="00282691" w:rsidRDefault="00282691" w:rsidP="00B37DCC">
      <w:pPr>
        <w:pStyle w:val="Caption"/>
        <w:keepNext/>
      </w:pPr>
      <w:r>
        <w:rPr>
          <w:noProof/>
          <w:lang w:eastAsia="en-AU"/>
        </w:rPr>
        <w:drawing>
          <wp:anchor distT="0" distB="0" distL="114300" distR="114300" simplePos="0" relativeHeight="251645440" behindDoc="0" locked="0" layoutInCell="1" allowOverlap="1" wp14:anchorId="4B1CF47C" wp14:editId="35783CBF">
            <wp:simplePos x="0" y="0"/>
            <wp:positionH relativeFrom="column">
              <wp:posOffset>3002507</wp:posOffset>
            </wp:positionH>
            <wp:positionV relativeFrom="paragraph">
              <wp:posOffset>213692</wp:posOffset>
            </wp:positionV>
            <wp:extent cx="2315210" cy="409575"/>
            <wp:effectExtent l="0" t="0" r="8890" b="9525"/>
            <wp:wrapNone/>
            <wp:docPr id="998742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5210" cy="409575"/>
                    </a:xfrm>
                    <a:prstGeom prst="rect">
                      <a:avLst/>
                    </a:prstGeom>
                    <a:noFill/>
                  </pic:spPr>
                </pic:pic>
              </a:graphicData>
            </a:graphic>
          </wp:anchor>
        </w:drawing>
      </w:r>
      <w:r>
        <w:t xml:space="preserve">Figure </w:t>
      </w:r>
      <w:r w:rsidR="00107ACB">
        <w:t>2</w:t>
      </w:r>
      <w:r w:rsidR="00D346FC">
        <w:t>1</w:t>
      </w:r>
      <w:r>
        <w:t xml:space="preserve"> - US reported incidents</w:t>
      </w:r>
    </w:p>
    <w:p w14:paraId="5BD1F487" w14:textId="08229247" w:rsidR="00DA0825" w:rsidRPr="00DA0825" w:rsidRDefault="00DA0825" w:rsidP="00DA0825">
      <w:r w:rsidRPr="00DA0825">
        <w:rPr>
          <w:noProof/>
          <w:lang w:eastAsia="en-AU"/>
        </w:rPr>
        <w:drawing>
          <wp:inline distT="0" distB="0" distL="0" distR="0" wp14:anchorId="047828EE" wp14:editId="10C6E005">
            <wp:extent cx="5731510" cy="2126615"/>
            <wp:effectExtent l="0" t="0" r="2540" b="6985"/>
            <wp:docPr id="63748915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9157" name="Picture 1" descr="A graph of a number of people&#10;&#10;Description automatically generated with medium confidence"/>
                    <pic:cNvPicPr/>
                  </pic:nvPicPr>
                  <pic:blipFill>
                    <a:blip r:embed="rId54"/>
                    <a:stretch>
                      <a:fillRect/>
                    </a:stretch>
                  </pic:blipFill>
                  <pic:spPr>
                    <a:xfrm>
                      <a:off x="0" y="0"/>
                      <a:ext cx="5731510" cy="2126615"/>
                    </a:xfrm>
                    <a:prstGeom prst="rect">
                      <a:avLst/>
                    </a:prstGeom>
                  </pic:spPr>
                </pic:pic>
              </a:graphicData>
            </a:graphic>
          </wp:inline>
        </w:drawing>
      </w:r>
    </w:p>
    <w:p w14:paraId="209ECCF7" w14:textId="77777777" w:rsidR="00DA0825" w:rsidRPr="00DA0825" w:rsidRDefault="00DA0825" w:rsidP="00DA0825"/>
    <w:p w14:paraId="0729E51E" w14:textId="77777777" w:rsidR="00DA0825" w:rsidRPr="00DA0825" w:rsidRDefault="00DA0825" w:rsidP="00082264">
      <w:pPr>
        <w:numPr>
          <w:ilvl w:val="0"/>
          <w:numId w:val="32"/>
        </w:numPr>
        <w:spacing w:after="480" w:line="240" w:lineRule="auto"/>
        <w:contextualSpacing/>
        <w:rPr>
          <w:kern w:val="2"/>
          <w14:ligatures w14:val="standardContextual"/>
        </w:rPr>
      </w:pPr>
      <w:r w:rsidRPr="00DA0825">
        <w:rPr>
          <w:kern w:val="2"/>
          <w14:ligatures w14:val="standardContextual"/>
        </w:rPr>
        <w:t>There was a ~14x corresponding increase for manufacturers in Canada around 2018:</w:t>
      </w:r>
    </w:p>
    <w:p w14:paraId="5ED813DE" w14:textId="795AB60A" w:rsidR="002D41F4" w:rsidRDefault="002D41F4" w:rsidP="00B37DCC">
      <w:pPr>
        <w:pStyle w:val="Caption"/>
        <w:keepNext/>
      </w:pPr>
      <w:r>
        <w:t xml:space="preserve">Figure </w:t>
      </w:r>
      <w:r w:rsidR="008056A1">
        <w:t>2</w:t>
      </w:r>
      <w:r w:rsidR="00D346FC">
        <w:t>2</w:t>
      </w:r>
      <w:r>
        <w:t xml:space="preserve"> - Canada reported incidents</w:t>
      </w:r>
    </w:p>
    <w:p w14:paraId="6D476B04" w14:textId="77777777" w:rsidR="00DA0825" w:rsidRPr="00DA0825" w:rsidRDefault="00DA0825" w:rsidP="00DA0825">
      <w:r w:rsidRPr="00DA0825">
        <w:rPr>
          <w:noProof/>
          <w:lang w:eastAsia="en-AU"/>
        </w:rPr>
        <w:drawing>
          <wp:inline distT="0" distB="0" distL="0" distR="0" wp14:anchorId="388CE414" wp14:editId="101698F4">
            <wp:extent cx="5731510" cy="2197100"/>
            <wp:effectExtent l="0" t="0" r="2540" b="0"/>
            <wp:docPr id="1976373982" name="Picture 1" descr="A graph of the number of compa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3982" name="Picture 1" descr="A graph of the number of companies&#10;&#10;Description automatically generated"/>
                    <pic:cNvPicPr/>
                  </pic:nvPicPr>
                  <pic:blipFill>
                    <a:blip r:embed="rId55"/>
                    <a:stretch>
                      <a:fillRect/>
                    </a:stretch>
                  </pic:blipFill>
                  <pic:spPr>
                    <a:xfrm>
                      <a:off x="0" y="0"/>
                      <a:ext cx="5731510" cy="2197100"/>
                    </a:xfrm>
                    <a:prstGeom prst="rect">
                      <a:avLst/>
                    </a:prstGeom>
                  </pic:spPr>
                </pic:pic>
              </a:graphicData>
            </a:graphic>
          </wp:inline>
        </w:drawing>
      </w:r>
    </w:p>
    <w:p w14:paraId="67E15E5A" w14:textId="77777777" w:rsidR="00DA0825" w:rsidRPr="00DA0825" w:rsidRDefault="00DA0825" w:rsidP="00DA0825"/>
    <w:p w14:paraId="4BEDA419" w14:textId="77777777" w:rsidR="00DA0825" w:rsidRPr="00DA0825" w:rsidRDefault="00DA0825" w:rsidP="00DA0825">
      <w:r w:rsidRPr="00DA0825">
        <w:rPr>
          <w:b/>
          <w:bCs/>
        </w:rPr>
        <w:t>Based on the above we’ve assumed a one-off and immediate 10x increase in the total number reported incidents of adverse effects relating to medical devices for the Australian scenario at the time mandatory regulation commences.</w:t>
      </w:r>
      <w:r w:rsidRPr="00DA0825">
        <w:t xml:space="preserve"> This assumption implies:</w:t>
      </w:r>
    </w:p>
    <w:p w14:paraId="76BD2128" w14:textId="09010C44" w:rsidR="00DA0825" w:rsidRPr="00DA0825" w:rsidRDefault="00884906" w:rsidP="00DA0825">
      <w:pPr>
        <w:numPr>
          <w:ilvl w:val="0"/>
          <w:numId w:val="1"/>
        </w:numPr>
        <w:spacing w:before="120" w:after="180" w:line="240" w:lineRule="atLeast"/>
        <w:rPr>
          <w:rFonts w:eastAsia="Cambria" w:cs="Times New Roman"/>
        </w:rPr>
      </w:pPr>
      <w:r>
        <w:rPr>
          <w:rFonts w:eastAsia="Cambria" w:cs="Times New Roman"/>
          <w:b/>
          <w:bCs/>
        </w:rPr>
        <w:t>100</w:t>
      </w:r>
      <w:r w:rsidR="00DA0825" w:rsidRPr="00DA0825">
        <w:rPr>
          <w:rFonts w:eastAsia="Cambria" w:cs="Times New Roman"/>
          <w:b/>
          <w:bCs/>
        </w:rPr>
        <w:t>,000 reports annually</w:t>
      </w:r>
      <w:r w:rsidR="00DA0825" w:rsidRPr="00DA0825">
        <w:rPr>
          <w:rFonts w:eastAsia="Cambria" w:cs="Times New Roman"/>
        </w:rPr>
        <w:t xml:space="preserve"> (in total from across all report sources) going forward rather than the current </w:t>
      </w:r>
      <w:r w:rsidR="00D3115E">
        <w:rPr>
          <w:rFonts w:eastAsia="Cambria" w:cs="Times New Roman"/>
        </w:rPr>
        <w:t>10,</w:t>
      </w:r>
      <w:r w:rsidR="00DA0825" w:rsidRPr="00DA0825">
        <w:rPr>
          <w:rFonts w:eastAsia="Cambria" w:cs="Times New Roman"/>
        </w:rPr>
        <w:t>00</w:t>
      </w:r>
      <w:r w:rsidR="00D3115E">
        <w:rPr>
          <w:rFonts w:eastAsia="Cambria" w:cs="Times New Roman"/>
        </w:rPr>
        <w:t>0</w:t>
      </w:r>
      <w:r w:rsidR="00DA0825" w:rsidRPr="00DA0825">
        <w:rPr>
          <w:rFonts w:eastAsia="Cambria" w:cs="Times New Roman"/>
        </w:rPr>
        <w:t xml:space="preserve"> per year; and</w:t>
      </w:r>
    </w:p>
    <w:p w14:paraId="50ADDFB6" w14:textId="77777777" w:rsidR="00DA0825" w:rsidRPr="00DA0825" w:rsidRDefault="00DA0825" w:rsidP="00DA0825">
      <w:pPr>
        <w:numPr>
          <w:ilvl w:val="0"/>
          <w:numId w:val="1"/>
        </w:numPr>
        <w:spacing w:before="120" w:after="180" w:line="240" w:lineRule="atLeast"/>
        <w:rPr>
          <w:rFonts w:eastAsia="Cambria" w:cs="Times New Roman"/>
        </w:rPr>
      </w:pPr>
      <w:r w:rsidRPr="00DA0825">
        <w:rPr>
          <w:rFonts w:eastAsia="Cambria" w:cs="Times New Roman"/>
        </w:rPr>
        <w:t xml:space="preserve">is akin to assuming that </w:t>
      </w:r>
      <w:r w:rsidRPr="00DA0825">
        <w:rPr>
          <w:rFonts w:eastAsia="Cambria" w:cs="Times New Roman"/>
          <w:b/>
          <w:bCs/>
        </w:rPr>
        <w:t>only 10% of incidents are being currently reported</w:t>
      </w:r>
      <w:r w:rsidRPr="00DA0825">
        <w:rPr>
          <w:rFonts w:eastAsia="Cambria" w:cs="Times New Roman"/>
        </w:rPr>
        <w:t>.</w:t>
      </w:r>
    </w:p>
    <w:p w14:paraId="396C1D6A" w14:textId="77777777" w:rsidR="00DA0825" w:rsidRPr="00DA0825" w:rsidRDefault="00DA0825" w:rsidP="00DA0825">
      <w:r w:rsidRPr="00DA0825">
        <w:t>While these numbers appear extreme, they are relatively conservative in comparison to the 5% or 0.5% figures suggested by some of the literature (which would imply a 20x and 200x increase respectively in reporting volumes).</w:t>
      </w:r>
    </w:p>
    <w:p w14:paraId="03B12C40" w14:textId="77777777" w:rsidR="00DA0825" w:rsidRPr="00DA0825" w:rsidRDefault="00DA0825" w:rsidP="00DA0825"/>
    <w:p w14:paraId="3EFB4454" w14:textId="77777777" w:rsidR="00DA0825" w:rsidRPr="00DA0825" w:rsidRDefault="00DA0825" w:rsidP="00DA0825">
      <w:pPr>
        <w:rPr>
          <w:u w:val="single"/>
        </w:rPr>
      </w:pPr>
      <w:r w:rsidRPr="00DA0825">
        <w:rPr>
          <w:u w:val="single"/>
        </w:rPr>
        <w:t>Increase in incidents reported by hospitals</w:t>
      </w:r>
    </w:p>
    <w:p w14:paraId="48792361" w14:textId="7D5B4720" w:rsidR="00DA0825" w:rsidRPr="00DA0825" w:rsidRDefault="00DA0825" w:rsidP="00DA0825">
      <w:r w:rsidRPr="00DA0825">
        <w:t>Focusing just on hospitals, in the US and Canadian data there is large variation in the impact of regulation on the number of incidents reported by hospitals specifically, and in the US the hospitals can just report directly to manufacturers to satisfy their regulatory requirement</w:t>
      </w:r>
      <w:r w:rsidR="006244A8">
        <w:t>,</w:t>
      </w:r>
      <w:r w:rsidRPr="00DA0825">
        <w:t xml:space="preserve"> which also muddies the waters.</w:t>
      </w:r>
    </w:p>
    <w:p w14:paraId="6A4F2A69" w14:textId="3CC3123A" w:rsidR="00DA0825" w:rsidRPr="00DA0825" w:rsidRDefault="00DA0825" w:rsidP="00DA0825">
      <w:r>
        <w:t xml:space="preserve">Hence, </w:t>
      </w:r>
      <w:r w:rsidRPr="23689D7B">
        <w:rPr>
          <w:b/>
          <w:bCs/>
        </w:rPr>
        <w:t>it has been</w:t>
      </w:r>
      <w:r>
        <w:t xml:space="preserve"> </w:t>
      </w:r>
      <w:r w:rsidRPr="23689D7B">
        <w:rPr>
          <w:b/>
          <w:bCs/>
        </w:rPr>
        <w:t xml:space="preserve">assumed that 10% of the new total incidents reported are at least reported by hospitals, i.e., </w:t>
      </w:r>
      <w:r w:rsidR="00150FB2" w:rsidRPr="23689D7B">
        <w:rPr>
          <w:b/>
          <w:bCs/>
        </w:rPr>
        <w:t xml:space="preserve">10,000 </w:t>
      </w:r>
      <w:r w:rsidRPr="23689D7B">
        <w:rPr>
          <w:b/>
          <w:bCs/>
        </w:rPr>
        <w:t>reports across public and private</w:t>
      </w:r>
      <w:r>
        <w:t xml:space="preserve"> (noting there can be double counting across reporting by hospitals and manufacturers). This implies approximately </w:t>
      </w:r>
      <w:r w:rsidR="006803B1" w:rsidRPr="23689D7B">
        <w:rPr>
          <w:b/>
          <w:bCs/>
        </w:rPr>
        <w:t>5</w:t>
      </w:r>
      <w:r w:rsidR="001A0F6A" w:rsidRPr="23689D7B">
        <w:rPr>
          <w:b/>
          <w:bCs/>
        </w:rPr>
        <w:t>,</w:t>
      </w:r>
      <w:r w:rsidR="006803B1" w:rsidRPr="23689D7B">
        <w:rPr>
          <w:b/>
          <w:bCs/>
        </w:rPr>
        <w:t xml:space="preserve">000 </w:t>
      </w:r>
      <w:r w:rsidRPr="23689D7B">
        <w:rPr>
          <w:b/>
          <w:bCs/>
        </w:rPr>
        <w:t>new reports being submitted by private hospitals</w:t>
      </w:r>
      <w:r>
        <w:t xml:space="preserve"> given the relative counts of public and private hospitals.</w:t>
      </w:r>
      <w:r w:rsidR="001073A1">
        <w:t xml:space="preserve"> This assumption is based on the most comparable overseas data in Canada. In 2019, mandatory reporting was introduced </w:t>
      </w:r>
      <w:r w:rsidR="001073A1" w:rsidRPr="001073A1">
        <w:t>for manufacturers</w:t>
      </w:r>
      <w:r w:rsidR="001073A1">
        <w:t xml:space="preserve"> with </w:t>
      </w:r>
      <w:r w:rsidR="001073A1" w:rsidRPr="001073A1">
        <w:t>reports surg</w:t>
      </w:r>
      <w:r w:rsidR="001073A1">
        <w:t>ing</w:t>
      </w:r>
      <w:r w:rsidR="001073A1" w:rsidRPr="001073A1">
        <w:t xml:space="preserve"> from 1,185 per year (2015-2017) to 16,834 (2019-2021), with hospitals contributing only 1,844 of these. Hospital reporting prompted manufacturers to be more thorough, but less than 10% of the increase was due to hospitals. This supports our assumption that only 10% of the reporting increase in Australia will come from new hospital reporting, with the rest from more thorough manufacturer reporting, similar to Canada</w:t>
      </w:r>
      <w:r w:rsidR="00783B1E">
        <w:t>.</w:t>
      </w:r>
    </w:p>
    <w:p w14:paraId="7A1AE6BE" w14:textId="085B9388" w:rsidR="00DA0825" w:rsidRPr="00DA0825" w:rsidRDefault="00DA0825" w:rsidP="00DA0825">
      <w:r>
        <w:t xml:space="preserve">Further </w:t>
      </w:r>
      <w:r w:rsidRPr="23689D7B">
        <w:rPr>
          <w:b/>
          <w:bCs/>
        </w:rPr>
        <w:t>the total of these reports have been assumed to split 4:2:1 across private hospitals with High:Medium:Low exposure to incidents</w:t>
      </w:r>
      <w:r>
        <w:t>, i.e. incidents are twice as likely in High exposure facilities than Medium, which are in turn twice as likely to be exposed to incidents as Low exposure facilities.</w:t>
      </w:r>
    </w:p>
    <w:p w14:paraId="4D95DA03" w14:textId="733DE39C" w:rsidR="00292FDB" w:rsidRPr="00292FDB" w:rsidRDefault="00DA0825" w:rsidP="00292FDB">
      <w:r w:rsidRPr="23689D7B">
        <w:rPr>
          <w:b/>
          <w:bCs/>
        </w:rPr>
        <w:t>Residential Aged Care facilities</w:t>
      </w:r>
      <w:r>
        <w:t xml:space="preserve"> have been assumed to have similar incident exposure to Low exposure hospitals</w:t>
      </w:r>
      <w:r w:rsidR="00292FDB" w:rsidRPr="00292FDB">
        <w:t xml:space="preserve"> i.e. around </w:t>
      </w:r>
      <w:r w:rsidR="0015512D">
        <w:t>two</w:t>
      </w:r>
      <w:r w:rsidR="00292FDB" w:rsidRPr="00292FDB">
        <w:t xml:space="preserve"> per year.</w:t>
      </w:r>
    </w:p>
    <w:p w14:paraId="7512F6BD" w14:textId="08D971BF" w:rsidR="00DA0825" w:rsidRPr="00DA0825" w:rsidRDefault="00DA0825" w:rsidP="00DA0825"/>
    <w:p w14:paraId="7390AA44" w14:textId="30F7FA7E" w:rsidR="00DA0825" w:rsidRPr="00DA0825" w:rsidRDefault="00DA0825" w:rsidP="00DA0825">
      <w:r w:rsidRPr="00DA0825">
        <w:t xml:space="preserve">For </w:t>
      </w:r>
      <w:r w:rsidRPr="00DA0825">
        <w:rPr>
          <w:b/>
          <w:bCs/>
        </w:rPr>
        <w:t>Public Hospitals</w:t>
      </w:r>
      <w:r w:rsidRPr="00DA0825">
        <w:t xml:space="preserve"> the assumed rate is akin to a blended rate for the private hospitals and is </w:t>
      </w:r>
      <w:r w:rsidR="00D91465">
        <w:t>~</w:t>
      </w:r>
      <w:r w:rsidRPr="00DA0825">
        <w:t>6</w:t>
      </w:r>
      <w:r w:rsidR="00D91465">
        <w:t xml:space="preserve"> to 7</w:t>
      </w:r>
      <w:r w:rsidRPr="00DA0825">
        <w:t xml:space="preserve"> per year. </w:t>
      </w:r>
    </w:p>
    <w:p w14:paraId="0FE0EB6A" w14:textId="77777777" w:rsidR="00DA0825" w:rsidRPr="00DA0825" w:rsidRDefault="00DA0825" w:rsidP="00DA0825">
      <w:r w:rsidRPr="00DA0825">
        <w:t>The frequency of reports for each facility is summarised in the table below.</w:t>
      </w:r>
    </w:p>
    <w:p w14:paraId="10620FD6" w14:textId="6329C86C" w:rsidR="00DA0825" w:rsidRPr="00DA0825" w:rsidRDefault="00107ACB" w:rsidP="00DA0825">
      <w:pPr>
        <w:spacing w:after="200" w:line="240" w:lineRule="auto"/>
        <w:rPr>
          <w:i/>
          <w:iCs/>
          <w:color w:val="0E2841" w:themeColor="text2"/>
          <w:kern w:val="2"/>
          <w:sz w:val="18"/>
          <w:szCs w:val="18"/>
          <w14:ligatures w14:val="standardContextual"/>
        </w:rPr>
      </w:pPr>
      <w:r>
        <w:rPr>
          <w:i/>
          <w:iCs/>
          <w:color w:val="0E2841" w:themeColor="text2"/>
          <w:kern w:val="2"/>
          <w:sz w:val="18"/>
          <w:szCs w:val="18"/>
          <w14:ligatures w14:val="standardContextual"/>
        </w:rPr>
        <w:t>Table 23</w:t>
      </w:r>
      <w:r w:rsidR="002D41F4">
        <w:rPr>
          <w:i/>
          <w:iCs/>
          <w:color w:val="0E2841" w:themeColor="text2"/>
          <w:kern w:val="2"/>
          <w:sz w:val="18"/>
          <w:szCs w:val="18"/>
          <w14:ligatures w14:val="standardContextual"/>
        </w:rPr>
        <w:t xml:space="preserve"> -</w:t>
      </w:r>
      <w:r w:rsidR="00DA0825" w:rsidRPr="00DA0825">
        <w:rPr>
          <w:i/>
          <w:iCs/>
          <w:color w:val="0E2841" w:themeColor="text2"/>
          <w:kern w:val="2"/>
          <w:sz w:val="18"/>
          <w:szCs w:val="18"/>
          <w14:ligatures w14:val="standardContextual"/>
        </w:rPr>
        <w:t xml:space="preserve"> Estimated reports per hospital</w:t>
      </w:r>
      <w:r w:rsidR="008B5A89">
        <w:rPr>
          <w:i/>
          <w:iCs/>
          <w:color w:val="0E2841" w:themeColor="text2"/>
          <w:kern w:val="2"/>
          <w:sz w:val="18"/>
          <w:szCs w:val="18"/>
          <w14:ligatures w14:val="standardContextual"/>
        </w:rPr>
        <w:t xml:space="preserve"> (private and public)</w:t>
      </w:r>
    </w:p>
    <w:tbl>
      <w:tblPr>
        <w:tblStyle w:val="TableGrid"/>
        <w:tblW w:w="0" w:type="auto"/>
        <w:tblLook w:val="04A0" w:firstRow="1" w:lastRow="0" w:firstColumn="1" w:lastColumn="0" w:noHBand="0" w:noVBand="1"/>
      </w:tblPr>
      <w:tblGrid>
        <w:gridCol w:w="2358"/>
        <w:gridCol w:w="1283"/>
        <w:gridCol w:w="2562"/>
        <w:gridCol w:w="2813"/>
      </w:tblGrid>
      <w:tr w:rsidR="00477E8F" w14:paraId="4125BCD9" w14:textId="77777777" w:rsidTr="00796A65">
        <w:tc>
          <w:tcPr>
            <w:tcW w:w="235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4A823C7" w14:textId="7DA5B1D9" w:rsidR="00477E8F" w:rsidRPr="006415A4" w:rsidRDefault="00477E8F">
            <w:pPr>
              <w:rPr>
                <w:rFonts w:asciiTheme="minorHAnsi" w:hAnsiTheme="minorHAnsi"/>
                <w:b/>
                <w:bCs/>
                <w:sz w:val="20"/>
                <w:szCs w:val="20"/>
              </w:rPr>
            </w:pPr>
            <w:r w:rsidRPr="006415A4">
              <w:rPr>
                <w:b/>
                <w:bCs/>
                <w:sz w:val="20"/>
                <w:szCs w:val="20"/>
              </w:rPr>
              <w:t>Type of facility</w:t>
            </w:r>
            <w:r w:rsidR="008B5A89">
              <w:rPr>
                <w:b/>
                <w:bCs/>
                <w:sz w:val="20"/>
                <w:szCs w:val="20"/>
              </w:rPr>
              <w:t xml:space="preserve"> </w:t>
            </w:r>
          </w:p>
        </w:tc>
        <w:tc>
          <w:tcPr>
            <w:tcW w:w="1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7157E5" w14:textId="77777777" w:rsidR="00477E8F" w:rsidRPr="006415A4" w:rsidRDefault="00477E8F">
            <w:pPr>
              <w:rPr>
                <w:b/>
                <w:bCs/>
                <w:sz w:val="20"/>
                <w:szCs w:val="20"/>
              </w:rPr>
            </w:pPr>
            <w:r w:rsidRPr="006415A4">
              <w:rPr>
                <w:b/>
                <w:bCs/>
                <w:sz w:val="20"/>
                <w:szCs w:val="20"/>
              </w:rPr>
              <w:t>Reports</w:t>
            </w:r>
          </w:p>
        </w:tc>
        <w:tc>
          <w:tcPr>
            <w:tcW w:w="25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445B46C" w14:textId="77777777" w:rsidR="00477E8F" w:rsidRPr="006415A4" w:rsidRDefault="00477E8F">
            <w:pPr>
              <w:rPr>
                <w:b/>
                <w:bCs/>
                <w:sz w:val="20"/>
                <w:szCs w:val="20"/>
              </w:rPr>
            </w:pPr>
            <w:r w:rsidRPr="006415A4">
              <w:rPr>
                <w:b/>
                <w:bCs/>
                <w:sz w:val="20"/>
                <w:szCs w:val="20"/>
              </w:rPr>
              <w:t>Number of hospitals</w:t>
            </w:r>
          </w:p>
        </w:tc>
        <w:tc>
          <w:tcPr>
            <w:tcW w:w="281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2770F8" w14:textId="77777777" w:rsidR="00477E8F" w:rsidRPr="006415A4" w:rsidRDefault="00477E8F">
            <w:pPr>
              <w:rPr>
                <w:b/>
                <w:bCs/>
                <w:sz w:val="20"/>
                <w:szCs w:val="20"/>
              </w:rPr>
            </w:pPr>
            <w:r w:rsidRPr="006415A4">
              <w:rPr>
                <w:b/>
                <w:bCs/>
                <w:sz w:val="20"/>
                <w:szCs w:val="20"/>
              </w:rPr>
              <w:t>Reports per hospital per year</w:t>
            </w:r>
          </w:p>
        </w:tc>
      </w:tr>
      <w:tr w:rsidR="00477E8F" w14:paraId="00650702" w14:textId="77777777" w:rsidTr="00796A65">
        <w:tc>
          <w:tcPr>
            <w:tcW w:w="2358" w:type="dxa"/>
            <w:tcBorders>
              <w:top w:val="single" w:sz="4" w:space="0" w:color="auto"/>
              <w:left w:val="single" w:sz="4" w:space="0" w:color="auto"/>
              <w:bottom w:val="single" w:sz="4" w:space="0" w:color="auto"/>
              <w:right w:val="single" w:sz="4" w:space="0" w:color="auto"/>
            </w:tcBorders>
            <w:hideMark/>
          </w:tcPr>
          <w:p w14:paraId="5FCABA1B" w14:textId="77777777" w:rsidR="00477E8F" w:rsidRPr="006415A4" w:rsidRDefault="00477E8F">
            <w:pPr>
              <w:rPr>
                <w:sz w:val="20"/>
                <w:szCs w:val="20"/>
              </w:rPr>
            </w:pPr>
            <w:r w:rsidRPr="006415A4">
              <w:rPr>
                <w:sz w:val="20"/>
                <w:szCs w:val="20"/>
              </w:rPr>
              <w:t>Private Hospitals – High exposure</w:t>
            </w:r>
          </w:p>
        </w:tc>
        <w:tc>
          <w:tcPr>
            <w:tcW w:w="1283" w:type="dxa"/>
            <w:tcBorders>
              <w:top w:val="single" w:sz="4" w:space="0" w:color="auto"/>
              <w:left w:val="single" w:sz="4" w:space="0" w:color="auto"/>
              <w:bottom w:val="single" w:sz="4" w:space="0" w:color="auto"/>
              <w:right w:val="single" w:sz="4" w:space="0" w:color="auto"/>
            </w:tcBorders>
            <w:hideMark/>
          </w:tcPr>
          <w:p w14:paraId="7F527F83" w14:textId="77777777" w:rsidR="00477E8F" w:rsidRPr="006415A4" w:rsidRDefault="00477E8F">
            <w:pPr>
              <w:rPr>
                <w:sz w:val="20"/>
                <w:szCs w:val="20"/>
              </w:rPr>
            </w:pPr>
            <w:r w:rsidRPr="006415A4">
              <w:rPr>
                <w:sz w:val="20"/>
                <w:szCs w:val="20"/>
              </w:rPr>
              <w:t>2858</w:t>
            </w:r>
          </w:p>
        </w:tc>
        <w:tc>
          <w:tcPr>
            <w:tcW w:w="2562" w:type="dxa"/>
            <w:tcBorders>
              <w:top w:val="single" w:sz="4" w:space="0" w:color="auto"/>
              <w:left w:val="single" w:sz="4" w:space="0" w:color="auto"/>
              <w:bottom w:val="single" w:sz="4" w:space="0" w:color="auto"/>
              <w:right w:val="single" w:sz="4" w:space="0" w:color="auto"/>
            </w:tcBorders>
            <w:hideMark/>
          </w:tcPr>
          <w:p w14:paraId="1AF2BF66" w14:textId="77777777" w:rsidR="00477E8F" w:rsidRPr="006415A4" w:rsidRDefault="00477E8F">
            <w:pPr>
              <w:rPr>
                <w:sz w:val="20"/>
                <w:szCs w:val="20"/>
              </w:rPr>
            </w:pPr>
            <w:r w:rsidRPr="006415A4">
              <w:rPr>
                <w:sz w:val="20"/>
                <w:szCs w:val="20"/>
              </w:rPr>
              <w:t>101</w:t>
            </w:r>
          </w:p>
        </w:tc>
        <w:tc>
          <w:tcPr>
            <w:tcW w:w="2813" w:type="dxa"/>
            <w:tcBorders>
              <w:top w:val="single" w:sz="4" w:space="0" w:color="auto"/>
              <w:left w:val="single" w:sz="4" w:space="0" w:color="auto"/>
              <w:bottom w:val="single" w:sz="4" w:space="0" w:color="auto"/>
              <w:right w:val="single" w:sz="4" w:space="0" w:color="auto"/>
            </w:tcBorders>
            <w:hideMark/>
          </w:tcPr>
          <w:p w14:paraId="6DA57ACD" w14:textId="073E5189" w:rsidR="00477E8F" w:rsidRPr="006415A4" w:rsidRDefault="009D76A6">
            <w:pPr>
              <w:rPr>
                <w:sz w:val="20"/>
                <w:szCs w:val="20"/>
              </w:rPr>
            </w:pPr>
            <w:r w:rsidRPr="006415A4">
              <w:rPr>
                <w:sz w:val="20"/>
                <w:szCs w:val="20"/>
              </w:rPr>
              <w:t>28</w:t>
            </w:r>
          </w:p>
        </w:tc>
      </w:tr>
      <w:tr w:rsidR="00477E8F" w14:paraId="03D50E72" w14:textId="77777777" w:rsidTr="00796A65">
        <w:tc>
          <w:tcPr>
            <w:tcW w:w="2358" w:type="dxa"/>
            <w:tcBorders>
              <w:top w:val="single" w:sz="4" w:space="0" w:color="auto"/>
              <w:left w:val="single" w:sz="4" w:space="0" w:color="auto"/>
              <w:bottom w:val="single" w:sz="4" w:space="0" w:color="auto"/>
              <w:right w:val="single" w:sz="4" w:space="0" w:color="auto"/>
            </w:tcBorders>
            <w:hideMark/>
          </w:tcPr>
          <w:p w14:paraId="3ECA8702" w14:textId="77777777" w:rsidR="00477E8F" w:rsidRPr="006415A4" w:rsidRDefault="00477E8F">
            <w:pPr>
              <w:rPr>
                <w:sz w:val="20"/>
                <w:szCs w:val="20"/>
              </w:rPr>
            </w:pPr>
            <w:r w:rsidRPr="006415A4">
              <w:rPr>
                <w:sz w:val="20"/>
                <w:szCs w:val="20"/>
              </w:rPr>
              <w:t>Private Hospitals – Medium exposure</w:t>
            </w:r>
          </w:p>
        </w:tc>
        <w:tc>
          <w:tcPr>
            <w:tcW w:w="1283" w:type="dxa"/>
            <w:tcBorders>
              <w:top w:val="single" w:sz="4" w:space="0" w:color="auto"/>
              <w:left w:val="single" w:sz="4" w:space="0" w:color="auto"/>
              <w:bottom w:val="single" w:sz="4" w:space="0" w:color="auto"/>
              <w:right w:val="single" w:sz="4" w:space="0" w:color="auto"/>
            </w:tcBorders>
            <w:hideMark/>
          </w:tcPr>
          <w:p w14:paraId="7AAA22CE" w14:textId="77777777" w:rsidR="00477E8F" w:rsidRPr="006415A4" w:rsidRDefault="00477E8F">
            <w:pPr>
              <w:rPr>
                <w:sz w:val="20"/>
                <w:szCs w:val="20"/>
              </w:rPr>
            </w:pPr>
            <w:r w:rsidRPr="006415A4">
              <w:rPr>
                <w:sz w:val="20"/>
                <w:szCs w:val="20"/>
              </w:rPr>
              <w:t>1429</w:t>
            </w:r>
          </w:p>
        </w:tc>
        <w:tc>
          <w:tcPr>
            <w:tcW w:w="2562" w:type="dxa"/>
            <w:tcBorders>
              <w:top w:val="single" w:sz="4" w:space="0" w:color="auto"/>
              <w:left w:val="single" w:sz="4" w:space="0" w:color="auto"/>
              <w:bottom w:val="single" w:sz="4" w:space="0" w:color="auto"/>
              <w:right w:val="single" w:sz="4" w:space="0" w:color="auto"/>
            </w:tcBorders>
            <w:hideMark/>
          </w:tcPr>
          <w:p w14:paraId="6C062135" w14:textId="77777777" w:rsidR="00477E8F" w:rsidRPr="006415A4" w:rsidRDefault="00477E8F">
            <w:pPr>
              <w:rPr>
                <w:sz w:val="20"/>
                <w:szCs w:val="20"/>
              </w:rPr>
            </w:pPr>
            <w:r w:rsidRPr="006415A4">
              <w:rPr>
                <w:sz w:val="20"/>
                <w:szCs w:val="20"/>
              </w:rPr>
              <w:t>110</w:t>
            </w:r>
          </w:p>
        </w:tc>
        <w:tc>
          <w:tcPr>
            <w:tcW w:w="2813" w:type="dxa"/>
            <w:tcBorders>
              <w:top w:val="single" w:sz="4" w:space="0" w:color="auto"/>
              <w:left w:val="single" w:sz="4" w:space="0" w:color="auto"/>
              <w:bottom w:val="single" w:sz="4" w:space="0" w:color="auto"/>
              <w:right w:val="single" w:sz="4" w:space="0" w:color="auto"/>
            </w:tcBorders>
            <w:hideMark/>
          </w:tcPr>
          <w:p w14:paraId="4234EF81" w14:textId="3FD7838A" w:rsidR="00477E8F" w:rsidRPr="006415A4" w:rsidRDefault="009D76A6">
            <w:pPr>
              <w:rPr>
                <w:sz w:val="20"/>
                <w:szCs w:val="20"/>
              </w:rPr>
            </w:pPr>
            <w:r w:rsidRPr="006415A4">
              <w:rPr>
                <w:sz w:val="20"/>
                <w:szCs w:val="20"/>
              </w:rPr>
              <w:t>13</w:t>
            </w:r>
          </w:p>
        </w:tc>
      </w:tr>
      <w:tr w:rsidR="00477E8F" w14:paraId="470F26BD" w14:textId="77777777" w:rsidTr="00796A65">
        <w:tc>
          <w:tcPr>
            <w:tcW w:w="2358" w:type="dxa"/>
            <w:tcBorders>
              <w:top w:val="single" w:sz="4" w:space="0" w:color="auto"/>
              <w:left w:val="single" w:sz="4" w:space="0" w:color="auto"/>
              <w:bottom w:val="single" w:sz="4" w:space="0" w:color="auto"/>
              <w:right w:val="single" w:sz="4" w:space="0" w:color="auto"/>
            </w:tcBorders>
            <w:hideMark/>
          </w:tcPr>
          <w:p w14:paraId="1F97D214" w14:textId="77777777" w:rsidR="00477E8F" w:rsidRPr="006415A4" w:rsidRDefault="00477E8F">
            <w:pPr>
              <w:rPr>
                <w:sz w:val="20"/>
                <w:szCs w:val="20"/>
              </w:rPr>
            </w:pPr>
            <w:r w:rsidRPr="006415A4">
              <w:rPr>
                <w:sz w:val="20"/>
                <w:szCs w:val="20"/>
              </w:rPr>
              <w:t>Private Hospitals – Low exposure</w:t>
            </w:r>
          </w:p>
        </w:tc>
        <w:tc>
          <w:tcPr>
            <w:tcW w:w="1283" w:type="dxa"/>
            <w:tcBorders>
              <w:top w:val="single" w:sz="4" w:space="0" w:color="auto"/>
              <w:left w:val="single" w:sz="4" w:space="0" w:color="auto"/>
              <w:bottom w:val="single" w:sz="4" w:space="0" w:color="auto"/>
              <w:right w:val="single" w:sz="4" w:space="0" w:color="auto"/>
            </w:tcBorders>
            <w:hideMark/>
          </w:tcPr>
          <w:p w14:paraId="1E63189E" w14:textId="77777777" w:rsidR="00477E8F" w:rsidRPr="006415A4" w:rsidRDefault="00477E8F">
            <w:pPr>
              <w:rPr>
                <w:sz w:val="20"/>
                <w:szCs w:val="20"/>
              </w:rPr>
            </w:pPr>
            <w:r w:rsidRPr="006415A4">
              <w:rPr>
                <w:sz w:val="20"/>
                <w:szCs w:val="20"/>
              </w:rPr>
              <w:t>713</w:t>
            </w:r>
          </w:p>
        </w:tc>
        <w:tc>
          <w:tcPr>
            <w:tcW w:w="2562" w:type="dxa"/>
            <w:tcBorders>
              <w:top w:val="single" w:sz="4" w:space="0" w:color="auto"/>
              <w:left w:val="single" w:sz="4" w:space="0" w:color="auto"/>
              <w:bottom w:val="single" w:sz="4" w:space="0" w:color="auto"/>
              <w:right w:val="single" w:sz="4" w:space="0" w:color="auto"/>
            </w:tcBorders>
            <w:hideMark/>
          </w:tcPr>
          <w:p w14:paraId="5AB42696" w14:textId="77777777" w:rsidR="00477E8F" w:rsidRPr="006415A4" w:rsidRDefault="00477E8F">
            <w:pPr>
              <w:rPr>
                <w:sz w:val="20"/>
                <w:szCs w:val="20"/>
              </w:rPr>
            </w:pPr>
            <w:r w:rsidRPr="006415A4">
              <w:rPr>
                <w:sz w:val="20"/>
                <w:szCs w:val="20"/>
              </w:rPr>
              <w:t>432</w:t>
            </w:r>
          </w:p>
        </w:tc>
        <w:tc>
          <w:tcPr>
            <w:tcW w:w="2813" w:type="dxa"/>
            <w:tcBorders>
              <w:top w:val="single" w:sz="4" w:space="0" w:color="auto"/>
              <w:left w:val="single" w:sz="4" w:space="0" w:color="auto"/>
              <w:bottom w:val="single" w:sz="4" w:space="0" w:color="auto"/>
              <w:right w:val="single" w:sz="4" w:space="0" w:color="auto"/>
            </w:tcBorders>
            <w:hideMark/>
          </w:tcPr>
          <w:p w14:paraId="4C392361" w14:textId="314C5EC3" w:rsidR="00477E8F" w:rsidRPr="006415A4" w:rsidRDefault="009D76A6">
            <w:pPr>
              <w:rPr>
                <w:sz w:val="20"/>
                <w:szCs w:val="20"/>
              </w:rPr>
            </w:pPr>
            <w:r w:rsidRPr="006415A4">
              <w:rPr>
                <w:sz w:val="20"/>
                <w:szCs w:val="20"/>
              </w:rPr>
              <w:t>2</w:t>
            </w:r>
          </w:p>
        </w:tc>
      </w:tr>
      <w:tr w:rsidR="00477E8F" w14:paraId="7B707B3B" w14:textId="77777777" w:rsidTr="00796A65">
        <w:tc>
          <w:tcPr>
            <w:tcW w:w="2358" w:type="dxa"/>
            <w:tcBorders>
              <w:top w:val="single" w:sz="4" w:space="0" w:color="auto"/>
              <w:left w:val="single" w:sz="4" w:space="0" w:color="auto"/>
              <w:bottom w:val="single" w:sz="4" w:space="0" w:color="auto"/>
              <w:right w:val="single" w:sz="4" w:space="0" w:color="auto"/>
            </w:tcBorders>
            <w:hideMark/>
          </w:tcPr>
          <w:p w14:paraId="0CDA1832" w14:textId="77777777" w:rsidR="00477E8F" w:rsidRPr="006415A4" w:rsidRDefault="00477E8F">
            <w:pPr>
              <w:rPr>
                <w:sz w:val="20"/>
                <w:szCs w:val="20"/>
              </w:rPr>
            </w:pPr>
            <w:r w:rsidRPr="006415A4">
              <w:rPr>
                <w:sz w:val="20"/>
                <w:szCs w:val="20"/>
              </w:rPr>
              <w:t>Public Hospitals</w:t>
            </w:r>
          </w:p>
        </w:tc>
        <w:tc>
          <w:tcPr>
            <w:tcW w:w="1283" w:type="dxa"/>
            <w:tcBorders>
              <w:top w:val="single" w:sz="4" w:space="0" w:color="auto"/>
              <w:left w:val="single" w:sz="4" w:space="0" w:color="auto"/>
              <w:bottom w:val="single" w:sz="4" w:space="0" w:color="auto"/>
              <w:right w:val="single" w:sz="4" w:space="0" w:color="auto"/>
            </w:tcBorders>
            <w:hideMark/>
          </w:tcPr>
          <w:p w14:paraId="25DEF541" w14:textId="77777777" w:rsidR="00477E8F" w:rsidRPr="006415A4" w:rsidRDefault="00477E8F">
            <w:pPr>
              <w:rPr>
                <w:sz w:val="20"/>
                <w:szCs w:val="20"/>
              </w:rPr>
            </w:pPr>
            <w:r w:rsidRPr="006415A4">
              <w:rPr>
                <w:sz w:val="20"/>
                <w:szCs w:val="20"/>
              </w:rPr>
              <w:t>5000</w:t>
            </w:r>
          </w:p>
        </w:tc>
        <w:tc>
          <w:tcPr>
            <w:tcW w:w="2562" w:type="dxa"/>
            <w:tcBorders>
              <w:top w:val="single" w:sz="4" w:space="0" w:color="auto"/>
              <w:left w:val="single" w:sz="4" w:space="0" w:color="auto"/>
              <w:bottom w:val="single" w:sz="4" w:space="0" w:color="auto"/>
              <w:right w:val="single" w:sz="4" w:space="0" w:color="auto"/>
            </w:tcBorders>
            <w:hideMark/>
          </w:tcPr>
          <w:p w14:paraId="75739634" w14:textId="77777777" w:rsidR="00477E8F" w:rsidRPr="006415A4" w:rsidRDefault="00477E8F">
            <w:pPr>
              <w:rPr>
                <w:sz w:val="20"/>
                <w:szCs w:val="20"/>
              </w:rPr>
            </w:pPr>
            <w:r w:rsidRPr="006415A4">
              <w:rPr>
                <w:sz w:val="20"/>
                <w:szCs w:val="20"/>
              </w:rPr>
              <w:t>686</w:t>
            </w:r>
          </w:p>
        </w:tc>
        <w:tc>
          <w:tcPr>
            <w:tcW w:w="2813" w:type="dxa"/>
            <w:tcBorders>
              <w:top w:val="single" w:sz="4" w:space="0" w:color="auto"/>
              <w:left w:val="single" w:sz="4" w:space="0" w:color="auto"/>
              <w:bottom w:val="single" w:sz="4" w:space="0" w:color="auto"/>
              <w:right w:val="single" w:sz="4" w:space="0" w:color="auto"/>
            </w:tcBorders>
            <w:hideMark/>
          </w:tcPr>
          <w:p w14:paraId="6E562FB1" w14:textId="11F5F5E6" w:rsidR="00477E8F" w:rsidRPr="006415A4" w:rsidRDefault="00836221">
            <w:pPr>
              <w:rPr>
                <w:sz w:val="20"/>
                <w:szCs w:val="20"/>
              </w:rPr>
            </w:pPr>
            <w:r w:rsidRPr="006415A4">
              <w:rPr>
                <w:sz w:val="20"/>
                <w:szCs w:val="20"/>
              </w:rPr>
              <w:t>7</w:t>
            </w:r>
          </w:p>
        </w:tc>
      </w:tr>
    </w:tbl>
    <w:p w14:paraId="3CB17AFD" w14:textId="77777777" w:rsidR="005F0A28" w:rsidRDefault="005F0A28" w:rsidP="00DA0825"/>
    <w:p w14:paraId="0DB73EC5" w14:textId="22210D04" w:rsidR="00BB4BF0" w:rsidRPr="00BB4BF0" w:rsidRDefault="00DA0825" w:rsidP="00BB4BF0">
      <w:r>
        <w:t xml:space="preserve">In all cases these amounts have further been </w:t>
      </w:r>
      <w:r w:rsidRPr="23689D7B">
        <w:rPr>
          <w:b/>
          <w:bCs/>
        </w:rPr>
        <w:t>assumed to split 50:50 across High and Medium risk medical devices</w:t>
      </w:r>
      <w:r>
        <w:t xml:space="preserve">. </w:t>
      </w:r>
      <w:r w:rsidR="00BB4BF0" w:rsidRPr="00BB4BF0">
        <w:t xml:space="preserve">This </w:t>
      </w:r>
      <w:r w:rsidR="001417BD">
        <w:t>assumption is</w:t>
      </w:r>
      <w:r w:rsidR="00BB4BF0" w:rsidRPr="00BB4BF0">
        <w:t xml:space="preserve"> based on a </w:t>
      </w:r>
      <w:r w:rsidR="001417BD" w:rsidRPr="00BB4BF0">
        <w:t>high-level</w:t>
      </w:r>
      <w:r w:rsidR="00BB4BF0" w:rsidRPr="00BB4BF0">
        <w:t xml:space="preserve"> comparison of the nature </w:t>
      </w:r>
      <w:r w:rsidR="001417BD">
        <w:t>of the</w:t>
      </w:r>
      <w:r w:rsidR="00BB4BF0" w:rsidRPr="00BB4BF0">
        <w:t xml:space="preserve"> residents in each facility, with the overall risk of exposure to problematic medical devices for residents in aged care facilities deemed to be comparable to the level of potential exposure of people in low-exposure hospitals. </w:t>
      </w:r>
      <w:r w:rsidR="001417BD">
        <w:t>Although t</w:t>
      </w:r>
      <w:r w:rsidR="00BB4BF0" w:rsidRPr="00BB4BF0">
        <w:t>his comparison is somewhat subjective</w:t>
      </w:r>
      <w:r w:rsidR="001417BD">
        <w:t xml:space="preserve">, it </w:t>
      </w:r>
      <w:r w:rsidR="00BB4BF0" w:rsidRPr="00BB4BF0">
        <w:t xml:space="preserve">seeks to focus </w:t>
      </w:r>
      <w:r w:rsidR="001417BD">
        <w:t>on</w:t>
      </w:r>
      <w:r w:rsidR="00BB4BF0" w:rsidRPr="00BB4BF0">
        <w:t xml:space="preserve"> the key relative facets of the facilities being compared.</w:t>
      </w:r>
    </w:p>
    <w:p w14:paraId="162E2569" w14:textId="1CAC52DD" w:rsidR="00DA0825" w:rsidRPr="00DA0825" w:rsidRDefault="00DA0825" w:rsidP="00DA0825">
      <w:r>
        <w:t xml:space="preserve">Hence, for example, for High exposure private hospitals we expect </w:t>
      </w:r>
      <w:r w:rsidR="00864DBC">
        <w:t>14</w:t>
      </w:r>
      <w:r>
        <w:t xml:space="preserve"> </w:t>
      </w:r>
      <w:r w:rsidR="006A044B">
        <w:t xml:space="preserve">reports </w:t>
      </w:r>
      <w:r>
        <w:t xml:space="preserve">per annum for </w:t>
      </w:r>
      <w:r w:rsidR="00990350">
        <w:t>high-risk</w:t>
      </w:r>
      <w:r>
        <w:t xml:space="preserve"> devices and </w:t>
      </w:r>
      <w:r w:rsidR="00864DBC">
        <w:t xml:space="preserve">14 </w:t>
      </w:r>
      <w:r>
        <w:t xml:space="preserve">per annum for </w:t>
      </w:r>
      <w:r w:rsidR="008901F6">
        <w:t>medium</w:t>
      </w:r>
      <w:r>
        <w:t xml:space="preserve"> risk devices – as shown in the earlier key inputs table.</w:t>
      </w:r>
    </w:p>
    <w:p w14:paraId="035DEA84" w14:textId="77777777" w:rsidR="00DA0825" w:rsidRPr="00DA0825" w:rsidRDefault="00DA0825" w:rsidP="00DA0825"/>
    <w:p w14:paraId="44FA745D"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Additional notes on this cost</w:t>
      </w:r>
    </w:p>
    <w:p w14:paraId="574EE648" w14:textId="62906FB2" w:rsidR="00DA0825" w:rsidRPr="00DA0825" w:rsidRDefault="00DA0825" w:rsidP="00DA0825">
      <w:pPr>
        <w:numPr>
          <w:ilvl w:val="0"/>
          <w:numId w:val="1"/>
        </w:numPr>
        <w:spacing w:before="120" w:after="180" w:line="240" w:lineRule="atLeast"/>
        <w:rPr>
          <w:rFonts w:eastAsia="Cambria" w:cs="Times New Roman"/>
        </w:rPr>
      </w:pPr>
      <w:r w:rsidRPr="00DA0825">
        <w:rPr>
          <w:rFonts w:eastAsia="Cambria" w:cs="Times New Roman"/>
        </w:rPr>
        <w:t xml:space="preserve">Under batch reporting it would still be expected that incidents which pose a significant public health threat would be </w:t>
      </w:r>
      <w:r w:rsidR="00A4245E" w:rsidRPr="00DA0825">
        <w:rPr>
          <w:rFonts w:eastAsia="Cambria" w:cs="Times New Roman"/>
        </w:rPr>
        <w:t>report</w:t>
      </w:r>
      <w:r w:rsidR="00A4245E">
        <w:rPr>
          <w:rFonts w:eastAsia="Cambria" w:cs="Times New Roman"/>
        </w:rPr>
        <w:t xml:space="preserve">ed </w:t>
      </w:r>
      <w:r w:rsidRPr="00DA0825">
        <w:rPr>
          <w:rFonts w:eastAsia="Cambria" w:cs="Times New Roman"/>
        </w:rPr>
        <w:t>on occurrence. Such instances are assumed to be rare, and likely at least partly already included in the existing voluntary reporting done by health facilities.  Hence no adjustment has been made to the modelling of the batch reported numbers to reflect this difference.</w:t>
      </w:r>
    </w:p>
    <w:p w14:paraId="08E53179" w14:textId="77777777" w:rsidR="00DA0825" w:rsidRPr="00DA0825" w:rsidRDefault="00DA0825" w:rsidP="00DA0825">
      <w:pPr>
        <w:numPr>
          <w:ilvl w:val="0"/>
          <w:numId w:val="1"/>
        </w:numPr>
        <w:spacing w:before="120" w:after="180" w:line="240" w:lineRule="atLeast"/>
        <w:rPr>
          <w:rFonts w:eastAsia="Cambria" w:cs="Times New Roman"/>
        </w:rPr>
      </w:pPr>
      <w:r w:rsidRPr="00DA0825">
        <w:rPr>
          <w:rFonts w:eastAsia="Cambria" w:cs="Times New Roman"/>
        </w:rPr>
        <w:t>Given the difficulty in estimating the volume of additional reported incidents, no additional growth in reported numbers has been included. The increase in volume of reports by a factor of 10 occurring immediately at the onset of the new mandatory reporting requirements has been deemed appropriately conservative given there may actually be a delay in the increase of reports if new requirements are phased in.</w:t>
      </w:r>
    </w:p>
    <w:p w14:paraId="5BA7B636" w14:textId="77777777" w:rsidR="00DA0825" w:rsidRPr="00DA0825" w:rsidRDefault="00DA0825" w:rsidP="00DA0825">
      <w:pPr>
        <w:keepNext/>
        <w:keepLines/>
        <w:spacing w:before="360" w:line="240" w:lineRule="atLeast"/>
        <w:outlineLvl w:val="3"/>
        <w:rPr>
          <w:rFonts w:eastAsia="Cambria" w:cs="Arial"/>
          <w:b/>
          <w:bCs/>
          <w:color w:val="001871"/>
          <w:sz w:val="28"/>
          <w:szCs w:val="26"/>
        </w:rPr>
      </w:pPr>
      <w:r w:rsidRPr="002366C4">
        <w:rPr>
          <w:rFonts w:eastAsia="Cambria" w:cs="Arial"/>
          <w:b/>
          <w:bCs/>
          <w:color w:val="001871"/>
          <w:sz w:val="28"/>
          <w:szCs w:val="26"/>
        </w:rPr>
        <w:t>Substantive Compliance Cost: Staff training</w:t>
      </w:r>
    </w:p>
    <w:p w14:paraId="4C062BDB"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Calculation and key inputs</w:t>
      </w:r>
    </w:p>
    <w:p w14:paraId="23CD3C2A" w14:textId="6CFE15DB" w:rsidR="00DA0825" w:rsidRPr="00DA0825" w:rsidRDefault="00DA0825" w:rsidP="00DA0825">
      <w:r w:rsidRPr="00DA0825">
        <w:t xml:space="preserve">All individuals responsible for reporting requirements in a healthcare facility will be required to read the guidance material, with the cost of this effort calculated as the labour cost along similar lines to what was done for the </w:t>
      </w:r>
      <w:r w:rsidR="00602AD4" w:rsidRPr="00DA0825">
        <w:t>administrative</w:t>
      </w:r>
      <w:r w:rsidRPr="00DA0825">
        <w:t xml:space="preserve"> costs above.</w:t>
      </w:r>
    </w:p>
    <w:p w14:paraId="29C8ADBC" w14:textId="0BC09ACE" w:rsidR="00DA0825" w:rsidRPr="00DA0825" w:rsidRDefault="00DA0825" w:rsidP="00B37DCC">
      <w:pPr>
        <w:rPr>
          <w:i/>
          <w:iCs/>
          <w:color w:val="0E2841" w:themeColor="text2"/>
          <w:kern w:val="2"/>
          <w:sz w:val="18"/>
          <w:szCs w:val="18"/>
          <w14:ligatures w14:val="standardContextual"/>
        </w:rPr>
      </w:pPr>
      <w:r w:rsidRPr="00DA0825">
        <w:t>The estimated time taken to read through the incremental regulatory changes is an additional regulatory burden for existing healthcare facilities. For any new healthcare facilities that come online after the initial rollout it will just be seen as part of their expected regulatory burden, and so no additional awareness burden is needed beyond the current population.</w:t>
      </w:r>
    </w:p>
    <w:p w14:paraId="52C230D3" w14:textId="6BBDDEC7" w:rsidR="002D41F4" w:rsidRDefault="002D41F4" w:rsidP="00B37DCC">
      <w:pPr>
        <w:pStyle w:val="Caption"/>
        <w:keepNext/>
      </w:pPr>
      <w:r>
        <w:t xml:space="preserve">Table </w:t>
      </w:r>
      <w:r w:rsidR="00AD3148">
        <w:t>2</w:t>
      </w:r>
      <w:r w:rsidR="00107ACB">
        <w:t>4</w:t>
      </w:r>
      <w:r>
        <w:t xml:space="preserve"> - </w:t>
      </w:r>
      <w:r w:rsidRPr="00132E45">
        <w:t>Labour costs relating to staff training on the new reporting requirements</w:t>
      </w:r>
    </w:p>
    <w:tbl>
      <w:tblPr>
        <w:tblStyle w:val="TableGrid"/>
        <w:tblW w:w="0" w:type="auto"/>
        <w:tblLook w:val="04A0" w:firstRow="1" w:lastRow="0" w:firstColumn="1" w:lastColumn="0" w:noHBand="0" w:noVBand="1"/>
      </w:tblPr>
      <w:tblGrid>
        <w:gridCol w:w="2185"/>
        <w:gridCol w:w="828"/>
        <w:gridCol w:w="6003"/>
      </w:tblGrid>
      <w:tr w:rsidR="00DA0825" w:rsidRPr="00DA0825" w14:paraId="0CE98EDD" w14:textId="77777777" w:rsidTr="001615EC">
        <w:tc>
          <w:tcPr>
            <w:tcW w:w="0" w:type="auto"/>
            <w:tcBorders>
              <w:bottom w:val="single" w:sz="4" w:space="0" w:color="auto"/>
            </w:tcBorders>
            <w:shd w:val="clear" w:color="auto" w:fill="0E2841" w:themeFill="text2"/>
          </w:tcPr>
          <w:p w14:paraId="12BDD912" w14:textId="77777777" w:rsidR="00DA0825" w:rsidRPr="00843E0A" w:rsidRDefault="00DA0825" w:rsidP="00DA0825">
            <w:pPr>
              <w:rPr>
                <w:b/>
                <w:bCs/>
                <w:color w:val="FFFFFF" w:themeColor="background1"/>
                <w:sz w:val="20"/>
                <w:szCs w:val="20"/>
              </w:rPr>
            </w:pPr>
            <w:r w:rsidRPr="00843E0A">
              <w:rPr>
                <w:b/>
                <w:bCs/>
                <w:color w:val="FFFFFF" w:themeColor="background1"/>
                <w:sz w:val="20"/>
                <w:szCs w:val="20"/>
              </w:rPr>
              <w:t>Item</w:t>
            </w:r>
          </w:p>
        </w:tc>
        <w:tc>
          <w:tcPr>
            <w:tcW w:w="0" w:type="auto"/>
            <w:tcBorders>
              <w:bottom w:val="single" w:sz="4" w:space="0" w:color="auto"/>
            </w:tcBorders>
            <w:shd w:val="clear" w:color="auto" w:fill="0E2841" w:themeFill="text2"/>
          </w:tcPr>
          <w:p w14:paraId="183D3DDD" w14:textId="77777777" w:rsidR="00DA0825" w:rsidRPr="00843E0A" w:rsidRDefault="00DA0825" w:rsidP="00DA0825">
            <w:pPr>
              <w:jc w:val="right"/>
              <w:rPr>
                <w:b/>
                <w:bCs/>
                <w:color w:val="FFFFFF" w:themeColor="background1"/>
                <w:sz w:val="20"/>
                <w:szCs w:val="20"/>
              </w:rPr>
            </w:pPr>
            <w:r w:rsidRPr="00843E0A">
              <w:rPr>
                <w:b/>
                <w:bCs/>
                <w:color w:val="FFFFFF" w:themeColor="background1"/>
                <w:sz w:val="20"/>
                <w:szCs w:val="20"/>
              </w:rPr>
              <w:t>Value</w:t>
            </w:r>
          </w:p>
        </w:tc>
        <w:tc>
          <w:tcPr>
            <w:tcW w:w="0" w:type="auto"/>
            <w:tcBorders>
              <w:bottom w:val="single" w:sz="4" w:space="0" w:color="auto"/>
            </w:tcBorders>
            <w:shd w:val="clear" w:color="auto" w:fill="0E2841" w:themeFill="text2"/>
          </w:tcPr>
          <w:p w14:paraId="007B1537" w14:textId="77777777" w:rsidR="00DA0825" w:rsidRPr="00843E0A" w:rsidRDefault="00DA0825" w:rsidP="00DA0825">
            <w:pPr>
              <w:rPr>
                <w:b/>
                <w:bCs/>
                <w:color w:val="FFFFFF" w:themeColor="background1"/>
                <w:sz w:val="20"/>
                <w:szCs w:val="20"/>
              </w:rPr>
            </w:pPr>
            <w:r w:rsidRPr="00843E0A">
              <w:rPr>
                <w:b/>
                <w:bCs/>
                <w:color w:val="FFFFFF" w:themeColor="background1"/>
                <w:sz w:val="20"/>
                <w:szCs w:val="20"/>
              </w:rPr>
              <w:t>Basis</w:t>
            </w:r>
          </w:p>
        </w:tc>
      </w:tr>
      <w:tr w:rsidR="00DA0825" w:rsidRPr="00DA0825" w14:paraId="07265F88" w14:textId="77777777" w:rsidTr="001615EC">
        <w:tc>
          <w:tcPr>
            <w:tcW w:w="0" w:type="auto"/>
            <w:shd w:val="clear" w:color="auto" w:fill="F2CEED" w:themeFill="accent5" w:themeFillTint="33"/>
          </w:tcPr>
          <w:p w14:paraId="771A6A62" w14:textId="77777777" w:rsidR="00DA0825" w:rsidRPr="00843E0A" w:rsidRDefault="00DA0825" w:rsidP="00DA0825">
            <w:pPr>
              <w:rPr>
                <w:sz w:val="20"/>
                <w:szCs w:val="20"/>
              </w:rPr>
            </w:pPr>
            <w:r w:rsidRPr="00843E0A">
              <w:rPr>
                <w:sz w:val="20"/>
                <w:szCs w:val="20"/>
              </w:rPr>
              <w:t>Number of staff to train per facility</w:t>
            </w:r>
          </w:p>
        </w:tc>
        <w:tc>
          <w:tcPr>
            <w:tcW w:w="0" w:type="auto"/>
          </w:tcPr>
          <w:p w14:paraId="4B701C7D" w14:textId="77777777" w:rsidR="00DA0825" w:rsidRPr="00843E0A" w:rsidRDefault="00DA0825" w:rsidP="00DA0825">
            <w:pPr>
              <w:jc w:val="right"/>
              <w:rPr>
                <w:sz w:val="20"/>
                <w:szCs w:val="20"/>
              </w:rPr>
            </w:pPr>
            <w:r w:rsidRPr="00843E0A">
              <w:rPr>
                <w:sz w:val="20"/>
                <w:szCs w:val="20"/>
              </w:rPr>
              <w:t>2</w:t>
            </w:r>
          </w:p>
        </w:tc>
        <w:tc>
          <w:tcPr>
            <w:tcW w:w="0" w:type="auto"/>
          </w:tcPr>
          <w:p w14:paraId="2701B26A" w14:textId="198756BA" w:rsidR="00DA0825" w:rsidRPr="00843E0A" w:rsidRDefault="00DA0825" w:rsidP="00DA0825">
            <w:pPr>
              <w:rPr>
                <w:sz w:val="20"/>
                <w:szCs w:val="20"/>
              </w:rPr>
            </w:pPr>
            <w:r w:rsidRPr="00843E0A">
              <w:rPr>
                <w:sz w:val="20"/>
                <w:szCs w:val="20"/>
              </w:rPr>
              <w:t xml:space="preserve">Indicative times and resources came from TGA discussions with members from the </w:t>
            </w:r>
            <w:r w:rsidR="00F955DA">
              <w:rPr>
                <w:sz w:val="20"/>
                <w:szCs w:val="20"/>
              </w:rPr>
              <w:t>APHA</w:t>
            </w:r>
            <w:r w:rsidR="00845288">
              <w:rPr>
                <w:sz w:val="20"/>
                <w:szCs w:val="20"/>
              </w:rPr>
              <w:t xml:space="preserve"> and representative</w:t>
            </w:r>
            <w:r w:rsidR="001267B0">
              <w:rPr>
                <w:sz w:val="20"/>
                <w:szCs w:val="20"/>
              </w:rPr>
              <w:t>s</w:t>
            </w:r>
            <w:r w:rsidR="00845288">
              <w:rPr>
                <w:sz w:val="20"/>
                <w:szCs w:val="20"/>
              </w:rPr>
              <w:t xml:space="preserve"> of the </w:t>
            </w:r>
            <w:r w:rsidR="00845288" w:rsidRPr="0010688A">
              <w:rPr>
                <w:sz w:val="20"/>
                <w:szCs w:val="20"/>
              </w:rPr>
              <w:t>interjurisdictional steering committee</w:t>
            </w:r>
            <w:r w:rsidR="001267B0">
              <w:rPr>
                <w:sz w:val="20"/>
                <w:szCs w:val="20"/>
              </w:rPr>
              <w:t>.</w:t>
            </w:r>
          </w:p>
        </w:tc>
      </w:tr>
      <w:tr w:rsidR="00DA0825" w:rsidRPr="00DA0825" w14:paraId="5E4F1DC7" w14:textId="77777777" w:rsidTr="001615EC">
        <w:tc>
          <w:tcPr>
            <w:tcW w:w="0" w:type="auto"/>
            <w:shd w:val="clear" w:color="auto" w:fill="F2CEED" w:themeFill="accent5" w:themeFillTint="33"/>
          </w:tcPr>
          <w:p w14:paraId="662BA1C5" w14:textId="77777777" w:rsidR="00DA0825" w:rsidRPr="00843E0A" w:rsidRDefault="00DA0825" w:rsidP="00DA0825">
            <w:pPr>
              <w:rPr>
                <w:sz w:val="20"/>
                <w:szCs w:val="20"/>
              </w:rPr>
            </w:pPr>
            <w:r w:rsidRPr="00843E0A">
              <w:rPr>
                <w:sz w:val="20"/>
                <w:szCs w:val="20"/>
              </w:rPr>
              <w:t>Minutes needed by each person for training</w:t>
            </w:r>
          </w:p>
        </w:tc>
        <w:tc>
          <w:tcPr>
            <w:tcW w:w="0" w:type="auto"/>
          </w:tcPr>
          <w:p w14:paraId="32E9F9B4" w14:textId="77777777" w:rsidR="00DA0825" w:rsidRPr="00843E0A" w:rsidRDefault="00DA0825" w:rsidP="00DA0825">
            <w:pPr>
              <w:jc w:val="right"/>
              <w:rPr>
                <w:sz w:val="20"/>
                <w:szCs w:val="20"/>
              </w:rPr>
            </w:pPr>
            <w:r w:rsidRPr="00843E0A">
              <w:rPr>
                <w:sz w:val="20"/>
                <w:szCs w:val="20"/>
              </w:rPr>
              <w:t>30</w:t>
            </w:r>
          </w:p>
        </w:tc>
        <w:tc>
          <w:tcPr>
            <w:tcW w:w="0" w:type="auto"/>
          </w:tcPr>
          <w:p w14:paraId="551D40E3" w14:textId="0BF026C3" w:rsidR="00DA0825" w:rsidRPr="00843E0A" w:rsidRDefault="00DA0825" w:rsidP="00DA0825">
            <w:pPr>
              <w:rPr>
                <w:sz w:val="20"/>
                <w:szCs w:val="20"/>
              </w:rPr>
            </w:pPr>
            <w:r w:rsidRPr="00843E0A">
              <w:rPr>
                <w:sz w:val="20"/>
                <w:szCs w:val="20"/>
              </w:rPr>
              <w:t xml:space="preserve">Indicative times and resources came from TGA discussions with members from the </w:t>
            </w:r>
            <w:r w:rsidR="00F955DA">
              <w:rPr>
                <w:sz w:val="20"/>
                <w:szCs w:val="20"/>
              </w:rPr>
              <w:t>APHA</w:t>
            </w:r>
            <w:r w:rsidR="001267B0">
              <w:rPr>
                <w:sz w:val="20"/>
                <w:szCs w:val="20"/>
              </w:rPr>
              <w:t xml:space="preserve"> and representatives of the </w:t>
            </w:r>
            <w:r w:rsidR="001267B0" w:rsidRPr="0010688A">
              <w:rPr>
                <w:sz w:val="20"/>
                <w:szCs w:val="20"/>
              </w:rPr>
              <w:t>interjurisdictional steering committee</w:t>
            </w:r>
            <w:r w:rsidR="001267B0">
              <w:rPr>
                <w:sz w:val="20"/>
                <w:szCs w:val="20"/>
              </w:rPr>
              <w:t>.</w:t>
            </w:r>
          </w:p>
        </w:tc>
      </w:tr>
      <w:tr w:rsidR="00DA0825" w:rsidRPr="00DA0825" w14:paraId="06778ACC" w14:textId="77777777" w:rsidTr="001615EC">
        <w:tc>
          <w:tcPr>
            <w:tcW w:w="0" w:type="auto"/>
            <w:shd w:val="clear" w:color="auto" w:fill="F2CEED" w:themeFill="accent5" w:themeFillTint="33"/>
          </w:tcPr>
          <w:p w14:paraId="1C3648EA" w14:textId="77777777" w:rsidR="00DA0825" w:rsidRPr="00843E0A" w:rsidRDefault="00DA0825" w:rsidP="00DA0825">
            <w:pPr>
              <w:rPr>
                <w:sz w:val="20"/>
                <w:szCs w:val="20"/>
              </w:rPr>
            </w:pPr>
            <w:r w:rsidRPr="00843E0A">
              <w:rPr>
                <w:sz w:val="20"/>
                <w:szCs w:val="20"/>
              </w:rPr>
              <w:t>Hourly rate of staff being trained</w:t>
            </w:r>
          </w:p>
        </w:tc>
        <w:tc>
          <w:tcPr>
            <w:tcW w:w="0" w:type="auto"/>
          </w:tcPr>
          <w:p w14:paraId="699808E1" w14:textId="77777777" w:rsidR="00DA0825" w:rsidRPr="00843E0A" w:rsidRDefault="00DA0825" w:rsidP="00DA0825">
            <w:pPr>
              <w:jc w:val="right"/>
              <w:rPr>
                <w:sz w:val="20"/>
                <w:szCs w:val="20"/>
              </w:rPr>
            </w:pPr>
            <w:r w:rsidRPr="00843E0A">
              <w:rPr>
                <w:sz w:val="20"/>
                <w:szCs w:val="20"/>
              </w:rPr>
              <w:t>$83.48</w:t>
            </w:r>
          </w:p>
        </w:tc>
        <w:tc>
          <w:tcPr>
            <w:tcW w:w="0" w:type="auto"/>
          </w:tcPr>
          <w:p w14:paraId="089991B5" w14:textId="77777777" w:rsidR="00DA0825" w:rsidRPr="00843E0A" w:rsidRDefault="00DA0825" w:rsidP="00DA0825">
            <w:pPr>
              <w:rPr>
                <w:sz w:val="20"/>
                <w:szCs w:val="20"/>
              </w:rPr>
            </w:pPr>
            <w:r w:rsidRPr="00843E0A">
              <w:rPr>
                <w:sz w:val="20"/>
                <w:szCs w:val="20"/>
              </w:rPr>
              <w:t>Administrative staff rate (per Labour Costs section)</w:t>
            </w:r>
          </w:p>
        </w:tc>
      </w:tr>
      <w:tr w:rsidR="00DA0825" w:rsidRPr="00DA0825" w14:paraId="4FF25AE5" w14:textId="77777777" w:rsidTr="001615EC">
        <w:tc>
          <w:tcPr>
            <w:tcW w:w="0" w:type="auto"/>
            <w:shd w:val="clear" w:color="auto" w:fill="F2CEED" w:themeFill="accent5" w:themeFillTint="33"/>
          </w:tcPr>
          <w:p w14:paraId="331476DF" w14:textId="77777777" w:rsidR="00DA0825" w:rsidRPr="00843E0A" w:rsidRDefault="00DA0825" w:rsidP="00DA0825">
            <w:pPr>
              <w:rPr>
                <w:sz w:val="20"/>
                <w:szCs w:val="20"/>
              </w:rPr>
            </w:pPr>
            <w:r w:rsidRPr="00843E0A">
              <w:rPr>
                <w:sz w:val="20"/>
                <w:szCs w:val="20"/>
              </w:rPr>
              <w:t>Frequency</w:t>
            </w:r>
          </w:p>
        </w:tc>
        <w:tc>
          <w:tcPr>
            <w:tcW w:w="0" w:type="auto"/>
          </w:tcPr>
          <w:p w14:paraId="33211CC8" w14:textId="77777777" w:rsidR="00DA0825" w:rsidRPr="00843E0A" w:rsidRDefault="00DA0825" w:rsidP="00DA0825">
            <w:pPr>
              <w:jc w:val="right"/>
              <w:rPr>
                <w:sz w:val="20"/>
                <w:szCs w:val="20"/>
              </w:rPr>
            </w:pPr>
            <w:r w:rsidRPr="00843E0A">
              <w:rPr>
                <w:sz w:val="20"/>
                <w:szCs w:val="20"/>
              </w:rPr>
              <w:t>1</w:t>
            </w:r>
          </w:p>
        </w:tc>
        <w:tc>
          <w:tcPr>
            <w:tcW w:w="0" w:type="auto"/>
          </w:tcPr>
          <w:p w14:paraId="185A0158" w14:textId="77777777" w:rsidR="00DA0825" w:rsidRPr="00843E0A" w:rsidRDefault="00DA0825" w:rsidP="00DA0825">
            <w:pPr>
              <w:rPr>
                <w:sz w:val="20"/>
                <w:szCs w:val="20"/>
              </w:rPr>
            </w:pPr>
            <w:r w:rsidRPr="00843E0A">
              <w:rPr>
                <w:sz w:val="20"/>
                <w:szCs w:val="20"/>
              </w:rPr>
              <w:t>As per comments above</w:t>
            </w:r>
          </w:p>
        </w:tc>
      </w:tr>
    </w:tbl>
    <w:p w14:paraId="52C353C9" w14:textId="4936887F" w:rsidR="00DA0825" w:rsidRPr="00DA0825" w:rsidRDefault="00DA0825" w:rsidP="00DA0825">
      <w:pPr>
        <w:keepNext/>
        <w:keepLines/>
        <w:spacing w:before="360" w:line="240" w:lineRule="atLeast"/>
        <w:outlineLvl w:val="3"/>
        <w:rPr>
          <w:rFonts w:eastAsia="Cambria" w:cs="Arial"/>
          <w:b/>
          <w:bCs/>
          <w:color w:val="001871"/>
          <w:sz w:val="28"/>
          <w:szCs w:val="26"/>
        </w:rPr>
      </w:pPr>
      <w:r w:rsidRPr="002366C4">
        <w:rPr>
          <w:rFonts w:eastAsia="Cambria" w:cs="Arial"/>
          <w:b/>
          <w:bCs/>
          <w:color w:val="001871"/>
          <w:sz w:val="28"/>
          <w:szCs w:val="26"/>
        </w:rPr>
        <w:t xml:space="preserve">Substantive Compliance Cost: </w:t>
      </w:r>
      <w:r w:rsidR="008D3CB3" w:rsidRPr="002366C4">
        <w:rPr>
          <w:rFonts w:eastAsia="Cambria" w:cs="Arial"/>
          <w:b/>
          <w:bCs/>
          <w:color w:val="001871"/>
          <w:sz w:val="28"/>
          <w:szCs w:val="26"/>
        </w:rPr>
        <w:t xml:space="preserve"> IT system upgrades</w:t>
      </w:r>
    </w:p>
    <w:p w14:paraId="2A722568" w14:textId="77777777" w:rsidR="00DA0825" w:rsidRPr="00DA0825" w:rsidRDefault="00DA0825" w:rsidP="00DA0825">
      <w:pPr>
        <w:keepNext/>
        <w:keepLines/>
        <w:spacing w:before="240" w:line="240" w:lineRule="atLeast"/>
        <w:outlineLvl w:val="4"/>
        <w:rPr>
          <w:rFonts w:eastAsia="Times New Roman" w:cs="Times New Roman"/>
          <w:b/>
          <w:bCs/>
          <w:i/>
          <w:color w:val="001871"/>
          <w:sz w:val="26"/>
          <w:szCs w:val="26"/>
        </w:rPr>
      </w:pPr>
      <w:r w:rsidRPr="00DA0825">
        <w:rPr>
          <w:rFonts w:eastAsia="Times New Roman" w:cs="Times New Roman"/>
          <w:b/>
          <w:bCs/>
          <w:i/>
          <w:color w:val="001871"/>
          <w:sz w:val="26"/>
          <w:szCs w:val="26"/>
        </w:rPr>
        <w:t>Calculation and key inputs</w:t>
      </w:r>
    </w:p>
    <w:p w14:paraId="37641E4C" w14:textId="5A19EB8F" w:rsidR="00A2005C" w:rsidRDefault="00DA0825" w:rsidP="00A2005C">
      <w:pPr>
        <w:rPr>
          <w:rFonts w:asciiTheme="minorHAnsi" w:hAnsiTheme="minorHAnsi"/>
        </w:rPr>
      </w:pPr>
      <w:r w:rsidRPr="00DA0825">
        <w:t xml:space="preserve">The cost of </w:t>
      </w:r>
      <w:r w:rsidR="008D3CB3">
        <w:t xml:space="preserve">upgrades/expansion/improvements to IT systems </w:t>
      </w:r>
      <w:r w:rsidRPr="00DA0825">
        <w:t>required to add additional reporting fields and prepare each facility for the additional reporting burden has been universally estimated as below</w:t>
      </w:r>
      <w:r w:rsidR="00EB0BF1">
        <w:t xml:space="preserve">. It should be noted that </w:t>
      </w:r>
      <w:r w:rsidR="00A2005C">
        <w:t xml:space="preserve">the TGA will examine the feasibility of developing and implementing </w:t>
      </w:r>
      <w:r w:rsidR="00805173">
        <w:t>an Application Programming Interface (API</w:t>
      </w:r>
      <w:r w:rsidR="008D3CB3">
        <w:t>) or other data exchange software, and systems</w:t>
      </w:r>
      <w:r w:rsidR="00A2005C">
        <w:t xml:space="preserve"> as a future option for data transfer. However, other methods, such as </w:t>
      </w:r>
      <w:r w:rsidR="00C41A09">
        <w:t xml:space="preserve">web portal, </w:t>
      </w:r>
      <w:r w:rsidR="00A2005C">
        <w:t>online forms</w:t>
      </w:r>
      <w:r w:rsidR="00FD0129">
        <w:t>, email</w:t>
      </w:r>
      <w:r w:rsidR="00A2005C">
        <w:t xml:space="preserve"> and electronic transfer of data files will also be maintained </w:t>
      </w:r>
      <w:r w:rsidR="00FD0129">
        <w:t xml:space="preserve">while the systems are upgraded to ensure a smooth transition. </w:t>
      </w:r>
    </w:p>
    <w:p w14:paraId="2D91CC90" w14:textId="16EB136B" w:rsidR="008D3CB3" w:rsidRDefault="008D3CB3" w:rsidP="008D3CB3">
      <w:pPr>
        <w:rPr>
          <w:rFonts w:asciiTheme="minorHAnsi" w:hAnsiTheme="minorHAnsi"/>
        </w:rPr>
      </w:pPr>
    </w:p>
    <w:p w14:paraId="5B1161C8" w14:textId="4A00CF20" w:rsidR="002D41F4" w:rsidRDefault="002D41F4" w:rsidP="00B37DCC">
      <w:pPr>
        <w:pStyle w:val="Caption"/>
        <w:keepNext/>
      </w:pPr>
      <w:r>
        <w:t xml:space="preserve">Table </w:t>
      </w:r>
      <w:r w:rsidR="00791B31">
        <w:t>2</w:t>
      </w:r>
      <w:r w:rsidR="00107ACB">
        <w:t>5</w:t>
      </w:r>
      <w:r>
        <w:t xml:space="preserve"> - </w:t>
      </w:r>
      <w:r w:rsidRPr="003819CB">
        <w:t xml:space="preserve">Cost </w:t>
      </w:r>
      <w:r w:rsidR="00F04EA3" w:rsidRPr="003819CB">
        <w:t>of IT</w:t>
      </w:r>
      <w:r w:rsidR="00136C38">
        <w:t xml:space="preserve"> up</w:t>
      </w:r>
      <w:r w:rsidR="00136C38" w:rsidRPr="0053384D">
        <w:rPr>
          <w:color w:val="44546A"/>
        </w:rPr>
        <w:t>grad</w:t>
      </w:r>
      <w:r w:rsidR="00136C38">
        <w:t xml:space="preserve">es </w:t>
      </w:r>
      <w:r w:rsidRPr="003819CB">
        <w:t>to prepare for the new reporting requirements</w:t>
      </w:r>
    </w:p>
    <w:tbl>
      <w:tblPr>
        <w:tblStyle w:val="TableGrid"/>
        <w:tblW w:w="0" w:type="auto"/>
        <w:tblLook w:val="04A0" w:firstRow="1" w:lastRow="0" w:firstColumn="1" w:lastColumn="0" w:noHBand="0" w:noVBand="1"/>
      </w:tblPr>
      <w:tblGrid>
        <w:gridCol w:w="1655"/>
        <w:gridCol w:w="1005"/>
        <w:gridCol w:w="6356"/>
      </w:tblGrid>
      <w:tr w:rsidR="009362DE" w:rsidRPr="00F04EA3" w14:paraId="7F72C05C" w14:textId="77777777" w:rsidTr="001615EC">
        <w:tc>
          <w:tcPr>
            <w:tcW w:w="0" w:type="auto"/>
            <w:tcBorders>
              <w:bottom w:val="single" w:sz="4" w:space="0" w:color="auto"/>
            </w:tcBorders>
            <w:shd w:val="clear" w:color="auto" w:fill="0E2841" w:themeFill="text2"/>
          </w:tcPr>
          <w:p w14:paraId="59AEE9FA" w14:textId="77777777" w:rsidR="00DA0825" w:rsidRPr="00F04EA3" w:rsidRDefault="00DA0825" w:rsidP="00DA0825">
            <w:pPr>
              <w:rPr>
                <w:b/>
                <w:bCs/>
                <w:color w:val="FFFFFF" w:themeColor="background1"/>
                <w:sz w:val="20"/>
                <w:szCs w:val="20"/>
              </w:rPr>
            </w:pPr>
            <w:r w:rsidRPr="00F04EA3">
              <w:rPr>
                <w:b/>
                <w:bCs/>
                <w:color w:val="FFFFFF" w:themeColor="background1"/>
                <w:sz w:val="20"/>
                <w:szCs w:val="20"/>
              </w:rPr>
              <w:t>Item</w:t>
            </w:r>
          </w:p>
        </w:tc>
        <w:tc>
          <w:tcPr>
            <w:tcW w:w="0" w:type="auto"/>
            <w:tcBorders>
              <w:bottom w:val="single" w:sz="4" w:space="0" w:color="auto"/>
            </w:tcBorders>
            <w:shd w:val="clear" w:color="auto" w:fill="0E2841" w:themeFill="text2"/>
          </w:tcPr>
          <w:p w14:paraId="2652F67C" w14:textId="77777777" w:rsidR="00DA0825" w:rsidRPr="00F04EA3" w:rsidRDefault="00DA0825" w:rsidP="00DA0825">
            <w:pPr>
              <w:jc w:val="right"/>
              <w:rPr>
                <w:b/>
                <w:bCs/>
                <w:color w:val="FFFFFF" w:themeColor="background1"/>
                <w:sz w:val="20"/>
                <w:szCs w:val="20"/>
              </w:rPr>
            </w:pPr>
            <w:r w:rsidRPr="00F04EA3">
              <w:rPr>
                <w:b/>
                <w:bCs/>
                <w:color w:val="FFFFFF" w:themeColor="background1"/>
                <w:sz w:val="20"/>
                <w:szCs w:val="20"/>
              </w:rPr>
              <w:t>Value</w:t>
            </w:r>
          </w:p>
        </w:tc>
        <w:tc>
          <w:tcPr>
            <w:tcW w:w="0" w:type="auto"/>
            <w:tcBorders>
              <w:bottom w:val="single" w:sz="4" w:space="0" w:color="auto"/>
            </w:tcBorders>
            <w:shd w:val="clear" w:color="auto" w:fill="0E2841" w:themeFill="text2"/>
          </w:tcPr>
          <w:p w14:paraId="57C6C4A5" w14:textId="77777777" w:rsidR="00DA0825" w:rsidRPr="00F04EA3" w:rsidRDefault="00DA0825" w:rsidP="00DA0825">
            <w:pPr>
              <w:rPr>
                <w:b/>
                <w:bCs/>
                <w:color w:val="FFFFFF" w:themeColor="background1"/>
                <w:sz w:val="20"/>
                <w:szCs w:val="20"/>
              </w:rPr>
            </w:pPr>
            <w:r w:rsidRPr="00F04EA3">
              <w:rPr>
                <w:b/>
                <w:bCs/>
                <w:color w:val="FFFFFF" w:themeColor="background1"/>
                <w:sz w:val="20"/>
                <w:szCs w:val="20"/>
              </w:rPr>
              <w:t>Basis</w:t>
            </w:r>
          </w:p>
        </w:tc>
      </w:tr>
      <w:tr w:rsidR="009362DE" w:rsidRPr="00F04EA3" w14:paraId="5680E149" w14:textId="77777777" w:rsidTr="001615EC">
        <w:tc>
          <w:tcPr>
            <w:tcW w:w="0" w:type="auto"/>
          </w:tcPr>
          <w:p w14:paraId="704A8221" w14:textId="5BFC87F1" w:rsidR="0006563A" w:rsidRPr="00F04EA3" w:rsidRDefault="0006563A" w:rsidP="00DA0825">
            <w:pPr>
              <w:rPr>
                <w:sz w:val="20"/>
                <w:szCs w:val="20"/>
              </w:rPr>
            </w:pPr>
            <w:r w:rsidRPr="00F04EA3">
              <w:rPr>
                <w:sz w:val="20"/>
                <w:szCs w:val="20"/>
              </w:rPr>
              <w:t xml:space="preserve">Hours of IT </w:t>
            </w:r>
            <w:r w:rsidR="00136C38" w:rsidRPr="00F04EA3">
              <w:rPr>
                <w:sz w:val="20"/>
                <w:szCs w:val="20"/>
              </w:rPr>
              <w:t xml:space="preserve">upgrades </w:t>
            </w:r>
            <w:r w:rsidRPr="00F04EA3">
              <w:rPr>
                <w:sz w:val="20"/>
                <w:szCs w:val="20"/>
              </w:rPr>
              <w:t>required</w:t>
            </w:r>
          </w:p>
        </w:tc>
        <w:tc>
          <w:tcPr>
            <w:tcW w:w="0" w:type="auto"/>
          </w:tcPr>
          <w:p w14:paraId="756F1DCD" w14:textId="01F809E3" w:rsidR="0006563A" w:rsidRPr="00F04EA3" w:rsidRDefault="00136C38" w:rsidP="00DA0825">
            <w:pPr>
              <w:jc w:val="right"/>
              <w:rPr>
                <w:sz w:val="20"/>
                <w:szCs w:val="20"/>
              </w:rPr>
            </w:pPr>
            <w:r w:rsidRPr="00F04EA3">
              <w:rPr>
                <w:sz w:val="20"/>
                <w:szCs w:val="20"/>
              </w:rPr>
              <w:t>56</w:t>
            </w:r>
          </w:p>
        </w:tc>
        <w:tc>
          <w:tcPr>
            <w:tcW w:w="0" w:type="auto"/>
            <w:vMerge w:val="restart"/>
          </w:tcPr>
          <w:p w14:paraId="42D73E61" w14:textId="5482551C" w:rsidR="0006563A" w:rsidRPr="00F04EA3" w:rsidRDefault="0006563A" w:rsidP="00DA0825">
            <w:pPr>
              <w:rPr>
                <w:sz w:val="20"/>
                <w:szCs w:val="20"/>
              </w:rPr>
            </w:pPr>
            <w:r w:rsidRPr="00F04EA3">
              <w:rPr>
                <w:sz w:val="20"/>
                <w:szCs w:val="20"/>
              </w:rPr>
              <w:t>Estimate provided by IT vendor</w:t>
            </w:r>
            <w:r w:rsidR="006C0F9A" w:rsidRPr="00F04EA3">
              <w:rPr>
                <w:sz w:val="20"/>
                <w:szCs w:val="20"/>
              </w:rPr>
              <w:t xml:space="preserve"> and based on information from the interjurisdictional steering committee</w:t>
            </w:r>
            <w:r w:rsidR="006F4BF1">
              <w:rPr>
                <w:sz w:val="20"/>
                <w:szCs w:val="20"/>
              </w:rPr>
              <w:t xml:space="preserve"> representatives</w:t>
            </w:r>
            <w:r w:rsidR="00E55C93" w:rsidRPr="00F04EA3">
              <w:rPr>
                <w:sz w:val="20"/>
                <w:szCs w:val="20"/>
              </w:rPr>
              <w:t>, on the basis of</w:t>
            </w:r>
            <w:r w:rsidR="006F4BF1">
              <w:rPr>
                <w:sz w:val="20"/>
                <w:szCs w:val="20"/>
              </w:rPr>
              <w:t xml:space="preserve"> </w:t>
            </w:r>
            <w:r w:rsidR="00E55C93" w:rsidRPr="00F04EA3">
              <w:rPr>
                <w:sz w:val="20"/>
                <w:szCs w:val="20"/>
              </w:rPr>
              <w:t>update</w:t>
            </w:r>
            <w:r w:rsidR="00136C38" w:rsidRPr="00F04EA3">
              <w:rPr>
                <w:sz w:val="20"/>
                <w:szCs w:val="20"/>
              </w:rPr>
              <w:t>s to add additional fields</w:t>
            </w:r>
            <w:r w:rsidR="009362DE">
              <w:rPr>
                <w:sz w:val="20"/>
                <w:szCs w:val="20"/>
              </w:rPr>
              <w:t xml:space="preserve"> </w:t>
            </w:r>
            <w:r w:rsidR="00E55C93" w:rsidRPr="00F04EA3">
              <w:rPr>
                <w:sz w:val="20"/>
                <w:szCs w:val="20"/>
              </w:rPr>
              <w:t>to incumbent reporting system</w:t>
            </w:r>
            <w:r w:rsidR="00B4367C" w:rsidRPr="00F04EA3">
              <w:rPr>
                <w:sz w:val="20"/>
                <w:szCs w:val="20"/>
              </w:rPr>
              <w:t>s</w:t>
            </w:r>
            <w:r w:rsidR="00E55C93" w:rsidRPr="00F04EA3">
              <w:rPr>
                <w:sz w:val="20"/>
                <w:szCs w:val="20"/>
              </w:rPr>
              <w:t>.</w:t>
            </w:r>
          </w:p>
        </w:tc>
      </w:tr>
      <w:tr w:rsidR="009362DE" w:rsidRPr="00F04EA3" w14:paraId="788225A6" w14:textId="77777777" w:rsidTr="001615EC">
        <w:tc>
          <w:tcPr>
            <w:tcW w:w="0" w:type="auto"/>
          </w:tcPr>
          <w:p w14:paraId="294F8364" w14:textId="77777777" w:rsidR="0006563A" w:rsidRPr="00F04EA3" w:rsidRDefault="0006563A" w:rsidP="00DA0825">
            <w:pPr>
              <w:rPr>
                <w:sz w:val="20"/>
                <w:szCs w:val="20"/>
              </w:rPr>
            </w:pPr>
            <w:r w:rsidRPr="00F04EA3">
              <w:rPr>
                <w:sz w:val="20"/>
                <w:szCs w:val="20"/>
              </w:rPr>
              <w:t>Cost per hour</w:t>
            </w:r>
          </w:p>
        </w:tc>
        <w:tc>
          <w:tcPr>
            <w:tcW w:w="0" w:type="auto"/>
          </w:tcPr>
          <w:p w14:paraId="6A704CF2" w14:textId="77777777" w:rsidR="0006563A" w:rsidRPr="00F04EA3" w:rsidRDefault="0006563A" w:rsidP="00DA0825">
            <w:pPr>
              <w:jc w:val="right"/>
              <w:rPr>
                <w:sz w:val="20"/>
                <w:szCs w:val="20"/>
              </w:rPr>
            </w:pPr>
            <w:r w:rsidRPr="00F04EA3">
              <w:rPr>
                <w:sz w:val="20"/>
                <w:szCs w:val="20"/>
              </w:rPr>
              <w:t>$200</w:t>
            </w:r>
          </w:p>
        </w:tc>
        <w:tc>
          <w:tcPr>
            <w:tcW w:w="0" w:type="auto"/>
            <w:vMerge/>
          </w:tcPr>
          <w:p w14:paraId="7144D3E6" w14:textId="03D02A7F" w:rsidR="0006563A" w:rsidRPr="00F04EA3" w:rsidRDefault="0006563A" w:rsidP="00DA0825">
            <w:pPr>
              <w:rPr>
                <w:sz w:val="20"/>
                <w:szCs w:val="20"/>
                <w:highlight w:val="magenta"/>
              </w:rPr>
            </w:pPr>
          </w:p>
        </w:tc>
      </w:tr>
      <w:tr w:rsidR="009362DE" w:rsidRPr="00F04EA3" w14:paraId="198F9920" w14:textId="77777777" w:rsidTr="001615EC">
        <w:tc>
          <w:tcPr>
            <w:tcW w:w="0" w:type="auto"/>
          </w:tcPr>
          <w:p w14:paraId="33EB3E54" w14:textId="77777777" w:rsidR="0006563A" w:rsidRPr="00F04EA3" w:rsidRDefault="0006563A" w:rsidP="00DA0825">
            <w:pPr>
              <w:rPr>
                <w:sz w:val="20"/>
                <w:szCs w:val="20"/>
              </w:rPr>
            </w:pPr>
            <w:r w:rsidRPr="00F04EA3">
              <w:rPr>
                <w:sz w:val="20"/>
                <w:szCs w:val="20"/>
              </w:rPr>
              <w:t>Frequency</w:t>
            </w:r>
          </w:p>
        </w:tc>
        <w:tc>
          <w:tcPr>
            <w:tcW w:w="0" w:type="auto"/>
          </w:tcPr>
          <w:p w14:paraId="62C2DB14" w14:textId="1A048559" w:rsidR="0006563A" w:rsidRPr="00F04EA3" w:rsidRDefault="0006563A" w:rsidP="00DA0825">
            <w:pPr>
              <w:jc w:val="right"/>
              <w:rPr>
                <w:sz w:val="20"/>
                <w:szCs w:val="20"/>
              </w:rPr>
            </w:pPr>
            <w:r w:rsidRPr="00F04EA3">
              <w:rPr>
                <w:sz w:val="20"/>
                <w:szCs w:val="20"/>
              </w:rPr>
              <w:t>1 (per facility)</w:t>
            </w:r>
          </w:p>
        </w:tc>
        <w:tc>
          <w:tcPr>
            <w:tcW w:w="0" w:type="auto"/>
            <w:vMerge/>
          </w:tcPr>
          <w:p w14:paraId="685B81CE" w14:textId="148127DB" w:rsidR="0006563A" w:rsidRPr="00F04EA3" w:rsidRDefault="0006563A" w:rsidP="00DA0825">
            <w:pPr>
              <w:rPr>
                <w:sz w:val="20"/>
                <w:szCs w:val="20"/>
                <w:highlight w:val="magenta"/>
              </w:rPr>
            </w:pPr>
          </w:p>
        </w:tc>
      </w:tr>
    </w:tbl>
    <w:p w14:paraId="34F21992" w14:textId="77777777" w:rsidR="00DA0825" w:rsidRPr="00F04EA3" w:rsidRDefault="00DA0825" w:rsidP="00DA0825"/>
    <w:p w14:paraId="59573FFA" w14:textId="6FB0C06F" w:rsidR="00AC036A" w:rsidRDefault="00CE60BC" w:rsidP="00AC036A">
      <w:pPr>
        <w:keepNext/>
        <w:keepLines/>
        <w:spacing w:before="360" w:line="240" w:lineRule="atLeast"/>
        <w:outlineLvl w:val="3"/>
        <w:rPr>
          <w:rFonts w:eastAsia="Cambria" w:cs="Arial"/>
          <w:b/>
          <w:bCs/>
          <w:color w:val="001871"/>
          <w:sz w:val="28"/>
          <w:szCs w:val="26"/>
        </w:rPr>
      </w:pPr>
      <w:r>
        <w:rPr>
          <w:rFonts w:eastAsia="Cambria" w:cs="Arial"/>
          <w:b/>
          <w:bCs/>
          <w:color w:val="001871"/>
          <w:sz w:val="28"/>
          <w:szCs w:val="26"/>
        </w:rPr>
        <w:t xml:space="preserve">Average annual regulatory costs for each option </w:t>
      </w:r>
      <w:r w:rsidR="003B0146">
        <w:rPr>
          <w:rFonts w:eastAsia="Cambria" w:cs="Arial"/>
          <w:b/>
          <w:bCs/>
          <w:color w:val="001871"/>
          <w:sz w:val="28"/>
          <w:szCs w:val="26"/>
        </w:rPr>
        <w:t>over the ten</w:t>
      </w:r>
      <w:r w:rsidR="00C17467">
        <w:rPr>
          <w:rFonts w:eastAsia="Cambria" w:cs="Arial"/>
          <w:b/>
          <w:bCs/>
          <w:color w:val="001871"/>
          <w:sz w:val="28"/>
          <w:szCs w:val="26"/>
        </w:rPr>
        <w:t>-</w:t>
      </w:r>
      <w:r w:rsidR="003B0146">
        <w:rPr>
          <w:rFonts w:eastAsia="Cambria" w:cs="Arial"/>
          <w:b/>
          <w:bCs/>
          <w:color w:val="001871"/>
          <w:sz w:val="28"/>
          <w:szCs w:val="26"/>
        </w:rPr>
        <w:t>year default period</w:t>
      </w:r>
    </w:p>
    <w:p w14:paraId="2E78E31F" w14:textId="2851C48B" w:rsidR="00DB0422" w:rsidRDefault="00DB0422" w:rsidP="00AC036A">
      <w:pPr>
        <w:keepNext/>
        <w:keepLines/>
        <w:spacing w:before="360" w:line="240" w:lineRule="atLeast"/>
        <w:outlineLvl w:val="3"/>
        <w:rPr>
          <w:i/>
          <w:iCs/>
          <w:color w:val="44546A"/>
          <w:sz w:val="18"/>
          <w:szCs w:val="18"/>
        </w:rPr>
      </w:pPr>
      <w:r w:rsidRPr="0053384D">
        <w:rPr>
          <w:i/>
          <w:iCs/>
          <w:color w:val="44546A"/>
          <w:sz w:val="18"/>
          <w:szCs w:val="18"/>
        </w:rPr>
        <w:t>Table 2</w:t>
      </w:r>
      <w:r w:rsidR="00107ACB">
        <w:rPr>
          <w:i/>
          <w:iCs/>
          <w:color w:val="44546A"/>
          <w:sz w:val="18"/>
          <w:szCs w:val="18"/>
        </w:rPr>
        <w:t>6</w:t>
      </w:r>
      <w:r w:rsidRPr="0053384D">
        <w:rPr>
          <w:i/>
          <w:iCs/>
          <w:color w:val="44546A"/>
          <w:sz w:val="18"/>
          <w:szCs w:val="18"/>
        </w:rPr>
        <w:t xml:space="preserve"> – Summary of</w:t>
      </w:r>
      <w:r w:rsidR="00BB4BF0" w:rsidRPr="0053384D">
        <w:rPr>
          <w:i/>
          <w:iCs/>
          <w:color w:val="44546A"/>
          <w:sz w:val="18"/>
          <w:szCs w:val="18"/>
        </w:rPr>
        <w:t xml:space="preserve"> regulatory cost calculation over the ten-year default period</w:t>
      </w:r>
      <w:r w:rsidR="00BB4BF0">
        <w:rPr>
          <w:i/>
          <w:iCs/>
          <w:color w:val="44546A"/>
          <w:sz w:val="18"/>
          <w:szCs w:val="18"/>
        </w:rPr>
        <w:t xml:space="preserve"> </w:t>
      </w:r>
    </w:p>
    <w:p w14:paraId="259F077E" w14:textId="746FAAD3" w:rsidR="00BB4BF0" w:rsidRDefault="00292FDB" w:rsidP="00AC036A">
      <w:pPr>
        <w:keepNext/>
        <w:keepLines/>
        <w:spacing w:before="360" w:line="240" w:lineRule="atLeast"/>
        <w:outlineLvl w:val="3"/>
        <w:rPr>
          <w:rFonts w:eastAsia="Cambria" w:cs="Arial"/>
          <w:b/>
          <w:bCs/>
          <w:i/>
          <w:iCs/>
          <w:color w:val="001871"/>
          <w:sz w:val="28"/>
          <w:szCs w:val="26"/>
        </w:rPr>
      </w:pPr>
      <w:r>
        <w:rPr>
          <w:noProof/>
          <w:lang w:eastAsia="en-AU"/>
        </w:rPr>
        <w:drawing>
          <wp:inline distT="0" distB="0" distL="0" distR="0" wp14:anchorId="7AF95CCE" wp14:editId="4ADC9273">
            <wp:extent cx="5572125" cy="2344046"/>
            <wp:effectExtent l="0" t="0" r="0" b="0"/>
            <wp:docPr id="1010571394"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71394" name="Picture 1" descr="A screenshot of a spreadsheet&#10;&#10;Description automatically generated"/>
                    <pic:cNvPicPr/>
                  </pic:nvPicPr>
                  <pic:blipFill>
                    <a:blip r:embed="rId56"/>
                    <a:stretch>
                      <a:fillRect/>
                    </a:stretch>
                  </pic:blipFill>
                  <pic:spPr>
                    <a:xfrm>
                      <a:off x="0" y="0"/>
                      <a:ext cx="5577876" cy="2346465"/>
                    </a:xfrm>
                    <a:prstGeom prst="rect">
                      <a:avLst/>
                    </a:prstGeom>
                  </pic:spPr>
                </pic:pic>
              </a:graphicData>
            </a:graphic>
          </wp:inline>
        </w:drawing>
      </w:r>
    </w:p>
    <w:p w14:paraId="14DCCA1D" w14:textId="77777777" w:rsidR="00BB4BF0" w:rsidRPr="0053384D" w:rsidRDefault="00BB4BF0" w:rsidP="00AC036A">
      <w:pPr>
        <w:keepNext/>
        <w:keepLines/>
        <w:spacing w:before="360" w:line="240" w:lineRule="atLeast"/>
        <w:outlineLvl w:val="3"/>
        <w:rPr>
          <w:rFonts w:eastAsia="Cambria" w:cs="Arial"/>
          <w:b/>
          <w:bCs/>
          <w:i/>
          <w:iCs/>
          <w:color w:val="001871"/>
          <w:sz w:val="28"/>
          <w:szCs w:val="26"/>
        </w:rPr>
      </w:pPr>
    </w:p>
    <w:tbl>
      <w:tblPr>
        <w:tblStyle w:val="TableTGAblue2023"/>
        <w:tblW w:w="878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6804"/>
      </w:tblGrid>
      <w:tr w:rsidR="00642928" w:rsidRPr="009E3C90" w14:paraId="31271949" w14:textId="77777777" w:rsidTr="00B31DF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7654475" w14:textId="77777777" w:rsidR="00642928" w:rsidRPr="009E3C90" w:rsidRDefault="00642928" w:rsidP="008C6AC3">
            <w:pPr>
              <w:spacing w:before="0" w:after="120" w:line="259" w:lineRule="auto"/>
              <w:ind w:left="0"/>
              <w:rPr>
                <w:rFonts w:eastAsiaTheme="minorHAnsi" w:cs="Arial"/>
                <w:bCs/>
                <w:color w:val="auto"/>
                <w:sz w:val="20"/>
                <w:szCs w:val="20"/>
                <w:u w:val="single"/>
                <w:lang w:eastAsia="en-US"/>
              </w:rPr>
            </w:pPr>
            <w:r w:rsidRPr="009E3C90">
              <w:rPr>
                <w:rFonts w:eastAsiaTheme="minorHAnsi" w:cs="Arial"/>
                <w:bCs/>
                <w:color w:val="auto"/>
                <w:sz w:val="20"/>
                <w:szCs w:val="20"/>
                <w:u w:val="single"/>
                <w:lang w:eastAsia="en-US"/>
              </w:rPr>
              <w:t>Option 2A</w:t>
            </w:r>
          </w:p>
          <w:p w14:paraId="430009AE" w14:textId="77777777" w:rsidR="00642928" w:rsidRPr="009E3C90" w:rsidRDefault="00642928" w:rsidP="008C6AC3">
            <w:pPr>
              <w:spacing w:before="0" w:after="120" w:line="259" w:lineRule="auto"/>
              <w:ind w:left="0"/>
              <w:rPr>
                <w:rFonts w:eastAsiaTheme="minorHAnsi" w:cs="Arial"/>
                <w:b w:val="0"/>
                <w:color w:val="auto"/>
                <w:sz w:val="20"/>
                <w:szCs w:val="20"/>
                <w:lang w:eastAsia="en-US"/>
              </w:rPr>
            </w:pPr>
            <w:r w:rsidRPr="009E3C90">
              <w:rPr>
                <w:rFonts w:cs="Arial"/>
                <w:b w:val="0"/>
                <w:color w:val="auto"/>
                <w:sz w:val="20"/>
                <w:szCs w:val="20"/>
              </w:rPr>
              <w:t>Measures 1, 2, 3, 4 and 5</w:t>
            </w:r>
          </w:p>
          <w:p w14:paraId="7380357E" w14:textId="77777777" w:rsidR="00642928" w:rsidRPr="009E3C90" w:rsidRDefault="00642928" w:rsidP="008C6AC3">
            <w:pPr>
              <w:spacing w:before="0" w:after="120" w:line="259" w:lineRule="auto"/>
              <w:ind w:left="0"/>
              <w:rPr>
                <w:rFonts w:eastAsiaTheme="minorHAnsi" w:cs="Arial"/>
                <w:b w:val="0"/>
                <w:color w:val="auto"/>
                <w:sz w:val="20"/>
                <w:szCs w:val="20"/>
                <w:u w:val="single"/>
                <w:lang w:eastAsia="en-US"/>
              </w:rPr>
            </w:pPr>
          </w:p>
        </w:tc>
        <w:tc>
          <w:tcPr>
            <w:tcW w:w="6804" w:type="dxa"/>
            <w:shd w:val="clear" w:color="auto" w:fill="auto"/>
          </w:tcPr>
          <w:p w14:paraId="30C384EE" w14:textId="2C8F9F59" w:rsidR="009C50DD" w:rsidRPr="009E3C90" w:rsidRDefault="00642928"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E3C90">
              <w:rPr>
                <w:rFonts w:cs="Arial"/>
                <w:b w:val="0"/>
                <w:color w:val="auto"/>
                <w:sz w:val="20"/>
                <w:szCs w:val="20"/>
              </w:rPr>
              <w:t>Total regulatory burden estimates for</w:t>
            </w:r>
            <w:r w:rsidR="00C82B7C">
              <w:rPr>
                <w:rFonts w:cs="Arial"/>
                <w:b w:val="0"/>
                <w:color w:val="auto"/>
                <w:sz w:val="20"/>
                <w:szCs w:val="20"/>
              </w:rPr>
              <w:t xml:space="preserve"> all </w:t>
            </w:r>
            <w:r w:rsidRPr="009E3C90">
              <w:rPr>
                <w:rFonts w:cs="Arial"/>
                <w:b w:val="0"/>
                <w:color w:val="auto"/>
                <w:sz w:val="20"/>
                <w:szCs w:val="20"/>
              </w:rPr>
              <w:t>private healthcare facilities</w:t>
            </w:r>
            <w:r w:rsidR="00B76DA0" w:rsidRPr="009E3C90">
              <w:rPr>
                <w:rFonts w:cs="Arial"/>
                <w:b w:val="0"/>
                <w:color w:val="auto"/>
                <w:sz w:val="20"/>
                <w:szCs w:val="20"/>
              </w:rPr>
              <w:t xml:space="preserve"> (businesses</w:t>
            </w:r>
            <w:r w:rsidR="004335B0" w:rsidRPr="009E3C90">
              <w:rPr>
                <w:rFonts w:cs="Arial"/>
                <w:b w:val="0"/>
                <w:color w:val="auto"/>
                <w:sz w:val="20"/>
                <w:szCs w:val="20"/>
              </w:rPr>
              <w:t>)</w:t>
            </w:r>
            <w:r w:rsidRPr="009E3C90">
              <w:rPr>
                <w:rFonts w:cs="Arial"/>
                <w:b w:val="0"/>
                <w:color w:val="auto"/>
                <w:sz w:val="20"/>
                <w:szCs w:val="20"/>
              </w:rPr>
              <w:t>: $</w:t>
            </w:r>
            <w:r w:rsidR="00114385">
              <w:rPr>
                <w:rFonts w:cs="Arial"/>
                <w:b w:val="0"/>
                <w:color w:val="auto"/>
                <w:sz w:val="20"/>
                <w:szCs w:val="20"/>
              </w:rPr>
              <w:t xml:space="preserve">1.19 </w:t>
            </w:r>
            <w:r w:rsidRPr="009E3C90">
              <w:rPr>
                <w:rFonts w:cs="Arial"/>
                <w:b w:val="0"/>
                <w:color w:val="auto"/>
                <w:sz w:val="20"/>
                <w:szCs w:val="20"/>
              </w:rPr>
              <w:t>million / year</w:t>
            </w:r>
          </w:p>
          <w:p w14:paraId="18912873" w14:textId="1CBD99D7" w:rsidR="00642928" w:rsidRPr="009E3C90" w:rsidRDefault="009C50DD"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E3C90">
              <w:rPr>
                <w:rFonts w:eastAsiaTheme="minorHAnsi" w:cs="Arial"/>
                <w:b w:val="0"/>
                <w:color w:val="auto"/>
                <w:sz w:val="20"/>
                <w:szCs w:val="20"/>
                <w:lang w:eastAsia="en-US"/>
              </w:rPr>
              <w:t>Total regulatory burden estimates for community organisations and individuals: $0</w:t>
            </w:r>
          </w:p>
          <w:p w14:paraId="13C9790E" w14:textId="56719D40" w:rsidR="00642928" w:rsidRPr="009E3C90" w:rsidRDefault="00642928"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E3C90">
              <w:rPr>
                <w:rFonts w:cs="Arial"/>
                <w:b w:val="0"/>
                <w:color w:val="auto"/>
                <w:sz w:val="20"/>
                <w:szCs w:val="20"/>
              </w:rPr>
              <w:t>Total administrative costs: $</w:t>
            </w:r>
            <w:r w:rsidR="000B649E">
              <w:rPr>
                <w:rFonts w:cs="Arial"/>
                <w:b w:val="0"/>
                <w:color w:val="auto"/>
                <w:sz w:val="20"/>
                <w:szCs w:val="20"/>
              </w:rPr>
              <w:t xml:space="preserve">0.46 </w:t>
            </w:r>
            <w:r w:rsidRPr="009E3C90">
              <w:rPr>
                <w:rFonts w:cs="Arial"/>
                <w:b w:val="0"/>
                <w:color w:val="auto"/>
                <w:sz w:val="20"/>
                <w:szCs w:val="20"/>
              </w:rPr>
              <w:t>million / year</w:t>
            </w:r>
          </w:p>
          <w:p w14:paraId="7A2186E1" w14:textId="4B6F9E75" w:rsidR="00642928" w:rsidRPr="009E3C90" w:rsidRDefault="00642928"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E3C90">
              <w:rPr>
                <w:rFonts w:cs="Arial"/>
                <w:b w:val="0"/>
                <w:color w:val="auto"/>
                <w:sz w:val="20"/>
                <w:szCs w:val="20"/>
              </w:rPr>
              <w:t>Total substantive compliance costs: $0.7</w:t>
            </w:r>
            <w:r w:rsidR="00A05179" w:rsidRPr="009E3C90">
              <w:rPr>
                <w:rFonts w:cs="Arial"/>
                <w:b w:val="0"/>
                <w:color w:val="auto"/>
                <w:sz w:val="20"/>
                <w:szCs w:val="20"/>
              </w:rPr>
              <w:t>2</w:t>
            </w:r>
            <w:r w:rsidR="00532CA6" w:rsidRPr="009E3C90">
              <w:rPr>
                <w:rFonts w:cs="Arial"/>
                <w:b w:val="0"/>
                <w:color w:val="auto"/>
                <w:sz w:val="20"/>
                <w:szCs w:val="20"/>
              </w:rPr>
              <w:t>5</w:t>
            </w:r>
            <w:r w:rsidRPr="009E3C90">
              <w:rPr>
                <w:rFonts w:cs="Arial"/>
                <w:b w:val="0"/>
                <w:color w:val="auto"/>
                <w:sz w:val="20"/>
                <w:szCs w:val="20"/>
              </w:rPr>
              <w:t xml:space="preserve"> million / year</w:t>
            </w:r>
          </w:p>
          <w:p w14:paraId="3335C72F" w14:textId="5FAA7644" w:rsidR="004B25B9" w:rsidRPr="009E3C90" w:rsidRDefault="00915E73"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9E3C90">
              <w:rPr>
                <w:rFonts w:cs="Arial"/>
                <w:b w:val="0"/>
                <w:color w:val="auto"/>
                <w:sz w:val="20"/>
                <w:szCs w:val="20"/>
              </w:rPr>
              <w:t>Total cost per facility</w:t>
            </w:r>
            <w:r w:rsidR="003D0B46" w:rsidRPr="009E3C90">
              <w:rPr>
                <w:rFonts w:cs="Arial"/>
                <w:b w:val="0"/>
                <w:color w:val="auto"/>
                <w:sz w:val="20"/>
                <w:szCs w:val="20"/>
              </w:rPr>
              <w:t xml:space="preserve"> over ten years</w:t>
            </w:r>
            <w:r w:rsidR="005C6A64" w:rsidRPr="009E3C90">
              <w:rPr>
                <w:rFonts w:cs="Arial"/>
                <w:b w:val="0"/>
                <w:color w:val="auto"/>
                <w:sz w:val="20"/>
                <w:szCs w:val="20"/>
              </w:rPr>
              <w:t>: $</w:t>
            </w:r>
            <w:r w:rsidR="00180BB3">
              <w:rPr>
                <w:rFonts w:cs="Arial"/>
                <w:b w:val="0"/>
                <w:color w:val="auto"/>
                <w:sz w:val="20"/>
                <w:szCs w:val="20"/>
              </w:rPr>
              <w:t>18,507</w:t>
            </w:r>
          </w:p>
        </w:tc>
      </w:tr>
      <w:tr w:rsidR="00642928" w:rsidRPr="009E3C90" w14:paraId="2C2C8FEC" w14:textId="77777777" w:rsidTr="00B31DF2">
        <w:trPr>
          <w:trHeight w:val="67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401DCBC" w14:textId="77777777" w:rsidR="00642928" w:rsidRPr="009E3C90" w:rsidRDefault="00642928" w:rsidP="008C6AC3">
            <w:pPr>
              <w:spacing w:before="0" w:after="120" w:line="259" w:lineRule="auto"/>
              <w:ind w:left="0"/>
              <w:rPr>
                <w:rFonts w:eastAsiaTheme="minorHAnsi" w:cs="Arial"/>
                <w:b/>
                <w:bCs/>
                <w:color w:val="auto"/>
                <w:sz w:val="20"/>
                <w:szCs w:val="20"/>
                <w:u w:val="single"/>
                <w:lang w:eastAsia="en-US"/>
              </w:rPr>
            </w:pPr>
            <w:r w:rsidRPr="009E3C90">
              <w:rPr>
                <w:rFonts w:eastAsiaTheme="minorHAnsi" w:cs="Arial"/>
                <w:b/>
                <w:bCs/>
                <w:color w:val="auto"/>
                <w:sz w:val="20"/>
                <w:szCs w:val="20"/>
                <w:u w:val="single"/>
                <w:lang w:eastAsia="en-US"/>
              </w:rPr>
              <w:t>Option 2B</w:t>
            </w:r>
          </w:p>
          <w:p w14:paraId="167E029F" w14:textId="77777777" w:rsidR="00642928" w:rsidRPr="009E3C90" w:rsidRDefault="00642928" w:rsidP="008C6AC3">
            <w:pPr>
              <w:spacing w:before="0" w:after="120" w:line="259" w:lineRule="auto"/>
              <w:ind w:left="0"/>
              <w:rPr>
                <w:rFonts w:eastAsiaTheme="minorHAnsi" w:cs="Arial"/>
                <w:color w:val="auto"/>
                <w:sz w:val="20"/>
                <w:szCs w:val="20"/>
                <w:lang w:eastAsia="en-US"/>
              </w:rPr>
            </w:pPr>
            <w:r w:rsidRPr="009E3C90">
              <w:rPr>
                <w:rFonts w:eastAsiaTheme="minorHAnsi" w:cs="Arial"/>
                <w:color w:val="auto"/>
                <w:sz w:val="20"/>
                <w:szCs w:val="20"/>
                <w:lang w:eastAsia="en-US"/>
              </w:rPr>
              <w:t>Measures 1, 2, 3, 4 and 6</w:t>
            </w:r>
          </w:p>
          <w:p w14:paraId="7B375DEF" w14:textId="77777777" w:rsidR="00642928" w:rsidRPr="009E3C90" w:rsidRDefault="00642928" w:rsidP="008C6AC3">
            <w:pPr>
              <w:spacing w:before="0" w:after="120" w:line="259" w:lineRule="auto"/>
              <w:ind w:left="0"/>
              <w:rPr>
                <w:rFonts w:eastAsiaTheme="minorHAnsi" w:cs="Arial"/>
                <w:color w:val="auto"/>
                <w:sz w:val="20"/>
                <w:szCs w:val="20"/>
                <w:u w:val="single"/>
                <w:lang w:eastAsia="en-US"/>
              </w:rPr>
            </w:pPr>
          </w:p>
        </w:tc>
        <w:tc>
          <w:tcPr>
            <w:tcW w:w="6804" w:type="dxa"/>
            <w:shd w:val="clear" w:color="auto" w:fill="auto"/>
          </w:tcPr>
          <w:p w14:paraId="161B814E" w14:textId="2987FCA0" w:rsidR="00642928" w:rsidRPr="009E3C90" w:rsidRDefault="00642928"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 xml:space="preserve">Total regulatory burden estimates for </w:t>
            </w:r>
            <w:r w:rsidR="00C82B7C">
              <w:rPr>
                <w:rFonts w:cs="Arial"/>
                <w:color w:val="auto"/>
                <w:sz w:val="20"/>
                <w:szCs w:val="20"/>
              </w:rPr>
              <w:t xml:space="preserve">all </w:t>
            </w:r>
            <w:r w:rsidRPr="009E3C90">
              <w:rPr>
                <w:rFonts w:cs="Arial"/>
                <w:color w:val="auto"/>
                <w:sz w:val="20"/>
                <w:szCs w:val="20"/>
              </w:rPr>
              <w:t xml:space="preserve">private </w:t>
            </w:r>
            <w:r w:rsidRPr="009E3C90">
              <w:rPr>
                <w:rFonts w:eastAsiaTheme="minorHAnsi" w:cs="Arial"/>
                <w:color w:val="auto"/>
                <w:sz w:val="20"/>
                <w:szCs w:val="20"/>
                <w:lang w:eastAsia="en-US"/>
              </w:rPr>
              <w:t>healthcare facilities</w:t>
            </w:r>
            <w:r w:rsidR="004335B0" w:rsidRPr="009E3C90">
              <w:rPr>
                <w:rFonts w:eastAsiaTheme="minorHAnsi" w:cs="Arial"/>
                <w:color w:val="auto"/>
                <w:sz w:val="20"/>
                <w:szCs w:val="20"/>
                <w:lang w:eastAsia="en-US"/>
              </w:rPr>
              <w:t xml:space="preserve"> (businesses)</w:t>
            </w:r>
            <w:r w:rsidRPr="009E3C90">
              <w:rPr>
                <w:rFonts w:cs="Arial"/>
                <w:color w:val="auto"/>
                <w:sz w:val="20"/>
                <w:szCs w:val="20"/>
              </w:rPr>
              <w:t>:</w:t>
            </w:r>
            <w:r w:rsidRPr="009E3C90">
              <w:rPr>
                <w:rFonts w:eastAsiaTheme="minorHAnsi" w:cs="Arial"/>
                <w:color w:val="auto"/>
                <w:sz w:val="20"/>
                <w:szCs w:val="20"/>
                <w:lang w:eastAsia="en-US"/>
              </w:rPr>
              <w:t xml:space="preserve"> $</w:t>
            </w:r>
            <w:r w:rsidR="000B649E">
              <w:rPr>
                <w:rFonts w:eastAsiaTheme="minorHAnsi" w:cs="Arial"/>
                <w:color w:val="auto"/>
                <w:sz w:val="20"/>
                <w:szCs w:val="20"/>
                <w:lang w:eastAsia="en-US"/>
              </w:rPr>
              <w:t xml:space="preserve">1.20 </w:t>
            </w:r>
            <w:r w:rsidRPr="009E3C90">
              <w:rPr>
                <w:rFonts w:eastAsiaTheme="minorHAnsi" w:cs="Arial"/>
                <w:color w:val="auto"/>
                <w:sz w:val="20"/>
                <w:szCs w:val="20"/>
                <w:lang w:eastAsia="en-US"/>
              </w:rPr>
              <w:t>million / year</w:t>
            </w:r>
          </w:p>
          <w:p w14:paraId="383C3AF8" w14:textId="77777777" w:rsidR="00642928" w:rsidRPr="009E3C90" w:rsidRDefault="00642928"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Total regulatory burden estimates for community organisations and individuals:</w:t>
            </w:r>
            <w:r w:rsidRPr="009E3C90">
              <w:rPr>
                <w:rFonts w:eastAsiaTheme="minorHAnsi" w:cs="Arial"/>
                <w:color w:val="auto"/>
                <w:sz w:val="20"/>
                <w:szCs w:val="20"/>
                <w:lang w:eastAsia="en-US"/>
              </w:rPr>
              <w:t xml:space="preserve"> $0</w:t>
            </w:r>
          </w:p>
          <w:p w14:paraId="79AF0752" w14:textId="75F654A7" w:rsidR="00642928" w:rsidRPr="009E3C90" w:rsidRDefault="00642928"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Total administrative costs:</w:t>
            </w:r>
            <w:r w:rsidRPr="009E3C90">
              <w:rPr>
                <w:rFonts w:eastAsiaTheme="minorHAnsi" w:cs="Arial"/>
                <w:color w:val="auto"/>
                <w:sz w:val="20"/>
                <w:szCs w:val="20"/>
                <w:lang w:eastAsia="en-US"/>
              </w:rPr>
              <w:t xml:space="preserve"> $</w:t>
            </w:r>
            <w:r w:rsidR="00B36918">
              <w:rPr>
                <w:rFonts w:eastAsiaTheme="minorHAnsi" w:cs="Arial"/>
                <w:color w:val="auto"/>
                <w:sz w:val="20"/>
                <w:szCs w:val="20"/>
                <w:lang w:eastAsia="en-US"/>
              </w:rPr>
              <w:t xml:space="preserve">0.47 </w:t>
            </w:r>
            <w:r w:rsidRPr="009E3C90">
              <w:rPr>
                <w:rFonts w:eastAsiaTheme="minorHAnsi" w:cs="Arial"/>
                <w:color w:val="auto"/>
                <w:sz w:val="20"/>
                <w:szCs w:val="20"/>
                <w:lang w:eastAsia="en-US"/>
              </w:rPr>
              <w:t>million / year</w:t>
            </w:r>
          </w:p>
          <w:p w14:paraId="768036C6" w14:textId="7D8B1788" w:rsidR="00642928" w:rsidRPr="009E3C90" w:rsidRDefault="00642928"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Total substantive compliance costs:</w:t>
            </w:r>
            <w:r w:rsidRPr="009E3C90">
              <w:rPr>
                <w:rFonts w:eastAsiaTheme="minorHAnsi" w:cs="Arial"/>
                <w:color w:val="auto"/>
                <w:sz w:val="20"/>
                <w:szCs w:val="20"/>
                <w:lang w:eastAsia="en-US"/>
              </w:rPr>
              <w:t xml:space="preserve"> $0.7</w:t>
            </w:r>
            <w:r w:rsidR="00532CA6" w:rsidRPr="009E3C90">
              <w:rPr>
                <w:rFonts w:eastAsiaTheme="minorHAnsi" w:cs="Arial"/>
                <w:color w:val="auto"/>
                <w:sz w:val="20"/>
                <w:szCs w:val="20"/>
                <w:lang w:eastAsia="en-US"/>
              </w:rPr>
              <w:t>25</w:t>
            </w:r>
            <w:r w:rsidRPr="009E3C90">
              <w:rPr>
                <w:rFonts w:eastAsiaTheme="minorHAnsi" w:cs="Arial"/>
                <w:color w:val="auto"/>
                <w:sz w:val="20"/>
                <w:szCs w:val="20"/>
                <w:lang w:eastAsia="en-US"/>
              </w:rPr>
              <w:t xml:space="preserve"> million / year</w:t>
            </w:r>
          </w:p>
          <w:p w14:paraId="4AB8BCB7" w14:textId="061A8C13" w:rsidR="00DB058F" w:rsidRPr="009E3C90" w:rsidRDefault="00DB058F"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eastAsiaTheme="minorHAnsi" w:cs="Arial"/>
                <w:color w:val="auto"/>
                <w:sz w:val="20"/>
                <w:szCs w:val="20"/>
                <w:lang w:eastAsia="en-US"/>
              </w:rPr>
              <w:t>Total cost per facility</w:t>
            </w:r>
            <w:r w:rsidR="007F3FD8" w:rsidRPr="009E3C90">
              <w:rPr>
                <w:rFonts w:eastAsiaTheme="minorHAnsi" w:cs="Arial"/>
                <w:color w:val="auto"/>
                <w:sz w:val="20"/>
                <w:szCs w:val="20"/>
                <w:lang w:eastAsia="en-US"/>
              </w:rPr>
              <w:t xml:space="preserve"> over ten years</w:t>
            </w:r>
            <w:r w:rsidRPr="009E3C90">
              <w:rPr>
                <w:rFonts w:eastAsiaTheme="minorHAnsi" w:cs="Arial"/>
                <w:color w:val="auto"/>
                <w:sz w:val="20"/>
                <w:szCs w:val="20"/>
                <w:lang w:eastAsia="en-US"/>
              </w:rPr>
              <w:t xml:space="preserve">: </w:t>
            </w:r>
            <w:r w:rsidR="00E16F43">
              <w:rPr>
                <w:rFonts w:eastAsiaTheme="minorHAnsi" w:cs="Arial"/>
                <w:color w:val="auto"/>
                <w:sz w:val="20"/>
                <w:szCs w:val="20"/>
                <w:lang w:eastAsia="en-US"/>
              </w:rPr>
              <w:t>$18,662</w:t>
            </w:r>
          </w:p>
        </w:tc>
      </w:tr>
    </w:tbl>
    <w:p w14:paraId="25B1F734" w14:textId="77777777" w:rsidR="00642928" w:rsidRPr="009E3C90" w:rsidRDefault="00642928" w:rsidP="00DA0825">
      <w:pPr>
        <w:rPr>
          <w:rFonts w:eastAsia="Times New Roman" w:cs="Arial"/>
          <w:b/>
          <w:bCs/>
          <w:color w:val="001871"/>
        </w:rPr>
      </w:pPr>
    </w:p>
    <w:tbl>
      <w:tblPr>
        <w:tblStyle w:val="TableTGAblue2023"/>
        <w:tblW w:w="8931"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10"/>
        <w:gridCol w:w="6521"/>
      </w:tblGrid>
      <w:tr w:rsidR="00B3020D" w:rsidRPr="009E3C90" w14:paraId="550E6FA4" w14:textId="77777777" w:rsidTr="00B31DF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74C5CE0B" w14:textId="77777777" w:rsidR="00B3020D" w:rsidRPr="009E3C90" w:rsidRDefault="00B3020D" w:rsidP="008C6AC3">
            <w:pPr>
              <w:spacing w:before="0" w:after="120" w:line="259" w:lineRule="auto"/>
              <w:ind w:left="0"/>
              <w:rPr>
                <w:rFonts w:eastAsiaTheme="minorHAnsi" w:cs="Arial"/>
                <w:bCs/>
                <w:color w:val="auto"/>
                <w:sz w:val="20"/>
                <w:szCs w:val="20"/>
                <w:u w:val="single"/>
                <w:lang w:eastAsia="en-US"/>
              </w:rPr>
            </w:pPr>
            <w:r w:rsidRPr="009E3C90">
              <w:rPr>
                <w:rFonts w:eastAsiaTheme="minorHAnsi" w:cs="Arial"/>
                <w:bCs/>
                <w:color w:val="auto"/>
                <w:sz w:val="20"/>
                <w:szCs w:val="20"/>
                <w:u w:val="single"/>
                <w:lang w:eastAsia="en-US"/>
              </w:rPr>
              <w:t>Option 3A</w:t>
            </w:r>
          </w:p>
          <w:p w14:paraId="637E8437" w14:textId="77777777" w:rsidR="00B3020D" w:rsidRPr="009E3C90" w:rsidRDefault="00B3020D" w:rsidP="008C6AC3">
            <w:pPr>
              <w:spacing w:before="0" w:after="120" w:line="259" w:lineRule="auto"/>
              <w:ind w:left="0"/>
              <w:rPr>
                <w:rFonts w:eastAsiaTheme="minorHAnsi" w:cs="Arial"/>
                <w:b w:val="0"/>
                <w:color w:val="auto"/>
                <w:sz w:val="20"/>
                <w:szCs w:val="20"/>
                <w:lang w:eastAsia="en-US"/>
              </w:rPr>
            </w:pPr>
            <w:r w:rsidRPr="009E3C90">
              <w:rPr>
                <w:rFonts w:cs="Arial"/>
                <w:b w:val="0"/>
                <w:color w:val="auto"/>
                <w:sz w:val="20"/>
                <w:szCs w:val="20"/>
              </w:rPr>
              <w:t>Measures 1, 2, 3, 4, 5 and 7</w:t>
            </w:r>
          </w:p>
          <w:p w14:paraId="07A31484" w14:textId="77777777" w:rsidR="00B3020D" w:rsidRPr="009E3C90" w:rsidRDefault="00B3020D" w:rsidP="008C6AC3">
            <w:pPr>
              <w:spacing w:before="0" w:after="120" w:line="259" w:lineRule="auto"/>
              <w:ind w:left="0"/>
              <w:rPr>
                <w:rFonts w:eastAsiaTheme="minorHAnsi" w:cs="Arial"/>
                <w:b w:val="0"/>
                <w:color w:val="auto"/>
                <w:sz w:val="20"/>
                <w:szCs w:val="20"/>
                <w:lang w:eastAsia="en-US"/>
              </w:rPr>
            </w:pPr>
          </w:p>
        </w:tc>
        <w:tc>
          <w:tcPr>
            <w:tcW w:w="6521" w:type="dxa"/>
            <w:shd w:val="clear" w:color="auto" w:fill="auto"/>
          </w:tcPr>
          <w:p w14:paraId="1656B9F6" w14:textId="3E089717" w:rsidR="00B3020D" w:rsidRPr="009E3C90" w:rsidRDefault="00B3020D"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E3C90">
              <w:rPr>
                <w:rFonts w:cs="Arial"/>
                <w:b w:val="0"/>
                <w:color w:val="auto"/>
                <w:sz w:val="20"/>
                <w:szCs w:val="20"/>
              </w:rPr>
              <w:t xml:space="preserve">Total regulatory burden estimates for </w:t>
            </w:r>
            <w:r w:rsidR="00C82B7C">
              <w:rPr>
                <w:rFonts w:cs="Arial"/>
                <w:b w:val="0"/>
                <w:color w:val="auto"/>
                <w:sz w:val="20"/>
                <w:szCs w:val="20"/>
              </w:rPr>
              <w:t xml:space="preserve">all </w:t>
            </w:r>
            <w:r w:rsidRPr="009E3C90">
              <w:rPr>
                <w:rFonts w:cs="Arial"/>
                <w:b w:val="0"/>
                <w:color w:val="auto"/>
                <w:sz w:val="20"/>
                <w:szCs w:val="20"/>
              </w:rPr>
              <w:t>healthcare facilities</w:t>
            </w:r>
            <w:r w:rsidR="004335B0" w:rsidRPr="009E3C90">
              <w:rPr>
                <w:rFonts w:cs="Arial"/>
                <w:b w:val="0"/>
                <w:color w:val="auto"/>
                <w:sz w:val="20"/>
                <w:szCs w:val="20"/>
              </w:rPr>
              <w:t xml:space="preserve"> (businesses)</w:t>
            </w:r>
            <w:r w:rsidRPr="009E3C90">
              <w:rPr>
                <w:rFonts w:cs="Arial"/>
                <w:b w:val="0"/>
                <w:color w:val="auto"/>
                <w:sz w:val="20"/>
                <w:szCs w:val="20"/>
              </w:rPr>
              <w:t>: $</w:t>
            </w:r>
            <w:r w:rsidR="00B36918">
              <w:rPr>
                <w:rFonts w:cs="Arial"/>
                <w:b w:val="0"/>
                <w:color w:val="auto"/>
                <w:sz w:val="20"/>
                <w:szCs w:val="20"/>
              </w:rPr>
              <w:t xml:space="preserve">1.62 </w:t>
            </w:r>
            <w:r w:rsidRPr="009E3C90">
              <w:rPr>
                <w:rFonts w:cs="Arial"/>
                <w:b w:val="0"/>
                <w:color w:val="auto"/>
                <w:sz w:val="20"/>
                <w:szCs w:val="20"/>
              </w:rPr>
              <w:t>million / year</w:t>
            </w:r>
          </w:p>
          <w:p w14:paraId="1828DA14" w14:textId="77777777" w:rsidR="00B3020D" w:rsidRPr="009E3C90" w:rsidRDefault="00B3020D"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E3C90">
              <w:rPr>
                <w:rFonts w:cs="Arial"/>
                <w:b w:val="0"/>
                <w:color w:val="auto"/>
                <w:sz w:val="20"/>
                <w:szCs w:val="20"/>
              </w:rPr>
              <w:t>Total regulatory burden estimates for individuals and community organisations: $0</w:t>
            </w:r>
          </w:p>
          <w:p w14:paraId="7242DE38" w14:textId="28CD0D67" w:rsidR="00B3020D" w:rsidRPr="009E3C90" w:rsidRDefault="00B3020D"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E3C90">
              <w:rPr>
                <w:rFonts w:cs="Arial"/>
                <w:b w:val="0"/>
                <w:color w:val="auto"/>
                <w:sz w:val="20"/>
                <w:szCs w:val="20"/>
              </w:rPr>
              <w:t>Total administrative costs: $</w:t>
            </w:r>
            <w:r w:rsidR="004016E0">
              <w:rPr>
                <w:rFonts w:cs="Arial"/>
                <w:b w:val="0"/>
                <w:color w:val="auto"/>
                <w:sz w:val="20"/>
                <w:szCs w:val="20"/>
              </w:rPr>
              <w:t xml:space="preserve">0.89 </w:t>
            </w:r>
            <w:r w:rsidRPr="009E3C90">
              <w:rPr>
                <w:rFonts w:cs="Arial"/>
                <w:b w:val="0"/>
                <w:color w:val="auto"/>
                <w:sz w:val="20"/>
                <w:szCs w:val="20"/>
              </w:rPr>
              <w:t>million / year</w:t>
            </w:r>
          </w:p>
          <w:p w14:paraId="1F11D387" w14:textId="558FC1C8" w:rsidR="00B3020D" w:rsidRPr="009E3C90" w:rsidRDefault="00B3020D"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E3C90">
              <w:rPr>
                <w:rFonts w:cs="Arial"/>
                <w:b w:val="0"/>
                <w:color w:val="auto"/>
                <w:sz w:val="20"/>
                <w:szCs w:val="20"/>
              </w:rPr>
              <w:t>Total substantive compliance costs: $0.7</w:t>
            </w:r>
            <w:r w:rsidR="005D2AD5" w:rsidRPr="009E3C90">
              <w:rPr>
                <w:rFonts w:cs="Arial"/>
                <w:b w:val="0"/>
                <w:color w:val="auto"/>
                <w:sz w:val="20"/>
                <w:szCs w:val="20"/>
              </w:rPr>
              <w:t>25</w:t>
            </w:r>
            <w:r w:rsidRPr="009E3C90">
              <w:rPr>
                <w:rFonts w:cs="Arial"/>
                <w:b w:val="0"/>
                <w:color w:val="auto"/>
                <w:sz w:val="20"/>
                <w:szCs w:val="20"/>
              </w:rPr>
              <w:t xml:space="preserve"> million / year</w:t>
            </w:r>
          </w:p>
          <w:p w14:paraId="0A5409F3" w14:textId="5D87F19F" w:rsidR="00AA23D5" w:rsidRPr="009E3C90" w:rsidRDefault="00E25B2B" w:rsidP="008C6AC3">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E3C90">
              <w:rPr>
                <w:rFonts w:cs="Arial"/>
                <w:b w:val="0"/>
                <w:color w:val="auto"/>
                <w:sz w:val="20"/>
                <w:szCs w:val="20"/>
              </w:rPr>
              <w:t>Total cost per facility</w:t>
            </w:r>
            <w:r w:rsidR="007F3FD8" w:rsidRPr="009E3C90">
              <w:rPr>
                <w:rFonts w:cs="Arial"/>
                <w:b w:val="0"/>
                <w:color w:val="auto"/>
                <w:sz w:val="20"/>
                <w:szCs w:val="20"/>
              </w:rPr>
              <w:t xml:space="preserve"> over ten years</w:t>
            </w:r>
            <w:r w:rsidRPr="009E3C90">
              <w:rPr>
                <w:rFonts w:cs="Arial"/>
                <w:b w:val="0"/>
                <w:color w:val="auto"/>
                <w:sz w:val="20"/>
                <w:szCs w:val="20"/>
              </w:rPr>
              <w:t xml:space="preserve">: </w:t>
            </w:r>
            <w:r w:rsidR="00EF7335" w:rsidRPr="009E3C90">
              <w:rPr>
                <w:rFonts w:cs="Arial"/>
                <w:b w:val="0"/>
                <w:color w:val="auto"/>
                <w:sz w:val="20"/>
                <w:szCs w:val="20"/>
              </w:rPr>
              <w:t>$</w:t>
            </w:r>
            <w:r w:rsidR="00166CFF">
              <w:rPr>
                <w:rFonts w:cs="Arial"/>
                <w:b w:val="0"/>
                <w:color w:val="auto"/>
                <w:sz w:val="20"/>
                <w:szCs w:val="20"/>
              </w:rPr>
              <w:t xml:space="preserve"> 25,194</w:t>
            </w:r>
          </w:p>
        </w:tc>
      </w:tr>
      <w:tr w:rsidR="00B3020D" w:rsidRPr="009E3C90" w14:paraId="21EFFCFA" w14:textId="77777777" w:rsidTr="00B31DF2">
        <w:trPr>
          <w:trHeight w:val="67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25DDC18B" w14:textId="77777777" w:rsidR="00B3020D" w:rsidRPr="009E3C90" w:rsidRDefault="00B3020D" w:rsidP="008C6AC3">
            <w:pPr>
              <w:spacing w:before="0" w:after="120" w:line="259" w:lineRule="auto"/>
              <w:ind w:left="0"/>
              <w:rPr>
                <w:rFonts w:eastAsiaTheme="minorHAnsi" w:cs="Arial"/>
                <w:b/>
                <w:bCs/>
                <w:color w:val="auto"/>
                <w:sz w:val="20"/>
                <w:szCs w:val="20"/>
                <w:u w:val="single"/>
                <w:lang w:eastAsia="en-US"/>
              </w:rPr>
            </w:pPr>
            <w:r w:rsidRPr="009E3C90">
              <w:rPr>
                <w:rFonts w:eastAsiaTheme="minorHAnsi" w:cs="Arial"/>
                <w:b/>
                <w:bCs/>
                <w:color w:val="auto"/>
                <w:sz w:val="20"/>
                <w:szCs w:val="20"/>
                <w:u w:val="single"/>
                <w:lang w:eastAsia="en-US"/>
              </w:rPr>
              <w:t>Option 3B</w:t>
            </w:r>
          </w:p>
          <w:p w14:paraId="4756B89A" w14:textId="77777777" w:rsidR="00B3020D" w:rsidRPr="009E3C90" w:rsidRDefault="00B3020D" w:rsidP="008C6AC3">
            <w:pPr>
              <w:spacing w:before="0" w:after="120" w:line="259" w:lineRule="auto"/>
              <w:ind w:left="0"/>
              <w:rPr>
                <w:rFonts w:eastAsiaTheme="minorHAnsi" w:cs="Arial"/>
                <w:color w:val="auto"/>
                <w:sz w:val="20"/>
                <w:szCs w:val="20"/>
                <w:lang w:eastAsia="en-US"/>
              </w:rPr>
            </w:pPr>
            <w:r w:rsidRPr="009E3C90">
              <w:rPr>
                <w:rFonts w:eastAsiaTheme="minorHAnsi" w:cs="Arial"/>
                <w:color w:val="auto"/>
                <w:sz w:val="20"/>
                <w:szCs w:val="20"/>
                <w:lang w:eastAsia="en-US"/>
              </w:rPr>
              <w:t>Measures 1, 2, 3, 4, 6 and 7</w:t>
            </w:r>
          </w:p>
          <w:p w14:paraId="64F4D43E" w14:textId="77777777" w:rsidR="00B3020D" w:rsidRPr="009E3C90" w:rsidRDefault="00B3020D" w:rsidP="008C6AC3">
            <w:pPr>
              <w:spacing w:before="0" w:after="120" w:line="259" w:lineRule="auto"/>
              <w:ind w:left="0"/>
              <w:rPr>
                <w:rFonts w:eastAsiaTheme="minorHAnsi" w:cs="Arial"/>
                <w:color w:val="auto"/>
                <w:sz w:val="20"/>
                <w:szCs w:val="20"/>
                <w:lang w:eastAsia="en-US"/>
              </w:rPr>
            </w:pPr>
          </w:p>
        </w:tc>
        <w:tc>
          <w:tcPr>
            <w:tcW w:w="6521" w:type="dxa"/>
            <w:shd w:val="clear" w:color="auto" w:fill="auto"/>
          </w:tcPr>
          <w:p w14:paraId="1F7F48BC" w14:textId="077738F8" w:rsidR="00B3020D" w:rsidRPr="009E3C90" w:rsidRDefault="00B3020D"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 xml:space="preserve">Total regulatory burden estimates for </w:t>
            </w:r>
            <w:r w:rsidR="00C82B7C">
              <w:rPr>
                <w:rFonts w:cs="Arial"/>
                <w:color w:val="auto"/>
                <w:sz w:val="20"/>
                <w:szCs w:val="20"/>
              </w:rPr>
              <w:t xml:space="preserve">all </w:t>
            </w:r>
            <w:r w:rsidRPr="009E3C90">
              <w:rPr>
                <w:rFonts w:cs="Arial"/>
                <w:color w:val="auto"/>
                <w:sz w:val="20"/>
                <w:szCs w:val="20"/>
              </w:rPr>
              <w:t>healthcare facilities</w:t>
            </w:r>
            <w:r w:rsidR="004335B0" w:rsidRPr="009E3C90">
              <w:rPr>
                <w:rFonts w:eastAsiaTheme="minorHAnsi" w:cs="Arial"/>
                <w:color w:val="auto"/>
                <w:sz w:val="20"/>
                <w:szCs w:val="20"/>
                <w:lang w:eastAsia="en-US"/>
              </w:rPr>
              <w:t xml:space="preserve"> (businesses): </w:t>
            </w:r>
            <w:r w:rsidRPr="009E3C90">
              <w:rPr>
                <w:rFonts w:eastAsiaTheme="minorHAnsi" w:cs="Arial"/>
                <w:color w:val="auto"/>
                <w:sz w:val="20"/>
                <w:szCs w:val="20"/>
                <w:lang w:eastAsia="en-US"/>
              </w:rPr>
              <w:t>$</w:t>
            </w:r>
            <w:r w:rsidR="004016E0">
              <w:rPr>
                <w:rFonts w:eastAsiaTheme="minorHAnsi" w:cs="Arial"/>
                <w:color w:val="auto"/>
                <w:sz w:val="20"/>
                <w:szCs w:val="20"/>
                <w:lang w:eastAsia="en-US"/>
              </w:rPr>
              <w:t xml:space="preserve"> 1.67 </w:t>
            </w:r>
            <w:r w:rsidRPr="009E3C90">
              <w:rPr>
                <w:rFonts w:eastAsiaTheme="minorHAnsi" w:cs="Arial"/>
                <w:color w:val="auto"/>
                <w:sz w:val="20"/>
                <w:szCs w:val="20"/>
                <w:lang w:eastAsia="en-US"/>
              </w:rPr>
              <w:t>million / year</w:t>
            </w:r>
          </w:p>
          <w:p w14:paraId="71161196" w14:textId="77777777" w:rsidR="00B3020D" w:rsidRPr="009E3C90" w:rsidRDefault="00B3020D"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Total regulatory burden estimates for individuals and community organisations:</w:t>
            </w:r>
            <w:r w:rsidRPr="009E3C90">
              <w:rPr>
                <w:rFonts w:eastAsiaTheme="minorHAnsi" w:cs="Arial"/>
                <w:color w:val="auto"/>
                <w:sz w:val="20"/>
                <w:szCs w:val="20"/>
                <w:lang w:eastAsia="en-US"/>
              </w:rPr>
              <w:t xml:space="preserve"> $0</w:t>
            </w:r>
          </w:p>
          <w:p w14:paraId="76AD97A8" w14:textId="581C7EE0" w:rsidR="00B3020D" w:rsidRPr="009E3C90" w:rsidRDefault="00B3020D"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Total administrative costs:</w:t>
            </w:r>
            <w:r w:rsidRPr="009E3C90">
              <w:rPr>
                <w:rFonts w:eastAsiaTheme="minorHAnsi" w:cs="Arial"/>
                <w:color w:val="auto"/>
                <w:sz w:val="20"/>
                <w:szCs w:val="20"/>
                <w:lang w:eastAsia="en-US"/>
              </w:rPr>
              <w:t xml:space="preserve"> $</w:t>
            </w:r>
            <w:r w:rsidR="000C5235">
              <w:rPr>
                <w:rFonts w:eastAsiaTheme="minorHAnsi" w:cs="Arial"/>
                <w:color w:val="auto"/>
                <w:sz w:val="20"/>
                <w:szCs w:val="20"/>
                <w:lang w:eastAsia="en-US"/>
              </w:rPr>
              <w:t xml:space="preserve">0.94 </w:t>
            </w:r>
            <w:r w:rsidRPr="009E3C90">
              <w:rPr>
                <w:rFonts w:eastAsiaTheme="minorHAnsi" w:cs="Arial"/>
                <w:color w:val="auto"/>
                <w:sz w:val="20"/>
                <w:szCs w:val="20"/>
                <w:lang w:eastAsia="en-US"/>
              </w:rPr>
              <w:t>million / year</w:t>
            </w:r>
          </w:p>
          <w:p w14:paraId="64B04FC7" w14:textId="22FF0F45" w:rsidR="00B3020D" w:rsidRPr="009E3C90" w:rsidRDefault="00B3020D"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cs="Arial"/>
                <w:color w:val="auto"/>
                <w:sz w:val="20"/>
                <w:szCs w:val="20"/>
              </w:rPr>
              <w:t>Total substantive compliance costs:</w:t>
            </w:r>
            <w:r w:rsidRPr="009E3C90">
              <w:rPr>
                <w:rFonts w:eastAsiaTheme="minorHAnsi" w:cs="Arial"/>
                <w:color w:val="auto"/>
                <w:sz w:val="20"/>
                <w:szCs w:val="20"/>
                <w:lang w:eastAsia="en-US"/>
              </w:rPr>
              <w:t xml:space="preserve"> $0.7</w:t>
            </w:r>
            <w:r w:rsidR="000F00AA" w:rsidRPr="009E3C90">
              <w:rPr>
                <w:rFonts w:eastAsiaTheme="minorHAnsi" w:cs="Arial"/>
                <w:color w:val="auto"/>
                <w:sz w:val="20"/>
                <w:szCs w:val="20"/>
                <w:lang w:eastAsia="en-US"/>
              </w:rPr>
              <w:t>25</w:t>
            </w:r>
            <w:r w:rsidRPr="009E3C90">
              <w:rPr>
                <w:rFonts w:eastAsiaTheme="minorHAnsi" w:cs="Arial"/>
                <w:color w:val="auto"/>
                <w:sz w:val="20"/>
                <w:szCs w:val="20"/>
                <w:lang w:eastAsia="en-US"/>
              </w:rPr>
              <w:t xml:space="preserve"> million / year</w:t>
            </w:r>
          </w:p>
          <w:p w14:paraId="7CA00515" w14:textId="583C3E66" w:rsidR="00173500" w:rsidRPr="009E3C90" w:rsidRDefault="00173500" w:rsidP="008C6AC3">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9E3C90">
              <w:rPr>
                <w:rFonts w:eastAsiaTheme="minorHAnsi" w:cs="Arial"/>
                <w:color w:val="auto"/>
                <w:sz w:val="20"/>
                <w:szCs w:val="20"/>
                <w:lang w:eastAsia="en-US"/>
              </w:rPr>
              <w:t>Total cost per facility</w:t>
            </w:r>
            <w:r w:rsidR="007F3FD8" w:rsidRPr="009E3C90">
              <w:rPr>
                <w:rFonts w:eastAsiaTheme="minorHAnsi" w:cs="Arial"/>
                <w:color w:val="auto"/>
                <w:sz w:val="20"/>
                <w:szCs w:val="20"/>
                <w:lang w:eastAsia="en-US"/>
              </w:rPr>
              <w:t xml:space="preserve"> over ten years</w:t>
            </w:r>
            <w:r w:rsidRPr="009E3C90">
              <w:rPr>
                <w:rFonts w:eastAsiaTheme="minorHAnsi" w:cs="Arial"/>
                <w:color w:val="auto"/>
                <w:sz w:val="20"/>
                <w:szCs w:val="20"/>
                <w:lang w:eastAsia="en-US"/>
              </w:rPr>
              <w:t>: $</w:t>
            </w:r>
            <w:r w:rsidR="00166CFF">
              <w:rPr>
                <w:rFonts w:eastAsiaTheme="minorHAnsi" w:cs="Arial"/>
                <w:color w:val="auto"/>
                <w:sz w:val="20"/>
                <w:szCs w:val="20"/>
                <w:lang w:eastAsia="en-US"/>
              </w:rPr>
              <w:t>25,972</w:t>
            </w:r>
          </w:p>
        </w:tc>
      </w:tr>
    </w:tbl>
    <w:p w14:paraId="10831D4F" w14:textId="77777777" w:rsidR="008770A1" w:rsidRPr="009E3C90" w:rsidRDefault="008770A1" w:rsidP="008770A1">
      <w:pPr>
        <w:rPr>
          <w:rFonts w:cs="Arial"/>
        </w:rPr>
      </w:pPr>
    </w:p>
    <w:tbl>
      <w:tblPr>
        <w:tblStyle w:val="TableTGAblue2023"/>
        <w:tblpPr w:leftFromText="180" w:rightFromText="180" w:vertAnchor="text" w:horzAnchor="margin" w:tblpY="113"/>
        <w:tblW w:w="8931" w:type="dxa"/>
        <w:tblLayout w:type="fixed"/>
        <w:tblLook w:val="04A0" w:firstRow="1" w:lastRow="0" w:firstColumn="1" w:lastColumn="0" w:noHBand="0" w:noVBand="1"/>
      </w:tblPr>
      <w:tblGrid>
        <w:gridCol w:w="2405"/>
        <w:gridCol w:w="6526"/>
      </w:tblGrid>
      <w:tr w:rsidR="004D5FF5" w:rsidRPr="009E3C90" w14:paraId="7BB79344" w14:textId="77777777" w:rsidTr="0053384D">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F0C0595" w14:textId="77777777" w:rsidR="004D5FF5" w:rsidRPr="009E3C90" w:rsidRDefault="004D5FF5" w:rsidP="004D5FF5">
            <w:pPr>
              <w:spacing w:before="0" w:after="120" w:line="259" w:lineRule="auto"/>
              <w:ind w:left="0"/>
              <w:rPr>
                <w:rFonts w:eastAsiaTheme="minorHAnsi" w:cs="Arial"/>
                <w:bCs/>
                <w:color w:val="auto"/>
                <w:sz w:val="20"/>
                <w:szCs w:val="20"/>
                <w:u w:val="single"/>
                <w:lang w:eastAsia="en-US"/>
              </w:rPr>
            </w:pPr>
            <w:r w:rsidRPr="009E3C90">
              <w:rPr>
                <w:rFonts w:eastAsiaTheme="minorHAnsi" w:cs="Arial"/>
                <w:bCs/>
                <w:color w:val="auto"/>
                <w:sz w:val="20"/>
                <w:szCs w:val="20"/>
                <w:u w:val="single"/>
                <w:lang w:eastAsia="en-US"/>
              </w:rPr>
              <w:t>Option 4A</w:t>
            </w:r>
          </w:p>
          <w:p w14:paraId="7B3EF97F" w14:textId="77777777" w:rsidR="004D5FF5" w:rsidRPr="009E3C90" w:rsidRDefault="004D5FF5" w:rsidP="004D5FF5">
            <w:pPr>
              <w:spacing w:before="0" w:after="120" w:line="259" w:lineRule="auto"/>
              <w:ind w:left="0"/>
              <w:rPr>
                <w:rFonts w:eastAsiaTheme="minorHAnsi" w:cs="Arial"/>
                <w:b w:val="0"/>
                <w:color w:val="auto"/>
                <w:sz w:val="20"/>
                <w:szCs w:val="20"/>
                <w:lang w:eastAsia="en-US"/>
              </w:rPr>
            </w:pPr>
            <w:r w:rsidRPr="009E3C90">
              <w:rPr>
                <w:rFonts w:cs="Arial"/>
                <w:b w:val="0"/>
                <w:color w:val="auto"/>
                <w:sz w:val="20"/>
                <w:szCs w:val="20"/>
              </w:rPr>
              <w:t>Measures 1, 2, 3, 4, 5, 7 and 8</w:t>
            </w:r>
          </w:p>
          <w:p w14:paraId="39F66B35" w14:textId="77777777" w:rsidR="004D5FF5" w:rsidRPr="009E3C90" w:rsidRDefault="004D5FF5" w:rsidP="004D5FF5">
            <w:pPr>
              <w:spacing w:before="0" w:after="120" w:line="259" w:lineRule="auto"/>
              <w:ind w:left="0"/>
              <w:rPr>
                <w:rFonts w:eastAsiaTheme="minorHAnsi" w:cs="Arial"/>
                <w:b w:val="0"/>
                <w:color w:val="auto"/>
                <w:sz w:val="20"/>
                <w:szCs w:val="20"/>
                <w:lang w:eastAsia="en-US"/>
              </w:rPr>
            </w:pPr>
          </w:p>
        </w:tc>
        <w:tc>
          <w:tcPr>
            <w:tcW w:w="6526" w:type="dxa"/>
            <w:shd w:val="clear" w:color="auto" w:fill="auto"/>
          </w:tcPr>
          <w:p w14:paraId="3D7BA3A6" w14:textId="479E2E92" w:rsidR="004D5FF5" w:rsidRPr="000853E2" w:rsidRDefault="004D5FF5" w:rsidP="004D5FF5">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0853E2">
              <w:rPr>
                <w:rFonts w:cs="Arial"/>
                <w:b w:val="0"/>
                <w:color w:val="auto"/>
                <w:sz w:val="20"/>
                <w:szCs w:val="20"/>
              </w:rPr>
              <w:t xml:space="preserve">Total regulatory burden estimates for </w:t>
            </w:r>
            <w:r w:rsidR="00C82B7C" w:rsidRPr="000853E2">
              <w:rPr>
                <w:rFonts w:cs="Arial"/>
                <w:b w:val="0"/>
                <w:color w:val="auto"/>
                <w:sz w:val="20"/>
                <w:szCs w:val="20"/>
              </w:rPr>
              <w:t xml:space="preserve">all </w:t>
            </w:r>
            <w:r w:rsidRPr="000853E2">
              <w:rPr>
                <w:rFonts w:cs="Arial"/>
                <w:b w:val="0"/>
                <w:color w:val="auto"/>
                <w:sz w:val="20"/>
                <w:szCs w:val="20"/>
              </w:rPr>
              <w:t>healthcare facilities and residential aged care facilities (excluding MPS facilities): $</w:t>
            </w:r>
            <w:r w:rsidR="000C5235" w:rsidRPr="000853E2">
              <w:rPr>
                <w:rFonts w:cs="Arial"/>
                <w:b w:val="0"/>
                <w:color w:val="auto"/>
                <w:sz w:val="20"/>
                <w:szCs w:val="20"/>
              </w:rPr>
              <w:t>5.</w:t>
            </w:r>
            <w:r w:rsidR="00C45CCB" w:rsidRPr="000853E2">
              <w:rPr>
                <w:rFonts w:cs="Arial"/>
                <w:b w:val="0"/>
                <w:color w:val="auto"/>
                <w:sz w:val="20"/>
                <w:szCs w:val="20"/>
              </w:rPr>
              <w:t>56</w:t>
            </w:r>
            <w:r w:rsidR="000C5235" w:rsidRPr="000853E2">
              <w:rPr>
                <w:rFonts w:cs="Arial"/>
                <w:b w:val="0"/>
                <w:color w:val="auto"/>
                <w:sz w:val="20"/>
                <w:szCs w:val="20"/>
              </w:rPr>
              <w:t xml:space="preserve"> </w:t>
            </w:r>
            <w:r w:rsidRPr="000853E2">
              <w:rPr>
                <w:rFonts w:cs="Arial"/>
                <w:b w:val="0"/>
                <w:color w:val="auto"/>
                <w:sz w:val="20"/>
                <w:szCs w:val="20"/>
              </w:rPr>
              <w:t>million / year</w:t>
            </w:r>
          </w:p>
          <w:p w14:paraId="4B41F783" w14:textId="77777777" w:rsidR="004D5FF5" w:rsidRPr="000853E2" w:rsidRDefault="004D5FF5" w:rsidP="004D5FF5">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0853E2">
              <w:rPr>
                <w:rFonts w:cs="Arial"/>
                <w:b w:val="0"/>
                <w:color w:val="auto"/>
                <w:sz w:val="20"/>
                <w:szCs w:val="20"/>
              </w:rPr>
              <w:t>Total regulatory burden estimates for individuals and community organisations: $0</w:t>
            </w:r>
          </w:p>
          <w:p w14:paraId="3CC13F1F" w14:textId="70AE3C61" w:rsidR="004D5FF5" w:rsidRPr="00913A3B" w:rsidRDefault="004D5FF5" w:rsidP="004D5FF5">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color w:val="auto"/>
                <w:sz w:val="20"/>
                <w:szCs w:val="20"/>
                <w:lang w:eastAsia="en-US"/>
              </w:rPr>
            </w:pPr>
            <w:r w:rsidRPr="00913A3B">
              <w:rPr>
                <w:rFonts w:cs="Arial"/>
                <w:b w:val="0"/>
                <w:color w:val="auto"/>
                <w:sz w:val="20"/>
                <w:szCs w:val="20"/>
              </w:rPr>
              <w:t>Total administrative costs: $</w:t>
            </w:r>
            <w:r w:rsidR="000C5235" w:rsidRPr="00913A3B">
              <w:rPr>
                <w:rFonts w:cs="Arial"/>
                <w:b w:val="0"/>
                <w:color w:val="auto"/>
                <w:sz w:val="20"/>
                <w:szCs w:val="20"/>
              </w:rPr>
              <w:t>1.</w:t>
            </w:r>
            <w:r w:rsidR="00D828AA" w:rsidRPr="00913A3B">
              <w:rPr>
                <w:rFonts w:cs="Arial"/>
                <w:b w:val="0"/>
                <w:color w:val="auto"/>
                <w:sz w:val="20"/>
                <w:szCs w:val="20"/>
              </w:rPr>
              <w:t>86</w:t>
            </w:r>
            <w:r w:rsidRPr="00913A3B">
              <w:rPr>
                <w:rFonts w:cs="Arial"/>
                <w:b w:val="0"/>
                <w:color w:val="auto"/>
                <w:sz w:val="20"/>
                <w:szCs w:val="20"/>
              </w:rPr>
              <w:t xml:space="preserve"> million / year</w:t>
            </w:r>
          </w:p>
          <w:p w14:paraId="5C9F5CA1" w14:textId="41254619" w:rsidR="004D5FF5" w:rsidRPr="00913A3B" w:rsidRDefault="004D5FF5" w:rsidP="004D5FF5">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913A3B">
              <w:rPr>
                <w:rFonts w:cs="Arial"/>
                <w:b w:val="0"/>
                <w:color w:val="auto"/>
                <w:sz w:val="20"/>
                <w:szCs w:val="20"/>
              </w:rPr>
              <w:t>Total substantive compliance costs: $</w:t>
            </w:r>
            <w:r w:rsidR="000C5235" w:rsidRPr="00913A3B">
              <w:rPr>
                <w:rFonts w:cs="Arial"/>
                <w:b w:val="0"/>
                <w:color w:val="auto"/>
                <w:sz w:val="20"/>
                <w:szCs w:val="20"/>
              </w:rPr>
              <w:t>3.</w:t>
            </w:r>
            <w:r w:rsidR="005D26DB" w:rsidRPr="00913A3B">
              <w:rPr>
                <w:rFonts w:cs="Arial"/>
                <w:b w:val="0"/>
                <w:color w:val="auto"/>
                <w:sz w:val="20"/>
                <w:szCs w:val="20"/>
              </w:rPr>
              <w:t>7</w:t>
            </w:r>
            <w:r w:rsidR="00D828AA" w:rsidRPr="00913A3B">
              <w:rPr>
                <w:rFonts w:cs="Arial"/>
                <w:b w:val="0"/>
                <w:color w:val="auto"/>
                <w:sz w:val="20"/>
                <w:szCs w:val="20"/>
              </w:rPr>
              <w:t>0</w:t>
            </w:r>
            <w:r w:rsidRPr="00913A3B">
              <w:rPr>
                <w:rFonts w:cs="Arial"/>
                <w:b w:val="0"/>
                <w:color w:val="auto"/>
                <w:sz w:val="20"/>
                <w:szCs w:val="20"/>
              </w:rPr>
              <w:t xml:space="preserve"> million / year</w:t>
            </w:r>
          </w:p>
          <w:p w14:paraId="68B17A8E" w14:textId="36218B65" w:rsidR="004D5FF5" w:rsidRPr="00913A3B" w:rsidRDefault="004D5FF5" w:rsidP="004D5FF5">
            <w:pPr>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Arial"/>
                <w:b w:val="0"/>
                <w:bCs/>
                <w:color w:val="auto"/>
                <w:sz w:val="20"/>
                <w:szCs w:val="20"/>
                <w:lang w:eastAsia="en-US"/>
              </w:rPr>
            </w:pPr>
            <w:r w:rsidRPr="00913A3B">
              <w:rPr>
                <w:rFonts w:cs="Arial"/>
                <w:b w:val="0"/>
                <w:color w:val="auto"/>
                <w:sz w:val="20"/>
                <w:szCs w:val="20"/>
              </w:rPr>
              <w:t>Total cost per facility over ten years: $</w:t>
            </w:r>
            <w:r w:rsidR="00E323FF" w:rsidRPr="00913A3B">
              <w:rPr>
                <w:rFonts w:cs="Arial"/>
                <w:b w:val="0"/>
                <w:color w:val="auto"/>
                <w:sz w:val="20"/>
                <w:szCs w:val="20"/>
              </w:rPr>
              <w:t>16,936</w:t>
            </w:r>
          </w:p>
        </w:tc>
      </w:tr>
      <w:tr w:rsidR="004D5FF5" w:rsidRPr="009E3C90" w14:paraId="10E8D5A3" w14:textId="77777777" w:rsidTr="0053384D">
        <w:trPr>
          <w:trHeight w:val="779"/>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C99974E" w14:textId="77777777" w:rsidR="004D5FF5" w:rsidRPr="009E3C90" w:rsidRDefault="004D5FF5" w:rsidP="004D5FF5">
            <w:pPr>
              <w:spacing w:before="0" w:after="120" w:line="259" w:lineRule="auto"/>
              <w:ind w:left="0"/>
              <w:rPr>
                <w:rFonts w:eastAsiaTheme="minorHAnsi" w:cs="Arial"/>
                <w:b/>
                <w:bCs/>
                <w:color w:val="auto"/>
                <w:sz w:val="20"/>
                <w:szCs w:val="20"/>
                <w:u w:val="single"/>
                <w:lang w:eastAsia="en-US"/>
              </w:rPr>
            </w:pPr>
            <w:r w:rsidRPr="009E3C90">
              <w:rPr>
                <w:rFonts w:eastAsiaTheme="minorHAnsi" w:cs="Arial"/>
                <w:b/>
                <w:bCs/>
                <w:color w:val="auto"/>
                <w:sz w:val="20"/>
                <w:szCs w:val="20"/>
                <w:u w:val="single"/>
                <w:lang w:eastAsia="en-US"/>
              </w:rPr>
              <w:t>Option 4B</w:t>
            </w:r>
          </w:p>
          <w:p w14:paraId="3B4E7210" w14:textId="6E31E939" w:rsidR="004D5FF5" w:rsidRPr="009E3C90" w:rsidRDefault="004D5FF5" w:rsidP="004D5FF5">
            <w:pPr>
              <w:spacing w:before="0" w:after="120" w:line="259" w:lineRule="auto"/>
              <w:ind w:left="0"/>
              <w:rPr>
                <w:rFonts w:eastAsiaTheme="minorHAnsi" w:cs="Arial"/>
                <w:color w:val="auto"/>
                <w:sz w:val="20"/>
                <w:szCs w:val="20"/>
                <w:lang w:eastAsia="en-US"/>
              </w:rPr>
            </w:pPr>
            <w:r w:rsidRPr="009E3C90">
              <w:rPr>
                <w:rFonts w:cs="Arial"/>
                <w:color w:val="auto"/>
                <w:sz w:val="20"/>
                <w:szCs w:val="20"/>
              </w:rPr>
              <w:t xml:space="preserve">Measures 1, 2, 3, 4, </w:t>
            </w:r>
            <w:r w:rsidR="00293EF2">
              <w:rPr>
                <w:rFonts w:cs="Arial"/>
                <w:color w:val="auto"/>
                <w:sz w:val="20"/>
                <w:szCs w:val="20"/>
              </w:rPr>
              <w:t>6</w:t>
            </w:r>
            <w:r w:rsidRPr="009E3C90">
              <w:rPr>
                <w:rFonts w:cs="Arial"/>
                <w:color w:val="auto"/>
                <w:sz w:val="20"/>
                <w:szCs w:val="20"/>
              </w:rPr>
              <w:t>, 7 and 8</w:t>
            </w:r>
          </w:p>
          <w:p w14:paraId="4B7AAAC6" w14:textId="77777777" w:rsidR="004D5FF5" w:rsidRPr="009E3C90" w:rsidRDefault="004D5FF5" w:rsidP="004D5FF5">
            <w:pPr>
              <w:rPr>
                <w:rFonts w:cs="Arial"/>
                <w:color w:val="auto"/>
                <w:sz w:val="20"/>
                <w:szCs w:val="20"/>
              </w:rPr>
            </w:pPr>
          </w:p>
        </w:tc>
        <w:tc>
          <w:tcPr>
            <w:tcW w:w="6526" w:type="dxa"/>
            <w:shd w:val="clear" w:color="auto" w:fill="auto"/>
          </w:tcPr>
          <w:p w14:paraId="3BF65B67" w14:textId="23FE71EF" w:rsidR="004D5FF5" w:rsidRPr="000853E2" w:rsidRDefault="004D5FF5" w:rsidP="004D5FF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0853E2">
              <w:rPr>
                <w:rFonts w:cs="Arial"/>
                <w:color w:val="auto"/>
                <w:sz w:val="20"/>
                <w:szCs w:val="20"/>
              </w:rPr>
              <w:t xml:space="preserve">Total regulatory burden estimates for </w:t>
            </w:r>
            <w:r w:rsidR="00C82B7C" w:rsidRPr="000853E2">
              <w:rPr>
                <w:rFonts w:cs="Arial"/>
                <w:color w:val="auto"/>
                <w:sz w:val="20"/>
                <w:szCs w:val="20"/>
              </w:rPr>
              <w:t xml:space="preserve">all </w:t>
            </w:r>
            <w:r w:rsidRPr="000853E2">
              <w:rPr>
                <w:rFonts w:cs="Arial"/>
                <w:color w:val="auto"/>
                <w:sz w:val="20"/>
                <w:szCs w:val="20"/>
              </w:rPr>
              <w:t>health care facilities and residential aged care facilities (excluding MPS facilities): $</w:t>
            </w:r>
            <w:r w:rsidR="005D26DB" w:rsidRPr="000853E2">
              <w:rPr>
                <w:rFonts w:cs="Arial"/>
                <w:color w:val="auto"/>
                <w:sz w:val="20"/>
                <w:szCs w:val="20"/>
              </w:rPr>
              <w:t>5.</w:t>
            </w:r>
            <w:r w:rsidR="00C45CCB" w:rsidRPr="000853E2">
              <w:rPr>
                <w:rFonts w:cs="Arial"/>
                <w:color w:val="auto"/>
                <w:sz w:val="20"/>
                <w:szCs w:val="20"/>
              </w:rPr>
              <w:t>61</w:t>
            </w:r>
            <w:r w:rsidRPr="000853E2">
              <w:rPr>
                <w:rFonts w:cs="Arial"/>
                <w:color w:val="auto"/>
                <w:sz w:val="20"/>
                <w:szCs w:val="20"/>
              </w:rPr>
              <w:t xml:space="preserve"> million / year</w:t>
            </w:r>
          </w:p>
          <w:p w14:paraId="751D405A" w14:textId="77777777" w:rsidR="004D5FF5" w:rsidRPr="000853E2" w:rsidRDefault="004D5FF5" w:rsidP="004D5FF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0853E2">
              <w:rPr>
                <w:rFonts w:cs="Arial"/>
                <w:color w:val="auto"/>
                <w:sz w:val="20"/>
                <w:szCs w:val="20"/>
              </w:rPr>
              <w:t>Total regulatory burden estimates for individuals and community organisations: $0</w:t>
            </w:r>
          </w:p>
          <w:p w14:paraId="7E3AB6E6" w14:textId="1465E3C5" w:rsidR="004D5FF5" w:rsidRPr="000F7334" w:rsidRDefault="004D5FF5" w:rsidP="004D5FF5">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Arial"/>
                <w:color w:val="auto"/>
                <w:sz w:val="20"/>
                <w:szCs w:val="20"/>
                <w:lang w:eastAsia="en-US"/>
              </w:rPr>
            </w:pPr>
            <w:r w:rsidRPr="000853E2">
              <w:rPr>
                <w:rFonts w:cs="Arial"/>
                <w:color w:val="auto"/>
                <w:sz w:val="20"/>
                <w:szCs w:val="20"/>
              </w:rPr>
              <w:t xml:space="preserve">Total administrative costs: </w:t>
            </w:r>
            <w:r w:rsidRPr="000F7334">
              <w:rPr>
                <w:rFonts w:cs="Arial"/>
                <w:color w:val="auto"/>
                <w:sz w:val="20"/>
                <w:szCs w:val="20"/>
              </w:rPr>
              <w:t>$</w:t>
            </w:r>
            <w:r w:rsidR="005D26DB" w:rsidRPr="000F7334">
              <w:rPr>
                <w:rFonts w:cs="Arial"/>
                <w:color w:val="auto"/>
                <w:sz w:val="20"/>
                <w:szCs w:val="20"/>
              </w:rPr>
              <w:t>1.</w:t>
            </w:r>
            <w:r w:rsidR="00D828AA" w:rsidRPr="000F7334">
              <w:rPr>
                <w:rFonts w:cs="Arial"/>
                <w:sz w:val="20"/>
                <w:szCs w:val="20"/>
              </w:rPr>
              <w:t>91</w:t>
            </w:r>
            <w:r w:rsidR="005D26DB" w:rsidRPr="000F7334">
              <w:rPr>
                <w:rFonts w:cs="Arial"/>
                <w:color w:val="auto"/>
                <w:sz w:val="20"/>
                <w:szCs w:val="20"/>
              </w:rPr>
              <w:t xml:space="preserve"> </w:t>
            </w:r>
            <w:r w:rsidRPr="000F7334">
              <w:rPr>
                <w:rFonts w:cs="Arial"/>
                <w:color w:val="auto"/>
                <w:sz w:val="20"/>
                <w:szCs w:val="20"/>
              </w:rPr>
              <w:t>million / year</w:t>
            </w:r>
          </w:p>
          <w:p w14:paraId="2D879FA6" w14:textId="2C4E3713" w:rsidR="004D5FF5" w:rsidRPr="000F7334" w:rsidRDefault="004D5FF5" w:rsidP="004D5FF5">
            <w:pPr>
              <w:ind w:left="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F7334">
              <w:rPr>
                <w:rFonts w:cs="Arial"/>
                <w:color w:val="auto"/>
                <w:sz w:val="20"/>
                <w:szCs w:val="20"/>
              </w:rPr>
              <w:t>Total substantive compliance costs: $</w:t>
            </w:r>
            <w:r w:rsidR="005D26DB" w:rsidRPr="000F7334">
              <w:rPr>
                <w:rFonts w:cs="Arial"/>
                <w:color w:val="auto"/>
                <w:sz w:val="20"/>
                <w:szCs w:val="20"/>
              </w:rPr>
              <w:t>3.7</w:t>
            </w:r>
            <w:r w:rsidR="00D828AA" w:rsidRPr="000F7334">
              <w:rPr>
                <w:rFonts w:cs="Arial"/>
                <w:sz w:val="20"/>
                <w:szCs w:val="20"/>
              </w:rPr>
              <w:t>0</w:t>
            </w:r>
            <w:r w:rsidRPr="000F7334">
              <w:rPr>
                <w:rFonts w:cs="Arial"/>
                <w:color w:val="auto"/>
                <w:sz w:val="20"/>
                <w:szCs w:val="20"/>
              </w:rPr>
              <w:t xml:space="preserve"> million / year</w:t>
            </w:r>
          </w:p>
          <w:p w14:paraId="47047427" w14:textId="39E52007" w:rsidR="004D5FF5" w:rsidRPr="000853E2" w:rsidRDefault="004D5FF5" w:rsidP="004D5FF5">
            <w:pPr>
              <w:ind w:left="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F7334">
              <w:rPr>
                <w:rFonts w:cs="Arial"/>
                <w:sz w:val="20"/>
                <w:szCs w:val="20"/>
              </w:rPr>
              <w:t>Total cost per facility over ten years: $</w:t>
            </w:r>
            <w:r w:rsidR="00324379" w:rsidRPr="000F7334">
              <w:rPr>
                <w:rFonts w:cs="Arial"/>
                <w:sz w:val="20"/>
                <w:szCs w:val="20"/>
              </w:rPr>
              <w:t xml:space="preserve"> </w:t>
            </w:r>
            <w:r w:rsidR="009B3C69" w:rsidRPr="000F7334">
              <w:rPr>
                <w:rFonts w:cs="Arial"/>
                <w:sz w:val="20"/>
                <w:szCs w:val="20"/>
              </w:rPr>
              <w:t>17,100</w:t>
            </w:r>
          </w:p>
        </w:tc>
      </w:tr>
    </w:tbl>
    <w:p w14:paraId="14A6722F" w14:textId="77777777" w:rsidR="00B3020D" w:rsidRPr="009E3C90" w:rsidRDefault="00B3020D" w:rsidP="008770A1">
      <w:pPr>
        <w:rPr>
          <w:rFonts w:cs="Arial"/>
        </w:rPr>
      </w:pPr>
    </w:p>
    <w:p w14:paraId="26127DE5" w14:textId="77777777" w:rsidR="00562DF9" w:rsidRDefault="00562DF9" w:rsidP="008770A1"/>
    <w:p w14:paraId="05CBC15D" w14:textId="77777777" w:rsidR="00B3020D" w:rsidRPr="008770A1" w:rsidRDefault="00B3020D" w:rsidP="008770A1"/>
    <w:p w14:paraId="3FE0C8E0" w14:textId="77777777" w:rsidR="008770A1" w:rsidRDefault="008770A1">
      <w:pPr>
        <w:rPr>
          <w:rFonts w:eastAsia="Times New Roman" w:cs="Times New Roman"/>
          <w:b/>
          <w:bCs/>
          <w:color w:val="001871"/>
          <w:sz w:val="38"/>
          <w:szCs w:val="38"/>
        </w:rPr>
      </w:pPr>
      <w:r>
        <w:br w:type="page"/>
      </w:r>
    </w:p>
    <w:p w14:paraId="71AEB95D" w14:textId="1B26F063" w:rsidR="00CE52F3" w:rsidRDefault="00CE52F3" w:rsidP="00F9197A">
      <w:pPr>
        <w:pStyle w:val="Heading2"/>
      </w:pPr>
      <w:bookmarkStart w:id="198" w:name="_Toc179531337"/>
      <w:bookmarkStart w:id="199" w:name="_Toc188012888"/>
      <w:r>
        <w:t>Annex A – Acronyms and Abbreviations</w:t>
      </w:r>
      <w:bookmarkEnd w:id="187"/>
      <w:bookmarkEnd w:id="198"/>
      <w:bookmarkEnd w:id="199"/>
      <w:r>
        <w:t xml:space="preserve"> </w:t>
      </w:r>
    </w:p>
    <w:tbl>
      <w:tblPr>
        <w:tblStyle w:val="TableTGAblue2023"/>
        <w:tblW w:w="0" w:type="auto"/>
        <w:tblLook w:val="04A0" w:firstRow="1" w:lastRow="0" w:firstColumn="1" w:lastColumn="0" w:noHBand="0" w:noVBand="1"/>
      </w:tblPr>
      <w:tblGrid>
        <w:gridCol w:w="3256"/>
        <w:gridCol w:w="5760"/>
      </w:tblGrid>
      <w:tr w:rsidR="00350E34" w14:paraId="65747A96" w14:textId="77777777" w:rsidTr="00350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AFD10D8" w14:textId="519F9A3B" w:rsidR="00350E34" w:rsidRDefault="00350E34">
            <w:bookmarkStart w:id="200" w:name="_Toc156375163"/>
            <w:r>
              <w:t>Acronym / Abbreviation</w:t>
            </w:r>
          </w:p>
        </w:tc>
        <w:tc>
          <w:tcPr>
            <w:tcW w:w="5760" w:type="dxa"/>
          </w:tcPr>
          <w:p w14:paraId="397C0264" w14:textId="6E63BB76" w:rsidR="00350E34" w:rsidRDefault="00350E34">
            <w:pPr>
              <w:cnfStyle w:val="100000000000" w:firstRow="1" w:lastRow="0" w:firstColumn="0" w:lastColumn="0" w:oddVBand="0" w:evenVBand="0" w:oddHBand="0" w:evenHBand="0" w:firstRowFirstColumn="0" w:firstRowLastColumn="0" w:lastRowFirstColumn="0" w:lastRowLastColumn="0"/>
            </w:pPr>
            <w:r>
              <w:t>Description</w:t>
            </w:r>
          </w:p>
        </w:tc>
      </w:tr>
      <w:tr w:rsidR="00966114" w14:paraId="1E1B8FE9"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1FB840FA" w14:textId="03AFC9D8" w:rsidR="00966114" w:rsidRPr="00C833B9" w:rsidRDefault="00966114">
            <w:pPr>
              <w:rPr>
                <w:rFonts w:cs="Arial"/>
                <w:sz w:val="20"/>
                <w:szCs w:val="20"/>
              </w:rPr>
            </w:pPr>
            <w:r w:rsidRPr="00C833B9">
              <w:rPr>
                <w:rFonts w:cs="Arial"/>
                <w:sz w:val="20"/>
                <w:szCs w:val="20"/>
              </w:rPr>
              <w:t>ACQSC</w:t>
            </w:r>
          </w:p>
        </w:tc>
        <w:tc>
          <w:tcPr>
            <w:tcW w:w="5760" w:type="dxa"/>
          </w:tcPr>
          <w:p w14:paraId="7AA16E90" w14:textId="398AEAD6" w:rsidR="00966114" w:rsidRPr="00C833B9" w:rsidRDefault="0096611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Aged Care Quality and Safety Commission</w:t>
            </w:r>
          </w:p>
        </w:tc>
      </w:tr>
      <w:tr w:rsidR="00350E34" w14:paraId="03AC6A0C"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08FB88A" w14:textId="46C709CC" w:rsidR="00350E34" w:rsidRPr="00C833B9" w:rsidRDefault="000D1D82">
            <w:pPr>
              <w:rPr>
                <w:rFonts w:cs="Arial"/>
                <w:sz w:val="20"/>
                <w:szCs w:val="20"/>
              </w:rPr>
            </w:pPr>
            <w:r w:rsidRPr="00C833B9">
              <w:rPr>
                <w:rFonts w:cs="Arial"/>
                <w:sz w:val="20"/>
                <w:szCs w:val="20"/>
              </w:rPr>
              <w:t>AIMD</w:t>
            </w:r>
            <w:r w:rsidR="00FB643A" w:rsidRPr="00C833B9">
              <w:rPr>
                <w:rFonts w:cs="Arial"/>
                <w:sz w:val="20"/>
                <w:szCs w:val="20"/>
              </w:rPr>
              <w:t>s</w:t>
            </w:r>
          </w:p>
        </w:tc>
        <w:tc>
          <w:tcPr>
            <w:tcW w:w="5760" w:type="dxa"/>
          </w:tcPr>
          <w:p w14:paraId="64A75D1F" w14:textId="5CCFA15D" w:rsidR="00350E34" w:rsidRPr="00C833B9" w:rsidRDefault="000D1D8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Active Implantable Medical Device</w:t>
            </w:r>
            <w:r w:rsidR="00FB643A" w:rsidRPr="00C833B9">
              <w:rPr>
                <w:rFonts w:cs="Arial"/>
                <w:sz w:val="20"/>
                <w:szCs w:val="20"/>
              </w:rPr>
              <w:t>s</w:t>
            </w:r>
          </w:p>
        </w:tc>
      </w:tr>
      <w:tr w:rsidR="00675F57" w14:paraId="48E80552"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BB3A3D4" w14:textId="2D75FF4A" w:rsidR="00675F57" w:rsidRPr="00C833B9" w:rsidRDefault="00675F57">
            <w:pPr>
              <w:rPr>
                <w:rFonts w:cs="Arial"/>
                <w:sz w:val="20"/>
                <w:szCs w:val="20"/>
              </w:rPr>
            </w:pPr>
            <w:r w:rsidRPr="00C833B9">
              <w:rPr>
                <w:rFonts w:cs="Arial"/>
                <w:sz w:val="20"/>
                <w:szCs w:val="20"/>
              </w:rPr>
              <w:t>API</w:t>
            </w:r>
          </w:p>
        </w:tc>
        <w:tc>
          <w:tcPr>
            <w:tcW w:w="5760" w:type="dxa"/>
          </w:tcPr>
          <w:p w14:paraId="45A0E7C3" w14:textId="5A7481BF" w:rsidR="00675F57" w:rsidRPr="00C833B9" w:rsidRDefault="0096611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Application Programming Interface</w:t>
            </w:r>
          </w:p>
        </w:tc>
      </w:tr>
      <w:tr w:rsidR="00660BAC" w14:paraId="265AF0DC"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2958058C" w14:textId="0AAF064B" w:rsidR="00660BAC" w:rsidRPr="00C833B9" w:rsidRDefault="00660BAC">
            <w:pPr>
              <w:rPr>
                <w:rFonts w:cs="Arial"/>
                <w:sz w:val="20"/>
                <w:szCs w:val="20"/>
              </w:rPr>
            </w:pPr>
            <w:r w:rsidRPr="00C833B9">
              <w:rPr>
                <w:rFonts w:cs="Arial"/>
                <w:sz w:val="20"/>
                <w:szCs w:val="20"/>
              </w:rPr>
              <w:t>ARGMD</w:t>
            </w:r>
          </w:p>
        </w:tc>
        <w:tc>
          <w:tcPr>
            <w:tcW w:w="5760" w:type="dxa"/>
          </w:tcPr>
          <w:p w14:paraId="30D995F7" w14:textId="5EAB063B" w:rsidR="00660BAC"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Australian Regulatory Guidelines for Medical Devices</w:t>
            </w:r>
          </w:p>
        </w:tc>
      </w:tr>
      <w:tr w:rsidR="00660BAC" w14:paraId="1168DBBE"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9F705B4" w14:textId="4AB8813A" w:rsidR="00660BAC" w:rsidRPr="00C833B9" w:rsidRDefault="00660BAC">
            <w:pPr>
              <w:rPr>
                <w:rFonts w:cs="Arial"/>
                <w:sz w:val="20"/>
                <w:szCs w:val="20"/>
              </w:rPr>
            </w:pPr>
            <w:r w:rsidRPr="00C833B9">
              <w:rPr>
                <w:rFonts w:cs="Arial"/>
                <w:sz w:val="20"/>
                <w:szCs w:val="20"/>
              </w:rPr>
              <w:t>ARTG</w:t>
            </w:r>
          </w:p>
        </w:tc>
        <w:tc>
          <w:tcPr>
            <w:tcW w:w="5760" w:type="dxa"/>
          </w:tcPr>
          <w:p w14:paraId="24A2B790" w14:textId="2EFAD5AD" w:rsidR="00660BAC"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Australian Register of Therapeutic Goods</w:t>
            </w:r>
          </w:p>
        </w:tc>
      </w:tr>
      <w:tr w:rsidR="007F15D6" w14:paraId="16A3E936"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0898135C" w14:textId="31882727" w:rsidR="007F15D6" w:rsidRPr="00C833B9" w:rsidRDefault="007F15D6">
            <w:pPr>
              <w:rPr>
                <w:rFonts w:cs="Arial"/>
                <w:sz w:val="20"/>
                <w:szCs w:val="20"/>
              </w:rPr>
            </w:pPr>
            <w:r w:rsidRPr="00C833B9">
              <w:rPr>
                <w:rFonts w:cs="Arial"/>
                <w:sz w:val="20"/>
                <w:szCs w:val="20"/>
              </w:rPr>
              <w:t>CAP</w:t>
            </w:r>
          </w:p>
        </w:tc>
        <w:tc>
          <w:tcPr>
            <w:tcW w:w="5760" w:type="dxa"/>
          </w:tcPr>
          <w:p w14:paraId="4D2B713C" w14:textId="0EB5E64F" w:rsidR="007F15D6" w:rsidRPr="00C833B9" w:rsidRDefault="007F15D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Conformity Assessment Procedures</w:t>
            </w:r>
          </w:p>
        </w:tc>
      </w:tr>
      <w:tr w:rsidR="00660BAC" w14:paraId="13F458C3"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54B62C81" w14:textId="64C61679" w:rsidR="00660BAC" w:rsidRPr="00C833B9" w:rsidRDefault="00660BAC">
            <w:pPr>
              <w:rPr>
                <w:rFonts w:cs="Arial"/>
                <w:sz w:val="20"/>
                <w:szCs w:val="20"/>
              </w:rPr>
            </w:pPr>
            <w:r w:rsidRPr="00C833B9">
              <w:rPr>
                <w:rFonts w:cs="Arial"/>
                <w:sz w:val="20"/>
                <w:szCs w:val="20"/>
              </w:rPr>
              <w:t>CEO</w:t>
            </w:r>
          </w:p>
        </w:tc>
        <w:tc>
          <w:tcPr>
            <w:tcW w:w="5760" w:type="dxa"/>
          </w:tcPr>
          <w:p w14:paraId="6BD63677" w14:textId="7E762762" w:rsidR="00660BAC"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Chief Executive Officer</w:t>
            </w:r>
          </w:p>
        </w:tc>
      </w:tr>
      <w:tr w:rsidR="007F15D6" w14:paraId="646CC27C"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39B3E51A" w14:textId="4623D8CD" w:rsidR="007F15D6" w:rsidRPr="00C833B9" w:rsidRDefault="007F15D6">
            <w:pPr>
              <w:rPr>
                <w:rFonts w:cs="Arial"/>
                <w:sz w:val="20"/>
                <w:szCs w:val="20"/>
              </w:rPr>
            </w:pPr>
            <w:r w:rsidRPr="00C833B9">
              <w:rPr>
                <w:rFonts w:cs="Arial"/>
                <w:sz w:val="20"/>
                <w:szCs w:val="20"/>
              </w:rPr>
              <w:t>COI</w:t>
            </w:r>
          </w:p>
        </w:tc>
        <w:tc>
          <w:tcPr>
            <w:tcW w:w="5760" w:type="dxa"/>
          </w:tcPr>
          <w:p w14:paraId="4568E6D8" w14:textId="5B328D3B" w:rsidR="007F15D6" w:rsidRPr="00C833B9" w:rsidRDefault="007F15D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Cost of Inclusion</w:t>
            </w:r>
          </w:p>
        </w:tc>
      </w:tr>
      <w:tr w:rsidR="00660BAC" w14:paraId="34D0D52B"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350F779C" w14:textId="3B2B83B1" w:rsidR="00660BAC" w:rsidRPr="00C833B9" w:rsidRDefault="00660BAC">
            <w:pPr>
              <w:rPr>
                <w:rFonts w:cs="Arial"/>
                <w:sz w:val="20"/>
                <w:szCs w:val="20"/>
              </w:rPr>
            </w:pPr>
            <w:r w:rsidRPr="00C833B9">
              <w:rPr>
                <w:rFonts w:cs="Arial"/>
                <w:sz w:val="20"/>
                <w:szCs w:val="20"/>
              </w:rPr>
              <w:t>DAEN</w:t>
            </w:r>
          </w:p>
        </w:tc>
        <w:tc>
          <w:tcPr>
            <w:tcW w:w="5760" w:type="dxa"/>
          </w:tcPr>
          <w:p w14:paraId="2D6C74FD" w14:textId="47DC2B55" w:rsidR="00660BAC"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Database of Adverse Event Notifications</w:t>
            </w:r>
          </w:p>
        </w:tc>
      </w:tr>
      <w:tr w:rsidR="00C52471" w14:paraId="03432E4A"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61B2BE90" w14:textId="0A615EBB" w:rsidR="00C52471" w:rsidRPr="00C833B9" w:rsidRDefault="00C52471">
            <w:pPr>
              <w:rPr>
                <w:rFonts w:cs="Arial"/>
                <w:sz w:val="20"/>
                <w:szCs w:val="20"/>
              </w:rPr>
            </w:pPr>
            <w:r w:rsidRPr="00C833B9">
              <w:rPr>
                <w:rFonts w:cs="Arial"/>
                <w:sz w:val="20"/>
                <w:szCs w:val="20"/>
              </w:rPr>
              <w:t>ERIC</w:t>
            </w:r>
          </w:p>
        </w:tc>
        <w:tc>
          <w:tcPr>
            <w:tcW w:w="5760" w:type="dxa"/>
          </w:tcPr>
          <w:p w14:paraId="21458670" w14:textId="0C3F06C7" w:rsidR="00C52471" w:rsidRPr="00C833B9" w:rsidRDefault="00C5247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Events, Risk, Improvements, and Compliance</w:t>
            </w:r>
          </w:p>
        </w:tc>
      </w:tr>
      <w:tr w:rsidR="0001336E" w14:paraId="4B8DA09C"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309916D9" w14:textId="652AE9B8" w:rsidR="0001336E" w:rsidRPr="00C833B9" w:rsidRDefault="0001336E">
            <w:pPr>
              <w:rPr>
                <w:rFonts w:cs="Arial"/>
                <w:sz w:val="20"/>
                <w:szCs w:val="20"/>
              </w:rPr>
            </w:pPr>
            <w:r w:rsidRPr="00C833B9">
              <w:rPr>
                <w:rFonts w:cs="Arial"/>
                <w:sz w:val="20"/>
                <w:szCs w:val="20"/>
              </w:rPr>
              <w:t>FTE</w:t>
            </w:r>
          </w:p>
        </w:tc>
        <w:tc>
          <w:tcPr>
            <w:tcW w:w="5760" w:type="dxa"/>
          </w:tcPr>
          <w:p w14:paraId="7C0E4C2F" w14:textId="2CB731A1" w:rsidR="0001336E" w:rsidRPr="00C833B9" w:rsidRDefault="0001336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Full-Time Equivalent</w:t>
            </w:r>
          </w:p>
        </w:tc>
      </w:tr>
      <w:tr w:rsidR="00A6013E" w14:paraId="2146E1BD"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5A70A900" w14:textId="1A06123B" w:rsidR="00A6013E" w:rsidRPr="00C833B9" w:rsidRDefault="00A6013E">
            <w:pPr>
              <w:rPr>
                <w:rFonts w:cs="Arial"/>
                <w:sz w:val="20"/>
                <w:szCs w:val="20"/>
              </w:rPr>
            </w:pPr>
            <w:r w:rsidRPr="00C833B9">
              <w:rPr>
                <w:rFonts w:cs="Arial"/>
                <w:sz w:val="20"/>
                <w:szCs w:val="20"/>
              </w:rPr>
              <w:t>IMDRG</w:t>
            </w:r>
          </w:p>
        </w:tc>
        <w:tc>
          <w:tcPr>
            <w:tcW w:w="5760" w:type="dxa"/>
          </w:tcPr>
          <w:p w14:paraId="2F105984" w14:textId="244E78B9" w:rsidR="00A6013E" w:rsidRPr="00C833B9" w:rsidRDefault="00A6013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International Medical Devices Regulator</w:t>
            </w:r>
            <w:r w:rsidR="007F0180" w:rsidRPr="00C833B9">
              <w:rPr>
                <w:rFonts w:cs="Arial"/>
                <w:sz w:val="20"/>
                <w:szCs w:val="20"/>
              </w:rPr>
              <w:t>s</w:t>
            </w:r>
            <w:r w:rsidRPr="00C833B9">
              <w:rPr>
                <w:rFonts w:cs="Arial"/>
                <w:sz w:val="20"/>
                <w:szCs w:val="20"/>
              </w:rPr>
              <w:t xml:space="preserve"> For</w:t>
            </w:r>
            <w:r w:rsidR="007F0180" w:rsidRPr="00C833B9">
              <w:rPr>
                <w:rFonts w:cs="Arial"/>
                <w:sz w:val="20"/>
                <w:szCs w:val="20"/>
              </w:rPr>
              <w:t>u</w:t>
            </w:r>
            <w:r w:rsidRPr="00C833B9">
              <w:rPr>
                <w:rFonts w:cs="Arial"/>
                <w:sz w:val="20"/>
                <w:szCs w:val="20"/>
              </w:rPr>
              <w:t>m</w:t>
            </w:r>
          </w:p>
        </w:tc>
      </w:tr>
      <w:tr w:rsidR="00C52471" w14:paraId="46719900"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12B59CD5" w14:textId="281D40B0" w:rsidR="00C52471" w:rsidRPr="00C833B9" w:rsidRDefault="00C52471">
            <w:pPr>
              <w:rPr>
                <w:rFonts w:cs="Arial"/>
                <w:sz w:val="20"/>
                <w:szCs w:val="20"/>
              </w:rPr>
            </w:pPr>
            <w:r w:rsidRPr="00C833B9">
              <w:rPr>
                <w:rFonts w:cs="Arial"/>
                <w:sz w:val="20"/>
                <w:szCs w:val="20"/>
              </w:rPr>
              <w:t>IMS</w:t>
            </w:r>
          </w:p>
        </w:tc>
        <w:tc>
          <w:tcPr>
            <w:tcW w:w="5760" w:type="dxa"/>
          </w:tcPr>
          <w:p w14:paraId="5C4E647B" w14:textId="72D716BE" w:rsidR="00C52471" w:rsidRPr="00C833B9" w:rsidRDefault="00C5247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Incident Management System</w:t>
            </w:r>
          </w:p>
        </w:tc>
      </w:tr>
      <w:tr w:rsidR="00C52471" w14:paraId="41E54290"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0E5E17CA" w14:textId="75201164" w:rsidR="00C52471" w:rsidRPr="00C833B9" w:rsidRDefault="00C52471">
            <w:pPr>
              <w:rPr>
                <w:rFonts w:cs="Arial"/>
                <w:sz w:val="20"/>
                <w:szCs w:val="20"/>
              </w:rPr>
            </w:pPr>
            <w:r w:rsidRPr="00C833B9">
              <w:rPr>
                <w:rFonts w:cs="Arial"/>
                <w:sz w:val="20"/>
                <w:szCs w:val="20"/>
              </w:rPr>
              <w:t>IMS+</w:t>
            </w:r>
          </w:p>
        </w:tc>
        <w:tc>
          <w:tcPr>
            <w:tcW w:w="5760" w:type="dxa"/>
          </w:tcPr>
          <w:p w14:paraId="4AC3501D" w14:textId="1E962196" w:rsidR="00C52471" w:rsidRPr="00C833B9" w:rsidRDefault="00C5247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Incident Management System Plus</w:t>
            </w:r>
          </w:p>
        </w:tc>
      </w:tr>
      <w:tr w:rsidR="00660BAC" w14:paraId="5FF21E91"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036C3F83" w14:textId="4D93044F" w:rsidR="00660BAC" w:rsidRPr="00C833B9" w:rsidRDefault="00660BAC">
            <w:pPr>
              <w:rPr>
                <w:rFonts w:cs="Arial"/>
                <w:sz w:val="20"/>
                <w:szCs w:val="20"/>
              </w:rPr>
            </w:pPr>
            <w:r w:rsidRPr="00C833B9">
              <w:rPr>
                <w:rFonts w:cs="Arial"/>
                <w:sz w:val="20"/>
                <w:szCs w:val="20"/>
              </w:rPr>
              <w:t>IRIS</w:t>
            </w:r>
          </w:p>
        </w:tc>
        <w:tc>
          <w:tcPr>
            <w:tcW w:w="5760" w:type="dxa"/>
          </w:tcPr>
          <w:p w14:paraId="6ACD458D" w14:textId="4E27C951" w:rsidR="00660BAC"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Incident Reporting and Investigation Scheme</w:t>
            </w:r>
          </w:p>
        </w:tc>
      </w:tr>
      <w:tr w:rsidR="00350E34" w14:paraId="7C56DFF5"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086D0489" w14:textId="10B33A0F" w:rsidR="00350E34" w:rsidRPr="00C833B9" w:rsidRDefault="000D1D82">
            <w:pPr>
              <w:rPr>
                <w:rFonts w:cs="Arial"/>
                <w:sz w:val="20"/>
                <w:szCs w:val="20"/>
              </w:rPr>
            </w:pPr>
            <w:r w:rsidRPr="00C833B9">
              <w:rPr>
                <w:rFonts w:cs="Arial"/>
                <w:sz w:val="20"/>
                <w:szCs w:val="20"/>
              </w:rPr>
              <w:t>IVD</w:t>
            </w:r>
            <w:r w:rsidR="00FB643A" w:rsidRPr="00C833B9">
              <w:rPr>
                <w:rFonts w:cs="Arial"/>
                <w:sz w:val="20"/>
                <w:szCs w:val="20"/>
              </w:rPr>
              <w:t>s</w:t>
            </w:r>
          </w:p>
        </w:tc>
        <w:tc>
          <w:tcPr>
            <w:tcW w:w="5760" w:type="dxa"/>
          </w:tcPr>
          <w:p w14:paraId="5953BBC2" w14:textId="05225212" w:rsidR="00350E34" w:rsidRPr="00C833B9" w:rsidRDefault="000D1D8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In Vitro D</w:t>
            </w:r>
            <w:r w:rsidR="00FB643A" w:rsidRPr="00C833B9">
              <w:rPr>
                <w:rFonts w:cs="Arial"/>
                <w:sz w:val="20"/>
                <w:szCs w:val="20"/>
              </w:rPr>
              <w:t>iagnostics</w:t>
            </w:r>
          </w:p>
        </w:tc>
      </w:tr>
      <w:tr w:rsidR="00660BAC" w14:paraId="1C326C48"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3B54AFCD" w14:textId="5C3AE624" w:rsidR="00660BAC" w:rsidRPr="00C833B9" w:rsidRDefault="00660BAC">
            <w:pPr>
              <w:rPr>
                <w:rFonts w:cs="Arial"/>
                <w:sz w:val="20"/>
                <w:szCs w:val="20"/>
              </w:rPr>
            </w:pPr>
            <w:r w:rsidRPr="00C833B9">
              <w:rPr>
                <w:rFonts w:cs="Arial"/>
                <w:sz w:val="20"/>
                <w:szCs w:val="20"/>
              </w:rPr>
              <w:t>MDIR</w:t>
            </w:r>
          </w:p>
        </w:tc>
        <w:tc>
          <w:tcPr>
            <w:tcW w:w="5760" w:type="dxa"/>
          </w:tcPr>
          <w:p w14:paraId="3AE91E0B" w14:textId="40E39A2E" w:rsidR="00660BAC"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Medical Device Incident Report</w:t>
            </w:r>
          </w:p>
        </w:tc>
      </w:tr>
      <w:tr w:rsidR="00EB1E5A" w14:paraId="5245E3D1"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2C2339EC" w14:textId="41C5AFA5" w:rsidR="00EB1E5A" w:rsidRPr="00C833B9" w:rsidRDefault="00EB1E5A">
            <w:pPr>
              <w:rPr>
                <w:rFonts w:cs="Arial"/>
                <w:sz w:val="20"/>
                <w:szCs w:val="20"/>
              </w:rPr>
            </w:pPr>
            <w:r w:rsidRPr="00C833B9">
              <w:rPr>
                <w:rFonts w:cs="Arial"/>
                <w:sz w:val="20"/>
                <w:szCs w:val="20"/>
              </w:rPr>
              <w:t>MPS</w:t>
            </w:r>
          </w:p>
        </w:tc>
        <w:tc>
          <w:tcPr>
            <w:tcW w:w="5760" w:type="dxa"/>
          </w:tcPr>
          <w:p w14:paraId="5E71E408" w14:textId="059BC1E8" w:rsidR="00EB1E5A" w:rsidRPr="00C833B9" w:rsidRDefault="00EB1E5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Multi</w:t>
            </w:r>
            <w:r w:rsidR="006E52BA" w:rsidRPr="00C833B9">
              <w:rPr>
                <w:rFonts w:cs="Arial"/>
                <w:sz w:val="20"/>
                <w:szCs w:val="20"/>
              </w:rPr>
              <w:t>-P</w:t>
            </w:r>
            <w:r w:rsidRPr="00C833B9">
              <w:rPr>
                <w:rFonts w:cs="Arial"/>
                <w:sz w:val="20"/>
                <w:szCs w:val="20"/>
              </w:rPr>
              <w:t>urpose Services</w:t>
            </w:r>
          </w:p>
        </w:tc>
      </w:tr>
      <w:tr w:rsidR="007C4F9A" w14:paraId="4DBC56B9"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CF379F6" w14:textId="27D165BE" w:rsidR="007C4F9A" w:rsidRPr="00C833B9" w:rsidRDefault="007C4F9A">
            <w:pPr>
              <w:rPr>
                <w:rFonts w:cs="Arial"/>
                <w:sz w:val="20"/>
                <w:szCs w:val="20"/>
              </w:rPr>
            </w:pPr>
            <w:r w:rsidRPr="00C833B9">
              <w:rPr>
                <w:rFonts w:cs="Arial"/>
                <w:sz w:val="20"/>
                <w:szCs w:val="20"/>
              </w:rPr>
              <w:t>NSQHS</w:t>
            </w:r>
            <w:r w:rsidR="00660BAC" w:rsidRPr="00C833B9">
              <w:rPr>
                <w:rFonts w:cs="Arial"/>
                <w:sz w:val="20"/>
                <w:szCs w:val="20"/>
              </w:rPr>
              <w:t xml:space="preserve"> Standards</w:t>
            </w:r>
          </w:p>
        </w:tc>
        <w:tc>
          <w:tcPr>
            <w:tcW w:w="5760" w:type="dxa"/>
          </w:tcPr>
          <w:p w14:paraId="339A9E6C" w14:textId="10AB1618" w:rsidR="007C4F9A" w:rsidRPr="00C833B9" w:rsidRDefault="00660B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National Safety and Quality Health Service Standards</w:t>
            </w:r>
          </w:p>
        </w:tc>
      </w:tr>
      <w:tr w:rsidR="00350E34" w14:paraId="7B7538C0"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2BDABC15" w14:textId="24C8A538" w:rsidR="00350E34" w:rsidRPr="00C833B9" w:rsidRDefault="00270608">
            <w:pPr>
              <w:rPr>
                <w:rFonts w:cs="Arial"/>
                <w:sz w:val="20"/>
                <w:szCs w:val="20"/>
              </w:rPr>
            </w:pPr>
            <w:r w:rsidRPr="00C833B9">
              <w:rPr>
                <w:rFonts w:cs="Arial"/>
                <w:sz w:val="20"/>
                <w:szCs w:val="20"/>
              </w:rPr>
              <w:t>OIA</w:t>
            </w:r>
          </w:p>
        </w:tc>
        <w:tc>
          <w:tcPr>
            <w:tcW w:w="5760" w:type="dxa"/>
          </w:tcPr>
          <w:p w14:paraId="016E31B2" w14:textId="2DA3A824" w:rsidR="00350E34" w:rsidRPr="00C833B9" w:rsidRDefault="002706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Office of Impact Analysis</w:t>
            </w:r>
          </w:p>
        </w:tc>
      </w:tr>
      <w:tr w:rsidR="00FD2F8A" w14:paraId="01BDC14F"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72118FDC" w14:textId="13DD87AF" w:rsidR="00FD2F8A" w:rsidRPr="00C833B9" w:rsidRDefault="00FD2F8A">
            <w:pPr>
              <w:rPr>
                <w:rFonts w:cs="Arial"/>
                <w:sz w:val="20"/>
                <w:szCs w:val="20"/>
              </w:rPr>
            </w:pPr>
            <w:r w:rsidRPr="00C833B9">
              <w:rPr>
                <w:rFonts w:cs="Arial"/>
                <w:sz w:val="20"/>
                <w:szCs w:val="20"/>
              </w:rPr>
              <w:t>OBPR</w:t>
            </w:r>
          </w:p>
        </w:tc>
        <w:tc>
          <w:tcPr>
            <w:tcW w:w="5760" w:type="dxa"/>
          </w:tcPr>
          <w:p w14:paraId="26C8D5C6" w14:textId="7156E8FD" w:rsidR="00FD2F8A" w:rsidRPr="00C833B9" w:rsidRDefault="00FD2F8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Office of Best Practice Regulation</w:t>
            </w:r>
          </w:p>
        </w:tc>
      </w:tr>
      <w:tr w:rsidR="00270608" w14:paraId="7C57B883"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30E247A7" w14:textId="1919E9F3" w:rsidR="00270608" w:rsidRPr="00C833B9" w:rsidRDefault="00270608">
            <w:pPr>
              <w:rPr>
                <w:rFonts w:cs="Arial"/>
                <w:sz w:val="20"/>
                <w:szCs w:val="20"/>
              </w:rPr>
            </w:pPr>
            <w:r w:rsidRPr="00C833B9">
              <w:rPr>
                <w:rFonts w:cs="Arial"/>
                <w:sz w:val="20"/>
                <w:szCs w:val="20"/>
              </w:rPr>
              <w:t>OECD</w:t>
            </w:r>
          </w:p>
        </w:tc>
        <w:tc>
          <w:tcPr>
            <w:tcW w:w="5760" w:type="dxa"/>
          </w:tcPr>
          <w:p w14:paraId="73E391A7" w14:textId="2EBBB11C" w:rsidR="00270608" w:rsidRPr="00C833B9" w:rsidRDefault="0027060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Organisation for Economic Co-operation and Development</w:t>
            </w:r>
          </w:p>
        </w:tc>
      </w:tr>
      <w:tr w:rsidR="00650491" w14:paraId="5BE4D830"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0495DC4A" w14:textId="48A5F29E" w:rsidR="00650491" w:rsidRPr="00C833B9" w:rsidRDefault="00650491">
            <w:pPr>
              <w:rPr>
                <w:rFonts w:cs="Arial"/>
                <w:sz w:val="20"/>
                <w:szCs w:val="20"/>
              </w:rPr>
            </w:pPr>
            <w:r w:rsidRPr="00C833B9">
              <w:rPr>
                <w:rFonts w:cs="Arial"/>
                <w:sz w:val="20"/>
                <w:szCs w:val="20"/>
              </w:rPr>
              <w:t>RBE</w:t>
            </w:r>
          </w:p>
        </w:tc>
        <w:tc>
          <w:tcPr>
            <w:tcW w:w="5760" w:type="dxa"/>
          </w:tcPr>
          <w:p w14:paraId="0430B6E3" w14:textId="0CDFDBD1" w:rsidR="00650491" w:rsidRPr="00C833B9" w:rsidRDefault="0065049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Regulatory Burden Estimate</w:t>
            </w:r>
          </w:p>
        </w:tc>
      </w:tr>
      <w:tr w:rsidR="00C27BAB" w14:paraId="52B51AD7"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526B851" w14:textId="105B78A7" w:rsidR="00C27BAB" w:rsidRPr="00C833B9" w:rsidRDefault="00C27BAB">
            <w:pPr>
              <w:rPr>
                <w:rFonts w:cs="Arial"/>
                <w:sz w:val="20"/>
                <w:szCs w:val="20"/>
              </w:rPr>
            </w:pPr>
            <w:r w:rsidRPr="00C833B9">
              <w:rPr>
                <w:rFonts w:cs="Arial"/>
                <w:sz w:val="20"/>
                <w:szCs w:val="20"/>
              </w:rPr>
              <w:t>RMG 130</w:t>
            </w:r>
          </w:p>
        </w:tc>
        <w:tc>
          <w:tcPr>
            <w:tcW w:w="5760" w:type="dxa"/>
          </w:tcPr>
          <w:p w14:paraId="7979DA35" w14:textId="475A37F2" w:rsidR="00C27BAB" w:rsidRPr="00C833B9" w:rsidRDefault="00C27BA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Resource Management Guide 130</w:t>
            </w:r>
          </w:p>
        </w:tc>
      </w:tr>
      <w:tr w:rsidR="007F0180" w14:paraId="740DFF48"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A2DEF1D" w14:textId="7AE09053" w:rsidR="007F0180" w:rsidRPr="00C833B9" w:rsidRDefault="007F0180">
            <w:pPr>
              <w:rPr>
                <w:rFonts w:cs="Arial"/>
                <w:sz w:val="20"/>
                <w:szCs w:val="20"/>
              </w:rPr>
            </w:pPr>
            <w:r w:rsidRPr="00C833B9">
              <w:rPr>
                <w:rFonts w:cs="Arial"/>
                <w:sz w:val="20"/>
                <w:szCs w:val="20"/>
              </w:rPr>
              <w:t>ROG</w:t>
            </w:r>
            <w:r w:rsidR="00872B86" w:rsidRPr="00C833B9">
              <w:rPr>
                <w:rFonts w:cs="Arial"/>
                <w:sz w:val="20"/>
                <w:szCs w:val="20"/>
              </w:rPr>
              <w:t>S</w:t>
            </w:r>
          </w:p>
        </w:tc>
        <w:tc>
          <w:tcPr>
            <w:tcW w:w="5760" w:type="dxa"/>
          </w:tcPr>
          <w:p w14:paraId="5F3AF676" w14:textId="166FEB56" w:rsidR="007F0180" w:rsidRPr="00C833B9" w:rsidRDefault="00872B8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Report on Government Services</w:t>
            </w:r>
          </w:p>
        </w:tc>
      </w:tr>
      <w:tr w:rsidR="00660BAC" w14:paraId="47CF2887"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34C9DF73" w14:textId="151B9533" w:rsidR="00660BAC" w:rsidRPr="00C833B9" w:rsidRDefault="00660BAC">
            <w:pPr>
              <w:rPr>
                <w:rFonts w:cs="Arial"/>
                <w:sz w:val="20"/>
                <w:szCs w:val="20"/>
              </w:rPr>
            </w:pPr>
            <w:r w:rsidRPr="00C833B9">
              <w:rPr>
                <w:rFonts w:cs="Arial"/>
                <w:sz w:val="20"/>
                <w:szCs w:val="20"/>
              </w:rPr>
              <w:t>TBS</w:t>
            </w:r>
            <w:r w:rsidR="006E0AC3" w:rsidRPr="00C833B9">
              <w:rPr>
                <w:rFonts w:cs="Arial"/>
                <w:sz w:val="20"/>
                <w:szCs w:val="20"/>
              </w:rPr>
              <w:t xml:space="preserve"> portal</w:t>
            </w:r>
          </w:p>
        </w:tc>
        <w:tc>
          <w:tcPr>
            <w:tcW w:w="5760" w:type="dxa"/>
          </w:tcPr>
          <w:p w14:paraId="3F8E0E80" w14:textId="06318E04" w:rsidR="00660BAC" w:rsidRPr="00C833B9" w:rsidRDefault="006E0AC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TGA Business Services portal</w:t>
            </w:r>
          </w:p>
        </w:tc>
      </w:tr>
      <w:tr w:rsidR="00350E34" w14:paraId="305958B0"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5B0F1BB4" w14:textId="7B16FBEA" w:rsidR="00350E34" w:rsidRPr="00C833B9" w:rsidRDefault="00350E34">
            <w:pPr>
              <w:rPr>
                <w:rFonts w:cs="Arial"/>
                <w:sz w:val="20"/>
                <w:szCs w:val="20"/>
              </w:rPr>
            </w:pPr>
            <w:r w:rsidRPr="00C833B9">
              <w:rPr>
                <w:rFonts w:cs="Arial"/>
                <w:sz w:val="20"/>
                <w:szCs w:val="20"/>
              </w:rPr>
              <w:t>TGA</w:t>
            </w:r>
          </w:p>
        </w:tc>
        <w:tc>
          <w:tcPr>
            <w:tcW w:w="5760" w:type="dxa"/>
          </w:tcPr>
          <w:p w14:paraId="6DA6BACE" w14:textId="3BB8B597" w:rsidR="00350E34" w:rsidRPr="00C833B9" w:rsidRDefault="00350E3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Therapeutic Goods Administration</w:t>
            </w:r>
          </w:p>
        </w:tc>
      </w:tr>
      <w:tr w:rsidR="00350E34" w14:paraId="782542D3"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6EAC287C" w14:textId="096B56B6" w:rsidR="00350E34" w:rsidRPr="00C833B9" w:rsidRDefault="007C4F9A">
            <w:pPr>
              <w:rPr>
                <w:rFonts w:cs="Arial"/>
                <w:sz w:val="20"/>
                <w:szCs w:val="20"/>
              </w:rPr>
            </w:pPr>
            <w:r w:rsidRPr="00C833B9">
              <w:rPr>
                <w:rFonts w:cs="Arial"/>
                <w:sz w:val="20"/>
                <w:szCs w:val="20"/>
              </w:rPr>
              <w:t>The Commission</w:t>
            </w:r>
          </w:p>
        </w:tc>
        <w:tc>
          <w:tcPr>
            <w:tcW w:w="5760" w:type="dxa"/>
          </w:tcPr>
          <w:p w14:paraId="5D9A0100" w14:textId="6623DE0B" w:rsidR="00350E34" w:rsidRPr="00C833B9" w:rsidRDefault="007C4F9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Australian Commission on Safety and Quality in Health Care</w:t>
            </w:r>
          </w:p>
        </w:tc>
      </w:tr>
      <w:tr w:rsidR="00966114" w14:paraId="6DCFE39D"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03AC1586" w14:textId="33DF463C" w:rsidR="00966114" w:rsidRPr="00C833B9" w:rsidRDefault="00966114">
            <w:pPr>
              <w:rPr>
                <w:rFonts w:cs="Arial"/>
                <w:sz w:val="20"/>
                <w:szCs w:val="20"/>
              </w:rPr>
            </w:pPr>
            <w:r w:rsidRPr="00C833B9">
              <w:rPr>
                <w:rFonts w:cs="Arial"/>
                <w:sz w:val="20"/>
                <w:szCs w:val="20"/>
              </w:rPr>
              <w:t>The Framework</w:t>
            </w:r>
          </w:p>
        </w:tc>
        <w:tc>
          <w:tcPr>
            <w:tcW w:w="5760" w:type="dxa"/>
          </w:tcPr>
          <w:p w14:paraId="7BC27358" w14:textId="45B54292" w:rsidR="00966114" w:rsidRPr="00C833B9" w:rsidRDefault="007F15D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Regulatory Burden Measurement Framework</w:t>
            </w:r>
          </w:p>
        </w:tc>
      </w:tr>
      <w:tr w:rsidR="00C52471" w14:paraId="4FCB9CB1"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52A9145" w14:textId="6E4FC005" w:rsidR="00C52471" w:rsidRPr="00C833B9" w:rsidRDefault="00C52471">
            <w:pPr>
              <w:rPr>
                <w:rFonts w:cs="Arial"/>
                <w:sz w:val="20"/>
                <w:szCs w:val="20"/>
              </w:rPr>
            </w:pPr>
            <w:r w:rsidRPr="00C833B9">
              <w:rPr>
                <w:rFonts w:cs="Arial"/>
                <w:sz w:val="20"/>
                <w:szCs w:val="20"/>
              </w:rPr>
              <w:t>The Patient Safety Company</w:t>
            </w:r>
          </w:p>
        </w:tc>
        <w:tc>
          <w:tcPr>
            <w:tcW w:w="5760" w:type="dxa"/>
          </w:tcPr>
          <w:p w14:paraId="0D13E883" w14:textId="1C7BB50B" w:rsidR="00C52471" w:rsidRPr="00C833B9" w:rsidRDefault="00C5247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TPSC</w:t>
            </w:r>
          </w:p>
        </w:tc>
      </w:tr>
      <w:tr w:rsidR="00350E34" w14:paraId="18AC25FC"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48819316" w14:textId="6EE9725B" w:rsidR="00350E34" w:rsidRPr="00C833B9" w:rsidRDefault="005A4CB0">
            <w:pPr>
              <w:rPr>
                <w:rFonts w:cs="Arial"/>
                <w:sz w:val="20"/>
                <w:szCs w:val="20"/>
              </w:rPr>
            </w:pPr>
            <w:r w:rsidRPr="00C833B9">
              <w:rPr>
                <w:rFonts w:cs="Arial"/>
                <w:sz w:val="20"/>
                <w:szCs w:val="20"/>
              </w:rPr>
              <w:t>The Program</w:t>
            </w:r>
          </w:p>
        </w:tc>
        <w:tc>
          <w:tcPr>
            <w:tcW w:w="5760" w:type="dxa"/>
          </w:tcPr>
          <w:p w14:paraId="2DF48557" w14:textId="3728069B" w:rsidR="00350E34" w:rsidRPr="00C833B9" w:rsidRDefault="007E4D6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IRIS InSite Program</w:t>
            </w:r>
          </w:p>
        </w:tc>
      </w:tr>
      <w:tr w:rsidR="00286D17" w14:paraId="7FD16802" w14:textId="77777777" w:rsidTr="00350E34">
        <w:tc>
          <w:tcPr>
            <w:cnfStyle w:val="001000000000" w:firstRow="0" w:lastRow="0" w:firstColumn="1" w:lastColumn="0" w:oddVBand="0" w:evenVBand="0" w:oddHBand="0" w:evenHBand="0" w:firstRowFirstColumn="0" w:firstRowLastColumn="0" w:lastRowFirstColumn="0" w:lastRowLastColumn="0"/>
            <w:tcW w:w="3256" w:type="dxa"/>
          </w:tcPr>
          <w:p w14:paraId="14CE55F9" w14:textId="339AF517" w:rsidR="00286D17" w:rsidRPr="00C833B9" w:rsidRDefault="00286D17">
            <w:pPr>
              <w:rPr>
                <w:rFonts w:cs="Arial"/>
                <w:sz w:val="20"/>
                <w:szCs w:val="20"/>
              </w:rPr>
            </w:pPr>
            <w:r w:rsidRPr="00C833B9">
              <w:rPr>
                <w:rFonts w:cs="Arial"/>
                <w:sz w:val="20"/>
                <w:szCs w:val="20"/>
              </w:rPr>
              <w:t>VHIMS</w:t>
            </w:r>
          </w:p>
        </w:tc>
        <w:tc>
          <w:tcPr>
            <w:tcW w:w="5760" w:type="dxa"/>
          </w:tcPr>
          <w:p w14:paraId="4AC4ED53" w14:textId="716FC67C" w:rsidR="00286D17" w:rsidRPr="00C833B9" w:rsidRDefault="00286D1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833B9">
              <w:rPr>
                <w:rFonts w:cs="Arial"/>
                <w:sz w:val="20"/>
                <w:szCs w:val="20"/>
              </w:rPr>
              <w:t>Victorian Health Information Management System</w:t>
            </w:r>
          </w:p>
        </w:tc>
      </w:tr>
    </w:tbl>
    <w:p w14:paraId="6DAD97E3" w14:textId="56FD8A82" w:rsidR="00F9197A" w:rsidRDefault="00F9197A">
      <w:pPr>
        <w:rPr>
          <w:rFonts w:eastAsia="Times New Roman" w:cs="Times New Roman"/>
          <w:b/>
          <w:bCs/>
          <w:color w:val="001871"/>
          <w:sz w:val="38"/>
          <w:szCs w:val="38"/>
        </w:rPr>
      </w:pPr>
      <w:r>
        <w:br w:type="page"/>
      </w:r>
    </w:p>
    <w:p w14:paraId="570A27D5" w14:textId="2E192673" w:rsidR="007370BE" w:rsidRDefault="00CE52F3" w:rsidP="007370BE">
      <w:pPr>
        <w:pStyle w:val="Heading2"/>
      </w:pPr>
      <w:bookmarkStart w:id="201" w:name="_Toc179531338"/>
      <w:bookmarkStart w:id="202" w:name="_Toc188012889"/>
      <w:r>
        <w:t xml:space="preserve">Annex B – </w:t>
      </w:r>
      <w:bookmarkStart w:id="203" w:name="_Toc156375164"/>
      <w:bookmarkEnd w:id="200"/>
      <w:r w:rsidR="009D5957">
        <w:t>Impact on Healthcare Facilities</w:t>
      </w:r>
      <w:bookmarkEnd w:id="201"/>
      <w:bookmarkEnd w:id="202"/>
    </w:p>
    <w:p w14:paraId="3BA70ABE" w14:textId="2969E166" w:rsidR="00CE52F3" w:rsidRDefault="00CE52F3" w:rsidP="007370BE">
      <w:pPr>
        <w:pStyle w:val="Heading3"/>
      </w:pPr>
      <w:bookmarkStart w:id="204" w:name="_Toc179531339"/>
      <w:bookmarkStart w:id="205" w:name="_Toc188012890"/>
      <w:r>
        <w:t>Purpose of this annexure</w:t>
      </w:r>
      <w:bookmarkEnd w:id="203"/>
      <w:bookmarkEnd w:id="204"/>
      <w:bookmarkEnd w:id="205"/>
    </w:p>
    <w:p w14:paraId="47775A98" w14:textId="3690047C" w:rsidR="009D5957" w:rsidRDefault="009D5957" w:rsidP="009D5957">
      <w:r>
        <w:t>The purpose of Annex B is to explore, in further detail, the key impacts on healthcare facilities as a result of imposing mandatory reporting of medical device adverse events. This will cover:</w:t>
      </w:r>
    </w:p>
    <w:p w14:paraId="0F2F119B" w14:textId="5F65DB6F" w:rsidR="009D5957" w:rsidRDefault="00B85E77" w:rsidP="009D5957">
      <w:pPr>
        <w:pStyle w:val="Bullet1"/>
      </w:pPr>
      <w:r>
        <w:t>reporting populations (i.e., public and private hospitals, and approved residential aged care facilities (excluding MPS facilities)</w:t>
      </w:r>
    </w:p>
    <w:p w14:paraId="2FA6F3ED" w14:textId="1FD7DBCB" w:rsidR="00B85E77" w:rsidRDefault="00B85E77" w:rsidP="009D5957">
      <w:pPr>
        <w:pStyle w:val="Bullet1"/>
      </w:pPr>
      <w:r>
        <w:t xml:space="preserve">impacted individuals (i.e., medical/clinical practitioners and hospital clerks/administrative </w:t>
      </w:r>
      <w:r w:rsidR="00F9186A">
        <w:t>employees)</w:t>
      </w:r>
    </w:p>
    <w:p w14:paraId="298E7A28" w14:textId="0BEB7CCE" w:rsidR="00F9186A" w:rsidRDefault="00F9186A" w:rsidP="00F9186A">
      <w:pPr>
        <w:pStyle w:val="Bullet1"/>
      </w:pPr>
      <w:r>
        <w:t>reporting functionality</w:t>
      </w:r>
    </w:p>
    <w:p w14:paraId="59F1237A" w14:textId="7CAD8523" w:rsidR="00F9186A" w:rsidRDefault="00F9186A" w:rsidP="00F9186A">
      <w:pPr>
        <w:pStyle w:val="Bullet1"/>
      </w:pPr>
      <w:r>
        <w:t>data fields</w:t>
      </w:r>
    </w:p>
    <w:p w14:paraId="12EADC16" w14:textId="7CD7ADE0" w:rsidR="00F9186A" w:rsidRDefault="00F9186A" w:rsidP="00F9186A">
      <w:pPr>
        <w:pStyle w:val="Bullet1"/>
      </w:pPr>
      <w:r>
        <w:t>incident management guidance</w:t>
      </w:r>
    </w:p>
    <w:p w14:paraId="5709E686" w14:textId="4F13A392" w:rsidR="00F9186A" w:rsidRDefault="00F9186A" w:rsidP="00F9186A">
      <w:pPr>
        <w:pStyle w:val="Bullet1"/>
      </w:pPr>
      <w:r>
        <w:t>awareness activities</w:t>
      </w:r>
    </w:p>
    <w:p w14:paraId="4FF32BCC" w14:textId="1D9B7704" w:rsidR="00F9186A" w:rsidRPr="009D5957" w:rsidRDefault="00F9186A" w:rsidP="0079175B">
      <w:pPr>
        <w:pStyle w:val="Bullet1"/>
      </w:pPr>
      <w:r>
        <w:t>follow-up activities.</w:t>
      </w:r>
    </w:p>
    <w:p w14:paraId="5D268F50" w14:textId="33C4965E" w:rsidR="00FD0CAD" w:rsidRDefault="00F9186A" w:rsidP="0079175B">
      <w:pPr>
        <w:pStyle w:val="Heading5"/>
      </w:pPr>
      <w:bookmarkStart w:id="206" w:name="_Toc156375165"/>
      <w:r>
        <w:t>Current</w:t>
      </w:r>
      <w:bookmarkEnd w:id="206"/>
      <w:r w:rsidR="00FD0CAD">
        <w:t xml:space="preserve"> population</w:t>
      </w:r>
      <w:r w:rsidR="00760CA3">
        <w:t xml:space="preserve"> - hospitals</w:t>
      </w:r>
    </w:p>
    <w:p w14:paraId="71EBF730" w14:textId="75901C62" w:rsidR="00776DA3" w:rsidRDefault="008670F7" w:rsidP="008670F7">
      <w:r>
        <w:t xml:space="preserve">Part 4-8A of the </w:t>
      </w:r>
      <w:r w:rsidR="00E62868" w:rsidRPr="00953467">
        <w:rPr>
          <w:i/>
          <w:iCs/>
        </w:rPr>
        <w:t xml:space="preserve">Therapeutic Goods Act 1989 </w:t>
      </w:r>
      <w:r w:rsidR="0036669A">
        <w:t>relates to the mandatory reporting of adverse events</w:t>
      </w:r>
      <w:r w:rsidR="00C23589">
        <w:t xml:space="preserve"> involving </w:t>
      </w:r>
      <w:r w:rsidR="0022522B">
        <w:t>medical devices</w:t>
      </w:r>
      <w:r w:rsidR="0036669A">
        <w:t xml:space="preserve"> by healthcare facilities.</w:t>
      </w:r>
      <w:r w:rsidR="005D375B">
        <w:rPr>
          <w:rStyle w:val="FootnoteReference"/>
        </w:rPr>
        <w:footnoteReference w:id="95"/>
      </w:r>
      <w:r w:rsidR="0036669A">
        <w:t xml:space="preserve"> </w:t>
      </w:r>
      <w:r w:rsidR="00CB6275">
        <w:t>Reporting responsibilities are specific</w:t>
      </w:r>
      <w:r w:rsidR="008920AC">
        <w:t xml:space="preserve">ally assigned to the chief executive officer of a </w:t>
      </w:r>
      <w:r w:rsidR="000F5304">
        <w:t>‘healthc</w:t>
      </w:r>
      <w:r w:rsidR="00FA1B41">
        <w:t>are facility’.</w:t>
      </w:r>
      <w:r w:rsidR="003550CD">
        <w:t xml:space="preserve"> </w:t>
      </w:r>
      <w:r w:rsidR="00204EAF">
        <w:t xml:space="preserve">Section 3(1) of the Act (as amended) </w:t>
      </w:r>
      <w:r w:rsidR="00DD6A63">
        <w:t>de</w:t>
      </w:r>
      <w:r w:rsidR="00E74AA0">
        <w:t>fines</w:t>
      </w:r>
      <w:r w:rsidR="00DD6A63">
        <w:t xml:space="preserve"> a </w:t>
      </w:r>
      <w:r w:rsidR="001A0417">
        <w:t>healthcare facility as</w:t>
      </w:r>
      <w:r w:rsidR="002E01CD">
        <w:t>:</w:t>
      </w:r>
    </w:p>
    <w:p w14:paraId="618C0F3E" w14:textId="0DE0BA87" w:rsidR="002E01CD" w:rsidRDefault="00E43C1D" w:rsidP="002E01CD">
      <w:pPr>
        <w:pStyle w:val="Bullet1"/>
      </w:pPr>
      <w:r>
        <w:t>a public hospital</w:t>
      </w:r>
    </w:p>
    <w:p w14:paraId="6F79D11D" w14:textId="1D915E97" w:rsidR="00E43C1D" w:rsidRDefault="00E43C1D" w:rsidP="002E01CD">
      <w:pPr>
        <w:pStyle w:val="Bullet1"/>
      </w:pPr>
      <w:r>
        <w:t>a private hospital</w:t>
      </w:r>
    </w:p>
    <w:p w14:paraId="03A422D8" w14:textId="4D1E8C96" w:rsidR="0092790D" w:rsidRDefault="00D67CDB" w:rsidP="002E01CD">
      <w:pPr>
        <w:pStyle w:val="Bullet1"/>
      </w:pPr>
      <w:r>
        <w:t xml:space="preserve">any other </w:t>
      </w:r>
      <w:r w:rsidR="00995BA3">
        <w:t>facility prescribed by regulations made for the purposes of this paragra</w:t>
      </w:r>
      <w:r w:rsidR="006A4604">
        <w:t>ph.</w:t>
      </w:r>
    </w:p>
    <w:p w14:paraId="7CAD4A47" w14:textId="24581CA0" w:rsidR="00E776C8" w:rsidRDefault="00E776C8" w:rsidP="00E776C8">
      <w:pPr>
        <w:pStyle w:val="Bullet1"/>
        <w:numPr>
          <w:ilvl w:val="0"/>
          <w:numId w:val="0"/>
        </w:numPr>
      </w:pPr>
      <w:r>
        <w:t xml:space="preserve">Furthermore, this section </w:t>
      </w:r>
      <w:r w:rsidR="008C7EAF">
        <w:t xml:space="preserve">further defines public and private hospitals </w:t>
      </w:r>
      <w:r w:rsidR="001762D8">
        <w:t xml:space="preserve">as those declared by the </w:t>
      </w:r>
      <w:r w:rsidR="005E3CCB">
        <w:t xml:space="preserve">Minister for Health and Aged Care </w:t>
      </w:r>
      <w:r w:rsidR="00A6726B">
        <w:t>under s</w:t>
      </w:r>
      <w:r w:rsidR="00574BCA">
        <w:t>.121</w:t>
      </w:r>
      <w:r w:rsidR="00AF4642">
        <w:t>-5(</w:t>
      </w:r>
      <w:r w:rsidR="001014C6">
        <w:t>5</w:t>
      </w:r>
      <w:r w:rsidR="00AF4642">
        <w:t>)</w:t>
      </w:r>
      <w:r w:rsidR="007B4237">
        <w:rPr>
          <w:rStyle w:val="FootnoteReference"/>
        </w:rPr>
        <w:footnoteReference w:id="96"/>
      </w:r>
      <w:r w:rsidR="00AF4642">
        <w:t xml:space="preserve"> of the </w:t>
      </w:r>
      <w:r w:rsidR="00AF4642">
        <w:rPr>
          <w:i/>
          <w:iCs/>
        </w:rPr>
        <w:t>Private Health Insurance A</w:t>
      </w:r>
      <w:r w:rsidR="00117EDA">
        <w:rPr>
          <w:i/>
          <w:iCs/>
        </w:rPr>
        <w:t>ct 2007</w:t>
      </w:r>
      <w:r w:rsidR="00117EDA">
        <w:t xml:space="preserve">. </w:t>
      </w:r>
      <w:r w:rsidR="00C32EC0">
        <w:t xml:space="preserve">The department </w:t>
      </w:r>
      <w:r w:rsidR="002B3F80">
        <w:t>periodically publishes a consolidated listing of declared hospitals</w:t>
      </w:r>
      <w:r w:rsidR="000A754A">
        <w:t>.</w:t>
      </w:r>
      <w:r w:rsidR="00C24405">
        <w:rPr>
          <w:rStyle w:val="FootnoteReference"/>
        </w:rPr>
        <w:footnoteReference w:id="97"/>
      </w:r>
    </w:p>
    <w:p w14:paraId="4DE76B5C" w14:textId="349DD955" w:rsidR="00A968B7" w:rsidRPr="00117EDA" w:rsidRDefault="00A968B7" w:rsidP="00E776C8">
      <w:pPr>
        <w:pStyle w:val="Bullet1"/>
        <w:numPr>
          <w:ilvl w:val="0"/>
          <w:numId w:val="0"/>
        </w:numPr>
      </w:pPr>
      <w:r>
        <w:t xml:space="preserve">While the </w:t>
      </w:r>
      <w:r w:rsidR="00E62868" w:rsidRPr="00F3751D">
        <w:rPr>
          <w:i/>
          <w:iCs/>
        </w:rPr>
        <w:t>Therapeutic Goods Act 1989</w:t>
      </w:r>
      <w:r w:rsidRPr="00F3751D">
        <w:rPr>
          <w:i/>
          <w:iCs/>
        </w:rPr>
        <w:t xml:space="preserve"> </w:t>
      </w:r>
      <w:r>
        <w:t xml:space="preserve">does </w:t>
      </w:r>
      <w:r w:rsidR="00221F44">
        <w:t xml:space="preserve">not currently differentiate between </w:t>
      </w:r>
      <w:r w:rsidR="000B68DC">
        <w:t>types of private hospitals</w:t>
      </w:r>
      <w:r w:rsidR="00876669">
        <w:t>;</w:t>
      </w:r>
      <w:r w:rsidR="00643335">
        <w:t xml:space="preserve"> the published list of declared hospital</w:t>
      </w:r>
      <w:r w:rsidR="00E54E7A">
        <w:t>s</w:t>
      </w:r>
      <w:r w:rsidR="00643335">
        <w:t xml:space="preserve"> assigns private hospital</w:t>
      </w:r>
      <w:r w:rsidR="00AA55F3">
        <w:t>s</w:t>
      </w:r>
      <w:r w:rsidR="00643335">
        <w:t xml:space="preserve"> against </w:t>
      </w:r>
      <w:r w:rsidR="006C2157">
        <w:t xml:space="preserve">7 categories based on </w:t>
      </w:r>
      <w:r w:rsidR="0059069D">
        <w:t xml:space="preserve">clinical </w:t>
      </w:r>
      <w:r w:rsidR="00C71555">
        <w:t xml:space="preserve">services offered </w:t>
      </w:r>
      <w:r w:rsidR="00543C57">
        <w:t xml:space="preserve">and the number of licenced beds. </w:t>
      </w:r>
      <w:r w:rsidR="000471F9">
        <w:t xml:space="preserve">Category G </w:t>
      </w:r>
      <w:r w:rsidR="009F15E8">
        <w:t xml:space="preserve">relates to ‘private hospitals that provide episodes of hospital treatment only for </w:t>
      </w:r>
      <w:r w:rsidR="00AF2C39">
        <w:t>periods of not more than 24 hours</w:t>
      </w:r>
      <w:r w:rsidR="00275263">
        <w:t xml:space="preserve">’. </w:t>
      </w:r>
      <w:r w:rsidR="00D005A0">
        <w:t xml:space="preserve">Roundtable consultation activities for the proposed regulatory changes referenced </w:t>
      </w:r>
      <w:r w:rsidR="00507D1C">
        <w:t xml:space="preserve">public and private hospitals and day procedure </w:t>
      </w:r>
      <w:r w:rsidR="00A6496C">
        <w:t>(Category G referenced above)</w:t>
      </w:r>
      <w:r w:rsidR="00C35025">
        <w:t>. T</w:t>
      </w:r>
      <w:r w:rsidR="00507D1C">
        <w:t xml:space="preserve">his taxonomy has been </w:t>
      </w:r>
      <w:r w:rsidR="003D29DD">
        <w:t xml:space="preserve">carried forward into the IA. </w:t>
      </w:r>
    </w:p>
    <w:p w14:paraId="083E2B24" w14:textId="70B12149" w:rsidR="00254F81" w:rsidRDefault="00254F81" w:rsidP="00E776C8">
      <w:pPr>
        <w:pStyle w:val="Bullet1"/>
        <w:numPr>
          <w:ilvl w:val="0"/>
          <w:numId w:val="0"/>
        </w:numPr>
      </w:pPr>
      <w:r>
        <w:t xml:space="preserve">The </w:t>
      </w:r>
      <w:r w:rsidR="00586349">
        <w:t>current (Jan</w:t>
      </w:r>
      <w:r w:rsidR="004B7A61">
        <w:t>uary 2024) population of impacted facilities is detailed in the table below.</w:t>
      </w:r>
    </w:p>
    <w:p w14:paraId="49A39F64" w14:textId="77777777" w:rsidR="00136A4E" w:rsidRDefault="00136A4E" w:rsidP="004B7A61">
      <w:pPr>
        <w:pStyle w:val="Caption"/>
      </w:pPr>
    </w:p>
    <w:p w14:paraId="5EBFB167" w14:textId="27C153B7" w:rsidR="004B7A61" w:rsidRDefault="004B7A61" w:rsidP="004B7A61">
      <w:pPr>
        <w:pStyle w:val="Caption"/>
      </w:pPr>
      <w:r>
        <w:t>Table</w:t>
      </w:r>
      <w:r w:rsidR="007E1620">
        <w:t xml:space="preserve"> </w:t>
      </w:r>
      <w:r w:rsidR="002D41F4">
        <w:t>2</w:t>
      </w:r>
      <w:r w:rsidR="008056A1">
        <w:t>6</w:t>
      </w:r>
      <w:r w:rsidR="002D41F4">
        <w:t xml:space="preserve"> - </w:t>
      </w:r>
      <w:r>
        <w:t xml:space="preserve">Number of impacted facilities by the </w:t>
      </w:r>
      <w:r w:rsidR="00D049D0">
        <w:t>proposed regulatory changes</w:t>
      </w:r>
      <w:r w:rsidR="001A3BC9">
        <w:t xml:space="preserve"> (as </w:t>
      </w:r>
      <w:r w:rsidR="00A47842">
        <w:t>of</w:t>
      </w:r>
      <w:r w:rsidR="001A3BC9">
        <w:t xml:space="preserve"> 23 January 2024)</w:t>
      </w:r>
    </w:p>
    <w:tbl>
      <w:tblPr>
        <w:tblStyle w:val="TableGrid"/>
        <w:tblW w:w="0" w:type="auto"/>
        <w:tblLook w:val="04A0" w:firstRow="1" w:lastRow="0" w:firstColumn="1" w:lastColumn="0" w:noHBand="0" w:noVBand="1"/>
      </w:tblPr>
      <w:tblGrid>
        <w:gridCol w:w="3397"/>
        <w:gridCol w:w="972"/>
      </w:tblGrid>
      <w:tr w:rsidR="00297FB5" w:rsidRPr="00CA1F35" w14:paraId="5593ECD5" w14:textId="77777777" w:rsidTr="00D25088">
        <w:tc>
          <w:tcPr>
            <w:tcW w:w="3397" w:type="dxa"/>
            <w:shd w:val="clear" w:color="auto" w:fill="002060"/>
          </w:tcPr>
          <w:p w14:paraId="15CAD2F4" w14:textId="55ED1A05" w:rsidR="00297FB5" w:rsidRPr="00471239" w:rsidRDefault="00297FB5" w:rsidP="00D049D0">
            <w:pPr>
              <w:rPr>
                <w:rFonts w:cs="Arial"/>
                <w:b/>
                <w:bCs/>
                <w:color w:val="FFFFFF" w:themeColor="background1"/>
                <w:sz w:val="20"/>
                <w:szCs w:val="20"/>
              </w:rPr>
            </w:pPr>
            <w:r w:rsidRPr="00471239">
              <w:rPr>
                <w:rFonts w:cs="Arial"/>
                <w:b/>
                <w:bCs/>
                <w:color w:val="FFFFFF" w:themeColor="background1"/>
                <w:sz w:val="20"/>
                <w:szCs w:val="20"/>
              </w:rPr>
              <w:t>Hospital categorisation</w:t>
            </w:r>
          </w:p>
        </w:tc>
        <w:tc>
          <w:tcPr>
            <w:tcW w:w="284" w:type="dxa"/>
            <w:shd w:val="clear" w:color="auto" w:fill="002060"/>
          </w:tcPr>
          <w:p w14:paraId="210B9D08" w14:textId="5BE45BD0" w:rsidR="00297FB5" w:rsidRPr="00471239" w:rsidRDefault="00297FB5" w:rsidP="00D049D0">
            <w:pPr>
              <w:rPr>
                <w:rFonts w:cs="Arial"/>
                <w:b/>
                <w:bCs/>
                <w:color w:val="FFFFFF" w:themeColor="background1"/>
                <w:sz w:val="20"/>
                <w:szCs w:val="20"/>
              </w:rPr>
            </w:pPr>
            <w:r w:rsidRPr="00471239">
              <w:rPr>
                <w:rFonts w:cs="Arial"/>
                <w:b/>
                <w:bCs/>
                <w:color w:val="FFFFFF" w:themeColor="background1"/>
                <w:sz w:val="20"/>
                <w:szCs w:val="20"/>
              </w:rPr>
              <w:t>Number</w:t>
            </w:r>
          </w:p>
        </w:tc>
      </w:tr>
      <w:tr w:rsidR="00CA1F35" w:rsidRPr="00CA1F35" w14:paraId="0AB8D1A0" w14:textId="77777777" w:rsidTr="00D25088">
        <w:tc>
          <w:tcPr>
            <w:tcW w:w="3397" w:type="dxa"/>
            <w:vAlign w:val="bottom"/>
          </w:tcPr>
          <w:p w14:paraId="26F198AC" w14:textId="38C35371" w:rsidR="00CA1F35" w:rsidRPr="00471239" w:rsidRDefault="00CA1F35" w:rsidP="00CA1F35">
            <w:pPr>
              <w:rPr>
                <w:rFonts w:cs="Arial"/>
                <w:sz w:val="20"/>
                <w:szCs w:val="20"/>
              </w:rPr>
            </w:pPr>
            <w:r w:rsidRPr="00471239">
              <w:rPr>
                <w:rFonts w:cs="Arial"/>
                <w:color w:val="000000"/>
                <w:sz w:val="20"/>
                <w:szCs w:val="20"/>
              </w:rPr>
              <w:t>Public</w:t>
            </w:r>
          </w:p>
        </w:tc>
        <w:tc>
          <w:tcPr>
            <w:tcW w:w="284" w:type="dxa"/>
            <w:vAlign w:val="bottom"/>
          </w:tcPr>
          <w:p w14:paraId="1D7ACA8A" w14:textId="3864EA59" w:rsidR="00CA1F35" w:rsidRPr="00471239" w:rsidRDefault="00CA1F35" w:rsidP="00CA1F35">
            <w:pPr>
              <w:rPr>
                <w:rFonts w:cs="Arial"/>
                <w:sz w:val="20"/>
                <w:szCs w:val="20"/>
              </w:rPr>
            </w:pPr>
            <w:r w:rsidRPr="00471239">
              <w:rPr>
                <w:rFonts w:cs="Arial"/>
                <w:color w:val="000000"/>
                <w:sz w:val="20"/>
                <w:szCs w:val="20"/>
              </w:rPr>
              <w:t>686</w:t>
            </w:r>
          </w:p>
        </w:tc>
      </w:tr>
      <w:tr w:rsidR="00CA1F35" w:rsidRPr="00CA1F35" w14:paraId="7AF847A0" w14:textId="77777777" w:rsidTr="00D25088">
        <w:tc>
          <w:tcPr>
            <w:tcW w:w="3397" w:type="dxa"/>
            <w:vAlign w:val="bottom"/>
          </w:tcPr>
          <w:p w14:paraId="40436D04" w14:textId="127F1913" w:rsidR="00CA1F35" w:rsidRPr="00471239" w:rsidRDefault="00CA1F35" w:rsidP="00CA1F35">
            <w:pPr>
              <w:rPr>
                <w:rFonts w:cs="Arial"/>
                <w:sz w:val="20"/>
                <w:szCs w:val="20"/>
              </w:rPr>
            </w:pPr>
            <w:r w:rsidRPr="00471239">
              <w:rPr>
                <w:rFonts w:cs="Arial"/>
                <w:color w:val="000000"/>
                <w:sz w:val="20"/>
                <w:szCs w:val="20"/>
              </w:rPr>
              <w:t>Private (Not Day Procedure Centres)</w:t>
            </w:r>
          </w:p>
        </w:tc>
        <w:tc>
          <w:tcPr>
            <w:tcW w:w="284" w:type="dxa"/>
            <w:vAlign w:val="bottom"/>
          </w:tcPr>
          <w:p w14:paraId="75B9FBA8" w14:textId="30F19EFB" w:rsidR="00CA1F35" w:rsidRPr="00471239" w:rsidRDefault="00CA1F35" w:rsidP="00CA1F35">
            <w:pPr>
              <w:rPr>
                <w:rFonts w:cs="Arial"/>
                <w:sz w:val="20"/>
                <w:szCs w:val="20"/>
              </w:rPr>
            </w:pPr>
            <w:r w:rsidRPr="00471239">
              <w:rPr>
                <w:rFonts w:cs="Arial"/>
                <w:color w:val="000000"/>
                <w:sz w:val="20"/>
                <w:szCs w:val="20"/>
              </w:rPr>
              <w:t>293</w:t>
            </w:r>
          </w:p>
        </w:tc>
      </w:tr>
      <w:tr w:rsidR="00CA1F35" w:rsidRPr="00CA1F35" w14:paraId="56ED8390" w14:textId="77777777" w:rsidTr="00D25088">
        <w:tc>
          <w:tcPr>
            <w:tcW w:w="3397" w:type="dxa"/>
            <w:vAlign w:val="bottom"/>
          </w:tcPr>
          <w:p w14:paraId="6F4E9128" w14:textId="406CDC0D" w:rsidR="00CA1F35" w:rsidRPr="00471239" w:rsidRDefault="00CA1F35" w:rsidP="00CA1F35">
            <w:pPr>
              <w:rPr>
                <w:rFonts w:cs="Arial"/>
                <w:sz w:val="20"/>
                <w:szCs w:val="20"/>
              </w:rPr>
            </w:pPr>
            <w:r w:rsidRPr="00471239">
              <w:rPr>
                <w:rFonts w:cs="Arial"/>
                <w:color w:val="000000"/>
                <w:sz w:val="20"/>
                <w:szCs w:val="20"/>
              </w:rPr>
              <w:t>Private (Day Procedure Centres)</w:t>
            </w:r>
          </w:p>
        </w:tc>
        <w:tc>
          <w:tcPr>
            <w:tcW w:w="284" w:type="dxa"/>
            <w:vAlign w:val="bottom"/>
          </w:tcPr>
          <w:p w14:paraId="3423A7EA" w14:textId="2B42A289" w:rsidR="00CA1F35" w:rsidRPr="00471239" w:rsidRDefault="00CA1F35" w:rsidP="00CA1F35">
            <w:pPr>
              <w:rPr>
                <w:rFonts w:cs="Arial"/>
                <w:sz w:val="20"/>
                <w:szCs w:val="20"/>
              </w:rPr>
            </w:pPr>
            <w:r w:rsidRPr="00471239">
              <w:rPr>
                <w:rFonts w:cs="Arial"/>
                <w:color w:val="000000"/>
                <w:sz w:val="20"/>
                <w:szCs w:val="20"/>
              </w:rPr>
              <w:t>346</w:t>
            </w:r>
          </w:p>
        </w:tc>
      </w:tr>
      <w:tr w:rsidR="00CA1F35" w:rsidRPr="00CA1F35" w14:paraId="2F013F71" w14:textId="77777777" w:rsidTr="00D25088">
        <w:tc>
          <w:tcPr>
            <w:tcW w:w="3397" w:type="dxa"/>
            <w:vAlign w:val="bottom"/>
          </w:tcPr>
          <w:p w14:paraId="70DD170F" w14:textId="36622402" w:rsidR="00CA1F35" w:rsidRPr="00471239" w:rsidRDefault="00CA1F35" w:rsidP="00CA1F35">
            <w:pPr>
              <w:jc w:val="right"/>
              <w:rPr>
                <w:rFonts w:cs="Arial"/>
                <w:sz w:val="20"/>
                <w:szCs w:val="20"/>
              </w:rPr>
            </w:pPr>
            <w:r w:rsidRPr="00471239">
              <w:rPr>
                <w:rFonts w:cs="Arial"/>
                <w:b/>
                <w:bCs/>
                <w:color w:val="000000"/>
                <w:sz w:val="20"/>
                <w:szCs w:val="20"/>
              </w:rPr>
              <w:t>Total</w:t>
            </w:r>
          </w:p>
        </w:tc>
        <w:tc>
          <w:tcPr>
            <w:tcW w:w="284" w:type="dxa"/>
            <w:shd w:val="clear" w:color="auto" w:fill="D9D9D9" w:themeFill="background1" w:themeFillShade="D9"/>
            <w:vAlign w:val="bottom"/>
          </w:tcPr>
          <w:p w14:paraId="6CCA7BEE" w14:textId="45EE63D8" w:rsidR="00CA1F35" w:rsidRPr="00471239" w:rsidRDefault="00CA1F35" w:rsidP="00CA1F35">
            <w:pPr>
              <w:rPr>
                <w:rFonts w:cs="Arial"/>
                <w:sz w:val="20"/>
                <w:szCs w:val="20"/>
              </w:rPr>
            </w:pPr>
            <w:r w:rsidRPr="00471239">
              <w:rPr>
                <w:rFonts w:cs="Arial"/>
                <w:b/>
                <w:bCs/>
                <w:color w:val="000000"/>
                <w:sz w:val="20"/>
                <w:szCs w:val="20"/>
              </w:rPr>
              <w:t>1</w:t>
            </w:r>
            <w:r w:rsidR="001A0F6A">
              <w:rPr>
                <w:rFonts w:cs="Arial"/>
                <w:b/>
                <w:bCs/>
                <w:color w:val="000000"/>
                <w:sz w:val="20"/>
                <w:szCs w:val="20"/>
              </w:rPr>
              <w:t>,</w:t>
            </w:r>
            <w:r w:rsidRPr="00471239">
              <w:rPr>
                <w:rFonts w:cs="Arial"/>
                <w:b/>
                <w:bCs/>
                <w:color w:val="000000"/>
                <w:sz w:val="20"/>
                <w:szCs w:val="20"/>
              </w:rPr>
              <w:t>325</w:t>
            </w:r>
          </w:p>
        </w:tc>
      </w:tr>
    </w:tbl>
    <w:p w14:paraId="6E87CE8C" w14:textId="52EADAA4" w:rsidR="00CA1F35" w:rsidRPr="00CA1F35" w:rsidRDefault="00CA1F35" w:rsidP="00D049D0">
      <w:pPr>
        <w:rPr>
          <w:sz w:val="16"/>
          <w:szCs w:val="16"/>
        </w:rPr>
      </w:pPr>
      <w:r>
        <w:rPr>
          <w:sz w:val="16"/>
          <w:szCs w:val="16"/>
        </w:rPr>
        <w:t xml:space="preserve">Source: </w:t>
      </w:r>
      <w:r w:rsidR="0069770D">
        <w:rPr>
          <w:sz w:val="16"/>
          <w:szCs w:val="16"/>
        </w:rPr>
        <w:t>List of declared hospitals published 15 December 2023 (updated 23 January 2024), see &lt;</w:t>
      </w:r>
      <w:hyperlink r:id="rId57" w:history="1">
        <w:r w:rsidR="000F43EB">
          <w:rPr>
            <w:rStyle w:val="Hyperlink"/>
            <w:sz w:val="16"/>
            <w:szCs w:val="16"/>
          </w:rPr>
          <w:t>List of declared hospitals | Australian Government Department of Health, Disability and Ageing</w:t>
        </w:r>
      </w:hyperlink>
      <w:r w:rsidR="008E2959" w:rsidRPr="008E2959">
        <w:rPr>
          <w:sz w:val="16"/>
          <w:szCs w:val="16"/>
        </w:rPr>
        <w:t>&gt;</w:t>
      </w:r>
      <w:r w:rsidR="00DC3E77">
        <w:rPr>
          <w:sz w:val="16"/>
          <w:szCs w:val="16"/>
        </w:rPr>
        <w:t xml:space="preserve">. </w:t>
      </w:r>
    </w:p>
    <w:p w14:paraId="37D581AF" w14:textId="3051FF43" w:rsidR="00FD0CAD" w:rsidRPr="008E2959" w:rsidRDefault="00B342D0" w:rsidP="00FD0CAD">
      <w:pPr>
        <w:pStyle w:val="Heading5"/>
      </w:pPr>
      <w:r>
        <w:t>Projected population</w:t>
      </w:r>
      <w:r w:rsidR="00760CA3">
        <w:t xml:space="preserve"> - hospitals</w:t>
      </w:r>
    </w:p>
    <w:p w14:paraId="5D7DE5E9" w14:textId="2285AEED" w:rsidR="00B342D0" w:rsidRDefault="00703840" w:rsidP="00B342D0">
      <w:r>
        <w:t xml:space="preserve">Noting the </w:t>
      </w:r>
      <w:r w:rsidR="0066333D">
        <w:t xml:space="preserve">definitional elements detailed above, </w:t>
      </w:r>
      <w:r w:rsidR="009239B5">
        <w:t xml:space="preserve">the </w:t>
      </w:r>
      <w:r w:rsidR="00243388">
        <w:t>number of</w:t>
      </w:r>
      <w:r w:rsidR="009239B5">
        <w:t xml:space="preserve"> </w:t>
      </w:r>
      <w:r w:rsidR="00A654C1">
        <w:t xml:space="preserve">regulated entities encompassed by mandatory reporting obligations </w:t>
      </w:r>
      <w:r w:rsidR="00E722B8">
        <w:t>will change over time as facilities are closed, opened</w:t>
      </w:r>
      <w:r w:rsidR="0008012D">
        <w:t>, repurposed</w:t>
      </w:r>
      <w:r w:rsidR="00E722B8">
        <w:t xml:space="preserve"> or consolidated</w:t>
      </w:r>
      <w:r w:rsidR="0008012D">
        <w:t xml:space="preserve">. </w:t>
      </w:r>
      <w:r w:rsidR="00EF6403">
        <w:t xml:space="preserve">An analysis of the overall number of declared hospitals over the past five years has not revealed </w:t>
      </w:r>
      <w:r w:rsidR="00D058D4">
        <w:t xml:space="preserve">a material </w:t>
      </w:r>
      <w:r w:rsidR="00C03218">
        <w:t>change</w:t>
      </w:r>
      <w:r w:rsidR="00D058D4">
        <w:t xml:space="preserve"> in overall number or clear </w:t>
      </w:r>
      <w:r w:rsidR="004C6277">
        <w:t xml:space="preserve">growth trajectory. </w:t>
      </w:r>
      <w:r w:rsidR="00581D8F">
        <w:t xml:space="preserve">The current population (detailed above) has therefore been carried forward as the base population across the default ten-year period for the regulatory costing. </w:t>
      </w:r>
    </w:p>
    <w:p w14:paraId="1845DA92" w14:textId="0941CC29" w:rsidR="00FA39D9" w:rsidRDefault="00FA39D9" w:rsidP="00FA39D9">
      <w:pPr>
        <w:pStyle w:val="Heading5"/>
      </w:pPr>
      <w:r>
        <w:t>Impacted individuals</w:t>
      </w:r>
    </w:p>
    <w:p w14:paraId="06524227" w14:textId="2B9A74B7" w:rsidR="002D41F4" w:rsidRDefault="00D47CE8" w:rsidP="00AF5201">
      <w:r>
        <w:t xml:space="preserve">There are likely to be a </w:t>
      </w:r>
      <w:r w:rsidR="00C953C8">
        <w:t>range</w:t>
      </w:r>
      <w:r w:rsidR="00990894">
        <w:t xml:space="preserve"> </w:t>
      </w:r>
      <w:r w:rsidR="00F120A8">
        <w:t xml:space="preserve">of individuals </w:t>
      </w:r>
      <w:r w:rsidR="00873B52">
        <w:t>involved in the compilation</w:t>
      </w:r>
      <w:r w:rsidR="0022522B">
        <w:t xml:space="preserve">, review and submission of </w:t>
      </w:r>
      <w:r w:rsidR="00231CC1">
        <w:t>medical device adv</w:t>
      </w:r>
      <w:r w:rsidR="00D025D7">
        <w:t>erse event report.</w:t>
      </w:r>
      <w:r w:rsidR="00CC794F">
        <w:t xml:space="preserve"> </w:t>
      </w:r>
      <w:r w:rsidR="002F12DD">
        <w:t xml:space="preserve">Stakeholder consultations revealed that </w:t>
      </w:r>
      <w:r w:rsidR="00DC7A8A">
        <w:t xml:space="preserve">there is likely to </w:t>
      </w:r>
      <w:r w:rsidR="00AB733B">
        <w:t>be an internal revie</w:t>
      </w:r>
      <w:r w:rsidR="00255EAD">
        <w:t>w</w:t>
      </w:r>
      <w:r w:rsidR="00AB733B">
        <w:t xml:space="preserve"> process</w:t>
      </w:r>
      <w:r w:rsidR="00255EAD">
        <w:t xml:space="preserve">, cognisant of </w:t>
      </w:r>
      <w:r w:rsidR="00E47303">
        <w:t>potential legal liabilities,</w:t>
      </w:r>
      <w:r w:rsidR="00AB733B">
        <w:t xml:space="preserve"> </w:t>
      </w:r>
      <w:r w:rsidR="00A05E3B">
        <w:t xml:space="preserve">to determine whether </w:t>
      </w:r>
      <w:r w:rsidR="00C027FA">
        <w:t xml:space="preserve">the reported event </w:t>
      </w:r>
      <w:r w:rsidR="00D839B6">
        <w:t xml:space="preserve">arose from </w:t>
      </w:r>
      <w:r w:rsidR="00ED4F9D">
        <w:t xml:space="preserve">operator error as opposed to </w:t>
      </w:r>
      <w:r w:rsidR="000735CE">
        <w:t>medical device failure or malfunction</w:t>
      </w:r>
      <w:r w:rsidR="006F3950">
        <w:t xml:space="preserve">. </w:t>
      </w:r>
      <w:r w:rsidR="00A40315">
        <w:t xml:space="preserve">While it is assumed that once a mature state is reached for </w:t>
      </w:r>
      <w:r w:rsidR="00E67105">
        <w:t xml:space="preserve">adverse event reporting that a number of </w:t>
      </w:r>
      <w:r w:rsidR="00EC71D6">
        <w:t xml:space="preserve">data fields will be automatically </w:t>
      </w:r>
      <w:r w:rsidR="008072A0">
        <w:t xml:space="preserve">completed (likely pertaining to </w:t>
      </w:r>
      <w:r w:rsidR="00C10006">
        <w:t xml:space="preserve">address </w:t>
      </w:r>
      <w:r w:rsidR="00F60765">
        <w:t xml:space="preserve">and potentially personal </w:t>
      </w:r>
      <w:r w:rsidR="00C10006">
        <w:t>information</w:t>
      </w:r>
      <w:r w:rsidR="00F60765">
        <w:t>)</w:t>
      </w:r>
      <w:r w:rsidR="00975589">
        <w:t>.</w:t>
      </w:r>
      <w:r w:rsidR="00F60765">
        <w:rPr>
          <w:rStyle w:val="FootnoteReference"/>
        </w:rPr>
        <w:footnoteReference w:id="98"/>
      </w:r>
      <w:r w:rsidR="00975589">
        <w:t xml:space="preserve"> </w:t>
      </w:r>
      <w:r w:rsidR="00EB0308">
        <w:t xml:space="preserve">It is likely that an initial report will be raised by </w:t>
      </w:r>
      <w:r w:rsidR="00C15D53">
        <w:t>a health practitioner with th</w:t>
      </w:r>
      <w:r w:rsidR="00975589">
        <w:t xml:space="preserve">e submitted report being compiled by hospital administrative staff </w:t>
      </w:r>
      <w:r w:rsidR="007F77DD">
        <w:t>(such as a</w:t>
      </w:r>
      <w:r w:rsidR="00052A0D">
        <w:t>n</w:t>
      </w:r>
      <w:r w:rsidR="007F77DD">
        <w:t xml:space="preserve"> admissions clerk, </w:t>
      </w:r>
      <w:r w:rsidR="00052A0D">
        <w:t>procurement specialist etc.)</w:t>
      </w:r>
      <w:r w:rsidR="00052A0D">
        <w:rPr>
          <w:rStyle w:val="FootnoteReference"/>
        </w:rPr>
        <w:footnoteReference w:id="99"/>
      </w:r>
    </w:p>
    <w:p w14:paraId="1CC081C0" w14:textId="5F885757" w:rsidR="002D41F4" w:rsidRDefault="002D41F4" w:rsidP="00B37DCC">
      <w:pPr>
        <w:pStyle w:val="Caption"/>
        <w:keepNext/>
      </w:pPr>
      <w:r>
        <w:t>Figure 2</w:t>
      </w:r>
      <w:r w:rsidR="008056A1">
        <w:t>2</w:t>
      </w:r>
      <w:r>
        <w:t xml:space="preserve"> - </w:t>
      </w:r>
      <w:r w:rsidRPr="00BB6CEC">
        <w:t>Likely individuals compiling separate elements of the report</w:t>
      </w:r>
    </w:p>
    <w:p w14:paraId="3776D784" w14:textId="56FDE717" w:rsidR="00AF5201" w:rsidRPr="00AF5201" w:rsidRDefault="002D41F4" w:rsidP="00AF5201">
      <w:r>
        <w:rPr>
          <w:noProof/>
          <w:lang w:eastAsia="en-AU"/>
        </w:rPr>
        <w:drawing>
          <wp:anchor distT="0" distB="0" distL="114300" distR="114300" simplePos="0" relativeHeight="251661824" behindDoc="0" locked="0" layoutInCell="1" allowOverlap="1" wp14:anchorId="5674E0CB" wp14:editId="6704BC6B">
            <wp:simplePos x="0" y="0"/>
            <wp:positionH relativeFrom="column">
              <wp:posOffset>1324780</wp:posOffset>
            </wp:positionH>
            <wp:positionV relativeFrom="paragraph">
              <wp:posOffset>369001</wp:posOffset>
            </wp:positionV>
            <wp:extent cx="572494" cy="759038"/>
            <wp:effectExtent l="0" t="0" r="0" b="3175"/>
            <wp:wrapNone/>
            <wp:docPr id="1725396009" name="Picture 1725396009" descr="People icon set - different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set - different profession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72494" cy="759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201">
        <w:rPr>
          <w:noProof/>
          <w:lang w:eastAsia="en-AU"/>
        </w:rPr>
        <w:drawing>
          <wp:inline distT="0" distB="0" distL="0" distR="0" wp14:anchorId="7EB277C3" wp14:editId="4330FA78">
            <wp:extent cx="5731510" cy="367665"/>
            <wp:effectExtent l="0" t="0" r="2540" b="0"/>
            <wp:docPr id="2016951663" name="Picture 201695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51663" name=""/>
                    <pic:cNvPicPr/>
                  </pic:nvPicPr>
                  <pic:blipFill>
                    <a:blip r:embed="rId59"/>
                    <a:stretch>
                      <a:fillRect/>
                    </a:stretch>
                  </pic:blipFill>
                  <pic:spPr>
                    <a:xfrm>
                      <a:off x="0" y="0"/>
                      <a:ext cx="5731510" cy="367665"/>
                    </a:xfrm>
                    <a:prstGeom prst="rect">
                      <a:avLst/>
                    </a:prstGeom>
                  </pic:spPr>
                </pic:pic>
              </a:graphicData>
            </a:graphic>
          </wp:inline>
        </w:drawing>
      </w:r>
    </w:p>
    <w:p w14:paraId="0BA33068" w14:textId="6079D3F7" w:rsidR="000735CE" w:rsidRPr="00FA39D9" w:rsidRDefault="00E006E6" w:rsidP="00FA39D9">
      <w:r>
        <w:rPr>
          <w:noProof/>
          <w:lang w:eastAsia="en-AU"/>
        </w:rPr>
        <w:drawing>
          <wp:anchor distT="0" distB="0" distL="114300" distR="114300" simplePos="0" relativeHeight="251663872" behindDoc="0" locked="0" layoutInCell="1" allowOverlap="1" wp14:anchorId="5FD7BD10" wp14:editId="66ACABA5">
            <wp:simplePos x="0" y="0"/>
            <wp:positionH relativeFrom="margin">
              <wp:posOffset>4794885</wp:posOffset>
            </wp:positionH>
            <wp:positionV relativeFrom="paragraph">
              <wp:posOffset>-37465</wp:posOffset>
            </wp:positionV>
            <wp:extent cx="524786" cy="661384"/>
            <wp:effectExtent l="0" t="0" r="8890" b="5715"/>
            <wp:wrapNone/>
            <wp:docPr id="735710147" name="Picture 735710147" descr="People icon set - different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set - different profession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24786" cy="661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896" behindDoc="0" locked="0" layoutInCell="1" allowOverlap="1" wp14:anchorId="7D41646B" wp14:editId="0941CAE9">
            <wp:simplePos x="0" y="0"/>
            <wp:positionH relativeFrom="margin">
              <wp:posOffset>3610610</wp:posOffset>
            </wp:positionH>
            <wp:positionV relativeFrom="paragraph">
              <wp:posOffset>-37465</wp:posOffset>
            </wp:positionV>
            <wp:extent cx="524510" cy="661035"/>
            <wp:effectExtent l="0" t="0" r="8890" b="5715"/>
            <wp:wrapNone/>
            <wp:docPr id="80314502" name="Picture 80314502" descr="People icon set - different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set - different profession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24510"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944" behindDoc="0" locked="0" layoutInCell="1" allowOverlap="1" wp14:anchorId="0447AACE" wp14:editId="1B30C4B4">
            <wp:simplePos x="0" y="0"/>
            <wp:positionH relativeFrom="margin">
              <wp:posOffset>166370</wp:posOffset>
            </wp:positionH>
            <wp:positionV relativeFrom="paragraph">
              <wp:posOffset>-38735</wp:posOffset>
            </wp:positionV>
            <wp:extent cx="524786" cy="661384"/>
            <wp:effectExtent l="0" t="0" r="8890" b="5715"/>
            <wp:wrapNone/>
            <wp:docPr id="746363370" name="Picture 746363370" descr="People icon set - different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set - different profession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27272" cy="664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EAF">
        <w:rPr>
          <w:noProof/>
          <w:lang w:eastAsia="en-AU"/>
        </w:rPr>
        <w:drawing>
          <wp:anchor distT="0" distB="0" distL="114300" distR="114300" simplePos="0" relativeHeight="251668992" behindDoc="0" locked="0" layoutInCell="1" allowOverlap="1" wp14:anchorId="062611B2" wp14:editId="7134A0CB">
            <wp:simplePos x="0" y="0"/>
            <wp:positionH relativeFrom="column">
              <wp:posOffset>2481580</wp:posOffset>
            </wp:positionH>
            <wp:positionV relativeFrom="paragraph">
              <wp:posOffset>-37465</wp:posOffset>
            </wp:positionV>
            <wp:extent cx="572494" cy="759038"/>
            <wp:effectExtent l="0" t="0" r="0" b="3175"/>
            <wp:wrapNone/>
            <wp:docPr id="1159051603" name="Picture 1159051603" descr="People icon set - different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set - different profession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72494" cy="759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5B51B" w14:textId="5E7814BE" w:rsidR="00AE798C" w:rsidRDefault="00AE798C" w:rsidP="00B342D0"/>
    <w:p w14:paraId="303C6AE8" w14:textId="2F14A007" w:rsidR="00587FA5" w:rsidRDefault="00E006E6" w:rsidP="00B342D0">
      <w:r>
        <w:rPr>
          <w:noProof/>
          <w:lang w:eastAsia="en-AU"/>
        </w:rPr>
        <mc:AlternateContent>
          <mc:Choice Requires="wps">
            <w:drawing>
              <wp:anchor distT="0" distB="0" distL="114300" distR="114300" simplePos="0" relativeHeight="251647488" behindDoc="0" locked="0" layoutInCell="1" allowOverlap="1" wp14:anchorId="1C241144" wp14:editId="2584AB99">
                <wp:simplePos x="0" y="0"/>
                <wp:positionH relativeFrom="margin">
                  <wp:posOffset>0</wp:posOffset>
                </wp:positionH>
                <wp:positionV relativeFrom="paragraph">
                  <wp:posOffset>177165</wp:posOffset>
                </wp:positionV>
                <wp:extent cx="946150" cy="341630"/>
                <wp:effectExtent l="0" t="0" r="6350" b="1270"/>
                <wp:wrapNone/>
                <wp:docPr id="1894799120" name="Text Box 1894799120"/>
                <wp:cNvGraphicFramePr/>
                <a:graphic xmlns:a="http://schemas.openxmlformats.org/drawingml/2006/main">
                  <a:graphicData uri="http://schemas.microsoft.com/office/word/2010/wordprocessingShape">
                    <wps:wsp>
                      <wps:cNvSpPr txBox="1"/>
                      <wps:spPr>
                        <a:xfrm>
                          <a:off x="0" y="0"/>
                          <a:ext cx="946150" cy="341630"/>
                        </a:xfrm>
                        <a:prstGeom prst="rect">
                          <a:avLst/>
                        </a:prstGeom>
                        <a:solidFill>
                          <a:schemeClr val="lt1"/>
                        </a:solidFill>
                        <a:ln w="6350">
                          <a:noFill/>
                        </a:ln>
                      </wps:spPr>
                      <wps:txbx>
                        <w:txbxContent>
                          <w:p w14:paraId="5B5915C1" w14:textId="13DF5D2D" w:rsidR="008461AF" w:rsidRPr="00846E71" w:rsidRDefault="008461AF" w:rsidP="00846E71">
                            <w:pPr>
                              <w:rPr>
                                <w:sz w:val="16"/>
                                <w:szCs w:val="16"/>
                                <w:lang w:val="en-US"/>
                              </w:rPr>
                            </w:pPr>
                            <w:r w:rsidRPr="00846E71">
                              <w:rPr>
                                <w:sz w:val="16"/>
                                <w:szCs w:val="16"/>
                                <w:lang w:val="en-US"/>
                              </w:rPr>
                              <w:t>Administrative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41144" id="Text Box 1894799120" o:spid="_x0000_s1046" type="#_x0000_t202" style="position:absolute;margin-left:0;margin-top:13.95pt;width:74.5pt;height:26.9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" fillcolor="white [3201]" stroked="f" strokeweight=".5pt">
                <v:textbox>
                  <w:txbxContent>
                    <w:p w14:paraId="5B5915C1" w14:textId="13DF5D2D" w:rsidR="008461AF" w:rsidRPr="00846E71" w:rsidRDefault="008461AF" w:rsidP="00846E71">
                      <w:pPr>
                        <w:rPr>
                          <w:sz w:val="16"/>
                          <w:szCs w:val="16"/>
                          <w:lang w:val="en-US"/>
                        </w:rPr>
                      </w:pPr>
                      <w:r w:rsidRPr="00846E71">
                        <w:rPr>
                          <w:sz w:val="16"/>
                          <w:szCs w:val="16"/>
                          <w:lang w:val="en-US"/>
                        </w:rPr>
                        <w:t>Administrative staff</w:t>
                      </w:r>
                    </w:p>
                  </w:txbxContent>
                </v:textbox>
                <w10:wrap anchorx="margin"/>
              </v:shape>
            </w:pict>
          </mc:Fallback>
        </mc:AlternateContent>
      </w:r>
      <w:r>
        <w:rPr>
          <w:noProof/>
          <w:lang w:eastAsia="en-AU"/>
        </w:rPr>
        <mc:AlternateContent>
          <mc:Choice Requires="wps">
            <w:drawing>
              <wp:anchor distT="0" distB="0" distL="114300" distR="114300" simplePos="0" relativeHeight="251651584" behindDoc="0" locked="0" layoutInCell="1" allowOverlap="1" wp14:anchorId="11AD1D15" wp14:editId="7DDEFAAC">
                <wp:simplePos x="0" y="0"/>
                <wp:positionH relativeFrom="margin">
                  <wp:posOffset>4643755</wp:posOffset>
                </wp:positionH>
                <wp:positionV relativeFrom="paragraph">
                  <wp:posOffset>179070</wp:posOffset>
                </wp:positionV>
                <wp:extent cx="946150" cy="341630"/>
                <wp:effectExtent l="0" t="0" r="6350" b="1270"/>
                <wp:wrapNone/>
                <wp:docPr id="1788000274" name="Text Box 1788000274"/>
                <wp:cNvGraphicFramePr/>
                <a:graphic xmlns:a="http://schemas.openxmlformats.org/drawingml/2006/main">
                  <a:graphicData uri="http://schemas.microsoft.com/office/word/2010/wordprocessingShape">
                    <wps:wsp>
                      <wps:cNvSpPr txBox="1"/>
                      <wps:spPr>
                        <a:xfrm>
                          <a:off x="0" y="0"/>
                          <a:ext cx="946150" cy="341630"/>
                        </a:xfrm>
                        <a:prstGeom prst="rect">
                          <a:avLst/>
                        </a:prstGeom>
                        <a:solidFill>
                          <a:schemeClr val="lt1"/>
                        </a:solidFill>
                        <a:ln w="6350">
                          <a:noFill/>
                        </a:ln>
                      </wps:spPr>
                      <wps:txbx>
                        <w:txbxContent>
                          <w:p w14:paraId="0764953C" w14:textId="77777777" w:rsidR="008461AF" w:rsidRPr="00846E71" w:rsidRDefault="008461AF" w:rsidP="00846E71">
                            <w:pPr>
                              <w:rPr>
                                <w:sz w:val="16"/>
                                <w:szCs w:val="16"/>
                                <w:lang w:val="en-US"/>
                              </w:rPr>
                            </w:pPr>
                            <w:r w:rsidRPr="00846E71">
                              <w:rPr>
                                <w:sz w:val="16"/>
                                <w:szCs w:val="16"/>
                                <w:lang w:val="en-US"/>
                              </w:rPr>
                              <w:t>Administrative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1D15" id="Text Box 1788000274" o:spid="_x0000_s1047" type="#_x0000_t202" style="position:absolute;margin-left:365.65pt;margin-top:14.1pt;width:74.5pt;height:26.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" fillcolor="white [3201]" stroked="f" strokeweight=".5pt">
                <v:textbox>
                  <w:txbxContent>
                    <w:p w14:paraId="0764953C" w14:textId="77777777" w:rsidR="008461AF" w:rsidRPr="00846E71" w:rsidRDefault="008461AF" w:rsidP="00846E71">
                      <w:pPr>
                        <w:rPr>
                          <w:sz w:val="16"/>
                          <w:szCs w:val="16"/>
                          <w:lang w:val="en-US"/>
                        </w:rPr>
                      </w:pPr>
                      <w:r w:rsidRPr="00846E71">
                        <w:rPr>
                          <w:sz w:val="16"/>
                          <w:szCs w:val="16"/>
                          <w:lang w:val="en-US"/>
                        </w:rPr>
                        <w:t>Administrative staff</w:t>
                      </w:r>
                    </w:p>
                  </w:txbxContent>
                </v:textbox>
                <w10:wrap anchorx="margin"/>
              </v:shape>
            </w:pict>
          </mc:Fallback>
        </mc:AlternateContent>
      </w:r>
      <w:r>
        <w:rPr>
          <w:noProof/>
          <w:lang w:eastAsia="en-AU"/>
        </w:rPr>
        <mc:AlternateContent>
          <mc:Choice Requires="wps">
            <w:drawing>
              <wp:anchor distT="0" distB="0" distL="114300" distR="114300" simplePos="0" relativeHeight="251649536" behindDoc="0" locked="0" layoutInCell="1" allowOverlap="1" wp14:anchorId="039DF2DB" wp14:editId="3E94A282">
                <wp:simplePos x="0" y="0"/>
                <wp:positionH relativeFrom="margin">
                  <wp:posOffset>3547110</wp:posOffset>
                </wp:positionH>
                <wp:positionV relativeFrom="paragraph">
                  <wp:posOffset>177800</wp:posOffset>
                </wp:positionV>
                <wp:extent cx="946150" cy="341630"/>
                <wp:effectExtent l="0" t="0" r="6350" b="1270"/>
                <wp:wrapNone/>
                <wp:docPr id="760192331" name="Text Box 760192331"/>
                <wp:cNvGraphicFramePr/>
                <a:graphic xmlns:a="http://schemas.openxmlformats.org/drawingml/2006/main">
                  <a:graphicData uri="http://schemas.microsoft.com/office/word/2010/wordprocessingShape">
                    <wps:wsp>
                      <wps:cNvSpPr txBox="1"/>
                      <wps:spPr>
                        <a:xfrm>
                          <a:off x="0" y="0"/>
                          <a:ext cx="946150" cy="341630"/>
                        </a:xfrm>
                        <a:prstGeom prst="rect">
                          <a:avLst/>
                        </a:prstGeom>
                        <a:solidFill>
                          <a:schemeClr val="lt1"/>
                        </a:solidFill>
                        <a:ln w="6350">
                          <a:noFill/>
                        </a:ln>
                      </wps:spPr>
                      <wps:txbx>
                        <w:txbxContent>
                          <w:p w14:paraId="27AA921B" w14:textId="77777777" w:rsidR="008461AF" w:rsidRPr="00846E71" w:rsidRDefault="008461AF" w:rsidP="00846E71">
                            <w:pPr>
                              <w:rPr>
                                <w:sz w:val="16"/>
                                <w:szCs w:val="16"/>
                                <w:lang w:val="en-US"/>
                              </w:rPr>
                            </w:pPr>
                            <w:r w:rsidRPr="00846E71">
                              <w:rPr>
                                <w:sz w:val="16"/>
                                <w:szCs w:val="16"/>
                                <w:lang w:val="en-US"/>
                              </w:rPr>
                              <w:t>Administrative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F2DB" id="Text Box 760192331" o:spid="_x0000_s1048" type="#_x0000_t202" style="position:absolute;margin-left:279.3pt;margin-top:14pt;width:74.5pt;height:26.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" fillcolor="white [3201]" stroked="f" strokeweight=".5pt">
                <v:textbox>
                  <w:txbxContent>
                    <w:p w14:paraId="27AA921B" w14:textId="77777777" w:rsidR="008461AF" w:rsidRPr="00846E71" w:rsidRDefault="008461AF" w:rsidP="00846E71">
                      <w:pPr>
                        <w:rPr>
                          <w:sz w:val="16"/>
                          <w:szCs w:val="16"/>
                          <w:lang w:val="en-US"/>
                        </w:rPr>
                      </w:pPr>
                      <w:r w:rsidRPr="00846E71">
                        <w:rPr>
                          <w:sz w:val="16"/>
                          <w:szCs w:val="16"/>
                          <w:lang w:val="en-US"/>
                        </w:rPr>
                        <w:t>Administrative staff</w:t>
                      </w:r>
                    </w:p>
                  </w:txbxContent>
                </v:textbox>
                <w10:wrap anchorx="margin"/>
              </v:shape>
            </w:pict>
          </mc:Fallback>
        </mc:AlternateContent>
      </w:r>
      <w:r>
        <w:rPr>
          <w:noProof/>
          <w:lang w:eastAsia="en-AU"/>
        </w:rPr>
        <mc:AlternateContent>
          <mc:Choice Requires="wps">
            <w:drawing>
              <wp:anchor distT="0" distB="0" distL="114300" distR="114300" simplePos="0" relativeHeight="251652608" behindDoc="0" locked="0" layoutInCell="1" allowOverlap="1" wp14:anchorId="02DDA69A" wp14:editId="6E439E87">
                <wp:simplePos x="0" y="0"/>
                <wp:positionH relativeFrom="margin">
                  <wp:posOffset>1304925</wp:posOffset>
                </wp:positionH>
                <wp:positionV relativeFrom="paragraph">
                  <wp:posOffset>178435</wp:posOffset>
                </wp:positionV>
                <wp:extent cx="946150" cy="341630"/>
                <wp:effectExtent l="0" t="0" r="6350" b="1270"/>
                <wp:wrapNone/>
                <wp:docPr id="510401756" name="Text Box 510401756"/>
                <wp:cNvGraphicFramePr/>
                <a:graphic xmlns:a="http://schemas.openxmlformats.org/drawingml/2006/main">
                  <a:graphicData uri="http://schemas.microsoft.com/office/word/2010/wordprocessingShape">
                    <wps:wsp>
                      <wps:cNvSpPr txBox="1"/>
                      <wps:spPr>
                        <a:xfrm>
                          <a:off x="0" y="0"/>
                          <a:ext cx="946150" cy="341630"/>
                        </a:xfrm>
                        <a:prstGeom prst="rect">
                          <a:avLst/>
                        </a:prstGeom>
                        <a:solidFill>
                          <a:schemeClr val="lt1"/>
                        </a:solidFill>
                        <a:ln w="6350">
                          <a:noFill/>
                        </a:ln>
                      </wps:spPr>
                      <wps:txbx>
                        <w:txbxContent>
                          <w:p w14:paraId="431A68C1" w14:textId="0A032172" w:rsidR="008461AF" w:rsidRPr="00846E71" w:rsidRDefault="008461AF" w:rsidP="00846E71">
                            <w:pPr>
                              <w:rPr>
                                <w:sz w:val="16"/>
                                <w:szCs w:val="16"/>
                                <w:lang w:val="en-US"/>
                              </w:rPr>
                            </w:pPr>
                            <w:r>
                              <w:rPr>
                                <w:sz w:val="16"/>
                                <w:szCs w:val="16"/>
                                <w:lang w:val="en-US"/>
                              </w:rPr>
                              <w:t>Health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A69A" id="Text Box 510401756" o:spid="_x0000_s1049" type="#_x0000_t202" style="position:absolute;margin-left:102.75pt;margin-top:14.05pt;width:74.5pt;height:26.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" fillcolor="white [3201]" stroked="f" strokeweight=".5pt">
                <v:textbox>
                  <w:txbxContent>
                    <w:p w14:paraId="431A68C1" w14:textId="0A032172" w:rsidR="008461AF" w:rsidRPr="00846E71" w:rsidRDefault="008461AF" w:rsidP="00846E71">
                      <w:pPr>
                        <w:rPr>
                          <w:sz w:val="16"/>
                          <w:szCs w:val="16"/>
                          <w:lang w:val="en-US"/>
                        </w:rPr>
                      </w:pPr>
                      <w:r>
                        <w:rPr>
                          <w:sz w:val="16"/>
                          <w:szCs w:val="16"/>
                          <w:lang w:val="en-US"/>
                        </w:rPr>
                        <w:t>Health practitioner</w:t>
                      </w:r>
                    </w:p>
                  </w:txbxContent>
                </v:textbox>
                <w10:wrap anchorx="margin"/>
              </v:shape>
            </w:pict>
          </mc:Fallback>
        </mc:AlternateContent>
      </w:r>
      <w:r>
        <w:rPr>
          <w:noProof/>
          <w:lang w:eastAsia="en-AU"/>
        </w:rPr>
        <mc:AlternateContent>
          <mc:Choice Requires="wps">
            <w:drawing>
              <wp:anchor distT="0" distB="0" distL="114300" distR="114300" simplePos="0" relativeHeight="251654656" behindDoc="0" locked="0" layoutInCell="1" allowOverlap="1" wp14:anchorId="0A8EFD9C" wp14:editId="4568827B">
                <wp:simplePos x="0" y="0"/>
                <wp:positionH relativeFrom="margin">
                  <wp:posOffset>2457450</wp:posOffset>
                </wp:positionH>
                <wp:positionV relativeFrom="paragraph">
                  <wp:posOffset>178766</wp:posOffset>
                </wp:positionV>
                <wp:extent cx="946150" cy="341630"/>
                <wp:effectExtent l="0" t="0" r="6350" b="1270"/>
                <wp:wrapNone/>
                <wp:docPr id="2125967577" name="Text Box 2125967577"/>
                <wp:cNvGraphicFramePr/>
                <a:graphic xmlns:a="http://schemas.openxmlformats.org/drawingml/2006/main">
                  <a:graphicData uri="http://schemas.microsoft.com/office/word/2010/wordprocessingShape">
                    <wps:wsp>
                      <wps:cNvSpPr txBox="1"/>
                      <wps:spPr>
                        <a:xfrm>
                          <a:off x="0" y="0"/>
                          <a:ext cx="946150" cy="341630"/>
                        </a:xfrm>
                        <a:prstGeom prst="rect">
                          <a:avLst/>
                        </a:prstGeom>
                        <a:solidFill>
                          <a:schemeClr val="lt1"/>
                        </a:solidFill>
                        <a:ln w="6350">
                          <a:noFill/>
                        </a:ln>
                      </wps:spPr>
                      <wps:txbx>
                        <w:txbxContent>
                          <w:p w14:paraId="6D35DD07" w14:textId="77777777" w:rsidR="008461AF" w:rsidRPr="00846E71" w:rsidRDefault="008461AF" w:rsidP="00E47C80">
                            <w:pPr>
                              <w:rPr>
                                <w:sz w:val="16"/>
                                <w:szCs w:val="16"/>
                                <w:lang w:val="en-US"/>
                              </w:rPr>
                            </w:pPr>
                            <w:r>
                              <w:rPr>
                                <w:sz w:val="16"/>
                                <w:szCs w:val="16"/>
                                <w:lang w:val="en-US"/>
                              </w:rPr>
                              <w:t>Health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EFD9C" id="Text Box 2125967577" o:spid="_x0000_s1050" type="#_x0000_t202" style="position:absolute;margin-left:193.5pt;margin-top:14.1pt;width:74.5pt;height:26.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" fillcolor="white [3201]" stroked="f" strokeweight=".5pt">
                <v:textbox>
                  <w:txbxContent>
                    <w:p w14:paraId="6D35DD07" w14:textId="77777777" w:rsidR="008461AF" w:rsidRPr="00846E71" w:rsidRDefault="008461AF" w:rsidP="00E47C80">
                      <w:pPr>
                        <w:rPr>
                          <w:sz w:val="16"/>
                          <w:szCs w:val="16"/>
                          <w:lang w:val="en-US"/>
                        </w:rPr>
                      </w:pPr>
                      <w:r>
                        <w:rPr>
                          <w:sz w:val="16"/>
                          <w:szCs w:val="16"/>
                          <w:lang w:val="en-US"/>
                        </w:rPr>
                        <w:t>Health practitioner</w:t>
                      </w:r>
                    </w:p>
                  </w:txbxContent>
                </v:textbox>
                <w10:wrap anchorx="margin"/>
              </v:shape>
            </w:pict>
          </mc:Fallback>
        </mc:AlternateContent>
      </w:r>
    </w:p>
    <w:p w14:paraId="1BC27F9A" w14:textId="1EFB0FBB" w:rsidR="00587FA5" w:rsidRDefault="00587FA5" w:rsidP="00B342D0"/>
    <w:p w14:paraId="2E815123" w14:textId="4B34931C" w:rsidR="00942A65" w:rsidRDefault="00942A65" w:rsidP="00B342D0"/>
    <w:p w14:paraId="3BA156E0" w14:textId="355F29C9" w:rsidR="00CE7DC4" w:rsidRDefault="00E82B46" w:rsidP="0079175B">
      <w:r>
        <w:t>The envisaged process flow is detailed in the figure below.</w:t>
      </w:r>
      <w:r w:rsidR="00D516C8">
        <w:t xml:space="preserve"> Jurisdictional </w:t>
      </w:r>
      <w:r w:rsidR="0000793E">
        <w:t>heath department</w:t>
      </w:r>
      <w:r w:rsidR="00B81365">
        <w:t>s</w:t>
      </w:r>
      <w:r w:rsidR="0000793E">
        <w:t xml:space="preserve"> normally require notification of serious adverse events within two days of becoming aware that an event has occurred. </w:t>
      </w:r>
      <w:r w:rsidR="00483F36">
        <w:t>This is n</w:t>
      </w:r>
      <w:r w:rsidR="008D3611">
        <w:t>ot the case for near misses</w:t>
      </w:r>
      <w:r w:rsidR="00483F36">
        <w:t>, and thus</w:t>
      </w:r>
      <w:r w:rsidR="00B33CD2">
        <w:t xml:space="preserve"> </w:t>
      </w:r>
      <w:r w:rsidR="001D160C">
        <w:t xml:space="preserve">a </w:t>
      </w:r>
      <w:r w:rsidR="00C21187">
        <w:t xml:space="preserve">local level investigation </w:t>
      </w:r>
      <w:r w:rsidR="00C231D0">
        <w:t xml:space="preserve">may be necessary to ensure the appropriate balance between quick </w:t>
      </w:r>
      <w:r w:rsidR="00863A3D">
        <w:t>information versus good information</w:t>
      </w:r>
      <w:r w:rsidR="00E8587A">
        <w:t xml:space="preserve">, specifically to determine causality </w:t>
      </w:r>
      <w:r w:rsidR="00DB169D">
        <w:t xml:space="preserve">except in the rare instances </w:t>
      </w:r>
      <w:r w:rsidR="006E6146">
        <w:t xml:space="preserve">where it was clearly evident </w:t>
      </w:r>
      <w:r w:rsidR="00D5089A">
        <w:t>that de</w:t>
      </w:r>
      <w:r w:rsidR="00DD6F6E">
        <w:t xml:space="preserve">vice was associated with serious harm. </w:t>
      </w:r>
      <w:r w:rsidR="00FF1F0A">
        <w:t xml:space="preserve">As such, it is proposed that stratified reporting be implemented (i.e., quicker for death and serious harm and slower for near misses which are more complicated and require further time for investigation of causation). </w:t>
      </w:r>
      <w:r w:rsidR="001D160C">
        <w:t>This is to alleviate c</w:t>
      </w:r>
      <w:r w:rsidR="00BD4955">
        <w:t>oncerns</w:t>
      </w:r>
      <w:r w:rsidR="001D160C">
        <w:t xml:space="preserve"> raised in consultation</w:t>
      </w:r>
      <w:r w:rsidR="00BD4955">
        <w:t xml:space="preserve"> </w:t>
      </w:r>
      <w:r w:rsidR="000F4326">
        <w:t xml:space="preserve">regarding </w:t>
      </w:r>
      <w:r w:rsidR="001560E6">
        <w:t xml:space="preserve">the potential </w:t>
      </w:r>
      <w:r w:rsidR="00FF1F0A">
        <w:t xml:space="preserve">legal and reputational </w:t>
      </w:r>
      <w:r w:rsidR="001560E6">
        <w:t>impact</w:t>
      </w:r>
      <w:r w:rsidR="00FF1F0A">
        <w:t>s</w:t>
      </w:r>
      <w:r w:rsidR="001560E6">
        <w:t xml:space="preserve"> </w:t>
      </w:r>
      <w:r w:rsidR="000F4326">
        <w:t xml:space="preserve">if </w:t>
      </w:r>
      <w:r w:rsidR="00FF1F0A">
        <w:t xml:space="preserve">a healthcare facility were to report </w:t>
      </w:r>
      <w:r w:rsidR="000F4326">
        <w:t>early</w:t>
      </w:r>
      <w:r w:rsidR="00FF1F0A">
        <w:t xml:space="preserve"> only to find through further investigation to be</w:t>
      </w:r>
      <w:r w:rsidR="000F4326">
        <w:t xml:space="preserve"> user error.</w:t>
      </w:r>
      <w:r w:rsidR="00F83C4F">
        <w:t xml:space="preserve"> </w:t>
      </w:r>
    </w:p>
    <w:p w14:paraId="50BB91A9" w14:textId="1E4DFEDF" w:rsidR="002D41F4" w:rsidRDefault="00CE7DC4" w:rsidP="0079175B">
      <w:r>
        <w:rPr>
          <w:noProof/>
          <w:lang w:eastAsia="en-AU"/>
        </w:rPr>
        <mc:AlternateContent>
          <mc:Choice Requires="wps">
            <w:drawing>
              <wp:anchor distT="0" distB="0" distL="114300" distR="114300" simplePos="0" relativeHeight="251632128" behindDoc="0" locked="0" layoutInCell="1" allowOverlap="1" wp14:anchorId="2DDC5BC1" wp14:editId="5857D72B">
                <wp:simplePos x="0" y="0"/>
                <wp:positionH relativeFrom="margin">
                  <wp:align>left</wp:align>
                </wp:positionH>
                <wp:positionV relativeFrom="paragraph">
                  <wp:posOffset>37465</wp:posOffset>
                </wp:positionV>
                <wp:extent cx="4645660" cy="457200"/>
                <wp:effectExtent l="0" t="0" r="2540" b="0"/>
                <wp:wrapNone/>
                <wp:docPr id="1957207276" name="Text Box 1"/>
                <wp:cNvGraphicFramePr/>
                <a:graphic xmlns:a="http://schemas.openxmlformats.org/drawingml/2006/main">
                  <a:graphicData uri="http://schemas.microsoft.com/office/word/2010/wordprocessingShape">
                    <wps:wsp>
                      <wps:cNvSpPr txBox="1"/>
                      <wps:spPr>
                        <a:xfrm>
                          <a:off x="0" y="0"/>
                          <a:ext cx="4645660" cy="457200"/>
                        </a:xfrm>
                        <a:prstGeom prst="rect">
                          <a:avLst/>
                        </a:prstGeom>
                        <a:solidFill>
                          <a:prstClr val="white"/>
                        </a:solidFill>
                        <a:ln>
                          <a:noFill/>
                        </a:ln>
                      </wps:spPr>
                      <wps:txbx>
                        <w:txbxContent>
                          <w:p w14:paraId="565EC91A" w14:textId="273643C5" w:rsidR="008461AF" w:rsidRPr="00E03487" w:rsidRDefault="008461AF" w:rsidP="00B37DCC">
                            <w:pPr>
                              <w:pStyle w:val="Caption"/>
                              <w:rPr>
                                <w:noProof/>
                              </w:rPr>
                            </w:pPr>
                            <w:r>
                              <w:t>Figure 2</w:t>
                            </w:r>
                            <w:r w:rsidR="008056A1">
                              <w:t>3</w:t>
                            </w:r>
                            <w:r>
                              <w:t xml:space="preserve"> - </w:t>
                            </w:r>
                            <w:r w:rsidRPr="00305757">
                              <w:t>Medical device adverse event reporting process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DC5BC1" id="_x0000_s1051" type="#_x0000_t202" style="position:absolute;margin-left:0;margin-top:2.95pt;width:365.8pt;height:36pt;z-index:2516321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" stroked="f">
                <v:textbox inset="0,0,0,0">
                  <w:txbxContent>
                    <w:p w14:paraId="565EC91A" w14:textId="273643C5" w:rsidR="008461AF" w:rsidRPr="00E03487" w:rsidRDefault="008461AF" w:rsidP="00B37DCC">
                      <w:pPr>
                        <w:pStyle w:val="Caption"/>
                        <w:rPr>
                          <w:noProof/>
                        </w:rPr>
                      </w:pPr>
                      <w:r>
                        <w:t>Figure 2</w:t>
                      </w:r>
                      <w:r w:rsidR="008056A1">
                        <w:t>3</w:t>
                      </w:r>
                      <w:r>
                        <w:t xml:space="preserve"> - </w:t>
                      </w:r>
                      <w:r w:rsidRPr="00305757">
                        <w:t>Medical device adverse event reporting process flow</w:t>
                      </w:r>
                    </w:p>
                  </w:txbxContent>
                </v:textbox>
                <w10:wrap anchorx="margin"/>
              </v:shape>
            </w:pict>
          </mc:Fallback>
        </mc:AlternateContent>
      </w:r>
    </w:p>
    <w:p w14:paraId="11BEAC1F" w14:textId="4E9DFF0A" w:rsidR="00CA3ACC" w:rsidRPr="00CA3ACC" w:rsidRDefault="002D41F4" w:rsidP="00CA3ACC">
      <w:r>
        <w:rPr>
          <w:noProof/>
          <w:lang w:eastAsia="en-AU"/>
        </w:rPr>
        <mc:AlternateContent>
          <mc:Choice Requires="wpg">
            <w:drawing>
              <wp:anchor distT="0" distB="0" distL="114300" distR="114300" simplePos="0" relativeHeight="251672064" behindDoc="0" locked="0" layoutInCell="1" allowOverlap="1" wp14:anchorId="3E554484" wp14:editId="3837110D">
                <wp:simplePos x="0" y="0"/>
                <wp:positionH relativeFrom="column">
                  <wp:posOffset>0</wp:posOffset>
                </wp:positionH>
                <wp:positionV relativeFrom="paragraph">
                  <wp:posOffset>-3583</wp:posOffset>
                </wp:positionV>
                <wp:extent cx="4645660" cy="762408"/>
                <wp:effectExtent l="0" t="0" r="2540" b="0"/>
                <wp:wrapNone/>
                <wp:docPr id="1141217829" name="Group 6"/>
                <wp:cNvGraphicFramePr/>
                <a:graphic xmlns:a="http://schemas.openxmlformats.org/drawingml/2006/main">
                  <a:graphicData uri="http://schemas.microsoft.com/office/word/2010/wordprocessingGroup">
                    <wpg:wgp>
                      <wpg:cNvGrpSpPr/>
                      <wpg:grpSpPr>
                        <a:xfrm>
                          <a:off x="0" y="0"/>
                          <a:ext cx="4645660" cy="762408"/>
                          <a:chOff x="0" y="0"/>
                          <a:chExt cx="4645660" cy="762408"/>
                        </a:xfrm>
                      </wpg:grpSpPr>
                      <wps:wsp>
                        <wps:cNvPr id="1882878740" name="Arrow: Right 1882878740"/>
                        <wps:cNvSpPr/>
                        <wps:spPr>
                          <a:xfrm>
                            <a:off x="716507" y="367068"/>
                            <a:ext cx="445273" cy="2067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64498" name="Arrow: Right 400064498"/>
                        <wps:cNvSpPr/>
                        <wps:spPr>
                          <a:xfrm>
                            <a:off x="2053988" y="387540"/>
                            <a:ext cx="445135" cy="2063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054259" name="Arrow: Right 868054259"/>
                        <wps:cNvSpPr/>
                        <wps:spPr>
                          <a:xfrm>
                            <a:off x="3500651" y="414836"/>
                            <a:ext cx="445135" cy="2063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734286" name="Picture 1201734286" descr="People icon set - different professions."/>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2715904" y="75063"/>
                            <a:ext cx="52451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4135656" name="Picture 464135656" descr="People icon set - different professions."/>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4114800" y="197893"/>
                            <a:ext cx="530860" cy="56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1571239" name="Picture 691571239" descr="People icon set - different professions."/>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1296537" y="109183"/>
                            <a:ext cx="532130" cy="582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2465780" name="Picture 422465780" descr="People icon set - different professions."/>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72135" cy="758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E61CE1" id="Group 6" o:spid="_x0000_s1026" style="position:absolute;margin-left:0;margin-top:-.3pt;width:365.8pt;height:60.05pt;z-index:251672064" coordsize="46456,7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82878740" o:spid="_x0000_s1027" type="#_x0000_t13" style="position:absolute;left:7165;top:3670;width:4452;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" adj="16586" fillcolor="#156082 [3204]" strokecolor="#030e13 [484]" strokeweight="1.52778mm">
                  <v:stroke linestyle="thickThin"/>
                </v:shape>
                <v:shape id="Arrow: Right 400064498" o:spid="_x0000_s1028" type="#_x0000_t13" style="position:absolute;left:20539;top:3875;width:4452;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" adj="16593" fillcolor="#156082 [3204]" strokecolor="#030e13 [484]" strokeweight="1.52778mm">
                  <v:stroke linestyle="thickThin"/>
                </v:shape>
                <v:shape id="Arrow: Right 868054259" o:spid="_x0000_s1029" type="#_x0000_t13" style="position:absolute;left:35006;top:4148;width:4451;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" adj="16593" fillcolor="#156082 [3204]" strokecolor="#030e13 [484]" strokeweight="1.52778mm">
                  <v:stroke linestyle="thickThin"/>
                </v:shape>
                <v:shape id="Picture 1201734286" o:spid="_x0000_s1030" type="#_x0000_t75" alt="People icon set - different professions." style="position:absolute;left:27159;top:750;width:5245;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">
                  <v:imagedata r:id="rId63" o:title="People icon set - different professions" cropbottom="55647f" cropleft="34188f" cropright="22619f"/>
                </v:shape>
                <v:shape id="Picture 464135656" o:spid="_x0000_s1031" type="#_x0000_t75" alt="People icon set - different professions." style="position:absolute;left:41148;top:1978;width:5308;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">
                  <v:imagedata r:id="rId63" o:title="People icon set - different professions" cropbottom="55892f" cropleft="10823f" cropright="44623f"/>
                </v:shape>
                <v:shape id="Picture 691571239" o:spid="_x0000_s1032" type="#_x0000_t75" alt="People icon set - different professions." style="position:absolute;left:12965;top:1091;width:5321;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">
                  <v:imagedata r:id="rId63" o:title="People icon set - different professions" croptop="33611f" cropbottom="22711f" cropright="56171f"/>
                </v:shape>
                <v:shape id="Picture 422465780" o:spid="_x0000_s1033" type="#_x0000_t75" alt="People icon set - different professions." style="position:absolute;width:5721;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">
                  <v:imagedata r:id="rId63" o:title="People icon set - different professions" cropbottom="54911f" cropleft="45573f" cropright="11049f"/>
                </v:shape>
              </v:group>
            </w:pict>
          </mc:Fallback>
        </mc:AlternateContent>
      </w:r>
    </w:p>
    <w:p w14:paraId="6716A619" w14:textId="39439D99" w:rsidR="00E82B46" w:rsidRPr="00E82B46" w:rsidRDefault="00E82B46" w:rsidP="00E82B46"/>
    <w:p w14:paraId="4D569C95" w14:textId="60197087" w:rsidR="00E82B46" w:rsidRDefault="0054205F" w:rsidP="00B342D0">
      <w:r>
        <w:rPr>
          <w:noProof/>
          <w:lang w:eastAsia="en-AU"/>
        </w:rPr>
        <mc:AlternateContent>
          <mc:Choice Requires="wps">
            <w:drawing>
              <wp:anchor distT="0" distB="0" distL="114300" distR="114300" simplePos="0" relativeHeight="251655680" behindDoc="0" locked="0" layoutInCell="1" allowOverlap="1" wp14:anchorId="2D925DE9" wp14:editId="5562709D">
                <wp:simplePos x="0" y="0"/>
                <wp:positionH relativeFrom="margin">
                  <wp:align>left</wp:align>
                </wp:positionH>
                <wp:positionV relativeFrom="paragraph">
                  <wp:posOffset>236303</wp:posOffset>
                </wp:positionV>
                <wp:extent cx="946150" cy="1781175"/>
                <wp:effectExtent l="0" t="0" r="6350" b="9525"/>
                <wp:wrapNone/>
                <wp:docPr id="884941220" name="Text Box 884941220"/>
                <wp:cNvGraphicFramePr/>
                <a:graphic xmlns:a="http://schemas.openxmlformats.org/drawingml/2006/main">
                  <a:graphicData uri="http://schemas.microsoft.com/office/word/2010/wordprocessingShape">
                    <wps:wsp>
                      <wps:cNvSpPr txBox="1"/>
                      <wps:spPr>
                        <a:xfrm>
                          <a:off x="0" y="0"/>
                          <a:ext cx="946150" cy="1781175"/>
                        </a:xfrm>
                        <a:prstGeom prst="rect">
                          <a:avLst/>
                        </a:prstGeom>
                        <a:solidFill>
                          <a:schemeClr val="lt1"/>
                        </a:solidFill>
                        <a:ln w="6350">
                          <a:noFill/>
                        </a:ln>
                      </wps:spPr>
                      <wps:txbx>
                        <w:txbxContent>
                          <w:p w14:paraId="1BBC9DDF" w14:textId="13E10DC0" w:rsidR="008461AF" w:rsidRPr="00846E71" w:rsidRDefault="008461AF" w:rsidP="00CA3ACC">
                            <w:pPr>
                              <w:rPr>
                                <w:sz w:val="16"/>
                                <w:szCs w:val="16"/>
                                <w:lang w:val="en-US"/>
                              </w:rPr>
                            </w:pPr>
                            <w:r>
                              <w:rPr>
                                <w:sz w:val="16"/>
                                <w:szCs w:val="16"/>
                                <w:lang w:val="en-US"/>
                              </w:rPr>
                              <w:t>Incident occurs and initial report (on the day of the incident) compiled by clinical staff on wards, theatres and other patient environments in local incident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5DE9" id="Text Box 884941220" o:spid="_x0000_s1052" type="#_x0000_t202" style="position:absolute;margin-left:0;margin-top:18.6pt;width:74.5pt;height:140.2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" fillcolor="white [3201]" stroked="f" strokeweight=".5pt">
                <v:textbox>
                  <w:txbxContent>
                    <w:p w14:paraId="1BBC9DDF" w14:textId="13E10DC0" w:rsidR="008461AF" w:rsidRPr="00846E71" w:rsidRDefault="008461AF" w:rsidP="00CA3ACC">
                      <w:pPr>
                        <w:rPr>
                          <w:sz w:val="16"/>
                          <w:szCs w:val="16"/>
                          <w:lang w:val="en-US"/>
                        </w:rPr>
                      </w:pPr>
                      <w:r>
                        <w:rPr>
                          <w:sz w:val="16"/>
                          <w:szCs w:val="16"/>
                          <w:lang w:val="en-US"/>
                        </w:rPr>
                        <w:t>Incident occurs and initial report (on the day of the incident) compiled by clinical staff on wards, theatres and other patient environments in local incident management system</w:t>
                      </w:r>
                    </w:p>
                  </w:txbxContent>
                </v:textbox>
                <w10:wrap anchorx="margin"/>
              </v:shape>
            </w:pict>
          </mc:Fallback>
        </mc:AlternateContent>
      </w:r>
    </w:p>
    <w:p w14:paraId="30FC4DA1" w14:textId="05C06FFB" w:rsidR="00AE798C" w:rsidRDefault="00140808" w:rsidP="00B342D0">
      <w:r>
        <w:rPr>
          <w:noProof/>
          <w:lang w:eastAsia="en-AU"/>
        </w:rPr>
        <mc:AlternateContent>
          <mc:Choice Requires="wps">
            <w:drawing>
              <wp:anchor distT="0" distB="0" distL="114300" distR="114300" simplePos="0" relativeHeight="251657728" behindDoc="0" locked="0" layoutInCell="1" allowOverlap="1" wp14:anchorId="40C5EC99" wp14:editId="26C71A38">
                <wp:simplePos x="0" y="0"/>
                <wp:positionH relativeFrom="margin">
                  <wp:posOffset>1171575</wp:posOffset>
                </wp:positionH>
                <wp:positionV relativeFrom="paragraph">
                  <wp:posOffset>11429</wp:posOffset>
                </wp:positionV>
                <wp:extent cx="946150" cy="2124075"/>
                <wp:effectExtent l="0" t="0" r="6350" b="9525"/>
                <wp:wrapNone/>
                <wp:docPr id="1587620094" name="Text Box 1587620094"/>
                <wp:cNvGraphicFramePr/>
                <a:graphic xmlns:a="http://schemas.openxmlformats.org/drawingml/2006/main">
                  <a:graphicData uri="http://schemas.microsoft.com/office/word/2010/wordprocessingShape">
                    <wps:wsp>
                      <wps:cNvSpPr txBox="1"/>
                      <wps:spPr>
                        <a:xfrm>
                          <a:off x="0" y="0"/>
                          <a:ext cx="946150" cy="2124075"/>
                        </a:xfrm>
                        <a:prstGeom prst="rect">
                          <a:avLst/>
                        </a:prstGeom>
                        <a:solidFill>
                          <a:schemeClr val="lt1"/>
                        </a:solidFill>
                        <a:ln w="6350">
                          <a:noFill/>
                        </a:ln>
                      </wps:spPr>
                      <wps:txbx>
                        <w:txbxContent>
                          <w:p w14:paraId="235F6188" w14:textId="3F866C1B" w:rsidR="008461AF" w:rsidRPr="00846E71" w:rsidRDefault="008461AF" w:rsidP="00061286">
                            <w:pPr>
                              <w:rPr>
                                <w:sz w:val="16"/>
                                <w:szCs w:val="16"/>
                                <w:lang w:val="en-US"/>
                              </w:rPr>
                            </w:pPr>
                            <w:r>
                              <w:rPr>
                                <w:sz w:val="16"/>
                                <w:szCs w:val="16"/>
                                <w:lang w:val="en-US"/>
                              </w:rPr>
                              <w:t>Review of initial report by relevant quality and safety staff, clinical governance committees etc. Confirm classification of incident severity and additional information/ amendments made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EC99" id="Text Box 1587620094" o:spid="_x0000_s1053" type="#_x0000_t202" style="position:absolute;margin-left:92.25pt;margin-top:.9pt;width:74.5pt;height:16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" fillcolor="white [3201]" stroked="f" strokeweight=".5pt">
                <v:textbox>
                  <w:txbxContent>
                    <w:p w14:paraId="235F6188" w14:textId="3F866C1B" w:rsidR="008461AF" w:rsidRPr="00846E71" w:rsidRDefault="008461AF" w:rsidP="00061286">
                      <w:pPr>
                        <w:rPr>
                          <w:sz w:val="16"/>
                          <w:szCs w:val="16"/>
                          <w:lang w:val="en-US"/>
                        </w:rPr>
                      </w:pPr>
                      <w:r>
                        <w:rPr>
                          <w:sz w:val="16"/>
                          <w:szCs w:val="16"/>
                          <w:lang w:val="en-US"/>
                        </w:rPr>
                        <w:t>Review of initial report by relevant quality and safety staff, clinical governance committees etc. Confirm classification of incident severity and additional information/ amendments made as appropriate</w:t>
                      </w:r>
                    </w:p>
                  </w:txbxContent>
                </v:textbox>
                <w10:wrap anchorx="margin"/>
              </v:shape>
            </w:pict>
          </mc:Fallback>
        </mc:AlternateContent>
      </w:r>
      <w:r w:rsidR="0038587C">
        <w:rPr>
          <w:noProof/>
          <w:lang w:eastAsia="en-AU"/>
        </w:rPr>
        <mc:AlternateContent>
          <mc:Choice Requires="wps">
            <w:drawing>
              <wp:anchor distT="0" distB="0" distL="114300" distR="114300" simplePos="0" relativeHeight="251660800" behindDoc="0" locked="0" layoutInCell="1" allowOverlap="1" wp14:anchorId="178600E3" wp14:editId="6BDBB6E7">
                <wp:simplePos x="0" y="0"/>
                <wp:positionH relativeFrom="margin">
                  <wp:posOffset>3952985</wp:posOffset>
                </wp:positionH>
                <wp:positionV relativeFrom="paragraph">
                  <wp:posOffset>39481</wp:posOffset>
                </wp:positionV>
                <wp:extent cx="1630017" cy="858741"/>
                <wp:effectExtent l="0" t="0" r="8890" b="0"/>
                <wp:wrapNone/>
                <wp:docPr id="1972852719" name="Text Box 1972852719"/>
                <wp:cNvGraphicFramePr/>
                <a:graphic xmlns:a="http://schemas.openxmlformats.org/drawingml/2006/main">
                  <a:graphicData uri="http://schemas.microsoft.com/office/word/2010/wordprocessingShape">
                    <wps:wsp>
                      <wps:cNvSpPr txBox="1"/>
                      <wps:spPr>
                        <a:xfrm>
                          <a:off x="0" y="0"/>
                          <a:ext cx="1630017" cy="858741"/>
                        </a:xfrm>
                        <a:prstGeom prst="rect">
                          <a:avLst/>
                        </a:prstGeom>
                        <a:solidFill>
                          <a:schemeClr val="lt1"/>
                        </a:solidFill>
                        <a:ln w="6350">
                          <a:noFill/>
                        </a:ln>
                      </wps:spPr>
                      <wps:txbx>
                        <w:txbxContent>
                          <w:p w14:paraId="1CED0983" w14:textId="41D633C5" w:rsidR="008461AF" w:rsidRPr="00846E71" w:rsidRDefault="008461AF" w:rsidP="0038587C">
                            <w:pPr>
                              <w:rPr>
                                <w:sz w:val="16"/>
                                <w:szCs w:val="16"/>
                                <w:lang w:val="en-US"/>
                              </w:rPr>
                            </w:pPr>
                            <w:r>
                              <w:rPr>
                                <w:sz w:val="16"/>
                                <w:szCs w:val="16"/>
                                <w:lang w:val="en-US"/>
                              </w:rPr>
                              <w:t>Verification and consolidation of reports for onforwarding to the TGA (likely batch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00E3" id="Text Box 1972852719" o:spid="_x0000_s1054" type="#_x0000_t202" style="position:absolute;margin-left:311.25pt;margin-top:3.1pt;width:128.35pt;height:67.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" fillcolor="white [3201]" stroked="f" strokeweight=".5pt">
                <v:textbox>
                  <w:txbxContent>
                    <w:p w14:paraId="1CED0983" w14:textId="41D633C5" w:rsidR="008461AF" w:rsidRPr="00846E71" w:rsidRDefault="008461AF" w:rsidP="0038587C">
                      <w:pPr>
                        <w:rPr>
                          <w:sz w:val="16"/>
                          <w:szCs w:val="16"/>
                          <w:lang w:val="en-US"/>
                        </w:rPr>
                      </w:pPr>
                      <w:r>
                        <w:rPr>
                          <w:sz w:val="16"/>
                          <w:szCs w:val="16"/>
                          <w:lang w:val="en-US"/>
                        </w:rPr>
                        <w:t>Verification and consolidation of reports for onforwarding to the TGA (likely batch reporting)</w:t>
                      </w:r>
                    </w:p>
                  </w:txbxContent>
                </v:textbox>
                <w10:wrap anchorx="margin"/>
              </v:shape>
            </w:pict>
          </mc:Fallback>
        </mc:AlternateContent>
      </w:r>
      <w:r w:rsidR="00972032">
        <w:rPr>
          <w:noProof/>
          <w:lang w:eastAsia="en-AU"/>
        </w:rPr>
        <mc:AlternateContent>
          <mc:Choice Requires="wps">
            <w:drawing>
              <wp:anchor distT="0" distB="0" distL="114300" distR="114300" simplePos="0" relativeHeight="251658752" behindDoc="0" locked="0" layoutInCell="1" allowOverlap="1" wp14:anchorId="5FE4CC56" wp14:editId="3F4597C2">
                <wp:simplePos x="0" y="0"/>
                <wp:positionH relativeFrom="margin">
                  <wp:posOffset>2274072</wp:posOffset>
                </wp:positionH>
                <wp:positionV relativeFrom="paragraph">
                  <wp:posOffset>6350</wp:posOffset>
                </wp:positionV>
                <wp:extent cx="1630017" cy="858741"/>
                <wp:effectExtent l="0" t="0" r="8890" b="0"/>
                <wp:wrapNone/>
                <wp:docPr id="2094968149" name="Text Box 2094968149"/>
                <wp:cNvGraphicFramePr/>
                <a:graphic xmlns:a="http://schemas.openxmlformats.org/drawingml/2006/main">
                  <a:graphicData uri="http://schemas.microsoft.com/office/word/2010/wordprocessingShape">
                    <wps:wsp>
                      <wps:cNvSpPr txBox="1"/>
                      <wps:spPr>
                        <a:xfrm>
                          <a:off x="0" y="0"/>
                          <a:ext cx="1630017" cy="858741"/>
                        </a:xfrm>
                        <a:prstGeom prst="rect">
                          <a:avLst/>
                        </a:prstGeom>
                        <a:solidFill>
                          <a:schemeClr val="lt1"/>
                        </a:solidFill>
                        <a:ln w="6350">
                          <a:noFill/>
                        </a:ln>
                      </wps:spPr>
                      <wps:txbx>
                        <w:txbxContent>
                          <w:p w14:paraId="79ED02B4" w14:textId="410927D3" w:rsidR="008461AF" w:rsidRPr="00846E71" w:rsidRDefault="008461AF" w:rsidP="00972032">
                            <w:pPr>
                              <w:rPr>
                                <w:sz w:val="16"/>
                                <w:szCs w:val="16"/>
                                <w:lang w:val="en-US"/>
                              </w:rPr>
                            </w:pPr>
                            <w:r>
                              <w:rPr>
                                <w:sz w:val="16"/>
                                <w:szCs w:val="16"/>
                                <w:lang w:val="en-US"/>
                              </w:rPr>
                              <w:t>Compilation and submission of medical devices adverse event report to jurisdictional health department (public hospitals) or corporate health organisation (private hospitals)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CC56" id="Text Box 2094968149" o:spid="_x0000_s1055" type="#_x0000_t202" style="position:absolute;margin-left:179.05pt;margin-top:.5pt;width:128.35pt;height:67.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" fillcolor="white [3201]" stroked="f" strokeweight=".5pt">
                <v:textbox>
                  <w:txbxContent>
                    <w:p w14:paraId="79ED02B4" w14:textId="410927D3" w:rsidR="008461AF" w:rsidRPr="00846E71" w:rsidRDefault="008461AF" w:rsidP="00972032">
                      <w:pPr>
                        <w:rPr>
                          <w:sz w:val="16"/>
                          <w:szCs w:val="16"/>
                          <w:lang w:val="en-US"/>
                        </w:rPr>
                      </w:pPr>
                      <w:r>
                        <w:rPr>
                          <w:sz w:val="16"/>
                          <w:szCs w:val="16"/>
                          <w:lang w:val="en-US"/>
                        </w:rPr>
                        <w:t>Compilation and submission of medical devices adverse event report to jurisdictional health department (public hospitals) or corporate health organisation (private hospitals)</w:t>
                      </w:r>
                    </w:p>
                  </w:txbxContent>
                </v:textbox>
                <w10:wrap anchorx="margin"/>
              </v:shape>
            </w:pict>
          </mc:Fallback>
        </mc:AlternateContent>
      </w:r>
    </w:p>
    <w:p w14:paraId="1180B4AF" w14:textId="290F543E" w:rsidR="00CA3ACC" w:rsidRDefault="00CA3ACC" w:rsidP="00B342D0"/>
    <w:p w14:paraId="5104125B" w14:textId="7CD89C94" w:rsidR="00CA3ACC" w:rsidRDefault="00CA3ACC" w:rsidP="00B342D0"/>
    <w:p w14:paraId="6EE32984" w14:textId="752F6D54" w:rsidR="00CA3ACC" w:rsidRDefault="00CA3ACC" w:rsidP="00B342D0"/>
    <w:p w14:paraId="2037CD72" w14:textId="765BFDAC" w:rsidR="0038587C" w:rsidRDefault="0038587C" w:rsidP="00B342D0"/>
    <w:p w14:paraId="5271F2A5" w14:textId="242FF20F" w:rsidR="0038587C" w:rsidRDefault="0038587C" w:rsidP="00B342D0"/>
    <w:p w14:paraId="12E732E9" w14:textId="77777777" w:rsidR="002450B6" w:rsidRDefault="002450B6" w:rsidP="00B342D0"/>
    <w:p w14:paraId="611FCBFE" w14:textId="77777777" w:rsidR="002450B6" w:rsidRDefault="002450B6" w:rsidP="00B342D0"/>
    <w:p w14:paraId="3FF2B7BA" w14:textId="77777777" w:rsidR="002450B6" w:rsidRDefault="002450B6" w:rsidP="00B342D0"/>
    <w:p w14:paraId="3A63DFDA" w14:textId="0B70FC45" w:rsidR="00C65A84" w:rsidRDefault="00C65A84" w:rsidP="00C65A84">
      <w:pPr>
        <w:pStyle w:val="Heading5"/>
      </w:pPr>
      <w:r>
        <w:t>Current population – aged care facilities</w:t>
      </w:r>
    </w:p>
    <w:p w14:paraId="3F94A16D" w14:textId="25882201" w:rsidR="007C0A0D" w:rsidRDefault="00BC6346" w:rsidP="00C65A84">
      <w:r>
        <w:t>Public/private residential aged care facilities</w:t>
      </w:r>
      <w:r w:rsidR="00CF7633">
        <w:t xml:space="preserve">, while not </w:t>
      </w:r>
      <w:r w:rsidR="00BF6A1B">
        <w:t>current</w:t>
      </w:r>
      <w:r w:rsidR="00271C07">
        <w:t xml:space="preserve">ly </w:t>
      </w:r>
      <w:r w:rsidR="0023757E">
        <w:t>subject to mandator</w:t>
      </w:r>
      <w:r w:rsidR="002C7EEB">
        <w:t>y reporting of medical devices adverse events</w:t>
      </w:r>
      <w:r w:rsidR="00647B66">
        <w:t xml:space="preserve">, could be </w:t>
      </w:r>
      <w:r w:rsidR="00754639">
        <w:t xml:space="preserve">so prescribed via </w:t>
      </w:r>
      <w:r w:rsidR="00143C43">
        <w:t xml:space="preserve">the </w:t>
      </w:r>
      <w:r w:rsidR="00943DC3">
        <w:t xml:space="preserve">Therapeutic Goods </w:t>
      </w:r>
      <w:r w:rsidR="005206A5">
        <w:t>re</w:t>
      </w:r>
      <w:r w:rsidR="00195AAF">
        <w:t xml:space="preserve">gulations. </w:t>
      </w:r>
      <w:r w:rsidR="00B5555F">
        <w:t>Aged care providers are</w:t>
      </w:r>
      <w:r w:rsidR="004F5727">
        <w:t xml:space="preserve"> ‘approved’ by the </w:t>
      </w:r>
      <w:r w:rsidR="00F21C08">
        <w:t xml:space="preserve">sector regulator (the </w:t>
      </w:r>
      <w:r w:rsidR="004F5727">
        <w:t>Aged Care Quality and Safety Commission (an Australian Government agency)</w:t>
      </w:r>
      <w:r w:rsidR="00F21C08">
        <w:t xml:space="preserve">). </w:t>
      </w:r>
      <w:r w:rsidR="00507CE7">
        <w:t xml:space="preserve">Approved facilities </w:t>
      </w:r>
      <w:r w:rsidR="00AA0490">
        <w:t>are accredited to provide specific services.</w:t>
      </w:r>
      <w:r w:rsidR="00215412">
        <w:t xml:space="preserve"> </w:t>
      </w:r>
    </w:p>
    <w:p w14:paraId="5D5F5A14" w14:textId="122A4CC9" w:rsidR="001B4404" w:rsidRPr="00C65A84" w:rsidRDefault="00215412" w:rsidP="00B37DCC">
      <w:r>
        <w:t>Within Australia</w:t>
      </w:r>
      <w:r w:rsidR="006C2208">
        <w:t>, aged ca</w:t>
      </w:r>
      <w:r w:rsidR="00043F99">
        <w:t xml:space="preserve">re services are categorised as </w:t>
      </w:r>
      <w:r w:rsidR="00881BA6">
        <w:t xml:space="preserve">‘residential care’ (services provided in </w:t>
      </w:r>
      <w:r w:rsidR="000E39AD">
        <w:t xml:space="preserve">the agency’s facilities) and ‘home services’ (services provided </w:t>
      </w:r>
      <w:r w:rsidR="00E65915">
        <w:t xml:space="preserve">at the homes of recipients). </w:t>
      </w:r>
      <w:r w:rsidR="00F32ED6">
        <w:t xml:space="preserve">There is not always a clear </w:t>
      </w:r>
      <w:r w:rsidR="00D23913">
        <w:t>delimitation between hospital and aged care facilities</w:t>
      </w:r>
      <w:r w:rsidR="00FF554A">
        <w:t xml:space="preserve">. For example, the </w:t>
      </w:r>
      <w:r w:rsidR="00624712">
        <w:t xml:space="preserve">Australian Government’s </w:t>
      </w:r>
      <w:r w:rsidR="00C27BAB">
        <w:t xml:space="preserve">MPS </w:t>
      </w:r>
      <w:r w:rsidR="009727FA">
        <w:t xml:space="preserve">Program </w:t>
      </w:r>
      <w:r w:rsidR="00572C5D">
        <w:t xml:space="preserve">provides </w:t>
      </w:r>
      <w:r w:rsidR="009B30DB">
        <w:t>integrated health and aged care services for older people living in small communities in regional and remote areas</w:t>
      </w:r>
      <w:r w:rsidR="009E5643">
        <w:t xml:space="preserve">, where the demand </w:t>
      </w:r>
      <w:r w:rsidR="008A28B4">
        <w:t>on services i</w:t>
      </w:r>
      <w:r w:rsidR="005555D5">
        <w:t>s</w:t>
      </w:r>
      <w:r w:rsidR="008A28B4">
        <w:t xml:space="preserve"> not sufficient to support both a hospital and a separate aged care home. </w:t>
      </w:r>
      <w:r w:rsidR="00B34FE3">
        <w:t>The 181 MPS facilities (</w:t>
      </w:r>
      <w:r w:rsidR="00ED0C17">
        <w:t xml:space="preserve">as </w:t>
      </w:r>
      <w:r w:rsidR="00DB49A3">
        <w:t>at</w:t>
      </w:r>
      <w:r w:rsidR="00ED0C17">
        <w:t xml:space="preserve"> </w:t>
      </w:r>
      <w:r w:rsidR="00A60B76">
        <w:t>30 June 2023)</w:t>
      </w:r>
      <w:r w:rsidR="00A60B76">
        <w:rPr>
          <w:rStyle w:val="FootnoteReference"/>
        </w:rPr>
        <w:footnoteReference w:id="100"/>
      </w:r>
      <w:r w:rsidR="00A60B76">
        <w:t xml:space="preserve"> are all declared ho</w:t>
      </w:r>
      <w:r w:rsidR="009E7D62">
        <w:t xml:space="preserve">spitals </w:t>
      </w:r>
      <w:r w:rsidR="009E4F1C">
        <w:t>(as detailed above)</w:t>
      </w:r>
      <w:r w:rsidR="00ED7A86">
        <w:t>.</w:t>
      </w:r>
      <w:r w:rsidR="009E4F1C">
        <w:t xml:space="preserve"> </w:t>
      </w:r>
      <w:r w:rsidR="00C8182E">
        <w:t>It is considered that, given the nature of the envisaged reporting functionality</w:t>
      </w:r>
      <w:r w:rsidR="009C0EB4">
        <w:t xml:space="preserve">, that potential extension of the scope for </w:t>
      </w:r>
      <w:r w:rsidR="0027139D">
        <w:t>mandatory reporting of medical devices adverse events would</w:t>
      </w:r>
      <w:r w:rsidR="003B4A9B">
        <w:t xml:space="preserve"> be limited to residential care providers (noting that there is likely </w:t>
      </w:r>
      <w:r w:rsidR="00966A44">
        <w:t xml:space="preserve">some crossover at the entity level between service </w:t>
      </w:r>
      <w:r w:rsidR="00357880">
        <w:t xml:space="preserve">categories). </w:t>
      </w:r>
    </w:p>
    <w:p w14:paraId="0CBDD749" w14:textId="63615036" w:rsidR="002D41F4" w:rsidRDefault="002D41F4" w:rsidP="00B37DCC">
      <w:pPr>
        <w:pStyle w:val="Caption"/>
        <w:keepNext/>
      </w:pPr>
      <w:r>
        <w:t>Table 2</w:t>
      </w:r>
      <w:r w:rsidR="008056A1">
        <w:t>7</w:t>
      </w:r>
      <w:r>
        <w:t xml:space="preserve"> - </w:t>
      </w:r>
      <w:r w:rsidRPr="000E4BB7">
        <w:t>Number of approved aged care services providers (as at 30 June 2023)</w:t>
      </w:r>
    </w:p>
    <w:tbl>
      <w:tblPr>
        <w:tblStyle w:val="TableGrid"/>
        <w:tblW w:w="0" w:type="auto"/>
        <w:tblLook w:val="04A0" w:firstRow="1" w:lastRow="0" w:firstColumn="1" w:lastColumn="0" w:noHBand="0" w:noVBand="1"/>
      </w:tblPr>
      <w:tblGrid>
        <w:gridCol w:w="3397"/>
        <w:gridCol w:w="972"/>
      </w:tblGrid>
      <w:tr w:rsidR="00DC7C4B" w:rsidRPr="00CA1F35" w14:paraId="032C2994" w14:textId="77777777" w:rsidTr="00CA0F05">
        <w:tc>
          <w:tcPr>
            <w:tcW w:w="3397" w:type="dxa"/>
            <w:shd w:val="clear" w:color="auto" w:fill="002060"/>
          </w:tcPr>
          <w:p w14:paraId="1DB6A876" w14:textId="6ADCF926" w:rsidR="00DC7C4B" w:rsidRPr="003737ED" w:rsidRDefault="00DC7C4B">
            <w:pPr>
              <w:rPr>
                <w:rFonts w:cs="Arial"/>
                <w:b/>
                <w:bCs/>
                <w:color w:val="FFFFFF" w:themeColor="background1"/>
                <w:sz w:val="20"/>
                <w:szCs w:val="20"/>
              </w:rPr>
            </w:pPr>
            <w:r w:rsidRPr="003737ED">
              <w:rPr>
                <w:rFonts w:cs="Arial"/>
                <w:b/>
                <w:bCs/>
                <w:color w:val="FFFFFF" w:themeColor="background1"/>
                <w:sz w:val="20"/>
                <w:szCs w:val="20"/>
              </w:rPr>
              <w:t>Aged Care Service</w:t>
            </w:r>
            <w:r w:rsidR="005B004B" w:rsidRPr="003737ED">
              <w:rPr>
                <w:rFonts w:cs="Arial"/>
                <w:b/>
                <w:bCs/>
                <w:color w:val="FFFFFF" w:themeColor="background1"/>
                <w:sz w:val="20"/>
                <w:szCs w:val="20"/>
              </w:rPr>
              <w:t>s</w:t>
            </w:r>
          </w:p>
        </w:tc>
        <w:tc>
          <w:tcPr>
            <w:tcW w:w="897" w:type="dxa"/>
            <w:shd w:val="clear" w:color="auto" w:fill="002060"/>
          </w:tcPr>
          <w:p w14:paraId="03698BFD" w14:textId="77777777" w:rsidR="00DC7C4B" w:rsidRPr="003737ED" w:rsidRDefault="00DC7C4B">
            <w:pPr>
              <w:rPr>
                <w:rFonts w:cs="Arial"/>
                <w:b/>
                <w:bCs/>
                <w:color w:val="FFFFFF" w:themeColor="background1"/>
                <w:sz w:val="20"/>
                <w:szCs w:val="20"/>
              </w:rPr>
            </w:pPr>
            <w:r w:rsidRPr="003737ED">
              <w:rPr>
                <w:rFonts w:cs="Arial"/>
                <w:b/>
                <w:bCs/>
                <w:color w:val="FFFFFF" w:themeColor="background1"/>
                <w:sz w:val="20"/>
                <w:szCs w:val="20"/>
              </w:rPr>
              <w:t>Number</w:t>
            </w:r>
          </w:p>
        </w:tc>
      </w:tr>
      <w:tr w:rsidR="00DC7C4B" w:rsidRPr="00CA1F35" w14:paraId="2A475C3A" w14:textId="77777777" w:rsidTr="00CA0F05">
        <w:tc>
          <w:tcPr>
            <w:tcW w:w="3397" w:type="dxa"/>
            <w:vAlign w:val="bottom"/>
          </w:tcPr>
          <w:p w14:paraId="5043BCE0" w14:textId="41B57F2F" w:rsidR="00DC7C4B" w:rsidRPr="003737ED" w:rsidRDefault="00F4778A">
            <w:pPr>
              <w:rPr>
                <w:rFonts w:cs="Arial"/>
                <w:sz w:val="20"/>
                <w:szCs w:val="20"/>
              </w:rPr>
            </w:pPr>
            <w:r w:rsidRPr="003737ED">
              <w:rPr>
                <w:rFonts w:cs="Arial"/>
                <w:color w:val="000000"/>
                <w:sz w:val="20"/>
                <w:szCs w:val="20"/>
              </w:rPr>
              <w:t>Residential care</w:t>
            </w:r>
            <w:r w:rsidR="005B004B" w:rsidRPr="003737ED">
              <w:rPr>
                <w:rFonts w:cs="Arial"/>
                <w:color w:val="000000"/>
                <w:sz w:val="20"/>
                <w:szCs w:val="20"/>
              </w:rPr>
              <w:t xml:space="preserve"> providers</w:t>
            </w:r>
          </w:p>
        </w:tc>
        <w:tc>
          <w:tcPr>
            <w:tcW w:w="897" w:type="dxa"/>
            <w:vAlign w:val="bottom"/>
          </w:tcPr>
          <w:p w14:paraId="51B1BA5D" w14:textId="0C403109" w:rsidR="00DC7C4B" w:rsidRPr="003737ED" w:rsidRDefault="003523FC">
            <w:pPr>
              <w:rPr>
                <w:rFonts w:cs="Arial"/>
                <w:sz w:val="20"/>
                <w:szCs w:val="20"/>
              </w:rPr>
            </w:pPr>
            <w:r w:rsidRPr="003737ED">
              <w:rPr>
                <w:rFonts w:cs="Arial"/>
                <w:color w:val="000000"/>
                <w:sz w:val="20"/>
                <w:szCs w:val="20"/>
              </w:rPr>
              <w:t>2</w:t>
            </w:r>
            <w:r w:rsidR="001A0F6A">
              <w:rPr>
                <w:rFonts w:cs="Arial"/>
                <w:color w:val="000000"/>
                <w:sz w:val="20"/>
                <w:szCs w:val="20"/>
              </w:rPr>
              <w:t>,</w:t>
            </w:r>
            <w:r w:rsidRPr="003737ED">
              <w:rPr>
                <w:rFonts w:cs="Arial"/>
                <w:color w:val="000000"/>
                <w:sz w:val="20"/>
                <w:szCs w:val="20"/>
              </w:rPr>
              <w:t>6</w:t>
            </w:r>
            <w:r w:rsidR="00681668">
              <w:rPr>
                <w:rFonts w:cs="Arial"/>
                <w:color w:val="000000"/>
                <w:sz w:val="20"/>
                <w:szCs w:val="20"/>
              </w:rPr>
              <w:t>40</w:t>
            </w:r>
          </w:p>
        </w:tc>
      </w:tr>
      <w:tr w:rsidR="00DC7C4B" w:rsidRPr="00CA1F35" w14:paraId="0869875A" w14:textId="77777777" w:rsidTr="00CA0F05">
        <w:tc>
          <w:tcPr>
            <w:tcW w:w="3397" w:type="dxa"/>
            <w:vAlign w:val="bottom"/>
          </w:tcPr>
          <w:p w14:paraId="0EA9D9C4" w14:textId="0CA33405" w:rsidR="00DC7C4B" w:rsidRPr="003737ED" w:rsidRDefault="005B004B">
            <w:pPr>
              <w:rPr>
                <w:rFonts w:cs="Arial"/>
                <w:sz w:val="20"/>
                <w:szCs w:val="20"/>
              </w:rPr>
            </w:pPr>
            <w:r w:rsidRPr="003737ED">
              <w:rPr>
                <w:rFonts w:cs="Arial"/>
                <w:color w:val="000000"/>
                <w:sz w:val="20"/>
                <w:szCs w:val="20"/>
              </w:rPr>
              <w:t>Home services providers</w:t>
            </w:r>
          </w:p>
        </w:tc>
        <w:tc>
          <w:tcPr>
            <w:tcW w:w="897" w:type="dxa"/>
            <w:vAlign w:val="bottom"/>
          </w:tcPr>
          <w:p w14:paraId="2513ECA0" w14:textId="50CB8366" w:rsidR="00DC7C4B" w:rsidRPr="003737ED" w:rsidRDefault="00CA0F05">
            <w:pPr>
              <w:rPr>
                <w:rFonts w:cs="Arial"/>
                <w:sz w:val="20"/>
                <w:szCs w:val="20"/>
              </w:rPr>
            </w:pPr>
            <w:r w:rsidRPr="003737ED">
              <w:rPr>
                <w:rFonts w:cs="Arial"/>
                <w:color w:val="000000"/>
                <w:sz w:val="20"/>
                <w:szCs w:val="20"/>
              </w:rPr>
              <w:t>2</w:t>
            </w:r>
            <w:r w:rsidR="001A0F6A">
              <w:rPr>
                <w:rFonts w:cs="Arial"/>
                <w:color w:val="000000"/>
                <w:sz w:val="20"/>
                <w:szCs w:val="20"/>
              </w:rPr>
              <w:t>,</w:t>
            </w:r>
            <w:r w:rsidRPr="003737ED">
              <w:rPr>
                <w:rFonts w:cs="Arial"/>
                <w:color w:val="000000"/>
                <w:sz w:val="20"/>
                <w:szCs w:val="20"/>
              </w:rPr>
              <w:t>263</w:t>
            </w:r>
          </w:p>
        </w:tc>
      </w:tr>
      <w:tr w:rsidR="00DC7C4B" w:rsidRPr="00CA1F35" w14:paraId="181B759B" w14:textId="77777777" w:rsidTr="00CA0F05">
        <w:tc>
          <w:tcPr>
            <w:tcW w:w="3397" w:type="dxa"/>
            <w:vAlign w:val="bottom"/>
          </w:tcPr>
          <w:p w14:paraId="1F8E78EB" w14:textId="77777777" w:rsidR="00DC7C4B" w:rsidRPr="003737ED" w:rsidRDefault="00DC7C4B">
            <w:pPr>
              <w:jc w:val="right"/>
              <w:rPr>
                <w:rFonts w:cs="Arial"/>
                <w:sz w:val="20"/>
                <w:szCs w:val="20"/>
              </w:rPr>
            </w:pPr>
            <w:r w:rsidRPr="003737ED">
              <w:rPr>
                <w:rFonts w:cs="Arial"/>
                <w:b/>
                <w:bCs/>
                <w:color w:val="000000"/>
                <w:sz w:val="20"/>
                <w:szCs w:val="20"/>
              </w:rPr>
              <w:t>Total</w:t>
            </w:r>
          </w:p>
        </w:tc>
        <w:tc>
          <w:tcPr>
            <w:tcW w:w="897" w:type="dxa"/>
            <w:shd w:val="clear" w:color="auto" w:fill="D9D9D9" w:themeFill="background1" w:themeFillShade="D9"/>
            <w:vAlign w:val="bottom"/>
          </w:tcPr>
          <w:p w14:paraId="37C1926F" w14:textId="4F6AD54F" w:rsidR="00DC7C4B" w:rsidRPr="003737ED" w:rsidRDefault="00335931">
            <w:pPr>
              <w:rPr>
                <w:rFonts w:cs="Arial"/>
                <w:sz w:val="20"/>
                <w:szCs w:val="20"/>
              </w:rPr>
            </w:pPr>
            <w:r>
              <w:rPr>
                <w:rFonts w:cs="Arial"/>
                <w:b/>
                <w:bCs/>
                <w:color w:val="000000"/>
                <w:sz w:val="20"/>
                <w:szCs w:val="20"/>
              </w:rPr>
              <w:t>4,903</w:t>
            </w:r>
          </w:p>
        </w:tc>
      </w:tr>
    </w:tbl>
    <w:p w14:paraId="615FEC4E" w14:textId="77777777" w:rsidR="00574834" w:rsidRDefault="00574834" w:rsidP="00B050F6">
      <w:pPr>
        <w:pStyle w:val="Heading5"/>
        <w:rPr>
          <w:sz w:val="16"/>
          <w:szCs w:val="16"/>
        </w:rPr>
      </w:pPr>
    </w:p>
    <w:p w14:paraId="721FB158" w14:textId="77777777" w:rsidR="00574834" w:rsidRDefault="00574834">
      <w:pPr>
        <w:rPr>
          <w:rFonts w:eastAsia="Times New Roman" w:cs="Times New Roman"/>
          <w:b/>
          <w:bCs/>
          <w:i/>
          <w:color w:val="001871"/>
          <w:sz w:val="16"/>
          <w:szCs w:val="16"/>
        </w:rPr>
      </w:pPr>
      <w:r>
        <w:rPr>
          <w:sz w:val="16"/>
          <w:szCs w:val="16"/>
        </w:rPr>
        <w:br w:type="page"/>
      </w:r>
    </w:p>
    <w:p w14:paraId="2D634598" w14:textId="2495BB76" w:rsidR="00F170B4" w:rsidRDefault="00F170B4" w:rsidP="00B050F6">
      <w:pPr>
        <w:pStyle w:val="Heading5"/>
      </w:pPr>
      <w:bookmarkStart w:id="207" w:name="_Toc156375169"/>
      <w:r>
        <w:t>Reporting Volumes (projected)</w:t>
      </w:r>
    </w:p>
    <w:p w14:paraId="39E9770C" w14:textId="231BB96D" w:rsidR="004F005A" w:rsidRPr="00275E7D" w:rsidRDefault="004F005A" w:rsidP="004F005A">
      <w:r w:rsidRPr="00275E7D">
        <w:t xml:space="preserve">TGA currently experiences around </w:t>
      </w:r>
      <w:r w:rsidR="001F64DB">
        <w:t xml:space="preserve">10,000 </w:t>
      </w:r>
      <w:r w:rsidRPr="00275E7D">
        <w:t xml:space="preserve">medical device incident reports per year, with </w:t>
      </w:r>
      <w:r w:rsidR="00790540">
        <w:t>~</w:t>
      </w:r>
      <w:r w:rsidRPr="00275E7D">
        <w:t>88% coming from sponsors. When Canada and the US introduced their regulations around mandatory reporting by hospitals, this not only saw an increase in reporting by hospitals, but also a material increase in reports by manufacturers who were already subject to mandatory reporting requirements. Specifically, there was a 5.9x increase in reports by US manufacturers before and after 1991, and a 14.2x corresponding increase for manufacturers in Canada around 2018.</w:t>
      </w:r>
    </w:p>
    <w:p w14:paraId="2ACADE80" w14:textId="40FF2D7C" w:rsidR="004F005A" w:rsidRDefault="004F005A" w:rsidP="004F005A">
      <w:r w:rsidRPr="00275E7D">
        <w:t>Hence (for now), we’ve assumed a 10x increase in reported incidents of adverse</w:t>
      </w:r>
      <w:r>
        <w:t xml:space="preserve"> effects relating to medical devices across the board for the Australian scenario. This assumption would mean </w:t>
      </w:r>
      <w:r w:rsidR="001F64DB">
        <w:t>100</w:t>
      </w:r>
      <w:r>
        <w:t xml:space="preserve">,000 reports annually going forward rather than the current </w:t>
      </w:r>
      <w:r w:rsidR="001F64DB">
        <w:t>10,0</w:t>
      </w:r>
      <w:r>
        <w:t>00 per year.</w:t>
      </w:r>
      <w:r w:rsidR="00B72C55">
        <w:t xml:space="preserve"> </w:t>
      </w:r>
      <w:r>
        <w:t>This is akin to assuming that only 10% of true incidents are being currently reported, so while the numbers appear large</w:t>
      </w:r>
      <w:r w:rsidR="00B72C55">
        <w:t>, they are relatively conservative in comparison to the</w:t>
      </w:r>
      <w:r>
        <w:t xml:space="preserve"> 5% or 0.5% </w:t>
      </w:r>
      <w:r w:rsidR="00B72C55">
        <w:t>figures</w:t>
      </w:r>
      <w:r>
        <w:t xml:space="preserve"> suggested by some of the literature</w:t>
      </w:r>
      <w:r w:rsidR="00B72C55">
        <w:t xml:space="preserve"> (which would correspond to a 20x and 200x respectively in reporting volumes)</w:t>
      </w:r>
      <w:r>
        <w:t>.</w:t>
      </w:r>
    </w:p>
    <w:p w14:paraId="07E20505" w14:textId="01FA3590" w:rsidR="004F005A" w:rsidRDefault="004F005A" w:rsidP="004F005A">
      <w:r>
        <w:t>Focusing on hospitals</w:t>
      </w:r>
      <w:r w:rsidR="00B72C55">
        <w:t>,</w:t>
      </w:r>
      <w:r>
        <w:t xml:space="preserve"> in the US and Canadian data there is large variation in the impact of regulation on the number of incidents reported by hospitals, and in the US the hospitals can report directly to manufacturers to satisfy their regulatory requirement which also muddies the waters</w:t>
      </w:r>
      <w:r w:rsidR="00B72C55">
        <w:t xml:space="preserve">. </w:t>
      </w:r>
      <w:r>
        <w:t>Hence</w:t>
      </w:r>
      <w:r w:rsidR="00B72C55">
        <w:t>,</w:t>
      </w:r>
      <w:r>
        <w:t xml:space="preserve"> we'll assume that 10% of the new total incident reporting is at least made by hospitals, i.e.</w:t>
      </w:r>
      <w:r w:rsidR="00B72C55">
        <w:t>,</w:t>
      </w:r>
      <w:r>
        <w:t xml:space="preserve"> </w:t>
      </w:r>
      <w:r w:rsidR="004130FA">
        <w:t>10,0</w:t>
      </w:r>
      <w:r>
        <w:t>00 reports across public and private</w:t>
      </w:r>
      <w:r w:rsidR="00B72C55">
        <w:t xml:space="preserve"> </w:t>
      </w:r>
      <w:r>
        <w:t>(</w:t>
      </w:r>
      <w:r w:rsidR="00B72C55">
        <w:t>noting t</w:t>
      </w:r>
      <w:r>
        <w:t>here can be double counting across hospitals and manufacturers)</w:t>
      </w:r>
      <w:r w:rsidR="00B72C55">
        <w:t xml:space="preserve">. </w:t>
      </w:r>
      <w:r>
        <w:t xml:space="preserve">This will mean around </w:t>
      </w:r>
      <w:r w:rsidR="004130FA">
        <w:t>5</w:t>
      </w:r>
      <w:r w:rsidR="00FD301D">
        <w:t>,</w:t>
      </w:r>
      <w:r w:rsidR="004130FA">
        <w:t>0</w:t>
      </w:r>
      <w:r>
        <w:t xml:space="preserve">00 new reports being </w:t>
      </w:r>
      <w:r w:rsidR="00B72C55">
        <w:t>submitted by</w:t>
      </w:r>
      <w:r>
        <w:t xml:space="preserve"> private hospitals given the relative split of public and private hospitals</w:t>
      </w:r>
      <w:r w:rsidR="00B72C55">
        <w:t>.</w:t>
      </w:r>
    </w:p>
    <w:p w14:paraId="04E74220" w14:textId="7C08F843" w:rsidR="004F005A" w:rsidRDefault="004F005A" w:rsidP="004F005A">
      <w:r>
        <w:t xml:space="preserve">We then split this number 4:2:1 across private hospitals with High:Medium:Low exposure to incidents, meaning we’re assuming </w:t>
      </w:r>
      <w:r w:rsidR="00E925CF">
        <w:t>~</w:t>
      </w:r>
      <w:r>
        <w:t xml:space="preserve">2 incidents to report each month for the high exposure hospitals, and 2 per year for the low exposure hospitals, with these amounts then split 50:50 across </w:t>
      </w:r>
      <w:r w:rsidR="00E270E6">
        <w:t xml:space="preserve">high and </w:t>
      </w:r>
      <w:r w:rsidR="00D50907">
        <w:t>medium risk devices</w:t>
      </w:r>
      <w:r w:rsidR="00B72C55">
        <w:t>.</w:t>
      </w:r>
    </w:p>
    <w:p w14:paraId="2D3EBB9C" w14:textId="243FB0DE" w:rsidR="00574834" w:rsidRDefault="00574834" w:rsidP="0079175B">
      <w:pPr>
        <w:pStyle w:val="Caption"/>
      </w:pPr>
      <w:r>
        <w:t xml:space="preserve">Figure </w:t>
      </w:r>
      <w:r w:rsidR="002D41F4">
        <w:t>2</w:t>
      </w:r>
      <w:r w:rsidR="008056A1">
        <w:t>4</w:t>
      </w:r>
      <w:r w:rsidR="002D41F4">
        <w:t xml:space="preserve"> - </w:t>
      </w:r>
      <w:r w:rsidR="00E244A5">
        <w:t>E</w:t>
      </w:r>
      <w:r>
        <w:t>stimated reports per hospital</w:t>
      </w:r>
      <w:r w:rsidR="00681668">
        <w:t xml:space="preserve"> (public and private hospitals)</w:t>
      </w:r>
    </w:p>
    <w:tbl>
      <w:tblPr>
        <w:tblStyle w:val="TableGrid"/>
        <w:tblW w:w="0" w:type="auto"/>
        <w:tblLook w:val="04A0" w:firstRow="1" w:lastRow="0" w:firstColumn="1" w:lastColumn="0" w:noHBand="0" w:noVBand="1"/>
      </w:tblPr>
      <w:tblGrid>
        <w:gridCol w:w="1803"/>
        <w:gridCol w:w="1311"/>
        <w:gridCol w:w="2693"/>
        <w:gridCol w:w="2977"/>
      </w:tblGrid>
      <w:tr w:rsidR="00BC7E36" w14:paraId="27156836" w14:textId="77777777" w:rsidTr="008C6AC3">
        <w:tc>
          <w:tcPr>
            <w:tcW w:w="18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EB7AF82" w14:textId="77777777" w:rsidR="00BC7E36" w:rsidRPr="008D6761" w:rsidRDefault="00BC7E36" w:rsidP="008C6AC3">
            <w:pPr>
              <w:rPr>
                <w:rFonts w:asciiTheme="minorHAnsi" w:hAnsiTheme="minorHAnsi"/>
                <w:b/>
                <w:bCs/>
                <w:sz w:val="20"/>
                <w:szCs w:val="20"/>
              </w:rPr>
            </w:pPr>
            <w:r w:rsidRPr="008D6761">
              <w:rPr>
                <w:b/>
                <w:bCs/>
                <w:sz w:val="20"/>
                <w:szCs w:val="20"/>
              </w:rPr>
              <w:t>Type of facility</w:t>
            </w:r>
          </w:p>
        </w:tc>
        <w:tc>
          <w:tcPr>
            <w:tcW w:w="1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D4CF0A" w14:textId="77777777" w:rsidR="00BC7E36" w:rsidRPr="008D6761" w:rsidRDefault="00BC7E36" w:rsidP="008C6AC3">
            <w:pPr>
              <w:rPr>
                <w:b/>
                <w:bCs/>
                <w:sz w:val="20"/>
                <w:szCs w:val="20"/>
              </w:rPr>
            </w:pPr>
            <w:r w:rsidRPr="008D6761">
              <w:rPr>
                <w:b/>
                <w:bCs/>
                <w:sz w:val="20"/>
                <w:szCs w:val="20"/>
              </w:rPr>
              <w:t>Reports</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910C" w14:textId="77777777" w:rsidR="00BC7E36" w:rsidRPr="008D6761" w:rsidRDefault="00BC7E36" w:rsidP="008C6AC3">
            <w:pPr>
              <w:rPr>
                <w:b/>
                <w:bCs/>
                <w:sz w:val="20"/>
                <w:szCs w:val="20"/>
              </w:rPr>
            </w:pPr>
            <w:r w:rsidRPr="008D6761">
              <w:rPr>
                <w:b/>
                <w:bCs/>
                <w:sz w:val="20"/>
                <w:szCs w:val="20"/>
              </w:rPr>
              <w:t>Number of hospitals</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52427BE" w14:textId="6AADFBAB" w:rsidR="00BC7E36" w:rsidRPr="008D6761" w:rsidRDefault="00BC7E36" w:rsidP="008C6AC3">
            <w:pPr>
              <w:rPr>
                <w:b/>
                <w:bCs/>
                <w:sz w:val="20"/>
                <w:szCs w:val="20"/>
              </w:rPr>
            </w:pPr>
            <w:r w:rsidRPr="008D6761">
              <w:rPr>
                <w:b/>
                <w:bCs/>
                <w:sz w:val="20"/>
                <w:szCs w:val="20"/>
              </w:rPr>
              <w:t>Reports per hospital</w:t>
            </w:r>
            <w:r w:rsidR="0069077A" w:rsidRPr="008D6761">
              <w:rPr>
                <w:b/>
                <w:bCs/>
                <w:sz w:val="20"/>
                <w:szCs w:val="20"/>
              </w:rPr>
              <w:t xml:space="preserve"> / </w:t>
            </w:r>
            <w:r w:rsidRPr="008D6761">
              <w:rPr>
                <w:b/>
                <w:bCs/>
                <w:sz w:val="20"/>
                <w:szCs w:val="20"/>
              </w:rPr>
              <w:t>year</w:t>
            </w:r>
          </w:p>
        </w:tc>
      </w:tr>
      <w:tr w:rsidR="00BC7E36" w14:paraId="42743EA4" w14:textId="77777777" w:rsidTr="008C6AC3">
        <w:tc>
          <w:tcPr>
            <w:tcW w:w="1803" w:type="dxa"/>
            <w:tcBorders>
              <w:top w:val="single" w:sz="4" w:space="0" w:color="auto"/>
              <w:left w:val="single" w:sz="4" w:space="0" w:color="auto"/>
              <w:bottom w:val="single" w:sz="4" w:space="0" w:color="auto"/>
              <w:right w:val="single" w:sz="4" w:space="0" w:color="auto"/>
            </w:tcBorders>
            <w:hideMark/>
          </w:tcPr>
          <w:p w14:paraId="7B4B9E54" w14:textId="77777777" w:rsidR="00BC7E36" w:rsidRPr="008D6761" w:rsidRDefault="00BC7E36" w:rsidP="008C6AC3">
            <w:pPr>
              <w:rPr>
                <w:sz w:val="20"/>
                <w:szCs w:val="20"/>
              </w:rPr>
            </w:pPr>
            <w:r w:rsidRPr="008D6761">
              <w:rPr>
                <w:sz w:val="20"/>
                <w:szCs w:val="20"/>
              </w:rPr>
              <w:t>Private Hospitals – High exposure</w:t>
            </w:r>
          </w:p>
        </w:tc>
        <w:tc>
          <w:tcPr>
            <w:tcW w:w="1311" w:type="dxa"/>
            <w:tcBorders>
              <w:top w:val="single" w:sz="4" w:space="0" w:color="auto"/>
              <w:left w:val="single" w:sz="4" w:space="0" w:color="auto"/>
              <w:bottom w:val="single" w:sz="4" w:space="0" w:color="auto"/>
              <w:right w:val="single" w:sz="4" w:space="0" w:color="auto"/>
            </w:tcBorders>
            <w:hideMark/>
          </w:tcPr>
          <w:p w14:paraId="1F05FDFE" w14:textId="683F4E61" w:rsidR="00BC7E36" w:rsidRPr="008D6761" w:rsidRDefault="00BC7E36" w:rsidP="008C6AC3">
            <w:pPr>
              <w:rPr>
                <w:sz w:val="20"/>
                <w:szCs w:val="20"/>
              </w:rPr>
            </w:pPr>
            <w:r w:rsidRPr="008D6761">
              <w:rPr>
                <w:sz w:val="20"/>
                <w:szCs w:val="20"/>
              </w:rPr>
              <w:t>2</w:t>
            </w:r>
            <w:r w:rsidR="00FD301D" w:rsidRPr="008D6761">
              <w:rPr>
                <w:sz w:val="20"/>
                <w:szCs w:val="20"/>
              </w:rPr>
              <w:t>,</w:t>
            </w:r>
            <w:r w:rsidRPr="008D6761">
              <w:rPr>
                <w:sz w:val="20"/>
                <w:szCs w:val="20"/>
              </w:rPr>
              <w:t>858</w:t>
            </w:r>
          </w:p>
        </w:tc>
        <w:tc>
          <w:tcPr>
            <w:tcW w:w="2693" w:type="dxa"/>
            <w:tcBorders>
              <w:top w:val="single" w:sz="4" w:space="0" w:color="auto"/>
              <w:left w:val="single" w:sz="4" w:space="0" w:color="auto"/>
              <w:bottom w:val="single" w:sz="4" w:space="0" w:color="auto"/>
              <w:right w:val="single" w:sz="4" w:space="0" w:color="auto"/>
            </w:tcBorders>
            <w:hideMark/>
          </w:tcPr>
          <w:p w14:paraId="43EDCE51" w14:textId="77777777" w:rsidR="00BC7E36" w:rsidRPr="008D6761" w:rsidRDefault="00BC7E36" w:rsidP="008C6AC3">
            <w:pPr>
              <w:rPr>
                <w:sz w:val="20"/>
                <w:szCs w:val="20"/>
              </w:rPr>
            </w:pPr>
            <w:r w:rsidRPr="008D6761">
              <w:rPr>
                <w:sz w:val="20"/>
                <w:szCs w:val="20"/>
              </w:rPr>
              <w:t>101</w:t>
            </w:r>
          </w:p>
        </w:tc>
        <w:tc>
          <w:tcPr>
            <w:tcW w:w="2977" w:type="dxa"/>
            <w:tcBorders>
              <w:top w:val="single" w:sz="4" w:space="0" w:color="auto"/>
              <w:left w:val="single" w:sz="4" w:space="0" w:color="auto"/>
              <w:bottom w:val="single" w:sz="4" w:space="0" w:color="auto"/>
              <w:right w:val="single" w:sz="4" w:space="0" w:color="auto"/>
            </w:tcBorders>
            <w:hideMark/>
          </w:tcPr>
          <w:p w14:paraId="1510D97D" w14:textId="77777777" w:rsidR="00BC7E36" w:rsidRPr="008D6761" w:rsidRDefault="00BC7E36" w:rsidP="008C6AC3">
            <w:pPr>
              <w:rPr>
                <w:sz w:val="20"/>
                <w:szCs w:val="20"/>
              </w:rPr>
            </w:pPr>
            <w:r w:rsidRPr="008D6761">
              <w:rPr>
                <w:sz w:val="20"/>
                <w:szCs w:val="20"/>
              </w:rPr>
              <w:t>28</w:t>
            </w:r>
          </w:p>
        </w:tc>
      </w:tr>
      <w:tr w:rsidR="00BC7E36" w14:paraId="41E502EB" w14:textId="77777777" w:rsidTr="008C6AC3">
        <w:tc>
          <w:tcPr>
            <w:tcW w:w="1803" w:type="dxa"/>
            <w:tcBorders>
              <w:top w:val="single" w:sz="4" w:space="0" w:color="auto"/>
              <w:left w:val="single" w:sz="4" w:space="0" w:color="auto"/>
              <w:bottom w:val="single" w:sz="4" w:space="0" w:color="auto"/>
              <w:right w:val="single" w:sz="4" w:space="0" w:color="auto"/>
            </w:tcBorders>
            <w:hideMark/>
          </w:tcPr>
          <w:p w14:paraId="0093F632" w14:textId="77777777" w:rsidR="00BC7E36" w:rsidRPr="008D6761" w:rsidRDefault="00BC7E36" w:rsidP="008C6AC3">
            <w:pPr>
              <w:rPr>
                <w:sz w:val="20"/>
                <w:szCs w:val="20"/>
              </w:rPr>
            </w:pPr>
            <w:r w:rsidRPr="008D6761">
              <w:rPr>
                <w:sz w:val="20"/>
                <w:szCs w:val="20"/>
              </w:rPr>
              <w:t>Private Hospitals – Medium exposure</w:t>
            </w:r>
          </w:p>
        </w:tc>
        <w:tc>
          <w:tcPr>
            <w:tcW w:w="1311" w:type="dxa"/>
            <w:tcBorders>
              <w:top w:val="single" w:sz="4" w:space="0" w:color="auto"/>
              <w:left w:val="single" w:sz="4" w:space="0" w:color="auto"/>
              <w:bottom w:val="single" w:sz="4" w:space="0" w:color="auto"/>
              <w:right w:val="single" w:sz="4" w:space="0" w:color="auto"/>
            </w:tcBorders>
            <w:hideMark/>
          </w:tcPr>
          <w:p w14:paraId="47587CC2" w14:textId="2C399A08" w:rsidR="00BC7E36" w:rsidRPr="008D6761" w:rsidRDefault="00BC7E36" w:rsidP="008C6AC3">
            <w:pPr>
              <w:rPr>
                <w:sz w:val="20"/>
                <w:szCs w:val="20"/>
              </w:rPr>
            </w:pPr>
            <w:r w:rsidRPr="008D6761">
              <w:rPr>
                <w:sz w:val="20"/>
                <w:szCs w:val="20"/>
              </w:rPr>
              <w:t>1</w:t>
            </w:r>
            <w:r w:rsidR="00FD301D" w:rsidRPr="008D6761">
              <w:rPr>
                <w:sz w:val="20"/>
                <w:szCs w:val="20"/>
              </w:rPr>
              <w:t>,</w:t>
            </w:r>
            <w:r w:rsidRPr="008D6761">
              <w:rPr>
                <w:sz w:val="20"/>
                <w:szCs w:val="20"/>
              </w:rPr>
              <w:t>429</w:t>
            </w:r>
          </w:p>
        </w:tc>
        <w:tc>
          <w:tcPr>
            <w:tcW w:w="2693" w:type="dxa"/>
            <w:tcBorders>
              <w:top w:val="single" w:sz="4" w:space="0" w:color="auto"/>
              <w:left w:val="single" w:sz="4" w:space="0" w:color="auto"/>
              <w:bottom w:val="single" w:sz="4" w:space="0" w:color="auto"/>
              <w:right w:val="single" w:sz="4" w:space="0" w:color="auto"/>
            </w:tcBorders>
            <w:hideMark/>
          </w:tcPr>
          <w:p w14:paraId="28B6F8D8" w14:textId="77777777" w:rsidR="00BC7E36" w:rsidRPr="008D6761" w:rsidRDefault="00BC7E36" w:rsidP="008C6AC3">
            <w:pPr>
              <w:rPr>
                <w:sz w:val="20"/>
                <w:szCs w:val="20"/>
              </w:rPr>
            </w:pPr>
            <w:r w:rsidRPr="008D6761">
              <w:rPr>
                <w:sz w:val="20"/>
                <w:szCs w:val="20"/>
              </w:rPr>
              <w:t>110</w:t>
            </w:r>
          </w:p>
        </w:tc>
        <w:tc>
          <w:tcPr>
            <w:tcW w:w="2977" w:type="dxa"/>
            <w:tcBorders>
              <w:top w:val="single" w:sz="4" w:space="0" w:color="auto"/>
              <w:left w:val="single" w:sz="4" w:space="0" w:color="auto"/>
              <w:bottom w:val="single" w:sz="4" w:space="0" w:color="auto"/>
              <w:right w:val="single" w:sz="4" w:space="0" w:color="auto"/>
            </w:tcBorders>
            <w:hideMark/>
          </w:tcPr>
          <w:p w14:paraId="0E7537A9" w14:textId="77777777" w:rsidR="00BC7E36" w:rsidRPr="008D6761" w:rsidRDefault="00BC7E36" w:rsidP="008C6AC3">
            <w:pPr>
              <w:rPr>
                <w:sz w:val="20"/>
                <w:szCs w:val="20"/>
              </w:rPr>
            </w:pPr>
            <w:r w:rsidRPr="008D6761">
              <w:rPr>
                <w:sz w:val="20"/>
                <w:szCs w:val="20"/>
              </w:rPr>
              <w:t>13</w:t>
            </w:r>
          </w:p>
        </w:tc>
      </w:tr>
      <w:tr w:rsidR="00BC7E36" w14:paraId="65EDDCE2" w14:textId="77777777" w:rsidTr="008C6AC3">
        <w:tc>
          <w:tcPr>
            <w:tcW w:w="1803" w:type="dxa"/>
            <w:tcBorders>
              <w:top w:val="single" w:sz="4" w:space="0" w:color="auto"/>
              <w:left w:val="single" w:sz="4" w:space="0" w:color="auto"/>
              <w:bottom w:val="single" w:sz="4" w:space="0" w:color="auto"/>
              <w:right w:val="single" w:sz="4" w:space="0" w:color="auto"/>
            </w:tcBorders>
            <w:hideMark/>
          </w:tcPr>
          <w:p w14:paraId="09ADD7E0" w14:textId="77777777" w:rsidR="00BC7E36" w:rsidRPr="008D6761" w:rsidRDefault="00BC7E36" w:rsidP="008C6AC3">
            <w:pPr>
              <w:rPr>
                <w:sz w:val="20"/>
                <w:szCs w:val="20"/>
              </w:rPr>
            </w:pPr>
            <w:r w:rsidRPr="008D6761">
              <w:rPr>
                <w:sz w:val="20"/>
                <w:szCs w:val="20"/>
              </w:rPr>
              <w:t>Private Hospitals – Low exposure</w:t>
            </w:r>
          </w:p>
        </w:tc>
        <w:tc>
          <w:tcPr>
            <w:tcW w:w="1311" w:type="dxa"/>
            <w:tcBorders>
              <w:top w:val="single" w:sz="4" w:space="0" w:color="auto"/>
              <w:left w:val="single" w:sz="4" w:space="0" w:color="auto"/>
              <w:bottom w:val="single" w:sz="4" w:space="0" w:color="auto"/>
              <w:right w:val="single" w:sz="4" w:space="0" w:color="auto"/>
            </w:tcBorders>
            <w:hideMark/>
          </w:tcPr>
          <w:p w14:paraId="6D3F726E" w14:textId="77777777" w:rsidR="00BC7E36" w:rsidRPr="008D6761" w:rsidRDefault="00BC7E36" w:rsidP="008C6AC3">
            <w:pPr>
              <w:rPr>
                <w:sz w:val="20"/>
                <w:szCs w:val="20"/>
              </w:rPr>
            </w:pPr>
            <w:r w:rsidRPr="008D6761">
              <w:rPr>
                <w:sz w:val="20"/>
                <w:szCs w:val="20"/>
              </w:rPr>
              <w:t>713</w:t>
            </w:r>
          </w:p>
        </w:tc>
        <w:tc>
          <w:tcPr>
            <w:tcW w:w="2693" w:type="dxa"/>
            <w:tcBorders>
              <w:top w:val="single" w:sz="4" w:space="0" w:color="auto"/>
              <w:left w:val="single" w:sz="4" w:space="0" w:color="auto"/>
              <w:bottom w:val="single" w:sz="4" w:space="0" w:color="auto"/>
              <w:right w:val="single" w:sz="4" w:space="0" w:color="auto"/>
            </w:tcBorders>
            <w:hideMark/>
          </w:tcPr>
          <w:p w14:paraId="3615DFCC" w14:textId="77777777" w:rsidR="00BC7E36" w:rsidRPr="008D6761" w:rsidRDefault="00BC7E36" w:rsidP="008C6AC3">
            <w:pPr>
              <w:rPr>
                <w:sz w:val="20"/>
                <w:szCs w:val="20"/>
              </w:rPr>
            </w:pPr>
            <w:r w:rsidRPr="008D6761">
              <w:rPr>
                <w:sz w:val="20"/>
                <w:szCs w:val="20"/>
              </w:rPr>
              <w:t>432</w:t>
            </w:r>
          </w:p>
        </w:tc>
        <w:tc>
          <w:tcPr>
            <w:tcW w:w="2977" w:type="dxa"/>
            <w:tcBorders>
              <w:top w:val="single" w:sz="4" w:space="0" w:color="auto"/>
              <w:left w:val="single" w:sz="4" w:space="0" w:color="auto"/>
              <w:bottom w:val="single" w:sz="4" w:space="0" w:color="auto"/>
              <w:right w:val="single" w:sz="4" w:space="0" w:color="auto"/>
            </w:tcBorders>
            <w:hideMark/>
          </w:tcPr>
          <w:p w14:paraId="00375614" w14:textId="77777777" w:rsidR="00BC7E36" w:rsidRPr="008D6761" w:rsidRDefault="00BC7E36" w:rsidP="008C6AC3">
            <w:pPr>
              <w:rPr>
                <w:sz w:val="20"/>
                <w:szCs w:val="20"/>
              </w:rPr>
            </w:pPr>
            <w:r w:rsidRPr="008D6761">
              <w:rPr>
                <w:sz w:val="20"/>
                <w:szCs w:val="20"/>
              </w:rPr>
              <w:t>2</w:t>
            </w:r>
          </w:p>
        </w:tc>
      </w:tr>
      <w:tr w:rsidR="00335931" w14:paraId="5DF441A0" w14:textId="77777777" w:rsidTr="00580B41">
        <w:tc>
          <w:tcPr>
            <w:tcW w:w="1803" w:type="dxa"/>
            <w:tcBorders>
              <w:top w:val="single" w:sz="4" w:space="0" w:color="auto"/>
              <w:left w:val="single" w:sz="4" w:space="0" w:color="auto"/>
              <w:bottom w:val="single" w:sz="4" w:space="0" w:color="auto"/>
              <w:right w:val="single" w:sz="4" w:space="0" w:color="auto"/>
            </w:tcBorders>
            <w:hideMark/>
          </w:tcPr>
          <w:p w14:paraId="713FBCF7" w14:textId="77777777" w:rsidR="00335931" w:rsidRPr="008D6761" w:rsidRDefault="00335931" w:rsidP="008C6AC3">
            <w:pPr>
              <w:rPr>
                <w:sz w:val="20"/>
                <w:szCs w:val="20"/>
              </w:rPr>
            </w:pPr>
            <w:r w:rsidRPr="008D6761">
              <w:rPr>
                <w:sz w:val="20"/>
                <w:szCs w:val="20"/>
              </w:rPr>
              <w:t>Aged Care</w:t>
            </w:r>
          </w:p>
        </w:tc>
        <w:tc>
          <w:tcPr>
            <w:tcW w:w="69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2C60A" w14:textId="4203672C" w:rsidR="00335931" w:rsidRPr="00E90745" w:rsidRDefault="00335931" w:rsidP="008C6AC3">
            <w:pPr>
              <w:rPr>
                <w:i/>
                <w:iCs/>
                <w:sz w:val="20"/>
                <w:szCs w:val="20"/>
              </w:rPr>
            </w:pPr>
            <w:r w:rsidRPr="00E90745">
              <w:rPr>
                <w:i/>
                <w:iCs/>
                <w:sz w:val="20"/>
                <w:szCs w:val="20"/>
              </w:rPr>
              <w:t>explained below</w:t>
            </w:r>
          </w:p>
        </w:tc>
      </w:tr>
      <w:tr w:rsidR="00BC7E36" w14:paraId="695B0336" w14:textId="77777777" w:rsidTr="008C6AC3">
        <w:tc>
          <w:tcPr>
            <w:tcW w:w="1803" w:type="dxa"/>
            <w:tcBorders>
              <w:top w:val="single" w:sz="4" w:space="0" w:color="auto"/>
              <w:left w:val="single" w:sz="4" w:space="0" w:color="auto"/>
              <w:bottom w:val="single" w:sz="4" w:space="0" w:color="auto"/>
              <w:right w:val="single" w:sz="4" w:space="0" w:color="auto"/>
            </w:tcBorders>
            <w:hideMark/>
          </w:tcPr>
          <w:p w14:paraId="7E8688B6" w14:textId="77777777" w:rsidR="00BC7E36" w:rsidRPr="008D6761" w:rsidRDefault="00BC7E36" w:rsidP="008C6AC3">
            <w:pPr>
              <w:rPr>
                <w:sz w:val="20"/>
                <w:szCs w:val="20"/>
              </w:rPr>
            </w:pPr>
            <w:r w:rsidRPr="008D6761">
              <w:rPr>
                <w:sz w:val="20"/>
                <w:szCs w:val="20"/>
              </w:rPr>
              <w:t>Public Hospitals</w:t>
            </w:r>
          </w:p>
        </w:tc>
        <w:tc>
          <w:tcPr>
            <w:tcW w:w="1311" w:type="dxa"/>
            <w:tcBorders>
              <w:top w:val="single" w:sz="4" w:space="0" w:color="auto"/>
              <w:left w:val="single" w:sz="4" w:space="0" w:color="auto"/>
              <w:bottom w:val="single" w:sz="4" w:space="0" w:color="auto"/>
              <w:right w:val="single" w:sz="4" w:space="0" w:color="auto"/>
            </w:tcBorders>
            <w:hideMark/>
          </w:tcPr>
          <w:p w14:paraId="0A37BC69" w14:textId="5624CD45" w:rsidR="00BC7E36" w:rsidRPr="008D6761" w:rsidRDefault="00BC7E36" w:rsidP="008C6AC3">
            <w:pPr>
              <w:rPr>
                <w:sz w:val="20"/>
                <w:szCs w:val="20"/>
              </w:rPr>
            </w:pPr>
            <w:r w:rsidRPr="008D6761">
              <w:rPr>
                <w:sz w:val="20"/>
                <w:szCs w:val="20"/>
              </w:rPr>
              <w:t>5</w:t>
            </w:r>
            <w:r w:rsidR="00FD301D" w:rsidRPr="008D6761">
              <w:rPr>
                <w:sz w:val="20"/>
                <w:szCs w:val="20"/>
              </w:rPr>
              <w:t>,</w:t>
            </w:r>
            <w:r w:rsidRPr="008D6761">
              <w:rPr>
                <w:sz w:val="20"/>
                <w:szCs w:val="20"/>
              </w:rPr>
              <w:t>000</w:t>
            </w:r>
          </w:p>
        </w:tc>
        <w:tc>
          <w:tcPr>
            <w:tcW w:w="2693" w:type="dxa"/>
            <w:tcBorders>
              <w:top w:val="single" w:sz="4" w:space="0" w:color="auto"/>
              <w:left w:val="single" w:sz="4" w:space="0" w:color="auto"/>
              <w:bottom w:val="single" w:sz="4" w:space="0" w:color="auto"/>
              <w:right w:val="single" w:sz="4" w:space="0" w:color="auto"/>
            </w:tcBorders>
            <w:hideMark/>
          </w:tcPr>
          <w:p w14:paraId="1743B93A" w14:textId="77777777" w:rsidR="00BC7E36" w:rsidRPr="008D6761" w:rsidRDefault="00BC7E36" w:rsidP="008C6AC3">
            <w:pPr>
              <w:rPr>
                <w:sz w:val="20"/>
                <w:szCs w:val="20"/>
              </w:rPr>
            </w:pPr>
            <w:r w:rsidRPr="008D6761">
              <w:rPr>
                <w:sz w:val="20"/>
                <w:szCs w:val="20"/>
              </w:rPr>
              <w:t>686</w:t>
            </w:r>
          </w:p>
        </w:tc>
        <w:tc>
          <w:tcPr>
            <w:tcW w:w="2977" w:type="dxa"/>
            <w:tcBorders>
              <w:top w:val="single" w:sz="4" w:space="0" w:color="auto"/>
              <w:left w:val="single" w:sz="4" w:space="0" w:color="auto"/>
              <w:bottom w:val="single" w:sz="4" w:space="0" w:color="auto"/>
              <w:right w:val="single" w:sz="4" w:space="0" w:color="auto"/>
            </w:tcBorders>
            <w:hideMark/>
          </w:tcPr>
          <w:p w14:paraId="1C259893" w14:textId="77777777" w:rsidR="00BC7E36" w:rsidRPr="008D6761" w:rsidRDefault="00BC7E36" w:rsidP="008C6AC3">
            <w:pPr>
              <w:rPr>
                <w:sz w:val="20"/>
                <w:szCs w:val="20"/>
              </w:rPr>
            </w:pPr>
            <w:r w:rsidRPr="008D6761">
              <w:rPr>
                <w:sz w:val="20"/>
                <w:szCs w:val="20"/>
              </w:rPr>
              <w:t>7</w:t>
            </w:r>
          </w:p>
        </w:tc>
      </w:tr>
    </w:tbl>
    <w:p w14:paraId="06E547C8" w14:textId="77777777" w:rsidR="007977DE" w:rsidRDefault="007977DE" w:rsidP="004F005A"/>
    <w:p w14:paraId="350EE74B" w14:textId="73EABBC4" w:rsidR="00745093" w:rsidRPr="00745093" w:rsidRDefault="00745093" w:rsidP="001B34CA">
      <w:r w:rsidRPr="00745093">
        <w:t>Batch reporting calculation</w:t>
      </w:r>
      <w:r w:rsidR="006C4606">
        <w:t>s</w:t>
      </w:r>
      <w:r>
        <w:t xml:space="preserve"> </w:t>
      </w:r>
      <w:r w:rsidRPr="00745093">
        <w:t xml:space="preserve">for all classes </w:t>
      </w:r>
      <w:r>
        <w:t xml:space="preserve">of reportable medical devices reflect </w:t>
      </w:r>
      <w:r w:rsidRPr="00745093">
        <w:t>the maximum reporting frequency (i.e., 1 per month, 12 annually). E.g., for Option</w:t>
      </w:r>
      <w:r>
        <w:t>s</w:t>
      </w:r>
      <w:r w:rsidRPr="00745093">
        <w:t xml:space="preserve"> 3</w:t>
      </w:r>
      <w:r>
        <w:t>A</w:t>
      </w:r>
      <w:r w:rsidRPr="00745093">
        <w:t xml:space="preserve"> and 4</w:t>
      </w:r>
      <w:r>
        <w:t>A</w:t>
      </w:r>
      <w:r w:rsidRPr="00745093">
        <w:t>:</w:t>
      </w:r>
    </w:p>
    <w:p w14:paraId="17CBE6D0" w14:textId="15DD6F8A" w:rsidR="00745093" w:rsidRPr="00745093" w:rsidRDefault="00745093" w:rsidP="00745093">
      <w:pPr>
        <w:numPr>
          <w:ilvl w:val="1"/>
          <w:numId w:val="65"/>
        </w:numPr>
      </w:pPr>
      <w:r w:rsidRPr="00745093">
        <w:t xml:space="preserve">for high exposure hospitals, the total incidents per year is </w:t>
      </w:r>
      <w:r w:rsidR="006C4606">
        <w:t xml:space="preserve">assumed to be </w:t>
      </w:r>
      <w:r w:rsidRPr="00745093">
        <w:t>28 across all classes</w:t>
      </w:r>
      <w:r>
        <w:t xml:space="preserve"> of devices</w:t>
      </w:r>
      <w:r w:rsidRPr="00745093">
        <w:t>, however</w:t>
      </w:r>
      <w:r>
        <w:t>,</w:t>
      </w:r>
      <w:r w:rsidRPr="00745093">
        <w:t xml:space="preserve"> they will only produce a maximum of 12 batch reports</w:t>
      </w:r>
      <w:r>
        <w:t>.</w:t>
      </w:r>
    </w:p>
    <w:p w14:paraId="3742767F" w14:textId="0ECD00C5" w:rsidR="00745093" w:rsidRDefault="00745093" w:rsidP="001B34CA">
      <w:pPr>
        <w:numPr>
          <w:ilvl w:val="1"/>
          <w:numId w:val="65"/>
        </w:numPr>
      </w:pPr>
      <w:r w:rsidRPr="00745093">
        <w:t xml:space="preserve">for medium exposure hospitals, the total incidents per year is </w:t>
      </w:r>
      <w:r w:rsidR="006C4606">
        <w:t xml:space="preserve">assumed to be </w:t>
      </w:r>
      <w:r w:rsidRPr="00745093">
        <w:t>13 across all classes</w:t>
      </w:r>
      <w:r>
        <w:t xml:space="preserve"> of devices. </w:t>
      </w:r>
      <w:r w:rsidR="006C4606">
        <w:t>S</w:t>
      </w:r>
      <w:r w:rsidRPr="00745093">
        <w:t>imilarly, a maximum of 12 batch reports will be produced</w:t>
      </w:r>
      <w:r>
        <w:t xml:space="preserve">. </w:t>
      </w:r>
    </w:p>
    <w:p w14:paraId="5B82DF17" w14:textId="793D1458" w:rsidR="004F005A" w:rsidRDefault="004F005A" w:rsidP="004F005A">
      <w:r>
        <w:t>For Aged care we</w:t>
      </w:r>
      <w:r w:rsidR="00681668">
        <w:t xml:space="preserve"> have</w:t>
      </w:r>
      <w:r>
        <w:t xml:space="preserve"> assumed 2 per year in line with Low exposure hospitals for now, and for Public Hospitals the calculated rate is akin to a blended rate for the private hospitals and is </w:t>
      </w:r>
      <w:r w:rsidR="00EE7C37">
        <w:t xml:space="preserve">approximately 7 </w:t>
      </w:r>
      <w:r>
        <w:t>per year.</w:t>
      </w:r>
      <w:r w:rsidR="00574834">
        <w:t xml:space="preserve"> </w:t>
      </w:r>
      <w:r>
        <w:t>The private hospitals have been split into three groups reflecting high, medium and low exposure to potential incidents with the split being based on their size and the nature of their activities</w:t>
      </w:r>
      <w:r w:rsidR="00574834">
        <w:t>.</w:t>
      </w:r>
    </w:p>
    <w:p w14:paraId="60A9A1AC" w14:textId="6C75F42C" w:rsidR="00574834" w:rsidRDefault="00E244A5" w:rsidP="0079175B">
      <w:pPr>
        <w:pStyle w:val="Caption"/>
      </w:pPr>
      <w:r>
        <w:rPr>
          <w:noProof/>
          <w:lang w:eastAsia="en-AU"/>
        </w:rPr>
        <w:drawing>
          <wp:anchor distT="0" distB="0" distL="114300" distR="114300" simplePos="0" relativeHeight="251676160" behindDoc="0" locked="0" layoutInCell="1" allowOverlap="1" wp14:anchorId="1526F073" wp14:editId="68D2CA6A">
            <wp:simplePos x="0" y="0"/>
            <wp:positionH relativeFrom="margin">
              <wp:align>left</wp:align>
            </wp:positionH>
            <wp:positionV relativeFrom="paragraph">
              <wp:posOffset>194670</wp:posOffset>
            </wp:positionV>
            <wp:extent cx="2597697" cy="2493033"/>
            <wp:effectExtent l="0" t="0" r="0" b="2540"/>
            <wp:wrapTopAndBottom/>
            <wp:docPr id="949208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7697" cy="2493033"/>
                    </a:xfrm>
                    <a:prstGeom prst="rect">
                      <a:avLst/>
                    </a:prstGeom>
                    <a:noFill/>
                  </pic:spPr>
                </pic:pic>
              </a:graphicData>
            </a:graphic>
          </wp:anchor>
        </w:drawing>
      </w:r>
      <w:r w:rsidR="00574834">
        <w:t xml:space="preserve">Figure </w:t>
      </w:r>
      <w:r w:rsidR="002D41F4">
        <w:t>2</w:t>
      </w:r>
      <w:r w:rsidR="008056A1">
        <w:t>5</w:t>
      </w:r>
      <w:r w:rsidR="002D41F4">
        <w:t xml:space="preserve"> -</w:t>
      </w:r>
      <w:r w:rsidR="00574834">
        <w:t xml:space="preserve"> </w:t>
      </w:r>
      <w:r>
        <w:t>Private hospital categories</w:t>
      </w:r>
    </w:p>
    <w:p w14:paraId="6635B5F5" w14:textId="20E5DD30" w:rsidR="00B050F6" w:rsidRDefault="00B050F6" w:rsidP="00B050F6">
      <w:pPr>
        <w:pStyle w:val="Heading5"/>
      </w:pPr>
      <w:r>
        <w:t>Reporting functionality</w:t>
      </w:r>
    </w:p>
    <w:p w14:paraId="2D0A7C7A" w14:textId="09885EFA" w:rsidR="00B41745" w:rsidRDefault="006F3752" w:rsidP="00B050F6">
      <w:r>
        <w:t xml:space="preserve">A key design consideration is </w:t>
      </w:r>
      <w:r w:rsidR="00B41745">
        <w:t xml:space="preserve">to </w:t>
      </w:r>
      <w:r w:rsidR="00F95A28">
        <w:t xml:space="preserve">avoid, as much as </w:t>
      </w:r>
      <w:r w:rsidR="006E418C">
        <w:t>is practical</w:t>
      </w:r>
      <w:r w:rsidR="00C21207">
        <w:t>,</w:t>
      </w:r>
      <w:r w:rsidR="00F95A28">
        <w:t xml:space="preserve"> the duplication of data entry and/or analysis in relation to incident reporting. </w:t>
      </w:r>
      <w:r w:rsidR="004140C7">
        <w:t xml:space="preserve">It is assumed that each </w:t>
      </w:r>
      <w:r w:rsidR="00D86879">
        <w:t>r</w:t>
      </w:r>
      <w:r w:rsidR="00802809">
        <w:t>eporting</w:t>
      </w:r>
      <w:r w:rsidR="00D86879">
        <w:t xml:space="preserve"> entity has </w:t>
      </w:r>
      <w:r w:rsidR="002B441B">
        <w:t xml:space="preserve">some form of incident management </w:t>
      </w:r>
      <w:r w:rsidR="0095289E">
        <w:t>system.</w:t>
      </w:r>
      <w:r w:rsidR="00AA3E45">
        <w:t xml:space="preserve"> Leveraging the data captured in such systems </w:t>
      </w:r>
      <w:r w:rsidR="00977BE8">
        <w:t xml:space="preserve">would likely reduce the arising regulatory burden </w:t>
      </w:r>
      <w:r w:rsidR="00E86247">
        <w:t>of mandatory reporting.</w:t>
      </w:r>
    </w:p>
    <w:p w14:paraId="5F90CF3E" w14:textId="6ACA8660" w:rsidR="00B050F6" w:rsidRDefault="00EB6542" w:rsidP="00B050F6">
      <w:r w:rsidRPr="00EB6542">
        <w:t xml:space="preserve">All </w:t>
      </w:r>
      <w:r w:rsidR="0045221D">
        <w:t xml:space="preserve">Australian </w:t>
      </w:r>
      <w:r w:rsidRPr="00EB6542">
        <w:t xml:space="preserve">public and private hospitals, day procedure services and public dental practices are required to be accredited to the </w:t>
      </w:r>
      <w:r w:rsidR="00EC31AB">
        <w:t>NSQHS</w:t>
      </w:r>
      <w:r w:rsidRPr="00EB6542">
        <w:t xml:space="preserve"> Standards.</w:t>
      </w:r>
      <w:r w:rsidR="00CE340C">
        <w:t xml:space="preserve"> Under the Clinical Governance Standard (one of eight standards that collectively comprise the N</w:t>
      </w:r>
      <w:r w:rsidR="0004303D">
        <w:t>SQHS Standards)</w:t>
      </w:r>
      <w:r w:rsidR="00C82507">
        <w:t xml:space="preserve">, in the </w:t>
      </w:r>
      <w:r w:rsidR="007D3CE1">
        <w:t xml:space="preserve">‘Patient safety and quality systems’ </w:t>
      </w:r>
      <w:r w:rsidR="008177FD">
        <w:t>criteria</w:t>
      </w:r>
      <w:r w:rsidR="00B00AE0">
        <w:t>, health service organisations are to have ‘organisation-wide incident management and investigation</w:t>
      </w:r>
      <w:r w:rsidR="0054086E">
        <w:t xml:space="preserve"> systems</w:t>
      </w:r>
      <w:r w:rsidR="00C94001">
        <w:t>’</w:t>
      </w:r>
      <w:r w:rsidR="00C21EB1">
        <w:t xml:space="preserve">. The listed elements </w:t>
      </w:r>
      <w:r w:rsidR="00EF1BC5">
        <w:t>for incident management systems are detailed in the figure below.</w:t>
      </w:r>
    </w:p>
    <w:p w14:paraId="43B8E3D6" w14:textId="7DAD2CBE" w:rsidR="000E5552" w:rsidRDefault="0001347B" w:rsidP="0060080A">
      <w:pPr>
        <w:pStyle w:val="Caption"/>
        <w:keepNext/>
        <w:widowControl w:val="0"/>
      </w:pPr>
      <w:r>
        <w:t>F</w:t>
      </w:r>
      <w:r w:rsidR="000E5552">
        <w:t xml:space="preserve">igure </w:t>
      </w:r>
      <w:r w:rsidR="002D41F4">
        <w:t>2</w:t>
      </w:r>
      <w:r w:rsidR="008056A1">
        <w:t>6</w:t>
      </w:r>
      <w:r w:rsidR="002D41F4">
        <w:t xml:space="preserve"> -</w:t>
      </w:r>
      <w:r w:rsidR="00FF4BDF">
        <w:t xml:space="preserve"> </w:t>
      </w:r>
      <w:r w:rsidR="00717860">
        <w:t>Standard</w:t>
      </w:r>
      <w:r w:rsidR="00026F08">
        <w:t xml:space="preserve">s requirements for </w:t>
      </w:r>
      <w:r w:rsidR="009130A1">
        <w:t>incident management systems</w:t>
      </w:r>
      <w:r w:rsidR="007E1620">
        <w:rPr>
          <w:rStyle w:val="FootnoteReference"/>
        </w:rPr>
        <w:footnoteReference w:id="101"/>
      </w:r>
    </w:p>
    <w:p w14:paraId="28BE4ED2" w14:textId="083B1EC9" w:rsidR="00EF1BC5" w:rsidRDefault="000E5552" w:rsidP="00B050F6">
      <w:r w:rsidRPr="000E5552">
        <w:rPr>
          <w:noProof/>
          <w:lang w:eastAsia="en-AU"/>
        </w:rPr>
        <w:drawing>
          <wp:inline distT="0" distB="0" distL="0" distR="0" wp14:anchorId="6FECAB35" wp14:editId="165AD3EB">
            <wp:extent cx="5597718" cy="2659319"/>
            <wp:effectExtent l="0" t="0" r="3175" b="8255"/>
            <wp:docPr id="25037335" name="Picture 250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7335" name=""/>
                    <pic:cNvPicPr/>
                  </pic:nvPicPr>
                  <pic:blipFill>
                    <a:blip r:embed="rId37"/>
                    <a:stretch>
                      <a:fillRect/>
                    </a:stretch>
                  </pic:blipFill>
                  <pic:spPr>
                    <a:xfrm>
                      <a:off x="0" y="0"/>
                      <a:ext cx="5612957" cy="2666559"/>
                    </a:xfrm>
                    <a:prstGeom prst="rect">
                      <a:avLst/>
                    </a:prstGeom>
                  </pic:spPr>
                </pic:pic>
              </a:graphicData>
            </a:graphic>
          </wp:inline>
        </w:drawing>
      </w:r>
    </w:p>
    <w:p w14:paraId="543CD575" w14:textId="49B80773" w:rsidR="007277CE" w:rsidRDefault="00B36C47" w:rsidP="0001347B">
      <w:r>
        <w:t>A variety of incident management systems are utilised across the sector</w:t>
      </w:r>
      <w:r w:rsidR="00C86955">
        <w:t xml:space="preserve">. These </w:t>
      </w:r>
      <w:r w:rsidR="00B107A2">
        <w:t xml:space="preserve">mostly cloud-based </w:t>
      </w:r>
      <w:r w:rsidR="00C86955">
        <w:t>s</w:t>
      </w:r>
      <w:r w:rsidR="001F08F8">
        <w:t>ystems range from those in widespread use across both public and private hospitals</w:t>
      </w:r>
      <w:r w:rsidR="00565A0A">
        <w:t xml:space="preserve"> to </w:t>
      </w:r>
      <w:r w:rsidR="002F2AAE">
        <w:t xml:space="preserve">likely bespoke </w:t>
      </w:r>
      <w:r w:rsidR="006E1B43">
        <w:t xml:space="preserve">systems </w:t>
      </w:r>
      <w:r w:rsidR="00597889">
        <w:t xml:space="preserve">(including paper-based reporting) </w:t>
      </w:r>
      <w:r w:rsidR="006E1B43">
        <w:t xml:space="preserve">utilised by smaller providers. </w:t>
      </w:r>
      <w:r w:rsidR="00CC27CC">
        <w:t>Amongst those with widespread use are commercial system</w:t>
      </w:r>
      <w:r w:rsidR="00556334">
        <w:t>s utilising RL Datix platforms (</w:t>
      </w:r>
      <w:r w:rsidR="00FC73CA">
        <w:t xml:space="preserve">such as </w:t>
      </w:r>
      <w:r w:rsidR="00E86B26">
        <w:t>RiskMan</w:t>
      </w:r>
      <w:r w:rsidR="00556334">
        <w:t xml:space="preserve">) </w:t>
      </w:r>
      <w:r w:rsidR="00FC73CA">
        <w:t xml:space="preserve">and </w:t>
      </w:r>
      <w:r w:rsidR="00F46514">
        <w:t xml:space="preserve">those developed inhouse, such as </w:t>
      </w:r>
      <w:r w:rsidR="00FB67DB">
        <w:t xml:space="preserve">NSW Health’s </w:t>
      </w:r>
      <w:r w:rsidR="00724D45">
        <w:t>Inci</w:t>
      </w:r>
      <w:r w:rsidR="00724D45" w:rsidRPr="00A33039">
        <w:t>dent Management System (</w:t>
      </w:r>
      <w:r w:rsidR="0080310C">
        <w:t>IMS</w:t>
      </w:r>
      <w:r w:rsidR="00951981" w:rsidRPr="00A33039">
        <w:t xml:space="preserve">+), </w:t>
      </w:r>
      <w:r w:rsidR="003E6EBC" w:rsidRPr="00A33039">
        <w:t xml:space="preserve">and the Victorian Health Incident Management System (VHIMS). </w:t>
      </w:r>
      <w:r w:rsidR="00312326">
        <w:t xml:space="preserve">These changes will need to be negotiated by jurisdictions with vendors. </w:t>
      </w:r>
      <w:r w:rsidR="00572613">
        <w:t xml:space="preserve">At the same time, the TGA </w:t>
      </w:r>
      <w:r w:rsidR="006226A1">
        <w:t>w</w:t>
      </w:r>
      <w:r w:rsidR="00572613">
        <w:t>ould maintain access to online web forms</w:t>
      </w:r>
      <w:r w:rsidR="005709E2">
        <w:t xml:space="preserve">, portal and email </w:t>
      </w:r>
      <w:r w:rsidR="00B31871">
        <w:t>attachment</w:t>
      </w:r>
      <w:r w:rsidR="005709E2">
        <w:t xml:space="preserve"> provision</w:t>
      </w:r>
      <w:r w:rsidR="00B31871">
        <w:t>s</w:t>
      </w:r>
      <w:r w:rsidR="00572613">
        <w:t xml:space="preserve"> to allow individual case reporting by smaller organisations which may not have the systems or volume of medical device-related adverse events to support electronic data transfer.</w:t>
      </w:r>
    </w:p>
    <w:p w14:paraId="0F043A1A" w14:textId="528343A5" w:rsidR="00304728" w:rsidRDefault="00241270" w:rsidP="0001347B">
      <w:r>
        <w:t xml:space="preserve">Once the TGA has determined the </w:t>
      </w:r>
      <w:r w:rsidR="00AD7663">
        <w:t>data tra</w:t>
      </w:r>
      <w:r w:rsidR="00D47269">
        <w:t>nsmission format(s)</w:t>
      </w:r>
      <w:r w:rsidR="00D47269">
        <w:rPr>
          <w:rStyle w:val="FootnoteReference"/>
        </w:rPr>
        <w:footnoteReference w:id="102"/>
      </w:r>
      <w:r w:rsidR="00D47269">
        <w:t xml:space="preserve"> and specifications </w:t>
      </w:r>
      <w:r w:rsidR="00A655F6">
        <w:t xml:space="preserve">for the </w:t>
      </w:r>
      <w:r w:rsidR="00CD3F64">
        <w:t>minimum dataset</w:t>
      </w:r>
      <w:r w:rsidR="00A655F6">
        <w:t xml:space="preserve">, </w:t>
      </w:r>
      <w:r w:rsidR="00F6209D">
        <w:t xml:space="preserve">then all software vendors </w:t>
      </w:r>
      <w:r w:rsidR="00560AAA">
        <w:t xml:space="preserve">will then be able to </w:t>
      </w:r>
      <w:r w:rsidR="001B7CD9">
        <w:t xml:space="preserve">develop/modify </w:t>
      </w:r>
      <w:r w:rsidR="000E7C3D">
        <w:t>their systems to the agreed standard</w:t>
      </w:r>
      <w:r w:rsidR="00FA5551">
        <w:t xml:space="preserve">, to accommodate the necessary data transfer. </w:t>
      </w:r>
      <w:r w:rsidR="005D6E82">
        <w:t xml:space="preserve">It is anticipated that </w:t>
      </w:r>
      <w:r w:rsidR="00B22401">
        <w:t>systems managed by the TGA</w:t>
      </w:r>
      <w:r w:rsidR="00480D38">
        <w:t xml:space="preserve"> and those managed by jurisdictions/corporations would be configured to enable batch processing of incident notifications </w:t>
      </w:r>
      <w:r w:rsidR="00420F2A">
        <w:t xml:space="preserve">at agreed </w:t>
      </w:r>
      <w:r w:rsidR="00F162C9">
        <w:t>time intervals (e.g., daily</w:t>
      </w:r>
      <w:r w:rsidR="008F6017">
        <w:t xml:space="preserve"> or monthly</w:t>
      </w:r>
      <w:r w:rsidR="00F162C9">
        <w:t xml:space="preserve">). </w:t>
      </w:r>
      <w:r w:rsidR="00A75A03">
        <w:t xml:space="preserve"> </w:t>
      </w:r>
    </w:p>
    <w:p w14:paraId="3123AB82" w14:textId="7BA483C4" w:rsidR="00F33AFA" w:rsidRDefault="0001347B" w:rsidP="0001347B">
      <w:r>
        <w:t>The TGA notes there is a variety of taxonomies</w:t>
      </w:r>
      <w:r>
        <w:rPr>
          <w:rStyle w:val="FootnoteReference"/>
        </w:rPr>
        <w:footnoteReference w:id="103"/>
      </w:r>
      <w:r>
        <w:t xml:space="preserve"> for classifying incidents for public hospital reporting across jurisdictions. While there is a significant correlation between the continuum of outcomes (from death to no harm) and the level of incident, there are definitional differences and variance in how near misses are treated. </w:t>
      </w:r>
      <w:r w:rsidR="00FA016F">
        <w:t xml:space="preserve">The TGA also notes </w:t>
      </w:r>
      <w:r w:rsidR="00E959AD">
        <w:t xml:space="preserve">that there are multiple </w:t>
      </w:r>
      <w:r w:rsidR="004118EB">
        <w:t>data repositories</w:t>
      </w:r>
      <w:r w:rsidR="00B45228">
        <w:t>, including:</w:t>
      </w:r>
    </w:p>
    <w:p w14:paraId="0A2EFD83" w14:textId="756E38AE" w:rsidR="00B45228" w:rsidRDefault="008271E0" w:rsidP="00B45228">
      <w:pPr>
        <w:pStyle w:val="Bullet1"/>
      </w:pPr>
      <w:r>
        <w:t xml:space="preserve">electronic and paper-based medical records (for symptom </w:t>
      </w:r>
      <w:r w:rsidR="007266C5">
        <w:t>related data)</w:t>
      </w:r>
    </w:p>
    <w:p w14:paraId="1DE90B5E" w14:textId="57507F9F" w:rsidR="007266C5" w:rsidRDefault="007266C5" w:rsidP="00B45228">
      <w:pPr>
        <w:pStyle w:val="Bullet1"/>
      </w:pPr>
      <w:r>
        <w:t>incident management systems (for events that impact upon patients)</w:t>
      </w:r>
    </w:p>
    <w:p w14:paraId="595CFFFB" w14:textId="1757E7B6" w:rsidR="00090003" w:rsidRDefault="00090003" w:rsidP="00B45228">
      <w:pPr>
        <w:pStyle w:val="Bullet1"/>
      </w:pPr>
      <w:r>
        <w:t xml:space="preserve">workplace </w:t>
      </w:r>
      <w:r w:rsidR="00070985">
        <w:t>health and safety systems (for incidents that impact upon staff)</w:t>
      </w:r>
    </w:p>
    <w:p w14:paraId="7BA6FBF2" w14:textId="65384305" w:rsidR="00070985" w:rsidRDefault="00070985" w:rsidP="00B45228">
      <w:pPr>
        <w:pStyle w:val="Bullet1"/>
      </w:pPr>
      <w:r>
        <w:t>equipment maintenance records or databases</w:t>
      </w:r>
    </w:p>
    <w:p w14:paraId="7FFF4767" w14:textId="615CAB81" w:rsidR="006119BE" w:rsidRDefault="006119BE" w:rsidP="00B45228">
      <w:pPr>
        <w:pStyle w:val="Bullet1"/>
      </w:pPr>
      <w:r>
        <w:t>hospital purchasing records (e.g. for returned products)</w:t>
      </w:r>
    </w:p>
    <w:p w14:paraId="31511A29" w14:textId="7A93AF4D" w:rsidR="006119BE" w:rsidRDefault="006119BE" w:rsidP="00B45228">
      <w:pPr>
        <w:pStyle w:val="Bullet1"/>
      </w:pPr>
      <w:r>
        <w:t xml:space="preserve">patient/staff complaints data. </w:t>
      </w:r>
    </w:p>
    <w:p w14:paraId="61EEDF7D" w14:textId="37479BA1" w:rsidR="0001347B" w:rsidRDefault="006119BE" w:rsidP="0001347B">
      <w:r>
        <w:t>Th</w:t>
      </w:r>
      <w:r w:rsidR="00725D89">
        <w:t>ese systems and associated data repositories</w:t>
      </w:r>
      <w:r w:rsidR="00BC6075">
        <w:t xml:space="preserve"> </w:t>
      </w:r>
      <w:r w:rsidR="001C1E22">
        <w:t xml:space="preserve">have limited integration </w:t>
      </w:r>
      <w:r w:rsidR="00F35987">
        <w:t xml:space="preserve">and </w:t>
      </w:r>
      <w:r w:rsidR="001C7009">
        <w:t xml:space="preserve">often </w:t>
      </w:r>
      <w:r w:rsidR="00F35987">
        <w:t xml:space="preserve">limited scope for generating and exporting </w:t>
      </w:r>
      <w:r w:rsidR="001C7009">
        <w:t>data</w:t>
      </w:r>
      <w:r w:rsidR="00F35987">
        <w:t xml:space="preserve"> in </w:t>
      </w:r>
      <w:r w:rsidR="001C7009">
        <w:t xml:space="preserve">a </w:t>
      </w:r>
      <w:r w:rsidR="00F35987">
        <w:t xml:space="preserve">standard format. </w:t>
      </w:r>
      <w:r w:rsidR="00C50426">
        <w:t>In particular</w:t>
      </w:r>
      <w:r w:rsidR="001C7009">
        <w:t xml:space="preserve">, </w:t>
      </w:r>
      <w:r w:rsidR="00C50426">
        <w:t>stakeholder</w:t>
      </w:r>
      <w:r w:rsidR="00DB49A3">
        <w:t>s</w:t>
      </w:r>
      <w:r w:rsidR="00C50426">
        <w:t xml:space="preserve"> noted during roundtable discussions that </w:t>
      </w:r>
      <w:r w:rsidR="00627268">
        <w:t xml:space="preserve">adverse events </w:t>
      </w:r>
      <w:r w:rsidR="0001105F">
        <w:t xml:space="preserve">arising from </w:t>
      </w:r>
      <w:r w:rsidR="00D96ECD">
        <w:t xml:space="preserve">previous use of a medical device or </w:t>
      </w:r>
      <w:r w:rsidR="00A30C8F">
        <w:t xml:space="preserve">for near misses would not usually be captured in existing hospital </w:t>
      </w:r>
      <w:r w:rsidR="00BB4C70">
        <w:t>incident management systems</w:t>
      </w:r>
      <w:r w:rsidR="007947C4">
        <w:t xml:space="preserve">, though could be captured in </w:t>
      </w:r>
      <w:r w:rsidR="005C6DAD">
        <w:t>patient medical records or systems.</w:t>
      </w:r>
      <w:r w:rsidR="00343C0A">
        <w:t xml:space="preserve"> Additionally, the security and integrity of the interfaces between this system, particular in relation to the handling of sensitive personal data, will be a critical design consideration for the implementation of mandatory reporting. </w:t>
      </w:r>
      <w:r w:rsidR="00BF292F">
        <w:t xml:space="preserve">Based on stakeholder consultations, the data fields proposed for </w:t>
      </w:r>
      <w:r w:rsidR="00673091">
        <w:t>reporting</w:t>
      </w:r>
      <w:r w:rsidR="00BF292F">
        <w:t xml:space="preserve"> will be structured to ensure that only de-identified information is required. Minimal free text data will be </w:t>
      </w:r>
      <w:r w:rsidR="00673091">
        <w:t>collected,</w:t>
      </w:r>
      <w:r w:rsidR="00BF292F">
        <w:t xml:space="preserve"> and personal details will not be </w:t>
      </w:r>
      <w:r w:rsidR="00673091">
        <w:t>requested</w:t>
      </w:r>
      <w:r w:rsidR="00BF292F">
        <w:t xml:space="preserve"> </w:t>
      </w:r>
      <w:r w:rsidR="00673091">
        <w:t>as part of the reporting process.</w:t>
      </w:r>
    </w:p>
    <w:p w14:paraId="49B546C2" w14:textId="0B590A1D" w:rsidR="00F606E3" w:rsidRDefault="00427214" w:rsidP="00BB6B93">
      <w:r>
        <w:t>Incident notificat</w:t>
      </w:r>
      <w:r w:rsidR="002F4B2E">
        <w:t>ions are routinely screen</w:t>
      </w:r>
      <w:r w:rsidR="00A6642E">
        <w:t>ed</w:t>
      </w:r>
      <w:r w:rsidR="002F4B2E">
        <w:t xml:space="preserve"> within 5 working days of submission</w:t>
      </w:r>
      <w:r w:rsidR="008D2B6F">
        <w:t xml:space="preserve"> and undergo an initial triaging </w:t>
      </w:r>
      <w:r w:rsidR="009C0078">
        <w:t xml:space="preserve">to assign an initial level of urgency for follow-up activities. </w:t>
      </w:r>
      <w:r w:rsidR="0072021C">
        <w:t>A key consideration here is the potential severity of the impact associated with an adverse event</w:t>
      </w:r>
      <w:r w:rsidR="00A25A9E">
        <w:t xml:space="preserve"> with the </w:t>
      </w:r>
      <w:r w:rsidR="00484AC2">
        <w:t xml:space="preserve">required information to enable the </w:t>
      </w:r>
      <w:r w:rsidR="002143BF">
        <w:t xml:space="preserve">TGA to make a rapid initial determination of the likelihood of </w:t>
      </w:r>
      <w:r w:rsidR="000E095F">
        <w:t>a broader public health t</w:t>
      </w:r>
      <w:r w:rsidR="000E74D4">
        <w:t>hrea</w:t>
      </w:r>
      <w:r w:rsidR="00C941A4">
        <w:t>t</w:t>
      </w:r>
      <w:r w:rsidR="00673F20">
        <w:t xml:space="preserve"> or preventable deaths or ser</w:t>
      </w:r>
      <w:r w:rsidR="00001EB5">
        <w:t>i</w:t>
      </w:r>
      <w:r w:rsidR="00673F20">
        <w:t xml:space="preserve">ous impairments. </w:t>
      </w:r>
      <w:r w:rsidR="00BB6B93">
        <w:t>Noting this, t</w:t>
      </w:r>
      <w:r w:rsidR="0001347B">
        <w:t>he current TGA ‘Users Medical Device Incident Report’ requires compilers to categorise the health consequences</w:t>
      </w:r>
      <w:r w:rsidR="0001347B">
        <w:rPr>
          <w:rStyle w:val="FootnoteReference"/>
        </w:rPr>
        <w:footnoteReference w:id="104"/>
      </w:r>
      <w:r w:rsidR="0001347B">
        <w:t xml:space="preserve"> but also requires a free form text description of the event (incident) and outcome. Currently, received adverse events reports are ‘coded’ by TGA staff against the relevant adverse event reporting terminologies defined by the International Medical Devices Regulator</w:t>
      </w:r>
      <w:r w:rsidR="007F0180">
        <w:t>s</w:t>
      </w:r>
      <w:r w:rsidR="0001347B">
        <w:t xml:space="preserve"> For</w:t>
      </w:r>
      <w:r w:rsidR="007F0180">
        <w:t>u</w:t>
      </w:r>
      <w:r w:rsidR="0001347B">
        <w:t>m (IMDRF). This coding is required for internationally harmonised trend analysis of adverse event reports.</w:t>
      </w:r>
      <w:r w:rsidR="00D0272B">
        <w:t xml:space="preserve"> </w:t>
      </w:r>
      <w:r w:rsidR="00422110">
        <w:t xml:space="preserve">The current </w:t>
      </w:r>
      <w:r w:rsidR="003C24D7">
        <w:t xml:space="preserve">version </w:t>
      </w:r>
      <w:r w:rsidR="000B683E">
        <w:t xml:space="preserve">was published in </w:t>
      </w:r>
      <w:r w:rsidR="00612BBE">
        <w:t>March 2020</w:t>
      </w:r>
      <w:r w:rsidR="002C064D">
        <w:t xml:space="preserve"> and incorporate three levels of categorisation</w:t>
      </w:r>
      <w:r w:rsidR="00D11628">
        <w:t xml:space="preserve"> that allow the capturing of the problem encountered at the device level from an observational rather than </w:t>
      </w:r>
      <w:r w:rsidR="00A277FE">
        <w:t>diagnostic (</w:t>
      </w:r>
      <w:r w:rsidR="00883BC4">
        <w:t>describing possible reasons for causes for the problem o</w:t>
      </w:r>
      <w:r w:rsidR="000B2815">
        <w:t xml:space="preserve">r failures observed) </w:t>
      </w:r>
      <w:r w:rsidR="00167C30">
        <w:t>basis.</w:t>
      </w:r>
      <w:r w:rsidR="00210B73">
        <w:t xml:space="preserve"> These terms are listed in Annex A to </w:t>
      </w:r>
      <w:r w:rsidR="007F7BFF" w:rsidRPr="007F7BFF">
        <w:rPr>
          <w:i/>
          <w:iCs/>
        </w:rPr>
        <w:t>IMDRF terminologies for categorized Adverse Event Reporting (AER): terms, terminology structure and codes</w:t>
      </w:r>
      <w:r w:rsidR="00670B4E">
        <w:rPr>
          <w:i/>
          <w:iCs/>
        </w:rPr>
        <w:t xml:space="preserve">. </w:t>
      </w:r>
      <w:r w:rsidR="00B15F70">
        <w:t xml:space="preserve">Level 1 identifies </w:t>
      </w:r>
      <w:r w:rsidR="00DE5F55" w:rsidRPr="00125996">
        <w:t xml:space="preserve">23 </w:t>
      </w:r>
      <w:r w:rsidR="00B15F70">
        <w:t>specific problem categories</w:t>
      </w:r>
      <w:r w:rsidR="00C263A5">
        <w:t>,</w:t>
      </w:r>
      <w:r w:rsidR="006B0937">
        <w:t xml:space="preserve"> and these constitute the minimum level of coding by national jurisdictions. </w:t>
      </w:r>
      <w:r w:rsidR="00F606E3">
        <w:t>These categories are detailed in the table below.</w:t>
      </w:r>
    </w:p>
    <w:p w14:paraId="77CA0212" w14:textId="1C6BC7A5" w:rsidR="007E1620" w:rsidRDefault="007E1620">
      <w:pPr>
        <w:rPr>
          <w:i/>
          <w:iCs/>
          <w:color w:val="0E2841" w:themeColor="text2"/>
          <w:kern w:val="2"/>
          <w:sz w:val="18"/>
          <w:szCs w:val="18"/>
          <w14:ligatures w14:val="standardContextual"/>
        </w:rPr>
      </w:pPr>
    </w:p>
    <w:p w14:paraId="0D04C10C" w14:textId="3512D63B" w:rsidR="00EC06B5" w:rsidRDefault="00F606E3" w:rsidP="00A66BF6">
      <w:pPr>
        <w:pStyle w:val="Caption"/>
        <w:sectPr w:rsidR="00EC06B5" w:rsidSect="008F6E93">
          <w:pgSz w:w="11906" w:h="16838" w:code="9"/>
          <w:pgMar w:top="1440" w:right="1440" w:bottom="1440" w:left="1440" w:header="573" w:footer="567" w:gutter="0"/>
          <w:cols w:space="708"/>
          <w:docGrid w:linePitch="360"/>
        </w:sectPr>
      </w:pPr>
      <w:r>
        <w:t>Table</w:t>
      </w:r>
      <w:r w:rsidR="007E1620">
        <w:t xml:space="preserve"> </w:t>
      </w:r>
      <w:r w:rsidR="00136A4E">
        <w:t>2</w:t>
      </w:r>
      <w:r w:rsidR="008056A1">
        <w:t>8</w:t>
      </w:r>
      <w:r w:rsidR="002D41F4">
        <w:t xml:space="preserve"> -</w:t>
      </w:r>
      <w:r>
        <w:t xml:space="preserve"> Level 1 Term for classification of medical device</w:t>
      </w:r>
      <w:r w:rsidR="00A66BF6">
        <w:t xml:space="preserve"> problems</w:t>
      </w:r>
      <w:r w:rsidR="009B489C">
        <w:rPr>
          <w:rStyle w:val="FootnoteReference"/>
        </w:rPr>
        <w:footnoteReference w:id="105"/>
      </w:r>
    </w:p>
    <w:p w14:paraId="0F8DF1FF" w14:textId="77777777" w:rsidR="0038614D" w:rsidRDefault="0038614D" w:rsidP="0038614D">
      <w:pPr>
        <w:pStyle w:val="Bullet1"/>
        <w:spacing w:before="0" w:after="0" w:line="240" w:lineRule="auto"/>
        <w:ind w:left="357" w:hanging="357"/>
      </w:pPr>
      <w:r>
        <w:t>Patient Device Interaction Problem</w:t>
      </w:r>
    </w:p>
    <w:p w14:paraId="53898187" w14:textId="77777777" w:rsidR="0038614D" w:rsidRDefault="0038614D" w:rsidP="0038614D">
      <w:pPr>
        <w:pStyle w:val="Bullet1"/>
        <w:spacing w:before="0" w:after="0" w:line="240" w:lineRule="auto"/>
        <w:ind w:left="357" w:hanging="357"/>
      </w:pPr>
      <w:r>
        <w:t>Manufacturing, Packaging or Shipping Problem</w:t>
      </w:r>
    </w:p>
    <w:p w14:paraId="5D3AF33B" w14:textId="77777777" w:rsidR="0038614D" w:rsidRDefault="0038614D" w:rsidP="0038614D">
      <w:pPr>
        <w:pStyle w:val="Bullet1"/>
        <w:spacing w:before="0" w:after="0" w:line="240" w:lineRule="auto"/>
        <w:ind w:left="357" w:hanging="357"/>
      </w:pPr>
      <w:r>
        <w:t>Chemical Problem</w:t>
      </w:r>
    </w:p>
    <w:p w14:paraId="3991FA72" w14:textId="77777777" w:rsidR="0038614D" w:rsidRDefault="0038614D" w:rsidP="0038614D">
      <w:pPr>
        <w:pStyle w:val="Bullet1"/>
        <w:spacing w:before="0" w:after="0" w:line="240" w:lineRule="auto"/>
        <w:ind w:left="357" w:hanging="357"/>
      </w:pPr>
      <w:r>
        <w:t>Material Integrity Problem</w:t>
      </w:r>
    </w:p>
    <w:p w14:paraId="3041C35A" w14:textId="77777777" w:rsidR="0038614D" w:rsidRDefault="0038614D" w:rsidP="0038614D">
      <w:pPr>
        <w:pStyle w:val="Bullet1"/>
        <w:spacing w:before="0" w:after="0" w:line="240" w:lineRule="auto"/>
        <w:ind w:left="357" w:hanging="357"/>
      </w:pPr>
      <w:r>
        <w:t>Mechanical Problem</w:t>
      </w:r>
    </w:p>
    <w:p w14:paraId="65F028A9" w14:textId="77777777" w:rsidR="0038614D" w:rsidRDefault="0038614D" w:rsidP="0038614D">
      <w:pPr>
        <w:pStyle w:val="Bullet1"/>
        <w:spacing w:before="0" w:after="0" w:line="240" w:lineRule="auto"/>
        <w:ind w:left="357" w:hanging="357"/>
      </w:pPr>
      <w:r>
        <w:t>Optical Problem</w:t>
      </w:r>
    </w:p>
    <w:p w14:paraId="4954DAD9" w14:textId="77777777" w:rsidR="0038614D" w:rsidRDefault="0038614D" w:rsidP="0038614D">
      <w:pPr>
        <w:pStyle w:val="Bullet1"/>
        <w:spacing w:before="0" w:after="0" w:line="240" w:lineRule="auto"/>
        <w:ind w:left="357" w:hanging="357"/>
      </w:pPr>
      <w:r>
        <w:t>Electrical /Electronic Property Problem</w:t>
      </w:r>
    </w:p>
    <w:p w14:paraId="575C8F8C" w14:textId="77777777" w:rsidR="0038614D" w:rsidRDefault="0038614D" w:rsidP="0038614D">
      <w:pPr>
        <w:pStyle w:val="Bullet1"/>
        <w:spacing w:before="0" w:after="0" w:line="240" w:lineRule="auto"/>
        <w:ind w:left="357" w:hanging="357"/>
      </w:pPr>
      <w:r>
        <w:t>Calibration Problem</w:t>
      </w:r>
    </w:p>
    <w:p w14:paraId="14FBCA19" w14:textId="77777777" w:rsidR="0038614D" w:rsidRDefault="0038614D" w:rsidP="0038614D">
      <w:pPr>
        <w:pStyle w:val="Bullet1"/>
        <w:spacing w:before="0" w:after="0" w:line="240" w:lineRule="auto"/>
        <w:ind w:left="357" w:hanging="357"/>
      </w:pPr>
      <w:r>
        <w:t>Output Problem</w:t>
      </w:r>
    </w:p>
    <w:p w14:paraId="1A84EB90" w14:textId="77777777" w:rsidR="0038614D" w:rsidRDefault="0038614D" w:rsidP="0038614D">
      <w:pPr>
        <w:pStyle w:val="Bullet1"/>
        <w:spacing w:before="0" w:after="0" w:line="240" w:lineRule="auto"/>
        <w:ind w:left="357" w:hanging="357"/>
      </w:pPr>
      <w:r>
        <w:t>Temperature Problem</w:t>
      </w:r>
    </w:p>
    <w:p w14:paraId="784DBBEA" w14:textId="77777777" w:rsidR="0038614D" w:rsidRDefault="0038614D" w:rsidP="0038614D">
      <w:pPr>
        <w:pStyle w:val="Bullet1"/>
        <w:spacing w:before="0" w:after="0" w:line="240" w:lineRule="auto"/>
        <w:ind w:left="357" w:hanging="357"/>
      </w:pPr>
      <w:r>
        <w:t>Computer Software Problem</w:t>
      </w:r>
    </w:p>
    <w:p w14:paraId="592F0095" w14:textId="77777777" w:rsidR="0038614D" w:rsidRDefault="0038614D" w:rsidP="0038614D">
      <w:pPr>
        <w:pStyle w:val="Bullet1"/>
        <w:spacing w:before="0" w:after="0" w:line="240" w:lineRule="auto"/>
        <w:ind w:left="357" w:hanging="357"/>
      </w:pPr>
      <w:r>
        <w:t>Connection Problem</w:t>
      </w:r>
    </w:p>
    <w:p w14:paraId="7B3648A4" w14:textId="77777777" w:rsidR="0038614D" w:rsidRDefault="0038614D" w:rsidP="0038614D">
      <w:pPr>
        <w:pStyle w:val="Bullet1"/>
        <w:spacing w:before="0" w:after="0" w:line="240" w:lineRule="auto"/>
        <w:ind w:left="357" w:hanging="357"/>
      </w:pPr>
      <w:r>
        <w:t>Communication or Transmission Problem</w:t>
      </w:r>
    </w:p>
    <w:p w14:paraId="6C8DA6B9" w14:textId="77777777" w:rsidR="0038614D" w:rsidRDefault="0038614D" w:rsidP="0038614D">
      <w:pPr>
        <w:pStyle w:val="Bullet1"/>
        <w:spacing w:before="0" w:after="0" w:line="240" w:lineRule="auto"/>
        <w:ind w:left="357" w:hanging="357"/>
      </w:pPr>
      <w:r>
        <w:t>Infusion or Flow Problem</w:t>
      </w:r>
    </w:p>
    <w:p w14:paraId="1141FDD2" w14:textId="77777777" w:rsidR="0038614D" w:rsidRDefault="0038614D" w:rsidP="0038614D">
      <w:pPr>
        <w:pStyle w:val="Bullet1"/>
        <w:spacing w:before="0" w:after="0" w:line="240" w:lineRule="auto"/>
        <w:ind w:left="357" w:hanging="357"/>
      </w:pPr>
      <w:r>
        <w:t>Activation, Positioning or Separation Problem</w:t>
      </w:r>
    </w:p>
    <w:p w14:paraId="2BB32972" w14:textId="77777777" w:rsidR="0038614D" w:rsidRDefault="0038614D" w:rsidP="0038614D">
      <w:pPr>
        <w:pStyle w:val="Bullet1"/>
        <w:spacing w:before="0" w:after="0" w:line="240" w:lineRule="auto"/>
        <w:ind w:left="357" w:hanging="357"/>
      </w:pPr>
      <w:r>
        <w:t>Protective Measures Problem</w:t>
      </w:r>
    </w:p>
    <w:p w14:paraId="1349D12F" w14:textId="77777777" w:rsidR="0038614D" w:rsidRDefault="0038614D" w:rsidP="0038614D">
      <w:pPr>
        <w:pStyle w:val="Bullet1"/>
        <w:spacing w:before="0" w:after="0" w:line="240" w:lineRule="auto"/>
        <w:ind w:left="357" w:hanging="357"/>
      </w:pPr>
      <w:r>
        <w:t>Compatibility Problem</w:t>
      </w:r>
    </w:p>
    <w:p w14:paraId="11EAB897" w14:textId="717A23C6" w:rsidR="0038614D" w:rsidRDefault="0038614D" w:rsidP="0038614D">
      <w:pPr>
        <w:pStyle w:val="Bullet1"/>
        <w:spacing w:before="0" w:after="0" w:line="240" w:lineRule="auto"/>
        <w:ind w:left="357" w:hanging="357"/>
      </w:pPr>
      <w:r>
        <w:t>Contamination /</w:t>
      </w:r>
      <w:r w:rsidR="007F0180">
        <w:t xml:space="preserve"> </w:t>
      </w:r>
      <w:r>
        <w:t>Decontamination Problem</w:t>
      </w:r>
    </w:p>
    <w:p w14:paraId="74B83B64" w14:textId="77777777" w:rsidR="0038614D" w:rsidRDefault="0038614D" w:rsidP="0038614D">
      <w:pPr>
        <w:pStyle w:val="Bullet1"/>
        <w:spacing w:before="0" w:after="0" w:line="240" w:lineRule="auto"/>
        <w:ind w:left="357" w:hanging="357"/>
      </w:pPr>
      <w:r>
        <w:t>Environmental Compatibility Problem</w:t>
      </w:r>
    </w:p>
    <w:p w14:paraId="5ACB508E" w14:textId="77777777" w:rsidR="0038614D" w:rsidRDefault="0038614D" w:rsidP="0038614D">
      <w:pPr>
        <w:pStyle w:val="Bullet1"/>
        <w:spacing w:before="0" w:after="0" w:line="240" w:lineRule="auto"/>
        <w:ind w:left="357" w:hanging="357"/>
      </w:pPr>
      <w:r>
        <w:t>Installation-Related Problem</w:t>
      </w:r>
    </w:p>
    <w:p w14:paraId="44DE40B6" w14:textId="77777777" w:rsidR="0038614D" w:rsidRDefault="0038614D" w:rsidP="0038614D">
      <w:pPr>
        <w:pStyle w:val="Bullet1"/>
        <w:spacing w:before="0" w:after="0" w:line="240" w:lineRule="auto"/>
        <w:ind w:left="357" w:hanging="357"/>
      </w:pPr>
      <w:r>
        <w:t>Labelling, Instructions for Use or Training Problem</w:t>
      </w:r>
    </w:p>
    <w:p w14:paraId="1D6559E4" w14:textId="77777777" w:rsidR="0038614D" w:rsidRDefault="0038614D" w:rsidP="0038614D">
      <w:pPr>
        <w:pStyle w:val="Bullet1"/>
        <w:spacing w:before="0" w:after="0" w:line="240" w:lineRule="auto"/>
        <w:ind w:left="357" w:hanging="357"/>
      </w:pPr>
      <w:r>
        <w:t>Human-Device Interface Problem</w:t>
      </w:r>
    </w:p>
    <w:p w14:paraId="099314A6" w14:textId="54363626" w:rsidR="00F02142" w:rsidRDefault="0038614D" w:rsidP="0038614D">
      <w:pPr>
        <w:pStyle w:val="Bullet1"/>
        <w:spacing w:before="0" w:after="0" w:line="240" w:lineRule="auto"/>
        <w:ind w:left="357" w:hanging="357"/>
      </w:pPr>
      <w:r>
        <w:t>Use of Device Problem</w:t>
      </w:r>
    </w:p>
    <w:p w14:paraId="0A6EADC6" w14:textId="77777777" w:rsidR="0038614D" w:rsidRDefault="0038614D" w:rsidP="007F7BFF">
      <w:pPr>
        <w:spacing w:before="240"/>
        <w:sectPr w:rsidR="0038614D" w:rsidSect="006527FD">
          <w:type w:val="continuous"/>
          <w:pgSz w:w="11906" w:h="16838" w:code="9"/>
          <w:pgMar w:top="1134" w:right="1440" w:bottom="1134" w:left="1440" w:header="573" w:footer="567" w:gutter="0"/>
          <w:cols w:num="2" w:space="708"/>
          <w:docGrid w:linePitch="360"/>
        </w:sectPr>
      </w:pPr>
    </w:p>
    <w:p w14:paraId="2481E1C7" w14:textId="7133AA3F" w:rsidR="00FF4B85" w:rsidRPr="00613C5A" w:rsidRDefault="00613C5A" w:rsidP="004327BD">
      <w:pPr>
        <w:spacing w:before="240"/>
      </w:pPr>
      <w:r w:rsidRPr="00613C5A">
        <w:t xml:space="preserve">There are </w:t>
      </w:r>
      <w:r w:rsidR="00895076">
        <w:t xml:space="preserve">175 Level 2 Terms and </w:t>
      </w:r>
      <w:r w:rsidR="001E08C1">
        <w:t xml:space="preserve">279 Level 3 Terms (an example of the interrelationship between terms is shown in the table below). </w:t>
      </w:r>
    </w:p>
    <w:p w14:paraId="29F87763" w14:textId="70C6614B" w:rsidR="00535ABF" w:rsidRPr="00F37A20" w:rsidRDefault="00535ABF" w:rsidP="00535ABF">
      <w:pPr>
        <w:pStyle w:val="Caption"/>
        <w:rPr>
          <w:sz w:val="16"/>
          <w:szCs w:val="16"/>
        </w:rPr>
      </w:pPr>
      <w:r>
        <w:t xml:space="preserve">Table </w:t>
      </w:r>
      <w:r w:rsidR="00136A4E">
        <w:t>2</w:t>
      </w:r>
      <w:r w:rsidR="008056A1">
        <w:t>9</w:t>
      </w:r>
      <w:r w:rsidR="002D41F4">
        <w:t xml:space="preserve"> -</w:t>
      </w:r>
      <w:r w:rsidR="007E1620" w:rsidRPr="00A66BF6">
        <w:t xml:space="preserve"> </w:t>
      </w:r>
      <w:r w:rsidR="00A66BF6">
        <w:t>Level 1 Term for classification of medical device problems</w:t>
      </w:r>
    </w:p>
    <w:tbl>
      <w:tblPr>
        <w:tblW w:w="9594" w:type="dxa"/>
        <w:tblBorders>
          <w:insideH w:val="single" w:sz="4" w:space="0" w:color="auto"/>
        </w:tblBorders>
        <w:tblLook w:val="04A0" w:firstRow="1" w:lastRow="0" w:firstColumn="1" w:lastColumn="0" w:noHBand="0" w:noVBand="1"/>
      </w:tblPr>
      <w:tblGrid>
        <w:gridCol w:w="1150"/>
        <w:gridCol w:w="1729"/>
        <w:gridCol w:w="1729"/>
        <w:gridCol w:w="1017"/>
        <w:gridCol w:w="3969"/>
      </w:tblGrid>
      <w:tr w:rsidR="00E5078A" w:rsidRPr="00A66BF6" w14:paraId="694290D6" w14:textId="77777777" w:rsidTr="00E659B1">
        <w:trPr>
          <w:trHeight w:val="255"/>
          <w:tblHeader/>
        </w:trPr>
        <w:tc>
          <w:tcPr>
            <w:tcW w:w="1150" w:type="dxa"/>
            <w:shd w:val="clear" w:color="auto" w:fill="002060"/>
            <w:noWrap/>
            <w:hideMark/>
          </w:tcPr>
          <w:p w14:paraId="4D757357" w14:textId="77777777" w:rsidR="00890BE4" w:rsidRPr="00890BE4" w:rsidRDefault="00890BE4" w:rsidP="00997AD2">
            <w:pPr>
              <w:spacing w:after="0" w:line="240" w:lineRule="auto"/>
              <w:rPr>
                <w:rFonts w:eastAsia="Times New Roman" w:cs="Arial"/>
                <w:b/>
                <w:bCs/>
                <w:sz w:val="18"/>
                <w:szCs w:val="18"/>
                <w:lang w:eastAsia="en-AU"/>
              </w:rPr>
            </w:pPr>
            <w:r w:rsidRPr="00890BE4">
              <w:rPr>
                <w:rFonts w:eastAsia="Times New Roman" w:cs="Arial"/>
                <w:b/>
                <w:bCs/>
                <w:sz w:val="18"/>
                <w:szCs w:val="18"/>
                <w:lang w:eastAsia="en-AU"/>
              </w:rPr>
              <w:t>Level 1 Term</w:t>
            </w:r>
          </w:p>
        </w:tc>
        <w:tc>
          <w:tcPr>
            <w:tcW w:w="1729" w:type="dxa"/>
            <w:shd w:val="clear" w:color="auto" w:fill="002060"/>
            <w:noWrap/>
            <w:hideMark/>
          </w:tcPr>
          <w:p w14:paraId="2DD6ACB2" w14:textId="77777777" w:rsidR="00890BE4" w:rsidRPr="00890BE4" w:rsidRDefault="00890BE4" w:rsidP="00997AD2">
            <w:pPr>
              <w:spacing w:after="0" w:line="240" w:lineRule="auto"/>
              <w:rPr>
                <w:rFonts w:eastAsia="Times New Roman" w:cs="Arial"/>
                <w:b/>
                <w:bCs/>
                <w:sz w:val="18"/>
                <w:szCs w:val="18"/>
                <w:lang w:eastAsia="en-AU"/>
              </w:rPr>
            </w:pPr>
            <w:r w:rsidRPr="00890BE4">
              <w:rPr>
                <w:rFonts w:eastAsia="Times New Roman" w:cs="Arial"/>
                <w:b/>
                <w:bCs/>
                <w:sz w:val="18"/>
                <w:szCs w:val="18"/>
                <w:lang w:eastAsia="en-AU"/>
              </w:rPr>
              <w:t>Level 2 Term</w:t>
            </w:r>
          </w:p>
        </w:tc>
        <w:tc>
          <w:tcPr>
            <w:tcW w:w="1729" w:type="dxa"/>
            <w:shd w:val="clear" w:color="auto" w:fill="002060"/>
            <w:noWrap/>
            <w:hideMark/>
          </w:tcPr>
          <w:p w14:paraId="1FABE535" w14:textId="77777777" w:rsidR="00890BE4" w:rsidRPr="00890BE4" w:rsidRDefault="00890BE4" w:rsidP="00997AD2">
            <w:pPr>
              <w:spacing w:after="0" w:line="240" w:lineRule="auto"/>
              <w:rPr>
                <w:rFonts w:eastAsia="Times New Roman" w:cs="Arial"/>
                <w:b/>
                <w:bCs/>
                <w:sz w:val="18"/>
                <w:szCs w:val="18"/>
                <w:lang w:eastAsia="en-AU"/>
              </w:rPr>
            </w:pPr>
            <w:r w:rsidRPr="00890BE4">
              <w:rPr>
                <w:rFonts w:eastAsia="Times New Roman" w:cs="Arial"/>
                <w:b/>
                <w:bCs/>
                <w:sz w:val="18"/>
                <w:szCs w:val="18"/>
                <w:lang w:eastAsia="en-AU"/>
              </w:rPr>
              <w:t>Level 3 Term</w:t>
            </w:r>
          </w:p>
        </w:tc>
        <w:tc>
          <w:tcPr>
            <w:tcW w:w="1017" w:type="dxa"/>
            <w:shd w:val="clear" w:color="auto" w:fill="002060"/>
            <w:noWrap/>
            <w:hideMark/>
          </w:tcPr>
          <w:p w14:paraId="2084F31B" w14:textId="77777777" w:rsidR="00890BE4" w:rsidRPr="00890BE4" w:rsidRDefault="00890BE4" w:rsidP="00997AD2">
            <w:pPr>
              <w:spacing w:after="0" w:line="240" w:lineRule="auto"/>
              <w:rPr>
                <w:rFonts w:eastAsia="Times New Roman" w:cs="Arial"/>
                <w:b/>
                <w:bCs/>
                <w:sz w:val="18"/>
                <w:szCs w:val="18"/>
                <w:lang w:eastAsia="en-AU"/>
              </w:rPr>
            </w:pPr>
            <w:r w:rsidRPr="00890BE4">
              <w:rPr>
                <w:rFonts w:eastAsia="Times New Roman" w:cs="Arial"/>
                <w:b/>
                <w:bCs/>
                <w:sz w:val="18"/>
                <w:szCs w:val="18"/>
                <w:lang w:eastAsia="en-AU"/>
              </w:rPr>
              <w:t>Code</w:t>
            </w:r>
          </w:p>
        </w:tc>
        <w:tc>
          <w:tcPr>
            <w:tcW w:w="3969" w:type="dxa"/>
            <w:shd w:val="clear" w:color="auto" w:fill="002060"/>
            <w:hideMark/>
          </w:tcPr>
          <w:p w14:paraId="276F05E9" w14:textId="77777777" w:rsidR="00890BE4" w:rsidRPr="00890BE4" w:rsidRDefault="00890BE4" w:rsidP="00997AD2">
            <w:pPr>
              <w:spacing w:after="0" w:line="240" w:lineRule="auto"/>
              <w:rPr>
                <w:rFonts w:eastAsia="Times New Roman" w:cs="Arial"/>
                <w:b/>
                <w:bCs/>
                <w:sz w:val="18"/>
                <w:szCs w:val="18"/>
                <w:lang w:eastAsia="en-AU"/>
              </w:rPr>
            </w:pPr>
            <w:r w:rsidRPr="00890BE4">
              <w:rPr>
                <w:rFonts w:eastAsia="Times New Roman" w:cs="Arial"/>
                <w:b/>
                <w:bCs/>
                <w:sz w:val="18"/>
                <w:szCs w:val="18"/>
                <w:lang w:eastAsia="en-AU"/>
              </w:rPr>
              <w:t>Definition</w:t>
            </w:r>
          </w:p>
        </w:tc>
      </w:tr>
      <w:tr w:rsidR="00E5078A" w:rsidRPr="00A66BF6" w14:paraId="372DD7C8" w14:textId="77777777" w:rsidTr="00FF4B85">
        <w:trPr>
          <w:trHeight w:val="255"/>
        </w:trPr>
        <w:tc>
          <w:tcPr>
            <w:tcW w:w="1150" w:type="dxa"/>
            <w:shd w:val="clear" w:color="auto" w:fill="auto"/>
            <w:noWrap/>
            <w:hideMark/>
          </w:tcPr>
          <w:p w14:paraId="39BB4FBD"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Patient Device Interaction Problem</w:t>
            </w:r>
          </w:p>
        </w:tc>
        <w:tc>
          <w:tcPr>
            <w:tcW w:w="1729" w:type="dxa"/>
            <w:shd w:val="clear" w:color="auto" w:fill="auto"/>
            <w:noWrap/>
            <w:hideMark/>
          </w:tcPr>
          <w:p w14:paraId="61EED203"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21FB9A74"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4C61140E"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w:t>
            </w:r>
          </w:p>
        </w:tc>
        <w:tc>
          <w:tcPr>
            <w:tcW w:w="3969" w:type="dxa"/>
            <w:shd w:val="clear" w:color="auto" w:fill="auto"/>
            <w:hideMark/>
          </w:tcPr>
          <w:p w14:paraId="434B349A"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related to the interaction between the patient and the device.</w:t>
            </w:r>
          </w:p>
        </w:tc>
      </w:tr>
      <w:tr w:rsidR="00E5078A" w:rsidRPr="00A66BF6" w14:paraId="6CF5316E" w14:textId="77777777" w:rsidTr="00FF4B85">
        <w:trPr>
          <w:trHeight w:val="510"/>
        </w:trPr>
        <w:tc>
          <w:tcPr>
            <w:tcW w:w="1150" w:type="dxa"/>
            <w:shd w:val="clear" w:color="auto" w:fill="auto"/>
            <w:noWrap/>
            <w:hideMark/>
          </w:tcPr>
          <w:p w14:paraId="74BBD358"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64A7BFF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Patient-Device Incompatibility</w:t>
            </w:r>
          </w:p>
        </w:tc>
        <w:tc>
          <w:tcPr>
            <w:tcW w:w="1729" w:type="dxa"/>
            <w:shd w:val="clear" w:color="auto" w:fill="auto"/>
            <w:noWrap/>
            <w:hideMark/>
          </w:tcPr>
          <w:p w14:paraId="127B6CD3"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240AA030"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A0101</w:t>
            </w:r>
          </w:p>
        </w:tc>
        <w:tc>
          <w:tcPr>
            <w:tcW w:w="3969" w:type="dxa"/>
            <w:shd w:val="clear" w:color="auto" w:fill="auto"/>
            <w:hideMark/>
          </w:tcPr>
          <w:p w14:paraId="46B01A7E"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the interaction between the patient's physiology or anatomy and the device that affects the patient and/or the device.</w:t>
            </w:r>
          </w:p>
        </w:tc>
      </w:tr>
      <w:tr w:rsidR="00E5078A" w:rsidRPr="00A66BF6" w14:paraId="5F282BD3" w14:textId="77777777" w:rsidTr="00FF4B85">
        <w:trPr>
          <w:trHeight w:val="589"/>
        </w:trPr>
        <w:tc>
          <w:tcPr>
            <w:tcW w:w="1150" w:type="dxa"/>
            <w:shd w:val="clear" w:color="auto" w:fill="auto"/>
            <w:noWrap/>
            <w:hideMark/>
          </w:tcPr>
          <w:p w14:paraId="15764B1D"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762C5EA4"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1F37A1E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Biocompatibility</w:t>
            </w:r>
          </w:p>
        </w:tc>
        <w:tc>
          <w:tcPr>
            <w:tcW w:w="1017" w:type="dxa"/>
            <w:shd w:val="clear" w:color="auto" w:fill="auto"/>
            <w:noWrap/>
            <w:hideMark/>
          </w:tcPr>
          <w:p w14:paraId="344A0896"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A010101</w:t>
            </w:r>
          </w:p>
        </w:tc>
        <w:tc>
          <w:tcPr>
            <w:tcW w:w="3969" w:type="dxa"/>
            <w:shd w:val="clear" w:color="auto" w:fill="auto"/>
            <w:hideMark/>
          </w:tcPr>
          <w:p w14:paraId="17381FC9"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undesirable local or systemic effects due to exposure to medical device materials or leachates from those materials by a patient who has an implant or is receiving treatment with a device made from them.</w:t>
            </w:r>
          </w:p>
        </w:tc>
      </w:tr>
      <w:tr w:rsidR="00E5078A" w:rsidRPr="00A66BF6" w14:paraId="2D56FFAD" w14:textId="77777777" w:rsidTr="00FF4B85">
        <w:trPr>
          <w:trHeight w:val="510"/>
        </w:trPr>
        <w:tc>
          <w:tcPr>
            <w:tcW w:w="1150" w:type="dxa"/>
            <w:shd w:val="clear" w:color="auto" w:fill="auto"/>
            <w:noWrap/>
            <w:hideMark/>
          </w:tcPr>
          <w:p w14:paraId="23261446"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06E47403"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05433B82"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Device Appears to Trigger Rejection</w:t>
            </w:r>
          </w:p>
        </w:tc>
        <w:tc>
          <w:tcPr>
            <w:tcW w:w="1017" w:type="dxa"/>
            <w:shd w:val="clear" w:color="auto" w:fill="auto"/>
            <w:noWrap/>
            <w:hideMark/>
          </w:tcPr>
          <w:p w14:paraId="7F4EA857"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A010102</w:t>
            </w:r>
          </w:p>
        </w:tc>
        <w:tc>
          <w:tcPr>
            <w:tcW w:w="3969" w:type="dxa"/>
            <w:shd w:val="clear" w:color="auto" w:fill="auto"/>
            <w:hideMark/>
          </w:tcPr>
          <w:p w14:paraId="079D01B4"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The device appears to elicit undesired response in the patient to the presence of an implanted or invasive device, without inherent device failure, e.g. fibrous encapsulation, or inflammation of the tissue around the device, or extrusion of the device.</w:t>
            </w:r>
          </w:p>
        </w:tc>
      </w:tr>
      <w:tr w:rsidR="00E5078A" w:rsidRPr="00A66BF6" w14:paraId="79F3B11F" w14:textId="77777777" w:rsidTr="00FF4B85">
        <w:trPr>
          <w:trHeight w:val="255"/>
        </w:trPr>
        <w:tc>
          <w:tcPr>
            <w:tcW w:w="1150" w:type="dxa"/>
            <w:shd w:val="clear" w:color="auto" w:fill="auto"/>
            <w:noWrap/>
            <w:hideMark/>
          </w:tcPr>
          <w:p w14:paraId="7D9B6CE8"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4EADF10C"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02054170"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Inadequacy of Device Shape and/or Size</w:t>
            </w:r>
          </w:p>
        </w:tc>
        <w:tc>
          <w:tcPr>
            <w:tcW w:w="1017" w:type="dxa"/>
            <w:shd w:val="clear" w:color="auto" w:fill="auto"/>
            <w:noWrap/>
            <w:hideMark/>
          </w:tcPr>
          <w:p w14:paraId="1EAC24A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A010103</w:t>
            </w:r>
          </w:p>
        </w:tc>
        <w:tc>
          <w:tcPr>
            <w:tcW w:w="3969" w:type="dxa"/>
            <w:shd w:val="clear" w:color="auto" w:fill="auto"/>
            <w:hideMark/>
          </w:tcPr>
          <w:p w14:paraId="4D05FE25"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The physical size and/or shape of the device was inadequate with regard to the patient's anatomy.</w:t>
            </w:r>
          </w:p>
        </w:tc>
      </w:tr>
      <w:tr w:rsidR="00E5078A" w:rsidRPr="00A66BF6" w14:paraId="6C83CE52" w14:textId="77777777" w:rsidTr="00FF4B85">
        <w:trPr>
          <w:trHeight w:val="255"/>
        </w:trPr>
        <w:tc>
          <w:tcPr>
            <w:tcW w:w="1150" w:type="dxa"/>
            <w:shd w:val="clear" w:color="auto" w:fill="auto"/>
            <w:noWrap/>
            <w:hideMark/>
          </w:tcPr>
          <w:p w14:paraId="14DEF0BE"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47C673E0"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Osseointegration Problem</w:t>
            </w:r>
          </w:p>
        </w:tc>
        <w:tc>
          <w:tcPr>
            <w:tcW w:w="1729" w:type="dxa"/>
            <w:shd w:val="clear" w:color="auto" w:fill="auto"/>
            <w:noWrap/>
            <w:hideMark/>
          </w:tcPr>
          <w:p w14:paraId="235843D3"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0C2EBB44"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A0102</w:t>
            </w:r>
          </w:p>
        </w:tc>
        <w:tc>
          <w:tcPr>
            <w:tcW w:w="3969" w:type="dxa"/>
            <w:shd w:val="clear" w:color="auto" w:fill="auto"/>
            <w:hideMark/>
          </w:tcPr>
          <w:p w14:paraId="77D2C95C"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interconnection between the bone tissue and the implanted device.</w:t>
            </w:r>
          </w:p>
        </w:tc>
      </w:tr>
      <w:tr w:rsidR="00E5078A" w:rsidRPr="00A66BF6" w14:paraId="18684F88" w14:textId="77777777" w:rsidTr="00FF4B85">
        <w:trPr>
          <w:trHeight w:val="510"/>
        </w:trPr>
        <w:tc>
          <w:tcPr>
            <w:tcW w:w="1150" w:type="dxa"/>
            <w:shd w:val="clear" w:color="auto" w:fill="auto"/>
            <w:noWrap/>
            <w:hideMark/>
          </w:tcPr>
          <w:p w14:paraId="178F2264"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692720E1"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1D254DAE" w14:textId="411360FE"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Failure to integrate</w:t>
            </w:r>
          </w:p>
        </w:tc>
        <w:tc>
          <w:tcPr>
            <w:tcW w:w="1017" w:type="dxa"/>
            <w:shd w:val="clear" w:color="auto" w:fill="auto"/>
            <w:noWrap/>
            <w:hideMark/>
          </w:tcPr>
          <w:p w14:paraId="3B21BBF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A010201</w:t>
            </w:r>
          </w:p>
        </w:tc>
        <w:tc>
          <w:tcPr>
            <w:tcW w:w="3969" w:type="dxa"/>
            <w:shd w:val="clear" w:color="auto" w:fill="auto"/>
            <w:hideMark/>
          </w:tcPr>
          <w:p w14:paraId="1833DB14"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the failure to see direct anchorage of an implant by the formation of bony tissue around the implant without the growth of fibrous tissue at the bone-implant interface.</w:t>
            </w:r>
          </w:p>
        </w:tc>
      </w:tr>
      <w:tr w:rsidR="00E5078A" w:rsidRPr="00A66BF6" w14:paraId="3B9EAA50" w14:textId="77777777" w:rsidTr="00FF4B85">
        <w:trPr>
          <w:trHeight w:val="510"/>
        </w:trPr>
        <w:tc>
          <w:tcPr>
            <w:tcW w:w="1150" w:type="dxa"/>
            <w:shd w:val="clear" w:color="auto" w:fill="auto"/>
            <w:noWrap/>
            <w:hideMark/>
          </w:tcPr>
          <w:p w14:paraId="74BFCFE5"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7D978CEF"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3A0699B2"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Loss of Osseointegration</w:t>
            </w:r>
          </w:p>
        </w:tc>
        <w:tc>
          <w:tcPr>
            <w:tcW w:w="1017" w:type="dxa"/>
            <w:shd w:val="clear" w:color="auto" w:fill="auto"/>
            <w:noWrap/>
            <w:hideMark/>
          </w:tcPr>
          <w:p w14:paraId="2A4318A8"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A010202</w:t>
            </w:r>
          </w:p>
        </w:tc>
        <w:tc>
          <w:tcPr>
            <w:tcW w:w="3969" w:type="dxa"/>
            <w:shd w:val="clear" w:color="auto" w:fill="auto"/>
            <w:hideMark/>
          </w:tcPr>
          <w:p w14:paraId="6B15BA72"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weakened integration of the device at the bone-implant interface due to loss of fibrous and/or bony tissue and leading to compromised anchorage of the device. i.e. Loosening/Lysis</w:t>
            </w:r>
          </w:p>
        </w:tc>
      </w:tr>
      <w:tr w:rsidR="00E5078A" w:rsidRPr="00A66BF6" w14:paraId="692F7908" w14:textId="77777777" w:rsidTr="00FF4B85">
        <w:trPr>
          <w:trHeight w:val="255"/>
        </w:trPr>
        <w:tc>
          <w:tcPr>
            <w:tcW w:w="1150" w:type="dxa"/>
            <w:shd w:val="clear" w:color="auto" w:fill="auto"/>
            <w:noWrap/>
            <w:hideMark/>
          </w:tcPr>
          <w:p w14:paraId="50F8A57D"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6DF191DC"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Loosening of Implant Not Related to Bone-Ingrowth</w:t>
            </w:r>
          </w:p>
        </w:tc>
        <w:tc>
          <w:tcPr>
            <w:tcW w:w="1729" w:type="dxa"/>
            <w:shd w:val="clear" w:color="auto" w:fill="auto"/>
            <w:noWrap/>
            <w:hideMark/>
          </w:tcPr>
          <w:p w14:paraId="6775A2E0"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26F6524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A0103</w:t>
            </w:r>
          </w:p>
        </w:tc>
        <w:tc>
          <w:tcPr>
            <w:tcW w:w="3969" w:type="dxa"/>
            <w:shd w:val="clear" w:color="auto" w:fill="auto"/>
            <w:hideMark/>
          </w:tcPr>
          <w:p w14:paraId="52BE4A26"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the loss of direct anchorage of an implanted device over time or due to an injury.</w:t>
            </w:r>
          </w:p>
        </w:tc>
      </w:tr>
      <w:tr w:rsidR="00E5078A" w:rsidRPr="00A66BF6" w14:paraId="0195FBD6" w14:textId="77777777" w:rsidTr="00FF4B85">
        <w:trPr>
          <w:trHeight w:val="255"/>
        </w:trPr>
        <w:tc>
          <w:tcPr>
            <w:tcW w:w="1150" w:type="dxa"/>
            <w:shd w:val="clear" w:color="auto" w:fill="auto"/>
            <w:noWrap/>
            <w:hideMark/>
          </w:tcPr>
          <w:p w14:paraId="5D4310F4"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70EE53CE"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Migration or Expulsion of Device</w:t>
            </w:r>
          </w:p>
        </w:tc>
        <w:tc>
          <w:tcPr>
            <w:tcW w:w="1729" w:type="dxa"/>
            <w:shd w:val="clear" w:color="auto" w:fill="auto"/>
            <w:noWrap/>
            <w:hideMark/>
          </w:tcPr>
          <w:p w14:paraId="0211E6A6"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03CA157F"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A0104</w:t>
            </w:r>
          </w:p>
        </w:tc>
        <w:tc>
          <w:tcPr>
            <w:tcW w:w="3969" w:type="dxa"/>
            <w:shd w:val="clear" w:color="auto" w:fill="auto"/>
            <w:hideMark/>
          </w:tcPr>
          <w:p w14:paraId="7AA75C89" w14:textId="1FFE5A5F"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 xml:space="preserve">Problem with an implanted or invasive device moving within the </w:t>
            </w:r>
            <w:r w:rsidR="00DB49A3" w:rsidRPr="00890BE4">
              <w:rPr>
                <w:rFonts w:eastAsia="Times New Roman" w:cs="Arial"/>
                <w:sz w:val="18"/>
                <w:szCs w:val="18"/>
                <w:lang w:eastAsia="en-AU"/>
              </w:rPr>
              <w:t>body or</w:t>
            </w:r>
            <w:r w:rsidRPr="00890BE4">
              <w:rPr>
                <w:rFonts w:eastAsia="Times New Roman" w:cs="Arial"/>
                <w:sz w:val="18"/>
                <w:szCs w:val="18"/>
                <w:lang w:eastAsia="en-AU"/>
              </w:rPr>
              <w:t xml:space="preserve"> being completely expelled from the body.</w:t>
            </w:r>
          </w:p>
        </w:tc>
      </w:tr>
      <w:tr w:rsidR="00E5078A" w:rsidRPr="00A66BF6" w14:paraId="13BDCFB7" w14:textId="77777777" w:rsidTr="00FF4B85">
        <w:trPr>
          <w:trHeight w:val="255"/>
        </w:trPr>
        <w:tc>
          <w:tcPr>
            <w:tcW w:w="1150" w:type="dxa"/>
            <w:shd w:val="clear" w:color="auto" w:fill="auto"/>
            <w:noWrap/>
            <w:hideMark/>
          </w:tcPr>
          <w:p w14:paraId="71EADFAF"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5A943D73"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04065A58"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Expulsion</w:t>
            </w:r>
          </w:p>
        </w:tc>
        <w:tc>
          <w:tcPr>
            <w:tcW w:w="1017" w:type="dxa"/>
            <w:shd w:val="clear" w:color="auto" w:fill="auto"/>
            <w:noWrap/>
            <w:hideMark/>
          </w:tcPr>
          <w:p w14:paraId="02C49539"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A010401</w:t>
            </w:r>
          </w:p>
        </w:tc>
        <w:tc>
          <w:tcPr>
            <w:tcW w:w="3969" w:type="dxa"/>
            <w:shd w:val="clear" w:color="auto" w:fill="auto"/>
            <w:hideMark/>
          </w:tcPr>
          <w:p w14:paraId="4A9D6879"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with all or part of an implanted or invasive device being completely expelled from its intended location within the body.</w:t>
            </w:r>
          </w:p>
        </w:tc>
      </w:tr>
      <w:tr w:rsidR="00E5078A" w:rsidRPr="00A66BF6" w14:paraId="5CB14480" w14:textId="77777777" w:rsidTr="00FF4B85">
        <w:trPr>
          <w:trHeight w:val="255"/>
        </w:trPr>
        <w:tc>
          <w:tcPr>
            <w:tcW w:w="1150" w:type="dxa"/>
            <w:shd w:val="clear" w:color="auto" w:fill="auto"/>
            <w:noWrap/>
            <w:hideMark/>
          </w:tcPr>
          <w:p w14:paraId="73D65D38"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01C320F6"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35D43B55"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Migration</w:t>
            </w:r>
          </w:p>
        </w:tc>
        <w:tc>
          <w:tcPr>
            <w:tcW w:w="1017" w:type="dxa"/>
            <w:shd w:val="clear" w:color="auto" w:fill="auto"/>
            <w:noWrap/>
            <w:hideMark/>
          </w:tcPr>
          <w:p w14:paraId="29F50E0A"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A010402</w:t>
            </w:r>
          </w:p>
        </w:tc>
        <w:tc>
          <w:tcPr>
            <w:tcW w:w="3969" w:type="dxa"/>
            <w:shd w:val="clear" w:color="auto" w:fill="auto"/>
            <w:hideMark/>
          </w:tcPr>
          <w:p w14:paraId="39285E2A"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with all or part of an implanted or invasive device moving from its intended location within the body.</w:t>
            </w:r>
          </w:p>
        </w:tc>
      </w:tr>
      <w:tr w:rsidR="00E5078A" w:rsidRPr="00A66BF6" w14:paraId="6702A018" w14:textId="77777777" w:rsidTr="00FF4B85">
        <w:trPr>
          <w:trHeight w:val="510"/>
        </w:trPr>
        <w:tc>
          <w:tcPr>
            <w:tcW w:w="1150" w:type="dxa"/>
            <w:shd w:val="clear" w:color="auto" w:fill="auto"/>
            <w:noWrap/>
            <w:hideMark/>
          </w:tcPr>
          <w:p w14:paraId="179DDB23"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1DEC9220"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Lack of Effect</w:t>
            </w:r>
          </w:p>
        </w:tc>
        <w:tc>
          <w:tcPr>
            <w:tcW w:w="1729" w:type="dxa"/>
            <w:shd w:val="clear" w:color="auto" w:fill="auto"/>
            <w:noWrap/>
            <w:hideMark/>
          </w:tcPr>
          <w:p w14:paraId="17AEA93F"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229FA4A3"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A0105</w:t>
            </w:r>
          </w:p>
        </w:tc>
        <w:tc>
          <w:tcPr>
            <w:tcW w:w="3969" w:type="dxa"/>
            <w:shd w:val="clear" w:color="auto" w:fill="auto"/>
            <w:hideMark/>
          </w:tcPr>
          <w:p w14:paraId="617BD76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Problems associated with a product having less efficacy than expected. No other malfunctions could be identified.</w:t>
            </w:r>
          </w:p>
        </w:tc>
      </w:tr>
      <w:tr w:rsidR="00E5078A" w:rsidRPr="00A66BF6" w14:paraId="7C046E43" w14:textId="77777777" w:rsidTr="00FF4B85">
        <w:trPr>
          <w:trHeight w:val="510"/>
        </w:trPr>
        <w:tc>
          <w:tcPr>
            <w:tcW w:w="1150" w:type="dxa"/>
            <w:shd w:val="clear" w:color="auto" w:fill="auto"/>
            <w:noWrap/>
            <w:hideMark/>
          </w:tcPr>
          <w:p w14:paraId="6AC49C39" w14:textId="77777777" w:rsidR="00890BE4" w:rsidRPr="00890BE4" w:rsidRDefault="00890BE4" w:rsidP="00997AD2">
            <w:pPr>
              <w:spacing w:after="0" w:line="240" w:lineRule="auto"/>
              <w:rPr>
                <w:rFonts w:eastAsia="Times New Roman" w:cs="Arial"/>
                <w:sz w:val="18"/>
                <w:szCs w:val="18"/>
                <w:lang w:eastAsia="en-AU"/>
              </w:rPr>
            </w:pPr>
          </w:p>
        </w:tc>
        <w:tc>
          <w:tcPr>
            <w:tcW w:w="1729" w:type="dxa"/>
            <w:shd w:val="clear" w:color="auto" w:fill="auto"/>
            <w:noWrap/>
            <w:hideMark/>
          </w:tcPr>
          <w:p w14:paraId="13AA18F1"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Device Stenosis</w:t>
            </w:r>
          </w:p>
        </w:tc>
        <w:tc>
          <w:tcPr>
            <w:tcW w:w="1729" w:type="dxa"/>
            <w:shd w:val="clear" w:color="auto" w:fill="auto"/>
            <w:noWrap/>
            <w:hideMark/>
          </w:tcPr>
          <w:p w14:paraId="7F8B8E1E" w14:textId="77777777" w:rsidR="00890BE4" w:rsidRPr="00890BE4" w:rsidRDefault="00890BE4" w:rsidP="00997AD2">
            <w:pPr>
              <w:spacing w:after="0" w:line="240" w:lineRule="auto"/>
              <w:rPr>
                <w:rFonts w:eastAsia="Times New Roman" w:cs="Arial"/>
                <w:sz w:val="18"/>
                <w:szCs w:val="18"/>
                <w:lang w:eastAsia="en-AU"/>
              </w:rPr>
            </w:pPr>
          </w:p>
        </w:tc>
        <w:tc>
          <w:tcPr>
            <w:tcW w:w="1017" w:type="dxa"/>
            <w:shd w:val="clear" w:color="auto" w:fill="auto"/>
            <w:noWrap/>
            <w:hideMark/>
          </w:tcPr>
          <w:p w14:paraId="27D81A6C"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A0106</w:t>
            </w:r>
          </w:p>
        </w:tc>
        <w:tc>
          <w:tcPr>
            <w:tcW w:w="3969" w:type="dxa"/>
            <w:shd w:val="clear" w:color="auto" w:fill="auto"/>
            <w:hideMark/>
          </w:tcPr>
          <w:p w14:paraId="287A6F16" w14:textId="77777777" w:rsidR="00890BE4" w:rsidRPr="00890BE4" w:rsidRDefault="00890BE4" w:rsidP="00997AD2">
            <w:pPr>
              <w:spacing w:after="0" w:line="240" w:lineRule="auto"/>
              <w:rPr>
                <w:rFonts w:eastAsia="Times New Roman" w:cs="Arial"/>
                <w:sz w:val="18"/>
                <w:szCs w:val="18"/>
                <w:lang w:eastAsia="en-AU"/>
              </w:rPr>
            </w:pPr>
            <w:r w:rsidRPr="00890BE4">
              <w:rPr>
                <w:rFonts w:eastAsia="Times New Roman" w:cs="Arial"/>
                <w:sz w:val="18"/>
                <w:szCs w:val="18"/>
                <w:lang w:eastAsia="en-AU"/>
              </w:rPr>
              <w:t>Problem associated with the narrowing or obstruction of the device (e.g. prosthetic heart valves, stents, etc.).</w:t>
            </w:r>
          </w:p>
        </w:tc>
      </w:tr>
    </w:tbl>
    <w:p w14:paraId="7873F3A5" w14:textId="498A93CE" w:rsidR="000D0532" w:rsidRDefault="009978DF" w:rsidP="00F47CC6">
      <w:pPr>
        <w:spacing w:before="240"/>
      </w:pPr>
      <w:r>
        <w:t xml:space="preserve">It is assumed that </w:t>
      </w:r>
      <w:r w:rsidR="00F608BB">
        <w:t xml:space="preserve">clinical incident </w:t>
      </w:r>
      <w:r w:rsidR="00063CA2">
        <w:t xml:space="preserve">taxonomies will not be standardised nationally and the TGA will continue to provide </w:t>
      </w:r>
      <w:r w:rsidR="00E155C7">
        <w:t xml:space="preserve">a coding </w:t>
      </w:r>
      <w:r w:rsidR="00B95E34">
        <w:t>harmonisation function for received reports.</w:t>
      </w:r>
      <w:r w:rsidR="000D0532">
        <w:t xml:space="preserve"> It is further assumed that the TGA will require at least sufficient information to accurately assign a Level 1 category.</w:t>
      </w:r>
    </w:p>
    <w:p w14:paraId="197D61CA" w14:textId="2E76C81D" w:rsidR="00F8404A" w:rsidRDefault="000612FE" w:rsidP="00F47CC6">
      <w:pPr>
        <w:spacing w:before="240"/>
      </w:pPr>
      <w:r>
        <w:t>It is further assumed that</w:t>
      </w:r>
      <w:r w:rsidR="00EF7A8C">
        <w:t xml:space="preserve"> specific </w:t>
      </w:r>
      <w:r w:rsidR="00006DF7">
        <w:t xml:space="preserve">individual events </w:t>
      </w:r>
      <w:r w:rsidR="00B94762">
        <w:t xml:space="preserve">requiring </w:t>
      </w:r>
      <w:r>
        <w:t>mandatory</w:t>
      </w:r>
      <w:r w:rsidR="00227FBE">
        <w:t xml:space="preserve"> medical device adverse event reporting </w:t>
      </w:r>
      <w:r w:rsidR="00B94762">
        <w:t xml:space="preserve">will have a very high correlation with events </w:t>
      </w:r>
      <w:r w:rsidR="001076A2">
        <w:t xml:space="preserve">already required to be reported </w:t>
      </w:r>
      <w:r w:rsidR="00831E3E">
        <w:t xml:space="preserve">under existing incident management </w:t>
      </w:r>
      <w:r w:rsidR="00BC40DB">
        <w:t>governance arrangements</w:t>
      </w:r>
      <w:r w:rsidR="000726B9">
        <w:t xml:space="preserve">. The key questions, from a regulatory costing perspective, is therefore the </w:t>
      </w:r>
      <w:r w:rsidR="00B5787F">
        <w:t>ex</w:t>
      </w:r>
      <w:r w:rsidR="007E45D9">
        <w:t xml:space="preserve">tent of </w:t>
      </w:r>
      <w:r w:rsidR="00FF741C">
        <w:t xml:space="preserve">currently entered information that can be repurposed to satisfy the </w:t>
      </w:r>
      <w:r w:rsidR="007B722C">
        <w:t>data elements for</w:t>
      </w:r>
      <w:r w:rsidR="001700D8">
        <w:t xml:space="preserve"> the TGA’s reporting requirements and </w:t>
      </w:r>
      <w:r w:rsidR="00577D94">
        <w:t>additional data f</w:t>
      </w:r>
      <w:r w:rsidR="006D7F8A">
        <w:t xml:space="preserve">ields </w:t>
      </w:r>
      <w:r w:rsidR="008E66CE">
        <w:t xml:space="preserve">specifically </w:t>
      </w:r>
      <w:r w:rsidR="00A1078C">
        <w:t xml:space="preserve">generated </w:t>
      </w:r>
      <w:r w:rsidR="00844F65">
        <w:t xml:space="preserve">by the proposed regulatory changes. </w:t>
      </w:r>
    </w:p>
    <w:p w14:paraId="468997DA" w14:textId="559F81FA" w:rsidR="00F9186A" w:rsidRDefault="00F9186A" w:rsidP="00F9186A">
      <w:pPr>
        <w:pStyle w:val="Heading5"/>
      </w:pPr>
      <w:r>
        <w:t>Data Fields</w:t>
      </w:r>
    </w:p>
    <w:p w14:paraId="27935865" w14:textId="2CECFB11" w:rsidR="00F9186A" w:rsidRDefault="00F9186A" w:rsidP="00F9186A">
      <w:r w:rsidRPr="00306805">
        <w:t>Sentinel Events are preventable adverse events that result in death or serious harm to a patient</w:t>
      </w:r>
      <w:r w:rsidR="009C06B0">
        <w:t>.</w:t>
      </w:r>
      <w:r w:rsidRPr="00306805">
        <w:t xml:space="preserve"> </w:t>
      </w:r>
      <w:r w:rsidRPr="003A2753">
        <w:t xml:space="preserve">The original </w:t>
      </w:r>
      <w:r>
        <w:t>list of eight National Sentinel Events</w:t>
      </w:r>
      <w:r w:rsidRPr="003A2753">
        <w:t xml:space="preserve"> was agreed by Australian health ministers in 2002</w:t>
      </w:r>
      <w:r>
        <w:t xml:space="preserve"> and reported nationally by all Australian states and territories between 2004 and June 2019.  </w:t>
      </w:r>
      <w:r w:rsidRPr="00E12CE6">
        <w:t xml:space="preserve">From 2007, Sentinel Events have been reported by each Australian jurisdiction for inclusion in the Productivity Commission's Report on Government Services (ROGS). </w:t>
      </w:r>
      <w:r w:rsidRPr="00BE216B">
        <w:t xml:space="preserve">A revised list </w:t>
      </w:r>
      <w:r>
        <w:t xml:space="preserve">(2.0) </w:t>
      </w:r>
      <w:r w:rsidRPr="00BE216B">
        <w:t>was endorsed by Australian Health Ministers in December 2018</w:t>
      </w:r>
      <w:r>
        <w:t>, with reporting against this list commencing</w:t>
      </w:r>
      <w:r w:rsidRPr="00BE216B">
        <w:t xml:space="preserve"> </w:t>
      </w:r>
      <w:r w:rsidR="009B7E0B">
        <w:br/>
      </w:r>
      <w:r w:rsidRPr="00BE216B">
        <w:t>1 July 2019</w:t>
      </w:r>
      <w:r>
        <w:t xml:space="preserve">. While both public and private hospitals are required to report against the Australian sentinel events (listed below) there is likely a low correlation with a medical device adverse event. </w:t>
      </w:r>
    </w:p>
    <w:p w14:paraId="5AB2D822" w14:textId="57C8EC3D" w:rsidR="00F9186A" w:rsidRDefault="00F9186A" w:rsidP="0053384D">
      <w:pPr>
        <w:pStyle w:val="Caption"/>
        <w:keepNext/>
        <w:keepLines/>
      </w:pPr>
      <w:r>
        <w:t xml:space="preserve">Table </w:t>
      </w:r>
      <w:r w:rsidR="008056A1">
        <w:t>30</w:t>
      </w:r>
      <w:r w:rsidR="002D41F4">
        <w:t xml:space="preserve"> -</w:t>
      </w:r>
      <w:r>
        <w:t xml:space="preserve"> Australian sentinel events (version 2.0)</w:t>
      </w:r>
      <w:r>
        <w:rPr>
          <w:rStyle w:val="FootnoteReference"/>
        </w:rPr>
        <w:footnoteReference w:id="106"/>
      </w:r>
    </w:p>
    <w:tbl>
      <w:tblPr>
        <w:tblW w:w="9072" w:type="dxa"/>
        <w:tblBorders>
          <w:bottom w:val="single" w:sz="12" w:space="0" w:color="DDDDDD"/>
        </w:tblBorders>
        <w:tblCellMar>
          <w:top w:w="15" w:type="dxa"/>
          <w:left w:w="15" w:type="dxa"/>
          <w:bottom w:w="15" w:type="dxa"/>
          <w:right w:w="15" w:type="dxa"/>
        </w:tblCellMar>
        <w:tblLook w:val="04A0" w:firstRow="1" w:lastRow="0" w:firstColumn="1" w:lastColumn="0" w:noHBand="0" w:noVBand="1"/>
      </w:tblPr>
      <w:tblGrid>
        <w:gridCol w:w="315"/>
        <w:gridCol w:w="8757"/>
      </w:tblGrid>
      <w:tr w:rsidR="00F9186A" w:rsidRPr="00BD4407" w14:paraId="637E1195" w14:textId="77777777" w:rsidTr="001615EC">
        <w:trPr>
          <w:trHeight w:val="269"/>
        </w:trPr>
        <w:tc>
          <w:tcPr>
            <w:tcW w:w="0" w:type="auto"/>
            <w:tcBorders>
              <w:bottom w:val="single" w:sz="4" w:space="0" w:color="auto"/>
            </w:tcBorders>
            <w:vAlign w:val="center"/>
            <w:hideMark/>
          </w:tcPr>
          <w:p w14:paraId="1A1A6818" w14:textId="77777777" w:rsidR="00F9186A" w:rsidRPr="00BD4407" w:rsidRDefault="00F9186A" w:rsidP="0053384D">
            <w:pPr>
              <w:keepNext/>
              <w:keepLines/>
              <w:spacing w:after="0" w:line="240" w:lineRule="auto"/>
              <w:rPr>
                <w:rFonts w:cs="Arial"/>
                <w:b/>
                <w:bCs/>
                <w:sz w:val="18"/>
                <w:szCs w:val="18"/>
              </w:rPr>
            </w:pPr>
            <w:r w:rsidRPr="00BD4407">
              <w:rPr>
                <w:rStyle w:val="Strong"/>
                <w:rFonts w:cs="Arial"/>
                <w:sz w:val="18"/>
                <w:szCs w:val="18"/>
              </w:rPr>
              <w:t>1</w:t>
            </w:r>
          </w:p>
        </w:tc>
        <w:tc>
          <w:tcPr>
            <w:tcW w:w="8757" w:type="dxa"/>
            <w:tcBorders>
              <w:bottom w:val="single" w:sz="4" w:space="0" w:color="auto"/>
            </w:tcBorders>
            <w:vAlign w:val="center"/>
            <w:hideMark/>
          </w:tcPr>
          <w:p w14:paraId="02182F19" w14:textId="77777777" w:rsidR="00F9186A" w:rsidRPr="00BD4407" w:rsidRDefault="00F9186A" w:rsidP="0053384D">
            <w:pPr>
              <w:keepNext/>
              <w:keepLines/>
              <w:spacing w:after="0" w:line="240" w:lineRule="auto"/>
              <w:rPr>
                <w:rFonts w:cs="Arial"/>
                <w:sz w:val="18"/>
                <w:szCs w:val="18"/>
              </w:rPr>
            </w:pPr>
            <w:r w:rsidRPr="00BD4407">
              <w:rPr>
                <w:rFonts w:cs="Arial"/>
                <w:sz w:val="18"/>
                <w:szCs w:val="18"/>
              </w:rPr>
              <w:t>Surgery or other invasive procedure performed on the wrong site resulting in serious harm or death</w:t>
            </w:r>
          </w:p>
        </w:tc>
      </w:tr>
      <w:tr w:rsidR="00F9186A" w:rsidRPr="00BD4407" w14:paraId="154C7489" w14:textId="77777777" w:rsidTr="001615EC">
        <w:trPr>
          <w:trHeight w:val="259"/>
        </w:trPr>
        <w:tc>
          <w:tcPr>
            <w:tcW w:w="0" w:type="auto"/>
            <w:tcBorders>
              <w:top w:val="single" w:sz="4" w:space="0" w:color="auto"/>
              <w:bottom w:val="single" w:sz="4" w:space="0" w:color="auto"/>
            </w:tcBorders>
            <w:vAlign w:val="center"/>
            <w:hideMark/>
          </w:tcPr>
          <w:p w14:paraId="71B1D0E1" w14:textId="77777777" w:rsidR="00F9186A" w:rsidRPr="00BD4407" w:rsidRDefault="00F9186A" w:rsidP="0053384D">
            <w:pPr>
              <w:keepNext/>
              <w:keepLines/>
              <w:spacing w:after="0" w:line="240" w:lineRule="auto"/>
              <w:rPr>
                <w:rFonts w:cs="Arial"/>
                <w:b/>
                <w:bCs/>
                <w:sz w:val="18"/>
                <w:szCs w:val="18"/>
              </w:rPr>
            </w:pPr>
            <w:r w:rsidRPr="00BD4407">
              <w:rPr>
                <w:rStyle w:val="Strong"/>
                <w:rFonts w:cs="Arial"/>
                <w:sz w:val="18"/>
                <w:szCs w:val="18"/>
              </w:rPr>
              <w:t>2</w:t>
            </w:r>
          </w:p>
        </w:tc>
        <w:tc>
          <w:tcPr>
            <w:tcW w:w="8757" w:type="dxa"/>
            <w:tcBorders>
              <w:top w:val="single" w:sz="4" w:space="0" w:color="auto"/>
              <w:bottom w:val="single" w:sz="4" w:space="0" w:color="auto"/>
            </w:tcBorders>
            <w:vAlign w:val="center"/>
            <w:hideMark/>
          </w:tcPr>
          <w:p w14:paraId="4DA74072" w14:textId="77777777" w:rsidR="00F9186A" w:rsidRPr="00BD4407" w:rsidRDefault="00F9186A" w:rsidP="0053384D">
            <w:pPr>
              <w:keepNext/>
              <w:keepLines/>
              <w:spacing w:after="0" w:line="240" w:lineRule="auto"/>
              <w:rPr>
                <w:rFonts w:cs="Arial"/>
                <w:sz w:val="18"/>
                <w:szCs w:val="18"/>
              </w:rPr>
            </w:pPr>
            <w:r w:rsidRPr="00BD4407">
              <w:rPr>
                <w:rFonts w:cs="Arial"/>
                <w:sz w:val="18"/>
                <w:szCs w:val="18"/>
              </w:rPr>
              <w:t>Surgery or other invasive procedure performed on the wrong patient resulting in serious harm or death</w:t>
            </w:r>
          </w:p>
        </w:tc>
      </w:tr>
      <w:tr w:rsidR="00F9186A" w:rsidRPr="00BD4407" w14:paraId="0493596F" w14:textId="77777777" w:rsidTr="001615EC">
        <w:trPr>
          <w:trHeight w:val="248"/>
        </w:trPr>
        <w:tc>
          <w:tcPr>
            <w:tcW w:w="0" w:type="auto"/>
            <w:tcBorders>
              <w:top w:val="single" w:sz="4" w:space="0" w:color="auto"/>
              <w:bottom w:val="single" w:sz="4" w:space="0" w:color="auto"/>
            </w:tcBorders>
            <w:vAlign w:val="center"/>
            <w:hideMark/>
          </w:tcPr>
          <w:p w14:paraId="1C9978E7"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3</w:t>
            </w:r>
          </w:p>
        </w:tc>
        <w:tc>
          <w:tcPr>
            <w:tcW w:w="8757" w:type="dxa"/>
            <w:tcBorders>
              <w:top w:val="single" w:sz="4" w:space="0" w:color="auto"/>
              <w:bottom w:val="single" w:sz="4" w:space="0" w:color="auto"/>
            </w:tcBorders>
            <w:vAlign w:val="center"/>
            <w:hideMark/>
          </w:tcPr>
          <w:p w14:paraId="46C000EC" w14:textId="77777777" w:rsidR="00F9186A" w:rsidRPr="00BD4407" w:rsidRDefault="00F9186A" w:rsidP="001615EC">
            <w:pPr>
              <w:spacing w:after="0" w:line="240" w:lineRule="auto"/>
              <w:rPr>
                <w:rFonts w:cs="Arial"/>
                <w:sz w:val="18"/>
                <w:szCs w:val="18"/>
              </w:rPr>
            </w:pPr>
            <w:r w:rsidRPr="00BD4407">
              <w:rPr>
                <w:rFonts w:cs="Arial"/>
                <w:sz w:val="18"/>
                <w:szCs w:val="18"/>
              </w:rPr>
              <w:t>Wrong surgical or other invasive procedure performed on a patient resulting in serious harm or death</w:t>
            </w:r>
          </w:p>
        </w:tc>
      </w:tr>
      <w:tr w:rsidR="00F9186A" w:rsidRPr="00BD4407" w14:paraId="3D68112B" w14:textId="77777777" w:rsidTr="001615EC">
        <w:trPr>
          <w:trHeight w:val="381"/>
        </w:trPr>
        <w:tc>
          <w:tcPr>
            <w:tcW w:w="0" w:type="auto"/>
            <w:tcBorders>
              <w:top w:val="single" w:sz="4" w:space="0" w:color="auto"/>
              <w:bottom w:val="single" w:sz="4" w:space="0" w:color="auto"/>
            </w:tcBorders>
            <w:vAlign w:val="center"/>
            <w:hideMark/>
          </w:tcPr>
          <w:p w14:paraId="6F8B3FD7"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4.</w:t>
            </w:r>
          </w:p>
        </w:tc>
        <w:tc>
          <w:tcPr>
            <w:tcW w:w="8757" w:type="dxa"/>
            <w:tcBorders>
              <w:top w:val="single" w:sz="4" w:space="0" w:color="auto"/>
              <w:bottom w:val="single" w:sz="4" w:space="0" w:color="auto"/>
            </w:tcBorders>
            <w:vAlign w:val="center"/>
            <w:hideMark/>
          </w:tcPr>
          <w:p w14:paraId="4C1D123E" w14:textId="77777777" w:rsidR="00F9186A" w:rsidRPr="00BD4407" w:rsidRDefault="00F9186A" w:rsidP="001615EC">
            <w:pPr>
              <w:spacing w:after="0" w:line="240" w:lineRule="auto"/>
              <w:rPr>
                <w:rFonts w:cs="Arial"/>
                <w:sz w:val="18"/>
                <w:szCs w:val="18"/>
              </w:rPr>
            </w:pPr>
            <w:r w:rsidRPr="00BD4407">
              <w:rPr>
                <w:rFonts w:cs="Arial"/>
                <w:sz w:val="18"/>
                <w:szCs w:val="18"/>
              </w:rPr>
              <w:t>Unintended retention of a foreign object in a patient after surgery or other invasive procedure resulting in serious harm or death</w:t>
            </w:r>
          </w:p>
        </w:tc>
      </w:tr>
      <w:tr w:rsidR="00F9186A" w:rsidRPr="00BD4407" w14:paraId="2E440431" w14:textId="77777777" w:rsidTr="001615EC">
        <w:trPr>
          <w:trHeight w:val="254"/>
        </w:trPr>
        <w:tc>
          <w:tcPr>
            <w:tcW w:w="0" w:type="auto"/>
            <w:tcBorders>
              <w:top w:val="single" w:sz="4" w:space="0" w:color="auto"/>
              <w:bottom w:val="single" w:sz="4" w:space="0" w:color="auto"/>
            </w:tcBorders>
            <w:vAlign w:val="center"/>
            <w:hideMark/>
          </w:tcPr>
          <w:p w14:paraId="618703DF" w14:textId="77777777" w:rsidR="00F9186A" w:rsidRPr="00BD4407" w:rsidRDefault="00F9186A" w:rsidP="001615EC">
            <w:pPr>
              <w:pStyle w:val="NormalWeb"/>
              <w:spacing w:before="0" w:beforeAutospacing="0" w:after="0" w:afterAutospacing="0"/>
              <w:rPr>
                <w:rFonts w:ascii="Arial" w:hAnsi="Arial" w:cs="Arial"/>
                <w:b/>
                <w:bCs/>
                <w:sz w:val="18"/>
                <w:szCs w:val="18"/>
              </w:rPr>
            </w:pPr>
            <w:r w:rsidRPr="00BD4407">
              <w:rPr>
                <w:rStyle w:val="Strong"/>
                <w:rFonts w:ascii="Arial" w:hAnsi="Arial" w:cs="Arial"/>
                <w:sz w:val="18"/>
                <w:szCs w:val="18"/>
              </w:rPr>
              <w:t>5.</w:t>
            </w:r>
          </w:p>
        </w:tc>
        <w:tc>
          <w:tcPr>
            <w:tcW w:w="8757" w:type="dxa"/>
            <w:tcBorders>
              <w:top w:val="single" w:sz="4" w:space="0" w:color="auto"/>
              <w:bottom w:val="single" w:sz="4" w:space="0" w:color="auto"/>
            </w:tcBorders>
            <w:vAlign w:val="center"/>
            <w:hideMark/>
          </w:tcPr>
          <w:p w14:paraId="13AC6765" w14:textId="77777777" w:rsidR="00F9186A" w:rsidRPr="00BD4407" w:rsidRDefault="00F9186A" w:rsidP="001615EC">
            <w:pPr>
              <w:spacing w:after="0" w:line="240" w:lineRule="auto"/>
              <w:rPr>
                <w:rFonts w:cs="Arial"/>
                <w:sz w:val="18"/>
                <w:szCs w:val="18"/>
              </w:rPr>
            </w:pPr>
            <w:r w:rsidRPr="00BD4407">
              <w:rPr>
                <w:rFonts w:cs="Arial"/>
                <w:sz w:val="18"/>
                <w:szCs w:val="18"/>
              </w:rPr>
              <w:t>Haemolytic blood transfusion reaction resulting from ABO incompatibility resulting in serious harm or death</w:t>
            </w:r>
          </w:p>
        </w:tc>
      </w:tr>
      <w:tr w:rsidR="00F9186A" w:rsidRPr="00BD4407" w14:paraId="7B7330F4" w14:textId="77777777" w:rsidTr="001615EC">
        <w:trPr>
          <w:trHeight w:val="222"/>
        </w:trPr>
        <w:tc>
          <w:tcPr>
            <w:tcW w:w="0" w:type="auto"/>
            <w:tcBorders>
              <w:top w:val="single" w:sz="4" w:space="0" w:color="auto"/>
              <w:bottom w:val="single" w:sz="4" w:space="0" w:color="auto"/>
            </w:tcBorders>
            <w:vAlign w:val="center"/>
            <w:hideMark/>
          </w:tcPr>
          <w:p w14:paraId="27FA5034"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6.</w:t>
            </w:r>
          </w:p>
        </w:tc>
        <w:tc>
          <w:tcPr>
            <w:tcW w:w="8757" w:type="dxa"/>
            <w:tcBorders>
              <w:top w:val="single" w:sz="4" w:space="0" w:color="auto"/>
              <w:bottom w:val="single" w:sz="4" w:space="0" w:color="auto"/>
            </w:tcBorders>
            <w:vAlign w:val="center"/>
            <w:hideMark/>
          </w:tcPr>
          <w:p w14:paraId="48E39615" w14:textId="77777777" w:rsidR="00F9186A" w:rsidRPr="00BD4407" w:rsidRDefault="00F9186A" w:rsidP="001615EC">
            <w:pPr>
              <w:spacing w:after="0" w:line="240" w:lineRule="auto"/>
              <w:rPr>
                <w:rFonts w:cs="Arial"/>
                <w:sz w:val="18"/>
                <w:szCs w:val="18"/>
              </w:rPr>
            </w:pPr>
            <w:r w:rsidRPr="00BD4407">
              <w:rPr>
                <w:rFonts w:cs="Arial"/>
                <w:sz w:val="18"/>
                <w:szCs w:val="18"/>
              </w:rPr>
              <w:t>Suspected suicide of a patient in an acute psychiatric unit or acute psychiatric ward</w:t>
            </w:r>
          </w:p>
        </w:tc>
      </w:tr>
      <w:tr w:rsidR="00F9186A" w:rsidRPr="00BD4407" w14:paraId="74183145" w14:textId="77777777" w:rsidTr="001615EC">
        <w:trPr>
          <w:trHeight w:val="242"/>
        </w:trPr>
        <w:tc>
          <w:tcPr>
            <w:tcW w:w="0" w:type="auto"/>
            <w:tcBorders>
              <w:top w:val="single" w:sz="4" w:space="0" w:color="auto"/>
              <w:bottom w:val="single" w:sz="4" w:space="0" w:color="auto"/>
            </w:tcBorders>
            <w:vAlign w:val="center"/>
            <w:hideMark/>
          </w:tcPr>
          <w:p w14:paraId="7D11556A"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7.</w:t>
            </w:r>
          </w:p>
        </w:tc>
        <w:tc>
          <w:tcPr>
            <w:tcW w:w="8757" w:type="dxa"/>
            <w:tcBorders>
              <w:top w:val="single" w:sz="4" w:space="0" w:color="auto"/>
              <w:bottom w:val="single" w:sz="4" w:space="0" w:color="auto"/>
            </w:tcBorders>
            <w:vAlign w:val="center"/>
            <w:hideMark/>
          </w:tcPr>
          <w:p w14:paraId="1D06B853" w14:textId="77777777" w:rsidR="00F9186A" w:rsidRPr="00BD4407" w:rsidRDefault="00F9186A" w:rsidP="001615EC">
            <w:pPr>
              <w:spacing w:after="0" w:line="240" w:lineRule="auto"/>
              <w:rPr>
                <w:rFonts w:cs="Arial"/>
                <w:sz w:val="18"/>
                <w:szCs w:val="18"/>
              </w:rPr>
            </w:pPr>
            <w:r w:rsidRPr="00BD4407">
              <w:rPr>
                <w:rFonts w:cs="Arial"/>
                <w:sz w:val="18"/>
                <w:szCs w:val="18"/>
              </w:rPr>
              <w:t>Medication error resulting in serious harm or death</w:t>
            </w:r>
          </w:p>
        </w:tc>
      </w:tr>
      <w:tr w:rsidR="00F9186A" w:rsidRPr="00BD4407" w14:paraId="0F5EF193" w14:textId="77777777" w:rsidTr="001615EC">
        <w:trPr>
          <w:trHeight w:val="256"/>
        </w:trPr>
        <w:tc>
          <w:tcPr>
            <w:tcW w:w="0" w:type="auto"/>
            <w:tcBorders>
              <w:top w:val="single" w:sz="4" w:space="0" w:color="auto"/>
              <w:bottom w:val="single" w:sz="4" w:space="0" w:color="auto"/>
            </w:tcBorders>
            <w:vAlign w:val="center"/>
            <w:hideMark/>
          </w:tcPr>
          <w:p w14:paraId="379F9543"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8.</w:t>
            </w:r>
          </w:p>
        </w:tc>
        <w:tc>
          <w:tcPr>
            <w:tcW w:w="8757" w:type="dxa"/>
            <w:tcBorders>
              <w:top w:val="single" w:sz="4" w:space="0" w:color="auto"/>
              <w:bottom w:val="single" w:sz="4" w:space="0" w:color="auto"/>
            </w:tcBorders>
            <w:vAlign w:val="center"/>
            <w:hideMark/>
          </w:tcPr>
          <w:p w14:paraId="002E093B" w14:textId="77777777" w:rsidR="00F9186A" w:rsidRPr="00BD4407" w:rsidRDefault="00F9186A" w:rsidP="001615EC">
            <w:pPr>
              <w:spacing w:after="0" w:line="240" w:lineRule="auto"/>
              <w:rPr>
                <w:rFonts w:cs="Arial"/>
                <w:sz w:val="18"/>
                <w:szCs w:val="18"/>
              </w:rPr>
            </w:pPr>
            <w:r w:rsidRPr="00BD4407">
              <w:rPr>
                <w:rFonts w:cs="Arial"/>
                <w:sz w:val="18"/>
                <w:szCs w:val="18"/>
              </w:rPr>
              <w:t>Use of physical or mechanical restraint resulting in serious harm or death</w:t>
            </w:r>
          </w:p>
        </w:tc>
      </w:tr>
      <w:tr w:rsidR="00F9186A" w:rsidRPr="00BD4407" w14:paraId="66AA4CC6" w14:textId="77777777" w:rsidTr="001615EC">
        <w:trPr>
          <w:trHeight w:val="246"/>
        </w:trPr>
        <w:tc>
          <w:tcPr>
            <w:tcW w:w="0" w:type="auto"/>
            <w:tcBorders>
              <w:top w:val="single" w:sz="4" w:space="0" w:color="auto"/>
              <w:bottom w:val="single" w:sz="4" w:space="0" w:color="auto"/>
            </w:tcBorders>
            <w:vAlign w:val="center"/>
            <w:hideMark/>
          </w:tcPr>
          <w:p w14:paraId="79F5EA16"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9.</w:t>
            </w:r>
          </w:p>
        </w:tc>
        <w:tc>
          <w:tcPr>
            <w:tcW w:w="8757" w:type="dxa"/>
            <w:tcBorders>
              <w:top w:val="single" w:sz="4" w:space="0" w:color="auto"/>
              <w:bottom w:val="single" w:sz="4" w:space="0" w:color="auto"/>
            </w:tcBorders>
            <w:vAlign w:val="center"/>
            <w:hideMark/>
          </w:tcPr>
          <w:p w14:paraId="6A223ED2" w14:textId="77777777" w:rsidR="00F9186A" w:rsidRPr="00BD4407" w:rsidRDefault="00F9186A" w:rsidP="001615EC">
            <w:pPr>
              <w:spacing w:after="0" w:line="240" w:lineRule="auto"/>
              <w:rPr>
                <w:rFonts w:cs="Arial"/>
                <w:sz w:val="18"/>
                <w:szCs w:val="18"/>
              </w:rPr>
            </w:pPr>
            <w:r w:rsidRPr="00BD4407">
              <w:rPr>
                <w:rFonts w:cs="Arial"/>
                <w:sz w:val="18"/>
                <w:szCs w:val="18"/>
              </w:rPr>
              <w:t>Discharge or release of an infant or child to an unauthorised person</w:t>
            </w:r>
          </w:p>
        </w:tc>
      </w:tr>
      <w:tr w:rsidR="00F9186A" w:rsidRPr="00BD4407" w14:paraId="3675BCC6" w14:textId="77777777" w:rsidTr="001615EC">
        <w:trPr>
          <w:trHeight w:val="208"/>
        </w:trPr>
        <w:tc>
          <w:tcPr>
            <w:tcW w:w="0" w:type="auto"/>
            <w:tcBorders>
              <w:top w:val="single" w:sz="4" w:space="0" w:color="auto"/>
            </w:tcBorders>
            <w:vAlign w:val="center"/>
            <w:hideMark/>
          </w:tcPr>
          <w:p w14:paraId="6E7BAA96" w14:textId="77777777" w:rsidR="00F9186A" w:rsidRPr="00BD4407" w:rsidRDefault="00F9186A" w:rsidP="001615EC">
            <w:pPr>
              <w:spacing w:after="0" w:line="240" w:lineRule="auto"/>
              <w:rPr>
                <w:rFonts w:cs="Arial"/>
                <w:b/>
                <w:bCs/>
                <w:sz w:val="18"/>
                <w:szCs w:val="18"/>
              </w:rPr>
            </w:pPr>
            <w:r w:rsidRPr="00BD4407">
              <w:rPr>
                <w:rStyle w:val="Strong"/>
                <w:rFonts w:cs="Arial"/>
                <w:sz w:val="18"/>
                <w:szCs w:val="18"/>
              </w:rPr>
              <w:t>10.</w:t>
            </w:r>
          </w:p>
        </w:tc>
        <w:tc>
          <w:tcPr>
            <w:tcW w:w="8757" w:type="dxa"/>
            <w:tcBorders>
              <w:top w:val="single" w:sz="4" w:space="0" w:color="auto"/>
              <w:bottom w:val="single" w:sz="6" w:space="0" w:color="DDDDDD"/>
            </w:tcBorders>
            <w:vAlign w:val="center"/>
            <w:hideMark/>
          </w:tcPr>
          <w:p w14:paraId="194C355B" w14:textId="77777777" w:rsidR="00F9186A" w:rsidRPr="00BD4407" w:rsidRDefault="00F9186A" w:rsidP="001615EC">
            <w:pPr>
              <w:spacing w:after="0" w:line="240" w:lineRule="auto"/>
              <w:rPr>
                <w:rFonts w:cs="Arial"/>
                <w:sz w:val="18"/>
                <w:szCs w:val="18"/>
              </w:rPr>
            </w:pPr>
            <w:r w:rsidRPr="00BD4407">
              <w:rPr>
                <w:rFonts w:cs="Arial"/>
                <w:sz w:val="18"/>
                <w:szCs w:val="18"/>
              </w:rPr>
              <w:t>Use of an incorrectly positioned oro- or naso- gastric tube resulting in serious harm or death</w:t>
            </w:r>
          </w:p>
        </w:tc>
      </w:tr>
    </w:tbl>
    <w:p w14:paraId="075BF539" w14:textId="60D4BD33" w:rsidR="00F9186A" w:rsidRDefault="00F9186A" w:rsidP="00F9186A">
      <w:pPr>
        <w:spacing w:before="240"/>
      </w:pPr>
      <w:r>
        <w:t>One jurisdiction (Victoria) includes an 11</w:t>
      </w:r>
      <w:r w:rsidRPr="001B1BF0">
        <w:rPr>
          <w:vertAlign w:val="superscript"/>
        </w:rPr>
        <w:t>th</w:t>
      </w:r>
      <w:r>
        <w:t xml:space="preserve"> sentinel event being ‘All other adverse patient safety events resulting in serious harm or death’. This additional event aims to help Victorian health services manage adverse </w:t>
      </w:r>
      <w:r w:rsidRPr="004E4B7C">
        <w:rPr>
          <w:i/>
          <w:iCs/>
        </w:rPr>
        <w:t>patient</w:t>
      </w:r>
      <w:r>
        <w:t xml:space="preserve"> safety events that fall outside the 10 national sentinel event categories, </w:t>
      </w:r>
      <w:r w:rsidR="00FD301D">
        <w:t xml:space="preserve">10 </w:t>
      </w:r>
      <w:r>
        <w:t>sub-categories are included including one titled ‘medical device or equipment’. This sub-category covers errors associated with medical devices or equipment resulting in serious harm or death. Examples provided include ‘malfunction of a product’.</w:t>
      </w:r>
      <w:r>
        <w:rPr>
          <w:rStyle w:val="FootnoteReference"/>
        </w:rPr>
        <w:footnoteReference w:id="107"/>
      </w:r>
      <w:r>
        <w:t xml:space="preserve"> </w:t>
      </w:r>
    </w:p>
    <w:p w14:paraId="6DDB3118" w14:textId="77777777" w:rsidR="00F9186A" w:rsidRDefault="00F9186A" w:rsidP="00F9186A">
      <w:r>
        <w:t xml:space="preserve">Information concerning medical device-related adverse events that occur outside a hospital setting will be more challenging to collect on a routine basis. Other information about medical device failures that is more challenging to collect on a routine basis, but is equally important for the purposes of detecting current or emerging safety signals include: </w:t>
      </w:r>
    </w:p>
    <w:p w14:paraId="07FA187C" w14:textId="77777777" w:rsidR="00F9186A" w:rsidRDefault="00F9186A" w:rsidP="00F9186A">
      <w:pPr>
        <w:pStyle w:val="Bullet1"/>
      </w:pPr>
      <w:r>
        <w:t xml:space="preserve">near misses identified and managed successfully within a healthcare facility (e.g. unreliable performance of an infusion device which is replaced by clinical staff); and </w:t>
      </w:r>
    </w:p>
    <w:p w14:paraId="208A0924" w14:textId="06C54FD0" w:rsidR="00F9186A" w:rsidRDefault="00F9186A" w:rsidP="00F9186A">
      <w:pPr>
        <w:pStyle w:val="Bullet1"/>
      </w:pPr>
      <w:r>
        <w:t>device or consumable failures identified prior to use or during routine maintenance (e.g. broken prostheses,</w:t>
      </w:r>
      <w:r w:rsidR="007F33DE">
        <w:t xml:space="preserve"> </w:t>
      </w:r>
      <w:r>
        <w:t xml:space="preserve">defibrillator not working when tested at the beginning of a shift). </w:t>
      </w:r>
    </w:p>
    <w:p w14:paraId="6A8D777A" w14:textId="77777777" w:rsidR="00F9186A" w:rsidRDefault="00F9186A" w:rsidP="00F9186A">
      <w:r>
        <w:t>Medical device failures in these areas have the potential to cause harm to other members of the public and are of particular concern to the TGA. Whilst medical device and consumable failures, and near misses may be routinely documented by healthcare facilities, this information is largely disconnected from patient safety information systems and may not be aggregated or reported to state and territory, or national authorities including the TGA. Additionally, current information systems would need to integrate information about incidents when a device failure has not caused immediate patient harm, and where a device may be causing symptoms underlying a patient presentation for treatment. If mandatory reporting were introduced, healthcare facilities may need to revise and update local incident management policies, procedures, and data management systems to integrate a range of different sources of adverse event information.</w:t>
      </w:r>
    </w:p>
    <w:p w14:paraId="502D7583" w14:textId="0BD15DCE" w:rsidR="00F9186A" w:rsidRDefault="00F9186A" w:rsidP="00F9186A">
      <w:r>
        <w:t>The data collected as part of potential mandatory reporting requirements would need to be determined. At a minimum it may include device brand/trade name, where the device came from (e.g., the healthcare facility, or a treating health professional), and the current location of the device (particularly if the device remains implanted). Whilst some of this information may be available from patient medical records, it may not be entered into existing healthcare facility incident reporting systems. 10-12 data items are currently being considered.</w:t>
      </w:r>
      <w:r w:rsidR="00BF375A">
        <w:br/>
      </w:r>
    </w:p>
    <w:p w14:paraId="7B01F588" w14:textId="65C1D2CB" w:rsidR="00F9186A" w:rsidRDefault="00F9186A" w:rsidP="00F9186A">
      <w:pPr>
        <w:pStyle w:val="Caption"/>
      </w:pPr>
      <w:r w:rsidRPr="0079175B">
        <w:t xml:space="preserve">Figure </w:t>
      </w:r>
      <w:r w:rsidR="00650491">
        <w:t>2</w:t>
      </w:r>
      <w:r w:rsidR="008056A1">
        <w:t>7</w:t>
      </w:r>
      <w:r w:rsidR="002D41F4">
        <w:t xml:space="preserve"> -</w:t>
      </w:r>
      <w:r>
        <w:t xml:space="preserve"> Data Fields Currently Being Considered</w:t>
      </w:r>
      <w:r w:rsidR="00985166">
        <w:t xml:space="preserve"> for reporting</w:t>
      </w:r>
      <w:r w:rsidR="00BF375A">
        <w:br/>
      </w:r>
      <w:r w:rsidR="00BF375A">
        <w:br/>
      </w:r>
      <w:r w:rsidR="00BF375A">
        <w:rPr>
          <w:noProof/>
          <w:lang w:eastAsia="en-AU"/>
        </w:rPr>
        <w:drawing>
          <wp:inline distT="0" distB="0" distL="0" distR="0" wp14:anchorId="6B760E07" wp14:editId="0D340310">
            <wp:extent cx="5731510" cy="64649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6464935"/>
                    </a:xfrm>
                    <a:prstGeom prst="rect">
                      <a:avLst/>
                    </a:prstGeom>
                  </pic:spPr>
                </pic:pic>
              </a:graphicData>
            </a:graphic>
          </wp:inline>
        </w:drawing>
      </w:r>
    </w:p>
    <w:p w14:paraId="55B25B2B" w14:textId="7EB150F6" w:rsidR="00F9186A" w:rsidRPr="00DD0125" w:rsidRDefault="00F9186A" w:rsidP="00F9186A">
      <w:pPr>
        <w:rPr>
          <w:b/>
        </w:rPr>
      </w:pPr>
      <w:r w:rsidRPr="002D0CAE">
        <w:t xml:space="preserve">Often events are not reported to the </w:t>
      </w:r>
      <w:r w:rsidR="007D5E09">
        <w:t>medical device s</w:t>
      </w:r>
      <w:r w:rsidRPr="002D0CAE">
        <w:t xml:space="preserve">ponsor/manufacturer either. </w:t>
      </w:r>
      <w:r>
        <w:t>I</w:t>
      </w:r>
      <w:r w:rsidRPr="002D0CAE">
        <w:t xml:space="preserve">mages of the device or the actual device, including the product information such as reference number, lot or serial number, expiry date, </w:t>
      </w:r>
      <w:r w:rsidR="00BF375A">
        <w:t xml:space="preserve">are </w:t>
      </w:r>
      <w:r w:rsidRPr="002D0CAE">
        <w:t xml:space="preserve">also </w:t>
      </w:r>
      <w:r w:rsidR="00BF375A">
        <w:t xml:space="preserve">recommended to </w:t>
      </w:r>
      <w:r w:rsidRPr="002D0CAE">
        <w:t>be part of reporting.</w:t>
      </w:r>
    </w:p>
    <w:p w14:paraId="519A362D" w14:textId="58FE91D4" w:rsidR="00D23451" w:rsidRDefault="00D23451" w:rsidP="0079175B">
      <w:pPr>
        <w:pStyle w:val="Heading5"/>
      </w:pPr>
      <w:r>
        <w:t>Incident Management Guidance</w:t>
      </w:r>
    </w:p>
    <w:p w14:paraId="194E0789" w14:textId="19354BB9" w:rsidR="00D23451" w:rsidRDefault="00804590" w:rsidP="002204A1">
      <w:r>
        <w:t xml:space="preserve">The Commission defines </w:t>
      </w:r>
      <w:r w:rsidR="00EB6755">
        <w:t>a</w:t>
      </w:r>
      <w:r w:rsidRPr="00804590">
        <w:t xml:space="preserve">n incident </w:t>
      </w:r>
      <w:r w:rsidR="00EB6755">
        <w:t>as</w:t>
      </w:r>
      <w:r w:rsidRPr="00804590">
        <w:t xml:space="preserve"> </w:t>
      </w:r>
      <w:r w:rsidR="0092263C">
        <w:t>‘</w:t>
      </w:r>
      <w:r w:rsidRPr="00804590">
        <w:t>an event or circumstance that resulted, or could have resulted, in unintended or unnecessary harm to a patient or consumer; or a complaint, loss or damage.</w:t>
      </w:r>
      <w:r w:rsidR="002204A1">
        <w:t xml:space="preserve"> An incident may be a near miss. Incidents may also be associated with omissions where patients are not provided with a medical intervention from which they would have likely benefited.’</w:t>
      </w:r>
      <w:r w:rsidR="002204A1">
        <w:rPr>
          <w:rStyle w:val="FootnoteReference"/>
        </w:rPr>
        <w:footnoteReference w:id="108"/>
      </w:r>
      <w:r w:rsidR="00F26B94">
        <w:t xml:space="preserve"> The Commission produced </w:t>
      </w:r>
      <w:r w:rsidR="00A5374E">
        <w:t>an incident management guide (latest edition is November 2021)</w:t>
      </w:r>
      <w:r w:rsidR="00BD7232">
        <w:t xml:space="preserve"> and provides a</w:t>
      </w:r>
      <w:r w:rsidR="00233354">
        <w:t>n overview of the incident management process and its underlying principles</w:t>
      </w:r>
      <w:r w:rsidR="00DB137B">
        <w:t xml:space="preserve"> and </w:t>
      </w:r>
      <w:r w:rsidR="0074672C">
        <w:t xml:space="preserve">consolidates best practice approaches based on literature reviews and the jurisdictional incident management policies. </w:t>
      </w:r>
      <w:r w:rsidR="00CD4966">
        <w:t xml:space="preserve">The guide applies only to clinical incidents and not to staff or work health and safety </w:t>
      </w:r>
      <w:r w:rsidR="00615AB1">
        <w:t xml:space="preserve">incidents. </w:t>
      </w:r>
      <w:r w:rsidR="00F95E79">
        <w:t xml:space="preserve">Each state and territory </w:t>
      </w:r>
      <w:r w:rsidR="00A20521">
        <w:t>have</w:t>
      </w:r>
      <w:r w:rsidR="006221EC">
        <w:t xml:space="preserve"> an Incident Management Policy/Procedure</w:t>
      </w:r>
      <w:r w:rsidR="00A42392">
        <w:t xml:space="preserve"> to </w:t>
      </w:r>
      <w:r w:rsidR="00881C9D">
        <w:t xml:space="preserve">guide publicly funded </w:t>
      </w:r>
      <w:r w:rsidR="006C2AD4">
        <w:t>healthcare</w:t>
      </w:r>
      <w:r w:rsidR="00881C9D">
        <w:t xml:space="preserve"> facilities</w:t>
      </w:r>
      <w:r w:rsidR="007C110B">
        <w:rPr>
          <w:rStyle w:val="FootnoteReference"/>
        </w:rPr>
        <w:footnoteReference w:id="109"/>
      </w:r>
      <w:r w:rsidR="00881C9D">
        <w:t xml:space="preserve"> in their roles and responsibilities for reporting and managing critical incidents </w:t>
      </w:r>
      <w:r w:rsidR="004157D1">
        <w:t xml:space="preserve">and this </w:t>
      </w:r>
      <w:r w:rsidR="007D2189">
        <w:t xml:space="preserve">guidance is hyperlinked </w:t>
      </w:r>
      <w:r w:rsidR="00433D21">
        <w:t>within the guide</w:t>
      </w:r>
      <w:r w:rsidR="00A42392">
        <w:t xml:space="preserve">. </w:t>
      </w:r>
    </w:p>
    <w:p w14:paraId="64D20AFC" w14:textId="3881AC10" w:rsidR="00D01256" w:rsidRDefault="00D01256" w:rsidP="002204A1">
      <w:r>
        <w:t>The phases of incident management are detailed in the figure below.</w:t>
      </w:r>
    </w:p>
    <w:p w14:paraId="2D4B390D" w14:textId="7F6B4582" w:rsidR="00D01256" w:rsidRDefault="00D01256" w:rsidP="00D01256">
      <w:pPr>
        <w:pStyle w:val="Caption"/>
      </w:pPr>
      <w:r>
        <w:t xml:space="preserve">Figure </w:t>
      </w:r>
      <w:r w:rsidR="002D41F4">
        <w:t>2</w:t>
      </w:r>
      <w:r w:rsidR="008056A1">
        <w:t>8</w:t>
      </w:r>
      <w:r w:rsidR="002D41F4">
        <w:t xml:space="preserve"> -</w:t>
      </w:r>
      <w:r>
        <w:t xml:space="preserve"> Incident</w:t>
      </w:r>
      <w:r w:rsidR="004A3FA9">
        <w:t xml:space="preserve"> management phases</w:t>
      </w:r>
      <w:r w:rsidR="009B489C">
        <w:rPr>
          <w:rStyle w:val="FootnoteReference"/>
        </w:rPr>
        <w:footnoteReference w:id="110"/>
      </w:r>
    </w:p>
    <w:p w14:paraId="0348AB65" w14:textId="15A256CE" w:rsidR="004A3FA9" w:rsidRDefault="003864C0" w:rsidP="004A3FA9">
      <w:r w:rsidRPr="003864C0">
        <w:rPr>
          <w:noProof/>
          <w:lang w:eastAsia="en-AU"/>
        </w:rPr>
        <w:drawing>
          <wp:inline distT="0" distB="0" distL="0" distR="0" wp14:anchorId="71068BB2" wp14:editId="7B962347">
            <wp:extent cx="4435719" cy="4314825"/>
            <wp:effectExtent l="0" t="0" r="3175" b="0"/>
            <wp:docPr id="201131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14702" name=""/>
                    <pic:cNvPicPr/>
                  </pic:nvPicPr>
                  <pic:blipFill>
                    <a:blip r:embed="rId65"/>
                    <a:stretch>
                      <a:fillRect/>
                    </a:stretch>
                  </pic:blipFill>
                  <pic:spPr>
                    <a:xfrm>
                      <a:off x="0" y="0"/>
                      <a:ext cx="4436818" cy="4315894"/>
                    </a:xfrm>
                    <a:prstGeom prst="rect">
                      <a:avLst/>
                    </a:prstGeom>
                  </pic:spPr>
                </pic:pic>
              </a:graphicData>
            </a:graphic>
          </wp:inline>
        </w:drawing>
      </w:r>
    </w:p>
    <w:p w14:paraId="6FFE2A3E" w14:textId="59F4A8C8" w:rsidR="00433D21" w:rsidRPr="007C25C1" w:rsidRDefault="00AA0329" w:rsidP="00BC1D04">
      <w:pPr>
        <w:pStyle w:val="Heading5"/>
        <w:rPr>
          <w:rFonts w:eastAsiaTheme="minorHAnsi" w:cstheme="minorBidi"/>
          <w:b w:val="0"/>
          <w:bCs w:val="0"/>
          <w:i w:val="0"/>
          <w:color w:val="auto"/>
          <w:sz w:val="20"/>
          <w:szCs w:val="20"/>
        </w:rPr>
      </w:pPr>
      <w:r w:rsidRPr="00AA0329">
        <w:rPr>
          <w:rFonts w:eastAsiaTheme="minorHAnsi" w:cstheme="minorBidi"/>
          <w:b w:val="0"/>
          <w:bCs w:val="0"/>
          <w:i w:val="0"/>
          <w:color w:val="auto"/>
          <w:sz w:val="20"/>
          <w:szCs w:val="20"/>
        </w:rPr>
        <w:t>In</w:t>
      </w:r>
      <w:r>
        <w:rPr>
          <w:rFonts w:eastAsiaTheme="minorHAnsi" w:cstheme="minorBidi"/>
          <w:b w:val="0"/>
          <w:bCs w:val="0"/>
          <w:i w:val="0"/>
          <w:color w:val="auto"/>
          <w:sz w:val="20"/>
          <w:szCs w:val="20"/>
        </w:rPr>
        <w:t xml:space="preserve"> general, there is consistency in the aims of incident management policies and procedures across all jurisdictions</w:t>
      </w:r>
      <w:r w:rsidR="007C25C1">
        <w:rPr>
          <w:rFonts w:eastAsiaTheme="minorHAnsi" w:cstheme="minorBidi"/>
          <w:b w:val="0"/>
          <w:bCs w:val="0"/>
          <w:i w:val="0"/>
          <w:color w:val="auto"/>
          <w:sz w:val="20"/>
          <w:szCs w:val="20"/>
        </w:rPr>
        <w:t xml:space="preserve"> as all policies align with the Commission’s </w:t>
      </w:r>
      <w:r w:rsidR="007C25C1">
        <w:rPr>
          <w:rFonts w:eastAsiaTheme="minorHAnsi" w:cstheme="minorBidi"/>
          <w:b w:val="0"/>
          <w:bCs w:val="0"/>
          <w:iCs/>
          <w:color w:val="auto"/>
          <w:sz w:val="20"/>
          <w:szCs w:val="20"/>
        </w:rPr>
        <w:t>Incident Management Guide</w:t>
      </w:r>
      <w:r w:rsidR="007C25C1">
        <w:rPr>
          <w:rFonts w:eastAsiaTheme="minorHAnsi" w:cstheme="minorBidi"/>
          <w:b w:val="0"/>
          <w:bCs w:val="0"/>
          <w:i w:val="0"/>
          <w:color w:val="auto"/>
          <w:sz w:val="20"/>
          <w:szCs w:val="20"/>
        </w:rPr>
        <w:t xml:space="preserve">. </w:t>
      </w:r>
    </w:p>
    <w:p w14:paraId="5AF9E5E0" w14:textId="77777777" w:rsidR="009136E3" w:rsidRDefault="009136E3" w:rsidP="009136E3">
      <w:pPr>
        <w:pStyle w:val="Heading5"/>
      </w:pPr>
      <w:r>
        <w:t>Awareness</w:t>
      </w:r>
    </w:p>
    <w:p w14:paraId="298559D4" w14:textId="42541A1A" w:rsidR="00BC1D04" w:rsidRDefault="009F49D9" w:rsidP="00BC1D04">
      <w:r>
        <w:t xml:space="preserve">External awareness </w:t>
      </w:r>
      <w:r w:rsidR="00B81BD5">
        <w:t xml:space="preserve">will be </w:t>
      </w:r>
      <w:r>
        <w:t xml:space="preserve">provided </w:t>
      </w:r>
      <w:r w:rsidR="00ED45FE">
        <w:t xml:space="preserve">via updates to </w:t>
      </w:r>
      <w:r w:rsidR="007C4F9A">
        <w:t>the Commission’s</w:t>
      </w:r>
      <w:r w:rsidR="00DC5E24">
        <w:t xml:space="preserve"> </w:t>
      </w:r>
      <w:r w:rsidR="00033C21">
        <w:t>Policies</w:t>
      </w:r>
      <w:r w:rsidR="00587CA6">
        <w:t xml:space="preserve"> and Procedures, National Advisory Guidance Documents, Examples of Issues to Report, other education documents. </w:t>
      </w:r>
      <w:r w:rsidR="00B81BD5">
        <w:t>In addition</w:t>
      </w:r>
      <w:r w:rsidR="00033C21">
        <w:t>,</w:t>
      </w:r>
      <w:r w:rsidR="009A3529">
        <w:t xml:space="preserve"> TGA </w:t>
      </w:r>
      <w:r w:rsidR="00664035">
        <w:t>will produce and socialise g</w:t>
      </w:r>
      <w:r w:rsidR="009A3529">
        <w:t>uidance material</w:t>
      </w:r>
      <w:r w:rsidR="00664035">
        <w:t xml:space="preserve"> and</w:t>
      </w:r>
      <w:r w:rsidR="00281CBE">
        <w:t xml:space="preserve"> </w:t>
      </w:r>
      <w:r w:rsidR="008B2962">
        <w:t xml:space="preserve">educational resources to support health facilities </w:t>
      </w:r>
      <w:r w:rsidR="00612988">
        <w:t>o</w:t>
      </w:r>
      <w:r w:rsidR="008B2962">
        <w:t xml:space="preserve">n any changes </w:t>
      </w:r>
      <w:r w:rsidR="00B81BD5">
        <w:t xml:space="preserve">required </w:t>
      </w:r>
      <w:r w:rsidR="008B2962">
        <w:t xml:space="preserve">to reporting serious adverse events. </w:t>
      </w:r>
      <w:r w:rsidR="00810272">
        <w:t xml:space="preserve">Further education at the </w:t>
      </w:r>
      <w:r w:rsidR="00F13645">
        <w:t xml:space="preserve">health facility level </w:t>
      </w:r>
      <w:r w:rsidR="00B924D0">
        <w:t xml:space="preserve">may be required to understand </w:t>
      </w:r>
      <w:r w:rsidR="004A39F4">
        <w:t xml:space="preserve">the range of potential problems with medical devices that are likely to occur. </w:t>
      </w:r>
      <w:r w:rsidR="008623EE">
        <w:t xml:space="preserve">The </w:t>
      </w:r>
      <w:r w:rsidR="001F0C47">
        <w:t xml:space="preserve">TGA and </w:t>
      </w:r>
      <w:r w:rsidR="008623EE">
        <w:t xml:space="preserve">the </w:t>
      </w:r>
      <w:r w:rsidR="001F0C47">
        <w:t xml:space="preserve">Commission </w:t>
      </w:r>
      <w:r w:rsidR="00B81BD5">
        <w:t xml:space="preserve">will </w:t>
      </w:r>
      <w:r w:rsidR="001F0C47">
        <w:t xml:space="preserve">provide a </w:t>
      </w:r>
      <w:r w:rsidR="003F0DCD">
        <w:t xml:space="preserve">range of </w:t>
      </w:r>
      <w:r w:rsidR="00C6050A">
        <w:t>communication and i</w:t>
      </w:r>
      <w:r w:rsidR="00DB27C9">
        <w:t xml:space="preserve">nformation material as part of the </w:t>
      </w:r>
      <w:r w:rsidR="0029694A">
        <w:t>implementation process</w:t>
      </w:r>
      <w:r w:rsidR="00B81BD5">
        <w:t xml:space="preserve">, </w:t>
      </w:r>
      <w:r w:rsidR="00F47912">
        <w:t>noting</w:t>
      </w:r>
      <w:r w:rsidR="00B81BD5">
        <w:t>, however,</w:t>
      </w:r>
      <w:r w:rsidR="00F47912">
        <w:t xml:space="preserve"> that </w:t>
      </w:r>
      <w:r w:rsidR="00EC72B2">
        <w:t xml:space="preserve">they may be modified in accordance with </w:t>
      </w:r>
      <w:r w:rsidR="00B02019">
        <w:t xml:space="preserve">the approaches to implementation preferred by individual jurisdictions. </w:t>
      </w:r>
    </w:p>
    <w:p w14:paraId="56812593" w14:textId="2D32E7AB" w:rsidR="00AF1606" w:rsidRDefault="00AF1606" w:rsidP="0079175B">
      <w:pPr>
        <w:pStyle w:val="Heading5"/>
      </w:pPr>
      <w:r>
        <w:t>Follow-up activities</w:t>
      </w:r>
    </w:p>
    <w:p w14:paraId="10A70AB6" w14:textId="08334932" w:rsidR="000C6DEF" w:rsidRPr="006F3156" w:rsidRDefault="005939EB" w:rsidP="00175CD8">
      <w:pPr>
        <w:rPr>
          <w:rFonts w:eastAsia="Times New Roman" w:cs="Times New Roman"/>
          <w:b/>
          <w:color w:val="001871"/>
          <w:sz w:val="32"/>
          <w:szCs w:val="32"/>
        </w:rPr>
      </w:pPr>
      <w:r>
        <w:t xml:space="preserve">Under the TGA’s current procedures, there is minimal burden of additional data collection placed upon individual </w:t>
      </w:r>
      <w:r w:rsidR="006C2AD4">
        <w:t>healthcare</w:t>
      </w:r>
      <w:r>
        <w:t xml:space="preserve"> facilities. </w:t>
      </w:r>
      <w:r w:rsidR="00D03DC0">
        <w:t xml:space="preserve">Rather, following the </w:t>
      </w:r>
      <w:r w:rsidR="00DF5185">
        <w:t xml:space="preserve">reporting of an adverse incident, the TGA usually contacts the </w:t>
      </w:r>
      <w:r w:rsidR="000C5D08">
        <w:t>product sponsor or manufacturer</w:t>
      </w:r>
      <w:r w:rsidR="000739C3">
        <w:t xml:space="preserve"> for follow-up </w:t>
      </w:r>
      <w:r w:rsidR="0084418D">
        <w:t xml:space="preserve">knowledge and information </w:t>
      </w:r>
      <w:r w:rsidR="00AD5801">
        <w:t xml:space="preserve">about specific adverse events. </w:t>
      </w:r>
      <w:r w:rsidR="004E458A">
        <w:t xml:space="preserve">Most issues associated with </w:t>
      </w:r>
      <w:r w:rsidR="0058022F">
        <w:t xml:space="preserve">medical device-related adverse events </w:t>
      </w:r>
      <w:r w:rsidR="00FB0B10">
        <w:t xml:space="preserve">are previously known to </w:t>
      </w:r>
      <w:r w:rsidR="00BF7D6C">
        <w:t>occur under specific circumstances</w:t>
      </w:r>
      <w:r w:rsidR="00155B7C">
        <w:t xml:space="preserve"> and are </w:t>
      </w:r>
      <w:r w:rsidR="008979CB">
        <w:t xml:space="preserve">resolved through routine </w:t>
      </w:r>
      <w:r w:rsidR="005D0B5D">
        <w:t>investigations undertaken by project sponsors/manufacturers</w:t>
      </w:r>
      <w:r w:rsidR="007616AE">
        <w:t xml:space="preserve">, which are in turn reviewed by the TGA. </w:t>
      </w:r>
      <w:bookmarkEnd w:id="207"/>
    </w:p>
    <w:sectPr w:rsidR="000C6DEF" w:rsidRPr="006F3156" w:rsidSect="006527FD">
      <w:type w:val="continuous"/>
      <w:pgSz w:w="11906" w:h="16838" w:code="9"/>
      <w:pgMar w:top="1134" w:right="1440" w:bottom="1134" w:left="1440" w:header="57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147B4" w14:textId="77777777" w:rsidR="00324AD0" w:rsidRDefault="00324AD0" w:rsidP="00F02AEC">
      <w:pPr>
        <w:spacing w:after="0" w:line="240" w:lineRule="auto"/>
      </w:pPr>
      <w:r>
        <w:separator/>
      </w:r>
    </w:p>
  </w:endnote>
  <w:endnote w:type="continuationSeparator" w:id="0">
    <w:p w14:paraId="18DC22D2" w14:textId="77777777" w:rsidR="00324AD0" w:rsidRDefault="00324AD0" w:rsidP="00F02AEC">
      <w:pPr>
        <w:spacing w:after="0" w:line="240" w:lineRule="auto"/>
      </w:pPr>
      <w:r>
        <w:continuationSeparator/>
      </w:r>
    </w:p>
  </w:endnote>
  <w:endnote w:type="continuationNotice" w:id="1">
    <w:p w14:paraId="75092E03" w14:textId="77777777" w:rsidR="00324AD0" w:rsidRDefault="00324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Mincho Light">
    <w:altName w:val="MS Gothic"/>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verpass">
    <w:altName w:val="Calibri"/>
    <w:charset w:val="00"/>
    <w:family w:val="auto"/>
    <w:pitch w:val="variable"/>
    <w:sig w:usb0="00000007" w:usb1="00000020" w:usb2="00000000" w:usb3="00000000" w:csb0="00000093" w:csb1="00000000"/>
  </w:font>
  <w:font w:name="Overpass Heavy">
    <w:altName w:val="Calibri"/>
    <w:charset w:val="00"/>
    <w:family w:val="auto"/>
    <w:pitch w:val="variable"/>
    <w:sig w:usb0="00000007" w:usb1="0000002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Roboto">
    <w:altName w:val="Times New Roman"/>
    <w:charset w:val="00"/>
    <w:family w:val="auto"/>
    <w:pitch w:val="variable"/>
    <w:sig w:usb0="00000001"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69D44" w14:textId="77777777" w:rsidR="00F93704" w:rsidRDefault="00F93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8461AF" w:rsidRPr="008E4117" w14:paraId="35D4E0FC" w14:textId="77777777" w:rsidTr="00192C22">
      <w:trPr>
        <w:trHeight w:val="423"/>
      </w:trPr>
      <w:tc>
        <w:tcPr>
          <w:tcW w:w="4360" w:type="dxa"/>
          <w:tcBorders>
            <w:top w:val="single" w:sz="4" w:space="0" w:color="auto"/>
          </w:tcBorders>
        </w:tcPr>
        <w:p w14:paraId="5E235E0D" w14:textId="773D8293" w:rsidR="008461AF" w:rsidRPr="000776E7" w:rsidRDefault="008461AF" w:rsidP="00192C22">
          <w:pPr>
            <w:pStyle w:val="Footer"/>
            <w:rPr>
              <w:sz w:val="16"/>
              <w:szCs w:val="16"/>
            </w:rPr>
          </w:pPr>
        </w:p>
        <w:p w14:paraId="0DDC0778" w14:textId="59103537" w:rsidR="008461AF" w:rsidRPr="000776E7" w:rsidRDefault="008461AF" w:rsidP="00192C22">
          <w:pPr>
            <w:pStyle w:val="Footer"/>
            <w:rPr>
              <w:sz w:val="16"/>
              <w:szCs w:val="16"/>
            </w:rPr>
          </w:pPr>
          <w:r w:rsidRPr="000776E7">
            <w:rPr>
              <w:sz w:val="16"/>
              <w:szCs w:val="16"/>
            </w:rPr>
            <w:t>Impact Analysis – Mandatory Reporting of Medical Device</w:t>
          </w:r>
          <w:r w:rsidR="000F3D89">
            <w:rPr>
              <w:sz w:val="16"/>
              <w:szCs w:val="16"/>
            </w:rPr>
            <w:t xml:space="preserve"> </w:t>
          </w:r>
          <w:r w:rsidRPr="000776E7">
            <w:rPr>
              <w:sz w:val="16"/>
              <w:szCs w:val="16"/>
            </w:rPr>
            <w:t>Adverse Events</w:t>
          </w:r>
        </w:p>
      </w:tc>
      <w:tc>
        <w:tcPr>
          <w:tcW w:w="4360" w:type="dxa"/>
          <w:tcBorders>
            <w:top w:val="single" w:sz="4" w:space="0" w:color="auto"/>
          </w:tcBorders>
        </w:tcPr>
        <w:sdt>
          <w:sdtPr>
            <w:rPr>
              <w:sz w:val="16"/>
              <w:szCs w:val="16"/>
            </w:rPr>
            <w:id w:val="2101759893"/>
            <w:docPartObj>
              <w:docPartGallery w:val="Page Numbers (Top of Page)"/>
              <w:docPartUnique/>
            </w:docPartObj>
          </w:sdtPr>
          <w:sdtEndPr>
            <w:rPr>
              <w:color w:val="auto"/>
            </w:rPr>
          </w:sdtEndPr>
          <w:sdtContent>
            <w:sdt>
              <w:sdtPr>
                <w:rPr>
                  <w:sz w:val="16"/>
                  <w:szCs w:val="16"/>
                </w:rPr>
                <w:id w:val="1087729233"/>
                <w:docPartObj>
                  <w:docPartGallery w:val="Page Numbers (Top of Page)"/>
                  <w:docPartUnique/>
                </w:docPartObj>
              </w:sdtPr>
              <w:sdtEndPr/>
              <w:sdtContent>
                <w:p w14:paraId="4D174BE7" w14:textId="77777777" w:rsidR="008461AF" w:rsidRPr="000776E7" w:rsidRDefault="008461AF" w:rsidP="00192C22">
                  <w:pPr>
                    <w:pStyle w:val="Footer"/>
                    <w:jc w:val="right"/>
                    <w:rPr>
                      <w:sz w:val="16"/>
                      <w:szCs w:val="16"/>
                    </w:rPr>
                  </w:pPr>
                </w:p>
                <w:p w14:paraId="11C7B76F" w14:textId="338237A2" w:rsidR="008461AF" w:rsidRPr="000776E7" w:rsidRDefault="008461AF" w:rsidP="00192C22">
                  <w:pPr>
                    <w:pStyle w:val="Footer"/>
                    <w:jc w:val="right"/>
                    <w:rPr>
                      <w:sz w:val="16"/>
                      <w:szCs w:val="16"/>
                    </w:rPr>
                  </w:pPr>
                  <w:r w:rsidRPr="000776E7">
                    <w:rPr>
                      <w:sz w:val="16"/>
                      <w:szCs w:val="16"/>
                    </w:rPr>
                    <w:t xml:space="preserve">Page </w:t>
                  </w:r>
                  <w:r w:rsidRPr="000776E7">
                    <w:rPr>
                      <w:sz w:val="16"/>
                      <w:szCs w:val="16"/>
                    </w:rPr>
                    <w:fldChar w:fldCharType="begin"/>
                  </w:r>
                  <w:r w:rsidRPr="000776E7">
                    <w:rPr>
                      <w:sz w:val="16"/>
                      <w:szCs w:val="16"/>
                    </w:rPr>
                    <w:instrText xml:space="preserve"> PAGE </w:instrText>
                  </w:r>
                  <w:r w:rsidRPr="000776E7">
                    <w:rPr>
                      <w:sz w:val="16"/>
                      <w:szCs w:val="16"/>
                    </w:rPr>
                    <w:fldChar w:fldCharType="separate"/>
                  </w:r>
                  <w:r w:rsidR="00DA18FC">
                    <w:rPr>
                      <w:noProof/>
                      <w:sz w:val="16"/>
                      <w:szCs w:val="16"/>
                    </w:rPr>
                    <w:t>2</w:t>
                  </w:r>
                  <w:r w:rsidRPr="000776E7">
                    <w:rPr>
                      <w:noProof/>
                      <w:sz w:val="16"/>
                      <w:szCs w:val="16"/>
                    </w:rPr>
                    <w:fldChar w:fldCharType="end"/>
                  </w:r>
                  <w:r w:rsidRPr="000776E7">
                    <w:rPr>
                      <w:sz w:val="16"/>
                      <w:szCs w:val="16"/>
                    </w:rPr>
                    <w:t xml:space="preserve"> of </w:t>
                  </w:r>
                  <w:r w:rsidRPr="000776E7">
                    <w:fldChar w:fldCharType="begin"/>
                  </w:r>
                  <w:r w:rsidRPr="000776E7">
                    <w:rPr>
                      <w:sz w:val="16"/>
                      <w:szCs w:val="16"/>
                    </w:rPr>
                    <w:instrText>NUMPAGES</w:instrText>
                  </w:r>
                  <w:r w:rsidRPr="000776E7">
                    <w:fldChar w:fldCharType="separate"/>
                  </w:r>
                  <w:r w:rsidR="00DA18FC">
                    <w:rPr>
                      <w:noProof/>
                      <w:sz w:val="16"/>
                      <w:szCs w:val="16"/>
                    </w:rPr>
                    <w:t>123</w:t>
                  </w:r>
                  <w:r w:rsidRPr="000776E7">
                    <w:fldChar w:fldCharType="end"/>
                  </w:r>
                </w:p>
              </w:sdtContent>
            </w:sdt>
          </w:sdtContent>
        </w:sdt>
      </w:tc>
    </w:tr>
    <w:tr w:rsidR="008461AF" w:rsidRPr="00257138" w14:paraId="23D02367" w14:textId="77777777" w:rsidTr="00192C22">
      <w:trPr>
        <w:trHeight w:val="263"/>
      </w:trPr>
      <w:tc>
        <w:tcPr>
          <w:tcW w:w="4360" w:type="dxa"/>
        </w:tcPr>
        <w:p w14:paraId="42C7FE36" w14:textId="1D78991F" w:rsidR="008461AF" w:rsidRPr="000776E7" w:rsidRDefault="008461AF" w:rsidP="00192C22">
          <w:pPr>
            <w:pStyle w:val="Footer"/>
            <w:rPr>
              <w:sz w:val="16"/>
              <w:szCs w:val="16"/>
            </w:rPr>
          </w:pPr>
          <w:r w:rsidRPr="000776E7">
            <w:rPr>
              <w:sz w:val="16"/>
              <w:szCs w:val="16"/>
            </w:rPr>
            <w:t>V</w:t>
          </w:r>
          <w:r w:rsidR="00F5499D">
            <w:rPr>
              <w:sz w:val="16"/>
              <w:szCs w:val="16"/>
            </w:rPr>
            <w:t>8</w:t>
          </w:r>
          <w:r w:rsidRPr="000776E7">
            <w:rPr>
              <w:sz w:val="16"/>
              <w:szCs w:val="16"/>
            </w:rPr>
            <w:t xml:space="preserve">.0 </w:t>
          </w:r>
          <w:r w:rsidR="00F5499D">
            <w:rPr>
              <w:sz w:val="16"/>
              <w:szCs w:val="16"/>
            </w:rPr>
            <w:t>February 2025</w:t>
          </w:r>
        </w:p>
      </w:tc>
      <w:tc>
        <w:tcPr>
          <w:tcW w:w="4360" w:type="dxa"/>
        </w:tcPr>
        <w:p w14:paraId="0D702F38" w14:textId="77777777" w:rsidR="008461AF" w:rsidRPr="00257138" w:rsidRDefault="008461AF" w:rsidP="00192C22">
          <w:pPr>
            <w:pStyle w:val="Footer"/>
            <w:jc w:val="right"/>
          </w:pPr>
        </w:p>
      </w:tc>
    </w:tr>
  </w:tbl>
  <w:p w14:paraId="02EAF8C5" w14:textId="77777777" w:rsidR="008461AF" w:rsidRPr="00826007" w:rsidRDefault="008461AF" w:rsidP="00192C22">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54EFB" w14:textId="77777777" w:rsidR="008461AF" w:rsidRDefault="008461AF" w:rsidP="00192C22">
    <w:pPr>
      <w:pStyle w:val="Footer"/>
      <w:ind w:left="-1701"/>
    </w:pPr>
    <w:r w:rsidRPr="002B29B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F9E4B" w14:textId="77777777" w:rsidR="00324AD0" w:rsidRDefault="00324AD0" w:rsidP="00F02AEC">
      <w:pPr>
        <w:spacing w:after="0" w:line="240" w:lineRule="auto"/>
      </w:pPr>
      <w:r>
        <w:separator/>
      </w:r>
    </w:p>
  </w:footnote>
  <w:footnote w:type="continuationSeparator" w:id="0">
    <w:p w14:paraId="6ECBD9A8" w14:textId="77777777" w:rsidR="00324AD0" w:rsidRDefault="00324AD0" w:rsidP="00F02AEC">
      <w:pPr>
        <w:spacing w:after="0" w:line="240" w:lineRule="auto"/>
      </w:pPr>
      <w:r>
        <w:continuationSeparator/>
      </w:r>
    </w:p>
  </w:footnote>
  <w:footnote w:type="continuationNotice" w:id="1">
    <w:p w14:paraId="049FE3AC" w14:textId="77777777" w:rsidR="00324AD0" w:rsidRDefault="00324AD0">
      <w:pPr>
        <w:spacing w:after="0" w:line="240" w:lineRule="auto"/>
      </w:pPr>
    </w:p>
  </w:footnote>
  <w:footnote w:id="2">
    <w:p w14:paraId="6DAF5BE1" w14:textId="375650F1"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Further consideration of the preferred option will be undertaken in consultation with the steering committee comprised of </w:t>
      </w:r>
      <w:r>
        <w:rPr>
          <w:sz w:val="14"/>
          <w:szCs w:val="14"/>
          <w:lang w:val="en-US"/>
        </w:rPr>
        <w:t xml:space="preserve">representatives from states and territories </w:t>
      </w:r>
      <w:r w:rsidRPr="00D5482C">
        <w:rPr>
          <w:sz w:val="14"/>
          <w:szCs w:val="14"/>
          <w:lang w:val="en-US"/>
        </w:rPr>
        <w:t>government</w:t>
      </w:r>
      <w:r>
        <w:rPr>
          <w:sz w:val="14"/>
          <w:szCs w:val="14"/>
          <w:lang w:val="en-US"/>
        </w:rPr>
        <w:t>s</w:t>
      </w:r>
      <w:r w:rsidRPr="00D5482C">
        <w:rPr>
          <w:sz w:val="14"/>
          <w:szCs w:val="14"/>
          <w:lang w:val="en-US"/>
        </w:rPr>
        <w:t xml:space="preserve"> and </w:t>
      </w:r>
      <w:r>
        <w:rPr>
          <w:sz w:val="14"/>
          <w:szCs w:val="14"/>
          <w:lang w:val="en-US"/>
        </w:rPr>
        <w:t>private health care</w:t>
      </w:r>
      <w:r w:rsidRPr="00D5482C">
        <w:rPr>
          <w:sz w:val="14"/>
          <w:szCs w:val="14"/>
          <w:lang w:val="en-US"/>
        </w:rPr>
        <w:t>.</w:t>
      </w:r>
    </w:p>
  </w:footnote>
  <w:footnote w:id="3">
    <w:p w14:paraId="0BA684E1" w14:textId="3EE98B4A"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Panel to Review the Transparency of the Therapeutic Goods Administration, ‘Review to improve the transparency of the Therapeutic Goods Administration: Final Report’, available at </w:t>
      </w:r>
      <w:hyperlink r:id="rId1" w:history="1">
        <w:r w:rsidRPr="00D5482C">
          <w:rPr>
            <w:rStyle w:val="Hyperlink"/>
            <w:sz w:val="14"/>
            <w:szCs w:val="14"/>
          </w:rPr>
          <w:t>https://www.tga.gov.au/sites/default/files/review-tga-transparency-1101-final-report.pdf</w:t>
        </w:r>
      </w:hyperlink>
    </w:p>
  </w:footnote>
  <w:footnote w:id="4">
    <w:p w14:paraId="2CD15570" w14:textId="63FE3ED7"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ibid., p.6.</w:t>
      </w:r>
    </w:p>
  </w:footnote>
  <w:footnote w:id="5">
    <w:p w14:paraId="35CD97E6" w14:textId="330A17FD" w:rsidR="008461AF" w:rsidRPr="00D5482C" w:rsidRDefault="008461AF" w:rsidP="006D6047">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See Sansom, Delaat and Horvath, ‘Review of Medicines and Medical Devices Regulation: Report on the regulatory framework for medicines and medical devices’, March 2015, available at </w:t>
      </w:r>
      <w:hyperlink r:id="rId2" w:history="1">
        <w:r w:rsidRPr="00D5482C">
          <w:rPr>
            <w:rStyle w:val="Hyperlink"/>
            <w:sz w:val="14"/>
            <w:szCs w:val="14"/>
          </w:rPr>
          <w:t>independent_review_-_review_of_medicines_and_medical_devices_regulation_-_stage_one_report_0.pdf (pmc.gov.au)</w:t>
        </w:r>
      </w:hyperlink>
      <w:r w:rsidRPr="00D5482C">
        <w:rPr>
          <w:sz w:val="14"/>
          <w:szCs w:val="14"/>
        </w:rPr>
        <w:t xml:space="preserve">. These matters were detailed under Recommendations 22 and 27. </w:t>
      </w:r>
    </w:p>
  </w:footnote>
  <w:footnote w:id="6">
    <w:p w14:paraId="73299E5F" w14:textId="41A80FC9"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 Senate Inquiry and an associated public awareness campaign led to a spike in reporting to the TGA by patients and then in later years by healthcare professionals of medical device-related adverse events, some many years after the event initially occurred. Therapeutic Goods Administration, </w:t>
      </w:r>
      <w:r w:rsidRPr="00D5482C">
        <w:rPr>
          <w:i/>
          <w:iCs/>
          <w:sz w:val="14"/>
          <w:szCs w:val="14"/>
          <w:lang w:val="en-US"/>
        </w:rPr>
        <w:t>Potential for Mandatory Reporting of Medical Device Adverse Events by Healthcare Facilities in Australia: Discussion Paper</w:t>
      </w:r>
      <w:r w:rsidRPr="00D5482C">
        <w:rPr>
          <w:sz w:val="14"/>
          <w:szCs w:val="14"/>
          <w:lang w:val="en-US"/>
        </w:rPr>
        <w:t xml:space="preserve">, October 2021, p.7, available at: </w:t>
      </w:r>
      <w:hyperlink r:id="rId3" w:history="1">
        <w:r w:rsidRPr="00D5482C">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p>
  </w:footnote>
  <w:footnote w:id="7">
    <w:p w14:paraId="2B4926B3" w14:textId="31831A3C" w:rsidR="008461AF" w:rsidRPr="00D5482C" w:rsidRDefault="008461AF" w:rsidP="006D6047">
      <w:pPr>
        <w:pStyle w:val="FootnoteText"/>
        <w:rPr>
          <w:sz w:val="14"/>
          <w:szCs w:val="14"/>
          <w:lang w:val="en-US"/>
        </w:rPr>
      </w:pPr>
      <w:r w:rsidRPr="00D5482C">
        <w:rPr>
          <w:rStyle w:val="FootnoteReference"/>
          <w:sz w:val="14"/>
          <w:szCs w:val="14"/>
        </w:rPr>
        <w:footnoteRef/>
      </w:r>
      <w:r w:rsidRPr="00D5482C">
        <w:rPr>
          <w:sz w:val="14"/>
          <w:szCs w:val="14"/>
        </w:rPr>
        <w:t xml:space="preserve"> The Senate, Community Affairs Reference Committee, report title, ‘Number of women in Australia who have had transvaginal mesh implants and related matters’, dated March 2018, available at</w:t>
      </w:r>
      <w:r>
        <w:rPr>
          <w:sz w:val="14"/>
          <w:szCs w:val="14"/>
        </w:rPr>
        <w:t xml:space="preserve">: </w:t>
      </w:r>
      <w:hyperlink r:id="rId4" w:history="1">
        <w:r w:rsidRPr="0083038B">
          <w:rPr>
            <w:rStyle w:val="Hyperlink"/>
            <w:sz w:val="14"/>
            <w:szCs w:val="14"/>
          </w:rPr>
          <w:t>https://www.aph.gov.au/Parliamentary_Business/Committees/Senate/Community_Affairs/MeshImplants/~/media/Committees/clac_ctte/MeshImplants/report.pdf</w:t>
        </w:r>
      </w:hyperlink>
    </w:p>
  </w:footnote>
  <w:footnote w:id="8">
    <w:p w14:paraId="633539A2" w14:textId="6A976044" w:rsidR="008461AF" w:rsidRPr="000A4235" w:rsidRDefault="008461AF">
      <w:pPr>
        <w:pStyle w:val="FootnoteText"/>
        <w:rPr>
          <w:sz w:val="14"/>
          <w:szCs w:val="14"/>
        </w:rPr>
      </w:pPr>
      <w:r w:rsidRPr="008352DD">
        <w:rPr>
          <w:rStyle w:val="FootnoteReference"/>
          <w:sz w:val="14"/>
          <w:szCs w:val="14"/>
        </w:rPr>
        <w:footnoteRef/>
      </w:r>
      <w:r w:rsidRPr="008352DD">
        <w:rPr>
          <w:sz w:val="14"/>
          <w:szCs w:val="14"/>
        </w:rPr>
        <w:t xml:space="preserve"> </w:t>
      </w:r>
      <w:r>
        <w:rPr>
          <w:sz w:val="14"/>
          <w:szCs w:val="14"/>
        </w:rPr>
        <w:t>Government response, report title, ‘</w:t>
      </w:r>
      <w:r>
        <w:rPr>
          <w:i/>
          <w:iCs/>
          <w:sz w:val="14"/>
          <w:szCs w:val="14"/>
        </w:rPr>
        <w:t>Australian Government response to the Senate Community Affairs References Committee report’</w:t>
      </w:r>
      <w:r>
        <w:rPr>
          <w:sz w:val="14"/>
          <w:szCs w:val="14"/>
        </w:rPr>
        <w:t xml:space="preserve">, tabled 10 October 2018, available at: </w:t>
      </w:r>
      <w:hyperlink r:id="rId5" w:history="1">
        <w:r w:rsidRPr="0083038B">
          <w:rPr>
            <w:rStyle w:val="Hyperlink"/>
            <w:sz w:val="14"/>
            <w:szCs w:val="14"/>
          </w:rPr>
          <w:t>https://www.aph.gov.au/DocumentStore.ashx?id=ee63e51d-dccc-40c1-9475-cac214d0b3bf</w:t>
        </w:r>
      </w:hyperlink>
    </w:p>
  </w:footnote>
  <w:footnote w:id="9">
    <w:p w14:paraId="64ED231A" w14:textId="77777777" w:rsidR="008461AF" w:rsidRPr="00D5482C" w:rsidRDefault="008461AF" w:rsidP="000D0DA9">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Therapeutic Goods Administration, </w:t>
      </w:r>
      <w:r w:rsidRPr="00D5482C">
        <w:rPr>
          <w:i/>
          <w:iCs/>
          <w:sz w:val="14"/>
          <w:szCs w:val="14"/>
          <w:lang w:val="en-US"/>
        </w:rPr>
        <w:t>Potential for Mandatory Reporting of Medical Device Adverse Events by Healthcare Facilities in Australia: Discussion Paper</w:t>
      </w:r>
      <w:r w:rsidRPr="00D5482C">
        <w:rPr>
          <w:sz w:val="14"/>
          <w:szCs w:val="14"/>
          <w:lang w:val="en-US"/>
        </w:rPr>
        <w:t xml:space="preserve">, October 2021, p.6, available at: </w:t>
      </w:r>
      <w:hyperlink r:id="rId6" w:history="1">
        <w:r w:rsidRPr="00D5482C">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p>
  </w:footnote>
  <w:footnote w:id="10">
    <w:p w14:paraId="2E12D534" w14:textId="274D444C" w:rsidR="008461AF" w:rsidRPr="0079175B" w:rsidRDefault="008461AF" w:rsidP="00C369A9">
      <w:pPr>
        <w:pStyle w:val="FootnoteText"/>
        <w:rPr>
          <w:sz w:val="18"/>
          <w:szCs w:val="18"/>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 TGA notes in the discussion paper that several European countries have staff in each healthcare facility who are responsible for coordinating and submitting medical device-related incident reports to the national regulator. This was considered by these regulators as one of the most significant facilitators of effective reporting. Therapeutic Goods Administration, </w:t>
      </w:r>
      <w:r w:rsidRPr="00D5482C">
        <w:rPr>
          <w:i/>
          <w:iCs/>
          <w:sz w:val="14"/>
          <w:szCs w:val="14"/>
          <w:lang w:val="en-US"/>
        </w:rPr>
        <w:t>Potential for Mandatory Reporting of Medical Device Adverse Events by Healthcare Facilities in Australia: Discussion Paper</w:t>
      </w:r>
      <w:r w:rsidRPr="00D5482C">
        <w:rPr>
          <w:sz w:val="14"/>
          <w:szCs w:val="14"/>
          <w:lang w:val="en-US"/>
        </w:rPr>
        <w:t xml:space="preserve">, October 2021, p.19, available at: </w:t>
      </w:r>
      <w:hyperlink r:id="rId7" w:history="1">
        <w:r w:rsidRPr="0083038B">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p>
  </w:footnote>
  <w:footnote w:id="11">
    <w:p w14:paraId="305E7A31" w14:textId="3DC588D0" w:rsidR="008461AF" w:rsidRPr="00D5482C" w:rsidRDefault="008461AF" w:rsidP="006D6047">
      <w:pPr>
        <w:pStyle w:val="FootnoteText"/>
        <w:rPr>
          <w:sz w:val="14"/>
          <w:szCs w:val="14"/>
          <w:lang w:val="en-US"/>
        </w:rPr>
      </w:pPr>
      <w:r w:rsidRPr="00D5482C">
        <w:rPr>
          <w:rStyle w:val="FootnoteReference"/>
          <w:sz w:val="14"/>
          <w:szCs w:val="14"/>
        </w:rPr>
        <w:footnoteRef/>
      </w:r>
      <w:r w:rsidRPr="00D5482C">
        <w:rPr>
          <w:sz w:val="14"/>
          <w:szCs w:val="14"/>
        </w:rPr>
        <w:t xml:space="preserve"> Parliament of the Commonwealth of Australia, Explanatory Memorandum to ‘Therapeutic Goods Amendment (2022 Measures No.1) Bill 2022, p.15, available at </w:t>
      </w:r>
      <w:hyperlink r:id="rId8" w:history="1">
        <w:r w:rsidRPr="00D5482C">
          <w:rPr>
            <w:rStyle w:val="Hyperlink"/>
            <w:sz w:val="14"/>
            <w:szCs w:val="14"/>
          </w:rPr>
          <w:t>https://parlinfo.aph.gov.au/parlInfo/search/display/display.w3p;query=Id%3A%22legislation%2Fems%2Fr6953_ems_78535267-8570-4fb8-a407-dd0cc687373c%22</w:t>
        </w:r>
      </w:hyperlink>
    </w:p>
  </w:footnote>
  <w:footnote w:id="12">
    <w:p w14:paraId="3382897C" w14:textId="77777777" w:rsidR="008461AF" w:rsidRPr="00D5482C" w:rsidRDefault="008461AF" w:rsidP="006D6047">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Therapeutic Goods Administration, </w:t>
      </w:r>
      <w:r w:rsidRPr="00D5482C">
        <w:rPr>
          <w:i/>
          <w:iCs/>
          <w:sz w:val="14"/>
          <w:szCs w:val="14"/>
          <w:lang w:val="en-US"/>
        </w:rPr>
        <w:t>An Action Plan for Medical Devices: Improving Australia’s medical device regulatory framework</w:t>
      </w:r>
      <w:r w:rsidRPr="00D5482C">
        <w:rPr>
          <w:sz w:val="14"/>
          <w:szCs w:val="14"/>
          <w:lang w:val="en-US"/>
        </w:rPr>
        <w:t xml:space="preserve">, April 2019, available at </w:t>
      </w:r>
      <w:hyperlink r:id="rId9" w:history="1">
        <w:r w:rsidRPr="00D5482C">
          <w:rPr>
            <w:rStyle w:val="Hyperlink"/>
            <w:sz w:val="14"/>
            <w:szCs w:val="14"/>
          </w:rPr>
          <w:t>https://www.tga.gov.au/sites/default/files/2022-08/action-plan-medical-devices.pdf</w:t>
        </w:r>
      </w:hyperlink>
    </w:p>
  </w:footnote>
  <w:footnote w:id="13">
    <w:p w14:paraId="31E1322A" w14:textId="77777777" w:rsidR="008461AF" w:rsidRPr="00D5482C" w:rsidRDefault="008461AF" w:rsidP="006D6047">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 plan also committed the TGA to consult publicly on options for removing some reporting exemptions of adverse events by industry to facilitate more timely and improved reporting. </w:t>
      </w:r>
    </w:p>
  </w:footnote>
  <w:footnote w:id="14">
    <w:p w14:paraId="274E401D" w14:textId="77777777" w:rsidR="008461AF" w:rsidRPr="00D5482C" w:rsidRDefault="008461AF" w:rsidP="006D6047">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Therapeutic Goods Administration, ‘Discussion paper on potential for mandatory reporting of medical device adverse events by healthcare facilities in Australia’, viewed 29 January 2024, available at </w:t>
      </w:r>
      <w:hyperlink r:id="rId10" w:history="1">
        <w:r w:rsidRPr="00D5482C">
          <w:rPr>
            <w:rStyle w:val="Hyperlink"/>
            <w:sz w:val="14"/>
            <w:szCs w:val="14"/>
          </w:rPr>
          <w:t>https://www.tga.gov.au/resources/consultation/discussion-paper-potential-mandatory-reporting-medical-device-adverse-events-healthcare-facilities-australia</w:t>
        </w:r>
      </w:hyperlink>
    </w:p>
  </w:footnote>
  <w:footnote w:id="15">
    <w:p w14:paraId="11FEA56A" w14:textId="44C37DC3" w:rsidR="008461AF" w:rsidRPr="00D5482C" w:rsidRDefault="008461AF">
      <w:pPr>
        <w:pStyle w:val="FootnoteText"/>
        <w:rPr>
          <w:sz w:val="14"/>
          <w:szCs w:val="14"/>
        </w:rPr>
      </w:pPr>
      <w:r w:rsidRPr="00D5482C">
        <w:rPr>
          <w:rStyle w:val="FootnoteReference"/>
          <w:sz w:val="14"/>
          <w:szCs w:val="14"/>
        </w:rPr>
        <w:footnoteRef/>
      </w:r>
      <w:r w:rsidRPr="00D5482C">
        <w:rPr>
          <w:sz w:val="14"/>
          <w:szCs w:val="14"/>
        </w:rPr>
        <w:t xml:space="preserve"> TGA, Medical devices overview, available at:</w:t>
      </w:r>
    </w:p>
    <w:p w14:paraId="672B24E7" w14:textId="253A52E1" w:rsidR="008461AF" w:rsidRPr="00D5482C" w:rsidRDefault="00DA18FC">
      <w:pPr>
        <w:pStyle w:val="FootnoteText"/>
        <w:rPr>
          <w:sz w:val="14"/>
          <w:szCs w:val="14"/>
          <w:lang w:val="en-US"/>
        </w:rPr>
      </w:pPr>
      <w:hyperlink r:id="rId11" w:history="1">
        <w:r w:rsidR="008461AF" w:rsidRPr="00D5482C">
          <w:rPr>
            <w:rStyle w:val="Hyperlink"/>
            <w:sz w:val="14"/>
            <w:szCs w:val="14"/>
          </w:rPr>
          <w:t>https://www.tga.gov.au/products/medical-devices/medical-devices-overview</w:t>
        </w:r>
      </w:hyperlink>
    </w:p>
  </w:footnote>
  <w:footnote w:id="16">
    <w:p w14:paraId="5D34FCB4" w14:textId="77777777" w:rsidR="008461AF" w:rsidRPr="00D5482C" w:rsidRDefault="008461AF" w:rsidP="00116AC0">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AIMDs, from 25 November 2021, were required to be reclassified from Class AIMD to Class III.</w:t>
      </w:r>
    </w:p>
  </w:footnote>
  <w:footnote w:id="17">
    <w:p w14:paraId="20F12241" w14:textId="4C4B7FC9" w:rsidR="008461AF" w:rsidRDefault="008461AF">
      <w:pPr>
        <w:pStyle w:val="FootnoteText"/>
      </w:pPr>
      <w:r w:rsidRPr="003C552D">
        <w:rPr>
          <w:rStyle w:val="FootnoteReference"/>
          <w:sz w:val="14"/>
          <w:szCs w:val="14"/>
        </w:rPr>
        <w:footnoteRef/>
      </w:r>
      <w:r w:rsidRPr="003C552D">
        <w:rPr>
          <w:sz w:val="14"/>
          <w:szCs w:val="14"/>
        </w:rPr>
        <w:t xml:space="preserve"> </w:t>
      </w:r>
      <w:r>
        <w:rPr>
          <w:sz w:val="14"/>
          <w:szCs w:val="14"/>
        </w:rPr>
        <w:t xml:space="preserve">TGA, reporting adverse events overview, available at: </w:t>
      </w:r>
      <w:hyperlink r:id="rId12" w:history="1">
        <w:r w:rsidRPr="0083038B">
          <w:rPr>
            <w:rStyle w:val="Hyperlink"/>
            <w:sz w:val="14"/>
            <w:szCs w:val="14"/>
          </w:rPr>
          <w:t>https://www.tga.gov.au/resources/resource/guidance/reporting-adverse-events</w:t>
        </w:r>
      </w:hyperlink>
      <w:r>
        <w:rPr>
          <w:sz w:val="14"/>
          <w:szCs w:val="14"/>
        </w:rPr>
        <w:t xml:space="preserve"> </w:t>
      </w:r>
    </w:p>
  </w:footnote>
  <w:footnote w:id="18">
    <w:p w14:paraId="75B0B8C7" w14:textId="7C48C9B6" w:rsidR="008461AF" w:rsidRPr="009F12C7" w:rsidRDefault="008461AF">
      <w:pPr>
        <w:pStyle w:val="FootnoteText"/>
        <w:rPr>
          <w:sz w:val="14"/>
          <w:szCs w:val="14"/>
        </w:rPr>
      </w:pPr>
      <w:r w:rsidRPr="00BB377D">
        <w:rPr>
          <w:rStyle w:val="FootnoteReference"/>
          <w:sz w:val="14"/>
          <w:szCs w:val="14"/>
        </w:rPr>
        <w:footnoteRef/>
      </w:r>
      <w:r w:rsidRPr="00BB377D">
        <w:rPr>
          <w:sz w:val="14"/>
          <w:szCs w:val="14"/>
        </w:rPr>
        <w:t xml:space="preserve"> </w:t>
      </w:r>
      <w:r w:rsidRPr="004D2578">
        <w:rPr>
          <w:sz w:val="14"/>
          <w:szCs w:val="14"/>
        </w:rPr>
        <w:t>Parliament of the Commonwealth of Australia, ‘Therapeutic Goods Amendment (2022 Measures No.1) Bill 202</w:t>
      </w:r>
      <w:r>
        <w:rPr>
          <w:sz w:val="14"/>
          <w:szCs w:val="14"/>
        </w:rPr>
        <w:t>3’</w:t>
      </w:r>
      <w:r w:rsidRPr="004D2578">
        <w:rPr>
          <w:sz w:val="14"/>
          <w:szCs w:val="14"/>
        </w:rPr>
        <w:t>, p.</w:t>
      </w:r>
      <w:r>
        <w:rPr>
          <w:sz w:val="14"/>
          <w:szCs w:val="14"/>
        </w:rPr>
        <w:t>4-5</w:t>
      </w:r>
      <w:r w:rsidRPr="004D2578">
        <w:rPr>
          <w:sz w:val="14"/>
          <w:szCs w:val="14"/>
        </w:rPr>
        <w:t xml:space="preserve">, available at </w:t>
      </w:r>
      <w:hyperlink r:id="rId13" w:history="1">
        <w:r w:rsidRPr="009F12C7">
          <w:rPr>
            <w:rStyle w:val="Hyperlink"/>
            <w:sz w:val="14"/>
            <w:szCs w:val="14"/>
          </w:rPr>
          <w:t>https://www.legislation.gov.au/C2023A00010/asmade/2023-03-21/text/original/pdf</w:t>
        </w:r>
      </w:hyperlink>
      <w:r w:rsidRPr="009F12C7">
        <w:rPr>
          <w:sz w:val="14"/>
          <w:szCs w:val="14"/>
        </w:rPr>
        <w:t xml:space="preserve"> </w:t>
      </w:r>
    </w:p>
  </w:footnote>
  <w:footnote w:id="19">
    <w:p w14:paraId="491D2E9B" w14:textId="1E35A2ED" w:rsidR="008461AF" w:rsidRPr="008F018E" w:rsidRDefault="008461AF">
      <w:pPr>
        <w:pStyle w:val="FootnoteText"/>
        <w:rPr>
          <w:sz w:val="14"/>
          <w:szCs w:val="14"/>
        </w:rPr>
      </w:pPr>
      <w:r w:rsidRPr="008F018E">
        <w:rPr>
          <w:rStyle w:val="FootnoteReference"/>
          <w:sz w:val="14"/>
          <w:szCs w:val="14"/>
        </w:rPr>
        <w:footnoteRef/>
      </w:r>
      <w:r w:rsidRPr="008F018E">
        <w:rPr>
          <w:sz w:val="14"/>
          <w:szCs w:val="14"/>
        </w:rPr>
        <w:t xml:space="preserve"> </w:t>
      </w:r>
      <w:r>
        <w:rPr>
          <w:sz w:val="14"/>
          <w:szCs w:val="14"/>
        </w:rPr>
        <w:t xml:space="preserve">TGA, Postmarket monitoring, available at: </w:t>
      </w:r>
      <w:hyperlink r:id="rId14" w:history="1">
        <w:r w:rsidRPr="0083038B">
          <w:rPr>
            <w:rStyle w:val="Hyperlink"/>
            <w:sz w:val="14"/>
            <w:szCs w:val="14"/>
          </w:rPr>
          <w:t>https://www.tga.gov.au/postmarket-monitoring</w:t>
        </w:r>
      </w:hyperlink>
      <w:r>
        <w:rPr>
          <w:sz w:val="14"/>
          <w:szCs w:val="14"/>
        </w:rPr>
        <w:t xml:space="preserve"> </w:t>
      </w:r>
    </w:p>
  </w:footnote>
  <w:footnote w:id="20">
    <w:p w14:paraId="3F8018AD" w14:textId="214B5910" w:rsidR="008461AF" w:rsidRDefault="008461AF">
      <w:pPr>
        <w:pStyle w:val="FootnoteText"/>
      </w:pPr>
      <w:r w:rsidRPr="009F12C7">
        <w:rPr>
          <w:rStyle w:val="FootnoteReference"/>
          <w:sz w:val="14"/>
          <w:szCs w:val="14"/>
        </w:rPr>
        <w:footnoteRef/>
      </w:r>
      <w:r w:rsidRPr="009F12C7">
        <w:rPr>
          <w:sz w:val="14"/>
          <w:szCs w:val="14"/>
        </w:rPr>
        <w:t xml:space="preserve"> TGA, reporting adverse events overview</w:t>
      </w:r>
      <w:r>
        <w:rPr>
          <w:sz w:val="14"/>
          <w:szCs w:val="14"/>
        </w:rPr>
        <w:t>, ‘which events should I report?’</w:t>
      </w:r>
      <w:r w:rsidRPr="009F12C7">
        <w:rPr>
          <w:sz w:val="14"/>
          <w:szCs w:val="14"/>
        </w:rPr>
        <w:t xml:space="preserve">, available at: </w:t>
      </w:r>
      <w:hyperlink r:id="rId15" w:history="1">
        <w:r w:rsidRPr="0083038B">
          <w:rPr>
            <w:rStyle w:val="Hyperlink"/>
            <w:sz w:val="14"/>
            <w:szCs w:val="14"/>
          </w:rPr>
          <w:t>https://www.tga.gov.au/resources/resource/guidance/reporting-adverse-events</w:t>
        </w:r>
      </w:hyperlink>
      <w:r>
        <w:rPr>
          <w:sz w:val="14"/>
          <w:szCs w:val="14"/>
        </w:rPr>
        <w:t xml:space="preserve"> </w:t>
      </w:r>
    </w:p>
  </w:footnote>
  <w:footnote w:id="21">
    <w:p w14:paraId="440DC689" w14:textId="77777777" w:rsidR="008461AF" w:rsidRPr="00D5482C" w:rsidRDefault="008461AF" w:rsidP="00112799">
      <w:pPr>
        <w:pStyle w:val="FootnoteText"/>
        <w:rPr>
          <w:sz w:val="14"/>
          <w:szCs w:val="14"/>
          <w:lang w:val="en-US"/>
        </w:rPr>
      </w:pPr>
      <w:r w:rsidRPr="00D5482C">
        <w:rPr>
          <w:rStyle w:val="FootnoteReference"/>
          <w:sz w:val="14"/>
          <w:szCs w:val="14"/>
        </w:rPr>
        <w:footnoteRef/>
      </w:r>
      <w:r w:rsidRPr="00D5482C">
        <w:rPr>
          <w:sz w:val="14"/>
          <w:szCs w:val="14"/>
        </w:rPr>
        <w:t xml:space="preserve"> TGA, Database of Adverse Event Notifications (DAEN) – medical devices, available at: </w:t>
      </w:r>
      <w:hyperlink r:id="rId16" w:history="1">
        <w:r w:rsidRPr="00D5482C">
          <w:rPr>
            <w:rStyle w:val="Hyperlink"/>
            <w:sz w:val="14"/>
            <w:szCs w:val="14"/>
          </w:rPr>
          <w:t>https://apps.tga.gov.au/prod/DEVICES/daen-entry.aspx</w:t>
        </w:r>
      </w:hyperlink>
    </w:p>
  </w:footnote>
  <w:footnote w:id="22">
    <w:p w14:paraId="46F0EFFD" w14:textId="5CF9CF23" w:rsidR="008461AF" w:rsidRPr="00D5482C" w:rsidRDefault="008461AF" w:rsidP="003973FB">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rFonts w:cs="Arial"/>
          <w:color w:val="313131"/>
          <w:sz w:val="14"/>
          <w:szCs w:val="14"/>
          <w:shd w:val="clear" w:color="auto" w:fill="FFFFFF"/>
        </w:rPr>
        <w:t>Only adverse events that occur in Australia are required to be reported to the TGA. Adverse events that occur overseas for devices supplied in Australia do not need to be reported to the TGA, but records of these events should be available if requested. There are 8 exemption rules for the reporting of adverse events, such a deficiency of a new device is found prior to its use. If the sponsor/manufacturer believes an exemption rule applies to reporting an adverse event, the reasons for not reporting the event should be documented.</w:t>
      </w:r>
    </w:p>
  </w:footnote>
  <w:footnote w:id="23">
    <w:p w14:paraId="0783E9C9" w14:textId="19E284F7"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For the first three years of inclusion in the ARTG, sponsors of high-risk medical devices (an implantable Class IIb device, a Class 4 in vitro diagnostic device and Class III device) must submit annual reports demonstrating that the devices continue to meet the Essential Principles for safety and performance and that the manufacturer’s post-market surveillance system can identify any safety or performance issues of signals associated with the device as early as possible. This report is to include the number of adverse events and incident reports in Australia and worldwide. See </w:t>
      </w:r>
      <w:hyperlink r:id="rId17" w:history="1">
        <w:r w:rsidRPr="00D5482C">
          <w:rPr>
            <w:rStyle w:val="Hyperlink"/>
            <w:sz w:val="14"/>
            <w:szCs w:val="14"/>
          </w:rPr>
          <w:t>https://www.tga.gov.au/resources/resource/guidance/annual-reports</w:t>
        </w:r>
      </w:hyperlink>
      <w:r w:rsidRPr="00D5482C">
        <w:rPr>
          <w:sz w:val="14"/>
          <w:szCs w:val="14"/>
        </w:rPr>
        <w:t>.</w:t>
      </w:r>
    </w:p>
  </w:footnote>
  <w:footnote w:id="24">
    <w:p w14:paraId="1C6081B7" w14:textId="0C07DC2B" w:rsidR="008461AF" w:rsidRDefault="008461AF">
      <w:pPr>
        <w:pStyle w:val="FootnoteText"/>
      </w:pPr>
      <w:r w:rsidRPr="00037B26">
        <w:rPr>
          <w:rStyle w:val="FootnoteReference"/>
          <w:sz w:val="14"/>
          <w:szCs w:val="14"/>
        </w:rPr>
        <w:footnoteRef/>
      </w:r>
      <w:r>
        <w:rPr>
          <w:sz w:val="14"/>
          <w:szCs w:val="14"/>
        </w:rPr>
        <w:t>Parliament of the Commonwealth of Australia, ’</w:t>
      </w:r>
      <w:r>
        <w:rPr>
          <w:i/>
          <w:iCs/>
          <w:sz w:val="14"/>
          <w:szCs w:val="14"/>
        </w:rPr>
        <w:t>Therapeutic Goods (Medical Devices) Regulations 2002</w:t>
      </w:r>
      <w:r>
        <w:rPr>
          <w:sz w:val="14"/>
          <w:szCs w:val="14"/>
        </w:rPr>
        <w:t xml:space="preserve">‘, page 46, available at: </w:t>
      </w:r>
      <w:hyperlink r:id="rId18" w:history="1">
        <w:r w:rsidRPr="0083038B">
          <w:rPr>
            <w:rStyle w:val="Hyperlink"/>
            <w:sz w:val="14"/>
            <w:szCs w:val="14"/>
          </w:rPr>
          <w:t>https://www.legislation.gov.au/F2002B00237/2024-07-01/2024-07-01/text/original/pdf</w:t>
        </w:r>
      </w:hyperlink>
      <w:r>
        <w:rPr>
          <w:sz w:val="14"/>
          <w:szCs w:val="14"/>
        </w:rPr>
        <w:t xml:space="preserve"> </w:t>
      </w:r>
    </w:p>
  </w:footnote>
  <w:footnote w:id="25">
    <w:p w14:paraId="18FF97D9" w14:textId="77777777" w:rsidR="008461AF" w:rsidRPr="00D5482C" w:rsidRDefault="008461AF" w:rsidP="00112799">
      <w:pPr>
        <w:pStyle w:val="FootnoteText"/>
        <w:rPr>
          <w:sz w:val="14"/>
          <w:szCs w:val="14"/>
        </w:rPr>
      </w:pPr>
      <w:r w:rsidRPr="00D5482C">
        <w:rPr>
          <w:rStyle w:val="FootnoteReference"/>
          <w:sz w:val="14"/>
          <w:szCs w:val="14"/>
        </w:rPr>
        <w:footnoteRef/>
      </w:r>
      <w:r w:rsidRPr="00D5482C">
        <w:rPr>
          <w:sz w:val="14"/>
          <w:szCs w:val="14"/>
        </w:rPr>
        <w:t xml:space="preserve"> TGA, Users Medical Device Incident Report, available at:</w:t>
      </w:r>
    </w:p>
    <w:p w14:paraId="20711FAC" w14:textId="77777777" w:rsidR="008461AF" w:rsidRPr="00D5482C" w:rsidRDefault="00DA18FC" w:rsidP="00112799">
      <w:pPr>
        <w:pStyle w:val="FootnoteText"/>
        <w:rPr>
          <w:sz w:val="14"/>
          <w:szCs w:val="14"/>
          <w:lang w:val="en-US"/>
        </w:rPr>
      </w:pPr>
      <w:hyperlink r:id="rId19" w:history="1">
        <w:r w:rsidR="008461AF" w:rsidRPr="00D5482C">
          <w:rPr>
            <w:rStyle w:val="Hyperlink"/>
            <w:sz w:val="14"/>
            <w:szCs w:val="14"/>
          </w:rPr>
          <w:t>https://apps.tga.gov.au/prod/MDIR/UDIR03.aspx?mode=CON&amp;sid=1709071381</w:t>
        </w:r>
      </w:hyperlink>
    </w:p>
  </w:footnote>
  <w:footnote w:id="26">
    <w:p w14:paraId="19591FAA" w14:textId="2760665D" w:rsidR="008461AF" w:rsidRDefault="008461AF">
      <w:pPr>
        <w:pStyle w:val="FootnoteText"/>
      </w:pPr>
      <w:r w:rsidRPr="006A7671">
        <w:rPr>
          <w:rStyle w:val="FootnoteReference"/>
          <w:sz w:val="14"/>
          <w:szCs w:val="14"/>
        </w:rPr>
        <w:footnoteRef/>
      </w:r>
      <w:r w:rsidRPr="006A7671">
        <w:rPr>
          <w:sz w:val="14"/>
          <w:szCs w:val="14"/>
        </w:rPr>
        <w:t xml:space="preserve"> </w:t>
      </w:r>
      <w:r>
        <w:rPr>
          <w:sz w:val="14"/>
          <w:szCs w:val="14"/>
        </w:rPr>
        <w:t xml:space="preserve">TGA, Post market monitoring, ‘responding to signals’, available at </w:t>
      </w:r>
      <w:hyperlink r:id="rId20" w:history="1">
        <w:r w:rsidRPr="0083038B">
          <w:rPr>
            <w:rStyle w:val="Hyperlink"/>
            <w:sz w:val="14"/>
            <w:szCs w:val="14"/>
          </w:rPr>
          <w:t>https://www.tga.gov.au/postmarket-monitoring</w:t>
        </w:r>
      </w:hyperlink>
      <w:r>
        <w:rPr>
          <w:sz w:val="14"/>
          <w:szCs w:val="14"/>
        </w:rPr>
        <w:t xml:space="preserve"> </w:t>
      </w:r>
    </w:p>
  </w:footnote>
  <w:footnote w:id="27">
    <w:p w14:paraId="4488F03D" w14:textId="77777777" w:rsidR="008461AF" w:rsidRPr="00D5482C" w:rsidRDefault="008461AF" w:rsidP="00112799">
      <w:pPr>
        <w:pStyle w:val="FootnoteText"/>
        <w:rPr>
          <w:sz w:val="14"/>
          <w:szCs w:val="14"/>
          <w:lang w:val="en-US"/>
        </w:rPr>
      </w:pPr>
      <w:r w:rsidRPr="00D5482C">
        <w:rPr>
          <w:rStyle w:val="FootnoteReference"/>
          <w:sz w:val="14"/>
          <w:szCs w:val="14"/>
        </w:rPr>
        <w:footnoteRef/>
      </w:r>
      <w:r w:rsidRPr="00D5482C">
        <w:rPr>
          <w:sz w:val="14"/>
          <w:szCs w:val="14"/>
        </w:rPr>
        <w:t xml:space="preserve"> TGA, Annual Performance Statistics Reports (various titles), available at: </w:t>
      </w:r>
      <w:hyperlink r:id="rId21" w:history="1">
        <w:r w:rsidRPr="00D5482C">
          <w:rPr>
            <w:rStyle w:val="Hyperlink"/>
            <w:sz w:val="14"/>
            <w:szCs w:val="14"/>
          </w:rPr>
          <w:t>https://www.tga.gov.au/about-tga/corporate-information/tga-plans-reports/annual-performance-statistics-reports</w:t>
        </w:r>
      </w:hyperlink>
    </w:p>
  </w:footnote>
  <w:footnote w:id="28">
    <w:p w14:paraId="05DC47F9" w14:textId="009E84C4" w:rsidR="008461AF" w:rsidRPr="00D5482C" w:rsidRDefault="008461AF" w:rsidP="00F2025D">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This civil penalty provision is consistent with similar legislative healthcare reporting obligations. For example, the maximum civil penalty aligns with subsection 10A(5) of the Australian Immunisation Register Act 2015 and subsection 13(2) of the National Cancer Screening Register Act 2016, which both impose a maximum penalty of 30 penalty units where a person fails to comply with reporting obligations.</w:t>
      </w:r>
    </w:p>
  </w:footnote>
  <w:footnote w:id="29">
    <w:p w14:paraId="2CF0F6FD" w14:textId="18677116" w:rsidR="008461AF" w:rsidRPr="00D5482C" w:rsidRDefault="008461AF" w:rsidP="007A141A">
      <w:pPr>
        <w:pStyle w:val="FootnoteText"/>
        <w:rPr>
          <w:sz w:val="14"/>
          <w:szCs w:val="14"/>
        </w:rPr>
      </w:pPr>
      <w:r w:rsidRPr="00D5482C">
        <w:rPr>
          <w:rStyle w:val="FootnoteReference"/>
          <w:sz w:val="14"/>
          <w:szCs w:val="14"/>
        </w:rPr>
        <w:footnoteRef/>
      </w:r>
      <w:r w:rsidRPr="00D5482C">
        <w:rPr>
          <w:sz w:val="14"/>
          <w:szCs w:val="14"/>
        </w:rPr>
        <w:t xml:space="preserve"> A ‘reportable medical device’ is defined in subsection 3(1) of the TG Act as a medical device of a kind prescribed by regulations. This is not intended to encompass all medical devices and provides the provision to limit the burden of the new reporting requirements on hospitals by excluding some classes of medical devices from reporting requirements. Medical devices could also be removed from the list of prescribed reportable medical devices.</w:t>
      </w:r>
    </w:p>
  </w:footnote>
  <w:footnote w:id="30">
    <w:p w14:paraId="328F3B7A" w14:textId="4CA3ED1F"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The prescribed civil penalty for the non-provision of medical device adverse event report is 30 penalty units (currently (January 2023) $6,660) (s.41JM(8) of the TG Act). </w:t>
      </w:r>
    </w:p>
  </w:footnote>
  <w:footnote w:id="31">
    <w:p w14:paraId="0744DBBE" w14:textId="68E7D2E5"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Health practitioners have indicated that they already have a heavy reporting burden including to internal incident management systems, professional associations, registries and coroners. Therapeutic Goods Administration, ‘2020 Insite Review Plan and Report, p.2.</w:t>
      </w:r>
    </w:p>
  </w:footnote>
  <w:footnote w:id="32">
    <w:p w14:paraId="35F7A57F" w14:textId="66F71609"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Provision is made in the legislation (s.41JM(7) of the TG Act) for other persons to be named in the regulations for the purpose of receiving reports on medical devices adverse events. </w:t>
      </w:r>
    </w:p>
  </w:footnote>
  <w:footnote w:id="33">
    <w:p w14:paraId="4A343BF0" w14:textId="6212472B" w:rsidR="008461AF" w:rsidRPr="00215D5E" w:rsidRDefault="008461AF">
      <w:pPr>
        <w:pStyle w:val="FootnoteText"/>
        <w:rPr>
          <w:sz w:val="14"/>
          <w:szCs w:val="14"/>
        </w:rPr>
      </w:pPr>
      <w:r w:rsidRPr="00422DE8">
        <w:rPr>
          <w:rStyle w:val="FootnoteReference"/>
          <w:sz w:val="14"/>
          <w:szCs w:val="14"/>
        </w:rPr>
        <w:footnoteRef/>
      </w:r>
      <w:r w:rsidRPr="00422DE8">
        <w:rPr>
          <w:sz w:val="14"/>
          <w:szCs w:val="14"/>
        </w:rPr>
        <w:t xml:space="preserve"> </w:t>
      </w:r>
      <w:r>
        <w:rPr>
          <w:sz w:val="14"/>
          <w:szCs w:val="14"/>
        </w:rPr>
        <w:t xml:space="preserve">TGA  </w:t>
      </w:r>
      <w:r w:rsidRPr="00D5482C">
        <w:rPr>
          <w:i/>
          <w:iCs/>
          <w:sz w:val="14"/>
          <w:szCs w:val="14"/>
        </w:rPr>
        <w:t>Potential for mandatory reporting of medical device adverse events by healthcare facilities: discussion paper</w:t>
      </w:r>
      <w:r w:rsidRPr="00D5482C">
        <w:rPr>
          <w:sz w:val="14"/>
          <w:szCs w:val="14"/>
        </w:rPr>
        <w:t xml:space="preserve">, available at: </w:t>
      </w:r>
      <w:hyperlink r:id="rId22" w:history="1">
        <w:r w:rsidRPr="00215D5E">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p>
  </w:footnote>
  <w:footnote w:id="34">
    <w:p w14:paraId="685EB088" w14:textId="77777777" w:rsidR="008461AF" w:rsidRPr="00411D66" w:rsidRDefault="008461AF" w:rsidP="00215D5E">
      <w:pPr>
        <w:pStyle w:val="FootnoteText"/>
        <w:spacing w:line="240" w:lineRule="auto"/>
        <w:rPr>
          <w:rFonts w:cs="Arial"/>
          <w:sz w:val="14"/>
          <w:szCs w:val="14"/>
        </w:rPr>
      </w:pPr>
      <w:r w:rsidRPr="00411D66">
        <w:rPr>
          <w:rStyle w:val="FootnoteReference"/>
          <w:rFonts w:cs="Arial"/>
          <w:sz w:val="14"/>
          <w:szCs w:val="14"/>
        </w:rPr>
        <w:footnoteRef/>
      </w:r>
      <w:r w:rsidRPr="00411D66">
        <w:rPr>
          <w:rFonts w:cs="Arial"/>
          <w:sz w:val="14"/>
          <w:szCs w:val="14"/>
        </w:rPr>
        <w:t xml:space="preserve"> TGA, Post-market review of spinal cord stimulation (SCS) devices, available at: </w:t>
      </w:r>
      <w:hyperlink r:id="rId23" w:history="1">
        <w:r w:rsidRPr="00411D66">
          <w:rPr>
            <w:rStyle w:val="Hyperlink"/>
            <w:rFonts w:cs="Arial"/>
            <w:sz w:val="14"/>
            <w:szCs w:val="14"/>
          </w:rPr>
          <w:t>https://www.tga.gov.au/how-we-regulate/supply-therapeutic-good/supply-medical-device/medical-device-post-market-reviews/post-market-review-spinal-cord-stimulation-scs-devices</w:t>
        </w:r>
      </w:hyperlink>
    </w:p>
  </w:footnote>
  <w:footnote w:id="35">
    <w:p w14:paraId="71DD6332" w14:textId="08B0699C" w:rsidR="008461AF" w:rsidRPr="00411D66" w:rsidRDefault="008461AF">
      <w:pPr>
        <w:pStyle w:val="FootnoteText"/>
        <w:rPr>
          <w:sz w:val="14"/>
          <w:szCs w:val="14"/>
        </w:rPr>
      </w:pPr>
      <w:r w:rsidRPr="00411D66">
        <w:rPr>
          <w:rStyle w:val="FootnoteReference"/>
          <w:sz w:val="14"/>
          <w:szCs w:val="14"/>
        </w:rPr>
        <w:footnoteRef/>
      </w:r>
      <w:r w:rsidRPr="00411D66">
        <w:rPr>
          <w:sz w:val="14"/>
          <w:szCs w:val="14"/>
        </w:rPr>
        <w:t xml:space="preserve"> TGA, </w:t>
      </w:r>
      <w:r w:rsidRPr="00411D66">
        <w:rPr>
          <w:i/>
          <w:iCs/>
          <w:sz w:val="14"/>
          <w:szCs w:val="14"/>
        </w:rPr>
        <w:t>Potential for mandatory reporting of medical device adverse events by healthcare facilities: discussion paper</w:t>
      </w:r>
      <w:r w:rsidRPr="00411D66">
        <w:rPr>
          <w:sz w:val="14"/>
          <w:szCs w:val="14"/>
        </w:rPr>
        <w:t xml:space="preserve">, available at: </w:t>
      </w:r>
      <w:hyperlink r:id="rId24" w:history="1">
        <w:r w:rsidR="00FC1A30" w:rsidRPr="002A7E0C">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p>
  </w:footnote>
  <w:footnote w:id="36">
    <w:p w14:paraId="47D23079" w14:textId="48250735" w:rsidR="008461AF" w:rsidRPr="00411D66" w:rsidRDefault="008461AF">
      <w:pPr>
        <w:pStyle w:val="FootnoteText"/>
        <w:rPr>
          <w:sz w:val="14"/>
          <w:szCs w:val="14"/>
        </w:rPr>
      </w:pPr>
      <w:r w:rsidRPr="00411D66">
        <w:rPr>
          <w:rStyle w:val="FootnoteReference"/>
          <w:sz w:val="14"/>
          <w:szCs w:val="14"/>
        </w:rPr>
        <w:footnoteRef/>
      </w:r>
      <w:r w:rsidRPr="00411D66">
        <w:rPr>
          <w:sz w:val="14"/>
          <w:szCs w:val="14"/>
        </w:rPr>
        <w:t xml:space="preserve"> Department of Health, Aged Care and Sport, </w:t>
      </w:r>
      <w:r w:rsidRPr="00411D66">
        <w:rPr>
          <w:i/>
          <w:iCs/>
          <w:sz w:val="14"/>
          <w:szCs w:val="14"/>
        </w:rPr>
        <w:t>The New Frontier – Delivering better health for all Australians</w:t>
      </w:r>
      <w:r w:rsidRPr="00411D66">
        <w:rPr>
          <w:sz w:val="14"/>
          <w:szCs w:val="14"/>
        </w:rPr>
        <w:t xml:space="preserve">, available at: </w:t>
      </w:r>
      <w:hyperlink r:id="rId25" w:history="1">
        <w:r w:rsidRPr="00411D66">
          <w:rPr>
            <w:rStyle w:val="Hyperlink"/>
            <w:sz w:val="14"/>
            <w:szCs w:val="14"/>
          </w:rPr>
          <w:t>https://www.health.gov.au/sites/default/files/2023-11/inquiry-into-approval-processes-for-new-drugs-and-novel-medical-technologies-in-australia.pdf</w:t>
        </w:r>
      </w:hyperlink>
      <w:r w:rsidRPr="00411D66">
        <w:rPr>
          <w:sz w:val="14"/>
          <w:szCs w:val="14"/>
        </w:rPr>
        <w:t xml:space="preserve"> </w:t>
      </w:r>
    </w:p>
  </w:footnote>
  <w:footnote w:id="37">
    <w:p w14:paraId="31A85B09" w14:textId="6DFFA3A5" w:rsidR="008461AF" w:rsidRPr="00411D66" w:rsidRDefault="008461AF" w:rsidP="00112799">
      <w:pPr>
        <w:pStyle w:val="FootnoteText"/>
        <w:rPr>
          <w:sz w:val="14"/>
          <w:szCs w:val="14"/>
          <w:lang w:val="en-US"/>
        </w:rPr>
      </w:pPr>
      <w:r w:rsidRPr="00411D66">
        <w:rPr>
          <w:rStyle w:val="FootnoteReference"/>
          <w:sz w:val="14"/>
          <w:szCs w:val="14"/>
        </w:rPr>
        <w:footnoteRef/>
      </w:r>
      <w:r w:rsidRPr="00411D66">
        <w:rPr>
          <w:sz w:val="14"/>
          <w:szCs w:val="14"/>
        </w:rPr>
        <w:t xml:space="preserve"> </w:t>
      </w:r>
      <w:r w:rsidR="00ED7678">
        <w:rPr>
          <w:sz w:val="14"/>
          <w:szCs w:val="14"/>
        </w:rPr>
        <w:t xml:space="preserve">Source: </w:t>
      </w:r>
      <w:r w:rsidR="00ED7678">
        <w:rPr>
          <w:sz w:val="14"/>
          <w:szCs w:val="14"/>
          <w:lang w:val="en-US"/>
        </w:rPr>
        <w:t>TGA IRIS data (2019 - 2023)</w:t>
      </w:r>
    </w:p>
  </w:footnote>
  <w:footnote w:id="38">
    <w:p w14:paraId="38B03779" w14:textId="77777777" w:rsidR="008461AF" w:rsidRPr="00331058" w:rsidRDefault="008461AF" w:rsidP="00A67272">
      <w:pPr>
        <w:pStyle w:val="FootnoteText"/>
        <w:rPr>
          <w:sz w:val="14"/>
          <w:szCs w:val="14"/>
          <w:lang w:val="en-US"/>
        </w:rPr>
      </w:pPr>
      <w:r w:rsidRPr="00331058">
        <w:rPr>
          <w:rStyle w:val="FootnoteReference"/>
          <w:sz w:val="14"/>
          <w:szCs w:val="14"/>
        </w:rPr>
        <w:footnoteRef/>
      </w:r>
      <w:r w:rsidRPr="00331058">
        <w:rPr>
          <w:sz w:val="14"/>
          <w:szCs w:val="14"/>
        </w:rPr>
        <w:t xml:space="preserve"> </w:t>
      </w:r>
      <w:r w:rsidRPr="00331058">
        <w:rPr>
          <w:sz w:val="14"/>
          <w:szCs w:val="14"/>
          <w:lang w:val="en-US"/>
        </w:rPr>
        <w:t xml:space="preserve">Specifically, the IRIS Insite Program sought to develop and deliver effective education programs targeted at health professionals in the hospital environment in relation to medical devices adverse event reporting. </w:t>
      </w:r>
    </w:p>
  </w:footnote>
  <w:footnote w:id="39">
    <w:p w14:paraId="340E9D88" w14:textId="1D457DFA" w:rsidR="00411D66" w:rsidRPr="006F7B46" w:rsidRDefault="00411D66">
      <w:pPr>
        <w:pStyle w:val="FootnoteText"/>
        <w:rPr>
          <w:sz w:val="14"/>
          <w:szCs w:val="14"/>
        </w:rPr>
      </w:pPr>
      <w:r w:rsidRPr="006F7B46">
        <w:rPr>
          <w:rStyle w:val="FootnoteReference"/>
          <w:sz w:val="14"/>
          <w:szCs w:val="14"/>
        </w:rPr>
        <w:footnoteRef/>
      </w:r>
      <w:r w:rsidRPr="006F7B46">
        <w:rPr>
          <w:sz w:val="14"/>
          <w:szCs w:val="14"/>
        </w:rPr>
        <w:t xml:space="preserve"> </w:t>
      </w:r>
      <w:r w:rsidRPr="009263A9">
        <w:rPr>
          <w:sz w:val="14"/>
          <w:szCs w:val="14"/>
          <w:lang w:val="en-US"/>
        </w:rPr>
        <w:t>Therapeutic Goods Administration, ‘2020 Insite Review Plan and Report, p.1.</w:t>
      </w:r>
    </w:p>
  </w:footnote>
  <w:footnote w:id="40">
    <w:p w14:paraId="72AFD820" w14:textId="21896CB5" w:rsidR="00A87BC5" w:rsidRPr="006F7B46" w:rsidRDefault="00A87BC5">
      <w:pPr>
        <w:pStyle w:val="FootnoteText"/>
        <w:rPr>
          <w:sz w:val="14"/>
          <w:szCs w:val="14"/>
        </w:rPr>
      </w:pPr>
      <w:r w:rsidRPr="006F7B46">
        <w:rPr>
          <w:rStyle w:val="FootnoteReference"/>
          <w:sz w:val="14"/>
          <w:szCs w:val="14"/>
        </w:rPr>
        <w:footnoteRef/>
      </w:r>
      <w:r w:rsidRPr="006F7B46">
        <w:rPr>
          <w:sz w:val="14"/>
          <w:szCs w:val="14"/>
        </w:rPr>
        <w:t xml:space="preserve"> </w:t>
      </w:r>
      <w:r w:rsidR="009263A9" w:rsidRPr="009263A9">
        <w:rPr>
          <w:sz w:val="14"/>
          <w:szCs w:val="14"/>
        </w:rPr>
        <w:t>https://www.health.gov.au/our-work/national-clinical-quality-registry-program</w:t>
      </w:r>
    </w:p>
  </w:footnote>
  <w:footnote w:id="41">
    <w:p w14:paraId="325711C8" w14:textId="3D6C0051" w:rsidR="009263A9" w:rsidRPr="006F7B46" w:rsidRDefault="009263A9">
      <w:pPr>
        <w:pStyle w:val="FootnoteText"/>
        <w:rPr>
          <w:sz w:val="14"/>
          <w:szCs w:val="14"/>
        </w:rPr>
      </w:pPr>
      <w:r w:rsidRPr="006F7B46">
        <w:rPr>
          <w:rStyle w:val="FootnoteReference"/>
          <w:sz w:val="14"/>
          <w:szCs w:val="14"/>
        </w:rPr>
        <w:footnoteRef/>
      </w:r>
      <w:r w:rsidRPr="006F7B46">
        <w:rPr>
          <w:sz w:val="14"/>
          <w:szCs w:val="14"/>
        </w:rPr>
        <w:t xml:space="preserve"> https://www.aph.gov.au/Parliamentary_Business/Committees/Senate/Community_Affairs/MeshImplants/Report</w:t>
      </w:r>
    </w:p>
  </w:footnote>
  <w:footnote w:id="42">
    <w:p w14:paraId="635B4EB5" w14:textId="77777777" w:rsidR="008461AF" w:rsidRPr="00D5482C" w:rsidRDefault="008461AF" w:rsidP="00112799">
      <w:pPr>
        <w:pStyle w:val="FootnoteText"/>
        <w:rPr>
          <w:sz w:val="14"/>
          <w:szCs w:val="14"/>
        </w:rPr>
      </w:pPr>
      <w:r w:rsidRPr="00D5482C">
        <w:rPr>
          <w:rStyle w:val="FootnoteReference"/>
          <w:sz w:val="14"/>
          <w:szCs w:val="14"/>
        </w:rPr>
        <w:footnoteRef/>
      </w:r>
      <w:r w:rsidRPr="00D5482C">
        <w:rPr>
          <w:sz w:val="14"/>
          <w:szCs w:val="14"/>
        </w:rPr>
        <w:t xml:space="preserve"> TGA, Annual Performance Statistics Reports, available at: </w:t>
      </w:r>
    </w:p>
    <w:p w14:paraId="40E75450" w14:textId="77777777" w:rsidR="008461AF" w:rsidRPr="00D5482C" w:rsidRDefault="00DA18FC" w:rsidP="00112799">
      <w:pPr>
        <w:pStyle w:val="FootnoteText"/>
        <w:rPr>
          <w:sz w:val="14"/>
          <w:szCs w:val="14"/>
        </w:rPr>
      </w:pPr>
      <w:hyperlink r:id="rId26" w:history="1">
        <w:r w:rsidR="008461AF" w:rsidRPr="00D5482C">
          <w:rPr>
            <w:rStyle w:val="Hyperlink"/>
            <w:sz w:val="14"/>
            <w:szCs w:val="14"/>
          </w:rPr>
          <w:t>https://www.tga.gov.au/about-tga/corporate-information/tga-plans-reports/annual-performance-statistics-reports</w:t>
        </w:r>
      </w:hyperlink>
    </w:p>
  </w:footnote>
  <w:footnote w:id="43">
    <w:p w14:paraId="40B50463" w14:textId="77777777" w:rsidR="00204FD3" w:rsidRDefault="00204FD3" w:rsidP="00204FD3">
      <w:pPr>
        <w:pStyle w:val="FootnoteText"/>
      </w:pPr>
      <w:r w:rsidRPr="00422DE8">
        <w:rPr>
          <w:rStyle w:val="FootnoteReference"/>
          <w:sz w:val="14"/>
          <w:szCs w:val="14"/>
        </w:rPr>
        <w:footnoteRef/>
      </w:r>
      <w:r w:rsidRPr="00422DE8">
        <w:rPr>
          <w:sz w:val="14"/>
          <w:szCs w:val="14"/>
        </w:rPr>
        <w:t xml:space="preserve"> </w:t>
      </w:r>
      <w:r>
        <w:rPr>
          <w:sz w:val="14"/>
          <w:szCs w:val="14"/>
        </w:rPr>
        <w:t>A key example being the Johnson &amp; Johnson’s class action suits, resulting in a $300 million settlement.</w:t>
      </w:r>
    </w:p>
  </w:footnote>
  <w:footnote w:id="44">
    <w:p w14:paraId="6C5880E3" w14:textId="03635C7B" w:rsidR="008461AF" w:rsidRDefault="008461AF">
      <w:pPr>
        <w:pStyle w:val="FootnoteText"/>
      </w:pPr>
      <w:r w:rsidRPr="00422DE8">
        <w:rPr>
          <w:rStyle w:val="FootnoteReference"/>
          <w:sz w:val="14"/>
          <w:szCs w:val="14"/>
        </w:rPr>
        <w:footnoteRef/>
      </w:r>
      <w:r w:rsidRPr="00422DE8">
        <w:rPr>
          <w:sz w:val="14"/>
          <w:szCs w:val="14"/>
        </w:rPr>
        <w:t xml:space="preserve"> </w:t>
      </w:r>
      <w:r w:rsidRPr="001E5F92">
        <w:rPr>
          <w:sz w:val="14"/>
          <w:szCs w:val="14"/>
        </w:rPr>
        <w:t>The Senate, Community Affairs Reference Committee report title</w:t>
      </w:r>
      <w:r>
        <w:rPr>
          <w:sz w:val="14"/>
          <w:szCs w:val="14"/>
        </w:rPr>
        <w:t>d</w:t>
      </w:r>
      <w:r w:rsidRPr="001E5F92">
        <w:rPr>
          <w:sz w:val="14"/>
          <w:szCs w:val="14"/>
        </w:rPr>
        <w:t>, ‘Number of women in Australia who have had transvaginal mesh implants and related matters’</w:t>
      </w:r>
      <w:r>
        <w:rPr>
          <w:sz w:val="14"/>
          <w:szCs w:val="14"/>
        </w:rPr>
        <w:t>, outlined the significant underreporting in relation to Urogynaecologoical Mesh products. In the report, it was outlined that as of 3 January 2018, only 327 reports had been lodged, covering 349 patients. Upon examination the Health Issues Centre (HIC) reported that as of 3 August 2017, 2,400 women had provided personal accounts to the HIC describing adverse events.</w:t>
      </w:r>
    </w:p>
  </w:footnote>
  <w:footnote w:id="45">
    <w:p w14:paraId="697000C2" w14:textId="77777777" w:rsidR="00A5144E" w:rsidRPr="00A67B1A" w:rsidRDefault="00A5144E" w:rsidP="00A5144E">
      <w:pPr>
        <w:pStyle w:val="FootnoteText"/>
        <w:rPr>
          <w:sz w:val="14"/>
          <w:szCs w:val="14"/>
        </w:rPr>
      </w:pPr>
      <w:r w:rsidRPr="00A67B1A">
        <w:rPr>
          <w:rStyle w:val="FootnoteReference"/>
          <w:sz w:val="14"/>
          <w:szCs w:val="14"/>
        </w:rPr>
        <w:footnoteRef/>
      </w:r>
      <w:r w:rsidRPr="00A67B1A">
        <w:rPr>
          <w:sz w:val="14"/>
          <w:szCs w:val="14"/>
        </w:rPr>
        <w:t xml:space="preserve"> Figure 6 - Data on adverse event reports by source 2019-2023</w:t>
      </w:r>
    </w:p>
  </w:footnote>
  <w:footnote w:id="46">
    <w:p w14:paraId="5347EC88" w14:textId="394A43BB" w:rsidR="008461AF" w:rsidRPr="00C771DA" w:rsidRDefault="008461AF">
      <w:pPr>
        <w:pStyle w:val="FootnoteText"/>
      </w:pPr>
      <w:r w:rsidRPr="00422DE8">
        <w:rPr>
          <w:rStyle w:val="FootnoteReference"/>
          <w:sz w:val="14"/>
          <w:szCs w:val="14"/>
        </w:rPr>
        <w:footnoteRef/>
      </w:r>
      <w:r w:rsidRPr="00422DE8">
        <w:rPr>
          <w:sz w:val="14"/>
          <w:szCs w:val="14"/>
        </w:rPr>
        <w:t xml:space="preserve"> </w:t>
      </w:r>
      <w:r>
        <w:rPr>
          <w:sz w:val="14"/>
          <w:szCs w:val="14"/>
        </w:rPr>
        <w:t xml:space="preserve">Parliament of the Commonwealth of Australia, </w:t>
      </w:r>
      <w:r>
        <w:rPr>
          <w:i/>
          <w:iCs/>
          <w:sz w:val="14"/>
          <w:szCs w:val="14"/>
        </w:rPr>
        <w:t>Therapeutic Goods Amendment (22022 Measures No. 1) Bill 2022 Explanatory Memorandum</w:t>
      </w:r>
      <w:r>
        <w:rPr>
          <w:sz w:val="14"/>
          <w:szCs w:val="14"/>
        </w:rPr>
        <w:t xml:space="preserve">, available at: </w:t>
      </w:r>
      <w:hyperlink r:id="rId27" w:history="1">
        <w:r w:rsidRPr="0083038B">
          <w:rPr>
            <w:rStyle w:val="Hyperlink"/>
            <w:sz w:val="14"/>
            <w:szCs w:val="14"/>
          </w:rPr>
          <w:t>https://www.aph.gov.au/Parliamentary_Business/Bills_Legislation/Bills_Search_Results/Result?bId=r6953</w:t>
        </w:r>
      </w:hyperlink>
      <w:r>
        <w:rPr>
          <w:sz w:val="14"/>
          <w:szCs w:val="14"/>
        </w:rPr>
        <w:t xml:space="preserve"> </w:t>
      </w:r>
    </w:p>
  </w:footnote>
  <w:footnote w:id="47">
    <w:p w14:paraId="5FC766E0" w14:textId="0194D46C" w:rsidR="008461AF" w:rsidRDefault="008461AF">
      <w:pPr>
        <w:pStyle w:val="FootnoteText"/>
      </w:pPr>
      <w:r w:rsidRPr="00422DE8">
        <w:rPr>
          <w:rStyle w:val="FootnoteReference"/>
          <w:sz w:val="14"/>
          <w:szCs w:val="14"/>
        </w:rPr>
        <w:footnoteRef/>
      </w:r>
      <w:r w:rsidRPr="00422DE8">
        <w:rPr>
          <w:sz w:val="14"/>
          <w:szCs w:val="14"/>
        </w:rPr>
        <w:t xml:space="preserve"> TGA, Potential for mandatory reporting of medical device adverse events by healthcare facilities: discussion paper, available at: </w:t>
      </w:r>
      <w:hyperlink r:id="rId28" w:history="1">
        <w:r w:rsidRPr="00422DE8">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r>
        <w:rPr>
          <w:sz w:val="14"/>
          <w:szCs w:val="14"/>
        </w:rPr>
        <w:t xml:space="preserve"> </w:t>
      </w:r>
    </w:p>
  </w:footnote>
  <w:footnote w:id="48">
    <w:p w14:paraId="733F87BC" w14:textId="77777777" w:rsidR="008461AF" w:rsidRDefault="008461AF" w:rsidP="007C15C4">
      <w:pPr>
        <w:pStyle w:val="FootnoteText"/>
      </w:pPr>
      <w:r w:rsidRPr="001434DE">
        <w:rPr>
          <w:rStyle w:val="FootnoteReference"/>
          <w:sz w:val="14"/>
          <w:szCs w:val="14"/>
        </w:rPr>
        <w:footnoteRef/>
      </w:r>
      <w:r w:rsidRPr="001434DE">
        <w:rPr>
          <w:sz w:val="14"/>
          <w:szCs w:val="14"/>
        </w:rPr>
        <w:t xml:space="preserve"> TGA, Potential for mandatory reporting of medical device adverse events by healthcare facilities: discussion paper, available at: </w:t>
      </w:r>
      <w:hyperlink r:id="rId29" w:history="1">
        <w:r w:rsidRPr="001434DE">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r>
        <w:rPr>
          <w:sz w:val="14"/>
          <w:szCs w:val="14"/>
        </w:rPr>
        <w:t xml:space="preserve"> </w:t>
      </w:r>
    </w:p>
  </w:footnote>
  <w:footnote w:id="49">
    <w:p w14:paraId="6207BA18" w14:textId="4324518E"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lang w:val="en-US"/>
        </w:rPr>
        <w:t>Batch reporting does not preclude healthcare facilities reporting on-occurrence, if necessary.</w:t>
      </w:r>
    </w:p>
  </w:footnote>
  <w:footnote w:id="50">
    <w:p w14:paraId="1AB81B2B" w14:textId="1A267C4A" w:rsidR="008461AF" w:rsidRPr="00422DE8" w:rsidRDefault="008461AF">
      <w:pPr>
        <w:pStyle w:val="FootnoteText"/>
        <w:rPr>
          <w:sz w:val="14"/>
          <w:szCs w:val="14"/>
        </w:rPr>
      </w:pPr>
      <w:r w:rsidRPr="00422DE8">
        <w:rPr>
          <w:rStyle w:val="FootnoteReference"/>
          <w:sz w:val="14"/>
          <w:szCs w:val="14"/>
        </w:rPr>
        <w:footnoteRef/>
      </w:r>
      <w:r w:rsidRPr="00422DE8">
        <w:rPr>
          <w:sz w:val="14"/>
          <w:szCs w:val="14"/>
        </w:rPr>
        <w:t xml:space="preserve"> </w:t>
      </w:r>
      <w:r>
        <w:rPr>
          <w:sz w:val="14"/>
          <w:szCs w:val="14"/>
        </w:rPr>
        <w:t xml:space="preserve">Food &amp; Drug Administration, </w:t>
      </w:r>
      <w:r>
        <w:rPr>
          <w:i/>
          <w:iCs/>
          <w:sz w:val="14"/>
          <w:szCs w:val="14"/>
        </w:rPr>
        <w:t>Medical Device Reporting (MDR): How to Report Medical Device Problems</w:t>
      </w:r>
      <w:r>
        <w:rPr>
          <w:sz w:val="14"/>
          <w:szCs w:val="14"/>
        </w:rPr>
        <w:t xml:space="preserve">, available at: </w:t>
      </w:r>
      <w:hyperlink r:id="rId30" w:history="1">
        <w:r w:rsidRPr="0083038B">
          <w:rPr>
            <w:rStyle w:val="Hyperlink"/>
            <w:sz w:val="14"/>
            <w:szCs w:val="14"/>
          </w:rPr>
          <w:t>https://www.fda.gov/medical-devices/medical-device-safety/medical-device-reporting-mdr-how-report-medical-device-problems</w:t>
        </w:r>
      </w:hyperlink>
      <w:r>
        <w:rPr>
          <w:sz w:val="14"/>
          <w:szCs w:val="14"/>
        </w:rPr>
        <w:t xml:space="preserve"> </w:t>
      </w:r>
    </w:p>
  </w:footnote>
  <w:footnote w:id="51">
    <w:p w14:paraId="4A0D9833" w14:textId="115AF81D" w:rsidR="008461AF" w:rsidRPr="00CA15FA" w:rsidRDefault="008461AF">
      <w:pPr>
        <w:pStyle w:val="FootnoteText"/>
      </w:pPr>
      <w:r w:rsidRPr="00422DE8">
        <w:rPr>
          <w:rStyle w:val="FootnoteReference"/>
          <w:sz w:val="14"/>
          <w:szCs w:val="14"/>
        </w:rPr>
        <w:footnoteRef/>
      </w:r>
      <w:r w:rsidRPr="00422DE8">
        <w:rPr>
          <w:sz w:val="14"/>
          <w:szCs w:val="14"/>
        </w:rPr>
        <w:t xml:space="preserve"> </w:t>
      </w:r>
      <w:r>
        <w:rPr>
          <w:sz w:val="14"/>
          <w:szCs w:val="14"/>
        </w:rPr>
        <w:t xml:space="preserve">Government of Canada, </w:t>
      </w:r>
      <w:r>
        <w:rPr>
          <w:i/>
          <w:iCs/>
          <w:sz w:val="14"/>
          <w:szCs w:val="14"/>
        </w:rPr>
        <w:t>Incident reporting for medical devices: Guidance document</w:t>
      </w:r>
      <w:r>
        <w:rPr>
          <w:sz w:val="14"/>
          <w:szCs w:val="14"/>
        </w:rPr>
        <w:t xml:space="preserve">, available at: </w:t>
      </w:r>
      <w:hyperlink r:id="rId31" w:history="1">
        <w:r w:rsidRPr="0083038B">
          <w:rPr>
            <w:rStyle w:val="Hyperlink"/>
            <w:sz w:val="14"/>
            <w:szCs w:val="14"/>
          </w:rPr>
          <w:t>https://www.canada.ca/en/health-canada/services/drugs-health-products/reports-publications/medeffect-canada/incident-reporting-medical-devices-guidance-2021.html</w:t>
        </w:r>
      </w:hyperlink>
      <w:r>
        <w:rPr>
          <w:sz w:val="14"/>
          <w:szCs w:val="14"/>
        </w:rPr>
        <w:t xml:space="preserve"> </w:t>
      </w:r>
    </w:p>
  </w:footnote>
  <w:footnote w:id="52">
    <w:p w14:paraId="33702467" w14:textId="6AF2C97E" w:rsidR="008461AF" w:rsidRPr="00B1270E" w:rsidRDefault="008461AF">
      <w:pPr>
        <w:pStyle w:val="FootnoteText"/>
        <w:rPr>
          <w:sz w:val="14"/>
          <w:szCs w:val="14"/>
        </w:rPr>
      </w:pPr>
      <w:r w:rsidRPr="00B1270E">
        <w:rPr>
          <w:rStyle w:val="FootnoteReference"/>
          <w:sz w:val="14"/>
          <w:szCs w:val="14"/>
        </w:rPr>
        <w:footnoteRef/>
      </w:r>
      <w:r w:rsidRPr="00B1270E">
        <w:rPr>
          <w:sz w:val="14"/>
          <w:szCs w:val="14"/>
        </w:rPr>
        <w:t xml:space="preserve"> https://www.health.gov.au/topics/allied-health-care/who-can-provide</w:t>
      </w:r>
    </w:p>
  </w:footnote>
  <w:footnote w:id="53">
    <w:p w14:paraId="1A24E70E" w14:textId="01D4ED4E" w:rsidR="008461AF" w:rsidRPr="00B1270E" w:rsidRDefault="008461AF">
      <w:pPr>
        <w:pStyle w:val="FootnoteText"/>
        <w:rPr>
          <w:sz w:val="14"/>
          <w:szCs w:val="14"/>
        </w:rPr>
      </w:pPr>
      <w:r w:rsidRPr="00B1270E">
        <w:rPr>
          <w:rStyle w:val="FootnoteReference"/>
          <w:sz w:val="14"/>
          <w:szCs w:val="14"/>
        </w:rPr>
        <w:footnoteRef/>
      </w:r>
      <w:r w:rsidRPr="00B1270E">
        <w:rPr>
          <w:sz w:val="14"/>
          <w:szCs w:val="14"/>
        </w:rPr>
        <w:t xml:space="preserve"> https://www.safetyandquality.gov.au/consumers/public-reporting-hospital-performance-nsqhs-standards</w:t>
      </w:r>
    </w:p>
  </w:footnote>
  <w:footnote w:id="54">
    <w:p w14:paraId="7B8380A2" w14:textId="08A7013A" w:rsidR="008461AF" w:rsidRDefault="008461AF">
      <w:pPr>
        <w:pStyle w:val="FootnoteText"/>
      </w:pPr>
      <w:r w:rsidRPr="00B1270E">
        <w:rPr>
          <w:rStyle w:val="FootnoteReference"/>
          <w:sz w:val="14"/>
          <w:szCs w:val="14"/>
        </w:rPr>
        <w:footnoteRef/>
      </w:r>
      <w:r w:rsidRPr="00B1270E">
        <w:rPr>
          <w:sz w:val="14"/>
          <w:szCs w:val="14"/>
        </w:rPr>
        <w:t xml:space="preserve"> Evidence for this is based on 57 submissions to the discussion paper, covering consumers, industry, healthcare facilities and other interested parties. Specifically, submissions from the Australian Medical Association, Australian Private Hospitals Association, and the Australian Commission on Safety and Quality in Health Care, all indicated the relative burden the introduction of mandatory reporting would have on the potential healthcare facilities for inclusion.</w:t>
      </w:r>
    </w:p>
  </w:footnote>
  <w:footnote w:id="55">
    <w:p w14:paraId="3665F6EE" w14:textId="77777777" w:rsidR="008461AF" w:rsidRPr="00D5482C" w:rsidRDefault="008461AF" w:rsidP="0093421C">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 xml:space="preserve">Data collected from the ARTG Search Visualisation Tool at: </w:t>
      </w:r>
      <w:hyperlink r:id="rId32" w:history="1">
        <w:r w:rsidRPr="00D5482C">
          <w:rPr>
            <w:rStyle w:val="Hyperlink"/>
            <w:sz w:val="14"/>
            <w:szCs w:val="14"/>
            <w:lang w:val="en-US"/>
          </w:rPr>
          <w:t>https://compliance.health.gov.au/artg/</w:t>
        </w:r>
      </w:hyperlink>
      <w:r w:rsidRPr="00D5482C">
        <w:rPr>
          <w:sz w:val="14"/>
          <w:szCs w:val="14"/>
          <w:lang w:val="en-US"/>
        </w:rPr>
        <w:t>. The values cited refer to the number of medical devices registered for use in Australia, not the total number of medical devices currently in use in Australia.</w:t>
      </w:r>
    </w:p>
  </w:footnote>
  <w:footnote w:id="56">
    <w:p w14:paraId="291980C4" w14:textId="63FEDED3"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Noting that this could include serious injury or deterioration in health or major harm relating to a medical device or treatment that has occurred outside of the healthcare facility it presents at.</w:t>
      </w:r>
    </w:p>
  </w:footnote>
  <w:footnote w:id="57">
    <w:p w14:paraId="39748C42" w14:textId="64F128F2" w:rsidR="008461AF" w:rsidRDefault="008461AF">
      <w:pPr>
        <w:pStyle w:val="FootnoteText"/>
      </w:pPr>
      <w:r w:rsidRPr="00A60E5C">
        <w:rPr>
          <w:rStyle w:val="FootnoteReference"/>
          <w:sz w:val="14"/>
          <w:szCs w:val="14"/>
        </w:rPr>
        <w:footnoteRef/>
      </w:r>
      <w:r w:rsidRPr="00A60E5C">
        <w:rPr>
          <w:sz w:val="14"/>
          <w:szCs w:val="14"/>
        </w:rPr>
        <w:t xml:space="preserve"> The minimum data fields are subject to ongoing stakeholder discussions and agreements</w:t>
      </w:r>
      <w:r>
        <w:t>.</w:t>
      </w:r>
    </w:p>
  </w:footnote>
  <w:footnote w:id="58">
    <w:p w14:paraId="6757A62B" w14:textId="552A55F7" w:rsidR="008461AF" w:rsidRPr="00D5482C" w:rsidRDefault="008461AF">
      <w:pPr>
        <w:pStyle w:val="FootnoteText"/>
        <w:rPr>
          <w:sz w:val="14"/>
          <w:szCs w:val="14"/>
        </w:rPr>
      </w:pPr>
      <w:r w:rsidRPr="00D5482C">
        <w:rPr>
          <w:rStyle w:val="FootnoteReference"/>
          <w:sz w:val="14"/>
          <w:szCs w:val="14"/>
        </w:rPr>
        <w:footnoteRef/>
      </w:r>
      <w:r w:rsidRPr="00D5482C">
        <w:rPr>
          <w:sz w:val="14"/>
          <w:szCs w:val="14"/>
        </w:rPr>
        <w:t xml:space="preserve"> In line with action 1.11 g. from the NSQHS Standards, which requires accredited entities to “regularly review and act to improve the effectiveness of the incident management and investigation system”.</w:t>
      </w:r>
    </w:p>
  </w:footnote>
  <w:footnote w:id="59">
    <w:p w14:paraId="589AE98B" w14:textId="58B91DCA" w:rsidR="0066287E" w:rsidRPr="0087481A" w:rsidRDefault="0066287E">
      <w:pPr>
        <w:pStyle w:val="FootnoteText"/>
        <w:rPr>
          <w:sz w:val="14"/>
          <w:szCs w:val="14"/>
        </w:rPr>
      </w:pPr>
      <w:r w:rsidRPr="0087481A">
        <w:rPr>
          <w:rStyle w:val="FootnoteReference"/>
          <w:sz w:val="14"/>
          <w:szCs w:val="14"/>
        </w:rPr>
        <w:footnoteRef/>
      </w:r>
      <w:r w:rsidRPr="0087481A">
        <w:rPr>
          <w:sz w:val="14"/>
          <w:szCs w:val="14"/>
        </w:rPr>
        <w:t xml:space="preserve"> https://www.tga.gov.au/resources/resource/reference-material/medical-device-incident-reporting-and-investigation-scheme-iris</w:t>
      </w:r>
    </w:p>
  </w:footnote>
  <w:footnote w:id="60">
    <w:p w14:paraId="35B312DA" w14:textId="5B7FA522" w:rsidR="002C0B5E" w:rsidRDefault="002C0B5E">
      <w:pPr>
        <w:pStyle w:val="FootnoteText"/>
      </w:pPr>
      <w:r w:rsidRPr="0087481A">
        <w:rPr>
          <w:rStyle w:val="FootnoteReference"/>
          <w:sz w:val="14"/>
          <w:szCs w:val="14"/>
        </w:rPr>
        <w:footnoteRef/>
      </w:r>
      <w:r w:rsidRPr="0087481A">
        <w:rPr>
          <w:sz w:val="14"/>
          <w:szCs w:val="14"/>
        </w:rPr>
        <w:t xml:space="preserve"> </w:t>
      </w:r>
      <w:r w:rsidR="00362D01" w:rsidRPr="0087481A">
        <w:rPr>
          <w:sz w:val="14"/>
          <w:szCs w:val="14"/>
        </w:rPr>
        <w:t>https://www.tga.gov.au/resources/resource/reference-material/reporting-adverse-events</w:t>
      </w:r>
    </w:p>
  </w:footnote>
  <w:footnote w:id="61">
    <w:p w14:paraId="31F9DB17" w14:textId="77777777" w:rsidR="008461AF" w:rsidRPr="00D5482C" w:rsidRDefault="008461AF" w:rsidP="00577AA8">
      <w:pPr>
        <w:pStyle w:val="FootnoteText"/>
        <w:rPr>
          <w:sz w:val="14"/>
          <w:szCs w:val="14"/>
        </w:rPr>
      </w:pPr>
      <w:r w:rsidRPr="00D5482C">
        <w:rPr>
          <w:rStyle w:val="FootnoteReference"/>
          <w:sz w:val="14"/>
          <w:szCs w:val="14"/>
        </w:rPr>
        <w:footnoteRef/>
      </w:r>
      <w:r w:rsidRPr="00D5482C">
        <w:rPr>
          <w:sz w:val="14"/>
          <w:szCs w:val="14"/>
        </w:rPr>
        <w:t xml:space="preserve"> Updating of the NSQHS Standards will occur on multiple occasions. Firstly, with an Advisory to the Second Edition of the Standards (in 2025), and later, with the release of the Third Edition of the Standards (predicted to be in 2027).</w:t>
      </w:r>
    </w:p>
  </w:footnote>
  <w:footnote w:id="62">
    <w:p w14:paraId="03B5D50F" w14:textId="720B0EBB" w:rsidR="008461AF" w:rsidRPr="00697FCC" w:rsidRDefault="008461AF">
      <w:pPr>
        <w:pStyle w:val="FootnoteText"/>
        <w:rPr>
          <w:sz w:val="14"/>
          <w:szCs w:val="14"/>
          <w:lang w:val="en-US"/>
        </w:rPr>
      </w:pPr>
      <w:r w:rsidRPr="00697FCC">
        <w:rPr>
          <w:rStyle w:val="FootnoteReference"/>
          <w:sz w:val="14"/>
          <w:szCs w:val="14"/>
        </w:rPr>
        <w:footnoteRef/>
      </w:r>
      <w:r w:rsidRPr="00697FCC">
        <w:rPr>
          <w:sz w:val="14"/>
          <w:szCs w:val="14"/>
        </w:rPr>
        <w:t xml:space="preserve"> </w:t>
      </w:r>
      <w:r w:rsidRPr="00697FCC">
        <w:rPr>
          <w:sz w:val="14"/>
          <w:szCs w:val="14"/>
          <w:lang w:val="en-US"/>
        </w:rPr>
        <w:t>Frequency of batch reporting is yet to be agreed upon by stakeholders. There is potential this could occur monthly or every two months.</w:t>
      </w:r>
    </w:p>
  </w:footnote>
  <w:footnote w:id="63">
    <w:p w14:paraId="0823179B" w14:textId="19506934" w:rsidR="008461AF" w:rsidRDefault="008461AF">
      <w:pPr>
        <w:pStyle w:val="FootnoteText"/>
      </w:pPr>
      <w:r w:rsidRPr="00697FCC">
        <w:rPr>
          <w:rStyle w:val="FootnoteReference"/>
          <w:sz w:val="14"/>
          <w:szCs w:val="14"/>
        </w:rPr>
        <w:footnoteRef/>
      </w:r>
      <w:r w:rsidRPr="00697FCC">
        <w:rPr>
          <w:sz w:val="14"/>
          <w:szCs w:val="14"/>
        </w:rPr>
        <w:t xml:space="preserve"> Timeframes for reporting on occurrence are yet to be agreed upon by stakeholders.</w:t>
      </w:r>
    </w:p>
  </w:footnote>
  <w:footnote w:id="64">
    <w:p w14:paraId="59A3F96B" w14:textId="0DF4DCBC" w:rsidR="008461AF" w:rsidRDefault="008461AF">
      <w:pPr>
        <w:pStyle w:val="FootnoteText"/>
      </w:pPr>
      <w:r w:rsidRPr="00422DE8">
        <w:rPr>
          <w:rStyle w:val="FootnoteReference"/>
          <w:sz w:val="14"/>
          <w:szCs w:val="14"/>
        </w:rPr>
        <w:footnoteRef/>
      </w:r>
      <w:r w:rsidRPr="00422DE8">
        <w:rPr>
          <w:sz w:val="14"/>
          <w:szCs w:val="14"/>
        </w:rPr>
        <w:t xml:space="preserve"> Measures 1 – 5 have been addressed on pages 29 – 34.</w:t>
      </w:r>
    </w:p>
  </w:footnote>
  <w:footnote w:id="65">
    <w:p w14:paraId="4EE31D73" w14:textId="655C13A5" w:rsidR="008461AF" w:rsidRPr="00422DE8" w:rsidRDefault="008461AF">
      <w:pPr>
        <w:pStyle w:val="FootnoteText"/>
        <w:rPr>
          <w:sz w:val="14"/>
          <w:szCs w:val="14"/>
        </w:rPr>
      </w:pPr>
      <w:r w:rsidRPr="00422DE8">
        <w:rPr>
          <w:rStyle w:val="FootnoteReference"/>
          <w:sz w:val="14"/>
          <w:szCs w:val="14"/>
        </w:rPr>
        <w:footnoteRef/>
      </w:r>
      <w:r w:rsidRPr="00422DE8">
        <w:rPr>
          <w:sz w:val="14"/>
          <w:szCs w:val="14"/>
        </w:rPr>
        <w:t xml:space="preserve"> </w:t>
      </w:r>
      <w:r w:rsidRPr="00B8317D">
        <w:rPr>
          <w:sz w:val="14"/>
          <w:szCs w:val="14"/>
        </w:rPr>
        <w:t>Measures 1 – 5 and 7 have been addressed on pages 29 – 34 and 35 respectively.</w:t>
      </w:r>
    </w:p>
  </w:footnote>
  <w:footnote w:id="66">
    <w:p w14:paraId="560C3332" w14:textId="77777777" w:rsidR="008461AF" w:rsidRPr="00422DE8" w:rsidRDefault="008461AF" w:rsidP="00D126A0">
      <w:pPr>
        <w:pStyle w:val="FootnoteText"/>
        <w:rPr>
          <w:sz w:val="14"/>
          <w:szCs w:val="14"/>
        </w:rPr>
      </w:pPr>
      <w:r w:rsidRPr="00422DE8">
        <w:rPr>
          <w:rStyle w:val="FootnoteReference"/>
          <w:sz w:val="14"/>
          <w:szCs w:val="14"/>
        </w:rPr>
        <w:footnoteRef/>
      </w:r>
      <w:r w:rsidRPr="00422DE8">
        <w:rPr>
          <w:sz w:val="14"/>
          <w:szCs w:val="14"/>
        </w:rPr>
        <w:t xml:space="preserve"> </w:t>
      </w:r>
      <w:r w:rsidRPr="00422DE8">
        <w:rPr>
          <w:rFonts w:cs="Arial"/>
          <w:color w:val="666666"/>
          <w:sz w:val="14"/>
          <w:szCs w:val="14"/>
          <w:shd w:val="clear" w:color="auto" w:fill="FFFFFF"/>
        </w:rPr>
        <w:t>Andrew Georgiou, &amp; Mikaela Jorgensen (2022). Incidence of adverse incidents in residential aged care. </w:t>
      </w:r>
      <w:r w:rsidRPr="00422DE8">
        <w:rPr>
          <w:rStyle w:val="Emphasis"/>
          <w:rFonts w:cs="Arial"/>
          <w:color w:val="666666"/>
          <w:sz w:val="14"/>
          <w:szCs w:val="14"/>
          <w:shd w:val="clear" w:color="auto" w:fill="FFFFFF"/>
        </w:rPr>
        <w:t>Australian Health Review</w:t>
      </w:r>
      <w:r w:rsidRPr="00422DE8">
        <w:rPr>
          <w:rFonts w:cs="Arial"/>
          <w:color w:val="666666"/>
          <w:sz w:val="14"/>
          <w:szCs w:val="14"/>
          <w:shd w:val="clear" w:color="auto" w:fill="FFFFFF"/>
        </w:rPr>
        <w:t>, </w:t>
      </w:r>
      <w:r w:rsidRPr="00422DE8">
        <w:rPr>
          <w:rStyle w:val="Emphasis"/>
          <w:rFonts w:cs="Arial"/>
          <w:color w:val="666666"/>
          <w:sz w:val="14"/>
          <w:szCs w:val="14"/>
          <w:shd w:val="clear" w:color="auto" w:fill="FFFFFF"/>
        </w:rPr>
        <w:t>46</w:t>
      </w:r>
      <w:r w:rsidRPr="00422DE8">
        <w:rPr>
          <w:rFonts w:cs="Arial"/>
          <w:color w:val="666666"/>
          <w:sz w:val="14"/>
          <w:szCs w:val="14"/>
          <w:shd w:val="clear" w:color="auto" w:fill="FFFFFF"/>
        </w:rPr>
        <w:t>(4), 405-413.</w:t>
      </w:r>
    </w:p>
  </w:footnote>
  <w:footnote w:id="67">
    <w:p w14:paraId="51F0AE02" w14:textId="47CBA3F0" w:rsidR="008461AF" w:rsidRDefault="008461AF">
      <w:pPr>
        <w:pStyle w:val="FootnoteText"/>
      </w:pPr>
      <w:r w:rsidRPr="00422DE8">
        <w:rPr>
          <w:rStyle w:val="FootnoteReference"/>
          <w:sz w:val="14"/>
          <w:szCs w:val="14"/>
        </w:rPr>
        <w:footnoteRef/>
      </w:r>
      <w:r w:rsidRPr="00422DE8">
        <w:rPr>
          <w:sz w:val="14"/>
          <w:szCs w:val="14"/>
        </w:rPr>
        <w:t xml:space="preserve"> Balasubramanian, M., Brommeyer, M., Simmonds, L., Shafei, A. (2023). Integrated Care Models in Aged Care: The Role of Technology. In: Pfannstiel, M.A. (eds) Human-Centered Service Design for Healthcare Transformation. Springer, Cham.</w:t>
      </w:r>
    </w:p>
  </w:footnote>
  <w:footnote w:id="68">
    <w:p w14:paraId="48729E47" w14:textId="1CA12F00" w:rsidR="00134357" w:rsidRPr="00DF6EEE" w:rsidRDefault="00134357">
      <w:pPr>
        <w:pStyle w:val="FootnoteText"/>
        <w:rPr>
          <w:sz w:val="14"/>
          <w:szCs w:val="14"/>
        </w:rPr>
      </w:pPr>
      <w:r w:rsidRPr="00DF6EEE">
        <w:rPr>
          <w:rStyle w:val="FootnoteReference"/>
          <w:sz w:val="14"/>
          <w:szCs w:val="14"/>
        </w:rPr>
        <w:footnoteRef/>
      </w:r>
      <w:r w:rsidRPr="00DF6EEE">
        <w:rPr>
          <w:sz w:val="14"/>
          <w:szCs w:val="14"/>
        </w:rPr>
        <w:t xml:space="preserve"> </w:t>
      </w:r>
      <w:hyperlink r:id="rId33" w:anchor="requirements" w:history="1">
        <w:r w:rsidR="003561EB" w:rsidRPr="00DF6EEE">
          <w:rPr>
            <w:rStyle w:val="Hyperlink"/>
            <w:sz w:val="14"/>
            <w:szCs w:val="14"/>
          </w:rPr>
          <w:t>Medical Device Reporting (MDR): How to Report Medical Device Problems | FDA</w:t>
        </w:r>
      </w:hyperlink>
    </w:p>
    <w:p w14:paraId="18D5CBA5" w14:textId="77C5A022" w:rsidR="003561EB" w:rsidRDefault="00DA18FC">
      <w:pPr>
        <w:pStyle w:val="FootnoteText"/>
      </w:pPr>
      <w:hyperlink r:id="rId34" w:history="1">
        <w:r w:rsidR="003561EB" w:rsidRPr="00DF6EEE">
          <w:rPr>
            <w:rStyle w:val="Hyperlink"/>
            <w:sz w:val="14"/>
            <w:szCs w:val="14"/>
          </w:rPr>
          <w:t>CFR - Code of Federal Regulations Title 21</w:t>
        </w:r>
      </w:hyperlink>
    </w:p>
  </w:footnote>
  <w:footnote w:id="69">
    <w:p w14:paraId="741F504A" w14:textId="0BAC2DF2" w:rsidR="008461AF" w:rsidRDefault="008461AF">
      <w:pPr>
        <w:pStyle w:val="FootnoteText"/>
      </w:pPr>
      <w:r w:rsidRPr="00422DE8">
        <w:rPr>
          <w:rStyle w:val="FootnoteReference"/>
          <w:sz w:val="14"/>
          <w:szCs w:val="14"/>
        </w:rPr>
        <w:footnoteRef/>
      </w:r>
      <w:r w:rsidRPr="00422DE8">
        <w:rPr>
          <w:sz w:val="14"/>
          <w:szCs w:val="14"/>
        </w:rPr>
        <w:t xml:space="preserve"> </w:t>
      </w:r>
      <w:r>
        <w:rPr>
          <w:sz w:val="14"/>
          <w:szCs w:val="14"/>
        </w:rPr>
        <w:t>As outlined by the ASQSC in their best practice guidance on effective incident management systems, accessible at:</w:t>
      </w:r>
      <w:r w:rsidRPr="000D470C">
        <w:t xml:space="preserve"> </w:t>
      </w:r>
      <w:hyperlink r:id="rId35" w:history="1">
        <w:r w:rsidRPr="0083038B">
          <w:rPr>
            <w:rStyle w:val="Hyperlink"/>
            <w:sz w:val="14"/>
            <w:szCs w:val="14"/>
          </w:rPr>
          <w:t>https://www.agedcarequality.gov.au/sites/default/files/media/effective-ims-guidance-august-2021.pdf</w:t>
        </w:r>
      </w:hyperlink>
      <w:r>
        <w:rPr>
          <w:sz w:val="14"/>
          <w:szCs w:val="14"/>
        </w:rPr>
        <w:t xml:space="preserve"> </w:t>
      </w:r>
    </w:p>
  </w:footnote>
  <w:footnote w:id="70">
    <w:p w14:paraId="5FBB8A2B" w14:textId="3C1A5D58" w:rsidR="008461AF" w:rsidRDefault="008461AF">
      <w:pPr>
        <w:pStyle w:val="FootnoteText"/>
      </w:pPr>
      <w:r w:rsidRPr="00422DE8">
        <w:rPr>
          <w:rStyle w:val="FootnoteReference"/>
          <w:sz w:val="14"/>
          <w:szCs w:val="14"/>
        </w:rPr>
        <w:footnoteRef/>
      </w:r>
      <w:r w:rsidRPr="00422DE8">
        <w:rPr>
          <w:sz w:val="14"/>
          <w:szCs w:val="14"/>
        </w:rPr>
        <w:t xml:space="preserve"> </w:t>
      </w:r>
      <w:r>
        <w:rPr>
          <w:sz w:val="14"/>
          <w:szCs w:val="14"/>
        </w:rPr>
        <w:t xml:space="preserve">A key example for why VSL has not been used in this instance is the data on reporting volumes post-implementation of new regulations in the US. In the 10 years post implementation the volume of reports increased almost 40-fold. In the same period, reported deaths increased by over 100-fold. It is likely new regulations improved the FDA’s ability to detect, assess and respond to potential medical device safety issues. However, there was not only a large increase in reported deaths, but a significant increase in reported deaths relative to reports. Device data for the US accessible at: </w:t>
      </w:r>
      <w:hyperlink r:id="rId36" w:history="1">
        <w:r w:rsidRPr="0083038B">
          <w:rPr>
            <w:rStyle w:val="Hyperlink"/>
            <w:sz w:val="14"/>
            <w:szCs w:val="14"/>
          </w:rPr>
          <w:t>https://www.fda.gov/medical-devices/medical-device-reporting-mdr-how-report-medical-device-problems/mdr-data-files</w:t>
        </w:r>
      </w:hyperlink>
      <w:r>
        <w:rPr>
          <w:sz w:val="14"/>
          <w:szCs w:val="14"/>
        </w:rPr>
        <w:t xml:space="preserve"> </w:t>
      </w:r>
    </w:p>
  </w:footnote>
  <w:footnote w:id="71">
    <w:p w14:paraId="42B2CC3D" w14:textId="3FA326F6" w:rsidR="008461AF" w:rsidRDefault="008461AF">
      <w:pPr>
        <w:pStyle w:val="FootnoteText"/>
      </w:pPr>
      <w:r w:rsidRPr="00422DE8">
        <w:rPr>
          <w:rStyle w:val="FootnoteReference"/>
          <w:sz w:val="14"/>
          <w:szCs w:val="14"/>
        </w:rPr>
        <w:footnoteRef/>
      </w:r>
      <w:r w:rsidRPr="00422DE8">
        <w:rPr>
          <w:sz w:val="14"/>
          <w:szCs w:val="14"/>
        </w:rPr>
        <w:t xml:space="preserve"> OIA, Regulatory Burden Measurement Framework, accessible at: </w:t>
      </w:r>
      <w:hyperlink r:id="rId37" w:history="1">
        <w:r w:rsidRPr="00422DE8">
          <w:rPr>
            <w:rStyle w:val="Hyperlink"/>
            <w:sz w:val="14"/>
            <w:szCs w:val="14"/>
          </w:rPr>
          <w:t>https://oia.pmc.gov.au/sites/default/files/2024-02/regulatory-burden-measurement-framework.pdf</w:t>
        </w:r>
      </w:hyperlink>
      <w:r w:rsidRPr="00422DE8">
        <w:rPr>
          <w:sz w:val="14"/>
          <w:szCs w:val="14"/>
        </w:rPr>
        <w:t xml:space="preserve"> </w:t>
      </w:r>
    </w:p>
  </w:footnote>
  <w:footnote w:id="72">
    <w:p w14:paraId="29886C9A" w14:textId="020575CB" w:rsidR="008461AF" w:rsidRDefault="008461AF">
      <w:pPr>
        <w:pStyle w:val="FootnoteText"/>
      </w:pPr>
      <w:r w:rsidRPr="00422DE8">
        <w:rPr>
          <w:rStyle w:val="FootnoteReference"/>
          <w:sz w:val="14"/>
          <w:szCs w:val="14"/>
        </w:rPr>
        <w:footnoteRef/>
      </w:r>
      <w:r w:rsidRPr="00422DE8">
        <w:rPr>
          <w:sz w:val="14"/>
          <w:szCs w:val="14"/>
        </w:rPr>
        <w:t xml:space="preserve"> </w:t>
      </w:r>
      <w:r>
        <w:rPr>
          <w:sz w:val="14"/>
          <w:szCs w:val="14"/>
        </w:rPr>
        <w:t xml:space="preserve">Costs to public sector is comprised of the implementation costs for public hospitals. While excluded from the RBE, we have included the estimated costs to the public sector due to the significant number of public </w:t>
      </w:r>
      <w:r w:rsidR="00D346FC">
        <w:rPr>
          <w:sz w:val="14"/>
          <w:szCs w:val="14"/>
        </w:rPr>
        <w:t>health</w:t>
      </w:r>
      <w:r>
        <w:rPr>
          <w:sz w:val="14"/>
          <w:szCs w:val="14"/>
        </w:rPr>
        <w:t xml:space="preserve"> facilities that will be impacted.</w:t>
      </w:r>
    </w:p>
  </w:footnote>
  <w:footnote w:id="73">
    <w:p w14:paraId="468B7D5D" w14:textId="24C3F908" w:rsidR="008461AF" w:rsidRDefault="008461AF">
      <w:pPr>
        <w:pStyle w:val="FootnoteText"/>
      </w:pPr>
      <w:r w:rsidRPr="00422DE8">
        <w:rPr>
          <w:rStyle w:val="FootnoteReference"/>
          <w:sz w:val="14"/>
          <w:szCs w:val="14"/>
        </w:rPr>
        <w:footnoteRef/>
      </w:r>
      <w:r w:rsidRPr="00422DE8">
        <w:rPr>
          <w:sz w:val="14"/>
          <w:szCs w:val="14"/>
        </w:rPr>
        <w:t xml:space="preserve"> </w:t>
      </w:r>
      <w:r>
        <w:rPr>
          <w:sz w:val="14"/>
          <w:szCs w:val="14"/>
        </w:rPr>
        <w:t>In additional to the public health risk, these incidents also present a significant financial liability to businesses (e.g., the $300 million Johnson &amp; Johnson settlement)</w:t>
      </w:r>
    </w:p>
  </w:footnote>
  <w:footnote w:id="74">
    <w:p w14:paraId="287AC19E" w14:textId="4CDB87C0" w:rsidR="008461AF" w:rsidRPr="00814791" w:rsidRDefault="008461AF">
      <w:pPr>
        <w:pStyle w:val="FootnoteText"/>
        <w:rPr>
          <w:sz w:val="14"/>
          <w:szCs w:val="14"/>
          <w:lang w:val="en-US"/>
        </w:rPr>
      </w:pPr>
      <w:r w:rsidRPr="00814791">
        <w:rPr>
          <w:rStyle w:val="FootnoteReference"/>
          <w:sz w:val="14"/>
          <w:szCs w:val="14"/>
        </w:rPr>
        <w:footnoteRef/>
      </w:r>
      <w:r w:rsidRPr="00814791">
        <w:rPr>
          <w:sz w:val="14"/>
          <w:szCs w:val="14"/>
        </w:rPr>
        <w:t xml:space="preserve"> </w:t>
      </w:r>
      <w:r w:rsidRPr="00814791">
        <w:rPr>
          <w:sz w:val="14"/>
          <w:szCs w:val="14"/>
          <w:lang w:val="en-US"/>
        </w:rPr>
        <w:t xml:space="preserve">Developing, triaging, assessing, escalating and responding to adverse event reports within local incident management systems is already part of BAU for the prescribed populations. Noting this, the implementation of mandatory reporting will need to consider what resources are required, in and above current BAU processes, to adhere to the mandated reporting requirements. </w:t>
      </w:r>
    </w:p>
  </w:footnote>
  <w:footnote w:id="75">
    <w:p w14:paraId="0841CBA0" w14:textId="3699F9DA" w:rsidR="008461AF" w:rsidRPr="00814791" w:rsidRDefault="008461AF">
      <w:pPr>
        <w:pStyle w:val="FootnoteText"/>
        <w:rPr>
          <w:sz w:val="14"/>
          <w:szCs w:val="14"/>
          <w:lang w:val="en-US"/>
        </w:rPr>
      </w:pPr>
      <w:r w:rsidRPr="00814791">
        <w:rPr>
          <w:rStyle w:val="FootnoteReference"/>
          <w:sz w:val="14"/>
          <w:szCs w:val="14"/>
        </w:rPr>
        <w:footnoteRef/>
      </w:r>
      <w:r w:rsidRPr="00814791">
        <w:rPr>
          <w:sz w:val="14"/>
          <w:szCs w:val="14"/>
        </w:rPr>
        <w:t xml:space="preserve"> </w:t>
      </w:r>
      <w:r w:rsidRPr="00814791">
        <w:rPr>
          <w:sz w:val="14"/>
          <w:szCs w:val="14"/>
          <w:lang w:val="en-US"/>
        </w:rPr>
        <w:t>While the costs and benefits for businesses (i.e., healthcare facilities) have been described for both public and private hospitals, they will be excluded for the purposes of the regulatory burden estimate as it falls under government-to-government regulation.</w:t>
      </w:r>
    </w:p>
  </w:footnote>
  <w:footnote w:id="76">
    <w:p w14:paraId="7995401A" w14:textId="6580C828" w:rsidR="008461AF" w:rsidRPr="00582F14" w:rsidRDefault="008461AF">
      <w:pPr>
        <w:pStyle w:val="FootnoteText"/>
        <w:rPr>
          <w:lang w:val="en-US"/>
        </w:rPr>
      </w:pPr>
      <w:r w:rsidRPr="00814791">
        <w:rPr>
          <w:rStyle w:val="FootnoteReference"/>
          <w:sz w:val="14"/>
          <w:szCs w:val="14"/>
        </w:rPr>
        <w:footnoteRef/>
      </w:r>
      <w:r w:rsidRPr="00814791">
        <w:rPr>
          <w:sz w:val="14"/>
          <w:szCs w:val="14"/>
        </w:rPr>
        <w:t xml:space="preserve"> </w:t>
      </w:r>
      <w:r w:rsidRPr="00814791">
        <w:rPr>
          <w:sz w:val="14"/>
          <w:szCs w:val="14"/>
          <w:lang w:val="en-US"/>
        </w:rPr>
        <w:t>The TGA expects implementation of mandatory reporting to correspond with an increase in frequency of reporting to the TGA by medical facilities. However, this is not estimated to be a significant increase as many entities will already be reporting to their respective jurisdictional health department, thereby exempting themselves from reporting to the TGA.</w:t>
      </w:r>
    </w:p>
  </w:footnote>
  <w:footnote w:id="77">
    <w:p w14:paraId="75C424F4" w14:textId="5213DB27" w:rsidR="008461AF" w:rsidRDefault="008461AF">
      <w:pPr>
        <w:pStyle w:val="FootnoteText"/>
      </w:pPr>
      <w:r w:rsidRPr="00422DE8">
        <w:rPr>
          <w:rStyle w:val="FootnoteReference"/>
          <w:sz w:val="14"/>
          <w:szCs w:val="14"/>
        </w:rPr>
        <w:footnoteRef/>
      </w:r>
      <w:r w:rsidRPr="00422DE8">
        <w:rPr>
          <w:sz w:val="14"/>
          <w:szCs w:val="14"/>
        </w:rPr>
        <w:t xml:space="preserve"> </w:t>
      </w:r>
      <w:r>
        <w:rPr>
          <w:sz w:val="14"/>
          <w:szCs w:val="14"/>
        </w:rPr>
        <w:t xml:space="preserve">In line with the </w:t>
      </w:r>
      <w:r w:rsidRPr="00442FFA">
        <w:rPr>
          <w:sz w:val="14"/>
          <w:szCs w:val="14"/>
        </w:rPr>
        <w:t>OIA</w:t>
      </w:r>
      <w:r>
        <w:rPr>
          <w:sz w:val="14"/>
          <w:szCs w:val="14"/>
        </w:rPr>
        <w:t>’s</w:t>
      </w:r>
      <w:r w:rsidRPr="00442FFA">
        <w:rPr>
          <w:sz w:val="14"/>
          <w:szCs w:val="14"/>
        </w:rPr>
        <w:t xml:space="preserve"> Regulatory Burden Measurement Framework, accessible at: </w:t>
      </w:r>
      <w:hyperlink r:id="rId38" w:history="1">
        <w:r w:rsidRPr="0083038B">
          <w:rPr>
            <w:rStyle w:val="Hyperlink"/>
            <w:sz w:val="14"/>
            <w:szCs w:val="14"/>
          </w:rPr>
          <w:t>https://oia.pmc.gov.au/sites/default/files/2024-02/regulatory-burden-measurement-framework.pdf</w:t>
        </w:r>
      </w:hyperlink>
      <w:r>
        <w:rPr>
          <w:sz w:val="14"/>
          <w:szCs w:val="14"/>
        </w:rPr>
        <w:t xml:space="preserve"> </w:t>
      </w:r>
    </w:p>
  </w:footnote>
  <w:footnote w:id="78">
    <w:p w14:paraId="3D8BE511" w14:textId="47CA1776" w:rsidR="008461AF" w:rsidRDefault="008461AF">
      <w:pPr>
        <w:pStyle w:val="FootnoteText"/>
      </w:pPr>
      <w:r w:rsidRPr="00422DE8">
        <w:rPr>
          <w:rStyle w:val="FootnoteReference"/>
          <w:sz w:val="14"/>
          <w:szCs w:val="14"/>
        </w:rPr>
        <w:footnoteRef/>
      </w:r>
      <w:r w:rsidRPr="00422DE8">
        <w:rPr>
          <w:sz w:val="14"/>
          <w:szCs w:val="14"/>
        </w:rPr>
        <w:t xml:space="preserve"> </w:t>
      </w:r>
      <w:r>
        <w:rPr>
          <w:sz w:val="14"/>
          <w:szCs w:val="14"/>
        </w:rPr>
        <w:t>Evidence and logic for estimation is outlined at Appendix B.</w:t>
      </w:r>
    </w:p>
  </w:footnote>
  <w:footnote w:id="79">
    <w:p w14:paraId="6649B68B" w14:textId="7220E52C" w:rsidR="008461AF" w:rsidRPr="00D5482C" w:rsidRDefault="008461AF">
      <w:pPr>
        <w:pStyle w:val="FootnoteText"/>
        <w:rPr>
          <w:sz w:val="14"/>
          <w:szCs w:val="14"/>
          <w:lang w:val="en-US"/>
        </w:rPr>
      </w:pPr>
      <w:r w:rsidRPr="00D5482C">
        <w:rPr>
          <w:rStyle w:val="FootnoteReference"/>
          <w:sz w:val="14"/>
          <w:szCs w:val="14"/>
        </w:rPr>
        <w:footnoteRef/>
      </w:r>
      <w:r w:rsidRPr="00D5482C">
        <w:rPr>
          <w:sz w:val="14"/>
          <w:szCs w:val="14"/>
        </w:rPr>
        <w:t xml:space="preserve"> </w:t>
      </w:r>
      <w:r w:rsidRPr="00D5482C">
        <w:rPr>
          <w:sz w:val="14"/>
          <w:szCs w:val="14"/>
          <w:lang w:val="en-US"/>
        </w:rPr>
        <w:t>Public healthcare facility costs are excluded as they fall under government-to-government regulation. Which includes all regulation imposed by the Commonwealth on Australian Government, state and territory government, local government and foreign government departments or agencies, and all of their employees where regulation is imposed on them as part of their employment.</w:t>
      </w:r>
    </w:p>
  </w:footnote>
  <w:footnote w:id="80">
    <w:p w14:paraId="61CF88E1" w14:textId="7C53D8A2" w:rsidR="00AC158D" w:rsidRDefault="00AC158D">
      <w:pPr>
        <w:pStyle w:val="FootnoteText"/>
        <w:rPr>
          <w:rStyle w:val="Hyperlink"/>
          <w:sz w:val="14"/>
          <w:szCs w:val="14"/>
        </w:rPr>
      </w:pPr>
      <w:r w:rsidRPr="001B34CA">
        <w:rPr>
          <w:rStyle w:val="FootnoteReference"/>
          <w:sz w:val="14"/>
          <w:szCs w:val="14"/>
        </w:rPr>
        <w:footnoteRef/>
      </w:r>
      <w:r w:rsidRPr="001B34CA">
        <w:rPr>
          <w:sz w:val="14"/>
          <w:szCs w:val="14"/>
        </w:rPr>
        <w:t xml:space="preserve"> </w:t>
      </w:r>
      <w:hyperlink r:id="rId39" w:history="1">
        <w:r w:rsidRPr="001B34CA">
          <w:rPr>
            <w:rStyle w:val="Hyperlink"/>
            <w:sz w:val="14"/>
            <w:szCs w:val="14"/>
          </w:rPr>
          <w:t>https://www.aph.gov.au/Parliamentary_Business/Committees/Senate/Community_Affairs/MeshImplants/Submissions</w:t>
        </w:r>
      </w:hyperlink>
    </w:p>
    <w:p w14:paraId="704388E5" w14:textId="1D88DEDA" w:rsidR="005D618B" w:rsidRPr="001B34CA" w:rsidRDefault="00DA18FC" w:rsidP="001B34CA">
      <w:pPr>
        <w:rPr>
          <w:sz w:val="14"/>
          <w:szCs w:val="14"/>
        </w:rPr>
      </w:pPr>
      <w:hyperlink r:id="rId40" w:history="1">
        <w:r w:rsidR="00793D30" w:rsidRPr="001B34CA">
          <w:rPr>
            <w:rStyle w:val="Hyperlink"/>
            <w:sz w:val="14"/>
            <w:szCs w:val="14"/>
          </w:rPr>
          <w:t>https://www.aph.gov.au/Parliamentary_Business/Committees/Senate/Community_Affairs/MeshImplants/Public_Hearings</w:t>
        </w:r>
      </w:hyperlink>
      <w:r w:rsidR="00793D30" w:rsidRPr="001B34CA">
        <w:rPr>
          <w:sz w:val="14"/>
          <w:szCs w:val="14"/>
        </w:rPr>
        <w:t xml:space="preserve"> </w:t>
      </w:r>
    </w:p>
  </w:footnote>
  <w:footnote w:id="81">
    <w:p w14:paraId="5C868D44" w14:textId="77777777" w:rsidR="008461AF" w:rsidRPr="00F3751D" w:rsidRDefault="008461AF" w:rsidP="007344E9">
      <w:pPr>
        <w:pStyle w:val="FootnoteText"/>
        <w:rPr>
          <w:sz w:val="14"/>
          <w:szCs w:val="14"/>
        </w:rPr>
      </w:pPr>
      <w:r w:rsidRPr="00F3751D">
        <w:rPr>
          <w:rStyle w:val="FootnoteReference"/>
          <w:sz w:val="14"/>
          <w:szCs w:val="14"/>
        </w:rPr>
        <w:footnoteRef/>
      </w:r>
      <w:r w:rsidRPr="00F3751D">
        <w:rPr>
          <w:sz w:val="14"/>
          <w:szCs w:val="14"/>
        </w:rPr>
        <w:t xml:space="preserve"> https://www.tga.gov.au/medical-devices-reforms-enhancements-post-market-monitoring</w:t>
      </w:r>
    </w:p>
  </w:footnote>
  <w:footnote w:id="82">
    <w:p w14:paraId="023FF1CE" w14:textId="58CAD9E0" w:rsidR="008461AF" w:rsidRDefault="008461AF">
      <w:pPr>
        <w:pStyle w:val="FootnoteText"/>
      </w:pPr>
      <w:r w:rsidRPr="00B769F2">
        <w:rPr>
          <w:rStyle w:val="FootnoteReference"/>
          <w:sz w:val="14"/>
          <w:szCs w:val="14"/>
        </w:rPr>
        <w:footnoteRef/>
      </w:r>
      <w:r w:rsidRPr="00B769F2">
        <w:rPr>
          <w:sz w:val="14"/>
          <w:szCs w:val="14"/>
        </w:rPr>
        <w:t xml:space="preserve"> TGA, Potential for mandatory reporting of medical device adverse events by healthcare facilities: discussion paper, available at: </w:t>
      </w:r>
      <w:hyperlink r:id="rId41" w:history="1">
        <w:r w:rsidRPr="00B769F2">
          <w:rPr>
            <w:rStyle w:val="Hyperlink"/>
            <w:sz w:val="14"/>
            <w:szCs w:val="14"/>
          </w:rPr>
          <w:t>https://consultations.tga.gov.au/tga/potential-for-mandatory-reporting-of-medical-devic/supporting_documents/Discussion%20paper%20Potential%20for%20Mandatory%20Reporting%20of%20Medical%20Device%20Adverse%20Events%20by%20Healthcare%20Facilities%20in%20Australia.pdf</w:t>
        </w:r>
      </w:hyperlink>
      <w:r>
        <w:rPr>
          <w:sz w:val="14"/>
          <w:szCs w:val="14"/>
        </w:rPr>
        <w:t xml:space="preserve"> </w:t>
      </w:r>
    </w:p>
  </w:footnote>
  <w:footnote w:id="83">
    <w:p w14:paraId="138AA1DC" w14:textId="1499FB70" w:rsidR="008461AF" w:rsidRPr="00CE7DC4" w:rsidRDefault="008461AF">
      <w:pPr>
        <w:pStyle w:val="FootnoteText"/>
        <w:rPr>
          <w:sz w:val="16"/>
          <w:szCs w:val="16"/>
          <w:lang w:val="en-US"/>
        </w:rPr>
      </w:pPr>
      <w:r w:rsidRPr="00CE7DC4">
        <w:rPr>
          <w:rStyle w:val="FootnoteReference"/>
          <w:sz w:val="14"/>
          <w:szCs w:val="14"/>
        </w:rPr>
        <w:footnoteRef/>
      </w:r>
      <w:r w:rsidRPr="00CE7DC4">
        <w:rPr>
          <w:sz w:val="14"/>
          <w:szCs w:val="14"/>
        </w:rPr>
        <w:t xml:space="preserve"> </w:t>
      </w:r>
      <w:r w:rsidRPr="00CE7DC4">
        <w:rPr>
          <w:sz w:val="14"/>
          <w:szCs w:val="14"/>
          <w:lang w:val="en-US"/>
        </w:rPr>
        <w:t xml:space="preserve">Therapeutic Goods Administration, </w:t>
      </w:r>
      <w:r w:rsidRPr="00CE7DC4">
        <w:rPr>
          <w:i/>
          <w:iCs/>
          <w:sz w:val="14"/>
          <w:szCs w:val="14"/>
          <w:lang w:val="en-US"/>
        </w:rPr>
        <w:t>Discussion paper feedback – Analysis Report – Potential for Mandatory Reporting by Medical Device Adverse Events by Healthcare Facilities in Australia</w:t>
      </w:r>
      <w:r w:rsidRPr="00CE7DC4">
        <w:rPr>
          <w:sz w:val="14"/>
          <w:szCs w:val="14"/>
          <w:lang w:val="en-US"/>
        </w:rPr>
        <w:t>, February 2022, p.5</w:t>
      </w:r>
      <w:r w:rsidRPr="00CE7DC4">
        <w:rPr>
          <w:i/>
          <w:iCs/>
          <w:sz w:val="14"/>
          <w:szCs w:val="14"/>
          <w:lang w:val="en-US"/>
        </w:rPr>
        <w:t xml:space="preserve"> </w:t>
      </w:r>
      <w:r w:rsidRPr="00CE7DC4">
        <w:rPr>
          <w:sz w:val="14"/>
          <w:szCs w:val="14"/>
          <w:lang w:val="en-US"/>
        </w:rPr>
        <w:t xml:space="preserve">(not publicly released). </w:t>
      </w:r>
    </w:p>
  </w:footnote>
  <w:footnote w:id="84">
    <w:p w14:paraId="4455957E" w14:textId="03CA7134" w:rsidR="008461AF" w:rsidRPr="00422DE8" w:rsidRDefault="008461AF">
      <w:pPr>
        <w:pStyle w:val="FootnoteText"/>
        <w:rPr>
          <w:sz w:val="14"/>
          <w:szCs w:val="14"/>
        </w:rPr>
      </w:pPr>
      <w:r w:rsidRPr="00422DE8">
        <w:rPr>
          <w:rStyle w:val="FootnoteReference"/>
          <w:sz w:val="14"/>
          <w:szCs w:val="14"/>
        </w:rPr>
        <w:footnoteRef/>
      </w:r>
      <w:r w:rsidRPr="00422DE8">
        <w:rPr>
          <w:sz w:val="14"/>
          <w:szCs w:val="14"/>
        </w:rPr>
        <w:t xml:space="preserve"> https://www.tga.gov.au/about-tga/advisory-bodies-and-committees/regulatory-and-technical-consultative-forum-medical-devices-regtech-forum</w:t>
      </w:r>
    </w:p>
  </w:footnote>
  <w:footnote w:id="85">
    <w:p w14:paraId="3EE4920B" w14:textId="77777777" w:rsidR="008461AF" w:rsidRPr="00582F14" w:rsidRDefault="008461AF" w:rsidP="00D33F92">
      <w:pPr>
        <w:pStyle w:val="FootnoteText"/>
        <w:rPr>
          <w:lang w:val="en-US"/>
        </w:rPr>
      </w:pPr>
      <w:r w:rsidRPr="00CE7DC4">
        <w:rPr>
          <w:rStyle w:val="FootnoteReference"/>
          <w:sz w:val="14"/>
          <w:szCs w:val="14"/>
        </w:rPr>
        <w:footnoteRef/>
      </w:r>
      <w:r w:rsidRPr="00CE7DC4">
        <w:rPr>
          <w:sz w:val="14"/>
          <w:szCs w:val="14"/>
        </w:rPr>
        <w:t xml:space="preserve"> </w:t>
      </w:r>
      <w:r w:rsidRPr="00CE7DC4">
        <w:rPr>
          <w:sz w:val="14"/>
          <w:szCs w:val="14"/>
          <w:lang w:val="en-US"/>
        </w:rPr>
        <w:t>Eligible public and private hospitals account for 1,329 entities. The addition of residential aged care facilities will increase this number by 2,640 entities, representing roughly a 200% increase.</w:t>
      </w:r>
    </w:p>
  </w:footnote>
  <w:footnote w:id="86">
    <w:p w14:paraId="37D17387" w14:textId="77777777" w:rsidR="008461AF" w:rsidRPr="002C1E29" w:rsidRDefault="008461AF" w:rsidP="00FE5255">
      <w:pPr>
        <w:pStyle w:val="FootnoteText"/>
        <w:rPr>
          <w:sz w:val="14"/>
          <w:szCs w:val="14"/>
        </w:rPr>
      </w:pPr>
      <w:r w:rsidRPr="002C1E29">
        <w:rPr>
          <w:rStyle w:val="FootnoteReference"/>
          <w:sz w:val="14"/>
          <w:szCs w:val="14"/>
        </w:rPr>
        <w:footnoteRef/>
      </w:r>
      <w:r w:rsidRPr="002C1E29">
        <w:rPr>
          <w:sz w:val="14"/>
          <w:szCs w:val="14"/>
        </w:rPr>
        <w:t xml:space="preserve"> Data exchange is dependent on the development and implementation of IT upgrades at the TGA, jurisdictions and healthcare facilities.</w:t>
      </w:r>
    </w:p>
  </w:footnote>
  <w:footnote w:id="87">
    <w:p w14:paraId="18ABEE73" w14:textId="768B571B" w:rsidR="008461AF" w:rsidRPr="0079175B" w:rsidRDefault="008461AF" w:rsidP="008E3975">
      <w:pPr>
        <w:pStyle w:val="FootnoteText"/>
        <w:rPr>
          <w:sz w:val="18"/>
          <w:szCs w:val="18"/>
          <w:lang w:val="en-US"/>
        </w:rPr>
      </w:pPr>
      <w:r w:rsidRPr="00CE7DC4">
        <w:rPr>
          <w:rStyle w:val="FootnoteReference"/>
          <w:sz w:val="14"/>
          <w:szCs w:val="14"/>
        </w:rPr>
        <w:footnoteRef/>
      </w:r>
      <w:r w:rsidRPr="00CE7DC4">
        <w:rPr>
          <w:sz w:val="14"/>
          <w:szCs w:val="14"/>
        </w:rPr>
        <w:t xml:space="preserve"> The Commission, ‘The NSQHS Standards’, available at:</w:t>
      </w:r>
      <w:r>
        <w:rPr>
          <w:sz w:val="14"/>
          <w:szCs w:val="14"/>
        </w:rPr>
        <w:t xml:space="preserve"> </w:t>
      </w:r>
      <w:hyperlink r:id="rId42" w:history="1">
        <w:r w:rsidRPr="00CE7DC4">
          <w:rPr>
            <w:rStyle w:val="Hyperlink"/>
            <w:sz w:val="14"/>
            <w:szCs w:val="14"/>
          </w:rPr>
          <w:t>https://www.safetyandquality.gov.au/standards/nsqhs-standards</w:t>
        </w:r>
      </w:hyperlink>
    </w:p>
  </w:footnote>
  <w:footnote w:id="88">
    <w:p w14:paraId="16E782B4" w14:textId="77777777" w:rsidR="008461AF" w:rsidRPr="00CE7DC4" w:rsidRDefault="008461AF" w:rsidP="008E3975">
      <w:pPr>
        <w:pStyle w:val="FootnoteText"/>
        <w:rPr>
          <w:sz w:val="14"/>
          <w:szCs w:val="14"/>
        </w:rPr>
      </w:pPr>
      <w:r w:rsidRPr="00CE7DC4">
        <w:rPr>
          <w:rStyle w:val="FootnoteReference"/>
          <w:sz w:val="14"/>
          <w:szCs w:val="14"/>
        </w:rPr>
        <w:footnoteRef/>
      </w:r>
      <w:r w:rsidRPr="00CE7DC4">
        <w:rPr>
          <w:sz w:val="14"/>
          <w:szCs w:val="14"/>
        </w:rPr>
        <w:t xml:space="preserve"> Australian Commission on Safety and Quality in Health Care, National Safety and Quality Health Service Standards, 2nd edition, 2021, available at:</w:t>
      </w:r>
    </w:p>
    <w:p w14:paraId="4A8DED76" w14:textId="77777777" w:rsidR="008461AF" w:rsidRPr="00CE7DC4" w:rsidRDefault="00DA18FC" w:rsidP="008E3975">
      <w:pPr>
        <w:pStyle w:val="FootnoteText"/>
        <w:rPr>
          <w:sz w:val="14"/>
          <w:szCs w:val="14"/>
          <w:lang w:val="en-US"/>
        </w:rPr>
      </w:pPr>
      <w:hyperlink r:id="rId43" w:history="1">
        <w:r w:rsidR="008461AF" w:rsidRPr="00CE7DC4">
          <w:rPr>
            <w:rStyle w:val="Hyperlink"/>
            <w:sz w:val="14"/>
            <w:szCs w:val="14"/>
          </w:rPr>
          <w:t>https://www.safetyandquality.gov.au/sites/default/files/2021-05/national_safety_and_quality_health_service_nsqhs_standards_second_edition_-_updated_may_2021.pdf</w:t>
        </w:r>
      </w:hyperlink>
    </w:p>
  </w:footnote>
  <w:footnote w:id="89">
    <w:p w14:paraId="754FBB69" w14:textId="77777777" w:rsidR="008461AF" w:rsidRPr="00CE7DC4" w:rsidRDefault="008461AF" w:rsidP="00F97855">
      <w:pPr>
        <w:pStyle w:val="FootnoteText"/>
        <w:rPr>
          <w:sz w:val="14"/>
          <w:szCs w:val="14"/>
        </w:rPr>
      </w:pPr>
      <w:r w:rsidRPr="00CE7DC4">
        <w:rPr>
          <w:rStyle w:val="FootnoteReference"/>
          <w:sz w:val="14"/>
          <w:szCs w:val="14"/>
        </w:rPr>
        <w:footnoteRef/>
      </w:r>
      <w:r w:rsidRPr="00CE7DC4">
        <w:rPr>
          <w:sz w:val="14"/>
          <w:szCs w:val="14"/>
        </w:rPr>
        <w:t xml:space="preserve"> Australian Commission on Safety and Quality in Health Care, National Safety and Quality Health Service Standards, 2nd edition, 2021, available at: </w:t>
      </w:r>
    </w:p>
    <w:p w14:paraId="37269AFA" w14:textId="34F24472" w:rsidR="008461AF" w:rsidRPr="00CE7DC4" w:rsidRDefault="00DA18FC" w:rsidP="00F97855">
      <w:pPr>
        <w:pStyle w:val="FootnoteText"/>
        <w:rPr>
          <w:sz w:val="14"/>
          <w:szCs w:val="14"/>
        </w:rPr>
      </w:pPr>
      <w:hyperlink r:id="rId44" w:history="1">
        <w:r w:rsidR="008461AF" w:rsidRPr="00CE7DC4">
          <w:rPr>
            <w:rStyle w:val="Hyperlink"/>
            <w:sz w:val="14"/>
            <w:szCs w:val="14"/>
          </w:rPr>
          <w:t>https://www.safetyandquality.gov.au/sites/default/files/2021-05/national_safety_and_quality_health_service_nsqhs_standards_second_edition_-_updated_may_2021.pdf</w:t>
        </w:r>
      </w:hyperlink>
    </w:p>
  </w:footnote>
  <w:footnote w:id="90">
    <w:p w14:paraId="0BC8FC02" w14:textId="683BCC12" w:rsidR="008461AF" w:rsidRPr="00422DE8" w:rsidRDefault="008461AF">
      <w:pPr>
        <w:pStyle w:val="FootnoteText"/>
        <w:rPr>
          <w:sz w:val="14"/>
          <w:szCs w:val="14"/>
        </w:rPr>
      </w:pPr>
      <w:r w:rsidRPr="00422DE8">
        <w:rPr>
          <w:rStyle w:val="FootnoteReference"/>
          <w:sz w:val="14"/>
          <w:szCs w:val="14"/>
        </w:rPr>
        <w:footnoteRef/>
      </w:r>
      <w:r w:rsidRPr="00422DE8">
        <w:rPr>
          <w:sz w:val="14"/>
          <w:szCs w:val="14"/>
        </w:rPr>
        <w:t xml:space="preserve"> Australian Government Treasury, </w:t>
      </w:r>
      <w:r w:rsidRPr="00422DE8">
        <w:rPr>
          <w:i/>
          <w:iCs/>
          <w:sz w:val="14"/>
          <w:szCs w:val="14"/>
        </w:rPr>
        <w:t xml:space="preserve">Commonwealth Evaluation Policy, </w:t>
      </w:r>
      <w:r w:rsidRPr="00422DE8">
        <w:rPr>
          <w:sz w:val="14"/>
          <w:szCs w:val="14"/>
        </w:rPr>
        <w:t xml:space="preserve">accessible at: </w:t>
      </w:r>
      <w:hyperlink r:id="rId45" w:history="1">
        <w:r w:rsidRPr="00422DE8">
          <w:rPr>
            <w:rStyle w:val="Hyperlink"/>
            <w:sz w:val="14"/>
            <w:szCs w:val="14"/>
          </w:rPr>
          <w:t>https://evaluation.treasury.gov.au/about/commonwealth-evaluation-policy</w:t>
        </w:r>
      </w:hyperlink>
      <w:r w:rsidRPr="00422DE8">
        <w:rPr>
          <w:sz w:val="14"/>
          <w:szCs w:val="14"/>
        </w:rPr>
        <w:t xml:space="preserve"> </w:t>
      </w:r>
    </w:p>
  </w:footnote>
  <w:footnote w:id="91">
    <w:p w14:paraId="14AE921C" w14:textId="0D75D9BD" w:rsidR="008461AF" w:rsidRPr="00FF2A54" w:rsidRDefault="008461AF">
      <w:pPr>
        <w:pStyle w:val="FootnoteText"/>
      </w:pPr>
      <w:r w:rsidRPr="00422DE8">
        <w:rPr>
          <w:rStyle w:val="FootnoteReference"/>
          <w:sz w:val="14"/>
          <w:szCs w:val="14"/>
        </w:rPr>
        <w:footnoteRef/>
      </w:r>
      <w:r w:rsidRPr="00422DE8">
        <w:rPr>
          <w:sz w:val="14"/>
          <w:szCs w:val="14"/>
        </w:rPr>
        <w:t xml:space="preserve"> Australian Government Treasury, </w:t>
      </w:r>
      <w:r w:rsidRPr="00422DE8">
        <w:rPr>
          <w:i/>
          <w:iCs/>
          <w:sz w:val="14"/>
          <w:szCs w:val="14"/>
        </w:rPr>
        <w:t xml:space="preserve">Evaluation in the Commonwealth </w:t>
      </w:r>
      <w:r>
        <w:rPr>
          <w:i/>
          <w:iCs/>
          <w:sz w:val="14"/>
          <w:szCs w:val="14"/>
        </w:rPr>
        <w:t>R</w:t>
      </w:r>
      <w:r w:rsidRPr="00422DE8">
        <w:rPr>
          <w:i/>
          <w:iCs/>
          <w:sz w:val="14"/>
          <w:szCs w:val="14"/>
        </w:rPr>
        <w:t xml:space="preserve">MG 130), </w:t>
      </w:r>
      <w:r w:rsidRPr="00422DE8">
        <w:rPr>
          <w:sz w:val="14"/>
          <w:szCs w:val="14"/>
        </w:rPr>
        <w:t xml:space="preserve">accessible at: </w:t>
      </w:r>
      <w:hyperlink r:id="rId46" w:history="1">
        <w:r w:rsidRPr="00422DE8">
          <w:rPr>
            <w:rStyle w:val="Hyperlink"/>
            <w:sz w:val="14"/>
            <w:szCs w:val="14"/>
          </w:rPr>
          <w:t>https://www.finance.gov.au/government/managing-commonwealth-resources/planning-and-reporting/commonwealth-performance-framework/evaluation-commonwealth-rmg-130</w:t>
        </w:r>
      </w:hyperlink>
      <w:r>
        <w:t xml:space="preserve"> </w:t>
      </w:r>
    </w:p>
  </w:footnote>
  <w:footnote w:id="92">
    <w:p w14:paraId="4A7E65B8" w14:textId="4F812238" w:rsidR="008461AF" w:rsidRPr="00CE7DC4" w:rsidRDefault="008461AF">
      <w:pPr>
        <w:pStyle w:val="FootnoteText"/>
        <w:rPr>
          <w:sz w:val="14"/>
          <w:szCs w:val="14"/>
        </w:rPr>
      </w:pPr>
      <w:r w:rsidRPr="00CE7DC4">
        <w:rPr>
          <w:rStyle w:val="FootnoteReference"/>
          <w:sz w:val="14"/>
          <w:szCs w:val="14"/>
        </w:rPr>
        <w:footnoteRef/>
      </w:r>
      <w:r w:rsidRPr="00CE7DC4">
        <w:rPr>
          <w:sz w:val="14"/>
          <w:szCs w:val="14"/>
        </w:rPr>
        <w:t xml:space="preserve"> The term ‘administrative staff’ is being used to describe non-managerial staff that may be involved in the report creation, review and submission process. This category covers health care and social assistance staff (e.g., nurses, hospital clerks and general hospital administration staff).</w:t>
      </w:r>
    </w:p>
  </w:footnote>
  <w:footnote w:id="93">
    <w:p w14:paraId="1890A587" w14:textId="42B08B23" w:rsidR="008461AF" w:rsidRPr="00CE7DC4" w:rsidRDefault="008461AF">
      <w:pPr>
        <w:pStyle w:val="FootnoteText"/>
        <w:rPr>
          <w:sz w:val="14"/>
          <w:szCs w:val="14"/>
        </w:rPr>
      </w:pPr>
      <w:r w:rsidRPr="00CE7DC4">
        <w:rPr>
          <w:rStyle w:val="FootnoteReference"/>
          <w:sz w:val="14"/>
          <w:szCs w:val="14"/>
        </w:rPr>
        <w:footnoteRef/>
      </w:r>
      <w:r w:rsidRPr="00CE7DC4">
        <w:rPr>
          <w:sz w:val="14"/>
          <w:szCs w:val="14"/>
        </w:rPr>
        <w:t xml:space="preserve"> The term ‘management staff’ has been used to describe medical professionals that may be involved in the report creation, review and submission process (e.g., doctors, hospital expert panels, clinical management and IMS staff etc.).</w:t>
      </w:r>
    </w:p>
  </w:footnote>
  <w:footnote w:id="94">
    <w:p w14:paraId="1DB7C115" w14:textId="6751A7B1" w:rsidR="008461AF" w:rsidRPr="00847E39" w:rsidRDefault="008461AF">
      <w:pPr>
        <w:pStyle w:val="FootnoteText"/>
        <w:rPr>
          <w:sz w:val="14"/>
          <w:szCs w:val="14"/>
        </w:rPr>
      </w:pPr>
      <w:r w:rsidRPr="00847E39">
        <w:rPr>
          <w:rStyle w:val="FootnoteReference"/>
          <w:sz w:val="14"/>
          <w:szCs w:val="14"/>
        </w:rPr>
        <w:footnoteRef/>
      </w:r>
      <w:r w:rsidRPr="00847E39">
        <w:rPr>
          <w:sz w:val="14"/>
          <w:szCs w:val="14"/>
        </w:rPr>
        <w:t xml:space="preserve"> 10,000 </w:t>
      </w:r>
      <w:r>
        <w:rPr>
          <w:sz w:val="14"/>
          <w:szCs w:val="14"/>
        </w:rPr>
        <w:t xml:space="preserve">medical </w:t>
      </w:r>
      <w:r w:rsidRPr="00847E39">
        <w:rPr>
          <w:sz w:val="14"/>
          <w:szCs w:val="14"/>
        </w:rPr>
        <w:t>device incident reports</w:t>
      </w:r>
      <w:r>
        <w:rPr>
          <w:sz w:val="14"/>
          <w:szCs w:val="14"/>
        </w:rPr>
        <w:t xml:space="preserve"> were reported to the TGA</w:t>
      </w:r>
      <w:r w:rsidRPr="00847E39">
        <w:rPr>
          <w:sz w:val="14"/>
          <w:szCs w:val="14"/>
        </w:rPr>
        <w:t xml:space="preserve"> in 2023-2024 FY</w:t>
      </w:r>
    </w:p>
  </w:footnote>
  <w:footnote w:id="95">
    <w:p w14:paraId="3D5A8588" w14:textId="00173E65" w:rsidR="008461AF" w:rsidRPr="00CE7DC4" w:rsidRDefault="008461AF">
      <w:pPr>
        <w:pStyle w:val="FootnoteText"/>
        <w:rPr>
          <w:i/>
          <w:iCs/>
          <w:sz w:val="14"/>
          <w:szCs w:val="14"/>
          <w:lang w:val="en-US"/>
        </w:rPr>
      </w:pPr>
      <w:r w:rsidRPr="00CE7DC4">
        <w:rPr>
          <w:rStyle w:val="FootnoteReference"/>
          <w:sz w:val="14"/>
          <w:szCs w:val="14"/>
        </w:rPr>
        <w:footnoteRef/>
      </w:r>
      <w:r w:rsidRPr="00CE7DC4">
        <w:rPr>
          <w:sz w:val="14"/>
          <w:szCs w:val="14"/>
        </w:rPr>
        <w:t xml:space="preserve"> </w:t>
      </w:r>
      <w:r w:rsidRPr="00CE7DC4">
        <w:rPr>
          <w:sz w:val="14"/>
          <w:szCs w:val="14"/>
          <w:lang w:val="en-US"/>
        </w:rPr>
        <w:t xml:space="preserve">As amended via the </w:t>
      </w:r>
      <w:r w:rsidRPr="00CE7DC4">
        <w:rPr>
          <w:i/>
          <w:iCs/>
          <w:sz w:val="14"/>
          <w:szCs w:val="14"/>
          <w:lang w:val="en-US"/>
        </w:rPr>
        <w:t>Therapeutic Goods Amendment (2022 Measures No.1) Act 2023.</w:t>
      </w:r>
    </w:p>
  </w:footnote>
  <w:footnote w:id="96">
    <w:p w14:paraId="39FC6F01" w14:textId="46E2DCB8" w:rsidR="008461AF" w:rsidRPr="00CE7DC4" w:rsidRDefault="008461AF">
      <w:pPr>
        <w:pStyle w:val="FootnoteText"/>
        <w:rPr>
          <w:sz w:val="14"/>
          <w:szCs w:val="14"/>
          <w:lang w:val="en-US"/>
        </w:rPr>
      </w:pPr>
      <w:r w:rsidRPr="00CE7DC4">
        <w:rPr>
          <w:rStyle w:val="FootnoteReference"/>
          <w:sz w:val="14"/>
          <w:szCs w:val="14"/>
        </w:rPr>
        <w:footnoteRef/>
      </w:r>
      <w:r w:rsidRPr="00CE7DC4">
        <w:rPr>
          <w:sz w:val="14"/>
          <w:szCs w:val="14"/>
        </w:rPr>
        <w:t xml:space="preserve"> The legislated authority for the Minister to make the declaration is under s.121-5(6). Section 121-5(8) requires a statement categorising the hospital as either public or private. </w:t>
      </w:r>
    </w:p>
  </w:footnote>
  <w:footnote w:id="97">
    <w:p w14:paraId="634EE5D0" w14:textId="54050199" w:rsidR="008461AF" w:rsidRPr="00CE7DC4" w:rsidRDefault="008461AF" w:rsidP="00B21F5F">
      <w:pPr>
        <w:pStyle w:val="FootnoteText"/>
        <w:rPr>
          <w:sz w:val="14"/>
          <w:szCs w:val="14"/>
        </w:rPr>
      </w:pPr>
      <w:r w:rsidRPr="00CE7DC4">
        <w:rPr>
          <w:rStyle w:val="FootnoteReference"/>
          <w:sz w:val="14"/>
          <w:szCs w:val="14"/>
        </w:rPr>
        <w:footnoteRef/>
      </w:r>
      <w:r w:rsidRPr="00CE7DC4">
        <w:rPr>
          <w:sz w:val="14"/>
          <w:szCs w:val="14"/>
        </w:rPr>
        <w:t xml:space="preserve"> State and territory governments license and regulate all facilities that have been declared as hospitals for health insurance business. Hospitals must also be accredited against the National Safety and Quality Health Service Standards. Facilities must supply supporting evidence to help the Minister decide whether to declare them a hospital for private health insurance business. This evidence includes a copy of their state or territory hospital licence and a copy of their accreditation certificate, or evidence that they have applied for accreditation. </w:t>
      </w:r>
    </w:p>
  </w:footnote>
  <w:footnote w:id="98">
    <w:p w14:paraId="6D5B8E95" w14:textId="61539F4A" w:rsidR="008461AF" w:rsidRPr="00CE7DC4" w:rsidRDefault="008461AF">
      <w:pPr>
        <w:pStyle w:val="FootnoteText"/>
        <w:rPr>
          <w:sz w:val="14"/>
          <w:szCs w:val="14"/>
          <w:lang w:val="en-US"/>
        </w:rPr>
      </w:pPr>
      <w:r w:rsidRPr="00CE7DC4">
        <w:rPr>
          <w:rStyle w:val="FootnoteReference"/>
          <w:sz w:val="14"/>
          <w:szCs w:val="14"/>
        </w:rPr>
        <w:footnoteRef/>
      </w:r>
      <w:r w:rsidRPr="00CE7DC4">
        <w:rPr>
          <w:sz w:val="14"/>
          <w:szCs w:val="14"/>
        </w:rPr>
        <w:t xml:space="preserve"> </w:t>
      </w:r>
      <w:r w:rsidRPr="00CE7DC4">
        <w:rPr>
          <w:sz w:val="14"/>
          <w:szCs w:val="14"/>
          <w:lang w:val="en-US"/>
        </w:rPr>
        <w:t xml:space="preserve">The current online report provides the ability to pre-fill fields by entering a TGA-assigned Reporter Number and the associated surname. </w:t>
      </w:r>
    </w:p>
  </w:footnote>
  <w:footnote w:id="99">
    <w:p w14:paraId="27E79AA8" w14:textId="368246EC" w:rsidR="008461AF" w:rsidRPr="00052A0D" w:rsidRDefault="008461AF">
      <w:pPr>
        <w:pStyle w:val="FootnoteText"/>
        <w:rPr>
          <w:lang w:val="en-US"/>
        </w:rPr>
      </w:pPr>
      <w:r w:rsidRPr="00CE7DC4">
        <w:rPr>
          <w:rStyle w:val="FootnoteReference"/>
          <w:sz w:val="14"/>
          <w:szCs w:val="14"/>
        </w:rPr>
        <w:footnoteRef/>
      </w:r>
      <w:r w:rsidRPr="00CE7DC4">
        <w:rPr>
          <w:sz w:val="14"/>
          <w:szCs w:val="14"/>
        </w:rPr>
        <w:t xml:space="preserve"> </w:t>
      </w:r>
      <w:r w:rsidRPr="00CE7DC4">
        <w:rPr>
          <w:sz w:val="14"/>
          <w:szCs w:val="14"/>
          <w:lang w:val="en-US"/>
        </w:rPr>
        <w:t>This multi-stage report compilation is envisaged in the online report where one of the questions is ‘Are you reporting the incident on behalf of something else (the initial reporter)?’.</w:t>
      </w:r>
      <w:r w:rsidRPr="0079175B">
        <w:rPr>
          <w:sz w:val="18"/>
          <w:szCs w:val="18"/>
          <w:lang w:val="en-US"/>
        </w:rPr>
        <w:t xml:space="preserve"> </w:t>
      </w:r>
    </w:p>
  </w:footnote>
  <w:footnote w:id="100">
    <w:p w14:paraId="7E9ED46B" w14:textId="77777777" w:rsidR="008461AF" w:rsidRPr="00CE7DC4" w:rsidRDefault="008461AF">
      <w:pPr>
        <w:pStyle w:val="FootnoteText"/>
        <w:rPr>
          <w:sz w:val="14"/>
          <w:szCs w:val="14"/>
        </w:rPr>
      </w:pPr>
      <w:r w:rsidRPr="00CE7DC4">
        <w:rPr>
          <w:rStyle w:val="FootnoteReference"/>
          <w:sz w:val="14"/>
          <w:szCs w:val="14"/>
        </w:rPr>
        <w:footnoteRef/>
      </w:r>
      <w:r w:rsidRPr="00CE7DC4">
        <w:rPr>
          <w:sz w:val="14"/>
          <w:szCs w:val="14"/>
        </w:rPr>
        <w:t>Figure titled ‘Aged care services in Australia’, Aged Care Quality and Safety Commission – Sector performance report April – June 2023, available at:</w:t>
      </w:r>
    </w:p>
    <w:p w14:paraId="136247E8" w14:textId="18CC4B75" w:rsidR="008461AF" w:rsidRPr="00A60B76" w:rsidRDefault="008461AF">
      <w:pPr>
        <w:pStyle w:val="FootnoteText"/>
        <w:rPr>
          <w:lang w:val="en-US"/>
        </w:rPr>
      </w:pPr>
      <w:r w:rsidRPr="00CE7DC4">
        <w:rPr>
          <w:sz w:val="14"/>
          <w:szCs w:val="14"/>
        </w:rPr>
        <w:t xml:space="preserve">Sector Performance April – June 2023 (agedcarequality.gov.au) </w:t>
      </w:r>
      <w:r w:rsidR="00681668">
        <w:rPr>
          <w:sz w:val="14"/>
          <w:szCs w:val="14"/>
        </w:rPr>
        <w:t xml:space="preserve"> and GEN Aged care data</w:t>
      </w:r>
    </w:p>
  </w:footnote>
  <w:footnote w:id="101">
    <w:p w14:paraId="2675918E" w14:textId="77777777" w:rsidR="008461AF" w:rsidRPr="00CE7DC4" w:rsidRDefault="008461AF">
      <w:pPr>
        <w:pStyle w:val="FootnoteText"/>
        <w:rPr>
          <w:sz w:val="14"/>
          <w:szCs w:val="14"/>
        </w:rPr>
      </w:pPr>
      <w:r w:rsidRPr="00CE7DC4">
        <w:rPr>
          <w:rStyle w:val="FootnoteReference"/>
          <w:sz w:val="14"/>
          <w:szCs w:val="14"/>
        </w:rPr>
        <w:footnoteRef/>
      </w:r>
      <w:r w:rsidRPr="00CE7DC4">
        <w:rPr>
          <w:sz w:val="14"/>
          <w:szCs w:val="14"/>
        </w:rPr>
        <w:t xml:space="preserve"> Source: Australian Commission on Safety and Quality in Health Care, National Safety and Quality Health Service Standards, 2nd edition, 2021, available at:</w:t>
      </w:r>
    </w:p>
    <w:p w14:paraId="43E3994A" w14:textId="4419826E" w:rsidR="008461AF" w:rsidRPr="00CE7DC4" w:rsidRDefault="00DA18FC">
      <w:pPr>
        <w:pStyle w:val="FootnoteText"/>
        <w:rPr>
          <w:sz w:val="14"/>
          <w:szCs w:val="14"/>
        </w:rPr>
      </w:pPr>
      <w:hyperlink r:id="rId47" w:history="1">
        <w:r w:rsidR="008461AF" w:rsidRPr="00CE7DC4">
          <w:rPr>
            <w:rStyle w:val="Hyperlink"/>
            <w:sz w:val="14"/>
            <w:szCs w:val="14"/>
          </w:rPr>
          <w:t>https://www.safetyandquality.gov.au/sites/default/files/2021-05/national_safety_and_quality_health_service_nsqhs_standards_second_edition_-_updated_may_2021.pdf</w:t>
        </w:r>
      </w:hyperlink>
    </w:p>
  </w:footnote>
  <w:footnote w:id="102">
    <w:p w14:paraId="524020F5" w14:textId="1872720F" w:rsidR="008461AF" w:rsidRPr="0079175B" w:rsidRDefault="008461AF">
      <w:pPr>
        <w:pStyle w:val="FootnoteText"/>
        <w:rPr>
          <w:sz w:val="18"/>
          <w:szCs w:val="18"/>
          <w:lang w:val="en-US"/>
        </w:rPr>
      </w:pPr>
      <w:r w:rsidRPr="00CE7DC4">
        <w:rPr>
          <w:rStyle w:val="FootnoteReference"/>
          <w:sz w:val="14"/>
          <w:szCs w:val="14"/>
        </w:rPr>
        <w:footnoteRef/>
      </w:r>
      <w:r w:rsidRPr="00CE7DC4">
        <w:rPr>
          <w:sz w:val="14"/>
          <w:szCs w:val="14"/>
        </w:rPr>
        <w:t xml:space="preserve"> </w:t>
      </w:r>
      <w:r w:rsidRPr="00CE7DC4">
        <w:rPr>
          <w:sz w:val="14"/>
          <w:szCs w:val="14"/>
          <w:lang w:val="en-US"/>
        </w:rPr>
        <w:t>Widespread data transmission formats include Extensible Markup Language (XML), JavaScript Object Notation (JSON), Health Level Seven (HL7) and Fast Health Interoperability Resources (FHIR).</w:t>
      </w:r>
    </w:p>
  </w:footnote>
  <w:footnote w:id="103">
    <w:p w14:paraId="47EBA941" w14:textId="20ED0756" w:rsidR="008461AF" w:rsidRPr="00CE7DC4" w:rsidRDefault="008461AF" w:rsidP="0001347B">
      <w:pPr>
        <w:pStyle w:val="FootnoteText"/>
        <w:rPr>
          <w:sz w:val="14"/>
          <w:szCs w:val="14"/>
          <w:lang w:val="en-US"/>
        </w:rPr>
      </w:pPr>
      <w:r w:rsidRPr="00CE7DC4">
        <w:rPr>
          <w:rStyle w:val="FootnoteReference"/>
          <w:sz w:val="14"/>
          <w:szCs w:val="14"/>
        </w:rPr>
        <w:footnoteRef/>
      </w:r>
      <w:r w:rsidRPr="00CE7DC4">
        <w:rPr>
          <w:sz w:val="14"/>
          <w:szCs w:val="14"/>
        </w:rPr>
        <w:t xml:space="preserve"> </w:t>
      </w:r>
      <w:r w:rsidRPr="00CE7DC4">
        <w:rPr>
          <w:sz w:val="14"/>
          <w:szCs w:val="14"/>
          <w:lang w:val="en-US"/>
        </w:rPr>
        <w:t>The ACT and NSW uses Harm Scores, Incident Severity Ratings are used in the NT, SA and Vic., while Severity Assessment Codes are utilised in Qld, Tas</w:t>
      </w:r>
      <w:r>
        <w:rPr>
          <w:sz w:val="14"/>
          <w:szCs w:val="14"/>
          <w:lang w:val="en-US"/>
        </w:rPr>
        <w:t xml:space="preserve"> a</w:t>
      </w:r>
      <w:r w:rsidRPr="00CE7DC4">
        <w:rPr>
          <w:sz w:val="14"/>
          <w:szCs w:val="14"/>
          <w:lang w:val="en-US"/>
        </w:rPr>
        <w:t>nd WA.</w:t>
      </w:r>
    </w:p>
  </w:footnote>
  <w:footnote w:id="104">
    <w:p w14:paraId="36C9091E" w14:textId="77777777" w:rsidR="008461AF" w:rsidRPr="00995EC2" w:rsidRDefault="008461AF" w:rsidP="0001347B">
      <w:pPr>
        <w:pStyle w:val="FootnoteText"/>
        <w:rPr>
          <w:lang w:val="en-US"/>
        </w:rPr>
      </w:pPr>
      <w:r w:rsidRPr="00CE7DC4">
        <w:rPr>
          <w:rStyle w:val="FootnoteReference"/>
          <w:sz w:val="14"/>
          <w:szCs w:val="14"/>
        </w:rPr>
        <w:footnoteRef/>
      </w:r>
      <w:r w:rsidRPr="00CE7DC4">
        <w:rPr>
          <w:sz w:val="14"/>
          <w:szCs w:val="14"/>
        </w:rPr>
        <w:t xml:space="preserve"> Categories are: ‘No Injury, Near Miss, Temporary Injury, Serious Injury, Permanent Disability, Death, Unknown and Other’.</w:t>
      </w:r>
      <w:r>
        <w:t xml:space="preserve"> </w:t>
      </w:r>
    </w:p>
  </w:footnote>
  <w:footnote w:id="105">
    <w:p w14:paraId="39F1D0C3" w14:textId="77777777" w:rsidR="008461AF" w:rsidRPr="00CE7DC4" w:rsidRDefault="008461AF">
      <w:pPr>
        <w:pStyle w:val="FootnoteText"/>
        <w:rPr>
          <w:sz w:val="14"/>
          <w:szCs w:val="14"/>
        </w:rPr>
      </w:pPr>
      <w:r w:rsidRPr="00CE7DC4">
        <w:rPr>
          <w:rStyle w:val="FootnoteReference"/>
          <w:sz w:val="14"/>
          <w:szCs w:val="14"/>
        </w:rPr>
        <w:footnoteRef/>
      </w:r>
      <w:r w:rsidRPr="00CE7DC4">
        <w:rPr>
          <w:sz w:val="14"/>
          <w:szCs w:val="14"/>
        </w:rPr>
        <w:t xml:space="preserve"> International Medical Device Regulators Form, IMDRF terminologies for categorized Adverse Event Reporting (AER): terms, terminology structure and codes, Annex A: IMDRF terminologies for categorized Adverse Event Reporting (AER) - Medical Device Problem, published 16 February 2023, available at: </w:t>
      </w:r>
    </w:p>
    <w:p w14:paraId="3555E79E" w14:textId="74BE5A7E" w:rsidR="008461AF" w:rsidRPr="0079175B" w:rsidRDefault="00DA18FC">
      <w:pPr>
        <w:pStyle w:val="FootnoteText"/>
        <w:rPr>
          <w:lang w:val="en-US"/>
        </w:rPr>
      </w:pPr>
      <w:hyperlink r:id="rId48" w:history="1">
        <w:r w:rsidR="008461AF" w:rsidRPr="00CE7DC4">
          <w:rPr>
            <w:rStyle w:val="Hyperlink"/>
            <w:sz w:val="14"/>
            <w:szCs w:val="14"/>
          </w:rPr>
          <w:t>https://www.imdrf.org/documents/terminologies-categorized-adverse-event-reporting-aer-terms-terminology-and-codes</w:t>
        </w:r>
      </w:hyperlink>
    </w:p>
  </w:footnote>
  <w:footnote w:id="106">
    <w:p w14:paraId="404C40AA" w14:textId="77777777" w:rsidR="008461AF" w:rsidRPr="00CE7DC4" w:rsidRDefault="008461AF" w:rsidP="00F9186A">
      <w:pPr>
        <w:pStyle w:val="FootnoteText"/>
        <w:rPr>
          <w:sz w:val="14"/>
          <w:szCs w:val="14"/>
        </w:rPr>
      </w:pPr>
      <w:r w:rsidRPr="00CE7DC4">
        <w:rPr>
          <w:rStyle w:val="FootnoteReference"/>
          <w:sz w:val="14"/>
          <w:szCs w:val="14"/>
        </w:rPr>
        <w:footnoteRef/>
      </w:r>
      <w:r w:rsidRPr="00CE7DC4">
        <w:rPr>
          <w:sz w:val="14"/>
          <w:szCs w:val="14"/>
        </w:rPr>
        <w:t xml:space="preserve"> Australian Commission on Safety and Quality in Health Care, Incident management and sentinel events, available at: </w:t>
      </w:r>
    </w:p>
    <w:p w14:paraId="48598450" w14:textId="77777777" w:rsidR="008461AF" w:rsidRPr="00A5415E" w:rsidRDefault="00DA18FC" w:rsidP="00F9186A">
      <w:pPr>
        <w:pStyle w:val="FootnoteText"/>
      </w:pPr>
      <w:hyperlink r:id="rId49" w:history="1">
        <w:r w:rsidR="008461AF" w:rsidRPr="00CE7DC4">
          <w:rPr>
            <w:rStyle w:val="Hyperlink"/>
            <w:sz w:val="14"/>
            <w:szCs w:val="14"/>
          </w:rPr>
          <w:t>https://www.safetyandquality.gov.au/our-work/indicators-measurement-and-reporting/incident-management-and-sentinel-events</w:t>
        </w:r>
      </w:hyperlink>
    </w:p>
  </w:footnote>
  <w:footnote w:id="107">
    <w:p w14:paraId="2D35C0A3" w14:textId="77777777" w:rsidR="008461AF" w:rsidRPr="00CE7DC4" w:rsidRDefault="008461AF" w:rsidP="00F9186A">
      <w:pPr>
        <w:pStyle w:val="FootnoteText"/>
        <w:rPr>
          <w:sz w:val="14"/>
          <w:szCs w:val="14"/>
          <w:lang w:val="en-US"/>
        </w:rPr>
      </w:pPr>
      <w:r w:rsidRPr="00CE7DC4">
        <w:rPr>
          <w:rStyle w:val="FootnoteReference"/>
          <w:sz w:val="14"/>
          <w:szCs w:val="14"/>
        </w:rPr>
        <w:footnoteRef/>
      </w:r>
      <w:r w:rsidRPr="00CE7DC4">
        <w:rPr>
          <w:sz w:val="14"/>
          <w:szCs w:val="14"/>
        </w:rPr>
        <w:t xml:space="preserve"> </w:t>
      </w:r>
      <w:r w:rsidRPr="00CE7DC4">
        <w:rPr>
          <w:sz w:val="14"/>
          <w:szCs w:val="14"/>
          <w:lang w:val="en-US"/>
        </w:rPr>
        <w:t xml:space="preserve">Safer Care Victoria, </w:t>
      </w:r>
      <w:r w:rsidRPr="00CE7DC4">
        <w:rPr>
          <w:i/>
          <w:iCs/>
          <w:sz w:val="14"/>
          <w:szCs w:val="14"/>
          <w:lang w:val="en-US"/>
        </w:rPr>
        <w:t>Victorian sentinel event guide: Essential information for health services about managing sentinel events in Victoria</w:t>
      </w:r>
      <w:r w:rsidRPr="00CE7DC4">
        <w:rPr>
          <w:sz w:val="14"/>
          <w:szCs w:val="14"/>
          <w:lang w:val="en-US"/>
        </w:rPr>
        <w:t xml:space="preserve">, June 2019, p.15, available at: </w:t>
      </w:r>
      <w:hyperlink r:id="rId50" w:history="1">
        <w:r w:rsidRPr="00CE7DC4">
          <w:rPr>
            <w:rStyle w:val="Hyperlink"/>
            <w:sz w:val="14"/>
            <w:szCs w:val="14"/>
            <w:lang w:val="en-US"/>
          </w:rPr>
          <w:t>https://www.safercare.vic.gov.au/sites/default/files/2019-06/Victorian%20sentinel%20events%20guide_0.pdf</w:t>
        </w:r>
      </w:hyperlink>
      <w:r w:rsidRPr="00CE7DC4">
        <w:rPr>
          <w:sz w:val="14"/>
          <w:szCs w:val="14"/>
          <w:lang w:val="en-US"/>
        </w:rPr>
        <w:t xml:space="preserve"> </w:t>
      </w:r>
    </w:p>
  </w:footnote>
  <w:footnote w:id="108">
    <w:p w14:paraId="4192A30E" w14:textId="2E36C26C" w:rsidR="008461AF" w:rsidRPr="00CE7DC4" w:rsidRDefault="008461AF">
      <w:pPr>
        <w:pStyle w:val="FootnoteText"/>
        <w:rPr>
          <w:sz w:val="14"/>
          <w:szCs w:val="14"/>
          <w:lang w:val="en-US"/>
        </w:rPr>
      </w:pPr>
      <w:r w:rsidRPr="00CE7DC4">
        <w:rPr>
          <w:rStyle w:val="FootnoteReference"/>
          <w:sz w:val="14"/>
          <w:szCs w:val="14"/>
        </w:rPr>
        <w:footnoteRef/>
      </w:r>
      <w:r w:rsidRPr="00CE7DC4">
        <w:rPr>
          <w:sz w:val="14"/>
          <w:szCs w:val="14"/>
        </w:rPr>
        <w:t xml:space="preserve"> </w:t>
      </w:r>
      <w:r w:rsidRPr="00CE7DC4">
        <w:rPr>
          <w:sz w:val="14"/>
          <w:szCs w:val="14"/>
          <w:lang w:val="en-US"/>
        </w:rPr>
        <w:t xml:space="preserve">Australian Commission on Safety and Quality in Healthcare, </w:t>
      </w:r>
      <w:r w:rsidRPr="00CE7DC4">
        <w:rPr>
          <w:i/>
          <w:iCs/>
          <w:sz w:val="14"/>
          <w:szCs w:val="14"/>
          <w:lang w:val="en-US"/>
        </w:rPr>
        <w:t>Incident Management Guide</w:t>
      </w:r>
      <w:r w:rsidRPr="00CE7DC4">
        <w:rPr>
          <w:sz w:val="14"/>
          <w:szCs w:val="14"/>
          <w:lang w:val="en-US"/>
        </w:rPr>
        <w:t xml:space="preserve">, November 2021, p.2, available at: </w:t>
      </w:r>
      <w:hyperlink r:id="rId51" w:history="1">
        <w:r w:rsidRPr="00CE7DC4">
          <w:rPr>
            <w:rStyle w:val="Hyperlink"/>
            <w:sz w:val="14"/>
            <w:szCs w:val="14"/>
            <w:lang w:val="en-US"/>
          </w:rPr>
          <w:t>https://www.safetyandquality.gov.au/sites/default/files/2021-12/incident_management_guide_november_2021.pdf</w:t>
        </w:r>
      </w:hyperlink>
      <w:r w:rsidRPr="00CE7DC4">
        <w:rPr>
          <w:sz w:val="14"/>
          <w:szCs w:val="14"/>
          <w:lang w:val="en-US"/>
        </w:rPr>
        <w:t xml:space="preserve"> </w:t>
      </w:r>
    </w:p>
  </w:footnote>
  <w:footnote w:id="109">
    <w:p w14:paraId="5E4A59A8" w14:textId="63A6F11F" w:rsidR="008461AF" w:rsidRPr="00CE7DC4" w:rsidRDefault="008461AF">
      <w:pPr>
        <w:pStyle w:val="FootnoteText"/>
        <w:rPr>
          <w:sz w:val="14"/>
          <w:szCs w:val="14"/>
          <w:lang w:val="en-US"/>
        </w:rPr>
      </w:pPr>
      <w:r w:rsidRPr="00CE7DC4">
        <w:rPr>
          <w:rStyle w:val="FootnoteReference"/>
          <w:sz w:val="14"/>
          <w:szCs w:val="14"/>
        </w:rPr>
        <w:footnoteRef/>
      </w:r>
      <w:r w:rsidRPr="00CE7DC4">
        <w:rPr>
          <w:sz w:val="14"/>
          <w:szCs w:val="14"/>
        </w:rPr>
        <w:t xml:space="preserve"> </w:t>
      </w:r>
      <w:r w:rsidRPr="00CE7DC4">
        <w:rPr>
          <w:sz w:val="14"/>
          <w:szCs w:val="14"/>
          <w:lang w:val="en-US"/>
        </w:rPr>
        <w:t xml:space="preserve">Victorian and Western Australia have explicitly extended these policies to include all private hospitals. </w:t>
      </w:r>
    </w:p>
  </w:footnote>
  <w:footnote w:id="110">
    <w:p w14:paraId="1E1D321B" w14:textId="77777777" w:rsidR="008461AF" w:rsidRPr="00CE7DC4" w:rsidRDefault="008461AF">
      <w:pPr>
        <w:pStyle w:val="FootnoteText"/>
        <w:rPr>
          <w:sz w:val="14"/>
          <w:szCs w:val="14"/>
        </w:rPr>
      </w:pPr>
      <w:r w:rsidRPr="00CE7DC4">
        <w:rPr>
          <w:rStyle w:val="FootnoteReference"/>
          <w:sz w:val="14"/>
          <w:szCs w:val="14"/>
        </w:rPr>
        <w:footnoteRef/>
      </w:r>
      <w:r w:rsidRPr="00CE7DC4">
        <w:rPr>
          <w:sz w:val="14"/>
          <w:szCs w:val="14"/>
        </w:rPr>
        <w:t xml:space="preserve"> Australian Commission on Safety and Quality in Health Care, Incident Management Guide, November 2021, p.5, available at: </w:t>
      </w:r>
    </w:p>
    <w:p w14:paraId="42BFBB64" w14:textId="3F8272AE" w:rsidR="008461AF" w:rsidRPr="00CE7DC4" w:rsidRDefault="00DA18FC">
      <w:pPr>
        <w:pStyle w:val="FootnoteText"/>
        <w:rPr>
          <w:sz w:val="14"/>
          <w:szCs w:val="14"/>
          <w:lang w:val="en-US"/>
        </w:rPr>
      </w:pPr>
      <w:hyperlink r:id="rId52" w:history="1">
        <w:r w:rsidR="008461AF" w:rsidRPr="00CE7DC4">
          <w:rPr>
            <w:rStyle w:val="Hyperlink"/>
            <w:sz w:val="14"/>
            <w:szCs w:val="14"/>
          </w:rPr>
          <w:t>https://www.safetyandquality.gov.au/sites/default/files/2021-12/incident_management_guide_november_2021.pdf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854D" w14:textId="1B515CCC" w:rsidR="008461AF" w:rsidRDefault="008461AF">
    <w:pPr>
      <w:pStyle w:val="Header"/>
    </w:pPr>
    <w:r>
      <w:rPr>
        <w:noProof/>
        <w:lang w:eastAsia="en-AU"/>
      </w:rPr>
      <mc:AlternateContent>
        <mc:Choice Requires="wps">
          <w:drawing>
            <wp:anchor distT="0" distB="0" distL="114300" distR="114300" simplePos="0" relativeHeight="251658243" behindDoc="1" locked="0" layoutInCell="0" allowOverlap="1" wp14:anchorId="6F0BD8D9" wp14:editId="5D73BBF3">
              <wp:simplePos x="0" y="0"/>
              <wp:positionH relativeFrom="margin">
                <wp:align>center</wp:align>
              </wp:positionH>
              <wp:positionV relativeFrom="margin">
                <wp:align>center</wp:align>
              </wp:positionV>
              <wp:extent cx="5772150" cy="2308860"/>
              <wp:effectExtent l="0" t="0" r="0" b="0"/>
              <wp:wrapNone/>
              <wp:docPr id="10" name="Text Box 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ABFAF0" w14:textId="77777777" w:rsidR="008461AF" w:rsidRDefault="008461AF"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0BD8D9" id="_x0000_t202" coordsize="21600,21600" o:spt="202" path="m,l,21600r21600,l21600,xe">
              <v:stroke joinstyle="miter"/>
              <v:path gradientshapeok="t" o:connecttype="rect"/>
            </v:shapetype>
            <v:shape id="Text Box 10" o:spid="_x0000_s1056" type="#_x0000_t202" style="position:absolute;left:0;text-align:left;margin-left:0;margin-top:0;width:454.5pt;height:181.8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" o:allowincell="f" filled="f" stroked="f">
              <v:stroke joinstyle="round"/>
              <o:lock v:ext="edit" rotation="t" aspectratio="t" verticies="t" adjusthandles="t" grouping="t" shapetype="t"/>
              <v:textbox>
                <w:txbxContent>
                  <w:p w14:paraId="6CABFAF0" w14:textId="77777777" w:rsidR="008461AF" w:rsidRDefault="008461AF"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E2CB8" w14:textId="1B61AFCA" w:rsidR="008461AF" w:rsidRPr="00CB0550" w:rsidRDefault="008461AF" w:rsidP="00CB0550">
    <w:pPr>
      <w:pStyle w:val="Header"/>
      <w:jc w:val="left"/>
    </w:pPr>
    <w:r>
      <w:rPr>
        <w:noProof/>
        <w:lang w:eastAsia="en-AU"/>
      </w:rPr>
      <mc:AlternateContent>
        <mc:Choice Requires="wps">
          <w:drawing>
            <wp:anchor distT="0" distB="0" distL="114300" distR="114300" simplePos="0" relativeHeight="251658244" behindDoc="1" locked="0" layoutInCell="0" allowOverlap="1" wp14:anchorId="2AEF0E52" wp14:editId="3BFE3B82">
              <wp:simplePos x="0" y="0"/>
              <wp:positionH relativeFrom="margin">
                <wp:align>center</wp:align>
              </wp:positionH>
              <wp:positionV relativeFrom="margin">
                <wp:align>center</wp:align>
              </wp:positionV>
              <wp:extent cx="5772150" cy="2308860"/>
              <wp:effectExtent l="0" t="0" r="0" b="0"/>
              <wp:wrapNone/>
              <wp:docPr id="9" name="Text Box 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B185E" w14:textId="77777777" w:rsidR="008461AF" w:rsidRDefault="008461AF"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EF0E52" id="_x0000_t202" coordsize="21600,21600" o:spt="202" path="m,l,21600r21600,l21600,xe">
              <v:stroke joinstyle="miter"/>
              <v:path gradientshapeok="t" o:connecttype="rect"/>
            </v:shapetype>
            <v:shape id="Text Box 9" o:spid="_x0000_s1057" type="#_x0000_t202" style="position:absolute;margin-left:0;margin-top:0;width:454.5pt;height:181.8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" o:allowincell="f" filled="f" stroked="f">
              <v:stroke joinstyle="round"/>
              <o:lock v:ext="edit" rotation="t" aspectratio="t" verticies="t" adjusthandles="t" grouping="t" shapetype="t"/>
              <v:textbox>
                <w:txbxContent>
                  <w:p w14:paraId="790B185E" w14:textId="77777777" w:rsidR="008461AF" w:rsidRDefault="008461AF"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80DFE" w14:textId="6FF304F6" w:rsidR="008461AF" w:rsidRDefault="008461AF" w:rsidP="00192C22">
    <w:pPr>
      <w:rPr>
        <w:noProo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5670" w14:textId="0BF4CC46" w:rsidR="008461AF" w:rsidRDefault="008461AF">
    <w:pPr>
      <w:pStyle w:val="Header"/>
    </w:pPr>
    <w:r>
      <w:rPr>
        <w:noProof/>
        <w:lang w:eastAsia="en-AU"/>
      </w:rPr>
      <mc:AlternateContent>
        <mc:Choice Requires="wps">
          <w:drawing>
            <wp:anchor distT="0" distB="0" distL="114300" distR="114300" simplePos="0" relativeHeight="251658245" behindDoc="1" locked="0" layoutInCell="0" allowOverlap="1" wp14:anchorId="16B7CF3F" wp14:editId="1E5C954D">
              <wp:simplePos x="0" y="0"/>
              <wp:positionH relativeFrom="margin">
                <wp:align>center</wp:align>
              </wp:positionH>
              <wp:positionV relativeFrom="margin">
                <wp:align>center</wp:align>
              </wp:positionV>
              <wp:extent cx="5772150" cy="2308860"/>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AA1FA" w14:textId="77777777" w:rsidR="008461AF" w:rsidRDefault="008461AF"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6B7CF3F" id="_x0000_t202" coordsize="21600,21600" o:spt="202" path="m,l,21600r21600,l21600,xe">
              <v:stroke joinstyle="miter"/>
              <v:path gradientshapeok="t" o:connecttype="rect"/>
            </v:shapetype>
            <v:shape id="Text Box 4" o:spid="_x0000_s1058" type="#_x0000_t202" style="position:absolute;left:0;text-align:left;margin-left:0;margin-top:0;width:454.5pt;height:181.8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" o:allowincell="f" filled="f" stroked="f">
              <v:stroke joinstyle="round"/>
              <o:lock v:ext="edit" rotation="t" aspectratio="t" verticies="t" adjusthandles="t" grouping="t" shapetype="t"/>
              <v:textbox>
                <w:txbxContent>
                  <w:p w14:paraId="326AA1FA" w14:textId="77777777" w:rsidR="008461AF" w:rsidRDefault="008461AF" w:rsidP="001A3EE2">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E6D50" w14:textId="7F8295C3" w:rsidR="008461AF" w:rsidRDefault="00846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666"/>
    <w:multiLevelType w:val="multilevel"/>
    <w:tmpl w:val="96FCDA36"/>
    <w:numStyleLink w:val="AttachmentNumbers"/>
  </w:abstractNum>
  <w:abstractNum w:abstractNumId="1" w15:restartNumberingAfterBreak="0">
    <w:nsid w:val="09CC059F"/>
    <w:multiLevelType w:val="hybridMultilevel"/>
    <w:tmpl w:val="A962855E"/>
    <w:lvl w:ilvl="0" w:tplc="1820EBF4">
      <w:start w:val="1"/>
      <w:numFmt w:val="bullet"/>
      <w:lvlText w:val="-"/>
      <w:lvlJc w:val="left"/>
      <w:pPr>
        <w:ind w:left="720" w:hanging="360"/>
      </w:pPr>
      <w:rPr>
        <w:rFonts w:ascii="Yu Mincho Light" w:eastAsia="Yu Mincho Light" w:hAnsi="Yu Mincho Ligh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hybridMultilevel"/>
    <w:tmpl w:val="C302D11A"/>
    <w:styleLink w:val="Numberedlist"/>
    <w:lvl w:ilvl="0" w:tplc="0956970E">
      <w:start w:val="1"/>
      <w:numFmt w:val="decimal"/>
      <w:pStyle w:val="NumberedList1"/>
      <w:lvlText w:val="%1."/>
      <w:lvlJc w:val="left"/>
      <w:pPr>
        <w:ind w:left="284" w:hanging="284"/>
      </w:pPr>
      <w:rPr>
        <w:rFonts w:hint="default"/>
      </w:rPr>
    </w:lvl>
    <w:lvl w:ilvl="1" w:tplc="9B7EAEE8">
      <w:start w:val="1"/>
      <w:numFmt w:val="lowerLetter"/>
      <w:pStyle w:val="NumberedList2"/>
      <w:lvlText w:val="%2."/>
      <w:lvlJc w:val="left"/>
      <w:pPr>
        <w:ind w:left="568" w:hanging="284"/>
      </w:pPr>
      <w:rPr>
        <w:rFonts w:hint="default"/>
      </w:rPr>
    </w:lvl>
    <w:lvl w:ilvl="2" w:tplc="74125C4C">
      <w:start w:val="1"/>
      <w:numFmt w:val="lowerRoman"/>
      <w:pStyle w:val="NumberedList3"/>
      <w:lvlText w:val="%3."/>
      <w:lvlJc w:val="left"/>
      <w:pPr>
        <w:ind w:left="852" w:hanging="284"/>
      </w:pPr>
      <w:rPr>
        <w:rFonts w:hint="default"/>
      </w:rPr>
    </w:lvl>
    <w:lvl w:ilvl="3" w:tplc="2FB6CC2E">
      <w:start w:val="1"/>
      <w:numFmt w:val="decimal"/>
      <w:pStyle w:val="NumberedList4"/>
      <w:lvlText w:val="(%4)"/>
      <w:lvlJc w:val="left"/>
      <w:pPr>
        <w:ind w:left="1136" w:hanging="284"/>
      </w:pPr>
      <w:rPr>
        <w:rFonts w:hint="default"/>
      </w:rPr>
    </w:lvl>
    <w:lvl w:ilvl="4" w:tplc="C02C10FE">
      <w:start w:val="1"/>
      <w:numFmt w:val="lowerLetter"/>
      <w:pStyle w:val="NumberedList5"/>
      <w:lvlText w:val="(%5)"/>
      <w:lvlJc w:val="left"/>
      <w:pPr>
        <w:ind w:left="1420" w:hanging="284"/>
      </w:pPr>
      <w:rPr>
        <w:rFonts w:hint="default"/>
      </w:rPr>
    </w:lvl>
    <w:lvl w:ilvl="5" w:tplc="3A4E3DA2">
      <w:start w:val="1"/>
      <w:numFmt w:val="lowerRoman"/>
      <w:pStyle w:val="NumberedList6"/>
      <w:lvlText w:val="(%6)"/>
      <w:lvlJc w:val="left"/>
      <w:pPr>
        <w:ind w:left="1704" w:hanging="284"/>
      </w:pPr>
      <w:rPr>
        <w:rFonts w:hint="default"/>
      </w:rPr>
    </w:lvl>
    <w:lvl w:ilvl="6" w:tplc="024EA1F4">
      <w:start w:val="1"/>
      <w:numFmt w:val="decimal"/>
      <w:lvlText w:val="%7."/>
      <w:lvlJc w:val="left"/>
      <w:pPr>
        <w:ind w:left="1988" w:hanging="284"/>
      </w:pPr>
      <w:rPr>
        <w:rFonts w:hint="default"/>
      </w:rPr>
    </w:lvl>
    <w:lvl w:ilvl="7" w:tplc="AA643488">
      <w:start w:val="1"/>
      <w:numFmt w:val="lowerLetter"/>
      <w:lvlText w:val="%8."/>
      <w:lvlJc w:val="left"/>
      <w:pPr>
        <w:ind w:left="2272" w:hanging="284"/>
      </w:pPr>
      <w:rPr>
        <w:rFonts w:hint="default"/>
      </w:rPr>
    </w:lvl>
    <w:lvl w:ilvl="8" w:tplc="BDB8D81C">
      <w:start w:val="1"/>
      <w:numFmt w:val="lowerRoman"/>
      <w:lvlText w:val="%9."/>
      <w:lvlJc w:val="left"/>
      <w:pPr>
        <w:ind w:left="2556" w:hanging="284"/>
      </w:pPr>
      <w:rPr>
        <w:rFonts w:hint="default"/>
      </w:rPr>
    </w:lvl>
  </w:abstractNum>
  <w:abstractNum w:abstractNumId="3" w15:restartNumberingAfterBreak="0">
    <w:nsid w:val="0F1D1133"/>
    <w:multiLevelType w:val="hybridMultilevel"/>
    <w:tmpl w:val="0ED67C5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AECAF4CC"/>
    <w:styleLink w:val="ListBullets"/>
    <w:lvl w:ilvl="0">
      <w:start w:val="4"/>
      <w:numFmt w:val="bullet"/>
      <w:pStyle w:val="Bullet1"/>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8F347DD"/>
    <w:multiLevelType w:val="hybridMultilevel"/>
    <w:tmpl w:val="34E0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BA11E4"/>
    <w:multiLevelType w:val="hybridMultilevel"/>
    <w:tmpl w:val="3B826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F40A4D"/>
    <w:multiLevelType w:val="hybridMultilevel"/>
    <w:tmpl w:val="D174082C"/>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C8B40FE"/>
    <w:multiLevelType w:val="multilevel"/>
    <w:tmpl w:val="D92CFF5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F813ED1"/>
    <w:multiLevelType w:val="hybridMultilevel"/>
    <w:tmpl w:val="0DDE3BFA"/>
    <w:lvl w:ilvl="0" w:tplc="3DE26D36">
      <w:start w:val="6"/>
      <w:numFmt w:val="decimal"/>
      <w:lvlText w:val="%1)"/>
      <w:lvlJc w:val="left"/>
      <w:pPr>
        <w:tabs>
          <w:tab w:val="num" w:pos="720"/>
        </w:tabs>
        <w:ind w:left="720" w:hanging="360"/>
      </w:pPr>
    </w:lvl>
    <w:lvl w:ilvl="1" w:tplc="0D8E5CE4" w:tentative="1">
      <w:start w:val="1"/>
      <w:numFmt w:val="decimal"/>
      <w:lvlText w:val="%2)"/>
      <w:lvlJc w:val="left"/>
      <w:pPr>
        <w:tabs>
          <w:tab w:val="num" w:pos="1440"/>
        </w:tabs>
        <w:ind w:left="1440" w:hanging="360"/>
      </w:pPr>
    </w:lvl>
    <w:lvl w:ilvl="2" w:tplc="EFE2572A" w:tentative="1">
      <w:start w:val="1"/>
      <w:numFmt w:val="decimal"/>
      <w:lvlText w:val="%3)"/>
      <w:lvlJc w:val="left"/>
      <w:pPr>
        <w:tabs>
          <w:tab w:val="num" w:pos="2160"/>
        </w:tabs>
        <w:ind w:left="2160" w:hanging="360"/>
      </w:pPr>
    </w:lvl>
    <w:lvl w:ilvl="3" w:tplc="387402D4" w:tentative="1">
      <w:start w:val="1"/>
      <w:numFmt w:val="decimal"/>
      <w:lvlText w:val="%4)"/>
      <w:lvlJc w:val="left"/>
      <w:pPr>
        <w:tabs>
          <w:tab w:val="num" w:pos="2880"/>
        </w:tabs>
        <w:ind w:left="2880" w:hanging="360"/>
      </w:pPr>
    </w:lvl>
    <w:lvl w:ilvl="4" w:tplc="DCAAF852" w:tentative="1">
      <w:start w:val="1"/>
      <w:numFmt w:val="decimal"/>
      <w:lvlText w:val="%5)"/>
      <w:lvlJc w:val="left"/>
      <w:pPr>
        <w:tabs>
          <w:tab w:val="num" w:pos="3600"/>
        </w:tabs>
        <w:ind w:left="3600" w:hanging="360"/>
      </w:pPr>
    </w:lvl>
    <w:lvl w:ilvl="5" w:tplc="FB32616A" w:tentative="1">
      <w:start w:val="1"/>
      <w:numFmt w:val="decimal"/>
      <w:lvlText w:val="%6)"/>
      <w:lvlJc w:val="left"/>
      <w:pPr>
        <w:tabs>
          <w:tab w:val="num" w:pos="4320"/>
        </w:tabs>
        <w:ind w:left="4320" w:hanging="360"/>
      </w:pPr>
    </w:lvl>
    <w:lvl w:ilvl="6" w:tplc="9A9015D6" w:tentative="1">
      <w:start w:val="1"/>
      <w:numFmt w:val="decimal"/>
      <w:lvlText w:val="%7)"/>
      <w:lvlJc w:val="left"/>
      <w:pPr>
        <w:tabs>
          <w:tab w:val="num" w:pos="5040"/>
        </w:tabs>
        <w:ind w:left="5040" w:hanging="360"/>
      </w:pPr>
    </w:lvl>
    <w:lvl w:ilvl="7" w:tplc="F974767A" w:tentative="1">
      <w:start w:val="1"/>
      <w:numFmt w:val="decimal"/>
      <w:lvlText w:val="%8)"/>
      <w:lvlJc w:val="left"/>
      <w:pPr>
        <w:tabs>
          <w:tab w:val="num" w:pos="5760"/>
        </w:tabs>
        <w:ind w:left="5760" w:hanging="360"/>
      </w:pPr>
    </w:lvl>
    <w:lvl w:ilvl="8" w:tplc="98380AF0" w:tentative="1">
      <w:start w:val="1"/>
      <w:numFmt w:val="decimal"/>
      <w:lvlText w:val="%9)"/>
      <w:lvlJc w:val="left"/>
      <w:pPr>
        <w:tabs>
          <w:tab w:val="num" w:pos="6480"/>
        </w:tabs>
        <w:ind w:left="6480" w:hanging="360"/>
      </w:pPr>
    </w:lvl>
  </w:abstractNum>
  <w:abstractNum w:abstractNumId="12" w15:restartNumberingAfterBreak="0">
    <w:nsid w:val="213B12EE"/>
    <w:multiLevelType w:val="multilevel"/>
    <w:tmpl w:val="3DA2F97E"/>
    <w:lvl w:ilvl="0">
      <w:start w:val="1"/>
      <w:numFmt w:val="bullet"/>
      <w:lvlText w:val="û"/>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2414478B"/>
    <w:multiLevelType w:val="hybridMultilevel"/>
    <w:tmpl w:val="BEF66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B62555"/>
    <w:multiLevelType w:val="hybridMultilevel"/>
    <w:tmpl w:val="EB3C0C1C"/>
    <w:lvl w:ilvl="0" w:tplc="F432A280">
      <w:start w:val="5"/>
      <w:numFmt w:val="decimal"/>
      <w:lvlText w:val="%1)"/>
      <w:lvlJc w:val="left"/>
      <w:pPr>
        <w:tabs>
          <w:tab w:val="num" w:pos="720"/>
        </w:tabs>
        <w:ind w:left="720" w:hanging="360"/>
      </w:pPr>
    </w:lvl>
    <w:lvl w:ilvl="1" w:tplc="ACE2E48C" w:tentative="1">
      <w:start w:val="1"/>
      <w:numFmt w:val="decimal"/>
      <w:lvlText w:val="%2)"/>
      <w:lvlJc w:val="left"/>
      <w:pPr>
        <w:tabs>
          <w:tab w:val="num" w:pos="1440"/>
        </w:tabs>
        <w:ind w:left="1440" w:hanging="360"/>
      </w:pPr>
    </w:lvl>
    <w:lvl w:ilvl="2" w:tplc="56B4BE50" w:tentative="1">
      <w:start w:val="1"/>
      <w:numFmt w:val="decimal"/>
      <w:lvlText w:val="%3)"/>
      <w:lvlJc w:val="left"/>
      <w:pPr>
        <w:tabs>
          <w:tab w:val="num" w:pos="2160"/>
        </w:tabs>
        <w:ind w:left="2160" w:hanging="360"/>
      </w:pPr>
    </w:lvl>
    <w:lvl w:ilvl="3" w:tplc="828001AE" w:tentative="1">
      <w:start w:val="1"/>
      <w:numFmt w:val="decimal"/>
      <w:lvlText w:val="%4)"/>
      <w:lvlJc w:val="left"/>
      <w:pPr>
        <w:tabs>
          <w:tab w:val="num" w:pos="2880"/>
        </w:tabs>
        <w:ind w:left="2880" w:hanging="360"/>
      </w:pPr>
    </w:lvl>
    <w:lvl w:ilvl="4" w:tplc="E6D2B64A" w:tentative="1">
      <w:start w:val="1"/>
      <w:numFmt w:val="decimal"/>
      <w:lvlText w:val="%5)"/>
      <w:lvlJc w:val="left"/>
      <w:pPr>
        <w:tabs>
          <w:tab w:val="num" w:pos="3600"/>
        </w:tabs>
        <w:ind w:left="3600" w:hanging="360"/>
      </w:pPr>
    </w:lvl>
    <w:lvl w:ilvl="5" w:tplc="DA64E69E" w:tentative="1">
      <w:start w:val="1"/>
      <w:numFmt w:val="decimal"/>
      <w:lvlText w:val="%6)"/>
      <w:lvlJc w:val="left"/>
      <w:pPr>
        <w:tabs>
          <w:tab w:val="num" w:pos="4320"/>
        </w:tabs>
        <w:ind w:left="4320" w:hanging="360"/>
      </w:pPr>
    </w:lvl>
    <w:lvl w:ilvl="6" w:tplc="E3E098F6" w:tentative="1">
      <w:start w:val="1"/>
      <w:numFmt w:val="decimal"/>
      <w:lvlText w:val="%7)"/>
      <w:lvlJc w:val="left"/>
      <w:pPr>
        <w:tabs>
          <w:tab w:val="num" w:pos="5040"/>
        </w:tabs>
        <w:ind w:left="5040" w:hanging="360"/>
      </w:pPr>
    </w:lvl>
    <w:lvl w:ilvl="7" w:tplc="98A8E018" w:tentative="1">
      <w:start w:val="1"/>
      <w:numFmt w:val="decimal"/>
      <w:lvlText w:val="%8)"/>
      <w:lvlJc w:val="left"/>
      <w:pPr>
        <w:tabs>
          <w:tab w:val="num" w:pos="5760"/>
        </w:tabs>
        <w:ind w:left="5760" w:hanging="360"/>
      </w:pPr>
    </w:lvl>
    <w:lvl w:ilvl="8" w:tplc="8D02F600" w:tentative="1">
      <w:start w:val="1"/>
      <w:numFmt w:val="decimal"/>
      <w:lvlText w:val="%9)"/>
      <w:lvlJc w:val="left"/>
      <w:pPr>
        <w:tabs>
          <w:tab w:val="num" w:pos="6480"/>
        </w:tabs>
        <w:ind w:left="6480" w:hanging="360"/>
      </w:pPr>
    </w:lvl>
  </w:abstractNum>
  <w:abstractNum w:abstractNumId="16" w15:restartNumberingAfterBreak="0">
    <w:nsid w:val="285874F1"/>
    <w:multiLevelType w:val="hybridMultilevel"/>
    <w:tmpl w:val="96FCDA36"/>
    <w:styleLink w:val="AttachmentNumbers"/>
    <w:lvl w:ilvl="0" w:tplc="D4C29716">
      <w:start w:val="1"/>
      <w:numFmt w:val="decimal"/>
      <w:pStyle w:val="AttachmentTitle"/>
      <w:suff w:val="space"/>
      <w:lvlText w:val="Attachment %1:"/>
      <w:lvlJc w:val="left"/>
      <w:pPr>
        <w:ind w:left="0" w:firstLine="0"/>
      </w:pPr>
      <w:rPr>
        <w:rFonts w:hint="default"/>
      </w:rPr>
    </w:lvl>
    <w:lvl w:ilvl="1" w:tplc="C2362936">
      <w:start w:val="1"/>
      <w:numFmt w:val="lowerLetter"/>
      <w:lvlText w:val="%2)"/>
      <w:lvlJc w:val="left"/>
      <w:pPr>
        <w:ind w:left="720" w:hanging="360"/>
      </w:pPr>
      <w:rPr>
        <w:rFonts w:hint="default"/>
      </w:rPr>
    </w:lvl>
    <w:lvl w:ilvl="2" w:tplc="44EC9524">
      <w:start w:val="1"/>
      <w:numFmt w:val="lowerRoman"/>
      <w:lvlText w:val="%3)"/>
      <w:lvlJc w:val="left"/>
      <w:pPr>
        <w:ind w:left="1080" w:hanging="360"/>
      </w:pPr>
      <w:rPr>
        <w:rFonts w:hint="default"/>
      </w:rPr>
    </w:lvl>
    <w:lvl w:ilvl="3" w:tplc="29DC4690">
      <w:start w:val="1"/>
      <w:numFmt w:val="decimal"/>
      <w:lvlText w:val="(%4)"/>
      <w:lvlJc w:val="left"/>
      <w:pPr>
        <w:ind w:left="1440" w:hanging="360"/>
      </w:pPr>
      <w:rPr>
        <w:rFonts w:hint="default"/>
      </w:rPr>
    </w:lvl>
    <w:lvl w:ilvl="4" w:tplc="8B469AB0">
      <w:start w:val="1"/>
      <w:numFmt w:val="lowerLetter"/>
      <w:lvlText w:val="(%5)"/>
      <w:lvlJc w:val="left"/>
      <w:pPr>
        <w:ind w:left="1800" w:hanging="360"/>
      </w:pPr>
      <w:rPr>
        <w:rFonts w:hint="default"/>
      </w:rPr>
    </w:lvl>
    <w:lvl w:ilvl="5" w:tplc="D3DC567C">
      <w:start w:val="1"/>
      <w:numFmt w:val="lowerRoman"/>
      <w:lvlText w:val="(%6)"/>
      <w:lvlJc w:val="left"/>
      <w:pPr>
        <w:ind w:left="2160" w:hanging="360"/>
      </w:pPr>
      <w:rPr>
        <w:rFonts w:hint="default"/>
      </w:rPr>
    </w:lvl>
    <w:lvl w:ilvl="6" w:tplc="6C2EC37C">
      <w:start w:val="1"/>
      <w:numFmt w:val="decimal"/>
      <w:lvlText w:val="%7."/>
      <w:lvlJc w:val="left"/>
      <w:pPr>
        <w:ind w:left="2520" w:hanging="360"/>
      </w:pPr>
      <w:rPr>
        <w:rFonts w:hint="default"/>
      </w:rPr>
    </w:lvl>
    <w:lvl w:ilvl="7" w:tplc="1B18C7CC">
      <w:start w:val="1"/>
      <w:numFmt w:val="lowerLetter"/>
      <w:lvlText w:val="%8."/>
      <w:lvlJc w:val="left"/>
      <w:pPr>
        <w:ind w:left="2880" w:hanging="360"/>
      </w:pPr>
      <w:rPr>
        <w:rFonts w:hint="default"/>
      </w:rPr>
    </w:lvl>
    <w:lvl w:ilvl="8" w:tplc="7F6027E6">
      <w:start w:val="1"/>
      <w:numFmt w:val="lowerRoman"/>
      <w:lvlText w:val="%9."/>
      <w:lvlJc w:val="left"/>
      <w:pPr>
        <w:ind w:left="3240" w:hanging="360"/>
      </w:pPr>
      <w:rPr>
        <w:rFonts w:hint="default"/>
      </w:rPr>
    </w:lvl>
  </w:abstractNum>
  <w:abstractNum w:abstractNumId="17" w15:restartNumberingAfterBreak="0">
    <w:nsid w:val="2A4F6248"/>
    <w:multiLevelType w:val="hybridMultilevel"/>
    <w:tmpl w:val="FC7E004A"/>
    <w:styleLink w:val="AppendixNumbers"/>
    <w:lvl w:ilvl="0" w:tplc="DB0AA740">
      <w:start w:val="1"/>
      <w:numFmt w:val="upperLetter"/>
      <w:pStyle w:val="AppendixTitle"/>
      <w:suff w:val="space"/>
      <w:lvlText w:val="Appendix %1:"/>
      <w:lvlJc w:val="left"/>
      <w:pPr>
        <w:ind w:left="0" w:firstLine="0"/>
      </w:pPr>
      <w:rPr>
        <w:rFonts w:hint="default"/>
      </w:rPr>
    </w:lvl>
    <w:lvl w:ilvl="1" w:tplc="C2EEA7FA">
      <w:start w:val="1"/>
      <w:numFmt w:val="lowerLetter"/>
      <w:lvlText w:val="%2)"/>
      <w:lvlJc w:val="left"/>
      <w:pPr>
        <w:ind w:left="720" w:hanging="360"/>
      </w:pPr>
      <w:rPr>
        <w:rFonts w:hint="default"/>
      </w:rPr>
    </w:lvl>
    <w:lvl w:ilvl="2" w:tplc="CC86EB46">
      <w:start w:val="1"/>
      <w:numFmt w:val="lowerRoman"/>
      <w:lvlText w:val="%3)"/>
      <w:lvlJc w:val="left"/>
      <w:pPr>
        <w:ind w:left="1080" w:hanging="360"/>
      </w:pPr>
      <w:rPr>
        <w:rFonts w:hint="default"/>
      </w:rPr>
    </w:lvl>
    <w:lvl w:ilvl="3" w:tplc="A474A332">
      <w:start w:val="1"/>
      <w:numFmt w:val="decimal"/>
      <w:lvlText w:val="(%4)"/>
      <w:lvlJc w:val="left"/>
      <w:pPr>
        <w:ind w:left="1440" w:hanging="360"/>
      </w:pPr>
      <w:rPr>
        <w:rFonts w:hint="default"/>
      </w:rPr>
    </w:lvl>
    <w:lvl w:ilvl="4" w:tplc="4EBE218A">
      <w:start w:val="1"/>
      <w:numFmt w:val="lowerLetter"/>
      <w:lvlText w:val="(%5)"/>
      <w:lvlJc w:val="left"/>
      <w:pPr>
        <w:ind w:left="1800" w:hanging="360"/>
      </w:pPr>
      <w:rPr>
        <w:rFonts w:hint="default"/>
      </w:rPr>
    </w:lvl>
    <w:lvl w:ilvl="5" w:tplc="079E72AC">
      <w:start w:val="1"/>
      <w:numFmt w:val="lowerRoman"/>
      <w:lvlText w:val="(%6)"/>
      <w:lvlJc w:val="left"/>
      <w:pPr>
        <w:ind w:left="2160" w:hanging="360"/>
      </w:pPr>
      <w:rPr>
        <w:rFonts w:hint="default"/>
      </w:rPr>
    </w:lvl>
    <w:lvl w:ilvl="6" w:tplc="B95A6032">
      <w:start w:val="1"/>
      <w:numFmt w:val="decimal"/>
      <w:lvlText w:val="%7."/>
      <w:lvlJc w:val="left"/>
      <w:pPr>
        <w:ind w:left="2520" w:hanging="360"/>
      </w:pPr>
      <w:rPr>
        <w:rFonts w:hint="default"/>
      </w:rPr>
    </w:lvl>
    <w:lvl w:ilvl="7" w:tplc="D452D8E4">
      <w:start w:val="1"/>
      <w:numFmt w:val="lowerLetter"/>
      <w:lvlText w:val="%8."/>
      <w:lvlJc w:val="left"/>
      <w:pPr>
        <w:ind w:left="2880" w:hanging="360"/>
      </w:pPr>
      <w:rPr>
        <w:rFonts w:hint="default"/>
      </w:rPr>
    </w:lvl>
    <w:lvl w:ilvl="8" w:tplc="3064E10C">
      <w:start w:val="1"/>
      <w:numFmt w:val="lowerRoman"/>
      <w:lvlText w:val="%9."/>
      <w:lvlJc w:val="left"/>
      <w:pPr>
        <w:ind w:left="3240" w:hanging="360"/>
      </w:pPr>
      <w:rPr>
        <w:rFonts w:hint="default"/>
      </w:rPr>
    </w:lvl>
  </w:abstractNum>
  <w:abstractNum w:abstractNumId="18" w15:restartNumberingAfterBreak="0">
    <w:nsid w:val="2B4F32AF"/>
    <w:multiLevelType w:val="hybridMultilevel"/>
    <w:tmpl w:val="2EBA0766"/>
    <w:lvl w:ilvl="0" w:tplc="16E252D2">
      <w:start w:val="1"/>
      <w:numFmt w:val="decimal"/>
      <w:lvlText w:val="%1)"/>
      <w:lvlJc w:val="left"/>
      <w:pPr>
        <w:tabs>
          <w:tab w:val="num" w:pos="720"/>
        </w:tabs>
        <w:ind w:left="720" w:hanging="360"/>
      </w:pPr>
    </w:lvl>
    <w:lvl w:ilvl="1" w:tplc="BC80F39A" w:tentative="1">
      <w:start w:val="1"/>
      <w:numFmt w:val="decimal"/>
      <w:lvlText w:val="%2)"/>
      <w:lvlJc w:val="left"/>
      <w:pPr>
        <w:tabs>
          <w:tab w:val="num" w:pos="1440"/>
        </w:tabs>
        <w:ind w:left="1440" w:hanging="360"/>
      </w:pPr>
    </w:lvl>
    <w:lvl w:ilvl="2" w:tplc="DE060EA4" w:tentative="1">
      <w:start w:val="1"/>
      <w:numFmt w:val="decimal"/>
      <w:lvlText w:val="%3)"/>
      <w:lvlJc w:val="left"/>
      <w:pPr>
        <w:tabs>
          <w:tab w:val="num" w:pos="2160"/>
        </w:tabs>
        <w:ind w:left="2160" w:hanging="360"/>
      </w:pPr>
    </w:lvl>
    <w:lvl w:ilvl="3" w:tplc="08F88608" w:tentative="1">
      <w:start w:val="1"/>
      <w:numFmt w:val="decimal"/>
      <w:lvlText w:val="%4)"/>
      <w:lvlJc w:val="left"/>
      <w:pPr>
        <w:tabs>
          <w:tab w:val="num" w:pos="2880"/>
        </w:tabs>
        <w:ind w:left="2880" w:hanging="360"/>
      </w:pPr>
    </w:lvl>
    <w:lvl w:ilvl="4" w:tplc="572E05B2" w:tentative="1">
      <w:start w:val="1"/>
      <w:numFmt w:val="decimal"/>
      <w:lvlText w:val="%5)"/>
      <w:lvlJc w:val="left"/>
      <w:pPr>
        <w:tabs>
          <w:tab w:val="num" w:pos="3600"/>
        </w:tabs>
        <w:ind w:left="3600" w:hanging="360"/>
      </w:pPr>
    </w:lvl>
    <w:lvl w:ilvl="5" w:tplc="EC8C7F5C" w:tentative="1">
      <w:start w:val="1"/>
      <w:numFmt w:val="decimal"/>
      <w:lvlText w:val="%6)"/>
      <w:lvlJc w:val="left"/>
      <w:pPr>
        <w:tabs>
          <w:tab w:val="num" w:pos="4320"/>
        </w:tabs>
        <w:ind w:left="4320" w:hanging="360"/>
      </w:pPr>
    </w:lvl>
    <w:lvl w:ilvl="6" w:tplc="5ECACB5E" w:tentative="1">
      <w:start w:val="1"/>
      <w:numFmt w:val="decimal"/>
      <w:lvlText w:val="%7)"/>
      <w:lvlJc w:val="left"/>
      <w:pPr>
        <w:tabs>
          <w:tab w:val="num" w:pos="5040"/>
        </w:tabs>
        <w:ind w:left="5040" w:hanging="360"/>
      </w:pPr>
    </w:lvl>
    <w:lvl w:ilvl="7" w:tplc="857083D2" w:tentative="1">
      <w:start w:val="1"/>
      <w:numFmt w:val="decimal"/>
      <w:lvlText w:val="%8)"/>
      <w:lvlJc w:val="left"/>
      <w:pPr>
        <w:tabs>
          <w:tab w:val="num" w:pos="5760"/>
        </w:tabs>
        <w:ind w:left="5760" w:hanging="360"/>
      </w:pPr>
    </w:lvl>
    <w:lvl w:ilvl="8" w:tplc="88906048" w:tentative="1">
      <w:start w:val="1"/>
      <w:numFmt w:val="decimal"/>
      <w:lvlText w:val="%9)"/>
      <w:lvlJc w:val="left"/>
      <w:pPr>
        <w:tabs>
          <w:tab w:val="num" w:pos="6480"/>
        </w:tabs>
        <w:ind w:left="6480" w:hanging="360"/>
      </w:pPr>
    </w:lvl>
  </w:abstractNum>
  <w:abstractNum w:abstractNumId="19" w15:restartNumberingAfterBreak="0">
    <w:nsid w:val="2B9B159F"/>
    <w:multiLevelType w:val="multilevel"/>
    <w:tmpl w:val="75C0DEEE"/>
    <w:styleLink w:val="HeadingsList"/>
    <w:lvl w:ilvl="0">
      <w:start w:val="1"/>
      <w:numFmt w:val="decimal"/>
      <w:lvlText w:val="%1."/>
      <w:lvlJc w:val="left"/>
      <w:pPr>
        <w:ind w:left="454" w:hanging="454"/>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3496150D"/>
    <w:multiLevelType w:val="multilevel"/>
    <w:tmpl w:val="7EBA12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15:restartNumberingAfterBreak="0">
    <w:nsid w:val="36714358"/>
    <w:multiLevelType w:val="multilevel"/>
    <w:tmpl w:val="C302D11A"/>
    <w:numStyleLink w:val="Numberedlist"/>
  </w:abstractNum>
  <w:abstractNum w:abstractNumId="22" w15:restartNumberingAfterBreak="0">
    <w:nsid w:val="373E0419"/>
    <w:multiLevelType w:val="hybridMultilevel"/>
    <w:tmpl w:val="D6FC0B4E"/>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85F51A1"/>
    <w:multiLevelType w:val="multilevel"/>
    <w:tmpl w:val="ACFCB78C"/>
    <w:styleLink w:val="BulletList"/>
    <w:lvl w:ilvl="0">
      <w:start w:val="1"/>
      <w:numFmt w:val="decimal"/>
      <w:lvlText w:val="%1."/>
      <w:lvlJc w:val="left"/>
      <w:pPr>
        <w:ind w:left="360" w:hanging="360"/>
      </w:pPr>
      <w:rPr>
        <w:rFonts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color w:val="FF0000"/>
      </w:rPr>
    </w:lvl>
    <w:lvl w:ilvl="4">
      <w:start w:val="1"/>
      <w:numFmt w:val="none"/>
      <w:suff w:val="nothing"/>
      <w:lvlText w:val=""/>
      <w:lvlJc w:val="left"/>
      <w:pPr>
        <w:ind w:left="0" w:firstLine="0"/>
      </w:pPr>
      <w:rPr>
        <w:b/>
        <w:i w:val="0"/>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4" w15:restartNumberingAfterBreak="0">
    <w:nsid w:val="3B3403A5"/>
    <w:multiLevelType w:val="multilevel"/>
    <w:tmpl w:val="A6B4FB68"/>
    <w:numStyleLink w:val="BulletsList"/>
  </w:abstractNum>
  <w:abstractNum w:abstractNumId="25" w15:restartNumberingAfterBreak="0">
    <w:nsid w:val="3BB83603"/>
    <w:multiLevelType w:val="multilevel"/>
    <w:tmpl w:val="AB0EE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E4116D"/>
    <w:multiLevelType w:val="multilevel"/>
    <w:tmpl w:val="86C84802"/>
    <w:styleLink w:val="AnnexLetters"/>
    <w:lvl w:ilvl="0">
      <w:start w:val="1"/>
      <w:numFmt w:val="upperLetter"/>
      <w:pStyle w:val="AnnexTitle"/>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DE532ED"/>
    <w:multiLevelType w:val="hybridMultilevel"/>
    <w:tmpl w:val="B4F0E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416745"/>
    <w:multiLevelType w:val="hybridMultilevel"/>
    <w:tmpl w:val="11AE8856"/>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0860F4B"/>
    <w:multiLevelType w:val="hybridMultilevel"/>
    <w:tmpl w:val="CEBA29A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390371B"/>
    <w:multiLevelType w:val="hybridMultilevel"/>
    <w:tmpl w:val="9A867B7E"/>
    <w:lvl w:ilvl="0" w:tplc="E5B28C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931C6F"/>
    <w:multiLevelType w:val="hybridMultilevel"/>
    <w:tmpl w:val="2D5A21CA"/>
    <w:lvl w:ilvl="0" w:tplc="954870E6">
      <w:start w:val="1"/>
      <w:numFmt w:val="decimal"/>
      <w:lvlText w:val="%1."/>
      <w:lvlJc w:val="left"/>
      <w:pPr>
        <w:ind w:left="1020" w:hanging="360"/>
      </w:pPr>
    </w:lvl>
    <w:lvl w:ilvl="1" w:tplc="B7FCD730">
      <w:start w:val="1"/>
      <w:numFmt w:val="decimal"/>
      <w:lvlText w:val="%2."/>
      <w:lvlJc w:val="left"/>
      <w:pPr>
        <w:ind w:left="1020" w:hanging="360"/>
      </w:pPr>
    </w:lvl>
    <w:lvl w:ilvl="2" w:tplc="FA7611F8">
      <w:start w:val="1"/>
      <w:numFmt w:val="decimal"/>
      <w:lvlText w:val="%3."/>
      <w:lvlJc w:val="left"/>
      <w:pPr>
        <w:ind w:left="1020" w:hanging="360"/>
      </w:pPr>
    </w:lvl>
    <w:lvl w:ilvl="3" w:tplc="ACD8843A">
      <w:start w:val="1"/>
      <w:numFmt w:val="decimal"/>
      <w:lvlText w:val="%4."/>
      <w:lvlJc w:val="left"/>
      <w:pPr>
        <w:ind w:left="1020" w:hanging="360"/>
      </w:pPr>
    </w:lvl>
    <w:lvl w:ilvl="4" w:tplc="4E8EFA9E">
      <w:start w:val="1"/>
      <w:numFmt w:val="decimal"/>
      <w:lvlText w:val="%5."/>
      <w:lvlJc w:val="left"/>
      <w:pPr>
        <w:ind w:left="1020" w:hanging="360"/>
      </w:pPr>
    </w:lvl>
    <w:lvl w:ilvl="5" w:tplc="3CB0A054">
      <w:start w:val="1"/>
      <w:numFmt w:val="decimal"/>
      <w:lvlText w:val="%6."/>
      <w:lvlJc w:val="left"/>
      <w:pPr>
        <w:ind w:left="1020" w:hanging="360"/>
      </w:pPr>
    </w:lvl>
    <w:lvl w:ilvl="6" w:tplc="66820CD2">
      <w:start w:val="1"/>
      <w:numFmt w:val="decimal"/>
      <w:lvlText w:val="%7."/>
      <w:lvlJc w:val="left"/>
      <w:pPr>
        <w:ind w:left="1020" w:hanging="360"/>
      </w:pPr>
    </w:lvl>
    <w:lvl w:ilvl="7" w:tplc="584E2848">
      <w:start w:val="1"/>
      <w:numFmt w:val="decimal"/>
      <w:lvlText w:val="%8."/>
      <w:lvlJc w:val="left"/>
      <w:pPr>
        <w:ind w:left="1020" w:hanging="360"/>
      </w:pPr>
    </w:lvl>
    <w:lvl w:ilvl="8" w:tplc="ACBAC632">
      <w:start w:val="1"/>
      <w:numFmt w:val="decimal"/>
      <w:lvlText w:val="%9."/>
      <w:lvlJc w:val="left"/>
      <w:pPr>
        <w:ind w:left="1020" w:hanging="360"/>
      </w:pPr>
    </w:lvl>
  </w:abstractNum>
  <w:abstractNum w:abstractNumId="32" w15:restartNumberingAfterBreak="0">
    <w:nsid w:val="46916300"/>
    <w:multiLevelType w:val="multilevel"/>
    <w:tmpl w:val="9BD61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1B6B97"/>
    <w:multiLevelType w:val="hybridMultilevel"/>
    <w:tmpl w:val="831A168E"/>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9022298"/>
    <w:multiLevelType w:val="hybridMultilevel"/>
    <w:tmpl w:val="144063C0"/>
    <w:lvl w:ilvl="0" w:tplc="2EF2511E">
      <w:start w:val="1"/>
      <w:numFmt w:val="decimal"/>
      <w:pStyle w:val="Paragraph1"/>
      <w:lvlText w:val="%1."/>
      <w:lvlJc w:val="left"/>
      <w:pPr>
        <w:ind w:left="720" w:hanging="360"/>
      </w:pPr>
      <w:rPr>
        <w:b w:val="0"/>
        <w:i w:val="0"/>
      </w:rPr>
    </w:lvl>
    <w:lvl w:ilvl="1" w:tplc="4C4EAD0A">
      <w:start w:val="1"/>
      <w:numFmt w:val="lowerLetter"/>
      <w:pStyle w:val="Subparagrapha"/>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BE52E1"/>
    <w:multiLevelType w:val="multilevel"/>
    <w:tmpl w:val="52B2D95E"/>
    <w:lvl w:ilvl="0">
      <w:start w:val="1"/>
      <w:numFmt w:val="decimal"/>
      <w:pStyle w:val="NumberedHeading1"/>
      <w:lvlText w:val="%1."/>
      <w:lvlJc w:val="left"/>
      <w:pPr>
        <w:ind w:left="737" w:hanging="737"/>
      </w:pPr>
      <w:rPr>
        <w:rFonts w:hint="default"/>
      </w:rPr>
    </w:lvl>
    <w:lvl w:ilvl="1">
      <w:start w:val="1"/>
      <w:numFmt w:val="decimal"/>
      <w:pStyle w:val="NumberedHeading2"/>
      <w:lvlText w:val="%1.%2"/>
      <w:lvlJc w:val="left"/>
      <w:pPr>
        <w:ind w:left="737" w:hanging="737"/>
      </w:pPr>
      <w:rPr>
        <w:rFonts w:hint="default"/>
      </w:rPr>
    </w:lvl>
    <w:lvl w:ilvl="2">
      <w:start w:val="1"/>
      <w:numFmt w:val="decimal"/>
      <w:pStyle w:val="NumberedHeading3"/>
      <w:lvlText w:val="%1.%2.%3"/>
      <w:lvlJc w:val="left"/>
      <w:pPr>
        <w:ind w:left="737" w:hanging="737"/>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8" w15:restartNumberingAfterBreak="0">
    <w:nsid w:val="56AC5E1F"/>
    <w:multiLevelType w:val="hybridMultilevel"/>
    <w:tmpl w:val="09CA00EC"/>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7285314"/>
    <w:multiLevelType w:val="hybridMultilevel"/>
    <w:tmpl w:val="D1E87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5D7E15"/>
    <w:multiLevelType w:val="hybridMultilevel"/>
    <w:tmpl w:val="5860EE72"/>
    <w:styleLink w:val="TableHeadingNumbers"/>
    <w:lvl w:ilvl="0" w:tplc="A852F18C">
      <w:start w:val="1"/>
      <w:numFmt w:val="decimal"/>
      <w:lvlText w:val="Table %1."/>
      <w:lvlJc w:val="left"/>
      <w:pPr>
        <w:ind w:left="907" w:hanging="907"/>
      </w:pPr>
      <w:rPr>
        <w:rFonts w:hint="default"/>
      </w:rPr>
    </w:lvl>
    <w:lvl w:ilvl="1" w:tplc="407C6682">
      <w:start w:val="1"/>
      <w:numFmt w:val="lowerLetter"/>
      <w:lvlText w:val="%2)"/>
      <w:lvlJc w:val="left"/>
      <w:pPr>
        <w:ind w:left="1814" w:hanging="907"/>
      </w:pPr>
      <w:rPr>
        <w:rFonts w:hint="default"/>
      </w:rPr>
    </w:lvl>
    <w:lvl w:ilvl="2" w:tplc="2736C468">
      <w:start w:val="1"/>
      <w:numFmt w:val="lowerRoman"/>
      <w:lvlText w:val="%3)"/>
      <w:lvlJc w:val="left"/>
      <w:pPr>
        <w:ind w:left="2721" w:hanging="907"/>
      </w:pPr>
      <w:rPr>
        <w:rFonts w:hint="default"/>
      </w:rPr>
    </w:lvl>
    <w:lvl w:ilvl="3" w:tplc="711238B0">
      <w:start w:val="1"/>
      <w:numFmt w:val="decimal"/>
      <w:lvlText w:val="(%4)"/>
      <w:lvlJc w:val="left"/>
      <w:pPr>
        <w:ind w:left="3628" w:hanging="907"/>
      </w:pPr>
      <w:rPr>
        <w:rFonts w:hint="default"/>
      </w:rPr>
    </w:lvl>
    <w:lvl w:ilvl="4" w:tplc="284C5FE2">
      <w:start w:val="1"/>
      <w:numFmt w:val="lowerLetter"/>
      <w:lvlText w:val="(%5)"/>
      <w:lvlJc w:val="left"/>
      <w:pPr>
        <w:ind w:left="4535" w:hanging="907"/>
      </w:pPr>
      <w:rPr>
        <w:rFonts w:hint="default"/>
      </w:rPr>
    </w:lvl>
    <w:lvl w:ilvl="5" w:tplc="EAFC48EE">
      <w:start w:val="1"/>
      <w:numFmt w:val="lowerRoman"/>
      <w:lvlText w:val="(%6)"/>
      <w:lvlJc w:val="left"/>
      <w:pPr>
        <w:ind w:left="5442" w:hanging="907"/>
      </w:pPr>
      <w:rPr>
        <w:rFonts w:hint="default"/>
      </w:rPr>
    </w:lvl>
    <w:lvl w:ilvl="6" w:tplc="3C641D3C">
      <w:start w:val="1"/>
      <w:numFmt w:val="decimal"/>
      <w:lvlText w:val="%7."/>
      <w:lvlJc w:val="left"/>
      <w:pPr>
        <w:ind w:left="6349" w:hanging="907"/>
      </w:pPr>
      <w:rPr>
        <w:rFonts w:hint="default"/>
      </w:rPr>
    </w:lvl>
    <w:lvl w:ilvl="7" w:tplc="F00EF14C">
      <w:start w:val="1"/>
      <w:numFmt w:val="lowerLetter"/>
      <w:lvlText w:val="%8."/>
      <w:lvlJc w:val="left"/>
      <w:pPr>
        <w:ind w:left="7256" w:hanging="907"/>
      </w:pPr>
      <w:rPr>
        <w:rFonts w:hint="default"/>
      </w:rPr>
    </w:lvl>
    <w:lvl w:ilvl="8" w:tplc="71C65B52">
      <w:start w:val="1"/>
      <w:numFmt w:val="lowerRoman"/>
      <w:lvlText w:val="%9."/>
      <w:lvlJc w:val="left"/>
      <w:pPr>
        <w:ind w:left="8163" w:hanging="907"/>
      </w:pPr>
      <w:rPr>
        <w:rFonts w:hint="default"/>
      </w:rPr>
    </w:lvl>
  </w:abstractNum>
  <w:abstractNum w:abstractNumId="41" w15:restartNumberingAfterBreak="0">
    <w:nsid w:val="5DEF649F"/>
    <w:multiLevelType w:val="hybridMultilevel"/>
    <w:tmpl w:val="3BD00EE2"/>
    <w:styleLink w:val="FigureTitles"/>
    <w:lvl w:ilvl="0" w:tplc="D1ECDB40">
      <w:start w:val="1"/>
      <w:numFmt w:val="decimal"/>
      <w:lvlText w:val="Figure %1."/>
      <w:lvlJc w:val="left"/>
      <w:pPr>
        <w:ind w:left="907" w:hanging="907"/>
      </w:pPr>
      <w:rPr>
        <w:rFonts w:hint="default"/>
      </w:rPr>
    </w:lvl>
    <w:lvl w:ilvl="1" w:tplc="9F04D914">
      <w:start w:val="1"/>
      <w:numFmt w:val="lowerLetter"/>
      <w:lvlText w:val="%2)"/>
      <w:lvlJc w:val="left"/>
      <w:pPr>
        <w:ind w:left="1814" w:hanging="907"/>
      </w:pPr>
      <w:rPr>
        <w:rFonts w:hint="default"/>
      </w:rPr>
    </w:lvl>
    <w:lvl w:ilvl="2" w:tplc="7C288CD6">
      <w:start w:val="1"/>
      <w:numFmt w:val="lowerRoman"/>
      <w:lvlText w:val="%3)"/>
      <w:lvlJc w:val="left"/>
      <w:pPr>
        <w:ind w:left="2721" w:hanging="907"/>
      </w:pPr>
      <w:rPr>
        <w:rFonts w:hint="default"/>
      </w:rPr>
    </w:lvl>
    <w:lvl w:ilvl="3" w:tplc="69124320">
      <w:start w:val="1"/>
      <w:numFmt w:val="decimal"/>
      <w:lvlText w:val="(%4)"/>
      <w:lvlJc w:val="left"/>
      <w:pPr>
        <w:ind w:left="3628" w:hanging="907"/>
      </w:pPr>
      <w:rPr>
        <w:rFonts w:hint="default"/>
      </w:rPr>
    </w:lvl>
    <w:lvl w:ilvl="4" w:tplc="A4AE4FA2">
      <w:start w:val="1"/>
      <w:numFmt w:val="lowerLetter"/>
      <w:lvlText w:val="(%5)"/>
      <w:lvlJc w:val="left"/>
      <w:pPr>
        <w:ind w:left="4535" w:hanging="907"/>
      </w:pPr>
      <w:rPr>
        <w:rFonts w:hint="default"/>
      </w:rPr>
    </w:lvl>
    <w:lvl w:ilvl="5" w:tplc="92E28970">
      <w:start w:val="1"/>
      <w:numFmt w:val="lowerRoman"/>
      <w:lvlText w:val="(%6)"/>
      <w:lvlJc w:val="left"/>
      <w:pPr>
        <w:ind w:left="5442" w:hanging="907"/>
      </w:pPr>
      <w:rPr>
        <w:rFonts w:hint="default"/>
      </w:rPr>
    </w:lvl>
    <w:lvl w:ilvl="6" w:tplc="141862F4">
      <w:start w:val="1"/>
      <w:numFmt w:val="decimal"/>
      <w:lvlText w:val="%7."/>
      <w:lvlJc w:val="left"/>
      <w:pPr>
        <w:ind w:left="6349" w:hanging="907"/>
      </w:pPr>
      <w:rPr>
        <w:rFonts w:hint="default"/>
      </w:rPr>
    </w:lvl>
    <w:lvl w:ilvl="7" w:tplc="BB368CC8">
      <w:start w:val="1"/>
      <w:numFmt w:val="lowerLetter"/>
      <w:lvlText w:val="%8."/>
      <w:lvlJc w:val="left"/>
      <w:pPr>
        <w:ind w:left="7256" w:hanging="907"/>
      </w:pPr>
      <w:rPr>
        <w:rFonts w:hint="default"/>
      </w:rPr>
    </w:lvl>
    <w:lvl w:ilvl="8" w:tplc="7700B848">
      <w:start w:val="1"/>
      <w:numFmt w:val="lowerRoman"/>
      <w:lvlText w:val="%9."/>
      <w:lvlJc w:val="left"/>
      <w:pPr>
        <w:ind w:left="8163" w:hanging="907"/>
      </w:pPr>
      <w:rPr>
        <w:rFonts w:hint="default"/>
      </w:rPr>
    </w:lvl>
  </w:abstractNum>
  <w:abstractNum w:abstractNumId="42" w15:restartNumberingAfterBreak="0">
    <w:nsid w:val="5DFF3C6E"/>
    <w:multiLevelType w:val="hybridMultilevel"/>
    <w:tmpl w:val="0AB28A36"/>
    <w:lvl w:ilvl="0" w:tplc="DA0C9A46">
      <w:start w:val="1"/>
      <w:numFmt w:val="bullet"/>
      <w:pStyle w:val="Box2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5EB87A2D"/>
    <w:multiLevelType w:val="hybridMultilevel"/>
    <w:tmpl w:val="AD6447B6"/>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5F9769AC"/>
    <w:multiLevelType w:val="hybridMultilevel"/>
    <w:tmpl w:val="4E989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1E380E"/>
    <w:multiLevelType w:val="hybridMultilevel"/>
    <w:tmpl w:val="AE00C5A0"/>
    <w:lvl w:ilvl="0" w:tplc="374E2694">
      <w:start w:val="1"/>
      <w:numFmt w:val="bullet"/>
      <w:pStyle w:val="Box1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63A45487"/>
    <w:multiLevelType w:val="hybridMultilevel"/>
    <w:tmpl w:val="EF5EADB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693F6055"/>
    <w:multiLevelType w:val="hybridMultilevel"/>
    <w:tmpl w:val="E146C1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6C01237F"/>
    <w:multiLevelType w:val="multilevel"/>
    <w:tmpl w:val="0E6C96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6C374FD2"/>
    <w:multiLevelType w:val="hybridMultilevel"/>
    <w:tmpl w:val="E7E032B8"/>
    <w:lvl w:ilvl="0" w:tplc="27787710">
      <w:start w:val="7"/>
      <w:numFmt w:val="decimal"/>
      <w:lvlText w:val="%1)"/>
      <w:lvlJc w:val="left"/>
      <w:pPr>
        <w:tabs>
          <w:tab w:val="num" w:pos="720"/>
        </w:tabs>
        <w:ind w:left="720" w:hanging="360"/>
      </w:pPr>
    </w:lvl>
    <w:lvl w:ilvl="1" w:tplc="2F60F9BC" w:tentative="1">
      <w:start w:val="1"/>
      <w:numFmt w:val="decimal"/>
      <w:lvlText w:val="%2)"/>
      <w:lvlJc w:val="left"/>
      <w:pPr>
        <w:tabs>
          <w:tab w:val="num" w:pos="1440"/>
        </w:tabs>
        <w:ind w:left="1440" w:hanging="360"/>
      </w:pPr>
    </w:lvl>
    <w:lvl w:ilvl="2" w:tplc="310C26E6" w:tentative="1">
      <w:start w:val="1"/>
      <w:numFmt w:val="decimal"/>
      <w:lvlText w:val="%3)"/>
      <w:lvlJc w:val="left"/>
      <w:pPr>
        <w:tabs>
          <w:tab w:val="num" w:pos="2160"/>
        </w:tabs>
        <w:ind w:left="2160" w:hanging="360"/>
      </w:pPr>
    </w:lvl>
    <w:lvl w:ilvl="3" w:tplc="968015F4" w:tentative="1">
      <w:start w:val="1"/>
      <w:numFmt w:val="decimal"/>
      <w:lvlText w:val="%4)"/>
      <w:lvlJc w:val="left"/>
      <w:pPr>
        <w:tabs>
          <w:tab w:val="num" w:pos="2880"/>
        </w:tabs>
        <w:ind w:left="2880" w:hanging="360"/>
      </w:pPr>
    </w:lvl>
    <w:lvl w:ilvl="4" w:tplc="92E871AA" w:tentative="1">
      <w:start w:val="1"/>
      <w:numFmt w:val="decimal"/>
      <w:lvlText w:val="%5)"/>
      <w:lvlJc w:val="left"/>
      <w:pPr>
        <w:tabs>
          <w:tab w:val="num" w:pos="3600"/>
        </w:tabs>
        <w:ind w:left="3600" w:hanging="360"/>
      </w:pPr>
    </w:lvl>
    <w:lvl w:ilvl="5" w:tplc="28ACA842" w:tentative="1">
      <w:start w:val="1"/>
      <w:numFmt w:val="decimal"/>
      <w:lvlText w:val="%6)"/>
      <w:lvlJc w:val="left"/>
      <w:pPr>
        <w:tabs>
          <w:tab w:val="num" w:pos="4320"/>
        </w:tabs>
        <w:ind w:left="4320" w:hanging="360"/>
      </w:pPr>
    </w:lvl>
    <w:lvl w:ilvl="6" w:tplc="7E22594C" w:tentative="1">
      <w:start w:val="1"/>
      <w:numFmt w:val="decimal"/>
      <w:lvlText w:val="%7)"/>
      <w:lvlJc w:val="left"/>
      <w:pPr>
        <w:tabs>
          <w:tab w:val="num" w:pos="5040"/>
        </w:tabs>
        <w:ind w:left="5040" w:hanging="360"/>
      </w:pPr>
    </w:lvl>
    <w:lvl w:ilvl="7" w:tplc="17DC99A0" w:tentative="1">
      <w:start w:val="1"/>
      <w:numFmt w:val="decimal"/>
      <w:lvlText w:val="%8)"/>
      <w:lvlJc w:val="left"/>
      <w:pPr>
        <w:tabs>
          <w:tab w:val="num" w:pos="5760"/>
        </w:tabs>
        <w:ind w:left="5760" w:hanging="360"/>
      </w:pPr>
    </w:lvl>
    <w:lvl w:ilvl="8" w:tplc="158C108E" w:tentative="1">
      <w:start w:val="1"/>
      <w:numFmt w:val="decimal"/>
      <w:lvlText w:val="%9)"/>
      <w:lvlJc w:val="left"/>
      <w:pPr>
        <w:tabs>
          <w:tab w:val="num" w:pos="6480"/>
        </w:tabs>
        <w:ind w:left="6480" w:hanging="360"/>
      </w:pPr>
    </w:lvl>
  </w:abstractNum>
  <w:abstractNum w:abstractNumId="50" w15:restartNumberingAfterBreak="0">
    <w:nsid w:val="6ED367A9"/>
    <w:multiLevelType w:val="hybridMultilevel"/>
    <w:tmpl w:val="31224302"/>
    <w:lvl w:ilvl="0" w:tplc="1C2AD61C">
      <w:start w:val="1"/>
      <w:numFmt w:val="bullet"/>
      <w:lvlText w:val=""/>
      <w:lvlJc w:val="left"/>
      <w:pPr>
        <w:ind w:left="720" w:hanging="360"/>
      </w:pPr>
      <w:rPr>
        <w:rFonts w:ascii="Symbol" w:hAnsi="Symbol"/>
      </w:rPr>
    </w:lvl>
    <w:lvl w:ilvl="1" w:tplc="9ADEBF18">
      <w:start w:val="1"/>
      <w:numFmt w:val="bullet"/>
      <w:lvlText w:val=""/>
      <w:lvlJc w:val="left"/>
      <w:pPr>
        <w:ind w:left="720" w:hanging="360"/>
      </w:pPr>
      <w:rPr>
        <w:rFonts w:ascii="Symbol" w:hAnsi="Symbol"/>
      </w:rPr>
    </w:lvl>
    <w:lvl w:ilvl="2" w:tplc="7F0A42FE">
      <w:start w:val="1"/>
      <w:numFmt w:val="bullet"/>
      <w:lvlText w:val=""/>
      <w:lvlJc w:val="left"/>
      <w:pPr>
        <w:ind w:left="720" w:hanging="360"/>
      </w:pPr>
      <w:rPr>
        <w:rFonts w:ascii="Symbol" w:hAnsi="Symbol"/>
      </w:rPr>
    </w:lvl>
    <w:lvl w:ilvl="3" w:tplc="6F28B1AE">
      <w:start w:val="1"/>
      <w:numFmt w:val="bullet"/>
      <w:lvlText w:val=""/>
      <w:lvlJc w:val="left"/>
      <w:pPr>
        <w:ind w:left="720" w:hanging="360"/>
      </w:pPr>
      <w:rPr>
        <w:rFonts w:ascii="Symbol" w:hAnsi="Symbol"/>
      </w:rPr>
    </w:lvl>
    <w:lvl w:ilvl="4" w:tplc="F8A8CF08">
      <w:start w:val="1"/>
      <w:numFmt w:val="bullet"/>
      <w:lvlText w:val=""/>
      <w:lvlJc w:val="left"/>
      <w:pPr>
        <w:ind w:left="720" w:hanging="360"/>
      </w:pPr>
      <w:rPr>
        <w:rFonts w:ascii="Symbol" w:hAnsi="Symbol"/>
      </w:rPr>
    </w:lvl>
    <w:lvl w:ilvl="5" w:tplc="10BAFAAC">
      <w:start w:val="1"/>
      <w:numFmt w:val="bullet"/>
      <w:lvlText w:val=""/>
      <w:lvlJc w:val="left"/>
      <w:pPr>
        <w:ind w:left="720" w:hanging="360"/>
      </w:pPr>
      <w:rPr>
        <w:rFonts w:ascii="Symbol" w:hAnsi="Symbol"/>
      </w:rPr>
    </w:lvl>
    <w:lvl w:ilvl="6" w:tplc="1CDEBA08">
      <w:start w:val="1"/>
      <w:numFmt w:val="bullet"/>
      <w:lvlText w:val=""/>
      <w:lvlJc w:val="left"/>
      <w:pPr>
        <w:ind w:left="720" w:hanging="360"/>
      </w:pPr>
      <w:rPr>
        <w:rFonts w:ascii="Symbol" w:hAnsi="Symbol"/>
      </w:rPr>
    </w:lvl>
    <w:lvl w:ilvl="7" w:tplc="7DE682F8">
      <w:start w:val="1"/>
      <w:numFmt w:val="bullet"/>
      <w:lvlText w:val=""/>
      <w:lvlJc w:val="left"/>
      <w:pPr>
        <w:ind w:left="720" w:hanging="360"/>
      </w:pPr>
      <w:rPr>
        <w:rFonts w:ascii="Symbol" w:hAnsi="Symbol"/>
      </w:rPr>
    </w:lvl>
    <w:lvl w:ilvl="8" w:tplc="E50C7EA2">
      <w:start w:val="1"/>
      <w:numFmt w:val="bullet"/>
      <w:lvlText w:val=""/>
      <w:lvlJc w:val="left"/>
      <w:pPr>
        <w:ind w:left="720" w:hanging="360"/>
      </w:pPr>
      <w:rPr>
        <w:rFonts w:ascii="Symbol" w:hAnsi="Symbol"/>
      </w:rPr>
    </w:lvl>
  </w:abstractNum>
  <w:abstractNum w:abstractNumId="51" w15:restartNumberingAfterBreak="0">
    <w:nsid w:val="706E7F73"/>
    <w:multiLevelType w:val="hybridMultilevel"/>
    <w:tmpl w:val="E842A7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0FB1848"/>
    <w:multiLevelType w:val="hybridMultilevel"/>
    <w:tmpl w:val="062ADAAA"/>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3" w15:restartNumberingAfterBreak="0">
    <w:nsid w:val="73107305"/>
    <w:multiLevelType w:val="hybridMultilevel"/>
    <w:tmpl w:val="A6B4FB68"/>
    <w:styleLink w:val="BulletsList"/>
    <w:lvl w:ilvl="0" w:tplc="FEE42880">
      <w:start w:val="1"/>
      <w:numFmt w:val="bullet"/>
      <w:lvlText w:val=""/>
      <w:lvlJc w:val="left"/>
      <w:pPr>
        <w:ind w:left="284" w:hanging="284"/>
      </w:pPr>
      <w:rPr>
        <w:rFonts w:ascii="Wingdings" w:hAnsi="Wingdings" w:hint="default"/>
        <w:color w:val="005487"/>
      </w:rPr>
    </w:lvl>
    <w:lvl w:ilvl="1" w:tplc="3298501A">
      <w:start w:val="1"/>
      <w:numFmt w:val="bullet"/>
      <w:pStyle w:val="Bullet2"/>
      <w:lvlText w:val="+"/>
      <w:lvlJc w:val="left"/>
      <w:pPr>
        <w:ind w:left="568" w:hanging="284"/>
      </w:pPr>
      <w:rPr>
        <w:rFonts w:ascii="Calibri" w:hAnsi="Calibri" w:hint="default"/>
        <w:color w:val="005487"/>
      </w:rPr>
    </w:lvl>
    <w:lvl w:ilvl="2" w:tplc="522A7F08">
      <w:start w:val="1"/>
      <w:numFmt w:val="bullet"/>
      <w:pStyle w:val="Bullet3"/>
      <w:lvlText w:val=""/>
      <w:lvlJc w:val="left"/>
      <w:pPr>
        <w:ind w:left="852" w:hanging="284"/>
      </w:pPr>
      <w:rPr>
        <w:rFonts w:ascii="Symbol" w:hAnsi="Symbol" w:hint="default"/>
        <w:color w:val="005487"/>
      </w:rPr>
    </w:lvl>
    <w:lvl w:ilvl="3" w:tplc="BA76D3C6">
      <w:start w:val="1"/>
      <w:numFmt w:val="bullet"/>
      <w:pStyle w:val="Bullet4"/>
      <w:lvlText w:val="&gt;"/>
      <w:lvlJc w:val="left"/>
      <w:pPr>
        <w:ind w:left="1136" w:hanging="284"/>
      </w:pPr>
      <w:rPr>
        <w:rFonts w:ascii="Calibri" w:hAnsi="Calibri" w:hint="default"/>
        <w:color w:val="005487"/>
      </w:rPr>
    </w:lvl>
    <w:lvl w:ilvl="4" w:tplc="E974AE0A">
      <w:start w:val="1"/>
      <w:numFmt w:val="lowerLetter"/>
      <w:lvlText w:val="(%5)"/>
      <w:lvlJc w:val="left"/>
      <w:pPr>
        <w:ind w:left="1420" w:hanging="284"/>
      </w:pPr>
      <w:rPr>
        <w:rFonts w:hint="default"/>
      </w:rPr>
    </w:lvl>
    <w:lvl w:ilvl="5" w:tplc="3F726304">
      <w:start w:val="1"/>
      <w:numFmt w:val="lowerRoman"/>
      <w:lvlText w:val="(%6)"/>
      <w:lvlJc w:val="left"/>
      <w:pPr>
        <w:ind w:left="1704" w:hanging="284"/>
      </w:pPr>
      <w:rPr>
        <w:rFonts w:hint="default"/>
      </w:rPr>
    </w:lvl>
    <w:lvl w:ilvl="6" w:tplc="E49E4730">
      <w:start w:val="1"/>
      <w:numFmt w:val="decimal"/>
      <w:lvlText w:val="%7."/>
      <w:lvlJc w:val="left"/>
      <w:pPr>
        <w:ind w:left="1988" w:hanging="284"/>
      </w:pPr>
      <w:rPr>
        <w:rFonts w:hint="default"/>
      </w:rPr>
    </w:lvl>
    <w:lvl w:ilvl="7" w:tplc="58F054B6">
      <w:start w:val="1"/>
      <w:numFmt w:val="lowerLetter"/>
      <w:lvlText w:val="%8."/>
      <w:lvlJc w:val="left"/>
      <w:pPr>
        <w:ind w:left="2272" w:hanging="284"/>
      </w:pPr>
      <w:rPr>
        <w:rFonts w:hint="default"/>
      </w:rPr>
    </w:lvl>
    <w:lvl w:ilvl="8" w:tplc="3BFC96D0">
      <w:start w:val="1"/>
      <w:numFmt w:val="lowerRoman"/>
      <w:lvlText w:val="%9."/>
      <w:lvlJc w:val="left"/>
      <w:pPr>
        <w:ind w:left="2556" w:hanging="284"/>
      </w:pPr>
      <w:rPr>
        <w:rFonts w:hint="default"/>
      </w:rPr>
    </w:lvl>
  </w:abstractNum>
  <w:abstractNum w:abstractNumId="54" w15:restartNumberingAfterBreak="0">
    <w:nsid w:val="76D7651C"/>
    <w:multiLevelType w:val="hybridMultilevel"/>
    <w:tmpl w:val="4032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7E7370B"/>
    <w:multiLevelType w:val="hybridMultilevel"/>
    <w:tmpl w:val="B8006340"/>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AC76BA5"/>
    <w:multiLevelType w:val="hybridMultilevel"/>
    <w:tmpl w:val="B4E437A8"/>
    <w:lvl w:ilvl="0" w:tplc="1820EBF4">
      <w:start w:val="1"/>
      <w:numFmt w:val="bullet"/>
      <w:lvlText w:val="-"/>
      <w:lvlJc w:val="left"/>
      <w:pPr>
        <w:ind w:left="1080" w:hanging="360"/>
      </w:pPr>
      <w:rPr>
        <w:rFonts w:ascii="Yu Mincho Light" w:eastAsia="Yu Mincho Light" w:hAnsi="Yu Mincho Ligh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5"/>
  </w:num>
  <w:num w:numId="4">
    <w:abstractNumId w:val="36"/>
  </w:num>
  <w:num w:numId="5">
    <w:abstractNumId w:val="13"/>
  </w:num>
  <w:num w:numId="6">
    <w:abstractNumId w:val="35"/>
  </w:num>
  <w:num w:numId="7">
    <w:abstractNumId w:val="26"/>
  </w:num>
  <w:num w:numId="8">
    <w:abstractNumId w:val="17"/>
  </w:num>
  <w:num w:numId="9">
    <w:abstractNumId w:val="16"/>
  </w:num>
  <w:num w:numId="10">
    <w:abstractNumId w:val="45"/>
  </w:num>
  <w:num w:numId="11">
    <w:abstractNumId w:val="42"/>
  </w:num>
  <w:num w:numId="12">
    <w:abstractNumId w:val="53"/>
  </w:num>
  <w:num w:numId="13">
    <w:abstractNumId w:val="41"/>
  </w:num>
  <w:num w:numId="14">
    <w:abstractNumId w:val="19"/>
  </w:num>
  <w:num w:numId="15">
    <w:abstractNumId w:val="2"/>
  </w:num>
  <w:num w:numId="16">
    <w:abstractNumId w:val="0"/>
  </w:num>
  <w:num w:numId="17">
    <w:abstractNumId w:val="24"/>
    <w:lvlOverride w:ilvl="0">
      <w:lvl w:ilvl="0">
        <w:start w:val="1"/>
        <w:numFmt w:val="bullet"/>
        <w:lvlText w:val=""/>
        <w:lvlJc w:val="left"/>
        <w:pPr>
          <w:ind w:left="284" w:hanging="284"/>
        </w:pPr>
        <w:rPr>
          <w:rFonts w:ascii="Wingdings" w:hAnsi="Wingdings" w:hint="default"/>
          <w:color w:val="005487"/>
        </w:rPr>
      </w:lvl>
    </w:lvlOverride>
  </w:num>
  <w:num w:numId="18">
    <w:abstractNumId w:val="21"/>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568"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pStyle w:val="NumberedList4"/>
        <w:lvlText w:val="(%4)"/>
        <w:lvlJc w:val="left"/>
        <w:pPr>
          <w:ind w:left="1136" w:hanging="284"/>
        </w:pPr>
        <w:rPr>
          <w:rFonts w:hint="default"/>
        </w:rPr>
      </w:lvl>
    </w:lvlOverride>
    <w:lvlOverride w:ilvl="4">
      <w:lvl w:ilvl="4">
        <w:start w:val="1"/>
        <w:numFmt w:val="lowerLetter"/>
        <w:pStyle w:val="NumberedList5"/>
        <w:lvlText w:val="(%5)"/>
        <w:lvlJc w:val="left"/>
        <w:pPr>
          <w:ind w:left="1420" w:hanging="284"/>
        </w:pPr>
        <w:rPr>
          <w:rFonts w:hint="default"/>
        </w:rPr>
      </w:lvl>
    </w:lvlOverride>
    <w:lvlOverride w:ilvl="5">
      <w:lvl w:ilvl="5">
        <w:start w:val="1"/>
        <w:numFmt w:val="lowerRoman"/>
        <w:pStyle w:val="NumberedList6"/>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9">
    <w:abstractNumId w:val="40"/>
  </w:num>
  <w:num w:numId="20">
    <w:abstractNumId w:val="34"/>
  </w:num>
  <w:num w:numId="21">
    <w:abstractNumId w:val="23"/>
  </w:num>
  <w:num w:numId="22">
    <w:abstractNumId w:val="37"/>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0"/>
  </w:num>
  <w:num w:numId="27">
    <w:abstractNumId w:val="12"/>
  </w:num>
  <w:num w:numId="28">
    <w:abstractNumId w:val="10"/>
  </w:num>
  <w:num w:numId="29">
    <w:abstractNumId w:val="8"/>
  </w:num>
  <w:num w:numId="30">
    <w:abstractNumId w:val="27"/>
  </w:num>
  <w:num w:numId="31">
    <w:abstractNumId w:val="30"/>
  </w:num>
  <w:num w:numId="32">
    <w:abstractNumId w:val="39"/>
  </w:num>
  <w:num w:numId="33">
    <w:abstractNumId w:val="51"/>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pStyle w:val="NumberedList2"/>
        <w:lvlText w:val="%2."/>
        <w:lvlJc w:val="left"/>
        <w:pPr>
          <w:ind w:left="568" w:hanging="284"/>
        </w:pPr>
        <w:rPr>
          <w:rFonts w:hint="default"/>
        </w:rPr>
      </w:lvl>
    </w:lvlOverride>
    <w:lvlOverride w:ilvl="2">
      <w:startOverride w:val="1"/>
      <w:lvl w:ilvl="2">
        <w:start w:val="1"/>
        <w:numFmt w:val="lowerRoman"/>
        <w:pStyle w:val="NumberedList3"/>
        <w:lvlText w:val="%3."/>
        <w:lvlJc w:val="left"/>
        <w:pPr>
          <w:ind w:left="852" w:hanging="284"/>
        </w:pPr>
        <w:rPr>
          <w:rFonts w:hint="default"/>
        </w:rPr>
      </w:lvl>
    </w:lvlOverride>
    <w:lvlOverride w:ilvl="3">
      <w:startOverride w:val="1"/>
      <w:lvl w:ilvl="3">
        <w:start w:val="1"/>
        <w:numFmt w:val="decimal"/>
        <w:pStyle w:val="NumberedList4"/>
        <w:lvlText w:val="(%4)"/>
        <w:lvlJc w:val="left"/>
        <w:pPr>
          <w:ind w:left="1136" w:hanging="284"/>
        </w:pPr>
        <w:rPr>
          <w:rFonts w:hint="default"/>
        </w:rPr>
      </w:lvl>
    </w:lvlOverride>
    <w:lvlOverride w:ilvl="4">
      <w:startOverride w:val="1"/>
      <w:lvl w:ilvl="4">
        <w:start w:val="1"/>
        <w:numFmt w:val="lowerLetter"/>
        <w:pStyle w:val="NumberedList5"/>
        <w:lvlText w:val="(%5)"/>
        <w:lvlJc w:val="left"/>
        <w:pPr>
          <w:ind w:left="1420" w:hanging="284"/>
        </w:pPr>
        <w:rPr>
          <w:rFonts w:hint="default"/>
        </w:rPr>
      </w:lvl>
    </w:lvlOverride>
    <w:lvlOverride w:ilvl="5">
      <w:startOverride w:val="1"/>
      <w:lvl w:ilvl="5">
        <w:start w:val="1"/>
        <w:numFmt w:val="lowerRoman"/>
        <w:pStyle w:val="NumberedList6"/>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4"/>
  </w:num>
  <w:num w:numId="42">
    <w:abstractNumId w:val="44"/>
  </w:num>
  <w:num w:numId="43">
    <w:abstractNumId w:val="54"/>
  </w:num>
  <w:num w:numId="44">
    <w:abstractNumId w:val="1"/>
  </w:num>
  <w:num w:numId="45">
    <w:abstractNumId w:val="18"/>
  </w:num>
  <w:num w:numId="46">
    <w:abstractNumId w:val="49"/>
  </w:num>
  <w:num w:numId="47">
    <w:abstractNumId w:val="15"/>
  </w:num>
  <w:num w:numId="48">
    <w:abstractNumId w:val="11"/>
  </w:num>
  <w:num w:numId="49">
    <w:abstractNumId w:val="33"/>
  </w:num>
  <w:num w:numId="50">
    <w:abstractNumId w:val="9"/>
  </w:num>
  <w:num w:numId="51">
    <w:abstractNumId w:val="38"/>
  </w:num>
  <w:num w:numId="52">
    <w:abstractNumId w:val="22"/>
  </w:num>
  <w:num w:numId="53">
    <w:abstractNumId w:val="56"/>
  </w:num>
  <w:num w:numId="54">
    <w:abstractNumId w:val="28"/>
  </w:num>
  <w:num w:numId="55">
    <w:abstractNumId w:val="43"/>
  </w:num>
  <w:num w:numId="56">
    <w:abstractNumId w:val="55"/>
  </w:num>
  <w:num w:numId="57">
    <w:abstractNumId w:val="4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25"/>
  </w:num>
  <w:num w:numId="60">
    <w:abstractNumId w:val="52"/>
  </w:num>
  <w:num w:numId="61">
    <w:abstractNumId w:val="46"/>
  </w:num>
  <w:num w:numId="62">
    <w:abstractNumId w:val="29"/>
  </w:num>
  <w:num w:numId="63">
    <w:abstractNumId w:val="3"/>
  </w:num>
  <w:num w:numId="64">
    <w:abstractNumId w:val="31"/>
  </w:num>
  <w:num w:numId="65">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1F5"/>
    <w:rsid w:val="0000006E"/>
    <w:rsid w:val="00000195"/>
    <w:rsid w:val="000001A1"/>
    <w:rsid w:val="0000024F"/>
    <w:rsid w:val="00000400"/>
    <w:rsid w:val="000004D7"/>
    <w:rsid w:val="000004F6"/>
    <w:rsid w:val="00000663"/>
    <w:rsid w:val="0000075D"/>
    <w:rsid w:val="0000077C"/>
    <w:rsid w:val="00000A30"/>
    <w:rsid w:val="00000B1A"/>
    <w:rsid w:val="00000B26"/>
    <w:rsid w:val="00000C63"/>
    <w:rsid w:val="00000E33"/>
    <w:rsid w:val="00000EDB"/>
    <w:rsid w:val="0000117D"/>
    <w:rsid w:val="00001250"/>
    <w:rsid w:val="000014DB"/>
    <w:rsid w:val="00001686"/>
    <w:rsid w:val="00001709"/>
    <w:rsid w:val="000017AA"/>
    <w:rsid w:val="000018D7"/>
    <w:rsid w:val="00001972"/>
    <w:rsid w:val="00001C29"/>
    <w:rsid w:val="00001C95"/>
    <w:rsid w:val="00001EB5"/>
    <w:rsid w:val="0000228F"/>
    <w:rsid w:val="00002301"/>
    <w:rsid w:val="00002451"/>
    <w:rsid w:val="00002462"/>
    <w:rsid w:val="0000246A"/>
    <w:rsid w:val="00002658"/>
    <w:rsid w:val="00002793"/>
    <w:rsid w:val="00002A72"/>
    <w:rsid w:val="00002BD9"/>
    <w:rsid w:val="00002C61"/>
    <w:rsid w:val="00002E44"/>
    <w:rsid w:val="00002FD1"/>
    <w:rsid w:val="00003126"/>
    <w:rsid w:val="00003174"/>
    <w:rsid w:val="000031AB"/>
    <w:rsid w:val="000031F9"/>
    <w:rsid w:val="00003258"/>
    <w:rsid w:val="0000365E"/>
    <w:rsid w:val="000036D3"/>
    <w:rsid w:val="0000398E"/>
    <w:rsid w:val="00003A48"/>
    <w:rsid w:val="00003A77"/>
    <w:rsid w:val="00003AF2"/>
    <w:rsid w:val="00003BA8"/>
    <w:rsid w:val="00003C0C"/>
    <w:rsid w:val="00003C1E"/>
    <w:rsid w:val="00003D21"/>
    <w:rsid w:val="00003D33"/>
    <w:rsid w:val="00003DE7"/>
    <w:rsid w:val="00003DF9"/>
    <w:rsid w:val="00003FEE"/>
    <w:rsid w:val="00004871"/>
    <w:rsid w:val="0000494E"/>
    <w:rsid w:val="00004B58"/>
    <w:rsid w:val="00004DB0"/>
    <w:rsid w:val="00004EE3"/>
    <w:rsid w:val="00004F01"/>
    <w:rsid w:val="0000519E"/>
    <w:rsid w:val="0000525F"/>
    <w:rsid w:val="0000539B"/>
    <w:rsid w:val="000053CE"/>
    <w:rsid w:val="0000540B"/>
    <w:rsid w:val="00005567"/>
    <w:rsid w:val="000056BF"/>
    <w:rsid w:val="000057A4"/>
    <w:rsid w:val="000059E3"/>
    <w:rsid w:val="00005B7B"/>
    <w:rsid w:val="00005DD8"/>
    <w:rsid w:val="00005F10"/>
    <w:rsid w:val="00005FAB"/>
    <w:rsid w:val="000060C7"/>
    <w:rsid w:val="000061E2"/>
    <w:rsid w:val="0000622D"/>
    <w:rsid w:val="00006260"/>
    <w:rsid w:val="0000662D"/>
    <w:rsid w:val="00006643"/>
    <w:rsid w:val="0000667E"/>
    <w:rsid w:val="0000675E"/>
    <w:rsid w:val="000067BD"/>
    <w:rsid w:val="000068D6"/>
    <w:rsid w:val="000069E2"/>
    <w:rsid w:val="00006A14"/>
    <w:rsid w:val="00006A4D"/>
    <w:rsid w:val="00006A79"/>
    <w:rsid w:val="00006B3C"/>
    <w:rsid w:val="00006DA8"/>
    <w:rsid w:val="00006DF7"/>
    <w:rsid w:val="00006E04"/>
    <w:rsid w:val="00006F40"/>
    <w:rsid w:val="0000710E"/>
    <w:rsid w:val="00007472"/>
    <w:rsid w:val="000076F7"/>
    <w:rsid w:val="000077D5"/>
    <w:rsid w:val="0000789B"/>
    <w:rsid w:val="0000793E"/>
    <w:rsid w:val="00007A2E"/>
    <w:rsid w:val="00007A86"/>
    <w:rsid w:val="00007D1B"/>
    <w:rsid w:val="000100C7"/>
    <w:rsid w:val="00010206"/>
    <w:rsid w:val="00010418"/>
    <w:rsid w:val="00010937"/>
    <w:rsid w:val="00010CC7"/>
    <w:rsid w:val="0001105F"/>
    <w:rsid w:val="00011212"/>
    <w:rsid w:val="00011248"/>
    <w:rsid w:val="00011580"/>
    <w:rsid w:val="0001178C"/>
    <w:rsid w:val="0001183E"/>
    <w:rsid w:val="000118E9"/>
    <w:rsid w:val="000119A9"/>
    <w:rsid w:val="00011CAB"/>
    <w:rsid w:val="00011D92"/>
    <w:rsid w:val="000121C2"/>
    <w:rsid w:val="000124F7"/>
    <w:rsid w:val="00012510"/>
    <w:rsid w:val="00012723"/>
    <w:rsid w:val="00012907"/>
    <w:rsid w:val="00012C71"/>
    <w:rsid w:val="00012E92"/>
    <w:rsid w:val="00012EF9"/>
    <w:rsid w:val="00012F94"/>
    <w:rsid w:val="000132E6"/>
    <w:rsid w:val="0001336E"/>
    <w:rsid w:val="0001338F"/>
    <w:rsid w:val="0001344B"/>
    <w:rsid w:val="0001347B"/>
    <w:rsid w:val="000134A2"/>
    <w:rsid w:val="000135F8"/>
    <w:rsid w:val="000136FB"/>
    <w:rsid w:val="00013712"/>
    <w:rsid w:val="00013959"/>
    <w:rsid w:val="00013970"/>
    <w:rsid w:val="00013976"/>
    <w:rsid w:val="00013BD0"/>
    <w:rsid w:val="00013D2F"/>
    <w:rsid w:val="00013DB7"/>
    <w:rsid w:val="00013E56"/>
    <w:rsid w:val="00013E60"/>
    <w:rsid w:val="00014023"/>
    <w:rsid w:val="0001418D"/>
    <w:rsid w:val="000141B2"/>
    <w:rsid w:val="00014279"/>
    <w:rsid w:val="00014346"/>
    <w:rsid w:val="0001446D"/>
    <w:rsid w:val="0001461D"/>
    <w:rsid w:val="0001464E"/>
    <w:rsid w:val="000147CE"/>
    <w:rsid w:val="0001491E"/>
    <w:rsid w:val="00014958"/>
    <w:rsid w:val="00014B6A"/>
    <w:rsid w:val="00014D1E"/>
    <w:rsid w:val="00015469"/>
    <w:rsid w:val="0001548D"/>
    <w:rsid w:val="00015506"/>
    <w:rsid w:val="000155A0"/>
    <w:rsid w:val="00015656"/>
    <w:rsid w:val="000158D0"/>
    <w:rsid w:val="000159D7"/>
    <w:rsid w:val="000159E2"/>
    <w:rsid w:val="00015AC1"/>
    <w:rsid w:val="00015BFD"/>
    <w:rsid w:val="000160D7"/>
    <w:rsid w:val="000161C9"/>
    <w:rsid w:val="000161E2"/>
    <w:rsid w:val="0001659E"/>
    <w:rsid w:val="000165D8"/>
    <w:rsid w:val="00016647"/>
    <w:rsid w:val="000166D1"/>
    <w:rsid w:val="000166DD"/>
    <w:rsid w:val="000167A7"/>
    <w:rsid w:val="000167CE"/>
    <w:rsid w:val="000169BC"/>
    <w:rsid w:val="00016A02"/>
    <w:rsid w:val="00016A2D"/>
    <w:rsid w:val="00016B2D"/>
    <w:rsid w:val="00016BBE"/>
    <w:rsid w:val="00016C3D"/>
    <w:rsid w:val="00016DBF"/>
    <w:rsid w:val="00017053"/>
    <w:rsid w:val="000170F4"/>
    <w:rsid w:val="0001719A"/>
    <w:rsid w:val="000172B4"/>
    <w:rsid w:val="000173D4"/>
    <w:rsid w:val="0001771D"/>
    <w:rsid w:val="00017723"/>
    <w:rsid w:val="0001796D"/>
    <w:rsid w:val="00017B9E"/>
    <w:rsid w:val="00017F83"/>
    <w:rsid w:val="000202B8"/>
    <w:rsid w:val="000203F6"/>
    <w:rsid w:val="00020586"/>
    <w:rsid w:val="00020652"/>
    <w:rsid w:val="00020734"/>
    <w:rsid w:val="00020739"/>
    <w:rsid w:val="000207FA"/>
    <w:rsid w:val="0002085C"/>
    <w:rsid w:val="00020F54"/>
    <w:rsid w:val="0002122A"/>
    <w:rsid w:val="00021230"/>
    <w:rsid w:val="0002184A"/>
    <w:rsid w:val="00021882"/>
    <w:rsid w:val="00021A1F"/>
    <w:rsid w:val="00021AD5"/>
    <w:rsid w:val="00021E62"/>
    <w:rsid w:val="000220AD"/>
    <w:rsid w:val="000221C8"/>
    <w:rsid w:val="000221F2"/>
    <w:rsid w:val="0002227E"/>
    <w:rsid w:val="0002232B"/>
    <w:rsid w:val="0002249A"/>
    <w:rsid w:val="00022971"/>
    <w:rsid w:val="000229B1"/>
    <w:rsid w:val="00022BB1"/>
    <w:rsid w:val="00022C48"/>
    <w:rsid w:val="00022E21"/>
    <w:rsid w:val="00022EB1"/>
    <w:rsid w:val="00022FA8"/>
    <w:rsid w:val="00022FB7"/>
    <w:rsid w:val="00023179"/>
    <w:rsid w:val="00023726"/>
    <w:rsid w:val="00023904"/>
    <w:rsid w:val="00023A1E"/>
    <w:rsid w:val="00023A42"/>
    <w:rsid w:val="00023AF4"/>
    <w:rsid w:val="00023D9F"/>
    <w:rsid w:val="00023E08"/>
    <w:rsid w:val="00023E50"/>
    <w:rsid w:val="0002401F"/>
    <w:rsid w:val="0002426C"/>
    <w:rsid w:val="0002427C"/>
    <w:rsid w:val="00024912"/>
    <w:rsid w:val="000249E1"/>
    <w:rsid w:val="00024A06"/>
    <w:rsid w:val="00024A67"/>
    <w:rsid w:val="00024B64"/>
    <w:rsid w:val="00024BD4"/>
    <w:rsid w:val="00024C1D"/>
    <w:rsid w:val="00024DD1"/>
    <w:rsid w:val="00024E31"/>
    <w:rsid w:val="00024EC9"/>
    <w:rsid w:val="00024F52"/>
    <w:rsid w:val="00025031"/>
    <w:rsid w:val="0002506D"/>
    <w:rsid w:val="00025337"/>
    <w:rsid w:val="0002534A"/>
    <w:rsid w:val="00025490"/>
    <w:rsid w:val="000254E5"/>
    <w:rsid w:val="00025799"/>
    <w:rsid w:val="000257D4"/>
    <w:rsid w:val="00025823"/>
    <w:rsid w:val="00025900"/>
    <w:rsid w:val="00025B14"/>
    <w:rsid w:val="00025C99"/>
    <w:rsid w:val="00025D65"/>
    <w:rsid w:val="00025E0B"/>
    <w:rsid w:val="00025FE3"/>
    <w:rsid w:val="00026055"/>
    <w:rsid w:val="0002653B"/>
    <w:rsid w:val="0002654A"/>
    <w:rsid w:val="00026649"/>
    <w:rsid w:val="0002698D"/>
    <w:rsid w:val="00026993"/>
    <w:rsid w:val="00026D09"/>
    <w:rsid w:val="00026F08"/>
    <w:rsid w:val="0002708C"/>
    <w:rsid w:val="000271AF"/>
    <w:rsid w:val="000271B3"/>
    <w:rsid w:val="000271CE"/>
    <w:rsid w:val="00027266"/>
    <w:rsid w:val="00027495"/>
    <w:rsid w:val="000274B3"/>
    <w:rsid w:val="0002763F"/>
    <w:rsid w:val="00027690"/>
    <w:rsid w:val="000276A8"/>
    <w:rsid w:val="00027712"/>
    <w:rsid w:val="00027B59"/>
    <w:rsid w:val="00027BB3"/>
    <w:rsid w:val="00027E3F"/>
    <w:rsid w:val="00027E42"/>
    <w:rsid w:val="00027F15"/>
    <w:rsid w:val="000304AA"/>
    <w:rsid w:val="00030606"/>
    <w:rsid w:val="00030675"/>
    <w:rsid w:val="0003067E"/>
    <w:rsid w:val="0003079B"/>
    <w:rsid w:val="000307F6"/>
    <w:rsid w:val="00030819"/>
    <w:rsid w:val="00030851"/>
    <w:rsid w:val="0003090C"/>
    <w:rsid w:val="00030D18"/>
    <w:rsid w:val="00030D44"/>
    <w:rsid w:val="00030E3B"/>
    <w:rsid w:val="000311D4"/>
    <w:rsid w:val="0003132F"/>
    <w:rsid w:val="000315AF"/>
    <w:rsid w:val="00031690"/>
    <w:rsid w:val="00031692"/>
    <w:rsid w:val="00031712"/>
    <w:rsid w:val="00031C48"/>
    <w:rsid w:val="00031C62"/>
    <w:rsid w:val="00031D93"/>
    <w:rsid w:val="00031DE4"/>
    <w:rsid w:val="00031E86"/>
    <w:rsid w:val="00032078"/>
    <w:rsid w:val="000320AB"/>
    <w:rsid w:val="00032165"/>
    <w:rsid w:val="0003216D"/>
    <w:rsid w:val="0003223D"/>
    <w:rsid w:val="0003229D"/>
    <w:rsid w:val="00032386"/>
    <w:rsid w:val="00032461"/>
    <w:rsid w:val="00032523"/>
    <w:rsid w:val="00032756"/>
    <w:rsid w:val="0003284D"/>
    <w:rsid w:val="00032967"/>
    <w:rsid w:val="00032A57"/>
    <w:rsid w:val="00032C72"/>
    <w:rsid w:val="00032E9F"/>
    <w:rsid w:val="00033004"/>
    <w:rsid w:val="0003315F"/>
    <w:rsid w:val="000332A9"/>
    <w:rsid w:val="000332F7"/>
    <w:rsid w:val="000333F6"/>
    <w:rsid w:val="0003340B"/>
    <w:rsid w:val="00033420"/>
    <w:rsid w:val="0003343A"/>
    <w:rsid w:val="00033642"/>
    <w:rsid w:val="000336CE"/>
    <w:rsid w:val="00033703"/>
    <w:rsid w:val="000338C5"/>
    <w:rsid w:val="00033B5D"/>
    <w:rsid w:val="00033BB4"/>
    <w:rsid w:val="00033C21"/>
    <w:rsid w:val="00033DA2"/>
    <w:rsid w:val="00033E43"/>
    <w:rsid w:val="00033FFA"/>
    <w:rsid w:val="00034092"/>
    <w:rsid w:val="000340E9"/>
    <w:rsid w:val="00034147"/>
    <w:rsid w:val="00034190"/>
    <w:rsid w:val="00034490"/>
    <w:rsid w:val="0003456B"/>
    <w:rsid w:val="0003499D"/>
    <w:rsid w:val="00034BDB"/>
    <w:rsid w:val="00034CCA"/>
    <w:rsid w:val="00034D44"/>
    <w:rsid w:val="00034DD0"/>
    <w:rsid w:val="00034E09"/>
    <w:rsid w:val="00035216"/>
    <w:rsid w:val="0003525D"/>
    <w:rsid w:val="000353DC"/>
    <w:rsid w:val="0003550A"/>
    <w:rsid w:val="000355BB"/>
    <w:rsid w:val="000357D9"/>
    <w:rsid w:val="0003589D"/>
    <w:rsid w:val="00035AD6"/>
    <w:rsid w:val="00035DE0"/>
    <w:rsid w:val="00035DFE"/>
    <w:rsid w:val="00035FFC"/>
    <w:rsid w:val="00036250"/>
    <w:rsid w:val="0003634B"/>
    <w:rsid w:val="00036387"/>
    <w:rsid w:val="0003640A"/>
    <w:rsid w:val="0003650D"/>
    <w:rsid w:val="00036512"/>
    <w:rsid w:val="00036532"/>
    <w:rsid w:val="000365C6"/>
    <w:rsid w:val="000365FF"/>
    <w:rsid w:val="000366F2"/>
    <w:rsid w:val="0003689E"/>
    <w:rsid w:val="00036918"/>
    <w:rsid w:val="00036C71"/>
    <w:rsid w:val="00036D0D"/>
    <w:rsid w:val="00036F80"/>
    <w:rsid w:val="00036F8E"/>
    <w:rsid w:val="0003709A"/>
    <w:rsid w:val="00037162"/>
    <w:rsid w:val="00037244"/>
    <w:rsid w:val="00037377"/>
    <w:rsid w:val="00037401"/>
    <w:rsid w:val="00037583"/>
    <w:rsid w:val="00037622"/>
    <w:rsid w:val="0003763B"/>
    <w:rsid w:val="000378AE"/>
    <w:rsid w:val="000378EA"/>
    <w:rsid w:val="000379E0"/>
    <w:rsid w:val="00037B26"/>
    <w:rsid w:val="00037B29"/>
    <w:rsid w:val="00037B3E"/>
    <w:rsid w:val="00037BA9"/>
    <w:rsid w:val="00037D21"/>
    <w:rsid w:val="00037D40"/>
    <w:rsid w:val="00037EB6"/>
    <w:rsid w:val="00037ECE"/>
    <w:rsid w:val="00037EFA"/>
    <w:rsid w:val="00037FCB"/>
    <w:rsid w:val="00040115"/>
    <w:rsid w:val="0004020B"/>
    <w:rsid w:val="00040263"/>
    <w:rsid w:val="0004026D"/>
    <w:rsid w:val="00040295"/>
    <w:rsid w:val="000405C7"/>
    <w:rsid w:val="000406C1"/>
    <w:rsid w:val="000406D8"/>
    <w:rsid w:val="0004070D"/>
    <w:rsid w:val="0004079F"/>
    <w:rsid w:val="000408D1"/>
    <w:rsid w:val="00040D04"/>
    <w:rsid w:val="00040D43"/>
    <w:rsid w:val="00040DEA"/>
    <w:rsid w:val="00040F36"/>
    <w:rsid w:val="00041061"/>
    <w:rsid w:val="00041189"/>
    <w:rsid w:val="000411CE"/>
    <w:rsid w:val="00041254"/>
    <w:rsid w:val="000412C1"/>
    <w:rsid w:val="000413F5"/>
    <w:rsid w:val="0004141A"/>
    <w:rsid w:val="000414FA"/>
    <w:rsid w:val="00041525"/>
    <w:rsid w:val="00041530"/>
    <w:rsid w:val="000415D8"/>
    <w:rsid w:val="0004173F"/>
    <w:rsid w:val="000418BC"/>
    <w:rsid w:val="000418D9"/>
    <w:rsid w:val="00041BDD"/>
    <w:rsid w:val="00041C4E"/>
    <w:rsid w:val="00041E2F"/>
    <w:rsid w:val="00041E97"/>
    <w:rsid w:val="00042363"/>
    <w:rsid w:val="000426F1"/>
    <w:rsid w:val="00042980"/>
    <w:rsid w:val="00042A19"/>
    <w:rsid w:val="00042BBA"/>
    <w:rsid w:val="00042E86"/>
    <w:rsid w:val="00042EBE"/>
    <w:rsid w:val="00042EED"/>
    <w:rsid w:val="00042F57"/>
    <w:rsid w:val="00042FE5"/>
    <w:rsid w:val="0004303D"/>
    <w:rsid w:val="00043156"/>
    <w:rsid w:val="000431C9"/>
    <w:rsid w:val="00043228"/>
    <w:rsid w:val="000432AF"/>
    <w:rsid w:val="00043465"/>
    <w:rsid w:val="0004351D"/>
    <w:rsid w:val="0004365F"/>
    <w:rsid w:val="000437E6"/>
    <w:rsid w:val="000438DA"/>
    <w:rsid w:val="00043AED"/>
    <w:rsid w:val="00043B8D"/>
    <w:rsid w:val="00043C15"/>
    <w:rsid w:val="00043E53"/>
    <w:rsid w:val="00043E82"/>
    <w:rsid w:val="00043F03"/>
    <w:rsid w:val="00043F99"/>
    <w:rsid w:val="00043FE5"/>
    <w:rsid w:val="0004419D"/>
    <w:rsid w:val="00044502"/>
    <w:rsid w:val="00044524"/>
    <w:rsid w:val="000446F3"/>
    <w:rsid w:val="00044729"/>
    <w:rsid w:val="0004483C"/>
    <w:rsid w:val="000449CA"/>
    <w:rsid w:val="00044AD1"/>
    <w:rsid w:val="00045268"/>
    <w:rsid w:val="000452C1"/>
    <w:rsid w:val="000453AF"/>
    <w:rsid w:val="000454E7"/>
    <w:rsid w:val="000457C8"/>
    <w:rsid w:val="0004580C"/>
    <w:rsid w:val="000458A9"/>
    <w:rsid w:val="00045953"/>
    <w:rsid w:val="00045AB8"/>
    <w:rsid w:val="00045C85"/>
    <w:rsid w:val="00045CCE"/>
    <w:rsid w:val="00045DA3"/>
    <w:rsid w:val="00045DDC"/>
    <w:rsid w:val="00045FF5"/>
    <w:rsid w:val="0004632F"/>
    <w:rsid w:val="000465AF"/>
    <w:rsid w:val="00046670"/>
    <w:rsid w:val="000467A7"/>
    <w:rsid w:val="00046846"/>
    <w:rsid w:val="0004697C"/>
    <w:rsid w:val="00046A38"/>
    <w:rsid w:val="00046DA2"/>
    <w:rsid w:val="000471D9"/>
    <w:rsid w:val="000471F9"/>
    <w:rsid w:val="00047283"/>
    <w:rsid w:val="00047555"/>
    <w:rsid w:val="00047639"/>
    <w:rsid w:val="000477B2"/>
    <w:rsid w:val="00047902"/>
    <w:rsid w:val="000479FA"/>
    <w:rsid w:val="00047B3A"/>
    <w:rsid w:val="00047D19"/>
    <w:rsid w:val="0005001C"/>
    <w:rsid w:val="00050173"/>
    <w:rsid w:val="000501CD"/>
    <w:rsid w:val="000501E0"/>
    <w:rsid w:val="000502E8"/>
    <w:rsid w:val="000503EC"/>
    <w:rsid w:val="00050476"/>
    <w:rsid w:val="00050539"/>
    <w:rsid w:val="000506AA"/>
    <w:rsid w:val="0005084B"/>
    <w:rsid w:val="00050870"/>
    <w:rsid w:val="000508EB"/>
    <w:rsid w:val="00050AD1"/>
    <w:rsid w:val="00050C51"/>
    <w:rsid w:val="00050D44"/>
    <w:rsid w:val="00050D59"/>
    <w:rsid w:val="00050DE1"/>
    <w:rsid w:val="00050F35"/>
    <w:rsid w:val="000510AE"/>
    <w:rsid w:val="000510E3"/>
    <w:rsid w:val="000515DE"/>
    <w:rsid w:val="0005164E"/>
    <w:rsid w:val="00051683"/>
    <w:rsid w:val="0005175B"/>
    <w:rsid w:val="00051987"/>
    <w:rsid w:val="00051A35"/>
    <w:rsid w:val="00051B94"/>
    <w:rsid w:val="00051D60"/>
    <w:rsid w:val="00051EB2"/>
    <w:rsid w:val="00051F72"/>
    <w:rsid w:val="00052005"/>
    <w:rsid w:val="000521FE"/>
    <w:rsid w:val="000522F3"/>
    <w:rsid w:val="000526D9"/>
    <w:rsid w:val="00052769"/>
    <w:rsid w:val="0005284C"/>
    <w:rsid w:val="00052A0D"/>
    <w:rsid w:val="00052A18"/>
    <w:rsid w:val="00052ABE"/>
    <w:rsid w:val="00052B33"/>
    <w:rsid w:val="00052BEA"/>
    <w:rsid w:val="00052E29"/>
    <w:rsid w:val="00053117"/>
    <w:rsid w:val="00053141"/>
    <w:rsid w:val="00053159"/>
    <w:rsid w:val="0005318B"/>
    <w:rsid w:val="0005331D"/>
    <w:rsid w:val="0005333D"/>
    <w:rsid w:val="00053349"/>
    <w:rsid w:val="00053469"/>
    <w:rsid w:val="000534CF"/>
    <w:rsid w:val="0005360B"/>
    <w:rsid w:val="000536BC"/>
    <w:rsid w:val="000537B1"/>
    <w:rsid w:val="000539C6"/>
    <w:rsid w:val="00053A98"/>
    <w:rsid w:val="00053AC9"/>
    <w:rsid w:val="00053C4C"/>
    <w:rsid w:val="00053E28"/>
    <w:rsid w:val="00053E34"/>
    <w:rsid w:val="00054059"/>
    <w:rsid w:val="000541E1"/>
    <w:rsid w:val="000541EF"/>
    <w:rsid w:val="000541FF"/>
    <w:rsid w:val="00054272"/>
    <w:rsid w:val="00054318"/>
    <w:rsid w:val="00054370"/>
    <w:rsid w:val="00054565"/>
    <w:rsid w:val="0005460E"/>
    <w:rsid w:val="00054701"/>
    <w:rsid w:val="00054753"/>
    <w:rsid w:val="000547AC"/>
    <w:rsid w:val="000547F8"/>
    <w:rsid w:val="00054819"/>
    <w:rsid w:val="00054888"/>
    <w:rsid w:val="00054954"/>
    <w:rsid w:val="00054980"/>
    <w:rsid w:val="000549B0"/>
    <w:rsid w:val="00054B7D"/>
    <w:rsid w:val="00054BD0"/>
    <w:rsid w:val="00054C29"/>
    <w:rsid w:val="00054C48"/>
    <w:rsid w:val="00054C6C"/>
    <w:rsid w:val="00054E8D"/>
    <w:rsid w:val="00054F9B"/>
    <w:rsid w:val="00055019"/>
    <w:rsid w:val="0005548F"/>
    <w:rsid w:val="000554C6"/>
    <w:rsid w:val="000554E6"/>
    <w:rsid w:val="00055A39"/>
    <w:rsid w:val="00055AD5"/>
    <w:rsid w:val="00055AF0"/>
    <w:rsid w:val="00055B48"/>
    <w:rsid w:val="00055BAC"/>
    <w:rsid w:val="00055CEA"/>
    <w:rsid w:val="00055D30"/>
    <w:rsid w:val="00055FA7"/>
    <w:rsid w:val="00055FF3"/>
    <w:rsid w:val="000560D3"/>
    <w:rsid w:val="00056123"/>
    <w:rsid w:val="00056202"/>
    <w:rsid w:val="00056221"/>
    <w:rsid w:val="00056292"/>
    <w:rsid w:val="00056597"/>
    <w:rsid w:val="0005666A"/>
    <w:rsid w:val="00056759"/>
    <w:rsid w:val="00056791"/>
    <w:rsid w:val="000569F9"/>
    <w:rsid w:val="00056BED"/>
    <w:rsid w:val="00056E34"/>
    <w:rsid w:val="00056E74"/>
    <w:rsid w:val="000572D8"/>
    <w:rsid w:val="00057301"/>
    <w:rsid w:val="000573C0"/>
    <w:rsid w:val="00057493"/>
    <w:rsid w:val="00057596"/>
    <w:rsid w:val="0005769A"/>
    <w:rsid w:val="000576C2"/>
    <w:rsid w:val="00057731"/>
    <w:rsid w:val="0005773F"/>
    <w:rsid w:val="0005776D"/>
    <w:rsid w:val="000577E3"/>
    <w:rsid w:val="00057971"/>
    <w:rsid w:val="00057C8E"/>
    <w:rsid w:val="00057CFA"/>
    <w:rsid w:val="00057EB9"/>
    <w:rsid w:val="00057F30"/>
    <w:rsid w:val="00060038"/>
    <w:rsid w:val="00060088"/>
    <w:rsid w:val="000600B2"/>
    <w:rsid w:val="00060165"/>
    <w:rsid w:val="000601D9"/>
    <w:rsid w:val="0006027C"/>
    <w:rsid w:val="00060612"/>
    <w:rsid w:val="00060785"/>
    <w:rsid w:val="00060793"/>
    <w:rsid w:val="000607A8"/>
    <w:rsid w:val="0006096B"/>
    <w:rsid w:val="0006099C"/>
    <w:rsid w:val="00060A4C"/>
    <w:rsid w:val="00060C60"/>
    <w:rsid w:val="000610B6"/>
    <w:rsid w:val="00061286"/>
    <w:rsid w:val="00061289"/>
    <w:rsid w:val="000612FE"/>
    <w:rsid w:val="00061564"/>
    <w:rsid w:val="000616BE"/>
    <w:rsid w:val="000619A1"/>
    <w:rsid w:val="00061A3B"/>
    <w:rsid w:val="00061D38"/>
    <w:rsid w:val="00061E25"/>
    <w:rsid w:val="00061FD6"/>
    <w:rsid w:val="00062096"/>
    <w:rsid w:val="000620E8"/>
    <w:rsid w:val="0006229A"/>
    <w:rsid w:val="000622F7"/>
    <w:rsid w:val="00062333"/>
    <w:rsid w:val="000623C4"/>
    <w:rsid w:val="000624AE"/>
    <w:rsid w:val="0006256D"/>
    <w:rsid w:val="000627E4"/>
    <w:rsid w:val="00062860"/>
    <w:rsid w:val="00062995"/>
    <w:rsid w:val="000629C7"/>
    <w:rsid w:val="00062BBE"/>
    <w:rsid w:val="00062F1F"/>
    <w:rsid w:val="0006307C"/>
    <w:rsid w:val="000630C8"/>
    <w:rsid w:val="000632D8"/>
    <w:rsid w:val="000634F3"/>
    <w:rsid w:val="00063586"/>
    <w:rsid w:val="0006365F"/>
    <w:rsid w:val="0006375A"/>
    <w:rsid w:val="00063781"/>
    <w:rsid w:val="00063894"/>
    <w:rsid w:val="00063AE8"/>
    <w:rsid w:val="00063CA2"/>
    <w:rsid w:val="0006400C"/>
    <w:rsid w:val="0006407D"/>
    <w:rsid w:val="00064133"/>
    <w:rsid w:val="00064144"/>
    <w:rsid w:val="000641B4"/>
    <w:rsid w:val="000641D2"/>
    <w:rsid w:val="00064407"/>
    <w:rsid w:val="000646E0"/>
    <w:rsid w:val="0006478E"/>
    <w:rsid w:val="00064ACB"/>
    <w:rsid w:val="00064CFE"/>
    <w:rsid w:val="00065190"/>
    <w:rsid w:val="0006520F"/>
    <w:rsid w:val="000654A0"/>
    <w:rsid w:val="0006563A"/>
    <w:rsid w:val="000657B4"/>
    <w:rsid w:val="00065979"/>
    <w:rsid w:val="00065A15"/>
    <w:rsid w:val="00065FCC"/>
    <w:rsid w:val="000660C1"/>
    <w:rsid w:val="00066385"/>
    <w:rsid w:val="000663D4"/>
    <w:rsid w:val="000664D5"/>
    <w:rsid w:val="00066593"/>
    <w:rsid w:val="000666E1"/>
    <w:rsid w:val="00066786"/>
    <w:rsid w:val="00066874"/>
    <w:rsid w:val="000669AE"/>
    <w:rsid w:val="00066ACF"/>
    <w:rsid w:val="00066B64"/>
    <w:rsid w:val="00066C07"/>
    <w:rsid w:val="00066D21"/>
    <w:rsid w:val="0006706E"/>
    <w:rsid w:val="000670D5"/>
    <w:rsid w:val="00067120"/>
    <w:rsid w:val="00067244"/>
    <w:rsid w:val="000672E0"/>
    <w:rsid w:val="000673EC"/>
    <w:rsid w:val="000678AE"/>
    <w:rsid w:val="00067B1C"/>
    <w:rsid w:val="00067B35"/>
    <w:rsid w:val="00067DE9"/>
    <w:rsid w:val="00070089"/>
    <w:rsid w:val="00070131"/>
    <w:rsid w:val="000702B9"/>
    <w:rsid w:val="00070311"/>
    <w:rsid w:val="000703BD"/>
    <w:rsid w:val="000705EA"/>
    <w:rsid w:val="00070602"/>
    <w:rsid w:val="00070717"/>
    <w:rsid w:val="00070830"/>
    <w:rsid w:val="00070985"/>
    <w:rsid w:val="00070B4E"/>
    <w:rsid w:val="00070CBA"/>
    <w:rsid w:val="00070E96"/>
    <w:rsid w:val="000712E1"/>
    <w:rsid w:val="0007130D"/>
    <w:rsid w:val="00071335"/>
    <w:rsid w:val="0007143D"/>
    <w:rsid w:val="0007146B"/>
    <w:rsid w:val="0007150E"/>
    <w:rsid w:val="00071545"/>
    <w:rsid w:val="00071607"/>
    <w:rsid w:val="00071608"/>
    <w:rsid w:val="0007165F"/>
    <w:rsid w:val="000716CA"/>
    <w:rsid w:val="000717EB"/>
    <w:rsid w:val="00071934"/>
    <w:rsid w:val="00071A43"/>
    <w:rsid w:val="00071B38"/>
    <w:rsid w:val="00071BB9"/>
    <w:rsid w:val="00071D42"/>
    <w:rsid w:val="00071E41"/>
    <w:rsid w:val="00071F54"/>
    <w:rsid w:val="000720BC"/>
    <w:rsid w:val="0007217A"/>
    <w:rsid w:val="000722D1"/>
    <w:rsid w:val="000723B0"/>
    <w:rsid w:val="000724C2"/>
    <w:rsid w:val="000725D4"/>
    <w:rsid w:val="000726B9"/>
    <w:rsid w:val="0007285A"/>
    <w:rsid w:val="00072B7E"/>
    <w:rsid w:val="00072C13"/>
    <w:rsid w:val="00072ED3"/>
    <w:rsid w:val="00073300"/>
    <w:rsid w:val="000733F4"/>
    <w:rsid w:val="000735CE"/>
    <w:rsid w:val="00073645"/>
    <w:rsid w:val="0007368E"/>
    <w:rsid w:val="00073767"/>
    <w:rsid w:val="00073829"/>
    <w:rsid w:val="000739C3"/>
    <w:rsid w:val="00073BD9"/>
    <w:rsid w:val="00073C47"/>
    <w:rsid w:val="00073E40"/>
    <w:rsid w:val="00073EB0"/>
    <w:rsid w:val="00074139"/>
    <w:rsid w:val="00074146"/>
    <w:rsid w:val="00074222"/>
    <w:rsid w:val="0007428B"/>
    <w:rsid w:val="000742C7"/>
    <w:rsid w:val="00074315"/>
    <w:rsid w:val="0007436F"/>
    <w:rsid w:val="00074591"/>
    <w:rsid w:val="000746D5"/>
    <w:rsid w:val="000747F7"/>
    <w:rsid w:val="0007489A"/>
    <w:rsid w:val="0007489D"/>
    <w:rsid w:val="0007497C"/>
    <w:rsid w:val="00074A60"/>
    <w:rsid w:val="00074B19"/>
    <w:rsid w:val="00074BD6"/>
    <w:rsid w:val="00074C22"/>
    <w:rsid w:val="00074FC8"/>
    <w:rsid w:val="00075105"/>
    <w:rsid w:val="00075340"/>
    <w:rsid w:val="000753AA"/>
    <w:rsid w:val="000754B6"/>
    <w:rsid w:val="000755B8"/>
    <w:rsid w:val="0007567F"/>
    <w:rsid w:val="000756A9"/>
    <w:rsid w:val="00075893"/>
    <w:rsid w:val="0007598D"/>
    <w:rsid w:val="00075AFD"/>
    <w:rsid w:val="00075B70"/>
    <w:rsid w:val="00075CD5"/>
    <w:rsid w:val="00076197"/>
    <w:rsid w:val="000762A7"/>
    <w:rsid w:val="000764C8"/>
    <w:rsid w:val="00076626"/>
    <w:rsid w:val="000767C5"/>
    <w:rsid w:val="000768E7"/>
    <w:rsid w:val="0007699F"/>
    <w:rsid w:val="00076A96"/>
    <w:rsid w:val="00076D92"/>
    <w:rsid w:val="00076EB6"/>
    <w:rsid w:val="00076F56"/>
    <w:rsid w:val="0007714B"/>
    <w:rsid w:val="0007732C"/>
    <w:rsid w:val="000773C3"/>
    <w:rsid w:val="000774D4"/>
    <w:rsid w:val="000776E7"/>
    <w:rsid w:val="000777BA"/>
    <w:rsid w:val="000777C5"/>
    <w:rsid w:val="00077A93"/>
    <w:rsid w:val="00077B26"/>
    <w:rsid w:val="00077B2B"/>
    <w:rsid w:val="00077C46"/>
    <w:rsid w:val="00077C5B"/>
    <w:rsid w:val="00077C85"/>
    <w:rsid w:val="00077E2A"/>
    <w:rsid w:val="0008008C"/>
    <w:rsid w:val="0008012D"/>
    <w:rsid w:val="000801D7"/>
    <w:rsid w:val="0008023E"/>
    <w:rsid w:val="0008059D"/>
    <w:rsid w:val="000805BB"/>
    <w:rsid w:val="00080835"/>
    <w:rsid w:val="00080877"/>
    <w:rsid w:val="0008097C"/>
    <w:rsid w:val="00080A6F"/>
    <w:rsid w:val="00080AA9"/>
    <w:rsid w:val="00080B87"/>
    <w:rsid w:val="00080DF8"/>
    <w:rsid w:val="00080FAB"/>
    <w:rsid w:val="0008104D"/>
    <w:rsid w:val="00081058"/>
    <w:rsid w:val="000812BA"/>
    <w:rsid w:val="00081698"/>
    <w:rsid w:val="000817A7"/>
    <w:rsid w:val="000817F0"/>
    <w:rsid w:val="0008183A"/>
    <w:rsid w:val="000819ED"/>
    <w:rsid w:val="00081B2F"/>
    <w:rsid w:val="00081B4C"/>
    <w:rsid w:val="00081C97"/>
    <w:rsid w:val="00081D26"/>
    <w:rsid w:val="00081DEE"/>
    <w:rsid w:val="00082264"/>
    <w:rsid w:val="000822B3"/>
    <w:rsid w:val="0008244C"/>
    <w:rsid w:val="000824D2"/>
    <w:rsid w:val="000824EC"/>
    <w:rsid w:val="0008261A"/>
    <w:rsid w:val="00082663"/>
    <w:rsid w:val="00082951"/>
    <w:rsid w:val="000829DC"/>
    <w:rsid w:val="00082A8B"/>
    <w:rsid w:val="00082AFA"/>
    <w:rsid w:val="00082BC3"/>
    <w:rsid w:val="00082CBE"/>
    <w:rsid w:val="00082E08"/>
    <w:rsid w:val="00082F6D"/>
    <w:rsid w:val="00082FAD"/>
    <w:rsid w:val="00082FB1"/>
    <w:rsid w:val="00083013"/>
    <w:rsid w:val="0008309A"/>
    <w:rsid w:val="000832C7"/>
    <w:rsid w:val="000833C6"/>
    <w:rsid w:val="0008341E"/>
    <w:rsid w:val="0008353B"/>
    <w:rsid w:val="000835F7"/>
    <w:rsid w:val="0008373E"/>
    <w:rsid w:val="00083742"/>
    <w:rsid w:val="00083A6C"/>
    <w:rsid w:val="00083A76"/>
    <w:rsid w:val="00083B7E"/>
    <w:rsid w:val="00083E1C"/>
    <w:rsid w:val="00083E96"/>
    <w:rsid w:val="00083F5A"/>
    <w:rsid w:val="0008409B"/>
    <w:rsid w:val="000845A5"/>
    <w:rsid w:val="00084665"/>
    <w:rsid w:val="0008475D"/>
    <w:rsid w:val="00084776"/>
    <w:rsid w:val="000848DC"/>
    <w:rsid w:val="00084978"/>
    <w:rsid w:val="00084AA7"/>
    <w:rsid w:val="00084B96"/>
    <w:rsid w:val="00084F81"/>
    <w:rsid w:val="00084FBC"/>
    <w:rsid w:val="000850A9"/>
    <w:rsid w:val="000850BA"/>
    <w:rsid w:val="0008516E"/>
    <w:rsid w:val="0008517F"/>
    <w:rsid w:val="0008522B"/>
    <w:rsid w:val="00085240"/>
    <w:rsid w:val="000853C8"/>
    <w:rsid w:val="000853E2"/>
    <w:rsid w:val="00085440"/>
    <w:rsid w:val="00085568"/>
    <w:rsid w:val="00085575"/>
    <w:rsid w:val="000855AF"/>
    <w:rsid w:val="0008583F"/>
    <w:rsid w:val="000858BB"/>
    <w:rsid w:val="00085904"/>
    <w:rsid w:val="000859E9"/>
    <w:rsid w:val="00085C61"/>
    <w:rsid w:val="00085E66"/>
    <w:rsid w:val="00085F6C"/>
    <w:rsid w:val="000861CC"/>
    <w:rsid w:val="000861DB"/>
    <w:rsid w:val="000862D3"/>
    <w:rsid w:val="0008631C"/>
    <w:rsid w:val="00086C42"/>
    <w:rsid w:val="00086DBE"/>
    <w:rsid w:val="00086EEF"/>
    <w:rsid w:val="00086EF4"/>
    <w:rsid w:val="00087147"/>
    <w:rsid w:val="00087192"/>
    <w:rsid w:val="00087299"/>
    <w:rsid w:val="000874A4"/>
    <w:rsid w:val="000875D1"/>
    <w:rsid w:val="00087735"/>
    <w:rsid w:val="000877DA"/>
    <w:rsid w:val="0008780D"/>
    <w:rsid w:val="00087A55"/>
    <w:rsid w:val="00087C22"/>
    <w:rsid w:val="00087D90"/>
    <w:rsid w:val="00087E16"/>
    <w:rsid w:val="00087E44"/>
    <w:rsid w:val="00087EB9"/>
    <w:rsid w:val="00087EEE"/>
    <w:rsid w:val="00087F53"/>
    <w:rsid w:val="00090003"/>
    <w:rsid w:val="00090177"/>
    <w:rsid w:val="000904F8"/>
    <w:rsid w:val="00090544"/>
    <w:rsid w:val="000905E1"/>
    <w:rsid w:val="000906E4"/>
    <w:rsid w:val="0009074B"/>
    <w:rsid w:val="0009075D"/>
    <w:rsid w:val="0009099A"/>
    <w:rsid w:val="00090B1D"/>
    <w:rsid w:val="00090C81"/>
    <w:rsid w:val="00090D66"/>
    <w:rsid w:val="00090EDE"/>
    <w:rsid w:val="00090FF1"/>
    <w:rsid w:val="000910E1"/>
    <w:rsid w:val="000910EA"/>
    <w:rsid w:val="0009118E"/>
    <w:rsid w:val="00091480"/>
    <w:rsid w:val="000915D9"/>
    <w:rsid w:val="0009161F"/>
    <w:rsid w:val="000916DF"/>
    <w:rsid w:val="00091739"/>
    <w:rsid w:val="00091774"/>
    <w:rsid w:val="000919EE"/>
    <w:rsid w:val="00091A17"/>
    <w:rsid w:val="00091A19"/>
    <w:rsid w:val="00091A2D"/>
    <w:rsid w:val="00091BB5"/>
    <w:rsid w:val="00091C49"/>
    <w:rsid w:val="00091C73"/>
    <w:rsid w:val="00091DB4"/>
    <w:rsid w:val="00091E17"/>
    <w:rsid w:val="000923FA"/>
    <w:rsid w:val="00092493"/>
    <w:rsid w:val="00092655"/>
    <w:rsid w:val="000926D2"/>
    <w:rsid w:val="00092705"/>
    <w:rsid w:val="00092714"/>
    <w:rsid w:val="00092926"/>
    <w:rsid w:val="00092E3B"/>
    <w:rsid w:val="0009301B"/>
    <w:rsid w:val="00093043"/>
    <w:rsid w:val="00093245"/>
    <w:rsid w:val="000935F3"/>
    <w:rsid w:val="00093813"/>
    <w:rsid w:val="0009384B"/>
    <w:rsid w:val="000939E3"/>
    <w:rsid w:val="00093CD7"/>
    <w:rsid w:val="00093D55"/>
    <w:rsid w:val="00093ED4"/>
    <w:rsid w:val="00093EF8"/>
    <w:rsid w:val="0009416A"/>
    <w:rsid w:val="000941EB"/>
    <w:rsid w:val="0009434A"/>
    <w:rsid w:val="000943BF"/>
    <w:rsid w:val="0009468E"/>
    <w:rsid w:val="0009481F"/>
    <w:rsid w:val="00094857"/>
    <w:rsid w:val="000948FF"/>
    <w:rsid w:val="00094983"/>
    <w:rsid w:val="00094A37"/>
    <w:rsid w:val="00094A3C"/>
    <w:rsid w:val="00094B08"/>
    <w:rsid w:val="00094B81"/>
    <w:rsid w:val="00094BD3"/>
    <w:rsid w:val="00094BDB"/>
    <w:rsid w:val="00094C05"/>
    <w:rsid w:val="00094CFC"/>
    <w:rsid w:val="00094D6A"/>
    <w:rsid w:val="00094E83"/>
    <w:rsid w:val="000950FB"/>
    <w:rsid w:val="00095147"/>
    <w:rsid w:val="00095149"/>
    <w:rsid w:val="000951D2"/>
    <w:rsid w:val="00095243"/>
    <w:rsid w:val="000952D3"/>
    <w:rsid w:val="000953D2"/>
    <w:rsid w:val="000955C3"/>
    <w:rsid w:val="000956A5"/>
    <w:rsid w:val="00095A25"/>
    <w:rsid w:val="00095B60"/>
    <w:rsid w:val="00095B71"/>
    <w:rsid w:val="00095B81"/>
    <w:rsid w:val="00095C3B"/>
    <w:rsid w:val="00095C59"/>
    <w:rsid w:val="00095FBB"/>
    <w:rsid w:val="00096049"/>
    <w:rsid w:val="00096088"/>
    <w:rsid w:val="000962D1"/>
    <w:rsid w:val="00096383"/>
    <w:rsid w:val="000963A8"/>
    <w:rsid w:val="000963B0"/>
    <w:rsid w:val="000963B2"/>
    <w:rsid w:val="000963BA"/>
    <w:rsid w:val="00096456"/>
    <w:rsid w:val="000964B9"/>
    <w:rsid w:val="000967B0"/>
    <w:rsid w:val="000967D4"/>
    <w:rsid w:val="00096A32"/>
    <w:rsid w:val="00096CE2"/>
    <w:rsid w:val="00096F07"/>
    <w:rsid w:val="00096F50"/>
    <w:rsid w:val="00096FF7"/>
    <w:rsid w:val="000972E2"/>
    <w:rsid w:val="00097429"/>
    <w:rsid w:val="0009742F"/>
    <w:rsid w:val="000978A2"/>
    <w:rsid w:val="000979FE"/>
    <w:rsid w:val="00097B14"/>
    <w:rsid w:val="00097C67"/>
    <w:rsid w:val="00097D06"/>
    <w:rsid w:val="00097D33"/>
    <w:rsid w:val="00097EA0"/>
    <w:rsid w:val="00097F4D"/>
    <w:rsid w:val="00097FBE"/>
    <w:rsid w:val="000A0238"/>
    <w:rsid w:val="000A023E"/>
    <w:rsid w:val="000A02A6"/>
    <w:rsid w:val="000A06A3"/>
    <w:rsid w:val="000A0744"/>
    <w:rsid w:val="000A085E"/>
    <w:rsid w:val="000A09A0"/>
    <w:rsid w:val="000A0A63"/>
    <w:rsid w:val="000A0B25"/>
    <w:rsid w:val="000A0BD6"/>
    <w:rsid w:val="000A0C45"/>
    <w:rsid w:val="000A0E32"/>
    <w:rsid w:val="000A13D5"/>
    <w:rsid w:val="000A14B8"/>
    <w:rsid w:val="000A1573"/>
    <w:rsid w:val="000A15D9"/>
    <w:rsid w:val="000A179E"/>
    <w:rsid w:val="000A1B0B"/>
    <w:rsid w:val="000A1B9F"/>
    <w:rsid w:val="000A1C2D"/>
    <w:rsid w:val="000A1D08"/>
    <w:rsid w:val="000A1D58"/>
    <w:rsid w:val="000A1F62"/>
    <w:rsid w:val="000A206D"/>
    <w:rsid w:val="000A20B2"/>
    <w:rsid w:val="000A20E4"/>
    <w:rsid w:val="000A2286"/>
    <w:rsid w:val="000A22C4"/>
    <w:rsid w:val="000A240A"/>
    <w:rsid w:val="000A24DC"/>
    <w:rsid w:val="000A27BE"/>
    <w:rsid w:val="000A2975"/>
    <w:rsid w:val="000A2A71"/>
    <w:rsid w:val="000A2C51"/>
    <w:rsid w:val="000A2E6C"/>
    <w:rsid w:val="000A2F30"/>
    <w:rsid w:val="000A30A9"/>
    <w:rsid w:val="000A33AD"/>
    <w:rsid w:val="000A3518"/>
    <w:rsid w:val="000A35A9"/>
    <w:rsid w:val="000A35C1"/>
    <w:rsid w:val="000A371B"/>
    <w:rsid w:val="000A38B0"/>
    <w:rsid w:val="000A39F0"/>
    <w:rsid w:val="000A3BEC"/>
    <w:rsid w:val="000A4087"/>
    <w:rsid w:val="000A41A6"/>
    <w:rsid w:val="000A4235"/>
    <w:rsid w:val="000A42A9"/>
    <w:rsid w:val="000A42F1"/>
    <w:rsid w:val="000A436E"/>
    <w:rsid w:val="000A43CA"/>
    <w:rsid w:val="000A44C0"/>
    <w:rsid w:val="000A48C4"/>
    <w:rsid w:val="000A4901"/>
    <w:rsid w:val="000A490D"/>
    <w:rsid w:val="000A4A6C"/>
    <w:rsid w:val="000A4F07"/>
    <w:rsid w:val="000A4F25"/>
    <w:rsid w:val="000A50F0"/>
    <w:rsid w:val="000A518A"/>
    <w:rsid w:val="000A521A"/>
    <w:rsid w:val="000A524C"/>
    <w:rsid w:val="000A5260"/>
    <w:rsid w:val="000A53BA"/>
    <w:rsid w:val="000A5441"/>
    <w:rsid w:val="000A5571"/>
    <w:rsid w:val="000A5611"/>
    <w:rsid w:val="000A566B"/>
    <w:rsid w:val="000A5686"/>
    <w:rsid w:val="000A56BF"/>
    <w:rsid w:val="000A57F0"/>
    <w:rsid w:val="000A5960"/>
    <w:rsid w:val="000A5D76"/>
    <w:rsid w:val="000A5D84"/>
    <w:rsid w:val="000A5E36"/>
    <w:rsid w:val="000A5F86"/>
    <w:rsid w:val="000A6001"/>
    <w:rsid w:val="000A6596"/>
    <w:rsid w:val="000A6857"/>
    <w:rsid w:val="000A68A1"/>
    <w:rsid w:val="000A6A33"/>
    <w:rsid w:val="000A6A7C"/>
    <w:rsid w:val="000A6B5C"/>
    <w:rsid w:val="000A6C51"/>
    <w:rsid w:val="000A6F41"/>
    <w:rsid w:val="000A7158"/>
    <w:rsid w:val="000A7185"/>
    <w:rsid w:val="000A71F6"/>
    <w:rsid w:val="000A725C"/>
    <w:rsid w:val="000A72EA"/>
    <w:rsid w:val="000A7365"/>
    <w:rsid w:val="000A754A"/>
    <w:rsid w:val="000A7756"/>
    <w:rsid w:val="000A796F"/>
    <w:rsid w:val="000A7A02"/>
    <w:rsid w:val="000A7A6B"/>
    <w:rsid w:val="000A7A76"/>
    <w:rsid w:val="000A7A95"/>
    <w:rsid w:val="000A7FD3"/>
    <w:rsid w:val="000B00BC"/>
    <w:rsid w:val="000B012B"/>
    <w:rsid w:val="000B0156"/>
    <w:rsid w:val="000B0197"/>
    <w:rsid w:val="000B01E5"/>
    <w:rsid w:val="000B033A"/>
    <w:rsid w:val="000B03C5"/>
    <w:rsid w:val="000B0442"/>
    <w:rsid w:val="000B04B2"/>
    <w:rsid w:val="000B05EE"/>
    <w:rsid w:val="000B0627"/>
    <w:rsid w:val="000B0726"/>
    <w:rsid w:val="000B0867"/>
    <w:rsid w:val="000B086D"/>
    <w:rsid w:val="000B0A47"/>
    <w:rsid w:val="000B0D27"/>
    <w:rsid w:val="000B0F45"/>
    <w:rsid w:val="000B0F4C"/>
    <w:rsid w:val="000B1567"/>
    <w:rsid w:val="000B17A7"/>
    <w:rsid w:val="000B1977"/>
    <w:rsid w:val="000B1AED"/>
    <w:rsid w:val="000B1D6A"/>
    <w:rsid w:val="000B1DB3"/>
    <w:rsid w:val="000B1E4F"/>
    <w:rsid w:val="000B21AF"/>
    <w:rsid w:val="000B22DC"/>
    <w:rsid w:val="000B22E9"/>
    <w:rsid w:val="000B2397"/>
    <w:rsid w:val="000B26A5"/>
    <w:rsid w:val="000B2788"/>
    <w:rsid w:val="000B2815"/>
    <w:rsid w:val="000B29FE"/>
    <w:rsid w:val="000B2A3F"/>
    <w:rsid w:val="000B2C48"/>
    <w:rsid w:val="000B2CB5"/>
    <w:rsid w:val="000B31A2"/>
    <w:rsid w:val="000B367D"/>
    <w:rsid w:val="000B36F0"/>
    <w:rsid w:val="000B370A"/>
    <w:rsid w:val="000B37C2"/>
    <w:rsid w:val="000B3920"/>
    <w:rsid w:val="000B3B2F"/>
    <w:rsid w:val="000B3D75"/>
    <w:rsid w:val="000B3EB7"/>
    <w:rsid w:val="000B42AA"/>
    <w:rsid w:val="000B45C2"/>
    <w:rsid w:val="000B47C7"/>
    <w:rsid w:val="000B492E"/>
    <w:rsid w:val="000B49CD"/>
    <w:rsid w:val="000B4B95"/>
    <w:rsid w:val="000B4F49"/>
    <w:rsid w:val="000B5167"/>
    <w:rsid w:val="000B5441"/>
    <w:rsid w:val="000B5488"/>
    <w:rsid w:val="000B5493"/>
    <w:rsid w:val="000B54BC"/>
    <w:rsid w:val="000B5511"/>
    <w:rsid w:val="000B5595"/>
    <w:rsid w:val="000B5709"/>
    <w:rsid w:val="000B59AD"/>
    <w:rsid w:val="000B5AFA"/>
    <w:rsid w:val="000B608B"/>
    <w:rsid w:val="000B610C"/>
    <w:rsid w:val="000B62AE"/>
    <w:rsid w:val="000B62D0"/>
    <w:rsid w:val="000B6412"/>
    <w:rsid w:val="000B649E"/>
    <w:rsid w:val="000B670B"/>
    <w:rsid w:val="000B67DE"/>
    <w:rsid w:val="000B683E"/>
    <w:rsid w:val="000B68DC"/>
    <w:rsid w:val="000B695E"/>
    <w:rsid w:val="000B699F"/>
    <w:rsid w:val="000B6B50"/>
    <w:rsid w:val="000B6B80"/>
    <w:rsid w:val="000B6B8A"/>
    <w:rsid w:val="000B6BA2"/>
    <w:rsid w:val="000B6E96"/>
    <w:rsid w:val="000B6F0A"/>
    <w:rsid w:val="000B6F44"/>
    <w:rsid w:val="000B7151"/>
    <w:rsid w:val="000B715A"/>
    <w:rsid w:val="000B72DC"/>
    <w:rsid w:val="000B7313"/>
    <w:rsid w:val="000B742D"/>
    <w:rsid w:val="000B74A1"/>
    <w:rsid w:val="000B773C"/>
    <w:rsid w:val="000B779A"/>
    <w:rsid w:val="000B7DB0"/>
    <w:rsid w:val="000B7F7F"/>
    <w:rsid w:val="000C00F5"/>
    <w:rsid w:val="000C0211"/>
    <w:rsid w:val="000C0225"/>
    <w:rsid w:val="000C094F"/>
    <w:rsid w:val="000C09F7"/>
    <w:rsid w:val="000C0A57"/>
    <w:rsid w:val="000C0E42"/>
    <w:rsid w:val="000C1305"/>
    <w:rsid w:val="000C161B"/>
    <w:rsid w:val="000C1786"/>
    <w:rsid w:val="000C192B"/>
    <w:rsid w:val="000C1A47"/>
    <w:rsid w:val="000C1BC9"/>
    <w:rsid w:val="000C1C30"/>
    <w:rsid w:val="000C1C3F"/>
    <w:rsid w:val="000C1D52"/>
    <w:rsid w:val="000C1E8C"/>
    <w:rsid w:val="000C1EBE"/>
    <w:rsid w:val="000C24CC"/>
    <w:rsid w:val="000C24DE"/>
    <w:rsid w:val="000C25B9"/>
    <w:rsid w:val="000C266C"/>
    <w:rsid w:val="000C2AA1"/>
    <w:rsid w:val="000C2ABA"/>
    <w:rsid w:val="000C2E2C"/>
    <w:rsid w:val="000C2FEB"/>
    <w:rsid w:val="000C2FFC"/>
    <w:rsid w:val="000C307F"/>
    <w:rsid w:val="000C3080"/>
    <w:rsid w:val="000C33E5"/>
    <w:rsid w:val="000C344B"/>
    <w:rsid w:val="000C34B9"/>
    <w:rsid w:val="000C36A4"/>
    <w:rsid w:val="000C36E7"/>
    <w:rsid w:val="000C3718"/>
    <w:rsid w:val="000C3758"/>
    <w:rsid w:val="000C3772"/>
    <w:rsid w:val="000C3821"/>
    <w:rsid w:val="000C38E3"/>
    <w:rsid w:val="000C38F8"/>
    <w:rsid w:val="000C3A4C"/>
    <w:rsid w:val="000C3B7C"/>
    <w:rsid w:val="000C3B92"/>
    <w:rsid w:val="000C3D49"/>
    <w:rsid w:val="000C3E32"/>
    <w:rsid w:val="000C3FF6"/>
    <w:rsid w:val="000C4047"/>
    <w:rsid w:val="000C4258"/>
    <w:rsid w:val="000C4266"/>
    <w:rsid w:val="000C427A"/>
    <w:rsid w:val="000C4288"/>
    <w:rsid w:val="000C42DB"/>
    <w:rsid w:val="000C4377"/>
    <w:rsid w:val="000C439F"/>
    <w:rsid w:val="000C4465"/>
    <w:rsid w:val="000C45A2"/>
    <w:rsid w:val="000C486C"/>
    <w:rsid w:val="000C48E4"/>
    <w:rsid w:val="000C495F"/>
    <w:rsid w:val="000C4B18"/>
    <w:rsid w:val="000C4C3B"/>
    <w:rsid w:val="000C4CC1"/>
    <w:rsid w:val="000C4CEF"/>
    <w:rsid w:val="000C4F72"/>
    <w:rsid w:val="000C508A"/>
    <w:rsid w:val="000C5090"/>
    <w:rsid w:val="000C50CB"/>
    <w:rsid w:val="000C5235"/>
    <w:rsid w:val="000C525E"/>
    <w:rsid w:val="000C534A"/>
    <w:rsid w:val="000C5527"/>
    <w:rsid w:val="000C5537"/>
    <w:rsid w:val="000C566C"/>
    <w:rsid w:val="000C5815"/>
    <w:rsid w:val="000C583B"/>
    <w:rsid w:val="000C59B6"/>
    <w:rsid w:val="000C5B75"/>
    <w:rsid w:val="000C5C35"/>
    <w:rsid w:val="000C5D08"/>
    <w:rsid w:val="000C5DA7"/>
    <w:rsid w:val="000C5DAA"/>
    <w:rsid w:val="000C5FCF"/>
    <w:rsid w:val="000C61BB"/>
    <w:rsid w:val="000C63EB"/>
    <w:rsid w:val="000C64EC"/>
    <w:rsid w:val="000C6529"/>
    <w:rsid w:val="000C658A"/>
    <w:rsid w:val="000C65C7"/>
    <w:rsid w:val="000C66A3"/>
    <w:rsid w:val="000C66CD"/>
    <w:rsid w:val="000C6719"/>
    <w:rsid w:val="000C6744"/>
    <w:rsid w:val="000C67CE"/>
    <w:rsid w:val="000C67D2"/>
    <w:rsid w:val="000C69CD"/>
    <w:rsid w:val="000C6B9E"/>
    <w:rsid w:val="000C6C38"/>
    <w:rsid w:val="000C6DEF"/>
    <w:rsid w:val="000C6E7B"/>
    <w:rsid w:val="000C6EC1"/>
    <w:rsid w:val="000C7073"/>
    <w:rsid w:val="000C72F9"/>
    <w:rsid w:val="000C74D2"/>
    <w:rsid w:val="000C74E9"/>
    <w:rsid w:val="000C7571"/>
    <w:rsid w:val="000C75B5"/>
    <w:rsid w:val="000C7745"/>
    <w:rsid w:val="000C78EF"/>
    <w:rsid w:val="000C7933"/>
    <w:rsid w:val="000C7A88"/>
    <w:rsid w:val="000C7C56"/>
    <w:rsid w:val="000D0152"/>
    <w:rsid w:val="000D0155"/>
    <w:rsid w:val="000D0337"/>
    <w:rsid w:val="000D03A7"/>
    <w:rsid w:val="000D0405"/>
    <w:rsid w:val="000D0438"/>
    <w:rsid w:val="000D0460"/>
    <w:rsid w:val="000D0467"/>
    <w:rsid w:val="000D0532"/>
    <w:rsid w:val="000D06FD"/>
    <w:rsid w:val="000D084F"/>
    <w:rsid w:val="000D0968"/>
    <w:rsid w:val="000D0A66"/>
    <w:rsid w:val="000D0AD3"/>
    <w:rsid w:val="000D0B1C"/>
    <w:rsid w:val="000D0DA9"/>
    <w:rsid w:val="000D0DEA"/>
    <w:rsid w:val="000D0FF9"/>
    <w:rsid w:val="000D104E"/>
    <w:rsid w:val="000D11A8"/>
    <w:rsid w:val="000D11FD"/>
    <w:rsid w:val="000D1511"/>
    <w:rsid w:val="000D1644"/>
    <w:rsid w:val="000D16A9"/>
    <w:rsid w:val="000D1718"/>
    <w:rsid w:val="000D1847"/>
    <w:rsid w:val="000D1A49"/>
    <w:rsid w:val="000D1CCE"/>
    <w:rsid w:val="000D1D82"/>
    <w:rsid w:val="000D1DE3"/>
    <w:rsid w:val="000D1E0B"/>
    <w:rsid w:val="000D1E5F"/>
    <w:rsid w:val="000D200F"/>
    <w:rsid w:val="000D2050"/>
    <w:rsid w:val="000D2077"/>
    <w:rsid w:val="000D20EF"/>
    <w:rsid w:val="000D2406"/>
    <w:rsid w:val="000D2737"/>
    <w:rsid w:val="000D27EB"/>
    <w:rsid w:val="000D2825"/>
    <w:rsid w:val="000D28BE"/>
    <w:rsid w:val="000D2934"/>
    <w:rsid w:val="000D298D"/>
    <w:rsid w:val="000D2A37"/>
    <w:rsid w:val="000D2D1E"/>
    <w:rsid w:val="000D2FE8"/>
    <w:rsid w:val="000D31C0"/>
    <w:rsid w:val="000D345B"/>
    <w:rsid w:val="000D36DF"/>
    <w:rsid w:val="000D3CDA"/>
    <w:rsid w:val="000D3CE0"/>
    <w:rsid w:val="000D3D28"/>
    <w:rsid w:val="000D3FB9"/>
    <w:rsid w:val="000D4123"/>
    <w:rsid w:val="000D42EF"/>
    <w:rsid w:val="000D44FD"/>
    <w:rsid w:val="000D4510"/>
    <w:rsid w:val="000D45F9"/>
    <w:rsid w:val="000D4600"/>
    <w:rsid w:val="000D4622"/>
    <w:rsid w:val="000D46A3"/>
    <w:rsid w:val="000D46DA"/>
    <w:rsid w:val="000D4701"/>
    <w:rsid w:val="000D470C"/>
    <w:rsid w:val="000D4859"/>
    <w:rsid w:val="000D499C"/>
    <w:rsid w:val="000D49C2"/>
    <w:rsid w:val="000D4A0C"/>
    <w:rsid w:val="000D4A9F"/>
    <w:rsid w:val="000D4B17"/>
    <w:rsid w:val="000D4C4C"/>
    <w:rsid w:val="000D4DB7"/>
    <w:rsid w:val="000D506F"/>
    <w:rsid w:val="000D5081"/>
    <w:rsid w:val="000D5124"/>
    <w:rsid w:val="000D5510"/>
    <w:rsid w:val="000D5529"/>
    <w:rsid w:val="000D57A4"/>
    <w:rsid w:val="000D58DB"/>
    <w:rsid w:val="000D5918"/>
    <w:rsid w:val="000D5992"/>
    <w:rsid w:val="000D5AF2"/>
    <w:rsid w:val="000D6014"/>
    <w:rsid w:val="000D6045"/>
    <w:rsid w:val="000D6052"/>
    <w:rsid w:val="000D6095"/>
    <w:rsid w:val="000D61C8"/>
    <w:rsid w:val="000D623A"/>
    <w:rsid w:val="000D6364"/>
    <w:rsid w:val="000D63D2"/>
    <w:rsid w:val="000D69B7"/>
    <w:rsid w:val="000D6A13"/>
    <w:rsid w:val="000D6E1F"/>
    <w:rsid w:val="000D6E45"/>
    <w:rsid w:val="000D71D9"/>
    <w:rsid w:val="000D733F"/>
    <w:rsid w:val="000D74A8"/>
    <w:rsid w:val="000D74EF"/>
    <w:rsid w:val="000D763A"/>
    <w:rsid w:val="000D764C"/>
    <w:rsid w:val="000D765C"/>
    <w:rsid w:val="000D770D"/>
    <w:rsid w:val="000D783F"/>
    <w:rsid w:val="000D7971"/>
    <w:rsid w:val="000D7BB0"/>
    <w:rsid w:val="000D7BB9"/>
    <w:rsid w:val="000D7C2B"/>
    <w:rsid w:val="000D7D43"/>
    <w:rsid w:val="000D7EB9"/>
    <w:rsid w:val="000D7F3D"/>
    <w:rsid w:val="000D7F78"/>
    <w:rsid w:val="000E01E7"/>
    <w:rsid w:val="000E030A"/>
    <w:rsid w:val="000E04C6"/>
    <w:rsid w:val="000E06F8"/>
    <w:rsid w:val="000E0950"/>
    <w:rsid w:val="000E095F"/>
    <w:rsid w:val="000E09CA"/>
    <w:rsid w:val="000E09F8"/>
    <w:rsid w:val="000E0D4A"/>
    <w:rsid w:val="000E0D93"/>
    <w:rsid w:val="000E0E4D"/>
    <w:rsid w:val="000E0EB9"/>
    <w:rsid w:val="000E1091"/>
    <w:rsid w:val="000E149C"/>
    <w:rsid w:val="000E14D9"/>
    <w:rsid w:val="000E14DB"/>
    <w:rsid w:val="000E1A31"/>
    <w:rsid w:val="000E1B45"/>
    <w:rsid w:val="000E1BCA"/>
    <w:rsid w:val="000E1BDC"/>
    <w:rsid w:val="000E1CF1"/>
    <w:rsid w:val="000E1DD0"/>
    <w:rsid w:val="000E1E8D"/>
    <w:rsid w:val="000E1E94"/>
    <w:rsid w:val="000E2134"/>
    <w:rsid w:val="000E23B1"/>
    <w:rsid w:val="000E25AA"/>
    <w:rsid w:val="000E2701"/>
    <w:rsid w:val="000E273E"/>
    <w:rsid w:val="000E2BC7"/>
    <w:rsid w:val="000E2C46"/>
    <w:rsid w:val="000E2E66"/>
    <w:rsid w:val="000E314E"/>
    <w:rsid w:val="000E31A7"/>
    <w:rsid w:val="000E32AA"/>
    <w:rsid w:val="000E340B"/>
    <w:rsid w:val="000E346C"/>
    <w:rsid w:val="000E34F7"/>
    <w:rsid w:val="000E37C4"/>
    <w:rsid w:val="000E3906"/>
    <w:rsid w:val="000E392B"/>
    <w:rsid w:val="000E393D"/>
    <w:rsid w:val="000E39AD"/>
    <w:rsid w:val="000E39EC"/>
    <w:rsid w:val="000E3DB0"/>
    <w:rsid w:val="000E3DB4"/>
    <w:rsid w:val="000E3F3B"/>
    <w:rsid w:val="000E3FA8"/>
    <w:rsid w:val="000E4176"/>
    <w:rsid w:val="000E418D"/>
    <w:rsid w:val="000E41D0"/>
    <w:rsid w:val="000E42D2"/>
    <w:rsid w:val="000E43E4"/>
    <w:rsid w:val="000E4586"/>
    <w:rsid w:val="000E4708"/>
    <w:rsid w:val="000E485B"/>
    <w:rsid w:val="000E4BB5"/>
    <w:rsid w:val="000E4DEC"/>
    <w:rsid w:val="000E4E25"/>
    <w:rsid w:val="000E4F24"/>
    <w:rsid w:val="000E4F46"/>
    <w:rsid w:val="000E4F95"/>
    <w:rsid w:val="000E50C5"/>
    <w:rsid w:val="000E5276"/>
    <w:rsid w:val="000E554E"/>
    <w:rsid w:val="000E5552"/>
    <w:rsid w:val="000E5594"/>
    <w:rsid w:val="000E567C"/>
    <w:rsid w:val="000E5684"/>
    <w:rsid w:val="000E595C"/>
    <w:rsid w:val="000E5995"/>
    <w:rsid w:val="000E5B14"/>
    <w:rsid w:val="000E5FE7"/>
    <w:rsid w:val="000E6032"/>
    <w:rsid w:val="000E619F"/>
    <w:rsid w:val="000E61CA"/>
    <w:rsid w:val="000E631D"/>
    <w:rsid w:val="000E6471"/>
    <w:rsid w:val="000E6544"/>
    <w:rsid w:val="000E65E9"/>
    <w:rsid w:val="000E6641"/>
    <w:rsid w:val="000E6652"/>
    <w:rsid w:val="000E67D8"/>
    <w:rsid w:val="000E6D33"/>
    <w:rsid w:val="000E6F02"/>
    <w:rsid w:val="000E6F09"/>
    <w:rsid w:val="000E6F75"/>
    <w:rsid w:val="000E7101"/>
    <w:rsid w:val="000E7131"/>
    <w:rsid w:val="000E74D4"/>
    <w:rsid w:val="000E7546"/>
    <w:rsid w:val="000E7552"/>
    <w:rsid w:val="000E775C"/>
    <w:rsid w:val="000E780F"/>
    <w:rsid w:val="000E7876"/>
    <w:rsid w:val="000E7915"/>
    <w:rsid w:val="000E7B62"/>
    <w:rsid w:val="000E7C3D"/>
    <w:rsid w:val="000E7CB9"/>
    <w:rsid w:val="000E7D8B"/>
    <w:rsid w:val="000E7EF8"/>
    <w:rsid w:val="000F00AA"/>
    <w:rsid w:val="000F02D5"/>
    <w:rsid w:val="000F0395"/>
    <w:rsid w:val="000F03E4"/>
    <w:rsid w:val="000F040C"/>
    <w:rsid w:val="000F04F8"/>
    <w:rsid w:val="000F071C"/>
    <w:rsid w:val="000F0796"/>
    <w:rsid w:val="000F07BD"/>
    <w:rsid w:val="000F091E"/>
    <w:rsid w:val="000F0A0C"/>
    <w:rsid w:val="000F0ABB"/>
    <w:rsid w:val="000F0BB6"/>
    <w:rsid w:val="000F0CE7"/>
    <w:rsid w:val="000F0D20"/>
    <w:rsid w:val="000F0E65"/>
    <w:rsid w:val="000F0F8A"/>
    <w:rsid w:val="000F10E0"/>
    <w:rsid w:val="000F1132"/>
    <w:rsid w:val="000F135B"/>
    <w:rsid w:val="000F148D"/>
    <w:rsid w:val="000F1702"/>
    <w:rsid w:val="000F18F7"/>
    <w:rsid w:val="000F1960"/>
    <w:rsid w:val="000F1B41"/>
    <w:rsid w:val="000F1EF7"/>
    <w:rsid w:val="000F209D"/>
    <w:rsid w:val="000F2152"/>
    <w:rsid w:val="000F21FE"/>
    <w:rsid w:val="000F2222"/>
    <w:rsid w:val="000F2600"/>
    <w:rsid w:val="000F2623"/>
    <w:rsid w:val="000F283F"/>
    <w:rsid w:val="000F2942"/>
    <w:rsid w:val="000F2BAE"/>
    <w:rsid w:val="000F2BBA"/>
    <w:rsid w:val="000F2C05"/>
    <w:rsid w:val="000F2D42"/>
    <w:rsid w:val="000F2E90"/>
    <w:rsid w:val="000F2EF9"/>
    <w:rsid w:val="000F3918"/>
    <w:rsid w:val="000F399A"/>
    <w:rsid w:val="000F3A42"/>
    <w:rsid w:val="000F3CAC"/>
    <w:rsid w:val="000F3D89"/>
    <w:rsid w:val="000F3F92"/>
    <w:rsid w:val="000F411E"/>
    <w:rsid w:val="000F42D2"/>
    <w:rsid w:val="000F4326"/>
    <w:rsid w:val="000F4350"/>
    <w:rsid w:val="000F43EB"/>
    <w:rsid w:val="000F4476"/>
    <w:rsid w:val="000F44BF"/>
    <w:rsid w:val="000F4639"/>
    <w:rsid w:val="000F4656"/>
    <w:rsid w:val="000F4911"/>
    <w:rsid w:val="000F494E"/>
    <w:rsid w:val="000F4969"/>
    <w:rsid w:val="000F4AE8"/>
    <w:rsid w:val="000F4AF0"/>
    <w:rsid w:val="000F4DA1"/>
    <w:rsid w:val="000F4E16"/>
    <w:rsid w:val="000F4EF5"/>
    <w:rsid w:val="000F50B6"/>
    <w:rsid w:val="000F51DD"/>
    <w:rsid w:val="000F5304"/>
    <w:rsid w:val="000F54B6"/>
    <w:rsid w:val="000F54F6"/>
    <w:rsid w:val="000F55ED"/>
    <w:rsid w:val="000F567D"/>
    <w:rsid w:val="000F58BE"/>
    <w:rsid w:val="000F58EA"/>
    <w:rsid w:val="000F5A5C"/>
    <w:rsid w:val="000F5B93"/>
    <w:rsid w:val="000F5D42"/>
    <w:rsid w:val="000F5DFF"/>
    <w:rsid w:val="000F5E0F"/>
    <w:rsid w:val="000F5EF9"/>
    <w:rsid w:val="000F5F1F"/>
    <w:rsid w:val="000F60B3"/>
    <w:rsid w:val="000F60BA"/>
    <w:rsid w:val="000F60CD"/>
    <w:rsid w:val="000F6385"/>
    <w:rsid w:val="000F64D5"/>
    <w:rsid w:val="000F66F8"/>
    <w:rsid w:val="000F6A2D"/>
    <w:rsid w:val="000F6B31"/>
    <w:rsid w:val="000F6B68"/>
    <w:rsid w:val="000F6B74"/>
    <w:rsid w:val="000F6BF7"/>
    <w:rsid w:val="000F6DFC"/>
    <w:rsid w:val="000F6E7B"/>
    <w:rsid w:val="000F708C"/>
    <w:rsid w:val="000F718E"/>
    <w:rsid w:val="000F7334"/>
    <w:rsid w:val="000F7437"/>
    <w:rsid w:val="000F748E"/>
    <w:rsid w:val="000F75EA"/>
    <w:rsid w:val="000F7609"/>
    <w:rsid w:val="000F76DE"/>
    <w:rsid w:val="000F7A04"/>
    <w:rsid w:val="000F7A4A"/>
    <w:rsid w:val="000F7A99"/>
    <w:rsid w:val="000F7C4B"/>
    <w:rsid w:val="000F7D28"/>
    <w:rsid w:val="000F7E06"/>
    <w:rsid w:val="00100054"/>
    <w:rsid w:val="00100213"/>
    <w:rsid w:val="0010038E"/>
    <w:rsid w:val="001003A1"/>
    <w:rsid w:val="00100436"/>
    <w:rsid w:val="001004A9"/>
    <w:rsid w:val="001005DB"/>
    <w:rsid w:val="00100BF5"/>
    <w:rsid w:val="00100C22"/>
    <w:rsid w:val="00100F42"/>
    <w:rsid w:val="00100FD6"/>
    <w:rsid w:val="0010104A"/>
    <w:rsid w:val="001010A5"/>
    <w:rsid w:val="0010121A"/>
    <w:rsid w:val="001012FD"/>
    <w:rsid w:val="00101336"/>
    <w:rsid w:val="001013E6"/>
    <w:rsid w:val="0010143C"/>
    <w:rsid w:val="001014C6"/>
    <w:rsid w:val="001016F5"/>
    <w:rsid w:val="00101A2E"/>
    <w:rsid w:val="00101AAB"/>
    <w:rsid w:val="00101B13"/>
    <w:rsid w:val="00101D37"/>
    <w:rsid w:val="00101F58"/>
    <w:rsid w:val="001021B1"/>
    <w:rsid w:val="0010237E"/>
    <w:rsid w:val="00102531"/>
    <w:rsid w:val="001025A1"/>
    <w:rsid w:val="00102677"/>
    <w:rsid w:val="00102A70"/>
    <w:rsid w:val="00102B98"/>
    <w:rsid w:val="00102D01"/>
    <w:rsid w:val="00102D16"/>
    <w:rsid w:val="00102DD1"/>
    <w:rsid w:val="00102E5A"/>
    <w:rsid w:val="001030A4"/>
    <w:rsid w:val="001031D2"/>
    <w:rsid w:val="001032A7"/>
    <w:rsid w:val="0010335D"/>
    <w:rsid w:val="00103442"/>
    <w:rsid w:val="001034D1"/>
    <w:rsid w:val="00103853"/>
    <w:rsid w:val="0010391D"/>
    <w:rsid w:val="00103A30"/>
    <w:rsid w:val="00103B66"/>
    <w:rsid w:val="00103B76"/>
    <w:rsid w:val="00103D06"/>
    <w:rsid w:val="00103E8E"/>
    <w:rsid w:val="00104181"/>
    <w:rsid w:val="0010421F"/>
    <w:rsid w:val="0010438D"/>
    <w:rsid w:val="00104487"/>
    <w:rsid w:val="00104651"/>
    <w:rsid w:val="0010476B"/>
    <w:rsid w:val="0010481E"/>
    <w:rsid w:val="00104D11"/>
    <w:rsid w:val="00104DE1"/>
    <w:rsid w:val="00105265"/>
    <w:rsid w:val="00105397"/>
    <w:rsid w:val="001053AD"/>
    <w:rsid w:val="00105510"/>
    <w:rsid w:val="0010562E"/>
    <w:rsid w:val="001056D1"/>
    <w:rsid w:val="0010591F"/>
    <w:rsid w:val="00105A4B"/>
    <w:rsid w:val="00105AC2"/>
    <w:rsid w:val="00105AF3"/>
    <w:rsid w:val="00105B92"/>
    <w:rsid w:val="00105FDE"/>
    <w:rsid w:val="001060A9"/>
    <w:rsid w:val="0010676F"/>
    <w:rsid w:val="00106782"/>
    <w:rsid w:val="001067E7"/>
    <w:rsid w:val="0010688A"/>
    <w:rsid w:val="00106A74"/>
    <w:rsid w:val="00106ACA"/>
    <w:rsid w:val="00106D42"/>
    <w:rsid w:val="00106D9E"/>
    <w:rsid w:val="00106F3C"/>
    <w:rsid w:val="001071D1"/>
    <w:rsid w:val="001072BF"/>
    <w:rsid w:val="001073A1"/>
    <w:rsid w:val="0010753E"/>
    <w:rsid w:val="001075A5"/>
    <w:rsid w:val="0010765B"/>
    <w:rsid w:val="00107677"/>
    <w:rsid w:val="001076A2"/>
    <w:rsid w:val="001079D7"/>
    <w:rsid w:val="00107ACB"/>
    <w:rsid w:val="00107BC7"/>
    <w:rsid w:val="00107DFB"/>
    <w:rsid w:val="0011027D"/>
    <w:rsid w:val="0011036E"/>
    <w:rsid w:val="00110420"/>
    <w:rsid w:val="00110447"/>
    <w:rsid w:val="00110513"/>
    <w:rsid w:val="0011060B"/>
    <w:rsid w:val="00110720"/>
    <w:rsid w:val="00110884"/>
    <w:rsid w:val="001108E6"/>
    <w:rsid w:val="001109CC"/>
    <w:rsid w:val="00110BBA"/>
    <w:rsid w:val="00110F01"/>
    <w:rsid w:val="0011148B"/>
    <w:rsid w:val="001114F7"/>
    <w:rsid w:val="00111560"/>
    <w:rsid w:val="0011160F"/>
    <w:rsid w:val="001116F7"/>
    <w:rsid w:val="00111708"/>
    <w:rsid w:val="00111779"/>
    <w:rsid w:val="00111AB1"/>
    <w:rsid w:val="00111CD5"/>
    <w:rsid w:val="00111D8D"/>
    <w:rsid w:val="00112077"/>
    <w:rsid w:val="00112145"/>
    <w:rsid w:val="001122B7"/>
    <w:rsid w:val="001122E1"/>
    <w:rsid w:val="001123E5"/>
    <w:rsid w:val="00112510"/>
    <w:rsid w:val="001126DA"/>
    <w:rsid w:val="00112799"/>
    <w:rsid w:val="001128D1"/>
    <w:rsid w:val="001129DF"/>
    <w:rsid w:val="00112CBA"/>
    <w:rsid w:val="00112D2E"/>
    <w:rsid w:val="00112E54"/>
    <w:rsid w:val="00112EB7"/>
    <w:rsid w:val="001130DA"/>
    <w:rsid w:val="00113177"/>
    <w:rsid w:val="001131F2"/>
    <w:rsid w:val="001132E6"/>
    <w:rsid w:val="00113442"/>
    <w:rsid w:val="001135D6"/>
    <w:rsid w:val="0011366E"/>
    <w:rsid w:val="001136BE"/>
    <w:rsid w:val="00113701"/>
    <w:rsid w:val="00113923"/>
    <w:rsid w:val="001139E9"/>
    <w:rsid w:val="00113C6C"/>
    <w:rsid w:val="00113CF2"/>
    <w:rsid w:val="0011401A"/>
    <w:rsid w:val="0011416D"/>
    <w:rsid w:val="001141F5"/>
    <w:rsid w:val="0011423A"/>
    <w:rsid w:val="00114385"/>
    <w:rsid w:val="001143D6"/>
    <w:rsid w:val="0011472E"/>
    <w:rsid w:val="001147F6"/>
    <w:rsid w:val="001147F8"/>
    <w:rsid w:val="0011483C"/>
    <w:rsid w:val="001148DE"/>
    <w:rsid w:val="00114B85"/>
    <w:rsid w:val="00114BF2"/>
    <w:rsid w:val="00114D8A"/>
    <w:rsid w:val="00114E80"/>
    <w:rsid w:val="00114FE4"/>
    <w:rsid w:val="001151A0"/>
    <w:rsid w:val="001151A8"/>
    <w:rsid w:val="00115275"/>
    <w:rsid w:val="001152CA"/>
    <w:rsid w:val="001153B0"/>
    <w:rsid w:val="001153F4"/>
    <w:rsid w:val="001154B1"/>
    <w:rsid w:val="0011558D"/>
    <w:rsid w:val="00115620"/>
    <w:rsid w:val="00115681"/>
    <w:rsid w:val="00115730"/>
    <w:rsid w:val="0011581C"/>
    <w:rsid w:val="0011587F"/>
    <w:rsid w:val="0011590E"/>
    <w:rsid w:val="00115A18"/>
    <w:rsid w:val="00115DDD"/>
    <w:rsid w:val="00115E40"/>
    <w:rsid w:val="00115E59"/>
    <w:rsid w:val="00115F17"/>
    <w:rsid w:val="00116044"/>
    <w:rsid w:val="00116095"/>
    <w:rsid w:val="001160A8"/>
    <w:rsid w:val="0011621C"/>
    <w:rsid w:val="00116379"/>
    <w:rsid w:val="001163BC"/>
    <w:rsid w:val="0011650B"/>
    <w:rsid w:val="001165AC"/>
    <w:rsid w:val="00116717"/>
    <w:rsid w:val="00116730"/>
    <w:rsid w:val="00116755"/>
    <w:rsid w:val="00116804"/>
    <w:rsid w:val="0011683C"/>
    <w:rsid w:val="00116880"/>
    <w:rsid w:val="001169CF"/>
    <w:rsid w:val="001169EE"/>
    <w:rsid w:val="00116A6C"/>
    <w:rsid w:val="00116AC0"/>
    <w:rsid w:val="00116CED"/>
    <w:rsid w:val="00116E24"/>
    <w:rsid w:val="00117131"/>
    <w:rsid w:val="0011726B"/>
    <w:rsid w:val="001172BC"/>
    <w:rsid w:val="001172F0"/>
    <w:rsid w:val="001173DB"/>
    <w:rsid w:val="00117520"/>
    <w:rsid w:val="001177B4"/>
    <w:rsid w:val="001177EE"/>
    <w:rsid w:val="00117872"/>
    <w:rsid w:val="00117B32"/>
    <w:rsid w:val="00117BE3"/>
    <w:rsid w:val="00117C67"/>
    <w:rsid w:val="00117D02"/>
    <w:rsid w:val="00117E05"/>
    <w:rsid w:val="00117E3D"/>
    <w:rsid w:val="00117EDA"/>
    <w:rsid w:val="00117EEE"/>
    <w:rsid w:val="00117F22"/>
    <w:rsid w:val="00120130"/>
    <w:rsid w:val="001201D2"/>
    <w:rsid w:val="001201F3"/>
    <w:rsid w:val="0012024F"/>
    <w:rsid w:val="0012036E"/>
    <w:rsid w:val="00120376"/>
    <w:rsid w:val="001203B9"/>
    <w:rsid w:val="001203D6"/>
    <w:rsid w:val="00120476"/>
    <w:rsid w:val="00120505"/>
    <w:rsid w:val="001205D9"/>
    <w:rsid w:val="001206E5"/>
    <w:rsid w:val="001208B4"/>
    <w:rsid w:val="00120989"/>
    <w:rsid w:val="001209B7"/>
    <w:rsid w:val="00120BCF"/>
    <w:rsid w:val="00120C66"/>
    <w:rsid w:val="00120CA6"/>
    <w:rsid w:val="00120F18"/>
    <w:rsid w:val="00121039"/>
    <w:rsid w:val="00121136"/>
    <w:rsid w:val="0012136B"/>
    <w:rsid w:val="0012154F"/>
    <w:rsid w:val="001216C3"/>
    <w:rsid w:val="001217C1"/>
    <w:rsid w:val="00121AD4"/>
    <w:rsid w:val="00121C40"/>
    <w:rsid w:val="00121D56"/>
    <w:rsid w:val="00121E2D"/>
    <w:rsid w:val="00121F1A"/>
    <w:rsid w:val="00121F86"/>
    <w:rsid w:val="0012205F"/>
    <w:rsid w:val="001220C9"/>
    <w:rsid w:val="00122197"/>
    <w:rsid w:val="001224DF"/>
    <w:rsid w:val="001224E3"/>
    <w:rsid w:val="00122804"/>
    <w:rsid w:val="00122895"/>
    <w:rsid w:val="001228B9"/>
    <w:rsid w:val="0012296E"/>
    <w:rsid w:val="00122971"/>
    <w:rsid w:val="00122A22"/>
    <w:rsid w:val="00122D0A"/>
    <w:rsid w:val="00122FE3"/>
    <w:rsid w:val="00123033"/>
    <w:rsid w:val="00123052"/>
    <w:rsid w:val="00123160"/>
    <w:rsid w:val="001234CD"/>
    <w:rsid w:val="00123657"/>
    <w:rsid w:val="00123997"/>
    <w:rsid w:val="001239B8"/>
    <w:rsid w:val="00123A9E"/>
    <w:rsid w:val="00123E11"/>
    <w:rsid w:val="00123E7A"/>
    <w:rsid w:val="00123F36"/>
    <w:rsid w:val="001240E0"/>
    <w:rsid w:val="0012428F"/>
    <w:rsid w:val="001245C1"/>
    <w:rsid w:val="001245C2"/>
    <w:rsid w:val="0012473C"/>
    <w:rsid w:val="0012477C"/>
    <w:rsid w:val="00124790"/>
    <w:rsid w:val="001248F1"/>
    <w:rsid w:val="00124B75"/>
    <w:rsid w:val="00124C2F"/>
    <w:rsid w:val="00124C4C"/>
    <w:rsid w:val="00124D4E"/>
    <w:rsid w:val="00124FC4"/>
    <w:rsid w:val="00124FF1"/>
    <w:rsid w:val="00125277"/>
    <w:rsid w:val="00125435"/>
    <w:rsid w:val="00125459"/>
    <w:rsid w:val="001255F2"/>
    <w:rsid w:val="001258AA"/>
    <w:rsid w:val="001258D2"/>
    <w:rsid w:val="00125996"/>
    <w:rsid w:val="001259AE"/>
    <w:rsid w:val="00125AF4"/>
    <w:rsid w:val="00125B01"/>
    <w:rsid w:val="00125C0C"/>
    <w:rsid w:val="00125D57"/>
    <w:rsid w:val="00125D73"/>
    <w:rsid w:val="00125E37"/>
    <w:rsid w:val="00125E4E"/>
    <w:rsid w:val="00125EC8"/>
    <w:rsid w:val="00125EF6"/>
    <w:rsid w:val="0012616E"/>
    <w:rsid w:val="001261F6"/>
    <w:rsid w:val="00126220"/>
    <w:rsid w:val="00126289"/>
    <w:rsid w:val="00126372"/>
    <w:rsid w:val="0012637A"/>
    <w:rsid w:val="001263B5"/>
    <w:rsid w:val="00126511"/>
    <w:rsid w:val="001265AD"/>
    <w:rsid w:val="001267A0"/>
    <w:rsid w:val="001267B0"/>
    <w:rsid w:val="0012684C"/>
    <w:rsid w:val="0012686F"/>
    <w:rsid w:val="001269BC"/>
    <w:rsid w:val="00126A5D"/>
    <w:rsid w:val="00126AF0"/>
    <w:rsid w:val="00126AF9"/>
    <w:rsid w:val="00126B1B"/>
    <w:rsid w:val="00126B7A"/>
    <w:rsid w:val="00126DEC"/>
    <w:rsid w:val="00126DFB"/>
    <w:rsid w:val="00126E72"/>
    <w:rsid w:val="00126EFC"/>
    <w:rsid w:val="0012708D"/>
    <w:rsid w:val="0012708E"/>
    <w:rsid w:val="00127162"/>
    <w:rsid w:val="001271AD"/>
    <w:rsid w:val="0012721F"/>
    <w:rsid w:val="00127234"/>
    <w:rsid w:val="0012766A"/>
    <w:rsid w:val="001277A7"/>
    <w:rsid w:val="00127934"/>
    <w:rsid w:val="00127A4C"/>
    <w:rsid w:val="00127BA9"/>
    <w:rsid w:val="00127D5E"/>
    <w:rsid w:val="00127DE1"/>
    <w:rsid w:val="00127E50"/>
    <w:rsid w:val="00127FDA"/>
    <w:rsid w:val="0013007A"/>
    <w:rsid w:val="00130234"/>
    <w:rsid w:val="0013038E"/>
    <w:rsid w:val="00130433"/>
    <w:rsid w:val="001304DE"/>
    <w:rsid w:val="001304F7"/>
    <w:rsid w:val="00130667"/>
    <w:rsid w:val="00130B4C"/>
    <w:rsid w:val="00130CA3"/>
    <w:rsid w:val="00130D7F"/>
    <w:rsid w:val="00130F49"/>
    <w:rsid w:val="00130FBE"/>
    <w:rsid w:val="0013120E"/>
    <w:rsid w:val="001312F9"/>
    <w:rsid w:val="00131321"/>
    <w:rsid w:val="00131439"/>
    <w:rsid w:val="0013147B"/>
    <w:rsid w:val="00131543"/>
    <w:rsid w:val="00131820"/>
    <w:rsid w:val="0013192A"/>
    <w:rsid w:val="00131E71"/>
    <w:rsid w:val="00131E80"/>
    <w:rsid w:val="00131F14"/>
    <w:rsid w:val="00132059"/>
    <w:rsid w:val="00132105"/>
    <w:rsid w:val="00132709"/>
    <w:rsid w:val="00132763"/>
    <w:rsid w:val="001327C4"/>
    <w:rsid w:val="001328E5"/>
    <w:rsid w:val="0013295B"/>
    <w:rsid w:val="00132D32"/>
    <w:rsid w:val="00132DCF"/>
    <w:rsid w:val="00132E14"/>
    <w:rsid w:val="00133183"/>
    <w:rsid w:val="001333E6"/>
    <w:rsid w:val="001334FB"/>
    <w:rsid w:val="001336F5"/>
    <w:rsid w:val="0013386B"/>
    <w:rsid w:val="00133996"/>
    <w:rsid w:val="00133AE8"/>
    <w:rsid w:val="00133B26"/>
    <w:rsid w:val="00133DA2"/>
    <w:rsid w:val="00134077"/>
    <w:rsid w:val="001341E6"/>
    <w:rsid w:val="00134201"/>
    <w:rsid w:val="0013425A"/>
    <w:rsid w:val="00134352"/>
    <w:rsid w:val="00134357"/>
    <w:rsid w:val="0013445F"/>
    <w:rsid w:val="0013466C"/>
    <w:rsid w:val="00134771"/>
    <w:rsid w:val="00134918"/>
    <w:rsid w:val="00134BDF"/>
    <w:rsid w:val="00134C98"/>
    <w:rsid w:val="00134CC2"/>
    <w:rsid w:val="00134D65"/>
    <w:rsid w:val="00134E6C"/>
    <w:rsid w:val="00134ED8"/>
    <w:rsid w:val="00134EFE"/>
    <w:rsid w:val="00134FD7"/>
    <w:rsid w:val="00135009"/>
    <w:rsid w:val="0013512B"/>
    <w:rsid w:val="0013530D"/>
    <w:rsid w:val="0013538C"/>
    <w:rsid w:val="0013541E"/>
    <w:rsid w:val="00135462"/>
    <w:rsid w:val="00135673"/>
    <w:rsid w:val="00135688"/>
    <w:rsid w:val="001356E0"/>
    <w:rsid w:val="00135723"/>
    <w:rsid w:val="0013593F"/>
    <w:rsid w:val="001359BF"/>
    <w:rsid w:val="00135C21"/>
    <w:rsid w:val="00135D4F"/>
    <w:rsid w:val="00135E56"/>
    <w:rsid w:val="00136007"/>
    <w:rsid w:val="0013620F"/>
    <w:rsid w:val="00136357"/>
    <w:rsid w:val="00136593"/>
    <w:rsid w:val="00136608"/>
    <w:rsid w:val="0013670D"/>
    <w:rsid w:val="00136778"/>
    <w:rsid w:val="0013680F"/>
    <w:rsid w:val="001368D4"/>
    <w:rsid w:val="00136A16"/>
    <w:rsid w:val="00136A4E"/>
    <w:rsid w:val="00136C38"/>
    <w:rsid w:val="00136E19"/>
    <w:rsid w:val="00136F66"/>
    <w:rsid w:val="00136F97"/>
    <w:rsid w:val="00137045"/>
    <w:rsid w:val="00137340"/>
    <w:rsid w:val="00137669"/>
    <w:rsid w:val="00137704"/>
    <w:rsid w:val="001377FC"/>
    <w:rsid w:val="00137B73"/>
    <w:rsid w:val="00137FA0"/>
    <w:rsid w:val="00140049"/>
    <w:rsid w:val="001401D0"/>
    <w:rsid w:val="001401E7"/>
    <w:rsid w:val="00140204"/>
    <w:rsid w:val="001403A8"/>
    <w:rsid w:val="00140470"/>
    <w:rsid w:val="001405A4"/>
    <w:rsid w:val="001405F1"/>
    <w:rsid w:val="001407A5"/>
    <w:rsid w:val="001407AE"/>
    <w:rsid w:val="001407DA"/>
    <w:rsid w:val="00140808"/>
    <w:rsid w:val="00140860"/>
    <w:rsid w:val="001408A5"/>
    <w:rsid w:val="00140952"/>
    <w:rsid w:val="001409AA"/>
    <w:rsid w:val="00140B8B"/>
    <w:rsid w:val="00140BA7"/>
    <w:rsid w:val="00140CD0"/>
    <w:rsid w:val="00140D35"/>
    <w:rsid w:val="00140E48"/>
    <w:rsid w:val="001410C9"/>
    <w:rsid w:val="0014111C"/>
    <w:rsid w:val="00141217"/>
    <w:rsid w:val="001412B9"/>
    <w:rsid w:val="00141409"/>
    <w:rsid w:val="00141433"/>
    <w:rsid w:val="001417BD"/>
    <w:rsid w:val="001419D4"/>
    <w:rsid w:val="001419FD"/>
    <w:rsid w:val="00141A1E"/>
    <w:rsid w:val="00141A21"/>
    <w:rsid w:val="00141AA6"/>
    <w:rsid w:val="00141BEC"/>
    <w:rsid w:val="00141DB9"/>
    <w:rsid w:val="00141DEF"/>
    <w:rsid w:val="00141F9A"/>
    <w:rsid w:val="00142174"/>
    <w:rsid w:val="001421E5"/>
    <w:rsid w:val="0014241B"/>
    <w:rsid w:val="00142591"/>
    <w:rsid w:val="00142623"/>
    <w:rsid w:val="0014269C"/>
    <w:rsid w:val="001426AF"/>
    <w:rsid w:val="00142766"/>
    <w:rsid w:val="001427A9"/>
    <w:rsid w:val="001427EA"/>
    <w:rsid w:val="001428CD"/>
    <w:rsid w:val="001429BD"/>
    <w:rsid w:val="00142BEC"/>
    <w:rsid w:val="00142CD3"/>
    <w:rsid w:val="00142F2B"/>
    <w:rsid w:val="00142F89"/>
    <w:rsid w:val="0014309B"/>
    <w:rsid w:val="001431BC"/>
    <w:rsid w:val="00143201"/>
    <w:rsid w:val="001433F8"/>
    <w:rsid w:val="00143412"/>
    <w:rsid w:val="0014349C"/>
    <w:rsid w:val="00143631"/>
    <w:rsid w:val="00143667"/>
    <w:rsid w:val="0014370A"/>
    <w:rsid w:val="0014376D"/>
    <w:rsid w:val="001437E2"/>
    <w:rsid w:val="00143944"/>
    <w:rsid w:val="00143AE1"/>
    <w:rsid w:val="00143AE5"/>
    <w:rsid w:val="00143C43"/>
    <w:rsid w:val="00143D10"/>
    <w:rsid w:val="00143D52"/>
    <w:rsid w:val="00143DB6"/>
    <w:rsid w:val="00143E90"/>
    <w:rsid w:val="00143F95"/>
    <w:rsid w:val="00144111"/>
    <w:rsid w:val="0014431E"/>
    <w:rsid w:val="001445C5"/>
    <w:rsid w:val="0014467A"/>
    <w:rsid w:val="0014472E"/>
    <w:rsid w:val="00144905"/>
    <w:rsid w:val="0014496F"/>
    <w:rsid w:val="00144B89"/>
    <w:rsid w:val="00144FFC"/>
    <w:rsid w:val="0014511B"/>
    <w:rsid w:val="00145184"/>
    <w:rsid w:val="001453FB"/>
    <w:rsid w:val="00145583"/>
    <w:rsid w:val="00145682"/>
    <w:rsid w:val="001456F1"/>
    <w:rsid w:val="0014571D"/>
    <w:rsid w:val="00145817"/>
    <w:rsid w:val="00145BCA"/>
    <w:rsid w:val="00145BD4"/>
    <w:rsid w:val="00145C76"/>
    <w:rsid w:val="00145CCA"/>
    <w:rsid w:val="00145FD0"/>
    <w:rsid w:val="00146041"/>
    <w:rsid w:val="001462DA"/>
    <w:rsid w:val="00146366"/>
    <w:rsid w:val="001464E3"/>
    <w:rsid w:val="00146513"/>
    <w:rsid w:val="00146660"/>
    <w:rsid w:val="0014669C"/>
    <w:rsid w:val="00146795"/>
    <w:rsid w:val="001468C7"/>
    <w:rsid w:val="001468DB"/>
    <w:rsid w:val="00146969"/>
    <w:rsid w:val="00146B0A"/>
    <w:rsid w:val="00146C17"/>
    <w:rsid w:val="00146C24"/>
    <w:rsid w:val="00146C92"/>
    <w:rsid w:val="00146ED2"/>
    <w:rsid w:val="00146F5C"/>
    <w:rsid w:val="00147026"/>
    <w:rsid w:val="001472C1"/>
    <w:rsid w:val="0014737D"/>
    <w:rsid w:val="0014746C"/>
    <w:rsid w:val="00147487"/>
    <w:rsid w:val="00147BE0"/>
    <w:rsid w:val="00147BE4"/>
    <w:rsid w:val="00147D39"/>
    <w:rsid w:val="00147DE7"/>
    <w:rsid w:val="00147E0D"/>
    <w:rsid w:val="00147E50"/>
    <w:rsid w:val="00150058"/>
    <w:rsid w:val="001504FF"/>
    <w:rsid w:val="00150741"/>
    <w:rsid w:val="001507F1"/>
    <w:rsid w:val="00150827"/>
    <w:rsid w:val="0015098D"/>
    <w:rsid w:val="00150A00"/>
    <w:rsid w:val="00150AF3"/>
    <w:rsid w:val="00150D0D"/>
    <w:rsid w:val="00150D7B"/>
    <w:rsid w:val="00150E6D"/>
    <w:rsid w:val="00150F4F"/>
    <w:rsid w:val="00150FB2"/>
    <w:rsid w:val="0015102C"/>
    <w:rsid w:val="001510A3"/>
    <w:rsid w:val="0015128F"/>
    <w:rsid w:val="001512BF"/>
    <w:rsid w:val="0015143E"/>
    <w:rsid w:val="00151463"/>
    <w:rsid w:val="0015147B"/>
    <w:rsid w:val="001514CE"/>
    <w:rsid w:val="0015154C"/>
    <w:rsid w:val="00151582"/>
    <w:rsid w:val="00151780"/>
    <w:rsid w:val="00151895"/>
    <w:rsid w:val="00151979"/>
    <w:rsid w:val="001519AD"/>
    <w:rsid w:val="00151A5E"/>
    <w:rsid w:val="00151B18"/>
    <w:rsid w:val="00151BDE"/>
    <w:rsid w:val="00151BF4"/>
    <w:rsid w:val="00151D0F"/>
    <w:rsid w:val="00152022"/>
    <w:rsid w:val="0015212A"/>
    <w:rsid w:val="00152158"/>
    <w:rsid w:val="0015229C"/>
    <w:rsid w:val="00152488"/>
    <w:rsid w:val="00152604"/>
    <w:rsid w:val="00152618"/>
    <w:rsid w:val="0015280E"/>
    <w:rsid w:val="00152890"/>
    <w:rsid w:val="00152916"/>
    <w:rsid w:val="00152CAD"/>
    <w:rsid w:val="00152E0D"/>
    <w:rsid w:val="00152EB2"/>
    <w:rsid w:val="0015313F"/>
    <w:rsid w:val="001531C9"/>
    <w:rsid w:val="00153469"/>
    <w:rsid w:val="001535A1"/>
    <w:rsid w:val="00153774"/>
    <w:rsid w:val="001537DD"/>
    <w:rsid w:val="001539F3"/>
    <w:rsid w:val="00153B42"/>
    <w:rsid w:val="00153B8D"/>
    <w:rsid w:val="00153C01"/>
    <w:rsid w:val="00153C6D"/>
    <w:rsid w:val="00153EA6"/>
    <w:rsid w:val="001540E7"/>
    <w:rsid w:val="001541CB"/>
    <w:rsid w:val="001542E0"/>
    <w:rsid w:val="0015431E"/>
    <w:rsid w:val="00154378"/>
    <w:rsid w:val="001543E0"/>
    <w:rsid w:val="00154420"/>
    <w:rsid w:val="001544B6"/>
    <w:rsid w:val="001547B2"/>
    <w:rsid w:val="00154921"/>
    <w:rsid w:val="00154ADE"/>
    <w:rsid w:val="00154B11"/>
    <w:rsid w:val="00154D23"/>
    <w:rsid w:val="0015512D"/>
    <w:rsid w:val="0015515C"/>
    <w:rsid w:val="00155160"/>
    <w:rsid w:val="0015516E"/>
    <w:rsid w:val="001552C2"/>
    <w:rsid w:val="00155713"/>
    <w:rsid w:val="001557B0"/>
    <w:rsid w:val="0015581A"/>
    <w:rsid w:val="00155988"/>
    <w:rsid w:val="0015599A"/>
    <w:rsid w:val="00155A15"/>
    <w:rsid w:val="00155B7C"/>
    <w:rsid w:val="00155C2B"/>
    <w:rsid w:val="00155C33"/>
    <w:rsid w:val="00155D63"/>
    <w:rsid w:val="001560E6"/>
    <w:rsid w:val="001561BC"/>
    <w:rsid w:val="001563E1"/>
    <w:rsid w:val="0015660A"/>
    <w:rsid w:val="00156824"/>
    <w:rsid w:val="00156919"/>
    <w:rsid w:val="001569FE"/>
    <w:rsid w:val="0015748C"/>
    <w:rsid w:val="001574E2"/>
    <w:rsid w:val="001575A5"/>
    <w:rsid w:val="001575C9"/>
    <w:rsid w:val="00157642"/>
    <w:rsid w:val="001577F8"/>
    <w:rsid w:val="00157883"/>
    <w:rsid w:val="001578D1"/>
    <w:rsid w:val="00157A0D"/>
    <w:rsid w:val="00157EEA"/>
    <w:rsid w:val="00157FBE"/>
    <w:rsid w:val="00157FC5"/>
    <w:rsid w:val="001600B7"/>
    <w:rsid w:val="001601CA"/>
    <w:rsid w:val="0016035C"/>
    <w:rsid w:val="00160496"/>
    <w:rsid w:val="0016061F"/>
    <w:rsid w:val="00160638"/>
    <w:rsid w:val="00160657"/>
    <w:rsid w:val="001607C9"/>
    <w:rsid w:val="00160803"/>
    <w:rsid w:val="0016081E"/>
    <w:rsid w:val="00160898"/>
    <w:rsid w:val="00160A28"/>
    <w:rsid w:val="00160C4E"/>
    <w:rsid w:val="00160D2B"/>
    <w:rsid w:val="00160DC6"/>
    <w:rsid w:val="00160E1C"/>
    <w:rsid w:val="00161440"/>
    <w:rsid w:val="00161451"/>
    <w:rsid w:val="001615EC"/>
    <w:rsid w:val="001615F3"/>
    <w:rsid w:val="001616C0"/>
    <w:rsid w:val="001617E9"/>
    <w:rsid w:val="00161C5D"/>
    <w:rsid w:val="00161EB9"/>
    <w:rsid w:val="00162078"/>
    <w:rsid w:val="001625F9"/>
    <w:rsid w:val="0016276F"/>
    <w:rsid w:val="00162C89"/>
    <w:rsid w:val="00162D0B"/>
    <w:rsid w:val="00162EBE"/>
    <w:rsid w:val="001631E8"/>
    <w:rsid w:val="00163212"/>
    <w:rsid w:val="001632A8"/>
    <w:rsid w:val="001632F1"/>
    <w:rsid w:val="00163374"/>
    <w:rsid w:val="001633CC"/>
    <w:rsid w:val="0016340C"/>
    <w:rsid w:val="0016376F"/>
    <w:rsid w:val="001639C5"/>
    <w:rsid w:val="00163AEB"/>
    <w:rsid w:val="00163B6C"/>
    <w:rsid w:val="00163C58"/>
    <w:rsid w:val="00163DE5"/>
    <w:rsid w:val="00163E53"/>
    <w:rsid w:val="001642DD"/>
    <w:rsid w:val="00164437"/>
    <w:rsid w:val="001644D3"/>
    <w:rsid w:val="00164876"/>
    <w:rsid w:val="00164ECD"/>
    <w:rsid w:val="00165284"/>
    <w:rsid w:val="00165452"/>
    <w:rsid w:val="00165520"/>
    <w:rsid w:val="001655A7"/>
    <w:rsid w:val="0016561C"/>
    <w:rsid w:val="00165664"/>
    <w:rsid w:val="0016570A"/>
    <w:rsid w:val="001657CC"/>
    <w:rsid w:val="0016595E"/>
    <w:rsid w:val="001659B2"/>
    <w:rsid w:val="00165A0E"/>
    <w:rsid w:val="00165A37"/>
    <w:rsid w:val="00165C4D"/>
    <w:rsid w:val="00165CEC"/>
    <w:rsid w:val="00165D47"/>
    <w:rsid w:val="00165EC1"/>
    <w:rsid w:val="00166492"/>
    <w:rsid w:val="001664EE"/>
    <w:rsid w:val="00166540"/>
    <w:rsid w:val="00166563"/>
    <w:rsid w:val="0016672A"/>
    <w:rsid w:val="00166969"/>
    <w:rsid w:val="00166A62"/>
    <w:rsid w:val="00166C06"/>
    <w:rsid w:val="00166C15"/>
    <w:rsid w:val="00166C72"/>
    <w:rsid w:val="00166CFF"/>
    <w:rsid w:val="00167096"/>
    <w:rsid w:val="001671A2"/>
    <w:rsid w:val="001671DC"/>
    <w:rsid w:val="001672BB"/>
    <w:rsid w:val="0016740E"/>
    <w:rsid w:val="001674FB"/>
    <w:rsid w:val="001675C5"/>
    <w:rsid w:val="00167661"/>
    <w:rsid w:val="00167754"/>
    <w:rsid w:val="00167951"/>
    <w:rsid w:val="00167C30"/>
    <w:rsid w:val="00167CA1"/>
    <w:rsid w:val="00167F94"/>
    <w:rsid w:val="00167FCF"/>
    <w:rsid w:val="00170026"/>
    <w:rsid w:val="001700BE"/>
    <w:rsid w:val="001700D8"/>
    <w:rsid w:val="00170163"/>
    <w:rsid w:val="00170171"/>
    <w:rsid w:val="0017041E"/>
    <w:rsid w:val="00170583"/>
    <w:rsid w:val="001705F3"/>
    <w:rsid w:val="0017083E"/>
    <w:rsid w:val="00170863"/>
    <w:rsid w:val="00170913"/>
    <w:rsid w:val="00170A3E"/>
    <w:rsid w:val="00170B32"/>
    <w:rsid w:val="00170B7B"/>
    <w:rsid w:val="00170BE7"/>
    <w:rsid w:val="00170C3B"/>
    <w:rsid w:val="00170CE6"/>
    <w:rsid w:val="00170E03"/>
    <w:rsid w:val="00170E72"/>
    <w:rsid w:val="00170F28"/>
    <w:rsid w:val="00171072"/>
    <w:rsid w:val="0017121F"/>
    <w:rsid w:val="001712A3"/>
    <w:rsid w:val="0017134B"/>
    <w:rsid w:val="0017155B"/>
    <w:rsid w:val="00171695"/>
    <w:rsid w:val="001718B9"/>
    <w:rsid w:val="00171916"/>
    <w:rsid w:val="00171A8B"/>
    <w:rsid w:val="00171AE0"/>
    <w:rsid w:val="00171B45"/>
    <w:rsid w:val="00171B50"/>
    <w:rsid w:val="00171E45"/>
    <w:rsid w:val="00171F2C"/>
    <w:rsid w:val="00171FB7"/>
    <w:rsid w:val="0017216B"/>
    <w:rsid w:val="0017228D"/>
    <w:rsid w:val="001723A5"/>
    <w:rsid w:val="001723BE"/>
    <w:rsid w:val="001723C5"/>
    <w:rsid w:val="00172450"/>
    <w:rsid w:val="00172465"/>
    <w:rsid w:val="0017246D"/>
    <w:rsid w:val="0017259F"/>
    <w:rsid w:val="00172670"/>
    <w:rsid w:val="0017273B"/>
    <w:rsid w:val="001727C2"/>
    <w:rsid w:val="00172DFC"/>
    <w:rsid w:val="00172E06"/>
    <w:rsid w:val="00172E9C"/>
    <w:rsid w:val="0017317E"/>
    <w:rsid w:val="001731EB"/>
    <w:rsid w:val="001732E0"/>
    <w:rsid w:val="00173500"/>
    <w:rsid w:val="00173968"/>
    <w:rsid w:val="001739A8"/>
    <w:rsid w:val="00173A98"/>
    <w:rsid w:val="00173B27"/>
    <w:rsid w:val="001745D7"/>
    <w:rsid w:val="00174699"/>
    <w:rsid w:val="0017481F"/>
    <w:rsid w:val="00174B75"/>
    <w:rsid w:val="00174C37"/>
    <w:rsid w:val="00174CAA"/>
    <w:rsid w:val="00174EA2"/>
    <w:rsid w:val="00174FBE"/>
    <w:rsid w:val="0017502A"/>
    <w:rsid w:val="0017506E"/>
    <w:rsid w:val="0017543E"/>
    <w:rsid w:val="0017551D"/>
    <w:rsid w:val="0017579A"/>
    <w:rsid w:val="00175816"/>
    <w:rsid w:val="00175918"/>
    <w:rsid w:val="00175CD8"/>
    <w:rsid w:val="00175CE1"/>
    <w:rsid w:val="00175FC0"/>
    <w:rsid w:val="0017604A"/>
    <w:rsid w:val="00176053"/>
    <w:rsid w:val="001762D8"/>
    <w:rsid w:val="00176390"/>
    <w:rsid w:val="00176391"/>
    <w:rsid w:val="00176795"/>
    <w:rsid w:val="00176906"/>
    <w:rsid w:val="00176B34"/>
    <w:rsid w:val="00176C36"/>
    <w:rsid w:val="00176DC0"/>
    <w:rsid w:val="00176E33"/>
    <w:rsid w:val="00176F6E"/>
    <w:rsid w:val="0017738C"/>
    <w:rsid w:val="001775FD"/>
    <w:rsid w:val="0017762C"/>
    <w:rsid w:val="0017781C"/>
    <w:rsid w:val="00177867"/>
    <w:rsid w:val="001779D1"/>
    <w:rsid w:val="00177A1D"/>
    <w:rsid w:val="00177ABC"/>
    <w:rsid w:val="00177B93"/>
    <w:rsid w:val="00177D74"/>
    <w:rsid w:val="0018033F"/>
    <w:rsid w:val="001807B5"/>
    <w:rsid w:val="001807BE"/>
    <w:rsid w:val="00180855"/>
    <w:rsid w:val="00180A27"/>
    <w:rsid w:val="00180BB3"/>
    <w:rsid w:val="00180D3F"/>
    <w:rsid w:val="00180E54"/>
    <w:rsid w:val="00181114"/>
    <w:rsid w:val="0018116F"/>
    <w:rsid w:val="00181190"/>
    <w:rsid w:val="00181213"/>
    <w:rsid w:val="0018153B"/>
    <w:rsid w:val="001815B8"/>
    <w:rsid w:val="0018160E"/>
    <w:rsid w:val="0018166E"/>
    <w:rsid w:val="001817AC"/>
    <w:rsid w:val="00181814"/>
    <w:rsid w:val="001819FC"/>
    <w:rsid w:val="00181B8E"/>
    <w:rsid w:val="00181C90"/>
    <w:rsid w:val="00181DE3"/>
    <w:rsid w:val="00181E6F"/>
    <w:rsid w:val="00181F19"/>
    <w:rsid w:val="00182039"/>
    <w:rsid w:val="0018203C"/>
    <w:rsid w:val="00182359"/>
    <w:rsid w:val="001823BC"/>
    <w:rsid w:val="0018255F"/>
    <w:rsid w:val="00182580"/>
    <w:rsid w:val="00182860"/>
    <w:rsid w:val="00182982"/>
    <w:rsid w:val="00182B1F"/>
    <w:rsid w:val="001830E3"/>
    <w:rsid w:val="00183380"/>
    <w:rsid w:val="001834C6"/>
    <w:rsid w:val="0018354E"/>
    <w:rsid w:val="001836CC"/>
    <w:rsid w:val="0018373B"/>
    <w:rsid w:val="0018375E"/>
    <w:rsid w:val="0018380E"/>
    <w:rsid w:val="001838D5"/>
    <w:rsid w:val="00183A65"/>
    <w:rsid w:val="00183B74"/>
    <w:rsid w:val="00183D7D"/>
    <w:rsid w:val="00183E0F"/>
    <w:rsid w:val="00183FD0"/>
    <w:rsid w:val="001840B2"/>
    <w:rsid w:val="001841EB"/>
    <w:rsid w:val="001842A3"/>
    <w:rsid w:val="001843F0"/>
    <w:rsid w:val="00184445"/>
    <w:rsid w:val="0018467E"/>
    <w:rsid w:val="00184689"/>
    <w:rsid w:val="001848C4"/>
    <w:rsid w:val="00184909"/>
    <w:rsid w:val="00184B4A"/>
    <w:rsid w:val="00184B7F"/>
    <w:rsid w:val="00184D36"/>
    <w:rsid w:val="00184DED"/>
    <w:rsid w:val="00184F5E"/>
    <w:rsid w:val="00184FA5"/>
    <w:rsid w:val="001851DD"/>
    <w:rsid w:val="00185309"/>
    <w:rsid w:val="00185359"/>
    <w:rsid w:val="001853B7"/>
    <w:rsid w:val="001854CB"/>
    <w:rsid w:val="001855D3"/>
    <w:rsid w:val="00185696"/>
    <w:rsid w:val="001856CE"/>
    <w:rsid w:val="001858A6"/>
    <w:rsid w:val="00185921"/>
    <w:rsid w:val="00185997"/>
    <w:rsid w:val="00185AF7"/>
    <w:rsid w:val="00185C56"/>
    <w:rsid w:val="00185C74"/>
    <w:rsid w:val="00185D5B"/>
    <w:rsid w:val="00185D6D"/>
    <w:rsid w:val="00185DE0"/>
    <w:rsid w:val="00185DF5"/>
    <w:rsid w:val="00185F27"/>
    <w:rsid w:val="0018610F"/>
    <w:rsid w:val="00186538"/>
    <w:rsid w:val="0018655D"/>
    <w:rsid w:val="001868AD"/>
    <w:rsid w:val="001869CE"/>
    <w:rsid w:val="00186B99"/>
    <w:rsid w:val="00186C4A"/>
    <w:rsid w:val="00186FA1"/>
    <w:rsid w:val="0018722A"/>
    <w:rsid w:val="001872F2"/>
    <w:rsid w:val="00187392"/>
    <w:rsid w:val="001876A6"/>
    <w:rsid w:val="0018772A"/>
    <w:rsid w:val="00187732"/>
    <w:rsid w:val="001878F6"/>
    <w:rsid w:val="00187948"/>
    <w:rsid w:val="00187AD2"/>
    <w:rsid w:val="00187F68"/>
    <w:rsid w:val="001901DB"/>
    <w:rsid w:val="00190349"/>
    <w:rsid w:val="00190600"/>
    <w:rsid w:val="00190685"/>
    <w:rsid w:val="00190764"/>
    <w:rsid w:val="00190A66"/>
    <w:rsid w:val="00190A7C"/>
    <w:rsid w:val="00190BDF"/>
    <w:rsid w:val="00190C23"/>
    <w:rsid w:val="00190C48"/>
    <w:rsid w:val="00190DC2"/>
    <w:rsid w:val="001910A3"/>
    <w:rsid w:val="0019110E"/>
    <w:rsid w:val="001913A5"/>
    <w:rsid w:val="00191422"/>
    <w:rsid w:val="001914B2"/>
    <w:rsid w:val="001914C5"/>
    <w:rsid w:val="001917A8"/>
    <w:rsid w:val="0019196A"/>
    <w:rsid w:val="00191A48"/>
    <w:rsid w:val="00191AE3"/>
    <w:rsid w:val="00191B0D"/>
    <w:rsid w:val="00191B78"/>
    <w:rsid w:val="00191E41"/>
    <w:rsid w:val="00191E9E"/>
    <w:rsid w:val="001921CD"/>
    <w:rsid w:val="001921F7"/>
    <w:rsid w:val="0019227A"/>
    <w:rsid w:val="00192337"/>
    <w:rsid w:val="001924B4"/>
    <w:rsid w:val="001924B8"/>
    <w:rsid w:val="001924F9"/>
    <w:rsid w:val="00192762"/>
    <w:rsid w:val="001927C1"/>
    <w:rsid w:val="001927E8"/>
    <w:rsid w:val="00192926"/>
    <w:rsid w:val="00192B18"/>
    <w:rsid w:val="00192BBC"/>
    <w:rsid w:val="00192C22"/>
    <w:rsid w:val="00192D48"/>
    <w:rsid w:val="00192E78"/>
    <w:rsid w:val="00192FC1"/>
    <w:rsid w:val="0019311B"/>
    <w:rsid w:val="0019317F"/>
    <w:rsid w:val="001932B5"/>
    <w:rsid w:val="0019338F"/>
    <w:rsid w:val="00193589"/>
    <w:rsid w:val="00193593"/>
    <w:rsid w:val="00193648"/>
    <w:rsid w:val="00193924"/>
    <w:rsid w:val="0019392D"/>
    <w:rsid w:val="00193E75"/>
    <w:rsid w:val="00194004"/>
    <w:rsid w:val="001942A5"/>
    <w:rsid w:val="0019442E"/>
    <w:rsid w:val="001947DD"/>
    <w:rsid w:val="00194882"/>
    <w:rsid w:val="00194AC4"/>
    <w:rsid w:val="00194C84"/>
    <w:rsid w:val="00194CA1"/>
    <w:rsid w:val="00194F54"/>
    <w:rsid w:val="001953AA"/>
    <w:rsid w:val="0019541F"/>
    <w:rsid w:val="001954A9"/>
    <w:rsid w:val="00195665"/>
    <w:rsid w:val="001956BB"/>
    <w:rsid w:val="0019578E"/>
    <w:rsid w:val="00195934"/>
    <w:rsid w:val="001959A0"/>
    <w:rsid w:val="001959B7"/>
    <w:rsid w:val="00195A9D"/>
    <w:rsid w:val="00195AAF"/>
    <w:rsid w:val="00195C17"/>
    <w:rsid w:val="00195CEC"/>
    <w:rsid w:val="00195D7E"/>
    <w:rsid w:val="00195F99"/>
    <w:rsid w:val="00196096"/>
    <w:rsid w:val="00196324"/>
    <w:rsid w:val="001966E5"/>
    <w:rsid w:val="00196789"/>
    <w:rsid w:val="001968A5"/>
    <w:rsid w:val="001968B5"/>
    <w:rsid w:val="00196E69"/>
    <w:rsid w:val="00196ED1"/>
    <w:rsid w:val="00196FB1"/>
    <w:rsid w:val="0019702F"/>
    <w:rsid w:val="00197034"/>
    <w:rsid w:val="001970C6"/>
    <w:rsid w:val="00197133"/>
    <w:rsid w:val="00197158"/>
    <w:rsid w:val="00197444"/>
    <w:rsid w:val="00197453"/>
    <w:rsid w:val="00197527"/>
    <w:rsid w:val="0019754A"/>
    <w:rsid w:val="00197842"/>
    <w:rsid w:val="001978A9"/>
    <w:rsid w:val="00197B54"/>
    <w:rsid w:val="00197B60"/>
    <w:rsid w:val="00197CD2"/>
    <w:rsid w:val="00197DE8"/>
    <w:rsid w:val="00197E80"/>
    <w:rsid w:val="00197F50"/>
    <w:rsid w:val="00197FB1"/>
    <w:rsid w:val="001A03A4"/>
    <w:rsid w:val="001A03CB"/>
    <w:rsid w:val="001A0417"/>
    <w:rsid w:val="001A0518"/>
    <w:rsid w:val="001A05E5"/>
    <w:rsid w:val="001A067B"/>
    <w:rsid w:val="001A0796"/>
    <w:rsid w:val="001A0A1C"/>
    <w:rsid w:val="001A0F6A"/>
    <w:rsid w:val="001A112F"/>
    <w:rsid w:val="001A1196"/>
    <w:rsid w:val="001A12FD"/>
    <w:rsid w:val="001A1303"/>
    <w:rsid w:val="001A1392"/>
    <w:rsid w:val="001A186C"/>
    <w:rsid w:val="001A1889"/>
    <w:rsid w:val="001A18D0"/>
    <w:rsid w:val="001A1A7D"/>
    <w:rsid w:val="001A1D2B"/>
    <w:rsid w:val="001A1F4C"/>
    <w:rsid w:val="001A2005"/>
    <w:rsid w:val="001A20D0"/>
    <w:rsid w:val="001A2249"/>
    <w:rsid w:val="001A272F"/>
    <w:rsid w:val="001A2927"/>
    <w:rsid w:val="001A2971"/>
    <w:rsid w:val="001A2D2A"/>
    <w:rsid w:val="001A3025"/>
    <w:rsid w:val="001A303F"/>
    <w:rsid w:val="001A3064"/>
    <w:rsid w:val="001A30FD"/>
    <w:rsid w:val="001A31A5"/>
    <w:rsid w:val="001A321B"/>
    <w:rsid w:val="001A32B2"/>
    <w:rsid w:val="001A33D3"/>
    <w:rsid w:val="001A33F0"/>
    <w:rsid w:val="001A3406"/>
    <w:rsid w:val="001A34E6"/>
    <w:rsid w:val="001A366A"/>
    <w:rsid w:val="001A3711"/>
    <w:rsid w:val="001A386D"/>
    <w:rsid w:val="001A38D8"/>
    <w:rsid w:val="001A3A0C"/>
    <w:rsid w:val="001A3BC9"/>
    <w:rsid w:val="001A3C27"/>
    <w:rsid w:val="001A3CD6"/>
    <w:rsid w:val="001A3D8A"/>
    <w:rsid w:val="001A3EDA"/>
    <w:rsid w:val="001A3EDF"/>
    <w:rsid w:val="001A3EE2"/>
    <w:rsid w:val="001A417F"/>
    <w:rsid w:val="001A46E4"/>
    <w:rsid w:val="001A4B67"/>
    <w:rsid w:val="001A4D48"/>
    <w:rsid w:val="001A4DB5"/>
    <w:rsid w:val="001A4E14"/>
    <w:rsid w:val="001A4EFD"/>
    <w:rsid w:val="001A516F"/>
    <w:rsid w:val="001A5180"/>
    <w:rsid w:val="001A51B4"/>
    <w:rsid w:val="001A51D7"/>
    <w:rsid w:val="001A523F"/>
    <w:rsid w:val="001A532F"/>
    <w:rsid w:val="001A54B4"/>
    <w:rsid w:val="001A5683"/>
    <w:rsid w:val="001A58D2"/>
    <w:rsid w:val="001A5A55"/>
    <w:rsid w:val="001A5BA1"/>
    <w:rsid w:val="001A5C34"/>
    <w:rsid w:val="001A5D06"/>
    <w:rsid w:val="001A5E0D"/>
    <w:rsid w:val="001A60B4"/>
    <w:rsid w:val="001A626C"/>
    <w:rsid w:val="001A631A"/>
    <w:rsid w:val="001A636C"/>
    <w:rsid w:val="001A63AF"/>
    <w:rsid w:val="001A661E"/>
    <w:rsid w:val="001A664F"/>
    <w:rsid w:val="001A665B"/>
    <w:rsid w:val="001A6859"/>
    <w:rsid w:val="001A68C0"/>
    <w:rsid w:val="001A6A15"/>
    <w:rsid w:val="001A6A69"/>
    <w:rsid w:val="001A6C3B"/>
    <w:rsid w:val="001A6DCD"/>
    <w:rsid w:val="001A6DDD"/>
    <w:rsid w:val="001A6E94"/>
    <w:rsid w:val="001A7089"/>
    <w:rsid w:val="001A70B8"/>
    <w:rsid w:val="001A70BB"/>
    <w:rsid w:val="001A72F8"/>
    <w:rsid w:val="001A7631"/>
    <w:rsid w:val="001A7711"/>
    <w:rsid w:val="001A7815"/>
    <w:rsid w:val="001A789E"/>
    <w:rsid w:val="001A79C4"/>
    <w:rsid w:val="001A7BF0"/>
    <w:rsid w:val="001A7C17"/>
    <w:rsid w:val="001A7C37"/>
    <w:rsid w:val="001A7E0E"/>
    <w:rsid w:val="001A7E64"/>
    <w:rsid w:val="001A7F58"/>
    <w:rsid w:val="001A7F9A"/>
    <w:rsid w:val="001A7F9E"/>
    <w:rsid w:val="001B0058"/>
    <w:rsid w:val="001B0164"/>
    <w:rsid w:val="001B03AF"/>
    <w:rsid w:val="001B03C0"/>
    <w:rsid w:val="001B03D3"/>
    <w:rsid w:val="001B0402"/>
    <w:rsid w:val="001B082E"/>
    <w:rsid w:val="001B09F8"/>
    <w:rsid w:val="001B0BA0"/>
    <w:rsid w:val="001B0CA5"/>
    <w:rsid w:val="001B0D5F"/>
    <w:rsid w:val="001B0F72"/>
    <w:rsid w:val="001B0FA1"/>
    <w:rsid w:val="001B102E"/>
    <w:rsid w:val="001B1121"/>
    <w:rsid w:val="001B11FA"/>
    <w:rsid w:val="001B1280"/>
    <w:rsid w:val="001B12EC"/>
    <w:rsid w:val="001B12F5"/>
    <w:rsid w:val="001B164E"/>
    <w:rsid w:val="001B1840"/>
    <w:rsid w:val="001B1961"/>
    <w:rsid w:val="001B1A90"/>
    <w:rsid w:val="001B1ACA"/>
    <w:rsid w:val="001B1BB0"/>
    <w:rsid w:val="001B1BBC"/>
    <w:rsid w:val="001B1BE1"/>
    <w:rsid w:val="001B1BF0"/>
    <w:rsid w:val="001B1C68"/>
    <w:rsid w:val="001B1CCA"/>
    <w:rsid w:val="001B1D12"/>
    <w:rsid w:val="001B1E23"/>
    <w:rsid w:val="001B1E79"/>
    <w:rsid w:val="001B1E93"/>
    <w:rsid w:val="001B208F"/>
    <w:rsid w:val="001B22EB"/>
    <w:rsid w:val="001B2302"/>
    <w:rsid w:val="001B24A4"/>
    <w:rsid w:val="001B2597"/>
    <w:rsid w:val="001B29A3"/>
    <w:rsid w:val="001B29B6"/>
    <w:rsid w:val="001B29B8"/>
    <w:rsid w:val="001B2A9E"/>
    <w:rsid w:val="001B2BBB"/>
    <w:rsid w:val="001B2BC9"/>
    <w:rsid w:val="001B2DB9"/>
    <w:rsid w:val="001B2EFF"/>
    <w:rsid w:val="001B3092"/>
    <w:rsid w:val="001B3244"/>
    <w:rsid w:val="001B32C5"/>
    <w:rsid w:val="001B331F"/>
    <w:rsid w:val="001B3350"/>
    <w:rsid w:val="001B34CA"/>
    <w:rsid w:val="001B352D"/>
    <w:rsid w:val="001B35E9"/>
    <w:rsid w:val="001B35FB"/>
    <w:rsid w:val="001B36A1"/>
    <w:rsid w:val="001B37BF"/>
    <w:rsid w:val="001B382D"/>
    <w:rsid w:val="001B3835"/>
    <w:rsid w:val="001B3843"/>
    <w:rsid w:val="001B3907"/>
    <w:rsid w:val="001B3AA3"/>
    <w:rsid w:val="001B3C4E"/>
    <w:rsid w:val="001B3CBF"/>
    <w:rsid w:val="001B3EFA"/>
    <w:rsid w:val="001B400B"/>
    <w:rsid w:val="001B4200"/>
    <w:rsid w:val="001B428E"/>
    <w:rsid w:val="001B4404"/>
    <w:rsid w:val="001B46B0"/>
    <w:rsid w:val="001B4827"/>
    <w:rsid w:val="001B4925"/>
    <w:rsid w:val="001B4987"/>
    <w:rsid w:val="001B4A11"/>
    <w:rsid w:val="001B4A95"/>
    <w:rsid w:val="001B4AC6"/>
    <w:rsid w:val="001B4B03"/>
    <w:rsid w:val="001B4F99"/>
    <w:rsid w:val="001B5025"/>
    <w:rsid w:val="001B5074"/>
    <w:rsid w:val="001B52C5"/>
    <w:rsid w:val="001B53B6"/>
    <w:rsid w:val="001B5487"/>
    <w:rsid w:val="001B5514"/>
    <w:rsid w:val="001B552A"/>
    <w:rsid w:val="001B5597"/>
    <w:rsid w:val="001B5805"/>
    <w:rsid w:val="001B58A8"/>
    <w:rsid w:val="001B59A5"/>
    <w:rsid w:val="001B5A01"/>
    <w:rsid w:val="001B5A92"/>
    <w:rsid w:val="001B5ACA"/>
    <w:rsid w:val="001B5C32"/>
    <w:rsid w:val="001B5D93"/>
    <w:rsid w:val="001B5DE8"/>
    <w:rsid w:val="001B5F95"/>
    <w:rsid w:val="001B60E9"/>
    <w:rsid w:val="001B6108"/>
    <w:rsid w:val="001B61A9"/>
    <w:rsid w:val="001B63D2"/>
    <w:rsid w:val="001B6651"/>
    <w:rsid w:val="001B66DE"/>
    <w:rsid w:val="001B6806"/>
    <w:rsid w:val="001B6880"/>
    <w:rsid w:val="001B68AC"/>
    <w:rsid w:val="001B6C82"/>
    <w:rsid w:val="001B6DA3"/>
    <w:rsid w:val="001B7039"/>
    <w:rsid w:val="001B721C"/>
    <w:rsid w:val="001B7314"/>
    <w:rsid w:val="001B764F"/>
    <w:rsid w:val="001B7780"/>
    <w:rsid w:val="001B79C4"/>
    <w:rsid w:val="001B7BE6"/>
    <w:rsid w:val="001B7CD9"/>
    <w:rsid w:val="001B7E52"/>
    <w:rsid w:val="001B7E7F"/>
    <w:rsid w:val="001B7E8C"/>
    <w:rsid w:val="001C0353"/>
    <w:rsid w:val="001C04B0"/>
    <w:rsid w:val="001C06A7"/>
    <w:rsid w:val="001C080A"/>
    <w:rsid w:val="001C0885"/>
    <w:rsid w:val="001C0A10"/>
    <w:rsid w:val="001C0C66"/>
    <w:rsid w:val="001C0C74"/>
    <w:rsid w:val="001C0E1B"/>
    <w:rsid w:val="001C107B"/>
    <w:rsid w:val="001C1126"/>
    <w:rsid w:val="001C11C8"/>
    <w:rsid w:val="001C123F"/>
    <w:rsid w:val="001C13D7"/>
    <w:rsid w:val="001C1605"/>
    <w:rsid w:val="001C19F8"/>
    <w:rsid w:val="001C1A67"/>
    <w:rsid w:val="001C1C04"/>
    <w:rsid w:val="001C1C28"/>
    <w:rsid w:val="001C1C9A"/>
    <w:rsid w:val="001C1CB4"/>
    <w:rsid w:val="001C1DEB"/>
    <w:rsid w:val="001C1E22"/>
    <w:rsid w:val="001C1F10"/>
    <w:rsid w:val="001C209A"/>
    <w:rsid w:val="001C2171"/>
    <w:rsid w:val="001C2193"/>
    <w:rsid w:val="001C225D"/>
    <w:rsid w:val="001C2265"/>
    <w:rsid w:val="001C2324"/>
    <w:rsid w:val="001C2343"/>
    <w:rsid w:val="001C2499"/>
    <w:rsid w:val="001C2510"/>
    <w:rsid w:val="001C2675"/>
    <w:rsid w:val="001C2802"/>
    <w:rsid w:val="001C2803"/>
    <w:rsid w:val="001C297E"/>
    <w:rsid w:val="001C2A37"/>
    <w:rsid w:val="001C2C05"/>
    <w:rsid w:val="001C2C6C"/>
    <w:rsid w:val="001C2E05"/>
    <w:rsid w:val="001C2E83"/>
    <w:rsid w:val="001C3034"/>
    <w:rsid w:val="001C30ED"/>
    <w:rsid w:val="001C326D"/>
    <w:rsid w:val="001C342A"/>
    <w:rsid w:val="001C34C1"/>
    <w:rsid w:val="001C35B2"/>
    <w:rsid w:val="001C3627"/>
    <w:rsid w:val="001C3866"/>
    <w:rsid w:val="001C387C"/>
    <w:rsid w:val="001C38CB"/>
    <w:rsid w:val="001C3A06"/>
    <w:rsid w:val="001C3A17"/>
    <w:rsid w:val="001C3F9B"/>
    <w:rsid w:val="001C3FF7"/>
    <w:rsid w:val="001C4163"/>
    <w:rsid w:val="001C4217"/>
    <w:rsid w:val="001C42A2"/>
    <w:rsid w:val="001C431B"/>
    <w:rsid w:val="001C4619"/>
    <w:rsid w:val="001C490F"/>
    <w:rsid w:val="001C4A4F"/>
    <w:rsid w:val="001C4A6E"/>
    <w:rsid w:val="001C4B8E"/>
    <w:rsid w:val="001C4BAA"/>
    <w:rsid w:val="001C4C07"/>
    <w:rsid w:val="001C4C9D"/>
    <w:rsid w:val="001C4F3D"/>
    <w:rsid w:val="001C4FF5"/>
    <w:rsid w:val="001C503C"/>
    <w:rsid w:val="001C508D"/>
    <w:rsid w:val="001C5098"/>
    <w:rsid w:val="001C51FA"/>
    <w:rsid w:val="001C5318"/>
    <w:rsid w:val="001C557E"/>
    <w:rsid w:val="001C58B7"/>
    <w:rsid w:val="001C5A11"/>
    <w:rsid w:val="001C5A64"/>
    <w:rsid w:val="001C5AA4"/>
    <w:rsid w:val="001C5EB4"/>
    <w:rsid w:val="001C5F50"/>
    <w:rsid w:val="001C5F6D"/>
    <w:rsid w:val="001C608F"/>
    <w:rsid w:val="001C64F1"/>
    <w:rsid w:val="001C654F"/>
    <w:rsid w:val="001C664E"/>
    <w:rsid w:val="001C668C"/>
    <w:rsid w:val="001C6712"/>
    <w:rsid w:val="001C6795"/>
    <w:rsid w:val="001C686D"/>
    <w:rsid w:val="001C6898"/>
    <w:rsid w:val="001C68F6"/>
    <w:rsid w:val="001C6A19"/>
    <w:rsid w:val="001C6B1F"/>
    <w:rsid w:val="001C6BFB"/>
    <w:rsid w:val="001C6D17"/>
    <w:rsid w:val="001C6D3E"/>
    <w:rsid w:val="001C6D42"/>
    <w:rsid w:val="001C7009"/>
    <w:rsid w:val="001C7054"/>
    <w:rsid w:val="001C706B"/>
    <w:rsid w:val="001C70A8"/>
    <w:rsid w:val="001C70AF"/>
    <w:rsid w:val="001C7285"/>
    <w:rsid w:val="001C760B"/>
    <w:rsid w:val="001C791C"/>
    <w:rsid w:val="001C792E"/>
    <w:rsid w:val="001C7B0D"/>
    <w:rsid w:val="001C7B25"/>
    <w:rsid w:val="001C7E0A"/>
    <w:rsid w:val="001D0378"/>
    <w:rsid w:val="001D052E"/>
    <w:rsid w:val="001D06A2"/>
    <w:rsid w:val="001D0854"/>
    <w:rsid w:val="001D0A52"/>
    <w:rsid w:val="001D0BF3"/>
    <w:rsid w:val="001D0C71"/>
    <w:rsid w:val="001D0EDF"/>
    <w:rsid w:val="001D0F44"/>
    <w:rsid w:val="001D105C"/>
    <w:rsid w:val="001D1379"/>
    <w:rsid w:val="001D13B9"/>
    <w:rsid w:val="001D1523"/>
    <w:rsid w:val="001D1554"/>
    <w:rsid w:val="001D160C"/>
    <w:rsid w:val="001D16A5"/>
    <w:rsid w:val="001D1709"/>
    <w:rsid w:val="001D173C"/>
    <w:rsid w:val="001D18CD"/>
    <w:rsid w:val="001D1A57"/>
    <w:rsid w:val="001D1B0A"/>
    <w:rsid w:val="001D1C44"/>
    <w:rsid w:val="001D1D37"/>
    <w:rsid w:val="001D1E7A"/>
    <w:rsid w:val="001D1EC4"/>
    <w:rsid w:val="001D2164"/>
    <w:rsid w:val="001D219A"/>
    <w:rsid w:val="001D2637"/>
    <w:rsid w:val="001D2CDD"/>
    <w:rsid w:val="001D2DA1"/>
    <w:rsid w:val="001D2DBF"/>
    <w:rsid w:val="001D2E4C"/>
    <w:rsid w:val="001D2E78"/>
    <w:rsid w:val="001D2EE1"/>
    <w:rsid w:val="001D313B"/>
    <w:rsid w:val="001D31D3"/>
    <w:rsid w:val="001D3264"/>
    <w:rsid w:val="001D366D"/>
    <w:rsid w:val="001D369A"/>
    <w:rsid w:val="001D37F8"/>
    <w:rsid w:val="001D38D3"/>
    <w:rsid w:val="001D393B"/>
    <w:rsid w:val="001D395F"/>
    <w:rsid w:val="001D3ACD"/>
    <w:rsid w:val="001D3E92"/>
    <w:rsid w:val="001D3ED0"/>
    <w:rsid w:val="001D3F5F"/>
    <w:rsid w:val="001D3FFB"/>
    <w:rsid w:val="001D4134"/>
    <w:rsid w:val="001D4191"/>
    <w:rsid w:val="001D4197"/>
    <w:rsid w:val="001D4298"/>
    <w:rsid w:val="001D437B"/>
    <w:rsid w:val="001D4420"/>
    <w:rsid w:val="001D4482"/>
    <w:rsid w:val="001D4580"/>
    <w:rsid w:val="001D45E3"/>
    <w:rsid w:val="001D46BF"/>
    <w:rsid w:val="001D4813"/>
    <w:rsid w:val="001D49AA"/>
    <w:rsid w:val="001D4BB7"/>
    <w:rsid w:val="001D4BC9"/>
    <w:rsid w:val="001D4C7B"/>
    <w:rsid w:val="001D4CB2"/>
    <w:rsid w:val="001D4D6C"/>
    <w:rsid w:val="001D4D8B"/>
    <w:rsid w:val="001D4DDC"/>
    <w:rsid w:val="001D4F4E"/>
    <w:rsid w:val="001D51A5"/>
    <w:rsid w:val="001D558F"/>
    <w:rsid w:val="001D55EF"/>
    <w:rsid w:val="001D5738"/>
    <w:rsid w:val="001D5964"/>
    <w:rsid w:val="001D59F7"/>
    <w:rsid w:val="001D5B45"/>
    <w:rsid w:val="001D5B6B"/>
    <w:rsid w:val="001D5BC0"/>
    <w:rsid w:val="001D5C27"/>
    <w:rsid w:val="001D5DA3"/>
    <w:rsid w:val="001D5E0E"/>
    <w:rsid w:val="001D6006"/>
    <w:rsid w:val="001D602D"/>
    <w:rsid w:val="001D60A0"/>
    <w:rsid w:val="001D6171"/>
    <w:rsid w:val="001D621C"/>
    <w:rsid w:val="001D6233"/>
    <w:rsid w:val="001D62AF"/>
    <w:rsid w:val="001D6358"/>
    <w:rsid w:val="001D6624"/>
    <w:rsid w:val="001D6663"/>
    <w:rsid w:val="001D6831"/>
    <w:rsid w:val="001D68B7"/>
    <w:rsid w:val="001D6960"/>
    <w:rsid w:val="001D6B41"/>
    <w:rsid w:val="001D6D7B"/>
    <w:rsid w:val="001D6DF9"/>
    <w:rsid w:val="001D6E0B"/>
    <w:rsid w:val="001D6E88"/>
    <w:rsid w:val="001D7094"/>
    <w:rsid w:val="001D72A1"/>
    <w:rsid w:val="001D7730"/>
    <w:rsid w:val="001D790D"/>
    <w:rsid w:val="001D7AE1"/>
    <w:rsid w:val="001D7B3C"/>
    <w:rsid w:val="001D7DEA"/>
    <w:rsid w:val="001D7E57"/>
    <w:rsid w:val="001D7F60"/>
    <w:rsid w:val="001E0055"/>
    <w:rsid w:val="001E01D6"/>
    <w:rsid w:val="001E08C1"/>
    <w:rsid w:val="001E093B"/>
    <w:rsid w:val="001E0ACD"/>
    <w:rsid w:val="001E0B64"/>
    <w:rsid w:val="001E0D65"/>
    <w:rsid w:val="001E0E76"/>
    <w:rsid w:val="001E0F74"/>
    <w:rsid w:val="001E0FE6"/>
    <w:rsid w:val="001E1170"/>
    <w:rsid w:val="001E1219"/>
    <w:rsid w:val="001E1296"/>
    <w:rsid w:val="001E140C"/>
    <w:rsid w:val="001E1747"/>
    <w:rsid w:val="001E1C7E"/>
    <w:rsid w:val="001E1F2A"/>
    <w:rsid w:val="001E1F2D"/>
    <w:rsid w:val="001E208C"/>
    <w:rsid w:val="001E217D"/>
    <w:rsid w:val="001E252A"/>
    <w:rsid w:val="001E257C"/>
    <w:rsid w:val="001E262D"/>
    <w:rsid w:val="001E27F0"/>
    <w:rsid w:val="001E2968"/>
    <w:rsid w:val="001E2B10"/>
    <w:rsid w:val="001E2B26"/>
    <w:rsid w:val="001E2F52"/>
    <w:rsid w:val="001E2F61"/>
    <w:rsid w:val="001E311E"/>
    <w:rsid w:val="001E3135"/>
    <w:rsid w:val="001E3152"/>
    <w:rsid w:val="001E31CD"/>
    <w:rsid w:val="001E3440"/>
    <w:rsid w:val="001E3460"/>
    <w:rsid w:val="001E35E0"/>
    <w:rsid w:val="001E3645"/>
    <w:rsid w:val="001E3791"/>
    <w:rsid w:val="001E390D"/>
    <w:rsid w:val="001E3A4F"/>
    <w:rsid w:val="001E3A61"/>
    <w:rsid w:val="001E3A7F"/>
    <w:rsid w:val="001E3C25"/>
    <w:rsid w:val="001E3DBF"/>
    <w:rsid w:val="001E3E9A"/>
    <w:rsid w:val="001E3EFC"/>
    <w:rsid w:val="001E3F3B"/>
    <w:rsid w:val="001E3F3F"/>
    <w:rsid w:val="001E3F9C"/>
    <w:rsid w:val="001E3FA0"/>
    <w:rsid w:val="001E403A"/>
    <w:rsid w:val="001E4122"/>
    <w:rsid w:val="001E414B"/>
    <w:rsid w:val="001E425B"/>
    <w:rsid w:val="001E433A"/>
    <w:rsid w:val="001E444B"/>
    <w:rsid w:val="001E4836"/>
    <w:rsid w:val="001E4A49"/>
    <w:rsid w:val="001E4AD6"/>
    <w:rsid w:val="001E4AEE"/>
    <w:rsid w:val="001E4EC3"/>
    <w:rsid w:val="001E52DD"/>
    <w:rsid w:val="001E5312"/>
    <w:rsid w:val="001E5328"/>
    <w:rsid w:val="001E5510"/>
    <w:rsid w:val="001E57B5"/>
    <w:rsid w:val="001E5832"/>
    <w:rsid w:val="001E58BB"/>
    <w:rsid w:val="001E5D43"/>
    <w:rsid w:val="001E5DA3"/>
    <w:rsid w:val="001E5F92"/>
    <w:rsid w:val="001E61B3"/>
    <w:rsid w:val="001E624E"/>
    <w:rsid w:val="001E6415"/>
    <w:rsid w:val="001E64C5"/>
    <w:rsid w:val="001E65F6"/>
    <w:rsid w:val="001E66F7"/>
    <w:rsid w:val="001E67C9"/>
    <w:rsid w:val="001E689D"/>
    <w:rsid w:val="001E69C0"/>
    <w:rsid w:val="001E6B33"/>
    <w:rsid w:val="001E6C00"/>
    <w:rsid w:val="001E6C5C"/>
    <w:rsid w:val="001E6CCA"/>
    <w:rsid w:val="001E6D41"/>
    <w:rsid w:val="001E6E1F"/>
    <w:rsid w:val="001E6FAC"/>
    <w:rsid w:val="001E709D"/>
    <w:rsid w:val="001E7258"/>
    <w:rsid w:val="001E729D"/>
    <w:rsid w:val="001E735C"/>
    <w:rsid w:val="001E7604"/>
    <w:rsid w:val="001E7619"/>
    <w:rsid w:val="001E76DC"/>
    <w:rsid w:val="001E774E"/>
    <w:rsid w:val="001E781E"/>
    <w:rsid w:val="001E78A5"/>
    <w:rsid w:val="001E7989"/>
    <w:rsid w:val="001E79BB"/>
    <w:rsid w:val="001E7B52"/>
    <w:rsid w:val="001E7E85"/>
    <w:rsid w:val="001F00F5"/>
    <w:rsid w:val="001F024A"/>
    <w:rsid w:val="001F024E"/>
    <w:rsid w:val="001F02E7"/>
    <w:rsid w:val="001F02F7"/>
    <w:rsid w:val="001F042E"/>
    <w:rsid w:val="001F0488"/>
    <w:rsid w:val="001F05C2"/>
    <w:rsid w:val="001F0725"/>
    <w:rsid w:val="001F07A5"/>
    <w:rsid w:val="001F08F8"/>
    <w:rsid w:val="001F092A"/>
    <w:rsid w:val="001F0AF2"/>
    <w:rsid w:val="001F0B0F"/>
    <w:rsid w:val="001F0B23"/>
    <w:rsid w:val="001F0C47"/>
    <w:rsid w:val="001F0C88"/>
    <w:rsid w:val="001F0CE4"/>
    <w:rsid w:val="001F0E24"/>
    <w:rsid w:val="001F0F30"/>
    <w:rsid w:val="001F0F3B"/>
    <w:rsid w:val="001F0F46"/>
    <w:rsid w:val="001F0F97"/>
    <w:rsid w:val="001F1074"/>
    <w:rsid w:val="001F13C0"/>
    <w:rsid w:val="001F13E3"/>
    <w:rsid w:val="001F14B6"/>
    <w:rsid w:val="001F1562"/>
    <w:rsid w:val="001F162F"/>
    <w:rsid w:val="001F184F"/>
    <w:rsid w:val="001F185B"/>
    <w:rsid w:val="001F18C1"/>
    <w:rsid w:val="001F1A56"/>
    <w:rsid w:val="001F1B5E"/>
    <w:rsid w:val="001F1B89"/>
    <w:rsid w:val="001F1C0B"/>
    <w:rsid w:val="001F1C4C"/>
    <w:rsid w:val="001F1E2C"/>
    <w:rsid w:val="001F2055"/>
    <w:rsid w:val="001F218D"/>
    <w:rsid w:val="001F21B0"/>
    <w:rsid w:val="001F2464"/>
    <w:rsid w:val="001F25DB"/>
    <w:rsid w:val="001F26DD"/>
    <w:rsid w:val="001F26E5"/>
    <w:rsid w:val="001F26F1"/>
    <w:rsid w:val="001F2870"/>
    <w:rsid w:val="001F2874"/>
    <w:rsid w:val="001F289F"/>
    <w:rsid w:val="001F2B8A"/>
    <w:rsid w:val="001F2C9F"/>
    <w:rsid w:val="001F2CA3"/>
    <w:rsid w:val="001F3094"/>
    <w:rsid w:val="001F3205"/>
    <w:rsid w:val="001F332E"/>
    <w:rsid w:val="001F33A4"/>
    <w:rsid w:val="001F344F"/>
    <w:rsid w:val="001F3555"/>
    <w:rsid w:val="001F357F"/>
    <w:rsid w:val="001F35F5"/>
    <w:rsid w:val="001F375F"/>
    <w:rsid w:val="001F3833"/>
    <w:rsid w:val="001F38AD"/>
    <w:rsid w:val="001F3A88"/>
    <w:rsid w:val="001F3D04"/>
    <w:rsid w:val="001F3D6E"/>
    <w:rsid w:val="001F3EBF"/>
    <w:rsid w:val="001F44F2"/>
    <w:rsid w:val="001F4703"/>
    <w:rsid w:val="001F470A"/>
    <w:rsid w:val="001F4BD9"/>
    <w:rsid w:val="001F4DD6"/>
    <w:rsid w:val="001F4DE8"/>
    <w:rsid w:val="001F4E27"/>
    <w:rsid w:val="001F4EEE"/>
    <w:rsid w:val="001F4F86"/>
    <w:rsid w:val="001F5124"/>
    <w:rsid w:val="001F5306"/>
    <w:rsid w:val="001F531D"/>
    <w:rsid w:val="001F5389"/>
    <w:rsid w:val="001F5517"/>
    <w:rsid w:val="001F5584"/>
    <w:rsid w:val="001F55FA"/>
    <w:rsid w:val="001F5639"/>
    <w:rsid w:val="001F578B"/>
    <w:rsid w:val="001F57D9"/>
    <w:rsid w:val="001F5853"/>
    <w:rsid w:val="001F5A17"/>
    <w:rsid w:val="001F5A62"/>
    <w:rsid w:val="001F5D88"/>
    <w:rsid w:val="001F5E7B"/>
    <w:rsid w:val="001F5F20"/>
    <w:rsid w:val="001F5FDA"/>
    <w:rsid w:val="001F60A6"/>
    <w:rsid w:val="001F60BC"/>
    <w:rsid w:val="001F63FB"/>
    <w:rsid w:val="001F6489"/>
    <w:rsid w:val="001F64DB"/>
    <w:rsid w:val="001F670E"/>
    <w:rsid w:val="001F675D"/>
    <w:rsid w:val="001F676E"/>
    <w:rsid w:val="001F683A"/>
    <w:rsid w:val="001F68AE"/>
    <w:rsid w:val="001F6950"/>
    <w:rsid w:val="001F69A5"/>
    <w:rsid w:val="001F6BF7"/>
    <w:rsid w:val="001F6C60"/>
    <w:rsid w:val="001F6D8F"/>
    <w:rsid w:val="001F6E42"/>
    <w:rsid w:val="001F6FA0"/>
    <w:rsid w:val="001F726E"/>
    <w:rsid w:val="001F731B"/>
    <w:rsid w:val="001F735C"/>
    <w:rsid w:val="001F7568"/>
    <w:rsid w:val="001F77B7"/>
    <w:rsid w:val="001F7889"/>
    <w:rsid w:val="001F7993"/>
    <w:rsid w:val="001F7A13"/>
    <w:rsid w:val="001F7A79"/>
    <w:rsid w:val="001F7B77"/>
    <w:rsid w:val="001F7BFE"/>
    <w:rsid w:val="001F7C1F"/>
    <w:rsid w:val="001F7D42"/>
    <w:rsid w:val="001F7EB7"/>
    <w:rsid w:val="001F7F11"/>
    <w:rsid w:val="00200170"/>
    <w:rsid w:val="00200221"/>
    <w:rsid w:val="002003DD"/>
    <w:rsid w:val="0020040D"/>
    <w:rsid w:val="0020042B"/>
    <w:rsid w:val="0020053A"/>
    <w:rsid w:val="002005D4"/>
    <w:rsid w:val="0020069E"/>
    <w:rsid w:val="002007C0"/>
    <w:rsid w:val="00200862"/>
    <w:rsid w:val="002008D4"/>
    <w:rsid w:val="002009F0"/>
    <w:rsid w:val="00200A02"/>
    <w:rsid w:val="00200A16"/>
    <w:rsid w:val="00200D4E"/>
    <w:rsid w:val="00200DBF"/>
    <w:rsid w:val="00200EBB"/>
    <w:rsid w:val="00200FB3"/>
    <w:rsid w:val="00201123"/>
    <w:rsid w:val="002011FB"/>
    <w:rsid w:val="00201205"/>
    <w:rsid w:val="00201290"/>
    <w:rsid w:val="0020142D"/>
    <w:rsid w:val="002014DF"/>
    <w:rsid w:val="0020156E"/>
    <w:rsid w:val="00201A63"/>
    <w:rsid w:val="00201B2A"/>
    <w:rsid w:val="00201D25"/>
    <w:rsid w:val="00201DF7"/>
    <w:rsid w:val="00201E7B"/>
    <w:rsid w:val="00202169"/>
    <w:rsid w:val="002022C1"/>
    <w:rsid w:val="00202342"/>
    <w:rsid w:val="0020284A"/>
    <w:rsid w:val="00202CCC"/>
    <w:rsid w:val="00202DAF"/>
    <w:rsid w:val="00202E80"/>
    <w:rsid w:val="00202F7D"/>
    <w:rsid w:val="00202F7E"/>
    <w:rsid w:val="002032C2"/>
    <w:rsid w:val="002033B7"/>
    <w:rsid w:val="002034D5"/>
    <w:rsid w:val="0020388D"/>
    <w:rsid w:val="0020393F"/>
    <w:rsid w:val="002039EC"/>
    <w:rsid w:val="00203A7F"/>
    <w:rsid w:val="00203DBA"/>
    <w:rsid w:val="00203DDE"/>
    <w:rsid w:val="00203F3C"/>
    <w:rsid w:val="00203FD3"/>
    <w:rsid w:val="00203FFE"/>
    <w:rsid w:val="00204368"/>
    <w:rsid w:val="00204700"/>
    <w:rsid w:val="00204747"/>
    <w:rsid w:val="00204CD8"/>
    <w:rsid w:val="00204E00"/>
    <w:rsid w:val="00204EAF"/>
    <w:rsid w:val="00204FD3"/>
    <w:rsid w:val="00205117"/>
    <w:rsid w:val="0020516E"/>
    <w:rsid w:val="00205381"/>
    <w:rsid w:val="002053BB"/>
    <w:rsid w:val="00205502"/>
    <w:rsid w:val="002056FE"/>
    <w:rsid w:val="002057F0"/>
    <w:rsid w:val="002058AF"/>
    <w:rsid w:val="00205A10"/>
    <w:rsid w:val="00205B0A"/>
    <w:rsid w:val="00205D76"/>
    <w:rsid w:val="0020602E"/>
    <w:rsid w:val="0020603A"/>
    <w:rsid w:val="0020619F"/>
    <w:rsid w:val="0020634C"/>
    <w:rsid w:val="002063BF"/>
    <w:rsid w:val="0020644D"/>
    <w:rsid w:val="0020646F"/>
    <w:rsid w:val="002064BB"/>
    <w:rsid w:val="0020662E"/>
    <w:rsid w:val="002067C0"/>
    <w:rsid w:val="00206A27"/>
    <w:rsid w:val="00206B1B"/>
    <w:rsid w:val="00206B9A"/>
    <w:rsid w:val="00206F96"/>
    <w:rsid w:val="00206F9A"/>
    <w:rsid w:val="00206FFD"/>
    <w:rsid w:val="00207109"/>
    <w:rsid w:val="0020711F"/>
    <w:rsid w:val="00207128"/>
    <w:rsid w:val="0020731F"/>
    <w:rsid w:val="00207374"/>
    <w:rsid w:val="002073B2"/>
    <w:rsid w:val="00207441"/>
    <w:rsid w:val="00207461"/>
    <w:rsid w:val="0020748E"/>
    <w:rsid w:val="0020749F"/>
    <w:rsid w:val="002075D2"/>
    <w:rsid w:val="00207641"/>
    <w:rsid w:val="002079A9"/>
    <w:rsid w:val="00207C5E"/>
    <w:rsid w:val="00207CE2"/>
    <w:rsid w:val="00207FB6"/>
    <w:rsid w:val="00210030"/>
    <w:rsid w:val="002102B4"/>
    <w:rsid w:val="00210350"/>
    <w:rsid w:val="0021039E"/>
    <w:rsid w:val="00210519"/>
    <w:rsid w:val="00210532"/>
    <w:rsid w:val="002105C8"/>
    <w:rsid w:val="0021090A"/>
    <w:rsid w:val="00210A58"/>
    <w:rsid w:val="00210B38"/>
    <w:rsid w:val="00210B65"/>
    <w:rsid w:val="00210B73"/>
    <w:rsid w:val="00210C8A"/>
    <w:rsid w:val="00210D76"/>
    <w:rsid w:val="00210E40"/>
    <w:rsid w:val="00210E64"/>
    <w:rsid w:val="00210F5E"/>
    <w:rsid w:val="00210FAA"/>
    <w:rsid w:val="00211009"/>
    <w:rsid w:val="00211029"/>
    <w:rsid w:val="00211154"/>
    <w:rsid w:val="002112B4"/>
    <w:rsid w:val="002112C3"/>
    <w:rsid w:val="00211475"/>
    <w:rsid w:val="002114FF"/>
    <w:rsid w:val="00211A73"/>
    <w:rsid w:val="00211C36"/>
    <w:rsid w:val="00211D15"/>
    <w:rsid w:val="00211DE9"/>
    <w:rsid w:val="00211FC1"/>
    <w:rsid w:val="002120D7"/>
    <w:rsid w:val="00212123"/>
    <w:rsid w:val="0021218B"/>
    <w:rsid w:val="00212227"/>
    <w:rsid w:val="00212892"/>
    <w:rsid w:val="00212B30"/>
    <w:rsid w:val="00212CB0"/>
    <w:rsid w:val="00212D93"/>
    <w:rsid w:val="00212F9A"/>
    <w:rsid w:val="00212FC0"/>
    <w:rsid w:val="0021301E"/>
    <w:rsid w:val="00213129"/>
    <w:rsid w:val="00213320"/>
    <w:rsid w:val="002133D6"/>
    <w:rsid w:val="0021343A"/>
    <w:rsid w:val="0021351E"/>
    <w:rsid w:val="002135B8"/>
    <w:rsid w:val="0021362F"/>
    <w:rsid w:val="0021390B"/>
    <w:rsid w:val="00213C37"/>
    <w:rsid w:val="00213EB3"/>
    <w:rsid w:val="002140A9"/>
    <w:rsid w:val="00214140"/>
    <w:rsid w:val="0021415C"/>
    <w:rsid w:val="00214391"/>
    <w:rsid w:val="002143BF"/>
    <w:rsid w:val="0021440C"/>
    <w:rsid w:val="0021442A"/>
    <w:rsid w:val="002149C8"/>
    <w:rsid w:val="00214B6E"/>
    <w:rsid w:val="00214CD9"/>
    <w:rsid w:val="00214E4D"/>
    <w:rsid w:val="002150FB"/>
    <w:rsid w:val="00215198"/>
    <w:rsid w:val="0021524A"/>
    <w:rsid w:val="00215412"/>
    <w:rsid w:val="00215538"/>
    <w:rsid w:val="002156EF"/>
    <w:rsid w:val="002157C0"/>
    <w:rsid w:val="00215814"/>
    <w:rsid w:val="00215821"/>
    <w:rsid w:val="002158A2"/>
    <w:rsid w:val="002158EB"/>
    <w:rsid w:val="00215B75"/>
    <w:rsid w:val="00215CCE"/>
    <w:rsid w:val="00215D4D"/>
    <w:rsid w:val="00215D5E"/>
    <w:rsid w:val="00216058"/>
    <w:rsid w:val="002161E1"/>
    <w:rsid w:val="002163ED"/>
    <w:rsid w:val="0021656B"/>
    <w:rsid w:val="00216617"/>
    <w:rsid w:val="002166BB"/>
    <w:rsid w:val="002166BD"/>
    <w:rsid w:val="00216789"/>
    <w:rsid w:val="002169C8"/>
    <w:rsid w:val="00216CD2"/>
    <w:rsid w:val="00216D28"/>
    <w:rsid w:val="00216FEB"/>
    <w:rsid w:val="00217048"/>
    <w:rsid w:val="00217056"/>
    <w:rsid w:val="002171C0"/>
    <w:rsid w:val="002173FE"/>
    <w:rsid w:val="00217485"/>
    <w:rsid w:val="002177DB"/>
    <w:rsid w:val="00217919"/>
    <w:rsid w:val="00217E10"/>
    <w:rsid w:val="00217F61"/>
    <w:rsid w:val="00220037"/>
    <w:rsid w:val="002201B8"/>
    <w:rsid w:val="00220235"/>
    <w:rsid w:val="00220327"/>
    <w:rsid w:val="002203F2"/>
    <w:rsid w:val="0022041C"/>
    <w:rsid w:val="00220492"/>
    <w:rsid w:val="002204A1"/>
    <w:rsid w:val="00220734"/>
    <w:rsid w:val="0022094F"/>
    <w:rsid w:val="002209AB"/>
    <w:rsid w:val="002209E2"/>
    <w:rsid w:val="00220A58"/>
    <w:rsid w:val="00220A66"/>
    <w:rsid w:val="00220B0B"/>
    <w:rsid w:val="00220C38"/>
    <w:rsid w:val="00220ED5"/>
    <w:rsid w:val="002211D9"/>
    <w:rsid w:val="0022143D"/>
    <w:rsid w:val="00221472"/>
    <w:rsid w:val="002216E6"/>
    <w:rsid w:val="002219E7"/>
    <w:rsid w:val="002219F2"/>
    <w:rsid w:val="00221B64"/>
    <w:rsid w:val="00221F44"/>
    <w:rsid w:val="00221FB8"/>
    <w:rsid w:val="002220B2"/>
    <w:rsid w:val="00222173"/>
    <w:rsid w:val="00222182"/>
    <w:rsid w:val="00222261"/>
    <w:rsid w:val="00222472"/>
    <w:rsid w:val="002224EE"/>
    <w:rsid w:val="00222525"/>
    <w:rsid w:val="00222697"/>
    <w:rsid w:val="00222868"/>
    <w:rsid w:val="00222975"/>
    <w:rsid w:val="00222A46"/>
    <w:rsid w:val="00222B56"/>
    <w:rsid w:val="00222C28"/>
    <w:rsid w:val="00222CFE"/>
    <w:rsid w:val="00222D2C"/>
    <w:rsid w:val="00222DD2"/>
    <w:rsid w:val="00222E9F"/>
    <w:rsid w:val="00222F3E"/>
    <w:rsid w:val="00222F69"/>
    <w:rsid w:val="002233F4"/>
    <w:rsid w:val="0022350F"/>
    <w:rsid w:val="00223551"/>
    <w:rsid w:val="0022363B"/>
    <w:rsid w:val="0022366A"/>
    <w:rsid w:val="002237D1"/>
    <w:rsid w:val="002238CE"/>
    <w:rsid w:val="002238DD"/>
    <w:rsid w:val="00223976"/>
    <w:rsid w:val="00223A65"/>
    <w:rsid w:val="00223AC4"/>
    <w:rsid w:val="00223B51"/>
    <w:rsid w:val="00223D69"/>
    <w:rsid w:val="002241C5"/>
    <w:rsid w:val="0022427B"/>
    <w:rsid w:val="002242A5"/>
    <w:rsid w:val="002242FE"/>
    <w:rsid w:val="002248F0"/>
    <w:rsid w:val="00224930"/>
    <w:rsid w:val="00224A10"/>
    <w:rsid w:val="00224DF5"/>
    <w:rsid w:val="00224E90"/>
    <w:rsid w:val="00224EA0"/>
    <w:rsid w:val="00224ED9"/>
    <w:rsid w:val="0022522B"/>
    <w:rsid w:val="0022534A"/>
    <w:rsid w:val="00225441"/>
    <w:rsid w:val="00225599"/>
    <w:rsid w:val="00225683"/>
    <w:rsid w:val="0022574F"/>
    <w:rsid w:val="002257AD"/>
    <w:rsid w:val="0022594B"/>
    <w:rsid w:val="00225970"/>
    <w:rsid w:val="002259A6"/>
    <w:rsid w:val="00225C00"/>
    <w:rsid w:val="00225C6E"/>
    <w:rsid w:val="00225DB5"/>
    <w:rsid w:val="00225DD4"/>
    <w:rsid w:val="00225E17"/>
    <w:rsid w:val="00225FA1"/>
    <w:rsid w:val="002260DC"/>
    <w:rsid w:val="00226126"/>
    <w:rsid w:val="00226595"/>
    <w:rsid w:val="002265B1"/>
    <w:rsid w:val="00226780"/>
    <w:rsid w:val="00226B88"/>
    <w:rsid w:val="00226BE4"/>
    <w:rsid w:val="00226DCB"/>
    <w:rsid w:val="00226E62"/>
    <w:rsid w:val="00227065"/>
    <w:rsid w:val="002270D7"/>
    <w:rsid w:val="00227246"/>
    <w:rsid w:val="00227484"/>
    <w:rsid w:val="0022748E"/>
    <w:rsid w:val="00227596"/>
    <w:rsid w:val="0022776D"/>
    <w:rsid w:val="00227778"/>
    <w:rsid w:val="00227942"/>
    <w:rsid w:val="00227962"/>
    <w:rsid w:val="002279AA"/>
    <w:rsid w:val="00227CF8"/>
    <w:rsid w:val="00227DC9"/>
    <w:rsid w:val="00227F03"/>
    <w:rsid w:val="00227F9D"/>
    <w:rsid w:val="00227FBE"/>
    <w:rsid w:val="00230184"/>
    <w:rsid w:val="0023034B"/>
    <w:rsid w:val="002303CE"/>
    <w:rsid w:val="00230475"/>
    <w:rsid w:val="002304B8"/>
    <w:rsid w:val="00230894"/>
    <w:rsid w:val="0023095C"/>
    <w:rsid w:val="0023097A"/>
    <w:rsid w:val="00230B2C"/>
    <w:rsid w:val="00230C4D"/>
    <w:rsid w:val="00230ED2"/>
    <w:rsid w:val="00231043"/>
    <w:rsid w:val="002310C6"/>
    <w:rsid w:val="0023113B"/>
    <w:rsid w:val="0023152A"/>
    <w:rsid w:val="00231670"/>
    <w:rsid w:val="002317D3"/>
    <w:rsid w:val="002317E8"/>
    <w:rsid w:val="002317EB"/>
    <w:rsid w:val="00231B4C"/>
    <w:rsid w:val="00231BF2"/>
    <w:rsid w:val="00231CC1"/>
    <w:rsid w:val="00231FC1"/>
    <w:rsid w:val="0023207E"/>
    <w:rsid w:val="002320A9"/>
    <w:rsid w:val="002320D9"/>
    <w:rsid w:val="002320EB"/>
    <w:rsid w:val="00232102"/>
    <w:rsid w:val="00232131"/>
    <w:rsid w:val="00232258"/>
    <w:rsid w:val="00232288"/>
    <w:rsid w:val="00232868"/>
    <w:rsid w:val="00232995"/>
    <w:rsid w:val="00232B55"/>
    <w:rsid w:val="00232C22"/>
    <w:rsid w:val="00232D1B"/>
    <w:rsid w:val="00232D46"/>
    <w:rsid w:val="00232E16"/>
    <w:rsid w:val="0023323D"/>
    <w:rsid w:val="00233354"/>
    <w:rsid w:val="00233454"/>
    <w:rsid w:val="0023350D"/>
    <w:rsid w:val="002335C2"/>
    <w:rsid w:val="002335EA"/>
    <w:rsid w:val="002336A6"/>
    <w:rsid w:val="00233751"/>
    <w:rsid w:val="002337CA"/>
    <w:rsid w:val="002338E4"/>
    <w:rsid w:val="00233BA1"/>
    <w:rsid w:val="00233BD7"/>
    <w:rsid w:val="00233C0F"/>
    <w:rsid w:val="00233D16"/>
    <w:rsid w:val="00233D65"/>
    <w:rsid w:val="00233E40"/>
    <w:rsid w:val="00234289"/>
    <w:rsid w:val="002344C5"/>
    <w:rsid w:val="002345B8"/>
    <w:rsid w:val="002345C3"/>
    <w:rsid w:val="002347B2"/>
    <w:rsid w:val="002348A3"/>
    <w:rsid w:val="00234BB0"/>
    <w:rsid w:val="00234C3F"/>
    <w:rsid w:val="00234D69"/>
    <w:rsid w:val="00234F31"/>
    <w:rsid w:val="0023507F"/>
    <w:rsid w:val="002358C6"/>
    <w:rsid w:val="00235A43"/>
    <w:rsid w:val="00235B76"/>
    <w:rsid w:val="00235C4C"/>
    <w:rsid w:val="00235FCF"/>
    <w:rsid w:val="002360A2"/>
    <w:rsid w:val="0023652B"/>
    <w:rsid w:val="00236564"/>
    <w:rsid w:val="00236576"/>
    <w:rsid w:val="002365B3"/>
    <w:rsid w:val="0023664D"/>
    <w:rsid w:val="00236669"/>
    <w:rsid w:val="002366C4"/>
    <w:rsid w:val="0023682D"/>
    <w:rsid w:val="00236AFF"/>
    <w:rsid w:val="00236C14"/>
    <w:rsid w:val="00236FE4"/>
    <w:rsid w:val="0023720B"/>
    <w:rsid w:val="00237403"/>
    <w:rsid w:val="00237538"/>
    <w:rsid w:val="0023757E"/>
    <w:rsid w:val="002375DA"/>
    <w:rsid w:val="00237606"/>
    <w:rsid w:val="002376C0"/>
    <w:rsid w:val="002376D6"/>
    <w:rsid w:val="002377DC"/>
    <w:rsid w:val="002379CA"/>
    <w:rsid w:val="00237B29"/>
    <w:rsid w:val="00237D85"/>
    <w:rsid w:val="002402C6"/>
    <w:rsid w:val="00240377"/>
    <w:rsid w:val="0024047E"/>
    <w:rsid w:val="002404D0"/>
    <w:rsid w:val="002406E6"/>
    <w:rsid w:val="002407B5"/>
    <w:rsid w:val="002408C4"/>
    <w:rsid w:val="0024098F"/>
    <w:rsid w:val="002409C7"/>
    <w:rsid w:val="002409FB"/>
    <w:rsid w:val="00240CB6"/>
    <w:rsid w:val="00241117"/>
    <w:rsid w:val="00241270"/>
    <w:rsid w:val="002412C5"/>
    <w:rsid w:val="00241523"/>
    <w:rsid w:val="002417CF"/>
    <w:rsid w:val="002417FC"/>
    <w:rsid w:val="00241872"/>
    <w:rsid w:val="00241AC6"/>
    <w:rsid w:val="00241BBF"/>
    <w:rsid w:val="00241F15"/>
    <w:rsid w:val="00241FBF"/>
    <w:rsid w:val="002420CE"/>
    <w:rsid w:val="002424D8"/>
    <w:rsid w:val="00242620"/>
    <w:rsid w:val="00242691"/>
    <w:rsid w:val="00242733"/>
    <w:rsid w:val="0024279C"/>
    <w:rsid w:val="00242913"/>
    <w:rsid w:val="00242952"/>
    <w:rsid w:val="00242DBB"/>
    <w:rsid w:val="00242DFB"/>
    <w:rsid w:val="00242EF8"/>
    <w:rsid w:val="0024308B"/>
    <w:rsid w:val="00243234"/>
    <w:rsid w:val="002432F1"/>
    <w:rsid w:val="0024337F"/>
    <w:rsid w:val="00243388"/>
    <w:rsid w:val="00243487"/>
    <w:rsid w:val="00243512"/>
    <w:rsid w:val="0024379B"/>
    <w:rsid w:val="0024391C"/>
    <w:rsid w:val="002439D2"/>
    <w:rsid w:val="002439FA"/>
    <w:rsid w:val="00243A58"/>
    <w:rsid w:val="00243B76"/>
    <w:rsid w:val="00243C09"/>
    <w:rsid w:val="00243CC6"/>
    <w:rsid w:val="00243D11"/>
    <w:rsid w:val="00243E93"/>
    <w:rsid w:val="00243F3E"/>
    <w:rsid w:val="002440B8"/>
    <w:rsid w:val="002440EB"/>
    <w:rsid w:val="0024419D"/>
    <w:rsid w:val="00244379"/>
    <w:rsid w:val="002444DB"/>
    <w:rsid w:val="00244685"/>
    <w:rsid w:val="002446A4"/>
    <w:rsid w:val="0024503B"/>
    <w:rsid w:val="002450B6"/>
    <w:rsid w:val="00245173"/>
    <w:rsid w:val="002451C6"/>
    <w:rsid w:val="002452F1"/>
    <w:rsid w:val="0024540B"/>
    <w:rsid w:val="00245488"/>
    <w:rsid w:val="0024569D"/>
    <w:rsid w:val="00245730"/>
    <w:rsid w:val="00245E7E"/>
    <w:rsid w:val="00245F26"/>
    <w:rsid w:val="00245F5D"/>
    <w:rsid w:val="00245FC9"/>
    <w:rsid w:val="002462C7"/>
    <w:rsid w:val="0024630A"/>
    <w:rsid w:val="0024643D"/>
    <w:rsid w:val="002465CC"/>
    <w:rsid w:val="00246711"/>
    <w:rsid w:val="0024680C"/>
    <w:rsid w:val="00246991"/>
    <w:rsid w:val="00246C97"/>
    <w:rsid w:val="00246CAA"/>
    <w:rsid w:val="00246F8D"/>
    <w:rsid w:val="00246FB1"/>
    <w:rsid w:val="00246FCD"/>
    <w:rsid w:val="002470AC"/>
    <w:rsid w:val="00247253"/>
    <w:rsid w:val="0024739D"/>
    <w:rsid w:val="0024758B"/>
    <w:rsid w:val="0024761B"/>
    <w:rsid w:val="00247787"/>
    <w:rsid w:val="00247888"/>
    <w:rsid w:val="00247955"/>
    <w:rsid w:val="00247A84"/>
    <w:rsid w:val="00247B3E"/>
    <w:rsid w:val="00247C9B"/>
    <w:rsid w:val="00247D07"/>
    <w:rsid w:val="002501B6"/>
    <w:rsid w:val="0025031C"/>
    <w:rsid w:val="00250452"/>
    <w:rsid w:val="0025051F"/>
    <w:rsid w:val="0025069D"/>
    <w:rsid w:val="002506C8"/>
    <w:rsid w:val="00250931"/>
    <w:rsid w:val="002509A8"/>
    <w:rsid w:val="00250E6F"/>
    <w:rsid w:val="00250FA8"/>
    <w:rsid w:val="00251030"/>
    <w:rsid w:val="002510AD"/>
    <w:rsid w:val="0025114D"/>
    <w:rsid w:val="002511F4"/>
    <w:rsid w:val="0025142F"/>
    <w:rsid w:val="002514E1"/>
    <w:rsid w:val="00251518"/>
    <w:rsid w:val="002516AA"/>
    <w:rsid w:val="00251872"/>
    <w:rsid w:val="00251B60"/>
    <w:rsid w:val="00251DCD"/>
    <w:rsid w:val="00251FB6"/>
    <w:rsid w:val="00251FEB"/>
    <w:rsid w:val="00251FF7"/>
    <w:rsid w:val="002522B9"/>
    <w:rsid w:val="002522D4"/>
    <w:rsid w:val="0025238D"/>
    <w:rsid w:val="00252450"/>
    <w:rsid w:val="00252640"/>
    <w:rsid w:val="00252693"/>
    <w:rsid w:val="002526BF"/>
    <w:rsid w:val="00252762"/>
    <w:rsid w:val="00252846"/>
    <w:rsid w:val="0025288B"/>
    <w:rsid w:val="00252994"/>
    <w:rsid w:val="00252ADF"/>
    <w:rsid w:val="00252DF7"/>
    <w:rsid w:val="00252ED0"/>
    <w:rsid w:val="00253120"/>
    <w:rsid w:val="002531F0"/>
    <w:rsid w:val="002532D9"/>
    <w:rsid w:val="002538C2"/>
    <w:rsid w:val="002539BB"/>
    <w:rsid w:val="00253AB3"/>
    <w:rsid w:val="00253BBC"/>
    <w:rsid w:val="00253D1B"/>
    <w:rsid w:val="00253D54"/>
    <w:rsid w:val="00253E0F"/>
    <w:rsid w:val="00253E2A"/>
    <w:rsid w:val="00253E45"/>
    <w:rsid w:val="00253F5E"/>
    <w:rsid w:val="0025405E"/>
    <w:rsid w:val="002541B0"/>
    <w:rsid w:val="00254225"/>
    <w:rsid w:val="00254374"/>
    <w:rsid w:val="00254453"/>
    <w:rsid w:val="00254740"/>
    <w:rsid w:val="002549F7"/>
    <w:rsid w:val="00254C12"/>
    <w:rsid w:val="00254C2E"/>
    <w:rsid w:val="00254F81"/>
    <w:rsid w:val="00255258"/>
    <w:rsid w:val="00255297"/>
    <w:rsid w:val="002552DA"/>
    <w:rsid w:val="002552ED"/>
    <w:rsid w:val="0025533D"/>
    <w:rsid w:val="00255542"/>
    <w:rsid w:val="00255DD9"/>
    <w:rsid w:val="00255EAD"/>
    <w:rsid w:val="00256001"/>
    <w:rsid w:val="00256031"/>
    <w:rsid w:val="0025605A"/>
    <w:rsid w:val="002562F0"/>
    <w:rsid w:val="00256630"/>
    <w:rsid w:val="0025684E"/>
    <w:rsid w:val="00256A78"/>
    <w:rsid w:val="00256AE5"/>
    <w:rsid w:val="00256E67"/>
    <w:rsid w:val="00257282"/>
    <w:rsid w:val="00257298"/>
    <w:rsid w:val="002572E1"/>
    <w:rsid w:val="00257362"/>
    <w:rsid w:val="00257708"/>
    <w:rsid w:val="00257926"/>
    <w:rsid w:val="00257984"/>
    <w:rsid w:val="00257B5A"/>
    <w:rsid w:val="00257C06"/>
    <w:rsid w:val="00257ECC"/>
    <w:rsid w:val="00260311"/>
    <w:rsid w:val="00260543"/>
    <w:rsid w:val="002606C6"/>
    <w:rsid w:val="0026073C"/>
    <w:rsid w:val="00260849"/>
    <w:rsid w:val="0026088A"/>
    <w:rsid w:val="0026095E"/>
    <w:rsid w:val="00260A0E"/>
    <w:rsid w:val="00260A30"/>
    <w:rsid w:val="00260A93"/>
    <w:rsid w:val="00260B57"/>
    <w:rsid w:val="00260B9B"/>
    <w:rsid w:val="00260C19"/>
    <w:rsid w:val="00260C26"/>
    <w:rsid w:val="00260E3E"/>
    <w:rsid w:val="00260ED7"/>
    <w:rsid w:val="002611DB"/>
    <w:rsid w:val="0026130A"/>
    <w:rsid w:val="00261336"/>
    <w:rsid w:val="0026135C"/>
    <w:rsid w:val="002615E2"/>
    <w:rsid w:val="00261A92"/>
    <w:rsid w:val="00261BCE"/>
    <w:rsid w:val="00261D92"/>
    <w:rsid w:val="00261E57"/>
    <w:rsid w:val="00261E6E"/>
    <w:rsid w:val="00261F5A"/>
    <w:rsid w:val="00262013"/>
    <w:rsid w:val="0026235D"/>
    <w:rsid w:val="00262634"/>
    <w:rsid w:val="002627BD"/>
    <w:rsid w:val="00262A43"/>
    <w:rsid w:val="00262AAF"/>
    <w:rsid w:val="00262AC9"/>
    <w:rsid w:val="00262B56"/>
    <w:rsid w:val="00262E12"/>
    <w:rsid w:val="00263042"/>
    <w:rsid w:val="0026348D"/>
    <w:rsid w:val="002636DC"/>
    <w:rsid w:val="00263759"/>
    <w:rsid w:val="00263777"/>
    <w:rsid w:val="002638A2"/>
    <w:rsid w:val="00263AC6"/>
    <w:rsid w:val="00263B20"/>
    <w:rsid w:val="00263CD8"/>
    <w:rsid w:val="0026400D"/>
    <w:rsid w:val="0026413D"/>
    <w:rsid w:val="002641D5"/>
    <w:rsid w:val="002642DF"/>
    <w:rsid w:val="00264328"/>
    <w:rsid w:val="002643B8"/>
    <w:rsid w:val="002643FA"/>
    <w:rsid w:val="0026446B"/>
    <w:rsid w:val="002644F3"/>
    <w:rsid w:val="0026485E"/>
    <w:rsid w:val="002648A7"/>
    <w:rsid w:val="00264A5F"/>
    <w:rsid w:val="00264B18"/>
    <w:rsid w:val="00264BC9"/>
    <w:rsid w:val="00264C45"/>
    <w:rsid w:val="0026506B"/>
    <w:rsid w:val="002650CC"/>
    <w:rsid w:val="00265214"/>
    <w:rsid w:val="0026524F"/>
    <w:rsid w:val="002653D4"/>
    <w:rsid w:val="00265401"/>
    <w:rsid w:val="002654DB"/>
    <w:rsid w:val="002654DE"/>
    <w:rsid w:val="0026551D"/>
    <w:rsid w:val="00265764"/>
    <w:rsid w:val="002657B1"/>
    <w:rsid w:val="0026582A"/>
    <w:rsid w:val="00265868"/>
    <w:rsid w:val="0026589A"/>
    <w:rsid w:val="002658C1"/>
    <w:rsid w:val="00265A58"/>
    <w:rsid w:val="00265B60"/>
    <w:rsid w:val="00265CDD"/>
    <w:rsid w:val="00265F6A"/>
    <w:rsid w:val="0026607F"/>
    <w:rsid w:val="002660F6"/>
    <w:rsid w:val="00266220"/>
    <w:rsid w:val="0026627C"/>
    <w:rsid w:val="00266427"/>
    <w:rsid w:val="002665CC"/>
    <w:rsid w:val="00266672"/>
    <w:rsid w:val="00266853"/>
    <w:rsid w:val="002668E6"/>
    <w:rsid w:val="00266A56"/>
    <w:rsid w:val="00266B2D"/>
    <w:rsid w:val="00266BCC"/>
    <w:rsid w:val="00266C83"/>
    <w:rsid w:val="00266CCF"/>
    <w:rsid w:val="00266DFE"/>
    <w:rsid w:val="00267327"/>
    <w:rsid w:val="0026764C"/>
    <w:rsid w:val="00267729"/>
    <w:rsid w:val="00267994"/>
    <w:rsid w:val="00267B30"/>
    <w:rsid w:val="00267C04"/>
    <w:rsid w:val="00267F24"/>
    <w:rsid w:val="00267F43"/>
    <w:rsid w:val="00270037"/>
    <w:rsid w:val="0027004B"/>
    <w:rsid w:val="002702D4"/>
    <w:rsid w:val="00270454"/>
    <w:rsid w:val="002704F5"/>
    <w:rsid w:val="0027052B"/>
    <w:rsid w:val="0027055E"/>
    <w:rsid w:val="00270608"/>
    <w:rsid w:val="00270645"/>
    <w:rsid w:val="00270679"/>
    <w:rsid w:val="002706B7"/>
    <w:rsid w:val="002707AC"/>
    <w:rsid w:val="00270901"/>
    <w:rsid w:val="0027099F"/>
    <w:rsid w:val="00270B11"/>
    <w:rsid w:val="00270CA5"/>
    <w:rsid w:val="00270CC8"/>
    <w:rsid w:val="00270DE8"/>
    <w:rsid w:val="00270E6C"/>
    <w:rsid w:val="0027114F"/>
    <w:rsid w:val="002712AE"/>
    <w:rsid w:val="0027139D"/>
    <w:rsid w:val="002714C8"/>
    <w:rsid w:val="002715A8"/>
    <w:rsid w:val="00271676"/>
    <w:rsid w:val="00271677"/>
    <w:rsid w:val="002716AA"/>
    <w:rsid w:val="002716B2"/>
    <w:rsid w:val="00271977"/>
    <w:rsid w:val="00271A0D"/>
    <w:rsid w:val="00271A77"/>
    <w:rsid w:val="00271B5C"/>
    <w:rsid w:val="00271C07"/>
    <w:rsid w:val="00271DAA"/>
    <w:rsid w:val="00271EE6"/>
    <w:rsid w:val="00271EF9"/>
    <w:rsid w:val="00271F6C"/>
    <w:rsid w:val="00272217"/>
    <w:rsid w:val="00272311"/>
    <w:rsid w:val="002724E8"/>
    <w:rsid w:val="002729B6"/>
    <w:rsid w:val="00272B63"/>
    <w:rsid w:val="00272DAC"/>
    <w:rsid w:val="00272F60"/>
    <w:rsid w:val="00272FA1"/>
    <w:rsid w:val="00272FEB"/>
    <w:rsid w:val="0027330D"/>
    <w:rsid w:val="0027348D"/>
    <w:rsid w:val="00273495"/>
    <w:rsid w:val="002734BA"/>
    <w:rsid w:val="00273570"/>
    <w:rsid w:val="00273683"/>
    <w:rsid w:val="00273730"/>
    <w:rsid w:val="00273816"/>
    <w:rsid w:val="00273A02"/>
    <w:rsid w:val="00274084"/>
    <w:rsid w:val="0027446F"/>
    <w:rsid w:val="002746BC"/>
    <w:rsid w:val="0027490E"/>
    <w:rsid w:val="00274A4D"/>
    <w:rsid w:val="00274B2C"/>
    <w:rsid w:val="00274BD4"/>
    <w:rsid w:val="00274C98"/>
    <w:rsid w:val="00274CD4"/>
    <w:rsid w:val="00274DDE"/>
    <w:rsid w:val="00274E91"/>
    <w:rsid w:val="0027519E"/>
    <w:rsid w:val="00275263"/>
    <w:rsid w:val="002752F4"/>
    <w:rsid w:val="0027538B"/>
    <w:rsid w:val="002753B0"/>
    <w:rsid w:val="0027544A"/>
    <w:rsid w:val="002754DB"/>
    <w:rsid w:val="0027562F"/>
    <w:rsid w:val="0027584E"/>
    <w:rsid w:val="0027597C"/>
    <w:rsid w:val="00275A15"/>
    <w:rsid w:val="00275AD4"/>
    <w:rsid w:val="00275B39"/>
    <w:rsid w:val="00275B7E"/>
    <w:rsid w:val="00275E7D"/>
    <w:rsid w:val="00275F60"/>
    <w:rsid w:val="00275F94"/>
    <w:rsid w:val="00276074"/>
    <w:rsid w:val="0027607F"/>
    <w:rsid w:val="00276118"/>
    <w:rsid w:val="002765A0"/>
    <w:rsid w:val="00276644"/>
    <w:rsid w:val="00276736"/>
    <w:rsid w:val="002767C3"/>
    <w:rsid w:val="00276805"/>
    <w:rsid w:val="0027684F"/>
    <w:rsid w:val="00276ABF"/>
    <w:rsid w:val="00276C1C"/>
    <w:rsid w:val="00276D2D"/>
    <w:rsid w:val="00276D72"/>
    <w:rsid w:val="00276E58"/>
    <w:rsid w:val="00276F5D"/>
    <w:rsid w:val="002772F6"/>
    <w:rsid w:val="002776FD"/>
    <w:rsid w:val="00277831"/>
    <w:rsid w:val="002778EC"/>
    <w:rsid w:val="0027796C"/>
    <w:rsid w:val="00277BB0"/>
    <w:rsid w:val="00277C39"/>
    <w:rsid w:val="00277C63"/>
    <w:rsid w:val="00277EF2"/>
    <w:rsid w:val="0028001A"/>
    <w:rsid w:val="002802A9"/>
    <w:rsid w:val="00280390"/>
    <w:rsid w:val="0028040F"/>
    <w:rsid w:val="00280438"/>
    <w:rsid w:val="00280488"/>
    <w:rsid w:val="002804B8"/>
    <w:rsid w:val="002804F6"/>
    <w:rsid w:val="00280759"/>
    <w:rsid w:val="002809D6"/>
    <w:rsid w:val="00280A13"/>
    <w:rsid w:val="00280BA3"/>
    <w:rsid w:val="00280BFB"/>
    <w:rsid w:val="00280C50"/>
    <w:rsid w:val="00281147"/>
    <w:rsid w:val="002811B2"/>
    <w:rsid w:val="00281239"/>
    <w:rsid w:val="002813FD"/>
    <w:rsid w:val="0028146D"/>
    <w:rsid w:val="00281472"/>
    <w:rsid w:val="0028164E"/>
    <w:rsid w:val="002816F2"/>
    <w:rsid w:val="00281745"/>
    <w:rsid w:val="0028187F"/>
    <w:rsid w:val="002819D8"/>
    <w:rsid w:val="00281C1E"/>
    <w:rsid w:val="00281CA5"/>
    <w:rsid w:val="00281CBE"/>
    <w:rsid w:val="00281CC2"/>
    <w:rsid w:val="00281F61"/>
    <w:rsid w:val="00281FD5"/>
    <w:rsid w:val="00282399"/>
    <w:rsid w:val="00282451"/>
    <w:rsid w:val="00282479"/>
    <w:rsid w:val="00282691"/>
    <w:rsid w:val="00282770"/>
    <w:rsid w:val="00282863"/>
    <w:rsid w:val="0028288F"/>
    <w:rsid w:val="00282C65"/>
    <w:rsid w:val="00282EDC"/>
    <w:rsid w:val="002830C8"/>
    <w:rsid w:val="002832A5"/>
    <w:rsid w:val="00283785"/>
    <w:rsid w:val="002837FC"/>
    <w:rsid w:val="002838FA"/>
    <w:rsid w:val="002839BA"/>
    <w:rsid w:val="00283B11"/>
    <w:rsid w:val="00283B1B"/>
    <w:rsid w:val="00283B1F"/>
    <w:rsid w:val="00283BFE"/>
    <w:rsid w:val="00283D2E"/>
    <w:rsid w:val="00283DC3"/>
    <w:rsid w:val="00283E40"/>
    <w:rsid w:val="0028405C"/>
    <w:rsid w:val="002841DB"/>
    <w:rsid w:val="00284218"/>
    <w:rsid w:val="00284787"/>
    <w:rsid w:val="002848D6"/>
    <w:rsid w:val="002848DB"/>
    <w:rsid w:val="002849D0"/>
    <w:rsid w:val="00284DAE"/>
    <w:rsid w:val="00284EC8"/>
    <w:rsid w:val="00284F47"/>
    <w:rsid w:val="00284FCE"/>
    <w:rsid w:val="00285189"/>
    <w:rsid w:val="002851E3"/>
    <w:rsid w:val="00285415"/>
    <w:rsid w:val="00285536"/>
    <w:rsid w:val="002857A4"/>
    <w:rsid w:val="002858D7"/>
    <w:rsid w:val="00285B78"/>
    <w:rsid w:val="00285C0E"/>
    <w:rsid w:val="00285C8F"/>
    <w:rsid w:val="00285CF8"/>
    <w:rsid w:val="00285D18"/>
    <w:rsid w:val="00285D9B"/>
    <w:rsid w:val="0028619A"/>
    <w:rsid w:val="002861D4"/>
    <w:rsid w:val="002863ED"/>
    <w:rsid w:val="00286455"/>
    <w:rsid w:val="00286678"/>
    <w:rsid w:val="002866A2"/>
    <w:rsid w:val="0028680B"/>
    <w:rsid w:val="00286887"/>
    <w:rsid w:val="00286B38"/>
    <w:rsid w:val="00286C30"/>
    <w:rsid w:val="00286D17"/>
    <w:rsid w:val="00286E2C"/>
    <w:rsid w:val="00286E4C"/>
    <w:rsid w:val="00286ECF"/>
    <w:rsid w:val="002872D7"/>
    <w:rsid w:val="002872E2"/>
    <w:rsid w:val="002873F9"/>
    <w:rsid w:val="00287544"/>
    <w:rsid w:val="00287795"/>
    <w:rsid w:val="00287831"/>
    <w:rsid w:val="0028787B"/>
    <w:rsid w:val="002878E4"/>
    <w:rsid w:val="002879FB"/>
    <w:rsid w:val="00287B94"/>
    <w:rsid w:val="00287CAC"/>
    <w:rsid w:val="00287DCA"/>
    <w:rsid w:val="00287E94"/>
    <w:rsid w:val="00290391"/>
    <w:rsid w:val="00290555"/>
    <w:rsid w:val="0029060B"/>
    <w:rsid w:val="002908A6"/>
    <w:rsid w:val="00290904"/>
    <w:rsid w:val="00290982"/>
    <w:rsid w:val="00290BBD"/>
    <w:rsid w:val="00290C1B"/>
    <w:rsid w:val="00290CA6"/>
    <w:rsid w:val="00290D4A"/>
    <w:rsid w:val="00290E2F"/>
    <w:rsid w:val="00290E93"/>
    <w:rsid w:val="00291011"/>
    <w:rsid w:val="00291031"/>
    <w:rsid w:val="00291233"/>
    <w:rsid w:val="00291403"/>
    <w:rsid w:val="00291536"/>
    <w:rsid w:val="002916AD"/>
    <w:rsid w:val="00291786"/>
    <w:rsid w:val="002918A1"/>
    <w:rsid w:val="00291AA2"/>
    <w:rsid w:val="00291AB7"/>
    <w:rsid w:val="00291B94"/>
    <w:rsid w:val="00291CF5"/>
    <w:rsid w:val="00291D1F"/>
    <w:rsid w:val="00291E3A"/>
    <w:rsid w:val="00291E6F"/>
    <w:rsid w:val="00291EA8"/>
    <w:rsid w:val="00291F3D"/>
    <w:rsid w:val="0029240A"/>
    <w:rsid w:val="002924C1"/>
    <w:rsid w:val="002924CC"/>
    <w:rsid w:val="0029259B"/>
    <w:rsid w:val="0029259C"/>
    <w:rsid w:val="002925C4"/>
    <w:rsid w:val="00292648"/>
    <w:rsid w:val="00292681"/>
    <w:rsid w:val="002927D5"/>
    <w:rsid w:val="002927F7"/>
    <w:rsid w:val="002929BB"/>
    <w:rsid w:val="00292A98"/>
    <w:rsid w:val="00292CD0"/>
    <w:rsid w:val="00292EDC"/>
    <w:rsid w:val="00292FDB"/>
    <w:rsid w:val="002930E6"/>
    <w:rsid w:val="0029315A"/>
    <w:rsid w:val="00293354"/>
    <w:rsid w:val="00293786"/>
    <w:rsid w:val="002937FD"/>
    <w:rsid w:val="002939A0"/>
    <w:rsid w:val="00293A42"/>
    <w:rsid w:val="00293B45"/>
    <w:rsid w:val="00293CC5"/>
    <w:rsid w:val="00293E1D"/>
    <w:rsid w:val="00293E5A"/>
    <w:rsid w:val="00293EC8"/>
    <w:rsid w:val="00293EF2"/>
    <w:rsid w:val="002940A6"/>
    <w:rsid w:val="002940E4"/>
    <w:rsid w:val="002940E5"/>
    <w:rsid w:val="00294162"/>
    <w:rsid w:val="00294181"/>
    <w:rsid w:val="0029418E"/>
    <w:rsid w:val="00294389"/>
    <w:rsid w:val="0029446D"/>
    <w:rsid w:val="00294672"/>
    <w:rsid w:val="002947F9"/>
    <w:rsid w:val="00294863"/>
    <w:rsid w:val="002948B1"/>
    <w:rsid w:val="0029492F"/>
    <w:rsid w:val="00294A63"/>
    <w:rsid w:val="00294FD5"/>
    <w:rsid w:val="00294FEF"/>
    <w:rsid w:val="0029544C"/>
    <w:rsid w:val="00295472"/>
    <w:rsid w:val="002954A9"/>
    <w:rsid w:val="0029569E"/>
    <w:rsid w:val="0029571D"/>
    <w:rsid w:val="0029585B"/>
    <w:rsid w:val="002958D6"/>
    <w:rsid w:val="002959B1"/>
    <w:rsid w:val="00295B66"/>
    <w:rsid w:val="00295BE3"/>
    <w:rsid w:val="00295CA7"/>
    <w:rsid w:val="00295F52"/>
    <w:rsid w:val="0029628B"/>
    <w:rsid w:val="00296586"/>
    <w:rsid w:val="0029683A"/>
    <w:rsid w:val="0029694A"/>
    <w:rsid w:val="002969AE"/>
    <w:rsid w:val="00296B82"/>
    <w:rsid w:val="00296D63"/>
    <w:rsid w:val="00296D74"/>
    <w:rsid w:val="00296F23"/>
    <w:rsid w:val="00296F3D"/>
    <w:rsid w:val="00296F69"/>
    <w:rsid w:val="00296FC6"/>
    <w:rsid w:val="00297145"/>
    <w:rsid w:val="0029744B"/>
    <w:rsid w:val="0029749D"/>
    <w:rsid w:val="0029754E"/>
    <w:rsid w:val="002976A1"/>
    <w:rsid w:val="00297814"/>
    <w:rsid w:val="00297952"/>
    <w:rsid w:val="00297B90"/>
    <w:rsid w:val="00297DC5"/>
    <w:rsid w:val="00297EA8"/>
    <w:rsid w:val="00297EF8"/>
    <w:rsid w:val="00297FAA"/>
    <w:rsid w:val="00297FB5"/>
    <w:rsid w:val="002A00B8"/>
    <w:rsid w:val="002A04A5"/>
    <w:rsid w:val="002A0678"/>
    <w:rsid w:val="002A0806"/>
    <w:rsid w:val="002A096A"/>
    <w:rsid w:val="002A09C7"/>
    <w:rsid w:val="002A0A23"/>
    <w:rsid w:val="002A0B1A"/>
    <w:rsid w:val="002A0C2F"/>
    <w:rsid w:val="002A0CE3"/>
    <w:rsid w:val="002A0CE5"/>
    <w:rsid w:val="002A0D44"/>
    <w:rsid w:val="002A0D87"/>
    <w:rsid w:val="002A0DD4"/>
    <w:rsid w:val="002A0E09"/>
    <w:rsid w:val="002A0EDA"/>
    <w:rsid w:val="002A1079"/>
    <w:rsid w:val="002A10A3"/>
    <w:rsid w:val="002A10C7"/>
    <w:rsid w:val="002A118F"/>
    <w:rsid w:val="002A1364"/>
    <w:rsid w:val="002A15BD"/>
    <w:rsid w:val="002A1672"/>
    <w:rsid w:val="002A168F"/>
    <w:rsid w:val="002A1749"/>
    <w:rsid w:val="002A1846"/>
    <w:rsid w:val="002A1E0F"/>
    <w:rsid w:val="002A223A"/>
    <w:rsid w:val="002A2266"/>
    <w:rsid w:val="002A2325"/>
    <w:rsid w:val="002A2409"/>
    <w:rsid w:val="002A242B"/>
    <w:rsid w:val="002A2448"/>
    <w:rsid w:val="002A255E"/>
    <w:rsid w:val="002A279F"/>
    <w:rsid w:val="002A2801"/>
    <w:rsid w:val="002A2A30"/>
    <w:rsid w:val="002A2B2C"/>
    <w:rsid w:val="002A2CA3"/>
    <w:rsid w:val="002A2E2C"/>
    <w:rsid w:val="002A2E54"/>
    <w:rsid w:val="002A307C"/>
    <w:rsid w:val="002A307E"/>
    <w:rsid w:val="002A31C9"/>
    <w:rsid w:val="002A357F"/>
    <w:rsid w:val="002A35A4"/>
    <w:rsid w:val="002A3662"/>
    <w:rsid w:val="002A386B"/>
    <w:rsid w:val="002A399B"/>
    <w:rsid w:val="002A39CD"/>
    <w:rsid w:val="002A3B18"/>
    <w:rsid w:val="002A3F34"/>
    <w:rsid w:val="002A41E1"/>
    <w:rsid w:val="002A4286"/>
    <w:rsid w:val="002A44E5"/>
    <w:rsid w:val="002A47F3"/>
    <w:rsid w:val="002A48FD"/>
    <w:rsid w:val="002A4995"/>
    <w:rsid w:val="002A4ADB"/>
    <w:rsid w:val="002A4B19"/>
    <w:rsid w:val="002A4B21"/>
    <w:rsid w:val="002A4BAC"/>
    <w:rsid w:val="002A4D0C"/>
    <w:rsid w:val="002A4E45"/>
    <w:rsid w:val="002A5035"/>
    <w:rsid w:val="002A52B7"/>
    <w:rsid w:val="002A531B"/>
    <w:rsid w:val="002A541A"/>
    <w:rsid w:val="002A55A4"/>
    <w:rsid w:val="002A5612"/>
    <w:rsid w:val="002A566C"/>
    <w:rsid w:val="002A58E7"/>
    <w:rsid w:val="002A5924"/>
    <w:rsid w:val="002A5937"/>
    <w:rsid w:val="002A59FD"/>
    <w:rsid w:val="002A5AF6"/>
    <w:rsid w:val="002A5BF2"/>
    <w:rsid w:val="002A5CC1"/>
    <w:rsid w:val="002A5F4C"/>
    <w:rsid w:val="002A5FFE"/>
    <w:rsid w:val="002A606E"/>
    <w:rsid w:val="002A616D"/>
    <w:rsid w:val="002A61A8"/>
    <w:rsid w:val="002A6258"/>
    <w:rsid w:val="002A66B2"/>
    <w:rsid w:val="002A69D6"/>
    <w:rsid w:val="002A6A2B"/>
    <w:rsid w:val="002A6A72"/>
    <w:rsid w:val="002A6BC4"/>
    <w:rsid w:val="002A6E08"/>
    <w:rsid w:val="002A6E6A"/>
    <w:rsid w:val="002A704D"/>
    <w:rsid w:val="002A7117"/>
    <w:rsid w:val="002A727A"/>
    <w:rsid w:val="002A736E"/>
    <w:rsid w:val="002A73B0"/>
    <w:rsid w:val="002A73CD"/>
    <w:rsid w:val="002A76AF"/>
    <w:rsid w:val="002A76C4"/>
    <w:rsid w:val="002A7816"/>
    <w:rsid w:val="002A78E3"/>
    <w:rsid w:val="002A7AC4"/>
    <w:rsid w:val="002A7B54"/>
    <w:rsid w:val="002A7D8A"/>
    <w:rsid w:val="002A7E64"/>
    <w:rsid w:val="002A7F1C"/>
    <w:rsid w:val="002A7F3B"/>
    <w:rsid w:val="002B005A"/>
    <w:rsid w:val="002B02D6"/>
    <w:rsid w:val="002B0347"/>
    <w:rsid w:val="002B04DF"/>
    <w:rsid w:val="002B0525"/>
    <w:rsid w:val="002B07A4"/>
    <w:rsid w:val="002B098C"/>
    <w:rsid w:val="002B0CFF"/>
    <w:rsid w:val="002B0DE7"/>
    <w:rsid w:val="002B117C"/>
    <w:rsid w:val="002B1298"/>
    <w:rsid w:val="002B12EC"/>
    <w:rsid w:val="002B13AE"/>
    <w:rsid w:val="002B141F"/>
    <w:rsid w:val="002B14BB"/>
    <w:rsid w:val="002B16F3"/>
    <w:rsid w:val="002B1A2D"/>
    <w:rsid w:val="002B1C23"/>
    <w:rsid w:val="002B1DE9"/>
    <w:rsid w:val="002B1F0E"/>
    <w:rsid w:val="002B1FB4"/>
    <w:rsid w:val="002B2163"/>
    <w:rsid w:val="002B227D"/>
    <w:rsid w:val="002B22A6"/>
    <w:rsid w:val="002B23D6"/>
    <w:rsid w:val="002B24B0"/>
    <w:rsid w:val="002B2569"/>
    <w:rsid w:val="002B25A4"/>
    <w:rsid w:val="002B2661"/>
    <w:rsid w:val="002B2700"/>
    <w:rsid w:val="002B2908"/>
    <w:rsid w:val="002B2BA7"/>
    <w:rsid w:val="002B2BF4"/>
    <w:rsid w:val="002B2D30"/>
    <w:rsid w:val="002B2F82"/>
    <w:rsid w:val="002B3090"/>
    <w:rsid w:val="002B3150"/>
    <w:rsid w:val="002B3403"/>
    <w:rsid w:val="002B3495"/>
    <w:rsid w:val="002B352E"/>
    <w:rsid w:val="002B365C"/>
    <w:rsid w:val="002B3784"/>
    <w:rsid w:val="002B37AA"/>
    <w:rsid w:val="002B39F2"/>
    <w:rsid w:val="002B3A6D"/>
    <w:rsid w:val="002B3A94"/>
    <w:rsid w:val="002B3B42"/>
    <w:rsid w:val="002B3D93"/>
    <w:rsid w:val="002B3E40"/>
    <w:rsid w:val="002B3E8D"/>
    <w:rsid w:val="002B3F0D"/>
    <w:rsid w:val="002B3F80"/>
    <w:rsid w:val="002B427B"/>
    <w:rsid w:val="002B43FF"/>
    <w:rsid w:val="002B441B"/>
    <w:rsid w:val="002B443F"/>
    <w:rsid w:val="002B469E"/>
    <w:rsid w:val="002B46D2"/>
    <w:rsid w:val="002B48F7"/>
    <w:rsid w:val="002B495E"/>
    <w:rsid w:val="002B4A37"/>
    <w:rsid w:val="002B4A4F"/>
    <w:rsid w:val="002B4C6B"/>
    <w:rsid w:val="002B4C90"/>
    <w:rsid w:val="002B4D79"/>
    <w:rsid w:val="002B4F53"/>
    <w:rsid w:val="002B5037"/>
    <w:rsid w:val="002B5217"/>
    <w:rsid w:val="002B52C9"/>
    <w:rsid w:val="002B5421"/>
    <w:rsid w:val="002B5557"/>
    <w:rsid w:val="002B592C"/>
    <w:rsid w:val="002B5964"/>
    <w:rsid w:val="002B5977"/>
    <w:rsid w:val="002B59A0"/>
    <w:rsid w:val="002B59D4"/>
    <w:rsid w:val="002B5D7E"/>
    <w:rsid w:val="002B5D9E"/>
    <w:rsid w:val="002B5EB9"/>
    <w:rsid w:val="002B5F35"/>
    <w:rsid w:val="002B6270"/>
    <w:rsid w:val="002B62CE"/>
    <w:rsid w:val="002B62D4"/>
    <w:rsid w:val="002B6423"/>
    <w:rsid w:val="002B6517"/>
    <w:rsid w:val="002B6559"/>
    <w:rsid w:val="002B6AD6"/>
    <w:rsid w:val="002B6B00"/>
    <w:rsid w:val="002B6B74"/>
    <w:rsid w:val="002B6B87"/>
    <w:rsid w:val="002B6D97"/>
    <w:rsid w:val="002B6E35"/>
    <w:rsid w:val="002B6E69"/>
    <w:rsid w:val="002B6F6A"/>
    <w:rsid w:val="002B7017"/>
    <w:rsid w:val="002B708E"/>
    <w:rsid w:val="002B720A"/>
    <w:rsid w:val="002B7319"/>
    <w:rsid w:val="002B7415"/>
    <w:rsid w:val="002B75D8"/>
    <w:rsid w:val="002B7693"/>
    <w:rsid w:val="002B76EF"/>
    <w:rsid w:val="002B7865"/>
    <w:rsid w:val="002B7B90"/>
    <w:rsid w:val="002B7CA4"/>
    <w:rsid w:val="002B7F37"/>
    <w:rsid w:val="002C034A"/>
    <w:rsid w:val="002C03FC"/>
    <w:rsid w:val="002C0630"/>
    <w:rsid w:val="002C064D"/>
    <w:rsid w:val="002C06F2"/>
    <w:rsid w:val="002C0874"/>
    <w:rsid w:val="002C0AD0"/>
    <w:rsid w:val="002C0B2B"/>
    <w:rsid w:val="002C0B5E"/>
    <w:rsid w:val="002C0C87"/>
    <w:rsid w:val="002C0E02"/>
    <w:rsid w:val="002C10FE"/>
    <w:rsid w:val="002C133F"/>
    <w:rsid w:val="002C160E"/>
    <w:rsid w:val="002C1875"/>
    <w:rsid w:val="002C1ACE"/>
    <w:rsid w:val="002C1E0C"/>
    <w:rsid w:val="002C1E29"/>
    <w:rsid w:val="002C2100"/>
    <w:rsid w:val="002C213D"/>
    <w:rsid w:val="002C2147"/>
    <w:rsid w:val="002C2436"/>
    <w:rsid w:val="002C257F"/>
    <w:rsid w:val="002C2878"/>
    <w:rsid w:val="002C29B7"/>
    <w:rsid w:val="002C2A43"/>
    <w:rsid w:val="002C3046"/>
    <w:rsid w:val="002C320A"/>
    <w:rsid w:val="002C3271"/>
    <w:rsid w:val="002C3291"/>
    <w:rsid w:val="002C3407"/>
    <w:rsid w:val="002C3682"/>
    <w:rsid w:val="002C3687"/>
    <w:rsid w:val="002C36AB"/>
    <w:rsid w:val="002C3719"/>
    <w:rsid w:val="002C3952"/>
    <w:rsid w:val="002C39B7"/>
    <w:rsid w:val="002C3A30"/>
    <w:rsid w:val="002C3B5C"/>
    <w:rsid w:val="002C3BBA"/>
    <w:rsid w:val="002C3BC3"/>
    <w:rsid w:val="002C3D4A"/>
    <w:rsid w:val="002C3E48"/>
    <w:rsid w:val="002C3EA6"/>
    <w:rsid w:val="002C4201"/>
    <w:rsid w:val="002C4246"/>
    <w:rsid w:val="002C42A3"/>
    <w:rsid w:val="002C439D"/>
    <w:rsid w:val="002C43E6"/>
    <w:rsid w:val="002C4496"/>
    <w:rsid w:val="002C44E2"/>
    <w:rsid w:val="002C469A"/>
    <w:rsid w:val="002C4802"/>
    <w:rsid w:val="002C49B8"/>
    <w:rsid w:val="002C4BC4"/>
    <w:rsid w:val="002C4C81"/>
    <w:rsid w:val="002C4D2D"/>
    <w:rsid w:val="002C4D4A"/>
    <w:rsid w:val="002C4DAA"/>
    <w:rsid w:val="002C50F8"/>
    <w:rsid w:val="002C524A"/>
    <w:rsid w:val="002C52C7"/>
    <w:rsid w:val="002C5327"/>
    <w:rsid w:val="002C5427"/>
    <w:rsid w:val="002C5700"/>
    <w:rsid w:val="002C5717"/>
    <w:rsid w:val="002C587E"/>
    <w:rsid w:val="002C591F"/>
    <w:rsid w:val="002C592F"/>
    <w:rsid w:val="002C5943"/>
    <w:rsid w:val="002C5B38"/>
    <w:rsid w:val="002C5C76"/>
    <w:rsid w:val="002C5C90"/>
    <w:rsid w:val="002C5CC8"/>
    <w:rsid w:val="002C5FB8"/>
    <w:rsid w:val="002C6063"/>
    <w:rsid w:val="002C60C1"/>
    <w:rsid w:val="002C60D6"/>
    <w:rsid w:val="002C60E2"/>
    <w:rsid w:val="002C620B"/>
    <w:rsid w:val="002C626B"/>
    <w:rsid w:val="002C62E1"/>
    <w:rsid w:val="002C6367"/>
    <w:rsid w:val="002C642E"/>
    <w:rsid w:val="002C6537"/>
    <w:rsid w:val="002C6681"/>
    <w:rsid w:val="002C6787"/>
    <w:rsid w:val="002C67EB"/>
    <w:rsid w:val="002C6A17"/>
    <w:rsid w:val="002C6B9A"/>
    <w:rsid w:val="002C6CC1"/>
    <w:rsid w:val="002C6D35"/>
    <w:rsid w:val="002C703F"/>
    <w:rsid w:val="002C73CB"/>
    <w:rsid w:val="002C744B"/>
    <w:rsid w:val="002C75D8"/>
    <w:rsid w:val="002C7621"/>
    <w:rsid w:val="002C794E"/>
    <w:rsid w:val="002C7D03"/>
    <w:rsid w:val="002C7DF1"/>
    <w:rsid w:val="002C7E28"/>
    <w:rsid w:val="002C7EEB"/>
    <w:rsid w:val="002C7F47"/>
    <w:rsid w:val="002D00C9"/>
    <w:rsid w:val="002D00CB"/>
    <w:rsid w:val="002D052B"/>
    <w:rsid w:val="002D0644"/>
    <w:rsid w:val="002D0843"/>
    <w:rsid w:val="002D0869"/>
    <w:rsid w:val="002D098B"/>
    <w:rsid w:val="002D0A7A"/>
    <w:rsid w:val="002D0B4A"/>
    <w:rsid w:val="002D0BA5"/>
    <w:rsid w:val="002D0C2A"/>
    <w:rsid w:val="002D0CAE"/>
    <w:rsid w:val="002D0D3F"/>
    <w:rsid w:val="002D0E33"/>
    <w:rsid w:val="002D0EF6"/>
    <w:rsid w:val="002D0FED"/>
    <w:rsid w:val="002D10F8"/>
    <w:rsid w:val="002D1199"/>
    <w:rsid w:val="002D123C"/>
    <w:rsid w:val="002D12F8"/>
    <w:rsid w:val="002D1521"/>
    <w:rsid w:val="002D158D"/>
    <w:rsid w:val="002D1884"/>
    <w:rsid w:val="002D1962"/>
    <w:rsid w:val="002D19A5"/>
    <w:rsid w:val="002D1B9A"/>
    <w:rsid w:val="002D1C62"/>
    <w:rsid w:val="002D1CBE"/>
    <w:rsid w:val="002D1D45"/>
    <w:rsid w:val="002D1E04"/>
    <w:rsid w:val="002D1FB4"/>
    <w:rsid w:val="002D1FC1"/>
    <w:rsid w:val="002D2022"/>
    <w:rsid w:val="002D2546"/>
    <w:rsid w:val="002D2710"/>
    <w:rsid w:val="002D279D"/>
    <w:rsid w:val="002D2836"/>
    <w:rsid w:val="002D28F1"/>
    <w:rsid w:val="002D2A73"/>
    <w:rsid w:val="002D2CCD"/>
    <w:rsid w:val="002D2E67"/>
    <w:rsid w:val="002D3271"/>
    <w:rsid w:val="002D3633"/>
    <w:rsid w:val="002D36F1"/>
    <w:rsid w:val="002D376B"/>
    <w:rsid w:val="002D378D"/>
    <w:rsid w:val="002D397F"/>
    <w:rsid w:val="002D3A21"/>
    <w:rsid w:val="002D3A91"/>
    <w:rsid w:val="002D3ABF"/>
    <w:rsid w:val="002D3BCF"/>
    <w:rsid w:val="002D3D6D"/>
    <w:rsid w:val="002D3E57"/>
    <w:rsid w:val="002D41F4"/>
    <w:rsid w:val="002D4263"/>
    <w:rsid w:val="002D447B"/>
    <w:rsid w:val="002D44CC"/>
    <w:rsid w:val="002D44FB"/>
    <w:rsid w:val="002D4806"/>
    <w:rsid w:val="002D483D"/>
    <w:rsid w:val="002D48D9"/>
    <w:rsid w:val="002D48E7"/>
    <w:rsid w:val="002D4914"/>
    <w:rsid w:val="002D4993"/>
    <w:rsid w:val="002D499F"/>
    <w:rsid w:val="002D49B6"/>
    <w:rsid w:val="002D4F98"/>
    <w:rsid w:val="002D50E9"/>
    <w:rsid w:val="002D5294"/>
    <w:rsid w:val="002D52C4"/>
    <w:rsid w:val="002D53BA"/>
    <w:rsid w:val="002D53E2"/>
    <w:rsid w:val="002D5B4D"/>
    <w:rsid w:val="002D5CC4"/>
    <w:rsid w:val="002D5D2C"/>
    <w:rsid w:val="002D5E0A"/>
    <w:rsid w:val="002D5F60"/>
    <w:rsid w:val="002D606C"/>
    <w:rsid w:val="002D620E"/>
    <w:rsid w:val="002D628C"/>
    <w:rsid w:val="002D63B1"/>
    <w:rsid w:val="002D63BF"/>
    <w:rsid w:val="002D6417"/>
    <w:rsid w:val="002D6492"/>
    <w:rsid w:val="002D67AB"/>
    <w:rsid w:val="002D696B"/>
    <w:rsid w:val="002D7072"/>
    <w:rsid w:val="002D7077"/>
    <w:rsid w:val="002D7238"/>
    <w:rsid w:val="002D74FE"/>
    <w:rsid w:val="002D75DD"/>
    <w:rsid w:val="002D7636"/>
    <w:rsid w:val="002D7842"/>
    <w:rsid w:val="002D78E1"/>
    <w:rsid w:val="002D7926"/>
    <w:rsid w:val="002D797E"/>
    <w:rsid w:val="002D7A78"/>
    <w:rsid w:val="002D7BDD"/>
    <w:rsid w:val="002D7C2C"/>
    <w:rsid w:val="002D7C49"/>
    <w:rsid w:val="002E01CD"/>
    <w:rsid w:val="002E0249"/>
    <w:rsid w:val="002E02A8"/>
    <w:rsid w:val="002E0632"/>
    <w:rsid w:val="002E07FF"/>
    <w:rsid w:val="002E0897"/>
    <w:rsid w:val="002E08E5"/>
    <w:rsid w:val="002E0908"/>
    <w:rsid w:val="002E097A"/>
    <w:rsid w:val="002E0A04"/>
    <w:rsid w:val="002E0BE5"/>
    <w:rsid w:val="002E0F0D"/>
    <w:rsid w:val="002E104D"/>
    <w:rsid w:val="002E1112"/>
    <w:rsid w:val="002E116C"/>
    <w:rsid w:val="002E1189"/>
    <w:rsid w:val="002E11FF"/>
    <w:rsid w:val="002E135B"/>
    <w:rsid w:val="002E1449"/>
    <w:rsid w:val="002E176B"/>
    <w:rsid w:val="002E19A6"/>
    <w:rsid w:val="002E1A02"/>
    <w:rsid w:val="002E1A1F"/>
    <w:rsid w:val="002E1A34"/>
    <w:rsid w:val="002E1AE7"/>
    <w:rsid w:val="002E1BA0"/>
    <w:rsid w:val="002E1C75"/>
    <w:rsid w:val="002E1CE2"/>
    <w:rsid w:val="002E1D49"/>
    <w:rsid w:val="002E1E68"/>
    <w:rsid w:val="002E1F2D"/>
    <w:rsid w:val="002E1F8F"/>
    <w:rsid w:val="002E2084"/>
    <w:rsid w:val="002E2119"/>
    <w:rsid w:val="002E2209"/>
    <w:rsid w:val="002E2495"/>
    <w:rsid w:val="002E2503"/>
    <w:rsid w:val="002E2560"/>
    <w:rsid w:val="002E2816"/>
    <w:rsid w:val="002E28C5"/>
    <w:rsid w:val="002E29ED"/>
    <w:rsid w:val="002E2A31"/>
    <w:rsid w:val="002E2A3E"/>
    <w:rsid w:val="002E2B8E"/>
    <w:rsid w:val="002E2C07"/>
    <w:rsid w:val="002E2C1A"/>
    <w:rsid w:val="002E2C32"/>
    <w:rsid w:val="002E303B"/>
    <w:rsid w:val="002E3247"/>
    <w:rsid w:val="002E33C6"/>
    <w:rsid w:val="002E347B"/>
    <w:rsid w:val="002E34F7"/>
    <w:rsid w:val="002E355F"/>
    <w:rsid w:val="002E35C6"/>
    <w:rsid w:val="002E3628"/>
    <w:rsid w:val="002E3747"/>
    <w:rsid w:val="002E3958"/>
    <w:rsid w:val="002E3C53"/>
    <w:rsid w:val="002E3D03"/>
    <w:rsid w:val="002E3D23"/>
    <w:rsid w:val="002E401F"/>
    <w:rsid w:val="002E40AF"/>
    <w:rsid w:val="002E4294"/>
    <w:rsid w:val="002E430F"/>
    <w:rsid w:val="002E44A2"/>
    <w:rsid w:val="002E45B4"/>
    <w:rsid w:val="002E461E"/>
    <w:rsid w:val="002E4703"/>
    <w:rsid w:val="002E49EC"/>
    <w:rsid w:val="002E49FF"/>
    <w:rsid w:val="002E4B53"/>
    <w:rsid w:val="002E4B7B"/>
    <w:rsid w:val="002E4BF6"/>
    <w:rsid w:val="002E4C15"/>
    <w:rsid w:val="002E4CE3"/>
    <w:rsid w:val="002E4D41"/>
    <w:rsid w:val="002E4DFD"/>
    <w:rsid w:val="002E5001"/>
    <w:rsid w:val="002E5038"/>
    <w:rsid w:val="002E5053"/>
    <w:rsid w:val="002E5088"/>
    <w:rsid w:val="002E50EB"/>
    <w:rsid w:val="002E53CA"/>
    <w:rsid w:val="002E542D"/>
    <w:rsid w:val="002E55A2"/>
    <w:rsid w:val="002E59DE"/>
    <w:rsid w:val="002E5D88"/>
    <w:rsid w:val="002E5F5A"/>
    <w:rsid w:val="002E5F81"/>
    <w:rsid w:val="002E5FCA"/>
    <w:rsid w:val="002E6126"/>
    <w:rsid w:val="002E61AE"/>
    <w:rsid w:val="002E65A0"/>
    <w:rsid w:val="002E675E"/>
    <w:rsid w:val="002E67C3"/>
    <w:rsid w:val="002E6824"/>
    <w:rsid w:val="002E6952"/>
    <w:rsid w:val="002E69F4"/>
    <w:rsid w:val="002E6CAD"/>
    <w:rsid w:val="002E6CF8"/>
    <w:rsid w:val="002E6D7D"/>
    <w:rsid w:val="002E6D80"/>
    <w:rsid w:val="002E6F2F"/>
    <w:rsid w:val="002E7265"/>
    <w:rsid w:val="002E72F7"/>
    <w:rsid w:val="002E73EB"/>
    <w:rsid w:val="002E7506"/>
    <w:rsid w:val="002E75AE"/>
    <w:rsid w:val="002E7BC6"/>
    <w:rsid w:val="002E7C31"/>
    <w:rsid w:val="002E7F44"/>
    <w:rsid w:val="002E7FA0"/>
    <w:rsid w:val="002F00C8"/>
    <w:rsid w:val="002F013C"/>
    <w:rsid w:val="002F01C4"/>
    <w:rsid w:val="002F027F"/>
    <w:rsid w:val="002F02A2"/>
    <w:rsid w:val="002F0568"/>
    <w:rsid w:val="002F0679"/>
    <w:rsid w:val="002F0804"/>
    <w:rsid w:val="002F09FD"/>
    <w:rsid w:val="002F0CDD"/>
    <w:rsid w:val="002F0DF9"/>
    <w:rsid w:val="002F0EF2"/>
    <w:rsid w:val="002F1015"/>
    <w:rsid w:val="002F10ED"/>
    <w:rsid w:val="002F12DD"/>
    <w:rsid w:val="002F139D"/>
    <w:rsid w:val="002F14B5"/>
    <w:rsid w:val="002F15D3"/>
    <w:rsid w:val="002F1603"/>
    <w:rsid w:val="002F18A8"/>
    <w:rsid w:val="002F18E0"/>
    <w:rsid w:val="002F1A0D"/>
    <w:rsid w:val="002F1A2C"/>
    <w:rsid w:val="002F1B27"/>
    <w:rsid w:val="002F1D8F"/>
    <w:rsid w:val="002F1E6D"/>
    <w:rsid w:val="002F1EC1"/>
    <w:rsid w:val="002F1F06"/>
    <w:rsid w:val="002F1FBF"/>
    <w:rsid w:val="002F2687"/>
    <w:rsid w:val="002F2705"/>
    <w:rsid w:val="002F28BC"/>
    <w:rsid w:val="002F2AA8"/>
    <w:rsid w:val="002F2AAE"/>
    <w:rsid w:val="002F2C00"/>
    <w:rsid w:val="002F2C02"/>
    <w:rsid w:val="002F2D1C"/>
    <w:rsid w:val="002F300D"/>
    <w:rsid w:val="002F311B"/>
    <w:rsid w:val="002F31D2"/>
    <w:rsid w:val="002F3251"/>
    <w:rsid w:val="002F325E"/>
    <w:rsid w:val="002F32B8"/>
    <w:rsid w:val="002F3682"/>
    <w:rsid w:val="002F3734"/>
    <w:rsid w:val="002F38F4"/>
    <w:rsid w:val="002F44D1"/>
    <w:rsid w:val="002F46AF"/>
    <w:rsid w:val="002F479C"/>
    <w:rsid w:val="002F489E"/>
    <w:rsid w:val="002F4975"/>
    <w:rsid w:val="002F4A29"/>
    <w:rsid w:val="002F4A5D"/>
    <w:rsid w:val="002F4AB4"/>
    <w:rsid w:val="002F4B2E"/>
    <w:rsid w:val="002F4C78"/>
    <w:rsid w:val="002F4D23"/>
    <w:rsid w:val="002F4D55"/>
    <w:rsid w:val="002F4DA0"/>
    <w:rsid w:val="002F4F4D"/>
    <w:rsid w:val="002F4F4E"/>
    <w:rsid w:val="002F4FED"/>
    <w:rsid w:val="002F5017"/>
    <w:rsid w:val="002F50DE"/>
    <w:rsid w:val="002F526E"/>
    <w:rsid w:val="002F52C3"/>
    <w:rsid w:val="002F5362"/>
    <w:rsid w:val="002F53A8"/>
    <w:rsid w:val="002F5471"/>
    <w:rsid w:val="002F5527"/>
    <w:rsid w:val="002F5616"/>
    <w:rsid w:val="002F564A"/>
    <w:rsid w:val="002F5755"/>
    <w:rsid w:val="002F57FE"/>
    <w:rsid w:val="002F590C"/>
    <w:rsid w:val="002F59B9"/>
    <w:rsid w:val="002F5A1D"/>
    <w:rsid w:val="002F5AB8"/>
    <w:rsid w:val="002F5CAB"/>
    <w:rsid w:val="002F5DBA"/>
    <w:rsid w:val="002F5DDE"/>
    <w:rsid w:val="002F60C3"/>
    <w:rsid w:val="002F60F6"/>
    <w:rsid w:val="002F6295"/>
    <w:rsid w:val="002F62A4"/>
    <w:rsid w:val="002F6402"/>
    <w:rsid w:val="002F6527"/>
    <w:rsid w:val="002F65BD"/>
    <w:rsid w:val="002F67CD"/>
    <w:rsid w:val="002F6C24"/>
    <w:rsid w:val="002F6C4C"/>
    <w:rsid w:val="002F6F99"/>
    <w:rsid w:val="002F6FF5"/>
    <w:rsid w:val="002F716B"/>
    <w:rsid w:val="002F72BB"/>
    <w:rsid w:val="002F74FE"/>
    <w:rsid w:val="002F75CF"/>
    <w:rsid w:val="002F7688"/>
    <w:rsid w:val="002F7745"/>
    <w:rsid w:val="002F7A1E"/>
    <w:rsid w:val="002F7A43"/>
    <w:rsid w:val="002F7A52"/>
    <w:rsid w:val="002F7B4F"/>
    <w:rsid w:val="002F7B7B"/>
    <w:rsid w:val="002F7BCB"/>
    <w:rsid w:val="002F7C66"/>
    <w:rsid w:val="002F7CB6"/>
    <w:rsid w:val="002F7E8F"/>
    <w:rsid w:val="003000E4"/>
    <w:rsid w:val="00300160"/>
    <w:rsid w:val="003001AF"/>
    <w:rsid w:val="003002B3"/>
    <w:rsid w:val="00300354"/>
    <w:rsid w:val="00300400"/>
    <w:rsid w:val="00300406"/>
    <w:rsid w:val="00300413"/>
    <w:rsid w:val="003004A4"/>
    <w:rsid w:val="003004D6"/>
    <w:rsid w:val="003004ED"/>
    <w:rsid w:val="0030057B"/>
    <w:rsid w:val="003005C8"/>
    <w:rsid w:val="0030067A"/>
    <w:rsid w:val="0030067C"/>
    <w:rsid w:val="003008D8"/>
    <w:rsid w:val="00300ACB"/>
    <w:rsid w:val="00300C1B"/>
    <w:rsid w:val="00300D76"/>
    <w:rsid w:val="00300D87"/>
    <w:rsid w:val="0030112B"/>
    <w:rsid w:val="00301312"/>
    <w:rsid w:val="0030131C"/>
    <w:rsid w:val="0030137C"/>
    <w:rsid w:val="00301441"/>
    <w:rsid w:val="00301522"/>
    <w:rsid w:val="0030155D"/>
    <w:rsid w:val="003015E3"/>
    <w:rsid w:val="0030181F"/>
    <w:rsid w:val="0030182D"/>
    <w:rsid w:val="00301883"/>
    <w:rsid w:val="00301920"/>
    <w:rsid w:val="00301A1F"/>
    <w:rsid w:val="00301B1A"/>
    <w:rsid w:val="00301FD3"/>
    <w:rsid w:val="00302051"/>
    <w:rsid w:val="003021B4"/>
    <w:rsid w:val="0030238D"/>
    <w:rsid w:val="003023A9"/>
    <w:rsid w:val="00302400"/>
    <w:rsid w:val="00302466"/>
    <w:rsid w:val="003028EE"/>
    <w:rsid w:val="00302F74"/>
    <w:rsid w:val="00302F99"/>
    <w:rsid w:val="003031AE"/>
    <w:rsid w:val="00303411"/>
    <w:rsid w:val="003034DB"/>
    <w:rsid w:val="00303611"/>
    <w:rsid w:val="0030364C"/>
    <w:rsid w:val="003036B3"/>
    <w:rsid w:val="00303730"/>
    <w:rsid w:val="00303783"/>
    <w:rsid w:val="0030383A"/>
    <w:rsid w:val="0030384C"/>
    <w:rsid w:val="00303932"/>
    <w:rsid w:val="003039C7"/>
    <w:rsid w:val="00303A97"/>
    <w:rsid w:val="00303B06"/>
    <w:rsid w:val="00303E95"/>
    <w:rsid w:val="003041E9"/>
    <w:rsid w:val="00304381"/>
    <w:rsid w:val="003043A2"/>
    <w:rsid w:val="00304618"/>
    <w:rsid w:val="00304698"/>
    <w:rsid w:val="003046D9"/>
    <w:rsid w:val="00304728"/>
    <w:rsid w:val="0030477B"/>
    <w:rsid w:val="003047D7"/>
    <w:rsid w:val="003047FF"/>
    <w:rsid w:val="0030482B"/>
    <w:rsid w:val="00304873"/>
    <w:rsid w:val="00304B82"/>
    <w:rsid w:val="00304D59"/>
    <w:rsid w:val="003051DA"/>
    <w:rsid w:val="0030522D"/>
    <w:rsid w:val="003052BD"/>
    <w:rsid w:val="003052D2"/>
    <w:rsid w:val="003052F8"/>
    <w:rsid w:val="003053CB"/>
    <w:rsid w:val="003054A0"/>
    <w:rsid w:val="003054FE"/>
    <w:rsid w:val="00305648"/>
    <w:rsid w:val="00305664"/>
    <w:rsid w:val="00305A15"/>
    <w:rsid w:val="00305A96"/>
    <w:rsid w:val="00305CD9"/>
    <w:rsid w:val="00305DA7"/>
    <w:rsid w:val="00305F62"/>
    <w:rsid w:val="00305F77"/>
    <w:rsid w:val="0030615E"/>
    <w:rsid w:val="003062CF"/>
    <w:rsid w:val="003062FE"/>
    <w:rsid w:val="0030640A"/>
    <w:rsid w:val="0030642C"/>
    <w:rsid w:val="00306447"/>
    <w:rsid w:val="00306496"/>
    <w:rsid w:val="00306728"/>
    <w:rsid w:val="00306805"/>
    <w:rsid w:val="003068C1"/>
    <w:rsid w:val="00306945"/>
    <w:rsid w:val="0030699E"/>
    <w:rsid w:val="00306A38"/>
    <w:rsid w:val="00306CC6"/>
    <w:rsid w:val="00306D60"/>
    <w:rsid w:val="00306F18"/>
    <w:rsid w:val="00306F4C"/>
    <w:rsid w:val="00307158"/>
    <w:rsid w:val="00307228"/>
    <w:rsid w:val="0030736B"/>
    <w:rsid w:val="003073DD"/>
    <w:rsid w:val="0030748A"/>
    <w:rsid w:val="00307516"/>
    <w:rsid w:val="00307BE8"/>
    <w:rsid w:val="00307C0E"/>
    <w:rsid w:val="00307D54"/>
    <w:rsid w:val="00307E93"/>
    <w:rsid w:val="00307EEC"/>
    <w:rsid w:val="00307F6F"/>
    <w:rsid w:val="0031007A"/>
    <w:rsid w:val="003101D1"/>
    <w:rsid w:val="00310288"/>
    <w:rsid w:val="00310296"/>
    <w:rsid w:val="0031035F"/>
    <w:rsid w:val="00310372"/>
    <w:rsid w:val="003104FA"/>
    <w:rsid w:val="00310504"/>
    <w:rsid w:val="003105C6"/>
    <w:rsid w:val="00310671"/>
    <w:rsid w:val="003106EB"/>
    <w:rsid w:val="003107C1"/>
    <w:rsid w:val="00310810"/>
    <w:rsid w:val="00310926"/>
    <w:rsid w:val="0031099A"/>
    <w:rsid w:val="003109E0"/>
    <w:rsid w:val="00310CEA"/>
    <w:rsid w:val="00310D46"/>
    <w:rsid w:val="003112A0"/>
    <w:rsid w:val="0031155F"/>
    <w:rsid w:val="00311657"/>
    <w:rsid w:val="003116D4"/>
    <w:rsid w:val="0031174D"/>
    <w:rsid w:val="00311792"/>
    <w:rsid w:val="003117BE"/>
    <w:rsid w:val="00311EDA"/>
    <w:rsid w:val="00311F7C"/>
    <w:rsid w:val="003120E8"/>
    <w:rsid w:val="003121B3"/>
    <w:rsid w:val="00312269"/>
    <w:rsid w:val="0031229B"/>
    <w:rsid w:val="00312326"/>
    <w:rsid w:val="00312422"/>
    <w:rsid w:val="003125DF"/>
    <w:rsid w:val="0031260B"/>
    <w:rsid w:val="0031264D"/>
    <w:rsid w:val="003127E4"/>
    <w:rsid w:val="003128C1"/>
    <w:rsid w:val="003129BC"/>
    <w:rsid w:val="00312BB4"/>
    <w:rsid w:val="00312BD5"/>
    <w:rsid w:val="00312DEA"/>
    <w:rsid w:val="00312F4E"/>
    <w:rsid w:val="00313269"/>
    <w:rsid w:val="0031338E"/>
    <w:rsid w:val="0031339F"/>
    <w:rsid w:val="003133B5"/>
    <w:rsid w:val="003135AF"/>
    <w:rsid w:val="003138BB"/>
    <w:rsid w:val="00313916"/>
    <w:rsid w:val="0031396A"/>
    <w:rsid w:val="00313B90"/>
    <w:rsid w:val="00313C30"/>
    <w:rsid w:val="00313DC2"/>
    <w:rsid w:val="00313DFD"/>
    <w:rsid w:val="00314086"/>
    <w:rsid w:val="003140CE"/>
    <w:rsid w:val="003141D7"/>
    <w:rsid w:val="0031429E"/>
    <w:rsid w:val="003142D1"/>
    <w:rsid w:val="00314308"/>
    <w:rsid w:val="0031453E"/>
    <w:rsid w:val="003145AC"/>
    <w:rsid w:val="00314720"/>
    <w:rsid w:val="00314740"/>
    <w:rsid w:val="00314832"/>
    <w:rsid w:val="0031483B"/>
    <w:rsid w:val="003148E7"/>
    <w:rsid w:val="003149A8"/>
    <w:rsid w:val="00314A0F"/>
    <w:rsid w:val="00314E5F"/>
    <w:rsid w:val="00314F4C"/>
    <w:rsid w:val="00314FA9"/>
    <w:rsid w:val="00315196"/>
    <w:rsid w:val="003151DA"/>
    <w:rsid w:val="0031522B"/>
    <w:rsid w:val="003153BF"/>
    <w:rsid w:val="003153FC"/>
    <w:rsid w:val="0031545E"/>
    <w:rsid w:val="003154EE"/>
    <w:rsid w:val="003156F2"/>
    <w:rsid w:val="00315911"/>
    <w:rsid w:val="00315ABF"/>
    <w:rsid w:val="00315C33"/>
    <w:rsid w:val="00315CE6"/>
    <w:rsid w:val="00315F1B"/>
    <w:rsid w:val="0031620B"/>
    <w:rsid w:val="003163BA"/>
    <w:rsid w:val="003165C4"/>
    <w:rsid w:val="003165DF"/>
    <w:rsid w:val="003166A5"/>
    <w:rsid w:val="003166BF"/>
    <w:rsid w:val="003167E1"/>
    <w:rsid w:val="00316B90"/>
    <w:rsid w:val="00316C41"/>
    <w:rsid w:val="0031718A"/>
    <w:rsid w:val="003174CB"/>
    <w:rsid w:val="0031761C"/>
    <w:rsid w:val="0031789F"/>
    <w:rsid w:val="00317B2B"/>
    <w:rsid w:val="00317C45"/>
    <w:rsid w:val="00317DA9"/>
    <w:rsid w:val="00317F1B"/>
    <w:rsid w:val="00317FAF"/>
    <w:rsid w:val="00320146"/>
    <w:rsid w:val="003202A1"/>
    <w:rsid w:val="00320318"/>
    <w:rsid w:val="0032042E"/>
    <w:rsid w:val="00320524"/>
    <w:rsid w:val="003206CA"/>
    <w:rsid w:val="0032098A"/>
    <w:rsid w:val="003209D2"/>
    <w:rsid w:val="00320A54"/>
    <w:rsid w:val="00320CFD"/>
    <w:rsid w:val="00320E33"/>
    <w:rsid w:val="00320FAF"/>
    <w:rsid w:val="00321025"/>
    <w:rsid w:val="00321027"/>
    <w:rsid w:val="003211CE"/>
    <w:rsid w:val="0032120E"/>
    <w:rsid w:val="00321278"/>
    <w:rsid w:val="00321361"/>
    <w:rsid w:val="003213B2"/>
    <w:rsid w:val="00321451"/>
    <w:rsid w:val="0032170D"/>
    <w:rsid w:val="00321790"/>
    <w:rsid w:val="00321826"/>
    <w:rsid w:val="00321982"/>
    <w:rsid w:val="00321998"/>
    <w:rsid w:val="00321A1D"/>
    <w:rsid w:val="00321A8C"/>
    <w:rsid w:val="003222BD"/>
    <w:rsid w:val="003223D0"/>
    <w:rsid w:val="0032255B"/>
    <w:rsid w:val="003225E5"/>
    <w:rsid w:val="0032261D"/>
    <w:rsid w:val="0032261E"/>
    <w:rsid w:val="00322658"/>
    <w:rsid w:val="00322893"/>
    <w:rsid w:val="00322927"/>
    <w:rsid w:val="00322CA7"/>
    <w:rsid w:val="00322E37"/>
    <w:rsid w:val="00322E7F"/>
    <w:rsid w:val="00322FA5"/>
    <w:rsid w:val="00323051"/>
    <w:rsid w:val="00323288"/>
    <w:rsid w:val="0032337D"/>
    <w:rsid w:val="003234FA"/>
    <w:rsid w:val="003236D5"/>
    <w:rsid w:val="003238EC"/>
    <w:rsid w:val="00323B77"/>
    <w:rsid w:val="00323BE3"/>
    <w:rsid w:val="00323BF6"/>
    <w:rsid w:val="00323C42"/>
    <w:rsid w:val="00323E46"/>
    <w:rsid w:val="00323EDC"/>
    <w:rsid w:val="00324012"/>
    <w:rsid w:val="003241CF"/>
    <w:rsid w:val="00324233"/>
    <w:rsid w:val="00324362"/>
    <w:rsid w:val="00324379"/>
    <w:rsid w:val="003243C8"/>
    <w:rsid w:val="00324485"/>
    <w:rsid w:val="00324563"/>
    <w:rsid w:val="003245FA"/>
    <w:rsid w:val="00324656"/>
    <w:rsid w:val="003247A2"/>
    <w:rsid w:val="003247E5"/>
    <w:rsid w:val="00324859"/>
    <w:rsid w:val="00324918"/>
    <w:rsid w:val="00324A22"/>
    <w:rsid w:val="00324A6A"/>
    <w:rsid w:val="00324A8E"/>
    <w:rsid w:val="00324A92"/>
    <w:rsid w:val="00324AD0"/>
    <w:rsid w:val="00324B17"/>
    <w:rsid w:val="00324C1F"/>
    <w:rsid w:val="00324D0F"/>
    <w:rsid w:val="00324D7B"/>
    <w:rsid w:val="00325032"/>
    <w:rsid w:val="00325221"/>
    <w:rsid w:val="00325224"/>
    <w:rsid w:val="00325309"/>
    <w:rsid w:val="00325313"/>
    <w:rsid w:val="0032535C"/>
    <w:rsid w:val="0032540B"/>
    <w:rsid w:val="00325456"/>
    <w:rsid w:val="003255A7"/>
    <w:rsid w:val="003256EB"/>
    <w:rsid w:val="0032586C"/>
    <w:rsid w:val="0032589A"/>
    <w:rsid w:val="00325A7C"/>
    <w:rsid w:val="00325CD9"/>
    <w:rsid w:val="00325D3A"/>
    <w:rsid w:val="00325F98"/>
    <w:rsid w:val="00325F9E"/>
    <w:rsid w:val="003260B6"/>
    <w:rsid w:val="00326227"/>
    <w:rsid w:val="0032639C"/>
    <w:rsid w:val="003263DA"/>
    <w:rsid w:val="00326474"/>
    <w:rsid w:val="00326675"/>
    <w:rsid w:val="00326817"/>
    <w:rsid w:val="003268C3"/>
    <w:rsid w:val="003269A2"/>
    <w:rsid w:val="00326CE0"/>
    <w:rsid w:val="003270F1"/>
    <w:rsid w:val="003273D8"/>
    <w:rsid w:val="00327505"/>
    <w:rsid w:val="003276D9"/>
    <w:rsid w:val="003278CB"/>
    <w:rsid w:val="003279E8"/>
    <w:rsid w:val="00327A4C"/>
    <w:rsid w:val="00327B2A"/>
    <w:rsid w:val="00327D03"/>
    <w:rsid w:val="00327E23"/>
    <w:rsid w:val="00327E40"/>
    <w:rsid w:val="00327F3D"/>
    <w:rsid w:val="00327FEB"/>
    <w:rsid w:val="0033001F"/>
    <w:rsid w:val="003300B0"/>
    <w:rsid w:val="00330111"/>
    <w:rsid w:val="00330142"/>
    <w:rsid w:val="00330191"/>
    <w:rsid w:val="0033027A"/>
    <w:rsid w:val="003303F5"/>
    <w:rsid w:val="003304E5"/>
    <w:rsid w:val="003305BB"/>
    <w:rsid w:val="003305E5"/>
    <w:rsid w:val="00330B56"/>
    <w:rsid w:val="00330C7B"/>
    <w:rsid w:val="00330E62"/>
    <w:rsid w:val="00330EE6"/>
    <w:rsid w:val="00330EFF"/>
    <w:rsid w:val="00330F90"/>
    <w:rsid w:val="00331058"/>
    <w:rsid w:val="003311A1"/>
    <w:rsid w:val="00331452"/>
    <w:rsid w:val="0033149A"/>
    <w:rsid w:val="003314B3"/>
    <w:rsid w:val="00331635"/>
    <w:rsid w:val="003318BF"/>
    <w:rsid w:val="00331A13"/>
    <w:rsid w:val="00331C17"/>
    <w:rsid w:val="00331D25"/>
    <w:rsid w:val="00331D60"/>
    <w:rsid w:val="00331DC4"/>
    <w:rsid w:val="00331DE6"/>
    <w:rsid w:val="00331F6A"/>
    <w:rsid w:val="00331F85"/>
    <w:rsid w:val="00331FD5"/>
    <w:rsid w:val="0033201F"/>
    <w:rsid w:val="003321E9"/>
    <w:rsid w:val="0033232B"/>
    <w:rsid w:val="0033239C"/>
    <w:rsid w:val="003324B7"/>
    <w:rsid w:val="003325C0"/>
    <w:rsid w:val="003326F0"/>
    <w:rsid w:val="003327B2"/>
    <w:rsid w:val="003327EE"/>
    <w:rsid w:val="003328CF"/>
    <w:rsid w:val="00332945"/>
    <w:rsid w:val="003329BE"/>
    <w:rsid w:val="00332AE1"/>
    <w:rsid w:val="00332D15"/>
    <w:rsid w:val="00332D7F"/>
    <w:rsid w:val="00332DF2"/>
    <w:rsid w:val="00332F77"/>
    <w:rsid w:val="00332FA7"/>
    <w:rsid w:val="00332FDE"/>
    <w:rsid w:val="00333060"/>
    <w:rsid w:val="003330FF"/>
    <w:rsid w:val="00333107"/>
    <w:rsid w:val="003331E9"/>
    <w:rsid w:val="003331EA"/>
    <w:rsid w:val="00333274"/>
    <w:rsid w:val="0033331F"/>
    <w:rsid w:val="003333ED"/>
    <w:rsid w:val="0033341F"/>
    <w:rsid w:val="00333599"/>
    <w:rsid w:val="003336A9"/>
    <w:rsid w:val="003336F8"/>
    <w:rsid w:val="00333791"/>
    <w:rsid w:val="003337B4"/>
    <w:rsid w:val="003338A6"/>
    <w:rsid w:val="003338FA"/>
    <w:rsid w:val="0033395A"/>
    <w:rsid w:val="00333B46"/>
    <w:rsid w:val="00333D52"/>
    <w:rsid w:val="00333D7A"/>
    <w:rsid w:val="00333FE4"/>
    <w:rsid w:val="0033402B"/>
    <w:rsid w:val="0033413D"/>
    <w:rsid w:val="00334189"/>
    <w:rsid w:val="00334196"/>
    <w:rsid w:val="003342B9"/>
    <w:rsid w:val="00334391"/>
    <w:rsid w:val="003343C1"/>
    <w:rsid w:val="0033454F"/>
    <w:rsid w:val="003345A6"/>
    <w:rsid w:val="003346BB"/>
    <w:rsid w:val="003347EC"/>
    <w:rsid w:val="003348B6"/>
    <w:rsid w:val="00334AD6"/>
    <w:rsid w:val="00334BBE"/>
    <w:rsid w:val="00334DEE"/>
    <w:rsid w:val="00334F92"/>
    <w:rsid w:val="00334FF0"/>
    <w:rsid w:val="0033500D"/>
    <w:rsid w:val="0033518C"/>
    <w:rsid w:val="00335204"/>
    <w:rsid w:val="003352C8"/>
    <w:rsid w:val="00335607"/>
    <w:rsid w:val="00335639"/>
    <w:rsid w:val="003357C2"/>
    <w:rsid w:val="003358BF"/>
    <w:rsid w:val="003358C5"/>
    <w:rsid w:val="00335931"/>
    <w:rsid w:val="00335948"/>
    <w:rsid w:val="00335B8F"/>
    <w:rsid w:val="00335D7E"/>
    <w:rsid w:val="00335DA0"/>
    <w:rsid w:val="00335EEE"/>
    <w:rsid w:val="0033624F"/>
    <w:rsid w:val="00336364"/>
    <w:rsid w:val="00336536"/>
    <w:rsid w:val="0033659E"/>
    <w:rsid w:val="003365EF"/>
    <w:rsid w:val="00336624"/>
    <w:rsid w:val="0033679F"/>
    <w:rsid w:val="00336804"/>
    <w:rsid w:val="00336866"/>
    <w:rsid w:val="00336904"/>
    <w:rsid w:val="00336A31"/>
    <w:rsid w:val="00336C37"/>
    <w:rsid w:val="00336E27"/>
    <w:rsid w:val="00336EB2"/>
    <w:rsid w:val="00336FFC"/>
    <w:rsid w:val="00337054"/>
    <w:rsid w:val="003371AC"/>
    <w:rsid w:val="00337381"/>
    <w:rsid w:val="00337671"/>
    <w:rsid w:val="003376F7"/>
    <w:rsid w:val="00337705"/>
    <w:rsid w:val="00337924"/>
    <w:rsid w:val="00337937"/>
    <w:rsid w:val="00337B90"/>
    <w:rsid w:val="00337C7F"/>
    <w:rsid w:val="00337D06"/>
    <w:rsid w:val="00337DD4"/>
    <w:rsid w:val="00337FC3"/>
    <w:rsid w:val="00337FD1"/>
    <w:rsid w:val="00340085"/>
    <w:rsid w:val="00340239"/>
    <w:rsid w:val="00340609"/>
    <w:rsid w:val="00340A2F"/>
    <w:rsid w:val="00340BA1"/>
    <w:rsid w:val="00340BC0"/>
    <w:rsid w:val="00340C96"/>
    <w:rsid w:val="00340E7D"/>
    <w:rsid w:val="00340EC2"/>
    <w:rsid w:val="0034134C"/>
    <w:rsid w:val="00341359"/>
    <w:rsid w:val="003416EB"/>
    <w:rsid w:val="003418D4"/>
    <w:rsid w:val="00341A61"/>
    <w:rsid w:val="00341BBF"/>
    <w:rsid w:val="00341BF4"/>
    <w:rsid w:val="00341C48"/>
    <w:rsid w:val="00341F61"/>
    <w:rsid w:val="00341FA1"/>
    <w:rsid w:val="0034201C"/>
    <w:rsid w:val="0034202B"/>
    <w:rsid w:val="00342045"/>
    <w:rsid w:val="00342069"/>
    <w:rsid w:val="003420AE"/>
    <w:rsid w:val="003425F1"/>
    <w:rsid w:val="003427E6"/>
    <w:rsid w:val="00342B34"/>
    <w:rsid w:val="00342B48"/>
    <w:rsid w:val="00342B76"/>
    <w:rsid w:val="00342C26"/>
    <w:rsid w:val="00342C53"/>
    <w:rsid w:val="00342F87"/>
    <w:rsid w:val="00342FE8"/>
    <w:rsid w:val="00343013"/>
    <w:rsid w:val="0034304B"/>
    <w:rsid w:val="003430B0"/>
    <w:rsid w:val="003431B4"/>
    <w:rsid w:val="003434C8"/>
    <w:rsid w:val="00343579"/>
    <w:rsid w:val="00343787"/>
    <w:rsid w:val="00343ABA"/>
    <w:rsid w:val="00343B49"/>
    <w:rsid w:val="00343B9B"/>
    <w:rsid w:val="00343C0A"/>
    <w:rsid w:val="00343C33"/>
    <w:rsid w:val="00343E00"/>
    <w:rsid w:val="00343F09"/>
    <w:rsid w:val="00343F1E"/>
    <w:rsid w:val="00343F81"/>
    <w:rsid w:val="00344074"/>
    <w:rsid w:val="003441DB"/>
    <w:rsid w:val="0034436F"/>
    <w:rsid w:val="00344450"/>
    <w:rsid w:val="00344550"/>
    <w:rsid w:val="00344849"/>
    <w:rsid w:val="00344950"/>
    <w:rsid w:val="00344A85"/>
    <w:rsid w:val="00344AE3"/>
    <w:rsid w:val="00344D5D"/>
    <w:rsid w:val="00344D75"/>
    <w:rsid w:val="00344EC1"/>
    <w:rsid w:val="00344F93"/>
    <w:rsid w:val="00344FDF"/>
    <w:rsid w:val="00344FE4"/>
    <w:rsid w:val="003454D9"/>
    <w:rsid w:val="00345546"/>
    <w:rsid w:val="00345587"/>
    <w:rsid w:val="003456B5"/>
    <w:rsid w:val="003458A6"/>
    <w:rsid w:val="003459D6"/>
    <w:rsid w:val="003459F9"/>
    <w:rsid w:val="00345A0F"/>
    <w:rsid w:val="00345B3D"/>
    <w:rsid w:val="00345C7F"/>
    <w:rsid w:val="00345EAC"/>
    <w:rsid w:val="00345EE8"/>
    <w:rsid w:val="00345F91"/>
    <w:rsid w:val="00345F92"/>
    <w:rsid w:val="003460A9"/>
    <w:rsid w:val="003460C1"/>
    <w:rsid w:val="00346183"/>
    <w:rsid w:val="003461E0"/>
    <w:rsid w:val="0034637D"/>
    <w:rsid w:val="0034642D"/>
    <w:rsid w:val="00346760"/>
    <w:rsid w:val="003469C9"/>
    <w:rsid w:val="00346AB8"/>
    <w:rsid w:val="00346ABF"/>
    <w:rsid w:val="00346BD3"/>
    <w:rsid w:val="00346CB5"/>
    <w:rsid w:val="00346D2C"/>
    <w:rsid w:val="00346DFA"/>
    <w:rsid w:val="00346E06"/>
    <w:rsid w:val="00346E98"/>
    <w:rsid w:val="00346F3A"/>
    <w:rsid w:val="00346F47"/>
    <w:rsid w:val="0034703B"/>
    <w:rsid w:val="003471A2"/>
    <w:rsid w:val="003472DF"/>
    <w:rsid w:val="003473E4"/>
    <w:rsid w:val="003474EE"/>
    <w:rsid w:val="0034754B"/>
    <w:rsid w:val="00347696"/>
    <w:rsid w:val="00347727"/>
    <w:rsid w:val="00347959"/>
    <w:rsid w:val="00347A3E"/>
    <w:rsid w:val="00347B16"/>
    <w:rsid w:val="00347ECF"/>
    <w:rsid w:val="0035007F"/>
    <w:rsid w:val="0035018A"/>
    <w:rsid w:val="003501AC"/>
    <w:rsid w:val="003501EE"/>
    <w:rsid w:val="003502A8"/>
    <w:rsid w:val="00350313"/>
    <w:rsid w:val="00350349"/>
    <w:rsid w:val="003503AF"/>
    <w:rsid w:val="0035048E"/>
    <w:rsid w:val="00350864"/>
    <w:rsid w:val="0035097E"/>
    <w:rsid w:val="003509D7"/>
    <w:rsid w:val="00350A5C"/>
    <w:rsid w:val="00350B9E"/>
    <w:rsid w:val="00350E34"/>
    <w:rsid w:val="00351024"/>
    <w:rsid w:val="0035106C"/>
    <w:rsid w:val="003510AE"/>
    <w:rsid w:val="00351238"/>
    <w:rsid w:val="0035123C"/>
    <w:rsid w:val="0035128B"/>
    <w:rsid w:val="0035129F"/>
    <w:rsid w:val="0035145C"/>
    <w:rsid w:val="003514DC"/>
    <w:rsid w:val="00351517"/>
    <w:rsid w:val="003515F0"/>
    <w:rsid w:val="00351792"/>
    <w:rsid w:val="0035187A"/>
    <w:rsid w:val="0035189C"/>
    <w:rsid w:val="00351976"/>
    <w:rsid w:val="00351BE3"/>
    <w:rsid w:val="00351EEB"/>
    <w:rsid w:val="00351FA4"/>
    <w:rsid w:val="003520DC"/>
    <w:rsid w:val="00352335"/>
    <w:rsid w:val="003523E2"/>
    <w:rsid w:val="003523FC"/>
    <w:rsid w:val="003526CF"/>
    <w:rsid w:val="00352736"/>
    <w:rsid w:val="00352B5A"/>
    <w:rsid w:val="003530D1"/>
    <w:rsid w:val="00353313"/>
    <w:rsid w:val="00353344"/>
    <w:rsid w:val="00353404"/>
    <w:rsid w:val="00353457"/>
    <w:rsid w:val="00353766"/>
    <w:rsid w:val="003537A7"/>
    <w:rsid w:val="003537E3"/>
    <w:rsid w:val="00353932"/>
    <w:rsid w:val="00353ACC"/>
    <w:rsid w:val="00353ADC"/>
    <w:rsid w:val="00353AE7"/>
    <w:rsid w:val="00353BE4"/>
    <w:rsid w:val="00353DEA"/>
    <w:rsid w:val="0035408B"/>
    <w:rsid w:val="00354252"/>
    <w:rsid w:val="0035444D"/>
    <w:rsid w:val="00354611"/>
    <w:rsid w:val="0035461E"/>
    <w:rsid w:val="0035461F"/>
    <w:rsid w:val="003546CA"/>
    <w:rsid w:val="0035476C"/>
    <w:rsid w:val="003547EF"/>
    <w:rsid w:val="003547F7"/>
    <w:rsid w:val="00354871"/>
    <w:rsid w:val="0035488D"/>
    <w:rsid w:val="00354B75"/>
    <w:rsid w:val="00354CC4"/>
    <w:rsid w:val="00354D68"/>
    <w:rsid w:val="00354DB5"/>
    <w:rsid w:val="00354E56"/>
    <w:rsid w:val="003550CD"/>
    <w:rsid w:val="003551AD"/>
    <w:rsid w:val="003551C9"/>
    <w:rsid w:val="003551E7"/>
    <w:rsid w:val="003552F9"/>
    <w:rsid w:val="0035542E"/>
    <w:rsid w:val="00355434"/>
    <w:rsid w:val="00355810"/>
    <w:rsid w:val="00355818"/>
    <w:rsid w:val="00355918"/>
    <w:rsid w:val="00355B69"/>
    <w:rsid w:val="00355D08"/>
    <w:rsid w:val="00355D34"/>
    <w:rsid w:val="00355E38"/>
    <w:rsid w:val="00355EFC"/>
    <w:rsid w:val="00355F55"/>
    <w:rsid w:val="00356026"/>
    <w:rsid w:val="003560DE"/>
    <w:rsid w:val="0035619C"/>
    <w:rsid w:val="003561EB"/>
    <w:rsid w:val="00356202"/>
    <w:rsid w:val="00356470"/>
    <w:rsid w:val="0035674A"/>
    <w:rsid w:val="003568AB"/>
    <w:rsid w:val="00356AAA"/>
    <w:rsid w:val="00356CC7"/>
    <w:rsid w:val="00357059"/>
    <w:rsid w:val="00357183"/>
    <w:rsid w:val="003571BE"/>
    <w:rsid w:val="0035754E"/>
    <w:rsid w:val="0035756D"/>
    <w:rsid w:val="00357604"/>
    <w:rsid w:val="00357621"/>
    <w:rsid w:val="00357745"/>
    <w:rsid w:val="00357762"/>
    <w:rsid w:val="003577DC"/>
    <w:rsid w:val="0035785A"/>
    <w:rsid w:val="00357880"/>
    <w:rsid w:val="00357A4E"/>
    <w:rsid w:val="00357B30"/>
    <w:rsid w:val="00357B55"/>
    <w:rsid w:val="00357C0B"/>
    <w:rsid w:val="00357F0B"/>
    <w:rsid w:val="00357FEE"/>
    <w:rsid w:val="00360578"/>
    <w:rsid w:val="00360636"/>
    <w:rsid w:val="00360790"/>
    <w:rsid w:val="00360B7E"/>
    <w:rsid w:val="00360BEA"/>
    <w:rsid w:val="00360F55"/>
    <w:rsid w:val="0036118F"/>
    <w:rsid w:val="00361333"/>
    <w:rsid w:val="00361375"/>
    <w:rsid w:val="003613F9"/>
    <w:rsid w:val="003614F6"/>
    <w:rsid w:val="00361538"/>
    <w:rsid w:val="003615B0"/>
    <w:rsid w:val="003616CE"/>
    <w:rsid w:val="0036173F"/>
    <w:rsid w:val="00361958"/>
    <w:rsid w:val="00361A31"/>
    <w:rsid w:val="00361AF0"/>
    <w:rsid w:val="00361B3E"/>
    <w:rsid w:val="00361B5F"/>
    <w:rsid w:val="00361E67"/>
    <w:rsid w:val="00361FB7"/>
    <w:rsid w:val="00361FFD"/>
    <w:rsid w:val="0036206B"/>
    <w:rsid w:val="00362277"/>
    <w:rsid w:val="0036232C"/>
    <w:rsid w:val="00362447"/>
    <w:rsid w:val="003624A4"/>
    <w:rsid w:val="00362503"/>
    <w:rsid w:val="00362590"/>
    <w:rsid w:val="003625C7"/>
    <w:rsid w:val="0036285C"/>
    <w:rsid w:val="0036291E"/>
    <w:rsid w:val="00362B63"/>
    <w:rsid w:val="00362B70"/>
    <w:rsid w:val="00362D01"/>
    <w:rsid w:val="00362D94"/>
    <w:rsid w:val="00362E5F"/>
    <w:rsid w:val="00362EEE"/>
    <w:rsid w:val="0036308D"/>
    <w:rsid w:val="003630D0"/>
    <w:rsid w:val="00363390"/>
    <w:rsid w:val="00363548"/>
    <w:rsid w:val="00363628"/>
    <w:rsid w:val="00363682"/>
    <w:rsid w:val="003638DC"/>
    <w:rsid w:val="00363BD3"/>
    <w:rsid w:val="00363F93"/>
    <w:rsid w:val="00364061"/>
    <w:rsid w:val="00364083"/>
    <w:rsid w:val="00364379"/>
    <w:rsid w:val="003643C3"/>
    <w:rsid w:val="0036446A"/>
    <w:rsid w:val="0036456C"/>
    <w:rsid w:val="003645E4"/>
    <w:rsid w:val="003646AB"/>
    <w:rsid w:val="00364792"/>
    <w:rsid w:val="00364926"/>
    <w:rsid w:val="00364B5A"/>
    <w:rsid w:val="00364D62"/>
    <w:rsid w:val="00364DFB"/>
    <w:rsid w:val="00365099"/>
    <w:rsid w:val="0036519D"/>
    <w:rsid w:val="003651DF"/>
    <w:rsid w:val="00365366"/>
    <w:rsid w:val="00365499"/>
    <w:rsid w:val="003655E5"/>
    <w:rsid w:val="0036562B"/>
    <w:rsid w:val="0036574E"/>
    <w:rsid w:val="0036578B"/>
    <w:rsid w:val="00365912"/>
    <w:rsid w:val="00365A0E"/>
    <w:rsid w:val="00365CCF"/>
    <w:rsid w:val="00365D36"/>
    <w:rsid w:val="00365D88"/>
    <w:rsid w:val="00365FE2"/>
    <w:rsid w:val="00366001"/>
    <w:rsid w:val="00366016"/>
    <w:rsid w:val="003660FD"/>
    <w:rsid w:val="0036639C"/>
    <w:rsid w:val="00366604"/>
    <w:rsid w:val="00366659"/>
    <w:rsid w:val="0036669A"/>
    <w:rsid w:val="0036673A"/>
    <w:rsid w:val="003667E6"/>
    <w:rsid w:val="00366830"/>
    <w:rsid w:val="00366AC9"/>
    <w:rsid w:val="00366BEB"/>
    <w:rsid w:val="00366C81"/>
    <w:rsid w:val="00366D13"/>
    <w:rsid w:val="00366E86"/>
    <w:rsid w:val="00367209"/>
    <w:rsid w:val="003672C9"/>
    <w:rsid w:val="00367524"/>
    <w:rsid w:val="0036752A"/>
    <w:rsid w:val="00367589"/>
    <w:rsid w:val="003676F9"/>
    <w:rsid w:val="00367932"/>
    <w:rsid w:val="003679A8"/>
    <w:rsid w:val="00367A9C"/>
    <w:rsid w:val="00367EEC"/>
    <w:rsid w:val="003700C0"/>
    <w:rsid w:val="00370584"/>
    <w:rsid w:val="00370690"/>
    <w:rsid w:val="003706FC"/>
    <w:rsid w:val="003709BA"/>
    <w:rsid w:val="00370B8E"/>
    <w:rsid w:val="00370C09"/>
    <w:rsid w:val="00370F32"/>
    <w:rsid w:val="0037122A"/>
    <w:rsid w:val="0037132A"/>
    <w:rsid w:val="00371389"/>
    <w:rsid w:val="0037138E"/>
    <w:rsid w:val="0037152B"/>
    <w:rsid w:val="003715ED"/>
    <w:rsid w:val="003716AE"/>
    <w:rsid w:val="00371813"/>
    <w:rsid w:val="003718C2"/>
    <w:rsid w:val="00371A2F"/>
    <w:rsid w:val="00371AFA"/>
    <w:rsid w:val="00371C05"/>
    <w:rsid w:val="00371D62"/>
    <w:rsid w:val="00371E52"/>
    <w:rsid w:val="00371E8E"/>
    <w:rsid w:val="00371F1A"/>
    <w:rsid w:val="00371FED"/>
    <w:rsid w:val="003722F8"/>
    <w:rsid w:val="0037264F"/>
    <w:rsid w:val="003727AD"/>
    <w:rsid w:val="003727C5"/>
    <w:rsid w:val="003728C2"/>
    <w:rsid w:val="00372956"/>
    <w:rsid w:val="00372B17"/>
    <w:rsid w:val="00372B42"/>
    <w:rsid w:val="00372BD5"/>
    <w:rsid w:val="00372BDB"/>
    <w:rsid w:val="00372C44"/>
    <w:rsid w:val="00372D0B"/>
    <w:rsid w:val="00372DFD"/>
    <w:rsid w:val="00372E8E"/>
    <w:rsid w:val="00372F7B"/>
    <w:rsid w:val="00373058"/>
    <w:rsid w:val="003731B9"/>
    <w:rsid w:val="003731E4"/>
    <w:rsid w:val="003733C6"/>
    <w:rsid w:val="0037365F"/>
    <w:rsid w:val="003736C9"/>
    <w:rsid w:val="003736FA"/>
    <w:rsid w:val="00373710"/>
    <w:rsid w:val="00373713"/>
    <w:rsid w:val="003737ED"/>
    <w:rsid w:val="00373836"/>
    <w:rsid w:val="00373B08"/>
    <w:rsid w:val="00373BA6"/>
    <w:rsid w:val="00373BFD"/>
    <w:rsid w:val="00373D5A"/>
    <w:rsid w:val="00374031"/>
    <w:rsid w:val="003741FE"/>
    <w:rsid w:val="00374312"/>
    <w:rsid w:val="00374378"/>
    <w:rsid w:val="00374587"/>
    <w:rsid w:val="0037466C"/>
    <w:rsid w:val="00374739"/>
    <w:rsid w:val="003749D3"/>
    <w:rsid w:val="00374A7E"/>
    <w:rsid w:val="00374AA8"/>
    <w:rsid w:val="00374CE0"/>
    <w:rsid w:val="00374D2E"/>
    <w:rsid w:val="00374E64"/>
    <w:rsid w:val="003750C3"/>
    <w:rsid w:val="0037513D"/>
    <w:rsid w:val="003752D7"/>
    <w:rsid w:val="0037531F"/>
    <w:rsid w:val="00375411"/>
    <w:rsid w:val="00375547"/>
    <w:rsid w:val="0037571C"/>
    <w:rsid w:val="0037574D"/>
    <w:rsid w:val="0037580F"/>
    <w:rsid w:val="00375821"/>
    <w:rsid w:val="00375996"/>
    <w:rsid w:val="00375B09"/>
    <w:rsid w:val="00375B51"/>
    <w:rsid w:val="00375B99"/>
    <w:rsid w:val="00375C45"/>
    <w:rsid w:val="00375C68"/>
    <w:rsid w:val="00375F1B"/>
    <w:rsid w:val="00375F41"/>
    <w:rsid w:val="00375FA8"/>
    <w:rsid w:val="00375FDD"/>
    <w:rsid w:val="003761CE"/>
    <w:rsid w:val="003762D4"/>
    <w:rsid w:val="00376487"/>
    <w:rsid w:val="0037653A"/>
    <w:rsid w:val="00376927"/>
    <w:rsid w:val="00376932"/>
    <w:rsid w:val="00376C83"/>
    <w:rsid w:val="00376CC9"/>
    <w:rsid w:val="00376FA5"/>
    <w:rsid w:val="00377064"/>
    <w:rsid w:val="003771C6"/>
    <w:rsid w:val="003776A6"/>
    <w:rsid w:val="00377706"/>
    <w:rsid w:val="00377A84"/>
    <w:rsid w:val="00377B3F"/>
    <w:rsid w:val="00377CBD"/>
    <w:rsid w:val="00377CCB"/>
    <w:rsid w:val="00377D24"/>
    <w:rsid w:val="00377D7B"/>
    <w:rsid w:val="00377E21"/>
    <w:rsid w:val="00377ED0"/>
    <w:rsid w:val="00377EF8"/>
    <w:rsid w:val="00377F70"/>
    <w:rsid w:val="00380122"/>
    <w:rsid w:val="003801C3"/>
    <w:rsid w:val="00380370"/>
    <w:rsid w:val="00380388"/>
    <w:rsid w:val="00380412"/>
    <w:rsid w:val="00380449"/>
    <w:rsid w:val="003805E8"/>
    <w:rsid w:val="0038096C"/>
    <w:rsid w:val="00380C96"/>
    <w:rsid w:val="00380D7A"/>
    <w:rsid w:val="00380D84"/>
    <w:rsid w:val="00380DE8"/>
    <w:rsid w:val="00380EF7"/>
    <w:rsid w:val="00381403"/>
    <w:rsid w:val="003817E5"/>
    <w:rsid w:val="0038184B"/>
    <w:rsid w:val="00381856"/>
    <w:rsid w:val="003819A4"/>
    <w:rsid w:val="003819B0"/>
    <w:rsid w:val="00381A49"/>
    <w:rsid w:val="00381BAB"/>
    <w:rsid w:val="00381CB4"/>
    <w:rsid w:val="00381CD5"/>
    <w:rsid w:val="00381EC0"/>
    <w:rsid w:val="00381FBE"/>
    <w:rsid w:val="003820ED"/>
    <w:rsid w:val="00382155"/>
    <w:rsid w:val="003821EF"/>
    <w:rsid w:val="0038220C"/>
    <w:rsid w:val="00382249"/>
    <w:rsid w:val="003823E0"/>
    <w:rsid w:val="003827A0"/>
    <w:rsid w:val="00382805"/>
    <w:rsid w:val="00382BA2"/>
    <w:rsid w:val="00382CE2"/>
    <w:rsid w:val="00382D9C"/>
    <w:rsid w:val="00382DBC"/>
    <w:rsid w:val="00382ECD"/>
    <w:rsid w:val="00382F95"/>
    <w:rsid w:val="00382FB3"/>
    <w:rsid w:val="00382FF3"/>
    <w:rsid w:val="003832F7"/>
    <w:rsid w:val="00383304"/>
    <w:rsid w:val="00383320"/>
    <w:rsid w:val="00383536"/>
    <w:rsid w:val="003839EC"/>
    <w:rsid w:val="00383B1A"/>
    <w:rsid w:val="00383D4E"/>
    <w:rsid w:val="00383D6A"/>
    <w:rsid w:val="00383E41"/>
    <w:rsid w:val="00383F3E"/>
    <w:rsid w:val="00384263"/>
    <w:rsid w:val="003842DB"/>
    <w:rsid w:val="003843A4"/>
    <w:rsid w:val="00384924"/>
    <w:rsid w:val="003849C3"/>
    <w:rsid w:val="00384BD0"/>
    <w:rsid w:val="00384D0F"/>
    <w:rsid w:val="00384FF3"/>
    <w:rsid w:val="00384FF5"/>
    <w:rsid w:val="0038505C"/>
    <w:rsid w:val="003850FF"/>
    <w:rsid w:val="00385123"/>
    <w:rsid w:val="0038525C"/>
    <w:rsid w:val="003852E5"/>
    <w:rsid w:val="00385389"/>
    <w:rsid w:val="00385629"/>
    <w:rsid w:val="0038587A"/>
    <w:rsid w:val="0038587C"/>
    <w:rsid w:val="0038594D"/>
    <w:rsid w:val="00385997"/>
    <w:rsid w:val="00385A5F"/>
    <w:rsid w:val="00385A60"/>
    <w:rsid w:val="00385E78"/>
    <w:rsid w:val="00386058"/>
    <w:rsid w:val="0038609B"/>
    <w:rsid w:val="0038614C"/>
    <w:rsid w:val="0038614D"/>
    <w:rsid w:val="0038628F"/>
    <w:rsid w:val="003863D5"/>
    <w:rsid w:val="003864C0"/>
    <w:rsid w:val="003866D6"/>
    <w:rsid w:val="003866F7"/>
    <w:rsid w:val="00386726"/>
    <w:rsid w:val="00386C89"/>
    <w:rsid w:val="00386FC0"/>
    <w:rsid w:val="003873AA"/>
    <w:rsid w:val="00387442"/>
    <w:rsid w:val="0038761E"/>
    <w:rsid w:val="00387724"/>
    <w:rsid w:val="003878F9"/>
    <w:rsid w:val="0038792E"/>
    <w:rsid w:val="003879C8"/>
    <w:rsid w:val="003879CA"/>
    <w:rsid w:val="00387A5C"/>
    <w:rsid w:val="00387C84"/>
    <w:rsid w:val="003902E3"/>
    <w:rsid w:val="00390427"/>
    <w:rsid w:val="003905AC"/>
    <w:rsid w:val="00390780"/>
    <w:rsid w:val="003907A9"/>
    <w:rsid w:val="003907CF"/>
    <w:rsid w:val="003907DB"/>
    <w:rsid w:val="00390878"/>
    <w:rsid w:val="00390898"/>
    <w:rsid w:val="00390B14"/>
    <w:rsid w:val="00390B8C"/>
    <w:rsid w:val="00390BC8"/>
    <w:rsid w:val="00390BF8"/>
    <w:rsid w:val="00390D9A"/>
    <w:rsid w:val="00390EB9"/>
    <w:rsid w:val="00390F00"/>
    <w:rsid w:val="00390FE1"/>
    <w:rsid w:val="0039146B"/>
    <w:rsid w:val="00391485"/>
    <w:rsid w:val="003914CD"/>
    <w:rsid w:val="00391513"/>
    <w:rsid w:val="0039158E"/>
    <w:rsid w:val="00391643"/>
    <w:rsid w:val="003918BA"/>
    <w:rsid w:val="0039193F"/>
    <w:rsid w:val="00391A42"/>
    <w:rsid w:val="00391ABC"/>
    <w:rsid w:val="00391C3D"/>
    <w:rsid w:val="00391C92"/>
    <w:rsid w:val="0039202D"/>
    <w:rsid w:val="0039216E"/>
    <w:rsid w:val="0039229C"/>
    <w:rsid w:val="003923C4"/>
    <w:rsid w:val="0039260B"/>
    <w:rsid w:val="00392682"/>
    <w:rsid w:val="003928EE"/>
    <w:rsid w:val="00392CA3"/>
    <w:rsid w:val="00392CF0"/>
    <w:rsid w:val="00392E35"/>
    <w:rsid w:val="00392EA9"/>
    <w:rsid w:val="0039310A"/>
    <w:rsid w:val="00393203"/>
    <w:rsid w:val="003934F0"/>
    <w:rsid w:val="003936EF"/>
    <w:rsid w:val="00393702"/>
    <w:rsid w:val="00393840"/>
    <w:rsid w:val="003938C9"/>
    <w:rsid w:val="003941FE"/>
    <w:rsid w:val="003943DF"/>
    <w:rsid w:val="0039460F"/>
    <w:rsid w:val="00394615"/>
    <w:rsid w:val="003946B9"/>
    <w:rsid w:val="003946CB"/>
    <w:rsid w:val="00394AC3"/>
    <w:rsid w:val="00394BED"/>
    <w:rsid w:val="00394C5E"/>
    <w:rsid w:val="00394DB8"/>
    <w:rsid w:val="00394F17"/>
    <w:rsid w:val="00394FC5"/>
    <w:rsid w:val="00394FE7"/>
    <w:rsid w:val="00395114"/>
    <w:rsid w:val="0039515D"/>
    <w:rsid w:val="003951B3"/>
    <w:rsid w:val="00395268"/>
    <w:rsid w:val="003955CF"/>
    <w:rsid w:val="0039599B"/>
    <w:rsid w:val="00395B4B"/>
    <w:rsid w:val="00395C44"/>
    <w:rsid w:val="00395E49"/>
    <w:rsid w:val="00395F1E"/>
    <w:rsid w:val="00395F26"/>
    <w:rsid w:val="0039618E"/>
    <w:rsid w:val="00396273"/>
    <w:rsid w:val="003963E1"/>
    <w:rsid w:val="0039658B"/>
    <w:rsid w:val="00396652"/>
    <w:rsid w:val="00396723"/>
    <w:rsid w:val="00396780"/>
    <w:rsid w:val="003968F3"/>
    <w:rsid w:val="00396970"/>
    <w:rsid w:val="00396A68"/>
    <w:rsid w:val="00396AAA"/>
    <w:rsid w:val="00396C51"/>
    <w:rsid w:val="00396C57"/>
    <w:rsid w:val="00396D71"/>
    <w:rsid w:val="00397026"/>
    <w:rsid w:val="00397279"/>
    <w:rsid w:val="00397299"/>
    <w:rsid w:val="003972E6"/>
    <w:rsid w:val="003973FB"/>
    <w:rsid w:val="003975EB"/>
    <w:rsid w:val="0039768C"/>
    <w:rsid w:val="003976BE"/>
    <w:rsid w:val="003976FB"/>
    <w:rsid w:val="003978DB"/>
    <w:rsid w:val="003979A3"/>
    <w:rsid w:val="003979BB"/>
    <w:rsid w:val="003979FA"/>
    <w:rsid w:val="00397A57"/>
    <w:rsid w:val="00397AE3"/>
    <w:rsid w:val="00397C08"/>
    <w:rsid w:val="00397C5F"/>
    <w:rsid w:val="00397E21"/>
    <w:rsid w:val="00397E3B"/>
    <w:rsid w:val="00397F2C"/>
    <w:rsid w:val="003A00C6"/>
    <w:rsid w:val="003A00ED"/>
    <w:rsid w:val="003A01BA"/>
    <w:rsid w:val="003A01ED"/>
    <w:rsid w:val="003A05EB"/>
    <w:rsid w:val="003A0688"/>
    <w:rsid w:val="003A071B"/>
    <w:rsid w:val="003A07A4"/>
    <w:rsid w:val="003A0814"/>
    <w:rsid w:val="003A0B1B"/>
    <w:rsid w:val="003A0DFF"/>
    <w:rsid w:val="003A0E33"/>
    <w:rsid w:val="003A0F8B"/>
    <w:rsid w:val="003A0FC2"/>
    <w:rsid w:val="003A11F4"/>
    <w:rsid w:val="003A159D"/>
    <w:rsid w:val="003A1619"/>
    <w:rsid w:val="003A17DA"/>
    <w:rsid w:val="003A1890"/>
    <w:rsid w:val="003A1BBF"/>
    <w:rsid w:val="003A1BCD"/>
    <w:rsid w:val="003A1DE0"/>
    <w:rsid w:val="003A2023"/>
    <w:rsid w:val="003A202A"/>
    <w:rsid w:val="003A22CA"/>
    <w:rsid w:val="003A2400"/>
    <w:rsid w:val="003A25D1"/>
    <w:rsid w:val="003A25E8"/>
    <w:rsid w:val="003A26B7"/>
    <w:rsid w:val="003A26C0"/>
    <w:rsid w:val="003A2753"/>
    <w:rsid w:val="003A290D"/>
    <w:rsid w:val="003A2E1B"/>
    <w:rsid w:val="003A2E8C"/>
    <w:rsid w:val="003A314C"/>
    <w:rsid w:val="003A31E6"/>
    <w:rsid w:val="003A360D"/>
    <w:rsid w:val="003A3668"/>
    <w:rsid w:val="003A370B"/>
    <w:rsid w:val="003A3742"/>
    <w:rsid w:val="003A379C"/>
    <w:rsid w:val="003A3CB4"/>
    <w:rsid w:val="003A3E44"/>
    <w:rsid w:val="003A3F6D"/>
    <w:rsid w:val="003A4101"/>
    <w:rsid w:val="003A417B"/>
    <w:rsid w:val="003A44D4"/>
    <w:rsid w:val="003A4817"/>
    <w:rsid w:val="003A4A75"/>
    <w:rsid w:val="003A4DF2"/>
    <w:rsid w:val="003A5270"/>
    <w:rsid w:val="003A5525"/>
    <w:rsid w:val="003A5574"/>
    <w:rsid w:val="003A57CF"/>
    <w:rsid w:val="003A5965"/>
    <w:rsid w:val="003A5AA2"/>
    <w:rsid w:val="003A5B7D"/>
    <w:rsid w:val="003A5BC2"/>
    <w:rsid w:val="003A611E"/>
    <w:rsid w:val="003A61BE"/>
    <w:rsid w:val="003A61FE"/>
    <w:rsid w:val="003A620B"/>
    <w:rsid w:val="003A638F"/>
    <w:rsid w:val="003A6490"/>
    <w:rsid w:val="003A6536"/>
    <w:rsid w:val="003A68F2"/>
    <w:rsid w:val="003A6A40"/>
    <w:rsid w:val="003A6A9B"/>
    <w:rsid w:val="003A6C25"/>
    <w:rsid w:val="003A7092"/>
    <w:rsid w:val="003A70E8"/>
    <w:rsid w:val="003A723F"/>
    <w:rsid w:val="003A72D2"/>
    <w:rsid w:val="003A741F"/>
    <w:rsid w:val="003A74CA"/>
    <w:rsid w:val="003A7555"/>
    <w:rsid w:val="003A7A1B"/>
    <w:rsid w:val="003A7A8C"/>
    <w:rsid w:val="003A7B74"/>
    <w:rsid w:val="003B006F"/>
    <w:rsid w:val="003B0146"/>
    <w:rsid w:val="003B0459"/>
    <w:rsid w:val="003B0576"/>
    <w:rsid w:val="003B0643"/>
    <w:rsid w:val="003B0785"/>
    <w:rsid w:val="003B0829"/>
    <w:rsid w:val="003B0A56"/>
    <w:rsid w:val="003B0ABE"/>
    <w:rsid w:val="003B0B79"/>
    <w:rsid w:val="003B0BB9"/>
    <w:rsid w:val="003B0C0C"/>
    <w:rsid w:val="003B0F4C"/>
    <w:rsid w:val="003B10CF"/>
    <w:rsid w:val="003B10E3"/>
    <w:rsid w:val="003B11E0"/>
    <w:rsid w:val="003B12A2"/>
    <w:rsid w:val="003B1369"/>
    <w:rsid w:val="003B140F"/>
    <w:rsid w:val="003B1464"/>
    <w:rsid w:val="003B14F2"/>
    <w:rsid w:val="003B1701"/>
    <w:rsid w:val="003B175D"/>
    <w:rsid w:val="003B1A43"/>
    <w:rsid w:val="003B1AEC"/>
    <w:rsid w:val="003B1B2A"/>
    <w:rsid w:val="003B1C4C"/>
    <w:rsid w:val="003B1C5A"/>
    <w:rsid w:val="003B1C5E"/>
    <w:rsid w:val="003B1D7B"/>
    <w:rsid w:val="003B1DBA"/>
    <w:rsid w:val="003B1DF0"/>
    <w:rsid w:val="003B1FE4"/>
    <w:rsid w:val="003B21C6"/>
    <w:rsid w:val="003B2766"/>
    <w:rsid w:val="003B27B9"/>
    <w:rsid w:val="003B27C7"/>
    <w:rsid w:val="003B2870"/>
    <w:rsid w:val="003B2AC2"/>
    <w:rsid w:val="003B2BA4"/>
    <w:rsid w:val="003B2C05"/>
    <w:rsid w:val="003B2CD7"/>
    <w:rsid w:val="003B2D5D"/>
    <w:rsid w:val="003B2DE9"/>
    <w:rsid w:val="003B2F36"/>
    <w:rsid w:val="003B2F7F"/>
    <w:rsid w:val="003B2FC4"/>
    <w:rsid w:val="003B302C"/>
    <w:rsid w:val="003B3429"/>
    <w:rsid w:val="003B3452"/>
    <w:rsid w:val="003B354A"/>
    <w:rsid w:val="003B3564"/>
    <w:rsid w:val="003B3649"/>
    <w:rsid w:val="003B36F4"/>
    <w:rsid w:val="003B375B"/>
    <w:rsid w:val="003B39AE"/>
    <w:rsid w:val="003B39B5"/>
    <w:rsid w:val="003B3B29"/>
    <w:rsid w:val="003B3BF1"/>
    <w:rsid w:val="003B3C92"/>
    <w:rsid w:val="003B3E6B"/>
    <w:rsid w:val="003B3EB9"/>
    <w:rsid w:val="003B3F99"/>
    <w:rsid w:val="003B41AE"/>
    <w:rsid w:val="003B42C9"/>
    <w:rsid w:val="003B4394"/>
    <w:rsid w:val="003B43D9"/>
    <w:rsid w:val="003B43F5"/>
    <w:rsid w:val="003B4595"/>
    <w:rsid w:val="003B46A9"/>
    <w:rsid w:val="003B478B"/>
    <w:rsid w:val="003B47DB"/>
    <w:rsid w:val="003B484D"/>
    <w:rsid w:val="003B49E6"/>
    <w:rsid w:val="003B4A9B"/>
    <w:rsid w:val="003B4B41"/>
    <w:rsid w:val="003B4C14"/>
    <w:rsid w:val="003B523B"/>
    <w:rsid w:val="003B52FC"/>
    <w:rsid w:val="003B5349"/>
    <w:rsid w:val="003B54C4"/>
    <w:rsid w:val="003B58E7"/>
    <w:rsid w:val="003B5934"/>
    <w:rsid w:val="003B5972"/>
    <w:rsid w:val="003B5ACF"/>
    <w:rsid w:val="003B5B58"/>
    <w:rsid w:val="003B612C"/>
    <w:rsid w:val="003B6153"/>
    <w:rsid w:val="003B6258"/>
    <w:rsid w:val="003B6364"/>
    <w:rsid w:val="003B64B1"/>
    <w:rsid w:val="003B65EE"/>
    <w:rsid w:val="003B6742"/>
    <w:rsid w:val="003B6808"/>
    <w:rsid w:val="003B69AF"/>
    <w:rsid w:val="003B69B9"/>
    <w:rsid w:val="003B6BA1"/>
    <w:rsid w:val="003B6D73"/>
    <w:rsid w:val="003B6E5E"/>
    <w:rsid w:val="003B6F85"/>
    <w:rsid w:val="003B72AD"/>
    <w:rsid w:val="003B73E6"/>
    <w:rsid w:val="003B7497"/>
    <w:rsid w:val="003B74A8"/>
    <w:rsid w:val="003B774D"/>
    <w:rsid w:val="003B77FA"/>
    <w:rsid w:val="003B7D6C"/>
    <w:rsid w:val="003B7EB0"/>
    <w:rsid w:val="003C023C"/>
    <w:rsid w:val="003C0348"/>
    <w:rsid w:val="003C034A"/>
    <w:rsid w:val="003C0588"/>
    <w:rsid w:val="003C0A7E"/>
    <w:rsid w:val="003C0B84"/>
    <w:rsid w:val="003C0DA5"/>
    <w:rsid w:val="003C0E4F"/>
    <w:rsid w:val="003C0F93"/>
    <w:rsid w:val="003C1242"/>
    <w:rsid w:val="003C126E"/>
    <w:rsid w:val="003C1412"/>
    <w:rsid w:val="003C15D1"/>
    <w:rsid w:val="003C1752"/>
    <w:rsid w:val="003C1793"/>
    <w:rsid w:val="003C1967"/>
    <w:rsid w:val="003C1A28"/>
    <w:rsid w:val="003C1BEE"/>
    <w:rsid w:val="003C1C9D"/>
    <w:rsid w:val="003C1CF2"/>
    <w:rsid w:val="003C1F35"/>
    <w:rsid w:val="003C2186"/>
    <w:rsid w:val="003C21A4"/>
    <w:rsid w:val="003C2277"/>
    <w:rsid w:val="003C2365"/>
    <w:rsid w:val="003C24C5"/>
    <w:rsid w:val="003C24D7"/>
    <w:rsid w:val="003C24FD"/>
    <w:rsid w:val="003C258D"/>
    <w:rsid w:val="003C2596"/>
    <w:rsid w:val="003C25D5"/>
    <w:rsid w:val="003C28CF"/>
    <w:rsid w:val="003C28F5"/>
    <w:rsid w:val="003C2A68"/>
    <w:rsid w:val="003C2C68"/>
    <w:rsid w:val="003C2EC1"/>
    <w:rsid w:val="003C2F18"/>
    <w:rsid w:val="003C2F94"/>
    <w:rsid w:val="003C2FAD"/>
    <w:rsid w:val="003C302D"/>
    <w:rsid w:val="003C33A3"/>
    <w:rsid w:val="003C33EA"/>
    <w:rsid w:val="003C3401"/>
    <w:rsid w:val="003C346D"/>
    <w:rsid w:val="003C34B3"/>
    <w:rsid w:val="003C358A"/>
    <w:rsid w:val="003C35D4"/>
    <w:rsid w:val="003C35F9"/>
    <w:rsid w:val="003C36F2"/>
    <w:rsid w:val="003C38CD"/>
    <w:rsid w:val="003C3D7D"/>
    <w:rsid w:val="003C3FBF"/>
    <w:rsid w:val="003C4328"/>
    <w:rsid w:val="003C43DD"/>
    <w:rsid w:val="003C4461"/>
    <w:rsid w:val="003C4558"/>
    <w:rsid w:val="003C469A"/>
    <w:rsid w:val="003C46CB"/>
    <w:rsid w:val="003C496E"/>
    <w:rsid w:val="003C4B9F"/>
    <w:rsid w:val="003C4F2F"/>
    <w:rsid w:val="003C510B"/>
    <w:rsid w:val="003C5214"/>
    <w:rsid w:val="003C5240"/>
    <w:rsid w:val="003C552D"/>
    <w:rsid w:val="003C5615"/>
    <w:rsid w:val="003C5752"/>
    <w:rsid w:val="003C58A2"/>
    <w:rsid w:val="003C5C2E"/>
    <w:rsid w:val="003C5DF7"/>
    <w:rsid w:val="003C5E36"/>
    <w:rsid w:val="003C5EA3"/>
    <w:rsid w:val="003C5EE8"/>
    <w:rsid w:val="003C5F5C"/>
    <w:rsid w:val="003C60FB"/>
    <w:rsid w:val="003C610B"/>
    <w:rsid w:val="003C61D7"/>
    <w:rsid w:val="003C63C3"/>
    <w:rsid w:val="003C6443"/>
    <w:rsid w:val="003C64EC"/>
    <w:rsid w:val="003C6575"/>
    <w:rsid w:val="003C6855"/>
    <w:rsid w:val="003C687E"/>
    <w:rsid w:val="003C6885"/>
    <w:rsid w:val="003C6A3E"/>
    <w:rsid w:val="003C6BE0"/>
    <w:rsid w:val="003C6D78"/>
    <w:rsid w:val="003C6E97"/>
    <w:rsid w:val="003C6ECC"/>
    <w:rsid w:val="003C6F99"/>
    <w:rsid w:val="003C700A"/>
    <w:rsid w:val="003C700D"/>
    <w:rsid w:val="003C706F"/>
    <w:rsid w:val="003C738F"/>
    <w:rsid w:val="003C7629"/>
    <w:rsid w:val="003C76CB"/>
    <w:rsid w:val="003C78CD"/>
    <w:rsid w:val="003C7A24"/>
    <w:rsid w:val="003C7A88"/>
    <w:rsid w:val="003C7AF2"/>
    <w:rsid w:val="003C7D47"/>
    <w:rsid w:val="003C7D6F"/>
    <w:rsid w:val="003C7F77"/>
    <w:rsid w:val="003D0072"/>
    <w:rsid w:val="003D05AF"/>
    <w:rsid w:val="003D05C1"/>
    <w:rsid w:val="003D05CF"/>
    <w:rsid w:val="003D0600"/>
    <w:rsid w:val="003D0A86"/>
    <w:rsid w:val="003D0B46"/>
    <w:rsid w:val="003D0B6A"/>
    <w:rsid w:val="003D0D64"/>
    <w:rsid w:val="003D0DDA"/>
    <w:rsid w:val="003D0E03"/>
    <w:rsid w:val="003D0EC7"/>
    <w:rsid w:val="003D10A1"/>
    <w:rsid w:val="003D110D"/>
    <w:rsid w:val="003D1472"/>
    <w:rsid w:val="003D149B"/>
    <w:rsid w:val="003D14EF"/>
    <w:rsid w:val="003D151E"/>
    <w:rsid w:val="003D157C"/>
    <w:rsid w:val="003D1686"/>
    <w:rsid w:val="003D1811"/>
    <w:rsid w:val="003D186C"/>
    <w:rsid w:val="003D1A91"/>
    <w:rsid w:val="003D1C08"/>
    <w:rsid w:val="003D1C29"/>
    <w:rsid w:val="003D1EF8"/>
    <w:rsid w:val="003D1F53"/>
    <w:rsid w:val="003D2057"/>
    <w:rsid w:val="003D213B"/>
    <w:rsid w:val="003D22E1"/>
    <w:rsid w:val="003D256D"/>
    <w:rsid w:val="003D2790"/>
    <w:rsid w:val="003D28A3"/>
    <w:rsid w:val="003D2937"/>
    <w:rsid w:val="003D2946"/>
    <w:rsid w:val="003D29DD"/>
    <w:rsid w:val="003D29E8"/>
    <w:rsid w:val="003D2AC6"/>
    <w:rsid w:val="003D2CD9"/>
    <w:rsid w:val="003D2D8E"/>
    <w:rsid w:val="003D2E09"/>
    <w:rsid w:val="003D2F97"/>
    <w:rsid w:val="003D2FCC"/>
    <w:rsid w:val="003D3092"/>
    <w:rsid w:val="003D3184"/>
    <w:rsid w:val="003D31A3"/>
    <w:rsid w:val="003D38D2"/>
    <w:rsid w:val="003D3A48"/>
    <w:rsid w:val="003D3B06"/>
    <w:rsid w:val="003D3B86"/>
    <w:rsid w:val="003D3CB7"/>
    <w:rsid w:val="003D3DF6"/>
    <w:rsid w:val="003D3E18"/>
    <w:rsid w:val="003D3FF0"/>
    <w:rsid w:val="003D40CC"/>
    <w:rsid w:val="003D411B"/>
    <w:rsid w:val="003D4144"/>
    <w:rsid w:val="003D4147"/>
    <w:rsid w:val="003D4397"/>
    <w:rsid w:val="003D4408"/>
    <w:rsid w:val="003D4479"/>
    <w:rsid w:val="003D450F"/>
    <w:rsid w:val="003D4641"/>
    <w:rsid w:val="003D4A7D"/>
    <w:rsid w:val="003D4A93"/>
    <w:rsid w:val="003D4B5E"/>
    <w:rsid w:val="003D4D34"/>
    <w:rsid w:val="003D4D55"/>
    <w:rsid w:val="003D4DC0"/>
    <w:rsid w:val="003D4E65"/>
    <w:rsid w:val="003D4F80"/>
    <w:rsid w:val="003D4FA6"/>
    <w:rsid w:val="003D512E"/>
    <w:rsid w:val="003D527F"/>
    <w:rsid w:val="003D571F"/>
    <w:rsid w:val="003D5826"/>
    <w:rsid w:val="003D5895"/>
    <w:rsid w:val="003D5935"/>
    <w:rsid w:val="003D59B4"/>
    <w:rsid w:val="003D5B04"/>
    <w:rsid w:val="003D5D75"/>
    <w:rsid w:val="003D640E"/>
    <w:rsid w:val="003D6579"/>
    <w:rsid w:val="003D65DF"/>
    <w:rsid w:val="003D6601"/>
    <w:rsid w:val="003D674A"/>
    <w:rsid w:val="003D6899"/>
    <w:rsid w:val="003D69A8"/>
    <w:rsid w:val="003D69FF"/>
    <w:rsid w:val="003D6A08"/>
    <w:rsid w:val="003D6A2F"/>
    <w:rsid w:val="003D6B0C"/>
    <w:rsid w:val="003D6B68"/>
    <w:rsid w:val="003D6CAB"/>
    <w:rsid w:val="003D6DFF"/>
    <w:rsid w:val="003D6E0E"/>
    <w:rsid w:val="003D6F62"/>
    <w:rsid w:val="003D721E"/>
    <w:rsid w:val="003D732E"/>
    <w:rsid w:val="003D74E6"/>
    <w:rsid w:val="003D7686"/>
    <w:rsid w:val="003D77E8"/>
    <w:rsid w:val="003D77FE"/>
    <w:rsid w:val="003D78D4"/>
    <w:rsid w:val="003D78D9"/>
    <w:rsid w:val="003D7AAD"/>
    <w:rsid w:val="003D7BE9"/>
    <w:rsid w:val="003D7D42"/>
    <w:rsid w:val="003E03AD"/>
    <w:rsid w:val="003E07E5"/>
    <w:rsid w:val="003E0980"/>
    <w:rsid w:val="003E09A2"/>
    <w:rsid w:val="003E1198"/>
    <w:rsid w:val="003E1260"/>
    <w:rsid w:val="003E1426"/>
    <w:rsid w:val="003E1677"/>
    <w:rsid w:val="003E16E6"/>
    <w:rsid w:val="003E18E5"/>
    <w:rsid w:val="003E1AF8"/>
    <w:rsid w:val="003E1B94"/>
    <w:rsid w:val="003E1C6E"/>
    <w:rsid w:val="003E1C84"/>
    <w:rsid w:val="003E1D82"/>
    <w:rsid w:val="003E1DAB"/>
    <w:rsid w:val="003E1ED6"/>
    <w:rsid w:val="003E200B"/>
    <w:rsid w:val="003E220B"/>
    <w:rsid w:val="003E2221"/>
    <w:rsid w:val="003E237C"/>
    <w:rsid w:val="003E250B"/>
    <w:rsid w:val="003E267F"/>
    <w:rsid w:val="003E2884"/>
    <w:rsid w:val="003E297E"/>
    <w:rsid w:val="003E2B74"/>
    <w:rsid w:val="003E2C40"/>
    <w:rsid w:val="003E2F73"/>
    <w:rsid w:val="003E2F9B"/>
    <w:rsid w:val="003E2FBF"/>
    <w:rsid w:val="003E3423"/>
    <w:rsid w:val="003E3614"/>
    <w:rsid w:val="003E3628"/>
    <w:rsid w:val="003E362C"/>
    <w:rsid w:val="003E3659"/>
    <w:rsid w:val="003E3685"/>
    <w:rsid w:val="003E38A8"/>
    <w:rsid w:val="003E38FA"/>
    <w:rsid w:val="003E3C5B"/>
    <w:rsid w:val="003E3CDF"/>
    <w:rsid w:val="003E3DEF"/>
    <w:rsid w:val="003E3EAF"/>
    <w:rsid w:val="003E3EED"/>
    <w:rsid w:val="003E3F0B"/>
    <w:rsid w:val="003E3F7C"/>
    <w:rsid w:val="003E4196"/>
    <w:rsid w:val="003E4205"/>
    <w:rsid w:val="003E4228"/>
    <w:rsid w:val="003E4347"/>
    <w:rsid w:val="003E4692"/>
    <w:rsid w:val="003E471C"/>
    <w:rsid w:val="003E4732"/>
    <w:rsid w:val="003E47D4"/>
    <w:rsid w:val="003E4812"/>
    <w:rsid w:val="003E4CD5"/>
    <w:rsid w:val="003E4CDB"/>
    <w:rsid w:val="003E4EE6"/>
    <w:rsid w:val="003E4FB6"/>
    <w:rsid w:val="003E5087"/>
    <w:rsid w:val="003E570E"/>
    <w:rsid w:val="003E572D"/>
    <w:rsid w:val="003E589A"/>
    <w:rsid w:val="003E58AC"/>
    <w:rsid w:val="003E5ABA"/>
    <w:rsid w:val="003E5AE2"/>
    <w:rsid w:val="003E5B8C"/>
    <w:rsid w:val="003E5EA2"/>
    <w:rsid w:val="003E6018"/>
    <w:rsid w:val="003E6509"/>
    <w:rsid w:val="003E654B"/>
    <w:rsid w:val="003E6694"/>
    <w:rsid w:val="003E678E"/>
    <w:rsid w:val="003E6856"/>
    <w:rsid w:val="003E6A36"/>
    <w:rsid w:val="003E6B17"/>
    <w:rsid w:val="003E6C11"/>
    <w:rsid w:val="003E6C61"/>
    <w:rsid w:val="003E6E8C"/>
    <w:rsid w:val="003E6EBC"/>
    <w:rsid w:val="003E71E9"/>
    <w:rsid w:val="003E744C"/>
    <w:rsid w:val="003E798F"/>
    <w:rsid w:val="003E7B8D"/>
    <w:rsid w:val="003E7C11"/>
    <w:rsid w:val="003E7C1F"/>
    <w:rsid w:val="003E7EBD"/>
    <w:rsid w:val="003E7F2B"/>
    <w:rsid w:val="003E7F48"/>
    <w:rsid w:val="003E7FD6"/>
    <w:rsid w:val="003F0188"/>
    <w:rsid w:val="003F019D"/>
    <w:rsid w:val="003F04DE"/>
    <w:rsid w:val="003F0565"/>
    <w:rsid w:val="003F077C"/>
    <w:rsid w:val="003F07B1"/>
    <w:rsid w:val="003F09DC"/>
    <w:rsid w:val="003F0A8B"/>
    <w:rsid w:val="003F0B9C"/>
    <w:rsid w:val="003F0DCD"/>
    <w:rsid w:val="003F0E55"/>
    <w:rsid w:val="003F14CD"/>
    <w:rsid w:val="003F168A"/>
    <w:rsid w:val="003F177D"/>
    <w:rsid w:val="003F1844"/>
    <w:rsid w:val="003F1881"/>
    <w:rsid w:val="003F193F"/>
    <w:rsid w:val="003F19BA"/>
    <w:rsid w:val="003F1E40"/>
    <w:rsid w:val="003F1F14"/>
    <w:rsid w:val="003F23CC"/>
    <w:rsid w:val="003F2681"/>
    <w:rsid w:val="003F2734"/>
    <w:rsid w:val="003F28A9"/>
    <w:rsid w:val="003F29C7"/>
    <w:rsid w:val="003F29FB"/>
    <w:rsid w:val="003F2B05"/>
    <w:rsid w:val="003F2C06"/>
    <w:rsid w:val="003F2C67"/>
    <w:rsid w:val="003F2D0A"/>
    <w:rsid w:val="003F2D20"/>
    <w:rsid w:val="003F322F"/>
    <w:rsid w:val="003F330D"/>
    <w:rsid w:val="003F3328"/>
    <w:rsid w:val="003F33FA"/>
    <w:rsid w:val="003F39AE"/>
    <w:rsid w:val="003F3BE5"/>
    <w:rsid w:val="003F3D99"/>
    <w:rsid w:val="003F3EAC"/>
    <w:rsid w:val="003F423F"/>
    <w:rsid w:val="003F4243"/>
    <w:rsid w:val="003F436E"/>
    <w:rsid w:val="003F4455"/>
    <w:rsid w:val="003F44C2"/>
    <w:rsid w:val="003F488C"/>
    <w:rsid w:val="003F48B0"/>
    <w:rsid w:val="003F48FB"/>
    <w:rsid w:val="003F4984"/>
    <w:rsid w:val="003F4DBC"/>
    <w:rsid w:val="003F5026"/>
    <w:rsid w:val="003F512B"/>
    <w:rsid w:val="003F5395"/>
    <w:rsid w:val="003F548A"/>
    <w:rsid w:val="003F572F"/>
    <w:rsid w:val="003F5826"/>
    <w:rsid w:val="003F5958"/>
    <w:rsid w:val="003F5BA0"/>
    <w:rsid w:val="003F5C7A"/>
    <w:rsid w:val="003F5F3A"/>
    <w:rsid w:val="003F629F"/>
    <w:rsid w:val="003F6352"/>
    <w:rsid w:val="003F6353"/>
    <w:rsid w:val="003F64C4"/>
    <w:rsid w:val="003F65D2"/>
    <w:rsid w:val="003F66D1"/>
    <w:rsid w:val="003F67D7"/>
    <w:rsid w:val="003F68D0"/>
    <w:rsid w:val="003F6BF8"/>
    <w:rsid w:val="003F6CA0"/>
    <w:rsid w:val="003F6D0B"/>
    <w:rsid w:val="003F6E3A"/>
    <w:rsid w:val="003F7270"/>
    <w:rsid w:val="003F72BF"/>
    <w:rsid w:val="003F7360"/>
    <w:rsid w:val="003F73A1"/>
    <w:rsid w:val="003F73B7"/>
    <w:rsid w:val="003F7619"/>
    <w:rsid w:val="003F7732"/>
    <w:rsid w:val="003F78AC"/>
    <w:rsid w:val="003F798D"/>
    <w:rsid w:val="003F7A2A"/>
    <w:rsid w:val="003F7BD2"/>
    <w:rsid w:val="003F7D6E"/>
    <w:rsid w:val="003F7DC4"/>
    <w:rsid w:val="003F7F1F"/>
    <w:rsid w:val="003F7F50"/>
    <w:rsid w:val="003F7F58"/>
    <w:rsid w:val="003F7FC0"/>
    <w:rsid w:val="00400120"/>
    <w:rsid w:val="004001C7"/>
    <w:rsid w:val="004004D0"/>
    <w:rsid w:val="00400578"/>
    <w:rsid w:val="004005CF"/>
    <w:rsid w:val="004006D1"/>
    <w:rsid w:val="004007A1"/>
    <w:rsid w:val="00400890"/>
    <w:rsid w:val="004008EE"/>
    <w:rsid w:val="00400C8F"/>
    <w:rsid w:val="00400FF3"/>
    <w:rsid w:val="004013CF"/>
    <w:rsid w:val="0040142D"/>
    <w:rsid w:val="0040145C"/>
    <w:rsid w:val="004015AF"/>
    <w:rsid w:val="004016E0"/>
    <w:rsid w:val="00401854"/>
    <w:rsid w:val="004018B1"/>
    <w:rsid w:val="00401DA3"/>
    <w:rsid w:val="00401F00"/>
    <w:rsid w:val="00401F96"/>
    <w:rsid w:val="004020CD"/>
    <w:rsid w:val="0040228E"/>
    <w:rsid w:val="00402447"/>
    <w:rsid w:val="004025B3"/>
    <w:rsid w:val="0040267C"/>
    <w:rsid w:val="004028A2"/>
    <w:rsid w:val="004028C6"/>
    <w:rsid w:val="004028D6"/>
    <w:rsid w:val="004028FB"/>
    <w:rsid w:val="00402925"/>
    <w:rsid w:val="00402AE1"/>
    <w:rsid w:val="00402B2F"/>
    <w:rsid w:val="00402C3B"/>
    <w:rsid w:val="00402C4B"/>
    <w:rsid w:val="00402D62"/>
    <w:rsid w:val="00402DC4"/>
    <w:rsid w:val="00402F89"/>
    <w:rsid w:val="00403139"/>
    <w:rsid w:val="004032F6"/>
    <w:rsid w:val="00403592"/>
    <w:rsid w:val="004035DE"/>
    <w:rsid w:val="00403718"/>
    <w:rsid w:val="00403A07"/>
    <w:rsid w:val="00403B10"/>
    <w:rsid w:val="00403ECA"/>
    <w:rsid w:val="00403ECF"/>
    <w:rsid w:val="00403F86"/>
    <w:rsid w:val="00403FA6"/>
    <w:rsid w:val="00404115"/>
    <w:rsid w:val="00404236"/>
    <w:rsid w:val="004043EB"/>
    <w:rsid w:val="004044D2"/>
    <w:rsid w:val="00404533"/>
    <w:rsid w:val="00404596"/>
    <w:rsid w:val="004045D7"/>
    <w:rsid w:val="0040471D"/>
    <w:rsid w:val="00404C40"/>
    <w:rsid w:val="00404C52"/>
    <w:rsid w:val="00404E38"/>
    <w:rsid w:val="0040501E"/>
    <w:rsid w:val="0040515F"/>
    <w:rsid w:val="004052A8"/>
    <w:rsid w:val="0040566D"/>
    <w:rsid w:val="004056DA"/>
    <w:rsid w:val="00405939"/>
    <w:rsid w:val="00405B73"/>
    <w:rsid w:val="00405DF3"/>
    <w:rsid w:val="00405E2C"/>
    <w:rsid w:val="00406336"/>
    <w:rsid w:val="004063E9"/>
    <w:rsid w:val="004064E8"/>
    <w:rsid w:val="004065B2"/>
    <w:rsid w:val="00406696"/>
    <w:rsid w:val="004068CA"/>
    <w:rsid w:val="00406904"/>
    <w:rsid w:val="00406AAA"/>
    <w:rsid w:val="00406D05"/>
    <w:rsid w:val="00406E37"/>
    <w:rsid w:val="00406F9D"/>
    <w:rsid w:val="00407143"/>
    <w:rsid w:val="00407395"/>
    <w:rsid w:val="00407426"/>
    <w:rsid w:val="00407432"/>
    <w:rsid w:val="00407612"/>
    <w:rsid w:val="004076B9"/>
    <w:rsid w:val="004076D6"/>
    <w:rsid w:val="00407A7D"/>
    <w:rsid w:val="00407E36"/>
    <w:rsid w:val="00410083"/>
    <w:rsid w:val="00410349"/>
    <w:rsid w:val="004103B5"/>
    <w:rsid w:val="00410680"/>
    <w:rsid w:val="00410911"/>
    <w:rsid w:val="00410A53"/>
    <w:rsid w:val="00410A99"/>
    <w:rsid w:val="00410B61"/>
    <w:rsid w:val="00410D24"/>
    <w:rsid w:val="00410DCD"/>
    <w:rsid w:val="00410E25"/>
    <w:rsid w:val="00410ECF"/>
    <w:rsid w:val="00410F85"/>
    <w:rsid w:val="0041101D"/>
    <w:rsid w:val="0041110F"/>
    <w:rsid w:val="004111D7"/>
    <w:rsid w:val="0041141A"/>
    <w:rsid w:val="0041155C"/>
    <w:rsid w:val="00411634"/>
    <w:rsid w:val="0041184F"/>
    <w:rsid w:val="00411857"/>
    <w:rsid w:val="004118EB"/>
    <w:rsid w:val="00411B7F"/>
    <w:rsid w:val="00411BB5"/>
    <w:rsid w:val="00411CB1"/>
    <w:rsid w:val="00411D66"/>
    <w:rsid w:val="00411DF9"/>
    <w:rsid w:val="004120CA"/>
    <w:rsid w:val="00412457"/>
    <w:rsid w:val="00412767"/>
    <w:rsid w:val="00412961"/>
    <w:rsid w:val="00412A9C"/>
    <w:rsid w:val="00412C17"/>
    <w:rsid w:val="00412CB1"/>
    <w:rsid w:val="00412CC4"/>
    <w:rsid w:val="00412F21"/>
    <w:rsid w:val="004130F7"/>
    <w:rsid w:val="004130FA"/>
    <w:rsid w:val="00413265"/>
    <w:rsid w:val="0041332A"/>
    <w:rsid w:val="0041341C"/>
    <w:rsid w:val="004134FE"/>
    <w:rsid w:val="0041354A"/>
    <w:rsid w:val="004136C7"/>
    <w:rsid w:val="004137A1"/>
    <w:rsid w:val="00413C0F"/>
    <w:rsid w:val="00413D6D"/>
    <w:rsid w:val="004140C7"/>
    <w:rsid w:val="00414293"/>
    <w:rsid w:val="00414405"/>
    <w:rsid w:val="0041448E"/>
    <w:rsid w:val="004145A1"/>
    <w:rsid w:val="00414973"/>
    <w:rsid w:val="00414AA4"/>
    <w:rsid w:val="00414ADF"/>
    <w:rsid w:val="00414CB6"/>
    <w:rsid w:val="00414D88"/>
    <w:rsid w:val="00414D8F"/>
    <w:rsid w:val="00415102"/>
    <w:rsid w:val="0041510B"/>
    <w:rsid w:val="0041517E"/>
    <w:rsid w:val="0041525E"/>
    <w:rsid w:val="00415480"/>
    <w:rsid w:val="004155A5"/>
    <w:rsid w:val="0041573F"/>
    <w:rsid w:val="0041575B"/>
    <w:rsid w:val="00415768"/>
    <w:rsid w:val="004157D1"/>
    <w:rsid w:val="00415989"/>
    <w:rsid w:val="00415A9D"/>
    <w:rsid w:val="00415AAE"/>
    <w:rsid w:val="00415B7C"/>
    <w:rsid w:val="0041613B"/>
    <w:rsid w:val="00416933"/>
    <w:rsid w:val="00416D46"/>
    <w:rsid w:val="00416E7D"/>
    <w:rsid w:val="004171A4"/>
    <w:rsid w:val="004172D4"/>
    <w:rsid w:val="00417420"/>
    <w:rsid w:val="00417613"/>
    <w:rsid w:val="004176DB"/>
    <w:rsid w:val="004176E8"/>
    <w:rsid w:val="004177D1"/>
    <w:rsid w:val="00417851"/>
    <w:rsid w:val="00417926"/>
    <w:rsid w:val="00417928"/>
    <w:rsid w:val="00417954"/>
    <w:rsid w:val="00417A74"/>
    <w:rsid w:val="00417D6B"/>
    <w:rsid w:val="00417E0B"/>
    <w:rsid w:val="004200B6"/>
    <w:rsid w:val="004200BB"/>
    <w:rsid w:val="0042024E"/>
    <w:rsid w:val="00420450"/>
    <w:rsid w:val="00420861"/>
    <w:rsid w:val="004208ED"/>
    <w:rsid w:val="00420AD4"/>
    <w:rsid w:val="00420AE8"/>
    <w:rsid w:val="00420C33"/>
    <w:rsid w:val="00420C60"/>
    <w:rsid w:val="00420CE4"/>
    <w:rsid w:val="00420CED"/>
    <w:rsid w:val="00420D13"/>
    <w:rsid w:val="00420DF5"/>
    <w:rsid w:val="00420F2A"/>
    <w:rsid w:val="0042100A"/>
    <w:rsid w:val="00421103"/>
    <w:rsid w:val="00421190"/>
    <w:rsid w:val="004211D3"/>
    <w:rsid w:val="00421259"/>
    <w:rsid w:val="00421396"/>
    <w:rsid w:val="004213F7"/>
    <w:rsid w:val="004214C2"/>
    <w:rsid w:val="004215D7"/>
    <w:rsid w:val="004215FF"/>
    <w:rsid w:val="004216BD"/>
    <w:rsid w:val="00421953"/>
    <w:rsid w:val="0042197E"/>
    <w:rsid w:val="00421A01"/>
    <w:rsid w:val="00421A9D"/>
    <w:rsid w:val="00421ADC"/>
    <w:rsid w:val="00421B73"/>
    <w:rsid w:val="00421BED"/>
    <w:rsid w:val="00421C32"/>
    <w:rsid w:val="00421C92"/>
    <w:rsid w:val="00421E1B"/>
    <w:rsid w:val="00421E40"/>
    <w:rsid w:val="00421F22"/>
    <w:rsid w:val="00422067"/>
    <w:rsid w:val="004220B5"/>
    <w:rsid w:val="00422110"/>
    <w:rsid w:val="00422136"/>
    <w:rsid w:val="00422169"/>
    <w:rsid w:val="004221E8"/>
    <w:rsid w:val="00422301"/>
    <w:rsid w:val="0042233E"/>
    <w:rsid w:val="004225DC"/>
    <w:rsid w:val="00422896"/>
    <w:rsid w:val="00422A11"/>
    <w:rsid w:val="00422BF2"/>
    <w:rsid w:val="00422C6A"/>
    <w:rsid w:val="00422CA3"/>
    <w:rsid w:val="00422DE8"/>
    <w:rsid w:val="00422EBD"/>
    <w:rsid w:val="00422F1F"/>
    <w:rsid w:val="00422F36"/>
    <w:rsid w:val="004231AE"/>
    <w:rsid w:val="00423277"/>
    <w:rsid w:val="004233A4"/>
    <w:rsid w:val="00423B6D"/>
    <w:rsid w:val="00423C50"/>
    <w:rsid w:val="00423D17"/>
    <w:rsid w:val="00423D44"/>
    <w:rsid w:val="00423FF2"/>
    <w:rsid w:val="00424156"/>
    <w:rsid w:val="0042418B"/>
    <w:rsid w:val="00424271"/>
    <w:rsid w:val="00424343"/>
    <w:rsid w:val="004243E4"/>
    <w:rsid w:val="004244BA"/>
    <w:rsid w:val="0042461A"/>
    <w:rsid w:val="00424626"/>
    <w:rsid w:val="004246B8"/>
    <w:rsid w:val="004246BC"/>
    <w:rsid w:val="004248A5"/>
    <w:rsid w:val="004248F1"/>
    <w:rsid w:val="004249F1"/>
    <w:rsid w:val="00424A6D"/>
    <w:rsid w:val="00424AB4"/>
    <w:rsid w:val="00424AD0"/>
    <w:rsid w:val="00424CEB"/>
    <w:rsid w:val="00424D08"/>
    <w:rsid w:val="00424DC8"/>
    <w:rsid w:val="00424E11"/>
    <w:rsid w:val="00424F5E"/>
    <w:rsid w:val="004250FA"/>
    <w:rsid w:val="0042533D"/>
    <w:rsid w:val="00425443"/>
    <w:rsid w:val="00425544"/>
    <w:rsid w:val="004256A7"/>
    <w:rsid w:val="00425700"/>
    <w:rsid w:val="0042573D"/>
    <w:rsid w:val="00425765"/>
    <w:rsid w:val="004259BA"/>
    <w:rsid w:val="00425CB3"/>
    <w:rsid w:val="004260AF"/>
    <w:rsid w:val="00426143"/>
    <w:rsid w:val="00426175"/>
    <w:rsid w:val="00426233"/>
    <w:rsid w:val="0042626D"/>
    <w:rsid w:val="0042633C"/>
    <w:rsid w:val="004265F4"/>
    <w:rsid w:val="004267F5"/>
    <w:rsid w:val="00426A8D"/>
    <w:rsid w:val="00426B7E"/>
    <w:rsid w:val="00426C04"/>
    <w:rsid w:val="00426C44"/>
    <w:rsid w:val="00426CFC"/>
    <w:rsid w:val="00426DB6"/>
    <w:rsid w:val="0042702D"/>
    <w:rsid w:val="00427214"/>
    <w:rsid w:val="004272BA"/>
    <w:rsid w:val="0042738E"/>
    <w:rsid w:val="00427493"/>
    <w:rsid w:val="0042771E"/>
    <w:rsid w:val="00427B1D"/>
    <w:rsid w:val="00427EA4"/>
    <w:rsid w:val="00427F30"/>
    <w:rsid w:val="00427F7E"/>
    <w:rsid w:val="0043002F"/>
    <w:rsid w:val="00430604"/>
    <w:rsid w:val="00430632"/>
    <w:rsid w:val="00430660"/>
    <w:rsid w:val="004306F3"/>
    <w:rsid w:val="00430A52"/>
    <w:rsid w:val="00430D66"/>
    <w:rsid w:val="00430FA9"/>
    <w:rsid w:val="00431017"/>
    <w:rsid w:val="0043121E"/>
    <w:rsid w:val="00431277"/>
    <w:rsid w:val="004312BD"/>
    <w:rsid w:val="004312E6"/>
    <w:rsid w:val="00431325"/>
    <w:rsid w:val="00431380"/>
    <w:rsid w:val="0043138C"/>
    <w:rsid w:val="00431551"/>
    <w:rsid w:val="0043161B"/>
    <w:rsid w:val="0043171E"/>
    <w:rsid w:val="0043184E"/>
    <w:rsid w:val="00431905"/>
    <w:rsid w:val="00431952"/>
    <w:rsid w:val="00431B10"/>
    <w:rsid w:val="00431C17"/>
    <w:rsid w:val="00431CF1"/>
    <w:rsid w:val="00431CF8"/>
    <w:rsid w:val="00431E8F"/>
    <w:rsid w:val="00431F82"/>
    <w:rsid w:val="00431F8A"/>
    <w:rsid w:val="00432028"/>
    <w:rsid w:val="00432263"/>
    <w:rsid w:val="0043228D"/>
    <w:rsid w:val="0043245B"/>
    <w:rsid w:val="0043245D"/>
    <w:rsid w:val="00432502"/>
    <w:rsid w:val="00432505"/>
    <w:rsid w:val="004325FB"/>
    <w:rsid w:val="0043261E"/>
    <w:rsid w:val="00432637"/>
    <w:rsid w:val="00432758"/>
    <w:rsid w:val="004327BD"/>
    <w:rsid w:val="00432A7C"/>
    <w:rsid w:val="00432B30"/>
    <w:rsid w:val="00432B86"/>
    <w:rsid w:val="00432D53"/>
    <w:rsid w:val="00432FA3"/>
    <w:rsid w:val="00432FBE"/>
    <w:rsid w:val="00433021"/>
    <w:rsid w:val="004331B3"/>
    <w:rsid w:val="004331C0"/>
    <w:rsid w:val="00433250"/>
    <w:rsid w:val="004334C7"/>
    <w:rsid w:val="004335B0"/>
    <w:rsid w:val="0043362A"/>
    <w:rsid w:val="00433939"/>
    <w:rsid w:val="00433AFA"/>
    <w:rsid w:val="00433D21"/>
    <w:rsid w:val="00433EA1"/>
    <w:rsid w:val="00433EFA"/>
    <w:rsid w:val="00433FBE"/>
    <w:rsid w:val="00434019"/>
    <w:rsid w:val="004341E8"/>
    <w:rsid w:val="004342DA"/>
    <w:rsid w:val="00434421"/>
    <w:rsid w:val="0043468D"/>
    <w:rsid w:val="004346FF"/>
    <w:rsid w:val="00434910"/>
    <w:rsid w:val="00434ACC"/>
    <w:rsid w:val="00434BE0"/>
    <w:rsid w:val="00434C52"/>
    <w:rsid w:val="00434DBB"/>
    <w:rsid w:val="00434E6D"/>
    <w:rsid w:val="00434F56"/>
    <w:rsid w:val="004351BF"/>
    <w:rsid w:val="0043534C"/>
    <w:rsid w:val="00435481"/>
    <w:rsid w:val="00435640"/>
    <w:rsid w:val="004359CF"/>
    <w:rsid w:val="00435C0A"/>
    <w:rsid w:val="00436088"/>
    <w:rsid w:val="004362B6"/>
    <w:rsid w:val="004364BB"/>
    <w:rsid w:val="0043673E"/>
    <w:rsid w:val="00436802"/>
    <w:rsid w:val="00436B9A"/>
    <w:rsid w:val="00436BD5"/>
    <w:rsid w:val="004370FC"/>
    <w:rsid w:val="00437240"/>
    <w:rsid w:val="0043738C"/>
    <w:rsid w:val="004373FA"/>
    <w:rsid w:val="004375A5"/>
    <w:rsid w:val="004376DE"/>
    <w:rsid w:val="004377A3"/>
    <w:rsid w:val="004378CD"/>
    <w:rsid w:val="004379B5"/>
    <w:rsid w:val="00437A3A"/>
    <w:rsid w:val="00437A45"/>
    <w:rsid w:val="00437A72"/>
    <w:rsid w:val="00437BBE"/>
    <w:rsid w:val="00437C6C"/>
    <w:rsid w:val="004400CC"/>
    <w:rsid w:val="00440346"/>
    <w:rsid w:val="00440673"/>
    <w:rsid w:val="00440781"/>
    <w:rsid w:val="004408DF"/>
    <w:rsid w:val="00440988"/>
    <w:rsid w:val="004409E8"/>
    <w:rsid w:val="00440FA4"/>
    <w:rsid w:val="00441196"/>
    <w:rsid w:val="004411C6"/>
    <w:rsid w:val="00441242"/>
    <w:rsid w:val="004414F3"/>
    <w:rsid w:val="004415B6"/>
    <w:rsid w:val="004416CD"/>
    <w:rsid w:val="00441735"/>
    <w:rsid w:val="00441739"/>
    <w:rsid w:val="004417BB"/>
    <w:rsid w:val="00441C8E"/>
    <w:rsid w:val="00441FDF"/>
    <w:rsid w:val="0044220D"/>
    <w:rsid w:val="004422DE"/>
    <w:rsid w:val="0044275A"/>
    <w:rsid w:val="00442763"/>
    <w:rsid w:val="00442815"/>
    <w:rsid w:val="0044281D"/>
    <w:rsid w:val="004428EF"/>
    <w:rsid w:val="0044294C"/>
    <w:rsid w:val="0044299C"/>
    <w:rsid w:val="004429A1"/>
    <w:rsid w:val="00442A11"/>
    <w:rsid w:val="00442A25"/>
    <w:rsid w:val="00442B55"/>
    <w:rsid w:val="00442C47"/>
    <w:rsid w:val="00442D1D"/>
    <w:rsid w:val="00442EDB"/>
    <w:rsid w:val="00442FFA"/>
    <w:rsid w:val="004431C2"/>
    <w:rsid w:val="004432D7"/>
    <w:rsid w:val="004434E9"/>
    <w:rsid w:val="004435BF"/>
    <w:rsid w:val="004436F8"/>
    <w:rsid w:val="0044389C"/>
    <w:rsid w:val="0044389E"/>
    <w:rsid w:val="00443A9F"/>
    <w:rsid w:val="00443B6F"/>
    <w:rsid w:val="00443BC1"/>
    <w:rsid w:val="00443C1E"/>
    <w:rsid w:val="00443D75"/>
    <w:rsid w:val="00443DAB"/>
    <w:rsid w:val="00443ECA"/>
    <w:rsid w:val="00443F79"/>
    <w:rsid w:val="00444102"/>
    <w:rsid w:val="00444517"/>
    <w:rsid w:val="00444535"/>
    <w:rsid w:val="00444657"/>
    <w:rsid w:val="004447BE"/>
    <w:rsid w:val="00444850"/>
    <w:rsid w:val="004449EB"/>
    <w:rsid w:val="00444AD1"/>
    <w:rsid w:val="00444E5C"/>
    <w:rsid w:val="00444F35"/>
    <w:rsid w:val="004451B8"/>
    <w:rsid w:val="0044525B"/>
    <w:rsid w:val="004453E9"/>
    <w:rsid w:val="004454AD"/>
    <w:rsid w:val="00445D70"/>
    <w:rsid w:val="00445E79"/>
    <w:rsid w:val="004461CD"/>
    <w:rsid w:val="0044629E"/>
    <w:rsid w:val="004462E1"/>
    <w:rsid w:val="00446308"/>
    <w:rsid w:val="00446336"/>
    <w:rsid w:val="004465D8"/>
    <w:rsid w:val="0044668C"/>
    <w:rsid w:val="0044686E"/>
    <w:rsid w:val="00446874"/>
    <w:rsid w:val="004468B1"/>
    <w:rsid w:val="00446AB2"/>
    <w:rsid w:val="00446D7C"/>
    <w:rsid w:val="00446E00"/>
    <w:rsid w:val="00446E66"/>
    <w:rsid w:val="00446F18"/>
    <w:rsid w:val="00447380"/>
    <w:rsid w:val="0044767C"/>
    <w:rsid w:val="00447799"/>
    <w:rsid w:val="00447A9C"/>
    <w:rsid w:val="00447D42"/>
    <w:rsid w:val="00447D7C"/>
    <w:rsid w:val="00447F94"/>
    <w:rsid w:val="0045007C"/>
    <w:rsid w:val="004500D4"/>
    <w:rsid w:val="0045031A"/>
    <w:rsid w:val="004504F6"/>
    <w:rsid w:val="00450694"/>
    <w:rsid w:val="0045090A"/>
    <w:rsid w:val="0045095E"/>
    <w:rsid w:val="00450BA6"/>
    <w:rsid w:val="00450BC4"/>
    <w:rsid w:val="00450BD8"/>
    <w:rsid w:val="00450CA6"/>
    <w:rsid w:val="00450CE4"/>
    <w:rsid w:val="00450DFB"/>
    <w:rsid w:val="00450F1F"/>
    <w:rsid w:val="0045127B"/>
    <w:rsid w:val="004514B6"/>
    <w:rsid w:val="004514D8"/>
    <w:rsid w:val="00451592"/>
    <w:rsid w:val="00451666"/>
    <w:rsid w:val="004516D6"/>
    <w:rsid w:val="004517B5"/>
    <w:rsid w:val="004518CF"/>
    <w:rsid w:val="004519E0"/>
    <w:rsid w:val="00451A8A"/>
    <w:rsid w:val="00451B3D"/>
    <w:rsid w:val="00451C94"/>
    <w:rsid w:val="00451FAF"/>
    <w:rsid w:val="00452049"/>
    <w:rsid w:val="004520EB"/>
    <w:rsid w:val="0045218F"/>
    <w:rsid w:val="0045221D"/>
    <w:rsid w:val="00452221"/>
    <w:rsid w:val="00452564"/>
    <w:rsid w:val="0045257B"/>
    <w:rsid w:val="0045258A"/>
    <w:rsid w:val="0045283B"/>
    <w:rsid w:val="00452840"/>
    <w:rsid w:val="00452A3A"/>
    <w:rsid w:val="00452A97"/>
    <w:rsid w:val="00452BA9"/>
    <w:rsid w:val="00453005"/>
    <w:rsid w:val="00453325"/>
    <w:rsid w:val="00453432"/>
    <w:rsid w:val="004534D1"/>
    <w:rsid w:val="004537AA"/>
    <w:rsid w:val="0045380C"/>
    <w:rsid w:val="00453AD7"/>
    <w:rsid w:val="00453B78"/>
    <w:rsid w:val="00453D0C"/>
    <w:rsid w:val="00453D3C"/>
    <w:rsid w:val="00453ED0"/>
    <w:rsid w:val="00453F35"/>
    <w:rsid w:val="00454002"/>
    <w:rsid w:val="00454065"/>
    <w:rsid w:val="00454099"/>
    <w:rsid w:val="0045414D"/>
    <w:rsid w:val="00454236"/>
    <w:rsid w:val="00454459"/>
    <w:rsid w:val="0045482C"/>
    <w:rsid w:val="0045487E"/>
    <w:rsid w:val="004548BF"/>
    <w:rsid w:val="004549B0"/>
    <w:rsid w:val="004549FA"/>
    <w:rsid w:val="00454B23"/>
    <w:rsid w:val="00454B5E"/>
    <w:rsid w:val="00454C46"/>
    <w:rsid w:val="00454E9E"/>
    <w:rsid w:val="00454E9F"/>
    <w:rsid w:val="00454F0B"/>
    <w:rsid w:val="00454F8F"/>
    <w:rsid w:val="004551A8"/>
    <w:rsid w:val="004553ED"/>
    <w:rsid w:val="00455458"/>
    <w:rsid w:val="00455460"/>
    <w:rsid w:val="00455478"/>
    <w:rsid w:val="00455563"/>
    <w:rsid w:val="004557D8"/>
    <w:rsid w:val="00455865"/>
    <w:rsid w:val="00455898"/>
    <w:rsid w:val="004558B3"/>
    <w:rsid w:val="00455BAF"/>
    <w:rsid w:val="00455DD7"/>
    <w:rsid w:val="004560A5"/>
    <w:rsid w:val="00456153"/>
    <w:rsid w:val="00456189"/>
    <w:rsid w:val="00456254"/>
    <w:rsid w:val="004562C9"/>
    <w:rsid w:val="004564A6"/>
    <w:rsid w:val="004564D7"/>
    <w:rsid w:val="00456608"/>
    <w:rsid w:val="00456641"/>
    <w:rsid w:val="00456727"/>
    <w:rsid w:val="0045673C"/>
    <w:rsid w:val="0045679D"/>
    <w:rsid w:val="0045683C"/>
    <w:rsid w:val="00456B1A"/>
    <w:rsid w:val="00456C06"/>
    <w:rsid w:val="00456C65"/>
    <w:rsid w:val="00457318"/>
    <w:rsid w:val="004574A5"/>
    <w:rsid w:val="004576B5"/>
    <w:rsid w:val="004578EF"/>
    <w:rsid w:val="00457BA5"/>
    <w:rsid w:val="00457BA7"/>
    <w:rsid w:val="00457FAD"/>
    <w:rsid w:val="0046044D"/>
    <w:rsid w:val="00460537"/>
    <w:rsid w:val="004605EA"/>
    <w:rsid w:val="00460620"/>
    <w:rsid w:val="00460657"/>
    <w:rsid w:val="00460675"/>
    <w:rsid w:val="00460695"/>
    <w:rsid w:val="004608BC"/>
    <w:rsid w:val="00460974"/>
    <w:rsid w:val="004609CE"/>
    <w:rsid w:val="00460C29"/>
    <w:rsid w:val="00460CDE"/>
    <w:rsid w:val="00460EDC"/>
    <w:rsid w:val="00460FD8"/>
    <w:rsid w:val="004610A2"/>
    <w:rsid w:val="0046117A"/>
    <w:rsid w:val="00461329"/>
    <w:rsid w:val="004615A0"/>
    <w:rsid w:val="0046165F"/>
    <w:rsid w:val="004616BF"/>
    <w:rsid w:val="0046176A"/>
    <w:rsid w:val="004618B5"/>
    <w:rsid w:val="00461A4D"/>
    <w:rsid w:val="00461A76"/>
    <w:rsid w:val="00461A88"/>
    <w:rsid w:val="0046208E"/>
    <w:rsid w:val="0046210B"/>
    <w:rsid w:val="004621E6"/>
    <w:rsid w:val="004622BD"/>
    <w:rsid w:val="004624EC"/>
    <w:rsid w:val="004625DB"/>
    <w:rsid w:val="0046275C"/>
    <w:rsid w:val="00462938"/>
    <w:rsid w:val="004629A1"/>
    <w:rsid w:val="00462A7A"/>
    <w:rsid w:val="00462AD6"/>
    <w:rsid w:val="00462B93"/>
    <w:rsid w:val="00463134"/>
    <w:rsid w:val="0046324F"/>
    <w:rsid w:val="004632CB"/>
    <w:rsid w:val="004633EF"/>
    <w:rsid w:val="004634ED"/>
    <w:rsid w:val="004635E0"/>
    <w:rsid w:val="00463A73"/>
    <w:rsid w:val="00463C9C"/>
    <w:rsid w:val="00463E44"/>
    <w:rsid w:val="00464081"/>
    <w:rsid w:val="004640BC"/>
    <w:rsid w:val="00464108"/>
    <w:rsid w:val="0046450C"/>
    <w:rsid w:val="00464556"/>
    <w:rsid w:val="00464718"/>
    <w:rsid w:val="00464776"/>
    <w:rsid w:val="00464899"/>
    <w:rsid w:val="00464DD0"/>
    <w:rsid w:val="00464E2F"/>
    <w:rsid w:val="00464FB2"/>
    <w:rsid w:val="00464FBB"/>
    <w:rsid w:val="0046510C"/>
    <w:rsid w:val="00465607"/>
    <w:rsid w:val="00465906"/>
    <w:rsid w:val="00465AF4"/>
    <w:rsid w:val="00465AF6"/>
    <w:rsid w:val="00465BE2"/>
    <w:rsid w:val="00465D73"/>
    <w:rsid w:val="00465D76"/>
    <w:rsid w:val="00465F15"/>
    <w:rsid w:val="0046608B"/>
    <w:rsid w:val="00466118"/>
    <w:rsid w:val="004661D4"/>
    <w:rsid w:val="0046622D"/>
    <w:rsid w:val="004663DB"/>
    <w:rsid w:val="0046640C"/>
    <w:rsid w:val="00466443"/>
    <w:rsid w:val="00466795"/>
    <w:rsid w:val="00466DA9"/>
    <w:rsid w:val="00466E42"/>
    <w:rsid w:val="00466E5A"/>
    <w:rsid w:val="00466EED"/>
    <w:rsid w:val="004670F7"/>
    <w:rsid w:val="0046716C"/>
    <w:rsid w:val="0046722B"/>
    <w:rsid w:val="00467340"/>
    <w:rsid w:val="0046736B"/>
    <w:rsid w:val="00467382"/>
    <w:rsid w:val="00467885"/>
    <w:rsid w:val="00467903"/>
    <w:rsid w:val="0046791D"/>
    <w:rsid w:val="00467C50"/>
    <w:rsid w:val="00467C62"/>
    <w:rsid w:val="00467EF8"/>
    <w:rsid w:val="004701FE"/>
    <w:rsid w:val="004702B0"/>
    <w:rsid w:val="004702BD"/>
    <w:rsid w:val="0047046B"/>
    <w:rsid w:val="004704C3"/>
    <w:rsid w:val="004706A7"/>
    <w:rsid w:val="004706AA"/>
    <w:rsid w:val="004706FA"/>
    <w:rsid w:val="00470BA5"/>
    <w:rsid w:val="00470EE5"/>
    <w:rsid w:val="00470FFD"/>
    <w:rsid w:val="00471005"/>
    <w:rsid w:val="00471239"/>
    <w:rsid w:val="00471309"/>
    <w:rsid w:val="0047157F"/>
    <w:rsid w:val="004716FA"/>
    <w:rsid w:val="0047181F"/>
    <w:rsid w:val="004718C5"/>
    <w:rsid w:val="00471ADA"/>
    <w:rsid w:val="00471B4D"/>
    <w:rsid w:val="00472176"/>
    <w:rsid w:val="00472413"/>
    <w:rsid w:val="00472666"/>
    <w:rsid w:val="00472692"/>
    <w:rsid w:val="004726AD"/>
    <w:rsid w:val="004726ED"/>
    <w:rsid w:val="0047271E"/>
    <w:rsid w:val="00472723"/>
    <w:rsid w:val="0047276F"/>
    <w:rsid w:val="00472B10"/>
    <w:rsid w:val="00472C69"/>
    <w:rsid w:val="00472D4D"/>
    <w:rsid w:val="00472D60"/>
    <w:rsid w:val="00472DF9"/>
    <w:rsid w:val="00472F93"/>
    <w:rsid w:val="0047309C"/>
    <w:rsid w:val="0047337A"/>
    <w:rsid w:val="00473433"/>
    <w:rsid w:val="00473529"/>
    <w:rsid w:val="004735B8"/>
    <w:rsid w:val="004736FD"/>
    <w:rsid w:val="004737DE"/>
    <w:rsid w:val="00473B25"/>
    <w:rsid w:val="00473E47"/>
    <w:rsid w:val="00473E64"/>
    <w:rsid w:val="00473EAE"/>
    <w:rsid w:val="00473F71"/>
    <w:rsid w:val="004740BA"/>
    <w:rsid w:val="004740DE"/>
    <w:rsid w:val="004741AB"/>
    <w:rsid w:val="00474491"/>
    <w:rsid w:val="004747A7"/>
    <w:rsid w:val="004747F7"/>
    <w:rsid w:val="004748F7"/>
    <w:rsid w:val="0047494E"/>
    <w:rsid w:val="00474C24"/>
    <w:rsid w:val="00474C31"/>
    <w:rsid w:val="00474CAB"/>
    <w:rsid w:val="00474CB2"/>
    <w:rsid w:val="00474D90"/>
    <w:rsid w:val="00474EA3"/>
    <w:rsid w:val="00474FB5"/>
    <w:rsid w:val="004750BE"/>
    <w:rsid w:val="00475282"/>
    <w:rsid w:val="00475392"/>
    <w:rsid w:val="004754FF"/>
    <w:rsid w:val="00475525"/>
    <w:rsid w:val="00475560"/>
    <w:rsid w:val="004755F7"/>
    <w:rsid w:val="0047583F"/>
    <w:rsid w:val="004759AD"/>
    <w:rsid w:val="00475B67"/>
    <w:rsid w:val="00475B94"/>
    <w:rsid w:val="00475DA2"/>
    <w:rsid w:val="00475E67"/>
    <w:rsid w:val="00476402"/>
    <w:rsid w:val="004764D7"/>
    <w:rsid w:val="00476532"/>
    <w:rsid w:val="004766D7"/>
    <w:rsid w:val="00476866"/>
    <w:rsid w:val="004768F5"/>
    <w:rsid w:val="004768F9"/>
    <w:rsid w:val="004769D9"/>
    <w:rsid w:val="004769FE"/>
    <w:rsid w:val="00476AB4"/>
    <w:rsid w:val="00476AEC"/>
    <w:rsid w:val="00476B09"/>
    <w:rsid w:val="00476BD7"/>
    <w:rsid w:val="00476C2B"/>
    <w:rsid w:val="00476FBF"/>
    <w:rsid w:val="00476FED"/>
    <w:rsid w:val="00477041"/>
    <w:rsid w:val="00477094"/>
    <w:rsid w:val="0047711A"/>
    <w:rsid w:val="00477253"/>
    <w:rsid w:val="00477277"/>
    <w:rsid w:val="00477480"/>
    <w:rsid w:val="00477584"/>
    <w:rsid w:val="0047772C"/>
    <w:rsid w:val="0047773A"/>
    <w:rsid w:val="0047777F"/>
    <w:rsid w:val="00477930"/>
    <w:rsid w:val="00477A3D"/>
    <w:rsid w:val="00477C9D"/>
    <w:rsid w:val="00477DE7"/>
    <w:rsid w:val="00477E8F"/>
    <w:rsid w:val="00477EFA"/>
    <w:rsid w:val="004800B2"/>
    <w:rsid w:val="00480426"/>
    <w:rsid w:val="0048092E"/>
    <w:rsid w:val="00480AB0"/>
    <w:rsid w:val="00480C33"/>
    <w:rsid w:val="00480C36"/>
    <w:rsid w:val="00480D38"/>
    <w:rsid w:val="00480D5A"/>
    <w:rsid w:val="0048125C"/>
    <w:rsid w:val="00481415"/>
    <w:rsid w:val="00481805"/>
    <w:rsid w:val="0048196D"/>
    <w:rsid w:val="00481ABB"/>
    <w:rsid w:val="00481AE8"/>
    <w:rsid w:val="00481D7C"/>
    <w:rsid w:val="00481F13"/>
    <w:rsid w:val="00481FA4"/>
    <w:rsid w:val="004821F0"/>
    <w:rsid w:val="004822AA"/>
    <w:rsid w:val="0048237D"/>
    <w:rsid w:val="004824F8"/>
    <w:rsid w:val="00482553"/>
    <w:rsid w:val="00482654"/>
    <w:rsid w:val="0048274C"/>
    <w:rsid w:val="0048283D"/>
    <w:rsid w:val="004829E0"/>
    <w:rsid w:val="004829FA"/>
    <w:rsid w:val="00482AD4"/>
    <w:rsid w:val="00482C3F"/>
    <w:rsid w:val="00482CA9"/>
    <w:rsid w:val="00482D8D"/>
    <w:rsid w:val="00482DB6"/>
    <w:rsid w:val="00482E98"/>
    <w:rsid w:val="00482ECB"/>
    <w:rsid w:val="00482F72"/>
    <w:rsid w:val="0048303E"/>
    <w:rsid w:val="0048309E"/>
    <w:rsid w:val="004830DF"/>
    <w:rsid w:val="00483194"/>
    <w:rsid w:val="00483268"/>
    <w:rsid w:val="00483283"/>
    <w:rsid w:val="004838E5"/>
    <w:rsid w:val="00483A8E"/>
    <w:rsid w:val="00483F0D"/>
    <w:rsid w:val="00483F36"/>
    <w:rsid w:val="00484069"/>
    <w:rsid w:val="0048406D"/>
    <w:rsid w:val="004841EC"/>
    <w:rsid w:val="0048441B"/>
    <w:rsid w:val="00484628"/>
    <w:rsid w:val="0048470D"/>
    <w:rsid w:val="00484759"/>
    <w:rsid w:val="004847D2"/>
    <w:rsid w:val="00484AC2"/>
    <w:rsid w:val="00484B6B"/>
    <w:rsid w:val="00484C84"/>
    <w:rsid w:val="00484EBC"/>
    <w:rsid w:val="0048515D"/>
    <w:rsid w:val="00485195"/>
    <w:rsid w:val="004851B4"/>
    <w:rsid w:val="00485309"/>
    <w:rsid w:val="00485345"/>
    <w:rsid w:val="004854AA"/>
    <w:rsid w:val="004855EB"/>
    <w:rsid w:val="004856BE"/>
    <w:rsid w:val="00485832"/>
    <w:rsid w:val="0048597B"/>
    <w:rsid w:val="00485A1C"/>
    <w:rsid w:val="00485A6E"/>
    <w:rsid w:val="00485E24"/>
    <w:rsid w:val="00485E7E"/>
    <w:rsid w:val="00485F58"/>
    <w:rsid w:val="00485FB1"/>
    <w:rsid w:val="00486024"/>
    <w:rsid w:val="00486086"/>
    <w:rsid w:val="004860BD"/>
    <w:rsid w:val="004860C7"/>
    <w:rsid w:val="004862A1"/>
    <w:rsid w:val="004862D5"/>
    <w:rsid w:val="00486553"/>
    <w:rsid w:val="00486567"/>
    <w:rsid w:val="0048663C"/>
    <w:rsid w:val="00486662"/>
    <w:rsid w:val="00486772"/>
    <w:rsid w:val="00486AC5"/>
    <w:rsid w:val="00486E1F"/>
    <w:rsid w:val="0048713E"/>
    <w:rsid w:val="00487141"/>
    <w:rsid w:val="00487198"/>
    <w:rsid w:val="0048719C"/>
    <w:rsid w:val="004872A5"/>
    <w:rsid w:val="0048738D"/>
    <w:rsid w:val="00487544"/>
    <w:rsid w:val="004876BD"/>
    <w:rsid w:val="00487769"/>
    <w:rsid w:val="00487ADE"/>
    <w:rsid w:val="00487FC0"/>
    <w:rsid w:val="004900AC"/>
    <w:rsid w:val="00490100"/>
    <w:rsid w:val="004901A6"/>
    <w:rsid w:val="004901C0"/>
    <w:rsid w:val="0049022E"/>
    <w:rsid w:val="00490454"/>
    <w:rsid w:val="00490749"/>
    <w:rsid w:val="00490763"/>
    <w:rsid w:val="0049087E"/>
    <w:rsid w:val="004908CF"/>
    <w:rsid w:val="00490917"/>
    <w:rsid w:val="0049098E"/>
    <w:rsid w:val="00490ADE"/>
    <w:rsid w:val="00490B88"/>
    <w:rsid w:val="00490B8B"/>
    <w:rsid w:val="00490DB9"/>
    <w:rsid w:val="004911AE"/>
    <w:rsid w:val="004913B2"/>
    <w:rsid w:val="00491551"/>
    <w:rsid w:val="004915FA"/>
    <w:rsid w:val="00491662"/>
    <w:rsid w:val="00491752"/>
    <w:rsid w:val="00491800"/>
    <w:rsid w:val="00491912"/>
    <w:rsid w:val="00491B16"/>
    <w:rsid w:val="00491D2F"/>
    <w:rsid w:val="00491F4B"/>
    <w:rsid w:val="00492094"/>
    <w:rsid w:val="00492294"/>
    <w:rsid w:val="004924DA"/>
    <w:rsid w:val="00492A34"/>
    <w:rsid w:val="00492B35"/>
    <w:rsid w:val="00492CCD"/>
    <w:rsid w:val="0049327C"/>
    <w:rsid w:val="00493601"/>
    <w:rsid w:val="00493632"/>
    <w:rsid w:val="0049369B"/>
    <w:rsid w:val="00493900"/>
    <w:rsid w:val="00493A54"/>
    <w:rsid w:val="00493BBF"/>
    <w:rsid w:val="00493BC5"/>
    <w:rsid w:val="00493D2C"/>
    <w:rsid w:val="0049410D"/>
    <w:rsid w:val="00494197"/>
    <w:rsid w:val="004941E5"/>
    <w:rsid w:val="004943EB"/>
    <w:rsid w:val="00494414"/>
    <w:rsid w:val="00494448"/>
    <w:rsid w:val="004945E5"/>
    <w:rsid w:val="0049464F"/>
    <w:rsid w:val="004948AD"/>
    <w:rsid w:val="004949D5"/>
    <w:rsid w:val="00494B12"/>
    <w:rsid w:val="00494C1E"/>
    <w:rsid w:val="00494D76"/>
    <w:rsid w:val="00494D84"/>
    <w:rsid w:val="0049507F"/>
    <w:rsid w:val="00495123"/>
    <w:rsid w:val="004955E2"/>
    <w:rsid w:val="00495600"/>
    <w:rsid w:val="00495870"/>
    <w:rsid w:val="00495907"/>
    <w:rsid w:val="004959B5"/>
    <w:rsid w:val="00495A1A"/>
    <w:rsid w:val="00495CD7"/>
    <w:rsid w:val="00495D89"/>
    <w:rsid w:val="00495E8F"/>
    <w:rsid w:val="00495EA4"/>
    <w:rsid w:val="00496154"/>
    <w:rsid w:val="004961BF"/>
    <w:rsid w:val="0049620E"/>
    <w:rsid w:val="00496339"/>
    <w:rsid w:val="00496443"/>
    <w:rsid w:val="0049645D"/>
    <w:rsid w:val="004964A6"/>
    <w:rsid w:val="00496546"/>
    <w:rsid w:val="004969A5"/>
    <w:rsid w:val="004969BF"/>
    <w:rsid w:val="00496F7C"/>
    <w:rsid w:val="00497291"/>
    <w:rsid w:val="004972CE"/>
    <w:rsid w:val="004972DE"/>
    <w:rsid w:val="0049746A"/>
    <w:rsid w:val="004974AB"/>
    <w:rsid w:val="00497647"/>
    <w:rsid w:val="004976D8"/>
    <w:rsid w:val="004977FD"/>
    <w:rsid w:val="00497893"/>
    <w:rsid w:val="004978CC"/>
    <w:rsid w:val="0049791D"/>
    <w:rsid w:val="00497923"/>
    <w:rsid w:val="00497A91"/>
    <w:rsid w:val="00497AFF"/>
    <w:rsid w:val="00497CBF"/>
    <w:rsid w:val="00497FA9"/>
    <w:rsid w:val="004A00C6"/>
    <w:rsid w:val="004A00CA"/>
    <w:rsid w:val="004A0124"/>
    <w:rsid w:val="004A029C"/>
    <w:rsid w:val="004A0596"/>
    <w:rsid w:val="004A06DE"/>
    <w:rsid w:val="004A070F"/>
    <w:rsid w:val="004A0A29"/>
    <w:rsid w:val="004A10E6"/>
    <w:rsid w:val="004A1548"/>
    <w:rsid w:val="004A16BB"/>
    <w:rsid w:val="004A1704"/>
    <w:rsid w:val="004A1D87"/>
    <w:rsid w:val="004A2350"/>
    <w:rsid w:val="004A2538"/>
    <w:rsid w:val="004A2704"/>
    <w:rsid w:val="004A2717"/>
    <w:rsid w:val="004A27B1"/>
    <w:rsid w:val="004A2A08"/>
    <w:rsid w:val="004A2B67"/>
    <w:rsid w:val="004A2BEA"/>
    <w:rsid w:val="004A2DC2"/>
    <w:rsid w:val="004A2E33"/>
    <w:rsid w:val="004A2F39"/>
    <w:rsid w:val="004A2F76"/>
    <w:rsid w:val="004A3367"/>
    <w:rsid w:val="004A3450"/>
    <w:rsid w:val="004A34BC"/>
    <w:rsid w:val="004A37A4"/>
    <w:rsid w:val="004A3804"/>
    <w:rsid w:val="004A388D"/>
    <w:rsid w:val="004A3897"/>
    <w:rsid w:val="004A3993"/>
    <w:rsid w:val="004A3996"/>
    <w:rsid w:val="004A39F4"/>
    <w:rsid w:val="004A3A36"/>
    <w:rsid w:val="004A3B33"/>
    <w:rsid w:val="004A3CDA"/>
    <w:rsid w:val="004A3DBE"/>
    <w:rsid w:val="004A3E0B"/>
    <w:rsid w:val="004A3F47"/>
    <w:rsid w:val="004A3F7D"/>
    <w:rsid w:val="004A3FA9"/>
    <w:rsid w:val="004A3FC2"/>
    <w:rsid w:val="004A40A9"/>
    <w:rsid w:val="004A43EC"/>
    <w:rsid w:val="004A46B2"/>
    <w:rsid w:val="004A4A0C"/>
    <w:rsid w:val="004A4CCE"/>
    <w:rsid w:val="004A4D76"/>
    <w:rsid w:val="004A4FBF"/>
    <w:rsid w:val="004A5236"/>
    <w:rsid w:val="004A5260"/>
    <w:rsid w:val="004A5328"/>
    <w:rsid w:val="004A532C"/>
    <w:rsid w:val="004A549B"/>
    <w:rsid w:val="004A568E"/>
    <w:rsid w:val="004A5864"/>
    <w:rsid w:val="004A592B"/>
    <w:rsid w:val="004A5930"/>
    <w:rsid w:val="004A5E3E"/>
    <w:rsid w:val="004A5E5A"/>
    <w:rsid w:val="004A5F4E"/>
    <w:rsid w:val="004A60E0"/>
    <w:rsid w:val="004A613A"/>
    <w:rsid w:val="004A63D3"/>
    <w:rsid w:val="004A641A"/>
    <w:rsid w:val="004A65CC"/>
    <w:rsid w:val="004A66C7"/>
    <w:rsid w:val="004A66D2"/>
    <w:rsid w:val="004A670E"/>
    <w:rsid w:val="004A6865"/>
    <w:rsid w:val="004A6A9A"/>
    <w:rsid w:val="004A6ABB"/>
    <w:rsid w:val="004A6B0E"/>
    <w:rsid w:val="004A6B10"/>
    <w:rsid w:val="004A6BA7"/>
    <w:rsid w:val="004A6C10"/>
    <w:rsid w:val="004A6CD6"/>
    <w:rsid w:val="004A6D4F"/>
    <w:rsid w:val="004A6DA8"/>
    <w:rsid w:val="004A6DD0"/>
    <w:rsid w:val="004A6EB6"/>
    <w:rsid w:val="004A6F60"/>
    <w:rsid w:val="004A6FD8"/>
    <w:rsid w:val="004A7323"/>
    <w:rsid w:val="004A73CA"/>
    <w:rsid w:val="004A7501"/>
    <w:rsid w:val="004A75A1"/>
    <w:rsid w:val="004A75DE"/>
    <w:rsid w:val="004A76D7"/>
    <w:rsid w:val="004A7989"/>
    <w:rsid w:val="004A7A05"/>
    <w:rsid w:val="004A7B77"/>
    <w:rsid w:val="004A7EAE"/>
    <w:rsid w:val="004A7F27"/>
    <w:rsid w:val="004A7FCD"/>
    <w:rsid w:val="004B01A1"/>
    <w:rsid w:val="004B021C"/>
    <w:rsid w:val="004B0314"/>
    <w:rsid w:val="004B031F"/>
    <w:rsid w:val="004B0490"/>
    <w:rsid w:val="004B0520"/>
    <w:rsid w:val="004B0566"/>
    <w:rsid w:val="004B058C"/>
    <w:rsid w:val="004B05DF"/>
    <w:rsid w:val="004B0604"/>
    <w:rsid w:val="004B0843"/>
    <w:rsid w:val="004B0C75"/>
    <w:rsid w:val="004B0D74"/>
    <w:rsid w:val="004B0D85"/>
    <w:rsid w:val="004B113D"/>
    <w:rsid w:val="004B1367"/>
    <w:rsid w:val="004B168C"/>
    <w:rsid w:val="004B16DE"/>
    <w:rsid w:val="004B171D"/>
    <w:rsid w:val="004B17B3"/>
    <w:rsid w:val="004B1845"/>
    <w:rsid w:val="004B1903"/>
    <w:rsid w:val="004B1907"/>
    <w:rsid w:val="004B1A32"/>
    <w:rsid w:val="004B1C97"/>
    <w:rsid w:val="004B1E95"/>
    <w:rsid w:val="004B1E97"/>
    <w:rsid w:val="004B2585"/>
    <w:rsid w:val="004B25B9"/>
    <w:rsid w:val="004B280D"/>
    <w:rsid w:val="004B282F"/>
    <w:rsid w:val="004B2970"/>
    <w:rsid w:val="004B2A0A"/>
    <w:rsid w:val="004B2A87"/>
    <w:rsid w:val="004B2BE9"/>
    <w:rsid w:val="004B2DE2"/>
    <w:rsid w:val="004B2DF4"/>
    <w:rsid w:val="004B2FB5"/>
    <w:rsid w:val="004B30F9"/>
    <w:rsid w:val="004B3206"/>
    <w:rsid w:val="004B3229"/>
    <w:rsid w:val="004B34E9"/>
    <w:rsid w:val="004B352B"/>
    <w:rsid w:val="004B35DC"/>
    <w:rsid w:val="004B36A4"/>
    <w:rsid w:val="004B3784"/>
    <w:rsid w:val="004B379E"/>
    <w:rsid w:val="004B3940"/>
    <w:rsid w:val="004B3A5B"/>
    <w:rsid w:val="004B3CA8"/>
    <w:rsid w:val="004B3D01"/>
    <w:rsid w:val="004B3D56"/>
    <w:rsid w:val="004B3D90"/>
    <w:rsid w:val="004B3D9B"/>
    <w:rsid w:val="004B3EA5"/>
    <w:rsid w:val="004B4120"/>
    <w:rsid w:val="004B415E"/>
    <w:rsid w:val="004B428B"/>
    <w:rsid w:val="004B429E"/>
    <w:rsid w:val="004B42BE"/>
    <w:rsid w:val="004B442D"/>
    <w:rsid w:val="004B444A"/>
    <w:rsid w:val="004B447F"/>
    <w:rsid w:val="004B450A"/>
    <w:rsid w:val="004B45AB"/>
    <w:rsid w:val="004B4873"/>
    <w:rsid w:val="004B48C3"/>
    <w:rsid w:val="004B4C05"/>
    <w:rsid w:val="004B4DD9"/>
    <w:rsid w:val="004B4E1B"/>
    <w:rsid w:val="004B531B"/>
    <w:rsid w:val="004B55CB"/>
    <w:rsid w:val="004B5622"/>
    <w:rsid w:val="004B576D"/>
    <w:rsid w:val="004B5779"/>
    <w:rsid w:val="004B57B9"/>
    <w:rsid w:val="004B591E"/>
    <w:rsid w:val="004B5A06"/>
    <w:rsid w:val="004B5BF5"/>
    <w:rsid w:val="004B5C2C"/>
    <w:rsid w:val="004B5CD6"/>
    <w:rsid w:val="004B6056"/>
    <w:rsid w:val="004B6171"/>
    <w:rsid w:val="004B6177"/>
    <w:rsid w:val="004B61C0"/>
    <w:rsid w:val="004B631C"/>
    <w:rsid w:val="004B6324"/>
    <w:rsid w:val="004B6442"/>
    <w:rsid w:val="004B64DF"/>
    <w:rsid w:val="004B6555"/>
    <w:rsid w:val="004B659A"/>
    <w:rsid w:val="004B65D5"/>
    <w:rsid w:val="004B6609"/>
    <w:rsid w:val="004B665A"/>
    <w:rsid w:val="004B6712"/>
    <w:rsid w:val="004B68F7"/>
    <w:rsid w:val="004B68FF"/>
    <w:rsid w:val="004B6937"/>
    <w:rsid w:val="004B6B54"/>
    <w:rsid w:val="004B6BBA"/>
    <w:rsid w:val="004B6C27"/>
    <w:rsid w:val="004B6E56"/>
    <w:rsid w:val="004B6E6D"/>
    <w:rsid w:val="004B6EAC"/>
    <w:rsid w:val="004B6F2D"/>
    <w:rsid w:val="004B6F72"/>
    <w:rsid w:val="004B6F9C"/>
    <w:rsid w:val="004B7080"/>
    <w:rsid w:val="004B748A"/>
    <w:rsid w:val="004B74DA"/>
    <w:rsid w:val="004B7834"/>
    <w:rsid w:val="004B78C9"/>
    <w:rsid w:val="004B796F"/>
    <w:rsid w:val="004B79D9"/>
    <w:rsid w:val="004B7A14"/>
    <w:rsid w:val="004B7A61"/>
    <w:rsid w:val="004B7D08"/>
    <w:rsid w:val="004B7EF9"/>
    <w:rsid w:val="004B7F0F"/>
    <w:rsid w:val="004C03B1"/>
    <w:rsid w:val="004C046C"/>
    <w:rsid w:val="004C0470"/>
    <w:rsid w:val="004C07F4"/>
    <w:rsid w:val="004C0D26"/>
    <w:rsid w:val="004C0E7A"/>
    <w:rsid w:val="004C0FDB"/>
    <w:rsid w:val="004C10CB"/>
    <w:rsid w:val="004C11A1"/>
    <w:rsid w:val="004C143A"/>
    <w:rsid w:val="004C15BB"/>
    <w:rsid w:val="004C1646"/>
    <w:rsid w:val="004C179A"/>
    <w:rsid w:val="004C17DD"/>
    <w:rsid w:val="004C1994"/>
    <w:rsid w:val="004C1AE4"/>
    <w:rsid w:val="004C1BE3"/>
    <w:rsid w:val="004C1DC4"/>
    <w:rsid w:val="004C1DFC"/>
    <w:rsid w:val="004C1E26"/>
    <w:rsid w:val="004C1EB6"/>
    <w:rsid w:val="004C1EEA"/>
    <w:rsid w:val="004C1F5D"/>
    <w:rsid w:val="004C208E"/>
    <w:rsid w:val="004C2094"/>
    <w:rsid w:val="004C20A4"/>
    <w:rsid w:val="004C2158"/>
    <w:rsid w:val="004C223C"/>
    <w:rsid w:val="004C246B"/>
    <w:rsid w:val="004C25AF"/>
    <w:rsid w:val="004C2633"/>
    <w:rsid w:val="004C2734"/>
    <w:rsid w:val="004C286C"/>
    <w:rsid w:val="004C28F9"/>
    <w:rsid w:val="004C2913"/>
    <w:rsid w:val="004C2999"/>
    <w:rsid w:val="004C2A72"/>
    <w:rsid w:val="004C2A9F"/>
    <w:rsid w:val="004C2B21"/>
    <w:rsid w:val="004C2C55"/>
    <w:rsid w:val="004C30B8"/>
    <w:rsid w:val="004C3113"/>
    <w:rsid w:val="004C31A7"/>
    <w:rsid w:val="004C36A5"/>
    <w:rsid w:val="004C38FF"/>
    <w:rsid w:val="004C3A6F"/>
    <w:rsid w:val="004C3C14"/>
    <w:rsid w:val="004C3C2C"/>
    <w:rsid w:val="004C3CC4"/>
    <w:rsid w:val="004C3DBA"/>
    <w:rsid w:val="004C3FE8"/>
    <w:rsid w:val="004C40F2"/>
    <w:rsid w:val="004C4587"/>
    <w:rsid w:val="004C47DE"/>
    <w:rsid w:val="004C4A0D"/>
    <w:rsid w:val="004C4AE4"/>
    <w:rsid w:val="004C4BB9"/>
    <w:rsid w:val="004C4F43"/>
    <w:rsid w:val="004C5248"/>
    <w:rsid w:val="004C52A6"/>
    <w:rsid w:val="004C52B0"/>
    <w:rsid w:val="004C52C0"/>
    <w:rsid w:val="004C52C9"/>
    <w:rsid w:val="004C5341"/>
    <w:rsid w:val="004C5666"/>
    <w:rsid w:val="004C5AA4"/>
    <w:rsid w:val="004C5C3B"/>
    <w:rsid w:val="004C5C7B"/>
    <w:rsid w:val="004C5D67"/>
    <w:rsid w:val="004C6159"/>
    <w:rsid w:val="004C61A7"/>
    <w:rsid w:val="004C6231"/>
    <w:rsid w:val="004C6277"/>
    <w:rsid w:val="004C62D3"/>
    <w:rsid w:val="004C63E0"/>
    <w:rsid w:val="004C656A"/>
    <w:rsid w:val="004C6613"/>
    <w:rsid w:val="004C6694"/>
    <w:rsid w:val="004C66C9"/>
    <w:rsid w:val="004C681B"/>
    <w:rsid w:val="004C68C2"/>
    <w:rsid w:val="004C6A08"/>
    <w:rsid w:val="004C6ADD"/>
    <w:rsid w:val="004C6C37"/>
    <w:rsid w:val="004C6ECF"/>
    <w:rsid w:val="004C6F1E"/>
    <w:rsid w:val="004C70E2"/>
    <w:rsid w:val="004C7102"/>
    <w:rsid w:val="004C716C"/>
    <w:rsid w:val="004C718F"/>
    <w:rsid w:val="004C7364"/>
    <w:rsid w:val="004C756D"/>
    <w:rsid w:val="004C761C"/>
    <w:rsid w:val="004C767D"/>
    <w:rsid w:val="004C783F"/>
    <w:rsid w:val="004C7879"/>
    <w:rsid w:val="004C7939"/>
    <w:rsid w:val="004C7E9E"/>
    <w:rsid w:val="004C7EBE"/>
    <w:rsid w:val="004C7FD3"/>
    <w:rsid w:val="004D00DC"/>
    <w:rsid w:val="004D01EE"/>
    <w:rsid w:val="004D025B"/>
    <w:rsid w:val="004D03DD"/>
    <w:rsid w:val="004D055D"/>
    <w:rsid w:val="004D0887"/>
    <w:rsid w:val="004D0D5F"/>
    <w:rsid w:val="004D0F3C"/>
    <w:rsid w:val="004D12DC"/>
    <w:rsid w:val="004D15A1"/>
    <w:rsid w:val="004D15D9"/>
    <w:rsid w:val="004D1689"/>
    <w:rsid w:val="004D178F"/>
    <w:rsid w:val="004D17EB"/>
    <w:rsid w:val="004D192B"/>
    <w:rsid w:val="004D1951"/>
    <w:rsid w:val="004D1AE9"/>
    <w:rsid w:val="004D1B5F"/>
    <w:rsid w:val="004D1D7D"/>
    <w:rsid w:val="004D1E44"/>
    <w:rsid w:val="004D1EFE"/>
    <w:rsid w:val="004D1F1A"/>
    <w:rsid w:val="004D205D"/>
    <w:rsid w:val="004D20A6"/>
    <w:rsid w:val="004D2176"/>
    <w:rsid w:val="004D22BC"/>
    <w:rsid w:val="004D23B8"/>
    <w:rsid w:val="004D2531"/>
    <w:rsid w:val="004D2541"/>
    <w:rsid w:val="004D2578"/>
    <w:rsid w:val="004D2703"/>
    <w:rsid w:val="004D27ED"/>
    <w:rsid w:val="004D30F1"/>
    <w:rsid w:val="004D313C"/>
    <w:rsid w:val="004D31D6"/>
    <w:rsid w:val="004D35B6"/>
    <w:rsid w:val="004D35D1"/>
    <w:rsid w:val="004D3612"/>
    <w:rsid w:val="004D3650"/>
    <w:rsid w:val="004D3A44"/>
    <w:rsid w:val="004D3A82"/>
    <w:rsid w:val="004D3AC5"/>
    <w:rsid w:val="004D3CBC"/>
    <w:rsid w:val="004D3E05"/>
    <w:rsid w:val="004D3E5A"/>
    <w:rsid w:val="004D44E8"/>
    <w:rsid w:val="004D487C"/>
    <w:rsid w:val="004D4BBC"/>
    <w:rsid w:val="004D4C39"/>
    <w:rsid w:val="004D4CCB"/>
    <w:rsid w:val="004D4EA9"/>
    <w:rsid w:val="004D4F43"/>
    <w:rsid w:val="004D506F"/>
    <w:rsid w:val="004D5405"/>
    <w:rsid w:val="004D5499"/>
    <w:rsid w:val="004D5A89"/>
    <w:rsid w:val="004D5DA6"/>
    <w:rsid w:val="004D5EE0"/>
    <w:rsid w:val="004D5F55"/>
    <w:rsid w:val="004D5FF5"/>
    <w:rsid w:val="004D6068"/>
    <w:rsid w:val="004D60A3"/>
    <w:rsid w:val="004D63DC"/>
    <w:rsid w:val="004D654D"/>
    <w:rsid w:val="004D660A"/>
    <w:rsid w:val="004D6A85"/>
    <w:rsid w:val="004D6AB1"/>
    <w:rsid w:val="004D6F39"/>
    <w:rsid w:val="004D6F8A"/>
    <w:rsid w:val="004D743A"/>
    <w:rsid w:val="004D7456"/>
    <w:rsid w:val="004D74C4"/>
    <w:rsid w:val="004D74D2"/>
    <w:rsid w:val="004D7919"/>
    <w:rsid w:val="004D795C"/>
    <w:rsid w:val="004D79F3"/>
    <w:rsid w:val="004D7A59"/>
    <w:rsid w:val="004D7B9E"/>
    <w:rsid w:val="004D7BAD"/>
    <w:rsid w:val="004D7BBA"/>
    <w:rsid w:val="004D7FEB"/>
    <w:rsid w:val="004E0217"/>
    <w:rsid w:val="004E026A"/>
    <w:rsid w:val="004E02B5"/>
    <w:rsid w:val="004E0417"/>
    <w:rsid w:val="004E068D"/>
    <w:rsid w:val="004E0746"/>
    <w:rsid w:val="004E07DE"/>
    <w:rsid w:val="004E0950"/>
    <w:rsid w:val="004E09FE"/>
    <w:rsid w:val="004E0A01"/>
    <w:rsid w:val="004E0FA7"/>
    <w:rsid w:val="004E11E4"/>
    <w:rsid w:val="004E11E7"/>
    <w:rsid w:val="004E14D8"/>
    <w:rsid w:val="004E16ED"/>
    <w:rsid w:val="004E1907"/>
    <w:rsid w:val="004E19FC"/>
    <w:rsid w:val="004E1B84"/>
    <w:rsid w:val="004E1DFD"/>
    <w:rsid w:val="004E2058"/>
    <w:rsid w:val="004E2117"/>
    <w:rsid w:val="004E21EF"/>
    <w:rsid w:val="004E21F9"/>
    <w:rsid w:val="004E2258"/>
    <w:rsid w:val="004E22BE"/>
    <w:rsid w:val="004E2743"/>
    <w:rsid w:val="004E27F0"/>
    <w:rsid w:val="004E2867"/>
    <w:rsid w:val="004E29A0"/>
    <w:rsid w:val="004E2C53"/>
    <w:rsid w:val="004E2C8B"/>
    <w:rsid w:val="004E2CA5"/>
    <w:rsid w:val="004E2D05"/>
    <w:rsid w:val="004E2D50"/>
    <w:rsid w:val="004E2D84"/>
    <w:rsid w:val="004E2FA9"/>
    <w:rsid w:val="004E2FE5"/>
    <w:rsid w:val="004E3309"/>
    <w:rsid w:val="004E3413"/>
    <w:rsid w:val="004E350B"/>
    <w:rsid w:val="004E3645"/>
    <w:rsid w:val="004E36D6"/>
    <w:rsid w:val="004E3701"/>
    <w:rsid w:val="004E392B"/>
    <w:rsid w:val="004E3956"/>
    <w:rsid w:val="004E3B45"/>
    <w:rsid w:val="004E3BA2"/>
    <w:rsid w:val="004E3C4B"/>
    <w:rsid w:val="004E3C4D"/>
    <w:rsid w:val="004E3F41"/>
    <w:rsid w:val="004E3F68"/>
    <w:rsid w:val="004E3F91"/>
    <w:rsid w:val="004E401E"/>
    <w:rsid w:val="004E403F"/>
    <w:rsid w:val="004E41C8"/>
    <w:rsid w:val="004E42A5"/>
    <w:rsid w:val="004E44E6"/>
    <w:rsid w:val="004E4519"/>
    <w:rsid w:val="004E458A"/>
    <w:rsid w:val="004E471A"/>
    <w:rsid w:val="004E47C4"/>
    <w:rsid w:val="004E47D5"/>
    <w:rsid w:val="004E482C"/>
    <w:rsid w:val="004E48BD"/>
    <w:rsid w:val="004E4939"/>
    <w:rsid w:val="004E4A27"/>
    <w:rsid w:val="004E4AD6"/>
    <w:rsid w:val="004E4AE8"/>
    <w:rsid w:val="004E4B5D"/>
    <w:rsid w:val="004E4B7C"/>
    <w:rsid w:val="004E4C1E"/>
    <w:rsid w:val="004E4C99"/>
    <w:rsid w:val="004E4D64"/>
    <w:rsid w:val="004E4DE7"/>
    <w:rsid w:val="004E4E76"/>
    <w:rsid w:val="004E506F"/>
    <w:rsid w:val="004E511E"/>
    <w:rsid w:val="004E5167"/>
    <w:rsid w:val="004E5169"/>
    <w:rsid w:val="004E52E5"/>
    <w:rsid w:val="004E5524"/>
    <w:rsid w:val="004E57BA"/>
    <w:rsid w:val="004E5D52"/>
    <w:rsid w:val="004E5E04"/>
    <w:rsid w:val="004E5E20"/>
    <w:rsid w:val="004E5EC9"/>
    <w:rsid w:val="004E5F97"/>
    <w:rsid w:val="004E5FF5"/>
    <w:rsid w:val="004E603D"/>
    <w:rsid w:val="004E623B"/>
    <w:rsid w:val="004E6291"/>
    <w:rsid w:val="004E62CF"/>
    <w:rsid w:val="004E634C"/>
    <w:rsid w:val="004E647F"/>
    <w:rsid w:val="004E6792"/>
    <w:rsid w:val="004E69B8"/>
    <w:rsid w:val="004E69C4"/>
    <w:rsid w:val="004E69E8"/>
    <w:rsid w:val="004E6A3B"/>
    <w:rsid w:val="004E6A85"/>
    <w:rsid w:val="004E6C55"/>
    <w:rsid w:val="004E6E84"/>
    <w:rsid w:val="004E6F16"/>
    <w:rsid w:val="004E70F4"/>
    <w:rsid w:val="004E717F"/>
    <w:rsid w:val="004E7588"/>
    <w:rsid w:val="004E765D"/>
    <w:rsid w:val="004E792B"/>
    <w:rsid w:val="004E7AF7"/>
    <w:rsid w:val="004E7BD1"/>
    <w:rsid w:val="004E7E0E"/>
    <w:rsid w:val="004F005A"/>
    <w:rsid w:val="004F009C"/>
    <w:rsid w:val="004F00B3"/>
    <w:rsid w:val="004F0101"/>
    <w:rsid w:val="004F0103"/>
    <w:rsid w:val="004F014A"/>
    <w:rsid w:val="004F01DB"/>
    <w:rsid w:val="004F0209"/>
    <w:rsid w:val="004F0505"/>
    <w:rsid w:val="004F06EE"/>
    <w:rsid w:val="004F0747"/>
    <w:rsid w:val="004F08F5"/>
    <w:rsid w:val="004F0922"/>
    <w:rsid w:val="004F0AB0"/>
    <w:rsid w:val="004F0B2D"/>
    <w:rsid w:val="004F0C3D"/>
    <w:rsid w:val="004F0D16"/>
    <w:rsid w:val="004F0E63"/>
    <w:rsid w:val="004F0E71"/>
    <w:rsid w:val="004F106C"/>
    <w:rsid w:val="004F122B"/>
    <w:rsid w:val="004F12D8"/>
    <w:rsid w:val="004F12E8"/>
    <w:rsid w:val="004F1335"/>
    <w:rsid w:val="004F13E6"/>
    <w:rsid w:val="004F155E"/>
    <w:rsid w:val="004F1C1C"/>
    <w:rsid w:val="004F1C4E"/>
    <w:rsid w:val="004F1E19"/>
    <w:rsid w:val="004F1E4A"/>
    <w:rsid w:val="004F1E66"/>
    <w:rsid w:val="004F1E89"/>
    <w:rsid w:val="004F1ED5"/>
    <w:rsid w:val="004F1F19"/>
    <w:rsid w:val="004F1F56"/>
    <w:rsid w:val="004F1F73"/>
    <w:rsid w:val="004F2093"/>
    <w:rsid w:val="004F2201"/>
    <w:rsid w:val="004F2349"/>
    <w:rsid w:val="004F2505"/>
    <w:rsid w:val="004F2519"/>
    <w:rsid w:val="004F281C"/>
    <w:rsid w:val="004F289C"/>
    <w:rsid w:val="004F2BD8"/>
    <w:rsid w:val="004F2C91"/>
    <w:rsid w:val="004F2E8D"/>
    <w:rsid w:val="004F314F"/>
    <w:rsid w:val="004F33B7"/>
    <w:rsid w:val="004F3490"/>
    <w:rsid w:val="004F3659"/>
    <w:rsid w:val="004F375F"/>
    <w:rsid w:val="004F3822"/>
    <w:rsid w:val="004F39B7"/>
    <w:rsid w:val="004F3A72"/>
    <w:rsid w:val="004F3AE2"/>
    <w:rsid w:val="004F3B7F"/>
    <w:rsid w:val="004F3D28"/>
    <w:rsid w:val="004F3D63"/>
    <w:rsid w:val="004F3DF2"/>
    <w:rsid w:val="004F404A"/>
    <w:rsid w:val="004F4477"/>
    <w:rsid w:val="004F448E"/>
    <w:rsid w:val="004F4743"/>
    <w:rsid w:val="004F476E"/>
    <w:rsid w:val="004F47DF"/>
    <w:rsid w:val="004F481E"/>
    <w:rsid w:val="004F4827"/>
    <w:rsid w:val="004F4D85"/>
    <w:rsid w:val="004F4F65"/>
    <w:rsid w:val="004F5038"/>
    <w:rsid w:val="004F55CC"/>
    <w:rsid w:val="004F5681"/>
    <w:rsid w:val="004F5687"/>
    <w:rsid w:val="004F5727"/>
    <w:rsid w:val="004F5791"/>
    <w:rsid w:val="004F596E"/>
    <w:rsid w:val="004F5BBA"/>
    <w:rsid w:val="004F5BDD"/>
    <w:rsid w:val="004F5C54"/>
    <w:rsid w:val="004F5D10"/>
    <w:rsid w:val="004F5D95"/>
    <w:rsid w:val="004F5DB7"/>
    <w:rsid w:val="004F5ED4"/>
    <w:rsid w:val="004F605E"/>
    <w:rsid w:val="004F6068"/>
    <w:rsid w:val="004F64FB"/>
    <w:rsid w:val="004F6515"/>
    <w:rsid w:val="004F6605"/>
    <w:rsid w:val="004F67C8"/>
    <w:rsid w:val="004F69BB"/>
    <w:rsid w:val="004F6C77"/>
    <w:rsid w:val="004F6C8B"/>
    <w:rsid w:val="004F6CB4"/>
    <w:rsid w:val="004F705C"/>
    <w:rsid w:val="004F72AE"/>
    <w:rsid w:val="004F738D"/>
    <w:rsid w:val="004F7585"/>
    <w:rsid w:val="004F772B"/>
    <w:rsid w:val="004F7752"/>
    <w:rsid w:val="004F7C0F"/>
    <w:rsid w:val="004F7C1E"/>
    <w:rsid w:val="004F7CFE"/>
    <w:rsid w:val="004F7DB6"/>
    <w:rsid w:val="004F7FC3"/>
    <w:rsid w:val="00500045"/>
    <w:rsid w:val="00500075"/>
    <w:rsid w:val="0050026C"/>
    <w:rsid w:val="005004D7"/>
    <w:rsid w:val="00500512"/>
    <w:rsid w:val="0050060C"/>
    <w:rsid w:val="005007AE"/>
    <w:rsid w:val="005007E5"/>
    <w:rsid w:val="00500978"/>
    <w:rsid w:val="00500AD6"/>
    <w:rsid w:val="00500BA5"/>
    <w:rsid w:val="00500D43"/>
    <w:rsid w:val="00500E04"/>
    <w:rsid w:val="00500EB4"/>
    <w:rsid w:val="00500EDB"/>
    <w:rsid w:val="00500FDD"/>
    <w:rsid w:val="005010BC"/>
    <w:rsid w:val="0050114B"/>
    <w:rsid w:val="005011A5"/>
    <w:rsid w:val="005011D0"/>
    <w:rsid w:val="00501345"/>
    <w:rsid w:val="0050135B"/>
    <w:rsid w:val="0050157A"/>
    <w:rsid w:val="00501703"/>
    <w:rsid w:val="005017A1"/>
    <w:rsid w:val="005018AB"/>
    <w:rsid w:val="0050192D"/>
    <w:rsid w:val="005019E2"/>
    <w:rsid w:val="00501D5A"/>
    <w:rsid w:val="00501DA6"/>
    <w:rsid w:val="00501FE0"/>
    <w:rsid w:val="00502215"/>
    <w:rsid w:val="00502438"/>
    <w:rsid w:val="0050267A"/>
    <w:rsid w:val="0050273B"/>
    <w:rsid w:val="00502C98"/>
    <w:rsid w:val="00502CDE"/>
    <w:rsid w:val="00502D64"/>
    <w:rsid w:val="00502E9B"/>
    <w:rsid w:val="00502EB2"/>
    <w:rsid w:val="00502F52"/>
    <w:rsid w:val="005032A8"/>
    <w:rsid w:val="00503375"/>
    <w:rsid w:val="00503393"/>
    <w:rsid w:val="00503508"/>
    <w:rsid w:val="00503616"/>
    <w:rsid w:val="00503632"/>
    <w:rsid w:val="00503636"/>
    <w:rsid w:val="00503A1A"/>
    <w:rsid w:val="00503B87"/>
    <w:rsid w:val="00503F27"/>
    <w:rsid w:val="005040CD"/>
    <w:rsid w:val="005041E4"/>
    <w:rsid w:val="005048E2"/>
    <w:rsid w:val="00504B93"/>
    <w:rsid w:val="00504E31"/>
    <w:rsid w:val="00504FC3"/>
    <w:rsid w:val="0050520B"/>
    <w:rsid w:val="005052E0"/>
    <w:rsid w:val="005053AB"/>
    <w:rsid w:val="005053CD"/>
    <w:rsid w:val="0050544C"/>
    <w:rsid w:val="005054FA"/>
    <w:rsid w:val="0050552C"/>
    <w:rsid w:val="00505541"/>
    <w:rsid w:val="00505694"/>
    <w:rsid w:val="005057FF"/>
    <w:rsid w:val="005059C1"/>
    <w:rsid w:val="00505B1A"/>
    <w:rsid w:val="00505B63"/>
    <w:rsid w:val="00505C51"/>
    <w:rsid w:val="00505E04"/>
    <w:rsid w:val="00506235"/>
    <w:rsid w:val="00506239"/>
    <w:rsid w:val="00506299"/>
    <w:rsid w:val="00506346"/>
    <w:rsid w:val="00506430"/>
    <w:rsid w:val="00506468"/>
    <w:rsid w:val="0050649F"/>
    <w:rsid w:val="0050661B"/>
    <w:rsid w:val="005066B1"/>
    <w:rsid w:val="005066D6"/>
    <w:rsid w:val="00506752"/>
    <w:rsid w:val="00506AAE"/>
    <w:rsid w:val="00506C09"/>
    <w:rsid w:val="00506EDD"/>
    <w:rsid w:val="005070E6"/>
    <w:rsid w:val="0050733A"/>
    <w:rsid w:val="00507365"/>
    <w:rsid w:val="00507413"/>
    <w:rsid w:val="005074C5"/>
    <w:rsid w:val="00507503"/>
    <w:rsid w:val="0050753A"/>
    <w:rsid w:val="00507731"/>
    <w:rsid w:val="005077DF"/>
    <w:rsid w:val="00507849"/>
    <w:rsid w:val="00507B7F"/>
    <w:rsid w:val="00507C06"/>
    <w:rsid w:val="00507CE7"/>
    <w:rsid w:val="00507D1C"/>
    <w:rsid w:val="00507E2E"/>
    <w:rsid w:val="00507EC4"/>
    <w:rsid w:val="00510151"/>
    <w:rsid w:val="005101B7"/>
    <w:rsid w:val="0051021B"/>
    <w:rsid w:val="005102A3"/>
    <w:rsid w:val="005103DD"/>
    <w:rsid w:val="005108A4"/>
    <w:rsid w:val="005109EC"/>
    <w:rsid w:val="00510A0C"/>
    <w:rsid w:val="00510A11"/>
    <w:rsid w:val="00511143"/>
    <w:rsid w:val="00511145"/>
    <w:rsid w:val="00511409"/>
    <w:rsid w:val="0051166F"/>
    <w:rsid w:val="005116E1"/>
    <w:rsid w:val="005117E6"/>
    <w:rsid w:val="0051181B"/>
    <w:rsid w:val="0051189A"/>
    <w:rsid w:val="005118ED"/>
    <w:rsid w:val="0051196C"/>
    <w:rsid w:val="00511A66"/>
    <w:rsid w:val="00511AC3"/>
    <w:rsid w:val="00511B5D"/>
    <w:rsid w:val="00511BD8"/>
    <w:rsid w:val="00511D7A"/>
    <w:rsid w:val="00511F71"/>
    <w:rsid w:val="00512095"/>
    <w:rsid w:val="005121EC"/>
    <w:rsid w:val="0051224F"/>
    <w:rsid w:val="00512440"/>
    <w:rsid w:val="005124E9"/>
    <w:rsid w:val="005124FB"/>
    <w:rsid w:val="0051251A"/>
    <w:rsid w:val="0051269D"/>
    <w:rsid w:val="005126C7"/>
    <w:rsid w:val="0051293A"/>
    <w:rsid w:val="005129A2"/>
    <w:rsid w:val="00512AE8"/>
    <w:rsid w:val="00512B38"/>
    <w:rsid w:val="00512B4A"/>
    <w:rsid w:val="00512B68"/>
    <w:rsid w:val="00512C6E"/>
    <w:rsid w:val="00512E57"/>
    <w:rsid w:val="00512ED0"/>
    <w:rsid w:val="00512F32"/>
    <w:rsid w:val="00513027"/>
    <w:rsid w:val="0051321C"/>
    <w:rsid w:val="00513289"/>
    <w:rsid w:val="0051335C"/>
    <w:rsid w:val="005133B6"/>
    <w:rsid w:val="005133E7"/>
    <w:rsid w:val="005134AA"/>
    <w:rsid w:val="00513692"/>
    <w:rsid w:val="0051373B"/>
    <w:rsid w:val="0051374F"/>
    <w:rsid w:val="00513937"/>
    <w:rsid w:val="00513AD6"/>
    <w:rsid w:val="00513C10"/>
    <w:rsid w:val="00513CC7"/>
    <w:rsid w:val="00513DB9"/>
    <w:rsid w:val="00513E8B"/>
    <w:rsid w:val="00513FC7"/>
    <w:rsid w:val="00514099"/>
    <w:rsid w:val="0051413F"/>
    <w:rsid w:val="005141EA"/>
    <w:rsid w:val="00514209"/>
    <w:rsid w:val="00514279"/>
    <w:rsid w:val="0051444C"/>
    <w:rsid w:val="00514549"/>
    <w:rsid w:val="00514668"/>
    <w:rsid w:val="00514813"/>
    <w:rsid w:val="005148DE"/>
    <w:rsid w:val="0051491C"/>
    <w:rsid w:val="00514A43"/>
    <w:rsid w:val="00514AD1"/>
    <w:rsid w:val="00514B3E"/>
    <w:rsid w:val="00514E45"/>
    <w:rsid w:val="0051507C"/>
    <w:rsid w:val="005152FD"/>
    <w:rsid w:val="00515349"/>
    <w:rsid w:val="0051537D"/>
    <w:rsid w:val="00515483"/>
    <w:rsid w:val="0051549D"/>
    <w:rsid w:val="00515686"/>
    <w:rsid w:val="005159E5"/>
    <w:rsid w:val="00515B48"/>
    <w:rsid w:val="00515CC9"/>
    <w:rsid w:val="00515D56"/>
    <w:rsid w:val="005160E8"/>
    <w:rsid w:val="00516147"/>
    <w:rsid w:val="005161BC"/>
    <w:rsid w:val="0051628A"/>
    <w:rsid w:val="005166F3"/>
    <w:rsid w:val="0051688E"/>
    <w:rsid w:val="0051689A"/>
    <w:rsid w:val="005169A6"/>
    <w:rsid w:val="00516A09"/>
    <w:rsid w:val="00516A7D"/>
    <w:rsid w:val="00516B56"/>
    <w:rsid w:val="00516C5B"/>
    <w:rsid w:val="00516D04"/>
    <w:rsid w:val="00516F0F"/>
    <w:rsid w:val="00516F86"/>
    <w:rsid w:val="00516FFC"/>
    <w:rsid w:val="0051736A"/>
    <w:rsid w:val="0051761D"/>
    <w:rsid w:val="00517A6E"/>
    <w:rsid w:val="00517AFB"/>
    <w:rsid w:val="00517B74"/>
    <w:rsid w:val="00517DE5"/>
    <w:rsid w:val="00517E6A"/>
    <w:rsid w:val="00517F63"/>
    <w:rsid w:val="00517FD9"/>
    <w:rsid w:val="005200B2"/>
    <w:rsid w:val="005201F5"/>
    <w:rsid w:val="005206A5"/>
    <w:rsid w:val="00520725"/>
    <w:rsid w:val="00520737"/>
    <w:rsid w:val="00520749"/>
    <w:rsid w:val="00520759"/>
    <w:rsid w:val="005207AB"/>
    <w:rsid w:val="00520994"/>
    <w:rsid w:val="00520A59"/>
    <w:rsid w:val="00520C4A"/>
    <w:rsid w:val="00520CE2"/>
    <w:rsid w:val="00520EC2"/>
    <w:rsid w:val="0052103A"/>
    <w:rsid w:val="00521161"/>
    <w:rsid w:val="00521179"/>
    <w:rsid w:val="005212E6"/>
    <w:rsid w:val="005213BD"/>
    <w:rsid w:val="0052149E"/>
    <w:rsid w:val="0052150F"/>
    <w:rsid w:val="0052155E"/>
    <w:rsid w:val="00521629"/>
    <w:rsid w:val="00521745"/>
    <w:rsid w:val="005218C2"/>
    <w:rsid w:val="0052196E"/>
    <w:rsid w:val="00521FEA"/>
    <w:rsid w:val="00522234"/>
    <w:rsid w:val="0052252F"/>
    <w:rsid w:val="00522605"/>
    <w:rsid w:val="005228F1"/>
    <w:rsid w:val="00522BAD"/>
    <w:rsid w:val="00522C94"/>
    <w:rsid w:val="00522D63"/>
    <w:rsid w:val="00522D8F"/>
    <w:rsid w:val="00522E35"/>
    <w:rsid w:val="00522F90"/>
    <w:rsid w:val="005231A2"/>
    <w:rsid w:val="0052329C"/>
    <w:rsid w:val="005232A3"/>
    <w:rsid w:val="005233BE"/>
    <w:rsid w:val="005234F5"/>
    <w:rsid w:val="005235FE"/>
    <w:rsid w:val="00523836"/>
    <w:rsid w:val="00523B83"/>
    <w:rsid w:val="00523BFA"/>
    <w:rsid w:val="00523C45"/>
    <w:rsid w:val="00523E8C"/>
    <w:rsid w:val="00523E95"/>
    <w:rsid w:val="005242BD"/>
    <w:rsid w:val="005243B8"/>
    <w:rsid w:val="005244C1"/>
    <w:rsid w:val="0052450F"/>
    <w:rsid w:val="005245C3"/>
    <w:rsid w:val="00524A02"/>
    <w:rsid w:val="00524D89"/>
    <w:rsid w:val="00524DD1"/>
    <w:rsid w:val="00524F0D"/>
    <w:rsid w:val="00524F79"/>
    <w:rsid w:val="00524F99"/>
    <w:rsid w:val="0052503A"/>
    <w:rsid w:val="0052512F"/>
    <w:rsid w:val="00525133"/>
    <w:rsid w:val="00525204"/>
    <w:rsid w:val="0052524C"/>
    <w:rsid w:val="00525308"/>
    <w:rsid w:val="00525346"/>
    <w:rsid w:val="00525431"/>
    <w:rsid w:val="00525535"/>
    <w:rsid w:val="005256CE"/>
    <w:rsid w:val="005257F7"/>
    <w:rsid w:val="00525BC0"/>
    <w:rsid w:val="00525CB6"/>
    <w:rsid w:val="00525D15"/>
    <w:rsid w:val="00525D66"/>
    <w:rsid w:val="00525E42"/>
    <w:rsid w:val="00525E87"/>
    <w:rsid w:val="0052609C"/>
    <w:rsid w:val="005261DF"/>
    <w:rsid w:val="0052622D"/>
    <w:rsid w:val="00526551"/>
    <w:rsid w:val="00526567"/>
    <w:rsid w:val="0052656E"/>
    <w:rsid w:val="00526673"/>
    <w:rsid w:val="00526679"/>
    <w:rsid w:val="005268B0"/>
    <w:rsid w:val="00526996"/>
    <w:rsid w:val="00526A62"/>
    <w:rsid w:val="00526B18"/>
    <w:rsid w:val="00526BD5"/>
    <w:rsid w:val="00526D87"/>
    <w:rsid w:val="00526E7E"/>
    <w:rsid w:val="0052700A"/>
    <w:rsid w:val="00527269"/>
    <w:rsid w:val="0052743E"/>
    <w:rsid w:val="00527473"/>
    <w:rsid w:val="00527777"/>
    <w:rsid w:val="005277A4"/>
    <w:rsid w:val="00527A43"/>
    <w:rsid w:val="00527A86"/>
    <w:rsid w:val="00527B0D"/>
    <w:rsid w:val="00527EF9"/>
    <w:rsid w:val="0053038F"/>
    <w:rsid w:val="005309CE"/>
    <w:rsid w:val="00530A5C"/>
    <w:rsid w:val="00530A98"/>
    <w:rsid w:val="00530BF7"/>
    <w:rsid w:val="00530CF0"/>
    <w:rsid w:val="005310B6"/>
    <w:rsid w:val="005312A5"/>
    <w:rsid w:val="0053154A"/>
    <w:rsid w:val="0053154E"/>
    <w:rsid w:val="005318C3"/>
    <w:rsid w:val="005319E8"/>
    <w:rsid w:val="00531B3C"/>
    <w:rsid w:val="00531C19"/>
    <w:rsid w:val="00531F78"/>
    <w:rsid w:val="00532026"/>
    <w:rsid w:val="00532175"/>
    <w:rsid w:val="0053264F"/>
    <w:rsid w:val="00532971"/>
    <w:rsid w:val="005329EC"/>
    <w:rsid w:val="00532A39"/>
    <w:rsid w:val="00532CA6"/>
    <w:rsid w:val="00532D6C"/>
    <w:rsid w:val="00532DDC"/>
    <w:rsid w:val="00532ED4"/>
    <w:rsid w:val="00532F26"/>
    <w:rsid w:val="00532FEE"/>
    <w:rsid w:val="00533302"/>
    <w:rsid w:val="00533592"/>
    <w:rsid w:val="0053369C"/>
    <w:rsid w:val="0053373F"/>
    <w:rsid w:val="0053384D"/>
    <w:rsid w:val="005338DE"/>
    <w:rsid w:val="00533962"/>
    <w:rsid w:val="00533BC0"/>
    <w:rsid w:val="00533C51"/>
    <w:rsid w:val="00533CC0"/>
    <w:rsid w:val="00533CFE"/>
    <w:rsid w:val="00533D08"/>
    <w:rsid w:val="00533FE4"/>
    <w:rsid w:val="005340C5"/>
    <w:rsid w:val="005340C6"/>
    <w:rsid w:val="005341E3"/>
    <w:rsid w:val="0053427F"/>
    <w:rsid w:val="0053428D"/>
    <w:rsid w:val="005342E2"/>
    <w:rsid w:val="00534320"/>
    <w:rsid w:val="005345C7"/>
    <w:rsid w:val="00534633"/>
    <w:rsid w:val="005346CB"/>
    <w:rsid w:val="00534866"/>
    <w:rsid w:val="005348C0"/>
    <w:rsid w:val="005349D8"/>
    <w:rsid w:val="00534BF1"/>
    <w:rsid w:val="00534D76"/>
    <w:rsid w:val="00534E3F"/>
    <w:rsid w:val="00534F99"/>
    <w:rsid w:val="0053507F"/>
    <w:rsid w:val="00535242"/>
    <w:rsid w:val="005354CC"/>
    <w:rsid w:val="00535892"/>
    <w:rsid w:val="00535ABF"/>
    <w:rsid w:val="00535D1B"/>
    <w:rsid w:val="00535D2E"/>
    <w:rsid w:val="00535DE1"/>
    <w:rsid w:val="00535F57"/>
    <w:rsid w:val="00535FD0"/>
    <w:rsid w:val="00536041"/>
    <w:rsid w:val="00536091"/>
    <w:rsid w:val="005360A5"/>
    <w:rsid w:val="0053632B"/>
    <w:rsid w:val="00536339"/>
    <w:rsid w:val="00536404"/>
    <w:rsid w:val="00536762"/>
    <w:rsid w:val="005367CD"/>
    <w:rsid w:val="0053685C"/>
    <w:rsid w:val="00536998"/>
    <w:rsid w:val="00536BD0"/>
    <w:rsid w:val="00536FA4"/>
    <w:rsid w:val="00536FFE"/>
    <w:rsid w:val="0053702F"/>
    <w:rsid w:val="0053763B"/>
    <w:rsid w:val="005377C0"/>
    <w:rsid w:val="00537958"/>
    <w:rsid w:val="00537978"/>
    <w:rsid w:val="005379BE"/>
    <w:rsid w:val="00537A1C"/>
    <w:rsid w:val="00537B25"/>
    <w:rsid w:val="00537B92"/>
    <w:rsid w:val="00537D2A"/>
    <w:rsid w:val="00537D58"/>
    <w:rsid w:val="00537D66"/>
    <w:rsid w:val="0054036C"/>
    <w:rsid w:val="0054050A"/>
    <w:rsid w:val="0054051A"/>
    <w:rsid w:val="005405D5"/>
    <w:rsid w:val="005407B3"/>
    <w:rsid w:val="00540821"/>
    <w:rsid w:val="0054086E"/>
    <w:rsid w:val="005408A1"/>
    <w:rsid w:val="005408E9"/>
    <w:rsid w:val="00540945"/>
    <w:rsid w:val="005409DD"/>
    <w:rsid w:val="00540A4A"/>
    <w:rsid w:val="00540C45"/>
    <w:rsid w:val="00540FBB"/>
    <w:rsid w:val="005410D9"/>
    <w:rsid w:val="00541224"/>
    <w:rsid w:val="00541300"/>
    <w:rsid w:val="005413A4"/>
    <w:rsid w:val="005414EA"/>
    <w:rsid w:val="005418B1"/>
    <w:rsid w:val="00541928"/>
    <w:rsid w:val="0054195A"/>
    <w:rsid w:val="00541988"/>
    <w:rsid w:val="00541AC5"/>
    <w:rsid w:val="00541C97"/>
    <w:rsid w:val="00541CC3"/>
    <w:rsid w:val="00541DD4"/>
    <w:rsid w:val="00541E19"/>
    <w:rsid w:val="00541F53"/>
    <w:rsid w:val="00541FD2"/>
    <w:rsid w:val="0054205F"/>
    <w:rsid w:val="005420DF"/>
    <w:rsid w:val="00542209"/>
    <w:rsid w:val="00542606"/>
    <w:rsid w:val="0054290A"/>
    <w:rsid w:val="005429E3"/>
    <w:rsid w:val="00542A4F"/>
    <w:rsid w:val="00542DF1"/>
    <w:rsid w:val="00542F27"/>
    <w:rsid w:val="0054321F"/>
    <w:rsid w:val="00543313"/>
    <w:rsid w:val="005435C6"/>
    <w:rsid w:val="0054375F"/>
    <w:rsid w:val="0054384C"/>
    <w:rsid w:val="005438E7"/>
    <w:rsid w:val="00543987"/>
    <w:rsid w:val="00543A3A"/>
    <w:rsid w:val="00543A92"/>
    <w:rsid w:val="00543C04"/>
    <w:rsid w:val="00543C57"/>
    <w:rsid w:val="00543DDF"/>
    <w:rsid w:val="0054405D"/>
    <w:rsid w:val="005445BD"/>
    <w:rsid w:val="0054486C"/>
    <w:rsid w:val="005448C6"/>
    <w:rsid w:val="0054491A"/>
    <w:rsid w:val="0054492B"/>
    <w:rsid w:val="00544CC0"/>
    <w:rsid w:val="00544F26"/>
    <w:rsid w:val="00544FF5"/>
    <w:rsid w:val="00545012"/>
    <w:rsid w:val="005450AB"/>
    <w:rsid w:val="005451EA"/>
    <w:rsid w:val="00545659"/>
    <w:rsid w:val="00545748"/>
    <w:rsid w:val="00545928"/>
    <w:rsid w:val="005459AD"/>
    <w:rsid w:val="00545C05"/>
    <w:rsid w:val="00545D07"/>
    <w:rsid w:val="00545D2C"/>
    <w:rsid w:val="00545EFD"/>
    <w:rsid w:val="005462D2"/>
    <w:rsid w:val="00546314"/>
    <w:rsid w:val="0054634C"/>
    <w:rsid w:val="005464DF"/>
    <w:rsid w:val="005465F8"/>
    <w:rsid w:val="0054672B"/>
    <w:rsid w:val="0054673B"/>
    <w:rsid w:val="0054689A"/>
    <w:rsid w:val="00546940"/>
    <w:rsid w:val="00546984"/>
    <w:rsid w:val="005469BE"/>
    <w:rsid w:val="00546ABB"/>
    <w:rsid w:val="00546BD7"/>
    <w:rsid w:val="00546CD1"/>
    <w:rsid w:val="00546CD9"/>
    <w:rsid w:val="00546DF7"/>
    <w:rsid w:val="00546EC0"/>
    <w:rsid w:val="0054703E"/>
    <w:rsid w:val="00547301"/>
    <w:rsid w:val="00547335"/>
    <w:rsid w:val="005475F6"/>
    <w:rsid w:val="005476EF"/>
    <w:rsid w:val="00547720"/>
    <w:rsid w:val="005478F4"/>
    <w:rsid w:val="00547982"/>
    <w:rsid w:val="00547992"/>
    <w:rsid w:val="00547A99"/>
    <w:rsid w:val="00547AB1"/>
    <w:rsid w:val="00547AF7"/>
    <w:rsid w:val="00547B59"/>
    <w:rsid w:val="00547CC4"/>
    <w:rsid w:val="00547D4D"/>
    <w:rsid w:val="00550044"/>
    <w:rsid w:val="005500A6"/>
    <w:rsid w:val="00550206"/>
    <w:rsid w:val="00550220"/>
    <w:rsid w:val="005503BF"/>
    <w:rsid w:val="0055042A"/>
    <w:rsid w:val="00550AA9"/>
    <w:rsid w:val="00550C20"/>
    <w:rsid w:val="00550EAD"/>
    <w:rsid w:val="00550F5E"/>
    <w:rsid w:val="00550F84"/>
    <w:rsid w:val="00551330"/>
    <w:rsid w:val="005515E4"/>
    <w:rsid w:val="0055169C"/>
    <w:rsid w:val="005516EE"/>
    <w:rsid w:val="00551773"/>
    <w:rsid w:val="00551774"/>
    <w:rsid w:val="0055179B"/>
    <w:rsid w:val="00551852"/>
    <w:rsid w:val="0055189E"/>
    <w:rsid w:val="00551CF0"/>
    <w:rsid w:val="00551D3C"/>
    <w:rsid w:val="00551D54"/>
    <w:rsid w:val="00551DDB"/>
    <w:rsid w:val="00551F4B"/>
    <w:rsid w:val="005523ED"/>
    <w:rsid w:val="00552551"/>
    <w:rsid w:val="005525ED"/>
    <w:rsid w:val="00552655"/>
    <w:rsid w:val="0055265D"/>
    <w:rsid w:val="005529F1"/>
    <w:rsid w:val="00552D58"/>
    <w:rsid w:val="00552F06"/>
    <w:rsid w:val="00552F87"/>
    <w:rsid w:val="0055331A"/>
    <w:rsid w:val="0055334A"/>
    <w:rsid w:val="005534B5"/>
    <w:rsid w:val="0055357D"/>
    <w:rsid w:val="005535BC"/>
    <w:rsid w:val="005536B1"/>
    <w:rsid w:val="005536F7"/>
    <w:rsid w:val="00553893"/>
    <w:rsid w:val="005538F6"/>
    <w:rsid w:val="00553903"/>
    <w:rsid w:val="00553A60"/>
    <w:rsid w:val="00553B4B"/>
    <w:rsid w:val="00553D69"/>
    <w:rsid w:val="005541E3"/>
    <w:rsid w:val="0055421D"/>
    <w:rsid w:val="00554290"/>
    <w:rsid w:val="00554347"/>
    <w:rsid w:val="005544B8"/>
    <w:rsid w:val="005544EF"/>
    <w:rsid w:val="005545EF"/>
    <w:rsid w:val="005548C9"/>
    <w:rsid w:val="00554913"/>
    <w:rsid w:val="00554C8B"/>
    <w:rsid w:val="00554E32"/>
    <w:rsid w:val="00554E35"/>
    <w:rsid w:val="00554F74"/>
    <w:rsid w:val="00554FF6"/>
    <w:rsid w:val="0055516C"/>
    <w:rsid w:val="00555316"/>
    <w:rsid w:val="0055537B"/>
    <w:rsid w:val="005554B0"/>
    <w:rsid w:val="005555D5"/>
    <w:rsid w:val="0055560A"/>
    <w:rsid w:val="0055562E"/>
    <w:rsid w:val="00555720"/>
    <w:rsid w:val="00555782"/>
    <w:rsid w:val="00555796"/>
    <w:rsid w:val="00555AA4"/>
    <w:rsid w:val="00555B62"/>
    <w:rsid w:val="00555F2E"/>
    <w:rsid w:val="00555FBE"/>
    <w:rsid w:val="00556334"/>
    <w:rsid w:val="00556622"/>
    <w:rsid w:val="0055664D"/>
    <w:rsid w:val="005566F5"/>
    <w:rsid w:val="0055675A"/>
    <w:rsid w:val="00556F23"/>
    <w:rsid w:val="0055700F"/>
    <w:rsid w:val="00557063"/>
    <w:rsid w:val="005571FF"/>
    <w:rsid w:val="00557320"/>
    <w:rsid w:val="00557405"/>
    <w:rsid w:val="00557524"/>
    <w:rsid w:val="005579A0"/>
    <w:rsid w:val="00557BF0"/>
    <w:rsid w:val="00557E10"/>
    <w:rsid w:val="00557EB2"/>
    <w:rsid w:val="005600F5"/>
    <w:rsid w:val="00560194"/>
    <w:rsid w:val="005601AB"/>
    <w:rsid w:val="0056029E"/>
    <w:rsid w:val="0056065D"/>
    <w:rsid w:val="005609AF"/>
    <w:rsid w:val="00560AAA"/>
    <w:rsid w:val="00560F36"/>
    <w:rsid w:val="00560FAF"/>
    <w:rsid w:val="0056105F"/>
    <w:rsid w:val="005610BE"/>
    <w:rsid w:val="005610F9"/>
    <w:rsid w:val="00561186"/>
    <w:rsid w:val="0056122D"/>
    <w:rsid w:val="005612AF"/>
    <w:rsid w:val="005612FB"/>
    <w:rsid w:val="00561404"/>
    <w:rsid w:val="0056140A"/>
    <w:rsid w:val="00561766"/>
    <w:rsid w:val="0056177D"/>
    <w:rsid w:val="0056184A"/>
    <w:rsid w:val="00561A78"/>
    <w:rsid w:val="00561DED"/>
    <w:rsid w:val="00561E68"/>
    <w:rsid w:val="00561EBD"/>
    <w:rsid w:val="00561EFF"/>
    <w:rsid w:val="00562287"/>
    <w:rsid w:val="005623D5"/>
    <w:rsid w:val="005623DB"/>
    <w:rsid w:val="00562433"/>
    <w:rsid w:val="005624F0"/>
    <w:rsid w:val="005625DD"/>
    <w:rsid w:val="00562648"/>
    <w:rsid w:val="0056277B"/>
    <w:rsid w:val="00562862"/>
    <w:rsid w:val="005629D5"/>
    <w:rsid w:val="00562A96"/>
    <w:rsid w:val="00562AAF"/>
    <w:rsid w:val="00562C96"/>
    <w:rsid w:val="00562D6E"/>
    <w:rsid w:val="00562DDA"/>
    <w:rsid w:val="00562DF9"/>
    <w:rsid w:val="00562E5A"/>
    <w:rsid w:val="00562F97"/>
    <w:rsid w:val="00563164"/>
    <w:rsid w:val="0056318D"/>
    <w:rsid w:val="00563277"/>
    <w:rsid w:val="0056345D"/>
    <w:rsid w:val="00563923"/>
    <w:rsid w:val="00563A8C"/>
    <w:rsid w:val="00563AF7"/>
    <w:rsid w:val="00563C81"/>
    <w:rsid w:val="00563F25"/>
    <w:rsid w:val="00563FB2"/>
    <w:rsid w:val="00564256"/>
    <w:rsid w:val="00564340"/>
    <w:rsid w:val="005644D4"/>
    <w:rsid w:val="0056453D"/>
    <w:rsid w:val="005645A9"/>
    <w:rsid w:val="00564613"/>
    <w:rsid w:val="005646D6"/>
    <w:rsid w:val="0056497E"/>
    <w:rsid w:val="005649BB"/>
    <w:rsid w:val="00564C72"/>
    <w:rsid w:val="00564DE5"/>
    <w:rsid w:val="00565216"/>
    <w:rsid w:val="005652C4"/>
    <w:rsid w:val="005653AC"/>
    <w:rsid w:val="0056547C"/>
    <w:rsid w:val="00565A0A"/>
    <w:rsid w:val="00565C30"/>
    <w:rsid w:val="0056603C"/>
    <w:rsid w:val="0056619B"/>
    <w:rsid w:val="00566301"/>
    <w:rsid w:val="00566438"/>
    <w:rsid w:val="005664FE"/>
    <w:rsid w:val="0056657C"/>
    <w:rsid w:val="005665E9"/>
    <w:rsid w:val="0056663A"/>
    <w:rsid w:val="0056688B"/>
    <w:rsid w:val="005669F1"/>
    <w:rsid w:val="00566A82"/>
    <w:rsid w:val="00566CA9"/>
    <w:rsid w:val="00566D42"/>
    <w:rsid w:val="00566EF0"/>
    <w:rsid w:val="005671A6"/>
    <w:rsid w:val="00567275"/>
    <w:rsid w:val="005673C6"/>
    <w:rsid w:val="0056752B"/>
    <w:rsid w:val="0056754A"/>
    <w:rsid w:val="00567831"/>
    <w:rsid w:val="00567959"/>
    <w:rsid w:val="005679CB"/>
    <w:rsid w:val="00567A84"/>
    <w:rsid w:val="00567ADD"/>
    <w:rsid w:val="00567C32"/>
    <w:rsid w:val="00567D16"/>
    <w:rsid w:val="00567EC0"/>
    <w:rsid w:val="00567F08"/>
    <w:rsid w:val="00567F52"/>
    <w:rsid w:val="00567FC9"/>
    <w:rsid w:val="00567FEF"/>
    <w:rsid w:val="0057003D"/>
    <w:rsid w:val="00570055"/>
    <w:rsid w:val="005700CC"/>
    <w:rsid w:val="0057025B"/>
    <w:rsid w:val="005702CB"/>
    <w:rsid w:val="005702F7"/>
    <w:rsid w:val="0057032C"/>
    <w:rsid w:val="005703AC"/>
    <w:rsid w:val="0057042A"/>
    <w:rsid w:val="005705D5"/>
    <w:rsid w:val="005706CB"/>
    <w:rsid w:val="005707DA"/>
    <w:rsid w:val="005709E2"/>
    <w:rsid w:val="00570B4F"/>
    <w:rsid w:val="00570B62"/>
    <w:rsid w:val="00570C2A"/>
    <w:rsid w:val="00570C5E"/>
    <w:rsid w:val="00570D69"/>
    <w:rsid w:val="00570DFB"/>
    <w:rsid w:val="00570EEC"/>
    <w:rsid w:val="00571056"/>
    <w:rsid w:val="0057117E"/>
    <w:rsid w:val="005711DA"/>
    <w:rsid w:val="00571447"/>
    <w:rsid w:val="00571508"/>
    <w:rsid w:val="00571568"/>
    <w:rsid w:val="005718B3"/>
    <w:rsid w:val="005719F4"/>
    <w:rsid w:val="00571B67"/>
    <w:rsid w:val="00571BF5"/>
    <w:rsid w:val="0057207C"/>
    <w:rsid w:val="0057229E"/>
    <w:rsid w:val="005723CE"/>
    <w:rsid w:val="00572427"/>
    <w:rsid w:val="00572576"/>
    <w:rsid w:val="005725DB"/>
    <w:rsid w:val="00572613"/>
    <w:rsid w:val="0057294D"/>
    <w:rsid w:val="00572B16"/>
    <w:rsid w:val="00572C3C"/>
    <w:rsid w:val="00572C5D"/>
    <w:rsid w:val="00572C62"/>
    <w:rsid w:val="00572CB0"/>
    <w:rsid w:val="00572D04"/>
    <w:rsid w:val="00572D06"/>
    <w:rsid w:val="00572E62"/>
    <w:rsid w:val="005730AC"/>
    <w:rsid w:val="005730DE"/>
    <w:rsid w:val="005730FE"/>
    <w:rsid w:val="00573127"/>
    <w:rsid w:val="0057313E"/>
    <w:rsid w:val="0057318B"/>
    <w:rsid w:val="005732C4"/>
    <w:rsid w:val="005733A5"/>
    <w:rsid w:val="00573558"/>
    <w:rsid w:val="005735F6"/>
    <w:rsid w:val="00573666"/>
    <w:rsid w:val="0057366D"/>
    <w:rsid w:val="0057395F"/>
    <w:rsid w:val="00573B0A"/>
    <w:rsid w:val="00573D94"/>
    <w:rsid w:val="00573E99"/>
    <w:rsid w:val="00573ED6"/>
    <w:rsid w:val="00573F89"/>
    <w:rsid w:val="00573FC8"/>
    <w:rsid w:val="00574121"/>
    <w:rsid w:val="00574465"/>
    <w:rsid w:val="00574478"/>
    <w:rsid w:val="00574532"/>
    <w:rsid w:val="00574834"/>
    <w:rsid w:val="005748B4"/>
    <w:rsid w:val="005748DB"/>
    <w:rsid w:val="0057494A"/>
    <w:rsid w:val="005749BA"/>
    <w:rsid w:val="00574A3D"/>
    <w:rsid w:val="00574BCA"/>
    <w:rsid w:val="00574C86"/>
    <w:rsid w:val="00575017"/>
    <w:rsid w:val="0057501C"/>
    <w:rsid w:val="005754FA"/>
    <w:rsid w:val="00575803"/>
    <w:rsid w:val="005759B1"/>
    <w:rsid w:val="00575B3F"/>
    <w:rsid w:val="00575C17"/>
    <w:rsid w:val="005760C6"/>
    <w:rsid w:val="005761AC"/>
    <w:rsid w:val="0057624D"/>
    <w:rsid w:val="005763A6"/>
    <w:rsid w:val="00576511"/>
    <w:rsid w:val="00576630"/>
    <w:rsid w:val="0057693F"/>
    <w:rsid w:val="00576E90"/>
    <w:rsid w:val="005770B0"/>
    <w:rsid w:val="0057710E"/>
    <w:rsid w:val="005772E3"/>
    <w:rsid w:val="0057746A"/>
    <w:rsid w:val="00577524"/>
    <w:rsid w:val="005777BB"/>
    <w:rsid w:val="00577A6D"/>
    <w:rsid w:val="00577AA8"/>
    <w:rsid w:val="00577D50"/>
    <w:rsid w:val="00577D94"/>
    <w:rsid w:val="00577DE1"/>
    <w:rsid w:val="00577F88"/>
    <w:rsid w:val="005801CD"/>
    <w:rsid w:val="0058022F"/>
    <w:rsid w:val="00580267"/>
    <w:rsid w:val="0058072B"/>
    <w:rsid w:val="0058088B"/>
    <w:rsid w:val="00580EF7"/>
    <w:rsid w:val="00580F82"/>
    <w:rsid w:val="00581233"/>
    <w:rsid w:val="0058127A"/>
    <w:rsid w:val="00581510"/>
    <w:rsid w:val="005815BD"/>
    <w:rsid w:val="0058180C"/>
    <w:rsid w:val="00581CE7"/>
    <w:rsid w:val="00581D1B"/>
    <w:rsid w:val="00581D8F"/>
    <w:rsid w:val="00581EC9"/>
    <w:rsid w:val="00581FDF"/>
    <w:rsid w:val="005821EB"/>
    <w:rsid w:val="00582247"/>
    <w:rsid w:val="00582502"/>
    <w:rsid w:val="00582781"/>
    <w:rsid w:val="00582825"/>
    <w:rsid w:val="00582956"/>
    <w:rsid w:val="005829E6"/>
    <w:rsid w:val="00582B28"/>
    <w:rsid w:val="00582B31"/>
    <w:rsid w:val="00582B82"/>
    <w:rsid w:val="00582B9B"/>
    <w:rsid w:val="00582BC5"/>
    <w:rsid w:val="00582C26"/>
    <w:rsid w:val="00582C8E"/>
    <w:rsid w:val="00582CCF"/>
    <w:rsid w:val="00582D59"/>
    <w:rsid w:val="00582D92"/>
    <w:rsid w:val="00582E43"/>
    <w:rsid w:val="00582E44"/>
    <w:rsid w:val="00582F14"/>
    <w:rsid w:val="00582F73"/>
    <w:rsid w:val="00582F78"/>
    <w:rsid w:val="00582FE9"/>
    <w:rsid w:val="00583079"/>
    <w:rsid w:val="005830CB"/>
    <w:rsid w:val="005830DE"/>
    <w:rsid w:val="0058312F"/>
    <w:rsid w:val="0058316B"/>
    <w:rsid w:val="005831C6"/>
    <w:rsid w:val="005833A6"/>
    <w:rsid w:val="0058340B"/>
    <w:rsid w:val="00583482"/>
    <w:rsid w:val="00583718"/>
    <w:rsid w:val="00583B67"/>
    <w:rsid w:val="00583B71"/>
    <w:rsid w:val="00583BC0"/>
    <w:rsid w:val="00583C1C"/>
    <w:rsid w:val="00583D28"/>
    <w:rsid w:val="005840F1"/>
    <w:rsid w:val="00584200"/>
    <w:rsid w:val="00584218"/>
    <w:rsid w:val="00584246"/>
    <w:rsid w:val="00584431"/>
    <w:rsid w:val="00584463"/>
    <w:rsid w:val="00584534"/>
    <w:rsid w:val="00584654"/>
    <w:rsid w:val="005846A5"/>
    <w:rsid w:val="005846D7"/>
    <w:rsid w:val="00584800"/>
    <w:rsid w:val="0058496C"/>
    <w:rsid w:val="00584AD2"/>
    <w:rsid w:val="00584D35"/>
    <w:rsid w:val="00584D5E"/>
    <w:rsid w:val="00584FFE"/>
    <w:rsid w:val="00584FFF"/>
    <w:rsid w:val="0058503C"/>
    <w:rsid w:val="00585125"/>
    <w:rsid w:val="0058524A"/>
    <w:rsid w:val="00585346"/>
    <w:rsid w:val="0058535B"/>
    <w:rsid w:val="00585484"/>
    <w:rsid w:val="00585544"/>
    <w:rsid w:val="0058570A"/>
    <w:rsid w:val="0058575E"/>
    <w:rsid w:val="0058599A"/>
    <w:rsid w:val="005859E8"/>
    <w:rsid w:val="00585B76"/>
    <w:rsid w:val="00585CD9"/>
    <w:rsid w:val="00585EA4"/>
    <w:rsid w:val="005860F2"/>
    <w:rsid w:val="0058614D"/>
    <w:rsid w:val="00586349"/>
    <w:rsid w:val="0058648B"/>
    <w:rsid w:val="00586531"/>
    <w:rsid w:val="00586534"/>
    <w:rsid w:val="0058665F"/>
    <w:rsid w:val="0058685C"/>
    <w:rsid w:val="00586AAB"/>
    <w:rsid w:val="00586CBA"/>
    <w:rsid w:val="00586CE8"/>
    <w:rsid w:val="00586DDB"/>
    <w:rsid w:val="00587015"/>
    <w:rsid w:val="005872C3"/>
    <w:rsid w:val="005873C9"/>
    <w:rsid w:val="005876B7"/>
    <w:rsid w:val="005877A2"/>
    <w:rsid w:val="005878A5"/>
    <w:rsid w:val="00587923"/>
    <w:rsid w:val="00587A15"/>
    <w:rsid w:val="00587BE6"/>
    <w:rsid w:val="00587CA6"/>
    <w:rsid w:val="00587D65"/>
    <w:rsid w:val="00587F1C"/>
    <w:rsid w:val="00587F52"/>
    <w:rsid w:val="00587FA5"/>
    <w:rsid w:val="00590006"/>
    <w:rsid w:val="005900DD"/>
    <w:rsid w:val="00590159"/>
    <w:rsid w:val="00590181"/>
    <w:rsid w:val="00590248"/>
    <w:rsid w:val="0059029C"/>
    <w:rsid w:val="005905A9"/>
    <w:rsid w:val="00590638"/>
    <w:rsid w:val="0059069D"/>
    <w:rsid w:val="005906F3"/>
    <w:rsid w:val="0059071E"/>
    <w:rsid w:val="00590755"/>
    <w:rsid w:val="00590765"/>
    <w:rsid w:val="0059094B"/>
    <w:rsid w:val="00590CE7"/>
    <w:rsid w:val="00590E41"/>
    <w:rsid w:val="00590EB3"/>
    <w:rsid w:val="00591032"/>
    <w:rsid w:val="00591431"/>
    <w:rsid w:val="0059164D"/>
    <w:rsid w:val="0059169C"/>
    <w:rsid w:val="005918B4"/>
    <w:rsid w:val="005919F6"/>
    <w:rsid w:val="00591C71"/>
    <w:rsid w:val="00591CFD"/>
    <w:rsid w:val="00591DBA"/>
    <w:rsid w:val="00592541"/>
    <w:rsid w:val="005925C5"/>
    <w:rsid w:val="00592912"/>
    <w:rsid w:val="00592919"/>
    <w:rsid w:val="00592A67"/>
    <w:rsid w:val="00592CE6"/>
    <w:rsid w:val="00592D67"/>
    <w:rsid w:val="005930CA"/>
    <w:rsid w:val="00593171"/>
    <w:rsid w:val="005931C7"/>
    <w:rsid w:val="00593392"/>
    <w:rsid w:val="005936EA"/>
    <w:rsid w:val="00593710"/>
    <w:rsid w:val="005939C8"/>
    <w:rsid w:val="005939D7"/>
    <w:rsid w:val="005939EB"/>
    <w:rsid w:val="005939FF"/>
    <w:rsid w:val="00593EA0"/>
    <w:rsid w:val="00593F53"/>
    <w:rsid w:val="00594166"/>
    <w:rsid w:val="00594284"/>
    <w:rsid w:val="00594373"/>
    <w:rsid w:val="0059439C"/>
    <w:rsid w:val="005946BB"/>
    <w:rsid w:val="005948C2"/>
    <w:rsid w:val="00594B6E"/>
    <w:rsid w:val="00594C3F"/>
    <w:rsid w:val="00594F90"/>
    <w:rsid w:val="0059507D"/>
    <w:rsid w:val="005950A5"/>
    <w:rsid w:val="0059521F"/>
    <w:rsid w:val="005955DA"/>
    <w:rsid w:val="00595758"/>
    <w:rsid w:val="005959E4"/>
    <w:rsid w:val="00595C46"/>
    <w:rsid w:val="00595CCC"/>
    <w:rsid w:val="00595CD6"/>
    <w:rsid w:val="00595DD5"/>
    <w:rsid w:val="00596018"/>
    <w:rsid w:val="00596102"/>
    <w:rsid w:val="00596191"/>
    <w:rsid w:val="00596339"/>
    <w:rsid w:val="0059646B"/>
    <w:rsid w:val="005964A2"/>
    <w:rsid w:val="005965F6"/>
    <w:rsid w:val="00596673"/>
    <w:rsid w:val="00596703"/>
    <w:rsid w:val="0059672F"/>
    <w:rsid w:val="00596A4B"/>
    <w:rsid w:val="00596B47"/>
    <w:rsid w:val="00596CC5"/>
    <w:rsid w:val="00596D54"/>
    <w:rsid w:val="00596E63"/>
    <w:rsid w:val="00596F46"/>
    <w:rsid w:val="00597233"/>
    <w:rsid w:val="00597264"/>
    <w:rsid w:val="005972A5"/>
    <w:rsid w:val="00597487"/>
    <w:rsid w:val="005974B4"/>
    <w:rsid w:val="00597514"/>
    <w:rsid w:val="005975AD"/>
    <w:rsid w:val="005976E9"/>
    <w:rsid w:val="00597889"/>
    <w:rsid w:val="00597917"/>
    <w:rsid w:val="005979A4"/>
    <w:rsid w:val="005979B0"/>
    <w:rsid w:val="00597A2F"/>
    <w:rsid w:val="00597A8F"/>
    <w:rsid w:val="00597B1B"/>
    <w:rsid w:val="00597CCB"/>
    <w:rsid w:val="00597DB0"/>
    <w:rsid w:val="005A0197"/>
    <w:rsid w:val="005A027D"/>
    <w:rsid w:val="005A0863"/>
    <w:rsid w:val="005A08BB"/>
    <w:rsid w:val="005A0C75"/>
    <w:rsid w:val="005A0EA7"/>
    <w:rsid w:val="005A0F9E"/>
    <w:rsid w:val="005A0FCA"/>
    <w:rsid w:val="005A1007"/>
    <w:rsid w:val="005A1022"/>
    <w:rsid w:val="005A1196"/>
    <w:rsid w:val="005A11D4"/>
    <w:rsid w:val="005A1320"/>
    <w:rsid w:val="005A13A1"/>
    <w:rsid w:val="005A1470"/>
    <w:rsid w:val="005A15B7"/>
    <w:rsid w:val="005A15D4"/>
    <w:rsid w:val="005A17F6"/>
    <w:rsid w:val="005A1912"/>
    <w:rsid w:val="005A1B15"/>
    <w:rsid w:val="005A1B6C"/>
    <w:rsid w:val="005A1D6E"/>
    <w:rsid w:val="005A207E"/>
    <w:rsid w:val="005A2173"/>
    <w:rsid w:val="005A2442"/>
    <w:rsid w:val="005A2473"/>
    <w:rsid w:val="005A279D"/>
    <w:rsid w:val="005A2965"/>
    <w:rsid w:val="005A2A0C"/>
    <w:rsid w:val="005A2A8B"/>
    <w:rsid w:val="005A2C7E"/>
    <w:rsid w:val="005A2F16"/>
    <w:rsid w:val="005A2FE8"/>
    <w:rsid w:val="005A3034"/>
    <w:rsid w:val="005A30CB"/>
    <w:rsid w:val="005A350B"/>
    <w:rsid w:val="005A3603"/>
    <w:rsid w:val="005A36C6"/>
    <w:rsid w:val="005A36FC"/>
    <w:rsid w:val="005A3754"/>
    <w:rsid w:val="005A3764"/>
    <w:rsid w:val="005A3789"/>
    <w:rsid w:val="005A3881"/>
    <w:rsid w:val="005A39AD"/>
    <w:rsid w:val="005A3A0D"/>
    <w:rsid w:val="005A3AF1"/>
    <w:rsid w:val="005A3DBE"/>
    <w:rsid w:val="005A3DC0"/>
    <w:rsid w:val="005A3F39"/>
    <w:rsid w:val="005A403B"/>
    <w:rsid w:val="005A4096"/>
    <w:rsid w:val="005A40AC"/>
    <w:rsid w:val="005A40C1"/>
    <w:rsid w:val="005A41B9"/>
    <w:rsid w:val="005A4226"/>
    <w:rsid w:val="005A4496"/>
    <w:rsid w:val="005A467A"/>
    <w:rsid w:val="005A4827"/>
    <w:rsid w:val="005A4A33"/>
    <w:rsid w:val="005A4AA8"/>
    <w:rsid w:val="005A4B2F"/>
    <w:rsid w:val="005A4CB0"/>
    <w:rsid w:val="005A4CB2"/>
    <w:rsid w:val="005A4F99"/>
    <w:rsid w:val="005A5047"/>
    <w:rsid w:val="005A51F0"/>
    <w:rsid w:val="005A5511"/>
    <w:rsid w:val="005A5598"/>
    <w:rsid w:val="005A561B"/>
    <w:rsid w:val="005A5702"/>
    <w:rsid w:val="005A5780"/>
    <w:rsid w:val="005A579E"/>
    <w:rsid w:val="005A58DB"/>
    <w:rsid w:val="005A5909"/>
    <w:rsid w:val="005A5946"/>
    <w:rsid w:val="005A59CC"/>
    <w:rsid w:val="005A5BF1"/>
    <w:rsid w:val="005A5C4D"/>
    <w:rsid w:val="005A5DD0"/>
    <w:rsid w:val="005A6439"/>
    <w:rsid w:val="005A64E2"/>
    <w:rsid w:val="005A65FA"/>
    <w:rsid w:val="005A660A"/>
    <w:rsid w:val="005A6690"/>
    <w:rsid w:val="005A679C"/>
    <w:rsid w:val="005A67CE"/>
    <w:rsid w:val="005A68B6"/>
    <w:rsid w:val="005A697F"/>
    <w:rsid w:val="005A6BA5"/>
    <w:rsid w:val="005A6CF7"/>
    <w:rsid w:val="005A6DB3"/>
    <w:rsid w:val="005A71A7"/>
    <w:rsid w:val="005A759D"/>
    <w:rsid w:val="005A7699"/>
    <w:rsid w:val="005A7719"/>
    <w:rsid w:val="005A771E"/>
    <w:rsid w:val="005A7901"/>
    <w:rsid w:val="005A793B"/>
    <w:rsid w:val="005A796E"/>
    <w:rsid w:val="005A7A09"/>
    <w:rsid w:val="005A7AF5"/>
    <w:rsid w:val="005A7D36"/>
    <w:rsid w:val="005A7E1D"/>
    <w:rsid w:val="005A7F00"/>
    <w:rsid w:val="005A7FB5"/>
    <w:rsid w:val="005B004B"/>
    <w:rsid w:val="005B02B8"/>
    <w:rsid w:val="005B0359"/>
    <w:rsid w:val="005B046D"/>
    <w:rsid w:val="005B05D0"/>
    <w:rsid w:val="005B0637"/>
    <w:rsid w:val="005B07BA"/>
    <w:rsid w:val="005B07F8"/>
    <w:rsid w:val="005B090D"/>
    <w:rsid w:val="005B0A0A"/>
    <w:rsid w:val="005B0A22"/>
    <w:rsid w:val="005B0ADA"/>
    <w:rsid w:val="005B0AE9"/>
    <w:rsid w:val="005B0BF4"/>
    <w:rsid w:val="005B0D86"/>
    <w:rsid w:val="005B0F01"/>
    <w:rsid w:val="005B128B"/>
    <w:rsid w:val="005B13E4"/>
    <w:rsid w:val="005B151A"/>
    <w:rsid w:val="005B1581"/>
    <w:rsid w:val="005B1684"/>
    <w:rsid w:val="005B16C6"/>
    <w:rsid w:val="005B16D5"/>
    <w:rsid w:val="005B199A"/>
    <w:rsid w:val="005B1C43"/>
    <w:rsid w:val="005B1DDE"/>
    <w:rsid w:val="005B1F97"/>
    <w:rsid w:val="005B245C"/>
    <w:rsid w:val="005B24AF"/>
    <w:rsid w:val="005B2600"/>
    <w:rsid w:val="005B268D"/>
    <w:rsid w:val="005B28CF"/>
    <w:rsid w:val="005B2B1A"/>
    <w:rsid w:val="005B2B58"/>
    <w:rsid w:val="005B2ED4"/>
    <w:rsid w:val="005B3037"/>
    <w:rsid w:val="005B30AB"/>
    <w:rsid w:val="005B312F"/>
    <w:rsid w:val="005B3136"/>
    <w:rsid w:val="005B33B3"/>
    <w:rsid w:val="005B3709"/>
    <w:rsid w:val="005B37AD"/>
    <w:rsid w:val="005B37B9"/>
    <w:rsid w:val="005B37ED"/>
    <w:rsid w:val="005B3984"/>
    <w:rsid w:val="005B3A16"/>
    <w:rsid w:val="005B3AB8"/>
    <w:rsid w:val="005B3ADC"/>
    <w:rsid w:val="005B3BA4"/>
    <w:rsid w:val="005B3D59"/>
    <w:rsid w:val="005B3DBC"/>
    <w:rsid w:val="005B3EAE"/>
    <w:rsid w:val="005B40E4"/>
    <w:rsid w:val="005B4801"/>
    <w:rsid w:val="005B482A"/>
    <w:rsid w:val="005B4907"/>
    <w:rsid w:val="005B49D0"/>
    <w:rsid w:val="005B4BAD"/>
    <w:rsid w:val="005B4C72"/>
    <w:rsid w:val="005B4EDE"/>
    <w:rsid w:val="005B4F6E"/>
    <w:rsid w:val="005B4FD3"/>
    <w:rsid w:val="005B51E4"/>
    <w:rsid w:val="005B52A3"/>
    <w:rsid w:val="005B556E"/>
    <w:rsid w:val="005B559C"/>
    <w:rsid w:val="005B56D8"/>
    <w:rsid w:val="005B5B57"/>
    <w:rsid w:val="005B5BB9"/>
    <w:rsid w:val="005B5E11"/>
    <w:rsid w:val="005B61E7"/>
    <w:rsid w:val="005B61FB"/>
    <w:rsid w:val="005B62FF"/>
    <w:rsid w:val="005B6408"/>
    <w:rsid w:val="005B644A"/>
    <w:rsid w:val="005B6568"/>
    <w:rsid w:val="005B65EA"/>
    <w:rsid w:val="005B6730"/>
    <w:rsid w:val="005B673B"/>
    <w:rsid w:val="005B6BAB"/>
    <w:rsid w:val="005B6BD4"/>
    <w:rsid w:val="005B7003"/>
    <w:rsid w:val="005B71DA"/>
    <w:rsid w:val="005B7550"/>
    <w:rsid w:val="005B762D"/>
    <w:rsid w:val="005B781E"/>
    <w:rsid w:val="005B78C9"/>
    <w:rsid w:val="005B78D2"/>
    <w:rsid w:val="005B7994"/>
    <w:rsid w:val="005B7A05"/>
    <w:rsid w:val="005B7A57"/>
    <w:rsid w:val="005B7A73"/>
    <w:rsid w:val="005B7C3B"/>
    <w:rsid w:val="005C006C"/>
    <w:rsid w:val="005C0136"/>
    <w:rsid w:val="005C021E"/>
    <w:rsid w:val="005C033E"/>
    <w:rsid w:val="005C056A"/>
    <w:rsid w:val="005C07FF"/>
    <w:rsid w:val="005C0B3F"/>
    <w:rsid w:val="005C0C42"/>
    <w:rsid w:val="005C0CD5"/>
    <w:rsid w:val="005C1255"/>
    <w:rsid w:val="005C146C"/>
    <w:rsid w:val="005C186B"/>
    <w:rsid w:val="005C1A30"/>
    <w:rsid w:val="005C1AD9"/>
    <w:rsid w:val="005C1B8B"/>
    <w:rsid w:val="005C1CFE"/>
    <w:rsid w:val="005C1DC6"/>
    <w:rsid w:val="005C1DE6"/>
    <w:rsid w:val="005C1E6C"/>
    <w:rsid w:val="005C20A8"/>
    <w:rsid w:val="005C23BD"/>
    <w:rsid w:val="005C2516"/>
    <w:rsid w:val="005C25BB"/>
    <w:rsid w:val="005C25CB"/>
    <w:rsid w:val="005C26B4"/>
    <w:rsid w:val="005C26C1"/>
    <w:rsid w:val="005C28CB"/>
    <w:rsid w:val="005C2D45"/>
    <w:rsid w:val="005C305E"/>
    <w:rsid w:val="005C3081"/>
    <w:rsid w:val="005C30C3"/>
    <w:rsid w:val="005C31C3"/>
    <w:rsid w:val="005C340B"/>
    <w:rsid w:val="005C3589"/>
    <w:rsid w:val="005C3728"/>
    <w:rsid w:val="005C37D3"/>
    <w:rsid w:val="005C37E6"/>
    <w:rsid w:val="005C39B2"/>
    <w:rsid w:val="005C3A4D"/>
    <w:rsid w:val="005C3ABC"/>
    <w:rsid w:val="005C3AC2"/>
    <w:rsid w:val="005C3AD2"/>
    <w:rsid w:val="005C3B4A"/>
    <w:rsid w:val="005C3C63"/>
    <w:rsid w:val="005C3CEF"/>
    <w:rsid w:val="005C40E0"/>
    <w:rsid w:val="005C40ED"/>
    <w:rsid w:val="005C41FC"/>
    <w:rsid w:val="005C440C"/>
    <w:rsid w:val="005C457A"/>
    <w:rsid w:val="005C479E"/>
    <w:rsid w:val="005C49C0"/>
    <w:rsid w:val="005C4DDD"/>
    <w:rsid w:val="005C4EA2"/>
    <w:rsid w:val="005C4F9B"/>
    <w:rsid w:val="005C4FA6"/>
    <w:rsid w:val="005C4FC8"/>
    <w:rsid w:val="005C4FED"/>
    <w:rsid w:val="005C51A7"/>
    <w:rsid w:val="005C52DA"/>
    <w:rsid w:val="005C52F6"/>
    <w:rsid w:val="005C5475"/>
    <w:rsid w:val="005C54E7"/>
    <w:rsid w:val="005C54F7"/>
    <w:rsid w:val="005C5546"/>
    <w:rsid w:val="005C55EC"/>
    <w:rsid w:val="005C5699"/>
    <w:rsid w:val="005C5812"/>
    <w:rsid w:val="005C5841"/>
    <w:rsid w:val="005C5E4A"/>
    <w:rsid w:val="005C5E56"/>
    <w:rsid w:val="005C5FEA"/>
    <w:rsid w:val="005C6073"/>
    <w:rsid w:val="005C60A1"/>
    <w:rsid w:val="005C6199"/>
    <w:rsid w:val="005C61E9"/>
    <w:rsid w:val="005C653B"/>
    <w:rsid w:val="005C655B"/>
    <w:rsid w:val="005C65D7"/>
    <w:rsid w:val="005C6763"/>
    <w:rsid w:val="005C67CA"/>
    <w:rsid w:val="005C6849"/>
    <w:rsid w:val="005C68D1"/>
    <w:rsid w:val="005C6A64"/>
    <w:rsid w:val="005C6B75"/>
    <w:rsid w:val="005C6D3F"/>
    <w:rsid w:val="005C6DAD"/>
    <w:rsid w:val="005C6DDC"/>
    <w:rsid w:val="005C70D4"/>
    <w:rsid w:val="005C731E"/>
    <w:rsid w:val="005C7426"/>
    <w:rsid w:val="005C74C7"/>
    <w:rsid w:val="005C7576"/>
    <w:rsid w:val="005C76A8"/>
    <w:rsid w:val="005C7711"/>
    <w:rsid w:val="005C773C"/>
    <w:rsid w:val="005C7A27"/>
    <w:rsid w:val="005C7A71"/>
    <w:rsid w:val="005C7B40"/>
    <w:rsid w:val="005C7C97"/>
    <w:rsid w:val="005C7D35"/>
    <w:rsid w:val="005C7E16"/>
    <w:rsid w:val="005C7EC8"/>
    <w:rsid w:val="005C7F35"/>
    <w:rsid w:val="005C7F81"/>
    <w:rsid w:val="005D0268"/>
    <w:rsid w:val="005D02E7"/>
    <w:rsid w:val="005D063D"/>
    <w:rsid w:val="005D066C"/>
    <w:rsid w:val="005D0736"/>
    <w:rsid w:val="005D0A4F"/>
    <w:rsid w:val="005D0B5D"/>
    <w:rsid w:val="005D0EF4"/>
    <w:rsid w:val="005D12BB"/>
    <w:rsid w:val="005D12BF"/>
    <w:rsid w:val="005D1405"/>
    <w:rsid w:val="005D160A"/>
    <w:rsid w:val="005D179C"/>
    <w:rsid w:val="005D1844"/>
    <w:rsid w:val="005D1858"/>
    <w:rsid w:val="005D1873"/>
    <w:rsid w:val="005D1998"/>
    <w:rsid w:val="005D1AF2"/>
    <w:rsid w:val="005D1AF6"/>
    <w:rsid w:val="005D1C4A"/>
    <w:rsid w:val="005D2040"/>
    <w:rsid w:val="005D20D7"/>
    <w:rsid w:val="005D22A6"/>
    <w:rsid w:val="005D2417"/>
    <w:rsid w:val="005D243E"/>
    <w:rsid w:val="005D2552"/>
    <w:rsid w:val="005D2566"/>
    <w:rsid w:val="005D25B0"/>
    <w:rsid w:val="005D26CD"/>
    <w:rsid w:val="005D26DB"/>
    <w:rsid w:val="005D279F"/>
    <w:rsid w:val="005D28EF"/>
    <w:rsid w:val="005D2953"/>
    <w:rsid w:val="005D29EE"/>
    <w:rsid w:val="005D2AD5"/>
    <w:rsid w:val="005D2C54"/>
    <w:rsid w:val="005D2C9B"/>
    <w:rsid w:val="005D2DC4"/>
    <w:rsid w:val="005D2E71"/>
    <w:rsid w:val="005D2EAA"/>
    <w:rsid w:val="005D300B"/>
    <w:rsid w:val="005D300D"/>
    <w:rsid w:val="005D30C6"/>
    <w:rsid w:val="005D323E"/>
    <w:rsid w:val="005D32E9"/>
    <w:rsid w:val="005D3468"/>
    <w:rsid w:val="005D375B"/>
    <w:rsid w:val="005D3B65"/>
    <w:rsid w:val="005D3B75"/>
    <w:rsid w:val="005D3C19"/>
    <w:rsid w:val="005D3CD5"/>
    <w:rsid w:val="005D3D75"/>
    <w:rsid w:val="005D3DD9"/>
    <w:rsid w:val="005D3F43"/>
    <w:rsid w:val="005D3F4A"/>
    <w:rsid w:val="005D3FD5"/>
    <w:rsid w:val="005D41FC"/>
    <w:rsid w:val="005D452C"/>
    <w:rsid w:val="005D45EE"/>
    <w:rsid w:val="005D461E"/>
    <w:rsid w:val="005D4666"/>
    <w:rsid w:val="005D46A2"/>
    <w:rsid w:val="005D497D"/>
    <w:rsid w:val="005D4BC1"/>
    <w:rsid w:val="005D4D61"/>
    <w:rsid w:val="005D4E7D"/>
    <w:rsid w:val="005D4EC5"/>
    <w:rsid w:val="005D4ED5"/>
    <w:rsid w:val="005D51F0"/>
    <w:rsid w:val="005D53F3"/>
    <w:rsid w:val="005D5470"/>
    <w:rsid w:val="005D54D9"/>
    <w:rsid w:val="005D569B"/>
    <w:rsid w:val="005D56B2"/>
    <w:rsid w:val="005D5808"/>
    <w:rsid w:val="005D582D"/>
    <w:rsid w:val="005D58C8"/>
    <w:rsid w:val="005D58FB"/>
    <w:rsid w:val="005D5953"/>
    <w:rsid w:val="005D5A1A"/>
    <w:rsid w:val="005D5A89"/>
    <w:rsid w:val="005D5B23"/>
    <w:rsid w:val="005D5C4D"/>
    <w:rsid w:val="005D5CBA"/>
    <w:rsid w:val="005D5F86"/>
    <w:rsid w:val="005D5F93"/>
    <w:rsid w:val="005D5FE5"/>
    <w:rsid w:val="005D6084"/>
    <w:rsid w:val="005D618B"/>
    <w:rsid w:val="005D619C"/>
    <w:rsid w:val="005D621B"/>
    <w:rsid w:val="005D62FD"/>
    <w:rsid w:val="005D65B3"/>
    <w:rsid w:val="005D6623"/>
    <w:rsid w:val="005D6836"/>
    <w:rsid w:val="005D6A02"/>
    <w:rsid w:val="005D6ACF"/>
    <w:rsid w:val="005D6DBD"/>
    <w:rsid w:val="005D6DE4"/>
    <w:rsid w:val="005D6E82"/>
    <w:rsid w:val="005D708A"/>
    <w:rsid w:val="005D71B3"/>
    <w:rsid w:val="005D7264"/>
    <w:rsid w:val="005D7289"/>
    <w:rsid w:val="005D7450"/>
    <w:rsid w:val="005D75BC"/>
    <w:rsid w:val="005D7794"/>
    <w:rsid w:val="005D788A"/>
    <w:rsid w:val="005D7A72"/>
    <w:rsid w:val="005D7A9A"/>
    <w:rsid w:val="005D7C63"/>
    <w:rsid w:val="005D7EE4"/>
    <w:rsid w:val="005D7F80"/>
    <w:rsid w:val="005E007C"/>
    <w:rsid w:val="005E0094"/>
    <w:rsid w:val="005E00BF"/>
    <w:rsid w:val="005E0197"/>
    <w:rsid w:val="005E0398"/>
    <w:rsid w:val="005E03D7"/>
    <w:rsid w:val="005E04D2"/>
    <w:rsid w:val="005E0C09"/>
    <w:rsid w:val="005E0C32"/>
    <w:rsid w:val="005E0C92"/>
    <w:rsid w:val="005E0D21"/>
    <w:rsid w:val="005E0D70"/>
    <w:rsid w:val="005E0E0A"/>
    <w:rsid w:val="005E0E2A"/>
    <w:rsid w:val="005E0F25"/>
    <w:rsid w:val="005E0F4E"/>
    <w:rsid w:val="005E0FA0"/>
    <w:rsid w:val="005E0FDB"/>
    <w:rsid w:val="005E1027"/>
    <w:rsid w:val="005E1128"/>
    <w:rsid w:val="005E113D"/>
    <w:rsid w:val="005E1229"/>
    <w:rsid w:val="005E12C6"/>
    <w:rsid w:val="005E1389"/>
    <w:rsid w:val="005E1420"/>
    <w:rsid w:val="005E1909"/>
    <w:rsid w:val="005E196D"/>
    <w:rsid w:val="005E19C1"/>
    <w:rsid w:val="005E1A2F"/>
    <w:rsid w:val="005E1C60"/>
    <w:rsid w:val="005E1CA1"/>
    <w:rsid w:val="005E1EA5"/>
    <w:rsid w:val="005E2003"/>
    <w:rsid w:val="005E2208"/>
    <w:rsid w:val="005E22F2"/>
    <w:rsid w:val="005E231F"/>
    <w:rsid w:val="005E2381"/>
    <w:rsid w:val="005E24B3"/>
    <w:rsid w:val="005E2520"/>
    <w:rsid w:val="005E2521"/>
    <w:rsid w:val="005E2705"/>
    <w:rsid w:val="005E2723"/>
    <w:rsid w:val="005E28F3"/>
    <w:rsid w:val="005E2B4F"/>
    <w:rsid w:val="005E2CAF"/>
    <w:rsid w:val="005E2E1C"/>
    <w:rsid w:val="005E2F0C"/>
    <w:rsid w:val="005E2F20"/>
    <w:rsid w:val="005E2FA5"/>
    <w:rsid w:val="005E30CE"/>
    <w:rsid w:val="005E31F4"/>
    <w:rsid w:val="005E335D"/>
    <w:rsid w:val="005E35CD"/>
    <w:rsid w:val="005E36B0"/>
    <w:rsid w:val="005E3796"/>
    <w:rsid w:val="005E37EF"/>
    <w:rsid w:val="005E38BA"/>
    <w:rsid w:val="005E3A46"/>
    <w:rsid w:val="005E3A92"/>
    <w:rsid w:val="005E3ACD"/>
    <w:rsid w:val="005E3CC1"/>
    <w:rsid w:val="005E3CCB"/>
    <w:rsid w:val="005E3EC0"/>
    <w:rsid w:val="005E3FB3"/>
    <w:rsid w:val="005E40C6"/>
    <w:rsid w:val="005E443F"/>
    <w:rsid w:val="005E44D4"/>
    <w:rsid w:val="005E4531"/>
    <w:rsid w:val="005E45C6"/>
    <w:rsid w:val="005E468E"/>
    <w:rsid w:val="005E46E9"/>
    <w:rsid w:val="005E4895"/>
    <w:rsid w:val="005E48BA"/>
    <w:rsid w:val="005E4959"/>
    <w:rsid w:val="005E4B2A"/>
    <w:rsid w:val="005E4CA2"/>
    <w:rsid w:val="005E4D2D"/>
    <w:rsid w:val="005E4D5A"/>
    <w:rsid w:val="005E4DE7"/>
    <w:rsid w:val="005E4E4A"/>
    <w:rsid w:val="005E5202"/>
    <w:rsid w:val="005E52CC"/>
    <w:rsid w:val="005E551F"/>
    <w:rsid w:val="005E57C4"/>
    <w:rsid w:val="005E57CB"/>
    <w:rsid w:val="005E589D"/>
    <w:rsid w:val="005E5AE8"/>
    <w:rsid w:val="005E5BCB"/>
    <w:rsid w:val="005E5D43"/>
    <w:rsid w:val="005E6120"/>
    <w:rsid w:val="005E61C3"/>
    <w:rsid w:val="005E6478"/>
    <w:rsid w:val="005E66E9"/>
    <w:rsid w:val="005E67BD"/>
    <w:rsid w:val="005E6831"/>
    <w:rsid w:val="005E6955"/>
    <w:rsid w:val="005E6A11"/>
    <w:rsid w:val="005E6AA1"/>
    <w:rsid w:val="005E6B2C"/>
    <w:rsid w:val="005E6BFA"/>
    <w:rsid w:val="005E6C76"/>
    <w:rsid w:val="005E7137"/>
    <w:rsid w:val="005E7234"/>
    <w:rsid w:val="005E7298"/>
    <w:rsid w:val="005E737B"/>
    <w:rsid w:val="005E75D2"/>
    <w:rsid w:val="005E7655"/>
    <w:rsid w:val="005E7693"/>
    <w:rsid w:val="005E77AA"/>
    <w:rsid w:val="005E77C7"/>
    <w:rsid w:val="005E78AE"/>
    <w:rsid w:val="005E7A28"/>
    <w:rsid w:val="005E7B63"/>
    <w:rsid w:val="005E7DA0"/>
    <w:rsid w:val="005E7DD8"/>
    <w:rsid w:val="005E7E1B"/>
    <w:rsid w:val="005F0062"/>
    <w:rsid w:val="005F0182"/>
    <w:rsid w:val="005F095E"/>
    <w:rsid w:val="005F0A28"/>
    <w:rsid w:val="005F0A49"/>
    <w:rsid w:val="005F0A5A"/>
    <w:rsid w:val="005F0B4D"/>
    <w:rsid w:val="005F0C17"/>
    <w:rsid w:val="005F0DD7"/>
    <w:rsid w:val="005F10B2"/>
    <w:rsid w:val="005F1328"/>
    <w:rsid w:val="005F13C1"/>
    <w:rsid w:val="005F13D2"/>
    <w:rsid w:val="005F13FA"/>
    <w:rsid w:val="005F1405"/>
    <w:rsid w:val="005F15B8"/>
    <w:rsid w:val="005F1664"/>
    <w:rsid w:val="005F1680"/>
    <w:rsid w:val="005F1787"/>
    <w:rsid w:val="005F184D"/>
    <w:rsid w:val="005F18A5"/>
    <w:rsid w:val="005F1962"/>
    <w:rsid w:val="005F19A0"/>
    <w:rsid w:val="005F1A91"/>
    <w:rsid w:val="005F1B20"/>
    <w:rsid w:val="005F1FFE"/>
    <w:rsid w:val="005F2042"/>
    <w:rsid w:val="005F20AF"/>
    <w:rsid w:val="005F2179"/>
    <w:rsid w:val="005F23F9"/>
    <w:rsid w:val="005F24BB"/>
    <w:rsid w:val="005F24C8"/>
    <w:rsid w:val="005F251F"/>
    <w:rsid w:val="005F260F"/>
    <w:rsid w:val="005F262E"/>
    <w:rsid w:val="005F2638"/>
    <w:rsid w:val="005F26E2"/>
    <w:rsid w:val="005F2785"/>
    <w:rsid w:val="005F2803"/>
    <w:rsid w:val="005F2826"/>
    <w:rsid w:val="005F28CE"/>
    <w:rsid w:val="005F2ADA"/>
    <w:rsid w:val="005F2BD4"/>
    <w:rsid w:val="005F2BD6"/>
    <w:rsid w:val="005F2C26"/>
    <w:rsid w:val="005F2CCC"/>
    <w:rsid w:val="005F2D5D"/>
    <w:rsid w:val="005F2E03"/>
    <w:rsid w:val="005F3277"/>
    <w:rsid w:val="005F34FA"/>
    <w:rsid w:val="005F36DD"/>
    <w:rsid w:val="005F3721"/>
    <w:rsid w:val="005F37C6"/>
    <w:rsid w:val="005F380E"/>
    <w:rsid w:val="005F3BE2"/>
    <w:rsid w:val="005F3EA6"/>
    <w:rsid w:val="005F4120"/>
    <w:rsid w:val="005F412F"/>
    <w:rsid w:val="005F413C"/>
    <w:rsid w:val="005F4144"/>
    <w:rsid w:val="005F41EC"/>
    <w:rsid w:val="005F4454"/>
    <w:rsid w:val="005F4469"/>
    <w:rsid w:val="005F4771"/>
    <w:rsid w:val="005F482D"/>
    <w:rsid w:val="005F4C0B"/>
    <w:rsid w:val="005F4C85"/>
    <w:rsid w:val="005F4CA2"/>
    <w:rsid w:val="005F4DCE"/>
    <w:rsid w:val="005F4FE0"/>
    <w:rsid w:val="005F51DC"/>
    <w:rsid w:val="005F5220"/>
    <w:rsid w:val="005F52D6"/>
    <w:rsid w:val="005F547F"/>
    <w:rsid w:val="005F56C9"/>
    <w:rsid w:val="005F5767"/>
    <w:rsid w:val="005F577C"/>
    <w:rsid w:val="005F5CF5"/>
    <w:rsid w:val="005F5D02"/>
    <w:rsid w:val="005F5D73"/>
    <w:rsid w:val="005F5E4F"/>
    <w:rsid w:val="005F5F6A"/>
    <w:rsid w:val="005F5F6F"/>
    <w:rsid w:val="005F627C"/>
    <w:rsid w:val="005F641F"/>
    <w:rsid w:val="005F664A"/>
    <w:rsid w:val="005F67EE"/>
    <w:rsid w:val="005F6BDB"/>
    <w:rsid w:val="005F6C8F"/>
    <w:rsid w:val="005F6CF0"/>
    <w:rsid w:val="005F6E66"/>
    <w:rsid w:val="005F715D"/>
    <w:rsid w:val="005F7291"/>
    <w:rsid w:val="005F7297"/>
    <w:rsid w:val="005F74BF"/>
    <w:rsid w:val="005F779F"/>
    <w:rsid w:val="005F77F6"/>
    <w:rsid w:val="005F789E"/>
    <w:rsid w:val="005F7A06"/>
    <w:rsid w:val="005F7A8E"/>
    <w:rsid w:val="005F7C4C"/>
    <w:rsid w:val="005F7C83"/>
    <w:rsid w:val="005F7F63"/>
    <w:rsid w:val="0060002E"/>
    <w:rsid w:val="00600031"/>
    <w:rsid w:val="006001B2"/>
    <w:rsid w:val="00600529"/>
    <w:rsid w:val="00600583"/>
    <w:rsid w:val="006005C4"/>
    <w:rsid w:val="006006F7"/>
    <w:rsid w:val="0060080A"/>
    <w:rsid w:val="0060085C"/>
    <w:rsid w:val="006008AA"/>
    <w:rsid w:val="006008D2"/>
    <w:rsid w:val="0060092B"/>
    <w:rsid w:val="00600A1B"/>
    <w:rsid w:val="00600A59"/>
    <w:rsid w:val="00600C8E"/>
    <w:rsid w:val="0060107C"/>
    <w:rsid w:val="0060115F"/>
    <w:rsid w:val="006011C1"/>
    <w:rsid w:val="006014F7"/>
    <w:rsid w:val="00601622"/>
    <w:rsid w:val="006017CD"/>
    <w:rsid w:val="006017D0"/>
    <w:rsid w:val="006018FC"/>
    <w:rsid w:val="00601B05"/>
    <w:rsid w:val="00601DD1"/>
    <w:rsid w:val="00601FB9"/>
    <w:rsid w:val="00602070"/>
    <w:rsid w:val="0060241F"/>
    <w:rsid w:val="006028E2"/>
    <w:rsid w:val="00602ACA"/>
    <w:rsid w:val="00602AD4"/>
    <w:rsid w:val="00602B6D"/>
    <w:rsid w:val="00602C7C"/>
    <w:rsid w:val="00602E01"/>
    <w:rsid w:val="00602E83"/>
    <w:rsid w:val="006030A4"/>
    <w:rsid w:val="00603259"/>
    <w:rsid w:val="006032F4"/>
    <w:rsid w:val="006033DE"/>
    <w:rsid w:val="0060345C"/>
    <w:rsid w:val="006035FA"/>
    <w:rsid w:val="0060383B"/>
    <w:rsid w:val="00603899"/>
    <w:rsid w:val="006038A6"/>
    <w:rsid w:val="0060397B"/>
    <w:rsid w:val="00603982"/>
    <w:rsid w:val="00603ABF"/>
    <w:rsid w:val="00603BF6"/>
    <w:rsid w:val="00603DF5"/>
    <w:rsid w:val="0060407A"/>
    <w:rsid w:val="00604211"/>
    <w:rsid w:val="0060422B"/>
    <w:rsid w:val="0060429B"/>
    <w:rsid w:val="006042AC"/>
    <w:rsid w:val="00604610"/>
    <w:rsid w:val="00604637"/>
    <w:rsid w:val="006047C6"/>
    <w:rsid w:val="00604A3B"/>
    <w:rsid w:val="00604F69"/>
    <w:rsid w:val="00605016"/>
    <w:rsid w:val="00605022"/>
    <w:rsid w:val="0060509B"/>
    <w:rsid w:val="0060510A"/>
    <w:rsid w:val="006051B1"/>
    <w:rsid w:val="00605225"/>
    <w:rsid w:val="006052E6"/>
    <w:rsid w:val="006053B5"/>
    <w:rsid w:val="0060546D"/>
    <w:rsid w:val="0060558D"/>
    <w:rsid w:val="00605939"/>
    <w:rsid w:val="00605C3E"/>
    <w:rsid w:val="00606033"/>
    <w:rsid w:val="0060639C"/>
    <w:rsid w:val="006064D0"/>
    <w:rsid w:val="006064DE"/>
    <w:rsid w:val="006066F7"/>
    <w:rsid w:val="006067E5"/>
    <w:rsid w:val="00606A53"/>
    <w:rsid w:val="00606B10"/>
    <w:rsid w:val="00606C4D"/>
    <w:rsid w:val="00606EC2"/>
    <w:rsid w:val="00607138"/>
    <w:rsid w:val="006071B3"/>
    <w:rsid w:val="006072A9"/>
    <w:rsid w:val="00607330"/>
    <w:rsid w:val="0060751D"/>
    <w:rsid w:val="0060761C"/>
    <w:rsid w:val="0060794A"/>
    <w:rsid w:val="00607A0B"/>
    <w:rsid w:val="00607A8C"/>
    <w:rsid w:val="00607D79"/>
    <w:rsid w:val="00607E24"/>
    <w:rsid w:val="00610061"/>
    <w:rsid w:val="00610073"/>
    <w:rsid w:val="0061015E"/>
    <w:rsid w:val="00610178"/>
    <w:rsid w:val="00610300"/>
    <w:rsid w:val="00610557"/>
    <w:rsid w:val="00610601"/>
    <w:rsid w:val="006107C4"/>
    <w:rsid w:val="00610A9D"/>
    <w:rsid w:val="00610BBA"/>
    <w:rsid w:val="00610FBE"/>
    <w:rsid w:val="0061118B"/>
    <w:rsid w:val="006111F1"/>
    <w:rsid w:val="00611217"/>
    <w:rsid w:val="006112A4"/>
    <w:rsid w:val="0061149E"/>
    <w:rsid w:val="00611519"/>
    <w:rsid w:val="0061156A"/>
    <w:rsid w:val="00611693"/>
    <w:rsid w:val="00611897"/>
    <w:rsid w:val="006119BE"/>
    <w:rsid w:val="00611A78"/>
    <w:rsid w:val="00611B23"/>
    <w:rsid w:val="00611B7E"/>
    <w:rsid w:val="00611C0A"/>
    <w:rsid w:val="00611C16"/>
    <w:rsid w:val="00611CF3"/>
    <w:rsid w:val="00611E4B"/>
    <w:rsid w:val="00611E70"/>
    <w:rsid w:val="0061217C"/>
    <w:rsid w:val="006121CA"/>
    <w:rsid w:val="00612546"/>
    <w:rsid w:val="0061266A"/>
    <w:rsid w:val="006126D9"/>
    <w:rsid w:val="006128D2"/>
    <w:rsid w:val="006128FC"/>
    <w:rsid w:val="0061296D"/>
    <w:rsid w:val="00612988"/>
    <w:rsid w:val="00612993"/>
    <w:rsid w:val="006129A7"/>
    <w:rsid w:val="00612A2E"/>
    <w:rsid w:val="00612A97"/>
    <w:rsid w:val="00612BBE"/>
    <w:rsid w:val="00612CDF"/>
    <w:rsid w:val="00612E98"/>
    <w:rsid w:val="00613085"/>
    <w:rsid w:val="0061313F"/>
    <w:rsid w:val="00613407"/>
    <w:rsid w:val="0061349B"/>
    <w:rsid w:val="006134FF"/>
    <w:rsid w:val="00613704"/>
    <w:rsid w:val="00613734"/>
    <w:rsid w:val="0061387F"/>
    <w:rsid w:val="0061390B"/>
    <w:rsid w:val="00613912"/>
    <w:rsid w:val="00613B5E"/>
    <w:rsid w:val="00613BD7"/>
    <w:rsid w:val="00613C5A"/>
    <w:rsid w:val="00613C73"/>
    <w:rsid w:val="00613CDB"/>
    <w:rsid w:val="0061416B"/>
    <w:rsid w:val="00614343"/>
    <w:rsid w:val="00614896"/>
    <w:rsid w:val="0061494F"/>
    <w:rsid w:val="00614B63"/>
    <w:rsid w:val="00614BA2"/>
    <w:rsid w:val="00614C19"/>
    <w:rsid w:val="00614F00"/>
    <w:rsid w:val="00615049"/>
    <w:rsid w:val="0061504A"/>
    <w:rsid w:val="0061516D"/>
    <w:rsid w:val="0061517C"/>
    <w:rsid w:val="00615226"/>
    <w:rsid w:val="006152C1"/>
    <w:rsid w:val="0061534A"/>
    <w:rsid w:val="006153DF"/>
    <w:rsid w:val="00615427"/>
    <w:rsid w:val="0061544C"/>
    <w:rsid w:val="00615493"/>
    <w:rsid w:val="0061550D"/>
    <w:rsid w:val="00615819"/>
    <w:rsid w:val="0061581B"/>
    <w:rsid w:val="0061590F"/>
    <w:rsid w:val="00615A19"/>
    <w:rsid w:val="00615A39"/>
    <w:rsid w:val="00615AB1"/>
    <w:rsid w:val="00615C61"/>
    <w:rsid w:val="00615CA9"/>
    <w:rsid w:val="00615E2F"/>
    <w:rsid w:val="00615FB2"/>
    <w:rsid w:val="00615FCF"/>
    <w:rsid w:val="00616043"/>
    <w:rsid w:val="006160D5"/>
    <w:rsid w:val="00616261"/>
    <w:rsid w:val="00616636"/>
    <w:rsid w:val="00616944"/>
    <w:rsid w:val="00616A12"/>
    <w:rsid w:val="00616A5B"/>
    <w:rsid w:val="00616BF9"/>
    <w:rsid w:val="00616F53"/>
    <w:rsid w:val="00617318"/>
    <w:rsid w:val="0061776B"/>
    <w:rsid w:val="0061791D"/>
    <w:rsid w:val="00617967"/>
    <w:rsid w:val="006179A6"/>
    <w:rsid w:val="00617A4D"/>
    <w:rsid w:val="00617BAA"/>
    <w:rsid w:val="00617BB6"/>
    <w:rsid w:val="00617CEF"/>
    <w:rsid w:val="00617DD9"/>
    <w:rsid w:val="006200C0"/>
    <w:rsid w:val="006200DA"/>
    <w:rsid w:val="00620140"/>
    <w:rsid w:val="006202DC"/>
    <w:rsid w:val="00620385"/>
    <w:rsid w:val="00620550"/>
    <w:rsid w:val="006207EF"/>
    <w:rsid w:val="0062094F"/>
    <w:rsid w:val="00620A90"/>
    <w:rsid w:val="00620DC1"/>
    <w:rsid w:val="00620E97"/>
    <w:rsid w:val="00620EA9"/>
    <w:rsid w:val="00620FEA"/>
    <w:rsid w:val="00621098"/>
    <w:rsid w:val="006210F5"/>
    <w:rsid w:val="0062121C"/>
    <w:rsid w:val="006212ED"/>
    <w:rsid w:val="00621460"/>
    <w:rsid w:val="00621566"/>
    <w:rsid w:val="0062166F"/>
    <w:rsid w:val="0062168D"/>
    <w:rsid w:val="0062169B"/>
    <w:rsid w:val="00621779"/>
    <w:rsid w:val="00621783"/>
    <w:rsid w:val="006218FE"/>
    <w:rsid w:val="006219D1"/>
    <w:rsid w:val="00621A1B"/>
    <w:rsid w:val="00621AED"/>
    <w:rsid w:val="00621B8C"/>
    <w:rsid w:val="00621D36"/>
    <w:rsid w:val="00621D76"/>
    <w:rsid w:val="00621E0A"/>
    <w:rsid w:val="00621EFE"/>
    <w:rsid w:val="00621FAA"/>
    <w:rsid w:val="00621FF7"/>
    <w:rsid w:val="0062201E"/>
    <w:rsid w:val="00622170"/>
    <w:rsid w:val="006221EC"/>
    <w:rsid w:val="00622445"/>
    <w:rsid w:val="0062254C"/>
    <w:rsid w:val="00622685"/>
    <w:rsid w:val="006226A1"/>
    <w:rsid w:val="00622934"/>
    <w:rsid w:val="006229D0"/>
    <w:rsid w:val="00622C94"/>
    <w:rsid w:val="00622D71"/>
    <w:rsid w:val="00622DE0"/>
    <w:rsid w:val="00623044"/>
    <w:rsid w:val="006230C3"/>
    <w:rsid w:val="0062319A"/>
    <w:rsid w:val="0062321C"/>
    <w:rsid w:val="006234BF"/>
    <w:rsid w:val="006235D5"/>
    <w:rsid w:val="00623712"/>
    <w:rsid w:val="00623EC1"/>
    <w:rsid w:val="00623EE9"/>
    <w:rsid w:val="00623F55"/>
    <w:rsid w:val="0062405F"/>
    <w:rsid w:val="00624244"/>
    <w:rsid w:val="006242B4"/>
    <w:rsid w:val="00624338"/>
    <w:rsid w:val="00624373"/>
    <w:rsid w:val="006244A8"/>
    <w:rsid w:val="00624528"/>
    <w:rsid w:val="00624712"/>
    <w:rsid w:val="00624713"/>
    <w:rsid w:val="00624721"/>
    <w:rsid w:val="0062484D"/>
    <w:rsid w:val="006249A1"/>
    <w:rsid w:val="00624B31"/>
    <w:rsid w:val="00624C72"/>
    <w:rsid w:val="00624DB7"/>
    <w:rsid w:val="00624DBF"/>
    <w:rsid w:val="00624E4C"/>
    <w:rsid w:val="00624EDA"/>
    <w:rsid w:val="00625595"/>
    <w:rsid w:val="006257EF"/>
    <w:rsid w:val="006259AD"/>
    <w:rsid w:val="00625A2F"/>
    <w:rsid w:val="00625A94"/>
    <w:rsid w:val="00625B00"/>
    <w:rsid w:val="00625D0C"/>
    <w:rsid w:val="00625D3F"/>
    <w:rsid w:val="00625D8D"/>
    <w:rsid w:val="006261DD"/>
    <w:rsid w:val="006262BB"/>
    <w:rsid w:val="00626524"/>
    <w:rsid w:val="006265D2"/>
    <w:rsid w:val="0062678B"/>
    <w:rsid w:val="00626C08"/>
    <w:rsid w:val="00626CC5"/>
    <w:rsid w:val="00626EC1"/>
    <w:rsid w:val="00626FE4"/>
    <w:rsid w:val="00626FFC"/>
    <w:rsid w:val="0062704B"/>
    <w:rsid w:val="0062704C"/>
    <w:rsid w:val="00627066"/>
    <w:rsid w:val="00627081"/>
    <w:rsid w:val="006270D1"/>
    <w:rsid w:val="00627169"/>
    <w:rsid w:val="006271A5"/>
    <w:rsid w:val="00627206"/>
    <w:rsid w:val="00627268"/>
    <w:rsid w:val="0062728E"/>
    <w:rsid w:val="0062730F"/>
    <w:rsid w:val="006274E2"/>
    <w:rsid w:val="00627574"/>
    <w:rsid w:val="006275E8"/>
    <w:rsid w:val="0062764A"/>
    <w:rsid w:val="006278E3"/>
    <w:rsid w:val="00627981"/>
    <w:rsid w:val="00627A57"/>
    <w:rsid w:val="00627BA7"/>
    <w:rsid w:val="00627C2D"/>
    <w:rsid w:val="00627CD6"/>
    <w:rsid w:val="00627CEF"/>
    <w:rsid w:val="00627F41"/>
    <w:rsid w:val="00630011"/>
    <w:rsid w:val="00630C14"/>
    <w:rsid w:val="00630DA8"/>
    <w:rsid w:val="00630F1B"/>
    <w:rsid w:val="006311CB"/>
    <w:rsid w:val="00631218"/>
    <w:rsid w:val="00631591"/>
    <w:rsid w:val="0063159A"/>
    <w:rsid w:val="00631917"/>
    <w:rsid w:val="00631AEC"/>
    <w:rsid w:val="00631B30"/>
    <w:rsid w:val="00631D96"/>
    <w:rsid w:val="00631D9D"/>
    <w:rsid w:val="00631EEA"/>
    <w:rsid w:val="00631FAD"/>
    <w:rsid w:val="00632059"/>
    <w:rsid w:val="0063213C"/>
    <w:rsid w:val="006321C7"/>
    <w:rsid w:val="006325BD"/>
    <w:rsid w:val="006325ED"/>
    <w:rsid w:val="00632683"/>
    <w:rsid w:val="00632864"/>
    <w:rsid w:val="0063289E"/>
    <w:rsid w:val="00632950"/>
    <w:rsid w:val="0063297A"/>
    <w:rsid w:val="00632C75"/>
    <w:rsid w:val="00632D52"/>
    <w:rsid w:val="00632E01"/>
    <w:rsid w:val="0063300F"/>
    <w:rsid w:val="0063311A"/>
    <w:rsid w:val="00633266"/>
    <w:rsid w:val="00633277"/>
    <w:rsid w:val="006332E3"/>
    <w:rsid w:val="006333D3"/>
    <w:rsid w:val="0063367D"/>
    <w:rsid w:val="006336A9"/>
    <w:rsid w:val="006337B8"/>
    <w:rsid w:val="006337E1"/>
    <w:rsid w:val="006338CD"/>
    <w:rsid w:val="00633919"/>
    <w:rsid w:val="00633A6F"/>
    <w:rsid w:val="00633C7B"/>
    <w:rsid w:val="00633C85"/>
    <w:rsid w:val="00633D4F"/>
    <w:rsid w:val="00633DC6"/>
    <w:rsid w:val="00633E50"/>
    <w:rsid w:val="00633F02"/>
    <w:rsid w:val="00633FD2"/>
    <w:rsid w:val="00633FE1"/>
    <w:rsid w:val="00634033"/>
    <w:rsid w:val="00634197"/>
    <w:rsid w:val="0063420D"/>
    <w:rsid w:val="00634683"/>
    <w:rsid w:val="00634731"/>
    <w:rsid w:val="0063474B"/>
    <w:rsid w:val="00634775"/>
    <w:rsid w:val="00634AD7"/>
    <w:rsid w:val="00634B6A"/>
    <w:rsid w:val="00634B98"/>
    <w:rsid w:val="00634C4B"/>
    <w:rsid w:val="00634E8A"/>
    <w:rsid w:val="00634EBA"/>
    <w:rsid w:val="006350BC"/>
    <w:rsid w:val="00635157"/>
    <w:rsid w:val="00635168"/>
    <w:rsid w:val="006351FB"/>
    <w:rsid w:val="00635268"/>
    <w:rsid w:val="00635490"/>
    <w:rsid w:val="006355E0"/>
    <w:rsid w:val="006356B7"/>
    <w:rsid w:val="00635749"/>
    <w:rsid w:val="00635805"/>
    <w:rsid w:val="0063593B"/>
    <w:rsid w:val="00635C2D"/>
    <w:rsid w:val="00635D02"/>
    <w:rsid w:val="00635D08"/>
    <w:rsid w:val="00635E1F"/>
    <w:rsid w:val="00635ED2"/>
    <w:rsid w:val="00635F25"/>
    <w:rsid w:val="00635F44"/>
    <w:rsid w:val="00635F6A"/>
    <w:rsid w:val="00635FB8"/>
    <w:rsid w:val="00635FFB"/>
    <w:rsid w:val="0063636D"/>
    <w:rsid w:val="0063644F"/>
    <w:rsid w:val="00636454"/>
    <w:rsid w:val="00636661"/>
    <w:rsid w:val="006367B0"/>
    <w:rsid w:val="006367EC"/>
    <w:rsid w:val="00636880"/>
    <w:rsid w:val="0063691D"/>
    <w:rsid w:val="00636CA9"/>
    <w:rsid w:val="00636D48"/>
    <w:rsid w:val="00636D81"/>
    <w:rsid w:val="00636DBF"/>
    <w:rsid w:val="00636DFB"/>
    <w:rsid w:val="00636F30"/>
    <w:rsid w:val="00636FA4"/>
    <w:rsid w:val="0063704B"/>
    <w:rsid w:val="00637050"/>
    <w:rsid w:val="006370CA"/>
    <w:rsid w:val="006371FA"/>
    <w:rsid w:val="006373F5"/>
    <w:rsid w:val="006375B4"/>
    <w:rsid w:val="00637674"/>
    <w:rsid w:val="00637758"/>
    <w:rsid w:val="00637800"/>
    <w:rsid w:val="0063780D"/>
    <w:rsid w:val="006378F8"/>
    <w:rsid w:val="00637A35"/>
    <w:rsid w:val="00637B92"/>
    <w:rsid w:val="00637C51"/>
    <w:rsid w:val="00637D5F"/>
    <w:rsid w:val="00637E7E"/>
    <w:rsid w:val="00640002"/>
    <w:rsid w:val="00640036"/>
    <w:rsid w:val="00640184"/>
    <w:rsid w:val="00640425"/>
    <w:rsid w:val="00640447"/>
    <w:rsid w:val="00640743"/>
    <w:rsid w:val="00640858"/>
    <w:rsid w:val="0064097A"/>
    <w:rsid w:val="006409F2"/>
    <w:rsid w:val="00640A43"/>
    <w:rsid w:val="00640BE6"/>
    <w:rsid w:val="00640EA9"/>
    <w:rsid w:val="00640F29"/>
    <w:rsid w:val="00641034"/>
    <w:rsid w:val="006411A8"/>
    <w:rsid w:val="006411D5"/>
    <w:rsid w:val="0064134D"/>
    <w:rsid w:val="0064142D"/>
    <w:rsid w:val="006415A4"/>
    <w:rsid w:val="006415D2"/>
    <w:rsid w:val="006416AD"/>
    <w:rsid w:val="006418FA"/>
    <w:rsid w:val="00641AE0"/>
    <w:rsid w:val="00641DC5"/>
    <w:rsid w:val="00641FA2"/>
    <w:rsid w:val="00642489"/>
    <w:rsid w:val="00642928"/>
    <w:rsid w:val="0064296F"/>
    <w:rsid w:val="00642B49"/>
    <w:rsid w:val="0064319C"/>
    <w:rsid w:val="00643335"/>
    <w:rsid w:val="0064333C"/>
    <w:rsid w:val="00643374"/>
    <w:rsid w:val="00643384"/>
    <w:rsid w:val="00643391"/>
    <w:rsid w:val="00643468"/>
    <w:rsid w:val="00643508"/>
    <w:rsid w:val="00643726"/>
    <w:rsid w:val="00643790"/>
    <w:rsid w:val="00643908"/>
    <w:rsid w:val="006439DD"/>
    <w:rsid w:val="006439ED"/>
    <w:rsid w:val="00643B33"/>
    <w:rsid w:val="00643B56"/>
    <w:rsid w:val="00643C46"/>
    <w:rsid w:val="00643CBB"/>
    <w:rsid w:val="00643D76"/>
    <w:rsid w:val="00643DD1"/>
    <w:rsid w:val="00643F5E"/>
    <w:rsid w:val="00643FE3"/>
    <w:rsid w:val="0064405E"/>
    <w:rsid w:val="006440F1"/>
    <w:rsid w:val="006444DC"/>
    <w:rsid w:val="00644907"/>
    <w:rsid w:val="00644A77"/>
    <w:rsid w:val="00644ACD"/>
    <w:rsid w:val="00644B10"/>
    <w:rsid w:val="00644C47"/>
    <w:rsid w:val="00644FEF"/>
    <w:rsid w:val="006450F8"/>
    <w:rsid w:val="006451C1"/>
    <w:rsid w:val="006452BC"/>
    <w:rsid w:val="00645308"/>
    <w:rsid w:val="00645384"/>
    <w:rsid w:val="0064546F"/>
    <w:rsid w:val="0064588B"/>
    <w:rsid w:val="006459C3"/>
    <w:rsid w:val="00645A02"/>
    <w:rsid w:val="00645A27"/>
    <w:rsid w:val="00645C3B"/>
    <w:rsid w:val="00645D91"/>
    <w:rsid w:val="00645E2D"/>
    <w:rsid w:val="00645E42"/>
    <w:rsid w:val="00646064"/>
    <w:rsid w:val="0064641A"/>
    <w:rsid w:val="0064646B"/>
    <w:rsid w:val="00646558"/>
    <w:rsid w:val="00646686"/>
    <w:rsid w:val="0064668D"/>
    <w:rsid w:val="006466AD"/>
    <w:rsid w:val="0064680C"/>
    <w:rsid w:val="0064681C"/>
    <w:rsid w:val="0064694B"/>
    <w:rsid w:val="00646968"/>
    <w:rsid w:val="006469E3"/>
    <w:rsid w:val="00646A76"/>
    <w:rsid w:val="00646C56"/>
    <w:rsid w:val="00646E23"/>
    <w:rsid w:val="00646ED1"/>
    <w:rsid w:val="00646ED6"/>
    <w:rsid w:val="00646EE5"/>
    <w:rsid w:val="00646F3D"/>
    <w:rsid w:val="00646FB9"/>
    <w:rsid w:val="006470A8"/>
    <w:rsid w:val="00647117"/>
    <w:rsid w:val="00647213"/>
    <w:rsid w:val="00647250"/>
    <w:rsid w:val="00647645"/>
    <w:rsid w:val="006476FB"/>
    <w:rsid w:val="0064778B"/>
    <w:rsid w:val="00647977"/>
    <w:rsid w:val="006479C0"/>
    <w:rsid w:val="00647A71"/>
    <w:rsid w:val="00647B05"/>
    <w:rsid w:val="00647B66"/>
    <w:rsid w:val="00647C0B"/>
    <w:rsid w:val="00647E4B"/>
    <w:rsid w:val="00647FCC"/>
    <w:rsid w:val="00650183"/>
    <w:rsid w:val="006501EE"/>
    <w:rsid w:val="0065024F"/>
    <w:rsid w:val="006502BD"/>
    <w:rsid w:val="00650375"/>
    <w:rsid w:val="00650491"/>
    <w:rsid w:val="0065056E"/>
    <w:rsid w:val="00650633"/>
    <w:rsid w:val="00650755"/>
    <w:rsid w:val="00650924"/>
    <w:rsid w:val="00650957"/>
    <w:rsid w:val="00650ADA"/>
    <w:rsid w:val="00650B14"/>
    <w:rsid w:val="00650D0C"/>
    <w:rsid w:val="00650F01"/>
    <w:rsid w:val="00650FCB"/>
    <w:rsid w:val="00650FCF"/>
    <w:rsid w:val="00651018"/>
    <w:rsid w:val="00651352"/>
    <w:rsid w:val="0065145C"/>
    <w:rsid w:val="006514EE"/>
    <w:rsid w:val="00651711"/>
    <w:rsid w:val="00651784"/>
    <w:rsid w:val="00651848"/>
    <w:rsid w:val="00651915"/>
    <w:rsid w:val="00651923"/>
    <w:rsid w:val="0065198E"/>
    <w:rsid w:val="006519FF"/>
    <w:rsid w:val="00651A18"/>
    <w:rsid w:val="00651AD8"/>
    <w:rsid w:val="00651B16"/>
    <w:rsid w:val="00651CED"/>
    <w:rsid w:val="00651CF4"/>
    <w:rsid w:val="00651D32"/>
    <w:rsid w:val="00651DB9"/>
    <w:rsid w:val="00652082"/>
    <w:rsid w:val="00652083"/>
    <w:rsid w:val="006520E8"/>
    <w:rsid w:val="006524F5"/>
    <w:rsid w:val="00652580"/>
    <w:rsid w:val="006525F2"/>
    <w:rsid w:val="00652616"/>
    <w:rsid w:val="006527BE"/>
    <w:rsid w:val="006527FD"/>
    <w:rsid w:val="00652830"/>
    <w:rsid w:val="006528F5"/>
    <w:rsid w:val="006529B6"/>
    <w:rsid w:val="00652B31"/>
    <w:rsid w:val="00652BE1"/>
    <w:rsid w:val="00652C65"/>
    <w:rsid w:val="00652C7F"/>
    <w:rsid w:val="00652CE2"/>
    <w:rsid w:val="00652D77"/>
    <w:rsid w:val="00652DDE"/>
    <w:rsid w:val="00652E34"/>
    <w:rsid w:val="00652EE8"/>
    <w:rsid w:val="00652EEA"/>
    <w:rsid w:val="00653022"/>
    <w:rsid w:val="006530AB"/>
    <w:rsid w:val="006532ED"/>
    <w:rsid w:val="00653361"/>
    <w:rsid w:val="00653567"/>
    <w:rsid w:val="00653685"/>
    <w:rsid w:val="00653699"/>
    <w:rsid w:val="00653799"/>
    <w:rsid w:val="00653B1C"/>
    <w:rsid w:val="00653C55"/>
    <w:rsid w:val="00653DDC"/>
    <w:rsid w:val="00653ED4"/>
    <w:rsid w:val="00653F87"/>
    <w:rsid w:val="00653F88"/>
    <w:rsid w:val="00653F9B"/>
    <w:rsid w:val="0065404C"/>
    <w:rsid w:val="0065429E"/>
    <w:rsid w:val="00654340"/>
    <w:rsid w:val="0065454B"/>
    <w:rsid w:val="00654744"/>
    <w:rsid w:val="00654783"/>
    <w:rsid w:val="006548EC"/>
    <w:rsid w:val="00654BD1"/>
    <w:rsid w:val="00654D6B"/>
    <w:rsid w:val="00654DAD"/>
    <w:rsid w:val="00654EDA"/>
    <w:rsid w:val="00654F6B"/>
    <w:rsid w:val="0065500B"/>
    <w:rsid w:val="006550F4"/>
    <w:rsid w:val="0065512C"/>
    <w:rsid w:val="00655385"/>
    <w:rsid w:val="0065547F"/>
    <w:rsid w:val="0065550F"/>
    <w:rsid w:val="006555B7"/>
    <w:rsid w:val="0065573E"/>
    <w:rsid w:val="006557CA"/>
    <w:rsid w:val="006558C6"/>
    <w:rsid w:val="006559A5"/>
    <w:rsid w:val="00655A16"/>
    <w:rsid w:val="00655AB6"/>
    <w:rsid w:val="00655AD0"/>
    <w:rsid w:val="00655BB1"/>
    <w:rsid w:val="00655BF6"/>
    <w:rsid w:val="00655C0B"/>
    <w:rsid w:val="00655EB1"/>
    <w:rsid w:val="00655F1F"/>
    <w:rsid w:val="00656148"/>
    <w:rsid w:val="006562C4"/>
    <w:rsid w:val="0065650D"/>
    <w:rsid w:val="0065659D"/>
    <w:rsid w:val="0065662D"/>
    <w:rsid w:val="0065666F"/>
    <w:rsid w:val="00656737"/>
    <w:rsid w:val="0065683B"/>
    <w:rsid w:val="00656862"/>
    <w:rsid w:val="006568F9"/>
    <w:rsid w:val="00656958"/>
    <w:rsid w:val="00656CC9"/>
    <w:rsid w:val="00656F41"/>
    <w:rsid w:val="0065702D"/>
    <w:rsid w:val="006571F2"/>
    <w:rsid w:val="0065727D"/>
    <w:rsid w:val="006576A5"/>
    <w:rsid w:val="006576DE"/>
    <w:rsid w:val="006579B1"/>
    <w:rsid w:val="00657A3C"/>
    <w:rsid w:val="00657AF5"/>
    <w:rsid w:val="00657C2A"/>
    <w:rsid w:val="00657D75"/>
    <w:rsid w:val="0066001C"/>
    <w:rsid w:val="0066011F"/>
    <w:rsid w:val="00660151"/>
    <w:rsid w:val="0066027D"/>
    <w:rsid w:val="0066031B"/>
    <w:rsid w:val="00660532"/>
    <w:rsid w:val="00660590"/>
    <w:rsid w:val="00660861"/>
    <w:rsid w:val="00660A24"/>
    <w:rsid w:val="00660A49"/>
    <w:rsid w:val="00660B35"/>
    <w:rsid w:val="00660B61"/>
    <w:rsid w:val="00660BAC"/>
    <w:rsid w:val="00660E78"/>
    <w:rsid w:val="00660ED9"/>
    <w:rsid w:val="00660EDB"/>
    <w:rsid w:val="00660F1D"/>
    <w:rsid w:val="00660F75"/>
    <w:rsid w:val="0066114D"/>
    <w:rsid w:val="006611CA"/>
    <w:rsid w:val="006614BF"/>
    <w:rsid w:val="00661536"/>
    <w:rsid w:val="0066154E"/>
    <w:rsid w:val="006615CC"/>
    <w:rsid w:val="006616ED"/>
    <w:rsid w:val="00661894"/>
    <w:rsid w:val="00661C96"/>
    <w:rsid w:val="00661E03"/>
    <w:rsid w:val="006622B5"/>
    <w:rsid w:val="0066236F"/>
    <w:rsid w:val="0066239E"/>
    <w:rsid w:val="00662534"/>
    <w:rsid w:val="00662655"/>
    <w:rsid w:val="006627F8"/>
    <w:rsid w:val="0066287E"/>
    <w:rsid w:val="006628B1"/>
    <w:rsid w:val="00662B28"/>
    <w:rsid w:val="00662CCF"/>
    <w:rsid w:val="00663087"/>
    <w:rsid w:val="006631EB"/>
    <w:rsid w:val="006632BF"/>
    <w:rsid w:val="0066333D"/>
    <w:rsid w:val="0066344F"/>
    <w:rsid w:val="006635B8"/>
    <w:rsid w:val="00663755"/>
    <w:rsid w:val="0066384D"/>
    <w:rsid w:val="0066393B"/>
    <w:rsid w:val="00663E29"/>
    <w:rsid w:val="00663E36"/>
    <w:rsid w:val="00663EBE"/>
    <w:rsid w:val="00663F55"/>
    <w:rsid w:val="00664035"/>
    <w:rsid w:val="0066403D"/>
    <w:rsid w:val="00664125"/>
    <w:rsid w:val="0066413D"/>
    <w:rsid w:val="00664143"/>
    <w:rsid w:val="00664202"/>
    <w:rsid w:val="006642FE"/>
    <w:rsid w:val="00664962"/>
    <w:rsid w:val="00664A73"/>
    <w:rsid w:val="00664D36"/>
    <w:rsid w:val="00664E8D"/>
    <w:rsid w:val="00664E8E"/>
    <w:rsid w:val="00664EEE"/>
    <w:rsid w:val="00664FCB"/>
    <w:rsid w:val="006650A7"/>
    <w:rsid w:val="006650C5"/>
    <w:rsid w:val="00665163"/>
    <w:rsid w:val="0066522D"/>
    <w:rsid w:val="00665579"/>
    <w:rsid w:val="00665644"/>
    <w:rsid w:val="006657A7"/>
    <w:rsid w:val="00665985"/>
    <w:rsid w:val="006659B7"/>
    <w:rsid w:val="00665A2F"/>
    <w:rsid w:val="00665AD1"/>
    <w:rsid w:val="00665CEA"/>
    <w:rsid w:val="00665DAF"/>
    <w:rsid w:val="006660B3"/>
    <w:rsid w:val="00666489"/>
    <w:rsid w:val="006664B6"/>
    <w:rsid w:val="006665C8"/>
    <w:rsid w:val="006668F2"/>
    <w:rsid w:val="00666930"/>
    <w:rsid w:val="00666A22"/>
    <w:rsid w:val="00666A4E"/>
    <w:rsid w:val="00666C38"/>
    <w:rsid w:val="00666E0B"/>
    <w:rsid w:val="00666E6D"/>
    <w:rsid w:val="00667234"/>
    <w:rsid w:val="006672BE"/>
    <w:rsid w:val="00667574"/>
    <w:rsid w:val="006676AC"/>
    <w:rsid w:val="006678A3"/>
    <w:rsid w:val="006678D7"/>
    <w:rsid w:val="00667C67"/>
    <w:rsid w:val="00667D6B"/>
    <w:rsid w:val="00667DEC"/>
    <w:rsid w:val="00667E6B"/>
    <w:rsid w:val="00667F29"/>
    <w:rsid w:val="00667F96"/>
    <w:rsid w:val="0067047F"/>
    <w:rsid w:val="006704A4"/>
    <w:rsid w:val="006704DD"/>
    <w:rsid w:val="00670590"/>
    <w:rsid w:val="00670592"/>
    <w:rsid w:val="006705BA"/>
    <w:rsid w:val="006705C6"/>
    <w:rsid w:val="006705EC"/>
    <w:rsid w:val="00670613"/>
    <w:rsid w:val="0067064B"/>
    <w:rsid w:val="00670695"/>
    <w:rsid w:val="0067072B"/>
    <w:rsid w:val="00670AC5"/>
    <w:rsid w:val="00670AD5"/>
    <w:rsid w:val="00670B4E"/>
    <w:rsid w:val="00670BFA"/>
    <w:rsid w:val="00670C84"/>
    <w:rsid w:val="00670C99"/>
    <w:rsid w:val="00670D5D"/>
    <w:rsid w:val="00670DA5"/>
    <w:rsid w:val="006710CC"/>
    <w:rsid w:val="006710D0"/>
    <w:rsid w:val="006711FF"/>
    <w:rsid w:val="00671289"/>
    <w:rsid w:val="006714C0"/>
    <w:rsid w:val="0067159F"/>
    <w:rsid w:val="0067167D"/>
    <w:rsid w:val="00671713"/>
    <w:rsid w:val="0067178C"/>
    <w:rsid w:val="00671827"/>
    <w:rsid w:val="00671892"/>
    <w:rsid w:val="00671B56"/>
    <w:rsid w:val="00671B67"/>
    <w:rsid w:val="00671DBC"/>
    <w:rsid w:val="00671E33"/>
    <w:rsid w:val="00671FF1"/>
    <w:rsid w:val="00672170"/>
    <w:rsid w:val="0067218E"/>
    <w:rsid w:val="00672272"/>
    <w:rsid w:val="00672409"/>
    <w:rsid w:val="006725DD"/>
    <w:rsid w:val="00672693"/>
    <w:rsid w:val="006726E0"/>
    <w:rsid w:val="00672924"/>
    <w:rsid w:val="006729BD"/>
    <w:rsid w:val="00672C87"/>
    <w:rsid w:val="00672D71"/>
    <w:rsid w:val="00672D8E"/>
    <w:rsid w:val="00672E6E"/>
    <w:rsid w:val="00672F22"/>
    <w:rsid w:val="00672F90"/>
    <w:rsid w:val="00673091"/>
    <w:rsid w:val="0067316A"/>
    <w:rsid w:val="0067337F"/>
    <w:rsid w:val="0067340B"/>
    <w:rsid w:val="00673740"/>
    <w:rsid w:val="00673801"/>
    <w:rsid w:val="006738DA"/>
    <w:rsid w:val="006739AA"/>
    <w:rsid w:val="00673BF5"/>
    <w:rsid w:val="00673C81"/>
    <w:rsid w:val="00673D17"/>
    <w:rsid w:val="00673F20"/>
    <w:rsid w:val="00673F70"/>
    <w:rsid w:val="006741EF"/>
    <w:rsid w:val="00674310"/>
    <w:rsid w:val="006743F2"/>
    <w:rsid w:val="00674460"/>
    <w:rsid w:val="0067449A"/>
    <w:rsid w:val="00674600"/>
    <w:rsid w:val="0067477B"/>
    <w:rsid w:val="00674918"/>
    <w:rsid w:val="006749B1"/>
    <w:rsid w:val="00674A58"/>
    <w:rsid w:val="00674BFF"/>
    <w:rsid w:val="00674CF6"/>
    <w:rsid w:val="00674DAF"/>
    <w:rsid w:val="00674E44"/>
    <w:rsid w:val="00674E4B"/>
    <w:rsid w:val="00674E8B"/>
    <w:rsid w:val="00674ECE"/>
    <w:rsid w:val="0067503B"/>
    <w:rsid w:val="00675257"/>
    <w:rsid w:val="006752EC"/>
    <w:rsid w:val="00675414"/>
    <w:rsid w:val="00675416"/>
    <w:rsid w:val="00675605"/>
    <w:rsid w:val="00675642"/>
    <w:rsid w:val="0067574D"/>
    <w:rsid w:val="006757E8"/>
    <w:rsid w:val="0067586C"/>
    <w:rsid w:val="00675902"/>
    <w:rsid w:val="006759FE"/>
    <w:rsid w:val="00675A3E"/>
    <w:rsid w:val="00675C28"/>
    <w:rsid w:val="00675EBE"/>
    <w:rsid w:val="00675EDA"/>
    <w:rsid w:val="00675F57"/>
    <w:rsid w:val="0067600F"/>
    <w:rsid w:val="00676179"/>
    <w:rsid w:val="0067628C"/>
    <w:rsid w:val="0067630E"/>
    <w:rsid w:val="0067644B"/>
    <w:rsid w:val="0067652E"/>
    <w:rsid w:val="0067663C"/>
    <w:rsid w:val="0067690A"/>
    <w:rsid w:val="00676998"/>
    <w:rsid w:val="00676D43"/>
    <w:rsid w:val="00676FE4"/>
    <w:rsid w:val="006770CB"/>
    <w:rsid w:val="006770FE"/>
    <w:rsid w:val="00677330"/>
    <w:rsid w:val="006773CD"/>
    <w:rsid w:val="00677501"/>
    <w:rsid w:val="00677698"/>
    <w:rsid w:val="006776FA"/>
    <w:rsid w:val="0067770B"/>
    <w:rsid w:val="00677B6A"/>
    <w:rsid w:val="00677D19"/>
    <w:rsid w:val="00677D58"/>
    <w:rsid w:val="0068016E"/>
    <w:rsid w:val="00680366"/>
    <w:rsid w:val="006803B1"/>
    <w:rsid w:val="006804EC"/>
    <w:rsid w:val="006804FB"/>
    <w:rsid w:val="006805B7"/>
    <w:rsid w:val="006806AC"/>
    <w:rsid w:val="006806CA"/>
    <w:rsid w:val="00680800"/>
    <w:rsid w:val="00680947"/>
    <w:rsid w:val="006809E7"/>
    <w:rsid w:val="00680A6D"/>
    <w:rsid w:val="00680B37"/>
    <w:rsid w:val="00680C43"/>
    <w:rsid w:val="00680D3A"/>
    <w:rsid w:val="00680F66"/>
    <w:rsid w:val="006810C1"/>
    <w:rsid w:val="00681351"/>
    <w:rsid w:val="00681455"/>
    <w:rsid w:val="006814A5"/>
    <w:rsid w:val="006814C5"/>
    <w:rsid w:val="00681629"/>
    <w:rsid w:val="00681668"/>
    <w:rsid w:val="006816B2"/>
    <w:rsid w:val="006816D4"/>
    <w:rsid w:val="00681736"/>
    <w:rsid w:val="006817D4"/>
    <w:rsid w:val="00681A9D"/>
    <w:rsid w:val="00681B98"/>
    <w:rsid w:val="00681BF5"/>
    <w:rsid w:val="00681CF3"/>
    <w:rsid w:val="00681D54"/>
    <w:rsid w:val="00682095"/>
    <w:rsid w:val="006821D7"/>
    <w:rsid w:val="00682253"/>
    <w:rsid w:val="006823C5"/>
    <w:rsid w:val="0068240A"/>
    <w:rsid w:val="0068258C"/>
    <w:rsid w:val="006825EA"/>
    <w:rsid w:val="006826B5"/>
    <w:rsid w:val="006828BA"/>
    <w:rsid w:val="00682B5F"/>
    <w:rsid w:val="00682B6A"/>
    <w:rsid w:val="00682BCE"/>
    <w:rsid w:val="00682BDB"/>
    <w:rsid w:val="00682FEB"/>
    <w:rsid w:val="00683052"/>
    <w:rsid w:val="006832A8"/>
    <w:rsid w:val="006832C8"/>
    <w:rsid w:val="00683314"/>
    <w:rsid w:val="0068332A"/>
    <w:rsid w:val="006833CE"/>
    <w:rsid w:val="006835B3"/>
    <w:rsid w:val="00683666"/>
    <w:rsid w:val="0068373D"/>
    <w:rsid w:val="006837A8"/>
    <w:rsid w:val="006837D8"/>
    <w:rsid w:val="0068380D"/>
    <w:rsid w:val="00683867"/>
    <w:rsid w:val="00683978"/>
    <w:rsid w:val="00683C3F"/>
    <w:rsid w:val="00683CB2"/>
    <w:rsid w:val="00683D65"/>
    <w:rsid w:val="00683DA5"/>
    <w:rsid w:val="00683E77"/>
    <w:rsid w:val="00683F28"/>
    <w:rsid w:val="00683F36"/>
    <w:rsid w:val="00683F76"/>
    <w:rsid w:val="006840F0"/>
    <w:rsid w:val="0068413E"/>
    <w:rsid w:val="00684218"/>
    <w:rsid w:val="006842CB"/>
    <w:rsid w:val="00684330"/>
    <w:rsid w:val="00684460"/>
    <w:rsid w:val="006844B5"/>
    <w:rsid w:val="006844D4"/>
    <w:rsid w:val="00684620"/>
    <w:rsid w:val="00684625"/>
    <w:rsid w:val="0068469A"/>
    <w:rsid w:val="00684776"/>
    <w:rsid w:val="00684A9E"/>
    <w:rsid w:val="00684AB3"/>
    <w:rsid w:val="00684CFF"/>
    <w:rsid w:val="00684E21"/>
    <w:rsid w:val="00684E5B"/>
    <w:rsid w:val="00684FA0"/>
    <w:rsid w:val="0068545D"/>
    <w:rsid w:val="006854BF"/>
    <w:rsid w:val="006854C8"/>
    <w:rsid w:val="0068551F"/>
    <w:rsid w:val="0068554F"/>
    <w:rsid w:val="006855F9"/>
    <w:rsid w:val="006857C4"/>
    <w:rsid w:val="00685C82"/>
    <w:rsid w:val="00685E6B"/>
    <w:rsid w:val="00685FFE"/>
    <w:rsid w:val="00686207"/>
    <w:rsid w:val="0068627B"/>
    <w:rsid w:val="0068635D"/>
    <w:rsid w:val="006863DF"/>
    <w:rsid w:val="006864DB"/>
    <w:rsid w:val="006864EF"/>
    <w:rsid w:val="00686579"/>
    <w:rsid w:val="006865C0"/>
    <w:rsid w:val="00686674"/>
    <w:rsid w:val="00686737"/>
    <w:rsid w:val="006867BC"/>
    <w:rsid w:val="00686B45"/>
    <w:rsid w:val="00686C00"/>
    <w:rsid w:val="00686E16"/>
    <w:rsid w:val="00686EB4"/>
    <w:rsid w:val="00686EEF"/>
    <w:rsid w:val="00686F30"/>
    <w:rsid w:val="00686F35"/>
    <w:rsid w:val="0068711F"/>
    <w:rsid w:val="00687345"/>
    <w:rsid w:val="006873E1"/>
    <w:rsid w:val="006874F3"/>
    <w:rsid w:val="00687543"/>
    <w:rsid w:val="00687686"/>
    <w:rsid w:val="0068784B"/>
    <w:rsid w:val="0068789F"/>
    <w:rsid w:val="00687961"/>
    <w:rsid w:val="00687968"/>
    <w:rsid w:val="00687EAA"/>
    <w:rsid w:val="00687F88"/>
    <w:rsid w:val="00690109"/>
    <w:rsid w:val="0069017F"/>
    <w:rsid w:val="006901D7"/>
    <w:rsid w:val="006901F9"/>
    <w:rsid w:val="0069021F"/>
    <w:rsid w:val="006902E4"/>
    <w:rsid w:val="0069045E"/>
    <w:rsid w:val="00690492"/>
    <w:rsid w:val="006904C8"/>
    <w:rsid w:val="006905A7"/>
    <w:rsid w:val="00690742"/>
    <w:rsid w:val="0069077A"/>
    <w:rsid w:val="0069097E"/>
    <w:rsid w:val="00690CA5"/>
    <w:rsid w:val="00690DCE"/>
    <w:rsid w:val="00691351"/>
    <w:rsid w:val="00691409"/>
    <w:rsid w:val="00691454"/>
    <w:rsid w:val="006917DD"/>
    <w:rsid w:val="00691A4D"/>
    <w:rsid w:val="00691A52"/>
    <w:rsid w:val="00691B01"/>
    <w:rsid w:val="00691B56"/>
    <w:rsid w:val="00691B8A"/>
    <w:rsid w:val="00691CC2"/>
    <w:rsid w:val="00691D8B"/>
    <w:rsid w:val="00691E0F"/>
    <w:rsid w:val="006921A6"/>
    <w:rsid w:val="00692316"/>
    <w:rsid w:val="00692477"/>
    <w:rsid w:val="00692485"/>
    <w:rsid w:val="006926E2"/>
    <w:rsid w:val="006926F7"/>
    <w:rsid w:val="006927A9"/>
    <w:rsid w:val="006927DC"/>
    <w:rsid w:val="0069280C"/>
    <w:rsid w:val="006928FF"/>
    <w:rsid w:val="0069295C"/>
    <w:rsid w:val="00692BA1"/>
    <w:rsid w:val="00692EAA"/>
    <w:rsid w:val="00692F00"/>
    <w:rsid w:val="00693096"/>
    <w:rsid w:val="0069311E"/>
    <w:rsid w:val="00693151"/>
    <w:rsid w:val="0069323C"/>
    <w:rsid w:val="00693566"/>
    <w:rsid w:val="006936AC"/>
    <w:rsid w:val="0069388B"/>
    <w:rsid w:val="006939CA"/>
    <w:rsid w:val="00693A6D"/>
    <w:rsid w:val="00693B88"/>
    <w:rsid w:val="00693C40"/>
    <w:rsid w:val="00693CE5"/>
    <w:rsid w:val="00694029"/>
    <w:rsid w:val="006940D9"/>
    <w:rsid w:val="00694339"/>
    <w:rsid w:val="0069441F"/>
    <w:rsid w:val="006944B6"/>
    <w:rsid w:val="006947DB"/>
    <w:rsid w:val="00694804"/>
    <w:rsid w:val="00694917"/>
    <w:rsid w:val="00694B3C"/>
    <w:rsid w:val="00694E10"/>
    <w:rsid w:val="00694F24"/>
    <w:rsid w:val="006950DC"/>
    <w:rsid w:val="00695145"/>
    <w:rsid w:val="00695403"/>
    <w:rsid w:val="00695630"/>
    <w:rsid w:val="006956C3"/>
    <w:rsid w:val="006957D0"/>
    <w:rsid w:val="00695C79"/>
    <w:rsid w:val="00695CC5"/>
    <w:rsid w:val="00695FA8"/>
    <w:rsid w:val="0069610B"/>
    <w:rsid w:val="006963A1"/>
    <w:rsid w:val="006963D2"/>
    <w:rsid w:val="006964F3"/>
    <w:rsid w:val="00696777"/>
    <w:rsid w:val="006967A9"/>
    <w:rsid w:val="00696A07"/>
    <w:rsid w:val="00696AA1"/>
    <w:rsid w:val="00696BA7"/>
    <w:rsid w:val="00696C1B"/>
    <w:rsid w:val="00696DA8"/>
    <w:rsid w:val="00696E44"/>
    <w:rsid w:val="00696F27"/>
    <w:rsid w:val="00697531"/>
    <w:rsid w:val="0069770C"/>
    <w:rsid w:val="0069770D"/>
    <w:rsid w:val="00697812"/>
    <w:rsid w:val="00697BA5"/>
    <w:rsid w:val="00697CA4"/>
    <w:rsid w:val="00697FCC"/>
    <w:rsid w:val="006A007A"/>
    <w:rsid w:val="006A0119"/>
    <w:rsid w:val="006A02B6"/>
    <w:rsid w:val="006A0368"/>
    <w:rsid w:val="006A044B"/>
    <w:rsid w:val="006A05E1"/>
    <w:rsid w:val="006A0660"/>
    <w:rsid w:val="006A0967"/>
    <w:rsid w:val="006A0BB1"/>
    <w:rsid w:val="006A0C1C"/>
    <w:rsid w:val="006A0C3F"/>
    <w:rsid w:val="006A0DD3"/>
    <w:rsid w:val="006A0E26"/>
    <w:rsid w:val="006A0F0B"/>
    <w:rsid w:val="006A1194"/>
    <w:rsid w:val="006A1462"/>
    <w:rsid w:val="006A1539"/>
    <w:rsid w:val="006A15A9"/>
    <w:rsid w:val="006A1634"/>
    <w:rsid w:val="006A179C"/>
    <w:rsid w:val="006A17AC"/>
    <w:rsid w:val="006A1805"/>
    <w:rsid w:val="006A1814"/>
    <w:rsid w:val="006A19AD"/>
    <w:rsid w:val="006A19F5"/>
    <w:rsid w:val="006A1A6E"/>
    <w:rsid w:val="006A1CD0"/>
    <w:rsid w:val="006A1D56"/>
    <w:rsid w:val="006A1D96"/>
    <w:rsid w:val="006A1F0B"/>
    <w:rsid w:val="006A2084"/>
    <w:rsid w:val="006A2143"/>
    <w:rsid w:val="006A231B"/>
    <w:rsid w:val="006A2531"/>
    <w:rsid w:val="006A27F9"/>
    <w:rsid w:val="006A284B"/>
    <w:rsid w:val="006A2AF5"/>
    <w:rsid w:val="006A2B20"/>
    <w:rsid w:val="006A2CFB"/>
    <w:rsid w:val="006A2F36"/>
    <w:rsid w:val="006A309A"/>
    <w:rsid w:val="006A3283"/>
    <w:rsid w:val="006A330A"/>
    <w:rsid w:val="006A333F"/>
    <w:rsid w:val="006A33E4"/>
    <w:rsid w:val="006A36B1"/>
    <w:rsid w:val="006A3963"/>
    <w:rsid w:val="006A3C63"/>
    <w:rsid w:val="006A4029"/>
    <w:rsid w:val="006A4061"/>
    <w:rsid w:val="006A43D7"/>
    <w:rsid w:val="006A445B"/>
    <w:rsid w:val="006A4604"/>
    <w:rsid w:val="006A46EF"/>
    <w:rsid w:val="006A48B1"/>
    <w:rsid w:val="006A4ABC"/>
    <w:rsid w:val="006A4B03"/>
    <w:rsid w:val="006A4DCD"/>
    <w:rsid w:val="006A4EF6"/>
    <w:rsid w:val="006A4F4D"/>
    <w:rsid w:val="006A4F98"/>
    <w:rsid w:val="006A504B"/>
    <w:rsid w:val="006A511C"/>
    <w:rsid w:val="006A515B"/>
    <w:rsid w:val="006A5184"/>
    <w:rsid w:val="006A5292"/>
    <w:rsid w:val="006A52ED"/>
    <w:rsid w:val="006A557A"/>
    <w:rsid w:val="006A56AE"/>
    <w:rsid w:val="006A5741"/>
    <w:rsid w:val="006A5978"/>
    <w:rsid w:val="006A5B21"/>
    <w:rsid w:val="006A5B61"/>
    <w:rsid w:val="006A5C3F"/>
    <w:rsid w:val="006A5DCF"/>
    <w:rsid w:val="006A5E0E"/>
    <w:rsid w:val="006A5E10"/>
    <w:rsid w:val="006A5E8D"/>
    <w:rsid w:val="006A6215"/>
    <w:rsid w:val="006A653F"/>
    <w:rsid w:val="006A655E"/>
    <w:rsid w:val="006A6D38"/>
    <w:rsid w:val="006A6D61"/>
    <w:rsid w:val="006A7025"/>
    <w:rsid w:val="006A7029"/>
    <w:rsid w:val="006A7362"/>
    <w:rsid w:val="006A7372"/>
    <w:rsid w:val="006A73BC"/>
    <w:rsid w:val="006A7671"/>
    <w:rsid w:val="006A778C"/>
    <w:rsid w:val="006A78AD"/>
    <w:rsid w:val="006A7AE8"/>
    <w:rsid w:val="006A7DE4"/>
    <w:rsid w:val="006A7E09"/>
    <w:rsid w:val="006A7EB3"/>
    <w:rsid w:val="006A7F5D"/>
    <w:rsid w:val="006B000A"/>
    <w:rsid w:val="006B000E"/>
    <w:rsid w:val="006B00CB"/>
    <w:rsid w:val="006B00D7"/>
    <w:rsid w:val="006B0170"/>
    <w:rsid w:val="006B025A"/>
    <w:rsid w:val="006B0446"/>
    <w:rsid w:val="006B08A9"/>
    <w:rsid w:val="006B0937"/>
    <w:rsid w:val="006B09F2"/>
    <w:rsid w:val="006B0B0F"/>
    <w:rsid w:val="006B0BB0"/>
    <w:rsid w:val="006B0C4E"/>
    <w:rsid w:val="006B0C67"/>
    <w:rsid w:val="006B0F20"/>
    <w:rsid w:val="006B0F74"/>
    <w:rsid w:val="006B0F92"/>
    <w:rsid w:val="006B13A4"/>
    <w:rsid w:val="006B1539"/>
    <w:rsid w:val="006B15B5"/>
    <w:rsid w:val="006B1611"/>
    <w:rsid w:val="006B1739"/>
    <w:rsid w:val="006B1791"/>
    <w:rsid w:val="006B179E"/>
    <w:rsid w:val="006B1876"/>
    <w:rsid w:val="006B18F2"/>
    <w:rsid w:val="006B1A5E"/>
    <w:rsid w:val="006B1DB1"/>
    <w:rsid w:val="006B1E1F"/>
    <w:rsid w:val="006B21F6"/>
    <w:rsid w:val="006B22DA"/>
    <w:rsid w:val="006B2487"/>
    <w:rsid w:val="006B257D"/>
    <w:rsid w:val="006B2720"/>
    <w:rsid w:val="006B29F5"/>
    <w:rsid w:val="006B2D1C"/>
    <w:rsid w:val="006B2DCE"/>
    <w:rsid w:val="006B2F1F"/>
    <w:rsid w:val="006B3084"/>
    <w:rsid w:val="006B30CC"/>
    <w:rsid w:val="006B32B2"/>
    <w:rsid w:val="006B341B"/>
    <w:rsid w:val="006B34FD"/>
    <w:rsid w:val="006B3547"/>
    <w:rsid w:val="006B359A"/>
    <w:rsid w:val="006B398D"/>
    <w:rsid w:val="006B3A06"/>
    <w:rsid w:val="006B3AAD"/>
    <w:rsid w:val="006B4035"/>
    <w:rsid w:val="006B4230"/>
    <w:rsid w:val="006B42BF"/>
    <w:rsid w:val="006B42FE"/>
    <w:rsid w:val="006B44C3"/>
    <w:rsid w:val="006B4508"/>
    <w:rsid w:val="006B45BA"/>
    <w:rsid w:val="006B46B5"/>
    <w:rsid w:val="006B46FD"/>
    <w:rsid w:val="006B48B4"/>
    <w:rsid w:val="006B4959"/>
    <w:rsid w:val="006B4E0C"/>
    <w:rsid w:val="006B4ED6"/>
    <w:rsid w:val="006B4FAE"/>
    <w:rsid w:val="006B5157"/>
    <w:rsid w:val="006B5242"/>
    <w:rsid w:val="006B5356"/>
    <w:rsid w:val="006B55BF"/>
    <w:rsid w:val="006B5901"/>
    <w:rsid w:val="006B5B7A"/>
    <w:rsid w:val="006B5E5D"/>
    <w:rsid w:val="006B5E72"/>
    <w:rsid w:val="006B5EAD"/>
    <w:rsid w:val="006B5F3D"/>
    <w:rsid w:val="006B6052"/>
    <w:rsid w:val="006B60BF"/>
    <w:rsid w:val="006B6306"/>
    <w:rsid w:val="006B649C"/>
    <w:rsid w:val="006B649F"/>
    <w:rsid w:val="006B65F3"/>
    <w:rsid w:val="006B6668"/>
    <w:rsid w:val="006B6CAA"/>
    <w:rsid w:val="006B6FC1"/>
    <w:rsid w:val="006B6FE4"/>
    <w:rsid w:val="006B7043"/>
    <w:rsid w:val="006B705B"/>
    <w:rsid w:val="006B7091"/>
    <w:rsid w:val="006B70D5"/>
    <w:rsid w:val="006B7177"/>
    <w:rsid w:val="006B7341"/>
    <w:rsid w:val="006B73F0"/>
    <w:rsid w:val="006B74CE"/>
    <w:rsid w:val="006B7758"/>
    <w:rsid w:val="006B77E5"/>
    <w:rsid w:val="006B7AD4"/>
    <w:rsid w:val="006B7B28"/>
    <w:rsid w:val="006B7F3B"/>
    <w:rsid w:val="006B7FAA"/>
    <w:rsid w:val="006C0252"/>
    <w:rsid w:val="006C0808"/>
    <w:rsid w:val="006C0833"/>
    <w:rsid w:val="006C0889"/>
    <w:rsid w:val="006C09EF"/>
    <w:rsid w:val="006C0A36"/>
    <w:rsid w:val="006C0AB6"/>
    <w:rsid w:val="006C0F9A"/>
    <w:rsid w:val="006C0FCC"/>
    <w:rsid w:val="006C102B"/>
    <w:rsid w:val="006C106C"/>
    <w:rsid w:val="006C119D"/>
    <w:rsid w:val="006C1381"/>
    <w:rsid w:val="006C1478"/>
    <w:rsid w:val="006C16A5"/>
    <w:rsid w:val="006C16EF"/>
    <w:rsid w:val="006C175B"/>
    <w:rsid w:val="006C1E6A"/>
    <w:rsid w:val="006C1F01"/>
    <w:rsid w:val="006C2051"/>
    <w:rsid w:val="006C20BE"/>
    <w:rsid w:val="006C2139"/>
    <w:rsid w:val="006C2157"/>
    <w:rsid w:val="006C2208"/>
    <w:rsid w:val="006C231A"/>
    <w:rsid w:val="006C2367"/>
    <w:rsid w:val="006C2408"/>
    <w:rsid w:val="006C270E"/>
    <w:rsid w:val="006C2991"/>
    <w:rsid w:val="006C299B"/>
    <w:rsid w:val="006C2AD4"/>
    <w:rsid w:val="006C2BEB"/>
    <w:rsid w:val="006C2C18"/>
    <w:rsid w:val="006C2C57"/>
    <w:rsid w:val="006C2C85"/>
    <w:rsid w:val="006C2DAF"/>
    <w:rsid w:val="006C311C"/>
    <w:rsid w:val="006C32B3"/>
    <w:rsid w:val="006C3470"/>
    <w:rsid w:val="006C351F"/>
    <w:rsid w:val="006C354C"/>
    <w:rsid w:val="006C35D3"/>
    <w:rsid w:val="006C35DD"/>
    <w:rsid w:val="006C367B"/>
    <w:rsid w:val="006C3830"/>
    <w:rsid w:val="006C3866"/>
    <w:rsid w:val="006C39CC"/>
    <w:rsid w:val="006C3D71"/>
    <w:rsid w:val="006C3F31"/>
    <w:rsid w:val="006C4038"/>
    <w:rsid w:val="006C4179"/>
    <w:rsid w:val="006C42C6"/>
    <w:rsid w:val="006C42EF"/>
    <w:rsid w:val="006C43A7"/>
    <w:rsid w:val="006C4450"/>
    <w:rsid w:val="006C4472"/>
    <w:rsid w:val="006C45CF"/>
    <w:rsid w:val="006C4606"/>
    <w:rsid w:val="006C471E"/>
    <w:rsid w:val="006C47B7"/>
    <w:rsid w:val="006C484F"/>
    <w:rsid w:val="006C485F"/>
    <w:rsid w:val="006C4A44"/>
    <w:rsid w:val="006C4FF2"/>
    <w:rsid w:val="006C50E5"/>
    <w:rsid w:val="006C5248"/>
    <w:rsid w:val="006C533D"/>
    <w:rsid w:val="006C5592"/>
    <w:rsid w:val="006C56CC"/>
    <w:rsid w:val="006C56FC"/>
    <w:rsid w:val="006C5810"/>
    <w:rsid w:val="006C58F5"/>
    <w:rsid w:val="006C590F"/>
    <w:rsid w:val="006C5BF0"/>
    <w:rsid w:val="006C5C37"/>
    <w:rsid w:val="006C5C6F"/>
    <w:rsid w:val="006C61DF"/>
    <w:rsid w:val="006C6297"/>
    <w:rsid w:val="006C6336"/>
    <w:rsid w:val="006C63D8"/>
    <w:rsid w:val="006C6617"/>
    <w:rsid w:val="006C6A2B"/>
    <w:rsid w:val="006C6ACD"/>
    <w:rsid w:val="006C6B36"/>
    <w:rsid w:val="006C6B8E"/>
    <w:rsid w:val="006C714B"/>
    <w:rsid w:val="006C7275"/>
    <w:rsid w:val="006C727B"/>
    <w:rsid w:val="006C72B6"/>
    <w:rsid w:val="006C72C2"/>
    <w:rsid w:val="006C7322"/>
    <w:rsid w:val="006C7361"/>
    <w:rsid w:val="006C74DF"/>
    <w:rsid w:val="006C75C2"/>
    <w:rsid w:val="006C7C73"/>
    <w:rsid w:val="006C7DD9"/>
    <w:rsid w:val="006D0045"/>
    <w:rsid w:val="006D017F"/>
    <w:rsid w:val="006D05AD"/>
    <w:rsid w:val="006D065C"/>
    <w:rsid w:val="006D077F"/>
    <w:rsid w:val="006D07AA"/>
    <w:rsid w:val="006D0889"/>
    <w:rsid w:val="006D0952"/>
    <w:rsid w:val="006D0A47"/>
    <w:rsid w:val="006D0AC2"/>
    <w:rsid w:val="006D0B01"/>
    <w:rsid w:val="006D0B12"/>
    <w:rsid w:val="006D0BC2"/>
    <w:rsid w:val="006D0C68"/>
    <w:rsid w:val="006D0CF5"/>
    <w:rsid w:val="006D0E4B"/>
    <w:rsid w:val="006D0FCA"/>
    <w:rsid w:val="006D1790"/>
    <w:rsid w:val="006D1B56"/>
    <w:rsid w:val="006D1E64"/>
    <w:rsid w:val="006D1E7A"/>
    <w:rsid w:val="006D1ED2"/>
    <w:rsid w:val="006D1F1A"/>
    <w:rsid w:val="006D1FE8"/>
    <w:rsid w:val="006D21FB"/>
    <w:rsid w:val="006D2227"/>
    <w:rsid w:val="006D235E"/>
    <w:rsid w:val="006D2382"/>
    <w:rsid w:val="006D2579"/>
    <w:rsid w:val="006D25C6"/>
    <w:rsid w:val="006D29C4"/>
    <w:rsid w:val="006D2A1E"/>
    <w:rsid w:val="006D2B6D"/>
    <w:rsid w:val="006D2C1F"/>
    <w:rsid w:val="006D30BC"/>
    <w:rsid w:val="006D328A"/>
    <w:rsid w:val="006D35D9"/>
    <w:rsid w:val="006D36DA"/>
    <w:rsid w:val="006D37AF"/>
    <w:rsid w:val="006D39EF"/>
    <w:rsid w:val="006D3B3C"/>
    <w:rsid w:val="006D3C84"/>
    <w:rsid w:val="006D3D33"/>
    <w:rsid w:val="006D3E66"/>
    <w:rsid w:val="006D3ED6"/>
    <w:rsid w:val="006D3FEC"/>
    <w:rsid w:val="006D402C"/>
    <w:rsid w:val="006D42AF"/>
    <w:rsid w:val="006D43ED"/>
    <w:rsid w:val="006D44CD"/>
    <w:rsid w:val="006D463A"/>
    <w:rsid w:val="006D47DD"/>
    <w:rsid w:val="006D4B43"/>
    <w:rsid w:val="006D4B9D"/>
    <w:rsid w:val="006D4DD5"/>
    <w:rsid w:val="006D4DD6"/>
    <w:rsid w:val="006D4E70"/>
    <w:rsid w:val="006D4F1E"/>
    <w:rsid w:val="006D507B"/>
    <w:rsid w:val="006D51E0"/>
    <w:rsid w:val="006D5304"/>
    <w:rsid w:val="006D53AE"/>
    <w:rsid w:val="006D53EE"/>
    <w:rsid w:val="006D53FE"/>
    <w:rsid w:val="006D544F"/>
    <w:rsid w:val="006D55AC"/>
    <w:rsid w:val="006D5687"/>
    <w:rsid w:val="006D56FC"/>
    <w:rsid w:val="006D58CA"/>
    <w:rsid w:val="006D5E70"/>
    <w:rsid w:val="006D6047"/>
    <w:rsid w:val="006D6168"/>
    <w:rsid w:val="006D62D4"/>
    <w:rsid w:val="006D62E1"/>
    <w:rsid w:val="006D654D"/>
    <w:rsid w:val="006D65BD"/>
    <w:rsid w:val="006D65DE"/>
    <w:rsid w:val="006D6796"/>
    <w:rsid w:val="006D6D77"/>
    <w:rsid w:val="006D6EAE"/>
    <w:rsid w:val="006D7145"/>
    <w:rsid w:val="006D766F"/>
    <w:rsid w:val="006D7AB3"/>
    <w:rsid w:val="006D7AF1"/>
    <w:rsid w:val="006D7F00"/>
    <w:rsid w:val="006D7F71"/>
    <w:rsid w:val="006D7F8A"/>
    <w:rsid w:val="006E040F"/>
    <w:rsid w:val="006E07D9"/>
    <w:rsid w:val="006E0825"/>
    <w:rsid w:val="006E08DB"/>
    <w:rsid w:val="006E0AC3"/>
    <w:rsid w:val="006E0C19"/>
    <w:rsid w:val="006E0E76"/>
    <w:rsid w:val="006E0EF3"/>
    <w:rsid w:val="006E1083"/>
    <w:rsid w:val="006E1231"/>
    <w:rsid w:val="006E136F"/>
    <w:rsid w:val="006E13EB"/>
    <w:rsid w:val="006E1412"/>
    <w:rsid w:val="006E1425"/>
    <w:rsid w:val="006E154E"/>
    <w:rsid w:val="006E1631"/>
    <w:rsid w:val="006E1641"/>
    <w:rsid w:val="006E1794"/>
    <w:rsid w:val="006E18E9"/>
    <w:rsid w:val="006E192A"/>
    <w:rsid w:val="006E19CF"/>
    <w:rsid w:val="006E1A3E"/>
    <w:rsid w:val="006E1B43"/>
    <w:rsid w:val="006E1B4F"/>
    <w:rsid w:val="006E1CC0"/>
    <w:rsid w:val="006E1FC6"/>
    <w:rsid w:val="006E2332"/>
    <w:rsid w:val="006E2463"/>
    <w:rsid w:val="006E25A5"/>
    <w:rsid w:val="006E2665"/>
    <w:rsid w:val="006E27E3"/>
    <w:rsid w:val="006E281D"/>
    <w:rsid w:val="006E2958"/>
    <w:rsid w:val="006E2AEE"/>
    <w:rsid w:val="006E2BCE"/>
    <w:rsid w:val="006E2CE1"/>
    <w:rsid w:val="006E2D00"/>
    <w:rsid w:val="006E2EE0"/>
    <w:rsid w:val="006E3016"/>
    <w:rsid w:val="006E3116"/>
    <w:rsid w:val="006E335A"/>
    <w:rsid w:val="006E3442"/>
    <w:rsid w:val="006E3753"/>
    <w:rsid w:val="006E37DF"/>
    <w:rsid w:val="006E37FD"/>
    <w:rsid w:val="006E381A"/>
    <w:rsid w:val="006E38C9"/>
    <w:rsid w:val="006E3A40"/>
    <w:rsid w:val="006E3BA0"/>
    <w:rsid w:val="006E3C31"/>
    <w:rsid w:val="006E3F71"/>
    <w:rsid w:val="006E3F9E"/>
    <w:rsid w:val="006E4014"/>
    <w:rsid w:val="006E40C1"/>
    <w:rsid w:val="006E40D8"/>
    <w:rsid w:val="006E40DD"/>
    <w:rsid w:val="006E4134"/>
    <w:rsid w:val="006E418C"/>
    <w:rsid w:val="006E424C"/>
    <w:rsid w:val="006E4651"/>
    <w:rsid w:val="006E47C7"/>
    <w:rsid w:val="006E4962"/>
    <w:rsid w:val="006E4C75"/>
    <w:rsid w:val="006E4D62"/>
    <w:rsid w:val="006E4E51"/>
    <w:rsid w:val="006E4EED"/>
    <w:rsid w:val="006E4EEF"/>
    <w:rsid w:val="006E50D4"/>
    <w:rsid w:val="006E52BA"/>
    <w:rsid w:val="006E5569"/>
    <w:rsid w:val="006E5582"/>
    <w:rsid w:val="006E559D"/>
    <w:rsid w:val="006E561D"/>
    <w:rsid w:val="006E5867"/>
    <w:rsid w:val="006E5AAE"/>
    <w:rsid w:val="006E5B00"/>
    <w:rsid w:val="006E5CD8"/>
    <w:rsid w:val="006E5D32"/>
    <w:rsid w:val="006E6012"/>
    <w:rsid w:val="006E6146"/>
    <w:rsid w:val="006E621A"/>
    <w:rsid w:val="006E63DA"/>
    <w:rsid w:val="006E6720"/>
    <w:rsid w:val="006E6738"/>
    <w:rsid w:val="006E6740"/>
    <w:rsid w:val="006E6812"/>
    <w:rsid w:val="006E68D3"/>
    <w:rsid w:val="006E6AFB"/>
    <w:rsid w:val="006E6BB6"/>
    <w:rsid w:val="006E6C9B"/>
    <w:rsid w:val="006E6FA7"/>
    <w:rsid w:val="006E737E"/>
    <w:rsid w:val="006E73E4"/>
    <w:rsid w:val="006E7443"/>
    <w:rsid w:val="006E74C2"/>
    <w:rsid w:val="006E7682"/>
    <w:rsid w:val="006E787A"/>
    <w:rsid w:val="006E7893"/>
    <w:rsid w:val="006E7AC7"/>
    <w:rsid w:val="006E7C12"/>
    <w:rsid w:val="006E7D04"/>
    <w:rsid w:val="006E7D7F"/>
    <w:rsid w:val="006E7EFA"/>
    <w:rsid w:val="006E7FAB"/>
    <w:rsid w:val="006F0082"/>
    <w:rsid w:val="006F0272"/>
    <w:rsid w:val="006F029D"/>
    <w:rsid w:val="006F0554"/>
    <w:rsid w:val="006F055C"/>
    <w:rsid w:val="006F0565"/>
    <w:rsid w:val="006F063F"/>
    <w:rsid w:val="006F07B7"/>
    <w:rsid w:val="006F098C"/>
    <w:rsid w:val="006F0CBA"/>
    <w:rsid w:val="006F0DAC"/>
    <w:rsid w:val="006F0FF5"/>
    <w:rsid w:val="006F10EF"/>
    <w:rsid w:val="006F1182"/>
    <w:rsid w:val="006F11AE"/>
    <w:rsid w:val="006F11D2"/>
    <w:rsid w:val="006F12F3"/>
    <w:rsid w:val="006F13C3"/>
    <w:rsid w:val="006F149E"/>
    <w:rsid w:val="006F1522"/>
    <w:rsid w:val="006F159F"/>
    <w:rsid w:val="006F15C8"/>
    <w:rsid w:val="006F184B"/>
    <w:rsid w:val="006F191C"/>
    <w:rsid w:val="006F1A36"/>
    <w:rsid w:val="006F1AD1"/>
    <w:rsid w:val="006F1C42"/>
    <w:rsid w:val="006F1C6B"/>
    <w:rsid w:val="006F1D03"/>
    <w:rsid w:val="006F2273"/>
    <w:rsid w:val="006F22D6"/>
    <w:rsid w:val="006F25CA"/>
    <w:rsid w:val="006F26D2"/>
    <w:rsid w:val="006F2C35"/>
    <w:rsid w:val="006F2C40"/>
    <w:rsid w:val="006F2D17"/>
    <w:rsid w:val="006F2FEA"/>
    <w:rsid w:val="006F3156"/>
    <w:rsid w:val="006F315C"/>
    <w:rsid w:val="006F3219"/>
    <w:rsid w:val="006F322E"/>
    <w:rsid w:val="006F3259"/>
    <w:rsid w:val="006F366C"/>
    <w:rsid w:val="006F36A1"/>
    <w:rsid w:val="006F3730"/>
    <w:rsid w:val="006F3752"/>
    <w:rsid w:val="006F3866"/>
    <w:rsid w:val="006F3950"/>
    <w:rsid w:val="006F3B83"/>
    <w:rsid w:val="006F4173"/>
    <w:rsid w:val="006F41F1"/>
    <w:rsid w:val="006F41F7"/>
    <w:rsid w:val="006F42B3"/>
    <w:rsid w:val="006F4376"/>
    <w:rsid w:val="006F440F"/>
    <w:rsid w:val="006F45E7"/>
    <w:rsid w:val="006F4646"/>
    <w:rsid w:val="006F4830"/>
    <w:rsid w:val="006F4932"/>
    <w:rsid w:val="006F4A04"/>
    <w:rsid w:val="006F4BA9"/>
    <w:rsid w:val="006F4BBC"/>
    <w:rsid w:val="006F4BF1"/>
    <w:rsid w:val="006F4F32"/>
    <w:rsid w:val="006F4FC9"/>
    <w:rsid w:val="006F50CB"/>
    <w:rsid w:val="006F5152"/>
    <w:rsid w:val="006F5262"/>
    <w:rsid w:val="006F52E9"/>
    <w:rsid w:val="006F5553"/>
    <w:rsid w:val="006F569D"/>
    <w:rsid w:val="006F56DD"/>
    <w:rsid w:val="006F56FD"/>
    <w:rsid w:val="006F575D"/>
    <w:rsid w:val="006F58B4"/>
    <w:rsid w:val="006F5AA3"/>
    <w:rsid w:val="006F5AE4"/>
    <w:rsid w:val="006F5B54"/>
    <w:rsid w:val="006F5B5B"/>
    <w:rsid w:val="006F5C98"/>
    <w:rsid w:val="006F5CBF"/>
    <w:rsid w:val="006F5D23"/>
    <w:rsid w:val="006F5D2A"/>
    <w:rsid w:val="006F5DA8"/>
    <w:rsid w:val="006F5DB6"/>
    <w:rsid w:val="006F5F1C"/>
    <w:rsid w:val="006F5F2D"/>
    <w:rsid w:val="006F5FDF"/>
    <w:rsid w:val="006F6082"/>
    <w:rsid w:val="006F62A9"/>
    <w:rsid w:val="006F6392"/>
    <w:rsid w:val="006F6430"/>
    <w:rsid w:val="006F65D6"/>
    <w:rsid w:val="006F6600"/>
    <w:rsid w:val="006F684D"/>
    <w:rsid w:val="006F6A92"/>
    <w:rsid w:val="006F6C80"/>
    <w:rsid w:val="006F6F2F"/>
    <w:rsid w:val="006F6F5F"/>
    <w:rsid w:val="006F6FF3"/>
    <w:rsid w:val="006F7173"/>
    <w:rsid w:val="006F734A"/>
    <w:rsid w:val="006F7407"/>
    <w:rsid w:val="006F76CF"/>
    <w:rsid w:val="006F7866"/>
    <w:rsid w:val="006F7988"/>
    <w:rsid w:val="006F79B2"/>
    <w:rsid w:val="006F7B46"/>
    <w:rsid w:val="006F7B64"/>
    <w:rsid w:val="006F7DB4"/>
    <w:rsid w:val="006F7DC8"/>
    <w:rsid w:val="006F7E86"/>
    <w:rsid w:val="006F7F22"/>
    <w:rsid w:val="006F7F26"/>
    <w:rsid w:val="006F7F3C"/>
    <w:rsid w:val="006F7F75"/>
    <w:rsid w:val="006F7FA8"/>
    <w:rsid w:val="006F7FD3"/>
    <w:rsid w:val="00700170"/>
    <w:rsid w:val="007001B8"/>
    <w:rsid w:val="00700224"/>
    <w:rsid w:val="007004B0"/>
    <w:rsid w:val="007008A3"/>
    <w:rsid w:val="00700B30"/>
    <w:rsid w:val="00700FEE"/>
    <w:rsid w:val="00701047"/>
    <w:rsid w:val="007010EB"/>
    <w:rsid w:val="0070112B"/>
    <w:rsid w:val="00701328"/>
    <w:rsid w:val="007013DD"/>
    <w:rsid w:val="0070162C"/>
    <w:rsid w:val="007016E4"/>
    <w:rsid w:val="00701AE9"/>
    <w:rsid w:val="00701B44"/>
    <w:rsid w:val="00701BEE"/>
    <w:rsid w:val="00701C38"/>
    <w:rsid w:val="00701DBD"/>
    <w:rsid w:val="00702090"/>
    <w:rsid w:val="007020F7"/>
    <w:rsid w:val="0070223A"/>
    <w:rsid w:val="0070234F"/>
    <w:rsid w:val="00702454"/>
    <w:rsid w:val="00702478"/>
    <w:rsid w:val="00702505"/>
    <w:rsid w:val="00702768"/>
    <w:rsid w:val="007027E1"/>
    <w:rsid w:val="00702BE2"/>
    <w:rsid w:val="00702BF4"/>
    <w:rsid w:val="00702D11"/>
    <w:rsid w:val="00702D7C"/>
    <w:rsid w:val="00702DB2"/>
    <w:rsid w:val="0070307A"/>
    <w:rsid w:val="007030C1"/>
    <w:rsid w:val="007031A6"/>
    <w:rsid w:val="0070331B"/>
    <w:rsid w:val="007033D8"/>
    <w:rsid w:val="0070342D"/>
    <w:rsid w:val="0070357F"/>
    <w:rsid w:val="007036DD"/>
    <w:rsid w:val="0070370B"/>
    <w:rsid w:val="00703840"/>
    <w:rsid w:val="00703926"/>
    <w:rsid w:val="00703A7F"/>
    <w:rsid w:val="00703A88"/>
    <w:rsid w:val="00703CBA"/>
    <w:rsid w:val="00703EE5"/>
    <w:rsid w:val="00703EED"/>
    <w:rsid w:val="00703F52"/>
    <w:rsid w:val="00704025"/>
    <w:rsid w:val="00704067"/>
    <w:rsid w:val="00704084"/>
    <w:rsid w:val="007041AC"/>
    <w:rsid w:val="007042B5"/>
    <w:rsid w:val="0070433C"/>
    <w:rsid w:val="007045B1"/>
    <w:rsid w:val="007046C5"/>
    <w:rsid w:val="00704703"/>
    <w:rsid w:val="007048F0"/>
    <w:rsid w:val="00704B12"/>
    <w:rsid w:val="00704B2B"/>
    <w:rsid w:val="00704B78"/>
    <w:rsid w:val="00704BE7"/>
    <w:rsid w:val="00704D54"/>
    <w:rsid w:val="00704D8C"/>
    <w:rsid w:val="00704DDE"/>
    <w:rsid w:val="00704DF3"/>
    <w:rsid w:val="00704F12"/>
    <w:rsid w:val="00705247"/>
    <w:rsid w:val="00705370"/>
    <w:rsid w:val="00705372"/>
    <w:rsid w:val="007056CA"/>
    <w:rsid w:val="0070583A"/>
    <w:rsid w:val="00705E9F"/>
    <w:rsid w:val="00705F75"/>
    <w:rsid w:val="00705FD0"/>
    <w:rsid w:val="007060F8"/>
    <w:rsid w:val="00706110"/>
    <w:rsid w:val="00706192"/>
    <w:rsid w:val="00706212"/>
    <w:rsid w:val="007064AF"/>
    <w:rsid w:val="007064DC"/>
    <w:rsid w:val="00706635"/>
    <w:rsid w:val="007066FE"/>
    <w:rsid w:val="00706820"/>
    <w:rsid w:val="0070683D"/>
    <w:rsid w:val="0070685F"/>
    <w:rsid w:val="007068C8"/>
    <w:rsid w:val="00706B04"/>
    <w:rsid w:val="00706C08"/>
    <w:rsid w:val="0070700F"/>
    <w:rsid w:val="00707012"/>
    <w:rsid w:val="00707031"/>
    <w:rsid w:val="00707084"/>
    <w:rsid w:val="0070708F"/>
    <w:rsid w:val="00707170"/>
    <w:rsid w:val="0070744E"/>
    <w:rsid w:val="00707602"/>
    <w:rsid w:val="00707776"/>
    <w:rsid w:val="007077C7"/>
    <w:rsid w:val="0070793E"/>
    <w:rsid w:val="0070796F"/>
    <w:rsid w:val="00707C7B"/>
    <w:rsid w:val="00707D19"/>
    <w:rsid w:val="00707D3A"/>
    <w:rsid w:val="00707FBA"/>
    <w:rsid w:val="00710091"/>
    <w:rsid w:val="007100B1"/>
    <w:rsid w:val="007102A1"/>
    <w:rsid w:val="007104A2"/>
    <w:rsid w:val="007104B5"/>
    <w:rsid w:val="00710544"/>
    <w:rsid w:val="00710661"/>
    <w:rsid w:val="00710876"/>
    <w:rsid w:val="0071087B"/>
    <w:rsid w:val="0071096F"/>
    <w:rsid w:val="007109D3"/>
    <w:rsid w:val="00710DD3"/>
    <w:rsid w:val="00710E8D"/>
    <w:rsid w:val="00711004"/>
    <w:rsid w:val="007110B2"/>
    <w:rsid w:val="007110D9"/>
    <w:rsid w:val="00711412"/>
    <w:rsid w:val="0071146A"/>
    <w:rsid w:val="0071157A"/>
    <w:rsid w:val="0071167B"/>
    <w:rsid w:val="00711771"/>
    <w:rsid w:val="00711818"/>
    <w:rsid w:val="0071181B"/>
    <w:rsid w:val="00711985"/>
    <w:rsid w:val="007119E4"/>
    <w:rsid w:val="00711A56"/>
    <w:rsid w:val="00711B81"/>
    <w:rsid w:val="00711BD1"/>
    <w:rsid w:val="00711C63"/>
    <w:rsid w:val="00711CAD"/>
    <w:rsid w:val="00711CBA"/>
    <w:rsid w:val="00711CD4"/>
    <w:rsid w:val="00711E19"/>
    <w:rsid w:val="0071204A"/>
    <w:rsid w:val="007120D6"/>
    <w:rsid w:val="0071223C"/>
    <w:rsid w:val="00712292"/>
    <w:rsid w:val="007123A8"/>
    <w:rsid w:val="0071252A"/>
    <w:rsid w:val="00712575"/>
    <w:rsid w:val="00712694"/>
    <w:rsid w:val="0071286C"/>
    <w:rsid w:val="00712911"/>
    <w:rsid w:val="00712D18"/>
    <w:rsid w:val="0071325B"/>
    <w:rsid w:val="007134AB"/>
    <w:rsid w:val="007135FE"/>
    <w:rsid w:val="0071384F"/>
    <w:rsid w:val="0071397E"/>
    <w:rsid w:val="00713A20"/>
    <w:rsid w:val="00713BAE"/>
    <w:rsid w:val="00713C1C"/>
    <w:rsid w:val="00713C4D"/>
    <w:rsid w:val="00713D5C"/>
    <w:rsid w:val="00713DBA"/>
    <w:rsid w:val="00713FCF"/>
    <w:rsid w:val="00714069"/>
    <w:rsid w:val="007141EF"/>
    <w:rsid w:val="007142E2"/>
    <w:rsid w:val="0071439D"/>
    <w:rsid w:val="00714470"/>
    <w:rsid w:val="0071461B"/>
    <w:rsid w:val="007148F5"/>
    <w:rsid w:val="00714AA4"/>
    <w:rsid w:val="00714AE8"/>
    <w:rsid w:val="00714B36"/>
    <w:rsid w:val="00714E23"/>
    <w:rsid w:val="00714F6E"/>
    <w:rsid w:val="0071520A"/>
    <w:rsid w:val="007152DC"/>
    <w:rsid w:val="00715495"/>
    <w:rsid w:val="0071556F"/>
    <w:rsid w:val="007156CA"/>
    <w:rsid w:val="00715742"/>
    <w:rsid w:val="00715760"/>
    <w:rsid w:val="00715943"/>
    <w:rsid w:val="00715967"/>
    <w:rsid w:val="00715C1A"/>
    <w:rsid w:val="00715C41"/>
    <w:rsid w:val="00715DA5"/>
    <w:rsid w:val="00715DCC"/>
    <w:rsid w:val="00715E86"/>
    <w:rsid w:val="007161C4"/>
    <w:rsid w:val="00716401"/>
    <w:rsid w:val="0071661B"/>
    <w:rsid w:val="007167E8"/>
    <w:rsid w:val="00716864"/>
    <w:rsid w:val="007168D7"/>
    <w:rsid w:val="00716A3F"/>
    <w:rsid w:val="00716C0E"/>
    <w:rsid w:val="00716F65"/>
    <w:rsid w:val="0071735F"/>
    <w:rsid w:val="0071736F"/>
    <w:rsid w:val="00717390"/>
    <w:rsid w:val="007173AA"/>
    <w:rsid w:val="007174EE"/>
    <w:rsid w:val="00717588"/>
    <w:rsid w:val="0071765D"/>
    <w:rsid w:val="007176D1"/>
    <w:rsid w:val="0071775F"/>
    <w:rsid w:val="00717795"/>
    <w:rsid w:val="00717860"/>
    <w:rsid w:val="007178E6"/>
    <w:rsid w:val="007179AA"/>
    <w:rsid w:val="00717C45"/>
    <w:rsid w:val="00717CF4"/>
    <w:rsid w:val="00717DAA"/>
    <w:rsid w:val="00717EDF"/>
    <w:rsid w:val="00717F52"/>
    <w:rsid w:val="0072008E"/>
    <w:rsid w:val="007200C1"/>
    <w:rsid w:val="0072019D"/>
    <w:rsid w:val="0072021C"/>
    <w:rsid w:val="0072029F"/>
    <w:rsid w:val="007203AE"/>
    <w:rsid w:val="00720415"/>
    <w:rsid w:val="00720644"/>
    <w:rsid w:val="0072075B"/>
    <w:rsid w:val="007207BB"/>
    <w:rsid w:val="0072098C"/>
    <w:rsid w:val="00720E1F"/>
    <w:rsid w:val="00720E7A"/>
    <w:rsid w:val="00720F22"/>
    <w:rsid w:val="00721063"/>
    <w:rsid w:val="0072115E"/>
    <w:rsid w:val="00721502"/>
    <w:rsid w:val="007215CE"/>
    <w:rsid w:val="00721612"/>
    <w:rsid w:val="0072171D"/>
    <w:rsid w:val="007217F2"/>
    <w:rsid w:val="00721807"/>
    <w:rsid w:val="007219F8"/>
    <w:rsid w:val="00721D61"/>
    <w:rsid w:val="00721DDA"/>
    <w:rsid w:val="00721DDF"/>
    <w:rsid w:val="00721FEB"/>
    <w:rsid w:val="007221B7"/>
    <w:rsid w:val="00722259"/>
    <w:rsid w:val="00722371"/>
    <w:rsid w:val="00722474"/>
    <w:rsid w:val="00722475"/>
    <w:rsid w:val="007224E4"/>
    <w:rsid w:val="007225F2"/>
    <w:rsid w:val="00722744"/>
    <w:rsid w:val="007227DB"/>
    <w:rsid w:val="00722929"/>
    <w:rsid w:val="00722C48"/>
    <w:rsid w:val="00722CAE"/>
    <w:rsid w:val="00722D59"/>
    <w:rsid w:val="00722E9E"/>
    <w:rsid w:val="00722ED5"/>
    <w:rsid w:val="00723131"/>
    <w:rsid w:val="007233E8"/>
    <w:rsid w:val="0072346D"/>
    <w:rsid w:val="007234C7"/>
    <w:rsid w:val="007236DD"/>
    <w:rsid w:val="0072379C"/>
    <w:rsid w:val="00723965"/>
    <w:rsid w:val="00723A49"/>
    <w:rsid w:val="00723AF7"/>
    <w:rsid w:val="00723AFA"/>
    <w:rsid w:val="00723B9D"/>
    <w:rsid w:val="007240E8"/>
    <w:rsid w:val="007240FA"/>
    <w:rsid w:val="0072427E"/>
    <w:rsid w:val="00724460"/>
    <w:rsid w:val="0072464B"/>
    <w:rsid w:val="0072475F"/>
    <w:rsid w:val="007247C3"/>
    <w:rsid w:val="00724A5E"/>
    <w:rsid w:val="00724CCB"/>
    <w:rsid w:val="00724D45"/>
    <w:rsid w:val="00724EF6"/>
    <w:rsid w:val="00725003"/>
    <w:rsid w:val="0072501D"/>
    <w:rsid w:val="00725043"/>
    <w:rsid w:val="0072509E"/>
    <w:rsid w:val="0072543D"/>
    <w:rsid w:val="0072546A"/>
    <w:rsid w:val="0072550F"/>
    <w:rsid w:val="00725638"/>
    <w:rsid w:val="007257A6"/>
    <w:rsid w:val="00725A11"/>
    <w:rsid w:val="00725A45"/>
    <w:rsid w:val="00725B38"/>
    <w:rsid w:val="00725C15"/>
    <w:rsid w:val="00725C60"/>
    <w:rsid w:val="00725D5B"/>
    <w:rsid w:val="00725D89"/>
    <w:rsid w:val="00725E6C"/>
    <w:rsid w:val="00725F56"/>
    <w:rsid w:val="00725FF2"/>
    <w:rsid w:val="00726244"/>
    <w:rsid w:val="007262A7"/>
    <w:rsid w:val="007265DB"/>
    <w:rsid w:val="00726629"/>
    <w:rsid w:val="00726653"/>
    <w:rsid w:val="007266C5"/>
    <w:rsid w:val="00726727"/>
    <w:rsid w:val="007267A2"/>
    <w:rsid w:val="00726AB3"/>
    <w:rsid w:val="00726AC7"/>
    <w:rsid w:val="00726B86"/>
    <w:rsid w:val="00726BFE"/>
    <w:rsid w:val="00726D60"/>
    <w:rsid w:val="00726DA0"/>
    <w:rsid w:val="00726EDD"/>
    <w:rsid w:val="00726FA3"/>
    <w:rsid w:val="007270C6"/>
    <w:rsid w:val="0072722B"/>
    <w:rsid w:val="00727380"/>
    <w:rsid w:val="0072739F"/>
    <w:rsid w:val="0072744F"/>
    <w:rsid w:val="00727500"/>
    <w:rsid w:val="00727539"/>
    <w:rsid w:val="0072754F"/>
    <w:rsid w:val="007275B4"/>
    <w:rsid w:val="007277CE"/>
    <w:rsid w:val="00727885"/>
    <w:rsid w:val="007278E2"/>
    <w:rsid w:val="00727AF7"/>
    <w:rsid w:val="00727BBE"/>
    <w:rsid w:val="00727BCB"/>
    <w:rsid w:val="00727C08"/>
    <w:rsid w:val="00727C95"/>
    <w:rsid w:val="00727D17"/>
    <w:rsid w:val="00727D86"/>
    <w:rsid w:val="00727FCE"/>
    <w:rsid w:val="007308FA"/>
    <w:rsid w:val="0073090A"/>
    <w:rsid w:val="007309F7"/>
    <w:rsid w:val="00730A14"/>
    <w:rsid w:val="00730A38"/>
    <w:rsid w:val="00730B13"/>
    <w:rsid w:val="00730B7F"/>
    <w:rsid w:val="00730CAD"/>
    <w:rsid w:val="00730D53"/>
    <w:rsid w:val="00730ED6"/>
    <w:rsid w:val="00730F2B"/>
    <w:rsid w:val="00730FEC"/>
    <w:rsid w:val="007310B8"/>
    <w:rsid w:val="007311D7"/>
    <w:rsid w:val="0073135A"/>
    <w:rsid w:val="007313BD"/>
    <w:rsid w:val="0073179E"/>
    <w:rsid w:val="00731927"/>
    <w:rsid w:val="00731A2D"/>
    <w:rsid w:val="00731CDE"/>
    <w:rsid w:val="00731E4C"/>
    <w:rsid w:val="00732180"/>
    <w:rsid w:val="00732188"/>
    <w:rsid w:val="00732402"/>
    <w:rsid w:val="007324F6"/>
    <w:rsid w:val="00732648"/>
    <w:rsid w:val="00732682"/>
    <w:rsid w:val="00732843"/>
    <w:rsid w:val="007328B5"/>
    <w:rsid w:val="007328BF"/>
    <w:rsid w:val="00732AC1"/>
    <w:rsid w:val="00732D77"/>
    <w:rsid w:val="00732E36"/>
    <w:rsid w:val="00732FA8"/>
    <w:rsid w:val="00733110"/>
    <w:rsid w:val="007331A2"/>
    <w:rsid w:val="007331D1"/>
    <w:rsid w:val="00733311"/>
    <w:rsid w:val="0073333C"/>
    <w:rsid w:val="00733400"/>
    <w:rsid w:val="0073359A"/>
    <w:rsid w:val="00733656"/>
    <w:rsid w:val="007337DE"/>
    <w:rsid w:val="00733BE8"/>
    <w:rsid w:val="00733C2B"/>
    <w:rsid w:val="00733D3E"/>
    <w:rsid w:val="00733D67"/>
    <w:rsid w:val="00733D76"/>
    <w:rsid w:val="00733F26"/>
    <w:rsid w:val="00733F47"/>
    <w:rsid w:val="00733FE7"/>
    <w:rsid w:val="0073426B"/>
    <w:rsid w:val="00734385"/>
    <w:rsid w:val="007343A1"/>
    <w:rsid w:val="007343A6"/>
    <w:rsid w:val="0073442D"/>
    <w:rsid w:val="007344E9"/>
    <w:rsid w:val="007344F8"/>
    <w:rsid w:val="0073459A"/>
    <w:rsid w:val="0073479A"/>
    <w:rsid w:val="007347F4"/>
    <w:rsid w:val="00734989"/>
    <w:rsid w:val="00734CD9"/>
    <w:rsid w:val="00734DD5"/>
    <w:rsid w:val="00734F32"/>
    <w:rsid w:val="007350CE"/>
    <w:rsid w:val="007350D0"/>
    <w:rsid w:val="00735397"/>
    <w:rsid w:val="007353D1"/>
    <w:rsid w:val="00735660"/>
    <w:rsid w:val="007356C6"/>
    <w:rsid w:val="007358F2"/>
    <w:rsid w:val="0073591E"/>
    <w:rsid w:val="00735A06"/>
    <w:rsid w:val="00735A6A"/>
    <w:rsid w:val="00735AAA"/>
    <w:rsid w:val="00735E6E"/>
    <w:rsid w:val="00735EFA"/>
    <w:rsid w:val="0073607C"/>
    <w:rsid w:val="00736089"/>
    <w:rsid w:val="0073609B"/>
    <w:rsid w:val="007360EA"/>
    <w:rsid w:val="007361CB"/>
    <w:rsid w:val="007361F5"/>
    <w:rsid w:val="0073664A"/>
    <w:rsid w:val="0073667D"/>
    <w:rsid w:val="007366A9"/>
    <w:rsid w:val="00736742"/>
    <w:rsid w:val="007367B7"/>
    <w:rsid w:val="00736811"/>
    <w:rsid w:val="0073687C"/>
    <w:rsid w:val="00736996"/>
    <w:rsid w:val="00736A2A"/>
    <w:rsid w:val="00736A50"/>
    <w:rsid w:val="00736AC5"/>
    <w:rsid w:val="00736BD6"/>
    <w:rsid w:val="00736D04"/>
    <w:rsid w:val="00736E4F"/>
    <w:rsid w:val="00736EFC"/>
    <w:rsid w:val="00736F63"/>
    <w:rsid w:val="007370A1"/>
    <w:rsid w:val="007370BE"/>
    <w:rsid w:val="0073713D"/>
    <w:rsid w:val="00737226"/>
    <w:rsid w:val="00737454"/>
    <w:rsid w:val="0073761E"/>
    <w:rsid w:val="007377F2"/>
    <w:rsid w:val="0073784D"/>
    <w:rsid w:val="007379C1"/>
    <w:rsid w:val="00737A79"/>
    <w:rsid w:val="00737B38"/>
    <w:rsid w:val="00737CA2"/>
    <w:rsid w:val="00737CC0"/>
    <w:rsid w:val="00737DDA"/>
    <w:rsid w:val="00737EC1"/>
    <w:rsid w:val="007400FF"/>
    <w:rsid w:val="0074039A"/>
    <w:rsid w:val="00740536"/>
    <w:rsid w:val="00740566"/>
    <w:rsid w:val="00740652"/>
    <w:rsid w:val="007407DD"/>
    <w:rsid w:val="0074080F"/>
    <w:rsid w:val="00740850"/>
    <w:rsid w:val="00740AF9"/>
    <w:rsid w:val="00740CE6"/>
    <w:rsid w:val="00740EFA"/>
    <w:rsid w:val="00740F2F"/>
    <w:rsid w:val="00740F72"/>
    <w:rsid w:val="00740FA9"/>
    <w:rsid w:val="007410D1"/>
    <w:rsid w:val="00741321"/>
    <w:rsid w:val="0074138D"/>
    <w:rsid w:val="0074143C"/>
    <w:rsid w:val="007415AC"/>
    <w:rsid w:val="007415F0"/>
    <w:rsid w:val="00741690"/>
    <w:rsid w:val="007417EB"/>
    <w:rsid w:val="00741A5C"/>
    <w:rsid w:val="00741AA7"/>
    <w:rsid w:val="00741AF9"/>
    <w:rsid w:val="00741E26"/>
    <w:rsid w:val="00742309"/>
    <w:rsid w:val="007424D4"/>
    <w:rsid w:val="0074261A"/>
    <w:rsid w:val="0074268E"/>
    <w:rsid w:val="007427F3"/>
    <w:rsid w:val="00742843"/>
    <w:rsid w:val="007428D7"/>
    <w:rsid w:val="00742C35"/>
    <w:rsid w:val="00742E65"/>
    <w:rsid w:val="00743130"/>
    <w:rsid w:val="00743195"/>
    <w:rsid w:val="007431BF"/>
    <w:rsid w:val="00743341"/>
    <w:rsid w:val="00743380"/>
    <w:rsid w:val="007433C0"/>
    <w:rsid w:val="007435C0"/>
    <w:rsid w:val="007435FC"/>
    <w:rsid w:val="0074369E"/>
    <w:rsid w:val="00743977"/>
    <w:rsid w:val="00743AF9"/>
    <w:rsid w:val="00743BE7"/>
    <w:rsid w:val="00743D2E"/>
    <w:rsid w:val="0074407A"/>
    <w:rsid w:val="007440F8"/>
    <w:rsid w:val="0074415A"/>
    <w:rsid w:val="0074428C"/>
    <w:rsid w:val="00744476"/>
    <w:rsid w:val="007444E1"/>
    <w:rsid w:val="00744522"/>
    <w:rsid w:val="00744618"/>
    <w:rsid w:val="007446AF"/>
    <w:rsid w:val="00744735"/>
    <w:rsid w:val="0074491B"/>
    <w:rsid w:val="0074494F"/>
    <w:rsid w:val="00744EEB"/>
    <w:rsid w:val="00744FD3"/>
    <w:rsid w:val="00745093"/>
    <w:rsid w:val="007450CB"/>
    <w:rsid w:val="0074513B"/>
    <w:rsid w:val="0074526A"/>
    <w:rsid w:val="007452C1"/>
    <w:rsid w:val="00745575"/>
    <w:rsid w:val="007455C8"/>
    <w:rsid w:val="00745630"/>
    <w:rsid w:val="00745771"/>
    <w:rsid w:val="0074597A"/>
    <w:rsid w:val="007459A3"/>
    <w:rsid w:val="007459B2"/>
    <w:rsid w:val="007459F2"/>
    <w:rsid w:val="00745B2C"/>
    <w:rsid w:val="00745BB7"/>
    <w:rsid w:val="00745C57"/>
    <w:rsid w:val="00745C6B"/>
    <w:rsid w:val="00745C72"/>
    <w:rsid w:val="00745D93"/>
    <w:rsid w:val="00745F0F"/>
    <w:rsid w:val="00745F24"/>
    <w:rsid w:val="00745FD1"/>
    <w:rsid w:val="0074611D"/>
    <w:rsid w:val="00746217"/>
    <w:rsid w:val="0074623A"/>
    <w:rsid w:val="007462A8"/>
    <w:rsid w:val="00746384"/>
    <w:rsid w:val="0074643C"/>
    <w:rsid w:val="0074646D"/>
    <w:rsid w:val="00746528"/>
    <w:rsid w:val="00746592"/>
    <w:rsid w:val="0074672C"/>
    <w:rsid w:val="007468A7"/>
    <w:rsid w:val="00746990"/>
    <w:rsid w:val="007469F5"/>
    <w:rsid w:val="00746A04"/>
    <w:rsid w:val="00746AAA"/>
    <w:rsid w:val="00746E0C"/>
    <w:rsid w:val="00746FB2"/>
    <w:rsid w:val="00746FD3"/>
    <w:rsid w:val="007470DF"/>
    <w:rsid w:val="0074714B"/>
    <w:rsid w:val="00747184"/>
    <w:rsid w:val="0074721A"/>
    <w:rsid w:val="00747243"/>
    <w:rsid w:val="0074727E"/>
    <w:rsid w:val="00747282"/>
    <w:rsid w:val="007475F2"/>
    <w:rsid w:val="007476B2"/>
    <w:rsid w:val="0074790A"/>
    <w:rsid w:val="007479EB"/>
    <w:rsid w:val="00747C97"/>
    <w:rsid w:val="00747EC1"/>
    <w:rsid w:val="007500DC"/>
    <w:rsid w:val="00750165"/>
    <w:rsid w:val="007501B2"/>
    <w:rsid w:val="00750256"/>
    <w:rsid w:val="00750399"/>
    <w:rsid w:val="0075054E"/>
    <w:rsid w:val="007506B5"/>
    <w:rsid w:val="007506F9"/>
    <w:rsid w:val="00750794"/>
    <w:rsid w:val="007509C1"/>
    <w:rsid w:val="00750AC8"/>
    <w:rsid w:val="00750E32"/>
    <w:rsid w:val="00750F83"/>
    <w:rsid w:val="00751036"/>
    <w:rsid w:val="00751227"/>
    <w:rsid w:val="00751315"/>
    <w:rsid w:val="0075138A"/>
    <w:rsid w:val="00751398"/>
    <w:rsid w:val="007514BF"/>
    <w:rsid w:val="00751588"/>
    <w:rsid w:val="00751643"/>
    <w:rsid w:val="007516A1"/>
    <w:rsid w:val="0075172A"/>
    <w:rsid w:val="00751736"/>
    <w:rsid w:val="0075186A"/>
    <w:rsid w:val="00751BB4"/>
    <w:rsid w:val="00751C96"/>
    <w:rsid w:val="00751DA7"/>
    <w:rsid w:val="00751E2E"/>
    <w:rsid w:val="0075209D"/>
    <w:rsid w:val="007521FD"/>
    <w:rsid w:val="0075287D"/>
    <w:rsid w:val="00752A37"/>
    <w:rsid w:val="00752D9F"/>
    <w:rsid w:val="00752F04"/>
    <w:rsid w:val="00752F22"/>
    <w:rsid w:val="007532CA"/>
    <w:rsid w:val="00753351"/>
    <w:rsid w:val="007533CF"/>
    <w:rsid w:val="00753482"/>
    <w:rsid w:val="007534D3"/>
    <w:rsid w:val="0075377E"/>
    <w:rsid w:val="00753A8B"/>
    <w:rsid w:val="00753C68"/>
    <w:rsid w:val="00753DF6"/>
    <w:rsid w:val="00753EA9"/>
    <w:rsid w:val="00753FF4"/>
    <w:rsid w:val="007541D9"/>
    <w:rsid w:val="007542AF"/>
    <w:rsid w:val="00754317"/>
    <w:rsid w:val="0075438F"/>
    <w:rsid w:val="00754456"/>
    <w:rsid w:val="00754639"/>
    <w:rsid w:val="00754726"/>
    <w:rsid w:val="007547CD"/>
    <w:rsid w:val="007547D3"/>
    <w:rsid w:val="00754909"/>
    <w:rsid w:val="00754FD7"/>
    <w:rsid w:val="00755005"/>
    <w:rsid w:val="00755227"/>
    <w:rsid w:val="007554ED"/>
    <w:rsid w:val="00755512"/>
    <w:rsid w:val="00755542"/>
    <w:rsid w:val="007555AF"/>
    <w:rsid w:val="007556F9"/>
    <w:rsid w:val="0075577D"/>
    <w:rsid w:val="0075585E"/>
    <w:rsid w:val="00755B1B"/>
    <w:rsid w:val="00755B21"/>
    <w:rsid w:val="00755C65"/>
    <w:rsid w:val="00755CE5"/>
    <w:rsid w:val="00755D02"/>
    <w:rsid w:val="00755D5C"/>
    <w:rsid w:val="00755D8B"/>
    <w:rsid w:val="00755E0A"/>
    <w:rsid w:val="00755E74"/>
    <w:rsid w:val="00755F19"/>
    <w:rsid w:val="0075609D"/>
    <w:rsid w:val="00756355"/>
    <w:rsid w:val="007563E6"/>
    <w:rsid w:val="0075643F"/>
    <w:rsid w:val="007565E4"/>
    <w:rsid w:val="00756616"/>
    <w:rsid w:val="00756673"/>
    <w:rsid w:val="007566CB"/>
    <w:rsid w:val="0075680F"/>
    <w:rsid w:val="00756BA9"/>
    <w:rsid w:val="00756BDB"/>
    <w:rsid w:val="00756D81"/>
    <w:rsid w:val="00756E45"/>
    <w:rsid w:val="00756E73"/>
    <w:rsid w:val="00756FD0"/>
    <w:rsid w:val="00757028"/>
    <w:rsid w:val="00757194"/>
    <w:rsid w:val="0075728D"/>
    <w:rsid w:val="00757507"/>
    <w:rsid w:val="007575B5"/>
    <w:rsid w:val="007577D4"/>
    <w:rsid w:val="00757AE9"/>
    <w:rsid w:val="00757BE8"/>
    <w:rsid w:val="00757F09"/>
    <w:rsid w:val="00757FAF"/>
    <w:rsid w:val="0076011B"/>
    <w:rsid w:val="007601FA"/>
    <w:rsid w:val="0076045F"/>
    <w:rsid w:val="007605DD"/>
    <w:rsid w:val="007606DF"/>
    <w:rsid w:val="007608C5"/>
    <w:rsid w:val="00760C0B"/>
    <w:rsid w:val="00760CA3"/>
    <w:rsid w:val="00760CB4"/>
    <w:rsid w:val="00760CF1"/>
    <w:rsid w:val="00760D41"/>
    <w:rsid w:val="00760DBB"/>
    <w:rsid w:val="00760DCB"/>
    <w:rsid w:val="00760E9C"/>
    <w:rsid w:val="00760FD3"/>
    <w:rsid w:val="007610FD"/>
    <w:rsid w:val="00761241"/>
    <w:rsid w:val="007612B1"/>
    <w:rsid w:val="007616AE"/>
    <w:rsid w:val="007616CB"/>
    <w:rsid w:val="007618FD"/>
    <w:rsid w:val="00761940"/>
    <w:rsid w:val="00761967"/>
    <w:rsid w:val="00761B81"/>
    <w:rsid w:val="00761BA8"/>
    <w:rsid w:val="00761BAF"/>
    <w:rsid w:val="00761C35"/>
    <w:rsid w:val="00761D5D"/>
    <w:rsid w:val="0076209D"/>
    <w:rsid w:val="0076236F"/>
    <w:rsid w:val="007623FA"/>
    <w:rsid w:val="007628B3"/>
    <w:rsid w:val="00762E41"/>
    <w:rsid w:val="00763031"/>
    <w:rsid w:val="007630B6"/>
    <w:rsid w:val="00763586"/>
    <w:rsid w:val="00763CBB"/>
    <w:rsid w:val="00763DC6"/>
    <w:rsid w:val="00763E2A"/>
    <w:rsid w:val="00763ECE"/>
    <w:rsid w:val="00763F8D"/>
    <w:rsid w:val="0076435B"/>
    <w:rsid w:val="007643E8"/>
    <w:rsid w:val="00764504"/>
    <w:rsid w:val="00764541"/>
    <w:rsid w:val="007648BE"/>
    <w:rsid w:val="0076492F"/>
    <w:rsid w:val="007649F0"/>
    <w:rsid w:val="00764A0B"/>
    <w:rsid w:val="00764C00"/>
    <w:rsid w:val="00764C93"/>
    <w:rsid w:val="00764DDC"/>
    <w:rsid w:val="00764E95"/>
    <w:rsid w:val="0076502A"/>
    <w:rsid w:val="00765084"/>
    <w:rsid w:val="00765560"/>
    <w:rsid w:val="007656A9"/>
    <w:rsid w:val="0076590F"/>
    <w:rsid w:val="00765B1B"/>
    <w:rsid w:val="00765B47"/>
    <w:rsid w:val="00765B6B"/>
    <w:rsid w:val="00765CB3"/>
    <w:rsid w:val="00765EC7"/>
    <w:rsid w:val="00765F3A"/>
    <w:rsid w:val="00765F47"/>
    <w:rsid w:val="00766052"/>
    <w:rsid w:val="007660F5"/>
    <w:rsid w:val="0076615C"/>
    <w:rsid w:val="0076636C"/>
    <w:rsid w:val="00766400"/>
    <w:rsid w:val="00766425"/>
    <w:rsid w:val="0076648F"/>
    <w:rsid w:val="0076659C"/>
    <w:rsid w:val="0076671C"/>
    <w:rsid w:val="0076672F"/>
    <w:rsid w:val="0076698C"/>
    <w:rsid w:val="00766A03"/>
    <w:rsid w:val="00766A0E"/>
    <w:rsid w:val="00766AD1"/>
    <w:rsid w:val="00766CCA"/>
    <w:rsid w:val="00766DC1"/>
    <w:rsid w:val="00766E0B"/>
    <w:rsid w:val="00766E22"/>
    <w:rsid w:val="00766F9E"/>
    <w:rsid w:val="00767025"/>
    <w:rsid w:val="007670EC"/>
    <w:rsid w:val="00767106"/>
    <w:rsid w:val="00767152"/>
    <w:rsid w:val="007673A2"/>
    <w:rsid w:val="007674CF"/>
    <w:rsid w:val="00767537"/>
    <w:rsid w:val="00767551"/>
    <w:rsid w:val="00767758"/>
    <w:rsid w:val="00767883"/>
    <w:rsid w:val="00767912"/>
    <w:rsid w:val="00767977"/>
    <w:rsid w:val="007679B6"/>
    <w:rsid w:val="00767A77"/>
    <w:rsid w:val="00767A81"/>
    <w:rsid w:val="00767B35"/>
    <w:rsid w:val="00767BCD"/>
    <w:rsid w:val="00767C07"/>
    <w:rsid w:val="00767CFF"/>
    <w:rsid w:val="00767F24"/>
    <w:rsid w:val="00770137"/>
    <w:rsid w:val="0077021C"/>
    <w:rsid w:val="007702C4"/>
    <w:rsid w:val="007702FA"/>
    <w:rsid w:val="007703CD"/>
    <w:rsid w:val="00770466"/>
    <w:rsid w:val="00770553"/>
    <w:rsid w:val="007705FE"/>
    <w:rsid w:val="007708D9"/>
    <w:rsid w:val="007709BF"/>
    <w:rsid w:val="00770A07"/>
    <w:rsid w:val="00770A56"/>
    <w:rsid w:val="00770A66"/>
    <w:rsid w:val="00770ADE"/>
    <w:rsid w:val="00770B16"/>
    <w:rsid w:val="00770C54"/>
    <w:rsid w:val="00770D6B"/>
    <w:rsid w:val="00770F35"/>
    <w:rsid w:val="0077118E"/>
    <w:rsid w:val="0077139A"/>
    <w:rsid w:val="00771422"/>
    <w:rsid w:val="007714C4"/>
    <w:rsid w:val="007716CA"/>
    <w:rsid w:val="007716EF"/>
    <w:rsid w:val="007719CE"/>
    <w:rsid w:val="00771B0C"/>
    <w:rsid w:val="00771C9D"/>
    <w:rsid w:val="00772157"/>
    <w:rsid w:val="007721F5"/>
    <w:rsid w:val="007723E3"/>
    <w:rsid w:val="00772B15"/>
    <w:rsid w:val="00772CCA"/>
    <w:rsid w:val="00772E67"/>
    <w:rsid w:val="0077312B"/>
    <w:rsid w:val="0077314A"/>
    <w:rsid w:val="00773214"/>
    <w:rsid w:val="0077323F"/>
    <w:rsid w:val="0077337E"/>
    <w:rsid w:val="00773496"/>
    <w:rsid w:val="0077354B"/>
    <w:rsid w:val="007735D8"/>
    <w:rsid w:val="0077375B"/>
    <w:rsid w:val="00773A30"/>
    <w:rsid w:val="00773A6F"/>
    <w:rsid w:val="00773A86"/>
    <w:rsid w:val="00773AD6"/>
    <w:rsid w:val="00773BA6"/>
    <w:rsid w:val="00773C94"/>
    <w:rsid w:val="00773CC4"/>
    <w:rsid w:val="00773E94"/>
    <w:rsid w:val="00773F2B"/>
    <w:rsid w:val="00773F2E"/>
    <w:rsid w:val="00773F64"/>
    <w:rsid w:val="00774091"/>
    <w:rsid w:val="007740E8"/>
    <w:rsid w:val="00774410"/>
    <w:rsid w:val="00774732"/>
    <w:rsid w:val="00774777"/>
    <w:rsid w:val="00774871"/>
    <w:rsid w:val="00774910"/>
    <w:rsid w:val="00774B25"/>
    <w:rsid w:val="00774E2F"/>
    <w:rsid w:val="00774FF0"/>
    <w:rsid w:val="0077504C"/>
    <w:rsid w:val="00775055"/>
    <w:rsid w:val="007750F8"/>
    <w:rsid w:val="007751B8"/>
    <w:rsid w:val="00775364"/>
    <w:rsid w:val="007755F2"/>
    <w:rsid w:val="007755F3"/>
    <w:rsid w:val="0077570E"/>
    <w:rsid w:val="0077589A"/>
    <w:rsid w:val="0077595B"/>
    <w:rsid w:val="007759A3"/>
    <w:rsid w:val="007759CD"/>
    <w:rsid w:val="00775BAA"/>
    <w:rsid w:val="00775C7E"/>
    <w:rsid w:val="00775CAD"/>
    <w:rsid w:val="00775D30"/>
    <w:rsid w:val="00775FEC"/>
    <w:rsid w:val="007760E4"/>
    <w:rsid w:val="007762D8"/>
    <w:rsid w:val="007762DB"/>
    <w:rsid w:val="0077648A"/>
    <w:rsid w:val="00776506"/>
    <w:rsid w:val="00776572"/>
    <w:rsid w:val="0077663C"/>
    <w:rsid w:val="00776B3B"/>
    <w:rsid w:val="00776DA3"/>
    <w:rsid w:val="00776DA9"/>
    <w:rsid w:val="00776DCA"/>
    <w:rsid w:val="00776DE8"/>
    <w:rsid w:val="00776EC0"/>
    <w:rsid w:val="00777044"/>
    <w:rsid w:val="0077713A"/>
    <w:rsid w:val="007771FB"/>
    <w:rsid w:val="007772D6"/>
    <w:rsid w:val="00777759"/>
    <w:rsid w:val="007779A5"/>
    <w:rsid w:val="00777A23"/>
    <w:rsid w:val="00777A42"/>
    <w:rsid w:val="00777AAE"/>
    <w:rsid w:val="00777AF1"/>
    <w:rsid w:val="00777C05"/>
    <w:rsid w:val="00777C61"/>
    <w:rsid w:val="00777F57"/>
    <w:rsid w:val="0078004B"/>
    <w:rsid w:val="007803E9"/>
    <w:rsid w:val="00780413"/>
    <w:rsid w:val="00780497"/>
    <w:rsid w:val="007804C4"/>
    <w:rsid w:val="007805A8"/>
    <w:rsid w:val="00780667"/>
    <w:rsid w:val="00780726"/>
    <w:rsid w:val="0078082D"/>
    <w:rsid w:val="00780ABD"/>
    <w:rsid w:val="00780FD8"/>
    <w:rsid w:val="00781240"/>
    <w:rsid w:val="0078135C"/>
    <w:rsid w:val="0078152B"/>
    <w:rsid w:val="00781567"/>
    <w:rsid w:val="007815D8"/>
    <w:rsid w:val="00781664"/>
    <w:rsid w:val="00781924"/>
    <w:rsid w:val="00781C96"/>
    <w:rsid w:val="00781DE1"/>
    <w:rsid w:val="00781F21"/>
    <w:rsid w:val="00781F52"/>
    <w:rsid w:val="007823A3"/>
    <w:rsid w:val="00782454"/>
    <w:rsid w:val="00782829"/>
    <w:rsid w:val="00782860"/>
    <w:rsid w:val="00782899"/>
    <w:rsid w:val="00782C1A"/>
    <w:rsid w:val="00782E50"/>
    <w:rsid w:val="00782EEE"/>
    <w:rsid w:val="00783024"/>
    <w:rsid w:val="007830F7"/>
    <w:rsid w:val="00783475"/>
    <w:rsid w:val="007835E8"/>
    <w:rsid w:val="00783600"/>
    <w:rsid w:val="0078377A"/>
    <w:rsid w:val="007837E0"/>
    <w:rsid w:val="007837F9"/>
    <w:rsid w:val="007837FF"/>
    <w:rsid w:val="00783B1E"/>
    <w:rsid w:val="00783F70"/>
    <w:rsid w:val="007840C7"/>
    <w:rsid w:val="0078413B"/>
    <w:rsid w:val="00784173"/>
    <w:rsid w:val="00784304"/>
    <w:rsid w:val="00784306"/>
    <w:rsid w:val="00784500"/>
    <w:rsid w:val="0078456A"/>
    <w:rsid w:val="00784683"/>
    <w:rsid w:val="0078490B"/>
    <w:rsid w:val="00784BF5"/>
    <w:rsid w:val="00784DAA"/>
    <w:rsid w:val="00784DE0"/>
    <w:rsid w:val="00784E73"/>
    <w:rsid w:val="00784EC7"/>
    <w:rsid w:val="00784FCF"/>
    <w:rsid w:val="00785003"/>
    <w:rsid w:val="007851A7"/>
    <w:rsid w:val="007853C5"/>
    <w:rsid w:val="0078544F"/>
    <w:rsid w:val="00785464"/>
    <w:rsid w:val="0078552C"/>
    <w:rsid w:val="007856B0"/>
    <w:rsid w:val="00785711"/>
    <w:rsid w:val="007859C1"/>
    <w:rsid w:val="007859CF"/>
    <w:rsid w:val="00785A88"/>
    <w:rsid w:val="00785AAA"/>
    <w:rsid w:val="00785D14"/>
    <w:rsid w:val="00785ED6"/>
    <w:rsid w:val="00786045"/>
    <w:rsid w:val="0078608D"/>
    <w:rsid w:val="00786120"/>
    <w:rsid w:val="007861E1"/>
    <w:rsid w:val="00786200"/>
    <w:rsid w:val="00786255"/>
    <w:rsid w:val="007862AF"/>
    <w:rsid w:val="0078641B"/>
    <w:rsid w:val="007864DF"/>
    <w:rsid w:val="00786565"/>
    <w:rsid w:val="007865CA"/>
    <w:rsid w:val="007865D5"/>
    <w:rsid w:val="0078663F"/>
    <w:rsid w:val="007866EA"/>
    <w:rsid w:val="00786869"/>
    <w:rsid w:val="00786986"/>
    <w:rsid w:val="00786B85"/>
    <w:rsid w:val="00786E2B"/>
    <w:rsid w:val="00787049"/>
    <w:rsid w:val="00787313"/>
    <w:rsid w:val="0078736A"/>
    <w:rsid w:val="00787378"/>
    <w:rsid w:val="00787485"/>
    <w:rsid w:val="00787770"/>
    <w:rsid w:val="007878D0"/>
    <w:rsid w:val="007879D6"/>
    <w:rsid w:val="007879F9"/>
    <w:rsid w:val="00787AEC"/>
    <w:rsid w:val="00787C1A"/>
    <w:rsid w:val="0079004E"/>
    <w:rsid w:val="00790123"/>
    <w:rsid w:val="00790171"/>
    <w:rsid w:val="00790178"/>
    <w:rsid w:val="0079034F"/>
    <w:rsid w:val="0079050E"/>
    <w:rsid w:val="00790540"/>
    <w:rsid w:val="007905B0"/>
    <w:rsid w:val="0079064E"/>
    <w:rsid w:val="00790820"/>
    <w:rsid w:val="00790B14"/>
    <w:rsid w:val="00790BCB"/>
    <w:rsid w:val="00790D7B"/>
    <w:rsid w:val="00791003"/>
    <w:rsid w:val="00791038"/>
    <w:rsid w:val="0079106D"/>
    <w:rsid w:val="00791134"/>
    <w:rsid w:val="007911BB"/>
    <w:rsid w:val="00791473"/>
    <w:rsid w:val="007914C5"/>
    <w:rsid w:val="00791508"/>
    <w:rsid w:val="0079175B"/>
    <w:rsid w:val="007918A9"/>
    <w:rsid w:val="00791B31"/>
    <w:rsid w:val="00791EE7"/>
    <w:rsid w:val="00792121"/>
    <w:rsid w:val="007923BF"/>
    <w:rsid w:val="0079243F"/>
    <w:rsid w:val="0079244C"/>
    <w:rsid w:val="0079253A"/>
    <w:rsid w:val="007927E1"/>
    <w:rsid w:val="00792A63"/>
    <w:rsid w:val="00792A7C"/>
    <w:rsid w:val="00792A84"/>
    <w:rsid w:val="00792A99"/>
    <w:rsid w:val="00792E99"/>
    <w:rsid w:val="00793146"/>
    <w:rsid w:val="007931BF"/>
    <w:rsid w:val="00793258"/>
    <w:rsid w:val="0079325D"/>
    <w:rsid w:val="00793353"/>
    <w:rsid w:val="00793398"/>
    <w:rsid w:val="007933EF"/>
    <w:rsid w:val="00793481"/>
    <w:rsid w:val="00793486"/>
    <w:rsid w:val="007934DF"/>
    <w:rsid w:val="00793560"/>
    <w:rsid w:val="0079363A"/>
    <w:rsid w:val="0079371F"/>
    <w:rsid w:val="007937E0"/>
    <w:rsid w:val="00793953"/>
    <w:rsid w:val="00793B7E"/>
    <w:rsid w:val="00793C52"/>
    <w:rsid w:val="00793D30"/>
    <w:rsid w:val="00793FB4"/>
    <w:rsid w:val="00793FE5"/>
    <w:rsid w:val="00794016"/>
    <w:rsid w:val="0079406C"/>
    <w:rsid w:val="00794133"/>
    <w:rsid w:val="00794437"/>
    <w:rsid w:val="00794611"/>
    <w:rsid w:val="0079466B"/>
    <w:rsid w:val="0079469F"/>
    <w:rsid w:val="007946BE"/>
    <w:rsid w:val="0079474A"/>
    <w:rsid w:val="007947C4"/>
    <w:rsid w:val="00794902"/>
    <w:rsid w:val="00794A26"/>
    <w:rsid w:val="00794D6C"/>
    <w:rsid w:val="00794DBC"/>
    <w:rsid w:val="00794F5D"/>
    <w:rsid w:val="0079560E"/>
    <w:rsid w:val="00795627"/>
    <w:rsid w:val="0079573B"/>
    <w:rsid w:val="00795A9D"/>
    <w:rsid w:val="00795BB0"/>
    <w:rsid w:val="00795EFC"/>
    <w:rsid w:val="0079615B"/>
    <w:rsid w:val="007963E8"/>
    <w:rsid w:val="0079652A"/>
    <w:rsid w:val="0079661B"/>
    <w:rsid w:val="007966C9"/>
    <w:rsid w:val="00796993"/>
    <w:rsid w:val="00796A65"/>
    <w:rsid w:val="00796B0C"/>
    <w:rsid w:val="00796BB0"/>
    <w:rsid w:val="00796C96"/>
    <w:rsid w:val="00796CB2"/>
    <w:rsid w:val="00796D2A"/>
    <w:rsid w:val="00796DC2"/>
    <w:rsid w:val="00796E43"/>
    <w:rsid w:val="00796EC9"/>
    <w:rsid w:val="0079701A"/>
    <w:rsid w:val="0079704A"/>
    <w:rsid w:val="00797379"/>
    <w:rsid w:val="007973D2"/>
    <w:rsid w:val="00797486"/>
    <w:rsid w:val="007975AF"/>
    <w:rsid w:val="00797622"/>
    <w:rsid w:val="007977DE"/>
    <w:rsid w:val="007979AC"/>
    <w:rsid w:val="007979E3"/>
    <w:rsid w:val="00797B68"/>
    <w:rsid w:val="00797B70"/>
    <w:rsid w:val="00797FDC"/>
    <w:rsid w:val="007A00E2"/>
    <w:rsid w:val="007A00F4"/>
    <w:rsid w:val="007A0169"/>
    <w:rsid w:val="007A0264"/>
    <w:rsid w:val="007A02CB"/>
    <w:rsid w:val="007A03AE"/>
    <w:rsid w:val="007A03D2"/>
    <w:rsid w:val="007A03E1"/>
    <w:rsid w:val="007A0432"/>
    <w:rsid w:val="007A04DF"/>
    <w:rsid w:val="007A0644"/>
    <w:rsid w:val="007A0692"/>
    <w:rsid w:val="007A08BF"/>
    <w:rsid w:val="007A0902"/>
    <w:rsid w:val="007A0A6A"/>
    <w:rsid w:val="007A0A7E"/>
    <w:rsid w:val="007A0CED"/>
    <w:rsid w:val="007A0D0B"/>
    <w:rsid w:val="007A0D6C"/>
    <w:rsid w:val="007A0E2C"/>
    <w:rsid w:val="007A0F14"/>
    <w:rsid w:val="007A113B"/>
    <w:rsid w:val="007A1199"/>
    <w:rsid w:val="007A12B3"/>
    <w:rsid w:val="007A141A"/>
    <w:rsid w:val="007A15E0"/>
    <w:rsid w:val="007A1633"/>
    <w:rsid w:val="007A17BC"/>
    <w:rsid w:val="007A1D9B"/>
    <w:rsid w:val="007A1E18"/>
    <w:rsid w:val="007A2060"/>
    <w:rsid w:val="007A2251"/>
    <w:rsid w:val="007A249F"/>
    <w:rsid w:val="007A25FB"/>
    <w:rsid w:val="007A2C0A"/>
    <w:rsid w:val="007A2CC2"/>
    <w:rsid w:val="007A2D66"/>
    <w:rsid w:val="007A2DC2"/>
    <w:rsid w:val="007A2DDC"/>
    <w:rsid w:val="007A2EC0"/>
    <w:rsid w:val="007A2FFB"/>
    <w:rsid w:val="007A30C0"/>
    <w:rsid w:val="007A31A7"/>
    <w:rsid w:val="007A3235"/>
    <w:rsid w:val="007A3804"/>
    <w:rsid w:val="007A394D"/>
    <w:rsid w:val="007A3A4D"/>
    <w:rsid w:val="007A3BAB"/>
    <w:rsid w:val="007A3D71"/>
    <w:rsid w:val="007A403F"/>
    <w:rsid w:val="007A4164"/>
    <w:rsid w:val="007A4299"/>
    <w:rsid w:val="007A4459"/>
    <w:rsid w:val="007A457F"/>
    <w:rsid w:val="007A484D"/>
    <w:rsid w:val="007A4F5F"/>
    <w:rsid w:val="007A4F7E"/>
    <w:rsid w:val="007A4FCC"/>
    <w:rsid w:val="007A50F9"/>
    <w:rsid w:val="007A5161"/>
    <w:rsid w:val="007A5325"/>
    <w:rsid w:val="007A535B"/>
    <w:rsid w:val="007A5363"/>
    <w:rsid w:val="007A5520"/>
    <w:rsid w:val="007A566C"/>
    <w:rsid w:val="007A569C"/>
    <w:rsid w:val="007A580D"/>
    <w:rsid w:val="007A591E"/>
    <w:rsid w:val="007A5996"/>
    <w:rsid w:val="007A5B9F"/>
    <w:rsid w:val="007A5BA2"/>
    <w:rsid w:val="007A5D05"/>
    <w:rsid w:val="007A5D49"/>
    <w:rsid w:val="007A5DAE"/>
    <w:rsid w:val="007A5DEE"/>
    <w:rsid w:val="007A5E43"/>
    <w:rsid w:val="007A5F54"/>
    <w:rsid w:val="007A6162"/>
    <w:rsid w:val="007A642D"/>
    <w:rsid w:val="007A65DE"/>
    <w:rsid w:val="007A6633"/>
    <w:rsid w:val="007A6717"/>
    <w:rsid w:val="007A6724"/>
    <w:rsid w:val="007A675C"/>
    <w:rsid w:val="007A67BB"/>
    <w:rsid w:val="007A6B3A"/>
    <w:rsid w:val="007A6D33"/>
    <w:rsid w:val="007A6F9D"/>
    <w:rsid w:val="007A6FB0"/>
    <w:rsid w:val="007A7031"/>
    <w:rsid w:val="007A707A"/>
    <w:rsid w:val="007A72BF"/>
    <w:rsid w:val="007A7308"/>
    <w:rsid w:val="007A73E8"/>
    <w:rsid w:val="007A7510"/>
    <w:rsid w:val="007A7540"/>
    <w:rsid w:val="007A776E"/>
    <w:rsid w:val="007A7890"/>
    <w:rsid w:val="007A79BE"/>
    <w:rsid w:val="007A7A76"/>
    <w:rsid w:val="007A7C29"/>
    <w:rsid w:val="007A7CCF"/>
    <w:rsid w:val="007A7DDC"/>
    <w:rsid w:val="007A7E12"/>
    <w:rsid w:val="007A7E80"/>
    <w:rsid w:val="007B0053"/>
    <w:rsid w:val="007B0133"/>
    <w:rsid w:val="007B0379"/>
    <w:rsid w:val="007B0534"/>
    <w:rsid w:val="007B0599"/>
    <w:rsid w:val="007B05DB"/>
    <w:rsid w:val="007B075E"/>
    <w:rsid w:val="007B09DD"/>
    <w:rsid w:val="007B0E62"/>
    <w:rsid w:val="007B0EEC"/>
    <w:rsid w:val="007B0EFD"/>
    <w:rsid w:val="007B0F90"/>
    <w:rsid w:val="007B132D"/>
    <w:rsid w:val="007B14DD"/>
    <w:rsid w:val="007B1520"/>
    <w:rsid w:val="007B183A"/>
    <w:rsid w:val="007B185B"/>
    <w:rsid w:val="007B18CD"/>
    <w:rsid w:val="007B19FD"/>
    <w:rsid w:val="007B1A5D"/>
    <w:rsid w:val="007B1AAB"/>
    <w:rsid w:val="007B1C3C"/>
    <w:rsid w:val="007B1C84"/>
    <w:rsid w:val="007B1CDD"/>
    <w:rsid w:val="007B1E13"/>
    <w:rsid w:val="007B1E30"/>
    <w:rsid w:val="007B1F42"/>
    <w:rsid w:val="007B210A"/>
    <w:rsid w:val="007B2192"/>
    <w:rsid w:val="007B2344"/>
    <w:rsid w:val="007B23AF"/>
    <w:rsid w:val="007B2544"/>
    <w:rsid w:val="007B2547"/>
    <w:rsid w:val="007B25D4"/>
    <w:rsid w:val="007B2987"/>
    <w:rsid w:val="007B2B9C"/>
    <w:rsid w:val="007B2BB0"/>
    <w:rsid w:val="007B2C01"/>
    <w:rsid w:val="007B30B7"/>
    <w:rsid w:val="007B31DD"/>
    <w:rsid w:val="007B3247"/>
    <w:rsid w:val="007B3289"/>
    <w:rsid w:val="007B34BC"/>
    <w:rsid w:val="007B34DB"/>
    <w:rsid w:val="007B35B0"/>
    <w:rsid w:val="007B36E9"/>
    <w:rsid w:val="007B3767"/>
    <w:rsid w:val="007B37AC"/>
    <w:rsid w:val="007B37B3"/>
    <w:rsid w:val="007B39F9"/>
    <w:rsid w:val="007B3A83"/>
    <w:rsid w:val="007B3B74"/>
    <w:rsid w:val="007B3FFE"/>
    <w:rsid w:val="007B401A"/>
    <w:rsid w:val="007B4159"/>
    <w:rsid w:val="007B41F6"/>
    <w:rsid w:val="007B4237"/>
    <w:rsid w:val="007B4258"/>
    <w:rsid w:val="007B426B"/>
    <w:rsid w:val="007B4296"/>
    <w:rsid w:val="007B42E3"/>
    <w:rsid w:val="007B4333"/>
    <w:rsid w:val="007B44CC"/>
    <w:rsid w:val="007B452E"/>
    <w:rsid w:val="007B4568"/>
    <w:rsid w:val="007B4607"/>
    <w:rsid w:val="007B48CA"/>
    <w:rsid w:val="007B4995"/>
    <w:rsid w:val="007B49E8"/>
    <w:rsid w:val="007B4C7E"/>
    <w:rsid w:val="007B4E36"/>
    <w:rsid w:val="007B5127"/>
    <w:rsid w:val="007B53B0"/>
    <w:rsid w:val="007B54B8"/>
    <w:rsid w:val="007B5533"/>
    <w:rsid w:val="007B56F9"/>
    <w:rsid w:val="007B59E6"/>
    <w:rsid w:val="007B5ACD"/>
    <w:rsid w:val="007B5AD6"/>
    <w:rsid w:val="007B5B0D"/>
    <w:rsid w:val="007B5CB9"/>
    <w:rsid w:val="007B5D53"/>
    <w:rsid w:val="007B5D6D"/>
    <w:rsid w:val="007B60D9"/>
    <w:rsid w:val="007B6104"/>
    <w:rsid w:val="007B6117"/>
    <w:rsid w:val="007B61D1"/>
    <w:rsid w:val="007B64C4"/>
    <w:rsid w:val="007B64D9"/>
    <w:rsid w:val="007B658E"/>
    <w:rsid w:val="007B6596"/>
    <w:rsid w:val="007B65E7"/>
    <w:rsid w:val="007B66E6"/>
    <w:rsid w:val="007B67A8"/>
    <w:rsid w:val="007B6823"/>
    <w:rsid w:val="007B6B9E"/>
    <w:rsid w:val="007B6E67"/>
    <w:rsid w:val="007B6E6C"/>
    <w:rsid w:val="007B705A"/>
    <w:rsid w:val="007B7098"/>
    <w:rsid w:val="007B715A"/>
    <w:rsid w:val="007B71EC"/>
    <w:rsid w:val="007B722C"/>
    <w:rsid w:val="007B75C8"/>
    <w:rsid w:val="007B7920"/>
    <w:rsid w:val="007B7A39"/>
    <w:rsid w:val="007B7A7D"/>
    <w:rsid w:val="007B7AF7"/>
    <w:rsid w:val="007B7DC0"/>
    <w:rsid w:val="007B7DCA"/>
    <w:rsid w:val="007B7E26"/>
    <w:rsid w:val="007B7EF6"/>
    <w:rsid w:val="007C0015"/>
    <w:rsid w:val="007C0068"/>
    <w:rsid w:val="007C0494"/>
    <w:rsid w:val="007C088C"/>
    <w:rsid w:val="007C0952"/>
    <w:rsid w:val="007C09E8"/>
    <w:rsid w:val="007C0A08"/>
    <w:rsid w:val="007C0A0D"/>
    <w:rsid w:val="007C0BC2"/>
    <w:rsid w:val="007C0C31"/>
    <w:rsid w:val="007C0F2D"/>
    <w:rsid w:val="007C110B"/>
    <w:rsid w:val="007C1170"/>
    <w:rsid w:val="007C1240"/>
    <w:rsid w:val="007C12AA"/>
    <w:rsid w:val="007C1312"/>
    <w:rsid w:val="007C15C4"/>
    <w:rsid w:val="007C16F5"/>
    <w:rsid w:val="007C17CE"/>
    <w:rsid w:val="007C180B"/>
    <w:rsid w:val="007C185E"/>
    <w:rsid w:val="007C19A7"/>
    <w:rsid w:val="007C19FA"/>
    <w:rsid w:val="007C1E38"/>
    <w:rsid w:val="007C1EBB"/>
    <w:rsid w:val="007C1EBE"/>
    <w:rsid w:val="007C2057"/>
    <w:rsid w:val="007C2344"/>
    <w:rsid w:val="007C238C"/>
    <w:rsid w:val="007C2457"/>
    <w:rsid w:val="007C2518"/>
    <w:rsid w:val="007C25C1"/>
    <w:rsid w:val="007C262C"/>
    <w:rsid w:val="007C2803"/>
    <w:rsid w:val="007C285F"/>
    <w:rsid w:val="007C29CE"/>
    <w:rsid w:val="007C29D9"/>
    <w:rsid w:val="007C2A09"/>
    <w:rsid w:val="007C2A4B"/>
    <w:rsid w:val="007C2C30"/>
    <w:rsid w:val="007C2E00"/>
    <w:rsid w:val="007C2F40"/>
    <w:rsid w:val="007C2F43"/>
    <w:rsid w:val="007C3161"/>
    <w:rsid w:val="007C31F2"/>
    <w:rsid w:val="007C33B9"/>
    <w:rsid w:val="007C341D"/>
    <w:rsid w:val="007C34D7"/>
    <w:rsid w:val="007C365D"/>
    <w:rsid w:val="007C3709"/>
    <w:rsid w:val="007C3814"/>
    <w:rsid w:val="007C3884"/>
    <w:rsid w:val="007C3AB6"/>
    <w:rsid w:val="007C3B09"/>
    <w:rsid w:val="007C3E20"/>
    <w:rsid w:val="007C3FA5"/>
    <w:rsid w:val="007C3FDA"/>
    <w:rsid w:val="007C4231"/>
    <w:rsid w:val="007C42BF"/>
    <w:rsid w:val="007C444D"/>
    <w:rsid w:val="007C466B"/>
    <w:rsid w:val="007C4969"/>
    <w:rsid w:val="007C4CF3"/>
    <w:rsid w:val="007C4F9A"/>
    <w:rsid w:val="007C509A"/>
    <w:rsid w:val="007C50D1"/>
    <w:rsid w:val="007C5359"/>
    <w:rsid w:val="007C5411"/>
    <w:rsid w:val="007C55E6"/>
    <w:rsid w:val="007C5608"/>
    <w:rsid w:val="007C58EF"/>
    <w:rsid w:val="007C5BCE"/>
    <w:rsid w:val="007C5D9E"/>
    <w:rsid w:val="007C5E2F"/>
    <w:rsid w:val="007C5EE6"/>
    <w:rsid w:val="007C6099"/>
    <w:rsid w:val="007C626F"/>
    <w:rsid w:val="007C6707"/>
    <w:rsid w:val="007C68B5"/>
    <w:rsid w:val="007C68BA"/>
    <w:rsid w:val="007C68CC"/>
    <w:rsid w:val="007C6AA9"/>
    <w:rsid w:val="007C6C74"/>
    <w:rsid w:val="007C6F2F"/>
    <w:rsid w:val="007C6FE4"/>
    <w:rsid w:val="007C70BB"/>
    <w:rsid w:val="007C7395"/>
    <w:rsid w:val="007C7708"/>
    <w:rsid w:val="007C771D"/>
    <w:rsid w:val="007C779C"/>
    <w:rsid w:val="007C7923"/>
    <w:rsid w:val="007C796C"/>
    <w:rsid w:val="007C7AC5"/>
    <w:rsid w:val="007C7C31"/>
    <w:rsid w:val="007C7C79"/>
    <w:rsid w:val="007C7D87"/>
    <w:rsid w:val="007C7FA4"/>
    <w:rsid w:val="007D01B7"/>
    <w:rsid w:val="007D02A2"/>
    <w:rsid w:val="007D03EC"/>
    <w:rsid w:val="007D04C4"/>
    <w:rsid w:val="007D059C"/>
    <w:rsid w:val="007D09D8"/>
    <w:rsid w:val="007D0A93"/>
    <w:rsid w:val="007D0A99"/>
    <w:rsid w:val="007D0B34"/>
    <w:rsid w:val="007D0D66"/>
    <w:rsid w:val="007D12F2"/>
    <w:rsid w:val="007D135B"/>
    <w:rsid w:val="007D1572"/>
    <w:rsid w:val="007D15A4"/>
    <w:rsid w:val="007D17D4"/>
    <w:rsid w:val="007D1843"/>
    <w:rsid w:val="007D18B7"/>
    <w:rsid w:val="007D1914"/>
    <w:rsid w:val="007D19A1"/>
    <w:rsid w:val="007D19A5"/>
    <w:rsid w:val="007D19C0"/>
    <w:rsid w:val="007D1BDB"/>
    <w:rsid w:val="007D1CFF"/>
    <w:rsid w:val="007D1D53"/>
    <w:rsid w:val="007D1E03"/>
    <w:rsid w:val="007D1E0D"/>
    <w:rsid w:val="007D1F08"/>
    <w:rsid w:val="007D1F2E"/>
    <w:rsid w:val="007D1F88"/>
    <w:rsid w:val="007D2189"/>
    <w:rsid w:val="007D2411"/>
    <w:rsid w:val="007D2460"/>
    <w:rsid w:val="007D25DB"/>
    <w:rsid w:val="007D262D"/>
    <w:rsid w:val="007D2878"/>
    <w:rsid w:val="007D29B6"/>
    <w:rsid w:val="007D29FC"/>
    <w:rsid w:val="007D2A1D"/>
    <w:rsid w:val="007D2B10"/>
    <w:rsid w:val="007D2B99"/>
    <w:rsid w:val="007D2E1B"/>
    <w:rsid w:val="007D2F2D"/>
    <w:rsid w:val="007D32ED"/>
    <w:rsid w:val="007D336A"/>
    <w:rsid w:val="007D33DE"/>
    <w:rsid w:val="007D37B2"/>
    <w:rsid w:val="007D382F"/>
    <w:rsid w:val="007D3840"/>
    <w:rsid w:val="007D3CD1"/>
    <w:rsid w:val="007D3CE1"/>
    <w:rsid w:val="007D3E9C"/>
    <w:rsid w:val="007D3FC0"/>
    <w:rsid w:val="007D431D"/>
    <w:rsid w:val="007D4437"/>
    <w:rsid w:val="007D4515"/>
    <w:rsid w:val="007D461D"/>
    <w:rsid w:val="007D46B9"/>
    <w:rsid w:val="007D46D7"/>
    <w:rsid w:val="007D4971"/>
    <w:rsid w:val="007D4A45"/>
    <w:rsid w:val="007D4AA8"/>
    <w:rsid w:val="007D4AD5"/>
    <w:rsid w:val="007D4B89"/>
    <w:rsid w:val="007D4C4A"/>
    <w:rsid w:val="007D4C75"/>
    <w:rsid w:val="007D4CC1"/>
    <w:rsid w:val="007D4E73"/>
    <w:rsid w:val="007D51AA"/>
    <w:rsid w:val="007D551B"/>
    <w:rsid w:val="007D565F"/>
    <w:rsid w:val="007D597C"/>
    <w:rsid w:val="007D5B65"/>
    <w:rsid w:val="007D5B9F"/>
    <w:rsid w:val="007D5C29"/>
    <w:rsid w:val="007D5C2A"/>
    <w:rsid w:val="007D5C60"/>
    <w:rsid w:val="007D5CA7"/>
    <w:rsid w:val="007D5D59"/>
    <w:rsid w:val="007D5D78"/>
    <w:rsid w:val="007D5E09"/>
    <w:rsid w:val="007D5E15"/>
    <w:rsid w:val="007D5E84"/>
    <w:rsid w:val="007D60DB"/>
    <w:rsid w:val="007D61FC"/>
    <w:rsid w:val="007D646C"/>
    <w:rsid w:val="007D64E2"/>
    <w:rsid w:val="007D6819"/>
    <w:rsid w:val="007D6DA9"/>
    <w:rsid w:val="007D6E8F"/>
    <w:rsid w:val="007D6F03"/>
    <w:rsid w:val="007D7088"/>
    <w:rsid w:val="007D719D"/>
    <w:rsid w:val="007D7256"/>
    <w:rsid w:val="007D7300"/>
    <w:rsid w:val="007D7312"/>
    <w:rsid w:val="007D75C3"/>
    <w:rsid w:val="007D7807"/>
    <w:rsid w:val="007D788E"/>
    <w:rsid w:val="007D7933"/>
    <w:rsid w:val="007D7BB4"/>
    <w:rsid w:val="007D7CE7"/>
    <w:rsid w:val="007D7E52"/>
    <w:rsid w:val="007D7E93"/>
    <w:rsid w:val="007D7EAA"/>
    <w:rsid w:val="007D7EE4"/>
    <w:rsid w:val="007E005B"/>
    <w:rsid w:val="007E00C1"/>
    <w:rsid w:val="007E0115"/>
    <w:rsid w:val="007E028F"/>
    <w:rsid w:val="007E038C"/>
    <w:rsid w:val="007E0469"/>
    <w:rsid w:val="007E0570"/>
    <w:rsid w:val="007E0B61"/>
    <w:rsid w:val="007E0B87"/>
    <w:rsid w:val="007E0C7E"/>
    <w:rsid w:val="007E0E77"/>
    <w:rsid w:val="007E0E8F"/>
    <w:rsid w:val="007E0F39"/>
    <w:rsid w:val="007E0F99"/>
    <w:rsid w:val="007E0FCB"/>
    <w:rsid w:val="007E11FF"/>
    <w:rsid w:val="007E1450"/>
    <w:rsid w:val="007E1526"/>
    <w:rsid w:val="007E1620"/>
    <w:rsid w:val="007E16E1"/>
    <w:rsid w:val="007E1825"/>
    <w:rsid w:val="007E1854"/>
    <w:rsid w:val="007E1881"/>
    <w:rsid w:val="007E195B"/>
    <w:rsid w:val="007E1984"/>
    <w:rsid w:val="007E1B9F"/>
    <w:rsid w:val="007E1C5F"/>
    <w:rsid w:val="007E1DE1"/>
    <w:rsid w:val="007E1E50"/>
    <w:rsid w:val="007E20BF"/>
    <w:rsid w:val="007E22B3"/>
    <w:rsid w:val="007E23AF"/>
    <w:rsid w:val="007E23C2"/>
    <w:rsid w:val="007E2855"/>
    <w:rsid w:val="007E2860"/>
    <w:rsid w:val="007E2873"/>
    <w:rsid w:val="007E29BA"/>
    <w:rsid w:val="007E2F40"/>
    <w:rsid w:val="007E2F8A"/>
    <w:rsid w:val="007E3029"/>
    <w:rsid w:val="007E3062"/>
    <w:rsid w:val="007E3194"/>
    <w:rsid w:val="007E321F"/>
    <w:rsid w:val="007E329E"/>
    <w:rsid w:val="007E32A9"/>
    <w:rsid w:val="007E34D2"/>
    <w:rsid w:val="007E351A"/>
    <w:rsid w:val="007E36C0"/>
    <w:rsid w:val="007E36FB"/>
    <w:rsid w:val="007E38BD"/>
    <w:rsid w:val="007E3963"/>
    <w:rsid w:val="007E3A32"/>
    <w:rsid w:val="007E3AA5"/>
    <w:rsid w:val="007E3B1A"/>
    <w:rsid w:val="007E3CED"/>
    <w:rsid w:val="007E3D22"/>
    <w:rsid w:val="007E409A"/>
    <w:rsid w:val="007E4136"/>
    <w:rsid w:val="007E41F7"/>
    <w:rsid w:val="007E4214"/>
    <w:rsid w:val="007E42CC"/>
    <w:rsid w:val="007E440E"/>
    <w:rsid w:val="007E44F1"/>
    <w:rsid w:val="007E45D9"/>
    <w:rsid w:val="007E460B"/>
    <w:rsid w:val="007E46FB"/>
    <w:rsid w:val="007E4767"/>
    <w:rsid w:val="007E4ACF"/>
    <w:rsid w:val="007E4B1B"/>
    <w:rsid w:val="007E4D66"/>
    <w:rsid w:val="007E4DC1"/>
    <w:rsid w:val="007E4DCC"/>
    <w:rsid w:val="007E4DD9"/>
    <w:rsid w:val="007E5158"/>
    <w:rsid w:val="007E52B1"/>
    <w:rsid w:val="007E5B1E"/>
    <w:rsid w:val="007E5C21"/>
    <w:rsid w:val="007E5D73"/>
    <w:rsid w:val="007E5DA7"/>
    <w:rsid w:val="007E5DE0"/>
    <w:rsid w:val="007E5ECD"/>
    <w:rsid w:val="007E5F51"/>
    <w:rsid w:val="007E5FD8"/>
    <w:rsid w:val="007E648A"/>
    <w:rsid w:val="007E669C"/>
    <w:rsid w:val="007E6819"/>
    <w:rsid w:val="007E68F0"/>
    <w:rsid w:val="007E6C7B"/>
    <w:rsid w:val="007E6CBD"/>
    <w:rsid w:val="007E6D28"/>
    <w:rsid w:val="007E6E05"/>
    <w:rsid w:val="007E6E93"/>
    <w:rsid w:val="007E6FEC"/>
    <w:rsid w:val="007E7191"/>
    <w:rsid w:val="007E7274"/>
    <w:rsid w:val="007E7354"/>
    <w:rsid w:val="007E737D"/>
    <w:rsid w:val="007E750E"/>
    <w:rsid w:val="007E751D"/>
    <w:rsid w:val="007E7533"/>
    <w:rsid w:val="007E7598"/>
    <w:rsid w:val="007E7686"/>
    <w:rsid w:val="007E7756"/>
    <w:rsid w:val="007E78BC"/>
    <w:rsid w:val="007E7960"/>
    <w:rsid w:val="007E7A4D"/>
    <w:rsid w:val="007E7A68"/>
    <w:rsid w:val="007E7BCD"/>
    <w:rsid w:val="007E7C2D"/>
    <w:rsid w:val="007E7CF4"/>
    <w:rsid w:val="007E7FD4"/>
    <w:rsid w:val="007F0180"/>
    <w:rsid w:val="007F03F9"/>
    <w:rsid w:val="007F0470"/>
    <w:rsid w:val="007F0593"/>
    <w:rsid w:val="007F06A8"/>
    <w:rsid w:val="007F06B1"/>
    <w:rsid w:val="007F07C8"/>
    <w:rsid w:val="007F07F3"/>
    <w:rsid w:val="007F09C4"/>
    <w:rsid w:val="007F0A32"/>
    <w:rsid w:val="007F0A33"/>
    <w:rsid w:val="007F0A77"/>
    <w:rsid w:val="007F0A83"/>
    <w:rsid w:val="007F0AD9"/>
    <w:rsid w:val="007F0B11"/>
    <w:rsid w:val="007F0C50"/>
    <w:rsid w:val="007F0ED3"/>
    <w:rsid w:val="007F0EDC"/>
    <w:rsid w:val="007F0FD9"/>
    <w:rsid w:val="007F128B"/>
    <w:rsid w:val="007F1461"/>
    <w:rsid w:val="007F14C7"/>
    <w:rsid w:val="007F1577"/>
    <w:rsid w:val="007F15D6"/>
    <w:rsid w:val="007F165E"/>
    <w:rsid w:val="007F16D2"/>
    <w:rsid w:val="007F16DA"/>
    <w:rsid w:val="007F1998"/>
    <w:rsid w:val="007F1A29"/>
    <w:rsid w:val="007F1B5E"/>
    <w:rsid w:val="007F1B6A"/>
    <w:rsid w:val="007F1C77"/>
    <w:rsid w:val="007F1F65"/>
    <w:rsid w:val="007F1F9F"/>
    <w:rsid w:val="007F1FA0"/>
    <w:rsid w:val="007F2058"/>
    <w:rsid w:val="007F2220"/>
    <w:rsid w:val="007F23FD"/>
    <w:rsid w:val="007F2494"/>
    <w:rsid w:val="007F2581"/>
    <w:rsid w:val="007F276F"/>
    <w:rsid w:val="007F28D2"/>
    <w:rsid w:val="007F2A1C"/>
    <w:rsid w:val="007F2AB2"/>
    <w:rsid w:val="007F2AD7"/>
    <w:rsid w:val="007F2D9A"/>
    <w:rsid w:val="007F2EA5"/>
    <w:rsid w:val="007F305E"/>
    <w:rsid w:val="007F3109"/>
    <w:rsid w:val="007F3129"/>
    <w:rsid w:val="007F32A6"/>
    <w:rsid w:val="007F338C"/>
    <w:rsid w:val="007F33DE"/>
    <w:rsid w:val="007F3450"/>
    <w:rsid w:val="007F34CA"/>
    <w:rsid w:val="007F35A1"/>
    <w:rsid w:val="007F35FE"/>
    <w:rsid w:val="007F36A4"/>
    <w:rsid w:val="007F37CF"/>
    <w:rsid w:val="007F39BA"/>
    <w:rsid w:val="007F3A3F"/>
    <w:rsid w:val="007F3CEF"/>
    <w:rsid w:val="007F3D12"/>
    <w:rsid w:val="007F3DFE"/>
    <w:rsid w:val="007F3FD8"/>
    <w:rsid w:val="007F4283"/>
    <w:rsid w:val="007F42A4"/>
    <w:rsid w:val="007F43DC"/>
    <w:rsid w:val="007F4429"/>
    <w:rsid w:val="007F4780"/>
    <w:rsid w:val="007F482B"/>
    <w:rsid w:val="007F4C7A"/>
    <w:rsid w:val="007F50C5"/>
    <w:rsid w:val="007F526A"/>
    <w:rsid w:val="007F52D0"/>
    <w:rsid w:val="007F5309"/>
    <w:rsid w:val="007F535A"/>
    <w:rsid w:val="007F5B22"/>
    <w:rsid w:val="007F5D11"/>
    <w:rsid w:val="007F5E29"/>
    <w:rsid w:val="007F5EE2"/>
    <w:rsid w:val="007F5F3B"/>
    <w:rsid w:val="007F6044"/>
    <w:rsid w:val="007F61A7"/>
    <w:rsid w:val="007F62EA"/>
    <w:rsid w:val="007F63C2"/>
    <w:rsid w:val="007F65E7"/>
    <w:rsid w:val="007F6776"/>
    <w:rsid w:val="007F6BCD"/>
    <w:rsid w:val="007F6C28"/>
    <w:rsid w:val="007F6C71"/>
    <w:rsid w:val="007F6DAA"/>
    <w:rsid w:val="007F6DF1"/>
    <w:rsid w:val="007F6E61"/>
    <w:rsid w:val="007F6F18"/>
    <w:rsid w:val="007F711C"/>
    <w:rsid w:val="007F712A"/>
    <w:rsid w:val="007F715C"/>
    <w:rsid w:val="007F71F0"/>
    <w:rsid w:val="007F748F"/>
    <w:rsid w:val="007F74E5"/>
    <w:rsid w:val="007F760D"/>
    <w:rsid w:val="007F762F"/>
    <w:rsid w:val="007F76B8"/>
    <w:rsid w:val="007F77A6"/>
    <w:rsid w:val="007F77DD"/>
    <w:rsid w:val="007F79A6"/>
    <w:rsid w:val="007F7B78"/>
    <w:rsid w:val="007F7BFF"/>
    <w:rsid w:val="007F7DA5"/>
    <w:rsid w:val="007F7F2D"/>
    <w:rsid w:val="0080026E"/>
    <w:rsid w:val="0080040D"/>
    <w:rsid w:val="008007C9"/>
    <w:rsid w:val="00800AA3"/>
    <w:rsid w:val="00800B7E"/>
    <w:rsid w:val="00800BA0"/>
    <w:rsid w:val="00800BB9"/>
    <w:rsid w:val="00800DF3"/>
    <w:rsid w:val="00800DFF"/>
    <w:rsid w:val="00800EC9"/>
    <w:rsid w:val="00800EE9"/>
    <w:rsid w:val="00801086"/>
    <w:rsid w:val="00801186"/>
    <w:rsid w:val="008011C6"/>
    <w:rsid w:val="008012BA"/>
    <w:rsid w:val="0080146C"/>
    <w:rsid w:val="00801488"/>
    <w:rsid w:val="008014B8"/>
    <w:rsid w:val="0080158F"/>
    <w:rsid w:val="00801694"/>
    <w:rsid w:val="0080178C"/>
    <w:rsid w:val="00801806"/>
    <w:rsid w:val="0080186A"/>
    <w:rsid w:val="008018E3"/>
    <w:rsid w:val="00801B12"/>
    <w:rsid w:val="00801C07"/>
    <w:rsid w:val="00801C93"/>
    <w:rsid w:val="00801CB1"/>
    <w:rsid w:val="00801CEA"/>
    <w:rsid w:val="00801D5A"/>
    <w:rsid w:val="00801DC5"/>
    <w:rsid w:val="00801DFD"/>
    <w:rsid w:val="00801E46"/>
    <w:rsid w:val="00801E7C"/>
    <w:rsid w:val="00801ED2"/>
    <w:rsid w:val="00801F1E"/>
    <w:rsid w:val="00802011"/>
    <w:rsid w:val="00802034"/>
    <w:rsid w:val="0080212F"/>
    <w:rsid w:val="0080215C"/>
    <w:rsid w:val="008022EF"/>
    <w:rsid w:val="008022F5"/>
    <w:rsid w:val="008022F9"/>
    <w:rsid w:val="0080232A"/>
    <w:rsid w:val="008024BF"/>
    <w:rsid w:val="0080272B"/>
    <w:rsid w:val="00802809"/>
    <w:rsid w:val="00802D00"/>
    <w:rsid w:val="00802D8F"/>
    <w:rsid w:val="00803086"/>
    <w:rsid w:val="0080310C"/>
    <w:rsid w:val="008031B9"/>
    <w:rsid w:val="008031C1"/>
    <w:rsid w:val="00803236"/>
    <w:rsid w:val="00803403"/>
    <w:rsid w:val="0080364B"/>
    <w:rsid w:val="0080366A"/>
    <w:rsid w:val="008037C3"/>
    <w:rsid w:val="00803A3A"/>
    <w:rsid w:val="00803C3D"/>
    <w:rsid w:val="00803F18"/>
    <w:rsid w:val="00804060"/>
    <w:rsid w:val="00804118"/>
    <w:rsid w:val="00804228"/>
    <w:rsid w:val="00804441"/>
    <w:rsid w:val="008044F0"/>
    <w:rsid w:val="00804590"/>
    <w:rsid w:val="008047C0"/>
    <w:rsid w:val="0080487A"/>
    <w:rsid w:val="00804A11"/>
    <w:rsid w:val="00804E2C"/>
    <w:rsid w:val="00804F3D"/>
    <w:rsid w:val="00805050"/>
    <w:rsid w:val="008050A2"/>
    <w:rsid w:val="0080510B"/>
    <w:rsid w:val="00805173"/>
    <w:rsid w:val="008051B1"/>
    <w:rsid w:val="008051C0"/>
    <w:rsid w:val="00805229"/>
    <w:rsid w:val="0080524D"/>
    <w:rsid w:val="00805253"/>
    <w:rsid w:val="0080537B"/>
    <w:rsid w:val="00805542"/>
    <w:rsid w:val="00805630"/>
    <w:rsid w:val="008056A1"/>
    <w:rsid w:val="0080571B"/>
    <w:rsid w:val="0080582A"/>
    <w:rsid w:val="0080593F"/>
    <w:rsid w:val="008059A3"/>
    <w:rsid w:val="00805A15"/>
    <w:rsid w:val="00805C9E"/>
    <w:rsid w:val="00805D5C"/>
    <w:rsid w:val="00805D71"/>
    <w:rsid w:val="00805DE8"/>
    <w:rsid w:val="00805EFD"/>
    <w:rsid w:val="00806215"/>
    <w:rsid w:val="008063EE"/>
    <w:rsid w:val="0080645E"/>
    <w:rsid w:val="008064D2"/>
    <w:rsid w:val="008067C1"/>
    <w:rsid w:val="008067F5"/>
    <w:rsid w:val="0080686C"/>
    <w:rsid w:val="008068D4"/>
    <w:rsid w:val="00806BC4"/>
    <w:rsid w:val="00806C01"/>
    <w:rsid w:val="00806F08"/>
    <w:rsid w:val="008072A0"/>
    <w:rsid w:val="0080746A"/>
    <w:rsid w:val="008076FC"/>
    <w:rsid w:val="00807775"/>
    <w:rsid w:val="008077A3"/>
    <w:rsid w:val="00807A9C"/>
    <w:rsid w:val="00807C4B"/>
    <w:rsid w:val="00807DB1"/>
    <w:rsid w:val="0081006C"/>
    <w:rsid w:val="008100C1"/>
    <w:rsid w:val="008101A4"/>
    <w:rsid w:val="00810272"/>
    <w:rsid w:val="00810654"/>
    <w:rsid w:val="008108BA"/>
    <w:rsid w:val="008109E8"/>
    <w:rsid w:val="008109EE"/>
    <w:rsid w:val="00810C74"/>
    <w:rsid w:val="00810D66"/>
    <w:rsid w:val="00810EA0"/>
    <w:rsid w:val="00810F6E"/>
    <w:rsid w:val="0081137B"/>
    <w:rsid w:val="00811402"/>
    <w:rsid w:val="00811413"/>
    <w:rsid w:val="00811559"/>
    <w:rsid w:val="008115B2"/>
    <w:rsid w:val="0081162F"/>
    <w:rsid w:val="00811768"/>
    <w:rsid w:val="0081179F"/>
    <w:rsid w:val="0081190A"/>
    <w:rsid w:val="00811A87"/>
    <w:rsid w:val="00811BCA"/>
    <w:rsid w:val="00811C0D"/>
    <w:rsid w:val="00811D82"/>
    <w:rsid w:val="00811F11"/>
    <w:rsid w:val="00811F2C"/>
    <w:rsid w:val="008121CE"/>
    <w:rsid w:val="00812241"/>
    <w:rsid w:val="00812725"/>
    <w:rsid w:val="0081292B"/>
    <w:rsid w:val="00812AF8"/>
    <w:rsid w:val="00812B8B"/>
    <w:rsid w:val="00812CC7"/>
    <w:rsid w:val="00812CCF"/>
    <w:rsid w:val="00812D78"/>
    <w:rsid w:val="00812D7A"/>
    <w:rsid w:val="00812E16"/>
    <w:rsid w:val="00812FB9"/>
    <w:rsid w:val="00812FD2"/>
    <w:rsid w:val="008130CF"/>
    <w:rsid w:val="0081314D"/>
    <w:rsid w:val="00813213"/>
    <w:rsid w:val="00813229"/>
    <w:rsid w:val="00813388"/>
    <w:rsid w:val="008134D1"/>
    <w:rsid w:val="0081363B"/>
    <w:rsid w:val="00813664"/>
    <w:rsid w:val="00813996"/>
    <w:rsid w:val="00813A42"/>
    <w:rsid w:val="00813EB8"/>
    <w:rsid w:val="00813F07"/>
    <w:rsid w:val="00813F4C"/>
    <w:rsid w:val="008142EA"/>
    <w:rsid w:val="00814452"/>
    <w:rsid w:val="00814588"/>
    <w:rsid w:val="00814711"/>
    <w:rsid w:val="00814791"/>
    <w:rsid w:val="00814993"/>
    <w:rsid w:val="00814BC4"/>
    <w:rsid w:val="008153CC"/>
    <w:rsid w:val="00815479"/>
    <w:rsid w:val="008154EC"/>
    <w:rsid w:val="008155D9"/>
    <w:rsid w:val="0081578F"/>
    <w:rsid w:val="008157C2"/>
    <w:rsid w:val="008158A3"/>
    <w:rsid w:val="008158D0"/>
    <w:rsid w:val="008159CE"/>
    <w:rsid w:val="00815B60"/>
    <w:rsid w:val="00815E0D"/>
    <w:rsid w:val="00815E41"/>
    <w:rsid w:val="00815F65"/>
    <w:rsid w:val="00816030"/>
    <w:rsid w:val="0081623C"/>
    <w:rsid w:val="008167E9"/>
    <w:rsid w:val="00816B9D"/>
    <w:rsid w:val="00816CC9"/>
    <w:rsid w:val="00816D09"/>
    <w:rsid w:val="00816FEB"/>
    <w:rsid w:val="00817044"/>
    <w:rsid w:val="008170F5"/>
    <w:rsid w:val="00817147"/>
    <w:rsid w:val="008174D3"/>
    <w:rsid w:val="008176E9"/>
    <w:rsid w:val="008177FD"/>
    <w:rsid w:val="008179CE"/>
    <w:rsid w:val="00817AB9"/>
    <w:rsid w:val="00817B74"/>
    <w:rsid w:val="00817E61"/>
    <w:rsid w:val="00817F0F"/>
    <w:rsid w:val="008201D4"/>
    <w:rsid w:val="0082027C"/>
    <w:rsid w:val="008202AE"/>
    <w:rsid w:val="0082030D"/>
    <w:rsid w:val="008209CA"/>
    <w:rsid w:val="00820C27"/>
    <w:rsid w:val="00820D1C"/>
    <w:rsid w:val="00820DB5"/>
    <w:rsid w:val="00820DD6"/>
    <w:rsid w:val="00820E75"/>
    <w:rsid w:val="00820E7E"/>
    <w:rsid w:val="00820E9A"/>
    <w:rsid w:val="00821023"/>
    <w:rsid w:val="0082130B"/>
    <w:rsid w:val="0082197F"/>
    <w:rsid w:val="00821CDA"/>
    <w:rsid w:val="00821CF8"/>
    <w:rsid w:val="00821DC7"/>
    <w:rsid w:val="00821E3B"/>
    <w:rsid w:val="0082236B"/>
    <w:rsid w:val="0082237A"/>
    <w:rsid w:val="008223F4"/>
    <w:rsid w:val="0082256B"/>
    <w:rsid w:val="0082263F"/>
    <w:rsid w:val="00822879"/>
    <w:rsid w:val="0082294C"/>
    <w:rsid w:val="0082296F"/>
    <w:rsid w:val="00822AA2"/>
    <w:rsid w:val="00822D3B"/>
    <w:rsid w:val="00822D7B"/>
    <w:rsid w:val="00822E57"/>
    <w:rsid w:val="00823230"/>
    <w:rsid w:val="008232D8"/>
    <w:rsid w:val="0082330A"/>
    <w:rsid w:val="0082339E"/>
    <w:rsid w:val="0082359D"/>
    <w:rsid w:val="00823644"/>
    <w:rsid w:val="008238A4"/>
    <w:rsid w:val="00823A6C"/>
    <w:rsid w:val="00823D6D"/>
    <w:rsid w:val="00823D71"/>
    <w:rsid w:val="008241F7"/>
    <w:rsid w:val="008242ED"/>
    <w:rsid w:val="00824463"/>
    <w:rsid w:val="008244AC"/>
    <w:rsid w:val="008244DB"/>
    <w:rsid w:val="0082466B"/>
    <w:rsid w:val="00824761"/>
    <w:rsid w:val="00824765"/>
    <w:rsid w:val="00824882"/>
    <w:rsid w:val="00824D24"/>
    <w:rsid w:val="00824E31"/>
    <w:rsid w:val="00824EAB"/>
    <w:rsid w:val="00824ED3"/>
    <w:rsid w:val="00825106"/>
    <w:rsid w:val="008256A0"/>
    <w:rsid w:val="008257B2"/>
    <w:rsid w:val="00825805"/>
    <w:rsid w:val="008258B0"/>
    <w:rsid w:val="0082592F"/>
    <w:rsid w:val="008259A4"/>
    <w:rsid w:val="008262B7"/>
    <w:rsid w:val="00826355"/>
    <w:rsid w:val="008263B5"/>
    <w:rsid w:val="008264F2"/>
    <w:rsid w:val="00826563"/>
    <w:rsid w:val="0082658F"/>
    <w:rsid w:val="008267FB"/>
    <w:rsid w:val="00826899"/>
    <w:rsid w:val="008268BA"/>
    <w:rsid w:val="008268C4"/>
    <w:rsid w:val="008269CD"/>
    <w:rsid w:val="00826EA3"/>
    <w:rsid w:val="0082712A"/>
    <w:rsid w:val="008271E0"/>
    <w:rsid w:val="008271FD"/>
    <w:rsid w:val="00827280"/>
    <w:rsid w:val="008273DF"/>
    <w:rsid w:val="00827454"/>
    <w:rsid w:val="008275F3"/>
    <w:rsid w:val="0082786F"/>
    <w:rsid w:val="0082788B"/>
    <w:rsid w:val="008278F5"/>
    <w:rsid w:val="008279CE"/>
    <w:rsid w:val="00827BB3"/>
    <w:rsid w:val="00827BB5"/>
    <w:rsid w:val="00827C94"/>
    <w:rsid w:val="00827EA7"/>
    <w:rsid w:val="00827EC9"/>
    <w:rsid w:val="008300F4"/>
    <w:rsid w:val="00830426"/>
    <w:rsid w:val="00830590"/>
    <w:rsid w:val="00830AE8"/>
    <w:rsid w:val="00830D7E"/>
    <w:rsid w:val="00830E03"/>
    <w:rsid w:val="00830ECF"/>
    <w:rsid w:val="00830F0D"/>
    <w:rsid w:val="00830F86"/>
    <w:rsid w:val="00830FB3"/>
    <w:rsid w:val="00831149"/>
    <w:rsid w:val="008314BB"/>
    <w:rsid w:val="008316E6"/>
    <w:rsid w:val="00831939"/>
    <w:rsid w:val="008319AD"/>
    <w:rsid w:val="00831E3E"/>
    <w:rsid w:val="00831FFE"/>
    <w:rsid w:val="008320C0"/>
    <w:rsid w:val="00832286"/>
    <w:rsid w:val="00832381"/>
    <w:rsid w:val="0083254D"/>
    <w:rsid w:val="00832610"/>
    <w:rsid w:val="0083265D"/>
    <w:rsid w:val="00832868"/>
    <w:rsid w:val="00832901"/>
    <w:rsid w:val="008329DB"/>
    <w:rsid w:val="008329E6"/>
    <w:rsid w:val="00832BF5"/>
    <w:rsid w:val="00832D5B"/>
    <w:rsid w:val="00832FFC"/>
    <w:rsid w:val="00833030"/>
    <w:rsid w:val="008330E2"/>
    <w:rsid w:val="00833235"/>
    <w:rsid w:val="00833273"/>
    <w:rsid w:val="00833376"/>
    <w:rsid w:val="008333B1"/>
    <w:rsid w:val="008333BC"/>
    <w:rsid w:val="0083355C"/>
    <w:rsid w:val="0083357F"/>
    <w:rsid w:val="00833600"/>
    <w:rsid w:val="0083364E"/>
    <w:rsid w:val="008337E4"/>
    <w:rsid w:val="00833B50"/>
    <w:rsid w:val="00833D85"/>
    <w:rsid w:val="00833DC3"/>
    <w:rsid w:val="00833DFC"/>
    <w:rsid w:val="00833E76"/>
    <w:rsid w:val="00833F23"/>
    <w:rsid w:val="00834045"/>
    <w:rsid w:val="008341C5"/>
    <w:rsid w:val="00834335"/>
    <w:rsid w:val="00834678"/>
    <w:rsid w:val="008346CF"/>
    <w:rsid w:val="008347DF"/>
    <w:rsid w:val="00834966"/>
    <w:rsid w:val="00834BB6"/>
    <w:rsid w:val="00834CD3"/>
    <w:rsid w:val="00834DE3"/>
    <w:rsid w:val="00834DEE"/>
    <w:rsid w:val="0083508C"/>
    <w:rsid w:val="00835144"/>
    <w:rsid w:val="008351D7"/>
    <w:rsid w:val="008351E0"/>
    <w:rsid w:val="00835251"/>
    <w:rsid w:val="008352DD"/>
    <w:rsid w:val="0083532B"/>
    <w:rsid w:val="0083532F"/>
    <w:rsid w:val="0083576A"/>
    <w:rsid w:val="0083577B"/>
    <w:rsid w:val="008357E2"/>
    <w:rsid w:val="008358B2"/>
    <w:rsid w:val="00835BD6"/>
    <w:rsid w:val="00835DA3"/>
    <w:rsid w:val="00835DE5"/>
    <w:rsid w:val="00835DF3"/>
    <w:rsid w:val="00836003"/>
    <w:rsid w:val="008360F6"/>
    <w:rsid w:val="00836153"/>
    <w:rsid w:val="00836221"/>
    <w:rsid w:val="008363DD"/>
    <w:rsid w:val="00836434"/>
    <w:rsid w:val="008367C4"/>
    <w:rsid w:val="00836C1F"/>
    <w:rsid w:val="00836C73"/>
    <w:rsid w:val="00836D06"/>
    <w:rsid w:val="00837009"/>
    <w:rsid w:val="008370E7"/>
    <w:rsid w:val="008371FE"/>
    <w:rsid w:val="00837353"/>
    <w:rsid w:val="00837444"/>
    <w:rsid w:val="008375A0"/>
    <w:rsid w:val="00837774"/>
    <w:rsid w:val="00837836"/>
    <w:rsid w:val="0083788A"/>
    <w:rsid w:val="0083795C"/>
    <w:rsid w:val="00837A9C"/>
    <w:rsid w:val="00837D94"/>
    <w:rsid w:val="00837DF6"/>
    <w:rsid w:val="00840088"/>
    <w:rsid w:val="008400D1"/>
    <w:rsid w:val="00840483"/>
    <w:rsid w:val="0084062A"/>
    <w:rsid w:val="00840974"/>
    <w:rsid w:val="00840B07"/>
    <w:rsid w:val="00840B1F"/>
    <w:rsid w:val="00840CEA"/>
    <w:rsid w:val="00840E28"/>
    <w:rsid w:val="00840EEE"/>
    <w:rsid w:val="00840EF9"/>
    <w:rsid w:val="00840F6D"/>
    <w:rsid w:val="00840FC9"/>
    <w:rsid w:val="008411AA"/>
    <w:rsid w:val="0084139B"/>
    <w:rsid w:val="0084149D"/>
    <w:rsid w:val="00841604"/>
    <w:rsid w:val="008417ED"/>
    <w:rsid w:val="00841B60"/>
    <w:rsid w:val="00841CCE"/>
    <w:rsid w:val="00841D0C"/>
    <w:rsid w:val="00841D8E"/>
    <w:rsid w:val="00841DE6"/>
    <w:rsid w:val="00841E67"/>
    <w:rsid w:val="00841E6C"/>
    <w:rsid w:val="00841E91"/>
    <w:rsid w:val="008422BF"/>
    <w:rsid w:val="00842569"/>
    <w:rsid w:val="0084279F"/>
    <w:rsid w:val="00842A19"/>
    <w:rsid w:val="00842A4D"/>
    <w:rsid w:val="00842A90"/>
    <w:rsid w:val="00842BAD"/>
    <w:rsid w:val="00842C1A"/>
    <w:rsid w:val="00842DDE"/>
    <w:rsid w:val="00842DED"/>
    <w:rsid w:val="00842E61"/>
    <w:rsid w:val="0084307F"/>
    <w:rsid w:val="00843273"/>
    <w:rsid w:val="008433BB"/>
    <w:rsid w:val="00843605"/>
    <w:rsid w:val="00843829"/>
    <w:rsid w:val="00843830"/>
    <w:rsid w:val="008439C4"/>
    <w:rsid w:val="00843AB2"/>
    <w:rsid w:val="00843E0A"/>
    <w:rsid w:val="00843E2F"/>
    <w:rsid w:val="00843E4F"/>
    <w:rsid w:val="00843F4D"/>
    <w:rsid w:val="00844021"/>
    <w:rsid w:val="00844033"/>
    <w:rsid w:val="0084418D"/>
    <w:rsid w:val="008441A5"/>
    <w:rsid w:val="00844231"/>
    <w:rsid w:val="008444AB"/>
    <w:rsid w:val="00844584"/>
    <w:rsid w:val="00844793"/>
    <w:rsid w:val="00844C1B"/>
    <w:rsid w:val="00844C62"/>
    <w:rsid w:val="00844C8D"/>
    <w:rsid w:val="00844F65"/>
    <w:rsid w:val="00844FD5"/>
    <w:rsid w:val="00845030"/>
    <w:rsid w:val="00845134"/>
    <w:rsid w:val="00845218"/>
    <w:rsid w:val="00845288"/>
    <w:rsid w:val="008452D8"/>
    <w:rsid w:val="0084582A"/>
    <w:rsid w:val="00845CB8"/>
    <w:rsid w:val="00845E4C"/>
    <w:rsid w:val="00845E4F"/>
    <w:rsid w:val="00845E9C"/>
    <w:rsid w:val="00845F55"/>
    <w:rsid w:val="00845F7E"/>
    <w:rsid w:val="00845F99"/>
    <w:rsid w:val="00846112"/>
    <w:rsid w:val="00846196"/>
    <w:rsid w:val="008461AF"/>
    <w:rsid w:val="00846229"/>
    <w:rsid w:val="008466CE"/>
    <w:rsid w:val="00846E71"/>
    <w:rsid w:val="0084730D"/>
    <w:rsid w:val="00847512"/>
    <w:rsid w:val="00847813"/>
    <w:rsid w:val="00847828"/>
    <w:rsid w:val="00847837"/>
    <w:rsid w:val="008478B8"/>
    <w:rsid w:val="008478D7"/>
    <w:rsid w:val="00847C8A"/>
    <w:rsid w:val="00847DB9"/>
    <w:rsid w:val="00847E39"/>
    <w:rsid w:val="00847E44"/>
    <w:rsid w:val="00847EBE"/>
    <w:rsid w:val="00847ED6"/>
    <w:rsid w:val="0085005A"/>
    <w:rsid w:val="0085009B"/>
    <w:rsid w:val="008500E2"/>
    <w:rsid w:val="0085011F"/>
    <w:rsid w:val="008501C9"/>
    <w:rsid w:val="00850330"/>
    <w:rsid w:val="008503BE"/>
    <w:rsid w:val="008504BF"/>
    <w:rsid w:val="008504EB"/>
    <w:rsid w:val="00850803"/>
    <w:rsid w:val="00850B70"/>
    <w:rsid w:val="00850C6F"/>
    <w:rsid w:val="00850D96"/>
    <w:rsid w:val="00851189"/>
    <w:rsid w:val="008511E2"/>
    <w:rsid w:val="0085144C"/>
    <w:rsid w:val="0085145B"/>
    <w:rsid w:val="008514A5"/>
    <w:rsid w:val="008515C0"/>
    <w:rsid w:val="00851642"/>
    <w:rsid w:val="00851757"/>
    <w:rsid w:val="008518EC"/>
    <w:rsid w:val="008519C9"/>
    <w:rsid w:val="00851ADD"/>
    <w:rsid w:val="00851B3F"/>
    <w:rsid w:val="00851EED"/>
    <w:rsid w:val="00851EF1"/>
    <w:rsid w:val="0085208A"/>
    <w:rsid w:val="0085231B"/>
    <w:rsid w:val="00852462"/>
    <w:rsid w:val="008527C6"/>
    <w:rsid w:val="008527E0"/>
    <w:rsid w:val="008528D3"/>
    <w:rsid w:val="00852B56"/>
    <w:rsid w:val="00852B8A"/>
    <w:rsid w:val="00852D1C"/>
    <w:rsid w:val="00852D21"/>
    <w:rsid w:val="00852F35"/>
    <w:rsid w:val="0085320D"/>
    <w:rsid w:val="00853511"/>
    <w:rsid w:val="00853626"/>
    <w:rsid w:val="008536A5"/>
    <w:rsid w:val="008536D0"/>
    <w:rsid w:val="00853728"/>
    <w:rsid w:val="0085378E"/>
    <w:rsid w:val="00853874"/>
    <w:rsid w:val="00853885"/>
    <w:rsid w:val="00853AE2"/>
    <w:rsid w:val="00853EC5"/>
    <w:rsid w:val="00853F84"/>
    <w:rsid w:val="00854068"/>
    <w:rsid w:val="0085420E"/>
    <w:rsid w:val="0085421B"/>
    <w:rsid w:val="0085423D"/>
    <w:rsid w:val="00854616"/>
    <w:rsid w:val="008547DB"/>
    <w:rsid w:val="00854846"/>
    <w:rsid w:val="00854B3B"/>
    <w:rsid w:val="00854C69"/>
    <w:rsid w:val="00854DA6"/>
    <w:rsid w:val="00854E8F"/>
    <w:rsid w:val="00855083"/>
    <w:rsid w:val="008551A4"/>
    <w:rsid w:val="00855361"/>
    <w:rsid w:val="0085550C"/>
    <w:rsid w:val="008556B1"/>
    <w:rsid w:val="00855B9D"/>
    <w:rsid w:val="00855D0A"/>
    <w:rsid w:val="00855D2C"/>
    <w:rsid w:val="00855D68"/>
    <w:rsid w:val="00855D84"/>
    <w:rsid w:val="00855E60"/>
    <w:rsid w:val="00855F88"/>
    <w:rsid w:val="00856082"/>
    <w:rsid w:val="008560AC"/>
    <w:rsid w:val="008560BD"/>
    <w:rsid w:val="008563A0"/>
    <w:rsid w:val="008563B2"/>
    <w:rsid w:val="00856412"/>
    <w:rsid w:val="008566E5"/>
    <w:rsid w:val="008566F4"/>
    <w:rsid w:val="0085679F"/>
    <w:rsid w:val="00856947"/>
    <w:rsid w:val="00856AD7"/>
    <w:rsid w:val="00856AE0"/>
    <w:rsid w:val="00856BA7"/>
    <w:rsid w:val="00856E51"/>
    <w:rsid w:val="008570E0"/>
    <w:rsid w:val="008571A6"/>
    <w:rsid w:val="0085736A"/>
    <w:rsid w:val="00857596"/>
    <w:rsid w:val="008576D1"/>
    <w:rsid w:val="008576ED"/>
    <w:rsid w:val="008577AA"/>
    <w:rsid w:val="00857831"/>
    <w:rsid w:val="0085783C"/>
    <w:rsid w:val="00857A33"/>
    <w:rsid w:val="00857A4A"/>
    <w:rsid w:val="00857E56"/>
    <w:rsid w:val="00857F0B"/>
    <w:rsid w:val="00860249"/>
    <w:rsid w:val="0086027C"/>
    <w:rsid w:val="008603CE"/>
    <w:rsid w:val="00860684"/>
    <w:rsid w:val="008607B8"/>
    <w:rsid w:val="008607E8"/>
    <w:rsid w:val="00860849"/>
    <w:rsid w:val="00860897"/>
    <w:rsid w:val="008608D0"/>
    <w:rsid w:val="008608E8"/>
    <w:rsid w:val="0086099F"/>
    <w:rsid w:val="00860ABB"/>
    <w:rsid w:val="00860B9A"/>
    <w:rsid w:val="00860F92"/>
    <w:rsid w:val="008610D0"/>
    <w:rsid w:val="0086127B"/>
    <w:rsid w:val="00861450"/>
    <w:rsid w:val="0086152E"/>
    <w:rsid w:val="008615E0"/>
    <w:rsid w:val="008616EC"/>
    <w:rsid w:val="00861772"/>
    <w:rsid w:val="0086184B"/>
    <w:rsid w:val="00861855"/>
    <w:rsid w:val="008619B3"/>
    <w:rsid w:val="00861C75"/>
    <w:rsid w:val="00861CE9"/>
    <w:rsid w:val="00861D6C"/>
    <w:rsid w:val="00861F86"/>
    <w:rsid w:val="008620C0"/>
    <w:rsid w:val="008621F6"/>
    <w:rsid w:val="008622A6"/>
    <w:rsid w:val="008623EE"/>
    <w:rsid w:val="008624C0"/>
    <w:rsid w:val="00862696"/>
    <w:rsid w:val="008627D2"/>
    <w:rsid w:val="00862930"/>
    <w:rsid w:val="00862AC3"/>
    <w:rsid w:val="00862C42"/>
    <w:rsid w:val="00862D7B"/>
    <w:rsid w:val="00862D7C"/>
    <w:rsid w:val="00863108"/>
    <w:rsid w:val="0086315B"/>
    <w:rsid w:val="00863341"/>
    <w:rsid w:val="0086336C"/>
    <w:rsid w:val="00863488"/>
    <w:rsid w:val="008634CD"/>
    <w:rsid w:val="00863568"/>
    <w:rsid w:val="00863855"/>
    <w:rsid w:val="00863A3D"/>
    <w:rsid w:val="00863BB7"/>
    <w:rsid w:val="00863CA4"/>
    <w:rsid w:val="00863D20"/>
    <w:rsid w:val="00863EA5"/>
    <w:rsid w:val="00863EAA"/>
    <w:rsid w:val="00863EF2"/>
    <w:rsid w:val="008640B3"/>
    <w:rsid w:val="008640C2"/>
    <w:rsid w:val="0086416D"/>
    <w:rsid w:val="00864184"/>
    <w:rsid w:val="0086427D"/>
    <w:rsid w:val="00864344"/>
    <w:rsid w:val="00864381"/>
    <w:rsid w:val="00864442"/>
    <w:rsid w:val="00864554"/>
    <w:rsid w:val="008645A7"/>
    <w:rsid w:val="00864931"/>
    <w:rsid w:val="00864B11"/>
    <w:rsid w:val="00864B8A"/>
    <w:rsid w:val="00864BFD"/>
    <w:rsid w:val="00864C55"/>
    <w:rsid w:val="00864CF2"/>
    <w:rsid w:val="00864D9E"/>
    <w:rsid w:val="00864DBC"/>
    <w:rsid w:val="00864F8E"/>
    <w:rsid w:val="00864FB0"/>
    <w:rsid w:val="00865033"/>
    <w:rsid w:val="00865119"/>
    <w:rsid w:val="00865378"/>
    <w:rsid w:val="008653BC"/>
    <w:rsid w:val="008656F5"/>
    <w:rsid w:val="00865807"/>
    <w:rsid w:val="00865865"/>
    <w:rsid w:val="008658BB"/>
    <w:rsid w:val="00865A57"/>
    <w:rsid w:val="00865B48"/>
    <w:rsid w:val="00865B55"/>
    <w:rsid w:val="00865D7B"/>
    <w:rsid w:val="00865EA4"/>
    <w:rsid w:val="00865F1A"/>
    <w:rsid w:val="008662C8"/>
    <w:rsid w:val="008662CB"/>
    <w:rsid w:val="00866349"/>
    <w:rsid w:val="008663BF"/>
    <w:rsid w:val="008665C8"/>
    <w:rsid w:val="0086664B"/>
    <w:rsid w:val="008666AC"/>
    <w:rsid w:val="008667F7"/>
    <w:rsid w:val="00866801"/>
    <w:rsid w:val="00866975"/>
    <w:rsid w:val="00866B73"/>
    <w:rsid w:val="00866E68"/>
    <w:rsid w:val="00866F54"/>
    <w:rsid w:val="00866F59"/>
    <w:rsid w:val="0086701D"/>
    <w:rsid w:val="008670F7"/>
    <w:rsid w:val="00867171"/>
    <w:rsid w:val="0086724C"/>
    <w:rsid w:val="008673FE"/>
    <w:rsid w:val="00867443"/>
    <w:rsid w:val="00867458"/>
    <w:rsid w:val="00867542"/>
    <w:rsid w:val="00867A8A"/>
    <w:rsid w:val="00867ABE"/>
    <w:rsid w:val="00867C01"/>
    <w:rsid w:val="00867C2A"/>
    <w:rsid w:val="00867C39"/>
    <w:rsid w:val="00867ECF"/>
    <w:rsid w:val="00870239"/>
    <w:rsid w:val="008702C3"/>
    <w:rsid w:val="008703BA"/>
    <w:rsid w:val="00870462"/>
    <w:rsid w:val="008704D2"/>
    <w:rsid w:val="00870581"/>
    <w:rsid w:val="00870A24"/>
    <w:rsid w:val="00870AAB"/>
    <w:rsid w:val="00870FCD"/>
    <w:rsid w:val="0087133E"/>
    <w:rsid w:val="00871409"/>
    <w:rsid w:val="008714EB"/>
    <w:rsid w:val="00871638"/>
    <w:rsid w:val="00871708"/>
    <w:rsid w:val="00871EFD"/>
    <w:rsid w:val="00872005"/>
    <w:rsid w:val="008721F7"/>
    <w:rsid w:val="0087228B"/>
    <w:rsid w:val="00872604"/>
    <w:rsid w:val="008726AB"/>
    <w:rsid w:val="008726B5"/>
    <w:rsid w:val="0087282B"/>
    <w:rsid w:val="008728AA"/>
    <w:rsid w:val="008729FF"/>
    <w:rsid w:val="00872A4F"/>
    <w:rsid w:val="00872B86"/>
    <w:rsid w:val="008731EA"/>
    <w:rsid w:val="008732BF"/>
    <w:rsid w:val="00873371"/>
    <w:rsid w:val="0087384C"/>
    <w:rsid w:val="00873A95"/>
    <w:rsid w:val="00873B52"/>
    <w:rsid w:val="00873B89"/>
    <w:rsid w:val="00873C30"/>
    <w:rsid w:val="00873D25"/>
    <w:rsid w:val="00873EBA"/>
    <w:rsid w:val="00873EF2"/>
    <w:rsid w:val="00873F3C"/>
    <w:rsid w:val="008741B0"/>
    <w:rsid w:val="008741DD"/>
    <w:rsid w:val="00874242"/>
    <w:rsid w:val="00874269"/>
    <w:rsid w:val="00874314"/>
    <w:rsid w:val="0087469B"/>
    <w:rsid w:val="008746AD"/>
    <w:rsid w:val="0087481A"/>
    <w:rsid w:val="00874933"/>
    <w:rsid w:val="00874A54"/>
    <w:rsid w:val="00874B08"/>
    <w:rsid w:val="00874C13"/>
    <w:rsid w:val="00874E5A"/>
    <w:rsid w:val="00874EE5"/>
    <w:rsid w:val="00874F6E"/>
    <w:rsid w:val="00874F79"/>
    <w:rsid w:val="008750D5"/>
    <w:rsid w:val="008752BD"/>
    <w:rsid w:val="00875385"/>
    <w:rsid w:val="0087540E"/>
    <w:rsid w:val="00875968"/>
    <w:rsid w:val="00875B60"/>
    <w:rsid w:val="00875C9D"/>
    <w:rsid w:val="00875DFD"/>
    <w:rsid w:val="00875EAE"/>
    <w:rsid w:val="00875F3C"/>
    <w:rsid w:val="0087614A"/>
    <w:rsid w:val="008763D2"/>
    <w:rsid w:val="008763E1"/>
    <w:rsid w:val="008764FE"/>
    <w:rsid w:val="00876669"/>
    <w:rsid w:val="00876720"/>
    <w:rsid w:val="0087685A"/>
    <w:rsid w:val="00876A29"/>
    <w:rsid w:val="00876BDC"/>
    <w:rsid w:val="00876C2A"/>
    <w:rsid w:val="00876C6B"/>
    <w:rsid w:val="00876E05"/>
    <w:rsid w:val="00876E70"/>
    <w:rsid w:val="00876FB5"/>
    <w:rsid w:val="008770A1"/>
    <w:rsid w:val="008770E4"/>
    <w:rsid w:val="008775D2"/>
    <w:rsid w:val="0087776C"/>
    <w:rsid w:val="008777D7"/>
    <w:rsid w:val="008779A9"/>
    <w:rsid w:val="00877B63"/>
    <w:rsid w:val="00877C48"/>
    <w:rsid w:val="00877D80"/>
    <w:rsid w:val="00877DAD"/>
    <w:rsid w:val="00877DC9"/>
    <w:rsid w:val="00877FAB"/>
    <w:rsid w:val="0088002B"/>
    <w:rsid w:val="00880053"/>
    <w:rsid w:val="008801F1"/>
    <w:rsid w:val="00880230"/>
    <w:rsid w:val="008803A5"/>
    <w:rsid w:val="008804BF"/>
    <w:rsid w:val="008805B6"/>
    <w:rsid w:val="00880903"/>
    <w:rsid w:val="0088090E"/>
    <w:rsid w:val="00880C24"/>
    <w:rsid w:val="00880C2D"/>
    <w:rsid w:val="00880D55"/>
    <w:rsid w:val="00880DBE"/>
    <w:rsid w:val="00880F0E"/>
    <w:rsid w:val="00880F25"/>
    <w:rsid w:val="00880FF5"/>
    <w:rsid w:val="00881081"/>
    <w:rsid w:val="008812B3"/>
    <w:rsid w:val="00881352"/>
    <w:rsid w:val="00881550"/>
    <w:rsid w:val="008815AB"/>
    <w:rsid w:val="00881658"/>
    <w:rsid w:val="0088183C"/>
    <w:rsid w:val="0088190D"/>
    <w:rsid w:val="008819E6"/>
    <w:rsid w:val="00881AE8"/>
    <w:rsid w:val="00881B64"/>
    <w:rsid w:val="00881BA6"/>
    <w:rsid w:val="00881C33"/>
    <w:rsid w:val="00881C9D"/>
    <w:rsid w:val="00881FFE"/>
    <w:rsid w:val="0088201C"/>
    <w:rsid w:val="008821CD"/>
    <w:rsid w:val="008823A4"/>
    <w:rsid w:val="0088244B"/>
    <w:rsid w:val="0088246E"/>
    <w:rsid w:val="008827EE"/>
    <w:rsid w:val="00882A88"/>
    <w:rsid w:val="0088329B"/>
    <w:rsid w:val="0088340A"/>
    <w:rsid w:val="008835A4"/>
    <w:rsid w:val="008836A7"/>
    <w:rsid w:val="00883918"/>
    <w:rsid w:val="00883BC4"/>
    <w:rsid w:val="00883BF8"/>
    <w:rsid w:val="00883D8F"/>
    <w:rsid w:val="00883E61"/>
    <w:rsid w:val="00883EA6"/>
    <w:rsid w:val="00883F6D"/>
    <w:rsid w:val="0088409C"/>
    <w:rsid w:val="00884146"/>
    <w:rsid w:val="00884241"/>
    <w:rsid w:val="008843BF"/>
    <w:rsid w:val="00884446"/>
    <w:rsid w:val="008847E9"/>
    <w:rsid w:val="00884849"/>
    <w:rsid w:val="00884884"/>
    <w:rsid w:val="00884906"/>
    <w:rsid w:val="00884967"/>
    <w:rsid w:val="00884B3A"/>
    <w:rsid w:val="00884B8E"/>
    <w:rsid w:val="00884B9E"/>
    <w:rsid w:val="00884CE8"/>
    <w:rsid w:val="00884D5C"/>
    <w:rsid w:val="00884E2C"/>
    <w:rsid w:val="00884F11"/>
    <w:rsid w:val="008851BE"/>
    <w:rsid w:val="008851F5"/>
    <w:rsid w:val="0088527A"/>
    <w:rsid w:val="008852D8"/>
    <w:rsid w:val="008852EC"/>
    <w:rsid w:val="00885377"/>
    <w:rsid w:val="00885470"/>
    <w:rsid w:val="00885567"/>
    <w:rsid w:val="00885692"/>
    <w:rsid w:val="00885891"/>
    <w:rsid w:val="00885A6E"/>
    <w:rsid w:val="00885AF6"/>
    <w:rsid w:val="00885FB8"/>
    <w:rsid w:val="00886067"/>
    <w:rsid w:val="00886151"/>
    <w:rsid w:val="008862E4"/>
    <w:rsid w:val="0088631C"/>
    <w:rsid w:val="008864CA"/>
    <w:rsid w:val="0088662E"/>
    <w:rsid w:val="00886737"/>
    <w:rsid w:val="008869B6"/>
    <w:rsid w:val="00886AA5"/>
    <w:rsid w:val="00886DB8"/>
    <w:rsid w:val="00886EA5"/>
    <w:rsid w:val="00886EC0"/>
    <w:rsid w:val="00886F74"/>
    <w:rsid w:val="008870FD"/>
    <w:rsid w:val="00887430"/>
    <w:rsid w:val="008874BC"/>
    <w:rsid w:val="00887626"/>
    <w:rsid w:val="008876E1"/>
    <w:rsid w:val="0088787B"/>
    <w:rsid w:val="00887989"/>
    <w:rsid w:val="00887A0A"/>
    <w:rsid w:val="00887A51"/>
    <w:rsid w:val="00887B11"/>
    <w:rsid w:val="00887D4E"/>
    <w:rsid w:val="00887F1F"/>
    <w:rsid w:val="00887F46"/>
    <w:rsid w:val="00887FC0"/>
    <w:rsid w:val="0089004B"/>
    <w:rsid w:val="008901F6"/>
    <w:rsid w:val="00890269"/>
    <w:rsid w:val="008904B0"/>
    <w:rsid w:val="00890803"/>
    <w:rsid w:val="00890BE4"/>
    <w:rsid w:val="00890CCD"/>
    <w:rsid w:val="00890D12"/>
    <w:rsid w:val="00890F5F"/>
    <w:rsid w:val="00891095"/>
    <w:rsid w:val="00891398"/>
    <w:rsid w:val="0089155B"/>
    <w:rsid w:val="0089168A"/>
    <w:rsid w:val="00891693"/>
    <w:rsid w:val="0089174C"/>
    <w:rsid w:val="00891867"/>
    <w:rsid w:val="0089187F"/>
    <w:rsid w:val="00891CBB"/>
    <w:rsid w:val="00891E08"/>
    <w:rsid w:val="00891FBA"/>
    <w:rsid w:val="00891FF8"/>
    <w:rsid w:val="008920AC"/>
    <w:rsid w:val="008920F3"/>
    <w:rsid w:val="00892101"/>
    <w:rsid w:val="008921A1"/>
    <w:rsid w:val="0089224F"/>
    <w:rsid w:val="00892398"/>
    <w:rsid w:val="008923FE"/>
    <w:rsid w:val="00892440"/>
    <w:rsid w:val="008924D2"/>
    <w:rsid w:val="00892792"/>
    <w:rsid w:val="008927DF"/>
    <w:rsid w:val="00892C02"/>
    <w:rsid w:val="00892C17"/>
    <w:rsid w:val="00892CBC"/>
    <w:rsid w:val="00892D77"/>
    <w:rsid w:val="00892DCD"/>
    <w:rsid w:val="00892F25"/>
    <w:rsid w:val="00892F49"/>
    <w:rsid w:val="00892F86"/>
    <w:rsid w:val="008932C9"/>
    <w:rsid w:val="0089337C"/>
    <w:rsid w:val="008933A4"/>
    <w:rsid w:val="00893511"/>
    <w:rsid w:val="00893548"/>
    <w:rsid w:val="0089355B"/>
    <w:rsid w:val="008935F1"/>
    <w:rsid w:val="00893894"/>
    <w:rsid w:val="00893A85"/>
    <w:rsid w:val="00893A87"/>
    <w:rsid w:val="00893BB8"/>
    <w:rsid w:val="00893E0B"/>
    <w:rsid w:val="00893EFC"/>
    <w:rsid w:val="008940B9"/>
    <w:rsid w:val="008946EB"/>
    <w:rsid w:val="00894903"/>
    <w:rsid w:val="00894913"/>
    <w:rsid w:val="008949B3"/>
    <w:rsid w:val="00894C8F"/>
    <w:rsid w:val="00894D5C"/>
    <w:rsid w:val="00894F9A"/>
    <w:rsid w:val="00895076"/>
    <w:rsid w:val="0089514F"/>
    <w:rsid w:val="0089522E"/>
    <w:rsid w:val="008952AC"/>
    <w:rsid w:val="008958D6"/>
    <w:rsid w:val="008958EA"/>
    <w:rsid w:val="0089599A"/>
    <w:rsid w:val="008959A4"/>
    <w:rsid w:val="00895A25"/>
    <w:rsid w:val="00895AA3"/>
    <w:rsid w:val="00895E5E"/>
    <w:rsid w:val="00895EB1"/>
    <w:rsid w:val="00895EE4"/>
    <w:rsid w:val="00895F21"/>
    <w:rsid w:val="00896165"/>
    <w:rsid w:val="00896251"/>
    <w:rsid w:val="0089663E"/>
    <w:rsid w:val="00896870"/>
    <w:rsid w:val="00896917"/>
    <w:rsid w:val="00896A72"/>
    <w:rsid w:val="00896C46"/>
    <w:rsid w:val="00896DCC"/>
    <w:rsid w:val="00896EF0"/>
    <w:rsid w:val="00897338"/>
    <w:rsid w:val="0089734D"/>
    <w:rsid w:val="008977B0"/>
    <w:rsid w:val="00897828"/>
    <w:rsid w:val="00897955"/>
    <w:rsid w:val="008979CB"/>
    <w:rsid w:val="00897A08"/>
    <w:rsid w:val="00897B50"/>
    <w:rsid w:val="00897B6E"/>
    <w:rsid w:val="00897C1F"/>
    <w:rsid w:val="00897C4C"/>
    <w:rsid w:val="008A020C"/>
    <w:rsid w:val="008A0484"/>
    <w:rsid w:val="008A06BF"/>
    <w:rsid w:val="008A0771"/>
    <w:rsid w:val="008A078E"/>
    <w:rsid w:val="008A0A6E"/>
    <w:rsid w:val="008A0B06"/>
    <w:rsid w:val="008A0F20"/>
    <w:rsid w:val="008A0FA0"/>
    <w:rsid w:val="008A0FC5"/>
    <w:rsid w:val="008A1033"/>
    <w:rsid w:val="008A10CE"/>
    <w:rsid w:val="008A1190"/>
    <w:rsid w:val="008A12F3"/>
    <w:rsid w:val="008A1785"/>
    <w:rsid w:val="008A1799"/>
    <w:rsid w:val="008A1931"/>
    <w:rsid w:val="008A1C28"/>
    <w:rsid w:val="008A1FA3"/>
    <w:rsid w:val="008A205A"/>
    <w:rsid w:val="008A20E9"/>
    <w:rsid w:val="008A2174"/>
    <w:rsid w:val="008A21E3"/>
    <w:rsid w:val="008A2656"/>
    <w:rsid w:val="008A26C3"/>
    <w:rsid w:val="008A270D"/>
    <w:rsid w:val="008A28B4"/>
    <w:rsid w:val="008A29AB"/>
    <w:rsid w:val="008A2CEC"/>
    <w:rsid w:val="008A2E12"/>
    <w:rsid w:val="008A2F47"/>
    <w:rsid w:val="008A30F3"/>
    <w:rsid w:val="008A3186"/>
    <w:rsid w:val="008A354E"/>
    <w:rsid w:val="008A367B"/>
    <w:rsid w:val="008A394A"/>
    <w:rsid w:val="008A39AE"/>
    <w:rsid w:val="008A39F6"/>
    <w:rsid w:val="008A3C53"/>
    <w:rsid w:val="008A3D75"/>
    <w:rsid w:val="008A3DE5"/>
    <w:rsid w:val="008A3E19"/>
    <w:rsid w:val="008A4038"/>
    <w:rsid w:val="008A410C"/>
    <w:rsid w:val="008A419C"/>
    <w:rsid w:val="008A432D"/>
    <w:rsid w:val="008A43D3"/>
    <w:rsid w:val="008A4903"/>
    <w:rsid w:val="008A494E"/>
    <w:rsid w:val="008A4A1F"/>
    <w:rsid w:val="008A4BFF"/>
    <w:rsid w:val="008A4D9A"/>
    <w:rsid w:val="008A50FB"/>
    <w:rsid w:val="008A51E7"/>
    <w:rsid w:val="008A526F"/>
    <w:rsid w:val="008A52A2"/>
    <w:rsid w:val="008A5377"/>
    <w:rsid w:val="008A53EE"/>
    <w:rsid w:val="008A54CB"/>
    <w:rsid w:val="008A5746"/>
    <w:rsid w:val="008A579F"/>
    <w:rsid w:val="008A57D3"/>
    <w:rsid w:val="008A58A2"/>
    <w:rsid w:val="008A590F"/>
    <w:rsid w:val="008A5920"/>
    <w:rsid w:val="008A5A37"/>
    <w:rsid w:val="008A5B10"/>
    <w:rsid w:val="008A5B47"/>
    <w:rsid w:val="008A5BE6"/>
    <w:rsid w:val="008A5F96"/>
    <w:rsid w:val="008A613D"/>
    <w:rsid w:val="008A6333"/>
    <w:rsid w:val="008A639B"/>
    <w:rsid w:val="008A64E7"/>
    <w:rsid w:val="008A658B"/>
    <w:rsid w:val="008A6610"/>
    <w:rsid w:val="008A66D3"/>
    <w:rsid w:val="008A66DF"/>
    <w:rsid w:val="008A671B"/>
    <w:rsid w:val="008A6745"/>
    <w:rsid w:val="008A6849"/>
    <w:rsid w:val="008A692B"/>
    <w:rsid w:val="008A6C83"/>
    <w:rsid w:val="008A6DA3"/>
    <w:rsid w:val="008A6E56"/>
    <w:rsid w:val="008A70C7"/>
    <w:rsid w:val="008A70F5"/>
    <w:rsid w:val="008A7192"/>
    <w:rsid w:val="008A71D9"/>
    <w:rsid w:val="008A725E"/>
    <w:rsid w:val="008A737B"/>
    <w:rsid w:val="008A749C"/>
    <w:rsid w:val="008A7679"/>
    <w:rsid w:val="008A77BA"/>
    <w:rsid w:val="008A7850"/>
    <w:rsid w:val="008A7978"/>
    <w:rsid w:val="008A7AD1"/>
    <w:rsid w:val="008A7BA4"/>
    <w:rsid w:val="008A7CA3"/>
    <w:rsid w:val="008A7CDB"/>
    <w:rsid w:val="008A7D93"/>
    <w:rsid w:val="008A7DCC"/>
    <w:rsid w:val="008A7E69"/>
    <w:rsid w:val="008B0036"/>
    <w:rsid w:val="008B009B"/>
    <w:rsid w:val="008B0329"/>
    <w:rsid w:val="008B042B"/>
    <w:rsid w:val="008B04DA"/>
    <w:rsid w:val="008B08E0"/>
    <w:rsid w:val="008B0908"/>
    <w:rsid w:val="008B0B5D"/>
    <w:rsid w:val="008B0C7A"/>
    <w:rsid w:val="008B0CAF"/>
    <w:rsid w:val="008B106D"/>
    <w:rsid w:val="008B10A4"/>
    <w:rsid w:val="008B11D6"/>
    <w:rsid w:val="008B13EA"/>
    <w:rsid w:val="008B1498"/>
    <w:rsid w:val="008B173B"/>
    <w:rsid w:val="008B19C1"/>
    <w:rsid w:val="008B19FA"/>
    <w:rsid w:val="008B1A11"/>
    <w:rsid w:val="008B1AB4"/>
    <w:rsid w:val="008B1B30"/>
    <w:rsid w:val="008B1CBD"/>
    <w:rsid w:val="008B1CDD"/>
    <w:rsid w:val="008B1D2A"/>
    <w:rsid w:val="008B20E6"/>
    <w:rsid w:val="008B210A"/>
    <w:rsid w:val="008B22B9"/>
    <w:rsid w:val="008B244F"/>
    <w:rsid w:val="008B2490"/>
    <w:rsid w:val="008B25AD"/>
    <w:rsid w:val="008B274C"/>
    <w:rsid w:val="008B2962"/>
    <w:rsid w:val="008B29D5"/>
    <w:rsid w:val="008B2A71"/>
    <w:rsid w:val="008B2A92"/>
    <w:rsid w:val="008B2AC9"/>
    <w:rsid w:val="008B2B93"/>
    <w:rsid w:val="008B2D67"/>
    <w:rsid w:val="008B3037"/>
    <w:rsid w:val="008B349E"/>
    <w:rsid w:val="008B3544"/>
    <w:rsid w:val="008B3598"/>
    <w:rsid w:val="008B3A64"/>
    <w:rsid w:val="008B3CE4"/>
    <w:rsid w:val="008B3F51"/>
    <w:rsid w:val="008B3FD5"/>
    <w:rsid w:val="008B40C0"/>
    <w:rsid w:val="008B415A"/>
    <w:rsid w:val="008B4475"/>
    <w:rsid w:val="008B465C"/>
    <w:rsid w:val="008B4864"/>
    <w:rsid w:val="008B490E"/>
    <w:rsid w:val="008B4A79"/>
    <w:rsid w:val="008B4CB2"/>
    <w:rsid w:val="008B4D35"/>
    <w:rsid w:val="008B4E02"/>
    <w:rsid w:val="008B4F65"/>
    <w:rsid w:val="008B5158"/>
    <w:rsid w:val="008B5390"/>
    <w:rsid w:val="008B5497"/>
    <w:rsid w:val="008B55BA"/>
    <w:rsid w:val="008B58B9"/>
    <w:rsid w:val="008B5900"/>
    <w:rsid w:val="008B5965"/>
    <w:rsid w:val="008B59CD"/>
    <w:rsid w:val="008B5A42"/>
    <w:rsid w:val="008B5A89"/>
    <w:rsid w:val="008B5B34"/>
    <w:rsid w:val="008B5BAA"/>
    <w:rsid w:val="008B5BAC"/>
    <w:rsid w:val="008B5C60"/>
    <w:rsid w:val="008B607E"/>
    <w:rsid w:val="008B611D"/>
    <w:rsid w:val="008B61B7"/>
    <w:rsid w:val="008B62B4"/>
    <w:rsid w:val="008B63A8"/>
    <w:rsid w:val="008B6456"/>
    <w:rsid w:val="008B6998"/>
    <w:rsid w:val="008B69A7"/>
    <w:rsid w:val="008B69D6"/>
    <w:rsid w:val="008B6A1F"/>
    <w:rsid w:val="008B6AE8"/>
    <w:rsid w:val="008B6CCD"/>
    <w:rsid w:val="008B6D39"/>
    <w:rsid w:val="008B6EA5"/>
    <w:rsid w:val="008B6EEB"/>
    <w:rsid w:val="008B6FF4"/>
    <w:rsid w:val="008B705F"/>
    <w:rsid w:val="008B7184"/>
    <w:rsid w:val="008B730B"/>
    <w:rsid w:val="008B735E"/>
    <w:rsid w:val="008B7426"/>
    <w:rsid w:val="008B749E"/>
    <w:rsid w:val="008B75B1"/>
    <w:rsid w:val="008B7A2D"/>
    <w:rsid w:val="008B7ABB"/>
    <w:rsid w:val="008B7ACA"/>
    <w:rsid w:val="008B7B92"/>
    <w:rsid w:val="008B7CB0"/>
    <w:rsid w:val="008B7E38"/>
    <w:rsid w:val="008C01B7"/>
    <w:rsid w:val="008C034E"/>
    <w:rsid w:val="008C055F"/>
    <w:rsid w:val="008C0A93"/>
    <w:rsid w:val="008C0ABA"/>
    <w:rsid w:val="008C0B6A"/>
    <w:rsid w:val="008C0C5B"/>
    <w:rsid w:val="008C0D4A"/>
    <w:rsid w:val="008C0DFA"/>
    <w:rsid w:val="008C0E66"/>
    <w:rsid w:val="008C0F8D"/>
    <w:rsid w:val="008C104C"/>
    <w:rsid w:val="008C1229"/>
    <w:rsid w:val="008C12AE"/>
    <w:rsid w:val="008C1387"/>
    <w:rsid w:val="008C13B7"/>
    <w:rsid w:val="008C13E7"/>
    <w:rsid w:val="008C15BE"/>
    <w:rsid w:val="008C1661"/>
    <w:rsid w:val="008C1A34"/>
    <w:rsid w:val="008C1A5A"/>
    <w:rsid w:val="008C1B26"/>
    <w:rsid w:val="008C1B4B"/>
    <w:rsid w:val="008C1B4C"/>
    <w:rsid w:val="008C1B62"/>
    <w:rsid w:val="008C1B90"/>
    <w:rsid w:val="008C1CF7"/>
    <w:rsid w:val="008C1D09"/>
    <w:rsid w:val="008C1E42"/>
    <w:rsid w:val="008C229D"/>
    <w:rsid w:val="008C22A1"/>
    <w:rsid w:val="008C24B7"/>
    <w:rsid w:val="008C275E"/>
    <w:rsid w:val="008C2789"/>
    <w:rsid w:val="008C28F5"/>
    <w:rsid w:val="008C2959"/>
    <w:rsid w:val="008C2B75"/>
    <w:rsid w:val="008C2C63"/>
    <w:rsid w:val="008C2EAB"/>
    <w:rsid w:val="008C2F19"/>
    <w:rsid w:val="008C2FA4"/>
    <w:rsid w:val="008C337C"/>
    <w:rsid w:val="008C3397"/>
    <w:rsid w:val="008C3452"/>
    <w:rsid w:val="008C34FE"/>
    <w:rsid w:val="008C36C8"/>
    <w:rsid w:val="008C373D"/>
    <w:rsid w:val="008C3749"/>
    <w:rsid w:val="008C38F4"/>
    <w:rsid w:val="008C39BA"/>
    <w:rsid w:val="008C39FB"/>
    <w:rsid w:val="008C3A36"/>
    <w:rsid w:val="008C3ABD"/>
    <w:rsid w:val="008C3BFE"/>
    <w:rsid w:val="008C3CA6"/>
    <w:rsid w:val="008C3CAC"/>
    <w:rsid w:val="008C3CD3"/>
    <w:rsid w:val="008C3D9E"/>
    <w:rsid w:val="008C3DB0"/>
    <w:rsid w:val="008C3FB8"/>
    <w:rsid w:val="008C401C"/>
    <w:rsid w:val="008C4052"/>
    <w:rsid w:val="008C40E4"/>
    <w:rsid w:val="008C42D8"/>
    <w:rsid w:val="008C44BE"/>
    <w:rsid w:val="008C4565"/>
    <w:rsid w:val="008C4570"/>
    <w:rsid w:val="008C458A"/>
    <w:rsid w:val="008C4638"/>
    <w:rsid w:val="008C473D"/>
    <w:rsid w:val="008C48D6"/>
    <w:rsid w:val="008C4BDE"/>
    <w:rsid w:val="008C4DAF"/>
    <w:rsid w:val="008C4EF5"/>
    <w:rsid w:val="008C4F06"/>
    <w:rsid w:val="008C4F86"/>
    <w:rsid w:val="008C5004"/>
    <w:rsid w:val="008C50BC"/>
    <w:rsid w:val="008C543C"/>
    <w:rsid w:val="008C5746"/>
    <w:rsid w:val="008C58C2"/>
    <w:rsid w:val="008C58F3"/>
    <w:rsid w:val="008C5A38"/>
    <w:rsid w:val="008C5B6D"/>
    <w:rsid w:val="008C5BD3"/>
    <w:rsid w:val="008C5ECA"/>
    <w:rsid w:val="008C5F99"/>
    <w:rsid w:val="008C6088"/>
    <w:rsid w:val="008C615E"/>
    <w:rsid w:val="008C625C"/>
    <w:rsid w:val="008C6265"/>
    <w:rsid w:val="008C6318"/>
    <w:rsid w:val="008C6571"/>
    <w:rsid w:val="008C667D"/>
    <w:rsid w:val="008C6854"/>
    <w:rsid w:val="008C6916"/>
    <w:rsid w:val="008C6AC3"/>
    <w:rsid w:val="008C6B22"/>
    <w:rsid w:val="008C6BBC"/>
    <w:rsid w:val="008C6E85"/>
    <w:rsid w:val="008C701D"/>
    <w:rsid w:val="008C70B6"/>
    <w:rsid w:val="008C71DA"/>
    <w:rsid w:val="008C71DB"/>
    <w:rsid w:val="008C72D5"/>
    <w:rsid w:val="008C7336"/>
    <w:rsid w:val="008C7423"/>
    <w:rsid w:val="008C776D"/>
    <w:rsid w:val="008C7C6C"/>
    <w:rsid w:val="008C7E92"/>
    <w:rsid w:val="008C7EAF"/>
    <w:rsid w:val="008D0096"/>
    <w:rsid w:val="008D00AD"/>
    <w:rsid w:val="008D0120"/>
    <w:rsid w:val="008D0244"/>
    <w:rsid w:val="008D0446"/>
    <w:rsid w:val="008D04EB"/>
    <w:rsid w:val="008D0A1D"/>
    <w:rsid w:val="008D0D42"/>
    <w:rsid w:val="008D0D88"/>
    <w:rsid w:val="008D0E93"/>
    <w:rsid w:val="008D0F24"/>
    <w:rsid w:val="008D0FDD"/>
    <w:rsid w:val="008D1220"/>
    <w:rsid w:val="008D12B9"/>
    <w:rsid w:val="008D1484"/>
    <w:rsid w:val="008D157A"/>
    <w:rsid w:val="008D17BE"/>
    <w:rsid w:val="008D17FF"/>
    <w:rsid w:val="008D181C"/>
    <w:rsid w:val="008D1867"/>
    <w:rsid w:val="008D1AFC"/>
    <w:rsid w:val="008D1CCB"/>
    <w:rsid w:val="008D24A2"/>
    <w:rsid w:val="008D24DE"/>
    <w:rsid w:val="008D2519"/>
    <w:rsid w:val="008D2623"/>
    <w:rsid w:val="008D26AD"/>
    <w:rsid w:val="008D27E3"/>
    <w:rsid w:val="008D290D"/>
    <w:rsid w:val="008D2B6F"/>
    <w:rsid w:val="008D2CF6"/>
    <w:rsid w:val="008D2D73"/>
    <w:rsid w:val="008D2DB3"/>
    <w:rsid w:val="008D2E4E"/>
    <w:rsid w:val="008D2EF9"/>
    <w:rsid w:val="008D2FB6"/>
    <w:rsid w:val="008D310C"/>
    <w:rsid w:val="008D3145"/>
    <w:rsid w:val="008D3161"/>
    <w:rsid w:val="008D32F9"/>
    <w:rsid w:val="008D3376"/>
    <w:rsid w:val="008D33B7"/>
    <w:rsid w:val="008D33FC"/>
    <w:rsid w:val="008D34B8"/>
    <w:rsid w:val="008D35CA"/>
    <w:rsid w:val="008D3611"/>
    <w:rsid w:val="008D36EC"/>
    <w:rsid w:val="008D36FD"/>
    <w:rsid w:val="008D37C6"/>
    <w:rsid w:val="008D37C8"/>
    <w:rsid w:val="008D38A7"/>
    <w:rsid w:val="008D3995"/>
    <w:rsid w:val="008D3B12"/>
    <w:rsid w:val="008D3BA9"/>
    <w:rsid w:val="008D3CB3"/>
    <w:rsid w:val="008D3DB4"/>
    <w:rsid w:val="008D3FF2"/>
    <w:rsid w:val="008D4277"/>
    <w:rsid w:val="008D433E"/>
    <w:rsid w:val="008D446D"/>
    <w:rsid w:val="008D49C1"/>
    <w:rsid w:val="008D4AF5"/>
    <w:rsid w:val="008D4DD7"/>
    <w:rsid w:val="008D5021"/>
    <w:rsid w:val="008D50D4"/>
    <w:rsid w:val="008D5127"/>
    <w:rsid w:val="008D512B"/>
    <w:rsid w:val="008D540A"/>
    <w:rsid w:val="008D544C"/>
    <w:rsid w:val="008D55A0"/>
    <w:rsid w:val="008D55C1"/>
    <w:rsid w:val="008D56A1"/>
    <w:rsid w:val="008D5774"/>
    <w:rsid w:val="008D5819"/>
    <w:rsid w:val="008D5A91"/>
    <w:rsid w:val="008D5B76"/>
    <w:rsid w:val="008D5BD2"/>
    <w:rsid w:val="008D5CB0"/>
    <w:rsid w:val="008D5DD6"/>
    <w:rsid w:val="008D5F07"/>
    <w:rsid w:val="008D5F74"/>
    <w:rsid w:val="008D5FF5"/>
    <w:rsid w:val="008D6105"/>
    <w:rsid w:val="008D63F9"/>
    <w:rsid w:val="008D64B1"/>
    <w:rsid w:val="008D64B2"/>
    <w:rsid w:val="008D6554"/>
    <w:rsid w:val="008D65EC"/>
    <w:rsid w:val="008D663E"/>
    <w:rsid w:val="008D66AB"/>
    <w:rsid w:val="008D6761"/>
    <w:rsid w:val="008D67E9"/>
    <w:rsid w:val="008D685E"/>
    <w:rsid w:val="008D6A57"/>
    <w:rsid w:val="008D6BE9"/>
    <w:rsid w:val="008D6D0B"/>
    <w:rsid w:val="008D6E29"/>
    <w:rsid w:val="008D6E9D"/>
    <w:rsid w:val="008D6FD0"/>
    <w:rsid w:val="008D753E"/>
    <w:rsid w:val="008D7662"/>
    <w:rsid w:val="008D780D"/>
    <w:rsid w:val="008D7A68"/>
    <w:rsid w:val="008D7A76"/>
    <w:rsid w:val="008D7DA8"/>
    <w:rsid w:val="008D7EB9"/>
    <w:rsid w:val="008E0049"/>
    <w:rsid w:val="008E019C"/>
    <w:rsid w:val="008E01AA"/>
    <w:rsid w:val="008E0204"/>
    <w:rsid w:val="008E03E1"/>
    <w:rsid w:val="008E0422"/>
    <w:rsid w:val="008E065F"/>
    <w:rsid w:val="008E0731"/>
    <w:rsid w:val="008E07C9"/>
    <w:rsid w:val="008E0CC6"/>
    <w:rsid w:val="008E0DA1"/>
    <w:rsid w:val="008E0E3E"/>
    <w:rsid w:val="008E0E93"/>
    <w:rsid w:val="008E1011"/>
    <w:rsid w:val="008E1471"/>
    <w:rsid w:val="008E162D"/>
    <w:rsid w:val="008E1AC8"/>
    <w:rsid w:val="008E1B22"/>
    <w:rsid w:val="008E1B63"/>
    <w:rsid w:val="008E1BE1"/>
    <w:rsid w:val="008E1F21"/>
    <w:rsid w:val="008E1F3F"/>
    <w:rsid w:val="008E1F81"/>
    <w:rsid w:val="008E1F99"/>
    <w:rsid w:val="008E1FA6"/>
    <w:rsid w:val="008E204A"/>
    <w:rsid w:val="008E20BC"/>
    <w:rsid w:val="008E23A8"/>
    <w:rsid w:val="008E2535"/>
    <w:rsid w:val="008E26AE"/>
    <w:rsid w:val="008E26CF"/>
    <w:rsid w:val="008E27A5"/>
    <w:rsid w:val="008E2959"/>
    <w:rsid w:val="008E29A8"/>
    <w:rsid w:val="008E2BB6"/>
    <w:rsid w:val="008E2D2E"/>
    <w:rsid w:val="008E2E3F"/>
    <w:rsid w:val="008E2F05"/>
    <w:rsid w:val="008E3046"/>
    <w:rsid w:val="008E319F"/>
    <w:rsid w:val="008E3265"/>
    <w:rsid w:val="008E35BF"/>
    <w:rsid w:val="008E3689"/>
    <w:rsid w:val="008E3702"/>
    <w:rsid w:val="008E37FC"/>
    <w:rsid w:val="008E3844"/>
    <w:rsid w:val="008E3975"/>
    <w:rsid w:val="008E3AB4"/>
    <w:rsid w:val="008E3AC8"/>
    <w:rsid w:val="008E3C6A"/>
    <w:rsid w:val="008E3D0C"/>
    <w:rsid w:val="008E3E1E"/>
    <w:rsid w:val="008E3E67"/>
    <w:rsid w:val="008E4117"/>
    <w:rsid w:val="008E417B"/>
    <w:rsid w:val="008E42B2"/>
    <w:rsid w:val="008E4363"/>
    <w:rsid w:val="008E4488"/>
    <w:rsid w:val="008E454A"/>
    <w:rsid w:val="008E45C6"/>
    <w:rsid w:val="008E4700"/>
    <w:rsid w:val="008E47D8"/>
    <w:rsid w:val="008E4A55"/>
    <w:rsid w:val="008E4E65"/>
    <w:rsid w:val="008E4E85"/>
    <w:rsid w:val="008E4EC0"/>
    <w:rsid w:val="008E4ECA"/>
    <w:rsid w:val="008E516F"/>
    <w:rsid w:val="008E5329"/>
    <w:rsid w:val="008E5330"/>
    <w:rsid w:val="008E53CE"/>
    <w:rsid w:val="008E573A"/>
    <w:rsid w:val="008E57B4"/>
    <w:rsid w:val="008E5800"/>
    <w:rsid w:val="008E5AA9"/>
    <w:rsid w:val="008E5D3C"/>
    <w:rsid w:val="008E5D95"/>
    <w:rsid w:val="008E5FA0"/>
    <w:rsid w:val="008E6038"/>
    <w:rsid w:val="008E611F"/>
    <w:rsid w:val="008E6159"/>
    <w:rsid w:val="008E62BE"/>
    <w:rsid w:val="008E64CA"/>
    <w:rsid w:val="008E653B"/>
    <w:rsid w:val="008E663A"/>
    <w:rsid w:val="008E667B"/>
    <w:rsid w:val="008E66B4"/>
    <w:rsid w:val="008E66CE"/>
    <w:rsid w:val="008E671E"/>
    <w:rsid w:val="008E6995"/>
    <w:rsid w:val="008E6A10"/>
    <w:rsid w:val="008E6A3F"/>
    <w:rsid w:val="008E6BBF"/>
    <w:rsid w:val="008E6C7A"/>
    <w:rsid w:val="008E6DCE"/>
    <w:rsid w:val="008E6F58"/>
    <w:rsid w:val="008E6FD4"/>
    <w:rsid w:val="008E7063"/>
    <w:rsid w:val="008E707A"/>
    <w:rsid w:val="008E70D1"/>
    <w:rsid w:val="008E711D"/>
    <w:rsid w:val="008E7241"/>
    <w:rsid w:val="008E7429"/>
    <w:rsid w:val="008E7611"/>
    <w:rsid w:val="008E7771"/>
    <w:rsid w:val="008E77A9"/>
    <w:rsid w:val="008E7D17"/>
    <w:rsid w:val="008E7EFC"/>
    <w:rsid w:val="008F0047"/>
    <w:rsid w:val="008F0095"/>
    <w:rsid w:val="008F016C"/>
    <w:rsid w:val="008F018E"/>
    <w:rsid w:val="008F03C3"/>
    <w:rsid w:val="008F048C"/>
    <w:rsid w:val="008F04EB"/>
    <w:rsid w:val="008F050C"/>
    <w:rsid w:val="008F0612"/>
    <w:rsid w:val="008F0775"/>
    <w:rsid w:val="008F08F4"/>
    <w:rsid w:val="008F0D58"/>
    <w:rsid w:val="008F0D65"/>
    <w:rsid w:val="008F0E03"/>
    <w:rsid w:val="008F1091"/>
    <w:rsid w:val="008F1428"/>
    <w:rsid w:val="008F1522"/>
    <w:rsid w:val="008F15B3"/>
    <w:rsid w:val="008F1669"/>
    <w:rsid w:val="008F1BF9"/>
    <w:rsid w:val="008F1C8A"/>
    <w:rsid w:val="008F21D1"/>
    <w:rsid w:val="008F2205"/>
    <w:rsid w:val="008F22DD"/>
    <w:rsid w:val="008F23CD"/>
    <w:rsid w:val="008F277C"/>
    <w:rsid w:val="008F29E4"/>
    <w:rsid w:val="008F2B9A"/>
    <w:rsid w:val="008F2C3F"/>
    <w:rsid w:val="008F2D14"/>
    <w:rsid w:val="008F314A"/>
    <w:rsid w:val="008F329A"/>
    <w:rsid w:val="008F33B7"/>
    <w:rsid w:val="008F36C1"/>
    <w:rsid w:val="008F37A3"/>
    <w:rsid w:val="008F38A2"/>
    <w:rsid w:val="008F3AB0"/>
    <w:rsid w:val="008F3B0E"/>
    <w:rsid w:val="008F3B0F"/>
    <w:rsid w:val="008F3D27"/>
    <w:rsid w:val="008F3D87"/>
    <w:rsid w:val="008F3DDE"/>
    <w:rsid w:val="008F3E4F"/>
    <w:rsid w:val="008F3FEC"/>
    <w:rsid w:val="008F40E6"/>
    <w:rsid w:val="008F4275"/>
    <w:rsid w:val="008F42F8"/>
    <w:rsid w:val="008F448C"/>
    <w:rsid w:val="008F475E"/>
    <w:rsid w:val="008F47D1"/>
    <w:rsid w:val="008F49C3"/>
    <w:rsid w:val="008F4B9E"/>
    <w:rsid w:val="008F4C68"/>
    <w:rsid w:val="008F4D22"/>
    <w:rsid w:val="008F4F3D"/>
    <w:rsid w:val="008F5013"/>
    <w:rsid w:val="008F5091"/>
    <w:rsid w:val="008F50B7"/>
    <w:rsid w:val="008F510E"/>
    <w:rsid w:val="008F51CE"/>
    <w:rsid w:val="008F554C"/>
    <w:rsid w:val="008F5775"/>
    <w:rsid w:val="008F5849"/>
    <w:rsid w:val="008F58D9"/>
    <w:rsid w:val="008F5A06"/>
    <w:rsid w:val="008F5C86"/>
    <w:rsid w:val="008F5EA0"/>
    <w:rsid w:val="008F5FE8"/>
    <w:rsid w:val="008F6016"/>
    <w:rsid w:val="008F6017"/>
    <w:rsid w:val="008F6024"/>
    <w:rsid w:val="008F6104"/>
    <w:rsid w:val="008F62A6"/>
    <w:rsid w:val="008F6379"/>
    <w:rsid w:val="008F64AA"/>
    <w:rsid w:val="008F66BE"/>
    <w:rsid w:val="008F691E"/>
    <w:rsid w:val="008F6981"/>
    <w:rsid w:val="008F6995"/>
    <w:rsid w:val="008F6AAB"/>
    <w:rsid w:val="008F6ACB"/>
    <w:rsid w:val="008F6B55"/>
    <w:rsid w:val="008F6CAD"/>
    <w:rsid w:val="008F6D3F"/>
    <w:rsid w:val="008F6E93"/>
    <w:rsid w:val="008F7008"/>
    <w:rsid w:val="008F73EF"/>
    <w:rsid w:val="008F7434"/>
    <w:rsid w:val="008F7656"/>
    <w:rsid w:val="008F76C0"/>
    <w:rsid w:val="008F76CA"/>
    <w:rsid w:val="008F76F0"/>
    <w:rsid w:val="008F770E"/>
    <w:rsid w:val="008F7A66"/>
    <w:rsid w:val="008F7A7C"/>
    <w:rsid w:val="008F7BBB"/>
    <w:rsid w:val="008F7E01"/>
    <w:rsid w:val="008F7EC2"/>
    <w:rsid w:val="009001AC"/>
    <w:rsid w:val="00900365"/>
    <w:rsid w:val="0090042E"/>
    <w:rsid w:val="0090049E"/>
    <w:rsid w:val="009005AB"/>
    <w:rsid w:val="009006A2"/>
    <w:rsid w:val="00900761"/>
    <w:rsid w:val="00900764"/>
    <w:rsid w:val="009007B8"/>
    <w:rsid w:val="00900848"/>
    <w:rsid w:val="0090087B"/>
    <w:rsid w:val="00900982"/>
    <w:rsid w:val="009009BB"/>
    <w:rsid w:val="009009E6"/>
    <w:rsid w:val="00900AB1"/>
    <w:rsid w:val="00900AF4"/>
    <w:rsid w:val="00900C6F"/>
    <w:rsid w:val="00900CC8"/>
    <w:rsid w:val="00900DCF"/>
    <w:rsid w:val="00901092"/>
    <w:rsid w:val="009010DA"/>
    <w:rsid w:val="00901145"/>
    <w:rsid w:val="00901527"/>
    <w:rsid w:val="00901564"/>
    <w:rsid w:val="00901665"/>
    <w:rsid w:val="00901B17"/>
    <w:rsid w:val="00901B59"/>
    <w:rsid w:val="00901BE4"/>
    <w:rsid w:val="00901CE7"/>
    <w:rsid w:val="00901E28"/>
    <w:rsid w:val="00901ECC"/>
    <w:rsid w:val="00901FC2"/>
    <w:rsid w:val="009020A7"/>
    <w:rsid w:val="009021D8"/>
    <w:rsid w:val="0090226E"/>
    <w:rsid w:val="00902277"/>
    <w:rsid w:val="0090232B"/>
    <w:rsid w:val="0090239A"/>
    <w:rsid w:val="00902613"/>
    <w:rsid w:val="00902795"/>
    <w:rsid w:val="009028F9"/>
    <w:rsid w:val="00902A0F"/>
    <w:rsid w:val="00902AB4"/>
    <w:rsid w:val="00902E30"/>
    <w:rsid w:val="00902F25"/>
    <w:rsid w:val="00902F4C"/>
    <w:rsid w:val="009030A4"/>
    <w:rsid w:val="009030F3"/>
    <w:rsid w:val="009033A8"/>
    <w:rsid w:val="00903601"/>
    <w:rsid w:val="009036C9"/>
    <w:rsid w:val="009037B4"/>
    <w:rsid w:val="009039D4"/>
    <w:rsid w:val="009040F5"/>
    <w:rsid w:val="0090415C"/>
    <w:rsid w:val="009043D1"/>
    <w:rsid w:val="00904516"/>
    <w:rsid w:val="00904A14"/>
    <w:rsid w:val="00904A87"/>
    <w:rsid w:val="00904E90"/>
    <w:rsid w:val="00905122"/>
    <w:rsid w:val="00905369"/>
    <w:rsid w:val="009053D9"/>
    <w:rsid w:val="0090553B"/>
    <w:rsid w:val="0090555D"/>
    <w:rsid w:val="00905A07"/>
    <w:rsid w:val="00905A44"/>
    <w:rsid w:val="00905BD2"/>
    <w:rsid w:val="00905F33"/>
    <w:rsid w:val="00905FAE"/>
    <w:rsid w:val="0090600A"/>
    <w:rsid w:val="0090622C"/>
    <w:rsid w:val="0090647C"/>
    <w:rsid w:val="009065A5"/>
    <w:rsid w:val="00906637"/>
    <w:rsid w:val="0090679F"/>
    <w:rsid w:val="009067EC"/>
    <w:rsid w:val="009068A4"/>
    <w:rsid w:val="00906954"/>
    <w:rsid w:val="00906DA2"/>
    <w:rsid w:val="00906E02"/>
    <w:rsid w:val="009077C8"/>
    <w:rsid w:val="009077EA"/>
    <w:rsid w:val="00907A05"/>
    <w:rsid w:val="00907A61"/>
    <w:rsid w:val="00907D2F"/>
    <w:rsid w:val="00907DA8"/>
    <w:rsid w:val="00907F02"/>
    <w:rsid w:val="00910019"/>
    <w:rsid w:val="009104B7"/>
    <w:rsid w:val="0091051B"/>
    <w:rsid w:val="009107ED"/>
    <w:rsid w:val="00910920"/>
    <w:rsid w:val="00910C7B"/>
    <w:rsid w:val="00910D31"/>
    <w:rsid w:val="00910DCB"/>
    <w:rsid w:val="00910E29"/>
    <w:rsid w:val="00910EFB"/>
    <w:rsid w:val="00911231"/>
    <w:rsid w:val="009113B3"/>
    <w:rsid w:val="009113CB"/>
    <w:rsid w:val="00911601"/>
    <w:rsid w:val="00911717"/>
    <w:rsid w:val="0091188B"/>
    <w:rsid w:val="00911A88"/>
    <w:rsid w:val="00911E4E"/>
    <w:rsid w:val="00911FAE"/>
    <w:rsid w:val="00911FF4"/>
    <w:rsid w:val="0091203F"/>
    <w:rsid w:val="009120C1"/>
    <w:rsid w:val="00912183"/>
    <w:rsid w:val="009121D8"/>
    <w:rsid w:val="0091226A"/>
    <w:rsid w:val="009122DE"/>
    <w:rsid w:val="00912450"/>
    <w:rsid w:val="0091267B"/>
    <w:rsid w:val="00912690"/>
    <w:rsid w:val="00912739"/>
    <w:rsid w:val="0091279F"/>
    <w:rsid w:val="0091286A"/>
    <w:rsid w:val="009128CA"/>
    <w:rsid w:val="00912AB8"/>
    <w:rsid w:val="00912BB6"/>
    <w:rsid w:val="00912D17"/>
    <w:rsid w:val="00912D1D"/>
    <w:rsid w:val="00912F76"/>
    <w:rsid w:val="009130A1"/>
    <w:rsid w:val="009130D3"/>
    <w:rsid w:val="00913300"/>
    <w:rsid w:val="0091345B"/>
    <w:rsid w:val="0091354A"/>
    <w:rsid w:val="009136E3"/>
    <w:rsid w:val="009137F6"/>
    <w:rsid w:val="009138BD"/>
    <w:rsid w:val="009138C5"/>
    <w:rsid w:val="0091394F"/>
    <w:rsid w:val="00913A3B"/>
    <w:rsid w:val="00913D77"/>
    <w:rsid w:val="00913E59"/>
    <w:rsid w:val="00914022"/>
    <w:rsid w:val="0091411C"/>
    <w:rsid w:val="00914322"/>
    <w:rsid w:val="00914425"/>
    <w:rsid w:val="009146E6"/>
    <w:rsid w:val="00914878"/>
    <w:rsid w:val="0091491C"/>
    <w:rsid w:val="009149A5"/>
    <w:rsid w:val="00914CF2"/>
    <w:rsid w:val="00914D9B"/>
    <w:rsid w:val="00914E3F"/>
    <w:rsid w:val="00914EB3"/>
    <w:rsid w:val="00914F0C"/>
    <w:rsid w:val="00915035"/>
    <w:rsid w:val="009150B7"/>
    <w:rsid w:val="0091564E"/>
    <w:rsid w:val="009157AD"/>
    <w:rsid w:val="00915A03"/>
    <w:rsid w:val="00915B56"/>
    <w:rsid w:val="00915C1B"/>
    <w:rsid w:val="00915D20"/>
    <w:rsid w:val="00915D35"/>
    <w:rsid w:val="00915E73"/>
    <w:rsid w:val="00915FAB"/>
    <w:rsid w:val="00915FD7"/>
    <w:rsid w:val="00916039"/>
    <w:rsid w:val="00916223"/>
    <w:rsid w:val="009163AB"/>
    <w:rsid w:val="00916563"/>
    <w:rsid w:val="009165DE"/>
    <w:rsid w:val="0091666E"/>
    <w:rsid w:val="00916819"/>
    <w:rsid w:val="00916A48"/>
    <w:rsid w:val="00916AD8"/>
    <w:rsid w:val="00916C63"/>
    <w:rsid w:val="00916D2D"/>
    <w:rsid w:val="00916E69"/>
    <w:rsid w:val="00916F2C"/>
    <w:rsid w:val="0091703B"/>
    <w:rsid w:val="0091716B"/>
    <w:rsid w:val="0091721C"/>
    <w:rsid w:val="009173D5"/>
    <w:rsid w:val="0091754C"/>
    <w:rsid w:val="009175C3"/>
    <w:rsid w:val="009175E2"/>
    <w:rsid w:val="009179B4"/>
    <w:rsid w:val="00917A83"/>
    <w:rsid w:val="00917D27"/>
    <w:rsid w:val="00917F31"/>
    <w:rsid w:val="0092013C"/>
    <w:rsid w:val="009201D1"/>
    <w:rsid w:val="0092036F"/>
    <w:rsid w:val="0092048D"/>
    <w:rsid w:val="0092059B"/>
    <w:rsid w:val="00920BCE"/>
    <w:rsid w:val="00920C29"/>
    <w:rsid w:val="00920FC7"/>
    <w:rsid w:val="0092100F"/>
    <w:rsid w:val="0092123F"/>
    <w:rsid w:val="009212B3"/>
    <w:rsid w:val="0092147B"/>
    <w:rsid w:val="009214ED"/>
    <w:rsid w:val="00921502"/>
    <w:rsid w:val="00921505"/>
    <w:rsid w:val="0092158C"/>
    <w:rsid w:val="00921696"/>
    <w:rsid w:val="0092177D"/>
    <w:rsid w:val="0092180F"/>
    <w:rsid w:val="00921960"/>
    <w:rsid w:val="00921A3B"/>
    <w:rsid w:val="00921A84"/>
    <w:rsid w:val="00921AB4"/>
    <w:rsid w:val="00921B90"/>
    <w:rsid w:val="00921BC8"/>
    <w:rsid w:val="00921CBC"/>
    <w:rsid w:val="00921CBD"/>
    <w:rsid w:val="00921CBE"/>
    <w:rsid w:val="00921D9B"/>
    <w:rsid w:val="00921F4C"/>
    <w:rsid w:val="00921F71"/>
    <w:rsid w:val="00922063"/>
    <w:rsid w:val="0092208F"/>
    <w:rsid w:val="00922361"/>
    <w:rsid w:val="0092263C"/>
    <w:rsid w:val="00922687"/>
    <w:rsid w:val="00922A5A"/>
    <w:rsid w:val="00922AAC"/>
    <w:rsid w:val="00922D41"/>
    <w:rsid w:val="00922D61"/>
    <w:rsid w:val="00922F4A"/>
    <w:rsid w:val="00922F8E"/>
    <w:rsid w:val="00922FED"/>
    <w:rsid w:val="0092318F"/>
    <w:rsid w:val="00923190"/>
    <w:rsid w:val="009231B2"/>
    <w:rsid w:val="009233B6"/>
    <w:rsid w:val="009233FB"/>
    <w:rsid w:val="00923453"/>
    <w:rsid w:val="00923717"/>
    <w:rsid w:val="00923825"/>
    <w:rsid w:val="009238E3"/>
    <w:rsid w:val="009238E5"/>
    <w:rsid w:val="00923937"/>
    <w:rsid w:val="009239B5"/>
    <w:rsid w:val="00923AF8"/>
    <w:rsid w:val="00923CC1"/>
    <w:rsid w:val="00923CFB"/>
    <w:rsid w:val="00923CFC"/>
    <w:rsid w:val="00924200"/>
    <w:rsid w:val="009242DD"/>
    <w:rsid w:val="0092432E"/>
    <w:rsid w:val="00924341"/>
    <w:rsid w:val="00924353"/>
    <w:rsid w:val="009244BB"/>
    <w:rsid w:val="009244D5"/>
    <w:rsid w:val="009247A0"/>
    <w:rsid w:val="00924930"/>
    <w:rsid w:val="00924937"/>
    <w:rsid w:val="00924A2E"/>
    <w:rsid w:val="00924B96"/>
    <w:rsid w:val="00924BD7"/>
    <w:rsid w:val="00924DFC"/>
    <w:rsid w:val="00925239"/>
    <w:rsid w:val="0092527D"/>
    <w:rsid w:val="00925339"/>
    <w:rsid w:val="00925586"/>
    <w:rsid w:val="009257EC"/>
    <w:rsid w:val="00925A93"/>
    <w:rsid w:val="00925AD7"/>
    <w:rsid w:val="00925C2E"/>
    <w:rsid w:val="00925D5B"/>
    <w:rsid w:val="00925EC7"/>
    <w:rsid w:val="009263A9"/>
    <w:rsid w:val="009263DC"/>
    <w:rsid w:val="00926406"/>
    <w:rsid w:val="009264AC"/>
    <w:rsid w:val="009264CE"/>
    <w:rsid w:val="00926507"/>
    <w:rsid w:val="00926528"/>
    <w:rsid w:val="00926643"/>
    <w:rsid w:val="00926945"/>
    <w:rsid w:val="00926AF7"/>
    <w:rsid w:val="00926CEE"/>
    <w:rsid w:val="00926EA9"/>
    <w:rsid w:val="00926EE2"/>
    <w:rsid w:val="00926EF5"/>
    <w:rsid w:val="00926FA6"/>
    <w:rsid w:val="00926FCF"/>
    <w:rsid w:val="00927169"/>
    <w:rsid w:val="00927218"/>
    <w:rsid w:val="009272F5"/>
    <w:rsid w:val="009275FB"/>
    <w:rsid w:val="00927665"/>
    <w:rsid w:val="0092772A"/>
    <w:rsid w:val="0092790D"/>
    <w:rsid w:val="00927B2E"/>
    <w:rsid w:val="00927B46"/>
    <w:rsid w:val="00927B7B"/>
    <w:rsid w:val="00927E63"/>
    <w:rsid w:val="00927F44"/>
    <w:rsid w:val="00927FE6"/>
    <w:rsid w:val="00930257"/>
    <w:rsid w:val="009303BB"/>
    <w:rsid w:val="0093056F"/>
    <w:rsid w:val="009307CC"/>
    <w:rsid w:val="00930A7B"/>
    <w:rsid w:val="00930B71"/>
    <w:rsid w:val="00930B7E"/>
    <w:rsid w:val="00930B92"/>
    <w:rsid w:val="00930C1C"/>
    <w:rsid w:val="00930C87"/>
    <w:rsid w:val="00930CFE"/>
    <w:rsid w:val="00930D58"/>
    <w:rsid w:val="00930D6A"/>
    <w:rsid w:val="00930E1D"/>
    <w:rsid w:val="00930E4E"/>
    <w:rsid w:val="00930F94"/>
    <w:rsid w:val="00930F9A"/>
    <w:rsid w:val="0093105C"/>
    <w:rsid w:val="00931094"/>
    <w:rsid w:val="009311B8"/>
    <w:rsid w:val="009312C4"/>
    <w:rsid w:val="00931340"/>
    <w:rsid w:val="009314E4"/>
    <w:rsid w:val="00931684"/>
    <w:rsid w:val="009318CD"/>
    <w:rsid w:val="00931963"/>
    <w:rsid w:val="0093197D"/>
    <w:rsid w:val="00931AC0"/>
    <w:rsid w:val="00931C90"/>
    <w:rsid w:val="00931CFD"/>
    <w:rsid w:val="00931EDC"/>
    <w:rsid w:val="00931F6A"/>
    <w:rsid w:val="0093203A"/>
    <w:rsid w:val="00932041"/>
    <w:rsid w:val="009320BD"/>
    <w:rsid w:val="00932293"/>
    <w:rsid w:val="009324D5"/>
    <w:rsid w:val="0093251C"/>
    <w:rsid w:val="00932553"/>
    <w:rsid w:val="00932862"/>
    <w:rsid w:val="009328C0"/>
    <w:rsid w:val="00932931"/>
    <w:rsid w:val="00932969"/>
    <w:rsid w:val="00932A7E"/>
    <w:rsid w:val="00932B29"/>
    <w:rsid w:val="00932B32"/>
    <w:rsid w:val="00932D95"/>
    <w:rsid w:val="00933017"/>
    <w:rsid w:val="00933102"/>
    <w:rsid w:val="0093324F"/>
    <w:rsid w:val="00933332"/>
    <w:rsid w:val="009333D4"/>
    <w:rsid w:val="00933475"/>
    <w:rsid w:val="00933512"/>
    <w:rsid w:val="009338E5"/>
    <w:rsid w:val="009338F2"/>
    <w:rsid w:val="00933911"/>
    <w:rsid w:val="00933B92"/>
    <w:rsid w:val="00933F3B"/>
    <w:rsid w:val="009341E5"/>
    <w:rsid w:val="0093421C"/>
    <w:rsid w:val="009342B0"/>
    <w:rsid w:val="00934351"/>
    <w:rsid w:val="009344F5"/>
    <w:rsid w:val="00934777"/>
    <w:rsid w:val="0093481D"/>
    <w:rsid w:val="0093482D"/>
    <w:rsid w:val="00934916"/>
    <w:rsid w:val="00934929"/>
    <w:rsid w:val="00934D8C"/>
    <w:rsid w:val="00934E17"/>
    <w:rsid w:val="00934F73"/>
    <w:rsid w:val="00934F79"/>
    <w:rsid w:val="0093507F"/>
    <w:rsid w:val="00935141"/>
    <w:rsid w:val="00935201"/>
    <w:rsid w:val="00935317"/>
    <w:rsid w:val="00935590"/>
    <w:rsid w:val="00935609"/>
    <w:rsid w:val="0093568A"/>
    <w:rsid w:val="00935723"/>
    <w:rsid w:val="00935848"/>
    <w:rsid w:val="009358D1"/>
    <w:rsid w:val="009359AA"/>
    <w:rsid w:val="00935B29"/>
    <w:rsid w:val="00935CDD"/>
    <w:rsid w:val="00935E5F"/>
    <w:rsid w:val="00935EF6"/>
    <w:rsid w:val="00936123"/>
    <w:rsid w:val="0093613E"/>
    <w:rsid w:val="0093617A"/>
    <w:rsid w:val="009362DE"/>
    <w:rsid w:val="009363BF"/>
    <w:rsid w:val="00936436"/>
    <w:rsid w:val="00936577"/>
    <w:rsid w:val="009366B0"/>
    <w:rsid w:val="00936705"/>
    <w:rsid w:val="00936805"/>
    <w:rsid w:val="009368AC"/>
    <w:rsid w:val="009369A6"/>
    <w:rsid w:val="00936C3D"/>
    <w:rsid w:val="00936CA4"/>
    <w:rsid w:val="00936DCB"/>
    <w:rsid w:val="00936E22"/>
    <w:rsid w:val="0093718C"/>
    <w:rsid w:val="0093722D"/>
    <w:rsid w:val="0093724E"/>
    <w:rsid w:val="00937658"/>
    <w:rsid w:val="009376C8"/>
    <w:rsid w:val="009376D8"/>
    <w:rsid w:val="00937706"/>
    <w:rsid w:val="009377AB"/>
    <w:rsid w:val="009377B5"/>
    <w:rsid w:val="00937A8A"/>
    <w:rsid w:val="00937C77"/>
    <w:rsid w:val="00937DAA"/>
    <w:rsid w:val="00937DF1"/>
    <w:rsid w:val="0094002B"/>
    <w:rsid w:val="009402C3"/>
    <w:rsid w:val="00940590"/>
    <w:rsid w:val="00940608"/>
    <w:rsid w:val="00940665"/>
    <w:rsid w:val="009406F2"/>
    <w:rsid w:val="0094073E"/>
    <w:rsid w:val="009408C2"/>
    <w:rsid w:val="00940DBC"/>
    <w:rsid w:val="00940FEC"/>
    <w:rsid w:val="00941004"/>
    <w:rsid w:val="00941191"/>
    <w:rsid w:val="00941421"/>
    <w:rsid w:val="00941424"/>
    <w:rsid w:val="009417BF"/>
    <w:rsid w:val="00941DA4"/>
    <w:rsid w:val="00941E69"/>
    <w:rsid w:val="00941F00"/>
    <w:rsid w:val="00942101"/>
    <w:rsid w:val="009422F2"/>
    <w:rsid w:val="00942392"/>
    <w:rsid w:val="009423BF"/>
    <w:rsid w:val="0094251A"/>
    <w:rsid w:val="009426DD"/>
    <w:rsid w:val="009427A9"/>
    <w:rsid w:val="00942A65"/>
    <w:rsid w:val="00942A95"/>
    <w:rsid w:val="00942BB1"/>
    <w:rsid w:val="00943013"/>
    <w:rsid w:val="00943059"/>
    <w:rsid w:val="00943090"/>
    <w:rsid w:val="0094317E"/>
    <w:rsid w:val="009432E1"/>
    <w:rsid w:val="00943762"/>
    <w:rsid w:val="00943890"/>
    <w:rsid w:val="009439B6"/>
    <w:rsid w:val="009439BA"/>
    <w:rsid w:val="009439F5"/>
    <w:rsid w:val="00943B12"/>
    <w:rsid w:val="00943B13"/>
    <w:rsid w:val="00943D14"/>
    <w:rsid w:val="00943DC3"/>
    <w:rsid w:val="00943EC9"/>
    <w:rsid w:val="00943ECC"/>
    <w:rsid w:val="009441A8"/>
    <w:rsid w:val="00944361"/>
    <w:rsid w:val="009443EC"/>
    <w:rsid w:val="009444D7"/>
    <w:rsid w:val="009446BA"/>
    <w:rsid w:val="009446C3"/>
    <w:rsid w:val="009447CE"/>
    <w:rsid w:val="00944878"/>
    <w:rsid w:val="00944896"/>
    <w:rsid w:val="009448CE"/>
    <w:rsid w:val="00944927"/>
    <w:rsid w:val="00944D8A"/>
    <w:rsid w:val="00944D91"/>
    <w:rsid w:val="009450E5"/>
    <w:rsid w:val="009451C2"/>
    <w:rsid w:val="009452F1"/>
    <w:rsid w:val="0094533F"/>
    <w:rsid w:val="00945427"/>
    <w:rsid w:val="009458FC"/>
    <w:rsid w:val="00945AFF"/>
    <w:rsid w:val="00945B84"/>
    <w:rsid w:val="00945BC5"/>
    <w:rsid w:val="00945CBD"/>
    <w:rsid w:val="00945CDE"/>
    <w:rsid w:val="00945D33"/>
    <w:rsid w:val="00945DE6"/>
    <w:rsid w:val="00945E43"/>
    <w:rsid w:val="00945ED2"/>
    <w:rsid w:val="009460E6"/>
    <w:rsid w:val="00946447"/>
    <w:rsid w:val="009465AB"/>
    <w:rsid w:val="009466D4"/>
    <w:rsid w:val="009466F3"/>
    <w:rsid w:val="009467C5"/>
    <w:rsid w:val="0094684A"/>
    <w:rsid w:val="00946946"/>
    <w:rsid w:val="0094699E"/>
    <w:rsid w:val="009469C8"/>
    <w:rsid w:val="00946FE7"/>
    <w:rsid w:val="00947044"/>
    <w:rsid w:val="00947378"/>
    <w:rsid w:val="0094738A"/>
    <w:rsid w:val="0094738D"/>
    <w:rsid w:val="009479F9"/>
    <w:rsid w:val="00947C5B"/>
    <w:rsid w:val="00947D3E"/>
    <w:rsid w:val="00947D8A"/>
    <w:rsid w:val="00947E4B"/>
    <w:rsid w:val="00947FDE"/>
    <w:rsid w:val="00950006"/>
    <w:rsid w:val="009500FC"/>
    <w:rsid w:val="00950110"/>
    <w:rsid w:val="00950166"/>
    <w:rsid w:val="009501B8"/>
    <w:rsid w:val="00950216"/>
    <w:rsid w:val="009502FE"/>
    <w:rsid w:val="00950394"/>
    <w:rsid w:val="009503A9"/>
    <w:rsid w:val="009503D5"/>
    <w:rsid w:val="009503DB"/>
    <w:rsid w:val="0095045B"/>
    <w:rsid w:val="009504AC"/>
    <w:rsid w:val="00950501"/>
    <w:rsid w:val="009506F3"/>
    <w:rsid w:val="0095085B"/>
    <w:rsid w:val="009508CA"/>
    <w:rsid w:val="0095091E"/>
    <w:rsid w:val="00950AA7"/>
    <w:rsid w:val="00950E0B"/>
    <w:rsid w:val="00950F37"/>
    <w:rsid w:val="00950F65"/>
    <w:rsid w:val="009510C5"/>
    <w:rsid w:val="00951317"/>
    <w:rsid w:val="00951783"/>
    <w:rsid w:val="009517B1"/>
    <w:rsid w:val="009518A3"/>
    <w:rsid w:val="00951973"/>
    <w:rsid w:val="00951980"/>
    <w:rsid w:val="00951981"/>
    <w:rsid w:val="0095199F"/>
    <w:rsid w:val="009519DE"/>
    <w:rsid w:val="00951A50"/>
    <w:rsid w:val="00951EE6"/>
    <w:rsid w:val="009521AD"/>
    <w:rsid w:val="0095232A"/>
    <w:rsid w:val="0095243E"/>
    <w:rsid w:val="0095247E"/>
    <w:rsid w:val="009524C0"/>
    <w:rsid w:val="00952677"/>
    <w:rsid w:val="00952698"/>
    <w:rsid w:val="0095289E"/>
    <w:rsid w:val="009529BC"/>
    <w:rsid w:val="00952C9D"/>
    <w:rsid w:val="00952CDF"/>
    <w:rsid w:val="00952DA3"/>
    <w:rsid w:val="00952DAA"/>
    <w:rsid w:val="0095302D"/>
    <w:rsid w:val="00953203"/>
    <w:rsid w:val="009532BE"/>
    <w:rsid w:val="0095340C"/>
    <w:rsid w:val="0095353A"/>
    <w:rsid w:val="00953603"/>
    <w:rsid w:val="00953696"/>
    <w:rsid w:val="0095369A"/>
    <w:rsid w:val="00953816"/>
    <w:rsid w:val="00953977"/>
    <w:rsid w:val="00953B1F"/>
    <w:rsid w:val="00953C31"/>
    <w:rsid w:val="00953E16"/>
    <w:rsid w:val="00953EE5"/>
    <w:rsid w:val="00954270"/>
    <w:rsid w:val="009543AE"/>
    <w:rsid w:val="00954454"/>
    <w:rsid w:val="009548A3"/>
    <w:rsid w:val="00954AA4"/>
    <w:rsid w:val="00954AAE"/>
    <w:rsid w:val="00954B7D"/>
    <w:rsid w:val="00954D16"/>
    <w:rsid w:val="00954D61"/>
    <w:rsid w:val="00954E7E"/>
    <w:rsid w:val="00954F33"/>
    <w:rsid w:val="0095511E"/>
    <w:rsid w:val="00955135"/>
    <w:rsid w:val="009551DD"/>
    <w:rsid w:val="009552C9"/>
    <w:rsid w:val="009553B9"/>
    <w:rsid w:val="00955435"/>
    <w:rsid w:val="00955865"/>
    <w:rsid w:val="00955868"/>
    <w:rsid w:val="00955951"/>
    <w:rsid w:val="009559F4"/>
    <w:rsid w:val="00955B36"/>
    <w:rsid w:val="00955B87"/>
    <w:rsid w:val="00955CEA"/>
    <w:rsid w:val="00955D51"/>
    <w:rsid w:val="00955F16"/>
    <w:rsid w:val="00955FC5"/>
    <w:rsid w:val="00956220"/>
    <w:rsid w:val="0095624D"/>
    <w:rsid w:val="00956352"/>
    <w:rsid w:val="0095638A"/>
    <w:rsid w:val="00956605"/>
    <w:rsid w:val="009567E5"/>
    <w:rsid w:val="00956B97"/>
    <w:rsid w:val="00956EB4"/>
    <w:rsid w:val="00956EFE"/>
    <w:rsid w:val="0095707B"/>
    <w:rsid w:val="00957164"/>
    <w:rsid w:val="0095720A"/>
    <w:rsid w:val="009572BB"/>
    <w:rsid w:val="009572F1"/>
    <w:rsid w:val="00957314"/>
    <w:rsid w:val="00957772"/>
    <w:rsid w:val="0095781D"/>
    <w:rsid w:val="00957956"/>
    <w:rsid w:val="00957A34"/>
    <w:rsid w:val="00957BD1"/>
    <w:rsid w:val="00957BE0"/>
    <w:rsid w:val="00957C23"/>
    <w:rsid w:val="00957E4C"/>
    <w:rsid w:val="00957ED4"/>
    <w:rsid w:val="0096025A"/>
    <w:rsid w:val="0096029F"/>
    <w:rsid w:val="00960506"/>
    <w:rsid w:val="00960582"/>
    <w:rsid w:val="009606B6"/>
    <w:rsid w:val="00960765"/>
    <w:rsid w:val="009607D2"/>
    <w:rsid w:val="00960D61"/>
    <w:rsid w:val="00960F27"/>
    <w:rsid w:val="00960FE4"/>
    <w:rsid w:val="00961002"/>
    <w:rsid w:val="009610BB"/>
    <w:rsid w:val="0096125D"/>
    <w:rsid w:val="0096132F"/>
    <w:rsid w:val="00961357"/>
    <w:rsid w:val="009616B8"/>
    <w:rsid w:val="009616E3"/>
    <w:rsid w:val="00961748"/>
    <w:rsid w:val="00961820"/>
    <w:rsid w:val="00961887"/>
    <w:rsid w:val="0096189A"/>
    <w:rsid w:val="009618CA"/>
    <w:rsid w:val="00961989"/>
    <w:rsid w:val="00961C0D"/>
    <w:rsid w:val="00961CA3"/>
    <w:rsid w:val="00961D21"/>
    <w:rsid w:val="00961D3F"/>
    <w:rsid w:val="00961D78"/>
    <w:rsid w:val="00961E77"/>
    <w:rsid w:val="00961EC1"/>
    <w:rsid w:val="00961F67"/>
    <w:rsid w:val="0096203C"/>
    <w:rsid w:val="00962074"/>
    <w:rsid w:val="009621A8"/>
    <w:rsid w:val="009621FD"/>
    <w:rsid w:val="00962460"/>
    <w:rsid w:val="00962710"/>
    <w:rsid w:val="0096275D"/>
    <w:rsid w:val="009627C9"/>
    <w:rsid w:val="0096282E"/>
    <w:rsid w:val="00962C35"/>
    <w:rsid w:val="00962CDF"/>
    <w:rsid w:val="00962D09"/>
    <w:rsid w:val="00962E6C"/>
    <w:rsid w:val="00962E72"/>
    <w:rsid w:val="00963164"/>
    <w:rsid w:val="0096343A"/>
    <w:rsid w:val="00963511"/>
    <w:rsid w:val="0096357D"/>
    <w:rsid w:val="00963722"/>
    <w:rsid w:val="00963B8B"/>
    <w:rsid w:val="00963C38"/>
    <w:rsid w:val="00963C84"/>
    <w:rsid w:val="00963D8B"/>
    <w:rsid w:val="00963FBB"/>
    <w:rsid w:val="00964271"/>
    <w:rsid w:val="009642D9"/>
    <w:rsid w:val="009643AF"/>
    <w:rsid w:val="009645FA"/>
    <w:rsid w:val="00964665"/>
    <w:rsid w:val="009646E7"/>
    <w:rsid w:val="0096498B"/>
    <w:rsid w:val="00964ACB"/>
    <w:rsid w:val="00964CD1"/>
    <w:rsid w:val="00964D6D"/>
    <w:rsid w:val="00964DCF"/>
    <w:rsid w:val="00964E96"/>
    <w:rsid w:val="00964F96"/>
    <w:rsid w:val="00965026"/>
    <w:rsid w:val="0096506A"/>
    <w:rsid w:val="009650B2"/>
    <w:rsid w:val="0096516A"/>
    <w:rsid w:val="009652A8"/>
    <w:rsid w:val="009652D1"/>
    <w:rsid w:val="009652D6"/>
    <w:rsid w:val="00965324"/>
    <w:rsid w:val="00965338"/>
    <w:rsid w:val="0096536E"/>
    <w:rsid w:val="0096547A"/>
    <w:rsid w:val="0096547D"/>
    <w:rsid w:val="0096556E"/>
    <w:rsid w:val="00965630"/>
    <w:rsid w:val="00965DDB"/>
    <w:rsid w:val="00965E33"/>
    <w:rsid w:val="00965E75"/>
    <w:rsid w:val="00966044"/>
    <w:rsid w:val="00966068"/>
    <w:rsid w:val="00966095"/>
    <w:rsid w:val="009660F1"/>
    <w:rsid w:val="00966114"/>
    <w:rsid w:val="009663B5"/>
    <w:rsid w:val="0096664A"/>
    <w:rsid w:val="0096673B"/>
    <w:rsid w:val="009667E1"/>
    <w:rsid w:val="00966A44"/>
    <w:rsid w:val="00966A7D"/>
    <w:rsid w:val="00966B21"/>
    <w:rsid w:val="00966B9A"/>
    <w:rsid w:val="00966C0F"/>
    <w:rsid w:val="00966C29"/>
    <w:rsid w:val="00966E8A"/>
    <w:rsid w:val="00966EF8"/>
    <w:rsid w:val="00966F5F"/>
    <w:rsid w:val="00967017"/>
    <w:rsid w:val="009670D3"/>
    <w:rsid w:val="00967158"/>
    <w:rsid w:val="009673FB"/>
    <w:rsid w:val="00967412"/>
    <w:rsid w:val="0096753F"/>
    <w:rsid w:val="00967544"/>
    <w:rsid w:val="0096791B"/>
    <w:rsid w:val="00967B90"/>
    <w:rsid w:val="00967B91"/>
    <w:rsid w:val="00967B97"/>
    <w:rsid w:val="00967D57"/>
    <w:rsid w:val="00967EAD"/>
    <w:rsid w:val="00967ED5"/>
    <w:rsid w:val="009701F2"/>
    <w:rsid w:val="0097024E"/>
    <w:rsid w:val="0097026F"/>
    <w:rsid w:val="009706B0"/>
    <w:rsid w:val="00970763"/>
    <w:rsid w:val="0097088A"/>
    <w:rsid w:val="00970C7F"/>
    <w:rsid w:val="00970CA8"/>
    <w:rsid w:val="00970FA6"/>
    <w:rsid w:val="009710D7"/>
    <w:rsid w:val="00971253"/>
    <w:rsid w:val="00971267"/>
    <w:rsid w:val="009712F5"/>
    <w:rsid w:val="00971329"/>
    <w:rsid w:val="00971345"/>
    <w:rsid w:val="0097144E"/>
    <w:rsid w:val="0097145D"/>
    <w:rsid w:val="0097148B"/>
    <w:rsid w:val="009714C6"/>
    <w:rsid w:val="0097157C"/>
    <w:rsid w:val="0097163C"/>
    <w:rsid w:val="009716C1"/>
    <w:rsid w:val="009719E4"/>
    <w:rsid w:val="00972032"/>
    <w:rsid w:val="00972142"/>
    <w:rsid w:val="009725EA"/>
    <w:rsid w:val="00972693"/>
    <w:rsid w:val="009727AC"/>
    <w:rsid w:val="009727C3"/>
    <w:rsid w:val="009727FA"/>
    <w:rsid w:val="009728C1"/>
    <w:rsid w:val="00972BDD"/>
    <w:rsid w:val="00972D66"/>
    <w:rsid w:val="00972DFE"/>
    <w:rsid w:val="0097323C"/>
    <w:rsid w:val="00973285"/>
    <w:rsid w:val="009734BB"/>
    <w:rsid w:val="00973681"/>
    <w:rsid w:val="00973829"/>
    <w:rsid w:val="00973838"/>
    <w:rsid w:val="009739ED"/>
    <w:rsid w:val="00973AEA"/>
    <w:rsid w:val="00973BC9"/>
    <w:rsid w:val="00973C55"/>
    <w:rsid w:val="00973D56"/>
    <w:rsid w:val="00973DD3"/>
    <w:rsid w:val="00973E3C"/>
    <w:rsid w:val="00973E4E"/>
    <w:rsid w:val="00973EB4"/>
    <w:rsid w:val="00974112"/>
    <w:rsid w:val="00974447"/>
    <w:rsid w:val="009747A8"/>
    <w:rsid w:val="00974AE5"/>
    <w:rsid w:val="00974D43"/>
    <w:rsid w:val="00974F3D"/>
    <w:rsid w:val="00975382"/>
    <w:rsid w:val="00975414"/>
    <w:rsid w:val="00975589"/>
    <w:rsid w:val="009755FB"/>
    <w:rsid w:val="0097565B"/>
    <w:rsid w:val="00975697"/>
    <w:rsid w:val="00975774"/>
    <w:rsid w:val="00975836"/>
    <w:rsid w:val="00975897"/>
    <w:rsid w:val="00975B85"/>
    <w:rsid w:val="00975C26"/>
    <w:rsid w:val="00975CE1"/>
    <w:rsid w:val="00975D33"/>
    <w:rsid w:val="00975D66"/>
    <w:rsid w:val="00975E2B"/>
    <w:rsid w:val="00975E72"/>
    <w:rsid w:val="00975EEF"/>
    <w:rsid w:val="00975F72"/>
    <w:rsid w:val="00976073"/>
    <w:rsid w:val="0097615B"/>
    <w:rsid w:val="009765EE"/>
    <w:rsid w:val="009769F5"/>
    <w:rsid w:val="00976AA2"/>
    <w:rsid w:val="00976AC8"/>
    <w:rsid w:val="00976DA7"/>
    <w:rsid w:val="00976F1B"/>
    <w:rsid w:val="0097707F"/>
    <w:rsid w:val="009770B2"/>
    <w:rsid w:val="009771A6"/>
    <w:rsid w:val="00977236"/>
    <w:rsid w:val="009773D8"/>
    <w:rsid w:val="009774A3"/>
    <w:rsid w:val="00977513"/>
    <w:rsid w:val="0097753A"/>
    <w:rsid w:val="0097759D"/>
    <w:rsid w:val="009777E2"/>
    <w:rsid w:val="0097789E"/>
    <w:rsid w:val="0097796F"/>
    <w:rsid w:val="00977A53"/>
    <w:rsid w:val="00977BE8"/>
    <w:rsid w:val="00977C57"/>
    <w:rsid w:val="00977EE7"/>
    <w:rsid w:val="00980050"/>
    <w:rsid w:val="00980103"/>
    <w:rsid w:val="00980403"/>
    <w:rsid w:val="0098056E"/>
    <w:rsid w:val="009806A2"/>
    <w:rsid w:val="0098078E"/>
    <w:rsid w:val="009808C2"/>
    <w:rsid w:val="009809B8"/>
    <w:rsid w:val="009809EF"/>
    <w:rsid w:val="00980A2F"/>
    <w:rsid w:val="00980AB0"/>
    <w:rsid w:val="00980B90"/>
    <w:rsid w:val="00980BB8"/>
    <w:rsid w:val="00980C97"/>
    <w:rsid w:val="00980CC4"/>
    <w:rsid w:val="00980F29"/>
    <w:rsid w:val="00980F61"/>
    <w:rsid w:val="00980FD3"/>
    <w:rsid w:val="009810CA"/>
    <w:rsid w:val="009810D9"/>
    <w:rsid w:val="00981102"/>
    <w:rsid w:val="00981352"/>
    <w:rsid w:val="009815A5"/>
    <w:rsid w:val="009815B8"/>
    <w:rsid w:val="009815E2"/>
    <w:rsid w:val="009815E9"/>
    <w:rsid w:val="00981606"/>
    <w:rsid w:val="009816D3"/>
    <w:rsid w:val="009817A7"/>
    <w:rsid w:val="009817E2"/>
    <w:rsid w:val="00981BF9"/>
    <w:rsid w:val="00981E1A"/>
    <w:rsid w:val="00981F4C"/>
    <w:rsid w:val="009825AC"/>
    <w:rsid w:val="00982611"/>
    <w:rsid w:val="00982648"/>
    <w:rsid w:val="00982757"/>
    <w:rsid w:val="009827D1"/>
    <w:rsid w:val="009827D2"/>
    <w:rsid w:val="009829BE"/>
    <w:rsid w:val="00982C1A"/>
    <w:rsid w:val="00982C9A"/>
    <w:rsid w:val="00982DC7"/>
    <w:rsid w:val="00982EF2"/>
    <w:rsid w:val="00982F12"/>
    <w:rsid w:val="00982FF5"/>
    <w:rsid w:val="00983032"/>
    <w:rsid w:val="009831DD"/>
    <w:rsid w:val="0098320C"/>
    <w:rsid w:val="00983217"/>
    <w:rsid w:val="00983403"/>
    <w:rsid w:val="00983467"/>
    <w:rsid w:val="009834F7"/>
    <w:rsid w:val="00983554"/>
    <w:rsid w:val="0098358B"/>
    <w:rsid w:val="009835A7"/>
    <w:rsid w:val="0098374D"/>
    <w:rsid w:val="00983870"/>
    <w:rsid w:val="009838D0"/>
    <w:rsid w:val="00983E23"/>
    <w:rsid w:val="00983F0E"/>
    <w:rsid w:val="00983F84"/>
    <w:rsid w:val="00984212"/>
    <w:rsid w:val="0098424F"/>
    <w:rsid w:val="00984486"/>
    <w:rsid w:val="009845A2"/>
    <w:rsid w:val="00984623"/>
    <w:rsid w:val="009848CC"/>
    <w:rsid w:val="00984B90"/>
    <w:rsid w:val="00984BF5"/>
    <w:rsid w:val="00984E19"/>
    <w:rsid w:val="00984E36"/>
    <w:rsid w:val="00984E50"/>
    <w:rsid w:val="00984FED"/>
    <w:rsid w:val="009850A4"/>
    <w:rsid w:val="00985166"/>
    <w:rsid w:val="009851BA"/>
    <w:rsid w:val="00985717"/>
    <w:rsid w:val="00985873"/>
    <w:rsid w:val="009859EF"/>
    <w:rsid w:val="00985A31"/>
    <w:rsid w:val="00985BBA"/>
    <w:rsid w:val="00985C66"/>
    <w:rsid w:val="00985D0D"/>
    <w:rsid w:val="00985E28"/>
    <w:rsid w:val="00985E75"/>
    <w:rsid w:val="00985F40"/>
    <w:rsid w:val="00985F53"/>
    <w:rsid w:val="00985FAE"/>
    <w:rsid w:val="00986146"/>
    <w:rsid w:val="00986417"/>
    <w:rsid w:val="0098644C"/>
    <w:rsid w:val="0098656D"/>
    <w:rsid w:val="009865AB"/>
    <w:rsid w:val="00986853"/>
    <w:rsid w:val="00986995"/>
    <w:rsid w:val="009869E8"/>
    <w:rsid w:val="00986AD2"/>
    <w:rsid w:val="00986B19"/>
    <w:rsid w:val="00986B24"/>
    <w:rsid w:val="00986C46"/>
    <w:rsid w:val="00986C83"/>
    <w:rsid w:val="00986D1D"/>
    <w:rsid w:val="00986DFE"/>
    <w:rsid w:val="00986FCF"/>
    <w:rsid w:val="00987039"/>
    <w:rsid w:val="00987112"/>
    <w:rsid w:val="00987129"/>
    <w:rsid w:val="0098730B"/>
    <w:rsid w:val="009874AA"/>
    <w:rsid w:val="0098758B"/>
    <w:rsid w:val="009875D6"/>
    <w:rsid w:val="00987656"/>
    <w:rsid w:val="0098769D"/>
    <w:rsid w:val="0098786F"/>
    <w:rsid w:val="009879AE"/>
    <w:rsid w:val="00987BA0"/>
    <w:rsid w:val="00987CF3"/>
    <w:rsid w:val="00987F98"/>
    <w:rsid w:val="00987FCE"/>
    <w:rsid w:val="00990016"/>
    <w:rsid w:val="00990093"/>
    <w:rsid w:val="009900FC"/>
    <w:rsid w:val="009901FE"/>
    <w:rsid w:val="00990350"/>
    <w:rsid w:val="009903B5"/>
    <w:rsid w:val="009904B9"/>
    <w:rsid w:val="009904E3"/>
    <w:rsid w:val="009906E4"/>
    <w:rsid w:val="00990839"/>
    <w:rsid w:val="00990894"/>
    <w:rsid w:val="00990A12"/>
    <w:rsid w:val="00990A34"/>
    <w:rsid w:val="00990FD8"/>
    <w:rsid w:val="009910BC"/>
    <w:rsid w:val="009910C6"/>
    <w:rsid w:val="009912F4"/>
    <w:rsid w:val="00991483"/>
    <w:rsid w:val="009914F2"/>
    <w:rsid w:val="009915ED"/>
    <w:rsid w:val="00991697"/>
    <w:rsid w:val="0099169C"/>
    <w:rsid w:val="009919CA"/>
    <w:rsid w:val="00991C86"/>
    <w:rsid w:val="00991DAE"/>
    <w:rsid w:val="00991E35"/>
    <w:rsid w:val="00991E62"/>
    <w:rsid w:val="00991FAF"/>
    <w:rsid w:val="009920EF"/>
    <w:rsid w:val="0099215D"/>
    <w:rsid w:val="00992213"/>
    <w:rsid w:val="00992809"/>
    <w:rsid w:val="00992833"/>
    <w:rsid w:val="009928CE"/>
    <w:rsid w:val="00992975"/>
    <w:rsid w:val="00992A4E"/>
    <w:rsid w:val="00992A7B"/>
    <w:rsid w:val="00992ADD"/>
    <w:rsid w:val="00992CCA"/>
    <w:rsid w:val="00992F1C"/>
    <w:rsid w:val="00992F20"/>
    <w:rsid w:val="00992F85"/>
    <w:rsid w:val="0099303F"/>
    <w:rsid w:val="00993070"/>
    <w:rsid w:val="0099312B"/>
    <w:rsid w:val="00993213"/>
    <w:rsid w:val="0099325A"/>
    <w:rsid w:val="00993599"/>
    <w:rsid w:val="0099361B"/>
    <w:rsid w:val="0099379C"/>
    <w:rsid w:val="00993A60"/>
    <w:rsid w:val="00993D6E"/>
    <w:rsid w:val="00993F12"/>
    <w:rsid w:val="00993F13"/>
    <w:rsid w:val="00994257"/>
    <w:rsid w:val="009943F8"/>
    <w:rsid w:val="00994422"/>
    <w:rsid w:val="009945FA"/>
    <w:rsid w:val="00994659"/>
    <w:rsid w:val="00994690"/>
    <w:rsid w:val="0099484F"/>
    <w:rsid w:val="009948BE"/>
    <w:rsid w:val="00994A2B"/>
    <w:rsid w:val="00994B3C"/>
    <w:rsid w:val="00994F22"/>
    <w:rsid w:val="00994F96"/>
    <w:rsid w:val="00994FB4"/>
    <w:rsid w:val="0099504A"/>
    <w:rsid w:val="00995279"/>
    <w:rsid w:val="009953F0"/>
    <w:rsid w:val="0099546D"/>
    <w:rsid w:val="0099559E"/>
    <w:rsid w:val="009956AF"/>
    <w:rsid w:val="00995725"/>
    <w:rsid w:val="009958C8"/>
    <w:rsid w:val="00995B47"/>
    <w:rsid w:val="00995B4A"/>
    <w:rsid w:val="00995BA3"/>
    <w:rsid w:val="00995C0D"/>
    <w:rsid w:val="00995D5F"/>
    <w:rsid w:val="00995D9B"/>
    <w:rsid w:val="00995EC2"/>
    <w:rsid w:val="00996042"/>
    <w:rsid w:val="009960D1"/>
    <w:rsid w:val="009962CB"/>
    <w:rsid w:val="0099631B"/>
    <w:rsid w:val="00996558"/>
    <w:rsid w:val="0099665B"/>
    <w:rsid w:val="0099684B"/>
    <w:rsid w:val="00996883"/>
    <w:rsid w:val="00996A99"/>
    <w:rsid w:val="00996BB2"/>
    <w:rsid w:val="00996E7C"/>
    <w:rsid w:val="00996EC0"/>
    <w:rsid w:val="009970B8"/>
    <w:rsid w:val="009970DC"/>
    <w:rsid w:val="009978DF"/>
    <w:rsid w:val="00997944"/>
    <w:rsid w:val="00997AD2"/>
    <w:rsid w:val="00997C36"/>
    <w:rsid w:val="00997D48"/>
    <w:rsid w:val="00997E77"/>
    <w:rsid w:val="009A0061"/>
    <w:rsid w:val="009A00AA"/>
    <w:rsid w:val="009A01B7"/>
    <w:rsid w:val="009A01D6"/>
    <w:rsid w:val="009A02EF"/>
    <w:rsid w:val="009A0437"/>
    <w:rsid w:val="009A04A9"/>
    <w:rsid w:val="009A0546"/>
    <w:rsid w:val="009A05CF"/>
    <w:rsid w:val="009A0649"/>
    <w:rsid w:val="009A0779"/>
    <w:rsid w:val="009A078F"/>
    <w:rsid w:val="009A08FF"/>
    <w:rsid w:val="009A0AA4"/>
    <w:rsid w:val="009A0AB5"/>
    <w:rsid w:val="009A0AE3"/>
    <w:rsid w:val="009A0B55"/>
    <w:rsid w:val="009A0B6B"/>
    <w:rsid w:val="009A0E1D"/>
    <w:rsid w:val="009A0E1E"/>
    <w:rsid w:val="009A0E8D"/>
    <w:rsid w:val="009A0EB3"/>
    <w:rsid w:val="009A0F76"/>
    <w:rsid w:val="009A12B2"/>
    <w:rsid w:val="009A148B"/>
    <w:rsid w:val="009A16AE"/>
    <w:rsid w:val="009A1792"/>
    <w:rsid w:val="009A1840"/>
    <w:rsid w:val="009A1B91"/>
    <w:rsid w:val="009A1CA6"/>
    <w:rsid w:val="009A1CAD"/>
    <w:rsid w:val="009A1D96"/>
    <w:rsid w:val="009A20E7"/>
    <w:rsid w:val="009A23D2"/>
    <w:rsid w:val="009A23D7"/>
    <w:rsid w:val="009A2452"/>
    <w:rsid w:val="009A25D3"/>
    <w:rsid w:val="009A2883"/>
    <w:rsid w:val="009A2B69"/>
    <w:rsid w:val="009A2D4F"/>
    <w:rsid w:val="009A2FF2"/>
    <w:rsid w:val="009A3197"/>
    <w:rsid w:val="009A32EE"/>
    <w:rsid w:val="009A3529"/>
    <w:rsid w:val="009A385D"/>
    <w:rsid w:val="009A3921"/>
    <w:rsid w:val="009A394A"/>
    <w:rsid w:val="009A3B19"/>
    <w:rsid w:val="009A3C16"/>
    <w:rsid w:val="009A3C52"/>
    <w:rsid w:val="009A3CA3"/>
    <w:rsid w:val="009A3F6B"/>
    <w:rsid w:val="009A3FA8"/>
    <w:rsid w:val="009A407A"/>
    <w:rsid w:val="009A4125"/>
    <w:rsid w:val="009A426E"/>
    <w:rsid w:val="009A4299"/>
    <w:rsid w:val="009A4510"/>
    <w:rsid w:val="009A4556"/>
    <w:rsid w:val="009A466E"/>
    <w:rsid w:val="009A486E"/>
    <w:rsid w:val="009A49AA"/>
    <w:rsid w:val="009A4A27"/>
    <w:rsid w:val="009A4C01"/>
    <w:rsid w:val="009A4C45"/>
    <w:rsid w:val="009A4C86"/>
    <w:rsid w:val="009A4E97"/>
    <w:rsid w:val="009A4F18"/>
    <w:rsid w:val="009A50B6"/>
    <w:rsid w:val="009A514B"/>
    <w:rsid w:val="009A5202"/>
    <w:rsid w:val="009A527B"/>
    <w:rsid w:val="009A5294"/>
    <w:rsid w:val="009A52F7"/>
    <w:rsid w:val="009A5327"/>
    <w:rsid w:val="009A5334"/>
    <w:rsid w:val="009A55DB"/>
    <w:rsid w:val="009A5787"/>
    <w:rsid w:val="009A58B1"/>
    <w:rsid w:val="009A5A97"/>
    <w:rsid w:val="009A5C18"/>
    <w:rsid w:val="009A5D0A"/>
    <w:rsid w:val="009A60A2"/>
    <w:rsid w:val="009A6101"/>
    <w:rsid w:val="009A61EE"/>
    <w:rsid w:val="009A62A1"/>
    <w:rsid w:val="009A63F7"/>
    <w:rsid w:val="009A6445"/>
    <w:rsid w:val="009A6461"/>
    <w:rsid w:val="009A65CD"/>
    <w:rsid w:val="009A661E"/>
    <w:rsid w:val="009A676C"/>
    <w:rsid w:val="009A67CA"/>
    <w:rsid w:val="009A6895"/>
    <w:rsid w:val="009A6AC5"/>
    <w:rsid w:val="009A6AF7"/>
    <w:rsid w:val="009A6E4E"/>
    <w:rsid w:val="009A74E1"/>
    <w:rsid w:val="009A77AC"/>
    <w:rsid w:val="009A7822"/>
    <w:rsid w:val="009A7889"/>
    <w:rsid w:val="009A7B28"/>
    <w:rsid w:val="009A7C19"/>
    <w:rsid w:val="009A7C6A"/>
    <w:rsid w:val="009A7DF4"/>
    <w:rsid w:val="009A7E15"/>
    <w:rsid w:val="009A7F79"/>
    <w:rsid w:val="009A7FAA"/>
    <w:rsid w:val="009A7FC2"/>
    <w:rsid w:val="009B005D"/>
    <w:rsid w:val="009B0072"/>
    <w:rsid w:val="009B00BA"/>
    <w:rsid w:val="009B01FA"/>
    <w:rsid w:val="009B03CB"/>
    <w:rsid w:val="009B0473"/>
    <w:rsid w:val="009B0550"/>
    <w:rsid w:val="009B0619"/>
    <w:rsid w:val="009B08E4"/>
    <w:rsid w:val="009B09AA"/>
    <w:rsid w:val="009B0AC9"/>
    <w:rsid w:val="009B0ADA"/>
    <w:rsid w:val="009B0B04"/>
    <w:rsid w:val="009B0F58"/>
    <w:rsid w:val="009B1028"/>
    <w:rsid w:val="009B10E1"/>
    <w:rsid w:val="009B1421"/>
    <w:rsid w:val="009B16CE"/>
    <w:rsid w:val="009B177F"/>
    <w:rsid w:val="009B1AA0"/>
    <w:rsid w:val="009B1AB5"/>
    <w:rsid w:val="009B1B1E"/>
    <w:rsid w:val="009B1D2E"/>
    <w:rsid w:val="009B1E72"/>
    <w:rsid w:val="009B1EAD"/>
    <w:rsid w:val="009B1F26"/>
    <w:rsid w:val="009B1F6A"/>
    <w:rsid w:val="009B1FC4"/>
    <w:rsid w:val="009B2087"/>
    <w:rsid w:val="009B2257"/>
    <w:rsid w:val="009B22E5"/>
    <w:rsid w:val="009B27D0"/>
    <w:rsid w:val="009B27F4"/>
    <w:rsid w:val="009B285B"/>
    <w:rsid w:val="009B290F"/>
    <w:rsid w:val="009B296E"/>
    <w:rsid w:val="009B2A5D"/>
    <w:rsid w:val="009B2ACA"/>
    <w:rsid w:val="009B2B55"/>
    <w:rsid w:val="009B2BC4"/>
    <w:rsid w:val="009B2BD7"/>
    <w:rsid w:val="009B2DB6"/>
    <w:rsid w:val="009B2E13"/>
    <w:rsid w:val="009B30DB"/>
    <w:rsid w:val="009B311B"/>
    <w:rsid w:val="009B314B"/>
    <w:rsid w:val="009B3204"/>
    <w:rsid w:val="009B330F"/>
    <w:rsid w:val="009B3344"/>
    <w:rsid w:val="009B3407"/>
    <w:rsid w:val="009B3434"/>
    <w:rsid w:val="009B3539"/>
    <w:rsid w:val="009B378E"/>
    <w:rsid w:val="009B38DC"/>
    <w:rsid w:val="009B39C7"/>
    <w:rsid w:val="009B39F9"/>
    <w:rsid w:val="009B3A36"/>
    <w:rsid w:val="009B3A6B"/>
    <w:rsid w:val="009B3ACB"/>
    <w:rsid w:val="009B3C69"/>
    <w:rsid w:val="009B3DB6"/>
    <w:rsid w:val="009B3ED1"/>
    <w:rsid w:val="009B3F24"/>
    <w:rsid w:val="009B4153"/>
    <w:rsid w:val="009B4260"/>
    <w:rsid w:val="009B427D"/>
    <w:rsid w:val="009B42D6"/>
    <w:rsid w:val="009B43B4"/>
    <w:rsid w:val="009B43C8"/>
    <w:rsid w:val="009B445E"/>
    <w:rsid w:val="009B458B"/>
    <w:rsid w:val="009B473E"/>
    <w:rsid w:val="009B47B0"/>
    <w:rsid w:val="009B489C"/>
    <w:rsid w:val="009B491E"/>
    <w:rsid w:val="009B4AC5"/>
    <w:rsid w:val="009B4AF7"/>
    <w:rsid w:val="009B4F8C"/>
    <w:rsid w:val="009B5249"/>
    <w:rsid w:val="009B5287"/>
    <w:rsid w:val="009B53FC"/>
    <w:rsid w:val="009B5413"/>
    <w:rsid w:val="009B5616"/>
    <w:rsid w:val="009B56D5"/>
    <w:rsid w:val="009B57DB"/>
    <w:rsid w:val="009B5829"/>
    <w:rsid w:val="009B5F09"/>
    <w:rsid w:val="009B600B"/>
    <w:rsid w:val="009B60B6"/>
    <w:rsid w:val="009B62D6"/>
    <w:rsid w:val="009B6416"/>
    <w:rsid w:val="009B658E"/>
    <w:rsid w:val="009B677A"/>
    <w:rsid w:val="009B6873"/>
    <w:rsid w:val="009B6891"/>
    <w:rsid w:val="009B6973"/>
    <w:rsid w:val="009B6BEE"/>
    <w:rsid w:val="009B6D0B"/>
    <w:rsid w:val="009B6EC6"/>
    <w:rsid w:val="009B6F2C"/>
    <w:rsid w:val="009B6F44"/>
    <w:rsid w:val="009B70A9"/>
    <w:rsid w:val="009B7117"/>
    <w:rsid w:val="009B71B8"/>
    <w:rsid w:val="009B7259"/>
    <w:rsid w:val="009B72B0"/>
    <w:rsid w:val="009B7513"/>
    <w:rsid w:val="009B765F"/>
    <w:rsid w:val="009B7684"/>
    <w:rsid w:val="009B76F7"/>
    <w:rsid w:val="009B7727"/>
    <w:rsid w:val="009B77E7"/>
    <w:rsid w:val="009B781B"/>
    <w:rsid w:val="009B79A6"/>
    <w:rsid w:val="009B7A3C"/>
    <w:rsid w:val="009B7B4D"/>
    <w:rsid w:val="009B7DCB"/>
    <w:rsid w:val="009B7E0B"/>
    <w:rsid w:val="009C0078"/>
    <w:rsid w:val="009C0505"/>
    <w:rsid w:val="009C0636"/>
    <w:rsid w:val="009C064B"/>
    <w:rsid w:val="009C06B0"/>
    <w:rsid w:val="009C0863"/>
    <w:rsid w:val="009C0A45"/>
    <w:rsid w:val="009C0D62"/>
    <w:rsid w:val="009C0EB4"/>
    <w:rsid w:val="009C0EE1"/>
    <w:rsid w:val="009C0FD0"/>
    <w:rsid w:val="009C1041"/>
    <w:rsid w:val="009C1258"/>
    <w:rsid w:val="009C139D"/>
    <w:rsid w:val="009C13E5"/>
    <w:rsid w:val="009C141A"/>
    <w:rsid w:val="009C16F1"/>
    <w:rsid w:val="009C189A"/>
    <w:rsid w:val="009C1913"/>
    <w:rsid w:val="009C1922"/>
    <w:rsid w:val="009C1B1B"/>
    <w:rsid w:val="009C1B51"/>
    <w:rsid w:val="009C1BA3"/>
    <w:rsid w:val="009C1D9A"/>
    <w:rsid w:val="009C1E99"/>
    <w:rsid w:val="009C1FFF"/>
    <w:rsid w:val="009C237F"/>
    <w:rsid w:val="009C25DB"/>
    <w:rsid w:val="009C2608"/>
    <w:rsid w:val="009C2774"/>
    <w:rsid w:val="009C281A"/>
    <w:rsid w:val="009C2A40"/>
    <w:rsid w:val="009C2A4E"/>
    <w:rsid w:val="009C2AFE"/>
    <w:rsid w:val="009C2D1D"/>
    <w:rsid w:val="009C2F51"/>
    <w:rsid w:val="009C2F57"/>
    <w:rsid w:val="009C3188"/>
    <w:rsid w:val="009C3258"/>
    <w:rsid w:val="009C329C"/>
    <w:rsid w:val="009C33F1"/>
    <w:rsid w:val="009C3645"/>
    <w:rsid w:val="009C374F"/>
    <w:rsid w:val="009C3AB2"/>
    <w:rsid w:val="009C3B66"/>
    <w:rsid w:val="009C3C8F"/>
    <w:rsid w:val="009C3D9E"/>
    <w:rsid w:val="009C3EC5"/>
    <w:rsid w:val="009C4286"/>
    <w:rsid w:val="009C4297"/>
    <w:rsid w:val="009C45A6"/>
    <w:rsid w:val="009C4665"/>
    <w:rsid w:val="009C46B7"/>
    <w:rsid w:val="009C47FC"/>
    <w:rsid w:val="009C48B1"/>
    <w:rsid w:val="009C4AFD"/>
    <w:rsid w:val="009C50DD"/>
    <w:rsid w:val="009C51CA"/>
    <w:rsid w:val="009C5399"/>
    <w:rsid w:val="009C5634"/>
    <w:rsid w:val="009C568F"/>
    <w:rsid w:val="009C56BB"/>
    <w:rsid w:val="009C577A"/>
    <w:rsid w:val="009C58D3"/>
    <w:rsid w:val="009C5958"/>
    <w:rsid w:val="009C5969"/>
    <w:rsid w:val="009C5B15"/>
    <w:rsid w:val="009C5BCA"/>
    <w:rsid w:val="009C64EA"/>
    <w:rsid w:val="009C65F8"/>
    <w:rsid w:val="009C68AF"/>
    <w:rsid w:val="009C6BC5"/>
    <w:rsid w:val="009C6DA6"/>
    <w:rsid w:val="009C6E83"/>
    <w:rsid w:val="009C6EC1"/>
    <w:rsid w:val="009C70AB"/>
    <w:rsid w:val="009C714D"/>
    <w:rsid w:val="009C726F"/>
    <w:rsid w:val="009C7634"/>
    <w:rsid w:val="009C7705"/>
    <w:rsid w:val="009C7707"/>
    <w:rsid w:val="009C77DD"/>
    <w:rsid w:val="009C787D"/>
    <w:rsid w:val="009C79EE"/>
    <w:rsid w:val="009C7A40"/>
    <w:rsid w:val="009C7C71"/>
    <w:rsid w:val="009C7D6B"/>
    <w:rsid w:val="009C7DD7"/>
    <w:rsid w:val="009C7F44"/>
    <w:rsid w:val="009C7FC9"/>
    <w:rsid w:val="009C7FCA"/>
    <w:rsid w:val="009D02A8"/>
    <w:rsid w:val="009D044E"/>
    <w:rsid w:val="009D06A6"/>
    <w:rsid w:val="009D06D6"/>
    <w:rsid w:val="009D076B"/>
    <w:rsid w:val="009D09C9"/>
    <w:rsid w:val="009D09FA"/>
    <w:rsid w:val="009D0A55"/>
    <w:rsid w:val="009D0A98"/>
    <w:rsid w:val="009D0AD8"/>
    <w:rsid w:val="009D0AF8"/>
    <w:rsid w:val="009D0BF4"/>
    <w:rsid w:val="009D0C1D"/>
    <w:rsid w:val="009D0D6D"/>
    <w:rsid w:val="009D1147"/>
    <w:rsid w:val="009D149E"/>
    <w:rsid w:val="009D14ED"/>
    <w:rsid w:val="009D1516"/>
    <w:rsid w:val="009D151E"/>
    <w:rsid w:val="009D15FE"/>
    <w:rsid w:val="009D190D"/>
    <w:rsid w:val="009D19CD"/>
    <w:rsid w:val="009D1B61"/>
    <w:rsid w:val="009D1C36"/>
    <w:rsid w:val="009D1CE0"/>
    <w:rsid w:val="009D1E03"/>
    <w:rsid w:val="009D1EE6"/>
    <w:rsid w:val="009D200B"/>
    <w:rsid w:val="009D203E"/>
    <w:rsid w:val="009D248F"/>
    <w:rsid w:val="009D24F0"/>
    <w:rsid w:val="009D2578"/>
    <w:rsid w:val="009D2694"/>
    <w:rsid w:val="009D2716"/>
    <w:rsid w:val="009D280E"/>
    <w:rsid w:val="009D2A49"/>
    <w:rsid w:val="009D2A89"/>
    <w:rsid w:val="009D2BA1"/>
    <w:rsid w:val="009D2C3E"/>
    <w:rsid w:val="009D2D57"/>
    <w:rsid w:val="009D2E01"/>
    <w:rsid w:val="009D2E23"/>
    <w:rsid w:val="009D2E8B"/>
    <w:rsid w:val="009D2F34"/>
    <w:rsid w:val="009D3348"/>
    <w:rsid w:val="009D3357"/>
    <w:rsid w:val="009D33AD"/>
    <w:rsid w:val="009D345B"/>
    <w:rsid w:val="009D34DE"/>
    <w:rsid w:val="009D37F8"/>
    <w:rsid w:val="009D39F2"/>
    <w:rsid w:val="009D3B7B"/>
    <w:rsid w:val="009D3C0B"/>
    <w:rsid w:val="009D3E05"/>
    <w:rsid w:val="009D3EF7"/>
    <w:rsid w:val="009D3F15"/>
    <w:rsid w:val="009D3F2B"/>
    <w:rsid w:val="009D422F"/>
    <w:rsid w:val="009D449E"/>
    <w:rsid w:val="009D44D4"/>
    <w:rsid w:val="009D45A5"/>
    <w:rsid w:val="009D4787"/>
    <w:rsid w:val="009D48B9"/>
    <w:rsid w:val="009D4A62"/>
    <w:rsid w:val="009D4DC3"/>
    <w:rsid w:val="009D4E54"/>
    <w:rsid w:val="009D53B6"/>
    <w:rsid w:val="009D53FA"/>
    <w:rsid w:val="009D5406"/>
    <w:rsid w:val="009D548E"/>
    <w:rsid w:val="009D5665"/>
    <w:rsid w:val="009D56C2"/>
    <w:rsid w:val="009D56E3"/>
    <w:rsid w:val="009D57D7"/>
    <w:rsid w:val="009D5803"/>
    <w:rsid w:val="009D5841"/>
    <w:rsid w:val="009D590E"/>
    <w:rsid w:val="009D5957"/>
    <w:rsid w:val="009D596B"/>
    <w:rsid w:val="009D59AC"/>
    <w:rsid w:val="009D5CF7"/>
    <w:rsid w:val="009D6027"/>
    <w:rsid w:val="009D6294"/>
    <w:rsid w:val="009D633E"/>
    <w:rsid w:val="009D63E2"/>
    <w:rsid w:val="009D647D"/>
    <w:rsid w:val="009D647E"/>
    <w:rsid w:val="009D648D"/>
    <w:rsid w:val="009D6536"/>
    <w:rsid w:val="009D684D"/>
    <w:rsid w:val="009D6A22"/>
    <w:rsid w:val="009D6A9C"/>
    <w:rsid w:val="009D6AC3"/>
    <w:rsid w:val="009D6C60"/>
    <w:rsid w:val="009D6F06"/>
    <w:rsid w:val="009D7021"/>
    <w:rsid w:val="009D716A"/>
    <w:rsid w:val="009D71CB"/>
    <w:rsid w:val="009D71F6"/>
    <w:rsid w:val="009D739E"/>
    <w:rsid w:val="009D73A0"/>
    <w:rsid w:val="009D757D"/>
    <w:rsid w:val="009D76A6"/>
    <w:rsid w:val="009D784F"/>
    <w:rsid w:val="009D7A00"/>
    <w:rsid w:val="009D7AA2"/>
    <w:rsid w:val="009D7B44"/>
    <w:rsid w:val="009D7BAE"/>
    <w:rsid w:val="009D7C0A"/>
    <w:rsid w:val="009D7CC4"/>
    <w:rsid w:val="009D7CC8"/>
    <w:rsid w:val="009D7D85"/>
    <w:rsid w:val="009D7E65"/>
    <w:rsid w:val="009D7ECB"/>
    <w:rsid w:val="009D7F0A"/>
    <w:rsid w:val="009E01AF"/>
    <w:rsid w:val="009E0245"/>
    <w:rsid w:val="009E02F3"/>
    <w:rsid w:val="009E0442"/>
    <w:rsid w:val="009E044C"/>
    <w:rsid w:val="009E05EB"/>
    <w:rsid w:val="009E07B9"/>
    <w:rsid w:val="009E0896"/>
    <w:rsid w:val="009E0B9D"/>
    <w:rsid w:val="009E0C38"/>
    <w:rsid w:val="009E0C8F"/>
    <w:rsid w:val="009E0CC1"/>
    <w:rsid w:val="009E101E"/>
    <w:rsid w:val="009E10DD"/>
    <w:rsid w:val="009E10E1"/>
    <w:rsid w:val="009E112B"/>
    <w:rsid w:val="009E11B7"/>
    <w:rsid w:val="009E11CC"/>
    <w:rsid w:val="009E136B"/>
    <w:rsid w:val="009E141C"/>
    <w:rsid w:val="009E1452"/>
    <w:rsid w:val="009E159D"/>
    <w:rsid w:val="009E159E"/>
    <w:rsid w:val="009E1811"/>
    <w:rsid w:val="009E1898"/>
    <w:rsid w:val="009E1909"/>
    <w:rsid w:val="009E1AFA"/>
    <w:rsid w:val="009E1C7B"/>
    <w:rsid w:val="009E1DB9"/>
    <w:rsid w:val="009E1E86"/>
    <w:rsid w:val="009E1ECD"/>
    <w:rsid w:val="009E1F1C"/>
    <w:rsid w:val="009E1F60"/>
    <w:rsid w:val="009E2168"/>
    <w:rsid w:val="009E2556"/>
    <w:rsid w:val="009E269B"/>
    <w:rsid w:val="009E29F4"/>
    <w:rsid w:val="009E2BAC"/>
    <w:rsid w:val="009E2CA9"/>
    <w:rsid w:val="009E2E7C"/>
    <w:rsid w:val="009E2FFA"/>
    <w:rsid w:val="009E3100"/>
    <w:rsid w:val="009E315A"/>
    <w:rsid w:val="009E32C2"/>
    <w:rsid w:val="009E3548"/>
    <w:rsid w:val="009E366B"/>
    <w:rsid w:val="009E36F1"/>
    <w:rsid w:val="009E38BB"/>
    <w:rsid w:val="009E3958"/>
    <w:rsid w:val="009E3C90"/>
    <w:rsid w:val="009E3CA3"/>
    <w:rsid w:val="009E3CAC"/>
    <w:rsid w:val="009E3CF1"/>
    <w:rsid w:val="009E3D51"/>
    <w:rsid w:val="009E3D9B"/>
    <w:rsid w:val="009E3E7D"/>
    <w:rsid w:val="009E3F13"/>
    <w:rsid w:val="009E3F62"/>
    <w:rsid w:val="009E4124"/>
    <w:rsid w:val="009E4185"/>
    <w:rsid w:val="009E4226"/>
    <w:rsid w:val="009E4238"/>
    <w:rsid w:val="009E43B9"/>
    <w:rsid w:val="009E445C"/>
    <w:rsid w:val="009E4514"/>
    <w:rsid w:val="009E4543"/>
    <w:rsid w:val="009E469F"/>
    <w:rsid w:val="009E46DD"/>
    <w:rsid w:val="009E49A4"/>
    <w:rsid w:val="009E4F1C"/>
    <w:rsid w:val="009E5118"/>
    <w:rsid w:val="009E514E"/>
    <w:rsid w:val="009E51A5"/>
    <w:rsid w:val="009E5467"/>
    <w:rsid w:val="009E5515"/>
    <w:rsid w:val="009E5643"/>
    <w:rsid w:val="009E5677"/>
    <w:rsid w:val="009E5764"/>
    <w:rsid w:val="009E5B92"/>
    <w:rsid w:val="009E5DEC"/>
    <w:rsid w:val="009E5F3D"/>
    <w:rsid w:val="009E6122"/>
    <w:rsid w:val="009E6378"/>
    <w:rsid w:val="009E637D"/>
    <w:rsid w:val="009E63D1"/>
    <w:rsid w:val="009E6D10"/>
    <w:rsid w:val="009E6E4B"/>
    <w:rsid w:val="009E6FD7"/>
    <w:rsid w:val="009E70F7"/>
    <w:rsid w:val="009E7259"/>
    <w:rsid w:val="009E739C"/>
    <w:rsid w:val="009E74D7"/>
    <w:rsid w:val="009E75A7"/>
    <w:rsid w:val="009E7690"/>
    <w:rsid w:val="009E77BD"/>
    <w:rsid w:val="009E7929"/>
    <w:rsid w:val="009E79CE"/>
    <w:rsid w:val="009E79F0"/>
    <w:rsid w:val="009E7BC1"/>
    <w:rsid w:val="009E7C2F"/>
    <w:rsid w:val="009E7D62"/>
    <w:rsid w:val="009E7F9C"/>
    <w:rsid w:val="009E7FBB"/>
    <w:rsid w:val="009F01C7"/>
    <w:rsid w:val="009F02A4"/>
    <w:rsid w:val="009F031A"/>
    <w:rsid w:val="009F03BA"/>
    <w:rsid w:val="009F04DF"/>
    <w:rsid w:val="009F0515"/>
    <w:rsid w:val="009F0895"/>
    <w:rsid w:val="009F08E9"/>
    <w:rsid w:val="009F0960"/>
    <w:rsid w:val="009F0AAD"/>
    <w:rsid w:val="009F0B4B"/>
    <w:rsid w:val="009F0BED"/>
    <w:rsid w:val="009F0DB0"/>
    <w:rsid w:val="009F0DFC"/>
    <w:rsid w:val="009F0E3F"/>
    <w:rsid w:val="009F0E95"/>
    <w:rsid w:val="009F0FC6"/>
    <w:rsid w:val="009F100F"/>
    <w:rsid w:val="009F10C5"/>
    <w:rsid w:val="009F12C7"/>
    <w:rsid w:val="009F1356"/>
    <w:rsid w:val="009F1402"/>
    <w:rsid w:val="009F141D"/>
    <w:rsid w:val="009F15E8"/>
    <w:rsid w:val="009F1602"/>
    <w:rsid w:val="009F178F"/>
    <w:rsid w:val="009F1B6C"/>
    <w:rsid w:val="009F1E9A"/>
    <w:rsid w:val="009F20DA"/>
    <w:rsid w:val="009F20E0"/>
    <w:rsid w:val="009F2194"/>
    <w:rsid w:val="009F232D"/>
    <w:rsid w:val="009F25DC"/>
    <w:rsid w:val="009F2764"/>
    <w:rsid w:val="009F276D"/>
    <w:rsid w:val="009F2B29"/>
    <w:rsid w:val="009F2C04"/>
    <w:rsid w:val="009F2C2E"/>
    <w:rsid w:val="009F2C64"/>
    <w:rsid w:val="009F2D9F"/>
    <w:rsid w:val="009F3262"/>
    <w:rsid w:val="009F3305"/>
    <w:rsid w:val="009F339A"/>
    <w:rsid w:val="009F33DF"/>
    <w:rsid w:val="009F343D"/>
    <w:rsid w:val="009F36FF"/>
    <w:rsid w:val="009F3733"/>
    <w:rsid w:val="009F37B1"/>
    <w:rsid w:val="009F3A96"/>
    <w:rsid w:val="009F3B6F"/>
    <w:rsid w:val="009F3C00"/>
    <w:rsid w:val="009F3C3F"/>
    <w:rsid w:val="009F3E66"/>
    <w:rsid w:val="009F3E96"/>
    <w:rsid w:val="009F3FBE"/>
    <w:rsid w:val="009F436D"/>
    <w:rsid w:val="009F44BD"/>
    <w:rsid w:val="009F4717"/>
    <w:rsid w:val="009F487C"/>
    <w:rsid w:val="009F49D9"/>
    <w:rsid w:val="009F4A75"/>
    <w:rsid w:val="009F4AE3"/>
    <w:rsid w:val="009F4CFE"/>
    <w:rsid w:val="009F4DD0"/>
    <w:rsid w:val="009F4E7D"/>
    <w:rsid w:val="009F4FC9"/>
    <w:rsid w:val="009F5059"/>
    <w:rsid w:val="009F5197"/>
    <w:rsid w:val="009F55A1"/>
    <w:rsid w:val="009F56D6"/>
    <w:rsid w:val="009F5881"/>
    <w:rsid w:val="009F5C18"/>
    <w:rsid w:val="009F5E8A"/>
    <w:rsid w:val="009F5F3E"/>
    <w:rsid w:val="009F6071"/>
    <w:rsid w:val="009F60E8"/>
    <w:rsid w:val="009F613C"/>
    <w:rsid w:val="009F6160"/>
    <w:rsid w:val="009F61A1"/>
    <w:rsid w:val="009F61DB"/>
    <w:rsid w:val="009F628E"/>
    <w:rsid w:val="009F637B"/>
    <w:rsid w:val="009F63BC"/>
    <w:rsid w:val="009F661A"/>
    <w:rsid w:val="009F68AD"/>
    <w:rsid w:val="009F6928"/>
    <w:rsid w:val="009F6940"/>
    <w:rsid w:val="009F6CA7"/>
    <w:rsid w:val="009F6DF3"/>
    <w:rsid w:val="009F6EBB"/>
    <w:rsid w:val="009F6FBF"/>
    <w:rsid w:val="009F70FB"/>
    <w:rsid w:val="009F728F"/>
    <w:rsid w:val="009F7822"/>
    <w:rsid w:val="009F79D0"/>
    <w:rsid w:val="009F7C2B"/>
    <w:rsid w:val="009F7CA3"/>
    <w:rsid w:val="009F7D3F"/>
    <w:rsid w:val="009F7D90"/>
    <w:rsid w:val="00A0016B"/>
    <w:rsid w:val="00A00280"/>
    <w:rsid w:val="00A00766"/>
    <w:rsid w:val="00A0076C"/>
    <w:rsid w:val="00A007BE"/>
    <w:rsid w:val="00A00964"/>
    <w:rsid w:val="00A00971"/>
    <w:rsid w:val="00A00CBA"/>
    <w:rsid w:val="00A00D22"/>
    <w:rsid w:val="00A00FAA"/>
    <w:rsid w:val="00A01033"/>
    <w:rsid w:val="00A01051"/>
    <w:rsid w:val="00A0106A"/>
    <w:rsid w:val="00A010CB"/>
    <w:rsid w:val="00A0112B"/>
    <w:rsid w:val="00A013BE"/>
    <w:rsid w:val="00A015B7"/>
    <w:rsid w:val="00A015EF"/>
    <w:rsid w:val="00A018E2"/>
    <w:rsid w:val="00A01AA3"/>
    <w:rsid w:val="00A01AB1"/>
    <w:rsid w:val="00A01C0F"/>
    <w:rsid w:val="00A01CA8"/>
    <w:rsid w:val="00A01F5C"/>
    <w:rsid w:val="00A02049"/>
    <w:rsid w:val="00A02060"/>
    <w:rsid w:val="00A021EF"/>
    <w:rsid w:val="00A02369"/>
    <w:rsid w:val="00A028CB"/>
    <w:rsid w:val="00A02AB9"/>
    <w:rsid w:val="00A02BF9"/>
    <w:rsid w:val="00A02C4D"/>
    <w:rsid w:val="00A03164"/>
    <w:rsid w:val="00A03277"/>
    <w:rsid w:val="00A032BA"/>
    <w:rsid w:val="00A0331B"/>
    <w:rsid w:val="00A03406"/>
    <w:rsid w:val="00A0340F"/>
    <w:rsid w:val="00A03445"/>
    <w:rsid w:val="00A0346E"/>
    <w:rsid w:val="00A0348B"/>
    <w:rsid w:val="00A034DB"/>
    <w:rsid w:val="00A035AE"/>
    <w:rsid w:val="00A03725"/>
    <w:rsid w:val="00A03772"/>
    <w:rsid w:val="00A03810"/>
    <w:rsid w:val="00A0390E"/>
    <w:rsid w:val="00A03998"/>
    <w:rsid w:val="00A03A65"/>
    <w:rsid w:val="00A03AD5"/>
    <w:rsid w:val="00A03AEC"/>
    <w:rsid w:val="00A03AEF"/>
    <w:rsid w:val="00A03B06"/>
    <w:rsid w:val="00A03BF1"/>
    <w:rsid w:val="00A03C52"/>
    <w:rsid w:val="00A03FCE"/>
    <w:rsid w:val="00A041CF"/>
    <w:rsid w:val="00A04341"/>
    <w:rsid w:val="00A044E4"/>
    <w:rsid w:val="00A045D2"/>
    <w:rsid w:val="00A045DA"/>
    <w:rsid w:val="00A0464E"/>
    <w:rsid w:val="00A0481D"/>
    <w:rsid w:val="00A0483D"/>
    <w:rsid w:val="00A048D8"/>
    <w:rsid w:val="00A0491B"/>
    <w:rsid w:val="00A04B0D"/>
    <w:rsid w:val="00A04F52"/>
    <w:rsid w:val="00A04F9F"/>
    <w:rsid w:val="00A04FE4"/>
    <w:rsid w:val="00A05179"/>
    <w:rsid w:val="00A0531E"/>
    <w:rsid w:val="00A05425"/>
    <w:rsid w:val="00A054D3"/>
    <w:rsid w:val="00A0552A"/>
    <w:rsid w:val="00A055D8"/>
    <w:rsid w:val="00A0567A"/>
    <w:rsid w:val="00A05865"/>
    <w:rsid w:val="00A05A39"/>
    <w:rsid w:val="00A05A6A"/>
    <w:rsid w:val="00A05A70"/>
    <w:rsid w:val="00A05A76"/>
    <w:rsid w:val="00A05A8F"/>
    <w:rsid w:val="00A05AD9"/>
    <w:rsid w:val="00A05B67"/>
    <w:rsid w:val="00A05DB4"/>
    <w:rsid w:val="00A05E3B"/>
    <w:rsid w:val="00A05F8A"/>
    <w:rsid w:val="00A05FE6"/>
    <w:rsid w:val="00A064EB"/>
    <w:rsid w:val="00A065B1"/>
    <w:rsid w:val="00A066CE"/>
    <w:rsid w:val="00A066D0"/>
    <w:rsid w:val="00A0675D"/>
    <w:rsid w:val="00A06834"/>
    <w:rsid w:val="00A06A4A"/>
    <w:rsid w:val="00A06C1D"/>
    <w:rsid w:val="00A06E41"/>
    <w:rsid w:val="00A06EF5"/>
    <w:rsid w:val="00A06F74"/>
    <w:rsid w:val="00A07007"/>
    <w:rsid w:val="00A0716C"/>
    <w:rsid w:val="00A07195"/>
    <w:rsid w:val="00A071E7"/>
    <w:rsid w:val="00A07366"/>
    <w:rsid w:val="00A07425"/>
    <w:rsid w:val="00A0761C"/>
    <w:rsid w:val="00A0762C"/>
    <w:rsid w:val="00A0790B"/>
    <w:rsid w:val="00A07AEE"/>
    <w:rsid w:val="00A07CDE"/>
    <w:rsid w:val="00A07FA2"/>
    <w:rsid w:val="00A07FF2"/>
    <w:rsid w:val="00A10004"/>
    <w:rsid w:val="00A102C4"/>
    <w:rsid w:val="00A10535"/>
    <w:rsid w:val="00A1055F"/>
    <w:rsid w:val="00A1056A"/>
    <w:rsid w:val="00A1078C"/>
    <w:rsid w:val="00A10842"/>
    <w:rsid w:val="00A10905"/>
    <w:rsid w:val="00A109CA"/>
    <w:rsid w:val="00A10A46"/>
    <w:rsid w:val="00A10B57"/>
    <w:rsid w:val="00A10B78"/>
    <w:rsid w:val="00A10C39"/>
    <w:rsid w:val="00A10D50"/>
    <w:rsid w:val="00A10DEE"/>
    <w:rsid w:val="00A11121"/>
    <w:rsid w:val="00A111F1"/>
    <w:rsid w:val="00A112BC"/>
    <w:rsid w:val="00A1139F"/>
    <w:rsid w:val="00A113A9"/>
    <w:rsid w:val="00A113FC"/>
    <w:rsid w:val="00A1149B"/>
    <w:rsid w:val="00A114C0"/>
    <w:rsid w:val="00A11553"/>
    <w:rsid w:val="00A115B4"/>
    <w:rsid w:val="00A11623"/>
    <w:rsid w:val="00A1163E"/>
    <w:rsid w:val="00A11653"/>
    <w:rsid w:val="00A11654"/>
    <w:rsid w:val="00A1169B"/>
    <w:rsid w:val="00A116DC"/>
    <w:rsid w:val="00A118D7"/>
    <w:rsid w:val="00A118F4"/>
    <w:rsid w:val="00A1190D"/>
    <w:rsid w:val="00A11A7A"/>
    <w:rsid w:val="00A11DD5"/>
    <w:rsid w:val="00A11FC9"/>
    <w:rsid w:val="00A12350"/>
    <w:rsid w:val="00A1235F"/>
    <w:rsid w:val="00A1242A"/>
    <w:rsid w:val="00A124B8"/>
    <w:rsid w:val="00A12543"/>
    <w:rsid w:val="00A12710"/>
    <w:rsid w:val="00A12922"/>
    <w:rsid w:val="00A1297D"/>
    <w:rsid w:val="00A12A7B"/>
    <w:rsid w:val="00A12A9A"/>
    <w:rsid w:val="00A12B6B"/>
    <w:rsid w:val="00A12CBB"/>
    <w:rsid w:val="00A12EDF"/>
    <w:rsid w:val="00A12FD3"/>
    <w:rsid w:val="00A132D7"/>
    <w:rsid w:val="00A1347D"/>
    <w:rsid w:val="00A13690"/>
    <w:rsid w:val="00A136CF"/>
    <w:rsid w:val="00A1382D"/>
    <w:rsid w:val="00A13A2D"/>
    <w:rsid w:val="00A13C6A"/>
    <w:rsid w:val="00A13C99"/>
    <w:rsid w:val="00A13D0D"/>
    <w:rsid w:val="00A13D4A"/>
    <w:rsid w:val="00A13D50"/>
    <w:rsid w:val="00A13D93"/>
    <w:rsid w:val="00A13E1D"/>
    <w:rsid w:val="00A13F4C"/>
    <w:rsid w:val="00A14177"/>
    <w:rsid w:val="00A1441A"/>
    <w:rsid w:val="00A14443"/>
    <w:rsid w:val="00A144D4"/>
    <w:rsid w:val="00A14513"/>
    <w:rsid w:val="00A1480A"/>
    <w:rsid w:val="00A14989"/>
    <w:rsid w:val="00A14A30"/>
    <w:rsid w:val="00A14B8A"/>
    <w:rsid w:val="00A14BDD"/>
    <w:rsid w:val="00A14C30"/>
    <w:rsid w:val="00A14C3C"/>
    <w:rsid w:val="00A14C4A"/>
    <w:rsid w:val="00A14D65"/>
    <w:rsid w:val="00A14D88"/>
    <w:rsid w:val="00A14DF3"/>
    <w:rsid w:val="00A14EB0"/>
    <w:rsid w:val="00A14F55"/>
    <w:rsid w:val="00A151D2"/>
    <w:rsid w:val="00A15205"/>
    <w:rsid w:val="00A1569A"/>
    <w:rsid w:val="00A15729"/>
    <w:rsid w:val="00A15886"/>
    <w:rsid w:val="00A15988"/>
    <w:rsid w:val="00A15B0A"/>
    <w:rsid w:val="00A15B53"/>
    <w:rsid w:val="00A15B8B"/>
    <w:rsid w:val="00A15C8C"/>
    <w:rsid w:val="00A15F79"/>
    <w:rsid w:val="00A16035"/>
    <w:rsid w:val="00A160CE"/>
    <w:rsid w:val="00A16820"/>
    <w:rsid w:val="00A169FC"/>
    <w:rsid w:val="00A16ECA"/>
    <w:rsid w:val="00A16FCD"/>
    <w:rsid w:val="00A171F2"/>
    <w:rsid w:val="00A17423"/>
    <w:rsid w:val="00A175E9"/>
    <w:rsid w:val="00A17630"/>
    <w:rsid w:val="00A17682"/>
    <w:rsid w:val="00A177BE"/>
    <w:rsid w:val="00A177E3"/>
    <w:rsid w:val="00A1787F"/>
    <w:rsid w:val="00A17955"/>
    <w:rsid w:val="00A179C8"/>
    <w:rsid w:val="00A17BC5"/>
    <w:rsid w:val="00A17C40"/>
    <w:rsid w:val="00A17F63"/>
    <w:rsid w:val="00A2002E"/>
    <w:rsid w:val="00A2005C"/>
    <w:rsid w:val="00A202B8"/>
    <w:rsid w:val="00A20464"/>
    <w:rsid w:val="00A20521"/>
    <w:rsid w:val="00A207BA"/>
    <w:rsid w:val="00A2085F"/>
    <w:rsid w:val="00A20944"/>
    <w:rsid w:val="00A20979"/>
    <w:rsid w:val="00A209A5"/>
    <w:rsid w:val="00A20A05"/>
    <w:rsid w:val="00A20AD0"/>
    <w:rsid w:val="00A20BD5"/>
    <w:rsid w:val="00A20D47"/>
    <w:rsid w:val="00A20DD9"/>
    <w:rsid w:val="00A20E2B"/>
    <w:rsid w:val="00A21023"/>
    <w:rsid w:val="00A21029"/>
    <w:rsid w:val="00A210BE"/>
    <w:rsid w:val="00A21206"/>
    <w:rsid w:val="00A213ED"/>
    <w:rsid w:val="00A215AD"/>
    <w:rsid w:val="00A21645"/>
    <w:rsid w:val="00A21722"/>
    <w:rsid w:val="00A217C1"/>
    <w:rsid w:val="00A21895"/>
    <w:rsid w:val="00A2191B"/>
    <w:rsid w:val="00A219D5"/>
    <w:rsid w:val="00A21D4E"/>
    <w:rsid w:val="00A21E9D"/>
    <w:rsid w:val="00A2235E"/>
    <w:rsid w:val="00A225B9"/>
    <w:rsid w:val="00A2264B"/>
    <w:rsid w:val="00A22692"/>
    <w:rsid w:val="00A22826"/>
    <w:rsid w:val="00A228A4"/>
    <w:rsid w:val="00A22942"/>
    <w:rsid w:val="00A22966"/>
    <w:rsid w:val="00A22BD9"/>
    <w:rsid w:val="00A22BF2"/>
    <w:rsid w:val="00A22D2B"/>
    <w:rsid w:val="00A22DF5"/>
    <w:rsid w:val="00A22E3A"/>
    <w:rsid w:val="00A22F17"/>
    <w:rsid w:val="00A22FCF"/>
    <w:rsid w:val="00A2304C"/>
    <w:rsid w:val="00A230CA"/>
    <w:rsid w:val="00A23173"/>
    <w:rsid w:val="00A23249"/>
    <w:rsid w:val="00A23466"/>
    <w:rsid w:val="00A234CF"/>
    <w:rsid w:val="00A23520"/>
    <w:rsid w:val="00A235C4"/>
    <w:rsid w:val="00A236AE"/>
    <w:rsid w:val="00A23721"/>
    <w:rsid w:val="00A2375D"/>
    <w:rsid w:val="00A238AE"/>
    <w:rsid w:val="00A23A9B"/>
    <w:rsid w:val="00A23AB8"/>
    <w:rsid w:val="00A23AE4"/>
    <w:rsid w:val="00A23C26"/>
    <w:rsid w:val="00A23D0F"/>
    <w:rsid w:val="00A24005"/>
    <w:rsid w:val="00A2414A"/>
    <w:rsid w:val="00A24479"/>
    <w:rsid w:val="00A24832"/>
    <w:rsid w:val="00A24AAF"/>
    <w:rsid w:val="00A24B35"/>
    <w:rsid w:val="00A24BEB"/>
    <w:rsid w:val="00A24C3E"/>
    <w:rsid w:val="00A24CFA"/>
    <w:rsid w:val="00A24F0C"/>
    <w:rsid w:val="00A24F5B"/>
    <w:rsid w:val="00A24F6D"/>
    <w:rsid w:val="00A24FCD"/>
    <w:rsid w:val="00A25196"/>
    <w:rsid w:val="00A251D3"/>
    <w:rsid w:val="00A251F2"/>
    <w:rsid w:val="00A2525C"/>
    <w:rsid w:val="00A2536B"/>
    <w:rsid w:val="00A25504"/>
    <w:rsid w:val="00A25564"/>
    <w:rsid w:val="00A256F9"/>
    <w:rsid w:val="00A2588A"/>
    <w:rsid w:val="00A25A9E"/>
    <w:rsid w:val="00A25C17"/>
    <w:rsid w:val="00A25C9B"/>
    <w:rsid w:val="00A25CA9"/>
    <w:rsid w:val="00A25DA9"/>
    <w:rsid w:val="00A26158"/>
    <w:rsid w:val="00A262F4"/>
    <w:rsid w:val="00A2636A"/>
    <w:rsid w:val="00A2637D"/>
    <w:rsid w:val="00A2653F"/>
    <w:rsid w:val="00A26734"/>
    <w:rsid w:val="00A26943"/>
    <w:rsid w:val="00A269C6"/>
    <w:rsid w:val="00A26A4D"/>
    <w:rsid w:val="00A26A8D"/>
    <w:rsid w:val="00A26BFC"/>
    <w:rsid w:val="00A26C87"/>
    <w:rsid w:val="00A26CD7"/>
    <w:rsid w:val="00A26E97"/>
    <w:rsid w:val="00A2701C"/>
    <w:rsid w:val="00A272C6"/>
    <w:rsid w:val="00A27425"/>
    <w:rsid w:val="00A27435"/>
    <w:rsid w:val="00A274B1"/>
    <w:rsid w:val="00A274CE"/>
    <w:rsid w:val="00A277FE"/>
    <w:rsid w:val="00A27AB6"/>
    <w:rsid w:val="00A27BB4"/>
    <w:rsid w:val="00A27F30"/>
    <w:rsid w:val="00A27FFA"/>
    <w:rsid w:val="00A30007"/>
    <w:rsid w:val="00A303FA"/>
    <w:rsid w:val="00A30458"/>
    <w:rsid w:val="00A30505"/>
    <w:rsid w:val="00A3062A"/>
    <w:rsid w:val="00A308A0"/>
    <w:rsid w:val="00A30976"/>
    <w:rsid w:val="00A30B27"/>
    <w:rsid w:val="00A30B5A"/>
    <w:rsid w:val="00A30C8F"/>
    <w:rsid w:val="00A30DF4"/>
    <w:rsid w:val="00A31074"/>
    <w:rsid w:val="00A3111E"/>
    <w:rsid w:val="00A312D0"/>
    <w:rsid w:val="00A31884"/>
    <w:rsid w:val="00A318C6"/>
    <w:rsid w:val="00A3193A"/>
    <w:rsid w:val="00A31963"/>
    <w:rsid w:val="00A31AEB"/>
    <w:rsid w:val="00A31FCD"/>
    <w:rsid w:val="00A320B7"/>
    <w:rsid w:val="00A32116"/>
    <w:rsid w:val="00A3212D"/>
    <w:rsid w:val="00A321F7"/>
    <w:rsid w:val="00A3228B"/>
    <w:rsid w:val="00A322FA"/>
    <w:rsid w:val="00A3235D"/>
    <w:rsid w:val="00A3237B"/>
    <w:rsid w:val="00A32504"/>
    <w:rsid w:val="00A326A4"/>
    <w:rsid w:val="00A326B8"/>
    <w:rsid w:val="00A32761"/>
    <w:rsid w:val="00A3277C"/>
    <w:rsid w:val="00A328C8"/>
    <w:rsid w:val="00A32942"/>
    <w:rsid w:val="00A329FA"/>
    <w:rsid w:val="00A32B49"/>
    <w:rsid w:val="00A32C0A"/>
    <w:rsid w:val="00A32CC6"/>
    <w:rsid w:val="00A33017"/>
    <w:rsid w:val="00A33039"/>
    <w:rsid w:val="00A3306D"/>
    <w:rsid w:val="00A330A1"/>
    <w:rsid w:val="00A331B3"/>
    <w:rsid w:val="00A3324B"/>
    <w:rsid w:val="00A3340B"/>
    <w:rsid w:val="00A33862"/>
    <w:rsid w:val="00A338A3"/>
    <w:rsid w:val="00A33B46"/>
    <w:rsid w:val="00A33B78"/>
    <w:rsid w:val="00A33D72"/>
    <w:rsid w:val="00A33D9B"/>
    <w:rsid w:val="00A33E20"/>
    <w:rsid w:val="00A33EC5"/>
    <w:rsid w:val="00A33FEC"/>
    <w:rsid w:val="00A342AC"/>
    <w:rsid w:val="00A342F6"/>
    <w:rsid w:val="00A34384"/>
    <w:rsid w:val="00A34396"/>
    <w:rsid w:val="00A346D8"/>
    <w:rsid w:val="00A34760"/>
    <w:rsid w:val="00A34885"/>
    <w:rsid w:val="00A34AC8"/>
    <w:rsid w:val="00A34BB2"/>
    <w:rsid w:val="00A34C65"/>
    <w:rsid w:val="00A34EAA"/>
    <w:rsid w:val="00A34EB0"/>
    <w:rsid w:val="00A35001"/>
    <w:rsid w:val="00A35036"/>
    <w:rsid w:val="00A357E1"/>
    <w:rsid w:val="00A358A9"/>
    <w:rsid w:val="00A35AB6"/>
    <w:rsid w:val="00A35B9A"/>
    <w:rsid w:val="00A35BA0"/>
    <w:rsid w:val="00A35CC5"/>
    <w:rsid w:val="00A35D0C"/>
    <w:rsid w:val="00A35DE4"/>
    <w:rsid w:val="00A35E39"/>
    <w:rsid w:val="00A35EED"/>
    <w:rsid w:val="00A35F6B"/>
    <w:rsid w:val="00A36194"/>
    <w:rsid w:val="00A361FA"/>
    <w:rsid w:val="00A36238"/>
    <w:rsid w:val="00A3626E"/>
    <w:rsid w:val="00A362A1"/>
    <w:rsid w:val="00A3639A"/>
    <w:rsid w:val="00A36613"/>
    <w:rsid w:val="00A367BC"/>
    <w:rsid w:val="00A3690B"/>
    <w:rsid w:val="00A36917"/>
    <w:rsid w:val="00A36B1E"/>
    <w:rsid w:val="00A36C2A"/>
    <w:rsid w:val="00A36CAE"/>
    <w:rsid w:val="00A36CFF"/>
    <w:rsid w:val="00A36D92"/>
    <w:rsid w:val="00A36F41"/>
    <w:rsid w:val="00A37060"/>
    <w:rsid w:val="00A37065"/>
    <w:rsid w:val="00A37104"/>
    <w:rsid w:val="00A3720D"/>
    <w:rsid w:val="00A372B2"/>
    <w:rsid w:val="00A37356"/>
    <w:rsid w:val="00A373FD"/>
    <w:rsid w:val="00A378A5"/>
    <w:rsid w:val="00A37950"/>
    <w:rsid w:val="00A379E6"/>
    <w:rsid w:val="00A37A8A"/>
    <w:rsid w:val="00A37AC3"/>
    <w:rsid w:val="00A37AE6"/>
    <w:rsid w:val="00A37AEA"/>
    <w:rsid w:val="00A40183"/>
    <w:rsid w:val="00A402EC"/>
    <w:rsid w:val="00A40315"/>
    <w:rsid w:val="00A40480"/>
    <w:rsid w:val="00A40562"/>
    <w:rsid w:val="00A406B4"/>
    <w:rsid w:val="00A406DD"/>
    <w:rsid w:val="00A408AD"/>
    <w:rsid w:val="00A4096E"/>
    <w:rsid w:val="00A40C95"/>
    <w:rsid w:val="00A40DEE"/>
    <w:rsid w:val="00A40F2B"/>
    <w:rsid w:val="00A40F7B"/>
    <w:rsid w:val="00A40FC5"/>
    <w:rsid w:val="00A40FFE"/>
    <w:rsid w:val="00A4104E"/>
    <w:rsid w:val="00A412EE"/>
    <w:rsid w:val="00A41367"/>
    <w:rsid w:val="00A4160F"/>
    <w:rsid w:val="00A416EA"/>
    <w:rsid w:val="00A41714"/>
    <w:rsid w:val="00A4171B"/>
    <w:rsid w:val="00A41A4D"/>
    <w:rsid w:val="00A41AE3"/>
    <w:rsid w:val="00A41D20"/>
    <w:rsid w:val="00A41E3D"/>
    <w:rsid w:val="00A41E75"/>
    <w:rsid w:val="00A41E9A"/>
    <w:rsid w:val="00A41FEE"/>
    <w:rsid w:val="00A4202C"/>
    <w:rsid w:val="00A42064"/>
    <w:rsid w:val="00A42319"/>
    <w:rsid w:val="00A42371"/>
    <w:rsid w:val="00A42392"/>
    <w:rsid w:val="00A4245E"/>
    <w:rsid w:val="00A424CF"/>
    <w:rsid w:val="00A427F5"/>
    <w:rsid w:val="00A4282C"/>
    <w:rsid w:val="00A428FF"/>
    <w:rsid w:val="00A42BE9"/>
    <w:rsid w:val="00A42D1F"/>
    <w:rsid w:val="00A43188"/>
    <w:rsid w:val="00A4322E"/>
    <w:rsid w:val="00A4331D"/>
    <w:rsid w:val="00A4332C"/>
    <w:rsid w:val="00A433A6"/>
    <w:rsid w:val="00A4342B"/>
    <w:rsid w:val="00A43705"/>
    <w:rsid w:val="00A43850"/>
    <w:rsid w:val="00A438E5"/>
    <w:rsid w:val="00A43B1C"/>
    <w:rsid w:val="00A43B92"/>
    <w:rsid w:val="00A43BA7"/>
    <w:rsid w:val="00A43E4C"/>
    <w:rsid w:val="00A43F4F"/>
    <w:rsid w:val="00A43FF0"/>
    <w:rsid w:val="00A440E1"/>
    <w:rsid w:val="00A443E7"/>
    <w:rsid w:val="00A44649"/>
    <w:rsid w:val="00A446A8"/>
    <w:rsid w:val="00A4484D"/>
    <w:rsid w:val="00A4491B"/>
    <w:rsid w:val="00A449B0"/>
    <w:rsid w:val="00A44D17"/>
    <w:rsid w:val="00A44E18"/>
    <w:rsid w:val="00A44EAD"/>
    <w:rsid w:val="00A44EE0"/>
    <w:rsid w:val="00A4518F"/>
    <w:rsid w:val="00A452E3"/>
    <w:rsid w:val="00A457CE"/>
    <w:rsid w:val="00A457FF"/>
    <w:rsid w:val="00A45890"/>
    <w:rsid w:val="00A45969"/>
    <w:rsid w:val="00A459D1"/>
    <w:rsid w:val="00A45A43"/>
    <w:rsid w:val="00A45CC0"/>
    <w:rsid w:val="00A45E60"/>
    <w:rsid w:val="00A45E80"/>
    <w:rsid w:val="00A46073"/>
    <w:rsid w:val="00A4607D"/>
    <w:rsid w:val="00A460D2"/>
    <w:rsid w:val="00A4612E"/>
    <w:rsid w:val="00A4619C"/>
    <w:rsid w:val="00A4639A"/>
    <w:rsid w:val="00A46408"/>
    <w:rsid w:val="00A4643A"/>
    <w:rsid w:val="00A467AA"/>
    <w:rsid w:val="00A467E0"/>
    <w:rsid w:val="00A467E2"/>
    <w:rsid w:val="00A467F5"/>
    <w:rsid w:val="00A46914"/>
    <w:rsid w:val="00A469BF"/>
    <w:rsid w:val="00A46A6C"/>
    <w:rsid w:val="00A46BD2"/>
    <w:rsid w:val="00A46E52"/>
    <w:rsid w:val="00A46ED8"/>
    <w:rsid w:val="00A4727B"/>
    <w:rsid w:val="00A4740B"/>
    <w:rsid w:val="00A474B6"/>
    <w:rsid w:val="00A4753E"/>
    <w:rsid w:val="00A4761A"/>
    <w:rsid w:val="00A4761E"/>
    <w:rsid w:val="00A47684"/>
    <w:rsid w:val="00A47842"/>
    <w:rsid w:val="00A4788B"/>
    <w:rsid w:val="00A478D7"/>
    <w:rsid w:val="00A47A49"/>
    <w:rsid w:val="00A47C69"/>
    <w:rsid w:val="00A47C7C"/>
    <w:rsid w:val="00A47E0A"/>
    <w:rsid w:val="00A47E26"/>
    <w:rsid w:val="00A47E66"/>
    <w:rsid w:val="00A47FAF"/>
    <w:rsid w:val="00A500AD"/>
    <w:rsid w:val="00A5022C"/>
    <w:rsid w:val="00A506F5"/>
    <w:rsid w:val="00A50827"/>
    <w:rsid w:val="00A50892"/>
    <w:rsid w:val="00A508A7"/>
    <w:rsid w:val="00A508F2"/>
    <w:rsid w:val="00A5095E"/>
    <w:rsid w:val="00A50AFC"/>
    <w:rsid w:val="00A50AFF"/>
    <w:rsid w:val="00A50B08"/>
    <w:rsid w:val="00A50B25"/>
    <w:rsid w:val="00A50C01"/>
    <w:rsid w:val="00A50D3F"/>
    <w:rsid w:val="00A50F52"/>
    <w:rsid w:val="00A510D1"/>
    <w:rsid w:val="00A5131F"/>
    <w:rsid w:val="00A5144E"/>
    <w:rsid w:val="00A514C2"/>
    <w:rsid w:val="00A51665"/>
    <w:rsid w:val="00A516FD"/>
    <w:rsid w:val="00A5199A"/>
    <w:rsid w:val="00A51B46"/>
    <w:rsid w:val="00A51FBA"/>
    <w:rsid w:val="00A52035"/>
    <w:rsid w:val="00A52103"/>
    <w:rsid w:val="00A5212B"/>
    <w:rsid w:val="00A5217B"/>
    <w:rsid w:val="00A5217F"/>
    <w:rsid w:val="00A521F0"/>
    <w:rsid w:val="00A52243"/>
    <w:rsid w:val="00A5235C"/>
    <w:rsid w:val="00A52469"/>
    <w:rsid w:val="00A52677"/>
    <w:rsid w:val="00A5299E"/>
    <w:rsid w:val="00A52A62"/>
    <w:rsid w:val="00A52B6F"/>
    <w:rsid w:val="00A52C99"/>
    <w:rsid w:val="00A52CE6"/>
    <w:rsid w:val="00A52E1B"/>
    <w:rsid w:val="00A52E8B"/>
    <w:rsid w:val="00A533BF"/>
    <w:rsid w:val="00A53529"/>
    <w:rsid w:val="00A5374E"/>
    <w:rsid w:val="00A537CD"/>
    <w:rsid w:val="00A53886"/>
    <w:rsid w:val="00A53889"/>
    <w:rsid w:val="00A539F9"/>
    <w:rsid w:val="00A53A67"/>
    <w:rsid w:val="00A53AC7"/>
    <w:rsid w:val="00A53B58"/>
    <w:rsid w:val="00A53CAE"/>
    <w:rsid w:val="00A53E87"/>
    <w:rsid w:val="00A54150"/>
    <w:rsid w:val="00A5415E"/>
    <w:rsid w:val="00A5436B"/>
    <w:rsid w:val="00A54481"/>
    <w:rsid w:val="00A54494"/>
    <w:rsid w:val="00A545F0"/>
    <w:rsid w:val="00A54690"/>
    <w:rsid w:val="00A548A2"/>
    <w:rsid w:val="00A54BA5"/>
    <w:rsid w:val="00A54C01"/>
    <w:rsid w:val="00A54FD0"/>
    <w:rsid w:val="00A55083"/>
    <w:rsid w:val="00A55114"/>
    <w:rsid w:val="00A55409"/>
    <w:rsid w:val="00A55438"/>
    <w:rsid w:val="00A55672"/>
    <w:rsid w:val="00A55819"/>
    <w:rsid w:val="00A559AE"/>
    <w:rsid w:val="00A55A16"/>
    <w:rsid w:val="00A55B54"/>
    <w:rsid w:val="00A55D39"/>
    <w:rsid w:val="00A55E59"/>
    <w:rsid w:val="00A55F14"/>
    <w:rsid w:val="00A56072"/>
    <w:rsid w:val="00A5643E"/>
    <w:rsid w:val="00A56532"/>
    <w:rsid w:val="00A56775"/>
    <w:rsid w:val="00A56822"/>
    <w:rsid w:val="00A56ACF"/>
    <w:rsid w:val="00A56AD1"/>
    <w:rsid w:val="00A56CDC"/>
    <w:rsid w:val="00A56D4B"/>
    <w:rsid w:val="00A56DE6"/>
    <w:rsid w:val="00A571C2"/>
    <w:rsid w:val="00A571E8"/>
    <w:rsid w:val="00A57560"/>
    <w:rsid w:val="00A577F2"/>
    <w:rsid w:val="00A578B5"/>
    <w:rsid w:val="00A57ADD"/>
    <w:rsid w:val="00A57ADF"/>
    <w:rsid w:val="00A57C75"/>
    <w:rsid w:val="00A57DF3"/>
    <w:rsid w:val="00A57EFB"/>
    <w:rsid w:val="00A57F75"/>
    <w:rsid w:val="00A6013E"/>
    <w:rsid w:val="00A6053D"/>
    <w:rsid w:val="00A60718"/>
    <w:rsid w:val="00A60AFF"/>
    <w:rsid w:val="00A60B15"/>
    <w:rsid w:val="00A60B35"/>
    <w:rsid w:val="00A60B76"/>
    <w:rsid w:val="00A60C70"/>
    <w:rsid w:val="00A60CBF"/>
    <w:rsid w:val="00A60E4E"/>
    <w:rsid w:val="00A60E5C"/>
    <w:rsid w:val="00A60EDC"/>
    <w:rsid w:val="00A6127F"/>
    <w:rsid w:val="00A6141D"/>
    <w:rsid w:val="00A6158E"/>
    <w:rsid w:val="00A61768"/>
    <w:rsid w:val="00A617C5"/>
    <w:rsid w:val="00A618E3"/>
    <w:rsid w:val="00A61A7C"/>
    <w:rsid w:val="00A62035"/>
    <w:rsid w:val="00A621C9"/>
    <w:rsid w:val="00A621E5"/>
    <w:rsid w:val="00A62229"/>
    <w:rsid w:val="00A6232B"/>
    <w:rsid w:val="00A62338"/>
    <w:rsid w:val="00A62530"/>
    <w:rsid w:val="00A625F6"/>
    <w:rsid w:val="00A628EF"/>
    <w:rsid w:val="00A629EA"/>
    <w:rsid w:val="00A62A67"/>
    <w:rsid w:val="00A62EB2"/>
    <w:rsid w:val="00A62ECC"/>
    <w:rsid w:val="00A63353"/>
    <w:rsid w:val="00A635B6"/>
    <w:rsid w:val="00A637B3"/>
    <w:rsid w:val="00A63863"/>
    <w:rsid w:val="00A63980"/>
    <w:rsid w:val="00A63B55"/>
    <w:rsid w:val="00A63BDD"/>
    <w:rsid w:val="00A63C4B"/>
    <w:rsid w:val="00A63EC0"/>
    <w:rsid w:val="00A63F7E"/>
    <w:rsid w:val="00A642E3"/>
    <w:rsid w:val="00A645C6"/>
    <w:rsid w:val="00A647BE"/>
    <w:rsid w:val="00A6496C"/>
    <w:rsid w:val="00A64FB0"/>
    <w:rsid w:val="00A65230"/>
    <w:rsid w:val="00A652B1"/>
    <w:rsid w:val="00A6534C"/>
    <w:rsid w:val="00A654A1"/>
    <w:rsid w:val="00A654C1"/>
    <w:rsid w:val="00A655F6"/>
    <w:rsid w:val="00A65680"/>
    <w:rsid w:val="00A656B4"/>
    <w:rsid w:val="00A656F2"/>
    <w:rsid w:val="00A65B08"/>
    <w:rsid w:val="00A65C68"/>
    <w:rsid w:val="00A65CA0"/>
    <w:rsid w:val="00A65FE0"/>
    <w:rsid w:val="00A6642E"/>
    <w:rsid w:val="00A666DF"/>
    <w:rsid w:val="00A66789"/>
    <w:rsid w:val="00A6691B"/>
    <w:rsid w:val="00A66BA7"/>
    <w:rsid w:val="00A66BB5"/>
    <w:rsid w:val="00A66BE6"/>
    <w:rsid w:val="00A66BF6"/>
    <w:rsid w:val="00A66CAC"/>
    <w:rsid w:val="00A66DB6"/>
    <w:rsid w:val="00A66DE8"/>
    <w:rsid w:val="00A66EB6"/>
    <w:rsid w:val="00A6708A"/>
    <w:rsid w:val="00A670A5"/>
    <w:rsid w:val="00A6718F"/>
    <w:rsid w:val="00A671CD"/>
    <w:rsid w:val="00A6726B"/>
    <w:rsid w:val="00A67272"/>
    <w:rsid w:val="00A67335"/>
    <w:rsid w:val="00A67629"/>
    <w:rsid w:val="00A676E8"/>
    <w:rsid w:val="00A677BF"/>
    <w:rsid w:val="00A67838"/>
    <w:rsid w:val="00A6783F"/>
    <w:rsid w:val="00A67A1E"/>
    <w:rsid w:val="00A67B70"/>
    <w:rsid w:val="00A67D01"/>
    <w:rsid w:val="00A67D38"/>
    <w:rsid w:val="00A67DFB"/>
    <w:rsid w:val="00A67E73"/>
    <w:rsid w:val="00A67F2B"/>
    <w:rsid w:val="00A70041"/>
    <w:rsid w:val="00A70051"/>
    <w:rsid w:val="00A7015E"/>
    <w:rsid w:val="00A7025F"/>
    <w:rsid w:val="00A703F5"/>
    <w:rsid w:val="00A70401"/>
    <w:rsid w:val="00A7042C"/>
    <w:rsid w:val="00A70501"/>
    <w:rsid w:val="00A70879"/>
    <w:rsid w:val="00A70976"/>
    <w:rsid w:val="00A70B4B"/>
    <w:rsid w:val="00A70C78"/>
    <w:rsid w:val="00A70D6F"/>
    <w:rsid w:val="00A70E8F"/>
    <w:rsid w:val="00A70EA7"/>
    <w:rsid w:val="00A71506"/>
    <w:rsid w:val="00A71589"/>
    <w:rsid w:val="00A7170E"/>
    <w:rsid w:val="00A718AA"/>
    <w:rsid w:val="00A71AAF"/>
    <w:rsid w:val="00A71B88"/>
    <w:rsid w:val="00A71B9A"/>
    <w:rsid w:val="00A71CA6"/>
    <w:rsid w:val="00A71E62"/>
    <w:rsid w:val="00A72016"/>
    <w:rsid w:val="00A720D4"/>
    <w:rsid w:val="00A721B3"/>
    <w:rsid w:val="00A72205"/>
    <w:rsid w:val="00A72405"/>
    <w:rsid w:val="00A72423"/>
    <w:rsid w:val="00A72435"/>
    <w:rsid w:val="00A72481"/>
    <w:rsid w:val="00A724D5"/>
    <w:rsid w:val="00A724EF"/>
    <w:rsid w:val="00A7255F"/>
    <w:rsid w:val="00A72606"/>
    <w:rsid w:val="00A726A8"/>
    <w:rsid w:val="00A7272D"/>
    <w:rsid w:val="00A72753"/>
    <w:rsid w:val="00A72A25"/>
    <w:rsid w:val="00A72A9D"/>
    <w:rsid w:val="00A72BCE"/>
    <w:rsid w:val="00A72C89"/>
    <w:rsid w:val="00A72D91"/>
    <w:rsid w:val="00A72EFD"/>
    <w:rsid w:val="00A731F7"/>
    <w:rsid w:val="00A73267"/>
    <w:rsid w:val="00A73276"/>
    <w:rsid w:val="00A7330D"/>
    <w:rsid w:val="00A73334"/>
    <w:rsid w:val="00A7390A"/>
    <w:rsid w:val="00A739AB"/>
    <w:rsid w:val="00A73A1B"/>
    <w:rsid w:val="00A73A5F"/>
    <w:rsid w:val="00A73C2B"/>
    <w:rsid w:val="00A73E76"/>
    <w:rsid w:val="00A73F34"/>
    <w:rsid w:val="00A73FF5"/>
    <w:rsid w:val="00A74062"/>
    <w:rsid w:val="00A7407A"/>
    <w:rsid w:val="00A741F7"/>
    <w:rsid w:val="00A74282"/>
    <w:rsid w:val="00A74454"/>
    <w:rsid w:val="00A7450C"/>
    <w:rsid w:val="00A7455D"/>
    <w:rsid w:val="00A74851"/>
    <w:rsid w:val="00A748A7"/>
    <w:rsid w:val="00A748F1"/>
    <w:rsid w:val="00A74EC6"/>
    <w:rsid w:val="00A75299"/>
    <w:rsid w:val="00A7538E"/>
    <w:rsid w:val="00A7541E"/>
    <w:rsid w:val="00A755BC"/>
    <w:rsid w:val="00A75844"/>
    <w:rsid w:val="00A75A03"/>
    <w:rsid w:val="00A75E42"/>
    <w:rsid w:val="00A75FCD"/>
    <w:rsid w:val="00A7609B"/>
    <w:rsid w:val="00A76368"/>
    <w:rsid w:val="00A76378"/>
    <w:rsid w:val="00A7642F"/>
    <w:rsid w:val="00A7649E"/>
    <w:rsid w:val="00A76593"/>
    <w:rsid w:val="00A765F7"/>
    <w:rsid w:val="00A76710"/>
    <w:rsid w:val="00A76934"/>
    <w:rsid w:val="00A76A3D"/>
    <w:rsid w:val="00A76A9D"/>
    <w:rsid w:val="00A76CF6"/>
    <w:rsid w:val="00A76D8B"/>
    <w:rsid w:val="00A76E8D"/>
    <w:rsid w:val="00A7724E"/>
    <w:rsid w:val="00A77397"/>
    <w:rsid w:val="00A77644"/>
    <w:rsid w:val="00A77798"/>
    <w:rsid w:val="00A77973"/>
    <w:rsid w:val="00A77A26"/>
    <w:rsid w:val="00A77B83"/>
    <w:rsid w:val="00A77DAF"/>
    <w:rsid w:val="00A77F9B"/>
    <w:rsid w:val="00A77FF6"/>
    <w:rsid w:val="00A8035D"/>
    <w:rsid w:val="00A80525"/>
    <w:rsid w:val="00A805FD"/>
    <w:rsid w:val="00A8067B"/>
    <w:rsid w:val="00A8078C"/>
    <w:rsid w:val="00A808C5"/>
    <w:rsid w:val="00A80963"/>
    <w:rsid w:val="00A80A6B"/>
    <w:rsid w:val="00A80B76"/>
    <w:rsid w:val="00A80F2B"/>
    <w:rsid w:val="00A80FDA"/>
    <w:rsid w:val="00A8101D"/>
    <w:rsid w:val="00A8107A"/>
    <w:rsid w:val="00A811AD"/>
    <w:rsid w:val="00A812DA"/>
    <w:rsid w:val="00A815D7"/>
    <w:rsid w:val="00A8160A"/>
    <w:rsid w:val="00A81611"/>
    <w:rsid w:val="00A81893"/>
    <w:rsid w:val="00A819F7"/>
    <w:rsid w:val="00A819F9"/>
    <w:rsid w:val="00A81A3A"/>
    <w:rsid w:val="00A81A5F"/>
    <w:rsid w:val="00A81AF1"/>
    <w:rsid w:val="00A81B9C"/>
    <w:rsid w:val="00A81BB9"/>
    <w:rsid w:val="00A81E0F"/>
    <w:rsid w:val="00A81EAE"/>
    <w:rsid w:val="00A81F05"/>
    <w:rsid w:val="00A81F6E"/>
    <w:rsid w:val="00A81FDF"/>
    <w:rsid w:val="00A8204D"/>
    <w:rsid w:val="00A82347"/>
    <w:rsid w:val="00A8253B"/>
    <w:rsid w:val="00A82598"/>
    <w:rsid w:val="00A826C5"/>
    <w:rsid w:val="00A826F4"/>
    <w:rsid w:val="00A8289C"/>
    <w:rsid w:val="00A82A2D"/>
    <w:rsid w:val="00A82A31"/>
    <w:rsid w:val="00A82CE6"/>
    <w:rsid w:val="00A82E20"/>
    <w:rsid w:val="00A82F63"/>
    <w:rsid w:val="00A830EC"/>
    <w:rsid w:val="00A830F7"/>
    <w:rsid w:val="00A83322"/>
    <w:rsid w:val="00A83338"/>
    <w:rsid w:val="00A838B0"/>
    <w:rsid w:val="00A839AD"/>
    <w:rsid w:val="00A83B9D"/>
    <w:rsid w:val="00A83DB6"/>
    <w:rsid w:val="00A83DC0"/>
    <w:rsid w:val="00A83FD1"/>
    <w:rsid w:val="00A840DA"/>
    <w:rsid w:val="00A84268"/>
    <w:rsid w:val="00A84274"/>
    <w:rsid w:val="00A842D6"/>
    <w:rsid w:val="00A8433E"/>
    <w:rsid w:val="00A8446C"/>
    <w:rsid w:val="00A8467F"/>
    <w:rsid w:val="00A846B5"/>
    <w:rsid w:val="00A846DA"/>
    <w:rsid w:val="00A84746"/>
    <w:rsid w:val="00A84771"/>
    <w:rsid w:val="00A8485F"/>
    <w:rsid w:val="00A8498D"/>
    <w:rsid w:val="00A84B7C"/>
    <w:rsid w:val="00A84C64"/>
    <w:rsid w:val="00A84EBB"/>
    <w:rsid w:val="00A84F7A"/>
    <w:rsid w:val="00A85037"/>
    <w:rsid w:val="00A8508C"/>
    <w:rsid w:val="00A850AB"/>
    <w:rsid w:val="00A85278"/>
    <w:rsid w:val="00A852F2"/>
    <w:rsid w:val="00A854D6"/>
    <w:rsid w:val="00A855A9"/>
    <w:rsid w:val="00A855C6"/>
    <w:rsid w:val="00A857B1"/>
    <w:rsid w:val="00A859F1"/>
    <w:rsid w:val="00A85B86"/>
    <w:rsid w:val="00A85C64"/>
    <w:rsid w:val="00A85D51"/>
    <w:rsid w:val="00A85D64"/>
    <w:rsid w:val="00A85D81"/>
    <w:rsid w:val="00A86011"/>
    <w:rsid w:val="00A8602D"/>
    <w:rsid w:val="00A860AE"/>
    <w:rsid w:val="00A86162"/>
    <w:rsid w:val="00A862FC"/>
    <w:rsid w:val="00A8642B"/>
    <w:rsid w:val="00A864EE"/>
    <w:rsid w:val="00A865E8"/>
    <w:rsid w:val="00A8683F"/>
    <w:rsid w:val="00A869AE"/>
    <w:rsid w:val="00A86B9A"/>
    <w:rsid w:val="00A86DC4"/>
    <w:rsid w:val="00A86F5A"/>
    <w:rsid w:val="00A87288"/>
    <w:rsid w:val="00A872D2"/>
    <w:rsid w:val="00A8776A"/>
    <w:rsid w:val="00A8779A"/>
    <w:rsid w:val="00A87A71"/>
    <w:rsid w:val="00A87A96"/>
    <w:rsid w:val="00A87A9D"/>
    <w:rsid w:val="00A87B03"/>
    <w:rsid w:val="00A87BC5"/>
    <w:rsid w:val="00A87C11"/>
    <w:rsid w:val="00A87E21"/>
    <w:rsid w:val="00A9025E"/>
    <w:rsid w:val="00A9038E"/>
    <w:rsid w:val="00A903CB"/>
    <w:rsid w:val="00A90BFA"/>
    <w:rsid w:val="00A90D87"/>
    <w:rsid w:val="00A90EF4"/>
    <w:rsid w:val="00A90FD4"/>
    <w:rsid w:val="00A910A0"/>
    <w:rsid w:val="00A910C6"/>
    <w:rsid w:val="00A911BE"/>
    <w:rsid w:val="00A911ED"/>
    <w:rsid w:val="00A912A6"/>
    <w:rsid w:val="00A9149F"/>
    <w:rsid w:val="00A91593"/>
    <w:rsid w:val="00A915CF"/>
    <w:rsid w:val="00A915D7"/>
    <w:rsid w:val="00A916AD"/>
    <w:rsid w:val="00A91788"/>
    <w:rsid w:val="00A91959"/>
    <w:rsid w:val="00A919D7"/>
    <w:rsid w:val="00A91B1E"/>
    <w:rsid w:val="00A91C3E"/>
    <w:rsid w:val="00A91C93"/>
    <w:rsid w:val="00A91CAB"/>
    <w:rsid w:val="00A91DFE"/>
    <w:rsid w:val="00A92438"/>
    <w:rsid w:val="00A92449"/>
    <w:rsid w:val="00A925A9"/>
    <w:rsid w:val="00A9260E"/>
    <w:rsid w:val="00A92666"/>
    <w:rsid w:val="00A92710"/>
    <w:rsid w:val="00A92724"/>
    <w:rsid w:val="00A928E5"/>
    <w:rsid w:val="00A928F7"/>
    <w:rsid w:val="00A92B36"/>
    <w:rsid w:val="00A92B95"/>
    <w:rsid w:val="00A92BB3"/>
    <w:rsid w:val="00A92C23"/>
    <w:rsid w:val="00A92D11"/>
    <w:rsid w:val="00A92E37"/>
    <w:rsid w:val="00A92ECF"/>
    <w:rsid w:val="00A931F0"/>
    <w:rsid w:val="00A932BF"/>
    <w:rsid w:val="00A932CB"/>
    <w:rsid w:val="00A93402"/>
    <w:rsid w:val="00A93581"/>
    <w:rsid w:val="00A93699"/>
    <w:rsid w:val="00A93747"/>
    <w:rsid w:val="00A93762"/>
    <w:rsid w:val="00A93A2F"/>
    <w:rsid w:val="00A93ADB"/>
    <w:rsid w:val="00A93C86"/>
    <w:rsid w:val="00A93CD3"/>
    <w:rsid w:val="00A93E35"/>
    <w:rsid w:val="00A93FE4"/>
    <w:rsid w:val="00A94229"/>
    <w:rsid w:val="00A94560"/>
    <w:rsid w:val="00A94611"/>
    <w:rsid w:val="00A94711"/>
    <w:rsid w:val="00A94801"/>
    <w:rsid w:val="00A94867"/>
    <w:rsid w:val="00A94A9D"/>
    <w:rsid w:val="00A94C17"/>
    <w:rsid w:val="00A94EFF"/>
    <w:rsid w:val="00A951C2"/>
    <w:rsid w:val="00A95345"/>
    <w:rsid w:val="00A95514"/>
    <w:rsid w:val="00A95598"/>
    <w:rsid w:val="00A9559D"/>
    <w:rsid w:val="00A95675"/>
    <w:rsid w:val="00A95693"/>
    <w:rsid w:val="00A95932"/>
    <w:rsid w:val="00A959BE"/>
    <w:rsid w:val="00A95D0A"/>
    <w:rsid w:val="00A9603B"/>
    <w:rsid w:val="00A968B7"/>
    <w:rsid w:val="00A96928"/>
    <w:rsid w:val="00A96ADC"/>
    <w:rsid w:val="00A96D1F"/>
    <w:rsid w:val="00A96D32"/>
    <w:rsid w:val="00A96F6B"/>
    <w:rsid w:val="00A96FC0"/>
    <w:rsid w:val="00A971A6"/>
    <w:rsid w:val="00A971BF"/>
    <w:rsid w:val="00A97244"/>
    <w:rsid w:val="00A97451"/>
    <w:rsid w:val="00A97602"/>
    <w:rsid w:val="00A97719"/>
    <w:rsid w:val="00A9776B"/>
    <w:rsid w:val="00A977CF"/>
    <w:rsid w:val="00A97A61"/>
    <w:rsid w:val="00A97DE5"/>
    <w:rsid w:val="00A97DFE"/>
    <w:rsid w:val="00A97E70"/>
    <w:rsid w:val="00AA01E7"/>
    <w:rsid w:val="00AA022F"/>
    <w:rsid w:val="00AA0329"/>
    <w:rsid w:val="00AA0490"/>
    <w:rsid w:val="00AA0528"/>
    <w:rsid w:val="00AA073E"/>
    <w:rsid w:val="00AA0973"/>
    <w:rsid w:val="00AA0A30"/>
    <w:rsid w:val="00AA0DEF"/>
    <w:rsid w:val="00AA1162"/>
    <w:rsid w:val="00AA1173"/>
    <w:rsid w:val="00AA1198"/>
    <w:rsid w:val="00AA1442"/>
    <w:rsid w:val="00AA14EA"/>
    <w:rsid w:val="00AA155B"/>
    <w:rsid w:val="00AA174E"/>
    <w:rsid w:val="00AA1C64"/>
    <w:rsid w:val="00AA1D4C"/>
    <w:rsid w:val="00AA1D51"/>
    <w:rsid w:val="00AA1F33"/>
    <w:rsid w:val="00AA1F94"/>
    <w:rsid w:val="00AA2122"/>
    <w:rsid w:val="00AA2134"/>
    <w:rsid w:val="00AA23D5"/>
    <w:rsid w:val="00AA2446"/>
    <w:rsid w:val="00AA2544"/>
    <w:rsid w:val="00AA2697"/>
    <w:rsid w:val="00AA2727"/>
    <w:rsid w:val="00AA2BB9"/>
    <w:rsid w:val="00AA2CBD"/>
    <w:rsid w:val="00AA2D9C"/>
    <w:rsid w:val="00AA2F39"/>
    <w:rsid w:val="00AA3036"/>
    <w:rsid w:val="00AA30A2"/>
    <w:rsid w:val="00AA30B4"/>
    <w:rsid w:val="00AA3438"/>
    <w:rsid w:val="00AA34E1"/>
    <w:rsid w:val="00AA369A"/>
    <w:rsid w:val="00AA38EF"/>
    <w:rsid w:val="00AA3975"/>
    <w:rsid w:val="00AA3AF7"/>
    <w:rsid w:val="00AA3B17"/>
    <w:rsid w:val="00AA3B51"/>
    <w:rsid w:val="00AA3B88"/>
    <w:rsid w:val="00AA3CF4"/>
    <w:rsid w:val="00AA3DB3"/>
    <w:rsid w:val="00AA3E45"/>
    <w:rsid w:val="00AA3EA0"/>
    <w:rsid w:val="00AA3F1E"/>
    <w:rsid w:val="00AA3FEA"/>
    <w:rsid w:val="00AA403C"/>
    <w:rsid w:val="00AA4187"/>
    <w:rsid w:val="00AA41A1"/>
    <w:rsid w:val="00AA42AD"/>
    <w:rsid w:val="00AA42B8"/>
    <w:rsid w:val="00AA4323"/>
    <w:rsid w:val="00AA43FB"/>
    <w:rsid w:val="00AA4535"/>
    <w:rsid w:val="00AA4822"/>
    <w:rsid w:val="00AA4E93"/>
    <w:rsid w:val="00AA4EB3"/>
    <w:rsid w:val="00AA521D"/>
    <w:rsid w:val="00AA55F3"/>
    <w:rsid w:val="00AA5824"/>
    <w:rsid w:val="00AA58DE"/>
    <w:rsid w:val="00AA58FF"/>
    <w:rsid w:val="00AA5952"/>
    <w:rsid w:val="00AA59EE"/>
    <w:rsid w:val="00AA5A8F"/>
    <w:rsid w:val="00AA5AB6"/>
    <w:rsid w:val="00AA5AC2"/>
    <w:rsid w:val="00AA5B8C"/>
    <w:rsid w:val="00AA5D32"/>
    <w:rsid w:val="00AA5E0A"/>
    <w:rsid w:val="00AA5E3A"/>
    <w:rsid w:val="00AA61A4"/>
    <w:rsid w:val="00AA643F"/>
    <w:rsid w:val="00AA67A0"/>
    <w:rsid w:val="00AA68F8"/>
    <w:rsid w:val="00AA6B1B"/>
    <w:rsid w:val="00AA6BCA"/>
    <w:rsid w:val="00AA6CC6"/>
    <w:rsid w:val="00AA713E"/>
    <w:rsid w:val="00AA72B7"/>
    <w:rsid w:val="00AA73FA"/>
    <w:rsid w:val="00AA74FD"/>
    <w:rsid w:val="00AA750A"/>
    <w:rsid w:val="00AA75DF"/>
    <w:rsid w:val="00AA7854"/>
    <w:rsid w:val="00AA7A10"/>
    <w:rsid w:val="00AB0039"/>
    <w:rsid w:val="00AB015A"/>
    <w:rsid w:val="00AB027B"/>
    <w:rsid w:val="00AB02B6"/>
    <w:rsid w:val="00AB04AD"/>
    <w:rsid w:val="00AB051E"/>
    <w:rsid w:val="00AB06E6"/>
    <w:rsid w:val="00AB0741"/>
    <w:rsid w:val="00AB0932"/>
    <w:rsid w:val="00AB0A13"/>
    <w:rsid w:val="00AB0B9B"/>
    <w:rsid w:val="00AB0C25"/>
    <w:rsid w:val="00AB0DF7"/>
    <w:rsid w:val="00AB0FD6"/>
    <w:rsid w:val="00AB1027"/>
    <w:rsid w:val="00AB1495"/>
    <w:rsid w:val="00AB1584"/>
    <w:rsid w:val="00AB1675"/>
    <w:rsid w:val="00AB1784"/>
    <w:rsid w:val="00AB178F"/>
    <w:rsid w:val="00AB1936"/>
    <w:rsid w:val="00AB1E3B"/>
    <w:rsid w:val="00AB1E69"/>
    <w:rsid w:val="00AB1F8D"/>
    <w:rsid w:val="00AB1FB4"/>
    <w:rsid w:val="00AB1FBA"/>
    <w:rsid w:val="00AB214F"/>
    <w:rsid w:val="00AB24AB"/>
    <w:rsid w:val="00AB24DE"/>
    <w:rsid w:val="00AB25A1"/>
    <w:rsid w:val="00AB25E3"/>
    <w:rsid w:val="00AB27C4"/>
    <w:rsid w:val="00AB28E6"/>
    <w:rsid w:val="00AB2975"/>
    <w:rsid w:val="00AB2B30"/>
    <w:rsid w:val="00AB2B43"/>
    <w:rsid w:val="00AB2D87"/>
    <w:rsid w:val="00AB2E22"/>
    <w:rsid w:val="00AB2EAE"/>
    <w:rsid w:val="00AB33BA"/>
    <w:rsid w:val="00AB39C8"/>
    <w:rsid w:val="00AB3A75"/>
    <w:rsid w:val="00AB3C0B"/>
    <w:rsid w:val="00AB3DAD"/>
    <w:rsid w:val="00AB40E0"/>
    <w:rsid w:val="00AB41F3"/>
    <w:rsid w:val="00AB4429"/>
    <w:rsid w:val="00AB450B"/>
    <w:rsid w:val="00AB4706"/>
    <w:rsid w:val="00AB4861"/>
    <w:rsid w:val="00AB48A1"/>
    <w:rsid w:val="00AB48DA"/>
    <w:rsid w:val="00AB4B21"/>
    <w:rsid w:val="00AB4B86"/>
    <w:rsid w:val="00AB4CCF"/>
    <w:rsid w:val="00AB4DE6"/>
    <w:rsid w:val="00AB4EB1"/>
    <w:rsid w:val="00AB5146"/>
    <w:rsid w:val="00AB5198"/>
    <w:rsid w:val="00AB53B0"/>
    <w:rsid w:val="00AB53D4"/>
    <w:rsid w:val="00AB5441"/>
    <w:rsid w:val="00AB5448"/>
    <w:rsid w:val="00AB558B"/>
    <w:rsid w:val="00AB5743"/>
    <w:rsid w:val="00AB5764"/>
    <w:rsid w:val="00AB577C"/>
    <w:rsid w:val="00AB5825"/>
    <w:rsid w:val="00AB59B9"/>
    <w:rsid w:val="00AB59CC"/>
    <w:rsid w:val="00AB5ADD"/>
    <w:rsid w:val="00AB5BD7"/>
    <w:rsid w:val="00AB5C67"/>
    <w:rsid w:val="00AB5CD6"/>
    <w:rsid w:val="00AB5CF9"/>
    <w:rsid w:val="00AB5D12"/>
    <w:rsid w:val="00AB5E09"/>
    <w:rsid w:val="00AB5E1D"/>
    <w:rsid w:val="00AB5E88"/>
    <w:rsid w:val="00AB5EA4"/>
    <w:rsid w:val="00AB5F13"/>
    <w:rsid w:val="00AB5FD5"/>
    <w:rsid w:val="00AB6001"/>
    <w:rsid w:val="00AB605E"/>
    <w:rsid w:val="00AB62C9"/>
    <w:rsid w:val="00AB62F5"/>
    <w:rsid w:val="00AB638E"/>
    <w:rsid w:val="00AB64CF"/>
    <w:rsid w:val="00AB6507"/>
    <w:rsid w:val="00AB65A8"/>
    <w:rsid w:val="00AB662B"/>
    <w:rsid w:val="00AB6692"/>
    <w:rsid w:val="00AB6714"/>
    <w:rsid w:val="00AB6720"/>
    <w:rsid w:val="00AB6873"/>
    <w:rsid w:val="00AB68FD"/>
    <w:rsid w:val="00AB69F3"/>
    <w:rsid w:val="00AB6AB5"/>
    <w:rsid w:val="00AB6AE2"/>
    <w:rsid w:val="00AB6B33"/>
    <w:rsid w:val="00AB6F72"/>
    <w:rsid w:val="00AB6FD6"/>
    <w:rsid w:val="00AB700D"/>
    <w:rsid w:val="00AB70FB"/>
    <w:rsid w:val="00AB710E"/>
    <w:rsid w:val="00AB733B"/>
    <w:rsid w:val="00AB74B4"/>
    <w:rsid w:val="00AB761D"/>
    <w:rsid w:val="00AB768F"/>
    <w:rsid w:val="00AB7849"/>
    <w:rsid w:val="00AB78D7"/>
    <w:rsid w:val="00AB7A91"/>
    <w:rsid w:val="00AB7AA7"/>
    <w:rsid w:val="00AB7BAB"/>
    <w:rsid w:val="00AB7CBF"/>
    <w:rsid w:val="00AB7CC1"/>
    <w:rsid w:val="00AB7CDA"/>
    <w:rsid w:val="00AB7D24"/>
    <w:rsid w:val="00AB7D47"/>
    <w:rsid w:val="00AC01A6"/>
    <w:rsid w:val="00AC0237"/>
    <w:rsid w:val="00AC036A"/>
    <w:rsid w:val="00AC05D0"/>
    <w:rsid w:val="00AC0762"/>
    <w:rsid w:val="00AC0C3C"/>
    <w:rsid w:val="00AC0C6A"/>
    <w:rsid w:val="00AC0CDA"/>
    <w:rsid w:val="00AC0DD1"/>
    <w:rsid w:val="00AC10E2"/>
    <w:rsid w:val="00AC1114"/>
    <w:rsid w:val="00AC13F6"/>
    <w:rsid w:val="00AC158D"/>
    <w:rsid w:val="00AC1806"/>
    <w:rsid w:val="00AC1B37"/>
    <w:rsid w:val="00AC1C5A"/>
    <w:rsid w:val="00AC1DA6"/>
    <w:rsid w:val="00AC20FD"/>
    <w:rsid w:val="00AC2171"/>
    <w:rsid w:val="00AC2190"/>
    <w:rsid w:val="00AC2239"/>
    <w:rsid w:val="00AC2577"/>
    <w:rsid w:val="00AC2666"/>
    <w:rsid w:val="00AC295C"/>
    <w:rsid w:val="00AC2AB9"/>
    <w:rsid w:val="00AC2D43"/>
    <w:rsid w:val="00AC2F8D"/>
    <w:rsid w:val="00AC31E5"/>
    <w:rsid w:val="00AC3295"/>
    <w:rsid w:val="00AC332A"/>
    <w:rsid w:val="00AC333B"/>
    <w:rsid w:val="00AC3627"/>
    <w:rsid w:val="00AC3729"/>
    <w:rsid w:val="00AC382B"/>
    <w:rsid w:val="00AC3A7F"/>
    <w:rsid w:val="00AC3A98"/>
    <w:rsid w:val="00AC3B0F"/>
    <w:rsid w:val="00AC3C5E"/>
    <w:rsid w:val="00AC3C9A"/>
    <w:rsid w:val="00AC3E61"/>
    <w:rsid w:val="00AC3FE7"/>
    <w:rsid w:val="00AC40C2"/>
    <w:rsid w:val="00AC423B"/>
    <w:rsid w:val="00AC428C"/>
    <w:rsid w:val="00AC437C"/>
    <w:rsid w:val="00AC43DC"/>
    <w:rsid w:val="00AC47AA"/>
    <w:rsid w:val="00AC4A31"/>
    <w:rsid w:val="00AC4AFF"/>
    <w:rsid w:val="00AC4D4F"/>
    <w:rsid w:val="00AC4D68"/>
    <w:rsid w:val="00AC4E9D"/>
    <w:rsid w:val="00AC5092"/>
    <w:rsid w:val="00AC51AD"/>
    <w:rsid w:val="00AC52FF"/>
    <w:rsid w:val="00AC5318"/>
    <w:rsid w:val="00AC53BC"/>
    <w:rsid w:val="00AC5AF1"/>
    <w:rsid w:val="00AC5B52"/>
    <w:rsid w:val="00AC60AB"/>
    <w:rsid w:val="00AC6168"/>
    <w:rsid w:val="00AC6189"/>
    <w:rsid w:val="00AC6346"/>
    <w:rsid w:val="00AC64E0"/>
    <w:rsid w:val="00AC660D"/>
    <w:rsid w:val="00AC68B2"/>
    <w:rsid w:val="00AC6B66"/>
    <w:rsid w:val="00AC6BF5"/>
    <w:rsid w:val="00AC6F47"/>
    <w:rsid w:val="00AC7033"/>
    <w:rsid w:val="00AC704A"/>
    <w:rsid w:val="00AC7207"/>
    <w:rsid w:val="00AC722D"/>
    <w:rsid w:val="00AC72B0"/>
    <w:rsid w:val="00AC72FF"/>
    <w:rsid w:val="00AC7404"/>
    <w:rsid w:val="00AC7502"/>
    <w:rsid w:val="00AC7629"/>
    <w:rsid w:val="00AC76C4"/>
    <w:rsid w:val="00AC779A"/>
    <w:rsid w:val="00AC78DF"/>
    <w:rsid w:val="00AC7ABD"/>
    <w:rsid w:val="00AC7B82"/>
    <w:rsid w:val="00AC7BA1"/>
    <w:rsid w:val="00AC7BFE"/>
    <w:rsid w:val="00AC7DA6"/>
    <w:rsid w:val="00AC7E6C"/>
    <w:rsid w:val="00AD0181"/>
    <w:rsid w:val="00AD01C2"/>
    <w:rsid w:val="00AD01EE"/>
    <w:rsid w:val="00AD0216"/>
    <w:rsid w:val="00AD0300"/>
    <w:rsid w:val="00AD041D"/>
    <w:rsid w:val="00AD053D"/>
    <w:rsid w:val="00AD06ED"/>
    <w:rsid w:val="00AD0A47"/>
    <w:rsid w:val="00AD0BA9"/>
    <w:rsid w:val="00AD0E19"/>
    <w:rsid w:val="00AD0F71"/>
    <w:rsid w:val="00AD12BC"/>
    <w:rsid w:val="00AD1480"/>
    <w:rsid w:val="00AD16F5"/>
    <w:rsid w:val="00AD1816"/>
    <w:rsid w:val="00AD18FC"/>
    <w:rsid w:val="00AD1A47"/>
    <w:rsid w:val="00AD1E90"/>
    <w:rsid w:val="00AD1F92"/>
    <w:rsid w:val="00AD2004"/>
    <w:rsid w:val="00AD2220"/>
    <w:rsid w:val="00AD2527"/>
    <w:rsid w:val="00AD2538"/>
    <w:rsid w:val="00AD28A0"/>
    <w:rsid w:val="00AD294A"/>
    <w:rsid w:val="00AD29B1"/>
    <w:rsid w:val="00AD2B40"/>
    <w:rsid w:val="00AD2C43"/>
    <w:rsid w:val="00AD2CAB"/>
    <w:rsid w:val="00AD2CB2"/>
    <w:rsid w:val="00AD2D64"/>
    <w:rsid w:val="00AD2FC1"/>
    <w:rsid w:val="00AD3075"/>
    <w:rsid w:val="00AD30B1"/>
    <w:rsid w:val="00AD3148"/>
    <w:rsid w:val="00AD3163"/>
    <w:rsid w:val="00AD325C"/>
    <w:rsid w:val="00AD33BD"/>
    <w:rsid w:val="00AD33C2"/>
    <w:rsid w:val="00AD33DA"/>
    <w:rsid w:val="00AD3683"/>
    <w:rsid w:val="00AD36DF"/>
    <w:rsid w:val="00AD3763"/>
    <w:rsid w:val="00AD3820"/>
    <w:rsid w:val="00AD3957"/>
    <w:rsid w:val="00AD39DE"/>
    <w:rsid w:val="00AD3A45"/>
    <w:rsid w:val="00AD3A89"/>
    <w:rsid w:val="00AD3B13"/>
    <w:rsid w:val="00AD3BC9"/>
    <w:rsid w:val="00AD3D18"/>
    <w:rsid w:val="00AD4009"/>
    <w:rsid w:val="00AD40D9"/>
    <w:rsid w:val="00AD4275"/>
    <w:rsid w:val="00AD475D"/>
    <w:rsid w:val="00AD47ED"/>
    <w:rsid w:val="00AD4A9E"/>
    <w:rsid w:val="00AD4AF2"/>
    <w:rsid w:val="00AD4B3A"/>
    <w:rsid w:val="00AD4B77"/>
    <w:rsid w:val="00AD4CD3"/>
    <w:rsid w:val="00AD4D1E"/>
    <w:rsid w:val="00AD4DFC"/>
    <w:rsid w:val="00AD4DFD"/>
    <w:rsid w:val="00AD4E90"/>
    <w:rsid w:val="00AD4F12"/>
    <w:rsid w:val="00AD516C"/>
    <w:rsid w:val="00AD5200"/>
    <w:rsid w:val="00AD520F"/>
    <w:rsid w:val="00AD5431"/>
    <w:rsid w:val="00AD54ED"/>
    <w:rsid w:val="00AD5693"/>
    <w:rsid w:val="00AD5773"/>
    <w:rsid w:val="00AD57CF"/>
    <w:rsid w:val="00AD5801"/>
    <w:rsid w:val="00AD583F"/>
    <w:rsid w:val="00AD5877"/>
    <w:rsid w:val="00AD5B98"/>
    <w:rsid w:val="00AD5F49"/>
    <w:rsid w:val="00AD6313"/>
    <w:rsid w:val="00AD6383"/>
    <w:rsid w:val="00AD63B9"/>
    <w:rsid w:val="00AD63FA"/>
    <w:rsid w:val="00AD6806"/>
    <w:rsid w:val="00AD6940"/>
    <w:rsid w:val="00AD6A0B"/>
    <w:rsid w:val="00AD6DB1"/>
    <w:rsid w:val="00AD6DCB"/>
    <w:rsid w:val="00AD6ECA"/>
    <w:rsid w:val="00AD715E"/>
    <w:rsid w:val="00AD7163"/>
    <w:rsid w:val="00AD71C3"/>
    <w:rsid w:val="00AD71EB"/>
    <w:rsid w:val="00AD733F"/>
    <w:rsid w:val="00AD73F6"/>
    <w:rsid w:val="00AD75CE"/>
    <w:rsid w:val="00AD7663"/>
    <w:rsid w:val="00AD76F6"/>
    <w:rsid w:val="00AD77BB"/>
    <w:rsid w:val="00AD7910"/>
    <w:rsid w:val="00AD7AEB"/>
    <w:rsid w:val="00AD7B17"/>
    <w:rsid w:val="00AD7D45"/>
    <w:rsid w:val="00AD7DA8"/>
    <w:rsid w:val="00AD7E19"/>
    <w:rsid w:val="00AD7E59"/>
    <w:rsid w:val="00AE0068"/>
    <w:rsid w:val="00AE00DF"/>
    <w:rsid w:val="00AE0596"/>
    <w:rsid w:val="00AE06D8"/>
    <w:rsid w:val="00AE0AC2"/>
    <w:rsid w:val="00AE0BD3"/>
    <w:rsid w:val="00AE0CED"/>
    <w:rsid w:val="00AE0E01"/>
    <w:rsid w:val="00AE0E17"/>
    <w:rsid w:val="00AE1142"/>
    <w:rsid w:val="00AE155E"/>
    <w:rsid w:val="00AE1573"/>
    <w:rsid w:val="00AE17E0"/>
    <w:rsid w:val="00AE192E"/>
    <w:rsid w:val="00AE1AA7"/>
    <w:rsid w:val="00AE1B6F"/>
    <w:rsid w:val="00AE1E27"/>
    <w:rsid w:val="00AE1EB1"/>
    <w:rsid w:val="00AE1FF0"/>
    <w:rsid w:val="00AE1FF6"/>
    <w:rsid w:val="00AE21F2"/>
    <w:rsid w:val="00AE255A"/>
    <w:rsid w:val="00AE26A7"/>
    <w:rsid w:val="00AE26C3"/>
    <w:rsid w:val="00AE273B"/>
    <w:rsid w:val="00AE2953"/>
    <w:rsid w:val="00AE2AFD"/>
    <w:rsid w:val="00AE2B7F"/>
    <w:rsid w:val="00AE2B80"/>
    <w:rsid w:val="00AE2DEA"/>
    <w:rsid w:val="00AE2EDE"/>
    <w:rsid w:val="00AE3029"/>
    <w:rsid w:val="00AE3207"/>
    <w:rsid w:val="00AE33DB"/>
    <w:rsid w:val="00AE33FD"/>
    <w:rsid w:val="00AE37A0"/>
    <w:rsid w:val="00AE384E"/>
    <w:rsid w:val="00AE396E"/>
    <w:rsid w:val="00AE3DC4"/>
    <w:rsid w:val="00AE3E5F"/>
    <w:rsid w:val="00AE3EB5"/>
    <w:rsid w:val="00AE4296"/>
    <w:rsid w:val="00AE4308"/>
    <w:rsid w:val="00AE4324"/>
    <w:rsid w:val="00AE4496"/>
    <w:rsid w:val="00AE473C"/>
    <w:rsid w:val="00AE47BE"/>
    <w:rsid w:val="00AE499F"/>
    <w:rsid w:val="00AE4A4C"/>
    <w:rsid w:val="00AE4A6F"/>
    <w:rsid w:val="00AE4AA1"/>
    <w:rsid w:val="00AE4C3E"/>
    <w:rsid w:val="00AE4C62"/>
    <w:rsid w:val="00AE4CCD"/>
    <w:rsid w:val="00AE4CFD"/>
    <w:rsid w:val="00AE4D5E"/>
    <w:rsid w:val="00AE513D"/>
    <w:rsid w:val="00AE5642"/>
    <w:rsid w:val="00AE5813"/>
    <w:rsid w:val="00AE5B2E"/>
    <w:rsid w:val="00AE5B4D"/>
    <w:rsid w:val="00AE5C70"/>
    <w:rsid w:val="00AE5C98"/>
    <w:rsid w:val="00AE5D57"/>
    <w:rsid w:val="00AE5D5B"/>
    <w:rsid w:val="00AE5DDB"/>
    <w:rsid w:val="00AE5FCC"/>
    <w:rsid w:val="00AE600A"/>
    <w:rsid w:val="00AE6039"/>
    <w:rsid w:val="00AE611F"/>
    <w:rsid w:val="00AE6125"/>
    <w:rsid w:val="00AE612F"/>
    <w:rsid w:val="00AE6239"/>
    <w:rsid w:val="00AE63E4"/>
    <w:rsid w:val="00AE6519"/>
    <w:rsid w:val="00AE65D4"/>
    <w:rsid w:val="00AE6694"/>
    <w:rsid w:val="00AE66DD"/>
    <w:rsid w:val="00AE6718"/>
    <w:rsid w:val="00AE671D"/>
    <w:rsid w:val="00AE6848"/>
    <w:rsid w:val="00AE6AE8"/>
    <w:rsid w:val="00AE6B84"/>
    <w:rsid w:val="00AE6BE4"/>
    <w:rsid w:val="00AE6FED"/>
    <w:rsid w:val="00AE707C"/>
    <w:rsid w:val="00AE730D"/>
    <w:rsid w:val="00AE735D"/>
    <w:rsid w:val="00AE7523"/>
    <w:rsid w:val="00AE75F3"/>
    <w:rsid w:val="00AE773D"/>
    <w:rsid w:val="00AE77E7"/>
    <w:rsid w:val="00AE798C"/>
    <w:rsid w:val="00AE79C8"/>
    <w:rsid w:val="00AE7A3E"/>
    <w:rsid w:val="00AE7EC8"/>
    <w:rsid w:val="00AE7F06"/>
    <w:rsid w:val="00AE7F6A"/>
    <w:rsid w:val="00AF04AE"/>
    <w:rsid w:val="00AF0565"/>
    <w:rsid w:val="00AF070F"/>
    <w:rsid w:val="00AF080E"/>
    <w:rsid w:val="00AF094F"/>
    <w:rsid w:val="00AF09C8"/>
    <w:rsid w:val="00AF0A35"/>
    <w:rsid w:val="00AF0B17"/>
    <w:rsid w:val="00AF0BF0"/>
    <w:rsid w:val="00AF0D7E"/>
    <w:rsid w:val="00AF0FE5"/>
    <w:rsid w:val="00AF1367"/>
    <w:rsid w:val="00AF1422"/>
    <w:rsid w:val="00AF15ED"/>
    <w:rsid w:val="00AF1606"/>
    <w:rsid w:val="00AF1615"/>
    <w:rsid w:val="00AF17BB"/>
    <w:rsid w:val="00AF17D2"/>
    <w:rsid w:val="00AF1893"/>
    <w:rsid w:val="00AF18C6"/>
    <w:rsid w:val="00AF1A5F"/>
    <w:rsid w:val="00AF1B06"/>
    <w:rsid w:val="00AF1BDF"/>
    <w:rsid w:val="00AF1C24"/>
    <w:rsid w:val="00AF1D5E"/>
    <w:rsid w:val="00AF1D63"/>
    <w:rsid w:val="00AF1E0D"/>
    <w:rsid w:val="00AF1EFF"/>
    <w:rsid w:val="00AF201D"/>
    <w:rsid w:val="00AF2381"/>
    <w:rsid w:val="00AF2540"/>
    <w:rsid w:val="00AF25EE"/>
    <w:rsid w:val="00AF260A"/>
    <w:rsid w:val="00AF2732"/>
    <w:rsid w:val="00AF2846"/>
    <w:rsid w:val="00AF28F6"/>
    <w:rsid w:val="00AF290C"/>
    <w:rsid w:val="00AF2996"/>
    <w:rsid w:val="00AF2A6E"/>
    <w:rsid w:val="00AF2C01"/>
    <w:rsid w:val="00AF2C2A"/>
    <w:rsid w:val="00AF2C39"/>
    <w:rsid w:val="00AF2C9B"/>
    <w:rsid w:val="00AF2CB3"/>
    <w:rsid w:val="00AF2CC1"/>
    <w:rsid w:val="00AF2CCB"/>
    <w:rsid w:val="00AF2CCE"/>
    <w:rsid w:val="00AF2DEA"/>
    <w:rsid w:val="00AF2EA3"/>
    <w:rsid w:val="00AF2FF9"/>
    <w:rsid w:val="00AF3057"/>
    <w:rsid w:val="00AF312D"/>
    <w:rsid w:val="00AF3209"/>
    <w:rsid w:val="00AF3241"/>
    <w:rsid w:val="00AF36C3"/>
    <w:rsid w:val="00AF3717"/>
    <w:rsid w:val="00AF3A76"/>
    <w:rsid w:val="00AF3E32"/>
    <w:rsid w:val="00AF3F2C"/>
    <w:rsid w:val="00AF4117"/>
    <w:rsid w:val="00AF413E"/>
    <w:rsid w:val="00AF424C"/>
    <w:rsid w:val="00AF4365"/>
    <w:rsid w:val="00AF4402"/>
    <w:rsid w:val="00AF462A"/>
    <w:rsid w:val="00AF4642"/>
    <w:rsid w:val="00AF46D8"/>
    <w:rsid w:val="00AF4817"/>
    <w:rsid w:val="00AF4C70"/>
    <w:rsid w:val="00AF4DF8"/>
    <w:rsid w:val="00AF4EED"/>
    <w:rsid w:val="00AF505E"/>
    <w:rsid w:val="00AF518F"/>
    <w:rsid w:val="00AF5201"/>
    <w:rsid w:val="00AF5299"/>
    <w:rsid w:val="00AF52CA"/>
    <w:rsid w:val="00AF53B1"/>
    <w:rsid w:val="00AF550F"/>
    <w:rsid w:val="00AF5685"/>
    <w:rsid w:val="00AF57DB"/>
    <w:rsid w:val="00AF5AFC"/>
    <w:rsid w:val="00AF5B15"/>
    <w:rsid w:val="00AF5CF9"/>
    <w:rsid w:val="00AF5DFD"/>
    <w:rsid w:val="00AF5F8C"/>
    <w:rsid w:val="00AF6125"/>
    <w:rsid w:val="00AF635F"/>
    <w:rsid w:val="00AF649C"/>
    <w:rsid w:val="00AF682E"/>
    <w:rsid w:val="00AF6CB8"/>
    <w:rsid w:val="00AF6DB9"/>
    <w:rsid w:val="00AF6EBD"/>
    <w:rsid w:val="00AF7196"/>
    <w:rsid w:val="00AF71AC"/>
    <w:rsid w:val="00AF727B"/>
    <w:rsid w:val="00AF744D"/>
    <w:rsid w:val="00AF74D2"/>
    <w:rsid w:val="00AF7622"/>
    <w:rsid w:val="00AF77AF"/>
    <w:rsid w:val="00AF77DB"/>
    <w:rsid w:val="00AF782A"/>
    <w:rsid w:val="00AF7AFD"/>
    <w:rsid w:val="00AF7B39"/>
    <w:rsid w:val="00AF7F5F"/>
    <w:rsid w:val="00B001B2"/>
    <w:rsid w:val="00B0021A"/>
    <w:rsid w:val="00B004BB"/>
    <w:rsid w:val="00B00567"/>
    <w:rsid w:val="00B005E4"/>
    <w:rsid w:val="00B00880"/>
    <w:rsid w:val="00B008CC"/>
    <w:rsid w:val="00B00ABB"/>
    <w:rsid w:val="00B00AE0"/>
    <w:rsid w:val="00B00B97"/>
    <w:rsid w:val="00B00C28"/>
    <w:rsid w:val="00B00D35"/>
    <w:rsid w:val="00B01081"/>
    <w:rsid w:val="00B01117"/>
    <w:rsid w:val="00B011C0"/>
    <w:rsid w:val="00B01356"/>
    <w:rsid w:val="00B013D6"/>
    <w:rsid w:val="00B01498"/>
    <w:rsid w:val="00B0155B"/>
    <w:rsid w:val="00B015D1"/>
    <w:rsid w:val="00B015EB"/>
    <w:rsid w:val="00B01665"/>
    <w:rsid w:val="00B01707"/>
    <w:rsid w:val="00B0171C"/>
    <w:rsid w:val="00B01BA3"/>
    <w:rsid w:val="00B01C0B"/>
    <w:rsid w:val="00B01C75"/>
    <w:rsid w:val="00B01CB9"/>
    <w:rsid w:val="00B01DC0"/>
    <w:rsid w:val="00B02019"/>
    <w:rsid w:val="00B020C1"/>
    <w:rsid w:val="00B020C4"/>
    <w:rsid w:val="00B0226E"/>
    <w:rsid w:val="00B0232A"/>
    <w:rsid w:val="00B024B1"/>
    <w:rsid w:val="00B025BA"/>
    <w:rsid w:val="00B025CE"/>
    <w:rsid w:val="00B0264F"/>
    <w:rsid w:val="00B0267C"/>
    <w:rsid w:val="00B027DD"/>
    <w:rsid w:val="00B02862"/>
    <w:rsid w:val="00B02980"/>
    <w:rsid w:val="00B02A19"/>
    <w:rsid w:val="00B02A75"/>
    <w:rsid w:val="00B02A84"/>
    <w:rsid w:val="00B02E9F"/>
    <w:rsid w:val="00B0329B"/>
    <w:rsid w:val="00B0341A"/>
    <w:rsid w:val="00B034C6"/>
    <w:rsid w:val="00B035D9"/>
    <w:rsid w:val="00B035F3"/>
    <w:rsid w:val="00B03601"/>
    <w:rsid w:val="00B038D5"/>
    <w:rsid w:val="00B03BF5"/>
    <w:rsid w:val="00B03CE1"/>
    <w:rsid w:val="00B03D1B"/>
    <w:rsid w:val="00B03D6C"/>
    <w:rsid w:val="00B03DE3"/>
    <w:rsid w:val="00B040DF"/>
    <w:rsid w:val="00B04136"/>
    <w:rsid w:val="00B04246"/>
    <w:rsid w:val="00B04272"/>
    <w:rsid w:val="00B042E4"/>
    <w:rsid w:val="00B044EB"/>
    <w:rsid w:val="00B04648"/>
    <w:rsid w:val="00B046E7"/>
    <w:rsid w:val="00B0470B"/>
    <w:rsid w:val="00B04741"/>
    <w:rsid w:val="00B048BB"/>
    <w:rsid w:val="00B04A77"/>
    <w:rsid w:val="00B04C2E"/>
    <w:rsid w:val="00B04C88"/>
    <w:rsid w:val="00B04D32"/>
    <w:rsid w:val="00B04DF1"/>
    <w:rsid w:val="00B04E08"/>
    <w:rsid w:val="00B050F6"/>
    <w:rsid w:val="00B051FF"/>
    <w:rsid w:val="00B05223"/>
    <w:rsid w:val="00B053AE"/>
    <w:rsid w:val="00B05433"/>
    <w:rsid w:val="00B05614"/>
    <w:rsid w:val="00B0565B"/>
    <w:rsid w:val="00B0573D"/>
    <w:rsid w:val="00B057A2"/>
    <w:rsid w:val="00B05823"/>
    <w:rsid w:val="00B0589F"/>
    <w:rsid w:val="00B058B4"/>
    <w:rsid w:val="00B059BA"/>
    <w:rsid w:val="00B05A4A"/>
    <w:rsid w:val="00B05C2A"/>
    <w:rsid w:val="00B05C66"/>
    <w:rsid w:val="00B060F9"/>
    <w:rsid w:val="00B06216"/>
    <w:rsid w:val="00B06432"/>
    <w:rsid w:val="00B065B3"/>
    <w:rsid w:val="00B065D4"/>
    <w:rsid w:val="00B066EB"/>
    <w:rsid w:val="00B06793"/>
    <w:rsid w:val="00B067D0"/>
    <w:rsid w:val="00B0684F"/>
    <w:rsid w:val="00B068B7"/>
    <w:rsid w:val="00B06986"/>
    <w:rsid w:val="00B0698A"/>
    <w:rsid w:val="00B06BF1"/>
    <w:rsid w:val="00B06D46"/>
    <w:rsid w:val="00B06D55"/>
    <w:rsid w:val="00B06F96"/>
    <w:rsid w:val="00B06FCA"/>
    <w:rsid w:val="00B06FD4"/>
    <w:rsid w:val="00B073FF"/>
    <w:rsid w:val="00B0754D"/>
    <w:rsid w:val="00B077E8"/>
    <w:rsid w:val="00B078CF"/>
    <w:rsid w:val="00B078F2"/>
    <w:rsid w:val="00B07CA2"/>
    <w:rsid w:val="00B07DC6"/>
    <w:rsid w:val="00B07DE5"/>
    <w:rsid w:val="00B07F3B"/>
    <w:rsid w:val="00B07F9B"/>
    <w:rsid w:val="00B10041"/>
    <w:rsid w:val="00B1010C"/>
    <w:rsid w:val="00B10455"/>
    <w:rsid w:val="00B10502"/>
    <w:rsid w:val="00B10630"/>
    <w:rsid w:val="00B10678"/>
    <w:rsid w:val="00B1079F"/>
    <w:rsid w:val="00B107A2"/>
    <w:rsid w:val="00B1081B"/>
    <w:rsid w:val="00B10976"/>
    <w:rsid w:val="00B109C3"/>
    <w:rsid w:val="00B10A4F"/>
    <w:rsid w:val="00B10ACB"/>
    <w:rsid w:val="00B10AE5"/>
    <w:rsid w:val="00B10BFC"/>
    <w:rsid w:val="00B10DF5"/>
    <w:rsid w:val="00B10EB9"/>
    <w:rsid w:val="00B10F18"/>
    <w:rsid w:val="00B10FAF"/>
    <w:rsid w:val="00B11064"/>
    <w:rsid w:val="00B1106B"/>
    <w:rsid w:val="00B11096"/>
    <w:rsid w:val="00B1111E"/>
    <w:rsid w:val="00B1122D"/>
    <w:rsid w:val="00B112F9"/>
    <w:rsid w:val="00B1130A"/>
    <w:rsid w:val="00B1137F"/>
    <w:rsid w:val="00B11493"/>
    <w:rsid w:val="00B11539"/>
    <w:rsid w:val="00B11789"/>
    <w:rsid w:val="00B11ACB"/>
    <w:rsid w:val="00B11AE5"/>
    <w:rsid w:val="00B11B14"/>
    <w:rsid w:val="00B11C60"/>
    <w:rsid w:val="00B11CA6"/>
    <w:rsid w:val="00B11EA6"/>
    <w:rsid w:val="00B11ECF"/>
    <w:rsid w:val="00B120DD"/>
    <w:rsid w:val="00B12160"/>
    <w:rsid w:val="00B121E3"/>
    <w:rsid w:val="00B122B9"/>
    <w:rsid w:val="00B122F4"/>
    <w:rsid w:val="00B12449"/>
    <w:rsid w:val="00B1270E"/>
    <w:rsid w:val="00B127E4"/>
    <w:rsid w:val="00B12808"/>
    <w:rsid w:val="00B128BA"/>
    <w:rsid w:val="00B12947"/>
    <w:rsid w:val="00B1296E"/>
    <w:rsid w:val="00B12B17"/>
    <w:rsid w:val="00B12B46"/>
    <w:rsid w:val="00B12C47"/>
    <w:rsid w:val="00B12D73"/>
    <w:rsid w:val="00B12D93"/>
    <w:rsid w:val="00B12DCE"/>
    <w:rsid w:val="00B130E7"/>
    <w:rsid w:val="00B1319B"/>
    <w:rsid w:val="00B13290"/>
    <w:rsid w:val="00B132D2"/>
    <w:rsid w:val="00B132D3"/>
    <w:rsid w:val="00B13345"/>
    <w:rsid w:val="00B137EC"/>
    <w:rsid w:val="00B13826"/>
    <w:rsid w:val="00B13BF0"/>
    <w:rsid w:val="00B13D69"/>
    <w:rsid w:val="00B13F0F"/>
    <w:rsid w:val="00B1402B"/>
    <w:rsid w:val="00B1440E"/>
    <w:rsid w:val="00B14469"/>
    <w:rsid w:val="00B14496"/>
    <w:rsid w:val="00B1449D"/>
    <w:rsid w:val="00B144CF"/>
    <w:rsid w:val="00B14632"/>
    <w:rsid w:val="00B1485E"/>
    <w:rsid w:val="00B14C6A"/>
    <w:rsid w:val="00B14D79"/>
    <w:rsid w:val="00B14E46"/>
    <w:rsid w:val="00B14F54"/>
    <w:rsid w:val="00B151DA"/>
    <w:rsid w:val="00B15251"/>
    <w:rsid w:val="00B15276"/>
    <w:rsid w:val="00B152CA"/>
    <w:rsid w:val="00B15336"/>
    <w:rsid w:val="00B153B2"/>
    <w:rsid w:val="00B153DA"/>
    <w:rsid w:val="00B15409"/>
    <w:rsid w:val="00B15859"/>
    <w:rsid w:val="00B15AA8"/>
    <w:rsid w:val="00B15D55"/>
    <w:rsid w:val="00B15E08"/>
    <w:rsid w:val="00B15F70"/>
    <w:rsid w:val="00B1608F"/>
    <w:rsid w:val="00B1616B"/>
    <w:rsid w:val="00B16284"/>
    <w:rsid w:val="00B162C4"/>
    <w:rsid w:val="00B165DE"/>
    <w:rsid w:val="00B166DE"/>
    <w:rsid w:val="00B166F2"/>
    <w:rsid w:val="00B167B9"/>
    <w:rsid w:val="00B167CA"/>
    <w:rsid w:val="00B16801"/>
    <w:rsid w:val="00B16845"/>
    <w:rsid w:val="00B16D41"/>
    <w:rsid w:val="00B16DE1"/>
    <w:rsid w:val="00B16E4F"/>
    <w:rsid w:val="00B16F93"/>
    <w:rsid w:val="00B16FA3"/>
    <w:rsid w:val="00B170D9"/>
    <w:rsid w:val="00B17129"/>
    <w:rsid w:val="00B1716F"/>
    <w:rsid w:val="00B174D1"/>
    <w:rsid w:val="00B175B2"/>
    <w:rsid w:val="00B177ED"/>
    <w:rsid w:val="00B17892"/>
    <w:rsid w:val="00B1791D"/>
    <w:rsid w:val="00B179D1"/>
    <w:rsid w:val="00B179D8"/>
    <w:rsid w:val="00B17B77"/>
    <w:rsid w:val="00B17BA5"/>
    <w:rsid w:val="00B17DB5"/>
    <w:rsid w:val="00B17DF3"/>
    <w:rsid w:val="00B17E8E"/>
    <w:rsid w:val="00B17F70"/>
    <w:rsid w:val="00B17FF2"/>
    <w:rsid w:val="00B2011B"/>
    <w:rsid w:val="00B204A7"/>
    <w:rsid w:val="00B20636"/>
    <w:rsid w:val="00B208B4"/>
    <w:rsid w:val="00B20937"/>
    <w:rsid w:val="00B20BA6"/>
    <w:rsid w:val="00B20BB4"/>
    <w:rsid w:val="00B20D44"/>
    <w:rsid w:val="00B210CD"/>
    <w:rsid w:val="00B215A5"/>
    <w:rsid w:val="00B2160F"/>
    <w:rsid w:val="00B217CB"/>
    <w:rsid w:val="00B21894"/>
    <w:rsid w:val="00B218D8"/>
    <w:rsid w:val="00B21D58"/>
    <w:rsid w:val="00B21D92"/>
    <w:rsid w:val="00B21F5F"/>
    <w:rsid w:val="00B21FC6"/>
    <w:rsid w:val="00B22080"/>
    <w:rsid w:val="00B220DA"/>
    <w:rsid w:val="00B22401"/>
    <w:rsid w:val="00B2252B"/>
    <w:rsid w:val="00B2253A"/>
    <w:rsid w:val="00B2268B"/>
    <w:rsid w:val="00B226A7"/>
    <w:rsid w:val="00B227CA"/>
    <w:rsid w:val="00B228D4"/>
    <w:rsid w:val="00B22C00"/>
    <w:rsid w:val="00B22C7D"/>
    <w:rsid w:val="00B22C92"/>
    <w:rsid w:val="00B22D48"/>
    <w:rsid w:val="00B22D8A"/>
    <w:rsid w:val="00B23021"/>
    <w:rsid w:val="00B2308E"/>
    <w:rsid w:val="00B230AE"/>
    <w:rsid w:val="00B230DB"/>
    <w:rsid w:val="00B230E0"/>
    <w:rsid w:val="00B231FB"/>
    <w:rsid w:val="00B2328F"/>
    <w:rsid w:val="00B23291"/>
    <w:rsid w:val="00B233F2"/>
    <w:rsid w:val="00B236FC"/>
    <w:rsid w:val="00B237BC"/>
    <w:rsid w:val="00B2385C"/>
    <w:rsid w:val="00B23A04"/>
    <w:rsid w:val="00B23A5C"/>
    <w:rsid w:val="00B23A92"/>
    <w:rsid w:val="00B23CEF"/>
    <w:rsid w:val="00B23DCB"/>
    <w:rsid w:val="00B23E89"/>
    <w:rsid w:val="00B23F5A"/>
    <w:rsid w:val="00B24047"/>
    <w:rsid w:val="00B240B2"/>
    <w:rsid w:val="00B240D1"/>
    <w:rsid w:val="00B240E7"/>
    <w:rsid w:val="00B242FB"/>
    <w:rsid w:val="00B244E5"/>
    <w:rsid w:val="00B2452A"/>
    <w:rsid w:val="00B2485F"/>
    <w:rsid w:val="00B24B0A"/>
    <w:rsid w:val="00B24BCC"/>
    <w:rsid w:val="00B24DAB"/>
    <w:rsid w:val="00B24E62"/>
    <w:rsid w:val="00B24F05"/>
    <w:rsid w:val="00B24FD2"/>
    <w:rsid w:val="00B2501D"/>
    <w:rsid w:val="00B25039"/>
    <w:rsid w:val="00B250D6"/>
    <w:rsid w:val="00B25331"/>
    <w:rsid w:val="00B2544A"/>
    <w:rsid w:val="00B254FA"/>
    <w:rsid w:val="00B2576D"/>
    <w:rsid w:val="00B258E0"/>
    <w:rsid w:val="00B25BF7"/>
    <w:rsid w:val="00B25E0A"/>
    <w:rsid w:val="00B25ED6"/>
    <w:rsid w:val="00B2624B"/>
    <w:rsid w:val="00B263BF"/>
    <w:rsid w:val="00B264C1"/>
    <w:rsid w:val="00B26674"/>
    <w:rsid w:val="00B26793"/>
    <w:rsid w:val="00B26847"/>
    <w:rsid w:val="00B26E1E"/>
    <w:rsid w:val="00B26E30"/>
    <w:rsid w:val="00B26E44"/>
    <w:rsid w:val="00B27139"/>
    <w:rsid w:val="00B27330"/>
    <w:rsid w:val="00B27392"/>
    <w:rsid w:val="00B2777F"/>
    <w:rsid w:val="00B27941"/>
    <w:rsid w:val="00B27961"/>
    <w:rsid w:val="00B27A50"/>
    <w:rsid w:val="00B27BA8"/>
    <w:rsid w:val="00B27EA3"/>
    <w:rsid w:val="00B27EC2"/>
    <w:rsid w:val="00B30062"/>
    <w:rsid w:val="00B30100"/>
    <w:rsid w:val="00B3020D"/>
    <w:rsid w:val="00B302BA"/>
    <w:rsid w:val="00B30485"/>
    <w:rsid w:val="00B304C0"/>
    <w:rsid w:val="00B3058B"/>
    <w:rsid w:val="00B305B4"/>
    <w:rsid w:val="00B30674"/>
    <w:rsid w:val="00B306B0"/>
    <w:rsid w:val="00B3070A"/>
    <w:rsid w:val="00B30762"/>
    <w:rsid w:val="00B30836"/>
    <w:rsid w:val="00B3098A"/>
    <w:rsid w:val="00B30A9A"/>
    <w:rsid w:val="00B30C57"/>
    <w:rsid w:val="00B30C9B"/>
    <w:rsid w:val="00B30D53"/>
    <w:rsid w:val="00B30DA7"/>
    <w:rsid w:val="00B30E22"/>
    <w:rsid w:val="00B30EC4"/>
    <w:rsid w:val="00B31018"/>
    <w:rsid w:val="00B311EF"/>
    <w:rsid w:val="00B31255"/>
    <w:rsid w:val="00B31311"/>
    <w:rsid w:val="00B313F4"/>
    <w:rsid w:val="00B31495"/>
    <w:rsid w:val="00B31871"/>
    <w:rsid w:val="00B319BD"/>
    <w:rsid w:val="00B31A99"/>
    <w:rsid w:val="00B31ACC"/>
    <w:rsid w:val="00B31B38"/>
    <w:rsid w:val="00B31BB3"/>
    <w:rsid w:val="00B31C32"/>
    <w:rsid w:val="00B31C57"/>
    <w:rsid w:val="00B31D7C"/>
    <w:rsid w:val="00B31D97"/>
    <w:rsid w:val="00B31DB9"/>
    <w:rsid w:val="00B31DF2"/>
    <w:rsid w:val="00B31EA0"/>
    <w:rsid w:val="00B31EDD"/>
    <w:rsid w:val="00B31F3B"/>
    <w:rsid w:val="00B3200B"/>
    <w:rsid w:val="00B321AB"/>
    <w:rsid w:val="00B3226E"/>
    <w:rsid w:val="00B3233D"/>
    <w:rsid w:val="00B323BE"/>
    <w:rsid w:val="00B3253E"/>
    <w:rsid w:val="00B32792"/>
    <w:rsid w:val="00B3282E"/>
    <w:rsid w:val="00B32C22"/>
    <w:rsid w:val="00B32DD9"/>
    <w:rsid w:val="00B33218"/>
    <w:rsid w:val="00B33234"/>
    <w:rsid w:val="00B333F0"/>
    <w:rsid w:val="00B333FD"/>
    <w:rsid w:val="00B33507"/>
    <w:rsid w:val="00B335E6"/>
    <w:rsid w:val="00B3363B"/>
    <w:rsid w:val="00B33647"/>
    <w:rsid w:val="00B33824"/>
    <w:rsid w:val="00B338FF"/>
    <w:rsid w:val="00B33CD2"/>
    <w:rsid w:val="00B33D27"/>
    <w:rsid w:val="00B33F2A"/>
    <w:rsid w:val="00B34064"/>
    <w:rsid w:val="00B34137"/>
    <w:rsid w:val="00B341F0"/>
    <w:rsid w:val="00B342D0"/>
    <w:rsid w:val="00B3437B"/>
    <w:rsid w:val="00B344EE"/>
    <w:rsid w:val="00B345C8"/>
    <w:rsid w:val="00B34615"/>
    <w:rsid w:val="00B346D6"/>
    <w:rsid w:val="00B346D9"/>
    <w:rsid w:val="00B3471A"/>
    <w:rsid w:val="00B349C3"/>
    <w:rsid w:val="00B34C36"/>
    <w:rsid w:val="00B34C37"/>
    <w:rsid w:val="00B34EFE"/>
    <w:rsid w:val="00B34F49"/>
    <w:rsid w:val="00B34F83"/>
    <w:rsid w:val="00B34FE1"/>
    <w:rsid w:val="00B34FE3"/>
    <w:rsid w:val="00B35036"/>
    <w:rsid w:val="00B35179"/>
    <w:rsid w:val="00B352AC"/>
    <w:rsid w:val="00B352EA"/>
    <w:rsid w:val="00B354B5"/>
    <w:rsid w:val="00B3562D"/>
    <w:rsid w:val="00B3595C"/>
    <w:rsid w:val="00B35962"/>
    <w:rsid w:val="00B35BA0"/>
    <w:rsid w:val="00B35D2D"/>
    <w:rsid w:val="00B35FFC"/>
    <w:rsid w:val="00B3606B"/>
    <w:rsid w:val="00B360F4"/>
    <w:rsid w:val="00B36204"/>
    <w:rsid w:val="00B3635D"/>
    <w:rsid w:val="00B3640A"/>
    <w:rsid w:val="00B3640C"/>
    <w:rsid w:val="00B36558"/>
    <w:rsid w:val="00B36641"/>
    <w:rsid w:val="00B367B6"/>
    <w:rsid w:val="00B367F9"/>
    <w:rsid w:val="00B36918"/>
    <w:rsid w:val="00B36928"/>
    <w:rsid w:val="00B36AA1"/>
    <w:rsid w:val="00B36C13"/>
    <w:rsid w:val="00B36C47"/>
    <w:rsid w:val="00B36CCB"/>
    <w:rsid w:val="00B36ECC"/>
    <w:rsid w:val="00B37075"/>
    <w:rsid w:val="00B370C6"/>
    <w:rsid w:val="00B37148"/>
    <w:rsid w:val="00B372DC"/>
    <w:rsid w:val="00B378C9"/>
    <w:rsid w:val="00B37910"/>
    <w:rsid w:val="00B37BEE"/>
    <w:rsid w:val="00B37C98"/>
    <w:rsid w:val="00B37CE7"/>
    <w:rsid w:val="00B37D7F"/>
    <w:rsid w:val="00B37DCC"/>
    <w:rsid w:val="00B37DE4"/>
    <w:rsid w:val="00B37FFB"/>
    <w:rsid w:val="00B40030"/>
    <w:rsid w:val="00B400E7"/>
    <w:rsid w:val="00B4010D"/>
    <w:rsid w:val="00B40392"/>
    <w:rsid w:val="00B4040B"/>
    <w:rsid w:val="00B40902"/>
    <w:rsid w:val="00B409A1"/>
    <w:rsid w:val="00B409F3"/>
    <w:rsid w:val="00B40A5E"/>
    <w:rsid w:val="00B40A97"/>
    <w:rsid w:val="00B40BD7"/>
    <w:rsid w:val="00B40F87"/>
    <w:rsid w:val="00B40FD0"/>
    <w:rsid w:val="00B4109D"/>
    <w:rsid w:val="00B413A3"/>
    <w:rsid w:val="00B41427"/>
    <w:rsid w:val="00B41475"/>
    <w:rsid w:val="00B4153D"/>
    <w:rsid w:val="00B41549"/>
    <w:rsid w:val="00B41610"/>
    <w:rsid w:val="00B4162D"/>
    <w:rsid w:val="00B4163A"/>
    <w:rsid w:val="00B416F0"/>
    <w:rsid w:val="00B41745"/>
    <w:rsid w:val="00B4190D"/>
    <w:rsid w:val="00B419CC"/>
    <w:rsid w:val="00B41A13"/>
    <w:rsid w:val="00B41A4C"/>
    <w:rsid w:val="00B41B78"/>
    <w:rsid w:val="00B41C54"/>
    <w:rsid w:val="00B41CC7"/>
    <w:rsid w:val="00B41D66"/>
    <w:rsid w:val="00B41D82"/>
    <w:rsid w:val="00B41EA1"/>
    <w:rsid w:val="00B41EB3"/>
    <w:rsid w:val="00B42100"/>
    <w:rsid w:val="00B42121"/>
    <w:rsid w:val="00B42153"/>
    <w:rsid w:val="00B42172"/>
    <w:rsid w:val="00B421AA"/>
    <w:rsid w:val="00B421CF"/>
    <w:rsid w:val="00B422B1"/>
    <w:rsid w:val="00B424B6"/>
    <w:rsid w:val="00B427E1"/>
    <w:rsid w:val="00B427EF"/>
    <w:rsid w:val="00B429B8"/>
    <w:rsid w:val="00B42A51"/>
    <w:rsid w:val="00B42A55"/>
    <w:rsid w:val="00B42B30"/>
    <w:rsid w:val="00B42C07"/>
    <w:rsid w:val="00B42D72"/>
    <w:rsid w:val="00B42E18"/>
    <w:rsid w:val="00B42E1B"/>
    <w:rsid w:val="00B42FD0"/>
    <w:rsid w:val="00B43065"/>
    <w:rsid w:val="00B43249"/>
    <w:rsid w:val="00B43381"/>
    <w:rsid w:val="00B433C6"/>
    <w:rsid w:val="00B4367C"/>
    <w:rsid w:val="00B437AD"/>
    <w:rsid w:val="00B4380E"/>
    <w:rsid w:val="00B4385C"/>
    <w:rsid w:val="00B43990"/>
    <w:rsid w:val="00B43A2D"/>
    <w:rsid w:val="00B43A5C"/>
    <w:rsid w:val="00B43B57"/>
    <w:rsid w:val="00B43B87"/>
    <w:rsid w:val="00B43C65"/>
    <w:rsid w:val="00B43DFC"/>
    <w:rsid w:val="00B43EA8"/>
    <w:rsid w:val="00B43EF2"/>
    <w:rsid w:val="00B44188"/>
    <w:rsid w:val="00B447D0"/>
    <w:rsid w:val="00B448F8"/>
    <w:rsid w:val="00B44D85"/>
    <w:rsid w:val="00B44DB5"/>
    <w:rsid w:val="00B44F4F"/>
    <w:rsid w:val="00B44F55"/>
    <w:rsid w:val="00B44F68"/>
    <w:rsid w:val="00B450C9"/>
    <w:rsid w:val="00B4513F"/>
    <w:rsid w:val="00B45228"/>
    <w:rsid w:val="00B45438"/>
    <w:rsid w:val="00B454A5"/>
    <w:rsid w:val="00B456D9"/>
    <w:rsid w:val="00B45795"/>
    <w:rsid w:val="00B458FF"/>
    <w:rsid w:val="00B4598E"/>
    <w:rsid w:val="00B45B73"/>
    <w:rsid w:val="00B45B82"/>
    <w:rsid w:val="00B45E4F"/>
    <w:rsid w:val="00B45F15"/>
    <w:rsid w:val="00B45FA9"/>
    <w:rsid w:val="00B46150"/>
    <w:rsid w:val="00B461C6"/>
    <w:rsid w:val="00B4638C"/>
    <w:rsid w:val="00B4660D"/>
    <w:rsid w:val="00B466F4"/>
    <w:rsid w:val="00B4671C"/>
    <w:rsid w:val="00B4675A"/>
    <w:rsid w:val="00B46A95"/>
    <w:rsid w:val="00B46B3A"/>
    <w:rsid w:val="00B46BC0"/>
    <w:rsid w:val="00B46C2C"/>
    <w:rsid w:val="00B46C80"/>
    <w:rsid w:val="00B46CFF"/>
    <w:rsid w:val="00B46E95"/>
    <w:rsid w:val="00B46F28"/>
    <w:rsid w:val="00B46F3E"/>
    <w:rsid w:val="00B46F78"/>
    <w:rsid w:val="00B47106"/>
    <w:rsid w:val="00B47246"/>
    <w:rsid w:val="00B472A9"/>
    <w:rsid w:val="00B472E9"/>
    <w:rsid w:val="00B475A3"/>
    <w:rsid w:val="00B47659"/>
    <w:rsid w:val="00B47668"/>
    <w:rsid w:val="00B47849"/>
    <w:rsid w:val="00B478ED"/>
    <w:rsid w:val="00B47A5C"/>
    <w:rsid w:val="00B47B31"/>
    <w:rsid w:val="00B50001"/>
    <w:rsid w:val="00B50091"/>
    <w:rsid w:val="00B50253"/>
    <w:rsid w:val="00B50313"/>
    <w:rsid w:val="00B50390"/>
    <w:rsid w:val="00B50519"/>
    <w:rsid w:val="00B505E9"/>
    <w:rsid w:val="00B50657"/>
    <w:rsid w:val="00B50CE3"/>
    <w:rsid w:val="00B50DE1"/>
    <w:rsid w:val="00B50E11"/>
    <w:rsid w:val="00B51019"/>
    <w:rsid w:val="00B511A5"/>
    <w:rsid w:val="00B51206"/>
    <w:rsid w:val="00B512CE"/>
    <w:rsid w:val="00B51345"/>
    <w:rsid w:val="00B513D0"/>
    <w:rsid w:val="00B51458"/>
    <w:rsid w:val="00B519D8"/>
    <w:rsid w:val="00B51AC4"/>
    <w:rsid w:val="00B51B1B"/>
    <w:rsid w:val="00B51BD1"/>
    <w:rsid w:val="00B51C96"/>
    <w:rsid w:val="00B51D76"/>
    <w:rsid w:val="00B51D94"/>
    <w:rsid w:val="00B51DCD"/>
    <w:rsid w:val="00B51DD8"/>
    <w:rsid w:val="00B52175"/>
    <w:rsid w:val="00B523B0"/>
    <w:rsid w:val="00B52420"/>
    <w:rsid w:val="00B52637"/>
    <w:rsid w:val="00B5265F"/>
    <w:rsid w:val="00B5266C"/>
    <w:rsid w:val="00B5284B"/>
    <w:rsid w:val="00B52856"/>
    <w:rsid w:val="00B5296E"/>
    <w:rsid w:val="00B529DC"/>
    <w:rsid w:val="00B52A8E"/>
    <w:rsid w:val="00B52B3B"/>
    <w:rsid w:val="00B52DFA"/>
    <w:rsid w:val="00B53018"/>
    <w:rsid w:val="00B5305A"/>
    <w:rsid w:val="00B530C7"/>
    <w:rsid w:val="00B53231"/>
    <w:rsid w:val="00B5333E"/>
    <w:rsid w:val="00B533C2"/>
    <w:rsid w:val="00B5348E"/>
    <w:rsid w:val="00B53702"/>
    <w:rsid w:val="00B53923"/>
    <w:rsid w:val="00B53962"/>
    <w:rsid w:val="00B539F5"/>
    <w:rsid w:val="00B53A88"/>
    <w:rsid w:val="00B53AE9"/>
    <w:rsid w:val="00B53D30"/>
    <w:rsid w:val="00B53E15"/>
    <w:rsid w:val="00B543C0"/>
    <w:rsid w:val="00B543CE"/>
    <w:rsid w:val="00B544E7"/>
    <w:rsid w:val="00B547C9"/>
    <w:rsid w:val="00B549BF"/>
    <w:rsid w:val="00B549D9"/>
    <w:rsid w:val="00B54C5D"/>
    <w:rsid w:val="00B54CFB"/>
    <w:rsid w:val="00B54E8A"/>
    <w:rsid w:val="00B54F10"/>
    <w:rsid w:val="00B54F7E"/>
    <w:rsid w:val="00B55268"/>
    <w:rsid w:val="00B552BA"/>
    <w:rsid w:val="00B5553A"/>
    <w:rsid w:val="00B5555F"/>
    <w:rsid w:val="00B555C9"/>
    <w:rsid w:val="00B556A5"/>
    <w:rsid w:val="00B55831"/>
    <w:rsid w:val="00B55A12"/>
    <w:rsid w:val="00B55A17"/>
    <w:rsid w:val="00B55BC4"/>
    <w:rsid w:val="00B55D44"/>
    <w:rsid w:val="00B55D71"/>
    <w:rsid w:val="00B55EAD"/>
    <w:rsid w:val="00B55F05"/>
    <w:rsid w:val="00B5601E"/>
    <w:rsid w:val="00B5614F"/>
    <w:rsid w:val="00B562AD"/>
    <w:rsid w:val="00B56413"/>
    <w:rsid w:val="00B56602"/>
    <w:rsid w:val="00B5674C"/>
    <w:rsid w:val="00B569CA"/>
    <w:rsid w:val="00B56B2B"/>
    <w:rsid w:val="00B56BC5"/>
    <w:rsid w:val="00B56BF0"/>
    <w:rsid w:val="00B56C01"/>
    <w:rsid w:val="00B56C7E"/>
    <w:rsid w:val="00B57075"/>
    <w:rsid w:val="00B570E5"/>
    <w:rsid w:val="00B5716C"/>
    <w:rsid w:val="00B57280"/>
    <w:rsid w:val="00B57291"/>
    <w:rsid w:val="00B5735D"/>
    <w:rsid w:val="00B57413"/>
    <w:rsid w:val="00B57455"/>
    <w:rsid w:val="00B57512"/>
    <w:rsid w:val="00B57585"/>
    <w:rsid w:val="00B575AF"/>
    <w:rsid w:val="00B57675"/>
    <w:rsid w:val="00B576B5"/>
    <w:rsid w:val="00B576DF"/>
    <w:rsid w:val="00B5787F"/>
    <w:rsid w:val="00B57A82"/>
    <w:rsid w:val="00B57C19"/>
    <w:rsid w:val="00B57E23"/>
    <w:rsid w:val="00B57FC6"/>
    <w:rsid w:val="00B60012"/>
    <w:rsid w:val="00B600C2"/>
    <w:rsid w:val="00B600CF"/>
    <w:rsid w:val="00B601CD"/>
    <w:rsid w:val="00B601DB"/>
    <w:rsid w:val="00B606FC"/>
    <w:rsid w:val="00B60707"/>
    <w:rsid w:val="00B608F1"/>
    <w:rsid w:val="00B6094F"/>
    <w:rsid w:val="00B60956"/>
    <w:rsid w:val="00B609F2"/>
    <w:rsid w:val="00B60A03"/>
    <w:rsid w:val="00B60C28"/>
    <w:rsid w:val="00B60CAC"/>
    <w:rsid w:val="00B60F69"/>
    <w:rsid w:val="00B60FD9"/>
    <w:rsid w:val="00B61061"/>
    <w:rsid w:val="00B611F9"/>
    <w:rsid w:val="00B612AC"/>
    <w:rsid w:val="00B61491"/>
    <w:rsid w:val="00B614FD"/>
    <w:rsid w:val="00B615D0"/>
    <w:rsid w:val="00B61BAE"/>
    <w:rsid w:val="00B61D70"/>
    <w:rsid w:val="00B61FE5"/>
    <w:rsid w:val="00B62054"/>
    <w:rsid w:val="00B62074"/>
    <w:rsid w:val="00B620D2"/>
    <w:rsid w:val="00B62126"/>
    <w:rsid w:val="00B62251"/>
    <w:rsid w:val="00B6227E"/>
    <w:rsid w:val="00B6233B"/>
    <w:rsid w:val="00B62405"/>
    <w:rsid w:val="00B625F6"/>
    <w:rsid w:val="00B626CA"/>
    <w:rsid w:val="00B62848"/>
    <w:rsid w:val="00B629E9"/>
    <w:rsid w:val="00B62B54"/>
    <w:rsid w:val="00B62BE4"/>
    <w:rsid w:val="00B62C94"/>
    <w:rsid w:val="00B62DEE"/>
    <w:rsid w:val="00B62E16"/>
    <w:rsid w:val="00B62FE6"/>
    <w:rsid w:val="00B630B3"/>
    <w:rsid w:val="00B6314C"/>
    <w:rsid w:val="00B63351"/>
    <w:rsid w:val="00B63466"/>
    <w:rsid w:val="00B63704"/>
    <w:rsid w:val="00B63904"/>
    <w:rsid w:val="00B63AF1"/>
    <w:rsid w:val="00B63BA7"/>
    <w:rsid w:val="00B63BE5"/>
    <w:rsid w:val="00B63C8E"/>
    <w:rsid w:val="00B63CE3"/>
    <w:rsid w:val="00B63D61"/>
    <w:rsid w:val="00B63EDF"/>
    <w:rsid w:val="00B641DB"/>
    <w:rsid w:val="00B6421F"/>
    <w:rsid w:val="00B643D9"/>
    <w:rsid w:val="00B64597"/>
    <w:rsid w:val="00B64624"/>
    <w:rsid w:val="00B64745"/>
    <w:rsid w:val="00B64F2A"/>
    <w:rsid w:val="00B64F34"/>
    <w:rsid w:val="00B64FD4"/>
    <w:rsid w:val="00B6549D"/>
    <w:rsid w:val="00B6569F"/>
    <w:rsid w:val="00B656FE"/>
    <w:rsid w:val="00B65964"/>
    <w:rsid w:val="00B65A25"/>
    <w:rsid w:val="00B65A3C"/>
    <w:rsid w:val="00B65A63"/>
    <w:rsid w:val="00B65A8A"/>
    <w:rsid w:val="00B65C1C"/>
    <w:rsid w:val="00B65DE6"/>
    <w:rsid w:val="00B65DFC"/>
    <w:rsid w:val="00B65E53"/>
    <w:rsid w:val="00B65F06"/>
    <w:rsid w:val="00B66001"/>
    <w:rsid w:val="00B6611E"/>
    <w:rsid w:val="00B66127"/>
    <w:rsid w:val="00B6655D"/>
    <w:rsid w:val="00B665AE"/>
    <w:rsid w:val="00B665C3"/>
    <w:rsid w:val="00B6667E"/>
    <w:rsid w:val="00B6678D"/>
    <w:rsid w:val="00B6681B"/>
    <w:rsid w:val="00B66A5E"/>
    <w:rsid w:val="00B66BB0"/>
    <w:rsid w:val="00B66BF1"/>
    <w:rsid w:val="00B66C21"/>
    <w:rsid w:val="00B66E69"/>
    <w:rsid w:val="00B66FB4"/>
    <w:rsid w:val="00B66FD9"/>
    <w:rsid w:val="00B671A4"/>
    <w:rsid w:val="00B6726B"/>
    <w:rsid w:val="00B67429"/>
    <w:rsid w:val="00B674B7"/>
    <w:rsid w:val="00B67696"/>
    <w:rsid w:val="00B67733"/>
    <w:rsid w:val="00B67818"/>
    <w:rsid w:val="00B6791C"/>
    <w:rsid w:val="00B67955"/>
    <w:rsid w:val="00B679AB"/>
    <w:rsid w:val="00B70026"/>
    <w:rsid w:val="00B70071"/>
    <w:rsid w:val="00B70241"/>
    <w:rsid w:val="00B70328"/>
    <w:rsid w:val="00B70401"/>
    <w:rsid w:val="00B7045F"/>
    <w:rsid w:val="00B70469"/>
    <w:rsid w:val="00B70650"/>
    <w:rsid w:val="00B706D0"/>
    <w:rsid w:val="00B7077A"/>
    <w:rsid w:val="00B7081F"/>
    <w:rsid w:val="00B708FE"/>
    <w:rsid w:val="00B70D3E"/>
    <w:rsid w:val="00B70DD7"/>
    <w:rsid w:val="00B70F77"/>
    <w:rsid w:val="00B710C7"/>
    <w:rsid w:val="00B711A8"/>
    <w:rsid w:val="00B71254"/>
    <w:rsid w:val="00B71290"/>
    <w:rsid w:val="00B712EE"/>
    <w:rsid w:val="00B7133F"/>
    <w:rsid w:val="00B71440"/>
    <w:rsid w:val="00B715DB"/>
    <w:rsid w:val="00B717A5"/>
    <w:rsid w:val="00B71938"/>
    <w:rsid w:val="00B71ABA"/>
    <w:rsid w:val="00B71B7A"/>
    <w:rsid w:val="00B71C8B"/>
    <w:rsid w:val="00B71E8A"/>
    <w:rsid w:val="00B72080"/>
    <w:rsid w:val="00B721B6"/>
    <w:rsid w:val="00B721BB"/>
    <w:rsid w:val="00B721C5"/>
    <w:rsid w:val="00B7226E"/>
    <w:rsid w:val="00B7248B"/>
    <w:rsid w:val="00B727C4"/>
    <w:rsid w:val="00B728C9"/>
    <w:rsid w:val="00B72A4A"/>
    <w:rsid w:val="00B72B04"/>
    <w:rsid w:val="00B72C55"/>
    <w:rsid w:val="00B72CC4"/>
    <w:rsid w:val="00B72CC9"/>
    <w:rsid w:val="00B72E94"/>
    <w:rsid w:val="00B72F63"/>
    <w:rsid w:val="00B73067"/>
    <w:rsid w:val="00B731BD"/>
    <w:rsid w:val="00B7334E"/>
    <w:rsid w:val="00B736C8"/>
    <w:rsid w:val="00B73CDD"/>
    <w:rsid w:val="00B73F66"/>
    <w:rsid w:val="00B740E5"/>
    <w:rsid w:val="00B74168"/>
    <w:rsid w:val="00B742C9"/>
    <w:rsid w:val="00B7441D"/>
    <w:rsid w:val="00B7451A"/>
    <w:rsid w:val="00B74A0F"/>
    <w:rsid w:val="00B74AE3"/>
    <w:rsid w:val="00B74B92"/>
    <w:rsid w:val="00B74C99"/>
    <w:rsid w:val="00B74D5B"/>
    <w:rsid w:val="00B74DDF"/>
    <w:rsid w:val="00B750A7"/>
    <w:rsid w:val="00B751D6"/>
    <w:rsid w:val="00B752A4"/>
    <w:rsid w:val="00B75546"/>
    <w:rsid w:val="00B755F7"/>
    <w:rsid w:val="00B7565D"/>
    <w:rsid w:val="00B75695"/>
    <w:rsid w:val="00B75922"/>
    <w:rsid w:val="00B75A5C"/>
    <w:rsid w:val="00B75AF5"/>
    <w:rsid w:val="00B75B4F"/>
    <w:rsid w:val="00B75B74"/>
    <w:rsid w:val="00B75DCF"/>
    <w:rsid w:val="00B75E5D"/>
    <w:rsid w:val="00B75E77"/>
    <w:rsid w:val="00B75E9B"/>
    <w:rsid w:val="00B75EBE"/>
    <w:rsid w:val="00B75F2B"/>
    <w:rsid w:val="00B76191"/>
    <w:rsid w:val="00B761EF"/>
    <w:rsid w:val="00B76249"/>
    <w:rsid w:val="00B76286"/>
    <w:rsid w:val="00B762E1"/>
    <w:rsid w:val="00B7631D"/>
    <w:rsid w:val="00B7652D"/>
    <w:rsid w:val="00B76715"/>
    <w:rsid w:val="00B76972"/>
    <w:rsid w:val="00B769F2"/>
    <w:rsid w:val="00B76DA0"/>
    <w:rsid w:val="00B76E24"/>
    <w:rsid w:val="00B77027"/>
    <w:rsid w:val="00B7720A"/>
    <w:rsid w:val="00B77290"/>
    <w:rsid w:val="00B772B5"/>
    <w:rsid w:val="00B7751F"/>
    <w:rsid w:val="00B775E0"/>
    <w:rsid w:val="00B77644"/>
    <w:rsid w:val="00B7788C"/>
    <w:rsid w:val="00B778B1"/>
    <w:rsid w:val="00B77C1D"/>
    <w:rsid w:val="00B77FEF"/>
    <w:rsid w:val="00B800BA"/>
    <w:rsid w:val="00B80100"/>
    <w:rsid w:val="00B801DB"/>
    <w:rsid w:val="00B80316"/>
    <w:rsid w:val="00B80469"/>
    <w:rsid w:val="00B805ED"/>
    <w:rsid w:val="00B80A6A"/>
    <w:rsid w:val="00B80B67"/>
    <w:rsid w:val="00B80D76"/>
    <w:rsid w:val="00B811C8"/>
    <w:rsid w:val="00B8129A"/>
    <w:rsid w:val="00B812B0"/>
    <w:rsid w:val="00B81365"/>
    <w:rsid w:val="00B814C2"/>
    <w:rsid w:val="00B81629"/>
    <w:rsid w:val="00B81998"/>
    <w:rsid w:val="00B81AB0"/>
    <w:rsid w:val="00B81BD5"/>
    <w:rsid w:val="00B81C30"/>
    <w:rsid w:val="00B81C7A"/>
    <w:rsid w:val="00B81D69"/>
    <w:rsid w:val="00B81E0D"/>
    <w:rsid w:val="00B81E74"/>
    <w:rsid w:val="00B81E7A"/>
    <w:rsid w:val="00B81FE1"/>
    <w:rsid w:val="00B82028"/>
    <w:rsid w:val="00B8256C"/>
    <w:rsid w:val="00B825CC"/>
    <w:rsid w:val="00B8270A"/>
    <w:rsid w:val="00B827E3"/>
    <w:rsid w:val="00B827FC"/>
    <w:rsid w:val="00B82A99"/>
    <w:rsid w:val="00B82B13"/>
    <w:rsid w:val="00B82B14"/>
    <w:rsid w:val="00B82B6B"/>
    <w:rsid w:val="00B82BA0"/>
    <w:rsid w:val="00B82CF5"/>
    <w:rsid w:val="00B82E9D"/>
    <w:rsid w:val="00B83113"/>
    <w:rsid w:val="00B8317D"/>
    <w:rsid w:val="00B83189"/>
    <w:rsid w:val="00B83291"/>
    <w:rsid w:val="00B83483"/>
    <w:rsid w:val="00B83513"/>
    <w:rsid w:val="00B83671"/>
    <w:rsid w:val="00B83844"/>
    <w:rsid w:val="00B83864"/>
    <w:rsid w:val="00B8388C"/>
    <w:rsid w:val="00B83C22"/>
    <w:rsid w:val="00B83D42"/>
    <w:rsid w:val="00B83D60"/>
    <w:rsid w:val="00B83E28"/>
    <w:rsid w:val="00B83FA6"/>
    <w:rsid w:val="00B83FFB"/>
    <w:rsid w:val="00B8419B"/>
    <w:rsid w:val="00B8421C"/>
    <w:rsid w:val="00B84696"/>
    <w:rsid w:val="00B84766"/>
    <w:rsid w:val="00B847AC"/>
    <w:rsid w:val="00B849DD"/>
    <w:rsid w:val="00B849ED"/>
    <w:rsid w:val="00B84C6B"/>
    <w:rsid w:val="00B84D9A"/>
    <w:rsid w:val="00B84DC1"/>
    <w:rsid w:val="00B84DC9"/>
    <w:rsid w:val="00B84ED1"/>
    <w:rsid w:val="00B85054"/>
    <w:rsid w:val="00B85168"/>
    <w:rsid w:val="00B854E2"/>
    <w:rsid w:val="00B85811"/>
    <w:rsid w:val="00B8582D"/>
    <w:rsid w:val="00B85B1D"/>
    <w:rsid w:val="00B85B52"/>
    <w:rsid w:val="00B85B5B"/>
    <w:rsid w:val="00B85BB6"/>
    <w:rsid w:val="00B85E77"/>
    <w:rsid w:val="00B8606E"/>
    <w:rsid w:val="00B8614A"/>
    <w:rsid w:val="00B8621C"/>
    <w:rsid w:val="00B865DE"/>
    <w:rsid w:val="00B867A0"/>
    <w:rsid w:val="00B86808"/>
    <w:rsid w:val="00B86C54"/>
    <w:rsid w:val="00B86DD4"/>
    <w:rsid w:val="00B86FCD"/>
    <w:rsid w:val="00B8704A"/>
    <w:rsid w:val="00B8720A"/>
    <w:rsid w:val="00B87570"/>
    <w:rsid w:val="00B875CE"/>
    <w:rsid w:val="00B876F1"/>
    <w:rsid w:val="00B876F5"/>
    <w:rsid w:val="00B8783E"/>
    <w:rsid w:val="00B87844"/>
    <w:rsid w:val="00B8791D"/>
    <w:rsid w:val="00B87ADE"/>
    <w:rsid w:val="00B87BD9"/>
    <w:rsid w:val="00B87D2D"/>
    <w:rsid w:val="00B87EC9"/>
    <w:rsid w:val="00B901EB"/>
    <w:rsid w:val="00B901ED"/>
    <w:rsid w:val="00B90226"/>
    <w:rsid w:val="00B9037D"/>
    <w:rsid w:val="00B903E4"/>
    <w:rsid w:val="00B904F5"/>
    <w:rsid w:val="00B905F2"/>
    <w:rsid w:val="00B90C7E"/>
    <w:rsid w:val="00B90D6A"/>
    <w:rsid w:val="00B91395"/>
    <w:rsid w:val="00B9146D"/>
    <w:rsid w:val="00B9172A"/>
    <w:rsid w:val="00B91764"/>
    <w:rsid w:val="00B9179D"/>
    <w:rsid w:val="00B9196F"/>
    <w:rsid w:val="00B919A3"/>
    <w:rsid w:val="00B91CD8"/>
    <w:rsid w:val="00B91DD9"/>
    <w:rsid w:val="00B91FC4"/>
    <w:rsid w:val="00B92084"/>
    <w:rsid w:val="00B923BF"/>
    <w:rsid w:val="00B923E7"/>
    <w:rsid w:val="00B924D0"/>
    <w:rsid w:val="00B9251C"/>
    <w:rsid w:val="00B9281B"/>
    <w:rsid w:val="00B92A9B"/>
    <w:rsid w:val="00B92BE8"/>
    <w:rsid w:val="00B92F55"/>
    <w:rsid w:val="00B92F6F"/>
    <w:rsid w:val="00B9304A"/>
    <w:rsid w:val="00B93055"/>
    <w:rsid w:val="00B930AF"/>
    <w:rsid w:val="00B93236"/>
    <w:rsid w:val="00B9336E"/>
    <w:rsid w:val="00B9344D"/>
    <w:rsid w:val="00B937D8"/>
    <w:rsid w:val="00B9380E"/>
    <w:rsid w:val="00B93A76"/>
    <w:rsid w:val="00B93B4D"/>
    <w:rsid w:val="00B93B70"/>
    <w:rsid w:val="00B93CF2"/>
    <w:rsid w:val="00B93D2C"/>
    <w:rsid w:val="00B93E28"/>
    <w:rsid w:val="00B93EEA"/>
    <w:rsid w:val="00B93F1A"/>
    <w:rsid w:val="00B9416E"/>
    <w:rsid w:val="00B94193"/>
    <w:rsid w:val="00B941F9"/>
    <w:rsid w:val="00B94286"/>
    <w:rsid w:val="00B9440D"/>
    <w:rsid w:val="00B944D7"/>
    <w:rsid w:val="00B945C1"/>
    <w:rsid w:val="00B9463A"/>
    <w:rsid w:val="00B94725"/>
    <w:rsid w:val="00B94762"/>
    <w:rsid w:val="00B94789"/>
    <w:rsid w:val="00B947DD"/>
    <w:rsid w:val="00B94901"/>
    <w:rsid w:val="00B94950"/>
    <w:rsid w:val="00B94A3A"/>
    <w:rsid w:val="00B94B25"/>
    <w:rsid w:val="00B94C19"/>
    <w:rsid w:val="00B94CC5"/>
    <w:rsid w:val="00B94D33"/>
    <w:rsid w:val="00B94D58"/>
    <w:rsid w:val="00B94DA0"/>
    <w:rsid w:val="00B94F17"/>
    <w:rsid w:val="00B9503F"/>
    <w:rsid w:val="00B95199"/>
    <w:rsid w:val="00B953FB"/>
    <w:rsid w:val="00B95462"/>
    <w:rsid w:val="00B95515"/>
    <w:rsid w:val="00B95644"/>
    <w:rsid w:val="00B9567D"/>
    <w:rsid w:val="00B956D3"/>
    <w:rsid w:val="00B957D2"/>
    <w:rsid w:val="00B95ACC"/>
    <w:rsid w:val="00B95D56"/>
    <w:rsid w:val="00B95E34"/>
    <w:rsid w:val="00B95F4D"/>
    <w:rsid w:val="00B95F59"/>
    <w:rsid w:val="00B96068"/>
    <w:rsid w:val="00B9608B"/>
    <w:rsid w:val="00B96098"/>
    <w:rsid w:val="00B960B6"/>
    <w:rsid w:val="00B96157"/>
    <w:rsid w:val="00B961F2"/>
    <w:rsid w:val="00B96392"/>
    <w:rsid w:val="00B964DA"/>
    <w:rsid w:val="00B966A5"/>
    <w:rsid w:val="00B968CC"/>
    <w:rsid w:val="00B96935"/>
    <w:rsid w:val="00B96B93"/>
    <w:rsid w:val="00B96BEC"/>
    <w:rsid w:val="00B96BF0"/>
    <w:rsid w:val="00B96C71"/>
    <w:rsid w:val="00B96D9C"/>
    <w:rsid w:val="00B96DB0"/>
    <w:rsid w:val="00B96FBA"/>
    <w:rsid w:val="00B97115"/>
    <w:rsid w:val="00B97418"/>
    <w:rsid w:val="00B974B5"/>
    <w:rsid w:val="00B9755B"/>
    <w:rsid w:val="00B975BC"/>
    <w:rsid w:val="00B976C7"/>
    <w:rsid w:val="00B97724"/>
    <w:rsid w:val="00B977A5"/>
    <w:rsid w:val="00B97991"/>
    <w:rsid w:val="00B979AF"/>
    <w:rsid w:val="00B979F6"/>
    <w:rsid w:val="00B97A26"/>
    <w:rsid w:val="00B97ACB"/>
    <w:rsid w:val="00B97BB1"/>
    <w:rsid w:val="00B97C3A"/>
    <w:rsid w:val="00BA0022"/>
    <w:rsid w:val="00BA033E"/>
    <w:rsid w:val="00BA06B6"/>
    <w:rsid w:val="00BA06B8"/>
    <w:rsid w:val="00BA087A"/>
    <w:rsid w:val="00BA0931"/>
    <w:rsid w:val="00BA0AEF"/>
    <w:rsid w:val="00BA0CFC"/>
    <w:rsid w:val="00BA1030"/>
    <w:rsid w:val="00BA113D"/>
    <w:rsid w:val="00BA118E"/>
    <w:rsid w:val="00BA11C8"/>
    <w:rsid w:val="00BA156F"/>
    <w:rsid w:val="00BA1731"/>
    <w:rsid w:val="00BA17F0"/>
    <w:rsid w:val="00BA18B6"/>
    <w:rsid w:val="00BA18E0"/>
    <w:rsid w:val="00BA19ED"/>
    <w:rsid w:val="00BA1AB4"/>
    <w:rsid w:val="00BA1B80"/>
    <w:rsid w:val="00BA1EC6"/>
    <w:rsid w:val="00BA2024"/>
    <w:rsid w:val="00BA2046"/>
    <w:rsid w:val="00BA2066"/>
    <w:rsid w:val="00BA2119"/>
    <w:rsid w:val="00BA225E"/>
    <w:rsid w:val="00BA2651"/>
    <w:rsid w:val="00BA2696"/>
    <w:rsid w:val="00BA26C1"/>
    <w:rsid w:val="00BA2706"/>
    <w:rsid w:val="00BA2857"/>
    <w:rsid w:val="00BA2AE6"/>
    <w:rsid w:val="00BA2C06"/>
    <w:rsid w:val="00BA2C4B"/>
    <w:rsid w:val="00BA2E36"/>
    <w:rsid w:val="00BA2ECD"/>
    <w:rsid w:val="00BA36B2"/>
    <w:rsid w:val="00BA37B9"/>
    <w:rsid w:val="00BA38D8"/>
    <w:rsid w:val="00BA3CF3"/>
    <w:rsid w:val="00BA3D14"/>
    <w:rsid w:val="00BA3D84"/>
    <w:rsid w:val="00BA4005"/>
    <w:rsid w:val="00BA408D"/>
    <w:rsid w:val="00BA432B"/>
    <w:rsid w:val="00BA443F"/>
    <w:rsid w:val="00BA465F"/>
    <w:rsid w:val="00BA4791"/>
    <w:rsid w:val="00BA483F"/>
    <w:rsid w:val="00BA4957"/>
    <w:rsid w:val="00BA4A7D"/>
    <w:rsid w:val="00BA4AD3"/>
    <w:rsid w:val="00BA4AEA"/>
    <w:rsid w:val="00BA4C7B"/>
    <w:rsid w:val="00BA4C7D"/>
    <w:rsid w:val="00BA4D07"/>
    <w:rsid w:val="00BA4D0C"/>
    <w:rsid w:val="00BA4FF0"/>
    <w:rsid w:val="00BA5005"/>
    <w:rsid w:val="00BA50F1"/>
    <w:rsid w:val="00BA5189"/>
    <w:rsid w:val="00BA53BD"/>
    <w:rsid w:val="00BA543A"/>
    <w:rsid w:val="00BA5475"/>
    <w:rsid w:val="00BA55E6"/>
    <w:rsid w:val="00BA5682"/>
    <w:rsid w:val="00BA573E"/>
    <w:rsid w:val="00BA5903"/>
    <w:rsid w:val="00BA5A32"/>
    <w:rsid w:val="00BA5B3D"/>
    <w:rsid w:val="00BA5D99"/>
    <w:rsid w:val="00BA613B"/>
    <w:rsid w:val="00BA61AD"/>
    <w:rsid w:val="00BA65BE"/>
    <w:rsid w:val="00BA66FE"/>
    <w:rsid w:val="00BA6904"/>
    <w:rsid w:val="00BA6BB8"/>
    <w:rsid w:val="00BA6CB2"/>
    <w:rsid w:val="00BA6EFE"/>
    <w:rsid w:val="00BA6FFF"/>
    <w:rsid w:val="00BA7013"/>
    <w:rsid w:val="00BA7023"/>
    <w:rsid w:val="00BA7051"/>
    <w:rsid w:val="00BA725A"/>
    <w:rsid w:val="00BA7319"/>
    <w:rsid w:val="00BA74E3"/>
    <w:rsid w:val="00BA7745"/>
    <w:rsid w:val="00BA7897"/>
    <w:rsid w:val="00BA7AB0"/>
    <w:rsid w:val="00BA7B38"/>
    <w:rsid w:val="00BA7BAE"/>
    <w:rsid w:val="00BA7E40"/>
    <w:rsid w:val="00BA7E48"/>
    <w:rsid w:val="00BA7FEF"/>
    <w:rsid w:val="00BB0514"/>
    <w:rsid w:val="00BB0596"/>
    <w:rsid w:val="00BB0671"/>
    <w:rsid w:val="00BB0756"/>
    <w:rsid w:val="00BB085C"/>
    <w:rsid w:val="00BB0B3A"/>
    <w:rsid w:val="00BB0C2C"/>
    <w:rsid w:val="00BB0C46"/>
    <w:rsid w:val="00BB0CAF"/>
    <w:rsid w:val="00BB0D60"/>
    <w:rsid w:val="00BB10EC"/>
    <w:rsid w:val="00BB1286"/>
    <w:rsid w:val="00BB12B8"/>
    <w:rsid w:val="00BB1555"/>
    <w:rsid w:val="00BB1785"/>
    <w:rsid w:val="00BB18D8"/>
    <w:rsid w:val="00BB1915"/>
    <w:rsid w:val="00BB19B8"/>
    <w:rsid w:val="00BB1AFE"/>
    <w:rsid w:val="00BB1D1C"/>
    <w:rsid w:val="00BB2218"/>
    <w:rsid w:val="00BB2327"/>
    <w:rsid w:val="00BB23D4"/>
    <w:rsid w:val="00BB241E"/>
    <w:rsid w:val="00BB276D"/>
    <w:rsid w:val="00BB27AD"/>
    <w:rsid w:val="00BB2A99"/>
    <w:rsid w:val="00BB2AD1"/>
    <w:rsid w:val="00BB2D73"/>
    <w:rsid w:val="00BB2E31"/>
    <w:rsid w:val="00BB2FC3"/>
    <w:rsid w:val="00BB30CC"/>
    <w:rsid w:val="00BB3111"/>
    <w:rsid w:val="00BB3706"/>
    <w:rsid w:val="00BB377D"/>
    <w:rsid w:val="00BB37C5"/>
    <w:rsid w:val="00BB3912"/>
    <w:rsid w:val="00BB3D7B"/>
    <w:rsid w:val="00BB4205"/>
    <w:rsid w:val="00BB43D5"/>
    <w:rsid w:val="00BB46FA"/>
    <w:rsid w:val="00BB471B"/>
    <w:rsid w:val="00BB473B"/>
    <w:rsid w:val="00BB4B08"/>
    <w:rsid w:val="00BB4BF0"/>
    <w:rsid w:val="00BB4C70"/>
    <w:rsid w:val="00BB4C87"/>
    <w:rsid w:val="00BB4D56"/>
    <w:rsid w:val="00BB4EFF"/>
    <w:rsid w:val="00BB5273"/>
    <w:rsid w:val="00BB533C"/>
    <w:rsid w:val="00BB5359"/>
    <w:rsid w:val="00BB5EEC"/>
    <w:rsid w:val="00BB5EF7"/>
    <w:rsid w:val="00BB6080"/>
    <w:rsid w:val="00BB610A"/>
    <w:rsid w:val="00BB6158"/>
    <w:rsid w:val="00BB645B"/>
    <w:rsid w:val="00BB6480"/>
    <w:rsid w:val="00BB65B1"/>
    <w:rsid w:val="00BB65D9"/>
    <w:rsid w:val="00BB688B"/>
    <w:rsid w:val="00BB6919"/>
    <w:rsid w:val="00BB695D"/>
    <w:rsid w:val="00BB6B93"/>
    <w:rsid w:val="00BB6C6E"/>
    <w:rsid w:val="00BB6DAD"/>
    <w:rsid w:val="00BB6FA9"/>
    <w:rsid w:val="00BB7169"/>
    <w:rsid w:val="00BB72D0"/>
    <w:rsid w:val="00BB7522"/>
    <w:rsid w:val="00BB7653"/>
    <w:rsid w:val="00BB76A1"/>
    <w:rsid w:val="00BB76B3"/>
    <w:rsid w:val="00BB776E"/>
    <w:rsid w:val="00BB7802"/>
    <w:rsid w:val="00BB7847"/>
    <w:rsid w:val="00BB7926"/>
    <w:rsid w:val="00BB7B44"/>
    <w:rsid w:val="00BB7B4D"/>
    <w:rsid w:val="00BB7F05"/>
    <w:rsid w:val="00BB7F5A"/>
    <w:rsid w:val="00BC02B4"/>
    <w:rsid w:val="00BC03FA"/>
    <w:rsid w:val="00BC0560"/>
    <w:rsid w:val="00BC09A2"/>
    <w:rsid w:val="00BC0A3A"/>
    <w:rsid w:val="00BC0A6C"/>
    <w:rsid w:val="00BC0D81"/>
    <w:rsid w:val="00BC0EC4"/>
    <w:rsid w:val="00BC12B7"/>
    <w:rsid w:val="00BC12C5"/>
    <w:rsid w:val="00BC13A1"/>
    <w:rsid w:val="00BC18D8"/>
    <w:rsid w:val="00BC19F4"/>
    <w:rsid w:val="00BC1A4C"/>
    <w:rsid w:val="00BC1AB5"/>
    <w:rsid w:val="00BC1D04"/>
    <w:rsid w:val="00BC1FAA"/>
    <w:rsid w:val="00BC2062"/>
    <w:rsid w:val="00BC2254"/>
    <w:rsid w:val="00BC23C7"/>
    <w:rsid w:val="00BC2408"/>
    <w:rsid w:val="00BC251C"/>
    <w:rsid w:val="00BC25BB"/>
    <w:rsid w:val="00BC2600"/>
    <w:rsid w:val="00BC267C"/>
    <w:rsid w:val="00BC2703"/>
    <w:rsid w:val="00BC2875"/>
    <w:rsid w:val="00BC2D46"/>
    <w:rsid w:val="00BC2DA2"/>
    <w:rsid w:val="00BC2E24"/>
    <w:rsid w:val="00BC3121"/>
    <w:rsid w:val="00BC3473"/>
    <w:rsid w:val="00BC34B9"/>
    <w:rsid w:val="00BC3537"/>
    <w:rsid w:val="00BC361A"/>
    <w:rsid w:val="00BC36A9"/>
    <w:rsid w:val="00BC37DF"/>
    <w:rsid w:val="00BC389D"/>
    <w:rsid w:val="00BC3B4C"/>
    <w:rsid w:val="00BC3BF7"/>
    <w:rsid w:val="00BC3D1F"/>
    <w:rsid w:val="00BC3D95"/>
    <w:rsid w:val="00BC4011"/>
    <w:rsid w:val="00BC4068"/>
    <w:rsid w:val="00BC40DB"/>
    <w:rsid w:val="00BC4682"/>
    <w:rsid w:val="00BC494B"/>
    <w:rsid w:val="00BC49F3"/>
    <w:rsid w:val="00BC4E41"/>
    <w:rsid w:val="00BC4F7C"/>
    <w:rsid w:val="00BC4F89"/>
    <w:rsid w:val="00BC50CC"/>
    <w:rsid w:val="00BC5213"/>
    <w:rsid w:val="00BC564A"/>
    <w:rsid w:val="00BC5746"/>
    <w:rsid w:val="00BC5A9C"/>
    <w:rsid w:val="00BC5AD7"/>
    <w:rsid w:val="00BC5C50"/>
    <w:rsid w:val="00BC5E7C"/>
    <w:rsid w:val="00BC6075"/>
    <w:rsid w:val="00BC6087"/>
    <w:rsid w:val="00BC60A4"/>
    <w:rsid w:val="00BC60CD"/>
    <w:rsid w:val="00BC60DB"/>
    <w:rsid w:val="00BC62C2"/>
    <w:rsid w:val="00BC6346"/>
    <w:rsid w:val="00BC63E7"/>
    <w:rsid w:val="00BC6414"/>
    <w:rsid w:val="00BC6525"/>
    <w:rsid w:val="00BC659A"/>
    <w:rsid w:val="00BC671A"/>
    <w:rsid w:val="00BC6A61"/>
    <w:rsid w:val="00BC6BBA"/>
    <w:rsid w:val="00BC6C4C"/>
    <w:rsid w:val="00BC6D7D"/>
    <w:rsid w:val="00BC71A4"/>
    <w:rsid w:val="00BC721A"/>
    <w:rsid w:val="00BC74D9"/>
    <w:rsid w:val="00BC74E4"/>
    <w:rsid w:val="00BC7763"/>
    <w:rsid w:val="00BC784B"/>
    <w:rsid w:val="00BC7873"/>
    <w:rsid w:val="00BC7B27"/>
    <w:rsid w:val="00BC7B8D"/>
    <w:rsid w:val="00BC7CAE"/>
    <w:rsid w:val="00BC7E36"/>
    <w:rsid w:val="00BC7F9A"/>
    <w:rsid w:val="00BD0069"/>
    <w:rsid w:val="00BD0251"/>
    <w:rsid w:val="00BD02F0"/>
    <w:rsid w:val="00BD03E1"/>
    <w:rsid w:val="00BD04AB"/>
    <w:rsid w:val="00BD04F5"/>
    <w:rsid w:val="00BD0673"/>
    <w:rsid w:val="00BD076D"/>
    <w:rsid w:val="00BD0CAD"/>
    <w:rsid w:val="00BD0DC4"/>
    <w:rsid w:val="00BD0F18"/>
    <w:rsid w:val="00BD0F43"/>
    <w:rsid w:val="00BD0FBC"/>
    <w:rsid w:val="00BD0FC8"/>
    <w:rsid w:val="00BD1270"/>
    <w:rsid w:val="00BD128D"/>
    <w:rsid w:val="00BD158B"/>
    <w:rsid w:val="00BD18CB"/>
    <w:rsid w:val="00BD1972"/>
    <w:rsid w:val="00BD1A8C"/>
    <w:rsid w:val="00BD1B01"/>
    <w:rsid w:val="00BD1B30"/>
    <w:rsid w:val="00BD1BAE"/>
    <w:rsid w:val="00BD1EB3"/>
    <w:rsid w:val="00BD1FBD"/>
    <w:rsid w:val="00BD20CA"/>
    <w:rsid w:val="00BD222D"/>
    <w:rsid w:val="00BD2252"/>
    <w:rsid w:val="00BD238C"/>
    <w:rsid w:val="00BD239C"/>
    <w:rsid w:val="00BD2620"/>
    <w:rsid w:val="00BD26C5"/>
    <w:rsid w:val="00BD279C"/>
    <w:rsid w:val="00BD28F7"/>
    <w:rsid w:val="00BD298B"/>
    <w:rsid w:val="00BD2A69"/>
    <w:rsid w:val="00BD2D5C"/>
    <w:rsid w:val="00BD2EAC"/>
    <w:rsid w:val="00BD3004"/>
    <w:rsid w:val="00BD318C"/>
    <w:rsid w:val="00BD32C6"/>
    <w:rsid w:val="00BD332B"/>
    <w:rsid w:val="00BD33B0"/>
    <w:rsid w:val="00BD33C2"/>
    <w:rsid w:val="00BD34CD"/>
    <w:rsid w:val="00BD34CF"/>
    <w:rsid w:val="00BD35BA"/>
    <w:rsid w:val="00BD3607"/>
    <w:rsid w:val="00BD3736"/>
    <w:rsid w:val="00BD37AC"/>
    <w:rsid w:val="00BD3979"/>
    <w:rsid w:val="00BD3AA7"/>
    <w:rsid w:val="00BD3E71"/>
    <w:rsid w:val="00BD3F09"/>
    <w:rsid w:val="00BD3FCB"/>
    <w:rsid w:val="00BD4057"/>
    <w:rsid w:val="00BD407C"/>
    <w:rsid w:val="00BD41C0"/>
    <w:rsid w:val="00BD43FF"/>
    <w:rsid w:val="00BD4407"/>
    <w:rsid w:val="00BD44CE"/>
    <w:rsid w:val="00BD450D"/>
    <w:rsid w:val="00BD4633"/>
    <w:rsid w:val="00BD46C2"/>
    <w:rsid w:val="00BD493B"/>
    <w:rsid w:val="00BD4955"/>
    <w:rsid w:val="00BD4A45"/>
    <w:rsid w:val="00BD4BC4"/>
    <w:rsid w:val="00BD4DEA"/>
    <w:rsid w:val="00BD4EA1"/>
    <w:rsid w:val="00BD4F27"/>
    <w:rsid w:val="00BD50E9"/>
    <w:rsid w:val="00BD51CC"/>
    <w:rsid w:val="00BD51EA"/>
    <w:rsid w:val="00BD5279"/>
    <w:rsid w:val="00BD52D6"/>
    <w:rsid w:val="00BD5659"/>
    <w:rsid w:val="00BD5B23"/>
    <w:rsid w:val="00BD5B36"/>
    <w:rsid w:val="00BD5CED"/>
    <w:rsid w:val="00BD5D3D"/>
    <w:rsid w:val="00BD5D3E"/>
    <w:rsid w:val="00BD5FDF"/>
    <w:rsid w:val="00BD5FEE"/>
    <w:rsid w:val="00BD6054"/>
    <w:rsid w:val="00BD6149"/>
    <w:rsid w:val="00BD62E0"/>
    <w:rsid w:val="00BD6319"/>
    <w:rsid w:val="00BD64DA"/>
    <w:rsid w:val="00BD6572"/>
    <w:rsid w:val="00BD696A"/>
    <w:rsid w:val="00BD6A17"/>
    <w:rsid w:val="00BD6B55"/>
    <w:rsid w:val="00BD6C7D"/>
    <w:rsid w:val="00BD6E43"/>
    <w:rsid w:val="00BD6E93"/>
    <w:rsid w:val="00BD6EAF"/>
    <w:rsid w:val="00BD6FBB"/>
    <w:rsid w:val="00BD71A6"/>
    <w:rsid w:val="00BD7232"/>
    <w:rsid w:val="00BD72BE"/>
    <w:rsid w:val="00BD747B"/>
    <w:rsid w:val="00BD767C"/>
    <w:rsid w:val="00BD7725"/>
    <w:rsid w:val="00BD7738"/>
    <w:rsid w:val="00BD78B5"/>
    <w:rsid w:val="00BD79E0"/>
    <w:rsid w:val="00BD7CC4"/>
    <w:rsid w:val="00BD7F1D"/>
    <w:rsid w:val="00BE00DF"/>
    <w:rsid w:val="00BE019A"/>
    <w:rsid w:val="00BE0659"/>
    <w:rsid w:val="00BE0663"/>
    <w:rsid w:val="00BE0913"/>
    <w:rsid w:val="00BE09E3"/>
    <w:rsid w:val="00BE0A3A"/>
    <w:rsid w:val="00BE0D71"/>
    <w:rsid w:val="00BE1027"/>
    <w:rsid w:val="00BE106A"/>
    <w:rsid w:val="00BE1124"/>
    <w:rsid w:val="00BE112E"/>
    <w:rsid w:val="00BE15A3"/>
    <w:rsid w:val="00BE168E"/>
    <w:rsid w:val="00BE16BE"/>
    <w:rsid w:val="00BE17AA"/>
    <w:rsid w:val="00BE17B8"/>
    <w:rsid w:val="00BE1817"/>
    <w:rsid w:val="00BE18EE"/>
    <w:rsid w:val="00BE1931"/>
    <w:rsid w:val="00BE19FD"/>
    <w:rsid w:val="00BE1AEE"/>
    <w:rsid w:val="00BE1AF4"/>
    <w:rsid w:val="00BE1B24"/>
    <w:rsid w:val="00BE215C"/>
    <w:rsid w:val="00BE2169"/>
    <w:rsid w:val="00BE216B"/>
    <w:rsid w:val="00BE2777"/>
    <w:rsid w:val="00BE27C8"/>
    <w:rsid w:val="00BE2963"/>
    <w:rsid w:val="00BE29FB"/>
    <w:rsid w:val="00BE2A01"/>
    <w:rsid w:val="00BE2DD7"/>
    <w:rsid w:val="00BE2DDB"/>
    <w:rsid w:val="00BE2EB2"/>
    <w:rsid w:val="00BE2FF2"/>
    <w:rsid w:val="00BE30C5"/>
    <w:rsid w:val="00BE321A"/>
    <w:rsid w:val="00BE330A"/>
    <w:rsid w:val="00BE3344"/>
    <w:rsid w:val="00BE3364"/>
    <w:rsid w:val="00BE3433"/>
    <w:rsid w:val="00BE36F8"/>
    <w:rsid w:val="00BE37D8"/>
    <w:rsid w:val="00BE3917"/>
    <w:rsid w:val="00BE39FE"/>
    <w:rsid w:val="00BE3A98"/>
    <w:rsid w:val="00BE3B89"/>
    <w:rsid w:val="00BE3DD0"/>
    <w:rsid w:val="00BE3DDF"/>
    <w:rsid w:val="00BE3F7F"/>
    <w:rsid w:val="00BE4251"/>
    <w:rsid w:val="00BE432C"/>
    <w:rsid w:val="00BE43EA"/>
    <w:rsid w:val="00BE445D"/>
    <w:rsid w:val="00BE4516"/>
    <w:rsid w:val="00BE46D8"/>
    <w:rsid w:val="00BE4913"/>
    <w:rsid w:val="00BE49FB"/>
    <w:rsid w:val="00BE4A53"/>
    <w:rsid w:val="00BE4AE3"/>
    <w:rsid w:val="00BE4D4B"/>
    <w:rsid w:val="00BE4D57"/>
    <w:rsid w:val="00BE4EDE"/>
    <w:rsid w:val="00BE4FB5"/>
    <w:rsid w:val="00BE4FDD"/>
    <w:rsid w:val="00BE50A1"/>
    <w:rsid w:val="00BE527A"/>
    <w:rsid w:val="00BE52B0"/>
    <w:rsid w:val="00BE537C"/>
    <w:rsid w:val="00BE54C8"/>
    <w:rsid w:val="00BE559C"/>
    <w:rsid w:val="00BE55B1"/>
    <w:rsid w:val="00BE566E"/>
    <w:rsid w:val="00BE59BF"/>
    <w:rsid w:val="00BE59F0"/>
    <w:rsid w:val="00BE5B7D"/>
    <w:rsid w:val="00BE5EA4"/>
    <w:rsid w:val="00BE5F0F"/>
    <w:rsid w:val="00BE5F35"/>
    <w:rsid w:val="00BE632E"/>
    <w:rsid w:val="00BE6489"/>
    <w:rsid w:val="00BE6540"/>
    <w:rsid w:val="00BE6A0B"/>
    <w:rsid w:val="00BE6ABB"/>
    <w:rsid w:val="00BE6AD2"/>
    <w:rsid w:val="00BE6D5A"/>
    <w:rsid w:val="00BE6D7F"/>
    <w:rsid w:val="00BE6E9F"/>
    <w:rsid w:val="00BE6EA4"/>
    <w:rsid w:val="00BE6EE6"/>
    <w:rsid w:val="00BE6F6E"/>
    <w:rsid w:val="00BE6FC1"/>
    <w:rsid w:val="00BE6FEB"/>
    <w:rsid w:val="00BE7010"/>
    <w:rsid w:val="00BE73D0"/>
    <w:rsid w:val="00BE7454"/>
    <w:rsid w:val="00BE7662"/>
    <w:rsid w:val="00BE7674"/>
    <w:rsid w:val="00BE77CF"/>
    <w:rsid w:val="00BE77ED"/>
    <w:rsid w:val="00BE7AA5"/>
    <w:rsid w:val="00BE7B8B"/>
    <w:rsid w:val="00BF010F"/>
    <w:rsid w:val="00BF0119"/>
    <w:rsid w:val="00BF0395"/>
    <w:rsid w:val="00BF040C"/>
    <w:rsid w:val="00BF05AB"/>
    <w:rsid w:val="00BF0607"/>
    <w:rsid w:val="00BF0686"/>
    <w:rsid w:val="00BF069C"/>
    <w:rsid w:val="00BF0B5C"/>
    <w:rsid w:val="00BF0BA2"/>
    <w:rsid w:val="00BF0C46"/>
    <w:rsid w:val="00BF0E13"/>
    <w:rsid w:val="00BF0FF3"/>
    <w:rsid w:val="00BF1038"/>
    <w:rsid w:val="00BF108F"/>
    <w:rsid w:val="00BF10FD"/>
    <w:rsid w:val="00BF113D"/>
    <w:rsid w:val="00BF1320"/>
    <w:rsid w:val="00BF14E1"/>
    <w:rsid w:val="00BF17E6"/>
    <w:rsid w:val="00BF1864"/>
    <w:rsid w:val="00BF19E0"/>
    <w:rsid w:val="00BF1A4F"/>
    <w:rsid w:val="00BF1ABA"/>
    <w:rsid w:val="00BF1E19"/>
    <w:rsid w:val="00BF202F"/>
    <w:rsid w:val="00BF2148"/>
    <w:rsid w:val="00BF229D"/>
    <w:rsid w:val="00BF22F1"/>
    <w:rsid w:val="00BF2429"/>
    <w:rsid w:val="00BF249D"/>
    <w:rsid w:val="00BF2747"/>
    <w:rsid w:val="00BF27CB"/>
    <w:rsid w:val="00BF292F"/>
    <w:rsid w:val="00BF2932"/>
    <w:rsid w:val="00BF2DC1"/>
    <w:rsid w:val="00BF2E42"/>
    <w:rsid w:val="00BF2E71"/>
    <w:rsid w:val="00BF2F3C"/>
    <w:rsid w:val="00BF3097"/>
    <w:rsid w:val="00BF31C4"/>
    <w:rsid w:val="00BF31E5"/>
    <w:rsid w:val="00BF322E"/>
    <w:rsid w:val="00BF3381"/>
    <w:rsid w:val="00BF3387"/>
    <w:rsid w:val="00BF338F"/>
    <w:rsid w:val="00BF34DC"/>
    <w:rsid w:val="00BF375A"/>
    <w:rsid w:val="00BF3996"/>
    <w:rsid w:val="00BF39C0"/>
    <w:rsid w:val="00BF3CCB"/>
    <w:rsid w:val="00BF3D46"/>
    <w:rsid w:val="00BF41F3"/>
    <w:rsid w:val="00BF44AF"/>
    <w:rsid w:val="00BF46E1"/>
    <w:rsid w:val="00BF47A6"/>
    <w:rsid w:val="00BF4888"/>
    <w:rsid w:val="00BF48C9"/>
    <w:rsid w:val="00BF4D2C"/>
    <w:rsid w:val="00BF4E61"/>
    <w:rsid w:val="00BF4E9D"/>
    <w:rsid w:val="00BF4FCC"/>
    <w:rsid w:val="00BF50DC"/>
    <w:rsid w:val="00BF528A"/>
    <w:rsid w:val="00BF5847"/>
    <w:rsid w:val="00BF58C4"/>
    <w:rsid w:val="00BF5AFA"/>
    <w:rsid w:val="00BF5B46"/>
    <w:rsid w:val="00BF5C90"/>
    <w:rsid w:val="00BF5E43"/>
    <w:rsid w:val="00BF5E4D"/>
    <w:rsid w:val="00BF5F86"/>
    <w:rsid w:val="00BF60B2"/>
    <w:rsid w:val="00BF61A7"/>
    <w:rsid w:val="00BF6220"/>
    <w:rsid w:val="00BF6447"/>
    <w:rsid w:val="00BF66D7"/>
    <w:rsid w:val="00BF6845"/>
    <w:rsid w:val="00BF69E1"/>
    <w:rsid w:val="00BF6A1B"/>
    <w:rsid w:val="00BF6AC6"/>
    <w:rsid w:val="00BF6C28"/>
    <w:rsid w:val="00BF6CD6"/>
    <w:rsid w:val="00BF6E8C"/>
    <w:rsid w:val="00BF7350"/>
    <w:rsid w:val="00BF743B"/>
    <w:rsid w:val="00BF755F"/>
    <w:rsid w:val="00BF75A7"/>
    <w:rsid w:val="00BF75D6"/>
    <w:rsid w:val="00BF7637"/>
    <w:rsid w:val="00BF7890"/>
    <w:rsid w:val="00BF7B62"/>
    <w:rsid w:val="00BF7D6C"/>
    <w:rsid w:val="00C00021"/>
    <w:rsid w:val="00C00038"/>
    <w:rsid w:val="00C000C2"/>
    <w:rsid w:val="00C000C7"/>
    <w:rsid w:val="00C000F2"/>
    <w:rsid w:val="00C001DD"/>
    <w:rsid w:val="00C003CA"/>
    <w:rsid w:val="00C004D3"/>
    <w:rsid w:val="00C00514"/>
    <w:rsid w:val="00C00529"/>
    <w:rsid w:val="00C0055A"/>
    <w:rsid w:val="00C005C9"/>
    <w:rsid w:val="00C00744"/>
    <w:rsid w:val="00C0088A"/>
    <w:rsid w:val="00C009F3"/>
    <w:rsid w:val="00C00AA0"/>
    <w:rsid w:val="00C00B3F"/>
    <w:rsid w:val="00C00B42"/>
    <w:rsid w:val="00C00E2E"/>
    <w:rsid w:val="00C00E67"/>
    <w:rsid w:val="00C00EDA"/>
    <w:rsid w:val="00C00FD0"/>
    <w:rsid w:val="00C01007"/>
    <w:rsid w:val="00C010A4"/>
    <w:rsid w:val="00C010F8"/>
    <w:rsid w:val="00C01316"/>
    <w:rsid w:val="00C01372"/>
    <w:rsid w:val="00C01394"/>
    <w:rsid w:val="00C013C8"/>
    <w:rsid w:val="00C0164E"/>
    <w:rsid w:val="00C01852"/>
    <w:rsid w:val="00C018C0"/>
    <w:rsid w:val="00C018FE"/>
    <w:rsid w:val="00C01AD2"/>
    <w:rsid w:val="00C01D3E"/>
    <w:rsid w:val="00C01D73"/>
    <w:rsid w:val="00C01F67"/>
    <w:rsid w:val="00C0200F"/>
    <w:rsid w:val="00C0245C"/>
    <w:rsid w:val="00C026A1"/>
    <w:rsid w:val="00C0278C"/>
    <w:rsid w:val="00C027FA"/>
    <w:rsid w:val="00C02999"/>
    <w:rsid w:val="00C02CC4"/>
    <w:rsid w:val="00C02CCE"/>
    <w:rsid w:val="00C02D2D"/>
    <w:rsid w:val="00C02E11"/>
    <w:rsid w:val="00C03039"/>
    <w:rsid w:val="00C0312D"/>
    <w:rsid w:val="00C03150"/>
    <w:rsid w:val="00C03218"/>
    <w:rsid w:val="00C0368E"/>
    <w:rsid w:val="00C036C6"/>
    <w:rsid w:val="00C03843"/>
    <w:rsid w:val="00C03929"/>
    <w:rsid w:val="00C03A16"/>
    <w:rsid w:val="00C03A70"/>
    <w:rsid w:val="00C03B1E"/>
    <w:rsid w:val="00C03D43"/>
    <w:rsid w:val="00C03D46"/>
    <w:rsid w:val="00C040A3"/>
    <w:rsid w:val="00C0413E"/>
    <w:rsid w:val="00C04145"/>
    <w:rsid w:val="00C041B7"/>
    <w:rsid w:val="00C041B8"/>
    <w:rsid w:val="00C0439B"/>
    <w:rsid w:val="00C043EE"/>
    <w:rsid w:val="00C0457F"/>
    <w:rsid w:val="00C0463A"/>
    <w:rsid w:val="00C0492F"/>
    <w:rsid w:val="00C04A5E"/>
    <w:rsid w:val="00C04A73"/>
    <w:rsid w:val="00C04AAA"/>
    <w:rsid w:val="00C04D2D"/>
    <w:rsid w:val="00C04F02"/>
    <w:rsid w:val="00C04FC6"/>
    <w:rsid w:val="00C058E9"/>
    <w:rsid w:val="00C059CD"/>
    <w:rsid w:val="00C05C2D"/>
    <w:rsid w:val="00C05C54"/>
    <w:rsid w:val="00C05E80"/>
    <w:rsid w:val="00C05ECA"/>
    <w:rsid w:val="00C05F1E"/>
    <w:rsid w:val="00C05F42"/>
    <w:rsid w:val="00C060AE"/>
    <w:rsid w:val="00C061FB"/>
    <w:rsid w:val="00C061FC"/>
    <w:rsid w:val="00C06215"/>
    <w:rsid w:val="00C0622D"/>
    <w:rsid w:val="00C062C9"/>
    <w:rsid w:val="00C063E6"/>
    <w:rsid w:val="00C06408"/>
    <w:rsid w:val="00C06794"/>
    <w:rsid w:val="00C0683B"/>
    <w:rsid w:val="00C0684D"/>
    <w:rsid w:val="00C069DC"/>
    <w:rsid w:val="00C06B4B"/>
    <w:rsid w:val="00C06B4C"/>
    <w:rsid w:val="00C06CEA"/>
    <w:rsid w:val="00C06F1B"/>
    <w:rsid w:val="00C06F5E"/>
    <w:rsid w:val="00C074C5"/>
    <w:rsid w:val="00C074E7"/>
    <w:rsid w:val="00C07528"/>
    <w:rsid w:val="00C07609"/>
    <w:rsid w:val="00C07613"/>
    <w:rsid w:val="00C077A7"/>
    <w:rsid w:val="00C079A3"/>
    <w:rsid w:val="00C07B21"/>
    <w:rsid w:val="00C07B3B"/>
    <w:rsid w:val="00C10006"/>
    <w:rsid w:val="00C1032C"/>
    <w:rsid w:val="00C1085F"/>
    <w:rsid w:val="00C109AE"/>
    <w:rsid w:val="00C10EA5"/>
    <w:rsid w:val="00C10F08"/>
    <w:rsid w:val="00C11672"/>
    <w:rsid w:val="00C11B0C"/>
    <w:rsid w:val="00C11B8E"/>
    <w:rsid w:val="00C11BA7"/>
    <w:rsid w:val="00C11DBF"/>
    <w:rsid w:val="00C121BE"/>
    <w:rsid w:val="00C12670"/>
    <w:rsid w:val="00C12752"/>
    <w:rsid w:val="00C1285E"/>
    <w:rsid w:val="00C12A36"/>
    <w:rsid w:val="00C12CE8"/>
    <w:rsid w:val="00C13014"/>
    <w:rsid w:val="00C130E3"/>
    <w:rsid w:val="00C13176"/>
    <w:rsid w:val="00C13357"/>
    <w:rsid w:val="00C134B6"/>
    <w:rsid w:val="00C13598"/>
    <w:rsid w:val="00C13678"/>
    <w:rsid w:val="00C13A27"/>
    <w:rsid w:val="00C13A49"/>
    <w:rsid w:val="00C13AD6"/>
    <w:rsid w:val="00C13D1C"/>
    <w:rsid w:val="00C14045"/>
    <w:rsid w:val="00C14108"/>
    <w:rsid w:val="00C142EF"/>
    <w:rsid w:val="00C14330"/>
    <w:rsid w:val="00C1436A"/>
    <w:rsid w:val="00C144AB"/>
    <w:rsid w:val="00C144DA"/>
    <w:rsid w:val="00C145AE"/>
    <w:rsid w:val="00C1461F"/>
    <w:rsid w:val="00C14788"/>
    <w:rsid w:val="00C14893"/>
    <w:rsid w:val="00C14900"/>
    <w:rsid w:val="00C14B14"/>
    <w:rsid w:val="00C14C83"/>
    <w:rsid w:val="00C1518F"/>
    <w:rsid w:val="00C15422"/>
    <w:rsid w:val="00C15480"/>
    <w:rsid w:val="00C154E9"/>
    <w:rsid w:val="00C155A6"/>
    <w:rsid w:val="00C156EA"/>
    <w:rsid w:val="00C1578A"/>
    <w:rsid w:val="00C15950"/>
    <w:rsid w:val="00C15BB5"/>
    <w:rsid w:val="00C15C76"/>
    <w:rsid w:val="00C15D53"/>
    <w:rsid w:val="00C15DA5"/>
    <w:rsid w:val="00C15E52"/>
    <w:rsid w:val="00C15F54"/>
    <w:rsid w:val="00C15FA2"/>
    <w:rsid w:val="00C16077"/>
    <w:rsid w:val="00C16411"/>
    <w:rsid w:val="00C165B7"/>
    <w:rsid w:val="00C16842"/>
    <w:rsid w:val="00C16A55"/>
    <w:rsid w:val="00C16B09"/>
    <w:rsid w:val="00C16BBA"/>
    <w:rsid w:val="00C16BF3"/>
    <w:rsid w:val="00C16FE5"/>
    <w:rsid w:val="00C17467"/>
    <w:rsid w:val="00C176B0"/>
    <w:rsid w:val="00C176B5"/>
    <w:rsid w:val="00C178D8"/>
    <w:rsid w:val="00C17A9C"/>
    <w:rsid w:val="00C17BB3"/>
    <w:rsid w:val="00C17D88"/>
    <w:rsid w:val="00C17E01"/>
    <w:rsid w:val="00C200B7"/>
    <w:rsid w:val="00C20347"/>
    <w:rsid w:val="00C20392"/>
    <w:rsid w:val="00C20423"/>
    <w:rsid w:val="00C2078C"/>
    <w:rsid w:val="00C207DF"/>
    <w:rsid w:val="00C20817"/>
    <w:rsid w:val="00C20A63"/>
    <w:rsid w:val="00C20AE2"/>
    <w:rsid w:val="00C20CC7"/>
    <w:rsid w:val="00C20DCF"/>
    <w:rsid w:val="00C20E3F"/>
    <w:rsid w:val="00C20F8B"/>
    <w:rsid w:val="00C210B1"/>
    <w:rsid w:val="00C21187"/>
    <w:rsid w:val="00C21207"/>
    <w:rsid w:val="00C21297"/>
    <w:rsid w:val="00C212C9"/>
    <w:rsid w:val="00C212F8"/>
    <w:rsid w:val="00C2155D"/>
    <w:rsid w:val="00C215D9"/>
    <w:rsid w:val="00C216A2"/>
    <w:rsid w:val="00C216DE"/>
    <w:rsid w:val="00C21781"/>
    <w:rsid w:val="00C21810"/>
    <w:rsid w:val="00C219B6"/>
    <w:rsid w:val="00C21B0E"/>
    <w:rsid w:val="00C21EB1"/>
    <w:rsid w:val="00C21FBA"/>
    <w:rsid w:val="00C22153"/>
    <w:rsid w:val="00C221B8"/>
    <w:rsid w:val="00C22650"/>
    <w:rsid w:val="00C227DC"/>
    <w:rsid w:val="00C22866"/>
    <w:rsid w:val="00C2299D"/>
    <w:rsid w:val="00C22B04"/>
    <w:rsid w:val="00C22BA2"/>
    <w:rsid w:val="00C22EB0"/>
    <w:rsid w:val="00C22F0B"/>
    <w:rsid w:val="00C230AE"/>
    <w:rsid w:val="00C231D0"/>
    <w:rsid w:val="00C23269"/>
    <w:rsid w:val="00C232A8"/>
    <w:rsid w:val="00C2343F"/>
    <w:rsid w:val="00C23582"/>
    <w:rsid w:val="00C23589"/>
    <w:rsid w:val="00C2367C"/>
    <w:rsid w:val="00C23755"/>
    <w:rsid w:val="00C23809"/>
    <w:rsid w:val="00C238B1"/>
    <w:rsid w:val="00C23AB3"/>
    <w:rsid w:val="00C23B21"/>
    <w:rsid w:val="00C23C23"/>
    <w:rsid w:val="00C23D21"/>
    <w:rsid w:val="00C23D69"/>
    <w:rsid w:val="00C23D7C"/>
    <w:rsid w:val="00C23DE7"/>
    <w:rsid w:val="00C242BA"/>
    <w:rsid w:val="00C243FD"/>
    <w:rsid w:val="00C24405"/>
    <w:rsid w:val="00C24615"/>
    <w:rsid w:val="00C24754"/>
    <w:rsid w:val="00C248D5"/>
    <w:rsid w:val="00C24B8F"/>
    <w:rsid w:val="00C24BA5"/>
    <w:rsid w:val="00C24D6D"/>
    <w:rsid w:val="00C24F08"/>
    <w:rsid w:val="00C251A0"/>
    <w:rsid w:val="00C25286"/>
    <w:rsid w:val="00C253DB"/>
    <w:rsid w:val="00C254D2"/>
    <w:rsid w:val="00C25650"/>
    <w:rsid w:val="00C25A01"/>
    <w:rsid w:val="00C25B2E"/>
    <w:rsid w:val="00C25B31"/>
    <w:rsid w:val="00C25CC1"/>
    <w:rsid w:val="00C25DB1"/>
    <w:rsid w:val="00C25E14"/>
    <w:rsid w:val="00C260DC"/>
    <w:rsid w:val="00C2635C"/>
    <w:rsid w:val="00C263A5"/>
    <w:rsid w:val="00C2652F"/>
    <w:rsid w:val="00C26551"/>
    <w:rsid w:val="00C26703"/>
    <w:rsid w:val="00C2691D"/>
    <w:rsid w:val="00C2692E"/>
    <w:rsid w:val="00C26AE4"/>
    <w:rsid w:val="00C26B5A"/>
    <w:rsid w:val="00C26CD8"/>
    <w:rsid w:val="00C26FBE"/>
    <w:rsid w:val="00C27296"/>
    <w:rsid w:val="00C276CB"/>
    <w:rsid w:val="00C276F3"/>
    <w:rsid w:val="00C27771"/>
    <w:rsid w:val="00C27844"/>
    <w:rsid w:val="00C27863"/>
    <w:rsid w:val="00C27958"/>
    <w:rsid w:val="00C279C5"/>
    <w:rsid w:val="00C27B85"/>
    <w:rsid w:val="00C27BAB"/>
    <w:rsid w:val="00C27E5F"/>
    <w:rsid w:val="00C27E87"/>
    <w:rsid w:val="00C27ED9"/>
    <w:rsid w:val="00C27FE1"/>
    <w:rsid w:val="00C30247"/>
    <w:rsid w:val="00C30283"/>
    <w:rsid w:val="00C302F1"/>
    <w:rsid w:val="00C30381"/>
    <w:rsid w:val="00C30425"/>
    <w:rsid w:val="00C304AB"/>
    <w:rsid w:val="00C3059F"/>
    <w:rsid w:val="00C3074F"/>
    <w:rsid w:val="00C3076C"/>
    <w:rsid w:val="00C307BF"/>
    <w:rsid w:val="00C307F9"/>
    <w:rsid w:val="00C308CE"/>
    <w:rsid w:val="00C30902"/>
    <w:rsid w:val="00C3096F"/>
    <w:rsid w:val="00C309E7"/>
    <w:rsid w:val="00C30BD4"/>
    <w:rsid w:val="00C31030"/>
    <w:rsid w:val="00C31059"/>
    <w:rsid w:val="00C31178"/>
    <w:rsid w:val="00C31322"/>
    <w:rsid w:val="00C31391"/>
    <w:rsid w:val="00C3141F"/>
    <w:rsid w:val="00C3142E"/>
    <w:rsid w:val="00C31468"/>
    <w:rsid w:val="00C314F6"/>
    <w:rsid w:val="00C31544"/>
    <w:rsid w:val="00C317F7"/>
    <w:rsid w:val="00C3181D"/>
    <w:rsid w:val="00C31BB1"/>
    <w:rsid w:val="00C31D8E"/>
    <w:rsid w:val="00C31E3F"/>
    <w:rsid w:val="00C31EC0"/>
    <w:rsid w:val="00C31FCA"/>
    <w:rsid w:val="00C32100"/>
    <w:rsid w:val="00C32247"/>
    <w:rsid w:val="00C32641"/>
    <w:rsid w:val="00C32643"/>
    <w:rsid w:val="00C32741"/>
    <w:rsid w:val="00C32A65"/>
    <w:rsid w:val="00C32AFC"/>
    <w:rsid w:val="00C32E48"/>
    <w:rsid w:val="00C32EC0"/>
    <w:rsid w:val="00C331FB"/>
    <w:rsid w:val="00C33332"/>
    <w:rsid w:val="00C33511"/>
    <w:rsid w:val="00C33584"/>
    <w:rsid w:val="00C33C34"/>
    <w:rsid w:val="00C33D5C"/>
    <w:rsid w:val="00C33E07"/>
    <w:rsid w:val="00C3400C"/>
    <w:rsid w:val="00C34185"/>
    <w:rsid w:val="00C342C9"/>
    <w:rsid w:val="00C3438C"/>
    <w:rsid w:val="00C34470"/>
    <w:rsid w:val="00C34499"/>
    <w:rsid w:val="00C34532"/>
    <w:rsid w:val="00C345DA"/>
    <w:rsid w:val="00C34708"/>
    <w:rsid w:val="00C34AFF"/>
    <w:rsid w:val="00C34F43"/>
    <w:rsid w:val="00C35025"/>
    <w:rsid w:val="00C35076"/>
    <w:rsid w:val="00C35206"/>
    <w:rsid w:val="00C35285"/>
    <w:rsid w:val="00C352B2"/>
    <w:rsid w:val="00C3536D"/>
    <w:rsid w:val="00C353C1"/>
    <w:rsid w:val="00C353F7"/>
    <w:rsid w:val="00C35534"/>
    <w:rsid w:val="00C3575E"/>
    <w:rsid w:val="00C35A4A"/>
    <w:rsid w:val="00C35A5B"/>
    <w:rsid w:val="00C35A71"/>
    <w:rsid w:val="00C35B81"/>
    <w:rsid w:val="00C35BF6"/>
    <w:rsid w:val="00C35C01"/>
    <w:rsid w:val="00C35D70"/>
    <w:rsid w:val="00C35DC5"/>
    <w:rsid w:val="00C35E02"/>
    <w:rsid w:val="00C35E09"/>
    <w:rsid w:val="00C35E85"/>
    <w:rsid w:val="00C35F9B"/>
    <w:rsid w:val="00C3609D"/>
    <w:rsid w:val="00C360FA"/>
    <w:rsid w:val="00C36373"/>
    <w:rsid w:val="00C36444"/>
    <w:rsid w:val="00C3646D"/>
    <w:rsid w:val="00C364C2"/>
    <w:rsid w:val="00C36542"/>
    <w:rsid w:val="00C3659A"/>
    <w:rsid w:val="00C365AA"/>
    <w:rsid w:val="00C365F8"/>
    <w:rsid w:val="00C36605"/>
    <w:rsid w:val="00C36756"/>
    <w:rsid w:val="00C36778"/>
    <w:rsid w:val="00C36920"/>
    <w:rsid w:val="00C36963"/>
    <w:rsid w:val="00C36971"/>
    <w:rsid w:val="00C369A9"/>
    <w:rsid w:val="00C36ABE"/>
    <w:rsid w:val="00C36C9B"/>
    <w:rsid w:val="00C36E54"/>
    <w:rsid w:val="00C36EA5"/>
    <w:rsid w:val="00C36F40"/>
    <w:rsid w:val="00C36F94"/>
    <w:rsid w:val="00C37332"/>
    <w:rsid w:val="00C3734A"/>
    <w:rsid w:val="00C373D1"/>
    <w:rsid w:val="00C375F3"/>
    <w:rsid w:val="00C37663"/>
    <w:rsid w:val="00C37664"/>
    <w:rsid w:val="00C3772F"/>
    <w:rsid w:val="00C37948"/>
    <w:rsid w:val="00C37A7D"/>
    <w:rsid w:val="00C37C29"/>
    <w:rsid w:val="00C37CD2"/>
    <w:rsid w:val="00C37E71"/>
    <w:rsid w:val="00C37EC7"/>
    <w:rsid w:val="00C37ED5"/>
    <w:rsid w:val="00C401B1"/>
    <w:rsid w:val="00C40382"/>
    <w:rsid w:val="00C403ED"/>
    <w:rsid w:val="00C40636"/>
    <w:rsid w:val="00C406BA"/>
    <w:rsid w:val="00C406C2"/>
    <w:rsid w:val="00C40822"/>
    <w:rsid w:val="00C40920"/>
    <w:rsid w:val="00C40C67"/>
    <w:rsid w:val="00C40CF6"/>
    <w:rsid w:val="00C40FF8"/>
    <w:rsid w:val="00C412DC"/>
    <w:rsid w:val="00C41395"/>
    <w:rsid w:val="00C41399"/>
    <w:rsid w:val="00C414C3"/>
    <w:rsid w:val="00C4153A"/>
    <w:rsid w:val="00C415A8"/>
    <w:rsid w:val="00C416E8"/>
    <w:rsid w:val="00C41711"/>
    <w:rsid w:val="00C41A09"/>
    <w:rsid w:val="00C41A7B"/>
    <w:rsid w:val="00C41E02"/>
    <w:rsid w:val="00C421B0"/>
    <w:rsid w:val="00C42267"/>
    <w:rsid w:val="00C4228F"/>
    <w:rsid w:val="00C42308"/>
    <w:rsid w:val="00C42392"/>
    <w:rsid w:val="00C4244B"/>
    <w:rsid w:val="00C425F0"/>
    <w:rsid w:val="00C4263D"/>
    <w:rsid w:val="00C42752"/>
    <w:rsid w:val="00C42759"/>
    <w:rsid w:val="00C42980"/>
    <w:rsid w:val="00C42A4F"/>
    <w:rsid w:val="00C42A71"/>
    <w:rsid w:val="00C42A91"/>
    <w:rsid w:val="00C42AC6"/>
    <w:rsid w:val="00C42DF6"/>
    <w:rsid w:val="00C42F73"/>
    <w:rsid w:val="00C42FC9"/>
    <w:rsid w:val="00C43088"/>
    <w:rsid w:val="00C43112"/>
    <w:rsid w:val="00C431FF"/>
    <w:rsid w:val="00C4332C"/>
    <w:rsid w:val="00C433B1"/>
    <w:rsid w:val="00C433F0"/>
    <w:rsid w:val="00C43438"/>
    <w:rsid w:val="00C43486"/>
    <w:rsid w:val="00C435D8"/>
    <w:rsid w:val="00C437A8"/>
    <w:rsid w:val="00C437BE"/>
    <w:rsid w:val="00C438FF"/>
    <w:rsid w:val="00C43A78"/>
    <w:rsid w:val="00C43B2B"/>
    <w:rsid w:val="00C43EC7"/>
    <w:rsid w:val="00C4402D"/>
    <w:rsid w:val="00C44060"/>
    <w:rsid w:val="00C44324"/>
    <w:rsid w:val="00C44405"/>
    <w:rsid w:val="00C4461C"/>
    <w:rsid w:val="00C4465D"/>
    <w:rsid w:val="00C4473A"/>
    <w:rsid w:val="00C44B6C"/>
    <w:rsid w:val="00C44BCC"/>
    <w:rsid w:val="00C44BFB"/>
    <w:rsid w:val="00C44CB3"/>
    <w:rsid w:val="00C44F52"/>
    <w:rsid w:val="00C45013"/>
    <w:rsid w:val="00C451CA"/>
    <w:rsid w:val="00C45200"/>
    <w:rsid w:val="00C4532B"/>
    <w:rsid w:val="00C4552F"/>
    <w:rsid w:val="00C45587"/>
    <w:rsid w:val="00C45CCB"/>
    <w:rsid w:val="00C45DBC"/>
    <w:rsid w:val="00C45EC9"/>
    <w:rsid w:val="00C46178"/>
    <w:rsid w:val="00C46315"/>
    <w:rsid w:val="00C464EC"/>
    <w:rsid w:val="00C46534"/>
    <w:rsid w:val="00C4656B"/>
    <w:rsid w:val="00C465A4"/>
    <w:rsid w:val="00C465A7"/>
    <w:rsid w:val="00C465AD"/>
    <w:rsid w:val="00C465C0"/>
    <w:rsid w:val="00C46627"/>
    <w:rsid w:val="00C4664C"/>
    <w:rsid w:val="00C46775"/>
    <w:rsid w:val="00C468A9"/>
    <w:rsid w:val="00C46B65"/>
    <w:rsid w:val="00C46C3B"/>
    <w:rsid w:val="00C47081"/>
    <w:rsid w:val="00C4710B"/>
    <w:rsid w:val="00C4712D"/>
    <w:rsid w:val="00C472BF"/>
    <w:rsid w:val="00C47484"/>
    <w:rsid w:val="00C4776B"/>
    <w:rsid w:val="00C47A40"/>
    <w:rsid w:val="00C47B54"/>
    <w:rsid w:val="00C500E3"/>
    <w:rsid w:val="00C502EB"/>
    <w:rsid w:val="00C50426"/>
    <w:rsid w:val="00C50464"/>
    <w:rsid w:val="00C50507"/>
    <w:rsid w:val="00C5059A"/>
    <w:rsid w:val="00C50807"/>
    <w:rsid w:val="00C508F9"/>
    <w:rsid w:val="00C50ABC"/>
    <w:rsid w:val="00C50BFF"/>
    <w:rsid w:val="00C50C9E"/>
    <w:rsid w:val="00C50CC7"/>
    <w:rsid w:val="00C50ED7"/>
    <w:rsid w:val="00C50EDE"/>
    <w:rsid w:val="00C510B6"/>
    <w:rsid w:val="00C51120"/>
    <w:rsid w:val="00C51134"/>
    <w:rsid w:val="00C5117A"/>
    <w:rsid w:val="00C51208"/>
    <w:rsid w:val="00C51299"/>
    <w:rsid w:val="00C512BF"/>
    <w:rsid w:val="00C51604"/>
    <w:rsid w:val="00C5160D"/>
    <w:rsid w:val="00C519B2"/>
    <w:rsid w:val="00C519F7"/>
    <w:rsid w:val="00C51AA2"/>
    <w:rsid w:val="00C51D3A"/>
    <w:rsid w:val="00C51D5C"/>
    <w:rsid w:val="00C51E0D"/>
    <w:rsid w:val="00C51F17"/>
    <w:rsid w:val="00C51FCC"/>
    <w:rsid w:val="00C52122"/>
    <w:rsid w:val="00C52175"/>
    <w:rsid w:val="00C521D0"/>
    <w:rsid w:val="00C521EC"/>
    <w:rsid w:val="00C52309"/>
    <w:rsid w:val="00C52365"/>
    <w:rsid w:val="00C52471"/>
    <w:rsid w:val="00C525F5"/>
    <w:rsid w:val="00C527E9"/>
    <w:rsid w:val="00C52A99"/>
    <w:rsid w:val="00C52ABD"/>
    <w:rsid w:val="00C52B47"/>
    <w:rsid w:val="00C52B5E"/>
    <w:rsid w:val="00C52BEB"/>
    <w:rsid w:val="00C52D26"/>
    <w:rsid w:val="00C52D74"/>
    <w:rsid w:val="00C52DE2"/>
    <w:rsid w:val="00C52E3A"/>
    <w:rsid w:val="00C52EA7"/>
    <w:rsid w:val="00C52FC4"/>
    <w:rsid w:val="00C533BE"/>
    <w:rsid w:val="00C5365E"/>
    <w:rsid w:val="00C538AD"/>
    <w:rsid w:val="00C538BF"/>
    <w:rsid w:val="00C5390D"/>
    <w:rsid w:val="00C53974"/>
    <w:rsid w:val="00C5398F"/>
    <w:rsid w:val="00C53B36"/>
    <w:rsid w:val="00C53D87"/>
    <w:rsid w:val="00C5400F"/>
    <w:rsid w:val="00C5403C"/>
    <w:rsid w:val="00C54071"/>
    <w:rsid w:val="00C541CF"/>
    <w:rsid w:val="00C54499"/>
    <w:rsid w:val="00C545CD"/>
    <w:rsid w:val="00C546A0"/>
    <w:rsid w:val="00C54798"/>
    <w:rsid w:val="00C548D8"/>
    <w:rsid w:val="00C5491D"/>
    <w:rsid w:val="00C54B5B"/>
    <w:rsid w:val="00C54C14"/>
    <w:rsid w:val="00C54D26"/>
    <w:rsid w:val="00C550B7"/>
    <w:rsid w:val="00C55190"/>
    <w:rsid w:val="00C551D4"/>
    <w:rsid w:val="00C55296"/>
    <w:rsid w:val="00C553A0"/>
    <w:rsid w:val="00C553B0"/>
    <w:rsid w:val="00C55524"/>
    <w:rsid w:val="00C555E0"/>
    <w:rsid w:val="00C557CE"/>
    <w:rsid w:val="00C55842"/>
    <w:rsid w:val="00C55A09"/>
    <w:rsid w:val="00C55BCA"/>
    <w:rsid w:val="00C55C7A"/>
    <w:rsid w:val="00C55DAD"/>
    <w:rsid w:val="00C55E50"/>
    <w:rsid w:val="00C56068"/>
    <w:rsid w:val="00C56231"/>
    <w:rsid w:val="00C5627B"/>
    <w:rsid w:val="00C5637B"/>
    <w:rsid w:val="00C56540"/>
    <w:rsid w:val="00C5678C"/>
    <w:rsid w:val="00C56A33"/>
    <w:rsid w:val="00C56B50"/>
    <w:rsid w:val="00C56C1D"/>
    <w:rsid w:val="00C56C1F"/>
    <w:rsid w:val="00C56D2A"/>
    <w:rsid w:val="00C56EAF"/>
    <w:rsid w:val="00C56EB9"/>
    <w:rsid w:val="00C56EFA"/>
    <w:rsid w:val="00C5705F"/>
    <w:rsid w:val="00C57313"/>
    <w:rsid w:val="00C57428"/>
    <w:rsid w:val="00C5763B"/>
    <w:rsid w:val="00C576E1"/>
    <w:rsid w:val="00C576F1"/>
    <w:rsid w:val="00C5787E"/>
    <w:rsid w:val="00C578DD"/>
    <w:rsid w:val="00C57B6E"/>
    <w:rsid w:val="00C57C49"/>
    <w:rsid w:val="00C60229"/>
    <w:rsid w:val="00C60375"/>
    <w:rsid w:val="00C6050A"/>
    <w:rsid w:val="00C60668"/>
    <w:rsid w:val="00C60692"/>
    <w:rsid w:val="00C60743"/>
    <w:rsid w:val="00C6078A"/>
    <w:rsid w:val="00C60A9F"/>
    <w:rsid w:val="00C60AEB"/>
    <w:rsid w:val="00C60B81"/>
    <w:rsid w:val="00C60BE2"/>
    <w:rsid w:val="00C60D14"/>
    <w:rsid w:val="00C60EA1"/>
    <w:rsid w:val="00C6101A"/>
    <w:rsid w:val="00C6105E"/>
    <w:rsid w:val="00C612B6"/>
    <w:rsid w:val="00C61676"/>
    <w:rsid w:val="00C61BBD"/>
    <w:rsid w:val="00C61E0F"/>
    <w:rsid w:val="00C6201C"/>
    <w:rsid w:val="00C624FB"/>
    <w:rsid w:val="00C62537"/>
    <w:rsid w:val="00C62594"/>
    <w:rsid w:val="00C625AE"/>
    <w:rsid w:val="00C62791"/>
    <w:rsid w:val="00C62799"/>
    <w:rsid w:val="00C627E6"/>
    <w:rsid w:val="00C62910"/>
    <w:rsid w:val="00C6294A"/>
    <w:rsid w:val="00C62CED"/>
    <w:rsid w:val="00C62DD6"/>
    <w:rsid w:val="00C62F1F"/>
    <w:rsid w:val="00C62FBD"/>
    <w:rsid w:val="00C630EE"/>
    <w:rsid w:val="00C631B1"/>
    <w:rsid w:val="00C63228"/>
    <w:rsid w:val="00C63278"/>
    <w:rsid w:val="00C63306"/>
    <w:rsid w:val="00C633C9"/>
    <w:rsid w:val="00C634B5"/>
    <w:rsid w:val="00C634EB"/>
    <w:rsid w:val="00C63543"/>
    <w:rsid w:val="00C6366C"/>
    <w:rsid w:val="00C636A8"/>
    <w:rsid w:val="00C638A1"/>
    <w:rsid w:val="00C638B5"/>
    <w:rsid w:val="00C63B0B"/>
    <w:rsid w:val="00C63B51"/>
    <w:rsid w:val="00C63C79"/>
    <w:rsid w:val="00C63D51"/>
    <w:rsid w:val="00C63DB9"/>
    <w:rsid w:val="00C64047"/>
    <w:rsid w:val="00C640A8"/>
    <w:rsid w:val="00C642B6"/>
    <w:rsid w:val="00C6470D"/>
    <w:rsid w:val="00C64844"/>
    <w:rsid w:val="00C64888"/>
    <w:rsid w:val="00C649B8"/>
    <w:rsid w:val="00C64A5C"/>
    <w:rsid w:val="00C64B72"/>
    <w:rsid w:val="00C64C82"/>
    <w:rsid w:val="00C64CA5"/>
    <w:rsid w:val="00C64D1F"/>
    <w:rsid w:val="00C64DF4"/>
    <w:rsid w:val="00C64F74"/>
    <w:rsid w:val="00C65005"/>
    <w:rsid w:val="00C65087"/>
    <w:rsid w:val="00C65371"/>
    <w:rsid w:val="00C6566F"/>
    <w:rsid w:val="00C65680"/>
    <w:rsid w:val="00C656F6"/>
    <w:rsid w:val="00C65716"/>
    <w:rsid w:val="00C65902"/>
    <w:rsid w:val="00C65923"/>
    <w:rsid w:val="00C659BB"/>
    <w:rsid w:val="00C65A84"/>
    <w:rsid w:val="00C65BAE"/>
    <w:rsid w:val="00C65C49"/>
    <w:rsid w:val="00C65DDD"/>
    <w:rsid w:val="00C6619C"/>
    <w:rsid w:val="00C66302"/>
    <w:rsid w:val="00C663CD"/>
    <w:rsid w:val="00C663EC"/>
    <w:rsid w:val="00C6640A"/>
    <w:rsid w:val="00C66870"/>
    <w:rsid w:val="00C66991"/>
    <w:rsid w:val="00C66A07"/>
    <w:rsid w:val="00C66B0B"/>
    <w:rsid w:val="00C66B6E"/>
    <w:rsid w:val="00C66C77"/>
    <w:rsid w:val="00C66FB9"/>
    <w:rsid w:val="00C67064"/>
    <w:rsid w:val="00C670AC"/>
    <w:rsid w:val="00C672E7"/>
    <w:rsid w:val="00C67356"/>
    <w:rsid w:val="00C67691"/>
    <w:rsid w:val="00C676B0"/>
    <w:rsid w:val="00C676C8"/>
    <w:rsid w:val="00C676FA"/>
    <w:rsid w:val="00C6779F"/>
    <w:rsid w:val="00C67808"/>
    <w:rsid w:val="00C67AA0"/>
    <w:rsid w:val="00C67B21"/>
    <w:rsid w:val="00C67C96"/>
    <w:rsid w:val="00C70157"/>
    <w:rsid w:val="00C70174"/>
    <w:rsid w:val="00C70339"/>
    <w:rsid w:val="00C7047F"/>
    <w:rsid w:val="00C704DA"/>
    <w:rsid w:val="00C705D7"/>
    <w:rsid w:val="00C70644"/>
    <w:rsid w:val="00C706AF"/>
    <w:rsid w:val="00C7073B"/>
    <w:rsid w:val="00C707A2"/>
    <w:rsid w:val="00C709AB"/>
    <w:rsid w:val="00C70B75"/>
    <w:rsid w:val="00C70BAB"/>
    <w:rsid w:val="00C70D70"/>
    <w:rsid w:val="00C70E70"/>
    <w:rsid w:val="00C70F83"/>
    <w:rsid w:val="00C70FBE"/>
    <w:rsid w:val="00C711A0"/>
    <w:rsid w:val="00C71214"/>
    <w:rsid w:val="00C712FB"/>
    <w:rsid w:val="00C7153A"/>
    <w:rsid w:val="00C71555"/>
    <w:rsid w:val="00C71721"/>
    <w:rsid w:val="00C71849"/>
    <w:rsid w:val="00C71972"/>
    <w:rsid w:val="00C719F1"/>
    <w:rsid w:val="00C71A4C"/>
    <w:rsid w:val="00C71AE5"/>
    <w:rsid w:val="00C71B68"/>
    <w:rsid w:val="00C71B93"/>
    <w:rsid w:val="00C71DE5"/>
    <w:rsid w:val="00C72482"/>
    <w:rsid w:val="00C7262F"/>
    <w:rsid w:val="00C727B6"/>
    <w:rsid w:val="00C72A0B"/>
    <w:rsid w:val="00C72A47"/>
    <w:rsid w:val="00C72B15"/>
    <w:rsid w:val="00C72C0B"/>
    <w:rsid w:val="00C72CCF"/>
    <w:rsid w:val="00C72D0E"/>
    <w:rsid w:val="00C72F3E"/>
    <w:rsid w:val="00C72F46"/>
    <w:rsid w:val="00C73136"/>
    <w:rsid w:val="00C73220"/>
    <w:rsid w:val="00C73258"/>
    <w:rsid w:val="00C733A5"/>
    <w:rsid w:val="00C73498"/>
    <w:rsid w:val="00C73554"/>
    <w:rsid w:val="00C73654"/>
    <w:rsid w:val="00C736AE"/>
    <w:rsid w:val="00C737E0"/>
    <w:rsid w:val="00C739F2"/>
    <w:rsid w:val="00C73AEF"/>
    <w:rsid w:val="00C73BA3"/>
    <w:rsid w:val="00C73BB5"/>
    <w:rsid w:val="00C73D21"/>
    <w:rsid w:val="00C73D6E"/>
    <w:rsid w:val="00C73E1E"/>
    <w:rsid w:val="00C73F7D"/>
    <w:rsid w:val="00C74099"/>
    <w:rsid w:val="00C74138"/>
    <w:rsid w:val="00C74242"/>
    <w:rsid w:val="00C7435A"/>
    <w:rsid w:val="00C743B2"/>
    <w:rsid w:val="00C744B6"/>
    <w:rsid w:val="00C745B4"/>
    <w:rsid w:val="00C746F9"/>
    <w:rsid w:val="00C74768"/>
    <w:rsid w:val="00C749B8"/>
    <w:rsid w:val="00C74B5B"/>
    <w:rsid w:val="00C74B73"/>
    <w:rsid w:val="00C74C12"/>
    <w:rsid w:val="00C74DD0"/>
    <w:rsid w:val="00C74E65"/>
    <w:rsid w:val="00C7503C"/>
    <w:rsid w:val="00C7524F"/>
    <w:rsid w:val="00C75345"/>
    <w:rsid w:val="00C7542A"/>
    <w:rsid w:val="00C75808"/>
    <w:rsid w:val="00C75A41"/>
    <w:rsid w:val="00C75AA5"/>
    <w:rsid w:val="00C75B6E"/>
    <w:rsid w:val="00C75FD8"/>
    <w:rsid w:val="00C76231"/>
    <w:rsid w:val="00C762EC"/>
    <w:rsid w:val="00C764CA"/>
    <w:rsid w:val="00C76665"/>
    <w:rsid w:val="00C76676"/>
    <w:rsid w:val="00C76CB4"/>
    <w:rsid w:val="00C76D7C"/>
    <w:rsid w:val="00C76DAC"/>
    <w:rsid w:val="00C771D3"/>
    <w:rsid w:val="00C771DA"/>
    <w:rsid w:val="00C77377"/>
    <w:rsid w:val="00C77397"/>
    <w:rsid w:val="00C773C4"/>
    <w:rsid w:val="00C7742D"/>
    <w:rsid w:val="00C774FF"/>
    <w:rsid w:val="00C77703"/>
    <w:rsid w:val="00C77AE2"/>
    <w:rsid w:val="00C77BDE"/>
    <w:rsid w:val="00C77EBC"/>
    <w:rsid w:val="00C77EE0"/>
    <w:rsid w:val="00C8063B"/>
    <w:rsid w:val="00C80C02"/>
    <w:rsid w:val="00C80CD7"/>
    <w:rsid w:val="00C80CE1"/>
    <w:rsid w:val="00C80F7B"/>
    <w:rsid w:val="00C81054"/>
    <w:rsid w:val="00C81094"/>
    <w:rsid w:val="00C81196"/>
    <w:rsid w:val="00C81324"/>
    <w:rsid w:val="00C813C9"/>
    <w:rsid w:val="00C81513"/>
    <w:rsid w:val="00C81695"/>
    <w:rsid w:val="00C8182E"/>
    <w:rsid w:val="00C81A2B"/>
    <w:rsid w:val="00C81A66"/>
    <w:rsid w:val="00C81D6F"/>
    <w:rsid w:val="00C81E83"/>
    <w:rsid w:val="00C81E8C"/>
    <w:rsid w:val="00C81F14"/>
    <w:rsid w:val="00C81F83"/>
    <w:rsid w:val="00C81FE7"/>
    <w:rsid w:val="00C8207B"/>
    <w:rsid w:val="00C820E6"/>
    <w:rsid w:val="00C821E9"/>
    <w:rsid w:val="00C82507"/>
    <w:rsid w:val="00C82561"/>
    <w:rsid w:val="00C8291A"/>
    <w:rsid w:val="00C82A61"/>
    <w:rsid w:val="00C82B2F"/>
    <w:rsid w:val="00C82B6C"/>
    <w:rsid w:val="00C82B7C"/>
    <w:rsid w:val="00C82B80"/>
    <w:rsid w:val="00C82C1A"/>
    <w:rsid w:val="00C82D94"/>
    <w:rsid w:val="00C82DA4"/>
    <w:rsid w:val="00C82F29"/>
    <w:rsid w:val="00C83313"/>
    <w:rsid w:val="00C833B9"/>
    <w:rsid w:val="00C833C1"/>
    <w:rsid w:val="00C8348A"/>
    <w:rsid w:val="00C834C4"/>
    <w:rsid w:val="00C835AC"/>
    <w:rsid w:val="00C838B3"/>
    <w:rsid w:val="00C83923"/>
    <w:rsid w:val="00C83980"/>
    <w:rsid w:val="00C83982"/>
    <w:rsid w:val="00C839A7"/>
    <w:rsid w:val="00C839E9"/>
    <w:rsid w:val="00C83AB2"/>
    <w:rsid w:val="00C83AC8"/>
    <w:rsid w:val="00C83B23"/>
    <w:rsid w:val="00C83BC9"/>
    <w:rsid w:val="00C83C3A"/>
    <w:rsid w:val="00C83D92"/>
    <w:rsid w:val="00C83D97"/>
    <w:rsid w:val="00C83E38"/>
    <w:rsid w:val="00C83E3C"/>
    <w:rsid w:val="00C83F02"/>
    <w:rsid w:val="00C83F27"/>
    <w:rsid w:val="00C83FAB"/>
    <w:rsid w:val="00C83FD9"/>
    <w:rsid w:val="00C84122"/>
    <w:rsid w:val="00C84180"/>
    <w:rsid w:val="00C844A1"/>
    <w:rsid w:val="00C8451E"/>
    <w:rsid w:val="00C84775"/>
    <w:rsid w:val="00C84B48"/>
    <w:rsid w:val="00C84BCD"/>
    <w:rsid w:val="00C84C48"/>
    <w:rsid w:val="00C84CB3"/>
    <w:rsid w:val="00C84D54"/>
    <w:rsid w:val="00C84DA9"/>
    <w:rsid w:val="00C84F42"/>
    <w:rsid w:val="00C852FF"/>
    <w:rsid w:val="00C85414"/>
    <w:rsid w:val="00C85447"/>
    <w:rsid w:val="00C855B6"/>
    <w:rsid w:val="00C855DE"/>
    <w:rsid w:val="00C857B6"/>
    <w:rsid w:val="00C857D3"/>
    <w:rsid w:val="00C85882"/>
    <w:rsid w:val="00C8594C"/>
    <w:rsid w:val="00C859DA"/>
    <w:rsid w:val="00C859E1"/>
    <w:rsid w:val="00C85A4E"/>
    <w:rsid w:val="00C85A73"/>
    <w:rsid w:val="00C85B1F"/>
    <w:rsid w:val="00C85D18"/>
    <w:rsid w:val="00C85E90"/>
    <w:rsid w:val="00C85F08"/>
    <w:rsid w:val="00C85F30"/>
    <w:rsid w:val="00C85F74"/>
    <w:rsid w:val="00C860A8"/>
    <w:rsid w:val="00C86133"/>
    <w:rsid w:val="00C86154"/>
    <w:rsid w:val="00C861F3"/>
    <w:rsid w:val="00C863FB"/>
    <w:rsid w:val="00C86936"/>
    <w:rsid w:val="00C86948"/>
    <w:rsid w:val="00C86955"/>
    <w:rsid w:val="00C86B17"/>
    <w:rsid w:val="00C86BB9"/>
    <w:rsid w:val="00C86C56"/>
    <w:rsid w:val="00C86D07"/>
    <w:rsid w:val="00C86E8B"/>
    <w:rsid w:val="00C86ECC"/>
    <w:rsid w:val="00C8738F"/>
    <w:rsid w:val="00C8764A"/>
    <w:rsid w:val="00C8770C"/>
    <w:rsid w:val="00C877D7"/>
    <w:rsid w:val="00C878BD"/>
    <w:rsid w:val="00C87A73"/>
    <w:rsid w:val="00C87F48"/>
    <w:rsid w:val="00C900E0"/>
    <w:rsid w:val="00C903B8"/>
    <w:rsid w:val="00C903D7"/>
    <w:rsid w:val="00C9046C"/>
    <w:rsid w:val="00C9049E"/>
    <w:rsid w:val="00C904B5"/>
    <w:rsid w:val="00C9061B"/>
    <w:rsid w:val="00C906C5"/>
    <w:rsid w:val="00C9093B"/>
    <w:rsid w:val="00C90971"/>
    <w:rsid w:val="00C909F7"/>
    <w:rsid w:val="00C90A7D"/>
    <w:rsid w:val="00C90BEE"/>
    <w:rsid w:val="00C90C3F"/>
    <w:rsid w:val="00C90C77"/>
    <w:rsid w:val="00C90DF4"/>
    <w:rsid w:val="00C90E46"/>
    <w:rsid w:val="00C90E79"/>
    <w:rsid w:val="00C90F62"/>
    <w:rsid w:val="00C90FDB"/>
    <w:rsid w:val="00C91030"/>
    <w:rsid w:val="00C91091"/>
    <w:rsid w:val="00C91174"/>
    <w:rsid w:val="00C9120C"/>
    <w:rsid w:val="00C91251"/>
    <w:rsid w:val="00C912A8"/>
    <w:rsid w:val="00C9132A"/>
    <w:rsid w:val="00C913FD"/>
    <w:rsid w:val="00C9185B"/>
    <w:rsid w:val="00C91937"/>
    <w:rsid w:val="00C91A47"/>
    <w:rsid w:val="00C91C21"/>
    <w:rsid w:val="00C91C5C"/>
    <w:rsid w:val="00C91D07"/>
    <w:rsid w:val="00C91D3F"/>
    <w:rsid w:val="00C91EEE"/>
    <w:rsid w:val="00C91F42"/>
    <w:rsid w:val="00C92068"/>
    <w:rsid w:val="00C920DE"/>
    <w:rsid w:val="00C922F7"/>
    <w:rsid w:val="00C927BE"/>
    <w:rsid w:val="00C928A8"/>
    <w:rsid w:val="00C928CB"/>
    <w:rsid w:val="00C92A02"/>
    <w:rsid w:val="00C92AA6"/>
    <w:rsid w:val="00C92BF8"/>
    <w:rsid w:val="00C92FA1"/>
    <w:rsid w:val="00C932EF"/>
    <w:rsid w:val="00C9342F"/>
    <w:rsid w:val="00C93488"/>
    <w:rsid w:val="00C934AF"/>
    <w:rsid w:val="00C934B0"/>
    <w:rsid w:val="00C93606"/>
    <w:rsid w:val="00C9376A"/>
    <w:rsid w:val="00C93770"/>
    <w:rsid w:val="00C9387F"/>
    <w:rsid w:val="00C93952"/>
    <w:rsid w:val="00C93A80"/>
    <w:rsid w:val="00C93BCD"/>
    <w:rsid w:val="00C93D58"/>
    <w:rsid w:val="00C93D8B"/>
    <w:rsid w:val="00C93DEE"/>
    <w:rsid w:val="00C94001"/>
    <w:rsid w:val="00C941A4"/>
    <w:rsid w:val="00C9433B"/>
    <w:rsid w:val="00C943DA"/>
    <w:rsid w:val="00C944B7"/>
    <w:rsid w:val="00C9465D"/>
    <w:rsid w:val="00C946E1"/>
    <w:rsid w:val="00C94AC3"/>
    <w:rsid w:val="00C94C7A"/>
    <w:rsid w:val="00C9501D"/>
    <w:rsid w:val="00C95080"/>
    <w:rsid w:val="00C95098"/>
    <w:rsid w:val="00C951A8"/>
    <w:rsid w:val="00C951F5"/>
    <w:rsid w:val="00C95232"/>
    <w:rsid w:val="00C95286"/>
    <w:rsid w:val="00C953C8"/>
    <w:rsid w:val="00C95426"/>
    <w:rsid w:val="00C9553E"/>
    <w:rsid w:val="00C95593"/>
    <w:rsid w:val="00C95751"/>
    <w:rsid w:val="00C95755"/>
    <w:rsid w:val="00C959B0"/>
    <w:rsid w:val="00C95A15"/>
    <w:rsid w:val="00C95BB8"/>
    <w:rsid w:val="00C95DCB"/>
    <w:rsid w:val="00C95F5F"/>
    <w:rsid w:val="00C95FED"/>
    <w:rsid w:val="00C960FC"/>
    <w:rsid w:val="00C96195"/>
    <w:rsid w:val="00C96203"/>
    <w:rsid w:val="00C96269"/>
    <w:rsid w:val="00C964BF"/>
    <w:rsid w:val="00C96766"/>
    <w:rsid w:val="00C968F8"/>
    <w:rsid w:val="00C969CF"/>
    <w:rsid w:val="00C96AC2"/>
    <w:rsid w:val="00C96B3E"/>
    <w:rsid w:val="00C96B54"/>
    <w:rsid w:val="00C96C60"/>
    <w:rsid w:val="00C96FF5"/>
    <w:rsid w:val="00C97225"/>
    <w:rsid w:val="00C972C3"/>
    <w:rsid w:val="00C972DA"/>
    <w:rsid w:val="00C973EB"/>
    <w:rsid w:val="00C975BE"/>
    <w:rsid w:val="00C97868"/>
    <w:rsid w:val="00C97950"/>
    <w:rsid w:val="00C97A38"/>
    <w:rsid w:val="00C97AD9"/>
    <w:rsid w:val="00C97D06"/>
    <w:rsid w:val="00C97D8C"/>
    <w:rsid w:val="00C97E21"/>
    <w:rsid w:val="00C97E82"/>
    <w:rsid w:val="00C97FB8"/>
    <w:rsid w:val="00CA0105"/>
    <w:rsid w:val="00CA02F9"/>
    <w:rsid w:val="00CA03EA"/>
    <w:rsid w:val="00CA0496"/>
    <w:rsid w:val="00CA04E6"/>
    <w:rsid w:val="00CA056D"/>
    <w:rsid w:val="00CA0A62"/>
    <w:rsid w:val="00CA0A93"/>
    <w:rsid w:val="00CA0AFE"/>
    <w:rsid w:val="00CA0D9C"/>
    <w:rsid w:val="00CA0F05"/>
    <w:rsid w:val="00CA1061"/>
    <w:rsid w:val="00CA12DD"/>
    <w:rsid w:val="00CA12F5"/>
    <w:rsid w:val="00CA1351"/>
    <w:rsid w:val="00CA154B"/>
    <w:rsid w:val="00CA15FA"/>
    <w:rsid w:val="00CA17B2"/>
    <w:rsid w:val="00CA189A"/>
    <w:rsid w:val="00CA1A34"/>
    <w:rsid w:val="00CA1B65"/>
    <w:rsid w:val="00CA1D35"/>
    <w:rsid w:val="00CA1E1E"/>
    <w:rsid w:val="00CA1F35"/>
    <w:rsid w:val="00CA1F55"/>
    <w:rsid w:val="00CA1F88"/>
    <w:rsid w:val="00CA20E8"/>
    <w:rsid w:val="00CA212F"/>
    <w:rsid w:val="00CA220F"/>
    <w:rsid w:val="00CA2374"/>
    <w:rsid w:val="00CA24FE"/>
    <w:rsid w:val="00CA26EA"/>
    <w:rsid w:val="00CA27DA"/>
    <w:rsid w:val="00CA28D6"/>
    <w:rsid w:val="00CA2951"/>
    <w:rsid w:val="00CA2B82"/>
    <w:rsid w:val="00CA2F4C"/>
    <w:rsid w:val="00CA300D"/>
    <w:rsid w:val="00CA3251"/>
    <w:rsid w:val="00CA3291"/>
    <w:rsid w:val="00CA340D"/>
    <w:rsid w:val="00CA3664"/>
    <w:rsid w:val="00CA367F"/>
    <w:rsid w:val="00CA3697"/>
    <w:rsid w:val="00CA3741"/>
    <w:rsid w:val="00CA37AF"/>
    <w:rsid w:val="00CA3930"/>
    <w:rsid w:val="00CA3ACC"/>
    <w:rsid w:val="00CA3B5C"/>
    <w:rsid w:val="00CA3DA8"/>
    <w:rsid w:val="00CA3DCE"/>
    <w:rsid w:val="00CA3DF6"/>
    <w:rsid w:val="00CA3F51"/>
    <w:rsid w:val="00CA3F77"/>
    <w:rsid w:val="00CA4073"/>
    <w:rsid w:val="00CA432E"/>
    <w:rsid w:val="00CA444C"/>
    <w:rsid w:val="00CA464D"/>
    <w:rsid w:val="00CA4742"/>
    <w:rsid w:val="00CA4992"/>
    <w:rsid w:val="00CA4AD9"/>
    <w:rsid w:val="00CA4B97"/>
    <w:rsid w:val="00CA4C75"/>
    <w:rsid w:val="00CA4F7B"/>
    <w:rsid w:val="00CA503D"/>
    <w:rsid w:val="00CA50B9"/>
    <w:rsid w:val="00CA52B7"/>
    <w:rsid w:val="00CA53B2"/>
    <w:rsid w:val="00CA567F"/>
    <w:rsid w:val="00CA56E9"/>
    <w:rsid w:val="00CA57FA"/>
    <w:rsid w:val="00CA5802"/>
    <w:rsid w:val="00CA58EC"/>
    <w:rsid w:val="00CA598E"/>
    <w:rsid w:val="00CA5A1A"/>
    <w:rsid w:val="00CA5C02"/>
    <w:rsid w:val="00CA5D83"/>
    <w:rsid w:val="00CA5D96"/>
    <w:rsid w:val="00CA5E9D"/>
    <w:rsid w:val="00CA5F1B"/>
    <w:rsid w:val="00CA618D"/>
    <w:rsid w:val="00CA61F1"/>
    <w:rsid w:val="00CA6223"/>
    <w:rsid w:val="00CA6483"/>
    <w:rsid w:val="00CA649C"/>
    <w:rsid w:val="00CA6518"/>
    <w:rsid w:val="00CA67BF"/>
    <w:rsid w:val="00CA6810"/>
    <w:rsid w:val="00CA6D6D"/>
    <w:rsid w:val="00CA6DE1"/>
    <w:rsid w:val="00CA6F61"/>
    <w:rsid w:val="00CA7123"/>
    <w:rsid w:val="00CA7409"/>
    <w:rsid w:val="00CA7484"/>
    <w:rsid w:val="00CA74C1"/>
    <w:rsid w:val="00CA74CF"/>
    <w:rsid w:val="00CA7740"/>
    <w:rsid w:val="00CA77CA"/>
    <w:rsid w:val="00CA7B6A"/>
    <w:rsid w:val="00CA7B75"/>
    <w:rsid w:val="00CA7C2B"/>
    <w:rsid w:val="00CA7F1A"/>
    <w:rsid w:val="00CB0225"/>
    <w:rsid w:val="00CB0360"/>
    <w:rsid w:val="00CB0446"/>
    <w:rsid w:val="00CB0550"/>
    <w:rsid w:val="00CB079D"/>
    <w:rsid w:val="00CB09C4"/>
    <w:rsid w:val="00CB0CED"/>
    <w:rsid w:val="00CB0D15"/>
    <w:rsid w:val="00CB0D1A"/>
    <w:rsid w:val="00CB0DCE"/>
    <w:rsid w:val="00CB0DCF"/>
    <w:rsid w:val="00CB0F2C"/>
    <w:rsid w:val="00CB12DD"/>
    <w:rsid w:val="00CB137C"/>
    <w:rsid w:val="00CB14EC"/>
    <w:rsid w:val="00CB1758"/>
    <w:rsid w:val="00CB18DF"/>
    <w:rsid w:val="00CB19A0"/>
    <w:rsid w:val="00CB1B0A"/>
    <w:rsid w:val="00CB1B8D"/>
    <w:rsid w:val="00CB1C39"/>
    <w:rsid w:val="00CB1C9C"/>
    <w:rsid w:val="00CB1F20"/>
    <w:rsid w:val="00CB1F34"/>
    <w:rsid w:val="00CB1FA8"/>
    <w:rsid w:val="00CB1FAC"/>
    <w:rsid w:val="00CB2053"/>
    <w:rsid w:val="00CB21AE"/>
    <w:rsid w:val="00CB21C7"/>
    <w:rsid w:val="00CB22FA"/>
    <w:rsid w:val="00CB2403"/>
    <w:rsid w:val="00CB24C3"/>
    <w:rsid w:val="00CB263C"/>
    <w:rsid w:val="00CB26C4"/>
    <w:rsid w:val="00CB273B"/>
    <w:rsid w:val="00CB281A"/>
    <w:rsid w:val="00CB29A2"/>
    <w:rsid w:val="00CB2A51"/>
    <w:rsid w:val="00CB2A59"/>
    <w:rsid w:val="00CB2D45"/>
    <w:rsid w:val="00CB2E15"/>
    <w:rsid w:val="00CB2EB0"/>
    <w:rsid w:val="00CB2EF4"/>
    <w:rsid w:val="00CB3098"/>
    <w:rsid w:val="00CB315A"/>
    <w:rsid w:val="00CB31EE"/>
    <w:rsid w:val="00CB34B1"/>
    <w:rsid w:val="00CB385E"/>
    <w:rsid w:val="00CB3A47"/>
    <w:rsid w:val="00CB3B56"/>
    <w:rsid w:val="00CB3C6A"/>
    <w:rsid w:val="00CB3CBC"/>
    <w:rsid w:val="00CB3DEB"/>
    <w:rsid w:val="00CB3E65"/>
    <w:rsid w:val="00CB3EEA"/>
    <w:rsid w:val="00CB439D"/>
    <w:rsid w:val="00CB44B7"/>
    <w:rsid w:val="00CB460F"/>
    <w:rsid w:val="00CB462D"/>
    <w:rsid w:val="00CB474B"/>
    <w:rsid w:val="00CB489C"/>
    <w:rsid w:val="00CB4A86"/>
    <w:rsid w:val="00CB4AEF"/>
    <w:rsid w:val="00CB4B2F"/>
    <w:rsid w:val="00CB4B7C"/>
    <w:rsid w:val="00CB5042"/>
    <w:rsid w:val="00CB5159"/>
    <w:rsid w:val="00CB5184"/>
    <w:rsid w:val="00CB5282"/>
    <w:rsid w:val="00CB52DC"/>
    <w:rsid w:val="00CB5325"/>
    <w:rsid w:val="00CB53B0"/>
    <w:rsid w:val="00CB5547"/>
    <w:rsid w:val="00CB55A8"/>
    <w:rsid w:val="00CB5603"/>
    <w:rsid w:val="00CB5942"/>
    <w:rsid w:val="00CB59BC"/>
    <w:rsid w:val="00CB5A0E"/>
    <w:rsid w:val="00CB5C44"/>
    <w:rsid w:val="00CB5C5B"/>
    <w:rsid w:val="00CB5CBC"/>
    <w:rsid w:val="00CB5D0A"/>
    <w:rsid w:val="00CB5FF1"/>
    <w:rsid w:val="00CB61AB"/>
    <w:rsid w:val="00CB61DC"/>
    <w:rsid w:val="00CB620A"/>
    <w:rsid w:val="00CB6275"/>
    <w:rsid w:val="00CB629C"/>
    <w:rsid w:val="00CB62F8"/>
    <w:rsid w:val="00CB6300"/>
    <w:rsid w:val="00CB63AF"/>
    <w:rsid w:val="00CB63F5"/>
    <w:rsid w:val="00CB6619"/>
    <w:rsid w:val="00CB66CD"/>
    <w:rsid w:val="00CB66E4"/>
    <w:rsid w:val="00CB6BE5"/>
    <w:rsid w:val="00CB6C7F"/>
    <w:rsid w:val="00CB6CB6"/>
    <w:rsid w:val="00CB6DDE"/>
    <w:rsid w:val="00CB703E"/>
    <w:rsid w:val="00CB7103"/>
    <w:rsid w:val="00CB7194"/>
    <w:rsid w:val="00CB7287"/>
    <w:rsid w:val="00CB74C8"/>
    <w:rsid w:val="00CB7629"/>
    <w:rsid w:val="00CB7632"/>
    <w:rsid w:val="00CB769E"/>
    <w:rsid w:val="00CB7864"/>
    <w:rsid w:val="00CB7998"/>
    <w:rsid w:val="00CB7AC6"/>
    <w:rsid w:val="00CB7B8C"/>
    <w:rsid w:val="00CB7BBC"/>
    <w:rsid w:val="00CB7CEA"/>
    <w:rsid w:val="00CB7EE4"/>
    <w:rsid w:val="00CB7EEA"/>
    <w:rsid w:val="00CC022E"/>
    <w:rsid w:val="00CC0246"/>
    <w:rsid w:val="00CC0428"/>
    <w:rsid w:val="00CC0B02"/>
    <w:rsid w:val="00CC0B74"/>
    <w:rsid w:val="00CC0C14"/>
    <w:rsid w:val="00CC0C81"/>
    <w:rsid w:val="00CC0E97"/>
    <w:rsid w:val="00CC0EA4"/>
    <w:rsid w:val="00CC0F1A"/>
    <w:rsid w:val="00CC0FD2"/>
    <w:rsid w:val="00CC115F"/>
    <w:rsid w:val="00CC11EE"/>
    <w:rsid w:val="00CC120A"/>
    <w:rsid w:val="00CC123B"/>
    <w:rsid w:val="00CC13DD"/>
    <w:rsid w:val="00CC1449"/>
    <w:rsid w:val="00CC14E3"/>
    <w:rsid w:val="00CC152A"/>
    <w:rsid w:val="00CC15DA"/>
    <w:rsid w:val="00CC1698"/>
    <w:rsid w:val="00CC16E4"/>
    <w:rsid w:val="00CC1978"/>
    <w:rsid w:val="00CC1A0F"/>
    <w:rsid w:val="00CC1A6E"/>
    <w:rsid w:val="00CC1C22"/>
    <w:rsid w:val="00CC1CAF"/>
    <w:rsid w:val="00CC1E6C"/>
    <w:rsid w:val="00CC1E7B"/>
    <w:rsid w:val="00CC215C"/>
    <w:rsid w:val="00CC216E"/>
    <w:rsid w:val="00CC2206"/>
    <w:rsid w:val="00CC220A"/>
    <w:rsid w:val="00CC2339"/>
    <w:rsid w:val="00CC25B3"/>
    <w:rsid w:val="00CC26F1"/>
    <w:rsid w:val="00CC27CC"/>
    <w:rsid w:val="00CC285A"/>
    <w:rsid w:val="00CC28C8"/>
    <w:rsid w:val="00CC2A1C"/>
    <w:rsid w:val="00CC2DA1"/>
    <w:rsid w:val="00CC2DD7"/>
    <w:rsid w:val="00CC2F23"/>
    <w:rsid w:val="00CC33CB"/>
    <w:rsid w:val="00CC35F0"/>
    <w:rsid w:val="00CC376B"/>
    <w:rsid w:val="00CC388C"/>
    <w:rsid w:val="00CC38E8"/>
    <w:rsid w:val="00CC3972"/>
    <w:rsid w:val="00CC3E56"/>
    <w:rsid w:val="00CC3FA4"/>
    <w:rsid w:val="00CC40AA"/>
    <w:rsid w:val="00CC42AE"/>
    <w:rsid w:val="00CC435D"/>
    <w:rsid w:val="00CC43B9"/>
    <w:rsid w:val="00CC4734"/>
    <w:rsid w:val="00CC48BE"/>
    <w:rsid w:val="00CC4B45"/>
    <w:rsid w:val="00CC4B51"/>
    <w:rsid w:val="00CC4C4C"/>
    <w:rsid w:val="00CC4FF7"/>
    <w:rsid w:val="00CC53A3"/>
    <w:rsid w:val="00CC55EC"/>
    <w:rsid w:val="00CC574D"/>
    <w:rsid w:val="00CC5A58"/>
    <w:rsid w:val="00CC5B75"/>
    <w:rsid w:val="00CC5C17"/>
    <w:rsid w:val="00CC5DFB"/>
    <w:rsid w:val="00CC6008"/>
    <w:rsid w:val="00CC61AE"/>
    <w:rsid w:val="00CC642F"/>
    <w:rsid w:val="00CC6641"/>
    <w:rsid w:val="00CC674E"/>
    <w:rsid w:val="00CC67AA"/>
    <w:rsid w:val="00CC6B65"/>
    <w:rsid w:val="00CC6DBE"/>
    <w:rsid w:val="00CC7059"/>
    <w:rsid w:val="00CC761F"/>
    <w:rsid w:val="00CC76D4"/>
    <w:rsid w:val="00CC7755"/>
    <w:rsid w:val="00CC794F"/>
    <w:rsid w:val="00CC7BE4"/>
    <w:rsid w:val="00CC7DAB"/>
    <w:rsid w:val="00CC7DD2"/>
    <w:rsid w:val="00CC7EB3"/>
    <w:rsid w:val="00CC7F16"/>
    <w:rsid w:val="00CD00CF"/>
    <w:rsid w:val="00CD00F8"/>
    <w:rsid w:val="00CD036B"/>
    <w:rsid w:val="00CD03C0"/>
    <w:rsid w:val="00CD04B5"/>
    <w:rsid w:val="00CD0742"/>
    <w:rsid w:val="00CD0748"/>
    <w:rsid w:val="00CD0816"/>
    <w:rsid w:val="00CD083C"/>
    <w:rsid w:val="00CD08BE"/>
    <w:rsid w:val="00CD0A5B"/>
    <w:rsid w:val="00CD0B0E"/>
    <w:rsid w:val="00CD0C8F"/>
    <w:rsid w:val="00CD0E34"/>
    <w:rsid w:val="00CD0E8A"/>
    <w:rsid w:val="00CD10B5"/>
    <w:rsid w:val="00CD10D6"/>
    <w:rsid w:val="00CD117D"/>
    <w:rsid w:val="00CD11A4"/>
    <w:rsid w:val="00CD11D0"/>
    <w:rsid w:val="00CD123D"/>
    <w:rsid w:val="00CD1360"/>
    <w:rsid w:val="00CD1505"/>
    <w:rsid w:val="00CD152A"/>
    <w:rsid w:val="00CD160F"/>
    <w:rsid w:val="00CD1636"/>
    <w:rsid w:val="00CD167A"/>
    <w:rsid w:val="00CD171B"/>
    <w:rsid w:val="00CD19FF"/>
    <w:rsid w:val="00CD1A1B"/>
    <w:rsid w:val="00CD1C92"/>
    <w:rsid w:val="00CD1C97"/>
    <w:rsid w:val="00CD1EAE"/>
    <w:rsid w:val="00CD210E"/>
    <w:rsid w:val="00CD2237"/>
    <w:rsid w:val="00CD2360"/>
    <w:rsid w:val="00CD2406"/>
    <w:rsid w:val="00CD247D"/>
    <w:rsid w:val="00CD25DE"/>
    <w:rsid w:val="00CD26DB"/>
    <w:rsid w:val="00CD26F6"/>
    <w:rsid w:val="00CD2B51"/>
    <w:rsid w:val="00CD2F43"/>
    <w:rsid w:val="00CD30B2"/>
    <w:rsid w:val="00CD343A"/>
    <w:rsid w:val="00CD34FF"/>
    <w:rsid w:val="00CD363C"/>
    <w:rsid w:val="00CD364C"/>
    <w:rsid w:val="00CD3813"/>
    <w:rsid w:val="00CD3935"/>
    <w:rsid w:val="00CD3957"/>
    <w:rsid w:val="00CD3D57"/>
    <w:rsid w:val="00CD3D97"/>
    <w:rsid w:val="00CD3DB9"/>
    <w:rsid w:val="00CD3EF2"/>
    <w:rsid w:val="00CD3F64"/>
    <w:rsid w:val="00CD3F98"/>
    <w:rsid w:val="00CD4000"/>
    <w:rsid w:val="00CD40BD"/>
    <w:rsid w:val="00CD42FC"/>
    <w:rsid w:val="00CD44A0"/>
    <w:rsid w:val="00CD45FF"/>
    <w:rsid w:val="00CD4682"/>
    <w:rsid w:val="00CD4821"/>
    <w:rsid w:val="00CD484F"/>
    <w:rsid w:val="00CD48E8"/>
    <w:rsid w:val="00CD494E"/>
    <w:rsid w:val="00CD4966"/>
    <w:rsid w:val="00CD49C5"/>
    <w:rsid w:val="00CD4B4A"/>
    <w:rsid w:val="00CD4BB8"/>
    <w:rsid w:val="00CD4CC6"/>
    <w:rsid w:val="00CD4D62"/>
    <w:rsid w:val="00CD4D7C"/>
    <w:rsid w:val="00CD4DBE"/>
    <w:rsid w:val="00CD4DF4"/>
    <w:rsid w:val="00CD4E3D"/>
    <w:rsid w:val="00CD5203"/>
    <w:rsid w:val="00CD52EB"/>
    <w:rsid w:val="00CD55AA"/>
    <w:rsid w:val="00CD55AE"/>
    <w:rsid w:val="00CD5825"/>
    <w:rsid w:val="00CD592E"/>
    <w:rsid w:val="00CD5AC3"/>
    <w:rsid w:val="00CD5C76"/>
    <w:rsid w:val="00CD5D2A"/>
    <w:rsid w:val="00CD5E2D"/>
    <w:rsid w:val="00CD5F04"/>
    <w:rsid w:val="00CD5F27"/>
    <w:rsid w:val="00CD61A8"/>
    <w:rsid w:val="00CD635C"/>
    <w:rsid w:val="00CD6390"/>
    <w:rsid w:val="00CD64AF"/>
    <w:rsid w:val="00CD661D"/>
    <w:rsid w:val="00CD6811"/>
    <w:rsid w:val="00CD6880"/>
    <w:rsid w:val="00CD68D0"/>
    <w:rsid w:val="00CD6A70"/>
    <w:rsid w:val="00CD6C9C"/>
    <w:rsid w:val="00CD6FC6"/>
    <w:rsid w:val="00CD70C2"/>
    <w:rsid w:val="00CD70DF"/>
    <w:rsid w:val="00CD713A"/>
    <w:rsid w:val="00CD7365"/>
    <w:rsid w:val="00CD7546"/>
    <w:rsid w:val="00CD7565"/>
    <w:rsid w:val="00CD771B"/>
    <w:rsid w:val="00CD7760"/>
    <w:rsid w:val="00CD7965"/>
    <w:rsid w:val="00CD7FF6"/>
    <w:rsid w:val="00CE0392"/>
    <w:rsid w:val="00CE03AB"/>
    <w:rsid w:val="00CE048E"/>
    <w:rsid w:val="00CE05EA"/>
    <w:rsid w:val="00CE077E"/>
    <w:rsid w:val="00CE085F"/>
    <w:rsid w:val="00CE0BCD"/>
    <w:rsid w:val="00CE0CAB"/>
    <w:rsid w:val="00CE0CBE"/>
    <w:rsid w:val="00CE0D69"/>
    <w:rsid w:val="00CE1210"/>
    <w:rsid w:val="00CE1298"/>
    <w:rsid w:val="00CE13AD"/>
    <w:rsid w:val="00CE13D5"/>
    <w:rsid w:val="00CE14B8"/>
    <w:rsid w:val="00CE14D5"/>
    <w:rsid w:val="00CE14F7"/>
    <w:rsid w:val="00CE1565"/>
    <w:rsid w:val="00CE158B"/>
    <w:rsid w:val="00CE19E1"/>
    <w:rsid w:val="00CE1CC2"/>
    <w:rsid w:val="00CE1E01"/>
    <w:rsid w:val="00CE1FD3"/>
    <w:rsid w:val="00CE20A6"/>
    <w:rsid w:val="00CE2278"/>
    <w:rsid w:val="00CE236C"/>
    <w:rsid w:val="00CE2389"/>
    <w:rsid w:val="00CE251A"/>
    <w:rsid w:val="00CE2540"/>
    <w:rsid w:val="00CE25A8"/>
    <w:rsid w:val="00CE2647"/>
    <w:rsid w:val="00CE2731"/>
    <w:rsid w:val="00CE2859"/>
    <w:rsid w:val="00CE293D"/>
    <w:rsid w:val="00CE2A09"/>
    <w:rsid w:val="00CE2A22"/>
    <w:rsid w:val="00CE2C34"/>
    <w:rsid w:val="00CE2DF9"/>
    <w:rsid w:val="00CE2FAD"/>
    <w:rsid w:val="00CE31E9"/>
    <w:rsid w:val="00CE31F9"/>
    <w:rsid w:val="00CE340C"/>
    <w:rsid w:val="00CE343E"/>
    <w:rsid w:val="00CE35B1"/>
    <w:rsid w:val="00CE3643"/>
    <w:rsid w:val="00CE3699"/>
    <w:rsid w:val="00CE36EC"/>
    <w:rsid w:val="00CE3790"/>
    <w:rsid w:val="00CE39FA"/>
    <w:rsid w:val="00CE3A10"/>
    <w:rsid w:val="00CE3A58"/>
    <w:rsid w:val="00CE3AA0"/>
    <w:rsid w:val="00CE3C11"/>
    <w:rsid w:val="00CE3D38"/>
    <w:rsid w:val="00CE3D4C"/>
    <w:rsid w:val="00CE3D4E"/>
    <w:rsid w:val="00CE3D98"/>
    <w:rsid w:val="00CE3FBB"/>
    <w:rsid w:val="00CE3FCC"/>
    <w:rsid w:val="00CE41AB"/>
    <w:rsid w:val="00CE423B"/>
    <w:rsid w:val="00CE42C3"/>
    <w:rsid w:val="00CE43E7"/>
    <w:rsid w:val="00CE4612"/>
    <w:rsid w:val="00CE463F"/>
    <w:rsid w:val="00CE46B2"/>
    <w:rsid w:val="00CE4701"/>
    <w:rsid w:val="00CE498A"/>
    <w:rsid w:val="00CE49BF"/>
    <w:rsid w:val="00CE49D8"/>
    <w:rsid w:val="00CE4A8D"/>
    <w:rsid w:val="00CE4AAE"/>
    <w:rsid w:val="00CE4BC2"/>
    <w:rsid w:val="00CE4CB5"/>
    <w:rsid w:val="00CE4E72"/>
    <w:rsid w:val="00CE4F3C"/>
    <w:rsid w:val="00CE5048"/>
    <w:rsid w:val="00CE51B3"/>
    <w:rsid w:val="00CE52F3"/>
    <w:rsid w:val="00CE540D"/>
    <w:rsid w:val="00CE5A0E"/>
    <w:rsid w:val="00CE5B05"/>
    <w:rsid w:val="00CE5B09"/>
    <w:rsid w:val="00CE5D8C"/>
    <w:rsid w:val="00CE5F47"/>
    <w:rsid w:val="00CE6091"/>
    <w:rsid w:val="00CE60BC"/>
    <w:rsid w:val="00CE610A"/>
    <w:rsid w:val="00CE62F3"/>
    <w:rsid w:val="00CE639B"/>
    <w:rsid w:val="00CE663B"/>
    <w:rsid w:val="00CE6681"/>
    <w:rsid w:val="00CE66DC"/>
    <w:rsid w:val="00CE672E"/>
    <w:rsid w:val="00CE675E"/>
    <w:rsid w:val="00CE6A23"/>
    <w:rsid w:val="00CE6A2D"/>
    <w:rsid w:val="00CE6ABA"/>
    <w:rsid w:val="00CE6B48"/>
    <w:rsid w:val="00CE6CAA"/>
    <w:rsid w:val="00CE6F95"/>
    <w:rsid w:val="00CE7042"/>
    <w:rsid w:val="00CE70B8"/>
    <w:rsid w:val="00CE711B"/>
    <w:rsid w:val="00CE7246"/>
    <w:rsid w:val="00CE72C6"/>
    <w:rsid w:val="00CE72F1"/>
    <w:rsid w:val="00CE731A"/>
    <w:rsid w:val="00CE7475"/>
    <w:rsid w:val="00CE78EB"/>
    <w:rsid w:val="00CE792A"/>
    <w:rsid w:val="00CE7AF9"/>
    <w:rsid w:val="00CE7C87"/>
    <w:rsid w:val="00CE7DC4"/>
    <w:rsid w:val="00CE7ED1"/>
    <w:rsid w:val="00CE7F9A"/>
    <w:rsid w:val="00CF0008"/>
    <w:rsid w:val="00CF01DF"/>
    <w:rsid w:val="00CF0339"/>
    <w:rsid w:val="00CF0369"/>
    <w:rsid w:val="00CF0644"/>
    <w:rsid w:val="00CF090B"/>
    <w:rsid w:val="00CF0B40"/>
    <w:rsid w:val="00CF0BE8"/>
    <w:rsid w:val="00CF0C59"/>
    <w:rsid w:val="00CF0C5E"/>
    <w:rsid w:val="00CF0D69"/>
    <w:rsid w:val="00CF10FC"/>
    <w:rsid w:val="00CF1367"/>
    <w:rsid w:val="00CF144E"/>
    <w:rsid w:val="00CF1625"/>
    <w:rsid w:val="00CF169F"/>
    <w:rsid w:val="00CF1951"/>
    <w:rsid w:val="00CF19EE"/>
    <w:rsid w:val="00CF1AE4"/>
    <w:rsid w:val="00CF1BB7"/>
    <w:rsid w:val="00CF1C7C"/>
    <w:rsid w:val="00CF20F1"/>
    <w:rsid w:val="00CF20F7"/>
    <w:rsid w:val="00CF216C"/>
    <w:rsid w:val="00CF222C"/>
    <w:rsid w:val="00CF2427"/>
    <w:rsid w:val="00CF25EE"/>
    <w:rsid w:val="00CF2697"/>
    <w:rsid w:val="00CF2930"/>
    <w:rsid w:val="00CF29EF"/>
    <w:rsid w:val="00CF2A8F"/>
    <w:rsid w:val="00CF2B5F"/>
    <w:rsid w:val="00CF2CFB"/>
    <w:rsid w:val="00CF2CFE"/>
    <w:rsid w:val="00CF2E49"/>
    <w:rsid w:val="00CF2F00"/>
    <w:rsid w:val="00CF2F1F"/>
    <w:rsid w:val="00CF3351"/>
    <w:rsid w:val="00CF342E"/>
    <w:rsid w:val="00CF366B"/>
    <w:rsid w:val="00CF36A6"/>
    <w:rsid w:val="00CF36C6"/>
    <w:rsid w:val="00CF36EA"/>
    <w:rsid w:val="00CF3714"/>
    <w:rsid w:val="00CF3831"/>
    <w:rsid w:val="00CF3910"/>
    <w:rsid w:val="00CF3B7F"/>
    <w:rsid w:val="00CF3CE4"/>
    <w:rsid w:val="00CF3FB2"/>
    <w:rsid w:val="00CF4162"/>
    <w:rsid w:val="00CF429B"/>
    <w:rsid w:val="00CF4371"/>
    <w:rsid w:val="00CF4393"/>
    <w:rsid w:val="00CF4539"/>
    <w:rsid w:val="00CF45A6"/>
    <w:rsid w:val="00CF46F2"/>
    <w:rsid w:val="00CF48BD"/>
    <w:rsid w:val="00CF4CF0"/>
    <w:rsid w:val="00CF4EF3"/>
    <w:rsid w:val="00CF4FCD"/>
    <w:rsid w:val="00CF502A"/>
    <w:rsid w:val="00CF5167"/>
    <w:rsid w:val="00CF519B"/>
    <w:rsid w:val="00CF53E8"/>
    <w:rsid w:val="00CF5417"/>
    <w:rsid w:val="00CF5482"/>
    <w:rsid w:val="00CF5535"/>
    <w:rsid w:val="00CF5635"/>
    <w:rsid w:val="00CF5766"/>
    <w:rsid w:val="00CF5A8A"/>
    <w:rsid w:val="00CF5ADF"/>
    <w:rsid w:val="00CF5E4D"/>
    <w:rsid w:val="00CF5EB9"/>
    <w:rsid w:val="00CF5ECD"/>
    <w:rsid w:val="00CF60AD"/>
    <w:rsid w:val="00CF6624"/>
    <w:rsid w:val="00CF6834"/>
    <w:rsid w:val="00CF6840"/>
    <w:rsid w:val="00CF6997"/>
    <w:rsid w:val="00CF6E0A"/>
    <w:rsid w:val="00CF6F7F"/>
    <w:rsid w:val="00CF704E"/>
    <w:rsid w:val="00CF7066"/>
    <w:rsid w:val="00CF7248"/>
    <w:rsid w:val="00CF740E"/>
    <w:rsid w:val="00CF748F"/>
    <w:rsid w:val="00CF7633"/>
    <w:rsid w:val="00CF7690"/>
    <w:rsid w:val="00CF7700"/>
    <w:rsid w:val="00CF7953"/>
    <w:rsid w:val="00CF79A2"/>
    <w:rsid w:val="00CF7ADE"/>
    <w:rsid w:val="00CF7CA2"/>
    <w:rsid w:val="00CF7EC6"/>
    <w:rsid w:val="00D000EA"/>
    <w:rsid w:val="00D0024D"/>
    <w:rsid w:val="00D005A0"/>
    <w:rsid w:val="00D00863"/>
    <w:rsid w:val="00D00AA1"/>
    <w:rsid w:val="00D00B40"/>
    <w:rsid w:val="00D00BC5"/>
    <w:rsid w:val="00D00BF4"/>
    <w:rsid w:val="00D00C98"/>
    <w:rsid w:val="00D00CC9"/>
    <w:rsid w:val="00D00E3B"/>
    <w:rsid w:val="00D00F14"/>
    <w:rsid w:val="00D011EA"/>
    <w:rsid w:val="00D01256"/>
    <w:rsid w:val="00D012A3"/>
    <w:rsid w:val="00D0133B"/>
    <w:rsid w:val="00D0174C"/>
    <w:rsid w:val="00D01906"/>
    <w:rsid w:val="00D01AA3"/>
    <w:rsid w:val="00D01AB3"/>
    <w:rsid w:val="00D01CE1"/>
    <w:rsid w:val="00D01DEA"/>
    <w:rsid w:val="00D01F50"/>
    <w:rsid w:val="00D01F5B"/>
    <w:rsid w:val="00D0206F"/>
    <w:rsid w:val="00D021BA"/>
    <w:rsid w:val="00D023EF"/>
    <w:rsid w:val="00D024E7"/>
    <w:rsid w:val="00D024FB"/>
    <w:rsid w:val="00D025A9"/>
    <w:rsid w:val="00D025D7"/>
    <w:rsid w:val="00D0272B"/>
    <w:rsid w:val="00D0287E"/>
    <w:rsid w:val="00D02B8B"/>
    <w:rsid w:val="00D02B9C"/>
    <w:rsid w:val="00D02D1F"/>
    <w:rsid w:val="00D03073"/>
    <w:rsid w:val="00D030CA"/>
    <w:rsid w:val="00D0315F"/>
    <w:rsid w:val="00D031B7"/>
    <w:rsid w:val="00D03282"/>
    <w:rsid w:val="00D033D4"/>
    <w:rsid w:val="00D03403"/>
    <w:rsid w:val="00D03554"/>
    <w:rsid w:val="00D03575"/>
    <w:rsid w:val="00D03698"/>
    <w:rsid w:val="00D03830"/>
    <w:rsid w:val="00D039CB"/>
    <w:rsid w:val="00D03A7F"/>
    <w:rsid w:val="00D03C8F"/>
    <w:rsid w:val="00D03DC0"/>
    <w:rsid w:val="00D03EBB"/>
    <w:rsid w:val="00D03F1D"/>
    <w:rsid w:val="00D03F3E"/>
    <w:rsid w:val="00D040A6"/>
    <w:rsid w:val="00D04151"/>
    <w:rsid w:val="00D0415D"/>
    <w:rsid w:val="00D04336"/>
    <w:rsid w:val="00D0441C"/>
    <w:rsid w:val="00D044F5"/>
    <w:rsid w:val="00D04526"/>
    <w:rsid w:val="00D048AE"/>
    <w:rsid w:val="00D049D0"/>
    <w:rsid w:val="00D04A30"/>
    <w:rsid w:val="00D04A7C"/>
    <w:rsid w:val="00D04E9A"/>
    <w:rsid w:val="00D05319"/>
    <w:rsid w:val="00D0552F"/>
    <w:rsid w:val="00D05584"/>
    <w:rsid w:val="00D055DD"/>
    <w:rsid w:val="00D05753"/>
    <w:rsid w:val="00D05795"/>
    <w:rsid w:val="00D058AB"/>
    <w:rsid w:val="00D058D4"/>
    <w:rsid w:val="00D059D0"/>
    <w:rsid w:val="00D05BC9"/>
    <w:rsid w:val="00D05DBA"/>
    <w:rsid w:val="00D05F42"/>
    <w:rsid w:val="00D05FE6"/>
    <w:rsid w:val="00D0616F"/>
    <w:rsid w:val="00D06338"/>
    <w:rsid w:val="00D063C3"/>
    <w:rsid w:val="00D06489"/>
    <w:rsid w:val="00D065EB"/>
    <w:rsid w:val="00D06629"/>
    <w:rsid w:val="00D06652"/>
    <w:rsid w:val="00D068EB"/>
    <w:rsid w:val="00D06AFB"/>
    <w:rsid w:val="00D06C89"/>
    <w:rsid w:val="00D06DA0"/>
    <w:rsid w:val="00D06EE5"/>
    <w:rsid w:val="00D06F56"/>
    <w:rsid w:val="00D06FC4"/>
    <w:rsid w:val="00D07076"/>
    <w:rsid w:val="00D0707C"/>
    <w:rsid w:val="00D07120"/>
    <w:rsid w:val="00D071EB"/>
    <w:rsid w:val="00D073C1"/>
    <w:rsid w:val="00D07445"/>
    <w:rsid w:val="00D074E1"/>
    <w:rsid w:val="00D07546"/>
    <w:rsid w:val="00D0758D"/>
    <w:rsid w:val="00D075CE"/>
    <w:rsid w:val="00D0767A"/>
    <w:rsid w:val="00D07700"/>
    <w:rsid w:val="00D07886"/>
    <w:rsid w:val="00D078BE"/>
    <w:rsid w:val="00D07956"/>
    <w:rsid w:val="00D07B10"/>
    <w:rsid w:val="00D07C22"/>
    <w:rsid w:val="00D07D17"/>
    <w:rsid w:val="00D07D92"/>
    <w:rsid w:val="00D07E05"/>
    <w:rsid w:val="00D1002D"/>
    <w:rsid w:val="00D102F2"/>
    <w:rsid w:val="00D1034B"/>
    <w:rsid w:val="00D10421"/>
    <w:rsid w:val="00D105AC"/>
    <w:rsid w:val="00D10647"/>
    <w:rsid w:val="00D10847"/>
    <w:rsid w:val="00D108AB"/>
    <w:rsid w:val="00D10982"/>
    <w:rsid w:val="00D109E9"/>
    <w:rsid w:val="00D10A7D"/>
    <w:rsid w:val="00D10D03"/>
    <w:rsid w:val="00D10D42"/>
    <w:rsid w:val="00D10D5D"/>
    <w:rsid w:val="00D10FDE"/>
    <w:rsid w:val="00D10FEE"/>
    <w:rsid w:val="00D1107F"/>
    <w:rsid w:val="00D11081"/>
    <w:rsid w:val="00D111B8"/>
    <w:rsid w:val="00D11302"/>
    <w:rsid w:val="00D1147F"/>
    <w:rsid w:val="00D114F8"/>
    <w:rsid w:val="00D115CF"/>
    <w:rsid w:val="00D1161C"/>
    <w:rsid w:val="00D11628"/>
    <w:rsid w:val="00D118BD"/>
    <w:rsid w:val="00D11BC3"/>
    <w:rsid w:val="00D11D18"/>
    <w:rsid w:val="00D11D9A"/>
    <w:rsid w:val="00D11F59"/>
    <w:rsid w:val="00D125C4"/>
    <w:rsid w:val="00D126A0"/>
    <w:rsid w:val="00D1274C"/>
    <w:rsid w:val="00D12A32"/>
    <w:rsid w:val="00D12A51"/>
    <w:rsid w:val="00D12CFE"/>
    <w:rsid w:val="00D12F57"/>
    <w:rsid w:val="00D12FAD"/>
    <w:rsid w:val="00D13030"/>
    <w:rsid w:val="00D1351B"/>
    <w:rsid w:val="00D137FA"/>
    <w:rsid w:val="00D139D6"/>
    <w:rsid w:val="00D13A8D"/>
    <w:rsid w:val="00D13BC3"/>
    <w:rsid w:val="00D13E9D"/>
    <w:rsid w:val="00D13EAC"/>
    <w:rsid w:val="00D13EC9"/>
    <w:rsid w:val="00D13F8A"/>
    <w:rsid w:val="00D140FB"/>
    <w:rsid w:val="00D144FB"/>
    <w:rsid w:val="00D145A5"/>
    <w:rsid w:val="00D145FA"/>
    <w:rsid w:val="00D1465F"/>
    <w:rsid w:val="00D146C4"/>
    <w:rsid w:val="00D14850"/>
    <w:rsid w:val="00D14861"/>
    <w:rsid w:val="00D14881"/>
    <w:rsid w:val="00D14922"/>
    <w:rsid w:val="00D14D0A"/>
    <w:rsid w:val="00D14E3A"/>
    <w:rsid w:val="00D15010"/>
    <w:rsid w:val="00D15256"/>
    <w:rsid w:val="00D15315"/>
    <w:rsid w:val="00D1543B"/>
    <w:rsid w:val="00D15485"/>
    <w:rsid w:val="00D154B2"/>
    <w:rsid w:val="00D1553B"/>
    <w:rsid w:val="00D15544"/>
    <w:rsid w:val="00D15587"/>
    <w:rsid w:val="00D157D2"/>
    <w:rsid w:val="00D158C2"/>
    <w:rsid w:val="00D15925"/>
    <w:rsid w:val="00D15B7D"/>
    <w:rsid w:val="00D15BB6"/>
    <w:rsid w:val="00D15CF3"/>
    <w:rsid w:val="00D15F66"/>
    <w:rsid w:val="00D1607D"/>
    <w:rsid w:val="00D16279"/>
    <w:rsid w:val="00D162F1"/>
    <w:rsid w:val="00D164DF"/>
    <w:rsid w:val="00D166FF"/>
    <w:rsid w:val="00D167D5"/>
    <w:rsid w:val="00D168AD"/>
    <w:rsid w:val="00D168CC"/>
    <w:rsid w:val="00D16AF1"/>
    <w:rsid w:val="00D16C48"/>
    <w:rsid w:val="00D16D2E"/>
    <w:rsid w:val="00D16E02"/>
    <w:rsid w:val="00D16EE4"/>
    <w:rsid w:val="00D16F55"/>
    <w:rsid w:val="00D16F88"/>
    <w:rsid w:val="00D17283"/>
    <w:rsid w:val="00D17400"/>
    <w:rsid w:val="00D17457"/>
    <w:rsid w:val="00D17511"/>
    <w:rsid w:val="00D175BC"/>
    <w:rsid w:val="00D175C8"/>
    <w:rsid w:val="00D175CB"/>
    <w:rsid w:val="00D175E7"/>
    <w:rsid w:val="00D17618"/>
    <w:rsid w:val="00D1769B"/>
    <w:rsid w:val="00D1771C"/>
    <w:rsid w:val="00D177AA"/>
    <w:rsid w:val="00D178BC"/>
    <w:rsid w:val="00D17918"/>
    <w:rsid w:val="00D1791F"/>
    <w:rsid w:val="00D17C27"/>
    <w:rsid w:val="00D17D48"/>
    <w:rsid w:val="00D17E07"/>
    <w:rsid w:val="00D17E63"/>
    <w:rsid w:val="00D201E7"/>
    <w:rsid w:val="00D2030E"/>
    <w:rsid w:val="00D2046D"/>
    <w:rsid w:val="00D2047E"/>
    <w:rsid w:val="00D2055A"/>
    <w:rsid w:val="00D20654"/>
    <w:rsid w:val="00D20758"/>
    <w:rsid w:val="00D2093F"/>
    <w:rsid w:val="00D2096D"/>
    <w:rsid w:val="00D209D5"/>
    <w:rsid w:val="00D20B66"/>
    <w:rsid w:val="00D211A0"/>
    <w:rsid w:val="00D2123B"/>
    <w:rsid w:val="00D2148C"/>
    <w:rsid w:val="00D2154F"/>
    <w:rsid w:val="00D2173C"/>
    <w:rsid w:val="00D217DE"/>
    <w:rsid w:val="00D21905"/>
    <w:rsid w:val="00D21B34"/>
    <w:rsid w:val="00D21BA1"/>
    <w:rsid w:val="00D21C23"/>
    <w:rsid w:val="00D21E65"/>
    <w:rsid w:val="00D21E6D"/>
    <w:rsid w:val="00D21F55"/>
    <w:rsid w:val="00D221C8"/>
    <w:rsid w:val="00D222E9"/>
    <w:rsid w:val="00D2230D"/>
    <w:rsid w:val="00D225FC"/>
    <w:rsid w:val="00D2284A"/>
    <w:rsid w:val="00D22B81"/>
    <w:rsid w:val="00D22B93"/>
    <w:rsid w:val="00D22D08"/>
    <w:rsid w:val="00D22EF6"/>
    <w:rsid w:val="00D22F32"/>
    <w:rsid w:val="00D2305D"/>
    <w:rsid w:val="00D23063"/>
    <w:rsid w:val="00D2319C"/>
    <w:rsid w:val="00D231C3"/>
    <w:rsid w:val="00D23298"/>
    <w:rsid w:val="00D233E9"/>
    <w:rsid w:val="00D23451"/>
    <w:rsid w:val="00D234DF"/>
    <w:rsid w:val="00D23679"/>
    <w:rsid w:val="00D23690"/>
    <w:rsid w:val="00D236B5"/>
    <w:rsid w:val="00D23913"/>
    <w:rsid w:val="00D23BE5"/>
    <w:rsid w:val="00D23CBA"/>
    <w:rsid w:val="00D23E85"/>
    <w:rsid w:val="00D23EB5"/>
    <w:rsid w:val="00D2401A"/>
    <w:rsid w:val="00D2406A"/>
    <w:rsid w:val="00D2447A"/>
    <w:rsid w:val="00D244AF"/>
    <w:rsid w:val="00D2451F"/>
    <w:rsid w:val="00D246EB"/>
    <w:rsid w:val="00D249A1"/>
    <w:rsid w:val="00D24B28"/>
    <w:rsid w:val="00D24BE1"/>
    <w:rsid w:val="00D24E61"/>
    <w:rsid w:val="00D24F0F"/>
    <w:rsid w:val="00D25088"/>
    <w:rsid w:val="00D252FA"/>
    <w:rsid w:val="00D25328"/>
    <w:rsid w:val="00D253D0"/>
    <w:rsid w:val="00D2548E"/>
    <w:rsid w:val="00D257A1"/>
    <w:rsid w:val="00D257B3"/>
    <w:rsid w:val="00D2587B"/>
    <w:rsid w:val="00D25947"/>
    <w:rsid w:val="00D259FE"/>
    <w:rsid w:val="00D25BCD"/>
    <w:rsid w:val="00D25F81"/>
    <w:rsid w:val="00D25FDD"/>
    <w:rsid w:val="00D26290"/>
    <w:rsid w:val="00D262C5"/>
    <w:rsid w:val="00D264E7"/>
    <w:rsid w:val="00D26507"/>
    <w:rsid w:val="00D266F6"/>
    <w:rsid w:val="00D26A53"/>
    <w:rsid w:val="00D26B2B"/>
    <w:rsid w:val="00D26D3A"/>
    <w:rsid w:val="00D26D7B"/>
    <w:rsid w:val="00D26DD5"/>
    <w:rsid w:val="00D26FDC"/>
    <w:rsid w:val="00D27049"/>
    <w:rsid w:val="00D2706D"/>
    <w:rsid w:val="00D270B2"/>
    <w:rsid w:val="00D27176"/>
    <w:rsid w:val="00D272DD"/>
    <w:rsid w:val="00D27352"/>
    <w:rsid w:val="00D273E3"/>
    <w:rsid w:val="00D2746E"/>
    <w:rsid w:val="00D276AE"/>
    <w:rsid w:val="00D27878"/>
    <w:rsid w:val="00D27C48"/>
    <w:rsid w:val="00D27EAC"/>
    <w:rsid w:val="00D30082"/>
    <w:rsid w:val="00D3008C"/>
    <w:rsid w:val="00D30360"/>
    <w:rsid w:val="00D30549"/>
    <w:rsid w:val="00D30567"/>
    <w:rsid w:val="00D30574"/>
    <w:rsid w:val="00D305BA"/>
    <w:rsid w:val="00D3098D"/>
    <w:rsid w:val="00D309EF"/>
    <w:rsid w:val="00D30ABC"/>
    <w:rsid w:val="00D30BBD"/>
    <w:rsid w:val="00D30D12"/>
    <w:rsid w:val="00D30DFE"/>
    <w:rsid w:val="00D30E6C"/>
    <w:rsid w:val="00D30EFC"/>
    <w:rsid w:val="00D30F22"/>
    <w:rsid w:val="00D30F39"/>
    <w:rsid w:val="00D30FBC"/>
    <w:rsid w:val="00D310C9"/>
    <w:rsid w:val="00D3115E"/>
    <w:rsid w:val="00D3117E"/>
    <w:rsid w:val="00D3125A"/>
    <w:rsid w:val="00D31377"/>
    <w:rsid w:val="00D31387"/>
    <w:rsid w:val="00D313E9"/>
    <w:rsid w:val="00D3145C"/>
    <w:rsid w:val="00D31533"/>
    <w:rsid w:val="00D3159D"/>
    <w:rsid w:val="00D31673"/>
    <w:rsid w:val="00D317F2"/>
    <w:rsid w:val="00D3189B"/>
    <w:rsid w:val="00D3195B"/>
    <w:rsid w:val="00D31A25"/>
    <w:rsid w:val="00D31BB3"/>
    <w:rsid w:val="00D31BFD"/>
    <w:rsid w:val="00D31E1A"/>
    <w:rsid w:val="00D31E81"/>
    <w:rsid w:val="00D32034"/>
    <w:rsid w:val="00D32134"/>
    <w:rsid w:val="00D32252"/>
    <w:rsid w:val="00D32348"/>
    <w:rsid w:val="00D32415"/>
    <w:rsid w:val="00D325DA"/>
    <w:rsid w:val="00D3268C"/>
    <w:rsid w:val="00D326A9"/>
    <w:rsid w:val="00D326E5"/>
    <w:rsid w:val="00D32707"/>
    <w:rsid w:val="00D3270D"/>
    <w:rsid w:val="00D3272F"/>
    <w:rsid w:val="00D3276A"/>
    <w:rsid w:val="00D327B1"/>
    <w:rsid w:val="00D3280B"/>
    <w:rsid w:val="00D32953"/>
    <w:rsid w:val="00D32A0B"/>
    <w:rsid w:val="00D32DC3"/>
    <w:rsid w:val="00D32EAB"/>
    <w:rsid w:val="00D32EE1"/>
    <w:rsid w:val="00D3309A"/>
    <w:rsid w:val="00D330D8"/>
    <w:rsid w:val="00D331DE"/>
    <w:rsid w:val="00D332B3"/>
    <w:rsid w:val="00D333A1"/>
    <w:rsid w:val="00D33596"/>
    <w:rsid w:val="00D3364A"/>
    <w:rsid w:val="00D3377C"/>
    <w:rsid w:val="00D33794"/>
    <w:rsid w:val="00D33846"/>
    <w:rsid w:val="00D339B9"/>
    <w:rsid w:val="00D33C01"/>
    <w:rsid w:val="00D33F05"/>
    <w:rsid w:val="00D33F92"/>
    <w:rsid w:val="00D34019"/>
    <w:rsid w:val="00D34072"/>
    <w:rsid w:val="00D340E2"/>
    <w:rsid w:val="00D3422B"/>
    <w:rsid w:val="00D34251"/>
    <w:rsid w:val="00D34252"/>
    <w:rsid w:val="00D34377"/>
    <w:rsid w:val="00D343E9"/>
    <w:rsid w:val="00D34400"/>
    <w:rsid w:val="00D34406"/>
    <w:rsid w:val="00D3452D"/>
    <w:rsid w:val="00D346FC"/>
    <w:rsid w:val="00D34767"/>
    <w:rsid w:val="00D3478D"/>
    <w:rsid w:val="00D34B4B"/>
    <w:rsid w:val="00D34E33"/>
    <w:rsid w:val="00D352F3"/>
    <w:rsid w:val="00D35321"/>
    <w:rsid w:val="00D355AE"/>
    <w:rsid w:val="00D355E1"/>
    <w:rsid w:val="00D356D0"/>
    <w:rsid w:val="00D35754"/>
    <w:rsid w:val="00D359A4"/>
    <w:rsid w:val="00D359B6"/>
    <w:rsid w:val="00D35ACF"/>
    <w:rsid w:val="00D35CE6"/>
    <w:rsid w:val="00D35D74"/>
    <w:rsid w:val="00D35E4D"/>
    <w:rsid w:val="00D35E7A"/>
    <w:rsid w:val="00D360A4"/>
    <w:rsid w:val="00D3645A"/>
    <w:rsid w:val="00D36564"/>
    <w:rsid w:val="00D3674D"/>
    <w:rsid w:val="00D36AB4"/>
    <w:rsid w:val="00D36AC1"/>
    <w:rsid w:val="00D36C78"/>
    <w:rsid w:val="00D36D8F"/>
    <w:rsid w:val="00D36DED"/>
    <w:rsid w:val="00D36E97"/>
    <w:rsid w:val="00D36FB6"/>
    <w:rsid w:val="00D36FED"/>
    <w:rsid w:val="00D37110"/>
    <w:rsid w:val="00D37183"/>
    <w:rsid w:val="00D37311"/>
    <w:rsid w:val="00D373F8"/>
    <w:rsid w:val="00D37690"/>
    <w:rsid w:val="00D37743"/>
    <w:rsid w:val="00D377D8"/>
    <w:rsid w:val="00D378B1"/>
    <w:rsid w:val="00D37933"/>
    <w:rsid w:val="00D379F6"/>
    <w:rsid w:val="00D37C5B"/>
    <w:rsid w:val="00D37CB2"/>
    <w:rsid w:val="00D37E97"/>
    <w:rsid w:val="00D37EC4"/>
    <w:rsid w:val="00D37ECD"/>
    <w:rsid w:val="00D4017C"/>
    <w:rsid w:val="00D403A7"/>
    <w:rsid w:val="00D403D0"/>
    <w:rsid w:val="00D40468"/>
    <w:rsid w:val="00D40496"/>
    <w:rsid w:val="00D405E5"/>
    <w:rsid w:val="00D4065D"/>
    <w:rsid w:val="00D40805"/>
    <w:rsid w:val="00D4092A"/>
    <w:rsid w:val="00D40A12"/>
    <w:rsid w:val="00D40BFA"/>
    <w:rsid w:val="00D40C8D"/>
    <w:rsid w:val="00D40CC2"/>
    <w:rsid w:val="00D40DD0"/>
    <w:rsid w:val="00D40DEE"/>
    <w:rsid w:val="00D40F6D"/>
    <w:rsid w:val="00D40F71"/>
    <w:rsid w:val="00D40F76"/>
    <w:rsid w:val="00D41018"/>
    <w:rsid w:val="00D41316"/>
    <w:rsid w:val="00D41453"/>
    <w:rsid w:val="00D416D9"/>
    <w:rsid w:val="00D41725"/>
    <w:rsid w:val="00D4174B"/>
    <w:rsid w:val="00D419F8"/>
    <w:rsid w:val="00D41B9B"/>
    <w:rsid w:val="00D41BB2"/>
    <w:rsid w:val="00D41C3F"/>
    <w:rsid w:val="00D41FC0"/>
    <w:rsid w:val="00D42149"/>
    <w:rsid w:val="00D421E3"/>
    <w:rsid w:val="00D42276"/>
    <w:rsid w:val="00D42289"/>
    <w:rsid w:val="00D424F5"/>
    <w:rsid w:val="00D425F6"/>
    <w:rsid w:val="00D42671"/>
    <w:rsid w:val="00D426A5"/>
    <w:rsid w:val="00D4282A"/>
    <w:rsid w:val="00D428A8"/>
    <w:rsid w:val="00D42C31"/>
    <w:rsid w:val="00D42DCB"/>
    <w:rsid w:val="00D42F42"/>
    <w:rsid w:val="00D43312"/>
    <w:rsid w:val="00D433DE"/>
    <w:rsid w:val="00D43454"/>
    <w:rsid w:val="00D43614"/>
    <w:rsid w:val="00D4376F"/>
    <w:rsid w:val="00D43A9B"/>
    <w:rsid w:val="00D43B02"/>
    <w:rsid w:val="00D43B5D"/>
    <w:rsid w:val="00D43BDD"/>
    <w:rsid w:val="00D43CBA"/>
    <w:rsid w:val="00D43CDD"/>
    <w:rsid w:val="00D44030"/>
    <w:rsid w:val="00D4412D"/>
    <w:rsid w:val="00D4414B"/>
    <w:rsid w:val="00D4420B"/>
    <w:rsid w:val="00D4463A"/>
    <w:rsid w:val="00D44693"/>
    <w:rsid w:val="00D447BE"/>
    <w:rsid w:val="00D44903"/>
    <w:rsid w:val="00D4495F"/>
    <w:rsid w:val="00D44A3C"/>
    <w:rsid w:val="00D44AE7"/>
    <w:rsid w:val="00D44B44"/>
    <w:rsid w:val="00D44BD8"/>
    <w:rsid w:val="00D45175"/>
    <w:rsid w:val="00D45453"/>
    <w:rsid w:val="00D455F2"/>
    <w:rsid w:val="00D455F3"/>
    <w:rsid w:val="00D4570A"/>
    <w:rsid w:val="00D4577C"/>
    <w:rsid w:val="00D457F3"/>
    <w:rsid w:val="00D459A9"/>
    <w:rsid w:val="00D459FD"/>
    <w:rsid w:val="00D45A17"/>
    <w:rsid w:val="00D45BB4"/>
    <w:rsid w:val="00D45D6F"/>
    <w:rsid w:val="00D45D82"/>
    <w:rsid w:val="00D45DA7"/>
    <w:rsid w:val="00D45DCB"/>
    <w:rsid w:val="00D45FB6"/>
    <w:rsid w:val="00D463B9"/>
    <w:rsid w:val="00D4680F"/>
    <w:rsid w:val="00D46972"/>
    <w:rsid w:val="00D469F9"/>
    <w:rsid w:val="00D46A68"/>
    <w:rsid w:val="00D46B66"/>
    <w:rsid w:val="00D46BA4"/>
    <w:rsid w:val="00D46BBF"/>
    <w:rsid w:val="00D46D37"/>
    <w:rsid w:val="00D46F6B"/>
    <w:rsid w:val="00D47014"/>
    <w:rsid w:val="00D47066"/>
    <w:rsid w:val="00D471ED"/>
    <w:rsid w:val="00D47269"/>
    <w:rsid w:val="00D47292"/>
    <w:rsid w:val="00D4736E"/>
    <w:rsid w:val="00D47413"/>
    <w:rsid w:val="00D4750D"/>
    <w:rsid w:val="00D476C3"/>
    <w:rsid w:val="00D476DA"/>
    <w:rsid w:val="00D476EA"/>
    <w:rsid w:val="00D479F3"/>
    <w:rsid w:val="00D47A33"/>
    <w:rsid w:val="00D47B52"/>
    <w:rsid w:val="00D47BC1"/>
    <w:rsid w:val="00D47CE8"/>
    <w:rsid w:val="00D47FDF"/>
    <w:rsid w:val="00D500A5"/>
    <w:rsid w:val="00D50120"/>
    <w:rsid w:val="00D5025C"/>
    <w:rsid w:val="00D50458"/>
    <w:rsid w:val="00D50475"/>
    <w:rsid w:val="00D5052F"/>
    <w:rsid w:val="00D50566"/>
    <w:rsid w:val="00D505CB"/>
    <w:rsid w:val="00D50621"/>
    <w:rsid w:val="00D50698"/>
    <w:rsid w:val="00D50896"/>
    <w:rsid w:val="00D5089A"/>
    <w:rsid w:val="00D50907"/>
    <w:rsid w:val="00D50950"/>
    <w:rsid w:val="00D50A8A"/>
    <w:rsid w:val="00D50B30"/>
    <w:rsid w:val="00D50C2D"/>
    <w:rsid w:val="00D50FBF"/>
    <w:rsid w:val="00D510AD"/>
    <w:rsid w:val="00D51130"/>
    <w:rsid w:val="00D5116A"/>
    <w:rsid w:val="00D51243"/>
    <w:rsid w:val="00D5151C"/>
    <w:rsid w:val="00D516C8"/>
    <w:rsid w:val="00D51704"/>
    <w:rsid w:val="00D51871"/>
    <w:rsid w:val="00D519FD"/>
    <w:rsid w:val="00D51A3E"/>
    <w:rsid w:val="00D51A43"/>
    <w:rsid w:val="00D51A4D"/>
    <w:rsid w:val="00D51B58"/>
    <w:rsid w:val="00D51D84"/>
    <w:rsid w:val="00D52190"/>
    <w:rsid w:val="00D524A4"/>
    <w:rsid w:val="00D524F1"/>
    <w:rsid w:val="00D52543"/>
    <w:rsid w:val="00D5267E"/>
    <w:rsid w:val="00D528D4"/>
    <w:rsid w:val="00D529A1"/>
    <w:rsid w:val="00D52B38"/>
    <w:rsid w:val="00D52B4F"/>
    <w:rsid w:val="00D52CF1"/>
    <w:rsid w:val="00D52EE0"/>
    <w:rsid w:val="00D52F58"/>
    <w:rsid w:val="00D52F81"/>
    <w:rsid w:val="00D52FDF"/>
    <w:rsid w:val="00D52FE0"/>
    <w:rsid w:val="00D53066"/>
    <w:rsid w:val="00D53082"/>
    <w:rsid w:val="00D5336A"/>
    <w:rsid w:val="00D53688"/>
    <w:rsid w:val="00D5370E"/>
    <w:rsid w:val="00D53735"/>
    <w:rsid w:val="00D53771"/>
    <w:rsid w:val="00D537EF"/>
    <w:rsid w:val="00D537F3"/>
    <w:rsid w:val="00D53842"/>
    <w:rsid w:val="00D53C93"/>
    <w:rsid w:val="00D53D63"/>
    <w:rsid w:val="00D53F51"/>
    <w:rsid w:val="00D542FE"/>
    <w:rsid w:val="00D543E3"/>
    <w:rsid w:val="00D54547"/>
    <w:rsid w:val="00D546C9"/>
    <w:rsid w:val="00D5479C"/>
    <w:rsid w:val="00D5482C"/>
    <w:rsid w:val="00D548C6"/>
    <w:rsid w:val="00D54970"/>
    <w:rsid w:val="00D54BBD"/>
    <w:rsid w:val="00D54C4A"/>
    <w:rsid w:val="00D55029"/>
    <w:rsid w:val="00D553BC"/>
    <w:rsid w:val="00D5543D"/>
    <w:rsid w:val="00D5546C"/>
    <w:rsid w:val="00D554DE"/>
    <w:rsid w:val="00D55639"/>
    <w:rsid w:val="00D556B0"/>
    <w:rsid w:val="00D5573A"/>
    <w:rsid w:val="00D55757"/>
    <w:rsid w:val="00D558FD"/>
    <w:rsid w:val="00D5594B"/>
    <w:rsid w:val="00D559C8"/>
    <w:rsid w:val="00D55B96"/>
    <w:rsid w:val="00D55BB0"/>
    <w:rsid w:val="00D55CBC"/>
    <w:rsid w:val="00D56077"/>
    <w:rsid w:val="00D560E7"/>
    <w:rsid w:val="00D561A8"/>
    <w:rsid w:val="00D56676"/>
    <w:rsid w:val="00D5691B"/>
    <w:rsid w:val="00D56A3B"/>
    <w:rsid w:val="00D56A58"/>
    <w:rsid w:val="00D56B7F"/>
    <w:rsid w:val="00D56F60"/>
    <w:rsid w:val="00D570B2"/>
    <w:rsid w:val="00D57147"/>
    <w:rsid w:val="00D57260"/>
    <w:rsid w:val="00D5769B"/>
    <w:rsid w:val="00D577A7"/>
    <w:rsid w:val="00D57949"/>
    <w:rsid w:val="00D57BFD"/>
    <w:rsid w:val="00D57FC7"/>
    <w:rsid w:val="00D6003C"/>
    <w:rsid w:val="00D6012D"/>
    <w:rsid w:val="00D6018C"/>
    <w:rsid w:val="00D6032E"/>
    <w:rsid w:val="00D60334"/>
    <w:rsid w:val="00D6037C"/>
    <w:rsid w:val="00D60701"/>
    <w:rsid w:val="00D60901"/>
    <w:rsid w:val="00D60A4A"/>
    <w:rsid w:val="00D60B46"/>
    <w:rsid w:val="00D60B97"/>
    <w:rsid w:val="00D60BCD"/>
    <w:rsid w:val="00D60D84"/>
    <w:rsid w:val="00D60EC4"/>
    <w:rsid w:val="00D610D1"/>
    <w:rsid w:val="00D612BD"/>
    <w:rsid w:val="00D614B0"/>
    <w:rsid w:val="00D6151D"/>
    <w:rsid w:val="00D61543"/>
    <w:rsid w:val="00D617FA"/>
    <w:rsid w:val="00D6183B"/>
    <w:rsid w:val="00D6189B"/>
    <w:rsid w:val="00D619CC"/>
    <w:rsid w:val="00D61AF7"/>
    <w:rsid w:val="00D61B00"/>
    <w:rsid w:val="00D61B5B"/>
    <w:rsid w:val="00D61B83"/>
    <w:rsid w:val="00D61BE4"/>
    <w:rsid w:val="00D61DCA"/>
    <w:rsid w:val="00D61F58"/>
    <w:rsid w:val="00D61F9F"/>
    <w:rsid w:val="00D620B8"/>
    <w:rsid w:val="00D62109"/>
    <w:rsid w:val="00D6217C"/>
    <w:rsid w:val="00D62578"/>
    <w:rsid w:val="00D626FD"/>
    <w:rsid w:val="00D62858"/>
    <w:rsid w:val="00D6287C"/>
    <w:rsid w:val="00D628BF"/>
    <w:rsid w:val="00D628DD"/>
    <w:rsid w:val="00D62B72"/>
    <w:rsid w:val="00D62D5D"/>
    <w:rsid w:val="00D62E17"/>
    <w:rsid w:val="00D62EF4"/>
    <w:rsid w:val="00D62F76"/>
    <w:rsid w:val="00D62F9C"/>
    <w:rsid w:val="00D62FD5"/>
    <w:rsid w:val="00D6302F"/>
    <w:rsid w:val="00D63308"/>
    <w:rsid w:val="00D634CA"/>
    <w:rsid w:val="00D6350A"/>
    <w:rsid w:val="00D63585"/>
    <w:rsid w:val="00D6358B"/>
    <w:rsid w:val="00D635ED"/>
    <w:rsid w:val="00D63624"/>
    <w:rsid w:val="00D63677"/>
    <w:rsid w:val="00D6367C"/>
    <w:rsid w:val="00D636A4"/>
    <w:rsid w:val="00D637F7"/>
    <w:rsid w:val="00D6398C"/>
    <w:rsid w:val="00D63BD3"/>
    <w:rsid w:val="00D63CFC"/>
    <w:rsid w:val="00D63D20"/>
    <w:rsid w:val="00D63D57"/>
    <w:rsid w:val="00D63D93"/>
    <w:rsid w:val="00D63F28"/>
    <w:rsid w:val="00D63F99"/>
    <w:rsid w:val="00D64204"/>
    <w:rsid w:val="00D6464E"/>
    <w:rsid w:val="00D646E6"/>
    <w:rsid w:val="00D64714"/>
    <w:rsid w:val="00D64791"/>
    <w:rsid w:val="00D647F8"/>
    <w:rsid w:val="00D64A5A"/>
    <w:rsid w:val="00D64B92"/>
    <w:rsid w:val="00D64C53"/>
    <w:rsid w:val="00D64C6C"/>
    <w:rsid w:val="00D64CCE"/>
    <w:rsid w:val="00D64DAD"/>
    <w:rsid w:val="00D65020"/>
    <w:rsid w:val="00D65273"/>
    <w:rsid w:val="00D65384"/>
    <w:rsid w:val="00D655C5"/>
    <w:rsid w:val="00D6560F"/>
    <w:rsid w:val="00D6584A"/>
    <w:rsid w:val="00D658AC"/>
    <w:rsid w:val="00D65AF4"/>
    <w:rsid w:val="00D65B21"/>
    <w:rsid w:val="00D65DC7"/>
    <w:rsid w:val="00D65E1A"/>
    <w:rsid w:val="00D66027"/>
    <w:rsid w:val="00D66068"/>
    <w:rsid w:val="00D66118"/>
    <w:rsid w:val="00D664A5"/>
    <w:rsid w:val="00D66522"/>
    <w:rsid w:val="00D665AC"/>
    <w:rsid w:val="00D66CD3"/>
    <w:rsid w:val="00D66D52"/>
    <w:rsid w:val="00D66E5B"/>
    <w:rsid w:val="00D6768F"/>
    <w:rsid w:val="00D677E3"/>
    <w:rsid w:val="00D678AB"/>
    <w:rsid w:val="00D67A9C"/>
    <w:rsid w:val="00D67C88"/>
    <w:rsid w:val="00D67CDB"/>
    <w:rsid w:val="00D67D1B"/>
    <w:rsid w:val="00D7005A"/>
    <w:rsid w:val="00D702EF"/>
    <w:rsid w:val="00D7034F"/>
    <w:rsid w:val="00D7067F"/>
    <w:rsid w:val="00D7073B"/>
    <w:rsid w:val="00D707D7"/>
    <w:rsid w:val="00D707EB"/>
    <w:rsid w:val="00D70921"/>
    <w:rsid w:val="00D709FA"/>
    <w:rsid w:val="00D70C85"/>
    <w:rsid w:val="00D70CA1"/>
    <w:rsid w:val="00D70E26"/>
    <w:rsid w:val="00D70F03"/>
    <w:rsid w:val="00D70FF3"/>
    <w:rsid w:val="00D7102D"/>
    <w:rsid w:val="00D71040"/>
    <w:rsid w:val="00D71223"/>
    <w:rsid w:val="00D71304"/>
    <w:rsid w:val="00D71376"/>
    <w:rsid w:val="00D7138E"/>
    <w:rsid w:val="00D71391"/>
    <w:rsid w:val="00D71496"/>
    <w:rsid w:val="00D71786"/>
    <w:rsid w:val="00D717A7"/>
    <w:rsid w:val="00D7186D"/>
    <w:rsid w:val="00D71A7B"/>
    <w:rsid w:val="00D71D4A"/>
    <w:rsid w:val="00D71E01"/>
    <w:rsid w:val="00D71EB4"/>
    <w:rsid w:val="00D7214C"/>
    <w:rsid w:val="00D721A1"/>
    <w:rsid w:val="00D72531"/>
    <w:rsid w:val="00D72818"/>
    <w:rsid w:val="00D728E8"/>
    <w:rsid w:val="00D72A8E"/>
    <w:rsid w:val="00D72CE5"/>
    <w:rsid w:val="00D72F2B"/>
    <w:rsid w:val="00D73013"/>
    <w:rsid w:val="00D7308B"/>
    <w:rsid w:val="00D732E8"/>
    <w:rsid w:val="00D7342E"/>
    <w:rsid w:val="00D734A1"/>
    <w:rsid w:val="00D73A48"/>
    <w:rsid w:val="00D73A72"/>
    <w:rsid w:val="00D73BE0"/>
    <w:rsid w:val="00D73D87"/>
    <w:rsid w:val="00D7400A"/>
    <w:rsid w:val="00D74043"/>
    <w:rsid w:val="00D740A6"/>
    <w:rsid w:val="00D74170"/>
    <w:rsid w:val="00D74205"/>
    <w:rsid w:val="00D7428A"/>
    <w:rsid w:val="00D742D5"/>
    <w:rsid w:val="00D74300"/>
    <w:rsid w:val="00D7468C"/>
    <w:rsid w:val="00D7489A"/>
    <w:rsid w:val="00D7491A"/>
    <w:rsid w:val="00D74996"/>
    <w:rsid w:val="00D74A2C"/>
    <w:rsid w:val="00D74A31"/>
    <w:rsid w:val="00D74B59"/>
    <w:rsid w:val="00D74BFE"/>
    <w:rsid w:val="00D74F03"/>
    <w:rsid w:val="00D74FB2"/>
    <w:rsid w:val="00D74FE5"/>
    <w:rsid w:val="00D7531B"/>
    <w:rsid w:val="00D75798"/>
    <w:rsid w:val="00D75920"/>
    <w:rsid w:val="00D75AA9"/>
    <w:rsid w:val="00D7616B"/>
    <w:rsid w:val="00D762CA"/>
    <w:rsid w:val="00D76319"/>
    <w:rsid w:val="00D763A5"/>
    <w:rsid w:val="00D76401"/>
    <w:rsid w:val="00D7694A"/>
    <w:rsid w:val="00D76A96"/>
    <w:rsid w:val="00D76C2E"/>
    <w:rsid w:val="00D76C9E"/>
    <w:rsid w:val="00D76F20"/>
    <w:rsid w:val="00D76F3F"/>
    <w:rsid w:val="00D76FC3"/>
    <w:rsid w:val="00D77011"/>
    <w:rsid w:val="00D772B0"/>
    <w:rsid w:val="00D77663"/>
    <w:rsid w:val="00D77803"/>
    <w:rsid w:val="00D77852"/>
    <w:rsid w:val="00D7793C"/>
    <w:rsid w:val="00D77947"/>
    <w:rsid w:val="00D77A3F"/>
    <w:rsid w:val="00D77D4F"/>
    <w:rsid w:val="00D77D74"/>
    <w:rsid w:val="00D77E63"/>
    <w:rsid w:val="00D77FED"/>
    <w:rsid w:val="00D80236"/>
    <w:rsid w:val="00D80343"/>
    <w:rsid w:val="00D8040A"/>
    <w:rsid w:val="00D80475"/>
    <w:rsid w:val="00D805E0"/>
    <w:rsid w:val="00D8069A"/>
    <w:rsid w:val="00D808FC"/>
    <w:rsid w:val="00D80AE1"/>
    <w:rsid w:val="00D80B1D"/>
    <w:rsid w:val="00D80CBF"/>
    <w:rsid w:val="00D80F7F"/>
    <w:rsid w:val="00D80FE8"/>
    <w:rsid w:val="00D81141"/>
    <w:rsid w:val="00D811CA"/>
    <w:rsid w:val="00D81212"/>
    <w:rsid w:val="00D812AB"/>
    <w:rsid w:val="00D81306"/>
    <w:rsid w:val="00D81374"/>
    <w:rsid w:val="00D8149C"/>
    <w:rsid w:val="00D814B3"/>
    <w:rsid w:val="00D81591"/>
    <w:rsid w:val="00D815F9"/>
    <w:rsid w:val="00D816F0"/>
    <w:rsid w:val="00D81703"/>
    <w:rsid w:val="00D81712"/>
    <w:rsid w:val="00D819DF"/>
    <w:rsid w:val="00D81C49"/>
    <w:rsid w:val="00D81CCC"/>
    <w:rsid w:val="00D81D03"/>
    <w:rsid w:val="00D81E66"/>
    <w:rsid w:val="00D81EAF"/>
    <w:rsid w:val="00D81EC5"/>
    <w:rsid w:val="00D81F35"/>
    <w:rsid w:val="00D82258"/>
    <w:rsid w:val="00D82463"/>
    <w:rsid w:val="00D82580"/>
    <w:rsid w:val="00D82692"/>
    <w:rsid w:val="00D828AA"/>
    <w:rsid w:val="00D82DA5"/>
    <w:rsid w:val="00D82F59"/>
    <w:rsid w:val="00D8303B"/>
    <w:rsid w:val="00D8312C"/>
    <w:rsid w:val="00D832E2"/>
    <w:rsid w:val="00D83300"/>
    <w:rsid w:val="00D833BD"/>
    <w:rsid w:val="00D833D1"/>
    <w:rsid w:val="00D83724"/>
    <w:rsid w:val="00D838DF"/>
    <w:rsid w:val="00D839B6"/>
    <w:rsid w:val="00D83A83"/>
    <w:rsid w:val="00D83CF6"/>
    <w:rsid w:val="00D83E05"/>
    <w:rsid w:val="00D84011"/>
    <w:rsid w:val="00D84093"/>
    <w:rsid w:val="00D841B5"/>
    <w:rsid w:val="00D84466"/>
    <w:rsid w:val="00D84534"/>
    <w:rsid w:val="00D84885"/>
    <w:rsid w:val="00D849EF"/>
    <w:rsid w:val="00D84C4A"/>
    <w:rsid w:val="00D84F06"/>
    <w:rsid w:val="00D84FC6"/>
    <w:rsid w:val="00D850B7"/>
    <w:rsid w:val="00D85128"/>
    <w:rsid w:val="00D85136"/>
    <w:rsid w:val="00D851D9"/>
    <w:rsid w:val="00D851E2"/>
    <w:rsid w:val="00D8538E"/>
    <w:rsid w:val="00D85596"/>
    <w:rsid w:val="00D85611"/>
    <w:rsid w:val="00D8563D"/>
    <w:rsid w:val="00D8565E"/>
    <w:rsid w:val="00D856B2"/>
    <w:rsid w:val="00D856BC"/>
    <w:rsid w:val="00D857AB"/>
    <w:rsid w:val="00D85822"/>
    <w:rsid w:val="00D8590F"/>
    <w:rsid w:val="00D859CB"/>
    <w:rsid w:val="00D85A5E"/>
    <w:rsid w:val="00D85EA8"/>
    <w:rsid w:val="00D860FF"/>
    <w:rsid w:val="00D86127"/>
    <w:rsid w:val="00D8613D"/>
    <w:rsid w:val="00D86272"/>
    <w:rsid w:val="00D863A8"/>
    <w:rsid w:val="00D865B0"/>
    <w:rsid w:val="00D86879"/>
    <w:rsid w:val="00D869AE"/>
    <w:rsid w:val="00D869B1"/>
    <w:rsid w:val="00D869E1"/>
    <w:rsid w:val="00D86B6A"/>
    <w:rsid w:val="00D86ED7"/>
    <w:rsid w:val="00D86EF6"/>
    <w:rsid w:val="00D86F48"/>
    <w:rsid w:val="00D8712B"/>
    <w:rsid w:val="00D8717A"/>
    <w:rsid w:val="00D873CC"/>
    <w:rsid w:val="00D8783F"/>
    <w:rsid w:val="00D878D2"/>
    <w:rsid w:val="00D8792B"/>
    <w:rsid w:val="00D87969"/>
    <w:rsid w:val="00D87C1A"/>
    <w:rsid w:val="00D87D98"/>
    <w:rsid w:val="00D87F3D"/>
    <w:rsid w:val="00D901E3"/>
    <w:rsid w:val="00D904A5"/>
    <w:rsid w:val="00D90588"/>
    <w:rsid w:val="00D90637"/>
    <w:rsid w:val="00D90699"/>
    <w:rsid w:val="00D90785"/>
    <w:rsid w:val="00D90C06"/>
    <w:rsid w:val="00D90C9F"/>
    <w:rsid w:val="00D90DA9"/>
    <w:rsid w:val="00D90EB3"/>
    <w:rsid w:val="00D90FA2"/>
    <w:rsid w:val="00D913A9"/>
    <w:rsid w:val="00D9143E"/>
    <w:rsid w:val="00D91465"/>
    <w:rsid w:val="00D91518"/>
    <w:rsid w:val="00D91576"/>
    <w:rsid w:val="00D91695"/>
    <w:rsid w:val="00D918D5"/>
    <w:rsid w:val="00D91BFB"/>
    <w:rsid w:val="00D91C6C"/>
    <w:rsid w:val="00D91CB3"/>
    <w:rsid w:val="00D91D88"/>
    <w:rsid w:val="00D91E4E"/>
    <w:rsid w:val="00D921FC"/>
    <w:rsid w:val="00D924A9"/>
    <w:rsid w:val="00D926B6"/>
    <w:rsid w:val="00D92982"/>
    <w:rsid w:val="00D929E4"/>
    <w:rsid w:val="00D92ACE"/>
    <w:rsid w:val="00D92B3E"/>
    <w:rsid w:val="00D92BDD"/>
    <w:rsid w:val="00D92C05"/>
    <w:rsid w:val="00D92C41"/>
    <w:rsid w:val="00D92DE1"/>
    <w:rsid w:val="00D932CD"/>
    <w:rsid w:val="00D932D8"/>
    <w:rsid w:val="00D9339D"/>
    <w:rsid w:val="00D9340B"/>
    <w:rsid w:val="00D93448"/>
    <w:rsid w:val="00D93617"/>
    <w:rsid w:val="00D93649"/>
    <w:rsid w:val="00D93957"/>
    <w:rsid w:val="00D93A18"/>
    <w:rsid w:val="00D93B97"/>
    <w:rsid w:val="00D93C7E"/>
    <w:rsid w:val="00D93CFD"/>
    <w:rsid w:val="00D93DE1"/>
    <w:rsid w:val="00D93E2A"/>
    <w:rsid w:val="00D93EBE"/>
    <w:rsid w:val="00D941E2"/>
    <w:rsid w:val="00D94261"/>
    <w:rsid w:val="00D9433A"/>
    <w:rsid w:val="00D94486"/>
    <w:rsid w:val="00D9457E"/>
    <w:rsid w:val="00D946A2"/>
    <w:rsid w:val="00D94862"/>
    <w:rsid w:val="00D948FA"/>
    <w:rsid w:val="00D9491A"/>
    <w:rsid w:val="00D94A5E"/>
    <w:rsid w:val="00D94C06"/>
    <w:rsid w:val="00D94C7F"/>
    <w:rsid w:val="00D94D98"/>
    <w:rsid w:val="00D94DCD"/>
    <w:rsid w:val="00D94E66"/>
    <w:rsid w:val="00D94E67"/>
    <w:rsid w:val="00D94E6B"/>
    <w:rsid w:val="00D94E97"/>
    <w:rsid w:val="00D94EAB"/>
    <w:rsid w:val="00D95146"/>
    <w:rsid w:val="00D95173"/>
    <w:rsid w:val="00D95245"/>
    <w:rsid w:val="00D95468"/>
    <w:rsid w:val="00D9552E"/>
    <w:rsid w:val="00D95718"/>
    <w:rsid w:val="00D95887"/>
    <w:rsid w:val="00D958E0"/>
    <w:rsid w:val="00D95ADA"/>
    <w:rsid w:val="00D95BAA"/>
    <w:rsid w:val="00D95CAF"/>
    <w:rsid w:val="00D95D35"/>
    <w:rsid w:val="00D95DC9"/>
    <w:rsid w:val="00D95EF6"/>
    <w:rsid w:val="00D95F3A"/>
    <w:rsid w:val="00D9600A"/>
    <w:rsid w:val="00D960E8"/>
    <w:rsid w:val="00D9620F"/>
    <w:rsid w:val="00D9669E"/>
    <w:rsid w:val="00D96849"/>
    <w:rsid w:val="00D968BC"/>
    <w:rsid w:val="00D96ACD"/>
    <w:rsid w:val="00D96E5F"/>
    <w:rsid w:val="00D96ECD"/>
    <w:rsid w:val="00D96FA4"/>
    <w:rsid w:val="00D970A8"/>
    <w:rsid w:val="00D971A1"/>
    <w:rsid w:val="00D972BB"/>
    <w:rsid w:val="00D9742B"/>
    <w:rsid w:val="00D9751D"/>
    <w:rsid w:val="00D97693"/>
    <w:rsid w:val="00D97903"/>
    <w:rsid w:val="00D979A9"/>
    <w:rsid w:val="00D97A99"/>
    <w:rsid w:val="00D97B9F"/>
    <w:rsid w:val="00D97D32"/>
    <w:rsid w:val="00D97E54"/>
    <w:rsid w:val="00DA0336"/>
    <w:rsid w:val="00DA0358"/>
    <w:rsid w:val="00DA047D"/>
    <w:rsid w:val="00DA0488"/>
    <w:rsid w:val="00DA0825"/>
    <w:rsid w:val="00DA0DC7"/>
    <w:rsid w:val="00DA0EE0"/>
    <w:rsid w:val="00DA113E"/>
    <w:rsid w:val="00DA11C2"/>
    <w:rsid w:val="00DA1481"/>
    <w:rsid w:val="00DA14BF"/>
    <w:rsid w:val="00DA1748"/>
    <w:rsid w:val="00DA185F"/>
    <w:rsid w:val="00DA18BD"/>
    <w:rsid w:val="00DA18FC"/>
    <w:rsid w:val="00DA1A6E"/>
    <w:rsid w:val="00DA1AB4"/>
    <w:rsid w:val="00DA1B4F"/>
    <w:rsid w:val="00DA1BAC"/>
    <w:rsid w:val="00DA1F3B"/>
    <w:rsid w:val="00DA22A3"/>
    <w:rsid w:val="00DA2373"/>
    <w:rsid w:val="00DA25EE"/>
    <w:rsid w:val="00DA2649"/>
    <w:rsid w:val="00DA26A9"/>
    <w:rsid w:val="00DA2898"/>
    <w:rsid w:val="00DA28D3"/>
    <w:rsid w:val="00DA29A0"/>
    <w:rsid w:val="00DA2C42"/>
    <w:rsid w:val="00DA2CA4"/>
    <w:rsid w:val="00DA2D21"/>
    <w:rsid w:val="00DA2D9A"/>
    <w:rsid w:val="00DA2DB5"/>
    <w:rsid w:val="00DA2E51"/>
    <w:rsid w:val="00DA3144"/>
    <w:rsid w:val="00DA31AF"/>
    <w:rsid w:val="00DA31E8"/>
    <w:rsid w:val="00DA31F1"/>
    <w:rsid w:val="00DA320B"/>
    <w:rsid w:val="00DA3370"/>
    <w:rsid w:val="00DA3428"/>
    <w:rsid w:val="00DA346A"/>
    <w:rsid w:val="00DA36B7"/>
    <w:rsid w:val="00DA3ACD"/>
    <w:rsid w:val="00DA3C19"/>
    <w:rsid w:val="00DA3CDA"/>
    <w:rsid w:val="00DA3D58"/>
    <w:rsid w:val="00DA3FA5"/>
    <w:rsid w:val="00DA408F"/>
    <w:rsid w:val="00DA41AC"/>
    <w:rsid w:val="00DA426F"/>
    <w:rsid w:val="00DA43D1"/>
    <w:rsid w:val="00DA473E"/>
    <w:rsid w:val="00DA48B5"/>
    <w:rsid w:val="00DA48B8"/>
    <w:rsid w:val="00DA4BF9"/>
    <w:rsid w:val="00DA4C15"/>
    <w:rsid w:val="00DA5099"/>
    <w:rsid w:val="00DA52B1"/>
    <w:rsid w:val="00DA574C"/>
    <w:rsid w:val="00DA579E"/>
    <w:rsid w:val="00DA5B6C"/>
    <w:rsid w:val="00DA5F23"/>
    <w:rsid w:val="00DA5F67"/>
    <w:rsid w:val="00DA60F9"/>
    <w:rsid w:val="00DA613B"/>
    <w:rsid w:val="00DA631D"/>
    <w:rsid w:val="00DA64DB"/>
    <w:rsid w:val="00DA65E3"/>
    <w:rsid w:val="00DA669C"/>
    <w:rsid w:val="00DA68B5"/>
    <w:rsid w:val="00DA6961"/>
    <w:rsid w:val="00DA6A25"/>
    <w:rsid w:val="00DA6C2E"/>
    <w:rsid w:val="00DA6DA5"/>
    <w:rsid w:val="00DA6E86"/>
    <w:rsid w:val="00DA7215"/>
    <w:rsid w:val="00DA73DA"/>
    <w:rsid w:val="00DA75D9"/>
    <w:rsid w:val="00DA766F"/>
    <w:rsid w:val="00DA7A52"/>
    <w:rsid w:val="00DA7B4F"/>
    <w:rsid w:val="00DA7B87"/>
    <w:rsid w:val="00DA7BBE"/>
    <w:rsid w:val="00DA7FF9"/>
    <w:rsid w:val="00DB0025"/>
    <w:rsid w:val="00DB0422"/>
    <w:rsid w:val="00DB04E3"/>
    <w:rsid w:val="00DB058F"/>
    <w:rsid w:val="00DB0642"/>
    <w:rsid w:val="00DB0782"/>
    <w:rsid w:val="00DB07AE"/>
    <w:rsid w:val="00DB0A8A"/>
    <w:rsid w:val="00DB0B28"/>
    <w:rsid w:val="00DB0BF9"/>
    <w:rsid w:val="00DB0C57"/>
    <w:rsid w:val="00DB0CC1"/>
    <w:rsid w:val="00DB0D7D"/>
    <w:rsid w:val="00DB0E78"/>
    <w:rsid w:val="00DB0FFB"/>
    <w:rsid w:val="00DB10CC"/>
    <w:rsid w:val="00DB1115"/>
    <w:rsid w:val="00DB114D"/>
    <w:rsid w:val="00DB1162"/>
    <w:rsid w:val="00DB11F4"/>
    <w:rsid w:val="00DB122B"/>
    <w:rsid w:val="00DB12C6"/>
    <w:rsid w:val="00DB12E2"/>
    <w:rsid w:val="00DB137B"/>
    <w:rsid w:val="00DB13D3"/>
    <w:rsid w:val="00DB1464"/>
    <w:rsid w:val="00DB14C1"/>
    <w:rsid w:val="00DB1569"/>
    <w:rsid w:val="00DB15E1"/>
    <w:rsid w:val="00DB169D"/>
    <w:rsid w:val="00DB179D"/>
    <w:rsid w:val="00DB17B3"/>
    <w:rsid w:val="00DB188B"/>
    <w:rsid w:val="00DB18CD"/>
    <w:rsid w:val="00DB1BCE"/>
    <w:rsid w:val="00DB1C46"/>
    <w:rsid w:val="00DB1D0D"/>
    <w:rsid w:val="00DB2484"/>
    <w:rsid w:val="00DB2548"/>
    <w:rsid w:val="00DB256C"/>
    <w:rsid w:val="00DB25B8"/>
    <w:rsid w:val="00DB27C9"/>
    <w:rsid w:val="00DB2952"/>
    <w:rsid w:val="00DB2A03"/>
    <w:rsid w:val="00DB2E21"/>
    <w:rsid w:val="00DB2F8A"/>
    <w:rsid w:val="00DB2F8B"/>
    <w:rsid w:val="00DB3127"/>
    <w:rsid w:val="00DB322B"/>
    <w:rsid w:val="00DB39CC"/>
    <w:rsid w:val="00DB39EF"/>
    <w:rsid w:val="00DB41D8"/>
    <w:rsid w:val="00DB4258"/>
    <w:rsid w:val="00DB432C"/>
    <w:rsid w:val="00DB453D"/>
    <w:rsid w:val="00DB453F"/>
    <w:rsid w:val="00DB474B"/>
    <w:rsid w:val="00DB49A3"/>
    <w:rsid w:val="00DB4B5A"/>
    <w:rsid w:val="00DB4C6E"/>
    <w:rsid w:val="00DB4CD5"/>
    <w:rsid w:val="00DB4D4E"/>
    <w:rsid w:val="00DB4DE2"/>
    <w:rsid w:val="00DB4EC2"/>
    <w:rsid w:val="00DB5006"/>
    <w:rsid w:val="00DB509B"/>
    <w:rsid w:val="00DB5114"/>
    <w:rsid w:val="00DB53C3"/>
    <w:rsid w:val="00DB54F5"/>
    <w:rsid w:val="00DB5586"/>
    <w:rsid w:val="00DB582A"/>
    <w:rsid w:val="00DB58EF"/>
    <w:rsid w:val="00DB5915"/>
    <w:rsid w:val="00DB5A85"/>
    <w:rsid w:val="00DB5C0C"/>
    <w:rsid w:val="00DB5CBE"/>
    <w:rsid w:val="00DB5F93"/>
    <w:rsid w:val="00DB6219"/>
    <w:rsid w:val="00DB6223"/>
    <w:rsid w:val="00DB642B"/>
    <w:rsid w:val="00DB6439"/>
    <w:rsid w:val="00DB6490"/>
    <w:rsid w:val="00DB65A3"/>
    <w:rsid w:val="00DB6838"/>
    <w:rsid w:val="00DB6864"/>
    <w:rsid w:val="00DB6906"/>
    <w:rsid w:val="00DB6DAD"/>
    <w:rsid w:val="00DB6EC8"/>
    <w:rsid w:val="00DB70B3"/>
    <w:rsid w:val="00DB70F3"/>
    <w:rsid w:val="00DB70F9"/>
    <w:rsid w:val="00DB7137"/>
    <w:rsid w:val="00DB71EA"/>
    <w:rsid w:val="00DB7278"/>
    <w:rsid w:val="00DB756F"/>
    <w:rsid w:val="00DB775B"/>
    <w:rsid w:val="00DB781F"/>
    <w:rsid w:val="00DB78B1"/>
    <w:rsid w:val="00DB78E3"/>
    <w:rsid w:val="00DB78FD"/>
    <w:rsid w:val="00DB7954"/>
    <w:rsid w:val="00DB7BD9"/>
    <w:rsid w:val="00DB7C8B"/>
    <w:rsid w:val="00DB7E41"/>
    <w:rsid w:val="00DB7FAE"/>
    <w:rsid w:val="00DB7FBF"/>
    <w:rsid w:val="00DC008F"/>
    <w:rsid w:val="00DC0214"/>
    <w:rsid w:val="00DC022A"/>
    <w:rsid w:val="00DC02A1"/>
    <w:rsid w:val="00DC02AD"/>
    <w:rsid w:val="00DC02CA"/>
    <w:rsid w:val="00DC032F"/>
    <w:rsid w:val="00DC042C"/>
    <w:rsid w:val="00DC0456"/>
    <w:rsid w:val="00DC0BB6"/>
    <w:rsid w:val="00DC0D22"/>
    <w:rsid w:val="00DC1061"/>
    <w:rsid w:val="00DC1067"/>
    <w:rsid w:val="00DC10CB"/>
    <w:rsid w:val="00DC113C"/>
    <w:rsid w:val="00DC1301"/>
    <w:rsid w:val="00DC1473"/>
    <w:rsid w:val="00DC1754"/>
    <w:rsid w:val="00DC17A1"/>
    <w:rsid w:val="00DC1A41"/>
    <w:rsid w:val="00DC1D15"/>
    <w:rsid w:val="00DC1D23"/>
    <w:rsid w:val="00DC1D42"/>
    <w:rsid w:val="00DC1E49"/>
    <w:rsid w:val="00DC2211"/>
    <w:rsid w:val="00DC2254"/>
    <w:rsid w:val="00DC2261"/>
    <w:rsid w:val="00DC239D"/>
    <w:rsid w:val="00DC2410"/>
    <w:rsid w:val="00DC25E6"/>
    <w:rsid w:val="00DC270F"/>
    <w:rsid w:val="00DC297D"/>
    <w:rsid w:val="00DC2B3F"/>
    <w:rsid w:val="00DC2B6E"/>
    <w:rsid w:val="00DC2BC6"/>
    <w:rsid w:val="00DC2CF7"/>
    <w:rsid w:val="00DC2CFE"/>
    <w:rsid w:val="00DC2E8D"/>
    <w:rsid w:val="00DC300C"/>
    <w:rsid w:val="00DC3096"/>
    <w:rsid w:val="00DC329A"/>
    <w:rsid w:val="00DC32CB"/>
    <w:rsid w:val="00DC336A"/>
    <w:rsid w:val="00DC344C"/>
    <w:rsid w:val="00DC369C"/>
    <w:rsid w:val="00DC371E"/>
    <w:rsid w:val="00DC377B"/>
    <w:rsid w:val="00DC37E9"/>
    <w:rsid w:val="00DC37F4"/>
    <w:rsid w:val="00DC3845"/>
    <w:rsid w:val="00DC3B86"/>
    <w:rsid w:val="00DC3BB5"/>
    <w:rsid w:val="00DC3C27"/>
    <w:rsid w:val="00DC3DCE"/>
    <w:rsid w:val="00DC3E77"/>
    <w:rsid w:val="00DC3EA1"/>
    <w:rsid w:val="00DC434B"/>
    <w:rsid w:val="00DC46D5"/>
    <w:rsid w:val="00DC487E"/>
    <w:rsid w:val="00DC4B60"/>
    <w:rsid w:val="00DC4D00"/>
    <w:rsid w:val="00DC4DB5"/>
    <w:rsid w:val="00DC5255"/>
    <w:rsid w:val="00DC544D"/>
    <w:rsid w:val="00DC544E"/>
    <w:rsid w:val="00DC54AD"/>
    <w:rsid w:val="00DC5557"/>
    <w:rsid w:val="00DC5587"/>
    <w:rsid w:val="00DC56B7"/>
    <w:rsid w:val="00DC5824"/>
    <w:rsid w:val="00DC5924"/>
    <w:rsid w:val="00DC5A43"/>
    <w:rsid w:val="00DC5DF0"/>
    <w:rsid w:val="00DC5E24"/>
    <w:rsid w:val="00DC5FEB"/>
    <w:rsid w:val="00DC60E9"/>
    <w:rsid w:val="00DC614E"/>
    <w:rsid w:val="00DC6220"/>
    <w:rsid w:val="00DC6240"/>
    <w:rsid w:val="00DC64A3"/>
    <w:rsid w:val="00DC64D8"/>
    <w:rsid w:val="00DC66F8"/>
    <w:rsid w:val="00DC6910"/>
    <w:rsid w:val="00DC6BD3"/>
    <w:rsid w:val="00DC6BE0"/>
    <w:rsid w:val="00DC6C66"/>
    <w:rsid w:val="00DC6CCE"/>
    <w:rsid w:val="00DC6F5A"/>
    <w:rsid w:val="00DC6F6C"/>
    <w:rsid w:val="00DC7040"/>
    <w:rsid w:val="00DC7042"/>
    <w:rsid w:val="00DC70F9"/>
    <w:rsid w:val="00DC74DE"/>
    <w:rsid w:val="00DC7790"/>
    <w:rsid w:val="00DC77BC"/>
    <w:rsid w:val="00DC79E3"/>
    <w:rsid w:val="00DC7A73"/>
    <w:rsid w:val="00DC7A8A"/>
    <w:rsid w:val="00DC7AAA"/>
    <w:rsid w:val="00DC7B9C"/>
    <w:rsid w:val="00DC7BDF"/>
    <w:rsid w:val="00DC7C4B"/>
    <w:rsid w:val="00DC7DC4"/>
    <w:rsid w:val="00DC7E11"/>
    <w:rsid w:val="00DC7F57"/>
    <w:rsid w:val="00DC7F8D"/>
    <w:rsid w:val="00DD00F1"/>
    <w:rsid w:val="00DD0176"/>
    <w:rsid w:val="00DD024E"/>
    <w:rsid w:val="00DD02CF"/>
    <w:rsid w:val="00DD02F5"/>
    <w:rsid w:val="00DD034D"/>
    <w:rsid w:val="00DD03D7"/>
    <w:rsid w:val="00DD045F"/>
    <w:rsid w:val="00DD0462"/>
    <w:rsid w:val="00DD0650"/>
    <w:rsid w:val="00DD0690"/>
    <w:rsid w:val="00DD0696"/>
    <w:rsid w:val="00DD07BA"/>
    <w:rsid w:val="00DD082A"/>
    <w:rsid w:val="00DD091E"/>
    <w:rsid w:val="00DD0A74"/>
    <w:rsid w:val="00DD0C17"/>
    <w:rsid w:val="00DD0E15"/>
    <w:rsid w:val="00DD0F8C"/>
    <w:rsid w:val="00DD1295"/>
    <w:rsid w:val="00DD12AB"/>
    <w:rsid w:val="00DD161C"/>
    <w:rsid w:val="00DD169F"/>
    <w:rsid w:val="00DD1712"/>
    <w:rsid w:val="00DD17FA"/>
    <w:rsid w:val="00DD18DC"/>
    <w:rsid w:val="00DD195C"/>
    <w:rsid w:val="00DD1B01"/>
    <w:rsid w:val="00DD1B05"/>
    <w:rsid w:val="00DD1B23"/>
    <w:rsid w:val="00DD1CA9"/>
    <w:rsid w:val="00DD1CE9"/>
    <w:rsid w:val="00DD1D86"/>
    <w:rsid w:val="00DD1FE5"/>
    <w:rsid w:val="00DD2105"/>
    <w:rsid w:val="00DD21B3"/>
    <w:rsid w:val="00DD22D9"/>
    <w:rsid w:val="00DD2313"/>
    <w:rsid w:val="00DD23E8"/>
    <w:rsid w:val="00DD25A7"/>
    <w:rsid w:val="00DD2673"/>
    <w:rsid w:val="00DD279F"/>
    <w:rsid w:val="00DD27F2"/>
    <w:rsid w:val="00DD2826"/>
    <w:rsid w:val="00DD282A"/>
    <w:rsid w:val="00DD2C03"/>
    <w:rsid w:val="00DD2CB0"/>
    <w:rsid w:val="00DD2E12"/>
    <w:rsid w:val="00DD2F11"/>
    <w:rsid w:val="00DD32FC"/>
    <w:rsid w:val="00DD340A"/>
    <w:rsid w:val="00DD3591"/>
    <w:rsid w:val="00DD38DF"/>
    <w:rsid w:val="00DD39AE"/>
    <w:rsid w:val="00DD3CB5"/>
    <w:rsid w:val="00DD3D76"/>
    <w:rsid w:val="00DD3E60"/>
    <w:rsid w:val="00DD423D"/>
    <w:rsid w:val="00DD45D3"/>
    <w:rsid w:val="00DD460F"/>
    <w:rsid w:val="00DD46E4"/>
    <w:rsid w:val="00DD46F6"/>
    <w:rsid w:val="00DD4746"/>
    <w:rsid w:val="00DD4758"/>
    <w:rsid w:val="00DD4A43"/>
    <w:rsid w:val="00DD4A97"/>
    <w:rsid w:val="00DD4BEB"/>
    <w:rsid w:val="00DD4D15"/>
    <w:rsid w:val="00DD4E80"/>
    <w:rsid w:val="00DD4FB7"/>
    <w:rsid w:val="00DD5096"/>
    <w:rsid w:val="00DD52F0"/>
    <w:rsid w:val="00DD53EE"/>
    <w:rsid w:val="00DD56B2"/>
    <w:rsid w:val="00DD5784"/>
    <w:rsid w:val="00DD57E8"/>
    <w:rsid w:val="00DD5A90"/>
    <w:rsid w:val="00DD5AAF"/>
    <w:rsid w:val="00DD5BAA"/>
    <w:rsid w:val="00DD5BCD"/>
    <w:rsid w:val="00DD5E00"/>
    <w:rsid w:val="00DD60E3"/>
    <w:rsid w:val="00DD60FE"/>
    <w:rsid w:val="00DD6105"/>
    <w:rsid w:val="00DD6218"/>
    <w:rsid w:val="00DD66FD"/>
    <w:rsid w:val="00DD681E"/>
    <w:rsid w:val="00DD689C"/>
    <w:rsid w:val="00DD68F1"/>
    <w:rsid w:val="00DD6964"/>
    <w:rsid w:val="00DD6A63"/>
    <w:rsid w:val="00DD6EA4"/>
    <w:rsid w:val="00DD6EB1"/>
    <w:rsid w:val="00DD6F6E"/>
    <w:rsid w:val="00DD6FC5"/>
    <w:rsid w:val="00DD70F9"/>
    <w:rsid w:val="00DD71CB"/>
    <w:rsid w:val="00DD7250"/>
    <w:rsid w:val="00DD7560"/>
    <w:rsid w:val="00DD75CC"/>
    <w:rsid w:val="00DD77CB"/>
    <w:rsid w:val="00DD77F4"/>
    <w:rsid w:val="00DD7A5C"/>
    <w:rsid w:val="00DD7A9D"/>
    <w:rsid w:val="00DD7CDA"/>
    <w:rsid w:val="00DD7FEC"/>
    <w:rsid w:val="00DE00C1"/>
    <w:rsid w:val="00DE00C2"/>
    <w:rsid w:val="00DE00E1"/>
    <w:rsid w:val="00DE01D8"/>
    <w:rsid w:val="00DE01D9"/>
    <w:rsid w:val="00DE01F3"/>
    <w:rsid w:val="00DE03AA"/>
    <w:rsid w:val="00DE06B2"/>
    <w:rsid w:val="00DE06B7"/>
    <w:rsid w:val="00DE0841"/>
    <w:rsid w:val="00DE0B6C"/>
    <w:rsid w:val="00DE0EA8"/>
    <w:rsid w:val="00DE0FAD"/>
    <w:rsid w:val="00DE101E"/>
    <w:rsid w:val="00DE10A7"/>
    <w:rsid w:val="00DE12C2"/>
    <w:rsid w:val="00DE17F9"/>
    <w:rsid w:val="00DE183E"/>
    <w:rsid w:val="00DE18CD"/>
    <w:rsid w:val="00DE18EA"/>
    <w:rsid w:val="00DE1980"/>
    <w:rsid w:val="00DE1B25"/>
    <w:rsid w:val="00DE1BB5"/>
    <w:rsid w:val="00DE1D99"/>
    <w:rsid w:val="00DE1E6E"/>
    <w:rsid w:val="00DE225F"/>
    <w:rsid w:val="00DE22C7"/>
    <w:rsid w:val="00DE23FF"/>
    <w:rsid w:val="00DE24D8"/>
    <w:rsid w:val="00DE2685"/>
    <w:rsid w:val="00DE2726"/>
    <w:rsid w:val="00DE291C"/>
    <w:rsid w:val="00DE2961"/>
    <w:rsid w:val="00DE2AB2"/>
    <w:rsid w:val="00DE2CBE"/>
    <w:rsid w:val="00DE2CD8"/>
    <w:rsid w:val="00DE3187"/>
    <w:rsid w:val="00DE323C"/>
    <w:rsid w:val="00DE3A10"/>
    <w:rsid w:val="00DE3B57"/>
    <w:rsid w:val="00DE3B79"/>
    <w:rsid w:val="00DE3B9E"/>
    <w:rsid w:val="00DE3BF7"/>
    <w:rsid w:val="00DE3C34"/>
    <w:rsid w:val="00DE3C63"/>
    <w:rsid w:val="00DE3F10"/>
    <w:rsid w:val="00DE3FB2"/>
    <w:rsid w:val="00DE40DA"/>
    <w:rsid w:val="00DE41DA"/>
    <w:rsid w:val="00DE42FD"/>
    <w:rsid w:val="00DE443A"/>
    <w:rsid w:val="00DE448F"/>
    <w:rsid w:val="00DE45E6"/>
    <w:rsid w:val="00DE4658"/>
    <w:rsid w:val="00DE4675"/>
    <w:rsid w:val="00DE48CE"/>
    <w:rsid w:val="00DE48F8"/>
    <w:rsid w:val="00DE499D"/>
    <w:rsid w:val="00DE4D09"/>
    <w:rsid w:val="00DE4EF2"/>
    <w:rsid w:val="00DE4FDA"/>
    <w:rsid w:val="00DE5034"/>
    <w:rsid w:val="00DE515D"/>
    <w:rsid w:val="00DE536B"/>
    <w:rsid w:val="00DE53F2"/>
    <w:rsid w:val="00DE54FC"/>
    <w:rsid w:val="00DE5689"/>
    <w:rsid w:val="00DE5758"/>
    <w:rsid w:val="00DE5B0C"/>
    <w:rsid w:val="00DE5C59"/>
    <w:rsid w:val="00DE5D68"/>
    <w:rsid w:val="00DE5E20"/>
    <w:rsid w:val="00DE5E5C"/>
    <w:rsid w:val="00DE5F55"/>
    <w:rsid w:val="00DE5F9D"/>
    <w:rsid w:val="00DE5FBA"/>
    <w:rsid w:val="00DE63D5"/>
    <w:rsid w:val="00DE66D2"/>
    <w:rsid w:val="00DE69C8"/>
    <w:rsid w:val="00DE6A08"/>
    <w:rsid w:val="00DE6A82"/>
    <w:rsid w:val="00DE6C9F"/>
    <w:rsid w:val="00DE6ED4"/>
    <w:rsid w:val="00DE6EF1"/>
    <w:rsid w:val="00DE7355"/>
    <w:rsid w:val="00DE754E"/>
    <w:rsid w:val="00DE77A6"/>
    <w:rsid w:val="00DE79A8"/>
    <w:rsid w:val="00DE79BA"/>
    <w:rsid w:val="00DE7A96"/>
    <w:rsid w:val="00DE7BF4"/>
    <w:rsid w:val="00DE7FB4"/>
    <w:rsid w:val="00DF002A"/>
    <w:rsid w:val="00DF0062"/>
    <w:rsid w:val="00DF00D4"/>
    <w:rsid w:val="00DF0179"/>
    <w:rsid w:val="00DF0204"/>
    <w:rsid w:val="00DF0211"/>
    <w:rsid w:val="00DF02F2"/>
    <w:rsid w:val="00DF03F8"/>
    <w:rsid w:val="00DF048C"/>
    <w:rsid w:val="00DF04CA"/>
    <w:rsid w:val="00DF0620"/>
    <w:rsid w:val="00DF07C5"/>
    <w:rsid w:val="00DF0A86"/>
    <w:rsid w:val="00DF0D7A"/>
    <w:rsid w:val="00DF0E70"/>
    <w:rsid w:val="00DF0F14"/>
    <w:rsid w:val="00DF107D"/>
    <w:rsid w:val="00DF1266"/>
    <w:rsid w:val="00DF13A1"/>
    <w:rsid w:val="00DF13FD"/>
    <w:rsid w:val="00DF16E2"/>
    <w:rsid w:val="00DF1708"/>
    <w:rsid w:val="00DF184D"/>
    <w:rsid w:val="00DF1A15"/>
    <w:rsid w:val="00DF1B20"/>
    <w:rsid w:val="00DF1EB6"/>
    <w:rsid w:val="00DF205E"/>
    <w:rsid w:val="00DF2100"/>
    <w:rsid w:val="00DF220E"/>
    <w:rsid w:val="00DF2469"/>
    <w:rsid w:val="00DF2470"/>
    <w:rsid w:val="00DF253C"/>
    <w:rsid w:val="00DF26E7"/>
    <w:rsid w:val="00DF27BA"/>
    <w:rsid w:val="00DF2806"/>
    <w:rsid w:val="00DF28D9"/>
    <w:rsid w:val="00DF28F4"/>
    <w:rsid w:val="00DF2A14"/>
    <w:rsid w:val="00DF2A32"/>
    <w:rsid w:val="00DF2B7D"/>
    <w:rsid w:val="00DF2D30"/>
    <w:rsid w:val="00DF2ECC"/>
    <w:rsid w:val="00DF2F7E"/>
    <w:rsid w:val="00DF30C8"/>
    <w:rsid w:val="00DF30CD"/>
    <w:rsid w:val="00DF30F7"/>
    <w:rsid w:val="00DF319B"/>
    <w:rsid w:val="00DF34A9"/>
    <w:rsid w:val="00DF34B4"/>
    <w:rsid w:val="00DF3622"/>
    <w:rsid w:val="00DF365A"/>
    <w:rsid w:val="00DF366C"/>
    <w:rsid w:val="00DF3754"/>
    <w:rsid w:val="00DF3761"/>
    <w:rsid w:val="00DF3903"/>
    <w:rsid w:val="00DF3A6B"/>
    <w:rsid w:val="00DF3A88"/>
    <w:rsid w:val="00DF3C2D"/>
    <w:rsid w:val="00DF3C95"/>
    <w:rsid w:val="00DF3CB9"/>
    <w:rsid w:val="00DF3D72"/>
    <w:rsid w:val="00DF3E0B"/>
    <w:rsid w:val="00DF3E8E"/>
    <w:rsid w:val="00DF40A8"/>
    <w:rsid w:val="00DF43C2"/>
    <w:rsid w:val="00DF4827"/>
    <w:rsid w:val="00DF4828"/>
    <w:rsid w:val="00DF4A15"/>
    <w:rsid w:val="00DF4D5B"/>
    <w:rsid w:val="00DF4F69"/>
    <w:rsid w:val="00DF50F3"/>
    <w:rsid w:val="00DF5185"/>
    <w:rsid w:val="00DF5210"/>
    <w:rsid w:val="00DF52ED"/>
    <w:rsid w:val="00DF538A"/>
    <w:rsid w:val="00DF568E"/>
    <w:rsid w:val="00DF57E9"/>
    <w:rsid w:val="00DF59B8"/>
    <w:rsid w:val="00DF59E0"/>
    <w:rsid w:val="00DF59F3"/>
    <w:rsid w:val="00DF5B2B"/>
    <w:rsid w:val="00DF5D4F"/>
    <w:rsid w:val="00DF5EA7"/>
    <w:rsid w:val="00DF5EBE"/>
    <w:rsid w:val="00DF5FD5"/>
    <w:rsid w:val="00DF6231"/>
    <w:rsid w:val="00DF63AD"/>
    <w:rsid w:val="00DF658F"/>
    <w:rsid w:val="00DF6820"/>
    <w:rsid w:val="00DF6892"/>
    <w:rsid w:val="00DF69EE"/>
    <w:rsid w:val="00DF6B1F"/>
    <w:rsid w:val="00DF6D30"/>
    <w:rsid w:val="00DF6E25"/>
    <w:rsid w:val="00DF6EEE"/>
    <w:rsid w:val="00DF6F3F"/>
    <w:rsid w:val="00DF74CD"/>
    <w:rsid w:val="00DF79E5"/>
    <w:rsid w:val="00DF7A12"/>
    <w:rsid w:val="00DF7A9E"/>
    <w:rsid w:val="00DF7C2E"/>
    <w:rsid w:val="00DF7C7A"/>
    <w:rsid w:val="00DF7CC5"/>
    <w:rsid w:val="00DF7EE9"/>
    <w:rsid w:val="00E0009C"/>
    <w:rsid w:val="00E0036C"/>
    <w:rsid w:val="00E00435"/>
    <w:rsid w:val="00E004FD"/>
    <w:rsid w:val="00E0052A"/>
    <w:rsid w:val="00E005D3"/>
    <w:rsid w:val="00E006A7"/>
    <w:rsid w:val="00E006E6"/>
    <w:rsid w:val="00E009AA"/>
    <w:rsid w:val="00E00A6A"/>
    <w:rsid w:val="00E00C40"/>
    <w:rsid w:val="00E00CBA"/>
    <w:rsid w:val="00E00CDE"/>
    <w:rsid w:val="00E00EF2"/>
    <w:rsid w:val="00E00F9C"/>
    <w:rsid w:val="00E011ED"/>
    <w:rsid w:val="00E01243"/>
    <w:rsid w:val="00E01290"/>
    <w:rsid w:val="00E012EE"/>
    <w:rsid w:val="00E01481"/>
    <w:rsid w:val="00E01499"/>
    <w:rsid w:val="00E014BD"/>
    <w:rsid w:val="00E014CF"/>
    <w:rsid w:val="00E0157E"/>
    <w:rsid w:val="00E0158F"/>
    <w:rsid w:val="00E0173E"/>
    <w:rsid w:val="00E01955"/>
    <w:rsid w:val="00E0197F"/>
    <w:rsid w:val="00E0198D"/>
    <w:rsid w:val="00E019FD"/>
    <w:rsid w:val="00E01A6A"/>
    <w:rsid w:val="00E01B94"/>
    <w:rsid w:val="00E01D44"/>
    <w:rsid w:val="00E01D7B"/>
    <w:rsid w:val="00E01D89"/>
    <w:rsid w:val="00E01EC7"/>
    <w:rsid w:val="00E02186"/>
    <w:rsid w:val="00E024E5"/>
    <w:rsid w:val="00E02531"/>
    <w:rsid w:val="00E0258C"/>
    <w:rsid w:val="00E0266B"/>
    <w:rsid w:val="00E02750"/>
    <w:rsid w:val="00E029C3"/>
    <w:rsid w:val="00E029FE"/>
    <w:rsid w:val="00E02A73"/>
    <w:rsid w:val="00E02B8C"/>
    <w:rsid w:val="00E02E07"/>
    <w:rsid w:val="00E02E1B"/>
    <w:rsid w:val="00E03311"/>
    <w:rsid w:val="00E033EF"/>
    <w:rsid w:val="00E0340B"/>
    <w:rsid w:val="00E0353E"/>
    <w:rsid w:val="00E0356D"/>
    <w:rsid w:val="00E035BF"/>
    <w:rsid w:val="00E03618"/>
    <w:rsid w:val="00E03637"/>
    <w:rsid w:val="00E03928"/>
    <w:rsid w:val="00E03BA7"/>
    <w:rsid w:val="00E03C07"/>
    <w:rsid w:val="00E03CCD"/>
    <w:rsid w:val="00E03D08"/>
    <w:rsid w:val="00E03DFF"/>
    <w:rsid w:val="00E03E94"/>
    <w:rsid w:val="00E03F8C"/>
    <w:rsid w:val="00E04073"/>
    <w:rsid w:val="00E0414B"/>
    <w:rsid w:val="00E04253"/>
    <w:rsid w:val="00E04269"/>
    <w:rsid w:val="00E042A1"/>
    <w:rsid w:val="00E043E2"/>
    <w:rsid w:val="00E043F0"/>
    <w:rsid w:val="00E04647"/>
    <w:rsid w:val="00E04902"/>
    <w:rsid w:val="00E049DA"/>
    <w:rsid w:val="00E04BBB"/>
    <w:rsid w:val="00E04CC1"/>
    <w:rsid w:val="00E04D77"/>
    <w:rsid w:val="00E04F5B"/>
    <w:rsid w:val="00E051FC"/>
    <w:rsid w:val="00E0539F"/>
    <w:rsid w:val="00E053C6"/>
    <w:rsid w:val="00E053F3"/>
    <w:rsid w:val="00E059D9"/>
    <w:rsid w:val="00E05B79"/>
    <w:rsid w:val="00E05CB3"/>
    <w:rsid w:val="00E05FBF"/>
    <w:rsid w:val="00E05FD1"/>
    <w:rsid w:val="00E05FF1"/>
    <w:rsid w:val="00E06158"/>
    <w:rsid w:val="00E062A1"/>
    <w:rsid w:val="00E062D6"/>
    <w:rsid w:val="00E063A4"/>
    <w:rsid w:val="00E06797"/>
    <w:rsid w:val="00E0690F"/>
    <w:rsid w:val="00E0693B"/>
    <w:rsid w:val="00E06A05"/>
    <w:rsid w:val="00E06A3E"/>
    <w:rsid w:val="00E06B10"/>
    <w:rsid w:val="00E06B7A"/>
    <w:rsid w:val="00E06DB3"/>
    <w:rsid w:val="00E06FB0"/>
    <w:rsid w:val="00E0721D"/>
    <w:rsid w:val="00E07395"/>
    <w:rsid w:val="00E073F5"/>
    <w:rsid w:val="00E074C6"/>
    <w:rsid w:val="00E07510"/>
    <w:rsid w:val="00E0760F"/>
    <w:rsid w:val="00E07711"/>
    <w:rsid w:val="00E079E8"/>
    <w:rsid w:val="00E07C7F"/>
    <w:rsid w:val="00E07D5E"/>
    <w:rsid w:val="00E07E42"/>
    <w:rsid w:val="00E07E90"/>
    <w:rsid w:val="00E100A5"/>
    <w:rsid w:val="00E1020D"/>
    <w:rsid w:val="00E103BC"/>
    <w:rsid w:val="00E10457"/>
    <w:rsid w:val="00E106AD"/>
    <w:rsid w:val="00E108BF"/>
    <w:rsid w:val="00E10A9E"/>
    <w:rsid w:val="00E10B65"/>
    <w:rsid w:val="00E10B95"/>
    <w:rsid w:val="00E10BED"/>
    <w:rsid w:val="00E1116F"/>
    <w:rsid w:val="00E112A9"/>
    <w:rsid w:val="00E11845"/>
    <w:rsid w:val="00E119A4"/>
    <w:rsid w:val="00E11A3F"/>
    <w:rsid w:val="00E11CA2"/>
    <w:rsid w:val="00E11F09"/>
    <w:rsid w:val="00E1212A"/>
    <w:rsid w:val="00E12133"/>
    <w:rsid w:val="00E1228D"/>
    <w:rsid w:val="00E122B4"/>
    <w:rsid w:val="00E124D2"/>
    <w:rsid w:val="00E12506"/>
    <w:rsid w:val="00E1265A"/>
    <w:rsid w:val="00E126EF"/>
    <w:rsid w:val="00E12749"/>
    <w:rsid w:val="00E12B9F"/>
    <w:rsid w:val="00E12BD5"/>
    <w:rsid w:val="00E12C7C"/>
    <w:rsid w:val="00E12CE6"/>
    <w:rsid w:val="00E130E2"/>
    <w:rsid w:val="00E132BE"/>
    <w:rsid w:val="00E1335A"/>
    <w:rsid w:val="00E13566"/>
    <w:rsid w:val="00E137CD"/>
    <w:rsid w:val="00E138A5"/>
    <w:rsid w:val="00E1398C"/>
    <w:rsid w:val="00E140B9"/>
    <w:rsid w:val="00E1417D"/>
    <w:rsid w:val="00E1419A"/>
    <w:rsid w:val="00E141CC"/>
    <w:rsid w:val="00E1422F"/>
    <w:rsid w:val="00E143BA"/>
    <w:rsid w:val="00E14480"/>
    <w:rsid w:val="00E14531"/>
    <w:rsid w:val="00E14631"/>
    <w:rsid w:val="00E147F4"/>
    <w:rsid w:val="00E14843"/>
    <w:rsid w:val="00E14AD8"/>
    <w:rsid w:val="00E14C3A"/>
    <w:rsid w:val="00E14DCD"/>
    <w:rsid w:val="00E14F0F"/>
    <w:rsid w:val="00E1504F"/>
    <w:rsid w:val="00E150F1"/>
    <w:rsid w:val="00E15158"/>
    <w:rsid w:val="00E151A0"/>
    <w:rsid w:val="00E151F1"/>
    <w:rsid w:val="00E1533E"/>
    <w:rsid w:val="00E155C7"/>
    <w:rsid w:val="00E15603"/>
    <w:rsid w:val="00E1562E"/>
    <w:rsid w:val="00E15724"/>
    <w:rsid w:val="00E15821"/>
    <w:rsid w:val="00E1584E"/>
    <w:rsid w:val="00E15950"/>
    <w:rsid w:val="00E1597C"/>
    <w:rsid w:val="00E159C2"/>
    <w:rsid w:val="00E159F2"/>
    <w:rsid w:val="00E15C80"/>
    <w:rsid w:val="00E15CE7"/>
    <w:rsid w:val="00E15EA2"/>
    <w:rsid w:val="00E15F32"/>
    <w:rsid w:val="00E15FEB"/>
    <w:rsid w:val="00E161CE"/>
    <w:rsid w:val="00E166B9"/>
    <w:rsid w:val="00E166D7"/>
    <w:rsid w:val="00E16732"/>
    <w:rsid w:val="00E169D0"/>
    <w:rsid w:val="00E16C16"/>
    <w:rsid w:val="00E16F43"/>
    <w:rsid w:val="00E170ED"/>
    <w:rsid w:val="00E1719A"/>
    <w:rsid w:val="00E173DA"/>
    <w:rsid w:val="00E1744E"/>
    <w:rsid w:val="00E17BA9"/>
    <w:rsid w:val="00E17D5F"/>
    <w:rsid w:val="00E17DE1"/>
    <w:rsid w:val="00E20158"/>
    <w:rsid w:val="00E201F8"/>
    <w:rsid w:val="00E20755"/>
    <w:rsid w:val="00E20A73"/>
    <w:rsid w:val="00E20D32"/>
    <w:rsid w:val="00E20DC3"/>
    <w:rsid w:val="00E20FD8"/>
    <w:rsid w:val="00E2109E"/>
    <w:rsid w:val="00E211AC"/>
    <w:rsid w:val="00E211C2"/>
    <w:rsid w:val="00E2124D"/>
    <w:rsid w:val="00E212A9"/>
    <w:rsid w:val="00E21341"/>
    <w:rsid w:val="00E21380"/>
    <w:rsid w:val="00E2143C"/>
    <w:rsid w:val="00E21567"/>
    <w:rsid w:val="00E215B2"/>
    <w:rsid w:val="00E217D8"/>
    <w:rsid w:val="00E217F2"/>
    <w:rsid w:val="00E21910"/>
    <w:rsid w:val="00E2194C"/>
    <w:rsid w:val="00E21B6C"/>
    <w:rsid w:val="00E21B86"/>
    <w:rsid w:val="00E21BAD"/>
    <w:rsid w:val="00E21BFF"/>
    <w:rsid w:val="00E21E90"/>
    <w:rsid w:val="00E21EB0"/>
    <w:rsid w:val="00E21F32"/>
    <w:rsid w:val="00E22082"/>
    <w:rsid w:val="00E220E4"/>
    <w:rsid w:val="00E220FA"/>
    <w:rsid w:val="00E22264"/>
    <w:rsid w:val="00E224A4"/>
    <w:rsid w:val="00E224FB"/>
    <w:rsid w:val="00E22545"/>
    <w:rsid w:val="00E2293D"/>
    <w:rsid w:val="00E22A8F"/>
    <w:rsid w:val="00E22B61"/>
    <w:rsid w:val="00E22BA8"/>
    <w:rsid w:val="00E22EB9"/>
    <w:rsid w:val="00E22EBE"/>
    <w:rsid w:val="00E230F6"/>
    <w:rsid w:val="00E2326C"/>
    <w:rsid w:val="00E2353C"/>
    <w:rsid w:val="00E235A2"/>
    <w:rsid w:val="00E236D2"/>
    <w:rsid w:val="00E2372C"/>
    <w:rsid w:val="00E23C40"/>
    <w:rsid w:val="00E23D7A"/>
    <w:rsid w:val="00E24118"/>
    <w:rsid w:val="00E24164"/>
    <w:rsid w:val="00E24274"/>
    <w:rsid w:val="00E24319"/>
    <w:rsid w:val="00E24403"/>
    <w:rsid w:val="00E244A5"/>
    <w:rsid w:val="00E2469D"/>
    <w:rsid w:val="00E249ED"/>
    <w:rsid w:val="00E249F7"/>
    <w:rsid w:val="00E24A76"/>
    <w:rsid w:val="00E24BA9"/>
    <w:rsid w:val="00E24CD3"/>
    <w:rsid w:val="00E24FFA"/>
    <w:rsid w:val="00E2508C"/>
    <w:rsid w:val="00E25099"/>
    <w:rsid w:val="00E250A3"/>
    <w:rsid w:val="00E250EC"/>
    <w:rsid w:val="00E25123"/>
    <w:rsid w:val="00E25194"/>
    <w:rsid w:val="00E25309"/>
    <w:rsid w:val="00E253E4"/>
    <w:rsid w:val="00E2545C"/>
    <w:rsid w:val="00E25549"/>
    <w:rsid w:val="00E255C5"/>
    <w:rsid w:val="00E257A5"/>
    <w:rsid w:val="00E257B0"/>
    <w:rsid w:val="00E25910"/>
    <w:rsid w:val="00E25976"/>
    <w:rsid w:val="00E259BF"/>
    <w:rsid w:val="00E259CC"/>
    <w:rsid w:val="00E25A04"/>
    <w:rsid w:val="00E25A15"/>
    <w:rsid w:val="00E25B2B"/>
    <w:rsid w:val="00E25D4F"/>
    <w:rsid w:val="00E25EA4"/>
    <w:rsid w:val="00E25F27"/>
    <w:rsid w:val="00E2612A"/>
    <w:rsid w:val="00E261A6"/>
    <w:rsid w:val="00E2621B"/>
    <w:rsid w:val="00E26477"/>
    <w:rsid w:val="00E268BA"/>
    <w:rsid w:val="00E26A4D"/>
    <w:rsid w:val="00E26AAD"/>
    <w:rsid w:val="00E26FCF"/>
    <w:rsid w:val="00E27007"/>
    <w:rsid w:val="00E2708F"/>
    <w:rsid w:val="00E270E6"/>
    <w:rsid w:val="00E27131"/>
    <w:rsid w:val="00E2717C"/>
    <w:rsid w:val="00E27189"/>
    <w:rsid w:val="00E27199"/>
    <w:rsid w:val="00E272B7"/>
    <w:rsid w:val="00E27394"/>
    <w:rsid w:val="00E273EB"/>
    <w:rsid w:val="00E27538"/>
    <w:rsid w:val="00E277D4"/>
    <w:rsid w:val="00E2789F"/>
    <w:rsid w:val="00E2794D"/>
    <w:rsid w:val="00E27B9C"/>
    <w:rsid w:val="00E27D34"/>
    <w:rsid w:val="00E27ED6"/>
    <w:rsid w:val="00E27F02"/>
    <w:rsid w:val="00E27F0F"/>
    <w:rsid w:val="00E27F53"/>
    <w:rsid w:val="00E27FD9"/>
    <w:rsid w:val="00E3015E"/>
    <w:rsid w:val="00E302EF"/>
    <w:rsid w:val="00E30508"/>
    <w:rsid w:val="00E3051C"/>
    <w:rsid w:val="00E3055B"/>
    <w:rsid w:val="00E3070C"/>
    <w:rsid w:val="00E307F6"/>
    <w:rsid w:val="00E3081A"/>
    <w:rsid w:val="00E30833"/>
    <w:rsid w:val="00E30BFA"/>
    <w:rsid w:val="00E30C5F"/>
    <w:rsid w:val="00E30CF1"/>
    <w:rsid w:val="00E30E46"/>
    <w:rsid w:val="00E30EC9"/>
    <w:rsid w:val="00E30EDF"/>
    <w:rsid w:val="00E31058"/>
    <w:rsid w:val="00E3114B"/>
    <w:rsid w:val="00E31586"/>
    <w:rsid w:val="00E3158F"/>
    <w:rsid w:val="00E3188D"/>
    <w:rsid w:val="00E318C8"/>
    <w:rsid w:val="00E31A37"/>
    <w:rsid w:val="00E31AAA"/>
    <w:rsid w:val="00E31AC6"/>
    <w:rsid w:val="00E31B78"/>
    <w:rsid w:val="00E31BA5"/>
    <w:rsid w:val="00E31E28"/>
    <w:rsid w:val="00E31FDC"/>
    <w:rsid w:val="00E3203B"/>
    <w:rsid w:val="00E32207"/>
    <w:rsid w:val="00E32230"/>
    <w:rsid w:val="00E322E7"/>
    <w:rsid w:val="00E32354"/>
    <w:rsid w:val="00E323FF"/>
    <w:rsid w:val="00E32419"/>
    <w:rsid w:val="00E32582"/>
    <w:rsid w:val="00E326A7"/>
    <w:rsid w:val="00E326D4"/>
    <w:rsid w:val="00E327F6"/>
    <w:rsid w:val="00E329F2"/>
    <w:rsid w:val="00E32B80"/>
    <w:rsid w:val="00E32D5A"/>
    <w:rsid w:val="00E32E8D"/>
    <w:rsid w:val="00E33378"/>
    <w:rsid w:val="00E3343D"/>
    <w:rsid w:val="00E3370F"/>
    <w:rsid w:val="00E33723"/>
    <w:rsid w:val="00E33971"/>
    <w:rsid w:val="00E33BCD"/>
    <w:rsid w:val="00E33E68"/>
    <w:rsid w:val="00E33E8F"/>
    <w:rsid w:val="00E33F5E"/>
    <w:rsid w:val="00E33F92"/>
    <w:rsid w:val="00E340D8"/>
    <w:rsid w:val="00E34184"/>
    <w:rsid w:val="00E3425C"/>
    <w:rsid w:val="00E342A4"/>
    <w:rsid w:val="00E3434F"/>
    <w:rsid w:val="00E343BE"/>
    <w:rsid w:val="00E34597"/>
    <w:rsid w:val="00E3470A"/>
    <w:rsid w:val="00E34724"/>
    <w:rsid w:val="00E348AF"/>
    <w:rsid w:val="00E3492F"/>
    <w:rsid w:val="00E34C81"/>
    <w:rsid w:val="00E34EC9"/>
    <w:rsid w:val="00E34ECE"/>
    <w:rsid w:val="00E34EDE"/>
    <w:rsid w:val="00E35082"/>
    <w:rsid w:val="00E35124"/>
    <w:rsid w:val="00E351F5"/>
    <w:rsid w:val="00E3535C"/>
    <w:rsid w:val="00E35571"/>
    <w:rsid w:val="00E3557A"/>
    <w:rsid w:val="00E355FA"/>
    <w:rsid w:val="00E3578F"/>
    <w:rsid w:val="00E35864"/>
    <w:rsid w:val="00E358FC"/>
    <w:rsid w:val="00E35924"/>
    <w:rsid w:val="00E35944"/>
    <w:rsid w:val="00E35A84"/>
    <w:rsid w:val="00E35B50"/>
    <w:rsid w:val="00E35B9F"/>
    <w:rsid w:val="00E35C11"/>
    <w:rsid w:val="00E35DB4"/>
    <w:rsid w:val="00E35DC0"/>
    <w:rsid w:val="00E36112"/>
    <w:rsid w:val="00E36225"/>
    <w:rsid w:val="00E36287"/>
    <w:rsid w:val="00E363D9"/>
    <w:rsid w:val="00E3641E"/>
    <w:rsid w:val="00E36420"/>
    <w:rsid w:val="00E36433"/>
    <w:rsid w:val="00E36557"/>
    <w:rsid w:val="00E366A2"/>
    <w:rsid w:val="00E36711"/>
    <w:rsid w:val="00E367C0"/>
    <w:rsid w:val="00E36C0F"/>
    <w:rsid w:val="00E36C68"/>
    <w:rsid w:val="00E36C74"/>
    <w:rsid w:val="00E36CDF"/>
    <w:rsid w:val="00E36E1B"/>
    <w:rsid w:val="00E36ED2"/>
    <w:rsid w:val="00E36F6A"/>
    <w:rsid w:val="00E36FA4"/>
    <w:rsid w:val="00E36FC3"/>
    <w:rsid w:val="00E37054"/>
    <w:rsid w:val="00E373C5"/>
    <w:rsid w:val="00E374CC"/>
    <w:rsid w:val="00E374DD"/>
    <w:rsid w:val="00E374E7"/>
    <w:rsid w:val="00E374E8"/>
    <w:rsid w:val="00E374EC"/>
    <w:rsid w:val="00E374FD"/>
    <w:rsid w:val="00E37540"/>
    <w:rsid w:val="00E37680"/>
    <w:rsid w:val="00E377A2"/>
    <w:rsid w:val="00E37A67"/>
    <w:rsid w:val="00E37A95"/>
    <w:rsid w:val="00E37CAD"/>
    <w:rsid w:val="00E37CE9"/>
    <w:rsid w:val="00E40009"/>
    <w:rsid w:val="00E40280"/>
    <w:rsid w:val="00E402D6"/>
    <w:rsid w:val="00E402EF"/>
    <w:rsid w:val="00E4071B"/>
    <w:rsid w:val="00E4074C"/>
    <w:rsid w:val="00E40986"/>
    <w:rsid w:val="00E40ADA"/>
    <w:rsid w:val="00E40D30"/>
    <w:rsid w:val="00E40D5F"/>
    <w:rsid w:val="00E40FD7"/>
    <w:rsid w:val="00E4113E"/>
    <w:rsid w:val="00E412B2"/>
    <w:rsid w:val="00E41523"/>
    <w:rsid w:val="00E416E8"/>
    <w:rsid w:val="00E4180C"/>
    <w:rsid w:val="00E41851"/>
    <w:rsid w:val="00E418F1"/>
    <w:rsid w:val="00E4196E"/>
    <w:rsid w:val="00E41995"/>
    <w:rsid w:val="00E41AFD"/>
    <w:rsid w:val="00E41B20"/>
    <w:rsid w:val="00E41BD7"/>
    <w:rsid w:val="00E41CE9"/>
    <w:rsid w:val="00E422F0"/>
    <w:rsid w:val="00E42357"/>
    <w:rsid w:val="00E4240B"/>
    <w:rsid w:val="00E425C1"/>
    <w:rsid w:val="00E4261C"/>
    <w:rsid w:val="00E42700"/>
    <w:rsid w:val="00E42848"/>
    <w:rsid w:val="00E4284B"/>
    <w:rsid w:val="00E428E8"/>
    <w:rsid w:val="00E4294E"/>
    <w:rsid w:val="00E42B08"/>
    <w:rsid w:val="00E42B0D"/>
    <w:rsid w:val="00E42BAD"/>
    <w:rsid w:val="00E42DC7"/>
    <w:rsid w:val="00E42DE1"/>
    <w:rsid w:val="00E42FB4"/>
    <w:rsid w:val="00E43048"/>
    <w:rsid w:val="00E4317F"/>
    <w:rsid w:val="00E431FA"/>
    <w:rsid w:val="00E43398"/>
    <w:rsid w:val="00E4363E"/>
    <w:rsid w:val="00E43686"/>
    <w:rsid w:val="00E43742"/>
    <w:rsid w:val="00E43AA1"/>
    <w:rsid w:val="00E43C1D"/>
    <w:rsid w:val="00E43C2C"/>
    <w:rsid w:val="00E43CEC"/>
    <w:rsid w:val="00E43D43"/>
    <w:rsid w:val="00E43D64"/>
    <w:rsid w:val="00E43DF4"/>
    <w:rsid w:val="00E43F4A"/>
    <w:rsid w:val="00E44304"/>
    <w:rsid w:val="00E44AB2"/>
    <w:rsid w:val="00E44BEF"/>
    <w:rsid w:val="00E44C5B"/>
    <w:rsid w:val="00E44D70"/>
    <w:rsid w:val="00E44F01"/>
    <w:rsid w:val="00E44FFA"/>
    <w:rsid w:val="00E453AB"/>
    <w:rsid w:val="00E45576"/>
    <w:rsid w:val="00E455A0"/>
    <w:rsid w:val="00E4571D"/>
    <w:rsid w:val="00E457B9"/>
    <w:rsid w:val="00E458C1"/>
    <w:rsid w:val="00E45B4D"/>
    <w:rsid w:val="00E45EC7"/>
    <w:rsid w:val="00E461EE"/>
    <w:rsid w:val="00E46216"/>
    <w:rsid w:val="00E46396"/>
    <w:rsid w:val="00E464D0"/>
    <w:rsid w:val="00E46649"/>
    <w:rsid w:val="00E46689"/>
    <w:rsid w:val="00E467D2"/>
    <w:rsid w:val="00E4683A"/>
    <w:rsid w:val="00E4683D"/>
    <w:rsid w:val="00E46840"/>
    <w:rsid w:val="00E468A0"/>
    <w:rsid w:val="00E468E4"/>
    <w:rsid w:val="00E469CB"/>
    <w:rsid w:val="00E46B4D"/>
    <w:rsid w:val="00E46C47"/>
    <w:rsid w:val="00E46DC2"/>
    <w:rsid w:val="00E46F6F"/>
    <w:rsid w:val="00E4716E"/>
    <w:rsid w:val="00E47303"/>
    <w:rsid w:val="00E47368"/>
    <w:rsid w:val="00E473B3"/>
    <w:rsid w:val="00E4743B"/>
    <w:rsid w:val="00E47524"/>
    <w:rsid w:val="00E475CF"/>
    <w:rsid w:val="00E4798D"/>
    <w:rsid w:val="00E47A5B"/>
    <w:rsid w:val="00E47BDC"/>
    <w:rsid w:val="00E47C16"/>
    <w:rsid w:val="00E47C80"/>
    <w:rsid w:val="00E47ECA"/>
    <w:rsid w:val="00E47ED6"/>
    <w:rsid w:val="00E501EA"/>
    <w:rsid w:val="00E50253"/>
    <w:rsid w:val="00E502CD"/>
    <w:rsid w:val="00E502EF"/>
    <w:rsid w:val="00E5047B"/>
    <w:rsid w:val="00E50696"/>
    <w:rsid w:val="00E5078A"/>
    <w:rsid w:val="00E507E4"/>
    <w:rsid w:val="00E5095D"/>
    <w:rsid w:val="00E50995"/>
    <w:rsid w:val="00E50CA9"/>
    <w:rsid w:val="00E50EA6"/>
    <w:rsid w:val="00E5108E"/>
    <w:rsid w:val="00E51113"/>
    <w:rsid w:val="00E51122"/>
    <w:rsid w:val="00E51348"/>
    <w:rsid w:val="00E51521"/>
    <w:rsid w:val="00E51622"/>
    <w:rsid w:val="00E5163B"/>
    <w:rsid w:val="00E5164E"/>
    <w:rsid w:val="00E516E2"/>
    <w:rsid w:val="00E518D9"/>
    <w:rsid w:val="00E51A0F"/>
    <w:rsid w:val="00E51AA7"/>
    <w:rsid w:val="00E51AE5"/>
    <w:rsid w:val="00E51DFE"/>
    <w:rsid w:val="00E51E0D"/>
    <w:rsid w:val="00E51E1F"/>
    <w:rsid w:val="00E51E76"/>
    <w:rsid w:val="00E51EA5"/>
    <w:rsid w:val="00E520D7"/>
    <w:rsid w:val="00E52340"/>
    <w:rsid w:val="00E526E4"/>
    <w:rsid w:val="00E52B40"/>
    <w:rsid w:val="00E52BE1"/>
    <w:rsid w:val="00E52BF5"/>
    <w:rsid w:val="00E52CBF"/>
    <w:rsid w:val="00E52D17"/>
    <w:rsid w:val="00E52FA5"/>
    <w:rsid w:val="00E533DC"/>
    <w:rsid w:val="00E533EA"/>
    <w:rsid w:val="00E535F7"/>
    <w:rsid w:val="00E53784"/>
    <w:rsid w:val="00E53816"/>
    <w:rsid w:val="00E53A16"/>
    <w:rsid w:val="00E53A8C"/>
    <w:rsid w:val="00E53B40"/>
    <w:rsid w:val="00E53D3F"/>
    <w:rsid w:val="00E53D9B"/>
    <w:rsid w:val="00E53DA2"/>
    <w:rsid w:val="00E53DD4"/>
    <w:rsid w:val="00E53FAC"/>
    <w:rsid w:val="00E54104"/>
    <w:rsid w:val="00E54422"/>
    <w:rsid w:val="00E54432"/>
    <w:rsid w:val="00E545E8"/>
    <w:rsid w:val="00E5486C"/>
    <w:rsid w:val="00E54A11"/>
    <w:rsid w:val="00E54AD7"/>
    <w:rsid w:val="00E54AE9"/>
    <w:rsid w:val="00E54B05"/>
    <w:rsid w:val="00E54D02"/>
    <w:rsid w:val="00E54DD0"/>
    <w:rsid w:val="00E54E36"/>
    <w:rsid w:val="00E54E3B"/>
    <w:rsid w:val="00E54E7A"/>
    <w:rsid w:val="00E54FD0"/>
    <w:rsid w:val="00E55317"/>
    <w:rsid w:val="00E553AE"/>
    <w:rsid w:val="00E55674"/>
    <w:rsid w:val="00E556E6"/>
    <w:rsid w:val="00E558DB"/>
    <w:rsid w:val="00E558FD"/>
    <w:rsid w:val="00E559D3"/>
    <w:rsid w:val="00E55B16"/>
    <w:rsid w:val="00E55C93"/>
    <w:rsid w:val="00E55D86"/>
    <w:rsid w:val="00E55E80"/>
    <w:rsid w:val="00E561CC"/>
    <w:rsid w:val="00E561F3"/>
    <w:rsid w:val="00E56251"/>
    <w:rsid w:val="00E5674D"/>
    <w:rsid w:val="00E56850"/>
    <w:rsid w:val="00E56981"/>
    <w:rsid w:val="00E56A3A"/>
    <w:rsid w:val="00E56C25"/>
    <w:rsid w:val="00E56E0E"/>
    <w:rsid w:val="00E571E0"/>
    <w:rsid w:val="00E57291"/>
    <w:rsid w:val="00E572F4"/>
    <w:rsid w:val="00E573D5"/>
    <w:rsid w:val="00E57596"/>
    <w:rsid w:val="00E5760B"/>
    <w:rsid w:val="00E5763C"/>
    <w:rsid w:val="00E5772C"/>
    <w:rsid w:val="00E5785E"/>
    <w:rsid w:val="00E57A73"/>
    <w:rsid w:val="00E57B6E"/>
    <w:rsid w:val="00E57D6B"/>
    <w:rsid w:val="00E57DAE"/>
    <w:rsid w:val="00E6017D"/>
    <w:rsid w:val="00E6044D"/>
    <w:rsid w:val="00E6051C"/>
    <w:rsid w:val="00E60819"/>
    <w:rsid w:val="00E60996"/>
    <w:rsid w:val="00E60AC7"/>
    <w:rsid w:val="00E60AF0"/>
    <w:rsid w:val="00E60B5F"/>
    <w:rsid w:val="00E60C7A"/>
    <w:rsid w:val="00E60C80"/>
    <w:rsid w:val="00E60D1B"/>
    <w:rsid w:val="00E60D3C"/>
    <w:rsid w:val="00E60D69"/>
    <w:rsid w:val="00E60DC5"/>
    <w:rsid w:val="00E60F1C"/>
    <w:rsid w:val="00E61095"/>
    <w:rsid w:val="00E61427"/>
    <w:rsid w:val="00E6152B"/>
    <w:rsid w:val="00E61753"/>
    <w:rsid w:val="00E61894"/>
    <w:rsid w:val="00E61A88"/>
    <w:rsid w:val="00E61ADF"/>
    <w:rsid w:val="00E61B23"/>
    <w:rsid w:val="00E61DDF"/>
    <w:rsid w:val="00E61F20"/>
    <w:rsid w:val="00E62093"/>
    <w:rsid w:val="00E621C8"/>
    <w:rsid w:val="00E62345"/>
    <w:rsid w:val="00E624CD"/>
    <w:rsid w:val="00E62523"/>
    <w:rsid w:val="00E627B7"/>
    <w:rsid w:val="00E62868"/>
    <w:rsid w:val="00E62B52"/>
    <w:rsid w:val="00E62BE1"/>
    <w:rsid w:val="00E62CB8"/>
    <w:rsid w:val="00E62E20"/>
    <w:rsid w:val="00E62E61"/>
    <w:rsid w:val="00E62E8F"/>
    <w:rsid w:val="00E6303C"/>
    <w:rsid w:val="00E63043"/>
    <w:rsid w:val="00E63067"/>
    <w:rsid w:val="00E6308F"/>
    <w:rsid w:val="00E63154"/>
    <w:rsid w:val="00E63167"/>
    <w:rsid w:val="00E632B2"/>
    <w:rsid w:val="00E635BB"/>
    <w:rsid w:val="00E635FF"/>
    <w:rsid w:val="00E63627"/>
    <w:rsid w:val="00E6382A"/>
    <w:rsid w:val="00E63852"/>
    <w:rsid w:val="00E638A2"/>
    <w:rsid w:val="00E63B12"/>
    <w:rsid w:val="00E63B9D"/>
    <w:rsid w:val="00E63CBD"/>
    <w:rsid w:val="00E64377"/>
    <w:rsid w:val="00E644B9"/>
    <w:rsid w:val="00E64656"/>
    <w:rsid w:val="00E64726"/>
    <w:rsid w:val="00E648FA"/>
    <w:rsid w:val="00E64B70"/>
    <w:rsid w:val="00E64BEB"/>
    <w:rsid w:val="00E64D87"/>
    <w:rsid w:val="00E64DE9"/>
    <w:rsid w:val="00E64E17"/>
    <w:rsid w:val="00E64E21"/>
    <w:rsid w:val="00E64EE2"/>
    <w:rsid w:val="00E64F57"/>
    <w:rsid w:val="00E650CD"/>
    <w:rsid w:val="00E6512B"/>
    <w:rsid w:val="00E6513A"/>
    <w:rsid w:val="00E65360"/>
    <w:rsid w:val="00E653A7"/>
    <w:rsid w:val="00E6569C"/>
    <w:rsid w:val="00E65915"/>
    <w:rsid w:val="00E659B1"/>
    <w:rsid w:val="00E659CD"/>
    <w:rsid w:val="00E65B83"/>
    <w:rsid w:val="00E65BEB"/>
    <w:rsid w:val="00E65E46"/>
    <w:rsid w:val="00E660C6"/>
    <w:rsid w:val="00E661D2"/>
    <w:rsid w:val="00E6639D"/>
    <w:rsid w:val="00E66553"/>
    <w:rsid w:val="00E6669C"/>
    <w:rsid w:val="00E666BE"/>
    <w:rsid w:val="00E66878"/>
    <w:rsid w:val="00E668D4"/>
    <w:rsid w:val="00E66920"/>
    <w:rsid w:val="00E66B37"/>
    <w:rsid w:val="00E66DAF"/>
    <w:rsid w:val="00E66E2A"/>
    <w:rsid w:val="00E66E5D"/>
    <w:rsid w:val="00E67038"/>
    <w:rsid w:val="00E67105"/>
    <w:rsid w:val="00E671AC"/>
    <w:rsid w:val="00E6733B"/>
    <w:rsid w:val="00E6734A"/>
    <w:rsid w:val="00E6739E"/>
    <w:rsid w:val="00E675C7"/>
    <w:rsid w:val="00E6768E"/>
    <w:rsid w:val="00E6789E"/>
    <w:rsid w:val="00E67971"/>
    <w:rsid w:val="00E67A68"/>
    <w:rsid w:val="00E67B83"/>
    <w:rsid w:val="00E67D94"/>
    <w:rsid w:val="00E67DD7"/>
    <w:rsid w:val="00E67E10"/>
    <w:rsid w:val="00E67F1C"/>
    <w:rsid w:val="00E67F28"/>
    <w:rsid w:val="00E67FB0"/>
    <w:rsid w:val="00E700AE"/>
    <w:rsid w:val="00E701FC"/>
    <w:rsid w:val="00E703D3"/>
    <w:rsid w:val="00E70488"/>
    <w:rsid w:val="00E704F6"/>
    <w:rsid w:val="00E7056E"/>
    <w:rsid w:val="00E706A2"/>
    <w:rsid w:val="00E70A5A"/>
    <w:rsid w:val="00E70AEF"/>
    <w:rsid w:val="00E70F4D"/>
    <w:rsid w:val="00E71136"/>
    <w:rsid w:val="00E71286"/>
    <w:rsid w:val="00E7132D"/>
    <w:rsid w:val="00E71506"/>
    <w:rsid w:val="00E715B3"/>
    <w:rsid w:val="00E71803"/>
    <w:rsid w:val="00E71C02"/>
    <w:rsid w:val="00E71CB6"/>
    <w:rsid w:val="00E71DDD"/>
    <w:rsid w:val="00E71E77"/>
    <w:rsid w:val="00E72079"/>
    <w:rsid w:val="00E722B8"/>
    <w:rsid w:val="00E72370"/>
    <w:rsid w:val="00E7239B"/>
    <w:rsid w:val="00E72583"/>
    <w:rsid w:val="00E72820"/>
    <w:rsid w:val="00E72BC3"/>
    <w:rsid w:val="00E72D0E"/>
    <w:rsid w:val="00E72EB2"/>
    <w:rsid w:val="00E72F87"/>
    <w:rsid w:val="00E731E3"/>
    <w:rsid w:val="00E733BE"/>
    <w:rsid w:val="00E73442"/>
    <w:rsid w:val="00E73529"/>
    <w:rsid w:val="00E7354B"/>
    <w:rsid w:val="00E73710"/>
    <w:rsid w:val="00E73B66"/>
    <w:rsid w:val="00E73C8C"/>
    <w:rsid w:val="00E73DA0"/>
    <w:rsid w:val="00E73DFD"/>
    <w:rsid w:val="00E73FEA"/>
    <w:rsid w:val="00E74004"/>
    <w:rsid w:val="00E74026"/>
    <w:rsid w:val="00E740D0"/>
    <w:rsid w:val="00E7421E"/>
    <w:rsid w:val="00E74289"/>
    <w:rsid w:val="00E7438E"/>
    <w:rsid w:val="00E7446A"/>
    <w:rsid w:val="00E744CF"/>
    <w:rsid w:val="00E74573"/>
    <w:rsid w:val="00E74608"/>
    <w:rsid w:val="00E74616"/>
    <w:rsid w:val="00E746F5"/>
    <w:rsid w:val="00E74829"/>
    <w:rsid w:val="00E74A4E"/>
    <w:rsid w:val="00E74AA0"/>
    <w:rsid w:val="00E74D15"/>
    <w:rsid w:val="00E74D89"/>
    <w:rsid w:val="00E74E72"/>
    <w:rsid w:val="00E74FEC"/>
    <w:rsid w:val="00E7506E"/>
    <w:rsid w:val="00E75126"/>
    <w:rsid w:val="00E7512B"/>
    <w:rsid w:val="00E751A6"/>
    <w:rsid w:val="00E75201"/>
    <w:rsid w:val="00E7537F"/>
    <w:rsid w:val="00E75564"/>
    <w:rsid w:val="00E7563A"/>
    <w:rsid w:val="00E75814"/>
    <w:rsid w:val="00E7594C"/>
    <w:rsid w:val="00E75A5D"/>
    <w:rsid w:val="00E75AAC"/>
    <w:rsid w:val="00E75EC8"/>
    <w:rsid w:val="00E7639C"/>
    <w:rsid w:val="00E7643F"/>
    <w:rsid w:val="00E764D8"/>
    <w:rsid w:val="00E7654D"/>
    <w:rsid w:val="00E76594"/>
    <w:rsid w:val="00E7665B"/>
    <w:rsid w:val="00E767F2"/>
    <w:rsid w:val="00E769D0"/>
    <w:rsid w:val="00E769D5"/>
    <w:rsid w:val="00E76BBA"/>
    <w:rsid w:val="00E76C0F"/>
    <w:rsid w:val="00E76D45"/>
    <w:rsid w:val="00E76D80"/>
    <w:rsid w:val="00E770DF"/>
    <w:rsid w:val="00E77172"/>
    <w:rsid w:val="00E7739B"/>
    <w:rsid w:val="00E774B2"/>
    <w:rsid w:val="00E774CE"/>
    <w:rsid w:val="00E776C8"/>
    <w:rsid w:val="00E77948"/>
    <w:rsid w:val="00E77981"/>
    <w:rsid w:val="00E77985"/>
    <w:rsid w:val="00E779A6"/>
    <w:rsid w:val="00E77A10"/>
    <w:rsid w:val="00E77A4F"/>
    <w:rsid w:val="00E77CA9"/>
    <w:rsid w:val="00E77DB7"/>
    <w:rsid w:val="00E77E61"/>
    <w:rsid w:val="00E77E9C"/>
    <w:rsid w:val="00E77EE7"/>
    <w:rsid w:val="00E8023C"/>
    <w:rsid w:val="00E802D1"/>
    <w:rsid w:val="00E8030D"/>
    <w:rsid w:val="00E80355"/>
    <w:rsid w:val="00E80554"/>
    <w:rsid w:val="00E8066A"/>
    <w:rsid w:val="00E80BCD"/>
    <w:rsid w:val="00E80C42"/>
    <w:rsid w:val="00E80C97"/>
    <w:rsid w:val="00E80E70"/>
    <w:rsid w:val="00E80E7C"/>
    <w:rsid w:val="00E80F6D"/>
    <w:rsid w:val="00E81014"/>
    <w:rsid w:val="00E8102A"/>
    <w:rsid w:val="00E81058"/>
    <w:rsid w:val="00E81638"/>
    <w:rsid w:val="00E8168D"/>
    <w:rsid w:val="00E8170D"/>
    <w:rsid w:val="00E81935"/>
    <w:rsid w:val="00E81C55"/>
    <w:rsid w:val="00E822CF"/>
    <w:rsid w:val="00E82353"/>
    <w:rsid w:val="00E824A7"/>
    <w:rsid w:val="00E826B3"/>
    <w:rsid w:val="00E82708"/>
    <w:rsid w:val="00E8271B"/>
    <w:rsid w:val="00E82730"/>
    <w:rsid w:val="00E82741"/>
    <w:rsid w:val="00E8298F"/>
    <w:rsid w:val="00E82B0B"/>
    <w:rsid w:val="00E82B46"/>
    <w:rsid w:val="00E82C37"/>
    <w:rsid w:val="00E82C60"/>
    <w:rsid w:val="00E82C98"/>
    <w:rsid w:val="00E82D9B"/>
    <w:rsid w:val="00E82DD0"/>
    <w:rsid w:val="00E82EBB"/>
    <w:rsid w:val="00E82F0A"/>
    <w:rsid w:val="00E82F67"/>
    <w:rsid w:val="00E82FD1"/>
    <w:rsid w:val="00E8302A"/>
    <w:rsid w:val="00E830A3"/>
    <w:rsid w:val="00E83176"/>
    <w:rsid w:val="00E8318B"/>
    <w:rsid w:val="00E8329D"/>
    <w:rsid w:val="00E8335B"/>
    <w:rsid w:val="00E835C0"/>
    <w:rsid w:val="00E8362A"/>
    <w:rsid w:val="00E83657"/>
    <w:rsid w:val="00E836D5"/>
    <w:rsid w:val="00E8387B"/>
    <w:rsid w:val="00E83B3C"/>
    <w:rsid w:val="00E83B8E"/>
    <w:rsid w:val="00E83CBB"/>
    <w:rsid w:val="00E83CD3"/>
    <w:rsid w:val="00E83D5B"/>
    <w:rsid w:val="00E83DA6"/>
    <w:rsid w:val="00E83E96"/>
    <w:rsid w:val="00E83F37"/>
    <w:rsid w:val="00E83F49"/>
    <w:rsid w:val="00E84515"/>
    <w:rsid w:val="00E84636"/>
    <w:rsid w:val="00E846F3"/>
    <w:rsid w:val="00E847E2"/>
    <w:rsid w:val="00E848A6"/>
    <w:rsid w:val="00E84A29"/>
    <w:rsid w:val="00E84A3B"/>
    <w:rsid w:val="00E84D4D"/>
    <w:rsid w:val="00E84DB4"/>
    <w:rsid w:val="00E84DF5"/>
    <w:rsid w:val="00E84E06"/>
    <w:rsid w:val="00E84E9D"/>
    <w:rsid w:val="00E84EF2"/>
    <w:rsid w:val="00E85030"/>
    <w:rsid w:val="00E85101"/>
    <w:rsid w:val="00E8529D"/>
    <w:rsid w:val="00E853C3"/>
    <w:rsid w:val="00E85416"/>
    <w:rsid w:val="00E8558B"/>
    <w:rsid w:val="00E855BC"/>
    <w:rsid w:val="00E857B4"/>
    <w:rsid w:val="00E857EB"/>
    <w:rsid w:val="00E8587A"/>
    <w:rsid w:val="00E85E61"/>
    <w:rsid w:val="00E86068"/>
    <w:rsid w:val="00E860CD"/>
    <w:rsid w:val="00E86195"/>
    <w:rsid w:val="00E86247"/>
    <w:rsid w:val="00E86267"/>
    <w:rsid w:val="00E862C8"/>
    <w:rsid w:val="00E86349"/>
    <w:rsid w:val="00E864E3"/>
    <w:rsid w:val="00E865D1"/>
    <w:rsid w:val="00E86A98"/>
    <w:rsid w:val="00E86B26"/>
    <w:rsid w:val="00E86D79"/>
    <w:rsid w:val="00E86F39"/>
    <w:rsid w:val="00E87050"/>
    <w:rsid w:val="00E8708D"/>
    <w:rsid w:val="00E870A3"/>
    <w:rsid w:val="00E87113"/>
    <w:rsid w:val="00E87246"/>
    <w:rsid w:val="00E87274"/>
    <w:rsid w:val="00E877DD"/>
    <w:rsid w:val="00E879C9"/>
    <w:rsid w:val="00E87B7E"/>
    <w:rsid w:val="00E87F91"/>
    <w:rsid w:val="00E900FC"/>
    <w:rsid w:val="00E9022E"/>
    <w:rsid w:val="00E90529"/>
    <w:rsid w:val="00E90745"/>
    <w:rsid w:val="00E907C6"/>
    <w:rsid w:val="00E907F2"/>
    <w:rsid w:val="00E90922"/>
    <w:rsid w:val="00E90A1C"/>
    <w:rsid w:val="00E90B4D"/>
    <w:rsid w:val="00E90CB4"/>
    <w:rsid w:val="00E91160"/>
    <w:rsid w:val="00E91202"/>
    <w:rsid w:val="00E912CC"/>
    <w:rsid w:val="00E91356"/>
    <w:rsid w:val="00E913BE"/>
    <w:rsid w:val="00E9149D"/>
    <w:rsid w:val="00E91548"/>
    <w:rsid w:val="00E916A0"/>
    <w:rsid w:val="00E916F3"/>
    <w:rsid w:val="00E917EB"/>
    <w:rsid w:val="00E91864"/>
    <w:rsid w:val="00E91F3D"/>
    <w:rsid w:val="00E91F53"/>
    <w:rsid w:val="00E91FB4"/>
    <w:rsid w:val="00E92070"/>
    <w:rsid w:val="00E9216E"/>
    <w:rsid w:val="00E9225D"/>
    <w:rsid w:val="00E9228A"/>
    <w:rsid w:val="00E92408"/>
    <w:rsid w:val="00E924EB"/>
    <w:rsid w:val="00E925CF"/>
    <w:rsid w:val="00E92B96"/>
    <w:rsid w:val="00E92D20"/>
    <w:rsid w:val="00E92D21"/>
    <w:rsid w:val="00E92E9E"/>
    <w:rsid w:val="00E92FA6"/>
    <w:rsid w:val="00E9306D"/>
    <w:rsid w:val="00E931D9"/>
    <w:rsid w:val="00E93439"/>
    <w:rsid w:val="00E9345E"/>
    <w:rsid w:val="00E93E10"/>
    <w:rsid w:val="00E93F8B"/>
    <w:rsid w:val="00E94151"/>
    <w:rsid w:val="00E94244"/>
    <w:rsid w:val="00E943B5"/>
    <w:rsid w:val="00E945DB"/>
    <w:rsid w:val="00E946F4"/>
    <w:rsid w:val="00E948AF"/>
    <w:rsid w:val="00E948BF"/>
    <w:rsid w:val="00E9490D"/>
    <w:rsid w:val="00E94B83"/>
    <w:rsid w:val="00E94D2D"/>
    <w:rsid w:val="00E94E86"/>
    <w:rsid w:val="00E94EFC"/>
    <w:rsid w:val="00E94F44"/>
    <w:rsid w:val="00E94F5C"/>
    <w:rsid w:val="00E950D9"/>
    <w:rsid w:val="00E95153"/>
    <w:rsid w:val="00E9517B"/>
    <w:rsid w:val="00E951AA"/>
    <w:rsid w:val="00E953EC"/>
    <w:rsid w:val="00E9589D"/>
    <w:rsid w:val="00E959AD"/>
    <w:rsid w:val="00E95AD2"/>
    <w:rsid w:val="00E95DDB"/>
    <w:rsid w:val="00E95E50"/>
    <w:rsid w:val="00E95FB0"/>
    <w:rsid w:val="00E962FE"/>
    <w:rsid w:val="00E96384"/>
    <w:rsid w:val="00E96537"/>
    <w:rsid w:val="00E967A6"/>
    <w:rsid w:val="00E96804"/>
    <w:rsid w:val="00E9683D"/>
    <w:rsid w:val="00E9688F"/>
    <w:rsid w:val="00E96A7D"/>
    <w:rsid w:val="00E96B46"/>
    <w:rsid w:val="00E96B8E"/>
    <w:rsid w:val="00E96DDC"/>
    <w:rsid w:val="00E96FA1"/>
    <w:rsid w:val="00E97093"/>
    <w:rsid w:val="00E971D7"/>
    <w:rsid w:val="00E9720E"/>
    <w:rsid w:val="00E97241"/>
    <w:rsid w:val="00E97269"/>
    <w:rsid w:val="00E97502"/>
    <w:rsid w:val="00E975DA"/>
    <w:rsid w:val="00E97878"/>
    <w:rsid w:val="00E97990"/>
    <w:rsid w:val="00E97CF7"/>
    <w:rsid w:val="00E97D54"/>
    <w:rsid w:val="00E97EFD"/>
    <w:rsid w:val="00E97FE1"/>
    <w:rsid w:val="00EA0112"/>
    <w:rsid w:val="00EA0209"/>
    <w:rsid w:val="00EA0384"/>
    <w:rsid w:val="00EA03BB"/>
    <w:rsid w:val="00EA0504"/>
    <w:rsid w:val="00EA05C9"/>
    <w:rsid w:val="00EA0659"/>
    <w:rsid w:val="00EA06FB"/>
    <w:rsid w:val="00EA0AC3"/>
    <w:rsid w:val="00EA0C2A"/>
    <w:rsid w:val="00EA0DE3"/>
    <w:rsid w:val="00EA0FC0"/>
    <w:rsid w:val="00EA1007"/>
    <w:rsid w:val="00EA17CB"/>
    <w:rsid w:val="00EA17F6"/>
    <w:rsid w:val="00EA1877"/>
    <w:rsid w:val="00EA18DF"/>
    <w:rsid w:val="00EA199C"/>
    <w:rsid w:val="00EA1B14"/>
    <w:rsid w:val="00EA1F4B"/>
    <w:rsid w:val="00EA20DE"/>
    <w:rsid w:val="00EA20E9"/>
    <w:rsid w:val="00EA211B"/>
    <w:rsid w:val="00EA21AC"/>
    <w:rsid w:val="00EA23DE"/>
    <w:rsid w:val="00EA2408"/>
    <w:rsid w:val="00EA25EC"/>
    <w:rsid w:val="00EA261B"/>
    <w:rsid w:val="00EA2742"/>
    <w:rsid w:val="00EA2758"/>
    <w:rsid w:val="00EA2A06"/>
    <w:rsid w:val="00EA2B1D"/>
    <w:rsid w:val="00EA2B9D"/>
    <w:rsid w:val="00EA2C6F"/>
    <w:rsid w:val="00EA2F1D"/>
    <w:rsid w:val="00EA2F90"/>
    <w:rsid w:val="00EA302C"/>
    <w:rsid w:val="00EA3100"/>
    <w:rsid w:val="00EA313D"/>
    <w:rsid w:val="00EA31EA"/>
    <w:rsid w:val="00EA32AA"/>
    <w:rsid w:val="00EA3328"/>
    <w:rsid w:val="00EA33B4"/>
    <w:rsid w:val="00EA33F4"/>
    <w:rsid w:val="00EA34E2"/>
    <w:rsid w:val="00EA350B"/>
    <w:rsid w:val="00EA36E5"/>
    <w:rsid w:val="00EA3734"/>
    <w:rsid w:val="00EA373D"/>
    <w:rsid w:val="00EA3D47"/>
    <w:rsid w:val="00EA3D56"/>
    <w:rsid w:val="00EA3ED9"/>
    <w:rsid w:val="00EA4086"/>
    <w:rsid w:val="00EA450F"/>
    <w:rsid w:val="00EA463F"/>
    <w:rsid w:val="00EA4764"/>
    <w:rsid w:val="00EA47EB"/>
    <w:rsid w:val="00EA48B7"/>
    <w:rsid w:val="00EA490C"/>
    <w:rsid w:val="00EA4A70"/>
    <w:rsid w:val="00EA4DAF"/>
    <w:rsid w:val="00EA4DDB"/>
    <w:rsid w:val="00EA50BF"/>
    <w:rsid w:val="00EA50D3"/>
    <w:rsid w:val="00EA5228"/>
    <w:rsid w:val="00EA547A"/>
    <w:rsid w:val="00EA5561"/>
    <w:rsid w:val="00EA5575"/>
    <w:rsid w:val="00EA56FA"/>
    <w:rsid w:val="00EA57AB"/>
    <w:rsid w:val="00EA57DA"/>
    <w:rsid w:val="00EA59C6"/>
    <w:rsid w:val="00EA5B2A"/>
    <w:rsid w:val="00EA6027"/>
    <w:rsid w:val="00EA624A"/>
    <w:rsid w:val="00EA6254"/>
    <w:rsid w:val="00EA6540"/>
    <w:rsid w:val="00EA6574"/>
    <w:rsid w:val="00EA6951"/>
    <w:rsid w:val="00EA6B42"/>
    <w:rsid w:val="00EA6BFA"/>
    <w:rsid w:val="00EA6C3B"/>
    <w:rsid w:val="00EA6C47"/>
    <w:rsid w:val="00EA6E99"/>
    <w:rsid w:val="00EA7134"/>
    <w:rsid w:val="00EA74E3"/>
    <w:rsid w:val="00EA7AEE"/>
    <w:rsid w:val="00EA7C0B"/>
    <w:rsid w:val="00EA7D6F"/>
    <w:rsid w:val="00EB00DE"/>
    <w:rsid w:val="00EB0140"/>
    <w:rsid w:val="00EB0151"/>
    <w:rsid w:val="00EB0308"/>
    <w:rsid w:val="00EB0370"/>
    <w:rsid w:val="00EB05D0"/>
    <w:rsid w:val="00EB0622"/>
    <w:rsid w:val="00EB0696"/>
    <w:rsid w:val="00EB0890"/>
    <w:rsid w:val="00EB0911"/>
    <w:rsid w:val="00EB0931"/>
    <w:rsid w:val="00EB0BF1"/>
    <w:rsid w:val="00EB0CA6"/>
    <w:rsid w:val="00EB0CEF"/>
    <w:rsid w:val="00EB0D77"/>
    <w:rsid w:val="00EB0E78"/>
    <w:rsid w:val="00EB0E9B"/>
    <w:rsid w:val="00EB0FF0"/>
    <w:rsid w:val="00EB115A"/>
    <w:rsid w:val="00EB1239"/>
    <w:rsid w:val="00EB13BB"/>
    <w:rsid w:val="00EB1421"/>
    <w:rsid w:val="00EB1478"/>
    <w:rsid w:val="00EB16C9"/>
    <w:rsid w:val="00EB16D6"/>
    <w:rsid w:val="00EB1999"/>
    <w:rsid w:val="00EB1A23"/>
    <w:rsid w:val="00EB1C64"/>
    <w:rsid w:val="00EB1D0F"/>
    <w:rsid w:val="00EB1D6A"/>
    <w:rsid w:val="00EB1D8D"/>
    <w:rsid w:val="00EB1E5A"/>
    <w:rsid w:val="00EB23DF"/>
    <w:rsid w:val="00EB2663"/>
    <w:rsid w:val="00EB2875"/>
    <w:rsid w:val="00EB2B7F"/>
    <w:rsid w:val="00EB2E23"/>
    <w:rsid w:val="00EB2EE5"/>
    <w:rsid w:val="00EB2F87"/>
    <w:rsid w:val="00EB300D"/>
    <w:rsid w:val="00EB3018"/>
    <w:rsid w:val="00EB3316"/>
    <w:rsid w:val="00EB3435"/>
    <w:rsid w:val="00EB34A0"/>
    <w:rsid w:val="00EB3704"/>
    <w:rsid w:val="00EB376D"/>
    <w:rsid w:val="00EB3815"/>
    <w:rsid w:val="00EB390E"/>
    <w:rsid w:val="00EB397F"/>
    <w:rsid w:val="00EB3B51"/>
    <w:rsid w:val="00EB3BB7"/>
    <w:rsid w:val="00EB3C01"/>
    <w:rsid w:val="00EB3D64"/>
    <w:rsid w:val="00EB3D9C"/>
    <w:rsid w:val="00EB3E07"/>
    <w:rsid w:val="00EB3EED"/>
    <w:rsid w:val="00EB4041"/>
    <w:rsid w:val="00EB4042"/>
    <w:rsid w:val="00EB40B2"/>
    <w:rsid w:val="00EB40BB"/>
    <w:rsid w:val="00EB4133"/>
    <w:rsid w:val="00EB4169"/>
    <w:rsid w:val="00EB435B"/>
    <w:rsid w:val="00EB4BBE"/>
    <w:rsid w:val="00EB4BDC"/>
    <w:rsid w:val="00EB4FD8"/>
    <w:rsid w:val="00EB511E"/>
    <w:rsid w:val="00EB52EB"/>
    <w:rsid w:val="00EB5381"/>
    <w:rsid w:val="00EB54F8"/>
    <w:rsid w:val="00EB5561"/>
    <w:rsid w:val="00EB56B8"/>
    <w:rsid w:val="00EB56F7"/>
    <w:rsid w:val="00EB5926"/>
    <w:rsid w:val="00EB59A4"/>
    <w:rsid w:val="00EB59B3"/>
    <w:rsid w:val="00EB5A2D"/>
    <w:rsid w:val="00EB5A89"/>
    <w:rsid w:val="00EB5B1B"/>
    <w:rsid w:val="00EB5C59"/>
    <w:rsid w:val="00EB5D5D"/>
    <w:rsid w:val="00EB5E9D"/>
    <w:rsid w:val="00EB5F48"/>
    <w:rsid w:val="00EB5FCC"/>
    <w:rsid w:val="00EB5FFA"/>
    <w:rsid w:val="00EB60E3"/>
    <w:rsid w:val="00EB60E7"/>
    <w:rsid w:val="00EB6271"/>
    <w:rsid w:val="00EB6469"/>
    <w:rsid w:val="00EB6542"/>
    <w:rsid w:val="00EB65D1"/>
    <w:rsid w:val="00EB661C"/>
    <w:rsid w:val="00EB6755"/>
    <w:rsid w:val="00EB67F9"/>
    <w:rsid w:val="00EB6AA6"/>
    <w:rsid w:val="00EB6B34"/>
    <w:rsid w:val="00EB6F03"/>
    <w:rsid w:val="00EB6F1D"/>
    <w:rsid w:val="00EB7178"/>
    <w:rsid w:val="00EB7267"/>
    <w:rsid w:val="00EB738F"/>
    <w:rsid w:val="00EB744F"/>
    <w:rsid w:val="00EB74B5"/>
    <w:rsid w:val="00EB74C1"/>
    <w:rsid w:val="00EB752D"/>
    <w:rsid w:val="00EB7558"/>
    <w:rsid w:val="00EB75A4"/>
    <w:rsid w:val="00EB76EA"/>
    <w:rsid w:val="00EB780A"/>
    <w:rsid w:val="00EB7884"/>
    <w:rsid w:val="00EB791B"/>
    <w:rsid w:val="00EB7AFA"/>
    <w:rsid w:val="00EB7E41"/>
    <w:rsid w:val="00EB7F43"/>
    <w:rsid w:val="00EC03E0"/>
    <w:rsid w:val="00EC04C3"/>
    <w:rsid w:val="00EC0608"/>
    <w:rsid w:val="00EC0644"/>
    <w:rsid w:val="00EC06B5"/>
    <w:rsid w:val="00EC073E"/>
    <w:rsid w:val="00EC0754"/>
    <w:rsid w:val="00EC081E"/>
    <w:rsid w:val="00EC08D2"/>
    <w:rsid w:val="00EC093C"/>
    <w:rsid w:val="00EC0AE2"/>
    <w:rsid w:val="00EC0AFA"/>
    <w:rsid w:val="00EC0BC8"/>
    <w:rsid w:val="00EC0CAB"/>
    <w:rsid w:val="00EC0CFC"/>
    <w:rsid w:val="00EC0E69"/>
    <w:rsid w:val="00EC104F"/>
    <w:rsid w:val="00EC113A"/>
    <w:rsid w:val="00EC123D"/>
    <w:rsid w:val="00EC135B"/>
    <w:rsid w:val="00EC14FB"/>
    <w:rsid w:val="00EC15F6"/>
    <w:rsid w:val="00EC1679"/>
    <w:rsid w:val="00EC17A9"/>
    <w:rsid w:val="00EC1813"/>
    <w:rsid w:val="00EC1827"/>
    <w:rsid w:val="00EC1BB0"/>
    <w:rsid w:val="00EC1C61"/>
    <w:rsid w:val="00EC1CFD"/>
    <w:rsid w:val="00EC1D08"/>
    <w:rsid w:val="00EC1E23"/>
    <w:rsid w:val="00EC1E45"/>
    <w:rsid w:val="00EC1E4C"/>
    <w:rsid w:val="00EC1FE0"/>
    <w:rsid w:val="00EC2073"/>
    <w:rsid w:val="00EC2082"/>
    <w:rsid w:val="00EC22DC"/>
    <w:rsid w:val="00EC2712"/>
    <w:rsid w:val="00EC296B"/>
    <w:rsid w:val="00EC29BD"/>
    <w:rsid w:val="00EC2D70"/>
    <w:rsid w:val="00EC2D92"/>
    <w:rsid w:val="00EC30E0"/>
    <w:rsid w:val="00EC311A"/>
    <w:rsid w:val="00EC31AB"/>
    <w:rsid w:val="00EC31F7"/>
    <w:rsid w:val="00EC3329"/>
    <w:rsid w:val="00EC3356"/>
    <w:rsid w:val="00EC359E"/>
    <w:rsid w:val="00EC35D8"/>
    <w:rsid w:val="00EC3698"/>
    <w:rsid w:val="00EC374E"/>
    <w:rsid w:val="00EC377A"/>
    <w:rsid w:val="00EC377D"/>
    <w:rsid w:val="00EC38A2"/>
    <w:rsid w:val="00EC3BFA"/>
    <w:rsid w:val="00EC3E47"/>
    <w:rsid w:val="00EC417B"/>
    <w:rsid w:val="00EC42E5"/>
    <w:rsid w:val="00EC43F4"/>
    <w:rsid w:val="00EC446C"/>
    <w:rsid w:val="00EC4548"/>
    <w:rsid w:val="00EC4621"/>
    <w:rsid w:val="00EC46CE"/>
    <w:rsid w:val="00EC482F"/>
    <w:rsid w:val="00EC49BA"/>
    <w:rsid w:val="00EC4B3B"/>
    <w:rsid w:val="00EC4B52"/>
    <w:rsid w:val="00EC4CCD"/>
    <w:rsid w:val="00EC4CF2"/>
    <w:rsid w:val="00EC4D23"/>
    <w:rsid w:val="00EC4F65"/>
    <w:rsid w:val="00EC51A8"/>
    <w:rsid w:val="00EC51C6"/>
    <w:rsid w:val="00EC5313"/>
    <w:rsid w:val="00EC565B"/>
    <w:rsid w:val="00EC5727"/>
    <w:rsid w:val="00EC5955"/>
    <w:rsid w:val="00EC595A"/>
    <w:rsid w:val="00EC598A"/>
    <w:rsid w:val="00EC63BC"/>
    <w:rsid w:val="00EC6421"/>
    <w:rsid w:val="00EC6496"/>
    <w:rsid w:val="00EC6512"/>
    <w:rsid w:val="00EC653C"/>
    <w:rsid w:val="00EC6627"/>
    <w:rsid w:val="00EC6665"/>
    <w:rsid w:val="00EC6671"/>
    <w:rsid w:val="00EC686E"/>
    <w:rsid w:val="00EC6B36"/>
    <w:rsid w:val="00EC6BFD"/>
    <w:rsid w:val="00EC6C86"/>
    <w:rsid w:val="00EC6F9C"/>
    <w:rsid w:val="00EC70AF"/>
    <w:rsid w:val="00EC71A7"/>
    <w:rsid w:val="00EC71D6"/>
    <w:rsid w:val="00EC722E"/>
    <w:rsid w:val="00EC7244"/>
    <w:rsid w:val="00EC7294"/>
    <w:rsid w:val="00EC72B2"/>
    <w:rsid w:val="00EC732C"/>
    <w:rsid w:val="00EC7351"/>
    <w:rsid w:val="00EC7590"/>
    <w:rsid w:val="00EC75C7"/>
    <w:rsid w:val="00EC7632"/>
    <w:rsid w:val="00EC7656"/>
    <w:rsid w:val="00EC7858"/>
    <w:rsid w:val="00EC7A4E"/>
    <w:rsid w:val="00EC7AA8"/>
    <w:rsid w:val="00ED02BA"/>
    <w:rsid w:val="00ED02F5"/>
    <w:rsid w:val="00ED03F4"/>
    <w:rsid w:val="00ED0541"/>
    <w:rsid w:val="00ED06C8"/>
    <w:rsid w:val="00ED07C8"/>
    <w:rsid w:val="00ED0A7E"/>
    <w:rsid w:val="00ED0C17"/>
    <w:rsid w:val="00ED0D9E"/>
    <w:rsid w:val="00ED0DDC"/>
    <w:rsid w:val="00ED0E19"/>
    <w:rsid w:val="00ED1019"/>
    <w:rsid w:val="00ED11BF"/>
    <w:rsid w:val="00ED11EC"/>
    <w:rsid w:val="00ED11FD"/>
    <w:rsid w:val="00ED123F"/>
    <w:rsid w:val="00ED185F"/>
    <w:rsid w:val="00ED18F9"/>
    <w:rsid w:val="00ED196C"/>
    <w:rsid w:val="00ED1ACA"/>
    <w:rsid w:val="00ED1B29"/>
    <w:rsid w:val="00ED1B7D"/>
    <w:rsid w:val="00ED1BC7"/>
    <w:rsid w:val="00ED1CA8"/>
    <w:rsid w:val="00ED1CFA"/>
    <w:rsid w:val="00ED1FAD"/>
    <w:rsid w:val="00ED21CF"/>
    <w:rsid w:val="00ED26F7"/>
    <w:rsid w:val="00ED2901"/>
    <w:rsid w:val="00ED2925"/>
    <w:rsid w:val="00ED2A23"/>
    <w:rsid w:val="00ED2B35"/>
    <w:rsid w:val="00ED2FDC"/>
    <w:rsid w:val="00ED30E7"/>
    <w:rsid w:val="00ED30F0"/>
    <w:rsid w:val="00ED30FC"/>
    <w:rsid w:val="00ED32B4"/>
    <w:rsid w:val="00ED3435"/>
    <w:rsid w:val="00ED35CC"/>
    <w:rsid w:val="00ED386D"/>
    <w:rsid w:val="00ED3AC9"/>
    <w:rsid w:val="00ED3CC2"/>
    <w:rsid w:val="00ED3CDA"/>
    <w:rsid w:val="00ED3DB2"/>
    <w:rsid w:val="00ED3E49"/>
    <w:rsid w:val="00ED4348"/>
    <w:rsid w:val="00ED4499"/>
    <w:rsid w:val="00ED45FE"/>
    <w:rsid w:val="00ED48BC"/>
    <w:rsid w:val="00ED4A8D"/>
    <w:rsid w:val="00ED4AD6"/>
    <w:rsid w:val="00ED4B1F"/>
    <w:rsid w:val="00ED4D51"/>
    <w:rsid w:val="00ED4E89"/>
    <w:rsid w:val="00ED4F9D"/>
    <w:rsid w:val="00ED55CA"/>
    <w:rsid w:val="00ED55DA"/>
    <w:rsid w:val="00ED5BD5"/>
    <w:rsid w:val="00ED5DCF"/>
    <w:rsid w:val="00ED6081"/>
    <w:rsid w:val="00ED6115"/>
    <w:rsid w:val="00ED618C"/>
    <w:rsid w:val="00ED61BF"/>
    <w:rsid w:val="00ED6228"/>
    <w:rsid w:val="00ED62C7"/>
    <w:rsid w:val="00ED6368"/>
    <w:rsid w:val="00ED6473"/>
    <w:rsid w:val="00ED6474"/>
    <w:rsid w:val="00ED6516"/>
    <w:rsid w:val="00ED65AB"/>
    <w:rsid w:val="00ED65DD"/>
    <w:rsid w:val="00ED6649"/>
    <w:rsid w:val="00ED6726"/>
    <w:rsid w:val="00ED67BE"/>
    <w:rsid w:val="00ED67D6"/>
    <w:rsid w:val="00ED68DA"/>
    <w:rsid w:val="00ED6CC7"/>
    <w:rsid w:val="00ED6D8B"/>
    <w:rsid w:val="00ED6E59"/>
    <w:rsid w:val="00ED6FA9"/>
    <w:rsid w:val="00ED7405"/>
    <w:rsid w:val="00ED7607"/>
    <w:rsid w:val="00ED765D"/>
    <w:rsid w:val="00ED7678"/>
    <w:rsid w:val="00ED769B"/>
    <w:rsid w:val="00ED7841"/>
    <w:rsid w:val="00ED7859"/>
    <w:rsid w:val="00ED7A14"/>
    <w:rsid w:val="00ED7A56"/>
    <w:rsid w:val="00ED7A86"/>
    <w:rsid w:val="00ED7D39"/>
    <w:rsid w:val="00ED7DCB"/>
    <w:rsid w:val="00EE009C"/>
    <w:rsid w:val="00EE0187"/>
    <w:rsid w:val="00EE0225"/>
    <w:rsid w:val="00EE03E7"/>
    <w:rsid w:val="00EE0676"/>
    <w:rsid w:val="00EE06B9"/>
    <w:rsid w:val="00EE0711"/>
    <w:rsid w:val="00EE0794"/>
    <w:rsid w:val="00EE0C4B"/>
    <w:rsid w:val="00EE0C5D"/>
    <w:rsid w:val="00EE0D74"/>
    <w:rsid w:val="00EE1015"/>
    <w:rsid w:val="00EE101D"/>
    <w:rsid w:val="00EE1096"/>
    <w:rsid w:val="00EE142D"/>
    <w:rsid w:val="00EE14A2"/>
    <w:rsid w:val="00EE1665"/>
    <w:rsid w:val="00EE16B2"/>
    <w:rsid w:val="00EE17B0"/>
    <w:rsid w:val="00EE191F"/>
    <w:rsid w:val="00EE1B2C"/>
    <w:rsid w:val="00EE1DC0"/>
    <w:rsid w:val="00EE206D"/>
    <w:rsid w:val="00EE2070"/>
    <w:rsid w:val="00EE2103"/>
    <w:rsid w:val="00EE21F4"/>
    <w:rsid w:val="00EE2605"/>
    <w:rsid w:val="00EE2716"/>
    <w:rsid w:val="00EE272C"/>
    <w:rsid w:val="00EE291D"/>
    <w:rsid w:val="00EE2E31"/>
    <w:rsid w:val="00EE31A7"/>
    <w:rsid w:val="00EE31ED"/>
    <w:rsid w:val="00EE33A0"/>
    <w:rsid w:val="00EE35BB"/>
    <w:rsid w:val="00EE37D5"/>
    <w:rsid w:val="00EE3B07"/>
    <w:rsid w:val="00EE3C21"/>
    <w:rsid w:val="00EE3C88"/>
    <w:rsid w:val="00EE3CC0"/>
    <w:rsid w:val="00EE3E7C"/>
    <w:rsid w:val="00EE3F8A"/>
    <w:rsid w:val="00EE3FA3"/>
    <w:rsid w:val="00EE40B5"/>
    <w:rsid w:val="00EE422F"/>
    <w:rsid w:val="00EE4283"/>
    <w:rsid w:val="00EE441E"/>
    <w:rsid w:val="00EE4566"/>
    <w:rsid w:val="00EE4A20"/>
    <w:rsid w:val="00EE4D57"/>
    <w:rsid w:val="00EE50C4"/>
    <w:rsid w:val="00EE5226"/>
    <w:rsid w:val="00EE526D"/>
    <w:rsid w:val="00EE5396"/>
    <w:rsid w:val="00EE5551"/>
    <w:rsid w:val="00EE55E4"/>
    <w:rsid w:val="00EE5733"/>
    <w:rsid w:val="00EE5994"/>
    <w:rsid w:val="00EE5A98"/>
    <w:rsid w:val="00EE5AB9"/>
    <w:rsid w:val="00EE5BA0"/>
    <w:rsid w:val="00EE5EB7"/>
    <w:rsid w:val="00EE606D"/>
    <w:rsid w:val="00EE6111"/>
    <w:rsid w:val="00EE6194"/>
    <w:rsid w:val="00EE6466"/>
    <w:rsid w:val="00EE6488"/>
    <w:rsid w:val="00EE64F4"/>
    <w:rsid w:val="00EE680E"/>
    <w:rsid w:val="00EE689B"/>
    <w:rsid w:val="00EE6A5F"/>
    <w:rsid w:val="00EE6B33"/>
    <w:rsid w:val="00EE6BC4"/>
    <w:rsid w:val="00EE6DE6"/>
    <w:rsid w:val="00EE6E57"/>
    <w:rsid w:val="00EE70A6"/>
    <w:rsid w:val="00EE724D"/>
    <w:rsid w:val="00EE7337"/>
    <w:rsid w:val="00EE73DE"/>
    <w:rsid w:val="00EE7548"/>
    <w:rsid w:val="00EE7872"/>
    <w:rsid w:val="00EE7C37"/>
    <w:rsid w:val="00EE7CAC"/>
    <w:rsid w:val="00EE7CE2"/>
    <w:rsid w:val="00EE7D63"/>
    <w:rsid w:val="00EE7E0B"/>
    <w:rsid w:val="00EE7E95"/>
    <w:rsid w:val="00EE7FEF"/>
    <w:rsid w:val="00EF0178"/>
    <w:rsid w:val="00EF040B"/>
    <w:rsid w:val="00EF055A"/>
    <w:rsid w:val="00EF0577"/>
    <w:rsid w:val="00EF0782"/>
    <w:rsid w:val="00EF079A"/>
    <w:rsid w:val="00EF089F"/>
    <w:rsid w:val="00EF0947"/>
    <w:rsid w:val="00EF0AFF"/>
    <w:rsid w:val="00EF0BD3"/>
    <w:rsid w:val="00EF0C54"/>
    <w:rsid w:val="00EF0C97"/>
    <w:rsid w:val="00EF0F8B"/>
    <w:rsid w:val="00EF10E9"/>
    <w:rsid w:val="00EF11C8"/>
    <w:rsid w:val="00EF11DE"/>
    <w:rsid w:val="00EF13B3"/>
    <w:rsid w:val="00EF168F"/>
    <w:rsid w:val="00EF19EE"/>
    <w:rsid w:val="00EF1BC5"/>
    <w:rsid w:val="00EF1D36"/>
    <w:rsid w:val="00EF2154"/>
    <w:rsid w:val="00EF229D"/>
    <w:rsid w:val="00EF247B"/>
    <w:rsid w:val="00EF2494"/>
    <w:rsid w:val="00EF24E6"/>
    <w:rsid w:val="00EF2568"/>
    <w:rsid w:val="00EF257F"/>
    <w:rsid w:val="00EF26C4"/>
    <w:rsid w:val="00EF27DD"/>
    <w:rsid w:val="00EF294C"/>
    <w:rsid w:val="00EF2951"/>
    <w:rsid w:val="00EF29F4"/>
    <w:rsid w:val="00EF29F5"/>
    <w:rsid w:val="00EF2DFB"/>
    <w:rsid w:val="00EF2ED7"/>
    <w:rsid w:val="00EF2F79"/>
    <w:rsid w:val="00EF2F87"/>
    <w:rsid w:val="00EF3018"/>
    <w:rsid w:val="00EF3210"/>
    <w:rsid w:val="00EF32A0"/>
    <w:rsid w:val="00EF3490"/>
    <w:rsid w:val="00EF3659"/>
    <w:rsid w:val="00EF3763"/>
    <w:rsid w:val="00EF3793"/>
    <w:rsid w:val="00EF3879"/>
    <w:rsid w:val="00EF3923"/>
    <w:rsid w:val="00EF3A7C"/>
    <w:rsid w:val="00EF3AAD"/>
    <w:rsid w:val="00EF3D5F"/>
    <w:rsid w:val="00EF3DAD"/>
    <w:rsid w:val="00EF3DC2"/>
    <w:rsid w:val="00EF3F36"/>
    <w:rsid w:val="00EF40AD"/>
    <w:rsid w:val="00EF41A8"/>
    <w:rsid w:val="00EF4263"/>
    <w:rsid w:val="00EF433D"/>
    <w:rsid w:val="00EF4653"/>
    <w:rsid w:val="00EF48A2"/>
    <w:rsid w:val="00EF48C8"/>
    <w:rsid w:val="00EF4938"/>
    <w:rsid w:val="00EF4E68"/>
    <w:rsid w:val="00EF4EAF"/>
    <w:rsid w:val="00EF4EE1"/>
    <w:rsid w:val="00EF532F"/>
    <w:rsid w:val="00EF535A"/>
    <w:rsid w:val="00EF5449"/>
    <w:rsid w:val="00EF55C7"/>
    <w:rsid w:val="00EF5807"/>
    <w:rsid w:val="00EF5976"/>
    <w:rsid w:val="00EF59D3"/>
    <w:rsid w:val="00EF5A5D"/>
    <w:rsid w:val="00EF5A9F"/>
    <w:rsid w:val="00EF5B3A"/>
    <w:rsid w:val="00EF5B70"/>
    <w:rsid w:val="00EF5F15"/>
    <w:rsid w:val="00EF6130"/>
    <w:rsid w:val="00EF6195"/>
    <w:rsid w:val="00EF632D"/>
    <w:rsid w:val="00EF634B"/>
    <w:rsid w:val="00EF6360"/>
    <w:rsid w:val="00EF6403"/>
    <w:rsid w:val="00EF6737"/>
    <w:rsid w:val="00EF6908"/>
    <w:rsid w:val="00EF6CC1"/>
    <w:rsid w:val="00EF6CD3"/>
    <w:rsid w:val="00EF6D2B"/>
    <w:rsid w:val="00EF6D40"/>
    <w:rsid w:val="00EF6DF8"/>
    <w:rsid w:val="00EF6F64"/>
    <w:rsid w:val="00EF70C7"/>
    <w:rsid w:val="00EF70FD"/>
    <w:rsid w:val="00EF7117"/>
    <w:rsid w:val="00EF731D"/>
    <w:rsid w:val="00EF7335"/>
    <w:rsid w:val="00EF7413"/>
    <w:rsid w:val="00EF750E"/>
    <w:rsid w:val="00EF7A8C"/>
    <w:rsid w:val="00EF7B0B"/>
    <w:rsid w:val="00EF7B82"/>
    <w:rsid w:val="00EF7C62"/>
    <w:rsid w:val="00EF7DBB"/>
    <w:rsid w:val="00EF7E34"/>
    <w:rsid w:val="00EF7F5F"/>
    <w:rsid w:val="00EF7FCE"/>
    <w:rsid w:val="00F00038"/>
    <w:rsid w:val="00F000CF"/>
    <w:rsid w:val="00F000E2"/>
    <w:rsid w:val="00F0012C"/>
    <w:rsid w:val="00F0020A"/>
    <w:rsid w:val="00F00288"/>
    <w:rsid w:val="00F002B0"/>
    <w:rsid w:val="00F00338"/>
    <w:rsid w:val="00F00478"/>
    <w:rsid w:val="00F004DC"/>
    <w:rsid w:val="00F004E8"/>
    <w:rsid w:val="00F008DF"/>
    <w:rsid w:val="00F008E6"/>
    <w:rsid w:val="00F00A3F"/>
    <w:rsid w:val="00F00E14"/>
    <w:rsid w:val="00F00F79"/>
    <w:rsid w:val="00F01074"/>
    <w:rsid w:val="00F012B3"/>
    <w:rsid w:val="00F013A1"/>
    <w:rsid w:val="00F01563"/>
    <w:rsid w:val="00F0157F"/>
    <w:rsid w:val="00F0161F"/>
    <w:rsid w:val="00F0181D"/>
    <w:rsid w:val="00F0182D"/>
    <w:rsid w:val="00F01897"/>
    <w:rsid w:val="00F01AE3"/>
    <w:rsid w:val="00F01E7F"/>
    <w:rsid w:val="00F01FBB"/>
    <w:rsid w:val="00F02142"/>
    <w:rsid w:val="00F021AF"/>
    <w:rsid w:val="00F02229"/>
    <w:rsid w:val="00F023A8"/>
    <w:rsid w:val="00F02428"/>
    <w:rsid w:val="00F0260D"/>
    <w:rsid w:val="00F02873"/>
    <w:rsid w:val="00F02A91"/>
    <w:rsid w:val="00F02AEC"/>
    <w:rsid w:val="00F02AFC"/>
    <w:rsid w:val="00F02B47"/>
    <w:rsid w:val="00F02BA3"/>
    <w:rsid w:val="00F02DB2"/>
    <w:rsid w:val="00F03100"/>
    <w:rsid w:val="00F03131"/>
    <w:rsid w:val="00F031A3"/>
    <w:rsid w:val="00F031BE"/>
    <w:rsid w:val="00F03248"/>
    <w:rsid w:val="00F03456"/>
    <w:rsid w:val="00F03497"/>
    <w:rsid w:val="00F0375C"/>
    <w:rsid w:val="00F0379F"/>
    <w:rsid w:val="00F037A9"/>
    <w:rsid w:val="00F037C0"/>
    <w:rsid w:val="00F03817"/>
    <w:rsid w:val="00F03819"/>
    <w:rsid w:val="00F0384E"/>
    <w:rsid w:val="00F0386D"/>
    <w:rsid w:val="00F0386E"/>
    <w:rsid w:val="00F039F6"/>
    <w:rsid w:val="00F03B1B"/>
    <w:rsid w:val="00F03B21"/>
    <w:rsid w:val="00F03B74"/>
    <w:rsid w:val="00F03BBB"/>
    <w:rsid w:val="00F03C51"/>
    <w:rsid w:val="00F03D8B"/>
    <w:rsid w:val="00F03EAA"/>
    <w:rsid w:val="00F03ED1"/>
    <w:rsid w:val="00F03F59"/>
    <w:rsid w:val="00F04005"/>
    <w:rsid w:val="00F040CD"/>
    <w:rsid w:val="00F04136"/>
    <w:rsid w:val="00F04206"/>
    <w:rsid w:val="00F0451D"/>
    <w:rsid w:val="00F046A6"/>
    <w:rsid w:val="00F046F7"/>
    <w:rsid w:val="00F0473F"/>
    <w:rsid w:val="00F04793"/>
    <w:rsid w:val="00F04956"/>
    <w:rsid w:val="00F0496F"/>
    <w:rsid w:val="00F04AD9"/>
    <w:rsid w:val="00F04B8C"/>
    <w:rsid w:val="00F04BCE"/>
    <w:rsid w:val="00F04C19"/>
    <w:rsid w:val="00F04C3E"/>
    <w:rsid w:val="00F04C41"/>
    <w:rsid w:val="00F04CC3"/>
    <w:rsid w:val="00F04D81"/>
    <w:rsid w:val="00F04E0D"/>
    <w:rsid w:val="00F04EA3"/>
    <w:rsid w:val="00F05081"/>
    <w:rsid w:val="00F0529E"/>
    <w:rsid w:val="00F05399"/>
    <w:rsid w:val="00F053A8"/>
    <w:rsid w:val="00F05436"/>
    <w:rsid w:val="00F05468"/>
    <w:rsid w:val="00F05504"/>
    <w:rsid w:val="00F0581A"/>
    <w:rsid w:val="00F058BB"/>
    <w:rsid w:val="00F059AC"/>
    <w:rsid w:val="00F05C0A"/>
    <w:rsid w:val="00F05CC0"/>
    <w:rsid w:val="00F05E1E"/>
    <w:rsid w:val="00F05FEF"/>
    <w:rsid w:val="00F0610A"/>
    <w:rsid w:val="00F0614B"/>
    <w:rsid w:val="00F062E7"/>
    <w:rsid w:val="00F06549"/>
    <w:rsid w:val="00F0658C"/>
    <w:rsid w:val="00F0659E"/>
    <w:rsid w:val="00F06647"/>
    <w:rsid w:val="00F067D6"/>
    <w:rsid w:val="00F06917"/>
    <w:rsid w:val="00F06A63"/>
    <w:rsid w:val="00F06A8D"/>
    <w:rsid w:val="00F06AC3"/>
    <w:rsid w:val="00F06B4A"/>
    <w:rsid w:val="00F06BEB"/>
    <w:rsid w:val="00F06DD2"/>
    <w:rsid w:val="00F06F73"/>
    <w:rsid w:val="00F07068"/>
    <w:rsid w:val="00F07232"/>
    <w:rsid w:val="00F0729E"/>
    <w:rsid w:val="00F072AC"/>
    <w:rsid w:val="00F07372"/>
    <w:rsid w:val="00F07378"/>
    <w:rsid w:val="00F07479"/>
    <w:rsid w:val="00F074D9"/>
    <w:rsid w:val="00F07689"/>
    <w:rsid w:val="00F0776D"/>
    <w:rsid w:val="00F0776F"/>
    <w:rsid w:val="00F07853"/>
    <w:rsid w:val="00F078C7"/>
    <w:rsid w:val="00F07BE0"/>
    <w:rsid w:val="00F07C2B"/>
    <w:rsid w:val="00F07D2C"/>
    <w:rsid w:val="00F07FF7"/>
    <w:rsid w:val="00F10262"/>
    <w:rsid w:val="00F10397"/>
    <w:rsid w:val="00F103CE"/>
    <w:rsid w:val="00F10466"/>
    <w:rsid w:val="00F1057E"/>
    <w:rsid w:val="00F10702"/>
    <w:rsid w:val="00F1071A"/>
    <w:rsid w:val="00F10881"/>
    <w:rsid w:val="00F108DD"/>
    <w:rsid w:val="00F10907"/>
    <w:rsid w:val="00F109B6"/>
    <w:rsid w:val="00F10B2F"/>
    <w:rsid w:val="00F10B3D"/>
    <w:rsid w:val="00F10BAF"/>
    <w:rsid w:val="00F10C4C"/>
    <w:rsid w:val="00F10CE4"/>
    <w:rsid w:val="00F10CE9"/>
    <w:rsid w:val="00F10DBD"/>
    <w:rsid w:val="00F10DE1"/>
    <w:rsid w:val="00F10E35"/>
    <w:rsid w:val="00F10E58"/>
    <w:rsid w:val="00F10F3D"/>
    <w:rsid w:val="00F1121C"/>
    <w:rsid w:val="00F11324"/>
    <w:rsid w:val="00F115AF"/>
    <w:rsid w:val="00F115CA"/>
    <w:rsid w:val="00F11BDD"/>
    <w:rsid w:val="00F11DED"/>
    <w:rsid w:val="00F120A8"/>
    <w:rsid w:val="00F121C1"/>
    <w:rsid w:val="00F123EA"/>
    <w:rsid w:val="00F12827"/>
    <w:rsid w:val="00F1283E"/>
    <w:rsid w:val="00F128CF"/>
    <w:rsid w:val="00F12923"/>
    <w:rsid w:val="00F12CA1"/>
    <w:rsid w:val="00F12D47"/>
    <w:rsid w:val="00F12DF6"/>
    <w:rsid w:val="00F12E26"/>
    <w:rsid w:val="00F12E60"/>
    <w:rsid w:val="00F12ED4"/>
    <w:rsid w:val="00F13036"/>
    <w:rsid w:val="00F13120"/>
    <w:rsid w:val="00F13256"/>
    <w:rsid w:val="00F1328C"/>
    <w:rsid w:val="00F132F8"/>
    <w:rsid w:val="00F13441"/>
    <w:rsid w:val="00F13645"/>
    <w:rsid w:val="00F13726"/>
    <w:rsid w:val="00F1398A"/>
    <w:rsid w:val="00F1399C"/>
    <w:rsid w:val="00F13AC9"/>
    <w:rsid w:val="00F13BE1"/>
    <w:rsid w:val="00F13C27"/>
    <w:rsid w:val="00F13C9D"/>
    <w:rsid w:val="00F13D0E"/>
    <w:rsid w:val="00F13D57"/>
    <w:rsid w:val="00F13DC6"/>
    <w:rsid w:val="00F13E4C"/>
    <w:rsid w:val="00F14007"/>
    <w:rsid w:val="00F141C9"/>
    <w:rsid w:val="00F142A7"/>
    <w:rsid w:val="00F1434A"/>
    <w:rsid w:val="00F143FE"/>
    <w:rsid w:val="00F1460A"/>
    <w:rsid w:val="00F14658"/>
    <w:rsid w:val="00F146AD"/>
    <w:rsid w:val="00F14910"/>
    <w:rsid w:val="00F14915"/>
    <w:rsid w:val="00F149A8"/>
    <w:rsid w:val="00F14B65"/>
    <w:rsid w:val="00F14B93"/>
    <w:rsid w:val="00F14CDE"/>
    <w:rsid w:val="00F14DF3"/>
    <w:rsid w:val="00F1501C"/>
    <w:rsid w:val="00F15059"/>
    <w:rsid w:val="00F151BC"/>
    <w:rsid w:val="00F15269"/>
    <w:rsid w:val="00F152CC"/>
    <w:rsid w:val="00F153C7"/>
    <w:rsid w:val="00F1551E"/>
    <w:rsid w:val="00F157F0"/>
    <w:rsid w:val="00F157FC"/>
    <w:rsid w:val="00F15959"/>
    <w:rsid w:val="00F15A83"/>
    <w:rsid w:val="00F15B7E"/>
    <w:rsid w:val="00F15E31"/>
    <w:rsid w:val="00F15F49"/>
    <w:rsid w:val="00F160FE"/>
    <w:rsid w:val="00F161A7"/>
    <w:rsid w:val="00F16245"/>
    <w:rsid w:val="00F16257"/>
    <w:rsid w:val="00F162BC"/>
    <w:rsid w:val="00F162C9"/>
    <w:rsid w:val="00F163AA"/>
    <w:rsid w:val="00F16496"/>
    <w:rsid w:val="00F16544"/>
    <w:rsid w:val="00F1659D"/>
    <w:rsid w:val="00F1664A"/>
    <w:rsid w:val="00F16738"/>
    <w:rsid w:val="00F16768"/>
    <w:rsid w:val="00F16DBE"/>
    <w:rsid w:val="00F17067"/>
    <w:rsid w:val="00F170B4"/>
    <w:rsid w:val="00F17465"/>
    <w:rsid w:val="00F17A57"/>
    <w:rsid w:val="00F17DA0"/>
    <w:rsid w:val="00F17FBC"/>
    <w:rsid w:val="00F2018C"/>
    <w:rsid w:val="00F2025D"/>
    <w:rsid w:val="00F2047D"/>
    <w:rsid w:val="00F206C8"/>
    <w:rsid w:val="00F2075E"/>
    <w:rsid w:val="00F20BAF"/>
    <w:rsid w:val="00F20CBA"/>
    <w:rsid w:val="00F20CDD"/>
    <w:rsid w:val="00F20CF4"/>
    <w:rsid w:val="00F20D1C"/>
    <w:rsid w:val="00F20DC9"/>
    <w:rsid w:val="00F21141"/>
    <w:rsid w:val="00F21268"/>
    <w:rsid w:val="00F2129F"/>
    <w:rsid w:val="00F212D2"/>
    <w:rsid w:val="00F21355"/>
    <w:rsid w:val="00F21710"/>
    <w:rsid w:val="00F217A8"/>
    <w:rsid w:val="00F217E7"/>
    <w:rsid w:val="00F21AD3"/>
    <w:rsid w:val="00F21C08"/>
    <w:rsid w:val="00F21C5B"/>
    <w:rsid w:val="00F21D2E"/>
    <w:rsid w:val="00F21E91"/>
    <w:rsid w:val="00F22215"/>
    <w:rsid w:val="00F22323"/>
    <w:rsid w:val="00F22425"/>
    <w:rsid w:val="00F22487"/>
    <w:rsid w:val="00F22577"/>
    <w:rsid w:val="00F22729"/>
    <w:rsid w:val="00F22923"/>
    <w:rsid w:val="00F229A0"/>
    <w:rsid w:val="00F22A66"/>
    <w:rsid w:val="00F22B44"/>
    <w:rsid w:val="00F22F71"/>
    <w:rsid w:val="00F23228"/>
    <w:rsid w:val="00F23281"/>
    <w:rsid w:val="00F23378"/>
    <w:rsid w:val="00F23571"/>
    <w:rsid w:val="00F23651"/>
    <w:rsid w:val="00F23672"/>
    <w:rsid w:val="00F23735"/>
    <w:rsid w:val="00F23783"/>
    <w:rsid w:val="00F237A1"/>
    <w:rsid w:val="00F23A69"/>
    <w:rsid w:val="00F23B13"/>
    <w:rsid w:val="00F23BA6"/>
    <w:rsid w:val="00F23E79"/>
    <w:rsid w:val="00F24030"/>
    <w:rsid w:val="00F243BF"/>
    <w:rsid w:val="00F2440E"/>
    <w:rsid w:val="00F2478F"/>
    <w:rsid w:val="00F248E8"/>
    <w:rsid w:val="00F24937"/>
    <w:rsid w:val="00F249D3"/>
    <w:rsid w:val="00F24A56"/>
    <w:rsid w:val="00F24F24"/>
    <w:rsid w:val="00F24F8B"/>
    <w:rsid w:val="00F2569C"/>
    <w:rsid w:val="00F25750"/>
    <w:rsid w:val="00F258CA"/>
    <w:rsid w:val="00F258EF"/>
    <w:rsid w:val="00F25A8B"/>
    <w:rsid w:val="00F25B6E"/>
    <w:rsid w:val="00F25E17"/>
    <w:rsid w:val="00F25F2F"/>
    <w:rsid w:val="00F25F94"/>
    <w:rsid w:val="00F260E5"/>
    <w:rsid w:val="00F2615B"/>
    <w:rsid w:val="00F26164"/>
    <w:rsid w:val="00F263C6"/>
    <w:rsid w:val="00F26481"/>
    <w:rsid w:val="00F265F7"/>
    <w:rsid w:val="00F266FD"/>
    <w:rsid w:val="00F267D6"/>
    <w:rsid w:val="00F26970"/>
    <w:rsid w:val="00F26A5C"/>
    <w:rsid w:val="00F26AAA"/>
    <w:rsid w:val="00F26B7D"/>
    <w:rsid w:val="00F26B94"/>
    <w:rsid w:val="00F26DE5"/>
    <w:rsid w:val="00F26DEE"/>
    <w:rsid w:val="00F26E37"/>
    <w:rsid w:val="00F26EB5"/>
    <w:rsid w:val="00F26EC4"/>
    <w:rsid w:val="00F26EC9"/>
    <w:rsid w:val="00F26F73"/>
    <w:rsid w:val="00F270F2"/>
    <w:rsid w:val="00F272F9"/>
    <w:rsid w:val="00F27404"/>
    <w:rsid w:val="00F275AE"/>
    <w:rsid w:val="00F27647"/>
    <w:rsid w:val="00F27843"/>
    <w:rsid w:val="00F2793F"/>
    <w:rsid w:val="00F27A91"/>
    <w:rsid w:val="00F27AEC"/>
    <w:rsid w:val="00F27DA5"/>
    <w:rsid w:val="00F27DA9"/>
    <w:rsid w:val="00F27EE7"/>
    <w:rsid w:val="00F30001"/>
    <w:rsid w:val="00F3019C"/>
    <w:rsid w:val="00F30268"/>
    <w:rsid w:val="00F3056F"/>
    <w:rsid w:val="00F30610"/>
    <w:rsid w:val="00F306E1"/>
    <w:rsid w:val="00F3074E"/>
    <w:rsid w:val="00F30755"/>
    <w:rsid w:val="00F30A0D"/>
    <w:rsid w:val="00F30A47"/>
    <w:rsid w:val="00F30A9F"/>
    <w:rsid w:val="00F30D2C"/>
    <w:rsid w:val="00F312F6"/>
    <w:rsid w:val="00F3134B"/>
    <w:rsid w:val="00F31660"/>
    <w:rsid w:val="00F3184F"/>
    <w:rsid w:val="00F319FE"/>
    <w:rsid w:val="00F31A82"/>
    <w:rsid w:val="00F31ABD"/>
    <w:rsid w:val="00F31F5A"/>
    <w:rsid w:val="00F32208"/>
    <w:rsid w:val="00F324CA"/>
    <w:rsid w:val="00F32527"/>
    <w:rsid w:val="00F32697"/>
    <w:rsid w:val="00F326A4"/>
    <w:rsid w:val="00F326B5"/>
    <w:rsid w:val="00F32759"/>
    <w:rsid w:val="00F3289F"/>
    <w:rsid w:val="00F32930"/>
    <w:rsid w:val="00F32E53"/>
    <w:rsid w:val="00F32ED6"/>
    <w:rsid w:val="00F32F5B"/>
    <w:rsid w:val="00F3326B"/>
    <w:rsid w:val="00F3332F"/>
    <w:rsid w:val="00F33453"/>
    <w:rsid w:val="00F33656"/>
    <w:rsid w:val="00F33741"/>
    <w:rsid w:val="00F3384D"/>
    <w:rsid w:val="00F33AFA"/>
    <w:rsid w:val="00F33B7A"/>
    <w:rsid w:val="00F33EF5"/>
    <w:rsid w:val="00F33EF8"/>
    <w:rsid w:val="00F34112"/>
    <w:rsid w:val="00F3415B"/>
    <w:rsid w:val="00F34214"/>
    <w:rsid w:val="00F343A4"/>
    <w:rsid w:val="00F343BE"/>
    <w:rsid w:val="00F34414"/>
    <w:rsid w:val="00F34569"/>
    <w:rsid w:val="00F345A7"/>
    <w:rsid w:val="00F345CA"/>
    <w:rsid w:val="00F348D5"/>
    <w:rsid w:val="00F34A59"/>
    <w:rsid w:val="00F34A6F"/>
    <w:rsid w:val="00F34C79"/>
    <w:rsid w:val="00F34D54"/>
    <w:rsid w:val="00F34EF2"/>
    <w:rsid w:val="00F34F45"/>
    <w:rsid w:val="00F352D0"/>
    <w:rsid w:val="00F35309"/>
    <w:rsid w:val="00F3568B"/>
    <w:rsid w:val="00F356BA"/>
    <w:rsid w:val="00F356BE"/>
    <w:rsid w:val="00F357DB"/>
    <w:rsid w:val="00F35987"/>
    <w:rsid w:val="00F35A4B"/>
    <w:rsid w:val="00F35AD7"/>
    <w:rsid w:val="00F35C93"/>
    <w:rsid w:val="00F35E88"/>
    <w:rsid w:val="00F35F0C"/>
    <w:rsid w:val="00F36028"/>
    <w:rsid w:val="00F36032"/>
    <w:rsid w:val="00F360BB"/>
    <w:rsid w:val="00F360D9"/>
    <w:rsid w:val="00F36434"/>
    <w:rsid w:val="00F364B7"/>
    <w:rsid w:val="00F364FD"/>
    <w:rsid w:val="00F3678E"/>
    <w:rsid w:val="00F36817"/>
    <w:rsid w:val="00F3685C"/>
    <w:rsid w:val="00F3692E"/>
    <w:rsid w:val="00F3693B"/>
    <w:rsid w:val="00F36B72"/>
    <w:rsid w:val="00F36B7A"/>
    <w:rsid w:val="00F36BBC"/>
    <w:rsid w:val="00F36C4B"/>
    <w:rsid w:val="00F36D13"/>
    <w:rsid w:val="00F371AB"/>
    <w:rsid w:val="00F372A0"/>
    <w:rsid w:val="00F372C8"/>
    <w:rsid w:val="00F374B2"/>
    <w:rsid w:val="00F3751D"/>
    <w:rsid w:val="00F376F9"/>
    <w:rsid w:val="00F379D2"/>
    <w:rsid w:val="00F37A11"/>
    <w:rsid w:val="00F37A20"/>
    <w:rsid w:val="00F37A24"/>
    <w:rsid w:val="00F37B1C"/>
    <w:rsid w:val="00F37CC3"/>
    <w:rsid w:val="00F37D57"/>
    <w:rsid w:val="00F37EB5"/>
    <w:rsid w:val="00F37FA2"/>
    <w:rsid w:val="00F403AB"/>
    <w:rsid w:val="00F409B6"/>
    <w:rsid w:val="00F40A48"/>
    <w:rsid w:val="00F40AB4"/>
    <w:rsid w:val="00F40D14"/>
    <w:rsid w:val="00F4113B"/>
    <w:rsid w:val="00F411AC"/>
    <w:rsid w:val="00F41274"/>
    <w:rsid w:val="00F412BA"/>
    <w:rsid w:val="00F41304"/>
    <w:rsid w:val="00F41897"/>
    <w:rsid w:val="00F419EE"/>
    <w:rsid w:val="00F41AD1"/>
    <w:rsid w:val="00F41B5C"/>
    <w:rsid w:val="00F41BE2"/>
    <w:rsid w:val="00F41CCB"/>
    <w:rsid w:val="00F41D04"/>
    <w:rsid w:val="00F41F3F"/>
    <w:rsid w:val="00F41FD7"/>
    <w:rsid w:val="00F42035"/>
    <w:rsid w:val="00F42086"/>
    <w:rsid w:val="00F42139"/>
    <w:rsid w:val="00F42231"/>
    <w:rsid w:val="00F423D5"/>
    <w:rsid w:val="00F425C3"/>
    <w:rsid w:val="00F427EF"/>
    <w:rsid w:val="00F42854"/>
    <w:rsid w:val="00F42C09"/>
    <w:rsid w:val="00F42C9F"/>
    <w:rsid w:val="00F42D62"/>
    <w:rsid w:val="00F42D7C"/>
    <w:rsid w:val="00F42D97"/>
    <w:rsid w:val="00F42DB6"/>
    <w:rsid w:val="00F42DC7"/>
    <w:rsid w:val="00F42E01"/>
    <w:rsid w:val="00F42F84"/>
    <w:rsid w:val="00F43018"/>
    <w:rsid w:val="00F4309A"/>
    <w:rsid w:val="00F430E1"/>
    <w:rsid w:val="00F430FC"/>
    <w:rsid w:val="00F43370"/>
    <w:rsid w:val="00F435D6"/>
    <w:rsid w:val="00F43735"/>
    <w:rsid w:val="00F4373B"/>
    <w:rsid w:val="00F4374B"/>
    <w:rsid w:val="00F43787"/>
    <w:rsid w:val="00F437CD"/>
    <w:rsid w:val="00F43828"/>
    <w:rsid w:val="00F4388B"/>
    <w:rsid w:val="00F4396E"/>
    <w:rsid w:val="00F43A46"/>
    <w:rsid w:val="00F43A59"/>
    <w:rsid w:val="00F43C18"/>
    <w:rsid w:val="00F43D67"/>
    <w:rsid w:val="00F445DB"/>
    <w:rsid w:val="00F446AF"/>
    <w:rsid w:val="00F4496F"/>
    <w:rsid w:val="00F449D7"/>
    <w:rsid w:val="00F44C2B"/>
    <w:rsid w:val="00F44CE1"/>
    <w:rsid w:val="00F44D2D"/>
    <w:rsid w:val="00F44DCA"/>
    <w:rsid w:val="00F44EC6"/>
    <w:rsid w:val="00F44F16"/>
    <w:rsid w:val="00F4501C"/>
    <w:rsid w:val="00F45039"/>
    <w:rsid w:val="00F45145"/>
    <w:rsid w:val="00F45168"/>
    <w:rsid w:val="00F4526E"/>
    <w:rsid w:val="00F45474"/>
    <w:rsid w:val="00F45543"/>
    <w:rsid w:val="00F45B45"/>
    <w:rsid w:val="00F45C1F"/>
    <w:rsid w:val="00F45D68"/>
    <w:rsid w:val="00F45FAE"/>
    <w:rsid w:val="00F46400"/>
    <w:rsid w:val="00F464A2"/>
    <w:rsid w:val="00F46514"/>
    <w:rsid w:val="00F465E1"/>
    <w:rsid w:val="00F46656"/>
    <w:rsid w:val="00F466B1"/>
    <w:rsid w:val="00F46867"/>
    <w:rsid w:val="00F468C4"/>
    <w:rsid w:val="00F46A45"/>
    <w:rsid w:val="00F46BDC"/>
    <w:rsid w:val="00F46CB4"/>
    <w:rsid w:val="00F46D0B"/>
    <w:rsid w:val="00F46ED1"/>
    <w:rsid w:val="00F471EA"/>
    <w:rsid w:val="00F4722E"/>
    <w:rsid w:val="00F47579"/>
    <w:rsid w:val="00F47595"/>
    <w:rsid w:val="00F4778A"/>
    <w:rsid w:val="00F477AD"/>
    <w:rsid w:val="00F47827"/>
    <w:rsid w:val="00F4784D"/>
    <w:rsid w:val="00F478D6"/>
    <w:rsid w:val="00F47912"/>
    <w:rsid w:val="00F479D9"/>
    <w:rsid w:val="00F47BD2"/>
    <w:rsid w:val="00F47BDB"/>
    <w:rsid w:val="00F47CC6"/>
    <w:rsid w:val="00F47CCD"/>
    <w:rsid w:val="00F47D3C"/>
    <w:rsid w:val="00F47DFF"/>
    <w:rsid w:val="00F47FA1"/>
    <w:rsid w:val="00F5017B"/>
    <w:rsid w:val="00F502D4"/>
    <w:rsid w:val="00F50393"/>
    <w:rsid w:val="00F50421"/>
    <w:rsid w:val="00F50647"/>
    <w:rsid w:val="00F5082F"/>
    <w:rsid w:val="00F50A56"/>
    <w:rsid w:val="00F50CEC"/>
    <w:rsid w:val="00F50DAC"/>
    <w:rsid w:val="00F50DC7"/>
    <w:rsid w:val="00F51185"/>
    <w:rsid w:val="00F512DC"/>
    <w:rsid w:val="00F51465"/>
    <w:rsid w:val="00F51549"/>
    <w:rsid w:val="00F515EE"/>
    <w:rsid w:val="00F51609"/>
    <w:rsid w:val="00F516C2"/>
    <w:rsid w:val="00F517E6"/>
    <w:rsid w:val="00F518F6"/>
    <w:rsid w:val="00F519BB"/>
    <w:rsid w:val="00F51AA5"/>
    <w:rsid w:val="00F51B8A"/>
    <w:rsid w:val="00F51BCC"/>
    <w:rsid w:val="00F51BD7"/>
    <w:rsid w:val="00F51C44"/>
    <w:rsid w:val="00F51C50"/>
    <w:rsid w:val="00F51CCB"/>
    <w:rsid w:val="00F51DF9"/>
    <w:rsid w:val="00F51E6F"/>
    <w:rsid w:val="00F51FA2"/>
    <w:rsid w:val="00F520DD"/>
    <w:rsid w:val="00F52135"/>
    <w:rsid w:val="00F52190"/>
    <w:rsid w:val="00F52428"/>
    <w:rsid w:val="00F52449"/>
    <w:rsid w:val="00F52536"/>
    <w:rsid w:val="00F527B5"/>
    <w:rsid w:val="00F527F7"/>
    <w:rsid w:val="00F52A70"/>
    <w:rsid w:val="00F52A78"/>
    <w:rsid w:val="00F52E13"/>
    <w:rsid w:val="00F52EC1"/>
    <w:rsid w:val="00F52F97"/>
    <w:rsid w:val="00F53024"/>
    <w:rsid w:val="00F530C9"/>
    <w:rsid w:val="00F5314C"/>
    <w:rsid w:val="00F53182"/>
    <w:rsid w:val="00F5347D"/>
    <w:rsid w:val="00F534D3"/>
    <w:rsid w:val="00F53587"/>
    <w:rsid w:val="00F5374E"/>
    <w:rsid w:val="00F53AF0"/>
    <w:rsid w:val="00F53B75"/>
    <w:rsid w:val="00F53BAF"/>
    <w:rsid w:val="00F53C69"/>
    <w:rsid w:val="00F53DC4"/>
    <w:rsid w:val="00F53E1E"/>
    <w:rsid w:val="00F53F26"/>
    <w:rsid w:val="00F53F29"/>
    <w:rsid w:val="00F53FAD"/>
    <w:rsid w:val="00F541D4"/>
    <w:rsid w:val="00F543E3"/>
    <w:rsid w:val="00F54495"/>
    <w:rsid w:val="00F545F9"/>
    <w:rsid w:val="00F54658"/>
    <w:rsid w:val="00F5470F"/>
    <w:rsid w:val="00F547C6"/>
    <w:rsid w:val="00F547D3"/>
    <w:rsid w:val="00F547E5"/>
    <w:rsid w:val="00F54955"/>
    <w:rsid w:val="00F5499D"/>
    <w:rsid w:val="00F54AA0"/>
    <w:rsid w:val="00F54BCC"/>
    <w:rsid w:val="00F54C45"/>
    <w:rsid w:val="00F54D4F"/>
    <w:rsid w:val="00F54F29"/>
    <w:rsid w:val="00F54F9A"/>
    <w:rsid w:val="00F552D5"/>
    <w:rsid w:val="00F55306"/>
    <w:rsid w:val="00F55338"/>
    <w:rsid w:val="00F55461"/>
    <w:rsid w:val="00F554D9"/>
    <w:rsid w:val="00F556BE"/>
    <w:rsid w:val="00F558C4"/>
    <w:rsid w:val="00F5597F"/>
    <w:rsid w:val="00F55C94"/>
    <w:rsid w:val="00F55D67"/>
    <w:rsid w:val="00F55DD0"/>
    <w:rsid w:val="00F55EFC"/>
    <w:rsid w:val="00F55F21"/>
    <w:rsid w:val="00F55F6C"/>
    <w:rsid w:val="00F55F9C"/>
    <w:rsid w:val="00F5636A"/>
    <w:rsid w:val="00F5638B"/>
    <w:rsid w:val="00F56476"/>
    <w:rsid w:val="00F5658F"/>
    <w:rsid w:val="00F565D9"/>
    <w:rsid w:val="00F566A8"/>
    <w:rsid w:val="00F566F5"/>
    <w:rsid w:val="00F56B59"/>
    <w:rsid w:val="00F56E33"/>
    <w:rsid w:val="00F56FB8"/>
    <w:rsid w:val="00F57238"/>
    <w:rsid w:val="00F572F3"/>
    <w:rsid w:val="00F5734D"/>
    <w:rsid w:val="00F5741E"/>
    <w:rsid w:val="00F5753E"/>
    <w:rsid w:val="00F575E6"/>
    <w:rsid w:val="00F57678"/>
    <w:rsid w:val="00F57735"/>
    <w:rsid w:val="00F577FB"/>
    <w:rsid w:val="00F57877"/>
    <w:rsid w:val="00F57967"/>
    <w:rsid w:val="00F57A33"/>
    <w:rsid w:val="00F57BB7"/>
    <w:rsid w:val="00F57D6A"/>
    <w:rsid w:val="00F57DF3"/>
    <w:rsid w:val="00F6023B"/>
    <w:rsid w:val="00F6048C"/>
    <w:rsid w:val="00F606A9"/>
    <w:rsid w:val="00F606E3"/>
    <w:rsid w:val="00F60765"/>
    <w:rsid w:val="00F608BB"/>
    <w:rsid w:val="00F608E6"/>
    <w:rsid w:val="00F60959"/>
    <w:rsid w:val="00F60AA0"/>
    <w:rsid w:val="00F60AAB"/>
    <w:rsid w:val="00F60C2B"/>
    <w:rsid w:val="00F60C56"/>
    <w:rsid w:val="00F60C77"/>
    <w:rsid w:val="00F60C95"/>
    <w:rsid w:val="00F60EC9"/>
    <w:rsid w:val="00F60F09"/>
    <w:rsid w:val="00F61044"/>
    <w:rsid w:val="00F611BB"/>
    <w:rsid w:val="00F612F6"/>
    <w:rsid w:val="00F61307"/>
    <w:rsid w:val="00F613A2"/>
    <w:rsid w:val="00F615E3"/>
    <w:rsid w:val="00F619A7"/>
    <w:rsid w:val="00F619D9"/>
    <w:rsid w:val="00F61A9E"/>
    <w:rsid w:val="00F61C76"/>
    <w:rsid w:val="00F61C78"/>
    <w:rsid w:val="00F61CEE"/>
    <w:rsid w:val="00F61D7E"/>
    <w:rsid w:val="00F61E34"/>
    <w:rsid w:val="00F61F1A"/>
    <w:rsid w:val="00F6209D"/>
    <w:rsid w:val="00F62231"/>
    <w:rsid w:val="00F622AB"/>
    <w:rsid w:val="00F62339"/>
    <w:rsid w:val="00F62349"/>
    <w:rsid w:val="00F62358"/>
    <w:rsid w:val="00F62492"/>
    <w:rsid w:val="00F62B50"/>
    <w:rsid w:val="00F62D6F"/>
    <w:rsid w:val="00F62DE3"/>
    <w:rsid w:val="00F62F08"/>
    <w:rsid w:val="00F62FC9"/>
    <w:rsid w:val="00F62FF9"/>
    <w:rsid w:val="00F63236"/>
    <w:rsid w:val="00F6340B"/>
    <w:rsid w:val="00F63515"/>
    <w:rsid w:val="00F6352A"/>
    <w:rsid w:val="00F63611"/>
    <w:rsid w:val="00F63755"/>
    <w:rsid w:val="00F63785"/>
    <w:rsid w:val="00F637AE"/>
    <w:rsid w:val="00F63939"/>
    <w:rsid w:val="00F63C39"/>
    <w:rsid w:val="00F63DC4"/>
    <w:rsid w:val="00F63FC2"/>
    <w:rsid w:val="00F64419"/>
    <w:rsid w:val="00F64A52"/>
    <w:rsid w:val="00F64C15"/>
    <w:rsid w:val="00F64DD6"/>
    <w:rsid w:val="00F64EF1"/>
    <w:rsid w:val="00F65157"/>
    <w:rsid w:val="00F651B5"/>
    <w:rsid w:val="00F6551E"/>
    <w:rsid w:val="00F65613"/>
    <w:rsid w:val="00F65648"/>
    <w:rsid w:val="00F65680"/>
    <w:rsid w:val="00F656C0"/>
    <w:rsid w:val="00F65742"/>
    <w:rsid w:val="00F657D3"/>
    <w:rsid w:val="00F657E6"/>
    <w:rsid w:val="00F6597B"/>
    <w:rsid w:val="00F65B25"/>
    <w:rsid w:val="00F65BCA"/>
    <w:rsid w:val="00F65C61"/>
    <w:rsid w:val="00F65CE6"/>
    <w:rsid w:val="00F65DE2"/>
    <w:rsid w:val="00F6608E"/>
    <w:rsid w:val="00F660B8"/>
    <w:rsid w:val="00F660F7"/>
    <w:rsid w:val="00F66237"/>
    <w:rsid w:val="00F66265"/>
    <w:rsid w:val="00F6633A"/>
    <w:rsid w:val="00F6639F"/>
    <w:rsid w:val="00F663B8"/>
    <w:rsid w:val="00F66518"/>
    <w:rsid w:val="00F66634"/>
    <w:rsid w:val="00F66679"/>
    <w:rsid w:val="00F66737"/>
    <w:rsid w:val="00F66AAE"/>
    <w:rsid w:val="00F66C50"/>
    <w:rsid w:val="00F66DD3"/>
    <w:rsid w:val="00F66DDB"/>
    <w:rsid w:val="00F66DE5"/>
    <w:rsid w:val="00F66F62"/>
    <w:rsid w:val="00F670CB"/>
    <w:rsid w:val="00F6724F"/>
    <w:rsid w:val="00F6744D"/>
    <w:rsid w:val="00F675EB"/>
    <w:rsid w:val="00F67607"/>
    <w:rsid w:val="00F67657"/>
    <w:rsid w:val="00F67955"/>
    <w:rsid w:val="00F67A68"/>
    <w:rsid w:val="00F67C47"/>
    <w:rsid w:val="00F67CA6"/>
    <w:rsid w:val="00F67D6C"/>
    <w:rsid w:val="00F67D8D"/>
    <w:rsid w:val="00F67DE3"/>
    <w:rsid w:val="00F67E66"/>
    <w:rsid w:val="00F67F2E"/>
    <w:rsid w:val="00F67F75"/>
    <w:rsid w:val="00F7037D"/>
    <w:rsid w:val="00F7059C"/>
    <w:rsid w:val="00F705D6"/>
    <w:rsid w:val="00F706B7"/>
    <w:rsid w:val="00F707EE"/>
    <w:rsid w:val="00F708D8"/>
    <w:rsid w:val="00F709C0"/>
    <w:rsid w:val="00F70A73"/>
    <w:rsid w:val="00F70AA7"/>
    <w:rsid w:val="00F70AC2"/>
    <w:rsid w:val="00F70BDD"/>
    <w:rsid w:val="00F70FC9"/>
    <w:rsid w:val="00F710A0"/>
    <w:rsid w:val="00F71147"/>
    <w:rsid w:val="00F7115E"/>
    <w:rsid w:val="00F71573"/>
    <w:rsid w:val="00F7159C"/>
    <w:rsid w:val="00F715BE"/>
    <w:rsid w:val="00F71646"/>
    <w:rsid w:val="00F7165E"/>
    <w:rsid w:val="00F716B2"/>
    <w:rsid w:val="00F718FF"/>
    <w:rsid w:val="00F71923"/>
    <w:rsid w:val="00F71A76"/>
    <w:rsid w:val="00F71DA0"/>
    <w:rsid w:val="00F71E16"/>
    <w:rsid w:val="00F71FFB"/>
    <w:rsid w:val="00F7203C"/>
    <w:rsid w:val="00F722C0"/>
    <w:rsid w:val="00F72586"/>
    <w:rsid w:val="00F72619"/>
    <w:rsid w:val="00F7267F"/>
    <w:rsid w:val="00F726CE"/>
    <w:rsid w:val="00F726DE"/>
    <w:rsid w:val="00F72784"/>
    <w:rsid w:val="00F727DF"/>
    <w:rsid w:val="00F72864"/>
    <w:rsid w:val="00F728A5"/>
    <w:rsid w:val="00F728DD"/>
    <w:rsid w:val="00F7296A"/>
    <w:rsid w:val="00F72E61"/>
    <w:rsid w:val="00F72F58"/>
    <w:rsid w:val="00F73027"/>
    <w:rsid w:val="00F731EF"/>
    <w:rsid w:val="00F73271"/>
    <w:rsid w:val="00F732CC"/>
    <w:rsid w:val="00F7330A"/>
    <w:rsid w:val="00F73320"/>
    <w:rsid w:val="00F73524"/>
    <w:rsid w:val="00F73663"/>
    <w:rsid w:val="00F736BB"/>
    <w:rsid w:val="00F737EA"/>
    <w:rsid w:val="00F73923"/>
    <w:rsid w:val="00F73982"/>
    <w:rsid w:val="00F739B6"/>
    <w:rsid w:val="00F73A03"/>
    <w:rsid w:val="00F74064"/>
    <w:rsid w:val="00F7411A"/>
    <w:rsid w:val="00F741D7"/>
    <w:rsid w:val="00F74405"/>
    <w:rsid w:val="00F74430"/>
    <w:rsid w:val="00F744FA"/>
    <w:rsid w:val="00F74644"/>
    <w:rsid w:val="00F74747"/>
    <w:rsid w:val="00F748C7"/>
    <w:rsid w:val="00F748FB"/>
    <w:rsid w:val="00F74932"/>
    <w:rsid w:val="00F74CB1"/>
    <w:rsid w:val="00F753D5"/>
    <w:rsid w:val="00F7545D"/>
    <w:rsid w:val="00F75537"/>
    <w:rsid w:val="00F7555F"/>
    <w:rsid w:val="00F755C8"/>
    <w:rsid w:val="00F755F4"/>
    <w:rsid w:val="00F75682"/>
    <w:rsid w:val="00F756AD"/>
    <w:rsid w:val="00F75B53"/>
    <w:rsid w:val="00F75B5C"/>
    <w:rsid w:val="00F75BD7"/>
    <w:rsid w:val="00F75C34"/>
    <w:rsid w:val="00F75CCF"/>
    <w:rsid w:val="00F75D93"/>
    <w:rsid w:val="00F75D9C"/>
    <w:rsid w:val="00F75EA2"/>
    <w:rsid w:val="00F75FD3"/>
    <w:rsid w:val="00F76051"/>
    <w:rsid w:val="00F76067"/>
    <w:rsid w:val="00F7621F"/>
    <w:rsid w:val="00F7642E"/>
    <w:rsid w:val="00F76475"/>
    <w:rsid w:val="00F766B8"/>
    <w:rsid w:val="00F76843"/>
    <w:rsid w:val="00F76956"/>
    <w:rsid w:val="00F76979"/>
    <w:rsid w:val="00F76A1A"/>
    <w:rsid w:val="00F76AD0"/>
    <w:rsid w:val="00F76DE0"/>
    <w:rsid w:val="00F76E50"/>
    <w:rsid w:val="00F76E6A"/>
    <w:rsid w:val="00F76EBA"/>
    <w:rsid w:val="00F76FC0"/>
    <w:rsid w:val="00F77048"/>
    <w:rsid w:val="00F77612"/>
    <w:rsid w:val="00F776A2"/>
    <w:rsid w:val="00F77768"/>
    <w:rsid w:val="00F7781A"/>
    <w:rsid w:val="00F77D0A"/>
    <w:rsid w:val="00F77D92"/>
    <w:rsid w:val="00F77E4A"/>
    <w:rsid w:val="00F77E6C"/>
    <w:rsid w:val="00F80045"/>
    <w:rsid w:val="00F80088"/>
    <w:rsid w:val="00F800DB"/>
    <w:rsid w:val="00F8029B"/>
    <w:rsid w:val="00F802EF"/>
    <w:rsid w:val="00F80384"/>
    <w:rsid w:val="00F804A7"/>
    <w:rsid w:val="00F806BE"/>
    <w:rsid w:val="00F8073E"/>
    <w:rsid w:val="00F80811"/>
    <w:rsid w:val="00F808CA"/>
    <w:rsid w:val="00F8090D"/>
    <w:rsid w:val="00F809AD"/>
    <w:rsid w:val="00F80AD1"/>
    <w:rsid w:val="00F80B6D"/>
    <w:rsid w:val="00F80C5D"/>
    <w:rsid w:val="00F80C8C"/>
    <w:rsid w:val="00F80ED6"/>
    <w:rsid w:val="00F80EE5"/>
    <w:rsid w:val="00F81100"/>
    <w:rsid w:val="00F81123"/>
    <w:rsid w:val="00F8115A"/>
    <w:rsid w:val="00F81379"/>
    <w:rsid w:val="00F813B8"/>
    <w:rsid w:val="00F8140D"/>
    <w:rsid w:val="00F816CF"/>
    <w:rsid w:val="00F816E2"/>
    <w:rsid w:val="00F81828"/>
    <w:rsid w:val="00F81911"/>
    <w:rsid w:val="00F81951"/>
    <w:rsid w:val="00F81CE1"/>
    <w:rsid w:val="00F81DA1"/>
    <w:rsid w:val="00F82054"/>
    <w:rsid w:val="00F82302"/>
    <w:rsid w:val="00F8242C"/>
    <w:rsid w:val="00F824B0"/>
    <w:rsid w:val="00F8257E"/>
    <w:rsid w:val="00F8265C"/>
    <w:rsid w:val="00F8265D"/>
    <w:rsid w:val="00F826DB"/>
    <w:rsid w:val="00F82872"/>
    <w:rsid w:val="00F82A6C"/>
    <w:rsid w:val="00F82B63"/>
    <w:rsid w:val="00F82B78"/>
    <w:rsid w:val="00F82BFF"/>
    <w:rsid w:val="00F82CEC"/>
    <w:rsid w:val="00F82DD2"/>
    <w:rsid w:val="00F832E7"/>
    <w:rsid w:val="00F83316"/>
    <w:rsid w:val="00F833C9"/>
    <w:rsid w:val="00F833E8"/>
    <w:rsid w:val="00F835FB"/>
    <w:rsid w:val="00F83642"/>
    <w:rsid w:val="00F836BC"/>
    <w:rsid w:val="00F836E9"/>
    <w:rsid w:val="00F839A3"/>
    <w:rsid w:val="00F83BAD"/>
    <w:rsid w:val="00F83C4F"/>
    <w:rsid w:val="00F83CED"/>
    <w:rsid w:val="00F8404A"/>
    <w:rsid w:val="00F84112"/>
    <w:rsid w:val="00F8455D"/>
    <w:rsid w:val="00F8479F"/>
    <w:rsid w:val="00F84922"/>
    <w:rsid w:val="00F84A57"/>
    <w:rsid w:val="00F84B14"/>
    <w:rsid w:val="00F84B88"/>
    <w:rsid w:val="00F84BDB"/>
    <w:rsid w:val="00F84DBE"/>
    <w:rsid w:val="00F84FCA"/>
    <w:rsid w:val="00F85034"/>
    <w:rsid w:val="00F851E6"/>
    <w:rsid w:val="00F85221"/>
    <w:rsid w:val="00F8522C"/>
    <w:rsid w:val="00F85325"/>
    <w:rsid w:val="00F85333"/>
    <w:rsid w:val="00F85349"/>
    <w:rsid w:val="00F855D5"/>
    <w:rsid w:val="00F856D6"/>
    <w:rsid w:val="00F85781"/>
    <w:rsid w:val="00F858B3"/>
    <w:rsid w:val="00F85A94"/>
    <w:rsid w:val="00F85DA2"/>
    <w:rsid w:val="00F860DB"/>
    <w:rsid w:val="00F860E9"/>
    <w:rsid w:val="00F86105"/>
    <w:rsid w:val="00F861AB"/>
    <w:rsid w:val="00F861FF"/>
    <w:rsid w:val="00F8628F"/>
    <w:rsid w:val="00F86391"/>
    <w:rsid w:val="00F86521"/>
    <w:rsid w:val="00F865FD"/>
    <w:rsid w:val="00F86627"/>
    <w:rsid w:val="00F86782"/>
    <w:rsid w:val="00F8680A"/>
    <w:rsid w:val="00F869FB"/>
    <w:rsid w:val="00F86BA1"/>
    <w:rsid w:val="00F86D1B"/>
    <w:rsid w:val="00F87288"/>
    <w:rsid w:val="00F873F4"/>
    <w:rsid w:val="00F87518"/>
    <w:rsid w:val="00F876DF"/>
    <w:rsid w:val="00F877C8"/>
    <w:rsid w:val="00F87835"/>
    <w:rsid w:val="00F87F48"/>
    <w:rsid w:val="00F87F99"/>
    <w:rsid w:val="00F90006"/>
    <w:rsid w:val="00F90229"/>
    <w:rsid w:val="00F90520"/>
    <w:rsid w:val="00F905E8"/>
    <w:rsid w:val="00F90814"/>
    <w:rsid w:val="00F90B73"/>
    <w:rsid w:val="00F90C3C"/>
    <w:rsid w:val="00F90CF5"/>
    <w:rsid w:val="00F90D9D"/>
    <w:rsid w:val="00F90F0B"/>
    <w:rsid w:val="00F90FF4"/>
    <w:rsid w:val="00F910BD"/>
    <w:rsid w:val="00F9132E"/>
    <w:rsid w:val="00F914E6"/>
    <w:rsid w:val="00F91671"/>
    <w:rsid w:val="00F916D0"/>
    <w:rsid w:val="00F9174F"/>
    <w:rsid w:val="00F917B4"/>
    <w:rsid w:val="00F9186A"/>
    <w:rsid w:val="00F918BF"/>
    <w:rsid w:val="00F9197A"/>
    <w:rsid w:val="00F919E1"/>
    <w:rsid w:val="00F9210A"/>
    <w:rsid w:val="00F92233"/>
    <w:rsid w:val="00F922AD"/>
    <w:rsid w:val="00F922F1"/>
    <w:rsid w:val="00F92837"/>
    <w:rsid w:val="00F929C4"/>
    <w:rsid w:val="00F92C56"/>
    <w:rsid w:val="00F92F88"/>
    <w:rsid w:val="00F9305C"/>
    <w:rsid w:val="00F930EA"/>
    <w:rsid w:val="00F93537"/>
    <w:rsid w:val="00F93704"/>
    <w:rsid w:val="00F93852"/>
    <w:rsid w:val="00F93B2F"/>
    <w:rsid w:val="00F93BB2"/>
    <w:rsid w:val="00F93D92"/>
    <w:rsid w:val="00F94043"/>
    <w:rsid w:val="00F942B4"/>
    <w:rsid w:val="00F9430E"/>
    <w:rsid w:val="00F943A4"/>
    <w:rsid w:val="00F943E3"/>
    <w:rsid w:val="00F9448D"/>
    <w:rsid w:val="00F9450C"/>
    <w:rsid w:val="00F94529"/>
    <w:rsid w:val="00F945BB"/>
    <w:rsid w:val="00F9468F"/>
    <w:rsid w:val="00F947BA"/>
    <w:rsid w:val="00F948C3"/>
    <w:rsid w:val="00F9492D"/>
    <w:rsid w:val="00F94964"/>
    <w:rsid w:val="00F94AF7"/>
    <w:rsid w:val="00F94C39"/>
    <w:rsid w:val="00F94CD8"/>
    <w:rsid w:val="00F94FD9"/>
    <w:rsid w:val="00F9503A"/>
    <w:rsid w:val="00F951DA"/>
    <w:rsid w:val="00F952D7"/>
    <w:rsid w:val="00F952DB"/>
    <w:rsid w:val="00F953E2"/>
    <w:rsid w:val="00F954B0"/>
    <w:rsid w:val="00F954EA"/>
    <w:rsid w:val="00F955DA"/>
    <w:rsid w:val="00F95704"/>
    <w:rsid w:val="00F9575F"/>
    <w:rsid w:val="00F95A28"/>
    <w:rsid w:val="00F95A65"/>
    <w:rsid w:val="00F95B28"/>
    <w:rsid w:val="00F95C31"/>
    <w:rsid w:val="00F95DA2"/>
    <w:rsid w:val="00F95DBA"/>
    <w:rsid w:val="00F95DFC"/>
    <w:rsid w:val="00F95E07"/>
    <w:rsid w:val="00F95E79"/>
    <w:rsid w:val="00F95EB4"/>
    <w:rsid w:val="00F95F06"/>
    <w:rsid w:val="00F95F0E"/>
    <w:rsid w:val="00F95F38"/>
    <w:rsid w:val="00F961DD"/>
    <w:rsid w:val="00F964C8"/>
    <w:rsid w:val="00F964F1"/>
    <w:rsid w:val="00F96634"/>
    <w:rsid w:val="00F96681"/>
    <w:rsid w:val="00F966BA"/>
    <w:rsid w:val="00F96874"/>
    <w:rsid w:val="00F968AF"/>
    <w:rsid w:val="00F96A17"/>
    <w:rsid w:val="00F96A6E"/>
    <w:rsid w:val="00F96ABA"/>
    <w:rsid w:val="00F96D1B"/>
    <w:rsid w:val="00F96E5C"/>
    <w:rsid w:val="00F970DF"/>
    <w:rsid w:val="00F971AE"/>
    <w:rsid w:val="00F973AF"/>
    <w:rsid w:val="00F97539"/>
    <w:rsid w:val="00F97573"/>
    <w:rsid w:val="00F97607"/>
    <w:rsid w:val="00F976FD"/>
    <w:rsid w:val="00F97855"/>
    <w:rsid w:val="00F97E93"/>
    <w:rsid w:val="00F97E94"/>
    <w:rsid w:val="00FA00C4"/>
    <w:rsid w:val="00FA011E"/>
    <w:rsid w:val="00FA016F"/>
    <w:rsid w:val="00FA0352"/>
    <w:rsid w:val="00FA0471"/>
    <w:rsid w:val="00FA04AF"/>
    <w:rsid w:val="00FA0787"/>
    <w:rsid w:val="00FA0943"/>
    <w:rsid w:val="00FA0A60"/>
    <w:rsid w:val="00FA0BB7"/>
    <w:rsid w:val="00FA0D75"/>
    <w:rsid w:val="00FA0F50"/>
    <w:rsid w:val="00FA1511"/>
    <w:rsid w:val="00FA15BF"/>
    <w:rsid w:val="00FA184B"/>
    <w:rsid w:val="00FA1A00"/>
    <w:rsid w:val="00FA1A16"/>
    <w:rsid w:val="00FA1B41"/>
    <w:rsid w:val="00FA1DFD"/>
    <w:rsid w:val="00FA1E5B"/>
    <w:rsid w:val="00FA1E8D"/>
    <w:rsid w:val="00FA1F76"/>
    <w:rsid w:val="00FA1FDD"/>
    <w:rsid w:val="00FA20D5"/>
    <w:rsid w:val="00FA2514"/>
    <w:rsid w:val="00FA264B"/>
    <w:rsid w:val="00FA270A"/>
    <w:rsid w:val="00FA2799"/>
    <w:rsid w:val="00FA27AB"/>
    <w:rsid w:val="00FA2991"/>
    <w:rsid w:val="00FA2A05"/>
    <w:rsid w:val="00FA2A3F"/>
    <w:rsid w:val="00FA2B1B"/>
    <w:rsid w:val="00FA2C71"/>
    <w:rsid w:val="00FA2D43"/>
    <w:rsid w:val="00FA2ED8"/>
    <w:rsid w:val="00FA3153"/>
    <w:rsid w:val="00FA31ED"/>
    <w:rsid w:val="00FA3497"/>
    <w:rsid w:val="00FA34C3"/>
    <w:rsid w:val="00FA34FF"/>
    <w:rsid w:val="00FA353B"/>
    <w:rsid w:val="00FA35DF"/>
    <w:rsid w:val="00FA3633"/>
    <w:rsid w:val="00FA372B"/>
    <w:rsid w:val="00FA37C7"/>
    <w:rsid w:val="00FA3824"/>
    <w:rsid w:val="00FA39D9"/>
    <w:rsid w:val="00FA3B8E"/>
    <w:rsid w:val="00FA3BCD"/>
    <w:rsid w:val="00FA3C26"/>
    <w:rsid w:val="00FA4060"/>
    <w:rsid w:val="00FA4145"/>
    <w:rsid w:val="00FA4357"/>
    <w:rsid w:val="00FA4421"/>
    <w:rsid w:val="00FA45B9"/>
    <w:rsid w:val="00FA466D"/>
    <w:rsid w:val="00FA4715"/>
    <w:rsid w:val="00FA4906"/>
    <w:rsid w:val="00FA492A"/>
    <w:rsid w:val="00FA49C3"/>
    <w:rsid w:val="00FA4B35"/>
    <w:rsid w:val="00FA4C92"/>
    <w:rsid w:val="00FA4D66"/>
    <w:rsid w:val="00FA5225"/>
    <w:rsid w:val="00FA52A7"/>
    <w:rsid w:val="00FA5551"/>
    <w:rsid w:val="00FA56D0"/>
    <w:rsid w:val="00FA5769"/>
    <w:rsid w:val="00FA57EC"/>
    <w:rsid w:val="00FA5869"/>
    <w:rsid w:val="00FA5915"/>
    <w:rsid w:val="00FA5C20"/>
    <w:rsid w:val="00FA5C8A"/>
    <w:rsid w:val="00FA5D20"/>
    <w:rsid w:val="00FA5D87"/>
    <w:rsid w:val="00FA5F87"/>
    <w:rsid w:val="00FA60D6"/>
    <w:rsid w:val="00FA61DD"/>
    <w:rsid w:val="00FA624D"/>
    <w:rsid w:val="00FA6255"/>
    <w:rsid w:val="00FA62A7"/>
    <w:rsid w:val="00FA6448"/>
    <w:rsid w:val="00FA665C"/>
    <w:rsid w:val="00FA66F5"/>
    <w:rsid w:val="00FA681D"/>
    <w:rsid w:val="00FA6886"/>
    <w:rsid w:val="00FA696E"/>
    <w:rsid w:val="00FA69B2"/>
    <w:rsid w:val="00FA6D34"/>
    <w:rsid w:val="00FA6E23"/>
    <w:rsid w:val="00FA708C"/>
    <w:rsid w:val="00FA70A0"/>
    <w:rsid w:val="00FA72E2"/>
    <w:rsid w:val="00FA748E"/>
    <w:rsid w:val="00FA78D0"/>
    <w:rsid w:val="00FA7B54"/>
    <w:rsid w:val="00FA7E81"/>
    <w:rsid w:val="00FB005D"/>
    <w:rsid w:val="00FB0104"/>
    <w:rsid w:val="00FB02FE"/>
    <w:rsid w:val="00FB02FF"/>
    <w:rsid w:val="00FB036B"/>
    <w:rsid w:val="00FB045F"/>
    <w:rsid w:val="00FB0583"/>
    <w:rsid w:val="00FB07D8"/>
    <w:rsid w:val="00FB0909"/>
    <w:rsid w:val="00FB09BF"/>
    <w:rsid w:val="00FB0B10"/>
    <w:rsid w:val="00FB0EB1"/>
    <w:rsid w:val="00FB0F20"/>
    <w:rsid w:val="00FB1018"/>
    <w:rsid w:val="00FB1048"/>
    <w:rsid w:val="00FB10B0"/>
    <w:rsid w:val="00FB10E8"/>
    <w:rsid w:val="00FB12F4"/>
    <w:rsid w:val="00FB12F6"/>
    <w:rsid w:val="00FB15EF"/>
    <w:rsid w:val="00FB169B"/>
    <w:rsid w:val="00FB1755"/>
    <w:rsid w:val="00FB182E"/>
    <w:rsid w:val="00FB1AA8"/>
    <w:rsid w:val="00FB1ACE"/>
    <w:rsid w:val="00FB1DB3"/>
    <w:rsid w:val="00FB1DC3"/>
    <w:rsid w:val="00FB1DF2"/>
    <w:rsid w:val="00FB1E38"/>
    <w:rsid w:val="00FB1F18"/>
    <w:rsid w:val="00FB20F0"/>
    <w:rsid w:val="00FB2152"/>
    <w:rsid w:val="00FB21C8"/>
    <w:rsid w:val="00FB236C"/>
    <w:rsid w:val="00FB23E2"/>
    <w:rsid w:val="00FB242E"/>
    <w:rsid w:val="00FB256B"/>
    <w:rsid w:val="00FB25A6"/>
    <w:rsid w:val="00FB27D0"/>
    <w:rsid w:val="00FB27E3"/>
    <w:rsid w:val="00FB2821"/>
    <w:rsid w:val="00FB2836"/>
    <w:rsid w:val="00FB2859"/>
    <w:rsid w:val="00FB2868"/>
    <w:rsid w:val="00FB292E"/>
    <w:rsid w:val="00FB2B02"/>
    <w:rsid w:val="00FB2C5F"/>
    <w:rsid w:val="00FB2DF4"/>
    <w:rsid w:val="00FB2F5E"/>
    <w:rsid w:val="00FB327F"/>
    <w:rsid w:val="00FB33E6"/>
    <w:rsid w:val="00FB34EA"/>
    <w:rsid w:val="00FB3592"/>
    <w:rsid w:val="00FB3667"/>
    <w:rsid w:val="00FB366A"/>
    <w:rsid w:val="00FB370B"/>
    <w:rsid w:val="00FB388D"/>
    <w:rsid w:val="00FB39D1"/>
    <w:rsid w:val="00FB3CF5"/>
    <w:rsid w:val="00FB3D21"/>
    <w:rsid w:val="00FB3D70"/>
    <w:rsid w:val="00FB3E3C"/>
    <w:rsid w:val="00FB41E0"/>
    <w:rsid w:val="00FB4475"/>
    <w:rsid w:val="00FB449B"/>
    <w:rsid w:val="00FB4518"/>
    <w:rsid w:val="00FB4589"/>
    <w:rsid w:val="00FB4649"/>
    <w:rsid w:val="00FB490A"/>
    <w:rsid w:val="00FB4A52"/>
    <w:rsid w:val="00FB4DBF"/>
    <w:rsid w:val="00FB519B"/>
    <w:rsid w:val="00FB5243"/>
    <w:rsid w:val="00FB53AA"/>
    <w:rsid w:val="00FB5556"/>
    <w:rsid w:val="00FB55FB"/>
    <w:rsid w:val="00FB57E2"/>
    <w:rsid w:val="00FB58AE"/>
    <w:rsid w:val="00FB5AB2"/>
    <w:rsid w:val="00FB5AC5"/>
    <w:rsid w:val="00FB5E82"/>
    <w:rsid w:val="00FB5EB4"/>
    <w:rsid w:val="00FB5F61"/>
    <w:rsid w:val="00FB5F84"/>
    <w:rsid w:val="00FB5FA9"/>
    <w:rsid w:val="00FB6111"/>
    <w:rsid w:val="00FB630E"/>
    <w:rsid w:val="00FB636D"/>
    <w:rsid w:val="00FB6426"/>
    <w:rsid w:val="00FB643A"/>
    <w:rsid w:val="00FB6478"/>
    <w:rsid w:val="00FB6520"/>
    <w:rsid w:val="00FB67DB"/>
    <w:rsid w:val="00FB67F7"/>
    <w:rsid w:val="00FB6922"/>
    <w:rsid w:val="00FB6A1B"/>
    <w:rsid w:val="00FB6A49"/>
    <w:rsid w:val="00FB6A7B"/>
    <w:rsid w:val="00FB6D85"/>
    <w:rsid w:val="00FB6EC5"/>
    <w:rsid w:val="00FB72CA"/>
    <w:rsid w:val="00FB7357"/>
    <w:rsid w:val="00FB7460"/>
    <w:rsid w:val="00FB74AD"/>
    <w:rsid w:val="00FB74FD"/>
    <w:rsid w:val="00FB77B9"/>
    <w:rsid w:val="00FB78A3"/>
    <w:rsid w:val="00FB7A4F"/>
    <w:rsid w:val="00FB7B03"/>
    <w:rsid w:val="00FB7E92"/>
    <w:rsid w:val="00FB7EDE"/>
    <w:rsid w:val="00FC008C"/>
    <w:rsid w:val="00FC008F"/>
    <w:rsid w:val="00FC0099"/>
    <w:rsid w:val="00FC0121"/>
    <w:rsid w:val="00FC01CF"/>
    <w:rsid w:val="00FC01D0"/>
    <w:rsid w:val="00FC0219"/>
    <w:rsid w:val="00FC02D8"/>
    <w:rsid w:val="00FC02E2"/>
    <w:rsid w:val="00FC03FA"/>
    <w:rsid w:val="00FC04FA"/>
    <w:rsid w:val="00FC07DC"/>
    <w:rsid w:val="00FC13F0"/>
    <w:rsid w:val="00FC14BB"/>
    <w:rsid w:val="00FC1675"/>
    <w:rsid w:val="00FC1853"/>
    <w:rsid w:val="00FC18C7"/>
    <w:rsid w:val="00FC1985"/>
    <w:rsid w:val="00FC1A30"/>
    <w:rsid w:val="00FC1A80"/>
    <w:rsid w:val="00FC1E1C"/>
    <w:rsid w:val="00FC1F10"/>
    <w:rsid w:val="00FC223F"/>
    <w:rsid w:val="00FC2249"/>
    <w:rsid w:val="00FC233C"/>
    <w:rsid w:val="00FC2364"/>
    <w:rsid w:val="00FC24F7"/>
    <w:rsid w:val="00FC25E0"/>
    <w:rsid w:val="00FC2658"/>
    <w:rsid w:val="00FC266B"/>
    <w:rsid w:val="00FC2771"/>
    <w:rsid w:val="00FC2784"/>
    <w:rsid w:val="00FC2A03"/>
    <w:rsid w:val="00FC2C74"/>
    <w:rsid w:val="00FC2D0B"/>
    <w:rsid w:val="00FC2D33"/>
    <w:rsid w:val="00FC2F9F"/>
    <w:rsid w:val="00FC2FEA"/>
    <w:rsid w:val="00FC303D"/>
    <w:rsid w:val="00FC3541"/>
    <w:rsid w:val="00FC365B"/>
    <w:rsid w:val="00FC3663"/>
    <w:rsid w:val="00FC366B"/>
    <w:rsid w:val="00FC37A6"/>
    <w:rsid w:val="00FC37B6"/>
    <w:rsid w:val="00FC3D3A"/>
    <w:rsid w:val="00FC3D68"/>
    <w:rsid w:val="00FC3E2B"/>
    <w:rsid w:val="00FC3EF3"/>
    <w:rsid w:val="00FC40B3"/>
    <w:rsid w:val="00FC41A2"/>
    <w:rsid w:val="00FC42A0"/>
    <w:rsid w:val="00FC42AD"/>
    <w:rsid w:val="00FC4499"/>
    <w:rsid w:val="00FC4543"/>
    <w:rsid w:val="00FC4931"/>
    <w:rsid w:val="00FC4935"/>
    <w:rsid w:val="00FC4B64"/>
    <w:rsid w:val="00FC4D3F"/>
    <w:rsid w:val="00FC4E1D"/>
    <w:rsid w:val="00FC4E2A"/>
    <w:rsid w:val="00FC4E3D"/>
    <w:rsid w:val="00FC4F09"/>
    <w:rsid w:val="00FC4F12"/>
    <w:rsid w:val="00FC505D"/>
    <w:rsid w:val="00FC50DC"/>
    <w:rsid w:val="00FC5249"/>
    <w:rsid w:val="00FC5272"/>
    <w:rsid w:val="00FC5590"/>
    <w:rsid w:val="00FC5596"/>
    <w:rsid w:val="00FC55F2"/>
    <w:rsid w:val="00FC57A4"/>
    <w:rsid w:val="00FC5847"/>
    <w:rsid w:val="00FC5AA6"/>
    <w:rsid w:val="00FC5ADD"/>
    <w:rsid w:val="00FC5B7C"/>
    <w:rsid w:val="00FC5B90"/>
    <w:rsid w:val="00FC5C84"/>
    <w:rsid w:val="00FC5CBF"/>
    <w:rsid w:val="00FC5F2B"/>
    <w:rsid w:val="00FC60A0"/>
    <w:rsid w:val="00FC6161"/>
    <w:rsid w:val="00FC61BF"/>
    <w:rsid w:val="00FC6423"/>
    <w:rsid w:val="00FC65BD"/>
    <w:rsid w:val="00FC65C5"/>
    <w:rsid w:val="00FC66BB"/>
    <w:rsid w:val="00FC6824"/>
    <w:rsid w:val="00FC69B0"/>
    <w:rsid w:val="00FC69F4"/>
    <w:rsid w:val="00FC6B88"/>
    <w:rsid w:val="00FC6CA8"/>
    <w:rsid w:val="00FC6DAD"/>
    <w:rsid w:val="00FC6E3D"/>
    <w:rsid w:val="00FC7268"/>
    <w:rsid w:val="00FC73B4"/>
    <w:rsid w:val="00FC73CA"/>
    <w:rsid w:val="00FC75F3"/>
    <w:rsid w:val="00FC76BB"/>
    <w:rsid w:val="00FC76C6"/>
    <w:rsid w:val="00FC781A"/>
    <w:rsid w:val="00FC7899"/>
    <w:rsid w:val="00FC7D6F"/>
    <w:rsid w:val="00FC7DA2"/>
    <w:rsid w:val="00FD0067"/>
    <w:rsid w:val="00FD0129"/>
    <w:rsid w:val="00FD0135"/>
    <w:rsid w:val="00FD024D"/>
    <w:rsid w:val="00FD03E6"/>
    <w:rsid w:val="00FD03F3"/>
    <w:rsid w:val="00FD0659"/>
    <w:rsid w:val="00FD067B"/>
    <w:rsid w:val="00FD07AE"/>
    <w:rsid w:val="00FD07C3"/>
    <w:rsid w:val="00FD0CAD"/>
    <w:rsid w:val="00FD0CF0"/>
    <w:rsid w:val="00FD0D54"/>
    <w:rsid w:val="00FD0D68"/>
    <w:rsid w:val="00FD0E1A"/>
    <w:rsid w:val="00FD0E3A"/>
    <w:rsid w:val="00FD11E4"/>
    <w:rsid w:val="00FD13A9"/>
    <w:rsid w:val="00FD1422"/>
    <w:rsid w:val="00FD153C"/>
    <w:rsid w:val="00FD15A9"/>
    <w:rsid w:val="00FD1699"/>
    <w:rsid w:val="00FD16D6"/>
    <w:rsid w:val="00FD1766"/>
    <w:rsid w:val="00FD195E"/>
    <w:rsid w:val="00FD1A52"/>
    <w:rsid w:val="00FD1BF8"/>
    <w:rsid w:val="00FD1CAF"/>
    <w:rsid w:val="00FD1E0E"/>
    <w:rsid w:val="00FD1E2E"/>
    <w:rsid w:val="00FD1EA7"/>
    <w:rsid w:val="00FD1EAF"/>
    <w:rsid w:val="00FD227B"/>
    <w:rsid w:val="00FD22EE"/>
    <w:rsid w:val="00FD24C7"/>
    <w:rsid w:val="00FD262F"/>
    <w:rsid w:val="00FD2666"/>
    <w:rsid w:val="00FD2A00"/>
    <w:rsid w:val="00FD2C21"/>
    <w:rsid w:val="00FD2D87"/>
    <w:rsid w:val="00FD2DCB"/>
    <w:rsid w:val="00FD2F8A"/>
    <w:rsid w:val="00FD301D"/>
    <w:rsid w:val="00FD31DD"/>
    <w:rsid w:val="00FD32F5"/>
    <w:rsid w:val="00FD3B07"/>
    <w:rsid w:val="00FD3BA2"/>
    <w:rsid w:val="00FD3D0A"/>
    <w:rsid w:val="00FD3D9C"/>
    <w:rsid w:val="00FD3F6D"/>
    <w:rsid w:val="00FD4400"/>
    <w:rsid w:val="00FD4540"/>
    <w:rsid w:val="00FD46F8"/>
    <w:rsid w:val="00FD47CD"/>
    <w:rsid w:val="00FD4958"/>
    <w:rsid w:val="00FD49EB"/>
    <w:rsid w:val="00FD4A0E"/>
    <w:rsid w:val="00FD4B76"/>
    <w:rsid w:val="00FD4CC7"/>
    <w:rsid w:val="00FD4D6A"/>
    <w:rsid w:val="00FD4DB0"/>
    <w:rsid w:val="00FD4E2D"/>
    <w:rsid w:val="00FD4E30"/>
    <w:rsid w:val="00FD4ED5"/>
    <w:rsid w:val="00FD50B3"/>
    <w:rsid w:val="00FD5435"/>
    <w:rsid w:val="00FD55C5"/>
    <w:rsid w:val="00FD5612"/>
    <w:rsid w:val="00FD566A"/>
    <w:rsid w:val="00FD5788"/>
    <w:rsid w:val="00FD5CA5"/>
    <w:rsid w:val="00FD5D4D"/>
    <w:rsid w:val="00FD5E37"/>
    <w:rsid w:val="00FD5F2B"/>
    <w:rsid w:val="00FD5F61"/>
    <w:rsid w:val="00FD5FCF"/>
    <w:rsid w:val="00FD633F"/>
    <w:rsid w:val="00FD67BA"/>
    <w:rsid w:val="00FD686D"/>
    <w:rsid w:val="00FD68B3"/>
    <w:rsid w:val="00FD6969"/>
    <w:rsid w:val="00FD6977"/>
    <w:rsid w:val="00FD6A89"/>
    <w:rsid w:val="00FD6B68"/>
    <w:rsid w:val="00FD6C89"/>
    <w:rsid w:val="00FD70B4"/>
    <w:rsid w:val="00FD7377"/>
    <w:rsid w:val="00FD73C1"/>
    <w:rsid w:val="00FD767D"/>
    <w:rsid w:val="00FD76FE"/>
    <w:rsid w:val="00FD7755"/>
    <w:rsid w:val="00FD7810"/>
    <w:rsid w:val="00FD793B"/>
    <w:rsid w:val="00FD7A06"/>
    <w:rsid w:val="00FD7B49"/>
    <w:rsid w:val="00FD7C39"/>
    <w:rsid w:val="00FD7D85"/>
    <w:rsid w:val="00FD7E28"/>
    <w:rsid w:val="00FE0003"/>
    <w:rsid w:val="00FE0342"/>
    <w:rsid w:val="00FE04FA"/>
    <w:rsid w:val="00FE0732"/>
    <w:rsid w:val="00FE089E"/>
    <w:rsid w:val="00FE0A1E"/>
    <w:rsid w:val="00FE0AC1"/>
    <w:rsid w:val="00FE0C53"/>
    <w:rsid w:val="00FE0C78"/>
    <w:rsid w:val="00FE0D87"/>
    <w:rsid w:val="00FE0F75"/>
    <w:rsid w:val="00FE109D"/>
    <w:rsid w:val="00FE10C8"/>
    <w:rsid w:val="00FE194D"/>
    <w:rsid w:val="00FE1963"/>
    <w:rsid w:val="00FE1B58"/>
    <w:rsid w:val="00FE1D02"/>
    <w:rsid w:val="00FE1D98"/>
    <w:rsid w:val="00FE1DDD"/>
    <w:rsid w:val="00FE2103"/>
    <w:rsid w:val="00FE2152"/>
    <w:rsid w:val="00FE239E"/>
    <w:rsid w:val="00FE23FF"/>
    <w:rsid w:val="00FE27A2"/>
    <w:rsid w:val="00FE28F8"/>
    <w:rsid w:val="00FE29A0"/>
    <w:rsid w:val="00FE2B0E"/>
    <w:rsid w:val="00FE2B35"/>
    <w:rsid w:val="00FE2B58"/>
    <w:rsid w:val="00FE2D02"/>
    <w:rsid w:val="00FE2D32"/>
    <w:rsid w:val="00FE2DA1"/>
    <w:rsid w:val="00FE2E56"/>
    <w:rsid w:val="00FE308E"/>
    <w:rsid w:val="00FE340D"/>
    <w:rsid w:val="00FE3560"/>
    <w:rsid w:val="00FE3583"/>
    <w:rsid w:val="00FE35FA"/>
    <w:rsid w:val="00FE3838"/>
    <w:rsid w:val="00FE3871"/>
    <w:rsid w:val="00FE38FD"/>
    <w:rsid w:val="00FE3AFA"/>
    <w:rsid w:val="00FE3C25"/>
    <w:rsid w:val="00FE401C"/>
    <w:rsid w:val="00FE40C8"/>
    <w:rsid w:val="00FE4234"/>
    <w:rsid w:val="00FE429F"/>
    <w:rsid w:val="00FE4451"/>
    <w:rsid w:val="00FE44F8"/>
    <w:rsid w:val="00FE4591"/>
    <w:rsid w:val="00FE461A"/>
    <w:rsid w:val="00FE4974"/>
    <w:rsid w:val="00FE4A65"/>
    <w:rsid w:val="00FE4A69"/>
    <w:rsid w:val="00FE4A75"/>
    <w:rsid w:val="00FE4B95"/>
    <w:rsid w:val="00FE4F12"/>
    <w:rsid w:val="00FE4F5E"/>
    <w:rsid w:val="00FE500C"/>
    <w:rsid w:val="00FE518E"/>
    <w:rsid w:val="00FE51E4"/>
    <w:rsid w:val="00FE5230"/>
    <w:rsid w:val="00FE5255"/>
    <w:rsid w:val="00FE52E9"/>
    <w:rsid w:val="00FE543A"/>
    <w:rsid w:val="00FE55A4"/>
    <w:rsid w:val="00FE55F7"/>
    <w:rsid w:val="00FE5635"/>
    <w:rsid w:val="00FE5752"/>
    <w:rsid w:val="00FE577D"/>
    <w:rsid w:val="00FE57D3"/>
    <w:rsid w:val="00FE583C"/>
    <w:rsid w:val="00FE58A8"/>
    <w:rsid w:val="00FE5972"/>
    <w:rsid w:val="00FE5A1C"/>
    <w:rsid w:val="00FE5AE9"/>
    <w:rsid w:val="00FE5E5B"/>
    <w:rsid w:val="00FE5F36"/>
    <w:rsid w:val="00FE602E"/>
    <w:rsid w:val="00FE60A1"/>
    <w:rsid w:val="00FE6141"/>
    <w:rsid w:val="00FE622B"/>
    <w:rsid w:val="00FE6541"/>
    <w:rsid w:val="00FE66DF"/>
    <w:rsid w:val="00FE675B"/>
    <w:rsid w:val="00FE6769"/>
    <w:rsid w:val="00FE677B"/>
    <w:rsid w:val="00FE67B4"/>
    <w:rsid w:val="00FE68DC"/>
    <w:rsid w:val="00FE690A"/>
    <w:rsid w:val="00FE6995"/>
    <w:rsid w:val="00FE6BBA"/>
    <w:rsid w:val="00FE6D33"/>
    <w:rsid w:val="00FE6DC3"/>
    <w:rsid w:val="00FE7066"/>
    <w:rsid w:val="00FE70D2"/>
    <w:rsid w:val="00FE771E"/>
    <w:rsid w:val="00FE7766"/>
    <w:rsid w:val="00FE7C0A"/>
    <w:rsid w:val="00FE7CA7"/>
    <w:rsid w:val="00FE7E04"/>
    <w:rsid w:val="00FE7F50"/>
    <w:rsid w:val="00FF00BE"/>
    <w:rsid w:val="00FF027D"/>
    <w:rsid w:val="00FF03E7"/>
    <w:rsid w:val="00FF0429"/>
    <w:rsid w:val="00FF0603"/>
    <w:rsid w:val="00FF062A"/>
    <w:rsid w:val="00FF0656"/>
    <w:rsid w:val="00FF07F6"/>
    <w:rsid w:val="00FF0879"/>
    <w:rsid w:val="00FF08AE"/>
    <w:rsid w:val="00FF0AD2"/>
    <w:rsid w:val="00FF0B1B"/>
    <w:rsid w:val="00FF0CBD"/>
    <w:rsid w:val="00FF0D7E"/>
    <w:rsid w:val="00FF0DDE"/>
    <w:rsid w:val="00FF0E35"/>
    <w:rsid w:val="00FF0F1C"/>
    <w:rsid w:val="00FF1024"/>
    <w:rsid w:val="00FF1132"/>
    <w:rsid w:val="00FF11DB"/>
    <w:rsid w:val="00FF1473"/>
    <w:rsid w:val="00FF15BE"/>
    <w:rsid w:val="00FF16B5"/>
    <w:rsid w:val="00FF1763"/>
    <w:rsid w:val="00FF188D"/>
    <w:rsid w:val="00FF1946"/>
    <w:rsid w:val="00FF19E8"/>
    <w:rsid w:val="00FF1B20"/>
    <w:rsid w:val="00FF1B97"/>
    <w:rsid w:val="00FF1BE8"/>
    <w:rsid w:val="00FF1D23"/>
    <w:rsid w:val="00FF1F0A"/>
    <w:rsid w:val="00FF1FF4"/>
    <w:rsid w:val="00FF2050"/>
    <w:rsid w:val="00FF20BD"/>
    <w:rsid w:val="00FF230B"/>
    <w:rsid w:val="00FF2483"/>
    <w:rsid w:val="00FF24A9"/>
    <w:rsid w:val="00FF25A4"/>
    <w:rsid w:val="00FF28AD"/>
    <w:rsid w:val="00FF28C4"/>
    <w:rsid w:val="00FF2A54"/>
    <w:rsid w:val="00FF2AA7"/>
    <w:rsid w:val="00FF2B0F"/>
    <w:rsid w:val="00FF2B8B"/>
    <w:rsid w:val="00FF2C36"/>
    <w:rsid w:val="00FF2D23"/>
    <w:rsid w:val="00FF2EDE"/>
    <w:rsid w:val="00FF2F66"/>
    <w:rsid w:val="00FF301D"/>
    <w:rsid w:val="00FF3068"/>
    <w:rsid w:val="00FF3152"/>
    <w:rsid w:val="00FF32A6"/>
    <w:rsid w:val="00FF335F"/>
    <w:rsid w:val="00FF350B"/>
    <w:rsid w:val="00FF35ED"/>
    <w:rsid w:val="00FF3717"/>
    <w:rsid w:val="00FF37CE"/>
    <w:rsid w:val="00FF3C10"/>
    <w:rsid w:val="00FF3E21"/>
    <w:rsid w:val="00FF4216"/>
    <w:rsid w:val="00FF4284"/>
    <w:rsid w:val="00FF43F7"/>
    <w:rsid w:val="00FF4454"/>
    <w:rsid w:val="00FF47A5"/>
    <w:rsid w:val="00FF48F6"/>
    <w:rsid w:val="00FF4A47"/>
    <w:rsid w:val="00FF4AD8"/>
    <w:rsid w:val="00FF4B85"/>
    <w:rsid w:val="00FF4BDF"/>
    <w:rsid w:val="00FF4BE1"/>
    <w:rsid w:val="00FF4D60"/>
    <w:rsid w:val="00FF4EB5"/>
    <w:rsid w:val="00FF4F08"/>
    <w:rsid w:val="00FF4FA1"/>
    <w:rsid w:val="00FF5073"/>
    <w:rsid w:val="00FF5115"/>
    <w:rsid w:val="00FF5281"/>
    <w:rsid w:val="00FF5447"/>
    <w:rsid w:val="00FF5476"/>
    <w:rsid w:val="00FF5518"/>
    <w:rsid w:val="00FF554A"/>
    <w:rsid w:val="00FF555E"/>
    <w:rsid w:val="00FF5631"/>
    <w:rsid w:val="00FF5651"/>
    <w:rsid w:val="00FF56B7"/>
    <w:rsid w:val="00FF572E"/>
    <w:rsid w:val="00FF577A"/>
    <w:rsid w:val="00FF57A5"/>
    <w:rsid w:val="00FF585C"/>
    <w:rsid w:val="00FF58B9"/>
    <w:rsid w:val="00FF58BD"/>
    <w:rsid w:val="00FF58E2"/>
    <w:rsid w:val="00FF5A9D"/>
    <w:rsid w:val="00FF5B3D"/>
    <w:rsid w:val="00FF5B87"/>
    <w:rsid w:val="00FF5CD5"/>
    <w:rsid w:val="00FF5D39"/>
    <w:rsid w:val="00FF5EF2"/>
    <w:rsid w:val="00FF6177"/>
    <w:rsid w:val="00FF6386"/>
    <w:rsid w:val="00FF6589"/>
    <w:rsid w:val="00FF6679"/>
    <w:rsid w:val="00FF681B"/>
    <w:rsid w:val="00FF6B48"/>
    <w:rsid w:val="00FF6D06"/>
    <w:rsid w:val="00FF6D32"/>
    <w:rsid w:val="00FF6DC0"/>
    <w:rsid w:val="00FF6E3C"/>
    <w:rsid w:val="00FF6E6C"/>
    <w:rsid w:val="00FF6F83"/>
    <w:rsid w:val="00FF6FFC"/>
    <w:rsid w:val="00FF7145"/>
    <w:rsid w:val="00FF71B7"/>
    <w:rsid w:val="00FF71C7"/>
    <w:rsid w:val="00FF7411"/>
    <w:rsid w:val="00FF741C"/>
    <w:rsid w:val="00FF741D"/>
    <w:rsid w:val="00FF758D"/>
    <w:rsid w:val="00FF7610"/>
    <w:rsid w:val="00FF76C1"/>
    <w:rsid w:val="00FF77A6"/>
    <w:rsid w:val="00FF77AA"/>
    <w:rsid w:val="00FF7A50"/>
    <w:rsid w:val="00FF7CE7"/>
    <w:rsid w:val="00FF7D9A"/>
    <w:rsid w:val="00FF7E27"/>
    <w:rsid w:val="00FF7E30"/>
    <w:rsid w:val="00FF7FC6"/>
    <w:rsid w:val="010D6FAF"/>
    <w:rsid w:val="019B8D41"/>
    <w:rsid w:val="0218178B"/>
    <w:rsid w:val="042D6441"/>
    <w:rsid w:val="044AEC59"/>
    <w:rsid w:val="05337DA0"/>
    <w:rsid w:val="0704E064"/>
    <w:rsid w:val="07353B7F"/>
    <w:rsid w:val="0932AA57"/>
    <w:rsid w:val="0A2F76B1"/>
    <w:rsid w:val="0B2675CA"/>
    <w:rsid w:val="0DAF9F23"/>
    <w:rsid w:val="0DFB8B26"/>
    <w:rsid w:val="0EE205BD"/>
    <w:rsid w:val="0F3F7E4A"/>
    <w:rsid w:val="0F56E0C2"/>
    <w:rsid w:val="106C291E"/>
    <w:rsid w:val="10EE68CE"/>
    <w:rsid w:val="126D7A65"/>
    <w:rsid w:val="1341448A"/>
    <w:rsid w:val="135A7EC2"/>
    <w:rsid w:val="13770BB6"/>
    <w:rsid w:val="1388AB34"/>
    <w:rsid w:val="13B49767"/>
    <w:rsid w:val="145D1FA7"/>
    <w:rsid w:val="14F32196"/>
    <w:rsid w:val="157919C4"/>
    <w:rsid w:val="15F9247A"/>
    <w:rsid w:val="1770D5F4"/>
    <w:rsid w:val="17803620"/>
    <w:rsid w:val="17BA67DD"/>
    <w:rsid w:val="1A2A7D67"/>
    <w:rsid w:val="1B495F73"/>
    <w:rsid w:val="1B73D721"/>
    <w:rsid w:val="1C04B782"/>
    <w:rsid w:val="1C7B52C2"/>
    <w:rsid w:val="1D39A60F"/>
    <w:rsid w:val="1D5BF47F"/>
    <w:rsid w:val="1DA6AD41"/>
    <w:rsid w:val="1DC16784"/>
    <w:rsid w:val="1DFACD3E"/>
    <w:rsid w:val="1DFD1181"/>
    <w:rsid w:val="21B61072"/>
    <w:rsid w:val="2255A48E"/>
    <w:rsid w:val="2271471A"/>
    <w:rsid w:val="22EDE8C3"/>
    <w:rsid w:val="23689D7B"/>
    <w:rsid w:val="238BD904"/>
    <w:rsid w:val="23BE8320"/>
    <w:rsid w:val="23FFDB60"/>
    <w:rsid w:val="2582FAE5"/>
    <w:rsid w:val="25D7F0DE"/>
    <w:rsid w:val="25DD8D61"/>
    <w:rsid w:val="25E7D634"/>
    <w:rsid w:val="25EE6391"/>
    <w:rsid w:val="261A15AC"/>
    <w:rsid w:val="26F3615B"/>
    <w:rsid w:val="26F85989"/>
    <w:rsid w:val="27598D29"/>
    <w:rsid w:val="279D0260"/>
    <w:rsid w:val="27E0CA5F"/>
    <w:rsid w:val="2885F728"/>
    <w:rsid w:val="29861BDD"/>
    <w:rsid w:val="2994D609"/>
    <w:rsid w:val="2A1662AF"/>
    <w:rsid w:val="2B61F597"/>
    <w:rsid w:val="2F192309"/>
    <w:rsid w:val="2F90FBF1"/>
    <w:rsid w:val="2FA64ED8"/>
    <w:rsid w:val="2FC10807"/>
    <w:rsid w:val="3203E802"/>
    <w:rsid w:val="33E159CD"/>
    <w:rsid w:val="33F4CA4B"/>
    <w:rsid w:val="34407ED5"/>
    <w:rsid w:val="3572CE01"/>
    <w:rsid w:val="357C87C9"/>
    <w:rsid w:val="35C6E67A"/>
    <w:rsid w:val="35CFFFB4"/>
    <w:rsid w:val="36AB9BC3"/>
    <w:rsid w:val="3707F18E"/>
    <w:rsid w:val="37BA30CA"/>
    <w:rsid w:val="38F8F796"/>
    <w:rsid w:val="39B111E6"/>
    <w:rsid w:val="39DC162F"/>
    <w:rsid w:val="3A83F1C7"/>
    <w:rsid w:val="3AD46211"/>
    <w:rsid w:val="3D37CBC9"/>
    <w:rsid w:val="3F045852"/>
    <w:rsid w:val="3F5318A6"/>
    <w:rsid w:val="3F8B50D8"/>
    <w:rsid w:val="3FCA4819"/>
    <w:rsid w:val="406ED513"/>
    <w:rsid w:val="4072F860"/>
    <w:rsid w:val="40EC2947"/>
    <w:rsid w:val="4170CAAF"/>
    <w:rsid w:val="419FD440"/>
    <w:rsid w:val="4212F7A1"/>
    <w:rsid w:val="42AEFF8E"/>
    <w:rsid w:val="43DA474C"/>
    <w:rsid w:val="46831D61"/>
    <w:rsid w:val="46B196F5"/>
    <w:rsid w:val="46C3A2B8"/>
    <w:rsid w:val="476DE413"/>
    <w:rsid w:val="47EAE790"/>
    <w:rsid w:val="4827BC08"/>
    <w:rsid w:val="493DFF41"/>
    <w:rsid w:val="49436EF0"/>
    <w:rsid w:val="4949633D"/>
    <w:rsid w:val="49A0CBEF"/>
    <w:rsid w:val="4A5DAF67"/>
    <w:rsid w:val="4AA8293A"/>
    <w:rsid w:val="4AC93E22"/>
    <w:rsid w:val="4C3618C3"/>
    <w:rsid w:val="4C5D21F8"/>
    <w:rsid w:val="4C9C61AB"/>
    <w:rsid w:val="4F1DADE2"/>
    <w:rsid w:val="4F304A7A"/>
    <w:rsid w:val="4F591A17"/>
    <w:rsid w:val="4F742BB2"/>
    <w:rsid w:val="503CF01F"/>
    <w:rsid w:val="50E636E7"/>
    <w:rsid w:val="51757730"/>
    <w:rsid w:val="5179B556"/>
    <w:rsid w:val="52219387"/>
    <w:rsid w:val="52516392"/>
    <w:rsid w:val="529713CD"/>
    <w:rsid w:val="531F0031"/>
    <w:rsid w:val="53661891"/>
    <w:rsid w:val="5422D0AA"/>
    <w:rsid w:val="542DE98E"/>
    <w:rsid w:val="558F8017"/>
    <w:rsid w:val="561F9418"/>
    <w:rsid w:val="5746E052"/>
    <w:rsid w:val="577F572F"/>
    <w:rsid w:val="5810CCF1"/>
    <w:rsid w:val="58638B20"/>
    <w:rsid w:val="58AAC6B6"/>
    <w:rsid w:val="5911292F"/>
    <w:rsid w:val="5923DE64"/>
    <w:rsid w:val="59284A73"/>
    <w:rsid w:val="5A2FEC91"/>
    <w:rsid w:val="5ADB7170"/>
    <w:rsid w:val="5B5F6A06"/>
    <w:rsid w:val="5BCE6A1A"/>
    <w:rsid w:val="5C474EF7"/>
    <w:rsid w:val="5DB9ADAB"/>
    <w:rsid w:val="5DC6935F"/>
    <w:rsid w:val="5DD6E4A1"/>
    <w:rsid w:val="5E86FEE1"/>
    <w:rsid w:val="5F44C257"/>
    <w:rsid w:val="5F974DCD"/>
    <w:rsid w:val="5FC7CD1D"/>
    <w:rsid w:val="608CA457"/>
    <w:rsid w:val="60A56712"/>
    <w:rsid w:val="615764DC"/>
    <w:rsid w:val="6184625E"/>
    <w:rsid w:val="61B38AEF"/>
    <w:rsid w:val="62566E59"/>
    <w:rsid w:val="62841B83"/>
    <w:rsid w:val="645EF64D"/>
    <w:rsid w:val="6499E781"/>
    <w:rsid w:val="6517C48C"/>
    <w:rsid w:val="6624E1B2"/>
    <w:rsid w:val="67447337"/>
    <w:rsid w:val="68108AE5"/>
    <w:rsid w:val="690B0B73"/>
    <w:rsid w:val="693EADF3"/>
    <w:rsid w:val="69ED938F"/>
    <w:rsid w:val="6A3AFF9E"/>
    <w:rsid w:val="6C595AB8"/>
    <w:rsid w:val="6C938BBE"/>
    <w:rsid w:val="6CE79275"/>
    <w:rsid w:val="6ED5F02A"/>
    <w:rsid w:val="6F1B8620"/>
    <w:rsid w:val="6FB3013D"/>
    <w:rsid w:val="6FC00E2F"/>
    <w:rsid w:val="6FD1A315"/>
    <w:rsid w:val="6FDFFEBF"/>
    <w:rsid w:val="710E6946"/>
    <w:rsid w:val="711E97C6"/>
    <w:rsid w:val="7121CFC2"/>
    <w:rsid w:val="72216237"/>
    <w:rsid w:val="72731DD9"/>
    <w:rsid w:val="72826081"/>
    <w:rsid w:val="7311DE05"/>
    <w:rsid w:val="73179F81"/>
    <w:rsid w:val="73AA5DB2"/>
    <w:rsid w:val="74265009"/>
    <w:rsid w:val="74B7B1E2"/>
    <w:rsid w:val="74CA078E"/>
    <w:rsid w:val="763B057C"/>
    <w:rsid w:val="770B25E3"/>
    <w:rsid w:val="771CF620"/>
    <w:rsid w:val="779E8A0A"/>
    <w:rsid w:val="781BB42F"/>
    <w:rsid w:val="78922B62"/>
    <w:rsid w:val="7937C1C3"/>
    <w:rsid w:val="7A3A95C4"/>
    <w:rsid w:val="7B087313"/>
    <w:rsid w:val="7D83433C"/>
    <w:rsid w:val="7DB16D7B"/>
    <w:rsid w:val="7DB999CD"/>
    <w:rsid w:val="7E0E6ACD"/>
    <w:rsid w:val="7E4A7817"/>
    <w:rsid w:val="7E9E41DF"/>
    <w:rsid w:val="7EB1800D"/>
    <w:rsid w:val="7F5CC363"/>
    <w:rsid w:val="7F65443F"/>
    <w:rsid w:val="7FBA8EBE"/>
    <w:rsid w:val="7FF2DB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A41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735"/>
    <w:rPr>
      <w:rFonts w:ascii="Arial" w:hAnsi="Arial"/>
    </w:rPr>
  </w:style>
  <w:style w:type="paragraph" w:styleId="Heading1">
    <w:name w:val="heading 1"/>
    <w:basedOn w:val="Normal"/>
    <w:next w:val="Normal"/>
    <w:link w:val="Heading1Char"/>
    <w:uiPriority w:val="9"/>
    <w:qFormat/>
    <w:rsid w:val="00A50892"/>
    <w:pPr>
      <w:keepNext/>
      <w:keepLines/>
      <w:spacing w:before="240" w:after="0"/>
      <w:outlineLvl w:val="0"/>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2">
    <w:name w:val="heading 2"/>
    <w:basedOn w:val="Normal"/>
    <w:next w:val="Normal"/>
    <w:link w:val="Heading2Char"/>
    <w:uiPriority w:val="9"/>
    <w:qFormat/>
    <w:rsid w:val="00044AD1"/>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uiPriority w:val="9"/>
    <w:qFormat/>
    <w:rsid w:val="001C209A"/>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uiPriority w:val="9"/>
    <w:qFormat/>
    <w:rsid w:val="001C209A"/>
    <w:pPr>
      <w:keepNext/>
      <w:keepLines/>
      <w:spacing w:before="360" w:line="240" w:lineRule="atLeast"/>
      <w:outlineLvl w:val="3"/>
    </w:pPr>
    <w:rPr>
      <w:rFonts w:eastAsia="Cambria" w:cs="Arial"/>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eastAsia="Times New Roman" w:cs="Times New Roman"/>
      <w:b/>
      <w:bCs/>
      <w:i/>
      <w:color w:val="001871"/>
      <w:sz w:val="24"/>
      <w:szCs w:val="21"/>
    </w:rPr>
  </w:style>
  <w:style w:type="paragraph" w:styleId="Heading7">
    <w:name w:val="heading 7"/>
    <w:basedOn w:val="Normal"/>
    <w:next w:val="Normal"/>
    <w:link w:val="Heading7Char"/>
    <w:uiPriority w:val="9"/>
    <w:unhideWhenUsed/>
    <w:qFormat/>
    <w:rsid w:val="008F050C"/>
    <w:pPr>
      <w:keepNext/>
      <w:keepLines/>
      <w:suppressAutoHyphens/>
      <w:spacing w:before="40" w:after="180" w:line="240" w:lineRule="atLeast"/>
      <w:outlineLvl w:val="6"/>
    </w:pPr>
    <w:rPr>
      <w:rFonts w:asciiTheme="majorHAnsi" w:eastAsiaTheme="majorEastAsia" w:hAnsiTheme="majorHAnsi" w:cstheme="majorBidi"/>
      <w:i/>
      <w:iCs/>
      <w:color w:val="0E2841" w:themeColor="text2"/>
      <w:sz w:val="19"/>
      <w:szCs w:val="19"/>
    </w:rPr>
  </w:style>
  <w:style w:type="paragraph" w:styleId="Heading8">
    <w:name w:val="heading 8"/>
    <w:basedOn w:val="Normal"/>
    <w:next w:val="Normal"/>
    <w:link w:val="Heading8Char"/>
    <w:uiPriority w:val="9"/>
    <w:unhideWhenUsed/>
    <w:qFormat/>
    <w:rsid w:val="008F050C"/>
    <w:pPr>
      <w:keepNext/>
      <w:keepLines/>
      <w:suppressAutoHyphens/>
      <w:spacing w:before="40" w:after="0" w:line="240" w:lineRule="atLeas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F2CEED" w:themeFill="accent5" w:themeFillTint="33"/>
      </w:tcPr>
    </w:tblStylePr>
    <w:tblStylePr w:type="firstCol">
      <w:pPr>
        <w:keepNext w:val="0"/>
        <w:wordWrap/>
      </w:pPr>
    </w:tblStylePr>
  </w:style>
  <w:style w:type="character" w:customStyle="1" w:styleId="Heading2Char">
    <w:name w:val="Heading 2 Char"/>
    <w:basedOn w:val="DefaultParagraphFont"/>
    <w:link w:val="Heading2"/>
    <w:uiPriority w:val="9"/>
    <w:rsid w:val="00044AD1"/>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uiPriority w:val="9"/>
    <w:rsid w:val="001C209A"/>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uiPriority w:val="9"/>
    <w:rsid w:val="001C209A"/>
    <w:rPr>
      <w:rFonts w:ascii="Arial" w:eastAsia="Cambria" w:hAnsi="Arial" w:cs="Arial"/>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16"/>
    <w:qFormat/>
    <w:rsid w:val="009D24F0"/>
    <w:pPr>
      <w:spacing w:before="120" w:after="180" w:line="240" w:lineRule="atLeast"/>
      <w:ind w:left="360" w:hanging="360"/>
    </w:pPr>
    <w:rPr>
      <w:rFonts w:eastAsia="Cambria" w:cs="Times New Roman"/>
    </w:rPr>
  </w:style>
  <w:style w:type="paragraph" w:styleId="ListBullet2">
    <w:name w:val="List Bullet 2"/>
    <w:basedOn w:val="Normal"/>
    <w:uiPriority w:val="99"/>
    <w:qFormat/>
    <w:rsid w:val="00F02AEC"/>
    <w:pPr>
      <w:numPr>
        <w:ilvl w:val="1"/>
        <w:numId w:val="1"/>
      </w:numPr>
      <w:spacing w:before="120" w:after="180" w:line="240" w:lineRule="atLeast"/>
    </w:pPr>
    <w:rPr>
      <w:rFonts w:eastAsia="Cambria" w:cs="Times New Roman"/>
      <w:color w:val="333F48"/>
    </w:rPr>
  </w:style>
  <w:style w:type="paragraph" w:styleId="ListBullet3">
    <w:name w:val="List Bullet 3"/>
    <w:basedOn w:val="Normal"/>
    <w:uiPriority w:val="16"/>
    <w:qFormat/>
    <w:rsid w:val="00F02AEC"/>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7"/>
    <w:qFormat/>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7"/>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6"/>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6"/>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uiPriority w:val="99"/>
    <w:rsid w:val="00F02AEC"/>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uiPriority w:val="99"/>
    <w:rsid w:val="00F02AEC"/>
    <w:rPr>
      <w:rFonts w:ascii="Arial" w:eastAsia="Cambria" w:hAnsi="Arial" w:cs="Times New Roman"/>
      <w:color w:val="333F48"/>
      <w:sz w:val="20"/>
      <w:szCs w:val="20"/>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customStyle="1" w:styleId="Heading1Char">
    <w:name w:val="Heading 1 Char"/>
    <w:basedOn w:val="DefaultParagraphFont"/>
    <w:link w:val="Heading1"/>
    <w:uiPriority w:val="9"/>
    <w:rsid w:val="00A50892"/>
    <w:rPr>
      <w:rFonts w:asciiTheme="majorHAnsi" w:eastAsiaTheme="majorEastAsia" w:hAnsiTheme="majorHAnsi" w:cstheme="majorBidi"/>
      <w:color w:val="0F4761" w:themeColor="accent1" w:themeShade="BF"/>
      <w:kern w:val="2"/>
      <w:sz w:val="32"/>
      <w:szCs w:val="32"/>
      <w14:ligatures w14:val="standardContextual"/>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A50892"/>
    <w:pPr>
      <w:spacing w:after="480" w:line="240" w:lineRule="auto"/>
      <w:ind w:left="720"/>
      <w:contextualSpacing/>
    </w:pPr>
    <w:rPr>
      <w:kern w:val="2"/>
      <w:sz w:val="22"/>
      <w:szCs w:val="22"/>
      <w14:ligatures w14:val="standardContextual"/>
    </w:rPr>
  </w:style>
  <w:style w:type="paragraph" w:styleId="Caption">
    <w:name w:val="caption"/>
    <w:basedOn w:val="Normal"/>
    <w:next w:val="Normal"/>
    <w:uiPriority w:val="35"/>
    <w:unhideWhenUsed/>
    <w:qFormat/>
    <w:rsid w:val="00A50892"/>
    <w:pPr>
      <w:spacing w:after="200" w:line="240" w:lineRule="auto"/>
    </w:pPr>
    <w:rPr>
      <w:i/>
      <w:iCs/>
      <w:color w:val="0E2841" w:themeColor="text2"/>
      <w:kern w:val="2"/>
      <w:sz w:val="18"/>
      <w:szCs w:val="18"/>
      <w14:ligatures w14:val="standardContextual"/>
    </w:rPr>
  </w:style>
  <w:style w:type="paragraph" w:styleId="BodyText">
    <w:name w:val="Body Text"/>
    <w:basedOn w:val="Normal"/>
    <w:link w:val="BodyTextChar"/>
    <w:uiPriority w:val="1"/>
    <w:semiHidden/>
    <w:unhideWhenUsed/>
    <w:qFormat/>
    <w:rsid w:val="00FC6B88"/>
  </w:style>
  <w:style w:type="character" w:customStyle="1" w:styleId="BodyTextChar">
    <w:name w:val="Body Text Char"/>
    <w:basedOn w:val="DefaultParagraphFont"/>
    <w:link w:val="BodyText"/>
    <w:uiPriority w:val="1"/>
    <w:semiHidden/>
    <w:rsid w:val="00FC6B88"/>
    <w:rPr>
      <w:rFonts w:ascii="Arial" w:hAnsi="Arial"/>
    </w:rPr>
  </w:style>
  <w:style w:type="character" w:customStyle="1" w:styleId="UnresolvedMention1">
    <w:name w:val="Unresolved Mention1"/>
    <w:basedOn w:val="DefaultParagraphFont"/>
    <w:uiPriority w:val="99"/>
    <w:semiHidden/>
    <w:unhideWhenUsed/>
    <w:rsid w:val="009B5287"/>
    <w:rPr>
      <w:color w:val="605E5C"/>
      <w:shd w:val="clear" w:color="auto" w:fill="E1DFDD"/>
    </w:rPr>
  </w:style>
  <w:style w:type="character" w:styleId="CommentReference">
    <w:name w:val="annotation reference"/>
    <w:basedOn w:val="DefaultParagraphFont"/>
    <w:uiPriority w:val="99"/>
    <w:semiHidden/>
    <w:unhideWhenUsed/>
    <w:rsid w:val="00A8289C"/>
    <w:rPr>
      <w:sz w:val="16"/>
      <w:szCs w:val="16"/>
    </w:rPr>
  </w:style>
  <w:style w:type="paragraph" w:styleId="CommentText">
    <w:name w:val="annotation text"/>
    <w:basedOn w:val="Normal"/>
    <w:link w:val="CommentTextChar"/>
    <w:uiPriority w:val="99"/>
    <w:unhideWhenUsed/>
    <w:rsid w:val="00A8289C"/>
    <w:pPr>
      <w:spacing w:line="240" w:lineRule="auto"/>
    </w:pPr>
  </w:style>
  <w:style w:type="character" w:customStyle="1" w:styleId="CommentTextChar">
    <w:name w:val="Comment Text Char"/>
    <w:basedOn w:val="DefaultParagraphFont"/>
    <w:link w:val="CommentText"/>
    <w:uiPriority w:val="99"/>
    <w:rsid w:val="00A8289C"/>
    <w:rPr>
      <w:rFonts w:ascii="Arial" w:hAnsi="Arial"/>
    </w:rPr>
  </w:style>
  <w:style w:type="paragraph" w:styleId="CommentSubject">
    <w:name w:val="annotation subject"/>
    <w:basedOn w:val="CommentText"/>
    <w:next w:val="CommentText"/>
    <w:link w:val="CommentSubjectChar"/>
    <w:uiPriority w:val="99"/>
    <w:semiHidden/>
    <w:unhideWhenUsed/>
    <w:rsid w:val="00A8289C"/>
    <w:rPr>
      <w:b/>
      <w:bCs/>
    </w:rPr>
  </w:style>
  <w:style w:type="character" w:customStyle="1" w:styleId="CommentSubjectChar">
    <w:name w:val="Comment Subject Char"/>
    <w:basedOn w:val="CommentTextChar"/>
    <w:link w:val="CommentSubject"/>
    <w:uiPriority w:val="99"/>
    <w:semiHidden/>
    <w:rsid w:val="00A8289C"/>
    <w:rPr>
      <w:rFonts w:ascii="Arial" w:hAnsi="Arial"/>
      <w:b/>
      <w:bCs/>
    </w:rPr>
  </w:style>
  <w:style w:type="paragraph" w:styleId="Revision">
    <w:name w:val="Revision"/>
    <w:hidden/>
    <w:uiPriority w:val="99"/>
    <w:semiHidden/>
    <w:rsid w:val="003515F0"/>
    <w:pPr>
      <w:spacing w:after="0" w:line="240" w:lineRule="auto"/>
    </w:pPr>
    <w:rPr>
      <w:rFonts w:ascii="Arial" w:hAnsi="Arial"/>
    </w:rPr>
  </w:style>
  <w:style w:type="paragraph" w:styleId="BalloonText">
    <w:name w:val="Balloon Text"/>
    <w:basedOn w:val="Normal"/>
    <w:link w:val="BalloonTextChar"/>
    <w:uiPriority w:val="99"/>
    <w:semiHidden/>
    <w:unhideWhenUsed/>
    <w:rsid w:val="00192C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C22"/>
    <w:rPr>
      <w:rFonts w:ascii="Segoe UI" w:hAnsi="Segoe UI" w:cs="Segoe UI"/>
      <w:sz w:val="18"/>
      <w:szCs w:val="18"/>
    </w:rPr>
  </w:style>
  <w:style w:type="paragraph" w:customStyle="1" w:styleId="pf0">
    <w:name w:val="pf0"/>
    <w:basedOn w:val="Normal"/>
    <w:rsid w:val="005E77C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E77C7"/>
    <w:rPr>
      <w:rFonts w:ascii="Segoe UI" w:hAnsi="Segoe UI" w:cs="Segoe UI" w:hint="default"/>
      <w:sz w:val="18"/>
      <w:szCs w:val="18"/>
    </w:rPr>
  </w:style>
  <w:style w:type="character" w:customStyle="1" w:styleId="UnresolvedMention2">
    <w:name w:val="Unresolved Mention2"/>
    <w:basedOn w:val="DefaultParagraphFont"/>
    <w:uiPriority w:val="99"/>
    <w:unhideWhenUsed/>
    <w:rsid w:val="00F84B88"/>
    <w:rPr>
      <w:color w:val="605E5C"/>
      <w:shd w:val="clear" w:color="auto" w:fill="E1DFDD"/>
    </w:rPr>
  </w:style>
  <w:style w:type="character" w:customStyle="1" w:styleId="Heading7Char">
    <w:name w:val="Heading 7 Char"/>
    <w:basedOn w:val="DefaultParagraphFont"/>
    <w:link w:val="Heading7"/>
    <w:uiPriority w:val="9"/>
    <w:rsid w:val="008F050C"/>
    <w:rPr>
      <w:rFonts w:asciiTheme="majorHAnsi" w:eastAsiaTheme="majorEastAsia" w:hAnsiTheme="majorHAnsi" w:cstheme="majorBidi"/>
      <w:i/>
      <w:iCs/>
      <w:color w:val="0E2841" w:themeColor="text2"/>
      <w:sz w:val="19"/>
      <w:szCs w:val="19"/>
    </w:rPr>
  </w:style>
  <w:style w:type="character" w:customStyle="1" w:styleId="Heading8Char">
    <w:name w:val="Heading 8 Char"/>
    <w:basedOn w:val="DefaultParagraphFont"/>
    <w:link w:val="Heading8"/>
    <w:uiPriority w:val="9"/>
    <w:rsid w:val="008F050C"/>
    <w:rPr>
      <w:rFonts w:asciiTheme="majorHAnsi" w:eastAsiaTheme="majorEastAsia" w:hAnsiTheme="majorHAnsi" w:cstheme="majorBidi"/>
      <w:color w:val="272727" w:themeColor="text1" w:themeTint="D8"/>
      <w:sz w:val="21"/>
      <w:szCs w:val="21"/>
    </w:rPr>
  </w:style>
  <w:style w:type="paragraph" w:customStyle="1" w:styleId="NormalIndented">
    <w:name w:val="Normal Indented"/>
    <w:basedOn w:val="Normal"/>
    <w:qFormat/>
    <w:rsid w:val="008F050C"/>
    <w:pPr>
      <w:suppressAutoHyphens/>
      <w:spacing w:before="180" w:after="80" w:line="240" w:lineRule="atLeast"/>
      <w:ind w:left="284"/>
    </w:pPr>
    <w:rPr>
      <w:rFonts w:ascii="Overpass" w:eastAsia="Overpass" w:hAnsi="Overpass" w:cs="Times New Roman"/>
      <w:sz w:val="19"/>
      <w:szCs w:val="19"/>
    </w:rPr>
  </w:style>
  <w:style w:type="paragraph" w:customStyle="1" w:styleId="Bullet1">
    <w:name w:val="Bullet 1"/>
    <w:basedOn w:val="ListBullet"/>
    <w:qFormat/>
    <w:rsid w:val="003166BF"/>
    <w:pPr>
      <w:numPr>
        <w:numId w:val="1"/>
      </w:numPr>
    </w:pPr>
  </w:style>
  <w:style w:type="paragraph" w:customStyle="1" w:styleId="Bullet2">
    <w:name w:val="Bullet 2"/>
    <w:basedOn w:val="Normal"/>
    <w:uiPriority w:val="3"/>
    <w:qFormat/>
    <w:rsid w:val="008F050C"/>
    <w:pPr>
      <w:numPr>
        <w:ilvl w:val="1"/>
        <w:numId w:val="17"/>
      </w:numPr>
      <w:suppressAutoHyphens/>
      <w:spacing w:before="80" w:after="80" w:line="240" w:lineRule="atLeast"/>
    </w:pPr>
    <w:rPr>
      <w:rFonts w:ascii="Overpass" w:eastAsia="Overpass" w:hAnsi="Overpass" w:cs="Times New Roman"/>
      <w:sz w:val="19"/>
      <w:szCs w:val="19"/>
    </w:rPr>
  </w:style>
  <w:style w:type="paragraph" w:customStyle="1" w:styleId="Bullet3">
    <w:name w:val="Bullet 3"/>
    <w:basedOn w:val="Normal"/>
    <w:uiPriority w:val="3"/>
    <w:qFormat/>
    <w:rsid w:val="008F050C"/>
    <w:pPr>
      <w:numPr>
        <w:ilvl w:val="2"/>
        <w:numId w:val="17"/>
      </w:numPr>
      <w:suppressAutoHyphens/>
      <w:spacing w:before="80" w:after="80" w:line="240" w:lineRule="atLeast"/>
    </w:pPr>
    <w:rPr>
      <w:rFonts w:ascii="Overpass" w:eastAsia="Overpass" w:hAnsi="Overpass" w:cs="Times New Roman"/>
      <w:sz w:val="19"/>
      <w:szCs w:val="19"/>
    </w:rPr>
  </w:style>
  <w:style w:type="paragraph" w:customStyle="1" w:styleId="NumberedList1">
    <w:name w:val="Numbered List 1"/>
    <w:basedOn w:val="Normal"/>
    <w:uiPriority w:val="3"/>
    <w:qFormat/>
    <w:rsid w:val="008F050C"/>
    <w:pPr>
      <w:numPr>
        <w:numId w:val="18"/>
      </w:numPr>
      <w:suppressAutoHyphens/>
      <w:spacing w:before="80" w:after="80" w:line="240" w:lineRule="atLeast"/>
    </w:pPr>
    <w:rPr>
      <w:rFonts w:ascii="Overpass" w:eastAsia="Overpass" w:hAnsi="Overpass" w:cs="Times New Roman"/>
      <w:sz w:val="19"/>
      <w:szCs w:val="19"/>
    </w:rPr>
  </w:style>
  <w:style w:type="paragraph" w:customStyle="1" w:styleId="NumberedList2">
    <w:name w:val="Numbered List 2"/>
    <w:basedOn w:val="NumberedList1"/>
    <w:uiPriority w:val="3"/>
    <w:qFormat/>
    <w:rsid w:val="008F050C"/>
    <w:pPr>
      <w:numPr>
        <w:ilvl w:val="1"/>
      </w:numPr>
    </w:pPr>
  </w:style>
  <w:style w:type="paragraph" w:customStyle="1" w:styleId="NumberedList3">
    <w:name w:val="Numbered List 3"/>
    <w:basedOn w:val="Normal"/>
    <w:uiPriority w:val="3"/>
    <w:qFormat/>
    <w:rsid w:val="008F050C"/>
    <w:pPr>
      <w:numPr>
        <w:ilvl w:val="2"/>
        <w:numId w:val="18"/>
      </w:numPr>
      <w:suppressAutoHyphens/>
      <w:spacing w:before="80" w:after="80" w:line="240" w:lineRule="atLeast"/>
    </w:pPr>
    <w:rPr>
      <w:rFonts w:ascii="Overpass" w:eastAsia="Overpass" w:hAnsi="Overpass" w:cs="Times New Roman"/>
      <w:sz w:val="19"/>
      <w:szCs w:val="19"/>
    </w:rPr>
  </w:style>
  <w:style w:type="paragraph" w:customStyle="1" w:styleId="Heading1Numbered">
    <w:name w:val="Heading 1 Numbered"/>
    <w:basedOn w:val="Heading1"/>
    <w:next w:val="Normal"/>
    <w:uiPriority w:val="10"/>
    <w:qFormat/>
    <w:rsid w:val="008F050C"/>
    <w:pPr>
      <w:pageBreakBefore/>
      <w:suppressAutoHyphens/>
      <w:spacing w:before="0" w:after="360" w:line="560" w:lineRule="exact"/>
      <w:ind w:left="454" w:hanging="454"/>
      <w:contextualSpacing/>
    </w:pPr>
    <w:rPr>
      <w:rFonts w:ascii="Overpass Heavy" w:eastAsia="Batang" w:hAnsi="Overpass Heavy" w:cs="Times New Roman"/>
      <w:caps/>
      <w:color w:val="0D223F"/>
      <w:kern w:val="0"/>
      <w:sz w:val="56"/>
      <w:szCs w:val="56"/>
      <w14:ligatures w14:val="none"/>
    </w:rPr>
  </w:style>
  <w:style w:type="paragraph" w:customStyle="1" w:styleId="Heading2Numbered">
    <w:name w:val="Heading 2 Numbered"/>
    <w:basedOn w:val="Heading2"/>
    <w:next w:val="Normal"/>
    <w:uiPriority w:val="10"/>
    <w:qFormat/>
    <w:rsid w:val="008F050C"/>
    <w:pPr>
      <w:suppressAutoHyphens/>
      <w:spacing w:after="180" w:line="280" w:lineRule="exact"/>
      <w:ind w:left="737" w:hanging="737"/>
      <w:contextualSpacing/>
    </w:pPr>
    <w:rPr>
      <w:rFonts w:ascii="Overpass Heavy" w:eastAsia="Batang" w:hAnsi="Overpass Heavy"/>
      <w:caps/>
      <w:color w:val="196B24" w:themeColor="accent3"/>
      <w:spacing w:val="-10"/>
      <w:sz w:val="28"/>
      <w:szCs w:val="28"/>
    </w:rPr>
  </w:style>
  <w:style w:type="paragraph" w:customStyle="1" w:styleId="Heading3Numbered">
    <w:name w:val="Heading 3 Numbered"/>
    <w:basedOn w:val="Heading3"/>
    <w:next w:val="Normal"/>
    <w:uiPriority w:val="10"/>
    <w:qFormat/>
    <w:rsid w:val="008F050C"/>
    <w:pPr>
      <w:suppressAutoHyphens/>
      <w:spacing w:before="240" w:after="180" w:line="320" w:lineRule="exact"/>
      <w:ind w:left="737" w:hanging="737"/>
      <w:contextualSpacing/>
    </w:pPr>
    <w:rPr>
      <w:rFonts w:ascii="Overpass Heavy" w:eastAsia="MS Mincho" w:hAnsi="Overpass Heavy"/>
      <w:b w:val="0"/>
      <w:bCs w:val="0"/>
      <w:color w:val="156082" w:themeColor="accent1"/>
      <w:sz w:val="28"/>
      <w:szCs w:val="28"/>
    </w:rPr>
  </w:style>
  <w:style w:type="numbering" w:customStyle="1" w:styleId="BulletsList">
    <w:name w:val="Bullets List"/>
    <w:uiPriority w:val="99"/>
    <w:rsid w:val="008F050C"/>
    <w:pPr>
      <w:numPr>
        <w:numId w:val="12"/>
      </w:numPr>
    </w:pPr>
  </w:style>
  <w:style w:type="numbering" w:customStyle="1" w:styleId="Numberedlist">
    <w:name w:val="Numbered list"/>
    <w:uiPriority w:val="99"/>
    <w:rsid w:val="008F050C"/>
    <w:pPr>
      <w:numPr>
        <w:numId w:val="15"/>
      </w:numPr>
    </w:pPr>
  </w:style>
  <w:style w:type="numbering" w:customStyle="1" w:styleId="HeadingsList">
    <w:name w:val="Headings List"/>
    <w:uiPriority w:val="99"/>
    <w:rsid w:val="008F050C"/>
    <w:pPr>
      <w:numPr>
        <w:numId w:val="14"/>
      </w:numPr>
    </w:pPr>
  </w:style>
  <w:style w:type="table" w:customStyle="1" w:styleId="PlainTable21">
    <w:name w:val="Plain Table 21"/>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paragraph" w:styleId="TOCHeading">
    <w:name w:val="TOC Heading"/>
    <w:basedOn w:val="Heading1"/>
    <w:next w:val="Normal"/>
    <w:uiPriority w:val="39"/>
    <w:unhideWhenUsed/>
    <w:qFormat/>
    <w:rsid w:val="008F050C"/>
    <w:pPr>
      <w:pageBreakBefore/>
      <w:suppressAutoHyphens/>
      <w:spacing w:before="0" w:after="240" w:line="600" w:lineRule="atLeast"/>
      <w:outlineLvl w:val="9"/>
    </w:pPr>
    <w:rPr>
      <w:rFonts w:ascii="Overpass Heavy" w:eastAsia="Batang" w:hAnsi="Overpass Heavy" w:cs="Times New Roman"/>
      <w:caps/>
      <w:color w:val="0D223F"/>
      <w:spacing w:val="-15"/>
      <w:kern w:val="0"/>
      <w:sz w:val="56"/>
      <w:lang w:val="en-US"/>
      <w14:ligatures w14:val="none"/>
    </w:rPr>
  </w:style>
  <w:style w:type="paragraph" w:styleId="TOC4">
    <w:name w:val="toc 4"/>
    <w:basedOn w:val="Normal"/>
    <w:next w:val="Normal"/>
    <w:autoRedefine/>
    <w:uiPriority w:val="39"/>
    <w:unhideWhenUsed/>
    <w:rsid w:val="008F050C"/>
    <w:pPr>
      <w:spacing w:before="80" w:after="80"/>
      <w:ind w:left="1587" w:hanging="680"/>
    </w:pPr>
    <w:rPr>
      <w:rFonts w:ascii="Overpass" w:eastAsia="Batang" w:hAnsi="Overpass" w:cs="Times New Roman"/>
      <w:sz w:val="19"/>
      <w:szCs w:val="19"/>
      <w:lang w:eastAsia="en-AU"/>
    </w:rPr>
  </w:style>
  <w:style w:type="paragraph" w:styleId="TOC5">
    <w:name w:val="toc 5"/>
    <w:basedOn w:val="Normal"/>
    <w:next w:val="Normal"/>
    <w:autoRedefine/>
    <w:uiPriority w:val="39"/>
    <w:unhideWhenUsed/>
    <w:rsid w:val="008F050C"/>
    <w:pPr>
      <w:spacing w:after="100"/>
      <w:ind w:left="880"/>
    </w:pPr>
    <w:rPr>
      <w:rFonts w:ascii="Overpass" w:eastAsia="Batang" w:hAnsi="Overpass" w:cs="Times New Roman"/>
      <w:sz w:val="22"/>
      <w:szCs w:val="19"/>
      <w:lang w:eastAsia="en-AU"/>
    </w:rPr>
  </w:style>
  <w:style w:type="paragraph" w:styleId="TOC6">
    <w:name w:val="toc 6"/>
    <w:basedOn w:val="Normal"/>
    <w:next w:val="Normal"/>
    <w:autoRedefine/>
    <w:uiPriority w:val="39"/>
    <w:unhideWhenUsed/>
    <w:rsid w:val="008F050C"/>
    <w:pPr>
      <w:spacing w:after="100"/>
      <w:ind w:left="1100"/>
    </w:pPr>
    <w:rPr>
      <w:rFonts w:ascii="Overpass" w:eastAsia="Batang" w:hAnsi="Overpass" w:cs="Times New Roman"/>
      <w:sz w:val="22"/>
      <w:szCs w:val="19"/>
      <w:lang w:eastAsia="en-AU"/>
    </w:rPr>
  </w:style>
  <w:style w:type="paragraph" w:styleId="TOC7">
    <w:name w:val="toc 7"/>
    <w:basedOn w:val="Normal"/>
    <w:next w:val="Normal"/>
    <w:autoRedefine/>
    <w:uiPriority w:val="39"/>
    <w:unhideWhenUsed/>
    <w:rsid w:val="008F050C"/>
    <w:pPr>
      <w:spacing w:after="100"/>
      <w:ind w:left="1320"/>
    </w:pPr>
    <w:rPr>
      <w:rFonts w:ascii="Overpass" w:eastAsia="Batang" w:hAnsi="Overpass" w:cs="Times New Roman"/>
      <w:sz w:val="22"/>
      <w:szCs w:val="19"/>
      <w:lang w:eastAsia="en-AU"/>
    </w:rPr>
  </w:style>
  <w:style w:type="numbering" w:customStyle="1" w:styleId="TableHeadingNumbers">
    <w:name w:val="Table Heading Numbers"/>
    <w:uiPriority w:val="99"/>
    <w:rsid w:val="008F050C"/>
    <w:pPr>
      <w:numPr>
        <w:numId w:val="19"/>
      </w:numPr>
    </w:pPr>
  </w:style>
  <w:style w:type="paragraph" w:styleId="TOC8">
    <w:name w:val="toc 8"/>
    <w:basedOn w:val="Normal"/>
    <w:next w:val="Normal"/>
    <w:autoRedefine/>
    <w:uiPriority w:val="39"/>
    <w:unhideWhenUsed/>
    <w:rsid w:val="008F050C"/>
    <w:pPr>
      <w:spacing w:after="100"/>
      <w:ind w:left="1540"/>
    </w:pPr>
    <w:rPr>
      <w:rFonts w:ascii="Overpass" w:eastAsia="Batang" w:hAnsi="Overpass" w:cs="Times New Roman"/>
      <w:sz w:val="22"/>
      <w:szCs w:val="19"/>
      <w:lang w:eastAsia="en-AU"/>
    </w:rPr>
  </w:style>
  <w:style w:type="paragraph" w:styleId="TOC9">
    <w:name w:val="toc 9"/>
    <w:basedOn w:val="Normal"/>
    <w:next w:val="Normal"/>
    <w:autoRedefine/>
    <w:uiPriority w:val="39"/>
    <w:unhideWhenUsed/>
    <w:rsid w:val="008F050C"/>
    <w:pPr>
      <w:spacing w:after="100"/>
      <w:ind w:left="1760"/>
    </w:pPr>
    <w:rPr>
      <w:rFonts w:ascii="Overpass" w:eastAsia="Batang" w:hAnsi="Overpass" w:cs="Times New Roman"/>
      <w:sz w:val="22"/>
      <w:szCs w:val="19"/>
      <w:lang w:eastAsia="en-AU"/>
    </w:rPr>
  </w:style>
  <w:style w:type="paragraph" w:styleId="TableofFigures">
    <w:name w:val="table of figures"/>
    <w:basedOn w:val="Normal"/>
    <w:next w:val="Normal"/>
    <w:uiPriority w:val="99"/>
    <w:unhideWhenUsed/>
    <w:rsid w:val="008F050C"/>
    <w:pPr>
      <w:suppressAutoHyphens/>
      <w:spacing w:before="180" w:after="0" w:line="240" w:lineRule="atLeast"/>
      <w:ind w:left="907" w:hanging="907"/>
    </w:pPr>
    <w:rPr>
      <w:rFonts w:ascii="Overpass" w:eastAsia="Overpass" w:hAnsi="Overpass" w:cs="Times New Roman"/>
      <w:sz w:val="19"/>
      <w:szCs w:val="19"/>
    </w:rPr>
  </w:style>
  <w:style w:type="paragraph" w:customStyle="1" w:styleId="IntroPara">
    <w:name w:val="Intro Para"/>
    <w:basedOn w:val="Normal"/>
    <w:uiPriority w:val="2"/>
    <w:qFormat/>
    <w:rsid w:val="008F050C"/>
    <w:pPr>
      <w:suppressAutoHyphens/>
      <w:spacing w:before="480" w:after="480" w:line="240" w:lineRule="atLeast"/>
    </w:pPr>
    <w:rPr>
      <w:rFonts w:ascii="Overpass" w:eastAsia="Overpass" w:hAnsi="Overpass" w:cs="Times New Roman"/>
      <w:color w:val="618FB5"/>
      <w:sz w:val="24"/>
      <w:szCs w:val="19"/>
    </w:rPr>
  </w:style>
  <w:style w:type="numbering" w:customStyle="1" w:styleId="FigureTitles">
    <w:name w:val="Figure Titles"/>
    <w:uiPriority w:val="99"/>
    <w:rsid w:val="008F050C"/>
    <w:pPr>
      <w:numPr>
        <w:numId w:val="13"/>
      </w:numPr>
    </w:pPr>
  </w:style>
  <w:style w:type="character" w:styleId="IntenseEmphasis">
    <w:name w:val="Intense Emphasis"/>
    <w:uiPriority w:val="21"/>
    <w:qFormat/>
    <w:rsid w:val="008F050C"/>
    <w:rPr>
      <w:b/>
      <w:i/>
      <w:iCs/>
      <w:color w:val="auto"/>
    </w:rPr>
  </w:style>
  <w:style w:type="character" w:styleId="Strong">
    <w:name w:val="Strong"/>
    <w:uiPriority w:val="22"/>
    <w:qFormat/>
    <w:rsid w:val="008F050C"/>
    <w:rPr>
      <w:b/>
      <w:bCs/>
    </w:rPr>
  </w:style>
  <w:style w:type="character" w:styleId="Emphasis">
    <w:name w:val="Emphasis"/>
    <w:uiPriority w:val="20"/>
    <w:qFormat/>
    <w:rsid w:val="008F050C"/>
    <w:rPr>
      <w:i/>
      <w:iCs/>
    </w:rPr>
  </w:style>
  <w:style w:type="paragraph" w:customStyle="1" w:styleId="CoverText">
    <w:name w:val="Cover Text"/>
    <w:basedOn w:val="Normal"/>
    <w:uiPriority w:val="18"/>
    <w:qFormat/>
    <w:rsid w:val="008F050C"/>
    <w:pPr>
      <w:suppressAutoHyphens/>
      <w:spacing w:before="4400" w:after="80" w:line="280" w:lineRule="exact"/>
    </w:pPr>
    <w:rPr>
      <w:rFonts w:ascii="Overpass" w:eastAsia="Overpass" w:hAnsi="Overpass" w:cs="Times New Roman"/>
      <w:color w:val="0D223F"/>
      <w:szCs w:val="19"/>
    </w:rPr>
  </w:style>
  <w:style w:type="paragraph" w:customStyle="1" w:styleId="Box1Text">
    <w:name w:val="Box 1 Text"/>
    <w:basedOn w:val="Normal"/>
    <w:uiPriority w:val="13"/>
    <w:qFormat/>
    <w:rsid w:val="008F050C"/>
    <w:pPr>
      <w:pBdr>
        <w:top w:val="single" w:sz="4" w:space="14" w:color="E8E8E8" w:themeColor="background2"/>
        <w:left w:val="single" w:sz="4" w:space="14" w:color="E8E8E8" w:themeColor="background2"/>
        <w:bottom w:val="single" w:sz="4" w:space="14" w:color="E8E8E8" w:themeColor="background2"/>
        <w:right w:val="single" w:sz="4" w:space="14" w:color="E8E8E8" w:themeColor="background2"/>
      </w:pBdr>
      <w:shd w:val="clear" w:color="auto" w:fill="E8E8E8" w:themeFill="background2"/>
      <w:suppressAutoHyphens/>
      <w:spacing w:before="180" w:after="80" w:line="240" w:lineRule="atLeast"/>
      <w:ind w:left="284" w:right="284"/>
    </w:pPr>
    <w:rPr>
      <w:rFonts w:ascii="Overpass" w:eastAsia="Overpass" w:hAnsi="Overpass" w:cs="Times New Roman"/>
      <w:sz w:val="19"/>
      <w:szCs w:val="19"/>
    </w:rPr>
  </w:style>
  <w:style w:type="paragraph" w:customStyle="1" w:styleId="Bullet4">
    <w:name w:val="Bullet 4"/>
    <w:basedOn w:val="Bullet3"/>
    <w:uiPriority w:val="3"/>
    <w:qFormat/>
    <w:rsid w:val="008F050C"/>
    <w:pPr>
      <w:numPr>
        <w:ilvl w:val="3"/>
      </w:numPr>
    </w:pPr>
  </w:style>
  <w:style w:type="paragraph" w:customStyle="1" w:styleId="NumberedList4">
    <w:name w:val="Numbered List 4"/>
    <w:basedOn w:val="NumberedList3"/>
    <w:uiPriority w:val="3"/>
    <w:qFormat/>
    <w:rsid w:val="008F050C"/>
    <w:pPr>
      <w:numPr>
        <w:ilvl w:val="3"/>
      </w:numPr>
    </w:pPr>
  </w:style>
  <w:style w:type="paragraph" w:customStyle="1" w:styleId="NumberedList5">
    <w:name w:val="Numbered List 5"/>
    <w:basedOn w:val="NumberedList4"/>
    <w:uiPriority w:val="3"/>
    <w:qFormat/>
    <w:rsid w:val="008F050C"/>
    <w:pPr>
      <w:numPr>
        <w:ilvl w:val="4"/>
      </w:numPr>
    </w:pPr>
  </w:style>
  <w:style w:type="paragraph" w:customStyle="1" w:styleId="NumberedList6">
    <w:name w:val="Numbered List 6"/>
    <w:basedOn w:val="NumberedList5"/>
    <w:uiPriority w:val="3"/>
    <w:qFormat/>
    <w:rsid w:val="008F050C"/>
    <w:pPr>
      <w:numPr>
        <w:ilvl w:val="5"/>
      </w:numPr>
    </w:pPr>
  </w:style>
  <w:style w:type="paragraph" w:customStyle="1" w:styleId="Box1Heading">
    <w:name w:val="Box 1 Heading"/>
    <w:basedOn w:val="Box1Text"/>
    <w:uiPriority w:val="13"/>
    <w:qFormat/>
    <w:rsid w:val="008F050C"/>
    <w:pPr>
      <w:keepNext/>
      <w:spacing w:line="300" w:lineRule="atLeast"/>
    </w:pPr>
    <w:rPr>
      <w:b/>
      <w:sz w:val="26"/>
    </w:rPr>
  </w:style>
  <w:style w:type="paragraph" w:customStyle="1" w:styleId="Box2Text">
    <w:name w:val="Box 2 Text"/>
    <w:basedOn w:val="Box1Text"/>
    <w:uiPriority w:val="14"/>
    <w:qFormat/>
    <w:rsid w:val="008F050C"/>
    <w:pPr>
      <w:pBdr>
        <w:top w:val="single" w:sz="4" w:space="14" w:color="005487"/>
        <w:left w:val="single" w:sz="4" w:space="14" w:color="005487"/>
        <w:bottom w:val="single" w:sz="4" w:space="14" w:color="005487"/>
        <w:right w:val="single" w:sz="4" w:space="14" w:color="005487"/>
      </w:pBdr>
      <w:shd w:val="clear" w:color="auto" w:fill="005487"/>
    </w:pPr>
    <w:rPr>
      <w:color w:val="FFFFFF"/>
    </w:rPr>
  </w:style>
  <w:style w:type="paragraph" w:customStyle="1" w:styleId="Box2Heading">
    <w:name w:val="Box 2 Heading"/>
    <w:basedOn w:val="Box2Text"/>
    <w:uiPriority w:val="14"/>
    <w:qFormat/>
    <w:rsid w:val="008F050C"/>
    <w:pPr>
      <w:keepNext/>
      <w:spacing w:line="300" w:lineRule="atLeast"/>
    </w:pPr>
    <w:rPr>
      <w:b/>
      <w:sz w:val="26"/>
    </w:rPr>
  </w:style>
  <w:style w:type="table" w:customStyle="1" w:styleId="NoeticTable1">
    <w:name w:val="Noetic Table 1"/>
    <w:basedOn w:val="TableNormal"/>
    <w:uiPriority w:val="9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BFBFBF"/>
        <w:bottom w:val="single" w:sz="4" w:space="0" w:color="BFBFBF"/>
        <w:insideH w:val="single" w:sz="4" w:space="0" w:color="BFBFBF"/>
        <w:insideV w:val="single" w:sz="4" w:space="0" w:color="BFBFBF"/>
      </w:tblBorders>
      <w:tblCellMar>
        <w:bottom w:w="108" w:type="dxa"/>
      </w:tblCellMar>
    </w:tblPr>
    <w:trPr>
      <w:cantSplit/>
    </w:trPr>
    <w:tblStylePr w:type="firstRow">
      <w:rPr>
        <w:b/>
        <w:color w:val="FFFFFF"/>
      </w:rPr>
      <w:tblPr/>
      <w:tcPr>
        <w:tcBorders>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F2F2F2"/>
      </w:tcPr>
    </w:tblStylePr>
    <w:tblStylePr w:type="band2Horz">
      <w:tblPr/>
      <w:tcPr>
        <w:shd w:val="clear" w:color="auto" w:fill="D9D9D9"/>
      </w:tcPr>
    </w:tblStylePr>
  </w:style>
  <w:style w:type="paragraph" w:customStyle="1" w:styleId="TableTextNormal">
    <w:name w:val="Table Text Normal"/>
    <w:basedOn w:val="Normal"/>
    <w:uiPriority w:val="12"/>
    <w:qFormat/>
    <w:rsid w:val="008F050C"/>
    <w:pPr>
      <w:suppressAutoHyphens/>
      <w:spacing w:after="0" w:line="240" w:lineRule="atLeast"/>
    </w:pPr>
    <w:rPr>
      <w:rFonts w:ascii="Overpass" w:eastAsia="Overpass" w:hAnsi="Overpass" w:cs="Times New Roman"/>
      <w:sz w:val="19"/>
      <w:szCs w:val="19"/>
    </w:rPr>
  </w:style>
  <w:style w:type="table" w:customStyle="1" w:styleId="NoeticTable2">
    <w:name w:val="Noetic Table 2"/>
    <w:basedOn w:val="NoeticTable1"/>
    <w:uiPriority w:val="99"/>
    <w:rsid w:val="008F050C"/>
    <w:tblPr>
      <w:tblBorders>
        <w:top w:val="single" w:sz="4" w:space="0" w:color="005487"/>
        <w:bottom w:val="single" w:sz="4" w:space="0" w:color="005487"/>
        <w:insideH w:val="single" w:sz="4" w:space="0" w:color="005487"/>
        <w:insideV w:val="single" w:sz="4" w:space="0" w:color="FFFFFF"/>
      </w:tblBorders>
    </w:tblPr>
    <w:tblStylePr w:type="firstRow">
      <w:rPr>
        <w:b/>
        <w:color w:val="FFFFFF"/>
      </w:rPr>
      <w:tblPr/>
      <w:tcPr>
        <w:tcBorders>
          <w:top w:val="single" w:sz="4" w:space="0" w:color="FFFFFF"/>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B4E2FF"/>
      </w:tcPr>
    </w:tblStylePr>
    <w:tblStylePr w:type="band2Horz">
      <w:tblPr/>
      <w:tcPr>
        <w:shd w:val="clear" w:color="auto" w:fill="69C5FF"/>
      </w:tcPr>
    </w:tblStylePr>
  </w:style>
  <w:style w:type="table" w:customStyle="1" w:styleId="NoeticBiographyTable">
    <w:name w:val="Noetic Biography Table"/>
    <w:basedOn w:val="TableNormal"/>
    <w:uiPriority w:val="99"/>
    <w:rsid w:val="008F050C"/>
    <w:pPr>
      <w:spacing w:before="180" w:after="80" w:line="240" w:lineRule="atLeast"/>
    </w:pPr>
    <w:rPr>
      <w:rFonts w:ascii="Overpass" w:eastAsia="Overpass" w:hAnsi="Overpass" w:cs="Times New Roman"/>
      <w:sz w:val="19"/>
      <w:szCs w:val="19"/>
    </w:rPr>
    <w:tblPr>
      <w:tblCellMar>
        <w:left w:w="0" w:type="dxa"/>
        <w:right w:w="0" w:type="dxa"/>
      </w:tblCellMar>
    </w:tblPr>
    <w:tcPr>
      <w:shd w:val="clear" w:color="auto" w:fill="auto"/>
      <w:vAlign w:val="bottom"/>
    </w:tcPr>
  </w:style>
  <w:style w:type="paragraph" w:styleId="NoSpacing">
    <w:name w:val="No Spacing"/>
    <w:uiPriority w:val="1"/>
    <w:qFormat/>
    <w:rsid w:val="008F050C"/>
    <w:pPr>
      <w:suppressAutoHyphens/>
      <w:spacing w:before="180" w:after="80" w:line="240" w:lineRule="atLeast"/>
      <w:contextualSpacing/>
    </w:pPr>
    <w:rPr>
      <w:rFonts w:ascii="Overpass" w:eastAsia="Overpass" w:hAnsi="Overpass" w:cs="Times New Roman"/>
      <w:sz w:val="19"/>
      <w:szCs w:val="22"/>
    </w:rPr>
  </w:style>
  <w:style w:type="character" w:customStyle="1" w:styleId="Caveat10pt">
    <w:name w:val="Caveat 10pt"/>
    <w:uiPriority w:val="99"/>
    <w:qFormat/>
    <w:rsid w:val="008F050C"/>
    <w:rPr>
      <w:caps/>
      <w:smallCaps w:val="0"/>
      <w:sz w:val="20"/>
    </w:rPr>
  </w:style>
  <w:style w:type="paragraph" w:customStyle="1" w:styleId="AnnexTitle">
    <w:name w:val="Annex # Title"/>
    <w:basedOn w:val="Heading1"/>
    <w:uiPriority w:val="11"/>
    <w:qFormat/>
    <w:rsid w:val="008F050C"/>
    <w:pPr>
      <w:pageBreakBefore/>
      <w:numPr>
        <w:numId w:val="7"/>
      </w:numPr>
      <w:suppressAutoHyphens/>
      <w:spacing w:before="0" w:after="360" w:line="560" w:lineRule="exact"/>
      <w:contextualSpacing/>
    </w:pPr>
    <w:rPr>
      <w:rFonts w:ascii="Overpass Heavy" w:eastAsia="Batang" w:hAnsi="Overpass Heavy" w:cs="Times New Roman"/>
      <w:bCs/>
      <w:caps/>
      <w:color w:val="E97132" w:themeColor="accent2"/>
      <w:spacing w:val="-15"/>
      <w:kern w:val="0"/>
      <w:sz w:val="56"/>
      <w:szCs w:val="28"/>
      <w14:ligatures w14:val="none"/>
    </w:rPr>
  </w:style>
  <w:style w:type="numbering" w:customStyle="1" w:styleId="AnnexLetters">
    <w:name w:val="Annex Letters"/>
    <w:uiPriority w:val="99"/>
    <w:rsid w:val="008F050C"/>
    <w:pPr>
      <w:numPr>
        <w:numId w:val="7"/>
      </w:numPr>
    </w:pPr>
  </w:style>
  <w:style w:type="paragraph" w:customStyle="1" w:styleId="AppendixTitle">
    <w:name w:val="Appendix # Title"/>
    <w:basedOn w:val="Heading1"/>
    <w:uiPriority w:val="11"/>
    <w:qFormat/>
    <w:rsid w:val="008F050C"/>
    <w:pPr>
      <w:pageBreakBefore/>
      <w:numPr>
        <w:numId w:val="8"/>
      </w:numPr>
      <w:suppressAutoHyphens/>
      <w:spacing w:before="0" w:after="360" w:line="600" w:lineRule="atLeast"/>
      <w:contextualSpacing/>
    </w:pPr>
    <w:rPr>
      <w:rFonts w:ascii="Overpass Heavy" w:eastAsia="Batang" w:hAnsi="Overpass Heavy" w:cs="Times New Roman"/>
      <w:bCs/>
      <w:caps/>
      <w:color w:val="000000" w:themeColor="text1"/>
      <w:spacing w:val="-15"/>
      <w:kern w:val="0"/>
      <w:sz w:val="56"/>
      <w:szCs w:val="28"/>
      <w14:ligatures w14:val="none"/>
    </w:rPr>
  </w:style>
  <w:style w:type="numbering" w:customStyle="1" w:styleId="AppendixNumbers">
    <w:name w:val="Appendix Numbers"/>
    <w:uiPriority w:val="99"/>
    <w:rsid w:val="008F050C"/>
    <w:pPr>
      <w:numPr>
        <w:numId w:val="8"/>
      </w:numPr>
    </w:pPr>
  </w:style>
  <w:style w:type="paragraph" w:customStyle="1" w:styleId="AttachmentTitle">
    <w:name w:val="Attachment # Title"/>
    <w:basedOn w:val="Heading1"/>
    <w:uiPriority w:val="11"/>
    <w:qFormat/>
    <w:rsid w:val="008F050C"/>
    <w:pPr>
      <w:pageBreakBefore/>
      <w:numPr>
        <w:numId w:val="16"/>
      </w:numPr>
      <w:suppressAutoHyphens/>
      <w:spacing w:before="0" w:after="360" w:line="600" w:lineRule="atLeast"/>
      <w:contextualSpacing/>
    </w:pPr>
    <w:rPr>
      <w:rFonts w:ascii="Overpass Heavy" w:eastAsia="Batang" w:hAnsi="Overpass Heavy" w:cs="Times New Roman"/>
      <w:bCs/>
      <w:caps/>
      <w:color w:val="000000" w:themeColor="text1"/>
      <w:spacing w:val="-15"/>
      <w:kern w:val="0"/>
      <w:sz w:val="56"/>
      <w:szCs w:val="28"/>
      <w14:ligatures w14:val="none"/>
    </w:rPr>
  </w:style>
  <w:style w:type="numbering" w:customStyle="1" w:styleId="AttachmentNumbers">
    <w:name w:val="Attachment Numbers"/>
    <w:uiPriority w:val="99"/>
    <w:rsid w:val="008F050C"/>
    <w:pPr>
      <w:numPr>
        <w:numId w:val="9"/>
      </w:numPr>
    </w:pPr>
  </w:style>
  <w:style w:type="paragraph" w:customStyle="1" w:styleId="BackCoverAddressLine1">
    <w:name w:val="Back Cover Address Line 1"/>
    <w:basedOn w:val="Normal"/>
    <w:uiPriority w:val="36"/>
    <w:qFormat/>
    <w:rsid w:val="008F050C"/>
    <w:pPr>
      <w:suppressAutoHyphens/>
      <w:spacing w:before="9600" w:after="80" w:line="240" w:lineRule="atLeast"/>
    </w:pPr>
    <w:rPr>
      <w:rFonts w:ascii="Overpass" w:eastAsia="Overpass" w:hAnsi="Overpass" w:cs="Times New Roman"/>
      <w:b/>
      <w:color w:val="FFFFFF"/>
      <w:sz w:val="19"/>
      <w:szCs w:val="19"/>
    </w:rPr>
  </w:style>
  <w:style w:type="character" w:customStyle="1" w:styleId="FooterCoverURL">
    <w:name w:val="Footer Cover URL"/>
    <w:uiPriority w:val="99"/>
    <w:qFormat/>
    <w:rsid w:val="008F050C"/>
    <w:rPr>
      <w:b/>
      <w:color w:val="FFFFFF"/>
      <w:sz w:val="28"/>
      <w:szCs w:val="28"/>
    </w:rPr>
  </w:style>
  <w:style w:type="character" w:customStyle="1" w:styleId="Accent1Bold">
    <w:name w:val="Accent 1 Bold"/>
    <w:uiPriority w:val="99"/>
    <w:qFormat/>
    <w:rsid w:val="008F050C"/>
    <w:rPr>
      <w:rFonts w:ascii="Overpass Heavy" w:hAnsi="Overpass Heavy"/>
      <w:b w:val="0"/>
      <w:color w:val="F1A983" w:themeColor="accent2" w:themeTint="99"/>
      <w:sz w:val="40"/>
      <w:szCs w:val="36"/>
    </w:rPr>
  </w:style>
  <w:style w:type="paragraph" w:customStyle="1" w:styleId="TableActionHeading">
    <w:name w:val="Table Action Heading"/>
    <w:basedOn w:val="TableTextNormal"/>
    <w:uiPriority w:val="12"/>
    <w:qFormat/>
    <w:rsid w:val="008F050C"/>
    <w:rPr>
      <w:b/>
      <w:sz w:val="24"/>
    </w:rPr>
  </w:style>
  <w:style w:type="paragraph" w:customStyle="1" w:styleId="BiographyPosition">
    <w:name w:val="Biography Position"/>
    <w:basedOn w:val="TableTextNormal"/>
    <w:uiPriority w:val="12"/>
    <w:qFormat/>
    <w:rsid w:val="008F050C"/>
    <w:pPr>
      <w:spacing w:after="120"/>
    </w:pPr>
  </w:style>
  <w:style w:type="paragraph" w:customStyle="1" w:styleId="Box1Bullet">
    <w:name w:val="Box 1 Bullet"/>
    <w:basedOn w:val="Box1Text"/>
    <w:uiPriority w:val="14"/>
    <w:qFormat/>
    <w:rsid w:val="008F050C"/>
    <w:pPr>
      <w:numPr>
        <w:numId w:val="10"/>
      </w:numPr>
      <w:spacing w:before="80"/>
      <w:ind w:left="568" w:hanging="284"/>
    </w:pPr>
  </w:style>
  <w:style w:type="paragraph" w:customStyle="1" w:styleId="Box2Bullet">
    <w:name w:val="Box 2 Bullet"/>
    <w:basedOn w:val="Box2Text"/>
    <w:uiPriority w:val="15"/>
    <w:qFormat/>
    <w:rsid w:val="008F050C"/>
    <w:pPr>
      <w:numPr>
        <w:numId w:val="11"/>
      </w:numPr>
      <w:spacing w:before="80"/>
      <w:ind w:left="568" w:hanging="284"/>
    </w:pPr>
  </w:style>
  <w:style w:type="paragraph" w:customStyle="1" w:styleId="FooterCaveat">
    <w:name w:val="Footer Caveat"/>
    <w:basedOn w:val="Footer"/>
    <w:uiPriority w:val="99"/>
    <w:qFormat/>
    <w:rsid w:val="008F050C"/>
    <w:pPr>
      <w:tabs>
        <w:tab w:val="clear" w:pos="4513"/>
        <w:tab w:val="clear" w:pos="9026"/>
        <w:tab w:val="center" w:pos="2126"/>
        <w:tab w:val="center" w:pos="4253"/>
        <w:tab w:val="right" w:pos="8505"/>
      </w:tabs>
      <w:suppressAutoHyphens/>
      <w:spacing w:before="60" w:line="190" w:lineRule="atLeast"/>
      <w:ind w:right="567"/>
      <w:jc w:val="center"/>
    </w:pPr>
    <w:rPr>
      <w:rFonts w:ascii="Overpass" w:eastAsia="Overpass" w:hAnsi="Overpass"/>
      <w:color w:val="auto"/>
      <w:sz w:val="16"/>
      <w:szCs w:val="19"/>
    </w:rPr>
  </w:style>
  <w:style w:type="paragraph" w:customStyle="1" w:styleId="FooterPageNumber">
    <w:name w:val="Footer Page Number"/>
    <w:basedOn w:val="Footer"/>
    <w:uiPriority w:val="99"/>
    <w:qFormat/>
    <w:rsid w:val="008F050C"/>
    <w:pPr>
      <w:tabs>
        <w:tab w:val="clear" w:pos="4513"/>
        <w:tab w:val="clear" w:pos="9026"/>
        <w:tab w:val="center" w:pos="2126"/>
        <w:tab w:val="center" w:pos="4253"/>
        <w:tab w:val="right" w:pos="8505"/>
      </w:tabs>
      <w:suppressAutoHyphens/>
      <w:spacing w:before="60" w:line="190" w:lineRule="atLeast"/>
      <w:jc w:val="right"/>
    </w:pPr>
    <w:rPr>
      <w:rFonts w:ascii="Overpass" w:eastAsia="Overpass" w:hAnsi="Overpass"/>
      <w:b/>
      <w:color w:val="618FB5"/>
      <w:sz w:val="16"/>
      <w:szCs w:val="19"/>
    </w:rPr>
  </w:style>
  <w:style w:type="paragraph" w:customStyle="1" w:styleId="Heading3-NotinTOC">
    <w:name w:val="Heading 3 - Not in TOC"/>
    <w:basedOn w:val="Heading3"/>
    <w:uiPriority w:val="9"/>
    <w:qFormat/>
    <w:rsid w:val="00A50D3F"/>
    <w:pPr>
      <w:suppressAutoHyphens/>
      <w:spacing w:before="240" w:after="180" w:line="280" w:lineRule="exact"/>
      <w:contextualSpacing/>
    </w:pPr>
    <w:rPr>
      <w:rFonts w:eastAsia="MS Mincho"/>
      <w:b w:val="0"/>
      <w:bCs w:val="0"/>
      <w:color w:val="156082" w:themeColor="accent1"/>
      <w:sz w:val="28"/>
      <w:szCs w:val="28"/>
    </w:rPr>
  </w:style>
  <w:style w:type="character" w:styleId="PlaceholderText">
    <w:name w:val="Placeholder Text"/>
    <w:uiPriority w:val="99"/>
    <w:semiHidden/>
    <w:rsid w:val="008F050C"/>
    <w:rPr>
      <w:color w:val="808080"/>
    </w:rPr>
  </w:style>
  <w:style w:type="paragraph" w:customStyle="1" w:styleId="NormalNumberedParagraph">
    <w:name w:val="Normal Numbered Paragraph"/>
    <w:basedOn w:val="Normal"/>
    <w:autoRedefine/>
    <w:uiPriority w:val="10"/>
    <w:rsid w:val="008F050C"/>
    <w:pPr>
      <w:widowControl w:val="0"/>
      <w:tabs>
        <w:tab w:val="left" w:pos="1080"/>
      </w:tabs>
      <w:suppressAutoHyphens/>
      <w:spacing w:before="180" w:after="80" w:line="240" w:lineRule="atLeast"/>
      <w:ind w:left="1134" w:hanging="1134"/>
      <w:jc w:val="both"/>
      <w:outlineLvl w:val="3"/>
    </w:pPr>
    <w:rPr>
      <w:rFonts w:asciiTheme="minorHAnsi" w:eastAsia="Times New Roman" w:hAnsiTheme="minorHAnsi" w:cs="Arial"/>
      <w:kern w:val="20"/>
      <w:szCs w:val="24"/>
    </w:rPr>
  </w:style>
  <w:style w:type="paragraph" w:customStyle="1" w:styleId="Footnotes">
    <w:name w:val="Footnotes"/>
    <w:basedOn w:val="FootnoteText"/>
    <w:link w:val="FootnotesChar"/>
    <w:uiPriority w:val="99"/>
    <w:qFormat/>
    <w:rsid w:val="008F050C"/>
    <w:pPr>
      <w:keepLines w:val="0"/>
      <w:tabs>
        <w:tab w:val="left" w:pos="113"/>
      </w:tabs>
      <w:suppressAutoHyphens/>
      <w:spacing w:before="60" w:line="180" w:lineRule="exact"/>
    </w:pPr>
    <w:rPr>
      <w:rFonts w:ascii="Overpass" w:eastAsia="Overpass" w:hAnsi="Overpass"/>
      <w:color w:val="5B6762"/>
      <w:sz w:val="14"/>
    </w:rPr>
  </w:style>
  <w:style w:type="character" w:customStyle="1" w:styleId="FootnotesChar">
    <w:name w:val="Footnotes Char"/>
    <w:link w:val="Footnotes"/>
    <w:uiPriority w:val="99"/>
    <w:rsid w:val="008F050C"/>
    <w:rPr>
      <w:rFonts w:ascii="Overpass" w:eastAsia="Overpass" w:hAnsi="Overpass" w:cs="Times New Roman"/>
      <w:color w:val="5B6762"/>
      <w:sz w:val="14"/>
    </w:rPr>
  </w:style>
  <w:style w:type="table" w:customStyle="1" w:styleId="TableGridLight1">
    <w:name w:val="Table Grid Light1"/>
    <w:basedOn w:val="TableNormal"/>
    <w:uiPriority w:val="40"/>
    <w:rsid w:val="008F050C"/>
    <w:pPr>
      <w:spacing w:before="180" w:after="80" w:line="240" w:lineRule="atLeast"/>
    </w:pPr>
    <w:rPr>
      <w:rFonts w:ascii="Overpass" w:eastAsia="Overpass" w:hAnsi="Overpass" w:cs="Times New Roman"/>
      <w:sz w:val="19"/>
      <w:szCs w:val="19"/>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uiPriority w:val="44"/>
    <w:rsid w:val="008F050C"/>
    <w:pPr>
      <w:spacing w:before="180" w:after="80" w:line="240" w:lineRule="atLeast"/>
    </w:pPr>
    <w:rPr>
      <w:rFonts w:ascii="Overpass" w:eastAsia="Overpass" w:hAnsi="Overpass" w:cs="Times New Roman"/>
      <w:sz w:val="19"/>
      <w:szCs w:val="19"/>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Quote">
    <w:name w:val="Quote"/>
    <w:basedOn w:val="Normal"/>
    <w:next w:val="Normal"/>
    <w:link w:val="QuoteChar"/>
    <w:uiPriority w:val="29"/>
    <w:unhideWhenUsed/>
    <w:qFormat/>
    <w:rsid w:val="008F050C"/>
    <w:pPr>
      <w:suppressAutoHyphens/>
      <w:spacing w:before="200" w:after="160" w:line="240" w:lineRule="atLeast"/>
      <w:ind w:left="864" w:right="864"/>
      <w:jc w:val="center"/>
    </w:pPr>
    <w:rPr>
      <w:rFonts w:ascii="Overpass" w:eastAsia="Overpass" w:hAnsi="Overpass" w:cs="Times New Roman"/>
      <w:i/>
      <w:iCs/>
      <w:color w:val="404040" w:themeColor="text1" w:themeTint="BF"/>
      <w:sz w:val="19"/>
      <w:szCs w:val="19"/>
    </w:rPr>
  </w:style>
  <w:style w:type="character" w:customStyle="1" w:styleId="QuoteChar">
    <w:name w:val="Quote Char"/>
    <w:basedOn w:val="DefaultParagraphFont"/>
    <w:link w:val="Quote"/>
    <w:uiPriority w:val="29"/>
    <w:rsid w:val="008F050C"/>
    <w:rPr>
      <w:rFonts w:ascii="Overpass" w:eastAsia="Overpass" w:hAnsi="Overpass" w:cs="Times New Roman"/>
      <w:i/>
      <w:iCs/>
      <w:color w:val="404040" w:themeColor="text1" w:themeTint="BF"/>
      <w:sz w:val="19"/>
      <w:szCs w:val="19"/>
    </w:rPr>
  </w:style>
  <w:style w:type="paragraph" w:styleId="NormalWeb">
    <w:name w:val="Normal (Web)"/>
    <w:basedOn w:val="Normal"/>
    <w:uiPriority w:val="99"/>
    <w:semiHidden/>
    <w:unhideWhenUsed/>
    <w:rsid w:val="008F050C"/>
    <w:pPr>
      <w:spacing w:before="100" w:beforeAutospacing="1" w:after="100" w:afterAutospacing="1" w:line="240" w:lineRule="auto"/>
    </w:pPr>
    <w:rPr>
      <w:rFonts w:ascii="Times New Roman" w:eastAsia="MS Mincho" w:hAnsi="Times New Roman" w:cs="Times New Roman"/>
      <w:sz w:val="24"/>
      <w:szCs w:val="24"/>
      <w:lang w:eastAsia="en-AU"/>
    </w:rPr>
  </w:style>
  <w:style w:type="character" w:customStyle="1" w:styleId="Caveat8pt">
    <w:name w:val="Caveat 8pt"/>
    <w:uiPriority w:val="99"/>
    <w:qFormat/>
    <w:rsid w:val="008F050C"/>
    <w:rPr>
      <w:rFonts w:ascii="Overpass" w:hAnsi="Overpass"/>
      <w:b w:val="0"/>
      <w:i w:val="0"/>
      <w:caps/>
      <w:smallCaps w:val="0"/>
      <w:color w:val="FFA300"/>
      <w:sz w:val="16"/>
    </w:rPr>
  </w:style>
  <w:style w:type="paragraph" w:customStyle="1" w:styleId="Header-StatusRef">
    <w:name w:val="Header - Status Ref"/>
    <w:basedOn w:val="Header"/>
    <w:uiPriority w:val="99"/>
    <w:qFormat/>
    <w:rsid w:val="008F050C"/>
    <w:pPr>
      <w:pBdr>
        <w:bottom w:val="single" w:sz="4" w:space="8" w:color="618FB5"/>
      </w:pBdr>
      <w:tabs>
        <w:tab w:val="clear" w:pos="4513"/>
        <w:tab w:val="clear" w:pos="9026"/>
        <w:tab w:val="center" w:pos="4253"/>
        <w:tab w:val="right" w:pos="8505"/>
      </w:tabs>
      <w:suppressAutoHyphens/>
      <w:spacing w:after="120" w:line="190" w:lineRule="atLeast"/>
    </w:pPr>
    <w:rPr>
      <w:rFonts w:ascii="Overpass" w:eastAsia="Overpass" w:hAnsi="Overpass"/>
      <w:color w:val="FFFFFF"/>
      <w:sz w:val="16"/>
      <w:szCs w:val="16"/>
    </w:rPr>
  </w:style>
  <w:style w:type="table" w:styleId="LightList-Accent4">
    <w:name w:val="Light List Accent 4"/>
    <w:basedOn w:val="TableNormal"/>
    <w:uiPriority w:val="61"/>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pPr>
        <w:spacing w:before="0" w:after="0" w:line="240" w:lineRule="auto"/>
      </w:pPr>
      <w:rPr>
        <w:b/>
        <w:bCs/>
        <w:color w:val="FFFFFF"/>
      </w:rPr>
      <w:tblPr/>
      <w:tcPr>
        <w:shd w:val="clear" w:color="auto" w:fill="FFD16D"/>
      </w:tcPr>
    </w:tblStylePr>
    <w:tblStylePr w:type="lastRow">
      <w:pPr>
        <w:spacing w:before="0" w:after="0" w:line="240" w:lineRule="auto"/>
      </w:pPr>
      <w:rPr>
        <w:b/>
        <w:bCs/>
      </w:rPr>
      <w:tblPr/>
      <w:tcPr>
        <w:tcBorders>
          <w:top w:val="double" w:sz="6" w:space="0" w:color="FFD16D"/>
          <w:left w:val="single" w:sz="8" w:space="0" w:color="FFD16D"/>
          <w:bottom w:val="single" w:sz="8" w:space="0" w:color="FFD16D"/>
          <w:right w:val="single" w:sz="8" w:space="0" w:color="FFD16D"/>
        </w:tcBorders>
      </w:tcPr>
    </w:tblStylePr>
    <w:tblStylePr w:type="firstCol">
      <w:rPr>
        <w:b/>
        <w:bCs/>
      </w:rPr>
    </w:tblStylePr>
    <w:tblStylePr w:type="lastCol">
      <w:rPr>
        <w:b/>
        <w:bCs/>
      </w:rPr>
    </w:tblStylePr>
    <w:tblStylePr w:type="band1Vert">
      <w:tblPr/>
      <w:tcPr>
        <w:tcBorders>
          <w:top w:val="single" w:sz="8" w:space="0" w:color="FFD16D"/>
          <w:left w:val="single" w:sz="8" w:space="0" w:color="FFD16D"/>
          <w:bottom w:val="single" w:sz="8" w:space="0" w:color="FFD16D"/>
          <w:right w:val="single" w:sz="8" w:space="0" w:color="FFD16D"/>
        </w:tcBorders>
      </w:tcPr>
    </w:tblStylePr>
    <w:tblStylePr w:type="band1Horz">
      <w:tblPr/>
      <w:tcPr>
        <w:tcBorders>
          <w:top w:val="single" w:sz="8" w:space="0" w:color="FFD16D"/>
          <w:left w:val="single" w:sz="8" w:space="0" w:color="FFD16D"/>
          <w:bottom w:val="single" w:sz="8" w:space="0" w:color="FFD16D"/>
          <w:right w:val="single" w:sz="8" w:space="0" w:color="FFD16D"/>
        </w:tcBorders>
      </w:tcPr>
    </w:tblStylePr>
  </w:style>
  <w:style w:type="table" w:styleId="MediumShading1-Accent4">
    <w:name w:val="Medium Shading 1 Accent 4"/>
    <w:basedOn w:val="TableNormal"/>
    <w:uiPriority w:val="63"/>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DC91"/>
        <w:left w:val="single" w:sz="8" w:space="0" w:color="FFDC91"/>
        <w:bottom w:val="single" w:sz="8" w:space="0" w:color="FFDC91"/>
        <w:right w:val="single" w:sz="8" w:space="0" w:color="FFDC91"/>
        <w:insideH w:val="single" w:sz="8" w:space="0" w:color="FFDC91"/>
      </w:tblBorders>
    </w:tblPr>
    <w:tblStylePr w:type="firstRow">
      <w:pPr>
        <w:spacing w:before="0" w:after="0" w:line="240" w:lineRule="auto"/>
      </w:pPr>
      <w:rPr>
        <w:b/>
        <w:bCs/>
        <w:color w:val="FFFFFF"/>
      </w:rPr>
      <w:tblPr/>
      <w:tcPr>
        <w:tcBorders>
          <w:top w:val="single" w:sz="8" w:space="0" w:color="FFDC91"/>
          <w:left w:val="single" w:sz="8" w:space="0" w:color="FFDC91"/>
          <w:bottom w:val="single" w:sz="8" w:space="0" w:color="FFDC91"/>
          <w:right w:val="single" w:sz="8" w:space="0" w:color="FFDC91"/>
          <w:insideH w:val="nil"/>
          <w:insideV w:val="nil"/>
        </w:tcBorders>
        <w:shd w:val="clear" w:color="auto" w:fill="FFD16D"/>
      </w:tcPr>
    </w:tblStylePr>
    <w:tblStylePr w:type="lastRow">
      <w:pPr>
        <w:spacing w:before="0" w:after="0" w:line="240" w:lineRule="auto"/>
      </w:pPr>
      <w:rPr>
        <w:b/>
        <w:bCs/>
      </w:rPr>
      <w:tblPr/>
      <w:tcPr>
        <w:tcBorders>
          <w:top w:val="double" w:sz="6" w:space="0" w:color="FFDC91"/>
          <w:left w:val="single" w:sz="8" w:space="0" w:color="FFDC91"/>
          <w:bottom w:val="single" w:sz="8" w:space="0" w:color="FFDC91"/>
          <w:right w:val="single" w:sz="8" w:space="0" w:color="FFDC91"/>
          <w:insideH w:val="nil"/>
          <w:insideV w:val="nil"/>
        </w:tcBorders>
      </w:tcPr>
    </w:tblStylePr>
    <w:tblStylePr w:type="firstCol">
      <w:rPr>
        <w:b/>
        <w:bCs/>
      </w:rPr>
    </w:tblStylePr>
    <w:tblStylePr w:type="lastCol">
      <w:rPr>
        <w:b/>
        <w:bCs/>
      </w:rPr>
    </w:tblStylePr>
    <w:tblStylePr w:type="band1Vert">
      <w:tblPr/>
      <w:tcPr>
        <w:shd w:val="clear" w:color="auto" w:fill="FFF3DA"/>
      </w:tcPr>
    </w:tblStylePr>
    <w:tblStylePr w:type="band1Horz">
      <w:tblPr/>
      <w:tcPr>
        <w:tcBorders>
          <w:insideH w:val="nil"/>
          <w:insideV w:val="nil"/>
        </w:tcBorders>
        <w:shd w:val="clear" w:color="auto" w:fill="FFF3DA"/>
      </w:tcPr>
    </w:tblStylePr>
    <w:tblStylePr w:type="band2Horz">
      <w:tblPr/>
      <w:tcPr>
        <w:tcBorders>
          <w:insideH w:val="nil"/>
          <w:insideV w:val="nil"/>
        </w:tcBorders>
      </w:tcPr>
    </w:tblStylePr>
  </w:style>
  <w:style w:type="table" w:styleId="MediumList1-Accent3">
    <w:name w:val="Medium List 1 Accent 3"/>
    <w:basedOn w:val="TableNormal"/>
    <w:uiPriority w:val="65"/>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top w:val="single" w:sz="8" w:space="0" w:color="FFA300"/>
        <w:bottom w:val="single" w:sz="8" w:space="0" w:color="FFA300"/>
      </w:tblBorders>
    </w:tblPr>
    <w:tblStylePr w:type="firstRow">
      <w:rPr>
        <w:rFonts w:ascii="Overpass Heavy" w:eastAsia="Batang" w:hAnsi="Overpass Heavy" w:cs="Times New Roman"/>
      </w:rPr>
      <w:tblPr/>
      <w:tcPr>
        <w:tcBorders>
          <w:top w:val="nil"/>
          <w:bottom w:val="single" w:sz="8" w:space="0" w:color="FFA300"/>
        </w:tcBorders>
      </w:tcPr>
    </w:tblStylePr>
    <w:tblStylePr w:type="lastRow">
      <w:rPr>
        <w:b/>
        <w:bCs/>
        <w:color w:val="0D223F"/>
      </w:rPr>
      <w:tblPr/>
      <w:tcPr>
        <w:tcBorders>
          <w:top w:val="single" w:sz="8" w:space="0" w:color="FFA300"/>
          <w:bottom w:val="single" w:sz="8" w:space="0" w:color="FFA300"/>
        </w:tcBorders>
      </w:tcPr>
    </w:tblStylePr>
    <w:tblStylePr w:type="firstCol">
      <w:rPr>
        <w:b/>
        <w:bCs/>
      </w:rPr>
    </w:tblStylePr>
    <w:tblStylePr w:type="lastCol">
      <w:rPr>
        <w:b/>
        <w:bCs/>
      </w:rPr>
      <w:tblPr/>
      <w:tcPr>
        <w:tcBorders>
          <w:top w:val="single" w:sz="8" w:space="0" w:color="FFA300"/>
          <w:bottom w:val="single" w:sz="8" w:space="0" w:color="FFA300"/>
        </w:tcBorders>
      </w:tcPr>
    </w:tblStylePr>
    <w:tblStylePr w:type="band1Vert">
      <w:tblPr/>
      <w:tcPr>
        <w:shd w:val="clear" w:color="auto" w:fill="FFE8C0"/>
      </w:tcPr>
    </w:tblStylePr>
    <w:tblStylePr w:type="band1Horz">
      <w:tblPr/>
      <w:tcPr>
        <w:shd w:val="clear" w:color="auto" w:fill="FFE8C0"/>
      </w:tcPr>
    </w:tblStylePr>
  </w:style>
  <w:style w:type="table" w:styleId="MediumList2-Accent4">
    <w:name w:val="Medium List 2 Accent 4"/>
    <w:basedOn w:val="TableNormal"/>
    <w:uiPriority w:val="66"/>
    <w:rsid w:val="008F050C"/>
    <w:pPr>
      <w:spacing w:before="180" w:after="80" w:line="240" w:lineRule="atLeast"/>
    </w:pPr>
    <w:rPr>
      <w:rFonts w:ascii="Overpass Heavy" w:eastAsia="Batang" w:hAnsi="Overpass Heavy" w:cs="Times New Roman"/>
      <w:color w:val="082240"/>
      <w:sz w:val="19"/>
      <w:szCs w:val="19"/>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rPr>
        <w:sz w:val="24"/>
        <w:szCs w:val="24"/>
      </w:rPr>
      <w:tblPr/>
      <w:tcPr>
        <w:tcBorders>
          <w:top w:val="nil"/>
          <w:left w:val="nil"/>
          <w:bottom w:val="single" w:sz="24" w:space="0" w:color="FFD16D"/>
          <w:right w:val="nil"/>
          <w:insideH w:val="nil"/>
          <w:insideV w:val="nil"/>
        </w:tcBorders>
        <w:shd w:val="clear" w:color="auto" w:fill="FFFFFF"/>
      </w:tcPr>
    </w:tblStylePr>
    <w:tblStylePr w:type="lastRow">
      <w:tblPr/>
      <w:tcPr>
        <w:tcBorders>
          <w:top w:val="single" w:sz="8" w:space="0" w:color="FFD16D"/>
          <w:left w:val="nil"/>
          <w:bottom w:val="nil"/>
          <w:right w:val="nil"/>
          <w:insideH w:val="nil"/>
          <w:insideV w:val="nil"/>
        </w:tcBorders>
        <w:shd w:val="clear" w:color="auto" w:fill="FFFFFF"/>
      </w:tcPr>
    </w:tblStylePr>
    <w:tblStylePr w:type="firstCol">
      <w:tblPr/>
      <w:tcPr>
        <w:tcBorders>
          <w:top w:val="nil"/>
          <w:left w:val="nil"/>
          <w:bottom w:val="nil"/>
          <w:right w:val="single" w:sz="8" w:space="0" w:color="FFD16D"/>
          <w:insideH w:val="nil"/>
          <w:insideV w:val="nil"/>
        </w:tcBorders>
        <w:shd w:val="clear" w:color="auto" w:fill="FFFFFF"/>
      </w:tcPr>
    </w:tblStylePr>
    <w:tblStylePr w:type="lastCol">
      <w:tblPr/>
      <w:tcPr>
        <w:tcBorders>
          <w:top w:val="nil"/>
          <w:left w:val="single" w:sz="8" w:space="0" w:color="FFD1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3DA"/>
      </w:tcPr>
    </w:tblStylePr>
    <w:tblStylePr w:type="band1Horz">
      <w:tblPr/>
      <w:tcPr>
        <w:tcBorders>
          <w:top w:val="nil"/>
          <w:bottom w:val="nil"/>
          <w:insideH w:val="nil"/>
          <w:insideV w:val="nil"/>
        </w:tcBorders>
        <w:shd w:val="clear" w:color="auto" w:fill="FFF3DA"/>
      </w:tcPr>
    </w:tblStylePr>
    <w:tblStylePr w:type="nwCell">
      <w:tblPr/>
      <w:tcPr>
        <w:shd w:val="clear" w:color="auto" w:fill="FFFFFF"/>
      </w:tcPr>
    </w:tblStylePr>
    <w:tblStylePr w:type="swCell">
      <w:tblPr/>
      <w:tcPr>
        <w:tcBorders>
          <w:top w:val="nil"/>
        </w:tcBorders>
      </w:tcPr>
    </w:tblStylePr>
  </w:style>
  <w:style w:type="table" w:styleId="MediumGrid2-Accent4">
    <w:name w:val="Medium Grid 2 Accent 4"/>
    <w:basedOn w:val="TableNormal"/>
    <w:uiPriority w:val="68"/>
    <w:rsid w:val="008F050C"/>
    <w:pPr>
      <w:spacing w:before="180" w:after="80" w:line="240" w:lineRule="atLeast"/>
    </w:pPr>
    <w:rPr>
      <w:rFonts w:ascii="Overpass Heavy" w:eastAsia="Batang" w:hAnsi="Overpass Heavy" w:cs="Times New Roman"/>
      <w:color w:val="082240"/>
      <w:sz w:val="19"/>
      <w:szCs w:val="19"/>
    </w:rPr>
    <w:tblPr>
      <w:tblStyleRowBandSize w:val="1"/>
      <w:tblStyleColBandSize w:val="1"/>
      <w:tblBorders>
        <w:top w:val="single" w:sz="8" w:space="0" w:color="FFD16D"/>
        <w:left w:val="single" w:sz="8" w:space="0" w:color="FFD16D"/>
        <w:bottom w:val="single" w:sz="8" w:space="0" w:color="FFD16D"/>
        <w:right w:val="single" w:sz="8" w:space="0" w:color="FFD16D"/>
        <w:insideH w:val="single" w:sz="8" w:space="0" w:color="FFD16D"/>
        <w:insideV w:val="single" w:sz="8" w:space="0" w:color="FFD16D"/>
      </w:tblBorders>
    </w:tblPr>
    <w:tcPr>
      <w:shd w:val="clear" w:color="auto" w:fill="FFF3DA"/>
    </w:tcPr>
    <w:tblStylePr w:type="firstRow">
      <w:rPr>
        <w:b/>
        <w:bCs/>
        <w:color w:val="082240"/>
      </w:rPr>
      <w:tblPr/>
      <w:tcPr>
        <w:shd w:val="clear" w:color="auto" w:fill="FFFAF0"/>
      </w:tcPr>
    </w:tblStylePr>
    <w:tblStylePr w:type="lastRow">
      <w:rPr>
        <w:b/>
        <w:bCs/>
        <w:color w:val="082240"/>
      </w:rPr>
      <w:tblPr/>
      <w:tcPr>
        <w:tcBorders>
          <w:top w:val="single" w:sz="12" w:space="0" w:color="082240"/>
          <w:left w:val="nil"/>
          <w:bottom w:val="nil"/>
          <w:right w:val="nil"/>
          <w:insideH w:val="nil"/>
          <w:insideV w:val="nil"/>
        </w:tcBorders>
        <w:shd w:val="clear" w:color="auto" w:fill="FFFFFF"/>
      </w:tcPr>
    </w:tblStylePr>
    <w:tblStylePr w:type="firstCol">
      <w:rPr>
        <w:b/>
        <w:bCs/>
        <w:color w:val="082240"/>
      </w:rPr>
      <w:tblPr/>
      <w:tcPr>
        <w:tcBorders>
          <w:top w:val="nil"/>
          <w:left w:val="nil"/>
          <w:bottom w:val="nil"/>
          <w:right w:val="nil"/>
          <w:insideH w:val="nil"/>
          <w:insideV w:val="nil"/>
        </w:tcBorders>
        <w:shd w:val="clear" w:color="auto" w:fill="FFFFFF"/>
      </w:tcPr>
    </w:tblStylePr>
    <w:tblStylePr w:type="lastCol">
      <w:rPr>
        <w:b w:val="0"/>
        <w:bCs w:val="0"/>
        <w:color w:val="082240"/>
      </w:rPr>
      <w:tblPr/>
      <w:tcPr>
        <w:tcBorders>
          <w:top w:val="nil"/>
          <w:left w:val="nil"/>
          <w:bottom w:val="nil"/>
          <w:right w:val="nil"/>
          <w:insideH w:val="nil"/>
          <w:insideV w:val="nil"/>
        </w:tcBorders>
        <w:shd w:val="clear" w:color="auto" w:fill="FFF5E1"/>
      </w:tcPr>
    </w:tblStylePr>
    <w:tblStylePr w:type="band1Vert">
      <w:tblPr/>
      <w:tcPr>
        <w:shd w:val="clear" w:color="auto" w:fill="FFE7B6"/>
      </w:tcPr>
    </w:tblStylePr>
    <w:tblStylePr w:type="band1Horz">
      <w:tblPr/>
      <w:tcPr>
        <w:tcBorders>
          <w:insideH w:val="single" w:sz="6" w:space="0" w:color="FFD16D"/>
          <w:insideV w:val="single" w:sz="6" w:space="0" w:color="FFD16D"/>
        </w:tcBorders>
        <w:shd w:val="clear" w:color="auto" w:fill="FFE7B6"/>
      </w:tcPr>
    </w:tblStylePr>
    <w:tblStylePr w:type="nwCell">
      <w:tblPr/>
      <w:tcPr>
        <w:shd w:val="clear" w:color="auto" w:fill="FFFFFF"/>
      </w:tcPr>
    </w:tblStylePr>
  </w:style>
  <w:style w:type="table" w:styleId="MediumGrid3-Accent4">
    <w:name w:val="Medium Grid 3 Accent 4"/>
    <w:basedOn w:val="TableNormal"/>
    <w:uiPriority w:val="6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3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D1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D1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D1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D1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7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7B6"/>
      </w:tcPr>
    </w:tblStylePr>
  </w:style>
  <w:style w:type="table" w:styleId="ColorfulList-Accent3">
    <w:name w:val="Colorful List Accent 3"/>
    <w:basedOn w:val="TableNormal"/>
    <w:uiPriority w:val="72"/>
    <w:rsid w:val="008F050C"/>
    <w:pPr>
      <w:spacing w:before="180" w:after="80" w:line="240" w:lineRule="atLeast"/>
    </w:pPr>
    <w:rPr>
      <w:rFonts w:ascii="Overpass" w:eastAsia="Overpass" w:hAnsi="Overpass" w:cs="Times New Roman"/>
      <w:color w:val="082240"/>
      <w:sz w:val="19"/>
      <w:szCs w:val="19"/>
    </w:rPr>
    <w:tblPr>
      <w:tblStyleRowBandSize w:val="1"/>
      <w:tblStyleColBandSize w:val="1"/>
    </w:tblPr>
    <w:tcPr>
      <w:shd w:val="clear" w:color="auto" w:fill="FFF5E6"/>
    </w:tcPr>
    <w:tblStylePr w:type="firstRow">
      <w:rPr>
        <w:b/>
        <w:bCs/>
        <w:color w:val="FFFFFF"/>
      </w:rPr>
      <w:tblPr/>
      <w:tcPr>
        <w:tcBorders>
          <w:bottom w:val="single" w:sz="12" w:space="0" w:color="FFFFFF"/>
        </w:tcBorders>
        <w:shd w:val="clear" w:color="auto" w:fill="FFB924"/>
      </w:tcPr>
    </w:tblStylePr>
    <w:tblStylePr w:type="lastRow">
      <w:rPr>
        <w:b/>
        <w:bCs/>
        <w:color w:val="FFB924"/>
      </w:rPr>
      <w:tblPr/>
      <w:tcPr>
        <w:tcBorders>
          <w:top w:val="single" w:sz="12" w:space="0" w:color="0822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0"/>
      </w:tcPr>
    </w:tblStylePr>
    <w:tblStylePr w:type="band1Horz">
      <w:tblPr/>
      <w:tcPr>
        <w:shd w:val="clear" w:color="auto" w:fill="FFECCC"/>
      </w:tcPr>
    </w:tblStylePr>
  </w:style>
  <w:style w:type="table" w:styleId="ColorfulGrid-Accent3">
    <w:name w:val="Colorful Grid Accent 3"/>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FECCC"/>
    </w:tcPr>
    <w:tblStylePr w:type="firstRow">
      <w:rPr>
        <w:b/>
        <w:bCs/>
      </w:rPr>
      <w:tblPr/>
      <w:tcPr>
        <w:shd w:val="clear" w:color="auto" w:fill="FFDA99"/>
      </w:tcPr>
    </w:tblStylePr>
    <w:tblStylePr w:type="lastRow">
      <w:rPr>
        <w:b/>
        <w:bCs/>
        <w:color w:val="082240"/>
      </w:rPr>
      <w:tblPr/>
      <w:tcPr>
        <w:shd w:val="clear" w:color="auto" w:fill="FFDA99"/>
      </w:tcPr>
    </w:tblStylePr>
    <w:tblStylePr w:type="firstCol">
      <w:rPr>
        <w:color w:val="FFFFFF"/>
      </w:rPr>
      <w:tblPr/>
      <w:tcPr>
        <w:shd w:val="clear" w:color="auto" w:fill="BF7A00"/>
      </w:tcPr>
    </w:tblStylePr>
    <w:tblStylePr w:type="lastCol">
      <w:rPr>
        <w:color w:val="FFFFFF"/>
      </w:rPr>
      <w:tblPr/>
      <w:tcPr>
        <w:shd w:val="clear" w:color="auto" w:fill="BF7A00"/>
      </w:tcPr>
    </w:tblStylePr>
    <w:tblStylePr w:type="band1Vert">
      <w:tblPr/>
      <w:tcPr>
        <w:shd w:val="clear" w:color="auto" w:fill="FFD180"/>
      </w:tcPr>
    </w:tblStylePr>
    <w:tblStylePr w:type="band1Horz">
      <w:tblPr/>
      <w:tcPr>
        <w:shd w:val="clear" w:color="auto" w:fill="FFD180"/>
      </w:tcPr>
    </w:tblStylePr>
  </w:style>
  <w:style w:type="table" w:styleId="ColorfulGrid-Accent4">
    <w:name w:val="Colorful Grid Accent 4"/>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FF5E1"/>
    </w:tcPr>
    <w:tblStylePr w:type="firstRow">
      <w:rPr>
        <w:b/>
        <w:bCs/>
      </w:rPr>
      <w:tblPr/>
      <w:tcPr>
        <w:shd w:val="clear" w:color="auto" w:fill="FFECC4"/>
      </w:tcPr>
    </w:tblStylePr>
    <w:tblStylePr w:type="lastRow">
      <w:rPr>
        <w:b/>
        <w:bCs/>
        <w:color w:val="082240"/>
      </w:rPr>
      <w:tblPr/>
      <w:tcPr>
        <w:shd w:val="clear" w:color="auto" w:fill="FFECC4"/>
      </w:tcPr>
    </w:tblStylePr>
    <w:tblStylePr w:type="firstCol">
      <w:rPr>
        <w:color w:val="FFFFFF"/>
      </w:rPr>
      <w:tblPr/>
      <w:tcPr>
        <w:shd w:val="clear" w:color="auto" w:fill="FFB311"/>
      </w:tcPr>
    </w:tblStylePr>
    <w:tblStylePr w:type="lastCol">
      <w:rPr>
        <w:color w:val="FFFFFF"/>
      </w:rPr>
      <w:tblPr/>
      <w:tcPr>
        <w:shd w:val="clear" w:color="auto" w:fill="FFB311"/>
      </w:tcPr>
    </w:tblStylePr>
    <w:tblStylePr w:type="band1Vert">
      <w:tblPr/>
      <w:tcPr>
        <w:shd w:val="clear" w:color="auto" w:fill="FFE7B6"/>
      </w:tcPr>
    </w:tblStylePr>
    <w:tblStylePr w:type="band1Horz">
      <w:tblPr/>
      <w:tcPr>
        <w:shd w:val="clear" w:color="auto" w:fill="FFE7B6"/>
      </w:tcPr>
    </w:tblStylePr>
  </w:style>
  <w:style w:type="table" w:styleId="LightShading-Accent5">
    <w:name w:val="Light Shading Accent 5"/>
    <w:basedOn w:val="TableNormal"/>
    <w:uiPriority w:val="60"/>
    <w:rsid w:val="008F050C"/>
    <w:pPr>
      <w:spacing w:before="180" w:after="80" w:line="240" w:lineRule="atLeast"/>
    </w:pPr>
    <w:rPr>
      <w:rFonts w:ascii="Overpass" w:eastAsia="Overpass" w:hAnsi="Overpass" w:cs="Times New Roman"/>
      <w:color w:val="899892"/>
      <w:sz w:val="19"/>
      <w:szCs w:val="19"/>
    </w:rPr>
    <w:tblPr>
      <w:tblStyleRowBandSize w:val="1"/>
      <w:tblStyleColBandSize w:val="1"/>
      <w:tblBorders>
        <w:top w:val="single" w:sz="8" w:space="0" w:color="BEC6C3"/>
        <w:bottom w:val="single" w:sz="8" w:space="0" w:color="BEC6C3"/>
      </w:tblBorders>
    </w:tblPr>
    <w:tblStylePr w:type="fir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la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0F0"/>
      </w:tcPr>
    </w:tblStylePr>
    <w:tblStylePr w:type="band1Horz">
      <w:tblPr/>
      <w:tcPr>
        <w:tcBorders>
          <w:left w:val="nil"/>
          <w:right w:val="nil"/>
          <w:insideH w:val="nil"/>
          <w:insideV w:val="nil"/>
        </w:tcBorders>
        <w:shd w:val="clear" w:color="auto" w:fill="EEF0F0"/>
      </w:tcPr>
    </w:tblStylePr>
  </w:style>
  <w:style w:type="table" w:styleId="LightShading-Accent2">
    <w:name w:val="Light Shading Accent 2"/>
    <w:basedOn w:val="TableNormal"/>
    <w:uiPriority w:val="60"/>
    <w:rsid w:val="008F050C"/>
    <w:pPr>
      <w:spacing w:before="180" w:after="80" w:line="240" w:lineRule="atLeast"/>
    </w:pPr>
    <w:rPr>
      <w:rFonts w:ascii="Overpass" w:eastAsia="Overpass" w:hAnsi="Overpass" w:cs="Times New Roman"/>
      <w:color w:val="426B8D"/>
      <w:sz w:val="19"/>
      <w:szCs w:val="19"/>
    </w:rPr>
    <w:tblPr>
      <w:tblStyleRowBandSize w:val="1"/>
      <w:tblStyleColBandSize w:val="1"/>
      <w:tblBorders>
        <w:top w:val="single" w:sz="8" w:space="0" w:color="618FB5"/>
        <w:bottom w:val="single" w:sz="8" w:space="0" w:color="618FB5"/>
      </w:tblBorders>
    </w:tblPr>
    <w:tblStylePr w:type="firstRow">
      <w:pPr>
        <w:spacing w:before="0" w:after="0" w:line="240" w:lineRule="auto"/>
      </w:pPr>
      <w:rPr>
        <w:b/>
        <w:bCs/>
      </w:rPr>
      <w:tblPr/>
      <w:tcPr>
        <w:tcBorders>
          <w:top w:val="single" w:sz="8" w:space="0" w:color="618FB5"/>
          <w:left w:val="nil"/>
          <w:bottom w:val="single" w:sz="8" w:space="0" w:color="618FB5"/>
          <w:right w:val="nil"/>
          <w:insideH w:val="nil"/>
          <w:insideV w:val="nil"/>
        </w:tcBorders>
      </w:tcPr>
    </w:tblStylePr>
    <w:tblStylePr w:type="lastRow">
      <w:pPr>
        <w:spacing w:before="0" w:after="0" w:line="240" w:lineRule="auto"/>
      </w:pPr>
      <w:rPr>
        <w:b/>
        <w:bCs/>
      </w:rPr>
      <w:tblPr/>
      <w:tcPr>
        <w:tcBorders>
          <w:top w:val="single" w:sz="8" w:space="0" w:color="618FB5"/>
          <w:left w:val="nil"/>
          <w:bottom w:val="single" w:sz="8" w:space="0" w:color="618F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3EC"/>
      </w:tcPr>
    </w:tblStylePr>
    <w:tblStylePr w:type="band1Horz">
      <w:tblPr/>
      <w:tcPr>
        <w:tcBorders>
          <w:left w:val="nil"/>
          <w:right w:val="nil"/>
          <w:insideH w:val="nil"/>
          <w:insideV w:val="nil"/>
        </w:tcBorders>
        <w:shd w:val="clear" w:color="auto" w:fill="D7E3EC"/>
      </w:tcPr>
    </w:tblStylePr>
  </w:style>
  <w:style w:type="table" w:styleId="LightList-Accent5">
    <w:name w:val="Light List Accent 5"/>
    <w:basedOn w:val="TableNormal"/>
    <w:uiPriority w:val="61"/>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BEC6C3"/>
        <w:left w:val="single" w:sz="8" w:space="0" w:color="BEC6C3"/>
        <w:bottom w:val="single" w:sz="8" w:space="0" w:color="BEC6C3"/>
        <w:right w:val="single" w:sz="8" w:space="0" w:color="BEC6C3"/>
      </w:tblBorders>
    </w:tblPr>
    <w:tblStylePr w:type="firstRow">
      <w:pPr>
        <w:spacing w:before="0" w:after="0" w:line="240" w:lineRule="auto"/>
      </w:pPr>
      <w:rPr>
        <w:b/>
        <w:bCs/>
        <w:color w:val="FFFFFF"/>
      </w:rPr>
      <w:tblPr/>
      <w:tcPr>
        <w:shd w:val="clear" w:color="auto" w:fill="BEC6C3"/>
      </w:tcPr>
    </w:tblStylePr>
    <w:tblStylePr w:type="lastRow">
      <w:pPr>
        <w:spacing w:before="0" w:after="0" w:line="240" w:lineRule="auto"/>
      </w:pPr>
      <w:rPr>
        <w:b/>
        <w:bCs/>
      </w:rPr>
      <w:tblPr/>
      <w:tcPr>
        <w:tcBorders>
          <w:top w:val="double" w:sz="6" w:space="0" w:color="BEC6C3"/>
          <w:left w:val="single" w:sz="8" w:space="0" w:color="BEC6C3"/>
          <w:bottom w:val="single" w:sz="8" w:space="0" w:color="BEC6C3"/>
          <w:right w:val="single" w:sz="8" w:space="0" w:color="BEC6C3"/>
        </w:tcBorders>
      </w:tcPr>
    </w:tblStylePr>
    <w:tblStylePr w:type="firstCol">
      <w:rPr>
        <w:b/>
        <w:bCs/>
      </w:rPr>
    </w:tblStylePr>
    <w:tblStylePr w:type="lastCol">
      <w:rPr>
        <w:b/>
        <w:bCs/>
      </w:rPr>
    </w:tblStylePr>
    <w:tblStylePr w:type="band1Vert">
      <w:tblPr/>
      <w:tcPr>
        <w:tcBorders>
          <w:top w:val="single" w:sz="8" w:space="0" w:color="BEC6C3"/>
          <w:left w:val="single" w:sz="8" w:space="0" w:color="BEC6C3"/>
          <w:bottom w:val="single" w:sz="8" w:space="0" w:color="BEC6C3"/>
          <w:right w:val="single" w:sz="8" w:space="0" w:color="BEC6C3"/>
        </w:tcBorders>
      </w:tcPr>
    </w:tblStylePr>
    <w:tblStylePr w:type="band1Horz">
      <w:tblPr/>
      <w:tcPr>
        <w:tcBorders>
          <w:top w:val="single" w:sz="8" w:space="0" w:color="BEC6C3"/>
          <w:left w:val="single" w:sz="8" w:space="0" w:color="BEC6C3"/>
          <w:bottom w:val="single" w:sz="8" w:space="0" w:color="BEC6C3"/>
          <w:right w:val="single" w:sz="8" w:space="0" w:color="BEC6C3"/>
        </w:tcBorders>
      </w:tcPr>
    </w:tblStylePr>
  </w:style>
  <w:style w:type="table" w:styleId="LightList-Accent2">
    <w:name w:val="Light List Accent 2"/>
    <w:basedOn w:val="TableNormal"/>
    <w:uiPriority w:val="61"/>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618FB5"/>
        <w:left w:val="single" w:sz="8" w:space="0" w:color="618FB5"/>
        <w:bottom w:val="single" w:sz="8" w:space="0" w:color="618FB5"/>
        <w:right w:val="single" w:sz="8" w:space="0" w:color="618FB5"/>
      </w:tblBorders>
    </w:tblPr>
    <w:tblStylePr w:type="firstRow">
      <w:pPr>
        <w:spacing w:before="0" w:after="0" w:line="240" w:lineRule="auto"/>
      </w:pPr>
      <w:rPr>
        <w:b/>
        <w:bCs/>
        <w:color w:val="FFFFFF"/>
      </w:rPr>
      <w:tblPr/>
      <w:tcPr>
        <w:shd w:val="clear" w:color="auto" w:fill="618FB5"/>
      </w:tcPr>
    </w:tblStylePr>
    <w:tblStylePr w:type="lastRow">
      <w:pPr>
        <w:spacing w:before="0" w:after="0" w:line="240" w:lineRule="auto"/>
      </w:pPr>
      <w:rPr>
        <w:b/>
        <w:bCs/>
      </w:rPr>
      <w:tblPr/>
      <w:tcPr>
        <w:tcBorders>
          <w:top w:val="double" w:sz="6" w:space="0" w:color="618FB5"/>
          <w:left w:val="single" w:sz="8" w:space="0" w:color="618FB5"/>
          <w:bottom w:val="single" w:sz="8" w:space="0" w:color="618FB5"/>
          <w:right w:val="single" w:sz="8" w:space="0" w:color="618FB5"/>
        </w:tcBorders>
      </w:tcPr>
    </w:tblStylePr>
    <w:tblStylePr w:type="firstCol">
      <w:rPr>
        <w:b/>
        <w:bCs/>
      </w:rPr>
    </w:tblStylePr>
    <w:tblStylePr w:type="lastCol">
      <w:rPr>
        <w:b/>
        <w:bCs/>
      </w:rPr>
    </w:tblStylePr>
    <w:tblStylePr w:type="band1Vert">
      <w:tblPr/>
      <w:tcPr>
        <w:tcBorders>
          <w:top w:val="single" w:sz="8" w:space="0" w:color="618FB5"/>
          <w:left w:val="single" w:sz="8" w:space="0" w:color="618FB5"/>
          <w:bottom w:val="single" w:sz="8" w:space="0" w:color="618FB5"/>
          <w:right w:val="single" w:sz="8" w:space="0" w:color="618FB5"/>
        </w:tcBorders>
      </w:tcPr>
    </w:tblStylePr>
    <w:tblStylePr w:type="band1Horz">
      <w:tblPr/>
      <w:tcPr>
        <w:tcBorders>
          <w:top w:val="single" w:sz="8" w:space="0" w:color="618FB5"/>
          <w:left w:val="single" w:sz="8" w:space="0" w:color="618FB5"/>
          <w:bottom w:val="single" w:sz="8" w:space="0" w:color="618FB5"/>
          <w:right w:val="single" w:sz="8" w:space="0" w:color="618FB5"/>
        </w:tcBorders>
      </w:tcPr>
    </w:tblStylePr>
  </w:style>
  <w:style w:type="table" w:styleId="ColorfulGrid-Accent5">
    <w:name w:val="Colorful Grid Accent 5"/>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1F3F2"/>
    </w:tcPr>
    <w:tblStylePr w:type="firstRow">
      <w:rPr>
        <w:b/>
        <w:bCs/>
      </w:rPr>
      <w:tblPr/>
      <w:tcPr>
        <w:shd w:val="clear" w:color="auto" w:fill="E4E8E6"/>
      </w:tcPr>
    </w:tblStylePr>
    <w:tblStylePr w:type="lastRow">
      <w:rPr>
        <w:b/>
        <w:bCs/>
        <w:color w:val="082240"/>
      </w:rPr>
      <w:tblPr/>
      <w:tcPr>
        <w:shd w:val="clear" w:color="auto" w:fill="E4E8E6"/>
      </w:tcPr>
    </w:tblStylePr>
    <w:tblStylePr w:type="firstCol">
      <w:rPr>
        <w:color w:val="FFFFFF"/>
      </w:rPr>
      <w:tblPr/>
      <w:tcPr>
        <w:shd w:val="clear" w:color="auto" w:fill="899892"/>
      </w:tcPr>
    </w:tblStylePr>
    <w:tblStylePr w:type="lastCol">
      <w:rPr>
        <w:color w:val="FFFFFF"/>
      </w:rPr>
      <w:tblPr/>
      <w:tcPr>
        <w:shd w:val="clear" w:color="auto" w:fill="899892"/>
      </w:tcPr>
    </w:tblStylePr>
    <w:tblStylePr w:type="band1Vert">
      <w:tblPr/>
      <w:tcPr>
        <w:shd w:val="clear" w:color="auto" w:fill="DEE2E0"/>
      </w:tcPr>
    </w:tblStylePr>
    <w:tblStylePr w:type="band1Horz">
      <w:tblPr/>
      <w:tcPr>
        <w:shd w:val="clear" w:color="auto" w:fill="DEE2E0"/>
      </w:tcPr>
    </w:tblStylePr>
  </w:style>
  <w:style w:type="table" w:styleId="ColorfulGrid-Accent2">
    <w:name w:val="Colorful Grid Accent 2"/>
    <w:basedOn w:val="TableNormal"/>
    <w:uiPriority w:val="73"/>
    <w:rsid w:val="008F050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DFE8F0"/>
    </w:tcPr>
    <w:tblStylePr w:type="firstRow">
      <w:rPr>
        <w:b/>
        <w:bCs/>
      </w:rPr>
      <w:tblPr/>
      <w:tcPr>
        <w:shd w:val="clear" w:color="auto" w:fill="BFD2E1"/>
      </w:tcPr>
    </w:tblStylePr>
    <w:tblStylePr w:type="lastRow">
      <w:rPr>
        <w:b/>
        <w:bCs/>
        <w:color w:val="082240"/>
      </w:rPr>
      <w:tblPr/>
      <w:tcPr>
        <w:shd w:val="clear" w:color="auto" w:fill="BFD2E1"/>
      </w:tcPr>
    </w:tblStylePr>
    <w:tblStylePr w:type="firstCol">
      <w:rPr>
        <w:color w:val="FFFFFF"/>
      </w:rPr>
      <w:tblPr/>
      <w:tcPr>
        <w:shd w:val="clear" w:color="auto" w:fill="426B8D"/>
      </w:tcPr>
    </w:tblStylePr>
    <w:tblStylePr w:type="lastCol">
      <w:rPr>
        <w:color w:val="FFFFFF"/>
      </w:rPr>
      <w:tblPr/>
      <w:tcPr>
        <w:shd w:val="clear" w:color="auto" w:fill="426B8D"/>
      </w:tcPr>
    </w:tblStylePr>
    <w:tblStylePr w:type="band1Vert">
      <w:tblPr/>
      <w:tcPr>
        <w:shd w:val="clear" w:color="auto" w:fill="B0C7DA"/>
      </w:tcPr>
    </w:tblStylePr>
    <w:tblStylePr w:type="band1Horz">
      <w:tblPr/>
      <w:tcPr>
        <w:shd w:val="clear" w:color="auto" w:fill="B0C7DA"/>
      </w:tcPr>
    </w:tblStylePr>
  </w:style>
  <w:style w:type="table" w:styleId="MediumGrid3-Accent5">
    <w:name w:val="Medium Grid 3 Accent 5"/>
    <w:basedOn w:val="TableNormal"/>
    <w:uiPriority w:val="6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EF0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EC6C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EC6C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EC6C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EC6C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E2E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E2E0"/>
      </w:tcPr>
    </w:tblStylePr>
  </w:style>
  <w:style w:type="table" w:styleId="MediumGrid3-Accent2">
    <w:name w:val="Medium Grid 3 Accent 2"/>
    <w:basedOn w:val="TableNormal"/>
    <w:uiPriority w:val="6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18F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18F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18F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18F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7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7DA"/>
      </w:tcPr>
    </w:tblStylePr>
  </w:style>
  <w:style w:type="table" w:styleId="MediumShading2-Accent2">
    <w:name w:val="Medium Shading 2 Accent 2"/>
    <w:basedOn w:val="TableNormal"/>
    <w:uiPriority w:val="64"/>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18FB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18FB5"/>
      </w:tcPr>
    </w:tblStylePr>
    <w:tblStylePr w:type="lastCol">
      <w:rPr>
        <w:b/>
        <w:bCs/>
        <w:color w:val="FFFFFF"/>
      </w:rPr>
      <w:tblPr/>
      <w:tcPr>
        <w:tcBorders>
          <w:left w:val="nil"/>
          <w:right w:val="nil"/>
          <w:insideH w:val="nil"/>
          <w:insideV w:val="nil"/>
        </w:tcBorders>
        <w:shd w:val="clear" w:color="auto" w:fill="618F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CED4D1"/>
        <w:left w:val="single" w:sz="8" w:space="0" w:color="CED4D1"/>
        <w:bottom w:val="single" w:sz="8" w:space="0" w:color="CED4D1"/>
        <w:right w:val="single" w:sz="8" w:space="0" w:color="CED4D1"/>
        <w:insideH w:val="single" w:sz="8" w:space="0" w:color="CED4D1"/>
      </w:tblBorders>
    </w:tblPr>
    <w:tblStylePr w:type="firstRow">
      <w:pPr>
        <w:spacing w:before="0" w:after="0" w:line="240" w:lineRule="auto"/>
      </w:pPr>
      <w:rPr>
        <w:b/>
        <w:bCs/>
        <w:color w:val="FFFFFF"/>
      </w:rPr>
      <w:tblPr/>
      <w:tcPr>
        <w:tcBorders>
          <w:top w:val="single" w:sz="8" w:space="0" w:color="CED4D1"/>
          <w:left w:val="single" w:sz="8" w:space="0" w:color="CED4D1"/>
          <w:bottom w:val="single" w:sz="8" w:space="0" w:color="CED4D1"/>
          <w:right w:val="single" w:sz="8" w:space="0" w:color="CED4D1"/>
          <w:insideH w:val="nil"/>
          <w:insideV w:val="nil"/>
        </w:tcBorders>
        <w:shd w:val="clear" w:color="auto" w:fill="BEC6C3"/>
      </w:tcPr>
    </w:tblStylePr>
    <w:tblStylePr w:type="lastRow">
      <w:pPr>
        <w:spacing w:before="0" w:after="0" w:line="240" w:lineRule="auto"/>
      </w:pPr>
      <w:rPr>
        <w:b/>
        <w:bCs/>
      </w:rPr>
      <w:tblPr/>
      <w:tcPr>
        <w:tcBorders>
          <w:top w:val="double" w:sz="6" w:space="0" w:color="CED4D1"/>
          <w:left w:val="single" w:sz="8" w:space="0" w:color="CED4D1"/>
          <w:bottom w:val="single" w:sz="8" w:space="0" w:color="CED4D1"/>
          <w:right w:val="single" w:sz="8" w:space="0" w:color="CED4D1"/>
          <w:insideH w:val="nil"/>
          <w:insideV w:val="nil"/>
        </w:tcBorders>
      </w:tcPr>
    </w:tblStylePr>
    <w:tblStylePr w:type="firstCol">
      <w:rPr>
        <w:b/>
        <w:bCs/>
      </w:rPr>
    </w:tblStylePr>
    <w:tblStylePr w:type="lastCol">
      <w:rPr>
        <w:b/>
        <w:bCs/>
      </w:rPr>
    </w:tblStylePr>
    <w:tblStylePr w:type="band1Vert">
      <w:tblPr/>
      <w:tcPr>
        <w:shd w:val="clear" w:color="auto" w:fill="EEF0F0"/>
      </w:tcPr>
    </w:tblStylePr>
    <w:tblStylePr w:type="band1Horz">
      <w:tblPr/>
      <w:tcPr>
        <w:tcBorders>
          <w:insideH w:val="nil"/>
          <w:insideV w:val="nil"/>
        </w:tcBorders>
        <w:shd w:val="clear" w:color="auto" w:fill="EEF0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88AAC7"/>
        <w:left w:val="single" w:sz="8" w:space="0" w:color="88AAC7"/>
        <w:bottom w:val="single" w:sz="8" w:space="0" w:color="88AAC7"/>
        <w:right w:val="single" w:sz="8" w:space="0" w:color="88AAC7"/>
        <w:insideH w:val="single" w:sz="8" w:space="0" w:color="88AAC7"/>
      </w:tblBorders>
    </w:tblPr>
    <w:tblStylePr w:type="firstRow">
      <w:pPr>
        <w:spacing w:before="0" w:after="0" w:line="240" w:lineRule="auto"/>
      </w:pPr>
      <w:rPr>
        <w:b/>
        <w:bCs/>
        <w:color w:val="FFFFFF"/>
      </w:rPr>
      <w:tblPr/>
      <w:tcPr>
        <w:tcBorders>
          <w:top w:val="single" w:sz="8" w:space="0" w:color="88AAC7"/>
          <w:left w:val="single" w:sz="8" w:space="0" w:color="88AAC7"/>
          <w:bottom w:val="single" w:sz="8" w:space="0" w:color="88AAC7"/>
          <w:right w:val="single" w:sz="8" w:space="0" w:color="88AAC7"/>
          <w:insideH w:val="nil"/>
          <w:insideV w:val="nil"/>
        </w:tcBorders>
        <w:shd w:val="clear" w:color="auto" w:fill="618FB5"/>
      </w:tcPr>
    </w:tblStylePr>
    <w:tblStylePr w:type="lastRow">
      <w:pPr>
        <w:spacing w:before="0" w:after="0" w:line="240" w:lineRule="auto"/>
      </w:pPr>
      <w:rPr>
        <w:b/>
        <w:bCs/>
      </w:rPr>
      <w:tblPr/>
      <w:tcPr>
        <w:tcBorders>
          <w:top w:val="double" w:sz="6" w:space="0" w:color="88AAC7"/>
          <w:left w:val="single" w:sz="8" w:space="0" w:color="88AAC7"/>
          <w:bottom w:val="single" w:sz="8" w:space="0" w:color="88AAC7"/>
          <w:right w:val="single" w:sz="8" w:space="0" w:color="88AAC7"/>
          <w:insideH w:val="nil"/>
          <w:insideV w:val="nil"/>
        </w:tcBorders>
      </w:tcPr>
    </w:tblStylePr>
    <w:tblStylePr w:type="firstCol">
      <w:rPr>
        <w:b/>
        <w:bCs/>
      </w:rPr>
    </w:tblStylePr>
    <w:tblStylePr w:type="lastCol">
      <w:rPr>
        <w:b/>
        <w:bCs/>
      </w:rPr>
    </w:tblStylePr>
    <w:tblStylePr w:type="band1Vert">
      <w:tblPr/>
      <w:tcPr>
        <w:shd w:val="clear" w:color="auto" w:fill="D7E3EC"/>
      </w:tcPr>
    </w:tblStylePr>
    <w:tblStylePr w:type="band1Horz">
      <w:tblPr/>
      <w:tcPr>
        <w:tcBorders>
          <w:insideH w:val="nil"/>
          <w:insideV w:val="nil"/>
        </w:tcBorders>
        <w:shd w:val="clear" w:color="auto" w:fill="D7E3EC"/>
      </w:tcPr>
    </w:tblStylePr>
    <w:tblStylePr w:type="band2Horz">
      <w:tblPr/>
      <w:tcPr>
        <w:tcBorders>
          <w:insideH w:val="nil"/>
          <w:insideV w:val="nil"/>
        </w:tcBorders>
      </w:tcPr>
    </w:tblStylePr>
  </w:style>
  <w:style w:type="character" w:styleId="SubtleEmphasis">
    <w:name w:val="Subtle Emphasis"/>
    <w:uiPriority w:val="19"/>
    <w:qFormat/>
    <w:rsid w:val="008F050C"/>
    <w:rPr>
      <w:i/>
      <w:iCs/>
      <w:color w:val="1455A1"/>
    </w:rPr>
  </w:style>
  <w:style w:type="table" w:styleId="GridTable4-Accent2">
    <w:name w:val="Grid Table 4 Accent 2"/>
    <w:basedOn w:val="TableNormal"/>
    <w:uiPriority w:val="49"/>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A0BBD2"/>
        <w:left w:val="single" w:sz="4" w:space="0" w:color="A0BBD2"/>
        <w:bottom w:val="single" w:sz="4" w:space="0" w:color="A0BBD2"/>
        <w:right w:val="single" w:sz="4" w:space="0" w:color="A0BBD2"/>
        <w:insideH w:val="single" w:sz="4" w:space="0" w:color="A0BBD2"/>
        <w:insideV w:val="single" w:sz="4" w:space="0" w:color="A0BBD2"/>
      </w:tblBorders>
    </w:tblPr>
    <w:tblStylePr w:type="firstRow">
      <w:rPr>
        <w:b/>
        <w:bCs/>
        <w:color w:val="FFFFFF"/>
      </w:rPr>
      <w:tblPr/>
      <w:tcPr>
        <w:tcBorders>
          <w:top w:val="single" w:sz="4" w:space="0" w:color="618FB5"/>
          <w:left w:val="single" w:sz="4" w:space="0" w:color="618FB5"/>
          <w:bottom w:val="single" w:sz="4" w:space="0" w:color="618FB5"/>
          <w:right w:val="single" w:sz="4" w:space="0" w:color="618FB5"/>
          <w:insideH w:val="nil"/>
          <w:insideV w:val="nil"/>
        </w:tcBorders>
        <w:shd w:val="clear" w:color="auto" w:fill="618FB5"/>
      </w:tcPr>
    </w:tblStylePr>
    <w:tblStylePr w:type="lastRow">
      <w:rPr>
        <w:b/>
        <w:bCs/>
      </w:rPr>
      <w:tblPr/>
      <w:tcPr>
        <w:tcBorders>
          <w:top w:val="double" w:sz="4" w:space="0" w:color="618FB5"/>
        </w:tcBorders>
      </w:tcPr>
    </w:tblStylePr>
    <w:tblStylePr w:type="firstCol">
      <w:rPr>
        <w:b/>
        <w:bCs/>
      </w:rPr>
    </w:tblStylePr>
    <w:tblStylePr w:type="lastCol">
      <w:rPr>
        <w:b/>
        <w:bCs/>
      </w:rPr>
    </w:tblStylePr>
    <w:tblStylePr w:type="band1Vert">
      <w:tblPr/>
      <w:tcPr>
        <w:shd w:val="clear" w:color="auto" w:fill="DFE8F0"/>
      </w:tcPr>
    </w:tblStylePr>
    <w:tblStylePr w:type="band1Horz">
      <w:tblPr/>
      <w:tcPr>
        <w:shd w:val="clear" w:color="auto" w:fill="DFE8F0"/>
      </w:tcPr>
    </w:tblStylePr>
  </w:style>
  <w:style w:type="character" w:styleId="SubtleReference">
    <w:name w:val="Subtle Reference"/>
    <w:uiPriority w:val="31"/>
    <w:unhideWhenUsed/>
    <w:qFormat/>
    <w:rsid w:val="008F050C"/>
    <w:rPr>
      <w:smallCaps/>
      <w:color w:val="196AC9"/>
    </w:rPr>
  </w:style>
  <w:style w:type="paragraph" w:customStyle="1" w:styleId="ClientName">
    <w:name w:val="Client Name"/>
    <w:basedOn w:val="Subtitle"/>
    <w:uiPriority w:val="18"/>
    <w:qFormat/>
    <w:rsid w:val="008F050C"/>
    <w:pPr>
      <w:suppressAutoHyphens/>
      <w:spacing w:before="180" w:after="360" w:line="400" w:lineRule="exact"/>
      <w:ind w:left="0" w:right="2545"/>
      <w:contextualSpacing/>
    </w:pPr>
    <w:rPr>
      <w:rFonts w:ascii="Overpass Heavy" w:eastAsia="Batang" w:hAnsi="Overpass Heavy"/>
      <w:bCs w:val="0"/>
      <w:color w:val="F1A983" w:themeColor="accent2" w:themeTint="99"/>
      <w:spacing w:val="-10"/>
    </w:rPr>
  </w:style>
  <w:style w:type="character" w:customStyle="1" w:styleId="UnresolvedMention20">
    <w:name w:val="Unresolved Mention20"/>
    <w:basedOn w:val="DefaultParagraphFont"/>
    <w:uiPriority w:val="99"/>
    <w:unhideWhenUsed/>
    <w:rsid w:val="008F050C"/>
    <w:rPr>
      <w:color w:val="605E5C"/>
      <w:shd w:val="clear" w:color="auto" w:fill="E1DFDD"/>
    </w:rPr>
  </w:style>
  <w:style w:type="paragraph" w:styleId="IntenseQuote">
    <w:name w:val="Intense Quote"/>
    <w:basedOn w:val="Normal"/>
    <w:next w:val="Normal"/>
    <w:link w:val="IntenseQuoteChar"/>
    <w:uiPriority w:val="30"/>
    <w:unhideWhenUsed/>
    <w:qFormat/>
    <w:rsid w:val="008F050C"/>
    <w:pPr>
      <w:pBdr>
        <w:top w:val="single" w:sz="4" w:space="10" w:color="156082" w:themeColor="accent1"/>
        <w:bottom w:val="single" w:sz="4" w:space="10" w:color="156082" w:themeColor="accent1"/>
      </w:pBdr>
      <w:suppressAutoHyphens/>
      <w:spacing w:before="360" w:after="360" w:line="240" w:lineRule="atLeast"/>
      <w:ind w:left="864" w:right="864"/>
      <w:jc w:val="center"/>
    </w:pPr>
    <w:rPr>
      <w:rFonts w:ascii="Overpass" w:eastAsia="Overpass" w:hAnsi="Overpass" w:cs="Times New Roman"/>
      <w:i/>
      <w:iCs/>
      <w:color w:val="156082" w:themeColor="accent1"/>
      <w:sz w:val="19"/>
      <w:szCs w:val="19"/>
    </w:rPr>
  </w:style>
  <w:style w:type="character" w:customStyle="1" w:styleId="IntenseQuoteChar">
    <w:name w:val="Intense Quote Char"/>
    <w:basedOn w:val="DefaultParagraphFont"/>
    <w:link w:val="IntenseQuote"/>
    <w:uiPriority w:val="30"/>
    <w:rsid w:val="008F050C"/>
    <w:rPr>
      <w:rFonts w:ascii="Overpass" w:eastAsia="Overpass" w:hAnsi="Overpass" w:cs="Times New Roman"/>
      <w:i/>
      <w:iCs/>
      <w:color w:val="156082" w:themeColor="accent1"/>
      <w:sz w:val="19"/>
      <w:szCs w:val="19"/>
    </w:rPr>
  </w:style>
  <w:style w:type="character" w:styleId="IntenseReference">
    <w:name w:val="Intense Reference"/>
    <w:basedOn w:val="DefaultParagraphFont"/>
    <w:uiPriority w:val="32"/>
    <w:unhideWhenUsed/>
    <w:qFormat/>
    <w:rsid w:val="008F050C"/>
    <w:rPr>
      <w:b/>
      <w:bCs/>
      <w:smallCaps/>
      <w:color w:val="156082" w:themeColor="accent1"/>
      <w:spacing w:val="5"/>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qFormat/>
    <w:locked/>
    <w:rsid w:val="008F050C"/>
    <w:rPr>
      <w:rFonts w:ascii="Arial" w:hAnsi="Arial"/>
      <w:kern w:val="2"/>
      <w:sz w:val="22"/>
      <w:szCs w:val="22"/>
      <w14:ligatures w14:val="standardContextual"/>
    </w:rPr>
  </w:style>
  <w:style w:type="character" w:customStyle="1" w:styleId="normaltextrun">
    <w:name w:val="normaltextrun"/>
    <w:basedOn w:val="DefaultParagraphFont"/>
    <w:rsid w:val="008F050C"/>
  </w:style>
  <w:style w:type="character" w:customStyle="1" w:styleId="eop">
    <w:name w:val="eop"/>
    <w:basedOn w:val="DefaultParagraphFont"/>
    <w:rsid w:val="008F050C"/>
  </w:style>
  <w:style w:type="numbering" w:customStyle="1" w:styleId="BulletsList1">
    <w:name w:val="Bullets List1"/>
    <w:uiPriority w:val="99"/>
    <w:rsid w:val="008F050C"/>
  </w:style>
  <w:style w:type="character" w:customStyle="1" w:styleId="Mention1">
    <w:name w:val="Mention1"/>
    <w:basedOn w:val="DefaultParagraphFont"/>
    <w:uiPriority w:val="99"/>
    <w:unhideWhenUsed/>
    <w:rsid w:val="008F050C"/>
    <w:rPr>
      <w:color w:val="2B579A"/>
      <w:shd w:val="clear" w:color="auto" w:fill="E1DFDD"/>
    </w:rPr>
  </w:style>
  <w:style w:type="character" w:customStyle="1" w:styleId="findhit">
    <w:name w:val="findhit"/>
    <w:basedOn w:val="DefaultParagraphFont"/>
    <w:rsid w:val="008F050C"/>
  </w:style>
  <w:style w:type="paragraph" w:customStyle="1" w:styleId="paragraph">
    <w:name w:val="paragraph"/>
    <w:basedOn w:val="Normal"/>
    <w:rsid w:val="008F050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Accent3">
    <w:name w:val="Grid Table 4 Accent 3"/>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lainTable210">
    <w:name w:val="Plain Table 21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
    <w:name w:val="Plain Table 21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
    <w:name w:val="Plain Table 21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styleId="GridTable5Dark">
    <w:name w:val="Grid Table 5 Dark"/>
    <w:basedOn w:val="TableNormal"/>
    <w:uiPriority w:val="50"/>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4-Accent6">
    <w:name w:val="Grid Table 4 Accent 6"/>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ghtList-Accent1">
    <w:name w:val="Light List Accent 1"/>
    <w:basedOn w:val="TableNormal"/>
    <w:uiPriority w:val="61"/>
    <w:rsid w:val="008F050C"/>
    <w:pPr>
      <w:spacing w:after="0" w:line="240" w:lineRule="auto"/>
    </w:pPr>
    <w:rPr>
      <w:rFonts w:ascii="Overpass" w:eastAsia="Overpass" w:hAnsi="Overpass" w:cs="Times New Roman"/>
      <w:sz w:val="19"/>
      <w:szCs w:val="19"/>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stTable3-Accent6">
    <w:name w:val="List Table 3 Accent 6"/>
    <w:basedOn w:val="TableNormal"/>
    <w:uiPriority w:val="48"/>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paragraph" w:customStyle="1" w:styleId="null">
    <w:name w:val="null"/>
    <w:basedOn w:val="Normal"/>
    <w:rsid w:val="008F050C"/>
    <w:pPr>
      <w:spacing w:before="100" w:beforeAutospacing="1" w:after="100" w:afterAutospacing="1" w:line="240" w:lineRule="auto"/>
    </w:pPr>
    <w:rPr>
      <w:rFonts w:ascii="Times New Roman" w:hAnsi="Times New Roman" w:cs="Times New Roman"/>
      <w:sz w:val="24"/>
      <w:szCs w:val="24"/>
      <w:lang w:eastAsia="en-AU"/>
    </w:rPr>
  </w:style>
  <w:style w:type="character" w:customStyle="1" w:styleId="null1">
    <w:name w:val="null1"/>
    <w:basedOn w:val="DefaultParagraphFont"/>
    <w:rsid w:val="008F050C"/>
  </w:style>
  <w:style w:type="character" w:customStyle="1" w:styleId="Mention2">
    <w:name w:val="Mention2"/>
    <w:basedOn w:val="DefaultParagraphFont"/>
    <w:uiPriority w:val="99"/>
    <w:unhideWhenUsed/>
    <w:rsid w:val="008F050C"/>
    <w:rPr>
      <w:color w:val="2B579A"/>
      <w:shd w:val="clear" w:color="auto" w:fill="E1DFDD"/>
    </w:rPr>
  </w:style>
  <w:style w:type="character" w:styleId="FollowedHyperlink">
    <w:name w:val="FollowedHyperlink"/>
    <w:basedOn w:val="DefaultParagraphFont"/>
    <w:uiPriority w:val="99"/>
    <w:semiHidden/>
    <w:unhideWhenUsed/>
    <w:rsid w:val="008F050C"/>
    <w:rPr>
      <w:color w:val="96607D" w:themeColor="followedHyperlink"/>
      <w:u w:val="single"/>
    </w:rPr>
  </w:style>
  <w:style w:type="table" w:styleId="ListTable4-Accent1">
    <w:name w:val="List Table 4 Accent 1"/>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3-Accent2">
    <w:name w:val="List Table 3 Accent 2"/>
    <w:basedOn w:val="TableNormal"/>
    <w:uiPriority w:val="48"/>
    <w:rsid w:val="008F050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PlainTable210000">
    <w:name w:val="Plain Table 21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
    <w:name w:val="Plain Table 21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
    <w:name w:val="Plain Table 21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
    <w:name w:val="Plain Table 21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paragraph" w:customStyle="1" w:styleId="Paragraph1">
    <w:name w:val="Paragraph 1"/>
    <w:basedOn w:val="ListParagraph"/>
    <w:qFormat/>
    <w:rsid w:val="008F050C"/>
    <w:pPr>
      <w:numPr>
        <w:numId w:val="20"/>
      </w:numPr>
      <w:tabs>
        <w:tab w:val="num" w:pos="360"/>
      </w:tabs>
      <w:spacing w:after="200" w:line="276" w:lineRule="auto"/>
      <w:contextualSpacing w:val="0"/>
    </w:pPr>
    <w:rPr>
      <w:rFonts w:asciiTheme="minorHAnsi" w:hAnsiTheme="minorHAnsi"/>
      <w:kern w:val="0"/>
      <w14:ligatures w14:val="none"/>
    </w:rPr>
  </w:style>
  <w:style w:type="paragraph" w:customStyle="1" w:styleId="Subparagrapha">
    <w:name w:val="Subparagraph (a)"/>
    <w:basedOn w:val="ListParagraph"/>
    <w:qFormat/>
    <w:rsid w:val="008F050C"/>
    <w:pPr>
      <w:numPr>
        <w:ilvl w:val="1"/>
        <w:numId w:val="20"/>
      </w:numPr>
      <w:tabs>
        <w:tab w:val="num" w:pos="360"/>
      </w:tabs>
      <w:spacing w:before="240" w:after="200" w:line="276" w:lineRule="auto"/>
      <w:ind w:left="1134" w:hanging="567"/>
      <w:contextualSpacing w:val="0"/>
    </w:pPr>
    <w:rPr>
      <w:rFonts w:asciiTheme="minorHAnsi" w:hAnsiTheme="minorHAnsi"/>
      <w:kern w:val="0"/>
      <w14:ligatures w14:val="none"/>
    </w:rPr>
  </w:style>
  <w:style w:type="table" w:customStyle="1" w:styleId="PlainTable2100000000">
    <w:name w:val="Plain Table 210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0">
    <w:name w:val="Plain Table 2100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00">
    <w:name w:val="Plain Table 210000000000"/>
    <w:basedOn w:val="TableNormal"/>
    <w:uiPriority w:val="42"/>
    <w:rsid w:val="008F050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character" w:customStyle="1" w:styleId="UnresolvedMention3">
    <w:name w:val="Unresolved Mention3"/>
    <w:basedOn w:val="DefaultParagraphFont"/>
    <w:uiPriority w:val="99"/>
    <w:semiHidden/>
    <w:unhideWhenUsed/>
    <w:rsid w:val="00E5760B"/>
    <w:rPr>
      <w:color w:val="605E5C"/>
      <w:shd w:val="clear" w:color="auto" w:fill="E1DFDD"/>
    </w:rPr>
  </w:style>
  <w:style w:type="character" w:customStyle="1" w:styleId="UnresolvedMention200">
    <w:name w:val="Unresolved Mention200"/>
    <w:basedOn w:val="DefaultParagraphFont"/>
    <w:uiPriority w:val="99"/>
    <w:unhideWhenUsed/>
    <w:rsid w:val="00D71E01"/>
    <w:rPr>
      <w:color w:val="605E5C"/>
      <w:shd w:val="clear" w:color="auto" w:fill="E1DFDD"/>
    </w:rPr>
  </w:style>
  <w:style w:type="character" w:customStyle="1" w:styleId="UnresolvedMention2000">
    <w:name w:val="Unresolved Mention2000"/>
    <w:basedOn w:val="DefaultParagraphFont"/>
    <w:uiPriority w:val="99"/>
    <w:unhideWhenUsed/>
    <w:rsid w:val="00AC660D"/>
    <w:rPr>
      <w:color w:val="605E5C"/>
      <w:shd w:val="clear" w:color="auto" w:fill="E1DFDD"/>
    </w:rPr>
  </w:style>
  <w:style w:type="character" w:customStyle="1" w:styleId="Mention3">
    <w:name w:val="Mention3"/>
    <w:basedOn w:val="DefaultParagraphFont"/>
    <w:uiPriority w:val="99"/>
    <w:unhideWhenUsed/>
    <w:rsid w:val="00EB74C1"/>
    <w:rPr>
      <w:color w:val="2B579A"/>
      <w:shd w:val="clear" w:color="auto" w:fill="E1DFDD"/>
    </w:rPr>
  </w:style>
  <w:style w:type="character" w:customStyle="1" w:styleId="UnresolvedMention20000">
    <w:name w:val="Unresolved Mention20000"/>
    <w:basedOn w:val="DefaultParagraphFont"/>
    <w:uiPriority w:val="99"/>
    <w:unhideWhenUsed/>
    <w:rsid w:val="00A34384"/>
    <w:rPr>
      <w:color w:val="605E5C"/>
      <w:shd w:val="clear" w:color="auto" w:fill="E1DFDD"/>
    </w:rPr>
  </w:style>
  <w:style w:type="paragraph" w:styleId="EndnoteText">
    <w:name w:val="endnote text"/>
    <w:basedOn w:val="Normal"/>
    <w:link w:val="EndnoteTextChar"/>
    <w:uiPriority w:val="99"/>
    <w:semiHidden/>
    <w:unhideWhenUsed/>
    <w:rsid w:val="0024419D"/>
    <w:pPr>
      <w:spacing w:before="120" w:line="240" w:lineRule="auto"/>
    </w:pPr>
    <w:rPr>
      <w:rFonts w:asciiTheme="minorHAnsi" w:hAnsiTheme="minorHAnsi"/>
      <w:color w:val="000000" w:themeColor="text1"/>
      <w:sz w:val="16"/>
      <w:szCs w:val="22"/>
    </w:rPr>
  </w:style>
  <w:style w:type="character" w:customStyle="1" w:styleId="EndnoteTextChar">
    <w:name w:val="Endnote Text Char"/>
    <w:basedOn w:val="DefaultParagraphFont"/>
    <w:link w:val="EndnoteText"/>
    <w:uiPriority w:val="99"/>
    <w:semiHidden/>
    <w:rsid w:val="0024419D"/>
    <w:rPr>
      <w:color w:val="000000" w:themeColor="text1"/>
      <w:sz w:val="16"/>
      <w:szCs w:val="22"/>
    </w:rPr>
  </w:style>
  <w:style w:type="character" w:styleId="EndnoteReference">
    <w:name w:val="endnote reference"/>
    <w:basedOn w:val="DefaultParagraphFont"/>
    <w:uiPriority w:val="99"/>
    <w:semiHidden/>
    <w:unhideWhenUsed/>
    <w:rsid w:val="0024419D"/>
    <w:rPr>
      <w:noProof w:val="0"/>
      <w:sz w:val="16"/>
      <w:vertAlign w:val="superscript"/>
      <w:lang w:val="en-AU"/>
    </w:rPr>
  </w:style>
  <w:style w:type="numbering" w:customStyle="1" w:styleId="BulletList">
    <w:name w:val="Bullet List"/>
    <w:uiPriority w:val="99"/>
    <w:rsid w:val="00BF069C"/>
    <w:pPr>
      <w:numPr>
        <w:numId w:val="21"/>
      </w:numPr>
    </w:pPr>
  </w:style>
  <w:style w:type="paragraph" w:customStyle="1" w:styleId="Heading2NoNumber">
    <w:name w:val="Heading 2 No Number"/>
    <w:basedOn w:val="Heading2"/>
    <w:next w:val="Normal"/>
    <w:uiPriority w:val="9"/>
    <w:qFormat/>
    <w:rsid w:val="00920FC7"/>
    <w:pPr>
      <w:spacing w:before="120" w:line="276" w:lineRule="auto"/>
    </w:pPr>
    <w:rPr>
      <w:rFonts w:asciiTheme="majorHAnsi" w:eastAsiaTheme="majorEastAsia" w:hAnsiTheme="majorHAnsi" w:cstheme="majorBidi"/>
      <w:color w:val="000000" w:themeColor="text1"/>
      <w:sz w:val="22"/>
      <w:szCs w:val="24"/>
    </w:rPr>
  </w:style>
  <w:style w:type="character" w:customStyle="1" w:styleId="UnresolvedMention200000">
    <w:name w:val="Unresolved Mention200000"/>
    <w:basedOn w:val="DefaultParagraphFont"/>
    <w:uiPriority w:val="99"/>
    <w:unhideWhenUsed/>
    <w:rsid w:val="008D4AF5"/>
    <w:rPr>
      <w:color w:val="605E5C"/>
      <w:shd w:val="clear" w:color="auto" w:fill="E1DFDD"/>
    </w:rPr>
  </w:style>
  <w:style w:type="character" w:customStyle="1" w:styleId="UnresolvedMention2000000">
    <w:name w:val="Unresolved Mention2000000"/>
    <w:basedOn w:val="DefaultParagraphFont"/>
    <w:uiPriority w:val="99"/>
    <w:unhideWhenUsed/>
    <w:rsid w:val="0031522B"/>
    <w:rPr>
      <w:color w:val="605E5C"/>
      <w:shd w:val="clear" w:color="auto" w:fill="E1DFDD"/>
    </w:rPr>
  </w:style>
  <w:style w:type="character" w:customStyle="1" w:styleId="UnresolvedMention20000000">
    <w:name w:val="Unresolved Mention20000000"/>
    <w:basedOn w:val="DefaultParagraphFont"/>
    <w:uiPriority w:val="99"/>
    <w:unhideWhenUsed/>
    <w:rsid w:val="00D7489A"/>
    <w:rPr>
      <w:color w:val="605E5C"/>
      <w:shd w:val="clear" w:color="auto" w:fill="E1DFDD"/>
    </w:rPr>
  </w:style>
  <w:style w:type="table" w:styleId="ListTable5Dark-Accent4">
    <w:name w:val="List Table 5 Dark Accent 4"/>
    <w:basedOn w:val="TableNormal"/>
    <w:uiPriority w:val="50"/>
    <w:rsid w:val="00531C19"/>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1">
    <w:name w:val="Grid Table 4 Accent 1"/>
    <w:basedOn w:val="TableNormal"/>
    <w:uiPriority w:val="49"/>
    <w:rsid w:val="00531C1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3">
    <w:name w:val="List Table 2 Accent 3"/>
    <w:basedOn w:val="TableNormal"/>
    <w:uiPriority w:val="47"/>
    <w:rsid w:val="009D71CB"/>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UnresolvedMention200000000">
    <w:name w:val="Unresolved Mention200000000"/>
    <w:basedOn w:val="DefaultParagraphFont"/>
    <w:uiPriority w:val="99"/>
    <w:unhideWhenUsed/>
    <w:rsid w:val="00382ECD"/>
    <w:rPr>
      <w:color w:val="605E5C"/>
      <w:shd w:val="clear" w:color="auto" w:fill="E1DFDD"/>
    </w:rPr>
  </w:style>
  <w:style w:type="table" w:customStyle="1" w:styleId="NoeticTableStyle2-Bluecolumn">
    <w:name w:val="Noetic Table_Style 2 - Blue column"/>
    <w:basedOn w:val="TableNormal"/>
    <w:uiPriority w:val="99"/>
    <w:rsid w:val="00CE52F3"/>
    <w:pPr>
      <w:suppressAutoHyphens/>
      <w:spacing w:before="40" w:after="40" w:line="240" w:lineRule="auto"/>
    </w:pPr>
    <w:rPr>
      <w:rFonts w:ascii="Overpass" w:hAnsi="Overpass" w:cs="Times New Roman"/>
      <w:color w:val="000000" w:themeColor="text1"/>
      <w:szCs w:val="18"/>
      <w:lang w:val="en-US"/>
    </w:rPr>
    <w:tblPr>
      <w:tblBorders>
        <w:bottom w:val="single" w:sz="4" w:space="0" w:color="A02B93" w:themeColor="accent5"/>
        <w:insideH w:val="single" w:sz="4" w:space="0" w:color="A02B93" w:themeColor="accent5"/>
      </w:tblBorders>
      <w:tblCellMar>
        <w:top w:w="85" w:type="dxa"/>
        <w:left w:w="85" w:type="dxa"/>
        <w:bottom w:w="85" w:type="dxa"/>
        <w:right w:w="85" w:type="dxa"/>
      </w:tblCellMar>
    </w:tblPr>
    <w:trPr>
      <w:cantSplit/>
    </w:trPr>
    <w:tcPr>
      <w:shd w:val="clear" w:color="auto" w:fill="auto"/>
    </w:tcPr>
    <w:tblStylePr w:type="firstRow">
      <w:pPr>
        <w:keepNext/>
        <w:wordWrap/>
        <w:jc w:val="left"/>
      </w:pPr>
      <w:rPr>
        <w:rFonts w:ascii="Consolas" w:hAnsi="Consolas"/>
        <w:b/>
        <w:sz w:val="20"/>
      </w:rPr>
      <w:tblPr/>
      <w:trPr>
        <w:cantSplit w:val="0"/>
        <w:tblHeader/>
      </w:trPr>
      <w:tcPr>
        <w:tcBorders>
          <w:top w:val="nil"/>
          <w:left w:val="nil"/>
          <w:bottom w:val="single" w:sz="4" w:space="0" w:color="A02B93" w:themeColor="accent5"/>
          <w:right w:val="nil"/>
          <w:insideH w:val="nil"/>
          <w:insideV w:val="nil"/>
          <w:tl2br w:val="nil"/>
          <w:tr2bl w:val="nil"/>
        </w:tcBorders>
        <w:shd w:val="clear" w:color="auto" w:fill="D9F2D0" w:themeFill="accent6" w:themeFillTint="33"/>
        <w:vAlign w:val="bottom"/>
      </w:tcPr>
    </w:tblStylePr>
    <w:tblStylePr w:type="firstCol">
      <w:tblPr/>
      <w:tcPr>
        <w:shd w:val="clear" w:color="auto" w:fill="FAE2D5" w:themeFill="accent2" w:themeFillTint="33"/>
      </w:tcPr>
    </w:tblStylePr>
  </w:style>
  <w:style w:type="paragraph" w:customStyle="1" w:styleId="NumberedHeading1">
    <w:name w:val="Numbered Heading 1"/>
    <w:basedOn w:val="Heading1"/>
    <w:next w:val="Normal"/>
    <w:uiPriority w:val="10"/>
    <w:qFormat/>
    <w:rsid w:val="00CE52F3"/>
    <w:pPr>
      <w:pageBreakBefore/>
      <w:numPr>
        <w:numId w:val="22"/>
      </w:numPr>
      <w:suppressAutoHyphens/>
      <w:spacing w:before="0" w:after="360" w:line="216" w:lineRule="auto"/>
    </w:pPr>
    <w:rPr>
      <w:rFonts w:ascii="Overpass Heavy" w:eastAsia="Batang" w:hAnsi="Overpass Heavy" w:cs="Times New Roman"/>
      <w:bCs/>
      <w:color w:val="0E2841" w:themeColor="text2"/>
      <w:kern w:val="0"/>
      <w:sz w:val="40"/>
      <w:szCs w:val="56"/>
      <w14:ligatures w14:val="none"/>
    </w:rPr>
  </w:style>
  <w:style w:type="paragraph" w:customStyle="1" w:styleId="NumberedHeading2">
    <w:name w:val="Numbered Heading 2"/>
    <w:basedOn w:val="Heading2"/>
    <w:next w:val="Normal"/>
    <w:uiPriority w:val="10"/>
    <w:qFormat/>
    <w:rsid w:val="00CE52F3"/>
    <w:pPr>
      <w:numPr>
        <w:ilvl w:val="1"/>
        <w:numId w:val="22"/>
      </w:numPr>
      <w:suppressAutoHyphens/>
      <w:spacing w:before="200" w:after="0" w:line="264" w:lineRule="auto"/>
    </w:pPr>
    <w:rPr>
      <w:rFonts w:ascii="Overpass" w:eastAsia="Batang" w:hAnsi="Overpass"/>
      <w:bCs w:val="0"/>
      <w:color w:val="0E2841" w:themeColor="text2"/>
      <w:sz w:val="26"/>
      <w:szCs w:val="28"/>
    </w:rPr>
  </w:style>
  <w:style w:type="paragraph" w:customStyle="1" w:styleId="NumberedHeading3">
    <w:name w:val="Numbered Heading 3"/>
    <w:basedOn w:val="Heading3"/>
    <w:next w:val="Normal"/>
    <w:uiPriority w:val="10"/>
    <w:qFormat/>
    <w:rsid w:val="00CE52F3"/>
    <w:pPr>
      <w:numPr>
        <w:ilvl w:val="2"/>
        <w:numId w:val="22"/>
      </w:numPr>
      <w:suppressAutoHyphens/>
      <w:spacing w:before="200" w:after="80" w:line="264" w:lineRule="auto"/>
    </w:pPr>
    <w:rPr>
      <w:rFonts w:ascii="Overpass" w:eastAsia="MS Mincho" w:hAnsi="Overpass"/>
      <w:color w:val="E8E8E8" w:themeColor="background2"/>
      <w:sz w:val="22"/>
      <w:szCs w:val="24"/>
    </w:rPr>
  </w:style>
  <w:style w:type="paragraph" w:customStyle="1" w:styleId="Default">
    <w:name w:val="Default"/>
    <w:rsid w:val="00FD3B07"/>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ListBullets1">
    <w:name w:val="ListBullets1"/>
    <w:uiPriority w:val="99"/>
    <w:locked/>
    <w:rsid w:val="00087735"/>
  </w:style>
  <w:style w:type="table" w:styleId="GridTable2-Accent1">
    <w:name w:val="Grid Table 2 Accent 1"/>
    <w:basedOn w:val="TableNormal"/>
    <w:uiPriority w:val="47"/>
    <w:rsid w:val="00145682"/>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UnresolvedMention4">
    <w:name w:val="Unresolved Mention4"/>
    <w:basedOn w:val="DefaultParagraphFont"/>
    <w:uiPriority w:val="99"/>
    <w:semiHidden/>
    <w:unhideWhenUsed/>
    <w:rsid w:val="00391ABC"/>
    <w:rPr>
      <w:color w:val="605E5C"/>
      <w:shd w:val="clear" w:color="auto" w:fill="E1DFDD"/>
    </w:rPr>
  </w:style>
  <w:style w:type="character" w:customStyle="1" w:styleId="Mention4">
    <w:name w:val="Mention4"/>
    <w:basedOn w:val="DefaultParagraphFont"/>
    <w:uiPriority w:val="99"/>
    <w:unhideWhenUsed/>
    <w:rsid w:val="00A00D22"/>
    <w:rPr>
      <w:color w:val="2B579A"/>
      <w:shd w:val="clear" w:color="auto" w:fill="E1DFDD"/>
    </w:rPr>
  </w:style>
  <w:style w:type="character" w:customStyle="1" w:styleId="UnresolvedMention">
    <w:name w:val="Unresolved Mention"/>
    <w:basedOn w:val="DefaultParagraphFont"/>
    <w:uiPriority w:val="99"/>
    <w:semiHidden/>
    <w:unhideWhenUsed/>
    <w:rsid w:val="00356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0373">
      <w:bodyDiv w:val="1"/>
      <w:marLeft w:val="0"/>
      <w:marRight w:val="0"/>
      <w:marTop w:val="0"/>
      <w:marBottom w:val="0"/>
      <w:divBdr>
        <w:top w:val="none" w:sz="0" w:space="0" w:color="auto"/>
        <w:left w:val="none" w:sz="0" w:space="0" w:color="auto"/>
        <w:bottom w:val="none" w:sz="0" w:space="0" w:color="auto"/>
        <w:right w:val="none" w:sz="0" w:space="0" w:color="auto"/>
      </w:divBdr>
    </w:div>
    <w:div w:id="35080201">
      <w:bodyDiv w:val="1"/>
      <w:marLeft w:val="0"/>
      <w:marRight w:val="0"/>
      <w:marTop w:val="0"/>
      <w:marBottom w:val="0"/>
      <w:divBdr>
        <w:top w:val="none" w:sz="0" w:space="0" w:color="auto"/>
        <w:left w:val="none" w:sz="0" w:space="0" w:color="auto"/>
        <w:bottom w:val="none" w:sz="0" w:space="0" w:color="auto"/>
        <w:right w:val="none" w:sz="0" w:space="0" w:color="auto"/>
      </w:divBdr>
    </w:div>
    <w:div w:id="39981194">
      <w:bodyDiv w:val="1"/>
      <w:marLeft w:val="0"/>
      <w:marRight w:val="0"/>
      <w:marTop w:val="0"/>
      <w:marBottom w:val="0"/>
      <w:divBdr>
        <w:top w:val="none" w:sz="0" w:space="0" w:color="auto"/>
        <w:left w:val="none" w:sz="0" w:space="0" w:color="auto"/>
        <w:bottom w:val="none" w:sz="0" w:space="0" w:color="auto"/>
        <w:right w:val="none" w:sz="0" w:space="0" w:color="auto"/>
      </w:divBdr>
    </w:div>
    <w:div w:id="54740747">
      <w:bodyDiv w:val="1"/>
      <w:marLeft w:val="0"/>
      <w:marRight w:val="0"/>
      <w:marTop w:val="0"/>
      <w:marBottom w:val="0"/>
      <w:divBdr>
        <w:top w:val="none" w:sz="0" w:space="0" w:color="auto"/>
        <w:left w:val="none" w:sz="0" w:space="0" w:color="auto"/>
        <w:bottom w:val="none" w:sz="0" w:space="0" w:color="auto"/>
        <w:right w:val="none" w:sz="0" w:space="0" w:color="auto"/>
      </w:divBdr>
    </w:div>
    <w:div w:id="55934030">
      <w:bodyDiv w:val="1"/>
      <w:marLeft w:val="0"/>
      <w:marRight w:val="0"/>
      <w:marTop w:val="0"/>
      <w:marBottom w:val="0"/>
      <w:divBdr>
        <w:top w:val="none" w:sz="0" w:space="0" w:color="auto"/>
        <w:left w:val="none" w:sz="0" w:space="0" w:color="auto"/>
        <w:bottom w:val="none" w:sz="0" w:space="0" w:color="auto"/>
        <w:right w:val="none" w:sz="0" w:space="0" w:color="auto"/>
      </w:divBdr>
    </w:div>
    <w:div w:id="61145917">
      <w:bodyDiv w:val="1"/>
      <w:marLeft w:val="0"/>
      <w:marRight w:val="0"/>
      <w:marTop w:val="0"/>
      <w:marBottom w:val="0"/>
      <w:divBdr>
        <w:top w:val="none" w:sz="0" w:space="0" w:color="auto"/>
        <w:left w:val="none" w:sz="0" w:space="0" w:color="auto"/>
        <w:bottom w:val="none" w:sz="0" w:space="0" w:color="auto"/>
        <w:right w:val="none" w:sz="0" w:space="0" w:color="auto"/>
      </w:divBdr>
    </w:div>
    <w:div w:id="67074237">
      <w:bodyDiv w:val="1"/>
      <w:marLeft w:val="0"/>
      <w:marRight w:val="0"/>
      <w:marTop w:val="0"/>
      <w:marBottom w:val="0"/>
      <w:divBdr>
        <w:top w:val="none" w:sz="0" w:space="0" w:color="auto"/>
        <w:left w:val="none" w:sz="0" w:space="0" w:color="auto"/>
        <w:bottom w:val="none" w:sz="0" w:space="0" w:color="auto"/>
        <w:right w:val="none" w:sz="0" w:space="0" w:color="auto"/>
      </w:divBdr>
    </w:div>
    <w:div w:id="94903935">
      <w:bodyDiv w:val="1"/>
      <w:marLeft w:val="0"/>
      <w:marRight w:val="0"/>
      <w:marTop w:val="0"/>
      <w:marBottom w:val="0"/>
      <w:divBdr>
        <w:top w:val="none" w:sz="0" w:space="0" w:color="auto"/>
        <w:left w:val="none" w:sz="0" w:space="0" w:color="auto"/>
        <w:bottom w:val="none" w:sz="0" w:space="0" w:color="auto"/>
        <w:right w:val="none" w:sz="0" w:space="0" w:color="auto"/>
      </w:divBdr>
    </w:div>
    <w:div w:id="95247250">
      <w:bodyDiv w:val="1"/>
      <w:marLeft w:val="0"/>
      <w:marRight w:val="0"/>
      <w:marTop w:val="0"/>
      <w:marBottom w:val="0"/>
      <w:divBdr>
        <w:top w:val="none" w:sz="0" w:space="0" w:color="auto"/>
        <w:left w:val="none" w:sz="0" w:space="0" w:color="auto"/>
        <w:bottom w:val="none" w:sz="0" w:space="0" w:color="auto"/>
        <w:right w:val="none" w:sz="0" w:space="0" w:color="auto"/>
      </w:divBdr>
    </w:div>
    <w:div w:id="101807134">
      <w:bodyDiv w:val="1"/>
      <w:marLeft w:val="0"/>
      <w:marRight w:val="0"/>
      <w:marTop w:val="0"/>
      <w:marBottom w:val="0"/>
      <w:divBdr>
        <w:top w:val="none" w:sz="0" w:space="0" w:color="auto"/>
        <w:left w:val="none" w:sz="0" w:space="0" w:color="auto"/>
        <w:bottom w:val="none" w:sz="0" w:space="0" w:color="auto"/>
        <w:right w:val="none" w:sz="0" w:space="0" w:color="auto"/>
      </w:divBdr>
    </w:div>
    <w:div w:id="121313106">
      <w:bodyDiv w:val="1"/>
      <w:marLeft w:val="0"/>
      <w:marRight w:val="0"/>
      <w:marTop w:val="0"/>
      <w:marBottom w:val="0"/>
      <w:divBdr>
        <w:top w:val="none" w:sz="0" w:space="0" w:color="auto"/>
        <w:left w:val="none" w:sz="0" w:space="0" w:color="auto"/>
        <w:bottom w:val="none" w:sz="0" w:space="0" w:color="auto"/>
        <w:right w:val="none" w:sz="0" w:space="0" w:color="auto"/>
      </w:divBdr>
    </w:div>
    <w:div w:id="130945754">
      <w:bodyDiv w:val="1"/>
      <w:marLeft w:val="0"/>
      <w:marRight w:val="0"/>
      <w:marTop w:val="0"/>
      <w:marBottom w:val="0"/>
      <w:divBdr>
        <w:top w:val="none" w:sz="0" w:space="0" w:color="auto"/>
        <w:left w:val="none" w:sz="0" w:space="0" w:color="auto"/>
        <w:bottom w:val="none" w:sz="0" w:space="0" w:color="auto"/>
        <w:right w:val="none" w:sz="0" w:space="0" w:color="auto"/>
      </w:divBdr>
    </w:div>
    <w:div w:id="157884394">
      <w:bodyDiv w:val="1"/>
      <w:marLeft w:val="0"/>
      <w:marRight w:val="0"/>
      <w:marTop w:val="0"/>
      <w:marBottom w:val="0"/>
      <w:divBdr>
        <w:top w:val="none" w:sz="0" w:space="0" w:color="auto"/>
        <w:left w:val="none" w:sz="0" w:space="0" w:color="auto"/>
        <w:bottom w:val="none" w:sz="0" w:space="0" w:color="auto"/>
        <w:right w:val="none" w:sz="0" w:space="0" w:color="auto"/>
      </w:divBdr>
    </w:div>
    <w:div w:id="165826875">
      <w:bodyDiv w:val="1"/>
      <w:marLeft w:val="0"/>
      <w:marRight w:val="0"/>
      <w:marTop w:val="0"/>
      <w:marBottom w:val="0"/>
      <w:divBdr>
        <w:top w:val="none" w:sz="0" w:space="0" w:color="auto"/>
        <w:left w:val="none" w:sz="0" w:space="0" w:color="auto"/>
        <w:bottom w:val="none" w:sz="0" w:space="0" w:color="auto"/>
        <w:right w:val="none" w:sz="0" w:space="0" w:color="auto"/>
      </w:divBdr>
      <w:divsChild>
        <w:div w:id="482239462">
          <w:marLeft w:val="446"/>
          <w:marRight w:val="0"/>
          <w:marTop w:val="0"/>
          <w:marBottom w:val="0"/>
          <w:divBdr>
            <w:top w:val="none" w:sz="0" w:space="0" w:color="auto"/>
            <w:left w:val="none" w:sz="0" w:space="0" w:color="auto"/>
            <w:bottom w:val="none" w:sz="0" w:space="0" w:color="auto"/>
            <w:right w:val="none" w:sz="0" w:space="0" w:color="auto"/>
          </w:divBdr>
        </w:div>
      </w:divsChild>
    </w:div>
    <w:div w:id="202256661">
      <w:bodyDiv w:val="1"/>
      <w:marLeft w:val="0"/>
      <w:marRight w:val="0"/>
      <w:marTop w:val="0"/>
      <w:marBottom w:val="0"/>
      <w:divBdr>
        <w:top w:val="none" w:sz="0" w:space="0" w:color="auto"/>
        <w:left w:val="none" w:sz="0" w:space="0" w:color="auto"/>
        <w:bottom w:val="none" w:sz="0" w:space="0" w:color="auto"/>
        <w:right w:val="none" w:sz="0" w:space="0" w:color="auto"/>
      </w:divBdr>
    </w:div>
    <w:div w:id="219294536">
      <w:bodyDiv w:val="1"/>
      <w:marLeft w:val="0"/>
      <w:marRight w:val="0"/>
      <w:marTop w:val="0"/>
      <w:marBottom w:val="0"/>
      <w:divBdr>
        <w:top w:val="none" w:sz="0" w:space="0" w:color="auto"/>
        <w:left w:val="none" w:sz="0" w:space="0" w:color="auto"/>
        <w:bottom w:val="none" w:sz="0" w:space="0" w:color="auto"/>
        <w:right w:val="none" w:sz="0" w:space="0" w:color="auto"/>
      </w:divBdr>
    </w:div>
    <w:div w:id="219437290">
      <w:bodyDiv w:val="1"/>
      <w:marLeft w:val="0"/>
      <w:marRight w:val="0"/>
      <w:marTop w:val="0"/>
      <w:marBottom w:val="0"/>
      <w:divBdr>
        <w:top w:val="none" w:sz="0" w:space="0" w:color="auto"/>
        <w:left w:val="none" w:sz="0" w:space="0" w:color="auto"/>
        <w:bottom w:val="none" w:sz="0" w:space="0" w:color="auto"/>
        <w:right w:val="none" w:sz="0" w:space="0" w:color="auto"/>
      </w:divBdr>
    </w:div>
    <w:div w:id="226693231">
      <w:bodyDiv w:val="1"/>
      <w:marLeft w:val="0"/>
      <w:marRight w:val="0"/>
      <w:marTop w:val="0"/>
      <w:marBottom w:val="0"/>
      <w:divBdr>
        <w:top w:val="none" w:sz="0" w:space="0" w:color="auto"/>
        <w:left w:val="none" w:sz="0" w:space="0" w:color="auto"/>
        <w:bottom w:val="none" w:sz="0" w:space="0" w:color="auto"/>
        <w:right w:val="none" w:sz="0" w:space="0" w:color="auto"/>
      </w:divBdr>
      <w:divsChild>
        <w:div w:id="398214913">
          <w:marLeft w:val="0"/>
          <w:marRight w:val="0"/>
          <w:marTop w:val="0"/>
          <w:marBottom w:val="0"/>
          <w:divBdr>
            <w:top w:val="none" w:sz="0" w:space="0" w:color="auto"/>
            <w:left w:val="none" w:sz="0" w:space="0" w:color="auto"/>
            <w:bottom w:val="none" w:sz="0" w:space="0" w:color="auto"/>
            <w:right w:val="none" w:sz="0" w:space="0" w:color="auto"/>
          </w:divBdr>
        </w:div>
      </w:divsChild>
    </w:div>
    <w:div w:id="315106867">
      <w:bodyDiv w:val="1"/>
      <w:marLeft w:val="0"/>
      <w:marRight w:val="0"/>
      <w:marTop w:val="0"/>
      <w:marBottom w:val="0"/>
      <w:divBdr>
        <w:top w:val="none" w:sz="0" w:space="0" w:color="auto"/>
        <w:left w:val="none" w:sz="0" w:space="0" w:color="auto"/>
        <w:bottom w:val="none" w:sz="0" w:space="0" w:color="auto"/>
        <w:right w:val="none" w:sz="0" w:space="0" w:color="auto"/>
      </w:divBdr>
    </w:div>
    <w:div w:id="318850093">
      <w:bodyDiv w:val="1"/>
      <w:marLeft w:val="0"/>
      <w:marRight w:val="0"/>
      <w:marTop w:val="0"/>
      <w:marBottom w:val="0"/>
      <w:divBdr>
        <w:top w:val="none" w:sz="0" w:space="0" w:color="auto"/>
        <w:left w:val="none" w:sz="0" w:space="0" w:color="auto"/>
        <w:bottom w:val="none" w:sz="0" w:space="0" w:color="auto"/>
        <w:right w:val="none" w:sz="0" w:space="0" w:color="auto"/>
      </w:divBdr>
    </w:div>
    <w:div w:id="331883578">
      <w:bodyDiv w:val="1"/>
      <w:marLeft w:val="0"/>
      <w:marRight w:val="0"/>
      <w:marTop w:val="0"/>
      <w:marBottom w:val="0"/>
      <w:divBdr>
        <w:top w:val="none" w:sz="0" w:space="0" w:color="auto"/>
        <w:left w:val="none" w:sz="0" w:space="0" w:color="auto"/>
        <w:bottom w:val="none" w:sz="0" w:space="0" w:color="auto"/>
        <w:right w:val="none" w:sz="0" w:space="0" w:color="auto"/>
      </w:divBdr>
    </w:div>
    <w:div w:id="349071815">
      <w:bodyDiv w:val="1"/>
      <w:marLeft w:val="0"/>
      <w:marRight w:val="0"/>
      <w:marTop w:val="0"/>
      <w:marBottom w:val="0"/>
      <w:divBdr>
        <w:top w:val="none" w:sz="0" w:space="0" w:color="auto"/>
        <w:left w:val="none" w:sz="0" w:space="0" w:color="auto"/>
        <w:bottom w:val="none" w:sz="0" w:space="0" w:color="auto"/>
        <w:right w:val="none" w:sz="0" w:space="0" w:color="auto"/>
      </w:divBdr>
    </w:div>
    <w:div w:id="349261993">
      <w:bodyDiv w:val="1"/>
      <w:marLeft w:val="0"/>
      <w:marRight w:val="0"/>
      <w:marTop w:val="0"/>
      <w:marBottom w:val="0"/>
      <w:divBdr>
        <w:top w:val="none" w:sz="0" w:space="0" w:color="auto"/>
        <w:left w:val="none" w:sz="0" w:space="0" w:color="auto"/>
        <w:bottom w:val="none" w:sz="0" w:space="0" w:color="auto"/>
        <w:right w:val="none" w:sz="0" w:space="0" w:color="auto"/>
      </w:divBdr>
    </w:div>
    <w:div w:id="427307958">
      <w:bodyDiv w:val="1"/>
      <w:marLeft w:val="0"/>
      <w:marRight w:val="0"/>
      <w:marTop w:val="0"/>
      <w:marBottom w:val="0"/>
      <w:divBdr>
        <w:top w:val="none" w:sz="0" w:space="0" w:color="auto"/>
        <w:left w:val="none" w:sz="0" w:space="0" w:color="auto"/>
        <w:bottom w:val="none" w:sz="0" w:space="0" w:color="auto"/>
        <w:right w:val="none" w:sz="0" w:space="0" w:color="auto"/>
      </w:divBdr>
    </w:div>
    <w:div w:id="438723724">
      <w:bodyDiv w:val="1"/>
      <w:marLeft w:val="0"/>
      <w:marRight w:val="0"/>
      <w:marTop w:val="0"/>
      <w:marBottom w:val="0"/>
      <w:divBdr>
        <w:top w:val="none" w:sz="0" w:space="0" w:color="auto"/>
        <w:left w:val="none" w:sz="0" w:space="0" w:color="auto"/>
        <w:bottom w:val="none" w:sz="0" w:space="0" w:color="auto"/>
        <w:right w:val="none" w:sz="0" w:space="0" w:color="auto"/>
      </w:divBdr>
    </w:div>
    <w:div w:id="445271774">
      <w:bodyDiv w:val="1"/>
      <w:marLeft w:val="0"/>
      <w:marRight w:val="0"/>
      <w:marTop w:val="0"/>
      <w:marBottom w:val="0"/>
      <w:divBdr>
        <w:top w:val="none" w:sz="0" w:space="0" w:color="auto"/>
        <w:left w:val="none" w:sz="0" w:space="0" w:color="auto"/>
        <w:bottom w:val="none" w:sz="0" w:space="0" w:color="auto"/>
        <w:right w:val="none" w:sz="0" w:space="0" w:color="auto"/>
      </w:divBdr>
    </w:div>
    <w:div w:id="446195449">
      <w:bodyDiv w:val="1"/>
      <w:marLeft w:val="0"/>
      <w:marRight w:val="0"/>
      <w:marTop w:val="0"/>
      <w:marBottom w:val="0"/>
      <w:divBdr>
        <w:top w:val="none" w:sz="0" w:space="0" w:color="auto"/>
        <w:left w:val="none" w:sz="0" w:space="0" w:color="auto"/>
        <w:bottom w:val="none" w:sz="0" w:space="0" w:color="auto"/>
        <w:right w:val="none" w:sz="0" w:space="0" w:color="auto"/>
      </w:divBdr>
    </w:div>
    <w:div w:id="446974040">
      <w:bodyDiv w:val="1"/>
      <w:marLeft w:val="0"/>
      <w:marRight w:val="0"/>
      <w:marTop w:val="0"/>
      <w:marBottom w:val="0"/>
      <w:divBdr>
        <w:top w:val="none" w:sz="0" w:space="0" w:color="auto"/>
        <w:left w:val="none" w:sz="0" w:space="0" w:color="auto"/>
        <w:bottom w:val="none" w:sz="0" w:space="0" w:color="auto"/>
        <w:right w:val="none" w:sz="0" w:space="0" w:color="auto"/>
      </w:divBdr>
    </w:div>
    <w:div w:id="474564663">
      <w:bodyDiv w:val="1"/>
      <w:marLeft w:val="0"/>
      <w:marRight w:val="0"/>
      <w:marTop w:val="0"/>
      <w:marBottom w:val="0"/>
      <w:divBdr>
        <w:top w:val="none" w:sz="0" w:space="0" w:color="auto"/>
        <w:left w:val="none" w:sz="0" w:space="0" w:color="auto"/>
        <w:bottom w:val="none" w:sz="0" w:space="0" w:color="auto"/>
        <w:right w:val="none" w:sz="0" w:space="0" w:color="auto"/>
      </w:divBdr>
    </w:div>
    <w:div w:id="479074912">
      <w:bodyDiv w:val="1"/>
      <w:marLeft w:val="0"/>
      <w:marRight w:val="0"/>
      <w:marTop w:val="0"/>
      <w:marBottom w:val="0"/>
      <w:divBdr>
        <w:top w:val="none" w:sz="0" w:space="0" w:color="auto"/>
        <w:left w:val="none" w:sz="0" w:space="0" w:color="auto"/>
        <w:bottom w:val="none" w:sz="0" w:space="0" w:color="auto"/>
        <w:right w:val="none" w:sz="0" w:space="0" w:color="auto"/>
      </w:divBdr>
    </w:div>
    <w:div w:id="498816052">
      <w:bodyDiv w:val="1"/>
      <w:marLeft w:val="0"/>
      <w:marRight w:val="0"/>
      <w:marTop w:val="0"/>
      <w:marBottom w:val="0"/>
      <w:divBdr>
        <w:top w:val="none" w:sz="0" w:space="0" w:color="auto"/>
        <w:left w:val="none" w:sz="0" w:space="0" w:color="auto"/>
        <w:bottom w:val="none" w:sz="0" w:space="0" w:color="auto"/>
        <w:right w:val="none" w:sz="0" w:space="0" w:color="auto"/>
      </w:divBdr>
    </w:div>
    <w:div w:id="519392651">
      <w:bodyDiv w:val="1"/>
      <w:marLeft w:val="0"/>
      <w:marRight w:val="0"/>
      <w:marTop w:val="0"/>
      <w:marBottom w:val="0"/>
      <w:divBdr>
        <w:top w:val="none" w:sz="0" w:space="0" w:color="auto"/>
        <w:left w:val="none" w:sz="0" w:space="0" w:color="auto"/>
        <w:bottom w:val="none" w:sz="0" w:space="0" w:color="auto"/>
        <w:right w:val="none" w:sz="0" w:space="0" w:color="auto"/>
      </w:divBdr>
    </w:div>
    <w:div w:id="543325319">
      <w:bodyDiv w:val="1"/>
      <w:marLeft w:val="0"/>
      <w:marRight w:val="0"/>
      <w:marTop w:val="0"/>
      <w:marBottom w:val="0"/>
      <w:divBdr>
        <w:top w:val="none" w:sz="0" w:space="0" w:color="auto"/>
        <w:left w:val="none" w:sz="0" w:space="0" w:color="auto"/>
        <w:bottom w:val="none" w:sz="0" w:space="0" w:color="auto"/>
        <w:right w:val="none" w:sz="0" w:space="0" w:color="auto"/>
      </w:divBdr>
    </w:div>
    <w:div w:id="559174978">
      <w:bodyDiv w:val="1"/>
      <w:marLeft w:val="0"/>
      <w:marRight w:val="0"/>
      <w:marTop w:val="0"/>
      <w:marBottom w:val="0"/>
      <w:divBdr>
        <w:top w:val="none" w:sz="0" w:space="0" w:color="auto"/>
        <w:left w:val="none" w:sz="0" w:space="0" w:color="auto"/>
        <w:bottom w:val="none" w:sz="0" w:space="0" w:color="auto"/>
        <w:right w:val="none" w:sz="0" w:space="0" w:color="auto"/>
      </w:divBdr>
    </w:div>
    <w:div w:id="584535017">
      <w:bodyDiv w:val="1"/>
      <w:marLeft w:val="0"/>
      <w:marRight w:val="0"/>
      <w:marTop w:val="0"/>
      <w:marBottom w:val="0"/>
      <w:divBdr>
        <w:top w:val="none" w:sz="0" w:space="0" w:color="auto"/>
        <w:left w:val="none" w:sz="0" w:space="0" w:color="auto"/>
        <w:bottom w:val="none" w:sz="0" w:space="0" w:color="auto"/>
        <w:right w:val="none" w:sz="0" w:space="0" w:color="auto"/>
      </w:divBdr>
    </w:div>
    <w:div w:id="603877677">
      <w:bodyDiv w:val="1"/>
      <w:marLeft w:val="0"/>
      <w:marRight w:val="0"/>
      <w:marTop w:val="0"/>
      <w:marBottom w:val="0"/>
      <w:divBdr>
        <w:top w:val="none" w:sz="0" w:space="0" w:color="auto"/>
        <w:left w:val="none" w:sz="0" w:space="0" w:color="auto"/>
        <w:bottom w:val="none" w:sz="0" w:space="0" w:color="auto"/>
        <w:right w:val="none" w:sz="0" w:space="0" w:color="auto"/>
      </w:divBdr>
    </w:div>
    <w:div w:id="629095244">
      <w:bodyDiv w:val="1"/>
      <w:marLeft w:val="0"/>
      <w:marRight w:val="0"/>
      <w:marTop w:val="0"/>
      <w:marBottom w:val="0"/>
      <w:divBdr>
        <w:top w:val="none" w:sz="0" w:space="0" w:color="auto"/>
        <w:left w:val="none" w:sz="0" w:space="0" w:color="auto"/>
        <w:bottom w:val="none" w:sz="0" w:space="0" w:color="auto"/>
        <w:right w:val="none" w:sz="0" w:space="0" w:color="auto"/>
      </w:divBdr>
    </w:div>
    <w:div w:id="646672175">
      <w:bodyDiv w:val="1"/>
      <w:marLeft w:val="0"/>
      <w:marRight w:val="0"/>
      <w:marTop w:val="0"/>
      <w:marBottom w:val="0"/>
      <w:divBdr>
        <w:top w:val="none" w:sz="0" w:space="0" w:color="auto"/>
        <w:left w:val="none" w:sz="0" w:space="0" w:color="auto"/>
        <w:bottom w:val="none" w:sz="0" w:space="0" w:color="auto"/>
        <w:right w:val="none" w:sz="0" w:space="0" w:color="auto"/>
      </w:divBdr>
    </w:div>
    <w:div w:id="659650902">
      <w:bodyDiv w:val="1"/>
      <w:marLeft w:val="0"/>
      <w:marRight w:val="0"/>
      <w:marTop w:val="0"/>
      <w:marBottom w:val="0"/>
      <w:divBdr>
        <w:top w:val="none" w:sz="0" w:space="0" w:color="auto"/>
        <w:left w:val="none" w:sz="0" w:space="0" w:color="auto"/>
        <w:bottom w:val="none" w:sz="0" w:space="0" w:color="auto"/>
        <w:right w:val="none" w:sz="0" w:space="0" w:color="auto"/>
      </w:divBdr>
    </w:div>
    <w:div w:id="673992755">
      <w:bodyDiv w:val="1"/>
      <w:marLeft w:val="0"/>
      <w:marRight w:val="0"/>
      <w:marTop w:val="0"/>
      <w:marBottom w:val="0"/>
      <w:divBdr>
        <w:top w:val="none" w:sz="0" w:space="0" w:color="auto"/>
        <w:left w:val="none" w:sz="0" w:space="0" w:color="auto"/>
        <w:bottom w:val="none" w:sz="0" w:space="0" w:color="auto"/>
        <w:right w:val="none" w:sz="0" w:space="0" w:color="auto"/>
      </w:divBdr>
    </w:div>
    <w:div w:id="701706498">
      <w:bodyDiv w:val="1"/>
      <w:marLeft w:val="0"/>
      <w:marRight w:val="0"/>
      <w:marTop w:val="0"/>
      <w:marBottom w:val="0"/>
      <w:divBdr>
        <w:top w:val="none" w:sz="0" w:space="0" w:color="auto"/>
        <w:left w:val="none" w:sz="0" w:space="0" w:color="auto"/>
        <w:bottom w:val="none" w:sz="0" w:space="0" w:color="auto"/>
        <w:right w:val="none" w:sz="0" w:space="0" w:color="auto"/>
      </w:divBdr>
    </w:div>
    <w:div w:id="757677138">
      <w:bodyDiv w:val="1"/>
      <w:marLeft w:val="0"/>
      <w:marRight w:val="0"/>
      <w:marTop w:val="0"/>
      <w:marBottom w:val="0"/>
      <w:divBdr>
        <w:top w:val="none" w:sz="0" w:space="0" w:color="auto"/>
        <w:left w:val="none" w:sz="0" w:space="0" w:color="auto"/>
        <w:bottom w:val="none" w:sz="0" w:space="0" w:color="auto"/>
        <w:right w:val="none" w:sz="0" w:space="0" w:color="auto"/>
      </w:divBdr>
    </w:div>
    <w:div w:id="786856790">
      <w:bodyDiv w:val="1"/>
      <w:marLeft w:val="0"/>
      <w:marRight w:val="0"/>
      <w:marTop w:val="0"/>
      <w:marBottom w:val="0"/>
      <w:divBdr>
        <w:top w:val="none" w:sz="0" w:space="0" w:color="auto"/>
        <w:left w:val="none" w:sz="0" w:space="0" w:color="auto"/>
        <w:bottom w:val="none" w:sz="0" w:space="0" w:color="auto"/>
        <w:right w:val="none" w:sz="0" w:space="0" w:color="auto"/>
      </w:divBdr>
    </w:div>
    <w:div w:id="792286556">
      <w:bodyDiv w:val="1"/>
      <w:marLeft w:val="0"/>
      <w:marRight w:val="0"/>
      <w:marTop w:val="0"/>
      <w:marBottom w:val="0"/>
      <w:divBdr>
        <w:top w:val="none" w:sz="0" w:space="0" w:color="auto"/>
        <w:left w:val="none" w:sz="0" w:space="0" w:color="auto"/>
        <w:bottom w:val="none" w:sz="0" w:space="0" w:color="auto"/>
        <w:right w:val="none" w:sz="0" w:space="0" w:color="auto"/>
      </w:divBdr>
    </w:div>
    <w:div w:id="819417622">
      <w:bodyDiv w:val="1"/>
      <w:marLeft w:val="0"/>
      <w:marRight w:val="0"/>
      <w:marTop w:val="0"/>
      <w:marBottom w:val="0"/>
      <w:divBdr>
        <w:top w:val="none" w:sz="0" w:space="0" w:color="auto"/>
        <w:left w:val="none" w:sz="0" w:space="0" w:color="auto"/>
        <w:bottom w:val="none" w:sz="0" w:space="0" w:color="auto"/>
        <w:right w:val="none" w:sz="0" w:space="0" w:color="auto"/>
      </w:divBdr>
    </w:div>
    <w:div w:id="827401366">
      <w:bodyDiv w:val="1"/>
      <w:marLeft w:val="0"/>
      <w:marRight w:val="0"/>
      <w:marTop w:val="0"/>
      <w:marBottom w:val="0"/>
      <w:divBdr>
        <w:top w:val="none" w:sz="0" w:space="0" w:color="auto"/>
        <w:left w:val="none" w:sz="0" w:space="0" w:color="auto"/>
        <w:bottom w:val="none" w:sz="0" w:space="0" w:color="auto"/>
        <w:right w:val="none" w:sz="0" w:space="0" w:color="auto"/>
      </w:divBdr>
    </w:div>
    <w:div w:id="847059866">
      <w:bodyDiv w:val="1"/>
      <w:marLeft w:val="0"/>
      <w:marRight w:val="0"/>
      <w:marTop w:val="0"/>
      <w:marBottom w:val="0"/>
      <w:divBdr>
        <w:top w:val="none" w:sz="0" w:space="0" w:color="auto"/>
        <w:left w:val="none" w:sz="0" w:space="0" w:color="auto"/>
        <w:bottom w:val="none" w:sz="0" w:space="0" w:color="auto"/>
        <w:right w:val="none" w:sz="0" w:space="0" w:color="auto"/>
      </w:divBdr>
    </w:div>
    <w:div w:id="863906230">
      <w:bodyDiv w:val="1"/>
      <w:marLeft w:val="0"/>
      <w:marRight w:val="0"/>
      <w:marTop w:val="0"/>
      <w:marBottom w:val="0"/>
      <w:divBdr>
        <w:top w:val="none" w:sz="0" w:space="0" w:color="auto"/>
        <w:left w:val="none" w:sz="0" w:space="0" w:color="auto"/>
        <w:bottom w:val="none" w:sz="0" w:space="0" w:color="auto"/>
        <w:right w:val="none" w:sz="0" w:space="0" w:color="auto"/>
      </w:divBdr>
    </w:div>
    <w:div w:id="920454965">
      <w:bodyDiv w:val="1"/>
      <w:marLeft w:val="0"/>
      <w:marRight w:val="0"/>
      <w:marTop w:val="0"/>
      <w:marBottom w:val="0"/>
      <w:divBdr>
        <w:top w:val="none" w:sz="0" w:space="0" w:color="auto"/>
        <w:left w:val="none" w:sz="0" w:space="0" w:color="auto"/>
        <w:bottom w:val="none" w:sz="0" w:space="0" w:color="auto"/>
        <w:right w:val="none" w:sz="0" w:space="0" w:color="auto"/>
      </w:divBdr>
    </w:div>
    <w:div w:id="969941016">
      <w:bodyDiv w:val="1"/>
      <w:marLeft w:val="0"/>
      <w:marRight w:val="0"/>
      <w:marTop w:val="0"/>
      <w:marBottom w:val="0"/>
      <w:divBdr>
        <w:top w:val="none" w:sz="0" w:space="0" w:color="auto"/>
        <w:left w:val="none" w:sz="0" w:space="0" w:color="auto"/>
        <w:bottom w:val="none" w:sz="0" w:space="0" w:color="auto"/>
        <w:right w:val="none" w:sz="0" w:space="0" w:color="auto"/>
      </w:divBdr>
    </w:div>
    <w:div w:id="990330919">
      <w:bodyDiv w:val="1"/>
      <w:marLeft w:val="0"/>
      <w:marRight w:val="0"/>
      <w:marTop w:val="0"/>
      <w:marBottom w:val="0"/>
      <w:divBdr>
        <w:top w:val="none" w:sz="0" w:space="0" w:color="auto"/>
        <w:left w:val="none" w:sz="0" w:space="0" w:color="auto"/>
        <w:bottom w:val="none" w:sz="0" w:space="0" w:color="auto"/>
        <w:right w:val="none" w:sz="0" w:space="0" w:color="auto"/>
      </w:divBdr>
    </w:div>
    <w:div w:id="991525414">
      <w:bodyDiv w:val="1"/>
      <w:marLeft w:val="0"/>
      <w:marRight w:val="0"/>
      <w:marTop w:val="0"/>
      <w:marBottom w:val="0"/>
      <w:divBdr>
        <w:top w:val="none" w:sz="0" w:space="0" w:color="auto"/>
        <w:left w:val="none" w:sz="0" w:space="0" w:color="auto"/>
        <w:bottom w:val="none" w:sz="0" w:space="0" w:color="auto"/>
        <w:right w:val="none" w:sz="0" w:space="0" w:color="auto"/>
      </w:divBdr>
    </w:div>
    <w:div w:id="999771238">
      <w:bodyDiv w:val="1"/>
      <w:marLeft w:val="0"/>
      <w:marRight w:val="0"/>
      <w:marTop w:val="0"/>
      <w:marBottom w:val="0"/>
      <w:divBdr>
        <w:top w:val="none" w:sz="0" w:space="0" w:color="auto"/>
        <w:left w:val="none" w:sz="0" w:space="0" w:color="auto"/>
        <w:bottom w:val="none" w:sz="0" w:space="0" w:color="auto"/>
        <w:right w:val="none" w:sz="0" w:space="0" w:color="auto"/>
      </w:divBdr>
    </w:div>
    <w:div w:id="1020164795">
      <w:bodyDiv w:val="1"/>
      <w:marLeft w:val="0"/>
      <w:marRight w:val="0"/>
      <w:marTop w:val="0"/>
      <w:marBottom w:val="0"/>
      <w:divBdr>
        <w:top w:val="none" w:sz="0" w:space="0" w:color="auto"/>
        <w:left w:val="none" w:sz="0" w:space="0" w:color="auto"/>
        <w:bottom w:val="none" w:sz="0" w:space="0" w:color="auto"/>
        <w:right w:val="none" w:sz="0" w:space="0" w:color="auto"/>
      </w:divBdr>
    </w:div>
    <w:div w:id="1033461233">
      <w:bodyDiv w:val="1"/>
      <w:marLeft w:val="0"/>
      <w:marRight w:val="0"/>
      <w:marTop w:val="0"/>
      <w:marBottom w:val="0"/>
      <w:divBdr>
        <w:top w:val="none" w:sz="0" w:space="0" w:color="auto"/>
        <w:left w:val="none" w:sz="0" w:space="0" w:color="auto"/>
        <w:bottom w:val="none" w:sz="0" w:space="0" w:color="auto"/>
        <w:right w:val="none" w:sz="0" w:space="0" w:color="auto"/>
      </w:divBdr>
    </w:div>
    <w:div w:id="1063715030">
      <w:bodyDiv w:val="1"/>
      <w:marLeft w:val="0"/>
      <w:marRight w:val="0"/>
      <w:marTop w:val="0"/>
      <w:marBottom w:val="0"/>
      <w:divBdr>
        <w:top w:val="none" w:sz="0" w:space="0" w:color="auto"/>
        <w:left w:val="none" w:sz="0" w:space="0" w:color="auto"/>
        <w:bottom w:val="none" w:sz="0" w:space="0" w:color="auto"/>
        <w:right w:val="none" w:sz="0" w:space="0" w:color="auto"/>
      </w:divBdr>
    </w:div>
    <w:div w:id="1107773748">
      <w:bodyDiv w:val="1"/>
      <w:marLeft w:val="0"/>
      <w:marRight w:val="0"/>
      <w:marTop w:val="0"/>
      <w:marBottom w:val="0"/>
      <w:divBdr>
        <w:top w:val="none" w:sz="0" w:space="0" w:color="auto"/>
        <w:left w:val="none" w:sz="0" w:space="0" w:color="auto"/>
        <w:bottom w:val="none" w:sz="0" w:space="0" w:color="auto"/>
        <w:right w:val="none" w:sz="0" w:space="0" w:color="auto"/>
      </w:divBdr>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72378808">
      <w:bodyDiv w:val="1"/>
      <w:marLeft w:val="0"/>
      <w:marRight w:val="0"/>
      <w:marTop w:val="0"/>
      <w:marBottom w:val="0"/>
      <w:divBdr>
        <w:top w:val="none" w:sz="0" w:space="0" w:color="auto"/>
        <w:left w:val="none" w:sz="0" w:space="0" w:color="auto"/>
        <w:bottom w:val="none" w:sz="0" w:space="0" w:color="auto"/>
        <w:right w:val="none" w:sz="0" w:space="0" w:color="auto"/>
      </w:divBdr>
    </w:div>
    <w:div w:id="1180466381">
      <w:bodyDiv w:val="1"/>
      <w:marLeft w:val="0"/>
      <w:marRight w:val="0"/>
      <w:marTop w:val="0"/>
      <w:marBottom w:val="0"/>
      <w:divBdr>
        <w:top w:val="none" w:sz="0" w:space="0" w:color="auto"/>
        <w:left w:val="none" w:sz="0" w:space="0" w:color="auto"/>
        <w:bottom w:val="none" w:sz="0" w:space="0" w:color="auto"/>
        <w:right w:val="none" w:sz="0" w:space="0" w:color="auto"/>
      </w:divBdr>
    </w:div>
    <w:div w:id="1236823420">
      <w:bodyDiv w:val="1"/>
      <w:marLeft w:val="0"/>
      <w:marRight w:val="0"/>
      <w:marTop w:val="0"/>
      <w:marBottom w:val="0"/>
      <w:divBdr>
        <w:top w:val="none" w:sz="0" w:space="0" w:color="auto"/>
        <w:left w:val="none" w:sz="0" w:space="0" w:color="auto"/>
        <w:bottom w:val="none" w:sz="0" w:space="0" w:color="auto"/>
        <w:right w:val="none" w:sz="0" w:space="0" w:color="auto"/>
      </w:divBdr>
    </w:div>
    <w:div w:id="1304852706">
      <w:bodyDiv w:val="1"/>
      <w:marLeft w:val="0"/>
      <w:marRight w:val="0"/>
      <w:marTop w:val="0"/>
      <w:marBottom w:val="0"/>
      <w:divBdr>
        <w:top w:val="none" w:sz="0" w:space="0" w:color="auto"/>
        <w:left w:val="none" w:sz="0" w:space="0" w:color="auto"/>
        <w:bottom w:val="none" w:sz="0" w:space="0" w:color="auto"/>
        <w:right w:val="none" w:sz="0" w:space="0" w:color="auto"/>
      </w:divBdr>
    </w:div>
    <w:div w:id="1335180588">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442721547">
      <w:bodyDiv w:val="1"/>
      <w:marLeft w:val="0"/>
      <w:marRight w:val="0"/>
      <w:marTop w:val="0"/>
      <w:marBottom w:val="0"/>
      <w:divBdr>
        <w:top w:val="none" w:sz="0" w:space="0" w:color="auto"/>
        <w:left w:val="none" w:sz="0" w:space="0" w:color="auto"/>
        <w:bottom w:val="none" w:sz="0" w:space="0" w:color="auto"/>
        <w:right w:val="none" w:sz="0" w:space="0" w:color="auto"/>
      </w:divBdr>
    </w:div>
    <w:div w:id="1452555638">
      <w:bodyDiv w:val="1"/>
      <w:marLeft w:val="0"/>
      <w:marRight w:val="0"/>
      <w:marTop w:val="0"/>
      <w:marBottom w:val="0"/>
      <w:divBdr>
        <w:top w:val="none" w:sz="0" w:space="0" w:color="auto"/>
        <w:left w:val="none" w:sz="0" w:space="0" w:color="auto"/>
        <w:bottom w:val="none" w:sz="0" w:space="0" w:color="auto"/>
        <w:right w:val="none" w:sz="0" w:space="0" w:color="auto"/>
      </w:divBdr>
    </w:div>
    <w:div w:id="1468352009">
      <w:bodyDiv w:val="1"/>
      <w:marLeft w:val="0"/>
      <w:marRight w:val="0"/>
      <w:marTop w:val="0"/>
      <w:marBottom w:val="0"/>
      <w:divBdr>
        <w:top w:val="none" w:sz="0" w:space="0" w:color="auto"/>
        <w:left w:val="none" w:sz="0" w:space="0" w:color="auto"/>
        <w:bottom w:val="none" w:sz="0" w:space="0" w:color="auto"/>
        <w:right w:val="none" w:sz="0" w:space="0" w:color="auto"/>
      </w:divBdr>
    </w:div>
    <w:div w:id="1478648080">
      <w:bodyDiv w:val="1"/>
      <w:marLeft w:val="0"/>
      <w:marRight w:val="0"/>
      <w:marTop w:val="0"/>
      <w:marBottom w:val="0"/>
      <w:divBdr>
        <w:top w:val="none" w:sz="0" w:space="0" w:color="auto"/>
        <w:left w:val="none" w:sz="0" w:space="0" w:color="auto"/>
        <w:bottom w:val="none" w:sz="0" w:space="0" w:color="auto"/>
        <w:right w:val="none" w:sz="0" w:space="0" w:color="auto"/>
      </w:divBdr>
    </w:div>
    <w:div w:id="1485858662">
      <w:bodyDiv w:val="1"/>
      <w:marLeft w:val="0"/>
      <w:marRight w:val="0"/>
      <w:marTop w:val="0"/>
      <w:marBottom w:val="0"/>
      <w:divBdr>
        <w:top w:val="none" w:sz="0" w:space="0" w:color="auto"/>
        <w:left w:val="none" w:sz="0" w:space="0" w:color="auto"/>
        <w:bottom w:val="none" w:sz="0" w:space="0" w:color="auto"/>
        <w:right w:val="none" w:sz="0" w:space="0" w:color="auto"/>
      </w:divBdr>
    </w:div>
    <w:div w:id="1491484420">
      <w:bodyDiv w:val="1"/>
      <w:marLeft w:val="0"/>
      <w:marRight w:val="0"/>
      <w:marTop w:val="0"/>
      <w:marBottom w:val="0"/>
      <w:divBdr>
        <w:top w:val="none" w:sz="0" w:space="0" w:color="auto"/>
        <w:left w:val="none" w:sz="0" w:space="0" w:color="auto"/>
        <w:bottom w:val="none" w:sz="0" w:space="0" w:color="auto"/>
        <w:right w:val="none" w:sz="0" w:space="0" w:color="auto"/>
      </w:divBdr>
    </w:div>
    <w:div w:id="1574271072">
      <w:bodyDiv w:val="1"/>
      <w:marLeft w:val="0"/>
      <w:marRight w:val="0"/>
      <w:marTop w:val="0"/>
      <w:marBottom w:val="0"/>
      <w:divBdr>
        <w:top w:val="none" w:sz="0" w:space="0" w:color="auto"/>
        <w:left w:val="none" w:sz="0" w:space="0" w:color="auto"/>
        <w:bottom w:val="none" w:sz="0" w:space="0" w:color="auto"/>
        <w:right w:val="none" w:sz="0" w:space="0" w:color="auto"/>
      </w:divBdr>
    </w:div>
    <w:div w:id="1578636848">
      <w:bodyDiv w:val="1"/>
      <w:marLeft w:val="0"/>
      <w:marRight w:val="0"/>
      <w:marTop w:val="0"/>
      <w:marBottom w:val="0"/>
      <w:divBdr>
        <w:top w:val="none" w:sz="0" w:space="0" w:color="auto"/>
        <w:left w:val="none" w:sz="0" w:space="0" w:color="auto"/>
        <w:bottom w:val="none" w:sz="0" w:space="0" w:color="auto"/>
        <w:right w:val="none" w:sz="0" w:space="0" w:color="auto"/>
      </w:divBdr>
    </w:div>
    <w:div w:id="1594588193">
      <w:bodyDiv w:val="1"/>
      <w:marLeft w:val="0"/>
      <w:marRight w:val="0"/>
      <w:marTop w:val="0"/>
      <w:marBottom w:val="0"/>
      <w:divBdr>
        <w:top w:val="none" w:sz="0" w:space="0" w:color="auto"/>
        <w:left w:val="none" w:sz="0" w:space="0" w:color="auto"/>
        <w:bottom w:val="none" w:sz="0" w:space="0" w:color="auto"/>
        <w:right w:val="none" w:sz="0" w:space="0" w:color="auto"/>
      </w:divBdr>
    </w:div>
    <w:div w:id="1653171878">
      <w:bodyDiv w:val="1"/>
      <w:marLeft w:val="0"/>
      <w:marRight w:val="0"/>
      <w:marTop w:val="0"/>
      <w:marBottom w:val="0"/>
      <w:divBdr>
        <w:top w:val="none" w:sz="0" w:space="0" w:color="auto"/>
        <w:left w:val="none" w:sz="0" w:space="0" w:color="auto"/>
        <w:bottom w:val="none" w:sz="0" w:space="0" w:color="auto"/>
        <w:right w:val="none" w:sz="0" w:space="0" w:color="auto"/>
      </w:divBdr>
    </w:div>
    <w:div w:id="1713118922">
      <w:bodyDiv w:val="1"/>
      <w:marLeft w:val="0"/>
      <w:marRight w:val="0"/>
      <w:marTop w:val="0"/>
      <w:marBottom w:val="0"/>
      <w:divBdr>
        <w:top w:val="none" w:sz="0" w:space="0" w:color="auto"/>
        <w:left w:val="none" w:sz="0" w:space="0" w:color="auto"/>
        <w:bottom w:val="none" w:sz="0" w:space="0" w:color="auto"/>
        <w:right w:val="none" w:sz="0" w:space="0" w:color="auto"/>
      </w:divBdr>
    </w:div>
    <w:div w:id="1735884366">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45688124">
      <w:bodyDiv w:val="1"/>
      <w:marLeft w:val="0"/>
      <w:marRight w:val="0"/>
      <w:marTop w:val="0"/>
      <w:marBottom w:val="0"/>
      <w:divBdr>
        <w:top w:val="none" w:sz="0" w:space="0" w:color="auto"/>
        <w:left w:val="none" w:sz="0" w:space="0" w:color="auto"/>
        <w:bottom w:val="none" w:sz="0" w:space="0" w:color="auto"/>
        <w:right w:val="none" w:sz="0" w:space="0" w:color="auto"/>
      </w:divBdr>
    </w:div>
    <w:div w:id="1760252333">
      <w:bodyDiv w:val="1"/>
      <w:marLeft w:val="0"/>
      <w:marRight w:val="0"/>
      <w:marTop w:val="0"/>
      <w:marBottom w:val="0"/>
      <w:divBdr>
        <w:top w:val="none" w:sz="0" w:space="0" w:color="auto"/>
        <w:left w:val="none" w:sz="0" w:space="0" w:color="auto"/>
        <w:bottom w:val="none" w:sz="0" w:space="0" w:color="auto"/>
        <w:right w:val="none" w:sz="0" w:space="0" w:color="auto"/>
      </w:divBdr>
    </w:div>
    <w:div w:id="1764446659">
      <w:bodyDiv w:val="1"/>
      <w:marLeft w:val="0"/>
      <w:marRight w:val="0"/>
      <w:marTop w:val="0"/>
      <w:marBottom w:val="0"/>
      <w:divBdr>
        <w:top w:val="none" w:sz="0" w:space="0" w:color="auto"/>
        <w:left w:val="none" w:sz="0" w:space="0" w:color="auto"/>
        <w:bottom w:val="none" w:sz="0" w:space="0" w:color="auto"/>
        <w:right w:val="none" w:sz="0" w:space="0" w:color="auto"/>
      </w:divBdr>
    </w:div>
    <w:div w:id="1809781067">
      <w:bodyDiv w:val="1"/>
      <w:marLeft w:val="0"/>
      <w:marRight w:val="0"/>
      <w:marTop w:val="0"/>
      <w:marBottom w:val="0"/>
      <w:divBdr>
        <w:top w:val="none" w:sz="0" w:space="0" w:color="auto"/>
        <w:left w:val="none" w:sz="0" w:space="0" w:color="auto"/>
        <w:bottom w:val="none" w:sz="0" w:space="0" w:color="auto"/>
        <w:right w:val="none" w:sz="0" w:space="0" w:color="auto"/>
      </w:divBdr>
    </w:div>
    <w:div w:id="1823815933">
      <w:bodyDiv w:val="1"/>
      <w:marLeft w:val="0"/>
      <w:marRight w:val="0"/>
      <w:marTop w:val="0"/>
      <w:marBottom w:val="0"/>
      <w:divBdr>
        <w:top w:val="none" w:sz="0" w:space="0" w:color="auto"/>
        <w:left w:val="none" w:sz="0" w:space="0" w:color="auto"/>
        <w:bottom w:val="none" w:sz="0" w:space="0" w:color="auto"/>
        <w:right w:val="none" w:sz="0" w:space="0" w:color="auto"/>
      </w:divBdr>
    </w:div>
    <w:div w:id="1861821452">
      <w:bodyDiv w:val="1"/>
      <w:marLeft w:val="0"/>
      <w:marRight w:val="0"/>
      <w:marTop w:val="0"/>
      <w:marBottom w:val="0"/>
      <w:divBdr>
        <w:top w:val="none" w:sz="0" w:space="0" w:color="auto"/>
        <w:left w:val="none" w:sz="0" w:space="0" w:color="auto"/>
        <w:bottom w:val="none" w:sz="0" w:space="0" w:color="auto"/>
        <w:right w:val="none" w:sz="0" w:space="0" w:color="auto"/>
      </w:divBdr>
    </w:div>
    <w:div w:id="1890998237">
      <w:bodyDiv w:val="1"/>
      <w:marLeft w:val="0"/>
      <w:marRight w:val="0"/>
      <w:marTop w:val="0"/>
      <w:marBottom w:val="0"/>
      <w:divBdr>
        <w:top w:val="none" w:sz="0" w:space="0" w:color="auto"/>
        <w:left w:val="none" w:sz="0" w:space="0" w:color="auto"/>
        <w:bottom w:val="none" w:sz="0" w:space="0" w:color="auto"/>
        <w:right w:val="none" w:sz="0" w:space="0" w:color="auto"/>
      </w:divBdr>
    </w:div>
    <w:div w:id="1902134984">
      <w:bodyDiv w:val="1"/>
      <w:marLeft w:val="0"/>
      <w:marRight w:val="0"/>
      <w:marTop w:val="0"/>
      <w:marBottom w:val="0"/>
      <w:divBdr>
        <w:top w:val="none" w:sz="0" w:space="0" w:color="auto"/>
        <w:left w:val="none" w:sz="0" w:space="0" w:color="auto"/>
        <w:bottom w:val="none" w:sz="0" w:space="0" w:color="auto"/>
        <w:right w:val="none" w:sz="0" w:space="0" w:color="auto"/>
      </w:divBdr>
    </w:div>
    <w:div w:id="1913420454">
      <w:bodyDiv w:val="1"/>
      <w:marLeft w:val="0"/>
      <w:marRight w:val="0"/>
      <w:marTop w:val="0"/>
      <w:marBottom w:val="0"/>
      <w:divBdr>
        <w:top w:val="none" w:sz="0" w:space="0" w:color="auto"/>
        <w:left w:val="none" w:sz="0" w:space="0" w:color="auto"/>
        <w:bottom w:val="none" w:sz="0" w:space="0" w:color="auto"/>
        <w:right w:val="none" w:sz="0" w:space="0" w:color="auto"/>
      </w:divBdr>
    </w:div>
    <w:div w:id="1939872752">
      <w:bodyDiv w:val="1"/>
      <w:marLeft w:val="0"/>
      <w:marRight w:val="0"/>
      <w:marTop w:val="0"/>
      <w:marBottom w:val="0"/>
      <w:divBdr>
        <w:top w:val="none" w:sz="0" w:space="0" w:color="auto"/>
        <w:left w:val="none" w:sz="0" w:space="0" w:color="auto"/>
        <w:bottom w:val="none" w:sz="0" w:space="0" w:color="auto"/>
        <w:right w:val="none" w:sz="0" w:space="0" w:color="auto"/>
      </w:divBdr>
    </w:div>
    <w:div w:id="1950241427">
      <w:bodyDiv w:val="1"/>
      <w:marLeft w:val="0"/>
      <w:marRight w:val="0"/>
      <w:marTop w:val="0"/>
      <w:marBottom w:val="0"/>
      <w:divBdr>
        <w:top w:val="none" w:sz="0" w:space="0" w:color="auto"/>
        <w:left w:val="none" w:sz="0" w:space="0" w:color="auto"/>
        <w:bottom w:val="none" w:sz="0" w:space="0" w:color="auto"/>
        <w:right w:val="none" w:sz="0" w:space="0" w:color="auto"/>
      </w:divBdr>
    </w:div>
    <w:div w:id="1992707773">
      <w:bodyDiv w:val="1"/>
      <w:marLeft w:val="0"/>
      <w:marRight w:val="0"/>
      <w:marTop w:val="0"/>
      <w:marBottom w:val="0"/>
      <w:divBdr>
        <w:top w:val="none" w:sz="0" w:space="0" w:color="auto"/>
        <w:left w:val="none" w:sz="0" w:space="0" w:color="auto"/>
        <w:bottom w:val="none" w:sz="0" w:space="0" w:color="auto"/>
        <w:right w:val="none" w:sz="0" w:space="0" w:color="auto"/>
      </w:divBdr>
    </w:div>
    <w:div w:id="1997800877">
      <w:bodyDiv w:val="1"/>
      <w:marLeft w:val="0"/>
      <w:marRight w:val="0"/>
      <w:marTop w:val="0"/>
      <w:marBottom w:val="0"/>
      <w:divBdr>
        <w:top w:val="none" w:sz="0" w:space="0" w:color="auto"/>
        <w:left w:val="none" w:sz="0" w:space="0" w:color="auto"/>
        <w:bottom w:val="none" w:sz="0" w:space="0" w:color="auto"/>
        <w:right w:val="none" w:sz="0" w:space="0" w:color="auto"/>
      </w:divBdr>
    </w:div>
    <w:div w:id="2013944635">
      <w:bodyDiv w:val="1"/>
      <w:marLeft w:val="0"/>
      <w:marRight w:val="0"/>
      <w:marTop w:val="0"/>
      <w:marBottom w:val="0"/>
      <w:divBdr>
        <w:top w:val="none" w:sz="0" w:space="0" w:color="auto"/>
        <w:left w:val="none" w:sz="0" w:space="0" w:color="auto"/>
        <w:bottom w:val="none" w:sz="0" w:space="0" w:color="auto"/>
        <w:right w:val="none" w:sz="0" w:space="0" w:color="auto"/>
      </w:divBdr>
    </w:div>
    <w:div w:id="2119831936">
      <w:bodyDiv w:val="1"/>
      <w:marLeft w:val="0"/>
      <w:marRight w:val="0"/>
      <w:marTop w:val="0"/>
      <w:marBottom w:val="0"/>
      <w:divBdr>
        <w:top w:val="none" w:sz="0" w:space="0" w:color="auto"/>
        <w:left w:val="none" w:sz="0" w:space="0" w:color="auto"/>
        <w:bottom w:val="none" w:sz="0" w:space="0" w:color="auto"/>
        <w:right w:val="none" w:sz="0" w:space="0" w:color="auto"/>
      </w:divBdr>
    </w:div>
    <w:div w:id="2122140999">
      <w:bodyDiv w:val="1"/>
      <w:marLeft w:val="0"/>
      <w:marRight w:val="0"/>
      <w:marTop w:val="0"/>
      <w:marBottom w:val="0"/>
      <w:divBdr>
        <w:top w:val="none" w:sz="0" w:space="0" w:color="auto"/>
        <w:left w:val="none" w:sz="0" w:space="0" w:color="auto"/>
        <w:bottom w:val="none" w:sz="0" w:space="0" w:color="auto"/>
        <w:right w:val="none" w:sz="0" w:space="0" w:color="auto"/>
      </w:divBdr>
    </w:div>
    <w:div w:id="214145780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7" Type="http://schemas.openxmlformats.org/officeDocument/2006/relationships/image" Target="media/image28.svg"/><Relationship Id="rId50" Type="http://schemas.openxmlformats.org/officeDocument/2006/relationships/image" Target="media/image28.emf"/><Relationship Id="rId55" Type="http://schemas.openxmlformats.org/officeDocument/2006/relationships/image" Target="media/image32.png"/><Relationship Id="rId63" Type="http://schemas.openxmlformats.org/officeDocument/2006/relationships/image" Target="media/image380.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54" Type="http://schemas.openxmlformats.org/officeDocument/2006/relationships/image" Target="media/image31.png"/><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5" Type="http://schemas.openxmlformats.org/officeDocument/2006/relationships/image" Target="media/image26.emf"/><Relationship Id="rId53" Type="http://schemas.openxmlformats.org/officeDocument/2006/relationships/image" Target="media/image30.png"/><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5.xml"/><Relationship Id="rId57" Type="http://schemas.openxmlformats.org/officeDocument/2006/relationships/hyperlink" Target="https://www.health.gov.au/resources/publications/list-of-declared-hospitals" TargetMode="External"/><Relationship Id="rId61" Type="http://schemas.openxmlformats.org/officeDocument/2006/relationships/image" Target="media/image37.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29.emf"/><Relationship Id="rId60" Type="http://schemas.openxmlformats.org/officeDocument/2006/relationships/image" Target="media/image36.jpeg"/><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8" Type="http://schemas.openxmlformats.org/officeDocument/2006/relationships/header" Target="header4.xml"/><Relationship Id="rId56" Type="http://schemas.openxmlformats.org/officeDocument/2006/relationships/image" Target="media/image33.png"/><Relationship Id="rId64" Type="http://schemas.openxmlformats.org/officeDocument/2006/relationships/image" Target="media/image39.png"/><Relationship Id="rId8" Type="http://schemas.openxmlformats.org/officeDocument/2006/relationships/header" Target="header2.xml"/><Relationship Id="rId51" Type="http://schemas.openxmlformats.org/officeDocument/2006/relationships/hyperlink" Target="https://www.abs.gov.au/statistics/labour/earnings-and-working-conditions/employee-earnings-and-hours-australia"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7.png"/><Relationship Id="rId59" Type="http://schemas.openxmlformats.org/officeDocument/2006/relationships/image" Target="media/image35.png"/><Relationship Id="rId6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au/C2023A00010/asmade/2023-03-21/text/original/pdf" TargetMode="External"/><Relationship Id="rId18" Type="http://schemas.openxmlformats.org/officeDocument/2006/relationships/hyperlink" Target="https://www.legislation.gov.au/F2002B00237/2024-07-01/2024-07-01/text/original/pdf" TargetMode="External"/><Relationship Id="rId26" Type="http://schemas.openxmlformats.org/officeDocument/2006/relationships/hyperlink" Target="https://www.tga.gov.au/about-tga/corporate-information/tga-plans-reports/annual-performance-statistics-reports" TargetMode="External"/><Relationship Id="rId39" Type="http://schemas.openxmlformats.org/officeDocument/2006/relationships/hyperlink" Target="https://www.aph.gov.au/Parliamentary_Business/Committees/Senate/Community_Affairs/MeshImplants/Submissions" TargetMode="External"/><Relationship Id="rId3"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21" Type="http://schemas.openxmlformats.org/officeDocument/2006/relationships/hyperlink" Target="https://www.tga.gov.au/about-tga/corporate-information/tga-plans-reports/annual-performance-statistics-reports" TargetMode="External"/><Relationship Id="rId34" Type="http://schemas.openxmlformats.org/officeDocument/2006/relationships/hyperlink" Target="https://www.accessdata.fda.gov/scripts/cdrh/cfdocs/cfcfr/CFRSearch.cfm?CFRPart=803&amp;showFR=1&amp;subpartNode=21:8.0.1.1.3.3" TargetMode="External"/><Relationship Id="rId42" Type="http://schemas.openxmlformats.org/officeDocument/2006/relationships/hyperlink" Target="https://www.safetyandquality.gov.au/standards/nsqhs-standards" TargetMode="External"/><Relationship Id="rId47" Type="http://schemas.openxmlformats.org/officeDocument/2006/relationships/hyperlink" Target="https://www.safetyandquality.gov.au/sites/default/files/2021-05/national_safety_and_quality_health_service_nsqhs_standards_second_edition_-_updated_may_2021.pdf" TargetMode="External"/><Relationship Id="rId50" Type="http://schemas.openxmlformats.org/officeDocument/2006/relationships/hyperlink" Target="https://www.safercare.vic.gov.au/sites/default/files/2019-06/Victorian%20sentinel%20events%20guide_0.pdf" TargetMode="External"/><Relationship Id="rId7"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12" Type="http://schemas.openxmlformats.org/officeDocument/2006/relationships/hyperlink" Target="https://www.tga.gov.au/resources/resource/guidance/reporting-adverse-events" TargetMode="External"/><Relationship Id="rId17" Type="http://schemas.openxmlformats.org/officeDocument/2006/relationships/hyperlink" Target="https://www.tga.gov.au/resources/resource/guidance/annual-reports" TargetMode="External"/><Relationship Id="rId25" Type="http://schemas.openxmlformats.org/officeDocument/2006/relationships/hyperlink" Target="https://www.health.gov.au/sites/default/files/2023-11/inquiry-into-approval-processes-for-new-drugs-and-novel-medical-technologies-in-australia.pdf" TargetMode="External"/><Relationship Id="rId33" Type="http://schemas.openxmlformats.org/officeDocument/2006/relationships/hyperlink" Target="https://www.fda.gov/medical-devices/medical-device-safety/medical-device-reporting-mdr-how-report-medical-device-problems" TargetMode="External"/><Relationship Id="rId38" Type="http://schemas.openxmlformats.org/officeDocument/2006/relationships/hyperlink" Target="https://oia.pmc.gov.au/sites/default/files/2024-02/regulatory-burden-measurement-framework.pdf" TargetMode="External"/><Relationship Id="rId46" Type="http://schemas.openxmlformats.org/officeDocument/2006/relationships/hyperlink" Target="https://www.finance.gov.au/government/managing-commonwealth-resources/planning-and-reporting/commonwealth-performance-framework/evaluation-commonwealth-rmg-130" TargetMode="External"/><Relationship Id="rId2" Type="http://schemas.openxmlformats.org/officeDocument/2006/relationships/hyperlink" Target="https://oia.pmc.gov.au/sites/default/files/posts/2020/10/independent_review_-_review_of_medicines_and_medical_devices_regulation_-_stage_one_report_0.pdf" TargetMode="External"/><Relationship Id="rId16" Type="http://schemas.openxmlformats.org/officeDocument/2006/relationships/hyperlink" Target="https://apps.tga.gov.au/prod/DEVICES/daen-entry.aspx" TargetMode="External"/><Relationship Id="rId20" Type="http://schemas.openxmlformats.org/officeDocument/2006/relationships/hyperlink" Target="https://www.tga.gov.au/postmarket-monitoring" TargetMode="External"/><Relationship Id="rId29"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41"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1" Type="http://schemas.openxmlformats.org/officeDocument/2006/relationships/hyperlink" Target="https://www.tga.gov.au/sites/default/files/review-tga-transparency-1101-final-report.pdf" TargetMode="External"/><Relationship Id="rId6"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11" Type="http://schemas.openxmlformats.org/officeDocument/2006/relationships/hyperlink" Target="https://www.tga.gov.au/products/medical-devices/medical-devices-overview" TargetMode="External"/><Relationship Id="rId24"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32" Type="http://schemas.openxmlformats.org/officeDocument/2006/relationships/hyperlink" Target="https://compliance.health.gov.au/artg/" TargetMode="External"/><Relationship Id="rId37" Type="http://schemas.openxmlformats.org/officeDocument/2006/relationships/hyperlink" Target="https://oia.pmc.gov.au/sites/default/files/2024-02/regulatory-burden-measurement-framework.pdf" TargetMode="External"/><Relationship Id="rId40" Type="http://schemas.openxmlformats.org/officeDocument/2006/relationships/hyperlink" Target="https://www.aph.gov.au/Parliamentary_Business/Committees/Senate/Community_Affairs/MeshImplants/Public_Hearings" TargetMode="External"/><Relationship Id="rId45" Type="http://schemas.openxmlformats.org/officeDocument/2006/relationships/hyperlink" Target="https://evaluation.treasury.gov.au/about/commonwealth-evaluation-policy" TargetMode="External"/><Relationship Id="rId5" Type="http://schemas.openxmlformats.org/officeDocument/2006/relationships/hyperlink" Target="https://www.aph.gov.au/DocumentStore.ashx?id=ee63e51d-dccc-40c1-9475-cac214d0b3bf" TargetMode="External"/><Relationship Id="rId15" Type="http://schemas.openxmlformats.org/officeDocument/2006/relationships/hyperlink" Target="https://www.tga.gov.au/resources/resource/guidance/reporting-adverse-events" TargetMode="External"/><Relationship Id="rId23" Type="http://schemas.openxmlformats.org/officeDocument/2006/relationships/hyperlink" Target="https://www.tga.gov.au/how-we-regulate/supply-therapeutic-good/supply-medical-device/medical-device-post-market-reviews/post-market-review-spinal-cord-stimulation-scs-devices" TargetMode="External"/><Relationship Id="rId28"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36" Type="http://schemas.openxmlformats.org/officeDocument/2006/relationships/hyperlink" Target="https://www.fda.gov/medical-devices/medical-device-reporting-mdr-how-report-medical-device-problems/mdr-data-files" TargetMode="External"/><Relationship Id="rId49" Type="http://schemas.openxmlformats.org/officeDocument/2006/relationships/hyperlink" Target="https://www.safetyandquality.gov.au/our-work/indicators-measurement-and-reporting/incident-management-and-sentinel-events" TargetMode="External"/><Relationship Id="rId10" Type="http://schemas.openxmlformats.org/officeDocument/2006/relationships/hyperlink" Target="https://www.tga.gov.au/resources/consultation/discussion-paper-potential-mandatory-reporting-medical-device-adverse-events-healthcare-facilities-australia" TargetMode="External"/><Relationship Id="rId19" Type="http://schemas.openxmlformats.org/officeDocument/2006/relationships/hyperlink" Target="https://apps.tga.gov.au/prod/MDIR/UDIR03.aspx?mode=CON&amp;sid=1709071381" TargetMode="External"/><Relationship Id="rId31" Type="http://schemas.openxmlformats.org/officeDocument/2006/relationships/hyperlink" Target="https://www.canada.ca/en/health-canada/services/drugs-health-products/reports-publications/medeffect-canada/incident-reporting-medical-devices-guidance-2021.html" TargetMode="External"/><Relationship Id="rId44" Type="http://schemas.openxmlformats.org/officeDocument/2006/relationships/hyperlink" Target="https://www.safetyandquality.gov.au/sites/default/files/2021-05/national_safety_and_quality_health_service_nsqhs_standards_second_edition_-_updated_may_2021.pdf" TargetMode="External"/><Relationship Id="rId52" Type="http://schemas.openxmlformats.org/officeDocument/2006/relationships/hyperlink" Target="https://www.safetyandquality.gov.au/sites/default/files/2021-12/incident_management_guide_november_2021.pdf" TargetMode="External"/><Relationship Id="rId4" Type="http://schemas.openxmlformats.org/officeDocument/2006/relationships/hyperlink" Target="https://www.aph.gov.au/Parliamentary_Business/Committees/Senate/Community_Affairs/MeshImplants/~/media/Committees/clac_ctte/MeshImplants/report.pdf" TargetMode="External"/><Relationship Id="rId9" Type="http://schemas.openxmlformats.org/officeDocument/2006/relationships/hyperlink" Target="https://www.tga.gov.au/sites/default/files/2022-08/action-plan-medical-devices.pdf" TargetMode="External"/><Relationship Id="rId14" Type="http://schemas.openxmlformats.org/officeDocument/2006/relationships/hyperlink" Target="https://www.tga.gov.au/postmarket-monitoring" TargetMode="External"/><Relationship Id="rId22" Type="http://schemas.openxmlformats.org/officeDocument/2006/relationships/hyperlink" Target="https://consultations.tga.gov.au/tga/potential-for-mandatory-reporting-of-medical-devic/supporting_documents/Discussion%20paper%20Potential%20for%20Mandatory%20Reporting%20of%20Medical%20Device%20Adverse%20Events%20by%20Healthcare%20Facilities%20in%20Australia.pdf" TargetMode="External"/><Relationship Id="rId27" Type="http://schemas.openxmlformats.org/officeDocument/2006/relationships/hyperlink" Target="https://www.aph.gov.au/Parliamentary_Business/Bills_Legislation/Bills_Search_Results/Result?bId=r6953" TargetMode="External"/><Relationship Id="rId30" Type="http://schemas.openxmlformats.org/officeDocument/2006/relationships/hyperlink" Target="https://www.fda.gov/medical-devices/medical-device-safety/medical-device-reporting-mdr-how-report-medical-device-problems" TargetMode="External"/><Relationship Id="rId35" Type="http://schemas.openxmlformats.org/officeDocument/2006/relationships/hyperlink" Target="https://www.agedcarequality.gov.au/sites/default/files/media/effective-ims-guidance-august-2021.pdf" TargetMode="External"/><Relationship Id="rId43" Type="http://schemas.openxmlformats.org/officeDocument/2006/relationships/hyperlink" Target="https://www.safetyandquality.gov.au/sites/default/files/2021-05/national_safety_and_quality_health_service_nsqhs_standards_second_edition_-_updated_may_2021.pdf" TargetMode="External"/><Relationship Id="rId48" Type="http://schemas.openxmlformats.org/officeDocument/2006/relationships/hyperlink" Target="https://www.imdrf.org/documents/terminologies-categorized-adverse-event-reporting-aer-terms-terminology-and-codes" TargetMode="External"/><Relationship Id="rId8" Type="http://schemas.openxmlformats.org/officeDocument/2006/relationships/hyperlink" Target="https://parlinfo.aph.gov.au/parlInfo/search/display/display.w3p;query=Id%3A%22legislation%2Fems%2Fr6953_ems_78535267-8570-4fb8-a407-dd0cc687373c%22" TargetMode="External"/><Relationship Id="rId51" Type="http://schemas.openxmlformats.org/officeDocument/2006/relationships/hyperlink" Target="https://www.safetyandquality.gov.au/sites/default/files/2021-12/incident_management_guide_november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123</Pages>
  <Words>39864</Words>
  <Characters>227230</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2025-05-23T06:15:00Z</dcterms:created>
  <dcterms:modified xsi:type="dcterms:W3CDTF">2025-05-23T06:15:00Z</dcterms:modified>
</cp:coreProperties>
</file>