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ED46" w14:textId="77777777" w:rsidR="00775FE4" w:rsidRDefault="00845233" w:rsidP="00EC4A7B">
      <w:pPr>
        <w:spacing w:after="480"/>
        <w:rPr>
          <w:noProof/>
          <w:sz w:val="28"/>
          <w:szCs w:val="28"/>
        </w:rPr>
      </w:pPr>
      <w:bookmarkStart w:id="0" w:name="_Hlk179881519"/>
      <w:bookmarkStart w:id="1" w:name="_GoBack"/>
      <w:bookmarkEnd w:id="1"/>
      <w:r>
        <w:rPr>
          <w:noProof/>
          <w:sz w:val="28"/>
          <w:szCs w:val="28"/>
        </w:rPr>
        <w:drawing>
          <wp:inline distT="0" distB="0" distL="0" distR="0" wp14:anchorId="60A6483C" wp14:editId="662E1643">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75B8797B" w14:textId="77777777" w:rsidR="00775FE4" w:rsidRPr="00EC4A7B" w:rsidRDefault="00366C66" w:rsidP="00251E49">
      <w:pPr>
        <w:pStyle w:val="Heading1"/>
        <w:spacing w:before="720"/>
        <w:jc w:val="right"/>
      </w:pPr>
      <w:bookmarkStart w:id="2" w:name="Title"/>
      <w:bookmarkEnd w:id="2"/>
      <w:r>
        <w:t>Deputy Secretary</w:t>
      </w:r>
    </w:p>
    <w:p w14:paraId="0BE7380C" w14:textId="65A979E8" w:rsidR="00D53FB2" w:rsidRPr="00D53FB2" w:rsidRDefault="00D73387" w:rsidP="00D53FB2">
      <w:pPr>
        <w:pStyle w:val="Header"/>
        <w:tabs>
          <w:tab w:val="left" w:pos="720"/>
        </w:tabs>
      </w:pPr>
      <w:r>
        <w:br/>
      </w:r>
      <w:r>
        <w:br/>
      </w:r>
      <w:r>
        <w:br/>
      </w:r>
      <w:bookmarkStart w:id="3" w:name="_Hlk179877465"/>
      <w:r w:rsidR="00672C54" w:rsidRPr="00037ECD">
        <w:rPr>
          <w:rFonts w:cs="Arial"/>
          <w:color w:val="000000"/>
        </w:rPr>
        <w:t>Joanna Abhayaratna</w:t>
      </w:r>
    </w:p>
    <w:p w14:paraId="13CA204A" w14:textId="31B6A794" w:rsidR="00672C54" w:rsidRDefault="00672C54" w:rsidP="00D53FB2">
      <w:pPr>
        <w:pStyle w:val="Header"/>
        <w:tabs>
          <w:tab w:val="left" w:pos="720"/>
        </w:tabs>
      </w:pPr>
      <w:r>
        <w:t>Assistant Secretary</w:t>
      </w:r>
    </w:p>
    <w:p w14:paraId="69C3CEB5" w14:textId="2B771E17" w:rsidR="00D53FB2" w:rsidRPr="00D53FB2" w:rsidRDefault="00D53FB2" w:rsidP="00D53FB2">
      <w:pPr>
        <w:pStyle w:val="Header"/>
        <w:tabs>
          <w:tab w:val="left" w:pos="720"/>
        </w:tabs>
      </w:pPr>
      <w:r w:rsidRPr="00D53FB2">
        <w:t>Office of Impact Analysis</w:t>
      </w:r>
    </w:p>
    <w:p w14:paraId="17DDE3AD" w14:textId="77777777" w:rsidR="00D53FB2" w:rsidRPr="00D53FB2" w:rsidRDefault="00D53FB2" w:rsidP="00D53FB2">
      <w:pPr>
        <w:pStyle w:val="Header"/>
        <w:tabs>
          <w:tab w:val="left" w:pos="720"/>
        </w:tabs>
      </w:pPr>
      <w:r w:rsidRPr="00D53FB2">
        <w:t>Department of the Prime Minister and Cabinet</w:t>
      </w:r>
    </w:p>
    <w:p w14:paraId="3674293B" w14:textId="77777777" w:rsidR="00D53FB2" w:rsidRPr="00D53FB2" w:rsidRDefault="00D53FB2" w:rsidP="00D53FB2">
      <w:pPr>
        <w:pStyle w:val="Header"/>
        <w:tabs>
          <w:tab w:val="left" w:pos="720"/>
        </w:tabs>
      </w:pPr>
      <w:r w:rsidRPr="00D53FB2">
        <w:t>1 National Circuit</w:t>
      </w:r>
    </w:p>
    <w:p w14:paraId="215E9DEB" w14:textId="77777777" w:rsidR="00D53FB2" w:rsidRPr="00D53FB2" w:rsidRDefault="00D53FB2" w:rsidP="00D53FB2">
      <w:pPr>
        <w:pStyle w:val="Header"/>
        <w:tabs>
          <w:tab w:val="left" w:pos="720"/>
        </w:tabs>
      </w:pPr>
      <w:r w:rsidRPr="00D53FB2">
        <w:t>BARTON ACT 2600</w:t>
      </w:r>
    </w:p>
    <w:p w14:paraId="4FAE3249" w14:textId="77777777" w:rsidR="00D53FB2" w:rsidRDefault="00D53FB2" w:rsidP="00D53FB2">
      <w:pPr>
        <w:pStyle w:val="Header"/>
        <w:tabs>
          <w:tab w:val="left" w:pos="720"/>
        </w:tabs>
      </w:pPr>
    </w:p>
    <w:p w14:paraId="45DCFFE9" w14:textId="6EBFD07D" w:rsidR="00D53FB2" w:rsidRPr="00D53FB2" w:rsidRDefault="00D53FB2" w:rsidP="00D53FB2">
      <w:pPr>
        <w:pStyle w:val="Header"/>
        <w:tabs>
          <w:tab w:val="left" w:pos="720"/>
        </w:tabs>
      </w:pPr>
      <w:r w:rsidRPr="00D53FB2">
        <w:t>Email: Helpdesk-OlA@pmc.gov.au</w:t>
      </w:r>
    </w:p>
    <w:bookmarkEnd w:id="3"/>
    <w:p w14:paraId="7F803959" w14:textId="4A5268AF" w:rsidR="004735A2" w:rsidRDefault="004735A2" w:rsidP="00D53FB2">
      <w:pPr>
        <w:pStyle w:val="Header"/>
        <w:tabs>
          <w:tab w:val="left" w:pos="720"/>
        </w:tabs>
      </w:pPr>
    </w:p>
    <w:p w14:paraId="75250696" w14:textId="77777777" w:rsidR="004735A2" w:rsidRDefault="004735A2" w:rsidP="004735A2"/>
    <w:p w14:paraId="54244650" w14:textId="77777777" w:rsidR="00D53FB2" w:rsidRDefault="00D53FB2" w:rsidP="004735A2"/>
    <w:p w14:paraId="137119A8" w14:textId="2A824F2F" w:rsidR="00B53800" w:rsidRDefault="009E3D9F" w:rsidP="004735A2">
      <w:r w:rsidRPr="00EC4A7B">
        <w:t xml:space="preserve">Dear </w:t>
      </w:r>
      <w:r w:rsidR="00B057A6">
        <w:t>Ms Abhayaratna</w:t>
      </w:r>
    </w:p>
    <w:p w14:paraId="74F20C48" w14:textId="77777777" w:rsidR="00775FE4" w:rsidRPr="0093202A" w:rsidRDefault="00775FE4" w:rsidP="0093202A"/>
    <w:p w14:paraId="66991E9A" w14:textId="41B4BC92" w:rsidR="00D53FB2" w:rsidRPr="00D53FB2" w:rsidRDefault="00D53FB2" w:rsidP="00D53FB2">
      <w:pPr>
        <w:rPr>
          <w:b/>
          <w:bCs/>
        </w:rPr>
      </w:pPr>
      <w:r w:rsidRPr="00D53FB2">
        <w:rPr>
          <w:b/>
          <w:bCs/>
        </w:rPr>
        <w:t xml:space="preserve">Impact Analysis —Introduction of mandatory reporting of medical device adverse events by healthcare facilities — </w:t>
      </w:r>
      <w:r w:rsidR="004B2767">
        <w:rPr>
          <w:b/>
          <w:bCs/>
        </w:rPr>
        <w:t>Second</w:t>
      </w:r>
      <w:r w:rsidRPr="00D53FB2">
        <w:rPr>
          <w:b/>
          <w:bCs/>
        </w:rPr>
        <w:t xml:space="preserve"> Pass Final Assessment</w:t>
      </w:r>
      <w:r w:rsidR="0067620B">
        <w:rPr>
          <w:b/>
          <w:bCs/>
        </w:rPr>
        <w:t xml:space="preserve"> </w:t>
      </w:r>
    </w:p>
    <w:p w14:paraId="3D4C3884" w14:textId="77777777" w:rsidR="00D53FB2" w:rsidRDefault="00D53FB2" w:rsidP="00D53FB2"/>
    <w:p w14:paraId="1B37F461" w14:textId="026C95A8" w:rsidR="00D53FB2" w:rsidRPr="00D53FB2" w:rsidRDefault="00D53FB2" w:rsidP="00D53FB2">
      <w:r w:rsidRPr="00D53FB2">
        <w:t xml:space="preserve">I </w:t>
      </w:r>
      <w:r w:rsidR="005F734D">
        <w:t xml:space="preserve">write </w:t>
      </w:r>
      <w:r w:rsidRPr="00D53FB2">
        <w:t>in relation to the attached Impact Analysis (IA)</w:t>
      </w:r>
      <w:r w:rsidR="005F734D">
        <w:t>,</w:t>
      </w:r>
      <w:r w:rsidRPr="00D53FB2">
        <w:t xml:space="preserve"> prepared for the introduction of mandatory reporting </w:t>
      </w:r>
      <w:r w:rsidR="0067620B">
        <w:t>of</w:t>
      </w:r>
      <w:r w:rsidRPr="00D53FB2">
        <w:t xml:space="preserve"> adverse events involving medical devices</w:t>
      </w:r>
      <w:r w:rsidR="0067620B">
        <w:t xml:space="preserve"> by healthcare facilities</w:t>
      </w:r>
      <w:r w:rsidRPr="00D53FB2">
        <w:t>.</w:t>
      </w:r>
    </w:p>
    <w:p w14:paraId="02FE5EB5" w14:textId="77777777" w:rsidR="00D53FB2" w:rsidRDefault="00D53FB2" w:rsidP="00D53FB2"/>
    <w:p w14:paraId="77FBC888" w14:textId="51006572" w:rsidR="00D53FB2" w:rsidRDefault="00D53FB2" w:rsidP="00D53FB2">
      <w:r w:rsidRPr="00D53FB2">
        <w:t xml:space="preserve">I </w:t>
      </w:r>
      <w:r w:rsidR="00370DA3">
        <w:t>a</w:t>
      </w:r>
      <w:r w:rsidR="009C5E60">
        <w:t xml:space="preserve">cknowledge and thank you for </w:t>
      </w:r>
      <w:r w:rsidR="00CD0D57">
        <w:t xml:space="preserve">your letter of </w:t>
      </w:r>
      <w:r w:rsidR="00C00E41">
        <w:t>18 November 2024</w:t>
      </w:r>
      <w:r w:rsidR="00CF4550">
        <w:t>,</w:t>
      </w:r>
      <w:r w:rsidR="00C00E41">
        <w:t xml:space="preserve"> and</w:t>
      </w:r>
      <w:r w:rsidR="00CD0D57">
        <w:t xml:space="preserve"> </w:t>
      </w:r>
      <w:r w:rsidR="00A01683">
        <w:t xml:space="preserve">I </w:t>
      </w:r>
      <w:r w:rsidR="00CD0D57">
        <w:t xml:space="preserve">am </w:t>
      </w:r>
      <w:r w:rsidR="00985BA3">
        <w:t>satisfied the</w:t>
      </w:r>
      <w:r w:rsidR="00CD0D57">
        <w:t xml:space="preserve"> IA </w:t>
      </w:r>
      <w:r w:rsidR="00C00E41">
        <w:t>addresses the concerns raised in your correspondence</w:t>
      </w:r>
      <w:r w:rsidR="00CA7696">
        <w:t>:</w:t>
      </w:r>
    </w:p>
    <w:p w14:paraId="22FE0BA7" w14:textId="77777777" w:rsidR="00AE0C0B" w:rsidRPr="00AE0C0B" w:rsidRDefault="00AE0C0B" w:rsidP="008D165C"/>
    <w:p w14:paraId="7549CA89" w14:textId="744DEAD3" w:rsidR="00D53FB2" w:rsidRPr="00FC3234" w:rsidRDefault="00F40FB2" w:rsidP="00337A24">
      <w:pPr>
        <w:pStyle w:val="ListParagraph"/>
        <w:numPr>
          <w:ilvl w:val="0"/>
          <w:numId w:val="3"/>
        </w:numPr>
        <w:rPr>
          <w:b/>
          <w:bCs/>
        </w:rPr>
      </w:pPr>
      <w:r>
        <w:t>t</w:t>
      </w:r>
      <w:r w:rsidR="00812569">
        <w:t>he Regulato</w:t>
      </w:r>
      <w:r w:rsidR="00204F20">
        <w:t>ry Burden Estimate (RBE) has been revised</w:t>
      </w:r>
      <w:r w:rsidR="00854ADE">
        <w:t xml:space="preserve"> and assumptions </w:t>
      </w:r>
      <w:r w:rsidR="00E533BC">
        <w:t>further</w:t>
      </w:r>
      <w:r w:rsidR="00DE7C46">
        <w:t xml:space="preserve"> justified</w:t>
      </w:r>
      <w:r w:rsidR="005F734D">
        <w:t>, with</w:t>
      </w:r>
      <w:r w:rsidR="00E533BC">
        <w:t xml:space="preserve"> </w:t>
      </w:r>
      <w:r w:rsidR="005F734D">
        <w:t>t</w:t>
      </w:r>
      <w:r w:rsidR="00B0179A">
        <w:t xml:space="preserve">he </w:t>
      </w:r>
      <w:r w:rsidR="00717E6E">
        <w:t xml:space="preserve">RBE </w:t>
      </w:r>
      <w:r w:rsidR="00B0179A">
        <w:t>formula</w:t>
      </w:r>
      <w:r w:rsidR="00717E6E">
        <w:t xml:space="preserve"> updated and </w:t>
      </w:r>
      <w:r w:rsidR="007D24EB">
        <w:t xml:space="preserve">the </w:t>
      </w:r>
      <w:r w:rsidR="00717E6E">
        <w:t>costings table adjusted</w:t>
      </w:r>
      <w:r w:rsidR="00D9557E">
        <w:t xml:space="preserve"> accordingly</w:t>
      </w:r>
      <w:r w:rsidR="00717E6E">
        <w:t xml:space="preserve"> </w:t>
      </w:r>
    </w:p>
    <w:p w14:paraId="02B1409E" w14:textId="581A09C0" w:rsidR="00FC3234" w:rsidRPr="006655CB" w:rsidRDefault="00F40FB2" w:rsidP="00337A24">
      <w:pPr>
        <w:pStyle w:val="ListParagraph"/>
        <w:numPr>
          <w:ilvl w:val="0"/>
          <w:numId w:val="3"/>
        </w:numPr>
        <w:rPr>
          <w:b/>
          <w:bCs/>
        </w:rPr>
      </w:pPr>
      <w:r>
        <w:t>s</w:t>
      </w:r>
      <w:r w:rsidR="00D00FD7">
        <w:t xml:space="preserve">tronger reasoning </w:t>
      </w:r>
      <w:r w:rsidR="006359C6">
        <w:t>has been applied in Question Two</w:t>
      </w:r>
      <w:r w:rsidR="009753C1">
        <w:t xml:space="preserve"> to address the </w:t>
      </w:r>
      <w:r w:rsidR="000D3373">
        <w:t xml:space="preserve">need for government </w:t>
      </w:r>
      <w:r w:rsidR="0096683E">
        <w:t xml:space="preserve">intervention </w:t>
      </w:r>
      <w:r w:rsidR="00AB3AF7">
        <w:t xml:space="preserve">and current barriers </w:t>
      </w:r>
      <w:r w:rsidR="009C368B">
        <w:t>to voluntary reporting</w:t>
      </w:r>
      <w:r w:rsidR="0021613D">
        <w:t xml:space="preserve"> </w:t>
      </w:r>
    </w:p>
    <w:p w14:paraId="2847E85B" w14:textId="46593F57" w:rsidR="006655CB" w:rsidRDefault="00F40FB2" w:rsidP="00337A24">
      <w:pPr>
        <w:pStyle w:val="ListParagraph"/>
        <w:numPr>
          <w:ilvl w:val="0"/>
          <w:numId w:val="3"/>
        </w:numPr>
      </w:pPr>
      <w:r>
        <w:t>a</w:t>
      </w:r>
      <w:r w:rsidR="00B143C7">
        <w:t xml:space="preserve"> summary of s</w:t>
      </w:r>
      <w:r w:rsidR="00161BB1">
        <w:t>takeholder views</w:t>
      </w:r>
      <w:r w:rsidR="00391EAF">
        <w:t xml:space="preserve"> has been elaborated </w:t>
      </w:r>
      <w:r w:rsidR="00E21334">
        <w:t xml:space="preserve">and </w:t>
      </w:r>
      <w:r w:rsidR="00391EAF">
        <w:t>how it</w:t>
      </w:r>
      <w:r w:rsidR="00E92BBD">
        <w:t xml:space="preserve"> has shaped the </w:t>
      </w:r>
      <w:r w:rsidR="00D700ED">
        <w:t xml:space="preserve">proposed </w:t>
      </w:r>
      <w:r w:rsidR="00E92BBD">
        <w:t>options</w:t>
      </w:r>
      <w:r>
        <w:t>, and</w:t>
      </w:r>
      <w:r w:rsidR="003B5F9D">
        <w:t xml:space="preserve"> </w:t>
      </w:r>
    </w:p>
    <w:p w14:paraId="2E839821" w14:textId="68DFD760" w:rsidR="00C077E0" w:rsidRDefault="00F40FB2" w:rsidP="00337A24">
      <w:pPr>
        <w:pStyle w:val="ListParagraph"/>
        <w:numPr>
          <w:ilvl w:val="0"/>
          <w:numId w:val="3"/>
        </w:numPr>
      </w:pPr>
      <w:r>
        <w:t>t</w:t>
      </w:r>
      <w:r w:rsidR="008A35EE">
        <w:t xml:space="preserve">he multi-criteria analysis </w:t>
      </w:r>
      <w:r w:rsidR="0022144E">
        <w:t xml:space="preserve">has been further </w:t>
      </w:r>
      <w:r w:rsidR="00060E91">
        <w:t>expanded and</w:t>
      </w:r>
      <w:r w:rsidR="00AF1641">
        <w:t xml:space="preserve"> includes </w:t>
      </w:r>
      <w:r w:rsidR="005563C1">
        <w:t>detailed</w:t>
      </w:r>
      <w:r w:rsidR="003D58CE">
        <w:t xml:space="preserve"> explanation</w:t>
      </w:r>
      <w:r w:rsidR="0089327A">
        <w:t>s</w:t>
      </w:r>
      <w:r w:rsidR="009A36E7">
        <w:t xml:space="preserve"> and </w:t>
      </w:r>
      <w:r w:rsidR="005563C1">
        <w:t xml:space="preserve">justifications for the </w:t>
      </w:r>
      <w:r w:rsidR="000371C6">
        <w:t xml:space="preserve">weightings of the proposed options. </w:t>
      </w:r>
    </w:p>
    <w:p w14:paraId="6138CB3A" w14:textId="77777777" w:rsidR="0081110A" w:rsidRDefault="0081110A" w:rsidP="0081110A">
      <w:pPr>
        <w:pStyle w:val="ListParagraph"/>
      </w:pPr>
    </w:p>
    <w:p w14:paraId="489473B5" w14:textId="57C1FC7D" w:rsidR="006C7B4A" w:rsidRDefault="0055466E" w:rsidP="0081110A">
      <w:r w:rsidRPr="0055466E">
        <w:lastRenderedPageBreak/>
        <w:t xml:space="preserve">The IA includes a description of </w:t>
      </w:r>
      <w:r w:rsidR="007567D1">
        <w:t xml:space="preserve">its status </w:t>
      </w:r>
      <w:r w:rsidRPr="0055466E">
        <w:t>at each major decision point in the proposal’s development.</w:t>
      </w:r>
      <w:r w:rsidR="006C7B4A">
        <w:t xml:space="preserve"> </w:t>
      </w:r>
      <w:r w:rsidR="006C7B4A" w:rsidRPr="006C7B4A">
        <w:t xml:space="preserve">This has included an early assessment </w:t>
      </w:r>
      <w:r w:rsidR="00B522AC">
        <w:t>on 15</w:t>
      </w:r>
      <w:r w:rsidR="006C7B4A" w:rsidRPr="006C7B4A">
        <w:t xml:space="preserve"> </w:t>
      </w:r>
      <w:r w:rsidR="00B522AC">
        <w:t>November</w:t>
      </w:r>
      <w:r w:rsidR="006C7B4A" w:rsidRPr="009B230E">
        <w:t xml:space="preserve"> 202</w:t>
      </w:r>
      <w:r w:rsidR="009B230E" w:rsidRPr="009B230E">
        <w:t>2</w:t>
      </w:r>
      <w:r w:rsidR="006C7B4A" w:rsidRPr="006C7B4A">
        <w:t xml:space="preserve"> and a First Pass IA</w:t>
      </w:r>
      <w:r w:rsidR="007567D1">
        <w:t>,</w:t>
      </w:r>
      <w:r w:rsidR="006C7B4A" w:rsidRPr="006C7B4A">
        <w:t xml:space="preserve"> provided to</w:t>
      </w:r>
      <w:r w:rsidR="00D971F0">
        <w:t xml:space="preserve"> the</w:t>
      </w:r>
      <w:r w:rsidR="006C7B4A" w:rsidRPr="006C7B4A">
        <w:t xml:space="preserve"> Government </w:t>
      </w:r>
      <w:r w:rsidR="0019709F">
        <w:t>for</w:t>
      </w:r>
      <w:r w:rsidR="006C7B4A" w:rsidRPr="006C7B4A">
        <w:t xml:space="preserve"> consideration of the </w:t>
      </w:r>
      <w:r w:rsidR="00BF455A">
        <w:t>mandatory reporting scheme</w:t>
      </w:r>
      <w:r w:rsidR="006C7B4A" w:rsidRPr="006C7B4A">
        <w:t xml:space="preserve"> based on the options provided. It is anticipated that the final certified IA will support </w:t>
      </w:r>
      <w:r w:rsidR="0021342F">
        <w:t>the</w:t>
      </w:r>
      <w:r w:rsidR="006C7B4A" w:rsidRPr="006C7B4A">
        <w:t xml:space="preserve"> Government</w:t>
      </w:r>
      <w:r w:rsidR="0021342F">
        <w:t>’s decision</w:t>
      </w:r>
      <w:r w:rsidR="006C7B4A" w:rsidRPr="006C7B4A">
        <w:t xml:space="preserve"> to </w:t>
      </w:r>
      <w:r w:rsidR="004A53C2">
        <w:t xml:space="preserve">introduce </w:t>
      </w:r>
      <w:r w:rsidR="00535096">
        <w:t xml:space="preserve">mandatory reporting of </w:t>
      </w:r>
      <w:r w:rsidR="00894E8D">
        <w:t xml:space="preserve">medical device </w:t>
      </w:r>
      <w:r w:rsidR="00535096">
        <w:t>adverse event by healthcare facilities</w:t>
      </w:r>
      <w:r w:rsidR="006C7B4A" w:rsidRPr="006C7B4A">
        <w:t xml:space="preserve">. </w:t>
      </w:r>
    </w:p>
    <w:p w14:paraId="492B835E" w14:textId="77777777" w:rsidR="006C7B4A" w:rsidRDefault="006C7B4A" w:rsidP="0081110A"/>
    <w:p w14:paraId="2BE15217" w14:textId="0A77C9F9" w:rsidR="009A36E7" w:rsidRPr="00BD638E" w:rsidRDefault="006C7B4A" w:rsidP="0081110A">
      <w:r w:rsidRPr="006C7B4A">
        <w:t xml:space="preserve">Accordingly, I am satisfied the IA is consistent with the </w:t>
      </w:r>
      <w:r w:rsidR="00B25070">
        <w:t>seven</w:t>
      </w:r>
      <w:r w:rsidRPr="006C7B4A">
        <w:t xml:space="preserve"> principles for Australian Government policy makers as specified in the </w:t>
      </w:r>
      <w:r w:rsidRPr="00522764">
        <w:rPr>
          <w:i/>
          <w:iCs/>
        </w:rPr>
        <w:t>Australian Government Guide to Policy Impact Analysis</w:t>
      </w:r>
      <w:r w:rsidRPr="006C7B4A">
        <w:t>. I submit the IA to the Office of Impact Analysis for formal final assessment.</w:t>
      </w:r>
    </w:p>
    <w:p w14:paraId="35F230F8" w14:textId="3BE492F0" w:rsidR="004B2767" w:rsidRPr="00BD638E" w:rsidRDefault="004B2767" w:rsidP="00D53FB2"/>
    <w:p w14:paraId="3CEDCE4F" w14:textId="39B39D98" w:rsidR="00D53FB2" w:rsidRDefault="00550595" w:rsidP="00D53FB2">
      <w:r>
        <w:t>A further detailed description of the matters is in Att</w:t>
      </w:r>
      <w:r w:rsidR="00646F01">
        <w:t>achment</w:t>
      </w:r>
      <w:r>
        <w:t xml:space="preserve"> A.</w:t>
      </w:r>
    </w:p>
    <w:p w14:paraId="380C959A" w14:textId="77777777" w:rsidR="00550595" w:rsidRPr="00D53FB2" w:rsidRDefault="00550595" w:rsidP="00D53FB2"/>
    <w:p w14:paraId="0A1080FF" w14:textId="77777777" w:rsidR="00D53FB2" w:rsidRPr="00D53FB2" w:rsidRDefault="00D53FB2" w:rsidP="00D53FB2">
      <w:r w:rsidRPr="00D53FB2">
        <w:t>Yours sincerely</w:t>
      </w:r>
    </w:p>
    <w:p w14:paraId="36317760" w14:textId="77777777" w:rsidR="00D53FB2" w:rsidRPr="00D53FB2" w:rsidRDefault="00D53FB2" w:rsidP="00D53FB2"/>
    <w:p w14:paraId="22BD7552" w14:textId="77777777" w:rsidR="00D53FB2" w:rsidRPr="00D53FB2" w:rsidRDefault="00D53FB2" w:rsidP="00D53FB2"/>
    <w:p w14:paraId="594A7D4A" w14:textId="77777777" w:rsidR="00D53FB2" w:rsidRPr="00D53FB2" w:rsidRDefault="00D53FB2" w:rsidP="00D53FB2"/>
    <w:p w14:paraId="19B56A0F" w14:textId="77777777" w:rsidR="00D53FB2" w:rsidRDefault="00D53FB2" w:rsidP="00D53FB2">
      <w:r w:rsidRPr="00D53FB2">
        <w:t>Professor Anthony Lawler</w:t>
      </w:r>
    </w:p>
    <w:p w14:paraId="3C33B3FD" w14:textId="5424964C" w:rsidR="008251FC" w:rsidRPr="00D53FB2" w:rsidRDefault="008251FC" w:rsidP="00D53FB2">
      <w:r>
        <w:t>Deputy Secretary</w:t>
      </w:r>
    </w:p>
    <w:p w14:paraId="5FB283AF" w14:textId="77777777" w:rsidR="00D53FB2" w:rsidRPr="00D53FB2" w:rsidRDefault="00D53FB2" w:rsidP="00D53FB2">
      <w:r w:rsidRPr="00D53FB2">
        <w:t>Health Products Regulation Group</w:t>
      </w:r>
    </w:p>
    <w:p w14:paraId="66F860ED" w14:textId="7BCB9C5C" w:rsidR="008D165C" w:rsidRDefault="00D53FB2" w:rsidP="00D53FB2">
      <w:r w:rsidRPr="00D53FB2">
        <w:t xml:space="preserve">   </w:t>
      </w:r>
      <w:r w:rsidR="001258FC">
        <w:t xml:space="preserve">February </w:t>
      </w:r>
      <w:r w:rsidR="00616ED9">
        <w:t>2025</w:t>
      </w:r>
      <w:r>
        <w:t xml:space="preserve"> </w:t>
      </w:r>
      <w:bookmarkEnd w:id="0"/>
    </w:p>
    <w:p w14:paraId="1E1568E4" w14:textId="77777777" w:rsidR="008D165C" w:rsidRDefault="008D165C">
      <w:r>
        <w:br w:type="page"/>
      </w:r>
    </w:p>
    <w:p w14:paraId="3B0034F5" w14:textId="68534BBE" w:rsidR="00D73387" w:rsidRDefault="008D165C" w:rsidP="008B612F">
      <w:pPr>
        <w:jc w:val="right"/>
      </w:pPr>
      <w:r>
        <w:lastRenderedPageBreak/>
        <w:t>Atta</w:t>
      </w:r>
      <w:r w:rsidR="008B612F">
        <w:t>chment A</w:t>
      </w:r>
    </w:p>
    <w:p w14:paraId="055EADE9" w14:textId="77777777" w:rsidR="008B612F" w:rsidRPr="008B612F" w:rsidRDefault="008B612F" w:rsidP="008B612F">
      <w:pPr>
        <w:jc w:val="right"/>
      </w:pPr>
    </w:p>
    <w:p w14:paraId="2D26CC39" w14:textId="75A9F967" w:rsidR="008B612F" w:rsidRPr="001D6CBF" w:rsidRDefault="00FF5654" w:rsidP="008B612F">
      <w:pPr>
        <w:rPr>
          <w:u w:val="single"/>
        </w:rPr>
      </w:pPr>
      <w:r w:rsidRPr="001D6CBF">
        <w:rPr>
          <w:u w:val="single"/>
        </w:rPr>
        <w:t>Responses</w:t>
      </w:r>
      <w:r w:rsidR="008D1628" w:rsidRPr="001D6CBF">
        <w:rPr>
          <w:u w:val="single"/>
        </w:rPr>
        <w:t xml:space="preserve"> to </w:t>
      </w:r>
      <w:r w:rsidR="00A5739A" w:rsidRPr="001D6CBF">
        <w:rPr>
          <w:u w:val="single"/>
        </w:rPr>
        <w:t xml:space="preserve">OIA First Pass Assessment letter - </w:t>
      </w:r>
      <w:r w:rsidR="004E70B5" w:rsidRPr="001D6CBF">
        <w:rPr>
          <w:u w:val="single"/>
        </w:rPr>
        <w:t>Attachment</w:t>
      </w:r>
      <w:r w:rsidRPr="001D6CBF">
        <w:rPr>
          <w:u w:val="single"/>
        </w:rPr>
        <w:t xml:space="preserve"> A </w:t>
      </w:r>
      <w:r w:rsidR="004E70B5" w:rsidRPr="001D6CBF">
        <w:rPr>
          <w:u w:val="single"/>
        </w:rPr>
        <w:t>- F</w:t>
      </w:r>
      <w:r w:rsidR="008D1628" w:rsidRPr="001D6CBF">
        <w:rPr>
          <w:u w:val="single"/>
        </w:rPr>
        <w:t>urther advice</w:t>
      </w:r>
      <w:r w:rsidR="004B705C" w:rsidRPr="001D6CBF">
        <w:rPr>
          <w:u w:val="single"/>
        </w:rPr>
        <w:t xml:space="preserve"> </w:t>
      </w:r>
      <w:r w:rsidR="004E70B5" w:rsidRPr="001D6CBF">
        <w:rPr>
          <w:u w:val="single"/>
        </w:rPr>
        <w:t>– Proposal to introduce mandatory reporting of medical device adverse events by healthcare facilities</w:t>
      </w:r>
      <w:r w:rsidR="007A1704" w:rsidRPr="001D6CBF">
        <w:rPr>
          <w:u w:val="single"/>
        </w:rPr>
        <w:t>:</w:t>
      </w:r>
    </w:p>
    <w:p w14:paraId="06140C83" w14:textId="77777777" w:rsidR="002B054B" w:rsidRPr="008B612F" w:rsidRDefault="002B054B" w:rsidP="008B612F"/>
    <w:p w14:paraId="29F1D904" w14:textId="34236CFF" w:rsidR="00A05C6A" w:rsidRPr="00A05C6A" w:rsidRDefault="00A05C6A" w:rsidP="00A05C6A">
      <w:pPr>
        <w:rPr>
          <w:b/>
          <w:bCs/>
        </w:rPr>
      </w:pPr>
      <w:r>
        <w:rPr>
          <w:b/>
          <w:bCs/>
        </w:rPr>
        <w:t>General comments:</w:t>
      </w:r>
    </w:p>
    <w:p w14:paraId="0A8926FF" w14:textId="77777777" w:rsidR="005940B9" w:rsidRPr="00980039" w:rsidRDefault="005940B9" w:rsidP="00980039">
      <w:pPr>
        <w:rPr>
          <w:i/>
          <w:iCs/>
        </w:rPr>
      </w:pPr>
      <w:r w:rsidRPr="00980039">
        <w:rPr>
          <w:i/>
          <w:iCs/>
        </w:rPr>
        <w:t xml:space="preserve">The executive summary should provide a summary of the response to all seven IA questions, including reporting the estimated regulatory burden under each option. </w:t>
      </w:r>
    </w:p>
    <w:p w14:paraId="49063021" w14:textId="77777777" w:rsidR="005940B9" w:rsidRDefault="005940B9" w:rsidP="005940B9"/>
    <w:p w14:paraId="4475651F" w14:textId="64820064" w:rsidR="008B612F" w:rsidRDefault="00EA2FF5" w:rsidP="008B612F">
      <w:pPr>
        <w:pStyle w:val="ListParagraph"/>
        <w:numPr>
          <w:ilvl w:val="0"/>
          <w:numId w:val="3"/>
        </w:numPr>
      </w:pPr>
      <w:r>
        <w:t>A</w:t>
      </w:r>
      <w:r w:rsidR="008B612F" w:rsidRPr="008B612F">
        <w:t>ll seven IA questions including the estimated regulatory burden for each option</w:t>
      </w:r>
      <w:r w:rsidR="002F2E5C">
        <w:t xml:space="preserve"> </w:t>
      </w:r>
      <w:r w:rsidR="00EE1062">
        <w:t xml:space="preserve">have </w:t>
      </w:r>
      <w:r w:rsidR="002F2E5C">
        <w:t>now</w:t>
      </w:r>
      <w:r>
        <w:t xml:space="preserve"> </w:t>
      </w:r>
      <w:r w:rsidR="00EE1062">
        <w:t xml:space="preserve">been </w:t>
      </w:r>
      <w:r>
        <w:t xml:space="preserve">summarised </w:t>
      </w:r>
      <w:r w:rsidR="008B612F" w:rsidRPr="008B612F">
        <w:t>in the executive summary.</w:t>
      </w:r>
    </w:p>
    <w:p w14:paraId="4750BE81" w14:textId="77777777" w:rsidR="002B054B" w:rsidRDefault="002B054B" w:rsidP="002B054B"/>
    <w:p w14:paraId="2649C37A" w14:textId="0B925997" w:rsidR="002B054B" w:rsidRPr="002B054B" w:rsidRDefault="00B37FCE" w:rsidP="002B054B">
      <w:pPr>
        <w:rPr>
          <w:b/>
          <w:bCs/>
        </w:rPr>
      </w:pPr>
      <w:r>
        <w:rPr>
          <w:b/>
          <w:bCs/>
        </w:rPr>
        <w:t xml:space="preserve">Question One: </w:t>
      </w:r>
      <w:r w:rsidR="002B054B" w:rsidRPr="002B054B">
        <w:rPr>
          <w:b/>
          <w:bCs/>
        </w:rPr>
        <w:t>What is the policy problem you are trying to solve?</w:t>
      </w:r>
    </w:p>
    <w:p w14:paraId="3404D600" w14:textId="77777777" w:rsidR="00D53A33" w:rsidRDefault="00D53A33" w:rsidP="00980039">
      <w:pPr>
        <w:rPr>
          <w:i/>
          <w:iCs/>
        </w:rPr>
      </w:pPr>
      <w:r w:rsidRPr="00980039">
        <w:rPr>
          <w:i/>
          <w:iCs/>
        </w:rPr>
        <w:t xml:space="preserve">It would strengthen this section to discuss the impact of data gaps on certainty of the estimated costs and benefits in the IA. In particular, how does the lack of knowledge of level of underreporting affect understanding of the problem and impacts of the problem? </w:t>
      </w:r>
    </w:p>
    <w:p w14:paraId="78F8E8BD" w14:textId="77777777" w:rsidR="001D6CBF" w:rsidRPr="00980039" w:rsidRDefault="001D6CBF" w:rsidP="00980039">
      <w:pPr>
        <w:rPr>
          <w:i/>
          <w:iCs/>
        </w:rPr>
      </w:pPr>
    </w:p>
    <w:p w14:paraId="0B0CFCFF" w14:textId="1F62F763" w:rsidR="00FC00EC" w:rsidRPr="0080019E" w:rsidRDefault="00FC00EC" w:rsidP="005F0AF1">
      <w:pPr>
        <w:pStyle w:val="ListParagraph"/>
        <w:numPr>
          <w:ilvl w:val="0"/>
          <w:numId w:val="3"/>
        </w:numPr>
        <w:rPr>
          <w:i/>
          <w:iCs/>
        </w:rPr>
      </w:pPr>
      <w:r>
        <w:t>Signals of issues relating to medical devices are not being received in a timely manner to enable to the TGA to take swift action to remediate the issue and mitigate the risk of patient harm</w:t>
      </w:r>
    </w:p>
    <w:p w14:paraId="5EA267C6" w14:textId="40FD01D0" w:rsidR="00EE1062" w:rsidRPr="0080019E" w:rsidRDefault="00EE1062" w:rsidP="005F0AF1">
      <w:pPr>
        <w:pStyle w:val="ListParagraph"/>
        <w:numPr>
          <w:ilvl w:val="0"/>
          <w:numId w:val="3"/>
        </w:numPr>
        <w:rPr>
          <w:i/>
          <w:iCs/>
        </w:rPr>
      </w:pPr>
      <w:r>
        <w:t>The TGA is aware</w:t>
      </w:r>
      <w:r w:rsidR="00985BA3">
        <w:t xml:space="preserve"> that</w:t>
      </w:r>
      <w:r w:rsidR="000805A9">
        <w:t xml:space="preserve"> </w:t>
      </w:r>
      <w:r>
        <w:t xml:space="preserve">a volume of </w:t>
      </w:r>
      <w:r w:rsidR="00ED30C3">
        <w:t xml:space="preserve">medical device-related </w:t>
      </w:r>
      <w:r>
        <w:t xml:space="preserve">adverse events </w:t>
      </w:r>
      <w:r w:rsidR="00ED30C3">
        <w:t xml:space="preserve">are </w:t>
      </w:r>
      <w:r>
        <w:t>unreported due to reporting by healthcare providers and facilities</w:t>
      </w:r>
      <w:r w:rsidR="005E0286">
        <w:t xml:space="preserve"> currently being voluntary in nature</w:t>
      </w:r>
    </w:p>
    <w:p w14:paraId="6882314E" w14:textId="47209E10" w:rsidR="00EE1062" w:rsidRPr="0080019E" w:rsidRDefault="00EE1062" w:rsidP="005F0AF1">
      <w:pPr>
        <w:pStyle w:val="ListParagraph"/>
        <w:numPr>
          <w:ilvl w:val="0"/>
          <w:numId w:val="3"/>
        </w:numPr>
        <w:rPr>
          <w:i/>
          <w:iCs/>
        </w:rPr>
      </w:pPr>
      <w:r>
        <w:t xml:space="preserve">Underreporting of medical device related adverse events was identified in the Report from the </w:t>
      </w:r>
      <w:r w:rsidRPr="00BB70FA">
        <w:rPr>
          <w:i/>
          <w:iCs/>
        </w:rPr>
        <w:t>2017-2018 Senate Inquiry into transvaginal mesh implants and related matters</w:t>
      </w:r>
      <w:r>
        <w:t xml:space="preserve"> as an area of significant concern as the number of reported adverse events was substantially less than true number of complications experienced</w:t>
      </w:r>
    </w:p>
    <w:p w14:paraId="6546AB15" w14:textId="495CB8AF" w:rsidR="00B12E63" w:rsidRPr="00E020C2" w:rsidRDefault="005F0AF1" w:rsidP="005F0AF1">
      <w:pPr>
        <w:pStyle w:val="ListParagraph"/>
        <w:numPr>
          <w:ilvl w:val="0"/>
          <w:numId w:val="3"/>
        </w:numPr>
        <w:rPr>
          <w:i/>
          <w:iCs/>
        </w:rPr>
      </w:pPr>
      <w:r>
        <w:t xml:space="preserve">Healthcare facilities are a rich data source of health </w:t>
      </w:r>
      <w:r w:rsidR="00621031">
        <w:t>information</w:t>
      </w:r>
      <w:r>
        <w:t xml:space="preserve"> in the Australian community, however only 4% of </w:t>
      </w:r>
      <w:r w:rsidR="00621031">
        <w:t xml:space="preserve">medical device </w:t>
      </w:r>
      <w:r>
        <w:t xml:space="preserve">adverse events reported to the TGA are provided from these settings. </w:t>
      </w:r>
      <w:r w:rsidR="00621031">
        <w:t>A</w:t>
      </w:r>
      <w:r w:rsidR="00B12E63">
        <w:t>dverse events are often not reported by consumers, health practitioners or healthcare facilities due to lack of awareness, perceived complexity of reporting process, or concerns about reputational impact</w:t>
      </w:r>
    </w:p>
    <w:p w14:paraId="679E45E8" w14:textId="1A54F83A" w:rsidR="00D53A33" w:rsidRPr="00BB70FA" w:rsidRDefault="005F0AF1" w:rsidP="005F0AF1">
      <w:pPr>
        <w:pStyle w:val="ListParagraph"/>
        <w:numPr>
          <w:ilvl w:val="0"/>
          <w:numId w:val="3"/>
        </w:numPr>
        <w:rPr>
          <w:i/>
          <w:iCs/>
        </w:rPr>
      </w:pPr>
      <w:r>
        <w:t>Whilst reporting</w:t>
      </w:r>
      <w:r w:rsidR="00621031">
        <w:t xml:space="preserve"> to the TGA is mandatory for </w:t>
      </w:r>
      <w:r>
        <w:t xml:space="preserve">sponsors of medical devices, </w:t>
      </w:r>
      <w:r w:rsidR="00621031">
        <w:t xml:space="preserve">and currently </w:t>
      </w:r>
      <w:r>
        <w:t>account</w:t>
      </w:r>
      <w:r w:rsidR="00621031">
        <w:t>s</w:t>
      </w:r>
      <w:r>
        <w:t xml:space="preserve"> for 92.3% of all reports, reporting from healthcare settings would enable signals to be detected earlier including during treatment.</w:t>
      </w:r>
      <w:r w:rsidR="00B12E63">
        <w:t xml:space="preserve"> This is because often, medical device adverse events can take </w:t>
      </w:r>
      <w:r w:rsidR="00621031">
        <w:t>several</w:t>
      </w:r>
      <w:r w:rsidR="00B12E63">
        <w:t xml:space="preserve"> years to present, with healthcare facilities often providing treatment before the TGA </w:t>
      </w:r>
      <w:r w:rsidR="007E4C8F">
        <w:t>is made</w:t>
      </w:r>
      <w:r w:rsidR="00B12E63">
        <w:t xml:space="preserve"> aware of an issue.</w:t>
      </w:r>
      <w:r>
        <w:t xml:space="preserve"> This was confirmed during </w:t>
      </w:r>
      <w:r w:rsidR="004571FC">
        <w:t xml:space="preserve">the </w:t>
      </w:r>
      <w:r w:rsidR="009917C1" w:rsidRPr="00BB70FA">
        <w:rPr>
          <w:i/>
          <w:iCs/>
        </w:rPr>
        <w:t xml:space="preserve">2017-2018 </w:t>
      </w:r>
      <w:r w:rsidR="004571FC" w:rsidRPr="00BB70FA">
        <w:rPr>
          <w:i/>
          <w:iCs/>
        </w:rPr>
        <w:t>Senate Inquiry</w:t>
      </w:r>
      <w:r w:rsidR="00BB70FA" w:rsidRPr="00BB70FA">
        <w:rPr>
          <w:i/>
          <w:iCs/>
        </w:rPr>
        <w:t xml:space="preserve"> into transvaginal mesh implants and related matters</w:t>
      </w:r>
      <w:r w:rsidR="00B12E63">
        <w:t xml:space="preserve"> which found many patients had presented to healthcare facilities and undergone treatment without this having been formally reported.</w:t>
      </w:r>
    </w:p>
    <w:p w14:paraId="69B4B89E" w14:textId="66CDC7E0" w:rsidR="00266D30" w:rsidRPr="00CA7696" w:rsidRDefault="00DF42BB" w:rsidP="00E11A3E">
      <w:pPr>
        <w:pStyle w:val="ListParagraph"/>
        <w:numPr>
          <w:ilvl w:val="0"/>
          <w:numId w:val="3"/>
        </w:numPr>
        <w:rPr>
          <w:i/>
          <w:iCs/>
        </w:rPr>
      </w:pPr>
      <w:r>
        <w:t>Question One of t</w:t>
      </w:r>
      <w:r w:rsidR="009111CB">
        <w:t>he IA has been revised and updated to include additional details and information on the limitations of the current data landscape for post-market adverse event monitoring</w:t>
      </w:r>
      <w:r w:rsidR="005F0AF1">
        <w:t xml:space="preserve"> in the absence of reporting from healthcare facilities</w:t>
      </w:r>
      <w:r w:rsidR="00266D30">
        <w:t xml:space="preserve">. </w:t>
      </w:r>
    </w:p>
    <w:p w14:paraId="2E0C7C35" w14:textId="2007B845" w:rsidR="00266D30" w:rsidRPr="00CA7696" w:rsidRDefault="00B12E63" w:rsidP="00E11A3E">
      <w:pPr>
        <w:pStyle w:val="ListParagraph"/>
        <w:numPr>
          <w:ilvl w:val="0"/>
          <w:numId w:val="3"/>
        </w:numPr>
      </w:pPr>
      <w:r>
        <w:lastRenderedPageBreak/>
        <w:t xml:space="preserve">The TGA is an independent regulator, and whilst data from international regulators feeds </w:t>
      </w:r>
      <w:r w:rsidR="00206B69">
        <w:t>into</w:t>
      </w:r>
      <w:r>
        <w:t xml:space="preserve"> TGA’s post market activities, the TGA uses this as one of many signals. </w:t>
      </w:r>
      <w:r w:rsidRPr="00621031">
        <w:t>Th</w:t>
      </w:r>
      <w:r w:rsidR="000350C5" w:rsidRPr="00621031">
        <w:t>ere</w:t>
      </w:r>
      <w:r w:rsidRPr="00621031">
        <w:t xml:space="preserve"> is an expectation </w:t>
      </w:r>
      <w:r w:rsidR="000350C5" w:rsidRPr="00621031">
        <w:t>that</w:t>
      </w:r>
      <w:r w:rsidRPr="00621031">
        <w:t xml:space="preserve"> the Australian regulator </w:t>
      </w:r>
      <w:r w:rsidR="000350C5" w:rsidRPr="00621031">
        <w:t>undertake its own signal detection</w:t>
      </w:r>
      <w:r w:rsidRPr="00621031">
        <w:t>.</w:t>
      </w:r>
      <w:r>
        <w:t xml:space="preserve"> For example, Australia was the first jurisdiction to undertake regulatory action related to urogyn</w:t>
      </w:r>
      <w:r w:rsidR="00206B69">
        <w:t>ae</w:t>
      </w:r>
      <w:r w:rsidR="000350C5">
        <w:t>co</w:t>
      </w:r>
      <w:r>
        <w:t>logical mesh</w:t>
      </w:r>
      <w:r w:rsidR="00266D30">
        <w:t>.</w:t>
      </w:r>
    </w:p>
    <w:p w14:paraId="495DBBD2" w14:textId="77777777" w:rsidR="008C0179" w:rsidRDefault="008C0179" w:rsidP="008C0179"/>
    <w:p w14:paraId="5CADE0F3" w14:textId="2693E351" w:rsidR="00A6413B" w:rsidRPr="00A6413B" w:rsidRDefault="00B37FCE" w:rsidP="00A6413B">
      <w:pPr>
        <w:rPr>
          <w:b/>
          <w:bCs/>
        </w:rPr>
      </w:pPr>
      <w:r>
        <w:rPr>
          <w:b/>
          <w:bCs/>
        </w:rPr>
        <w:t xml:space="preserve">Question Two: </w:t>
      </w:r>
      <w:r w:rsidR="008C0179">
        <w:rPr>
          <w:b/>
          <w:bCs/>
        </w:rPr>
        <w:t>What is the objective of Government action?</w:t>
      </w:r>
    </w:p>
    <w:p w14:paraId="159BB1D5" w14:textId="77777777" w:rsidR="00A6413B" w:rsidRDefault="00A6413B" w:rsidP="00A6413B">
      <w:pPr>
        <w:pStyle w:val="Default"/>
        <w:rPr>
          <w:rFonts w:ascii="Book Antiqua" w:hAnsi="Book Antiqua"/>
          <w:i/>
          <w:iCs/>
        </w:rPr>
      </w:pPr>
      <w:r w:rsidRPr="00A6413B">
        <w:rPr>
          <w:rFonts w:ascii="Book Antiqua" w:hAnsi="Book Antiqua"/>
          <w:i/>
          <w:iCs/>
        </w:rPr>
        <w:t xml:space="preserve">Provide further justification of the need for government intervention. What are some reasons that government intervention is necessary? What evidence is there to justify government intervention as the best way to address the problem? It is not clear on the current barrier to voluntary reporting and how these barriers cannot be overcome without government intervention. If there are alternatives to government intervention (for example, market incentives, sponsors/manufacturers collecting this information), these should be outlined along with any upsides or downsides to these alternatives. </w:t>
      </w:r>
    </w:p>
    <w:p w14:paraId="58A5DAF9" w14:textId="77777777" w:rsidR="00757CBE" w:rsidRDefault="00757CBE" w:rsidP="00A6413B">
      <w:pPr>
        <w:pStyle w:val="Default"/>
        <w:rPr>
          <w:rFonts w:ascii="Book Antiqua" w:hAnsi="Book Antiqua"/>
          <w:i/>
          <w:iCs/>
        </w:rPr>
      </w:pPr>
    </w:p>
    <w:p w14:paraId="146365C1" w14:textId="5DE80656" w:rsidR="005E0286" w:rsidRDefault="005E0286" w:rsidP="001C3262">
      <w:pPr>
        <w:numPr>
          <w:ilvl w:val="0"/>
          <w:numId w:val="3"/>
        </w:numPr>
        <w:spacing w:before="100" w:beforeAutospacing="1" w:after="100" w:afterAutospacing="1"/>
      </w:pPr>
      <w:r>
        <w:t>Government intervention is required to enact the legislative requirement for mandatory reporting of medical device adverse events by healthcare facilities.</w:t>
      </w:r>
    </w:p>
    <w:p w14:paraId="67DB8C95" w14:textId="75BA0B73" w:rsidR="001C3262" w:rsidRDefault="001C3262" w:rsidP="00B67853">
      <w:pPr>
        <w:numPr>
          <w:ilvl w:val="0"/>
          <w:numId w:val="3"/>
        </w:numPr>
        <w:spacing w:before="100" w:beforeAutospacing="1" w:after="100" w:afterAutospacing="1"/>
      </w:pPr>
      <w:r w:rsidRPr="00B67853">
        <w:t xml:space="preserve">As reporting by healthcare facilities has </w:t>
      </w:r>
      <w:r w:rsidR="00B67853">
        <w:t xml:space="preserve">existed only </w:t>
      </w:r>
      <w:r w:rsidRPr="00B67853">
        <w:t>on a voluntary basis, adverse event data captured within hospital systems is infrequently reported to the TGA</w:t>
      </w:r>
      <w:r w:rsidR="005E0286">
        <w:t xml:space="preserve">, with </w:t>
      </w:r>
      <w:r w:rsidR="005E0286" w:rsidRPr="00B67853">
        <w:t xml:space="preserve">sponsor awareness </w:t>
      </w:r>
      <w:r w:rsidR="005E0286">
        <w:t xml:space="preserve">of the </w:t>
      </w:r>
      <w:r w:rsidR="005E0286" w:rsidRPr="00B67853">
        <w:t>event rel</w:t>
      </w:r>
      <w:r w:rsidR="00ED30C3">
        <w:t>iant</w:t>
      </w:r>
      <w:r w:rsidR="005E0286" w:rsidRPr="00B67853">
        <w:t xml:space="preserve"> </w:t>
      </w:r>
      <w:r w:rsidR="005E0286">
        <w:t>up</w:t>
      </w:r>
      <w:r w:rsidR="005E0286" w:rsidRPr="00B67853">
        <w:t>on identification by medical practitioners and patients.</w:t>
      </w:r>
    </w:p>
    <w:p w14:paraId="1C0ED319" w14:textId="453B6EEA" w:rsidR="00EA448D" w:rsidRPr="001C3262" w:rsidRDefault="00B5423F" w:rsidP="00B67853">
      <w:pPr>
        <w:numPr>
          <w:ilvl w:val="0"/>
          <w:numId w:val="3"/>
        </w:numPr>
        <w:spacing w:before="100" w:beforeAutospacing="1" w:after="100" w:afterAutospacing="1"/>
      </w:pPr>
      <w:r>
        <w:t>From 2015 to 2019, the TGA trialled t</w:t>
      </w:r>
      <w:r w:rsidR="00EA448D">
        <w:t>he IRIS InSite voluntary reporting program</w:t>
      </w:r>
      <w:r>
        <w:t>,</w:t>
      </w:r>
      <w:r w:rsidR="00EA448D">
        <w:t xml:space="preserve"> targeted at healthcare professionals</w:t>
      </w:r>
      <w:r>
        <w:t>,</w:t>
      </w:r>
      <w:r w:rsidR="00EA448D">
        <w:t xml:space="preserve"> with the aim of increasing awareness </w:t>
      </w:r>
      <w:r w:rsidR="00ED30C3">
        <w:t xml:space="preserve">of </w:t>
      </w:r>
      <w:r w:rsidR="00EA448D">
        <w:t xml:space="preserve">and improving reporting </w:t>
      </w:r>
      <w:r>
        <w:t>of medical device adverse events</w:t>
      </w:r>
      <w:r w:rsidR="00EA448D">
        <w:t xml:space="preserve">. </w:t>
      </w:r>
      <w:r>
        <w:t>Unfortunately, t</w:t>
      </w:r>
      <w:r w:rsidR="00EA448D">
        <w:t xml:space="preserve">his program did not lead to a sustained increase in reporting levels. </w:t>
      </w:r>
      <w:r w:rsidR="00ED30C3">
        <w:t xml:space="preserve">In considering the </w:t>
      </w:r>
      <w:r w:rsidR="00EA448D">
        <w:t xml:space="preserve">introduction of the mandatory reporting scheme, </w:t>
      </w:r>
      <w:r w:rsidR="00ED30C3">
        <w:t xml:space="preserve">the TGA </w:t>
      </w:r>
      <w:r w:rsidR="00EA448D">
        <w:t xml:space="preserve">reviewed international approaches, particularly in jurisdictions </w:t>
      </w:r>
      <w:r w:rsidR="007E4C8F">
        <w:t>including</w:t>
      </w:r>
      <w:r w:rsidR="00EA448D">
        <w:t xml:space="preserve"> the United States </w:t>
      </w:r>
      <w:r w:rsidR="007E4C8F">
        <w:t xml:space="preserve">of America </w:t>
      </w:r>
      <w:r w:rsidR="00EA448D">
        <w:t>and Canada, where mandatory reporting has resulted in more comprehensive data collection and increase</w:t>
      </w:r>
      <w:r w:rsidR="007E4C8F">
        <w:t>d</w:t>
      </w:r>
      <w:r w:rsidR="00EA448D">
        <w:t xml:space="preserve"> reporting. </w:t>
      </w:r>
      <w:r w:rsidR="004827BC">
        <w:t>As</w:t>
      </w:r>
      <w:r w:rsidR="00EA448D">
        <w:t xml:space="preserve"> previous educational efforts and voluntary measures did not achieve the desired outcomes, and considering successful international models, regulatory intervention was deemed necessary to ensure consistent and reliable reporting practices.</w:t>
      </w:r>
    </w:p>
    <w:p w14:paraId="4D70A6F4" w14:textId="5ED08CC9" w:rsidR="00B67853" w:rsidRDefault="007147EE" w:rsidP="00B67853">
      <w:pPr>
        <w:pStyle w:val="ListParagraph"/>
        <w:numPr>
          <w:ilvl w:val="0"/>
          <w:numId w:val="3"/>
        </w:numPr>
      </w:pPr>
      <w:r w:rsidRPr="00CA7696">
        <w:t xml:space="preserve">The government’s primary objective in implementing mandatory </w:t>
      </w:r>
      <w:r w:rsidR="00A109E3" w:rsidRPr="00CA7696">
        <w:t>reporting</w:t>
      </w:r>
      <w:r w:rsidRPr="00CA7696">
        <w:t xml:space="preserve"> is to enhance patient safety,</w:t>
      </w:r>
      <w:r w:rsidR="000350C5">
        <w:t xml:space="preserve"> through earlier detection of medical device adverse events, and consequential risks arising from their use, in the Australian community. Through earlier intervention, this measure </w:t>
      </w:r>
      <w:r w:rsidR="00B67853">
        <w:t xml:space="preserve">will </w:t>
      </w:r>
      <w:r w:rsidR="000350C5">
        <w:t>assist with</w:t>
      </w:r>
      <w:r w:rsidRPr="00CA7696">
        <w:t xml:space="preserve"> improv</w:t>
      </w:r>
      <w:r w:rsidR="000350C5">
        <w:t>ing</w:t>
      </w:r>
      <w:r w:rsidRPr="00CA7696">
        <w:t xml:space="preserve"> public health outcomes and </w:t>
      </w:r>
      <w:r w:rsidR="000350C5">
        <w:t>reducing unnecessary healthcare interventions</w:t>
      </w:r>
      <w:r w:rsidR="00B67853">
        <w:t>.</w:t>
      </w:r>
    </w:p>
    <w:p w14:paraId="552A7315" w14:textId="5443D958" w:rsidR="00FA5A9E" w:rsidRDefault="00FA5A9E" w:rsidP="00B67853">
      <w:pPr>
        <w:pStyle w:val="ListParagraph"/>
        <w:numPr>
          <w:ilvl w:val="0"/>
          <w:numId w:val="3"/>
        </w:numPr>
      </w:pPr>
      <w:r>
        <w:t>O</w:t>
      </w:r>
      <w:r w:rsidRPr="00FA5A9E">
        <w:t>n 21 March 2023</w:t>
      </w:r>
      <w:r>
        <w:t xml:space="preserve"> the </w:t>
      </w:r>
      <w:r w:rsidRPr="00E141E9">
        <w:rPr>
          <w:i/>
          <w:iCs/>
        </w:rPr>
        <w:t>Therapeutic Goods Amendment (2022 Measures No. 1) Bill 2022</w:t>
      </w:r>
      <w:r>
        <w:t xml:space="preserve"> was</w:t>
      </w:r>
      <w:r w:rsidRPr="00FA5A9E">
        <w:t xml:space="preserve"> passed</w:t>
      </w:r>
      <w:r>
        <w:t>,</w:t>
      </w:r>
      <w:r w:rsidRPr="00FA5A9E">
        <w:t xml:space="preserve"> making it mandatory for Australian public and private hospitals and any other health facilities (prescribed by regulations) to report medical devices related adverse events to the TGA</w:t>
      </w:r>
      <w:r w:rsidR="00206B69">
        <w:t>.</w:t>
      </w:r>
    </w:p>
    <w:p w14:paraId="16E9568D" w14:textId="01B5DF94" w:rsidR="00FA5A9E" w:rsidRPr="00FA5A9E" w:rsidRDefault="007147EE" w:rsidP="00DF42BB">
      <w:pPr>
        <w:pStyle w:val="ListParagraph"/>
        <w:numPr>
          <w:ilvl w:val="0"/>
          <w:numId w:val="3"/>
        </w:numPr>
        <w:rPr>
          <w:b/>
          <w:bCs/>
        </w:rPr>
      </w:pPr>
      <w:r w:rsidRPr="00CA7696">
        <w:t xml:space="preserve">Mandatory </w:t>
      </w:r>
      <w:r w:rsidR="00A109E3" w:rsidRPr="00CA7696">
        <w:t>reporting</w:t>
      </w:r>
      <w:r w:rsidRPr="00CA7696">
        <w:t xml:space="preserve"> </w:t>
      </w:r>
      <w:r w:rsidR="00FA5A9E">
        <w:t xml:space="preserve">by healthcare facilities </w:t>
      </w:r>
      <w:r w:rsidRPr="00CA7696">
        <w:t xml:space="preserve">seeks to address the </w:t>
      </w:r>
      <w:r w:rsidR="00FA5A9E">
        <w:t xml:space="preserve">issue of </w:t>
      </w:r>
      <w:r w:rsidRPr="00CA7696">
        <w:t xml:space="preserve">significant </w:t>
      </w:r>
      <w:r w:rsidR="00FA5A9E">
        <w:t>under-reporting</w:t>
      </w:r>
      <w:r w:rsidR="003E2BBC">
        <w:t>. Underreporting occurs</w:t>
      </w:r>
      <w:r w:rsidR="00FA5A9E">
        <w:t xml:space="preserve"> due to </w:t>
      </w:r>
      <w:r w:rsidRPr="00CA7696">
        <w:t xml:space="preserve">the </w:t>
      </w:r>
      <w:r w:rsidR="00A109E3" w:rsidRPr="00CA7696">
        <w:t>current</w:t>
      </w:r>
      <w:r w:rsidRPr="00CA7696">
        <w:t xml:space="preserve"> voluntary system of </w:t>
      </w:r>
      <w:r w:rsidR="00A109E3" w:rsidRPr="00CA7696">
        <w:t>reporting</w:t>
      </w:r>
      <w:r w:rsidRPr="00CA7696">
        <w:t xml:space="preserve"> for healthcare facilities</w:t>
      </w:r>
      <w:r w:rsidR="00DF42BB">
        <w:t xml:space="preserve">, </w:t>
      </w:r>
      <w:r w:rsidR="004F04E7" w:rsidRPr="00DF42BB">
        <w:rPr>
          <w:rFonts w:cs="Arial"/>
        </w:rPr>
        <w:t xml:space="preserve">which </w:t>
      </w:r>
      <w:r w:rsidR="00FA5A9E">
        <w:rPr>
          <w:rFonts w:cs="Arial"/>
        </w:rPr>
        <w:t xml:space="preserve">has </w:t>
      </w:r>
      <w:r w:rsidR="003E2BBC">
        <w:rPr>
          <w:rFonts w:cs="Arial"/>
        </w:rPr>
        <w:t>contributed</w:t>
      </w:r>
      <w:r w:rsidR="00FA5A9E">
        <w:rPr>
          <w:rFonts w:cs="Arial"/>
        </w:rPr>
        <w:t xml:space="preserve"> to the </w:t>
      </w:r>
      <w:r w:rsidR="004F04E7" w:rsidRPr="00DF42BB">
        <w:rPr>
          <w:rFonts w:cs="Arial"/>
        </w:rPr>
        <w:t xml:space="preserve">delay </w:t>
      </w:r>
      <w:r w:rsidR="00FA5A9E">
        <w:rPr>
          <w:rFonts w:cs="Arial"/>
        </w:rPr>
        <w:t xml:space="preserve">in </w:t>
      </w:r>
      <w:r w:rsidR="004F04E7" w:rsidRPr="00DF42BB">
        <w:rPr>
          <w:rFonts w:cs="Arial"/>
        </w:rPr>
        <w:t>detection of long-term safety issues.</w:t>
      </w:r>
    </w:p>
    <w:p w14:paraId="5DD27764" w14:textId="4B579901" w:rsidR="000350C5" w:rsidRPr="00B67853" w:rsidRDefault="000234DC" w:rsidP="00DF42BB">
      <w:pPr>
        <w:pStyle w:val="ListParagraph"/>
        <w:numPr>
          <w:ilvl w:val="0"/>
          <w:numId w:val="3"/>
        </w:numPr>
        <w:rPr>
          <w:b/>
          <w:bCs/>
        </w:rPr>
      </w:pPr>
      <w:r>
        <w:lastRenderedPageBreak/>
        <w:t xml:space="preserve">A formalised mandatory reporting system for sponsors and manufacturers was introduced by the TGA with the </w:t>
      </w:r>
      <w:r>
        <w:rPr>
          <w:i/>
          <w:iCs/>
        </w:rPr>
        <w:t xml:space="preserve">Therapeutic Goods (Medical Devices) Regulations </w:t>
      </w:r>
      <w:r w:rsidRPr="00B67853">
        <w:rPr>
          <w:i/>
          <w:iCs/>
        </w:rPr>
        <w:t>2002</w:t>
      </w:r>
      <w:r w:rsidR="000350C5" w:rsidRPr="00B67853">
        <w:rPr>
          <w:i/>
          <w:iCs/>
        </w:rPr>
        <w:t>.</w:t>
      </w:r>
    </w:p>
    <w:p w14:paraId="03864671" w14:textId="141AE57F" w:rsidR="00F4145D" w:rsidRPr="00B67853" w:rsidRDefault="00E141E9" w:rsidP="00E141E9">
      <w:pPr>
        <w:pStyle w:val="ListParagraph"/>
        <w:numPr>
          <w:ilvl w:val="0"/>
          <w:numId w:val="3"/>
        </w:numPr>
      </w:pPr>
      <w:r w:rsidRPr="00B67853">
        <w:t>The</w:t>
      </w:r>
      <w:r>
        <w:t xml:space="preserve"> Senate</w:t>
      </w:r>
      <w:r w:rsidRPr="00B67853">
        <w:t xml:space="preserve"> </w:t>
      </w:r>
      <w:r>
        <w:t>Inquiry</w:t>
      </w:r>
      <w:r w:rsidRPr="00B67853">
        <w:t xml:space="preserve"> identified limited awareness amongst consumers and healthcare practitioners about adverse event reporting.</w:t>
      </w:r>
      <w:r>
        <w:t xml:space="preserve"> </w:t>
      </w:r>
      <w:r w:rsidR="00D86507">
        <w:t>Despite efforts to enhance voluntary reporting</w:t>
      </w:r>
      <w:r>
        <w:t xml:space="preserve"> in other settings</w:t>
      </w:r>
      <w:r w:rsidR="003E2BBC">
        <w:t xml:space="preserve"> including </w:t>
      </w:r>
      <w:r w:rsidR="00D86507">
        <w:t>e</w:t>
      </w:r>
      <w:r w:rsidR="0065305F">
        <w:t xml:space="preserve">ducation </w:t>
      </w:r>
      <w:r w:rsidR="00D86507">
        <w:t xml:space="preserve">initiatives, </w:t>
      </w:r>
      <w:r w:rsidR="0065305F">
        <w:t xml:space="preserve">a pilot program </w:t>
      </w:r>
      <w:r w:rsidR="00A109E3">
        <w:t>with voluntary participation from jurisdictions,</w:t>
      </w:r>
      <w:r w:rsidR="00B0799A">
        <w:t xml:space="preserve"> </w:t>
      </w:r>
      <w:r w:rsidR="00D86507">
        <w:t xml:space="preserve">and introduction of streamlined reporting tools, </w:t>
      </w:r>
      <w:r w:rsidR="008B612F" w:rsidRPr="008B612F">
        <w:t>limited evidence of sustained improvements to medical device adverse event reporting</w:t>
      </w:r>
      <w:r w:rsidR="003E2BBC">
        <w:t xml:space="preserve"> remains an issue</w:t>
      </w:r>
      <w:r w:rsidR="008B612F" w:rsidRPr="008B612F">
        <w:t>.</w:t>
      </w:r>
      <w:r w:rsidR="00CD55D5">
        <w:t xml:space="preserve"> </w:t>
      </w:r>
      <w:r>
        <w:t xml:space="preserve"> </w:t>
      </w:r>
    </w:p>
    <w:p w14:paraId="07C7AA0C" w14:textId="77777777" w:rsidR="00FA5A9E" w:rsidRPr="00FA5A9E" w:rsidRDefault="00BB0C08" w:rsidP="008B612F">
      <w:pPr>
        <w:pStyle w:val="ListParagraph"/>
        <w:numPr>
          <w:ilvl w:val="0"/>
          <w:numId w:val="3"/>
        </w:numPr>
      </w:pPr>
      <w:r>
        <w:t xml:space="preserve">Government intervention is required </w:t>
      </w:r>
      <w:r w:rsidR="00E13F6B">
        <w:t xml:space="preserve">to enable </w:t>
      </w:r>
      <w:r w:rsidR="00E13F6B" w:rsidRPr="007E0F0A">
        <w:rPr>
          <w:rFonts w:cs="Arial"/>
        </w:rPr>
        <w:t>rapid information sharing between health care facilities and the TGA to address safety concerns with medical devices.</w:t>
      </w:r>
    </w:p>
    <w:p w14:paraId="5A39E56C" w14:textId="088E7618" w:rsidR="00863F2F" w:rsidRPr="00220B33" w:rsidRDefault="00B51836" w:rsidP="008B612F">
      <w:pPr>
        <w:pStyle w:val="ListParagraph"/>
        <w:numPr>
          <w:ilvl w:val="0"/>
          <w:numId w:val="3"/>
        </w:numPr>
      </w:pPr>
      <w:r>
        <w:rPr>
          <w:rFonts w:cs="Arial"/>
        </w:rPr>
        <w:t>The IA has been revised to provide additional details and further clarify the barriers posed by the voluntary reporting system, the limitations of reliance on overseas data</w:t>
      </w:r>
      <w:r w:rsidR="00FA5A9E">
        <w:rPr>
          <w:rFonts w:cs="Arial"/>
        </w:rPr>
        <w:t>,</w:t>
      </w:r>
      <w:r>
        <w:rPr>
          <w:rFonts w:cs="Arial"/>
        </w:rPr>
        <w:t xml:space="preserve"> and the rationale for transitioning to a mandatory reporting framework.</w:t>
      </w:r>
    </w:p>
    <w:p w14:paraId="5A01FC3A" w14:textId="252E65BD" w:rsidR="00220B33" w:rsidRDefault="00220B33" w:rsidP="008B612F">
      <w:pPr>
        <w:pStyle w:val="ListParagraph"/>
        <w:numPr>
          <w:ilvl w:val="0"/>
          <w:numId w:val="3"/>
        </w:numPr>
      </w:pPr>
      <w:r w:rsidRPr="00220B33">
        <w:t xml:space="preserve">The collection and centralised storage of national data </w:t>
      </w:r>
      <w:r w:rsidR="00B16517">
        <w:t xml:space="preserve">are </w:t>
      </w:r>
      <w:r w:rsidRPr="00220B33">
        <w:t>critical to the early identification of trends and empower informed decision making to undertake public health actions</w:t>
      </w:r>
      <w:r w:rsidR="00B67853">
        <w:t xml:space="preserve"> - t</w:t>
      </w:r>
      <w:r w:rsidRPr="00220B33">
        <w:t>he result</w:t>
      </w:r>
      <w:r w:rsidR="00B16517">
        <w:t>s</w:t>
      </w:r>
      <w:r w:rsidRPr="00220B33">
        <w:t xml:space="preserve"> of which aim to deliver beneficial</w:t>
      </w:r>
      <w:r w:rsidR="00B67853">
        <w:t xml:space="preserve"> and </w:t>
      </w:r>
      <w:r w:rsidRPr="00220B33">
        <w:t>equitable health outcomes.</w:t>
      </w:r>
    </w:p>
    <w:p w14:paraId="6D0DCE5C" w14:textId="77777777" w:rsidR="00DF42BB" w:rsidRDefault="00DF42BB" w:rsidP="00AB0823">
      <w:pPr>
        <w:pStyle w:val="Default"/>
        <w:rPr>
          <w:rFonts w:ascii="Book Antiqua" w:hAnsi="Book Antiqua"/>
          <w:i/>
          <w:iCs/>
        </w:rPr>
      </w:pPr>
    </w:p>
    <w:p w14:paraId="3E3F084C" w14:textId="608F1B0E" w:rsidR="00AB0823" w:rsidRPr="00AB0823" w:rsidRDefault="00AB0823" w:rsidP="00AB0823">
      <w:pPr>
        <w:pStyle w:val="Default"/>
        <w:rPr>
          <w:rFonts w:ascii="Book Antiqua" w:hAnsi="Book Antiqua"/>
          <w:i/>
          <w:iCs/>
        </w:rPr>
      </w:pPr>
      <w:r w:rsidRPr="00AB0823">
        <w:rPr>
          <w:rFonts w:ascii="Book Antiqua" w:hAnsi="Book Antiqua"/>
          <w:i/>
          <w:iCs/>
        </w:rPr>
        <w:t xml:space="preserve">Describe barriers and constraints to government action, and actions to address. </w:t>
      </w:r>
    </w:p>
    <w:p w14:paraId="132E1198" w14:textId="63ED03E2" w:rsidR="00AB0823" w:rsidRPr="00AB0823" w:rsidRDefault="00AB0823" w:rsidP="006F2FF1">
      <w:pPr>
        <w:pStyle w:val="Default"/>
        <w:numPr>
          <w:ilvl w:val="0"/>
          <w:numId w:val="29"/>
        </w:numPr>
        <w:spacing w:after="84"/>
        <w:rPr>
          <w:rFonts w:ascii="Book Antiqua" w:hAnsi="Book Antiqua" w:cs="Courier New"/>
          <w:i/>
          <w:iCs/>
        </w:rPr>
      </w:pPr>
      <w:r w:rsidRPr="00AB0823">
        <w:rPr>
          <w:rFonts w:ascii="Book Antiqua" w:hAnsi="Book Antiqua" w:cs="Courier New"/>
          <w:i/>
          <w:iCs/>
        </w:rPr>
        <w:t xml:space="preserve">For example, what if patients choose not to share this sensitive information with the TGA? </w:t>
      </w:r>
    </w:p>
    <w:p w14:paraId="6965C0B8" w14:textId="16BADAEF" w:rsidR="00AB0823" w:rsidRDefault="00AB0823" w:rsidP="006F2FF1">
      <w:pPr>
        <w:pStyle w:val="Default"/>
        <w:numPr>
          <w:ilvl w:val="0"/>
          <w:numId w:val="29"/>
        </w:numPr>
        <w:rPr>
          <w:rFonts w:ascii="Book Antiqua" w:hAnsi="Book Antiqua" w:cs="Courier New"/>
          <w:i/>
          <w:iCs/>
        </w:rPr>
      </w:pPr>
      <w:r w:rsidRPr="00AB0823">
        <w:rPr>
          <w:rFonts w:ascii="Book Antiqua" w:hAnsi="Book Antiqua" w:cs="Courier New"/>
          <w:i/>
          <w:iCs/>
        </w:rPr>
        <w:t xml:space="preserve">This should include an analysis of the government capacity to successfully intervene, including any limitations in funding, skills and resources. If the number of reports made to the TGA increases drastically, will it have the resources to process these reports? </w:t>
      </w:r>
    </w:p>
    <w:p w14:paraId="6FDA2845" w14:textId="77777777" w:rsidR="004A3BFE" w:rsidRPr="00AB0823" w:rsidRDefault="004A3BFE" w:rsidP="00AB0823">
      <w:pPr>
        <w:pStyle w:val="Default"/>
        <w:ind w:left="720"/>
        <w:rPr>
          <w:rFonts w:ascii="Book Antiqua" w:hAnsi="Book Antiqua" w:cs="Courier New"/>
          <w:i/>
          <w:iCs/>
        </w:rPr>
      </w:pPr>
    </w:p>
    <w:p w14:paraId="1DC406E1" w14:textId="0001DC28" w:rsidR="004A3BFE" w:rsidRDefault="005E0286" w:rsidP="004A3BFE">
      <w:pPr>
        <w:pStyle w:val="ListParagraph"/>
        <w:numPr>
          <w:ilvl w:val="0"/>
          <w:numId w:val="3"/>
        </w:numPr>
      </w:pPr>
      <w:r>
        <w:t xml:space="preserve">The primary </w:t>
      </w:r>
      <w:r w:rsidR="004A3BFE" w:rsidRPr="008B612F">
        <w:t>barrier</w:t>
      </w:r>
      <w:r w:rsidR="003E2BBC">
        <w:t>s</w:t>
      </w:r>
      <w:r>
        <w:t xml:space="preserve"> to government action </w:t>
      </w:r>
      <w:r w:rsidR="003E2BBC">
        <w:t>are</w:t>
      </w:r>
      <w:r>
        <w:t xml:space="preserve"> the current </w:t>
      </w:r>
      <w:r w:rsidR="004A3BFE" w:rsidRPr="008B612F">
        <w:t xml:space="preserve">lack of awareness </w:t>
      </w:r>
      <w:r w:rsidR="008B4A3F">
        <w:t xml:space="preserve">among healthcare professionals </w:t>
      </w:r>
      <w:r w:rsidR="00F83700">
        <w:t xml:space="preserve">about </w:t>
      </w:r>
      <w:r w:rsidR="004A3BFE" w:rsidRPr="008B612F">
        <w:t xml:space="preserve">reporting mechanisms and </w:t>
      </w:r>
      <w:r>
        <w:t xml:space="preserve">the </w:t>
      </w:r>
      <w:r w:rsidR="004A3BFE" w:rsidRPr="008B612F">
        <w:t xml:space="preserve">difficulty </w:t>
      </w:r>
      <w:r>
        <w:t xml:space="preserve">in </w:t>
      </w:r>
      <w:r w:rsidR="004A3BFE" w:rsidRPr="008B612F">
        <w:t xml:space="preserve">navigating complex reporting systems. </w:t>
      </w:r>
    </w:p>
    <w:p w14:paraId="7189BE16" w14:textId="15A312F0" w:rsidR="005E0286" w:rsidRDefault="002A74DA" w:rsidP="004A3BFE">
      <w:pPr>
        <w:pStyle w:val="ListParagraph"/>
        <w:numPr>
          <w:ilvl w:val="0"/>
          <w:numId w:val="3"/>
        </w:numPr>
      </w:pPr>
      <w:r>
        <w:t>The TGA has undertaken extensive consultation with all Australian jurisdictions, and private, and day hospitals on the upcoming mandate of reporting by healthcare facilities (outlined further within the Impact Assessment) which will be ongoing throughout implementation.</w:t>
      </w:r>
    </w:p>
    <w:p w14:paraId="0B7B125E" w14:textId="2064F950" w:rsidR="00E80056" w:rsidRDefault="002A74DA" w:rsidP="00E80056">
      <w:pPr>
        <w:pStyle w:val="ListParagraph"/>
        <w:numPr>
          <w:ilvl w:val="0"/>
          <w:numId w:val="3"/>
        </w:numPr>
      </w:pPr>
      <w:bookmarkStart w:id="4" w:name="_Hlk184817142"/>
      <w:r>
        <w:t>No sensitive patient information will be handled by the TGA as t</w:t>
      </w:r>
      <w:r w:rsidR="00E80056">
        <w:t>he mandatory</w:t>
      </w:r>
      <w:r w:rsidR="00E80056" w:rsidRPr="00466C3F">
        <w:t xml:space="preserve"> reporting scheme </w:t>
      </w:r>
      <w:r w:rsidR="00E80056">
        <w:t xml:space="preserve">only </w:t>
      </w:r>
      <w:r w:rsidR="00E80056" w:rsidRPr="00466C3F">
        <w:t>requires deidentified data</w:t>
      </w:r>
      <w:r w:rsidR="002F3030">
        <w:t>. This is</w:t>
      </w:r>
      <w:r w:rsidR="00E80056" w:rsidRPr="00466C3F">
        <w:t xml:space="preserve"> </w:t>
      </w:r>
      <w:r w:rsidR="00FA5A9E">
        <w:t xml:space="preserve">an approach </w:t>
      </w:r>
      <w:r w:rsidR="002F3030">
        <w:t>aligned</w:t>
      </w:r>
      <w:r w:rsidR="00E80056" w:rsidRPr="00466C3F">
        <w:t xml:space="preserve"> with jurisdictional privacy laws</w:t>
      </w:r>
      <w:r w:rsidR="00FA5A9E">
        <w:t xml:space="preserve"> and</w:t>
      </w:r>
      <w:r w:rsidR="00E80056" w:rsidRPr="00466C3F">
        <w:t xml:space="preserve"> safeguard</w:t>
      </w:r>
      <w:r w:rsidR="00FA5A9E">
        <w:t>s</w:t>
      </w:r>
      <w:r w:rsidR="00E80056" w:rsidRPr="00466C3F">
        <w:t xml:space="preserve"> sensitive information</w:t>
      </w:r>
      <w:r w:rsidR="00FA5A9E">
        <w:t>,</w:t>
      </w:r>
      <w:r w:rsidR="00E80056" w:rsidRPr="00466C3F">
        <w:t xml:space="preserve"> while enabling effective regulatory oversight.</w:t>
      </w:r>
    </w:p>
    <w:p w14:paraId="5EA8032E" w14:textId="05B3946A" w:rsidR="00E4301A" w:rsidRDefault="00E4301A" w:rsidP="00E80056">
      <w:pPr>
        <w:pStyle w:val="ListParagraph"/>
        <w:numPr>
          <w:ilvl w:val="0"/>
          <w:numId w:val="3"/>
        </w:numPr>
      </w:pPr>
      <w:r>
        <w:t xml:space="preserve">The implementation of mandatory reporting </w:t>
      </w:r>
      <w:r w:rsidR="00FA5A9E">
        <w:t xml:space="preserve">by healthcare facilities </w:t>
      </w:r>
      <w:r>
        <w:t xml:space="preserve">is expected to result in a significant increase in the number of reports received by the TGA, which will have downstream impacts on workload and resource demands. </w:t>
      </w:r>
      <w:r w:rsidR="00674298">
        <w:t xml:space="preserve">This will be managed through IT changes for data ingestion </w:t>
      </w:r>
      <w:r>
        <w:t xml:space="preserve">and streamlined reporting processes. </w:t>
      </w:r>
      <w:r w:rsidR="002F3030">
        <w:br/>
      </w:r>
      <w:r w:rsidR="002F3030">
        <w:br/>
      </w:r>
      <w:r>
        <w:t xml:space="preserve">As the scheme matures, </w:t>
      </w:r>
      <w:r w:rsidR="002F3030">
        <w:t xml:space="preserve">it is expected </w:t>
      </w:r>
      <w:r>
        <w:t>much of the data transfer</w:t>
      </w:r>
      <w:r w:rsidR="00390C43">
        <w:t xml:space="preserve"> and analysis </w:t>
      </w:r>
      <w:r w:rsidR="002F3030">
        <w:t>will be</w:t>
      </w:r>
      <w:r w:rsidR="00390C43">
        <w:t xml:space="preserve"> facilitated through automated gateways, significantly reducing manual efforts and minimising operational burden. These advancements will allow </w:t>
      </w:r>
      <w:r w:rsidR="00390C43">
        <w:lastRenderedPageBreak/>
        <w:t>the TGA to handle higher report volumes efficiently while maintaining high-quality data analysis and decision</w:t>
      </w:r>
      <w:r w:rsidR="00CA7696">
        <w:t>-</w:t>
      </w:r>
      <w:r w:rsidR="00390C43">
        <w:t xml:space="preserve">making processes. </w:t>
      </w:r>
    </w:p>
    <w:p w14:paraId="6097D336" w14:textId="0F7626AB" w:rsidR="000F08D9" w:rsidRDefault="000F08D9" w:rsidP="00E80056">
      <w:pPr>
        <w:pStyle w:val="ListParagraph"/>
        <w:numPr>
          <w:ilvl w:val="0"/>
          <w:numId w:val="3"/>
        </w:numPr>
      </w:pPr>
      <w:r>
        <w:t xml:space="preserve">The IA included details of the anticipated operational expenses for the TGA, accounting for the increased reporting volumes and implementation of modernised reporting systems. </w:t>
      </w:r>
    </w:p>
    <w:bookmarkEnd w:id="4"/>
    <w:p w14:paraId="142FCE36" w14:textId="77777777" w:rsidR="0025183D" w:rsidRPr="0025183D" w:rsidRDefault="0025183D" w:rsidP="0025183D"/>
    <w:p w14:paraId="58F4F1FD" w14:textId="77777777" w:rsidR="00A81139" w:rsidRDefault="0025183D" w:rsidP="00A81139">
      <w:pPr>
        <w:rPr>
          <w:i/>
          <w:iCs/>
        </w:rPr>
      </w:pPr>
      <w:r w:rsidRPr="00A81139">
        <w:rPr>
          <w:i/>
          <w:iCs/>
        </w:rPr>
        <w:t xml:space="preserve">Outline the problem/benefit with relying on overseas reporting on defective medical devices in lieu of domestic reporting (including the share of approved medical devices are unique to Australia). </w:t>
      </w:r>
    </w:p>
    <w:p w14:paraId="5D4B1100" w14:textId="77777777" w:rsidR="001D6CBF" w:rsidRDefault="001D6CBF" w:rsidP="00A81139">
      <w:pPr>
        <w:rPr>
          <w:i/>
          <w:iCs/>
        </w:rPr>
      </w:pPr>
    </w:p>
    <w:p w14:paraId="29E5A550" w14:textId="2B63D469" w:rsidR="0041458B" w:rsidRPr="0041458B" w:rsidRDefault="0041458B" w:rsidP="008B057D">
      <w:pPr>
        <w:pStyle w:val="ListParagraph"/>
        <w:numPr>
          <w:ilvl w:val="0"/>
          <w:numId w:val="25"/>
        </w:numPr>
      </w:pPr>
      <w:r w:rsidRPr="004827BC">
        <w:t>Countries like the USA</w:t>
      </w:r>
      <w:r>
        <w:t xml:space="preserve"> </w:t>
      </w:r>
      <w:r w:rsidRPr="004827BC">
        <w:t xml:space="preserve">and Canada have mandated that healthcare facilities report any </w:t>
      </w:r>
      <w:r w:rsidR="004827BC">
        <w:t xml:space="preserve">adverse </w:t>
      </w:r>
      <w:r w:rsidRPr="004827BC">
        <w:t>events</w:t>
      </w:r>
      <w:r w:rsidR="004827BC">
        <w:t xml:space="preserve"> that were</w:t>
      </w:r>
      <w:r w:rsidRPr="004827BC">
        <w:t xml:space="preserve"> potentially caused by medical devices. These mandates </w:t>
      </w:r>
      <w:r>
        <w:t xml:space="preserve">have </w:t>
      </w:r>
      <w:r w:rsidRPr="0041458B">
        <w:t>led to an increase in reporting</w:t>
      </w:r>
      <w:r>
        <w:t xml:space="preserve"> of adverse events and have enhanced</w:t>
      </w:r>
      <w:r w:rsidRPr="0041458B">
        <w:t xml:space="preserve"> the quality of reports submitted to regulators, particularly for specific medical devices that individual healthcare professionals might not have access to at the time of incident notification. They also provide healthcare facilities with greater flexibility in allocating resources to report adverse events and are less burdensome than requiring individual healthcare practitioners to report these events.</w:t>
      </w:r>
    </w:p>
    <w:p w14:paraId="372856C7" w14:textId="41ACBE90" w:rsidR="0033132B" w:rsidRPr="00B67853" w:rsidRDefault="0033132B" w:rsidP="008B057D">
      <w:pPr>
        <w:pStyle w:val="ListParagraph"/>
        <w:numPr>
          <w:ilvl w:val="0"/>
          <w:numId w:val="25"/>
        </w:numPr>
        <w:rPr>
          <w:i/>
          <w:iCs/>
        </w:rPr>
      </w:pPr>
      <w:r w:rsidRPr="00B67853">
        <w:t>Overseas reporting data</w:t>
      </w:r>
      <w:r w:rsidR="0041458B">
        <w:t xml:space="preserve">, however, </w:t>
      </w:r>
      <w:r w:rsidRPr="00B67853">
        <w:t>cannot directly inform the regulatory action within Australia and can</w:t>
      </w:r>
      <w:r>
        <w:t xml:space="preserve"> only be used as supplementary source to enhance the TGA’s signal detection capabilities.</w:t>
      </w:r>
      <w:r w:rsidR="00220B33">
        <w:t xml:space="preserve"> </w:t>
      </w:r>
      <w:r w:rsidR="00220B33" w:rsidRPr="00220B33">
        <w:t>Australia is a small proportion of the global market,</w:t>
      </w:r>
      <w:r w:rsidR="00333EE0">
        <w:t xml:space="preserve"> with</w:t>
      </w:r>
      <w:r w:rsidR="00220B33" w:rsidRPr="00220B33">
        <w:t xml:space="preserve"> global actions and signals </w:t>
      </w:r>
      <w:r w:rsidR="00333EE0">
        <w:t xml:space="preserve">assisting to </w:t>
      </w:r>
      <w:r w:rsidR="00220B33" w:rsidRPr="00220B33">
        <w:t>provide early warning</w:t>
      </w:r>
      <w:r w:rsidR="00333EE0">
        <w:t>s</w:t>
      </w:r>
      <w:r w:rsidR="00220B33" w:rsidRPr="00220B33">
        <w:t xml:space="preserve"> of potential issues</w:t>
      </w:r>
      <w:r w:rsidR="00220B33">
        <w:t>.</w:t>
      </w:r>
    </w:p>
    <w:p w14:paraId="352DC808" w14:textId="376BA1BB" w:rsidR="008B057D" w:rsidRPr="00203FDF" w:rsidRDefault="006F05C5" w:rsidP="008B057D">
      <w:pPr>
        <w:pStyle w:val="ListParagraph"/>
        <w:numPr>
          <w:ilvl w:val="0"/>
          <w:numId w:val="25"/>
        </w:numPr>
        <w:rPr>
          <w:i/>
          <w:iCs/>
        </w:rPr>
      </w:pPr>
      <w:r>
        <w:t>O</w:t>
      </w:r>
      <w:r w:rsidR="00A51D86">
        <w:t>versea</w:t>
      </w:r>
      <w:r>
        <w:t>s reporting can be useful in de</w:t>
      </w:r>
      <w:r w:rsidR="00203FDF">
        <w:t>t</w:t>
      </w:r>
      <w:r>
        <w:t xml:space="preserve">ecting broader trends </w:t>
      </w:r>
      <w:r w:rsidR="00203FDF">
        <w:t xml:space="preserve">such as increased performance issues or adverse events associated with a particular category of devices. </w:t>
      </w:r>
    </w:p>
    <w:p w14:paraId="3DA373AA" w14:textId="24AADB9C" w:rsidR="00203FDF" w:rsidRPr="007F115B" w:rsidRDefault="000F08D9" w:rsidP="008B057D">
      <w:pPr>
        <w:pStyle w:val="ListParagraph"/>
        <w:numPr>
          <w:ilvl w:val="0"/>
          <w:numId w:val="25"/>
        </w:numPr>
        <w:rPr>
          <w:i/>
          <w:iCs/>
        </w:rPr>
      </w:pPr>
      <w:r>
        <w:t>However, t</w:t>
      </w:r>
      <w:r w:rsidR="00203FDF">
        <w:t xml:space="preserve">he </w:t>
      </w:r>
      <w:r w:rsidR="00C45635">
        <w:t xml:space="preserve">TGA is limited in its </w:t>
      </w:r>
      <w:r w:rsidR="00E318B8">
        <w:t xml:space="preserve">regulatory jurisdiction and does not have the authority to act on </w:t>
      </w:r>
      <w:r w:rsidR="007162AC">
        <w:t xml:space="preserve">events occurring outside of Australia. </w:t>
      </w:r>
    </w:p>
    <w:p w14:paraId="16F6224C" w14:textId="3FDE41FA" w:rsidR="00D168C3" w:rsidRDefault="007F115B" w:rsidP="00D168C3">
      <w:pPr>
        <w:pStyle w:val="ListParagraph"/>
        <w:numPr>
          <w:ilvl w:val="0"/>
          <w:numId w:val="25"/>
        </w:numPr>
      </w:pPr>
      <w:r w:rsidRPr="007F115B">
        <w:t>Regulatory actions in Australia must be based on domestic data and comply with the</w:t>
      </w:r>
      <w:r w:rsidR="00674298">
        <w:t xml:space="preserve"> </w:t>
      </w:r>
      <w:r w:rsidR="00674298" w:rsidRPr="00B67853">
        <w:rPr>
          <w:i/>
          <w:iCs/>
        </w:rPr>
        <w:t>Therapeutic Goods Act 1989</w:t>
      </w:r>
      <w:r w:rsidRPr="007F115B">
        <w:t>. Overseas reports may not align with Australian conditions due to differences in healthcare systems, patient populations, and regulatory frameworks</w:t>
      </w:r>
      <w:r w:rsidR="00D168C3">
        <w:t>.</w:t>
      </w:r>
      <w:r w:rsidR="00B5423F" w:rsidRPr="00B5423F">
        <w:t xml:space="preserve"> </w:t>
      </w:r>
      <w:r w:rsidR="00B5423F">
        <w:t>In addition, the international reports may relate to models of devices that are not supplied in Australia.</w:t>
      </w:r>
    </w:p>
    <w:p w14:paraId="4C133924" w14:textId="4A5D5351" w:rsidR="00D168C3" w:rsidRPr="007F115B" w:rsidRDefault="00D168C3" w:rsidP="00B67853">
      <w:pPr>
        <w:ind w:left="360"/>
      </w:pPr>
    </w:p>
    <w:p w14:paraId="57AE0048" w14:textId="77777777" w:rsidR="0033136E" w:rsidRDefault="0033136E" w:rsidP="00E42C4C"/>
    <w:p w14:paraId="35A8CEAE" w14:textId="05C3765D" w:rsidR="00E42C4C" w:rsidRDefault="00301E56" w:rsidP="00E42C4C">
      <w:pPr>
        <w:rPr>
          <w:b/>
          <w:bCs/>
        </w:rPr>
      </w:pPr>
      <w:r>
        <w:rPr>
          <w:b/>
          <w:bCs/>
        </w:rPr>
        <w:t xml:space="preserve">Question Three: </w:t>
      </w:r>
      <w:r w:rsidR="00E42C4C">
        <w:rPr>
          <w:b/>
          <w:bCs/>
        </w:rPr>
        <w:t>Options</w:t>
      </w:r>
    </w:p>
    <w:p w14:paraId="2E715F3C" w14:textId="77777777" w:rsidR="00D62597" w:rsidRPr="00D62597" w:rsidRDefault="00D62597" w:rsidP="00D62597">
      <w:pPr>
        <w:rPr>
          <w:i/>
          <w:iCs/>
        </w:rPr>
      </w:pPr>
      <w:r w:rsidRPr="00D62597">
        <w:rPr>
          <w:i/>
          <w:iCs/>
        </w:rPr>
        <w:t xml:space="preserve">It would be helpful to discuss any discarded options. </w:t>
      </w:r>
    </w:p>
    <w:p w14:paraId="37ED69D2" w14:textId="77777777" w:rsidR="00D62597" w:rsidRDefault="00D62597" w:rsidP="00E42C4C">
      <w:pPr>
        <w:rPr>
          <w:b/>
          <w:bCs/>
        </w:rPr>
      </w:pPr>
    </w:p>
    <w:p w14:paraId="5E502A3F" w14:textId="77777777" w:rsidR="002A74DA" w:rsidRDefault="00AD0FDF" w:rsidP="00E42C4C">
      <w:pPr>
        <w:pStyle w:val="ListParagraph"/>
        <w:numPr>
          <w:ilvl w:val="0"/>
          <w:numId w:val="4"/>
        </w:numPr>
      </w:pPr>
      <w:r>
        <w:t>Discarded options are discussed in Question</w:t>
      </w:r>
      <w:r w:rsidR="00C32CF8">
        <w:t>s</w:t>
      </w:r>
      <w:r>
        <w:t xml:space="preserve"> </w:t>
      </w:r>
      <w:r w:rsidR="00212373">
        <w:t>Three</w:t>
      </w:r>
      <w:r w:rsidR="009E4A3C">
        <w:t>, Four and Six of the IA.</w:t>
      </w:r>
    </w:p>
    <w:p w14:paraId="627F0CF1" w14:textId="6A683F67" w:rsidR="00E42C4C" w:rsidRPr="00E42C4C" w:rsidRDefault="001D78A0" w:rsidP="00E42C4C">
      <w:pPr>
        <w:pStyle w:val="ListParagraph"/>
        <w:numPr>
          <w:ilvl w:val="0"/>
          <w:numId w:val="4"/>
        </w:numPr>
      </w:pPr>
      <w:r>
        <w:t xml:space="preserve">Additionally, a multi-criteria analysis </w:t>
      </w:r>
      <w:r w:rsidR="001D6CBF">
        <w:t xml:space="preserve">(MCA) </w:t>
      </w:r>
      <w:r>
        <w:t xml:space="preserve">further elaborates on the rationale </w:t>
      </w:r>
      <w:r w:rsidR="00C32CF8">
        <w:t>for the preferred option</w:t>
      </w:r>
      <w:r w:rsidR="00220BE3">
        <w:t xml:space="preserve"> (</w:t>
      </w:r>
      <w:r w:rsidR="008F1E89">
        <w:t>i.</w:t>
      </w:r>
      <w:r w:rsidR="00220BE3">
        <w:t>e</w:t>
      </w:r>
      <w:r w:rsidR="00C32CF8">
        <w:t>.</w:t>
      </w:r>
      <w:r w:rsidR="00C36312">
        <w:t xml:space="preserve"> Option 3A).</w:t>
      </w:r>
    </w:p>
    <w:p w14:paraId="0F3D577C" w14:textId="77777777" w:rsidR="0025183D" w:rsidRPr="008B612F" w:rsidRDefault="0025183D" w:rsidP="0025183D"/>
    <w:p w14:paraId="5864494C" w14:textId="756E2021" w:rsidR="00D7177F" w:rsidRDefault="00301E56" w:rsidP="00985BA3">
      <w:pPr>
        <w:keepNext/>
        <w:keepLines/>
        <w:rPr>
          <w:b/>
          <w:bCs/>
        </w:rPr>
      </w:pPr>
      <w:r>
        <w:rPr>
          <w:b/>
          <w:bCs/>
        </w:rPr>
        <w:lastRenderedPageBreak/>
        <w:t xml:space="preserve">Question Four: </w:t>
      </w:r>
      <w:r w:rsidR="00A7201D">
        <w:rPr>
          <w:b/>
          <w:bCs/>
        </w:rPr>
        <w:t xml:space="preserve">Impacts </w:t>
      </w:r>
    </w:p>
    <w:p w14:paraId="41ADC31B" w14:textId="77777777" w:rsidR="009F65CE" w:rsidRPr="009F65CE" w:rsidRDefault="009F65CE" w:rsidP="00985BA3">
      <w:pPr>
        <w:keepNext/>
        <w:keepLines/>
        <w:rPr>
          <w:i/>
          <w:iCs/>
        </w:rPr>
      </w:pPr>
      <w:r w:rsidRPr="009F65CE">
        <w:rPr>
          <w:i/>
          <w:iCs/>
        </w:rPr>
        <w:t xml:space="preserve">Describe how this IA has used a multi-criteria analysis (MCA) as the key decision-rule to determine net benefit (i.e. what weightings have been used and how have they been applied?). The Department of Veteran’s Affairs Veterans’ Compensation and Rehabilitation Legislation Reform IA on the OIA’s website is an example of a good practice multi-criteria analysis. Currently, the costs and benefits are laid out as a descriptive list, rather than in MCA format. </w:t>
      </w:r>
    </w:p>
    <w:p w14:paraId="6DBC8B9A" w14:textId="77777777" w:rsidR="009F65CE" w:rsidRDefault="009F65CE" w:rsidP="00D7177F">
      <w:pPr>
        <w:rPr>
          <w:b/>
          <w:bCs/>
        </w:rPr>
      </w:pPr>
    </w:p>
    <w:p w14:paraId="7089DEE8" w14:textId="49B7A6E5" w:rsidR="00A7201D" w:rsidRPr="00333EE0" w:rsidRDefault="00F07D4B" w:rsidP="00333EE0">
      <w:pPr>
        <w:pStyle w:val="ListParagraph"/>
        <w:numPr>
          <w:ilvl w:val="0"/>
          <w:numId w:val="25"/>
        </w:numPr>
      </w:pPr>
      <w:r>
        <w:t>A</w:t>
      </w:r>
      <w:r w:rsidR="00674298">
        <w:t>n</w:t>
      </w:r>
      <w:r>
        <w:t xml:space="preserve"> MCA methodology </w:t>
      </w:r>
      <w:r w:rsidR="00B95B38">
        <w:t xml:space="preserve">has been </w:t>
      </w:r>
      <w:r>
        <w:t>utilised to adequately analyse, assess, and recommend the most suitable policy option</w:t>
      </w:r>
      <w:r w:rsidR="00FA3265">
        <w:t xml:space="preserve">. </w:t>
      </w:r>
      <w:r w:rsidR="005A1DB2" w:rsidRPr="00DF6EEE">
        <w:t xml:space="preserve">For the purposes of this </w:t>
      </w:r>
      <w:r w:rsidR="00E309C8">
        <w:t>IA</w:t>
      </w:r>
      <w:r w:rsidR="005A1DB2" w:rsidRPr="00DF6EEE">
        <w:t>, each policy option, sub-option, and constituent measures, were assessed and ranked relative to each other</w:t>
      </w:r>
      <w:r w:rsidR="00E309C8">
        <w:t xml:space="preserve"> on the following criteria: </w:t>
      </w:r>
      <w:r w:rsidR="00132E3A">
        <w:t xml:space="preserve">1) </w:t>
      </w:r>
      <w:r w:rsidR="00D40037">
        <w:t>A</w:t>
      </w:r>
      <w:r w:rsidR="00E309C8">
        <w:t xml:space="preserve">chievement of success; </w:t>
      </w:r>
      <w:r w:rsidR="00132E3A">
        <w:t>2)</w:t>
      </w:r>
      <w:r w:rsidR="00D40037">
        <w:t xml:space="preserve"> B</w:t>
      </w:r>
      <w:r w:rsidR="00183D83">
        <w:t>enefits and costs and</w:t>
      </w:r>
      <w:r w:rsidR="00E309C8">
        <w:t xml:space="preserve"> </w:t>
      </w:r>
      <w:r w:rsidR="00132E3A">
        <w:t>3)</w:t>
      </w:r>
      <w:r w:rsidR="00D40037">
        <w:t xml:space="preserve"> R</w:t>
      </w:r>
      <w:r w:rsidR="00132E3A">
        <w:t>egulatory burden.</w:t>
      </w:r>
    </w:p>
    <w:p w14:paraId="7D76F977" w14:textId="055971E6" w:rsidR="007B1F53" w:rsidRPr="007B1F53" w:rsidRDefault="007B1F53" w:rsidP="00333EE0">
      <w:pPr>
        <w:pStyle w:val="ListParagraph"/>
        <w:numPr>
          <w:ilvl w:val="0"/>
          <w:numId w:val="25"/>
        </w:numPr>
      </w:pPr>
      <w:r w:rsidRPr="007B1F53">
        <w:t xml:space="preserve">Consultations with key state and territory stakeholders informed the weightings allocated to each criterion listed in the MCA. A 40% weighting was </w:t>
      </w:r>
      <w:r w:rsidR="00797EC1">
        <w:t>allocated to</w:t>
      </w:r>
      <w:r w:rsidRPr="007B1F53">
        <w:t xml:space="preserve"> the achievement of success criterion as a high value was placed on ensuring the policy option selected is facilitating achievement of </w:t>
      </w:r>
      <w:r w:rsidR="00674298">
        <w:t>t</w:t>
      </w:r>
      <w:r w:rsidR="00E7242B">
        <w:t xml:space="preserve">he fundamental goals of the mandatory reporting </w:t>
      </w:r>
      <w:r w:rsidR="001E49F7">
        <w:t>framework:</w:t>
      </w:r>
      <w:r w:rsidR="001E49F7" w:rsidDel="001E49F7">
        <w:t xml:space="preserve"> </w:t>
      </w:r>
      <w:r w:rsidR="001E49F7">
        <w:t>improved</w:t>
      </w:r>
      <w:r w:rsidR="00E7242B">
        <w:t xml:space="preserve"> patient safety, timely identification of risks, and compliance with legislative requirements.</w:t>
      </w:r>
    </w:p>
    <w:p w14:paraId="584D43D7" w14:textId="3D9555CB" w:rsidR="007B1F53" w:rsidRPr="00C3659A" w:rsidRDefault="007B1F53" w:rsidP="00333EE0">
      <w:pPr>
        <w:pStyle w:val="ListParagraph"/>
        <w:numPr>
          <w:ilvl w:val="0"/>
          <w:numId w:val="25"/>
        </w:numPr>
      </w:pPr>
      <w:r w:rsidRPr="00C3659A">
        <w:t xml:space="preserve">The regulatory burden criterion was also weighted highly at 40%. </w:t>
      </w:r>
      <w:r w:rsidR="00E7242B">
        <w:t xml:space="preserve">Minimising regulatory burden is critical for practical implementation of </w:t>
      </w:r>
      <w:r w:rsidR="001E49F7">
        <w:t xml:space="preserve">and compliance with </w:t>
      </w:r>
      <w:r w:rsidR="00E7242B">
        <w:t xml:space="preserve">the scheme. Excessive burden could </w:t>
      </w:r>
      <w:r w:rsidR="007E6C47">
        <w:t xml:space="preserve">detract healthcare providers from time spent on the provision of clinical care and hinder </w:t>
      </w:r>
      <w:r w:rsidR="00E7242B">
        <w:t xml:space="preserve">operational efficiency leading to challenges in implementation </w:t>
      </w:r>
      <w:r w:rsidR="00302C60">
        <w:t xml:space="preserve">and ongoing management </w:t>
      </w:r>
      <w:r w:rsidR="00E7242B">
        <w:t xml:space="preserve">of the scheme. A high weighting aligns with feedback from stakeholders who prioritised the need to balance reporting requirements with existing workloads and resources, particularly for smaller facilities such as day hospitals. </w:t>
      </w:r>
    </w:p>
    <w:p w14:paraId="2E427490" w14:textId="34F728A9" w:rsidR="009F65CE" w:rsidRPr="009F65CE" w:rsidRDefault="007B1F53" w:rsidP="00333EE0">
      <w:pPr>
        <w:pStyle w:val="ListParagraph"/>
        <w:numPr>
          <w:ilvl w:val="0"/>
          <w:numId w:val="25"/>
        </w:numPr>
      </w:pPr>
      <w:r w:rsidRPr="007B1F53">
        <w:t>A 20% weighting was applied to the overall benefit and cost across affected populations as it is deemed an important consideration but</w:t>
      </w:r>
      <w:r w:rsidR="00E7242B">
        <w:t xml:space="preserve"> considered secondary to achieving success criteria</w:t>
      </w:r>
      <w:r w:rsidRPr="007B1F53">
        <w:t>.</w:t>
      </w:r>
      <w:r w:rsidR="000C177B">
        <w:t xml:space="preserve"> </w:t>
      </w:r>
      <w:r w:rsidR="00E7242B">
        <w:t>A lower weighting is considered appropriate because stakeholders recognised that initial costs might be high, but the longer-term benefits</w:t>
      </w:r>
      <w:r w:rsidR="000C177B">
        <w:t xml:space="preserve">, </w:t>
      </w:r>
      <w:r w:rsidR="00E7242B">
        <w:t>such as improved healthcare outcomes</w:t>
      </w:r>
      <w:r w:rsidR="000C177B">
        <w:t>, justify</w:t>
      </w:r>
      <w:r w:rsidRPr="007B1F53">
        <w:t xml:space="preserve"> </w:t>
      </w:r>
      <w:r w:rsidR="000C177B">
        <w:t>the investment.</w:t>
      </w:r>
    </w:p>
    <w:p w14:paraId="2C7BA471" w14:textId="77777777" w:rsidR="00EB1731" w:rsidRDefault="00EB1731" w:rsidP="009F65CE">
      <w:pPr>
        <w:pStyle w:val="Default"/>
        <w:rPr>
          <w:rFonts w:ascii="Book Antiqua" w:hAnsi="Book Antiqua"/>
          <w:i/>
          <w:iCs/>
        </w:rPr>
      </w:pPr>
    </w:p>
    <w:p w14:paraId="467E95F9" w14:textId="1D0600DE" w:rsidR="009F65CE" w:rsidRDefault="009F65CE" w:rsidP="009F65CE">
      <w:pPr>
        <w:pStyle w:val="Default"/>
        <w:rPr>
          <w:rFonts w:ascii="Book Antiqua" w:hAnsi="Book Antiqua"/>
          <w:i/>
          <w:iCs/>
        </w:rPr>
      </w:pPr>
      <w:r w:rsidRPr="009F65CE">
        <w:rPr>
          <w:rFonts w:ascii="Book Antiqua" w:hAnsi="Book Antiqua"/>
          <w:i/>
          <w:iCs/>
        </w:rPr>
        <w:t xml:space="preserve">It would strengthen this section to describe any distributional impacts. Information on this is available in the OIA’s guidance note on distributional impacts. In particular, it would be helpful to discuss how the options may impact people with disability, women, people who are culturally and linguistically diverse, First Nations people, people and businesses in regional and remote areas compared to the rest of the population. </w:t>
      </w:r>
    </w:p>
    <w:p w14:paraId="6CD4C0B5" w14:textId="77777777" w:rsidR="00EB1731" w:rsidRPr="009F65CE" w:rsidRDefault="00EB1731" w:rsidP="009F65CE">
      <w:pPr>
        <w:pStyle w:val="Default"/>
        <w:rPr>
          <w:rFonts w:ascii="Book Antiqua" w:hAnsi="Book Antiqua"/>
          <w:i/>
          <w:iCs/>
        </w:rPr>
      </w:pPr>
    </w:p>
    <w:p w14:paraId="18F0D57E" w14:textId="3EB4CC33" w:rsidR="00333EE0" w:rsidRPr="00B95B38" w:rsidRDefault="00B95B38" w:rsidP="00B95B38">
      <w:pPr>
        <w:pStyle w:val="ListParagraph"/>
        <w:numPr>
          <w:ilvl w:val="0"/>
          <w:numId w:val="25"/>
        </w:numPr>
        <w:rPr>
          <w:i/>
          <w:iCs/>
        </w:rPr>
      </w:pPr>
      <w:r>
        <w:t xml:space="preserve">Additional information has been included within the Impact Assessment discussing distributional impacts. </w:t>
      </w:r>
      <w:r w:rsidR="00333EE0">
        <w:t xml:space="preserve">The TGA is committed to strengthening Australia’s post-market monitoring and compliance of medical devices to support the right of the Australian public to equitable and safe health care. </w:t>
      </w:r>
    </w:p>
    <w:p w14:paraId="4E0894E5" w14:textId="5B98D810" w:rsidR="00D40037" w:rsidRPr="003A249C" w:rsidRDefault="005E05A2" w:rsidP="00333EE0">
      <w:pPr>
        <w:pStyle w:val="ListParagraph"/>
        <w:numPr>
          <w:ilvl w:val="0"/>
          <w:numId w:val="25"/>
        </w:numPr>
      </w:pPr>
      <w:r w:rsidRPr="003A249C">
        <w:t xml:space="preserve">Current data on medical device adverse </w:t>
      </w:r>
      <w:r w:rsidR="00DA5AC9" w:rsidRPr="003A249C">
        <w:t>events</w:t>
      </w:r>
      <w:r w:rsidRPr="003A249C">
        <w:t xml:space="preserve"> makes it difficult to determine </w:t>
      </w:r>
      <w:r w:rsidR="0008194B">
        <w:t xml:space="preserve">whether </w:t>
      </w:r>
      <w:r w:rsidRPr="003A249C">
        <w:t>mandatory reporting scheme will impact demographics, socioeconomic status, or organi</w:t>
      </w:r>
      <w:r w:rsidR="00BE5A89" w:rsidRPr="003A249C">
        <w:t>s</w:t>
      </w:r>
      <w:r w:rsidRPr="003A249C">
        <w:t xml:space="preserve">ational factors. </w:t>
      </w:r>
      <w:r w:rsidR="0008194B">
        <w:br/>
      </w:r>
      <w:r w:rsidR="0008194B">
        <w:lastRenderedPageBreak/>
        <w:br/>
      </w:r>
      <w:r w:rsidRPr="003A249C">
        <w:t>The scheme aims to improve safety for all patients, with no direct gender-specific impacts identified. Over time, data analysis may reveal any disproportionate impacts.</w:t>
      </w:r>
      <w:r w:rsidR="006B5C41" w:rsidRPr="003A249C">
        <w:t xml:space="preserve"> </w:t>
      </w:r>
    </w:p>
    <w:p w14:paraId="021185CB" w14:textId="1F327FF1" w:rsidR="002F419E" w:rsidRPr="006B44D5" w:rsidRDefault="000E50D7" w:rsidP="00206B69">
      <w:pPr>
        <w:pStyle w:val="ListParagraph"/>
        <w:numPr>
          <w:ilvl w:val="0"/>
          <w:numId w:val="25"/>
        </w:numPr>
      </w:pPr>
      <w:r>
        <w:t xml:space="preserve">The mandatory reporting scheme </w:t>
      </w:r>
      <w:r w:rsidR="00E356FB">
        <w:t>f</w:t>
      </w:r>
      <w:r w:rsidR="00F532AE">
        <w:t>ocuses on</w:t>
      </w:r>
      <w:r>
        <w:t xml:space="preserve"> institutional compliance</w:t>
      </w:r>
      <w:r w:rsidR="00F532AE">
        <w:t xml:space="preserve">, </w:t>
      </w:r>
      <w:r w:rsidR="00F532AE" w:rsidRPr="00F532AE">
        <w:t>with reporting being the responsibility of the chief executive officer</w:t>
      </w:r>
      <w:r w:rsidR="0008194B">
        <w:t xml:space="preserve">, </w:t>
      </w:r>
      <w:r w:rsidR="00F532AE">
        <w:t>however described</w:t>
      </w:r>
      <w:r w:rsidR="00F532AE" w:rsidRPr="00F532AE">
        <w:t>. No disproportionate workforce impacts are identified</w:t>
      </w:r>
      <w:r w:rsidR="00F532AE">
        <w:t xml:space="preserve">. </w:t>
      </w:r>
    </w:p>
    <w:p w14:paraId="2988952D" w14:textId="77777777" w:rsidR="002F419E" w:rsidRPr="002F419E" w:rsidRDefault="002F419E" w:rsidP="002F419E">
      <w:pPr>
        <w:rPr>
          <w:b/>
          <w:bCs/>
        </w:rPr>
      </w:pPr>
    </w:p>
    <w:p w14:paraId="77C41798" w14:textId="506AAC4D" w:rsidR="00D7177F" w:rsidRDefault="00D7177F" w:rsidP="00D7177F">
      <w:pPr>
        <w:rPr>
          <w:i/>
          <w:iCs/>
        </w:rPr>
      </w:pPr>
      <w:r w:rsidRPr="003A249C">
        <w:rPr>
          <w:i/>
          <w:iCs/>
        </w:rPr>
        <w:t xml:space="preserve">It would be helpful to clearly state which impacts have not been quantified and why they have not been quantified. What constraints are there on quantifying the impacts that have been described? </w:t>
      </w:r>
    </w:p>
    <w:p w14:paraId="63D0A077" w14:textId="77777777" w:rsidR="00616ED9" w:rsidRPr="003A249C" w:rsidRDefault="00616ED9" w:rsidP="00D7177F">
      <w:pPr>
        <w:rPr>
          <w:i/>
          <w:iCs/>
        </w:rPr>
      </w:pPr>
    </w:p>
    <w:p w14:paraId="2E512D3C" w14:textId="1D5E816A" w:rsidR="00B95B38" w:rsidRDefault="000D7D33" w:rsidP="00144D7C">
      <w:pPr>
        <w:pStyle w:val="ListParagraph"/>
        <w:numPr>
          <w:ilvl w:val="0"/>
          <w:numId w:val="4"/>
        </w:numPr>
      </w:pPr>
      <w:r>
        <w:t>D</w:t>
      </w:r>
      <w:r w:rsidRPr="00BE5A89">
        <w:t xml:space="preserve">emographic, socioeconomic </w:t>
      </w:r>
      <w:r w:rsidR="0067586E">
        <w:t>and</w:t>
      </w:r>
      <w:r w:rsidRPr="00BE5A89">
        <w:t xml:space="preserve"> organisational</w:t>
      </w:r>
      <w:r>
        <w:t xml:space="preserve"> impacts </w:t>
      </w:r>
      <w:r w:rsidR="00910500">
        <w:t xml:space="preserve">have not been quantified </w:t>
      </w:r>
      <w:r w:rsidR="0067586E">
        <w:t>due to unavailable data</w:t>
      </w:r>
      <w:r w:rsidR="00FD3A95">
        <w:t>.</w:t>
      </w:r>
    </w:p>
    <w:p w14:paraId="48859680" w14:textId="3C5533D3" w:rsidR="00144D7C" w:rsidRDefault="00CE640A" w:rsidP="00144D7C">
      <w:pPr>
        <w:pStyle w:val="ListParagraph"/>
        <w:numPr>
          <w:ilvl w:val="0"/>
          <w:numId w:val="4"/>
        </w:numPr>
      </w:pPr>
      <w:r w:rsidRPr="00CE640A">
        <w:t xml:space="preserve">The mandatory reporting scheme focuses on institutional compliance and improving patient safety, with no direct gender-specific impacts identified. However, data trend analysis over time may reveal </w:t>
      </w:r>
      <w:r w:rsidR="00EB1731">
        <w:t xml:space="preserve">device specific </w:t>
      </w:r>
      <w:r w:rsidRPr="00CE640A">
        <w:t>disproportionate impacts</w:t>
      </w:r>
      <w:r>
        <w:t>.</w:t>
      </w:r>
    </w:p>
    <w:p w14:paraId="36D190DB" w14:textId="77777777" w:rsidR="00FD3A95" w:rsidRDefault="00FD3A95" w:rsidP="00FD3A95">
      <w:pPr>
        <w:pStyle w:val="ListParagraph"/>
      </w:pPr>
    </w:p>
    <w:p w14:paraId="154FED69" w14:textId="385BFFC0" w:rsidR="0021162A" w:rsidRDefault="0021162A" w:rsidP="008B612F">
      <w:pPr>
        <w:rPr>
          <w:b/>
          <w:bCs/>
        </w:rPr>
      </w:pPr>
      <w:r w:rsidRPr="000669F0">
        <w:rPr>
          <w:b/>
          <w:bCs/>
        </w:rPr>
        <w:t>Regulatory Burden Estimate (RBE)</w:t>
      </w:r>
    </w:p>
    <w:p w14:paraId="169ED8EF" w14:textId="77777777" w:rsidR="00DD693B" w:rsidRPr="00DD693B" w:rsidRDefault="00DD693B" w:rsidP="00DD693B">
      <w:pPr>
        <w:rPr>
          <w:b/>
          <w:bCs/>
        </w:rPr>
      </w:pPr>
    </w:p>
    <w:p w14:paraId="66F512C7" w14:textId="5B96FC5D" w:rsidR="00DD693B" w:rsidRPr="00DD693B" w:rsidRDefault="00DD693B" w:rsidP="00DD693B">
      <w:pPr>
        <w:rPr>
          <w:i/>
          <w:iCs/>
        </w:rPr>
      </w:pPr>
      <w:r w:rsidRPr="00DD693B">
        <w:rPr>
          <w:i/>
          <w:iCs/>
        </w:rPr>
        <w:t>Please include a line in the IA alongside the RBE table stating “the preferred option will have a $X cost to public hospitals, as per figure 1</w:t>
      </w:r>
      <w:r w:rsidR="000B2347">
        <w:rPr>
          <w:i/>
          <w:iCs/>
        </w:rPr>
        <w:t>2</w:t>
      </w:r>
      <w:r w:rsidRPr="00DD693B">
        <w:rPr>
          <w:i/>
          <w:iCs/>
        </w:rPr>
        <w:t xml:space="preserve">. These costs have been excluded from the RBE calculation in alignment with the IA Framework which states only costs to individuals, businesses and community orgs are included in the RBE.” in both the RBE in the IA and in the Second Pass certification letter. </w:t>
      </w:r>
    </w:p>
    <w:p w14:paraId="3D903CEB" w14:textId="77777777" w:rsidR="00CE640A" w:rsidRPr="000669F0" w:rsidRDefault="00CE640A" w:rsidP="008B612F">
      <w:pPr>
        <w:rPr>
          <w:b/>
          <w:bCs/>
        </w:rPr>
      </w:pPr>
    </w:p>
    <w:p w14:paraId="71B822D2" w14:textId="258A7403" w:rsidR="00DD693B" w:rsidRDefault="00AE6279" w:rsidP="00DD693B">
      <w:pPr>
        <w:pStyle w:val="ListParagraph"/>
        <w:numPr>
          <w:ilvl w:val="0"/>
          <w:numId w:val="7"/>
        </w:numPr>
      </w:pPr>
      <w:r>
        <w:t>The IA has</w:t>
      </w:r>
      <w:r w:rsidR="00B95B38">
        <w:t xml:space="preserve"> been updated to</w:t>
      </w:r>
      <w:r>
        <w:t xml:space="preserve"> include the following line: “</w:t>
      </w:r>
      <w:r w:rsidR="00C8346F">
        <w:t>T</w:t>
      </w:r>
      <w:r w:rsidR="00C8346F" w:rsidRPr="5A711C47">
        <w:t>he preferred option will have a $</w:t>
      </w:r>
      <w:r w:rsidR="00C8346F">
        <w:t>1.66 million</w:t>
      </w:r>
      <w:r w:rsidR="00C8346F" w:rsidRPr="5A711C47">
        <w:t xml:space="preserve"> cost to public hospitals, as per figure </w:t>
      </w:r>
      <w:r w:rsidR="00C8346F">
        <w:t>1</w:t>
      </w:r>
      <w:r w:rsidR="000B2347">
        <w:t>2</w:t>
      </w:r>
      <w:r w:rsidR="00C8346F" w:rsidRPr="5A711C47">
        <w:t>. These costs have been excluded from the RBE calculation in alignment with the IA Framework which states only costs to individuals, businesses and community org</w:t>
      </w:r>
      <w:r w:rsidR="00C8346F">
        <w:t>anisations</w:t>
      </w:r>
      <w:r w:rsidR="00C8346F" w:rsidRPr="5A711C47">
        <w:t xml:space="preserve"> are included in the RBE</w:t>
      </w:r>
      <w:r w:rsidR="002608CF">
        <w:t>”</w:t>
      </w:r>
      <w:r w:rsidR="008E2CB3">
        <w:t xml:space="preserve">. This has also been </w:t>
      </w:r>
      <w:r w:rsidR="003F365B">
        <w:t>added to the RBE in the IA</w:t>
      </w:r>
      <w:r w:rsidR="008E2CB3">
        <w:t>.</w:t>
      </w:r>
    </w:p>
    <w:p w14:paraId="4D23A4B4" w14:textId="77777777" w:rsidR="00DD693B" w:rsidRDefault="00DD693B" w:rsidP="00DD693B">
      <w:pPr>
        <w:pStyle w:val="ListParagraph"/>
      </w:pPr>
    </w:p>
    <w:p w14:paraId="401CC8E7" w14:textId="77777777" w:rsidR="00DD693B" w:rsidRPr="00DD693B" w:rsidRDefault="00DD693B" w:rsidP="00DD693B">
      <w:pPr>
        <w:pStyle w:val="Default"/>
        <w:rPr>
          <w:rFonts w:ascii="Book Antiqua" w:hAnsi="Book Antiqua"/>
          <w:i/>
          <w:iCs/>
        </w:rPr>
      </w:pPr>
      <w:r w:rsidRPr="00DD693B">
        <w:rPr>
          <w:rFonts w:ascii="Book Antiqua" w:hAnsi="Book Antiqua"/>
          <w:i/>
          <w:iCs/>
        </w:rPr>
        <w:t xml:space="preserve">Please show how the administration costs were calculated, as calculations by the OIA have resulted in different values using the inputs in Appendix B. In particular, the administration cost for the options with batch reporting was very different, and the OIA found this to be higher than on occurrence reporting in each instance. </w:t>
      </w:r>
    </w:p>
    <w:p w14:paraId="63029903" w14:textId="77777777" w:rsidR="00DD693B" w:rsidRDefault="00DD693B" w:rsidP="00DD693B"/>
    <w:p w14:paraId="16C2E95F" w14:textId="0821A08A" w:rsidR="00E20A11" w:rsidRDefault="00610E7B" w:rsidP="000669F0">
      <w:pPr>
        <w:pStyle w:val="ListParagraph"/>
        <w:numPr>
          <w:ilvl w:val="0"/>
          <w:numId w:val="6"/>
        </w:numPr>
      </w:pPr>
      <w:r>
        <w:t>The RBE formula</w:t>
      </w:r>
      <w:r w:rsidR="002D0EC5">
        <w:t xml:space="preserve"> in Appendix B</w:t>
      </w:r>
      <w:r>
        <w:t xml:space="preserve"> has been updated and the administrati</w:t>
      </w:r>
      <w:r w:rsidR="00E20A11">
        <w:t xml:space="preserve">ve and substantive </w:t>
      </w:r>
      <w:r>
        <w:t>cost</w:t>
      </w:r>
      <w:r w:rsidR="0054312F">
        <w:t xml:space="preserve"> calculation </w:t>
      </w:r>
      <w:r w:rsidR="00481A3A">
        <w:t>updated</w:t>
      </w:r>
      <w:r w:rsidR="0008194B">
        <w:t xml:space="preserve"> as a result</w:t>
      </w:r>
      <w:r w:rsidR="0054312F">
        <w:t xml:space="preserve">. </w:t>
      </w:r>
      <w:r w:rsidR="00480333">
        <w:t xml:space="preserve">A summary table of the </w:t>
      </w:r>
      <w:r w:rsidR="00CB5567">
        <w:t xml:space="preserve">average annual regulatory costs for each option over the ten-year default period </w:t>
      </w:r>
      <w:r w:rsidR="00CB6798">
        <w:t>has been included in the IA</w:t>
      </w:r>
      <w:r w:rsidR="00580C14">
        <w:t xml:space="preserve"> describing how costs were calculated</w:t>
      </w:r>
      <w:r w:rsidR="00CB6798">
        <w:t>.</w:t>
      </w:r>
      <w:r w:rsidR="00886AEA">
        <w:t xml:space="preserve"> </w:t>
      </w:r>
      <w:r w:rsidR="00C242A3">
        <w:t>Please refer to Appendix B of the IA.</w:t>
      </w:r>
    </w:p>
    <w:p w14:paraId="60A6518D" w14:textId="77777777" w:rsidR="00817705" w:rsidRDefault="00817705" w:rsidP="00817705">
      <w:pPr>
        <w:pStyle w:val="Default"/>
      </w:pPr>
    </w:p>
    <w:p w14:paraId="67936C08" w14:textId="77777777" w:rsidR="00817705" w:rsidRPr="00817705" w:rsidRDefault="00817705" w:rsidP="00985BA3">
      <w:pPr>
        <w:pStyle w:val="Default"/>
        <w:keepNext/>
        <w:keepLines/>
        <w:rPr>
          <w:rFonts w:ascii="Book Antiqua" w:hAnsi="Book Antiqua"/>
          <w:i/>
          <w:iCs/>
        </w:rPr>
      </w:pPr>
      <w:r w:rsidRPr="00817705">
        <w:rPr>
          <w:rFonts w:ascii="Book Antiqua" w:hAnsi="Book Antiqua"/>
          <w:i/>
          <w:iCs/>
        </w:rPr>
        <w:lastRenderedPageBreak/>
        <w:t xml:space="preserve">Please show how the administration costs were calculated, as calculations by the OIA have resulted in different values using the inputs in Appendix B. In particular, the administration cost for the options with batch reporting was very different, and the OIA found this to be higher than on occurrence reporting in each instance. </w:t>
      </w:r>
    </w:p>
    <w:p w14:paraId="4073E29A" w14:textId="77777777" w:rsidR="00817705" w:rsidRDefault="00817705" w:rsidP="00817705"/>
    <w:p w14:paraId="12DED217" w14:textId="473FF041" w:rsidR="0021162A" w:rsidRDefault="00886AEA" w:rsidP="000669F0">
      <w:pPr>
        <w:pStyle w:val="ListParagraph"/>
        <w:numPr>
          <w:ilvl w:val="0"/>
          <w:numId w:val="6"/>
        </w:numPr>
      </w:pPr>
      <w:r>
        <w:t>The administrative cost</w:t>
      </w:r>
      <w:r w:rsidR="0090327D">
        <w:t>s</w:t>
      </w:r>
      <w:r>
        <w:t xml:space="preserve"> for </w:t>
      </w:r>
      <w:r w:rsidR="0090327D">
        <w:t>option 4A</w:t>
      </w:r>
      <w:r w:rsidR="00CA6B28">
        <w:t xml:space="preserve"> (batch reporting)</w:t>
      </w:r>
      <w:r w:rsidR="0090327D">
        <w:t xml:space="preserve"> </w:t>
      </w:r>
      <w:r w:rsidR="002D0EC5">
        <w:t>have</w:t>
      </w:r>
      <w:r w:rsidR="00F11BD0">
        <w:t xml:space="preserve"> been updated</w:t>
      </w:r>
      <w:r w:rsidR="0090327D">
        <w:t xml:space="preserve"> to </w:t>
      </w:r>
      <w:r w:rsidR="006B40B8">
        <w:t>$</w:t>
      </w:r>
      <w:r w:rsidR="0090327D">
        <w:t xml:space="preserve">1.86 million </w:t>
      </w:r>
      <w:r w:rsidR="00655854">
        <w:t>(from $1.77 million) and</w:t>
      </w:r>
      <w:r w:rsidR="00117F85">
        <w:t xml:space="preserve"> is now lower than the</w:t>
      </w:r>
      <w:r w:rsidR="00655854">
        <w:t xml:space="preserve"> </w:t>
      </w:r>
      <w:r w:rsidR="006402C5">
        <w:t>administrative costs for option 4B</w:t>
      </w:r>
      <w:r w:rsidR="00A2181F">
        <w:t xml:space="preserve"> (on occurrence)</w:t>
      </w:r>
      <w:r w:rsidR="006402C5">
        <w:t xml:space="preserve"> </w:t>
      </w:r>
      <w:r w:rsidR="00117F85">
        <w:t xml:space="preserve">which has been </w:t>
      </w:r>
      <w:r w:rsidR="006402C5">
        <w:t xml:space="preserve">updated to $1.91 million (from $1.77 million). </w:t>
      </w:r>
      <w:r w:rsidR="003126EC">
        <w:t>Please refer to Appendix B of the IA.</w:t>
      </w:r>
    </w:p>
    <w:p w14:paraId="57266FEA" w14:textId="77777777" w:rsidR="00C646D9" w:rsidRPr="00C646D9" w:rsidRDefault="00C646D9" w:rsidP="00C646D9">
      <w:pPr>
        <w:rPr>
          <w:rFonts w:cs="Segoe UI Symbol"/>
          <w:i/>
          <w:iCs/>
          <w:color w:val="000000"/>
        </w:rPr>
      </w:pPr>
    </w:p>
    <w:p w14:paraId="78A04BEE" w14:textId="77777777" w:rsidR="00C646D9" w:rsidRPr="00C646D9" w:rsidRDefault="00C646D9" w:rsidP="00C646D9">
      <w:pPr>
        <w:rPr>
          <w:rFonts w:cs="Segoe UI Symbol"/>
          <w:i/>
          <w:iCs/>
          <w:color w:val="000000"/>
        </w:rPr>
      </w:pPr>
      <w:r w:rsidRPr="00C646D9">
        <w:rPr>
          <w:rFonts w:cs="Segoe UI Symbol"/>
          <w:i/>
          <w:iCs/>
          <w:color w:val="000000"/>
        </w:rPr>
        <w:t xml:space="preserve">Please show how the compliance costs were calculated, as again the OIA found different values using the inputs in Appendix B. </w:t>
      </w:r>
    </w:p>
    <w:p w14:paraId="22FD82C0" w14:textId="77777777" w:rsidR="005A0C2D" w:rsidRDefault="005A0C2D" w:rsidP="005A0C2D"/>
    <w:p w14:paraId="5FA88796" w14:textId="7AF0C44D" w:rsidR="00D26F4A" w:rsidRDefault="00E20A11" w:rsidP="00D26F4A">
      <w:pPr>
        <w:pStyle w:val="ListParagraph"/>
        <w:numPr>
          <w:ilvl w:val="0"/>
          <w:numId w:val="27"/>
        </w:numPr>
      </w:pPr>
      <w:r>
        <w:t xml:space="preserve">The </w:t>
      </w:r>
      <w:r w:rsidR="00F938FE">
        <w:t xml:space="preserve">substantive </w:t>
      </w:r>
      <w:r w:rsidR="005A0C2D">
        <w:t xml:space="preserve">compliance </w:t>
      </w:r>
      <w:r w:rsidR="00F938FE">
        <w:t>costs for option 4A</w:t>
      </w:r>
      <w:r w:rsidR="008F0442">
        <w:t xml:space="preserve"> and 4B</w:t>
      </w:r>
      <w:r w:rsidR="00F938FE">
        <w:t xml:space="preserve"> have been updated to $3.70 million (from $</w:t>
      </w:r>
      <w:r w:rsidR="008F0442">
        <w:t>3.72</w:t>
      </w:r>
      <w:r w:rsidR="00F938FE">
        <w:t xml:space="preserve"> million). </w:t>
      </w:r>
      <w:r w:rsidR="003126EC">
        <w:t>Please refer to Appendix B of the IA.</w:t>
      </w:r>
    </w:p>
    <w:p w14:paraId="52A624FC" w14:textId="77777777" w:rsidR="00D26F4A" w:rsidRDefault="00D26F4A" w:rsidP="00D26F4A"/>
    <w:p w14:paraId="5F666134" w14:textId="77777777" w:rsidR="00D26F4A" w:rsidRPr="00D26F4A" w:rsidRDefault="00D26F4A" w:rsidP="00D26F4A">
      <w:pPr>
        <w:pStyle w:val="Default"/>
        <w:rPr>
          <w:rFonts w:ascii="Book Antiqua" w:hAnsi="Book Antiqua"/>
          <w:i/>
          <w:iCs/>
        </w:rPr>
      </w:pPr>
      <w:r w:rsidRPr="00D26F4A">
        <w:rPr>
          <w:rFonts w:ascii="Book Antiqua" w:hAnsi="Book Antiqua"/>
          <w:i/>
          <w:iCs/>
        </w:rPr>
        <w:t xml:space="preserve">Justify all assumptions made in the calculation of the RBE. In particular, why are only 10,000 reports expected to be made per year by healthcare facilities when the data suggests a 10x increase in reports (i.e., what bodies are making the other 90,000 extra reports?) </w:t>
      </w:r>
    </w:p>
    <w:p w14:paraId="33AC0775" w14:textId="77777777" w:rsidR="00817705" w:rsidRDefault="00817705" w:rsidP="00D26F4A"/>
    <w:p w14:paraId="7748E1CD" w14:textId="3883327B" w:rsidR="00216C91" w:rsidRDefault="00C5135D" w:rsidP="000669F0">
      <w:pPr>
        <w:pStyle w:val="ListParagraph"/>
        <w:numPr>
          <w:ilvl w:val="0"/>
          <w:numId w:val="6"/>
        </w:numPr>
      </w:pPr>
      <w:bookmarkStart w:id="5" w:name="_Hlk185492832"/>
      <w:r w:rsidRPr="00D4542F">
        <w:t xml:space="preserve">The </w:t>
      </w:r>
      <w:r w:rsidR="00D44D36">
        <w:t xml:space="preserve">RBE </w:t>
      </w:r>
      <w:r w:rsidR="00216C91">
        <w:t xml:space="preserve">calculation </w:t>
      </w:r>
      <w:r w:rsidR="00D44D36">
        <w:t xml:space="preserve">and assumptions </w:t>
      </w:r>
      <w:r w:rsidR="00216C91">
        <w:t>is based on</w:t>
      </w:r>
      <w:r w:rsidR="00D44D36">
        <w:t xml:space="preserve"> the most</w:t>
      </w:r>
      <w:r w:rsidR="00216C91">
        <w:t xml:space="preserve"> comparable </w:t>
      </w:r>
      <w:r w:rsidR="00D44D36">
        <w:t xml:space="preserve">overseas </w:t>
      </w:r>
      <w:r w:rsidR="00216C91">
        <w:t xml:space="preserve">data from Health Canada. </w:t>
      </w:r>
    </w:p>
    <w:p w14:paraId="5EEB44CB" w14:textId="475A4AF5" w:rsidR="00216C91" w:rsidRDefault="00D44D36" w:rsidP="000669F0">
      <w:pPr>
        <w:pStyle w:val="ListParagraph"/>
        <w:numPr>
          <w:ilvl w:val="0"/>
          <w:numId w:val="6"/>
        </w:numPr>
      </w:pPr>
      <w:r>
        <w:t>O</w:t>
      </w:r>
      <w:r w:rsidR="00216C91">
        <w:t xml:space="preserve">nce the </w:t>
      </w:r>
      <w:r>
        <w:t xml:space="preserve">mandatory </w:t>
      </w:r>
      <w:r w:rsidR="00D42255">
        <w:t xml:space="preserve">reporting </w:t>
      </w:r>
      <w:r w:rsidR="00216C91">
        <w:t>scheme is implemented, healthcare facilities</w:t>
      </w:r>
      <w:r w:rsidR="001F7DA2">
        <w:t xml:space="preserve"> will</w:t>
      </w:r>
      <w:r w:rsidR="001B25A7">
        <w:t xml:space="preserve"> be</w:t>
      </w:r>
      <w:r w:rsidR="001F7DA2">
        <w:t xml:space="preserve"> </w:t>
      </w:r>
      <w:r w:rsidR="00D42255">
        <w:t xml:space="preserve">required to </w:t>
      </w:r>
      <w:r w:rsidR="001F7DA2">
        <w:t xml:space="preserve">report medical device </w:t>
      </w:r>
      <w:r w:rsidR="001B25A7">
        <w:t>adverse events</w:t>
      </w:r>
      <w:r w:rsidR="00D42255">
        <w:t>, alongside sponsors who are already mandated to do so</w:t>
      </w:r>
      <w:r w:rsidR="001B25A7">
        <w:t>. We expect to observe</w:t>
      </w:r>
      <w:r w:rsidR="001F7DA2">
        <w:t xml:space="preserve"> a similar trend</w:t>
      </w:r>
      <w:r w:rsidR="001B25A7">
        <w:t xml:space="preserve"> to the Canadian data with a</w:t>
      </w:r>
      <w:r w:rsidR="001F7DA2">
        <w:t xml:space="preserve"> 10</w:t>
      </w:r>
      <w:r w:rsidR="001B25A7">
        <w:t>-fold</w:t>
      </w:r>
      <w:r w:rsidR="001F7DA2">
        <w:t xml:space="preserve"> </w:t>
      </w:r>
      <w:r w:rsidR="001B25A7">
        <w:t xml:space="preserve">reporting increase from </w:t>
      </w:r>
      <w:r w:rsidR="001F7DA2">
        <w:t>both sponsors and healthcare facilities</w:t>
      </w:r>
      <w:r w:rsidR="00333EE0">
        <w:t xml:space="preserve">, which is based upon an </w:t>
      </w:r>
      <w:r w:rsidR="00F3674D">
        <w:t>assum</w:t>
      </w:r>
      <w:r w:rsidR="00333EE0">
        <w:t>ption</w:t>
      </w:r>
      <w:r w:rsidR="00F3674D">
        <w:t xml:space="preserve"> that only 10% of true </w:t>
      </w:r>
      <w:r w:rsidR="00333EE0">
        <w:t xml:space="preserve">figure of </w:t>
      </w:r>
      <w:r w:rsidR="00F3674D">
        <w:t>incidents are being currently reported (i.e. 10,000 reports).</w:t>
      </w:r>
    </w:p>
    <w:p w14:paraId="384005D7" w14:textId="2372C57C" w:rsidR="00333EE0" w:rsidRDefault="00333EE0" w:rsidP="000669F0">
      <w:pPr>
        <w:pStyle w:val="ListParagraph"/>
        <w:numPr>
          <w:ilvl w:val="0"/>
          <w:numId w:val="6"/>
        </w:numPr>
      </w:pPr>
      <w:r>
        <w:t xml:space="preserve">The assumed increase of approximately 90,000 additional reports </w:t>
      </w:r>
      <w:r w:rsidR="00B95B38">
        <w:t xml:space="preserve">are predicted to </w:t>
      </w:r>
      <w:r>
        <w:t>be submitted by medical device manufacturers and/or sponsors, which again is based upon comparable data from Canada.</w:t>
      </w:r>
    </w:p>
    <w:p w14:paraId="0D934350" w14:textId="65BF9744" w:rsidR="00216C91" w:rsidRDefault="001F7DA2" w:rsidP="000669F0">
      <w:pPr>
        <w:pStyle w:val="ListParagraph"/>
        <w:numPr>
          <w:ilvl w:val="0"/>
          <w:numId w:val="6"/>
        </w:numPr>
      </w:pPr>
      <w:r>
        <w:t xml:space="preserve">Details of the assumptions and calculations can be found in </w:t>
      </w:r>
      <w:r w:rsidR="00216C91">
        <w:t>App</w:t>
      </w:r>
      <w:r w:rsidR="001B25A7">
        <w:t>endix</w:t>
      </w:r>
      <w:r w:rsidR="00216C91">
        <w:t xml:space="preserve"> B</w:t>
      </w:r>
      <w:r>
        <w:t xml:space="preserve"> of the IA.</w:t>
      </w:r>
    </w:p>
    <w:bookmarkEnd w:id="5"/>
    <w:p w14:paraId="1E6A53B4" w14:textId="77777777" w:rsidR="009A6825" w:rsidRDefault="009A6825" w:rsidP="009A6825">
      <w:pPr>
        <w:pStyle w:val="ListParagraph"/>
      </w:pPr>
    </w:p>
    <w:p w14:paraId="2FE92949" w14:textId="304600A3" w:rsidR="009A6825" w:rsidRDefault="002A1AB8" w:rsidP="009A6825">
      <w:pPr>
        <w:rPr>
          <w:b/>
          <w:bCs/>
        </w:rPr>
      </w:pPr>
      <w:r>
        <w:rPr>
          <w:b/>
          <w:bCs/>
        </w:rPr>
        <w:t xml:space="preserve">Question Five: </w:t>
      </w:r>
      <w:r w:rsidR="009A6825">
        <w:rPr>
          <w:b/>
          <w:bCs/>
        </w:rPr>
        <w:t>Consultation</w:t>
      </w:r>
    </w:p>
    <w:p w14:paraId="3EA2AB1D" w14:textId="77777777" w:rsidR="00FD5EE9" w:rsidRPr="00FD5EE9" w:rsidRDefault="00FD5EE9" w:rsidP="00FD5EE9">
      <w:pPr>
        <w:rPr>
          <w:b/>
          <w:bCs/>
        </w:rPr>
      </w:pPr>
    </w:p>
    <w:p w14:paraId="018B3B93" w14:textId="77777777" w:rsidR="00FD5EE9" w:rsidRDefault="00FD5EE9" w:rsidP="00FD5EE9">
      <w:pPr>
        <w:rPr>
          <w:i/>
          <w:iCs/>
        </w:rPr>
      </w:pPr>
      <w:r w:rsidRPr="00FD5EE9">
        <w:rPr>
          <w:i/>
          <w:iCs/>
        </w:rPr>
        <w:t xml:space="preserve">Provide further description of areas of stakeholder agreement and disagreement, and an overview of the views of each stakeholder group. Did any particular group hold certain views, and were these different between different stakeholder groups? </w:t>
      </w:r>
    </w:p>
    <w:p w14:paraId="16617BC1" w14:textId="77777777" w:rsidR="004B544F" w:rsidRPr="000D7640" w:rsidRDefault="004B544F" w:rsidP="00FD5EE9">
      <w:pPr>
        <w:rPr>
          <w:i/>
          <w:iCs/>
        </w:rPr>
      </w:pPr>
    </w:p>
    <w:p w14:paraId="4EC4D8E7" w14:textId="0BB77E01" w:rsidR="00C52E0F" w:rsidRDefault="00B95B38" w:rsidP="00EB1731">
      <w:pPr>
        <w:pStyle w:val="ListParagraph"/>
        <w:numPr>
          <w:ilvl w:val="0"/>
          <w:numId w:val="8"/>
        </w:numPr>
      </w:pPr>
      <w:r>
        <w:t xml:space="preserve">A high level of support </w:t>
      </w:r>
      <w:r w:rsidR="004827BC">
        <w:t>h</w:t>
      </w:r>
      <w:r>
        <w:t xml:space="preserve">as been received from </w:t>
      </w:r>
      <w:r w:rsidR="00EB1731">
        <w:t xml:space="preserve">stakeholders consulted by the TGA </w:t>
      </w:r>
      <w:r>
        <w:t>regarding</w:t>
      </w:r>
      <w:r w:rsidR="00EB1731">
        <w:t xml:space="preserve"> the implementation of mandatory reporting of medical device adverse events by healthcare facilities. </w:t>
      </w:r>
      <w:r w:rsidR="007E36BB">
        <w:t xml:space="preserve">Stakeholder groups included </w:t>
      </w:r>
      <w:r w:rsidR="00B447B0" w:rsidRPr="007E7686">
        <w:t>healthcare organisations, CRAFT groups, healthcare practitioners</w:t>
      </w:r>
      <w:r w:rsidR="00C52E0F">
        <w:t xml:space="preserve">, </w:t>
      </w:r>
      <w:r w:rsidR="00B447B0" w:rsidRPr="007E7686">
        <w:t>health funds</w:t>
      </w:r>
      <w:r w:rsidR="00C52E0F">
        <w:t xml:space="preserve">, key state and territory health departments, </w:t>
      </w:r>
      <w:r w:rsidR="0046384B" w:rsidRPr="00B333F0">
        <w:t xml:space="preserve">Australian Commission </w:t>
      </w:r>
      <w:r w:rsidR="0046384B">
        <w:t>on</w:t>
      </w:r>
      <w:r w:rsidR="0046384B" w:rsidRPr="00B333F0">
        <w:t xml:space="preserve"> Safety and Quality in Health Care</w:t>
      </w:r>
      <w:r w:rsidR="0046384B">
        <w:t xml:space="preserve"> (the Commission)</w:t>
      </w:r>
      <w:r w:rsidR="00C52E0F">
        <w:t xml:space="preserve">, </w:t>
      </w:r>
      <w:r w:rsidR="00C52E0F" w:rsidRPr="00434370">
        <w:t>Australian Medical Association</w:t>
      </w:r>
      <w:r w:rsidR="0030768C">
        <w:t>, Royal Australasian College of Medical Administrators</w:t>
      </w:r>
      <w:r w:rsidR="000306BE">
        <w:t>,</w:t>
      </w:r>
      <w:r w:rsidR="00C52E0F">
        <w:t xml:space="preserve"> the</w:t>
      </w:r>
      <w:r w:rsidR="0030768C">
        <w:t xml:space="preserve"> private and day hospitals and peak bodies</w:t>
      </w:r>
      <w:r w:rsidR="003260EB">
        <w:t xml:space="preserve">. </w:t>
      </w:r>
    </w:p>
    <w:p w14:paraId="56BEFC56" w14:textId="6CBAD039" w:rsidR="00EA41B4" w:rsidRDefault="00B95B38" w:rsidP="00201620">
      <w:pPr>
        <w:pStyle w:val="ListParagraph"/>
        <w:numPr>
          <w:ilvl w:val="0"/>
          <w:numId w:val="8"/>
        </w:numPr>
      </w:pPr>
      <w:r>
        <w:lastRenderedPageBreak/>
        <w:t xml:space="preserve">Broad support was also received in earlier consultation activities including the </w:t>
      </w:r>
      <w:r w:rsidR="0070667E">
        <w:t>2021</w:t>
      </w:r>
      <w:r w:rsidR="00C42589">
        <w:t xml:space="preserve"> </w:t>
      </w:r>
      <w:r w:rsidR="00EA41B4" w:rsidRPr="00EB725D">
        <w:t xml:space="preserve">public consultation </w:t>
      </w:r>
      <w:r w:rsidR="00A508E1" w:rsidRPr="00EB725D">
        <w:t xml:space="preserve">of a discussion paper on the </w:t>
      </w:r>
      <w:r w:rsidR="00A508E1" w:rsidRPr="00EB725D">
        <w:rPr>
          <w:i/>
          <w:iCs/>
        </w:rPr>
        <w:t>Potential for Mandatory Reporting of Medical Device Adverse Events by Healthcare Facilities in Australia</w:t>
      </w:r>
      <w:r>
        <w:t xml:space="preserve">, 6 roundtables held over 2023, and the </w:t>
      </w:r>
      <w:r w:rsidR="00EB725D" w:rsidRPr="00EB725D">
        <w:t>2024</w:t>
      </w:r>
      <w:r w:rsidR="00C42589">
        <w:t xml:space="preserve"> </w:t>
      </w:r>
      <w:r w:rsidR="00EA41B4" w:rsidRPr="00EB725D">
        <w:t>establish</w:t>
      </w:r>
      <w:r>
        <w:t>ment of</w:t>
      </w:r>
      <w:r w:rsidR="00EA41B4" w:rsidRPr="00EB725D">
        <w:t xml:space="preserve"> a</w:t>
      </w:r>
      <w:r w:rsidR="0070667E" w:rsidRPr="00EB725D">
        <w:t>n</w:t>
      </w:r>
      <w:r w:rsidR="00EA41B4" w:rsidRPr="00EB725D">
        <w:t xml:space="preserve"> Interjurisdictional Steering Committee and Technical Working Group</w:t>
      </w:r>
      <w:r w:rsidR="00201620" w:rsidRPr="00EB725D">
        <w:rPr>
          <w:rFonts w:cstheme="minorHAnsi"/>
        </w:rPr>
        <w:t>.</w:t>
      </w:r>
      <w:r w:rsidR="00EB725D">
        <w:rPr>
          <w:rFonts w:cstheme="minorHAnsi"/>
        </w:rPr>
        <w:t xml:space="preserve"> </w:t>
      </w:r>
    </w:p>
    <w:p w14:paraId="62400DC7" w14:textId="3FF780DE" w:rsidR="00B95B38" w:rsidRDefault="00C42589" w:rsidP="004E7B0E">
      <w:pPr>
        <w:pStyle w:val="ListParagraph"/>
        <w:numPr>
          <w:ilvl w:val="0"/>
          <w:numId w:val="8"/>
        </w:numPr>
      </w:pPr>
      <w:r>
        <w:t>Through consultation, c</w:t>
      </w:r>
      <w:r w:rsidR="00EC18F1">
        <w:t xml:space="preserve">oncerns were raised </w:t>
      </w:r>
      <w:r>
        <w:t xml:space="preserve">about </w:t>
      </w:r>
      <w:r w:rsidR="00EC18F1">
        <w:t xml:space="preserve">smaller facilities </w:t>
      </w:r>
      <w:r>
        <w:t>and their</w:t>
      </w:r>
      <w:r w:rsidR="00EC18F1">
        <w:t xml:space="preserve"> capacity to meet the mandatory reporting requirements, the potential burden and cost, data duplication and quality of data, and the requirement for additional information and education.</w:t>
      </w:r>
    </w:p>
    <w:p w14:paraId="42758FAB" w14:textId="15179557" w:rsidR="00EC18F1" w:rsidRDefault="00EC18F1" w:rsidP="004E7B0E">
      <w:pPr>
        <w:pStyle w:val="ListParagraph"/>
        <w:numPr>
          <w:ilvl w:val="0"/>
          <w:numId w:val="8"/>
        </w:numPr>
      </w:pPr>
      <w:r>
        <w:t>The Interjurisdictional Steering Committee has been instrumental in developing a proposed approach to implementation which includes report centralisation by jurisdiction and the use of existing IT systems wherever possible. The Committee provided a valuable mechanism for jurisdictional education and dissemination of information.</w:t>
      </w:r>
    </w:p>
    <w:p w14:paraId="4D8F9841" w14:textId="501F77B4" w:rsidR="0030768C" w:rsidRDefault="0030768C" w:rsidP="004E7B0E">
      <w:pPr>
        <w:pStyle w:val="ListParagraph"/>
        <w:numPr>
          <w:ilvl w:val="0"/>
          <w:numId w:val="8"/>
        </w:numPr>
      </w:pPr>
      <w:r>
        <w:t>A detailed summary of the consultation feedback has been integrated into the IA.</w:t>
      </w:r>
    </w:p>
    <w:p w14:paraId="76D674DF" w14:textId="77777777" w:rsidR="00FD5EE9" w:rsidRPr="00FD5EE9" w:rsidRDefault="00FD5EE9" w:rsidP="00FD5EE9"/>
    <w:p w14:paraId="5579272E" w14:textId="3D86C8E9" w:rsidR="00FD5EE9" w:rsidRDefault="00FD5EE9" w:rsidP="00FD5EE9">
      <w:pPr>
        <w:rPr>
          <w:i/>
          <w:iCs/>
        </w:rPr>
      </w:pPr>
      <w:r w:rsidRPr="00FD5EE9">
        <w:rPr>
          <w:i/>
          <w:iCs/>
        </w:rPr>
        <w:t xml:space="preserve">Explain how the preferred option was shaped by stakeholder views, or why their views were not adopted. </w:t>
      </w:r>
    </w:p>
    <w:p w14:paraId="22372DBD" w14:textId="77777777" w:rsidR="00FD3EEA" w:rsidRPr="000D7640" w:rsidRDefault="00FD3EEA" w:rsidP="00FD5EE9">
      <w:pPr>
        <w:rPr>
          <w:i/>
          <w:iCs/>
        </w:rPr>
      </w:pPr>
    </w:p>
    <w:p w14:paraId="6671C3AF" w14:textId="44C8E6D9" w:rsidR="00ED4304" w:rsidRDefault="00835386" w:rsidP="00ED4304">
      <w:pPr>
        <w:pStyle w:val="ListParagraph"/>
        <w:numPr>
          <w:ilvl w:val="0"/>
          <w:numId w:val="6"/>
        </w:numPr>
      </w:pPr>
      <w:r>
        <w:t>The preferred option, Option 3A</w:t>
      </w:r>
      <w:r w:rsidR="003818EC">
        <w:t>,</w:t>
      </w:r>
      <w:r>
        <w:t xml:space="preserve"> was informed </w:t>
      </w:r>
      <w:r w:rsidR="00FD3EEA">
        <w:t xml:space="preserve">by </w:t>
      </w:r>
      <w:r w:rsidR="00F54C96">
        <w:t xml:space="preserve">consultation with stakeholders </w:t>
      </w:r>
      <w:r w:rsidR="00CD1C73">
        <w:t>in the</w:t>
      </w:r>
      <w:r w:rsidR="00F54C96">
        <w:t xml:space="preserve"> Interjurisdictional Steering Committee and Technical Working Group</w:t>
      </w:r>
      <w:r w:rsidR="00F2573A">
        <w:t xml:space="preserve">. </w:t>
      </w:r>
      <w:r w:rsidR="00EB725D">
        <w:t>The f</w:t>
      </w:r>
      <w:r w:rsidR="00C15ED1" w:rsidRPr="00C15ED1">
        <w:t xml:space="preserve">easibility for introducing this option in individual healthcare facilities </w:t>
      </w:r>
      <w:r w:rsidR="00EB725D">
        <w:t>was discussed over 11</w:t>
      </w:r>
      <w:r w:rsidR="00EA41B4">
        <w:t xml:space="preserve"> meetings</w:t>
      </w:r>
      <w:r w:rsidR="00EB725D">
        <w:t>, with a view of</w:t>
      </w:r>
      <w:r w:rsidR="00C15ED1" w:rsidRPr="00C15ED1">
        <w:t xml:space="preserve"> balanc</w:t>
      </w:r>
      <w:r w:rsidR="00EB725D">
        <w:t>ing</w:t>
      </w:r>
      <w:r w:rsidR="00C15ED1" w:rsidRPr="00C15ED1">
        <w:t xml:space="preserve"> government objectives and regulatory burden</w:t>
      </w:r>
      <w:r w:rsidR="00914035">
        <w:t xml:space="preserve">. </w:t>
      </w:r>
    </w:p>
    <w:p w14:paraId="717642B5" w14:textId="6A4CEE2B" w:rsidR="00C421A3" w:rsidRPr="00220B33" w:rsidRDefault="00220B33" w:rsidP="00ED4304">
      <w:pPr>
        <w:pStyle w:val="ListParagraph"/>
        <w:numPr>
          <w:ilvl w:val="0"/>
          <w:numId w:val="6"/>
        </w:numPr>
      </w:pPr>
      <w:r w:rsidRPr="00EB725D">
        <w:t xml:space="preserve">While there </w:t>
      </w:r>
      <w:r w:rsidR="00C42589" w:rsidRPr="00EB725D">
        <w:t>are</w:t>
      </w:r>
      <w:r w:rsidRPr="00EB725D">
        <w:t xml:space="preserve"> </w:t>
      </w:r>
      <w:r w:rsidR="00EB725D">
        <w:t xml:space="preserve">varying preferences for either </w:t>
      </w:r>
      <w:r w:rsidRPr="00EB725D">
        <w:t>batch reporting</w:t>
      </w:r>
      <w:r w:rsidR="00EB725D">
        <w:t xml:space="preserve"> or reporting on occasion</w:t>
      </w:r>
      <w:r w:rsidRPr="00EB725D">
        <w:t xml:space="preserve">, </w:t>
      </w:r>
      <w:r w:rsidR="00EB725D">
        <w:t xml:space="preserve">a batched format </w:t>
      </w:r>
      <w:r w:rsidRPr="00EB725D">
        <w:t>does not equate to less reporting</w:t>
      </w:r>
      <w:r w:rsidR="00EB725D">
        <w:t xml:space="preserve"> as timeframes to report </w:t>
      </w:r>
      <w:r w:rsidR="00E141E9">
        <w:t>connected to the time an</w:t>
      </w:r>
      <w:r w:rsidR="00EB725D">
        <w:t xml:space="preserve"> event</w:t>
      </w:r>
      <w:r w:rsidR="00E141E9">
        <w:t xml:space="preserve"> </w:t>
      </w:r>
      <w:r w:rsidR="00905968">
        <w:t>occurred</w:t>
      </w:r>
      <w:r w:rsidR="00EB725D">
        <w:t xml:space="preserve"> will apply</w:t>
      </w:r>
      <w:r w:rsidRPr="00EB725D">
        <w:t xml:space="preserve">. </w:t>
      </w:r>
    </w:p>
    <w:p w14:paraId="07D9B2F0" w14:textId="31F76FE6" w:rsidR="00FD5EE9" w:rsidRPr="00753C44" w:rsidRDefault="00EA41B4" w:rsidP="00753C44">
      <w:pPr>
        <w:pStyle w:val="ListParagraph"/>
        <w:numPr>
          <w:ilvl w:val="0"/>
          <w:numId w:val="6"/>
        </w:numPr>
        <w:rPr>
          <w:kern w:val="2"/>
          <w14:ligatures w14:val="standardContextual"/>
        </w:rPr>
      </w:pPr>
      <w:r>
        <w:rPr>
          <w:kern w:val="2"/>
          <w14:ligatures w14:val="standardContextual"/>
        </w:rPr>
        <w:t xml:space="preserve">Some facilities raised the need to ensure appropriate implementation timeframes to enable </w:t>
      </w:r>
      <w:r w:rsidR="003818EC">
        <w:rPr>
          <w:kern w:val="2"/>
          <w14:ligatures w14:val="standardContextual"/>
        </w:rPr>
        <w:t>IT systems</w:t>
      </w:r>
      <w:r>
        <w:rPr>
          <w:kern w:val="2"/>
          <w14:ligatures w14:val="standardContextual"/>
        </w:rPr>
        <w:t xml:space="preserve"> to collect and transmit data, and for staff to be training in reporting requirements.</w:t>
      </w:r>
      <w:r w:rsidR="003818EC">
        <w:rPr>
          <w:kern w:val="2"/>
          <w14:ligatures w14:val="standardContextual"/>
        </w:rPr>
        <w:t xml:space="preserve"> </w:t>
      </w:r>
      <w:r>
        <w:rPr>
          <w:kern w:val="2"/>
          <w14:ligatures w14:val="standardContextual"/>
        </w:rPr>
        <w:t xml:space="preserve">A </w:t>
      </w:r>
      <w:r w:rsidR="00223D6B" w:rsidRPr="00223D6B">
        <w:rPr>
          <w:kern w:val="2"/>
          <w14:ligatures w14:val="standardContextual"/>
        </w:rPr>
        <w:t>phased approach</w:t>
      </w:r>
      <w:r w:rsidR="003818EC">
        <w:rPr>
          <w:kern w:val="2"/>
          <w14:ligatures w14:val="standardContextual"/>
        </w:rPr>
        <w:t xml:space="preserve"> </w:t>
      </w:r>
      <w:r>
        <w:rPr>
          <w:kern w:val="2"/>
          <w14:ligatures w14:val="standardContextual"/>
        </w:rPr>
        <w:t>will provide for these concerns, whilst still ensuring the most serious adverse events are reported to the TGA first.</w:t>
      </w:r>
    </w:p>
    <w:p w14:paraId="45B259E8" w14:textId="77777777" w:rsidR="00FD5EE9" w:rsidRPr="00FD5EE9" w:rsidRDefault="00FD5EE9" w:rsidP="00FD5EE9"/>
    <w:p w14:paraId="66300660" w14:textId="3C46764F" w:rsidR="00FD5EE9" w:rsidRPr="000D7640" w:rsidRDefault="00FD5EE9" w:rsidP="00FD5EE9">
      <w:pPr>
        <w:rPr>
          <w:i/>
          <w:iCs/>
        </w:rPr>
      </w:pPr>
      <w:r w:rsidRPr="00FD5EE9">
        <w:rPr>
          <w:i/>
          <w:iCs/>
        </w:rPr>
        <w:t xml:space="preserve">It would strengthen this section to include any limitations of the consultation process. </w:t>
      </w:r>
    </w:p>
    <w:p w14:paraId="33D6D7CD" w14:textId="75469A5D" w:rsidR="00EA41B4" w:rsidRDefault="00EA41B4" w:rsidP="009112EC">
      <w:pPr>
        <w:pStyle w:val="NormalWeb"/>
        <w:numPr>
          <w:ilvl w:val="0"/>
          <w:numId w:val="6"/>
        </w:numPr>
        <w:spacing w:before="75" w:beforeAutospacing="0" w:after="75" w:afterAutospacing="0" w:line="300" w:lineRule="atLeast"/>
        <w:ind w:right="75"/>
        <w:rPr>
          <w:rFonts w:ascii="Book Antiqua" w:hAnsi="Book Antiqua" w:cs="Segoe UI"/>
          <w:color w:val="242424"/>
        </w:rPr>
      </w:pPr>
      <w:r>
        <w:rPr>
          <w:rFonts w:ascii="Book Antiqua" w:hAnsi="Book Antiqua" w:cs="Segoe UI"/>
          <w:color w:val="242424"/>
        </w:rPr>
        <w:t>The TGA undertook broad consultation on this measure</w:t>
      </w:r>
      <w:r w:rsidR="00EB725D">
        <w:rPr>
          <w:rFonts w:ascii="Book Antiqua" w:hAnsi="Book Antiqua" w:cs="Segoe UI"/>
          <w:color w:val="242424"/>
        </w:rPr>
        <w:t xml:space="preserve"> along with further consultations with industry through forums </w:t>
      </w:r>
      <w:r w:rsidR="00C42589">
        <w:rPr>
          <w:rFonts w:ascii="Book Antiqua" w:hAnsi="Book Antiqua" w:cs="Segoe UI"/>
          <w:color w:val="242424"/>
        </w:rPr>
        <w:t>including</w:t>
      </w:r>
      <w:r w:rsidR="00EB725D">
        <w:rPr>
          <w:rFonts w:ascii="Book Antiqua" w:hAnsi="Book Antiqua" w:cs="Segoe UI"/>
          <w:color w:val="242424"/>
        </w:rPr>
        <w:t xml:space="preserve"> the Regulatory and Technical Consultative Forum for medical devices. </w:t>
      </w:r>
      <w:r w:rsidR="00EC18F1">
        <w:rPr>
          <w:rFonts w:ascii="Book Antiqua" w:hAnsi="Book Antiqua" w:cs="Segoe UI"/>
          <w:color w:val="242424"/>
        </w:rPr>
        <w:t>While</w:t>
      </w:r>
      <w:r w:rsidR="00E5180F">
        <w:rPr>
          <w:rFonts w:ascii="Book Antiqua" w:hAnsi="Book Antiqua" w:cs="Segoe UI"/>
          <w:color w:val="242424"/>
        </w:rPr>
        <w:t xml:space="preserve"> </w:t>
      </w:r>
      <w:r w:rsidR="00C42589">
        <w:rPr>
          <w:rFonts w:ascii="Book Antiqua" w:hAnsi="Book Antiqua" w:cs="Segoe UI"/>
          <w:color w:val="242424"/>
        </w:rPr>
        <w:t xml:space="preserve">stakeholder </w:t>
      </w:r>
      <w:r w:rsidR="00E5180F">
        <w:rPr>
          <w:rFonts w:ascii="Book Antiqua" w:hAnsi="Book Antiqua" w:cs="Segoe UI"/>
          <w:color w:val="242424"/>
        </w:rPr>
        <w:t>concerns</w:t>
      </w:r>
      <w:r w:rsidR="00EC18F1">
        <w:rPr>
          <w:rFonts w:ascii="Book Antiqua" w:hAnsi="Book Antiqua" w:cs="Segoe UI"/>
          <w:color w:val="242424"/>
        </w:rPr>
        <w:t xml:space="preserve"> raised </w:t>
      </w:r>
      <w:r w:rsidR="00E5180F">
        <w:rPr>
          <w:rFonts w:ascii="Book Antiqua" w:hAnsi="Book Antiqua" w:cs="Segoe UI"/>
          <w:color w:val="242424"/>
        </w:rPr>
        <w:t>were</w:t>
      </w:r>
      <w:r w:rsidR="00EC18F1">
        <w:rPr>
          <w:rFonts w:ascii="Book Antiqua" w:hAnsi="Book Antiqua" w:cs="Segoe UI"/>
          <w:color w:val="242424"/>
        </w:rPr>
        <w:t xml:space="preserve"> previously identified, n</w:t>
      </w:r>
      <w:r w:rsidR="00EB725D">
        <w:rPr>
          <w:rFonts w:ascii="Book Antiqua" w:hAnsi="Book Antiqua" w:cs="Segoe UI"/>
          <w:color w:val="242424"/>
        </w:rPr>
        <w:t xml:space="preserve">o substantial limitations of the consultation process </w:t>
      </w:r>
      <w:r w:rsidR="00C42589">
        <w:rPr>
          <w:rFonts w:ascii="Book Antiqua" w:hAnsi="Book Antiqua" w:cs="Segoe UI"/>
          <w:color w:val="242424"/>
        </w:rPr>
        <w:t>have been</w:t>
      </w:r>
      <w:r w:rsidR="00EB725D">
        <w:rPr>
          <w:rFonts w:ascii="Book Antiqua" w:hAnsi="Book Antiqua" w:cs="Segoe UI"/>
          <w:color w:val="242424"/>
        </w:rPr>
        <w:t xml:space="preserve"> identified</w:t>
      </w:r>
      <w:r w:rsidR="007F7662">
        <w:rPr>
          <w:rFonts w:ascii="Book Antiqua" w:hAnsi="Book Antiqua" w:cs="Segoe UI"/>
          <w:color w:val="242424"/>
        </w:rPr>
        <w:t>.</w:t>
      </w:r>
      <w:r w:rsidR="00EB725D">
        <w:rPr>
          <w:rFonts w:ascii="Book Antiqua" w:hAnsi="Book Antiqua" w:cs="Segoe UI"/>
          <w:color w:val="242424"/>
        </w:rPr>
        <w:t xml:space="preserve"> </w:t>
      </w:r>
      <w:r>
        <w:rPr>
          <w:rFonts w:ascii="Book Antiqua" w:hAnsi="Book Antiqua" w:cs="Segoe UI"/>
          <w:color w:val="242424"/>
        </w:rPr>
        <w:t xml:space="preserve"> </w:t>
      </w:r>
    </w:p>
    <w:p w14:paraId="129425E2" w14:textId="77777777" w:rsidR="00FD5EE9" w:rsidRPr="00FD5EE9" w:rsidRDefault="00FD5EE9" w:rsidP="00FD5EE9"/>
    <w:p w14:paraId="5B717CB2" w14:textId="00A70A6E" w:rsidR="00FD5EE9" w:rsidRDefault="00FD5EE9" w:rsidP="00FD5EE9">
      <w:pPr>
        <w:rPr>
          <w:i/>
          <w:iCs/>
        </w:rPr>
      </w:pPr>
      <w:r w:rsidRPr="00FD5EE9">
        <w:rPr>
          <w:i/>
          <w:iCs/>
        </w:rPr>
        <w:t xml:space="preserve">It would be helpful to explain what the goals of consultation were regarding the scoping and design of the options and the understanding of the impacts of the options. </w:t>
      </w:r>
    </w:p>
    <w:p w14:paraId="547A26B2" w14:textId="77777777" w:rsidR="00373C02" w:rsidRPr="000D7640" w:rsidRDefault="00373C02" w:rsidP="00FD5EE9">
      <w:pPr>
        <w:rPr>
          <w:i/>
          <w:iCs/>
        </w:rPr>
      </w:pPr>
    </w:p>
    <w:p w14:paraId="37F33C8B" w14:textId="33BAF8D4" w:rsidR="000018EF" w:rsidRDefault="000018EF" w:rsidP="00BA3817">
      <w:pPr>
        <w:pStyle w:val="ListParagraph"/>
        <w:numPr>
          <w:ilvl w:val="0"/>
          <w:numId w:val="12"/>
        </w:numPr>
      </w:pPr>
      <w:r>
        <w:t>The goals of the consultations were multifaceted.</w:t>
      </w:r>
      <w:r w:rsidR="00985BA3">
        <w:t xml:space="preserve"> </w:t>
      </w:r>
      <w:r w:rsidR="00C42589">
        <w:t>C</w:t>
      </w:r>
      <w:r w:rsidR="004827BC">
        <w:t xml:space="preserve">onsultation </w:t>
      </w:r>
      <w:r>
        <w:t xml:space="preserve">aimed to gain a clear understanding of what </w:t>
      </w:r>
      <w:r w:rsidR="004827BC">
        <w:t xml:space="preserve">data </w:t>
      </w:r>
      <w:r>
        <w:t xml:space="preserve">is currently captured in the incident </w:t>
      </w:r>
      <w:r w:rsidR="007F376D">
        <w:t>management systems</w:t>
      </w:r>
      <w:r>
        <w:t xml:space="preserve"> of public and private healthcare facilities</w:t>
      </w:r>
      <w:r w:rsidR="004827BC">
        <w:t xml:space="preserve"> to</w:t>
      </w:r>
      <w:r>
        <w:t xml:space="preserve"> identify </w:t>
      </w:r>
      <w:r>
        <w:lastRenderedPageBreak/>
        <w:t xml:space="preserve">opportunities to build </w:t>
      </w:r>
      <w:r w:rsidR="004827BC">
        <w:t>up</w:t>
      </w:r>
      <w:r>
        <w:t xml:space="preserve">on existing reporting practices and systems while determining areas requiring </w:t>
      </w:r>
      <w:r w:rsidR="004827BC">
        <w:t xml:space="preserve">development to </w:t>
      </w:r>
      <w:r>
        <w:t xml:space="preserve">enable progressive roll out of the scheme. </w:t>
      </w:r>
      <w:r w:rsidR="00C42589">
        <w:t xml:space="preserve">The </w:t>
      </w:r>
      <w:r>
        <w:t>consultation sought to identify legislative challenges related to privacy or data sharing</w:t>
      </w:r>
      <w:r w:rsidR="004827BC">
        <w:t xml:space="preserve"> and </w:t>
      </w:r>
      <w:r>
        <w:t>ensu</w:t>
      </w:r>
      <w:r w:rsidR="004827BC">
        <w:t>re</w:t>
      </w:r>
      <w:r>
        <w:t xml:space="preserve"> </w:t>
      </w:r>
      <w:r w:rsidR="004827BC">
        <w:t xml:space="preserve">that </w:t>
      </w:r>
      <w:r>
        <w:t xml:space="preserve">these considerations are factored into the design of the </w:t>
      </w:r>
      <w:r w:rsidR="004827BC">
        <w:t xml:space="preserve">options and </w:t>
      </w:r>
      <w:r>
        <w:t>reporting requirements.</w:t>
      </w:r>
      <w:r w:rsidR="00626AAF">
        <w:t xml:space="preserve"> </w:t>
      </w:r>
      <w:r w:rsidR="00C42589">
        <w:t>The consultation’s focus included</w:t>
      </w:r>
      <w:r>
        <w:t xml:space="preserve"> education and </w:t>
      </w:r>
      <w:r w:rsidR="004827BC">
        <w:t xml:space="preserve">building </w:t>
      </w:r>
      <w:r>
        <w:t xml:space="preserve">awareness to support </w:t>
      </w:r>
      <w:r w:rsidR="004827BC">
        <w:t xml:space="preserve">successful </w:t>
      </w:r>
      <w:r>
        <w:t xml:space="preserve">implementation of the scheme. </w:t>
      </w:r>
      <w:r w:rsidR="00626AAF">
        <w:t>Lastly, consultation was critical to ensure a</w:t>
      </w:r>
      <w:r>
        <w:t>lign</w:t>
      </w:r>
      <w:r w:rsidR="00626AAF">
        <w:t>ment of</w:t>
      </w:r>
      <w:r>
        <w:t xml:space="preserve"> the reporting framework with the Advisory and the </w:t>
      </w:r>
      <w:r w:rsidRPr="0051689A">
        <w:t>National Safety and Quality Health Service</w:t>
      </w:r>
      <w:r>
        <w:t xml:space="preserve"> (NSQHS) Standards</w:t>
      </w:r>
      <w:r w:rsidR="00626AAF">
        <w:t xml:space="preserve">, as this will </w:t>
      </w:r>
      <w:r w:rsidR="007F376D">
        <w:t>ensure health facilities are prepared for accreditation by the Commission under the new reporting requirements.</w:t>
      </w:r>
    </w:p>
    <w:p w14:paraId="3B44AB47" w14:textId="59589FB1" w:rsidR="00BA3817" w:rsidRDefault="00B1688D" w:rsidP="00BA3817">
      <w:pPr>
        <w:pStyle w:val="ListParagraph"/>
        <w:numPr>
          <w:ilvl w:val="0"/>
          <w:numId w:val="12"/>
        </w:numPr>
      </w:pPr>
      <w:r>
        <w:t xml:space="preserve">The development of options in the IA </w:t>
      </w:r>
      <w:r w:rsidR="00202032">
        <w:t xml:space="preserve">was deeply </w:t>
      </w:r>
      <w:r>
        <w:t xml:space="preserve">informed by </w:t>
      </w:r>
      <w:r w:rsidR="008E2A4E">
        <w:t xml:space="preserve">stakeholder </w:t>
      </w:r>
      <w:r w:rsidR="00D5398E">
        <w:t>consultation</w:t>
      </w:r>
      <w:r w:rsidR="00BD1E71">
        <w:t xml:space="preserve"> through </w:t>
      </w:r>
      <w:r w:rsidR="00F8088D">
        <w:t xml:space="preserve">roundtables in 2023, jurisdictional steering committee and </w:t>
      </w:r>
      <w:r w:rsidR="00990B89">
        <w:t>technical working group</w:t>
      </w:r>
      <w:r w:rsidR="0007715D">
        <w:t xml:space="preserve"> meetings in 2024</w:t>
      </w:r>
      <w:r w:rsidR="00990B89">
        <w:t xml:space="preserve">. </w:t>
      </w:r>
    </w:p>
    <w:p w14:paraId="157BA63A" w14:textId="6C9E7BB9" w:rsidR="006379E1" w:rsidRPr="0016026D" w:rsidRDefault="00D3251C" w:rsidP="009E001A">
      <w:pPr>
        <w:pStyle w:val="ListParagraph"/>
        <w:numPr>
          <w:ilvl w:val="0"/>
          <w:numId w:val="12"/>
        </w:numPr>
        <w:rPr>
          <w:b/>
          <w:bCs/>
        </w:rPr>
      </w:pPr>
      <w:r w:rsidRPr="00D3251C">
        <w:t xml:space="preserve">Each consultation provided insights </w:t>
      </w:r>
      <w:r w:rsidR="00C42589">
        <w:t>to inform</w:t>
      </w:r>
      <w:r w:rsidR="00CA0554">
        <w:t xml:space="preserve"> the development of</w:t>
      </w:r>
      <w:r w:rsidRPr="00D3251C">
        <w:t xml:space="preserve"> options that balance</w:t>
      </w:r>
      <w:r w:rsidR="00CA0554">
        <w:t>d</w:t>
      </w:r>
      <w:r w:rsidRPr="00D3251C">
        <w:t xml:space="preserve"> patient safety with practical implementation considerations for healthcare facilities and jurisdictions</w:t>
      </w:r>
      <w:r w:rsidR="000D3796">
        <w:t xml:space="preserve"> and its impact.</w:t>
      </w:r>
    </w:p>
    <w:p w14:paraId="02BB327C" w14:textId="6A2FFFD6" w:rsidR="0016026D" w:rsidRPr="000D3796" w:rsidRDefault="0016026D" w:rsidP="009E001A">
      <w:pPr>
        <w:pStyle w:val="ListParagraph"/>
        <w:numPr>
          <w:ilvl w:val="0"/>
          <w:numId w:val="12"/>
        </w:numPr>
        <w:rPr>
          <w:b/>
          <w:bCs/>
        </w:rPr>
      </w:pPr>
      <w:r>
        <w:t xml:space="preserve">The impacts of each policy option </w:t>
      </w:r>
      <w:r w:rsidR="009B228C">
        <w:t>are</w:t>
      </w:r>
      <w:r>
        <w:t xml:space="preserve"> </w:t>
      </w:r>
      <w:r w:rsidR="00906787">
        <w:t>detailed in Question</w:t>
      </w:r>
      <w:r w:rsidR="005A7F5E">
        <w:t>s Three, Four and Six of the IA.</w:t>
      </w:r>
      <w:r w:rsidR="00EA41B4">
        <w:t xml:space="preserve"> These consultations will also feed into the development of the final Regulations to support implementation of the scheme as evidenced through the proposed approach to phased implementation.</w:t>
      </w:r>
    </w:p>
    <w:p w14:paraId="5731A03D" w14:textId="77777777" w:rsidR="000D3796" w:rsidRPr="000D3796" w:rsidRDefault="000D3796" w:rsidP="000D3796">
      <w:pPr>
        <w:pStyle w:val="ListParagraph"/>
        <w:rPr>
          <w:b/>
          <w:bCs/>
        </w:rPr>
      </w:pPr>
    </w:p>
    <w:p w14:paraId="229E7CCC" w14:textId="029F91E1" w:rsidR="006379E1" w:rsidRDefault="0053714A" w:rsidP="009A6825">
      <w:pPr>
        <w:rPr>
          <w:b/>
          <w:bCs/>
        </w:rPr>
      </w:pPr>
      <w:r>
        <w:rPr>
          <w:b/>
          <w:bCs/>
        </w:rPr>
        <w:t>Conclusion</w:t>
      </w:r>
    </w:p>
    <w:p w14:paraId="3E6412BD" w14:textId="77777777" w:rsidR="000D5D65" w:rsidRDefault="000D5D65" w:rsidP="009A6825">
      <w:pPr>
        <w:rPr>
          <w:b/>
          <w:bCs/>
        </w:rPr>
      </w:pPr>
    </w:p>
    <w:p w14:paraId="6375C365" w14:textId="77777777" w:rsidR="002C3E6B" w:rsidRDefault="002C3E6B" w:rsidP="002C3E6B">
      <w:pPr>
        <w:rPr>
          <w:i/>
          <w:iCs/>
        </w:rPr>
      </w:pPr>
      <w:r w:rsidRPr="002C3E6B">
        <w:rPr>
          <w:i/>
          <w:iCs/>
        </w:rPr>
        <w:t xml:space="preserve">Explain the decision-making process, including interim and final decision points and the status of the IA at each major decision point to inform decision-makers. </w:t>
      </w:r>
    </w:p>
    <w:p w14:paraId="4C961023" w14:textId="77777777" w:rsidR="006A3BC5" w:rsidRDefault="006A3BC5" w:rsidP="002C3E6B">
      <w:pPr>
        <w:rPr>
          <w:i/>
          <w:iCs/>
        </w:rPr>
      </w:pPr>
    </w:p>
    <w:p w14:paraId="4D42C4C1" w14:textId="216CF356" w:rsidR="00B517B9" w:rsidRDefault="004B3C1B" w:rsidP="00C13271">
      <w:pPr>
        <w:pStyle w:val="ListParagraph"/>
        <w:numPr>
          <w:ilvl w:val="0"/>
          <w:numId w:val="13"/>
        </w:numPr>
      </w:pPr>
      <w:r>
        <w:t xml:space="preserve">Following the </w:t>
      </w:r>
      <w:r w:rsidRPr="00EB725D">
        <w:rPr>
          <w:i/>
          <w:iCs/>
        </w:rPr>
        <w:t>2017-2018 Senate Inquiry into transvaginal mesh implants and related matters</w:t>
      </w:r>
      <w:r>
        <w:t xml:space="preserve">, the </w:t>
      </w:r>
      <w:r w:rsidR="00B517B9">
        <w:t xml:space="preserve">TGA highlighted the </w:t>
      </w:r>
      <w:r>
        <w:t xml:space="preserve">need for rapid information sharing between </w:t>
      </w:r>
      <w:r w:rsidR="00300C82">
        <w:t xml:space="preserve">jurisdictions, </w:t>
      </w:r>
      <w:r>
        <w:t>health</w:t>
      </w:r>
      <w:r w:rsidR="00300C82">
        <w:t>care facilities</w:t>
      </w:r>
      <w:r>
        <w:t xml:space="preserve"> and regulators about medical device safety and efficacy</w:t>
      </w:r>
      <w:r w:rsidR="00B517B9">
        <w:t>.</w:t>
      </w:r>
      <w:r w:rsidR="00C421A3">
        <w:t xml:space="preserve"> </w:t>
      </w:r>
    </w:p>
    <w:p w14:paraId="6119154D" w14:textId="32151D79" w:rsidR="007D5038" w:rsidRDefault="007D5038" w:rsidP="00C13271">
      <w:pPr>
        <w:pStyle w:val="ListParagraph"/>
        <w:numPr>
          <w:ilvl w:val="0"/>
          <w:numId w:val="13"/>
        </w:numPr>
      </w:pPr>
      <w:r>
        <w:t>In 2021, a p</w:t>
      </w:r>
      <w:r w:rsidR="00B517B9">
        <w:t xml:space="preserve">ublic consultation </w:t>
      </w:r>
      <w:r w:rsidRPr="00B333F0">
        <w:t xml:space="preserve">with key Australian stakeholders, including representatives from each state and territory departments of health, </w:t>
      </w:r>
      <w:r>
        <w:t>the Commission</w:t>
      </w:r>
      <w:r w:rsidRPr="00B333F0">
        <w:t xml:space="preserve">, a range of healthcare organisations and some </w:t>
      </w:r>
      <w:r w:rsidRPr="00270608">
        <w:t>Organisation for Economic Co-operation and Development</w:t>
      </w:r>
      <w:r>
        <w:t xml:space="preserve"> (</w:t>
      </w:r>
      <w:r w:rsidRPr="00B333F0">
        <w:t>OECD</w:t>
      </w:r>
      <w:r>
        <w:t>)</w:t>
      </w:r>
      <w:r w:rsidRPr="00B333F0">
        <w:t xml:space="preserve"> health regulators</w:t>
      </w:r>
      <w:r>
        <w:t xml:space="preserve">. </w:t>
      </w:r>
    </w:p>
    <w:p w14:paraId="4FF30755" w14:textId="77777777" w:rsidR="00102CCB" w:rsidRDefault="00206AFE" w:rsidP="00C13271">
      <w:pPr>
        <w:pStyle w:val="ListParagraph"/>
        <w:numPr>
          <w:ilvl w:val="0"/>
          <w:numId w:val="13"/>
        </w:numPr>
      </w:pPr>
      <w:r>
        <w:t xml:space="preserve">An early </w:t>
      </w:r>
      <w:r w:rsidRPr="006C7B4A">
        <w:t xml:space="preserve">assessment IA </w:t>
      </w:r>
      <w:r w:rsidR="005C040A">
        <w:t xml:space="preserve">was </w:t>
      </w:r>
      <w:r w:rsidR="00C74EC2">
        <w:t>completed</w:t>
      </w:r>
      <w:r w:rsidR="005C040A">
        <w:t xml:space="preserve"> </w:t>
      </w:r>
      <w:r>
        <w:t>on 15</w:t>
      </w:r>
      <w:r w:rsidRPr="006C7B4A">
        <w:t xml:space="preserve"> </w:t>
      </w:r>
      <w:r>
        <w:t>November</w:t>
      </w:r>
      <w:r w:rsidRPr="009B230E">
        <w:t xml:space="preserve"> 2022</w:t>
      </w:r>
      <w:r w:rsidR="00102CCB">
        <w:t>.</w:t>
      </w:r>
    </w:p>
    <w:p w14:paraId="2C570CF5" w14:textId="34121FC0" w:rsidR="00C13271" w:rsidRDefault="00102CCB" w:rsidP="00C13271">
      <w:pPr>
        <w:pStyle w:val="ListParagraph"/>
        <w:numPr>
          <w:ilvl w:val="0"/>
          <w:numId w:val="13"/>
        </w:numPr>
      </w:pPr>
      <w:r>
        <w:t>I</w:t>
      </w:r>
      <w:r w:rsidR="0054644D">
        <w:t>n</w:t>
      </w:r>
      <w:r>
        <w:t xml:space="preserve"> November 2024, </w:t>
      </w:r>
      <w:r w:rsidR="0054644D">
        <w:t xml:space="preserve">the </w:t>
      </w:r>
      <w:r w:rsidR="00206AFE" w:rsidRPr="006C7B4A">
        <w:t>First Pass IA</w:t>
      </w:r>
      <w:r w:rsidR="0054644D">
        <w:t xml:space="preserve"> </w:t>
      </w:r>
      <w:r w:rsidR="00206AFE" w:rsidRPr="006C7B4A">
        <w:t>was provided to</w:t>
      </w:r>
      <w:r w:rsidR="00206AFE">
        <w:t xml:space="preserve"> the</w:t>
      </w:r>
      <w:r w:rsidR="00206AFE" w:rsidRPr="006C7B4A">
        <w:t xml:space="preserve"> Government </w:t>
      </w:r>
      <w:r w:rsidR="00206AFE">
        <w:t>for</w:t>
      </w:r>
      <w:r w:rsidR="00206AFE" w:rsidRPr="006C7B4A">
        <w:t xml:space="preserve"> consideration of the </w:t>
      </w:r>
      <w:r w:rsidR="00206AFE">
        <w:t>mandatory reporting scheme</w:t>
      </w:r>
      <w:r w:rsidR="00206AFE" w:rsidRPr="006C7B4A">
        <w:t>, based on the options provided</w:t>
      </w:r>
      <w:r w:rsidR="0054644D">
        <w:t>.</w:t>
      </w:r>
    </w:p>
    <w:p w14:paraId="0910E284" w14:textId="5DC51BCD" w:rsidR="0054644D" w:rsidRPr="002C3E6B" w:rsidRDefault="00242211" w:rsidP="00C13271">
      <w:pPr>
        <w:pStyle w:val="ListParagraph"/>
        <w:numPr>
          <w:ilvl w:val="0"/>
          <w:numId w:val="13"/>
        </w:numPr>
      </w:pPr>
      <w:r>
        <w:t xml:space="preserve">It is anticipated the </w:t>
      </w:r>
      <w:r w:rsidR="0054644D">
        <w:t xml:space="preserve">Second Pass IA </w:t>
      </w:r>
      <w:r>
        <w:t>will</w:t>
      </w:r>
      <w:r w:rsidR="0054644D">
        <w:t xml:space="preserve"> be submitted in </w:t>
      </w:r>
      <w:r w:rsidR="0002140D">
        <w:t xml:space="preserve">early </w:t>
      </w:r>
      <w:r w:rsidR="007F376D">
        <w:t xml:space="preserve">February </w:t>
      </w:r>
      <w:r w:rsidR="0054644D">
        <w:t>202</w:t>
      </w:r>
      <w:r w:rsidR="0002140D">
        <w:t>5</w:t>
      </w:r>
      <w:r w:rsidR="0054644D">
        <w:t xml:space="preserve">. </w:t>
      </w:r>
    </w:p>
    <w:p w14:paraId="08B020EF" w14:textId="77777777" w:rsidR="002C3E6B" w:rsidRDefault="002C3E6B" w:rsidP="002C3E6B">
      <w:pPr>
        <w:rPr>
          <w:b/>
          <w:bCs/>
        </w:rPr>
      </w:pPr>
    </w:p>
    <w:p w14:paraId="37D5F759" w14:textId="52EDD278" w:rsidR="002C3E6B" w:rsidRPr="002C3E6B" w:rsidRDefault="002C3E6B" w:rsidP="002C3E6B">
      <w:pPr>
        <w:rPr>
          <w:i/>
          <w:iCs/>
        </w:rPr>
      </w:pPr>
      <w:r w:rsidRPr="002C3E6B">
        <w:rPr>
          <w:i/>
          <w:iCs/>
        </w:rPr>
        <w:t xml:space="preserve">Discuss the reason why a small increase in regulatory burden ($50,000 difference between Option 3A and Option 3B) has been considered more important than a potentially large gain in timely data. How is this affected by potential changes to the regularity of batch reporting, noting that this has not yet been decided? </w:t>
      </w:r>
    </w:p>
    <w:p w14:paraId="62DD8E22" w14:textId="77777777" w:rsidR="000D5D65" w:rsidRDefault="000D5D65" w:rsidP="009A6825">
      <w:pPr>
        <w:rPr>
          <w:b/>
          <w:bCs/>
        </w:rPr>
      </w:pPr>
    </w:p>
    <w:p w14:paraId="1BBB49BD" w14:textId="20E8E91F" w:rsidR="00EA41B4" w:rsidRDefault="006A1DEF" w:rsidP="00182002">
      <w:pPr>
        <w:pStyle w:val="ListParagraph"/>
        <w:numPr>
          <w:ilvl w:val="0"/>
          <w:numId w:val="14"/>
        </w:numPr>
      </w:pPr>
      <w:r>
        <w:t xml:space="preserve">The cost to implement Option </w:t>
      </w:r>
      <w:r w:rsidR="00EA41B4">
        <w:t xml:space="preserve">3A is </w:t>
      </w:r>
      <w:r>
        <w:t>$1.62 million</w:t>
      </w:r>
      <w:r w:rsidR="00EA41B4">
        <w:t xml:space="preserve"> and </w:t>
      </w:r>
      <w:r>
        <w:t xml:space="preserve">Option </w:t>
      </w:r>
      <w:r w:rsidR="00EA41B4">
        <w:t xml:space="preserve">3B is </w:t>
      </w:r>
      <w:r>
        <w:t>$1.67 million.</w:t>
      </w:r>
    </w:p>
    <w:p w14:paraId="3D1B88D9" w14:textId="6D628C7B" w:rsidR="00EA41B4" w:rsidRDefault="00050EC0" w:rsidP="00247BE0">
      <w:pPr>
        <w:pStyle w:val="ListParagraph"/>
        <w:numPr>
          <w:ilvl w:val="0"/>
          <w:numId w:val="14"/>
        </w:numPr>
      </w:pPr>
      <w:r>
        <w:lastRenderedPageBreak/>
        <w:t>As noted above, w</w:t>
      </w:r>
      <w:r w:rsidRPr="00EB725D">
        <w:t xml:space="preserve">hile there </w:t>
      </w:r>
      <w:r w:rsidR="001258FC" w:rsidRPr="00EB725D">
        <w:t>are</w:t>
      </w:r>
      <w:r w:rsidRPr="00EB725D">
        <w:t xml:space="preserve"> </w:t>
      </w:r>
      <w:r>
        <w:t xml:space="preserve">varying preferences for either </w:t>
      </w:r>
      <w:r w:rsidRPr="00EB725D">
        <w:t>batch reporting</w:t>
      </w:r>
      <w:r>
        <w:t xml:space="preserve"> or reporting on occasion</w:t>
      </w:r>
      <w:r w:rsidRPr="00EB725D">
        <w:t xml:space="preserve">, </w:t>
      </w:r>
      <w:r>
        <w:t xml:space="preserve">a batched format </w:t>
      </w:r>
      <w:r w:rsidRPr="00EB725D">
        <w:t>does not equate to less reporting</w:t>
      </w:r>
      <w:r>
        <w:t xml:space="preserve"> as timeframes to report connected to the time an event occurred will apply</w:t>
      </w:r>
      <w:r w:rsidRPr="00EB725D">
        <w:t xml:space="preserve">. </w:t>
      </w:r>
      <w:r w:rsidR="006A1DEF">
        <w:t xml:space="preserve">Option </w:t>
      </w:r>
      <w:r w:rsidR="00EA41B4">
        <w:t>3B introduces regulatory burden that is unlikely to lead to more timely intervention by the TGA</w:t>
      </w:r>
      <w:r w:rsidR="00905968">
        <w:t>. This is because the most serious adverse events will continue to be reported to the TGA through shorter timeframes.</w:t>
      </w:r>
    </w:p>
    <w:p w14:paraId="6BB6A151" w14:textId="74C18243" w:rsidR="0053714A" w:rsidRDefault="007C4C9D" w:rsidP="00182002">
      <w:pPr>
        <w:pStyle w:val="ListParagraph"/>
        <w:numPr>
          <w:ilvl w:val="0"/>
          <w:numId w:val="14"/>
        </w:numPr>
      </w:pPr>
      <w:r>
        <w:t xml:space="preserve">While </w:t>
      </w:r>
      <w:r w:rsidR="00BE2AD3">
        <w:t xml:space="preserve">$50,000 difference </w:t>
      </w:r>
      <w:r w:rsidR="00561B76">
        <w:t xml:space="preserve">between </w:t>
      </w:r>
      <w:r w:rsidR="00287435" w:rsidRPr="00182ADB">
        <w:t>Option 3A</w:t>
      </w:r>
      <w:r w:rsidR="00561B76">
        <w:t xml:space="preserve"> and Option 3B </w:t>
      </w:r>
      <w:r w:rsidR="00206D70">
        <w:t xml:space="preserve">may appear to be a </w:t>
      </w:r>
      <w:r w:rsidR="007C18C1">
        <w:t>small</w:t>
      </w:r>
      <w:r w:rsidR="00206D70">
        <w:t xml:space="preserve"> increase</w:t>
      </w:r>
      <w:r w:rsidR="007C18C1" w:rsidRPr="007C18C1">
        <w:t>,</w:t>
      </w:r>
      <w:r w:rsidR="00287435" w:rsidRPr="007C18C1">
        <w:t xml:space="preserve"> </w:t>
      </w:r>
      <w:r w:rsidR="001F4456" w:rsidRPr="007C18C1">
        <w:t>the proposed on</w:t>
      </w:r>
      <w:r w:rsidR="0080019E">
        <w:t>-</w:t>
      </w:r>
      <w:r w:rsidR="001F4456" w:rsidRPr="007C18C1">
        <w:t xml:space="preserve">occurrence report submission frequency will impose a more significant regulatory burden on the reporting population, and disproportionately affect medical facilities with either limited resources, or much higher patient demand. </w:t>
      </w:r>
    </w:p>
    <w:p w14:paraId="69AFAC0E" w14:textId="77777777" w:rsidR="007C18C1" w:rsidRPr="007C18C1" w:rsidRDefault="007C18C1" w:rsidP="007C18C1">
      <w:pPr>
        <w:pStyle w:val="ListParagraph"/>
      </w:pPr>
    </w:p>
    <w:p w14:paraId="1BC47FAE" w14:textId="51FFD5E6" w:rsidR="0006742C" w:rsidRPr="007C18C1" w:rsidRDefault="0006742C" w:rsidP="0002140D">
      <w:pPr>
        <w:keepNext/>
        <w:keepLines/>
        <w:rPr>
          <w:b/>
          <w:bCs/>
        </w:rPr>
      </w:pPr>
      <w:r w:rsidRPr="007C18C1">
        <w:rPr>
          <w:b/>
          <w:bCs/>
        </w:rPr>
        <w:t>Implementation</w:t>
      </w:r>
    </w:p>
    <w:p w14:paraId="2A29AAFC" w14:textId="77777777" w:rsidR="00865298" w:rsidRPr="00865298" w:rsidRDefault="00865298" w:rsidP="0002140D">
      <w:pPr>
        <w:keepNext/>
        <w:keepLines/>
        <w:rPr>
          <w:b/>
          <w:bCs/>
        </w:rPr>
      </w:pPr>
    </w:p>
    <w:p w14:paraId="1B914949" w14:textId="77777777" w:rsidR="00865298" w:rsidRDefault="00865298" w:rsidP="0002140D">
      <w:pPr>
        <w:keepNext/>
        <w:keepLines/>
        <w:rPr>
          <w:i/>
          <w:iCs/>
        </w:rPr>
      </w:pPr>
      <w:r w:rsidRPr="00865298">
        <w:rPr>
          <w:i/>
          <w:iCs/>
        </w:rPr>
        <w:t xml:space="preserve">Include the likelihood and consequences of implementation risks. </w:t>
      </w:r>
    </w:p>
    <w:p w14:paraId="5EFEB803" w14:textId="77777777" w:rsidR="0002140D" w:rsidRDefault="0002140D" w:rsidP="00865298">
      <w:pPr>
        <w:rPr>
          <w:i/>
          <w:iCs/>
        </w:rPr>
      </w:pPr>
    </w:p>
    <w:p w14:paraId="79D776E3" w14:textId="2BC0771F" w:rsidR="00F53AAE" w:rsidRDefault="00336B05" w:rsidP="00192DDA">
      <w:r>
        <w:t>The likelihood and consequences of implementation risks have been considered in the IA. To address these, the IA includes practical mitigation strategies aimed at effectively managing and reducing their impact.</w:t>
      </w:r>
    </w:p>
    <w:p w14:paraId="2F579405" w14:textId="77777777" w:rsidR="0006742C" w:rsidRDefault="0006742C" w:rsidP="009A6825">
      <w:pPr>
        <w:rPr>
          <w:b/>
          <w:bCs/>
        </w:rPr>
      </w:pPr>
    </w:p>
    <w:p w14:paraId="3058AFCC" w14:textId="0F2CF364" w:rsidR="0006742C" w:rsidRDefault="0006742C" w:rsidP="009A6825">
      <w:pPr>
        <w:rPr>
          <w:b/>
          <w:bCs/>
        </w:rPr>
      </w:pPr>
      <w:r>
        <w:rPr>
          <w:b/>
          <w:bCs/>
        </w:rPr>
        <w:t>Evaluation</w:t>
      </w:r>
    </w:p>
    <w:p w14:paraId="26577F14" w14:textId="77777777" w:rsidR="00744850" w:rsidRPr="00744850" w:rsidRDefault="00744850" w:rsidP="00744850">
      <w:pPr>
        <w:rPr>
          <w:b/>
          <w:bCs/>
        </w:rPr>
      </w:pPr>
    </w:p>
    <w:p w14:paraId="05B2E209" w14:textId="77777777" w:rsidR="00744850" w:rsidRDefault="00744850" w:rsidP="00744850">
      <w:pPr>
        <w:rPr>
          <w:i/>
          <w:iCs/>
        </w:rPr>
      </w:pPr>
      <w:r w:rsidRPr="00744850">
        <w:rPr>
          <w:i/>
          <w:iCs/>
        </w:rPr>
        <w:t xml:space="preserve">Identify expected timing for the evaluation, the evaluation processes (i.e. will there be public reporting and consultation) and if the evaluation will be used to determine updates/continuation of the mandate. </w:t>
      </w:r>
    </w:p>
    <w:p w14:paraId="2BC887F3" w14:textId="77777777" w:rsidR="00CA247C" w:rsidRPr="00744850" w:rsidRDefault="00CA247C" w:rsidP="00744850">
      <w:pPr>
        <w:rPr>
          <w:i/>
          <w:iCs/>
        </w:rPr>
      </w:pPr>
    </w:p>
    <w:p w14:paraId="7FD413CB" w14:textId="7BB8AFF3" w:rsidR="00744850" w:rsidRPr="00DB298B" w:rsidRDefault="00F32EBF" w:rsidP="00861264">
      <w:pPr>
        <w:pStyle w:val="ListParagraph"/>
        <w:numPr>
          <w:ilvl w:val="0"/>
          <w:numId w:val="16"/>
        </w:numPr>
      </w:pPr>
      <w:r>
        <w:t xml:space="preserve">The preferred option will be </w:t>
      </w:r>
      <w:r w:rsidR="00C02453">
        <w:t xml:space="preserve">evaluated in line with the </w:t>
      </w:r>
      <w:r w:rsidR="00C02453" w:rsidRPr="00422DE8">
        <w:rPr>
          <w:i/>
          <w:iCs/>
        </w:rPr>
        <w:t>Commonwealth Evaluation Policy</w:t>
      </w:r>
      <w:r w:rsidR="00C02453">
        <w:rPr>
          <w:i/>
          <w:iCs/>
        </w:rPr>
        <w:t xml:space="preserve">. </w:t>
      </w:r>
    </w:p>
    <w:p w14:paraId="4D1FF880" w14:textId="16FD4B91" w:rsidR="00626AAF" w:rsidRDefault="0002140D" w:rsidP="00861264">
      <w:pPr>
        <w:pStyle w:val="ListParagraph"/>
        <w:numPr>
          <w:ilvl w:val="0"/>
          <w:numId w:val="16"/>
        </w:numPr>
      </w:pPr>
      <w:r>
        <w:t>E</w:t>
      </w:r>
      <w:r w:rsidR="00DB298B">
        <w:t xml:space="preserve">valuation will </w:t>
      </w:r>
      <w:r w:rsidR="00CA674B">
        <w:t xml:space="preserve">monitor the extent to which </w:t>
      </w:r>
      <w:r>
        <w:t xml:space="preserve">legislative and regulatory </w:t>
      </w:r>
      <w:r w:rsidR="00CA674B">
        <w:t>requirement</w:t>
      </w:r>
      <w:r w:rsidR="001258FC">
        <w:t>s</w:t>
      </w:r>
      <w:r>
        <w:t xml:space="preserve"> </w:t>
      </w:r>
      <w:r w:rsidR="00CA674B">
        <w:t>are met by healthcare facilities (i.e. public private</w:t>
      </w:r>
      <w:r w:rsidR="00336B05">
        <w:t xml:space="preserve"> and day</w:t>
      </w:r>
      <w:r w:rsidR="00CA674B">
        <w:t xml:space="preserve"> hospitals).</w:t>
      </w:r>
    </w:p>
    <w:p w14:paraId="0F871544" w14:textId="6AA33101" w:rsidR="00626AAF" w:rsidRDefault="007F376D" w:rsidP="00861264">
      <w:pPr>
        <w:pStyle w:val="ListParagraph"/>
        <w:numPr>
          <w:ilvl w:val="0"/>
          <w:numId w:val="16"/>
        </w:numPr>
      </w:pPr>
      <w:r>
        <w:t xml:space="preserve">It will assess the </w:t>
      </w:r>
      <w:r w:rsidR="001258FC">
        <w:t>responsiveness</w:t>
      </w:r>
      <w:r>
        <w:t xml:space="preserve"> </w:t>
      </w:r>
      <w:r w:rsidR="00626AAF">
        <w:t xml:space="preserve">of the TGA </w:t>
      </w:r>
      <w:r>
        <w:t xml:space="preserve">to </w:t>
      </w:r>
      <w:r w:rsidR="00626AAF">
        <w:t xml:space="preserve">the receipt of </w:t>
      </w:r>
      <w:r>
        <w:t xml:space="preserve">additional reports and </w:t>
      </w:r>
      <w:r w:rsidR="00626AAF">
        <w:t xml:space="preserve">safety </w:t>
      </w:r>
      <w:r>
        <w:t xml:space="preserve">signals generated under the scheme, </w:t>
      </w:r>
      <w:r w:rsidR="00626AAF">
        <w:t xml:space="preserve">which will </w:t>
      </w:r>
      <w:r>
        <w:t>includ</w:t>
      </w:r>
      <w:r w:rsidR="00626AAF">
        <w:t>e</w:t>
      </w:r>
      <w:r>
        <w:t xml:space="preserve"> timely </w:t>
      </w:r>
      <w:r w:rsidR="001258FC">
        <w:t>acknowledgement</w:t>
      </w:r>
      <w:r>
        <w:t xml:space="preserve">, </w:t>
      </w:r>
      <w:r w:rsidR="00626AAF">
        <w:t xml:space="preserve">undertaking of </w:t>
      </w:r>
      <w:r>
        <w:t>safety actions</w:t>
      </w:r>
      <w:r w:rsidR="00626AAF">
        <w:t>,</w:t>
      </w:r>
      <w:r>
        <w:t xml:space="preserve"> and outcome tracking.</w:t>
      </w:r>
    </w:p>
    <w:p w14:paraId="66D98BFB" w14:textId="26E8B1E9" w:rsidR="00DB298B" w:rsidRDefault="00626AAF" w:rsidP="00861264">
      <w:pPr>
        <w:pStyle w:val="ListParagraph"/>
        <w:numPr>
          <w:ilvl w:val="0"/>
          <w:numId w:val="16"/>
        </w:numPr>
      </w:pPr>
      <w:r>
        <w:t xml:space="preserve">Evaluation will </w:t>
      </w:r>
      <w:r w:rsidR="001258FC">
        <w:t xml:space="preserve">consider the effectiveness of feedback loops to healthcare facilities and industry, </w:t>
      </w:r>
      <w:r>
        <w:t xml:space="preserve">as this will </w:t>
      </w:r>
      <w:r w:rsidR="001258FC">
        <w:t>support continuous improvement in reporting and safety practices</w:t>
      </w:r>
      <w:r>
        <w:t xml:space="preserve"> for sponsors and manufacturers as well as healthcare facilities</w:t>
      </w:r>
      <w:r w:rsidR="001258FC">
        <w:t>.</w:t>
      </w:r>
    </w:p>
    <w:p w14:paraId="1B0A29FD" w14:textId="4A8A58D8" w:rsidR="00290F98" w:rsidRDefault="00290F98" w:rsidP="00861264">
      <w:pPr>
        <w:pStyle w:val="ListParagraph"/>
        <w:numPr>
          <w:ilvl w:val="0"/>
          <w:numId w:val="16"/>
        </w:numPr>
      </w:pPr>
      <w:r>
        <w:t>Further details on the evaluation framework have been incorporated into the IA.</w:t>
      </w:r>
    </w:p>
    <w:p w14:paraId="0C4FCE6A" w14:textId="77777777" w:rsidR="00D13FBF" w:rsidRPr="00744850" w:rsidRDefault="00D13FBF" w:rsidP="00580CEF">
      <w:pPr>
        <w:pStyle w:val="ListParagraph"/>
      </w:pPr>
    </w:p>
    <w:p w14:paraId="3A96167D" w14:textId="617926D8" w:rsidR="00744850" w:rsidRDefault="00744850" w:rsidP="0080019E">
      <w:pPr>
        <w:keepNext/>
        <w:keepLines/>
        <w:rPr>
          <w:i/>
          <w:iCs/>
        </w:rPr>
      </w:pPr>
      <w:r w:rsidRPr="00744850">
        <w:rPr>
          <w:i/>
          <w:iCs/>
        </w:rPr>
        <w:t xml:space="preserve">It would be helpful to consider any ethical or cultural considerations in the evaluation process. </w:t>
      </w:r>
    </w:p>
    <w:p w14:paraId="6358311B" w14:textId="6F8B6CB8" w:rsidR="009A6825" w:rsidRPr="009A6825" w:rsidRDefault="00765E92" w:rsidP="0080019E">
      <w:pPr>
        <w:pStyle w:val="ListParagraph"/>
        <w:keepNext/>
        <w:keepLines/>
        <w:numPr>
          <w:ilvl w:val="0"/>
          <w:numId w:val="21"/>
        </w:numPr>
        <w:rPr>
          <w:b/>
          <w:bCs/>
        </w:rPr>
      </w:pPr>
      <w:r>
        <w:t xml:space="preserve">Option 3A will be evaluated in line with the </w:t>
      </w:r>
      <w:r w:rsidRPr="00FA7859">
        <w:rPr>
          <w:i/>
          <w:iCs/>
        </w:rPr>
        <w:t xml:space="preserve">Commonwealth Evaluation Policy, </w:t>
      </w:r>
      <w:r>
        <w:t xml:space="preserve">which include </w:t>
      </w:r>
      <w:r w:rsidR="00FA7859">
        <w:t>ethical and cultural considerations.</w:t>
      </w:r>
    </w:p>
    <w:sectPr w:rsidR="009A6825" w:rsidRPr="009A6825" w:rsidSect="00037ECD">
      <w:headerReference w:type="default" r:id="rId8"/>
      <w:footerReference w:type="default" r:id="rId9"/>
      <w:footerReference w:type="first" r:id="rId10"/>
      <w:pgSz w:w="11906" w:h="16838" w:code="9"/>
      <w:pgMar w:top="1135" w:right="1418" w:bottom="1276"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F1AD8" w14:textId="77777777" w:rsidR="00C2702C" w:rsidRDefault="00C2702C">
      <w:r>
        <w:separator/>
      </w:r>
    </w:p>
  </w:endnote>
  <w:endnote w:type="continuationSeparator" w:id="0">
    <w:p w14:paraId="51D16CA1" w14:textId="77777777" w:rsidR="00C2702C" w:rsidRDefault="00C2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0F86" w14:textId="6F01D53E" w:rsidR="00D53FB2" w:rsidRPr="00CF3477" w:rsidRDefault="00D53FB2" w:rsidP="00D53FB2">
    <w:pPr>
      <w:pStyle w:val="Footer"/>
      <w:spacing w:line="360" w:lineRule="auto"/>
      <w:jc w:val="center"/>
      <w:rPr>
        <w:rFonts w:ascii="Arial" w:hAnsi="Arial" w:cs="Arial"/>
        <w:sz w:val="14"/>
        <w:szCs w:val="14"/>
      </w:rPr>
    </w:pPr>
    <w:r>
      <w:rPr>
        <w:rFonts w:ascii="Arial" w:hAnsi="Arial" w:cs="Arial"/>
        <w:b/>
        <w:sz w:val="14"/>
        <w:szCs w:val="14"/>
      </w:rPr>
      <w:t>Phone:</w:t>
    </w:r>
    <w:r>
      <w:rPr>
        <w:rFonts w:ascii="Arial" w:hAnsi="Arial" w:cs="Arial"/>
        <w:sz w:val="14"/>
        <w:szCs w:val="14"/>
      </w:rPr>
      <w:t xml:space="preserve"> (02) </w:t>
    </w:r>
    <w:r w:rsidRPr="00D53FB2">
      <w:rPr>
        <w:rFonts w:ascii="Arial" w:hAnsi="Arial" w:cs="Arial"/>
        <w:sz w:val="14"/>
        <w:szCs w:val="14"/>
      </w:rPr>
      <w:t>5132 6437</w:t>
    </w:r>
    <w:r>
      <w:rPr>
        <w:rFonts w:ascii="Arial" w:hAnsi="Arial" w:cs="Arial"/>
        <w:sz w:val="14"/>
        <w:szCs w:val="14"/>
      </w:rPr>
      <w:t xml:space="preserve">   </w:t>
    </w:r>
    <w:r>
      <w:rPr>
        <w:rFonts w:ascii="Arial" w:hAnsi="Arial" w:cs="Arial"/>
        <w:b/>
        <w:sz w:val="14"/>
        <w:szCs w:val="14"/>
      </w:rPr>
      <w:t>Email:</w:t>
    </w:r>
    <w:r>
      <w:rPr>
        <w:rFonts w:ascii="Arial" w:hAnsi="Arial" w:cs="Arial"/>
        <w:sz w:val="14"/>
        <w:szCs w:val="14"/>
      </w:rPr>
      <w:t xml:space="preserve"> anthony.lawler@health.gov.au</w:t>
    </w:r>
    <w:r>
      <w:rPr>
        <w:rFonts w:ascii="Arial" w:hAnsi="Arial" w:cs="Arial"/>
        <w:sz w:val="14"/>
        <w:szCs w:val="14"/>
      </w:rPr>
      <w:br/>
      <w:t xml:space="preserve">Gulgana Building, 27 Scherger Drive, Fairbairn ACT 2609 - PO Box 100 Woden ACT 2606 </w:t>
    </w:r>
    <w:r>
      <w:rPr>
        <w:rFonts w:ascii="Arial" w:hAnsi="Arial" w:cs="Arial"/>
        <w:b/>
        <w:sz w:val="14"/>
        <w:szCs w:val="14"/>
      </w:rPr>
      <w:t>- www.tga.gov.au</w:t>
    </w:r>
  </w:p>
  <w:p w14:paraId="1A3F6800" w14:textId="77777777" w:rsidR="00D53FB2" w:rsidRDefault="00D53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DBE4" w14:textId="77777777" w:rsidR="00D912DB" w:rsidRDefault="00D912DB" w:rsidP="0089317D">
    <w:pPr>
      <w:pStyle w:val="Footer"/>
      <w:jc w:val="center"/>
      <w:rPr>
        <w:noProof/>
        <w:position w:val="4"/>
        <w:sz w:val="18"/>
      </w:rPr>
    </w:pPr>
  </w:p>
  <w:p w14:paraId="15136EF5" w14:textId="22F844B2" w:rsidR="00D912DB" w:rsidRPr="00CF3477" w:rsidRDefault="00366C66" w:rsidP="004557B9">
    <w:pPr>
      <w:pStyle w:val="Footer"/>
      <w:spacing w:line="360" w:lineRule="auto"/>
      <w:jc w:val="center"/>
      <w:rPr>
        <w:rFonts w:ascii="Arial" w:hAnsi="Arial" w:cs="Arial"/>
        <w:sz w:val="14"/>
        <w:szCs w:val="14"/>
      </w:rPr>
    </w:pPr>
    <w:r>
      <w:rPr>
        <w:rFonts w:ascii="Arial" w:hAnsi="Arial" w:cs="Arial"/>
        <w:b/>
        <w:sz w:val="14"/>
        <w:szCs w:val="14"/>
      </w:rPr>
      <w:t>Phone:</w:t>
    </w:r>
    <w:r w:rsidR="00112C73">
      <w:rPr>
        <w:rFonts w:ascii="Arial" w:hAnsi="Arial" w:cs="Arial"/>
        <w:sz w:val="14"/>
        <w:szCs w:val="14"/>
      </w:rPr>
      <w:t xml:space="preserve"> </w:t>
    </w:r>
    <w:r w:rsidR="00D106BA">
      <w:rPr>
        <w:rFonts w:ascii="Arial" w:hAnsi="Arial" w:cs="Arial"/>
        <w:sz w:val="14"/>
        <w:szCs w:val="14"/>
      </w:rPr>
      <w:t xml:space="preserve">(02) </w:t>
    </w:r>
    <w:r w:rsidR="00D106BA" w:rsidRPr="00D53FB2">
      <w:rPr>
        <w:rFonts w:ascii="Arial" w:hAnsi="Arial" w:cs="Arial"/>
        <w:sz w:val="14"/>
        <w:szCs w:val="14"/>
      </w:rPr>
      <w:t>5132 6437</w:t>
    </w:r>
    <w:r w:rsidR="00D106BA">
      <w:rPr>
        <w:rFonts w:ascii="Arial" w:hAnsi="Arial" w:cs="Arial"/>
        <w:sz w:val="14"/>
        <w:szCs w:val="14"/>
      </w:rPr>
      <w:t xml:space="preserve">   </w:t>
    </w:r>
    <w:r>
      <w:rPr>
        <w:rFonts w:ascii="Arial" w:hAnsi="Arial" w:cs="Arial"/>
        <w:b/>
        <w:sz w:val="14"/>
        <w:szCs w:val="14"/>
      </w:rPr>
      <w:t>Email:</w:t>
    </w:r>
    <w:r w:rsidR="00DD5414">
      <w:rPr>
        <w:rFonts w:ascii="Arial" w:hAnsi="Arial" w:cs="Arial"/>
        <w:sz w:val="14"/>
        <w:szCs w:val="14"/>
      </w:rPr>
      <w:t xml:space="preserve"> </w:t>
    </w:r>
    <w:r>
      <w:rPr>
        <w:rFonts w:ascii="Arial" w:hAnsi="Arial" w:cs="Arial"/>
        <w:sz w:val="14"/>
        <w:szCs w:val="14"/>
      </w:rPr>
      <w:t>anthony.lawler@health.gov.au</w:t>
    </w:r>
    <w:r w:rsidR="00DD5414">
      <w:rPr>
        <w:rFonts w:ascii="Arial" w:hAnsi="Arial" w:cs="Arial"/>
        <w:sz w:val="14"/>
        <w:szCs w:val="14"/>
      </w:rPr>
      <w:br/>
    </w:r>
    <w:r>
      <w:rPr>
        <w:rFonts w:ascii="Arial" w:hAnsi="Arial" w:cs="Arial"/>
        <w:sz w:val="14"/>
        <w:szCs w:val="14"/>
      </w:rPr>
      <w:t>Gulgana Building, 27 Scherger Drive, Fairbairn ACT 2609 - PO Box 100 Woden ACT 2606</w:t>
    </w:r>
    <w:r w:rsidR="00DD5414">
      <w:rPr>
        <w:rFonts w:ascii="Arial" w:hAnsi="Arial" w:cs="Arial"/>
        <w:sz w:val="14"/>
        <w:szCs w:val="14"/>
      </w:rPr>
      <w:t xml:space="preserve"> </w:t>
    </w:r>
    <w:r>
      <w:rPr>
        <w:rFonts w:ascii="Arial" w:hAnsi="Arial" w:cs="Arial"/>
        <w:b/>
        <w:sz w:val="14"/>
        <w:szCs w:val="14"/>
      </w:rPr>
      <w:t>- www.tga.gov.au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78CC" w14:textId="77777777" w:rsidR="00C2702C" w:rsidRDefault="00C2702C">
      <w:r>
        <w:separator/>
      </w:r>
    </w:p>
  </w:footnote>
  <w:footnote w:type="continuationSeparator" w:id="0">
    <w:p w14:paraId="30768394" w14:textId="77777777" w:rsidR="00C2702C" w:rsidRDefault="00C27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1EB2A" w14:textId="0EC39690"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82E94">
      <w:rPr>
        <w:rStyle w:val="PageNumber"/>
        <w:noProof/>
        <w:sz w:val="20"/>
        <w:szCs w:val="20"/>
      </w:rPr>
      <w:t>12</w:t>
    </w:r>
    <w:r>
      <w:rPr>
        <w:rStyle w:val="PageNumber"/>
        <w:sz w:val="20"/>
        <w:szCs w:val="20"/>
      </w:rPr>
      <w:fldChar w:fldCharType="end"/>
    </w:r>
    <w:r>
      <w:rPr>
        <w:rStyle w:val="PageNumbe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FE"/>
    <w:multiLevelType w:val="hybridMultilevel"/>
    <w:tmpl w:val="4088F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8297C"/>
    <w:multiLevelType w:val="hybridMultilevel"/>
    <w:tmpl w:val="5E380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27C77"/>
    <w:multiLevelType w:val="hybridMultilevel"/>
    <w:tmpl w:val="7682F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A1BE1"/>
    <w:multiLevelType w:val="hybridMultilevel"/>
    <w:tmpl w:val="7370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C059F"/>
    <w:multiLevelType w:val="hybridMultilevel"/>
    <w:tmpl w:val="A962855E"/>
    <w:lvl w:ilvl="0" w:tplc="1820EBF4">
      <w:start w:val="1"/>
      <w:numFmt w:val="bullet"/>
      <w:lvlText w:val="-"/>
      <w:lvlJc w:val="left"/>
      <w:pPr>
        <w:ind w:left="720" w:hanging="360"/>
      </w:pPr>
      <w:rPr>
        <w:rFonts w:ascii="Yu Mincho Light" w:eastAsia="Yu Mincho Light" w:hAnsi="Yu Mincho Light"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26B67"/>
    <w:multiLevelType w:val="hybridMultilevel"/>
    <w:tmpl w:val="0F627446"/>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68F13E9"/>
    <w:multiLevelType w:val="multilevel"/>
    <w:tmpl w:val="99E8E43C"/>
    <w:styleLink w:val="ListBullets"/>
    <w:lvl w:ilvl="0">
      <w:start w:val="4"/>
      <w:numFmt w:val="bullet"/>
      <w:pStyle w:val="Bullet1"/>
      <w:lvlText w:val="•"/>
      <w:lvlJc w:val="left"/>
      <w:pPr>
        <w:ind w:left="1080" w:hanging="360"/>
      </w:pPr>
      <w:rPr>
        <w:rFonts w:ascii="Cambria" w:eastAsia="Cambria" w:hAnsi="Cambria" w:hint="default"/>
      </w:rPr>
    </w:lvl>
    <w:lvl w:ilvl="1">
      <w:start w:val="1"/>
      <w:numFmt w:val="bullet"/>
      <w:pStyle w:val="ListBullet2"/>
      <w:lvlText w:val="–"/>
      <w:lvlJc w:val="left"/>
      <w:pPr>
        <w:ind w:left="144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8" w15:restartNumberingAfterBreak="0">
    <w:nsid w:val="1EC772BB"/>
    <w:multiLevelType w:val="hybridMultilevel"/>
    <w:tmpl w:val="8A70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B7982"/>
    <w:multiLevelType w:val="hybridMultilevel"/>
    <w:tmpl w:val="626A0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D108D2"/>
    <w:multiLevelType w:val="hybridMultilevel"/>
    <w:tmpl w:val="3B82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302F2"/>
    <w:multiLevelType w:val="multilevel"/>
    <w:tmpl w:val="76703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761AB"/>
    <w:multiLevelType w:val="hybridMultilevel"/>
    <w:tmpl w:val="3B9A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BF2C43"/>
    <w:multiLevelType w:val="hybridMultilevel"/>
    <w:tmpl w:val="29DC6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662D1"/>
    <w:multiLevelType w:val="hybridMultilevel"/>
    <w:tmpl w:val="7FA41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2D205F"/>
    <w:multiLevelType w:val="hybridMultilevel"/>
    <w:tmpl w:val="310E6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DC4CF6"/>
    <w:multiLevelType w:val="hybridMultilevel"/>
    <w:tmpl w:val="90AA3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2E6932"/>
    <w:multiLevelType w:val="hybridMultilevel"/>
    <w:tmpl w:val="FCC60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0F69B4"/>
    <w:multiLevelType w:val="hybridMultilevel"/>
    <w:tmpl w:val="D47E6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F56760"/>
    <w:multiLevelType w:val="hybridMultilevel"/>
    <w:tmpl w:val="9064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1E7831"/>
    <w:multiLevelType w:val="hybridMultilevel"/>
    <w:tmpl w:val="A554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3A1C70"/>
    <w:multiLevelType w:val="hybridMultilevel"/>
    <w:tmpl w:val="BFF6B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E36FAF"/>
    <w:multiLevelType w:val="hybridMultilevel"/>
    <w:tmpl w:val="00FC2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3" w15:restartNumberingAfterBreak="0">
    <w:nsid w:val="563C0341"/>
    <w:multiLevelType w:val="hybridMultilevel"/>
    <w:tmpl w:val="F5CC1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C013C0"/>
    <w:multiLevelType w:val="hybridMultilevel"/>
    <w:tmpl w:val="37A04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9F1530"/>
    <w:multiLevelType w:val="hybridMultilevel"/>
    <w:tmpl w:val="ABEE4944"/>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4096711"/>
    <w:multiLevelType w:val="multilevel"/>
    <w:tmpl w:val="6372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A3F43"/>
    <w:multiLevelType w:val="hybridMultilevel"/>
    <w:tmpl w:val="52C2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A3335A"/>
    <w:multiLevelType w:val="hybridMultilevel"/>
    <w:tmpl w:val="7B48E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2267BC"/>
    <w:multiLevelType w:val="hybridMultilevel"/>
    <w:tmpl w:val="E110C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4"/>
  </w:num>
  <w:num w:numId="4">
    <w:abstractNumId w:val="0"/>
  </w:num>
  <w:num w:numId="5">
    <w:abstractNumId w:val="7"/>
    <w:lvlOverride w:ilvl="0">
      <w:lvl w:ilvl="0">
        <w:start w:val="4"/>
        <w:numFmt w:val="bullet"/>
        <w:pStyle w:val="Bullet1"/>
        <w:lvlText w:val="•"/>
        <w:lvlJc w:val="left"/>
        <w:pPr>
          <w:ind w:left="1080" w:hanging="360"/>
        </w:pPr>
        <w:rPr>
          <w:rFonts w:ascii="Book Antiqua" w:eastAsia="Cambria" w:hAnsi="Book Antiqua" w:hint="default"/>
        </w:rPr>
      </w:lvl>
    </w:lvlOverride>
  </w:num>
  <w:num w:numId="6">
    <w:abstractNumId w:val="21"/>
  </w:num>
  <w:num w:numId="7">
    <w:abstractNumId w:val="12"/>
  </w:num>
  <w:num w:numId="8">
    <w:abstractNumId w:val="29"/>
  </w:num>
  <w:num w:numId="9">
    <w:abstractNumId w:val="11"/>
  </w:num>
  <w:num w:numId="10">
    <w:abstractNumId w:val="27"/>
  </w:num>
  <w:num w:numId="11">
    <w:abstractNumId w:val="10"/>
  </w:num>
  <w:num w:numId="12">
    <w:abstractNumId w:val="19"/>
  </w:num>
  <w:num w:numId="13">
    <w:abstractNumId w:val="3"/>
  </w:num>
  <w:num w:numId="14">
    <w:abstractNumId w:val="13"/>
  </w:num>
  <w:num w:numId="15">
    <w:abstractNumId w:val="18"/>
  </w:num>
  <w:num w:numId="16">
    <w:abstractNumId w:val="2"/>
  </w:num>
  <w:num w:numId="17">
    <w:abstractNumId w:val="8"/>
  </w:num>
  <w:num w:numId="18">
    <w:abstractNumId w:val="4"/>
  </w:num>
  <w:num w:numId="19">
    <w:abstractNumId w:val="25"/>
  </w:num>
  <w:num w:numId="20">
    <w:abstractNumId w:val="1"/>
  </w:num>
  <w:num w:numId="21">
    <w:abstractNumId w:val="28"/>
  </w:num>
  <w:num w:numId="22">
    <w:abstractNumId w:val="15"/>
  </w:num>
  <w:num w:numId="23">
    <w:abstractNumId w:val="6"/>
  </w:num>
  <w:num w:numId="24">
    <w:abstractNumId w:val="22"/>
  </w:num>
  <w:num w:numId="25">
    <w:abstractNumId w:val="24"/>
  </w:num>
  <w:num w:numId="26">
    <w:abstractNumId w:val="9"/>
  </w:num>
  <w:num w:numId="27">
    <w:abstractNumId w:val="16"/>
  </w:num>
  <w:num w:numId="28">
    <w:abstractNumId w:val="17"/>
  </w:num>
  <w:num w:numId="29">
    <w:abstractNumId w:val="5"/>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66"/>
    <w:rsid w:val="0000021D"/>
    <w:rsid w:val="00001741"/>
    <w:rsid w:val="000018EF"/>
    <w:rsid w:val="00002015"/>
    <w:rsid w:val="0000317D"/>
    <w:rsid w:val="0000540C"/>
    <w:rsid w:val="00010CC7"/>
    <w:rsid w:val="000164DA"/>
    <w:rsid w:val="0002140D"/>
    <w:rsid w:val="0002227D"/>
    <w:rsid w:val="000234DC"/>
    <w:rsid w:val="000306BE"/>
    <w:rsid w:val="0003137F"/>
    <w:rsid w:val="000325A9"/>
    <w:rsid w:val="00034915"/>
    <w:rsid w:val="000350C5"/>
    <w:rsid w:val="000371C6"/>
    <w:rsid w:val="00037ECD"/>
    <w:rsid w:val="00041E2E"/>
    <w:rsid w:val="000460C4"/>
    <w:rsid w:val="00047105"/>
    <w:rsid w:val="00050EC0"/>
    <w:rsid w:val="00054B24"/>
    <w:rsid w:val="00055944"/>
    <w:rsid w:val="00060E91"/>
    <w:rsid w:val="00063FB6"/>
    <w:rsid w:val="0006521F"/>
    <w:rsid w:val="000669F0"/>
    <w:rsid w:val="0006742C"/>
    <w:rsid w:val="000677EF"/>
    <w:rsid w:val="00067E68"/>
    <w:rsid w:val="000720D1"/>
    <w:rsid w:val="00072F0C"/>
    <w:rsid w:val="00075712"/>
    <w:rsid w:val="0007715D"/>
    <w:rsid w:val="000805A9"/>
    <w:rsid w:val="00081606"/>
    <w:rsid w:val="0008194B"/>
    <w:rsid w:val="00084281"/>
    <w:rsid w:val="00087E99"/>
    <w:rsid w:val="000906BD"/>
    <w:rsid w:val="00097394"/>
    <w:rsid w:val="000A564E"/>
    <w:rsid w:val="000B07B8"/>
    <w:rsid w:val="000B2347"/>
    <w:rsid w:val="000B478D"/>
    <w:rsid w:val="000B69D1"/>
    <w:rsid w:val="000C177B"/>
    <w:rsid w:val="000C5096"/>
    <w:rsid w:val="000D3373"/>
    <w:rsid w:val="000D3796"/>
    <w:rsid w:val="000D4EA4"/>
    <w:rsid w:val="000D5D65"/>
    <w:rsid w:val="000D7280"/>
    <w:rsid w:val="000D7640"/>
    <w:rsid w:val="000D7D33"/>
    <w:rsid w:val="000E4D22"/>
    <w:rsid w:val="000E50D7"/>
    <w:rsid w:val="000E5956"/>
    <w:rsid w:val="000E62E9"/>
    <w:rsid w:val="000F08D9"/>
    <w:rsid w:val="000F2591"/>
    <w:rsid w:val="000F3EC6"/>
    <w:rsid w:val="000F53FE"/>
    <w:rsid w:val="000F5466"/>
    <w:rsid w:val="001014B8"/>
    <w:rsid w:val="00102CCB"/>
    <w:rsid w:val="00106D9A"/>
    <w:rsid w:val="00112C73"/>
    <w:rsid w:val="00114264"/>
    <w:rsid w:val="001162DE"/>
    <w:rsid w:val="00116C41"/>
    <w:rsid w:val="00117F85"/>
    <w:rsid w:val="00125217"/>
    <w:rsid w:val="001258FC"/>
    <w:rsid w:val="001305E2"/>
    <w:rsid w:val="00132E3A"/>
    <w:rsid w:val="001350F8"/>
    <w:rsid w:val="001360C1"/>
    <w:rsid w:val="00144D7C"/>
    <w:rsid w:val="001456A2"/>
    <w:rsid w:val="00145B2D"/>
    <w:rsid w:val="001521B2"/>
    <w:rsid w:val="001572D2"/>
    <w:rsid w:val="0016026D"/>
    <w:rsid w:val="00160564"/>
    <w:rsid w:val="00161BB1"/>
    <w:rsid w:val="00166B59"/>
    <w:rsid w:val="00173449"/>
    <w:rsid w:val="0017608F"/>
    <w:rsid w:val="00182002"/>
    <w:rsid w:val="00182ADB"/>
    <w:rsid w:val="00182C46"/>
    <w:rsid w:val="00183D83"/>
    <w:rsid w:val="00190EE6"/>
    <w:rsid w:val="0019136C"/>
    <w:rsid w:val="00192DDA"/>
    <w:rsid w:val="00196E34"/>
    <w:rsid w:val="0019709F"/>
    <w:rsid w:val="001A7080"/>
    <w:rsid w:val="001B25A7"/>
    <w:rsid w:val="001C130E"/>
    <w:rsid w:val="001C3262"/>
    <w:rsid w:val="001C69DD"/>
    <w:rsid w:val="001D00F6"/>
    <w:rsid w:val="001D4452"/>
    <w:rsid w:val="001D4B28"/>
    <w:rsid w:val="001D6CBF"/>
    <w:rsid w:val="001D75A2"/>
    <w:rsid w:val="001D78A0"/>
    <w:rsid w:val="001E4026"/>
    <w:rsid w:val="001E49F7"/>
    <w:rsid w:val="001E4F10"/>
    <w:rsid w:val="001E5991"/>
    <w:rsid w:val="001F0D48"/>
    <w:rsid w:val="001F325F"/>
    <w:rsid w:val="001F4456"/>
    <w:rsid w:val="001F4FCE"/>
    <w:rsid w:val="001F7137"/>
    <w:rsid w:val="001F7DA2"/>
    <w:rsid w:val="00201620"/>
    <w:rsid w:val="00202032"/>
    <w:rsid w:val="00203FDF"/>
    <w:rsid w:val="00204F20"/>
    <w:rsid w:val="00206AFE"/>
    <w:rsid w:val="00206B69"/>
    <w:rsid w:val="00206D70"/>
    <w:rsid w:val="0021162A"/>
    <w:rsid w:val="00212373"/>
    <w:rsid w:val="0021342F"/>
    <w:rsid w:val="002135F7"/>
    <w:rsid w:val="0021613D"/>
    <w:rsid w:val="00216C91"/>
    <w:rsid w:val="00220B33"/>
    <w:rsid w:val="00220BE3"/>
    <w:rsid w:val="0022144E"/>
    <w:rsid w:val="002220B8"/>
    <w:rsid w:val="00223D6B"/>
    <w:rsid w:val="002249F6"/>
    <w:rsid w:val="00235958"/>
    <w:rsid w:val="002417C6"/>
    <w:rsid w:val="00242211"/>
    <w:rsid w:val="002426B3"/>
    <w:rsid w:val="0024276B"/>
    <w:rsid w:val="00242BA0"/>
    <w:rsid w:val="00243283"/>
    <w:rsid w:val="00244E5C"/>
    <w:rsid w:val="00244FF2"/>
    <w:rsid w:val="0025039C"/>
    <w:rsid w:val="00250429"/>
    <w:rsid w:val="00250594"/>
    <w:rsid w:val="0025183D"/>
    <w:rsid w:val="00251E49"/>
    <w:rsid w:val="0025465C"/>
    <w:rsid w:val="002549BB"/>
    <w:rsid w:val="002608CF"/>
    <w:rsid w:val="0026397D"/>
    <w:rsid w:val="00266D30"/>
    <w:rsid w:val="00273053"/>
    <w:rsid w:val="002808A3"/>
    <w:rsid w:val="002863CA"/>
    <w:rsid w:val="00287435"/>
    <w:rsid w:val="00290F98"/>
    <w:rsid w:val="00291085"/>
    <w:rsid w:val="00294657"/>
    <w:rsid w:val="002957C7"/>
    <w:rsid w:val="002A1AB8"/>
    <w:rsid w:val="002A5D13"/>
    <w:rsid w:val="002A74DA"/>
    <w:rsid w:val="002B054B"/>
    <w:rsid w:val="002B3B79"/>
    <w:rsid w:val="002B6BFF"/>
    <w:rsid w:val="002C3E6B"/>
    <w:rsid w:val="002C58A1"/>
    <w:rsid w:val="002C7621"/>
    <w:rsid w:val="002D0EC5"/>
    <w:rsid w:val="002D1A4C"/>
    <w:rsid w:val="002E0E66"/>
    <w:rsid w:val="002E45FF"/>
    <w:rsid w:val="002E4CAC"/>
    <w:rsid w:val="002E6409"/>
    <w:rsid w:val="002E7D09"/>
    <w:rsid w:val="002F0100"/>
    <w:rsid w:val="002F2E5C"/>
    <w:rsid w:val="002F3030"/>
    <w:rsid w:val="002F3611"/>
    <w:rsid w:val="002F368B"/>
    <w:rsid w:val="002F419E"/>
    <w:rsid w:val="002F592F"/>
    <w:rsid w:val="002F6D69"/>
    <w:rsid w:val="002F77EA"/>
    <w:rsid w:val="00300C82"/>
    <w:rsid w:val="00300F73"/>
    <w:rsid w:val="00301E56"/>
    <w:rsid w:val="00302C60"/>
    <w:rsid w:val="00305883"/>
    <w:rsid w:val="003060D2"/>
    <w:rsid w:val="0030702A"/>
    <w:rsid w:val="0030768C"/>
    <w:rsid w:val="00310CDA"/>
    <w:rsid w:val="003126EC"/>
    <w:rsid w:val="00316906"/>
    <w:rsid w:val="00320BFC"/>
    <w:rsid w:val="003211C2"/>
    <w:rsid w:val="003238C9"/>
    <w:rsid w:val="003260EB"/>
    <w:rsid w:val="0033132B"/>
    <w:rsid w:val="0033136E"/>
    <w:rsid w:val="00333EE0"/>
    <w:rsid w:val="00336B05"/>
    <w:rsid w:val="00337A24"/>
    <w:rsid w:val="00345BDE"/>
    <w:rsid w:val="00363CF2"/>
    <w:rsid w:val="00366C66"/>
    <w:rsid w:val="00370C23"/>
    <w:rsid w:val="00370DA3"/>
    <w:rsid w:val="00372506"/>
    <w:rsid w:val="00372FB1"/>
    <w:rsid w:val="00373C02"/>
    <w:rsid w:val="003818EC"/>
    <w:rsid w:val="00382E94"/>
    <w:rsid w:val="00384C79"/>
    <w:rsid w:val="00385543"/>
    <w:rsid w:val="00385578"/>
    <w:rsid w:val="003863D5"/>
    <w:rsid w:val="0038644B"/>
    <w:rsid w:val="00390C43"/>
    <w:rsid w:val="00391EAF"/>
    <w:rsid w:val="003A249C"/>
    <w:rsid w:val="003A2EC9"/>
    <w:rsid w:val="003A7214"/>
    <w:rsid w:val="003B5F9D"/>
    <w:rsid w:val="003C0E2B"/>
    <w:rsid w:val="003C1944"/>
    <w:rsid w:val="003C464D"/>
    <w:rsid w:val="003C6E3D"/>
    <w:rsid w:val="003D58CE"/>
    <w:rsid w:val="003D5D09"/>
    <w:rsid w:val="003E2BBC"/>
    <w:rsid w:val="003E50B6"/>
    <w:rsid w:val="003F3635"/>
    <w:rsid w:val="003F365B"/>
    <w:rsid w:val="003F7DE3"/>
    <w:rsid w:val="00400D8D"/>
    <w:rsid w:val="00407AF8"/>
    <w:rsid w:val="004124E0"/>
    <w:rsid w:val="00413130"/>
    <w:rsid w:val="0041458B"/>
    <w:rsid w:val="00414F1F"/>
    <w:rsid w:val="0041554C"/>
    <w:rsid w:val="00420B2C"/>
    <w:rsid w:val="004227ED"/>
    <w:rsid w:val="00424241"/>
    <w:rsid w:val="0042429C"/>
    <w:rsid w:val="004245C7"/>
    <w:rsid w:val="00430932"/>
    <w:rsid w:val="004352FF"/>
    <w:rsid w:val="004421A5"/>
    <w:rsid w:val="0044416F"/>
    <w:rsid w:val="0044779A"/>
    <w:rsid w:val="004522B7"/>
    <w:rsid w:val="004557B9"/>
    <w:rsid w:val="00456BFC"/>
    <w:rsid w:val="004571FC"/>
    <w:rsid w:val="00457956"/>
    <w:rsid w:val="00457CB2"/>
    <w:rsid w:val="00461016"/>
    <w:rsid w:val="0046384B"/>
    <w:rsid w:val="00465451"/>
    <w:rsid w:val="00466703"/>
    <w:rsid w:val="00467AEE"/>
    <w:rsid w:val="004701C4"/>
    <w:rsid w:val="004735A2"/>
    <w:rsid w:val="004776E8"/>
    <w:rsid w:val="00480333"/>
    <w:rsid w:val="0048137D"/>
    <w:rsid w:val="00481A3A"/>
    <w:rsid w:val="004827BC"/>
    <w:rsid w:val="00483C8E"/>
    <w:rsid w:val="004864D9"/>
    <w:rsid w:val="004972B9"/>
    <w:rsid w:val="00497F8A"/>
    <w:rsid w:val="004A0525"/>
    <w:rsid w:val="004A2194"/>
    <w:rsid w:val="004A3BFE"/>
    <w:rsid w:val="004A53C2"/>
    <w:rsid w:val="004A68DC"/>
    <w:rsid w:val="004A7774"/>
    <w:rsid w:val="004B1934"/>
    <w:rsid w:val="004B2767"/>
    <w:rsid w:val="004B3C1B"/>
    <w:rsid w:val="004B544F"/>
    <w:rsid w:val="004B705C"/>
    <w:rsid w:val="004C0B1F"/>
    <w:rsid w:val="004C56B3"/>
    <w:rsid w:val="004C7B6B"/>
    <w:rsid w:val="004E33D9"/>
    <w:rsid w:val="004E70B5"/>
    <w:rsid w:val="004E7B0E"/>
    <w:rsid w:val="004F04E7"/>
    <w:rsid w:val="004F3200"/>
    <w:rsid w:val="004F35BB"/>
    <w:rsid w:val="004F453D"/>
    <w:rsid w:val="004F5E2E"/>
    <w:rsid w:val="00501499"/>
    <w:rsid w:val="005025B0"/>
    <w:rsid w:val="00503FAE"/>
    <w:rsid w:val="005041DA"/>
    <w:rsid w:val="0051424B"/>
    <w:rsid w:val="00516621"/>
    <w:rsid w:val="00520580"/>
    <w:rsid w:val="00520761"/>
    <w:rsid w:val="00522764"/>
    <w:rsid w:val="00531B2D"/>
    <w:rsid w:val="00533C6A"/>
    <w:rsid w:val="00535096"/>
    <w:rsid w:val="00536627"/>
    <w:rsid w:val="0053714A"/>
    <w:rsid w:val="0054002A"/>
    <w:rsid w:val="0054312F"/>
    <w:rsid w:val="0054644D"/>
    <w:rsid w:val="00546A62"/>
    <w:rsid w:val="00550595"/>
    <w:rsid w:val="005527BE"/>
    <w:rsid w:val="00552FCD"/>
    <w:rsid w:val="0055466E"/>
    <w:rsid w:val="00556242"/>
    <w:rsid w:val="005563C1"/>
    <w:rsid w:val="00561B76"/>
    <w:rsid w:val="00562816"/>
    <w:rsid w:val="00564478"/>
    <w:rsid w:val="00564BF8"/>
    <w:rsid w:val="0057330E"/>
    <w:rsid w:val="0057442F"/>
    <w:rsid w:val="00576D32"/>
    <w:rsid w:val="0058037A"/>
    <w:rsid w:val="0058067F"/>
    <w:rsid w:val="00580C14"/>
    <w:rsid w:val="00580CEF"/>
    <w:rsid w:val="00581E94"/>
    <w:rsid w:val="005836DF"/>
    <w:rsid w:val="005940B9"/>
    <w:rsid w:val="00594155"/>
    <w:rsid w:val="00596E23"/>
    <w:rsid w:val="00597B75"/>
    <w:rsid w:val="005A0C2D"/>
    <w:rsid w:val="005A1181"/>
    <w:rsid w:val="005A1DB2"/>
    <w:rsid w:val="005A419F"/>
    <w:rsid w:val="005A7F5E"/>
    <w:rsid w:val="005B0272"/>
    <w:rsid w:val="005B7C3F"/>
    <w:rsid w:val="005C040A"/>
    <w:rsid w:val="005D1394"/>
    <w:rsid w:val="005D2DB1"/>
    <w:rsid w:val="005E0286"/>
    <w:rsid w:val="005E05A2"/>
    <w:rsid w:val="005E3018"/>
    <w:rsid w:val="005E57FD"/>
    <w:rsid w:val="005E5E9C"/>
    <w:rsid w:val="005E6195"/>
    <w:rsid w:val="005F028C"/>
    <w:rsid w:val="005F0AF1"/>
    <w:rsid w:val="005F2882"/>
    <w:rsid w:val="005F734D"/>
    <w:rsid w:val="00606DF3"/>
    <w:rsid w:val="00610E7B"/>
    <w:rsid w:val="00611B42"/>
    <w:rsid w:val="00616ED9"/>
    <w:rsid w:val="00621031"/>
    <w:rsid w:val="00625EBD"/>
    <w:rsid w:val="00626AAF"/>
    <w:rsid w:val="00631ADC"/>
    <w:rsid w:val="006344A2"/>
    <w:rsid w:val="0063526B"/>
    <w:rsid w:val="006353C6"/>
    <w:rsid w:val="00635412"/>
    <w:rsid w:val="006359C6"/>
    <w:rsid w:val="00636414"/>
    <w:rsid w:val="006379E1"/>
    <w:rsid w:val="006402C5"/>
    <w:rsid w:val="006406C2"/>
    <w:rsid w:val="00641716"/>
    <w:rsid w:val="00641F00"/>
    <w:rsid w:val="00642775"/>
    <w:rsid w:val="00646F01"/>
    <w:rsid w:val="00650844"/>
    <w:rsid w:val="00650E1D"/>
    <w:rsid w:val="0065305F"/>
    <w:rsid w:val="006532F3"/>
    <w:rsid w:val="00654CE5"/>
    <w:rsid w:val="00655854"/>
    <w:rsid w:val="00656467"/>
    <w:rsid w:val="0066046F"/>
    <w:rsid w:val="006655CB"/>
    <w:rsid w:val="00667BAB"/>
    <w:rsid w:val="0067299A"/>
    <w:rsid w:val="00672C54"/>
    <w:rsid w:val="00674298"/>
    <w:rsid w:val="0067586E"/>
    <w:rsid w:val="0067620B"/>
    <w:rsid w:val="00676983"/>
    <w:rsid w:val="00677380"/>
    <w:rsid w:val="0068129F"/>
    <w:rsid w:val="00682A15"/>
    <w:rsid w:val="00691B7D"/>
    <w:rsid w:val="006A1DEF"/>
    <w:rsid w:val="006A3B8F"/>
    <w:rsid w:val="006A3BC5"/>
    <w:rsid w:val="006A4588"/>
    <w:rsid w:val="006B40B8"/>
    <w:rsid w:val="006B4431"/>
    <w:rsid w:val="006B44D5"/>
    <w:rsid w:val="006B46E2"/>
    <w:rsid w:val="006B4D31"/>
    <w:rsid w:val="006B5C41"/>
    <w:rsid w:val="006C7B4A"/>
    <w:rsid w:val="006D327B"/>
    <w:rsid w:val="006E7D7A"/>
    <w:rsid w:val="006F025E"/>
    <w:rsid w:val="006F05C5"/>
    <w:rsid w:val="006F0D74"/>
    <w:rsid w:val="006F2FF1"/>
    <w:rsid w:val="006F3DF8"/>
    <w:rsid w:val="007004A3"/>
    <w:rsid w:val="00700D58"/>
    <w:rsid w:val="00701E4C"/>
    <w:rsid w:val="0070667E"/>
    <w:rsid w:val="00706A24"/>
    <w:rsid w:val="007147EE"/>
    <w:rsid w:val="007162AC"/>
    <w:rsid w:val="00716739"/>
    <w:rsid w:val="00717E6E"/>
    <w:rsid w:val="00720106"/>
    <w:rsid w:val="007211BC"/>
    <w:rsid w:val="00721E42"/>
    <w:rsid w:val="0072510E"/>
    <w:rsid w:val="00730354"/>
    <w:rsid w:val="00731FCD"/>
    <w:rsid w:val="00733504"/>
    <w:rsid w:val="00742707"/>
    <w:rsid w:val="00743106"/>
    <w:rsid w:val="00744850"/>
    <w:rsid w:val="00753C44"/>
    <w:rsid w:val="007567D1"/>
    <w:rsid w:val="00757CBE"/>
    <w:rsid w:val="00765E92"/>
    <w:rsid w:val="00770222"/>
    <w:rsid w:val="007744F2"/>
    <w:rsid w:val="00775FE4"/>
    <w:rsid w:val="0077650B"/>
    <w:rsid w:val="00781EA3"/>
    <w:rsid w:val="00782FCB"/>
    <w:rsid w:val="00797EC1"/>
    <w:rsid w:val="007A1704"/>
    <w:rsid w:val="007A316C"/>
    <w:rsid w:val="007A3D38"/>
    <w:rsid w:val="007A6745"/>
    <w:rsid w:val="007B097B"/>
    <w:rsid w:val="007B1F53"/>
    <w:rsid w:val="007C0261"/>
    <w:rsid w:val="007C18C1"/>
    <w:rsid w:val="007C4C9D"/>
    <w:rsid w:val="007C5D67"/>
    <w:rsid w:val="007C7AFD"/>
    <w:rsid w:val="007D24EB"/>
    <w:rsid w:val="007D5038"/>
    <w:rsid w:val="007D7BCB"/>
    <w:rsid w:val="007E2F04"/>
    <w:rsid w:val="007E36BB"/>
    <w:rsid w:val="007E470F"/>
    <w:rsid w:val="007E4C8F"/>
    <w:rsid w:val="007E6C47"/>
    <w:rsid w:val="007F115B"/>
    <w:rsid w:val="007F376D"/>
    <w:rsid w:val="007F3885"/>
    <w:rsid w:val="007F3992"/>
    <w:rsid w:val="007F7662"/>
    <w:rsid w:val="0080019E"/>
    <w:rsid w:val="00800F58"/>
    <w:rsid w:val="00801A36"/>
    <w:rsid w:val="00805F73"/>
    <w:rsid w:val="0081110A"/>
    <w:rsid w:val="00812569"/>
    <w:rsid w:val="00814A2D"/>
    <w:rsid w:val="00817705"/>
    <w:rsid w:val="008177D7"/>
    <w:rsid w:val="00820DF9"/>
    <w:rsid w:val="008213AF"/>
    <w:rsid w:val="00822C1A"/>
    <w:rsid w:val="00822D18"/>
    <w:rsid w:val="008251FC"/>
    <w:rsid w:val="0082703B"/>
    <w:rsid w:val="00834CB4"/>
    <w:rsid w:val="00835386"/>
    <w:rsid w:val="0084059A"/>
    <w:rsid w:val="0084474C"/>
    <w:rsid w:val="00845233"/>
    <w:rsid w:val="00852B8B"/>
    <w:rsid w:val="0085374B"/>
    <w:rsid w:val="00854ADE"/>
    <w:rsid w:val="00855778"/>
    <w:rsid w:val="008603EA"/>
    <w:rsid w:val="00861264"/>
    <w:rsid w:val="008621C3"/>
    <w:rsid w:val="00862795"/>
    <w:rsid w:val="00863F2F"/>
    <w:rsid w:val="00865298"/>
    <w:rsid w:val="00874647"/>
    <w:rsid w:val="00880E64"/>
    <w:rsid w:val="00882F78"/>
    <w:rsid w:val="00885783"/>
    <w:rsid w:val="00886AEA"/>
    <w:rsid w:val="00890C47"/>
    <w:rsid w:val="0089317D"/>
    <w:rsid w:val="0089327A"/>
    <w:rsid w:val="00893978"/>
    <w:rsid w:val="0089439E"/>
    <w:rsid w:val="00894E8D"/>
    <w:rsid w:val="00894F47"/>
    <w:rsid w:val="008A35EE"/>
    <w:rsid w:val="008A4ACD"/>
    <w:rsid w:val="008A79A4"/>
    <w:rsid w:val="008B057D"/>
    <w:rsid w:val="008B0D7D"/>
    <w:rsid w:val="008B46A0"/>
    <w:rsid w:val="008B4A3F"/>
    <w:rsid w:val="008B612F"/>
    <w:rsid w:val="008C0179"/>
    <w:rsid w:val="008C1FD9"/>
    <w:rsid w:val="008D1628"/>
    <w:rsid w:val="008D165C"/>
    <w:rsid w:val="008D4583"/>
    <w:rsid w:val="008E2A4E"/>
    <w:rsid w:val="008E2CB3"/>
    <w:rsid w:val="008E5B8C"/>
    <w:rsid w:val="008E6CD8"/>
    <w:rsid w:val="008F0442"/>
    <w:rsid w:val="008F1E89"/>
    <w:rsid w:val="0090327D"/>
    <w:rsid w:val="00905968"/>
    <w:rsid w:val="00906787"/>
    <w:rsid w:val="00910500"/>
    <w:rsid w:val="00910FFC"/>
    <w:rsid w:val="009111CB"/>
    <w:rsid w:val="009112EC"/>
    <w:rsid w:val="00911F6E"/>
    <w:rsid w:val="00912F75"/>
    <w:rsid w:val="00914035"/>
    <w:rsid w:val="00915116"/>
    <w:rsid w:val="0091726A"/>
    <w:rsid w:val="0093202A"/>
    <w:rsid w:val="0093466D"/>
    <w:rsid w:val="00935E4C"/>
    <w:rsid w:val="00937489"/>
    <w:rsid w:val="00937FC1"/>
    <w:rsid w:val="0094068D"/>
    <w:rsid w:val="00951832"/>
    <w:rsid w:val="00951CBB"/>
    <w:rsid w:val="009537B3"/>
    <w:rsid w:val="009539F4"/>
    <w:rsid w:val="00953EC3"/>
    <w:rsid w:val="009563AA"/>
    <w:rsid w:val="00957C06"/>
    <w:rsid w:val="00960916"/>
    <w:rsid w:val="0096146C"/>
    <w:rsid w:val="0096369D"/>
    <w:rsid w:val="00965C0D"/>
    <w:rsid w:val="0096629A"/>
    <w:rsid w:val="0096683E"/>
    <w:rsid w:val="00973568"/>
    <w:rsid w:val="009753C1"/>
    <w:rsid w:val="00980039"/>
    <w:rsid w:val="009800E4"/>
    <w:rsid w:val="0098268C"/>
    <w:rsid w:val="00985556"/>
    <w:rsid w:val="00985BA3"/>
    <w:rsid w:val="00986205"/>
    <w:rsid w:val="00990B89"/>
    <w:rsid w:val="009917C1"/>
    <w:rsid w:val="009A19C5"/>
    <w:rsid w:val="009A2CD9"/>
    <w:rsid w:val="009A36E7"/>
    <w:rsid w:val="009A649F"/>
    <w:rsid w:val="009A6825"/>
    <w:rsid w:val="009A7761"/>
    <w:rsid w:val="009B228C"/>
    <w:rsid w:val="009B230E"/>
    <w:rsid w:val="009B47D8"/>
    <w:rsid w:val="009C0286"/>
    <w:rsid w:val="009C15A9"/>
    <w:rsid w:val="009C24B8"/>
    <w:rsid w:val="009C368B"/>
    <w:rsid w:val="009C3F3F"/>
    <w:rsid w:val="009C5E60"/>
    <w:rsid w:val="009D4D81"/>
    <w:rsid w:val="009E1CFF"/>
    <w:rsid w:val="009E252F"/>
    <w:rsid w:val="009E3C6B"/>
    <w:rsid w:val="009E3D9F"/>
    <w:rsid w:val="009E44E6"/>
    <w:rsid w:val="009E4A3C"/>
    <w:rsid w:val="009F2C8F"/>
    <w:rsid w:val="009F3A0B"/>
    <w:rsid w:val="009F4DAC"/>
    <w:rsid w:val="009F5453"/>
    <w:rsid w:val="009F65CE"/>
    <w:rsid w:val="00A01683"/>
    <w:rsid w:val="00A0509B"/>
    <w:rsid w:val="00A05C6A"/>
    <w:rsid w:val="00A07D4C"/>
    <w:rsid w:val="00A109E3"/>
    <w:rsid w:val="00A114A1"/>
    <w:rsid w:val="00A12A86"/>
    <w:rsid w:val="00A143BC"/>
    <w:rsid w:val="00A207AB"/>
    <w:rsid w:val="00A20BC6"/>
    <w:rsid w:val="00A2181F"/>
    <w:rsid w:val="00A235B4"/>
    <w:rsid w:val="00A23A1C"/>
    <w:rsid w:val="00A241EB"/>
    <w:rsid w:val="00A309A6"/>
    <w:rsid w:val="00A30FC2"/>
    <w:rsid w:val="00A327E4"/>
    <w:rsid w:val="00A35A6E"/>
    <w:rsid w:val="00A4277E"/>
    <w:rsid w:val="00A4304B"/>
    <w:rsid w:val="00A4632D"/>
    <w:rsid w:val="00A505D7"/>
    <w:rsid w:val="00A508E1"/>
    <w:rsid w:val="00A51D86"/>
    <w:rsid w:val="00A53488"/>
    <w:rsid w:val="00A5739A"/>
    <w:rsid w:val="00A60436"/>
    <w:rsid w:val="00A6413B"/>
    <w:rsid w:val="00A654B8"/>
    <w:rsid w:val="00A6602C"/>
    <w:rsid w:val="00A7201D"/>
    <w:rsid w:val="00A7719A"/>
    <w:rsid w:val="00A81139"/>
    <w:rsid w:val="00A832DF"/>
    <w:rsid w:val="00A8373C"/>
    <w:rsid w:val="00A84ACC"/>
    <w:rsid w:val="00A85020"/>
    <w:rsid w:val="00A8628A"/>
    <w:rsid w:val="00A932D3"/>
    <w:rsid w:val="00AA2CC1"/>
    <w:rsid w:val="00AA4545"/>
    <w:rsid w:val="00AB0823"/>
    <w:rsid w:val="00AB1B48"/>
    <w:rsid w:val="00AB2279"/>
    <w:rsid w:val="00AB3AF7"/>
    <w:rsid w:val="00AB655B"/>
    <w:rsid w:val="00AB7E0B"/>
    <w:rsid w:val="00AC08BB"/>
    <w:rsid w:val="00AC24BD"/>
    <w:rsid w:val="00AC5477"/>
    <w:rsid w:val="00AC6722"/>
    <w:rsid w:val="00AC6C93"/>
    <w:rsid w:val="00AC7215"/>
    <w:rsid w:val="00AC7598"/>
    <w:rsid w:val="00AD0FDF"/>
    <w:rsid w:val="00AD398E"/>
    <w:rsid w:val="00AD5262"/>
    <w:rsid w:val="00AD718D"/>
    <w:rsid w:val="00AE0C0B"/>
    <w:rsid w:val="00AE2684"/>
    <w:rsid w:val="00AE6279"/>
    <w:rsid w:val="00AF08B4"/>
    <w:rsid w:val="00AF1641"/>
    <w:rsid w:val="00AF4EFF"/>
    <w:rsid w:val="00AF61B8"/>
    <w:rsid w:val="00B0179A"/>
    <w:rsid w:val="00B01ED9"/>
    <w:rsid w:val="00B047E4"/>
    <w:rsid w:val="00B05355"/>
    <w:rsid w:val="00B057A6"/>
    <w:rsid w:val="00B0799A"/>
    <w:rsid w:val="00B07DEA"/>
    <w:rsid w:val="00B12E63"/>
    <w:rsid w:val="00B143C7"/>
    <w:rsid w:val="00B14849"/>
    <w:rsid w:val="00B16517"/>
    <w:rsid w:val="00B1688D"/>
    <w:rsid w:val="00B20688"/>
    <w:rsid w:val="00B21ED6"/>
    <w:rsid w:val="00B25070"/>
    <w:rsid w:val="00B25F14"/>
    <w:rsid w:val="00B33270"/>
    <w:rsid w:val="00B33F57"/>
    <w:rsid w:val="00B372F0"/>
    <w:rsid w:val="00B37FCE"/>
    <w:rsid w:val="00B447B0"/>
    <w:rsid w:val="00B517B9"/>
    <w:rsid w:val="00B51836"/>
    <w:rsid w:val="00B51A40"/>
    <w:rsid w:val="00B522AC"/>
    <w:rsid w:val="00B53800"/>
    <w:rsid w:val="00B5423F"/>
    <w:rsid w:val="00B5634D"/>
    <w:rsid w:val="00B5725E"/>
    <w:rsid w:val="00B60BFA"/>
    <w:rsid w:val="00B61C58"/>
    <w:rsid w:val="00B6292E"/>
    <w:rsid w:val="00B67853"/>
    <w:rsid w:val="00B7391A"/>
    <w:rsid w:val="00B73C1E"/>
    <w:rsid w:val="00B76450"/>
    <w:rsid w:val="00B867FE"/>
    <w:rsid w:val="00B8737D"/>
    <w:rsid w:val="00B87D27"/>
    <w:rsid w:val="00B9058B"/>
    <w:rsid w:val="00B95B38"/>
    <w:rsid w:val="00B97EA3"/>
    <w:rsid w:val="00BA3817"/>
    <w:rsid w:val="00BA6FDF"/>
    <w:rsid w:val="00BB0C08"/>
    <w:rsid w:val="00BB0C14"/>
    <w:rsid w:val="00BB0C9C"/>
    <w:rsid w:val="00BB3534"/>
    <w:rsid w:val="00BB4039"/>
    <w:rsid w:val="00BB4300"/>
    <w:rsid w:val="00BB54E9"/>
    <w:rsid w:val="00BB70FA"/>
    <w:rsid w:val="00BC3499"/>
    <w:rsid w:val="00BC477E"/>
    <w:rsid w:val="00BD1E71"/>
    <w:rsid w:val="00BD638E"/>
    <w:rsid w:val="00BE0395"/>
    <w:rsid w:val="00BE2AD3"/>
    <w:rsid w:val="00BE388C"/>
    <w:rsid w:val="00BE5A89"/>
    <w:rsid w:val="00BF1A8F"/>
    <w:rsid w:val="00BF3DFB"/>
    <w:rsid w:val="00BF455A"/>
    <w:rsid w:val="00BF7CB2"/>
    <w:rsid w:val="00C003EA"/>
    <w:rsid w:val="00C00E41"/>
    <w:rsid w:val="00C02453"/>
    <w:rsid w:val="00C077E0"/>
    <w:rsid w:val="00C12BCE"/>
    <w:rsid w:val="00C12EEB"/>
    <w:rsid w:val="00C13271"/>
    <w:rsid w:val="00C153B7"/>
    <w:rsid w:val="00C15ED1"/>
    <w:rsid w:val="00C21B58"/>
    <w:rsid w:val="00C21FDA"/>
    <w:rsid w:val="00C23A31"/>
    <w:rsid w:val="00C242A3"/>
    <w:rsid w:val="00C2702C"/>
    <w:rsid w:val="00C32CF8"/>
    <w:rsid w:val="00C35885"/>
    <w:rsid w:val="00C36312"/>
    <w:rsid w:val="00C40143"/>
    <w:rsid w:val="00C421A3"/>
    <w:rsid w:val="00C42589"/>
    <w:rsid w:val="00C43E5F"/>
    <w:rsid w:val="00C45635"/>
    <w:rsid w:val="00C45D29"/>
    <w:rsid w:val="00C50AE7"/>
    <w:rsid w:val="00C51244"/>
    <w:rsid w:val="00C5135D"/>
    <w:rsid w:val="00C52D54"/>
    <w:rsid w:val="00C52E0F"/>
    <w:rsid w:val="00C53F37"/>
    <w:rsid w:val="00C54D60"/>
    <w:rsid w:val="00C63711"/>
    <w:rsid w:val="00C63FF6"/>
    <w:rsid w:val="00C646D9"/>
    <w:rsid w:val="00C669D6"/>
    <w:rsid w:val="00C67E28"/>
    <w:rsid w:val="00C726D3"/>
    <w:rsid w:val="00C74EC2"/>
    <w:rsid w:val="00C8019D"/>
    <w:rsid w:val="00C80D41"/>
    <w:rsid w:val="00C8346F"/>
    <w:rsid w:val="00C853DD"/>
    <w:rsid w:val="00C91ACF"/>
    <w:rsid w:val="00C95B76"/>
    <w:rsid w:val="00CA0554"/>
    <w:rsid w:val="00CA247C"/>
    <w:rsid w:val="00CA627A"/>
    <w:rsid w:val="00CA674B"/>
    <w:rsid w:val="00CA6B28"/>
    <w:rsid w:val="00CA7696"/>
    <w:rsid w:val="00CB05F9"/>
    <w:rsid w:val="00CB13BC"/>
    <w:rsid w:val="00CB3003"/>
    <w:rsid w:val="00CB5567"/>
    <w:rsid w:val="00CB6189"/>
    <w:rsid w:val="00CB6798"/>
    <w:rsid w:val="00CC0246"/>
    <w:rsid w:val="00CC045B"/>
    <w:rsid w:val="00CC36C1"/>
    <w:rsid w:val="00CC630B"/>
    <w:rsid w:val="00CC7887"/>
    <w:rsid w:val="00CD0D57"/>
    <w:rsid w:val="00CD1C73"/>
    <w:rsid w:val="00CD3BB5"/>
    <w:rsid w:val="00CD3D01"/>
    <w:rsid w:val="00CD5206"/>
    <w:rsid w:val="00CD55D5"/>
    <w:rsid w:val="00CE3906"/>
    <w:rsid w:val="00CE4691"/>
    <w:rsid w:val="00CE4823"/>
    <w:rsid w:val="00CE640A"/>
    <w:rsid w:val="00CF3477"/>
    <w:rsid w:val="00CF4550"/>
    <w:rsid w:val="00D00FD7"/>
    <w:rsid w:val="00D05F9A"/>
    <w:rsid w:val="00D106BA"/>
    <w:rsid w:val="00D13FBF"/>
    <w:rsid w:val="00D14AFF"/>
    <w:rsid w:val="00D168C3"/>
    <w:rsid w:val="00D23FF4"/>
    <w:rsid w:val="00D26F4A"/>
    <w:rsid w:val="00D278E8"/>
    <w:rsid w:val="00D30205"/>
    <w:rsid w:val="00D3251C"/>
    <w:rsid w:val="00D343E9"/>
    <w:rsid w:val="00D40037"/>
    <w:rsid w:val="00D42255"/>
    <w:rsid w:val="00D44D36"/>
    <w:rsid w:val="00D451B8"/>
    <w:rsid w:val="00D4542F"/>
    <w:rsid w:val="00D5398E"/>
    <w:rsid w:val="00D53A33"/>
    <w:rsid w:val="00D53FB2"/>
    <w:rsid w:val="00D60F33"/>
    <w:rsid w:val="00D61180"/>
    <w:rsid w:val="00D62597"/>
    <w:rsid w:val="00D67CDE"/>
    <w:rsid w:val="00D70068"/>
    <w:rsid w:val="00D700ED"/>
    <w:rsid w:val="00D7177F"/>
    <w:rsid w:val="00D73387"/>
    <w:rsid w:val="00D748BB"/>
    <w:rsid w:val="00D773CF"/>
    <w:rsid w:val="00D83B98"/>
    <w:rsid w:val="00D8450A"/>
    <w:rsid w:val="00D86507"/>
    <w:rsid w:val="00D8671C"/>
    <w:rsid w:val="00D912DB"/>
    <w:rsid w:val="00D91587"/>
    <w:rsid w:val="00D93B87"/>
    <w:rsid w:val="00D9557E"/>
    <w:rsid w:val="00D971F0"/>
    <w:rsid w:val="00DA0569"/>
    <w:rsid w:val="00DA5AC9"/>
    <w:rsid w:val="00DB0AD2"/>
    <w:rsid w:val="00DB100A"/>
    <w:rsid w:val="00DB298B"/>
    <w:rsid w:val="00DB6FE9"/>
    <w:rsid w:val="00DB7BA2"/>
    <w:rsid w:val="00DC1E48"/>
    <w:rsid w:val="00DC76B1"/>
    <w:rsid w:val="00DC7BB8"/>
    <w:rsid w:val="00DD37CA"/>
    <w:rsid w:val="00DD5414"/>
    <w:rsid w:val="00DD693B"/>
    <w:rsid w:val="00DE2222"/>
    <w:rsid w:val="00DE290E"/>
    <w:rsid w:val="00DE7C46"/>
    <w:rsid w:val="00DF07C5"/>
    <w:rsid w:val="00DF116F"/>
    <w:rsid w:val="00DF42BB"/>
    <w:rsid w:val="00DF5829"/>
    <w:rsid w:val="00E020C2"/>
    <w:rsid w:val="00E02B08"/>
    <w:rsid w:val="00E02B9C"/>
    <w:rsid w:val="00E11A3E"/>
    <w:rsid w:val="00E13F6B"/>
    <w:rsid w:val="00E141E9"/>
    <w:rsid w:val="00E16F55"/>
    <w:rsid w:val="00E20A11"/>
    <w:rsid w:val="00E21334"/>
    <w:rsid w:val="00E215A0"/>
    <w:rsid w:val="00E25AED"/>
    <w:rsid w:val="00E26434"/>
    <w:rsid w:val="00E27270"/>
    <w:rsid w:val="00E309C8"/>
    <w:rsid w:val="00E31447"/>
    <w:rsid w:val="00E318B8"/>
    <w:rsid w:val="00E3242F"/>
    <w:rsid w:val="00E356FB"/>
    <w:rsid w:val="00E3587A"/>
    <w:rsid w:val="00E4209F"/>
    <w:rsid w:val="00E42C4C"/>
    <w:rsid w:val="00E4301A"/>
    <w:rsid w:val="00E50657"/>
    <w:rsid w:val="00E51784"/>
    <w:rsid w:val="00E5180F"/>
    <w:rsid w:val="00E53227"/>
    <w:rsid w:val="00E533BC"/>
    <w:rsid w:val="00E5369D"/>
    <w:rsid w:val="00E54525"/>
    <w:rsid w:val="00E5582E"/>
    <w:rsid w:val="00E579D8"/>
    <w:rsid w:val="00E645C6"/>
    <w:rsid w:val="00E649A4"/>
    <w:rsid w:val="00E6528E"/>
    <w:rsid w:val="00E6675A"/>
    <w:rsid w:val="00E7242B"/>
    <w:rsid w:val="00E751D6"/>
    <w:rsid w:val="00E80056"/>
    <w:rsid w:val="00E803E1"/>
    <w:rsid w:val="00E804E0"/>
    <w:rsid w:val="00E805EC"/>
    <w:rsid w:val="00E873F1"/>
    <w:rsid w:val="00E90256"/>
    <w:rsid w:val="00E90961"/>
    <w:rsid w:val="00E92574"/>
    <w:rsid w:val="00E92BBD"/>
    <w:rsid w:val="00E945E9"/>
    <w:rsid w:val="00EA0F91"/>
    <w:rsid w:val="00EA2FF5"/>
    <w:rsid w:val="00EA41B4"/>
    <w:rsid w:val="00EA448D"/>
    <w:rsid w:val="00EA52E6"/>
    <w:rsid w:val="00EB0ED3"/>
    <w:rsid w:val="00EB1731"/>
    <w:rsid w:val="00EB6D23"/>
    <w:rsid w:val="00EB725D"/>
    <w:rsid w:val="00EC18F1"/>
    <w:rsid w:val="00EC415E"/>
    <w:rsid w:val="00EC4A7B"/>
    <w:rsid w:val="00ED022E"/>
    <w:rsid w:val="00ED1303"/>
    <w:rsid w:val="00ED30C3"/>
    <w:rsid w:val="00ED3921"/>
    <w:rsid w:val="00ED4304"/>
    <w:rsid w:val="00ED4FA6"/>
    <w:rsid w:val="00ED7514"/>
    <w:rsid w:val="00EE1062"/>
    <w:rsid w:val="00EF14F5"/>
    <w:rsid w:val="00F00237"/>
    <w:rsid w:val="00F016A4"/>
    <w:rsid w:val="00F054E3"/>
    <w:rsid w:val="00F07B3E"/>
    <w:rsid w:val="00F07D4B"/>
    <w:rsid w:val="00F11BD0"/>
    <w:rsid w:val="00F141C6"/>
    <w:rsid w:val="00F15CCF"/>
    <w:rsid w:val="00F214FB"/>
    <w:rsid w:val="00F21E8A"/>
    <w:rsid w:val="00F2573A"/>
    <w:rsid w:val="00F276F2"/>
    <w:rsid w:val="00F27DBC"/>
    <w:rsid w:val="00F32EBF"/>
    <w:rsid w:val="00F35708"/>
    <w:rsid w:val="00F36621"/>
    <w:rsid w:val="00F3674D"/>
    <w:rsid w:val="00F40CF8"/>
    <w:rsid w:val="00F40FB2"/>
    <w:rsid w:val="00F41061"/>
    <w:rsid w:val="00F4145D"/>
    <w:rsid w:val="00F532AE"/>
    <w:rsid w:val="00F53344"/>
    <w:rsid w:val="00F53974"/>
    <w:rsid w:val="00F53AAE"/>
    <w:rsid w:val="00F54B4A"/>
    <w:rsid w:val="00F54C96"/>
    <w:rsid w:val="00F66E7C"/>
    <w:rsid w:val="00F72B1B"/>
    <w:rsid w:val="00F764F6"/>
    <w:rsid w:val="00F76C84"/>
    <w:rsid w:val="00F77CE1"/>
    <w:rsid w:val="00F8088D"/>
    <w:rsid w:val="00F83700"/>
    <w:rsid w:val="00F869D2"/>
    <w:rsid w:val="00F90879"/>
    <w:rsid w:val="00F938FE"/>
    <w:rsid w:val="00F949F4"/>
    <w:rsid w:val="00F97EC2"/>
    <w:rsid w:val="00FA3265"/>
    <w:rsid w:val="00FA48DB"/>
    <w:rsid w:val="00FA496F"/>
    <w:rsid w:val="00FA4D43"/>
    <w:rsid w:val="00FA5A9E"/>
    <w:rsid w:val="00FA7859"/>
    <w:rsid w:val="00FB59BF"/>
    <w:rsid w:val="00FC00EC"/>
    <w:rsid w:val="00FC3234"/>
    <w:rsid w:val="00FC3B9C"/>
    <w:rsid w:val="00FC5087"/>
    <w:rsid w:val="00FC639D"/>
    <w:rsid w:val="00FD3A95"/>
    <w:rsid w:val="00FD3DCE"/>
    <w:rsid w:val="00FD3EEA"/>
    <w:rsid w:val="00FD5EE9"/>
    <w:rsid w:val="00FE0EB6"/>
    <w:rsid w:val="00FE41DE"/>
    <w:rsid w:val="00FE6F03"/>
    <w:rsid w:val="00FF4CC6"/>
    <w:rsid w:val="00FF5654"/>
    <w:rsid w:val="00FF5EE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B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503FA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D53FB2"/>
    <w:pPr>
      <w:ind w:left="720"/>
      <w:contextualSpacing/>
    </w:pPr>
  </w:style>
  <w:style w:type="character" w:styleId="CommentReference">
    <w:name w:val="annotation reference"/>
    <w:basedOn w:val="DefaultParagraphFont"/>
    <w:uiPriority w:val="99"/>
    <w:semiHidden/>
    <w:unhideWhenUsed/>
    <w:rsid w:val="008251FC"/>
    <w:rPr>
      <w:sz w:val="16"/>
      <w:szCs w:val="16"/>
    </w:rPr>
  </w:style>
  <w:style w:type="paragraph" w:styleId="CommentText">
    <w:name w:val="annotation text"/>
    <w:basedOn w:val="Normal"/>
    <w:link w:val="CommentTextChar"/>
    <w:uiPriority w:val="99"/>
    <w:unhideWhenUsed/>
    <w:rsid w:val="008251FC"/>
    <w:rPr>
      <w:sz w:val="20"/>
      <w:szCs w:val="20"/>
    </w:rPr>
  </w:style>
  <w:style w:type="character" w:customStyle="1" w:styleId="CommentTextChar">
    <w:name w:val="Comment Text Char"/>
    <w:basedOn w:val="DefaultParagraphFont"/>
    <w:link w:val="CommentText"/>
    <w:uiPriority w:val="99"/>
    <w:rsid w:val="008251FC"/>
    <w:rPr>
      <w:rFonts w:ascii="Book Antiqua" w:hAnsi="Book Antiqua"/>
    </w:rPr>
  </w:style>
  <w:style w:type="paragraph" w:styleId="CommentSubject">
    <w:name w:val="annotation subject"/>
    <w:basedOn w:val="CommentText"/>
    <w:next w:val="CommentText"/>
    <w:link w:val="CommentSubjectChar"/>
    <w:uiPriority w:val="99"/>
    <w:semiHidden/>
    <w:unhideWhenUsed/>
    <w:rsid w:val="008251FC"/>
    <w:rPr>
      <w:b/>
      <w:bCs/>
    </w:rPr>
  </w:style>
  <w:style w:type="character" w:customStyle="1" w:styleId="CommentSubjectChar">
    <w:name w:val="Comment Subject Char"/>
    <w:basedOn w:val="CommentTextChar"/>
    <w:link w:val="CommentSubject"/>
    <w:uiPriority w:val="99"/>
    <w:semiHidden/>
    <w:rsid w:val="008251FC"/>
    <w:rPr>
      <w:rFonts w:ascii="Book Antiqua" w:hAnsi="Book Antiqua"/>
      <w:b/>
      <w:bCs/>
    </w:rPr>
  </w:style>
  <w:style w:type="paragraph" w:styleId="Revision">
    <w:name w:val="Revision"/>
    <w:hidden/>
    <w:uiPriority w:val="99"/>
    <w:semiHidden/>
    <w:rsid w:val="00672C54"/>
    <w:rPr>
      <w:rFonts w:ascii="Book Antiqua" w:hAnsi="Book Antiqua"/>
      <w:sz w:val="24"/>
      <w:szCs w:val="24"/>
    </w:rPr>
  </w:style>
  <w:style w:type="paragraph" w:styleId="ListBullet2">
    <w:name w:val="List Bullet 2"/>
    <w:basedOn w:val="Normal"/>
    <w:uiPriority w:val="99"/>
    <w:qFormat/>
    <w:rsid w:val="007B1F53"/>
    <w:pPr>
      <w:numPr>
        <w:ilvl w:val="1"/>
        <w:numId w:val="5"/>
      </w:numPr>
      <w:spacing w:before="120" w:after="180" w:line="240" w:lineRule="atLeast"/>
    </w:pPr>
    <w:rPr>
      <w:rFonts w:ascii="Arial" w:eastAsia="Cambria" w:hAnsi="Arial"/>
      <w:color w:val="333F48"/>
      <w:sz w:val="20"/>
      <w:szCs w:val="20"/>
      <w:lang w:eastAsia="en-US"/>
    </w:rPr>
  </w:style>
  <w:style w:type="numbering" w:customStyle="1" w:styleId="ListBullets">
    <w:name w:val="ListBullets"/>
    <w:uiPriority w:val="99"/>
    <w:locked/>
    <w:rsid w:val="007B1F53"/>
    <w:pPr>
      <w:numPr>
        <w:numId w:val="30"/>
      </w:numPr>
    </w:pPr>
  </w:style>
  <w:style w:type="paragraph" w:customStyle="1" w:styleId="Bullet1">
    <w:name w:val="Bullet 1"/>
    <w:basedOn w:val="ListBullet"/>
    <w:qFormat/>
    <w:rsid w:val="007B1F53"/>
    <w:pPr>
      <w:numPr>
        <w:numId w:val="5"/>
      </w:numPr>
      <w:spacing w:before="120" w:after="180" w:line="240" w:lineRule="atLeast"/>
      <w:ind w:left="720"/>
      <w:contextualSpacing w:val="0"/>
    </w:pPr>
    <w:rPr>
      <w:rFonts w:ascii="Arial" w:eastAsia="Cambria" w:hAnsi="Arial"/>
      <w:sz w:val="20"/>
      <w:szCs w:val="20"/>
      <w:lang w:eastAsia="en-US"/>
    </w:rPr>
  </w:style>
  <w:style w:type="paragraph" w:styleId="ListBullet">
    <w:name w:val="List Bullet"/>
    <w:basedOn w:val="Normal"/>
    <w:uiPriority w:val="99"/>
    <w:semiHidden/>
    <w:unhideWhenUsed/>
    <w:rsid w:val="007B1F53"/>
    <w:pPr>
      <w:contextualSpacing/>
    </w:pPr>
  </w:style>
  <w:style w:type="paragraph" w:styleId="NormalWeb">
    <w:name w:val="Normal (Web)"/>
    <w:basedOn w:val="Normal"/>
    <w:uiPriority w:val="99"/>
    <w:semiHidden/>
    <w:unhideWhenUsed/>
    <w:rsid w:val="009112EC"/>
    <w:pPr>
      <w:spacing w:before="100" w:beforeAutospacing="1" w:after="100" w:afterAutospacing="1"/>
    </w:pPr>
    <w:rPr>
      <w:rFonts w:ascii="Times New Roman" w:hAnsi="Times New Roman"/>
    </w:rPr>
  </w:style>
  <w:style w:type="character" w:customStyle="1" w:styleId="Heading6Char">
    <w:name w:val="Heading 6 Char"/>
    <w:basedOn w:val="DefaultParagraphFont"/>
    <w:link w:val="Heading6"/>
    <w:uiPriority w:val="9"/>
    <w:semiHidden/>
    <w:rsid w:val="00503FAE"/>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503FAE"/>
    <w:rPr>
      <w:rFonts w:ascii="Book Antiqua" w:hAnsi="Book Antiqua"/>
      <w:sz w:val="24"/>
      <w:szCs w:val="24"/>
    </w:rPr>
  </w:style>
  <w:style w:type="paragraph" w:customStyle="1" w:styleId="LegalSubheading">
    <w:name w:val="Legal Subheading"/>
    <w:basedOn w:val="Footer"/>
    <w:rsid w:val="00E3587A"/>
    <w:pPr>
      <w:tabs>
        <w:tab w:val="clear" w:pos="4153"/>
        <w:tab w:val="clear" w:pos="8306"/>
        <w:tab w:val="center" w:pos="4513"/>
        <w:tab w:val="right" w:pos="9026"/>
      </w:tabs>
      <w:outlineLvl w:val="1"/>
    </w:pPr>
    <w:rPr>
      <w:rFonts w:ascii="Arial" w:eastAsia="Cambria" w:hAnsi="Arial"/>
      <w:b/>
      <w:color w:val="333F4A"/>
      <w:sz w:val="17"/>
      <w:szCs w:val="20"/>
      <w:lang w:eastAsia="en-US"/>
    </w:rPr>
  </w:style>
  <w:style w:type="paragraph" w:styleId="ListBullet3">
    <w:name w:val="List Bullet 3"/>
    <w:basedOn w:val="Normal"/>
    <w:uiPriority w:val="16"/>
    <w:qFormat/>
    <w:rsid w:val="00E3587A"/>
    <w:pPr>
      <w:numPr>
        <w:numId w:val="23"/>
      </w:numPr>
      <w:spacing w:before="120" w:after="180" w:line="240" w:lineRule="atLeast"/>
      <w:ind w:left="1276" w:hanging="425"/>
    </w:pPr>
    <w:rPr>
      <w:rFonts w:ascii="Arial" w:eastAsia="Cambria" w:hAnsi="Arial"/>
      <w:color w:val="333F48"/>
      <w:sz w:val="20"/>
      <w:szCs w:val="20"/>
      <w:lang w:eastAsia="en-US"/>
    </w:rPr>
  </w:style>
  <w:style w:type="paragraph" w:customStyle="1" w:styleId="Default">
    <w:name w:val="Default"/>
    <w:rsid w:val="00A6413B"/>
    <w:pPr>
      <w:autoSpaceDE w:val="0"/>
      <w:autoSpaceDN w:val="0"/>
      <w:adjustRightInd w:val="0"/>
    </w:pPr>
    <w:rPr>
      <w:rFonts w:ascii="Segoe UI Symbol" w:hAnsi="Segoe UI Symbol" w:cs="Segoe UI 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5656">
      <w:bodyDiv w:val="1"/>
      <w:marLeft w:val="0"/>
      <w:marRight w:val="0"/>
      <w:marTop w:val="0"/>
      <w:marBottom w:val="0"/>
      <w:divBdr>
        <w:top w:val="none" w:sz="0" w:space="0" w:color="auto"/>
        <w:left w:val="none" w:sz="0" w:space="0" w:color="auto"/>
        <w:bottom w:val="none" w:sz="0" w:space="0" w:color="auto"/>
        <w:right w:val="none" w:sz="0" w:space="0" w:color="auto"/>
      </w:divBdr>
    </w:div>
    <w:div w:id="783698422">
      <w:bodyDiv w:val="1"/>
      <w:marLeft w:val="0"/>
      <w:marRight w:val="0"/>
      <w:marTop w:val="0"/>
      <w:marBottom w:val="0"/>
      <w:divBdr>
        <w:top w:val="none" w:sz="0" w:space="0" w:color="auto"/>
        <w:left w:val="none" w:sz="0" w:space="0" w:color="auto"/>
        <w:bottom w:val="none" w:sz="0" w:space="0" w:color="auto"/>
        <w:right w:val="none" w:sz="0" w:space="0" w:color="auto"/>
      </w:divBdr>
      <w:divsChild>
        <w:div w:id="2078239159">
          <w:marLeft w:val="0"/>
          <w:marRight w:val="0"/>
          <w:marTop w:val="0"/>
          <w:marBottom w:val="0"/>
          <w:divBdr>
            <w:top w:val="none" w:sz="0" w:space="0" w:color="242424"/>
            <w:left w:val="none" w:sz="0" w:space="0" w:color="242424"/>
            <w:bottom w:val="none" w:sz="0" w:space="0" w:color="242424"/>
            <w:right w:val="none" w:sz="0" w:space="0" w:color="242424"/>
          </w:divBdr>
        </w:div>
      </w:divsChild>
    </w:div>
    <w:div w:id="879249714">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127699046">
      <w:bodyDiv w:val="1"/>
      <w:marLeft w:val="0"/>
      <w:marRight w:val="0"/>
      <w:marTop w:val="0"/>
      <w:marBottom w:val="0"/>
      <w:divBdr>
        <w:top w:val="none" w:sz="0" w:space="0" w:color="auto"/>
        <w:left w:val="none" w:sz="0" w:space="0" w:color="auto"/>
        <w:bottom w:val="none" w:sz="0" w:space="0" w:color="auto"/>
        <w:right w:val="none" w:sz="0" w:space="0" w:color="auto"/>
      </w:divBdr>
      <w:divsChild>
        <w:div w:id="1368605993">
          <w:marLeft w:val="0"/>
          <w:marRight w:val="0"/>
          <w:marTop w:val="0"/>
          <w:marBottom w:val="0"/>
          <w:divBdr>
            <w:top w:val="none" w:sz="0" w:space="0" w:color="242424"/>
            <w:left w:val="none" w:sz="0" w:space="0" w:color="242424"/>
            <w:bottom w:val="none" w:sz="0" w:space="0" w:color="242424"/>
            <w:right w:val="none" w:sz="0" w:space="0" w:color="242424"/>
          </w:divBdr>
        </w:div>
      </w:divsChild>
    </w:div>
    <w:div w:id="1316256976">
      <w:bodyDiv w:val="1"/>
      <w:marLeft w:val="0"/>
      <w:marRight w:val="0"/>
      <w:marTop w:val="0"/>
      <w:marBottom w:val="0"/>
      <w:divBdr>
        <w:top w:val="none" w:sz="0" w:space="0" w:color="auto"/>
        <w:left w:val="none" w:sz="0" w:space="0" w:color="auto"/>
        <w:bottom w:val="none" w:sz="0" w:space="0" w:color="auto"/>
        <w:right w:val="none" w:sz="0" w:space="0" w:color="auto"/>
      </w:divBdr>
    </w:div>
    <w:div w:id="1557619375">
      <w:bodyDiv w:val="1"/>
      <w:marLeft w:val="0"/>
      <w:marRight w:val="0"/>
      <w:marTop w:val="0"/>
      <w:marBottom w:val="0"/>
      <w:divBdr>
        <w:top w:val="none" w:sz="0" w:space="0" w:color="auto"/>
        <w:left w:val="none" w:sz="0" w:space="0" w:color="auto"/>
        <w:bottom w:val="none" w:sz="0" w:space="0" w:color="auto"/>
        <w:right w:val="none" w:sz="0" w:space="0" w:color="auto"/>
      </w:divBdr>
    </w:div>
    <w:div w:id="1777213575">
      <w:bodyDiv w:val="1"/>
      <w:marLeft w:val="0"/>
      <w:marRight w:val="0"/>
      <w:marTop w:val="0"/>
      <w:marBottom w:val="0"/>
      <w:divBdr>
        <w:top w:val="none" w:sz="0" w:space="0" w:color="auto"/>
        <w:left w:val="none" w:sz="0" w:space="0" w:color="auto"/>
        <w:bottom w:val="none" w:sz="0" w:space="0" w:color="auto"/>
        <w:right w:val="none" w:sz="0" w:space="0" w:color="auto"/>
      </w:divBdr>
      <w:divsChild>
        <w:div w:id="2123378887">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4918</Words>
  <Characters>25284</Characters>
  <Application>Microsoft Office Word</Application>
  <DocSecurity>0</DocSecurity>
  <Lines>401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2025-05-27T06:35:00Z</dcterms:created>
  <dcterms:modified xsi:type="dcterms:W3CDTF">2025-05-27T06:35:00Z</dcterms:modified>
</cp:coreProperties>
</file>