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5591017"/>
        <w:docPartObj>
          <w:docPartGallery w:val="Cover Pages"/>
          <w:docPartUnique/>
        </w:docPartObj>
      </w:sdtPr>
      <w:sdtEndPr>
        <w:rPr>
          <w:noProof/>
        </w:rPr>
      </w:sdtEndPr>
      <w:sdtContent>
        <w:p w14:paraId="773EDC7C" w14:textId="112BC7FE" w:rsidR="008C0353" w:rsidRDefault="0023294E" w:rsidP="0061486B">
          <w:pPr>
            <w:pStyle w:val="BodyText"/>
            <w:tabs>
              <w:tab w:val="left" w:pos="8610"/>
              <w:tab w:val="left" w:pos="9045"/>
            </w:tabs>
            <w:rPr>
              <w:noProof/>
            </w:rPr>
          </w:pPr>
          <w:r>
            <w:rPr>
              <w:noProof/>
              <w:lang w:eastAsia="en-AU"/>
            </w:rPr>
            <mc:AlternateContent>
              <mc:Choice Requires="wps">
                <w:drawing>
                  <wp:anchor distT="0" distB="0" distL="114300" distR="114300" simplePos="0" relativeHeight="251659776" behindDoc="0" locked="1" layoutInCell="1" allowOverlap="1" wp14:anchorId="26038468" wp14:editId="239864DA">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323095" id="Rectangle 70" o:spid="_x0000_s1026" style="position:absolute;margin-left:-42.7pt;margin-top:0;width:8.5pt;height:843.3pt;z-index:2516597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d5eAIAAF8FAAAOAAAAZHJzL2Uyb0RvYy54bWysVMFu2zAMvQ/YPwi6r7aDdO2COkWQosOA&#10;oi3WDj0rshQbkEWNUuJkXz9Kdpy0K3YYdrFFkXwkn0heXe9aw7YKfQO25MVZzpmyEqrGrkv+4/n2&#10;0yVnPghbCQNWlXyvPL+ef/xw1bmZmkANplLICMT6WedKXofgZlnmZa1a4c/AKUtKDdiKQCKuswpF&#10;R+itySZ5/jnrACuHIJX3dHvTK/k84WutZHjQ2qvATMkpt5C+mL6r+M3mV2K2RuHqRg5piH/IohWN&#10;paAj1I0Igm2w+QOqbSSCBx3OJLQZaN1IlWqgaor8TTVPtXAq1ULkeDfS5P8frLzfPrlHJBo652ee&#10;jrGKncY2/ik/tktk7Uey1C4wSZdFfpnnRKkkVZFfFCQkOrOju0MfvipoWTyUHOk1Eklie+cDhSTT&#10;g0mM5sE01W1jTBJiB6ilQbYV9HardRHfijxeWRkbbS1Er14db7JjLekU9kZFO2O/K82airKfpERS&#10;mx2DCCmVDUWvqkWl+tjnJ6WNHimXBBiRNcUfsQeA1wUcsPssB/voqlKXjs753xLrnUePFBlsGJ3b&#10;xgK+B2CoqiFyb38gqacmsrSCav+IDKGfEe/kbUPPdid8eBRIQ0FvTYMeHuijDXQlh+HEWQ346737&#10;aE+9SlrOOhqykvufG4GKM/PNUhd/KabTOJVJmJ5fTEjAU83qVGM37RKoFwpaKU6mY7QP5nDUCO0L&#10;7YNFjEoqYSXFLrkMeBCWoR9+2ihSLRbJjCbRiXBnn5yM4JHV2JbPuxeBbujdQG1/D4eBFLM3Ldzb&#10;Rk8Li00A3aT+PvI68E1TnBpn2DhxTZzKyeq4F+e/AQAA//8DAFBLAwQUAAYACAAAACEAL5/XZNsA&#10;AAAFAQAADwAAAGRycy9kb3ducmV2LnhtbEyPQUvDQBCF74L/YRnBi7QbDcSSZlNUELx4sBbxuM2O&#10;2aXZ2ZDdJqm/3qkXvczweMOb71Wb2XdixCG6QApulxkIpCYYR62C3fvzYgUiJk1Gd4FQwQkjbOrL&#10;i0qXJkz0huM2tYJDKJZagU2pL6WMjUWv4zL0SOx9hcHrxHJopRn0xOG+k3dZVkivHfEHq3t8stgc&#10;tkev4PWU5y/jTX6Ydi5v3bf8fPywQanrq/lhDSLhnP6O4YzP6FAz0z4cyUTRKeAi6XeevXtWe97F&#10;qihA1pX8T1//AAAA//8DAFBLAQItABQABgAIAAAAIQC2gziS/gAAAOEBAAATAAAAAAAAAAAAAAAA&#10;AAAAAABbQ29udGVudF9UeXBlc10ueG1sUEsBAi0AFAAGAAgAAAAhADj9If/WAAAAlAEAAAsAAAAA&#10;AAAAAAAAAAAALwEAAF9yZWxzLy5yZWxzUEsBAi0AFAAGAAgAAAAhAOmXl3l4AgAAXwUAAA4AAAAA&#10;AAAAAAAAAAAALgIAAGRycy9lMm9Eb2MueG1sUEsBAi0AFAAGAAgAAAAhAC+f12TbAAAABQEAAA8A&#10;AAAAAAAAAAAAAAAA0gQAAGRycy9kb3ducmV2LnhtbFBLBQYAAAAABAAEAPMAAADaBQAAAAA=&#10;" fillcolor="white [3212]" stroked="f" strokeweight="1pt">
                    <w10:wrap anchorx="page" anchory="page"/>
                    <w10:anchorlock/>
                  </v:rect>
                </w:pict>
              </mc:Fallback>
            </mc:AlternateContent>
          </w:r>
          <w:r w:rsidRPr="004616FF">
            <w:rPr>
              <w:noProof/>
              <w:lang w:eastAsia="en-AU"/>
            </w:rPr>
            <mc:AlternateContent>
              <mc:Choice Requires="wps">
                <w:drawing>
                  <wp:anchor distT="45720" distB="45720" distL="114300" distR="114300" simplePos="0" relativeHeight="251661824" behindDoc="1" locked="1" layoutInCell="1" allowOverlap="1" wp14:anchorId="227BB0BB" wp14:editId="31E5EFF4">
                    <wp:simplePos x="0" y="0"/>
                    <wp:positionH relativeFrom="page">
                      <wp:posOffset>0</wp:posOffset>
                    </wp:positionH>
                    <wp:positionV relativeFrom="page">
                      <wp:posOffset>9970770</wp:posOffset>
                    </wp:positionV>
                    <wp:extent cx="7560945" cy="719455"/>
                    <wp:effectExtent l="0" t="0" r="1905" b="444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14:paraId="59CE4E78" w14:textId="77777777" w:rsidR="00896530" w:rsidRPr="00543FDE" w:rsidRDefault="00896530"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7BB0BB" id="_x0000_t202" coordsize="21600,21600" o:spt="202" path="m,l,21600r21600,l21600,xe">
                    <v:stroke joinstyle="miter"/>
                    <v:path gradientshapeok="t" o:connecttype="rect"/>
                  </v:shapetype>
                  <v:shape id="Text Box 72" o:spid="_x0000_s1026" type="#_x0000_t202" style="position:absolute;margin-left:0;margin-top:785.1pt;width:595.35pt;height:56.65pt;z-index:-2516546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GODQIAAPgDAAAOAAAAZHJzL2Uyb0RvYy54bWysU9uO2yAQfa/Uf0C8N3aiZi9WnNU221SV&#10;thdp2w8gGMeowNCBxE6/vgN2sr28VeUBzcBwZubMYXU3WMOOCoMGV/P5rORMOQmNdvuaf/2yfXXD&#10;WYjCNcKAUzU/qcDv1i9frHpfqQV0YBqFjEBcqHpf8y5GXxVFkJ2yIszAK0eXLaAVkVzcFw2KntCt&#10;KRZleVX0gI1HkCoEOn0YL/k647etkvFT2wYVmak51Rbzjnnfpb1Yr0S1R+E7LacyxD9UYYV2lPQC&#10;9SCiYAfUf0FZLRECtHEmwRbQtlqq3AN1My//6OapE17lXoic4C80hf8HKz8en/xnZHF4AwMNMDcR&#10;/CPIb4E52HTC7dU9IvSdEg0lnifKit6HanqaqA5VSCC7/gM0NGRxiJCBhhZtYoX6ZIROAzhdSFdD&#10;ZJIOr5dX5e3rJWeS7q7nZC5zClGdX3sM8Z0Cy5JRc6ShZnRxfAwxVSOqc0hKFsDoZquNyc4pbAyy&#10;o6D5k2wa6DkzIkQ6rPk2rynbb8+MY33Nb5eLZc7kIOFlrVgdSbBG25rflGmNEkrsvHVNDolCm9Gm&#10;yoyb6EoMjVzFYTdQYKJtB82JiEMYhUkfiYwO8AdnPYmy5uH7QaCimt87Ij8p+Gzg2didDeEkPa25&#10;jMjZ6Gxi1npiwsE9jaXVmbHn3FN1JK9M5PQVkn5/9XPU84dd/wQAAP//AwBQSwMEFAAGAAgAAAAh&#10;ANh/LBzgAAAACwEAAA8AAABkcnMvZG93bnJldi54bWxMj8FOwzAQRO9I/IO1SFwQtVPUpIQ4VYXo&#10;BU5tEFzd2MQh8TqK3Sb8PdsT3HZ3RrNvis3senY2Y2g9SkgWApjB2usWGwnv1e5+DSxEhVr1Ho2E&#10;HxNgU15fFSrXfsK9OR9iwygEQ64k2BiHnPNQW+NUWPjBIGlffnQq0jo2XI9qonDX86UQKXeqRfpg&#10;1WCeram7w8lJ6Lah4h+2mtO7z9fvKXl563aYSXl7M2+fgEUzxz8zXPAJHUpiOvoT6sB6CVQk0nWV&#10;iSWwi548igzYkaZ0/bACXhb8f4fyFwAA//8DAFBLAQItABQABgAIAAAAIQC2gziS/gAAAOEBAAAT&#10;AAAAAAAAAAAAAAAAAAAAAABbQ29udGVudF9UeXBlc10ueG1sUEsBAi0AFAAGAAgAAAAhADj9If/W&#10;AAAAlAEAAAsAAAAAAAAAAAAAAAAALwEAAF9yZWxzLy5yZWxzUEsBAi0AFAAGAAgAAAAhAAyNEY4N&#10;AgAA+AMAAA4AAAAAAAAAAAAAAAAALgIAAGRycy9lMm9Eb2MueG1sUEsBAi0AFAAGAAgAAAAhANh/&#10;LBzgAAAACwEAAA8AAAAAAAAAAAAAAAAAZwQAAGRycy9kb3ducmV2LnhtbFBLBQYAAAAABAAEAPMA&#10;AAB0BQAAAAA=&#10;" fillcolor="window" stroked="f">
                    <v:textbox inset="0,0,0,0">
                      <w:txbxContent>
                        <w:p w14:paraId="59CE4E78" w14:textId="77777777" w:rsidR="00896530" w:rsidRPr="00543FDE" w:rsidRDefault="00896530" w:rsidP="004616FF">
                          <w:pPr>
                            <w:pStyle w:val="ProtectiveMarking"/>
                          </w:pPr>
                        </w:p>
                      </w:txbxContent>
                    </v:textbox>
                    <w10:wrap anchorx="page" anchory="page"/>
                    <w10:anchorlock/>
                  </v:shape>
                </w:pict>
              </mc:Fallback>
            </mc:AlternateContent>
          </w:r>
          <w:r w:rsidRPr="00657D2D">
            <w:rPr>
              <w:noProof/>
              <w:lang w:eastAsia="en-AU"/>
            </w:rPr>
            <mc:AlternateContent>
              <mc:Choice Requires="wps">
                <w:drawing>
                  <wp:anchor distT="0" distB="0" distL="182880" distR="182880" simplePos="0" relativeHeight="251654656" behindDoc="0" locked="1" layoutInCell="1" allowOverlap="1" wp14:anchorId="38AE5041" wp14:editId="2AEEE574">
                    <wp:simplePos x="0" y="0"/>
                    <wp:positionH relativeFrom="margin">
                      <wp:posOffset>-187960</wp:posOffset>
                    </wp:positionH>
                    <wp:positionV relativeFrom="page">
                      <wp:posOffset>1457325</wp:posOffset>
                    </wp:positionV>
                    <wp:extent cx="6741795" cy="5305425"/>
                    <wp:effectExtent l="0" t="0" r="1905" b="9525"/>
                    <wp:wrapSquare wrapText="bothSides"/>
                    <wp:docPr id="73" name="Text Box 73"/>
                    <wp:cNvGraphicFramePr/>
                    <a:graphic xmlns:a="http://schemas.openxmlformats.org/drawingml/2006/main">
                      <a:graphicData uri="http://schemas.microsoft.com/office/word/2010/wordprocessingShape">
                        <wps:wsp>
                          <wps:cNvSpPr txBox="1"/>
                          <wps:spPr>
                            <a:xfrm>
                              <a:off x="0" y="0"/>
                              <a:ext cx="6741795" cy="530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D5005" w14:textId="6B33BA92" w:rsidR="00896530" w:rsidRPr="00E81EE4" w:rsidRDefault="00E14825" w:rsidP="0081523F">
                                <w:pPr>
                                  <w:pStyle w:val="CoverTitle"/>
                                  <w:rPr>
                                    <w:sz w:val="96"/>
                                    <w:szCs w:val="96"/>
                                  </w:rPr>
                                </w:pPr>
                                <w:sdt>
                                  <w:sdtPr>
                                    <w:alias w:val="Document Heading"/>
                                    <w:tag w:val="DH"/>
                                    <w:id w:val="-1577504962"/>
                                    <w:dataBinding w:xpath="/root[1]/DH[1]" w:storeItemID="{00000000-0000-0000-0000-000000000000}"/>
                                    <w:text w:multiLine="1"/>
                                  </w:sdtPr>
                                  <w:sdtEndPr>
                                    <w:rPr>
                                      <w:sz w:val="96"/>
                                      <w:szCs w:val="96"/>
                                    </w:rPr>
                                  </w:sdtEndPr>
                                  <w:sdtContent>
                                    <w:r w:rsidR="00896530">
                                      <w:rPr>
                                        <w:sz w:val="96"/>
                                        <w:szCs w:val="96"/>
                                      </w:rPr>
                                      <w:t>UNPAID SUPERANNUATION GUARANTEE PACKAGE</w:t>
                                    </w:r>
                                  </w:sdtContent>
                                </w:sdt>
                              </w:p>
                              <w:p w14:paraId="3DA34EEA" w14:textId="77777777" w:rsidR="00896530" w:rsidRDefault="00896530" w:rsidP="00147037">
                                <w:pPr>
                                  <w:pStyle w:val="Title"/>
                                  <w:jc w:val="right"/>
                                  <w:rPr>
                                    <w:color w:val="FFFFFF" w:themeColor="background1"/>
                                  </w:rPr>
                                </w:pPr>
                              </w:p>
                              <w:p w14:paraId="04FA8BEA" w14:textId="08F1DE46" w:rsidR="00896530" w:rsidRDefault="00896530" w:rsidP="00D2495C">
                                <w:pPr>
                                  <w:pStyle w:val="CoverByline"/>
                                  <w:jc w:val="right"/>
                                </w:pPr>
                                <w:r w:rsidRPr="000E03DA">
                                  <w:t>Impact Analysis</w:t>
                                </w:r>
                              </w:p>
                              <w:p w14:paraId="6A1EB7CA" w14:textId="1D7EC126" w:rsidR="00896530" w:rsidRPr="000E03DA" w:rsidRDefault="00896530" w:rsidP="00D2495C">
                                <w:pPr>
                                  <w:pStyle w:val="CoverByline"/>
                                  <w:jc w:val="right"/>
                                </w:pPr>
                                <w:r>
                                  <w:t xml:space="preserve">The </w:t>
                                </w:r>
                                <w:r w:rsidRPr="000E03DA">
                                  <w:t>Treasury</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AE5041" id="Text Box 73" o:spid="_x0000_s1027" type="#_x0000_t202" style="position:absolute;margin-left:-14.8pt;margin-top:114.75pt;width:530.85pt;height:417.75pt;z-index:251654656;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RUYgIAADUFAAAOAAAAZHJzL2Uyb0RvYy54bWysVN9v0zAQfkfif7D8TpN26wZV06lsKkKa&#10;tokN7dl17DXC8Zmz26T89ZydpK0GL0O8OBffd9/99vyqrQ3bKfQV2IKPRzlnykooK/tS8O9Pqw8f&#10;OfNB2FIYsKrge+X51eL9u3njZmoCGzClQkYk1s8aV/BNCG6WZV5uVC38CJyypNSAtQj0iy9ZiaIh&#10;9tpkkzy/yBrA0iFI5T3d3nRKvkj8WisZ7rX2KjBTcIotpBPTuY5ntpiL2QsKt6lkH4b4hyhqUVly&#10;eqC6EUGwLVZ/UNWVRPCgw0hCnYHWlVQpB8pmnL/K5nEjnEq5UHG8O5TJ/z9aebd7dA/IQvsZWmpg&#10;LEjj/MzTZcyn1VjHL0XKSE8l3B/KptrAJF1eXJ6PLz9NOZOkm57l0/PJNPJkR3OHPnxRULMoFByp&#10;L6lcYnfrQwcdINGbhVVlTOqNsawhF2fTPBkcNERubMSq1OWe5hh6ksLeqIgx9pvSrCpTBvEizZe6&#10;Nsh2giZDSKlsSMknXkJHlKYg3mLY449RvcW4y2PwDDYcjOvKAqbsX4Vd/hhC1h2ean6SdxRDu24p&#10;8ZPOrqHcU8MRul3wTq4qasqt8OFBIA0/9ZgWOtzToQ1Q8aGXONsA/vrbfcTTTJKWs4aWqeD+51ag&#10;4sx8tTStcfMGAQdhPQh2W18DdWFMT4WTSSQDDGYQNUL9THu+jF5IJawkXwVfD+J16Faa3gmplssE&#10;ov1yItzaRycjdWxKHLGn9lmg6+cw0AjfwbBmYvZqHDtstLSw3AbQVZrVWNeuin29aTfTtPfvSFz+&#10;0/+EOr52i98AAAD//wMAUEsDBBQABgAIAAAAIQCe3+r14wAAAA0BAAAPAAAAZHJzL2Rvd25yZXYu&#10;eG1sTI/LTsMwEEX3SPyDNUjsWjuuEtE0ToWoEEJiQQt07cRDEjW2o9h5lK/HWcFuRnN059xsP+uW&#10;jNi7xhoB0ZoBQVNa1ZhKwOfH8+oBiPPSKNlagwKu6GCf395kMlV2MkccT74iIcS4VAqove9SSl1Z&#10;o5ZubTs04fZtey19WPuKql5OIVy3lDOWUC0bEz7UssOnGsvLadAC3n+Kr+TtPFynw+thPOLlZYij&#10;jRD3d/PjDojH2f/BsOgHdciDU2EHoxxpBaz4NgmoAM63MZCFYBseASmWKYkZ0Dyj/1vkvwAAAP//&#10;AwBQSwECLQAUAAYACAAAACEAtoM4kv4AAADhAQAAEwAAAAAAAAAAAAAAAAAAAAAAW0NvbnRlbnRf&#10;VHlwZXNdLnhtbFBLAQItABQABgAIAAAAIQA4/SH/1gAAAJQBAAALAAAAAAAAAAAAAAAAAC8BAABf&#10;cmVscy8ucmVsc1BLAQItABQABgAIAAAAIQDOhFRUYgIAADUFAAAOAAAAAAAAAAAAAAAAAC4CAABk&#10;cnMvZTJvRG9jLnhtbFBLAQItABQABgAIAAAAIQCe3+r14wAAAA0BAAAPAAAAAAAAAAAAAAAAALwE&#10;AABkcnMvZG93bnJldi54bWxQSwUGAAAAAAQABADzAAAAzAUAAAAA&#10;" filled="f" stroked="f" strokeweight=".5pt">
                    <v:textbox inset="0,0,0,0">
                      <w:txbxContent>
                        <w:p w14:paraId="799D5005" w14:textId="6B33BA92" w:rsidR="00896530" w:rsidRPr="00E81EE4" w:rsidRDefault="00000000" w:rsidP="0081523F">
                          <w:pPr>
                            <w:pStyle w:val="CoverTitle"/>
                            <w:rPr>
                              <w:sz w:val="96"/>
                              <w:szCs w:val="96"/>
                            </w:rPr>
                          </w:pPr>
                          <w:sdt>
                            <w:sdtPr>
                              <w:alias w:val="Document Heading"/>
                              <w:tag w:val="DH"/>
                              <w:id w:val="-1577504962"/>
                              <w:dataBinding w:xpath="/root[1]/DH[1]" w:storeItemID="{F533AE62-A212-4B26-92DA-A3B336E8AE06}"/>
                              <w:text w:multiLine="1"/>
                            </w:sdtPr>
                            <w:sdtEndPr>
                              <w:rPr>
                                <w:sz w:val="96"/>
                                <w:szCs w:val="96"/>
                              </w:rPr>
                            </w:sdtEndPr>
                            <w:sdtContent>
                              <w:r w:rsidR="00896530">
                                <w:rPr>
                                  <w:sz w:val="96"/>
                                  <w:szCs w:val="96"/>
                                </w:rPr>
                                <w:t>UNPAID SUPERANNUATION GUARANTEE PACKAGE</w:t>
                              </w:r>
                            </w:sdtContent>
                          </w:sdt>
                        </w:p>
                        <w:p w14:paraId="3DA34EEA" w14:textId="77777777" w:rsidR="00896530" w:rsidRDefault="00896530" w:rsidP="00147037">
                          <w:pPr>
                            <w:pStyle w:val="Title"/>
                            <w:jc w:val="right"/>
                            <w:rPr>
                              <w:color w:val="FFFFFF" w:themeColor="background1"/>
                            </w:rPr>
                          </w:pPr>
                        </w:p>
                        <w:p w14:paraId="04FA8BEA" w14:textId="08F1DE46" w:rsidR="00896530" w:rsidRDefault="00896530" w:rsidP="00D2495C">
                          <w:pPr>
                            <w:pStyle w:val="CoverByline"/>
                            <w:jc w:val="right"/>
                          </w:pPr>
                          <w:r w:rsidRPr="000E03DA">
                            <w:t>Impact Analysis</w:t>
                          </w:r>
                        </w:p>
                        <w:p w14:paraId="6A1EB7CA" w14:textId="1D7EC126" w:rsidR="00896530" w:rsidRPr="000E03DA" w:rsidRDefault="00896530" w:rsidP="00D2495C">
                          <w:pPr>
                            <w:pStyle w:val="CoverByline"/>
                            <w:jc w:val="right"/>
                          </w:pPr>
                          <w:r>
                            <w:t xml:space="preserve">The </w:t>
                          </w:r>
                          <w:r w:rsidRPr="000E03DA">
                            <w:t>Treasury</w:t>
                          </w:r>
                        </w:p>
                      </w:txbxContent>
                    </v:textbox>
                    <w10:wrap type="square" anchorx="margin" anchory="page"/>
                    <w10:anchorlock/>
                  </v:shape>
                </w:pict>
              </mc:Fallback>
            </mc:AlternateContent>
          </w:r>
          <w:r w:rsidRPr="007660B9">
            <w:rPr>
              <w:noProof/>
              <w:lang w:eastAsia="en-AU"/>
            </w:rPr>
            <mc:AlternateContent>
              <mc:Choice Requires="wps">
                <w:drawing>
                  <wp:anchor distT="0" distB="0" distL="114300" distR="114300" simplePos="0" relativeHeight="251656704" behindDoc="1" locked="1" layoutInCell="1" allowOverlap="1" wp14:anchorId="2FFD0F8E" wp14:editId="1BF28887">
                    <wp:simplePos x="0" y="0"/>
                    <wp:positionH relativeFrom="page">
                      <wp:posOffset>209550</wp:posOffset>
                    </wp:positionH>
                    <wp:positionV relativeFrom="page">
                      <wp:posOffset>1152525</wp:posOffset>
                    </wp:positionV>
                    <wp:extent cx="7143750" cy="8820150"/>
                    <wp:effectExtent l="0" t="0" r="0" b="0"/>
                    <wp:wrapNone/>
                    <wp:docPr id="74" name="Rectangle 74"/>
                    <wp:cNvGraphicFramePr/>
                    <a:graphic xmlns:a="http://schemas.openxmlformats.org/drawingml/2006/main">
                      <a:graphicData uri="http://schemas.microsoft.com/office/word/2010/wordprocessingShape">
                        <wps:wsp>
                          <wps:cNvSpPr/>
                          <wps:spPr>
                            <a:xfrm>
                              <a:off x="0" y="0"/>
                              <a:ext cx="7143750" cy="8820150"/>
                            </a:xfrm>
                            <a:prstGeom prst="rect">
                              <a:avLst/>
                            </a:prstGeom>
                            <a:gradFill>
                              <a:gsLst>
                                <a:gs pos="0">
                                  <a:srgbClr val="014463"/>
                                </a:gs>
                                <a:gs pos="100000">
                                  <a:srgbClr val="25303B"/>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B7F496" id="Rectangle 74" o:spid="_x0000_s1026" style="position:absolute;margin-left:16.5pt;margin-top:90.75pt;width:562.5pt;height:69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H0fgIAABcFAAAOAAAAZHJzL2Uyb0RvYy54bWysVFtP2zAUfp+0/2DlfaQ3KItoUQdimoQA&#10;CSaeTx0nseTYnu02Zb9+n530ItjTtD645+TcP3/HV9e7VrGtcF4avcjGZ6OMCc1NKXW9yH6+3H25&#10;zJgPpEtSRotF9iZ8dr38/Omqs4WYmMaoUjiGJNoXnV1kTQi2yHPPG9GSPzNWaBgr41oKUF2dl446&#10;ZG9VPhmNLvLOuNI6w4X3+HrbG7Nlyl9VgofHqvIiMLXI0FtIp0vnOp758oqK2pFtJB/aoH/ooiWp&#10;UfSQ6pYCsY2TH1K1kjvjTRXOuGlzU1WSizQDphmP3k3z3JAVaRaA4+0BJv//0vKH7bN9coChs77w&#10;EOMUu8q18R/9sV0C6+0AltgFxvFxPp5N5+fAlMN2eYn2oSBPfgy3zofvwrQsCovM4TYSSLS996F3&#10;3bsM2JV3Uqkke7j0ArMGA49SpHf1+kY5tqV4n+PZ7GI61Kz9qfd4FH8fQybn09H020kIuq33pZTU&#10;jCJvMZTnpEQZxb5PUOTQm9KsA9cnc1RgnMDaSlGA2FpEeF1njFSNdeDBpRa0iWMhERVx3lvyTT+B&#10;N0qWsQIVrQxYBCVbgNk33xdWOlpFovKA2vGmorQ25duTY8703PaW30kUuScfnsiBzGgSCxoecVTK&#10;oHMzSBlrjPv9t+/RHxyDNWMdlgNT/dqQExlTPzQu4yuQR9qQlNn5fALFnVrWpxa9aW8M7msMWC1P&#10;YvQPai9WzrSv2ONVrAoTaY7aPX6DchP6pcVLwMVqldywQZbCvX62PCbfw/uyeyVnB84F0PXB7BeJ&#10;infU631jpDarTTCVTLw84go+RwXbl5g9vBRxvU/15HV8z5Z/AAAA//8DAFBLAwQUAAYACAAAACEA&#10;qFd2L98AAAAMAQAADwAAAGRycy9kb3ducmV2LnhtbEyPzU7DMBCE70i8g7VIXFC7CVVoFOJUFSIS&#10;4kZBnN3YjaP6J7LdJLw92xPcdmdHs9/Uu8UaNqkQB+845OsMmHKdl4PrOXx9tqsSWEzCSWG8Uxx+&#10;VIRdc3tTi0r62X2o6ZB6RiEuVoKDTmmsEGOnlRVx7Ufl6HbywYpEa+hRBjFTuDX4mGVPaMXg6IMW&#10;o3rRqjsfLpZDm16x+H7bzg/tPkzmrPE9TMj5/d2yfwaW1JL+zHDFJ3RoiOnoL05GZjhsNlQlkV7m&#10;BbCrIS9Kko40FdusAGxq/F+i+QUAAP//AwBQSwECLQAUAAYACAAAACEAtoM4kv4AAADhAQAAEwAA&#10;AAAAAAAAAAAAAAAAAAAAW0NvbnRlbnRfVHlwZXNdLnhtbFBLAQItABQABgAIAAAAIQA4/SH/1gAA&#10;AJQBAAALAAAAAAAAAAAAAAAAAC8BAABfcmVscy8ucmVsc1BLAQItABQABgAIAAAAIQAp4JH0fgIA&#10;ABcFAAAOAAAAAAAAAAAAAAAAAC4CAABkcnMvZTJvRG9jLnhtbFBLAQItABQABgAIAAAAIQCoV3Yv&#10;3wAAAAwBAAAPAAAAAAAAAAAAAAAAANgEAABkcnMvZG93bnJldi54bWxQSwUGAAAAAAQABADzAAAA&#10;5AUAAAAA&#10;" fillcolor="#014463" stroked="f" strokeweight="1pt">
                    <v:fill color2="#25303b" angle="90" focus="100%" type="gradient">
                      <o:fill v:ext="view" type="gradientUnscaled"/>
                    </v:fill>
                    <w10:wrap anchorx="page" anchory="page"/>
                    <w10:anchorlock/>
                  </v:rect>
                </w:pict>
              </mc:Fallback>
            </mc:AlternateContent>
          </w:r>
        </w:p>
      </w:sdtContent>
    </w:sdt>
    <w:p w14:paraId="08190CC5" w14:textId="32A82276" w:rsidR="008C0353" w:rsidRPr="004616FF" w:rsidRDefault="008C0353" w:rsidP="00AF49E5">
      <w:pPr>
        <w:pStyle w:val="BodyText"/>
        <w:rPr>
          <w:caps/>
        </w:rPr>
        <w:sectPr w:rsidR="008C0353" w:rsidRPr="004616FF" w:rsidSect="00AF49E5">
          <w:headerReference w:type="even" r:id="rId7"/>
          <w:headerReference w:type="default" r:id="rId8"/>
          <w:footerReference w:type="even" r:id="rId9"/>
          <w:footerReference w:type="default" r:id="rId10"/>
          <w:headerReference w:type="first" r:id="rId11"/>
          <w:footerReference w:type="first" r:id="rId12"/>
          <w:pgSz w:w="11906" w:h="16838"/>
          <w:pgMar w:top="426" w:right="851" w:bottom="1135" w:left="851" w:header="567" w:footer="57" w:gutter="0"/>
          <w:pgNumType w:start="0"/>
          <w:cols w:space="708"/>
          <w:titlePg/>
          <w:docGrid w:linePitch="360"/>
        </w:sectPr>
      </w:pPr>
    </w:p>
    <w:sdt>
      <w:sdtPr>
        <w:rPr>
          <w:rFonts w:asciiTheme="minorHAnsi" w:eastAsiaTheme="minorHAnsi" w:hAnsiTheme="minorHAnsi" w:cstheme="minorBidi"/>
          <w:color w:val="262626" w:themeColor="text1" w:themeTint="D9"/>
          <w:sz w:val="20"/>
          <w:szCs w:val="20"/>
          <w:lang w:val="en-AU"/>
        </w:rPr>
        <w:id w:val="-160244764"/>
        <w:docPartObj>
          <w:docPartGallery w:val="Table of Contents"/>
          <w:docPartUnique/>
        </w:docPartObj>
      </w:sdtPr>
      <w:sdtEndPr>
        <w:rPr>
          <w:b/>
          <w:bCs/>
          <w:noProof/>
          <w:color w:val="auto"/>
          <w:sz w:val="22"/>
        </w:rPr>
      </w:sdtEndPr>
      <w:sdtContent>
        <w:p w14:paraId="05FE0D6E" w14:textId="674C7537" w:rsidR="00DA78AF" w:rsidRDefault="00DA78AF">
          <w:pPr>
            <w:pStyle w:val="TOCHeading"/>
          </w:pPr>
          <w:r>
            <w:t>Contents</w:t>
          </w:r>
        </w:p>
        <w:p w14:paraId="2F3D1EF3" w14:textId="71366565" w:rsidR="00A25737" w:rsidRDefault="00DA78AF">
          <w:pPr>
            <w:pStyle w:val="TOC1"/>
            <w:rPr>
              <w:rFonts w:eastAsiaTheme="minorEastAsia"/>
              <w:noProof/>
              <w:szCs w:val="22"/>
              <w:lang w:eastAsia="en-AU"/>
            </w:rPr>
          </w:pPr>
          <w:r>
            <w:fldChar w:fldCharType="begin"/>
          </w:r>
          <w:r>
            <w:instrText xml:space="preserve"> TOC \o "1-3" \h \z \u </w:instrText>
          </w:r>
          <w:r>
            <w:fldChar w:fldCharType="separate"/>
          </w:r>
          <w:hyperlink w:anchor="_Toc134198425" w:history="1">
            <w:r w:rsidR="00A25737" w:rsidRPr="00F171E1">
              <w:rPr>
                <w:rStyle w:val="Hyperlink"/>
                <w:noProof/>
              </w:rPr>
              <w:t>Abbreviations</w:t>
            </w:r>
            <w:r w:rsidR="00A25737">
              <w:rPr>
                <w:noProof/>
                <w:webHidden/>
              </w:rPr>
              <w:tab/>
            </w:r>
            <w:r w:rsidR="00A25737">
              <w:rPr>
                <w:noProof/>
                <w:webHidden/>
              </w:rPr>
              <w:fldChar w:fldCharType="begin"/>
            </w:r>
            <w:r w:rsidR="00A25737">
              <w:rPr>
                <w:noProof/>
                <w:webHidden/>
              </w:rPr>
              <w:instrText xml:space="preserve"> PAGEREF _Toc134198425 \h </w:instrText>
            </w:r>
            <w:r w:rsidR="00A25737">
              <w:rPr>
                <w:noProof/>
                <w:webHidden/>
              </w:rPr>
            </w:r>
            <w:r w:rsidR="00A25737">
              <w:rPr>
                <w:noProof/>
                <w:webHidden/>
              </w:rPr>
              <w:fldChar w:fldCharType="separate"/>
            </w:r>
            <w:r w:rsidR="005A3A72">
              <w:rPr>
                <w:noProof/>
                <w:webHidden/>
              </w:rPr>
              <w:t>4</w:t>
            </w:r>
            <w:r w:rsidR="00A25737">
              <w:rPr>
                <w:noProof/>
                <w:webHidden/>
              </w:rPr>
              <w:fldChar w:fldCharType="end"/>
            </w:r>
          </w:hyperlink>
        </w:p>
        <w:p w14:paraId="56D92120" w14:textId="535B6C81" w:rsidR="00A25737" w:rsidRDefault="00E14825">
          <w:pPr>
            <w:pStyle w:val="TOC1"/>
            <w:rPr>
              <w:rFonts w:eastAsiaTheme="minorEastAsia"/>
              <w:noProof/>
              <w:szCs w:val="22"/>
              <w:lang w:eastAsia="en-AU"/>
            </w:rPr>
          </w:pPr>
          <w:hyperlink w:anchor="_Toc134198426" w:history="1">
            <w:r w:rsidR="00A25737" w:rsidRPr="00F171E1">
              <w:rPr>
                <w:rStyle w:val="Hyperlink"/>
                <w:noProof/>
              </w:rPr>
              <w:t>Executive Summary</w:t>
            </w:r>
            <w:r w:rsidR="00A25737">
              <w:rPr>
                <w:noProof/>
                <w:webHidden/>
              </w:rPr>
              <w:tab/>
            </w:r>
            <w:r w:rsidR="00A25737">
              <w:rPr>
                <w:noProof/>
                <w:webHidden/>
              </w:rPr>
              <w:fldChar w:fldCharType="begin"/>
            </w:r>
            <w:r w:rsidR="00A25737">
              <w:rPr>
                <w:noProof/>
                <w:webHidden/>
              </w:rPr>
              <w:instrText xml:space="preserve"> PAGEREF _Toc134198426 \h </w:instrText>
            </w:r>
            <w:r w:rsidR="00A25737">
              <w:rPr>
                <w:noProof/>
                <w:webHidden/>
              </w:rPr>
            </w:r>
            <w:r w:rsidR="00A25737">
              <w:rPr>
                <w:noProof/>
                <w:webHidden/>
              </w:rPr>
              <w:fldChar w:fldCharType="separate"/>
            </w:r>
            <w:r w:rsidR="005A3A72">
              <w:rPr>
                <w:noProof/>
                <w:webHidden/>
              </w:rPr>
              <w:t>5</w:t>
            </w:r>
            <w:r w:rsidR="00A25737">
              <w:rPr>
                <w:noProof/>
                <w:webHidden/>
              </w:rPr>
              <w:fldChar w:fldCharType="end"/>
            </w:r>
          </w:hyperlink>
        </w:p>
        <w:p w14:paraId="62D8A216" w14:textId="4280C971" w:rsidR="00A25737" w:rsidRDefault="00E14825">
          <w:pPr>
            <w:pStyle w:val="TOC1"/>
            <w:rPr>
              <w:rFonts w:eastAsiaTheme="minorEastAsia"/>
              <w:noProof/>
              <w:szCs w:val="22"/>
              <w:lang w:eastAsia="en-AU"/>
            </w:rPr>
          </w:pPr>
          <w:hyperlink w:anchor="_Toc134198427" w:history="1">
            <w:r w:rsidR="00A25737" w:rsidRPr="00F171E1">
              <w:rPr>
                <w:rStyle w:val="Hyperlink"/>
                <w:noProof/>
              </w:rPr>
              <w:t>Background</w:t>
            </w:r>
            <w:r w:rsidR="00A25737">
              <w:rPr>
                <w:noProof/>
                <w:webHidden/>
              </w:rPr>
              <w:tab/>
            </w:r>
            <w:r w:rsidR="00A25737">
              <w:rPr>
                <w:noProof/>
                <w:webHidden/>
              </w:rPr>
              <w:fldChar w:fldCharType="begin"/>
            </w:r>
            <w:r w:rsidR="00A25737">
              <w:rPr>
                <w:noProof/>
                <w:webHidden/>
              </w:rPr>
              <w:instrText xml:space="preserve"> PAGEREF _Toc134198427 \h </w:instrText>
            </w:r>
            <w:r w:rsidR="00A25737">
              <w:rPr>
                <w:noProof/>
                <w:webHidden/>
              </w:rPr>
            </w:r>
            <w:r w:rsidR="00A25737">
              <w:rPr>
                <w:noProof/>
                <w:webHidden/>
              </w:rPr>
              <w:fldChar w:fldCharType="separate"/>
            </w:r>
            <w:r w:rsidR="005A3A72">
              <w:rPr>
                <w:noProof/>
                <w:webHidden/>
              </w:rPr>
              <w:t>6</w:t>
            </w:r>
            <w:r w:rsidR="00A25737">
              <w:rPr>
                <w:noProof/>
                <w:webHidden/>
              </w:rPr>
              <w:fldChar w:fldCharType="end"/>
            </w:r>
          </w:hyperlink>
        </w:p>
        <w:p w14:paraId="2BCF218D" w14:textId="231C7689" w:rsidR="00A25737" w:rsidRDefault="00E14825">
          <w:pPr>
            <w:pStyle w:val="TOC3"/>
            <w:rPr>
              <w:rFonts w:eastAsiaTheme="minorEastAsia"/>
              <w:noProof/>
              <w:szCs w:val="22"/>
              <w:lang w:eastAsia="en-AU"/>
            </w:rPr>
          </w:pPr>
          <w:hyperlink w:anchor="_Toc134198428" w:history="1">
            <w:r w:rsidR="00A25737" w:rsidRPr="00F171E1">
              <w:rPr>
                <w:rStyle w:val="Hyperlink"/>
                <w:noProof/>
              </w:rPr>
              <w:t>The Superannuation Guarantee (SG)</w:t>
            </w:r>
            <w:r w:rsidR="00A25737">
              <w:rPr>
                <w:noProof/>
                <w:webHidden/>
              </w:rPr>
              <w:tab/>
            </w:r>
            <w:r w:rsidR="00A25737">
              <w:rPr>
                <w:noProof/>
                <w:webHidden/>
              </w:rPr>
              <w:fldChar w:fldCharType="begin"/>
            </w:r>
            <w:r w:rsidR="00A25737">
              <w:rPr>
                <w:noProof/>
                <w:webHidden/>
              </w:rPr>
              <w:instrText xml:space="preserve"> PAGEREF _Toc134198428 \h </w:instrText>
            </w:r>
            <w:r w:rsidR="00A25737">
              <w:rPr>
                <w:noProof/>
                <w:webHidden/>
              </w:rPr>
            </w:r>
            <w:r w:rsidR="00A25737">
              <w:rPr>
                <w:noProof/>
                <w:webHidden/>
              </w:rPr>
              <w:fldChar w:fldCharType="separate"/>
            </w:r>
            <w:r w:rsidR="005A3A72">
              <w:rPr>
                <w:noProof/>
                <w:webHidden/>
              </w:rPr>
              <w:t>6</w:t>
            </w:r>
            <w:r w:rsidR="00A25737">
              <w:rPr>
                <w:noProof/>
                <w:webHidden/>
              </w:rPr>
              <w:fldChar w:fldCharType="end"/>
            </w:r>
          </w:hyperlink>
        </w:p>
        <w:p w14:paraId="4446E5DB" w14:textId="0840DF6F" w:rsidR="00A25737" w:rsidRDefault="00E14825">
          <w:pPr>
            <w:pStyle w:val="TOC3"/>
            <w:rPr>
              <w:rFonts w:eastAsiaTheme="minorEastAsia"/>
              <w:noProof/>
              <w:szCs w:val="22"/>
              <w:lang w:eastAsia="en-AU"/>
            </w:rPr>
          </w:pPr>
          <w:hyperlink w:anchor="_Toc134198429" w:history="1">
            <w:r w:rsidR="00A25737" w:rsidRPr="00F171E1">
              <w:rPr>
                <w:rStyle w:val="Hyperlink"/>
                <w:noProof/>
              </w:rPr>
              <w:t>Administration of the SG</w:t>
            </w:r>
            <w:r w:rsidR="00A25737">
              <w:rPr>
                <w:noProof/>
                <w:webHidden/>
              </w:rPr>
              <w:tab/>
            </w:r>
            <w:r w:rsidR="00A25737">
              <w:rPr>
                <w:noProof/>
                <w:webHidden/>
              </w:rPr>
              <w:fldChar w:fldCharType="begin"/>
            </w:r>
            <w:r w:rsidR="00A25737">
              <w:rPr>
                <w:noProof/>
                <w:webHidden/>
              </w:rPr>
              <w:instrText xml:space="preserve"> PAGEREF _Toc134198429 \h </w:instrText>
            </w:r>
            <w:r w:rsidR="00A25737">
              <w:rPr>
                <w:noProof/>
                <w:webHidden/>
              </w:rPr>
            </w:r>
            <w:r w:rsidR="00A25737">
              <w:rPr>
                <w:noProof/>
                <w:webHidden/>
              </w:rPr>
              <w:fldChar w:fldCharType="separate"/>
            </w:r>
            <w:r w:rsidR="005A3A72">
              <w:rPr>
                <w:noProof/>
                <w:webHidden/>
              </w:rPr>
              <w:t>7</w:t>
            </w:r>
            <w:r w:rsidR="00A25737">
              <w:rPr>
                <w:noProof/>
                <w:webHidden/>
              </w:rPr>
              <w:fldChar w:fldCharType="end"/>
            </w:r>
          </w:hyperlink>
        </w:p>
        <w:p w14:paraId="6EECCEE8" w14:textId="121FE9D6" w:rsidR="00A25737" w:rsidRDefault="00E14825">
          <w:pPr>
            <w:pStyle w:val="TOC3"/>
            <w:rPr>
              <w:rFonts w:eastAsiaTheme="minorEastAsia"/>
              <w:noProof/>
              <w:szCs w:val="22"/>
              <w:lang w:eastAsia="en-AU"/>
            </w:rPr>
          </w:pPr>
          <w:hyperlink w:anchor="_Toc134198430" w:history="1">
            <w:r w:rsidR="00A25737" w:rsidRPr="00F171E1">
              <w:rPr>
                <w:rStyle w:val="Hyperlink"/>
                <w:noProof/>
              </w:rPr>
              <w:t>Unpaid SG</w:t>
            </w:r>
            <w:r w:rsidR="00A25737">
              <w:rPr>
                <w:noProof/>
                <w:webHidden/>
              </w:rPr>
              <w:tab/>
            </w:r>
            <w:r w:rsidR="00A25737">
              <w:rPr>
                <w:noProof/>
                <w:webHidden/>
              </w:rPr>
              <w:fldChar w:fldCharType="begin"/>
            </w:r>
            <w:r w:rsidR="00A25737">
              <w:rPr>
                <w:noProof/>
                <w:webHidden/>
              </w:rPr>
              <w:instrText xml:space="preserve"> PAGEREF _Toc134198430 \h </w:instrText>
            </w:r>
            <w:r w:rsidR="00A25737">
              <w:rPr>
                <w:noProof/>
                <w:webHidden/>
              </w:rPr>
            </w:r>
            <w:r w:rsidR="00A25737">
              <w:rPr>
                <w:noProof/>
                <w:webHidden/>
              </w:rPr>
              <w:fldChar w:fldCharType="separate"/>
            </w:r>
            <w:r w:rsidR="005A3A72">
              <w:rPr>
                <w:noProof/>
                <w:webHidden/>
              </w:rPr>
              <w:t>7</w:t>
            </w:r>
            <w:r w:rsidR="00A25737">
              <w:rPr>
                <w:noProof/>
                <w:webHidden/>
              </w:rPr>
              <w:fldChar w:fldCharType="end"/>
            </w:r>
          </w:hyperlink>
        </w:p>
        <w:p w14:paraId="0DCA9E02" w14:textId="3F7905B9" w:rsidR="00A25737" w:rsidRDefault="00E14825">
          <w:pPr>
            <w:pStyle w:val="TOC1"/>
            <w:rPr>
              <w:rFonts w:eastAsiaTheme="minorEastAsia"/>
              <w:noProof/>
              <w:szCs w:val="22"/>
              <w:lang w:eastAsia="en-AU"/>
            </w:rPr>
          </w:pPr>
          <w:hyperlink w:anchor="_Toc134198431" w:history="1">
            <w:r w:rsidR="00A25737" w:rsidRPr="00F171E1">
              <w:rPr>
                <w:rStyle w:val="Hyperlink"/>
                <w:noProof/>
              </w:rPr>
              <w:t>1. What is the problem you are trying to solve?</w:t>
            </w:r>
            <w:r w:rsidR="00A25737">
              <w:rPr>
                <w:noProof/>
                <w:webHidden/>
              </w:rPr>
              <w:tab/>
            </w:r>
            <w:r w:rsidR="00A25737">
              <w:rPr>
                <w:noProof/>
                <w:webHidden/>
              </w:rPr>
              <w:fldChar w:fldCharType="begin"/>
            </w:r>
            <w:r w:rsidR="00A25737">
              <w:rPr>
                <w:noProof/>
                <w:webHidden/>
              </w:rPr>
              <w:instrText xml:space="preserve"> PAGEREF _Toc134198431 \h </w:instrText>
            </w:r>
            <w:r w:rsidR="00A25737">
              <w:rPr>
                <w:noProof/>
                <w:webHidden/>
              </w:rPr>
            </w:r>
            <w:r w:rsidR="00A25737">
              <w:rPr>
                <w:noProof/>
                <w:webHidden/>
              </w:rPr>
              <w:fldChar w:fldCharType="separate"/>
            </w:r>
            <w:r w:rsidR="005A3A72">
              <w:rPr>
                <w:noProof/>
                <w:webHidden/>
              </w:rPr>
              <w:t>9</w:t>
            </w:r>
            <w:r w:rsidR="00A25737">
              <w:rPr>
                <w:noProof/>
                <w:webHidden/>
              </w:rPr>
              <w:fldChar w:fldCharType="end"/>
            </w:r>
          </w:hyperlink>
        </w:p>
        <w:p w14:paraId="311C72CB" w14:textId="6A7BD933" w:rsidR="00A25737" w:rsidRDefault="00E14825">
          <w:pPr>
            <w:pStyle w:val="TOC2"/>
            <w:rPr>
              <w:rFonts w:eastAsiaTheme="minorEastAsia"/>
              <w:noProof/>
              <w:szCs w:val="22"/>
              <w:lang w:eastAsia="en-AU"/>
            </w:rPr>
          </w:pPr>
          <w:hyperlink w:anchor="_Toc134198432" w:history="1">
            <w:r w:rsidR="00A25737" w:rsidRPr="00F171E1">
              <w:rPr>
                <w:rStyle w:val="Hyperlink"/>
                <w:noProof/>
              </w:rPr>
              <w:t>1.1 Defining the problem of unpaid SG</w:t>
            </w:r>
            <w:r w:rsidR="00A25737">
              <w:rPr>
                <w:noProof/>
                <w:webHidden/>
              </w:rPr>
              <w:tab/>
            </w:r>
            <w:r w:rsidR="00A25737">
              <w:rPr>
                <w:noProof/>
                <w:webHidden/>
              </w:rPr>
              <w:fldChar w:fldCharType="begin"/>
            </w:r>
            <w:r w:rsidR="00A25737">
              <w:rPr>
                <w:noProof/>
                <w:webHidden/>
              </w:rPr>
              <w:instrText xml:space="preserve"> PAGEREF _Toc134198432 \h </w:instrText>
            </w:r>
            <w:r w:rsidR="00A25737">
              <w:rPr>
                <w:noProof/>
                <w:webHidden/>
              </w:rPr>
            </w:r>
            <w:r w:rsidR="00A25737">
              <w:rPr>
                <w:noProof/>
                <w:webHidden/>
              </w:rPr>
              <w:fldChar w:fldCharType="separate"/>
            </w:r>
            <w:r w:rsidR="005A3A72">
              <w:rPr>
                <w:noProof/>
                <w:webHidden/>
              </w:rPr>
              <w:t>9</w:t>
            </w:r>
            <w:r w:rsidR="00A25737">
              <w:rPr>
                <w:noProof/>
                <w:webHidden/>
              </w:rPr>
              <w:fldChar w:fldCharType="end"/>
            </w:r>
          </w:hyperlink>
        </w:p>
        <w:p w14:paraId="2B6C94D6" w14:textId="6FC9B6C3" w:rsidR="00A25737" w:rsidRDefault="00E14825">
          <w:pPr>
            <w:pStyle w:val="TOC3"/>
            <w:rPr>
              <w:rFonts w:eastAsiaTheme="minorEastAsia"/>
              <w:noProof/>
              <w:szCs w:val="22"/>
              <w:lang w:eastAsia="en-AU"/>
            </w:rPr>
          </w:pPr>
          <w:hyperlink w:anchor="_Toc134198433" w:history="1">
            <w:r w:rsidR="00A25737" w:rsidRPr="00F171E1">
              <w:rPr>
                <w:rStyle w:val="Hyperlink"/>
                <w:noProof/>
              </w:rPr>
              <w:t>The SG gap</w:t>
            </w:r>
            <w:r w:rsidR="00A25737">
              <w:rPr>
                <w:noProof/>
                <w:webHidden/>
              </w:rPr>
              <w:tab/>
            </w:r>
            <w:r w:rsidR="00A25737">
              <w:rPr>
                <w:noProof/>
                <w:webHidden/>
              </w:rPr>
              <w:fldChar w:fldCharType="begin"/>
            </w:r>
            <w:r w:rsidR="00A25737">
              <w:rPr>
                <w:noProof/>
                <w:webHidden/>
              </w:rPr>
              <w:instrText xml:space="preserve"> PAGEREF _Toc134198433 \h </w:instrText>
            </w:r>
            <w:r w:rsidR="00A25737">
              <w:rPr>
                <w:noProof/>
                <w:webHidden/>
              </w:rPr>
            </w:r>
            <w:r w:rsidR="00A25737">
              <w:rPr>
                <w:noProof/>
                <w:webHidden/>
              </w:rPr>
              <w:fldChar w:fldCharType="separate"/>
            </w:r>
            <w:r w:rsidR="005A3A72">
              <w:rPr>
                <w:noProof/>
                <w:webHidden/>
              </w:rPr>
              <w:t>9</w:t>
            </w:r>
            <w:r w:rsidR="00A25737">
              <w:rPr>
                <w:noProof/>
                <w:webHidden/>
              </w:rPr>
              <w:fldChar w:fldCharType="end"/>
            </w:r>
          </w:hyperlink>
        </w:p>
        <w:p w14:paraId="7F96AD54" w14:textId="38A4923A" w:rsidR="00A25737" w:rsidRDefault="00E14825">
          <w:pPr>
            <w:pStyle w:val="TOC3"/>
            <w:rPr>
              <w:rFonts w:eastAsiaTheme="minorEastAsia"/>
              <w:noProof/>
              <w:szCs w:val="22"/>
              <w:lang w:eastAsia="en-AU"/>
            </w:rPr>
          </w:pPr>
          <w:hyperlink w:anchor="_Toc134198434" w:history="1">
            <w:r w:rsidR="00A25737" w:rsidRPr="00F171E1">
              <w:rPr>
                <w:rStyle w:val="Hyperlink"/>
                <w:noProof/>
              </w:rPr>
              <w:t>ATO recovery efforts</w:t>
            </w:r>
            <w:r w:rsidR="00A25737">
              <w:rPr>
                <w:noProof/>
                <w:webHidden/>
              </w:rPr>
              <w:tab/>
            </w:r>
            <w:r w:rsidR="00A25737">
              <w:rPr>
                <w:noProof/>
                <w:webHidden/>
              </w:rPr>
              <w:fldChar w:fldCharType="begin"/>
            </w:r>
            <w:r w:rsidR="00A25737">
              <w:rPr>
                <w:noProof/>
                <w:webHidden/>
              </w:rPr>
              <w:instrText xml:space="preserve"> PAGEREF _Toc134198434 \h </w:instrText>
            </w:r>
            <w:r w:rsidR="00A25737">
              <w:rPr>
                <w:noProof/>
                <w:webHidden/>
              </w:rPr>
            </w:r>
            <w:r w:rsidR="00A25737">
              <w:rPr>
                <w:noProof/>
                <w:webHidden/>
              </w:rPr>
              <w:fldChar w:fldCharType="separate"/>
            </w:r>
            <w:r w:rsidR="005A3A72">
              <w:rPr>
                <w:noProof/>
                <w:webHidden/>
              </w:rPr>
              <w:t>10</w:t>
            </w:r>
            <w:r w:rsidR="00A25737">
              <w:rPr>
                <w:noProof/>
                <w:webHidden/>
              </w:rPr>
              <w:fldChar w:fldCharType="end"/>
            </w:r>
          </w:hyperlink>
        </w:p>
        <w:p w14:paraId="52847CAE" w14:textId="0A013185" w:rsidR="00A25737" w:rsidRDefault="00E14825">
          <w:pPr>
            <w:pStyle w:val="TOC2"/>
            <w:rPr>
              <w:rFonts w:eastAsiaTheme="minorEastAsia"/>
              <w:noProof/>
              <w:szCs w:val="22"/>
              <w:lang w:eastAsia="en-AU"/>
            </w:rPr>
          </w:pPr>
          <w:hyperlink w:anchor="_Toc134198435" w:history="1">
            <w:r w:rsidR="00A25737" w:rsidRPr="00F171E1">
              <w:rPr>
                <w:rStyle w:val="Hyperlink"/>
                <w:noProof/>
              </w:rPr>
              <w:t>1.2 Impacts of unpaid SG</w:t>
            </w:r>
            <w:r w:rsidR="00A25737">
              <w:rPr>
                <w:noProof/>
                <w:webHidden/>
              </w:rPr>
              <w:tab/>
            </w:r>
            <w:r w:rsidR="00A25737">
              <w:rPr>
                <w:noProof/>
                <w:webHidden/>
              </w:rPr>
              <w:fldChar w:fldCharType="begin"/>
            </w:r>
            <w:r w:rsidR="00A25737">
              <w:rPr>
                <w:noProof/>
                <w:webHidden/>
              </w:rPr>
              <w:instrText xml:space="preserve"> PAGEREF _Toc134198435 \h </w:instrText>
            </w:r>
            <w:r w:rsidR="00A25737">
              <w:rPr>
                <w:noProof/>
                <w:webHidden/>
              </w:rPr>
            </w:r>
            <w:r w:rsidR="00A25737">
              <w:rPr>
                <w:noProof/>
                <w:webHidden/>
              </w:rPr>
              <w:fldChar w:fldCharType="separate"/>
            </w:r>
            <w:r w:rsidR="005A3A72">
              <w:rPr>
                <w:noProof/>
                <w:webHidden/>
              </w:rPr>
              <w:t>10</w:t>
            </w:r>
            <w:r w:rsidR="00A25737">
              <w:rPr>
                <w:noProof/>
                <w:webHidden/>
              </w:rPr>
              <w:fldChar w:fldCharType="end"/>
            </w:r>
          </w:hyperlink>
        </w:p>
        <w:p w14:paraId="3FB00124" w14:textId="1A9D8130" w:rsidR="00A25737" w:rsidRDefault="00E14825">
          <w:pPr>
            <w:pStyle w:val="TOC3"/>
            <w:rPr>
              <w:rFonts w:eastAsiaTheme="minorEastAsia"/>
              <w:noProof/>
              <w:szCs w:val="22"/>
              <w:lang w:eastAsia="en-AU"/>
            </w:rPr>
          </w:pPr>
          <w:hyperlink w:anchor="_Toc134198436" w:history="1">
            <w:r w:rsidR="00A25737" w:rsidRPr="00F171E1">
              <w:rPr>
                <w:rStyle w:val="Hyperlink"/>
                <w:noProof/>
              </w:rPr>
              <w:t>Who is most likely to not pay the SG?</w:t>
            </w:r>
            <w:r w:rsidR="00A25737">
              <w:rPr>
                <w:noProof/>
                <w:webHidden/>
              </w:rPr>
              <w:tab/>
            </w:r>
            <w:r w:rsidR="00A25737">
              <w:rPr>
                <w:noProof/>
                <w:webHidden/>
              </w:rPr>
              <w:fldChar w:fldCharType="begin"/>
            </w:r>
            <w:r w:rsidR="00A25737">
              <w:rPr>
                <w:noProof/>
                <w:webHidden/>
              </w:rPr>
              <w:instrText xml:space="preserve"> PAGEREF _Toc134198436 \h </w:instrText>
            </w:r>
            <w:r w:rsidR="00A25737">
              <w:rPr>
                <w:noProof/>
                <w:webHidden/>
              </w:rPr>
            </w:r>
            <w:r w:rsidR="00A25737">
              <w:rPr>
                <w:noProof/>
                <w:webHidden/>
              </w:rPr>
              <w:fldChar w:fldCharType="separate"/>
            </w:r>
            <w:r w:rsidR="005A3A72">
              <w:rPr>
                <w:noProof/>
                <w:webHidden/>
              </w:rPr>
              <w:t>10</w:t>
            </w:r>
            <w:r w:rsidR="00A25737">
              <w:rPr>
                <w:noProof/>
                <w:webHidden/>
              </w:rPr>
              <w:fldChar w:fldCharType="end"/>
            </w:r>
          </w:hyperlink>
        </w:p>
        <w:p w14:paraId="5E28AB6D" w14:textId="51430A06" w:rsidR="00A25737" w:rsidRDefault="00E14825">
          <w:pPr>
            <w:pStyle w:val="TOC3"/>
            <w:rPr>
              <w:rFonts w:eastAsiaTheme="minorEastAsia"/>
              <w:noProof/>
              <w:szCs w:val="22"/>
              <w:lang w:eastAsia="en-AU"/>
            </w:rPr>
          </w:pPr>
          <w:hyperlink w:anchor="_Toc134198437" w:history="1">
            <w:r w:rsidR="00A25737" w:rsidRPr="00F171E1">
              <w:rPr>
                <w:rStyle w:val="Hyperlink"/>
                <w:noProof/>
              </w:rPr>
              <w:t>Who is most likely to be impacted by unpaid SG?</w:t>
            </w:r>
            <w:r w:rsidR="00A25737">
              <w:rPr>
                <w:noProof/>
                <w:webHidden/>
              </w:rPr>
              <w:tab/>
            </w:r>
            <w:r w:rsidR="00A25737">
              <w:rPr>
                <w:noProof/>
                <w:webHidden/>
              </w:rPr>
              <w:fldChar w:fldCharType="begin"/>
            </w:r>
            <w:r w:rsidR="00A25737">
              <w:rPr>
                <w:noProof/>
                <w:webHidden/>
              </w:rPr>
              <w:instrText xml:space="preserve"> PAGEREF _Toc134198437 \h </w:instrText>
            </w:r>
            <w:r w:rsidR="00A25737">
              <w:rPr>
                <w:noProof/>
                <w:webHidden/>
              </w:rPr>
            </w:r>
            <w:r w:rsidR="00A25737">
              <w:rPr>
                <w:noProof/>
                <w:webHidden/>
              </w:rPr>
              <w:fldChar w:fldCharType="separate"/>
            </w:r>
            <w:r w:rsidR="005A3A72">
              <w:rPr>
                <w:noProof/>
                <w:webHidden/>
              </w:rPr>
              <w:t>11</w:t>
            </w:r>
            <w:r w:rsidR="00A25737">
              <w:rPr>
                <w:noProof/>
                <w:webHidden/>
              </w:rPr>
              <w:fldChar w:fldCharType="end"/>
            </w:r>
          </w:hyperlink>
        </w:p>
        <w:p w14:paraId="59455D45" w14:textId="3EE9C4F3" w:rsidR="00A25737" w:rsidRDefault="00E14825">
          <w:pPr>
            <w:pStyle w:val="TOC3"/>
            <w:rPr>
              <w:rFonts w:eastAsiaTheme="minorEastAsia"/>
              <w:noProof/>
              <w:szCs w:val="22"/>
              <w:lang w:eastAsia="en-AU"/>
            </w:rPr>
          </w:pPr>
          <w:hyperlink w:anchor="_Toc134198438" w:history="1">
            <w:r w:rsidR="00A25737" w:rsidRPr="00F171E1">
              <w:rPr>
                <w:rStyle w:val="Hyperlink"/>
                <w:noProof/>
              </w:rPr>
              <w:t>What are the impacts of unpaid SG?</w:t>
            </w:r>
            <w:r w:rsidR="00A25737">
              <w:rPr>
                <w:noProof/>
                <w:webHidden/>
              </w:rPr>
              <w:tab/>
            </w:r>
            <w:r w:rsidR="00A25737">
              <w:rPr>
                <w:noProof/>
                <w:webHidden/>
              </w:rPr>
              <w:fldChar w:fldCharType="begin"/>
            </w:r>
            <w:r w:rsidR="00A25737">
              <w:rPr>
                <w:noProof/>
                <w:webHidden/>
              </w:rPr>
              <w:instrText xml:space="preserve"> PAGEREF _Toc134198438 \h </w:instrText>
            </w:r>
            <w:r w:rsidR="00A25737">
              <w:rPr>
                <w:noProof/>
                <w:webHidden/>
              </w:rPr>
            </w:r>
            <w:r w:rsidR="00A25737">
              <w:rPr>
                <w:noProof/>
                <w:webHidden/>
              </w:rPr>
              <w:fldChar w:fldCharType="separate"/>
            </w:r>
            <w:r w:rsidR="005A3A72">
              <w:rPr>
                <w:noProof/>
                <w:webHidden/>
              </w:rPr>
              <w:t>11</w:t>
            </w:r>
            <w:r w:rsidR="00A25737">
              <w:rPr>
                <w:noProof/>
                <w:webHidden/>
              </w:rPr>
              <w:fldChar w:fldCharType="end"/>
            </w:r>
          </w:hyperlink>
        </w:p>
        <w:p w14:paraId="551816C0" w14:textId="032B6A20" w:rsidR="00A25737" w:rsidRDefault="00E14825">
          <w:pPr>
            <w:pStyle w:val="TOC2"/>
            <w:rPr>
              <w:rFonts w:eastAsiaTheme="minorEastAsia"/>
              <w:noProof/>
              <w:szCs w:val="22"/>
              <w:lang w:eastAsia="en-AU"/>
            </w:rPr>
          </w:pPr>
          <w:hyperlink w:anchor="_Toc134198439" w:history="1">
            <w:r w:rsidR="00A25737" w:rsidRPr="00F171E1">
              <w:rPr>
                <w:rStyle w:val="Hyperlink"/>
                <w:noProof/>
              </w:rPr>
              <w:t>1.3 Visibility of unpaid SG</w:t>
            </w:r>
            <w:r w:rsidR="00A25737">
              <w:rPr>
                <w:noProof/>
                <w:webHidden/>
              </w:rPr>
              <w:tab/>
            </w:r>
            <w:r w:rsidR="00A25737">
              <w:rPr>
                <w:noProof/>
                <w:webHidden/>
              </w:rPr>
              <w:fldChar w:fldCharType="begin"/>
            </w:r>
            <w:r w:rsidR="00A25737">
              <w:rPr>
                <w:noProof/>
                <w:webHidden/>
              </w:rPr>
              <w:instrText xml:space="preserve"> PAGEREF _Toc134198439 \h </w:instrText>
            </w:r>
            <w:r w:rsidR="00A25737">
              <w:rPr>
                <w:noProof/>
                <w:webHidden/>
              </w:rPr>
            </w:r>
            <w:r w:rsidR="00A25737">
              <w:rPr>
                <w:noProof/>
                <w:webHidden/>
              </w:rPr>
              <w:fldChar w:fldCharType="separate"/>
            </w:r>
            <w:r w:rsidR="005A3A72">
              <w:rPr>
                <w:noProof/>
                <w:webHidden/>
              </w:rPr>
              <w:t>12</w:t>
            </w:r>
            <w:r w:rsidR="00A25737">
              <w:rPr>
                <w:noProof/>
                <w:webHidden/>
              </w:rPr>
              <w:fldChar w:fldCharType="end"/>
            </w:r>
          </w:hyperlink>
        </w:p>
        <w:p w14:paraId="182DB92A" w14:textId="2B3641C2" w:rsidR="00A25737" w:rsidRDefault="00E14825">
          <w:pPr>
            <w:pStyle w:val="TOC3"/>
            <w:rPr>
              <w:rFonts w:eastAsiaTheme="minorEastAsia"/>
              <w:noProof/>
              <w:szCs w:val="22"/>
              <w:lang w:eastAsia="en-AU"/>
            </w:rPr>
          </w:pPr>
          <w:hyperlink w:anchor="_Toc134198440" w:history="1">
            <w:r w:rsidR="00A25737" w:rsidRPr="00F171E1">
              <w:rPr>
                <w:rStyle w:val="Hyperlink"/>
                <w:noProof/>
              </w:rPr>
              <w:t>ATO</w:t>
            </w:r>
            <w:r w:rsidR="00A25737">
              <w:rPr>
                <w:noProof/>
                <w:webHidden/>
              </w:rPr>
              <w:tab/>
            </w:r>
            <w:r w:rsidR="00A25737">
              <w:rPr>
                <w:noProof/>
                <w:webHidden/>
              </w:rPr>
              <w:fldChar w:fldCharType="begin"/>
            </w:r>
            <w:r w:rsidR="00A25737">
              <w:rPr>
                <w:noProof/>
                <w:webHidden/>
              </w:rPr>
              <w:instrText xml:space="preserve"> PAGEREF _Toc134198440 \h </w:instrText>
            </w:r>
            <w:r w:rsidR="00A25737">
              <w:rPr>
                <w:noProof/>
                <w:webHidden/>
              </w:rPr>
            </w:r>
            <w:r w:rsidR="00A25737">
              <w:rPr>
                <w:noProof/>
                <w:webHidden/>
              </w:rPr>
              <w:fldChar w:fldCharType="separate"/>
            </w:r>
            <w:r w:rsidR="005A3A72">
              <w:rPr>
                <w:noProof/>
                <w:webHidden/>
              </w:rPr>
              <w:t>12</w:t>
            </w:r>
            <w:r w:rsidR="00A25737">
              <w:rPr>
                <w:noProof/>
                <w:webHidden/>
              </w:rPr>
              <w:fldChar w:fldCharType="end"/>
            </w:r>
          </w:hyperlink>
        </w:p>
        <w:p w14:paraId="2D254BF0" w14:textId="291D8633" w:rsidR="00A25737" w:rsidRDefault="00E14825">
          <w:pPr>
            <w:pStyle w:val="TOC3"/>
            <w:rPr>
              <w:rFonts w:eastAsiaTheme="minorEastAsia"/>
              <w:noProof/>
              <w:szCs w:val="22"/>
              <w:lang w:eastAsia="en-AU"/>
            </w:rPr>
          </w:pPr>
          <w:hyperlink w:anchor="_Toc134198441" w:history="1">
            <w:r w:rsidR="00A25737" w:rsidRPr="00F171E1">
              <w:rPr>
                <w:rStyle w:val="Hyperlink"/>
                <w:noProof/>
              </w:rPr>
              <w:t>Employees</w:t>
            </w:r>
            <w:r w:rsidR="00A25737">
              <w:rPr>
                <w:noProof/>
                <w:webHidden/>
              </w:rPr>
              <w:tab/>
            </w:r>
            <w:r w:rsidR="00A25737">
              <w:rPr>
                <w:noProof/>
                <w:webHidden/>
              </w:rPr>
              <w:fldChar w:fldCharType="begin"/>
            </w:r>
            <w:r w:rsidR="00A25737">
              <w:rPr>
                <w:noProof/>
                <w:webHidden/>
              </w:rPr>
              <w:instrText xml:space="preserve"> PAGEREF _Toc134198441 \h </w:instrText>
            </w:r>
            <w:r w:rsidR="00A25737">
              <w:rPr>
                <w:noProof/>
                <w:webHidden/>
              </w:rPr>
            </w:r>
            <w:r w:rsidR="00A25737">
              <w:rPr>
                <w:noProof/>
                <w:webHidden/>
              </w:rPr>
              <w:fldChar w:fldCharType="separate"/>
            </w:r>
            <w:r w:rsidR="005A3A72">
              <w:rPr>
                <w:noProof/>
                <w:webHidden/>
              </w:rPr>
              <w:t>13</w:t>
            </w:r>
            <w:r w:rsidR="00A25737">
              <w:rPr>
                <w:noProof/>
                <w:webHidden/>
              </w:rPr>
              <w:fldChar w:fldCharType="end"/>
            </w:r>
          </w:hyperlink>
        </w:p>
        <w:p w14:paraId="0ADEFB33" w14:textId="082C5D0B" w:rsidR="00A25737" w:rsidRDefault="00E14825">
          <w:pPr>
            <w:pStyle w:val="TOC3"/>
            <w:rPr>
              <w:rFonts w:eastAsiaTheme="minorEastAsia"/>
              <w:noProof/>
              <w:szCs w:val="22"/>
              <w:lang w:eastAsia="en-AU"/>
            </w:rPr>
          </w:pPr>
          <w:hyperlink w:anchor="_Toc134198442" w:history="1">
            <w:r w:rsidR="00A25737" w:rsidRPr="00F171E1">
              <w:rPr>
                <w:rStyle w:val="Hyperlink"/>
                <w:noProof/>
              </w:rPr>
              <w:t>Superannuation funds</w:t>
            </w:r>
            <w:r w:rsidR="00A25737">
              <w:rPr>
                <w:noProof/>
                <w:webHidden/>
              </w:rPr>
              <w:tab/>
            </w:r>
            <w:r w:rsidR="00A25737">
              <w:rPr>
                <w:noProof/>
                <w:webHidden/>
              </w:rPr>
              <w:fldChar w:fldCharType="begin"/>
            </w:r>
            <w:r w:rsidR="00A25737">
              <w:rPr>
                <w:noProof/>
                <w:webHidden/>
              </w:rPr>
              <w:instrText xml:space="preserve"> PAGEREF _Toc134198442 \h </w:instrText>
            </w:r>
            <w:r w:rsidR="00A25737">
              <w:rPr>
                <w:noProof/>
                <w:webHidden/>
              </w:rPr>
            </w:r>
            <w:r w:rsidR="00A25737">
              <w:rPr>
                <w:noProof/>
                <w:webHidden/>
              </w:rPr>
              <w:fldChar w:fldCharType="separate"/>
            </w:r>
            <w:r w:rsidR="005A3A72">
              <w:rPr>
                <w:noProof/>
                <w:webHidden/>
              </w:rPr>
              <w:t>13</w:t>
            </w:r>
            <w:r w:rsidR="00A25737">
              <w:rPr>
                <w:noProof/>
                <w:webHidden/>
              </w:rPr>
              <w:fldChar w:fldCharType="end"/>
            </w:r>
          </w:hyperlink>
        </w:p>
        <w:p w14:paraId="2757922B" w14:textId="1EAD51C5" w:rsidR="00A25737" w:rsidRDefault="00E14825">
          <w:pPr>
            <w:pStyle w:val="TOC1"/>
            <w:rPr>
              <w:rFonts w:eastAsiaTheme="minorEastAsia"/>
              <w:noProof/>
              <w:szCs w:val="22"/>
              <w:lang w:eastAsia="en-AU"/>
            </w:rPr>
          </w:pPr>
          <w:hyperlink w:anchor="_Toc134198443" w:history="1">
            <w:r w:rsidR="00A25737" w:rsidRPr="00F171E1">
              <w:rPr>
                <w:rStyle w:val="Hyperlink"/>
                <w:noProof/>
              </w:rPr>
              <w:t>2. Why is Government action needed?</w:t>
            </w:r>
            <w:r w:rsidR="00A25737">
              <w:rPr>
                <w:noProof/>
                <w:webHidden/>
              </w:rPr>
              <w:tab/>
            </w:r>
            <w:r w:rsidR="00A25737">
              <w:rPr>
                <w:noProof/>
                <w:webHidden/>
              </w:rPr>
              <w:fldChar w:fldCharType="begin"/>
            </w:r>
            <w:r w:rsidR="00A25737">
              <w:rPr>
                <w:noProof/>
                <w:webHidden/>
              </w:rPr>
              <w:instrText xml:space="preserve"> PAGEREF _Toc134198443 \h </w:instrText>
            </w:r>
            <w:r w:rsidR="00A25737">
              <w:rPr>
                <w:noProof/>
                <w:webHidden/>
              </w:rPr>
            </w:r>
            <w:r w:rsidR="00A25737">
              <w:rPr>
                <w:noProof/>
                <w:webHidden/>
              </w:rPr>
              <w:fldChar w:fldCharType="separate"/>
            </w:r>
            <w:r w:rsidR="005A3A72">
              <w:rPr>
                <w:noProof/>
                <w:webHidden/>
              </w:rPr>
              <w:t>14</w:t>
            </w:r>
            <w:r w:rsidR="00A25737">
              <w:rPr>
                <w:noProof/>
                <w:webHidden/>
              </w:rPr>
              <w:fldChar w:fldCharType="end"/>
            </w:r>
          </w:hyperlink>
        </w:p>
        <w:p w14:paraId="658F4FC3" w14:textId="3A2F697A" w:rsidR="00A25737" w:rsidRDefault="00E14825">
          <w:pPr>
            <w:pStyle w:val="TOC2"/>
            <w:rPr>
              <w:rFonts w:eastAsiaTheme="minorEastAsia"/>
              <w:noProof/>
              <w:szCs w:val="22"/>
              <w:lang w:eastAsia="en-AU"/>
            </w:rPr>
          </w:pPr>
          <w:hyperlink w:anchor="_Toc134198444" w:history="1">
            <w:r w:rsidR="00A25737" w:rsidRPr="00F171E1">
              <w:rPr>
                <w:rStyle w:val="Hyperlink"/>
                <w:noProof/>
              </w:rPr>
              <w:t>2.1 Why is Government intervention needed?</w:t>
            </w:r>
            <w:r w:rsidR="00A25737">
              <w:rPr>
                <w:noProof/>
                <w:webHidden/>
              </w:rPr>
              <w:tab/>
            </w:r>
            <w:r w:rsidR="00A25737">
              <w:rPr>
                <w:noProof/>
                <w:webHidden/>
              </w:rPr>
              <w:fldChar w:fldCharType="begin"/>
            </w:r>
            <w:r w:rsidR="00A25737">
              <w:rPr>
                <w:noProof/>
                <w:webHidden/>
              </w:rPr>
              <w:instrText xml:space="preserve"> PAGEREF _Toc134198444 \h </w:instrText>
            </w:r>
            <w:r w:rsidR="00A25737">
              <w:rPr>
                <w:noProof/>
                <w:webHidden/>
              </w:rPr>
            </w:r>
            <w:r w:rsidR="00A25737">
              <w:rPr>
                <w:noProof/>
                <w:webHidden/>
              </w:rPr>
              <w:fldChar w:fldCharType="separate"/>
            </w:r>
            <w:r w:rsidR="005A3A72">
              <w:rPr>
                <w:noProof/>
                <w:webHidden/>
              </w:rPr>
              <w:t>14</w:t>
            </w:r>
            <w:r w:rsidR="00A25737">
              <w:rPr>
                <w:noProof/>
                <w:webHidden/>
              </w:rPr>
              <w:fldChar w:fldCharType="end"/>
            </w:r>
          </w:hyperlink>
        </w:p>
        <w:p w14:paraId="45F3EB5E" w14:textId="18B45E05" w:rsidR="00A25737" w:rsidRDefault="00E14825">
          <w:pPr>
            <w:pStyle w:val="TOC3"/>
            <w:rPr>
              <w:rFonts w:eastAsiaTheme="minorEastAsia"/>
              <w:noProof/>
              <w:szCs w:val="22"/>
              <w:lang w:eastAsia="en-AU"/>
            </w:rPr>
          </w:pPr>
          <w:hyperlink w:anchor="_Toc134198445" w:history="1">
            <w:r w:rsidR="00A25737" w:rsidRPr="00F171E1">
              <w:rPr>
                <w:rStyle w:val="Hyperlink"/>
                <w:noProof/>
              </w:rPr>
              <w:t>Unpaid SG will not be resolved without Government intervention</w:t>
            </w:r>
            <w:r w:rsidR="00A25737">
              <w:rPr>
                <w:noProof/>
                <w:webHidden/>
              </w:rPr>
              <w:tab/>
            </w:r>
            <w:r w:rsidR="00A25737">
              <w:rPr>
                <w:noProof/>
                <w:webHidden/>
              </w:rPr>
              <w:fldChar w:fldCharType="begin"/>
            </w:r>
            <w:r w:rsidR="00A25737">
              <w:rPr>
                <w:noProof/>
                <w:webHidden/>
              </w:rPr>
              <w:instrText xml:space="preserve"> PAGEREF _Toc134198445 \h </w:instrText>
            </w:r>
            <w:r w:rsidR="00A25737">
              <w:rPr>
                <w:noProof/>
                <w:webHidden/>
              </w:rPr>
            </w:r>
            <w:r w:rsidR="00A25737">
              <w:rPr>
                <w:noProof/>
                <w:webHidden/>
              </w:rPr>
              <w:fldChar w:fldCharType="separate"/>
            </w:r>
            <w:r w:rsidR="005A3A72">
              <w:rPr>
                <w:noProof/>
                <w:webHidden/>
              </w:rPr>
              <w:t>14</w:t>
            </w:r>
            <w:r w:rsidR="00A25737">
              <w:rPr>
                <w:noProof/>
                <w:webHidden/>
              </w:rPr>
              <w:fldChar w:fldCharType="end"/>
            </w:r>
          </w:hyperlink>
        </w:p>
        <w:p w14:paraId="399954D5" w14:textId="22A2BACB" w:rsidR="00A25737" w:rsidRDefault="00E14825">
          <w:pPr>
            <w:pStyle w:val="TOC3"/>
            <w:rPr>
              <w:rFonts w:eastAsiaTheme="minorEastAsia"/>
              <w:noProof/>
              <w:szCs w:val="22"/>
              <w:lang w:eastAsia="en-AU"/>
            </w:rPr>
          </w:pPr>
          <w:hyperlink w:anchor="_Toc134198446" w:history="1">
            <w:r w:rsidR="00A25737" w:rsidRPr="00F171E1">
              <w:rPr>
                <w:rStyle w:val="Hyperlink"/>
                <w:noProof/>
              </w:rPr>
              <w:t>Without Government intervention, inequities will persist</w:t>
            </w:r>
            <w:r w:rsidR="00A25737">
              <w:rPr>
                <w:noProof/>
                <w:webHidden/>
              </w:rPr>
              <w:tab/>
            </w:r>
            <w:r w:rsidR="00A25737">
              <w:rPr>
                <w:noProof/>
                <w:webHidden/>
              </w:rPr>
              <w:fldChar w:fldCharType="begin"/>
            </w:r>
            <w:r w:rsidR="00A25737">
              <w:rPr>
                <w:noProof/>
                <w:webHidden/>
              </w:rPr>
              <w:instrText xml:space="preserve"> PAGEREF _Toc134198446 \h </w:instrText>
            </w:r>
            <w:r w:rsidR="00A25737">
              <w:rPr>
                <w:noProof/>
                <w:webHidden/>
              </w:rPr>
            </w:r>
            <w:r w:rsidR="00A25737">
              <w:rPr>
                <w:noProof/>
                <w:webHidden/>
              </w:rPr>
              <w:fldChar w:fldCharType="separate"/>
            </w:r>
            <w:r w:rsidR="005A3A72">
              <w:rPr>
                <w:noProof/>
                <w:webHidden/>
              </w:rPr>
              <w:t>15</w:t>
            </w:r>
            <w:r w:rsidR="00A25737">
              <w:rPr>
                <w:noProof/>
                <w:webHidden/>
              </w:rPr>
              <w:fldChar w:fldCharType="end"/>
            </w:r>
          </w:hyperlink>
        </w:p>
        <w:p w14:paraId="4A58477F" w14:textId="0032728D" w:rsidR="00A25737" w:rsidRDefault="00E14825">
          <w:pPr>
            <w:pStyle w:val="TOC2"/>
            <w:rPr>
              <w:rFonts w:eastAsiaTheme="minorEastAsia"/>
              <w:noProof/>
              <w:szCs w:val="22"/>
              <w:lang w:eastAsia="en-AU"/>
            </w:rPr>
          </w:pPr>
          <w:hyperlink w:anchor="_Toc134198447" w:history="1">
            <w:r w:rsidR="00A25737" w:rsidRPr="00F171E1">
              <w:rPr>
                <w:rStyle w:val="Hyperlink"/>
                <w:noProof/>
              </w:rPr>
              <w:t>2.2 What capacity does the Government have to intervene?</w:t>
            </w:r>
            <w:r w:rsidR="00A25737">
              <w:rPr>
                <w:noProof/>
                <w:webHidden/>
              </w:rPr>
              <w:tab/>
            </w:r>
            <w:r w:rsidR="00A25737">
              <w:rPr>
                <w:noProof/>
                <w:webHidden/>
              </w:rPr>
              <w:fldChar w:fldCharType="begin"/>
            </w:r>
            <w:r w:rsidR="00A25737">
              <w:rPr>
                <w:noProof/>
                <w:webHidden/>
              </w:rPr>
              <w:instrText xml:space="preserve"> PAGEREF _Toc134198447 \h </w:instrText>
            </w:r>
            <w:r w:rsidR="00A25737">
              <w:rPr>
                <w:noProof/>
                <w:webHidden/>
              </w:rPr>
            </w:r>
            <w:r w:rsidR="00A25737">
              <w:rPr>
                <w:noProof/>
                <w:webHidden/>
              </w:rPr>
              <w:fldChar w:fldCharType="separate"/>
            </w:r>
            <w:r w:rsidR="005A3A72">
              <w:rPr>
                <w:noProof/>
                <w:webHidden/>
              </w:rPr>
              <w:t>16</w:t>
            </w:r>
            <w:r w:rsidR="00A25737">
              <w:rPr>
                <w:noProof/>
                <w:webHidden/>
              </w:rPr>
              <w:fldChar w:fldCharType="end"/>
            </w:r>
          </w:hyperlink>
        </w:p>
        <w:p w14:paraId="37BB9DFE" w14:textId="6C790FAF" w:rsidR="00A25737" w:rsidRDefault="00E14825">
          <w:pPr>
            <w:pStyle w:val="TOC3"/>
            <w:rPr>
              <w:rFonts w:eastAsiaTheme="minorEastAsia"/>
              <w:noProof/>
              <w:szCs w:val="22"/>
              <w:lang w:eastAsia="en-AU"/>
            </w:rPr>
          </w:pPr>
          <w:hyperlink w:anchor="_Toc134198448" w:history="1">
            <w:r w:rsidR="00A25737" w:rsidRPr="00F171E1">
              <w:rPr>
                <w:rStyle w:val="Hyperlink"/>
                <w:noProof/>
              </w:rPr>
              <w:t>Policy and legislative changes</w:t>
            </w:r>
            <w:r w:rsidR="00A25737">
              <w:rPr>
                <w:noProof/>
                <w:webHidden/>
              </w:rPr>
              <w:tab/>
            </w:r>
            <w:r w:rsidR="00A25737">
              <w:rPr>
                <w:noProof/>
                <w:webHidden/>
              </w:rPr>
              <w:fldChar w:fldCharType="begin"/>
            </w:r>
            <w:r w:rsidR="00A25737">
              <w:rPr>
                <w:noProof/>
                <w:webHidden/>
              </w:rPr>
              <w:instrText xml:space="preserve"> PAGEREF _Toc134198448 \h </w:instrText>
            </w:r>
            <w:r w:rsidR="00A25737">
              <w:rPr>
                <w:noProof/>
                <w:webHidden/>
              </w:rPr>
            </w:r>
            <w:r w:rsidR="00A25737">
              <w:rPr>
                <w:noProof/>
                <w:webHidden/>
              </w:rPr>
              <w:fldChar w:fldCharType="separate"/>
            </w:r>
            <w:r w:rsidR="005A3A72">
              <w:rPr>
                <w:noProof/>
                <w:webHidden/>
              </w:rPr>
              <w:t>16</w:t>
            </w:r>
            <w:r w:rsidR="00A25737">
              <w:rPr>
                <w:noProof/>
                <w:webHidden/>
              </w:rPr>
              <w:fldChar w:fldCharType="end"/>
            </w:r>
          </w:hyperlink>
        </w:p>
        <w:p w14:paraId="33A8DE5C" w14:textId="077E9A5A" w:rsidR="00A25737" w:rsidRDefault="00E14825">
          <w:pPr>
            <w:pStyle w:val="TOC3"/>
            <w:rPr>
              <w:rFonts w:eastAsiaTheme="minorEastAsia"/>
              <w:noProof/>
              <w:szCs w:val="22"/>
              <w:lang w:eastAsia="en-AU"/>
            </w:rPr>
          </w:pPr>
          <w:hyperlink w:anchor="_Toc134198449" w:history="1">
            <w:r w:rsidR="00A25737" w:rsidRPr="00F171E1">
              <w:rPr>
                <w:rStyle w:val="Hyperlink"/>
                <w:noProof/>
              </w:rPr>
              <w:t>Administrative and data reporting changes</w:t>
            </w:r>
            <w:r w:rsidR="00A25737">
              <w:rPr>
                <w:noProof/>
                <w:webHidden/>
              </w:rPr>
              <w:tab/>
            </w:r>
            <w:r w:rsidR="00A25737">
              <w:rPr>
                <w:noProof/>
                <w:webHidden/>
              </w:rPr>
              <w:fldChar w:fldCharType="begin"/>
            </w:r>
            <w:r w:rsidR="00A25737">
              <w:rPr>
                <w:noProof/>
                <w:webHidden/>
              </w:rPr>
              <w:instrText xml:space="preserve"> PAGEREF _Toc134198449 \h </w:instrText>
            </w:r>
            <w:r w:rsidR="00A25737">
              <w:rPr>
                <w:noProof/>
                <w:webHidden/>
              </w:rPr>
            </w:r>
            <w:r w:rsidR="00A25737">
              <w:rPr>
                <w:noProof/>
                <w:webHidden/>
              </w:rPr>
              <w:fldChar w:fldCharType="separate"/>
            </w:r>
            <w:r w:rsidR="005A3A72">
              <w:rPr>
                <w:noProof/>
                <w:webHidden/>
              </w:rPr>
              <w:t>16</w:t>
            </w:r>
            <w:r w:rsidR="00A25737">
              <w:rPr>
                <w:noProof/>
                <w:webHidden/>
              </w:rPr>
              <w:fldChar w:fldCharType="end"/>
            </w:r>
          </w:hyperlink>
        </w:p>
        <w:p w14:paraId="70673507" w14:textId="195F262C" w:rsidR="00A25737" w:rsidRDefault="00E14825">
          <w:pPr>
            <w:pStyle w:val="TOC3"/>
            <w:rPr>
              <w:rFonts w:eastAsiaTheme="minorEastAsia"/>
              <w:noProof/>
              <w:szCs w:val="22"/>
              <w:lang w:eastAsia="en-AU"/>
            </w:rPr>
          </w:pPr>
          <w:hyperlink w:anchor="_Toc134198450" w:history="1">
            <w:r w:rsidR="00A25737" w:rsidRPr="00F171E1">
              <w:rPr>
                <w:rStyle w:val="Hyperlink"/>
                <w:noProof/>
              </w:rPr>
              <w:t>Investments in ATO to recover unpaid SG</w:t>
            </w:r>
            <w:r w:rsidR="00A25737">
              <w:rPr>
                <w:noProof/>
                <w:webHidden/>
              </w:rPr>
              <w:tab/>
            </w:r>
            <w:r w:rsidR="00A25737">
              <w:rPr>
                <w:noProof/>
                <w:webHidden/>
              </w:rPr>
              <w:fldChar w:fldCharType="begin"/>
            </w:r>
            <w:r w:rsidR="00A25737">
              <w:rPr>
                <w:noProof/>
                <w:webHidden/>
              </w:rPr>
              <w:instrText xml:space="preserve"> PAGEREF _Toc134198450 \h </w:instrText>
            </w:r>
            <w:r w:rsidR="00A25737">
              <w:rPr>
                <w:noProof/>
                <w:webHidden/>
              </w:rPr>
            </w:r>
            <w:r w:rsidR="00A25737">
              <w:rPr>
                <w:noProof/>
                <w:webHidden/>
              </w:rPr>
              <w:fldChar w:fldCharType="separate"/>
            </w:r>
            <w:r w:rsidR="005A3A72">
              <w:rPr>
                <w:noProof/>
                <w:webHidden/>
              </w:rPr>
              <w:t>16</w:t>
            </w:r>
            <w:r w:rsidR="00A25737">
              <w:rPr>
                <w:noProof/>
                <w:webHidden/>
              </w:rPr>
              <w:fldChar w:fldCharType="end"/>
            </w:r>
          </w:hyperlink>
        </w:p>
        <w:p w14:paraId="426A43EE" w14:textId="55DFB4B0" w:rsidR="00A25737" w:rsidRDefault="00E14825">
          <w:pPr>
            <w:pStyle w:val="TOC2"/>
            <w:rPr>
              <w:rFonts w:eastAsiaTheme="minorEastAsia"/>
              <w:noProof/>
              <w:szCs w:val="22"/>
              <w:lang w:eastAsia="en-AU"/>
            </w:rPr>
          </w:pPr>
          <w:hyperlink w:anchor="_Toc134198451" w:history="1">
            <w:r w:rsidR="00A25737" w:rsidRPr="00F171E1">
              <w:rPr>
                <w:rStyle w:val="Hyperlink"/>
                <w:noProof/>
              </w:rPr>
              <w:t>2.3 What are the objectives of Government action?</w:t>
            </w:r>
            <w:r w:rsidR="00A25737">
              <w:rPr>
                <w:noProof/>
                <w:webHidden/>
              </w:rPr>
              <w:tab/>
            </w:r>
            <w:r w:rsidR="00A25737">
              <w:rPr>
                <w:noProof/>
                <w:webHidden/>
              </w:rPr>
              <w:fldChar w:fldCharType="begin"/>
            </w:r>
            <w:r w:rsidR="00A25737">
              <w:rPr>
                <w:noProof/>
                <w:webHidden/>
              </w:rPr>
              <w:instrText xml:space="preserve"> PAGEREF _Toc134198451 \h </w:instrText>
            </w:r>
            <w:r w:rsidR="00A25737">
              <w:rPr>
                <w:noProof/>
                <w:webHidden/>
              </w:rPr>
            </w:r>
            <w:r w:rsidR="00A25737">
              <w:rPr>
                <w:noProof/>
                <w:webHidden/>
              </w:rPr>
              <w:fldChar w:fldCharType="separate"/>
            </w:r>
            <w:r w:rsidR="005A3A72">
              <w:rPr>
                <w:noProof/>
                <w:webHidden/>
              </w:rPr>
              <w:t>16</w:t>
            </w:r>
            <w:r w:rsidR="00A25737">
              <w:rPr>
                <w:noProof/>
                <w:webHidden/>
              </w:rPr>
              <w:fldChar w:fldCharType="end"/>
            </w:r>
          </w:hyperlink>
        </w:p>
        <w:p w14:paraId="01BCDB01" w14:textId="2F737E69" w:rsidR="00A25737" w:rsidRDefault="00E14825">
          <w:pPr>
            <w:pStyle w:val="TOC1"/>
            <w:rPr>
              <w:rFonts w:eastAsiaTheme="minorEastAsia"/>
              <w:noProof/>
              <w:szCs w:val="22"/>
              <w:lang w:eastAsia="en-AU"/>
            </w:rPr>
          </w:pPr>
          <w:hyperlink w:anchor="_Toc134198452" w:history="1">
            <w:r w:rsidR="00A25737" w:rsidRPr="00F171E1">
              <w:rPr>
                <w:rStyle w:val="Hyperlink"/>
                <w:noProof/>
              </w:rPr>
              <w:t>3. What policy options are you considering?</w:t>
            </w:r>
            <w:r w:rsidR="00A25737">
              <w:rPr>
                <w:noProof/>
                <w:webHidden/>
              </w:rPr>
              <w:tab/>
            </w:r>
            <w:r w:rsidR="00A25737">
              <w:rPr>
                <w:noProof/>
                <w:webHidden/>
              </w:rPr>
              <w:fldChar w:fldCharType="begin"/>
            </w:r>
            <w:r w:rsidR="00A25737">
              <w:rPr>
                <w:noProof/>
                <w:webHidden/>
              </w:rPr>
              <w:instrText xml:space="preserve"> PAGEREF _Toc134198452 \h </w:instrText>
            </w:r>
            <w:r w:rsidR="00A25737">
              <w:rPr>
                <w:noProof/>
                <w:webHidden/>
              </w:rPr>
            </w:r>
            <w:r w:rsidR="00A25737">
              <w:rPr>
                <w:noProof/>
                <w:webHidden/>
              </w:rPr>
              <w:fldChar w:fldCharType="separate"/>
            </w:r>
            <w:r w:rsidR="005A3A72">
              <w:rPr>
                <w:noProof/>
                <w:webHidden/>
              </w:rPr>
              <w:t>18</w:t>
            </w:r>
            <w:r w:rsidR="00A25737">
              <w:rPr>
                <w:noProof/>
                <w:webHidden/>
              </w:rPr>
              <w:fldChar w:fldCharType="end"/>
            </w:r>
          </w:hyperlink>
        </w:p>
        <w:p w14:paraId="452A6B29" w14:textId="3678A87D" w:rsidR="00A25737" w:rsidRDefault="00E14825">
          <w:pPr>
            <w:pStyle w:val="TOC2"/>
            <w:rPr>
              <w:rFonts w:eastAsiaTheme="minorEastAsia"/>
              <w:noProof/>
              <w:szCs w:val="22"/>
              <w:lang w:eastAsia="en-AU"/>
            </w:rPr>
          </w:pPr>
          <w:hyperlink w:anchor="_Toc134198453" w:history="1">
            <w:r w:rsidR="00A25737" w:rsidRPr="00F171E1">
              <w:rPr>
                <w:rStyle w:val="Hyperlink"/>
                <w:noProof/>
              </w:rPr>
              <w:t>3.1 Option 1 – Status Quo</w:t>
            </w:r>
            <w:r w:rsidR="00A25737">
              <w:rPr>
                <w:noProof/>
                <w:webHidden/>
              </w:rPr>
              <w:tab/>
            </w:r>
            <w:r w:rsidR="00A25737">
              <w:rPr>
                <w:noProof/>
                <w:webHidden/>
              </w:rPr>
              <w:fldChar w:fldCharType="begin"/>
            </w:r>
            <w:r w:rsidR="00A25737">
              <w:rPr>
                <w:noProof/>
                <w:webHidden/>
              </w:rPr>
              <w:instrText xml:space="preserve"> PAGEREF _Toc134198453 \h </w:instrText>
            </w:r>
            <w:r w:rsidR="00A25737">
              <w:rPr>
                <w:noProof/>
                <w:webHidden/>
              </w:rPr>
            </w:r>
            <w:r w:rsidR="00A25737">
              <w:rPr>
                <w:noProof/>
                <w:webHidden/>
              </w:rPr>
              <w:fldChar w:fldCharType="separate"/>
            </w:r>
            <w:r w:rsidR="005A3A72">
              <w:rPr>
                <w:noProof/>
                <w:webHidden/>
              </w:rPr>
              <w:t>18</w:t>
            </w:r>
            <w:r w:rsidR="00A25737">
              <w:rPr>
                <w:noProof/>
                <w:webHidden/>
              </w:rPr>
              <w:fldChar w:fldCharType="end"/>
            </w:r>
          </w:hyperlink>
        </w:p>
        <w:p w14:paraId="075DEDC6" w14:textId="52B71CDB" w:rsidR="00A25737" w:rsidRDefault="00E14825">
          <w:pPr>
            <w:pStyle w:val="TOC2"/>
            <w:rPr>
              <w:rFonts w:eastAsiaTheme="minorEastAsia"/>
              <w:noProof/>
              <w:szCs w:val="22"/>
              <w:lang w:eastAsia="en-AU"/>
            </w:rPr>
          </w:pPr>
          <w:hyperlink w:anchor="_Toc134198454" w:history="1">
            <w:r w:rsidR="00A25737" w:rsidRPr="00F171E1">
              <w:rPr>
                <w:rStyle w:val="Hyperlink"/>
                <w:noProof/>
              </w:rPr>
              <w:t>3.2 Option 2 – Investment in ATO data matching</w:t>
            </w:r>
            <w:r w:rsidR="00A25737">
              <w:rPr>
                <w:noProof/>
                <w:webHidden/>
              </w:rPr>
              <w:tab/>
            </w:r>
            <w:r w:rsidR="00A25737">
              <w:rPr>
                <w:noProof/>
                <w:webHidden/>
              </w:rPr>
              <w:fldChar w:fldCharType="begin"/>
            </w:r>
            <w:r w:rsidR="00A25737">
              <w:rPr>
                <w:noProof/>
                <w:webHidden/>
              </w:rPr>
              <w:instrText xml:space="preserve"> PAGEREF _Toc134198454 \h </w:instrText>
            </w:r>
            <w:r w:rsidR="00A25737">
              <w:rPr>
                <w:noProof/>
                <w:webHidden/>
              </w:rPr>
            </w:r>
            <w:r w:rsidR="00A25737">
              <w:rPr>
                <w:noProof/>
                <w:webHidden/>
              </w:rPr>
              <w:fldChar w:fldCharType="separate"/>
            </w:r>
            <w:r w:rsidR="005A3A72">
              <w:rPr>
                <w:noProof/>
                <w:webHidden/>
              </w:rPr>
              <w:t>18</w:t>
            </w:r>
            <w:r w:rsidR="00A25737">
              <w:rPr>
                <w:noProof/>
                <w:webHidden/>
              </w:rPr>
              <w:fldChar w:fldCharType="end"/>
            </w:r>
          </w:hyperlink>
        </w:p>
        <w:p w14:paraId="3977824C" w14:textId="4B464A88" w:rsidR="00A25737" w:rsidRDefault="00E14825">
          <w:pPr>
            <w:pStyle w:val="TOC2"/>
            <w:rPr>
              <w:rFonts w:eastAsiaTheme="minorEastAsia"/>
              <w:noProof/>
              <w:szCs w:val="22"/>
              <w:lang w:eastAsia="en-AU"/>
            </w:rPr>
          </w:pPr>
          <w:hyperlink w:anchor="_Toc134198455" w:history="1">
            <w:r w:rsidR="00A25737" w:rsidRPr="00F171E1">
              <w:rPr>
                <w:rStyle w:val="Hyperlink"/>
                <w:noProof/>
              </w:rPr>
              <w:t>3.3 Option 3 – SG on payday</w:t>
            </w:r>
            <w:r w:rsidR="00A25737">
              <w:rPr>
                <w:noProof/>
                <w:webHidden/>
              </w:rPr>
              <w:tab/>
            </w:r>
            <w:r w:rsidR="00A25737">
              <w:rPr>
                <w:noProof/>
                <w:webHidden/>
              </w:rPr>
              <w:fldChar w:fldCharType="begin"/>
            </w:r>
            <w:r w:rsidR="00A25737">
              <w:rPr>
                <w:noProof/>
                <w:webHidden/>
              </w:rPr>
              <w:instrText xml:space="preserve"> PAGEREF _Toc134198455 \h </w:instrText>
            </w:r>
            <w:r w:rsidR="00A25737">
              <w:rPr>
                <w:noProof/>
                <w:webHidden/>
              </w:rPr>
            </w:r>
            <w:r w:rsidR="00A25737">
              <w:rPr>
                <w:noProof/>
                <w:webHidden/>
              </w:rPr>
              <w:fldChar w:fldCharType="separate"/>
            </w:r>
            <w:r w:rsidR="005A3A72">
              <w:rPr>
                <w:noProof/>
                <w:webHidden/>
              </w:rPr>
              <w:t>18</w:t>
            </w:r>
            <w:r w:rsidR="00A25737">
              <w:rPr>
                <w:noProof/>
                <w:webHidden/>
              </w:rPr>
              <w:fldChar w:fldCharType="end"/>
            </w:r>
          </w:hyperlink>
        </w:p>
        <w:p w14:paraId="38CE6E62" w14:textId="1A5DC452" w:rsidR="00A25737" w:rsidRDefault="00E14825">
          <w:pPr>
            <w:pStyle w:val="TOC2"/>
            <w:rPr>
              <w:rFonts w:eastAsiaTheme="minorEastAsia"/>
              <w:noProof/>
              <w:szCs w:val="22"/>
              <w:lang w:eastAsia="en-AU"/>
            </w:rPr>
          </w:pPr>
          <w:hyperlink w:anchor="_Toc134198456" w:history="1">
            <w:r w:rsidR="00A25737" w:rsidRPr="00F171E1">
              <w:rPr>
                <w:rStyle w:val="Hyperlink"/>
                <w:noProof/>
              </w:rPr>
              <w:t>3.4 Other options considered</w:t>
            </w:r>
            <w:r w:rsidR="00A25737">
              <w:rPr>
                <w:noProof/>
                <w:webHidden/>
              </w:rPr>
              <w:tab/>
            </w:r>
            <w:r w:rsidR="00A25737">
              <w:rPr>
                <w:noProof/>
                <w:webHidden/>
              </w:rPr>
              <w:fldChar w:fldCharType="begin"/>
            </w:r>
            <w:r w:rsidR="00A25737">
              <w:rPr>
                <w:noProof/>
                <w:webHidden/>
              </w:rPr>
              <w:instrText xml:space="preserve"> PAGEREF _Toc134198456 \h </w:instrText>
            </w:r>
            <w:r w:rsidR="00A25737">
              <w:rPr>
                <w:noProof/>
                <w:webHidden/>
              </w:rPr>
            </w:r>
            <w:r w:rsidR="00A25737">
              <w:rPr>
                <w:noProof/>
                <w:webHidden/>
              </w:rPr>
              <w:fldChar w:fldCharType="separate"/>
            </w:r>
            <w:r w:rsidR="005A3A72">
              <w:rPr>
                <w:noProof/>
                <w:webHidden/>
              </w:rPr>
              <w:t>19</w:t>
            </w:r>
            <w:r w:rsidR="00A25737">
              <w:rPr>
                <w:noProof/>
                <w:webHidden/>
              </w:rPr>
              <w:fldChar w:fldCharType="end"/>
            </w:r>
          </w:hyperlink>
        </w:p>
        <w:p w14:paraId="626D7819" w14:textId="51E3912F" w:rsidR="00A25737" w:rsidRDefault="00E14825">
          <w:pPr>
            <w:pStyle w:val="TOC1"/>
            <w:rPr>
              <w:rFonts w:eastAsiaTheme="minorEastAsia"/>
              <w:noProof/>
              <w:szCs w:val="22"/>
              <w:lang w:eastAsia="en-AU"/>
            </w:rPr>
          </w:pPr>
          <w:hyperlink w:anchor="_Toc134198457" w:history="1">
            <w:r w:rsidR="00A25737" w:rsidRPr="00F171E1">
              <w:rPr>
                <w:rStyle w:val="Hyperlink"/>
                <w:noProof/>
              </w:rPr>
              <w:t>4. What is the likely net benefit of each option?</w:t>
            </w:r>
            <w:r w:rsidR="00A25737">
              <w:rPr>
                <w:noProof/>
                <w:webHidden/>
              </w:rPr>
              <w:tab/>
            </w:r>
            <w:r w:rsidR="00A25737">
              <w:rPr>
                <w:noProof/>
                <w:webHidden/>
              </w:rPr>
              <w:fldChar w:fldCharType="begin"/>
            </w:r>
            <w:r w:rsidR="00A25737">
              <w:rPr>
                <w:noProof/>
                <w:webHidden/>
              </w:rPr>
              <w:instrText xml:space="preserve"> PAGEREF _Toc134198457 \h </w:instrText>
            </w:r>
            <w:r w:rsidR="00A25737">
              <w:rPr>
                <w:noProof/>
                <w:webHidden/>
              </w:rPr>
            </w:r>
            <w:r w:rsidR="00A25737">
              <w:rPr>
                <w:noProof/>
                <w:webHidden/>
              </w:rPr>
              <w:fldChar w:fldCharType="separate"/>
            </w:r>
            <w:r w:rsidR="005A3A72">
              <w:rPr>
                <w:noProof/>
                <w:webHidden/>
              </w:rPr>
              <w:t>21</w:t>
            </w:r>
            <w:r w:rsidR="00A25737">
              <w:rPr>
                <w:noProof/>
                <w:webHidden/>
              </w:rPr>
              <w:fldChar w:fldCharType="end"/>
            </w:r>
          </w:hyperlink>
        </w:p>
        <w:p w14:paraId="1CA53066" w14:textId="64CFEF16" w:rsidR="00A25737" w:rsidRDefault="00E14825">
          <w:pPr>
            <w:pStyle w:val="TOC2"/>
            <w:rPr>
              <w:rFonts w:eastAsiaTheme="minorEastAsia"/>
              <w:noProof/>
              <w:szCs w:val="22"/>
              <w:lang w:eastAsia="en-AU"/>
            </w:rPr>
          </w:pPr>
          <w:hyperlink w:anchor="_Toc134198458" w:history="1">
            <w:r w:rsidR="00A25737" w:rsidRPr="00F171E1">
              <w:rPr>
                <w:rStyle w:val="Hyperlink"/>
                <w:noProof/>
              </w:rPr>
              <w:t>4.1 Option 1 – Status Quo</w:t>
            </w:r>
            <w:r w:rsidR="00A25737">
              <w:rPr>
                <w:noProof/>
                <w:webHidden/>
              </w:rPr>
              <w:tab/>
            </w:r>
            <w:r w:rsidR="00A25737">
              <w:rPr>
                <w:noProof/>
                <w:webHidden/>
              </w:rPr>
              <w:fldChar w:fldCharType="begin"/>
            </w:r>
            <w:r w:rsidR="00A25737">
              <w:rPr>
                <w:noProof/>
                <w:webHidden/>
              </w:rPr>
              <w:instrText xml:space="preserve"> PAGEREF _Toc134198458 \h </w:instrText>
            </w:r>
            <w:r w:rsidR="00A25737">
              <w:rPr>
                <w:noProof/>
                <w:webHidden/>
              </w:rPr>
            </w:r>
            <w:r w:rsidR="00A25737">
              <w:rPr>
                <w:noProof/>
                <w:webHidden/>
              </w:rPr>
              <w:fldChar w:fldCharType="separate"/>
            </w:r>
            <w:r w:rsidR="005A3A72">
              <w:rPr>
                <w:noProof/>
                <w:webHidden/>
              </w:rPr>
              <w:t>21</w:t>
            </w:r>
            <w:r w:rsidR="00A25737">
              <w:rPr>
                <w:noProof/>
                <w:webHidden/>
              </w:rPr>
              <w:fldChar w:fldCharType="end"/>
            </w:r>
          </w:hyperlink>
        </w:p>
        <w:p w14:paraId="083E8051" w14:textId="5684D844" w:rsidR="00A25737" w:rsidRDefault="00E14825">
          <w:pPr>
            <w:pStyle w:val="TOC3"/>
            <w:rPr>
              <w:rFonts w:eastAsiaTheme="minorEastAsia"/>
              <w:noProof/>
              <w:szCs w:val="22"/>
              <w:lang w:eastAsia="en-AU"/>
            </w:rPr>
          </w:pPr>
          <w:hyperlink w:anchor="_Toc134198459" w:history="1">
            <w:r w:rsidR="00A25737" w:rsidRPr="00F171E1">
              <w:rPr>
                <w:rStyle w:val="Hyperlink"/>
                <w:noProof/>
              </w:rPr>
              <w:t>Continued prevalence of unpaid SG</w:t>
            </w:r>
            <w:r w:rsidR="00A25737">
              <w:rPr>
                <w:noProof/>
                <w:webHidden/>
              </w:rPr>
              <w:tab/>
            </w:r>
            <w:r w:rsidR="00A25737">
              <w:rPr>
                <w:noProof/>
                <w:webHidden/>
              </w:rPr>
              <w:fldChar w:fldCharType="begin"/>
            </w:r>
            <w:r w:rsidR="00A25737">
              <w:rPr>
                <w:noProof/>
                <w:webHidden/>
              </w:rPr>
              <w:instrText xml:space="preserve"> PAGEREF _Toc134198459 \h </w:instrText>
            </w:r>
            <w:r w:rsidR="00A25737">
              <w:rPr>
                <w:noProof/>
                <w:webHidden/>
              </w:rPr>
            </w:r>
            <w:r w:rsidR="00A25737">
              <w:rPr>
                <w:noProof/>
                <w:webHidden/>
              </w:rPr>
              <w:fldChar w:fldCharType="separate"/>
            </w:r>
            <w:r w:rsidR="005A3A72">
              <w:rPr>
                <w:noProof/>
                <w:webHidden/>
              </w:rPr>
              <w:t>21</w:t>
            </w:r>
            <w:r w:rsidR="00A25737">
              <w:rPr>
                <w:noProof/>
                <w:webHidden/>
              </w:rPr>
              <w:fldChar w:fldCharType="end"/>
            </w:r>
          </w:hyperlink>
        </w:p>
        <w:p w14:paraId="60CD4CEF" w14:textId="0AA1BF10" w:rsidR="00A25737" w:rsidRDefault="00E14825">
          <w:pPr>
            <w:pStyle w:val="TOC3"/>
            <w:rPr>
              <w:rFonts w:eastAsiaTheme="minorEastAsia"/>
              <w:noProof/>
              <w:szCs w:val="22"/>
              <w:lang w:eastAsia="en-AU"/>
            </w:rPr>
          </w:pPr>
          <w:hyperlink w:anchor="_Toc134198460" w:history="1">
            <w:r w:rsidR="00A25737" w:rsidRPr="00F171E1">
              <w:rPr>
                <w:rStyle w:val="Hyperlink"/>
                <w:noProof/>
              </w:rPr>
              <w:t>Continued slow recovery of unpaid SG</w:t>
            </w:r>
            <w:r w:rsidR="00A25737">
              <w:rPr>
                <w:noProof/>
                <w:webHidden/>
              </w:rPr>
              <w:tab/>
            </w:r>
            <w:r w:rsidR="00A25737">
              <w:rPr>
                <w:noProof/>
                <w:webHidden/>
              </w:rPr>
              <w:fldChar w:fldCharType="begin"/>
            </w:r>
            <w:r w:rsidR="00A25737">
              <w:rPr>
                <w:noProof/>
                <w:webHidden/>
              </w:rPr>
              <w:instrText xml:space="preserve"> PAGEREF _Toc134198460 \h </w:instrText>
            </w:r>
            <w:r w:rsidR="00A25737">
              <w:rPr>
                <w:noProof/>
                <w:webHidden/>
              </w:rPr>
            </w:r>
            <w:r w:rsidR="00A25737">
              <w:rPr>
                <w:noProof/>
                <w:webHidden/>
              </w:rPr>
              <w:fldChar w:fldCharType="separate"/>
            </w:r>
            <w:r w:rsidR="005A3A72">
              <w:rPr>
                <w:noProof/>
                <w:webHidden/>
              </w:rPr>
              <w:t>21</w:t>
            </w:r>
            <w:r w:rsidR="00A25737">
              <w:rPr>
                <w:noProof/>
                <w:webHidden/>
              </w:rPr>
              <w:fldChar w:fldCharType="end"/>
            </w:r>
          </w:hyperlink>
        </w:p>
        <w:p w14:paraId="3F0D5ECA" w14:textId="741A9438" w:rsidR="00A25737" w:rsidRDefault="00E14825">
          <w:pPr>
            <w:pStyle w:val="TOC3"/>
            <w:rPr>
              <w:rFonts w:eastAsiaTheme="minorEastAsia"/>
              <w:noProof/>
              <w:szCs w:val="22"/>
              <w:lang w:eastAsia="en-AU"/>
            </w:rPr>
          </w:pPr>
          <w:hyperlink w:anchor="_Toc134198461" w:history="1">
            <w:r w:rsidR="00A25737" w:rsidRPr="00F171E1">
              <w:rPr>
                <w:rStyle w:val="Hyperlink"/>
                <w:noProof/>
              </w:rPr>
              <w:t>Summary of Option 1</w:t>
            </w:r>
            <w:r w:rsidR="00A25737">
              <w:rPr>
                <w:noProof/>
                <w:webHidden/>
              </w:rPr>
              <w:tab/>
            </w:r>
            <w:r w:rsidR="00A25737">
              <w:rPr>
                <w:noProof/>
                <w:webHidden/>
              </w:rPr>
              <w:fldChar w:fldCharType="begin"/>
            </w:r>
            <w:r w:rsidR="00A25737">
              <w:rPr>
                <w:noProof/>
                <w:webHidden/>
              </w:rPr>
              <w:instrText xml:space="preserve"> PAGEREF _Toc134198461 \h </w:instrText>
            </w:r>
            <w:r w:rsidR="00A25737">
              <w:rPr>
                <w:noProof/>
                <w:webHidden/>
              </w:rPr>
            </w:r>
            <w:r w:rsidR="00A25737">
              <w:rPr>
                <w:noProof/>
                <w:webHidden/>
              </w:rPr>
              <w:fldChar w:fldCharType="separate"/>
            </w:r>
            <w:r w:rsidR="005A3A72">
              <w:rPr>
                <w:noProof/>
                <w:webHidden/>
              </w:rPr>
              <w:t>21</w:t>
            </w:r>
            <w:r w:rsidR="00A25737">
              <w:rPr>
                <w:noProof/>
                <w:webHidden/>
              </w:rPr>
              <w:fldChar w:fldCharType="end"/>
            </w:r>
          </w:hyperlink>
        </w:p>
        <w:p w14:paraId="7EFA4FC9" w14:textId="53A4CBD0" w:rsidR="00A25737" w:rsidRDefault="00E14825">
          <w:pPr>
            <w:pStyle w:val="TOC2"/>
            <w:rPr>
              <w:rFonts w:eastAsiaTheme="minorEastAsia"/>
              <w:noProof/>
              <w:szCs w:val="22"/>
              <w:lang w:eastAsia="en-AU"/>
            </w:rPr>
          </w:pPr>
          <w:hyperlink w:anchor="_Toc134198462" w:history="1">
            <w:r w:rsidR="00A25737" w:rsidRPr="00F171E1">
              <w:rPr>
                <w:rStyle w:val="Hyperlink"/>
                <w:noProof/>
              </w:rPr>
              <w:t>4.2 Option 2 – Investment in ATO data matching</w:t>
            </w:r>
            <w:r w:rsidR="00A25737">
              <w:rPr>
                <w:noProof/>
                <w:webHidden/>
              </w:rPr>
              <w:tab/>
            </w:r>
            <w:r w:rsidR="00A25737">
              <w:rPr>
                <w:noProof/>
                <w:webHidden/>
              </w:rPr>
              <w:fldChar w:fldCharType="begin"/>
            </w:r>
            <w:r w:rsidR="00A25737">
              <w:rPr>
                <w:noProof/>
                <w:webHidden/>
              </w:rPr>
              <w:instrText xml:space="preserve"> PAGEREF _Toc134198462 \h </w:instrText>
            </w:r>
            <w:r w:rsidR="00A25737">
              <w:rPr>
                <w:noProof/>
                <w:webHidden/>
              </w:rPr>
            </w:r>
            <w:r w:rsidR="00A25737">
              <w:rPr>
                <w:noProof/>
                <w:webHidden/>
              </w:rPr>
              <w:fldChar w:fldCharType="separate"/>
            </w:r>
            <w:r w:rsidR="005A3A72">
              <w:rPr>
                <w:noProof/>
                <w:webHidden/>
              </w:rPr>
              <w:t>22</w:t>
            </w:r>
            <w:r w:rsidR="00A25737">
              <w:rPr>
                <w:noProof/>
                <w:webHidden/>
              </w:rPr>
              <w:fldChar w:fldCharType="end"/>
            </w:r>
          </w:hyperlink>
        </w:p>
        <w:p w14:paraId="63D3BB24" w14:textId="4D541E03" w:rsidR="00A25737" w:rsidRDefault="00E14825">
          <w:pPr>
            <w:pStyle w:val="TOC3"/>
            <w:rPr>
              <w:rFonts w:eastAsiaTheme="minorEastAsia"/>
              <w:noProof/>
              <w:szCs w:val="22"/>
              <w:lang w:eastAsia="en-AU"/>
            </w:rPr>
          </w:pPr>
          <w:hyperlink w:anchor="_Toc134198463" w:history="1">
            <w:r w:rsidR="00A25737" w:rsidRPr="00F171E1">
              <w:rPr>
                <w:rStyle w:val="Hyperlink"/>
                <w:noProof/>
              </w:rPr>
              <w:t>Impact 1: Fewer incidences of unpaid SG</w:t>
            </w:r>
            <w:r w:rsidR="00A25737">
              <w:rPr>
                <w:noProof/>
                <w:webHidden/>
              </w:rPr>
              <w:tab/>
            </w:r>
            <w:r w:rsidR="00A25737">
              <w:rPr>
                <w:noProof/>
                <w:webHidden/>
              </w:rPr>
              <w:fldChar w:fldCharType="begin"/>
            </w:r>
            <w:r w:rsidR="00A25737">
              <w:rPr>
                <w:noProof/>
                <w:webHidden/>
              </w:rPr>
              <w:instrText xml:space="preserve"> PAGEREF _Toc134198463 \h </w:instrText>
            </w:r>
            <w:r w:rsidR="00A25737">
              <w:rPr>
                <w:noProof/>
                <w:webHidden/>
              </w:rPr>
            </w:r>
            <w:r w:rsidR="00A25737">
              <w:rPr>
                <w:noProof/>
                <w:webHidden/>
              </w:rPr>
              <w:fldChar w:fldCharType="separate"/>
            </w:r>
            <w:r w:rsidR="005A3A72">
              <w:rPr>
                <w:noProof/>
                <w:webHidden/>
              </w:rPr>
              <w:t>22</w:t>
            </w:r>
            <w:r w:rsidR="00A25737">
              <w:rPr>
                <w:noProof/>
                <w:webHidden/>
              </w:rPr>
              <w:fldChar w:fldCharType="end"/>
            </w:r>
          </w:hyperlink>
        </w:p>
        <w:p w14:paraId="4CBF4E49" w14:textId="1DCECB7E" w:rsidR="00A25737" w:rsidRDefault="00E14825">
          <w:pPr>
            <w:pStyle w:val="TOC3"/>
            <w:rPr>
              <w:rFonts w:eastAsiaTheme="minorEastAsia"/>
              <w:noProof/>
              <w:szCs w:val="22"/>
              <w:lang w:eastAsia="en-AU"/>
            </w:rPr>
          </w:pPr>
          <w:hyperlink w:anchor="_Toc134198464" w:history="1">
            <w:r w:rsidR="00A25737" w:rsidRPr="00F171E1">
              <w:rPr>
                <w:rStyle w:val="Hyperlink"/>
                <w:noProof/>
              </w:rPr>
              <w:t>Impact 2: Quicker recovery of unpaid SG</w:t>
            </w:r>
            <w:r w:rsidR="00A25737">
              <w:rPr>
                <w:noProof/>
                <w:webHidden/>
              </w:rPr>
              <w:tab/>
            </w:r>
            <w:r w:rsidR="00A25737">
              <w:rPr>
                <w:noProof/>
                <w:webHidden/>
              </w:rPr>
              <w:fldChar w:fldCharType="begin"/>
            </w:r>
            <w:r w:rsidR="00A25737">
              <w:rPr>
                <w:noProof/>
                <w:webHidden/>
              </w:rPr>
              <w:instrText xml:space="preserve"> PAGEREF _Toc134198464 \h </w:instrText>
            </w:r>
            <w:r w:rsidR="00A25737">
              <w:rPr>
                <w:noProof/>
                <w:webHidden/>
              </w:rPr>
            </w:r>
            <w:r w:rsidR="00A25737">
              <w:rPr>
                <w:noProof/>
                <w:webHidden/>
              </w:rPr>
              <w:fldChar w:fldCharType="separate"/>
            </w:r>
            <w:r w:rsidR="005A3A72">
              <w:rPr>
                <w:noProof/>
                <w:webHidden/>
              </w:rPr>
              <w:t>23</w:t>
            </w:r>
            <w:r w:rsidR="00A25737">
              <w:rPr>
                <w:noProof/>
                <w:webHidden/>
              </w:rPr>
              <w:fldChar w:fldCharType="end"/>
            </w:r>
          </w:hyperlink>
        </w:p>
        <w:p w14:paraId="622B2A2C" w14:textId="32DAB405" w:rsidR="00A25737" w:rsidRDefault="00E14825">
          <w:pPr>
            <w:pStyle w:val="TOC3"/>
            <w:rPr>
              <w:rFonts w:eastAsiaTheme="minorEastAsia"/>
              <w:noProof/>
              <w:szCs w:val="22"/>
              <w:lang w:eastAsia="en-AU"/>
            </w:rPr>
          </w:pPr>
          <w:hyperlink w:anchor="_Toc134198465" w:history="1">
            <w:r w:rsidR="00A25737" w:rsidRPr="00F171E1">
              <w:rPr>
                <w:rStyle w:val="Hyperlink"/>
                <w:noProof/>
              </w:rPr>
              <w:t>Impact 3: Regulatory costs</w:t>
            </w:r>
            <w:r w:rsidR="00A25737">
              <w:rPr>
                <w:noProof/>
                <w:webHidden/>
              </w:rPr>
              <w:tab/>
            </w:r>
            <w:r w:rsidR="00A25737">
              <w:rPr>
                <w:noProof/>
                <w:webHidden/>
              </w:rPr>
              <w:fldChar w:fldCharType="begin"/>
            </w:r>
            <w:r w:rsidR="00A25737">
              <w:rPr>
                <w:noProof/>
                <w:webHidden/>
              </w:rPr>
              <w:instrText xml:space="preserve"> PAGEREF _Toc134198465 \h </w:instrText>
            </w:r>
            <w:r w:rsidR="00A25737">
              <w:rPr>
                <w:noProof/>
                <w:webHidden/>
              </w:rPr>
            </w:r>
            <w:r w:rsidR="00A25737">
              <w:rPr>
                <w:noProof/>
                <w:webHidden/>
              </w:rPr>
              <w:fldChar w:fldCharType="separate"/>
            </w:r>
            <w:r w:rsidR="005A3A72">
              <w:rPr>
                <w:noProof/>
                <w:webHidden/>
              </w:rPr>
              <w:t>25</w:t>
            </w:r>
            <w:r w:rsidR="00A25737">
              <w:rPr>
                <w:noProof/>
                <w:webHidden/>
              </w:rPr>
              <w:fldChar w:fldCharType="end"/>
            </w:r>
          </w:hyperlink>
        </w:p>
        <w:p w14:paraId="2CFDCA27" w14:textId="22CFBA12" w:rsidR="00A25737" w:rsidRDefault="00E14825">
          <w:pPr>
            <w:pStyle w:val="TOC3"/>
            <w:rPr>
              <w:rFonts w:eastAsiaTheme="minorEastAsia"/>
              <w:noProof/>
              <w:szCs w:val="22"/>
              <w:lang w:eastAsia="en-AU"/>
            </w:rPr>
          </w:pPr>
          <w:hyperlink w:anchor="_Toc134198466" w:history="1">
            <w:r w:rsidR="00A25737" w:rsidRPr="00F171E1">
              <w:rPr>
                <w:rStyle w:val="Hyperlink"/>
                <w:noProof/>
              </w:rPr>
              <w:t>Impact 4: Government expenditure</w:t>
            </w:r>
            <w:r w:rsidR="00A25737">
              <w:rPr>
                <w:noProof/>
                <w:webHidden/>
              </w:rPr>
              <w:tab/>
            </w:r>
            <w:r w:rsidR="00A25737">
              <w:rPr>
                <w:noProof/>
                <w:webHidden/>
              </w:rPr>
              <w:fldChar w:fldCharType="begin"/>
            </w:r>
            <w:r w:rsidR="00A25737">
              <w:rPr>
                <w:noProof/>
                <w:webHidden/>
              </w:rPr>
              <w:instrText xml:space="preserve"> PAGEREF _Toc134198466 \h </w:instrText>
            </w:r>
            <w:r w:rsidR="00A25737">
              <w:rPr>
                <w:noProof/>
                <w:webHidden/>
              </w:rPr>
            </w:r>
            <w:r w:rsidR="00A25737">
              <w:rPr>
                <w:noProof/>
                <w:webHidden/>
              </w:rPr>
              <w:fldChar w:fldCharType="separate"/>
            </w:r>
            <w:r w:rsidR="005A3A72">
              <w:rPr>
                <w:noProof/>
                <w:webHidden/>
              </w:rPr>
              <w:t>25</w:t>
            </w:r>
            <w:r w:rsidR="00A25737">
              <w:rPr>
                <w:noProof/>
                <w:webHidden/>
              </w:rPr>
              <w:fldChar w:fldCharType="end"/>
            </w:r>
          </w:hyperlink>
        </w:p>
        <w:p w14:paraId="1F4110CA" w14:textId="3198F317" w:rsidR="00A25737" w:rsidRDefault="00E14825">
          <w:pPr>
            <w:pStyle w:val="TOC3"/>
            <w:rPr>
              <w:rFonts w:eastAsiaTheme="minorEastAsia"/>
              <w:noProof/>
              <w:szCs w:val="22"/>
              <w:lang w:eastAsia="en-AU"/>
            </w:rPr>
          </w:pPr>
          <w:hyperlink w:anchor="_Toc134198467" w:history="1">
            <w:r w:rsidR="00A25737" w:rsidRPr="00F171E1">
              <w:rPr>
                <w:rStyle w:val="Hyperlink"/>
                <w:noProof/>
              </w:rPr>
              <w:t>Summary of Option 2</w:t>
            </w:r>
            <w:r w:rsidR="00A25737">
              <w:rPr>
                <w:noProof/>
                <w:webHidden/>
              </w:rPr>
              <w:tab/>
            </w:r>
            <w:r w:rsidR="00A25737">
              <w:rPr>
                <w:noProof/>
                <w:webHidden/>
              </w:rPr>
              <w:fldChar w:fldCharType="begin"/>
            </w:r>
            <w:r w:rsidR="00A25737">
              <w:rPr>
                <w:noProof/>
                <w:webHidden/>
              </w:rPr>
              <w:instrText xml:space="preserve"> PAGEREF _Toc134198467 \h </w:instrText>
            </w:r>
            <w:r w:rsidR="00A25737">
              <w:rPr>
                <w:noProof/>
                <w:webHidden/>
              </w:rPr>
            </w:r>
            <w:r w:rsidR="00A25737">
              <w:rPr>
                <w:noProof/>
                <w:webHidden/>
              </w:rPr>
              <w:fldChar w:fldCharType="separate"/>
            </w:r>
            <w:r w:rsidR="005A3A72">
              <w:rPr>
                <w:noProof/>
                <w:webHidden/>
              </w:rPr>
              <w:t>26</w:t>
            </w:r>
            <w:r w:rsidR="00A25737">
              <w:rPr>
                <w:noProof/>
                <w:webHidden/>
              </w:rPr>
              <w:fldChar w:fldCharType="end"/>
            </w:r>
          </w:hyperlink>
        </w:p>
        <w:p w14:paraId="1E2DC7F6" w14:textId="02DD0CD3" w:rsidR="00A25737" w:rsidRDefault="00E14825">
          <w:pPr>
            <w:pStyle w:val="TOC2"/>
            <w:rPr>
              <w:rFonts w:eastAsiaTheme="minorEastAsia"/>
              <w:noProof/>
              <w:szCs w:val="22"/>
              <w:lang w:eastAsia="en-AU"/>
            </w:rPr>
          </w:pPr>
          <w:hyperlink w:anchor="_Toc134198468" w:history="1">
            <w:r w:rsidR="00A25737" w:rsidRPr="00F171E1">
              <w:rPr>
                <w:rStyle w:val="Hyperlink"/>
                <w:noProof/>
              </w:rPr>
              <w:t>4.3 Option 3 – SG on payday</w:t>
            </w:r>
            <w:r w:rsidR="00A25737">
              <w:rPr>
                <w:noProof/>
                <w:webHidden/>
              </w:rPr>
              <w:tab/>
            </w:r>
            <w:r w:rsidR="00A25737">
              <w:rPr>
                <w:noProof/>
                <w:webHidden/>
              </w:rPr>
              <w:fldChar w:fldCharType="begin"/>
            </w:r>
            <w:r w:rsidR="00A25737">
              <w:rPr>
                <w:noProof/>
                <w:webHidden/>
              </w:rPr>
              <w:instrText xml:space="preserve"> PAGEREF _Toc134198468 \h </w:instrText>
            </w:r>
            <w:r w:rsidR="00A25737">
              <w:rPr>
                <w:noProof/>
                <w:webHidden/>
              </w:rPr>
            </w:r>
            <w:r w:rsidR="00A25737">
              <w:rPr>
                <w:noProof/>
                <w:webHidden/>
              </w:rPr>
              <w:fldChar w:fldCharType="separate"/>
            </w:r>
            <w:r w:rsidR="005A3A72">
              <w:rPr>
                <w:noProof/>
                <w:webHidden/>
              </w:rPr>
              <w:t>27</w:t>
            </w:r>
            <w:r w:rsidR="00A25737">
              <w:rPr>
                <w:noProof/>
                <w:webHidden/>
              </w:rPr>
              <w:fldChar w:fldCharType="end"/>
            </w:r>
          </w:hyperlink>
        </w:p>
        <w:p w14:paraId="5D5CF325" w14:textId="7531E91B" w:rsidR="00A25737" w:rsidRDefault="00E14825">
          <w:pPr>
            <w:pStyle w:val="TOC3"/>
            <w:rPr>
              <w:rFonts w:eastAsiaTheme="minorEastAsia"/>
              <w:noProof/>
              <w:szCs w:val="22"/>
              <w:lang w:eastAsia="en-AU"/>
            </w:rPr>
          </w:pPr>
          <w:hyperlink w:anchor="_Toc134198469" w:history="1">
            <w:r w:rsidR="00A25737" w:rsidRPr="00F171E1">
              <w:rPr>
                <w:rStyle w:val="Hyperlink"/>
                <w:noProof/>
              </w:rPr>
              <w:t>Impact 1: Fewer instances of unpaid SG</w:t>
            </w:r>
            <w:r w:rsidR="00A25737">
              <w:rPr>
                <w:noProof/>
                <w:webHidden/>
              </w:rPr>
              <w:tab/>
            </w:r>
            <w:r w:rsidR="00A25737">
              <w:rPr>
                <w:noProof/>
                <w:webHidden/>
              </w:rPr>
              <w:fldChar w:fldCharType="begin"/>
            </w:r>
            <w:r w:rsidR="00A25737">
              <w:rPr>
                <w:noProof/>
                <w:webHidden/>
              </w:rPr>
              <w:instrText xml:space="preserve"> PAGEREF _Toc134198469 \h </w:instrText>
            </w:r>
            <w:r w:rsidR="00A25737">
              <w:rPr>
                <w:noProof/>
                <w:webHidden/>
              </w:rPr>
            </w:r>
            <w:r w:rsidR="00A25737">
              <w:rPr>
                <w:noProof/>
                <w:webHidden/>
              </w:rPr>
              <w:fldChar w:fldCharType="separate"/>
            </w:r>
            <w:r w:rsidR="005A3A72">
              <w:rPr>
                <w:noProof/>
                <w:webHidden/>
              </w:rPr>
              <w:t>27</w:t>
            </w:r>
            <w:r w:rsidR="00A25737">
              <w:rPr>
                <w:noProof/>
                <w:webHidden/>
              </w:rPr>
              <w:fldChar w:fldCharType="end"/>
            </w:r>
          </w:hyperlink>
        </w:p>
        <w:p w14:paraId="51E8B6EB" w14:textId="2B4FDC71" w:rsidR="00A25737" w:rsidRDefault="00E14825">
          <w:pPr>
            <w:pStyle w:val="TOC3"/>
            <w:rPr>
              <w:rFonts w:eastAsiaTheme="minorEastAsia"/>
              <w:noProof/>
              <w:szCs w:val="22"/>
              <w:lang w:eastAsia="en-AU"/>
            </w:rPr>
          </w:pPr>
          <w:hyperlink w:anchor="_Toc134198470" w:history="1">
            <w:r w:rsidR="00A25737" w:rsidRPr="00F171E1">
              <w:rPr>
                <w:rStyle w:val="Hyperlink"/>
                <w:noProof/>
              </w:rPr>
              <w:t>Impact 2: Quicker recovery of unpaid SG</w:t>
            </w:r>
            <w:r w:rsidR="00A25737">
              <w:rPr>
                <w:noProof/>
                <w:webHidden/>
              </w:rPr>
              <w:tab/>
            </w:r>
            <w:r w:rsidR="00A25737">
              <w:rPr>
                <w:noProof/>
                <w:webHidden/>
              </w:rPr>
              <w:fldChar w:fldCharType="begin"/>
            </w:r>
            <w:r w:rsidR="00A25737">
              <w:rPr>
                <w:noProof/>
                <w:webHidden/>
              </w:rPr>
              <w:instrText xml:space="preserve"> PAGEREF _Toc134198470 \h </w:instrText>
            </w:r>
            <w:r w:rsidR="00A25737">
              <w:rPr>
                <w:noProof/>
                <w:webHidden/>
              </w:rPr>
            </w:r>
            <w:r w:rsidR="00A25737">
              <w:rPr>
                <w:noProof/>
                <w:webHidden/>
              </w:rPr>
              <w:fldChar w:fldCharType="separate"/>
            </w:r>
            <w:r w:rsidR="005A3A72">
              <w:rPr>
                <w:noProof/>
                <w:webHidden/>
              </w:rPr>
              <w:t>28</w:t>
            </w:r>
            <w:r w:rsidR="00A25737">
              <w:rPr>
                <w:noProof/>
                <w:webHidden/>
              </w:rPr>
              <w:fldChar w:fldCharType="end"/>
            </w:r>
          </w:hyperlink>
        </w:p>
        <w:p w14:paraId="67BE4576" w14:textId="7BB0C1EB" w:rsidR="00A25737" w:rsidRDefault="00E14825">
          <w:pPr>
            <w:pStyle w:val="TOC3"/>
            <w:rPr>
              <w:rFonts w:eastAsiaTheme="minorEastAsia"/>
              <w:noProof/>
              <w:szCs w:val="22"/>
              <w:lang w:eastAsia="en-AU"/>
            </w:rPr>
          </w:pPr>
          <w:hyperlink w:anchor="_Toc134198471" w:history="1">
            <w:r w:rsidR="00A25737" w:rsidRPr="00F171E1">
              <w:rPr>
                <w:rStyle w:val="Hyperlink"/>
                <w:noProof/>
              </w:rPr>
              <w:t>Impact 3: More frequent SG contributions</w:t>
            </w:r>
            <w:r w:rsidR="00A25737">
              <w:rPr>
                <w:noProof/>
                <w:webHidden/>
              </w:rPr>
              <w:tab/>
            </w:r>
            <w:r w:rsidR="00A25737">
              <w:rPr>
                <w:noProof/>
                <w:webHidden/>
              </w:rPr>
              <w:fldChar w:fldCharType="begin"/>
            </w:r>
            <w:r w:rsidR="00A25737">
              <w:rPr>
                <w:noProof/>
                <w:webHidden/>
              </w:rPr>
              <w:instrText xml:space="preserve"> PAGEREF _Toc134198471 \h </w:instrText>
            </w:r>
            <w:r w:rsidR="00A25737">
              <w:rPr>
                <w:noProof/>
                <w:webHidden/>
              </w:rPr>
            </w:r>
            <w:r w:rsidR="00A25737">
              <w:rPr>
                <w:noProof/>
                <w:webHidden/>
              </w:rPr>
              <w:fldChar w:fldCharType="separate"/>
            </w:r>
            <w:r w:rsidR="005A3A72">
              <w:rPr>
                <w:noProof/>
                <w:webHidden/>
              </w:rPr>
              <w:t>29</w:t>
            </w:r>
            <w:r w:rsidR="00A25737">
              <w:rPr>
                <w:noProof/>
                <w:webHidden/>
              </w:rPr>
              <w:fldChar w:fldCharType="end"/>
            </w:r>
          </w:hyperlink>
        </w:p>
        <w:p w14:paraId="097BB5E2" w14:textId="400F71F9" w:rsidR="00A25737" w:rsidRDefault="00E14825">
          <w:pPr>
            <w:pStyle w:val="TOC3"/>
            <w:rPr>
              <w:rFonts w:eastAsiaTheme="minorEastAsia"/>
              <w:noProof/>
              <w:szCs w:val="22"/>
              <w:lang w:eastAsia="en-AU"/>
            </w:rPr>
          </w:pPr>
          <w:hyperlink w:anchor="_Toc134198472" w:history="1">
            <w:r w:rsidR="00A25737" w:rsidRPr="00F171E1">
              <w:rPr>
                <w:rStyle w:val="Hyperlink"/>
                <w:noProof/>
              </w:rPr>
              <w:t>Impact 4: Regulatory costs</w:t>
            </w:r>
            <w:r w:rsidR="00A25737">
              <w:rPr>
                <w:noProof/>
                <w:webHidden/>
              </w:rPr>
              <w:tab/>
            </w:r>
            <w:r w:rsidR="00A25737">
              <w:rPr>
                <w:noProof/>
                <w:webHidden/>
              </w:rPr>
              <w:fldChar w:fldCharType="begin"/>
            </w:r>
            <w:r w:rsidR="00A25737">
              <w:rPr>
                <w:noProof/>
                <w:webHidden/>
              </w:rPr>
              <w:instrText xml:space="preserve"> PAGEREF _Toc134198472 \h </w:instrText>
            </w:r>
            <w:r w:rsidR="00A25737">
              <w:rPr>
                <w:noProof/>
                <w:webHidden/>
              </w:rPr>
            </w:r>
            <w:r w:rsidR="00A25737">
              <w:rPr>
                <w:noProof/>
                <w:webHidden/>
              </w:rPr>
              <w:fldChar w:fldCharType="separate"/>
            </w:r>
            <w:r w:rsidR="005A3A72">
              <w:rPr>
                <w:noProof/>
                <w:webHidden/>
              </w:rPr>
              <w:t>33</w:t>
            </w:r>
            <w:r w:rsidR="00A25737">
              <w:rPr>
                <w:noProof/>
                <w:webHidden/>
              </w:rPr>
              <w:fldChar w:fldCharType="end"/>
            </w:r>
          </w:hyperlink>
        </w:p>
        <w:p w14:paraId="69FD55CC" w14:textId="7022CFE4" w:rsidR="00A25737" w:rsidRDefault="00E14825">
          <w:pPr>
            <w:pStyle w:val="TOC3"/>
            <w:rPr>
              <w:rFonts w:eastAsiaTheme="minorEastAsia"/>
              <w:noProof/>
              <w:szCs w:val="22"/>
              <w:lang w:eastAsia="en-AU"/>
            </w:rPr>
          </w:pPr>
          <w:hyperlink w:anchor="_Toc134198473" w:history="1">
            <w:r w:rsidR="00A25737" w:rsidRPr="00F171E1">
              <w:rPr>
                <w:rStyle w:val="Hyperlink"/>
                <w:noProof/>
              </w:rPr>
              <w:t>Impact 5: Government expenditure</w:t>
            </w:r>
            <w:r w:rsidR="00A25737">
              <w:rPr>
                <w:noProof/>
                <w:webHidden/>
              </w:rPr>
              <w:tab/>
            </w:r>
            <w:r w:rsidR="00A25737">
              <w:rPr>
                <w:noProof/>
                <w:webHidden/>
              </w:rPr>
              <w:fldChar w:fldCharType="begin"/>
            </w:r>
            <w:r w:rsidR="00A25737">
              <w:rPr>
                <w:noProof/>
                <w:webHidden/>
              </w:rPr>
              <w:instrText xml:space="preserve"> PAGEREF _Toc134198473 \h </w:instrText>
            </w:r>
            <w:r w:rsidR="00A25737">
              <w:rPr>
                <w:noProof/>
                <w:webHidden/>
              </w:rPr>
            </w:r>
            <w:r w:rsidR="00A25737">
              <w:rPr>
                <w:noProof/>
                <w:webHidden/>
              </w:rPr>
              <w:fldChar w:fldCharType="separate"/>
            </w:r>
            <w:r w:rsidR="005A3A72">
              <w:rPr>
                <w:noProof/>
                <w:webHidden/>
              </w:rPr>
              <w:t>36</w:t>
            </w:r>
            <w:r w:rsidR="00A25737">
              <w:rPr>
                <w:noProof/>
                <w:webHidden/>
              </w:rPr>
              <w:fldChar w:fldCharType="end"/>
            </w:r>
          </w:hyperlink>
        </w:p>
        <w:p w14:paraId="36D163E1" w14:textId="28CEA0B2" w:rsidR="00A25737" w:rsidRDefault="00E14825">
          <w:pPr>
            <w:pStyle w:val="TOC3"/>
            <w:rPr>
              <w:rFonts w:eastAsiaTheme="minorEastAsia"/>
              <w:noProof/>
              <w:szCs w:val="22"/>
              <w:lang w:eastAsia="en-AU"/>
            </w:rPr>
          </w:pPr>
          <w:hyperlink w:anchor="_Toc134198474" w:history="1">
            <w:r w:rsidR="00A25737" w:rsidRPr="00F171E1">
              <w:rPr>
                <w:rStyle w:val="Hyperlink"/>
                <w:noProof/>
              </w:rPr>
              <w:t>Summary of Option 3</w:t>
            </w:r>
            <w:r w:rsidR="00A25737">
              <w:rPr>
                <w:noProof/>
                <w:webHidden/>
              </w:rPr>
              <w:tab/>
            </w:r>
            <w:r w:rsidR="00A25737">
              <w:rPr>
                <w:noProof/>
                <w:webHidden/>
              </w:rPr>
              <w:fldChar w:fldCharType="begin"/>
            </w:r>
            <w:r w:rsidR="00A25737">
              <w:rPr>
                <w:noProof/>
                <w:webHidden/>
              </w:rPr>
              <w:instrText xml:space="preserve"> PAGEREF _Toc134198474 \h </w:instrText>
            </w:r>
            <w:r w:rsidR="00A25737">
              <w:rPr>
                <w:noProof/>
                <w:webHidden/>
              </w:rPr>
            </w:r>
            <w:r w:rsidR="00A25737">
              <w:rPr>
                <w:noProof/>
                <w:webHidden/>
              </w:rPr>
              <w:fldChar w:fldCharType="separate"/>
            </w:r>
            <w:r w:rsidR="005A3A72">
              <w:rPr>
                <w:noProof/>
                <w:webHidden/>
              </w:rPr>
              <w:t>37</w:t>
            </w:r>
            <w:r w:rsidR="00A25737">
              <w:rPr>
                <w:noProof/>
                <w:webHidden/>
              </w:rPr>
              <w:fldChar w:fldCharType="end"/>
            </w:r>
          </w:hyperlink>
        </w:p>
        <w:p w14:paraId="19F17061" w14:textId="4909D616" w:rsidR="00A25737" w:rsidRDefault="00E14825">
          <w:pPr>
            <w:pStyle w:val="TOC1"/>
            <w:rPr>
              <w:rFonts w:eastAsiaTheme="minorEastAsia"/>
              <w:noProof/>
              <w:szCs w:val="22"/>
              <w:lang w:eastAsia="en-AU"/>
            </w:rPr>
          </w:pPr>
          <w:hyperlink w:anchor="_Toc134198475" w:history="1">
            <w:r w:rsidR="00A25737" w:rsidRPr="00F171E1">
              <w:rPr>
                <w:rStyle w:val="Hyperlink"/>
                <w:noProof/>
              </w:rPr>
              <w:t>5. Who did you consult and how did you incorporate their feedback?</w:t>
            </w:r>
            <w:r w:rsidR="00A25737">
              <w:rPr>
                <w:noProof/>
                <w:webHidden/>
              </w:rPr>
              <w:tab/>
            </w:r>
            <w:r w:rsidR="00A25737">
              <w:rPr>
                <w:noProof/>
                <w:webHidden/>
              </w:rPr>
              <w:fldChar w:fldCharType="begin"/>
            </w:r>
            <w:r w:rsidR="00A25737">
              <w:rPr>
                <w:noProof/>
                <w:webHidden/>
              </w:rPr>
              <w:instrText xml:space="preserve"> PAGEREF _Toc134198475 \h </w:instrText>
            </w:r>
            <w:r w:rsidR="00A25737">
              <w:rPr>
                <w:noProof/>
                <w:webHidden/>
              </w:rPr>
            </w:r>
            <w:r w:rsidR="00A25737">
              <w:rPr>
                <w:noProof/>
                <w:webHidden/>
              </w:rPr>
              <w:fldChar w:fldCharType="separate"/>
            </w:r>
            <w:r w:rsidR="005A3A72">
              <w:rPr>
                <w:noProof/>
                <w:webHidden/>
              </w:rPr>
              <w:t>39</w:t>
            </w:r>
            <w:r w:rsidR="00A25737">
              <w:rPr>
                <w:noProof/>
                <w:webHidden/>
              </w:rPr>
              <w:fldChar w:fldCharType="end"/>
            </w:r>
          </w:hyperlink>
        </w:p>
        <w:p w14:paraId="5E70F135" w14:textId="1BC92DD8" w:rsidR="00A25737" w:rsidRDefault="00E14825">
          <w:pPr>
            <w:pStyle w:val="TOC3"/>
            <w:rPr>
              <w:rFonts w:eastAsiaTheme="minorEastAsia"/>
              <w:noProof/>
              <w:szCs w:val="22"/>
              <w:lang w:eastAsia="en-AU"/>
            </w:rPr>
          </w:pPr>
          <w:hyperlink w:anchor="_Toc134198476" w:history="1">
            <w:r w:rsidR="00A25737" w:rsidRPr="00F171E1">
              <w:rPr>
                <w:rStyle w:val="Hyperlink"/>
                <w:noProof/>
              </w:rPr>
              <w:t>Post-decision consultation</w:t>
            </w:r>
            <w:r w:rsidR="00A25737">
              <w:rPr>
                <w:noProof/>
                <w:webHidden/>
              </w:rPr>
              <w:tab/>
            </w:r>
            <w:r w:rsidR="00A25737">
              <w:rPr>
                <w:noProof/>
                <w:webHidden/>
              </w:rPr>
              <w:fldChar w:fldCharType="begin"/>
            </w:r>
            <w:r w:rsidR="00A25737">
              <w:rPr>
                <w:noProof/>
                <w:webHidden/>
              </w:rPr>
              <w:instrText xml:space="preserve"> PAGEREF _Toc134198476 \h </w:instrText>
            </w:r>
            <w:r w:rsidR="00A25737">
              <w:rPr>
                <w:noProof/>
                <w:webHidden/>
              </w:rPr>
            </w:r>
            <w:r w:rsidR="00A25737">
              <w:rPr>
                <w:noProof/>
                <w:webHidden/>
              </w:rPr>
              <w:fldChar w:fldCharType="separate"/>
            </w:r>
            <w:r w:rsidR="005A3A72">
              <w:rPr>
                <w:noProof/>
                <w:webHidden/>
              </w:rPr>
              <w:t>41</w:t>
            </w:r>
            <w:r w:rsidR="00A25737">
              <w:rPr>
                <w:noProof/>
                <w:webHidden/>
              </w:rPr>
              <w:fldChar w:fldCharType="end"/>
            </w:r>
          </w:hyperlink>
        </w:p>
        <w:p w14:paraId="2DE27265" w14:textId="1A0C207F" w:rsidR="00A25737" w:rsidRDefault="00E14825">
          <w:pPr>
            <w:pStyle w:val="TOC1"/>
            <w:rPr>
              <w:rFonts w:eastAsiaTheme="minorEastAsia"/>
              <w:noProof/>
              <w:szCs w:val="22"/>
              <w:lang w:eastAsia="en-AU"/>
            </w:rPr>
          </w:pPr>
          <w:hyperlink w:anchor="_Toc134198477" w:history="1">
            <w:r w:rsidR="00A25737" w:rsidRPr="00F171E1">
              <w:rPr>
                <w:rStyle w:val="Hyperlink"/>
                <w:noProof/>
              </w:rPr>
              <w:t>6. What is the best option from those you have considered?</w:t>
            </w:r>
            <w:r w:rsidR="00A25737">
              <w:rPr>
                <w:noProof/>
                <w:webHidden/>
              </w:rPr>
              <w:tab/>
            </w:r>
            <w:r w:rsidR="00A25737">
              <w:rPr>
                <w:noProof/>
                <w:webHidden/>
              </w:rPr>
              <w:fldChar w:fldCharType="begin"/>
            </w:r>
            <w:r w:rsidR="00A25737">
              <w:rPr>
                <w:noProof/>
                <w:webHidden/>
              </w:rPr>
              <w:instrText xml:space="preserve"> PAGEREF _Toc134198477 \h </w:instrText>
            </w:r>
            <w:r w:rsidR="00A25737">
              <w:rPr>
                <w:noProof/>
                <w:webHidden/>
              </w:rPr>
            </w:r>
            <w:r w:rsidR="00A25737">
              <w:rPr>
                <w:noProof/>
                <w:webHidden/>
              </w:rPr>
              <w:fldChar w:fldCharType="separate"/>
            </w:r>
            <w:r w:rsidR="005A3A72">
              <w:rPr>
                <w:noProof/>
                <w:webHidden/>
              </w:rPr>
              <w:t>42</w:t>
            </w:r>
            <w:r w:rsidR="00A25737">
              <w:rPr>
                <w:noProof/>
                <w:webHidden/>
              </w:rPr>
              <w:fldChar w:fldCharType="end"/>
            </w:r>
          </w:hyperlink>
        </w:p>
        <w:p w14:paraId="634B54FF" w14:textId="73DFD8B4" w:rsidR="00A25737" w:rsidRDefault="00E14825">
          <w:pPr>
            <w:pStyle w:val="TOC3"/>
            <w:rPr>
              <w:rFonts w:eastAsiaTheme="minorEastAsia"/>
              <w:noProof/>
              <w:szCs w:val="22"/>
              <w:lang w:eastAsia="en-AU"/>
            </w:rPr>
          </w:pPr>
          <w:hyperlink w:anchor="_Toc134198478" w:history="1">
            <w:r w:rsidR="00A25737" w:rsidRPr="00F171E1">
              <w:rPr>
                <w:rStyle w:val="Hyperlink"/>
                <w:noProof/>
              </w:rPr>
              <w:t>Outcomes of consultation</w:t>
            </w:r>
            <w:r w:rsidR="00A25737">
              <w:rPr>
                <w:noProof/>
                <w:webHidden/>
              </w:rPr>
              <w:tab/>
            </w:r>
            <w:r w:rsidR="00A25737">
              <w:rPr>
                <w:noProof/>
                <w:webHidden/>
              </w:rPr>
              <w:fldChar w:fldCharType="begin"/>
            </w:r>
            <w:r w:rsidR="00A25737">
              <w:rPr>
                <w:noProof/>
                <w:webHidden/>
              </w:rPr>
              <w:instrText xml:space="preserve"> PAGEREF _Toc134198478 \h </w:instrText>
            </w:r>
            <w:r w:rsidR="00A25737">
              <w:rPr>
                <w:noProof/>
                <w:webHidden/>
              </w:rPr>
            </w:r>
            <w:r w:rsidR="00A25737">
              <w:rPr>
                <w:noProof/>
                <w:webHidden/>
              </w:rPr>
              <w:fldChar w:fldCharType="separate"/>
            </w:r>
            <w:r w:rsidR="005A3A72">
              <w:rPr>
                <w:noProof/>
                <w:webHidden/>
              </w:rPr>
              <w:t>42</w:t>
            </w:r>
            <w:r w:rsidR="00A25737">
              <w:rPr>
                <w:noProof/>
                <w:webHidden/>
              </w:rPr>
              <w:fldChar w:fldCharType="end"/>
            </w:r>
          </w:hyperlink>
        </w:p>
        <w:p w14:paraId="5C089F57" w14:textId="4A200543" w:rsidR="00A25737" w:rsidRDefault="00E14825">
          <w:pPr>
            <w:pStyle w:val="TOC3"/>
            <w:rPr>
              <w:rFonts w:eastAsiaTheme="minorEastAsia"/>
              <w:noProof/>
              <w:szCs w:val="22"/>
              <w:lang w:eastAsia="en-AU"/>
            </w:rPr>
          </w:pPr>
          <w:hyperlink w:anchor="_Toc134198479" w:history="1">
            <w:r w:rsidR="00A25737" w:rsidRPr="00F171E1">
              <w:rPr>
                <w:rStyle w:val="Hyperlink"/>
                <w:noProof/>
              </w:rPr>
              <w:t>Recommended options – 2 and 3</w:t>
            </w:r>
            <w:r w:rsidR="00A25737">
              <w:rPr>
                <w:noProof/>
                <w:webHidden/>
              </w:rPr>
              <w:tab/>
            </w:r>
            <w:r w:rsidR="00A25737">
              <w:rPr>
                <w:noProof/>
                <w:webHidden/>
              </w:rPr>
              <w:fldChar w:fldCharType="begin"/>
            </w:r>
            <w:r w:rsidR="00A25737">
              <w:rPr>
                <w:noProof/>
                <w:webHidden/>
              </w:rPr>
              <w:instrText xml:space="preserve"> PAGEREF _Toc134198479 \h </w:instrText>
            </w:r>
            <w:r w:rsidR="00A25737">
              <w:rPr>
                <w:noProof/>
                <w:webHidden/>
              </w:rPr>
            </w:r>
            <w:r w:rsidR="00A25737">
              <w:rPr>
                <w:noProof/>
                <w:webHidden/>
              </w:rPr>
              <w:fldChar w:fldCharType="separate"/>
            </w:r>
            <w:r w:rsidR="005A3A72">
              <w:rPr>
                <w:noProof/>
                <w:webHidden/>
              </w:rPr>
              <w:t>42</w:t>
            </w:r>
            <w:r w:rsidR="00A25737">
              <w:rPr>
                <w:noProof/>
                <w:webHidden/>
              </w:rPr>
              <w:fldChar w:fldCharType="end"/>
            </w:r>
          </w:hyperlink>
        </w:p>
        <w:p w14:paraId="51D5AB3D" w14:textId="6B08AC42" w:rsidR="00A25737" w:rsidRDefault="00E14825">
          <w:pPr>
            <w:pStyle w:val="TOC1"/>
            <w:rPr>
              <w:rFonts w:eastAsiaTheme="minorEastAsia"/>
              <w:noProof/>
              <w:szCs w:val="22"/>
              <w:lang w:eastAsia="en-AU"/>
            </w:rPr>
          </w:pPr>
          <w:hyperlink w:anchor="_Toc134198480" w:history="1">
            <w:r w:rsidR="00A25737" w:rsidRPr="00F171E1">
              <w:rPr>
                <w:rStyle w:val="Hyperlink"/>
                <w:noProof/>
              </w:rPr>
              <w:t>7. How will you implement and evaluate your chosen option?</w:t>
            </w:r>
            <w:r w:rsidR="00A25737">
              <w:rPr>
                <w:noProof/>
                <w:webHidden/>
              </w:rPr>
              <w:tab/>
            </w:r>
            <w:r w:rsidR="00A25737">
              <w:rPr>
                <w:noProof/>
                <w:webHidden/>
              </w:rPr>
              <w:fldChar w:fldCharType="begin"/>
            </w:r>
            <w:r w:rsidR="00A25737">
              <w:rPr>
                <w:noProof/>
                <w:webHidden/>
              </w:rPr>
              <w:instrText xml:space="preserve"> PAGEREF _Toc134198480 \h </w:instrText>
            </w:r>
            <w:r w:rsidR="00A25737">
              <w:rPr>
                <w:noProof/>
                <w:webHidden/>
              </w:rPr>
            </w:r>
            <w:r w:rsidR="00A25737">
              <w:rPr>
                <w:noProof/>
                <w:webHidden/>
              </w:rPr>
              <w:fldChar w:fldCharType="separate"/>
            </w:r>
            <w:r w:rsidR="005A3A72">
              <w:rPr>
                <w:noProof/>
                <w:webHidden/>
              </w:rPr>
              <w:t>44</w:t>
            </w:r>
            <w:r w:rsidR="00A25737">
              <w:rPr>
                <w:noProof/>
                <w:webHidden/>
              </w:rPr>
              <w:fldChar w:fldCharType="end"/>
            </w:r>
          </w:hyperlink>
        </w:p>
        <w:p w14:paraId="0D172CD0" w14:textId="1B97A704" w:rsidR="00A25737" w:rsidRDefault="00E14825">
          <w:pPr>
            <w:pStyle w:val="TOC3"/>
            <w:rPr>
              <w:rFonts w:eastAsiaTheme="minorEastAsia"/>
              <w:noProof/>
              <w:szCs w:val="22"/>
              <w:lang w:eastAsia="en-AU"/>
            </w:rPr>
          </w:pPr>
          <w:hyperlink w:anchor="_Toc134198481" w:history="1">
            <w:r w:rsidR="00A25737" w:rsidRPr="00F171E1">
              <w:rPr>
                <w:rStyle w:val="Hyperlink"/>
                <w:noProof/>
              </w:rPr>
              <w:t>Policy evaluation and performance</w:t>
            </w:r>
            <w:r w:rsidR="00A25737">
              <w:rPr>
                <w:noProof/>
                <w:webHidden/>
              </w:rPr>
              <w:tab/>
            </w:r>
            <w:r w:rsidR="00A25737">
              <w:rPr>
                <w:noProof/>
                <w:webHidden/>
              </w:rPr>
              <w:fldChar w:fldCharType="begin"/>
            </w:r>
            <w:r w:rsidR="00A25737">
              <w:rPr>
                <w:noProof/>
                <w:webHidden/>
              </w:rPr>
              <w:instrText xml:space="preserve"> PAGEREF _Toc134198481 \h </w:instrText>
            </w:r>
            <w:r w:rsidR="00A25737">
              <w:rPr>
                <w:noProof/>
                <w:webHidden/>
              </w:rPr>
            </w:r>
            <w:r w:rsidR="00A25737">
              <w:rPr>
                <w:noProof/>
                <w:webHidden/>
              </w:rPr>
              <w:fldChar w:fldCharType="separate"/>
            </w:r>
            <w:r w:rsidR="005A3A72">
              <w:rPr>
                <w:noProof/>
                <w:webHidden/>
              </w:rPr>
              <w:t>44</w:t>
            </w:r>
            <w:r w:rsidR="00A25737">
              <w:rPr>
                <w:noProof/>
                <w:webHidden/>
              </w:rPr>
              <w:fldChar w:fldCharType="end"/>
            </w:r>
          </w:hyperlink>
        </w:p>
        <w:p w14:paraId="4D1EDF62" w14:textId="21345C70" w:rsidR="00A25737" w:rsidRDefault="00E14825">
          <w:pPr>
            <w:pStyle w:val="TOC3"/>
            <w:rPr>
              <w:rFonts w:eastAsiaTheme="minorEastAsia"/>
              <w:noProof/>
              <w:szCs w:val="22"/>
              <w:lang w:eastAsia="en-AU"/>
            </w:rPr>
          </w:pPr>
          <w:hyperlink w:anchor="_Toc134198482" w:history="1">
            <w:r w:rsidR="00A25737" w:rsidRPr="00F171E1">
              <w:rPr>
                <w:rStyle w:val="Hyperlink"/>
                <w:noProof/>
              </w:rPr>
              <w:t>Implementation</w:t>
            </w:r>
            <w:r w:rsidR="00A25737">
              <w:rPr>
                <w:noProof/>
                <w:webHidden/>
              </w:rPr>
              <w:tab/>
            </w:r>
            <w:r w:rsidR="00A25737">
              <w:rPr>
                <w:noProof/>
                <w:webHidden/>
              </w:rPr>
              <w:fldChar w:fldCharType="begin"/>
            </w:r>
            <w:r w:rsidR="00A25737">
              <w:rPr>
                <w:noProof/>
                <w:webHidden/>
              </w:rPr>
              <w:instrText xml:space="preserve"> PAGEREF _Toc134198482 \h </w:instrText>
            </w:r>
            <w:r w:rsidR="00A25737">
              <w:rPr>
                <w:noProof/>
                <w:webHidden/>
              </w:rPr>
            </w:r>
            <w:r w:rsidR="00A25737">
              <w:rPr>
                <w:noProof/>
                <w:webHidden/>
              </w:rPr>
              <w:fldChar w:fldCharType="separate"/>
            </w:r>
            <w:r w:rsidR="005A3A72">
              <w:rPr>
                <w:noProof/>
                <w:webHidden/>
              </w:rPr>
              <w:t>45</w:t>
            </w:r>
            <w:r w:rsidR="00A25737">
              <w:rPr>
                <w:noProof/>
                <w:webHidden/>
              </w:rPr>
              <w:fldChar w:fldCharType="end"/>
            </w:r>
          </w:hyperlink>
        </w:p>
        <w:p w14:paraId="346C98CE" w14:textId="357B2AF0" w:rsidR="00A25737" w:rsidRDefault="00E14825">
          <w:pPr>
            <w:pStyle w:val="TOC1"/>
            <w:rPr>
              <w:rFonts w:eastAsiaTheme="minorEastAsia"/>
              <w:noProof/>
              <w:szCs w:val="22"/>
              <w:lang w:eastAsia="en-AU"/>
            </w:rPr>
          </w:pPr>
          <w:hyperlink w:anchor="_Toc134198483" w:history="1">
            <w:r w:rsidR="00A25737" w:rsidRPr="00F171E1">
              <w:rPr>
                <w:rStyle w:val="Hyperlink"/>
                <w:noProof/>
              </w:rPr>
              <w:t>References</w:t>
            </w:r>
            <w:r w:rsidR="00A25737">
              <w:rPr>
                <w:noProof/>
                <w:webHidden/>
              </w:rPr>
              <w:tab/>
            </w:r>
            <w:r w:rsidR="00A25737">
              <w:rPr>
                <w:noProof/>
                <w:webHidden/>
              </w:rPr>
              <w:fldChar w:fldCharType="begin"/>
            </w:r>
            <w:r w:rsidR="00A25737">
              <w:rPr>
                <w:noProof/>
                <w:webHidden/>
              </w:rPr>
              <w:instrText xml:space="preserve"> PAGEREF _Toc134198483 \h </w:instrText>
            </w:r>
            <w:r w:rsidR="00A25737">
              <w:rPr>
                <w:noProof/>
                <w:webHidden/>
              </w:rPr>
            </w:r>
            <w:r w:rsidR="00A25737">
              <w:rPr>
                <w:noProof/>
                <w:webHidden/>
              </w:rPr>
              <w:fldChar w:fldCharType="separate"/>
            </w:r>
            <w:r w:rsidR="005A3A72">
              <w:rPr>
                <w:noProof/>
                <w:webHidden/>
              </w:rPr>
              <w:t>46</w:t>
            </w:r>
            <w:r w:rsidR="00A25737">
              <w:rPr>
                <w:noProof/>
                <w:webHidden/>
              </w:rPr>
              <w:fldChar w:fldCharType="end"/>
            </w:r>
          </w:hyperlink>
        </w:p>
        <w:p w14:paraId="452EE762" w14:textId="79106D0B" w:rsidR="00A25737" w:rsidRDefault="00E14825">
          <w:pPr>
            <w:pStyle w:val="TOC1"/>
            <w:rPr>
              <w:rFonts w:eastAsiaTheme="minorEastAsia"/>
              <w:noProof/>
              <w:szCs w:val="22"/>
              <w:lang w:eastAsia="en-AU"/>
            </w:rPr>
          </w:pPr>
          <w:hyperlink w:anchor="_Toc134198484" w:history="1">
            <w:r w:rsidR="00A25737" w:rsidRPr="00F171E1">
              <w:rPr>
                <w:rStyle w:val="Hyperlink"/>
                <w:noProof/>
              </w:rPr>
              <w:t>Appendix A: Previous reviews and reports</w:t>
            </w:r>
            <w:r w:rsidR="00A25737">
              <w:rPr>
                <w:noProof/>
                <w:webHidden/>
              </w:rPr>
              <w:tab/>
            </w:r>
            <w:r w:rsidR="00A25737">
              <w:rPr>
                <w:noProof/>
                <w:webHidden/>
              </w:rPr>
              <w:fldChar w:fldCharType="begin"/>
            </w:r>
            <w:r w:rsidR="00A25737">
              <w:rPr>
                <w:noProof/>
                <w:webHidden/>
              </w:rPr>
              <w:instrText xml:space="preserve"> PAGEREF _Toc134198484 \h </w:instrText>
            </w:r>
            <w:r w:rsidR="00A25737">
              <w:rPr>
                <w:noProof/>
                <w:webHidden/>
              </w:rPr>
            </w:r>
            <w:r w:rsidR="00A25737">
              <w:rPr>
                <w:noProof/>
                <w:webHidden/>
              </w:rPr>
              <w:fldChar w:fldCharType="separate"/>
            </w:r>
            <w:r w:rsidR="005A3A72">
              <w:rPr>
                <w:noProof/>
                <w:webHidden/>
              </w:rPr>
              <w:t>47</w:t>
            </w:r>
            <w:r w:rsidR="00A25737">
              <w:rPr>
                <w:noProof/>
                <w:webHidden/>
              </w:rPr>
              <w:fldChar w:fldCharType="end"/>
            </w:r>
          </w:hyperlink>
        </w:p>
        <w:p w14:paraId="336F7E8F" w14:textId="1DD6945D" w:rsidR="00A25737" w:rsidRDefault="00E14825">
          <w:pPr>
            <w:pStyle w:val="TOC3"/>
            <w:rPr>
              <w:rFonts w:eastAsiaTheme="minorEastAsia"/>
              <w:noProof/>
              <w:szCs w:val="22"/>
              <w:lang w:eastAsia="en-AU"/>
            </w:rPr>
          </w:pPr>
          <w:hyperlink w:anchor="_Toc134198485" w:history="1">
            <w:r w:rsidR="00A25737" w:rsidRPr="00F171E1">
              <w:rPr>
                <w:rStyle w:val="Hyperlink"/>
                <w:i/>
                <w:iCs/>
                <w:noProof/>
              </w:rPr>
              <w:t>‘Enforcement of the superannuation guarantee charge’</w:t>
            </w:r>
            <w:r w:rsidR="00A25737" w:rsidRPr="00F171E1">
              <w:rPr>
                <w:rStyle w:val="Hyperlink"/>
                <w:noProof/>
              </w:rPr>
              <w:t>, Senate Select Committee on Superannuation and Financial Services, 2001</w:t>
            </w:r>
            <w:r w:rsidR="00A25737">
              <w:rPr>
                <w:noProof/>
                <w:webHidden/>
              </w:rPr>
              <w:tab/>
            </w:r>
            <w:r w:rsidR="00A25737">
              <w:rPr>
                <w:noProof/>
                <w:webHidden/>
              </w:rPr>
              <w:fldChar w:fldCharType="begin"/>
            </w:r>
            <w:r w:rsidR="00A25737">
              <w:rPr>
                <w:noProof/>
                <w:webHidden/>
              </w:rPr>
              <w:instrText xml:space="preserve"> PAGEREF _Toc134198485 \h </w:instrText>
            </w:r>
            <w:r w:rsidR="00A25737">
              <w:rPr>
                <w:noProof/>
                <w:webHidden/>
              </w:rPr>
            </w:r>
            <w:r w:rsidR="00A25737">
              <w:rPr>
                <w:noProof/>
                <w:webHidden/>
              </w:rPr>
              <w:fldChar w:fldCharType="separate"/>
            </w:r>
            <w:r w:rsidR="005A3A72">
              <w:rPr>
                <w:noProof/>
                <w:webHidden/>
              </w:rPr>
              <w:t>47</w:t>
            </w:r>
            <w:r w:rsidR="00A25737">
              <w:rPr>
                <w:noProof/>
                <w:webHidden/>
              </w:rPr>
              <w:fldChar w:fldCharType="end"/>
            </w:r>
          </w:hyperlink>
        </w:p>
        <w:p w14:paraId="5756F343" w14:textId="2D35A132" w:rsidR="00A25737" w:rsidRDefault="00E14825">
          <w:pPr>
            <w:pStyle w:val="TOC3"/>
            <w:rPr>
              <w:rFonts w:eastAsiaTheme="minorEastAsia"/>
              <w:noProof/>
              <w:szCs w:val="22"/>
              <w:lang w:eastAsia="en-AU"/>
            </w:rPr>
          </w:pPr>
          <w:hyperlink w:anchor="_Toc134198486" w:history="1">
            <w:r w:rsidR="00A25737" w:rsidRPr="00F171E1">
              <w:rPr>
                <w:rStyle w:val="Hyperlink"/>
                <w:i/>
                <w:iCs/>
                <w:noProof/>
              </w:rPr>
              <w:t>‘</w:t>
            </w:r>
            <w:r w:rsidR="00A25737" w:rsidRPr="00F171E1">
              <w:rPr>
                <w:rStyle w:val="Hyperlink"/>
                <w:i/>
                <w:noProof/>
              </w:rPr>
              <w:t>Superannuation Guarantee Non-</w:t>
            </w:r>
            <w:r w:rsidR="00A25737" w:rsidRPr="00F171E1">
              <w:rPr>
                <w:rStyle w:val="Hyperlink"/>
                <w:i/>
                <w:iCs/>
                <w:noProof/>
              </w:rPr>
              <w:t>compliance’</w:t>
            </w:r>
            <w:r w:rsidR="00A25737" w:rsidRPr="00F171E1">
              <w:rPr>
                <w:rStyle w:val="Hyperlink"/>
                <w:noProof/>
              </w:rPr>
              <w:t>, Superannuation Guarantee Cross Agency Working Group, 2017</w:t>
            </w:r>
            <w:r w:rsidR="00A25737">
              <w:rPr>
                <w:noProof/>
                <w:webHidden/>
              </w:rPr>
              <w:tab/>
            </w:r>
            <w:r w:rsidR="00A25737">
              <w:rPr>
                <w:noProof/>
                <w:webHidden/>
              </w:rPr>
              <w:fldChar w:fldCharType="begin"/>
            </w:r>
            <w:r w:rsidR="00A25737">
              <w:rPr>
                <w:noProof/>
                <w:webHidden/>
              </w:rPr>
              <w:instrText xml:space="preserve"> PAGEREF _Toc134198486 \h </w:instrText>
            </w:r>
            <w:r w:rsidR="00A25737">
              <w:rPr>
                <w:noProof/>
                <w:webHidden/>
              </w:rPr>
            </w:r>
            <w:r w:rsidR="00A25737">
              <w:rPr>
                <w:noProof/>
                <w:webHidden/>
              </w:rPr>
              <w:fldChar w:fldCharType="separate"/>
            </w:r>
            <w:r w:rsidR="005A3A72">
              <w:rPr>
                <w:noProof/>
                <w:webHidden/>
              </w:rPr>
              <w:t>47</w:t>
            </w:r>
            <w:r w:rsidR="00A25737">
              <w:rPr>
                <w:noProof/>
                <w:webHidden/>
              </w:rPr>
              <w:fldChar w:fldCharType="end"/>
            </w:r>
          </w:hyperlink>
        </w:p>
        <w:p w14:paraId="3DBF3DD6" w14:textId="279CB109" w:rsidR="00A25737" w:rsidRDefault="00E14825">
          <w:pPr>
            <w:pStyle w:val="TOC3"/>
            <w:rPr>
              <w:rFonts w:eastAsiaTheme="minorEastAsia"/>
              <w:noProof/>
              <w:szCs w:val="22"/>
              <w:lang w:eastAsia="en-AU"/>
            </w:rPr>
          </w:pPr>
          <w:hyperlink w:anchor="_Toc134198487" w:history="1">
            <w:r w:rsidR="00A25737" w:rsidRPr="00F171E1">
              <w:rPr>
                <w:rStyle w:val="Hyperlink"/>
                <w:i/>
                <w:noProof/>
              </w:rPr>
              <w:t>‘</w:t>
            </w:r>
            <w:r w:rsidR="00A25737" w:rsidRPr="00F171E1">
              <w:rPr>
                <w:rStyle w:val="Hyperlink"/>
                <w:i/>
                <w:iCs/>
                <w:noProof/>
              </w:rPr>
              <w:t>Superbad – Wage theft and non-compliance of the Superannuation Guarantee</w:t>
            </w:r>
            <w:r w:rsidR="00A25737" w:rsidRPr="00F171E1">
              <w:rPr>
                <w:rStyle w:val="Hyperlink"/>
                <w:i/>
                <w:noProof/>
              </w:rPr>
              <w:t>’</w:t>
            </w:r>
            <w:r w:rsidR="00A25737" w:rsidRPr="00F171E1">
              <w:rPr>
                <w:rStyle w:val="Hyperlink"/>
                <w:noProof/>
              </w:rPr>
              <w:t>, Senate Economics References Committee, 2017</w:t>
            </w:r>
            <w:r w:rsidR="00A25737">
              <w:rPr>
                <w:noProof/>
                <w:webHidden/>
              </w:rPr>
              <w:tab/>
            </w:r>
            <w:r w:rsidR="00A25737">
              <w:rPr>
                <w:noProof/>
                <w:webHidden/>
              </w:rPr>
              <w:fldChar w:fldCharType="begin"/>
            </w:r>
            <w:r w:rsidR="00A25737">
              <w:rPr>
                <w:noProof/>
                <w:webHidden/>
              </w:rPr>
              <w:instrText xml:space="preserve"> PAGEREF _Toc134198487 \h </w:instrText>
            </w:r>
            <w:r w:rsidR="00A25737">
              <w:rPr>
                <w:noProof/>
                <w:webHidden/>
              </w:rPr>
            </w:r>
            <w:r w:rsidR="00A25737">
              <w:rPr>
                <w:noProof/>
                <w:webHidden/>
              </w:rPr>
              <w:fldChar w:fldCharType="separate"/>
            </w:r>
            <w:r w:rsidR="005A3A72">
              <w:rPr>
                <w:noProof/>
                <w:webHidden/>
              </w:rPr>
              <w:t>47</w:t>
            </w:r>
            <w:r w:rsidR="00A25737">
              <w:rPr>
                <w:noProof/>
                <w:webHidden/>
              </w:rPr>
              <w:fldChar w:fldCharType="end"/>
            </w:r>
          </w:hyperlink>
        </w:p>
        <w:p w14:paraId="6CB4152E" w14:textId="5FA564B1" w:rsidR="00A25737" w:rsidRDefault="00E14825">
          <w:pPr>
            <w:pStyle w:val="TOC3"/>
            <w:rPr>
              <w:rFonts w:eastAsiaTheme="minorEastAsia"/>
              <w:noProof/>
              <w:szCs w:val="22"/>
              <w:lang w:eastAsia="en-AU"/>
            </w:rPr>
          </w:pPr>
          <w:hyperlink w:anchor="_Toc134198488" w:history="1">
            <w:r w:rsidR="00A25737" w:rsidRPr="00F171E1">
              <w:rPr>
                <w:rStyle w:val="Hyperlink"/>
                <w:i/>
                <w:iCs/>
                <w:noProof/>
              </w:rPr>
              <w:t>‘</w:t>
            </w:r>
            <w:r w:rsidR="00A25737" w:rsidRPr="00F171E1">
              <w:rPr>
                <w:rStyle w:val="Hyperlink"/>
                <w:i/>
                <w:noProof/>
              </w:rPr>
              <w:t xml:space="preserve">Superannuation: Assessing Efficiency and </w:t>
            </w:r>
            <w:r w:rsidR="00A25737" w:rsidRPr="00F171E1">
              <w:rPr>
                <w:rStyle w:val="Hyperlink"/>
                <w:i/>
                <w:iCs/>
                <w:noProof/>
              </w:rPr>
              <w:t>Competitiveness’</w:t>
            </w:r>
            <w:r w:rsidR="00A25737" w:rsidRPr="00F171E1">
              <w:rPr>
                <w:rStyle w:val="Hyperlink"/>
                <w:noProof/>
              </w:rPr>
              <w:t>, Productivity Commission, 2018</w:t>
            </w:r>
            <w:r w:rsidR="00A25737">
              <w:rPr>
                <w:noProof/>
                <w:webHidden/>
              </w:rPr>
              <w:tab/>
            </w:r>
            <w:r w:rsidR="00A25737">
              <w:rPr>
                <w:noProof/>
                <w:webHidden/>
              </w:rPr>
              <w:fldChar w:fldCharType="begin"/>
            </w:r>
            <w:r w:rsidR="00A25737">
              <w:rPr>
                <w:noProof/>
                <w:webHidden/>
              </w:rPr>
              <w:instrText xml:space="preserve"> PAGEREF _Toc134198488 \h </w:instrText>
            </w:r>
            <w:r w:rsidR="00A25737">
              <w:rPr>
                <w:noProof/>
                <w:webHidden/>
              </w:rPr>
            </w:r>
            <w:r w:rsidR="00A25737">
              <w:rPr>
                <w:noProof/>
                <w:webHidden/>
              </w:rPr>
              <w:fldChar w:fldCharType="separate"/>
            </w:r>
            <w:r w:rsidR="005A3A72">
              <w:rPr>
                <w:noProof/>
                <w:webHidden/>
              </w:rPr>
              <w:t>48</w:t>
            </w:r>
            <w:r w:rsidR="00A25737">
              <w:rPr>
                <w:noProof/>
                <w:webHidden/>
              </w:rPr>
              <w:fldChar w:fldCharType="end"/>
            </w:r>
          </w:hyperlink>
        </w:p>
        <w:p w14:paraId="539D68C4" w14:textId="21E208A6" w:rsidR="00A25737" w:rsidRDefault="00E14825">
          <w:pPr>
            <w:pStyle w:val="TOC3"/>
            <w:rPr>
              <w:rFonts w:eastAsiaTheme="minorEastAsia"/>
              <w:noProof/>
              <w:szCs w:val="22"/>
              <w:lang w:eastAsia="en-AU"/>
            </w:rPr>
          </w:pPr>
          <w:hyperlink w:anchor="_Toc134198489" w:history="1">
            <w:r w:rsidR="00A25737" w:rsidRPr="00F171E1">
              <w:rPr>
                <w:rStyle w:val="Hyperlink"/>
                <w:i/>
                <w:iCs/>
                <w:noProof/>
              </w:rPr>
              <w:t>‘</w:t>
            </w:r>
            <w:r w:rsidR="00A25737" w:rsidRPr="00F171E1">
              <w:rPr>
                <w:rStyle w:val="Hyperlink"/>
                <w:i/>
                <w:noProof/>
              </w:rPr>
              <w:t xml:space="preserve">Retirement Income </w:t>
            </w:r>
            <w:r w:rsidR="00A25737" w:rsidRPr="00F171E1">
              <w:rPr>
                <w:rStyle w:val="Hyperlink"/>
                <w:i/>
                <w:iCs/>
                <w:noProof/>
              </w:rPr>
              <w:t>Review’</w:t>
            </w:r>
            <w:r w:rsidR="00A25737" w:rsidRPr="00F171E1">
              <w:rPr>
                <w:rStyle w:val="Hyperlink"/>
                <w:noProof/>
              </w:rPr>
              <w:t>, 2020</w:t>
            </w:r>
            <w:r w:rsidR="00A25737">
              <w:rPr>
                <w:noProof/>
                <w:webHidden/>
              </w:rPr>
              <w:tab/>
            </w:r>
            <w:r w:rsidR="00A25737">
              <w:rPr>
                <w:noProof/>
                <w:webHidden/>
              </w:rPr>
              <w:fldChar w:fldCharType="begin"/>
            </w:r>
            <w:r w:rsidR="00A25737">
              <w:rPr>
                <w:noProof/>
                <w:webHidden/>
              </w:rPr>
              <w:instrText xml:space="preserve"> PAGEREF _Toc134198489 \h </w:instrText>
            </w:r>
            <w:r w:rsidR="00A25737">
              <w:rPr>
                <w:noProof/>
                <w:webHidden/>
              </w:rPr>
            </w:r>
            <w:r w:rsidR="00A25737">
              <w:rPr>
                <w:noProof/>
                <w:webHidden/>
              </w:rPr>
              <w:fldChar w:fldCharType="separate"/>
            </w:r>
            <w:r w:rsidR="005A3A72">
              <w:rPr>
                <w:noProof/>
                <w:webHidden/>
              </w:rPr>
              <w:t>49</w:t>
            </w:r>
            <w:r w:rsidR="00A25737">
              <w:rPr>
                <w:noProof/>
                <w:webHidden/>
              </w:rPr>
              <w:fldChar w:fldCharType="end"/>
            </w:r>
          </w:hyperlink>
        </w:p>
        <w:p w14:paraId="58C90623" w14:textId="7DB8BCB0" w:rsidR="00A25737" w:rsidRDefault="00E14825">
          <w:pPr>
            <w:pStyle w:val="TOC3"/>
            <w:rPr>
              <w:rFonts w:eastAsiaTheme="minorEastAsia"/>
              <w:noProof/>
              <w:szCs w:val="22"/>
              <w:lang w:eastAsia="en-AU"/>
            </w:rPr>
          </w:pPr>
          <w:hyperlink w:anchor="_Toc134198490" w:history="1">
            <w:r w:rsidR="00A25737" w:rsidRPr="00F171E1">
              <w:rPr>
                <w:rStyle w:val="Hyperlink"/>
                <w:noProof/>
              </w:rPr>
              <w:t>‘</w:t>
            </w:r>
            <w:r w:rsidR="00A25737" w:rsidRPr="00F171E1">
              <w:rPr>
                <w:rStyle w:val="Hyperlink"/>
                <w:i/>
                <w:noProof/>
              </w:rPr>
              <w:t xml:space="preserve">Systemic, sustained and shameful: Unlawful underpayment of employees’ remuneration’, </w:t>
            </w:r>
            <w:r w:rsidR="00A25737" w:rsidRPr="00F171E1">
              <w:rPr>
                <w:rStyle w:val="Hyperlink"/>
                <w:noProof/>
              </w:rPr>
              <w:t>Senate Economics References Committee, 2022</w:t>
            </w:r>
            <w:r w:rsidR="00A25737">
              <w:rPr>
                <w:noProof/>
                <w:webHidden/>
              </w:rPr>
              <w:tab/>
            </w:r>
            <w:r w:rsidR="00A25737">
              <w:rPr>
                <w:noProof/>
                <w:webHidden/>
              </w:rPr>
              <w:fldChar w:fldCharType="begin"/>
            </w:r>
            <w:r w:rsidR="00A25737">
              <w:rPr>
                <w:noProof/>
                <w:webHidden/>
              </w:rPr>
              <w:instrText xml:space="preserve"> PAGEREF _Toc134198490 \h </w:instrText>
            </w:r>
            <w:r w:rsidR="00A25737">
              <w:rPr>
                <w:noProof/>
                <w:webHidden/>
              </w:rPr>
            </w:r>
            <w:r w:rsidR="00A25737">
              <w:rPr>
                <w:noProof/>
                <w:webHidden/>
              </w:rPr>
              <w:fldChar w:fldCharType="separate"/>
            </w:r>
            <w:r w:rsidR="005A3A72">
              <w:rPr>
                <w:noProof/>
                <w:webHidden/>
              </w:rPr>
              <w:t>49</w:t>
            </w:r>
            <w:r w:rsidR="00A25737">
              <w:rPr>
                <w:noProof/>
                <w:webHidden/>
              </w:rPr>
              <w:fldChar w:fldCharType="end"/>
            </w:r>
          </w:hyperlink>
        </w:p>
        <w:p w14:paraId="32FD4BE0" w14:textId="2C35C150" w:rsidR="00A25737" w:rsidRDefault="00E14825">
          <w:pPr>
            <w:pStyle w:val="TOC3"/>
            <w:rPr>
              <w:rFonts w:eastAsiaTheme="minorEastAsia"/>
              <w:noProof/>
              <w:szCs w:val="22"/>
              <w:lang w:eastAsia="en-AU"/>
            </w:rPr>
          </w:pPr>
          <w:hyperlink w:anchor="_Toc134198491" w:history="1">
            <w:r w:rsidR="00A25737" w:rsidRPr="00F171E1">
              <w:rPr>
                <w:rStyle w:val="Hyperlink"/>
                <w:i/>
                <w:iCs/>
                <w:noProof/>
              </w:rPr>
              <w:t>‘Addressing Superannuation Guarantee Non-Compliance’</w:t>
            </w:r>
            <w:r w:rsidR="00A25737" w:rsidRPr="00F171E1">
              <w:rPr>
                <w:rStyle w:val="Hyperlink"/>
                <w:noProof/>
              </w:rPr>
              <w:t>, Australian National Audit Office (ANAO), 2022</w:t>
            </w:r>
            <w:r w:rsidR="00A25737">
              <w:rPr>
                <w:noProof/>
                <w:webHidden/>
              </w:rPr>
              <w:tab/>
            </w:r>
            <w:r w:rsidR="00A25737">
              <w:rPr>
                <w:noProof/>
                <w:webHidden/>
              </w:rPr>
              <w:fldChar w:fldCharType="begin"/>
            </w:r>
            <w:r w:rsidR="00A25737">
              <w:rPr>
                <w:noProof/>
                <w:webHidden/>
              </w:rPr>
              <w:instrText xml:space="preserve"> PAGEREF _Toc134198491 \h </w:instrText>
            </w:r>
            <w:r w:rsidR="00A25737">
              <w:rPr>
                <w:noProof/>
                <w:webHidden/>
              </w:rPr>
            </w:r>
            <w:r w:rsidR="00A25737">
              <w:rPr>
                <w:noProof/>
                <w:webHidden/>
              </w:rPr>
              <w:fldChar w:fldCharType="separate"/>
            </w:r>
            <w:r w:rsidR="005A3A72">
              <w:rPr>
                <w:noProof/>
                <w:webHidden/>
              </w:rPr>
              <w:t>50</w:t>
            </w:r>
            <w:r w:rsidR="00A25737">
              <w:rPr>
                <w:noProof/>
                <w:webHidden/>
              </w:rPr>
              <w:fldChar w:fldCharType="end"/>
            </w:r>
          </w:hyperlink>
        </w:p>
        <w:p w14:paraId="3A549E14" w14:textId="03130B7D" w:rsidR="00A25737" w:rsidRDefault="00E14825">
          <w:pPr>
            <w:pStyle w:val="TOC1"/>
            <w:rPr>
              <w:rFonts w:eastAsiaTheme="minorEastAsia"/>
              <w:noProof/>
              <w:szCs w:val="22"/>
              <w:lang w:eastAsia="en-AU"/>
            </w:rPr>
          </w:pPr>
          <w:hyperlink w:anchor="_Toc134198492" w:history="1">
            <w:r w:rsidR="00A25737" w:rsidRPr="00F171E1">
              <w:rPr>
                <w:rStyle w:val="Hyperlink"/>
                <w:noProof/>
              </w:rPr>
              <w:t>Appendix B: Previous Government action</w:t>
            </w:r>
            <w:r w:rsidR="00A25737">
              <w:rPr>
                <w:noProof/>
                <w:webHidden/>
              </w:rPr>
              <w:tab/>
            </w:r>
            <w:r w:rsidR="00A25737">
              <w:rPr>
                <w:noProof/>
                <w:webHidden/>
              </w:rPr>
              <w:fldChar w:fldCharType="begin"/>
            </w:r>
            <w:r w:rsidR="00A25737">
              <w:rPr>
                <w:noProof/>
                <w:webHidden/>
              </w:rPr>
              <w:instrText xml:space="preserve"> PAGEREF _Toc134198492 \h </w:instrText>
            </w:r>
            <w:r w:rsidR="00A25737">
              <w:rPr>
                <w:noProof/>
                <w:webHidden/>
              </w:rPr>
            </w:r>
            <w:r w:rsidR="00A25737">
              <w:rPr>
                <w:noProof/>
                <w:webHidden/>
              </w:rPr>
              <w:fldChar w:fldCharType="separate"/>
            </w:r>
            <w:r w:rsidR="005A3A72">
              <w:rPr>
                <w:noProof/>
                <w:webHidden/>
              </w:rPr>
              <w:t>52</w:t>
            </w:r>
            <w:r w:rsidR="00A25737">
              <w:rPr>
                <w:noProof/>
                <w:webHidden/>
              </w:rPr>
              <w:fldChar w:fldCharType="end"/>
            </w:r>
          </w:hyperlink>
        </w:p>
        <w:p w14:paraId="5B41269A" w14:textId="4D90542F" w:rsidR="00A25737" w:rsidRDefault="00E14825">
          <w:pPr>
            <w:pStyle w:val="TOC3"/>
            <w:rPr>
              <w:rFonts w:eastAsiaTheme="minorEastAsia"/>
              <w:noProof/>
              <w:szCs w:val="22"/>
              <w:lang w:eastAsia="en-AU"/>
            </w:rPr>
          </w:pPr>
          <w:hyperlink w:anchor="_Toc134198493" w:history="1">
            <w:r w:rsidR="00A25737" w:rsidRPr="00F171E1">
              <w:rPr>
                <w:rStyle w:val="Hyperlink"/>
                <w:noProof/>
              </w:rPr>
              <w:t>The Superannuation Guarantee Taskforce, July 2018 to June 2021</w:t>
            </w:r>
            <w:r w:rsidR="00A25737">
              <w:rPr>
                <w:noProof/>
                <w:webHidden/>
              </w:rPr>
              <w:tab/>
            </w:r>
            <w:r w:rsidR="00A25737">
              <w:rPr>
                <w:noProof/>
                <w:webHidden/>
              </w:rPr>
              <w:fldChar w:fldCharType="begin"/>
            </w:r>
            <w:r w:rsidR="00A25737">
              <w:rPr>
                <w:noProof/>
                <w:webHidden/>
              </w:rPr>
              <w:instrText xml:space="preserve"> PAGEREF _Toc134198493 \h </w:instrText>
            </w:r>
            <w:r w:rsidR="00A25737">
              <w:rPr>
                <w:noProof/>
                <w:webHidden/>
              </w:rPr>
            </w:r>
            <w:r w:rsidR="00A25737">
              <w:rPr>
                <w:noProof/>
                <w:webHidden/>
              </w:rPr>
              <w:fldChar w:fldCharType="separate"/>
            </w:r>
            <w:r w:rsidR="005A3A72">
              <w:rPr>
                <w:noProof/>
                <w:webHidden/>
              </w:rPr>
              <w:t>52</w:t>
            </w:r>
            <w:r w:rsidR="00A25737">
              <w:rPr>
                <w:noProof/>
                <w:webHidden/>
              </w:rPr>
              <w:fldChar w:fldCharType="end"/>
            </w:r>
          </w:hyperlink>
        </w:p>
        <w:p w14:paraId="6D72CAC4" w14:textId="044F9D6A" w:rsidR="00A25737" w:rsidRDefault="00E14825">
          <w:pPr>
            <w:pStyle w:val="TOC3"/>
            <w:rPr>
              <w:rFonts w:eastAsiaTheme="minorEastAsia"/>
              <w:noProof/>
              <w:szCs w:val="22"/>
              <w:lang w:eastAsia="en-AU"/>
            </w:rPr>
          </w:pPr>
          <w:hyperlink w:anchor="_Toc134198494" w:history="1">
            <w:r w:rsidR="00A25737" w:rsidRPr="00F171E1">
              <w:rPr>
                <w:rStyle w:val="Hyperlink"/>
                <w:noProof/>
              </w:rPr>
              <w:t>Superannuation Guarantee Integrity package, March 2019</w:t>
            </w:r>
            <w:r w:rsidR="00A25737">
              <w:rPr>
                <w:noProof/>
                <w:webHidden/>
              </w:rPr>
              <w:tab/>
            </w:r>
            <w:r w:rsidR="00A25737">
              <w:rPr>
                <w:noProof/>
                <w:webHidden/>
              </w:rPr>
              <w:fldChar w:fldCharType="begin"/>
            </w:r>
            <w:r w:rsidR="00A25737">
              <w:rPr>
                <w:noProof/>
                <w:webHidden/>
              </w:rPr>
              <w:instrText xml:space="preserve"> PAGEREF _Toc134198494 \h </w:instrText>
            </w:r>
            <w:r w:rsidR="00A25737">
              <w:rPr>
                <w:noProof/>
                <w:webHidden/>
              </w:rPr>
            </w:r>
            <w:r w:rsidR="00A25737">
              <w:rPr>
                <w:noProof/>
                <w:webHidden/>
              </w:rPr>
              <w:fldChar w:fldCharType="separate"/>
            </w:r>
            <w:r w:rsidR="005A3A72">
              <w:rPr>
                <w:noProof/>
                <w:webHidden/>
              </w:rPr>
              <w:t>52</w:t>
            </w:r>
            <w:r w:rsidR="00A25737">
              <w:rPr>
                <w:noProof/>
                <w:webHidden/>
              </w:rPr>
              <w:fldChar w:fldCharType="end"/>
            </w:r>
          </w:hyperlink>
        </w:p>
        <w:p w14:paraId="67D9C5D3" w14:textId="00266F53" w:rsidR="00A25737" w:rsidRDefault="00E14825">
          <w:pPr>
            <w:pStyle w:val="TOC3"/>
            <w:rPr>
              <w:rFonts w:eastAsiaTheme="minorEastAsia"/>
              <w:noProof/>
              <w:szCs w:val="22"/>
              <w:lang w:eastAsia="en-AU"/>
            </w:rPr>
          </w:pPr>
          <w:hyperlink w:anchor="_Toc134198495" w:history="1">
            <w:r w:rsidR="00A25737" w:rsidRPr="00F171E1">
              <w:rPr>
                <w:rStyle w:val="Hyperlink"/>
                <w:noProof/>
              </w:rPr>
              <w:t>The Superannuation Guarantee Amnesty, May 2018 to September 2020</w:t>
            </w:r>
            <w:r w:rsidR="00A25737">
              <w:rPr>
                <w:noProof/>
                <w:webHidden/>
              </w:rPr>
              <w:tab/>
            </w:r>
            <w:r w:rsidR="00A25737">
              <w:rPr>
                <w:noProof/>
                <w:webHidden/>
              </w:rPr>
              <w:fldChar w:fldCharType="begin"/>
            </w:r>
            <w:r w:rsidR="00A25737">
              <w:rPr>
                <w:noProof/>
                <w:webHidden/>
              </w:rPr>
              <w:instrText xml:space="preserve"> PAGEREF _Toc134198495 \h </w:instrText>
            </w:r>
            <w:r w:rsidR="00A25737">
              <w:rPr>
                <w:noProof/>
                <w:webHidden/>
              </w:rPr>
            </w:r>
            <w:r w:rsidR="00A25737">
              <w:rPr>
                <w:noProof/>
                <w:webHidden/>
              </w:rPr>
              <w:fldChar w:fldCharType="separate"/>
            </w:r>
            <w:r w:rsidR="005A3A72">
              <w:rPr>
                <w:noProof/>
                <w:webHidden/>
              </w:rPr>
              <w:t>53</w:t>
            </w:r>
            <w:r w:rsidR="00A25737">
              <w:rPr>
                <w:noProof/>
                <w:webHidden/>
              </w:rPr>
              <w:fldChar w:fldCharType="end"/>
            </w:r>
          </w:hyperlink>
        </w:p>
        <w:p w14:paraId="28871CF9" w14:textId="7E39C8EA" w:rsidR="00A25737" w:rsidRDefault="00E14825">
          <w:pPr>
            <w:pStyle w:val="TOC1"/>
            <w:rPr>
              <w:rFonts w:eastAsiaTheme="minorEastAsia"/>
              <w:noProof/>
              <w:szCs w:val="22"/>
              <w:lang w:eastAsia="en-AU"/>
            </w:rPr>
          </w:pPr>
          <w:hyperlink w:anchor="_Toc134198496" w:history="1">
            <w:r w:rsidR="00A25737" w:rsidRPr="00F171E1">
              <w:rPr>
                <w:rStyle w:val="Hyperlink"/>
                <w:noProof/>
              </w:rPr>
              <w:t>Appendix C: Calculation of Regulatory Costs</w:t>
            </w:r>
            <w:r w:rsidR="00A25737">
              <w:rPr>
                <w:noProof/>
                <w:webHidden/>
              </w:rPr>
              <w:tab/>
            </w:r>
            <w:r w:rsidR="00A25737">
              <w:rPr>
                <w:noProof/>
                <w:webHidden/>
              </w:rPr>
              <w:fldChar w:fldCharType="begin"/>
            </w:r>
            <w:r w:rsidR="00A25737">
              <w:rPr>
                <w:noProof/>
                <w:webHidden/>
              </w:rPr>
              <w:instrText xml:space="preserve"> PAGEREF _Toc134198496 \h </w:instrText>
            </w:r>
            <w:r w:rsidR="00A25737">
              <w:rPr>
                <w:noProof/>
                <w:webHidden/>
              </w:rPr>
            </w:r>
            <w:r w:rsidR="00A25737">
              <w:rPr>
                <w:noProof/>
                <w:webHidden/>
              </w:rPr>
              <w:fldChar w:fldCharType="separate"/>
            </w:r>
            <w:r w:rsidR="005A3A72">
              <w:rPr>
                <w:noProof/>
                <w:webHidden/>
              </w:rPr>
              <w:t>54</w:t>
            </w:r>
            <w:r w:rsidR="00A25737">
              <w:rPr>
                <w:noProof/>
                <w:webHidden/>
              </w:rPr>
              <w:fldChar w:fldCharType="end"/>
            </w:r>
          </w:hyperlink>
        </w:p>
        <w:p w14:paraId="626F56D2" w14:textId="1C16C759" w:rsidR="00A25737" w:rsidRDefault="00E14825">
          <w:pPr>
            <w:pStyle w:val="TOC3"/>
            <w:rPr>
              <w:rFonts w:eastAsiaTheme="minorEastAsia"/>
              <w:noProof/>
              <w:szCs w:val="22"/>
              <w:lang w:eastAsia="en-AU"/>
            </w:rPr>
          </w:pPr>
          <w:hyperlink w:anchor="_Toc134198497" w:history="1">
            <w:r w:rsidR="00A25737" w:rsidRPr="00F171E1">
              <w:rPr>
                <w:rStyle w:val="Hyperlink"/>
                <w:noProof/>
              </w:rPr>
              <w:t>Option 2</w:t>
            </w:r>
            <w:r w:rsidR="00A25737">
              <w:rPr>
                <w:noProof/>
                <w:webHidden/>
              </w:rPr>
              <w:tab/>
            </w:r>
            <w:r w:rsidR="00A25737">
              <w:rPr>
                <w:noProof/>
                <w:webHidden/>
              </w:rPr>
              <w:fldChar w:fldCharType="begin"/>
            </w:r>
            <w:r w:rsidR="00A25737">
              <w:rPr>
                <w:noProof/>
                <w:webHidden/>
              </w:rPr>
              <w:instrText xml:space="preserve"> PAGEREF _Toc134198497 \h </w:instrText>
            </w:r>
            <w:r w:rsidR="00A25737">
              <w:rPr>
                <w:noProof/>
                <w:webHidden/>
              </w:rPr>
            </w:r>
            <w:r w:rsidR="00A25737">
              <w:rPr>
                <w:noProof/>
                <w:webHidden/>
              </w:rPr>
              <w:fldChar w:fldCharType="separate"/>
            </w:r>
            <w:r w:rsidR="005A3A72">
              <w:rPr>
                <w:noProof/>
                <w:webHidden/>
              </w:rPr>
              <w:t>54</w:t>
            </w:r>
            <w:r w:rsidR="00A25737">
              <w:rPr>
                <w:noProof/>
                <w:webHidden/>
              </w:rPr>
              <w:fldChar w:fldCharType="end"/>
            </w:r>
          </w:hyperlink>
        </w:p>
        <w:p w14:paraId="64629260" w14:textId="290C37A4" w:rsidR="00A25737" w:rsidRDefault="00E14825">
          <w:pPr>
            <w:pStyle w:val="TOC3"/>
            <w:rPr>
              <w:rFonts w:eastAsiaTheme="minorEastAsia"/>
              <w:noProof/>
              <w:szCs w:val="22"/>
              <w:lang w:eastAsia="en-AU"/>
            </w:rPr>
          </w:pPr>
          <w:hyperlink w:anchor="_Toc134198498" w:history="1">
            <w:r w:rsidR="00A25737" w:rsidRPr="00F171E1">
              <w:rPr>
                <w:rStyle w:val="Hyperlink"/>
                <w:noProof/>
              </w:rPr>
              <w:t>Option 3</w:t>
            </w:r>
            <w:r w:rsidR="00A25737">
              <w:rPr>
                <w:noProof/>
                <w:webHidden/>
              </w:rPr>
              <w:tab/>
            </w:r>
            <w:r w:rsidR="00A25737">
              <w:rPr>
                <w:noProof/>
                <w:webHidden/>
              </w:rPr>
              <w:fldChar w:fldCharType="begin"/>
            </w:r>
            <w:r w:rsidR="00A25737">
              <w:rPr>
                <w:noProof/>
                <w:webHidden/>
              </w:rPr>
              <w:instrText xml:space="preserve"> PAGEREF _Toc134198498 \h </w:instrText>
            </w:r>
            <w:r w:rsidR="00A25737">
              <w:rPr>
                <w:noProof/>
                <w:webHidden/>
              </w:rPr>
            </w:r>
            <w:r w:rsidR="00A25737">
              <w:rPr>
                <w:noProof/>
                <w:webHidden/>
              </w:rPr>
              <w:fldChar w:fldCharType="separate"/>
            </w:r>
            <w:r w:rsidR="005A3A72">
              <w:rPr>
                <w:noProof/>
                <w:webHidden/>
              </w:rPr>
              <w:t>55</w:t>
            </w:r>
            <w:r w:rsidR="00A25737">
              <w:rPr>
                <w:noProof/>
                <w:webHidden/>
              </w:rPr>
              <w:fldChar w:fldCharType="end"/>
            </w:r>
          </w:hyperlink>
        </w:p>
        <w:p w14:paraId="507EF76F" w14:textId="0CE9D2CB" w:rsidR="00DA78AF" w:rsidRDefault="00DA78AF">
          <w:pPr>
            <w:rPr>
              <w:b/>
              <w:bCs/>
              <w:noProof/>
            </w:rPr>
          </w:pPr>
          <w:r>
            <w:rPr>
              <w:b/>
              <w:bCs/>
              <w:noProof/>
            </w:rPr>
            <w:fldChar w:fldCharType="end"/>
          </w:r>
        </w:p>
      </w:sdtContent>
    </w:sdt>
    <w:p w14:paraId="70BD5374" w14:textId="0E73AC55" w:rsidR="00C51551" w:rsidRPr="00DA78AF" w:rsidRDefault="00C51551">
      <w:pPr>
        <w:rPr>
          <w:sz w:val="20"/>
        </w:rPr>
      </w:pPr>
      <w:r>
        <w:br w:type="page"/>
      </w:r>
    </w:p>
    <w:p w14:paraId="554B3941" w14:textId="42745372" w:rsidR="003E28B9" w:rsidRDefault="00F13449" w:rsidP="003E28B9">
      <w:pPr>
        <w:pStyle w:val="Heading1"/>
      </w:pPr>
      <w:bookmarkStart w:id="1" w:name="_Toc134198425"/>
      <w:r>
        <w:lastRenderedPageBreak/>
        <w:t>Abbreviations</w:t>
      </w:r>
      <w:bookmarkEnd w:id="1"/>
    </w:p>
    <w:tbl>
      <w:tblPr>
        <w:tblStyle w:val="PlainTable1"/>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020"/>
      </w:tblGrid>
      <w:tr w:rsidR="009F2422" w14:paraId="10E480FB" w14:textId="77777777" w:rsidTr="004C7D75">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hideMark/>
          </w:tcPr>
          <w:p w14:paraId="48CF2A7A" w14:textId="77777777" w:rsidR="00BA07B1" w:rsidRPr="00BA07B1" w:rsidRDefault="00BA07B1" w:rsidP="004C7D75">
            <w:pPr>
              <w:spacing w:before="240" w:line="360" w:lineRule="auto"/>
              <w:rPr>
                <w:rFonts w:ascii="Calibri" w:hAnsi="Calibri" w:cs="Calibri"/>
                <w:color w:val="262626"/>
                <w:szCs w:val="22"/>
              </w:rPr>
            </w:pPr>
            <w:r w:rsidRPr="00BA07B1">
              <w:rPr>
                <w:rFonts w:ascii="Calibri" w:hAnsi="Calibri" w:cs="Calibri"/>
                <w:color w:val="262626"/>
                <w:szCs w:val="22"/>
              </w:rPr>
              <w:t>Acronym or term</w:t>
            </w:r>
          </w:p>
        </w:tc>
        <w:tc>
          <w:tcPr>
            <w:tcW w:w="0" w:type="dxa"/>
            <w:tcBorders>
              <w:bottom w:val="single" w:sz="4" w:space="0" w:color="auto"/>
            </w:tcBorders>
            <w:hideMark/>
          </w:tcPr>
          <w:p w14:paraId="4E9D5493" w14:textId="77777777" w:rsidR="00BA07B1" w:rsidRPr="0049666B" w:rsidRDefault="00BA07B1" w:rsidP="004C7D75">
            <w:pPr>
              <w:spacing w:before="240"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262626"/>
                <w:szCs w:val="22"/>
              </w:rPr>
            </w:pPr>
            <w:r w:rsidRPr="00BA07B1">
              <w:rPr>
                <w:rFonts w:ascii="Calibri" w:hAnsi="Calibri" w:cs="Calibri"/>
                <w:color w:val="262626"/>
                <w:szCs w:val="22"/>
              </w:rPr>
              <w:t>Meaning</w:t>
            </w:r>
          </w:p>
        </w:tc>
      </w:tr>
      <w:tr w:rsidR="00A95F63" w14:paraId="3110966C" w14:textId="77777777" w:rsidTr="00BF14B7">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hideMark/>
          </w:tcPr>
          <w:p w14:paraId="30BB6CCF" w14:textId="77777777" w:rsidR="00BA07B1" w:rsidRPr="0049666B" w:rsidRDefault="00BA07B1" w:rsidP="0049666B">
            <w:pPr>
              <w:spacing w:line="360" w:lineRule="auto"/>
              <w:rPr>
                <w:rFonts w:ascii="Calibri" w:hAnsi="Calibri" w:cs="Calibri"/>
                <w:color w:val="262626"/>
                <w:szCs w:val="22"/>
              </w:rPr>
            </w:pPr>
            <w:r w:rsidRPr="00BA07B1">
              <w:rPr>
                <w:rFonts w:ascii="Calibri" w:hAnsi="Calibri" w:cs="Calibri"/>
                <w:color w:val="262626"/>
                <w:szCs w:val="22"/>
              </w:rPr>
              <w:t>ANAO</w:t>
            </w:r>
          </w:p>
        </w:tc>
        <w:tc>
          <w:tcPr>
            <w:tcW w:w="0" w:type="dxa"/>
            <w:tcBorders>
              <w:top w:val="single" w:sz="4" w:space="0" w:color="auto"/>
            </w:tcBorders>
            <w:hideMark/>
          </w:tcPr>
          <w:p w14:paraId="214A0E3A" w14:textId="77777777" w:rsidR="00BA07B1" w:rsidRDefault="00BA07B1" w:rsidP="0049666B">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Australian National Audit Office</w:t>
            </w:r>
          </w:p>
        </w:tc>
      </w:tr>
      <w:tr w:rsidR="003E6E67" w14:paraId="07858BC4" w14:textId="77777777" w:rsidTr="004C7D75">
        <w:trPr>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64676E6C" w14:textId="77777777"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 xml:space="preserve">ATO </w:t>
            </w:r>
          </w:p>
        </w:tc>
        <w:tc>
          <w:tcPr>
            <w:tcW w:w="0" w:type="dxa"/>
            <w:hideMark/>
          </w:tcPr>
          <w:p w14:paraId="6F04001F" w14:textId="32552245" w:rsidR="00BA07B1" w:rsidRDefault="00BA07B1" w:rsidP="0049666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Australian Tax</w:t>
            </w:r>
            <w:r w:rsidR="00172651">
              <w:rPr>
                <w:rFonts w:ascii="Calibri" w:hAnsi="Calibri" w:cs="Calibri"/>
                <w:color w:val="262626"/>
                <w:szCs w:val="22"/>
              </w:rPr>
              <w:t>ation</w:t>
            </w:r>
            <w:r>
              <w:rPr>
                <w:rFonts w:ascii="Calibri" w:hAnsi="Calibri" w:cs="Calibri"/>
                <w:color w:val="262626"/>
                <w:szCs w:val="22"/>
              </w:rPr>
              <w:t xml:space="preserve"> Office</w:t>
            </w:r>
          </w:p>
        </w:tc>
      </w:tr>
      <w:tr w:rsidR="00DB48E8" w14:paraId="6EE3F95F" w14:textId="77777777" w:rsidTr="00BF14B7">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294FA443" w14:textId="00B4F4F5"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DSP</w:t>
            </w:r>
          </w:p>
        </w:tc>
        <w:tc>
          <w:tcPr>
            <w:tcW w:w="0" w:type="dxa"/>
            <w:hideMark/>
          </w:tcPr>
          <w:p w14:paraId="6F5D71CF" w14:textId="39260CD5" w:rsidR="00BA07B1" w:rsidRDefault="00BA07B1" w:rsidP="0049666B">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Digital Service Provider</w:t>
            </w:r>
          </w:p>
        </w:tc>
      </w:tr>
      <w:tr w:rsidR="003E6E67" w14:paraId="4E9FB5A6" w14:textId="77777777" w:rsidTr="004C7D75">
        <w:trPr>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3AE2B65C" w14:textId="77777777"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EN</w:t>
            </w:r>
          </w:p>
        </w:tc>
        <w:tc>
          <w:tcPr>
            <w:tcW w:w="0" w:type="dxa"/>
            <w:hideMark/>
          </w:tcPr>
          <w:p w14:paraId="267AC336" w14:textId="77777777" w:rsidR="00BA07B1" w:rsidRDefault="00BA07B1" w:rsidP="0049666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Employee Notification</w:t>
            </w:r>
          </w:p>
        </w:tc>
      </w:tr>
      <w:tr w:rsidR="00DB48E8" w14:paraId="2C83EAFE" w14:textId="77777777" w:rsidTr="00BF14B7">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600882A3" w14:textId="77777777"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FEG</w:t>
            </w:r>
          </w:p>
        </w:tc>
        <w:tc>
          <w:tcPr>
            <w:tcW w:w="0" w:type="dxa"/>
            <w:hideMark/>
          </w:tcPr>
          <w:p w14:paraId="41887F2E" w14:textId="6D84BAD9" w:rsidR="00BA07B1" w:rsidRDefault="00BA07B1" w:rsidP="0049666B">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Fair Entitlement Guarantee</w:t>
            </w:r>
          </w:p>
        </w:tc>
      </w:tr>
      <w:tr w:rsidR="00EF00D7" w14:paraId="2F99A49A" w14:textId="77777777" w:rsidTr="004C7D75">
        <w:trPr>
          <w:trHeight w:val="353"/>
        </w:trPr>
        <w:tc>
          <w:tcPr>
            <w:cnfStyle w:val="001000000000" w:firstRow="0" w:lastRow="0" w:firstColumn="1" w:lastColumn="0" w:oddVBand="0" w:evenVBand="0" w:oddHBand="0" w:evenHBand="0" w:firstRowFirstColumn="0" w:firstRowLastColumn="0" w:lastRowFirstColumn="0" w:lastRowLastColumn="0"/>
            <w:tcW w:w="0" w:type="dxa"/>
          </w:tcPr>
          <w:p w14:paraId="5A4FD2ED" w14:textId="2D1D6AF1" w:rsidR="00EF00D7" w:rsidRPr="00BA07B1" w:rsidRDefault="00EF00D7" w:rsidP="0049666B">
            <w:pPr>
              <w:spacing w:line="360" w:lineRule="auto"/>
              <w:rPr>
                <w:rFonts w:ascii="Calibri" w:hAnsi="Calibri" w:cs="Calibri"/>
                <w:color w:val="262626"/>
                <w:szCs w:val="22"/>
              </w:rPr>
            </w:pPr>
            <w:r>
              <w:rPr>
                <w:rFonts w:ascii="Calibri" w:hAnsi="Calibri" w:cs="Calibri"/>
                <w:color w:val="262626"/>
                <w:szCs w:val="22"/>
              </w:rPr>
              <w:t>ICT</w:t>
            </w:r>
          </w:p>
        </w:tc>
        <w:tc>
          <w:tcPr>
            <w:tcW w:w="0" w:type="dxa"/>
          </w:tcPr>
          <w:p w14:paraId="435BB0C7" w14:textId="7CBC75BA" w:rsidR="00EF00D7" w:rsidRDefault="00EF00D7" w:rsidP="0049666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Information and communications technology</w:t>
            </w:r>
          </w:p>
        </w:tc>
      </w:tr>
      <w:tr w:rsidR="009F2422" w14:paraId="6A381999" w14:textId="77777777" w:rsidTr="004C7D75">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5BDADF99" w14:textId="77777777"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MAAS</w:t>
            </w:r>
          </w:p>
        </w:tc>
        <w:tc>
          <w:tcPr>
            <w:tcW w:w="0" w:type="dxa"/>
            <w:hideMark/>
          </w:tcPr>
          <w:p w14:paraId="76C0DBCD" w14:textId="77777777" w:rsidR="00BA07B1" w:rsidRDefault="00BA07B1" w:rsidP="0049666B">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Member Account Attribute Service</w:t>
            </w:r>
          </w:p>
        </w:tc>
      </w:tr>
      <w:tr w:rsidR="00EA4F38" w14:paraId="26FB0669" w14:textId="77777777" w:rsidTr="00BF14B7">
        <w:trPr>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7B092E73" w14:textId="77777777"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MATS</w:t>
            </w:r>
          </w:p>
        </w:tc>
        <w:tc>
          <w:tcPr>
            <w:tcW w:w="0" w:type="dxa"/>
            <w:hideMark/>
          </w:tcPr>
          <w:p w14:paraId="2A47FE7F" w14:textId="77777777" w:rsidR="00BA07B1" w:rsidRDefault="00BA07B1" w:rsidP="0049666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Member Account Transaction Service</w:t>
            </w:r>
          </w:p>
        </w:tc>
      </w:tr>
      <w:tr w:rsidR="009F2422" w14:paraId="4CD7DFD5" w14:textId="77777777" w:rsidTr="004C7D75">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0731AD6F" w14:textId="77777777"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OTE</w:t>
            </w:r>
          </w:p>
        </w:tc>
        <w:tc>
          <w:tcPr>
            <w:tcW w:w="0" w:type="dxa"/>
            <w:hideMark/>
          </w:tcPr>
          <w:p w14:paraId="17D73326" w14:textId="77777777" w:rsidR="00BA07B1" w:rsidRDefault="00BA07B1" w:rsidP="0049666B">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Ordinary Time Earnings</w:t>
            </w:r>
          </w:p>
        </w:tc>
      </w:tr>
      <w:tr w:rsidR="00DB48E8" w14:paraId="2366CA77" w14:textId="77777777" w:rsidTr="00BF14B7">
        <w:trPr>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533CA27D" w14:textId="77777777"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SGA Act</w:t>
            </w:r>
          </w:p>
        </w:tc>
        <w:tc>
          <w:tcPr>
            <w:tcW w:w="0" w:type="dxa"/>
            <w:hideMark/>
          </w:tcPr>
          <w:p w14:paraId="5832795D" w14:textId="77777777" w:rsidR="00BA07B1" w:rsidRDefault="00BA07B1" w:rsidP="0049666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Superannuation Guarantee (Administration) Act 1992</w:t>
            </w:r>
          </w:p>
        </w:tc>
      </w:tr>
      <w:tr w:rsidR="003E6E67" w14:paraId="731574C2" w14:textId="77777777" w:rsidTr="004C7D75">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3971FD5D" w14:textId="77777777"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SGC Act</w:t>
            </w:r>
          </w:p>
        </w:tc>
        <w:tc>
          <w:tcPr>
            <w:tcW w:w="0" w:type="dxa"/>
            <w:hideMark/>
          </w:tcPr>
          <w:p w14:paraId="6511B339" w14:textId="77777777" w:rsidR="00BA07B1" w:rsidRDefault="00BA07B1" w:rsidP="0049666B">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Superannuation Guarantee Charge Act 1992</w:t>
            </w:r>
          </w:p>
        </w:tc>
      </w:tr>
      <w:tr w:rsidR="00EA4F38" w14:paraId="1BAF1E26" w14:textId="77777777" w:rsidTr="00BF14B7">
        <w:trPr>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192D3BA0" w14:textId="03C71935"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SME</w:t>
            </w:r>
          </w:p>
        </w:tc>
        <w:tc>
          <w:tcPr>
            <w:tcW w:w="0" w:type="dxa"/>
            <w:hideMark/>
          </w:tcPr>
          <w:p w14:paraId="77553A6B" w14:textId="081EAC52" w:rsidR="00BA07B1" w:rsidRDefault="00BA07B1" w:rsidP="0049666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Small and Medium-Sized Enterprise</w:t>
            </w:r>
          </w:p>
        </w:tc>
      </w:tr>
      <w:tr w:rsidR="009F2422" w14:paraId="562B9A29" w14:textId="77777777" w:rsidTr="004C7D75">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28245446" w14:textId="77777777" w:rsidR="00BA07B1" w:rsidRPr="00BA07B1" w:rsidRDefault="00BA07B1" w:rsidP="007E439D">
            <w:pPr>
              <w:spacing w:line="360" w:lineRule="auto"/>
              <w:rPr>
                <w:rFonts w:ascii="Calibri" w:hAnsi="Calibri" w:cs="Calibri"/>
                <w:color w:val="262626"/>
                <w:szCs w:val="22"/>
              </w:rPr>
            </w:pPr>
            <w:r w:rsidRPr="00BA07B1">
              <w:rPr>
                <w:rFonts w:ascii="Calibri" w:hAnsi="Calibri" w:cs="Calibri"/>
                <w:color w:val="262626"/>
                <w:szCs w:val="22"/>
              </w:rPr>
              <w:t>STP</w:t>
            </w:r>
          </w:p>
        </w:tc>
        <w:tc>
          <w:tcPr>
            <w:tcW w:w="0" w:type="dxa"/>
            <w:hideMark/>
          </w:tcPr>
          <w:p w14:paraId="14C1CB50" w14:textId="77777777" w:rsidR="00BA07B1" w:rsidRDefault="00BA07B1" w:rsidP="007E439D">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Single Touch Payroll</w:t>
            </w:r>
          </w:p>
        </w:tc>
      </w:tr>
    </w:tbl>
    <w:p w14:paraId="33739F2B" w14:textId="07BEBBA8" w:rsidR="003D6EE8" w:rsidRPr="00831C62" w:rsidRDefault="003D6EE8">
      <w:r>
        <w:br w:type="page"/>
      </w:r>
    </w:p>
    <w:p w14:paraId="2A378E11" w14:textId="2513B71D" w:rsidR="00C51551" w:rsidRDefault="00C51551" w:rsidP="00FE09D3">
      <w:pPr>
        <w:pStyle w:val="Title"/>
      </w:pPr>
      <w:bookmarkStart w:id="2" w:name="_Toc134198426"/>
      <w:r w:rsidRPr="00C51551">
        <w:t>Executive Summary</w:t>
      </w:r>
      <w:bookmarkEnd w:id="2"/>
      <w:r w:rsidRPr="00C51551">
        <w:t xml:space="preserve"> </w:t>
      </w:r>
    </w:p>
    <w:p w14:paraId="0DDB8011" w14:textId="7C8C2738" w:rsidR="008032BA" w:rsidRDefault="003E2E22" w:rsidP="008032BA">
      <w:r>
        <w:t xml:space="preserve">Unpaid superannuation has significant </w:t>
      </w:r>
      <w:r w:rsidR="00CC4833">
        <w:t xml:space="preserve">negative </w:t>
      </w:r>
      <w:r>
        <w:t>impacts on individuals</w:t>
      </w:r>
      <w:r w:rsidR="00186D41">
        <w:t>,</w:t>
      </w:r>
      <w:r>
        <w:t xml:space="preserve"> </w:t>
      </w:r>
      <w:r w:rsidR="00CC4833">
        <w:t>by</w:t>
      </w:r>
      <w:r w:rsidR="00186D41">
        <w:t xml:space="preserve"> </w:t>
      </w:r>
      <w:r>
        <w:t xml:space="preserve">reducing </w:t>
      </w:r>
      <w:r w:rsidR="00B37426">
        <w:t>superannuation</w:t>
      </w:r>
      <w:r>
        <w:t xml:space="preserve"> savings and delaying retirement. </w:t>
      </w:r>
      <w:r w:rsidR="008032BA">
        <w:t xml:space="preserve">In 2019-20, more than $3.3 billion in </w:t>
      </w:r>
      <w:r w:rsidR="00910763">
        <w:t>Superannuation Guarantee (</w:t>
      </w:r>
      <w:r w:rsidR="008032BA">
        <w:t>SG</w:t>
      </w:r>
      <w:r w:rsidR="00910763">
        <w:t>)</w:t>
      </w:r>
      <w:r w:rsidR="008032BA">
        <w:t xml:space="preserve"> entitlements remained unpaid and owing to eligible employees. </w:t>
      </w:r>
    </w:p>
    <w:p w14:paraId="1FE35B6A" w14:textId="33052A61" w:rsidR="00D8513E" w:rsidRDefault="00D8513E" w:rsidP="008032BA">
      <w:r>
        <w:t xml:space="preserve">The </w:t>
      </w:r>
      <w:r w:rsidR="00186D41">
        <w:t>Australian Taxation Office (</w:t>
      </w:r>
      <w:r>
        <w:t>ATO</w:t>
      </w:r>
      <w:r w:rsidR="00186D41">
        <w:t>)</w:t>
      </w:r>
      <w:r>
        <w:t xml:space="preserve"> is responsible for administering the</w:t>
      </w:r>
      <w:r w:rsidR="00D01193">
        <w:t xml:space="preserve"> SG scheme, </w:t>
      </w:r>
      <w:r w:rsidR="00AB2B4A">
        <w:t>including</w:t>
      </w:r>
      <w:r w:rsidR="00D01193">
        <w:t xml:space="preserve"> </w:t>
      </w:r>
      <w:r w:rsidR="00CD1969">
        <w:t>following</w:t>
      </w:r>
      <w:r w:rsidR="00D01193">
        <w:t xml:space="preserve"> up </w:t>
      </w:r>
      <w:r w:rsidR="00CD1969">
        <w:t>with employers where</w:t>
      </w:r>
      <w:r w:rsidR="00D01193">
        <w:t xml:space="preserve"> SG obligations go unpaid </w:t>
      </w:r>
      <w:r w:rsidR="00CD1969">
        <w:t>and administering the SG charge</w:t>
      </w:r>
      <w:r w:rsidR="00D01193">
        <w:t>. However, due to the design of the SG system</w:t>
      </w:r>
      <w:r w:rsidR="00AB6741">
        <w:t xml:space="preserve"> (</w:t>
      </w:r>
      <w:r w:rsidR="00D01193">
        <w:t xml:space="preserve">including the frequency with which employers are required to pay SG, the operation of the SG charge, and </w:t>
      </w:r>
      <w:r w:rsidR="00002099">
        <w:t>limitations with the ATO’s IT capabilities to identify unpaid SG</w:t>
      </w:r>
      <w:r w:rsidR="00AB6741">
        <w:t>),</w:t>
      </w:r>
      <w:r w:rsidR="00002099">
        <w:t xml:space="preserve"> </w:t>
      </w:r>
      <w:r w:rsidR="00921482">
        <w:t xml:space="preserve">many </w:t>
      </w:r>
      <w:r w:rsidR="00152E94">
        <w:t>SG obligations remain unpai</w:t>
      </w:r>
      <w:r w:rsidR="000923A2">
        <w:t xml:space="preserve">d for extended periods of time. This causes significant issues when employers enter liquidation without having paid their SG </w:t>
      </w:r>
      <w:r w:rsidR="0060583F">
        <w:t>obligations</w:t>
      </w:r>
      <w:r w:rsidR="000923A2">
        <w:t xml:space="preserve">. </w:t>
      </w:r>
    </w:p>
    <w:p w14:paraId="4FE892B1" w14:textId="72D23190" w:rsidR="00D10A7B" w:rsidRDefault="00D10A7B" w:rsidP="007E7CDF">
      <w:pPr>
        <w:pStyle w:val="BodyText"/>
      </w:pPr>
      <w:r>
        <w:t xml:space="preserve">During the 2022 election campaign, the Government made a public commitment to set unpaid superannuation recovery targets for the </w:t>
      </w:r>
      <w:r w:rsidR="00186D41">
        <w:t xml:space="preserve">ATO </w:t>
      </w:r>
      <w:r>
        <w:t xml:space="preserve">which would be made public and reported on annually. </w:t>
      </w:r>
      <w:r w:rsidR="00374D82">
        <w:t>In this I</w:t>
      </w:r>
      <w:r w:rsidR="00186D41">
        <w:t>mpact A</w:t>
      </w:r>
      <w:r w:rsidR="0081516E">
        <w:t>nalysis</w:t>
      </w:r>
      <w:r w:rsidR="00186D41">
        <w:t xml:space="preserve"> (IA)</w:t>
      </w:r>
      <w:r w:rsidR="00374D82">
        <w:t xml:space="preserve">, </w:t>
      </w:r>
      <w:r>
        <w:t>Treasury has considered options that would implement the setting of unpaid superannuation recovery targets for the ATO, alongside more comprehensive policy and administrative changes that would address the structural drivers of unpaid superannuation</w:t>
      </w:r>
      <w:r w:rsidR="00AB6741">
        <w:t xml:space="preserve"> o</w:t>
      </w:r>
      <w:r w:rsidR="001F6E93">
        <w:t>utlined</w:t>
      </w:r>
      <w:r w:rsidR="00AB6741">
        <w:t xml:space="preserve"> above</w:t>
      </w:r>
      <w:r>
        <w:t>.</w:t>
      </w:r>
    </w:p>
    <w:p w14:paraId="315D6284" w14:textId="18D1B9C4" w:rsidR="002372D7" w:rsidRDefault="002372D7" w:rsidP="00A44478">
      <w:pPr>
        <w:rPr>
          <w:rFonts w:eastAsia="Times New Roman"/>
          <w:bCs/>
          <w:lang w:eastAsia="en-AU"/>
        </w:rPr>
      </w:pPr>
      <w:r>
        <w:rPr>
          <w:rFonts w:eastAsia="Times New Roman"/>
          <w:lang w:eastAsia="en-AU"/>
        </w:rPr>
        <w:t>Th</w:t>
      </w:r>
      <w:r>
        <w:rPr>
          <w:rFonts w:eastAsia="Times New Roman"/>
          <w:bCs/>
          <w:lang w:eastAsia="en-AU"/>
        </w:rPr>
        <w:t xml:space="preserve">ree options were considered </w:t>
      </w:r>
      <w:r w:rsidR="00AB6741">
        <w:rPr>
          <w:rFonts w:eastAsia="Times New Roman"/>
          <w:bCs/>
          <w:lang w:eastAsia="en-AU"/>
        </w:rPr>
        <w:t xml:space="preserve">in this IA </w:t>
      </w:r>
      <w:r w:rsidR="00B652BD">
        <w:rPr>
          <w:rFonts w:eastAsia="Times New Roman"/>
          <w:bCs/>
          <w:lang w:eastAsia="en-AU"/>
        </w:rPr>
        <w:t xml:space="preserve">to </w:t>
      </w:r>
      <w:r w:rsidR="00B44D42">
        <w:rPr>
          <w:rFonts w:eastAsia="Times New Roman"/>
          <w:bCs/>
          <w:lang w:eastAsia="en-AU"/>
        </w:rPr>
        <w:t xml:space="preserve">implement the Government’s election commitment and </w:t>
      </w:r>
      <w:r w:rsidR="00B652BD">
        <w:rPr>
          <w:rFonts w:eastAsia="Times New Roman"/>
          <w:bCs/>
          <w:lang w:eastAsia="en-AU"/>
        </w:rPr>
        <w:t>address the problem of unpaid SG:</w:t>
      </w:r>
    </w:p>
    <w:p w14:paraId="3A24A1A0" w14:textId="6F457BD5" w:rsidR="00441B10" w:rsidRDefault="007E4276" w:rsidP="007E7CDF">
      <w:pPr>
        <w:pStyle w:val="Bullet"/>
        <w:numPr>
          <w:ilvl w:val="0"/>
          <w:numId w:val="0"/>
        </w:numPr>
        <w:ind w:left="520" w:hanging="520"/>
        <w:rPr>
          <w:lang w:eastAsia="en-AU"/>
        </w:rPr>
      </w:pPr>
      <w:r w:rsidRPr="007E7CDF">
        <w:rPr>
          <w:u w:val="single"/>
          <w:lang w:eastAsia="en-AU"/>
        </w:rPr>
        <w:t>Option 1:</w:t>
      </w:r>
      <w:r>
        <w:rPr>
          <w:lang w:eastAsia="en-AU"/>
        </w:rPr>
        <w:t xml:space="preserve"> </w:t>
      </w:r>
      <w:r w:rsidR="009140E2">
        <w:rPr>
          <w:lang w:eastAsia="en-AU"/>
        </w:rPr>
        <w:t>Maintain the s</w:t>
      </w:r>
      <w:r w:rsidR="00B652BD">
        <w:rPr>
          <w:lang w:eastAsia="en-AU"/>
        </w:rPr>
        <w:t xml:space="preserve">tatus </w:t>
      </w:r>
      <w:r w:rsidR="009140E2">
        <w:rPr>
          <w:lang w:eastAsia="en-AU"/>
        </w:rPr>
        <w:t>q</w:t>
      </w:r>
      <w:r w:rsidR="00B652BD">
        <w:rPr>
          <w:lang w:eastAsia="en-AU"/>
        </w:rPr>
        <w:t>uo</w:t>
      </w:r>
      <w:r w:rsidR="009140E2">
        <w:rPr>
          <w:lang w:eastAsia="en-AU"/>
        </w:rPr>
        <w:t xml:space="preserve"> (no change)</w:t>
      </w:r>
      <w:r w:rsidR="00283330">
        <w:rPr>
          <w:lang w:eastAsia="en-AU"/>
        </w:rPr>
        <w:t>.</w:t>
      </w:r>
    </w:p>
    <w:p w14:paraId="1C590D83" w14:textId="6CE3D870" w:rsidR="00B62EAC" w:rsidRDefault="007E4276" w:rsidP="007E7CDF">
      <w:pPr>
        <w:pStyle w:val="Bullet"/>
        <w:numPr>
          <w:ilvl w:val="0"/>
          <w:numId w:val="0"/>
        </w:numPr>
        <w:ind w:left="520" w:hanging="520"/>
        <w:rPr>
          <w:lang w:eastAsia="en-AU"/>
        </w:rPr>
      </w:pPr>
      <w:r w:rsidRPr="007E7CDF">
        <w:rPr>
          <w:u w:val="single"/>
          <w:lang w:eastAsia="en-AU"/>
        </w:rPr>
        <w:t>Option 2:</w:t>
      </w:r>
      <w:r>
        <w:rPr>
          <w:lang w:eastAsia="en-AU"/>
        </w:rPr>
        <w:t xml:space="preserve"> </w:t>
      </w:r>
      <w:r w:rsidR="00B652BD">
        <w:rPr>
          <w:lang w:eastAsia="en-AU"/>
        </w:rPr>
        <w:t>Investment in ATO data matching</w:t>
      </w:r>
      <w:r w:rsidR="00283330">
        <w:rPr>
          <w:lang w:eastAsia="en-AU"/>
        </w:rPr>
        <w:t>.</w:t>
      </w:r>
    </w:p>
    <w:p w14:paraId="35A3B42A" w14:textId="38933742" w:rsidR="00B652BD" w:rsidRDefault="007E4276" w:rsidP="007E7CDF">
      <w:pPr>
        <w:pStyle w:val="Bullet"/>
        <w:numPr>
          <w:ilvl w:val="0"/>
          <w:numId w:val="0"/>
        </w:numPr>
        <w:ind w:left="520" w:hanging="520"/>
        <w:rPr>
          <w:lang w:eastAsia="en-AU"/>
        </w:rPr>
      </w:pPr>
      <w:r w:rsidRPr="007E7CDF">
        <w:rPr>
          <w:u w:val="single"/>
          <w:lang w:eastAsia="en-AU"/>
        </w:rPr>
        <w:t>Option 3:</w:t>
      </w:r>
      <w:r>
        <w:rPr>
          <w:lang w:eastAsia="en-AU"/>
        </w:rPr>
        <w:t xml:space="preserve"> </w:t>
      </w:r>
      <w:r w:rsidR="00AB6741">
        <w:rPr>
          <w:lang w:eastAsia="en-AU"/>
        </w:rPr>
        <w:t xml:space="preserve">Require </w:t>
      </w:r>
      <w:r w:rsidR="00B652BD">
        <w:rPr>
          <w:lang w:eastAsia="en-AU"/>
        </w:rPr>
        <w:t xml:space="preserve">SG </w:t>
      </w:r>
      <w:r w:rsidR="00C22203">
        <w:rPr>
          <w:lang w:eastAsia="en-AU"/>
        </w:rPr>
        <w:t xml:space="preserve">to be </w:t>
      </w:r>
      <w:r w:rsidR="000F3539">
        <w:rPr>
          <w:lang w:eastAsia="en-AU"/>
        </w:rPr>
        <w:t xml:space="preserve">paid </w:t>
      </w:r>
      <w:r w:rsidR="00AB6741">
        <w:rPr>
          <w:lang w:eastAsia="en-AU"/>
        </w:rPr>
        <w:t xml:space="preserve">alongside </w:t>
      </w:r>
      <w:r w:rsidR="00FE683B">
        <w:rPr>
          <w:lang w:eastAsia="en-AU"/>
        </w:rPr>
        <w:t xml:space="preserve">an employee’s </w:t>
      </w:r>
      <w:r w:rsidR="00AB6741">
        <w:rPr>
          <w:lang w:eastAsia="en-AU"/>
        </w:rPr>
        <w:t>salary and wages (on payday)</w:t>
      </w:r>
      <w:r w:rsidR="00283330">
        <w:rPr>
          <w:lang w:eastAsia="en-AU"/>
        </w:rPr>
        <w:t>.</w:t>
      </w:r>
      <w:r w:rsidR="00AB6741" w:rsidDel="00283330">
        <w:rPr>
          <w:lang w:eastAsia="en-AU"/>
        </w:rPr>
        <w:t xml:space="preserve"> </w:t>
      </w:r>
    </w:p>
    <w:p w14:paraId="14129E94" w14:textId="5F04F56C" w:rsidR="00100089" w:rsidRDefault="00B374F4" w:rsidP="00A44478">
      <w:pPr>
        <w:rPr>
          <w:rFonts w:eastAsia="Times New Roman"/>
          <w:bCs/>
          <w:lang w:eastAsia="en-AU"/>
        </w:rPr>
      </w:pPr>
      <w:r>
        <w:rPr>
          <w:rFonts w:eastAsia="Times New Roman"/>
          <w:lang w:eastAsia="en-AU"/>
        </w:rPr>
        <w:t xml:space="preserve">A range of impacts of these options were considered including fewer instances </w:t>
      </w:r>
      <w:r w:rsidR="00A44478">
        <w:rPr>
          <w:rFonts w:eastAsia="Times New Roman"/>
          <w:bCs/>
          <w:lang w:eastAsia="en-AU"/>
        </w:rPr>
        <w:t>and quicker recovery</w:t>
      </w:r>
      <w:r>
        <w:rPr>
          <w:rFonts w:eastAsia="Times New Roman"/>
          <w:bCs/>
          <w:lang w:eastAsia="en-AU"/>
        </w:rPr>
        <w:t xml:space="preserve"> </w:t>
      </w:r>
      <w:r>
        <w:rPr>
          <w:rFonts w:eastAsia="Times New Roman"/>
          <w:lang w:eastAsia="en-AU"/>
        </w:rPr>
        <w:t>of unpaid SG,</w:t>
      </w:r>
      <w:r>
        <w:rPr>
          <w:rFonts w:eastAsia="Times New Roman"/>
          <w:bCs/>
          <w:lang w:eastAsia="en-AU"/>
        </w:rPr>
        <w:t xml:space="preserve"> regulatory costs and Government expenses. </w:t>
      </w:r>
    </w:p>
    <w:p w14:paraId="5A78FA5D" w14:textId="3C0C666F" w:rsidR="00FB186D" w:rsidRDefault="007B7A9A" w:rsidP="00FB186D">
      <w:r>
        <w:rPr>
          <w:rFonts w:eastAsia="Times New Roman"/>
          <w:bCs/>
          <w:lang w:eastAsia="en-AU"/>
        </w:rPr>
        <w:t xml:space="preserve">Given </w:t>
      </w:r>
      <w:r w:rsidR="007E4276">
        <w:rPr>
          <w:rFonts w:eastAsia="Times New Roman"/>
          <w:bCs/>
          <w:lang w:eastAsia="en-AU"/>
        </w:rPr>
        <w:t xml:space="preserve">the issue of unpaid SG is </w:t>
      </w:r>
      <w:r w:rsidR="003E27A3">
        <w:rPr>
          <w:rFonts w:eastAsia="Times New Roman"/>
          <w:bCs/>
          <w:lang w:eastAsia="en-AU"/>
        </w:rPr>
        <w:t xml:space="preserve">driven </w:t>
      </w:r>
      <w:r w:rsidR="007E4276">
        <w:rPr>
          <w:rFonts w:eastAsia="Times New Roman"/>
          <w:bCs/>
          <w:lang w:eastAsia="en-AU"/>
        </w:rPr>
        <w:t>by</w:t>
      </w:r>
      <w:r>
        <w:rPr>
          <w:rFonts w:eastAsia="Times New Roman"/>
          <w:bCs/>
          <w:lang w:eastAsia="en-AU"/>
        </w:rPr>
        <w:t xml:space="preserve"> structural issues with</w:t>
      </w:r>
      <w:r w:rsidR="007E4276">
        <w:rPr>
          <w:rFonts w:eastAsia="Times New Roman"/>
          <w:bCs/>
          <w:lang w:eastAsia="en-AU"/>
        </w:rPr>
        <w:t>in</w:t>
      </w:r>
      <w:r>
        <w:rPr>
          <w:rFonts w:eastAsia="Times New Roman"/>
          <w:bCs/>
          <w:lang w:eastAsia="en-AU"/>
        </w:rPr>
        <w:t xml:space="preserve"> the SG system</w:t>
      </w:r>
      <w:r w:rsidR="00C170F3">
        <w:rPr>
          <w:rFonts w:eastAsia="Times New Roman"/>
          <w:bCs/>
          <w:lang w:eastAsia="en-AU"/>
        </w:rPr>
        <w:t xml:space="preserve"> and the SG gap has remained steady </w:t>
      </w:r>
      <w:r w:rsidR="00096537">
        <w:rPr>
          <w:rFonts w:eastAsia="Times New Roman"/>
          <w:bCs/>
          <w:lang w:eastAsia="en-AU"/>
        </w:rPr>
        <w:t xml:space="preserve">for </w:t>
      </w:r>
      <w:r w:rsidR="00065543">
        <w:rPr>
          <w:rFonts w:eastAsia="Times New Roman"/>
          <w:bCs/>
          <w:lang w:eastAsia="en-AU"/>
        </w:rPr>
        <w:t>several</w:t>
      </w:r>
      <w:r w:rsidR="00096537">
        <w:rPr>
          <w:rFonts w:eastAsia="Times New Roman"/>
          <w:bCs/>
          <w:lang w:eastAsia="en-AU"/>
        </w:rPr>
        <w:t xml:space="preserve"> years, </w:t>
      </w:r>
      <w:r w:rsidR="003722C2">
        <w:rPr>
          <w:rFonts w:eastAsia="Times New Roman"/>
          <w:bCs/>
          <w:lang w:eastAsia="en-AU"/>
        </w:rPr>
        <w:t xml:space="preserve">maintaining the status quo under Option 1 </w:t>
      </w:r>
      <w:r w:rsidR="00FD75BA">
        <w:rPr>
          <w:rFonts w:eastAsia="Times New Roman"/>
          <w:bCs/>
          <w:lang w:eastAsia="en-AU"/>
        </w:rPr>
        <w:t xml:space="preserve">is unlikely to </w:t>
      </w:r>
      <w:r w:rsidR="003722C2">
        <w:rPr>
          <w:rFonts w:eastAsia="Times New Roman"/>
          <w:bCs/>
          <w:lang w:eastAsia="en-AU"/>
        </w:rPr>
        <w:t xml:space="preserve">lead to a </w:t>
      </w:r>
      <w:r w:rsidR="00FD75BA">
        <w:rPr>
          <w:rFonts w:eastAsia="Times New Roman"/>
          <w:bCs/>
          <w:lang w:eastAsia="en-AU"/>
        </w:rPr>
        <w:t>material improve</w:t>
      </w:r>
      <w:r w:rsidR="003722C2">
        <w:rPr>
          <w:rFonts w:eastAsia="Times New Roman"/>
          <w:bCs/>
          <w:lang w:eastAsia="en-AU"/>
        </w:rPr>
        <w:t>ment in</w:t>
      </w:r>
      <w:r w:rsidR="00FD75BA">
        <w:rPr>
          <w:rFonts w:eastAsia="Times New Roman"/>
          <w:bCs/>
          <w:lang w:eastAsia="en-AU"/>
        </w:rPr>
        <w:t xml:space="preserve"> </w:t>
      </w:r>
      <w:r>
        <w:rPr>
          <w:rFonts w:eastAsia="Times New Roman"/>
          <w:bCs/>
          <w:lang w:eastAsia="en-AU"/>
        </w:rPr>
        <w:t xml:space="preserve">the </w:t>
      </w:r>
      <w:r w:rsidR="00C170F3">
        <w:rPr>
          <w:rFonts w:eastAsia="Times New Roman"/>
          <w:bCs/>
          <w:lang w:eastAsia="en-AU"/>
        </w:rPr>
        <w:t>incidence</w:t>
      </w:r>
      <w:r>
        <w:rPr>
          <w:rFonts w:eastAsia="Times New Roman"/>
          <w:bCs/>
          <w:lang w:eastAsia="en-AU"/>
        </w:rPr>
        <w:t xml:space="preserve"> of unpaid SG.</w:t>
      </w:r>
      <w:r w:rsidR="00D74073">
        <w:rPr>
          <w:rFonts w:eastAsia="Times New Roman"/>
          <w:lang w:eastAsia="en-AU"/>
        </w:rPr>
        <w:t xml:space="preserve"> </w:t>
      </w:r>
      <w:r w:rsidR="00A779F1">
        <w:rPr>
          <w:rFonts w:eastAsia="Times New Roman"/>
          <w:lang w:eastAsia="en-AU"/>
        </w:rPr>
        <w:t>As such, i</w:t>
      </w:r>
      <w:r w:rsidR="00CE7F0A">
        <w:rPr>
          <w:rFonts w:eastAsia="Times New Roman"/>
          <w:lang w:eastAsia="en-AU"/>
        </w:rPr>
        <w:t>nformed by th</w:t>
      </w:r>
      <w:r w:rsidR="0009651D">
        <w:rPr>
          <w:rFonts w:eastAsia="Times New Roman"/>
          <w:lang w:eastAsia="en-AU"/>
        </w:rPr>
        <w:t>is</w:t>
      </w:r>
      <w:r w:rsidR="00CE7F0A">
        <w:rPr>
          <w:rFonts w:eastAsia="Times New Roman"/>
          <w:lang w:eastAsia="en-AU"/>
        </w:rPr>
        <w:t xml:space="preserve"> </w:t>
      </w:r>
      <w:r w:rsidR="0060583F">
        <w:rPr>
          <w:rFonts w:eastAsia="Times New Roman"/>
          <w:lang w:eastAsia="en-AU"/>
        </w:rPr>
        <w:t>IA</w:t>
      </w:r>
      <w:r w:rsidR="00CE7F0A">
        <w:rPr>
          <w:rFonts w:eastAsia="Times New Roman"/>
          <w:bCs/>
          <w:lang w:eastAsia="en-AU"/>
        </w:rPr>
        <w:t xml:space="preserve">, Treasury recommends Option 2 and 3 </w:t>
      </w:r>
      <w:r w:rsidR="00E16D62">
        <w:rPr>
          <w:rFonts w:eastAsia="Times New Roman"/>
          <w:bCs/>
          <w:lang w:eastAsia="en-AU"/>
        </w:rPr>
        <w:t xml:space="preserve">be </w:t>
      </w:r>
      <w:r w:rsidR="00837E78">
        <w:rPr>
          <w:rFonts w:eastAsia="Times New Roman"/>
          <w:bCs/>
          <w:lang w:eastAsia="en-AU"/>
        </w:rPr>
        <w:t>progressed</w:t>
      </w:r>
      <w:r w:rsidR="00DC36A5">
        <w:rPr>
          <w:rFonts w:eastAsia="Times New Roman"/>
          <w:bCs/>
          <w:lang w:eastAsia="en-AU"/>
        </w:rPr>
        <w:t xml:space="preserve">. </w:t>
      </w:r>
      <w:r w:rsidR="00D33DAF">
        <w:rPr>
          <w:rFonts w:eastAsia="Times New Roman"/>
          <w:bCs/>
          <w:lang w:eastAsia="en-AU"/>
        </w:rPr>
        <w:t xml:space="preserve">Together, these options present the best </w:t>
      </w:r>
      <w:r w:rsidR="00A74CE2">
        <w:rPr>
          <w:rFonts w:eastAsia="Times New Roman"/>
          <w:bCs/>
          <w:lang w:eastAsia="en-AU"/>
        </w:rPr>
        <w:t>opportunity</w:t>
      </w:r>
      <w:r w:rsidR="002C5491">
        <w:rPr>
          <w:rFonts w:eastAsia="Times New Roman"/>
          <w:bCs/>
          <w:lang w:eastAsia="en-AU"/>
        </w:rPr>
        <w:t xml:space="preserve"> to address the structural drivers of unpaid SG. Compared </w:t>
      </w:r>
      <w:r w:rsidR="00283330">
        <w:rPr>
          <w:rFonts w:eastAsia="Times New Roman"/>
          <w:bCs/>
          <w:lang w:eastAsia="en-AU"/>
        </w:rPr>
        <w:t>with</w:t>
      </w:r>
      <w:r w:rsidR="002C5491">
        <w:rPr>
          <w:rFonts w:eastAsia="Times New Roman"/>
          <w:bCs/>
          <w:lang w:eastAsia="en-AU"/>
        </w:rPr>
        <w:t xml:space="preserve"> maintaining the status quo, these options </w:t>
      </w:r>
      <w:r w:rsidR="004170BE">
        <w:rPr>
          <w:rFonts w:eastAsia="Times New Roman"/>
          <w:bCs/>
          <w:lang w:eastAsia="en-AU"/>
        </w:rPr>
        <w:t xml:space="preserve">would </w:t>
      </w:r>
      <w:r w:rsidR="002C5491">
        <w:rPr>
          <w:rFonts w:eastAsia="Times New Roman"/>
          <w:bCs/>
          <w:lang w:eastAsia="en-AU"/>
        </w:rPr>
        <w:t>give the ATO greater oversight over SG entitlements</w:t>
      </w:r>
      <w:r w:rsidR="00F63F3E">
        <w:rPr>
          <w:rFonts w:eastAsia="Times New Roman"/>
          <w:bCs/>
          <w:lang w:eastAsia="en-AU"/>
        </w:rPr>
        <w:t xml:space="preserve"> and</w:t>
      </w:r>
      <w:r w:rsidR="002C5491">
        <w:rPr>
          <w:rFonts w:eastAsia="Times New Roman"/>
          <w:bCs/>
          <w:lang w:eastAsia="en-AU"/>
        </w:rPr>
        <w:t xml:space="preserve"> a </w:t>
      </w:r>
      <w:r w:rsidR="00F63F3E">
        <w:rPr>
          <w:rFonts w:eastAsia="Times New Roman"/>
          <w:bCs/>
          <w:lang w:eastAsia="en-AU"/>
        </w:rPr>
        <w:t>timelier</w:t>
      </w:r>
      <w:r w:rsidR="002C5491">
        <w:rPr>
          <w:rFonts w:eastAsia="Times New Roman"/>
          <w:bCs/>
          <w:lang w:eastAsia="en-AU"/>
        </w:rPr>
        <w:t xml:space="preserve"> ability to follow up instances of unpaid SG</w:t>
      </w:r>
      <w:r w:rsidR="00F63F3E">
        <w:rPr>
          <w:rFonts w:eastAsia="Times New Roman"/>
          <w:bCs/>
          <w:lang w:eastAsia="en-AU"/>
        </w:rPr>
        <w:t xml:space="preserve">. </w:t>
      </w:r>
      <w:r w:rsidR="0024196E">
        <w:rPr>
          <w:rFonts w:eastAsia="Times New Roman"/>
          <w:bCs/>
          <w:lang w:eastAsia="en-AU"/>
        </w:rPr>
        <w:t>Importantly, these</w:t>
      </w:r>
      <w:r w:rsidR="004170BE">
        <w:rPr>
          <w:rFonts w:eastAsia="Times New Roman"/>
          <w:bCs/>
          <w:lang w:eastAsia="en-AU"/>
        </w:rPr>
        <w:t xml:space="preserve"> options would</w:t>
      </w:r>
      <w:r w:rsidR="00F63F3E">
        <w:rPr>
          <w:rFonts w:eastAsia="Times New Roman"/>
          <w:bCs/>
          <w:lang w:eastAsia="en-AU"/>
        </w:rPr>
        <w:t xml:space="preserve"> </w:t>
      </w:r>
      <w:r w:rsidR="00205C8E">
        <w:rPr>
          <w:rFonts w:eastAsia="Times New Roman"/>
          <w:bCs/>
          <w:lang w:eastAsia="en-AU"/>
        </w:rPr>
        <w:t xml:space="preserve">reduce the risk of employers accruing large </w:t>
      </w:r>
      <w:r w:rsidR="00A74CE2">
        <w:rPr>
          <w:rFonts w:eastAsia="Times New Roman"/>
          <w:bCs/>
          <w:lang w:eastAsia="en-AU"/>
        </w:rPr>
        <w:t>unpaid</w:t>
      </w:r>
      <w:r w:rsidR="00205C8E">
        <w:rPr>
          <w:rFonts w:eastAsia="Times New Roman"/>
          <w:bCs/>
          <w:lang w:eastAsia="en-AU"/>
        </w:rPr>
        <w:t xml:space="preserve"> SG debts</w:t>
      </w:r>
      <w:r w:rsidR="000A0573">
        <w:rPr>
          <w:rFonts w:eastAsia="Times New Roman"/>
          <w:bCs/>
          <w:lang w:eastAsia="en-AU"/>
        </w:rPr>
        <w:t xml:space="preserve"> and </w:t>
      </w:r>
      <w:r w:rsidR="00205C8E">
        <w:rPr>
          <w:rFonts w:eastAsia="Times New Roman"/>
          <w:bCs/>
          <w:lang w:eastAsia="en-AU"/>
        </w:rPr>
        <w:t xml:space="preserve">reduce the </w:t>
      </w:r>
      <w:r w:rsidR="00F14D32">
        <w:rPr>
          <w:rFonts w:eastAsia="Times New Roman"/>
          <w:bCs/>
          <w:lang w:eastAsia="en-AU"/>
        </w:rPr>
        <w:t>SG gap</w:t>
      </w:r>
      <w:r w:rsidR="007C21DC" w:rsidDel="00402F1F">
        <w:rPr>
          <w:rFonts w:eastAsia="Times New Roman"/>
          <w:bCs/>
          <w:lang w:eastAsia="en-AU"/>
        </w:rPr>
        <w:t>,</w:t>
      </w:r>
      <w:r w:rsidR="007C21DC">
        <w:rPr>
          <w:rFonts w:eastAsia="Times New Roman"/>
          <w:bCs/>
          <w:lang w:eastAsia="en-AU"/>
        </w:rPr>
        <w:t xml:space="preserve"> ensur</w:t>
      </w:r>
      <w:r w:rsidR="00F14D32">
        <w:rPr>
          <w:rFonts w:eastAsia="Times New Roman"/>
          <w:bCs/>
          <w:lang w:eastAsia="en-AU"/>
        </w:rPr>
        <w:t>ing that</w:t>
      </w:r>
      <w:r w:rsidR="007C21DC">
        <w:rPr>
          <w:rFonts w:eastAsia="Times New Roman"/>
          <w:bCs/>
          <w:lang w:eastAsia="en-AU"/>
        </w:rPr>
        <w:t xml:space="preserve"> employees are receiving</w:t>
      </w:r>
      <w:r w:rsidR="00205C8E">
        <w:rPr>
          <w:rFonts w:eastAsia="Times New Roman"/>
          <w:bCs/>
          <w:lang w:eastAsia="en-AU"/>
        </w:rPr>
        <w:t xml:space="preserve"> the </w:t>
      </w:r>
      <w:r w:rsidR="007C21DC">
        <w:rPr>
          <w:rFonts w:eastAsia="Times New Roman"/>
          <w:bCs/>
          <w:lang w:eastAsia="en-AU"/>
        </w:rPr>
        <w:t>entitlements they are owed</w:t>
      </w:r>
      <w:r w:rsidR="00AA1AB1">
        <w:rPr>
          <w:rFonts w:eastAsia="Times New Roman"/>
          <w:bCs/>
          <w:lang w:eastAsia="en-AU"/>
        </w:rPr>
        <w:t xml:space="preserve"> and</w:t>
      </w:r>
      <w:r w:rsidR="007C21DC">
        <w:rPr>
          <w:rFonts w:eastAsia="Times New Roman"/>
          <w:bCs/>
          <w:lang w:eastAsia="en-AU"/>
        </w:rPr>
        <w:t xml:space="preserve"> </w:t>
      </w:r>
      <w:r w:rsidR="00205C8E">
        <w:rPr>
          <w:rFonts w:eastAsia="Times New Roman"/>
          <w:bCs/>
          <w:lang w:eastAsia="en-AU"/>
        </w:rPr>
        <w:t>improv</w:t>
      </w:r>
      <w:r w:rsidR="007C21DC">
        <w:rPr>
          <w:rFonts w:eastAsia="Times New Roman"/>
          <w:bCs/>
          <w:lang w:eastAsia="en-AU"/>
        </w:rPr>
        <w:t>ing</w:t>
      </w:r>
      <w:r w:rsidR="00205C8E">
        <w:rPr>
          <w:rFonts w:eastAsia="Times New Roman"/>
          <w:bCs/>
          <w:lang w:eastAsia="en-AU"/>
        </w:rPr>
        <w:t xml:space="preserve"> </w:t>
      </w:r>
      <w:r w:rsidR="00FB4289">
        <w:rPr>
          <w:rFonts w:eastAsia="Times New Roman"/>
          <w:bCs/>
          <w:lang w:eastAsia="en-AU"/>
        </w:rPr>
        <w:t xml:space="preserve">their </w:t>
      </w:r>
      <w:r w:rsidR="007C21DC">
        <w:rPr>
          <w:rFonts w:eastAsia="Times New Roman"/>
          <w:bCs/>
          <w:lang w:eastAsia="en-AU"/>
        </w:rPr>
        <w:t>retirement</w:t>
      </w:r>
      <w:r w:rsidR="00205C8E">
        <w:rPr>
          <w:rFonts w:eastAsia="Times New Roman"/>
          <w:bCs/>
          <w:lang w:eastAsia="en-AU"/>
        </w:rPr>
        <w:t xml:space="preserve"> outcomes</w:t>
      </w:r>
      <w:r w:rsidR="007C21DC">
        <w:rPr>
          <w:rFonts w:eastAsia="Times New Roman"/>
          <w:bCs/>
          <w:lang w:eastAsia="en-AU"/>
        </w:rPr>
        <w:t>.</w:t>
      </w:r>
      <w:r w:rsidR="00205C8E">
        <w:rPr>
          <w:rFonts w:eastAsia="Times New Roman"/>
          <w:bCs/>
          <w:lang w:eastAsia="en-AU"/>
        </w:rPr>
        <w:t xml:space="preserve"> </w:t>
      </w:r>
      <w:r w:rsidR="00387B49">
        <w:t xml:space="preserve">In addition to </w:t>
      </w:r>
      <w:r w:rsidR="006423BD">
        <w:t>these options</w:t>
      </w:r>
      <w:r w:rsidR="00387B49">
        <w:t xml:space="preserve">, </w:t>
      </w:r>
      <w:r w:rsidR="00FB186D">
        <w:t>two new interim unpaid SG recovery targets</w:t>
      </w:r>
      <w:r w:rsidR="006423BD">
        <w:t xml:space="preserve"> </w:t>
      </w:r>
      <w:r w:rsidR="00B32A0C">
        <w:t xml:space="preserve">would be implemented </w:t>
      </w:r>
      <w:r w:rsidR="00571E56">
        <w:t xml:space="preserve">along with </w:t>
      </w:r>
      <w:r w:rsidR="00B32A0C">
        <w:t xml:space="preserve">new </w:t>
      </w:r>
      <w:r w:rsidR="005F2119">
        <w:t>improved</w:t>
      </w:r>
      <w:r w:rsidR="00B32A0C">
        <w:t xml:space="preserve"> unpaid SG recovery measures and targets.</w:t>
      </w:r>
    </w:p>
    <w:p w14:paraId="398D4F6C" w14:textId="42C28A77" w:rsidR="00A74CE2" w:rsidRDefault="00A74CE2" w:rsidP="00FB186D">
      <w:r>
        <w:t xml:space="preserve">Limited consultation has been undertaken on these options. </w:t>
      </w:r>
      <w:r w:rsidR="00A178EB">
        <w:t xml:space="preserve">This is due to the market sensitivity of the </w:t>
      </w:r>
      <w:r w:rsidR="007D4F66">
        <w:t xml:space="preserve">options presented, and the risk of unacceptable market advantage that consultation </w:t>
      </w:r>
      <w:r w:rsidR="002F75B1">
        <w:t xml:space="preserve">prior to public announcement </w:t>
      </w:r>
      <w:r w:rsidR="007D4F66">
        <w:t>would pose. However, many stakeholders have expressed their public support for the recommended options</w:t>
      </w:r>
      <w:r w:rsidR="00EA3B3E">
        <w:t>.</w:t>
      </w:r>
      <w:r w:rsidR="007D4F66">
        <w:t xml:space="preserve"> </w:t>
      </w:r>
      <w:r w:rsidR="00346B49">
        <w:t>An extensive</w:t>
      </w:r>
      <w:r w:rsidR="001C539A">
        <w:t xml:space="preserve"> post-decision consultation would be required should the recommended options be agreed by Government</w:t>
      </w:r>
      <w:r w:rsidR="00FD39A1">
        <w:t xml:space="preserve">. </w:t>
      </w:r>
      <w:r w:rsidR="009779BD">
        <w:t xml:space="preserve">This </w:t>
      </w:r>
      <w:r w:rsidR="00FD39A1">
        <w:t xml:space="preserve">consultation would </w:t>
      </w:r>
      <w:r w:rsidR="0015779D">
        <w:t xml:space="preserve">consider </w:t>
      </w:r>
      <w:r w:rsidR="00FD39A1">
        <w:t xml:space="preserve">the impact of the changes on </w:t>
      </w:r>
      <w:r w:rsidR="00DE651A">
        <w:t>employers, superannuation funds</w:t>
      </w:r>
      <w:r w:rsidR="00F33B18">
        <w:t>, payroll providers</w:t>
      </w:r>
      <w:r w:rsidR="00DE651A">
        <w:t xml:space="preserve"> and </w:t>
      </w:r>
      <w:r w:rsidR="00446174">
        <w:t xml:space="preserve">superannuation </w:t>
      </w:r>
      <w:r w:rsidR="00FD39A1">
        <w:t>clearing houses.</w:t>
      </w:r>
    </w:p>
    <w:p w14:paraId="2F1B7832" w14:textId="17F2A68B" w:rsidR="00C51551" w:rsidRDefault="000604D5">
      <w:r>
        <w:t xml:space="preserve">The implementation of </w:t>
      </w:r>
      <w:r>
        <w:rPr>
          <w:rFonts w:eastAsia="Times New Roman"/>
          <w:bCs/>
          <w:lang w:eastAsia="en-AU"/>
        </w:rPr>
        <w:t>Option 2 and 3</w:t>
      </w:r>
      <w:r w:rsidR="008C25E9">
        <w:rPr>
          <w:rFonts w:eastAsia="Times New Roman"/>
          <w:bCs/>
          <w:lang w:eastAsia="en-AU"/>
        </w:rPr>
        <w:t>,</w:t>
      </w:r>
      <w:r>
        <w:rPr>
          <w:rFonts w:eastAsia="Times New Roman"/>
          <w:bCs/>
          <w:lang w:eastAsia="en-AU"/>
        </w:rPr>
        <w:t xml:space="preserve"> and </w:t>
      </w:r>
      <w:r w:rsidR="00B32A0C">
        <w:t xml:space="preserve">interim and </w:t>
      </w:r>
      <w:r w:rsidR="00752282">
        <w:t>improved</w:t>
      </w:r>
      <w:r w:rsidR="00B32A0C">
        <w:t xml:space="preserve"> targets</w:t>
      </w:r>
      <w:r w:rsidR="008C25E9">
        <w:t>,</w:t>
      </w:r>
      <w:r w:rsidR="00B32A0C">
        <w:t xml:space="preserve"> would enable the Government to </w:t>
      </w:r>
      <w:r>
        <w:t xml:space="preserve">achieve </w:t>
      </w:r>
      <w:r w:rsidR="00B32A0C">
        <w:t>their election commitment</w:t>
      </w:r>
      <w:r>
        <w:t>,</w:t>
      </w:r>
      <w:r w:rsidR="00FB186D">
        <w:t xml:space="preserve"> and </w:t>
      </w:r>
      <w:r w:rsidR="00AF7694">
        <w:t>ultimately improve retirement outcomes.</w:t>
      </w:r>
      <w:r w:rsidR="00C51551">
        <w:br w:type="page"/>
      </w:r>
    </w:p>
    <w:p w14:paraId="4BDEE151" w14:textId="7FB3815F" w:rsidR="00C51551" w:rsidRPr="00C51551" w:rsidRDefault="00C51551" w:rsidP="00B06750">
      <w:pPr>
        <w:pStyle w:val="Heading1"/>
        <w:rPr>
          <w:sz w:val="22"/>
        </w:rPr>
      </w:pPr>
      <w:bookmarkStart w:id="3" w:name="_Toc134198427"/>
      <w:r w:rsidRPr="00C51551">
        <w:t>Background</w:t>
      </w:r>
      <w:bookmarkEnd w:id="3"/>
    </w:p>
    <w:p w14:paraId="4A5F3FBF" w14:textId="395B9E4A" w:rsidR="00683EB8" w:rsidRDefault="00656E88" w:rsidP="00C622A7">
      <w:pPr>
        <w:pStyle w:val="Bullet"/>
        <w:numPr>
          <w:ilvl w:val="0"/>
          <w:numId w:val="0"/>
        </w:numPr>
      </w:pPr>
      <w:r>
        <w:t xml:space="preserve">During the 2022 election campaign, the Government made </w:t>
      </w:r>
      <w:r w:rsidR="00074182">
        <w:t xml:space="preserve">a </w:t>
      </w:r>
      <w:r>
        <w:t xml:space="preserve">public commitment to </w:t>
      </w:r>
      <w:r w:rsidR="001C3026">
        <w:t>set</w:t>
      </w:r>
      <w:r>
        <w:t xml:space="preserve"> unpaid superannuation recovery targets for the ATO</w:t>
      </w:r>
      <w:r w:rsidR="00D578AA">
        <w:t xml:space="preserve"> which would be made public and reported on annually. </w:t>
      </w:r>
      <w:r w:rsidR="00C62570">
        <w:t>T</w:t>
      </w:r>
      <w:r w:rsidR="001B6E7E">
        <w:t xml:space="preserve">he key intent of this election commitment was to </w:t>
      </w:r>
      <w:r w:rsidR="00D5012D">
        <w:t xml:space="preserve">reduce the amount of </w:t>
      </w:r>
      <w:r w:rsidR="00430980">
        <w:t>employer SG</w:t>
      </w:r>
      <w:r w:rsidR="008D4C72">
        <w:t xml:space="preserve"> obligations</w:t>
      </w:r>
      <w:r w:rsidR="00EB68BA">
        <w:t xml:space="preserve"> </w:t>
      </w:r>
      <w:r w:rsidR="00B37FFE">
        <w:t xml:space="preserve">either not paid or underpaid </w:t>
      </w:r>
      <w:r w:rsidR="00A00D08">
        <w:t xml:space="preserve">to employee superannuation accounts </w:t>
      </w:r>
      <w:r w:rsidR="00B37FFE">
        <w:t>each year</w:t>
      </w:r>
      <w:r w:rsidR="003D5834">
        <w:t xml:space="preserve">. </w:t>
      </w:r>
    </w:p>
    <w:p w14:paraId="45D7AD9C" w14:textId="3C46BE6A" w:rsidR="001B6E7E" w:rsidRDefault="00683EB8" w:rsidP="00C622A7">
      <w:pPr>
        <w:pStyle w:val="Bullet"/>
        <w:numPr>
          <w:ilvl w:val="0"/>
          <w:numId w:val="0"/>
        </w:numPr>
      </w:pPr>
      <w:r>
        <w:t>T</w:t>
      </w:r>
      <w:r w:rsidR="00712655">
        <w:t xml:space="preserve">his </w:t>
      </w:r>
      <w:r w:rsidR="00BA0EF5">
        <w:t>IA</w:t>
      </w:r>
      <w:r w:rsidR="0031633F">
        <w:t xml:space="preserve"> has been prepared by Treasury to </w:t>
      </w:r>
      <w:r w:rsidR="001A3792">
        <w:t>analyse</w:t>
      </w:r>
      <w:r w:rsidR="00226028">
        <w:t xml:space="preserve"> </w:t>
      </w:r>
      <w:r w:rsidR="00CA4E97">
        <w:t xml:space="preserve">options </w:t>
      </w:r>
      <w:r w:rsidR="00D22C63">
        <w:t xml:space="preserve">to address the issue </w:t>
      </w:r>
      <w:r w:rsidR="00A12717">
        <w:t xml:space="preserve">of unpaid SG </w:t>
      </w:r>
      <w:r w:rsidR="00F07281">
        <w:t xml:space="preserve">in preparation for consideration </w:t>
      </w:r>
      <w:r w:rsidR="00EF5090">
        <w:t xml:space="preserve">of these potential options </w:t>
      </w:r>
      <w:r w:rsidR="00A03FB9">
        <w:t xml:space="preserve">by the Government </w:t>
      </w:r>
      <w:r w:rsidR="00EF5090">
        <w:t xml:space="preserve">for inclusion </w:t>
      </w:r>
      <w:r w:rsidR="00A03FB9">
        <w:t xml:space="preserve">in </w:t>
      </w:r>
      <w:r w:rsidR="00EF5090">
        <w:t>the</w:t>
      </w:r>
      <w:r w:rsidR="00A03FB9">
        <w:t xml:space="preserve"> </w:t>
      </w:r>
      <w:r w:rsidR="00503AD2">
        <w:t>2023</w:t>
      </w:r>
      <w:r w:rsidR="00EF5090">
        <w:t>-24 Budget</w:t>
      </w:r>
      <w:r w:rsidR="00503AD2">
        <w:t>.</w:t>
      </w:r>
      <w:r w:rsidR="00846F7C">
        <w:t xml:space="preserve"> </w:t>
      </w:r>
      <w:r w:rsidR="00404760">
        <w:t xml:space="preserve">The options </w:t>
      </w:r>
      <w:r w:rsidR="001A3792">
        <w:t>analysed</w:t>
      </w:r>
      <w:r w:rsidR="00CA4E97">
        <w:t xml:space="preserve"> would </w:t>
      </w:r>
      <w:r w:rsidR="008B4544">
        <w:t xml:space="preserve">implement </w:t>
      </w:r>
      <w:r w:rsidR="00C97E91">
        <w:t xml:space="preserve">the setting of unpaid superannuation recovery targets for the ATO, alongside more comprehensive </w:t>
      </w:r>
      <w:r w:rsidR="6F580C62">
        <w:t>policy and administrative</w:t>
      </w:r>
      <w:r w:rsidR="00C97E91">
        <w:t xml:space="preserve"> changes that would address the struc</w:t>
      </w:r>
      <w:r w:rsidR="00330D44">
        <w:t xml:space="preserve">tural drivers of unpaid superannuation. </w:t>
      </w:r>
    </w:p>
    <w:p w14:paraId="74AD8A7C" w14:textId="77777777" w:rsidR="00155325" w:rsidRDefault="00404760" w:rsidP="001C3A73">
      <w:pPr>
        <w:pStyle w:val="Bullet"/>
        <w:numPr>
          <w:ilvl w:val="0"/>
          <w:numId w:val="0"/>
        </w:numPr>
      </w:pPr>
      <w:r>
        <w:t>This IA has been finalised by Treasury prior to th</w:t>
      </w:r>
      <w:r w:rsidR="00FE1588">
        <w:t xml:space="preserve">e Government making </w:t>
      </w:r>
      <w:r w:rsidR="003B41CD">
        <w:t>an</w:t>
      </w:r>
      <w:r>
        <w:t xml:space="preserve"> initial decision to </w:t>
      </w:r>
      <w:r w:rsidR="00D04359">
        <w:t xml:space="preserve">implement </w:t>
      </w:r>
      <w:r>
        <w:t xml:space="preserve">these options. </w:t>
      </w:r>
      <w:r w:rsidR="00B4616C">
        <w:t xml:space="preserve">The analysis is intended to inform </w:t>
      </w:r>
      <w:r w:rsidR="00F73D14">
        <w:t>the decision</w:t>
      </w:r>
      <w:r w:rsidR="00446A3F">
        <w:t xml:space="preserve"> </w:t>
      </w:r>
      <w:r w:rsidR="002936B4">
        <w:t xml:space="preserve">of Government to </w:t>
      </w:r>
      <w:r w:rsidR="00A153C3">
        <w:t>implement</w:t>
      </w:r>
      <w:r w:rsidR="005A5BCA">
        <w:t xml:space="preserve"> the options outlined</w:t>
      </w:r>
      <w:r w:rsidR="00EE5AA5">
        <w:t xml:space="preserve"> which </w:t>
      </w:r>
      <w:r w:rsidR="00514DCA">
        <w:t>would</w:t>
      </w:r>
      <w:r w:rsidR="006B2CA1">
        <w:t xml:space="preserve"> involve </w:t>
      </w:r>
      <w:r w:rsidR="00514DCA">
        <w:t>Government expenditure</w:t>
      </w:r>
      <w:r w:rsidR="0074156F">
        <w:t xml:space="preserve"> and</w:t>
      </w:r>
      <w:r w:rsidR="00AA52F9">
        <w:t xml:space="preserve"> </w:t>
      </w:r>
      <w:r w:rsidR="00514DCA">
        <w:t>amendments</w:t>
      </w:r>
      <w:r w:rsidR="00AA52F9">
        <w:t xml:space="preserve"> </w:t>
      </w:r>
      <w:r w:rsidR="0074156F">
        <w:t>to legislation</w:t>
      </w:r>
      <w:r w:rsidR="005A5BCA">
        <w:t>.</w:t>
      </w:r>
      <w:r w:rsidR="00D04359">
        <w:t xml:space="preserve"> </w:t>
      </w:r>
    </w:p>
    <w:p w14:paraId="5509DD81" w14:textId="3D11CD03" w:rsidR="00404760" w:rsidRDefault="004220FE" w:rsidP="001C3A73">
      <w:pPr>
        <w:pStyle w:val="Bullet"/>
        <w:numPr>
          <w:ilvl w:val="0"/>
          <w:numId w:val="0"/>
        </w:numPr>
      </w:pPr>
      <w:r>
        <w:t xml:space="preserve">If </w:t>
      </w:r>
      <w:r w:rsidR="00B124F4">
        <w:t xml:space="preserve">the </w:t>
      </w:r>
      <w:r>
        <w:t>Government proceed</w:t>
      </w:r>
      <w:r w:rsidR="008830FB">
        <w:t>s</w:t>
      </w:r>
      <w:r>
        <w:t xml:space="preserve"> with the </w:t>
      </w:r>
      <w:r w:rsidR="00190FFD">
        <w:t>recommended</w:t>
      </w:r>
      <w:r>
        <w:t xml:space="preserve"> options </w:t>
      </w:r>
      <w:r w:rsidR="00E709C7">
        <w:t xml:space="preserve">Treasury </w:t>
      </w:r>
      <w:r w:rsidR="004268A9">
        <w:t>would undertake further consultation and analysis on the</w:t>
      </w:r>
      <w:r w:rsidR="00A91D9A">
        <w:t>se proposals</w:t>
      </w:r>
      <w:r w:rsidR="004852E2">
        <w:t xml:space="preserve"> to inform future major decision points </w:t>
      </w:r>
      <w:r w:rsidR="00051CEB">
        <w:t xml:space="preserve">which may </w:t>
      </w:r>
      <w:r w:rsidR="004852E2">
        <w:t>includ</w:t>
      </w:r>
      <w:r w:rsidR="00051CEB">
        <w:t>e</w:t>
      </w:r>
      <w:r w:rsidR="00621F83">
        <w:t xml:space="preserve"> </w:t>
      </w:r>
      <w:r w:rsidR="00155325">
        <w:t>detailed</w:t>
      </w:r>
      <w:r w:rsidR="00621F83">
        <w:t xml:space="preserve"> policy design, </w:t>
      </w:r>
      <w:r w:rsidR="00051CEB">
        <w:t xml:space="preserve">further </w:t>
      </w:r>
      <w:r w:rsidR="00303FE0">
        <w:t xml:space="preserve">Government expenditure </w:t>
      </w:r>
      <w:r w:rsidR="00234DFA">
        <w:t>and the development of legislation.</w:t>
      </w:r>
      <w:r w:rsidR="004852E2">
        <w:t xml:space="preserve"> </w:t>
      </w:r>
    </w:p>
    <w:p w14:paraId="586316A4" w14:textId="1D6598E8" w:rsidR="00B96053" w:rsidRDefault="009F66C3" w:rsidP="00B96053">
      <w:pPr>
        <w:pStyle w:val="Heading3"/>
      </w:pPr>
      <w:bookmarkStart w:id="4" w:name="_Toc134198428"/>
      <w:r>
        <w:t>T</w:t>
      </w:r>
      <w:r w:rsidR="00C3316A" w:rsidRPr="00C3316A">
        <w:t>he Superannuation Guarantee (SG)</w:t>
      </w:r>
      <w:bookmarkEnd w:id="4"/>
    </w:p>
    <w:p w14:paraId="773B016A" w14:textId="63097C8F" w:rsidR="00D17602" w:rsidRDefault="00D17602" w:rsidP="00520287">
      <w:pPr>
        <w:pStyle w:val="Bullet"/>
        <w:numPr>
          <w:ilvl w:val="0"/>
          <w:numId w:val="0"/>
        </w:numPr>
      </w:pPr>
      <w:r>
        <w:t xml:space="preserve">The SG was introduced on 1 July 1992 with the enactment of the </w:t>
      </w:r>
      <w:r w:rsidRPr="00D17602">
        <w:rPr>
          <w:i/>
          <w:iCs/>
        </w:rPr>
        <w:t>Superannuation Guarantee (Administration) Act 1992</w:t>
      </w:r>
      <w:r>
        <w:t xml:space="preserve"> </w:t>
      </w:r>
      <w:r w:rsidR="001D16FB">
        <w:t xml:space="preserve">(SGA Act) </w:t>
      </w:r>
      <w:r>
        <w:t xml:space="preserve">and the </w:t>
      </w:r>
      <w:r w:rsidRPr="00D17602">
        <w:rPr>
          <w:i/>
          <w:iCs/>
        </w:rPr>
        <w:t>Superannuation Guarantee Charge Act 1992</w:t>
      </w:r>
      <w:r w:rsidR="001D16FB">
        <w:rPr>
          <w:i/>
          <w:iCs/>
        </w:rPr>
        <w:t xml:space="preserve"> </w:t>
      </w:r>
      <w:r w:rsidR="001D16FB" w:rsidRPr="001D16FB">
        <w:t>(SGC Act)</w:t>
      </w:r>
      <w:r>
        <w:t>.</w:t>
      </w:r>
    </w:p>
    <w:p w14:paraId="6326A91E" w14:textId="663AFE77" w:rsidR="0049291A" w:rsidRDefault="00B5720B">
      <w:pPr>
        <w:pStyle w:val="Bullet"/>
        <w:numPr>
          <w:ilvl w:val="0"/>
          <w:numId w:val="0"/>
        </w:numPr>
      </w:pPr>
      <w:r>
        <w:t>An employee</w:t>
      </w:r>
      <w:r w:rsidR="00CA73A1">
        <w:t>’</w:t>
      </w:r>
      <w:r>
        <w:t>s</w:t>
      </w:r>
      <w:r w:rsidR="0033797F">
        <w:t xml:space="preserve"> </w:t>
      </w:r>
      <w:r>
        <w:t>SG entitlement</w:t>
      </w:r>
      <w:r w:rsidR="0033797F">
        <w:t xml:space="preserve"> is</w:t>
      </w:r>
      <w:r>
        <w:t xml:space="preserve"> calculated </w:t>
      </w:r>
      <w:r w:rsidR="00F43425">
        <w:t xml:space="preserve">based </w:t>
      </w:r>
      <w:r>
        <w:t xml:space="preserve">on the employee’s </w:t>
      </w:r>
      <w:r w:rsidRPr="006B68D5">
        <w:t>ordinary time earnings (OTE)</w:t>
      </w:r>
      <w:r w:rsidR="007B4E41">
        <w:t xml:space="preserve"> for a given period</w:t>
      </w:r>
      <w:r w:rsidR="0033797F">
        <w:t xml:space="preserve"> </w:t>
      </w:r>
      <w:r w:rsidR="1755C00F">
        <w:t xml:space="preserve">multiplied </w:t>
      </w:r>
      <w:r w:rsidR="0033797F">
        <w:t>by the SG rate</w:t>
      </w:r>
      <w:r>
        <w:t>.</w:t>
      </w:r>
    </w:p>
    <w:p w14:paraId="15E3B364" w14:textId="3E4DC966" w:rsidR="0049291A" w:rsidRDefault="0049291A" w:rsidP="00946C3B">
      <w:pPr>
        <w:pStyle w:val="Bullet"/>
        <w:numPr>
          <w:ilvl w:val="0"/>
          <w:numId w:val="0"/>
        </w:numPr>
      </w:pPr>
      <w:r w:rsidRPr="006B68D5">
        <w:t>OTE</w:t>
      </w:r>
      <w:r w:rsidDel="0049291A">
        <w:t xml:space="preserve"> </w:t>
      </w:r>
      <w:r w:rsidR="5FFDB302">
        <w:t>refers to</w:t>
      </w:r>
      <w:r>
        <w:t xml:space="preserve"> the amounts earned for ‘ordinary hours of work’, which does not </w:t>
      </w:r>
      <w:r w:rsidR="00860036">
        <w:t>include</w:t>
      </w:r>
      <w:r>
        <w:t xml:space="preserve"> </w:t>
      </w:r>
      <w:r w:rsidR="00F46150">
        <w:t>payments related to overtime hours worked (for example, allowances and loadings</w:t>
      </w:r>
      <w:r w:rsidR="005B322A">
        <w:t xml:space="preserve"> only referable to overtime hours) and some forms of leave, such as</w:t>
      </w:r>
      <w:r>
        <w:t xml:space="preserve"> parental leave.</w:t>
      </w:r>
    </w:p>
    <w:p w14:paraId="12CBEF60" w14:textId="6464A762" w:rsidR="002D59B9" w:rsidRDefault="002D59B9" w:rsidP="00946C3B">
      <w:pPr>
        <w:pStyle w:val="Bullet"/>
        <w:numPr>
          <w:ilvl w:val="0"/>
          <w:numId w:val="0"/>
        </w:numPr>
      </w:pPr>
      <w:r>
        <w:t xml:space="preserve">Currently the SG rate is 10.5 per cent and is legislated to rise </w:t>
      </w:r>
      <w:r w:rsidR="00201E52">
        <w:t xml:space="preserve">by 0.5 percentage point per year until it reaches </w:t>
      </w:r>
      <w:r>
        <w:t xml:space="preserve">12 per cent </w:t>
      </w:r>
      <w:r w:rsidR="00201E52">
        <w:t xml:space="preserve">on </w:t>
      </w:r>
      <w:r>
        <w:t xml:space="preserve">1 July 2025. </w:t>
      </w:r>
      <w:r w:rsidR="00FE16F6">
        <w:t>S</w:t>
      </w:r>
      <w:r>
        <w:t xml:space="preserve">ome employees receive superannuation contributions </w:t>
      </w:r>
      <w:r w:rsidR="00B61F5E">
        <w:t>above</w:t>
      </w:r>
      <w:r w:rsidR="00FE16F6">
        <w:t xml:space="preserve"> the SG rate </w:t>
      </w:r>
      <w:r>
        <w:t xml:space="preserve">from their employers, such as those negotiated through enterprise agreements. </w:t>
      </w:r>
    </w:p>
    <w:p w14:paraId="6AF26479" w14:textId="477B9111" w:rsidR="00074C42" w:rsidRDefault="00074C42" w:rsidP="00A52EA7">
      <w:pPr>
        <w:pStyle w:val="Bullet"/>
        <w:numPr>
          <w:ilvl w:val="0"/>
          <w:numId w:val="0"/>
        </w:numPr>
      </w:pPr>
      <w:r>
        <w:t>Some</w:t>
      </w:r>
      <w:r w:rsidR="00B96053" w:rsidDel="006E4833">
        <w:t xml:space="preserve"> </w:t>
      </w:r>
      <w:r w:rsidR="00727602">
        <w:t xml:space="preserve">workers </w:t>
      </w:r>
      <w:r w:rsidR="00B96053">
        <w:t>are not covered by the SG</w:t>
      </w:r>
      <w:r w:rsidR="00E31880">
        <w:t xml:space="preserve"> including s</w:t>
      </w:r>
      <w:r w:rsidR="00B96053">
        <w:t>elf-employed people, employees who are under 18 and work less than 30 hours per week, and people who do work of a private or domestic nature for less than 30 hours per week</w:t>
      </w:r>
      <w:r w:rsidR="00E31880">
        <w:t>.</w:t>
      </w:r>
      <w:r w:rsidR="001151F2">
        <w:rPr>
          <w:rStyle w:val="FootnoteReference"/>
        </w:rPr>
        <w:footnoteReference w:id="2"/>
      </w:r>
    </w:p>
    <w:p w14:paraId="69CE785A" w14:textId="6A7905FA" w:rsidR="00074C42" w:rsidRDefault="00074C42" w:rsidP="00A52EA7">
      <w:pPr>
        <w:pStyle w:val="Bullet"/>
        <w:numPr>
          <w:ilvl w:val="0"/>
          <w:numId w:val="0"/>
        </w:numPr>
      </w:pPr>
      <w:r>
        <w:t>Under legislation, employers are required to pay</w:t>
      </w:r>
      <w:r w:rsidRPr="00F56334">
        <w:t xml:space="preserve"> </w:t>
      </w:r>
      <w:r>
        <w:t>SG</w:t>
      </w:r>
      <w:r w:rsidRPr="00F56334">
        <w:t xml:space="preserve"> </w:t>
      </w:r>
      <w:r>
        <w:t>entitlements</w:t>
      </w:r>
      <w:r w:rsidRPr="00F56334">
        <w:t xml:space="preserve"> to </w:t>
      </w:r>
      <w:r>
        <w:t xml:space="preserve">an employees’ superannuation account on at least a </w:t>
      </w:r>
      <w:r w:rsidRPr="00F56334">
        <w:t xml:space="preserve">quarterly </w:t>
      </w:r>
      <w:r>
        <w:t xml:space="preserve">basis. </w:t>
      </w:r>
      <w:r w:rsidRPr="00F56334">
        <w:t>Some superannuation funds, awards and contracts require superannuation to be paid more regularly (for example, monthly) than the minimum quarterly requirement.</w:t>
      </w:r>
    </w:p>
    <w:p w14:paraId="0D62BC57" w14:textId="4507080B" w:rsidR="009C540E" w:rsidRDefault="009C540E" w:rsidP="00773714">
      <w:pPr>
        <w:pStyle w:val="Heading3"/>
      </w:pPr>
      <w:bookmarkStart w:id="5" w:name="_Toc134198429"/>
      <w:r>
        <w:t xml:space="preserve">Administration </w:t>
      </w:r>
      <w:r w:rsidR="3BCF7C1C">
        <w:t xml:space="preserve">of </w:t>
      </w:r>
      <w:r>
        <w:t>the SG</w:t>
      </w:r>
      <w:bookmarkEnd w:id="5"/>
    </w:p>
    <w:p w14:paraId="333F3677" w14:textId="02B7581F" w:rsidR="00350247" w:rsidRDefault="00CE5335" w:rsidP="00645263">
      <w:pPr>
        <w:pStyle w:val="Bullet"/>
        <w:numPr>
          <w:ilvl w:val="0"/>
          <w:numId w:val="0"/>
        </w:numPr>
      </w:pPr>
      <w:r>
        <w:t xml:space="preserve">The administrative arrangements for the operation of the SG system are set out in </w:t>
      </w:r>
      <w:r w:rsidR="008F4ADD">
        <w:t xml:space="preserve">the </w:t>
      </w:r>
      <w:r w:rsidR="001D16FB">
        <w:t>SGA Act</w:t>
      </w:r>
      <w:r>
        <w:t>. The</w:t>
      </w:r>
      <w:r w:rsidR="00350247">
        <w:t xml:space="preserve"> Commissioner of Taxation is responsible for the day-to-day administration of the SGA</w:t>
      </w:r>
      <w:r w:rsidR="001D16FB">
        <w:t xml:space="preserve"> Act</w:t>
      </w:r>
      <w:r w:rsidR="00350247">
        <w:t xml:space="preserve">, and the ATO has a range of </w:t>
      </w:r>
      <w:r w:rsidR="00EE5DD3">
        <w:t xml:space="preserve">compliance </w:t>
      </w:r>
      <w:r w:rsidR="00350247">
        <w:t>responsibilities under it. These responsibilities include:</w:t>
      </w:r>
    </w:p>
    <w:p w14:paraId="2BB0F997" w14:textId="274E02E9" w:rsidR="00350247" w:rsidRDefault="00350247" w:rsidP="002D243E">
      <w:pPr>
        <w:pStyle w:val="Bullet"/>
      </w:pPr>
      <w:r>
        <w:t xml:space="preserve">educating employers and employees about their </w:t>
      </w:r>
      <w:r w:rsidR="001E4C92">
        <w:t xml:space="preserve">SG </w:t>
      </w:r>
      <w:r>
        <w:t>responsibilities</w:t>
      </w:r>
      <w:r w:rsidR="00970C9D">
        <w:t>,</w:t>
      </w:r>
    </w:p>
    <w:p w14:paraId="0D3BD21E" w14:textId="0861A5FA" w:rsidR="00350247" w:rsidRDefault="00350247" w:rsidP="002D243E">
      <w:pPr>
        <w:pStyle w:val="Bullet"/>
      </w:pPr>
      <w:r>
        <w:t xml:space="preserve">monitoring employer compliance with </w:t>
      </w:r>
      <w:r w:rsidR="003563C7">
        <w:t>the</w:t>
      </w:r>
      <w:r>
        <w:t xml:space="preserve"> SG obligations</w:t>
      </w:r>
      <w:r w:rsidR="00970C9D">
        <w:t>,</w:t>
      </w:r>
    </w:p>
    <w:p w14:paraId="1C9E2FCB" w14:textId="6B47766E" w:rsidR="00350247" w:rsidRDefault="00350247" w:rsidP="002D243E">
      <w:pPr>
        <w:pStyle w:val="Bullet"/>
      </w:pPr>
      <w:r>
        <w:t>the receipt and redistribution of the SG</w:t>
      </w:r>
      <w:r w:rsidR="00EE5DD3">
        <w:t xml:space="preserve"> charge</w:t>
      </w:r>
      <w:r w:rsidR="005423DA">
        <w:t xml:space="preserve"> (the penalty </w:t>
      </w:r>
      <w:r w:rsidR="00721C96">
        <w:t xml:space="preserve">paid by </w:t>
      </w:r>
      <w:r w:rsidR="005423DA">
        <w:t xml:space="preserve">employers </w:t>
      </w:r>
      <w:r w:rsidR="00721C96">
        <w:t xml:space="preserve">which </w:t>
      </w:r>
      <w:r w:rsidR="00F47C41">
        <w:t xml:space="preserve">do </w:t>
      </w:r>
      <w:r w:rsidR="005423DA">
        <w:t xml:space="preserve">not comply with their </w:t>
      </w:r>
      <w:r w:rsidR="00F47C41">
        <w:t xml:space="preserve">SG </w:t>
      </w:r>
      <w:r w:rsidR="005423DA">
        <w:t>obligations)</w:t>
      </w:r>
      <w:r w:rsidR="00970C9D">
        <w:t>,</w:t>
      </w:r>
      <w:r>
        <w:t xml:space="preserve"> and</w:t>
      </w:r>
    </w:p>
    <w:p w14:paraId="5376F59E" w14:textId="2F974D34" w:rsidR="00EE139C" w:rsidRPr="00C80106" w:rsidRDefault="00350247" w:rsidP="005F1F78">
      <w:pPr>
        <w:pStyle w:val="Bullet"/>
      </w:pPr>
      <w:r>
        <w:t>investigating employers for possible breaches of the</w:t>
      </w:r>
      <w:r w:rsidR="00F47C41">
        <w:t>ir</w:t>
      </w:r>
      <w:r>
        <w:t xml:space="preserve"> SG </w:t>
      </w:r>
      <w:r w:rsidR="00F47C41">
        <w:t>obligations</w:t>
      </w:r>
      <w:r>
        <w:t>.</w:t>
      </w:r>
    </w:p>
    <w:p w14:paraId="76B11025" w14:textId="7AC75087" w:rsidR="000028E8" w:rsidRDefault="000028E8" w:rsidP="00773714">
      <w:pPr>
        <w:pStyle w:val="Heading3"/>
      </w:pPr>
      <w:bookmarkStart w:id="6" w:name="_Toc134198430"/>
      <w:r>
        <w:t>Unpaid SG</w:t>
      </w:r>
      <w:bookmarkEnd w:id="6"/>
    </w:p>
    <w:p w14:paraId="4C08E109" w14:textId="326C172A" w:rsidR="001C2D87" w:rsidRDefault="001C2D87" w:rsidP="00C80106">
      <w:pPr>
        <w:pStyle w:val="Heading4"/>
      </w:pPr>
      <w:r>
        <w:t>What is unpaid</w:t>
      </w:r>
      <w:r w:rsidR="00C80106">
        <w:t xml:space="preserve"> SG?</w:t>
      </w:r>
    </w:p>
    <w:p w14:paraId="290293AD" w14:textId="77777777" w:rsidR="00564F66" w:rsidRDefault="00C93DC1" w:rsidP="005854DB">
      <w:pPr>
        <w:pStyle w:val="Bullet"/>
        <w:numPr>
          <w:ilvl w:val="0"/>
          <w:numId w:val="0"/>
        </w:numPr>
      </w:pPr>
      <w:r w:rsidRPr="00842F43">
        <w:t>Employers have an obligation under the</w:t>
      </w:r>
      <w:r w:rsidR="001D16FB">
        <w:t xml:space="preserve"> </w:t>
      </w:r>
      <w:r w:rsidR="001D16FB" w:rsidRPr="001D16FB">
        <w:t>SGA Act</w:t>
      </w:r>
      <w:r w:rsidR="001D16FB">
        <w:t xml:space="preserve"> and </w:t>
      </w:r>
      <w:r w:rsidR="00080EFB">
        <w:t xml:space="preserve">the </w:t>
      </w:r>
      <w:r w:rsidR="001D16FB" w:rsidRPr="001D16FB">
        <w:t>SGC Act</w:t>
      </w:r>
      <w:r w:rsidR="001D16FB">
        <w:t xml:space="preserve"> </w:t>
      </w:r>
      <w:r w:rsidRPr="00842F43">
        <w:t xml:space="preserve">to pay the correct </w:t>
      </w:r>
      <w:r>
        <w:t>SG</w:t>
      </w:r>
      <w:r w:rsidRPr="00842F43">
        <w:t xml:space="preserve"> entitlements on behalf of their eligible employees.</w:t>
      </w:r>
      <w:r>
        <w:t xml:space="preserve"> </w:t>
      </w:r>
    </w:p>
    <w:p w14:paraId="0497D9BA" w14:textId="456E0659" w:rsidR="000028E8" w:rsidRDefault="002D387C" w:rsidP="005854DB">
      <w:pPr>
        <w:pStyle w:val="Bullet"/>
        <w:numPr>
          <w:ilvl w:val="0"/>
          <w:numId w:val="0"/>
        </w:numPr>
      </w:pPr>
      <w:r>
        <w:t xml:space="preserve">If an employer does not pay the correct SG </w:t>
      </w:r>
      <w:r w:rsidR="005854DB" w:rsidRPr="00842F43">
        <w:t>entitlements</w:t>
      </w:r>
      <w:r>
        <w:t xml:space="preserve"> to an employee's nominated fund by the quarterly payment due date, they may be liable for the SG charge, payable to the ATO.</w:t>
      </w:r>
      <w:r w:rsidR="0060515D">
        <w:t xml:space="preserve"> </w:t>
      </w:r>
      <w:r w:rsidR="0090039D">
        <w:t>At this stage u</w:t>
      </w:r>
      <w:r w:rsidR="0060515D">
        <w:t xml:space="preserve">nder superannuation law unpaid SG becomes a </w:t>
      </w:r>
      <w:r w:rsidR="003D5834">
        <w:t xml:space="preserve">tax liability </w:t>
      </w:r>
      <w:r w:rsidR="0060515D">
        <w:t>to the Commonwealth.</w:t>
      </w:r>
    </w:p>
    <w:p w14:paraId="558E8D2C" w14:textId="09FDD049" w:rsidR="002D387C" w:rsidRDefault="3126A591" w:rsidP="000028E8">
      <w:pPr>
        <w:pStyle w:val="BodyText"/>
      </w:pPr>
      <w:r>
        <w:t>The SG</w:t>
      </w:r>
      <w:r w:rsidR="040615E9">
        <w:t xml:space="preserve"> charge</w:t>
      </w:r>
      <w:r>
        <w:t xml:space="preserve"> is made up of three components:</w:t>
      </w:r>
    </w:p>
    <w:p w14:paraId="5DEFC3A6" w14:textId="10F0D46F" w:rsidR="002D387C" w:rsidRDefault="002D387C" w:rsidP="002D243E">
      <w:pPr>
        <w:pStyle w:val="Bullet"/>
      </w:pPr>
      <w:r>
        <w:t>the shortfall amount (</w:t>
      </w:r>
      <w:r w:rsidR="008924A5">
        <w:t xml:space="preserve">that is, </w:t>
      </w:r>
      <w:r w:rsidR="00B958A2">
        <w:t>SG owing</w:t>
      </w:r>
      <w:r w:rsidR="001F2F9A">
        <w:t xml:space="preserve"> calculated </w:t>
      </w:r>
      <w:r w:rsidR="001558BD">
        <w:t xml:space="preserve">based </w:t>
      </w:r>
      <w:r w:rsidR="001F2F9A">
        <w:t>on salary and wages</w:t>
      </w:r>
      <w:r>
        <w:t>)</w:t>
      </w:r>
    </w:p>
    <w:p w14:paraId="203EDF02" w14:textId="28F66D15" w:rsidR="002D387C" w:rsidRDefault="002D387C" w:rsidP="002D243E">
      <w:pPr>
        <w:pStyle w:val="Bullet"/>
      </w:pPr>
      <w:r>
        <w:t xml:space="preserve">nominal interest </w:t>
      </w:r>
      <w:r w:rsidR="00F43B25">
        <w:t xml:space="preserve">to compensate the employee for lost earnings </w:t>
      </w:r>
      <w:r w:rsidR="00704952">
        <w:t>in their super</w:t>
      </w:r>
      <w:r w:rsidR="00CB04AF">
        <w:t>annuation</w:t>
      </w:r>
      <w:r w:rsidR="00704952">
        <w:t xml:space="preserve"> fund</w:t>
      </w:r>
      <w:r w:rsidR="00F43B25">
        <w:t xml:space="preserve"> </w:t>
      </w:r>
      <w:r>
        <w:t xml:space="preserve">(currently set at </w:t>
      </w:r>
      <w:r w:rsidR="001913DB">
        <w:t xml:space="preserve">a rate or </w:t>
      </w:r>
      <w:r>
        <w:t xml:space="preserve">10 per cent </w:t>
      </w:r>
      <w:r w:rsidR="00890D56">
        <w:t>per annum</w:t>
      </w:r>
      <w:r>
        <w:t>) and</w:t>
      </w:r>
    </w:p>
    <w:p w14:paraId="7D40EB54" w14:textId="26FE10C4" w:rsidR="002D387C" w:rsidRDefault="002D387C" w:rsidP="002D243E">
      <w:pPr>
        <w:pStyle w:val="Bullet"/>
      </w:pPr>
      <w:r>
        <w:t>an administration fee (currently $20 per employee, per quarter).</w:t>
      </w:r>
    </w:p>
    <w:p w14:paraId="46CAA727" w14:textId="007D9A67" w:rsidR="00C80106" w:rsidRDefault="00C80106" w:rsidP="00C80106">
      <w:pPr>
        <w:pStyle w:val="Heading4"/>
      </w:pPr>
      <w:r>
        <w:t>How is unpaid SG recovered?</w:t>
      </w:r>
    </w:p>
    <w:p w14:paraId="22E578C8" w14:textId="04949F3D" w:rsidR="00C80106" w:rsidRDefault="00C80106" w:rsidP="00C80106">
      <w:r w:rsidRPr="008B6B1B">
        <w:t xml:space="preserve">As part of the </w:t>
      </w:r>
      <w:r w:rsidR="009C29EC">
        <w:t xml:space="preserve">SG charge </w:t>
      </w:r>
      <w:r w:rsidRPr="008B6B1B">
        <w:t>collection process, the ATO negotiates with employers to come up with mutually satisfactory outcomes. This can include agreeing to enter a payment arrangement with the employer. If an agreement is unable to be reached, or if an agreement is reached but the payment arrangement defaults, the ATO will assess whether further negotiation with the employer is necessary, or whether the taxation compliance history of the employer dictates that they should proceed to stronger action.</w:t>
      </w:r>
    </w:p>
    <w:p w14:paraId="6589ABEE" w14:textId="51808A94" w:rsidR="00C80106" w:rsidRDefault="009946DC" w:rsidP="00C80106">
      <w:r>
        <w:t>From there, the ATO can use its administrative powers to issue director penalty notices and seek court ordered penalties</w:t>
      </w:r>
      <w:r w:rsidRPr="00182B4C">
        <w:t>.</w:t>
      </w:r>
      <w:r>
        <w:t xml:space="preserve"> </w:t>
      </w:r>
      <w:r w:rsidR="00C80106">
        <w:t>The ATO can issue director penalty notices to hold employers to account when they do not meet their superannuation obligations. They can also seek court</w:t>
      </w:r>
      <w:r w:rsidR="4EED0E63">
        <w:t>-</w:t>
      </w:r>
      <w:r w:rsidR="00C80106">
        <w:t xml:space="preserve">ordered penalties in the most egregious cases of non-payment, including up to 12 months jail for employers who are repeatedly caught but fail to pay </w:t>
      </w:r>
      <w:r w:rsidR="00547E80">
        <w:t>SG</w:t>
      </w:r>
      <w:r w:rsidR="00C80106">
        <w:t xml:space="preserve"> liabilities.</w:t>
      </w:r>
    </w:p>
    <w:p w14:paraId="6AB5037E" w14:textId="689AB895" w:rsidR="009917FB" w:rsidRDefault="00BA56D0" w:rsidP="009917FB">
      <w:pPr>
        <w:pStyle w:val="Heading4"/>
      </w:pPr>
      <w:r>
        <w:t>Wh</w:t>
      </w:r>
      <w:r w:rsidR="00C80106">
        <w:t>at happens if an</w:t>
      </w:r>
      <w:r>
        <w:t xml:space="preserve"> e</w:t>
      </w:r>
      <w:r w:rsidR="009917FB">
        <w:t xml:space="preserve">mployer </w:t>
      </w:r>
      <w:r>
        <w:t>identifies u</w:t>
      </w:r>
      <w:r w:rsidR="00372A07">
        <w:t>npaid S</w:t>
      </w:r>
      <w:r w:rsidR="00C80106">
        <w:t>G?</w:t>
      </w:r>
    </w:p>
    <w:p w14:paraId="58280D63" w14:textId="62B3D465" w:rsidR="002D5B29" w:rsidRDefault="00985430" w:rsidP="00B539D1">
      <w:r>
        <w:t>Where</w:t>
      </w:r>
      <w:r w:rsidR="000B6E9A">
        <w:t xml:space="preserve"> an employer identifies that they have underpaid SG to an employee</w:t>
      </w:r>
      <w:r>
        <w:t xml:space="preserve"> after</w:t>
      </w:r>
      <w:r w:rsidR="000D039F">
        <w:t xml:space="preserve"> the quarterly due date they need to</w:t>
      </w:r>
      <w:r w:rsidR="002D5B29">
        <w:t>:</w:t>
      </w:r>
    </w:p>
    <w:p w14:paraId="5564FB21" w14:textId="1479FA71" w:rsidR="002D5B29" w:rsidRDefault="006E31BC" w:rsidP="002D243E">
      <w:pPr>
        <w:pStyle w:val="Bullet"/>
      </w:pPr>
      <w:r>
        <w:t>calculate</w:t>
      </w:r>
      <w:r w:rsidR="00C13F1C">
        <w:t xml:space="preserve"> </w:t>
      </w:r>
      <w:r w:rsidR="00A06AD5">
        <w:t xml:space="preserve">the SG charge amount they owe </w:t>
      </w:r>
      <w:r w:rsidR="002D5B29">
        <w:t xml:space="preserve">and make </w:t>
      </w:r>
      <w:r w:rsidR="0020509F">
        <w:t>the</w:t>
      </w:r>
      <w:r w:rsidR="002D5B29">
        <w:t xml:space="preserve"> payment to the ATO</w:t>
      </w:r>
      <w:r w:rsidR="00C13F1C">
        <w:t>,</w:t>
      </w:r>
      <w:r w:rsidR="002D5B29">
        <w:t xml:space="preserve"> and</w:t>
      </w:r>
    </w:p>
    <w:p w14:paraId="03CE61B5" w14:textId="77777777" w:rsidR="002D5B29" w:rsidRDefault="00B17B38" w:rsidP="002D243E">
      <w:pPr>
        <w:pStyle w:val="Bullet"/>
      </w:pPr>
      <w:r>
        <w:t xml:space="preserve">lodge an SG charge statement </w:t>
      </w:r>
      <w:r w:rsidR="002D5B29">
        <w:t>with the ATO.</w:t>
      </w:r>
    </w:p>
    <w:p w14:paraId="3CD81521" w14:textId="0FD245F5" w:rsidR="00B539D1" w:rsidRDefault="009300F8" w:rsidP="00946C3B">
      <w:pPr>
        <w:pStyle w:val="Bullet"/>
        <w:numPr>
          <w:ilvl w:val="0"/>
          <w:numId w:val="0"/>
        </w:numPr>
      </w:pPr>
      <w:r w:rsidRPr="009300F8">
        <w:t>The due date for payment of the SG</w:t>
      </w:r>
      <w:r w:rsidR="007D76AF">
        <w:t xml:space="preserve"> charge</w:t>
      </w:r>
      <w:r w:rsidRPr="009300F8">
        <w:t xml:space="preserve"> and lodging </w:t>
      </w:r>
      <w:r w:rsidR="002D5B29">
        <w:t xml:space="preserve">of </w:t>
      </w:r>
      <w:r w:rsidRPr="009300F8">
        <w:t xml:space="preserve">the statement is one calendar month after the </w:t>
      </w:r>
      <w:r w:rsidR="002D5B29">
        <w:t>quart</w:t>
      </w:r>
      <w:r w:rsidR="00796A4A">
        <w:t>erly SG</w:t>
      </w:r>
      <w:r w:rsidRPr="009300F8">
        <w:t xml:space="preserve"> due date.</w:t>
      </w:r>
      <w:r w:rsidR="00F73599">
        <w:t xml:space="preserve"> </w:t>
      </w:r>
      <w:r w:rsidR="00B539D1">
        <w:t>The ATO then forwards the shortfall</w:t>
      </w:r>
      <w:r w:rsidR="009D53A5">
        <w:t xml:space="preserve"> amount</w:t>
      </w:r>
      <w:r w:rsidR="00B539D1">
        <w:t xml:space="preserve"> and nominal interest component </w:t>
      </w:r>
      <w:r w:rsidR="00F73599">
        <w:t xml:space="preserve">of the SG charge </w:t>
      </w:r>
      <w:r w:rsidR="00B539D1">
        <w:t>to the employee's superannuation fund.</w:t>
      </w:r>
    </w:p>
    <w:p w14:paraId="278E40EF" w14:textId="4A665D04" w:rsidR="00827AB8" w:rsidRDefault="00C80106" w:rsidP="00372A07">
      <w:pPr>
        <w:pStyle w:val="Heading4"/>
      </w:pPr>
      <w:r>
        <w:t>What happens if an</w:t>
      </w:r>
      <w:r w:rsidR="00372A07">
        <w:t xml:space="preserve"> employee identifies unpaid SG</w:t>
      </w:r>
      <w:r w:rsidR="00F20D15">
        <w:t>?</w:t>
      </w:r>
    </w:p>
    <w:p w14:paraId="37D03D04" w14:textId="30735617" w:rsidR="001D31F0" w:rsidRDefault="00CC6A73" w:rsidP="00B539D1">
      <w:r>
        <w:t>Where an employe</w:t>
      </w:r>
      <w:r w:rsidR="003A1E27">
        <w:t>e</w:t>
      </w:r>
      <w:r>
        <w:t xml:space="preserve"> identifies that they have </w:t>
      </w:r>
      <w:r w:rsidR="00091ABE">
        <w:t xml:space="preserve">been </w:t>
      </w:r>
      <w:r>
        <w:t xml:space="preserve">underpaid SG after the quarterly due date they can lodge </w:t>
      </w:r>
      <w:r w:rsidR="002D7084">
        <w:t>an enquiry (known as an employee notification or EN) with the ATO.</w:t>
      </w:r>
      <w:r w:rsidR="00AB13E1">
        <w:t xml:space="preserve"> </w:t>
      </w:r>
      <w:r w:rsidR="00375B4A" w:rsidRPr="00E54935">
        <w:t xml:space="preserve">When an employee lodges an </w:t>
      </w:r>
      <w:r w:rsidR="00325A72">
        <w:t>EN</w:t>
      </w:r>
      <w:r w:rsidR="00375B4A" w:rsidRPr="00E54935">
        <w:t xml:space="preserve"> with the ATO, </w:t>
      </w:r>
      <w:r w:rsidR="001D31F0">
        <w:t>the</w:t>
      </w:r>
      <w:r w:rsidR="00325A72">
        <w:t xml:space="preserve"> ATO</w:t>
      </w:r>
      <w:r w:rsidR="001D31F0">
        <w:t xml:space="preserve"> will commence an investigation on their behalf.</w:t>
      </w:r>
    </w:p>
    <w:p w14:paraId="4EAB34CC" w14:textId="365D1173" w:rsidR="007B1063" w:rsidRDefault="003C3BBB" w:rsidP="007B1063">
      <w:pPr>
        <w:spacing w:before="240"/>
      </w:pPr>
      <w:r>
        <w:t>The ATO w</w:t>
      </w:r>
      <w:r w:rsidR="0013103E">
        <w:t xml:space="preserve">ill then </w:t>
      </w:r>
      <w:r w:rsidR="00375B4A" w:rsidRPr="00E54935">
        <w:t>update</w:t>
      </w:r>
      <w:r w:rsidR="0013103E">
        <w:t xml:space="preserve"> the employee</w:t>
      </w:r>
      <w:r w:rsidR="00375B4A" w:rsidRPr="00E54935">
        <w:t xml:space="preserve"> on the progress of their complaint through a series of letters. The letters will generally advise the employee on the progress the ATO has made with the investigation of their unpaid superannuation complaint </w:t>
      </w:r>
      <w:r w:rsidR="00AD0281">
        <w:t>and</w:t>
      </w:r>
      <w:r w:rsidR="00375B4A" w:rsidRPr="00E54935">
        <w:t xml:space="preserve"> what steps are being taken to recover the unpaid </w:t>
      </w:r>
      <w:r w:rsidR="00AD34A1">
        <w:t>SG</w:t>
      </w:r>
      <w:r w:rsidR="00AD34A1" w:rsidRPr="00E54935">
        <w:t xml:space="preserve"> </w:t>
      </w:r>
      <w:r w:rsidR="00375B4A" w:rsidRPr="00E54935">
        <w:t>from their employer.</w:t>
      </w:r>
    </w:p>
    <w:p w14:paraId="0D92F659" w14:textId="7DE3EF2E" w:rsidR="005F1F78" w:rsidRDefault="00E80550" w:rsidP="00B539D1">
      <w:r>
        <w:t>Further, t</w:t>
      </w:r>
      <w:r w:rsidR="007B1063">
        <w:t xml:space="preserve">he </w:t>
      </w:r>
      <w:r w:rsidR="005F1F78">
        <w:t xml:space="preserve">Government announced in 2022 that it will legislate to include a right to the SG within the National Employment Standards (NES) which will give Australian workers the power to pursue their unpaid </w:t>
      </w:r>
      <w:r w:rsidR="002747C9">
        <w:t xml:space="preserve">SG </w:t>
      </w:r>
      <w:r w:rsidR="005F1F78">
        <w:t>as a workplace entitlement.</w:t>
      </w:r>
      <w:r w:rsidR="007B1063">
        <w:t xml:space="preserve"> </w:t>
      </w:r>
      <w:r w:rsidR="005F1F78">
        <w:t xml:space="preserve">The inclusion of </w:t>
      </w:r>
      <w:r w:rsidR="002747C9">
        <w:t xml:space="preserve">SG </w:t>
      </w:r>
      <w:r w:rsidR="005F1F78">
        <w:t xml:space="preserve">in the NES was recommended by the 2022 </w:t>
      </w:r>
      <w:r w:rsidR="005F1F78" w:rsidRPr="00B82729">
        <w:t>Senate Economics References Committee</w:t>
      </w:r>
      <w:r w:rsidR="005F1F78">
        <w:t>,</w:t>
      </w:r>
      <w:r w:rsidR="005F1F78" w:rsidRPr="00B82729">
        <w:t xml:space="preserve"> ‘</w:t>
      </w:r>
      <w:r w:rsidR="005F1F78" w:rsidRPr="00C622A7">
        <w:t>Systemic</w:t>
      </w:r>
      <w:r w:rsidR="005F1F78" w:rsidRPr="00B82729">
        <w:rPr>
          <w:i/>
          <w:iCs/>
        </w:rPr>
        <w:t>, sustained and shameful: Unlawful underpayment of employees’ remuneration’</w:t>
      </w:r>
      <w:r w:rsidR="005F1F78">
        <w:t>.</w:t>
      </w:r>
    </w:p>
    <w:p w14:paraId="51E0B345" w14:textId="130F20BD" w:rsidR="00372A07" w:rsidRDefault="00834661" w:rsidP="00372A07">
      <w:pPr>
        <w:pStyle w:val="Heading4"/>
      </w:pPr>
      <w:r>
        <w:t>What happens if</w:t>
      </w:r>
      <w:r w:rsidR="00372A07">
        <w:t xml:space="preserve"> the ATO identifies unpaid SG</w:t>
      </w:r>
      <w:r w:rsidR="00E61CF8">
        <w:t>?</w:t>
      </w:r>
    </w:p>
    <w:p w14:paraId="2A44BCE7" w14:textId="77777777" w:rsidR="003F7910" w:rsidRDefault="000436A3" w:rsidP="000E729D">
      <w:pPr>
        <w:pStyle w:val="Bullet"/>
        <w:numPr>
          <w:ilvl w:val="0"/>
          <w:numId w:val="0"/>
        </w:numPr>
      </w:pPr>
      <w:r w:rsidRPr="00F638FF">
        <w:t>The ATO completes self-initiated</w:t>
      </w:r>
      <w:r w:rsidR="00302DE3">
        <w:t xml:space="preserve">, </w:t>
      </w:r>
      <w:r w:rsidR="006841BE">
        <w:t xml:space="preserve">proactive </w:t>
      </w:r>
      <w:r w:rsidRPr="00F638FF">
        <w:t>SG compliance</w:t>
      </w:r>
      <w:r w:rsidR="005C3D5B">
        <w:t xml:space="preserve"> where they manually </w:t>
      </w:r>
      <w:r w:rsidR="00F638FF">
        <w:t>analyse data to identify</w:t>
      </w:r>
      <w:r w:rsidR="004B358B" w:rsidRPr="004B358B">
        <w:t xml:space="preserve"> </w:t>
      </w:r>
      <w:r w:rsidR="004B358B">
        <w:t>high-risk employers</w:t>
      </w:r>
      <w:r w:rsidR="00133DEE">
        <w:t xml:space="preserve"> (employers most likely to have unpaid SG)</w:t>
      </w:r>
      <w:r w:rsidR="00F638FF">
        <w:t>.</w:t>
      </w:r>
      <w:r w:rsidR="00454BB5">
        <w:t xml:space="preserve"> </w:t>
      </w:r>
      <w:r w:rsidR="00704952">
        <w:t>Where the ATO identifies</w:t>
      </w:r>
      <w:r w:rsidR="00C11756">
        <w:t xml:space="preserve"> that an SG obligation has been unpaid, they will contact the employer to review their records and advise them to submit an SG charge statement.</w:t>
      </w:r>
      <w:r w:rsidR="004102D4">
        <w:t xml:space="preserve"> </w:t>
      </w:r>
    </w:p>
    <w:p w14:paraId="43C60A0B" w14:textId="32315989" w:rsidR="00704952" w:rsidRDefault="004102D4" w:rsidP="000E729D">
      <w:pPr>
        <w:pStyle w:val="Bullet"/>
        <w:numPr>
          <w:ilvl w:val="0"/>
          <w:numId w:val="0"/>
        </w:numPr>
      </w:pPr>
      <w:r>
        <w:t xml:space="preserve">If an employer </w:t>
      </w:r>
      <w:r w:rsidR="00667409">
        <w:t>either contests th</w:t>
      </w:r>
      <w:r w:rsidR="00B11746">
        <w:t xml:space="preserve">at the obligations have been unpaid or </w:t>
      </w:r>
      <w:r w:rsidR="00646056">
        <w:t xml:space="preserve">otherwise does not comply, </w:t>
      </w:r>
      <w:r w:rsidR="00C1460B">
        <w:t xml:space="preserve">the ATO will undertake an SG audit and raise an SG charge assessment with additional penalties for not lodging the SG charge statement by the due date. </w:t>
      </w:r>
      <w:r w:rsidR="00B57018">
        <w:t>The</w:t>
      </w:r>
      <w:r w:rsidR="00940AEE">
        <w:t xml:space="preserve"> employer will </w:t>
      </w:r>
      <w:r w:rsidR="00624C38">
        <w:t xml:space="preserve">then </w:t>
      </w:r>
      <w:r w:rsidR="00A043BB">
        <w:t>pay an</w:t>
      </w:r>
      <w:r w:rsidR="00624C38">
        <w:t>y</w:t>
      </w:r>
      <w:r w:rsidR="00A043BB">
        <w:t xml:space="preserve"> SG charge accrued to the</w:t>
      </w:r>
      <w:r w:rsidR="00B57018">
        <w:t xml:space="preserve"> ATO </w:t>
      </w:r>
      <w:r w:rsidR="00A043BB">
        <w:t>who</w:t>
      </w:r>
      <w:r w:rsidR="00B57018">
        <w:t xml:space="preserve"> will remit </w:t>
      </w:r>
      <w:r w:rsidR="00624C38">
        <w:t>the</w:t>
      </w:r>
      <w:r w:rsidR="00B57018">
        <w:t xml:space="preserve"> shortfall and nominal interest </w:t>
      </w:r>
      <w:r w:rsidR="00624C38">
        <w:t xml:space="preserve">components </w:t>
      </w:r>
      <w:r w:rsidR="00B57018">
        <w:t>recovered to the employee.</w:t>
      </w:r>
      <w:r w:rsidR="00667409">
        <w:t xml:space="preserve"> </w:t>
      </w:r>
    </w:p>
    <w:p w14:paraId="07962D44" w14:textId="0A83AAA5" w:rsidR="002E7C19" w:rsidRPr="009F63DA" w:rsidRDefault="002E7C19" w:rsidP="000E729D">
      <w:pPr>
        <w:pStyle w:val="Bullet"/>
        <w:numPr>
          <w:ilvl w:val="0"/>
          <w:numId w:val="0"/>
        </w:numPr>
      </w:pPr>
      <w:r>
        <w:br w:type="page"/>
      </w:r>
    </w:p>
    <w:p w14:paraId="4961C231" w14:textId="42D51D3F" w:rsidR="00716A5F" w:rsidRPr="00A71755" w:rsidRDefault="00716A5F" w:rsidP="00A71755">
      <w:pPr>
        <w:pStyle w:val="Heading1"/>
      </w:pPr>
      <w:bookmarkStart w:id="7" w:name="_Toc134198431"/>
      <w:r w:rsidRPr="00A71755">
        <w:t>1. What is the problem you are trying to solve?</w:t>
      </w:r>
      <w:bookmarkEnd w:id="7"/>
    </w:p>
    <w:p w14:paraId="4F6664C7" w14:textId="09309E30" w:rsidR="00836925" w:rsidRDefault="00201E93" w:rsidP="00836925">
      <w:pPr>
        <w:pStyle w:val="Heading2"/>
      </w:pPr>
      <w:bookmarkStart w:id="8" w:name="_Toc134198432"/>
      <w:r>
        <w:t xml:space="preserve">1.1 </w:t>
      </w:r>
      <w:r w:rsidR="00836925">
        <w:t>Defining the problem</w:t>
      </w:r>
      <w:r w:rsidR="00206EBB">
        <w:t xml:space="preserve"> of unpaid SG</w:t>
      </w:r>
      <w:bookmarkEnd w:id="8"/>
    </w:p>
    <w:p w14:paraId="5C060D5A" w14:textId="1934F3FC" w:rsidR="00CF4E6D" w:rsidRDefault="00CF4E6D" w:rsidP="00D74A5B">
      <w:pPr>
        <w:pStyle w:val="Heading3"/>
      </w:pPr>
      <w:bookmarkStart w:id="9" w:name="_Toc134198433"/>
      <w:r>
        <w:t>The SG gap</w:t>
      </w:r>
      <w:bookmarkEnd w:id="9"/>
    </w:p>
    <w:p w14:paraId="3CAAEE14" w14:textId="0D4B2DC8" w:rsidR="009B1541" w:rsidRDefault="0027688A" w:rsidP="008A3A45">
      <w:pPr>
        <w:pStyle w:val="Bullet"/>
        <w:numPr>
          <w:ilvl w:val="0"/>
          <w:numId w:val="0"/>
        </w:numPr>
      </w:pPr>
      <w:r>
        <w:t>The SG gap is a measurement of the total amount of the SG owed to employees that has not been paid by their employer.</w:t>
      </w:r>
      <w:r w:rsidR="0071442F" w:rsidRPr="0071442F">
        <w:t xml:space="preserve"> </w:t>
      </w:r>
      <w:r w:rsidR="0071442F">
        <w:t>The unpaid SG gap is an estimate of the difference between the amount of SG that is paid and what would have been paid if every employer was fully compliant with their obligations.</w:t>
      </w:r>
      <w:r>
        <w:t xml:space="preserve"> The ATO has measured the gap ‘top-down’, using economy-wide data to provide a national figure. The top-down measurement does not indicate the number of employees affected or the average amount of superannuation lost per person.</w:t>
      </w:r>
    </w:p>
    <w:p w14:paraId="08B301B7" w14:textId="3E9B1DE7" w:rsidR="004D62B2" w:rsidRDefault="000733E0" w:rsidP="00946C3B">
      <w:pPr>
        <w:pStyle w:val="Bullet"/>
        <w:numPr>
          <w:ilvl w:val="0"/>
          <w:numId w:val="0"/>
        </w:numPr>
      </w:pPr>
      <w:r>
        <w:t>As shown in Table 1, l</w:t>
      </w:r>
      <w:r w:rsidR="0F41B9AA">
        <w:t xml:space="preserve">atest ATO estimates put the SG gap at 5.9 per cent in 2019-20 before </w:t>
      </w:r>
      <w:r w:rsidR="130F92D2">
        <w:t xml:space="preserve">ATO </w:t>
      </w:r>
      <w:r w:rsidR="0F41B9AA">
        <w:t>compliance activities</w:t>
      </w:r>
      <w:r w:rsidR="32614486">
        <w:t xml:space="preserve"> (the gross SG gap)</w:t>
      </w:r>
      <w:r w:rsidR="130F92D2">
        <w:t>,</w:t>
      </w:r>
      <w:r w:rsidR="0F41B9AA">
        <w:t xml:space="preserve"> or at 4.9</w:t>
      </w:r>
      <w:r w:rsidR="4535B1D8">
        <w:t> </w:t>
      </w:r>
      <w:r w:rsidR="0F41B9AA">
        <w:t>per</w:t>
      </w:r>
      <w:r w:rsidR="4535B1D8">
        <w:t> </w:t>
      </w:r>
      <w:r w:rsidR="0F41B9AA">
        <w:t xml:space="preserve">cent after compliance activities (the net SG gap). </w:t>
      </w:r>
      <w:r w:rsidR="388C1E0B">
        <w:t>Over six years</w:t>
      </w:r>
      <w:r w:rsidR="008C1771">
        <w:t xml:space="preserve"> from 2014-15 to 2019-20</w:t>
      </w:r>
      <w:r w:rsidR="388C1E0B">
        <w:t xml:space="preserve">, the </w:t>
      </w:r>
      <w:r w:rsidR="03790F85">
        <w:t>gross SG gap has fallen from 6.9 per cent ($3.</w:t>
      </w:r>
      <w:r w:rsidR="21E9F95F">
        <w:t>9</w:t>
      </w:r>
      <w:r w:rsidR="03790F85">
        <w:t xml:space="preserve"> billion) to 5.9 per cent ($</w:t>
      </w:r>
      <w:r w:rsidR="717407C0">
        <w:t>4.0</w:t>
      </w:r>
      <w:r w:rsidR="03790F85">
        <w:t xml:space="preserve"> billion).</w:t>
      </w:r>
      <w:r w:rsidR="4010BBC5">
        <w:t xml:space="preserve"> The </w:t>
      </w:r>
      <w:r w:rsidR="388C1E0B">
        <w:t>net SG gap has fallen from 6.</w:t>
      </w:r>
      <w:r w:rsidR="4528A196">
        <w:t>0</w:t>
      </w:r>
      <w:r w:rsidR="388C1E0B">
        <w:t xml:space="preserve"> per cent</w:t>
      </w:r>
      <w:r w:rsidR="45C64C9E">
        <w:t xml:space="preserve"> ($3.</w:t>
      </w:r>
      <w:r w:rsidR="009D6BDE">
        <w:t>4</w:t>
      </w:r>
      <w:r w:rsidR="45C64C9E">
        <w:t xml:space="preserve"> billion)</w:t>
      </w:r>
      <w:r w:rsidR="388C1E0B">
        <w:t xml:space="preserve"> to </w:t>
      </w:r>
      <w:r w:rsidR="4528A196">
        <w:t>4</w:t>
      </w:r>
      <w:r w:rsidR="388C1E0B">
        <w:t xml:space="preserve">.9 per cent </w:t>
      </w:r>
      <w:r w:rsidR="45C64C9E">
        <w:t>($3.</w:t>
      </w:r>
      <w:r w:rsidR="009D6BDE">
        <w:t>4</w:t>
      </w:r>
      <w:r w:rsidR="45C64C9E">
        <w:t xml:space="preserve"> billion)</w:t>
      </w:r>
      <w:r w:rsidR="00FC56E9">
        <w:t xml:space="preserve"> in this period</w:t>
      </w:r>
      <w:r w:rsidR="45C64C9E">
        <w:t>.</w:t>
      </w:r>
      <w:r w:rsidR="3ED0A995" w:rsidRPr="577AC5AD">
        <w:rPr>
          <w:rStyle w:val="FootnoteReference"/>
          <w:rFonts w:asciiTheme="minorHAnsi" w:eastAsia="Times New Roman" w:hAnsiTheme="minorHAnsi" w:cstheme="minorBidi"/>
          <w:b/>
          <w:bCs/>
          <w:lang w:eastAsia="en-AU"/>
        </w:rPr>
        <w:t xml:space="preserve"> </w:t>
      </w:r>
      <w:r w:rsidR="003B49CD" w:rsidRPr="577AC5AD">
        <w:rPr>
          <w:rStyle w:val="FootnoteReference"/>
          <w:rFonts w:asciiTheme="minorHAnsi" w:eastAsia="Times New Roman" w:hAnsiTheme="minorHAnsi" w:cstheme="minorBidi"/>
          <w:lang w:eastAsia="en-AU"/>
        </w:rPr>
        <w:footnoteReference w:id="3"/>
      </w:r>
    </w:p>
    <w:p w14:paraId="6575D7B4" w14:textId="7E024C0A" w:rsidR="00642ED4" w:rsidRPr="002F160F" w:rsidRDefault="002F7815" w:rsidP="00642ED4">
      <w:pPr>
        <w:pStyle w:val="Bullet"/>
        <w:numPr>
          <w:ilvl w:val="0"/>
          <w:numId w:val="0"/>
        </w:numPr>
        <w:tabs>
          <w:tab w:val="num" w:pos="567"/>
        </w:tabs>
        <w:rPr>
          <w:rFonts w:asciiTheme="majorHAnsi" w:eastAsiaTheme="minorHAnsi" w:hAnsiTheme="majorHAnsi" w:cstheme="minorBidi"/>
          <w:b/>
          <w:color w:val="014463" w:themeColor="text2"/>
          <w:szCs w:val="18"/>
          <w:vertAlign w:val="superscript"/>
          <w:lang w:val="en-AU"/>
        </w:rPr>
      </w:pPr>
      <w:r w:rsidRPr="00642ED4">
        <w:rPr>
          <w:rFonts w:asciiTheme="majorHAnsi" w:eastAsiaTheme="minorHAnsi" w:hAnsiTheme="majorHAnsi" w:cstheme="minorBidi"/>
          <w:b/>
          <w:iCs/>
          <w:color w:val="014463" w:themeColor="text2"/>
          <w:szCs w:val="18"/>
          <w:lang w:val="en-AU"/>
        </w:rPr>
        <w:t xml:space="preserve">Table </w:t>
      </w:r>
      <w:r w:rsidRPr="00642ED4">
        <w:rPr>
          <w:rFonts w:asciiTheme="majorHAnsi" w:eastAsiaTheme="minorHAnsi" w:hAnsiTheme="majorHAnsi" w:cstheme="minorBidi"/>
          <w:b/>
          <w:iCs/>
          <w:color w:val="014463" w:themeColor="text2"/>
          <w:szCs w:val="18"/>
          <w:lang w:val="en-AU"/>
        </w:rPr>
        <w:fldChar w:fldCharType="begin"/>
      </w:r>
      <w:r w:rsidRPr="00642ED4">
        <w:rPr>
          <w:rFonts w:asciiTheme="majorHAnsi" w:eastAsiaTheme="minorHAnsi" w:hAnsiTheme="majorHAnsi" w:cstheme="minorBidi"/>
          <w:b/>
          <w:iCs/>
          <w:color w:val="014463" w:themeColor="text2"/>
          <w:szCs w:val="18"/>
          <w:lang w:val="en-AU"/>
        </w:rPr>
        <w:instrText>SEQ Table \* ARABIC</w:instrText>
      </w:r>
      <w:r w:rsidRPr="00642ED4">
        <w:rPr>
          <w:rFonts w:asciiTheme="majorHAnsi" w:eastAsiaTheme="minorHAnsi" w:hAnsiTheme="majorHAnsi" w:cstheme="minorBidi"/>
          <w:b/>
          <w:iCs/>
          <w:color w:val="014463" w:themeColor="text2"/>
          <w:szCs w:val="18"/>
          <w:lang w:val="en-AU"/>
        </w:rPr>
        <w:fldChar w:fldCharType="separate"/>
      </w:r>
      <w:r w:rsidR="005A3A72">
        <w:rPr>
          <w:rFonts w:asciiTheme="majorHAnsi" w:eastAsiaTheme="minorHAnsi" w:hAnsiTheme="majorHAnsi" w:cstheme="minorBidi"/>
          <w:b/>
          <w:iCs/>
          <w:noProof/>
          <w:color w:val="014463" w:themeColor="text2"/>
          <w:szCs w:val="18"/>
          <w:lang w:val="en-AU"/>
        </w:rPr>
        <w:t>1</w:t>
      </w:r>
      <w:r w:rsidRPr="00642ED4">
        <w:rPr>
          <w:rFonts w:asciiTheme="majorHAnsi" w:eastAsiaTheme="minorHAnsi" w:hAnsiTheme="majorHAnsi" w:cstheme="minorBidi"/>
          <w:b/>
          <w:iCs/>
          <w:color w:val="014463" w:themeColor="text2"/>
          <w:szCs w:val="18"/>
          <w:lang w:val="en-AU"/>
        </w:rPr>
        <w:fldChar w:fldCharType="end"/>
      </w:r>
      <w:r w:rsidRPr="00642ED4">
        <w:rPr>
          <w:rFonts w:asciiTheme="majorHAnsi" w:eastAsiaTheme="minorHAnsi" w:hAnsiTheme="majorHAnsi" w:cstheme="minorBidi"/>
          <w:b/>
          <w:iCs/>
          <w:color w:val="014463" w:themeColor="text2"/>
          <w:szCs w:val="18"/>
          <w:lang w:val="en-AU"/>
        </w:rPr>
        <w:t xml:space="preserve">. </w:t>
      </w:r>
      <w:r w:rsidR="00642ED4" w:rsidRPr="00642ED4">
        <w:rPr>
          <w:rFonts w:asciiTheme="majorHAnsi" w:eastAsiaTheme="minorHAnsi" w:hAnsiTheme="majorHAnsi" w:cstheme="minorBidi"/>
          <w:b/>
          <w:iCs/>
          <w:color w:val="014463" w:themeColor="text2"/>
          <w:szCs w:val="18"/>
          <w:lang w:val="en-AU"/>
        </w:rPr>
        <w:t>Super</w:t>
      </w:r>
      <w:r w:rsidR="001E4912">
        <w:rPr>
          <w:rFonts w:asciiTheme="majorHAnsi" w:eastAsiaTheme="minorHAnsi" w:hAnsiTheme="majorHAnsi" w:cstheme="minorBidi"/>
          <w:b/>
          <w:iCs/>
          <w:color w:val="014463" w:themeColor="text2"/>
          <w:szCs w:val="18"/>
          <w:lang w:val="en-AU"/>
        </w:rPr>
        <w:t>annuation</w:t>
      </w:r>
      <w:r w:rsidR="00642ED4" w:rsidRPr="00642ED4">
        <w:rPr>
          <w:rFonts w:asciiTheme="majorHAnsi" w:eastAsiaTheme="minorHAnsi" w:hAnsiTheme="majorHAnsi" w:cstheme="minorBidi"/>
          <w:b/>
          <w:iCs/>
          <w:color w:val="014463" w:themeColor="text2"/>
          <w:szCs w:val="18"/>
          <w:lang w:val="en-AU"/>
        </w:rPr>
        <w:t xml:space="preserve"> </w:t>
      </w:r>
      <w:r w:rsidR="00942C78">
        <w:rPr>
          <w:rFonts w:asciiTheme="majorHAnsi" w:eastAsiaTheme="minorHAnsi" w:hAnsiTheme="majorHAnsi" w:cstheme="minorBidi"/>
          <w:b/>
          <w:iCs/>
          <w:color w:val="014463" w:themeColor="text2"/>
          <w:szCs w:val="18"/>
          <w:lang w:val="en-AU"/>
        </w:rPr>
        <w:t>G</w:t>
      </w:r>
      <w:r w:rsidR="00642ED4" w:rsidRPr="00642ED4">
        <w:rPr>
          <w:rFonts w:asciiTheme="majorHAnsi" w:eastAsiaTheme="minorHAnsi" w:hAnsiTheme="majorHAnsi" w:cstheme="minorBidi"/>
          <w:b/>
          <w:iCs/>
          <w:color w:val="014463" w:themeColor="text2"/>
          <w:szCs w:val="18"/>
          <w:lang w:val="en-AU"/>
        </w:rPr>
        <w:t>uarantee gap, 2014–15 to 2019–20</w:t>
      </w:r>
      <w:r w:rsidR="001E4912">
        <w:rPr>
          <w:rFonts w:asciiTheme="majorHAnsi" w:eastAsiaTheme="minorHAnsi" w:hAnsiTheme="majorHAnsi" w:cstheme="minorBidi"/>
          <w:b/>
          <w:iCs/>
          <w:color w:val="014463" w:themeColor="text2"/>
          <w:szCs w:val="18"/>
          <w:lang w:val="en-AU"/>
        </w:rPr>
        <w:t>20</w:t>
      </w:r>
      <w:r w:rsidR="00642ED4">
        <w:rPr>
          <w:rStyle w:val="FootnoteReference"/>
          <w:rFonts w:asciiTheme="majorHAnsi" w:eastAsiaTheme="minorHAnsi" w:hAnsiTheme="majorHAnsi" w:cstheme="minorBidi"/>
          <w:b/>
          <w:color w:val="014463" w:themeColor="text2"/>
          <w:szCs w:val="18"/>
          <w:lang w:val="en-AU"/>
        </w:rPr>
        <w:footnoteReference w:id="4"/>
      </w:r>
    </w:p>
    <w:tbl>
      <w:tblPr>
        <w:tblStyle w:val="PMCDefaultTableStyle"/>
        <w:tblW w:w="0" w:type="auto"/>
        <w:jc w:val="center"/>
        <w:tblLook w:val="0620" w:firstRow="1" w:lastRow="0" w:firstColumn="0" w:lastColumn="0" w:noHBand="1" w:noVBand="1"/>
      </w:tblPr>
      <w:tblGrid>
        <w:gridCol w:w="2223"/>
        <w:gridCol w:w="1303"/>
        <w:gridCol w:w="1303"/>
        <w:gridCol w:w="1303"/>
        <w:gridCol w:w="1303"/>
        <w:gridCol w:w="1303"/>
        <w:gridCol w:w="1303"/>
      </w:tblGrid>
      <w:tr w:rsidR="002F7815" w:rsidRPr="00642ED4" w14:paraId="52E79884" w14:textId="77777777" w:rsidTr="00946C3B">
        <w:trPr>
          <w:cnfStyle w:val="100000000000" w:firstRow="1" w:lastRow="0" w:firstColumn="0" w:lastColumn="0" w:oddVBand="0" w:evenVBand="0" w:oddHBand="0" w:evenHBand="0" w:firstRowFirstColumn="0" w:firstRowLastColumn="0" w:lastRowFirstColumn="0" w:lastRowLastColumn="0"/>
          <w:trHeight w:val="197"/>
          <w:jc w:val="center"/>
        </w:trPr>
        <w:tc>
          <w:tcPr>
            <w:tcW w:w="2223" w:type="dxa"/>
          </w:tcPr>
          <w:p w14:paraId="65AAF17B" w14:textId="77777777" w:rsidR="002F7815" w:rsidRPr="00946C3B" w:rsidRDefault="002F7815" w:rsidP="002F7815">
            <w:pPr>
              <w:pStyle w:val="BodyText"/>
              <w:rPr>
                <w:rFonts w:asciiTheme="minorHAnsi" w:hAnsiTheme="minorHAnsi" w:cstheme="minorHAnsi"/>
                <w:sz w:val="18"/>
                <w:szCs w:val="18"/>
              </w:rPr>
            </w:pPr>
          </w:p>
        </w:tc>
        <w:tc>
          <w:tcPr>
            <w:tcW w:w="1303" w:type="dxa"/>
            <w:vAlign w:val="center"/>
          </w:tcPr>
          <w:p w14:paraId="56032DFB" w14:textId="59C178BA" w:rsidR="002F7815" w:rsidRPr="00946C3B" w:rsidRDefault="002F7815" w:rsidP="00946C3B">
            <w:pPr>
              <w:pStyle w:val="BodyText"/>
              <w:rPr>
                <w:rFonts w:asciiTheme="minorHAnsi" w:hAnsiTheme="minorHAnsi" w:cstheme="minorHAnsi"/>
                <w:sz w:val="18"/>
                <w:szCs w:val="18"/>
              </w:rPr>
            </w:pPr>
            <w:r w:rsidRPr="00946C3B">
              <w:rPr>
                <w:rFonts w:eastAsia="Times New Roman" w:cstheme="minorHAnsi"/>
                <w:sz w:val="18"/>
                <w:szCs w:val="18"/>
                <w:lang w:eastAsia="en-AU"/>
              </w:rPr>
              <w:t>2014–15</w:t>
            </w:r>
          </w:p>
        </w:tc>
        <w:tc>
          <w:tcPr>
            <w:tcW w:w="1303" w:type="dxa"/>
            <w:vAlign w:val="center"/>
          </w:tcPr>
          <w:p w14:paraId="00090905" w14:textId="6E416856" w:rsidR="002F7815" w:rsidRPr="00946C3B" w:rsidRDefault="002F7815" w:rsidP="00946C3B">
            <w:pPr>
              <w:pStyle w:val="BodyText"/>
              <w:rPr>
                <w:rFonts w:asciiTheme="minorHAnsi" w:hAnsiTheme="minorHAnsi" w:cstheme="minorHAnsi"/>
                <w:sz w:val="18"/>
                <w:szCs w:val="18"/>
              </w:rPr>
            </w:pPr>
            <w:r w:rsidRPr="00946C3B">
              <w:rPr>
                <w:rFonts w:eastAsia="Times New Roman" w:cstheme="minorHAnsi"/>
                <w:sz w:val="18"/>
                <w:szCs w:val="18"/>
                <w:lang w:eastAsia="en-AU"/>
              </w:rPr>
              <w:t>2015–16</w:t>
            </w:r>
          </w:p>
        </w:tc>
        <w:tc>
          <w:tcPr>
            <w:tcW w:w="1303" w:type="dxa"/>
            <w:vAlign w:val="center"/>
          </w:tcPr>
          <w:p w14:paraId="4ABF94A4" w14:textId="3AB98FDC" w:rsidR="002F7815" w:rsidRPr="00946C3B" w:rsidRDefault="002F7815" w:rsidP="00946C3B">
            <w:pPr>
              <w:pStyle w:val="BodyText"/>
              <w:rPr>
                <w:rFonts w:asciiTheme="minorHAnsi" w:hAnsiTheme="minorHAnsi" w:cstheme="minorHAnsi"/>
                <w:sz w:val="18"/>
                <w:szCs w:val="18"/>
              </w:rPr>
            </w:pPr>
            <w:r w:rsidRPr="00946C3B">
              <w:rPr>
                <w:rFonts w:eastAsia="Times New Roman" w:cstheme="minorHAnsi"/>
                <w:sz w:val="18"/>
                <w:szCs w:val="18"/>
                <w:lang w:eastAsia="en-AU"/>
              </w:rPr>
              <w:t>2016–17</w:t>
            </w:r>
          </w:p>
        </w:tc>
        <w:tc>
          <w:tcPr>
            <w:tcW w:w="1303" w:type="dxa"/>
            <w:vAlign w:val="center"/>
          </w:tcPr>
          <w:p w14:paraId="32B6425A" w14:textId="114A7356" w:rsidR="002F7815" w:rsidRPr="00946C3B" w:rsidRDefault="002F7815" w:rsidP="00946C3B">
            <w:pPr>
              <w:pStyle w:val="BodyText"/>
              <w:rPr>
                <w:rFonts w:asciiTheme="minorHAnsi" w:hAnsiTheme="minorHAnsi" w:cstheme="minorHAnsi"/>
                <w:sz w:val="18"/>
                <w:szCs w:val="18"/>
              </w:rPr>
            </w:pPr>
            <w:r w:rsidRPr="00946C3B">
              <w:rPr>
                <w:rFonts w:eastAsia="Times New Roman" w:cstheme="minorHAnsi"/>
                <w:sz w:val="18"/>
                <w:szCs w:val="18"/>
                <w:lang w:eastAsia="en-AU"/>
              </w:rPr>
              <w:t>2017–18</w:t>
            </w:r>
          </w:p>
        </w:tc>
        <w:tc>
          <w:tcPr>
            <w:tcW w:w="1303" w:type="dxa"/>
            <w:vAlign w:val="center"/>
          </w:tcPr>
          <w:p w14:paraId="151C4A51" w14:textId="18B6DAA3" w:rsidR="002F7815" w:rsidRPr="00946C3B" w:rsidRDefault="002F7815" w:rsidP="00946C3B">
            <w:pPr>
              <w:pStyle w:val="BodyText"/>
              <w:rPr>
                <w:rFonts w:asciiTheme="minorHAnsi" w:hAnsiTheme="minorHAnsi" w:cstheme="minorHAnsi"/>
                <w:sz w:val="18"/>
                <w:szCs w:val="18"/>
              </w:rPr>
            </w:pPr>
            <w:r w:rsidRPr="00946C3B">
              <w:rPr>
                <w:rFonts w:eastAsia="Times New Roman" w:cstheme="minorHAnsi"/>
                <w:sz w:val="18"/>
                <w:szCs w:val="18"/>
                <w:lang w:eastAsia="en-AU"/>
              </w:rPr>
              <w:t>2018–19</w:t>
            </w:r>
          </w:p>
        </w:tc>
        <w:tc>
          <w:tcPr>
            <w:tcW w:w="1303" w:type="dxa"/>
            <w:vAlign w:val="center"/>
          </w:tcPr>
          <w:p w14:paraId="795BD42C" w14:textId="08A78DCD" w:rsidR="002F7815" w:rsidRPr="00946C3B" w:rsidRDefault="002F7815" w:rsidP="00946C3B">
            <w:pPr>
              <w:pStyle w:val="BodyText"/>
              <w:rPr>
                <w:rFonts w:asciiTheme="minorHAnsi" w:hAnsiTheme="minorHAnsi" w:cstheme="minorHAnsi"/>
                <w:sz w:val="18"/>
                <w:szCs w:val="18"/>
              </w:rPr>
            </w:pPr>
            <w:r w:rsidRPr="00946C3B">
              <w:rPr>
                <w:rFonts w:eastAsia="Times New Roman" w:cstheme="minorHAnsi"/>
                <w:sz w:val="18"/>
                <w:szCs w:val="18"/>
                <w:lang w:eastAsia="en-AU"/>
              </w:rPr>
              <w:t>2019–20</w:t>
            </w:r>
          </w:p>
        </w:tc>
      </w:tr>
      <w:tr w:rsidR="00642ED4" w:rsidRPr="00642ED4" w14:paraId="3EC9ADC4" w14:textId="77777777" w:rsidTr="00946C3B">
        <w:trPr>
          <w:trHeight w:val="197"/>
          <w:jc w:val="center"/>
        </w:trPr>
        <w:tc>
          <w:tcPr>
            <w:tcW w:w="2223" w:type="dxa"/>
            <w:vAlign w:val="center"/>
          </w:tcPr>
          <w:p w14:paraId="03B4430F" w14:textId="064D0EE0" w:rsidR="00642ED4" w:rsidRPr="00946C3B" w:rsidRDefault="00642ED4" w:rsidP="00642ED4">
            <w:pPr>
              <w:rPr>
                <w:rFonts w:cstheme="minorHAnsi"/>
                <w:b/>
                <w:bCs/>
                <w:sz w:val="18"/>
                <w:szCs w:val="18"/>
              </w:rPr>
            </w:pPr>
            <w:r w:rsidRPr="00946C3B">
              <w:rPr>
                <w:rFonts w:eastAsia="Times New Roman" w:cstheme="minorHAnsi"/>
                <w:b/>
                <w:bCs/>
                <w:sz w:val="18"/>
                <w:szCs w:val="18"/>
                <w:lang w:eastAsia="en-AU"/>
              </w:rPr>
              <w:t>Gross gap ($</w:t>
            </w:r>
            <w:r w:rsidR="00AA3604" w:rsidRPr="00946C3B">
              <w:rPr>
                <w:rFonts w:eastAsia="Times New Roman" w:cstheme="minorHAnsi"/>
                <w:b/>
                <w:bCs/>
                <w:sz w:val="18"/>
                <w:szCs w:val="18"/>
                <w:lang w:eastAsia="en-AU"/>
              </w:rPr>
              <w:t xml:space="preserve"> </w:t>
            </w:r>
            <w:r w:rsidRPr="00946C3B">
              <w:rPr>
                <w:rFonts w:eastAsia="Times New Roman" w:cstheme="minorHAnsi"/>
                <w:b/>
                <w:bCs/>
                <w:sz w:val="18"/>
                <w:szCs w:val="18"/>
                <w:lang w:eastAsia="en-AU"/>
              </w:rPr>
              <w:t>m</w:t>
            </w:r>
            <w:r w:rsidR="00AA3604" w:rsidRPr="00946C3B">
              <w:rPr>
                <w:rFonts w:eastAsia="Times New Roman" w:cstheme="minorHAnsi"/>
                <w:b/>
                <w:bCs/>
                <w:sz w:val="18"/>
                <w:szCs w:val="18"/>
                <w:lang w:eastAsia="en-AU"/>
              </w:rPr>
              <w:t>illion</w:t>
            </w:r>
            <w:r w:rsidRPr="00946C3B">
              <w:rPr>
                <w:rFonts w:eastAsia="Times New Roman" w:cstheme="minorHAnsi"/>
                <w:b/>
                <w:bCs/>
                <w:sz w:val="18"/>
                <w:szCs w:val="18"/>
                <w:lang w:eastAsia="en-AU"/>
              </w:rPr>
              <w:t>)</w:t>
            </w:r>
          </w:p>
        </w:tc>
        <w:tc>
          <w:tcPr>
            <w:tcW w:w="1303" w:type="dxa"/>
          </w:tcPr>
          <w:p w14:paraId="1B5248D4" w14:textId="35E314F3"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3,901</w:t>
            </w:r>
          </w:p>
        </w:tc>
        <w:tc>
          <w:tcPr>
            <w:tcW w:w="1303" w:type="dxa"/>
          </w:tcPr>
          <w:p w14:paraId="0BC50763" w14:textId="63A78425"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3,885</w:t>
            </w:r>
          </w:p>
        </w:tc>
        <w:tc>
          <w:tcPr>
            <w:tcW w:w="1303" w:type="dxa"/>
          </w:tcPr>
          <w:p w14:paraId="19D2D599" w14:textId="13AAA63A"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3,519</w:t>
            </w:r>
          </w:p>
        </w:tc>
        <w:tc>
          <w:tcPr>
            <w:tcW w:w="1303" w:type="dxa"/>
          </w:tcPr>
          <w:p w14:paraId="485919A9" w14:textId="6751EAA2"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3,968</w:t>
            </w:r>
          </w:p>
        </w:tc>
        <w:tc>
          <w:tcPr>
            <w:tcW w:w="1303" w:type="dxa"/>
          </w:tcPr>
          <w:p w14:paraId="1D3A4263" w14:textId="2A11EAFE"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4,198</w:t>
            </w:r>
          </w:p>
        </w:tc>
        <w:tc>
          <w:tcPr>
            <w:tcW w:w="1303" w:type="dxa"/>
          </w:tcPr>
          <w:p w14:paraId="5F118935" w14:textId="5E731C01"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4,045</w:t>
            </w:r>
          </w:p>
        </w:tc>
      </w:tr>
      <w:tr w:rsidR="00642ED4" w:rsidRPr="00642ED4" w14:paraId="0A47888D" w14:textId="77777777" w:rsidTr="00946C3B">
        <w:trPr>
          <w:trHeight w:val="197"/>
          <w:jc w:val="center"/>
        </w:trPr>
        <w:tc>
          <w:tcPr>
            <w:tcW w:w="2223" w:type="dxa"/>
            <w:vAlign w:val="center"/>
          </w:tcPr>
          <w:p w14:paraId="70EA104E" w14:textId="064E9D4F" w:rsidR="00642ED4" w:rsidRPr="00946C3B" w:rsidRDefault="00642ED4" w:rsidP="00642ED4">
            <w:pPr>
              <w:rPr>
                <w:rFonts w:cstheme="minorHAnsi"/>
                <w:b/>
                <w:sz w:val="18"/>
                <w:szCs w:val="18"/>
              </w:rPr>
            </w:pPr>
            <w:r w:rsidRPr="00946C3B">
              <w:rPr>
                <w:rFonts w:eastAsia="Times New Roman" w:cstheme="minorHAnsi"/>
                <w:b/>
                <w:sz w:val="18"/>
                <w:szCs w:val="18"/>
                <w:lang w:eastAsia="en-AU"/>
              </w:rPr>
              <w:t>Amendments ($</w:t>
            </w:r>
            <w:r w:rsidR="00AA3604" w:rsidRPr="00946C3B">
              <w:rPr>
                <w:rFonts w:eastAsia="Times New Roman" w:cstheme="minorHAnsi"/>
                <w:b/>
                <w:sz w:val="18"/>
                <w:szCs w:val="18"/>
                <w:lang w:eastAsia="en-AU"/>
              </w:rPr>
              <w:t xml:space="preserve"> </w:t>
            </w:r>
            <w:r w:rsidRPr="00946C3B">
              <w:rPr>
                <w:rFonts w:eastAsia="Times New Roman" w:cstheme="minorHAnsi"/>
                <w:b/>
                <w:sz w:val="18"/>
                <w:szCs w:val="18"/>
                <w:lang w:eastAsia="en-AU"/>
              </w:rPr>
              <w:t>m</w:t>
            </w:r>
            <w:r w:rsidR="00AA3604" w:rsidRPr="00946C3B">
              <w:rPr>
                <w:rFonts w:eastAsia="Times New Roman" w:cstheme="minorHAnsi"/>
                <w:b/>
                <w:sz w:val="18"/>
                <w:szCs w:val="18"/>
                <w:lang w:eastAsia="en-AU"/>
              </w:rPr>
              <w:t>illion</w:t>
            </w:r>
            <w:r w:rsidRPr="00946C3B">
              <w:rPr>
                <w:rFonts w:eastAsia="Times New Roman" w:cstheme="minorHAnsi"/>
                <w:b/>
                <w:sz w:val="18"/>
                <w:szCs w:val="18"/>
                <w:lang w:eastAsia="en-AU"/>
              </w:rPr>
              <w:t>)</w:t>
            </w:r>
          </w:p>
        </w:tc>
        <w:tc>
          <w:tcPr>
            <w:tcW w:w="1303" w:type="dxa"/>
          </w:tcPr>
          <w:p w14:paraId="331CA4CB" w14:textId="01064622"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516</w:t>
            </w:r>
          </w:p>
        </w:tc>
        <w:tc>
          <w:tcPr>
            <w:tcW w:w="1303" w:type="dxa"/>
          </w:tcPr>
          <w:p w14:paraId="59217BB9" w14:textId="68BD2BD0"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577</w:t>
            </w:r>
          </w:p>
        </w:tc>
        <w:tc>
          <w:tcPr>
            <w:tcW w:w="1303" w:type="dxa"/>
          </w:tcPr>
          <w:p w14:paraId="5A1C072D" w14:textId="01D52A3E"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744</w:t>
            </w:r>
          </w:p>
        </w:tc>
        <w:tc>
          <w:tcPr>
            <w:tcW w:w="1303" w:type="dxa"/>
          </w:tcPr>
          <w:p w14:paraId="004C346D" w14:textId="5A2CC80C"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858</w:t>
            </w:r>
          </w:p>
        </w:tc>
        <w:tc>
          <w:tcPr>
            <w:tcW w:w="1303" w:type="dxa"/>
          </w:tcPr>
          <w:p w14:paraId="0683DC5E" w14:textId="31D8C0D2"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851</w:t>
            </w:r>
          </w:p>
        </w:tc>
        <w:tc>
          <w:tcPr>
            <w:tcW w:w="1303" w:type="dxa"/>
          </w:tcPr>
          <w:p w14:paraId="0BA9C06B" w14:textId="749A4371"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672</w:t>
            </w:r>
          </w:p>
        </w:tc>
      </w:tr>
      <w:tr w:rsidR="00642ED4" w:rsidRPr="00642ED4" w14:paraId="0EE26DFC" w14:textId="77777777" w:rsidTr="00946C3B">
        <w:trPr>
          <w:trHeight w:val="197"/>
          <w:jc w:val="center"/>
        </w:trPr>
        <w:tc>
          <w:tcPr>
            <w:tcW w:w="2223" w:type="dxa"/>
            <w:vAlign w:val="center"/>
          </w:tcPr>
          <w:p w14:paraId="2818E7B4" w14:textId="467E6B64" w:rsidR="00642ED4" w:rsidRPr="00946C3B" w:rsidRDefault="00642ED4" w:rsidP="00642ED4">
            <w:pPr>
              <w:rPr>
                <w:rFonts w:cstheme="minorHAnsi"/>
                <w:b/>
                <w:sz w:val="18"/>
                <w:szCs w:val="18"/>
              </w:rPr>
            </w:pPr>
            <w:r w:rsidRPr="00946C3B">
              <w:rPr>
                <w:rFonts w:eastAsia="Times New Roman" w:cstheme="minorHAnsi"/>
                <w:b/>
                <w:sz w:val="18"/>
                <w:szCs w:val="18"/>
                <w:lang w:eastAsia="en-AU"/>
              </w:rPr>
              <w:t>Net gap ($</w:t>
            </w:r>
            <w:r w:rsidR="00AA3604" w:rsidRPr="00946C3B">
              <w:rPr>
                <w:rFonts w:eastAsia="Times New Roman" w:cstheme="minorHAnsi"/>
                <w:b/>
                <w:sz w:val="18"/>
                <w:szCs w:val="18"/>
                <w:lang w:eastAsia="en-AU"/>
              </w:rPr>
              <w:t xml:space="preserve"> </w:t>
            </w:r>
            <w:r w:rsidRPr="00946C3B">
              <w:rPr>
                <w:rFonts w:eastAsia="Times New Roman" w:cstheme="minorHAnsi"/>
                <w:b/>
                <w:sz w:val="18"/>
                <w:szCs w:val="18"/>
                <w:lang w:eastAsia="en-AU"/>
              </w:rPr>
              <w:t>m</w:t>
            </w:r>
            <w:r w:rsidR="00AA3604" w:rsidRPr="00946C3B">
              <w:rPr>
                <w:rFonts w:eastAsia="Times New Roman" w:cstheme="minorHAnsi"/>
                <w:b/>
                <w:sz w:val="18"/>
                <w:szCs w:val="18"/>
                <w:lang w:eastAsia="en-AU"/>
              </w:rPr>
              <w:t>illion</w:t>
            </w:r>
            <w:r w:rsidRPr="00946C3B">
              <w:rPr>
                <w:rFonts w:eastAsia="Times New Roman" w:cstheme="minorHAnsi"/>
                <w:b/>
                <w:sz w:val="18"/>
                <w:szCs w:val="18"/>
                <w:lang w:eastAsia="en-AU"/>
              </w:rPr>
              <w:t>)</w:t>
            </w:r>
          </w:p>
        </w:tc>
        <w:tc>
          <w:tcPr>
            <w:tcW w:w="1303" w:type="dxa"/>
          </w:tcPr>
          <w:p w14:paraId="5797ECD1" w14:textId="5D1A2C1A"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3,385</w:t>
            </w:r>
          </w:p>
        </w:tc>
        <w:tc>
          <w:tcPr>
            <w:tcW w:w="1303" w:type="dxa"/>
          </w:tcPr>
          <w:p w14:paraId="4BF4E239" w14:textId="501ACA92"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3,308</w:t>
            </w:r>
          </w:p>
        </w:tc>
        <w:tc>
          <w:tcPr>
            <w:tcW w:w="1303" w:type="dxa"/>
          </w:tcPr>
          <w:p w14:paraId="754E34F1" w14:textId="7FA9DFE2"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2,775</w:t>
            </w:r>
          </w:p>
        </w:tc>
        <w:tc>
          <w:tcPr>
            <w:tcW w:w="1303" w:type="dxa"/>
          </w:tcPr>
          <w:p w14:paraId="5451EE15" w14:textId="754D3391"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3,110</w:t>
            </w:r>
          </w:p>
        </w:tc>
        <w:tc>
          <w:tcPr>
            <w:tcW w:w="1303" w:type="dxa"/>
          </w:tcPr>
          <w:p w14:paraId="66278CD8" w14:textId="4410C209"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3,348</w:t>
            </w:r>
          </w:p>
        </w:tc>
        <w:tc>
          <w:tcPr>
            <w:tcW w:w="1303" w:type="dxa"/>
          </w:tcPr>
          <w:p w14:paraId="165325EB" w14:textId="16D517E0"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3,374</w:t>
            </w:r>
          </w:p>
        </w:tc>
      </w:tr>
      <w:tr w:rsidR="00642ED4" w:rsidRPr="00642ED4" w14:paraId="214716EB" w14:textId="77777777" w:rsidTr="00946C3B">
        <w:trPr>
          <w:trHeight w:val="197"/>
          <w:jc w:val="center"/>
        </w:trPr>
        <w:tc>
          <w:tcPr>
            <w:tcW w:w="2223" w:type="dxa"/>
            <w:vAlign w:val="center"/>
          </w:tcPr>
          <w:p w14:paraId="4EB73189" w14:textId="7F5C897F" w:rsidR="00642ED4" w:rsidRPr="00946C3B" w:rsidRDefault="00CB04AF" w:rsidP="00642ED4">
            <w:pPr>
              <w:rPr>
                <w:rFonts w:cstheme="minorHAnsi"/>
                <w:b/>
                <w:sz w:val="18"/>
                <w:szCs w:val="18"/>
              </w:rPr>
            </w:pPr>
            <w:r w:rsidRPr="00946C3B">
              <w:rPr>
                <w:rFonts w:eastAsia="Times New Roman" w:cstheme="minorHAnsi"/>
                <w:b/>
                <w:sz w:val="18"/>
                <w:szCs w:val="18"/>
                <w:lang w:eastAsia="en-AU"/>
              </w:rPr>
              <w:t>SG</w:t>
            </w:r>
            <w:r w:rsidR="00642ED4" w:rsidRPr="00946C3B">
              <w:rPr>
                <w:rFonts w:eastAsia="Times New Roman" w:cstheme="minorHAnsi"/>
                <w:b/>
                <w:sz w:val="18"/>
                <w:szCs w:val="18"/>
                <w:lang w:eastAsia="en-AU"/>
              </w:rPr>
              <w:t xml:space="preserve"> paid ($</w:t>
            </w:r>
            <w:r w:rsidR="00AA3604" w:rsidRPr="00946C3B">
              <w:rPr>
                <w:rFonts w:eastAsia="Times New Roman" w:cstheme="minorHAnsi"/>
                <w:b/>
                <w:sz w:val="18"/>
                <w:szCs w:val="18"/>
                <w:lang w:eastAsia="en-AU"/>
              </w:rPr>
              <w:t xml:space="preserve"> </w:t>
            </w:r>
            <w:r w:rsidR="00642ED4" w:rsidRPr="00946C3B">
              <w:rPr>
                <w:rFonts w:eastAsia="Times New Roman" w:cstheme="minorHAnsi"/>
                <w:b/>
                <w:sz w:val="18"/>
                <w:szCs w:val="18"/>
                <w:lang w:eastAsia="en-AU"/>
              </w:rPr>
              <w:t>m</w:t>
            </w:r>
            <w:r w:rsidR="00AA3604" w:rsidRPr="00946C3B">
              <w:rPr>
                <w:rFonts w:eastAsia="Times New Roman" w:cstheme="minorHAnsi"/>
                <w:b/>
                <w:sz w:val="18"/>
                <w:szCs w:val="18"/>
                <w:lang w:eastAsia="en-AU"/>
              </w:rPr>
              <w:t>illion</w:t>
            </w:r>
            <w:r w:rsidR="00642ED4" w:rsidRPr="00946C3B">
              <w:rPr>
                <w:rFonts w:eastAsia="Times New Roman" w:cstheme="minorHAnsi"/>
                <w:b/>
                <w:sz w:val="18"/>
                <w:szCs w:val="18"/>
                <w:lang w:eastAsia="en-AU"/>
              </w:rPr>
              <w:t>)</w:t>
            </w:r>
          </w:p>
        </w:tc>
        <w:tc>
          <w:tcPr>
            <w:tcW w:w="1303" w:type="dxa"/>
          </w:tcPr>
          <w:p w14:paraId="5549CA35" w14:textId="0801B0B7"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52,882</w:t>
            </w:r>
          </w:p>
        </w:tc>
        <w:tc>
          <w:tcPr>
            <w:tcW w:w="1303" w:type="dxa"/>
          </w:tcPr>
          <w:p w14:paraId="75980EAC" w14:textId="43E502C5"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54,926</w:t>
            </w:r>
          </w:p>
        </w:tc>
        <w:tc>
          <w:tcPr>
            <w:tcW w:w="1303" w:type="dxa"/>
          </w:tcPr>
          <w:p w14:paraId="599E5E84" w14:textId="43A81270"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56,521</w:t>
            </w:r>
          </w:p>
        </w:tc>
        <w:tc>
          <w:tcPr>
            <w:tcW w:w="1303" w:type="dxa"/>
          </w:tcPr>
          <w:p w14:paraId="2B9CC672" w14:textId="21D8287C"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59,274</w:t>
            </w:r>
          </w:p>
        </w:tc>
        <w:tc>
          <w:tcPr>
            <w:tcW w:w="1303" w:type="dxa"/>
          </w:tcPr>
          <w:p w14:paraId="3875CABF" w14:textId="7C95CFB2"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62,270</w:t>
            </w:r>
          </w:p>
        </w:tc>
        <w:tc>
          <w:tcPr>
            <w:tcW w:w="1303" w:type="dxa"/>
          </w:tcPr>
          <w:p w14:paraId="19EFD83B" w14:textId="1A4DD7C7"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65,583</w:t>
            </w:r>
          </w:p>
        </w:tc>
      </w:tr>
      <w:tr w:rsidR="00642ED4" w:rsidRPr="00642ED4" w14:paraId="78428ABA" w14:textId="77777777" w:rsidTr="00946C3B">
        <w:trPr>
          <w:trHeight w:val="197"/>
          <w:jc w:val="center"/>
        </w:trPr>
        <w:tc>
          <w:tcPr>
            <w:tcW w:w="2223" w:type="dxa"/>
            <w:vAlign w:val="center"/>
          </w:tcPr>
          <w:p w14:paraId="7583C714" w14:textId="0C6B4ECC" w:rsidR="00642ED4" w:rsidRPr="00946C3B" w:rsidRDefault="00642ED4" w:rsidP="00642ED4">
            <w:pPr>
              <w:rPr>
                <w:rFonts w:cstheme="minorHAnsi"/>
                <w:b/>
                <w:sz w:val="18"/>
                <w:szCs w:val="18"/>
              </w:rPr>
            </w:pPr>
            <w:r w:rsidRPr="00946C3B">
              <w:rPr>
                <w:rFonts w:eastAsia="Times New Roman" w:cstheme="minorHAnsi"/>
                <w:b/>
                <w:sz w:val="18"/>
                <w:szCs w:val="18"/>
                <w:lang w:eastAsia="en-AU"/>
              </w:rPr>
              <w:t xml:space="preserve">Theoretical </w:t>
            </w:r>
            <w:r w:rsidR="00CB04AF" w:rsidRPr="00946C3B">
              <w:rPr>
                <w:rFonts w:eastAsia="Times New Roman" w:cstheme="minorHAnsi"/>
                <w:b/>
                <w:sz w:val="18"/>
                <w:szCs w:val="18"/>
                <w:lang w:eastAsia="en-AU"/>
              </w:rPr>
              <w:t>SG</w:t>
            </w:r>
            <w:r w:rsidRPr="00946C3B">
              <w:rPr>
                <w:rFonts w:eastAsia="Times New Roman" w:cstheme="minorHAnsi"/>
                <w:b/>
                <w:sz w:val="18"/>
                <w:szCs w:val="18"/>
                <w:lang w:eastAsia="en-AU"/>
              </w:rPr>
              <w:t xml:space="preserve"> liabilit</w:t>
            </w:r>
            <w:r w:rsidR="00F1241E" w:rsidRPr="00946C3B">
              <w:rPr>
                <w:rFonts w:eastAsia="Times New Roman" w:cstheme="minorHAnsi"/>
                <w:b/>
                <w:sz w:val="18"/>
                <w:szCs w:val="18"/>
                <w:lang w:eastAsia="en-AU"/>
              </w:rPr>
              <w:t>ies</w:t>
            </w:r>
            <w:r w:rsidRPr="00946C3B">
              <w:rPr>
                <w:rFonts w:eastAsia="Times New Roman" w:cstheme="minorHAnsi"/>
                <w:b/>
                <w:sz w:val="18"/>
                <w:szCs w:val="18"/>
                <w:lang w:eastAsia="en-AU"/>
              </w:rPr>
              <w:t xml:space="preserve"> ($</w:t>
            </w:r>
            <w:r w:rsidR="00AA3604" w:rsidRPr="00946C3B">
              <w:rPr>
                <w:rFonts w:eastAsia="Times New Roman" w:cstheme="minorHAnsi"/>
                <w:b/>
                <w:sz w:val="18"/>
                <w:szCs w:val="18"/>
                <w:lang w:eastAsia="en-AU"/>
              </w:rPr>
              <w:t xml:space="preserve"> </w:t>
            </w:r>
            <w:r w:rsidRPr="00946C3B">
              <w:rPr>
                <w:rFonts w:eastAsia="Times New Roman" w:cstheme="minorHAnsi"/>
                <w:b/>
                <w:sz w:val="18"/>
                <w:szCs w:val="18"/>
                <w:lang w:eastAsia="en-AU"/>
              </w:rPr>
              <w:t>m</w:t>
            </w:r>
            <w:r w:rsidR="00AA3604" w:rsidRPr="00946C3B">
              <w:rPr>
                <w:rFonts w:eastAsia="Times New Roman" w:cstheme="minorHAnsi"/>
                <w:b/>
                <w:sz w:val="18"/>
                <w:szCs w:val="18"/>
                <w:lang w:eastAsia="en-AU"/>
              </w:rPr>
              <w:t>illion</w:t>
            </w:r>
            <w:r w:rsidRPr="00946C3B">
              <w:rPr>
                <w:rFonts w:eastAsia="Times New Roman" w:cstheme="minorHAnsi"/>
                <w:b/>
                <w:sz w:val="18"/>
                <w:szCs w:val="18"/>
                <w:lang w:eastAsia="en-AU"/>
              </w:rPr>
              <w:t>)</w:t>
            </w:r>
          </w:p>
        </w:tc>
        <w:tc>
          <w:tcPr>
            <w:tcW w:w="1303" w:type="dxa"/>
          </w:tcPr>
          <w:p w14:paraId="1969CB44" w14:textId="375BA75D"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56,267</w:t>
            </w:r>
          </w:p>
        </w:tc>
        <w:tc>
          <w:tcPr>
            <w:tcW w:w="1303" w:type="dxa"/>
          </w:tcPr>
          <w:p w14:paraId="251709C0" w14:textId="52306BDB"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58,234</w:t>
            </w:r>
          </w:p>
        </w:tc>
        <w:tc>
          <w:tcPr>
            <w:tcW w:w="1303" w:type="dxa"/>
          </w:tcPr>
          <w:p w14:paraId="3F46F3C9" w14:textId="26A69EEE"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59,296</w:t>
            </w:r>
          </w:p>
        </w:tc>
        <w:tc>
          <w:tcPr>
            <w:tcW w:w="1303" w:type="dxa"/>
          </w:tcPr>
          <w:p w14:paraId="20034BA0" w14:textId="612BD94A"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62,384</w:t>
            </w:r>
          </w:p>
        </w:tc>
        <w:tc>
          <w:tcPr>
            <w:tcW w:w="1303" w:type="dxa"/>
          </w:tcPr>
          <w:p w14:paraId="3978F84A" w14:textId="6A3BDB00"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65,618</w:t>
            </w:r>
          </w:p>
        </w:tc>
        <w:tc>
          <w:tcPr>
            <w:tcW w:w="1303" w:type="dxa"/>
          </w:tcPr>
          <w:p w14:paraId="70DA0D71" w14:textId="154D7727"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68,957</w:t>
            </w:r>
          </w:p>
        </w:tc>
      </w:tr>
      <w:tr w:rsidR="00642ED4" w:rsidRPr="00642ED4" w14:paraId="2059A39E" w14:textId="77777777" w:rsidTr="00946C3B">
        <w:trPr>
          <w:trHeight w:val="197"/>
          <w:jc w:val="center"/>
        </w:trPr>
        <w:tc>
          <w:tcPr>
            <w:tcW w:w="2223" w:type="dxa"/>
            <w:vAlign w:val="center"/>
          </w:tcPr>
          <w:p w14:paraId="395CA92C" w14:textId="68D8CEE2" w:rsidR="00642ED4" w:rsidRPr="00946C3B" w:rsidRDefault="00642ED4" w:rsidP="00642ED4">
            <w:pPr>
              <w:rPr>
                <w:rFonts w:cstheme="minorHAnsi"/>
                <w:b/>
                <w:sz w:val="18"/>
                <w:szCs w:val="18"/>
              </w:rPr>
            </w:pPr>
            <w:r w:rsidRPr="00946C3B">
              <w:rPr>
                <w:rFonts w:eastAsia="Times New Roman" w:cstheme="minorHAnsi"/>
                <w:b/>
                <w:sz w:val="18"/>
                <w:szCs w:val="18"/>
                <w:lang w:eastAsia="en-AU"/>
              </w:rPr>
              <w:t>Gross gap (</w:t>
            </w:r>
            <w:r w:rsidR="00AA3604" w:rsidRPr="00946C3B">
              <w:rPr>
                <w:rFonts w:eastAsia="Times New Roman" w:cstheme="minorHAnsi"/>
                <w:b/>
                <w:sz w:val="18"/>
                <w:szCs w:val="18"/>
                <w:lang w:eastAsia="en-AU"/>
              </w:rPr>
              <w:t>per cent</w:t>
            </w:r>
            <w:r w:rsidRPr="00946C3B">
              <w:rPr>
                <w:rFonts w:eastAsia="Times New Roman" w:cstheme="minorHAnsi"/>
                <w:b/>
                <w:sz w:val="18"/>
                <w:szCs w:val="18"/>
                <w:lang w:eastAsia="en-AU"/>
              </w:rPr>
              <w:t>)</w:t>
            </w:r>
          </w:p>
        </w:tc>
        <w:tc>
          <w:tcPr>
            <w:tcW w:w="1303" w:type="dxa"/>
          </w:tcPr>
          <w:p w14:paraId="077290FF" w14:textId="57E0D913"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6.9</w:t>
            </w:r>
          </w:p>
        </w:tc>
        <w:tc>
          <w:tcPr>
            <w:tcW w:w="1303" w:type="dxa"/>
          </w:tcPr>
          <w:p w14:paraId="53841505" w14:textId="67F499CC"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6.7</w:t>
            </w:r>
          </w:p>
        </w:tc>
        <w:tc>
          <w:tcPr>
            <w:tcW w:w="1303" w:type="dxa"/>
          </w:tcPr>
          <w:p w14:paraId="2BD10A51" w14:textId="2DBD1687"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5.9</w:t>
            </w:r>
          </w:p>
        </w:tc>
        <w:tc>
          <w:tcPr>
            <w:tcW w:w="1303" w:type="dxa"/>
          </w:tcPr>
          <w:p w14:paraId="0D858BF0" w14:textId="4A1616B4"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6.4</w:t>
            </w:r>
          </w:p>
        </w:tc>
        <w:tc>
          <w:tcPr>
            <w:tcW w:w="1303" w:type="dxa"/>
          </w:tcPr>
          <w:p w14:paraId="575626BD" w14:textId="4C71D32D"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6.4</w:t>
            </w:r>
          </w:p>
        </w:tc>
        <w:tc>
          <w:tcPr>
            <w:tcW w:w="1303" w:type="dxa"/>
          </w:tcPr>
          <w:p w14:paraId="1F19157A" w14:textId="45BF52BE"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5.9</w:t>
            </w:r>
          </w:p>
        </w:tc>
      </w:tr>
      <w:tr w:rsidR="00642ED4" w:rsidRPr="00642ED4" w14:paraId="3A79B680" w14:textId="77777777" w:rsidTr="00946C3B">
        <w:trPr>
          <w:trHeight w:val="26"/>
          <w:jc w:val="center"/>
        </w:trPr>
        <w:tc>
          <w:tcPr>
            <w:tcW w:w="2223" w:type="dxa"/>
            <w:vAlign w:val="center"/>
          </w:tcPr>
          <w:p w14:paraId="5940F3DC" w14:textId="60859ECC" w:rsidR="00642ED4" w:rsidRPr="00946C3B" w:rsidRDefault="00642ED4" w:rsidP="00642ED4">
            <w:pPr>
              <w:rPr>
                <w:rFonts w:cstheme="minorHAnsi"/>
                <w:b/>
                <w:sz w:val="18"/>
                <w:szCs w:val="18"/>
              </w:rPr>
            </w:pPr>
            <w:r w:rsidRPr="00946C3B">
              <w:rPr>
                <w:rFonts w:eastAsia="Times New Roman" w:cstheme="minorHAnsi"/>
                <w:b/>
                <w:sz w:val="18"/>
                <w:szCs w:val="18"/>
                <w:lang w:eastAsia="en-AU"/>
              </w:rPr>
              <w:t>Net gap (</w:t>
            </w:r>
            <w:r w:rsidR="00AA3604" w:rsidRPr="00946C3B">
              <w:rPr>
                <w:rFonts w:eastAsia="Times New Roman" w:cstheme="minorHAnsi"/>
                <w:b/>
                <w:sz w:val="18"/>
                <w:szCs w:val="18"/>
                <w:lang w:eastAsia="en-AU"/>
              </w:rPr>
              <w:t>per cent</w:t>
            </w:r>
            <w:r w:rsidRPr="00946C3B">
              <w:rPr>
                <w:rFonts w:eastAsia="Times New Roman" w:cstheme="minorHAnsi"/>
                <w:b/>
                <w:sz w:val="18"/>
                <w:szCs w:val="18"/>
                <w:lang w:eastAsia="en-AU"/>
              </w:rPr>
              <w:t>)</w:t>
            </w:r>
          </w:p>
        </w:tc>
        <w:tc>
          <w:tcPr>
            <w:tcW w:w="1303" w:type="dxa"/>
          </w:tcPr>
          <w:p w14:paraId="7E895C06" w14:textId="57D6245B"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6.0</w:t>
            </w:r>
          </w:p>
        </w:tc>
        <w:tc>
          <w:tcPr>
            <w:tcW w:w="1303" w:type="dxa"/>
          </w:tcPr>
          <w:p w14:paraId="32DAB459" w14:textId="4D3D8F06"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5.7</w:t>
            </w:r>
          </w:p>
        </w:tc>
        <w:tc>
          <w:tcPr>
            <w:tcW w:w="1303" w:type="dxa"/>
          </w:tcPr>
          <w:p w14:paraId="29E6A404" w14:textId="4DA4BC76"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4.7</w:t>
            </w:r>
          </w:p>
        </w:tc>
        <w:tc>
          <w:tcPr>
            <w:tcW w:w="1303" w:type="dxa"/>
          </w:tcPr>
          <w:p w14:paraId="102EE919" w14:textId="43DEC831"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5.0</w:t>
            </w:r>
          </w:p>
        </w:tc>
        <w:tc>
          <w:tcPr>
            <w:tcW w:w="1303" w:type="dxa"/>
          </w:tcPr>
          <w:p w14:paraId="72B12E09" w14:textId="54B2EB06"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5.1</w:t>
            </w:r>
          </w:p>
        </w:tc>
        <w:tc>
          <w:tcPr>
            <w:tcW w:w="1303" w:type="dxa"/>
          </w:tcPr>
          <w:p w14:paraId="123FF3D4" w14:textId="6EEF1C3E"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4.9</w:t>
            </w:r>
          </w:p>
        </w:tc>
      </w:tr>
    </w:tbl>
    <w:p w14:paraId="1073D390" w14:textId="77777777" w:rsidR="009E58CF" w:rsidRDefault="009E58CF">
      <w:pPr>
        <w:rPr>
          <w:rFonts w:asciiTheme="majorHAnsi" w:eastAsiaTheme="majorEastAsia" w:hAnsiTheme="majorHAnsi" w:cstheme="majorBidi"/>
          <w:color w:val="014463" w:themeColor="text2"/>
          <w:sz w:val="28"/>
          <w:szCs w:val="30"/>
        </w:rPr>
      </w:pPr>
      <w:r>
        <w:br w:type="page"/>
      </w:r>
    </w:p>
    <w:p w14:paraId="04393602" w14:textId="1818F4CB" w:rsidR="007D4C86" w:rsidRPr="0099452F" w:rsidRDefault="007D4C86" w:rsidP="007D4C86">
      <w:pPr>
        <w:pStyle w:val="Heading3"/>
        <w:rPr>
          <w:rStyle w:val="Heading4Char"/>
          <w:i w:val="0"/>
          <w:color w:val="014463" w:themeColor="text2"/>
          <w:sz w:val="28"/>
          <w:szCs w:val="30"/>
        </w:rPr>
      </w:pPr>
      <w:bookmarkStart w:id="10" w:name="_Toc134198434"/>
      <w:r>
        <w:t>ATO recovery efforts</w:t>
      </w:r>
      <w:bookmarkEnd w:id="10"/>
    </w:p>
    <w:p w14:paraId="508C72AF" w14:textId="37BEA9E8" w:rsidR="002A4501" w:rsidRDefault="4921B9FD" w:rsidP="00EA3732">
      <w:r>
        <w:t>The ATO release</w:t>
      </w:r>
      <w:r w:rsidR="0C2BFAAA">
        <w:t>s</w:t>
      </w:r>
      <w:r>
        <w:t xml:space="preserve"> a report annually of </w:t>
      </w:r>
      <w:r w:rsidR="0BB90789">
        <w:t xml:space="preserve">its </w:t>
      </w:r>
      <w:r w:rsidR="79292048">
        <w:t xml:space="preserve">recovery efforts for the financial year. In </w:t>
      </w:r>
      <w:r w:rsidRPr="00675446">
        <w:t>202</w:t>
      </w:r>
      <w:r w:rsidR="000F4730">
        <w:t>1</w:t>
      </w:r>
      <w:r w:rsidRPr="00675446">
        <w:t>-2</w:t>
      </w:r>
      <w:r w:rsidR="000F4730">
        <w:t>2</w:t>
      </w:r>
      <w:r w:rsidR="79292048">
        <w:t>,</w:t>
      </w:r>
      <w:r w:rsidR="002A4501" w:rsidRPr="1773701D">
        <w:rPr>
          <w:rStyle w:val="FootnoteReference"/>
          <w:rFonts w:ascii="Calibri" w:eastAsia="Calibri" w:hAnsi="Calibri" w:cs="Calibri"/>
        </w:rPr>
        <w:footnoteReference w:id="5"/>
      </w:r>
      <w:r w:rsidR="6BCC842A" w:rsidRPr="00EC3215">
        <w:rPr>
          <w:rStyle w:val="FootnoteReference"/>
        </w:rPr>
        <w:t xml:space="preserve"> </w:t>
      </w:r>
      <w:r w:rsidR="79292048">
        <w:t xml:space="preserve"> t</w:t>
      </w:r>
      <w:r w:rsidR="5F061D4C">
        <w:t>he ATO</w:t>
      </w:r>
      <w:r w:rsidR="6BCC842A">
        <w:t>:</w:t>
      </w:r>
    </w:p>
    <w:p w14:paraId="1004049B" w14:textId="7C037BA9" w:rsidR="00DF3942" w:rsidRPr="007815A2" w:rsidRDefault="00DF3942" w:rsidP="00C622A7">
      <w:pPr>
        <w:pStyle w:val="Bullet"/>
      </w:pPr>
      <w:r w:rsidRPr="00946C3B">
        <w:t>Reported</w:t>
      </w:r>
      <w:r w:rsidRPr="007815A2">
        <w:t xml:space="preserve"> </w:t>
      </w:r>
      <w:r w:rsidR="00050A20" w:rsidRPr="007815A2">
        <w:t xml:space="preserve">receiving </w:t>
      </w:r>
      <w:r w:rsidR="00A855E3" w:rsidRPr="007815A2">
        <w:t xml:space="preserve">19,600 employee complaints of unpaid superannuation, and </w:t>
      </w:r>
      <w:r w:rsidR="00050A20" w:rsidRPr="007815A2">
        <w:t xml:space="preserve">that </w:t>
      </w:r>
      <w:r w:rsidRPr="007815A2">
        <w:t xml:space="preserve">30,800 employers came forward to </w:t>
      </w:r>
      <w:r w:rsidR="00837D51" w:rsidRPr="007815A2">
        <w:t>make</w:t>
      </w:r>
      <w:r w:rsidRPr="007815A2">
        <w:t xml:space="preserve"> a voluntary disclosure of unpaid superannuation.</w:t>
      </w:r>
    </w:p>
    <w:p w14:paraId="67D35E67" w14:textId="4AD25618" w:rsidR="0015298E" w:rsidRPr="007815A2" w:rsidRDefault="004D62B2" w:rsidP="0015298E">
      <w:pPr>
        <w:pStyle w:val="Bullet"/>
        <w:rPr>
          <w:rFonts w:asciiTheme="minorHAnsi" w:eastAsiaTheme="minorHAnsi" w:hAnsiTheme="minorHAnsi" w:cstheme="minorBidi"/>
          <w:color w:val="262626" w:themeColor="text1" w:themeTint="D9"/>
          <w:szCs w:val="20"/>
        </w:rPr>
      </w:pPr>
      <w:r w:rsidRPr="00946C3B">
        <w:t>R</w:t>
      </w:r>
      <w:r w:rsidR="007D4C86" w:rsidRPr="00946C3B">
        <w:t>aised</w:t>
      </w:r>
      <w:r w:rsidR="007D4C86" w:rsidRPr="007815A2">
        <w:t xml:space="preserve"> </w:t>
      </w:r>
      <w:r w:rsidR="00EA3732" w:rsidRPr="007815A2">
        <w:t>a total of $1,059 million</w:t>
      </w:r>
      <w:r w:rsidR="00431474" w:rsidRPr="007815A2">
        <w:rPr>
          <w:rStyle w:val="FootnoteReference"/>
        </w:rPr>
        <w:footnoteReference w:id="6"/>
      </w:r>
      <w:r w:rsidR="00EA3732" w:rsidRPr="007815A2">
        <w:t xml:space="preserve"> in </w:t>
      </w:r>
      <w:r w:rsidR="00346F66" w:rsidRPr="007815A2">
        <w:t>SG</w:t>
      </w:r>
      <w:r w:rsidR="00EA3732" w:rsidRPr="007815A2">
        <w:t xml:space="preserve"> charge liabilities</w:t>
      </w:r>
      <w:r w:rsidR="00F25A8C" w:rsidRPr="007815A2">
        <w:t>:</w:t>
      </w:r>
    </w:p>
    <w:p w14:paraId="29656731" w14:textId="4B6EC46E" w:rsidR="0015298E" w:rsidRPr="007815A2" w:rsidRDefault="0015298E" w:rsidP="0015298E">
      <w:pPr>
        <w:pStyle w:val="Dash"/>
        <w:rPr>
          <w:rFonts w:asciiTheme="minorHAnsi" w:eastAsiaTheme="minorHAnsi" w:hAnsiTheme="minorHAnsi" w:cstheme="minorBidi"/>
          <w:color w:val="262626" w:themeColor="text1" w:themeTint="D9"/>
          <w:szCs w:val="20"/>
        </w:rPr>
      </w:pPr>
      <w:r w:rsidRPr="007815A2">
        <w:t>$380 million through</w:t>
      </w:r>
      <w:r w:rsidR="00EA3732" w:rsidRPr="007815A2">
        <w:t xml:space="preserve"> </w:t>
      </w:r>
      <w:r w:rsidR="00E8209B" w:rsidRPr="007815A2">
        <w:t xml:space="preserve">voluntary </w:t>
      </w:r>
      <w:r w:rsidR="00431474" w:rsidRPr="007815A2">
        <w:t>employe</w:t>
      </w:r>
      <w:r w:rsidR="00A82B6D" w:rsidRPr="007815A2">
        <w:t>r</w:t>
      </w:r>
      <w:r w:rsidR="00431474" w:rsidRPr="007815A2">
        <w:t xml:space="preserve"> disclosures</w:t>
      </w:r>
      <w:r w:rsidRPr="007815A2">
        <w:t xml:space="preserve">; </w:t>
      </w:r>
      <w:r w:rsidR="00EA3732" w:rsidRPr="007815A2">
        <w:t xml:space="preserve">and </w:t>
      </w:r>
    </w:p>
    <w:p w14:paraId="0AF37CB2" w14:textId="1EDC2F9A" w:rsidR="00EA3732" w:rsidRPr="007815A2" w:rsidRDefault="0015298E" w:rsidP="00C622A7">
      <w:pPr>
        <w:pStyle w:val="Dash"/>
        <w:rPr>
          <w:rFonts w:asciiTheme="minorHAnsi" w:eastAsiaTheme="minorHAnsi" w:hAnsiTheme="minorHAnsi" w:cstheme="minorBidi"/>
          <w:color w:val="262626" w:themeColor="text1" w:themeTint="D9"/>
          <w:szCs w:val="20"/>
        </w:rPr>
      </w:pPr>
      <w:r w:rsidRPr="007815A2">
        <w:t xml:space="preserve">$1,125 million through </w:t>
      </w:r>
      <w:r w:rsidR="00EA3732" w:rsidRPr="007815A2">
        <w:t>ATO compliance action.</w:t>
      </w:r>
      <w:r w:rsidR="002A4501" w:rsidRPr="007815A2">
        <w:t xml:space="preserve"> </w:t>
      </w:r>
    </w:p>
    <w:p w14:paraId="6885E931" w14:textId="47D9E955" w:rsidR="008261ED" w:rsidRPr="007815A2" w:rsidRDefault="005D22B7" w:rsidP="00C622A7">
      <w:pPr>
        <w:pStyle w:val="Bullet"/>
      </w:pPr>
      <w:r w:rsidRPr="00946C3B">
        <w:t>F</w:t>
      </w:r>
      <w:r w:rsidR="008261ED" w:rsidRPr="00946C3B">
        <w:t>inalised</w:t>
      </w:r>
      <w:r w:rsidR="008261ED" w:rsidRPr="007815A2">
        <w:t xml:space="preserve"> approximately 17,300 SG cases, resulting in around $550 million </w:t>
      </w:r>
      <w:r w:rsidR="003B39A4" w:rsidRPr="007815A2">
        <w:t xml:space="preserve">in </w:t>
      </w:r>
      <w:r w:rsidR="00604002" w:rsidRPr="007815A2">
        <w:t>SG charge</w:t>
      </w:r>
      <w:r w:rsidR="008261ED" w:rsidRPr="007815A2">
        <w:t xml:space="preserve"> liabilities and $215 million in part 7 penalties raised</w:t>
      </w:r>
      <w:r w:rsidR="002318F2">
        <w:t>.</w:t>
      </w:r>
    </w:p>
    <w:p w14:paraId="0530F0B5" w14:textId="0DD93C3F" w:rsidR="00C768E7" w:rsidRPr="007815A2" w:rsidRDefault="008261ED" w:rsidP="00C622A7">
      <w:pPr>
        <w:pStyle w:val="Dash"/>
      </w:pPr>
      <w:r w:rsidRPr="007815A2">
        <w:t xml:space="preserve">15,200 </w:t>
      </w:r>
      <w:r w:rsidR="00A37061">
        <w:t>cases</w:t>
      </w:r>
      <w:r w:rsidRPr="007815A2">
        <w:t xml:space="preserve"> were because of employee notification complaints raising $495 million in SGC liabilities.</w:t>
      </w:r>
    </w:p>
    <w:p w14:paraId="4A1D4A70" w14:textId="61E8F29C" w:rsidR="008261ED" w:rsidRPr="007815A2" w:rsidRDefault="008261ED" w:rsidP="00C622A7">
      <w:pPr>
        <w:pStyle w:val="Dash"/>
      </w:pPr>
      <w:r w:rsidRPr="007815A2">
        <w:t xml:space="preserve">2,100 </w:t>
      </w:r>
      <w:r w:rsidR="00A37061">
        <w:t>cases</w:t>
      </w:r>
      <w:r w:rsidR="00A37061" w:rsidRPr="007815A2">
        <w:t xml:space="preserve"> </w:t>
      </w:r>
      <w:r w:rsidRPr="007815A2">
        <w:t>were because of other ATO initiated reviews raising $55 million in SGC liabilities.</w:t>
      </w:r>
    </w:p>
    <w:p w14:paraId="58105F0E" w14:textId="059E44BC" w:rsidR="008261ED" w:rsidRDefault="004D62B2" w:rsidP="002D243E">
      <w:pPr>
        <w:pStyle w:val="Bullet"/>
      </w:pPr>
      <w:r w:rsidRPr="00946C3B">
        <w:t>D</w:t>
      </w:r>
      <w:r w:rsidR="005B576A" w:rsidRPr="00946C3B">
        <w:t>istributed</w:t>
      </w:r>
      <w:r w:rsidR="005B576A" w:rsidRPr="007B4A91">
        <w:t xml:space="preserve"> $645.4 million of super</w:t>
      </w:r>
      <w:r w:rsidR="009E2F64">
        <w:t>annuation</w:t>
      </w:r>
      <w:r w:rsidR="005B576A" w:rsidRPr="007B4A91">
        <w:t xml:space="preserve"> entitlements to individuals or super</w:t>
      </w:r>
      <w:r w:rsidR="00F1241E">
        <w:t>annuation</w:t>
      </w:r>
      <w:r w:rsidR="005B576A" w:rsidRPr="007B4A91">
        <w:t xml:space="preserve"> fund accounts. This includes SG amounts collected for liabilities raised arising from employee complaints, ATO initiated compliance activities and employer voluntary disclosures.</w:t>
      </w:r>
      <w:r w:rsidR="005B576A" w:rsidRPr="00EC3215">
        <w:rPr>
          <w:rStyle w:val="FootnoteReference"/>
        </w:rPr>
        <w:t xml:space="preserve"> </w:t>
      </w:r>
    </w:p>
    <w:p w14:paraId="782FB778" w14:textId="012F32B3" w:rsidR="00ED1B19" w:rsidRPr="00942455" w:rsidRDefault="00ED1B19" w:rsidP="00DF5D11">
      <w:r>
        <w:t xml:space="preserve">A large portion of SG debts raised by the ATO are deemed unrecoverable. </w:t>
      </w:r>
      <w:r w:rsidRPr="006E2A61">
        <w:t xml:space="preserve">Unpaid </w:t>
      </w:r>
      <w:r w:rsidR="00814200">
        <w:t>SG</w:t>
      </w:r>
      <w:r w:rsidR="00814200" w:rsidRPr="006E2A61">
        <w:t xml:space="preserve"> </w:t>
      </w:r>
      <w:r w:rsidRPr="006E2A61">
        <w:t xml:space="preserve">is primarily </w:t>
      </w:r>
      <w:r>
        <w:t>accrued by</w:t>
      </w:r>
      <w:r w:rsidRPr="006E2A61">
        <w:t xml:space="preserve"> micro</w:t>
      </w:r>
      <w:r w:rsidRPr="00CB75CE">
        <w:rPr>
          <w:vertAlign w:val="superscript"/>
        </w:rPr>
        <w:t xml:space="preserve"> </w:t>
      </w:r>
      <w:r w:rsidRPr="006E2A61">
        <w:t xml:space="preserve">and small </w:t>
      </w:r>
      <w:r>
        <w:t xml:space="preserve">enterprises, many of which have </w:t>
      </w:r>
      <w:r w:rsidRPr="006E2A61">
        <w:t>become insolvent</w:t>
      </w:r>
      <w:r>
        <w:t>. As at 28 February 2022, of the $1.</w:t>
      </w:r>
      <w:r w:rsidR="00E7231F">
        <w:t>8</w:t>
      </w:r>
      <w:r>
        <w:t>9 billion in collectable SG charge debt</w:t>
      </w:r>
      <w:r w:rsidRPr="00CB75CE">
        <w:rPr>
          <w:vertAlign w:val="superscript"/>
        </w:rPr>
        <w:t xml:space="preserve"> </w:t>
      </w:r>
      <w:r>
        <w:t>raised by the ATO against employers, $1.4</w:t>
      </w:r>
      <w:r w:rsidR="00E7231F">
        <w:t>0</w:t>
      </w:r>
      <w:r>
        <w:t xml:space="preserve"> billion was owed by micro enterprises with an annual turnover </w:t>
      </w:r>
      <w:r w:rsidR="00284A26">
        <w:t xml:space="preserve">of </w:t>
      </w:r>
      <w:r>
        <w:t>less than $2 million</w:t>
      </w:r>
      <w:r w:rsidR="005751EE">
        <w:t xml:space="preserve">, and </w:t>
      </w:r>
      <w:r w:rsidR="007F2B94">
        <w:t>$0.</w:t>
      </w:r>
      <w:r w:rsidR="00E7231F">
        <w:t>4</w:t>
      </w:r>
      <w:r w:rsidR="007F2B94">
        <w:t xml:space="preserve">5 billion was owed by </w:t>
      </w:r>
      <w:r w:rsidR="007F2B94" w:rsidRPr="007F7C19">
        <w:t>small and medium enterprises (SMEs)</w:t>
      </w:r>
      <w:r w:rsidR="007F2B94">
        <w:t xml:space="preserve"> </w:t>
      </w:r>
      <w:r w:rsidR="007618B2">
        <w:t xml:space="preserve">with annual turnover </w:t>
      </w:r>
      <w:r w:rsidR="007618B2" w:rsidRPr="007618B2">
        <w:t>greater than $2</w:t>
      </w:r>
      <w:r w:rsidR="007618B2">
        <w:t xml:space="preserve"> </w:t>
      </w:r>
      <w:r w:rsidR="007618B2" w:rsidRPr="007618B2">
        <w:t>m</w:t>
      </w:r>
      <w:r w:rsidR="007618B2">
        <w:t>illion</w:t>
      </w:r>
      <w:r w:rsidR="007618B2" w:rsidRPr="007618B2">
        <w:t xml:space="preserve"> and less than $250</w:t>
      </w:r>
      <w:r w:rsidR="007618B2">
        <w:t xml:space="preserve"> </w:t>
      </w:r>
      <w:r w:rsidR="007618B2" w:rsidRPr="007618B2">
        <w:t>m</w:t>
      </w:r>
      <w:r w:rsidR="007618B2">
        <w:t>illion</w:t>
      </w:r>
      <w:r>
        <w:t>.</w:t>
      </w:r>
      <w:r w:rsidR="008E06F3">
        <w:rPr>
          <w:rStyle w:val="FootnoteReference"/>
        </w:rPr>
        <w:footnoteReference w:id="7"/>
      </w:r>
      <w:r>
        <w:t xml:space="preserve"> An additional </w:t>
      </w:r>
      <w:r w:rsidRPr="0028718D">
        <w:t>$1.</w:t>
      </w:r>
      <w:r w:rsidR="00B50620">
        <w:t>1</w:t>
      </w:r>
      <w:r w:rsidR="00D1430C">
        <w:t>4</w:t>
      </w:r>
      <w:r w:rsidRPr="0028718D">
        <w:t xml:space="preserve"> billion of </w:t>
      </w:r>
      <w:r>
        <w:t>SG</w:t>
      </w:r>
      <w:r w:rsidR="00252C6A">
        <w:t> </w:t>
      </w:r>
      <w:r>
        <w:t>charge</w:t>
      </w:r>
      <w:r w:rsidRPr="0028718D">
        <w:t xml:space="preserve"> debt </w:t>
      </w:r>
      <w:r>
        <w:t>was</w:t>
      </w:r>
      <w:r w:rsidRPr="0028718D">
        <w:t xml:space="preserve"> subject to insolvency</w:t>
      </w:r>
      <w:r>
        <w:t>.</w:t>
      </w:r>
    </w:p>
    <w:p w14:paraId="444FDEBE" w14:textId="404EAF97" w:rsidR="00113D8C" w:rsidRDefault="00201E93" w:rsidP="00113D8C">
      <w:pPr>
        <w:pStyle w:val="Heading2"/>
      </w:pPr>
      <w:bookmarkStart w:id="11" w:name="_Ref131160435"/>
      <w:bookmarkStart w:id="12" w:name="_Toc134198435"/>
      <w:r>
        <w:t xml:space="preserve">1.2 </w:t>
      </w:r>
      <w:r w:rsidR="00113D8C">
        <w:t>Impacts of unpaid SG</w:t>
      </w:r>
      <w:bookmarkEnd w:id="11"/>
      <w:bookmarkEnd w:id="12"/>
    </w:p>
    <w:p w14:paraId="06D7F323" w14:textId="7C8C8B02" w:rsidR="00B63091" w:rsidRDefault="00B63091" w:rsidP="00B63091">
      <w:pPr>
        <w:pStyle w:val="Heading3"/>
      </w:pPr>
      <w:bookmarkStart w:id="13" w:name="_Toc134198436"/>
      <w:r>
        <w:t xml:space="preserve">Who is most likely to not pay </w:t>
      </w:r>
      <w:r w:rsidR="00F60AD6">
        <w:t xml:space="preserve">the </w:t>
      </w:r>
      <w:r>
        <w:t>SG?</w:t>
      </w:r>
      <w:bookmarkEnd w:id="13"/>
    </w:p>
    <w:p w14:paraId="5FBA3D8B" w14:textId="62174696" w:rsidR="00B63091" w:rsidRDefault="001E5E26" w:rsidP="00173BAD">
      <w:pPr>
        <w:pStyle w:val="Bullet"/>
        <w:numPr>
          <w:ilvl w:val="0"/>
          <w:numId w:val="0"/>
        </w:numPr>
        <w:rPr>
          <w:lang w:val="en-AU"/>
        </w:rPr>
      </w:pPr>
      <w:r>
        <w:rPr>
          <w:lang w:val="en-AU"/>
        </w:rPr>
        <w:t>Productivity Commission</w:t>
      </w:r>
      <w:r w:rsidR="00F430F9">
        <w:rPr>
          <w:lang w:val="en-AU"/>
        </w:rPr>
        <w:t xml:space="preserve"> analysis of ATO data</w:t>
      </w:r>
      <w:r>
        <w:rPr>
          <w:lang w:val="en-AU"/>
        </w:rPr>
        <w:t xml:space="preserve"> </w:t>
      </w:r>
      <w:r w:rsidR="00E0710B">
        <w:rPr>
          <w:lang w:val="en-AU"/>
        </w:rPr>
        <w:t xml:space="preserve">found that </w:t>
      </w:r>
      <w:r w:rsidR="00E0710B" w:rsidRPr="003F3CDC">
        <w:rPr>
          <w:lang w:val="en-AU"/>
        </w:rPr>
        <w:t xml:space="preserve">lower-skilled </w:t>
      </w:r>
      <w:r w:rsidR="00B63091" w:rsidRPr="003F3CDC">
        <w:rPr>
          <w:lang w:val="en-AU"/>
        </w:rPr>
        <w:t>service</w:t>
      </w:r>
      <w:r w:rsidR="00AC7B7E">
        <w:rPr>
          <w:lang w:val="en-AU"/>
        </w:rPr>
        <w:t>s</w:t>
      </w:r>
      <w:r w:rsidR="00B63091" w:rsidRPr="003F3CDC">
        <w:rPr>
          <w:lang w:val="en-AU"/>
        </w:rPr>
        <w:t xml:space="preserve"> </w:t>
      </w:r>
      <w:r w:rsidR="00E0710B" w:rsidRPr="003F3CDC">
        <w:rPr>
          <w:lang w:val="en-AU"/>
        </w:rPr>
        <w:t>industries ha</w:t>
      </w:r>
      <w:r w:rsidR="00E0710B">
        <w:rPr>
          <w:lang w:val="en-AU"/>
        </w:rPr>
        <w:t>d</w:t>
      </w:r>
      <w:r w:rsidR="00E0710B" w:rsidRPr="003F3CDC">
        <w:rPr>
          <w:lang w:val="en-AU"/>
        </w:rPr>
        <w:t xml:space="preserve"> the highest incidence of un</w:t>
      </w:r>
      <w:r w:rsidR="00804477">
        <w:rPr>
          <w:lang w:val="en-AU"/>
        </w:rPr>
        <w:t>paid</w:t>
      </w:r>
      <w:r w:rsidR="008A4F64">
        <w:rPr>
          <w:lang w:val="en-AU"/>
        </w:rPr>
        <w:t xml:space="preserve"> </w:t>
      </w:r>
      <w:r w:rsidR="00F430F9">
        <w:rPr>
          <w:lang w:val="en-AU"/>
        </w:rPr>
        <w:t>SG</w:t>
      </w:r>
      <w:r w:rsidR="00B63091" w:rsidRPr="003F3CDC">
        <w:rPr>
          <w:lang w:val="en-AU"/>
        </w:rPr>
        <w:t xml:space="preserve">. </w:t>
      </w:r>
      <w:r w:rsidR="00F13ADE">
        <w:rPr>
          <w:lang w:val="en-AU"/>
        </w:rPr>
        <w:t>I</w:t>
      </w:r>
      <w:r w:rsidR="00B63091" w:rsidRPr="003F3CDC">
        <w:rPr>
          <w:lang w:val="en-AU"/>
        </w:rPr>
        <w:t xml:space="preserve">n 2016-17, 7 per cent of all </w:t>
      </w:r>
      <w:r w:rsidR="00B63091" w:rsidRPr="00946C3B">
        <w:rPr>
          <w:lang w:val="en-AU"/>
        </w:rPr>
        <w:t>accommodation and food services</w:t>
      </w:r>
      <w:r w:rsidR="00B63091" w:rsidRPr="00F764B5">
        <w:rPr>
          <w:lang w:val="en-AU"/>
        </w:rPr>
        <w:t xml:space="preserve"> employers</w:t>
      </w:r>
      <w:r w:rsidR="00B63091" w:rsidRPr="003F3CDC">
        <w:rPr>
          <w:lang w:val="en-AU"/>
        </w:rPr>
        <w:t xml:space="preserve"> were subject to ATO action for </w:t>
      </w:r>
      <w:r w:rsidR="001716FE">
        <w:rPr>
          <w:lang w:val="en-AU"/>
        </w:rPr>
        <w:t>unpaid SG</w:t>
      </w:r>
      <w:r w:rsidR="001716FE" w:rsidRPr="003F3CDC">
        <w:rPr>
          <w:lang w:val="en-AU"/>
        </w:rPr>
        <w:t xml:space="preserve"> </w:t>
      </w:r>
      <w:r w:rsidR="00B63091" w:rsidRPr="003F3CDC">
        <w:rPr>
          <w:lang w:val="en-AU"/>
        </w:rPr>
        <w:t xml:space="preserve">compared with an average of 1.8 per cent of employers across all industries. These cases made up 17 per cent of all </w:t>
      </w:r>
      <w:r w:rsidR="001716FE">
        <w:rPr>
          <w:lang w:val="en-AU"/>
        </w:rPr>
        <w:t xml:space="preserve">unpaid SG </w:t>
      </w:r>
      <w:r w:rsidR="00B63091" w:rsidRPr="003F3CDC">
        <w:rPr>
          <w:lang w:val="en-AU"/>
        </w:rPr>
        <w:t>cases.</w:t>
      </w:r>
      <w:r w:rsidR="004745FA">
        <w:rPr>
          <w:rStyle w:val="FootnoteReference"/>
          <w:lang w:val="en-AU"/>
        </w:rPr>
        <w:footnoteReference w:id="8"/>
      </w:r>
      <w:r w:rsidR="00B63091" w:rsidRPr="003F3CDC">
        <w:rPr>
          <w:lang w:val="en-AU"/>
        </w:rPr>
        <w:t xml:space="preserve"> </w:t>
      </w:r>
    </w:p>
    <w:p w14:paraId="313BEB7C" w14:textId="0902F61B" w:rsidR="004F7BE2" w:rsidRDefault="000F5D09" w:rsidP="00173BAD">
      <w:pPr>
        <w:pStyle w:val="Bullet"/>
        <w:numPr>
          <w:ilvl w:val="0"/>
          <w:numId w:val="0"/>
        </w:numPr>
      </w:pPr>
      <w:r>
        <w:t xml:space="preserve">The ATO’s analysis of ATO and third-party data </w:t>
      </w:r>
      <w:r w:rsidR="004745FA">
        <w:t xml:space="preserve">found </w:t>
      </w:r>
      <w:r w:rsidRPr="00946C3B">
        <w:t>small and micro businesses</w:t>
      </w:r>
      <w:r>
        <w:t xml:space="preserve"> </w:t>
      </w:r>
      <w:r w:rsidR="006352A0">
        <w:t>were most likely to have unpaid SG</w:t>
      </w:r>
      <w:r>
        <w:t>.</w:t>
      </w:r>
      <w:r w:rsidR="00852DAC">
        <w:rPr>
          <w:lang w:val="en-AU"/>
        </w:rPr>
        <w:t xml:space="preserve"> </w:t>
      </w:r>
      <w:r w:rsidR="00284A18">
        <w:rPr>
          <w:lang w:val="en-AU"/>
        </w:rPr>
        <w:t>Of the businesses audited by the ATO</w:t>
      </w:r>
      <w:r w:rsidR="00304007">
        <w:rPr>
          <w:lang w:val="en-AU"/>
        </w:rPr>
        <w:t xml:space="preserve"> for unpaid SG</w:t>
      </w:r>
      <w:r w:rsidR="00284A18">
        <w:rPr>
          <w:lang w:val="en-AU"/>
        </w:rPr>
        <w:t xml:space="preserve">, </w:t>
      </w:r>
      <w:r w:rsidR="00852DAC">
        <w:t>92</w:t>
      </w:r>
      <w:r w:rsidR="00EB731E">
        <w:t xml:space="preserve"> per cent </w:t>
      </w:r>
      <w:r w:rsidR="0035069D">
        <w:t>had</w:t>
      </w:r>
      <w:r w:rsidR="00EB731E">
        <w:t xml:space="preserve"> </w:t>
      </w:r>
      <w:r w:rsidR="0035069D">
        <w:t>a</w:t>
      </w:r>
      <w:r w:rsidR="00EB731E">
        <w:t xml:space="preserve"> turnover </w:t>
      </w:r>
      <w:r w:rsidR="0035069D">
        <w:t>of</w:t>
      </w:r>
      <w:r w:rsidR="00EB731E">
        <w:t xml:space="preserve"> under $10 million</w:t>
      </w:r>
      <w:r w:rsidR="0035069D">
        <w:t>.</w:t>
      </w:r>
      <w:r w:rsidR="00FD429A">
        <w:rPr>
          <w:rStyle w:val="FootnoteReference"/>
        </w:rPr>
        <w:footnoteReference w:id="9"/>
      </w:r>
      <w:r w:rsidR="007E3DD9">
        <w:t xml:space="preserve"> Only 14 per cent of these audits were on employers with </w:t>
      </w:r>
      <w:r w:rsidR="00804791">
        <w:t>more than 30 employees</w:t>
      </w:r>
      <w:r w:rsidR="0035069D">
        <w:t>.</w:t>
      </w:r>
      <w:r w:rsidR="00EB731E">
        <w:t xml:space="preserve"> </w:t>
      </w:r>
      <w:r w:rsidR="00877233">
        <w:t>Smaller</w:t>
      </w:r>
      <w:r w:rsidR="00461A87">
        <w:t xml:space="preserve"> employers with between 30 and 11 employees </w:t>
      </w:r>
      <w:r w:rsidR="003F7614">
        <w:t xml:space="preserve">accounted for </w:t>
      </w:r>
      <w:r w:rsidR="00F25796">
        <w:t>34</w:t>
      </w:r>
      <w:r w:rsidR="00EB731E">
        <w:t xml:space="preserve"> per cent </w:t>
      </w:r>
      <w:r w:rsidR="0035069D">
        <w:t xml:space="preserve">of </w:t>
      </w:r>
      <w:r w:rsidR="003F7614">
        <w:t xml:space="preserve">employer </w:t>
      </w:r>
      <w:r w:rsidR="0069020D">
        <w:t>audits</w:t>
      </w:r>
      <w:r w:rsidR="003F7614">
        <w:t>,</w:t>
      </w:r>
      <w:r w:rsidR="00EB731E">
        <w:t xml:space="preserve"> and 44 per cent </w:t>
      </w:r>
      <w:r w:rsidR="0069020D">
        <w:t>of total audits were conducted against employers with</w:t>
      </w:r>
      <w:r w:rsidR="00EB731E">
        <w:t xml:space="preserve"> 10 or fewer employees</w:t>
      </w:r>
      <w:r w:rsidR="00852DAC">
        <w:t>.</w:t>
      </w:r>
    </w:p>
    <w:p w14:paraId="5477B776" w14:textId="48063458" w:rsidR="00305F11" w:rsidRPr="00852DAC" w:rsidRDefault="00274436" w:rsidP="00173BAD">
      <w:pPr>
        <w:pStyle w:val="Bullet"/>
        <w:numPr>
          <w:ilvl w:val="0"/>
          <w:numId w:val="0"/>
        </w:numPr>
        <w:rPr>
          <w:lang w:val="en-AU"/>
        </w:rPr>
      </w:pPr>
      <w:r>
        <w:t>A</w:t>
      </w:r>
      <w:r w:rsidR="00594B7D">
        <w:t xml:space="preserve">ustralian </w:t>
      </w:r>
      <w:r>
        <w:t>N</w:t>
      </w:r>
      <w:r w:rsidR="00594B7D">
        <w:t xml:space="preserve">ational </w:t>
      </w:r>
      <w:r>
        <w:t>A</w:t>
      </w:r>
      <w:r w:rsidR="00594B7D">
        <w:t xml:space="preserve">udit </w:t>
      </w:r>
      <w:r>
        <w:t>O</w:t>
      </w:r>
      <w:r w:rsidR="00594B7D">
        <w:t>ffice (ANAO)</w:t>
      </w:r>
      <w:r>
        <w:t xml:space="preserve"> analysis of </w:t>
      </w:r>
      <w:r w:rsidR="00603200">
        <w:t>ATO dat</w:t>
      </w:r>
      <w:r w:rsidR="00880AC1">
        <w:t>a</w:t>
      </w:r>
      <w:r w:rsidR="00603200">
        <w:t xml:space="preserve"> </w:t>
      </w:r>
      <w:r w:rsidR="004A2AB3">
        <w:t>found that the three</w:t>
      </w:r>
      <w:r w:rsidR="00781B56">
        <w:t xml:space="preserve"> most high-risk industries, </w:t>
      </w:r>
      <w:r w:rsidR="00781B56" w:rsidRPr="00946C3B">
        <w:rPr>
          <w:lang w:val="en-AU"/>
        </w:rPr>
        <w:t>accommodation and food services</w:t>
      </w:r>
      <w:r w:rsidR="00781B56" w:rsidRPr="007815A2">
        <w:rPr>
          <w:lang w:val="en-AU"/>
        </w:rPr>
        <w:t xml:space="preserve">, </w:t>
      </w:r>
      <w:r w:rsidR="00781B56" w:rsidRPr="00946C3B">
        <w:rPr>
          <w:lang w:val="en-AU"/>
        </w:rPr>
        <w:t>construction</w:t>
      </w:r>
      <w:r w:rsidR="00781B56" w:rsidRPr="007815A2">
        <w:rPr>
          <w:lang w:val="en-AU"/>
        </w:rPr>
        <w:t xml:space="preserve"> and </w:t>
      </w:r>
      <w:r w:rsidR="00781B56" w:rsidRPr="00946C3B">
        <w:rPr>
          <w:lang w:val="en-AU"/>
        </w:rPr>
        <w:t>retail trade</w:t>
      </w:r>
      <w:r w:rsidR="00E8227B" w:rsidRPr="00E8227B">
        <w:t xml:space="preserve"> </w:t>
      </w:r>
      <w:r w:rsidR="00E8227B">
        <w:t xml:space="preserve">accounted for </w:t>
      </w:r>
      <w:r w:rsidR="00FF7C17">
        <w:t xml:space="preserve">25 per cent of all ATO SG compliance activity in </w:t>
      </w:r>
      <w:r w:rsidR="00E8227B" w:rsidRPr="00603200">
        <w:t>2017</w:t>
      </w:r>
      <w:r w:rsidR="00535A8E">
        <w:t>-</w:t>
      </w:r>
      <w:r w:rsidR="00E8227B" w:rsidRPr="00603200">
        <w:t>18</w:t>
      </w:r>
      <w:r w:rsidR="00077D28">
        <w:t>.</w:t>
      </w:r>
      <w:r w:rsidR="00077D28">
        <w:rPr>
          <w:rStyle w:val="FootnoteReference"/>
        </w:rPr>
        <w:footnoteReference w:id="10"/>
      </w:r>
      <w:r w:rsidR="00077D28">
        <w:t xml:space="preserve"> This share</w:t>
      </w:r>
      <w:r w:rsidR="00FF7C17">
        <w:t xml:space="preserve"> declin</w:t>
      </w:r>
      <w:r w:rsidR="00077D28">
        <w:t>ed</w:t>
      </w:r>
      <w:r w:rsidR="00FF7C17">
        <w:t xml:space="preserve"> to around 14 per cent in </w:t>
      </w:r>
      <w:r w:rsidR="00E8227B" w:rsidRPr="00603200">
        <w:t>2020–21</w:t>
      </w:r>
      <w:r w:rsidR="00FF7C17">
        <w:t>.</w:t>
      </w:r>
    </w:p>
    <w:p w14:paraId="1FB27A99" w14:textId="7FD451F3" w:rsidR="00351E0A" w:rsidRDefault="0012405E" w:rsidP="00D74A5B">
      <w:pPr>
        <w:pStyle w:val="Heading3"/>
      </w:pPr>
      <w:bookmarkStart w:id="14" w:name="_Toc134198437"/>
      <w:r>
        <w:t>Who is</w:t>
      </w:r>
      <w:r w:rsidR="00B63091">
        <w:t xml:space="preserve"> most likely to be</w:t>
      </w:r>
      <w:r>
        <w:t xml:space="preserve"> impacted</w:t>
      </w:r>
      <w:r w:rsidR="00E63684">
        <w:t xml:space="preserve"> by unpaid SG</w:t>
      </w:r>
      <w:r>
        <w:t>?</w:t>
      </w:r>
      <w:bookmarkEnd w:id="14"/>
    </w:p>
    <w:p w14:paraId="54AAD3D6" w14:textId="4BA19505" w:rsidR="00945353" w:rsidRDefault="00801080" w:rsidP="00945353">
      <w:pPr>
        <w:pStyle w:val="BodyText"/>
      </w:pPr>
      <w:r>
        <w:t>The a</w:t>
      </w:r>
      <w:r w:rsidR="00652AF6">
        <w:t xml:space="preserve">nalysis by the </w:t>
      </w:r>
      <w:r w:rsidR="00DF35DA">
        <w:t>Retirement</w:t>
      </w:r>
      <w:r w:rsidR="00652AF6">
        <w:t xml:space="preserve"> Income Review</w:t>
      </w:r>
      <w:r w:rsidR="00DF35DA">
        <w:t xml:space="preserve"> </w:t>
      </w:r>
      <w:r w:rsidR="00F13ADE">
        <w:t xml:space="preserve">in 2020 </w:t>
      </w:r>
      <w:r w:rsidR="00DF35DA">
        <w:t>on</w:t>
      </w:r>
      <w:r w:rsidR="00945353">
        <w:t xml:space="preserve"> ATO compliance activity </w:t>
      </w:r>
      <w:r w:rsidR="00F13ADE">
        <w:t>found</w:t>
      </w:r>
      <w:r w:rsidR="00945353">
        <w:t xml:space="preserve"> </w:t>
      </w:r>
      <w:r w:rsidR="00DF35DA">
        <w:t xml:space="preserve">that </w:t>
      </w:r>
      <w:r w:rsidR="00945353">
        <w:t xml:space="preserve">employees </w:t>
      </w:r>
      <w:r w:rsidR="00C677A7">
        <w:t xml:space="preserve">were </w:t>
      </w:r>
      <w:r w:rsidR="00945353">
        <w:t xml:space="preserve">more likely to have unpaid SG </w:t>
      </w:r>
      <w:r w:rsidR="00C677A7">
        <w:t xml:space="preserve">if they </w:t>
      </w:r>
      <w:r w:rsidR="0056723D">
        <w:t>were</w:t>
      </w:r>
      <w:r w:rsidR="00945353">
        <w:t>:</w:t>
      </w:r>
    </w:p>
    <w:p w14:paraId="5FCD1516" w14:textId="2B79C736" w:rsidR="00945353" w:rsidRPr="007815A2" w:rsidRDefault="00801080" w:rsidP="002D243E">
      <w:pPr>
        <w:pStyle w:val="Bullet"/>
      </w:pPr>
      <w:r>
        <w:t>w</w:t>
      </w:r>
      <w:r w:rsidR="00945353">
        <w:t xml:space="preserve">orking for </w:t>
      </w:r>
      <w:r w:rsidR="00945353" w:rsidRPr="00946C3B">
        <w:t>businesses with annual turnover of less than $2 million</w:t>
      </w:r>
      <w:r w:rsidR="00945353" w:rsidRPr="007815A2">
        <w:t>, which account for most cases of SG underpayment</w:t>
      </w:r>
      <w:r w:rsidR="00A35737" w:rsidRPr="007815A2">
        <w:t>,</w:t>
      </w:r>
    </w:p>
    <w:p w14:paraId="444F66A1" w14:textId="10DEC8E5" w:rsidR="00945353" w:rsidRPr="007815A2" w:rsidRDefault="00003039" w:rsidP="002D243E">
      <w:pPr>
        <w:pStyle w:val="Bullet"/>
      </w:pPr>
      <w:r w:rsidRPr="007815A2">
        <w:t>w</w:t>
      </w:r>
      <w:r w:rsidR="00945353" w:rsidRPr="007815A2">
        <w:t xml:space="preserve">orking in the </w:t>
      </w:r>
      <w:r w:rsidR="00945353" w:rsidRPr="00946C3B">
        <w:t>accommodation and food services, and construction industries</w:t>
      </w:r>
      <w:r w:rsidR="00945353" w:rsidRPr="007815A2">
        <w:t xml:space="preserve">, which </w:t>
      </w:r>
      <w:r w:rsidR="00610F61">
        <w:t>were</w:t>
      </w:r>
      <w:r w:rsidR="00610F61" w:rsidRPr="007815A2">
        <w:t xml:space="preserve"> </w:t>
      </w:r>
      <w:r w:rsidR="00945353" w:rsidRPr="007815A2">
        <w:t>over-represented in SG non-compliance relative to their proportion of total employment</w:t>
      </w:r>
      <w:r w:rsidR="00A35737" w:rsidRPr="007815A2">
        <w:t>,</w:t>
      </w:r>
    </w:p>
    <w:p w14:paraId="60569ED4" w14:textId="07314BD9" w:rsidR="00945353" w:rsidRPr="007815A2" w:rsidRDefault="00003039" w:rsidP="002D243E">
      <w:pPr>
        <w:pStyle w:val="Bullet"/>
      </w:pPr>
      <w:r w:rsidRPr="007815A2">
        <w:t>o</w:t>
      </w:r>
      <w:r w:rsidR="00945353" w:rsidRPr="007815A2">
        <w:t xml:space="preserve">n </w:t>
      </w:r>
      <w:r w:rsidR="00945353" w:rsidRPr="00946C3B">
        <w:t>lower incomes</w:t>
      </w:r>
      <w:r w:rsidR="00A35737" w:rsidRPr="007815A2">
        <w:t>,</w:t>
      </w:r>
      <w:r w:rsidR="00EC21EF" w:rsidRPr="007815A2">
        <w:t xml:space="preserve"> and</w:t>
      </w:r>
    </w:p>
    <w:p w14:paraId="1E161BC2" w14:textId="4DCDB821" w:rsidR="00945353" w:rsidRDefault="00003039" w:rsidP="002D243E">
      <w:pPr>
        <w:pStyle w:val="Bullet"/>
      </w:pPr>
      <w:r w:rsidRPr="007815A2">
        <w:t>w</w:t>
      </w:r>
      <w:r w:rsidR="00945353" w:rsidRPr="007815A2">
        <w:t xml:space="preserve">orking for </w:t>
      </w:r>
      <w:r w:rsidR="00945353" w:rsidRPr="00946C3B">
        <w:t>insolvent businesses</w:t>
      </w:r>
      <w:r w:rsidR="00945353" w:rsidRPr="007815A2">
        <w:t>,</w:t>
      </w:r>
      <w:r w:rsidR="00945353">
        <w:t xml:space="preserve"> which </w:t>
      </w:r>
      <w:r w:rsidR="00610F61">
        <w:t xml:space="preserve">were </w:t>
      </w:r>
      <w:r w:rsidR="00945353">
        <w:t>responsible for about half of superannuation debt, especially those engaging in ‘phoenix activity’.</w:t>
      </w:r>
      <w:r w:rsidR="008F6B7D">
        <w:rPr>
          <w:rStyle w:val="FootnoteReference"/>
        </w:rPr>
        <w:footnoteReference w:id="11"/>
      </w:r>
    </w:p>
    <w:p w14:paraId="29B8F743" w14:textId="5775A768" w:rsidR="003F3CDC" w:rsidRDefault="00816DD5" w:rsidP="003F3CDC">
      <w:pPr>
        <w:pStyle w:val="Bullet"/>
        <w:numPr>
          <w:ilvl w:val="0"/>
          <w:numId w:val="0"/>
        </w:numPr>
        <w:rPr>
          <w:lang w:val="en-AU"/>
        </w:rPr>
      </w:pPr>
      <w:r>
        <w:rPr>
          <w:lang w:val="en-AU"/>
        </w:rPr>
        <w:t>In 2018, the Productivity Commission found that d</w:t>
      </w:r>
      <w:r w:rsidR="003F3CDC" w:rsidRPr="003F3CDC">
        <w:rPr>
          <w:lang w:val="en-AU"/>
        </w:rPr>
        <w:t xml:space="preserve">ata on the employees who lodged an SG underpayment notification with the ATO </w:t>
      </w:r>
      <w:r>
        <w:rPr>
          <w:lang w:val="en-AU"/>
        </w:rPr>
        <w:t>were</w:t>
      </w:r>
      <w:r w:rsidR="003F3CDC" w:rsidRPr="003F3CDC">
        <w:rPr>
          <w:lang w:val="en-AU"/>
        </w:rPr>
        <w:t xml:space="preserve"> typically </w:t>
      </w:r>
      <w:r w:rsidR="003F3CDC" w:rsidRPr="00946C3B">
        <w:rPr>
          <w:lang w:val="en-AU"/>
        </w:rPr>
        <w:t>younger</w:t>
      </w:r>
      <w:r w:rsidR="003F3CDC" w:rsidRPr="003F3CDC">
        <w:rPr>
          <w:lang w:val="en-AU"/>
        </w:rPr>
        <w:t xml:space="preserve"> and </w:t>
      </w:r>
      <w:r w:rsidR="0056723D">
        <w:rPr>
          <w:lang w:val="en-AU"/>
        </w:rPr>
        <w:t>had</w:t>
      </w:r>
      <w:r w:rsidR="0056723D" w:rsidRPr="003F3CDC">
        <w:rPr>
          <w:lang w:val="en-AU"/>
        </w:rPr>
        <w:t xml:space="preserve"> </w:t>
      </w:r>
      <w:r w:rsidR="003F3CDC" w:rsidRPr="00946C3B">
        <w:rPr>
          <w:lang w:val="en-AU"/>
        </w:rPr>
        <w:t>lower</w:t>
      </w:r>
      <w:r w:rsidR="00A47298" w:rsidRPr="00946C3B">
        <w:rPr>
          <w:lang w:val="en-AU"/>
        </w:rPr>
        <w:t xml:space="preserve"> </w:t>
      </w:r>
      <w:r w:rsidR="003F3CDC" w:rsidRPr="00946C3B">
        <w:rPr>
          <w:lang w:val="en-AU"/>
        </w:rPr>
        <w:t>income</w:t>
      </w:r>
      <w:r w:rsidR="003F3CDC" w:rsidRPr="003F3CDC">
        <w:rPr>
          <w:lang w:val="en-AU"/>
        </w:rPr>
        <w:t xml:space="preserve"> than the working population more broadly.</w:t>
      </w:r>
      <w:r w:rsidR="00464C1E">
        <w:rPr>
          <w:lang w:val="en-AU"/>
        </w:rPr>
        <w:t xml:space="preserve"> </w:t>
      </w:r>
      <w:r w:rsidR="003F3CDC" w:rsidRPr="003F3CDC">
        <w:rPr>
          <w:lang w:val="en-AU"/>
        </w:rPr>
        <w:t xml:space="preserve">For example, nearly 50 per cent of employees reporting underpayment were aged under 34 years, compared with </w:t>
      </w:r>
      <w:r w:rsidR="00EA69BC">
        <w:rPr>
          <w:lang w:val="en-AU"/>
        </w:rPr>
        <w:t xml:space="preserve">the rate of </w:t>
      </w:r>
      <w:r w:rsidR="003F3CDC" w:rsidRPr="003F3CDC">
        <w:rPr>
          <w:lang w:val="en-AU"/>
        </w:rPr>
        <w:t>38 per cent for all employees. Further, 76 per cent of employees reporting underpayment earned under $60</w:t>
      </w:r>
      <w:r w:rsidR="005619B5">
        <w:rPr>
          <w:lang w:val="en-AU"/>
        </w:rPr>
        <w:t>,</w:t>
      </w:r>
      <w:r w:rsidR="003F3CDC" w:rsidRPr="003F3CDC">
        <w:rPr>
          <w:lang w:val="en-AU"/>
        </w:rPr>
        <w:t>000, compared with 66 per cent for all employees</w:t>
      </w:r>
      <w:r w:rsidR="003F3CDC">
        <w:t>.</w:t>
      </w:r>
      <w:r w:rsidR="00A830F1">
        <w:rPr>
          <w:rStyle w:val="FootnoteReference"/>
        </w:rPr>
        <w:footnoteReference w:id="12"/>
      </w:r>
    </w:p>
    <w:p w14:paraId="4801108C" w14:textId="18470ABF" w:rsidR="003C52E9" w:rsidRDefault="00C62C42" w:rsidP="00931780">
      <w:pPr>
        <w:pStyle w:val="Heading3"/>
      </w:pPr>
      <w:bookmarkStart w:id="15" w:name="_Toc134198438"/>
      <w:r>
        <w:t>What are the</w:t>
      </w:r>
      <w:r w:rsidR="003A3F5B">
        <w:t xml:space="preserve"> impact</w:t>
      </w:r>
      <w:r>
        <w:t>s of</w:t>
      </w:r>
      <w:r w:rsidR="003A3F5B">
        <w:t xml:space="preserve"> </w:t>
      </w:r>
      <w:r w:rsidR="00E63684">
        <w:t>unpaid SG</w:t>
      </w:r>
      <w:r w:rsidR="003C52E9">
        <w:t>?</w:t>
      </w:r>
      <w:bookmarkEnd w:id="15"/>
    </w:p>
    <w:p w14:paraId="641A1224" w14:textId="5291F590" w:rsidR="0083069D" w:rsidRPr="0083069D" w:rsidRDefault="0083069D" w:rsidP="0083069D">
      <w:pPr>
        <w:pStyle w:val="Heading4"/>
      </w:pPr>
      <w:r w:rsidRPr="0083069D">
        <w:t>Lower retirement savings</w:t>
      </w:r>
    </w:p>
    <w:p w14:paraId="243B3C7F" w14:textId="0EB7C9CA" w:rsidR="006E40C1" w:rsidRDefault="005F2E8A" w:rsidP="006E40C1">
      <w:r>
        <w:t xml:space="preserve">Unpaid SG can </w:t>
      </w:r>
      <w:r w:rsidR="009A46D7">
        <w:t xml:space="preserve">result in lower retirement outcomes for individuals due </w:t>
      </w:r>
      <w:r w:rsidR="006F2312">
        <w:t>to</w:t>
      </w:r>
      <w:r w:rsidR="009A46D7">
        <w:t xml:space="preserve"> the loss of</w:t>
      </w:r>
      <w:r w:rsidR="006E40C1">
        <w:t xml:space="preserve"> </w:t>
      </w:r>
      <w:r w:rsidR="009A46D7">
        <w:t>SG</w:t>
      </w:r>
      <w:r w:rsidR="006E40C1">
        <w:t xml:space="preserve"> contributions and the associated foregone compounded </w:t>
      </w:r>
      <w:r w:rsidR="009A46D7">
        <w:t>earnings</w:t>
      </w:r>
      <w:r w:rsidR="006E40C1">
        <w:t xml:space="preserve">. </w:t>
      </w:r>
    </w:p>
    <w:p w14:paraId="444002F4" w14:textId="2A8DC819" w:rsidR="0017570F" w:rsidRDefault="0017570F" w:rsidP="006E40C1">
      <w:pPr>
        <w:pStyle w:val="Bullet"/>
        <w:numPr>
          <w:ilvl w:val="0"/>
          <w:numId w:val="0"/>
        </w:numPr>
      </w:pPr>
      <w:r>
        <w:t>Cameo modelling</w:t>
      </w:r>
      <w:r w:rsidR="007E6E8E">
        <w:t xml:space="preserve"> from the Retirement Income Review</w:t>
      </w:r>
      <w:r>
        <w:t xml:space="preserve"> shows that a lower-income, younger employee who is not paid the SG for two years experiences a larger decrease in their superannuation balance and retirement income than an older worker who is not paid the SG for the same period.</w:t>
      </w:r>
      <w:r w:rsidR="002A4FAF" w:rsidRPr="002A4FAF">
        <w:rPr>
          <w:rStyle w:val="FootnoteReference"/>
        </w:rPr>
        <w:t xml:space="preserve"> </w:t>
      </w:r>
      <w:r w:rsidR="002A4FAF">
        <w:rPr>
          <w:rStyle w:val="FootnoteReference"/>
        </w:rPr>
        <w:footnoteReference w:id="13"/>
      </w:r>
      <w:r>
        <w:t xml:space="preserve"> This is because the younger employee misses out on the benefits of compounding returns.</w:t>
      </w:r>
    </w:p>
    <w:p w14:paraId="366BCD37" w14:textId="1FAB6A08" w:rsidR="003A3F5B" w:rsidRDefault="00901928" w:rsidP="00A52EA7">
      <w:pPr>
        <w:pStyle w:val="Bullet"/>
        <w:numPr>
          <w:ilvl w:val="0"/>
          <w:numId w:val="0"/>
        </w:numPr>
        <w:jc w:val="both"/>
      </w:pPr>
      <w:r>
        <w:t>The Productivity Commission report found that unpaid SG was a significant source of erosion on individuals</w:t>
      </w:r>
      <w:r w:rsidR="00241DCF">
        <w:t>’</w:t>
      </w:r>
      <w:r>
        <w:t xml:space="preserve"> superannuation savings. C</w:t>
      </w:r>
      <w:r w:rsidR="003A3F5B">
        <w:t xml:space="preserve">ameo </w:t>
      </w:r>
      <w:r w:rsidR="006E40C1">
        <w:t>modelling</w:t>
      </w:r>
      <w:r w:rsidR="003A3F5B">
        <w:t xml:space="preserve"> </w:t>
      </w:r>
      <w:r w:rsidR="00E34209">
        <w:t>completed by the Productivity Commission</w:t>
      </w:r>
      <w:r w:rsidR="000A2BC5">
        <w:t xml:space="preserve"> </w:t>
      </w:r>
      <w:r w:rsidR="003A3F5B">
        <w:t>indicate</w:t>
      </w:r>
      <w:r w:rsidR="006E40C1">
        <w:t>d</w:t>
      </w:r>
      <w:r w:rsidR="003A3F5B">
        <w:t xml:space="preserve"> that a person whose employer does not pay 50 per cent of due contributions during the early years of the person’s career (while they are aged 21 to 25) would have a retirement balance 7.6 per cent ($63</w:t>
      </w:r>
      <w:r w:rsidR="005619B5">
        <w:t>,</w:t>
      </w:r>
      <w:r w:rsidR="003A3F5B">
        <w:t>000) lower than a peer who received all their contributions</w:t>
      </w:r>
      <w:r w:rsidR="004B3D6B">
        <w:t>.</w:t>
      </w:r>
      <w:r w:rsidR="004B3D6B">
        <w:rPr>
          <w:rStyle w:val="FootnoteReference"/>
        </w:rPr>
        <w:footnoteReference w:id="14"/>
      </w:r>
    </w:p>
    <w:p w14:paraId="050AE167" w14:textId="4FDFD08D" w:rsidR="000C15B5" w:rsidRDefault="000C15B5" w:rsidP="000C15B5">
      <w:pPr>
        <w:pStyle w:val="Heading4"/>
      </w:pPr>
      <w:r>
        <w:t>Longer working lives</w:t>
      </w:r>
    </w:p>
    <w:p w14:paraId="6EAF3F0E" w14:textId="4548EC59" w:rsidR="008B30C7" w:rsidRDefault="000349AD" w:rsidP="0058377A">
      <w:pPr>
        <w:pStyle w:val="BodyText"/>
      </w:pPr>
      <w:r>
        <w:t>Where SG remains unpaid or underpaid, despite ATO efforts to recover amounts, s</w:t>
      </w:r>
      <w:r w:rsidR="000C15B5">
        <w:t xml:space="preserve">ome individuals </w:t>
      </w:r>
      <w:r>
        <w:t xml:space="preserve">may </w:t>
      </w:r>
      <w:r w:rsidR="000C15B5">
        <w:t xml:space="preserve">work longer to make up for </w:t>
      </w:r>
      <w:r>
        <w:t xml:space="preserve">these </w:t>
      </w:r>
      <w:r w:rsidR="000C15B5">
        <w:t>amounts lost during their working life</w:t>
      </w:r>
      <w:r w:rsidR="00B72BB1">
        <w:t>.</w:t>
      </w:r>
      <w:r w:rsidR="00B72BB1">
        <w:rPr>
          <w:rStyle w:val="FootnoteReference"/>
        </w:rPr>
        <w:footnoteReference w:id="15"/>
      </w:r>
      <w:r w:rsidR="008B30C7">
        <w:t xml:space="preserve"> </w:t>
      </w:r>
      <w:r w:rsidR="00606C42">
        <w:t xml:space="preserve">This is particularly the case where a business becomes </w:t>
      </w:r>
      <w:r w:rsidR="00D43A2D">
        <w:t>insolvent,</w:t>
      </w:r>
      <w:r w:rsidR="00606C42">
        <w:t xml:space="preserve"> and amounts cannot be recovered. </w:t>
      </w:r>
    </w:p>
    <w:p w14:paraId="692F209A" w14:textId="5FBBAE7B" w:rsidR="00D43A2D" w:rsidRPr="000C15B5" w:rsidRDefault="0058377A" w:rsidP="0058377A">
      <w:pPr>
        <w:pStyle w:val="BodyText"/>
      </w:pPr>
      <w:r>
        <w:t xml:space="preserve">Figures from the Australian Securities and Investments Commission (ASIC) reported by </w:t>
      </w:r>
      <w:r w:rsidRPr="0058377A">
        <w:t xml:space="preserve">the Senate Economics References Committee </w:t>
      </w:r>
      <w:r>
        <w:t>show</w:t>
      </w:r>
      <w:r w:rsidR="007A63FA">
        <w:t xml:space="preserve">ed </w:t>
      </w:r>
      <w:r>
        <w:t>that in 2018</w:t>
      </w:r>
      <w:r w:rsidR="00535A8E">
        <w:t>-</w:t>
      </w:r>
      <w:r>
        <w:t>19 nearly 48 per cent of insolvencies involved unpaid SG contributions.</w:t>
      </w:r>
      <w:r w:rsidR="00D43A2D">
        <w:rPr>
          <w:rStyle w:val="FootnoteReference"/>
        </w:rPr>
        <w:footnoteReference w:id="16"/>
      </w:r>
      <w:r w:rsidR="00353417">
        <w:t xml:space="preserve"> </w:t>
      </w:r>
      <w:r w:rsidR="00D43A2D">
        <w:t>A large portion of SG debts raised by the ATO are deemed unrecoverable</w:t>
      </w:r>
      <w:r w:rsidR="00353417">
        <w:t xml:space="preserve"> with</w:t>
      </w:r>
      <w:r w:rsidR="00D43A2D">
        <w:t xml:space="preserve"> </w:t>
      </w:r>
      <w:r w:rsidR="00353417">
        <w:t>t</w:t>
      </w:r>
      <w:r w:rsidR="00D43A2D">
        <w:t xml:space="preserve">he ATO </w:t>
      </w:r>
      <w:r w:rsidR="00353417">
        <w:t>A</w:t>
      </w:r>
      <w:r w:rsidR="00D43A2D">
        <w:t xml:space="preserve">nnual </w:t>
      </w:r>
      <w:r w:rsidR="00353417">
        <w:t>R</w:t>
      </w:r>
      <w:r w:rsidR="00D43A2D">
        <w:t>eport stat</w:t>
      </w:r>
      <w:r w:rsidR="00353417">
        <w:t>ing</w:t>
      </w:r>
      <w:r w:rsidR="00D43A2D">
        <w:t xml:space="preserve"> that in 2021-22, $1.2 billion of SG charge</w:t>
      </w:r>
      <w:r w:rsidR="00D43A2D" w:rsidRPr="0028718D">
        <w:t xml:space="preserve"> debt </w:t>
      </w:r>
      <w:r w:rsidR="00D43A2D">
        <w:t>was</w:t>
      </w:r>
      <w:r w:rsidR="00D43A2D" w:rsidRPr="0028718D">
        <w:t xml:space="preserve"> subject to insolvency</w:t>
      </w:r>
      <w:r w:rsidR="00D43A2D">
        <w:t>.</w:t>
      </w:r>
      <w:r w:rsidR="00D43A2D">
        <w:rPr>
          <w:rStyle w:val="FootnoteReference"/>
        </w:rPr>
        <w:footnoteReference w:id="17"/>
      </w:r>
    </w:p>
    <w:p w14:paraId="0BA28FF1" w14:textId="432CCE72" w:rsidR="003A3F5B" w:rsidRDefault="003A3F5B" w:rsidP="003A3F5B">
      <w:pPr>
        <w:pStyle w:val="Heading4"/>
      </w:pPr>
      <w:r>
        <w:t>Loss of insurance cover</w:t>
      </w:r>
      <w:r w:rsidRPr="00B561C8">
        <w:t xml:space="preserve"> </w:t>
      </w:r>
    </w:p>
    <w:p w14:paraId="2F16A2F0" w14:textId="3E21863E" w:rsidR="00EC480F" w:rsidRDefault="000423B8" w:rsidP="009017F3">
      <w:pPr>
        <w:pStyle w:val="BodyText"/>
      </w:pPr>
      <w:r>
        <w:t>In</w:t>
      </w:r>
      <w:r w:rsidR="005D396A">
        <w:t xml:space="preserve"> 2022 the </w:t>
      </w:r>
      <w:r w:rsidR="005D396A" w:rsidRPr="00011DDB">
        <w:t>Senate Economics References Committee</w:t>
      </w:r>
      <w:r w:rsidR="005D396A">
        <w:t xml:space="preserve"> reported that a consequence</w:t>
      </w:r>
      <w:r w:rsidR="00B561C8" w:rsidRPr="00B561C8">
        <w:t xml:space="preserve"> of unpaid </w:t>
      </w:r>
      <w:r w:rsidR="005D557D">
        <w:t>SG</w:t>
      </w:r>
      <w:r w:rsidR="00B561C8" w:rsidRPr="00B561C8">
        <w:t xml:space="preserve"> </w:t>
      </w:r>
      <w:r w:rsidR="00C029E6">
        <w:t>is that some employees can</w:t>
      </w:r>
      <w:r w:rsidR="0026174F">
        <w:t xml:space="preserve"> become ineligible for </w:t>
      </w:r>
      <w:r w:rsidR="00EC480F">
        <w:t xml:space="preserve">certain insurance cover </w:t>
      </w:r>
      <w:r w:rsidR="009017F3">
        <w:t>such as disability or income protection</w:t>
      </w:r>
      <w:r w:rsidR="00E51C31">
        <w:t xml:space="preserve"> as</w:t>
      </w:r>
      <w:r w:rsidR="00167F21">
        <w:t xml:space="preserve"> some</w:t>
      </w:r>
      <w:r w:rsidR="009017F3">
        <w:t xml:space="preserve"> insurance policies require members to make regular SG contributions.</w:t>
      </w:r>
      <w:r w:rsidR="009017F3">
        <w:rPr>
          <w:rStyle w:val="FootnoteReference"/>
        </w:rPr>
        <w:footnoteReference w:id="18"/>
      </w:r>
    </w:p>
    <w:p w14:paraId="0FDDC1A8" w14:textId="4AEF7E5F" w:rsidR="00B56544" w:rsidRDefault="00B56544" w:rsidP="00B56544">
      <w:pPr>
        <w:pStyle w:val="Heading4"/>
      </w:pPr>
      <w:bookmarkStart w:id="16" w:name="_Inequity_between_compliant"/>
      <w:bookmarkEnd w:id="16"/>
      <w:r>
        <w:t>Inequity between compliant and non-compliant employers</w:t>
      </w:r>
    </w:p>
    <w:p w14:paraId="5EB80DB5" w14:textId="220B2B1B" w:rsidR="00670E34" w:rsidRDefault="4F1DD820" w:rsidP="00670E34">
      <w:pPr>
        <w:pStyle w:val="Bullet"/>
        <w:numPr>
          <w:ilvl w:val="0"/>
          <w:numId w:val="0"/>
        </w:numPr>
      </w:pPr>
      <w:r>
        <w:t>U</w:t>
      </w:r>
      <w:r w:rsidRPr="00B561C8">
        <w:t xml:space="preserve">npaid </w:t>
      </w:r>
      <w:r>
        <w:t>SG</w:t>
      </w:r>
      <w:r w:rsidRPr="00B561C8">
        <w:t xml:space="preserve"> </w:t>
      </w:r>
      <w:r w:rsidR="69CFE293">
        <w:t xml:space="preserve">can </w:t>
      </w:r>
      <w:r w:rsidR="51004CE2">
        <w:t>allow non-compliant employers to benefit at the expense of compliant employers</w:t>
      </w:r>
      <w:r w:rsidR="4D02C1D1">
        <w:t>, as non</w:t>
      </w:r>
      <w:r w:rsidR="0081601B">
        <w:noBreakHyphen/>
      </w:r>
      <w:r w:rsidR="4D02C1D1">
        <w:t xml:space="preserve">compliant employers can use unpaid amounts to </w:t>
      </w:r>
      <w:r w:rsidR="4737E46C">
        <w:t xml:space="preserve">artificially bolster </w:t>
      </w:r>
      <w:r w:rsidR="4D02C1D1">
        <w:t>the profitability of the</w:t>
      </w:r>
      <w:r w:rsidR="00066F62">
        <w:t>ir</w:t>
      </w:r>
      <w:r w:rsidR="4D02C1D1">
        <w:t xml:space="preserve"> business</w:t>
      </w:r>
      <w:r w:rsidR="51004CE2">
        <w:t xml:space="preserve">. </w:t>
      </w:r>
      <w:r w:rsidR="00D876AA">
        <w:t>T</w:t>
      </w:r>
      <w:r w:rsidR="3BE00FC6">
        <w:t xml:space="preserve">he </w:t>
      </w:r>
      <w:r w:rsidR="3BE00FC6" w:rsidRPr="00011DDB">
        <w:t>Senate Economics References Committee</w:t>
      </w:r>
      <w:r w:rsidR="3BE00FC6">
        <w:t xml:space="preserve"> reported that </w:t>
      </w:r>
      <w:r w:rsidR="2BA214DA">
        <w:t>unpaid SG</w:t>
      </w:r>
      <w:r w:rsidR="2BA214DA" w:rsidRPr="007D6BE3">
        <w:t xml:space="preserve"> </w:t>
      </w:r>
      <w:r w:rsidR="2BA214DA">
        <w:t>“raises competition issues where those firms that have deliberately underpaid workers have acquired an economic advantage over their competitors who have done the right thing and paid the correct entitlements</w:t>
      </w:r>
      <w:r w:rsidR="00D876AA">
        <w:t>.</w:t>
      </w:r>
      <w:r w:rsidR="2BA214DA">
        <w:t>”</w:t>
      </w:r>
      <w:r w:rsidR="007D6BE3">
        <w:rPr>
          <w:rStyle w:val="FootnoteReference"/>
        </w:rPr>
        <w:footnoteReference w:id="19"/>
      </w:r>
    </w:p>
    <w:p w14:paraId="591765EE" w14:textId="21816A6D" w:rsidR="00F22F8F" w:rsidRDefault="005960AD" w:rsidP="002738C9">
      <w:pPr>
        <w:pStyle w:val="Bullet"/>
        <w:numPr>
          <w:ilvl w:val="0"/>
          <w:numId w:val="0"/>
        </w:numPr>
      </w:pPr>
      <w:r>
        <w:t xml:space="preserve">Underpayments also </w:t>
      </w:r>
      <w:r w:rsidR="00065411">
        <w:t>may</w:t>
      </w:r>
      <w:r w:rsidR="001352AB">
        <w:t xml:space="preserve"> assist </w:t>
      </w:r>
      <w:r>
        <w:t xml:space="preserve">marginal or insolvent businesses </w:t>
      </w:r>
      <w:r w:rsidR="00065411">
        <w:t xml:space="preserve">keep </w:t>
      </w:r>
      <w:r>
        <w:t xml:space="preserve">afloat by </w:t>
      </w:r>
      <w:r w:rsidR="001D038F">
        <w:t xml:space="preserve">enabling them to use </w:t>
      </w:r>
      <w:r w:rsidR="006F7A8C" w:rsidRPr="006F7A8C">
        <w:t>employees' entitlements for cash flow</w:t>
      </w:r>
      <w:r w:rsidR="002738C9">
        <w:t>. W</w:t>
      </w:r>
      <w:r w:rsidR="00AF1B57">
        <w:t>here</w:t>
      </w:r>
      <w:r w:rsidR="00F22F8F">
        <w:t xml:space="preserve"> SG payments are delayed to prolong a business’ life, this ultimately come</w:t>
      </w:r>
      <w:r w:rsidR="00AF1B57">
        <w:t>s</w:t>
      </w:r>
      <w:r w:rsidR="00F22F8F">
        <w:t xml:space="preserve"> at the detriment of employees whose SG is left unpaid</w:t>
      </w:r>
      <w:r w:rsidR="001D038F">
        <w:t xml:space="preserve">, and other businesses who are competing in the market with non-compliant employers. </w:t>
      </w:r>
    </w:p>
    <w:p w14:paraId="05055C26" w14:textId="166D7374" w:rsidR="003F1A33" w:rsidRPr="00115412" w:rsidRDefault="00064755" w:rsidP="00DB305B">
      <w:pPr>
        <w:pStyle w:val="Heading2"/>
      </w:pPr>
      <w:bookmarkStart w:id="17" w:name="_Toc134198439"/>
      <w:r>
        <w:t xml:space="preserve">1.3 </w:t>
      </w:r>
      <w:r w:rsidR="001C747E">
        <w:t>V</w:t>
      </w:r>
      <w:r w:rsidR="006B5E4E">
        <w:t xml:space="preserve">isibility </w:t>
      </w:r>
      <w:r w:rsidR="00DB305B">
        <w:t>of unpaid SG</w:t>
      </w:r>
      <w:bookmarkEnd w:id="17"/>
    </w:p>
    <w:p w14:paraId="0478716D" w14:textId="4C227DA6" w:rsidR="001C747E" w:rsidRPr="001C747E" w:rsidRDefault="001C747E" w:rsidP="003D31C4">
      <w:pPr>
        <w:pStyle w:val="Heading3"/>
      </w:pPr>
      <w:bookmarkStart w:id="18" w:name="_Toc134198440"/>
      <w:r>
        <w:t>ATO</w:t>
      </w:r>
      <w:bookmarkEnd w:id="18"/>
    </w:p>
    <w:p w14:paraId="7F73177F" w14:textId="47C9F6A7" w:rsidR="003E39BC" w:rsidRDefault="005917FC" w:rsidP="003D31C4">
      <w:pPr>
        <w:pStyle w:val="Heading4"/>
      </w:pPr>
      <w:r>
        <w:t>Detecti</w:t>
      </w:r>
      <w:r w:rsidR="00EB117B">
        <w:t>ng non-compliance</w:t>
      </w:r>
    </w:p>
    <w:p w14:paraId="71BA1EA3" w14:textId="5D4A913A" w:rsidR="00DB305B" w:rsidRPr="00DB305B" w:rsidRDefault="00917613" w:rsidP="005917FC">
      <w:r>
        <w:t xml:space="preserve">The ATO cannot independently identify incidences of unpaid SG at scale and primarily </w:t>
      </w:r>
      <w:r w:rsidRPr="00917613">
        <w:t>rel</w:t>
      </w:r>
      <w:r w:rsidR="003E39BC">
        <w:t>y</w:t>
      </w:r>
      <w:r>
        <w:t xml:space="preserve"> on </w:t>
      </w:r>
      <w:r w:rsidR="00C36FD9">
        <w:t>Emp</w:t>
      </w:r>
      <w:r w:rsidR="003E39BC">
        <w:t>loyee N</w:t>
      </w:r>
      <w:r w:rsidRPr="00917613">
        <w:t>otifications</w:t>
      </w:r>
      <w:r w:rsidR="003E39BC">
        <w:t xml:space="preserve"> (ENs)</w:t>
      </w:r>
      <w:r w:rsidRPr="00917613">
        <w:t>.</w:t>
      </w:r>
      <w:r w:rsidR="005D053B">
        <w:t xml:space="preserve"> This means the ATO</w:t>
      </w:r>
      <w:r w:rsidR="00910C36">
        <w:t>’s compliance is</w:t>
      </w:r>
      <w:r w:rsidR="007A0271">
        <w:t xml:space="preserve"> mainly</w:t>
      </w:r>
      <w:r w:rsidR="00910C36">
        <w:t xml:space="preserve"> reactive (responding to ENs), rather than proactive (identifying unpaid SG and raising debts).</w:t>
      </w:r>
    </w:p>
    <w:p w14:paraId="2D2D425F" w14:textId="1C6B76AD" w:rsidR="005917FC" w:rsidRDefault="005917FC" w:rsidP="00DB305B">
      <w:pPr>
        <w:pStyle w:val="BodyText"/>
      </w:pPr>
      <w:r>
        <w:t xml:space="preserve">The ATO does not have the digital infrastructure required to </w:t>
      </w:r>
      <w:r w:rsidR="00725979">
        <w:t xml:space="preserve">easily </w:t>
      </w:r>
      <w:r>
        <w:t xml:space="preserve">match SG data it receives from employers </w:t>
      </w:r>
      <w:r w:rsidR="00404B27">
        <w:t xml:space="preserve">through </w:t>
      </w:r>
      <w:r>
        <w:t>Single Touch Payroll</w:t>
      </w:r>
      <w:r w:rsidR="00404B27">
        <w:t xml:space="preserve"> (STP</w:t>
      </w:r>
      <w:r>
        <w:t xml:space="preserve">) to the data reported from superannuation funds </w:t>
      </w:r>
      <w:r w:rsidR="00404B27">
        <w:t xml:space="preserve">through </w:t>
      </w:r>
      <w:r w:rsidR="00276B9B">
        <w:t xml:space="preserve">the </w:t>
      </w:r>
      <w:r>
        <w:t>Member Account Transaction Service</w:t>
      </w:r>
      <w:r w:rsidR="00276B9B">
        <w:t xml:space="preserve"> (MATS</w:t>
      </w:r>
      <w:r>
        <w:t xml:space="preserve">). </w:t>
      </w:r>
      <w:r w:rsidR="00B11CE3">
        <w:t xml:space="preserve">Employers </w:t>
      </w:r>
      <w:r w:rsidR="00B11CE3" w:rsidRPr="00F7668B">
        <w:t>and</w:t>
      </w:r>
      <w:r w:rsidR="00B11CE3">
        <w:t xml:space="preserve"> superannuation funds report information to the ATO using different software, different reporting criteria, and on different timeframes. </w:t>
      </w:r>
      <w:r>
        <w:t>Therefore, to action compliance cases</w:t>
      </w:r>
      <w:r w:rsidR="00B572CA">
        <w:t xml:space="preserve"> and determine SG debts</w:t>
      </w:r>
      <w:r>
        <w:t xml:space="preserve">, the ATO </w:t>
      </w:r>
      <w:r w:rsidR="00004A5C">
        <w:t>must</w:t>
      </w:r>
      <w:r>
        <w:t xml:space="preserve"> manually match these two large reporting data sets. This process is time</w:t>
      </w:r>
      <w:r w:rsidR="00313BE9">
        <w:t xml:space="preserve"> </w:t>
      </w:r>
      <w:r>
        <w:t>consuming, difficult to scale and not optimally effective in identifying non</w:t>
      </w:r>
      <w:r w:rsidR="00B572CA">
        <w:t>-</w:t>
      </w:r>
      <w:r>
        <w:t>compliance.</w:t>
      </w:r>
    </w:p>
    <w:p w14:paraId="4CA785DC" w14:textId="67CBC061" w:rsidR="009432E2" w:rsidRDefault="009432E2" w:rsidP="009432E2">
      <w:pPr>
        <w:pStyle w:val="Heading4"/>
      </w:pPr>
      <w:r>
        <w:t>Timeliness</w:t>
      </w:r>
    </w:p>
    <w:p w14:paraId="1A129E6F" w14:textId="425ADB9E" w:rsidR="00A2710C" w:rsidRPr="00A2710C" w:rsidRDefault="00733F5A" w:rsidP="00C622A7">
      <w:pPr>
        <w:pStyle w:val="BodyText"/>
      </w:pPr>
      <w:r>
        <w:t>E</w:t>
      </w:r>
      <w:r w:rsidR="005A77B7">
        <w:t xml:space="preserve">mployers have until 28 days after the end of </w:t>
      </w:r>
      <w:r w:rsidR="00F83B0B">
        <w:t xml:space="preserve">quarter for the money to be received in an employee’s superannuation account. </w:t>
      </w:r>
      <w:r w:rsidR="00AA2E44">
        <w:t xml:space="preserve">If this timeframe is not met, the employer has an additional 28 days to lodge an SG statement with the ATO and either pay the SG charge amount or enter a payment plan. </w:t>
      </w:r>
      <w:r w:rsidR="002D2D3B">
        <w:t>This means that there is effectively a two</w:t>
      </w:r>
      <w:r w:rsidR="004D4B80">
        <w:t>-</w:t>
      </w:r>
      <w:r w:rsidR="002D2D3B">
        <w:t xml:space="preserve">month delay </w:t>
      </w:r>
      <w:r w:rsidR="00AC3F4E">
        <w:t>before the ATO can contact an</w:t>
      </w:r>
      <w:r w:rsidR="004B7670">
        <w:t xml:space="preserve"> employer about unpaid SG. This can mean that an employer may have become insolvent by the time the ATO makes contact about outstanding SG obligations. </w:t>
      </w:r>
    </w:p>
    <w:p w14:paraId="56C39053" w14:textId="26EED41E" w:rsidR="00313BE9" w:rsidRDefault="002F09E6" w:rsidP="00313BE9">
      <w:r>
        <w:t>It is difficult for the ATO to identify and recover unpaid SG in a timely manner before an employer becomes insolvent and any amounts are unrecoverable</w:t>
      </w:r>
      <w:r w:rsidR="00B572CA">
        <w:t xml:space="preserve"> due to </w:t>
      </w:r>
      <w:r w:rsidR="00313BE9" w:rsidRPr="00EC15E9">
        <w:t>the length of time it takes for incident</w:t>
      </w:r>
      <w:r w:rsidR="00B572CA">
        <w:t>s</w:t>
      </w:r>
      <w:r w:rsidR="00313BE9" w:rsidRPr="00EC15E9">
        <w:t xml:space="preserve"> to be identified. Currently, employers are required to make SG</w:t>
      </w:r>
      <w:r w:rsidR="00313BE9">
        <w:t> </w:t>
      </w:r>
      <w:r w:rsidR="00313BE9" w:rsidRPr="00EC15E9">
        <w:t xml:space="preserve">contributions </w:t>
      </w:r>
      <w:r w:rsidR="00313BE9">
        <w:t xml:space="preserve">at least </w:t>
      </w:r>
      <w:r w:rsidR="00313BE9" w:rsidRPr="00EC15E9">
        <w:t xml:space="preserve">quarterly, superannuation funds then </w:t>
      </w:r>
      <w:r w:rsidR="00663FD6">
        <w:t>confirm</w:t>
      </w:r>
      <w:r w:rsidR="00313BE9" w:rsidRPr="00EC15E9">
        <w:t xml:space="preserve"> receipt of these contributions to the ATO. The delay between </w:t>
      </w:r>
      <w:r w:rsidR="00313BE9">
        <w:t xml:space="preserve">the </w:t>
      </w:r>
      <w:r w:rsidR="00313BE9" w:rsidRPr="00EC15E9">
        <w:t>payment of wages and SG, and limitations on ATO visibility of these transactions creates significant issues for ATO enforcement</w:t>
      </w:r>
      <w:r w:rsidR="00B572CA">
        <w:t xml:space="preserve">, </w:t>
      </w:r>
      <w:r w:rsidR="00313BE9" w:rsidRPr="00EC15E9">
        <w:t>increas</w:t>
      </w:r>
      <w:r w:rsidR="00663FD6">
        <w:t>ing</w:t>
      </w:r>
      <w:r w:rsidR="00313BE9" w:rsidRPr="00EC15E9">
        <w:t xml:space="preserve"> the risk that the employer will become insolvent, and the SG debt becomes </w:t>
      </w:r>
      <w:r w:rsidR="00313BE9">
        <w:t>non</w:t>
      </w:r>
      <w:r w:rsidR="005B73E0">
        <w:t>-</w:t>
      </w:r>
      <w:r w:rsidR="00313BE9">
        <w:t>recoverable</w:t>
      </w:r>
      <w:r w:rsidR="00663FD6">
        <w:t xml:space="preserve"> before the ATO can intervene</w:t>
      </w:r>
      <w:r w:rsidR="00313BE9" w:rsidRPr="00EC15E9">
        <w:t>.</w:t>
      </w:r>
    </w:p>
    <w:p w14:paraId="7707EB9B" w14:textId="76F51F5F" w:rsidR="001C747E" w:rsidRDefault="001C747E" w:rsidP="003D31C4">
      <w:pPr>
        <w:pStyle w:val="Heading3"/>
      </w:pPr>
      <w:bookmarkStart w:id="19" w:name="_Toc134198441"/>
      <w:r>
        <w:t>Employees</w:t>
      </w:r>
      <w:bookmarkEnd w:id="19"/>
    </w:p>
    <w:p w14:paraId="2290A19D" w14:textId="782A98F0" w:rsidR="003279A4" w:rsidRDefault="003279A4" w:rsidP="00831C62">
      <w:pPr>
        <w:pStyle w:val="Heading4"/>
      </w:pPr>
      <w:r w:rsidRPr="003279A4">
        <w:t>Detecting non-compliance</w:t>
      </w:r>
    </w:p>
    <w:p w14:paraId="5833C535" w14:textId="166CA568" w:rsidR="003E6BFF" w:rsidRDefault="003E6BFF" w:rsidP="009B085E">
      <w:pPr>
        <w:pStyle w:val="BodyText"/>
      </w:pPr>
      <w:r>
        <w:t xml:space="preserve">To identify unpaid SG, </w:t>
      </w:r>
      <w:r w:rsidR="003E09A1">
        <w:t xml:space="preserve">28 days after the end of the quarter (the due date) </w:t>
      </w:r>
      <w:r>
        <w:t>employees must check with their fund(s) to determine whether their SG contributions were paid late or were unpaid.</w:t>
      </w:r>
      <w:r w:rsidR="00D74F35">
        <w:t xml:space="preserve"> They then must report this to the ATO</w:t>
      </w:r>
      <w:r w:rsidR="00787A12">
        <w:t xml:space="preserve"> who can act on their behalf to recover these amounts</w:t>
      </w:r>
      <w:r w:rsidR="00D74F35">
        <w:t xml:space="preserve">. </w:t>
      </w:r>
      <w:r w:rsidR="005B71CA">
        <w:t xml:space="preserve">This places the onus on the employee to monitor </w:t>
      </w:r>
      <w:r w:rsidR="00A62954">
        <w:t xml:space="preserve">and report SG non-compliance. </w:t>
      </w:r>
    </w:p>
    <w:p w14:paraId="693B6846" w14:textId="5BFEC4F0" w:rsidR="003279A4" w:rsidRDefault="003279A4" w:rsidP="00831C62">
      <w:pPr>
        <w:pStyle w:val="Heading4"/>
      </w:pPr>
      <w:r>
        <w:t xml:space="preserve">Payslips </w:t>
      </w:r>
      <w:r w:rsidR="00C73600">
        <w:t>vs SG due date</w:t>
      </w:r>
    </w:p>
    <w:p w14:paraId="39194C99" w14:textId="38506888" w:rsidR="00FC4176" w:rsidRDefault="0031435A" w:rsidP="00946C3B">
      <w:pPr>
        <w:pStyle w:val="BodyText"/>
      </w:pPr>
      <w:r>
        <w:t>While a</w:t>
      </w:r>
      <w:r w:rsidR="003E09A1">
        <w:t>n</w:t>
      </w:r>
      <w:r w:rsidR="00BC2E2C">
        <w:t xml:space="preserve"> </w:t>
      </w:r>
      <w:r w:rsidR="003E09A1">
        <w:t>employee</w:t>
      </w:r>
      <w:r w:rsidR="00801AEA">
        <w:t>’</w:t>
      </w:r>
      <w:r w:rsidR="003E09A1">
        <w:t xml:space="preserve">s </w:t>
      </w:r>
      <w:r w:rsidR="00BC2E2C">
        <w:t xml:space="preserve">SG entitlements </w:t>
      </w:r>
      <w:r w:rsidR="00805E95">
        <w:t xml:space="preserve">for the pay period </w:t>
      </w:r>
      <w:r>
        <w:t xml:space="preserve">are required by law to be </w:t>
      </w:r>
      <w:r w:rsidR="00805E95">
        <w:t>listed on the</w:t>
      </w:r>
      <w:r w:rsidR="00C52062">
        <w:t xml:space="preserve"> employees’</w:t>
      </w:r>
      <w:r w:rsidR="00805E95">
        <w:t xml:space="preserve"> </w:t>
      </w:r>
      <w:r w:rsidR="00FD149E">
        <w:t xml:space="preserve">payslip, the employer is not legally required to make the SG contribution to </w:t>
      </w:r>
      <w:r w:rsidR="00C52062">
        <w:t>the employee</w:t>
      </w:r>
      <w:r w:rsidR="008F7EB0">
        <w:t>’</w:t>
      </w:r>
      <w:r w:rsidR="00C52062">
        <w:t>s</w:t>
      </w:r>
      <w:r w:rsidR="00FD149E">
        <w:t xml:space="preserve"> </w:t>
      </w:r>
      <w:r w:rsidR="00C52062">
        <w:t>superannuation fund until 28 days after the end of the quarter.</w:t>
      </w:r>
      <w:r w:rsidR="008A4B53">
        <w:t xml:space="preserve"> </w:t>
      </w:r>
      <w:r w:rsidR="00C52062">
        <w:t>This can cause confusion for employees as t</w:t>
      </w:r>
      <w:r w:rsidR="00B763F2">
        <w:t xml:space="preserve">he </w:t>
      </w:r>
      <w:r w:rsidR="001F7690">
        <w:t xml:space="preserve">SG entitlements is listed </w:t>
      </w:r>
      <w:r w:rsidR="00B763F2">
        <w:t>on their payslip</w:t>
      </w:r>
      <w:r w:rsidR="001F7690">
        <w:t xml:space="preserve">, they believe the </w:t>
      </w:r>
      <w:r w:rsidR="00D440FA">
        <w:t>SG contribution</w:t>
      </w:r>
      <w:r w:rsidR="001F7690">
        <w:t xml:space="preserve"> has </w:t>
      </w:r>
      <w:r w:rsidR="00D440FA">
        <w:t>also been made to their superannuation fund. Further, the SG entitlements listed on the</w:t>
      </w:r>
      <w:r w:rsidR="007A71DD">
        <w:t xml:space="preserve"> employee</w:t>
      </w:r>
      <w:r w:rsidR="00A35737">
        <w:t>’</w:t>
      </w:r>
      <w:r w:rsidR="007A71DD">
        <w:t>s</w:t>
      </w:r>
      <w:r w:rsidR="00D440FA">
        <w:t xml:space="preserve"> payslip </w:t>
      </w:r>
      <w:r w:rsidR="006147B5">
        <w:t xml:space="preserve">will </w:t>
      </w:r>
      <w:r w:rsidR="00D0120F">
        <w:t>usually</w:t>
      </w:r>
      <w:r w:rsidR="00B763F2">
        <w:t xml:space="preserve"> </w:t>
      </w:r>
      <w:r w:rsidR="007A71DD">
        <w:t xml:space="preserve">be </w:t>
      </w:r>
      <w:r w:rsidR="002A749B">
        <w:t>for a pay period, but the amount paid to their superannuation fund can be an aggregated amount for the quarter.</w:t>
      </w:r>
    </w:p>
    <w:p w14:paraId="07AD4396" w14:textId="270061D4" w:rsidR="00FC4176" w:rsidRDefault="00FC4176" w:rsidP="00663FD6">
      <w:pPr>
        <w:pStyle w:val="Heading3"/>
      </w:pPr>
      <w:bookmarkStart w:id="20" w:name="_Toc134198442"/>
      <w:r>
        <w:t>Superannuation funds</w:t>
      </w:r>
      <w:bookmarkEnd w:id="20"/>
    </w:p>
    <w:p w14:paraId="2FAB81BD" w14:textId="1DA55B86" w:rsidR="00203A5D" w:rsidRDefault="00DA77E3" w:rsidP="00C36017">
      <w:pPr>
        <w:rPr>
          <w:rFonts w:asciiTheme="majorHAnsi" w:hAnsiTheme="majorHAnsi"/>
          <w:color w:val="014463" w:themeColor="text2"/>
          <w:sz w:val="60"/>
          <w:szCs w:val="60"/>
        </w:rPr>
      </w:pPr>
      <w:r w:rsidRPr="00DA77E3">
        <w:t>Under the current</w:t>
      </w:r>
      <w:r>
        <w:t xml:space="preserve"> </w:t>
      </w:r>
      <w:r w:rsidRPr="00DA77E3">
        <w:t xml:space="preserve">reporting structure, superannuation funds may not have oversight over which </w:t>
      </w:r>
      <w:r w:rsidR="009B3D38">
        <w:t xml:space="preserve">pay </w:t>
      </w:r>
      <w:r w:rsidRPr="00DA77E3">
        <w:t xml:space="preserve">periods </w:t>
      </w:r>
      <w:r w:rsidR="00F94A44">
        <w:t xml:space="preserve">an employees’ </w:t>
      </w:r>
      <w:r w:rsidRPr="00DA77E3">
        <w:t>SG</w:t>
      </w:r>
      <w:r w:rsidR="00F94A44" w:rsidRPr="00F94A44">
        <w:t xml:space="preserve"> </w:t>
      </w:r>
      <w:r w:rsidR="00F94A44">
        <w:t xml:space="preserve">contributions </w:t>
      </w:r>
      <w:r w:rsidRPr="00DA77E3">
        <w:t>relate</w:t>
      </w:r>
      <w:r w:rsidR="00F94A44">
        <w:t xml:space="preserve"> to</w:t>
      </w:r>
      <w:r w:rsidR="009B3D38">
        <w:t xml:space="preserve">. This occurs when </w:t>
      </w:r>
      <w:r w:rsidR="007B125A">
        <w:t xml:space="preserve">SG </w:t>
      </w:r>
      <w:r w:rsidR="002E508E">
        <w:t>contributions are made on a quarterly basis</w:t>
      </w:r>
      <w:r w:rsidR="005349E2">
        <w:t>,</w:t>
      </w:r>
      <w:r w:rsidR="002E508E">
        <w:t xml:space="preserve"> and</w:t>
      </w:r>
      <w:r w:rsidRPr="00DA77E3">
        <w:t xml:space="preserve"> th</w:t>
      </w:r>
      <w:r w:rsidR="009B3D38">
        <w:t xml:space="preserve">e </w:t>
      </w:r>
      <w:r w:rsidR="003D404A">
        <w:t xml:space="preserve">accompanying </w:t>
      </w:r>
      <w:r w:rsidR="009B3D38">
        <w:t>data</w:t>
      </w:r>
      <w:r w:rsidR="001C1CFF">
        <w:t xml:space="preserve"> provided </w:t>
      </w:r>
      <w:r w:rsidRPr="00DA77E3">
        <w:t xml:space="preserve">by the employer </w:t>
      </w:r>
      <w:r w:rsidR="005349E2">
        <w:t>to the superannuation fund</w:t>
      </w:r>
      <w:r w:rsidRPr="00DA77E3">
        <w:t xml:space="preserve"> </w:t>
      </w:r>
      <w:r w:rsidR="003D404A">
        <w:t xml:space="preserve">does not include information on the pay </w:t>
      </w:r>
      <w:r w:rsidR="003D404A" w:rsidRPr="00DA77E3">
        <w:t xml:space="preserve">period </w:t>
      </w:r>
      <w:r w:rsidRPr="00DA77E3">
        <w:t xml:space="preserve">and/or the </w:t>
      </w:r>
      <w:r w:rsidR="003D404A">
        <w:t xml:space="preserve">accompanying data </w:t>
      </w:r>
      <w:r w:rsidRPr="00DA77E3">
        <w:t>contains errors.</w:t>
      </w:r>
      <w:r w:rsidR="00203A5D">
        <w:br w:type="page"/>
      </w:r>
    </w:p>
    <w:p w14:paraId="33FB02C7" w14:textId="77F6772B" w:rsidR="00716A5F" w:rsidRDefault="00716A5F" w:rsidP="00716A5F">
      <w:pPr>
        <w:pStyle w:val="Title"/>
      </w:pPr>
      <w:bookmarkStart w:id="21" w:name="_Toc134198443"/>
      <w:r>
        <w:t>2. Why is Government action needed?</w:t>
      </w:r>
      <w:bookmarkEnd w:id="21"/>
    </w:p>
    <w:p w14:paraId="19A16A03" w14:textId="6D959165" w:rsidR="00E64139" w:rsidRDefault="00201E93" w:rsidP="0008631B">
      <w:pPr>
        <w:pStyle w:val="Heading2"/>
      </w:pPr>
      <w:bookmarkStart w:id="22" w:name="_Toc134198444"/>
      <w:r>
        <w:t xml:space="preserve">2.1 </w:t>
      </w:r>
      <w:r w:rsidR="00824D7C">
        <w:t>Why is Government inte</w:t>
      </w:r>
      <w:r w:rsidR="00E64139">
        <w:t>rvention needed?</w:t>
      </w:r>
      <w:bookmarkEnd w:id="22"/>
    </w:p>
    <w:p w14:paraId="7143134B" w14:textId="5DAB4BAA" w:rsidR="00202C76" w:rsidRDefault="00C50096" w:rsidP="00E64139">
      <w:pPr>
        <w:pStyle w:val="Heading3"/>
      </w:pPr>
      <w:bookmarkStart w:id="23" w:name="_Toc134198445"/>
      <w:r>
        <w:t>U</w:t>
      </w:r>
      <w:r w:rsidR="007E3AC7">
        <w:t xml:space="preserve">npaid SG will not </w:t>
      </w:r>
      <w:r w:rsidR="0024267B">
        <w:t xml:space="preserve">be </w:t>
      </w:r>
      <w:r w:rsidR="007E3AC7">
        <w:t>resolve</w:t>
      </w:r>
      <w:r w:rsidR="0024267B">
        <w:t>d</w:t>
      </w:r>
      <w:r w:rsidR="007E3AC7">
        <w:t xml:space="preserve"> without</w:t>
      </w:r>
      <w:r w:rsidR="00202C76">
        <w:t xml:space="preserve"> Government </w:t>
      </w:r>
      <w:r w:rsidR="007E3AC7">
        <w:t>intervention</w:t>
      </w:r>
      <w:bookmarkEnd w:id="23"/>
      <w:r w:rsidR="007408BE">
        <w:t xml:space="preserve"> </w:t>
      </w:r>
    </w:p>
    <w:p w14:paraId="31FD82EA" w14:textId="063F3A84" w:rsidR="00A873A8" w:rsidRDefault="4D90800F" w:rsidP="00A873A8">
      <w:pPr>
        <w:pStyle w:val="Heading4"/>
      </w:pPr>
      <w:r>
        <w:t xml:space="preserve">The Government </w:t>
      </w:r>
      <w:r w:rsidR="021F0C0D">
        <w:t xml:space="preserve">is </w:t>
      </w:r>
      <w:r>
        <w:t>the only entity who can pursue unpaid SG</w:t>
      </w:r>
    </w:p>
    <w:p w14:paraId="65941975" w14:textId="6AC2B482" w:rsidR="00A873A8" w:rsidRDefault="00755BAF" w:rsidP="00A873A8">
      <w:pPr>
        <w:pStyle w:val="BodyText"/>
      </w:pPr>
      <w:r>
        <w:t>T</w:t>
      </w:r>
      <w:r w:rsidR="6AF98EF2">
        <w:t xml:space="preserve">he ATO are the only entity </w:t>
      </w:r>
      <w:r>
        <w:t xml:space="preserve">empowered </w:t>
      </w:r>
      <w:r w:rsidR="00CC7A15">
        <w:t xml:space="preserve">by </w:t>
      </w:r>
      <w:r>
        <w:t xml:space="preserve">the SGA Act to </w:t>
      </w:r>
      <w:r w:rsidR="6AF98EF2">
        <w:t xml:space="preserve">pursue unpaid SG on behalf of </w:t>
      </w:r>
      <w:r>
        <w:t xml:space="preserve">all </w:t>
      </w:r>
      <w:r w:rsidR="6AF98EF2">
        <w:t xml:space="preserve">employees. For unpaid SG to be recovered it must be raised by the ATO as a tax, known as the SG charge. The raising of the SG charge then allows the ATO to recover these amounts from employers. </w:t>
      </w:r>
    </w:p>
    <w:p w14:paraId="7DA17E28" w14:textId="6BB4F43A" w:rsidR="00A873A8" w:rsidRDefault="72F0B0AB" w:rsidP="00A873A8">
      <w:r>
        <w:t xml:space="preserve">Further, due to privacy rules, only the ATO can collect information from employers and superannuation funds to identify that </w:t>
      </w:r>
      <w:r w:rsidR="00CB04AF">
        <w:t>SG</w:t>
      </w:r>
      <w:r>
        <w:t xml:space="preserve"> is unpaid. </w:t>
      </w:r>
    </w:p>
    <w:p w14:paraId="5BDEEE65" w14:textId="5F72249A" w:rsidR="00A22F82" w:rsidRDefault="00A22F82" w:rsidP="00A22F82">
      <w:pPr>
        <w:pStyle w:val="BodyText"/>
      </w:pPr>
      <w:r>
        <w:t>Therefore, Government intervention is required to make changes to the recovery process</w:t>
      </w:r>
      <w:r w:rsidR="00B9736D">
        <w:t xml:space="preserve"> to address unpaid </w:t>
      </w:r>
      <w:r w:rsidR="00966D4C">
        <w:t>SG</w:t>
      </w:r>
      <w:r>
        <w:t>.</w:t>
      </w:r>
    </w:p>
    <w:p w14:paraId="3D5A3255" w14:textId="6E58ACEB" w:rsidR="0017196A" w:rsidRDefault="0008631B" w:rsidP="00E64139">
      <w:pPr>
        <w:pStyle w:val="Heading4"/>
      </w:pPr>
      <w:r w:rsidRPr="0008631B">
        <w:t>Voluntary SG compliance by employers is not increasing significantly over time</w:t>
      </w:r>
    </w:p>
    <w:p w14:paraId="6BDDFAA0" w14:textId="39813A9C" w:rsidR="004D3D4A" w:rsidRDefault="002E409E" w:rsidP="004D3D4A">
      <w:pPr>
        <w:pStyle w:val="BodyText"/>
      </w:pPr>
      <w:r>
        <w:t xml:space="preserve">Since </w:t>
      </w:r>
      <w:r w:rsidR="00CC176C">
        <w:t xml:space="preserve">estimates of </w:t>
      </w:r>
      <w:r>
        <w:t>the SG gap w</w:t>
      </w:r>
      <w:r w:rsidR="00CC176C">
        <w:t>ere first calculated in 2014-15, voluntary compliance has only increased by 1 percent</w:t>
      </w:r>
      <w:r w:rsidR="000232CA">
        <w:t>age point</w:t>
      </w:r>
      <w:r w:rsidR="001E0D8F">
        <w:t xml:space="preserve"> over the six years to 201</w:t>
      </w:r>
      <w:r w:rsidR="00DE510B">
        <w:t>9-20</w:t>
      </w:r>
      <w:r w:rsidR="00CC176C">
        <w:t xml:space="preserve"> (</w:t>
      </w:r>
      <w:r w:rsidR="00DE510B">
        <w:t xml:space="preserve">a </w:t>
      </w:r>
      <w:r w:rsidR="00CC176C">
        <w:t>reduction in the gross SG gap from 6.9 to 5.9</w:t>
      </w:r>
      <w:r w:rsidR="00DE510B">
        <w:t xml:space="preserve"> per cent</w:t>
      </w:r>
      <w:r w:rsidR="00CC176C">
        <w:t>).</w:t>
      </w:r>
      <w:r w:rsidR="00DE510B">
        <w:t xml:space="preserve"> This effectively means only</w:t>
      </w:r>
      <w:r w:rsidR="000232CA">
        <w:t xml:space="preserve"> 1 percentage point </w:t>
      </w:r>
      <w:r w:rsidR="005E27F8">
        <w:t xml:space="preserve">more </w:t>
      </w:r>
      <w:r w:rsidR="000232CA">
        <w:t>of</w:t>
      </w:r>
      <w:r w:rsidR="00237A7A">
        <w:t xml:space="preserve"> total SG</w:t>
      </w:r>
      <w:r w:rsidR="000232CA">
        <w:t xml:space="preserve"> </w:t>
      </w:r>
      <w:r w:rsidR="00237A7A">
        <w:t xml:space="preserve">is being paid voluntarily </w:t>
      </w:r>
      <w:r w:rsidR="005E27F8">
        <w:t xml:space="preserve">than six years ago. This suggests that without Government intervention, </w:t>
      </w:r>
      <w:r w:rsidR="00AF3901">
        <w:t>voluntarily compliance will not improve</w:t>
      </w:r>
      <w:r w:rsidR="00506494">
        <w:t xml:space="preserve"> at a </w:t>
      </w:r>
      <w:r w:rsidR="00AB2973">
        <w:t xml:space="preserve">rate significant enough to reduce incidents of unpaid SG </w:t>
      </w:r>
      <w:r w:rsidR="75FAFE28">
        <w:t xml:space="preserve">in the </w:t>
      </w:r>
      <w:r w:rsidR="00500253">
        <w:t>foreseeable</w:t>
      </w:r>
      <w:r w:rsidR="75FAFE28">
        <w:t xml:space="preserve"> future</w:t>
      </w:r>
      <w:r w:rsidR="00AB2973">
        <w:t xml:space="preserve">. </w:t>
      </w:r>
    </w:p>
    <w:p w14:paraId="74DBA736" w14:textId="22B655C0" w:rsidR="00500253" w:rsidRPr="004D3D4A" w:rsidRDefault="00500253" w:rsidP="004D3D4A">
      <w:pPr>
        <w:pStyle w:val="BodyText"/>
      </w:pPr>
      <w:r>
        <w:t>This is despite significant improvements in technology available to businesses to manage their affairs, such as STP. This suggests that more innovative compliance approaches</w:t>
      </w:r>
      <w:r w:rsidR="00A71902">
        <w:t xml:space="preserve"> are needed </w:t>
      </w:r>
      <w:r w:rsidR="009A3C93">
        <w:t xml:space="preserve">to </w:t>
      </w:r>
      <w:r w:rsidR="00BA10A1">
        <w:t>address SG non</w:t>
      </w:r>
      <w:r w:rsidR="0005718B">
        <w:t>-compliance</w:t>
      </w:r>
      <w:r>
        <w:t>.</w:t>
      </w:r>
    </w:p>
    <w:p w14:paraId="13669311" w14:textId="7967D294" w:rsidR="002F2E90" w:rsidRDefault="002F2E90" w:rsidP="00C93818">
      <w:pPr>
        <w:pStyle w:val="Heading4"/>
      </w:pPr>
      <w:r>
        <w:t xml:space="preserve">The ATO </w:t>
      </w:r>
      <w:r w:rsidR="00F647DB">
        <w:t>face significant barriers to</w:t>
      </w:r>
      <w:r w:rsidR="001400DC">
        <w:t xml:space="preserve"> reduc</w:t>
      </w:r>
      <w:r w:rsidR="00F647DB">
        <w:t>e</w:t>
      </w:r>
      <w:r w:rsidR="001400DC">
        <w:t xml:space="preserve"> the</w:t>
      </w:r>
      <w:r w:rsidR="008F2E55">
        <w:t xml:space="preserve"> incidence of unpaid SG</w:t>
      </w:r>
      <w:r w:rsidR="00F2719C">
        <w:t>.</w:t>
      </w:r>
      <w:r w:rsidR="008F2E55">
        <w:t xml:space="preserve"> </w:t>
      </w:r>
    </w:p>
    <w:p w14:paraId="3E16A12B" w14:textId="48A778A0" w:rsidR="008F2E55" w:rsidRDefault="008F2E55" w:rsidP="00C93818">
      <w:r>
        <w:rPr>
          <w:lang w:eastAsia="en-AU"/>
        </w:rPr>
        <w:t xml:space="preserve">The </w:t>
      </w:r>
      <w:r w:rsidR="00187BB0">
        <w:rPr>
          <w:lang w:eastAsia="en-AU"/>
        </w:rPr>
        <w:t xml:space="preserve">net SG gap </w:t>
      </w:r>
      <w:r w:rsidR="004A4D44">
        <w:rPr>
          <w:lang w:eastAsia="en-AU"/>
        </w:rPr>
        <w:t>remaining after</w:t>
      </w:r>
      <w:r w:rsidR="00187BB0">
        <w:rPr>
          <w:lang w:eastAsia="en-AU"/>
        </w:rPr>
        <w:t xml:space="preserve"> ATO compliance</w:t>
      </w:r>
      <w:r w:rsidR="004A4D44">
        <w:rPr>
          <w:lang w:eastAsia="en-AU"/>
        </w:rPr>
        <w:t xml:space="preserve"> activities</w:t>
      </w:r>
      <w:r w:rsidR="00187BB0">
        <w:rPr>
          <w:lang w:eastAsia="en-AU"/>
        </w:rPr>
        <w:t xml:space="preserve"> has</w:t>
      </w:r>
      <w:r>
        <w:rPr>
          <w:lang w:eastAsia="en-AU"/>
        </w:rPr>
        <w:t xml:space="preserve"> </w:t>
      </w:r>
      <w:r w:rsidR="001C5BE0">
        <w:rPr>
          <w:lang w:eastAsia="en-AU"/>
        </w:rPr>
        <w:t xml:space="preserve">declined from 6.0 per cent in </w:t>
      </w:r>
      <w:r w:rsidR="001C5BE0">
        <w:t>2014-15</w:t>
      </w:r>
      <w:r w:rsidR="001C5BE0">
        <w:rPr>
          <w:lang w:eastAsia="en-AU"/>
        </w:rPr>
        <w:t xml:space="preserve"> to</w:t>
      </w:r>
      <w:r>
        <w:rPr>
          <w:lang w:eastAsia="en-AU"/>
        </w:rPr>
        <w:t xml:space="preserve"> </w:t>
      </w:r>
      <w:r w:rsidRPr="00642ED4">
        <w:rPr>
          <w:lang w:eastAsia="en-AU"/>
        </w:rPr>
        <w:t>4.9</w:t>
      </w:r>
      <w:r w:rsidR="001C5BE0">
        <w:rPr>
          <w:lang w:eastAsia="en-AU"/>
        </w:rPr>
        <w:t xml:space="preserve"> per cent in 20</w:t>
      </w:r>
      <w:r w:rsidR="00435C4E">
        <w:rPr>
          <w:lang w:eastAsia="en-AU"/>
        </w:rPr>
        <w:t>19-</w:t>
      </w:r>
      <w:r w:rsidR="001C5BE0">
        <w:rPr>
          <w:lang w:eastAsia="en-AU"/>
        </w:rPr>
        <w:t>20</w:t>
      </w:r>
      <w:r w:rsidR="00F746D1">
        <w:rPr>
          <w:lang w:eastAsia="en-AU"/>
        </w:rPr>
        <w:t>.</w:t>
      </w:r>
      <w:r w:rsidR="00470030">
        <w:rPr>
          <w:lang w:eastAsia="en-AU"/>
        </w:rPr>
        <w:t xml:space="preserve"> </w:t>
      </w:r>
      <w:r w:rsidR="007C071F">
        <w:rPr>
          <w:lang w:eastAsia="en-AU"/>
        </w:rPr>
        <w:t>While t</w:t>
      </w:r>
      <w:r w:rsidR="00F746D1">
        <w:rPr>
          <w:lang w:eastAsia="en-AU"/>
        </w:rPr>
        <w:t xml:space="preserve">his </w:t>
      </w:r>
      <w:r w:rsidR="00762D04">
        <w:rPr>
          <w:lang w:eastAsia="en-AU"/>
        </w:rPr>
        <w:t xml:space="preserve">potentially </w:t>
      </w:r>
      <w:r w:rsidR="00825C4C">
        <w:rPr>
          <w:lang w:eastAsia="en-AU"/>
        </w:rPr>
        <w:t>shows an improvement in ATO recovery mechanisms</w:t>
      </w:r>
      <w:r w:rsidR="0069380A">
        <w:rPr>
          <w:lang w:eastAsia="en-AU"/>
        </w:rPr>
        <w:t xml:space="preserve">, </w:t>
      </w:r>
      <w:r w:rsidR="00F06B46">
        <w:rPr>
          <w:lang w:eastAsia="en-AU"/>
        </w:rPr>
        <w:t xml:space="preserve"> </w:t>
      </w:r>
      <w:r w:rsidR="007C071F">
        <w:rPr>
          <w:lang w:eastAsia="en-AU"/>
        </w:rPr>
        <w:t xml:space="preserve">there is </w:t>
      </w:r>
      <w:r w:rsidR="0069380A">
        <w:rPr>
          <w:lang w:eastAsia="en-AU"/>
        </w:rPr>
        <w:t>still a large amount of SG remaining unpaid</w:t>
      </w:r>
      <w:r w:rsidR="00825C4C">
        <w:rPr>
          <w:lang w:eastAsia="en-AU"/>
        </w:rPr>
        <w:t xml:space="preserve"> in the system. </w:t>
      </w:r>
      <w:r w:rsidR="00250ED9">
        <w:rPr>
          <w:lang w:eastAsia="en-AU"/>
        </w:rPr>
        <w:t xml:space="preserve">For the ATO to have a more significant impact on reducing the incidence of unpaid SG they need to be able to commence their compliance actions from a higher base (more voluntary compliance) and to have additional resources, either through staff or </w:t>
      </w:r>
      <w:r w:rsidR="006A48A4">
        <w:rPr>
          <w:lang w:eastAsia="en-AU"/>
        </w:rPr>
        <w:t>improved</w:t>
      </w:r>
      <w:r w:rsidR="00250ED9">
        <w:rPr>
          <w:lang w:eastAsia="en-AU"/>
        </w:rPr>
        <w:t xml:space="preserve"> systems, to be able to </w:t>
      </w:r>
      <w:r w:rsidR="0095635F">
        <w:rPr>
          <w:lang w:eastAsia="en-AU"/>
        </w:rPr>
        <w:t xml:space="preserve">recover unpaid SG. </w:t>
      </w:r>
    </w:p>
    <w:p w14:paraId="16D4F0AD" w14:textId="7DAE1C36" w:rsidR="00E65A82" w:rsidRDefault="001564DC" w:rsidP="00E64139">
      <w:pPr>
        <w:pStyle w:val="Heading4"/>
      </w:pPr>
      <w:r>
        <w:t xml:space="preserve">Policy and administrative settings are </w:t>
      </w:r>
      <w:r w:rsidR="00A42F1A">
        <w:t>contributing to unpaid SG</w:t>
      </w:r>
      <w:r w:rsidR="00504CD9">
        <w:t xml:space="preserve"> </w:t>
      </w:r>
    </w:p>
    <w:p w14:paraId="66BF896D" w14:textId="398C0833" w:rsidR="00504CD9" w:rsidRDefault="00504CD9" w:rsidP="00504CD9">
      <w:r w:rsidRPr="00504CD9">
        <w:t>Key reports have found that the only way to reduce unpaid SG is through changes to Government policy and compliance</w:t>
      </w:r>
      <w:r w:rsidR="00AB6F0A">
        <w:t>.</w:t>
      </w:r>
      <w:r w:rsidR="00D40369">
        <w:t xml:space="preserve"> </w:t>
      </w:r>
      <w:r w:rsidR="00232EFA">
        <w:t>In 2018, t</w:t>
      </w:r>
      <w:r>
        <w:t>he Productivity Commission found that delayed and unpaid SG was a significant source of erosion on individuals superannuation savings</w:t>
      </w:r>
      <w:r w:rsidR="005A7527">
        <w:t xml:space="preserve"> and</w:t>
      </w:r>
      <w:r>
        <w:t xml:space="preserve"> that</w:t>
      </w:r>
      <w:r w:rsidRPr="007B0CED">
        <w:t xml:space="preserve"> </w:t>
      </w:r>
      <w:r>
        <w:t>“g</w:t>
      </w:r>
      <w:r w:rsidRPr="007B0CED">
        <w:t>iven this leakage effectively occurs before a fund has a member’s contributions, there is little funds can do to rectify it.</w:t>
      </w:r>
      <w:r>
        <w:t>” As a result, the Productivity Commission argued that t</w:t>
      </w:r>
      <w:r w:rsidRPr="007B0CED">
        <w:t>h</w:t>
      </w:r>
      <w:r>
        <w:t>e</w:t>
      </w:r>
      <w:r w:rsidRPr="007B0CED">
        <w:t xml:space="preserve"> issue </w:t>
      </w:r>
      <w:r>
        <w:t xml:space="preserve">of unpaid SG was deemed to be </w:t>
      </w:r>
      <w:r w:rsidRPr="007B0CED">
        <w:t>primarily about policy and the compliance framework</w:t>
      </w:r>
      <w:r>
        <w:t>.</w:t>
      </w:r>
      <w:r>
        <w:rPr>
          <w:rStyle w:val="FootnoteReference"/>
        </w:rPr>
        <w:footnoteReference w:id="20"/>
      </w:r>
    </w:p>
    <w:p w14:paraId="14D9F6A2" w14:textId="265F61DE" w:rsidR="00CA34CE" w:rsidRDefault="000A0DF5" w:rsidP="00504CD9">
      <w:r>
        <w:t>In 2022, the Senate Economics References Committee</w:t>
      </w:r>
      <w:r w:rsidRPr="004C7D75">
        <w:t> </w:t>
      </w:r>
      <w:r>
        <w:t xml:space="preserve">found that in many industries underpayment is </w:t>
      </w:r>
      <w:r w:rsidR="00B723AF">
        <w:t>“</w:t>
      </w:r>
      <w:r>
        <w:t>deliberate and systematic, and often normalised</w:t>
      </w:r>
      <w:r w:rsidR="009461F2">
        <w:t>.</w:t>
      </w:r>
      <w:r w:rsidR="00B723AF">
        <w:t>”</w:t>
      </w:r>
      <w:r>
        <w:rPr>
          <w:rStyle w:val="FootnoteReference"/>
        </w:rPr>
        <w:footnoteReference w:id="21"/>
      </w:r>
    </w:p>
    <w:p w14:paraId="2B150E96" w14:textId="6FD05F75" w:rsidR="003E3F28" w:rsidRDefault="002203D4" w:rsidP="00E64139">
      <w:pPr>
        <w:pStyle w:val="Heading4"/>
      </w:pPr>
      <w:r>
        <w:t xml:space="preserve">The introduction of </w:t>
      </w:r>
      <w:r w:rsidR="00146E2D">
        <w:t>STP</w:t>
      </w:r>
      <w:r>
        <w:t xml:space="preserve"> has</w:t>
      </w:r>
      <w:r w:rsidR="3E1C7274">
        <w:t xml:space="preserve"> not been </w:t>
      </w:r>
      <w:r w:rsidR="768B3953">
        <w:t xml:space="preserve">fully </w:t>
      </w:r>
      <w:r w:rsidR="3E1C7274">
        <w:t xml:space="preserve">effective in </w:t>
      </w:r>
      <w:r>
        <w:t xml:space="preserve">increasing the visibility of </w:t>
      </w:r>
      <w:r w:rsidR="3E1C7274">
        <w:t>unpaid SG</w:t>
      </w:r>
    </w:p>
    <w:p w14:paraId="54332C1B" w14:textId="27EAFD2C" w:rsidR="007B6AF5" w:rsidRDefault="002203D4" w:rsidP="003E3F28">
      <w:r>
        <w:t>T</w:t>
      </w:r>
      <w:r w:rsidR="00122C6E">
        <w:t xml:space="preserve">he </w:t>
      </w:r>
      <w:r>
        <w:t xml:space="preserve">2018 </w:t>
      </w:r>
      <w:r w:rsidR="5B795AD4">
        <w:t xml:space="preserve">Productivity Commission </w:t>
      </w:r>
      <w:r>
        <w:t>report</w:t>
      </w:r>
      <w:r w:rsidR="5B795AD4" w:rsidDel="5B795AD4">
        <w:t xml:space="preserve"> </w:t>
      </w:r>
      <w:r w:rsidR="25BD2CA4">
        <w:t xml:space="preserve">highlighted </w:t>
      </w:r>
      <w:r w:rsidR="5B795AD4">
        <w:t xml:space="preserve">that </w:t>
      </w:r>
      <w:r w:rsidR="01A4F22D">
        <w:t>t</w:t>
      </w:r>
      <w:r w:rsidR="77790FE1">
        <w:t xml:space="preserve">he </w:t>
      </w:r>
      <w:r w:rsidR="01A4F22D">
        <w:t xml:space="preserve">implementation of the </w:t>
      </w:r>
      <w:r w:rsidR="77790FE1">
        <w:t xml:space="preserve">2019 </w:t>
      </w:r>
      <w:r w:rsidR="77790FE1" w:rsidRPr="007B6AF5">
        <w:t>Superannuation Guarantee Integrity package</w:t>
      </w:r>
      <w:r w:rsidR="3BE40E28">
        <w:t xml:space="preserve">, which included the </w:t>
      </w:r>
      <w:r w:rsidR="3BE40E28" w:rsidRPr="001279EE">
        <w:t xml:space="preserve">extension of </w:t>
      </w:r>
      <w:r w:rsidR="00146E2D">
        <w:t>STP</w:t>
      </w:r>
      <w:r w:rsidR="70926CB4">
        <w:t xml:space="preserve"> </w:t>
      </w:r>
      <w:r w:rsidR="3BE40E28" w:rsidRPr="001279EE">
        <w:t>to all employers</w:t>
      </w:r>
      <w:r w:rsidR="6ABBE91C">
        <w:t>,</w:t>
      </w:r>
      <w:r w:rsidR="3BE40E28" w:rsidRPr="001279EE">
        <w:t xml:space="preserve"> </w:t>
      </w:r>
      <w:r w:rsidR="6ABBE91C">
        <w:t>w</w:t>
      </w:r>
      <w:r w:rsidR="3BE40E28">
        <w:t xml:space="preserve">as </w:t>
      </w:r>
      <w:r w:rsidR="653EC52E">
        <w:t>an important policy change</w:t>
      </w:r>
      <w:r w:rsidR="00146AA7">
        <w:t>.</w:t>
      </w:r>
      <w:r w:rsidR="6ABBE91C">
        <w:t xml:space="preserve"> The Productivity Commission stated that </w:t>
      </w:r>
      <w:r w:rsidR="6BD21043">
        <w:t>“</w:t>
      </w:r>
      <w:r w:rsidR="6ABBE91C" w:rsidRPr="00146AA7">
        <w:t>regular data on SG obligations and SG contributions received for all employees</w:t>
      </w:r>
      <w:r w:rsidR="00BB736E">
        <w:t xml:space="preserve"> </w:t>
      </w:r>
      <w:r w:rsidR="6BD21043">
        <w:t>…</w:t>
      </w:r>
      <w:r w:rsidR="00BB736E">
        <w:t xml:space="preserve"> </w:t>
      </w:r>
      <w:r w:rsidR="6ABBE91C" w:rsidRPr="00146AA7">
        <w:t>will enable the ATO to identify non-compliant employers and take action to recover unpaid SG contributions much more effectively than it is currently able to.</w:t>
      </w:r>
      <w:r w:rsidR="6BD21043">
        <w:t>”</w:t>
      </w:r>
      <w:r w:rsidR="00C82259">
        <w:rPr>
          <w:rStyle w:val="FootnoteReference"/>
        </w:rPr>
        <w:footnoteReference w:id="22"/>
      </w:r>
    </w:p>
    <w:p w14:paraId="43BD604A" w14:textId="13408203" w:rsidR="007F5E20" w:rsidRDefault="007A0F00" w:rsidP="003E3F28">
      <w:r>
        <w:t>However, the ANAO re</w:t>
      </w:r>
      <w:r w:rsidR="008A701F">
        <w:t xml:space="preserve">port and </w:t>
      </w:r>
      <w:r w:rsidRPr="0058377A">
        <w:t xml:space="preserve">Senate Economics References Committee </w:t>
      </w:r>
      <w:r w:rsidR="008A701F">
        <w:t>report</w:t>
      </w:r>
      <w:r w:rsidR="00841BF6">
        <w:t>,</w:t>
      </w:r>
      <w:r w:rsidR="008A701F">
        <w:t xml:space="preserve"> both released in</w:t>
      </w:r>
      <w:r>
        <w:t xml:space="preserve"> 2022</w:t>
      </w:r>
      <w:r w:rsidR="007F5E20">
        <w:t>,</w:t>
      </w:r>
      <w:r w:rsidR="008A701F">
        <w:t xml:space="preserve"> had contradictory findings</w:t>
      </w:r>
      <w:r w:rsidR="00F65B01">
        <w:t xml:space="preserve"> on the effectiveness of</w:t>
      </w:r>
      <w:r w:rsidR="007F5E20">
        <w:t xml:space="preserve"> these changes:</w:t>
      </w:r>
    </w:p>
    <w:p w14:paraId="29D43D4A" w14:textId="7CFF4996" w:rsidR="007F5E20" w:rsidRDefault="00616C3E" w:rsidP="007E7CDF">
      <w:pPr>
        <w:pStyle w:val="Bullet"/>
      </w:pPr>
      <w:r>
        <w:t xml:space="preserve">The </w:t>
      </w:r>
      <w:r w:rsidRPr="0058377A">
        <w:t xml:space="preserve">Senate Economics References Committee </w:t>
      </w:r>
      <w:r>
        <w:t xml:space="preserve">reported </w:t>
      </w:r>
      <w:r w:rsidR="00816FC6">
        <w:t xml:space="preserve">that </w:t>
      </w:r>
      <w:r w:rsidR="00EC0224">
        <w:t xml:space="preserve">despite the introduction of </w:t>
      </w:r>
      <w:r w:rsidR="00841BF6">
        <w:t>STP</w:t>
      </w:r>
      <w:r w:rsidR="00EC0224">
        <w:t xml:space="preserve"> which theoretically improves ATO visibility, the </w:t>
      </w:r>
      <w:r w:rsidR="00816FC6">
        <w:t>ATO “</w:t>
      </w:r>
      <w:r w:rsidR="00E87515">
        <w:t>does not have accurate visibility of the extent of unpaid superannuation</w:t>
      </w:r>
      <w:r w:rsidR="00EC0224">
        <w:t>.</w:t>
      </w:r>
      <w:r w:rsidR="00816FC6">
        <w:t>”</w:t>
      </w:r>
      <w:r w:rsidR="00816FC6">
        <w:rPr>
          <w:rStyle w:val="FootnoteReference"/>
        </w:rPr>
        <w:footnoteReference w:id="23"/>
      </w:r>
    </w:p>
    <w:p w14:paraId="7BAE6510" w14:textId="68B70011" w:rsidR="006319EB" w:rsidRPr="008A701F" w:rsidRDefault="1700B694" w:rsidP="007E7CDF">
      <w:pPr>
        <w:pStyle w:val="Bullet"/>
        <w:rPr>
          <w:b/>
          <w:bCs/>
        </w:rPr>
      </w:pPr>
      <w:r>
        <w:t>The ANAO reported that the SG Taskforce (2018 to 2021) “partly achieved the planned outcomes</w:t>
      </w:r>
      <w:r w:rsidR="000838CC">
        <w:t xml:space="preserve"> </w:t>
      </w:r>
      <w:r>
        <w:t>…</w:t>
      </w:r>
      <w:r w:rsidR="000838CC">
        <w:t xml:space="preserve"> </w:t>
      </w:r>
      <w:r>
        <w:t xml:space="preserve">but it did not achieve several of its objectives associated with the usage of </w:t>
      </w:r>
      <w:r w:rsidR="00193F32">
        <w:t>STP</w:t>
      </w:r>
      <w:r>
        <w:t xml:space="preserve"> and other data.”</w:t>
      </w:r>
      <w:r w:rsidR="008D0FF7" w:rsidRPr="00946C3B">
        <w:rPr>
          <w:rStyle w:val="FootnoteReference"/>
        </w:rPr>
        <w:footnoteReference w:id="24"/>
      </w:r>
    </w:p>
    <w:p w14:paraId="2F23B146" w14:textId="0009F6D6" w:rsidR="00D653EB" w:rsidRDefault="00D653EB" w:rsidP="00D653EB">
      <w:pPr>
        <w:pStyle w:val="Heading3"/>
      </w:pPr>
      <w:bookmarkStart w:id="24" w:name="_Toc134198446"/>
      <w:r>
        <w:t xml:space="preserve">Without </w:t>
      </w:r>
      <w:r w:rsidR="00F0306A">
        <w:t xml:space="preserve">Government </w:t>
      </w:r>
      <w:r>
        <w:t>intervention, inequities will persist</w:t>
      </w:r>
      <w:bookmarkEnd w:id="24"/>
    </w:p>
    <w:p w14:paraId="652F12C6" w14:textId="52B185B9" w:rsidR="00407C39" w:rsidRPr="00A873A8" w:rsidRDefault="00A873A8" w:rsidP="00111EDB">
      <w:pPr>
        <w:pStyle w:val="Heading4"/>
      </w:pPr>
      <w:r w:rsidRPr="00A873A8">
        <w:t xml:space="preserve">There are </w:t>
      </w:r>
      <w:r>
        <w:t>m</w:t>
      </w:r>
      <w:r w:rsidR="00407C39" w:rsidRPr="00A873A8">
        <w:t>arket inequities between compliant and non-compliant employers</w:t>
      </w:r>
    </w:p>
    <w:p w14:paraId="17C70672" w14:textId="1988B355" w:rsidR="00407C39" w:rsidRDefault="00407C39" w:rsidP="00407C39">
      <w:r>
        <w:t xml:space="preserve">Reports show </w:t>
      </w:r>
      <w:r w:rsidR="008E2E79">
        <w:t xml:space="preserve">that </w:t>
      </w:r>
      <w:r>
        <w:t>compliant employers are currently disadvantaged by non-compliant competitors</w:t>
      </w:r>
      <w:r w:rsidR="00937551">
        <w:t>.</w:t>
      </w:r>
      <w:r w:rsidR="009741DE">
        <w:rPr>
          <w:rStyle w:val="FootnoteReference"/>
        </w:rPr>
        <w:footnoteReference w:id="25"/>
      </w:r>
      <w:r w:rsidR="009741DE">
        <w:t xml:space="preserve"> </w:t>
      </w:r>
      <w:r w:rsidR="00514310">
        <w:t xml:space="preserve">Often, this is </w:t>
      </w:r>
      <w:r w:rsidR="00DC311C">
        <w:t>because</w:t>
      </w:r>
      <w:r w:rsidR="00514310">
        <w:t xml:space="preserve"> some employers use </w:t>
      </w:r>
      <w:r w:rsidR="00586D75">
        <w:t xml:space="preserve">the quarterly payment requirements and lack of </w:t>
      </w:r>
      <w:r w:rsidR="00F73255">
        <w:t>ATO</w:t>
      </w:r>
      <w:r w:rsidR="00586D75">
        <w:t xml:space="preserve"> visibility </w:t>
      </w:r>
      <w:r w:rsidR="00F73255">
        <w:t xml:space="preserve">over SG non-compliance </w:t>
      </w:r>
      <w:r w:rsidR="00586D75">
        <w:t>to</w:t>
      </w:r>
      <w:r w:rsidR="00160B81">
        <w:t xml:space="preserve"> </w:t>
      </w:r>
      <w:r w:rsidR="00651CB6">
        <w:t>not pay their employees</w:t>
      </w:r>
      <w:r w:rsidR="008E2E79">
        <w:t>’</w:t>
      </w:r>
      <w:r w:rsidR="00651CB6">
        <w:t xml:space="preserve"> SG entitlements</w:t>
      </w:r>
      <w:r w:rsidR="00F72FE4">
        <w:t xml:space="preserve"> </w:t>
      </w:r>
      <w:r w:rsidR="009C755D">
        <w:t>to</w:t>
      </w:r>
      <w:r w:rsidR="00F72FE4">
        <w:t xml:space="preserve"> ease cash flow </w:t>
      </w:r>
      <w:r w:rsidR="00A009AA">
        <w:t>pressures</w:t>
      </w:r>
      <w:r w:rsidR="00651CB6">
        <w:t xml:space="preserve">. </w:t>
      </w:r>
      <w:r w:rsidR="0049778C">
        <w:t>Government intervention</w:t>
      </w:r>
      <w:r w:rsidR="00B3244A">
        <w:t>s</w:t>
      </w:r>
      <w:r w:rsidR="00651CB6">
        <w:t xml:space="preserve">, such as increasing the frequency of SG payments or increasing the visibility </w:t>
      </w:r>
      <w:r w:rsidR="00F2699D">
        <w:t xml:space="preserve">for </w:t>
      </w:r>
      <w:r w:rsidR="00651CB6">
        <w:t>the ATO</w:t>
      </w:r>
      <w:r w:rsidR="00B3244A">
        <w:t>,</w:t>
      </w:r>
      <w:r w:rsidR="00651CB6">
        <w:t xml:space="preserve"> </w:t>
      </w:r>
      <w:r>
        <w:t>would enable the Government to</w:t>
      </w:r>
      <w:r w:rsidR="004A571E">
        <w:t xml:space="preserve"> </w:t>
      </w:r>
      <w:r w:rsidR="006C3153">
        <w:t xml:space="preserve">address </w:t>
      </w:r>
      <w:r w:rsidR="009922B2">
        <w:t>these</w:t>
      </w:r>
      <w:r w:rsidR="004A315A">
        <w:t xml:space="preserve"> structural issues which contribute to these inequities. </w:t>
      </w:r>
      <w:r w:rsidR="009922B2">
        <w:t xml:space="preserve"> </w:t>
      </w:r>
    </w:p>
    <w:p w14:paraId="2205280D" w14:textId="2C547868" w:rsidR="007D2AF9" w:rsidRDefault="00FA6969" w:rsidP="00111EDB">
      <w:pPr>
        <w:pStyle w:val="Heading4"/>
      </w:pPr>
      <w:r>
        <w:t>Low</w:t>
      </w:r>
      <w:r w:rsidR="0085722D">
        <w:t>-</w:t>
      </w:r>
      <w:r>
        <w:t>income employees are most likely to be impacted by unpaid SG</w:t>
      </w:r>
    </w:p>
    <w:p w14:paraId="31DD96C3" w14:textId="6276394C" w:rsidR="00B3244A" w:rsidRPr="00464C1E" w:rsidRDefault="00464C1E" w:rsidP="00464C1E">
      <w:pPr>
        <w:pStyle w:val="BodyText"/>
      </w:pPr>
      <w:r>
        <w:t xml:space="preserve">The cohorts most likely to be impacted by unpaid SG </w:t>
      </w:r>
      <w:r w:rsidR="007E5004">
        <w:t>are lower income employees</w:t>
      </w:r>
      <w:r w:rsidR="00996212">
        <w:t>.</w:t>
      </w:r>
      <w:r w:rsidR="00996212">
        <w:rPr>
          <w:rStyle w:val="FootnoteReference"/>
        </w:rPr>
        <w:footnoteReference w:id="26"/>
      </w:r>
      <w:r w:rsidR="00467FBF">
        <w:t xml:space="preserve"> </w:t>
      </w:r>
      <w:r w:rsidR="00B3244A">
        <w:t>T</w:t>
      </w:r>
      <w:r w:rsidR="00467FBF">
        <w:t xml:space="preserve">he Retirement Income Review found that </w:t>
      </w:r>
      <w:r w:rsidR="00CE0140">
        <w:t>those with lower incomes in working life</w:t>
      </w:r>
      <w:r w:rsidR="00116232">
        <w:t xml:space="preserve">, have lower retirement savings. </w:t>
      </w:r>
      <w:r w:rsidR="004D604C">
        <w:t xml:space="preserve">This means that lower income employees who also have unpaid SG have significantly lower retirement outcomes than other cohorts. </w:t>
      </w:r>
      <w:r w:rsidR="00B3244A">
        <w:t>Government interventions which reduce</w:t>
      </w:r>
      <w:r w:rsidR="004D604C">
        <w:t xml:space="preserve"> </w:t>
      </w:r>
      <w:r w:rsidR="00B3244A">
        <w:t>the incidence of unpaid SG would address</w:t>
      </w:r>
      <w:r w:rsidR="009872BA">
        <w:t xml:space="preserve"> </w:t>
      </w:r>
      <w:r w:rsidR="008F70BC">
        <w:t xml:space="preserve">the </w:t>
      </w:r>
      <w:r w:rsidR="005A4ECE">
        <w:t>compounding impact</w:t>
      </w:r>
      <w:r w:rsidR="008F70BC">
        <w:t>s that</w:t>
      </w:r>
      <w:r w:rsidR="005A4ECE">
        <w:t xml:space="preserve"> unpaid SG has on </w:t>
      </w:r>
      <w:r w:rsidR="00906DEF">
        <w:t>lower income earners</w:t>
      </w:r>
      <w:r w:rsidR="003340FE">
        <w:t>’</w:t>
      </w:r>
      <w:r w:rsidR="00906DEF">
        <w:t xml:space="preserve"> retirement outcomes. </w:t>
      </w:r>
      <w:r w:rsidR="009872BA">
        <w:t xml:space="preserve"> </w:t>
      </w:r>
    </w:p>
    <w:p w14:paraId="645FC953" w14:textId="71B7C722" w:rsidR="00A01B40" w:rsidRDefault="00201E93" w:rsidP="007379D0">
      <w:pPr>
        <w:pStyle w:val="Heading2"/>
      </w:pPr>
      <w:bookmarkStart w:id="25" w:name="_Toc134198447"/>
      <w:r>
        <w:t xml:space="preserve">2.2 </w:t>
      </w:r>
      <w:r w:rsidR="002F511D">
        <w:t xml:space="preserve">What capacity does the </w:t>
      </w:r>
      <w:r w:rsidR="00A01B40">
        <w:t xml:space="preserve">Government </w:t>
      </w:r>
      <w:r w:rsidR="002F511D">
        <w:t>have to</w:t>
      </w:r>
      <w:r w:rsidR="00A01B40">
        <w:t xml:space="preserve"> intervene</w:t>
      </w:r>
      <w:r w:rsidR="002F511D">
        <w:t>?</w:t>
      </w:r>
      <w:bookmarkEnd w:id="25"/>
    </w:p>
    <w:p w14:paraId="264CDFEC" w14:textId="0B1C533A" w:rsidR="00A01B40" w:rsidRDefault="00A01B40" w:rsidP="00A01B40">
      <w:pPr>
        <w:pStyle w:val="BodyText"/>
      </w:pPr>
      <w:r>
        <w:t>The Government has the capacity to intervene in a few key ways</w:t>
      </w:r>
      <w:r w:rsidR="00C510C3">
        <w:t xml:space="preserve"> including</w:t>
      </w:r>
      <w:r w:rsidR="00233AFE">
        <w:t xml:space="preserve"> </w:t>
      </w:r>
      <w:r w:rsidR="0002351A">
        <w:t xml:space="preserve">through </w:t>
      </w:r>
      <w:r w:rsidR="00233AFE">
        <w:t>policy</w:t>
      </w:r>
      <w:r w:rsidR="39905912">
        <w:t xml:space="preserve"> and </w:t>
      </w:r>
      <w:r w:rsidR="00C510C3">
        <w:t>legislative</w:t>
      </w:r>
      <w:r w:rsidR="00233AFE">
        <w:t xml:space="preserve"> changes, administrative</w:t>
      </w:r>
      <w:r w:rsidR="60EF4D9C">
        <w:t xml:space="preserve"> and </w:t>
      </w:r>
      <w:r w:rsidR="00233AFE">
        <w:t>reporting changes</w:t>
      </w:r>
      <w:r w:rsidR="00E4346C">
        <w:t>, and</w:t>
      </w:r>
      <w:r w:rsidR="00233AFE">
        <w:t xml:space="preserve"> investments in </w:t>
      </w:r>
      <w:r w:rsidR="00C20F5F">
        <w:t xml:space="preserve">ATO </w:t>
      </w:r>
      <w:r w:rsidR="00204C0F">
        <w:t>capabilities</w:t>
      </w:r>
      <w:r w:rsidR="00233AFE">
        <w:t xml:space="preserve">. </w:t>
      </w:r>
    </w:p>
    <w:p w14:paraId="65A6B0B3" w14:textId="02D211DA" w:rsidR="00A01B40" w:rsidRDefault="00A01B40" w:rsidP="00A95E0F">
      <w:pPr>
        <w:pStyle w:val="Heading3"/>
      </w:pPr>
      <w:bookmarkStart w:id="26" w:name="_Toc134198448"/>
      <w:r>
        <w:t>Policy</w:t>
      </w:r>
      <w:r w:rsidR="00EE1F61">
        <w:t xml:space="preserve"> a</w:t>
      </w:r>
      <w:r w:rsidR="00DB4F5D">
        <w:t xml:space="preserve">nd </w:t>
      </w:r>
      <w:r w:rsidR="00C510C3">
        <w:t>legislative</w:t>
      </w:r>
      <w:r>
        <w:t xml:space="preserve"> changes</w:t>
      </w:r>
      <w:bookmarkEnd w:id="26"/>
    </w:p>
    <w:p w14:paraId="7758D2D0" w14:textId="2D6BB53B" w:rsidR="00643218" w:rsidRPr="00643218" w:rsidRDefault="00C877C3" w:rsidP="00DB6313">
      <w:r>
        <w:t xml:space="preserve">The </w:t>
      </w:r>
      <w:r w:rsidR="006A1F09">
        <w:t>G</w:t>
      </w:r>
      <w:r>
        <w:t xml:space="preserve">overnment has responsibility for </w:t>
      </w:r>
      <w:r w:rsidR="006B5B0F">
        <w:t>several</w:t>
      </w:r>
      <w:r w:rsidR="0029442F">
        <w:t xml:space="preserve"> acts and regulations</w:t>
      </w:r>
      <w:r w:rsidR="00866010">
        <w:t>,</w:t>
      </w:r>
      <w:r w:rsidR="0029442F">
        <w:t xml:space="preserve"> </w:t>
      </w:r>
      <w:r w:rsidR="00866010">
        <w:t xml:space="preserve">including the SGA Act and the </w:t>
      </w:r>
      <w:r w:rsidR="00866010" w:rsidRPr="001D16FB">
        <w:t>SGC Act</w:t>
      </w:r>
      <w:r w:rsidR="00866010">
        <w:t xml:space="preserve">, </w:t>
      </w:r>
      <w:r w:rsidR="0029442F">
        <w:t>and could introduce legislation to change policy settin</w:t>
      </w:r>
      <w:r w:rsidR="0015335E">
        <w:t>gs which would improve</w:t>
      </w:r>
      <w:r w:rsidR="003E4021">
        <w:t xml:space="preserve"> voluntary</w:t>
      </w:r>
      <w:r w:rsidR="0015335E">
        <w:t xml:space="preserve"> SG compliance</w:t>
      </w:r>
      <w:r w:rsidR="003E4021">
        <w:t xml:space="preserve"> and </w:t>
      </w:r>
      <w:r w:rsidR="00526C10">
        <w:t>ATO visibility</w:t>
      </w:r>
      <w:r w:rsidR="00F83958">
        <w:t xml:space="preserve"> of unpaid SG. </w:t>
      </w:r>
    </w:p>
    <w:p w14:paraId="77824536" w14:textId="57D803A6" w:rsidR="00A01B40" w:rsidRDefault="00A01B40" w:rsidP="00A95E0F">
      <w:pPr>
        <w:pStyle w:val="Heading3"/>
      </w:pPr>
      <w:bookmarkStart w:id="27" w:name="_Toc134198449"/>
      <w:r>
        <w:t>Administrative</w:t>
      </w:r>
      <w:r w:rsidR="00DB4F5D">
        <w:t xml:space="preserve"> and </w:t>
      </w:r>
      <w:r w:rsidR="002167D7">
        <w:t xml:space="preserve">data </w:t>
      </w:r>
      <w:r w:rsidR="004945D0">
        <w:t>reporting changes</w:t>
      </w:r>
      <w:bookmarkEnd w:id="27"/>
    </w:p>
    <w:p w14:paraId="51028C8E" w14:textId="5ECD7752" w:rsidR="00E70544" w:rsidRPr="00A86E08" w:rsidRDefault="59744FB8" w:rsidP="000A794F">
      <w:r>
        <w:t xml:space="preserve">As the Government have responsibility for </w:t>
      </w:r>
      <w:r w:rsidR="0047285C" w:rsidRPr="00A86E08">
        <w:t>several</w:t>
      </w:r>
      <w:r>
        <w:t xml:space="preserve"> acts and regulations, including the SGA Act and </w:t>
      </w:r>
      <w:r w:rsidR="473F5F66">
        <w:t>the</w:t>
      </w:r>
      <w:r w:rsidR="605F8CF3">
        <w:t xml:space="preserve"> </w:t>
      </w:r>
      <w:r>
        <w:t>SGC Act</w:t>
      </w:r>
      <w:r w:rsidR="3A81E5A0">
        <w:t>, and</w:t>
      </w:r>
      <w:r w:rsidR="41DD256D">
        <w:t xml:space="preserve"> for </w:t>
      </w:r>
      <w:r w:rsidR="006D452C">
        <w:t xml:space="preserve">setting </w:t>
      </w:r>
      <w:r w:rsidR="41DD256D">
        <w:t xml:space="preserve">the </w:t>
      </w:r>
      <w:r w:rsidR="006D452C">
        <w:t xml:space="preserve">statutory obligations of the </w:t>
      </w:r>
      <w:r w:rsidR="2691C9E5">
        <w:t>ATO</w:t>
      </w:r>
      <w:r w:rsidR="001320BF">
        <w:t>.</w:t>
      </w:r>
      <w:r w:rsidR="41DD256D">
        <w:t xml:space="preserve"> </w:t>
      </w:r>
      <w:r w:rsidR="001320BF">
        <w:t>C</w:t>
      </w:r>
      <w:r w:rsidR="41DD256D">
        <w:t>hanges to administration and data reporting</w:t>
      </w:r>
      <w:r w:rsidR="4AA69DF3">
        <w:t xml:space="preserve"> requirements c</w:t>
      </w:r>
      <w:r w:rsidR="006D452C">
        <w:t>ould</w:t>
      </w:r>
      <w:r w:rsidR="4AA69DF3">
        <w:t xml:space="preserve"> improve visibility </w:t>
      </w:r>
      <w:r w:rsidR="38319EA5">
        <w:t xml:space="preserve">of SG liabilities and payments </w:t>
      </w:r>
      <w:r w:rsidR="4AA69DF3">
        <w:t xml:space="preserve">for </w:t>
      </w:r>
      <w:r w:rsidR="38319EA5">
        <w:t xml:space="preserve">employees, superannuation funds and the ATO. </w:t>
      </w:r>
    </w:p>
    <w:p w14:paraId="67985D19" w14:textId="5846CDBF" w:rsidR="004945D0" w:rsidRDefault="004945D0" w:rsidP="00A95E0F">
      <w:pPr>
        <w:pStyle w:val="Heading3"/>
      </w:pPr>
      <w:bookmarkStart w:id="28" w:name="_Toc134198450"/>
      <w:r>
        <w:t xml:space="preserve">Investments in </w:t>
      </w:r>
      <w:r w:rsidR="001D6901">
        <w:t xml:space="preserve">ATO to </w:t>
      </w:r>
      <w:r>
        <w:t>recover unpaid SG</w:t>
      </w:r>
      <w:bookmarkEnd w:id="28"/>
    </w:p>
    <w:p w14:paraId="58CAB8F1" w14:textId="0EAB9AB1" w:rsidR="00670A5E" w:rsidRDefault="36F80EEA" w:rsidP="00670A5E">
      <w:pPr>
        <w:pStyle w:val="BodyText"/>
      </w:pPr>
      <w:r>
        <w:t>The Government could provide the ATO with additional funding</w:t>
      </w:r>
      <w:r w:rsidR="00681EE1">
        <w:t xml:space="preserve"> to</w:t>
      </w:r>
      <w:r w:rsidR="00891F4D" w:rsidRPr="00891F4D">
        <w:t xml:space="preserve"> </w:t>
      </w:r>
      <w:r w:rsidR="00891F4D">
        <w:t>increase the recovery of unpaid SG.</w:t>
      </w:r>
      <w:r w:rsidR="00681EE1">
        <w:t xml:space="preserve"> </w:t>
      </w:r>
      <w:r w:rsidR="00891F4D">
        <w:t>F</w:t>
      </w:r>
      <w:r w:rsidR="00681EE1">
        <w:t>or example,</w:t>
      </w:r>
      <w:r w:rsidR="7A30FF45">
        <w:t xml:space="preserve"> funding could be provided to </w:t>
      </w:r>
      <w:r w:rsidR="00377F95">
        <w:t xml:space="preserve">increase the manual compliance efforts of </w:t>
      </w:r>
      <w:r w:rsidR="7A30FF45">
        <w:t>the ATO</w:t>
      </w:r>
      <w:r w:rsidR="00377F95">
        <w:t>,</w:t>
      </w:r>
      <w:r w:rsidR="7A30FF45">
        <w:t xml:space="preserve"> to </w:t>
      </w:r>
      <w:r w:rsidR="5EE683D5">
        <w:t xml:space="preserve">increase the speed at which </w:t>
      </w:r>
      <w:r w:rsidR="338C6122">
        <w:t xml:space="preserve">it </w:t>
      </w:r>
      <w:r w:rsidR="5EE683D5">
        <w:t>assess</w:t>
      </w:r>
      <w:r w:rsidR="28C37F63">
        <w:t>es</w:t>
      </w:r>
      <w:r w:rsidR="5EE683D5">
        <w:t xml:space="preserve"> employee notifications </w:t>
      </w:r>
      <w:r w:rsidR="00377F95">
        <w:t>and</w:t>
      </w:r>
      <w:r w:rsidR="5EE683D5">
        <w:t xml:space="preserve"> self-initiated audits. This could</w:t>
      </w:r>
      <w:r w:rsidR="6C1D9819">
        <w:t xml:space="preserve"> </w:t>
      </w:r>
      <w:r w:rsidR="5EE683D5">
        <w:t xml:space="preserve">increase the recovery of unpaid SG. </w:t>
      </w:r>
    </w:p>
    <w:p w14:paraId="7E910E87" w14:textId="1BFFEB85" w:rsidR="00774477" w:rsidRDefault="00201E93" w:rsidP="007379D0">
      <w:pPr>
        <w:pStyle w:val="Heading2"/>
      </w:pPr>
      <w:bookmarkStart w:id="29" w:name="_Toc134198451"/>
      <w:r>
        <w:t xml:space="preserve">2.3 </w:t>
      </w:r>
      <w:r w:rsidR="00087A8D">
        <w:t>What are the o</w:t>
      </w:r>
      <w:r w:rsidR="00774477">
        <w:t>bjectives of Government action</w:t>
      </w:r>
      <w:r w:rsidR="00E54998">
        <w:t>?</w:t>
      </w:r>
      <w:bookmarkEnd w:id="29"/>
    </w:p>
    <w:p w14:paraId="20E66EFE" w14:textId="04A5ACFC" w:rsidR="00B15615" w:rsidRPr="00B15615" w:rsidRDefault="00A32C98" w:rsidP="007E7CDF">
      <w:pPr>
        <w:pStyle w:val="BodyText"/>
      </w:pPr>
      <w:r>
        <w:t>A</w:t>
      </w:r>
      <w:r w:rsidR="008308DC">
        <w:t>ddressing the problem of unpaid SG</w:t>
      </w:r>
      <w:r>
        <w:t>,</w:t>
      </w:r>
      <w:r w:rsidR="008308DC">
        <w:t xml:space="preserve"> </w:t>
      </w:r>
      <w:r w:rsidR="00C80E0B">
        <w:t>Government action</w:t>
      </w:r>
      <w:r w:rsidR="006A5C49">
        <w:t xml:space="preserve"> </w:t>
      </w:r>
      <w:r w:rsidR="002C0C8A">
        <w:t xml:space="preserve">would </w:t>
      </w:r>
      <w:r w:rsidR="00C80E0B">
        <w:t>have</w:t>
      </w:r>
      <w:r w:rsidR="002C0C8A">
        <w:t xml:space="preserve"> two primary objectives</w:t>
      </w:r>
      <w:r w:rsidR="00C80E0B">
        <w:t>,</w:t>
      </w:r>
      <w:r w:rsidR="00A67FE7">
        <w:t xml:space="preserve"> </w:t>
      </w:r>
      <w:r w:rsidR="00C80E0B">
        <w:t xml:space="preserve">each with two related measures </w:t>
      </w:r>
      <w:r w:rsidR="00285C93">
        <w:t>by which to assess performance against these objectives:</w:t>
      </w:r>
    </w:p>
    <w:p w14:paraId="492B9CB1" w14:textId="342700C8" w:rsidR="00767ABC" w:rsidRDefault="00767ABC" w:rsidP="00D653EB">
      <w:pPr>
        <w:pStyle w:val="OutlineNumbered1"/>
      </w:pPr>
      <w:r>
        <w:t>Increase the amount of SG being paid</w:t>
      </w:r>
      <w:r w:rsidR="00A830A4">
        <w:t xml:space="preserve"> by employers</w:t>
      </w:r>
      <w:r>
        <w:t xml:space="preserve"> on time and in full</w:t>
      </w:r>
      <w:r w:rsidR="00E67DF2">
        <w:t>.</w:t>
      </w:r>
    </w:p>
    <w:p w14:paraId="25CC1D6D" w14:textId="681A3CA3" w:rsidR="00B8004A" w:rsidRDefault="00B8004A" w:rsidP="00B8004A">
      <w:pPr>
        <w:pStyle w:val="OutlineNumbered2"/>
      </w:pPr>
      <w:r>
        <w:t xml:space="preserve">Measure 1: Increase the proportion of </w:t>
      </w:r>
      <w:r w:rsidR="00305717">
        <w:t xml:space="preserve">employers complying with their </w:t>
      </w:r>
      <w:r>
        <w:t xml:space="preserve">SG </w:t>
      </w:r>
      <w:r w:rsidR="00305717">
        <w:t>obligations without intervention</w:t>
      </w:r>
      <w:r w:rsidR="00FB3071">
        <w:t xml:space="preserve">. </w:t>
      </w:r>
      <w:r w:rsidR="00D21A4C">
        <w:t>In 2019-20</w:t>
      </w:r>
      <w:r>
        <w:t xml:space="preserve"> </w:t>
      </w:r>
      <w:r w:rsidR="00B1116E">
        <w:t xml:space="preserve">employers paid </w:t>
      </w:r>
      <w:r w:rsidR="00F14A5B">
        <w:t xml:space="preserve">approximately </w:t>
      </w:r>
      <w:r>
        <w:t>94</w:t>
      </w:r>
      <w:r w:rsidR="00F07FD8">
        <w:t>.1</w:t>
      </w:r>
      <w:r>
        <w:t xml:space="preserve"> per cent</w:t>
      </w:r>
      <w:r w:rsidR="00D21A4C">
        <w:t xml:space="preserve"> o</w:t>
      </w:r>
      <w:r w:rsidR="00A05DE1">
        <w:t xml:space="preserve">f </w:t>
      </w:r>
      <w:r w:rsidR="00F14A5B">
        <w:t>their</w:t>
      </w:r>
      <w:r w:rsidR="00A05DE1">
        <w:t xml:space="preserve"> SG contribut</w:t>
      </w:r>
      <w:r w:rsidR="00BF2833">
        <w:t>ions as required without ATO intervention</w:t>
      </w:r>
      <w:r w:rsidR="00BC3B67">
        <w:t>.</w:t>
      </w:r>
      <w:r w:rsidR="00FB3071">
        <w:rPr>
          <w:rStyle w:val="FootnoteReference"/>
        </w:rPr>
        <w:footnoteReference w:id="27"/>
      </w:r>
    </w:p>
    <w:p w14:paraId="730D961B" w14:textId="519534D9" w:rsidR="00B8004A" w:rsidRDefault="00B8004A" w:rsidP="00B8004A">
      <w:pPr>
        <w:pStyle w:val="OutlineNumbered2"/>
      </w:pPr>
      <w:r>
        <w:t>Measure 2: Create a</w:t>
      </w:r>
      <w:r w:rsidR="00093E54">
        <w:t>n</w:t>
      </w:r>
      <w:r>
        <w:t xml:space="preserve"> </w:t>
      </w:r>
      <w:r w:rsidR="00093E54">
        <w:t>improved</w:t>
      </w:r>
      <w:r>
        <w:t xml:space="preserve"> </w:t>
      </w:r>
      <w:r w:rsidR="00177E97">
        <w:t xml:space="preserve">gross </w:t>
      </w:r>
      <w:r>
        <w:t xml:space="preserve">SG gap </w:t>
      </w:r>
      <w:r w:rsidR="00093E54">
        <w:t xml:space="preserve">measure </w:t>
      </w:r>
      <w:r>
        <w:t xml:space="preserve">based on higher quality data. Reduce this gap over the following </w:t>
      </w:r>
      <w:r w:rsidR="00412ED7">
        <w:t xml:space="preserve">5 </w:t>
      </w:r>
      <w:r>
        <w:t>to 10 years.</w:t>
      </w:r>
    </w:p>
    <w:p w14:paraId="72A21288" w14:textId="3670658E" w:rsidR="00E03094" w:rsidRDefault="0007044B" w:rsidP="00D653EB">
      <w:pPr>
        <w:pStyle w:val="OutlineNumbered1"/>
      </w:pPr>
      <w:r>
        <w:t>Increase the recovery</w:t>
      </w:r>
      <w:r w:rsidR="00D52482">
        <w:t xml:space="preserve"> capabilities </w:t>
      </w:r>
      <w:r w:rsidR="005D53FF">
        <w:t>of the ATO</w:t>
      </w:r>
      <w:r w:rsidR="00B8004A">
        <w:t xml:space="preserve"> by enabling </w:t>
      </w:r>
      <w:r w:rsidR="006A233E">
        <w:t xml:space="preserve">more </w:t>
      </w:r>
      <w:r w:rsidR="00F966D7">
        <w:t xml:space="preserve">timely, </w:t>
      </w:r>
      <w:r w:rsidR="006A233E">
        <w:t>efficient</w:t>
      </w:r>
      <w:r w:rsidR="005A43C0">
        <w:t>,</w:t>
      </w:r>
      <w:r w:rsidR="006A233E">
        <w:t xml:space="preserve"> and </w:t>
      </w:r>
      <w:r w:rsidR="0065400D">
        <w:t xml:space="preserve">proactive </w:t>
      </w:r>
      <w:r w:rsidR="005A7F89">
        <w:t>compliance</w:t>
      </w:r>
      <w:r w:rsidR="0065400D">
        <w:t xml:space="preserve"> approach</w:t>
      </w:r>
      <w:r w:rsidR="00BD2A76">
        <w:t>es</w:t>
      </w:r>
      <w:r w:rsidR="005A7F89">
        <w:t>.</w:t>
      </w:r>
    </w:p>
    <w:p w14:paraId="3097E19D" w14:textId="70BEF644" w:rsidR="002C43CE" w:rsidRDefault="002C43CE" w:rsidP="002C43CE">
      <w:pPr>
        <w:pStyle w:val="OutlineNumbered2"/>
      </w:pPr>
      <w:r>
        <w:t xml:space="preserve">Measure 1: Increased proportion of SG </w:t>
      </w:r>
      <w:r w:rsidR="005D2750">
        <w:t>recovered</w:t>
      </w:r>
      <w:r w:rsidRPr="0029653C">
        <w:t xml:space="preserve"> </w:t>
      </w:r>
      <w:r>
        <w:t xml:space="preserve">in </w:t>
      </w:r>
      <w:r w:rsidR="005D2750">
        <w:t xml:space="preserve">a timely </w:t>
      </w:r>
      <w:r w:rsidR="002E1EEC">
        <w:t>manner</w:t>
      </w:r>
      <w:r>
        <w:t xml:space="preserve">, including increased amounts of </w:t>
      </w:r>
      <w:r w:rsidRPr="005557B6">
        <w:t xml:space="preserve">SG distributed as a proportion of SG raised </w:t>
      </w:r>
      <w:r w:rsidR="00E4749F">
        <w:t xml:space="preserve">in </w:t>
      </w:r>
      <w:r w:rsidR="00F4492E">
        <w:t xml:space="preserve">a </w:t>
      </w:r>
      <w:r w:rsidR="00E4749F">
        <w:t xml:space="preserve">recent </w:t>
      </w:r>
      <w:r w:rsidR="00F4492E">
        <w:t>financial year,</w:t>
      </w:r>
      <w:r w:rsidRPr="005557B6">
        <w:t xml:space="preserve"> and </w:t>
      </w:r>
      <w:r>
        <w:t xml:space="preserve">an increased </w:t>
      </w:r>
      <w:r w:rsidRPr="005557B6">
        <w:t xml:space="preserve">proportion </w:t>
      </w:r>
      <w:r w:rsidR="00BD789B">
        <w:t xml:space="preserve">of </w:t>
      </w:r>
      <w:r w:rsidRPr="00DD6EEC">
        <w:t xml:space="preserve">SG </w:t>
      </w:r>
      <w:r>
        <w:t>c</w:t>
      </w:r>
      <w:r w:rsidRPr="00DD6EEC">
        <w:t>harge raised and distributed within 12 months</w:t>
      </w:r>
      <w:r>
        <w:t>. The ATO currently reports data on SG charge activities each year and would be able report these as new additional measures.</w:t>
      </w:r>
    </w:p>
    <w:p w14:paraId="1D8680E5" w14:textId="2DCA4C9A" w:rsidR="00DB2DE7" w:rsidRDefault="00DB2DE7" w:rsidP="00DB2DE7">
      <w:pPr>
        <w:pStyle w:val="OutlineNumbered2"/>
      </w:pPr>
      <w:r>
        <w:t>Measure</w:t>
      </w:r>
      <w:r w:rsidR="00B8004A">
        <w:t xml:space="preserve"> </w:t>
      </w:r>
      <w:r w:rsidR="002C43CE">
        <w:t>2</w:t>
      </w:r>
      <w:r>
        <w:t xml:space="preserve">: </w:t>
      </w:r>
      <w:r w:rsidR="009825C0">
        <w:t>Increase the</w:t>
      </w:r>
      <w:r>
        <w:t xml:space="preserve"> proportion of compliance cases </w:t>
      </w:r>
      <w:r w:rsidR="009825C0">
        <w:t xml:space="preserve">that </w:t>
      </w:r>
      <w:r>
        <w:t>are proactive</w:t>
      </w:r>
      <w:r w:rsidR="00D56921">
        <w:t>ly identified by the ATO</w:t>
      </w:r>
      <w:r>
        <w:t xml:space="preserve"> compared to </w:t>
      </w:r>
      <w:r w:rsidR="002B5642">
        <w:t xml:space="preserve">those </w:t>
      </w:r>
      <w:r w:rsidR="0099448B">
        <w:t xml:space="preserve">commenced </w:t>
      </w:r>
      <w:r w:rsidR="00D04F08">
        <w:t xml:space="preserve">through ENs or other </w:t>
      </w:r>
      <w:r w:rsidR="006F66CB">
        <w:t>activities</w:t>
      </w:r>
      <w:r>
        <w:t>.</w:t>
      </w:r>
    </w:p>
    <w:p w14:paraId="0D310BFC" w14:textId="10F4D653" w:rsidR="00C50096" w:rsidRDefault="00127EAD" w:rsidP="007E7CDF">
      <w:pPr>
        <w:pStyle w:val="OutlineNumbered1"/>
        <w:numPr>
          <w:ilvl w:val="0"/>
          <w:numId w:val="0"/>
        </w:numPr>
      </w:pPr>
      <w:r>
        <w:t xml:space="preserve">As the ATO </w:t>
      </w:r>
      <w:r w:rsidR="00750C12">
        <w:t>current</w:t>
      </w:r>
      <w:r w:rsidR="002A19CC">
        <w:t>ly</w:t>
      </w:r>
      <w:r>
        <w:t xml:space="preserve"> has</w:t>
      </w:r>
      <w:r w:rsidR="00750C12">
        <w:t xml:space="preserve"> limitations on ATO estimation </w:t>
      </w:r>
      <w:r w:rsidR="00AD00AE">
        <w:t xml:space="preserve">of the SG gap, and </w:t>
      </w:r>
      <w:r w:rsidR="00445B44">
        <w:t xml:space="preserve">as </w:t>
      </w:r>
      <w:r w:rsidR="009C6D1A">
        <w:t xml:space="preserve">some measures </w:t>
      </w:r>
      <w:r w:rsidR="00547E06">
        <w:t>have yet to be reported</w:t>
      </w:r>
      <w:r w:rsidR="002A19CC">
        <w:t>,</w:t>
      </w:r>
      <w:r w:rsidR="00547E06">
        <w:t xml:space="preserve"> </w:t>
      </w:r>
      <w:r w:rsidR="00560244">
        <w:t>a</w:t>
      </w:r>
      <w:r w:rsidR="003A3DDF">
        <w:t>ppropriate benchmarks and targets for these measures would need to be considered</w:t>
      </w:r>
      <w:r w:rsidR="002A19CC">
        <w:t>.</w:t>
      </w:r>
      <w:r w:rsidR="003A3DDF">
        <w:t xml:space="preserve"> </w:t>
      </w:r>
      <w:r w:rsidR="002A19CC">
        <w:t>O</w:t>
      </w:r>
      <w:r w:rsidR="003A3DDF">
        <w:t xml:space="preserve">nce improved data is available for analysis </w:t>
      </w:r>
      <w:r w:rsidR="00052838">
        <w:t xml:space="preserve">assessments can be made on the </w:t>
      </w:r>
      <w:r w:rsidR="003A3DDF">
        <w:t xml:space="preserve">capabilities </w:t>
      </w:r>
      <w:r w:rsidR="00865E09">
        <w:t xml:space="preserve">for </w:t>
      </w:r>
      <w:r w:rsidR="00052838">
        <w:t xml:space="preserve">their </w:t>
      </w:r>
      <w:r w:rsidR="00865E09">
        <w:t>improvement</w:t>
      </w:r>
      <w:r w:rsidR="003A3DDF">
        <w:t>.</w:t>
      </w:r>
    </w:p>
    <w:p w14:paraId="1CE5620F" w14:textId="77777777" w:rsidR="00C50096" w:rsidRDefault="00C50096">
      <w:pPr>
        <w:rPr>
          <w:rFonts w:ascii="Calibri" w:eastAsia="Calibri" w:hAnsi="Calibri" w:cs="Calibri"/>
          <w:szCs w:val="22"/>
          <w:lang w:val="en-US"/>
        </w:rPr>
      </w:pPr>
      <w:r>
        <w:br w:type="page"/>
      </w:r>
    </w:p>
    <w:p w14:paraId="7C6722A6" w14:textId="470B8A07" w:rsidR="00651F89" w:rsidRDefault="00651F89" w:rsidP="00651F89">
      <w:pPr>
        <w:pStyle w:val="Title"/>
      </w:pPr>
      <w:bookmarkStart w:id="30" w:name="_Toc134198452"/>
      <w:r>
        <w:t>3. What policy options are you considering?</w:t>
      </w:r>
      <w:bookmarkEnd w:id="30"/>
    </w:p>
    <w:p w14:paraId="6D513F0B" w14:textId="794A1338" w:rsidR="00B1569C" w:rsidRPr="004A4775" w:rsidRDefault="00651F89" w:rsidP="00B47997">
      <w:pPr>
        <w:pStyle w:val="Heading2"/>
      </w:pPr>
      <w:bookmarkStart w:id="31" w:name="_Toc134198453"/>
      <w:r>
        <w:t>3.1 Option 1 – Status Quo</w:t>
      </w:r>
      <w:bookmarkEnd w:id="31"/>
    </w:p>
    <w:p w14:paraId="66A53B1D" w14:textId="28C13275" w:rsidR="00E429C8" w:rsidRPr="00E429C8" w:rsidRDefault="006C65D6" w:rsidP="00E429C8">
      <w:pPr>
        <w:pStyle w:val="BodyText"/>
      </w:pPr>
      <w:r>
        <w:t>This option would involve no changes to policy settings.</w:t>
      </w:r>
    </w:p>
    <w:p w14:paraId="60EC7AA9" w14:textId="61ECC7A4" w:rsidR="00651F89" w:rsidRDefault="00651F89" w:rsidP="00651F89">
      <w:pPr>
        <w:pStyle w:val="Heading2"/>
      </w:pPr>
      <w:bookmarkStart w:id="32" w:name="_Toc134198454"/>
      <w:r>
        <w:t xml:space="preserve">3.2 Option 2 – </w:t>
      </w:r>
      <w:r w:rsidR="00E30C25">
        <w:t>Investment in ATO data matching</w:t>
      </w:r>
      <w:bookmarkEnd w:id="32"/>
    </w:p>
    <w:p w14:paraId="43BE8A36" w14:textId="06210DDC" w:rsidR="002214AC" w:rsidRDefault="002214AC" w:rsidP="002214AC">
      <w:pPr>
        <w:pStyle w:val="BodyText"/>
      </w:pPr>
      <w:r>
        <w:t>Under Option 2, t</w:t>
      </w:r>
      <w:r w:rsidRPr="00B77D7D">
        <w:t xml:space="preserve">he ATO </w:t>
      </w:r>
      <w:r>
        <w:t>would</w:t>
      </w:r>
      <w:r w:rsidRPr="00B77D7D">
        <w:t xml:space="preserve"> </w:t>
      </w:r>
      <w:r w:rsidR="005371CC">
        <w:t xml:space="preserve">be granted funding to </w:t>
      </w:r>
      <w:r w:rsidR="00A25D74">
        <w:t>d</w:t>
      </w:r>
      <w:r w:rsidR="005371CC">
        <w:t xml:space="preserve">evelop capabilities to automatically match SG contributions data, which would enable the ATO to have near-real time visibility of SG positions for employees and employers </w:t>
      </w:r>
      <w:r w:rsidR="005371CC" w:rsidRPr="00501220">
        <w:t>by</w:t>
      </w:r>
      <w:r w:rsidR="005371CC" w:rsidRPr="00F031B6">
        <w:t xml:space="preserve"> </w:t>
      </w:r>
      <w:r w:rsidR="005371CC" w:rsidRPr="00724904">
        <w:t>June 2024</w:t>
      </w:r>
      <w:r w:rsidR="005371CC">
        <w:t>.</w:t>
      </w:r>
      <w:r w:rsidR="00B46821">
        <w:t xml:space="preserve"> </w:t>
      </w:r>
      <w:r w:rsidR="00B2495A">
        <w:t>T</w:t>
      </w:r>
      <w:r w:rsidRPr="00B77D7D">
        <w:t xml:space="preserve">he ATO </w:t>
      </w:r>
      <w:r>
        <w:t>would</w:t>
      </w:r>
      <w:r w:rsidRPr="00B77D7D">
        <w:t xml:space="preserve"> </w:t>
      </w:r>
      <w:r w:rsidRPr="00D56C35">
        <w:t xml:space="preserve">invest in creating a new unified database </w:t>
      </w:r>
      <w:r>
        <w:t xml:space="preserve">which </w:t>
      </w:r>
      <w:r w:rsidRPr="00B77D7D">
        <w:t>match</w:t>
      </w:r>
      <w:r>
        <w:t>es</w:t>
      </w:r>
      <w:r w:rsidRPr="00B77D7D">
        <w:t xml:space="preserve"> </w:t>
      </w:r>
      <w:r>
        <w:t xml:space="preserve">STP data from employers </w:t>
      </w:r>
      <w:r w:rsidRPr="00D56C35">
        <w:t xml:space="preserve">and </w:t>
      </w:r>
      <w:r>
        <w:t xml:space="preserve">MATS </w:t>
      </w:r>
      <w:r w:rsidRPr="00D56C35">
        <w:t xml:space="preserve">data </w:t>
      </w:r>
      <w:r>
        <w:t xml:space="preserve">from superannuation funds </w:t>
      </w:r>
      <w:r w:rsidRPr="00D56C35">
        <w:t>at scale</w:t>
      </w:r>
      <w:r>
        <w:t xml:space="preserve">. This database would </w:t>
      </w:r>
      <w:r w:rsidRPr="00D56C35">
        <w:t>provide a single source showing the</w:t>
      </w:r>
      <w:r w:rsidRPr="002B20BC">
        <w:t xml:space="preserve"> </w:t>
      </w:r>
      <w:r>
        <w:t>near-real time</w:t>
      </w:r>
      <w:r w:rsidRPr="00D56C35">
        <w:t xml:space="preserve"> recorded SG position for employers and employees</w:t>
      </w:r>
      <w:r>
        <w:t xml:space="preserve">, </w:t>
      </w:r>
      <w:r w:rsidR="00F50174">
        <w:t>helping</w:t>
      </w:r>
      <w:r w:rsidR="00F50174" w:rsidRPr="00D56C35">
        <w:t xml:space="preserve"> </w:t>
      </w:r>
      <w:r w:rsidRPr="00D56C35">
        <w:t>the ATO to</w:t>
      </w:r>
      <w:r w:rsidR="00E22A5B">
        <w:t xml:space="preserve"> improve its capabilities to</w:t>
      </w:r>
      <w:r w:rsidRPr="00D56C35">
        <w:t xml:space="preserve"> identify instances and patterns of </w:t>
      </w:r>
      <w:r>
        <w:t>late</w:t>
      </w:r>
      <w:r w:rsidRPr="00D56C35">
        <w:t xml:space="preserve"> or underpayment</w:t>
      </w:r>
      <w:r>
        <w:t xml:space="preserve"> of </w:t>
      </w:r>
      <w:r w:rsidR="00C416FB">
        <w:t xml:space="preserve">the </w:t>
      </w:r>
      <w:r>
        <w:t>SG as the non-compliance occurs</w:t>
      </w:r>
      <w:r w:rsidRPr="00B77D7D">
        <w:t xml:space="preserve">. </w:t>
      </w:r>
    </w:p>
    <w:p w14:paraId="00DF3099" w14:textId="3D1D5796" w:rsidR="00CE3995" w:rsidRDefault="00CE3995" w:rsidP="002214AC">
      <w:pPr>
        <w:pStyle w:val="BodyText"/>
      </w:pPr>
      <w:r>
        <w:t xml:space="preserve">Option 2 is a non-regulatory approach that </w:t>
      </w:r>
      <w:r w:rsidR="00832A80">
        <w:t>would</w:t>
      </w:r>
      <w:r>
        <w:t xml:space="preserve"> </w:t>
      </w:r>
      <w:r w:rsidR="00D71AF9">
        <w:t>increase</w:t>
      </w:r>
      <w:r>
        <w:t xml:space="preserve"> </w:t>
      </w:r>
      <w:r w:rsidR="003150B6">
        <w:t xml:space="preserve">employer </w:t>
      </w:r>
      <w:r>
        <w:t xml:space="preserve">compliance </w:t>
      </w:r>
      <w:r w:rsidR="003150B6">
        <w:t>with their</w:t>
      </w:r>
      <w:r w:rsidR="00D71AF9">
        <w:t xml:space="preserve"> SG </w:t>
      </w:r>
      <w:r w:rsidR="003150B6">
        <w:t xml:space="preserve">obligations </w:t>
      </w:r>
      <w:r w:rsidR="002A1976">
        <w:t xml:space="preserve">without the need for new legislation or regulatory arrangements. </w:t>
      </w:r>
      <w:r w:rsidR="00832A80">
        <w:t>It would</w:t>
      </w:r>
      <w:r w:rsidR="00D71AF9">
        <w:t xml:space="preserve"> </w:t>
      </w:r>
      <w:r w:rsidR="00F24186">
        <w:t>plac</w:t>
      </w:r>
      <w:r w:rsidR="00832A80">
        <w:t>e</w:t>
      </w:r>
      <w:r w:rsidR="00F24186">
        <w:t xml:space="preserve"> </w:t>
      </w:r>
      <w:r w:rsidR="00BD419C">
        <w:t>relatively less</w:t>
      </w:r>
      <w:r>
        <w:t xml:space="preserve"> regulatory impost on </w:t>
      </w:r>
      <w:r w:rsidR="00F24186">
        <w:t>employers</w:t>
      </w:r>
      <w:r>
        <w:t xml:space="preserve"> </w:t>
      </w:r>
      <w:r w:rsidR="00BD419C">
        <w:t xml:space="preserve">than the existing SG compliance regime. </w:t>
      </w:r>
      <w:r w:rsidR="00832A80">
        <w:t>T</w:t>
      </w:r>
      <w:r w:rsidR="005056C1">
        <w:t xml:space="preserve">he </w:t>
      </w:r>
      <w:r w:rsidR="00877997">
        <w:t xml:space="preserve">legal obligations, </w:t>
      </w:r>
      <w:r w:rsidR="00895D48">
        <w:t>administration</w:t>
      </w:r>
      <w:r w:rsidR="005056C1">
        <w:t xml:space="preserve"> </w:t>
      </w:r>
      <w:r w:rsidR="00414B3D">
        <w:t xml:space="preserve">and frequency </w:t>
      </w:r>
      <w:r w:rsidR="005056C1">
        <w:t xml:space="preserve">employers </w:t>
      </w:r>
      <w:r w:rsidR="00CA6659">
        <w:t xml:space="preserve">are required to </w:t>
      </w:r>
      <w:r w:rsidR="005056C1">
        <w:t xml:space="preserve">pay their employee’s SG </w:t>
      </w:r>
      <w:r w:rsidR="00895D48">
        <w:t>would</w:t>
      </w:r>
      <w:r w:rsidR="005056C1">
        <w:t xml:space="preserve"> be uninterrupted. </w:t>
      </w:r>
    </w:p>
    <w:p w14:paraId="7FC92476" w14:textId="29B5E4D8" w:rsidR="002214AC" w:rsidRDefault="002214AC" w:rsidP="002214AC">
      <w:pPr>
        <w:pStyle w:val="BodyText"/>
      </w:pPr>
      <w:r w:rsidRPr="00D56C35">
        <w:t xml:space="preserve">The matched data sets </w:t>
      </w:r>
      <w:r>
        <w:t xml:space="preserve">would be available to </w:t>
      </w:r>
      <w:r w:rsidRPr="00D56C35">
        <w:t xml:space="preserve">support client interactions during </w:t>
      </w:r>
      <w:r>
        <w:t xml:space="preserve">SG compliance </w:t>
      </w:r>
      <w:r w:rsidRPr="00D56C35">
        <w:t>audits</w:t>
      </w:r>
      <w:r>
        <w:t xml:space="preserve"> from June 2024 onward</w:t>
      </w:r>
      <w:r w:rsidRPr="00D56C35">
        <w:t xml:space="preserve">. The matched data sets </w:t>
      </w:r>
      <w:r>
        <w:t xml:space="preserve">would </w:t>
      </w:r>
      <w:r w:rsidRPr="00D56C35">
        <w:t xml:space="preserve">underpin new support tools </w:t>
      </w:r>
      <w:r>
        <w:t xml:space="preserve">reducing </w:t>
      </w:r>
      <w:r w:rsidR="005B7F08">
        <w:t xml:space="preserve">need for </w:t>
      </w:r>
      <w:r>
        <w:t xml:space="preserve">manual analysis. </w:t>
      </w:r>
    </w:p>
    <w:p w14:paraId="27C67F9A" w14:textId="4218F3A8" w:rsidR="000F151A" w:rsidRDefault="002214AC" w:rsidP="002214AC">
      <w:pPr>
        <w:pStyle w:val="BodyText"/>
      </w:pPr>
      <w:r w:rsidRPr="00D56C35">
        <w:t xml:space="preserve">The data </w:t>
      </w:r>
      <w:r>
        <w:t>would</w:t>
      </w:r>
      <w:r w:rsidRPr="00D56C35">
        <w:t xml:space="preserve"> be used to identify historical non-compliance and facilitate earlier intervention through </w:t>
      </w:r>
      <w:r>
        <w:t xml:space="preserve">employer </w:t>
      </w:r>
      <w:r w:rsidRPr="00D56C35">
        <w:t xml:space="preserve">nudges. </w:t>
      </w:r>
      <w:r w:rsidRPr="006A1BCB">
        <w:t xml:space="preserve">Trends of incorrect reporting </w:t>
      </w:r>
      <w:r>
        <w:t>would</w:t>
      </w:r>
      <w:r w:rsidRPr="006A1BCB">
        <w:t xml:space="preserve"> be identified, and the ATO </w:t>
      </w:r>
      <w:r>
        <w:t>would</w:t>
      </w:r>
      <w:r w:rsidRPr="006A1BCB">
        <w:t xml:space="preserve"> work with stakeholders to identify opportunities to improve </w:t>
      </w:r>
      <w:r w:rsidR="00913459">
        <w:t xml:space="preserve">the </w:t>
      </w:r>
      <w:r w:rsidRPr="006A1BCB">
        <w:t xml:space="preserve">quality of reporting from either funds or employers. </w:t>
      </w:r>
    </w:p>
    <w:p w14:paraId="5DDB3B14" w14:textId="5825552F" w:rsidR="00901B91" w:rsidRDefault="002214AC" w:rsidP="00651F89">
      <w:pPr>
        <w:pStyle w:val="BodyText"/>
      </w:pPr>
      <w:r>
        <w:t>Enabling the ATO to undertake earlier interventions and process unpaid SG cases in a more timely and efficient way is particularly important</w:t>
      </w:r>
      <w:r w:rsidR="000F151A">
        <w:t>.</w:t>
      </w:r>
      <w:r>
        <w:t xml:space="preserve"> </w:t>
      </w:r>
      <w:r w:rsidR="000F151A">
        <w:t>I</w:t>
      </w:r>
      <w:r>
        <w:t>n 2021-22, 3</w:t>
      </w:r>
      <w:r w:rsidR="00E10117">
        <w:t>7.5</w:t>
      </w:r>
      <w:r>
        <w:t xml:space="preserve"> per cent of SG charge debt ($1.2 billion) </w:t>
      </w:r>
      <w:r w:rsidR="004D37B8">
        <w:t>h</w:t>
      </w:r>
      <w:r w:rsidR="00105C6E">
        <w:t>eld by</w:t>
      </w:r>
      <w:r w:rsidR="004D37B8">
        <w:t xml:space="preserve"> the ATO </w:t>
      </w:r>
      <w:r>
        <w:t xml:space="preserve">was accrued by employers </w:t>
      </w:r>
      <w:r w:rsidR="00105C6E">
        <w:t>in</w:t>
      </w:r>
      <w:r>
        <w:t xml:space="preserve"> insolven</w:t>
      </w:r>
      <w:r w:rsidR="00105C6E">
        <w:t>cy</w:t>
      </w:r>
      <w:r>
        <w:t>.</w:t>
      </w:r>
      <w:r w:rsidR="00514C33">
        <w:rPr>
          <w:rStyle w:val="FootnoteReference"/>
        </w:rPr>
        <w:footnoteReference w:id="28"/>
      </w:r>
      <w:r w:rsidR="000F151A">
        <w:t xml:space="preserve"> </w:t>
      </w:r>
    </w:p>
    <w:p w14:paraId="293F5EF7" w14:textId="2682F138" w:rsidR="00C50096" w:rsidRDefault="002214AC" w:rsidP="00651F89">
      <w:pPr>
        <w:pStyle w:val="BodyText"/>
      </w:pPr>
      <w:r w:rsidRPr="009B31E6">
        <w:t>Enabl</w:t>
      </w:r>
      <w:r>
        <w:t>ing</w:t>
      </w:r>
      <w:r w:rsidRPr="009B31E6">
        <w:t xml:space="preserve"> data matching </w:t>
      </w:r>
      <w:r>
        <w:t>would also improve</w:t>
      </w:r>
      <w:r w:rsidRPr="009B31E6">
        <w:t xml:space="preserve"> measure</w:t>
      </w:r>
      <w:r>
        <w:t>ment of</w:t>
      </w:r>
      <w:r w:rsidRPr="009B31E6">
        <w:t xml:space="preserve"> the current SG </w:t>
      </w:r>
      <w:r>
        <w:t>g</w:t>
      </w:r>
      <w:r w:rsidRPr="009B31E6">
        <w:t xml:space="preserve">ap and enable the government to set </w:t>
      </w:r>
      <w:r>
        <w:t xml:space="preserve">improved </w:t>
      </w:r>
      <w:r w:rsidRPr="009B31E6">
        <w:t xml:space="preserve">SG </w:t>
      </w:r>
      <w:r>
        <w:t xml:space="preserve">recovery </w:t>
      </w:r>
      <w:r w:rsidRPr="009B31E6">
        <w:t>targets</w:t>
      </w:r>
      <w:r w:rsidR="00AF4C48" w:rsidRPr="00AF4C48">
        <w:t xml:space="preserve"> </w:t>
      </w:r>
      <w:r w:rsidR="00AF4C48" w:rsidRPr="009B31E6">
        <w:t xml:space="preserve">in line with </w:t>
      </w:r>
      <w:r w:rsidR="00AF4C48">
        <w:t xml:space="preserve">its </w:t>
      </w:r>
      <w:r w:rsidR="00AF4C48" w:rsidRPr="009B31E6">
        <w:t>election commitment</w:t>
      </w:r>
      <w:r w:rsidRPr="009B31E6">
        <w:t>.</w:t>
      </w:r>
      <w:r>
        <w:t xml:space="preserve"> </w:t>
      </w:r>
      <w:r w:rsidRPr="00B77D7D">
        <w:t>E</w:t>
      </w:r>
      <w:r w:rsidRPr="00D56C35">
        <w:t>stablishing a near</w:t>
      </w:r>
      <w:r>
        <w:t>-</w:t>
      </w:r>
      <w:r w:rsidRPr="00D56C35">
        <w:t>real</w:t>
      </w:r>
      <w:r>
        <w:t xml:space="preserve"> </w:t>
      </w:r>
      <w:r w:rsidRPr="00D56C35">
        <w:t xml:space="preserve">time view of </w:t>
      </w:r>
      <w:r>
        <w:t xml:space="preserve">SG </w:t>
      </w:r>
      <w:r w:rsidRPr="00D56C35">
        <w:t xml:space="preserve">compliance </w:t>
      </w:r>
      <w:r>
        <w:t xml:space="preserve">would </w:t>
      </w:r>
      <w:r w:rsidR="00901B91">
        <w:t xml:space="preserve">also </w:t>
      </w:r>
      <w:r>
        <w:t xml:space="preserve">be necessary </w:t>
      </w:r>
      <w:r w:rsidR="00C51CE2">
        <w:t xml:space="preserve">to </w:t>
      </w:r>
      <w:r>
        <w:t>deliver on the ANAO’s recommendation for the ATO to set targets for SG related measures including the SG gap.</w:t>
      </w:r>
      <w:r w:rsidRPr="00717F2C">
        <w:rPr>
          <w:rStyle w:val="FootnoteReference"/>
        </w:rPr>
        <w:footnoteReference w:id="29"/>
      </w:r>
    </w:p>
    <w:p w14:paraId="5B8A8DFF" w14:textId="5A12DCCA" w:rsidR="00651F89" w:rsidRDefault="00651F89" w:rsidP="00651F89">
      <w:pPr>
        <w:pStyle w:val="Heading2"/>
      </w:pPr>
      <w:bookmarkStart w:id="33" w:name="_Toc134198455"/>
      <w:r>
        <w:t xml:space="preserve">3.3 Option 3 – </w:t>
      </w:r>
      <w:r w:rsidR="00B1468C">
        <w:t>SG on payday</w:t>
      </w:r>
      <w:bookmarkEnd w:id="33"/>
    </w:p>
    <w:p w14:paraId="4F7358CC" w14:textId="65B9B427" w:rsidR="00B82E41" w:rsidRDefault="008E0104" w:rsidP="00B82E41">
      <w:pPr>
        <w:pStyle w:val="BodyText"/>
      </w:pPr>
      <w:r>
        <w:t>Option 3</w:t>
      </w:r>
      <w:r w:rsidR="00B82E41">
        <w:t xml:space="preserve"> would </w:t>
      </w:r>
      <w:r>
        <w:t>involve</w:t>
      </w:r>
      <w:r w:rsidR="00B82E41">
        <w:t xml:space="preserve"> amend</w:t>
      </w:r>
      <w:r>
        <w:t>ing</w:t>
      </w:r>
      <w:r w:rsidR="00B82E41">
        <w:t xml:space="preserve"> the SGA</w:t>
      </w:r>
      <w:r w:rsidR="0068713C">
        <w:t xml:space="preserve"> </w:t>
      </w:r>
      <w:r w:rsidR="00B82E41">
        <w:t>A</w:t>
      </w:r>
      <w:r w:rsidR="0068713C">
        <w:t>ct</w:t>
      </w:r>
      <w:r w:rsidR="00B82E41">
        <w:t xml:space="preserve"> and the SGC Act from 1 July 2026 to:</w:t>
      </w:r>
    </w:p>
    <w:p w14:paraId="17226646" w14:textId="2C0EA540" w:rsidR="00B82E41" w:rsidRDefault="00C51CE2" w:rsidP="002D243E">
      <w:pPr>
        <w:pStyle w:val="Bullet"/>
      </w:pPr>
      <w:r>
        <w:t>I</w:t>
      </w:r>
      <w:r w:rsidR="00B82E41">
        <w:t xml:space="preserve">ncrease the payment frequency of the </w:t>
      </w:r>
      <w:r w:rsidR="0068713C">
        <w:t>SG</w:t>
      </w:r>
      <w:r w:rsidR="00B82E41">
        <w:t xml:space="preserve"> by employers to their employees’ nominated superannuation fund from a quarterly model to a payday model, where SG amounts are </w:t>
      </w:r>
      <w:r w:rsidR="00184784">
        <w:t xml:space="preserve">required to be </w:t>
      </w:r>
      <w:r w:rsidR="00B82E41">
        <w:t>paid the same day employees are paid their wages and salaries</w:t>
      </w:r>
      <w:r w:rsidR="00184784">
        <w:t>;</w:t>
      </w:r>
      <w:r w:rsidR="00B82E41">
        <w:t xml:space="preserve"> and</w:t>
      </w:r>
    </w:p>
    <w:p w14:paraId="1DBA4EF1" w14:textId="341A9928" w:rsidR="00B82E41" w:rsidRDefault="00ED0FC0" w:rsidP="002D243E">
      <w:pPr>
        <w:pStyle w:val="Bullet"/>
      </w:pPr>
      <w:r>
        <w:t>redesign the calculation</w:t>
      </w:r>
      <w:r w:rsidR="00B82E41">
        <w:t xml:space="preserve"> of the SG charge to align it with this more frequent payment schedule. </w:t>
      </w:r>
    </w:p>
    <w:p w14:paraId="792D8E9B" w14:textId="086CC664" w:rsidR="00925C97" w:rsidRDefault="00BE6DFB" w:rsidP="006E7C61">
      <w:pPr>
        <w:pStyle w:val="BodyText"/>
      </w:pPr>
      <w:r>
        <w:t xml:space="preserve">The </w:t>
      </w:r>
      <w:r w:rsidR="00AC4FB8">
        <w:t>redesigned</w:t>
      </w:r>
      <w:r>
        <w:t xml:space="preserve"> SG charge</w:t>
      </w:r>
      <w:r w:rsidR="005F2D87">
        <w:t xml:space="preserve">, </w:t>
      </w:r>
      <w:r w:rsidR="005856CE">
        <w:t>including Part 7 penalties in the SGC Act,</w:t>
      </w:r>
      <w:r>
        <w:t xml:space="preserve"> would move to a tiered approach whereby tax and penalties levied against the employer would increase over time as SG amounts remain unpaid. </w:t>
      </w:r>
      <w:r w:rsidR="00F47F30">
        <w:t xml:space="preserve">Changes to the </w:t>
      </w:r>
      <w:r w:rsidR="00F47F30" w:rsidRPr="00D913B2">
        <w:t>calculation</w:t>
      </w:r>
      <w:r w:rsidR="00F47F30" w:rsidRPr="00C83DDF">
        <w:t xml:space="preserve"> </w:t>
      </w:r>
      <w:r w:rsidR="00F47F30">
        <w:t>of the SG charge would ensure the charge is proportionate to the more frequent payday model.</w:t>
      </w:r>
      <w:r w:rsidR="00D913B2" w:rsidRPr="00D913B2">
        <w:t xml:space="preserve"> </w:t>
      </w:r>
    </w:p>
    <w:p w14:paraId="0330CBC6" w14:textId="6F0BE0CD" w:rsidR="009E2CE0" w:rsidRDefault="009E2CE0" w:rsidP="006E7C61">
      <w:pPr>
        <w:pStyle w:val="BodyText"/>
      </w:pPr>
      <w:r>
        <w:t xml:space="preserve">Requiring employers to pay SG on payday would </w:t>
      </w:r>
      <w:r w:rsidR="00F06261">
        <w:t xml:space="preserve">result in </w:t>
      </w:r>
      <w:r w:rsidR="00CE52E7">
        <w:t>SG charge liabilities accumulat</w:t>
      </w:r>
      <w:r w:rsidR="00F06261">
        <w:t>ing</w:t>
      </w:r>
      <w:r w:rsidR="00CE52E7">
        <w:t xml:space="preserve"> </w:t>
      </w:r>
      <w:r w:rsidR="00F06261">
        <w:t xml:space="preserve">on unpaid SG amounts </w:t>
      </w:r>
      <w:r w:rsidR="00CE52E7">
        <w:t xml:space="preserve">sooner </w:t>
      </w:r>
      <w:r>
        <w:t>creat</w:t>
      </w:r>
      <w:r w:rsidR="00F06261">
        <w:t>ing</w:t>
      </w:r>
      <w:r>
        <w:t xml:space="preserve"> stronger disincentives </w:t>
      </w:r>
      <w:r w:rsidR="0096446D">
        <w:t xml:space="preserve">for employers </w:t>
      </w:r>
      <w:r>
        <w:t xml:space="preserve">to leave </w:t>
      </w:r>
      <w:r w:rsidR="00C5690D">
        <w:t>SG amounts unpaid</w:t>
      </w:r>
      <w:r>
        <w:t>.</w:t>
      </w:r>
      <w:r w:rsidR="007F75AC">
        <w:t xml:space="preserve"> </w:t>
      </w:r>
      <w:r w:rsidR="000C7874">
        <w:t>Requiring t</w:t>
      </w:r>
      <w:r w:rsidR="00336C79">
        <w:t xml:space="preserve">imelier payment </w:t>
      </w:r>
      <w:r w:rsidR="00A02274">
        <w:t>of SG</w:t>
      </w:r>
      <w:r w:rsidR="000C7874">
        <w:t>,</w:t>
      </w:r>
      <w:r>
        <w:t xml:space="preserve"> </w:t>
      </w:r>
      <w:r w:rsidR="000C7874">
        <w:t xml:space="preserve">aligned with payment of wages and salaries, </w:t>
      </w:r>
      <w:r w:rsidR="00A95916">
        <w:t xml:space="preserve">would improve visibility of SG payments for the ATO and employees. </w:t>
      </w:r>
      <w:r w:rsidR="00722055">
        <w:t>Enhancing visibility would</w:t>
      </w:r>
      <w:r w:rsidR="009B3DFC">
        <w:t xml:space="preserve"> further disincentivise non-payment </w:t>
      </w:r>
      <w:r w:rsidR="009D6351">
        <w:t xml:space="preserve">and underpayment </w:t>
      </w:r>
      <w:r w:rsidR="009B3DFC">
        <w:t>of SG</w:t>
      </w:r>
      <w:r w:rsidR="009D6351">
        <w:t xml:space="preserve"> and</w:t>
      </w:r>
      <w:r w:rsidR="00722055">
        <w:t xml:space="preserve"> i</w:t>
      </w:r>
      <w:r w:rsidR="00A95916">
        <w:t>mp</w:t>
      </w:r>
      <w:r w:rsidR="00474BC6">
        <w:t>rov</w:t>
      </w:r>
      <w:r w:rsidR="00722055">
        <w:t>e</w:t>
      </w:r>
      <w:r w:rsidR="00A95916">
        <w:t xml:space="preserve"> capabilities </w:t>
      </w:r>
      <w:r w:rsidR="00474BC6">
        <w:t>of the</w:t>
      </w:r>
      <w:r w:rsidR="00E567D5">
        <w:t xml:space="preserve"> ATO to</w:t>
      </w:r>
      <w:r w:rsidR="00474BC6">
        <w:t xml:space="preserve"> </w:t>
      </w:r>
      <w:r w:rsidR="00A95916">
        <w:t>identify and recover unpaid SG</w:t>
      </w:r>
      <w:r>
        <w:t>.</w:t>
      </w:r>
    </w:p>
    <w:p w14:paraId="51FBF958" w14:textId="5003A406" w:rsidR="00BE6DFB" w:rsidRDefault="0088638F" w:rsidP="00BE6DFB">
      <w:pPr>
        <w:pStyle w:val="BodyText"/>
      </w:pPr>
      <w:r>
        <w:t xml:space="preserve">To </w:t>
      </w:r>
      <w:r w:rsidR="00915385">
        <w:t>implement</w:t>
      </w:r>
      <w:r>
        <w:t xml:space="preserve"> </w:t>
      </w:r>
      <w:r w:rsidR="00915385">
        <w:t>the</w:t>
      </w:r>
      <w:r>
        <w:t xml:space="preserve"> SG on payday </w:t>
      </w:r>
      <w:r w:rsidR="00915385">
        <w:t>reform,</w:t>
      </w:r>
      <w:r w:rsidR="00D913B2" w:rsidRPr="00D913B2">
        <w:t xml:space="preserve"> the Commissioner of Taxation </w:t>
      </w:r>
      <w:r w:rsidR="00F92056">
        <w:t xml:space="preserve">may </w:t>
      </w:r>
      <w:r w:rsidR="00915385">
        <w:t xml:space="preserve">be granted </w:t>
      </w:r>
      <w:r w:rsidR="00D913B2" w:rsidRPr="00D913B2">
        <w:t>some flexibility</w:t>
      </w:r>
      <w:r w:rsidR="00D913B2">
        <w:t xml:space="preserve"> to remit or reduce the</w:t>
      </w:r>
      <w:r w:rsidR="004E1BAF">
        <w:t xml:space="preserve"> redesigned</w:t>
      </w:r>
      <w:r w:rsidR="00D913B2">
        <w:t xml:space="preserve"> SG charge under very discrete circumstances</w:t>
      </w:r>
      <w:r w:rsidR="00CE08A7">
        <w:t>, for example where an employer has been impacted by a natural disaster</w:t>
      </w:r>
      <w:r w:rsidR="00D913B2">
        <w:t>.</w:t>
      </w:r>
      <w:r w:rsidR="00161E67">
        <w:t xml:space="preserve"> </w:t>
      </w:r>
      <w:r w:rsidR="00161E67" w:rsidRPr="00161E67">
        <w:t>Allowing limited flexibility would be consistent with the Commissioner’s flexibility available in other areas of the law</w:t>
      </w:r>
      <w:r w:rsidR="00E57546">
        <w:t>.</w:t>
      </w:r>
    </w:p>
    <w:p w14:paraId="079850B6" w14:textId="21C405F4" w:rsidR="00FD07DA" w:rsidRDefault="00FD07DA" w:rsidP="006E7C61">
      <w:pPr>
        <w:pStyle w:val="BodyText"/>
      </w:pPr>
      <w:r w:rsidRPr="00FD07DA">
        <w:t xml:space="preserve">This </w:t>
      </w:r>
      <w:r w:rsidR="00E028E9">
        <w:t>reform</w:t>
      </w:r>
      <w:r w:rsidRPr="00FD07DA">
        <w:t xml:space="preserve"> would commence on 1 July 2026 to enable the ATO, payroll service providers and superannuation funds to make necessary system changes to accommodate the increased frequency of payment. This timeframe would also allow </w:t>
      </w:r>
      <w:r w:rsidR="00A53AD2">
        <w:t>d</w:t>
      </w:r>
      <w:r w:rsidRPr="00FD07DA">
        <w:t xml:space="preserve">igital </w:t>
      </w:r>
      <w:r w:rsidR="00A53AD2">
        <w:t>s</w:t>
      </w:r>
      <w:r w:rsidRPr="00FD07DA">
        <w:t xml:space="preserve">ervice </w:t>
      </w:r>
      <w:r w:rsidR="00A53AD2">
        <w:t>p</w:t>
      </w:r>
      <w:r w:rsidRPr="00FD07DA">
        <w:t>roviders</w:t>
      </w:r>
      <w:r w:rsidR="00A53AD2">
        <w:t xml:space="preserve"> (DSPs)</w:t>
      </w:r>
      <w:r w:rsidRPr="00FD07DA">
        <w:t xml:space="preserve"> time to upgrade t</w:t>
      </w:r>
      <w:r w:rsidR="00E7594B">
        <w:t>heir</w:t>
      </w:r>
      <w:r w:rsidRPr="00FD07DA">
        <w:t xml:space="preserve"> payment software and </w:t>
      </w:r>
      <w:r w:rsidR="00BA3998">
        <w:t xml:space="preserve">allow </w:t>
      </w:r>
      <w:r w:rsidRPr="00FD07DA">
        <w:t xml:space="preserve">businesses to adjust </w:t>
      </w:r>
      <w:r w:rsidR="00BA3998">
        <w:t xml:space="preserve">their </w:t>
      </w:r>
      <w:r w:rsidRPr="00FD07DA">
        <w:t>cash flow strategies to account for more frequent SG payments.</w:t>
      </w:r>
    </w:p>
    <w:p w14:paraId="27FF973A" w14:textId="4F9033E4" w:rsidR="00E05913" w:rsidRDefault="00353995" w:rsidP="007E7CDF">
      <w:r w:rsidRPr="00B77D7D">
        <w:t>E</w:t>
      </w:r>
      <w:r w:rsidRPr="00D56C35">
        <w:t>stablishing a near</w:t>
      </w:r>
      <w:r>
        <w:t>-</w:t>
      </w:r>
      <w:r w:rsidRPr="00D56C35">
        <w:t>real</w:t>
      </w:r>
      <w:r>
        <w:t xml:space="preserve"> </w:t>
      </w:r>
      <w:r w:rsidRPr="00D56C35">
        <w:t xml:space="preserve">time view of </w:t>
      </w:r>
      <w:r>
        <w:t xml:space="preserve">SG </w:t>
      </w:r>
      <w:r w:rsidRPr="00D56C35">
        <w:t>compliance</w:t>
      </w:r>
      <w:r>
        <w:t xml:space="preserve"> through Option 2</w:t>
      </w:r>
      <w:r w:rsidRPr="00D56C35">
        <w:t xml:space="preserve"> </w:t>
      </w:r>
      <w:r>
        <w:t>would be necessary</w:t>
      </w:r>
      <w:r w:rsidR="005D0E3C">
        <w:t xml:space="preserve"> for the ATO to effectively</w:t>
      </w:r>
      <w:r>
        <w:t xml:space="preserve"> support the proposed policy reforms for SG on payday. </w:t>
      </w:r>
      <w:r w:rsidR="003922F0">
        <w:t xml:space="preserve">The ATO would require the improvements to ATO data matching capabilities outlined in Option 2 to take advantage of the improved timeliness of SG reporting with increased SG payment frequently under Option 3. If Option 3 was progressed without </w:t>
      </w:r>
      <w:r w:rsidR="00794D82">
        <w:t xml:space="preserve">implementing </w:t>
      </w:r>
      <w:r w:rsidR="003922F0">
        <w:t xml:space="preserve">Option 2, the ATO would require a separate technological solution to adapt to SG on payday which may not result in identifying unpaid SG in a timely way. Without </w:t>
      </w:r>
      <w:r w:rsidR="00F36C46">
        <w:t>such</w:t>
      </w:r>
      <w:r w:rsidR="003922F0">
        <w:t xml:space="preserve"> improvements the ATO’s ability to collect and manage data would be less effective in materially reducing instance</w:t>
      </w:r>
      <w:r w:rsidR="00A75E78">
        <w:t>s</w:t>
      </w:r>
      <w:r w:rsidR="003922F0">
        <w:t xml:space="preserve"> of unpaid SG</w:t>
      </w:r>
      <w:r w:rsidR="00A75E78">
        <w:t>.</w:t>
      </w:r>
      <w:r w:rsidR="003922F0">
        <w:t xml:space="preserve"> </w:t>
      </w:r>
      <w:r w:rsidR="006C1A29">
        <w:t>T</w:t>
      </w:r>
      <w:r w:rsidR="003922F0">
        <w:t xml:space="preserve">he amount of data that would be reported to the ATO would increase without concordant </w:t>
      </w:r>
      <w:r w:rsidR="006C1A29">
        <w:t>increase</w:t>
      </w:r>
      <w:r w:rsidR="003922F0">
        <w:t xml:space="preserve"> in</w:t>
      </w:r>
      <w:r w:rsidR="006C1A29">
        <w:t xml:space="preserve"> the ATO’s</w:t>
      </w:r>
      <w:r w:rsidR="003922F0">
        <w:t xml:space="preserve"> capacity to match, process and use this data in compliance activities.  </w:t>
      </w:r>
    </w:p>
    <w:p w14:paraId="23361E1B" w14:textId="41AE4065" w:rsidR="00926EFC" w:rsidRDefault="00201E93" w:rsidP="00926EFC">
      <w:pPr>
        <w:pStyle w:val="Heading2"/>
      </w:pPr>
      <w:bookmarkStart w:id="34" w:name="_Toc134198456"/>
      <w:r>
        <w:t>3.</w:t>
      </w:r>
      <w:r w:rsidR="00656088">
        <w:t>4</w:t>
      </w:r>
      <w:r>
        <w:t xml:space="preserve"> </w:t>
      </w:r>
      <w:r w:rsidR="00926EFC">
        <w:t>Other options considered</w:t>
      </w:r>
      <w:bookmarkEnd w:id="34"/>
    </w:p>
    <w:p w14:paraId="22419395" w14:textId="77777777" w:rsidR="000D5755" w:rsidRDefault="00460A30" w:rsidP="00926EFC">
      <w:pPr>
        <w:pStyle w:val="Heading4"/>
      </w:pPr>
      <w:r>
        <w:t>Increase the payment fr</w:t>
      </w:r>
      <w:r w:rsidR="00CB3963">
        <w:t>equency of the SG to monthly</w:t>
      </w:r>
    </w:p>
    <w:p w14:paraId="4B8D0AD3" w14:textId="6A238E5D" w:rsidR="005E3EDF" w:rsidRDefault="008B60B4" w:rsidP="008B60B4">
      <w:pPr>
        <w:rPr>
          <w:iCs/>
        </w:rPr>
      </w:pPr>
      <w:r w:rsidRPr="008B60B4">
        <w:t xml:space="preserve">Under this option, employers would be required to pay SG entitlements to their employees </w:t>
      </w:r>
      <w:r w:rsidR="00A7029E">
        <w:t xml:space="preserve">on </w:t>
      </w:r>
      <w:r w:rsidRPr="008B60B4">
        <w:t xml:space="preserve">at least a monthly basis. </w:t>
      </w:r>
      <w:r w:rsidR="001D118B">
        <w:t xml:space="preserve">This would align the payment of SG with </w:t>
      </w:r>
      <w:r w:rsidR="00083430">
        <w:t xml:space="preserve">requirements for </w:t>
      </w:r>
      <w:r w:rsidR="00495E3E">
        <w:t xml:space="preserve">the payment of salary and wages, which under the </w:t>
      </w:r>
      <w:r w:rsidR="00495E3E">
        <w:rPr>
          <w:i/>
          <w:iCs/>
        </w:rPr>
        <w:t xml:space="preserve">Fair Work Act 2009 </w:t>
      </w:r>
      <w:r w:rsidR="00495E3E">
        <w:t xml:space="preserve">must be paid at least monthly. </w:t>
      </w:r>
      <w:r w:rsidR="00482A26">
        <w:rPr>
          <w:iCs/>
        </w:rPr>
        <w:t xml:space="preserve">This </w:t>
      </w:r>
      <w:r w:rsidR="00E8391F">
        <w:rPr>
          <w:iCs/>
        </w:rPr>
        <w:t>option</w:t>
      </w:r>
      <w:r w:rsidR="00324FA8">
        <w:rPr>
          <w:iCs/>
        </w:rPr>
        <w:t xml:space="preserve"> could </w:t>
      </w:r>
      <w:r w:rsidR="00577EA9">
        <w:rPr>
          <w:iCs/>
        </w:rPr>
        <w:t xml:space="preserve">address </w:t>
      </w:r>
      <w:r w:rsidR="002A65B7">
        <w:rPr>
          <w:iCs/>
        </w:rPr>
        <w:t>s</w:t>
      </w:r>
      <w:r w:rsidR="00577EA9">
        <w:rPr>
          <w:iCs/>
        </w:rPr>
        <w:t xml:space="preserve">ome of the </w:t>
      </w:r>
      <w:r w:rsidR="002A65B7">
        <w:rPr>
          <w:iCs/>
        </w:rPr>
        <w:t xml:space="preserve">SG </w:t>
      </w:r>
      <w:r w:rsidR="00577EA9">
        <w:rPr>
          <w:iCs/>
        </w:rPr>
        <w:t xml:space="preserve">visibility issues by allowing </w:t>
      </w:r>
      <w:r w:rsidR="005E3EDF">
        <w:rPr>
          <w:iCs/>
        </w:rPr>
        <w:t>e</w:t>
      </w:r>
      <w:r w:rsidR="005E3EDF" w:rsidRPr="005E3EDF">
        <w:rPr>
          <w:iCs/>
        </w:rPr>
        <w:t>mployees to confirm if they have received their SG entitlement</w:t>
      </w:r>
      <w:r w:rsidR="001F1032" w:rsidRPr="001F1032">
        <w:rPr>
          <w:iCs/>
        </w:rPr>
        <w:t xml:space="preserve"> </w:t>
      </w:r>
      <w:r w:rsidR="001F1032" w:rsidRPr="005E3EDF">
        <w:rPr>
          <w:iCs/>
        </w:rPr>
        <w:t>at least monthly</w:t>
      </w:r>
      <w:r w:rsidR="005E3EDF">
        <w:rPr>
          <w:iCs/>
        </w:rPr>
        <w:t>.</w:t>
      </w:r>
    </w:p>
    <w:p w14:paraId="1722159E" w14:textId="3813327B" w:rsidR="00482A26" w:rsidRPr="00F06E67" w:rsidRDefault="00E8391F" w:rsidP="007E7CDF">
      <w:r w:rsidRPr="00F06E67">
        <w:t xml:space="preserve">However, </w:t>
      </w:r>
      <w:r w:rsidR="00BD7EFE" w:rsidRPr="00F06E67">
        <w:t xml:space="preserve">this option </w:t>
      </w:r>
      <w:r w:rsidR="005E205C">
        <w:t xml:space="preserve">has not been considered </w:t>
      </w:r>
      <w:r w:rsidR="00F1077B">
        <w:t>as an option for this IA</w:t>
      </w:r>
      <w:r w:rsidR="00283E31">
        <w:t xml:space="preserve"> as it </w:t>
      </w:r>
      <w:r w:rsidR="00FF2C85">
        <w:t xml:space="preserve">is </w:t>
      </w:r>
      <w:r w:rsidR="00283E31">
        <w:t xml:space="preserve">deemed be very similar </w:t>
      </w:r>
      <w:r w:rsidR="00A23483">
        <w:t>but less effective than a shift to requiring SG on payday included as Option 3</w:t>
      </w:r>
      <w:r w:rsidR="00EE0F64">
        <w:t xml:space="preserve">. </w:t>
      </w:r>
      <w:r w:rsidR="00911218">
        <w:t xml:space="preserve">While either option would increase the frequency of SG payments, </w:t>
      </w:r>
      <w:r w:rsidR="00016598">
        <w:t>i</w:t>
      </w:r>
      <w:r w:rsidR="00EE0F64">
        <w:t>n compari</w:t>
      </w:r>
      <w:r w:rsidR="000624D9">
        <w:t>son to the increase to the shift to SG on payday a requirement to pay SG monthly</w:t>
      </w:r>
      <w:r w:rsidR="00B33BD5">
        <w:t xml:space="preserve"> </w:t>
      </w:r>
      <w:r w:rsidR="00BD7EFE" w:rsidRPr="00F06E67">
        <w:t xml:space="preserve">would not address the </w:t>
      </w:r>
      <w:r w:rsidR="005E3EDF" w:rsidRPr="00F06E67">
        <w:t>more</w:t>
      </w:r>
      <w:r w:rsidR="00BD7EFE" w:rsidRPr="00F06E67">
        <w:t xml:space="preserve"> </w:t>
      </w:r>
      <w:r w:rsidR="00E976D4" w:rsidRPr="00F06E67">
        <w:t>significant</w:t>
      </w:r>
      <w:r w:rsidR="00BD7EFE" w:rsidRPr="00F06E67">
        <w:t xml:space="preserve"> complexity and visibility </w:t>
      </w:r>
      <w:r w:rsidR="00E976D4" w:rsidRPr="00F06E67">
        <w:t xml:space="preserve">issues </w:t>
      </w:r>
      <w:r w:rsidR="00BD7EFE" w:rsidRPr="00F06E67">
        <w:t>that currently occur</w:t>
      </w:r>
      <w:r w:rsidR="001B1EEF">
        <w:t>.</w:t>
      </w:r>
      <w:r w:rsidR="00BD7EFE" w:rsidRPr="00F06E67">
        <w:t xml:space="preserve"> </w:t>
      </w:r>
      <w:r w:rsidR="00BD7EFE" w:rsidRPr="00F31B6C">
        <w:t xml:space="preserve">SG entitlements would still appear on employees pay slips when their wages are paid, </w:t>
      </w:r>
      <w:r w:rsidR="006E2752">
        <w:t>while</w:t>
      </w:r>
      <w:r w:rsidR="006E2752" w:rsidRPr="00F31B6C">
        <w:t xml:space="preserve"> </w:t>
      </w:r>
      <w:r w:rsidR="00BD7EFE" w:rsidRPr="00F31B6C">
        <w:t>some</w:t>
      </w:r>
      <w:r w:rsidR="00BD7EFE" w:rsidRPr="00EB7E32">
        <w:t xml:space="preserve"> employees w</w:t>
      </w:r>
      <w:r w:rsidR="00BD7EFE" w:rsidRPr="00F06E67">
        <w:t xml:space="preserve">ould still not actually receive their SG until </w:t>
      </w:r>
      <w:r w:rsidR="002C668C">
        <w:t xml:space="preserve">a </w:t>
      </w:r>
      <w:r w:rsidR="00AA7F0D">
        <w:t xml:space="preserve">later date after </w:t>
      </w:r>
      <w:r w:rsidR="00BD7EFE" w:rsidRPr="00F06E67">
        <w:t>the end of the month.</w:t>
      </w:r>
      <w:r w:rsidR="00D671D9" w:rsidRPr="00F06E67">
        <w:t xml:space="preserve"> </w:t>
      </w:r>
      <w:r w:rsidR="00AA7F0D">
        <w:t>A shift to monthly SG</w:t>
      </w:r>
      <w:r w:rsidR="00D671D9" w:rsidRPr="00F06E67">
        <w:t xml:space="preserve"> would only partially </w:t>
      </w:r>
      <w:r w:rsidR="00504B84" w:rsidRPr="00F06E67">
        <w:t xml:space="preserve">address the issue of unpaid SG as there would still be a considerable delay between </w:t>
      </w:r>
      <w:r w:rsidR="00C467A2" w:rsidRPr="00F06E67">
        <w:t>when SG is paid</w:t>
      </w:r>
      <w:r w:rsidR="000E039F" w:rsidRPr="00F06E67">
        <w:t>,</w:t>
      </w:r>
      <w:r w:rsidR="00C467A2" w:rsidRPr="00F06E67">
        <w:t xml:space="preserve"> and </w:t>
      </w:r>
      <w:r w:rsidR="0047132F">
        <w:t xml:space="preserve">when </w:t>
      </w:r>
      <w:r w:rsidR="00C467A2" w:rsidRPr="00F06E67">
        <w:t xml:space="preserve">a missed or </w:t>
      </w:r>
      <w:r w:rsidR="00490F16" w:rsidRPr="00F06E67">
        <w:t xml:space="preserve">partial payment </w:t>
      </w:r>
      <w:r w:rsidR="00F80DD0" w:rsidRPr="00F06E67">
        <w:t>could be</w:t>
      </w:r>
      <w:r w:rsidR="00490F16" w:rsidRPr="00F06E67">
        <w:t xml:space="preserve"> identified</w:t>
      </w:r>
      <w:r w:rsidR="00F80DD0" w:rsidRPr="00F06E67">
        <w:t xml:space="preserve"> by the employee or the ATO. </w:t>
      </w:r>
    </w:p>
    <w:p w14:paraId="3EBD0E84" w14:textId="1917712C" w:rsidR="00CB3963" w:rsidRDefault="00195AA2" w:rsidP="004B2D81">
      <w:pPr>
        <w:pStyle w:val="Heading4"/>
      </w:pPr>
      <w:r>
        <w:t xml:space="preserve">Provide funding to the </w:t>
      </w:r>
      <w:r w:rsidR="00CB3963">
        <w:t>ATO</w:t>
      </w:r>
      <w:r>
        <w:t xml:space="preserve"> to increase their debt collection activities</w:t>
      </w:r>
    </w:p>
    <w:p w14:paraId="3CAB5548" w14:textId="49FED5F2" w:rsidR="00BB57CF" w:rsidRDefault="008B60B4" w:rsidP="00F75118">
      <w:pPr>
        <w:pStyle w:val="BodyText"/>
      </w:pPr>
      <w:r>
        <w:t>Under this option t</w:t>
      </w:r>
      <w:r w:rsidR="00F75118" w:rsidRPr="009208B4">
        <w:t xml:space="preserve">he Government could provide the ATO with additional funding </w:t>
      </w:r>
      <w:r w:rsidR="00243635">
        <w:t>to</w:t>
      </w:r>
      <w:r w:rsidR="00F75118" w:rsidRPr="009208B4">
        <w:t xml:space="preserve"> increase their manual compliance efforts</w:t>
      </w:r>
      <w:r w:rsidR="00243635">
        <w:t xml:space="preserve"> in </w:t>
      </w:r>
      <w:r w:rsidR="00537FEA">
        <w:t>recovering unpaid SG</w:t>
      </w:r>
      <w:r w:rsidR="009A3719">
        <w:t xml:space="preserve"> debts</w:t>
      </w:r>
      <w:r w:rsidR="00F75118" w:rsidRPr="009208B4">
        <w:t xml:space="preserve">. </w:t>
      </w:r>
      <w:r w:rsidR="00F75118">
        <w:t>Specifically, funding could be provided to the ATO to increase the speed at which employee notifications or self-initiated audits</w:t>
      </w:r>
      <w:r w:rsidR="003F602D">
        <w:t xml:space="preserve"> are assessed</w:t>
      </w:r>
      <w:r w:rsidR="00F75118">
        <w:t>.</w:t>
      </w:r>
    </w:p>
    <w:p w14:paraId="2B85384B" w14:textId="71196C22" w:rsidR="009B0690" w:rsidRDefault="002D7D0D" w:rsidP="00F75118">
      <w:pPr>
        <w:pStyle w:val="BodyText"/>
      </w:pPr>
      <w:r>
        <w:t xml:space="preserve">While increased </w:t>
      </w:r>
      <w:r w:rsidR="00CC52D9">
        <w:t xml:space="preserve">ATO </w:t>
      </w:r>
      <w:r>
        <w:t>funding</w:t>
      </w:r>
      <w:r w:rsidR="00CC52D9">
        <w:t xml:space="preserve"> for </w:t>
      </w:r>
      <w:r w:rsidR="00B857FA">
        <w:t>current activities</w:t>
      </w:r>
      <w:r w:rsidR="00F75118">
        <w:t xml:space="preserve"> could potentially increase the recovery of unpaid SG</w:t>
      </w:r>
      <w:r w:rsidR="00C86199">
        <w:t>,</w:t>
      </w:r>
      <w:r w:rsidR="005E1D37">
        <w:t xml:space="preserve"> </w:t>
      </w:r>
      <w:r w:rsidR="00FE0007">
        <w:t xml:space="preserve">it </w:t>
      </w:r>
      <w:r w:rsidR="005E1D37">
        <w:t xml:space="preserve">would likely be costly </w:t>
      </w:r>
      <w:r w:rsidR="00B857FA">
        <w:t xml:space="preserve">to </w:t>
      </w:r>
      <w:r w:rsidR="00AB2960">
        <w:t>create material improvement</w:t>
      </w:r>
      <w:r w:rsidR="00D457B4">
        <w:t>s</w:t>
      </w:r>
      <w:r w:rsidR="00AB2960">
        <w:t xml:space="preserve"> given existing constraints </w:t>
      </w:r>
      <w:r w:rsidR="005E1D37">
        <w:t xml:space="preserve">and would not address the </w:t>
      </w:r>
      <w:r w:rsidR="00FE0007">
        <w:t>structural</w:t>
      </w:r>
      <w:r w:rsidR="005E1D37">
        <w:t xml:space="preserve"> </w:t>
      </w:r>
      <w:r w:rsidR="0094103A">
        <w:t xml:space="preserve">issues </w:t>
      </w:r>
      <w:r w:rsidR="00C9508F">
        <w:t>(</w:t>
      </w:r>
      <w:r w:rsidR="0094103A">
        <w:t>payment frequency and visibility)</w:t>
      </w:r>
      <w:r w:rsidR="00F75118">
        <w:t xml:space="preserve"> </w:t>
      </w:r>
      <w:r w:rsidR="00FE0007">
        <w:t xml:space="preserve">that are driving the incidence of unpaid SG. </w:t>
      </w:r>
      <w:r w:rsidR="00F057A4">
        <w:t xml:space="preserve">Increasing voluntary compliance </w:t>
      </w:r>
      <w:r w:rsidR="00AC0110">
        <w:t>(</w:t>
      </w:r>
      <w:r w:rsidR="00F057A4">
        <w:t>stopping unpaid SG accruing in the first place</w:t>
      </w:r>
      <w:r w:rsidR="00AC0110">
        <w:t>)</w:t>
      </w:r>
      <w:r w:rsidR="00F46C7D">
        <w:t xml:space="preserve"> and improving </w:t>
      </w:r>
      <w:r w:rsidR="00AC0110">
        <w:t>ATO data capabilities</w:t>
      </w:r>
      <w:r w:rsidR="00F057A4">
        <w:t xml:space="preserve"> </w:t>
      </w:r>
      <w:r w:rsidR="005C0408">
        <w:t>would be</w:t>
      </w:r>
      <w:r w:rsidR="00F057A4">
        <w:t xml:space="preserve"> mo</w:t>
      </w:r>
      <w:r w:rsidR="005C0408">
        <w:t>re</w:t>
      </w:r>
      <w:r w:rsidR="00F057A4">
        <w:t xml:space="preserve"> effective ways of reducing the amount of unpaid SG in the system.</w:t>
      </w:r>
      <w:r w:rsidR="005B35D8">
        <w:t xml:space="preserve"> </w:t>
      </w:r>
    </w:p>
    <w:p w14:paraId="46317EA5" w14:textId="77565932" w:rsidR="00F75118" w:rsidRPr="00F75118" w:rsidRDefault="009A3719" w:rsidP="00F75118">
      <w:pPr>
        <w:pStyle w:val="BodyText"/>
      </w:pPr>
      <w:r>
        <w:t>Funding for ATO debt collection activities</w:t>
      </w:r>
      <w:r w:rsidR="009B0690">
        <w:t xml:space="preserve"> has not been assessed in this IA </w:t>
      </w:r>
      <w:r w:rsidR="0052249D">
        <w:t xml:space="preserve">given that </w:t>
      </w:r>
      <w:r w:rsidR="005B35D8">
        <w:t>Option 2</w:t>
      </w:r>
      <w:r w:rsidR="007768CC">
        <w:t>, investment in ATO data matching,</w:t>
      </w:r>
      <w:r w:rsidR="005B35D8">
        <w:t xml:space="preserve"> </w:t>
      </w:r>
      <w:r w:rsidR="00AC52D3">
        <w:t>would be a</w:t>
      </w:r>
      <w:r w:rsidR="005B35D8">
        <w:t xml:space="preserve"> more</w:t>
      </w:r>
      <w:r w:rsidR="003C721D">
        <w:t xml:space="preserve"> robust non-regulatory option</w:t>
      </w:r>
      <w:r w:rsidR="007768CC">
        <w:t xml:space="preserve"> which </w:t>
      </w:r>
      <w:r w:rsidR="00765C69">
        <w:t xml:space="preserve">would achieve a similar result </w:t>
      </w:r>
      <w:r w:rsidR="00091DD4">
        <w:t>in improv</w:t>
      </w:r>
      <w:r w:rsidR="00D457B4">
        <w:t xml:space="preserve">ing the ATO’s capabilities </w:t>
      </w:r>
      <w:r w:rsidR="00795E27">
        <w:t xml:space="preserve">while </w:t>
      </w:r>
      <w:r w:rsidR="00914DF0">
        <w:t xml:space="preserve">additionally </w:t>
      </w:r>
      <w:r w:rsidR="00795E27">
        <w:t>addressing underlying issue</w:t>
      </w:r>
      <w:r w:rsidR="005A2B74">
        <w:t>s</w:t>
      </w:r>
      <w:r w:rsidR="00795E27">
        <w:t xml:space="preserve"> </w:t>
      </w:r>
      <w:r w:rsidR="005A2B74">
        <w:t xml:space="preserve">with the </w:t>
      </w:r>
      <w:r w:rsidR="00795E27">
        <w:t>visibility o</w:t>
      </w:r>
      <w:r w:rsidR="005A2B74">
        <w:t>f unpaid SG amounts to the ATO</w:t>
      </w:r>
      <w:r w:rsidR="00795E27">
        <w:t>.</w:t>
      </w:r>
    </w:p>
    <w:p w14:paraId="00E3A895" w14:textId="7A49D843" w:rsidR="00926EFC" w:rsidRPr="00D46028" w:rsidRDefault="00926EFC" w:rsidP="00926EFC">
      <w:pPr>
        <w:pStyle w:val="Heading4"/>
      </w:pPr>
      <w:r w:rsidRPr="00D46028">
        <w:t>Include superannuation in the Fair Entitlements Guarantee</w:t>
      </w:r>
    </w:p>
    <w:p w14:paraId="4CFF7FDB" w14:textId="5795E03C" w:rsidR="00926EFC" w:rsidRDefault="00CD4622" w:rsidP="00926EFC">
      <w:pPr>
        <w:pStyle w:val="BodyText"/>
      </w:pPr>
      <w:r>
        <w:t>Under this option t</w:t>
      </w:r>
      <w:r w:rsidR="00926EFC">
        <w:t xml:space="preserve">he Government could </w:t>
      </w:r>
      <w:r w:rsidR="002E7CD8">
        <w:t xml:space="preserve">consider </w:t>
      </w:r>
      <w:r w:rsidR="00926EFC">
        <w:t>i</w:t>
      </w:r>
      <w:r w:rsidR="00926EFC" w:rsidRPr="003B44E5">
        <w:t>nclud</w:t>
      </w:r>
      <w:r w:rsidR="002E7CD8">
        <w:t>ing</w:t>
      </w:r>
      <w:r w:rsidR="00926EFC" w:rsidRPr="003B44E5">
        <w:t xml:space="preserve"> superannuation in the </w:t>
      </w:r>
      <w:r w:rsidR="00692B7B">
        <w:t>Fair Entitlements Guarantee (FEG)</w:t>
      </w:r>
      <w:r w:rsidR="00926EFC">
        <w:t>.</w:t>
      </w:r>
      <w:r w:rsidR="00692B7B">
        <w:t xml:space="preserve"> </w:t>
      </w:r>
      <w:r w:rsidR="004905A1">
        <w:t>U</w:t>
      </w:r>
      <w:r w:rsidR="00E929D9">
        <w:t xml:space="preserve">nder the FEG </w:t>
      </w:r>
      <w:r w:rsidR="00586AB1">
        <w:t xml:space="preserve">employees which have been left with an unpaid employment entitlement due to their employer </w:t>
      </w:r>
      <w:r w:rsidR="00102F83">
        <w:t xml:space="preserve">being insolvent or bankrupt can be reimbursed </w:t>
      </w:r>
      <w:r w:rsidR="00AA5FB4">
        <w:t xml:space="preserve">some of these entitlement by the Government, provided certain conditions are met. </w:t>
      </w:r>
      <w:r w:rsidR="001264D5">
        <w:t xml:space="preserve">While the FEG covers unpaid </w:t>
      </w:r>
      <w:r w:rsidR="003B03B6">
        <w:t xml:space="preserve">entitlements such as </w:t>
      </w:r>
      <w:r w:rsidR="001264D5">
        <w:t xml:space="preserve">wages, </w:t>
      </w:r>
      <w:r w:rsidR="003B03B6">
        <w:t xml:space="preserve">annual </w:t>
      </w:r>
      <w:r w:rsidR="001264D5">
        <w:t>leave and redundancy</w:t>
      </w:r>
      <w:r w:rsidR="004905A1">
        <w:t xml:space="preserve"> pay</w:t>
      </w:r>
      <w:r w:rsidR="001264D5">
        <w:t xml:space="preserve"> it does not cover superannuation. </w:t>
      </w:r>
      <w:r w:rsidR="00926EFC">
        <w:t xml:space="preserve">The inclusion of superannuation in the FEG was recommended by the </w:t>
      </w:r>
      <w:r w:rsidR="00926EFC" w:rsidRPr="00B82729">
        <w:t>Senate Economics References Committee</w:t>
      </w:r>
      <w:r w:rsidR="00926EFC">
        <w:t>.</w:t>
      </w:r>
      <w:r w:rsidR="00713316" w:rsidRPr="00713316">
        <w:rPr>
          <w:rStyle w:val="FootnoteReference"/>
        </w:rPr>
        <w:t xml:space="preserve"> </w:t>
      </w:r>
      <w:r w:rsidR="00713316">
        <w:rPr>
          <w:rStyle w:val="FootnoteReference"/>
        </w:rPr>
        <w:footnoteReference w:id="30"/>
      </w:r>
    </w:p>
    <w:p w14:paraId="5369A549" w14:textId="05F77923" w:rsidR="00CD4622" w:rsidRDefault="00D579C9" w:rsidP="008B60B4">
      <w:pPr>
        <w:pStyle w:val="BodyText"/>
      </w:pPr>
      <w:r>
        <w:t xml:space="preserve">This option has not been </w:t>
      </w:r>
      <w:r w:rsidR="001778B9">
        <w:t>considered in this IA as w</w:t>
      </w:r>
      <w:r w:rsidR="00513CBB">
        <w:t xml:space="preserve">hile including </w:t>
      </w:r>
      <w:r w:rsidR="006A5EFA">
        <w:t>superannuation</w:t>
      </w:r>
      <w:r w:rsidR="00513CBB">
        <w:t xml:space="preserve"> in the FEG </w:t>
      </w:r>
      <w:r w:rsidR="00067018">
        <w:t xml:space="preserve">may result in a greater number of employees </w:t>
      </w:r>
      <w:r w:rsidR="006A5EFA">
        <w:t>receiving unpaid SG amounts</w:t>
      </w:r>
      <w:r w:rsidR="00AD34BF">
        <w:t xml:space="preserve"> it</w:t>
      </w:r>
      <w:r w:rsidR="00513CBB">
        <w:t xml:space="preserve"> would not address the structural issues (payment frequency and visibility) that are driving the incidence of unpaid SG.</w:t>
      </w:r>
      <w:r w:rsidR="00067018">
        <w:t xml:space="preserve"> Fu</w:t>
      </w:r>
      <w:r w:rsidR="006A5EFA">
        <w:t>rth</w:t>
      </w:r>
      <w:r w:rsidR="00067018">
        <w:t>er</w:t>
      </w:r>
      <w:r w:rsidR="00926EFC">
        <w:t xml:space="preserve">, the 2017 </w:t>
      </w:r>
      <w:r w:rsidR="00926EFC" w:rsidRPr="003266D0">
        <w:rPr>
          <w:i/>
          <w:iCs/>
        </w:rPr>
        <w:t>Superannuation Guarantee Non-compliance</w:t>
      </w:r>
      <w:r w:rsidR="00926EFC">
        <w:t xml:space="preserve"> report by </w:t>
      </w:r>
      <w:r w:rsidR="00926EFC" w:rsidRPr="003266D0">
        <w:t>Superannuation Guarantee Cross Agency Working Group</w:t>
      </w:r>
      <w:r w:rsidR="00926EFC">
        <w:t xml:space="preserve"> recommended against expanding the FEG to include superannuation because of administrative complexity, the significant costs to government, and because the FEG had been designed to cover more immediate entitlements such as wages and leave.</w:t>
      </w:r>
      <w:r w:rsidR="004817B9">
        <w:rPr>
          <w:rStyle w:val="FootnoteReference"/>
        </w:rPr>
        <w:footnoteReference w:id="31"/>
      </w:r>
      <w:r w:rsidR="00A801F4">
        <w:t xml:space="preserve"> </w:t>
      </w:r>
    </w:p>
    <w:p w14:paraId="0295BE03" w14:textId="77777777" w:rsidR="00656088" w:rsidRDefault="00656088" w:rsidP="008B60B4">
      <w:pPr>
        <w:pStyle w:val="BodyText"/>
      </w:pPr>
    </w:p>
    <w:p w14:paraId="29E490E4" w14:textId="6D78EEAF" w:rsidR="00651F89" w:rsidRPr="008B60B4" w:rsidRDefault="00651F89" w:rsidP="008B60B4">
      <w:pPr>
        <w:pStyle w:val="BodyText"/>
      </w:pPr>
      <w:r>
        <w:br w:type="page"/>
      </w:r>
    </w:p>
    <w:p w14:paraId="409742FC" w14:textId="65362970" w:rsidR="00651F89" w:rsidRDefault="00651F89" w:rsidP="00651F89">
      <w:pPr>
        <w:pStyle w:val="Title"/>
      </w:pPr>
      <w:bookmarkStart w:id="35" w:name="_Toc134198457"/>
      <w:r>
        <w:t>4. What is the likely net benefit of each option?</w:t>
      </w:r>
      <w:bookmarkEnd w:id="35"/>
    </w:p>
    <w:p w14:paraId="5F877A94" w14:textId="27075A5B" w:rsidR="00651F89" w:rsidRDefault="00651F89" w:rsidP="00651F89">
      <w:pPr>
        <w:pStyle w:val="Heading2"/>
      </w:pPr>
      <w:bookmarkStart w:id="36" w:name="_Toc134198458"/>
      <w:r>
        <w:t>4.1 Option 1 – Status Quo</w:t>
      </w:r>
      <w:bookmarkEnd w:id="36"/>
    </w:p>
    <w:p w14:paraId="5F21C153" w14:textId="17B037AF" w:rsidR="005823D0" w:rsidRPr="005823D0" w:rsidRDefault="005823D0" w:rsidP="00A531D4">
      <w:r>
        <w:t>Option 1 maintains the status quo</w:t>
      </w:r>
      <w:r w:rsidR="00396599">
        <w:t>, where the current prevalence of unpaid SG and the constraints on the ATO’s SG recovery activities would continue</w:t>
      </w:r>
      <w:r>
        <w:t>.</w:t>
      </w:r>
    </w:p>
    <w:p w14:paraId="610F1F49" w14:textId="3171B1E6" w:rsidR="00F560F3" w:rsidRDefault="00AB183E" w:rsidP="00F560F3">
      <w:pPr>
        <w:pStyle w:val="Heading3"/>
      </w:pPr>
      <w:bookmarkStart w:id="37" w:name="_Toc134198459"/>
      <w:r>
        <w:t xml:space="preserve">Continued </w:t>
      </w:r>
      <w:r w:rsidR="00460FCA">
        <w:t>prevalence of u</w:t>
      </w:r>
      <w:r w:rsidR="00F560F3">
        <w:t>npaid SG</w:t>
      </w:r>
      <w:bookmarkEnd w:id="37"/>
    </w:p>
    <w:p w14:paraId="2818B250" w14:textId="0E47D651" w:rsidR="001A1C0B" w:rsidRDefault="0006102B" w:rsidP="00A531D4">
      <w:r>
        <w:t>The problems identified in Section 1 would continue to persist</w:t>
      </w:r>
      <w:r w:rsidR="00AA1EEC">
        <w:t xml:space="preserve"> without intervention</w:t>
      </w:r>
      <w:r>
        <w:t xml:space="preserve">. </w:t>
      </w:r>
      <w:r w:rsidR="006F6695">
        <w:t>Through the maturation of the superannuation system, e</w:t>
      </w:r>
      <w:r>
        <w:t xml:space="preserve">mployees may engage more with their superannuation </w:t>
      </w:r>
      <w:r w:rsidR="006F1E2A">
        <w:t>to</w:t>
      </w:r>
      <w:r>
        <w:t xml:space="preserve"> identify underpayments of </w:t>
      </w:r>
      <w:r w:rsidR="0003439E">
        <w:t xml:space="preserve">the </w:t>
      </w:r>
      <w:r>
        <w:t>SG. However, they would still encounter existing issues of difficulties in reconciling unpaid amounts</w:t>
      </w:r>
      <w:r w:rsidR="00535548">
        <w:t xml:space="preserve"> due to </w:t>
      </w:r>
      <w:r>
        <w:t>infrequent payment</w:t>
      </w:r>
      <w:r w:rsidR="004F6CC3">
        <w:t xml:space="preserve"> periods</w:t>
      </w:r>
      <w:r>
        <w:t xml:space="preserve">, limited capabilities of the ATO, and </w:t>
      </w:r>
      <w:r w:rsidR="002331F0">
        <w:t xml:space="preserve">unpaid SG amounts being held by </w:t>
      </w:r>
      <w:r>
        <w:t>insolvent employers where debt</w:t>
      </w:r>
      <w:r w:rsidR="008D41FB">
        <w:t>s</w:t>
      </w:r>
      <w:r>
        <w:t xml:space="preserve"> cannot be recovered. </w:t>
      </w:r>
      <w:r w:rsidR="00CC70DF">
        <w:t>Disincentives for e</w:t>
      </w:r>
      <w:r w:rsidR="009E28AD">
        <w:t>mployers</w:t>
      </w:r>
      <w:r w:rsidR="001E51A2">
        <w:t xml:space="preserve"> to voluntarily come forward </w:t>
      </w:r>
      <w:r w:rsidR="00572C34">
        <w:t>about unpaid SG amounts would still exist</w:t>
      </w:r>
      <w:r w:rsidR="001E51A2">
        <w:t xml:space="preserve"> due to the punitive nature of the SG charge</w:t>
      </w:r>
      <w:r w:rsidR="0020273E">
        <w:t>,</w:t>
      </w:r>
      <w:r w:rsidR="001E51A2">
        <w:t xml:space="preserve"> and </w:t>
      </w:r>
      <w:r w:rsidR="0020273E">
        <w:t>a lack of</w:t>
      </w:r>
      <w:r w:rsidR="00805EC4">
        <w:t xml:space="preserve"> </w:t>
      </w:r>
      <w:r w:rsidR="001A1457">
        <w:t>discretion available to the Commissioner of Taxation.</w:t>
      </w:r>
    </w:p>
    <w:p w14:paraId="369D3DA5" w14:textId="32615571" w:rsidR="00563C35" w:rsidRDefault="005C15DD" w:rsidP="00A531D4">
      <w:r>
        <w:t xml:space="preserve">The SG gap may incrementally improve </w:t>
      </w:r>
      <w:r w:rsidR="00161000">
        <w:t>over time</w:t>
      </w:r>
      <w:r w:rsidR="003E36BF">
        <w:t xml:space="preserve"> </w:t>
      </w:r>
      <w:r w:rsidR="00684554">
        <w:t xml:space="preserve">with current </w:t>
      </w:r>
      <w:r w:rsidR="008C07C5">
        <w:t>SG</w:t>
      </w:r>
      <w:r w:rsidR="00684554">
        <w:t xml:space="preserve"> recovery </w:t>
      </w:r>
      <w:r w:rsidR="007668DF">
        <w:t>arrangements</w:t>
      </w:r>
      <w:r w:rsidR="00161000">
        <w:t xml:space="preserve">, </w:t>
      </w:r>
      <w:r w:rsidR="00C367C4">
        <w:t xml:space="preserve">but </w:t>
      </w:r>
      <w:r w:rsidR="00396CC6">
        <w:t>structural issues</w:t>
      </w:r>
      <w:r w:rsidR="008431E6">
        <w:t xml:space="preserve"> will limit the ability for th</w:t>
      </w:r>
      <w:r w:rsidR="008C07C5">
        <w:t>e</w:t>
      </w:r>
      <w:r w:rsidR="008431E6">
        <w:t xml:space="preserve"> ga</w:t>
      </w:r>
      <w:r w:rsidR="00736250">
        <w:t xml:space="preserve">p to </w:t>
      </w:r>
      <w:r w:rsidR="00396CC6">
        <w:t xml:space="preserve">significantly </w:t>
      </w:r>
      <w:r w:rsidR="00736250">
        <w:t>close</w:t>
      </w:r>
      <w:r w:rsidR="003E32D5">
        <w:t xml:space="preserve"> due to the </w:t>
      </w:r>
      <w:r w:rsidR="00C64E0A">
        <w:t>manual and resource intensive nature of</w:t>
      </w:r>
      <w:r w:rsidR="006012D2">
        <w:t xml:space="preserve"> SG recovery</w:t>
      </w:r>
      <w:r w:rsidR="00C42966">
        <w:t>,</w:t>
      </w:r>
      <w:r w:rsidR="008F7F18">
        <w:t xml:space="preserve"> unless </w:t>
      </w:r>
      <w:r w:rsidR="005E797B">
        <w:t xml:space="preserve">other </w:t>
      </w:r>
      <w:r w:rsidR="008F7F18">
        <w:t>improvements are made</w:t>
      </w:r>
      <w:r w:rsidR="00D553D4">
        <w:t xml:space="preserve"> to</w:t>
      </w:r>
      <w:r w:rsidR="008F7F18">
        <w:t xml:space="preserve"> identify unpaid amounts</w:t>
      </w:r>
      <w:r w:rsidR="006012D2">
        <w:t xml:space="preserve">. </w:t>
      </w:r>
    </w:p>
    <w:p w14:paraId="51A6F899" w14:textId="55696AFB" w:rsidR="00261587" w:rsidRDefault="00CC195F" w:rsidP="00261587">
      <w:pPr>
        <w:pStyle w:val="Heading3"/>
      </w:pPr>
      <w:bookmarkStart w:id="38" w:name="_Toc134198460"/>
      <w:r>
        <w:t xml:space="preserve">Continued </w:t>
      </w:r>
      <w:r w:rsidR="00B63677">
        <w:t>slow recovery of</w:t>
      </w:r>
      <w:r w:rsidR="008647F5">
        <w:t xml:space="preserve"> </w:t>
      </w:r>
      <w:r w:rsidR="00261587">
        <w:t>unpaid SG</w:t>
      </w:r>
      <w:bookmarkEnd w:id="38"/>
    </w:p>
    <w:p w14:paraId="2D44087A" w14:textId="36E31B93" w:rsidR="00D94891" w:rsidRDefault="00A55B3B" w:rsidP="00A531D4">
      <w:r>
        <w:t>Continued</w:t>
      </w:r>
      <w:r w:rsidR="00D82076">
        <w:t xml:space="preserve"> reliance on </w:t>
      </w:r>
      <w:r>
        <w:t>self</w:t>
      </w:r>
      <w:r w:rsidR="00D260FA">
        <w:t>-</w:t>
      </w:r>
      <w:r w:rsidR="000A1687">
        <w:t>disclosure</w:t>
      </w:r>
      <w:r w:rsidR="00D82076">
        <w:t xml:space="preserve"> </w:t>
      </w:r>
      <w:r w:rsidR="00432EF5">
        <w:t>by employers and em</w:t>
      </w:r>
      <w:r w:rsidR="00595AA4">
        <w:t xml:space="preserve">ployees </w:t>
      </w:r>
      <w:r w:rsidR="00744AA6">
        <w:t xml:space="preserve">to the ATO </w:t>
      </w:r>
      <w:r w:rsidR="00B2490B">
        <w:t>of unpaid superannuation amounts</w:t>
      </w:r>
      <w:r w:rsidR="00744AA6">
        <w:t xml:space="preserve"> will </w:t>
      </w:r>
      <w:r w:rsidR="00B5200E">
        <w:t xml:space="preserve">mean </w:t>
      </w:r>
      <w:r w:rsidR="00C91B85">
        <w:t>a</w:t>
      </w:r>
      <w:r w:rsidR="002B7B57">
        <w:t>n ongoing</w:t>
      </w:r>
      <w:r w:rsidR="00C91B85">
        <w:t xml:space="preserve"> time lag in </w:t>
      </w:r>
      <w:r w:rsidR="003164AB">
        <w:t xml:space="preserve">SG </w:t>
      </w:r>
      <w:r w:rsidR="00B2490B">
        <w:t>recovery</w:t>
      </w:r>
      <w:r w:rsidR="001C7834">
        <w:t>,</w:t>
      </w:r>
      <w:r w:rsidR="002B7B57">
        <w:t xml:space="preserve"> </w:t>
      </w:r>
      <w:r w:rsidR="00240748">
        <w:t>perpetu</w:t>
      </w:r>
      <w:r w:rsidR="001070C8">
        <w:t>at</w:t>
      </w:r>
      <w:r w:rsidR="005862D8">
        <w:t>ing</w:t>
      </w:r>
      <w:r w:rsidR="001070C8">
        <w:t xml:space="preserve"> </w:t>
      </w:r>
      <w:r w:rsidR="0014449D">
        <w:t>negative</w:t>
      </w:r>
      <w:r w:rsidR="008B5F1E">
        <w:t xml:space="preserve"> impacts </w:t>
      </w:r>
      <w:r w:rsidR="0029340E">
        <w:t>to retirement balances</w:t>
      </w:r>
      <w:r w:rsidR="00A55A02">
        <w:t>.</w:t>
      </w:r>
      <w:r w:rsidR="008B5F1E">
        <w:t xml:space="preserve"> </w:t>
      </w:r>
      <w:r w:rsidR="00837F6B">
        <w:t xml:space="preserve">Those </w:t>
      </w:r>
      <w:r w:rsidR="008B6FED">
        <w:t xml:space="preserve">employees </w:t>
      </w:r>
      <w:r w:rsidR="00837F6B">
        <w:t>that do</w:t>
      </w:r>
      <w:r w:rsidR="008B6FED">
        <w:t xml:space="preserve"> </w:t>
      </w:r>
      <w:r w:rsidR="00837F6B">
        <w:t>n</w:t>
      </w:r>
      <w:r w:rsidR="008B6FED">
        <w:t>o</w:t>
      </w:r>
      <w:r w:rsidR="00837F6B">
        <w:t xml:space="preserve">t </w:t>
      </w:r>
      <w:r w:rsidR="008B6FED">
        <w:t xml:space="preserve">notify the ATO </w:t>
      </w:r>
      <w:r w:rsidR="00A55A02">
        <w:t xml:space="preserve">or </w:t>
      </w:r>
      <w:r w:rsidR="008B6FED">
        <w:t xml:space="preserve">notify </w:t>
      </w:r>
      <w:r w:rsidR="00DD532F">
        <w:t xml:space="preserve">after an extended period will have </w:t>
      </w:r>
      <w:r w:rsidR="00AE7D0D">
        <w:t xml:space="preserve">a </w:t>
      </w:r>
      <w:r w:rsidR="00DD532F">
        <w:t xml:space="preserve">limited ability to recover </w:t>
      </w:r>
      <w:r w:rsidR="00F141BD">
        <w:t>overdue</w:t>
      </w:r>
      <w:r w:rsidR="00DD532F">
        <w:t xml:space="preserve"> SG amounts</w:t>
      </w:r>
      <w:r w:rsidR="002B7B57">
        <w:t>.</w:t>
      </w:r>
      <w:r w:rsidR="001C7834">
        <w:t xml:space="preserve"> </w:t>
      </w:r>
    </w:p>
    <w:p w14:paraId="5F7B9833" w14:textId="53B875E8" w:rsidR="00FA19D0" w:rsidRDefault="00FE0032" w:rsidP="00946C3B">
      <w:pPr>
        <w:pStyle w:val="Heading3"/>
      </w:pPr>
      <w:bookmarkStart w:id="39" w:name="_Toc134198461"/>
      <w:r>
        <w:t>Summary of Option 1</w:t>
      </w:r>
      <w:bookmarkEnd w:id="39"/>
    </w:p>
    <w:p w14:paraId="70174B8D" w14:textId="673533C9" w:rsidR="00246347" w:rsidRPr="00D83EB4" w:rsidRDefault="00016E3B" w:rsidP="00A531D4">
      <w:r>
        <w:t>This option</w:t>
      </w:r>
      <w:r w:rsidR="00246347">
        <w:t xml:space="preserve"> places no additional requirements on participants of the superannuation system or Government and therefore has no </w:t>
      </w:r>
      <w:r w:rsidR="00397FAF">
        <w:t xml:space="preserve">additional </w:t>
      </w:r>
      <w:r w:rsidR="00246347">
        <w:t xml:space="preserve">compliance cost. </w:t>
      </w:r>
      <w:r w:rsidR="00C54717">
        <w:t>However,</w:t>
      </w:r>
      <w:r w:rsidR="00246347">
        <w:t xml:space="preserve"> retirement balances will continue to be negatively impacted by less SG payments and a loss of compounding earnings over time. </w:t>
      </w:r>
      <w:r w:rsidR="00E86613">
        <w:t xml:space="preserve">This option has been used as the benchmark for considering the costs and benefits of other options. </w:t>
      </w:r>
    </w:p>
    <w:p w14:paraId="3B1FA697" w14:textId="77777777" w:rsidR="00C16658" w:rsidRDefault="00C16658">
      <w:pPr>
        <w:rPr>
          <w:rFonts w:asciiTheme="majorHAnsi" w:eastAsiaTheme="majorEastAsia" w:hAnsiTheme="majorHAnsi" w:cstheme="majorBidi"/>
          <w:b/>
          <w:color w:val="000000" w:themeColor="text1"/>
          <w:sz w:val="36"/>
          <w:szCs w:val="40"/>
        </w:rPr>
      </w:pPr>
      <w:r>
        <w:br w:type="page"/>
      </w:r>
    </w:p>
    <w:p w14:paraId="2F28FAA0" w14:textId="77777777" w:rsidR="00D94891" w:rsidRDefault="00D94891" w:rsidP="00D94891">
      <w:pPr>
        <w:pStyle w:val="Heading2"/>
      </w:pPr>
      <w:bookmarkStart w:id="40" w:name="_Toc134198462"/>
      <w:r>
        <w:t xml:space="preserve">4.2 Option 2 – </w:t>
      </w:r>
      <w:r w:rsidR="00384D94">
        <w:t>Investment in ATO data matching</w:t>
      </w:r>
      <w:bookmarkEnd w:id="40"/>
    </w:p>
    <w:p w14:paraId="60981084" w14:textId="7F108F4B" w:rsidR="00AB15C0" w:rsidRPr="00B57F20" w:rsidRDefault="00AB15C0" w:rsidP="00E82651">
      <w:pPr>
        <w:rPr>
          <w:lang w:val="en-GB"/>
        </w:rPr>
      </w:pPr>
      <w:r w:rsidRPr="00B57F20">
        <w:rPr>
          <w:lang w:val="en-GB"/>
        </w:rPr>
        <w:t xml:space="preserve">Option </w:t>
      </w:r>
      <w:r w:rsidR="00523802" w:rsidRPr="00B57F20">
        <w:rPr>
          <w:lang w:val="en-GB"/>
        </w:rPr>
        <w:t xml:space="preserve">2 </w:t>
      </w:r>
      <w:r w:rsidR="00662ECB" w:rsidRPr="00B57F20">
        <w:rPr>
          <w:lang w:val="en-GB"/>
        </w:rPr>
        <w:t>would provide</w:t>
      </w:r>
      <w:r w:rsidR="00523802" w:rsidRPr="00B57F20">
        <w:rPr>
          <w:lang w:val="en-GB"/>
        </w:rPr>
        <w:t xml:space="preserve"> funding for the ATO to </w:t>
      </w:r>
      <w:r w:rsidR="00662ECB" w:rsidRPr="00B57F20">
        <w:rPr>
          <w:lang w:val="en-GB"/>
        </w:rPr>
        <w:t>upgrade their data matching infrastructure</w:t>
      </w:r>
      <w:r w:rsidR="008E14D3">
        <w:rPr>
          <w:lang w:val="en-GB"/>
        </w:rPr>
        <w:t xml:space="preserve">. </w:t>
      </w:r>
      <w:r w:rsidR="00B62AC5">
        <w:rPr>
          <w:lang w:val="en-GB"/>
        </w:rPr>
        <w:t>T</w:t>
      </w:r>
      <w:r w:rsidR="0073315B" w:rsidRPr="00C56289">
        <w:rPr>
          <w:lang w:val="en-GB"/>
        </w:rPr>
        <w:t xml:space="preserve">he ATO would be granted </w:t>
      </w:r>
      <w:r w:rsidR="0073315B">
        <w:rPr>
          <w:lang w:val="en-GB"/>
        </w:rPr>
        <w:t xml:space="preserve">$27 million in </w:t>
      </w:r>
      <w:r w:rsidR="0073315B" w:rsidRPr="00C56289">
        <w:rPr>
          <w:lang w:val="en-GB"/>
        </w:rPr>
        <w:t>funding to develop capabilities to automatically match SG contributions data</w:t>
      </w:r>
      <w:r w:rsidR="0073315B">
        <w:rPr>
          <w:lang w:val="en-GB"/>
        </w:rPr>
        <w:t xml:space="preserve"> reported by employers and superannuation funds. </w:t>
      </w:r>
      <w:r w:rsidR="008E14D3">
        <w:rPr>
          <w:lang w:val="en-GB"/>
        </w:rPr>
        <w:t>This option would afford the ATO greater visibility of the</w:t>
      </w:r>
      <w:r w:rsidR="005C33D1">
        <w:rPr>
          <w:lang w:val="en-GB"/>
        </w:rPr>
        <w:t xml:space="preserve"> superannuation</w:t>
      </w:r>
      <w:r w:rsidR="008E14D3">
        <w:rPr>
          <w:lang w:val="en-GB"/>
        </w:rPr>
        <w:t xml:space="preserve"> </w:t>
      </w:r>
      <w:r w:rsidR="00D710BB">
        <w:rPr>
          <w:lang w:val="en-GB"/>
        </w:rPr>
        <w:t>compliance landscape</w:t>
      </w:r>
      <w:r w:rsidR="008E14D3">
        <w:rPr>
          <w:lang w:val="en-GB"/>
        </w:rPr>
        <w:t xml:space="preserve"> and</w:t>
      </w:r>
      <w:r w:rsidR="005C33D1">
        <w:rPr>
          <w:lang w:val="en-GB"/>
        </w:rPr>
        <w:t xml:space="preserve"> enable sophisticated data analysis</w:t>
      </w:r>
      <w:r w:rsidR="00852578">
        <w:rPr>
          <w:lang w:val="en-GB"/>
        </w:rPr>
        <w:t>,</w:t>
      </w:r>
      <w:r w:rsidR="005C33D1">
        <w:rPr>
          <w:lang w:val="en-GB"/>
        </w:rPr>
        <w:t xml:space="preserve"> including new </w:t>
      </w:r>
      <w:r w:rsidR="00852578">
        <w:rPr>
          <w:lang w:val="en-GB"/>
        </w:rPr>
        <w:t>ways to measure</w:t>
      </w:r>
      <w:r w:rsidR="00BE178E">
        <w:rPr>
          <w:lang w:val="en-GB"/>
        </w:rPr>
        <w:t xml:space="preserve"> the SG gap.</w:t>
      </w:r>
      <w:r w:rsidR="008E14D3">
        <w:rPr>
          <w:lang w:val="en-GB"/>
        </w:rPr>
        <w:t xml:space="preserve"> </w:t>
      </w:r>
    </w:p>
    <w:p w14:paraId="114FF43E" w14:textId="6F09A8A7" w:rsidR="00B9076A" w:rsidRDefault="00021F08" w:rsidP="00550805">
      <w:pPr>
        <w:pStyle w:val="Heading3"/>
      </w:pPr>
      <w:bookmarkStart w:id="41" w:name="_Toc134198463"/>
      <w:r>
        <w:t xml:space="preserve">Impact 1: </w:t>
      </w:r>
      <w:r w:rsidR="00C6413A">
        <w:t>Fewer</w:t>
      </w:r>
      <w:r w:rsidR="00883AF7">
        <w:t xml:space="preserve"> incidences </w:t>
      </w:r>
      <w:r w:rsidR="00767B20">
        <w:t>of</w:t>
      </w:r>
      <w:r w:rsidR="00D83EB4">
        <w:t xml:space="preserve"> u</w:t>
      </w:r>
      <w:r w:rsidR="00AD2E1B">
        <w:t xml:space="preserve">npaid </w:t>
      </w:r>
      <w:r w:rsidR="00F560F3">
        <w:t>SG</w:t>
      </w:r>
      <w:bookmarkEnd w:id="41"/>
    </w:p>
    <w:p w14:paraId="1344A802" w14:textId="37B35E60" w:rsidR="00E0768B" w:rsidRDefault="00AD49BD" w:rsidP="007C17C5">
      <w:pPr>
        <w:rPr>
          <w:lang w:val="en-GB"/>
        </w:rPr>
      </w:pPr>
      <w:r>
        <w:rPr>
          <w:lang w:val="en-GB"/>
        </w:rPr>
        <w:t>Option 2</w:t>
      </w:r>
      <w:r w:rsidR="00FC0510">
        <w:rPr>
          <w:lang w:val="en-GB"/>
        </w:rPr>
        <w:t xml:space="preserve"> would </w:t>
      </w:r>
      <w:r>
        <w:rPr>
          <w:lang w:val="en-GB"/>
        </w:rPr>
        <w:t xml:space="preserve">enable </w:t>
      </w:r>
      <w:r w:rsidR="009D4501">
        <w:rPr>
          <w:lang w:val="en-GB"/>
        </w:rPr>
        <w:t>t</w:t>
      </w:r>
      <w:r w:rsidR="00E0768B">
        <w:rPr>
          <w:lang w:val="en-GB"/>
        </w:rPr>
        <w:t xml:space="preserve">he </w:t>
      </w:r>
      <w:r w:rsidR="00FC0510">
        <w:rPr>
          <w:lang w:val="en-GB"/>
        </w:rPr>
        <w:t>ATO to initiate more</w:t>
      </w:r>
      <w:r w:rsidR="00EE1986">
        <w:rPr>
          <w:lang w:val="en-GB"/>
        </w:rPr>
        <w:t xml:space="preserve"> </w:t>
      </w:r>
      <w:r w:rsidR="00E63071">
        <w:rPr>
          <w:lang w:val="en-GB"/>
        </w:rPr>
        <w:t>proactive compliance cases</w:t>
      </w:r>
      <w:r w:rsidR="00E0768B" w:rsidRPr="007A43FB">
        <w:rPr>
          <w:lang w:val="en-GB"/>
        </w:rPr>
        <w:t>.</w:t>
      </w:r>
      <w:r w:rsidR="00E0768B" w:rsidRPr="00E0768B">
        <w:rPr>
          <w:lang w:val="en-GB"/>
        </w:rPr>
        <w:t xml:space="preserve"> </w:t>
      </w:r>
      <w:r w:rsidR="00E0768B">
        <w:rPr>
          <w:lang w:val="en-GB"/>
        </w:rPr>
        <w:t>A</w:t>
      </w:r>
      <w:r w:rsidR="00E0768B" w:rsidRPr="007A43FB">
        <w:rPr>
          <w:lang w:val="en-GB"/>
        </w:rPr>
        <w:t>utomatic data matching would lead to fewer instances of unpaid SG going undetected and more instances of unpaid SG being recovered by the ATO.</w:t>
      </w:r>
      <w:r w:rsidR="00E63071">
        <w:rPr>
          <w:lang w:val="en-GB"/>
        </w:rPr>
        <w:t xml:space="preserve"> </w:t>
      </w:r>
      <w:r w:rsidR="0082080B" w:rsidRPr="00BA6803">
        <w:t>Most</w:t>
      </w:r>
      <w:r w:rsidR="00AE6AF9" w:rsidRPr="00BA6803">
        <w:t xml:space="preserve"> employe</w:t>
      </w:r>
      <w:r w:rsidR="00AE6AF9">
        <w:t>e</w:t>
      </w:r>
      <w:r w:rsidR="00AE6AF9" w:rsidRPr="00BA6803">
        <w:t xml:space="preserve"> notifications are submitted after an employee leaves employment, resulting in a significant period for which SG has not been paid, reducing the likelihood of recovery</w:t>
      </w:r>
      <w:r w:rsidR="00715138">
        <w:t>,</w:t>
      </w:r>
      <w:r w:rsidR="00AE6AF9" w:rsidRPr="00BA6803">
        <w:t xml:space="preserve"> and therefore </w:t>
      </w:r>
      <w:r w:rsidR="00AE6AF9">
        <w:t xml:space="preserve">adversely impacting an </w:t>
      </w:r>
      <w:r w:rsidR="00AE6AF9" w:rsidRPr="00BA6803">
        <w:t xml:space="preserve">employee’s retirement outcomes. </w:t>
      </w:r>
      <w:r w:rsidR="00E32C4F">
        <w:t>Through improved data matching</w:t>
      </w:r>
      <w:r w:rsidR="00AE6AF9" w:rsidRPr="00BA6803">
        <w:t xml:space="preserve"> </w:t>
      </w:r>
      <w:r w:rsidR="007C17C5">
        <w:t>t</w:t>
      </w:r>
      <w:r w:rsidR="00E63071">
        <w:rPr>
          <w:lang w:val="en-GB"/>
        </w:rPr>
        <w:t xml:space="preserve">he ATO would also be able to identify instances of unpaid SG sooner </w:t>
      </w:r>
      <w:r w:rsidR="000A0BC3">
        <w:rPr>
          <w:lang w:val="en-GB"/>
        </w:rPr>
        <w:t xml:space="preserve">and finalise more cases </w:t>
      </w:r>
      <w:r w:rsidR="00E63071">
        <w:rPr>
          <w:lang w:val="en-GB"/>
        </w:rPr>
        <w:t xml:space="preserve">before </w:t>
      </w:r>
      <w:r w:rsidR="007C17C5">
        <w:t xml:space="preserve">larger </w:t>
      </w:r>
      <w:r w:rsidR="007C17C5" w:rsidRPr="00BA6803">
        <w:t>debt</w:t>
      </w:r>
      <w:r w:rsidR="007C17C5">
        <w:t>s</w:t>
      </w:r>
      <w:r w:rsidR="007C17C5" w:rsidRPr="00BA6803">
        <w:t xml:space="preserve"> accumulate</w:t>
      </w:r>
      <w:r w:rsidR="007C17C5">
        <w:rPr>
          <w:lang w:val="en-GB"/>
        </w:rPr>
        <w:t xml:space="preserve"> and/or </w:t>
      </w:r>
      <w:r w:rsidR="00E63071">
        <w:rPr>
          <w:lang w:val="en-GB"/>
        </w:rPr>
        <w:t>amounts bec</w:t>
      </w:r>
      <w:r w:rsidR="007926B8">
        <w:rPr>
          <w:lang w:val="en-GB"/>
        </w:rPr>
        <w:t>o</w:t>
      </w:r>
      <w:r w:rsidR="002104B7">
        <w:rPr>
          <w:lang w:val="en-GB"/>
        </w:rPr>
        <w:t>me unrecoverable</w:t>
      </w:r>
      <w:r w:rsidR="00EB042E">
        <w:rPr>
          <w:lang w:val="en-GB"/>
        </w:rPr>
        <w:t>, for example when employers become insolvent</w:t>
      </w:r>
      <w:r w:rsidR="002104B7">
        <w:rPr>
          <w:lang w:val="en-GB"/>
        </w:rPr>
        <w:t>.</w:t>
      </w:r>
    </w:p>
    <w:p w14:paraId="5DD61876" w14:textId="1CC6C224" w:rsidR="00A80FFA" w:rsidRDefault="00A159F8" w:rsidP="00A531D4">
      <w:pPr>
        <w:rPr>
          <w:lang w:val="en-GB"/>
        </w:rPr>
      </w:pPr>
      <w:r>
        <w:rPr>
          <w:lang w:val="en-GB"/>
        </w:rPr>
        <w:t xml:space="preserve">While this option will provide the ATO with greater visibility of the SG system, and therefore </w:t>
      </w:r>
      <w:r w:rsidR="00EF0BF4">
        <w:rPr>
          <w:lang w:val="en-GB"/>
        </w:rPr>
        <w:t xml:space="preserve">enable </w:t>
      </w:r>
      <w:r w:rsidR="00357FAA">
        <w:rPr>
          <w:lang w:val="en-GB"/>
        </w:rPr>
        <w:t xml:space="preserve">a more </w:t>
      </w:r>
      <w:r w:rsidR="0005601A">
        <w:rPr>
          <w:lang w:val="en-GB"/>
        </w:rPr>
        <w:t xml:space="preserve">targeted </w:t>
      </w:r>
      <w:r w:rsidR="00357FAA">
        <w:rPr>
          <w:lang w:val="en-GB"/>
        </w:rPr>
        <w:t xml:space="preserve">compliance </w:t>
      </w:r>
      <w:r w:rsidR="00405B99">
        <w:rPr>
          <w:lang w:val="en-GB"/>
        </w:rPr>
        <w:t>regime</w:t>
      </w:r>
      <w:r w:rsidR="00357FAA">
        <w:rPr>
          <w:lang w:val="en-GB"/>
        </w:rPr>
        <w:t>,</w:t>
      </w:r>
      <w:r w:rsidR="0063218C" w:rsidDel="00405B99">
        <w:rPr>
          <w:lang w:val="en-GB"/>
        </w:rPr>
        <w:t xml:space="preserve"> </w:t>
      </w:r>
      <w:r w:rsidR="00405B99">
        <w:rPr>
          <w:lang w:val="en-GB"/>
        </w:rPr>
        <w:t xml:space="preserve">this investment </w:t>
      </w:r>
      <w:r w:rsidR="0063218C">
        <w:rPr>
          <w:lang w:val="en-GB"/>
        </w:rPr>
        <w:t xml:space="preserve">will not directly impact </w:t>
      </w:r>
      <w:r w:rsidR="00835AD2">
        <w:rPr>
          <w:lang w:val="en-GB"/>
        </w:rPr>
        <w:t xml:space="preserve">some of </w:t>
      </w:r>
      <w:r w:rsidR="0063218C">
        <w:rPr>
          <w:lang w:val="en-GB"/>
        </w:rPr>
        <w:t xml:space="preserve">the underlying causes of unpaid </w:t>
      </w:r>
      <w:r w:rsidR="00835AD2">
        <w:rPr>
          <w:lang w:val="en-GB"/>
        </w:rPr>
        <w:t>SG</w:t>
      </w:r>
      <w:r w:rsidR="0063218C">
        <w:rPr>
          <w:lang w:val="en-GB"/>
        </w:rPr>
        <w:t xml:space="preserve">. Moreover, the ATO </w:t>
      </w:r>
      <w:r w:rsidR="00405B99">
        <w:rPr>
          <w:lang w:val="en-GB"/>
        </w:rPr>
        <w:t xml:space="preserve">will continue to </w:t>
      </w:r>
      <w:r w:rsidR="00454B29">
        <w:rPr>
          <w:lang w:val="en-GB"/>
        </w:rPr>
        <w:t>face</w:t>
      </w:r>
      <w:r w:rsidR="00405B99">
        <w:rPr>
          <w:lang w:val="en-GB"/>
        </w:rPr>
        <w:t xml:space="preserve"> challenges in </w:t>
      </w:r>
      <w:r w:rsidR="00F0715C">
        <w:rPr>
          <w:lang w:val="en-GB"/>
        </w:rPr>
        <w:t xml:space="preserve">successfully matching SG contributions </w:t>
      </w:r>
      <w:r w:rsidR="00EF6924">
        <w:rPr>
          <w:lang w:val="en-GB"/>
        </w:rPr>
        <w:t xml:space="preserve">data </w:t>
      </w:r>
      <w:r w:rsidR="00F0715C">
        <w:rPr>
          <w:lang w:val="en-GB"/>
        </w:rPr>
        <w:t xml:space="preserve">as the amounts </w:t>
      </w:r>
      <w:r w:rsidR="0005601A">
        <w:rPr>
          <w:lang w:val="en-GB"/>
        </w:rPr>
        <w:t>recorded</w:t>
      </w:r>
      <w:r w:rsidR="009558EE">
        <w:rPr>
          <w:lang w:val="en-GB"/>
        </w:rPr>
        <w:t xml:space="preserve"> as </w:t>
      </w:r>
      <w:r w:rsidR="00F0715C">
        <w:rPr>
          <w:lang w:val="en-GB"/>
        </w:rPr>
        <w:t xml:space="preserve">wages </w:t>
      </w:r>
      <w:r w:rsidR="00FE7A71">
        <w:rPr>
          <w:lang w:val="en-GB"/>
        </w:rPr>
        <w:t xml:space="preserve">and SG </w:t>
      </w:r>
      <w:r w:rsidR="00EF6924">
        <w:rPr>
          <w:lang w:val="en-GB"/>
        </w:rPr>
        <w:t xml:space="preserve">may </w:t>
      </w:r>
      <w:r w:rsidR="009558EE">
        <w:rPr>
          <w:lang w:val="en-GB"/>
        </w:rPr>
        <w:t xml:space="preserve">continue to </w:t>
      </w:r>
      <w:r w:rsidR="0044113E">
        <w:rPr>
          <w:lang w:val="en-GB"/>
        </w:rPr>
        <w:t>be paid for different time periods</w:t>
      </w:r>
      <w:r w:rsidR="0087693F">
        <w:rPr>
          <w:lang w:val="en-GB"/>
        </w:rPr>
        <w:t xml:space="preserve">. </w:t>
      </w:r>
    </w:p>
    <w:p w14:paraId="0427E0DD" w14:textId="1012987A" w:rsidR="000E0E77" w:rsidRPr="007E7CDF" w:rsidRDefault="00CF3778" w:rsidP="00A531D4">
      <w:pPr>
        <w:rPr>
          <w:lang w:val="en-GB"/>
        </w:rPr>
      </w:pPr>
      <w:r>
        <w:rPr>
          <w:lang w:val="en-GB"/>
        </w:rPr>
        <w:t>T</w:t>
      </w:r>
      <w:r w:rsidR="0087693F">
        <w:rPr>
          <w:lang w:val="en-GB"/>
        </w:rPr>
        <w:t>his option</w:t>
      </w:r>
      <w:r w:rsidR="001D23FF">
        <w:rPr>
          <w:lang w:val="en-GB"/>
        </w:rPr>
        <w:t xml:space="preserve"> is</w:t>
      </w:r>
      <w:r w:rsidR="0087693F">
        <w:rPr>
          <w:lang w:val="en-GB"/>
        </w:rPr>
        <w:t xml:space="preserve"> </w:t>
      </w:r>
      <w:r>
        <w:rPr>
          <w:lang w:val="en-GB"/>
        </w:rPr>
        <w:t xml:space="preserve">likely </w:t>
      </w:r>
      <w:r w:rsidR="00622D1B">
        <w:rPr>
          <w:lang w:val="en-GB"/>
        </w:rPr>
        <w:t>to</w:t>
      </w:r>
      <w:r>
        <w:rPr>
          <w:lang w:val="en-GB"/>
        </w:rPr>
        <w:t xml:space="preserve"> </w:t>
      </w:r>
      <w:r w:rsidR="00C42B72">
        <w:rPr>
          <w:lang w:val="en-GB"/>
        </w:rPr>
        <w:t>have a</w:t>
      </w:r>
      <w:r w:rsidR="0087693F">
        <w:rPr>
          <w:lang w:val="en-GB"/>
        </w:rPr>
        <w:t xml:space="preserve"> </w:t>
      </w:r>
      <w:r w:rsidR="004E3A7A">
        <w:rPr>
          <w:lang w:val="en-GB"/>
        </w:rPr>
        <w:t>material impact</w:t>
      </w:r>
      <w:r w:rsidR="002751E4">
        <w:rPr>
          <w:lang w:val="en-GB"/>
        </w:rPr>
        <w:t xml:space="preserve"> on </w:t>
      </w:r>
      <w:r w:rsidR="00E90E82" w:rsidRPr="00C622A7">
        <w:rPr>
          <w:lang w:val="en-GB"/>
        </w:rPr>
        <w:t xml:space="preserve">the incidences of </w:t>
      </w:r>
      <w:r w:rsidR="002751E4" w:rsidRPr="008B2386">
        <w:rPr>
          <w:lang w:val="en-GB"/>
        </w:rPr>
        <w:t xml:space="preserve">unpaid </w:t>
      </w:r>
      <w:r w:rsidR="00E90E82" w:rsidRPr="00C622A7">
        <w:rPr>
          <w:lang w:val="en-GB"/>
        </w:rPr>
        <w:t>SG</w:t>
      </w:r>
      <w:r w:rsidR="00E90E82">
        <w:rPr>
          <w:lang w:val="en-GB"/>
        </w:rPr>
        <w:t>,</w:t>
      </w:r>
      <w:r w:rsidR="00747FC2">
        <w:rPr>
          <w:lang w:val="en-GB"/>
        </w:rPr>
        <w:t xml:space="preserve"> but </w:t>
      </w:r>
      <w:r w:rsidR="00E90E82">
        <w:rPr>
          <w:lang w:val="en-GB"/>
        </w:rPr>
        <w:t xml:space="preserve">a </w:t>
      </w:r>
      <w:r w:rsidR="007F24A7" w:rsidRPr="007E7CDF">
        <w:rPr>
          <w:b/>
          <w:bCs/>
          <w:lang w:val="en-GB"/>
        </w:rPr>
        <w:t>minor</w:t>
      </w:r>
      <w:r w:rsidR="00C42B72" w:rsidRPr="007E7CDF">
        <w:rPr>
          <w:b/>
          <w:bCs/>
          <w:lang w:val="en-GB"/>
        </w:rPr>
        <w:t xml:space="preserve"> impact</w:t>
      </w:r>
      <w:r w:rsidR="00C42B72">
        <w:rPr>
          <w:lang w:val="en-GB"/>
        </w:rPr>
        <w:t xml:space="preserve"> </w:t>
      </w:r>
      <w:r w:rsidR="00E90E82">
        <w:rPr>
          <w:lang w:val="en-GB"/>
        </w:rPr>
        <w:t>in reducing the overall SG gap</w:t>
      </w:r>
      <w:r w:rsidR="00595932">
        <w:rPr>
          <w:lang w:val="en-GB"/>
        </w:rPr>
        <w:t>,</w:t>
      </w:r>
      <w:r w:rsidR="00595932" w:rsidDel="0005601A">
        <w:rPr>
          <w:lang w:val="en-GB"/>
        </w:rPr>
        <w:t xml:space="preserve"> as </w:t>
      </w:r>
      <w:r w:rsidR="0005601A">
        <w:rPr>
          <w:lang w:val="en-GB"/>
        </w:rPr>
        <w:t>the ATO’s ability</w:t>
      </w:r>
      <w:r w:rsidR="00595932" w:rsidDel="0005601A">
        <w:rPr>
          <w:lang w:val="en-GB"/>
        </w:rPr>
        <w:t xml:space="preserve"> </w:t>
      </w:r>
      <w:r w:rsidR="00595932">
        <w:rPr>
          <w:lang w:val="en-GB"/>
        </w:rPr>
        <w:t xml:space="preserve">to intervene </w:t>
      </w:r>
      <w:r w:rsidR="0005601A">
        <w:rPr>
          <w:lang w:val="en-GB"/>
        </w:rPr>
        <w:t xml:space="preserve">will continue to be limited by the </w:t>
      </w:r>
      <w:r w:rsidR="001C679C">
        <w:rPr>
          <w:lang w:val="en-GB"/>
        </w:rPr>
        <w:t>in</w:t>
      </w:r>
      <w:r w:rsidR="0005601A">
        <w:rPr>
          <w:lang w:val="en-GB"/>
        </w:rPr>
        <w:t xml:space="preserve">frequency of </w:t>
      </w:r>
      <w:r w:rsidR="001C679C">
        <w:rPr>
          <w:lang w:val="en-GB"/>
        </w:rPr>
        <w:t>SG</w:t>
      </w:r>
      <w:r w:rsidR="0005601A">
        <w:rPr>
          <w:lang w:val="en-GB"/>
        </w:rPr>
        <w:t xml:space="preserve"> payment</w:t>
      </w:r>
      <w:r w:rsidR="00A80FFA">
        <w:rPr>
          <w:lang w:val="en-GB"/>
        </w:rPr>
        <w:t>s</w:t>
      </w:r>
      <w:r w:rsidR="0005601A">
        <w:rPr>
          <w:lang w:val="en-GB"/>
        </w:rPr>
        <w:t>.</w:t>
      </w:r>
    </w:p>
    <w:p w14:paraId="758BB31D" w14:textId="77777777" w:rsidR="005A3A72" w:rsidRPr="005A3A72" w:rsidRDefault="004A1422">
      <w:r>
        <w:rPr>
          <w:lang w:val="en-GB"/>
        </w:rPr>
        <w:t>The impact o</w:t>
      </w:r>
      <w:r w:rsidR="00CA2755">
        <w:rPr>
          <w:lang w:val="en-GB"/>
        </w:rPr>
        <w:t xml:space="preserve">f </w:t>
      </w:r>
      <w:r w:rsidR="0017591F">
        <w:rPr>
          <w:lang w:val="en-GB"/>
        </w:rPr>
        <w:t xml:space="preserve">investments </w:t>
      </w:r>
      <w:r w:rsidR="00F3237A">
        <w:rPr>
          <w:lang w:val="en-GB"/>
        </w:rPr>
        <w:t>in ATO</w:t>
      </w:r>
      <w:r w:rsidR="006C6D96">
        <w:rPr>
          <w:lang w:val="en-GB"/>
        </w:rPr>
        <w:t xml:space="preserve"> digital infrastructure </w:t>
      </w:r>
      <w:r w:rsidR="001D01C4">
        <w:rPr>
          <w:lang w:val="en-GB"/>
        </w:rPr>
        <w:t xml:space="preserve">on the </w:t>
      </w:r>
      <w:r w:rsidR="00F313A5">
        <w:rPr>
          <w:lang w:val="en-GB"/>
        </w:rPr>
        <w:t>incidence of unpaid SG</w:t>
      </w:r>
      <w:r w:rsidR="006C6D96">
        <w:rPr>
          <w:lang w:val="en-GB"/>
        </w:rPr>
        <w:t xml:space="preserve"> </w:t>
      </w:r>
      <w:r w:rsidR="0017591F">
        <w:rPr>
          <w:lang w:val="en-GB"/>
        </w:rPr>
        <w:t>is unquantifiable</w:t>
      </w:r>
      <w:r w:rsidR="00397A90">
        <w:rPr>
          <w:lang w:val="en-GB"/>
        </w:rPr>
        <w:t xml:space="preserve"> due to </w:t>
      </w:r>
      <w:r w:rsidR="0090171F">
        <w:rPr>
          <w:lang w:val="en-GB"/>
        </w:rPr>
        <w:t xml:space="preserve">the degree of uncertainty </w:t>
      </w:r>
      <w:r w:rsidR="00C64E36">
        <w:rPr>
          <w:lang w:val="en-GB"/>
        </w:rPr>
        <w:t xml:space="preserve">around the </w:t>
      </w:r>
      <w:r w:rsidR="008E1DEB">
        <w:rPr>
          <w:lang w:val="en-GB"/>
        </w:rPr>
        <w:t>level of</w:t>
      </w:r>
      <w:r w:rsidR="009463C5">
        <w:rPr>
          <w:lang w:val="en-GB"/>
        </w:rPr>
        <w:t xml:space="preserve"> </w:t>
      </w:r>
      <w:r w:rsidR="001D5F29">
        <w:rPr>
          <w:lang w:val="en-GB"/>
        </w:rPr>
        <w:t xml:space="preserve">additional </w:t>
      </w:r>
      <w:r w:rsidR="003F5ADA">
        <w:rPr>
          <w:lang w:val="en-GB"/>
        </w:rPr>
        <w:t xml:space="preserve">unpaid SG </w:t>
      </w:r>
      <w:r w:rsidR="002046F2">
        <w:rPr>
          <w:lang w:val="en-GB"/>
        </w:rPr>
        <w:t xml:space="preserve">which could be detected and recovered, and uncertainties </w:t>
      </w:r>
      <w:r w:rsidR="00EE172A">
        <w:rPr>
          <w:lang w:val="en-GB"/>
        </w:rPr>
        <w:t>around the behavioural impact on employers</w:t>
      </w:r>
      <w:r w:rsidR="0017591F">
        <w:rPr>
          <w:lang w:val="en-GB"/>
        </w:rPr>
        <w:t xml:space="preserve">. To the extent </w:t>
      </w:r>
      <w:r w:rsidR="00341E25">
        <w:rPr>
          <w:lang w:val="en-GB"/>
        </w:rPr>
        <w:t xml:space="preserve">that this option reduces the unpaid SG gap, the amount </w:t>
      </w:r>
      <w:r w:rsidR="00A47FA5">
        <w:rPr>
          <w:lang w:val="en-GB"/>
        </w:rPr>
        <w:t xml:space="preserve">of </w:t>
      </w:r>
      <w:r w:rsidR="000301A8">
        <w:rPr>
          <w:lang w:val="en-GB"/>
        </w:rPr>
        <w:t xml:space="preserve">SG </w:t>
      </w:r>
      <w:r w:rsidR="008E7F7E">
        <w:rPr>
          <w:lang w:val="en-GB"/>
        </w:rPr>
        <w:t>which would</w:t>
      </w:r>
      <w:r w:rsidR="00446258">
        <w:rPr>
          <w:lang w:val="en-GB"/>
        </w:rPr>
        <w:t xml:space="preserve"> be paid to employees that would</w:t>
      </w:r>
      <w:r w:rsidR="008E7F7E">
        <w:rPr>
          <w:lang w:val="en-GB"/>
        </w:rPr>
        <w:t xml:space="preserve"> have otherwise gone unpaid </w:t>
      </w:r>
      <w:r w:rsidR="0067194D">
        <w:rPr>
          <w:lang w:val="en-GB"/>
        </w:rPr>
        <w:t xml:space="preserve">under </w:t>
      </w:r>
      <w:r w:rsidR="00E53590">
        <w:rPr>
          <w:lang w:val="en-GB"/>
        </w:rPr>
        <w:t>4</w:t>
      </w:r>
      <w:r w:rsidR="00C91BDD">
        <w:rPr>
          <w:lang w:val="en-GB"/>
        </w:rPr>
        <w:t xml:space="preserve"> potential</w:t>
      </w:r>
      <w:r w:rsidR="00E53590">
        <w:rPr>
          <w:lang w:val="en-GB"/>
        </w:rPr>
        <w:t xml:space="preserve"> </w:t>
      </w:r>
      <w:r w:rsidR="0057548B">
        <w:rPr>
          <w:lang w:val="en-GB"/>
        </w:rPr>
        <w:t xml:space="preserve">scenarios </w:t>
      </w:r>
      <w:r w:rsidR="008E7F7E">
        <w:rPr>
          <w:lang w:val="en-GB"/>
        </w:rPr>
        <w:t>i</w:t>
      </w:r>
      <w:r w:rsidR="005660C3">
        <w:rPr>
          <w:lang w:val="en-GB"/>
        </w:rPr>
        <w:t>s</w:t>
      </w:r>
      <w:r w:rsidR="008E7F7E">
        <w:rPr>
          <w:lang w:val="en-GB"/>
        </w:rPr>
        <w:t xml:space="preserve"> given by </w:t>
      </w:r>
      <w:r w:rsidR="00373740">
        <w:rPr>
          <w:lang w:val="en-GB"/>
        </w:rPr>
        <w:fldChar w:fldCharType="begin"/>
      </w:r>
      <w:r w:rsidR="00373740">
        <w:rPr>
          <w:lang w:val="en-GB"/>
        </w:rPr>
        <w:instrText xml:space="preserve"> REF _Ref130507614 \h </w:instrText>
      </w:r>
      <w:r w:rsidR="00A531D4">
        <w:rPr>
          <w:lang w:val="en-GB"/>
        </w:rPr>
        <w:instrText xml:space="preserve"> \* MERGEFORMAT </w:instrText>
      </w:r>
      <w:r w:rsidR="00373740">
        <w:rPr>
          <w:lang w:val="en-GB"/>
        </w:rPr>
      </w:r>
      <w:r w:rsidR="00373740">
        <w:rPr>
          <w:lang w:val="en-GB"/>
        </w:rPr>
        <w:fldChar w:fldCharType="separate"/>
      </w:r>
    </w:p>
    <w:p w14:paraId="57567F94" w14:textId="7DC72E21" w:rsidR="00C12D48" w:rsidRDefault="005A3A72">
      <w:pPr>
        <w:rPr>
          <w:rFonts w:asciiTheme="majorHAnsi" w:hAnsiTheme="majorHAnsi"/>
          <w:b/>
          <w:iCs/>
          <w:color w:val="014463" w:themeColor="text2"/>
          <w:szCs w:val="18"/>
        </w:rPr>
      </w:pPr>
      <w:r w:rsidRPr="004366AE">
        <w:t xml:space="preserve">Table </w:t>
      </w:r>
      <w:r w:rsidR="00373740">
        <w:rPr>
          <w:lang w:val="en-GB"/>
        </w:rPr>
        <w:fldChar w:fldCharType="end"/>
      </w:r>
      <w:r w:rsidR="004146BF">
        <w:rPr>
          <w:lang w:val="en-GB"/>
        </w:rPr>
        <w:t>2</w:t>
      </w:r>
      <w:r w:rsidR="00373740">
        <w:rPr>
          <w:lang w:val="en-GB"/>
        </w:rPr>
        <w:t xml:space="preserve"> </w:t>
      </w:r>
      <w:r w:rsidR="008E7F7E">
        <w:rPr>
          <w:lang w:val="en-GB"/>
        </w:rPr>
        <w:t xml:space="preserve">below. </w:t>
      </w:r>
      <w:bookmarkStart w:id="42" w:name="_Ref130507614"/>
    </w:p>
    <w:p w14:paraId="6F5E0CB9" w14:textId="4C048D10" w:rsidR="00A47FA5" w:rsidRPr="00A47FA5" w:rsidRDefault="00A47FA5" w:rsidP="00A47FA5">
      <w:pPr>
        <w:pStyle w:val="Caption"/>
      </w:pPr>
      <w:r w:rsidRPr="004366AE">
        <w:t xml:space="preserve">Table </w:t>
      </w:r>
      <w:bookmarkEnd w:id="42"/>
      <w:r w:rsidR="004146BF">
        <w:t>2</w:t>
      </w:r>
      <w:r w:rsidRPr="004366AE">
        <w:t xml:space="preserve">. </w:t>
      </w:r>
      <w:r w:rsidR="00F33D25">
        <w:t>Scenarios for i</w:t>
      </w:r>
      <w:r w:rsidR="003F015C">
        <w:t xml:space="preserve">mprovements in the SG gap </w:t>
      </w:r>
      <w:r w:rsidR="00EC3BB2">
        <w:t>($</w:t>
      </w:r>
      <w:r w:rsidR="00C91BDD">
        <w:t xml:space="preserve"> </w:t>
      </w:r>
      <w:r w:rsidR="00EC3BB2">
        <w:t>million)</w:t>
      </w:r>
      <w:r w:rsidR="00B72361">
        <w:rPr>
          <w:rStyle w:val="FootnoteReference"/>
        </w:rPr>
        <w:footnoteReference w:id="32"/>
      </w:r>
    </w:p>
    <w:tbl>
      <w:tblPr>
        <w:tblStyle w:val="PMCDefaultTableStyle"/>
        <w:tblW w:w="5052" w:type="dxa"/>
        <w:jc w:val="center"/>
        <w:tblLook w:val="04A0" w:firstRow="1" w:lastRow="0" w:firstColumn="1" w:lastColumn="0" w:noHBand="0" w:noVBand="1"/>
      </w:tblPr>
      <w:tblGrid>
        <w:gridCol w:w="1961"/>
        <w:gridCol w:w="1294"/>
        <w:gridCol w:w="1797"/>
      </w:tblGrid>
      <w:tr w:rsidR="007B0742" w14:paraId="17D7EEBE" w14:textId="77777777" w:rsidTr="00946C3B">
        <w:trPr>
          <w:cnfStyle w:val="100000000000" w:firstRow="1" w:lastRow="0" w:firstColumn="0" w:lastColumn="0" w:oddVBand="0" w:evenVBand="0" w:oddHBand="0" w:evenHBand="0" w:firstRowFirstColumn="0" w:firstRowLastColumn="0" w:lastRowFirstColumn="0" w:lastRowLastColumn="0"/>
          <w:trHeight w:val="180"/>
          <w:jc w:val="center"/>
        </w:trPr>
        <w:tc>
          <w:tcPr>
            <w:tcW w:w="1961" w:type="dxa"/>
          </w:tcPr>
          <w:p w14:paraId="77A4AFD7" w14:textId="3F1D8AB4" w:rsidR="007B0742" w:rsidRPr="00787701" w:rsidRDefault="007B0742" w:rsidP="00991686">
            <w:pPr>
              <w:pStyle w:val="BodyText"/>
              <w:rPr>
                <w:rFonts w:asciiTheme="minorHAnsi" w:hAnsiTheme="minorHAnsi" w:cstheme="minorHAnsi"/>
                <w:sz w:val="18"/>
                <w:szCs w:val="16"/>
              </w:rPr>
            </w:pPr>
            <w:r>
              <w:rPr>
                <w:rFonts w:asciiTheme="minorHAnsi" w:hAnsiTheme="minorHAnsi" w:cstheme="minorHAnsi"/>
                <w:sz w:val="18"/>
                <w:szCs w:val="16"/>
              </w:rPr>
              <w:t>SG impact scenario</w:t>
            </w:r>
          </w:p>
        </w:tc>
        <w:tc>
          <w:tcPr>
            <w:tcW w:w="1294" w:type="dxa"/>
          </w:tcPr>
          <w:p w14:paraId="0DBE0250" w14:textId="77777777" w:rsidR="007B0742" w:rsidRPr="00787701" w:rsidRDefault="007B0742" w:rsidP="00991686">
            <w:pPr>
              <w:pStyle w:val="BodyText"/>
              <w:rPr>
                <w:rFonts w:cstheme="minorHAnsi"/>
                <w:b w:val="0"/>
                <w:sz w:val="18"/>
                <w:szCs w:val="16"/>
              </w:rPr>
            </w:pPr>
            <w:r w:rsidRPr="00787701">
              <w:rPr>
                <w:rFonts w:asciiTheme="minorHAnsi" w:hAnsiTheme="minorHAnsi" w:cstheme="minorHAnsi"/>
                <w:sz w:val="18"/>
                <w:szCs w:val="16"/>
              </w:rPr>
              <w:t xml:space="preserve">Gross </w:t>
            </w:r>
            <w:r>
              <w:rPr>
                <w:rFonts w:asciiTheme="minorHAnsi" w:hAnsiTheme="minorHAnsi" w:cstheme="minorHAnsi"/>
                <w:sz w:val="18"/>
                <w:szCs w:val="16"/>
              </w:rPr>
              <w:t xml:space="preserve">SG </w:t>
            </w:r>
            <w:r w:rsidRPr="00787701">
              <w:rPr>
                <w:rFonts w:asciiTheme="minorHAnsi" w:hAnsiTheme="minorHAnsi" w:cstheme="minorHAnsi"/>
                <w:sz w:val="18"/>
                <w:szCs w:val="16"/>
              </w:rPr>
              <w:t xml:space="preserve">gap </w:t>
            </w:r>
          </w:p>
        </w:tc>
        <w:tc>
          <w:tcPr>
            <w:tcW w:w="1797" w:type="dxa"/>
          </w:tcPr>
          <w:p w14:paraId="03FAC9F7" w14:textId="7192D3FD" w:rsidR="007B0742" w:rsidRPr="00787701" w:rsidRDefault="007B0742" w:rsidP="00991686">
            <w:pPr>
              <w:pStyle w:val="BodyText"/>
              <w:rPr>
                <w:rFonts w:asciiTheme="minorHAnsi" w:hAnsiTheme="minorHAnsi" w:cstheme="minorHAnsi"/>
                <w:sz w:val="18"/>
                <w:szCs w:val="16"/>
              </w:rPr>
            </w:pPr>
            <w:r>
              <w:rPr>
                <w:rFonts w:asciiTheme="minorHAnsi" w:hAnsiTheme="minorHAnsi" w:cstheme="minorHAnsi"/>
                <w:sz w:val="18"/>
                <w:szCs w:val="16"/>
              </w:rPr>
              <w:t>Increase in SG paid</w:t>
            </w:r>
          </w:p>
        </w:tc>
      </w:tr>
      <w:tr w:rsidR="007B0742" w14:paraId="7611F566" w14:textId="77777777" w:rsidTr="00946C3B">
        <w:trPr>
          <w:cnfStyle w:val="000000100000" w:firstRow="0" w:lastRow="0" w:firstColumn="0" w:lastColumn="0" w:oddVBand="0" w:evenVBand="0" w:oddHBand="1" w:evenHBand="0" w:firstRowFirstColumn="0" w:firstRowLastColumn="0" w:lastRowFirstColumn="0" w:lastRowLastColumn="0"/>
          <w:trHeight w:val="180"/>
          <w:jc w:val="center"/>
        </w:trPr>
        <w:tc>
          <w:tcPr>
            <w:tcW w:w="1961" w:type="dxa"/>
            <w:vAlign w:val="bottom"/>
          </w:tcPr>
          <w:p w14:paraId="51DBB180" w14:textId="624BA744" w:rsidR="007B0742" w:rsidRPr="00787701" w:rsidRDefault="007B0742" w:rsidP="00AA2053">
            <w:pPr>
              <w:pStyle w:val="BodyText"/>
              <w:rPr>
                <w:rFonts w:cstheme="minorHAnsi"/>
                <w:bCs/>
                <w:sz w:val="18"/>
                <w:szCs w:val="16"/>
              </w:rPr>
            </w:pPr>
            <w:r w:rsidRPr="00787701">
              <w:rPr>
                <w:rFonts w:cstheme="minorHAnsi"/>
                <w:bCs/>
                <w:sz w:val="18"/>
                <w:szCs w:val="16"/>
              </w:rPr>
              <w:t xml:space="preserve">Status </w:t>
            </w:r>
            <w:r>
              <w:rPr>
                <w:rFonts w:cstheme="minorHAnsi"/>
                <w:bCs/>
                <w:sz w:val="18"/>
                <w:szCs w:val="16"/>
              </w:rPr>
              <w:t>q</w:t>
            </w:r>
            <w:r w:rsidRPr="00787701">
              <w:rPr>
                <w:rFonts w:cstheme="minorHAnsi"/>
                <w:bCs/>
                <w:sz w:val="18"/>
                <w:szCs w:val="16"/>
              </w:rPr>
              <w:t>uo</w:t>
            </w:r>
            <w:r>
              <w:rPr>
                <w:rFonts w:cstheme="minorHAnsi"/>
                <w:bCs/>
                <w:sz w:val="18"/>
                <w:szCs w:val="16"/>
              </w:rPr>
              <w:t xml:space="preserve"> (</w:t>
            </w:r>
            <w:r w:rsidRPr="00787701">
              <w:rPr>
                <w:rFonts w:cstheme="minorHAnsi"/>
                <w:sz w:val="18"/>
                <w:szCs w:val="16"/>
              </w:rPr>
              <w:t>2019-20</w:t>
            </w:r>
            <w:r>
              <w:rPr>
                <w:rFonts w:cstheme="minorHAnsi"/>
                <w:sz w:val="18"/>
                <w:szCs w:val="16"/>
              </w:rPr>
              <w:t>)</w:t>
            </w:r>
          </w:p>
        </w:tc>
        <w:tc>
          <w:tcPr>
            <w:tcW w:w="1294" w:type="dxa"/>
            <w:vAlign w:val="bottom"/>
          </w:tcPr>
          <w:p w14:paraId="22EE8864" w14:textId="61742117" w:rsidR="007B0742" w:rsidRPr="00787701" w:rsidRDefault="007B0742" w:rsidP="00946C3B">
            <w:pPr>
              <w:pStyle w:val="BodyText"/>
              <w:jc w:val="right"/>
              <w:rPr>
                <w:rFonts w:cstheme="minorHAnsi"/>
                <w:bCs/>
                <w:sz w:val="18"/>
                <w:szCs w:val="16"/>
              </w:rPr>
            </w:pPr>
            <w:r w:rsidRPr="006F0F78">
              <w:rPr>
                <w:rFonts w:cstheme="minorHAnsi"/>
                <w:sz w:val="18"/>
                <w:szCs w:val="16"/>
              </w:rPr>
              <w:t>4,045</w:t>
            </w:r>
          </w:p>
        </w:tc>
        <w:tc>
          <w:tcPr>
            <w:tcW w:w="1797" w:type="dxa"/>
            <w:vAlign w:val="bottom"/>
          </w:tcPr>
          <w:p w14:paraId="33F31DE0" w14:textId="693CB95A" w:rsidR="007B0742" w:rsidRPr="00787701" w:rsidRDefault="007B0742" w:rsidP="00946C3B">
            <w:pPr>
              <w:pStyle w:val="BodyText"/>
              <w:jc w:val="right"/>
              <w:rPr>
                <w:rFonts w:cstheme="minorHAnsi"/>
                <w:bCs/>
                <w:sz w:val="18"/>
                <w:szCs w:val="16"/>
              </w:rPr>
            </w:pPr>
            <w:r w:rsidRPr="00787701">
              <w:rPr>
                <w:rFonts w:cstheme="minorHAnsi"/>
                <w:bCs/>
                <w:sz w:val="18"/>
                <w:szCs w:val="16"/>
              </w:rPr>
              <w:t>nil</w:t>
            </w:r>
          </w:p>
        </w:tc>
      </w:tr>
      <w:tr w:rsidR="009C67D4" w14:paraId="34898E8A" w14:textId="77777777" w:rsidTr="00946C3B">
        <w:trPr>
          <w:cnfStyle w:val="000000010000" w:firstRow="0" w:lastRow="0" w:firstColumn="0" w:lastColumn="0" w:oddVBand="0" w:evenVBand="0" w:oddHBand="0" w:evenHBand="1" w:firstRowFirstColumn="0" w:firstRowLastColumn="0" w:lastRowFirstColumn="0" w:lastRowLastColumn="0"/>
          <w:trHeight w:val="180"/>
          <w:jc w:val="center"/>
        </w:trPr>
        <w:tc>
          <w:tcPr>
            <w:tcW w:w="1961" w:type="dxa"/>
            <w:vAlign w:val="bottom"/>
          </w:tcPr>
          <w:p w14:paraId="3B136B6F" w14:textId="77777777" w:rsidR="007B0742" w:rsidRPr="00787701" w:rsidRDefault="007B0742" w:rsidP="00AA2053">
            <w:pPr>
              <w:pStyle w:val="BodyText"/>
              <w:rPr>
                <w:rFonts w:cstheme="minorHAnsi"/>
                <w:bCs/>
                <w:sz w:val="18"/>
                <w:szCs w:val="16"/>
              </w:rPr>
            </w:pPr>
            <w:r>
              <w:rPr>
                <w:rFonts w:cstheme="minorHAnsi"/>
                <w:bCs/>
                <w:sz w:val="18"/>
                <w:szCs w:val="16"/>
              </w:rPr>
              <w:t>2</w:t>
            </w:r>
            <w:r w:rsidRPr="00787701">
              <w:rPr>
                <w:rFonts w:cstheme="minorHAnsi"/>
                <w:bCs/>
                <w:sz w:val="18"/>
                <w:szCs w:val="16"/>
              </w:rPr>
              <w:t xml:space="preserve"> per cent </w:t>
            </w:r>
            <w:r>
              <w:rPr>
                <w:rFonts w:cstheme="minorHAnsi"/>
                <w:sz w:val="18"/>
                <w:szCs w:val="16"/>
              </w:rPr>
              <w:t>reduction</w:t>
            </w:r>
          </w:p>
        </w:tc>
        <w:tc>
          <w:tcPr>
            <w:tcW w:w="1294" w:type="dxa"/>
            <w:vAlign w:val="bottom"/>
          </w:tcPr>
          <w:p w14:paraId="52273D0E" w14:textId="4B3BB218" w:rsidR="007B0742" w:rsidRPr="00787701" w:rsidRDefault="007B0742" w:rsidP="00946C3B">
            <w:pPr>
              <w:pStyle w:val="BodyText"/>
              <w:jc w:val="right"/>
              <w:rPr>
                <w:rFonts w:cstheme="minorHAnsi"/>
                <w:bCs/>
                <w:sz w:val="18"/>
                <w:szCs w:val="16"/>
              </w:rPr>
            </w:pPr>
            <w:r>
              <w:rPr>
                <w:rFonts w:cstheme="minorHAnsi"/>
                <w:sz w:val="18"/>
                <w:szCs w:val="16"/>
              </w:rPr>
              <w:t>3,964</w:t>
            </w:r>
          </w:p>
        </w:tc>
        <w:tc>
          <w:tcPr>
            <w:tcW w:w="1797" w:type="dxa"/>
            <w:vAlign w:val="bottom"/>
          </w:tcPr>
          <w:p w14:paraId="465E243E" w14:textId="2F8717BA" w:rsidR="007B0742" w:rsidRPr="006F0F78" w:rsidRDefault="007B0742" w:rsidP="00946C3B">
            <w:pPr>
              <w:pStyle w:val="BodyText"/>
              <w:jc w:val="right"/>
              <w:rPr>
                <w:rFonts w:cstheme="minorHAnsi"/>
                <w:sz w:val="18"/>
                <w:szCs w:val="16"/>
              </w:rPr>
            </w:pPr>
            <w:r>
              <w:rPr>
                <w:rFonts w:cstheme="minorHAnsi"/>
                <w:bCs/>
                <w:sz w:val="18"/>
                <w:szCs w:val="16"/>
              </w:rPr>
              <w:t>81</w:t>
            </w:r>
          </w:p>
        </w:tc>
      </w:tr>
      <w:tr w:rsidR="007B0742" w14:paraId="6AF56136" w14:textId="77777777" w:rsidTr="00946C3B">
        <w:trPr>
          <w:cnfStyle w:val="000000100000" w:firstRow="0" w:lastRow="0" w:firstColumn="0" w:lastColumn="0" w:oddVBand="0" w:evenVBand="0" w:oddHBand="1" w:evenHBand="0" w:firstRowFirstColumn="0" w:firstRowLastColumn="0" w:lastRowFirstColumn="0" w:lastRowLastColumn="0"/>
          <w:trHeight w:val="180"/>
          <w:jc w:val="center"/>
        </w:trPr>
        <w:tc>
          <w:tcPr>
            <w:tcW w:w="1961" w:type="dxa"/>
            <w:vAlign w:val="bottom"/>
          </w:tcPr>
          <w:p w14:paraId="2A003DE5" w14:textId="5415A529" w:rsidR="007B0742" w:rsidRPr="00787701" w:rsidRDefault="007B0742" w:rsidP="00AA2053">
            <w:pPr>
              <w:pStyle w:val="BodyText"/>
              <w:rPr>
                <w:rFonts w:cstheme="minorHAnsi"/>
                <w:bCs/>
                <w:sz w:val="18"/>
                <w:szCs w:val="16"/>
              </w:rPr>
            </w:pPr>
            <w:r w:rsidRPr="00787701">
              <w:rPr>
                <w:rFonts w:cstheme="minorHAnsi"/>
                <w:bCs/>
                <w:sz w:val="18"/>
                <w:szCs w:val="16"/>
              </w:rPr>
              <w:t xml:space="preserve">5 per cent </w:t>
            </w:r>
            <w:r>
              <w:rPr>
                <w:rFonts w:cstheme="minorHAnsi"/>
                <w:sz w:val="18"/>
                <w:szCs w:val="16"/>
              </w:rPr>
              <w:t>reduction</w:t>
            </w:r>
            <w:r w:rsidRPr="00991686">
              <w:rPr>
                <w:rFonts w:cstheme="minorHAnsi"/>
                <w:sz w:val="18"/>
                <w:szCs w:val="16"/>
              </w:rPr>
              <w:t xml:space="preserve"> </w:t>
            </w:r>
          </w:p>
        </w:tc>
        <w:tc>
          <w:tcPr>
            <w:tcW w:w="1294" w:type="dxa"/>
            <w:vAlign w:val="bottom"/>
          </w:tcPr>
          <w:p w14:paraId="2B6A4556" w14:textId="60A0ADCA" w:rsidR="007B0742" w:rsidRPr="00787701" w:rsidRDefault="007B0742" w:rsidP="00946C3B">
            <w:pPr>
              <w:pStyle w:val="BodyText"/>
              <w:jc w:val="right"/>
              <w:rPr>
                <w:rFonts w:cstheme="minorHAnsi"/>
                <w:bCs/>
                <w:sz w:val="18"/>
                <w:szCs w:val="16"/>
              </w:rPr>
            </w:pPr>
            <w:r w:rsidRPr="006F0F78">
              <w:rPr>
                <w:rFonts w:cstheme="minorHAnsi"/>
                <w:sz w:val="18"/>
                <w:szCs w:val="16"/>
              </w:rPr>
              <w:t>3,</w:t>
            </w:r>
            <w:r w:rsidRPr="006F0F78">
              <w:rPr>
                <w:rFonts w:cstheme="minorHAnsi"/>
                <w:bCs/>
                <w:sz w:val="18"/>
                <w:szCs w:val="16"/>
              </w:rPr>
              <w:t>84</w:t>
            </w:r>
            <w:r>
              <w:rPr>
                <w:rFonts w:cstheme="minorHAnsi"/>
                <w:bCs/>
                <w:sz w:val="18"/>
                <w:szCs w:val="16"/>
              </w:rPr>
              <w:t>3</w:t>
            </w:r>
          </w:p>
        </w:tc>
        <w:tc>
          <w:tcPr>
            <w:tcW w:w="1797" w:type="dxa"/>
            <w:vAlign w:val="bottom"/>
          </w:tcPr>
          <w:p w14:paraId="26F2B61B" w14:textId="03A270B7" w:rsidR="007B0742" w:rsidRPr="00787701" w:rsidRDefault="007B0742" w:rsidP="00946C3B">
            <w:pPr>
              <w:pStyle w:val="BodyText"/>
              <w:jc w:val="right"/>
              <w:rPr>
                <w:rFonts w:cstheme="minorHAnsi"/>
                <w:bCs/>
                <w:sz w:val="18"/>
                <w:szCs w:val="16"/>
              </w:rPr>
            </w:pPr>
            <w:r w:rsidRPr="00787701">
              <w:rPr>
                <w:rFonts w:cstheme="minorHAnsi"/>
                <w:bCs/>
                <w:sz w:val="18"/>
                <w:szCs w:val="16"/>
              </w:rPr>
              <w:t>202</w:t>
            </w:r>
          </w:p>
        </w:tc>
      </w:tr>
      <w:tr w:rsidR="007B0742" w14:paraId="3A21D0C0" w14:textId="77777777" w:rsidTr="00946C3B">
        <w:trPr>
          <w:cnfStyle w:val="000000010000" w:firstRow="0" w:lastRow="0" w:firstColumn="0" w:lastColumn="0" w:oddVBand="0" w:evenVBand="0" w:oddHBand="0" w:evenHBand="1" w:firstRowFirstColumn="0" w:firstRowLastColumn="0" w:lastRowFirstColumn="0" w:lastRowLastColumn="0"/>
          <w:trHeight w:val="185"/>
          <w:jc w:val="center"/>
        </w:trPr>
        <w:tc>
          <w:tcPr>
            <w:tcW w:w="1961" w:type="dxa"/>
            <w:vAlign w:val="bottom"/>
          </w:tcPr>
          <w:p w14:paraId="32DA0E56" w14:textId="41133B7D" w:rsidR="007B0742" w:rsidRPr="00787701" w:rsidRDefault="007B0742" w:rsidP="00AA2053">
            <w:pPr>
              <w:pStyle w:val="BodyText"/>
              <w:rPr>
                <w:rFonts w:cstheme="minorHAnsi"/>
                <w:bCs/>
                <w:sz w:val="18"/>
                <w:szCs w:val="16"/>
              </w:rPr>
            </w:pPr>
            <w:r w:rsidRPr="00787701">
              <w:rPr>
                <w:rFonts w:cstheme="minorHAnsi"/>
                <w:bCs/>
                <w:sz w:val="18"/>
                <w:szCs w:val="16"/>
              </w:rPr>
              <w:t xml:space="preserve">10 per cent </w:t>
            </w:r>
            <w:r>
              <w:rPr>
                <w:rFonts w:cstheme="minorHAnsi"/>
                <w:sz w:val="18"/>
                <w:szCs w:val="16"/>
              </w:rPr>
              <w:t>reduction</w:t>
            </w:r>
          </w:p>
        </w:tc>
        <w:tc>
          <w:tcPr>
            <w:tcW w:w="1294" w:type="dxa"/>
            <w:vAlign w:val="bottom"/>
          </w:tcPr>
          <w:p w14:paraId="7264CE35" w14:textId="74D1A2DE" w:rsidR="007B0742" w:rsidRPr="00787701" w:rsidRDefault="007B0742" w:rsidP="00946C3B">
            <w:pPr>
              <w:pStyle w:val="BodyText"/>
              <w:jc w:val="right"/>
              <w:rPr>
                <w:rFonts w:cstheme="minorHAnsi"/>
                <w:bCs/>
                <w:sz w:val="18"/>
                <w:szCs w:val="16"/>
              </w:rPr>
            </w:pPr>
            <w:r w:rsidRPr="006F0F78">
              <w:rPr>
                <w:rFonts w:cstheme="minorHAnsi"/>
                <w:sz w:val="18"/>
                <w:szCs w:val="16"/>
              </w:rPr>
              <w:t>3,</w:t>
            </w:r>
            <w:r w:rsidRPr="006F0F78">
              <w:rPr>
                <w:rFonts w:cstheme="minorHAnsi"/>
                <w:bCs/>
                <w:sz w:val="18"/>
                <w:szCs w:val="16"/>
              </w:rPr>
              <w:t>64</w:t>
            </w:r>
            <w:r>
              <w:rPr>
                <w:rFonts w:cstheme="minorHAnsi"/>
                <w:bCs/>
                <w:sz w:val="18"/>
                <w:szCs w:val="16"/>
              </w:rPr>
              <w:t>1</w:t>
            </w:r>
          </w:p>
        </w:tc>
        <w:tc>
          <w:tcPr>
            <w:tcW w:w="1797" w:type="dxa"/>
            <w:vAlign w:val="bottom"/>
          </w:tcPr>
          <w:p w14:paraId="2047C6B6" w14:textId="09679E52" w:rsidR="007B0742" w:rsidRPr="00787701" w:rsidRDefault="007B0742" w:rsidP="00946C3B">
            <w:pPr>
              <w:pStyle w:val="BodyText"/>
              <w:jc w:val="right"/>
              <w:rPr>
                <w:rFonts w:cstheme="minorHAnsi"/>
                <w:bCs/>
                <w:sz w:val="18"/>
                <w:szCs w:val="16"/>
              </w:rPr>
            </w:pPr>
            <w:r w:rsidRPr="00787701">
              <w:rPr>
                <w:rFonts w:cstheme="minorHAnsi"/>
                <w:bCs/>
                <w:sz w:val="18"/>
                <w:szCs w:val="16"/>
              </w:rPr>
              <w:t>405</w:t>
            </w:r>
          </w:p>
        </w:tc>
      </w:tr>
      <w:tr w:rsidR="007B0742" w14:paraId="022CF049" w14:textId="77777777" w:rsidTr="00946C3B">
        <w:trPr>
          <w:cnfStyle w:val="000000100000" w:firstRow="0" w:lastRow="0" w:firstColumn="0" w:lastColumn="0" w:oddVBand="0" w:evenVBand="0" w:oddHBand="1" w:evenHBand="0" w:firstRowFirstColumn="0" w:firstRowLastColumn="0" w:lastRowFirstColumn="0" w:lastRowLastColumn="0"/>
          <w:trHeight w:val="180"/>
          <w:jc w:val="center"/>
        </w:trPr>
        <w:tc>
          <w:tcPr>
            <w:tcW w:w="1961" w:type="dxa"/>
            <w:vAlign w:val="bottom"/>
          </w:tcPr>
          <w:p w14:paraId="33921C8D" w14:textId="0967B3D9" w:rsidR="007B0742" w:rsidRPr="00787701" w:rsidRDefault="007B0742" w:rsidP="00427EE0">
            <w:pPr>
              <w:pStyle w:val="BodyText"/>
              <w:rPr>
                <w:rFonts w:cstheme="minorHAnsi"/>
                <w:bCs/>
                <w:sz w:val="18"/>
                <w:szCs w:val="16"/>
              </w:rPr>
            </w:pPr>
            <w:r>
              <w:rPr>
                <w:rFonts w:cstheme="minorHAnsi"/>
                <w:bCs/>
                <w:sz w:val="18"/>
                <w:szCs w:val="16"/>
              </w:rPr>
              <w:t xml:space="preserve">15 per cent </w:t>
            </w:r>
            <w:r>
              <w:rPr>
                <w:rFonts w:cstheme="minorHAnsi"/>
                <w:sz w:val="18"/>
                <w:szCs w:val="16"/>
              </w:rPr>
              <w:t>reduction</w:t>
            </w:r>
          </w:p>
        </w:tc>
        <w:tc>
          <w:tcPr>
            <w:tcW w:w="1294" w:type="dxa"/>
            <w:vAlign w:val="bottom"/>
          </w:tcPr>
          <w:p w14:paraId="075E2D0F" w14:textId="66460B8F" w:rsidR="007B0742" w:rsidRPr="00787701" w:rsidRDefault="007B0742" w:rsidP="00946C3B">
            <w:pPr>
              <w:pStyle w:val="BodyText"/>
              <w:jc w:val="right"/>
              <w:rPr>
                <w:rFonts w:cstheme="minorHAnsi"/>
                <w:bCs/>
                <w:sz w:val="18"/>
                <w:szCs w:val="16"/>
              </w:rPr>
            </w:pPr>
            <w:r w:rsidRPr="00427EE0">
              <w:rPr>
                <w:rFonts w:cstheme="minorHAnsi"/>
                <w:bCs/>
                <w:sz w:val="18"/>
                <w:szCs w:val="16"/>
              </w:rPr>
              <w:t>3,438</w:t>
            </w:r>
          </w:p>
        </w:tc>
        <w:tc>
          <w:tcPr>
            <w:tcW w:w="1797" w:type="dxa"/>
            <w:vAlign w:val="center"/>
          </w:tcPr>
          <w:p w14:paraId="42F35823" w14:textId="4A626A36" w:rsidR="007B0742" w:rsidRPr="00787701" w:rsidRDefault="007B0742" w:rsidP="00946C3B">
            <w:pPr>
              <w:pStyle w:val="BodyText"/>
              <w:jc w:val="right"/>
              <w:rPr>
                <w:rFonts w:cstheme="minorHAnsi"/>
                <w:bCs/>
                <w:sz w:val="18"/>
                <w:szCs w:val="16"/>
              </w:rPr>
            </w:pPr>
            <w:r w:rsidRPr="00427EE0">
              <w:rPr>
                <w:rFonts w:cstheme="minorHAnsi"/>
                <w:bCs/>
                <w:sz w:val="18"/>
                <w:szCs w:val="16"/>
              </w:rPr>
              <w:t>607</w:t>
            </w:r>
          </w:p>
        </w:tc>
      </w:tr>
    </w:tbl>
    <w:p w14:paraId="292CC1BD" w14:textId="77777777" w:rsidR="002C5247" w:rsidRDefault="002C5247" w:rsidP="002C5247">
      <w:pPr>
        <w:pStyle w:val="BodyText"/>
        <w:rPr>
          <w:lang w:val="en-GB"/>
        </w:rPr>
      </w:pPr>
    </w:p>
    <w:p w14:paraId="1103BD3C" w14:textId="158661FB" w:rsidR="00B36D96" w:rsidRDefault="009A4259" w:rsidP="007E7CDF">
      <w:pPr>
        <w:pStyle w:val="BodyText"/>
      </w:pPr>
      <w:r>
        <w:rPr>
          <w:lang w:val="en-GB"/>
        </w:rPr>
        <w:t>As outlined in Section 1.1, t</w:t>
      </w:r>
      <w:r w:rsidRPr="007A43FB">
        <w:rPr>
          <w:lang w:val="en-GB"/>
        </w:rPr>
        <w:t xml:space="preserve">he ATO </w:t>
      </w:r>
      <w:r>
        <w:rPr>
          <w:lang w:val="en-GB"/>
        </w:rPr>
        <w:t>finalised</w:t>
      </w:r>
      <w:r w:rsidRPr="007A43FB">
        <w:rPr>
          <w:lang w:val="en-GB"/>
        </w:rPr>
        <w:t xml:space="preserve"> 1</w:t>
      </w:r>
      <w:r>
        <w:rPr>
          <w:lang w:val="en-GB"/>
        </w:rPr>
        <w:t>7</w:t>
      </w:r>
      <w:r w:rsidRPr="007A43FB">
        <w:rPr>
          <w:lang w:val="en-GB"/>
        </w:rPr>
        <w:t>,</w:t>
      </w:r>
      <w:r>
        <w:rPr>
          <w:lang w:val="en-GB"/>
        </w:rPr>
        <w:t>3</w:t>
      </w:r>
      <w:r w:rsidRPr="007A43FB">
        <w:rPr>
          <w:lang w:val="en-GB"/>
        </w:rPr>
        <w:t xml:space="preserve">00 </w:t>
      </w:r>
      <w:r>
        <w:rPr>
          <w:lang w:val="en-GB"/>
        </w:rPr>
        <w:t>unpaid</w:t>
      </w:r>
      <w:r w:rsidRPr="007A43FB">
        <w:rPr>
          <w:lang w:val="en-GB"/>
        </w:rPr>
        <w:t xml:space="preserve"> </w:t>
      </w:r>
      <w:r>
        <w:rPr>
          <w:lang w:val="en-GB"/>
        </w:rPr>
        <w:t>SG cases</w:t>
      </w:r>
      <w:r w:rsidRPr="007A43FB">
        <w:rPr>
          <w:lang w:val="en-GB"/>
        </w:rPr>
        <w:t xml:space="preserve"> in 202</w:t>
      </w:r>
      <w:r>
        <w:rPr>
          <w:lang w:val="en-GB"/>
        </w:rPr>
        <w:t>1-22 resulting in $550 million in unpaid SG (SG charge liabilities) recovered by the ATO, an average of around $32,000 per case.</w:t>
      </w:r>
      <w:r w:rsidRPr="007A43FB">
        <w:rPr>
          <w:lang w:val="en-GB"/>
        </w:rPr>
        <w:t xml:space="preserve"> </w:t>
      </w:r>
      <w:r w:rsidR="000B29C4">
        <w:rPr>
          <w:lang w:val="en-GB"/>
        </w:rPr>
        <w:t xml:space="preserve">If the $27 million investment </w:t>
      </w:r>
      <w:r w:rsidR="00A510A6">
        <w:rPr>
          <w:lang w:val="en-GB"/>
        </w:rPr>
        <w:t>in Option 2 improved the number of finalised cases by 15 per cent</w:t>
      </w:r>
      <w:r w:rsidR="00F96CEE">
        <w:rPr>
          <w:lang w:val="en-GB"/>
        </w:rPr>
        <w:t>, a</w:t>
      </w:r>
      <w:r w:rsidR="00D02711">
        <w:rPr>
          <w:lang w:val="en-GB"/>
        </w:rPr>
        <w:t xml:space="preserve">ssuming </w:t>
      </w:r>
      <w:r w:rsidR="00484935">
        <w:rPr>
          <w:lang w:val="en-GB"/>
        </w:rPr>
        <w:t xml:space="preserve">each case returned $32,000 </w:t>
      </w:r>
      <w:r w:rsidR="000B29C4">
        <w:rPr>
          <w:lang w:val="en-GB"/>
        </w:rPr>
        <w:t>from the employer</w:t>
      </w:r>
      <w:r w:rsidR="003662F3">
        <w:rPr>
          <w:lang w:val="en-GB"/>
        </w:rPr>
        <w:t xml:space="preserve"> in each case</w:t>
      </w:r>
      <w:r w:rsidR="00484935">
        <w:rPr>
          <w:lang w:val="en-GB"/>
        </w:rPr>
        <w:t>,</w:t>
      </w:r>
      <w:r>
        <w:rPr>
          <w:lang w:val="en-GB"/>
        </w:rPr>
        <w:t xml:space="preserve"> this </w:t>
      </w:r>
      <w:r w:rsidR="00BA69B8">
        <w:rPr>
          <w:lang w:val="en-GB"/>
        </w:rPr>
        <w:t>c</w:t>
      </w:r>
      <w:r>
        <w:rPr>
          <w:lang w:val="en-GB"/>
        </w:rPr>
        <w:t xml:space="preserve">ould result in $81 million in additional </w:t>
      </w:r>
      <w:r w:rsidR="00484935">
        <w:rPr>
          <w:lang w:val="en-GB"/>
        </w:rPr>
        <w:t>SG</w:t>
      </w:r>
      <w:r>
        <w:rPr>
          <w:lang w:val="en-GB"/>
        </w:rPr>
        <w:t xml:space="preserve"> being </w:t>
      </w:r>
      <w:r w:rsidR="005A6E19">
        <w:rPr>
          <w:lang w:val="en-GB"/>
        </w:rPr>
        <w:t>paid each year</w:t>
      </w:r>
      <w:r>
        <w:rPr>
          <w:lang w:val="en-GB"/>
        </w:rPr>
        <w:t xml:space="preserve">. </w:t>
      </w:r>
      <w:r w:rsidR="00267786">
        <w:rPr>
          <w:lang w:val="en-GB"/>
        </w:rPr>
        <w:t xml:space="preserve">Using the most recent </w:t>
      </w:r>
      <w:r w:rsidR="00986FB9">
        <w:rPr>
          <w:lang w:val="en-GB"/>
        </w:rPr>
        <w:t xml:space="preserve">estimate for the gross </w:t>
      </w:r>
      <w:r w:rsidR="00267786">
        <w:rPr>
          <w:lang w:val="en-GB"/>
        </w:rPr>
        <w:t xml:space="preserve">SG gap published by the ATO for 2019-20, this </w:t>
      </w:r>
      <w:r>
        <w:rPr>
          <w:lang w:val="en-GB"/>
        </w:rPr>
        <w:t>is equivalent to</w:t>
      </w:r>
      <w:r w:rsidR="00267786">
        <w:rPr>
          <w:lang w:val="en-GB"/>
        </w:rPr>
        <w:t xml:space="preserve"> a </w:t>
      </w:r>
      <w:r w:rsidR="007439D9">
        <w:rPr>
          <w:lang w:val="en-GB"/>
        </w:rPr>
        <w:t>2</w:t>
      </w:r>
      <w:r w:rsidR="00267786">
        <w:rPr>
          <w:lang w:val="en-GB"/>
        </w:rPr>
        <w:t xml:space="preserve"> per cent reduction in </w:t>
      </w:r>
      <w:r w:rsidR="00CC4755">
        <w:rPr>
          <w:lang w:val="en-GB"/>
        </w:rPr>
        <w:t xml:space="preserve">the </w:t>
      </w:r>
      <w:r w:rsidR="00267786">
        <w:rPr>
          <w:lang w:val="en-GB"/>
        </w:rPr>
        <w:t>SG</w:t>
      </w:r>
      <w:r w:rsidR="00CC4755">
        <w:rPr>
          <w:lang w:val="en-GB"/>
        </w:rPr>
        <w:t xml:space="preserve"> gap</w:t>
      </w:r>
      <w:r w:rsidR="00267786">
        <w:rPr>
          <w:lang w:val="en-GB"/>
        </w:rPr>
        <w:t>.</w:t>
      </w:r>
      <w:r w:rsidR="0094263E">
        <w:rPr>
          <w:lang w:val="en-GB"/>
        </w:rPr>
        <w:t xml:space="preserve"> </w:t>
      </w:r>
    </w:p>
    <w:p w14:paraId="0B046CAF" w14:textId="402AF29B" w:rsidR="00071466" w:rsidRDefault="00071466" w:rsidP="003566C3">
      <w:pPr>
        <w:pStyle w:val="Heading4"/>
      </w:pPr>
      <w:r>
        <w:t>Employees</w:t>
      </w:r>
    </w:p>
    <w:p w14:paraId="52589587" w14:textId="5F69A9C1" w:rsidR="00071466" w:rsidRPr="00071466" w:rsidRDefault="00541C16" w:rsidP="007E7CDF">
      <w:pPr>
        <w:pStyle w:val="BodyText"/>
      </w:pPr>
      <w:r>
        <w:rPr>
          <w:lang w:val="en-GB"/>
        </w:rPr>
        <w:t xml:space="preserve">Any increase in the amount SG </w:t>
      </w:r>
      <w:r w:rsidR="00E91F06">
        <w:rPr>
          <w:lang w:val="en-GB"/>
        </w:rPr>
        <w:t xml:space="preserve">paid into employee superannuation accounts </w:t>
      </w:r>
      <w:r w:rsidR="005B5BE7">
        <w:rPr>
          <w:lang w:val="en-GB"/>
        </w:rPr>
        <w:t>because of</w:t>
      </w:r>
      <w:r w:rsidR="00E91F06">
        <w:rPr>
          <w:lang w:val="en-GB"/>
        </w:rPr>
        <w:t xml:space="preserve"> fewer instances of SG remaining unpaid</w:t>
      </w:r>
      <w:r w:rsidR="00071466">
        <w:rPr>
          <w:lang w:val="en-GB"/>
        </w:rPr>
        <w:t xml:space="preserve"> would in turn have compounding effects in an employee’s superannuation account, delivering higher super</w:t>
      </w:r>
      <w:r w:rsidR="00CB04AF">
        <w:rPr>
          <w:lang w:val="en-GB"/>
        </w:rPr>
        <w:t>annuation</w:t>
      </w:r>
      <w:r w:rsidR="00071466">
        <w:rPr>
          <w:lang w:val="en-GB"/>
        </w:rPr>
        <w:t xml:space="preserve"> balances.</w:t>
      </w:r>
    </w:p>
    <w:p w14:paraId="798DAEB6" w14:textId="2564119D" w:rsidR="003566C3" w:rsidRDefault="00B32AD7" w:rsidP="003566C3">
      <w:pPr>
        <w:pStyle w:val="Heading4"/>
      </w:pPr>
      <w:r w:rsidRPr="00AA05BB">
        <w:t>Employers</w:t>
      </w:r>
    </w:p>
    <w:p w14:paraId="6035002E" w14:textId="1A9E3E13" w:rsidR="0005278D" w:rsidRPr="0009680A" w:rsidRDefault="008635D1" w:rsidP="00A531D4">
      <w:r>
        <w:t>Employer c</w:t>
      </w:r>
      <w:r w:rsidR="003566C3">
        <w:t>ompliance</w:t>
      </w:r>
      <w:r>
        <w:t xml:space="preserve"> with SG obligations</w:t>
      </w:r>
      <w:r w:rsidR="003566C3">
        <w:t xml:space="preserve"> is expected to increase under this option. </w:t>
      </w:r>
      <w:r w:rsidR="0070414B">
        <w:t>As e</w:t>
      </w:r>
      <w:r w:rsidR="003566C3">
        <w:t>mployers</w:t>
      </w:r>
      <w:r w:rsidR="0070414B">
        <w:t xml:space="preserve"> become aware</w:t>
      </w:r>
      <w:r w:rsidR="0070414B" w:rsidRPr="0009680A">
        <w:t xml:space="preserve"> that the ATO </w:t>
      </w:r>
      <w:r w:rsidR="005E7AB4">
        <w:t>have greater visibility to</w:t>
      </w:r>
      <w:r w:rsidR="0070414B" w:rsidRPr="0009680A">
        <w:t xml:space="preserve"> proactively </w:t>
      </w:r>
      <w:r w:rsidR="005E7AB4">
        <w:t>manage</w:t>
      </w:r>
      <w:r w:rsidR="0070414B" w:rsidRPr="0009680A">
        <w:t xml:space="preserve"> outstanding amounts</w:t>
      </w:r>
      <w:r w:rsidR="00CD3D59">
        <w:t xml:space="preserve"> of SG</w:t>
      </w:r>
      <w:r w:rsidR="005E7AB4">
        <w:t>, they</w:t>
      </w:r>
      <w:r w:rsidR="003566C3">
        <w:t xml:space="preserve"> will likely prioriti</w:t>
      </w:r>
      <w:r w:rsidR="00566627">
        <w:t>s</w:t>
      </w:r>
      <w:r w:rsidR="003566C3">
        <w:t>e</w:t>
      </w:r>
      <w:r w:rsidR="0005278D" w:rsidRPr="0009680A">
        <w:t xml:space="preserve"> paying </w:t>
      </w:r>
      <w:r w:rsidR="00AB6EF2">
        <w:t>their employees</w:t>
      </w:r>
      <w:r w:rsidR="006E4AC9">
        <w:t>’</w:t>
      </w:r>
      <w:r w:rsidR="00AB6EF2">
        <w:t xml:space="preserve"> </w:t>
      </w:r>
      <w:r w:rsidR="0005278D" w:rsidRPr="0009680A">
        <w:t>SG</w:t>
      </w:r>
      <w:r w:rsidR="00AB6EF2">
        <w:t xml:space="preserve"> entitlements</w:t>
      </w:r>
      <w:r w:rsidR="0005278D" w:rsidRPr="0009680A">
        <w:t xml:space="preserve"> </w:t>
      </w:r>
      <w:r w:rsidR="00AB6EF2">
        <w:t xml:space="preserve">before the quarterly due date </w:t>
      </w:r>
      <w:r w:rsidR="0005278D" w:rsidRPr="0009680A">
        <w:t xml:space="preserve">to </w:t>
      </w:r>
      <w:r w:rsidR="00F02738">
        <w:t>avoid non-compliance penalties</w:t>
      </w:r>
      <w:r w:rsidR="0005278D" w:rsidRPr="0009680A">
        <w:t xml:space="preserve">. </w:t>
      </w:r>
    </w:p>
    <w:p w14:paraId="1624EEC7" w14:textId="2CFD83F1" w:rsidR="0089589D" w:rsidRPr="0089589D" w:rsidRDefault="00BB0AAB" w:rsidP="00A531D4">
      <w:pPr>
        <w:rPr>
          <w:bCs/>
        </w:rPr>
      </w:pPr>
      <w:r>
        <w:t xml:space="preserve">The ATO will also have capacity to identify and contact </w:t>
      </w:r>
      <w:r w:rsidR="00E35408">
        <w:t>more employers</w:t>
      </w:r>
      <w:r>
        <w:t>, who</w:t>
      </w:r>
      <w:r w:rsidR="00E35408">
        <w:t xml:space="preserve"> would incur unpaid SG penalties</w:t>
      </w:r>
      <w:r>
        <w:t xml:space="preserve">. </w:t>
      </w:r>
      <w:r w:rsidR="00B32AD7" w:rsidRPr="008B6A86">
        <w:t xml:space="preserve">The ability to target and action newer and smaller debts would improve payment by employers. </w:t>
      </w:r>
      <w:r w:rsidR="007E37C4" w:rsidRPr="008B6A86">
        <w:t xml:space="preserve">Timely visibility of an employer’s SG position would enable the ATO to identify instances and patterns of underpayment or non-payment of SG and support earlier interventions with employers to address reporting, calculation, or payment issues and ensure they understand their future obligations. </w:t>
      </w:r>
    </w:p>
    <w:p w14:paraId="511C5D83" w14:textId="68DDCE5D" w:rsidR="001A2FF0" w:rsidRDefault="00462791" w:rsidP="00462791">
      <w:pPr>
        <w:pStyle w:val="BodyText"/>
      </w:pPr>
      <w:r>
        <w:t xml:space="preserve">Data suggests that any </w:t>
      </w:r>
      <w:r w:rsidR="001A2FF0">
        <w:t>improvement</w:t>
      </w:r>
      <w:r>
        <w:t xml:space="preserve"> to</w:t>
      </w:r>
      <w:r w:rsidR="001A2FF0">
        <w:t xml:space="preserve"> the rate of</w:t>
      </w:r>
      <w:r>
        <w:t xml:space="preserve"> </w:t>
      </w:r>
      <w:r w:rsidR="008424D7">
        <w:t>rec</w:t>
      </w:r>
      <w:r w:rsidR="0061112B">
        <w:t>overy o</w:t>
      </w:r>
      <w:r w:rsidR="001A2FF0">
        <w:t xml:space="preserve">f </w:t>
      </w:r>
      <w:r>
        <w:t>unpaid SG would have the greatest impact on m</w:t>
      </w:r>
      <w:r w:rsidRPr="007F7C19">
        <w:t>icro businesses and SMEs</w:t>
      </w:r>
      <w:r>
        <w:t>.</w:t>
      </w:r>
      <w:r w:rsidRPr="007F7C19">
        <w:t xml:space="preserve"> </w:t>
      </w:r>
      <w:r>
        <w:t xml:space="preserve">Micro </w:t>
      </w:r>
      <w:r w:rsidR="00EE1E9F">
        <w:t xml:space="preserve">enterprises </w:t>
      </w:r>
      <w:r>
        <w:t>and SMEs (annual turnover less than $2</w:t>
      </w:r>
      <w:r w:rsidR="007741A5">
        <w:t>50</w:t>
      </w:r>
      <w:r>
        <w:t xml:space="preserve"> million) </w:t>
      </w:r>
      <w:r w:rsidR="001A2FF0">
        <w:t>owed $1.</w:t>
      </w:r>
      <w:r w:rsidR="00891A49">
        <w:t>85</w:t>
      </w:r>
      <w:r w:rsidR="001A2FF0">
        <w:t xml:space="preserve"> billion (</w:t>
      </w:r>
      <w:r w:rsidR="00891A49">
        <w:t>98</w:t>
      </w:r>
      <w:r w:rsidR="001A2FF0">
        <w:t xml:space="preserve"> per cent) of the $1.</w:t>
      </w:r>
      <w:r w:rsidR="00891A49">
        <w:t>8</w:t>
      </w:r>
      <w:r w:rsidR="001A2FF0">
        <w:t xml:space="preserve">9 billion in collectable SG charge debt </w:t>
      </w:r>
      <w:r w:rsidR="007515CA">
        <w:t>owed</w:t>
      </w:r>
      <w:r w:rsidR="001A2FF0">
        <w:t xml:space="preserve"> </w:t>
      </w:r>
      <w:r w:rsidR="007515CA">
        <w:t>to</w:t>
      </w:r>
      <w:r w:rsidR="001A2FF0">
        <w:t xml:space="preserve"> the ATO </w:t>
      </w:r>
      <w:r w:rsidR="007515CA">
        <w:t xml:space="preserve">by </w:t>
      </w:r>
      <w:r w:rsidR="001A2FF0">
        <w:t>non-compliant employers</w:t>
      </w:r>
      <w:r w:rsidR="004C20F7" w:rsidRPr="004C20F7">
        <w:t xml:space="preserve"> </w:t>
      </w:r>
      <w:r w:rsidR="007515CA">
        <w:t xml:space="preserve">as at </w:t>
      </w:r>
      <w:r w:rsidR="00C04AB6">
        <w:t>28 February 2022</w:t>
      </w:r>
      <w:r w:rsidR="001A2FF0">
        <w:t>.</w:t>
      </w:r>
      <w:r w:rsidR="00C04AB6">
        <w:rPr>
          <w:rStyle w:val="FootnoteReference"/>
        </w:rPr>
        <w:footnoteReference w:id="33"/>
      </w:r>
    </w:p>
    <w:p w14:paraId="22E519F0" w14:textId="3CF005C3" w:rsidR="00606DD4" w:rsidRDefault="008E2F84" w:rsidP="007E7CDF">
      <w:pPr>
        <w:pStyle w:val="BodyText"/>
      </w:pPr>
      <w:r>
        <w:t xml:space="preserve">As outlined in Section 1.2, currently there are potentially market competition </w:t>
      </w:r>
      <w:r w:rsidR="001C6A01">
        <w:t xml:space="preserve">and profitability </w:t>
      </w:r>
      <w:r>
        <w:t xml:space="preserve">advantages </w:t>
      </w:r>
      <w:r w:rsidR="006A2AB5">
        <w:t>f</w:t>
      </w:r>
      <w:r w:rsidR="0039008C">
        <w:t>or</w:t>
      </w:r>
      <w:r>
        <w:t xml:space="preserve"> employers </w:t>
      </w:r>
      <w:r w:rsidR="0039008C">
        <w:t xml:space="preserve">which do </w:t>
      </w:r>
      <w:r>
        <w:t>not pay their employee’s SG entitlements in full</w:t>
      </w:r>
      <w:r w:rsidR="0039008C">
        <w:t xml:space="preserve">, and do not have SG </w:t>
      </w:r>
      <w:r w:rsidR="006C2BE0">
        <w:t>c</w:t>
      </w:r>
      <w:r w:rsidR="0039008C">
        <w:t>harge liabilit</w:t>
      </w:r>
      <w:r w:rsidR="00962AEB">
        <w:t>ies</w:t>
      </w:r>
      <w:r w:rsidR="0039008C">
        <w:t xml:space="preserve"> raised. </w:t>
      </w:r>
      <w:r w:rsidR="001C6A01">
        <w:t xml:space="preserve">If SG </w:t>
      </w:r>
      <w:r w:rsidR="006C2BE0">
        <w:t>c</w:t>
      </w:r>
      <w:r w:rsidR="001C6A01">
        <w:t xml:space="preserve">harge liabilities are raised and recovered by the ATO </w:t>
      </w:r>
      <w:r w:rsidR="00B12414">
        <w:t xml:space="preserve">more efficiently </w:t>
      </w:r>
      <w:r w:rsidR="003270FC">
        <w:t>because of</w:t>
      </w:r>
      <w:r w:rsidR="00B12414">
        <w:t xml:space="preserve"> improved data matching capabilities </w:t>
      </w:r>
      <w:r w:rsidR="003270FC">
        <w:t xml:space="preserve">such non-compliant employers would have a </w:t>
      </w:r>
      <w:r w:rsidR="000B7B54">
        <w:t xml:space="preserve">reduced competitive advantage over employers </w:t>
      </w:r>
      <w:r w:rsidR="00CE7E84">
        <w:t>who</w:t>
      </w:r>
      <w:r w:rsidR="009B5FFF">
        <w:t xml:space="preserve"> </w:t>
      </w:r>
      <w:r w:rsidR="000B7B54">
        <w:t xml:space="preserve">are </w:t>
      </w:r>
      <w:r w:rsidR="009A26F1">
        <w:t>consistently complying with their SG obligations</w:t>
      </w:r>
      <w:r>
        <w:t>.</w:t>
      </w:r>
      <w:r w:rsidR="00962AEB">
        <w:t xml:space="preserve"> </w:t>
      </w:r>
    </w:p>
    <w:p w14:paraId="49430B2F" w14:textId="26693A3C" w:rsidR="0089589D" w:rsidRPr="0089589D" w:rsidRDefault="0089589D" w:rsidP="00606DD4">
      <w:pPr>
        <w:pStyle w:val="Heading4"/>
      </w:pPr>
      <w:r w:rsidRPr="0089589D">
        <w:t>Superannuation funds</w:t>
      </w:r>
    </w:p>
    <w:p w14:paraId="35831B52" w14:textId="1C16E4A6" w:rsidR="00071466" w:rsidRPr="007E7CDF" w:rsidRDefault="006E6B73" w:rsidP="00A531D4">
      <w:r w:rsidRPr="00384FE8">
        <w:t xml:space="preserve">An increase in contributions received by superannuation funds </w:t>
      </w:r>
      <w:r w:rsidR="00024277">
        <w:t>would</w:t>
      </w:r>
      <w:r w:rsidR="00024277" w:rsidRPr="00384FE8">
        <w:t xml:space="preserve"> </w:t>
      </w:r>
      <w:r w:rsidRPr="00384FE8">
        <w:t xml:space="preserve">grow the pool of assets they manage, as well as the size of the overall superannuation system. As individual member </w:t>
      </w:r>
      <w:r>
        <w:t xml:space="preserve">balances </w:t>
      </w:r>
      <w:r w:rsidRPr="00384FE8">
        <w:t xml:space="preserve">grow </w:t>
      </w:r>
      <w:r>
        <w:t xml:space="preserve">with </w:t>
      </w:r>
      <w:r w:rsidRPr="00384FE8">
        <w:t>additional contributions, total fee</w:t>
      </w:r>
      <w:r w:rsidR="005B14B6">
        <w:t xml:space="preserve"> revenue</w:t>
      </w:r>
      <w:r w:rsidRPr="00384FE8">
        <w:t xml:space="preserve"> </w:t>
      </w:r>
      <w:r w:rsidR="007E7461">
        <w:t>may</w:t>
      </w:r>
      <w:r w:rsidR="007E7461" w:rsidRPr="00384FE8">
        <w:t xml:space="preserve"> </w:t>
      </w:r>
      <w:r w:rsidRPr="00384FE8">
        <w:t xml:space="preserve">increase </w:t>
      </w:r>
      <w:r>
        <w:t>with percentage</w:t>
      </w:r>
      <w:r w:rsidR="008E24BB">
        <w:t>-</w:t>
      </w:r>
      <w:r>
        <w:t xml:space="preserve">based </w:t>
      </w:r>
      <w:r w:rsidRPr="00384FE8">
        <w:t xml:space="preserve">investment </w:t>
      </w:r>
      <w:r>
        <w:t xml:space="preserve">and </w:t>
      </w:r>
      <w:r w:rsidRPr="00384FE8">
        <w:t xml:space="preserve">administration fees. </w:t>
      </w:r>
      <w:r>
        <w:t xml:space="preserve">Whether </w:t>
      </w:r>
      <w:r w:rsidRPr="00384FE8">
        <w:t xml:space="preserve">superannuation funds </w:t>
      </w:r>
      <w:r w:rsidR="003F7C02">
        <w:t>would</w:t>
      </w:r>
      <w:r w:rsidR="003F7C02" w:rsidRPr="00384FE8">
        <w:t xml:space="preserve"> </w:t>
      </w:r>
      <w:r w:rsidRPr="00384FE8">
        <w:t>increase the fixed component of their administration fees</w:t>
      </w:r>
      <w:r>
        <w:t xml:space="preserve"> is uncertain, w</w:t>
      </w:r>
      <w:r w:rsidRPr="00384FE8">
        <w:t xml:space="preserve">hile funds may face increased complexity in managing a larger pool of assets </w:t>
      </w:r>
      <w:r>
        <w:t xml:space="preserve">and </w:t>
      </w:r>
      <w:r w:rsidRPr="00384FE8">
        <w:t>potential higher costs, the increased scale might also allow funds to access a greater range of investment opportunities</w:t>
      </w:r>
      <w:r>
        <w:t xml:space="preserve"> with </w:t>
      </w:r>
      <w:r w:rsidRPr="00384FE8">
        <w:t>higher investment return</w:t>
      </w:r>
      <w:r w:rsidR="00FC635D">
        <w:t>s</w:t>
      </w:r>
      <w:r w:rsidRPr="00384FE8">
        <w:t>.</w:t>
      </w:r>
    </w:p>
    <w:p w14:paraId="20DD90CE" w14:textId="41835523" w:rsidR="00767B20" w:rsidRDefault="00021F08" w:rsidP="00767B20">
      <w:pPr>
        <w:pStyle w:val="Heading3"/>
      </w:pPr>
      <w:bookmarkStart w:id="43" w:name="_Toc134198464"/>
      <w:r>
        <w:t xml:space="preserve">Impact 2: </w:t>
      </w:r>
      <w:r w:rsidR="00711E4A">
        <w:t>Quicker recovery of</w:t>
      </w:r>
      <w:r w:rsidR="00767B20">
        <w:t xml:space="preserve"> unpaid SG</w:t>
      </w:r>
      <w:bookmarkEnd w:id="43"/>
    </w:p>
    <w:p w14:paraId="2A303693" w14:textId="6D9C3F5A" w:rsidR="003700BA" w:rsidRDefault="004D6D9D" w:rsidP="00A531D4">
      <w:r>
        <w:t xml:space="preserve">As outlined in Section 1.3, current limitations on the data infrastructure of the ATO are constraining the efficiency with which the ATO can create and action unpaid SG cases. </w:t>
      </w:r>
      <w:r w:rsidR="006673CA">
        <w:t>E</w:t>
      </w:r>
      <w:r w:rsidR="00CC2813" w:rsidRPr="00BA6803">
        <w:t>mploye</w:t>
      </w:r>
      <w:r w:rsidR="00CC2813">
        <w:t>e</w:t>
      </w:r>
      <w:r w:rsidR="00CC2813" w:rsidRPr="00BA6803">
        <w:t xml:space="preserve"> notifications </w:t>
      </w:r>
      <w:r w:rsidR="006673CA">
        <w:t>can be</w:t>
      </w:r>
      <w:r w:rsidR="006673CA" w:rsidRPr="00BA6803">
        <w:t xml:space="preserve"> </w:t>
      </w:r>
      <w:r w:rsidR="00CC2813" w:rsidRPr="00BA6803">
        <w:t>submitted after an employee leaves employment, resulting in a significant period for which SG has not been paid.</w:t>
      </w:r>
      <w:r w:rsidR="00CC2813">
        <w:t xml:space="preserve"> </w:t>
      </w:r>
    </w:p>
    <w:p w14:paraId="3A120C95" w14:textId="10190061" w:rsidR="00AD1301" w:rsidRDefault="008621EB" w:rsidP="00A531D4">
      <w:r w:rsidRPr="00AB0C1E">
        <w:t xml:space="preserve">Once the automatic SG matching system is operational for use in support of the ATO’s SG compliance audits, processes </w:t>
      </w:r>
      <w:r w:rsidR="00A826C6">
        <w:t xml:space="preserve">to recover unpaid SG </w:t>
      </w:r>
      <w:r w:rsidRPr="00AB0C1E">
        <w:t>will become more targeted, efficient</w:t>
      </w:r>
      <w:r w:rsidR="004101A6">
        <w:t>,</w:t>
      </w:r>
      <w:r w:rsidRPr="00AB0C1E">
        <w:t xml:space="preserve"> and timely.</w:t>
      </w:r>
      <w:r w:rsidR="00A826C6">
        <w:t xml:space="preserve"> </w:t>
      </w:r>
      <w:r w:rsidR="00BA06B3">
        <w:t xml:space="preserve">Automatic data matching will reduce the </w:t>
      </w:r>
      <w:r w:rsidR="00CB47B8">
        <w:t xml:space="preserve">administrative </w:t>
      </w:r>
      <w:r w:rsidR="00BA06B3">
        <w:t xml:space="preserve">burden on the ATO, improving their response time to employee-initiated complaints. </w:t>
      </w:r>
    </w:p>
    <w:p w14:paraId="732EB138" w14:textId="1E3759D5" w:rsidR="005010E6" w:rsidRDefault="002B69BE" w:rsidP="00A531D4">
      <w:r>
        <w:t xml:space="preserve">However, </w:t>
      </w:r>
      <w:r w:rsidR="00E21DA0">
        <w:t>t</w:t>
      </w:r>
      <w:r w:rsidR="00E21DA0" w:rsidRPr="00EC15E9">
        <w:t xml:space="preserve">he delay between </w:t>
      </w:r>
      <w:r w:rsidR="00E21DA0">
        <w:t xml:space="preserve">the </w:t>
      </w:r>
      <w:r w:rsidR="00E21DA0" w:rsidRPr="00EC15E9">
        <w:t>payment of wages and SG</w:t>
      </w:r>
      <w:r>
        <w:t xml:space="preserve"> </w:t>
      </w:r>
      <w:r w:rsidR="00813477">
        <w:t xml:space="preserve">would </w:t>
      </w:r>
      <w:r>
        <w:t>still</w:t>
      </w:r>
      <w:r w:rsidR="00E21DA0" w:rsidRPr="00EC15E9">
        <w:t xml:space="preserve"> create significant issues for </w:t>
      </w:r>
      <w:r>
        <w:t xml:space="preserve">the timeliness of </w:t>
      </w:r>
      <w:r w:rsidR="00E21DA0" w:rsidRPr="00EC15E9">
        <w:t>ATO enforcement</w:t>
      </w:r>
      <w:r>
        <w:t xml:space="preserve"> which would not be addressed through </w:t>
      </w:r>
      <w:r w:rsidR="004D6D9D">
        <w:t>Option 2.</w:t>
      </w:r>
      <w:r w:rsidR="005010E6">
        <w:t xml:space="preserve"> </w:t>
      </w:r>
    </w:p>
    <w:p w14:paraId="570807B1" w14:textId="3320983B" w:rsidR="00F2160E" w:rsidRDefault="005010E6" w:rsidP="00A531D4">
      <w:r>
        <w:t xml:space="preserve">As the investment in data matching in Option 2 would address ATO data capability constraints, but not underlying issues of </w:t>
      </w:r>
      <w:r w:rsidR="0016299A">
        <w:t xml:space="preserve">delays in SG payment it would have a </w:t>
      </w:r>
      <w:r w:rsidR="0016299A" w:rsidRPr="00645165">
        <w:rPr>
          <w:b/>
          <w:bCs/>
        </w:rPr>
        <w:t>moderate impact</w:t>
      </w:r>
      <w:r w:rsidR="0016299A">
        <w:t xml:space="preserve"> </w:t>
      </w:r>
      <w:r w:rsidR="00EC30C8">
        <w:t>on the pace of recovery of unpaid SG.</w:t>
      </w:r>
    </w:p>
    <w:p w14:paraId="796CD0A6" w14:textId="7F940C39" w:rsidR="00AD1301" w:rsidRDefault="00AD1301" w:rsidP="00645165">
      <w:pPr>
        <w:pStyle w:val="Heading4"/>
      </w:pPr>
      <w:r>
        <w:t>Employees</w:t>
      </w:r>
    </w:p>
    <w:p w14:paraId="715BA0BF" w14:textId="30B8BC06" w:rsidR="007121B1" w:rsidRDefault="00224DA1" w:rsidP="00A531D4">
      <w:r w:rsidRPr="00E82F5C">
        <w:t>Where</w:t>
      </w:r>
      <w:r w:rsidR="009F0C85" w:rsidRPr="00E82F5C">
        <w:t xml:space="preserve"> SG contributions are </w:t>
      </w:r>
      <w:r w:rsidRPr="00E82F5C">
        <w:t>recovered and deposited into a superannuation account sooner,</w:t>
      </w:r>
      <w:r w:rsidR="007121B1" w:rsidRPr="000A05DC">
        <w:t xml:space="preserve"> retirement outcomes</w:t>
      </w:r>
      <w:r w:rsidR="001A3648" w:rsidRPr="00E82651">
        <w:t xml:space="preserve"> will improve</w:t>
      </w:r>
      <w:r w:rsidR="007121B1" w:rsidRPr="000A05DC">
        <w:t xml:space="preserve"> through </w:t>
      </w:r>
      <w:r w:rsidR="001A3648" w:rsidRPr="00E82651">
        <w:t>increased</w:t>
      </w:r>
      <w:r w:rsidR="007121B1" w:rsidRPr="000A05DC">
        <w:t xml:space="preserve"> balances and compounding returns </w:t>
      </w:r>
      <w:r w:rsidR="000A05DC" w:rsidRPr="00E82F5C">
        <w:t>as investment time horizon</w:t>
      </w:r>
      <w:r w:rsidR="000A05DC">
        <w:t>s</w:t>
      </w:r>
      <w:r w:rsidR="000A05DC" w:rsidRPr="00E82F5C">
        <w:t xml:space="preserve"> increase</w:t>
      </w:r>
      <w:r w:rsidR="007121B1" w:rsidRPr="000A05DC">
        <w:t>.</w:t>
      </w:r>
    </w:p>
    <w:p w14:paraId="6ED9BEC8" w14:textId="77777777" w:rsidR="008B5DF9" w:rsidRDefault="008B5DF9" w:rsidP="008B5DF9">
      <w:pPr>
        <w:pStyle w:val="Heading4"/>
      </w:pPr>
      <w:r>
        <w:t>Employers</w:t>
      </w:r>
    </w:p>
    <w:p w14:paraId="12F734E5" w14:textId="08A76A37" w:rsidR="0046129D" w:rsidRPr="008B6A86" w:rsidRDefault="00A33D6C" w:rsidP="00A531D4">
      <w:r>
        <w:t>Data</w:t>
      </w:r>
      <w:r w:rsidRPr="0009680A">
        <w:t xml:space="preserve"> quality </w:t>
      </w:r>
      <w:r>
        <w:t>improvements would allow</w:t>
      </w:r>
      <w:r w:rsidRPr="0009680A">
        <w:t xml:space="preserve"> the ATO </w:t>
      </w:r>
      <w:r>
        <w:t>to</w:t>
      </w:r>
      <w:r w:rsidRPr="0009680A">
        <w:t xml:space="preserve"> </w:t>
      </w:r>
      <w:r>
        <w:t>engage sooner and more frequently</w:t>
      </w:r>
      <w:r w:rsidRPr="0009680A">
        <w:t xml:space="preserve"> with employers</w:t>
      </w:r>
      <w:r>
        <w:t xml:space="preserve">. </w:t>
      </w:r>
      <w:r w:rsidR="0046129D" w:rsidRPr="008B6A86">
        <w:t xml:space="preserve">Employers would increasingly be contacted by the ATO in a timelier manner because of unpaid SG being identified through data reconciliation, not employee complaints. </w:t>
      </w:r>
      <w:r w:rsidR="00CB4F21">
        <w:t>O</w:t>
      </w:r>
      <w:r w:rsidR="0046129D">
        <w:t>vertime, as</w:t>
      </w:r>
      <w:r w:rsidR="0046129D" w:rsidRPr="008B6A86">
        <w:t xml:space="preserve"> employers would be contacted closer to the event where SG was not paid</w:t>
      </w:r>
      <w:r w:rsidR="00B27FB5">
        <w:t>,</w:t>
      </w:r>
      <w:r w:rsidR="0046129D" w:rsidRPr="008B6A86">
        <w:t xml:space="preserve"> larger SG charge debts </w:t>
      </w:r>
      <w:r w:rsidR="0046129D">
        <w:t>would be prevented</w:t>
      </w:r>
      <w:r w:rsidR="0046129D" w:rsidRPr="008B6A86">
        <w:t xml:space="preserve"> from accruing, including penalties. </w:t>
      </w:r>
    </w:p>
    <w:p w14:paraId="3278E875" w14:textId="4C7DF6DA" w:rsidR="008B5DF9" w:rsidRDefault="008B5DF9" w:rsidP="00A531D4">
      <w:r>
        <w:t xml:space="preserve">Due to the quicker recovery of unpaid SG amounts, employers </w:t>
      </w:r>
      <w:r w:rsidR="0054222F">
        <w:t xml:space="preserve">would </w:t>
      </w:r>
      <w:r>
        <w:t xml:space="preserve">accrue smaller and more manageable debts, increasing the likelihood they will be able to repay the necessary amounts to the ATO. This is particularly so for inadvertent non-compliance where employers have accidentally underpaid SG entitlements. </w:t>
      </w:r>
    </w:p>
    <w:p w14:paraId="6E7F7380" w14:textId="77777777" w:rsidR="00004386" w:rsidRDefault="00004386" w:rsidP="008F5401">
      <w:pPr>
        <w:pStyle w:val="Heading4"/>
      </w:pPr>
      <w:r w:rsidRPr="00004386">
        <w:t>Australian Taxation Office</w:t>
      </w:r>
    </w:p>
    <w:p w14:paraId="757E1F14" w14:textId="1C796460" w:rsidR="00775CB3" w:rsidRDefault="00F15CE0" w:rsidP="007E7CDF">
      <w:pPr>
        <w:pStyle w:val="BodyText"/>
      </w:pPr>
      <w:bookmarkStart w:id="44" w:name="_Hlk124760533"/>
      <w:r w:rsidRPr="00703CC8">
        <w:t xml:space="preserve">The ATO will </w:t>
      </w:r>
      <w:r w:rsidR="00F7348C">
        <w:t>have</w:t>
      </w:r>
      <w:r w:rsidR="00F7348C" w:rsidDel="00D54987">
        <w:t xml:space="preserve"> </w:t>
      </w:r>
      <w:r w:rsidR="00F7348C">
        <w:t>greater ability</w:t>
      </w:r>
      <w:r w:rsidRPr="00893319">
        <w:t xml:space="preserve"> to </w:t>
      </w:r>
      <w:r w:rsidR="00F7348C">
        <w:t xml:space="preserve">proactively </w:t>
      </w:r>
      <w:r w:rsidRPr="00893319">
        <w:t>identify unpaid SG</w:t>
      </w:r>
      <w:r>
        <w:t xml:space="preserve"> by employers</w:t>
      </w:r>
      <w:bookmarkEnd w:id="44"/>
      <w:r w:rsidR="00F7348C">
        <w:t xml:space="preserve">. </w:t>
      </w:r>
      <w:r w:rsidR="00A96285">
        <w:t>In addition to increased efficiency, the ATO will also benefit from improved community confidence and trust in SG administration</w:t>
      </w:r>
      <w:r w:rsidR="00DF4913">
        <w:t>.</w:t>
      </w:r>
      <w:r w:rsidR="00F34D30">
        <w:t xml:space="preserve"> </w:t>
      </w:r>
      <w:r w:rsidR="003B5A5A">
        <w:t xml:space="preserve">Key benefits </w:t>
      </w:r>
      <w:r w:rsidR="00254B4A">
        <w:t xml:space="preserve">to </w:t>
      </w:r>
      <w:r w:rsidR="00877F10">
        <w:t xml:space="preserve">the ATO </w:t>
      </w:r>
      <w:r w:rsidR="00254B4A">
        <w:t xml:space="preserve">from being enabled </w:t>
      </w:r>
      <w:r w:rsidR="00877F10">
        <w:t xml:space="preserve">to recover unpaid SG sooner </w:t>
      </w:r>
      <w:r w:rsidR="003B5A5A" w:rsidDel="00877F10">
        <w:t>are</w:t>
      </w:r>
      <w:r w:rsidR="003B5A5A">
        <w:t xml:space="preserve"> outlined in </w:t>
      </w:r>
      <w:r w:rsidR="004146BF">
        <w:t>Table 3</w:t>
      </w:r>
      <w:r w:rsidR="005C5B8B">
        <w:t>.</w:t>
      </w:r>
    </w:p>
    <w:p w14:paraId="7C257D33" w14:textId="2FBA3426" w:rsidR="00530477" w:rsidRPr="004366AE" w:rsidRDefault="00530477" w:rsidP="00530477">
      <w:pPr>
        <w:pStyle w:val="Caption"/>
      </w:pPr>
      <w:bookmarkStart w:id="45" w:name="_Ref130508335"/>
      <w:r w:rsidRPr="004366AE">
        <w:t xml:space="preserve">Table </w:t>
      </w:r>
      <w:bookmarkEnd w:id="45"/>
      <w:r w:rsidR="004146BF">
        <w:t>3</w:t>
      </w:r>
      <w:r w:rsidRPr="004366AE">
        <w:t xml:space="preserve">. </w:t>
      </w:r>
      <w:r w:rsidR="00326BFB">
        <w:t>Benefits to the ATO</w:t>
      </w:r>
      <w:r w:rsidR="007143AB">
        <w:t xml:space="preserve"> from quicker recovery of unpaid SG</w:t>
      </w:r>
    </w:p>
    <w:tbl>
      <w:tblPr>
        <w:tblStyle w:val="PMCDefaultTableStyle"/>
        <w:tblW w:w="0" w:type="auto"/>
        <w:jc w:val="center"/>
        <w:tblLook w:val="0620" w:firstRow="1" w:lastRow="0" w:firstColumn="0" w:lastColumn="0" w:noHBand="1" w:noVBand="1"/>
      </w:tblPr>
      <w:tblGrid>
        <w:gridCol w:w="2500"/>
        <w:gridCol w:w="5809"/>
        <w:gridCol w:w="1873"/>
      </w:tblGrid>
      <w:tr w:rsidR="006214AE" w14:paraId="1555ABA0" w14:textId="4C91B56F" w:rsidTr="00946C3B">
        <w:trPr>
          <w:cnfStyle w:val="100000000000" w:firstRow="1" w:lastRow="0" w:firstColumn="0" w:lastColumn="0" w:oddVBand="0" w:evenVBand="0" w:oddHBand="0" w:evenHBand="0" w:firstRowFirstColumn="0" w:firstRowLastColumn="0" w:lastRowFirstColumn="0" w:lastRowLastColumn="0"/>
          <w:trHeight w:val="83"/>
          <w:jc w:val="center"/>
        </w:trPr>
        <w:tc>
          <w:tcPr>
            <w:tcW w:w="2500" w:type="dxa"/>
          </w:tcPr>
          <w:p w14:paraId="454106D6" w14:textId="4B1D41D0" w:rsidR="006214AE" w:rsidRDefault="006214AE" w:rsidP="00EB6438">
            <w:pPr>
              <w:pStyle w:val="BodyText"/>
            </w:pPr>
            <w:r>
              <w:t>Outcome</w:t>
            </w:r>
          </w:p>
        </w:tc>
        <w:tc>
          <w:tcPr>
            <w:tcW w:w="5809" w:type="dxa"/>
          </w:tcPr>
          <w:p w14:paraId="014535A2" w14:textId="386133B7" w:rsidR="006214AE" w:rsidRDefault="006214AE" w:rsidP="00EB6438">
            <w:pPr>
              <w:pStyle w:val="BodyText"/>
            </w:pPr>
            <w:r>
              <w:t>Detail</w:t>
            </w:r>
          </w:p>
        </w:tc>
        <w:tc>
          <w:tcPr>
            <w:tcW w:w="1873" w:type="dxa"/>
          </w:tcPr>
          <w:p w14:paraId="0CEA3AEB" w14:textId="280D85AD" w:rsidR="006214AE" w:rsidRPr="001F799C" w:rsidRDefault="006214AE" w:rsidP="00EB6438">
            <w:pPr>
              <w:pStyle w:val="BodyText"/>
            </w:pPr>
            <w:r>
              <w:t>Benefit</w:t>
            </w:r>
          </w:p>
        </w:tc>
      </w:tr>
      <w:tr w:rsidR="006214AE" w:rsidRPr="0015537B" w14:paraId="79C765E2" w14:textId="1535D757" w:rsidTr="00946C3B">
        <w:trPr>
          <w:trHeight w:val="508"/>
          <w:jc w:val="center"/>
        </w:trPr>
        <w:tc>
          <w:tcPr>
            <w:tcW w:w="2500" w:type="dxa"/>
          </w:tcPr>
          <w:p w14:paraId="699F9A15" w14:textId="6A1C0059" w:rsidR="006214AE" w:rsidRPr="00424B3D" w:rsidRDefault="006214AE" w:rsidP="007318E2">
            <w:pPr>
              <w:pStyle w:val="Bullet"/>
              <w:numPr>
                <w:ilvl w:val="0"/>
                <w:numId w:val="0"/>
              </w:numPr>
              <w:rPr>
                <w:sz w:val="18"/>
                <w:szCs w:val="18"/>
              </w:rPr>
            </w:pPr>
            <w:r w:rsidRPr="00424B3D">
              <w:rPr>
                <w:sz w:val="18"/>
                <w:szCs w:val="18"/>
              </w:rPr>
              <w:t>Increased data availability to facilitate greater use and innovation</w:t>
            </w:r>
          </w:p>
        </w:tc>
        <w:tc>
          <w:tcPr>
            <w:tcW w:w="5809" w:type="dxa"/>
          </w:tcPr>
          <w:p w14:paraId="4F46406E" w14:textId="73CFF434" w:rsidR="006214AE" w:rsidRDefault="006214AE" w:rsidP="007318E2">
            <w:pPr>
              <w:pStyle w:val="TableBullet"/>
            </w:pPr>
            <w:r>
              <w:t>Better identification of unpaid SG and increased ability to be proactive in taking action against employers</w:t>
            </w:r>
            <w:r w:rsidR="00163313">
              <w:t>.</w:t>
            </w:r>
          </w:p>
          <w:p w14:paraId="2AE6F811" w14:textId="668E1531" w:rsidR="006214AE" w:rsidRDefault="006214AE" w:rsidP="007318E2">
            <w:pPr>
              <w:pStyle w:val="TableBullet"/>
            </w:pPr>
            <w:r>
              <w:t>Unpaid SG is identified and acted upon sooner</w:t>
            </w:r>
            <w:r w:rsidR="00163313">
              <w:t>.</w:t>
            </w:r>
          </w:p>
        </w:tc>
        <w:tc>
          <w:tcPr>
            <w:tcW w:w="1873" w:type="dxa"/>
          </w:tcPr>
          <w:p w14:paraId="4D92E711" w14:textId="3E905581" w:rsidR="006214AE" w:rsidRDefault="007143AB" w:rsidP="006214AE">
            <w:pPr>
              <w:pStyle w:val="TableBullet"/>
              <w:numPr>
                <w:ilvl w:val="0"/>
                <w:numId w:val="0"/>
              </w:numPr>
            </w:pPr>
            <w:r>
              <w:t>Improved efficiency in ATO processes</w:t>
            </w:r>
          </w:p>
        </w:tc>
      </w:tr>
      <w:tr w:rsidR="006214AE" w:rsidRPr="0015537B" w14:paraId="5A076769" w14:textId="3BC98490" w:rsidTr="00946C3B">
        <w:trPr>
          <w:trHeight w:val="83"/>
          <w:jc w:val="center"/>
        </w:trPr>
        <w:tc>
          <w:tcPr>
            <w:tcW w:w="2500" w:type="dxa"/>
          </w:tcPr>
          <w:p w14:paraId="07750DEB" w14:textId="5C0D70E9" w:rsidR="006214AE" w:rsidRPr="00DA7726" w:rsidRDefault="006214AE" w:rsidP="00391726">
            <w:pPr>
              <w:rPr>
                <w:sz w:val="18"/>
                <w:szCs w:val="18"/>
              </w:rPr>
            </w:pPr>
            <w:r w:rsidRPr="00424B3D">
              <w:rPr>
                <w:sz w:val="18"/>
                <w:szCs w:val="18"/>
              </w:rPr>
              <w:t xml:space="preserve">Improved service delivery and administration of </w:t>
            </w:r>
            <w:r w:rsidR="000E22A8">
              <w:rPr>
                <w:sz w:val="18"/>
                <w:szCs w:val="18"/>
              </w:rPr>
              <w:t xml:space="preserve">the </w:t>
            </w:r>
            <w:r w:rsidRPr="00424B3D">
              <w:rPr>
                <w:sz w:val="18"/>
                <w:szCs w:val="18"/>
              </w:rPr>
              <w:t>SG within the ATO and externally</w:t>
            </w:r>
          </w:p>
        </w:tc>
        <w:tc>
          <w:tcPr>
            <w:tcW w:w="5809" w:type="dxa"/>
          </w:tcPr>
          <w:p w14:paraId="56DF3298" w14:textId="2C6DB2A1" w:rsidR="006214AE" w:rsidRDefault="006214AE" w:rsidP="00391726">
            <w:pPr>
              <w:pStyle w:val="TableBullet"/>
            </w:pPr>
            <w:r>
              <w:t>ATO staff can access improved tools and data leading to a reduction in manual analysis and improved data matching.</w:t>
            </w:r>
          </w:p>
          <w:p w14:paraId="0F14018D" w14:textId="1773E50F" w:rsidR="006214AE" w:rsidRPr="00DA7726" w:rsidRDefault="006214AE" w:rsidP="00391726">
            <w:pPr>
              <w:pStyle w:val="TableBullet"/>
            </w:pPr>
            <w:r>
              <w:t xml:space="preserve">Long term, </w:t>
            </w:r>
            <w:r w:rsidR="00794B35">
              <w:t xml:space="preserve">conducting </w:t>
            </w:r>
            <w:r>
              <w:t>cases based on a higher quality of data and matching is expected to result in less cases being overturned through complaints</w:t>
            </w:r>
            <w:r w:rsidR="00D30D34">
              <w:t xml:space="preserve"> or </w:t>
            </w:r>
            <w:r>
              <w:t>review activities.</w:t>
            </w:r>
          </w:p>
        </w:tc>
        <w:tc>
          <w:tcPr>
            <w:tcW w:w="1873" w:type="dxa"/>
          </w:tcPr>
          <w:p w14:paraId="3CEF6CA4" w14:textId="273CE2DC" w:rsidR="006214AE" w:rsidRDefault="00E77687" w:rsidP="00E77687">
            <w:pPr>
              <w:pStyle w:val="TableBullet"/>
              <w:numPr>
                <w:ilvl w:val="0"/>
                <w:numId w:val="0"/>
              </w:numPr>
            </w:pPr>
            <w:r>
              <w:t>Improved efficiency in ATO processes</w:t>
            </w:r>
          </w:p>
        </w:tc>
      </w:tr>
      <w:tr w:rsidR="006214AE" w:rsidRPr="0015537B" w14:paraId="1465C53D" w14:textId="13697AC1" w:rsidTr="00946C3B">
        <w:trPr>
          <w:trHeight w:val="83"/>
          <w:jc w:val="center"/>
        </w:trPr>
        <w:tc>
          <w:tcPr>
            <w:tcW w:w="2500" w:type="dxa"/>
          </w:tcPr>
          <w:p w14:paraId="6916FBA9" w14:textId="5EE59ECA" w:rsidR="006214AE" w:rsidRPr="00DA7726" w:rsidRDefault="006214AE" w:rsidP="00391726">
            <w:pPr>
              <w:rPr>
                <w:sz w:val="18"/>
                <w:szCs w:val="18"/>
              </w:rPr>
            </w:pPr>
            <w:r w:rsidRPr="00424B3D">
              <w:rPr>
                <w:sz w:val="18"/>
                <w:szCs w:val="18"/>
              </w:rPr>
              <w:t>Increased government &amp; community confidence and trust in SG administration</w:t>
            </w:r>
          </w:p>
        </w:tc>
        <w:tc>
          <w:tcPr>
            <w:tcW w:w="5809" w:type="dxa"/>
          </w:tcPr>
          <w:p w14:paraId="2A099F00" w14:textId="258BABD2" w:rsidR="006214AE" w:rsidRDefault="006214AE" w:rsidP="00391726">
            <w:pPr>
              <w:pStyle w:val="TableBullet"/>
            </w:pPr>
            <w:r>
              <w:t>The ATO will be able to provide parameters on which to base improved SG targets, meeting government election commitments</w:t>
            </w:r>
            <w:r w:rsidR="00D30D34">
              <w:t>.</w:t>
            </w:r>
          </w:p>
          <w:p w14:paraId="671B007E" w14:textId="09F86D8F" w:rsidR="006214AE" w:rsidRPr="00DA7726" w:rsidRDefault="006214AE" w:rsidP="00391726">
            <w:pPr>
              <w:pStyle w:val="TableBullet"/>
            </w:pPr>
            <w:r>
              <w:t>The ATO will be able to identify increased incidences of non-compliance, to form the basis of improved risk identification and mitigation strategies</w:t>
            </w:r>
            <w:r w:rsidR="00A7173A">
              <w:t>.</w:t>
            </w:r>
          </w:p>
        </w:tc>
        <w:tc>
          <w:tcPr>
            <w:tcW w:w="1873" w:type="dxa"/>
          </w:tcPr>
          <w:p w14:paraId="5096E932" w14:textId="05DBFA88" w:rsidR="006214AE" w:rsidRDefault="007143AB" w:rsidP="007143AB">
            <w:pPr>
              <w:pStyle w:val="TableBullet"/>
              <w:numPr>
                <w:ilvl w:val="0"/>
                <w:numId w:val="0"/>
              </w:numPr>
            </w:pPr>
            <w:r>
              <w:t xml:space="preserve">Improved reputation </w:t>
            </w:r>
            <w:r w:rsidR="00E77687">
              <w:t>of the ATO</w:t>
            </w:r>
          </w:p>
        </w:tc>
      </w:tr>
    </w:tbl>
    <w:p w14:paraId="6C824503" w14:textId="77777777" w:rsidR="00B45B1B" w:rsidRDefault="00B45B1B" w:rsidP="00B45B1B"/>
    <w:p w14:paraId="5563103F" w14:textId="77B41819" w:rsidR="00A727AA" w:rsidRDefault="00A727AA" w:rsidP="00A727AA">
      <w:pPr>
        <w:pStyle w:val="Heading3"/>
      </w:pPr>
      <w:bookmarkStart w:id="46" w:name="_Toc134198465"/>
      <w:r>
        <w:t xml:space="preserve">Impact </w:t>
      </w:r>
      <w:r w:rsidR="003E4B30">
        <w:t>3</w:t>
      </w:r>
      <w:r>
        <w:t>: Regulatory costs</w:t>
      </w:r>
      <w:bookmarkEnd w:id="46"/>
    </w:p>
    <w:p w14:paraId="14928115" w14:textId="77777777" w:rsidR="000A42CB" w:rsidRDefault="006551FE" w:rsidP="00C63944">
      <w:r>
        <w:t xml:space="preserve">This option </w:t>
      </w:r>
      <w:r w:rsidR="00EE31A2">
        <w:t xml:space="preserve">would </w:t>
      </w:r>
      <w:r w:rsidR="00AE6548">
        <w:t>have</w:t>
      </w:r>
      <w:r w:rsidR="00EE31A2">
        <w:t xml:space="preserve"> </w:t>
      </w:r>
      <w:r>
        <w:t xml:space="preserve">an </w:t>
      </w:r>
      <w:r w:rsidR="00C343DC">
        <w:t>average annual regulatory save of $0.</w:t>
      </w:r>
      <w:r w:rsidR="00F81B7A">
        <w:t>4</w:t>
      </w:r>
      <w:r w:rsidR="00836BCB">
        <w:t xml:space="preserve"> million over 10 years</w:t>
      </w:r>
      <w:r w:rsidR="00C343DC">
        <w:t>.</w:t>
      </w:r>
      <w:r>
        <w:t xml:space="preserve"> </w:t>
      </w:r>
      <w:r w:rsidR="00A727AA">
        <w:t xml:space="preserve">Broadly, this option increases the capability of </w:t>
      </w:r>
      <w:r w:rsidR="00D55275">
        <w:t xml:space="preserve">the </w:t>
      </w:r>
      <w:r w:rsidR="00A727AA">
        <w:t xml:space="preserve">ATO to proactively identify unpaid SG amounts. This reduces the burden on employees needing to actively reconcile and initiate a claim with the ATO. </w:t>
      </w:r>
      <w:r w:rsidR="00DE006F">
        <w:t xml:space="preserve">The burden on individuals initiating a complaint with the ATO for unpaid superannuation would reduce due to automation and a streamlined user experience. The decision-making process for employees to pursue unpaid SG would be simplified when they are aware that the ATO are actively monitoring non-compliance. </w:t>
      </w:r>
    </w:p>
    <w:p w14:paraId="0946F0DF" w14:textId="2FA2D357" w:rsidR="00DE006F" w:rsidRDefault="00DE006F" w:rsidP="00C63944">
      <w:r>
        <w:t xml:space="preserve">This option would effectively defer the responsibility to detect unpaid SG and initiate compliance action from the individual to the ATO, potentially reducing the number of employee-initiated complaints each year. </w:t>
      </w:r>
      <w:r w:rsidR="00745FDD">
        <w:t>U</w:t>
      </w:r>
      <w:r>
        <w:t xml:space="preserve">nder automatic data matching </w:t>
      </w:r>
      <w:r w:rsidR="00D7111A">
        <w:t>unpaid SG</w:t>
      </w:r>
      <w:r>
        <w:t xml:space="preserve"> cases will be proactively identified</w:t>
      </w:r>
      <w:r w:rsidR="00D7111A">
        <w:t xml:space="preserve"> more often</w:t>
      </w:r>
      <w:r>
        <w:t>, reducing the burden on employees to initiate a complaint. Employees would still engage with the ATO during their investigations. This burden would remain the same as the status quo</w:t>
      </w:r>
      <w:r w:rsidR="00E84161">
        <w:t>.</w:t>
      </w:r>
    </w:p>
    <w:p w14:paraId="53E885D7" w14:textId="185DE7F9" w:rsidR="00114B5E" w:rsidRDefault="00A727AA" w:rsidP="00C63944">
      <w:r w:rsidRPr="009F03B6">
        <w:t>Superannuation funds and DSPs may make some minor changes to their products to ensure that employers have appropriate guidance in calculating, reporting and paying SG as a result of data quality issues identified by the ATO, but this would be expected to have minimal impact.</w:t>
      </w:r>
      <w:r>
        <w:t xml:space="preserve"> This is due to </w:t>
      </w:r>
      <w:r w:rsidR="00CA3E03">
        <w:t>O</w:t>
      </w:r>
      <w:r>
        <w:t>ption</w:t>
      </w:r>
      <w:r w:rsidR="00CA3E03">
        <w:t xml:space="preserve"> 2</w:t>
      </w:r>
      <w:r>
        <w:t xml:space="preserve"> largely </w:t>
      </w:r>
      <w:r w:rsidR="00F07AAB">
        <w:t xml:space="preserve">involves </w:t>
      </w:r>
      <w:r>
        <w:t>providing additional resourcing to the regulator</w:t>
      </w:r>
      <w:r w:rsidR="00F07AAB">
        <w:t>. However,</w:t>
      </w:r>
      <w:r>
        <w:t xml:space="preserve"> some consequential changes are expected for participants in the superannuation industry. Specifically, industry bodies, unions and consumer groups have actively campaigned to improve</w:t>
      </w:r>
      <w:r w:rsidR="009E1513">
        <w:t>ments in recovery of</w:t>
      </w:r>
      <w:r>
        <w:t xml:space="preserve"> </w:t>
      </w:r>
      <w:r w:rsidR="00C4241C">
        <w:t xml:space="preserve">unpaid </w:t>
      </w:r>
      <w:r>
        <w:t>SG</w:t>
      </w:r>
      <w:r w:rsidR="00F812EC">
        <w:t>.</w:t>
      </w:r>
      <w:r>
        <w:t xml:space="preserve"> </w:t>
      </w:r>
      <w:r w:rsidR="00F812EC">
        <w:t>U</w:t>
      </w:r>
      <w:r>
        <w:t xml:space="preserve">pdates to these communications </w:t>
      </w:r>
      <w:r w:rsidR="00F812EC">
        <w:t>are expected.</w:t>
      </w:r>
      <w:r w:rsidDel="00F812EC">
        <w:t xml:space="preserve"> </w:t>
      </w:r>
    </w:p>
    <w:p w14:paraId="51FB38E7" w14:textId="6598F96C" w:rsidR="004C35CA" w:rsidRPr="00B37FCB" w:rsidRDefault="00E50795" w:rsidP="00C63944">
      <w:r>
        <w:t xml:space="preserve">The </w:t>
      </w:r>
      <w:r w:rsidR="00480F92">
        <w:t xml:space="preserve">regulatory </w:t>
      </w:r>
      <w:r>
        <w:t xml:space="preserve">impacts </w:t>
      </w:r>
      <w:r w:rsidR="004C35CA">
        <w:t xml:space="preserve">in </w:t>
      </w:r>
      <w:r w:rsidR="00C4241C">
        <w:t xml:space="preserve">summarised in </w:t>
      </w:r>
      <w:r w:rsidR="004C35CA">
        <w:t xml:space="preserve">Table 4 </w:t>
      </w:r>
      <w:r>
        <w:t xml:space="preserve">consider </w:t>
      </w:r>
      <w:r w:rsidR="00480F92">
        <w:t>1,530 APRA</w:t>
      </w:r>
      <w:r w:rsidR="00436248">
        <w:rPr>
          <w:rStyle w:val="FootnoteReference"/>
        </w:rPr>
        <w:footnoteReference w:id="34"/>
      </w:r>
      <w:r w:rsidR="00480F92">
        <w:t xml:space="preserve"> regulated funds would be affected and </w:t>
      </w:r>
      <w:r w:rsidR="00436248">
        <w:t xml:space="preserve">make minor updates to their communications, along with </w:t>
      </w:r>
      <w:r w:rsidR="003A587B">
        <w:t>87</w:t>
      </w:r>
      <w:r w:rsidR="00436248">
        <w:t xml:space="preserve"> </w:t>
      </w:r>
      <w:r w:rsidR="00A51BB9">
        <w:t>DSPs</w:t>
      </w:r>
      <w:r w:rsidR="00476AD9">
        <w:t xml:space="preserve"> </w:t>
      </w:r>
      <w:r w:rsidR="00032794">
        <w:t xml:space="preserve">which </w:t>
      </w:r>
      <w:r w:rsidR="0049618D">
        <w:t xml:space="preserve">currently </w:t>
      </w:r>
      <w:r w:rsidR="00246601">
        <w:t xml:space="preserve">operate </w:t>
      </w:r>
      <w:r w:rsidR="00DD1C33">
        <w:t>p</w:t>
      </w:r>
      <w:r w:rsidR="00246601" w:rsidRPr="00246601">
        <w:t xml:space="preserve">ayroll products </w:t>
      </w:r>
      <w:r w:rsidR="00B10599">
        <w:t>which</w:t>
      </w:r>
      <w:r w:rsidR="00246601" w:rsidRPr="00246601">
        <w:t xml:space="preserve"> meet</w:t>
      </w:r>
      <w:r w:rsidR="00246601">
        <w:t xml:space="preserve"> the ATO’s</w:t>
      </w:r>
      <w:r w:rsidR="00246601" w:rsidRPr="00246601">
        <w:t xml:space="preserve"> SuperStream requirements</w:t>
      </w:r>
      <w:r w:rsidR="00436248">
        <w:t>.</w:t>
      </w:r>
      <w:r w:rsidR="00071C7C">
        <w:rPr>
          <w:rStyle w:val="FootnoteReference"/>
        </w:rPr>
        <w:footnoteReference w:id="35"/>
      </w:r>
      <w:r w:rsidR="00436248">
        <w:t xml:space="preserve"> </w:t>
      </w:r>
      <w:r w:rsidR="00E22AA6">
        <w:t xml:space="preserve">Further assumptions </w:t>
      </w:r>
      <w:r w:rsidR="00A97812">
        <w:t>on regulatory cost</w:t>
      </w:r>
      <w:r w:rsidR="00621EF8">
        <w:t>s</w:t>
      </w:r>
      <w:r w:rsidR="00A97812">
        <w:t xml:space="preserve"> can be found in </w:t>
      </w:r>
      <w:r w:rsidR="00A97812">
        <w:rPr>
          <w:i/>
          <w:iCs/>
        </w:rPr>
        <w:t>Appendix C</w:t>
      </w:r>
      <w:r w:rsidR="00621EF8">
        <w:rPr>
          <w:i/>
          <w:iCs/>
        </w:rPr>
        <w:t xml:space="preserve"> – Calculation of </w:t>
      </w:r>
      <w:r w:rsidR="0037299A">
        <w:rPr>
          <w:i/>
          <w:iCs/>
        </w:rPr>
        <w:t>Regulatory</w:t>
      </w:r>
      <w:r w:rsidR="00621EF8">
        <w:rPr>
          <w:i/>
          <w:iCs/>
        </w:rPr>
        <w:t xml:space="preserve"> Costs</w:t>
      </w:r>
      <w:r w:rsidR="00A97812">
        <w:rPr>
          <w:i/>
          <w:iCs/>
        </w:rPr>
        <w:t>.</w:t>
      </w:r>
    </w:p>
    <w:p w14:paraId="1B6EEFC0" w14:textId="35492A71" w:rsidR="006F56E2" w:rsidRPr="004366AE" w:rsidRDefault="00A858BF" w:rsidP="00946C3B">
      <w:pPr>
        <w:pStyle w:val="Caption"/>
      </w:pPr>
      <w:r>
        <w:t xml:space="preserve"> </w:t>
      </w:r>
      <w:r w:rsidR="006F56E2" w:rsidRPr="004366AE">
        <w:t xml:space="preserve">Table </w:t>
      </w:r>
      <w:r w:rsidR="005B37A6">
        <w:t>4</w:t>
      </w:r>
      <w:r w:rsidR="006F56E2" w:rsidRPr="004366AE">
        <w:t xml:space="preserve">. </w:t>
      </w:r>
      <w:r w:rsidR="00002DCF">
        <w:t>Regulatory burden estimate (RBE)</w:t>
      </w:r>
      <w:r w:rsidR="006F56E2">
        <w:t xml:space="preserve"> ($million)</w:t>
      </w:r>
    </w:p>
    <w:tbl>
      <w:tblPr>
        <w:tblStyle w:val="PMCTableStyle2"/>
        <w:tblW w:w="0" w:type="auto"/>
        <w:tblLook w:val="0660" w:firstRow="1" w:lastRow="1" w:firstColumn="0" w:lastColumn="0" w:noHBand="1" w:noVBand="1"/>
      </w:tblPr>
      <w:tblGrid>
        <w:gridCol w:w="2165"/>
        <w:gridCol w:w="1941"/>
        <w:gridCol w:w="1843"/>
        <w:gridCol w:w="2126"/>
        <w:gridCol w:w="2119"/>
      </w:tblGrid>
      <w:tr w:rsidR="00CB314B" w14:paraId="062B798A" w14:textId="77777777" w:rsidTr="00CB314B">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5"/>
          </w:tcPr>
          <w:p w14:paraId="4CA578B6" w14:textId="6F906FBA" w:rsidR="006F56E2" w:rsidRDefault="006F56E2" w:rsidP="00CB314B">
            <w:pPr>
              <w:pStyle w:val="TableHeading"/>
            </w:pPr>
            <w:r>
              <w:t>Average annual regulatory costs</w:t>
            </w:r>
            <w:r w:rsidR="000D2192">
              <w:t xml:space="preserve"> over the next 10 years</w:t>
            </w:r>
          </w:p>
        </w:tc>
      </w:tr>
      <w:tr w:rsidR="00903073" w:rsidRPr="00BC1972" w14:paraId="07C55DBF" w14:textId="77777777" w:rsidTr="007E7CDF">
        <w:trPr>
          <w:trHeight w:val="350"/>
        </w:trPr>
        <w:tc>
          <w:tcPr>
            <w:tcW w:w="2165" w:type="dxa"/>
          </w:tcPr>
          <w:p w14:paraId="4C1E8C78" w14:textId="52EE07E4" w:rsidR="006F56E2" w:rsidRPr="00946C3B" w:rsidRDefault="006F56E2" w:rsidP="000D1703">
            <w:pPr>
              <w:pStyle w:val="TableBody"/>
              <w:rPr>
                <w:b/>
                <w:bCs/>
                <w:color w:val="262626" w:themeColor="text1" w:themeTint="D9"/>
              </w:rPr>
            </w:pPr>
            <w:r w:rsidRPr="00946C3B">
              <w:rPr>
                <w:b/>
                <w:bCs/>
              </w:rPr>
              <w:t xml:space="preserve">Change in costs </w:t>
            </w:r>
          </w:p>
        </w:tc>
        <w:tc>
          <w:tcPr>
            <w:tcW w:w="1941" w:type="dxa"/>
          </w:tcPr>
          <w:p w14:paraId="4AFFBCAD" w14:textId="77777777" w:rsidR="006F56E2" w:rsidRPr="00946C3B" w:rsidRDefault="006F56E2" w:rsidP="000D1703">
            <w:pPr>
              <w:pStyle w:val="TableBody"/>
              <w:rPr>
                <w:b/>
                <w:bCs/>
                <w:color w:val="262626" w:themeColor="text1" w:themeTint="D9"/>
              </w:rPr>
            </w:pPr>
            <w:r w:rsidRPr="00946C3B">
              <w:rPr>
                <w:b/>
                <w:bCs/>
              </w:rPr>
              <w:t>Individuals</w:t>
            </w:r>
          </w:p>
        </w:tc>
        <w:tc>
          <w:tcPr>
            <w:tcW w:w="1843" w:type="dxa"/>
          </w:tcPr>
          <w:p w14:paraId="4FF60499" w14:textId="77777777" w:rsidR="006F56E2" w:rsidRPr="00946C3B" w:rsidRDefault="006F56E2" w:rsidP="007E7CDF">
            <w:pPr>
              <w:pStyle w:val="TableBullet"/>
              <w:numPr>
                <w:ilvl w:val="0"/>
                <w:numId w:val="0"/>
              </w:numPr>
              <w:ind w:left="284" w:hanging="284"/>
              <w:rPr>
                <w:b/>
                <w:bCs/>
              </w:rPr>
            </w:pPr>
            <w:r w:rsidRPr="00946C3B">
              <w:rPr>
                <w:b/>
                <w:bCs/>
              </w:rPr>
              <w:t xml:space="preserve">Business </w:t>
            </w:r>
          </w:p>
        </w:tc>
        <w:tc>
          <w:tcPr>
            <w:tcW w:w="2126" w:type="dxa"/>
          </w:tcPr>
          <w:p w14:paraId="2C1B53ED" w14:textId="77777777" w:rsidR="006F56E2" w:rsidRPr="00946C3B" w:rsidRDefault="006F56E2" w:rsidP="000D1703">
            <w:pPr>
              <w:pStyle w:val="TableBody"/>
              <w:rPr>
                <w:b/>
                <w:bCs/>
              </w:rPr>
            </w:pPr>
            <w:r w:rsidRPr="00946C3B">
              <w:rPr>
                <w:b/>
                <w:bCs/>
              </w:rPr>
              <w:t>Community organisations</w:t>
            </w:r>
          </w:p>
        </w:tc>
        <w:tc>
          <w:tcPr>
            <w:tcW w:w="0" w:type="dxa"/>
          </w:tcPr>
          <w:p w14:paraId="2F6F659E" w14:textId="77777777" w:rsidR="006F56E2" w:rsidRPr="00946C3B" w:rsidRDefault="006F56E2" w:rsidP="000D1703">
            <w:pPr>
              <w:pStyle w:val="TableNumbering"/>
              <w:numPr>
                <w:ilvl w:val="0"/>
                <w:numId w:val="0"/>
              </w:numPr>
              <w:rPr>
                <w:b/>
                <w:bCs/>
              </w:rPr>
            </w:pPr>
            <w:r w:rsidRPr="00946C3B">
              <w:rPr>
                <w:b/>
                <w:bCs/>
              </w:rPr>
              <w:t>Total change in cost</w:t>
            </w:r>
          </w:p>
        </w:tc>
      </w:tr>
      <w:tr w:rsidR="00903073" w:rsidRPr="00BC1972" w14:paraId="5B64DA8D" w14:textId="77777777" w:rsidTr="007E7CDF">
        <w:trPr>
          <w:cnfStyle w:val="010000000000" w:firstRow="0" w:lastRow="1" w:firstColumn="0" w:lastColumn="0" w:oddVBand="0" w:evenVBand="0" w:oddHBand="0" w:evenHBand="0" w:firstRowFirstColumn="0" w:firstRowLastColumn="0" w:lastRowFirstColumn="0" w:lastRowLastColumn="0"/>
          <w:trHeight w:val="350"/>
        </w:trPr>
        <w:tc>
          <w:tcPr>
            <w:tcW w:w="2165" w:type="dxa"/>
          </w:tcPr>
          <w:p w14:paraId="39A03704" w14:textId="77777777" w:rsidR="006F56E2" w:rsidRPr="00BC1972" w:rsidRDefault="006F56E2" w:rsidP="000D1703">
            <w:pPr>
              <w:pStyle w:val="TableBody"/>
              <w:rPr>
                <w:color w:val="262626" w:themeColor="text1" w:themeTint="D9"/>
              </w:rPr>
            </w:pPr>
            <w:r>
              <w:t>Total, by sector</w:t>
            </w:r>
          </w:p>
        </w:tc>
        <w:tc>
          <w:tcPr>
            <w:tcW w:w="1941" w:type="dxa"/>
          </w:tcPr>
          <w:p w14:paraId="526B5F88" w14:textId="10B1A3AD" w:rsidR="006F56E2" w:rsidRPr="00BC1972" w:rsidRDefault="006F56E2" w:rsidP="00831C62">
            <w:pPr>
              <w:pStyle w:val="TableBody"/>
              <w:jc w:val="right"/>
              <w:rPr>
                <w:color w:val="262626" w:themeColor="text1" w:themeTint="D9"/>
              </w:rPr>
            </w:pPr>
            <w:r>
              <w:rPr>
                <w:color w:val="262626" w:themeColor="text1" w:themeTint="D9"/>
              </w:rPr>
              <w:t>(0.</w:t>
            </w:r>
            <w:r w:rsidR="00316BE4">
              <w:rPr>
                <w:color w:val="262626" w:themeColor="text1" w:themeTint="D9"/>
              </w:rPr>
              <w:t>5</w:t>
            </w:r>
            <w:r>
              <w:rPr>
                <w:color w:val="262626" w:themeColor="text1" w:themeTint="D9"/>
              </w:rPr>
              <w:t>)</w:t>
            </w:r>
          </w:p>
        </w:tc>
        <w:tc>
          <w:tcPr>
            <w:tcW w:w="1843" w:type="dxa"/>
          </w:tcPr>
          <w:p w14:paraId="7C3CBE64" w14:textId="1E2D3990" w:rsidR="006F56E2" w:rsidRPr="00BC1972" w:rsidRDefault="006F56E2" w:rsidP="00831C62">
            <w:pPr>
              <w:pStyle w:val="TableBullet"/>
              <w:numPr>
                <w:ilvl w:val="0"/>
                <w:numId w:val="0"/>
              </w:numPr>
              <w:ind w:left="284"/>
              <w:jc w:val="right"/>
            </w:pPr>
            <w:r>
              <w:t>0.</w:t>
            </w:r>
            <w:r w:rsidR="004D26FC">
              <w:t>1</w:t>
            </w:r>
          </w:p>
        </w:tc>
        <w:tc>
          <w:tcPr>
            <w:tcW w:w="2126" w:type="dxa"/>
          </w:tcPr>
          <w:p w14:paraId="4161084D" w14:textId="77777777" w:rsidR="006F56E2" w:rsidRPr="00BC1972" w:rsidRDefault="006F56E2" w:rsidP="00831C62">
            <w:pPr>
              <w:pStyle w:val="TableNumbering"/>
              <w:numPr>
                <w:ilvl w:val="0"/>
                <w:numId w:val="0"/>
              </w:numPr>
              <w:ind w:left="284" w:hanging="284"/>
              <w:jc w:val="right"/>
            </w:pPr>
            <w:r>
              <w:t>-</w:t>
            </w:r>
          </w:p>
        </w:tc>
        <w:tc>
          <w:tcPr>
            <w:tcW w:w="0" w:type="dxa"/>
          </w:tcPr>
          <w:p w14:paraId="4288431F" w14:textId="09E0E244" w:rsidR="006F56E2" w:rsidRPr="00BC1972" w:rsidRDefault="00BA1F03" w:rsidP="00831C62">
            <w:pPr>
              <w:pStyle w:val="TableNumbering"/>
              <w:numPr>
                <w:ilvl w:val="0"/>
                <w:numId w:val="0"/>
              </w:numPr>
              <w:ind w:left="284" w:hanging="284"/>
              <w:jc w:val="right"/>
            </w:pPr>
            <w:r>
              <w:t>(</w:t>
            </w:r>
            <w:r w:rsidR="006F56E2">
              <w:t>0.</w:t>
            </w:r>
            <w:r w:rsidR="00316BE4">
              <w:t>4</w:t>
            </w:r>
            <w:r w:rsidR="006F56E2">
              <w:t>)</w:t>
            </w:r>
          </w:p>
        </w:tc>
      </w:tr>
    </w:tbl>
    <w:p w14:paraId="34168710" w14:textId="3885B3A6" w:rsidR="003E4B30" w:rsidRDefault="003E4B30" w:rsidP="003E4B30">
      <w:pPr>
        <w:pStyle w:val="Heading3"/>
      </w:pPr>
      <w:bookmarkStart w:id="47" w:name="_Toc134198466"/>
      <w:r>
        <w:t>Impact 4: Government expenditure</w:t>
      </w:r>
      <w:bookmarkEnd w:id="47"/>
    </w:p>
    <w:p w14:paraId="6C49E302" w14:textId="77A7507A" w:rsidR="00A96E22" w:rsidRDefault="003E4B30" w:rsidP="00A531D4">
      <w:r w:rsidRPr="007E31DA">
        <w:t xml:space="preserve">To develop enhanced data matching capability, the ATO </w:t>
      </w:r>
      <w:r w:rsidR="00032794">
        <w:t xml:space="preserve">would </w:t>
      </w:r>
      <w:r w:rsidRPr="007E31DA">
        <w:t>require $</w:t>
      </w:r>
      <w:r w:rsidR="00CC5C24">
        <w:t>27.0</w:t>
      </w:r>
      <w:r w:rsidRPr="007E31DA">
        <w:t xml:space="preserve"> million in funding </w:t>
      </w:r>
      <w:r>
        <w:t xml:space="preserve">to upgrade existing legacy systems. The ATO </w:t>
      </w:r>
      <w:r w:rsidR="00032794">
        <w:t xml:space="preserve">would </w:t>
      </w:r>
      <w:r>
        <w:t>develop a digital system</w:t>
      </w:r>
      <w:r w:rsidRPr="00515280">
        <w:t xml:space="preserve"> to match STP and </w:t>
      </w:r>
      <w:r w:rsidR="00A96E22">
        <w:t>MATS</w:t>
      </w:r>
      <w:r w:rsidR="00A96E22" w:rsidRPr="00515280">
        <w:t xml:space="preserve"> </w:t>
      </w:r>
      <w:r w:rsidRPr="00515280">
        <w:t xml:space="preserve">data at scale </w:t>
      </w:r>
      <w:r w:rsidR="00A96E22">
        <w:t>to</w:t>
      </w:r>
      <w:r w:rsidR="00A96E22" w:rsidRPr="00515280">
        <w:t xml:space="preserve"> </w:t>
      </w:r>
      <w:r w:rsidRPr="00515280">
        <w:t>support the ATO to undertake compliance activity</w:t>
      </w:r>
      <w:r>
        <w:t xml:space="preserve">. </w:t>
      </w:r>
    </w:p>
    <w:p w14:paraId="5F482D5A" w14:textId="3F68A35C" w:rsidR="003E4B30" w:rsidRPr="007E31DA" w:rsidRDefault="003E4B30" w:rsidP="00A531D4">
      <w:r>
        <w:t xml:space="preserve">The ATO will need also need to ensure they continue to complete employee notifications in a timely manner while this new system is being developed. A breakdown in these costs is </w:t>
      </w:r>
      <w:r w:rsidR="002A69D3">
        <w:t>in Table 5.</w:t>
      </w:r>
    </w:p>
    <w:p w14:paraId="6F00CCE7" w14:textId="02C68203" w:rsidR="003E4B30" w:rsidRPr="004366AE" w:rsidRDefault="003E4B30" w:rsidP="003E4B30">
      <w:pPr>
        <w:pStyle w:val="Caption"/>
      </w:pPr>
      <w:r w:rsidRPr="004366AE">
        <w:t xml:space="preserve">Table </w:t>
      </w:r>
      <w:r w:rsidR="005B37A6">
        <w:t>5</w:t>
      </w:r>
      <w:r w:rsidRPr="004366AE">
        <w:t xml:space="preserve">. </w:t>
      </w:r>
      <w:r>
        <w:t>ATO expenditure ($</w:t>
      </w:r>
      <w:r w:rsidR="00CA003E">
        <w:t xml:space="preserve"> </w:t>
      </w:r>
      <w:r>
        <w:t>million)</w:t>
      </w:r>
    </w:p>
    <w:tbl>
      <w:tblPr>
        <w:tblStyle w:val="PMCDefaultTableStyle"/>
        <w:tblW w:w="0" w:type="auto"/>
        <w:jc w:val="center"/>
        <w:tblLook w:val="0660" w:firstRow="1" w:lastRow="1" w:firstColumn="0" w:lastColumn="0" w:noHBand="1" w:noVBand="1"/>
      </w:tblPr>
      <w:tblGrid>
        <w:gridCol w:w="1464"/>
        <w:gridCol w:w="1268"/>
        <w:gridCol w:w="1409"/>
      </w:tblGrid>
      <w:tr w:rsidR="004B20AD" w14:paraId="311F4081" w14:textId="77777777" w:rsidTr="00946C3B">
        <w:trPr>
          <w:cnfStyle w:val="100000000000" w:firstRow="1" w:lastRow="0" w:firstColumn="0" w:lastColumn="0" w:oddVBand="0" w:evenVBand="0" w:oddHBand="0" w:evenHBand="0" w:firstRowFirstColumn="0" w:firstRowLastColumn="0" w:lastRowFirstColumn="0" w:lastRowLastColumn="0"/>
          <w:trHeight w:val="221"/>
          <w:jc w:val="center"/>
        </w:trPr>
        <w:tc>
          <w:tcPr>
            <w:tcW w:w="1464" w:type="dxa"/>
          </w:tcPr>
          <w:p w14:paraId="767B72A6" w14:textId="77777777" w:rsidR="004B20AD" w:rsidRPr="00946C3B" w:rsidRDefault="004B20AD" w:rsidP="003E4B30">
            <w:pPr>
              <w:pStyle w:val="BodyText"/>
              <w:rPr>
                <w:rFonts w:cstheme="minorHAnsi"/>
                <w:sz w:val="18"/>
                <w:szCs w:val="18"/>
              </w:rPr>
            </w:pPr>
          </w:p>
        </w:tc>
        <w:tc>
          <w:tcPr>
            <w:tcW w:w="1268" w:type="dxa"/>
          </w:tcPr>
          <w:p w14:paraId="0CC1B9C0" w14:textId="30E5AF1B" w:rsidR="004B20AD" w:rsidRPr="00946C3B" w:rsidRDefault="004B20AD" w:rsidP="003E4B30">
            <w:pPr>
              <w:pStyle w:val="BodyText"/>
              <w:rPr>
                <w:rFonts w:asciiTheme="minorHAnsi" w:hAnsiTheme="minorHAnsi" w:cstheme="minorHAnsi"/>
                <w:sz w:val="18"/>
                <w:szCs w:val="18"/>
              </w:rPr>
            </w:pPr>
            <w:r w:rsidRPr="00946C3B">
              <w:rPr>
                <w:rFonts w:cstheme="minorHAnsi"/>
                <w:sz w:val="18"/>
                <w:szCs w:val="18"/>
              </w:rPr>
              <w:t>Item</w:t>
            </w:r>
          </w:p>
        </w:tc>
        <w:tc>
          <w:tcPr>
            <w:tcW w:w="1409" w:type="dxa"/>
          </w:tcPr>
          <w:p w14:paraId="7EFFA9BA" w14:textId="77777777" w:rsidR="004B20AD" w:rsidRPr="00946C3B" w:rsidRDefault="004B20AD" w:rsidP="003E4B30">
            <w:pPr>
              <w:pStyle w:val="BodyText"/>
              <w:rPr>
                <w:rFonts w:asciiTheme="minorHAnsi" w:hAnsiTheme="minorHAnsi" w:cstheme="minorHAnsi"/>
                <w:sz w:val="18"/>
                <w:szCs w:val="18"/>
              </w:rPr>
            </w:pPr>
            <w:r w:rsidRPr="00946C3B">
              <w:rPr>
                <w:rFonts w:cstheme="minorHAnsi"/>
                <w:sz w:val="18"/>
                <w:szCs w:val="18"/>
              </w:rPr>
              <w:t>2023-24</w:t>
            </w:r>
          </w:p>
        </w:tc>
      </w:tr>
      <w:tr w:rsidR="004B20AD" w:rsidRPr="0015537B" w14:paraId="51453BB1" w14:textId="77777777" w:rsidTr="00946C3B">
        <w:trPr>
          <w:trHeight w:val="221"/>
          <w:jc w:val="center"/>
        </w:trPr>
        <w:tc>
          <w:tcPr>
            <w:tcW w:w="1464" w:type="dxa"/>
            <w:vMerge w:val="restart"/>
          </w:tcPr>
          <w:p w14:paraId="4AB8FE5A" w14:textId="18F69415" w:rsidR="004B20AD" w:rsidRDefault="004B20AD" w:rsidP="003E4B30">
            <w:pPr>
              <w:rPr>
                <w:sz w:val="18"/>
                <w:szCs w:val="18"/>
              </w:rPr>
            </w:pPr>
            <w:r>
              <w:rPr>
                <w:sz w:val="18"/>
                <w:szCs w:val="18"/>
              </w:rPr>
              <w:t>ATO Expenditure</w:t>
            </w:r>
          </w:p>
        </w:tc>
        <w:tc>
          <w:tcPr>
            <w:tcW w:w="1268" w:type="dxa"/>
          </w:tcPr>
          <w:p w14:paraId="16FA5920" w14:textId="4DD6F670" w:rsidR="004B20AD" w:rsidRPr="00DA7726" w:rsidRDefault="004B20AD" w:rsidP="003E4B30">
            <w:pPr>
              <w:rPr>
                <w:sz w:val="18"/>
                <w:szCs w:val="18"/>
              </w:rPr>
            </w:pPr>
            <w:r>
              <w:rPr>
                <w:sz w:val="18"/>
                <w:szCs w:val="18"/>
              </w:rPr>
              <w:t>Project Costs</w:t>
            </w:r>
          </w:p>
        </w:tc>
        <w:tc>
          <w:tcPr>
            <w:tcW w:w="1409" w:type="dxa"/>
          </w:tcPr>
          <w:p w14:paraId="1D39E650" w14:textId="05D32346" w:rsidR="004B20AD" w:rsidRPr="00DA7726" w:rsidRDefault="004B20AD" w:rsidP="00831C62">
            <w:pPr>
              <w:pStyle w:val="TableBody"/>
              <w:jc w:val="right"/>
              <w:rPr>
                <w:szCs w:val="18"/>
              </w:rPr>
            </w:pPr>
            <w:r>
              <w:rPr>
                <w:szCs w:val="18"/>
              </w:rPr>
              <w:t>11.2</w:t>
            </w:r>
          </w:p>
        </w:tc>
      </w:tr>
      <w:tr w:rsidR="004B20AD" w:rsidRPr="0015537B" w14:paraId="0BCD5C98" w14:textId="77777777" w:rsidTr="00946C3B">
        <w:trPr>
          <w:trHeight w:val="221"/>
          <w:jc w:val="center"/>
        </w:trPr>
        <w:tc>
          <w:tcPr>
            <w:tcW w:w="1464" w:type="dxa"/>
            <w:vMerge/>
          </w:tcPr>
          <w:p w14:paraId="4CBBA836" w14:textId="77777777" w:rsidR="004B20AD" w:rsidRDefault="004B20AD" w:rsidP="003E4B30">
            <w:pPr>
              <w:rPr>
                <w:sz w:val="18"/>
                <w:szCs w:val="18"/>
              </w:rPr>
            </w:pPr>
          </w:p>
        </w:tc>
        <w:tc>
          <w:tcPr>
            <w:tcW w:w="1268" w:type="dxa"/>
          </w:tcPr>
          <w:p w14:paraId="680FCAB8" w14:textId="37D3A05C" w:rsidR="004B20AD" w:rsidRPr="00DA7726" w:rsidRDefault="004B20AD" w:rsidP="003E4B30">
            <w:pPr>
              <w:rPr>
                <w:sz w:val="18"/>
                <w:szCs w:val="18"/>
              </w:rPr>
            </w:pPr>
            <w:r>
              <w:rPr>
                <w:sz w:val="18"/>
                <w:szCs w:val="18"/>
              </w:rPr>
              <w:t>ICT</w:t>
            </w:r>
          </w:p>
        </w:tc>
        <w:tc>
          <w:tcPr>
            <w:tcW w:w="1409" w:type="dxa"/>
          </w:tcPr>
          <w:p w14:paraId="40E0D161" w14:textId="0FFCD8EC" w:rsidR="004B20AD" w:rsidRPr="00DA7726" w:rsidRDefault="004B20AD" w:rsidP="00831C62">
            <w:pPr>
              <w:jc w:val="right"/>
              <w:rPr>
                <w:sz w:val="18"/>
                <w:szCs w:val="18"/>
              </w:rPr>
            </w:pPr>
            <w:r>
              <w:rPr>
                <w:sz w:val="18"/>
                <w:szCs w:val="18"/>
              </w:rPr>
              <w:t>15.8</w:t>
            </w:r>
          </w:p>
        </w:tc>
      </w:tr>
      <w:tr w:rsidR="004B20AD" w:rsidRPr="0015537B" w14:paraId="0F03BDDB" w14:textId="77777777" w:rsidTr="00946C3B">
        <w:trPr>
          <w:trHeight w:val="221"/>
          <w:jc w:val="center"/>
        </w:trPr>
        <w:tc>
          <w:tcPr>
            <w:tcW w:w="1464" w:type="dxa"/>
            <w:vMerge/>
          </w:tcPr>
          <w:p w14:paraId="4A3EF930" w14:textId="77777777" w:rsidR="004B20AD" w:rsidRPr="004026C2" w:rsidRDefault="004B20AD" w:rsidP="003E4B30">
            <w:pPr>
              <w:rPr>
                <w:b/>
                <w:bCs/>
                <w:sz w:val="18"/>
                <w:szCs w:val="18"/>
              </w:rPr>
            </w:pPr>
          </w:p>
        </w:tc>
        <w:tc>
          <w:tcPr>
            <w:tcW w:w="1268" w:type="dxa"/>
          </w:tcPr>
          <w:p w14:paraId="6065EB57" w14:textId="74004AB5" w:rsidR="004B20AD" w:rsidRPr="004026C2" w:rsidRDefault="004B20AD" w:rsidP="003E4B30">
            <w:pPr>
              <w:rPr>
                <w:b/>
                <w:bCs/>
                <w:sz w:val="18"/>
                <w:szCs w:val="18"/>
              </w:rPr>
            </w:pPr>
            <w:r w:rsidRPr="004026C2">
              <w:rPr>
                <w:b/>
                <w:bCs/>
                <w:sz w:val="18"/>
                <w:szCs w:val="18"/>
              </w:rPr>
              <w:t>Total</w:t>
            </w:r>
          </w:p>
        </w:tc>
        <w:tc>
          <w:tcPr>
            <w:tcW w:w="1409" w:type="dxa"/>
          </w:tcPr>
          <w:p w14:paraId="41024451" w14:textId="721A9AD1" w:rsidR="004B20AD" w:rsidRPr="004026C2" w:rsidRDefault="004B20AD" w:rsidP="00831C62">
            <w:pPr>
              <w:jc w:val="right"/>
              <w:rPr>
                <w:b/>
                <w:bCs/>
                <w:sz w:val="18"/>
                <w:szCs w:val="18"/>
              </w:rPr>
            </w:pPr>
            <w:r>
              <w:rPr>
                <w:b/>
                <w:bCs/>
                <w:sz w:val="18"/>
                <w:szCs w:val="18"/>
              </w:rPr>
              <w:t>27.0</w:t>
            </w:r>
          </w:p>
        </w:tc>
      </w:tr>
    </w:tbl>
    <w:p w14:paraId="5FA6E943" w14:textId="67610187" w:rsidR="005C6E92" w:rsidRPr="005C6E92" w:rsidRDefault="005831F2" w:rsidP="005C6E92">
      <w:pPr>
        <w:pStyle w:val="Heading3"/>
      </w:pPr>
      <w:bookmarkStart w:id="48" w:name="_Toc134198467"/>
      <w:r>
        <w:t>Summary of Option 2</w:t>
      </w:r>
      <w:bookmarkEnd w:id="48"/>
    </w:p>
    <w:p w14:paraId="16F92FF2" w14:textId="761329BE" w:rsidR="00304D16" w:rsidRDefault="00E700D8" w:rsidP="004C7D75">
      <w:r>
        <w:t xml:space="preserve">As outlined in </w:t>
      </w:r>
      <w:r w:rsidR="00AA6E49" w:rsidRPr="00831C62">
        <w:t xml:space="preserve">Table </w:t>
      </w:r>
      <w:r w:rsidR="00AA6E49">
        <w:t>6</w:t>
      </w:r>
      <w:r w:rsidR="00EE0E43">
        <w:t>,</w:t>
      </w:r>
      <w:r>
        <w:t xml:space="preserve"> Option 2 would address current limitations on the ATO’s ability to match SG related data from employers and funds having a minor benefit o</w:t>
      </w:r>
      <w:r w:rsidR="00291823">
        <w:t>n</w:t>
      </w:r>
      <w:r>
        <w:t xml:space="preserve"> reducing overall instances of unpaid SG and a moderate </w:t>
      </w:r>
      <w:r w:rsidR="00291823">
        <w:t xml:space="preserve">benefit </w:t>
      </w:r>
      <w:r w:rsidR="00F548A0">
        <w:t>on the timeliness of recovery of unpaid SG</w:t>
      </w:r>
      <w:r>
        <w:t xml:space="preserve">. </w:t>
      </w:r>
    </w:p>
    <w:p w14:paraId="18E29BF6" w14:textId="034F5EEC" w:rsidR="00AA6E49" w:rsidRPr="00CB61AD" w:rsidRDefault="00F548A0" w:rsidP="004C7D75">
      <w:r>
        <w:t>Option 2</w:t>
      </w:r>
      <w:r w:rsidR="00E700D8">
        <w:t xml:space="preserve"> would improve the visibility of employer and employee SG positions enabling the ATO to recover SG in more cases</w:t>
      </w:r>
      <w:r>
        <w:t>, recover amounts more efficiently</w:t>
      </w:r>
      <w:r w:rsidR="00E700D8">
        <w:t xml:space="preserve"> and disincentivise employer non-compliance with their SG obligations. However, as the ATO would still face issues with the </w:t>
      </w:r>
      <w:r w:rsidR="00E700D8" w:rsidRPr="00F30ABC">
        <w:t>infrequency of SG payment</w:t>
      </w:r>
      <w:r w:rsidR="00E700D8">
        <w:t>s,</w:t>
      </w:r>
      <w:r w:rsidR="00E700D8" w:rsidRPr="00F30ABC">
        <w:t xml:space="preserve"> </w:t>
      </w:r>
      <w:r w:rsidR="00E700D8">
        <w:t xml:space="preserve">it would have </w:t>
      </w:r>
      <w:r w:rsidR="00E700D8" w:rsidRPr="00F30ABC">
        <w:t>a minor impact in reducing the overall SG gap</w:t>
      </w:r>
      <w:r w:rsidR="00020AC1">
        <w:t>.</w:t>
      </w:r>
      <w:r w:rsidR="00AA6E49" w:rsidRPr="00831C62">
        <w:t xml:space="preserve"> </w:t>
      </w:r>
    </w:p>
    <w:p w14:paraId="7AA81BD8" w14:textId="77777777" w:rsidR="00966D33" w:rsidRDefault="00DE6B69" w:rsidP="00792DD3">
      <w:pPr>
        <w:rPr>
          <w:lang w:val="en-GB"/>
        </w:rPr>
      </w:pPr>
      <w:r>
        <w:t>Option 2 is expected</w:t>
      </w:r>
      <w:r w:rsidR="00913D22">
        <w:t xml:space="preserve"> to</w:t>
      </w:r>
      <w:r>
        <w:t xml:space="preserve"> </w:t>
      </w:r>
      <w:r w:rsidR="00D32F30">
        <w:t>improve the ATO’s visibility of SG payments and therefore</w:t>
      </w:r>
      <w:r>
        <w:t xml:space="preserve"> reduce the instances of unpaid SG </w:t>
      </w:r>
      <w:r w:rsidR="00797402">
        <w:t>occurring</w:t>
      </w:r>
      <w:r w:rsidR="00D32F30">
        <w:t xml:space="preserve">. </w:t>
      </w:r>
      <w:r w:rsidR="00AF7A75">
        <w:t>T</w:t>
      </w:r>
      <w:r w:rsidR="00D32F30">
        <w:t xml:space="preserve">he impact that this will have on </w:t>
      </w:r>
      <w:r w:rsidR="008B623F">
        <w:t>SG compliance is</w:t>
      </w:r>
      <w:r w:rsidR="00913D22">
        <w:t xml:space="preserve"> </w:t>
      </w:r>
      <w:r w:rsidR="008B623F">
        <w:rPr>
          <w:lang w:val="en-GB"/>
        </w:rPr>
        <w:t xml:space="preserve">unquantifiable due to uncertainty around additional unpaid SG which could be recovered and the behavioural impact on employers. </w:t>
      </w:r>
    </w:p>
    <w:p w14:paraId="1A14FCDE" w14:textId="3817D337" w:rsidR="00336C4B" w:rsidRPr="005A715E" w:rsidRDefault="008B623F" w:rsidP="00792DD3">
      <w:pPr>
        <w:rPr>
          <w:lang w:val="en-GB"/>
        </w:rPr>
      </w:pPr>
      <w:r>
        <w:rPr>
          <w:lang w:val="en-GB"/>
        </w:rPr>
        <w:t xml:space="preserve">To the extent that this option reduces the unpaid SG gap, the amount of SG which would be paid to employees that would have otherwise gone unpaid under </w:t>
      </w:r>
      <w:r w:rsidR="00792DD3">
        <w:rPr>
          <w:lang w:val="en-GB"/>
        </w:rPr>
        <w:t xml:space="preserve">4 </w:t>
      </w:r>
      <w:r>
        <w:rPr>
          <w:lang w:val="en-GB"/>
        </w:rPr>
        <w:t xml:space="preserve">scenarios is </w:t>
      </w:r>
      <w:r w:rsidR="00792DD3">
        <w:rPr>
          <w:lang w:val="en-GB"/>
        </w:rPr>
        <w:t xml:space="preserve">outlined in Table </w:t>
      </w:r>
      <w:r>
        <w:rPr>
          <w:lang w:val="en-GB"/>
        </w:rPr>
        <w:t xml:space="preserve">2. </w:t>
      </w:r>
      <w:r w:rsidR="005A17E8">
        <w:rPr>
          <w:lang w:val="en-GB"/>
        </w:rPr>
        <w:t xml:space="preserve">For example, </w:t>
      </w:r>
      <w:r w:rsidR="004568EA">
        <w:rPr>
          <w:lang w:val="en-GB"/>
        </w:rPr>
        <w:t>i</w:t>
      </w:r>
      <w:r w:rsidR="00336C4B">
        <w:rPr>
          <w:lang w:val="en-GB"/>
        </w:rPr>
        <w:t xml:space="preserve">f the $27 million investment in Option 2 improved the number of finalised </w:t>
      </w:r>
      <w:r w:rsidR="004568EA">
        <w:rPr>
          <w:lang w:val="en-GB"/>
        </w:rPr>
        <w:t>ATO compliance</w:t>
      </w:r>
      <w:r w:rsidR="00336C4B">
        <w:rPr>
          <w:lang w:val="en-GB"/>
        </w:rPr>
        <w:t xml:space="preserve"> cases by 15 per cent this </w:t>
      </w:r>
      <w:r w:rsidR="00174FDB">
        <w:rPr>
          <w:lang w:val="en-GB"/>
        </w:rPr>
        <w:t>could</w:t>
      </w:r>
      <w:r w:rsidR="00336C4B">
        <w:rPr>
          <w:lang w:val="en-GB"/>
        </w:rPr>
        <w:t xml:space="preserve"> result in </w:t>
      </w:r>
      <w:r w:rsidR="004568EA">
        <w:rPr>
          <w:lang w:val="en-GB"/>
        </w:rPr>
        <w:t xml:space="preserve">an additional </w:t>
      </w:r>
      <w:r w:rsidR="00336C4B">
        <w:rPr>
          <w:lang w:val="en-GB"/>
        </w:rPr>
        <w:t xml:space="preserve">$81 million </w:t>
      </w:r>
      <w:r w:rsidR="004568EA">
        <w:rPr>
          <w:lang w:val="en-GB"/>
        </w:rPr>
        <w:t>of SG contributions</w:t>
      </w:r>
      <w:r w:rsidR="00336C4B">
        <w:rPr>
          <w:lang w:val="en-GB"/>
        </w:rPr>
        <w:t xml:space="preserve"> paid each year. </w:t>
      </w:r>
      <w:r w:rsidR="00F6733E">
        <w:rPr>
          <w:lang w:val="en-GB"/>
        </w:rPr>
        <w:t xml:space="preserve">As shown in </w:t>
      </w:r>
      <w:r w:rsidR="003D5F0F">
        <w:rPr>
          <w:lang w:val="en-GB"/>
        </w:rPr>
        <w:t>T</w:t>
      </w:r>
      <w:r w:rsidR="00F6733E">
        <w:rPr>
          <w:lang w:val="en-GB"/>
        </w:rPr>
        <w:t>able 2, u</w:t>
      </w:r>
      <w:r w:rsidR="00336C4B">
        <w:rPr>
          <w:lang w:val="en-GB"/>
        </w:rPr>
        <w:t xml:space="preserve">sing the most recent estimate for the gross SG gap published by the ATO for 2019-20, this is equivalent to a 2 per cent reduction in the SG gap. </w:t>
      </w:r>
    </w:p>
    <w:p w14:paraId="042A5266" w14:textId="6A6E8D3E" w:rsidR="00BA216A" w:rsidRPr="004366AE" w:rsidRDefault="00BA216A" w:rsidP="00BA216A">
      <w:pPr>
        <w:pStyle w:val="Caption"/>
      </w:pPr>
      <w:r w:rsidRPr="004366AE">
        <w:t xml:space="preserve">Table </w:t>
      </w:r>
      <w:r w:rsidR="005B37A6">
        <w:t>6</w:t>
      </w:r>
      <w:r w:rsidRPr="004366AE">
        <w:t xml:space="preserve">. </w:t>
      </w:r>
      <w:r>
        <w:t>Summary of Option 2 impacts on unpaid SG</w:t>
      </w:r>
    </w:p>
    <w:tbl>
      <w:tblPr>
        <w:tblStyle w:val="PMCDefaultTableStyle"/>
        <w:tblW w:w="0" w:type="auto"/>
        <w:jc w:val="center"/>
        <w:tblLook w:val="0620" w:firstRow="1" w:lastRow="0" w:firstColumn="0" w:lastColumn="0" w:noHBand="1" w:noVBand="1"/>
      </w:tblPr>
      <w:tblGrid>
        <w:gridCol w:w="2741"/>
        <w:gridCol w:w="2733"/>
      </w:tblGrid>
      <w:tr w:rsidR="00BA216A" w14:paraId="0C6E2F30" w14:textId="77777777" w:rsidTr="00946C3B">
        <w:trPr>
          <w:cnfStyle w:val="100000000000" w:firstRow="1" w:lastRow="0" w:firstColumn="0" w:lastColumn="0" w:oddVBand="0" w:evenVBand="0" w:oddHBand="0" w:evenHBand="0" w:firstRowFirstColumn="0" w:firstRowLastColumn="0" w:lastRowFirstColumn="0" w:lastRowLastColumn="0"/>
          <w:trHeight w:val="91"/>
          <w:jc w:val="center"/>
        </w:trPr>
        <w:tc>
          <w:tcPr>
            <w:tcW w:w="2741" w:type="dxa"/>
          </w:tcPr>
          <w:p w14:paraId="66A7D271" w14:textId="77777777" w:rsidR="00BA216A" w:rsidRDefault="00BA216A">
            <w:pPr>
              <w:pStyle w:val="BodyText"/>
            </w:pPr>
            <w:r>
              <w:t>Impact</w:t>
            </w:r>
          </w:p>
        </w:tc>
        <w:tc>
          <w:tcPr>
            <w:tcW w:w="2733" w:type="dxa"/>
          </w:tcPr>
          <w:p w14:paraId="6313DF66" w14:textId="699E3D0D" w:rsidR="00BA216A" w:rsidRDefault="00BA216A">
            <w:pPr>
              <w:pStyle w:val="BodyText"/>
            </w:pPr>
            <w:r>
              <w:t>Impact level</w:t>
            </w:r>
          </w:p>
        </w:tc>
      </w:tr>
      <w:tr w:rsidR="00BA216A" w:rsidRPr="0015537B" w14:paraId="2EB12F0A" w14:textId="77777777" w:rsidTr="00946C3B">
        <w:trPr>
          <w:trHeight w:val="91"/>
          <w:jc w:val="center"/>
        </w:trPr>
        <w:tc>
          <w:tcPr>
            <w:tcW w:w="2741" w:type="dxa"/>
          </w:tcPr>
          <w:p w14:paraId="7A1503D3" w14:textId="77777777" w:rsidR="00BA216A" w:rsidRPr="00DA7726" w:rsidRDefault="00BA216A">
            <w:pPr>
              <w:rPr>
                <w:sz w:val="18"/>
                <w:szCs w:val="18"/>
              </w:rPr>
            </w:pPr>
            <w:r>
              <w:rPr>
                <w:sz w:val="18"/>
                <w:szCs w:val="18"/>
              </w:rPr>
              <w:t>1. Fewer incidences of unpaid SG</w:t>
            </w:r>
          </w:p>
        </w:tc>
        <w:tc>
          <w:tcPr>
            <w:tcW w:w="2733" w:type="dxa"/>
          </w:tcPr>
          <w:p w14:paraId="299E084D" w14:textId="77777777" w:rsidR="00BA216A" w:rsidRDefault="00BA216A">
            <w:pPr>
              <w:pStyle w:val="TableNumbering"/>
              <w:numPr>
                <w:ilvl w:val="0"/>
                <w:numId w:val="0"/>
              </w:numPr>
              <w:rPr>
                <w:szCs w:val="18"/>
              </w:rPr>
            </w:pPr>
            <w:r>
              <w:rPr>
                <w:szCs w:val="18"/>
              </w:rPr>
              <w:t xml:space="preserve">Minor benefit </w:t>
            </w:r>
          </w:p>
        </w:tc>
      </w:tr>
      <w:tr w:rsidR="00BA216A" w:rsidRPr="0015537B" w14:paraId="24281D52" w14:textId="77777777" w:rsidTr="00946C3B">
        <w:trPr>
          <w:trHeight w:val="91"/>
          <w:jc w:val="center"/>
        </w:trPr>
        <w:tc>
          <w:tcPr>
            <w:tcW w:w="2741" w:type="dxa"/>
          </w:tcPr>
          <w:p w14:paraId="4E248137" w14:textId="77777777" w:rsidR="00BA216A" w:rsidRPr="00DA7726" w:rsidRDefault="00BA216A">
            <w:pPr>
              <w:rPr>
                <w:sz w:val="18"/>
                <w:szCs w:val="18"/>
              </w:rPr>
            </w:pPr>
            <w:r>
              <w:rPr>
                <w:sz w:val="18"/>
                <w:szCs w:val="18"/>
              </w:rPr>
              <w:t>2. Quicker recovery of unpaid SG</w:t>
            </w:r>
          </w:p>
        </w:tc>
        <w:tc>
          <w:tcPr>
            <w:tcW w:w="2733" w:type="dxa"/>
          </w:tcPr>
          <w:p w14:paraId="7214D479" w14:textId="02B2EC6C" w:rsidR="00BA216A" w:rsidRDefault="0011432E">
            <w:pPr>
              <w:pStyle w:val="TableNumbering"/>
              <w:numPr>
                <w:ilvl w:val="0"/>
                <w:numId w:val="0"/>
              </w:numPr>
              <w:rPr>
                <w:szCs w:val="18"/>
              </w:rPr>
            </w:pPr>
            <w:r>
              <w:rPr>
                <w:szCs w:val="18"/>
              </w:rPr>
              <w:t xml:space="preserve">Moderate </w:t>
            </w:r>
            <w:r w:rsidR="00BA216A">
              <w:rPr>
                <w:szCs w:val="18"/>
              </w:rPr>
              <w:t>benefit</w:t>
            </w:r>
          </w:p>
        </w:tc>
      </w:tr>
    </w:tbl>
    <w:p w14:paraId="58026FA2" w14:textId="77777777" w:rsidR="00DE5926" w:rsidRDefault="00DE5926" w:rsidP="00F35286">
      <w:pPr>
        <w:pStyle w:val="BodyText"/>
      </w:pPr>
    </w:p>
    <w:p w14:paraId="7218320F" w14:textId="1E00FAE6" w:rsidR="00F35286" w:rsidRDefault="00F35286" w:rsidP="007E7CDF">
      <w:pPr>
        <w:pStyle w:val="BodyText"/>
      </w:pPr>
      <w:r w:rsidRPr="00831C62">
        <w:t>Table</w:t>
      </w:r>
      <w:r>
        <w:t xml:space="preserve"> 7 below summarise the costs and benefits of improved data matching by the ATO. These are aggregate dollar impacts over 10 years. </w:t>
      </w:r>
      <w:r w:rsidR="003D5D8E">
        <w:t xml:space="preserve">It is expected that </w:t>
      </w:r>
      <w:r w:rsidR="0024104B">
        <w:t xml:space="preserve">there would only be upfront </w:t>
      </w:r>
      <w:r w:rsidR="00AC1919">
        <w:t>regulatory cost</w:t>
      </w:r>
      <w:r w:rsidR="0024104B">
        <w:t>s</w:t>
      </w:r>
      <w:r w:rsidR="00AC1919">
        <w:t xml:space="preserve"> for superannuation funds and </w:t>
      </w:r>
      <w:r w:rsidR="00A51BB9">
        <w:t>DSPs</w:t>
      </w:r>
      <w:r w:rsidR="0024104B">
        <w:t xml:space="preserve"> in the first year</w:t>
      </w:r>
      <w:r w:rsidR="00397ADB">
        <w:t xml:space="preserve">. </w:t>
      </w:r>
      <w:r w:rsidR="0024104B">
        <w:t>Employees would e</w:t>
      </w:r>
      <w:r w:rsidR="009D186B">
        <w:t xml:space="preserve">xperience a regulatory save </w:t>
      </w:r>
      <w:r w:rsidR="003B1F58">
        <w:t xml:space="preserve">of $5.5 million </w:t>
      </w:r>
      <w:r w:rsidR="009D186B">
        <w:t xml:space="preserve">over the 10 years, denoted </w:t>
      </w:r>
      <w:r w:rsidR="00D51615">
        <w:t xml:space="preserve">by the </w:t>
      </w:r>
      <w:r w:rsidR="00817578">
        <w:t xml:space="preserve">parentheses </w:t>
      </w:r>
      <w:r w:rsidR="00606EFD">
        <w:t>below</w:t>
      </w:r>
      <w:r w:rsidR="00335675">
        <w:t xml:space="preserve">. </w:t>
      </w:r>
      <w:r w:rsidR="00B97039">
        <w:t xml:space="preserve">Expenditure for the ATO </w:t>
      </w:r>
      <w:r w:rsidR="00397ADB">
        <w:t>is</w:t>
      </w:r>
      <w:r w:rsidR="00B97039">
        <w:t xml:space="preserve"> for the 2023-24 Financial Year</w:t>
      </w:r>
      <w:r w:rsidR="00A74188">
        <w:t xml:space="preserve">. </w:t>
      </w:r>
    </w:p>
    <w:p w14:paraId="0ECB2841" w14:textId="5E4A17D2" w:rsidR="00F60443" w:rsidRPr="004366AE" w:rsidRDefault="00F60443" w:rsidP="00F60443">
      <w:pPr>
        <w:pStyle w:val="Caption"/>
      </w:pPr>
      <w:r w:rsidRPr="004366AE">
        <w:t xml:space="preserve">Table </w:t>
      </w:r>
      <w:r w:rsidR="005B37A6">
        <w:t>7</w:t>
      </w:r>
      <w:r w:rsidRPr="004366AE">
        <w:t xml:space="preserve">. </w:t>
      </w:r>
      <w:r w:rsidR="00985D17">
        <w:t xml:space="preserve">Summary of Option 2 </w:t>
      </w:r>
      <w:r w:rsidR="00C969B4">
        <w:t xml:space="preserve">other </w:t>
      </w:r>
      <w:r w:rsidR="00985D17">
        <w:t>impacts</w:t>
      </w:r>
      <w:r>
        <w:t xml:space="preserve"> </w:t>
      </w:r>
      <w:r w:rsidR="00E40CA3">
        <w:t>($</w:t>
      </w:r>
      <w:r w:rsidR="00CA003E">
        <w:t xml:space="preserve"> </w:t>
      </w:r>
      <w:r w:rsidR="00E40CA3">
        <w:t>million)</w:t>
      </w:r>
    </w:p>
    <w:tbl>
      <w:tblPr>
        <w:tblStyle w:val="PMCDefaultTableStyle"/>
        <w:tblW w:w="0" w:type="auto"/>
        <w:tblLook w:val="0620" w:firstRow="1" w:lastRow="0" w:firstColumn="0" w:lastColumn="0" w:noHBand="1" w:noVBand="1"/>
      </w:tblPr>
      <w:tblGrid>
        <w:gridCol w:w="2254"/>
        <w:gridCol w:w="2469"/>
        <w:gridCol w:w="3510"/>
        <w:gridCol w:w="1926"/>
      </w:tblGrid>
      <w:tr w:rsidR="00F60443" w14:paraId="443907B1" w14:textId="77777777" w:rsidTr="0073363C">
        <w:trPr>
          <w:cnfStyle w:val="100000000000" w:firstRow="1" w:lastRow="0" w:firstColumn="0" w:lastColumn="0" w:oddVBand="0" w:evenVBand="0" w:oddHBand="0" w:evenHBand="0" w:firstRowFirstColumn="0" w:firstRowLastColumn="0" w:lastRowFirstColumn="0" w:lastRowLastColumn="0"/>
          <w:trHeight w:val="250"/>
        </w:trPr>
        <w:tc>
          <w:tcPr>
            <w:tcW w:w="2254" w:type="dxa"/>
          </w:tcPr>
          <w:p w14:paraId="03E39B35" w14:textId="0009179A" w:rsidR="00F60443" w:rsidRDefault="00985D17" w:rsidP="00EB6438">
            <w:pPr>
              <w:pStyle w:val="BodyText"/>
            </w:pPr>
            <w:r>
              <w:t>Impact</w:t>
            </w:r>
          </w:p>
        </w:tc>
        <w:tc>
          <w:tcPr>
            <w:tcW w:w="2469" w:type="dxa"/>
          </w:tcPr>
          <w:p w14:paraId="4DC5FA2C" w14:textId="69C9C010" w:rsidR="00F60443" w:rsidRDefault="003D7E78" w:rsidP="00EB6438">
            <w:pPr>
              <w:pStyle w:val="BodyText"/>
            </w:pPr>
            <w:r>
              <w:t>Group</w:t>
            </w:r>
          </w:p>
        </w:tc>
        <w:tc>
          <w:tcPr>
            <w:tcW w:w="3510" w:type="dxa"/>
          </w:tcPr>
          <w:p w14:paraId="3F1B537C" w14:textId="53388CC6" w:rsidR="00F60443" w:rsidRDefault="00592010" w:rsidP="00EB6438">
            <w:pPr>
              <w:pStyle w:val="BodyText"/>
            </w:pPr>
            <w:r>
              <w:t>Type of impact</w:t>
            </w:r>
          </w:p>
        </w:tc>
        <w:tc>
          <w:tcPr>
            <w:tcW w:w="1926" w:type="dxa"/>
          </w:tcPr>
          <w:p w14:paraId="0E255188" w14:textId="5C562C35" w:rsidR="00195377" w:rsidRDefault="004C6D67" w:rsidP="00195377">
            <w:pPr>
              <w:pStyle w:val="BodyText"/>
            </w:pPr>
            <w:r>
              <w:t>I</w:t>
            </w:r>
            <w:r w:rsidR="0073363C">
              <w:t>mpact</w:t>
            </w:r>
          </w:p>
        </w:tc>
      </w:tr>
      <w:tr w:rsidR="00865332" w:rsidRPr="0015537B" w14:paraId="69D929B9" w14:textId="77777777" w:rsidTr="0073363C">
        <w:trPr>
          <w:trHeight w:val="250"/>
        </w:trPr>
        <w:tc>
          <w:tcPr>
            <w:tcW w:w="2254" w:type="dxa"/>
            <w:vMerge w:val="restart"/>
          </w:tcPr>
          <w:p w14:paraId="11DE51C8" w14:textId="5EE531BA" w:rsidR="00865332" w:rsidRPr="00DA7726" w:rsidRDefault="00752C8E" w:rsidP="00EB6438">
            <w:pPr>
              <w:rPr>
                <w:sz w:val="18"/>
                <w:szCs w:val="18"/>
              </w:rPr>
            </w:pPr>
            <w:r>
              <w:rPr>
                <w:sz w:val="18"/>
                <w:szCs w:val="18"/>
              </w:rPr>
              <w:t xml:space="preserve">3. </w:t>
            </w:r>
            <w:r w:rsidR="00865332">
              <w:rPr>
                <w:sz w:val="18"/>
                <w:szCs w:val="18"/>
              </w:rPr>
              <w:t>Regulatory costs</w:t>
            </w:r>
          </w:p>
        </w:tc>
        <w:tc>
          <w:tcPr>
            <w:tcW w:w="2469" w:type="dxa"/>
          </w:tcPr>
          <w:p w14:paraId="18F42B0B" w14:textId="34A32708" w:rsidR="00865332" w:rsidRPr="00DA7726" w:rsidRDefault="00865332" w:rsidP="00EB6438">
            <w:pPr>
              <w:rPr>
                <w:sz w:val="18"/>
                <w:szCs w:val="18"/>
              </w:rPr>
            </w:pPr>
            <w:r>
              <w:rPr>
                <w:sz w:val="18"/>
                <w:szCs w:val="18"/>
              </w:rPr>
              <w:t>Superannuation funds</w:t>
            </w:r>
          </w:p>
        </w:tc>
        <w:tc>
          <w:tcPr>
            <w:tcW w:w="3510" w:type="dxa"/>
          </w:tcPr>
          <w:p w14:paraId="6A24001D" w14:textId="69BCE34A" w:rsidR="00865332" w:rsidRPr="00DA7726" w:rsidRDefault="00407BCC" w:rsidP="0013623D">
            <w:pPr>
              <w:pStyle w:val="TableBullet"/>
              <w:numPr>
                <w:ilvl w:val="0"/>
                <w:numId w:val="0"/>
              </w:numPr>
              <w:rPr>
                <w:szCs w:val="18"/>
              </w:rPr>
            </w:pPr>
            <w:r>
              <w:rPr>
                <w:szCs w:val="18"/>
              </w:rPr>
              <w:t>Administrative costs</w:t>
            </w:r>
          </w:p>
        </w:tc>
        <w:tc>
          <w:tcPr>
            <w:tcW w:w="1926" w:type="dxa"/>
          </w:tcPr>
          <w:p w14:paraId="5767106C" w14:textId="17F5BE55" w:rsidR="00195377" w:rsidRDefault="000441D4" w:rsidP="00831C62">
            <w:pPr>
              <w:pStyle w:val="TableNumbering"/>
              <w:numPr>
                <w:ilvl w:val="0"/>
                <w:numId w:val="0"/>
              </w:numPr>
              <w:jc w:val="right"/>
              <w:rPr>
                <w:szCs w:val="18"/>
              </w:rPr>
            </w:pPr>
            <w:r>
              <w:rPr>
                <w:szCs w:val="18"/>
              </w:rPr>
              <w:t>0.</w:t>
            </w:r>
            <w:r w:rsidR="00D10B1B">
              <w:rPr>
                <w:szCs w:val="18"/>
              </w:rPr>
              <w:t>6</w:t>
            </w:r>
          </w:p>
        </w:tc>
      </w:tr>
      <w:tr w:rsidR="00865332" w:rsidRPr="0015537B" w14:paraId="597018BB" w14:textId="77777777" w:rsidTr="0073363C">
        <w:trPr>
          <w:trHeight w:val="250"/>
        </w:trPr>
        <w:tc>
          <w:tcPr>
            <w:tcW w:w="2254" w:type="dxa"/>
            <w:vMerge/>
          </w:tcPr>
          <w:p w14:paraId="2B90143B" w14:textId="77777777" w:rsidR="00865332" w:rsidRDefault="00865332" w:rsidP="00EB6438">
            <w:pPr>
              <w:rPr>
                <w:sz w:val="18"/>
                <w:szCs w:val="18"/>
              </w:rPr>
            </w:pPr>
          </w:p>
        </w:tc>
        <w:tc>
          <w:tcPr>
            <w:tcW w:w="2469" w:type="dxa"/>
          </w:tcPr>
          <w:p w14:paraId="5164DEA5" w14:textId="00EC4BE7" w:rsidR="00865332" w:rsidRPr="00DA7726" w:rsidRDefault="00865332" w:rsidP="00EB6438">
            <w:pPr>
              <w:rPr>
                <w:sz w:val="18"/>
                <w:szCs w:val="18"/>
              </w:rPr>
            </w:pPr>
            <w:r>
              <w:rPr>
                <w:sz w:val="18"/>
                <w:szCs w:val="18"/>
              </w:rPr>
              <w:t>Digital service providers</w:t>
            </w:r>
          </w:p>
        </w:tc>
        <w:tc>
          <w:tcPr>
            <w:tcW w:w="3510" w:type="dxa"/>
          </w:tcPr>
          <w:p w14:paraId="25BE3729" w14:textId="5B78FB2A" w:rsidR="00865332" w:rsidRPr="00DA7726" w:rsidRDefault="00407BCC" w:rsidP="0013623D">
            <w:pPr>
              <w:pStyle w:val="TableBullet"/>
              <w:numPr>
                <w:ilvl w:val="0"/>
                <w:numId w:val="0"/>
              </w:numPr>
              <w:rPr>
                <w:szCs w:val="18"/>
              </w:rPr>
            </w:pPr>
            <w:r>
              <w:rPr>
                <w:szCs w:val="18"/>
              </w:rPr>
              <w:t>Administrative costs</w:t>
            </w:r>
          </w:p>
        </w:tc>
        <w:tc>
          <w:tcPr>
            <w:tcW w:w="1926" w:type="dxa"/>
          </w:tcPr>
          <w:p w14:paraId="08AD15D3" w14:textId="408CCB7E" w:rsidR="00195377" w:rsidRDefault="00B264CF" w:rsidP="00831C62">
            <w:pPr>
              <w:pStyle w:val="TableNumbering"/>
              <w:numPr>
                <w:ilvl w:val="0"/>
                <w:numId w:val="0"/>
              </w:numPr>
              <w:jc w:val="right"/>
              <w:rPr>
                <w:szCs w:val="18"/>
              </w:rPr>
            </w:pPr>
            <w:r>
              <w:rPr>
                <w:szCs w:val="18"/>
              </w:rPr>
              <w:t>0.</w:t>
            </w:r>
            <w:r w:rsidR="00E05C10">
              <w:rPr>
                <w:szCs w:val="18"/>
              </w:rPr>
              <w:t>1</w:t>
            </w:r>
          </w:p>
        </w:tc>
      </w:tr>
      <w:tr w:rsidR="00A30193" w:rsidRPr="0015537B" w14:paraId="4603B07D" w14:textId="77777777" w:rsidTr="0073363C">
        <w:trPr>
          <w:trHeight w:val="250"/>
        </w:trPr>
        <w:tc>
          <w:tcPr>
            <w:tcW w:w="2254" w:type="dxa"/>
            <w:vMerge/>
          </w:tcPr>
          <w:p w14:paraId="28EDCCCA" w14:textId="77777777" w:rsidR="00A30193" w:rsidRDefault="00A30193" w:rsidP="00EB6438">
            <w:pPr>
              <w:rPr>
                <w:sz w:val="18"/>
                <w:szCs w:val="18"/>
              </w:rPr>
            </w:pPr>
          </w:p>
        </w:tc>
        <w:tc>
          <w:tcPr>
            <w:tcW w:w="2469" w:type="dxa"/>
          </w:tcPr>
          <w:p w14:paraId="45D61F6C" w14:textId="21D13218" w:rsidR="00A30193" w:rsidRDefault="00A30193" w:rsidP="00EB6438">
            <w:pPr>
              <w:rPr>
                <w:sz w:val="18"/>
                <w:szCs w:val="18"/>
              </w:rPr>
            </w:pPr>
            <w:r>
              <w:rPr>
                <w:sz w:val="18"/>
                <w:szCs w:val="18"/>
              </w:rPr>
              <w:t>Employees</w:t>
            </w:r>
            <w:r w:rsidR="00F717FA">
              <w:rPr>
                <w:sz w:val="18"/>
                <w:szCs w:val="18"/>
              </w:rPr>
              <w:t xml:space="preserve"> </w:t>
            </w:r>
          </w:p>
        </w:tc>
        <w:tc>
          <w:tcPr>
            <w:tcW w:w="3510" w:type="dxa"/>
          </w:tcPr>
          <w:p w14:paraId="42805B5C" w14:textId="3B0644EB" w:rsidR="00A30193" w:rsidRDefault="000C0247" w:rsidP="0013623D">
            <w:pPr>
              <w:pStyle w:val="TableBullet"/>
              <w:numPr>
                <w:ilvl w:val="0"/>
                <w:numId w:val="0"/>
              </w:numPr>
              <w:rPr>
                <w:szCs w:val="18"/>
              </w:rPr>
            </w:pPr>
            <w:r>
              <w:rPr>
                <w:szCs w:val="18"/>
              </w:rPr>
              <w:t>Automation of manual process</w:t>
            </w:r>
            <w:r w:rsidR="0067536E">
              <w:rPr>
                <w:szCs w:val="18"/>
              </w:rPr>
              <w:t xml:space="preserve"> </w:t>
            </w:r>
            <w:r w:rsidR="00A4607F">
              <w:rPr>
                <w:szCs w:val="18"/>
              </w:rPr>
              <w:t xml:space="preserve"> </w:t>
            </w:r>
          </w:p>
        </w:tc>
        <w:tc>
          <w:tcPr>
            <w:tcW w:w="1926" w:type="dxa"/>
          </w:tcPr>
          <w:p w14:paraId="513DAC31" w14:textId="746771D8" w:rsidR="00A30193" w:rsidRDefault="00861DDD" w:rsidP="00831C62">
            <w:pPr>
              <w:pStyle w:val="TableNumbering"/>
              <w:numPr>
                <w:ilvl w:val="0"/>
                <w:numId w:val="0"/>
              </w:numPr>
              <w:jc w:val="right"/>
              <w:rPr>
                <w:szCs w:val="18"/>
              </w:rPr>
            </w:pPr>
            <w:r>
              <w:rPr>
                <w:szCs w:val="18"/>
              </w:rPr>
              <w:t>(</w:t>
            </w:r>
            <w:r w:rsidR="004C6D67">
              <w:rPr>
                <w:szCs w:val="18"/>
              </w:rPr>
              <w:t>5</w:t>
            </w:r>
            <w:r w:rsidR="00C91CC2">
              <w:rPr>
                <w:szCs w:val="18"/>
              </w:rPr>
              <w:t>.</w:t>
            </w:r>
            <w:r w:rsidR="008E30E7">
              <w:rPr>
                <w:szCs w:val="18"/>
              </w:rPr>
              <w:t>5</w:t>
            </w:r>
            <w:r w:rsidR="00C91CC2">
              <w:rPr>
                <w:szCs w:val="18"/>
              </w:rPr>
              <w:t>)</w:t>
            </w:r>
          </w:p>
        </w:tc>
      </w:tr>
      <w:tr w:rsidR="0013623D" w:rsidRPr="0015537B" w14:paraId="56525829" w14:textId="77777777" w:rsidTr="0073363C">
        <w:trPr>
          <w:trHeight w:val="250"/>
        </w:trPr>
        <w:tc>
          <w:tcPr>
            <w:tcW w:w="2254" w:type="dxa"/>
          </w:tcPr>
          <w:p w14:paraId="0CB04327" w14:textId="0D048D7F" w:rsidR="0013623D" w:rsidRPr="00DA7726" w:rsidRDefault="00752C8E" w:rsidP="00EB6438">
            <w:pPr>
              <w:rPr>
                <w:sz w:val="18"/>
                <w:szCs w:val="18"/>
              </w:rPr>
            </w:pPr>
            <w:r>
              <w:rPr>
                <w:sz w:val="18"/>
                <w:szCs w:val="18"/>
              </w:rPr>
              <w:t xml:space="preserve">4. </w:t>
            </w:r>
            <w:r w:rsidR="007914D1">
              <w:rPr>
                <w:sz w:val="18"/>
                <w:szCs w:val="18"/>
              </w:rPr>
              <w:t>Government expenditure</w:t>
            </w:r>
          </w:p>
        </w:tc>
        <w:tc>
          <w:tcPr>
            <w:tcW w:w="2469" w:type="dxa"/>
          </w:tcPr>
          <w:p w14:paraId="610CF12E" w14:textId="65283030" w:rsidR="0013623D" w:rsidRPr="00DA7726" w:rsidRDefault="007914D1" w:rsidP="00EB6438">
            <w:pPr>
              <w:rPr>
                <w:sz w:val="18"/>
                <w:szCs w:val="18"/>
              </w:rPr>
            </w:pPr>
            <w:r>
              <w:rPr>
                <w:sz w:val="18"/>
                <w:szCs w:val="18"/>
              </w:rPr>
              <w:t>ATO</w:t>
            </w:r>
          </w:p>
        </w:tc>
        <w:tc>
          <w:tcPr>
            <w:tcW w:w="3510" w:type="dxa"/>
          </w:tcPr>
          <w:p w14:paraId="488D4C86" w14:textId="46DDA3B0" w:rsidR="0013623D" w:rsidRPr="00DA7726" w:rsidRDefault="00865332" w:rsidP="0013623D">
            <w:pPr>
              <w:pStyle w:val="TableBullet"/>
              <w:numPr>
                <w:ilvl w:val="0"/>
                <w:numId w:val="0"/>
              </w:numPr>
              <w:rPr>
                <w:szCs w:val="18"/>
              </w:rPr>
            </w:pPr>
            <w:r>
              <w:rPr>
                <w:szCs w:val="18"/>
              </w:rPr>
              <w:t>Implementation costs</w:t>
            </w:r>
          </w:p>
        </w:tc>
        <w:tc>
          <w:tcPr>
            <w:tcW w:w="1926" w:type="dxa"/>
          </w:tcPr>
          <w:p w14:paraId="7DDE0265" w14:textId="468E5603" w:rsidR="00195377" w:rsidRDefault="00FD448B" w:rsidP="00831C62">
            <w:pPr>
              <w:pStyle w:val="TableNumbering"/>
              <w:numPr>
                <w:ilvl w:val="0"/>
                <w:numId w:val="0"/>
              </w:numPr>
              <w:jc w:val="right"/>
              <w:rPr>
                <w:szCs w:val="18"/>
              </w:rPr>
            </w:pPr>
            <w:r>
              <w:rPr>
                <w:szCs w:val="18"/>
              </w:rPr>
              <w:t>27.0</w:t>
            </w:r>
          </w:p>
        </w:tc>
      </w:tr>
    </w:tbl>
    <w:p w14:paraId="263EFEAF" w14:textId="0A5CDCFE" w:rsidR="008A33A3" w:rsidRPr="008A33A3" w:rsidRDefault="00D94891" w:rsidP="0023639F">
      <w:pPr>
        <w:pStyle w:val="Heading2"/>
      </w:pPr>
      <w:bookmarkStart w:id="49" w:name="_Toc134198468"/>
      <w:r w:rsidRPr="00B820D9">
        <w:t xml:space="preserve">4.3 Option 3 – </w:t>
      </w:r>
      <w:r w:rsidR="00384D94" w:rsidRPr="00B820D9">
        <w:t>SG on payday</w:t>
      </w:r>
      <w:bookmarkEnd w:id="49"/>
    </w:p>
    <w:p w14:paraId="3CE6D66E" w14:textId="26A6160F" w:rsidR="00354E6D" w:rsidRDefault="00F57E74" w:rsidP="00A531D4">
      <w:r>
        <w:t xml:space="preserve">Option 3 would require employers to pay their SG obligations </w:t>
      </w:r>
      <w:r w:rsidR="00F27FA0">
        <w:t xml:space="preserve">at the same time as salary and </w:t>
      </w:r>
      <w:r>
        <w:t xml:space="preserve">wages. Alongside changes to the SG </w:t>
      </w:r>
      <w:r w:rsidR="005D5A67">
        <w:t>c</w:t>
      </w:r>
      <w:r>
        <w:t xml:space="preserve">harge to operationalise this change, this would </w:t>
      </w:r>
      <w:r w:rsidR="00493681">
        <w:t xml:space="preserve">the </w:t>
      </w:r>
      <w:r w:rsidR="00833A6C">
        <w:t xml:space="preserve">improve </w:t>
      </w:r>
      <w:r>
        <w:t xml:space="preserve">timely </w:t>
      </w:r>
      <w:r w:rsidR="0042167D">
        <w:t xml:space="preserve">payment of SG obligations and </w:t>
      </w:r>
      <w:r w:rsidR="00835611">
        <w:t>enable quicker recovery of unpaid amounts.</w:t>
      </w:r>
    </w:p>
    <w:p w14:paraId="0ED30B63" w14:textId="3AB10637" w:rsidR="00923BDE" w:rsidRDefault="006E776F" w:rsidP="00923BDE">
      <w:pPr>
        <w:pStyle w:val="Heading3"/>
      </w:pPr>
      <w:bookmarkStart w:id="50" w:name="_Toc134198469"/>
      <w:r>
        <w:t xml:space="preserve">Impact 1: </w:t>
      </w:r>
      <w:r w:rsidR="00923BDE">
        <w:t>Fewer instances of unpaid SG</w:t>
      </w:r>
      <w:bookmarkEnd w:id="50"/>
      <w:r w:rsidR="00923BDE">
        <w:t xml:space="preserve"> </w:t>
      </w:r>
    </w:p>
    <w:p w14:paraId="76AFCC99" w14:textId="77777777" w:rsidR="00C02344" w:rsidRDefault="00C21428" w:rsidP="00C21428">
      <w:pPr>
        <w:pStyle w:val="BodyText"/>
      </w:pPr>
      <w:r w:rsidDel="006D11F7">
        <w:t xml:space="preserve">Changing the SG payment frequency to align with wages would address a major underlying issue identified in Section 1 leading to under and non-payment of the SG. This Option would address the visibility issues created by unaligned transactions, </w:t>
      </w:r>
      <w:r>
        <w:t xml:space="preserve">SG </w:t>
      </w:r>
      <w:r w:rsidDel="006D11F7">
        <w:t>debts</w:t>
      </w:r>
      <w:r>
        <w:t xml:space="preserve"> in </w:t>
      </w:r>
      <w:r w:rsidDel="006D11F7">
        <w:t>insolvency and cash-flow management strategies which all drive higher rates of unpaid SG.</w:t>
      </w:r>
      <w:r w:rsidR="00346063">
        <w:t xml:space="preserve"> </w:t>
      </w:r>
    </w:p>
    <w:p w14:paraId="4B135583" w14:textId="0ACD47A4" w:rsidR="00C21428" w:rsidRPr="00CB0BA2" w:rsidRDefault="00FE692A" w:rsidP="00C21428">
      <w:pPr>
        <w:pStyle w:val="BodyText"/>
      </w:pPr>
      <w:r>
        <w:t>The change would most impact employer segments more likely to underpay SG. As outlined in Section 4.2, micro businesses and SMEs are most likely to have unpaid SG</w:t>
      </w:r>
      <w:r w:rsidR="000A1826">
        <w:t>.</w:t>
      </w:r>
      <w:r>
        <w:t xml:space="preserve"> </w:t>
      </w:r>
      <w:r w:rsidR="000A1826">
        <w:t>These</w:t>
      </w:r>
      <w:r>
        <w:t xml:space="preserve"> employer segments are also most likely to pay the SG less frequently than wages. In 2021-22, 69 per cent of micro-businesses, and 46 per cent of SMEs paid SG quarterly.</w:t>
      </w:r>
      <w:r>
        <w:rPr>
          <w:rStyle w:val="FootnoteReference"/>
        </w:rPr>
        <w:footnoteReference w:id="36"/>
      </w:r>
      <w:r>
        <w:t xml:space="preserve"> Comparatively, only 13 per cent of Government and 15 per cent of large</w:t>
      </w:r>
      <w:r>
        <w:noBreakHyphen/>
        <w:t>market employers paid SG quarterly.</w:t>
      </w:r>
    </w:p>
    <w:p w14:paraId="09A238A0" w14:textId="0042107C" w:rsidR="004326C4" w:rsidRDefault="00FE692A" w:rsidP="00A531D4">
      <w:r>
        <w:t>As t</w:t>
      </w:r>
      <w:r w:rsidR="00923BDE">
        <w:t xml:space="preserve">his option will </w:t>
      </w:r>
      <w:r w:rsidR="002554B8">
        <w:t xml:space="preserve">address the underlying </w:t>
      </w:r>
      <w:r w:rsidR="00FB0FE1">
        <w:t xml:space="preserve">issue </w:t>
      </w:r>
      <w:r w:rsidR="00997808">
        <w:t>of delay</w:t>
      </w:r>
      <w:r w:rsidR="00864A4D">
        <w:t>s in receiving</w:t>
      </w:r>
      <w:r w:rsidR="00997808">
        <w:t xml:space="preserve"> SG contribut</w:t>
      </w:r>
      <w:r w:rsidR="00C87470">
        <w:t>ion</w:t>
      </w:r>
      <w:r w:rsidR="00997808">
        <w:t xml:space="preserve">s, </w:t>
      </w:r>
      <w:r w:rsidR="00DD0EBD">
        <w:t xml:space="preserve">particularly for </w:t>
      </w:r>
      <w:r w:rsidR="00864A4D">
        <w:t>key employer segments</w:t>
      </w:r>
      <w:r w:rsidR="00DD0EBD">
        <w:t>,</w:t>
      </w:r>
      <w:r w:rsidR="00864A4D">
        <w:t xml:space="preserve"> </w:t>
      </w:r>
      <w:r w:rsidR="00997808">
        <w:t>it</w:t>
      </w:r>
      <w:r w:rsidR="00923BDE">
        <w:t xml:space="preserve"> will </w:t>
      </w:r>
      <w:r w:rsidR="009367DC">
        <w:t xml:space="preserve">have a </w:t>
      </w:r>
      <w:r w:rsidR="00F0768B" w:rsidRPr="007E7CDF">
        <w:rPr>
          <w:b/>
        </w:rPr>
        <w:t>substantial</w:t>
      </w:r>
      <w:r w:rsidR="009367DC" w:rsidRPr="007E7CDF">
        <w:rPr>
          <w:b/>
        </w:rPr>
        <w:t xml:space="preserve"> impact</w:t>
      </w:r>
      <w:r w:rsidR="009367DC">
        <w:t xml:space="preserve"> on </w:t>
      </w:r>
      <w:r w:rsidR="00923BDE">
        <w:t>reduc</w:t>
      </w:r>
      <w:r w:rsidR="009367DC">
        <w:t>ing</w:t>
      </w:r>
      <w:r w:rsidR="00923BDE">
        <w:t xml:space="preserve"> the incidence of unpaid SG by requiring employers to </w:t>
      </w:r>
      <w:r w:rsidR="001530AC">
        <w:t>meet</w:t>
      </w:r>
      <w:r w:rsidR="00923BDE">
        <w:t xml:space="preserve"> their </w:t>
      </w:r>
      <w:r w:rsidR="00025F05">
        <w:t xml:space="preserve">SG </w:t>
      </w:r>
      <w:r w:rsidR="00923BDE">
        <w:t xml:space="preserve">obligations at every pay cycle and creating stronger disincentives to leaving SG unpaid. </w:t>
      </w:r>
      <w:r w:rsidR="0088141B">
        <w:t xml:space="preserve"> </w:t>
      </w:r>
    </w:p>
    <w:p w14:paraId="208876FF" w14:textId="77777777" w:rsidR="005A3A72" w:rsidRPr="005A3A72" w:rsidRDefault="0069229D">
      <w:r>
        <w:t xml:space="preserve">The impact this will have on SG compliance is </w:t>
      </w:r>
      <w:r>
        <w:rPr>
          <w:lang w:val="en-GB"/>
        </w:rPr>
        <w:t xml:space="preserve">unquantifiable due to uncertainty around </w:t>
      </w:r>
      <w:r w:rsidR="007E554A">
        <w:rPr>
          <w:lang w:val="en-GB"/>
        </w:rPr>
        <w:t xml:space="preserve">the level of </w:t>
      </w:r>
      <w:r>
        <w:rPr>
          <w:lang w:val="en-GB"/>
        </w:rPr>
        <w:t>additional unpaid SG which could be recovered and the behavioural impact on employers. To the extent this option reduces the amount of SG which go</w:t>
      </w:r>
      <w:r w:rsidR="00AC4EBF">
        <w:rPr>
          <w:lang w:val="en-GB"/>
        </w:rPr>
        <w:t>es</w:t>
      </w:r>
      <w:r>
        <w:rPr>
          <w:lang w:val="en-GB"/>
        </w:rPr>
        <w:t xml:space="preserve"> unpaid </w:t>
      </w:r>
      <w:r w:rsidR="000575AB">
        <w:rPr>
          <w:lang w:val="en-GB"/>
        </w:rPr>
        <w:t xml:space="preserve">can be considered </w:t>
      </w:r>
      <w:r>
        <w:rPr>
          <w:lang w:val="en-GB"/>
        </w:rPr>
        <w:t>under</w:t>
      </w:r>
      <w:r w:rsidR="000575AB">
        <w:rPr>
          <w:lang w:val="en-GB"/>
        </w:rPr>
        <w:t xml:space="preserve"> the</w:t>
      </w:r>
      <w:r>
        <w:rPr>
          <w:lang w:val="en-GB"/>
        </w:rPr>
        <w:t xml:space="preserve"> </w:t>
      </w:r>
      <w:r w:rsidR="00F126E9">
        <w:rPr>
          <w:lang w:val="en-GB"/>
        </w:rPr>
        <w:t xml:space="preserve">4 </w:t>
      </w:r>
      <w:r>
        <w:rPr>
          <w:lang w:val="en-GB"/>
        </w:rPr>
        <w:t>scenarios given by</w:t>
      </w:r>
      <w:r>
        <w:rPr>
          <w:lang w:val="en-GB"/>
        </w:rPr>
        <w:fldChar w:fldCharType="begin"/>
      </w:r>
      <w:r>
        <w:rPr>
          <w:lang w:val="en-GB"/>
        </w:rPr>
        <w:instrText xml:space="preserve"> REF _Ref130507614 \h  \* MERGEFORMAT </w:instrText>
      </w:r>
      <w:r>
        <w:rPr>
          <w:lang w:val="en-GB"/>
        </w:rPr>
      </w:r>
      <w:r>
        <w:rPr>
          <w:lang w:val="en-GB"/>
        </w:rPr>
        <w:fldChar w:fldCharType="separate"/>
      </w:r>
    </w:p>
    <w:p w14:paraId="516880B9" w14:textId="6049A9CD" w:rsidR="00923BDE" w:rsidRPr="00BF31E4" w:rsidRDefault="005A3A72" w:rsidP="00A531D4">
      <w:r w:rsidRPr="004366AE">
        <w:t xml:space="preserve">Table </w:t>
      </w:r>
      <w:r w:rsidR="0069229D">
        <w:rPr>
          <w:lang w:val="en-GB"/>
        </w:rPr>
        <w:fldChar w:fldCharType="end"/>
      </w:r>
      <w:r w:rsidR="0069229D">
        <w:rPr>
          <w:lang w:val="en-GB"/>
        </w:rPr>
        <w:t>2. For example, if the $2</w:t>
      </w:r>
      <w:r w:rsidR="00570A71">
        <w:rPr>
          <w:lang w:val="en-GB"/>
        </w:rPr>
        <w:t>01.6</w:t>
      </w:r>
      <w:r w:rsidR="0069229D">
        <w:rPr>
          <w:lang w:val="en-GB"/>
        </w:rPr>
        <w:t xml:space="preserve"> million investment in Option 3 improved the </w:t>
      </w:r>
      <w:r w:rsidR="008E65BD">
        <w:rPr>
          <w:lang w:val="en-GB"/>
        </w:rPr>
        <w:t>SG gap by 5 per cent, a</w:t>
      </w:r>
      <w:r w:rsidR="0069229D">
        <w:rPr>
          <w:lang w:val="en-GB"/>
        </w:rPr>
        <w:t xml:space="preserve">s shown in </w:t>
      </w:r>
      <w:r w:rsidR="00637C70">
        <w:rPr>
          <w:lang w:val="en-GB"/>
        </w:rPr>
        <w:t>T</w:t>
      </w:r>
      <w:r w:rsidR="0069229D">
        <w:rPr>
          <w:lang w:val="en-GB"/>
        </w:rPr>
        <w:t>able 2</w:t>
      </w:r>
      <w:r w:rsidR="009F6762">
        <w:rPr>
          <w:lang w:val="en-GB"/>
        </w:rPr>
        <w:t xml:space="preserve"> this would result in additional $202 million of SG contributions paid each year</w:t>
      </w:r>
      <w:r w:rsidR="0069229D">
        <w:rPr>
          <w:lang w:val="en-GB"/>
        </w:rPr>
        <w:t xml:space="preserve">. </w:t>
      </w:r>
    </w:p>
    <w:p w14:paraId="311F160B" w14:textId="77777777" w:rsidR="00923BDE" w:rsidRDefault="00923BDE" w:rsidP="00923BDE">
      <w:pPr>
        <w:pStyle w:val="Heading4"/>
      </w:pPr>
      <w:r w:rsidRPr="002A2288">
        <w:t>Employers</w:t>
      </w:r>
    </w:p>
    <w:p w14:paraId="053EE8ED" w14:textId="59B69890" w:rsidR="00923BDE" w:rsidRDefault="004B4F19" w:rsidP="00F82FC3">
      <w:r>
        <w:t xml:space="preserve">The requirement </w:t>
      </w:r>
      <w:r w:rsidR="00923BDE">
        <w:t xml:space="preserve">to pay </w:t>
      </w:r>
      <w:r w:rsidR="002B542F">
        <w:t xml:space="preserve">the </w:t>
      </w:r>
      <w:r w:rsidR="00923BDE">
        <w:t>SG alongside wages</w:t>
      </w:r>
      <w:r>
        <w:t xml:space="preserve"> </w:t>
      </w:r>
      <w:r w:rsidR="008516E7">
        <w:t xml:space="preserve">would </w:t>
      </w:r>
      <w:r w:rsidR="00A9738D">
        <w:t>involve</w:t>
      </w:r>
      <w:r w:rsidR="008516E7">
        <w:t xml:space="preserve"> </w:t>
      </w:r>
      <w:r>
        <w:t>the redesigned SG charge</w:t>
      </w:r>
      <w:r w:rsidR="00A9738D">
        <w:t>.</w:t>
      </w:r>
      <w:r>
        <w:t xml:space="preserve"> </w:t>
      </w:r>
      <w:r w:rsidR="00A9738D">
        <w:t>A</w:t>
      </w:r>
      <w:r>
        <w:t>lign</w:t>
      </w:r>
      <w:r w:rsidR="00A9738D">
        <w:t>ing the SG charge</w:t>
      </w:r>
      <w:r>
        <w:t xml:space="preserve"> with an SG on payday</w:t>
      </w:r>
      <w:r w:rsidR="00923BDE">
        <w:t xml:space="preserve"> will provide bigger disincentives for employers to neglect paying </w:t>
      </w:r>
      <w:r w:rsidR="004E2871">
        <w:t>the</w:t>
      </w:r>
      <w:r w:rsidR="00923BDE">
        <w:t xml:space="preserve"> SG, as the charge will accrue more frequently. Further changes to the </w:t>
      </w:r>
      <w:r w:rsidR="00866D35">
        <w:t xml:space="preserve">SG </w:t>
      </w:r>
      <w:r w:rsidR="00923BDE">
        <w:t xml:space="preserve">charge structure, including increased ATO flexibility in remitting the </w:t>
      </w:r>
      <w:r w:rsidR="000371FF">
        <w:t>redesigned</w:t>
      </w:r>
      <w:r w:rsidR="00923BDE">
        <w:t xml:space="preserve"> </w:t>
      </w:r>
      <w:r w:rsidR="00C40EFF">
        <w:t>SG</w:t>
      </w:r>
      <w:r w:rsidR="00923BDE">
        <w:t xml:space="preserve"> charge in discrete circumstances</w:t>
      </w:r>
      <w:r w:rsidR="00A7652D">
        <w:t xml:space="preserve"> </w:t>
      </w:r>
      <w:r w:rsidR="00A7652D" w:rsidRPr="00C622A7">
        <w:t>such as in the case of natural disasters</w:t>
      </w:r>
      <w:r w:rsidR="00923BDE" w:rsidRPr="00C622A7">
        <w:t xml:space="preserve">, will </w:t>
      </w:r>
      <w:r w:rsidR="00923BDE">
        <w:t xml:space="preserve">ensure </w:t>
      </w:r>
      <w:r w:rsidR="00974F6C">
        <w:t xml:space="preserve">that </w:t>
      </w:r>
      <w:r w:rsidR="00923BDE">
        <w:t xml:space="preserve">employers are </w:t>
      </w:r>
      <w:r w:rsidR="005D007A">
        <w:t xml:space="preserve">incentivised </w:t>
      </w:r>
      <w:r w:rsidR="00923BDE">
        <w:t xml:space="preserve">adequately but fairly to pay their SG obligations on time. </w:t>
      </w:r>
    </w:p>
    <w:p w14:paraId="6F1BAD75" w14:textId="2B24FCEF" w:rsidR="00E03D31" w:rsidRDefault="00E03D31" w:rsidP="00A531D4">
      <w:r>
        <w:t>Employers which may not previously have been compliant with their SG obligations will be required to manage the cash flow impacts of paying the SG more contemporaneously on an ongoing basis, rather than finding they cannot meet their SG obligations at the end of the quarter.</w:t>
      </w:r>
    </w:p>
    <w:p w14:paraId="2E711484" w14:textId="4D07BA75" w:rsidR="000F2A2E" w:rsidRDefault="000F2A2E" w:rsidP="00A531D4">
      <w:r>
        <w:t xml:space="preserve">As outlined in Section 1.2, currently there are potentially market competition and profitability advantages for employers which do not pay their employee’s SG entitlements in full, and do not have SG </w:t>
      </w:r>
      <w:r w:rsidR="00E84EBE">
        <w:t>c</w:t>
      </w:r>
      <w:r>
        <w:t xml:space="preserve">harge liabilities raised. If SG </w:t>
      </w:r>
      <w:r w:rsidR="00E84EBE">
        <w:t>c</w:t>
      </w:r>
      <w:r>
        <w:t xml:space="preserve">harge liabilities are raised and recovered by the ATO more efficiently because of improved </w:t>
      </w:r>
      <w:r w:rsidR="00E92A06">
        <w:t xml:space="preserve">timeliness </w:t>
      </w:r>
      <w:r w:rsidR="008B2532">
        <w:t>of identification</w:t>
      </w:r>
      <w:r w:rsidR="00E92A06">
        <w:t xml:space="preserve"> </w:t>
      </w:r>
      <w:r>
        <w:t>such non-compliant employers would have a reduced competitive advantage over employers which are consistently complying with their SG obligations.</w:t>
      </w:r>
    </w:p>
    <w:p w14:paraId="597A82F2" w14:textId="77777777" w:rsidR="00923BDE" w:rsidRDefault="00923BDE" w:rsidP="00923BDE">
      <w:pPr>
        <w:pStyle w:val="Heading4"/>
      </w:pPr>
      <w:r w:rsidRPr="00877F13">
        <w:t>Employees</w:t>
      </w:r>
    </w:p>
    <w:p w14:paraId="4BFE5641" w14:textId="77777777" w:rsidR="00923BDE" w:rsidRPr="008A33A3" w:rsidRDefault="00923BDE" w:rsidP="00923BDE">
      <w:pPr>
        <w:pStyle w:val="Bullet"/>
        <w:numPr>
          <w:ilvl w:val="0"/>
          <w:numId w:val="0"/>
        </w:numPr>
      </w:pPr>
      <w:r w:rsidRPr="00866090">
        <w:t xml:space="preserve">Through more frequent SG contributions, employees may see an increase in their retirement income, because of improved compliance with SG obligations by employers. </w:t>
      </w:r>
    </w:p>
    <w:p w14:paraId="64A2F8B2" w14:textId="43DD08DA" w:rsidR="00C47C6B" w:rsidRDefault="006E776F" w:rsidP="00C47C6B">
      <w:pPr>
        <w:pStyle w:val="Heading3"/>
      </w:pPr>
      <w:bookmarkStart w:id="51" w:name="_Toc134198470"/>
      <w:r>
        <w:t xml:space="preserve">Impact </w:t>
      </w:r>
      <w:r w:rsidR="00923BDE">
        <w:t>2</w:t>
      </w:r>
      <w:r>
        <w:t xml:space="preserve">: </w:t>
      </w:r>
      <w:r w:rsidR="002D3030">
        <w:t>Quicker recovery of unpaid SG</w:t>
      </w:r>
      <w:bookmarkEnd w:id="51"/>
      <w:r w:rsidR="002D3030">
        <w:t xml:space="preserve"> </w:t>
      </w:r>
    </w:p>
    <w:p w14:paraId="4B0C289D" w14:textId="3C88F4CB" w:rsidR="00C73F24" w:rsidRDefault="0015384C" w:rsidP="00A531D4">
      <w:r>
        <w:t>This option will allow the ATO to recover unpaid SG sooner</w:t>
      </w:r>
      <w:r w:rsidR="00AA2EA8">
        <w:t>,</w:t>
      </w:r>
      <w:r>
        <w:t xml:space="preserve"> as the </w:t>
      </w:r>
      <w:r w:rsidR="00311BE0">
        <w:t>instances of unpaid SG could be identified sooner than after</w:t>
      </w:r>
      <w:r>
        <w:t xml:space="preserve"> the end of the quarter.</w:t>
      </w:r>
      <w:r w:rsidR="00B72D0A">
        <w:t xml:space="preserve"> </w:t>
      </w:r>
      <w:r w:rsidR="00DF79F1">
        <w:t xml:space="preserve">This would have </w:t>
      </w:r>
      <w:r w:rsidR="00481B45">
        <w:t xml:space="preserve">a </w:t>
      </w:r>
      <w:r w:rsidR="00DF79F1">
        <w:t xml:space="preserve">moderate impact on the </w:t>
      </w:r>
      <w:r w:rsidR="00E85C5D">
        <w:t>speed at which SG could be recovered</w:t>
      </w:r>
      <w:r w:rsidR="00900965">
        <w:t>, noting this impact would be higher if combined with investments in the ATO to alleviate constraints in their data matching capabilities</w:t>
      </w:r>
      <w:r w:rsidR="007F3558">
        <w:t>.</w:t>
      </w:r>
      <w:r w:rsidR="00DB1538" w:rsidRPr="00DB1538">
        <w:t xml:space="preserve"> </w:t>
      </w:r>
      <w:r w:rsidR="00DB1538">
        <w:t xml:space="preserve">If Option 3 is implemented without improvements in ATO data matching capabilities outlined in Option 2, the ATO </w:t>
      </w:r>
      <w:r w:rsidR="00DF0AD8">
        <w:t xml:space="preserve">may </w:t>
      </w:r>
      <w:r w:rsidR="00DB1538">
        <w:t>still</w:t>
      </w:r>
      <w:r w:rsidR="00DB1538" w:rsidRPr="00EC15E9">
        <w:t xml:space="preserve"> </w:t>
      </w:r>
      <w:r w:rsidR="00DB1538">
        <w:t>have</w:t>
      </w:r>
      <w:r w:rsidR="00DB1538" w:rsidRPr="00EC15E9">
        <w:t xml:space="preserve"> issues for </w:t>
      </w:r>
      <w:r w:rsidR="00DB1538">
        <w:t xml:space="preserve">the timeliness of </w:t>
      </w:r>
      <w:r w:rsidR="00DB1538" w:rsidRPr="00EC15E9">
        <w:t>ATO enforcement</w:t>
      </w:r>
      <w:r w:rsidR="00DB1538">
        <w:t>.</w:t>
      </w:r>
    </w:p>
    <w:p w14:paraId="44ADD82B" w14:textId="56038252" w:rsidR="008F7D08" w:rsidRDefault="008F7D08" w:rsidP="00A531D4">
      <w:r>
        <w:t xml:space="preserve">As the investment in data matching in Option 3 would address issues with the timeliness and mis-matched timing of ATO data raised in Section 1.3, but not underlying issues with data matching constraints, it would have a </w:t>
      </w:r>
      <w:r w:rsidRPr="00271FE8">
        <w:rPr>
          <w:b/>
          <w:bCs/>
        </w:rPr>
        <w:t>moderate impact</w:t>
      </w:r>
      <w:r>
        <w:t xml:space="preserve"> on the pace of recovery of unpaid SG.</w:t>
      </w:r>
    </w:p>
    <w:p w14:paraId="188B0782" w14:textId="770C6E7A" w:rsidR="008F7D08" w:rsidRDefault="008F7D08" w:rsidP="007E7CDF">
      <w:pPr>
        <w:pStyle w:val="Heading4"/>
        <w:ind w:left="0"/>
      </w:pPr>
      <w:r>
        <w:tab/>
      </w:r>
      <w:r w:rsidRPr="00877F13">
        <w:t>Employees</w:t>
      </w:r>
    </w:p>
    <w:p w14:paraId="769E43FA" w14:textId="453B1EA0" w:rsidR="00E56CEE" w:rsidRPr="00B94A93" w:rsidRDefault="00B94A93" w:rsidP="00A531D4">
      <w:r w:rsidRPr="00B94A93">
        <w:t>Due to the current infrequent minimum payment frequency of</w:t>
      </w:r>
      <w:r w:rsidR="00B83957">
        <w:t xml:space="preserve"> the</w:t>
      </w:r>
      <w:r w:rsidRPr="00B94A93">
        <w:t xml:space="preserve"> SG, businesses often enter liquidation before any outstanding SG debts are identified and recovered. While the ATO is committed to reducing this gap and successfully raises over $1 billion of SG charge against non-compliant employers each year, there remains $3 billion of unpaid debt outstanding as at </w:t>
      </w:r>
      <w:r w:rsidR="007F4BA9" w:rsidRPr="00B94A93">
        <w:t>30 June 2022</w:t>
      </w:r>
      <w:r w:rsidRPr="00B94A93">
        <w:t>.</w:t>
      </w:r>
      <w:r w:rsidR="00950EAE">
        <w:rPr>
          <w:rStyle w:val="FootnoteReference"/>
        </w:rPr>
        <w:footnoteReference w:id="37"/>
      </w:r>
      <w:r w:rsidRPr="00B94A93">
        <w:t xml:space="preserve"> A</w:t>
      </w:r>
      <w:r w:rsidR="007F4BA9">
        <w:t>t this time</w:t>
      </w:r>
      <w:r w:rsidRPr="00B94A93">
        <w:t xml:space="preserve">, $1.2 billion of </w:t>
      </w:r>
      <w:r w:rsidR="00790B14">
        <w:t xml:space="preserve">this </w:t>
      </w:r>
      <w:r w:rsidRPr="00B94A93">
        <w:t xml:space="preserve">SG charge debt was levied against insolvent employers. These metrics would be expected to improve with more frequent SG payments, making it easier to identify and distribute unpaid SG to individuals before the employer’s debt becomes unserviceable. </w:t>
      </w:r>
    </w:p>
    <w:p w14:paraId="46765F5F" w14:textId="0812C5CE" w:rsidR="002D3030" w:rsidRDefault="002D3030" w:rsidP="00DD6DD3">
      <w:pPr>
        <w:pStyle w:val="Bullet"/>
        <w:numPr>
          <w:ilvl w:val="0"/>
          <w:numId w:val="0"/>
        </w:numPr>
      </w:pPr>
      <w:r w:rsidRPr="001D0A41">
        <w:t xml:space="preserve">Through more frequent SG contributions, employees </w:t>
      </w:r>
      <w:r w:rsidR="00E94889">
        <w:t>will</w:t>
      </w:r>
      <w:r w:rsidR="00E94889" w:rsidRPr="001D0A41">
        <w:t xml:space="preserve"> </w:t>
      </w:r>
      <w:r w:rsidRPr="001D0A41">
        <w:t xml:space="preserve">see an increase in their </w:t>
      </w:r>
      <w:r w:rsidR="00183317">
        <w:t>superannuation balances at retirement</w:t>
      </w:r>
      <w:r w:rsidRPr="001D0A41">
        <w:t xml:space="preserve"> because of more timely action </w:t>
      </w:r>
      <w:r w:rsidR="00144A4B">
        <w:t xml:space="preserve">taken </w:t>
      </w:r>
      <w:r w:rsidRPr="001D0A41">
        <w:t xml:space="preserve">by the ATO to address underpayment. Employees </w:t>
      </w:r>
      <w:r w:rsidR="0085456E">
        <w:t>may also</w:t>
      </w:r>
      <w:r w:rsidR="0085456E" w:rsidRPr="001D0A41">
        <w:t xml:space="preserve"> </w:t>
      </w:r>
      <w:r w:rsidRPr="001D0A41">
        <w:t>receive their unpaid SG sooner as the SG charge would be brought forward from a quarterly basis.</w:t>
      </w:r>
    </w:p>
    <w:p w14:paraId="46358D36" w14:textId="77777777" w:rsidR="002D3030" w:rsidRDefault="002D3030" w:rsidP="002D3030">
      <w:pPr>
        <w:pStyle w:val="Heading4"/>
      </w:pPr>
      <w:r w:rsidRPr="00877F13">
        <w:t>Employers</w:t>
      </w:r>
    </w:p>
    <w:p w14:paraId="525B1384" w14:textId="15965062" w:rsidR="00D733C3" w:rsidRPr="000133B7" w:rsidRDefault="00D733C3" w:rsidP="00A531D4">
      <w:r w:rsidRPr="00D733C3">
        <w:t xml:space="preserve">This </w:t>
      </w:r>
      <w:r>
        <w:t>option</w:t>
      </w:r>
      <w:r w:rsidRPr="00D733C3">
        <w:t xml:space="preserve"> would </w:t>
      </w:r>
      <w:r w:rsidR="001038F2">
        <w:t>reduce</w:t>
      </w:r>
      <w:r w:rsidRPr="00D733C3">
        <w:t xml:space="preserve"> the </w:t>
      </w:r>
      <w:r w:rsidR="00881EBC">
        <w:t>likelihood</w:t>
      </w:r>
      <w:r w:rsidR="00881EBC" w:rsidRPr="00D733C3">
        <w:t xml:space="preserve"> </w:t>
      </w:r>
      <w:r w:rsidRPr="00D733C3">
        <w:t xml:space="preserve">of employers </w:t>
      </w:r>
      <w:r w:rsidR="00881EBC">
        <w:t>accruing</w:t>
      </w:r>
      <w:r w:rsidRPr="00D733C3">
        <w:t xml:space="preserve"> large SG debts. Currently, employers who choose to pay SG quarterly are able accrue large debts before the employee or the ATO can identify the issue. These employers may become insolvent before the debt can be recovered. This can be a common occurrence where financially constrained employers use their employees</w:t>
      </w:r>
      <w:r w:rsidR="00906E61">
        <w:t>’</w:t>
      </w:r>
      <w:r w:rsidRPr="00D733C3">
        <w:t xml:space="preserve"> SG as a cash-flow management strategy to remain solvent. </w:t>
      </w:r>
      <w:r w:rsidR="003E07CA">
        <w:t>T</w:t>
      </w:r>
      <w:r w:rsidR="00223BA8">
        <w:t xml:space="preserve">he </w:t>
      </w:r>
      <w:r w:rsidR="001870E6">
        <w:t>Senate report ‘</w:t>
      </w:r>
      <w:r w:rsidR="00223BA8">
        <w:rPr>
          <w:i/>
          <w:iCs/>
        </w:rPr>
        <w:t xml:space="preserve">Superbad </w:t>
      </w:r>
      <w:r w:rsidR="00352A39">
        <w:rPr>
          <w:i/>
          <w:iCs/>
        </w:rPr>
        <w:t xml:space="preserve">– </w:t>
      </w:r>
      <w:r w:rsidR="003224A7" w:rsidRPr="003224A7">
        <w:rPr>
          <w:i/>
          <w:iCs/>
        </w:rPr>
        <w:t>Wage theft and non-compliance of the Superannuation Guarantee</w:t>
      </w:r>
      <w:r w:rsidR="00352A39">
        <w:rPr>
          <w:i/>
          <w:iCs/>
        </w:rPr>
        <w:t>’</w:t>
      </w:r>
      <w:r w:rsidR="003E07CA">
        <w:t xml:space="preserve"> </w:t>
      </w:r>
      <w:r w:rsidR="004136DE">
        <w:t>heard evidence</w:t>
      </w:r>
      <w:r w:rsidR="003E07CA">
        <w:t xml:space="preserve"> that paying superannuation alongside wages </w:t>
      </w:r>
      <w:r w:rsidR="004136DE">
        <w:t>c</w:t>
      </w:r>
      <w:r w:rsidR="005726B5">
        <w:t>ould</w:t>
      </w:r>
      <w:r w:rsidR="003E07CA">
        <w:t xml:space="preserve"> help businesses </w:t>
      </w:r>
      <w:r w:rsidR="001F6CEE">
        <w:t xml:space="preserve">to </w:t>
      </w:r>
      <w:r w:rsidR="003E07CA">
        <w:t xml:space="preserve">manage </w:t>
      </w:r>
      <w:r w:rsidR="001F6CEE">
        <w:t>their</w:t>
      </w:r>
      <w:r w:rsidR="003E07CA">
        <w:t xml:space="preserve"> cash flow</w:t>
      </w:r>
      <w:r w:rsidR="00D71AC4">
        <w:t xml:space="preserve"> (See </w:t>
      </w:r>
      <w:r w:rsidR="00D71AC4" w:rsidRPr="007E7CDF">
        <w:rPr>
          <w:i/>
          <w:iCs/>
        </w:rPr>
        <w:t>Appendix A: Previous reviews and reports</w:t>
      </w:r>
      <w:r w:rsidR="00D71AC4">
        <w:t>)</w:t>
      </w:r>
      <w:r w:rsidR="003E07CA">
        <w:t>.</w:t>
      </w:r>
      <w:r w:rsidR="00465EFC">
        <w:rPr>
          <w:rStyle w:val="FootnoteReference"/>
        </w:rPr>
        <w:footnoteReference w:id="38"/>
      </w:r>
    </w:p>
    <w:p w14:paraId="56BAFA76" w14:textId="4DB4D2C6" w:rsidR="00447DB7" w:rsidRDefault="00927A3A" w:rsidP="00A531D4">
      <w:r>
        <w:t>E</w:t>
      </w:r>
      <w:r w:rsidR="002D3030" w:rsidRPr="00D733C3">
        <w:t xml:space="preserve">mployers </w:t>
      </w:r>
      <w:r w:rsidR="007B4C2C">
        <w:t>who</w:t>
      </w:r>
      <w:r w:rsidR="007B4C2C" w:rsidRPr="00D733C3">
        <w:t xml:space="preserve"> </w:t>
      </w:r>
      <w:r w:rsidR="002D3030" w:rsidRPr="00D733C3">
        <w:t xml:space="preserve">are non-compliant with their SG contributions obligations </w:t>
      </w:r>
      <w:r w:rsidR="007B4C2C">
        <w:t>would</w:t>
      </w:r>
      <w:r w:rsidR="002D3030" w:rsidRPr="00D733C3">
        <w:t xml:space="preserve"> be penalised by the ATO under the SG Charge on a more frequent basis, due to both changes to the SG charge and the improvements to the ATO’s capacity in unpaid SG identification and compliance activities.</w:t>
      </w:r>
      <w:r w:rsidR="00BD64A1">
        <w:t xml:space="preserve"> </w:t>
      </w:r>
      <w:r w:rsidR="002D3030" w:rsidRPr="00D733C3">
        <w:t>More frequent payments would allow the ATO, employers and employees to identify and recover smaller debts as they arise and before employers become insolvent, increasing the likelihood of recovery.</w:t>
      </w:r>
    </w:p>
    <w:p w14:paraId="10143730" w14:textId="533B35F8" w:rsidR="006E31AC" w:rsidRDefault="006E31AC" w:rsidP="00A531D4">
      <w:r>
        <w:t xml:space="preserve">This option will </w:t>
      </w:r>
      <w:r w:rsidR="00DE7EB7">
        <w:t xml:space="preserve">reduce </w:t>
      </w:r>
      <w:r>
        <w:t xml:space="preserve">disincentives for employers which have mistakenly underpaid SG to </w:t>
      </w:r>
      <w:r w:rsidR="00B0646F">
        <w:t xml:space="preserve">delay or </w:t>
      </w:r>
      <w:r>
        <w:t>avoid self</w:t>
      </w:r>
      <w:r>
        <w:noBreakHyphen/>
        <w:t xml:space="preserve">identifying or rectifying the underpayment. </w:t>
      </w:r>
      <w:r w:rsidR="00B25326">
        <w:t xml:space="preserve">The redesigned </w:t>
      </w:r>
      <w:r w:rsidR="004634C9">
        <w:t>SG charge would remove</w:t>
      </w:r>
      <w:r w:rsidRPr="005503CC">
        <w:t xml:space="preserve"> harsher penalties to employer</w:t>
      </w:r>
      <w:r>
        <w:t>s</w:t>
      </w:r>
      <w:r w:rsidRPr="005503CC">
        <w:t xml:space="preserve"> that have paid some of their liability late</w:t>
      </w:r>
      <w:r w:rsidRPr="0028718D">
        <w:t xml:space="preserve"> and have not lodged an </w:t>
      </w:r>
      <w:r>
        <w:t>SG charge</w:t>
      </w:r>
      <w:r w:rsidRPr="0028718D">
        <w:t xml:space="preserve"> statement</w:t>
      </w:r>
      <w:r>
        <w:t>,</w:t>
      </w:r>
      <w:r w:rsidRPr="0028718D">
        <w:t xml:space="preserve"> compared to employers that have not paid their liability </w:t>
      </w:r>
      <w:r>
        <w:t xml:space="preserve">at all </w:t>
      </w:r>
      <w:r w:rsidRPr="0028718D">
        <w:t xml:space="preserve">but have lodged an </w:t>
      </w:r>
      <w:r>
        <w:t>SG charge</w:t>
      </w:r>
      <w:r w:rsidRPr="0028718D">
        <w:t xml:space="preserve"> statement.</w:t>
      </w:r>
      <w:r>
        <w:t xml:space="preserve"> </w:t>
      </w:r>
    </w:p>
    <w:p w14:paraId="70D55CCB" w14:textId="2FA95F2C" w:rsidR="002D3030" w:rsidRDefault="002D3030" w:rsidP="007E39FF">
      <w:pPr>
        <w:pStyle w:val="Heading4"/>
      </w:pPr>
      <w:r>
        <w:t>Australian Taxation Office</w:t>
      </w:r>
    </w:p>
    <w:p w14:paraId="455A96BC" w14:textId="21924589" w:rsidR="00D20715" w:rsidRDefault="00D20715" w:rsidP="00A531D4">
      <w:pPr>
        <w:rPr>
          <w:highlight w:val="yellow"/>
        </w:rPr>
      </w:pPr>
      <w:r w:rsidRPr="00A87777">
        <w:t xml:space="preserve">This </w:t>
      </w:r>
      <w:r>
        <w:t>option</w:t>
      </w:r>
      <w:r w:rsidRPr="00A87777">
        <w:t xml:space="preserve"> would improve the ATO’s </w:t>
      </w:r>
      <w:r>
        <w:t>capability</w:t>
      </w:r>
      <w:r w:rsidRPr="00A87777">
        <w:t xml:space="preserve"> to undertake SG compliance activities. </w:t>
      </w:r>
      <w:r w:rsidRPr="00965109">
        <w:t xml:space="preserve">Aligning the payment of </w:t>
      </w:r>
      <w:r w:rsidR="002E5766">
        <w:t xml:space="preserve">the </w:t>
      </w:r>
      <w:r w:rsidRPr="00965109">
        <w:t xml:space="preserve">SG with wages would allow the ATO to identify debts sooner and recover larger amounts. Earlier identification </w:t>
      </w:r>
      <w:r>
        <w:t xml:space="preserve">will </w:t>
      </w:r>
      <w:r w:rsidRPr="00965109">
        <w:t>result in more efficient debt collection.</w:t>
      </w:r>
    </w:p>
    <w:p w14:paraId="3F558423" w14:textId="50EF38CC" w:rsidR="00D20715" w:rsidRDefault="00D20715" w:rsidP="00A531D4">
      <w:r w:rsidRPr="00965109">
        <w:t xml:space="preserve">Currently, the ATO cannot reliably match SG payment data provided by superannuation funds to wage data provided by employers at scale. Matching the data sets is a resource-intensive exercise as the SG amounts listed do not align with pay cycles reported through STP. </w:t>
      </w:r>
      <w:r>
        <w:t>Under this option, e</w:t>
      </w:r>
      <w:r w:rsidRPr="00787B5C">
        <w:t>mployees and the ATO would be able to confirm that the SG entitlement listed on an employee’s payslip correspond to the amount received by their nominated superannuation fund. Any discrepancies between the entitlement and the amount paid could be resolved contemporaneously, ensuring that workers are remunerated what they are owed.</w:t>
      </w:r>
      <w:r>
        <w:t xml:space="preserve"> </w:t>
      </w:r>
    </w:p>
    <w:p w14:paraId="5C7804E6" w14:textId="7B589B7E" w:rsidR="00956DCC" w:rsidRDefault="006E776F" w:rsidP="009F1E70">
      <w:pPr>
        <w:pStyle w:val="Heading3"/>
      </w:pPr>
      <w:bookmarkStart w:id="52" w:name="_Toc134198471"/>
      <w:r>
        <w:t xml:space="preserve">Impact 3: </w:t>
      </w:r>
      <w:r w:rsidR="009B0479">
        <w:t xml:space="preserve">More frequent SG </w:t>
      </w:r>
      <w:r w:rsidR="00A4372E">
        <w:t>contributions</w:t>
      </w:r>
      <w:bookmarkEnd w:id="52"/>
    </w:p>
    <w:p w14:paraId="47978CA1" w14:textId="03825577" w:rsidR="00AB729F" w:rsidRDefault="009114F6" w:rsidP="00A531D4">
      <w:r>
        <w:t xml:space="preserve">Under </w:t>
      </w:r>
      <w:r w:rsidR="00F44B12">
        <w:t>O</w:t>
      </w:r>
      <w:r>
        <w:t xml:space="preserve">ption 3, employers who currently pay SG less frequently than wages would need to increase the </w:t>
      </w:r>
      <w:r w:rsidR="006569B1">
        <w:t>frequency with which they pay SG.</w:t>
      </w:r>
      <w:r w:rsidR="00E22E57">
        <w:t xml:space="preserve"> </w:t>
      </w:r>
    </w:p>
    <w:p w14:paraId="478F632A" w14:textId="14E179C6" w:rsidR="00F24AFB" w:rsidRDefault="005B37A6">
      <w:pPr>
        <w:rPr>
          <w:rFonts w:asciiTheme="majorHAnsi" w:hAnsiTheme="majorHAnsi"/>
          <w:b/>
          <w:iCs/>
          <w:color w:val="014463" w:themeColor="text2"/>
          <w:szCs w:val="18"/>
        </w:rPr>
      </w:pPr>
      <w:r w:rsidRPr="00831C62">
        <w:t>Table 8</w:t>
      </w:r>
      <w:r w:rsidR="00E76262" w:rsidRPr="0045773A">
        <w:t xml:space="preserve"> </w:t>
      </w:r>
      <w:r w:rsidR="003B4033">
        <w:t xml:space="preserve">shows ATO data from the 2021-22 financial year (FY2022) </w:t>
      </w:r>
      <w:r w:rsidR="00EE2B28">
        <w:t xml:space="preserve">for the </w:t>
      </w:r>
      <w:r w:rsidR="00BF2369">
        <w:t>aggregate amo</w:t>
      </w:r>
      <w:r w:rsidR="00882AFD">
        <w:t>unts of SG paid</w:t>
      </w:r>
      <w:r w:rsidR="0016225E">
        <w:t xml:space="preserve"> </w:t>
      </w:r>
      <w:r w:rsidR="00EE2B28">
        <w:t xml:space="preserve">by employers with </w:t>
      </w:r>
      <w:r w:rsidR="00A12C5A">
        <w:t>different</w:t>
      </w:r>
      <w:r w:rsidR="00E51554">
        <w:t xml:space="preserve"> </w:t>
      </w:r>
      <w:r w:rsidR="005E404F">
        <w:t>levels of</w:t>
      </w:r>
      <w:r w:rsidR="00DE2E3C">
        <w:t xml:space="preserve"> </w:t>
      </w:r>
      <w:r w:rsidR="005E404F">
        <w:t xml:space="preserve">frequency </w:t>
      </w:r>
      <w:r w:rsidR="00233673">
        <w:t>for their payments of</w:t>
      </w:r>
      <w:r w:rsidR="00DE2E3C">
        <w:t xml:space="preserve"> SG </w:t>
      </w:r>
      <w:r w:rsidR="005E404F">
        <w:t>and wage</w:t>
      </w:r>
      <w:r w:rsidR="00233673">
        <w:t>s</w:t>
      </w:r>
      <w:r w:rsidR="0078296D">
        <w:t>.</w:t>
      </w:r>
      <w:r w:rsidR="008D0689">
        <w:t xml:space="preserve"> </w:t>
      </w:r>
      <w:r w:rsidR="009C2B06">
        <w:t>In FY2022, $16</w:t>
      </w:r>
      <w:r w:rsidR="00AB36E5">
        <w:t>.2 billion in SG was paid quarterly</w:t>
      </w:r>
      <w:r w:rsidR="007E5127">
        <w:t xml:space="preserve">, </w:t>
      </w:r>
      <w:r w:rsidR="00F07B8B">
        <w:t xml:space="preserve">of which </w:t>
      </w:r>
      <w:r w:rsidR="00DF5D1C">
        <w:t xml:space="preserve">$4.4 billion was paid by employers who </w:t>
      </w:r>
      <w:r w:rsidR="009E7846">
        <w:t>pa</w:t>
      </w:r>
      <w:r w:rsidR="00C26E5D">
        <w:t>id</w:t>
      </w:r>
      <w:r w:rsidR="009E7846">
        <w:t xml:space="preserve"> wages weekly</w:t>
      </w:r>
      <w:r w:rsidR="00481718">
        <w:t xml:space="preserve"> and $5.</w:t>
      </w:r>
      <w:r w:rsidR="004E1202">
        <w:t>4</w:t>
      </w:r>
      <w:r w:rsidR="00481718">
        <w:t xml:space="preserve"> billion by those which paid wages fortnightly.</w:t>
      </w:r>
      <w:r w:rsidR="00BC4DDB">
        <w:t xml:space="preserve"> </w:t>
      </w:r>
      <w:bookmarkStart w:id="53" w:name="_Ref130467368"/>
    </w:p>
    <w:p w14:paraId="120B6B8B" w14:textId="29096185" w:rsidR="00DE4788" w:rsidRDefault="00DE4788" w:rsidP="007E7CDF">
      <w:pPr>
        <w:pStyle w:val="Caption"/>
        <w:ind w:left="0" w:firstLine="0"/>
      </w:pPr>
      <w:r>
        <w:t xml:space="preserve">Table </w:t>
      </w:r>
      <w:r w:rsidR="00A96D21" w:rsidRPr="00831C62">
        <w:t>8</w:t>
      </w:r>
      <w:bookmarkEnd w:id="53"/>
      <w:r>
        <w:t>.</w:t>
      </w:r>
      <w:r>
        <w:tab/>
      </w:r>
      <w:r w:rsidR="00E4246B">
        <w:t>T</w:t>
      </w:r>
      <w:r w:rsidR="00856FB5">
        <w:t xml:space="preserve">otal </w:t>
      </w:r>
      <w:r w:rsidR="000F2009">
        <w:t>SG</w:t>
      </w:r>
      <w:r w:rsidR="00491E42">
        <w:t xml:space="preserve"> </w:t>
      </w:r>
      <w:r w:rsidR="0016608D">
        <w:t xml:space="preserve">paid </w:t>
      </w:r>
      <w:r w:rsidR="00491E42">
        <w:t>by</w:t>
      </w:r>
      <w:r w:rsidR="007A54DA">
        <w:t xml:space="preserve"> employer</w:t>
      </w:r>
      <w:r w:rsidR="00491E42">
        <w:t xml:space="preserve"> frequency of SG and wage payments (</w:t>
      </w:r>
      <w:r w:rsidR="00E20D86">
        <w:t>$</w:t>
      </w:r>
      <w:r w:rsidR="00CA003E">
        <w:t xml:space="preserve"> </w:t>
      </w:r>
      <w:r w:rsidR="00E20D86">
        <w:t>millions</w:t>
      </w:r>
      <w:r w:rsidR="00E34E7D">
        <w:t>,</w:t>
      </w:r>
      <w:r w:rsidR="00E20D86">
        <w:t xml:space="preserve"> </w:t>
      </w:r>
      <w:r w:rsidR="00491E42">
        <w:t>FY2022)</w:t>
      </w:r>
      <w:r w:rsidR="00B72361">
        <w:rPr>
          <w:rStyle w:val="FootnoteReference"/>
        </w:rPr>
        <w:footnoteReference w:id="39"/>
      </w:r>
    </w:p>
    <w:tbl>
      <w:tblPr>
        <w:tblStyle w:val="PMCTableStyle2"/>
        <w:tblW w:w="10205" w:type="dxa"/>
        <w:tblLayout w:type="fixed"/>
        <w:tblLook w:val="0660" w:firstRow="1" w:lastRow="1" w:firstColumn="0" w:lastColumn="0" w:noHBand="1" w:noVBand="1"/>
      </w:tblPr>
      <w:tblGrid>
        <w:gridCol w:w="1696"/>
        <w:gridCol w:w="1701"/>
        <w:gridCol w:w="1843"/>
        <w:gridCol w:w="1701"/>
        <w:gridCol w:w="1559"/>
        <w:gridCol w:w="1705"/>
      </w:tblGrid>
      <w:tr w:rsidR="00E26117" w14:paraId="5A3042C9" w14:textId="77777777" w:rsidTr="00A61AAD">
        <w:trPr>
          <w:cnfStyle w:val="100000000000" w:firstRow="1" w:lastRow="0" w:firstColumn="0" w:lastColumn="0" w:oddVBand="0" w:evenVBand="0" w:oddHBand="0" w:evenHBand="0" w:firstRowFirstColumn="0" w:firstRowLastColumn="0" w:lastRowFirstColumn="0" w:lastRowLastColumn="0"/>
          <w:trHeight w:val="209"/>
        </w:trPr>
        <w:tc>
          <w:tcPr>
            <w:tcW w:w="1696" w:type="dxa"/>
            <w:vMerge w:val="restart"/>
            <w:vAlign w:val="center"/>
          </w:tcPr>
          <w:p w14:paraId="32A998E1" w14:textId="50CEFD65" w:rsidR="007F79BA" w:rsidRPr="00DE3E02" w:rsidRDefault="00FC5F10" w:rsidP="007F79BA">
            <w:pPr>
              <w:pStyle w:val="TableHeading"/>
            </w:pPr>
            <w:r>
              <w:t xml:space="preserve">Employer </w:t>
            </w:r>
            <w:r w:rsidR="007F79BA" w:rsidRPr="00DE3E02">
              <w:t xml:space="preserve">SG </w:t>
            </w:r>
            <w:r>
              <w:t>c</w:t>
            </w:r>
            <w:r w:rsidR="007F79BA" w:rsidRPr="00DE3E02">
              <w:t>ycle</w:t>
            </w:r>
          </w:p>
        </w:tc>
        <w:tc>
          <w:tcPr>
            <w:tcW w:w="8509" w:type="dxa"/>
            <w:gridSpan w:val="5"/>
          </w:tcPr>
          <w:p w14:paraId="745774FF" w14:textId="45F36B78" w:rsidR="007F79BA" w:rsidRPr="007F79BA" w:rsidRDefault="00FC5F10" w:rsidP="007F79BA">
            <w:pPr>
              <w:pStyle w:val="TableHeading"/>
              <w:jc w:val="center"/>
            </w:pPr>
            <w:r>
              <w:t>Employer w</w:t>
            </w:r>
            <w:r w:rsidR="007F79BA" w:rsidRPr="007F79BA">
              <w:t>age payment cycle</w:t>
            </w:r>
            <w:r w:rsidR="00C23196">
              <w:rPr>
                <w:rStyle w:val="FootnoteReference"/>
              </w:rPr>
              <w:footnoteReference w:id="40"/>
            </w:r>
          </w:p>
        </w:tc>
      </w:tr>
      <w:tr w:rsidR="00E26117" w14:paraId="1C97115A" w14:textId="29F8B9F6" w:rsidTr="00A61AAD">
        <w:trPr>
          <w:trHeight w:val="209"/>
        </w:trPr>
        <w:tc>
          <w:tcPr>
            <w:tcW w:w="0" w:type="dxa"/>
            <w:vMerge/>
            <w:shd w:val="clear" w:color="auto" w:fill="014463" w:themeFill="accent2"/>
          </w:tcPr>
          <w:p w14:paraId="5B296D57" w14:textId="1990DB74" w:rsidR="007F79BA" w:rsidRPr="008A47EE" w:rsidRDefault="007F79BA" w:rsidP="00880D29">
            <w:pPr>
              <w:pStyle w:val="TableHeading"/>
              <w:rPr>
                <w:b/>
                <w:bCs w:val="0"/>
              </w:rPr>
            </w:pPr>
          </w:p>
        </w:tc>
        <w:tc>
          <w:tcPr>
            <w:tcW w:w="1701" w:type="dxa"/>
            <w:shd w:val="clear" w:color="auto" w:fill="014463" w:themeFill="accent2"/>
          </w:tcPr>
          <w:p w14:paraId="5F548522" w14:textId="61CC3B6E" w:rsidR="007F79BA" w:rsidRPr="008A47EE" w:rsidRDefault="007F79BA" w:rsidP="00880D29">
            <w:pPr>
              <w:pStyle w:val="TableHeading"/>
              <w:rPr>
                <w:b/>
                <w:bCs w:val="0"/>
              </w:rPr>
            </w:pPr>
            <w:r w:rsidRPr="008A47EE">
              <w:rPr>
                <w:b/>
                <w:bCs w:val="0"/>
              </w:rPr>
              <w:t>Weekly</w:t>
            </w:r>
          </w:p>
        </w:tc>
        <w:tc>
          <w:tcPr>
            <w:tcW w:w="1843" w:type="dxa"/>
            <w:shd w:val="clear" w:color="auto" w:fill="014463" w:themeFill="accent2"/>
          </w:tcPr>
          <w:p w14:paraId="48846415" w14:textId="69B60BF7" w:rsidR="007F79BA" w:rsidRPr="008A47EE" w:rsidRDefault="007F79BA" w:rsidP="00880D29">
            <w:pPr>
              <w:pStyle w:val="TableHeading"/>
              <w:rPr>
                <w:b/>
                <w:bCs w:val="0"/>
              </w:rPr>
            </w:pPr>
            <w:r w:rsidRPr="008A47EE">
              <w:rPr>
                <w:b/>
                <w:bCs w:val="0"/>
              </w:rPr>
              <w:t>Fortnightly</w:t>
            </w:r>
          </w:p>
        </w:tc>
        <w:tc>
          <w:tcPr>
            <w:tcW w:w="1701" w:type="dxa"/>
            <w:shd w:val="clear" w:color="auto" w:fill="014463" w:themeFill="accent2"/>
          </w:tcPr>
          <w:p w14:paraId="1A0067B4" w14:textId="7FE78A04" w:rsidR="007F79BA" w:rsidRPr="008A47EE" w:rsidRDefault="007F79BA" w:rsidP="00880D29">
            <w:pPr>
              <w:pStyle w:val="TableHeading"/>
              <w:rPr>
                <w:b/>
                <w:bCs w:val="0"/>
              </w:rPr>
            </w:pPr>
            <w:r w:rsidRPr="008A47EE">
              <w:rPr>
                <w:b/>
                <w:bCs w:val="0"/>
              </w:rPr>
              <w:t>Monthly</w:t>
            </w:r>
          </w:p>
        </w:tc>
        <w:tc>
          <w:tcPr>
            <w:tcW w:w="1559" w:type="dxa"/>
            <w:shd w:val="clear" w:color="auto" w:fill="014463" w:themeFill="accent2"/>
          </w:tcPr>
          <w:p w14:paraId="3301A991" w14:textId="70A6B403" w:rsidR="007F79BA" w:rsidRPr="008A47EE" w:rsidRDefault="007F79BA" w:rsidP="00880D29">
            <w:pPr>
              <w:pStyle w:val="TableHeading"/>
              <w:rPr>
                <w:b/>
                <w:bCs w:val="0"/>
              </w:rPr>
            </w:pPr>
            <w:r w:rsidRPr="008A47EE">
              <w:rPr>
                <w:b/>
                <w:bCs w:val="0"/>
              </w:rPr>
              <w:t>Unknown</w:t>
            </w:r>
          </w:p>
        </w:tc>
        <w:tc>
          <w:tcPr>
            <w:tcW w:w="1705" w:type="dxa"/>
            <w:shd w:val="clear" w:color="auto" w:fill="014463" w:themeFill="accent2"/>
          </w:tcPr>
          <w:p w14:paraId="4602CCD0" w14:textId="4654BAF8" w:rsidR="007F79BA" w:rsidRPr="008A47EE" w:rsidRDefault="007F79BA" w:rsidP="00880D29">
            <w:pPr>
              <w:pStyle w:val="TableHeading"/>
              <w:rPr>
                <w:b/>
                <w:bCs w:val="0"/>
              </w:rPr>
            </w:pPr>
            <w:r w:rsidRPr="008A47EE">
              <w:rPr>
                <w:b/>
                <w:bCs w:val="0"/>
              </w:rPr>
              <w:t>Total</w:t>
            </w:r>
          </w:p>
        </w:tc>
      </w:tr>
      <w:tr w:rsidR="00423D10" w:rsidRPr="0015537B" w14:paraId="46EA388A" w14:textId="428CFBD4" w:rsidTr="004C7D75">
        <w:trPr>
          <w:trHeight w:val="160"/>
        </w:trPr>
        <w:tc>
          <w:tcPr>
            <w:tcW w:w="1696" w:type="dxa"/>
          </w:tcPr>
          <w:p w14:paraId="6A815C92" w14:textId="75637AF5" w:rsidR="00353684" w:rsidRPr="00BC1972" w:rsidRDefault="00353684" w:rsidP="00353684">
            <w:pPr>
              <w:pStyle w:val="TableBody"/>
              <w:rPr>
                <w:color w:val="262626" w:themeColor="text1" w:themeTint="D9"/>
              </w:rPr>
            </w:pPr>
            <w:r w:rsidRPr="00DE3E02">
              <w:t>Weekly</w:t>
            </w:r>
          </w:p>
        </w:tc>
        <w:tc>
          <w:tcPr>
            <w:tcW w:w="1701" w:type="dxa"/>
          </w:tcPr>
          <w:p w14:paraId="7FC933B0" w14:textId="4BEEBF99" w:rsidR="00353684" w:rsidRPr="00BC1972" w:rsidRDefault="00383DA6" w:rsidP="00EE7FAB">
            <w:pPr>
              <w:pStyle w:val="TableBody"/>
              <w:jc w:val="right"/>
              <w:rPr>
                <w:color w:val="262626" w:themeColor="text1" w:themeTint="D9"/>
              </w:rPr>
            </w:pPr>
            <w:r w:rsidRPr="00F02D10">
              <w:t>947.0</w:t>
            </w:r>
          </w:p>
        </w:tc>
        <w:tc>
          <w:tcPr>
            <w:tcW w:w="1843" w:type="dxa"/>
          </w:tcPr>
          <w:p w14:paraId="64D0E14B" w14:textId="5993F1BC" w:rsidR="00353684" w:rsidRPr="00BC1972" w:rsidRDefault="00383DA6" w:rsidP="00EE7FAB">
            <w:pPr>
              <w:pStyle w:val="TableBullet"/>
              <w:numPr>
                <w:ilvl w:val="0"/>
                <w:numId w:val="0"/>
              </w:numPr>
              <w:jc w:val="right"/>
            </w:pPr>
            <w:r w:rsidRPr="00F02D10">
              <w:t>7.7</w:t>
            </w:r>
          </w:p>
        </w:tc>
        <w:tc>
          <w:tcPr>
            <w:tcW w:w="1701" w:type="dxa"/>
          </w:tcPr>
          <w:p w14:paraId="3C5FEBEA" w14:textId="0D5144D2" w:rsidR="00353684" w:rsidRPr="00BC1972" w:rsidRDefault="00383DA6" w:rsidP="00EE7FAB">
            <w:pPr>
              <w:pStyle w:val="TableNumbering"/>
              <w:numPr>
                <w:ilvl w:val="0"/>
                <w:numId w:val="0"/>
              </w:numPr>
              <w:jc w:val="right"/>
            </w:pPr>
            <w:r w:rsidRPr="00F02D10">
              <w:t>5.4</w:t>
            </w:r>
          </w:p>
        </w:tc>
        <w:tc>
          <w:tcPr>
            <w:tcW w:w="1559" w:type="dxa"/>
          </w:tcPr>
          <w:p w14:paraId="217856CB" w14:textId="748F430A" w:rsidR="00353684" w:rsidRPr="00BC1972" w:rsidRDefault="00383DA6" w:rsidP="00EE7FAB">
            <w:pPr>
              <w:pStyle w:val="TableNumbering"/>
              <w:numPr>
                <w:ilvl w:val="0"/>
                <w:numId w:val="0"/>
              </w:numPr>
              <w:jc w:val="right"/>
            </w:pPr>
            <w:r w:rsidRPr="00F02D10">
              <w:t>17.3</w:t>
            </w:r>
          </w:p>
        </w:tc>
        <w:tc>
          <w:tcPr>
            <w:tcW w:w="1705" w:type="dxa"/>
          </w:tcPr>
          <w:p w14:paraId="35A5B91A" w14:textId="67082B9C" w:rsidR="00353684" w:rsidRPr="00D778C3" w:rsidRDefault="00383DA6" w:rsidP="00EE7FAB">
            <w:pPr>
              <w:pStyle w:val="TableNumbering"/>
              <w:numPr>
                <w:ilvl w:val="0"/>
                <w:numId w:val="0"/>
              </w:numPr>
              <w:jc w:val="right"/>
            </w:pPr>
            <w:r w:rsidRPr="00F02D10">
              <w:t>977.4</w:t>
            </w:r>
          </w:p>
        </w:tc>
      </w:tr>
      <w:tr w:rsidR="00423D10" w:rsidRPr="0015537B" w14:paraId="08B54F84" w14:textId="492B90B6" w:rsidTr="004C7D75">
        <w:trPr>
          <w:trHeight w:val="160"/>
        </w:trPr>
        <w:tc>
          <w:tcPr>
            <w:tcW w:w="1696" w:type="dxa"/>
          </w:tcPr>
          <w:p w14:paraId="2287D961" w14:textId="56AF2917" w:rsidR="00353684" w:rsidRPr="00BC1972" w:rsidRDefault="00353684" w:rsidP="00353684">
            <w:pPr>
              <w:pStyle w:val="TableBody"/>
              <w:rPr>
                <w:color w:val="262626" w:themeColor="text1" w:themeTint="D9"/>
              </w:rPr>
            </w:pPr>
            <w:r w:rsidRPr="00DE3E02">
              <w:t>Fortnightly</w:t>
            </w:r>
          </w:p>
        </w:tc>
        <w:tc>
          <w:tcPr>
            <w:tcW w:w="1701" w:type="dxa"/>
          </w:tcPr>
          <w:p w14:paraId="50AB3082" w14:textId="36F3549F" w:rsidR="00353684" w:rsidRPr="00BC1972" w:rsidRDefault="00383DA6" w:rsidP="00EE7FAB">
            <w:pPr>
              <w:pStyle w:val="TableBody"/>
              <w:jc w:val="right"/>
              <w:rPr>
                <w:color w:val="262626" w:themeColor="text1" w:themeTint="D9"/>
              </w:rPr>
            </w:pPr>
            <w:r w:rsidRPr="00F02D10">
              <w:t>214.6</w:t>
            </w:r>
          </w:p>
        </w:tc>
        <w:tc>
          <w:tcPr>
            <w:tcW w:w="1843" w:type="dxa"/>
          </w:tcPr>
          <w:p w14:paraId="5270D600" w14:textId="68AC311A" w:rsidR="00353684" w:rsidRPr="00BC1972" w:rsidRDefault="00383DA6" w:rsidP="00EE7FAB">
            <w:pPr>
              <w:pStyle w:val="TableBullet"/>
              <w:numPr>
                <w:ilvl w:val="0"/>
                <w:numId w:val="0"/>
              </w:numPr>
              <w:jc w:val="right"/>
            </w:pPr>
            <w:r w:rsidRPr="00F02D10">
              <w:t>20,085.6</w:t>
            </w:r>
          </w:p>
        </w:tc>
        <w:tc>
          <w:tcPr>
            <w:tcW w:w="1701" w:type="dxa"/>
          </w:tcPr>
          <w:p w14:paraId="4DCE919F" w14:textId="276C8484" w:rsidR="00353684" w:rsidRPr="00BC1972" w:rsidRDefault="00383DA6" w:rsidP="00EE7FAB">
            <w:pPr>
              <w:pStyle w:val="TableNumbering"/>
              <w:numPr>
                <w:ilvl w:val="0"/>
                <w:numId w:val="0"/>
              </w:numPr>
              <w:jc w:val="right"/>
            </w:pPr>
            <w:r w:rsidRPr="00F02D10">
              <w:t>100.5</w:t>
            </w:r>
          </w:p>
        </w:tc>
        <w:tc>
          <w:tcPr>
            <w:tcW w:w="1559" w:type="dxa"/>
          </w:tcPr>
          <w:p w14:paraId="74865C4B" w14:textId="6D642752" w:rsidR="00353684" w:rsidRPr="00BC1972" w:rsidRDefault="00383DA6" w:rsidP="00EE7FAB">
            <w:pPr>
              <w:pStyle w:val="TableNumbering"/>
              <w:numPr>
                <w:ilvl w:val="0"/>
                <w:numId w:val="0"/>
              </w:numPr>
              <w:jc w:val="right"/>
            </w:pPr>
            <w:r w:rsidRPr="00F02D10">
              <w:t>108.8</w:t>
            </w:r>
          </w:p>
        </w:tc>
        <w:tc>
          <w:tcPr>
            <w:tcW w:w="1705" w:type="dxa"/>
          </w:tcPr>
          <w:p w14:paraId="275B7248" w14:textId="7E9985C1" w:rsidR="00353684" w:rsidRPr="00D778C3" w:rsidRDefault="00383DA6" w:rsidP="00EE7FAB">
            <w:pPr>
              <w:pStyle w:val="TableNumbering"/>
              <w:numPr>
                <w:ilvl w:val="0"/>
                <w:numId w:val="0"/>
              </w:numPr>
              <w:jc w:val="right"/>
            </w:pPr>
            <w:r w:rsidRPr="00F02D10">
              <w:t>20,509.5</w:t>
            </w:r>
          </w:p>
        </w:tc>
      </w:tr>
      <w:tr w:rsidR="00423D10" w:rsidRPr="0015537B" w14:paraId="17F9306D" w14:textId="77777777" w:rsidTr="004C7D75">
        <w:trPr>
          <w:trHeight w:val="160"/>
        </w:trPr>
        <w:tc>
          <w:tcPr>
            <w:tcW w:w="1696" w:type="dxa"/>
          </w:tcPr>
          <w:p w14:paraId="6207FC7D" w14:textId="3FC6066A" w:rsidR="00353684" w:rsidRPr="00DE3E02" w:rsidRDefault="00353684" w:rsidP="00353684">
            <w:pPr>
              <w:pStyle w:val="TableBody"/>
            </w:pPr>
            <w:r w:rsidRPr="00722DD0">
              <w:t>Monthly</w:t>
            </w:r>
          </w:p>
        </w:tc>
        <w:tc>
          <w:tcPr>
            <w:tcW w:w="1701" w:type="dxa"/>
          </w:tcPr>
          <w:p w14:paraId="676E4536" w14:textId="60EC1181" w:rsidR="00353684" w:rsidRPr="00DE3E02" w:rsidRDefault="00383DA6" w:rsidP="00EE7FAB">
            <w:pPr>
              <w:pStyle w:val="TableBody"/>
              <w:jc w:val="right"/>
            </w:pPr>
            <w:r w:rsidRPr="00F02D10">
              <w:t>12,891.7</w:t>
            </w:r>
          </w:p>
        </w:tc>
        <w:tc>
          <w:tcPr>
            <w:tcW w:w="1843" w:type="dxa"/>
          </w:tcPr>
          <w:p w14:paraId="0C6227D9" w14:textId="5B685F4C" w:rsidR="00353684" w:rsidRPr="00DE3E02" w:rsidRDefault="00383DA6" w:rsidP="00EE7FAB">
            <w:pPr>
              <w:pStyle w:val="TableBullet"/>
              <w:numPr>
                <w:ilvl w:val="0"/>
                <w:numId w:val="0"/>
              </w:numPr>
              <w:jc w:val="right"/>
            </w:pPr>
            <w:r w:rsidRPr="00F02D10">
              <w:t>16,906.6</w:t>
            </w:r>
          </w:p>
        </w:tc>
        <w:tc>
          <w:tcPr>
            <w:tcW w:w="1701" w:type="dxa"/>
          </w:tcPr>
          <w:p w14:paraId="2C9F73A5" w14:textId="4EBCAB7B" w:rsidR="00353684" w:rsidRPr="00DE3E02" w:rsidRDefault="00383DA6" w:rsidP="00EE7FAB">
            <w:pPr>
              <w:pStyle w:val="TableNumbering"/>
              <w:numPr>
                <w:ilvl w:val="0"/>
                <w:numId w:val="0"/>
              </w:numPr>
              <w:jc w:val="right"/>
            </w:pPr>
            <w:r w:rsidRPr="00F02D10">
              <w:t>10,915.2</w:t>
            </w:r>
          </w:p>
        </w:tc>
        <w:tc>
          <w:tcPr>
            <w:tcW w:w="1559" w:type="dxa"/>
          </w:tcPr>
          <w:p w14:paraId="7C24432D" w14:textId="08050319" w:rsidR="00353684" w:rsidRPr="00DE3E02" w:rsidRDefault="00383DA6" w:rsidP="00EE7FAB">
            <w:pPr>
              <w:pStyle w:val="TableNumbering"/>
              <w:numPr>
                <w:ilvl w:val="0"/>
                <w:numId w:val="0"/>
              </w:numPr>
              <w:jc w:val="right"/>
            </w:pPr>
            <w:r w:rsidRPr="00F02D10">
              <w:t>2,625.4</w:t>
            </w:r>
          </w:p>
        </w:tc>
        <w:tc>
          <w:tcPr>
            <w:tcW w:w="1705" w:type="dxa"/>
          </w:tcPr>
          <w:p w14:paraId="16320512" w14:textId="1B449161" w:rsidR="00353684" w:rsidRPr="00D778C3" w:rsidRDefault="00383DA6" w:rsidP="00EE7FAB">
            <w:pPr>
              <w:pStyle w:val="TableNumbering"/>
              <w:numPr>
                <w:ilvl w:val="0"/>
                <w:numId w:val="0"/>
              </w:numPr>
              <w:jc w:val="right"/>
            </w:pPr>
            <w:r w:rsidRPr="00F02D10">
              <w:t>43,339.0</w:t>
            </w:r>
          </w:p>
        </w:tc>
      </w:tr>
      <w:tr w:rsidR="00423D10" w:rsidRPr="0015537B" w14:paraId="5E0D6838" w14:textId="1A62E81F" w:rsidTr="004C7D75">
        <w:trPr>
          <w:trHeight w:val="160"/>
        </w:trPr>
        <w:tc>
          <w:tcPr>
            <w:tcW w:w="1696" w:type="dxa"/>
          </w:tcPr>
          <w:p w14:paraId="0128EA94" w14:textId="0F8213C9" w:rsidR="00353684" w:rsidRPr="00BC1972" w:rsidRDefault="00353684" w:rsidP="00353684">
            <w:pPr>
              <w:pStyle w:val="TableBody"/>
              <w:rPr>
                <w:color w:val="262626" w:themeColor="text1" w:themeTint="D9"/>
              </w:rPr>
            </w:pPr>
            <w:r w:rsidRPr="00DE3E02">
              <w:t>Quarterly</w:t>
            </w:r>
          </w:p>
        </w:tc>
        <w:tc>
          <w:tcPr>
            <w:tcW w:w="1701" w:type="dxa"/>
          </w:tcPr>
          <w:p w14:paraId="19BBE93D" w14:textId="3874172A" w:rsidR="00353684" w:rsidRPr="00BC1972" w:rsidRDefault="00383DA6" w:rsidP="00EE7FAB">
            <w:pPr>
              <w:pStyle w:val="TableBody"/>
              <w:jc w:val="right"/>
              <w:rPr>
                <w:color w:val="262626" w:themeColor="text1" w:themeTint="D9"/>
              </w:rPr>
            </w:pPr>
            <w:r w:rsidRPr="00F02D10">
              <w:t>4,443.7</w:t>
            </w:r>
          </w:p>
        </w:tc>
        <w:tc>
          <w:tcPr>
            <w:tcW w:w="1843" w:type="dxa"/>
          </w:tcPr>
          <w:p w14:paraId="58EF88D9" w14:textId="099E6C02" w:rsidR="00353684" w:rsidRPr="00BC1972" w:rsidRDefault="00383DA6" w:rsidP="00EE7FAB">
            <w:pPr>
              <w:pStyle w:val="TableBullet"/>
              <w:numPr>
                <w:ilvl w:val="0"/>
                <w:numId w:val="0"/>
              </w:numPr>
              <w:jc w:val="right"/>
            </w:pPr>
            <w:r w:rsidRPr="00F02D10">
              <w:t>5,384.7</w:t>
            </w:r>
          </w:p>
        </w:tc>
        <w:tc>
          <w:tcPr>
            <w:tcW w:w="1701" w:type="dxa"/>
          </w:tcPr>
          <w:p w14:paraId="7861E14E" w14:textId="0A93DE70" w:rsidR="00353684" w:rsidRPr="00BC1972" w:rsidRDefault="00383DA6" w:rsidP="00EE7FAB">
            <w:pPr>
              <w:pStyle w:val="TableNumbering"/>
              <w:numPr>
                <w:ilvl w:val="0"/>
                <w:numId w:val="0"/>
              </w:numPr>
              <w:jc w:val="right"/>
            </w:pPr>
            <w:r w:rsidRPr="00F02D10">
              <w:t>2,643.1</w:t>
            </w:r>
          </w:p>
        </w:tc>
        <w:tc>
          <w:tcPr>
            <w:tcW w:w="1559" w:type="dxa"/>
          </w:tcPr>
          <w:p w14:paraId="0DFADA60" w14:textId="7E1F587B" w:rsidR="00353684" w:rsidRPr="00BC1972" w:rsidRDefault="00383DA6" w:rsidP="00EE7FAB">
            <w:pPr>
              <w:pStyle w:val="TableNumbering"/>
              <w:numPr>
                <w:ilvl w:val="0"/>
                <w:numId w:val="0"/>
              </w:numPr>
              <w:jc w:val="right"/>
            </w:pPr>
            <w:r w:rsidRPr="00F02D10">
              <w:t>3,773.7</w:t>
            </w:r>
          </w:p>
        </w:tc>
        <w:tc>
          <w:tcPr>
            <w:tcW w:w="1705" w:type="dxa"/>
          </w:tcPr>
          <w:p w14:paraId="5F6FB93D" w14:textId="0197448B" w:rsidR="00353684" w:rsidRPr="00D778C3" w:rsidRDefault="00383DA6" w:rsidP="00EE7FAB">
            <w:pPr>
              <w:pStyle w:val="TableNumbering"/>
              <w:numPr>
                <w:ilvl w:val="0"/>
                <w:numId w:val="0"/>
              </w:numPr>
              <w:jc w:val="right"/>
            </w:pPr>
            <w:r w:rsidRPr="00F02D10">
              <w:t>16,245.2</w:t>
            </w:r>
          </w:p>
        </w:tc>
      </w:tr>
      <w:tr w:rsidR="00423D10" w:rsidRPr="0015537B" w14:paraId="35AE0747" w14:textId="77307998" w:rsidTr="004C7D75">
        <w:trPr>
          <w:trHeight w:val="160"/>
        </w:trPr>
        <w:tc>
          <w:tcPr>
            <w:tcW w:w="1696" w:type="dxa"/>
          </w:tcPr>
          <w:p w14:paraId="436401FD" w14:textId="0A15A824" w:rsidR="00353684" w:rsidRPr="00BC1972" w:rsidRDefault="00353684" w:rsidP="00353684">
            <w:pPr>
              <w:pStyle w:val="TableBody"/>
              <w:rPr>
                <w:color w:val="262626" w:themeColor="text1" w:themeTint="D9"/>
              </w:rPr>
            </w:pPr>
            <w:r w:rsidRPr="00DE3E02">
              <w:t>Unknown</w:t>
            </w:r>
          </w:p>
        </w:tc>
        <w:tc>
          <w:tcPr>
            <w:tcW w:w="1701" w:type="dxa"/>
          </w:tcPr>
          <w:p w14:paraId="6EAD11FC" w14:textId="5FC24772" w:rsidR="00353684" w:rsidRPr="00BC1972" w:rsidRDefault="00383DA6" w:rsidP="00EE7FAB">
            <w:pPr>
              <w:pStyle w:val="TableBody"/>
              <w:jc w:val="right"/>
              <w:rPr>
                <w:color w:val="262626" w:themeColor="text1" w:themeTint="D9"/>
              </w:rPr>
            </w:pPr>
            <w:r w:rsidRPr="00F02D10">
              <w:t>211.5</w:t>
            </w:r>
          </w:p>
        </w:tc>
        <w:tc>
          <w:tcPr>
            <w:tcW w:w="1843" w:type="dxa"/>
          </w:tcPr>
          <w:p w14:paraId="0097F0E7" w14:textId="3B3BC69E" w:rsidR="00353684" w:rsidRPr="00BC1972" w:rsidRDefault="00383DA6" w:rsidP="00EE7FAB">
            <w:pPr>
              <w:pStyle w:val="TableBullet"/>
              <w:numPr>
                <w:ilvl w:val="0"/>
                <w:numId w:val="0"/>
              </w:numPr>
              <w:jc w:val="right"/>
            </w:pPr>
            <w:r w:rsidRPr="00F02D10">
              <w:t>695.2</w:t>
            </w:r>
          </w:p>
        </w:tc>
        <w:tc>
          <w:tcPr>
            <w:tcW w:w="1701" w:type="dxa"/>
          </w:tcPr>
          <w:p w14:paraId="6001873D" w14:textId="1C2CA6CA" w:rsidR="00353684" w:rsidRPr="00BC1972" w:rsidRDefault="00383DA6" w:rsidP="00EE7FAB">
            <w:pPr>
              <w:pStyle w:val="TableNumbering"/>
              <w:numPr>
                <w:ilvl w:val="0"/>
                <w:numId w:val="0"/>
              </w:numPr>
              <w:jc w:val="right"/>
            </w:pPr>
            <w:r w:rsidRPr="00F02D10">
              <w:t>29.9</w:t>
            </w:r>
          </w:p>
        </w:tc>
        <w:tc>
          <w:tcPr>
            <w:tcW w:w="1559" w:type="dxa"/>
          </w:tcPr>
          <w:p w14:paraId="64792F2A" w14:textId="0F22028D" w:rsidR="00353684" w:rsidRPr="00BC1972" w:rsidRDefault="00383DA6" w:rsidP="00EE7FAB">
            <w:pPr>
              <w:pStyle w:val="TableNumbering"/>
              <w:numPr>
                <w:ilvl w:val="0"/>
                <w:numId w:val="0"/>
              </w:numPr>
              <w:jc w:val="right"/>
            </w:pPr>
            <w:r w:rsidRPr="00F02D10">
              <w:t>133.4</w:t>
            </w:r>
          </w:p>
        </w:tc>
        <w:tc>
          <w:tcPr>
            <w:tcW w:w="1705" w:type="dxa"/>
          </w:tcPr>
          <w:p w14:paraId="19B5ADAA" w14:textId="50B8F389" w:rsidR="00353684" w:rsidRPr="00D778C3" w:rsidRDefault="00383DA6" w:rsidP="00EE7FAB">
            <w:pPr>
              <w:pStyle w:val="TableNumbering"/>
              <w:numPr>
                <w:ilvl w:val="0"/>
                <w:numId w:val="0"/>
              </w:numPr>
              <w:jc w:val="right"/>
            </w:pPr>
            <w:r w:rsidRPr="00F02D10">
              <w:t>1,070.0</w:t>
            </w:r>
          </w:p>
        </w:tc>
      </w:tr>
      <w:tr w:rsidR="00423D10" w:rsidRPr="0015537B" w14:paraId="5F4D6880" w14:textId="01C5658D" w:rsidTr="004C7D75">
        <w:trPr>
          <w:cnfStyle w:val="010000000000" w:firstRow="0" w:lastRow="1" w:firstColumn="0" w:lastColumn="0" w:oddVBand="0" w:evenVBand="0" w:oddHBand="0" w:evenHBand="0" w:firstRowFirstColumn="0" w:firstRowLastColumn="0" w:lastRowFirstColumn="0" w:lastRowLastColumn="0"/>
          <w:trHeight w:val="160"/>
        </w:trPr>
        <w:tc>
          <w:tcPr>
            <w:tcW w:w="1696" w:type="dxa"/>
          </w:tcPr>
          <w:p w14:paraId="705A051C" w14:textId="6A509E64" w:rsidR="00353684" w:rsidRPr="00D778C3" w:rsidRDefault="00353684" w:rsidP="00353684">
            <w:pPr>
              <w:pStyle w:val="TableBody"/>
              <w:rPr>
                <w:b/>
                <w:bCs/>
                <w:color w:val="262626" w:themeColor="text1" w:themeTint="D9"/>
              </w:rPr>
            </w:pPr>
            <w:r w:rsidRPr="00D778C3">
              <w:rPr>
                <w:b/>
                <w:bCs/>
              </w:rPr>
              <w:t>Total</w:t>
            </w:r>
          </w:p>
        </w:tc>
        <w:tc>
          <w:tcPr>
            <w:tcW w:w="1701" w:type="dxa"/>
          </w:tcPr>
          <w:p w14:paraId="4882E69A" w14:textId="08243BFB" w:rsidR="00353684" w:rsidRPr="00353684" w:rsidRDefault="00383DA6" w:rsidP="00EE7FAB">
            <w:pPr>
              <w:pStyle w:val="TableBody"/>
              <w:jc w:val="right"/>
              <w:rPr>
                <w:b/>
                <w:bCs/>
                <w:color w:val="262626" w:themeColor="text1" w:themeTint="D9"/>
              </w:rPr>
            </w:pPr>
            <w:r w:rsidRPr="00353684">
              <w:rPr>
                <w:b/>
              </w:rPr>
              <w:t>18,708</w:t>
            </w:r>
            <w:r w:rsidRPr="00EE7FAB">
              <w:rPr>
                <w:b/>
              </w:rPr>
              <w:t>.5</w:t>
            </w:r>
          </w:p>
        </w:tc>
        <w:tc>
          <w:tcPr>
            <w:tcW w:w="1843" w:type="dxa"/>
          </w:tcPr>
          <w:p w14:paraId="60D57D48" w14:textId="10B7B7F5" w:rsidR="00353684" w:rsidRPr="00353684" w:rsidRDefault="00383DA6" w:rsidP="00EE7FAB">
            <w:pPr>
              <w:pStyle w:val="TableBullet"/>
              <w:numPr>
                <w:ilvl w:val="0"/>
                <w:numId w:val="0"/>
              </w:numPr>
              <w:jc w:val="right"/>
              <w:rPr>
                <w:b/>
                <w:bCs/>
              </w:rPr>
            </w:pPr>
            <w:r w:rsidRPr="00353684">
              <w:rPr>
                <w:b/>
              </w:rPr>
              <w:t>43,</w:t>
            </w:r>
            <w:r w:rsidRPr="004C7D75">
              <w:rPr>
                <w:b/>
              </w:rPr>
              <w:t>079.9</w:t>
            </w:r>
          </w:p>
        </w:tc>
        <w:tc>
          <w:tcPr>
            <w:tcW w:w="1701" w:type="dxa"/>
          </w:tcPr>
          <w:p w14:paraId="79341D1A" w14:textId="2D6068FB" w:rsidR="00353684" w:rsidRPr="00353684" w:rsidRDefault="00383DA6" w:rsidP="00EE7FAB">
            <w:pPr>
              <w:pStyle w:val="TableNumbering"/>
              <w:numPr>
                <w:ilvl w:val="0"/>
                <w:numId w:val="0"/>
              </w:numPr>
              <w:jc w:val="right"/>
              <w:rPr>
                <w:b/>
                <w:bCs/>
              </w:rPr>
            </w:pPr>
            <w:r w:rsidRPr="00353684">
              <w:rPr>
                <w:b/>
              </w:rPr>
              <w:t>13,694</w:t>
            </w:r>
            <w:r w:rsidRPr="004C7D75">
              <w:rPr>
                <w:b/>
              </w:rPr>
              <w:t>.2</w:t>
            </w:r>
          </w:p>
        </w:tc>
        <w:tc>
          <w:tcPr>
            <w:tcW w:w="1559" w:type="dxa"/>
          </w:tcPr>
          <w:p w14:paraId="69283EED" w14:textId="6BD9160F" w:rsidR="00353684" w:rsidRPr="00353684" w:rsidRDefault="00383DA6" w:rsidP="00EE7FAB">
            <w:pPr>
              <w:pStyle w:val="TableNumbering"/>
              <w:numPr>
                <w:ilvl w:val="0"/>
                <w:numId w:val="0"/>
              </w:numPr>
              <w:jc w:val="right"/>
              <w:rPr>
                <w:b/>
                <w:bCs/>
              </w:rPr>
            </w:pPr>
            <w:r w:rsidRPr="00353684">
              <w:rPr>
                <w:b/>
              </w:rPr>
              <w:t>6,</w:t>
            </w:r>
            <w:r w:rsidRPr="004C7D75">
              <w:rPr>
                <w:b/>
              </w:rPr>
              <w:t>658.5</w:t>
            </w:r>
          </w:p>
        </w:tc>
        <w:tc>
          <w:tcPr>
            <w:tcW w:w="1705" w:type="dxa"/>
          </w:tcPr>
          <w:p w14:paraId="0CD57B96" w14:textId="0018E30B" w:rsidR="00353684" w:rsidRPr="00353684" w:rsidRDefault="00383DA6" w:rsidP="00EE7FAB">
            <w:pPr>
              <w:pStyle w:val="TableNumbering"/>
              <w:numPr>
                <w:ilvl w:val="0"/>
                <w:numId w:val="0"/>
              </w:numPr>
              <w:jc w:val="right"/>
              <w:rPr>
                <w:b/>
                <w:bCs/>
              </w:rPr>
            </w:pPr>
            <w:r w:rsidRPr="00353684">
              <w:rPr>
                <w:b/>
              </w:rPr>
              <w:t>82,141</w:t>
            </w:r>
            <w:r w:rsidRPr="004C7D75">
              <w:rPr>
                <w:b/>
              </w:rPr>
              <w:t>.1</w:t>
            </w:r>
          </w:p>
        </w:tc>
      </w:tr>
    </w:tbl>
    <w:p w14:paraId="2EAC2ED9" w14:textId="711154D1" w:rsidR="00AA1CCE" w:rsidRDefault="00AA1CCE" w:rsidP="00A531D4"/>
    <w:p w14:paraId="22EED181" w14:textId="4E895936" w:rsidR="006B11AA" w:rsidRDefault="006B11AA" w:rsidP="00A531D4">
      <w:r>
        <w:t xml:space="preserve">The </w:t>
      </w:r>
      <w:r w:rsidR="008C7C7A">
        <w:t xml:space="preserve">employer </w:t>
      </w:r>
      <w:r w:rsidR="00D539EB">
        <w:t xml:space="preserve">SG-wages </w:t>
      </w:r>
      <w:r w:rsidR="003428F1">
        <w:t>payment frequency</w:t>
      </w:r>
      <w:r w:rsidR="008C7C7A">
        <w:t xml:space="preserve"> </w:t>
      </w:r>
      <w:r w:rsidR="007012B1">
        <w:t>category with</w:t>
      </w:r>
      <w:r w:rsidR="00372103">
        <w:t xml:space="preserve"> the</w:t>
      </w:r>
      <w:r w:rsidR="007012B1">
        <w:t xml:space="preserve"> </w:t>
      </w:r>
      <w:r>
        <w:t xml:space="preserve">highest aggregate </w:t>
      </w:r>
      <w:r w:rsidR="008C7C7A">
        <w:t>amount of SG</w:t>
      </w:r>
      <w:r>
        <w:t xml:space="preserve"> </w:t>
      </w:r>
      <w:r w:rsidR="00372103">
        <w:t>were</w:t>
      </w:r>
      <w:r w:rsidR="007012B1">
        <w:t xml:space="preserve"> employers with</w:t>
      </w:r>
      <w:r>
        <w:t xml:space="preserve"> a fortnightly cycle for both SG and wages</w:t>
      </w:r>
      <w:r w:rsidR="00FF44A6">
        <w:t>, which</w:t>
      </w:r>
      <w:r>
        <w:t xml:space="preserve"> total</w:t>
      </w:r>
      <w:r w:rsidR="009F5845">
        <w:t>l</w:t>
      </w:r>
      <w:r w:rsidR="00FF44A6">
        <w:t>ed</w:t>
      </w:r>
      <w:r>
        <w:t xml:space="preserve"> $20.</w:t>
      </w:r>
      <w:r w:rsidR="00065C0D">
        <w:t>1</w:t>
      </w:r>
      <w:r>
        <w:t xml:space="preserve"> billion</w:t>
      </w:r>
      <w:r w:rsidR="00C85074">
        <w:t xml:space="preserve">. </w:t>
      </w:r>
      <w:r w:rsidR="004C28D1">
        <w:t xml:space="preserve">The second highest </w:t>
      </w:r>
      <w:r w:rsidR="009F5845">
        <w:t xml:space="preserve">was for </w:t>
      </w:r>
      <w:r w:rsidR="004C28D1">
        <w:t>employers with m</w:t>
      </w:r>
      <w:r>
        <w:t xml:space="preserve">onthly SG </w:t>
      </w:r>
      <w:r w:rsidR="004C28D1">
        <w:t>cycles and</w:t>
      </w:r>
      <w:r>
        <w:t xml:space="preserve"> fortnightly </w:t>
      </w:r>
      <w:r w:rsidR="004C28D1">
        <w:t>wage</w:t>
      </w:r>
      <w:r>
        <w:t xml:space="preserve"> cycle</w:t>
      </w:r>
      <w:r w:rsidR="004C28D1">
        <w:t>s</w:t>
      </w:r>
      <w:r>
        <w:t xml:space="preserve"> at $16.9 billion. </w:t>
      </w:r>
      <w:r w:rsidR="00DA7219">
        <w:t>Overall, $32.1 billion in SG payments were paid by employers with same or greater SG cycle frequency than wages.</w:t>
      </w:r>
    </w:p>
    <w:p w14:paraId="68116460" w14:textId="42AF1D0D" w:rsidR="00ED6D85" w:rsidRDefault="00ED6D85" w:rsidP="00A531D4">
      <w:r>
        <w:t xml:space="preserve">If </w:t>
      </w:r>
      <w:r w:rsidR="00F46DD9">
        <w:t>the</w:t>
      </w:r>
      <w:r>
        <w:t xml:space="preserve"> SG was required to be paid with at least the same frequency as wages, employers </w:t>
      </w:r>
      <w:r w:rsidR="00831F3A">
        <w:t>paying</w:t>
      </w:r>
      <w:r>
        <w:t xml:space="preserve"> </w:t>
      </w:r>
      <w:r w:rsidR="00B8166E">
        <w:t>SG less frequently than wages would be required to</w:t>
      </w:r>
      <w:r>
        <w:t xml:space="preserve"> </w:t>
      </w:r>
      <w:r w:rsidR="00E73D72">
        <w:t>pay SG mo</w:t>
      </w:r>
      <w:r w:rsidR="00095AF6">
        <w:t>re frequently</w:t>
      </w:r>
      <w:r w:rsidR="0093451A">
        <w:t>.</w:t>
      </w:r>
      <w:r w:rsidR="00DC4116">
        <w:t xml:space="preserve"> </w:t>
      </w:r>
      <w:r w:rsidR="0093451A">
        <w:t>A</w:t>
      </w:r>
      <w:r w:rsidR="00DC4116" w:rsidRPr="00396411">
        <w:t xml:space="preserve">s outlined in </w:t>
      </w:r>
      <w:r w:rsidR="001A111F">
        <w:t>Table 9</w:t>
      </w:r>
      <w:r w:rsidR="0093451A">
        <w:t>,</w:t>
      </w:r>
      <w:r w:rsidR="00095AF6">
        <w:t xml:space="preserve"> </w:t>
      </w:r>
      <w:r w:rsidR="0093451A">
        <w:t>i</w:t>
      </w:r>
      <w:r w:rsidR="006B3BC3">
        <w:t xml:space="preserve">f implemented in FY2022 this would have </w:t>
      </w:r>
      <w:r w:rsidR="001828C7">
        <w:t>affected $42.5 billion in SG payments</w:t>
      </w:r>
      <w:r w:rsidR="001C5BB0">
        <w:t xml:space="preserve">, </w:t>
      </w:r>
      <w:r w:rsidR="001C1047">
        <w:t xml:space="preserve">accounting for </w:t>
      </w:r>
      <w:r w:rsidR="008B5490">
        <w:t xml:space="preserve">56 per cent of all SG paid. </w:t>
      </w:r>
      <w:r w:rsidR="003D7698">
        <w:t>This</w:t>
      </w:r>
      <w:r w:rsidR="008B5490">
        <w:t xml:space="preserve"> </w:t>
      </w:r>
      <w:r w:rsidR="00E60513">
        <w:t>is</w:t>
      </w:r>
      <w:r w:rsidR="008B5490">
        <w:t xml:space="preserve"> </w:t>
      </w:r>
      <w:r w:rsidR="001C5BB0">
        <w:t xml:space="preserve">predominantly </w:t>
      </w:r>
      <w:r w:rsidR="00F51364">
        <w:t>made up of</w:t>
      </w:r>
      <w:r w:rsidR="001C5BB0">
        <w:t xml:space="preserve"> </w:t>
      </w:r>
      <w:r w:rsidR="0029009E">
        <w:t>SG amounts paid by</w:t>
      </w:r>
      <w:r w:rsidR="001C5BB0">
        <w:t xml:space="preserve"> employers who pay </w:t>
      </w:r>
      <w:r w:rsidR="00901050">
        <w:t xml:space="preserve">SG monthly and </w:t>
      </w:r>
      <w:r w:rsidR="00CD2973">
        <w:t xml:space="preserve">wages </w:t>
      </w:r>
      <w:r w:rsidR="00E4780D">
        <w:t xml:space="preserve">either </w:t>
      </w:r>
      <w:r w:rsidR="00CD2973">
        <w:t>weekly ($12.9 billion) or fortnightly (</w:t>
      </w:r>
      <w:r w:rsidR="000C08C1">
        <w:t>$16.9 billion)</w:t>
      </w:r>
      <w:r w:rsidR="001828C7">
        <w:t>.</w:t>
      </w:r>
    </w:p>
    <w:p w14:paraId="43C673B1" w14:textId="1FDC369A" w:rsidR="00D72A4F" w:rsidRDefault="00D72A4F" w:rsidP="00D72A4F">
      <w:pPr>
        <w:pStyle w:val="Caption"/>
      </w:pPr>
      <w:bookmarkStart w:id="54" w:name="_Ref130467346"/>
      <w:r>
        <w:t xml:space="preserve">Table </w:t>
      </w:r>
      <w:bookmarkEnd w:id="54"/>
      <w:r w:rsidR="00A96D21">
        <w:t>9</w:t>
      </w:r>
      <w:r>
        <w:t>.</w:t>
      </w:r>
      <w:r>
        <w:tab/>
        <w:t xml:space="preserve">Estimated </w:t>
      </w:r>
      <w:r w:rsidR="00A308B4">
        <w:t xml:space="preserve">amount of SG </w:t>
      </w:r>
      <w:r>
        <w:t>impact</w:t>
      </w:r>
      <w:r w:rsidR="00A308B4">
        <w:t xml:space="preserve">ed </w:t>
      </w:r>
      <w:r w:rsidR="0082666B">
        <w:t>by SG on payday</w:t>
      </w:r>
      <w:r w:rsidR="00A308B4">
        <w:t xml:space="preserve"> </w:t>
      </w:r>
      <w:r>
        <w:t>($</w:t>
      </w:r>
      <w:r w:rsidR="00CA003E">
        <w:t xml:space="preserve"> </w:t>
      </w:r>
      <w:r>
        <w:t>millions</w:t>
      </w:r>
      <w:r w:rsidR="009F19AC">
        <w:t>, FY2022</w:t>
      </w:r>
      <w:r>
        <w:t>)</w:t>
      </w:r>
      <w:r w:rsidR="002F483C" w:rsidRPr="002F483C">
        <w:rPr>
          <w:rStyle w:val="FootnoteReference"/>
        </w:rPr>
        <w:t xml:space="preserve"> </w:t>
      </w:r>
      <w:r w:rsidR="002F483C">
        <w:rPr>
          <w:rStyle w:val="FootnoteReference"/>
        </w:rPr>
        <w:footnoteReference w:id="41"/>
      </w:r>
    </w:p>
    <w:tbl>
      <w:tblPr>
        <w:tblStyle w:val="PMCTableStyle2"/>
        <w:tblW w:w="0" w:type="auto"/>
        <w:tblLook w:val="0660" w:firstRow="1" w:lastRow="1" w:firstColumn="0" w:lastColumn="0" w:noHBand="1" w:noVBand="1"/>
      </w:tblPr>
      <w:tblGrid>
        <w:gridCol w:w="2548"/>
        <w:gridCol w:w="2549"/>
        <w:gridCol w:w="2372"/>
      </w:tblGrid>
      <w:tr w:rsidR="00D72A4F" w14:paraId="019D2DF3" w14:textId="77777777" w:rsidTr="008C670C">
        <w:trPr>
          <w:cnfStyle w:val="100000000000" w:firstRow="1" w:lastRow="0" w:firstColumn="0" w:lastColumn="0" w:oddVBand="0" w:evenVBand="0" w:oddHBand="0" w:evenHBand="0" w:firstRowFirstColumn="0" w:firstRowLastColumn="0" w:lastRowFirstColumn="0" w:lastRowLastColumn="0"/>
          <w:trHeight w:val="221"/>
        </w:trPr>
        <w:tc>
          <w:tcPr>
            <w:tcW w:w="2548" w:type="dxa"/>
            <w:vAlign w:val="bottom"/>
          </w:tcPr>
          <w:p w14:paraId="2F511C20" w14:textId="77777777" w:rsidR="00D72A4F" w:rsidRPr="00353684" w:rsidRDefault="00D72A4F">
            <w:pPr>
              <w:pStyle w:val="TableHeading"/>
            </w:pPr>
            <w:r w:rsidRPr="00353684">
              <w:rPr>
                <w:rFonts w:ascii="Calibri" w:eastAsia="Times New Roman" w:hAnsi="Calibri" w:cs="Calibri"/>
                <w:szCs w:val="22"/>
                <w:lang w:eastAsia="en-AU"/>
              </w:rPr>
              <w:t>SG cycle</w:t>
            </w:r>
          </w:p>
        </w:tc>
        <w:tc>
          <w:tcPr>
            <w:tcW w:w="2549" w:type="dxa"/>
            <w:vAlign w:val="bottom"/>
          </w:tcPr>
          <w:p w14:paraId="55B0D4C3" w14:textId="77777777" w:rsidR="00D72A4F" w:rsidRPr="00353684" w:rsidRDefault="00D72A4F">
            <w:pPr>
              <w:pStyle w:val="TableHeading"/>
            </w:pPr>
            <w:r w:rsidRPr="00353684">
              <w:rPr>
                <w:rFonts w:ascii="Calibri" w:eastAsia="Times New Roman" w:hAnsi="Calibri" w:cs="Calibri"/>
                <w:szCs w:val="22"/>
                <w:lang w:eastAsia="en-AU"/>
              </w:rPr>
              <w:t>Wage cycle</w:t>
            </w:r>
          </w:p>
        </w:tc>
        <w:tc>
          <w:tcPr>
            <w:tcW w:w="2372" w:type="dxa"/>
            <w:vAlign w:val="bottom"/>
          </w:tcPr>
          <w:p w14:paraId="7BDF0E35" w14:textId="5A6AAA0C" w:rsidR="00D72A4F" w:rsidRPr="00353684" w:rsidRDefault="00D72A4F">
            <w:pPr>
              <w:pStyle w:val="TableHeading"/>
            </w:pPr>
            <w:r>
              <w:rPr>
                <w:rFonts w:ascii="Calibri" w:eastAsia="Times New Roman" w:hAnsi="Calibri" w:cs="Calibri"/>
                <w:szCs w:val="22"/>
                <w:lang w:eastAsia="en-AU"/>
              </w:rPr>
              <w:t xml:space="preserve">Total </w:t>
            </w:r>
            <w:r w:rsidRPr="00AA1CCE">
              <w:rPr>
                <w:rFonts w:ascii="Calibri" w:eastAsia="Times New Roman" w:hAnsi="Calibri" w:cs="Calibri"/>
                <w:szCs w:val="22"/>
                <w:lang w:eastAsia="en-AU"/>
              </w:rPr>
              <w:t>SG</w:t>
            </w:r>
            <w:r w:rsidRPr="00353684">
              <w:rPr>
                <w:rFonts w:ascii="Calibri" w:eastAsia="Times New Roman" w:hAnsi="Calibri" w:cs="Calibri"/>
                <w:szCs w:val="22"/>
                <w:lang w:eastAsia="en-AU"/>
              </w:rPr>
              <w:t xml:space="preserve"> paid</w:t>
            </w:r>
            <w:r w:rsidR="008C670C">
              <w:rPr>
                <w:rFonts w:ascii="Calibri" w:eastAsia="Times New Roman" w:hAnsi="Calibri" w:cs="Calibri"/>
                <w:szCs w:val="22"/>
                <w:lang w:eastAsia="en-AU"/>
              </w:rPr>
              <w:t xml:space="preserve"> in FY2022</w:t>
            </w:r>
          </w:p>
        </w:tc>
      </w:tr>
      <w:tr w:rsidR="00D72A4F" w:rsidRPr="0015537B" w14:paraId="4E86C2DB" w14:textId="77777777" w:rsidTr="004C7D75">
        <w:trPr>
          <w:trHeight w:val="221"/>
        </w:trPr>
        <w:tc>
          <w:tcPr>
            <w:tcW w:w="0" w:type="dxa"/>
            <w:vAlign w:val="center"/>
          </w:tcPr>
          <w:p w14:paraId="05F883F2"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Fortnightly</w:t>
            </w:r>
          </w:p>
        </w:tc>
        <w:tc>
          <w:tcPr>
            <w:tcW w:w="0" w:type="dxa"/>
            <w:vAlign w:val="center"/>
          </w:tcPr>
          <w:p w14:paraId="29EA8507"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Weekly</w:t>
            </w:r>
          </w:p>
        </w:tc>
        <w:tc>
          <w:tcPr>
            <w:tcW w:w="0" w:type="dxa"/>
          </w:tcPr>
          <w:p w14:paraId="24FE1FAA" w14:textId="7913220D" w:rsidR="00D72A4F" w:rsidRPr="00BC1972" w:rsidRDefault="00820A89" w:rsidP="00831C62">
            <w:pPr>
              <w:pStyle w:val="TableBullet"/>
              <w:numPr>
                <w:ilvl w:val="0"/>
                <w:numId w:val="0"/>
              </w:numPr>
              <w:jc w:val="right"/>
            </w:pPr>
            <w:r w:rsidRPr="003D7F7A">
              <w:t>214.6</w:t>
            </w:r>
          </w:p>
        </w:tc>
      </w:tr>
      <w:tr w:rsidR="00D72A4F" w:rsidRPr="0015537B" w14:paraId="4662349E" w14:textId="77777777" w:rsidTr="004C7D75">
        <w:trPr>
          <w:trHeight w:val="221"/>
        </w:trPr>
        <w:tc>
          <w:tcPr>
            <w:tcW w:w="0" w:type="dxa"/>
            <w:vAlign w:val="center"/>
          </w:tcPr>
          <w:p w14:paraId="22EE233A"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Monthly</w:t>
            </w:r>
          </w:p>
        </w:tc>
        <w:tc>
          <w:tcPr>
            <w:tcW w:w="0" w:type="dxa"/>
            <w:vAlign w:val="center"/>
          </w:tcPr>
          <w:p w14:paraId="24CA2F7B"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Weekly</w:t>
            </w:r>
          </w:p>
        </w:tc>
        <w:tc>
          <w:tcPr>
            <w:tcW w:w="0" w:type="dxa"/>
          </w:tcPr>
          <w:p w14:paraId="7B8C3921" w14:textId="4808394E" w:rsidR="00D72A4F" w:rsidRPr="00BC1972" w:rsidRDefault="00820A89" w:rsidP="00831C62">
            <w:pPr>
              <w:pStyle w:val="TableBullet"/>
              <w:numPr>
                <w:ilvl w:val="0"/>
                <w:numId w:val="0"/>
              </w:numPr>
              <w:jc w:val="right"/>
            </w:pPr>
            <w:r w:rsidRPr="003D7F7A">
              <w:t>12,891.7</w:t>
            </w:r>
          </w:p>
        </w:tc>
      </w:tr>
      <w:tr w:rsidR="00D72A4F" w:rsidRPr="0015537B" w14:paraId="30337FF9" w14:textId="77777777" w:rsidTr="004C7D75">
        <w:trPr>
          <w:trHeight w:val="221"/>
        </w:trPr>
        <w:tc>
          <w:tcPr>
            <w:tcW w:w="0" w:type="dxa"/>
            <w:vAlign w:val="center"/>
          </w:tcPr>
          <w:p w14:paraId="40897235"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Monthly</w:t>
            </w:r>
          </w:p>
        </w:tc>
        <w:tc>
          <w:tcPr>
            <w:tcW w:w="0" w:type="dxa"/>
            <w:vAlign w:val="center"/>
          </w:tcPr>
          <w:p w14:paraId="73EF28CD"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Fortnightly</w:t>
            </w:r>
          </w:p>
        </w:tc>
        <w:tc>
          <w:tcPr>
            <w:tcW w:w="0" w:type="dxa"/>
          </w:tcPr>
          <w:p w14:paraId="38FD409A" w14:textId="68792962" w:rsidR="00D72A4F" w:rsidRPr="00BC1972" w:rsidRDefault="00820A89" w:rsidP="00831C62">
            <w:pPr>
              <w:pStyle w:val="TableBullet"/>
              <w:numPr>
                <w:ilvl w:val="0"/>
                <w:numId w:val="0"/>
              </w:numPr>
              <w:jc w:val="right"/>
            </w:pPr>
            <w:r w:rsidRPr="003D7F7A">
              <w:t>16,906.6</w:t>
            </w:r>
          </w:p>
        </w:tc>
      </w:tr>
      <w:tr w:rsidR="00D72A4F" w:rsidRPr="0015537B" w14:paraId="0BAA540E" w14:textId="77777777" w:rsidTr="004C7D75">
        <w:trPr>
          <w:trHeight w:val="221"/>
        </w:trPr>
        <w:tc>
          <w:tcPr>
            <w:tcW w:w="0" w:type="dxa"/>
            <w:vAlign w:val="center"/>
          </w:tcPr>
          <w:p w14:paraId="42C14CFF"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Quarterly</w:t>
            </w:r>
          </w:p>
        </w:tc>
        <w:tc>
          <w:tcPr>
            <w:tcW w:w="0" w:type="dxa"/>
            <w:vAlign w:val="center"/>
          </w:tcPr>
          <w:p w14:paraId="0CB3AECD"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Weekly</w:t>
            </w:r>
          </w:p>
        </w:tc>
        <w:tc>
          <w:tcPr>
            <w:tcW w:w="0" w:type="dxa"/>
          </w:tcPr>
          <w:p w14:paraId="6445B1FB" w14:textId="0B357E1B" w:rsidR="00D72A4F" w:rsidRPr="00BC1972" w:rsidRDefault="00820A89" w:rsidP="00831C62">
            <w:pPr>
              <w:pStyle w:val="TableBullet"/>
              <w:numPr>
                <w:ilvl w:val="0"/>
                <w:numId w:val="0"/>
              </w:numPr>
              <w:jc w:val="right"/>
            </w:pPr>
            <w:r w:rsidRPr="003D7F7A">
              <w:t>4,443.7</w:t>
            </w:r>
          </w:p>
        </w:tc>
      </w:tr>
      <w:tr w:rsidR="00D72A4F" w:rsidRPr="0015537B" w14:paraId="5C9E8E71" w14:textId="77777777" w:rsidTr="004C7D75">
        <w:trPr>
          <w:trHeight w:val="221"/>
        </w:trPr>
        <w:tc>
          <w:tcPr>
            <w:tcW w:w="0" w:type="dxa"/>
            <w:vAlign w:val="center"/>
          </w:tcPr>
          <w:p w14:paraId="206744F3"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Quarterly</w:t>
            </w:r>
          </w:p>
        </w:tc>
        <w:tc>
          <w:tcPr>
            <w:tcW w:w="0" w:type="dxa"/>
            <w:vAlign w:val="center"/>
          </w:tcPr>
          <w:p w14:paraId="34CCEA08"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Fortnightly</w:t>
            </w:r>
          </w:p>
        </w:tc>
        <w:tc>
          <w:tcPr>
            <w:tcW w:w="0" w:type="dxa"/>
          </w:tcPr>
          <w:p w14:paraId="343B00E2" w14:textId="5BB3489A" w:rsidR="00D72A4F" w:rsidRPr="00BC1972" w:rsidRDefault="00820A89" w:rsidP="00831C62">
            <w:pPr>
              <w:pStyle w:val="TableBullet"/>
              <w:numPr>
                <w:ilvl w:val="0"/>
                <w:numId w:val="0"/>
              </w:numPr>
              <w:jc w:val="right"/>
            </w:pPr>
            <w:r w:rsidRPr="003D7F7A">
              <w:t>5,384.7</w:t>
            </w:r>
          </w:p>
        </w:tc>
      </w:tr>
      <w:tr w:rsidR="00D72A4F" w:rsidRPr="0015537B" w14:paraId="46EFDB2F" w14:textId="77777777" w:rsidTr="004C7D75">
        <w:trPr>
          <w:trHeight w:val="221"/>
        </w:trPr>
        <w:tc>
          <w:tcPr>
            <w:tcW w:w="0" w:type="dxa"/>
            <w:vAlign w:val="center"/>
          </w:tcPr>
          <w:p w14:paraId="49CB6602"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Quarterly</w:t>
            </w:r>
          </w:p>
        </w:tc>
        <w:tc>
          <w:tcPr>
            <w:tcW w:w="0" w:type="dxa"/>
            <w:vAlign w:val="center"/>
          </w:tcPr>
          <w:p w14:paraId="1B153637"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Monthly</w:t>
            </w:r>
          </w:p>
        </w:tc>
        <w:tc>
          <w:tcPr>
            <w:tcW w:w="0" w:type="dxa"/>
          </w:tcPr>
          <w:p w14:paraId="17CDAD81" w14:textId="0E416939" w:rsidR="00D72A4F" w:rsidRPr="00BC1972" w:rsidRDefault="00820A89" w:rsidP="00831C62">
            <w:pPr>
              <w:pStyle w:val="TableBullet"/>
              <w:numPr>
                <w:ilvl w:val="0"/>
                <w:numId w:val="0"/>
              </w:numPr>
              <w:jc w:val="right"/>
            </w:pPr>
            <w:r w:rsidRPr="003D7F7A">
              <w:t>2,643.1</w:t>
            </w:r>
          </w:p>
        </w:tc>
      </w:tr>
      <w:tr w:rsidR="004A2994" w:rsidRPr="0015537B" w14:paraId="2A907DCA" w14:textId="77777777" w:rsidTr="004C7D75">
        <w:trPr>
          <w:trHeight w:val="221"/>
        </w:trPr>
        <w:tc>
          <w:tcPr>
            <w:tcW w:w="0" w:type="dxa"/>
            <w:vAlign w:val="center"/>
          </w:tcPr>
          <w:p w14:paraId="32F9987A" w14:textId="38DE7DDB" w:rsidR="004A2994" w:rsidRPr="00AA1CCE" w:rsidRDefault="004A2994">
            <w:pPr>
              <w:pStyle w:val="TableBody"/>
              <w:rPr>
                <w:rFonts w:ascii="Calibri" w:eastAsia="Times New Roman" w:hAnsi="Calibri" w:cs="Calibri"/>
                <w:color w:val="000000"/>
                <w:szCs w:val="22"/>
                <w:lang w:eastAsia="en-AU"/>
              </w:rPr>
            </w:pPr>
            <w:r w:rsidRPr="00AA1CCE">
              <w:rPr>
                <w:rFonts w:ascii="Calibri" w:eastAsia="Times New Roman" w:hAnsi="Calibri" w:cs="Calibri"/>
                <w:color w:val="000000"/>
                <w:szCs w:val="22"/>
                <w:lang w:eastAsia="en-AU"/>
              </w:rPr>
              <w:t>Quarterly</w:t>
            </w:r>
          </w:p>
        </w:tc>
        <w:tc>
          <w:tcPr>
            <w:tcW w:w="0" w:type="dxa"/>
            <w:vAlign w:val="center"/>
          </w:tcPr>
          <w:p w14:paraId="2C5B6134" w14:textId="018AD622" w:rsidR="004A2994" w:rsidRPr="00AA1CCE" w:rsidRDefault="004A2994">
            <w:pPr>
              <w:pStyle w:val="TableBody"/>
              <w:rPr>
                <w:rFonts w:ascii="Calibri" w:eastAsia="Times New Roman" w:hAnsi="Calibri" w:cs="Calibri"/>
                <w:color w:val="000000"/>
                <w:szCs w:val="22"/>
                <w:lang w:eastAsia="en-AU"/>
              </w:rPr>
            </w:pPr>
            <w:r>
              <w:rPr>
                <w:rFonts w:ascii="Calibri" w:eastAsia="Times New Roman" w:hAnsi="Calibri" w:cs="Calibri"/>
                <w:color w:val="000000"/>
                <w:szCs w:val="22"/>
                <w:lang w:eastAsia="en-AU"/>
              </w:rPr>
              <w:t>Unknown</w:t>
            </w:r>
            <w:r w:rsidR="007343D4">
              <w:rPr>
                <w:rStyle w:val="FootnoteReference"/>
                <w:rFonts w:ascii="Calibri" w:eastAsia="Times New Roman" w:hAnsi="Calibri" w:cs="Calibri"/>
                <w:color w:val="000000"/>
                <w:szCs w:val="22"/>
                <w:lang w:eastAsia="en-AU"/>
              </w:rPr>
              <w:footnoteReference w:id="42"/>
            </w:r>
          </w:p>
        </w:tc>
        <w:tc>
          <w:tcPr>
            <w:tcW w:w="0" w:type="dxa"/>
          </w:tcPr>
          <w:p w14:paraId="48ACDC69" w14:textId="2C7331AF" w:rsidR="004A2994" w:rsidRPr="00AA1CCE" w:rsidRDefault="00820A89" w:rsidP="00831C62">
            <w:pPr>
              <w:pStyle w:val="TableBullet"/>
              <w:numPr>
                <w:ilvl w:val="0"/>
                <w:numId w:val="0"/>
              </w:numPr>
              <w:jc w:val="right"/>
              <w:rPr>
                <w:rFonts w:ascii="Calibri" w:eastAsia="Times New Roman" w:hAnsi="Calibri" w:cs="Calibri"/>
                <w:color w:val="000000"/>
                <w:szCs w:val="22"/>
                <w:lang w:eastAsia="en-AU"/>
              </w:rPr>
            </w:pPr>
            <w:r w:rsidRPr="003D7F7A">
              <w:t>3,773.7</w:t>
            </w:r>
          </w:p>
        </w:tc>
      </w:tr>
      <w:tr w:rsidR="00D72A4F" w:rsidRPr="0015537B" w14:paraId="3A8B3D39" w14:textId="77777777" w:rsidTr="004C7D75">
        <w:trPr>
          <w:cnfStyle w:val="010000000000" w:firstRow="0" w:lastRow="1" w:firstColumn="0" w:lastColumn="0" w:oddVBand="0" w:evenVBand="0" w:oddHBand="0" w:evenHBand="0" w:firstRowFirstColumn="0" w:firstRowLastColumn="0" w:lastRowFirstColumn="0" w:lastRowLastColumn="0"/>
          <w:trHeight w:val="221"/>
        </w:trPr>
        <w:tc>
          <w:tcPr>
            <w:tcW w:w="0" w:type="dxa"/>
            <w:vAlign w:val="center"/>
          </w:tcPr>
          <w:p w14:paraId="7AB87DCD" w14:textId="77777777" w:rsidR="00D72A4F" w:rsidRPr="00BC1972" w:rsidRDefault="00D72A4F">
            <w:pPr>
              <w:pStyle w:val="TableBody"/>
              <w:rPr>
                <w:color w:val="262626" w:themeColor="text1" w:themeTint="D9"/>
              </w:rPr>
            </w:pPr>
            <w:r w:rsidRPr="00AA1CCE">
              <w:rPr>
                <w:rFonts w:ascii="Calibri" w:eastAsia="Times New Roman" w:hAnsi="Calibri" w:cs="Calibri"/>
                <w:b/>
                <w:bCs/>
                <w:color w:val="000000"/>
                <w:szCs w:val="22"/>
                <w:lang w:eastAsia="en-AU"/>
              </w:rPr>
              <w:t>Total</w:t>
            </w:r>
          </w:p>
        </w:tc>
        <w:tc>
          <w:tcPr>
            <w:tcW w:w="0" w:type="dxa"/>
            <w:vAlign w:val="center"/>
          </w:tcPr>
          <w:p w14:paraId="12BF189D" w14:textId="77777777" w:rsidR="00D72A4F" w:rsidRPr="00BC1972" w:rsidRDefault="00D72A4F">
            <w:pPr>
              <w:pStyle w:val="TableBody"/>
              <w:rPr>
                <w:color w:val="262626" w:themeColor="text1" w:themeTint="D9"/>
              </w:rPr>
            </w:pPr>
          </w:p>
        </w:tc>
        <w:tc>
          <w:tcPr>
            <w:tcW w:w="0" w:type="dxa"/>
          </w:tcPr>
          <w:p w14:paraId="481FEB51" w14:textId="2F83CFAA" w:rsidR="00D72A4F" w:rsidRPr="004C7D75" w:rsidRDefault="00820A89" w:rsidP="00831C62">
            <w:pPr>
              <w:pStyle w:val="TableBullet"/>
              <w:numPr>
                <w:ilvl w:val="0"/>
                <w:numId w:val="0"/>
              </w:numPr>
              <w:jc w:val="right"/>
              <w:rPr>
                <w:b/>
              </w:rPr>
            </w:pPr>
            <w:r w:rsidRPr="004C7D75">
              <w:rPr>
                <w:b/>
              </w:rPr>
              <w:t>46,258.2</w:t>
            </w:r>
          </w:p>
        </w:tc>
      </w:tr>
    </w:tbl>
    <w:p w14:paraId="4981432B" w14:textId="40EFB96E" w:rsidR="00A308B4" w:rsidRDefault="00A308B4" w:rsidP="00B7096F">
      <w:pPr>
        <w:pStyle w:val="BodyText"/>
      </w:pPr>
    </w:p>
    <w:p w14:paraId="3B479D6C" w14:textId="2CC97E0D" w:rsidR="006344BF" w:rsidRDefault="006344BF" w:rsidP="00A531D4">
      <w:r>
        <w:t xml:space="preserve">Additional to this estimate, </w:t>
      </w:r>
      <w:r w:rsidR="00704A94">
        <w:t>employers</w:t>
      </w:r>
      <w:r w:rsidR="00B62812">
        <w:t xml:space="preserve"> </w:t>
      </w:r>
      <w:r w:rsidR="00341BF3">
        <w:t xml:space="preserve">for which </w:t>
      </w:r>
      <w:r w:rsidR="008E18C3">
        <w:t xml:space="preserve">either </w:t>
      </w:r>
      <w:r w:rsidR="00B62812">
        <w:t xml:space="preserve">the SG cycle </w:t>
      </w:r>
      <w:r w:rsidR="00BB0E8B">
        <w:t xml:space="preserve">or wages cycle </w:t>
      </w:r>
      <w:r w:rsidR="00341BF3">
        <w:t xml:space="preserve">was </w:t>
      </w:r>
      <w:r w:rsidR="00BB0E8B">
        <w:t>unknown contribut</w:t>
      </w:r>
      <w:r w:rsidR="00B7096F">
        <w:t>ed</w:t>
      </w:r>
      <w:r w:rsidR="00B62812">
        <w:t xml:space="preserve"> </w:t>
      </w:r>
      <w:r w:rsidR="00AF705B">
        <w:t xml:space="preserve">$7.5 billion </w:t>
      </w:r>
      <w:r w:rsidR="00B7096F">
        <w:t>in SG</w:t>
      </w:r>
      <w:r w:rsidR="00DC0FD7">
        <w:t>, 5 per cent of SG paid</w:t>
      </w:r>
      <w:r w:rsidR="00B7096F">
        <w:t xml:space="preserve"> in FY2022. An unknown proportion of this amount would </w:t>
      </w:r>
      <w:r w:rsidR="009D3868">
        <w:t xml:space="preserve">be affected by </w:t>
      </w:r>
      <w:r w:rsidR="009479ED">
        <w:t>the change to</w:t>
      </w:r>
      <w:r w:rsidR="009D3868">
        <w:t xml:space="preserve"> </w:t>
      </w:r>
      <w:r w:rsidR="00A62131">
        <w:t xml:space="preserve">the frequency of SG payments </w:t>
      </w:r>
      <w:r w:rsidR="004411F2">
        <w:t xml:space="preserve">requiring </w:t>
      </w:r>
      <w:r w:rsidR="00A62131">
        <w:t>the</w:t>
      </w:r>
      <w:r w:rsidR="004411F2">
        <w:t xml:space="preserve"> SG to be paid as frequently as wages</w:t>
      </w:r>
      <w:r w:rsidR="009479ED">
        <w:t>.</w:t>
      </w:r>
    </w:p>
    <w:p w14:paraId="02D72F7D" w14:textId="4B1143CC" w:rsidR="000D7E71" w:rsidRDefault="002742B1" w:rsidP="00A531D4">
      <w:r>
        <w:t>E</w:t>
      </w:r>
      <w:r w:rsidR="000D7E71">
        <w:t>mployers who pay wages more frequently tha</w:t>
      </w:r>
      <w:r w:rsidR="00073B0D">
        <w:t>n</w:t>
      </w:r>
      <w:r w:rsidR="000D7E71">
        <w:t xml:space="preserve"> they are mandated to by the </w:t>
      </w:r>
      <w:r w:rsidR="000D7E71" w:rsidRPr="00576514">
        <w:rPr>
          <w:i/>
          <w:iCs/>
        </w:rPr>
        <w:t>Fair Work Act</w:t>
      </w:r>
      <w:r w:rsidR="0019172A" w:rsidRPr="00576514">
        <w:rPr>
          <w:i/>
          <w:iCs/>
        </w:rPr>
        <w:t xml:space="preserve"> 2009</w:t>
      </w:r>
      <w:r w:rsidR="0019172A">
        <w:t xml:space="preserve">, </w:t>
      </w:r>
      <w:r w:rsidR="000D7E71">
        <w:t xml:space="preserve">a modern award or enterprise agreement </w:t>
      </w:r>
      <w:r w:rsidR="00EA4828">
        <w:t xml:space="preserve">may choose to </w:t>
      </w:r>
      <w:r w:rsidR="0078553E">
        <w:t xml:space="preserve">change </w:t>
      </w:r>
      <w:r w:rsidR="00EA4828">
        <w:t>payment</w:t>
      </w:r>
      <w:r w:rsidR="006D6E8F">
        <w:t xml:space="preserve"> patterns</w:t>
      </w:r>
      <w:r w:rsidR="00EA4828">
        <w:t xml:space="preserve"> of wages to the minimum frequency</w:t>
      </w:r>
      <w:r w:rsidR="003E55DB">
        <w:t xml:space="preserve"> to avoid </w:t>
      </w:r>
      <w:r w:rsidR="00477A7D">
        <w:t xml:space="preserve">any potential </w:t>
      </w:r>
      <w:r w:rsidR="003E55DB">
        <w:t xml:space="preserve">cash flow </w:t>
      </w:r>
      <w:r w:rsidR="00477A7D">
        <w:t xml:space="preserve">issues </w:t>
      </w:r>
      <w:r w:rsidR="00641EB8">
        <w:t>because of</w:t>
      </w:r>
      <w:r w:rsidR="00477A7D">
        <w:t xml:space="preserve"> this change</w:t>
      </w:r>
      <w:r w:rsidR="00A636D8">
        <w:t>.</w:t>
      </w:r>
      <w:r w:rsidR="007C4970">
        <w:t xml:space="preserve"> </w:t>
      </w:r>
      <w:r w:rsidR="00477A7D">
        <w:t>However, t</w:t>
      </w:r>
      <w:r w:rsidR="007C4970">
        <w:t xml:space="preserve">he risk of this occurring is low as </w:t>
      </w:r>
      <w:r w:rsidR="00AC499E">
        <w:t xml:space="preserve">SG is a small part of remuneration and </w:t>
      </w:r>
      <w:r w:rsidR="00E16ED6">
        <w:t xml:space="preserve">the total amount of SG </w:t>
      </w:r>
      <w:r w:rsidR="00AC73DB">
        <w:t>entitlement</w:t>
      </w:r>
      <w:r w:rsidR="00E16ED6">
        <w:t xml:space="preserve"> </w:t>
      </w:r>
      <w:r w:rsidR="00F83FB9">
        <w:t>obligations</w:t>
      </w:r>
      <w:r w:rsidR="00E16ED6">
        <w:t xml:space="preserve"> will remain unchanged.</w:t>
      </w:r>
      <w:r w:rsidR="00477A7D">
        <w:t xml:space="preserve"> Further, </w:t>
      </w:r>
      <w:r w:rsidR="00395A07">
        <w:t>the</w:t>
      </w:r>
      <w:r w:rsidR="00395A07">
        <w:rPr>
          <w:i/>
          <w:iCs/>
        </w:rPr>
        <w:t xml:space="preserve"> Fair Work Act 2009, </w:t>
      </w:r>
      <w:r w:rsidR="00395A07">
        <w:t>modern awards and enterprise agreements will limit the extent to which this is possible.</w:t>
      </w:r>
    </w:p>
    <w:p w14:paraId="47281BE0" w14:textId="713F7EC8" w:rsidR="00CB4F8B" w:rsidRDefault="00CB4F8B" w:rsidP="008F5401">
      <w:pPr>
        <w:pStyle w:val="Heading4"/>
      </w:pPr>
      <w:r w:rsidRPr="00CB4F8B">
        <w:t>Employe</w:t>
      </w:r>
      <w:r w:rsidR="000D1454">
        <w:t>e</w:t>
      </w:r>
      <w:r w:rsidRPr="00CB4F8B">
        <w:t>s</w:t>
      </w:r>
    </w:p>
    <w:p w14:paraId="2822B3FF" w14:textId="54B07D35" w:rsidR="006F742B" w:rsidRPr="009F1E70" w:rsidRDefault="006F742B" w:rsidP="00A531D4">
      <w:r w:rsidRPr="009F1E70">
        <w:t xml:space="preserve">Treasury estimates that employees in at least 71 per cent </w:t>
      </w:r>
      <w:r w:rsidR="00486A55">
        <w:t xml:space="preserve">of </w:t>
      </w:r>
      <w:r w:rsidRPr="009F1E70">
        <w:t xml:space="preserve">jobs </w:t>
      </w:r>
      <w:r w:rsidR="00696B49">
        <w:t>(</w:t>
      </w:r>
      <w:r w:rsidR="00696B49" w:rsidRPr="009F1E70">
        <w:t>13.4 million</w:t>
      </w:r>
      <w:r w:rsidR="00696B49">
        <w:t>)</w:t>
      </w:r>
      <w:r w:rsidRPr="009F1E70">
        <w:t xml:space="preserve"> were held with employers who did not pay SG with the same or greater frequency than wages</w:t>
      </w:r>
      <w:r w:rsidR="00155181">
        <w:t xml:space="preserve"> in 2021-22</w:t>
      </w:r>
      <w:r w:rsidRPr="009F1E70">
        <w:t>. Of these jobs, 5</w:t>
      </w:r>
      <w:r w:rsidR="005D3CF1">
        <w:t>1</w:t>
      </w:r>
      <w:r w:rsidRPr="009F1E70">
        <w:t xml:space="preserve"> per cent were held by males. </w:t>
      </w:r>
    </w:p>
    <w:p w14:paraId="1D4F92A1" w14:textId="02BE6320" w:rsidR="006F742B" w:rsidRPr="00BB39FF" w:rsidRDefault="006F742B" w:rsidP="00A531D4">
      <w:bookmarkStart w:id="55" w:name="_Ref130469371"/>
      <w:r w:rsidRPr="009F1E70">
        <w:t xml:space="preserve">Through more frequent SG contributions, employees may see an increase in their </w:t>
      </w:r>
      <w:r w:rsidR="0097226F">
        <w:t xml:space="preserve">superannuation balances </w:t>
      </w:r>
      <w:r w:rsidR="001158DC">
        <w:t xml:space="preserve">through increased </w:t>
      </w:r>
      <w:r w:rsidR="009E6114">
        <w:t>earnings</w:t>
      </w:r>
      <w:r w:rsidR="001158DC">
        <w:t xml:space="preserve"> in the financial year they are </w:t>
      </w:r>
      <w:r w:rsidR="009E6114">
        <w:t>contributed</w:t>
      </w:r>
      <w:r w:rsidRPr="009F1E70">
        <w:t>.</w:t>
      </w:r>
      <w:r w:rsidR="009E6114">
        <w:t xml:space="preserve"> </w:t>
      </w:r>
      <w:r w:rsidR="008251E5">
        <w:t xml:space="preserve">Portions of these employee SG payments would be paid into </w:t>
      </w:r>
      <w:r w:rsidR="00E20F0E">
        <w:t>their accounts sooner</w:t>
      </w:r>
      <w:r w:rsidR="00F11DDD">
        <w:t xml:space="preserve"> than they currently are</w:t>
      </w:r>
      <w:r w:rsidR="00E20F0E">
        <w:t xml:space="preserve">, </w:t>
      </w:r>
      <w:r w:rsidR="00B733FB">
        <w:t xml:space="preserve">giving </w:t>
      </w:r>
      <w:r w:rsidR="00CE059C">
        <w:t xml:space="preserve">these amounts </w:t>
      </w:r>
      <w:r w:rsidR="00731807">
        <w:t xml:space="preserve">more time to </w:t>
      </w:r>
      <w:r w:rsidR="002518F8">
        <w:t xml:space="preserve">experience </w:t>
      </w:r>
      <w:r w:rsidR="00731807">
        <w:t>compound</w:t>
      </w:r>
      <w:r w:rsidR="002518F8">
        <w:t>ing returns in the fund</w:t>
      </w:r>
      <w:r w:rsidR="00F11DDD">
        <w:t>.</w:t>
      </w:r>
    </w:p>
    <w:p w14:paraId="4A2467FF" w14:textId="7062D5E7" w:rsidR="00816A44" w:rsidRPr="00BB39FF" w:rsidRDefault="008433F0" w:rsidP="00A531D4">
      <w:r>
        <w:t>As outlined in</w:t>
      </w:r>
      <w:r w:rsidR="00D10F69">
        <w:t xml:space="preserve"> </w:t>
      </w:r>
      <w:r w:rsidR="00044BDC">
        <w:t>Table 10</w:t>
      </w:r>
      <w:r w:rsidR="00D10F69">
        <w:t xml:space="preserve">, </w:t>
      </w:r>
      <w:r w:rsidR="00571350">
        <w:t xml:space="preserve">the </w:t>
      </w:r>
      <w:r w:rsidR="003D0B6A">
        <w:t xml:space="preserve">amount of </w:t>
      </w:r>
      <w:r w:rsidR="00274B62">
        <w:t>returns</w:t>
      </w:r>
      <w:r w:rsidR="003D0B6A">
        <w:t xml:space="preserve"> which could be expected to be </w:t>
      </w:r>
      <w:r w:rsidR="00274B62">
        <w:t>experienced on SG contributions</w:t>
      </w:r>
      <w:r w:rsidR="00226845">
        <w:t xml:space="preserve"> made in FY2022 </w:t>
      </w:r>
      <w:r w:rsidR="0050770A">
        <w:t>are estimated to be $1.</w:t>
      </w:r>
      <w:r w:rsidR="00180EC1">
        <w:t>2</w:t>
      </w:r>
      <w:r w:rsidR="0050770A">
        <w:t xml:space="preserve"> billion</w:t>
      </w:r>
      <w:r w:rsidR="00E6798D">
        <w:t xml:space="preserve">, based on an </w:t>
      </w:r>
      <w:r w:rsidR="0093042C">
        <w:t>assumed rate of return on investment of 7.</w:t>
      </w:r>
      <w:r w:rsidR="00424652">
        <w:t>2</w:t>
      </w:r>
      <w:r w:rsidR="0053045B">
        <w:t>2</w:t>
      </w:r>
      <w:r w:rsidR="0093042C">
        <w:t xml:space="preserve"> per cent</w:t>
      </w:r>
      <w:r w:rsidR="004E0FB8">
        <w:rPr>
          <w:rStyle w:val="FootnoteReference"/>
        </w:rPr>
        <w:footnoteReference w:id="43"/>
      </w:r>
      <w:r w:rsidR="009F7ACB">
        <w:t xml:space="preserve"> on SG amounts </w:t>
      </w:r>
      <w:r w:rsidR="00960032">
        <w:t xml:space="preserve">after </w:t>
      </w:r>
      <w:r w:rsidR="00415F15">
        <w:t xml:space="preserve">the </w:t>
      </w:r>
      <w:r w:rsidR="00960032">
        <w:t>contributions tax of 15 per cent is paid</w:t>
      </w:r>
      <w:r w:rsidR="0050770A">
        <w:t>.</w:t>
      </w:r>
      <w:r w:rsidR="0093042C">
        <w:rPr>
          <w:rStyle w:val="FootnoteReference"/>
        </w:rPr>
        <w:footnoteReference w:id="44"/>
      </w:r>
      <w:r w:rsidR="00226845">
        <w:t xml:space="preserve"> </w:t>
      </w:r>
      <w:r w:rsidR="00855D4F">
        <w:t>If the</w:t>
      </w:r>
      <w:r w:rsidR="008647EE">
        <w:t xml:space="preserve"> </w:t>
      </w:r>
      <w:r w:rsidR="00855D4F">
        <w:t xml:space="preserve">change to require SG to be paid on payday </w:t>
      </w:r>
      <w:r w:rsidR="001B1A34">
        <w:t xml:space="preserve">were </w:t>
      </w:r>
      <w:r w:rsidR="00855D4F">
        <w:t>implemented</w:t>
      </w:r>
      <w:r w:rsidR="00EB0CEC">
        <w:t xml:space="preserve"> for FY2022</w:t>
      </w:r>
      <w:r w:rsidR="00855D4F">
        <w:t xml:space="preserve">, </w:t>
      </w:r>
      <w:r w:rsidR="00EB0CEC">
        <w:t>estimated return</w:t>
      </w:r>
      <w:r w:rsidR="00757153">
        <w:t>s</w:t>
      </w:r>
      <w:r w:rsidR="00EB0CEC">
        <w:t xml:space="preserve"> </w:t>
      </w:r>
      <w:r w:rsidR="00884CC3">
        <w:t xml:space="preserve">on SG contributions </w:t>
      </w:r>
      <w:r w:rsidR="00EB0CEC">
        <w:t xml:space="preserve">would increase by </w:t>
      </w:r>
      <w:r w:rsidR="00C80CC3">
        <w:t>around 12 per cent or</w:t>
      </w:r>
      <w:r w:rsidR="00EB0CEC">
        <w:t xml:space="preserve"> $</w:t>
      </w:r>
      <w:r w:rsidR="00415F15">
        <w:t>13</w:t>
      </w:r>
      <w:r w:rsidR="00BF39CD">
        <w:t>6.8</w:t>
      </w:r>
      <w:r w:rsidR="00415F15">
        <w:t xml:space="preserve"> </w:t>
      </w:r>
      <w:r w:rsidR="00EB0CEC">
        <w:t xml:space="preserve">million </w:t>
      </w:r>
      <w:r w:rsidR="00FA2600">
        <w:t>to $1.</w:t>
      </w:r>
      <w:r w:rsidR="007D0E53">
        <w:t>3</w:t>
      </w:r>
      <w:r w:rsidR="00FA2600">
        <w:t xml:space="preserve"> billion.</w:t>
      </w:r>
    </w:p>
    <w:p w14:paraId="7AFB16AE" w14:textId="4AEF8739" w:rsidR="00C54E0D" w:rsidRDefault="00C54E0D" w:rsidP="00C54E0D">
      <w:pPr>
        <w:pStyle w:val="Caption"/>
      </w:pPr>
      <w:bookmarkStart w:id="56" w:name="_Ref130469384"/>
      <w:r>
        <w:t xml:space="preserve">Table </w:t>
      </w:r>
      <w:bookmarkEnd w:id="55"/>
      <w:bookmarkEnd w:id="56"/>
      <w:r w:rsidR="00044BDC">
        <w:t>10</w:t>
      </w:r>
      <w:r>
        <w:t>.</w:t>
      </w:r>
      <w:r>
        <w:tab/>
      </w:r>
      <w:r w:rsidR="001D3B3C">
        <w:t>Estimated impact</w:t>
      </w:r>
      <w:r w:rsidR="00C315CF">
        <w:t xml:space="preserve"> of</w:t>
      </w:r>
      <w:r w:rsidR="009324BB">
        <w:t xml:space="preserve"> increased compounding </w:t>
      </w:r>
      <w:r w:rsidR="00C315CF">
        <w:t>($</w:t>
      </w:r>
      <w:r w:rsidR="00CA003E">
        <w:t xml:space="preserve"> </w:t>
      </w:r>
      <w:r w:rsidR="00C315CF">
        <w:t>millions</w:t>
      </w:r>
      <w:r w:rsidR="009F19AC">
        <w:t>, FY2022</w:t>
      </w:r>
      <w:r w:rsidR="00C315CF">
        <w:t>)</w:t>
      </w:r>
      <w:r w:rsidR="00B72361">
        <w:rPr>
          <w:rStyle w:val="FootnoteReference"/>
        </w:rPr>
        <w:footnoteReference w:id="45"/>
      </w:r>
    </w:p>
    <w:tbl>
      <w:tblPr>
        <w:tblStyle w:val="PMCTableStyle2"/>
        <w:tblW w:w="0" w:type="auto"/>
        <w:tblLook w:val="0660" w:firstRow="1" w:lastRow="1" w:firstColumn="0" w:lastColumn="0" w:noHBand="1" w:noVBand="1"/>
      </w:tblPr>
      <w:tblGrid>
        <w:gridCol w:w="1874"/>
        <w:gridCol w:w="1874"/>
        <w:gridCol w:w="2160"/>
        <w:gridCol w:w="2172"/>
        <w:gridCol w:w="2114"/>
      </w:tblGrid>
      <w:tr w:rsidR="004B2877" w14:paraId="0E64D024" w14:textId="77777777" w:rsidTr="00C45162">
        <w:trPr>
          <w:cnfStyle w:val="100000000000" w:firstRow="1" w:lastRow="0" w:firstColumn="0" w:lastColumn="0" w:oddVBand="0" w:evenVBand="0" w:oddHBand="0" w:evenHBand="0" w:firstRowFirstColumn="0" w:firstRowLastColumn="0" w:lastRowFirstColumn="0" w:lastRowLastColumn="0"/>
          <w:trHeight w:val="137"/>
        </w:trPr>
        <w:tc>
          <w:tcPr>
            <w:tcW w:w="0" w:type="dxa"/>
            <w:vAlign w:val="bottom"/>
          </w:tcPr>
          <w:p w14:paraId="0DA2068D" w14:textId="4ECB77B9" w:rsidR="00C011DA" w:rsidRPr="00353684" w:rsidRDefault="00C011DA" w:rsidP="00C011DA">
            <w:pPr>
              <w:pStyle w:val="TableHeading"/>
            </w:pPr>
            <w:r w:rsidRPr="00353684">
              <w:rPr>
                <w:rFonts w:ascii="Calibri" w:eastAsia="Times New Roman" w:hAnsi="Calibri" w:cs="Calibri"/>
                <w:szCs w:val="22"/>
                <w:lang w:eastAsia="en-AU"/>
              </w:rPr>
              <w:t>SG cycle</w:t>
            </w:r>
          </w:p>
        </w:tc>
        <w:tc>
          <w:tcPr>
            <w:tcW w:w="0" w:type="dxa"/>
            <w:vAlign w:val="bottom"/>
          </w:tcPr>
          <w:p w14:paraId="1BE21416" w14:textId="07C5B76B" w:rsidR="00C011DA" w:rsidRPr="00353684" w:rsidRDefault="00C011DA" w:rsidP="00C011DA">
            <w:pPr>
              <w:pStyle w:val="TableHeading"/>
            </w:pPr>
            <w:r w:rsidRPr="00353684">
              <w:rPr>
                <w:rFonts w:ascii="Calibri" w:eastAsia="Times New Roman" w:hAnsi="Calibri" w:cs="Calibri"/>
                <w:szCs w:val="22"/>
                <w:lang w:eastAsia="en-AU"/>
              </w:rPr>
              <w:t>Wage cycle</w:t>
            </w:r>
            <w:r w:rsidR="005D108D">
              <w:rPr>
                <w:rStyle w:val="FootnoteReference"/>
              </w:rPr>
              <w:footnoteReference w:id="46"/>
            </w:r>
          </w:p>
        </w:tc>
        <w:tc>
          <w:tcPr>
            <w:tcW w:w="0" w:type="dxa"/>
            <w:vAlign w:val="bottom"/>
          </w:tcPr>
          <w:p w14:paraId="339A7F70" w14:textId="07894F79" w:rsidR="009A5AD2" w:rsidRDefault="009A5AD2" w:rsidP="00946C3B">
            <w:pPr>
              <w:pStyle w:val="TableHeading"/>
              <w:rPr>
                <w:rFonts w:ascii="Calibri" w:eastAsia="Times New Roman" w:hAnsi="Calibri" w:cs="Calibri"/>
                <w:szCs w:val="22"/>
                <w:lang w:eastAsia="en-AU"/>
              </w:rPr>
            </w:pPr>
            <w:r>
              <w:rPr>
                <w:rFonts w:ascii="Calibri" w:eastAsia="Times New Roman" w:hAnsi="Calibri" w:cs="Calibri"/>
                <w:szCs w:val="22"/>
                <w:lang w:eastAsia="en-AU"/>
              </w:rPr>
              <w:t xml:space="preserve">SG </w:t>
            </w:r>
            <w:r w:rsidR="0095233A">
              <w:rPr>
                <w:rFonts w:ascii="Calibri" w:eastAsia="Times New Roman" w:hAnsi="Calibri" w:cs="Calibri"/>
                <w:szCs w:val="22"/>
                <w:lang w:eastAsia="en-AU"/>
              </w:rPr>
              <w:t>after tax</w:t>
            </w:r>
          </w:p>
        </w:tc>
        <w:tc>
          <w:tcPr>
            <w:tcW w:w="0" w:type="dxa"/>
            <w:vAlign w:val="bottom"/>
          </w:tcPr>
          <w:p w14:paraId="4DC57381" w14:textId="1578DF02" w:rsidR="00C011DA" w:rsidRPr="00AA1CCE" w:rsidRDefault="001628BD" w:rsidP="00946C3B">
            <w:pPr>
              <w:pStyle w:val="TableHeading"/>
              <w:rPr>
                <w:rFonts w:ascii="Calibri" w:eastAsia="Times New Roman" w:hAnsi="Calibri" w:cs="Calibri"/>
                <w:szCs w:val="22"/>
                <w:lang w:eastAsia="en-AU"/>
              </w:rPr>
            </w:pPr>
            <w:r>
              <w:rPr>
                <w:rFonts w:ascii="Calibri" w:eastAsia="Times New Roman" w:hAnsi="Calibri" w:cs="Calibri"/>
                <w:szCs w:val="22"/>
                <w:lang w:eastAsia="en-AU"/>
              </w:rPr>
              <w:t>Current estimated r</w:t>
            </w:r>
            <w:r w:rsidR="00F92C88">
              <w:rPr>
                <w:rFonts w:ascii="Calibri" w:eastAsia="Times New Roman" w:hAnsi="Calibri" w:cs="Calibri"/>
                <w:szCs w:val="22"/>
                <w:lang w:eastAsia="en-AU"/>
              </w:rPr>
              <w:t>eturns on SG</w:t>
            </w:r>
          </w:p>
        </w:tc>
        <w:tc>
          <w:tcPr>
            <w:tcW w:w="0" w:type="dxa"/>
            <w:vAlign w:val="bottom"/>
          </w:tcPr>
          <w:p w14:paraId="08A3C90E" w14:textId="54E8C8BD" w:rsidR="00C011DA" w:rsidRPr="00353684" w:rsidRDefault="00C011DA" w:rsidP="00946C3B">
            <w:pPr>
              <w:pStyle w:val="TableHeading"/>
            </w:pPr>
            <w:r w:rsidRPr="00AA1CCE">
              <w:rPr>
                <w:rFonts w:ascii="Calibri" w:eastAsia="Times New Roman" w:hAnsi="Calibri" w:cs="Calibri"/>
                <w:szCs w:val="22"/>
                <w:lang w:eastAsia="en-AU"/>
              </w:rPr>
              <w:t xml:space="preserve">Additional </w:t>
            </w:r>
            <w:r w:rsidR="00F92C88">
              <w:rPr>
                <w:rFonts w:ascii="Calibri" w:eastAsia="Times New Roman" w:hAnsi="Calibri" w:cs="Calibri"/>
                <w:szCs w:val="22"/>
                <w:lang w:eastAsia="en-AU"/>
              </w:rPr>
              <w:t>returns</w:t>
            </w:r>
            <w:r>
              <w:rPr>
                <w:rFonts w:ascii="Calibri" w:eastAsia="Times New Roman" w:hAnsi="Calibri" w:cs="Calibri"/>
                <w:szCs w:val="22"/>
                <w:lang w:eastAsia="en-AU"/>
              </w:rPr>
              <w:t xml:space="preserve"> if </w:t>
            </w:r>
            <w:r w:rsidR="006977CB">
              <w:rPr>
                <w:rFonts w:ascii="Calibri" w:eastAsia="Times New Roman" w:hAnsi="Calibri" w:cs="Calibri"/>
                <w:szCs w:val="22"/>
                <w:lang w:eastAsia="en-AU"/>
              </w:rPr>
              <w:t xml:space="preserve">SG </w:t>
            </w:r>
            <w:r>
              <w:rPr>
                <w:rFonts w:ascii="Calibri" w:eastAsia="Times New Roman" w:hAnsi="Calibri" w:cs="Calibri"/>
                <w:szCs w:val="22"/>
                <w:lang w:eastAsia="en-AU"/>
              </w:rPr>
              <w:t xml:space="preserve">paid </w:t>
            </w:r>
            <w:r w:rsidR="00FB4C15">
              <w:rPr>
                <w:rFonts w:ascii="Calibri" w:eastAsia="Times New Roman" w:hAnsi="Calibri" w:cs="Calibri"/>
                <w:szCs w:val="22"/>
                <w:lang w:eastAsia="en-AU"/>
              </w:rPr>
              <w:t>with wages</w:t>
            </w:r>
          </w:p>
        </w:tc>
      </w:tr>
      <w:tr w:rsidR="002D618E" w:rsidRPr="0015537B" w14:paraId="5AE0C018" w14:textId="77777777">
        <w:trPr>
          <w:trHeight w:val="137"/>
        </w:trPr>
        <w:tc>
          <w:tcPr>
            <w:tcW w:w="1874" w:type="dxa"/>
            <w:vAlign w:val="center"/>
          </w:tcPr>
          <w:p w14:paraId="4C91B571" w14:textId="0C74C9DD"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Fortnightly</w:t>
            </w:r>
          </w:p>
        </w:tc>
        <w:tc>
          <w:tcPr>
            <w:tcW w:w="1874" w:type="dxa"/>
            <w:vAlign w:val="center"/>
          </w:tcPr>
          <w:p w14:paraId="0CEA8B04" w14:textId="3D705995"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Weekly</w:t>
            </w:r>
          </w:p>
        </w:tc>
        <w:tc>
          <w:tcPr>
            <w:tcW w:w="2160" w:type="dxa"/>
            <w:vAlign w:val="bottom"/>
          </w:tcPr>
          <w:p w14:paraId="75E4E844" w14:textId="4BE9F7B3" w:rsidR="0095233A" w:rsidRPr="00BB6C88" w:rsidRDefault="0095233A" w:rsidP="00EE7FAB">
            <w:pPr>
              <w:pStyle w:val="TableNumbering"/>
              <w:numPr>
                <w:ilvl w:val="0"/>
                <w:numId w:val="0"/>
              </w:numPr>
              <w:jc w:val="right"/>
              <w:rPr>
                <w:rFonts w:ascii="Calibri" w:hAnsi="Calibri" w:cs="Calibri"/>
                <w:color w:val="000000"/>
                <w:szCs w:val="18"/>
              </w:rPr>
            </w:pPr>
            <w:r w:rsidRPr="004C7D75">
              <w:rPr>
                <w:rFonts w:ascii="Calibri" w:hAnsi="Calibri" w:cs="Calibri"/>
                <w:color w:val="000000"/>
                <w:szCs w:val="18"/>
              </w:rPr>
              <w:t>182</w:t>
            </w:r>
            <w:r w:rsidR="00996276" w:rsidRPr="004C7D75">
              <w:rPr>
                <w:rFonts w:ascii="Calibri" w:hAnsi="Calibri" w:cs="Calibri"/>
                <w:color w:val="000000"/>
                <w:szCs w:val="18"/>
              </w:rPr>
              <w:t>.4</w:t>
            </w:r>
          </w:p>
        </w:tc>
        <w:tc>
          <w:tcPr>
            <w:tcW w:w="2172" w:type="dxa"/>
            <w:vAlign w:val="bottom"/>
          </w:tcPr>
          <w:p w14:paraId="356E46F0" w14:textId="69D069E3" w:rsidR="00FB4C15" w:rsidRPr="00AA1CCE" w:rsidRDefault="00CA0A2F" w:rsidP="00EE7FAB">
            <w:pPr>
              <w:pStyle w:val="TableNumbering"/>
              <w:numPr>
                <w:ilvl w:val="0"/>
                <w:numId w:val="0"/>
              </w:numPr>
              <w:jc w:val="right"/>
              <w:rPr>
                <w:rFonts w:ascii="Calibri" w:eastAsia="Times New Roman" w:hAnsi="Calibri" w:cs="Calibri"/>
                <w:color w:val="000000"/>
                <w:szCs w:val="22"/>
                <w:lang w:eastAsia="en-AU"/>
              </w:rPr>
            </w:pPr>
            <w:r w:rsidRPr="004C7D75">
              <w:rPr>
                <w:rFonts w:ascii="Calibri" w:hAnsi="Calibri" w:cs="Calibri"/>
                <w:color w:val="000000"/>
                <w:szCs w:val="18"/>
              </w:rPr>
              <w:t>6.5</w:t>
            </w:r>
          </w:p>
        </w:tc>
        <w:tc>
          <w:tcPr>
            <w:tcW w:w="2114" w:type="dxa"/>
            <w:vAlign w:val="bottom"/>
          </w:tcPr>
          <w:p w14:paraId="6D04593F" w14:textId="7B7B1DD3" w:rsidR="00FB4C15" w:rsidRPr="00BC1972" w:rsidRDefault="00CA0A2F" w:rsidP="00EE7FAB">
            <w:pPr>
              <w:pStyle w:val="TableNumbering"/>
              <w:numPr>
                <w:ilvl w:val="0"/>
                <w:numId w:val="0"/>
              </w:numPr>
              <w:jc w:val="right"/>
            </w:pPr>
            <w:r w:rsidRPr="004C7D75">
              <w:rPr>
                <w:rFonts w:ascii="Calibri" w:hAnsi="Calibri" w:cs="Calibri"/>
                <w:color w:val="000000"/>
                <w:szCs w:val="18"/>
              </w:rPr>
              <w:t>0.1</w:t>
            </w:r>
          </w:p>
        </w:tc>
      </w:tr>
      <w:tr w:rsidR="002D618E" w:rsidRPr="0015537B" w14:paraId="4EC6FF15" w14:textId="77777777">
        <w:trPr>
          <w:trHeight w:val="137"/>
        </w:trPr>
        <w:tc>
          <w:tcPr>
            <w:tcW w:w="1874" w:type="dxa"/>
            <w:vAlign w:val="center"/>
          </w:tcPr>
          <w:p w14:paraId="7B363C72" w14:textId="71AF5470"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Monthly</w:t>
            </w:r>
          </w:p>
        </w:tc>
        <w:tc>
          <w:tcPr>
            <w:tcW w:w="1874" w:type="dxa"/>
            <w:vAlign w:val="center"/>
          </w:tcPr>
          <w:p w14:paraId="6AB9D88C" w14:textId="3E6C4F06"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Weekly</w:t>
            </w:r>
          </w:p>
        </w:tc>
        <w:tc>
          <w:tcPr>
            <w:tcW w:w="2160" w:type="dxa"/>
            <w:vAlign w:val="bottom"/>
          </w:tcPr>
          <w:p w14:paraId="60300948" w14:textId="3D342B3A" w:rsidR="0095233A" w:rsidRPr="00BB6C88" w:rsidRDefault="0095233A" w:rsidP="00EE7FAB">
            <w:pPr>
              <w:pStyle w:val="TableNumbering"/>
              <w:numPr>
                <w:ilvl w:val="0"/>
                <w:numId w:val="0"/>
              </w:numPr>
              <w:jc w:val="right"/>
              <w:rPr>
                <w:rFonts w:ascii="Calibri" w:hAnsi="Calibri" w:cs="Calibri"/>
                <w:color w:val="000000"/>
                <w:szCs w:val="18"/>
              </w:rPr>
            </w:pPr>
            <w:r w:rsidRPr="004C7D75">
              <w:rPr>
                <w:rFonts w:ascii="Calibri" w:hAnsi="Calibri" w:cs="Calibri"/>
                <w:color w:val="000000"/>
                <w:szCs w:val="18"/>
              </w:rPr>
              <w:t>10,958</w:t>
            </w:r>
            <w:r w:rsidR="00996276" w:rsidRPr="004C7D75">
              <w:rPr>
                <w:rFonts w:ascii="Calibri" w:hAnsi="Calibri" w:cs="Calibri"/>
                <w:color w:val="000000"/>
                <w:szCs w:val="18"/>
              </w:rPr>
              <w:t>.0</w:t>
            </w:r>
          </w:p>
        </w:tc>
        <w:tc>
          <w:tcPr>
            <w:tcW w:w="2172" w:type="dxa"/>
            <w:vAlign w:val="bottom"/>
          </w:tcPr>
          <w:p w14:paraId="3E818D7C" w14:textId="156B286A" w:rsidR="00FB4C15" w:rsidRPr="00AA1CCE" w:rsidRDefault="00CA0A2F" w:rsidP="00EE7FAB">
            <w:pPr>
              <w:pStyle w:val="TableNumbering"/>
              <w:numPr>
                <w:ilvl w:val="0"/>
                <w:numId w:val="0"/>
              </w:numPr>
              <w:jc w:val="right"/>
              <w:rPr>
                <w:rFonts w:ascii="Calibri" w:eastAsia="Times New Roman" w:hAnsi="Calibri" w:cs="Calibri"/>
                <w:color w:val="000000"/>
                <w:szCs w:val="22"/>
                <w:lang w:eastAsia="en-AU"/>
              </w:rPr>
            </w:pPr>
            <w:r w:rsidRPr="004C7D75">
              <w:rPr>
                <w:rFonts w:ascii="Calibri" w:hAnsi="Calibri" w:cs="Calibri"/>
                <w:color w:val="000000"/>
                <w:szCs w:val="18"/>
              </w:rPr>
              <w:t>370.0</w:t>
            </w:r>
          </w:p>
        </w:tc>
        <w:tc>
          <w:tcPr>
            <w:tcW w:w="2114" w:type="dxa"/>
            <w:vAlign w:val="bottom"/>
          </w:tcPr>
          <w:p w14:paraId="28F80AE7" w14:textId="4AFA23E7" w:rsidR="00FB4C15" w:rsidRPr="00BC1972" w:rsidRDefault="00CA0A2F" w:rsidP="00EE7FAB">
            <w:pPr>
              <w:pStyle w:val="TableNumbering"/>
              <w:numPr>
                <w:ilvl w:val="0"/>
                <w:numId w:val="0"/>
              </w:numPr>
              <w:jc w:val="right"/>
            </w:pPr>
            <w:r w:rsidRPr="004C7D75">
              <w:rPr>
                <w:rFonts w:ascii="Calibri" w:hAnsi="Calibri" w:cs="Calibri"/>
                <w:color w:val="000000"/>
                <w:szCs w:val="18"/>
              </w:rPr>
              <w:t>27.1</w:t>
            </w:r>
          </w:p>
        </w:tc>
      </w:tr>
      <w:tr w:rsidR="002D618E" w:rsidRPr="0015537B" w14:paraId="6D007E26" w14:textId="77777777">
        <w:trPr>
          <w:trHeight w:val="137"/>
        </w:trPr>
        <w:tc>
          <w:tcPr>
            <w:tcW w:w="1874" w:type="dxa"/>
            <w:vAlign w:val="center"/>
          </w:tcPr>
          <w:p w14:paraId="6FCBE4A0" w14:textId="6C1E4CF8"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Monthly</w:t>
            </w:r>
          </w:p>
        </w:tc>
        <w:tc>
          <w:tcPr>
            <w:tcW w:w="1874" w:type="dxa"/>
            <w:vAlign w:val="center"/>
          </w:tcPr>
          <w:p w14:paraId="7C0EAEEE" w14:textId="617BBFA0"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Fortnightly</w:t>
            </w:r>
          </w:p>
        </w:tc>
        <w:tc>
          <w:tcPr>
            <w:tcW w:w="2160" w:type="dxa"/>
            <w:vAlign w:val="bottom"/>
          </w:tcPr>
          <w:p w14:paraId="7D4107F8" w14:textId="79403400" w:rsidR="0095233A" w:rsidRPr="00BB6C88" w:rsidRDefault="00996276" w:rsidP="004C7D75">
            <w:pPr>
              <w:pStyle w:val="TableNumbering"/>
              <w:numPr>
                <w:ilvl w:val="0"/>
                <w:numId w:val="0"/>
              </w:numPr>
              <w:jc w:val="right"/>
              <w:rPr>
                <w:rFonts w:ascii="Calibri" w:hAnsi="Calibri" w:cs="Calibri"/>
                <w:color w:val="000000"/>
                <w:szCs w:val="18"/>
              </w:rPr>
            </w:pPr>
            <w:r w:rsidRPr="004C7D75">
              <w:rPr>
                <w:rFonts w:ascii="Calibri" w:hAnsi="Calibri" w:cs="Calibri"/>
                <w:color w:val="000000"/>
                <w:szCs w:val="18"/>
              </w:rPr>
              <w:t>14,370.6</w:t>
            </w:r>
          </w:p>
        </w:tc>
        <w:tc>
          <w:tcPr>
            <w:tcW w:w="2172" w:type="dxa"/>
            <w:vAlign w:val="bottom"/>
          </w:tcPr>
          <w:p w14:paraId="2D51BA98" w14:textId="2F17D119" w:rsidR="00FB4C15" w:rsidRPr="00AA1CCE" w:rsidRDefault="00CA0A2F" w:rsidP="004C7D75">
            <w:pPr>
              <w:pStyle w:val="TableNumbering"/>
              <w:numPr>
                <w:ilvl w:val="0"/>
                <w:numId w:val="0"/>
              </w:numPr>
              <w:jc w:val="right"/>
              <w:rPr>
                <w:rFonts w:ascii="Calibri" w:eastAsia="Times New Roman" w:hAnsi="Calibri" w:cs="Calibri"/>
                <w:color w:val="000000"/>
                <w:szCs w:val="22"/>
                <w:lang w:eastAsia="en-AU"/>
              </w:rPr>
            </w:pPr>
            <w:r w:rsidRPr="004C7D75">
              <w:rPr>
                <w:rFonts w:ascii="Calibri" w:hAnsi="Calibri" w:cs="Calibri"/>
                <w:color w:val="000000"/>
                <w:szCs w:val="18"/>
              </w:rPr>
              <w:t>485.2</w:t>
            </w:r>
          </w:p>
        </w:tc>
        <w:tc>
          <w:tcPr>
            <w:tcW w:w="2114" w:type="dxa"/>
            <w:vAlign w:val="bottom"/>
          </w:tcPr>
          <w:p w14:paraId="433540B7" w14:textId="3FBD718A" w:rsidR="00FB4C15" w:rsidRPr="00BC1972" w:rsidRDefault="00CA0A2F" w:rsidP="004C7D75">
            <w:pPr>
              <w:pStyle w:val="TableNumbering"/>
              <w:numPr>
                <w:ilvl w:val="0"/>
                <w:numId w:val="0"/>
              </w:numPr>
              <w:jc w:val="right"/>
            </w:pPr>
            <w:r w:rsidRPr="004C7D75">
              <w:rPr>
                <w:rFonts w:ascii="Calibri" w:hAnsi="Calibri" w:cs="Calibri"/>
                <w:color w:val="000000"/>
                <w:szCs w:val="18"/>
              </w:rPr>
              <w:t>24.9</w:t>
            </w:r>
          </w:p>
        </w:tc>
      </w:tr>
      <w:tr w:rsidR="002D618E" w:rsidRPr="0015537B" w14:paraId="70E98194" w14:textId="77777777">
        <w:trPr>
          <w:trHeight w:val="137"/>
        </w:trPr>
        <w:tc>
          <w:tcPr>
            <w:tcW w:w="1874" w:type="dxa"/>
            <w:vAlign w:val="center"/>
          </w:tcPr>
          <w:p w14:paraId="76FA5A51" w14:textId="282C6CD2"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Quarterly</w:t>
            </w:r>
          </w:p>
        </w:tc>
        <w:tc>
          <w:tcPr>
            <w:tcW w:w="1874" w:type="dxa"/>
            <w:vAlign w:val="center"/>
          </w:tcPr>
          <w:p w14:paraId="7D67CCC8" w14:textId="4B57874F"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Weekly</w:t>
            </w:r>
          </w:p>
        </w:tc>
        <w:tc>
          <w:tcPr>
            <w:tcW w:w="2160" w:type="dxa"/>
            <w:vAlign w:val="bottom"/>
          </w:tcPr>
          <w:p w14:paraId="17BAF0F8" w14:textId="61B9A395" w:rsidR="0095233A" w:rsidRPr="00BB6C88" w:rsidRDefault="00996276" w:rsidP="004C7D75">
            <w:pPr>
              <w:pStyle w:val="TableNumbering"/>
              <w:numPr>
                <w:ilvl w:val="0"/>
                <w:numId w:val="0"/>
              </w:numPr>
              <w:jc w:val="right"/>
              <w:rPr>
                <w:rFonts w:ascii="Calibri" w:hAnsi="Calibri" w:cs="Calibri"/>
                <w:color w:val="000000"/>
                <w:szCs w:val="18"/>
              </w:rPr>
            </w:pPr>
            <w:r w:rsidRPr="004C7D75">
              <w:rPr>
                <w:rFonts w:ascii="Calibri" w:hAnsi="Calibri" w:cs="Calibri"/>
                <w:color w:val="000000"/>
                <w:szCs w:val="18"/>
              </w:rPr>
              <w:t>3,777.1</w:t>
            </w:r>
          </w:p>
        </w:tc>
        <w:tc>
          <w:tcPr>
            <w:tcW w:w="2172" w:type="dxa"/>
            <w:vAlign w:val="bottom"/>
          </w:tcPr>
          <w:p w14:paraId="4CE1EC68" w14:textId="29C56CE9" w:rsidR="00FB4C15" w:rsidRPr="00AA1CCE" w:rsidRDefault="00CA0A2F" w:rsidP="004C7D75">
            <w:pPr>
              <w:pStyle w:val="TableNumbering"/>
              <w:numPr>
                <w:ilvl w:val="0"/>
                <w:numId w:val="0"/>
              </w:numPr>
              <w:jc w:val="right"/>
              <w:rPr>
                <w:rFonts w:ascii="Calibri" w:eastAsia="Times New Roman" w:hAnsi="Calibri" w:cs="Calibri"/>
                <w:color w:val="000000"/>
                <w:szCs w:val="22"/>
                <w:lang w:eastAsia="en-AU"/>
              </w:rPr>
            </w:pPr>
            <w:r w:rsidRPr="004C7D75">
              <w:rPr>
                <w:rFonts w:ascii="Calibri" w:hAnsi="Calibri" w:cs="Calibri"/>
                <w:color w:val="000000"/>
                <w:szCs w:val="18"/>
              </w:rPr>
              <w:t>103.5</w:t>
            </w:r>
          </w:p>
        </w:tc>
        <w:tc>
          <w:tcPr>
            <w:tcW w:w="2114" w:type="dxa"/>
            <w:vAlign w:val="bottom"/>
          </w:tcPr>
          <w:p w14:paraId="28C03622" w14:textId="15F0020F" w:rsidR="00FB4C15" w:rsidRPr="00BC1972" w:rsidRDefault="00CA0A2F" w:rsidP="004C7D75">
            <w:pPr>
              <w:pStyle w:val="TableNumbering"/>
              <w:numPr>
                <w:ilvl w:val="0"/>
                <w:numId w:val="0"/>
              </w:numPr>
              <w:jc w:val="right"/>
            </w:pPr>
            <w:r w:rsidRPr="004C7D75">
              <w:rPr>
                <w:rFonts w:ascii="Calibri" w:hAnsi="Calibri" w:cs="Calibri"/>
                <w:color w:val="000000"/>
                <w:szCs w:val="18"/>
              </w:rPr>
              <w:t>33.4</w:t>
            </w:r>
          </w:p>
        </w:tc>
      </w:tr>
      <w:tr w:rsidR="002D618E" w:rsidRPr="0015537B" w14:paraId="491146A2" w14:textId="77777777">
        <w:trPr>
          <w:trHeight w:val="137"/>
        </w:trPr>
        <w:tc>
          <w:tcPr>
            <w:tcW w:w="1874" w:type="dxa"/>
            <w:vAlign w:val="center"/>
          </w:tcPr>
          <w:p w14:paraId="3B35878F" w14:textId="3AFF47F2"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Quarterly</w:t>
            </w:r>
          </w:p>
        </w:tc>
        <w:tc>
          <w:tcPr>
            <w:tcW w:w="1874" w:type="dxa"/>
            <w:vAlign w:val="center"/>
          </w:tcPr>
          <w:p w14:paraId="0F9E3A11" w14:textId="6E77CFCD"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Fortnightly</w:t>
            </w:r>
          </w:p>
        </w:tc>
        <w:tc>
          <w:tcPr>
            <w:tcW w:w="2160" w:type="dxa"/>
            <w:vAlign w:val="bottom"/>
          </w:tcPr>
          <w:p w14:paraId="22C09340" w14:textId="338BC401" w:rsidR="0095233A" w:rsidRPr="00BB6C88" w:rsidRDefault="00996276" w:rsidP="004C7D75">
            <w:pPr>
              <w:pStyle w:val="TableNumbering"/>
              <w:numPr>
                <w:ilvl w:val="0"/>
                <w:numId w:val="0"/>
              </w:numPr>
              <w:jc w:val="right"/>
              <w:rPr>
                <w:rFonts w:ascii="Calibri" w:hAnsi="Calibri" w:cs="Calibri"/>
                <w:color w:val="000000"/>
                <w:szCs w:val="18"/>
              </w:rPr>
            </w:pPr>
            <w:r w:rsidRPr="004C7D75">
              <w:rPr>
                <w:rFonts w:ascii="Calibri" w:hAnsi="Calibri" w:cs="Calibri"/>
                <w:color w:val="000000"/>
                <w:szCs w:val="18"/>
              </w:rPr>
              <w:t>4,577.0</w:t>
            </w:r>
          </w:p>
        </w:tc>
        <w:tc>
          <w:tcPr>
            <w:tcW w:w="2172" w:type="dxa"/>
            <w:vAlign w:val="bottom"/>
          </w:tcPr>
          <w:p w14:paraId="1DB7C4C5" w14:textId="13EB29F1" w:rsidR="00FB4C15" w:rsidRPr="00AA1CCE" w:rsidRDefault="00CA0A2F" w:rsidP="004C7D75">
            <w:pPr>
              <w:pStyle w:val="TableNumbering"/>
              <w:numPr>
                <w:ilvl w:val="0"/>
                <w:numId w:val="0"/>
              </w:numPr>
              <w:jc w:val="right"/>
              <w:rPr>
                <w:rFonts w:ascii="Calibri" w:eastAsia="Times New Roman" w:hAnsi="Calibri" w:cs="Calibri"/>
                <w:color w:val="000000"/>
                <w:szCs w:val="22"/>
                <w:lang w:eastAsia="en-AU"/>
              </w:rPr>
            </w:pPr>
            <w:r w:rsidRPr="004C7D75">
              <w:rPr>
                <w:rFonts w:ascii="Calibri" w:hAnsi="Calibri" w:cs="Calibri"/>
                <w:color w:val="000000"/>
                <w:szCs w:val="18"/>
              </w:rPr>
              <w:t>125.4</w:t>
            </w:r>
          </w:p>
        </w:tc>
        <w:tc>
          <w:tcPr>
            <w:tcW w:w="2114" w:type="dxa"/>
            <w:vAlign w:val="bottom"/>
          </w:tcPr>
          <w:p w14:paraId="0C342F8F" w14:textId="3FB4B248" w:rsidR="00FB4C15" w:rsidRPr="00BC1972" w:rsidRDefault="00CA0A2F" w:rsidP="004C7D75">
            <w:pPr>
              <w:pStyle w:val="TableNumbering"/>
              <w:numPr>
                <w:ilvl w:val="0"/>
                <w:numId w:val="0"/>
              </w:numPr>
              <w:jc w:val="right"/>
            </w:pPr>
            <w:r w:rsidRPr="004C7D75">
              <w:rPr>
                <w:rFonts w:ascii="Calibri" w:hAnsi="Calibri" w:cs="Calibri"/>
                <w:color w:val="000000"/>
                <w:szCs w:val="18"/>
              </w:rPr>
              <w:t>37.0</w:t>
            </w:r>
          </w:p>
        </w:tc>
      </w:tr>
      <w:tr w:rsidR="002D618E" w:rsidRPr="0015537B" w14:paraId="1F883B39" w14:textId="77777777">
        <w:trPr>
          <w:trHeight w:val="137"/>
        </w:trPr>
        <w:tc>
          <w:tcPr>
            <w:tcW w:w="1874" w:type="dxa"/>
            <w:vAlign w:val="center"/>
          </w:tcPr>
          <w:p w14:paraId="7320F534" w14:textId="6E8D3F47"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Quarterly</w:t>
            </w:r>
          </w:p>
        </w:tc>
        <w:tc>
          <w:tcPr>
            <w:tcW w:w="1874" w:type="dxa"/>
            <w:vAlign w:val="center"/>
          </w:tcPr>
          <w:p w14:paraId="526BAFB2" w14:textId="078D772E"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Monthly</w:t>
            </w:r>
          </w:p>
        </w:tc>
        <w:tc>
          <w:tcPr>
            <w:tcW w:w="2160" w:type="dxa"/>
            <w:vAlign w:val="bottom"/>
          </w:tcPr>
          <w:p w14:paraId="287E60A9" w14:textId="122842AF" w:rsidR="0095233A" w:rsidRPr="00BB6C88" w:rsidRDefault="00996276" w:rsidP="004C7D75">
            <w:pPr>
              <w:pStyle w:val="TableNumbering"/>
              <w:numPr>
                <w:ilvl w:val="0"/>
                <w:numId w:val="0"/>
              </w:numPr>
              <w:jc w:val="right"/>
              <w:rPr>
                <w:rFonts w:ascii="Calibri" w:hAnsi="Calibri" w:cs="Calibri"/>
                <w:color w:val="000000"/>
                <w:szCs w:val="18"/>
              </w:rPr>
            </w:pPr>
            <w:r w:rsidRPr="004C7D75">
              <w:rPr>
                <w:rFonts w:ascii="Calibri" w:hAnsi="Calibri" w:cs="Calibri"/>
                <w:color w:val="000000"/>
                <w:szCs w:val="18"/>
              </w:rPr>
              <w:t>2,246.7</w:t>
            </w:r>
          </w:p>
        </w:tc>
        <w:tc>
          <w:tcPr>
            <w:tcW w:w="2172" w:type="dxa"/>
            <w:vAlign w:val="bottom"/>
          </w:tcPr>
          <w:p w14:paraId="14E4BD0F" w14:textId="2D92F4D7" w:rsidR="00FB4C15" w:rsidRPr="00AA1CCE" w:rsidRDefault="00CA0A2F" w:rsidP="004C7D75">
            <w:pPr>
              <w:pStyle w:val="TableNumbering"/>
              <w:numPr>
                <w:ilvl w:val="0"/>
                <w:numId w:val="0"/>
              </w:numPr>
              <w:jc w:val="right"/>
              <w:rPr>
                <w:rFonts w:ascii="Calibri" w:eastAsia="Times New Roman" w:hAnsi="Calibri" w:cs="Calibri"/>
                <w:color w:val="000000"/>
                <w:szCs w:val="22"/>
                <w:lang w:eastAsia="en-AU"/>
              </w:rPr>
            </w:pPr>
            <w:r w:rsidRPr="004C7D75">
              <w:rPr>
                <w:rFonts w:ascii="Calibri" w:hAnsi="Calibri" w:cs="Calibri"/>
                <w:color w:val="000000"/>
                <w:szCs w:val="18"/>
              </w:rPr>
              <w:t>61.6</w:t>
            </w:r>
          </w:p>
        </w:tc>
        <w:tc>
          <w:tcPr>
            <w:tcW w:w="2114" w:type="dxa"/>
            <w:vAlign w:val="bottom"/>
          </w:tcPr>
          <w:p w14:paraId="1DCEBF29" w14:textId="79C79798" w:rsidR="00FB4C15" w:rsidRPr="00BC1972" w:rsidRDefault="00CA0A2F" w:rsidP="004C7D75">
            <w:pPr>
              <w:pStyle w:val="TableNumbering"/>
              <w:numPr>
                <w:ilvl w:val="0"/>
                <w:numId w:val="0"/>
              </w:numPr>
              <w:jc w:val="right"/>
            </w:pPr>
            <w:r w:rsidRPr="004C7D75">
              <w:rPr>
                <w:rFonts w:ascii="Calibri" w:hAnsi="Calibri" w:cs="Calibri"/>
                <w:color w:val="000000"/>
                <w:szCs w:val="18"/>
              </w:rPr>
              <w:t>14.3</w:t>
            </w:r>
          </w:p>
        </w:tc>
      </w:tr>
      <w:tr w:rsidR="00FE5F93" w:rsidRPr="0015537B" w14:paraId="02DFE9E3" w14:textId="77777777" w:rsidTr="007253A7">
        <w:trPr>
          <w:cnfStyle w:val="010000000000" w:firstRow="0" w:lastRow="1" w:firstColumn="0" w:lastColumn="0" w:oddVBand="0" w:evenVBand="0" w:oddHBand="0" w:evenHBand="0" w:firstRowFirstColumn="0" w:firstRowLastColumn="0" w:lastRowFirstColumn="0" w:lastRowLastColumn="0"/>
          <w:trHeight w:val="137"/>
        </w:trPr>
        <w:tc>
          <w:tcPr>
            <w:tcW w:w="0" w:type="dxa"/>
            <w:vAlign w:val="center"/>
          </w:tcPr>
          <w:p w14:paraId="4854BD71" w14:textId="17A48C17" w:rsidR="00FB4C15" w:rsidRPr="00BC1972" w:rsidRDefault="00FB4C15" w:rsidP="00E4246B">
            <w:pPr>
              <w:pStyle w:val="TableBody"/>
              <w:rPr>
                <w:color w:val="262626" w:themeColor="text1" w:themeTint="D9"/>
              </w:rPr>
            </w:pPr>
            <w:r w:rsidRPr="00AA1CCE">
              <w:rPr>
                <w:rFonts w:ascii="Calibri" w:eastAsia="Times New Roman" w:hAnsi="Calibri" w:cs="Calibri"/>
                <w:b/>
                <w:bCs/>
                <w:color w:val="000000"/>
                <w:szCs w:val="22"/>
                <w:lang w:eastAsia="en-AU"/>
              </w:rPr>
              <w:t>Total</w:t>
            </w:r>
          </w:p>
        </w:tc>
        <w:tc>
          <w:tcPr>
            <w:tcW w:w="0" w:type="dxa"/>
            <w:vAlign w:val="center"/>
          </w:tcPr>
          <w:p w14:paraId="75F479AE" w14:textId="1E9F11CC" w:rsidR="00FB4C15" w:rsidRPr="00BC1972" w:rsidRDefault="00FB4C15" w:rsidP="00E4246B">
            <w:pPr>
              <w:pStyle w:val="TableBody"/>
              <w:rPr>
                <w:color w:val="262626" w:themeColor="text1" w:themeTint="D9"/>
              </w:rPr>
            </w:pPr>
          </w:p>
        </w:tc>
        <w:tc>
          <w:tcPr>
            <w:tcW w:w="0" w:type="dxa"/>
            <w:vAlign w:val="bottom"/>
          </w:tcPr>
          <w:p w14:paraId="6D3772BF" w14:textId="790FAAF6" w:rsidR="009A5AD2" w:rsidRPr="00FB4C15" w:rsidRDefault="00996276" w:rsidP="004C7D75">
            <w:pPr>
              <w:pStyle w:val="TableNumbering"/>
              <w:numPr>
                <w:ilvl w:val="0"/>
                <w:numId w:val="0"/>
              </w:numPr>
              <w:jc w:val="right"/>
              <w:rPr>
                <w:b/>
                <w:bCs/>
              </w:rPr>
            </w:pPr>
            <w:r w:rsidRPr="004C7D75">
              <w:rPr>
                <w:rFonts w:ascii="Calibri" w:hAnsi="Calibri" w:cs="Calibri"/>
                <w:b/>
                <w:color w:val="000000"/>
                <w:szCs w:val="18"/>
              </w:rPr>
              <w:t>36,111.9</w:t>
            </w:r>
          </w:p>
        </w:tc>
        <w:tc>
          <w:tcPr>
            <w:tcW w:w="0" w:type="dxa"/>
            <w:vAlign w:val="bottom"/>
          </w:tcPr>
          <w:p w14:paraId="038A594E" w14:textId="691E8C3C" w:rsidR="00FB4C15" w:rsidRPr="00AE3540" w:rsidRDefault="00CA0A2F" w:rsidP="004C7D75">
            <w:pPr>
              <w:jc w:val="right"/>
              <w:rPr>
                <w:rFonts w:ascii="Calibri" w:hAnsi="Calibri" w:cs="Calibri"/>
                <w:b/>
                <w:color w:val="000000"/>
                <w:sz w:val="18"/>
                <w:szCs w:val="18"/>
              </w:rPr>
            </w:pPr>
            <w:r w:rsidRPr="004C7D75">
              <w:rPr>
                <w:rFonts w:ascii="Calibri" w:hAnsi="Calibri" w:cs="Calibri"/>
                <w:b/>
                <w:color w:val="000000"/>
                <w:sz w:val="18"/>
                <w:szCs w:val="18"/>
              </w:rPr>
              <w:t>1,152.2</w:t>
            </w:r>
          </w:p>
        </w:tc>
        <w:tc>
          <w:tcPr>
            <w:tcW w:w="0" w:type="dxa"/>
            <w:vAlign w:val="bottom"/>
          </w:tcPr>
          <w:p w14:paraId="248E51AC" w14:textId="53F6D727" w:rsidR="00FB4C15" w:rsidRPr="00AE3540" w:rsidRDefault="00CA0A2F" w:rsidP="004C7D75">
            <w:pPr>
              <w:jc w:val="right"/>
              <w:rPr>
                <w:rFonts w:ascii="Calibri" w:hAnsi="Calibri" w:cs="Calibri"/>
                <w:b/>
                <w:color w:val="000000"/>
                <w:sz w:val="18"/>
                <w:szCs w:val="18"/>
              </w:rPr>
            </w:pPr>
            <w:r w:rsidRPr="004C7D75">
              <w:rPr>
                <w:rFonts w:ascii="Calibri" w:hAnsi="Calibri" w:cs="Calibri"/>
                <w:b/>
                <w:color w:val="000000"/>
                <w:sz w:val="18"/>
                <w:szCs w:val="18"/>
              </w:rPr>
              <w:t>136.8</w:t>
            </w:r>
          </w:p>
        </w:tc>
      </w:tr>
    </w:tbl>
    <w:p w14:paraId="6AB63120" w14:textId="77777777" w:rsidR="006E3CA8" w:rsidRDefault="006E3CA8" w:rsidP="008F5401">
      <w:pPr>
        <w:pStyle w:val="Heading4"/>
      </w:pPr>
      <w:r w:rsidRPr="00CB4F8B">
        <w:t>Superannuation funds</w:t>
      </w:r>
    </w:p>
    <w:p w14:paraId="52732DB2" w14:textId="159C44C5" w:rsidR="009C45A5" w:rsidRDefault="005511AE" w:rsidP="00A531D4">
      <w:r w:rsidRPr="00C608C9">
        <w:t xml:space="preserve">The increase in frequency of SG payments </w:t>
      </w:r>
      <w:r w:rsidR="00C600F3" w:rsidRPr="00C608C9">
        <w:t>would result i</w:t>
      </w:r>
      <w:r w:rsidR="0092322F" w:rsidRPr="00C608C9">
        <w:t>n a</w:t>
      </w:r>
      <w:r w:rsidR="00C600F3" w:rsidRPr="00C608C9">
        <w:t xml:space="preserve"> </w:t>
      </w:r>
      <w:r w:rsidR="0092322F" w:rsidRPr="00C608C9">
        <w:t>higher level of</w:t>
      </w:r>
      <w:r w:rsidR="00C600F3" w:rsidRPr="00C608C9">
        <w:t xml:space="preserve"> funds under management </w:t>
      </w:r>
      <w:r w:rsidR="00770A07">
        <w:t xml:space="preserve">for superannuation funds </w:t>
      </w:r>
      <w:r w:rsidR="00625149">
        <w:t>at earlier points</w:t>
      </w:r>
      <w:r w:rsidR="00770A07">
        <w:t xml:space="preserve"> </w:t>
      </w:r>
      <w:r w:rsidR="00B3454B">
        <w:t>during the financial year.</w:t>
      </w:r>
      <w:r w:rsidR="00305794">
        <w:t xml:space="preserve"> </w:t>
      </w:r>
      <w:r w:rsidR="00351420" w:rsidRPr="007B0FAE">
        <w:t>As</w:t>
      </w:r>
      <w:r w:rsidR="00351420" w:rsidRPr="00EB1320">
        <w:t xml:space="preserve"> funds under management increase, superannuation funds can lower their administrative costs through economies of scale</w:t>
      </w:r>
      <w:r w:rsidR="00351420">
        <w:t xml:space="preserve"> in operating expenses. Members in larger funds also benefit from access to alternative assets such as infrastructure and private equity</w:t>
      </w:r>
      <w:r w:rsidR="005973E6">
        <w:t>,</w:t>
      </w:r>
      <w:r w:rsidR="00351420">
        <w:t xml:space="preserve"> </w:t>
      </w:r>
      <w:r w:rsidR="00766E1A">
        <w:t>that have historically provided stable and strong returns</w:t>
      </w:r>
      <w:r w:rsidR="00761FE0">
        <w:t xml:space="preserve">, </w:t>
      </w:r>
      <w:r w:rsidR="00351420">
        <w:t>where management costs are typically higher.</w:t>
      </w:r>
    </w:p>
    <w:p w14:paraId="3AEEA75B" w14:textId="42C08B21" w:rsidR="00E070AB" w:rsidRPr="0055594B" w:rsidRDefault="008D2229" w:rsidP="00A531D4">
      <w:r w:rsidRPr="00B820D9">
        <w:t xml:space="preserve">A </w:t>
      </w:r>
      <w:r w:rsidR="00CF5C60" w:rsidRPr="00B820D9">
        <w:t>higher frequency of</w:t>
      </w:r>
      <w:r w:rsidR="00851FEB" w:rsidRPr="00B820D9">
        <w:t xml:space="preserve"> contributions </w:t>
      </w:r>
      <w:r w:rsidR="00CF5C60" w:rsidRPr="00B820D9">
        <w:t>being paid</w:t>
      </w:r>
      <w:r w:rsidR="00851FEB" w:rsidRPr="00B820D9">
        <w:t xml:space="preserve"> into superannuation funds assists trustees in making long-term</w:t>
      </w:r>
      <w:r w:rsidRPr="00B820D9">
        <w:t xml:space="preserve"> investment decisions</w:t>
      </w:r>
      <w:r w:rsidR="00E070AB" w:rsidRPr="00B820D9">
        <w:t xml:space="preserve"> and </w:t>
      </w:r>
      <w:r w:rsidR="00D671A5" w:rsidRPr="00B820D9">
        <w:t xml:space="preserve">to </w:t>
      </w:r>
      <w:r w:rsidR="00E070AB" w:rsidRPr="00B820D9">
        <w:t>manage</w:t>
      </w:r>
      <w:r w:rsidR="00D671A5" w:rsidRPr="00B820D9">
        <w:t xml:space="preserve"> their</w:t>
      </w:r>
      <w:r w:rsidR="00E070AB" w:rsidRPr="00B820D9">
        <w:t xml:space="preserve"> liquidity risks</w:t>
      </w:r>
      <w:r w:rsidRPr="00B820D9">
        <w:t>.</w:t>
      </w:r>
      <w:r w:rsidR="00AE5C44" w:rsidRPr="00B820D9">
        <w:t xml:space="preserve"> </w:t>
      </w:r>
      <w:r w:rsidR="004A1B79">
        <w:t>APRA-regulated s</w:t>
      </w:r>
      <w:r w:rsidR="00BC7FA7" w:rsidRPr="001C7670">
        <w:t>uperannuation funds have a duty to consider expected cash-flow requirements, liquidity of investments, and the ability of the fund to discharge its liabilities.</w:t>
      </w:r>
      <w:r w:rsidR="00351420">
        <w:t xml:space="preserve"> </w:t>
      </w:r>
      <w:r w:rsidR="001134B7" w:rsidRPr="00B820D9">
        <w:t xml:space="preserve">The guaranteed cash flows from more frequent SG contributions </w:t>
      </w:r>
      <w:r w:rsidR="00707755">
        <w:t xml:space="preserve">would </w:t>
      </w:r>
      <w:r w:rsidR="00B333D8" w:rsidRPr="00B820D9">
        <w:t>provide a cash buffer and help strengthen overall liquidity</w:t>
      </w:r>
      <w:r w:rsidR="006D5DF3">
        <w:t xml:space="preserve"> for all types of superannuation funds</w:t>
      </w:r>
      <w:r w:rsidR="00EC2694" w:rsidRPr="0055594B">
        <w:t>.</w:t>
      </w:r>
    </w:p>
    <w:p w14:paraId="61B5613C" w14:textId="6FA639D1" w:rsidR="00B8565D" w:rsidRDefault="00B8565D" w:rsidP="00A531D4">
      <w:pPr>
        <w:rPr>
          <w:highlight w:val="yellow"/>
        </w:rPr>
      </w:pPr>
      <w:r>
        <w:t xml:space="preserve">Superannuation funds would also have greater total assets </w:t>
      </w:r>
      <w:r w:rsidR="00F463D4">
        <w:t>because of</w:t>
      </w:r>
      <w:r>
        <w:t xml:space="preserve"> the increased compounding effect estimated in the section above to be $137 million for FY2022. Superannuation funds </w:t>
      </w:r>
      <w:r w:rsidR="00FD4580">
        <w:t xml:space="preserve">and service providers to those funds </w:t>
      </w:r>
      <w:r>
        <w:t>would be expected to benefit from increased revenue from fees levied on these amounts of around $0.6 million per year, based on an assumed annual fee rate of 0.42 per cent.</w:t>
      </w:r>
      <w:r>
        <w:rPr>
          <w:rStyle w:val="FootnoteReference"/>
        </w:rPr>
        <w:footnoteReference w:id="47"/>
      </w:r>
      <w:r>
        <w:t xml:space="preserve"> </w:t>
      </w:r>
    </w:p>
    <w:p w14:paraId="457845B7" w14:textId="39235AB0" w:rsidR="00ED1731" w:rsidRPr="007160B3" w:rsidRDefault="00ED1731" w:rsidP="00A531D4">
      <w:pPr>
        <w:rPr>
          <w:highlight w:val="yellow"/>
        </w:rPr>
      </w:pPr>
      <w:r>
        <w:t xml:space="preserve">Given </w:t>
      </w:r>
      <w:r w:rsidR="3EE9C015">
        <w:t>superannuation funds</w:t>
      </w:r>
      <w:r w:rsidR="06519890">
        <w:t xml:space="preserve"> </w:t>
      </w:r>
      <w:r w:rsidR="008836FB">
        <w:t>held $</w:t>
      </w:r>
      <w:r w:rsidR="00B90D16">
        <w:t>3.</w:t>
      </w:r>
      <w:r w:rsidR="00392DCD">
        <w:t>3</w:t>
      </w:r>
      <w:r w:rsidR="008836FB">
        <w:t xml:space="preserve"> trillion</w:t>
      </w:r>
      <w:r>
        <w:t xml:space="preserve"> </w:t>
      </w:r>
      <w:r w:rsidR="00145E3A">
        <w:t xml:space="preserve">in total </w:t>
      </w:r>
      <w:r>
        <w:t xml:space="preserve">assets as at </w:t>
      </w:r>
      <w:r w:rsidR="00145E3A">
        <w:t>June 2022,</w:t>
      </w:r>
      <w:r>
        <w:t xml:space="preserve"> the </w:t>
      </w:r>
      <w:r w:rsidR="0041338C">
        <w:t xml:space="preserve">increase in </w:t>
      </w:r>
      <w:r w:rsidR="00E37AF2">
        <w:t xml:space="preserve">the frequency of $42.5 billion in SG payments </w:t>
      </w:r>
      <w:r w:rsidR="00FB7D5B">
        <w:t xml:space="preserve">and a potential increase in </w:t>
      </w:r>
      <w:r w:rsidR="0041338C">
        <w:t xml:space="preserve">annual </w:t>
      </w:r>
      <w:r w:rsidR="00FB7D5B">
        <w:t xml:space="preserve">returns </w:t>
      </w:r>
      <w:r w:rsidR="0041338C">
        <w:t>of $</w:t>
      </w:r>
      <w:r w:rsidR="007E3509">
        <w:t>137</w:t>
      </w:r>
      <w:r w:rsidR="0041338C">
        <w:t xml:space="preserve"> million</w:t>
      </w:r>
      <w:r w:rsidR="0041338C" w:rsidDel="00FB7D5B">
        <w:t xml:space="preserve"> </w:t>
      </w:r>
      <w:r w:rsidR="00FB7D5B">
        <w:t>would be</w:t>
      </w:r>
      <w:r w:rsidR="0041338C">
        <w:t xml:space="preserve"> unlikely to have a </w:t>
      </w:r>
      <w:r w:rsidR="00F22980">
        <w:t>significant impact on the complexity of fund operations.</w:t>
      </w:r>
    </w:p>
    <w:p w14:paraId="3C50794C" w14:textId="77777777" w:rsidR="00E66497" w:rsidRPr="00B23E9E" w:rsidRDefault="00E66497" w:rsidP="008F5401">
      <w:pPr>
        <w:pStyle w:val="Heading4"/>
      </w:pPr>
      <w:r w:rsidRPr="00B23E9E">
        <w:t>Employers</w:t>
      </w:r>
    </w:p>
    <w:p w14:paraId="306410F4" w14:textId="294C80C6" w:rsidR="00743048" w:rsidRDefault="008A7526" w:rsidP="00A531D4">
      <w:r w:rsidRPr="00B17A5C">
        <w:t xml:space="preserve">Employers that do not currently pay SG </w:t>
      </w:r>
      <w:r w:rsidR="00BA3ADF">
        <w:t>with</w:t>
      </w:r>
      <w:r w:rsidR="00BA3ADF" w:rsidRPr="00B17A5C">
        <w:t xml:space="preserve"> </w:t>
      </w:r>
      <w:r w:rsidRPr="00B17A5C">
        <w:t xml:space="preserve">the same </w:t>
      </w:r>
      <w:r w:rsidR="00BA3ADF">
        <w:t>frequency</w:t>
      </w:r>
      <w:r w:rsidRPr="00B17A5C">
        <w:t xml:space="preserve"> as wages and salaries will be required to change their payment practices.</w:t>
      </w:r>
      <w:r w:rsidR="00AD70FC" w:rsidRPr="00B17A5C">
        <w:t xml:space="preserve"> </w:t>
      </w:r>
      <w:r w:rsidR="00B376EE">
        <w:t>Based on 202</w:t>
      </w:r>
      <w:r w:rsidR="0015619C">
        <w:t>1</w:t>
      </w:r>
      <w:r w:rsidR="00B376EE">
        <w:t>-2</w:t>
      </w:r>
      <w:r w:rsidR="0015619C">
        <w:t>2</w:t>
      </w:r>
      <w:r w:rsidR="00B376EE">
        <w:t xml:space="preserve"> dat</w:t>
      </w:r>
      <w:r w:rsidR="00776169">
        <w:t>a</w:t>
      </w:r>
      <w:r w:rsidR="00B376EE">
        <w:t>, t</w:t>
      </w:r>
      <w:r w:rsidR="00AD70FC" w:rsidRPr="00B17A5C">
        <w:t xml:space="preserve">his </w:t>
      </w:r>
      <w:r w:rsidR="00B17A5C">
        <w:t>w</w:t>
      </w:r>
      <w:r w:rsidR="00B376EE">
        <w:t>ould</w:t>
      </w:r>
      <w:r w:rsidR="00B17A5C">
        <w:t xml:space="preserve"> result</w:t>
      </w:r>
      <w:r w:rsidR="00AD70FC" w:rsidRPr="00B17A5C">
        <w:t xml:space="preserve"> in </w:t>
      </w:r>
      <w:r w:rsidR="006E2AAB">
        <w:t>at least</w:t>
      </w:r>
      <w:r w:rsidR="006E2AAB" w:rsidRPr="00B17A5C">
        <w:t xml:space="preserve"> </w:t>
      </w:r>
      <w:r w:rsidR="006E2AAB">
        <w:t>56</w:t>
      </w:r>
      <w:r w:rsidR="00D57996">
        <w:t xml:space="preserve"> per cent</w:t>
      </w:r>
      <w:r w:rsidR="007A06D8" w:rsidRPr="00B17A5C">
        <w:t xml:space="preserve"> </w:t>
      </w:r>
      <w:r w:rsidR="006E2AAB">
        <w:t xml:space="preserve">of </w:t>
      </w:r>
      <w:r w:rsidR="006B1899">
        <w:t>SG paid each year</w:t>
      </w:r>
      <w:r w:rsidR="001F1BFA" w:rsidRPr="00B17A5C">
        <w:t xml:space="preserve"> need</w:t>
      </w:r>
      <w:r w:rsidR="003E1247">
        <w:t>ing</w:t>
      </w:r>
      <w:r w:rsidR="001F1BFA" w:rsidRPr="00B17A5C">
        <w:t xml:space="preserve"> to be paid more frequently</w:t>
      </w:r>
      <w:r w:rsidR="00AD70FC" w:rsidRPr="00B17A5C">
        <w:t>.</w:t>
      </w:r>
      <w:r w:rsidR="009E4A3F" w:rsidRPr="00B17A5C">
        <w:t xml:space="preserve"> </w:t>
      </w:r>
      <w:r w:rsidR="00670A7F" w:rsidRPr="002D4E50">
        <w:t>In 202</w:t>
      </w:r>
      <w:r w:rsidR="0015619C">
        <w:t>1</w:t>
      </w:r>
      <w:r w:rsidR="00670A7F" w:rsidRPr="002D4E50">
        <w:t>-2</w:t>
      </w:r>
      <w:r w:rsidR="0015619C">
        <w:t>2</w:t>
      </w:r>
      <w:r w:rsidR="00670A7F" w:rsidRPr="002D4E50">
        <w:t xml:space="preserve">, </w:t>
      </w:r>
      <w:r w:rsidR="00670A7F">
        <w:t>a</w:t>
      </w:r>
      <w:r w:rsidR="00BA454E" w:rsidRPr="00782592">
        <w:t xml:space="preserve">t least 88 per cent </w:t>
      </w:r>
      <w:r w:rsidR="003A75B2">
        <w:t>of employers (</w:t>
      </w:r>
      <w:r w:rsidR="00BA454E" w:rsidRPr="00782592">
        <w:t>around 697,000 employers</w:t>
      </w:r>
      <w:r w:rsidR="003A75B2">
        <w:t>)</w:t>
      </w:r>
      <w:r w:rsidR="00BA454E" w:rsidRPr="00782592">
        <w:t xml:space="preserve"> did not pay SG with the same or greater frequency than wages and </w:t>
      </w:r>
      <w:r w:rsidR="008051E1">
        <w:t>would</w:t>
      </w:r>
      <w:r w:rsidR="00BA454E" w:rsidRPr="00782592">
        <w:t xml:space="preserve"> be required to make more frequent SG contributions under </w:t>
      </w:r>
      <w:r w:rsidR="009F7463">
        <w:t>O</w:t>
      </w:r>
      <w:r w:rsidR="008051E1">
        <w:t>ption 3</w:t>
      </w:r>
      <w:r w:rsidR="00904AE3">
        <w:t xml:space="preserve"> (see </w:t>
      </w:r>
      <w:r w:rsidR="005E3655">
        <w:fldChar w:fldCharType="begin"/>
      </w:r>
      <w:r w:rsidR="005E3655">
        <w:instrText xml:space="preserve"> REF _Ref130486085 \h </w:instrText>
      </w:r>
      <w:r w:rsidR="00A531D4">
        <w:instrText xml:space="preserve"> \* MERGEFORMAT </w:instrText>
      </w:r>
      <w:r w:rsidR="005E3655">
        <w:fldChar w:fldCharType="separate"/>
      </w:r>
      <w:r w:rsidR="005A3A72">
        <w:t>Table</w:t>
      </w:r>
      <w:r w:rsidR="005E3655">
        <w:fldChar w:fldCharType="end"/>
      </w:r>
      <w:r w:rsidR="00044BDC">
        <w:t xml:space="preserve"> 11</w:t>
      </w:r>
      <w:r w:rsidR="005E3655">
        <w:t>)</w:t>
      </w:r>
      <w:r w:rsidR="00BA454E" w:rsidRPr="00782592">
        <w:t>.</w:t>
      </w:r>
    </w:p>
    <w:p w14:paraId="778DDD89" w14:textId="6B49984C" w:rsidR="00A5074C" w:rsidRPr="00782592" w:rsidRDefault="00BA454E" w:rsidP="00A531D4">
      <w:r w:rsidRPr="00E62C11">
        <w:t xml:space="preserve">Of the employers expected to be impacted, around 94 per cent of employers would be either </w:t>
      </w:r>
      <w:r w:rsidR="00A06829">
        <w:t>SMEs</w:t>
      </w:r>
      <w:r w:rsidRPr="00E62C11">
        <w:t xml:space="preserve"> or micro businesses.</w:t>
      </w:r>
      <w:r>
        <w:t xml:space="preserve"> </w:t>
      </w:r>
      <w:r w:rsidR="006261B7">
        <w:t>SMEs</w:t>
      </w:r>
      <w:r w:rsidR="008A362F" w:rsidRPr="00E62C11">
        <w:t xml:space="preserve"> or micro businesses</w:t>
      </w:r>
      <w:r>
        <w:t xml:space="preserve"> </w:t>
      </w:r>
      <w:r w:rsidR="009449D1">
        <w:t>also paid</w:t>
      </w:r>
      <w:r w:rsidR="001B4AB9">
        <w:t xml:space="preserve"> </w:t>
      </w:r>
      <w:r w:rsidR="00F0752A">
        <w:t xml:space="preserve">55 per cent </w:t>
      </w:r>
      <w:r w:rsidR="00FF7A4E">
        <w:t xml:space="preserve">of the amount of </w:t>
      </w:r>
      <w:r w:rsidR="009449D1">
        <w:t xml:space="preserve">SG which would </w:t>
      </w:r>
      <w:r w:rsidR="00FF7A4E">
        <w:t>be impacted</w:t>
      </w:r>
      <w:r w:rsidR="00E42C9A">
        <w:t>.</w:t>
      </w:r>
      <w:r>
        <w:t xml:space="preserve"> </w:t>
      </w:r>
      <w:r w:rsidR="00B42AFB">
        <w:t>The</w:t>
      </w:r>
      <w:r w:rsidR="009E4A3F" w:rsidRPr="00B17A5C">
        <w:t xml:space="preserve"> impacts </w:t>
      </w:r>
      <w:r w:rsidR="007C5FA0" w:rsidRPr="00782592">
        <w:t>may be greater for small</w:t>
      </w:r>
      <w:r w:rsidR="008A362F">
        <w:t>er</w:t>
      </w:r>
      <w:r w:rsidR="007C5FA0" w:rsidRPr="00782592">
        <w:t xml:space="preserve"> </w:t>
      </w:r>
      <w:r w:rsidR="00E42C9A">
        <w:t>employers</w:t>
      </w:r>
      <w:r w:rsidR="00774687">
        <w:t>,</w:t>
      </w:r>
      <w:r w:rsidR="00E42C9A" w:rsidRPr="00782592">
        <w:t xml:space="preserve"> </w:t>
      </w:r>
      <w:r w:rsidR="007C5FA0" w:rsidRPr="00782592">
        <w:t xml:space="preserve">given </w:t>
      </w:r>
      <w:r w:rsidR="00774687">
        <w:t>that</w:t>
      </w:r>
      <w:r w:rsidR="007C5FA0" w:rsidRPr="00782592">
        <w:t xml:space="preserve"> </w:t>
      </w:r>
      <w:r w:rsidR="00E42C9A">
        <w:t>they</w:t>
      </w:r>
      <w:r w:rsidR="007C5FA0" w:rsidRPr="00782592">
        <w:t xml:space="preserve"> are currently most likely to pay SG less frequently than pay day, even though payment frequency and reporting requirements would be consistent between employers of different sizes and market segments</w:t>
      </w:r>
      <w:r w:rsidR="00340E92" w:rsidRPr="00E62C11">
        <w:t>.</w:t>
      </w:r>
    </w:p>
    <w:p w14:paraId="5206532C" w14:textId="1EF61396" w:rsidR="002B2E0F" w:rsidRPr="002D4E50" w:rsidRDefault="002B2E0F" w:rsidP="00A531D4">
      <w:r w:rsidRPr="002D4E50">
        <w:t xml:space="preserve">Conversely, many employers, especially large businesses, </w:t>
      </w:r>
      <w:r w:rsidR="00371451">
        <w:t>would</w:t>
      </w:r>
      <w:r w:rsidR="00371451" w:rsidRPr="002D4E50">
        <w:t xml:space="preserve"> </w:t>
      </w:r>
      <w:r w:rsidRPr="002D4E50">
        <w:t>not be required to change their SG payment frequencies as they already pay SG as frequently as wages</w:t>
      </w:r>
      <w:r w:rsidR="006A58E0">
        <w:t xml:space="preserve">. </w:t>
      </w:r>
      <w:r w:rsidR="008B4378">
        <w:t>Around</w:t>
      </w:r>
      <w:r w:rsidRPr="002D4E50">
        <w:t xml:space="preserve"> </w:t>
      </w:r>
      <w:r w:rsidR="008B4378">
        <w:t>51</w:t>
      </w:r>
      <w:r w:rsidRPr="002D4E50">
        <w:t xml:space="preserve"> per cent of Government and </w:t>
      </w:r>
      <w:r w:rsidR="008B4378">
        <w:t>33</w:t>
      </w:r>
      <w:r w:rsidR="008B4378" w:rsidRPr="002D4E50">
        <w:t> </w:t>
      </w:r>
      <w:r w:rsidRPr="002D4E50">
        <w:t>per cent of large</w:t>
      </w:r>
      <w:r w:rsidRPr="002D4E50">
        <w:noBreakHyphen/>
        <w:t xml:space="preserve">market employers paid SG </w:t>
      </w:r>
      <w:r w:rsidR="008B4378">
        <w:t>at least as frequently as wages in 2021-22</w:t>
      </w:r>
      <w:r w:rsidRPr="002D4E50">
        <w:t xml:space="preserve">. </w:t>
      </w:r>
    </w:p>
    <w:p w14:paraId="7A3747A9" w14:textId="227036CF" w:rsidR="008536BB" w:rsidRDefault="008536BB" w:rsidP="00766E3B">
      <w:pPr>
        <w:pStyle w:val="Caption"/>
      </w:pPr>
      <w:bookmarkStart w:id="57" w:name="_Ref130486085"/>
      <w:r>
        <w:t>Table</w:t>
      </w:r>
      <w:bookmarkEnd w:id="57"/>
      <w:r>
        <w:t xml:space="preserve"> </w:t>
      </w:r>
      <w:r w:rsidR="00044BDC">
        <w:t>11.</w:t>
      </w:r>
      <w:r w:rsidR="00904AE3">
        <w:t xml:space="preserve"> </w:t>
      </w:r>
      <w:r w:rsidR="00326ECA">
        <w:t>Proportion</w:t>
      </w:r>
      <w:r w:rsidR="004766BD">
        <w:t xml:space="preserve"> of employers</w:t>
      </w:r>
      <w:r>
        <w:t xml:space="preserve"> </w:t>
      </w:r>
      <w:r w:rsidR="004766BD">
        <w:t>impacted by SG on payday</w:t>
      </w:r>
      <w:r>
        <w:t xml:space="preserve"> </w:t>
      </w:r>
      <w:r w:rsidR="00326ECA">
        <w:t>by segment</w:t>
      </w:r>
      <w:r>
        <w:t xml:space="preserve"> </w:t>
      </w:r>
      <w:r w:rsidR="00A61372">
        <w:t>(</w:t>
      </w:r>
      <w:r w:rsidR="00715FB4">
        <w:t xml:space="preserve">per cent, </w:t>
      </w:r>
      <w:r>
        <w:t>FY2022)</w:t>
      </w:r>
      <w:r w:rsidR="002F483C">
        <w:rPr>
          <w:rStyle w:val="FootnoteReference"/>
        </w:rPr>
        <w:footnoteReference w:id="48"/>
      </w:r>
    </w:p>
    <w:tbl>
      <w:tblPr>
        <w:tblStyle w:val="PMCTableStyle2"/>
        <w:tblW w:w="0" w:type="auto"/>
        <w:jc w:val="center"/>
        <w:tblLook w:val="0660" w:firstRow="1" w:lastRow="1" w:firstColumn="0" w:lastColumn="0" w:noHBand="1" w:noVBand="1"/>
      </w:tblPr>
      <w:tblGrid>
        <w:gridCol w:w="3570"/>
        <w:gridCol w:w="1383"/>
        <w:gridCol w:w="1597"/>
        <w:gridCol w:w="1383"/>
      </w:tblGrid>
      <w:tr w:rsidR="00B409A4" w14:paraId="553A3E5A" w14:textId="77777777" w:rsidTr="00946C3B">
        <w:trPr>
          <w:cnfStyle w:val="100000000000" w:firstRow="1" w:lastRow="0" w:firstColumn="0" w:lastColumn="0" w:oddVBand="0" w:evenVBand="0" w:oddHBand="0" w:evenHBand="0" w:firstRowFirstColumn="0" w:firstRowLastColumn="0" w:lastRowFirstColumn="0" w:lastRowLastColumn="0"/>
          <w:trHeight w:val="69"/>
          <w:jc w:val="center"/>
        </w:trPr>
        <w:tc>
          <w:tcPr>
            <w:tcW w:w="3570" w:type="dxa"/>
            <w:vAlign w:val="bottom"/>
          </w:tcPr>
          <w:p w14:paraId="15BA8EC3" w14:textId="235BBEF1" w:rsidR="00B409A4" w:rsidRPr="00353684" w:rsidRDefault="00B409A4" w:rsidP="00B409A4">
            <w:pPr>
              <w:pStyle w:val="TableHeading"/>
            </w:pPr>
            <w:r>
              <w:rPr>
                <w:rFonts w:ascii="Calibri" w:eastAsia="Times New Roman" w:hAnsi="Calibri" w:cs="Calibri"/>
                <w:szCs w:val="22"/>
                <w:lang w:eastAsia="en-AU"/>
              </w:rPr>
              <w:t>Employer segment</w:t>
            </w:r>
          </w:p>
        </w:tc>
        <w:tc>
          <w:tcPr>
            <w:tcW w:w="1383" w:type="dxa"/>
            <w:vAlign w:val="bottom"/>
          </w:tcPr>
          <w:p w14:paraId="31039007" w14:textId="6368C1F0" w:rsidR="00B409A4" w:rsidRPr="00353684" w:rsidRDefault="00B409A4" w:rsidP="00946C3B">
            <w:pPr>
              <w:pStyle w:val="TableHeading"/>
            </w:pPr>
            <w:r w:rsidRPr="0055594B">
              <w:rPr>
                <w:rFonts w:ascii="Calibri" w:hAnsi="Calibri" w:cs="Calibri"/>
                <w:szCs w:val="18"/>
              </w:rPr>
              <w:t>Change needed</w:t>
            </w:r>
          </w:p>
        </w:tc>
        <w:tc>
          <w:tcPr>
            <w:tcW w:w="1597" w:type="dxa"/>
            <w:vAlign w:val="bottom"/>
          </w:tcPr>
          <w:p w14:paraId="70B9376E" w14:textId="06490549" w:rsidR="00B409A4" w:rsidRDefault="00B409A4" w:rsidP="00946C3B">
            <w:pPr>
              <w:pStyle w:val="TableHeading"/>
              <w:rPr>
                <w:rFonts w:ascii="Calibri" w:eastAsia="Times New Roman" w:hAnsi="Calibri" w:cs="Calibri"/>
                <w:szCs w:val="22"/>
                <w:lang w:eastAsia="en-AU"/>
              </w:rPr>
            </w:pPr>
            <w:r w:rsidRPr="0055594B">
              <w:rPr>
                <w:rFonts w:ascii="Calibri" w:hAnsi="Calibri" w:cs="Calibri"/>
                <w:szCs w:val="18"/>
              </w:rPr>
              <w:t>Uncertain impact</w:t>
            </w:r>
            <w:r w:rsidR="009D6DC1">
              <w:rPr>
                <w:rStyle w:val="FootnoteReference"/>
                <w:rFonts w:ascii="Calibri" w:hAnsi="Calibri" w:cs="Calibri"/>
                <w:szCs w:val="18"/>
              </w:rPr>
              <w:footnoteReference w:id="49"/>
            </w:r>
          </w:p>
        </w:tc>
        <w:tc>
          <w:tcPr>
            <w:tcW w:w="1383" w:type="dxa"/>
            <w:vAlign w:val="bottom"/>
          </w:tcPr>
          <w:p w14:paraId="0C905D77" w14:textId="64409132" w:rsidR="00B409A4" w:rsidRPr="00AA1CCE" w:rsidRDefault="00B409A4" w:rsidP="00946C3B">
            <w:pPr>
              <w:pStyle w:val="TableHeading"/>
              <w:rPr>
                <w:rFonts w:ascii="Calibri" w:eastAsia="Times New Roman" w:hAnsi="Calibri" w:cs="Calibri"/>
                <w:szCs w:val="22"/>
                <w:lang w:eastAsia="en-AU"/>
              </w:rPr>
            </w:pPr>
            <w:r w:rsidRPr="0055594B">
              <w:rPr>
                <w:rFonts w:ascii="Calibri" w:hAnsi="Calibri" w:cs="Calibri"/>
                <w:szCs w:val="18"/>
              </w:rPr>
              <w:t>No change needed</w:t>
            </w:r>
          </w:p>
        </w:tc>
      </w:tr>
      <w:tr w:rsidR="007E5D2E" w:rsidRPr="0015537B" w14:paraId="18934130" w14:textId="77777777" w:rsidTr="00946C3B">
        <w:trPr>
          <w:trHeight w:val="69"/>
          <w:jc w:val="center"/>
        </w:trPr>
        <w:tc>
          <w:tcPr>
            <w:tcW w:w="3570" w:type="dxa"/>
            <w:vAlign w:val="center"/>
          </w:tcPr>
          <w:p w14:paraId="3676E9DF" w14:textId="5A82200E" w:rsidR="007E5D2E" w:rsidRPr="00BC1972" w:rsidRDefault="007E5D2E" w:rsidP="007E5D2E">
            <w:pPr>
              <w:pStyle w:val="TableBody"/>
              <w:rPr>
                <w:color w:val="262626" w:themeColor="text1" w:themeTint="D9"/>
              </w:rPr>
            </w:pPr>
            <w:r>
              <w:rPr>
                <w:color w:val="262626" w:themeColor="text1" w:themeTint="D9"/>
              </w:rPr>
              <w:t>Micro businesses</w:t>
            </w:r>
          </w:p>
        </w:tc>
        <w:tc>
          <w:tcPr>
            <w:tcW w:w="1383" w:type="dxa"/>
            <w:vAlign w:val="bottom"/>
          </w:tcPr>
          <w:p w14:paraId="0AF6EE6D" w14:textId="017B60F0" w:rsidR="007E5D2E" w:rsidRPr="00BC1972" w:rsidRDefault="007E5D2E" w:rsidP="00946C3B">
            <w:pPr>
              <w:pStyle w:val="TableBody"/>
              <w:jc w:val="right"/>
              <w:rPr>
                <w:color w:val="262626" w:themeColor="text1" w:themeTint="D9"/>
              </w:rPr>
            </w:pPr>
            <w:r w:rsidRPr="00B50A1F">
              <w:rPr>
                <w:rFonts w:ascii="Calibri" w:hAnsi="Calibri" w:cs="Calibri"/>
                <w:color w:val="000000"/>
                <w:szCs w:val="18"/>
              </w:rPr>
              <w:t>89</w:t>
            </w:r>
          </w:p>
        </w:tc>
        <w:tc>
          <w:tcPr>
            <w:tcW w:w="1597" w:type="dxa"/>
            <w:vAlign w:val="bottom"/>
          </w:tcPr>
          <w:p w14:paraId="3E2579FB" w14:textId="754295E6" w:rsidR="007E5D2E" w:rsidRPr="005473E9" w:rsidRDefault="007E5D2E" w:rsidP="00946C3B">
            <w:pPr>
              <w:pStyle w:val="TableNumbering"/>
              <w:numPr>
                <w:ilvl w:val="0"/>
                <w:numId w:val="0"/>
              </w:numPr>
              <w:jc w:val="right"/>
              <w:rPr>
                <w:rFonts w:ascii="Calibri" w:hAnsi="Calibri" w:cs="Calibri"/>
                <w:color w:val="000000"/>
                <w:szCs w:val="18"/>
              </w:rPr>
            </w:pPr>
            <w:r w:rsidRPr="00B50A1F">
              <w:rPr>
                <w:rFonts w:ascii="Calibri" w:hAnsi="Calibri" w:cs="Calibri"/>
                <w:color w:val="000000"/>
                <w:szCs w:val="18"/>
              </w:rPr>
              <w:t>3</w:t>
            </w:r>
          </w:p>
        </w:tc>
        <w:tc>
          <w:tcPr>
            <w:tcW w:w="1383" w:type="dxa"/>
            <w:vAlign w:val="bottom"/>
          </w:tcPr>
          <w:p w14:paraId="3EC5565E" w14:textId="167D9A09" w:rsidR="007E5D2E" w:rsidRPr="00AA1CCE" w:rsidRDefault="007E5D2E" w:rsidP="00946C3B">
            <w:pPr>
              <w:pStyle w:val="TableNumbering"/>
              <w:numPr>
                <w:ilvl w:val="0"/>
                <w:numId w:val="0"/>
              </w:numPr>
              <w:jc w:val="right"/>
              <w:rPr>
                <w:rFonts w:ascii="Calibri" w:eastAsia="Times New Roman" w:hAnsi="Calibri" w:cs="Calibri"/>
                <w:color w:val="000000"/>
                <w:szCs w:val="22"/>
                <w:lang w:eastAsia="en-AU"/>
              </w:rPr>
            </w:pPr>
            <w:r w:rsidRPr="00B50A1F">
              <w:rPr>
                <w:rFonts w:ascii="Calibri" w:hAnsi="Calibri" w:cs="Calibri"/>
                <w:color w:val="000000"/>
                <w:szCs w:val="18"/>
              </w:rPr>
              <w:t>8</w:t>
            </w:r>
          </w:p>
        </w:tc>
      </w:tr>
      <w:tr w:rsidR="007E5D2E" w:rsidRPr="0015537B" w14:paraId="428F58A0" w14:textId="77777777" w:rsidTr="00946C3B">
        <w:trPr>
          <w:trHeight w:val="69"/>
          <w:jc w:val="center"/>
        </w:trPr>
        <w:tc>
          <w:tcPr>
            <w:tcW w:w="3570" w:type="dxa"/>
            <w:vAlign w:val="center"/>
          </w:tcPr>
          <w:p w14:paraId="64387D1E" w14:textId="6B0FBBFC" w:rsidR="007E5D2E" w:rsidRPr="00BC1972" w:rsidRDefault="007E5D2E" w:rsidP="007E5D2E">
            <w:pPr>
              <w:pStyle w:val="TableBody"/>
              <w:rPr>
                <w:color w:val="262626" w:themeColor="text1" w:themeTint="D9"/>
              </w:rPr>
            </w:pPr>
            <w:r>
              <w:rPr>
                <w:color w:val="262626" w:themeColor="text1" w:themeTint="D9"/>
              </w:rPr>
              <w:t>Small and medium enterprises</w:t>
            </w:r>
          </w:p>
        </w:tc>
        <w:tc>
          <w:tcPr>
            <w:tcW w:w="1383" w:type="dxa"/>
            <w:vAlign w:val="bottom"/>
          </w:tcPr>
          <w:p w14:paraId="6624C7F4" w14:textId="6B8B057D" w:rsidR="007E5D2E" w:rsidRPr="00BC1972" w:rsidRDefault="007E5D2E" w:rsidP="00946C3B">
            <w:pPr>
              <w:pStyle w:val="TableBody"/>
              <w:jc w:val="right"/>
              <w:rPr>
                <w:color w:val="262626" w:themeColor="text1" w:themeTint="D9"/>
              </w:rPr>
            </w:pPr>
            <w:r w:rsidRPr="0055594B">
              <w:rPr>
                <w:rFonts w:ascii="Calibri" w:hAnsi="Calibri" w:cs="Calibri"/>
                <w:color w:val="000000"/>
                <w:szCs w:val="18"/>
              </w:rPr>
              <w:t>87</w:t>
            </w:r>
          </w:p>
        </w:tc>
        <w:tc>
          <w:tcPr>
            <w:tcW w:w="1597" w:type="dxa"/>
            <w:vAlign w:val="bottom"/>
          </w:tcPr>
          <w:p w14:paraId="2C17D699" w14:textId="4F5E6B6B" w:rsidR="007E5D2E" w:rsidRPr="005473E9" w:rsidRDefault="007E5D2E" w:rsidP="00946C3B">
            <w:pPr>
              <w:pStyle w:val="TableNumbering"/>
              <w:numPr>
                <w:ilvl w:val="0"/>
                <w:numId w:val="0"/>
              </w:numPr>
              <w:jc w:val="right"/>
              <w:rPr>
                <w:rFonts w:ascii="Calibri" w:hAnsi="Calibri" w:cs="Calibri"/>
                <w:color w:val="000000"/>
                <w:szCs w:val="18"/>
              </w:rPr>
            </w:pPr>
            <w:r w:rsidRPr="0055594B">
              <w:rPr>
                <w:rFonts w:ascii="Calibri" w:hAnsi="Calibri" w:cs="Calibri"/>
                <w:color w:val="000000"/>
                <w:szCs w:val="18"/>
              </w:rPr>
              <w:t>3</w:t>
            </w:r>
          </w:p>
        </w:tc>
        <w:tc>
          <w:tcPr>
            <w:tcW w:w="1383" w:type="dxa"/>
            <w:vAlign w:val="bottom"/>
          </w:tcPr>
          <w:p w14:paraId="29908832" w14:textId="744BCDFF" w:rsidR="007E5D2E" w:rsidRPr="00AA1CCE" w:rsidRDefault="007E5D2E" w:rsidP="00946C3B">
            <w:pPr>
              <w:pStyle w:val="TableNumbering"/>
              <w:numPr>
                <w:ilvl w:val="0"/>
                <w:numId w:val="0"/>
              </w:numPr>
              <w:jc w:val="right"/>
              <w:rPr>
                <w:rFonts w:ascii="Calibri" w:eastAsia="Times New Roman" w:hAnsi="Calibri" w:cs="Calibri"/>
                <w:color w:val="000000"/>
                <w:szCs w:val="22"/>
                <w:lang w:eastAsia="en-AU"/>
              </w:rPr>
            </w:pPr>
            <w:r w:rsidRPr="0055594B">
              <w:rPr>
                <w:rFonts w:ascii="Calibri" w:hAnsi="Calibri" w:cs="Calibri"/>
                <w:color w:val="000000"/>
                <w:szCs w:val="18"/>
              </w:rPr>
              <w:t>10</w:t>
            </w:r>
          </w:p>
        </w:tc>
      </w:tr>
      <w:tr w:rsidR="007E5D2E" w:rsidRPr="0015537B" w14:paraId="5597F1CE" w14:textId="77777777" w:rsidTr="00946C3B">
        <w:trPr>
          <w:trHeight w:val="69"/>
          <w:jc w:val="center"/>
        </w:trPr>
        <w:tc>
          <w:tcPr>
            <w:tcW w:w="3570" w:type="dxa"/>
            <w:vAlign w:val="center"/>
          </w:tcPr>
          <w:p w14:paraId="50502800" w14:textId="4B856A87" w:rsidR="007E5D2E" w:rsidRPr="00BC1972" w:rsidRDefault="007E5D2E" w:rsidP="007E5D2E">
            <w:pPr>
              <w:pStyle w:val="TableBody"/>
              <w:rPr>
                <w:color w:val="262626" w:themeColor="text1" w:themeTint="D9"/>
              </w:rPr>
            </w:pPr>
            <w:r>
              <w:rPr>
                <w:color w:val="262626" w:themeColor="text1" w:themeTint="D9"/>
              </w:rPr>
              <w:t>Not for profit</w:t>
            </w:r>
          </w:p>
        </w:tc>
        <w:tc>
          <w:tcPr>
            <w:tcW w:w="1383" w:type="dxa"/>
            <w:vAlign w:val="bottom"/>
          </w:tcPr>
          <w:p w14:paraId="2E1B6570" w14:textId="1B2A9F95" w:rsidR="007E5D2E" w:rsidRPr="00BC1972" w:rsidRDefault="007E5D2E" w:rsidP="00946C3B">
            <w:pPr>
              <w:pStyle w:val="TableBody"/>
              <w:jc w:val="right"/>
              <w:rPr>
                <w:color w:val="262626" w:themeColor="text1" w:themeTint="D9"/>
              </w:rPr>
            </w:pPr>
            <w:r w:rsidRPr="0055594B">
              <w:rPr>
                <w:rFonts w:ascii="Calibri" w:hAnsi="Calibri" w:cs="Calibri"/>
                <w:color w:val="000000"/>
                <w:szCs w:val="18"/>
              </w:rPr>
              <w:t>88</w:t>
            </w:r>
          </w:p>
        </w:tc>
        <w:tc>
          <w:tcPr>
            <w:tcW w:w="1597" w:type="dxa"/>
            <w:vAlign w:val="bottom"/>
          </w:tcPr>
          <w:p w14:paraId="6C0F4091" w14:textId="4D38D8FE" w:rsidR="007E5D2E" w:rsidRPr="005473E9" w:rsidRDefault="007E5D2E" w:rsidP="00946C3B">
            <w:pPr>
              <w:pStyle w:val="TableNumbering"/>
              <w:numPr>
                <w:ilvl w:val="0"/>
                <w:numId w:val="0"/>
              </w:numPr>
              <w:jc w:val="right"/>
              <w:rPr>
                <w:rFonts w:ascii="Calibri" w:hAnsi="Calibri" w:cs="Calibri"/>
                <w:color w:val="000000"/>
                <w:szCs w:val="18"/>
              </w:rPr>
            </w:pPr>
            <w:r w:rsidRPr="0055594B">
              <w:rPr>
                <w:rFonts w:ascii="Calibri" w:hAnsi="Calibri" w:cs="Calibri"/>
                <w:color w:val="000000"/>
                <w:szCs w:val="18"/>
              </w:rPr>
              <w:t>3</w:t>
            </w:r>
          </w:p>
        </w:tc>
        <w:tc>
          <w:tcPr>
            <w:tcW w:w="1383" w:type="dxa"/>
            <w:vAlign w:val="bottom"/>
          </w:tcPr>
          <w:p w14:paraId="202CF470" w14:textId="18E95527" w:rsidR="007E5D2E" w:rsidRPr="00AA1CCE" w:rsidRDefault="007E5D2E" w:rsidP="00946C3B">
            <w:pPr>
              <w:pStyle w:val="TableNumbering"/>
              <w:numPr>
                <w:ilvl w:val="0"/>
                <w:numId w:val="0"/>
              </w:numPr>
              <w:jc w:val="right"/>
              <w:rPr>
                <w:rFonts w:ascii="Calibri" w:eastAsia="Times New Roman" w:hAnsi="Calibri" w:cs="Calibri"/>
                <w:color w:val="000000"/>
                <w:szCs w:val="22"/>
                <w:lang w:eastAsia="en-AU"/>
              </w:rPr>
            </w:pPr>
            <w:r w:rsidRPr="0055594B">
              <w:rPr>
                <w:rFonts w:ascii="Calibri" w:hAnsi="Calibri" w:cs="Calibri"/>
                <w:color w:val="000000"/>
                <w:szCs w:val="18"/>
              </w:rPr>
              <w:t>10</w:t>
            </w:r>
          </w:p>
        </w:tc>
      </w:tr>
      <w:tr w:rsidR="007E5D2E" w:rsidRPr="0015537B" w14:paraId="4CD1BDA6" w14:textId="77777777" w:rsidTr="00946C3B">
        <w:trPr>
          <w:trHeight w:val="69"/>
          <w:jc w:val="center"/>
        </w:trPr>
        <w:tc>
          <w:tcPr>
            <w:tcW w:w="3570" w:type="dxa"/>
            <w:vAlign w:val="center"/>
          </w:tcPr>
          <w:p w14:paraId="1580E5F7" w14:textId="11E0C57C" w:rsidR="007E5D2E" w:rsidRDefault="007E5D2E" w:rsidP="007E5D2E">
            <w:pPr>
              <w:pStyle w:val="TableBody"/>
              <w:rPr>
                <w:rFonts w:ascii="Calibri" w:eastAsia="Times New Roman" w:hAnsi="Calibri" w:cs="Calibri"/>
                <w:color w:val="000000"/>
                <w:szCs w:val="22"/>
                <w:lang w:eastAsia="en-AU"/>
              </w:rPr>
            </w:pPr>
            <w:r>
              <w:rPr>
                <w:rFonts w:ascii="Calibri" w:eastAsia="Times New Roman" w:hAnsi="Calibri" w:cs="Calibri"/>
                <w:color w:val="000000"/>
                <w:szCs w:val="22"/>
                <w:lang w:eastAsia="en-AU"/>
              </w:rPr>
              <w:t>Large-market employer</w:t>
            </w:r>
          </w:p>
        </w:tc>
        <w:tc>
          <w:tcPr>
            <w:tcW w:w="1383" w:type="dxa"/>
            <w:vAlign w:val="bottom"/>
          </w:tcPr>
          <w:p w14:paraId="0D02E896" w14:textId="4A747A94" w:rsidR="007E5D2E" w:rsidRPr="005473E9" w:rsidRDefault="007E5D2E" w:rsidP="00946C3B">
            <w:pPr>
              <w:pStyle w:val="TableBody"/>
              <w:jc w:val="right"/>
              <w:rPr>
                <w:rFonts w:ascii="Calibri" w:hAnsi="Calibri" w:cs="Calibri"/>
                <w:color w:val="000000"/>
                <w:szCs w:val="18"/>
              </w:rPr>
            </w:pPr>
            <w:r w:rsidRPr="00B50A1F">
              <w:rPr>
                <w:rFonts w:ascii="Calibri" w:hAnsi="Calibri" w:cs="Calibri"/>
                <w:color w:val="000000"/>
                <w:szCs w:val="18"/>
              </w:rPr>
              <w:t>62</w:t>
            </w:r>
          </w:p>
        </w:tc>
        <w:tc>
          <w:tcPr>
            <w:tcW w:w="1597" w:type="dxa"/>
            <w:vAlign w:val="bottom"/>
          </w:tcPr>
          <w:p w14:paraId="43A16A47" w14:textId="718F6F8E" w:rsidR="007E5D2E" w:rsidRPr="005473E9" w:rsidRDefault="007E5D2E" w:rsidP="00946C3B">
            <w:pPr>
              <w:pStyle w:val="TableNumbering"/>
              <w:numPr>
                <w:ilvl w:val="0"/>
                <w:numId w:val="0"/>
              </w:numPr>
              <w:jc w:val="right"/>
              <w:rPr>
                <w:rFonts w:ascii="Calibri" w:hAnsi="Calibri" w:cs="Calibri"/>
                <w:color w:val="000000"/>
                <w:szCs w:val="18"/>
              </w:rPr>
            </w:pPr>
            <w:r w:rsidRPr="00B50A1F">
              <w:rPr>
                <w:rFonts w:ascii="Calibri" w:hAnsi="Calibri" w:cs="Calibri"/>
                <w:color w:val="000000"/>
                <w:szCs w:val="18"/>
              </w:rPr>
              <w:t>5</w:t>
            </w:r>
          </w:p>
        </w:tc>
        <w:tc>
          <w:tcPr>
            <w:tcW w:w="1383" w:type="dxa"/>
            <w:vAlign w:val="bottom"/>
          </w:tcPr>
          <w:p w14:paraId="227710F1" w14:textId="26B79B17" w:rsidR="007E5D2E" w:rsidRPr="005473E9" w:rsidRDefault="007E5D2E" w:rsidP="00946C3B">
            <w:pPr>
              <w:pStyle w:val="TableNumbering"/>
              <w:numPr>
                <w:ilvl w:val="0"/>
                <w:numId w:val="0"/>
              </w:numPr>
              <w:jc w:val="right"/>
              <w:rPr>
                <w:rFonts w:ascii="Calibri" w:hAnsi="Calibri" w:cs="Calibri"/>
                <w:color w:val="000000"/>
                <w:szCs w:val="18"/>
              </w:rPr>
            </w:pPr>
            <w:r w:rsidRPr="00B50A1F">
              <w:rPr>
                <w:rFonts w:ascii="Calibri" w:hAnsi="Calibri" w:cs="Calibri"/>
                <w:color w:val="000000"/>
                <w:szCs w:val="18"/>
              </w:rPr>
              <w:t>33</w:t>
            </w:r>
          </w:p>
        </w:tc>
      </w:tr>
      <w:tr w:rsidR="007E5D2E" w:rsidRPr="0015537B" w14:paraId="3115DE50" w14:textId="77777777" w:rsidTr="00946C3B">
        <w:trPr>
          <w:trHeight w:val="69"/>
          <w:jc w:val="center"/>
        </w:trPr>
        <w:tc>
          <w:tcPr>
            <w:tcW w:w="3570" w:type="dxa"/>
            <w:vAlign w:val="center"/>
          </w:tcPr>
          <w:p w14:paraId="41246273" w14:textId="3F34E322" w:rsidR="007E5D2E" w:rsidRPr="00BC1972" w:rsidRDefault="007E5D2E" w:rsidP="007E5D2E">
            <w:pPr>
              <w:pStyle w:val="TableBody"/>
              <w:rPr>
                <w:color w:val="262626" w:themeColor="text1" w:themeTint="D9"/>
              </w:rPr>
            </w:pPr>
            <w:r>
              <w:rPr>
                <w:rFonts w:ascii="Calibri" w:eastAsia="Times New Roman" w:hAnsi="Calibri" w:cs="Calibri"/>
                <w:color w:val="000000"/>
                <w:szCs w:val="22"/>
                <w:lang w:eastAsia="en-AU"/>
              </w:rPr>
              <w:t>Government</w:t>
            </w:r>
          </w:p>
        </w:tc>
        <w:tc>
          <w:tcPr>
            <w:tcW w:w="1383" w:type="dxa"/>
            <w:vAlign w:val="bottom"/>
          </w:tcPr>
          <w:p w14:paraId="2BE19DDC" w14:textId="6CC5889C" w:rsidR="007E5D2E" w:rsidRPr="00BC1972" w:rsidRDefault="007E5D2E" w:rsidP="00946C3B">
            <w:pPr>
              <w:pStyle w:val="TableBody"/>
              <w:jc w:val="right"/>
              <w:rPr>
                <w:color w:val="262626" w:themeColor="text1" w:themeTint="D9"/>
              </w:rPr>
            </w:pPr>
            <w:r w:rsidRPr="0055594B">
              <w:rPr>
                <w:rFonts w:ascii="Calibri" w:hAnsi="Calibri" w:cs="Calibri"/>
                <w:color w:val="000000"/>
                <w:szCs w:val="18"/>
              </w:rPr>
              <w:t>33</w:t>
            </w:r>
          </w:p>
        </w:tc>
        <w:tc>
          <w:tcPr>
            <w:tcW w:w="1597" w:type="dxa"/>
            <w:vAlign w:val="bottom"/>
          </w:tcPr>
          <w:p w14:paraId="0971D0B9" w14:textId="7116BEE8" w:rsidR="007E5D2E" w:rsidRPr="005473E9" w:rsidRDefault="007E5D2E" w:rsidP="00946C3B">
            <w:pPr>
              <w:pStyle w:val="TableNumbering"/>
              <w:numPr>
                <w:ilvl w:val="0"/>
                <w:numId w:val="0"/>
              </w:numPr>
              <w:jc w:val="right"/>
              <w:rPr>
                <w:rFonts w:ascii="Calibri" w:hAnsi="Calibri" w:cs="Calibri"/>
                <w:color w:val="000000"/>
                <w:szCs w:val="18"/>
              </w:rPr>
            </w:pPr>
            <w:r w:rsidRPr="0055594B">
              <w:rPr>
                <w:rFonts w:ascii="Calibri" w:hAnsi="Calibri" w:cs="Calibri"/>
                <w:color w:val="000000"/>
                <w:szCs w:val="18"/>
              </w:rPr>
              <w:t>16</w:t>
            </w:r>
          </w:p>
        </w:tc>
        <w:tc>
          <w:tcPr>
            <w:tcW w:w="1383" w:type="dxa"/>
            <w:vAlign w:val="bottom"/>
          </w:tcPr>
          <w:p w14:paraId="6E610DD7" w14:textId="10A6BC66" w:rsidR="007E5D2E" w:rsidRPr="00AA1CCE" w:rsidRDefault="007E5D2E" w:rsidP="00946C3B">
            <w:pPr>
              <w:pStyle w:val="TableNumbering"/>
              <w:numPr>
                <w:ilvl w:val="0"/>
                <w:numId w:val="0"/>
              </w:numPr>
              <w:jc w:val="right"/>
              <w:rPr>
                <w:rFonts w:ascii="Calibri" w:eastAsia="Times New Roman" w:hAnsi="Calibri" w:cs="Calibri"/>
                <w:color w:val="000000"/>
                <w:szCs w:val="22"/>
                <w:lang w:eastAsia="en-AU"/>
              </w:rPr>
            </w:pPr>
            <w:r w:rsidRPr="0055594B">
              <w:rPr>
                <w:rFonts w:ascii="Calibri" w:hAnsi="Calibri" w:cs="Calibri"/>
                <w:color w:val="000000"/>
                <w:szCs w:val="18"/>
              </w:rPr>
              <w:t>51</w:t>
            </w:r>
          </w:p>
        </w:tc>
      </w:tr>
      <w:tr w:rsidR="007E5D2E" w:rsidRPr="0015537B" w14:paraId="6BF4E763" w14:textId="77777777" w:rsidTr="00946C3B">
        <w:trPr>
          <w:cnfStyle w:val="010000000000" w:firstRow="0" w:lastRow="1" w:firstColumn="0" w:lastColumn="0" w:oddVBand="0" w:evenVBand="0" w:oddHBand="0" w:evenHBand="0" w:firstRowFirstColumn="0" w:firstRowLastColumn="0" w:lastRowFirstColumn="0" w:lastRowLastColumn="0"/>
          <w:trHeight w:val="69"/>
          <w:jc w:val="center"/>
        </w:trPr>
        <w:tc>
          <w:tcPr>
            <w:tcW w:w="3570" w:type="dxa"/>
            <w:vAlign w:val="center"/>
          </w:tcPr>
          <w:p w14:paraId="5DF433EA" w14:textId="72C2298A" w:rsidR="007E5D2E" w:rsidRPr="00BC1972" w:rsidRDefault="0002274A" w:rsidP="007E5D2E">
            <w:pPr>
              <w:pStyle w:val="TableBody"/>
              <w:rPr>
                <w:color w:val="262626" w:themeColor="text1" w:themeTint="D9"/>
              </w:rPr>
            </w:pPr>
            <w:r>
              <w:rPr>
                <w:rFonts w:ascii="Calibri" w:eastAsia="Times New Roman" w:hAnsi="Calibri" w:cs="Calibri"/>
                <w:b/>
                <w:bCs/>
                <w:color w:val="000000"/>
                <w:szCs w:val="22"/>
                <w:lang w:eastAsia="en-AU"/>
              </w:rPr>
              <w:t>Overall</w:t>
            </w:r>
          </w:p>
        </w:tc>
        <w:tc>
          <w:tcPr>
            <w:tcW w:w="1383" w:type="dxa"/>
            <w:vAlign w:val="bottom"/>
          </w:tcPr>
          <w:p w14:paraId="7C788FD1" w14:textId="6796611B" w:rsidR="007E5D2E" w:rsidRPr="00BC1972" w:rsidRDefault="007E5D2E" w:rsidP="00946C3B">
            <w:pPr>
              <w:pStyle w:val="TableBody"/>
              <w:jc w:val="right"/>
              <w:rPr>
                <w:color w:val="262626" w:themeColor="text1" w:themeTint="D9"/>
              </w:rPr>
            </w:pPr>
            <w:r w:rsidRPr="0055594B">
              <w:rPr>
                <w:rFonts w:ascii="Calibri" w:hAnsi="Calibri" w:cs="Calibri"/>
                <w:b/>
                <w:color w:val="000000"/>
                <w:szCs w:val="18"/>
              </w:rPr>
              <w:t>88</w:t>
            </w:r>
          </w:p>
        </w:tc>
        <w:tc>
          <w:tcPr>
            <w:tcW w:w="1597" w:type="dxa"/>
            <w:vAlign w:val="bottom"/>
          </w:tcPr>
          <w:p w14:paraId="38322FC6" w14:textId="0F1830AA" w:rsidR="007E5D2E" w:rsidRPr="00FB4C15" w:rsidRDefault="007E5D2E" w:rsidP="00946C3B">
            <w:pPr>
              <w:pStyle w:val="TableNumbering"/>
              <w:numPr>
                <w:ilvl w:val="0"/>
                <w:numId w:val="0"/>
              </w:numPr>
              <w:jc w:val="right"/>
              <w:rPr>
                <w:b/>
              </w:rPr>
            </w:pPr>
            <w:r w:rsidRPr="0055594B">
              <w:rPr>
                <w:rFonts w:ascii="Calibri" w:hAnsi="Calibri" w:cs="Calibri"/>
                <w:b/>
                <w:color w:val="000000"/>
                <w:szCs w:val="18"/>
              </w:rPr>
              <w:t>4</w:t>
            </w:r>
          </w:p>
        </w:tc>
        <w:tc>
          <w:tcPr>
            <w:tcW w:w="1383" w:type="dxa"/>
            <w:vAlign w:val="bottom"/>
          </w:tcPr>
          <w:p w14:paraId="785F99AA" w14:textId="2E0F93CB" w:rsidR="007E5D2E" w:rsidRPr="005473E9" w:rsidRDefault="007E5D2E" w:rsidP="00946C3B">
            <w:pPr>
              <w:jc w:val="right"/>
              <w:rPr>
                <w:rFonts w:ascii="Calibri" w:hAnsi="Calibri" w:cs="Calibri"/>
                <w:b/>
                <w:bCs/>
                <w:color w:val="000000"/>
                <w:sz w:val="18"/>
                <w:szCs w:val="18"/>
              </w:rPr>
            </w:pPr>
            <w:r w:rsidRPr="0055594B">
              <w:rPr>
                <w:rFonts w:ascii="Calibri" w:hAnsi="Calibri" w:cs="Calibri"/>
                <w:b/>
                <w:color w:val="000000"/>
                <w:sz w:val="18"/>
                <w:szCs w:val="18"/>
              </w:rPr>
              <w:t>9</w:t>
            </w:r>
          </w:p>
        </w:tc>
      </w:tr>
    </w:tbl>
    <w:p w14:paraId="2D488188" w14:textId="02A594DF" w:rsidR="008536BB" w:rsidRDefault="008536BB" w:rsidP="003E5F45">
      <w:pPr>
        <w:pStyle w:val="BodyText"/>
      </w:pPr>
    </w:p>
    <w:p w14:paraId="0950B425" w14:textId="71C44A90" w:rsidR="00D121A4" w:rsidRDefault="009E6CC3" w:rsidP="00A531D4">
      <w:r w:rsidRPr="00B17A5C">
        <w:t xml:space="preserve">Businesses that need to increase the frequency of their SG payments may have impacts on their cash-flow positions within each financial quarter. </w:t>
      </w:r>
      <w:r w:rsidR="00841610">
        <w:t>E</w:t>
      </w:r>
      <w:r w:rsidR="00942049" w:rsidRPr="00DD7ED2">
        <w:t>mployers</w:t>
      </w:r>
      <w:r w:rsidR="00DD7ED2" w:rsidRPr="00DD7ED2">
        <w:t xml:space="preserve"> who currently use funds within a quarter which would otherwise be expended on their employees’ SG entitlements will likely </w:t>
      </w:r>
      <w:r w:rsidR="00CA150D">
        <w:t xml:space="preserve">need to make more </w:t>
      </w:r>
      <w:r w:rsidR="000F484A">
        <w:t xml:space="preserve">substantial adjustments to </w:t>
      </w:r>
      <w:r w:rsidR="00942049" w:rsidRPr="00DD7ED2">
        <w:t xml:space="preserve">pay these entitlements. </w:t>
      </w:r>
      <w:r w:rsidR="009F534B">
        <w:t>S</w:t>
      </w:r>
      <w:r w:rsidR="00942049" w:rsidRPr="00DD7ED2">
        <w:t xml:space="preserve">ome </w:t>
      </w:r>
      <w:r w:rsidR="009F534B">
        <w:t xml:space="preserve">of these </w:t>
      </w:r>
      <w:r w:rsidR="00942049" w:rsidRPr="00DD7ED2">
        <w:t>businesses may experience increased cash-flow pressures</w:t>
      </w:r>
      <w:r w:rsidR="00BB0AEB">
        <w:t xml:space="preserve"> and </w:t>
      </w:r>
      <w:r w:rsidR="00063213">
        <w:t>increased costs</w:t>
      </w:r>
      <w:r w:rsidR="004E7017">
        <w:t xml:space="preserve">, at least in the short-term </w:t>
      </w:r>
      <w:r w:rsidR="00A019E6">
        <w:t>when the change is introduced</w:t>
      </w:r>
      <w:r w:rsidR="00942049" w:rsidRPr="00DD7ED2">
        <w:t>.</w:t>
      </w:r>
      <w:r w:rsidR="009F534B">
        <w:t xml:space="preserve"> </w:t>
      </w:r>
      <w:r w:rsidR="009361A6">
        <w:t>However, a</w:t>
      </w:r>
      <w:r w:rsidR="00F758BC">
        <w:t xml:space="preserve"> </w:t>
      </w:r>
      <w:r w:rsidR="00EF368B">
        <w:t>3</w:t>
      </w:r>
      <w:r w:rsidR="00DC55BB">
        <w:t>-</w:t>
      </w:r>
      <w:r w:rsidR="00EF368B">
        <w:t>year</w:t>
      </w:r>
      <w:r w:rsidR="009361A6">
        <w:t xml:space="preserve"> lead in time</w:t>
      </w:r>
      <w:r w:rsidR="001B66F6">
        <w:t xml:space="preserve"> </w:t>
      </w:r>
      <w:r w:rsidR="00F758BC">
        <w:t>before</w:t>
      </w:r>
      <w:r w:rsidR="009361A6">
        <w:t xml:space="preserve"> commencement </w:t>
      </w:r>
      <w:r w:rsidR="00F758BC">
        <w:t>of the change</w:t>
      </w:r>
      <w:r w:rsidR="009361A6">
        <w:t xml:space="preserve"> will provide employers time to prepare</w:t>
      </w:r>
      <w:r w:rsidR="004D0B0B">
        <w:t>.</w:t>
      </w:r>
      <w:r w:rsidR="009361A6">
        <w:t xml:space="preserve"> Further</w:t>
      </w:r>
      <w:r w:rsidR="009F534B">
        <w:t xml:space="preserve">, </w:t>
      </w:r>
      <w:r w:rsidR="005B1F28">
        <w:t xml:space="preserve">as </w:t>
      </w:r>
      <w:r w:rsidR="009F534B">
        <w:t xml:space="preserve">there is </w:t>
      </w:r>
      <w:r w:rsidR="00364F20">
        <w:t xml:space="preserve">currently a lack of </w:t>
      </w:r>
      <w:r w:rsidR="00962B5A">
        <w:t xml:space="preserve">data on </w:t>
      </w:r>
      <w:r w:rsidR="003D7B4E">
        <w:t xml:space="preserve">the extent to which </w:t>
      </w:r>
      <w:r w:rsidR="007317BD">
        <w:t>cash-flow practices would be sensitive to such changes</w:t>
      </w:r>
      <w:r w:rsidR="009361A6">
        <w:t xml:space="preserve"> </w:t>
      </w:r>
      <w:r w:rsidR="005B1F28">
        <w:t>i</w:t>
      </w:r>
      <w:r w:rsidR="008356FB">
        <w:t>t has not been possible to quantify these impacts.</w:t>
      </w:r>
      <w:r w:rsidR="007317BD">
        <w:t xml:space="preserve"> </w:t>
      </w:r>
      <w:r w:rsidR="00D121A4" w:rsidRPr="00D121A4">
        <w:t xml:space="preserve"> </w:t>
      </w:r>
    </w:p>
    <w:p w14:paraId="6E393BCC" w14:textId="126D5E8A" w:rsidR="009E4A3F" w:rsidRPr="00B17A5C" w:rsidRDefault="008D47F2" w:rsidP="00A531D4">
      <w:r>
        <w:t>As outlined in Section 1.2, u</w:t>
      </w:r>
      <w:r w:rsidRPr="008D47F2">
        <w:t>npaid SG can allow non-compliant employers to benefit at the expense of compliant employers, as non</w:t>
      </w:r>
      <w:r w:rsidR="008570C4">
        <w:t>-</w:t>
      </w:r>
      <w:r w:rsidRPr="008D47F2">
        <w:t>compliant employers can use unpaid amounts to artificially bolster the profitability of the business.</w:t>
      </w:r>
      <w:r>
        <w:t xml:space="preserve"> </w:t>
      </w:r>
      <w:r w:rsidRPr="00FD429A">
        <w:t>Where SG payments are delayed to prolong a business’ life, this ultimately comes at the detriment of employees whose SG is left unpaid, and other businesses who are competing in the market with non-compliant employers.</w:t>
      </w:r>
      <w:r>
        <w:t xml:space="preserve"> </w:t>
      </w:r>
      <w:r w:rsidR="009E4A3F" w:rsidRPr="00B17A5C">
        <w:t xml:space="preserve">While some micro and </w:t>
      </w:r>
      <w:r w:rsidR="001C018C">
        <w:t>SMEs</w:t>
      </w:r>
      <w:r w:rsidR="009E4A3F" w:rsidRPr="00B17A5C">
        <w:t xml:space="preserve"> are likely to experience cashflow challenges, marginal businesses that cannot meet SG obligations in a timely way </w:t>
      </w:r>
      <w:r w:rsidR="004E23B1">
        <w:t xml:space="preserve">should be aware of </w:t>
      </w:r>
      <w:r w:rsidR="009E4A3F" w:rsidRPr="00B17A5C">
        <w:t>the</w:t>
      </w:r>
      <w:r w:rsidR="00E636E5">
        <w:t xml:space="preserve"> potential for</w:t>
      </w:r>
      <w:r w:rsidR="009E4A3F" w:rsidRPr="00B17A5C">
        <w:t xml:space="preserve"> re-allocation of </w:t>
      </w:r>
      <w:r w:rsidR="00E70460">
        <w:t xml:space="preserve">labour </w:t>
      </w:r>
      <w:r w:rsidR="009E4A3F" w:rsidRPr="00B17A5C">
        <w:t xml:space="preserve">resources to more productive businesses, particularly in the context of </w:t>
      </w:r>
      <w:r w:rsidR="00AE5467">
        <w:t>a</w:t>
      </w:r>
      <w:r w:rsidR="00AE5467" w:rsidRPr="00B17A5C">
        <w:t xml:space="preserve"> </w:t>
      </w:r>
      <w:r w:rsidR="009E4A3F" w:rsidRPr="00B17A5C">
        <w:t>tight</w:t>
      </w:r>
      <w:r w:rsidR="00AE5467">
        <w:t>er</w:t>
      </w:r>
      <w:r w:rsidR="009E4A3F" w:rsidRPr="00B17A5C">
        <w:t xml:space="preserve"> labour market. </w:t>
      </w:r>
    </w:p>
    <w:p w14:paraId="75B4D737" w14:textId="08D0A116" w:rsidR="00531ADC" w:rsidRPr="00B17A5C" w:rsidRDefault="00531ADC" w:rsidP="00A531D4">
      <w:r>
        <w:t>I</w:t>
      </w:r>
      <w:r w:rsidRPr="00B17A5C">
        <w:t xml:space="preserve">mpacts </w:t>
      </w:r>
      <w:r w:rsidR="00F33035">
        <w:t>w</w:t>
      </w:r>
      <w:r>
        <w:t>ould</w:t>
      </w:r>
      <w:r w:rsidRPr="00B17A5C">
        <w:t xml:space="preserve"> be mitigated by introducing flexibility in how the ATO administers the SG </w:t>
      </w:r>
      <w:r w:rsidR="001C018C">
        <w:t>c</w:t>
      </w:r>
      <w:r w:rsidRPr="00B17A5C">
        <w:t>harge, to avoid unduly punishing employers for minor non-compliance or where late payments are made due to circumstances beyond their control.</w:t>
      </w:r>
      <w:r>
        <w:t xml:space="preserve"> </w:t>
      </w:r>
    </w:p>
    <w:p w14:paraId="6E3118FC" w14:textId="77777777" w:rsidR="004820CA" w:rsidRDefault="006E776F" w:rsidP="00251D7A">
      <w:pPr>
        <w:pStyle w:val="Heading3"/>
      </w:pPr>
      <w:bookmarkStart w:id="58" w:name="_Toc134198472"/>
      <w:r>
        <w:t xml:space="preserve">Impact </w:t>
      </w:r>
      <w:r w:rsidR="00D31BC5">
        <w:t>4</w:t>
      </w:r>
      <w:r>
        <w:t xml:space="preserve">: </w:t>
      </w:r>
      <w:r w:rsidR="005831F2">
        <w:t>Regulatory costs</w:t>
      </w:r>
      <w:bookmarkEnd w:id="58"/>
    </w:p>
    <w:p w14:paraId="22CB69A1" w14:textId="03B633EA" w:rsidR="00251D7A" w:rsidRPr="00296797" w:rsidRDefault="00C86EE4" w:rsidP="00A531D4">
      <w:r w:rsidRPr="009D43BC">
        <w:t xml:space="preserve">This option has an average annual regulatory </w:t>
      </w:r>
      <w:r w:rsidR="009A0016">
        <w:t xml:space="preserve">over </w:t>
      </w:r>
      <w:r w:rsidRPr="009D43BC">
        <w:t xml:space="preserve">cost </w:t>
      </w:r>
      <w:r w:rsidR="00F47DD9">
        <w:t>over 10 years</w:t>
      </w:r>
      <w:r w:rsidRPr="009D43BC">
        <w:t xml:space="preserve"> of </w:t>
      </w:r>
      <w:r w:rsidR="0023121C">
        <w:t>$</w:t>
      </w:r>
      <w:r>
        <w:t>13</w:t>
      </w:r>
      <w:r w:rsidR="002E4339">
        <w:t>6.0</w:t>
      </w:r>
      <w:r>
        <w:t xml:space="preserve"> million. </w:t>
      </w:r>
      <w:r w:rsidR="009D43BC">
        <w:t>There is expected to be a significant upfront regulatory cost, as 697</w:t>
      </w:r>
      <w:r w:rsidR="006E7240">
        <w:t>,</w:t>
      </w:r>
      <w:r w:rsidR="009D43BC">
        <w:t xml:space="preserve">000 employers will be required to adhere to this change. This includes employers being aware and familiarising themselves with new requirements and making necessary changes to payroll and cashflow. However, once these changes are made it is expected that there would be no additional regulatory burden in future years, as </w:t>
      </w:r>
      <w:r w:rsidR="00F4587E">
        <w:t xml:space="preserve">the </w:t>
      </w:r>
      <w:r w:rsidR="009D43BC">
        <w:t xml:space="preserve">SG on payday would become a ‘business as usual’ transaction for employers. </w:t>
      </w:r>
      <w:r w:rsidR="001D6D8A">
        <w:t xml:space="preserve">There </w:t>
      </w:r>
      <w:r w:rsidR="009C7FE5">
        <w:t xml:space="preserve">would be </w:t>
      </w:r>
      <w:r w:rsidR="001D6D8A">
        <w:t xml:space="preserve">a minor regulatory save for individuals </w:t>
      </w:r>
      <w:r w:rsidR="00B12544">
        <w:t>as the</w:t>
      </w:r>
      <w:r w:rsidR="00695E9D">
        <w:t xml:space="preserve"> identification of unpaid SG amounts by the ATO will be faster reduc</w:t>
      </w:r>
      <w:r w:rsidR="005D0CC4">
        <w:t>ing</w:t>
      </w:r>
      <w:r w:rsidR="00695E9D">
        <w:t xml:space="preserve"> the </w:t>
      </w:r>
      <w:r w:rsidR="00D50D41">
        <w:t xml:space="preserve">time an individual spends reconciling their superannuation payments. </w:t>
      </w:r>
      <w:r w:rsidR="003F1E3F">
        <w:t xml:space="preserve">Further assumptions on regulatory costs can be found in </w:t>
      </w:r>
      <w:r w:rsidR="003F1E3F">
        <w:rPr>
          <w:i/>
          <w:iCs/>
        </w:rPr>
        <w:t>Appendix C – Calculation of Regulatory Costs.</w:t>
      </w:r>
    </w:p>
    <w:p w14:paraId="275FC857" w14:textId="77777777" w:rsidR="0014395B" w:rsidRDefault="0014395B" w:rsidP="0014395B">
      <w:pPr>
        <w:pStyle w:val="Heading4"/>
        <w:ind w:left="0"/>
      </w:pPr>
      <w:r w:rsidRPr="004D6DB4">
        <w:t>Employers</w:t>
      </w:r>
    </w:p>
    <w:p w14:paraId="20957425" w14:textId="46C8BB89" w:rsidR="0014395B" w:rsidRPr="002E369D" w:rsidRDefault="0014395B" w:rsidP="00A531D4">
      <w:pPr>
        <w:rPr>
          <w:b/>
          <w:color w:val="FF0000"/>
        </w:rPr>
      </w:pPr>
      <w:r w:rsidRPr="002E369D">
        <w:t xml:space="preserve">Employers would be required to fund any implementation costs including potential updates to STP reporting and to the </w:t>
      </w:r>
      <w:r w:rsidR="00C570F5">
        <w:t>S</w:t>
      </w:r>
      <w:r w:rsidRPr="002E369D">
        <w:t xml:space="preserve">uperannuation </w:t>
      </w:r>
      <w:r w:rsidR="00C570F5">
        <w:t>C</w:t>
      </w:r>
      <w:r w:rsidRPr="002E369D">
        <w:t xml:space="preserve">ontributions </w:t>
      </w:r>
      <w:r w:rsidR="00C570F5">
        <w:t>S</w:t>
      </w:r>
      <w:r w:rsidRPr="002E369D">
        <w:t>tandard which specifies the data that accompanies contribution payments to funds. For employers needing to pay SG more frequently there may be a regulatory burden in adjusting the related changes in reporting SG through STP, changing their arrangements with DSPs and superannuation clearing houses, and potentially higher expenditure on these services.</w:t>
      </w:r>
    </w:p>
    <w:p w14:paraId="20956E4F" w14:textId="7FF240C4" w:rsidR="0014395B" w:rsidRPr="002E369D" w:rsidRDefault="0014395B" w:rsidP="00A531D4">
      <w:r w:rsidRPr="002E369D">
        <w:t>In the last 20 years, there have been significant improvements in digital payment and payroll reporting software, allowing employers to make and receive payments and data in near real</w:t>
      </w:r>
      <w:r w:rsidR="00452CE6">
        <w:t>-</w:t>
      </w:r>
      <w:r w:rsidRPr="002E369D">
        <w:t xml:space="preserve">time. This option would draw on these technological improvements, requiring employers to make SG payments to their employees on the same day that they pay their wage and salary entitlements. </w:t>
      </w:r>
    </w:p>
    <w:p w14:paraId="1FB58F63" w14:textId="5077A7E5" w:rsidR="0014395B" w:rsidRPr="002E369D" w:rsidRDefault="0014395B" w:rsidP="00A531D4">
      <w:r w:rsidRPr="002E369D">
        <w:t>Complimentary changes to STP reporting to enable improved ATO oversight of SG payments will also impact employers. This may involve new reporting fields, existing voluntary fields becoming mandatory, harsher penalties for incorrect reporting and requirements to report in shorter timeframes.</w:t>
      </w:r>
    </w:p>
    <w:p w14:paraId="134A95C5" w14:textId="1970EF0F" w:rsidR="0014395B" w:rsidRPr="002E369D" w:rsidRDefault="0014395B" w:rsidP="00A531D4">
      <w:r w:rsidRPr="002E369D">
        <w:t xml:space="preserve">A lead in time from announcement to commencement date will allow businesses who currently pay quarterly, the majority of which are </w:t>
      </w:r>
      <w:r w:rsidR="008145E4">
        <w:t>SMEs</w:t>
      </w:r>
      <w:r w:rsidR="008145E4" w:rsidRPr="002E369D">
        <w:t xml:space="preserve"> </w:t>
      </w:r>
      <w:r w:rsidRPr="002E369D">
        <w:t>or micro businesses, time to upgrade payment software and adjust cash flow strategies to account for more frequent SG payments. Changes to improve flexibility in how the ATO administers the SG Charge will also help mitigate impacts on small businesses. These changes would enable the ATO to potentially show discretion in cases where small businesses are having compliance difficulties due to factors outside their control.</w:t>
      </w:r>
    </w:p>
    <w:p w14:paraId="3561C319" w14:textId="03ED417C" w:rsidR="000D30D2" w:rsidRPr="002E369D" w:rsidRDefault="0014395B" w:rsidP="00A531D4">
      <w:r w:rsidRPr="002E369D">
        <w:t xml:space="preserve">Further, there is already digital infrastructure in place that can be leveraged which would limit the regulatory burden on employers. The continued rollout of </w:t>
      </w:r>
      <w:r w:rsidR="00EA549B">
        <w:t>STP</w:t>
      </w:r>
      <w:r w:rsidRPr="002E369D">
        <w:t xml:space="preserve"> is making it easier for employers to comply with their SG obligations. STP reduces the regulatory burden on business and transforms compliance by aligning payroll functions with regular reporting of taxation and superannuation obligations.</w:t>
      </w:r>
    </w:p>
    <w:p w14:paraId="708194D3" w14:textId="18216258" w:rsidR="008A4EDA" w:rsidRDefault="008A4EDA" w:rsidP="008F5401">
      <w:pPr>
        <w:pStyle w:val="Heading4"/>
      </w:pPr>
      <w:r w:rsidRPr="00C47CEA">
        <w:t>Digital service providers</w:t>
      </w:r>
    </w:p>
    <w:p w14:paraId="7CD27D06" w14:textId="25ACD031" w:rsidR="00167E80" w:rsidRDefault="008A4EDA" w:rsidP="00A531D4">
      <w:r w:rsidRPr="003662BA">
        <w:t>Changing the frequency of SG payments would require significant work for DSPs which produce and maintain the systems used by employers and superannuation funds to record, report and process SG contributions. DSPs are also likely to need to undertake software updates to match any required changes to STP reporting.</w:t>
      </w:r>
      <w:r w:rsidR="003662BA" w:rsidRPr="003662BA">
        <w:t xml:space="preserve"> </w:t>
      </w:r>
      <w:r w:rsidR="00167E80" w:rsidRPr="003662BA">
        <w:t xml:space="preserve">This will be mitigated by involving DSPs in a co-design process </w:t>
      </w:r>
      <w:r w:rsidR="00843DDF" w:rsidRPr="003662BA">
        <w:t>with Government in</w:t>
      </w:r>
      <w:r w:rsidR="00167E80" w:rsidRPr="003662BA">
        <w:t xml:space="preserve"> developing the policy and administrative changes, including potential changes to reporting requirements and systems.</w:t>
      </w:r>
      <w:r w:rsidR="003662BA" w:rsidRPr="003662BA">
        <w:t xml:space="preserve"> </w:t>
      </w:r>
      <w:r w:rsidR="00167E80" w:rsidRPr="003662BA">
        <w:t>Providing 18-months in lead time between the planned legislating of the changes in late 2024 and the start date of 1 July 2026 will also mitigate negative impacts on DSPs.</w:t>
      </w:r>
    </w:p>
    <w:p w14:paraId="3AFBD441" w14:textId="71BBA756" w:rsidR="00A55D19" w:rsidRPr="003662BA" w:rsidRDefault="00A55D19" w:rsidP="00A531D4">
      <w:r w:rsidRPr="003662BA">
        <w:t xml:space="preserve">For </w:t>
      </w:r>
      <w:r w:rsidR="004618A2">
        <w:t>SMEs</w:t>
      </w:r>
      <w:r w:rsidRPr="003662BA">
        <w:t xml:space="preserve">, where payroll software is already used, costs would initially be borne by </w:t>
      </w:r>
      <w:r w:rsidR="00C30889">
        <w:t>DSPs</w:t>
      </w:r>
      <w:r w:rsidRPr="003662BA">
        <w:t xml:space="preserve"> who would need to update payroll systems to adjust for the increased payment frequency. These costs are likely to be passed on to employers as users of this software to meet their obligations. Employers </w:t>
      </w:r>
      <w:r w:rsidR="00C30889" w:rsidRPr="003662BA">
        <w:t>who</w:t>
      </w:r>
      <w:r w:rsidRPr="003662BA">
        <w:t xml:space="preserve"> do not currently use sophisticated payroll software will potentially face increased administrative costs for adopting new payroll systems. Funds would be required to update their superannuation accounts and contributions reporting to the ATO which may be costly and resource intensive. </w:t>
      </w:r>
    </w:p>
    <w:p w14:paraId="7E8CE7D6" w14:textId="5546A8A3" w:rsidR="004C766F" w:rsidRPr="003662BA" w:rsidRDefault="00B509DC" w:rsidP="00A531D4">
      <w:r>
        <w:t xml:space="preserve">Like Option 2, </w:t>
      </w:r>
      <w:r w:rsidR="00AE3CBA">
        <w:t xml:space="preserve">approximately </w:t>
      </w:r>
      <w:r>
        <w:t xml:space="preserve">87 </w:t>
      </w:r>
      <w:r w:rsidR="007531EA">
        <w:t>DSPs</w:t>
      </w:r>
      <w:r>
        <w:t xml:space="preserve"> </w:t>
      </w:r>
      <w:r w:rsidR="00AE3CBA">
        <w:t>(those who choose to be listed)</w:t>
      </w:r>
      <w:r>
        <w:t xml:space="preserve"> will be impacted by this change. </w:t>
      </w:r>
      <w:r w:rsidR="00C135D0">
        <w:t xml:space="preserve">The regulatory costs include DSPs familiarising themselves with </w:t>
      </w:r>
      <w:r w:rsidR="00195859">
        <w:t xml:space="preserve">the new requirements for SG on payday, and </w:t>
      </w:r>
      <w:r w:rsidR="001530D8">
        <w:t>making</w:t>
      </w:r>
      <w:r w:rsidR="009F7E97">
        <w:t xml:space="preserve"> the </w:t>
      </w:r>
      <w:r w:rsidR="001530D8">
        <w:t xml:space="preserve">changes outlined above to implement this </w:t>
      </w:r>
      <w:r w:rsidR="009F7E97">
        <w:t xml:space="preserve">change. </w:t>
      </w:r>
      <w:r w:rsidR="00F22DB0">
        <w:t xml:space="preserve">However, given the role of DSPs </w:t>
      </w:r>
      <w:r w:rsidR="00926858">
        <w:t xml:space="preserve">is </w:t>
      </w:r>
      <w:r w:rsidR="00F22DB0">
        <w:t xml:space="preserve">to provide software that allows employers to meet their legal payroll and reporting obligations, they are regularly required to update their processes and platforms for regulatory change in line with their market function. </w:t>
      </w:r>
    </w:p>
    <w:p w14:paraId="36C90EE1" w14:textId="3153563E" w:rsidR="003D6FAC" w:rsidRDefault="003D6FAC" w:rsidP="001842F1">
      <w:pPr>
        <w:pStyle w:val="Heading4"/>
      </w:pPr>
      <w:r w:rsidRPr="003D6FAC">
        <w:t>Superannuation funds</w:t>
      </w:r>
    </w:p>
    <w:p w14:paraId="2D15FE77" w14:textId="7CB1D060" w:rsidR="008547D0" w:rsidRDefault="009E4EAA" w:rsidP="00A531D4">
      <w:r w:rsidRPr="00865576">
        <w:t>Under this option, superannuation funds will need to process a higher volume and more frequent SG contributions to member</w:t>
      </w:r>
      <w:r w:rsidR="00793848">
        <w:t>’</w:t>
      </w:r>
      <w:r w:rsidRPr="00865576">
        <w:t xml:space="preserve">s accounts. </w:t>
      </w:r>
      <w:r w:rsidR="004A5A6F">
        <w:t>Currently</w:t>
      </w:r>
      <w:r w:rsidR="008A2527">
        <w:t>,</w:t>
      </w:r>
      <w:r w:rsidR="004A5A6F">
        <w:t xml:space="preserve"> once a fund receives a </w:t>
      </w:r>
      <w:r w:rsidR="0085061D">
        <w:t>contribution</w:t>
      </w:r>
      <w:r w:rsidR="004A5A6F">
        <w:t xml:space="preserve"> they</w:t>
      </w:r>
      <w:r w:rsidR="004A5A6F" w:rsidRPr="004A5A6F">
        <w:t xml:space="preserve"> match </w:t>
      </w:r>
      <w:r w:rsidR="008F0BE4">
        <w:t xml:space="preserve">the </w:t>
      </w:r>
      <w:r w:rsidR="004A5A6F" w:rsidRPr="004A5A6F">
        <w:t xml:space="preserve">payment with </w:t>
      </w:r>
      <w:r w:rsidR="008F0BE4">
        <w:t>internal</w:t>
      </w:r>
      <w:r w:rsidR="008F0BE4" w:rsidRPr="004A5A6F">
        <w:t xml:space="preserve"> </w:t>
      </w:r>
      <w:r w:rsidR="004A5A6F" w:rsidRPr="004A5A6F">
        <w:t xml:space="preserve">data to allocate </w:t>
      </w:r>
      <w:r w:rsidR="008F0BE4">
        <w:t xml:space="preserve">amounts to </w:t>
      </w:r>
      <w:r w:rsidR="004A5A6F" w:rsidRPr="004A5A6F">
        <w:t xml:space="preserve">a members account which can </w:t>
      </w:r>
      <w:r w:rsidR="0010023A">
        <w:t>take</w:t>
      </w:r>
      <w:r w:rsidR="004A5A6F" w:rsidRPr="004A5A6F">
        <w:t xml:space="preserve"> 1 </w:t>
      </w:r>
      <w:r w:rsidR="0010023A">
        <w:t>to</w:t>
      </w:r>
      <w:r w:rsidR="004A5A6F" w:rsidRPr="004A5A6F">
        <w:t xml:space="preserve"> 3 days. </w:t>
      </w:r>
      <w:r w:rsidR="0010023A">
        <w:t xml:space="preserve">Funds </w:t>
      </w:r>
      <w:r w:rsidR="004A5A6F" w:rsidRPr="004A5A6F">
        <w:t xml:space="preserve">rely on a feed of data from their bank, normally daily, to identify and match payments to </w:t>
      </w:r>
      <w:r w:rsidR="00DB4363">
        <w:t xml:space="preserve">their internal </w:t>
      </w:r>
      <w:r w:rsidR="004A5A6F" w:rsidRPr="004A5A6F">
        <w:t>data (by SuperStream Payment Reference Numbers). Where it cannot be matched, or there are errors in the contributions data, it may take up to 28 days from when the fund receives the payment before it may be returned to the employer.</w:t>
      </w:r>
    </w:p>
    <w:p w14:paraId="19CC302F" w14:textId="3482C415" w:rsidR="003654B6" w:rsidRPr="00865576" w:rsidRDefault="00DA29E6" w:rsidP="00A531D4">
      <w:r w:rsidRPr="00865576">
        <w:t xml:space="preserve">There will need to be updates to </w:t>
      </w:r>
      <w:r w:rsidR="00C60019">
        <w:t>superannuation fund</w:t>
      </w:r>
      <w:r w:rsidR="00C60019" w:rsidRPr="00865576">
        <w:t xml:space="preserve"> </w:t>
      </w:r>
      <w:r w:rsidRPr="00865576">
        <w:t xml:space="preserve">data and reporting systems, particularly required changes to </w:t>
      </w:r>
      <w:r w:rsidR="00B149AB">
        <w:t xml:space="preserve">the </w:t>
      </w:r>
      <w:r w:rsidRPr="00865576">
        <w:t xml:space="preserve">system </w:t>
      </w:r>
      <w:r w:rsidR="000A4097">
        <w:t xml:space="preserve">that flows </w:t>
      </w:r>
      <w:r w:rsidR="00394DAC">
        <w:t xml:space="preserve">superannuation contributions </w:t>
      </w:r>
      <w:r w:rsidR="000B503A">
        <w:t xml:space="preserve">information </w:t>
      </w:r>
      <w:r w:rsidRPr="00865576">
        <w:t>through to the ATO</w:t>
      </w:r>
      <w:r w:rsidR="00A22D71">
        <w:t xml:space="preserve"> via </w:t>
      </w:r>
      <w:r w:rsidR="0067625A">
        <w:t>MATS</w:t>
      </w:r>
      <w:r w:rsidRPr="00865576">
        <w:t xml:space="preserve">. </w:t>
      </w:r>
      <w:r w:rsidR="003654B6" w:rsidRPr="00865576">
        <w:t xml:space="preserve">Superannuation funds would be required to fund any implementation costs including potential updates to STP reporting and to the </w:t>
      </w:r>
      <w:r w:rsidR="00E42181">
        <w:t>S</w:t>
      </w:r>
      <w:r w:rsidR="003654B6" w:rsidRPr="00865576">
        <w:t xml:space="preserve">uperannuation </w:t>
      </w:r>
      <w:r w:rsidR="00E42181">
        <w:t>C</w:t>
      </w:r>
      <w:r w:rsidR="003654B6" w:rsidRPr="00865576">
        <w:t xml:space="preserve">ontributions </w:t>
      </w:r>
      <w:r w:rsidR="00E42181">
        <w:t>S</w:t>
      </w:r>
      <w:r w:rsidR="003654B6" w:rsidRPr="00865576">
        <w:t xml:space="preserve">tandard which specifies the data that accompanies contribution payments to funds. </w:t>
      </w:r>
    </w:p>
    <w:p w14:paraId="76D39983" w14:textId="77777777" w:rsidR="00BF3034" w:rsidRDefault="00BF3034" w:rsidP="001842F1">
      <w:pPr>
        <w:pStyle w:val="Heading4"/>
      </w:pPr>
      <w:r w:rsidRPr="00BF3034">
        <w:t>Superannuation clearing houses</w:t>
      </w:r>
    </w:p>
    <w:p w14:paraId="749F4D91" w14:textId="4C93F014" w:rsidR="00CE43E1" w:rsidRDefault="00DC1559" w:rsidP="00A531D4">
      <w:r>
        <w:t>The operations of s</w:t>
      </w:r>
      <w:r w:rsidR="00D87E42" w:rsidRPr="003C0DA8">
        <w:t xml:space="preserve">uperannuation clearing houses would be impacted by increasing frequency of payments, and adjustments </w:t>
      </w:r>
      <w:r w:rsidR="00160E7D">
        <w:t>to</w:t>
      </w:r>
      <w:r w:rsidR="00D87E42" w:rsidRPr="003C0DA8">
        <w:t xml:space="preserve"> the SG charge. </w:t>
      </w:r>
      <w:r w:rsidR="00626E1C" w:rsidRPr="003D7270">
        <w:t>The vast majority of employers us</w:t>
      </w:r>
      <w:r w:rsidR="0089147B">
        <w:t>e</w:t>
      </w:r>
      <w:r w:rsidR="00626E1C" w:rsidRPr="003D7270">
        <w:t xml:space="preserve"> a clearing house </w:t>
      </w:r>
      <w:r w:rsidR="00CE1E35">
        <w:t xml:space="preserve">to </w:t>
      </w:r>
      <w:r w:rsidR="00626E1C" w:rsidRPr="003D7270">
        <w:t xml:space="preserve">make </w:t>
      </w:r>
      <w:r w:rsidR="00CE1E35">
        <w:t xml:space="preserve">SuperStream </w:t>
      </w:r>
      <w:r w:rsidR="00626E1C" w:rsidRPr="003D7270">
        <w:t xml:space="preserve">compliant </w:t>
      </w:r>
      <w:r w:rsidR="005B2A22">
        <w:t xml:space="preserve">SG </w:t>
      </w:r>
      <w:r w:rsidR="00626E1C" w:rsidRPr="003D7270">
        <w:t xml:space="preserve">contributions. </w:t>
      </w:r>
      <w:r w:rsidR="00626E1C" w:rsidRPr="00B80C7C">
        <w:t xml:space="preserve">Formal reporting on the rate of compliant and non-compliant SuperStream contributions to APRA finished in 2019, with </w:t>
      </w:r>
      <w:r w:rsidR="00626E1C">
        <w:t xml:space="preserve">the </w:t>
      </w:r>
      <w:r w:rsidR="00626E1C" w:rsidRPr="00B80C7C">
        <w:t xml:space="preserve">rate of non-compliant contributions </w:t>
      </w:r>
      <w:r w:rsidR="00626E1C">
        <w:t>being</w:t>
      </w:r>
      <w:r w:rsidR="00626E1C" w:rsidRPr="00B80C7C">
        <w:t xml:space="preserve"> 2.5</w:t>
      </w:r>
      <w:r w:rsidR="00BA1968">
        <w:t xml:space="preserve"> per cent</w:t>
      </w:r>
      <w:r w:rsidR="00626E1C" w:rsidRPr="00B80C7C">
        <w:t>, approximately half of the SG gap.</w:t>
      </w:r>
      <w:r w:rsidR="00626E1C">
        <w:rPr>
          <w:rStyle w:val="FootnoteReference"/>
        </w:rPr>
        <w:footnoteReference w:id="50"/>
      </w:r>
      <w:r w:rsidR="00626E1C" w:rsidRPr="00B80C7C">
        <w:t xml:space="preserve"> </w:t>
      </w:r>
      <w:r w:rsidR="00626E1C">
        <w:t>E</w:t>
      </w:r>
      <w:r w:rsidR="00626E1C" w:rsidRPr="003D7270">
        <w:t>mployer</w:t>
      </w:r>
      <w:r w:rsidR="00626E1C">
        <w:t>s</w:t>
      </w:r>
      <w:r w:rsidR="00626E1C" w:rsidRPr="003D7270">
        <w:t xml:space="preserve"> may not engage with a clearing house directly as they </w:t>
      </w:r>
      <w:r w:rsidR="00872785">
        <w:t xml:space="preserve">may </w:t>
      </w:r>
      <w:r w:rsidR="00626E1C" w:rsidRPr="003D7270">
        <w:t xml:space="preserve">connect </w:t>
      </w:r>
      <w:r w:rsidR="00872785">
        <w:t xml:space="preserve">to one </w:t>
      </w:r>
      <w:r w:rsidR="00626E1C" w:rsidRPr="003D7270">
        <w:t>through their payroll software</w:t>
      </w:r>
      <w:r w:rsidR="00AF78A2">
        <w:t xml:space="preserve">. Employers may also be </w:t>
      </w:r>
      <w:r w:rsidR="00626E1C" w:rsidRPr="003D7270">
        <w:t xml:space="preserve">using a portal </w:t>
      </w:r>
      <w:r w:rsidR="00AF78A2">
        <w:t>operated by a superannuation</w:t>
      </w:r>
      <w:r w:rsidR="00626E1C" w:rsidRPr="003D7270">
        <w:t xml:space="preserve"> fund or payroll providers partnered with </w:t>
      </w:r>
      <w:r w:rsidR="00AF78A2">
        <w:t>a</w:t>
      </w:r>
      <w:r w:rsidR="00626E1C" w:rsidRPr="003D7270">
        <w:t xml:space="preserve"> clearing house. </w:t>
      </w:r>
    </w:p>
    <w:p w14:paraId="1C42EC78" w14:textId="17ECB898" w:rsidR="00420D5B" w:rsidRDefault="009534C2" w:rsidP="00A531D4">
      <w:r>
        <w:t xml:space="preserve">There are currently </w:t>
      </w:r>
      <w:r w:rsidR="00683EB5">
        <w:t>7</w:t>
      </w:r>
      <w:r w:rsidR="00C40C42">
        <w:t xml:space="preserve"> commercial clearing houses </w:t>
      </w:r>
      <w:r w:rsidR="00672DF7">
        <w:t>offering i</w:t>
      </w:r>
      <w:r w:rsidR="00672DF7" w:rsidRPr="00BE36D8">
        <w:t>ntegrated data and payment clearing solution</w:t>
      </w:r>
      <w:r w:rsidR="00672DF7">
        <w:t xml:space="preserve">s </w:t>
      </w:r>
      <w:r w:rsidR="00C40C42">
        <w:t>which</w:t>
      </w:r>
      <w:r w:rsidR="00C40C42" w:rsidRPr="00246601">
        <w:t xml:space="preserve"> meet</w:t>
      </w:r>
      <w:r w:rsidR="00C40C42">
        <w:t xml:space="preserve"> the ATO’s</w:t>
      </w:r>
      <w:r w:rsidR="00C40C42" w:rsidRPr="00246601">
        <w:t xml:space="preserve"> SuperStream requirements</w:t>
      </w:r>
      <w:r w:rsidR="00C40C42">
        <w:t>.</w:t>
      </w:r>
      <w:r w:rsidR="00C40C42">
        <w:rPr>
          <w:rStyle w:val="FootnoteReference"/>
        </w:rPr>
        <w:footnoteReference w:id="51"/>
      </w:r>
      <w:r w:rsidR="00672DF7">
        <w:t xml:space="preserve"> </w:t>
      </w:r>
      <w:r w:rsidR="0071000F">
        <w:t>Some of t</w:t>
      </w:r>
      <w:r w:rsidR="0018059E">
        <w:t>hese services are offered by major banks</w:t>
      </w:r>
      <w:r w:rsidR="0071000F">
        <w:t xml:space="preserve"> while others are </w:t>
      </w:r>
      <w:r w:rsidR="0032713A">
        <w:t>entities</w:t>
      </w:r>
      <w:r w:rsidR="003F780B">
        <w:t xml:space="preserve"> primarily</w:t>
      </w:r>
      <w:r w:rsidR="0032713A">
        <w:t xml:space="preserve"> or solely conducting</w:t>
      </w:r>
      <w:r w:rsidR="003F780B">
        <w:t xml:space="preserve"> </w:t>
      </w:r>
      <w:r w:rsidR="0032713A">
        <w:t>clearing house activities.</w:t>
      </w:r>
      <w:r w:rsidR="0071000F">
        <w:t xml:space="preserve"> </w:t>
      </w:r>
      <w:r w:rsidR="00611817">
        <w:t>Most of t</w:t>
      </w:r>
      <w:r w:rsidR="004C18D1">
        <w:t>hese services do not require employers to pay transaction fees for each payment.</w:t>
      </w:r>
      <w:r w:rsidR="00EB121D">
        <w:t xml:space="preserve"> </w:t>
      </w:r>
      <w:r w:rsidR="00AC62FB">
        <w:t xml:space="preserve">These </w:t>
      </w:r>
      <w:r w:rsidR="00F45B09">
        <w:t xml:space="preserve">clearing houses advise maximum processing times for employer contributions of between 2 and </w:t>
      </w:r>
      <w:r w:rsidR="00C86040">
        <w:t>5</w:t>
      </w:r>
      <w:r w:rsidR="00F45B09">
        <w:t xml:space="preserve"> days.</w:t>
      </w:r>
      <w:r w:rsidR="001B4B23">
        <w:rPr>
          <w:rStyle w:val="FootnoteReference"/>
        </w:rPr>
        <w:footnoteReference w:id="52"/>
      </w:r>
      <w:r w:rsidR="00420D5B">
        <w:t xml:space="preserve"> </w:t>
      </w:r>
    </w:p>
    <w:p w14:paraId="7F3B47CA" w14:textId="34C7948F" w:rsidR="009534C2" w:rsidRDefault="00420D5B" w:rsidP="00A531D4">
      <w:r>
        <w:t>Employers with 19 or fewer employees</w:t>
      </w:r>
      <w:r w:rsidR="00A1355E">
        <w:t>, or an annual aggregated turn</w:t>
      </w:r>
      <w:r w:rsidR="005B0CEA">
        <w:t>over of less than $10 million,</w:t>
      </w:r>
      <w:r>
        <w:t xml:space="preserve"> can access the </w:t>
      </w:r>
      <w:r w:rsidR="00FB65DF">
        <w:t xml:space="preserve">free ATO’s </w:t>
      </w:r>
      <w:r w:rsidR="002519EE">
        <w:t xml:space="preserve">Small Business Superannuation Clearing House </w:t>
      </w:r>
      <w:r>
        <w:t>service.</w:t>
      </w:r>
      <w:r w:rsidR="00FB65DF">
        <w:t xml:space="preserve"> </w:t>
      </w:r>
      <w:r w:rsidR="002519EE">
        <w:t xml:space="preserve">Around </w:t>
      </w:r>
      <w:r w:rsidR="00F15984">
        <w:t>26</w:t>
      </w:r>
      <w:r w:rsidR="002519EE">
        <w:t xml:space="preserve">0,000 employers made payments through the Small Business Superannuation Clearing House in </w:t>
      </w:r>
      <w:r w:rsidR="0032124C">
        <w:t xml:space="preserve">the </w:t>
      </w:r>
      <w:r w:rsidR="002519EE">
        <w:t>2021-22</w:t>
      </w:r>
      <w:r w:rsidR="0032124C">
        <w:t xml:space="preserve"> financial year</w:t>
      </w:r>
      <w:r w:rsidR="00DF08CC">
        <w:t xml:space="preserve">, </w:t>
      </w:r>
      <w:r w:rsidR="00F706D8">
        <w:t xml:space="preserve">67 per cent of which </w:t>
      </w:r>
      <w:r w:rsidR="0053382F">
        <w:t>had fewer than 5 employees</w:t>
      </w:r>
      <w:r w:rsidR="00036855">
        <w:t>.</w:t>
      </w:r>
      <w:r w:rsidR="0053382F">
        <w:rPr>
          <w:rStyle w:val="FootnoteReference"/>
        </w:rPr>
        <w:footnoteReference w:id="53"/>
      </w:r>
    </w:p>
    <w:p w14:paraId="5ACF8132" w14:textId="35627FD2" w:rsidR="00AF6955" w:rsidRDefault="00F84305" w:rsidP="00A531D4">
      <w:r>
        <w:t>Payment by employers to clearing houses can be via BPAY</w:t>
      </w:r>
      <w:r w:rsidR="0074750A">
        <w:t xml:space="preserve"> or el</w:t>
      </w:r>
      <w:r w:rsidR="00AE7A60">
        <w:t>ectronic funds trans</w:t>
      </w:r>
      <w:r w:rsidR="00F503E3">
        <w:t>f</w:t>
      </w:r>
      <w:r w:rsidR="00AE7A60">
        <w:t>er</w:t>
      </w:r>
      <w:r w:rsidR="0074750A">
        <w:t xml:space="preserve"> </w:t>
      </w:r>
      <w:r w:rsidR="00AE7A60">
        <w:t>(</w:t>
      </w:r>
      <w:r>
        <w:t>EFT</w:t>
      </w:r>
      <w:r w:rsidR="00AE7A60">
        <w:t>)</w:t>
      </w:r>
      <w:r>
        <w:t xml:space="preserve"> in most cases</w:t>
      </w:r>
      <w:r w:rsidR="00261BA0">
        <w:t>,</w:t>
      </w:r>
      <w:r>
        <w:t xml:space="preserve"> </w:t>
      </w:r>
      <w:r w:rsidR="00F503E3">
        <w:t>with</w:t>
      </w:r>
      <w:r>
        <w:t xml:space="preserve"> some clearing houses </w:t>
      </w:r>
      <w:r w:rsidR="00F503E3">
        <w:t xml:space="preserve">also </w:t>
      </w:r>
      <w:r>
        <w:t>allow</w:t>
      </w:r>
      <w:r w:rsidR="00F503E3">
        <w:t>ing</w:t>
      </w:r>
      <w:r>
        <w:t xml:space="preserve"> direct debit </w:t>
      </w:r>
      <w:r w:rsidR="0058266B">
        <w:t>and</w:t>
      </w:r>
      <w:r>
        <w:t xml:space="preserve"> credit card payments. Once the funds have cleared in the clearing house</w:t>
      </w:r>
      <w:r w:rsidR="00F9495A">
        <w:t>’</w:t>
      </w:r>
      <w:r>
        <w:t>s account, it is then matched to the employer</w:t>
      </w:r>
      <w:r w:rsidR="007368A0">
        <w:t>’</w:t>
      </w:r>
      <w:r>
        <w:t>s payment. The clearing house then disperse</w:t>
      </w:r>
      <w:r w:rsidR="004C003B">
        <w:t>s</w:t>
      </w:r>
      <w:r>
        <w:t xml:space="preserve"> the relevant amounts and data to the various funds for each employe</w:t>
      </w:r>
      <w:r w:rsidR="00ED39F9">
        <w:t>e</w:t>
      </w:r>
      <w:r>
        <w:t>, with payments made by EFT Direct Credit.</w:t>
      </w:r>
      <w:r w:rsidR="003B7ECC">
        <w:t xml:space="preserve"> </w:t>
      </w:r>
    </w:p>
    <w:p w14:paraId="04BEE9BE" w14:textId="72957777" w:rsidR="00D87E42" w:rsidRPr="003C0DA8" w:rsidRDefault="00D87E42" w:rsidP="00A531D4">
      <w:r w:rsidRPr="003C0DA8">
        <w:t xml:space="preserve">The institutions managing these services may need to upgrade their systems </w:t>
      </w:r>
      <w:r w:rsidR="003A2D67">
        <w:t xml:space="preserve">to reduce the time taken to process payments </w:t>
      </w:r>
      <w:r w:rsidRPr="003C0DA8">
        <w:t>to enable their clients (employers) to be compliant with the new regulations.</w:t>
      </w:r>
      <w:r w:rsidR="009D542C" w:rsidRPr="009D542C">
        <w:t xml:space="preserve"> </w:t>
      </w:r>
      <w:r w:rsidR="003A42C5">
        <w:t>Otherwise, employers may incur SG charge if amounts are not received by superannuation</w:t>
      </w:r>
      <w:r w:rsidR="003A42C5" w:rsidRPr="009D542C">
        <w:t xml:space="preserve"> </w:t>
      </w:r>
      <w:r w:rsidR="00006C4A">
        <w:t xml:space="preserve">funds within required timeframes. </w:t>
      </w:r>
      <w:r w:rsidR="00E62562">
        <w:t>Clearing houses may need to consider moving to faster</w:t>
      </w:r>
      <w:r w:rsidR="00C47C27">
        <w:t xml:space="preserve"> payment systems to reduce their processing and payment</w:t>
      </w:r>
      <w:r w:rsidR="000100AA">
        <w:t xml:space="preserve"> times. These operations may need to migrate to</w:t>
      </w:r>
      <w:r w:rsidR="00592755">
        <w:t xml:space="preserve"> real-tim</w:t>
      </w:r>
      <w:r w:rsidR="00BA2EC0">
        <w:t>e</w:t>
      </w:r>
      <w:r w:rsidR="003A42CA">
        <w:t xml:space="preserve"> </w:t>
      </w:r>
      <w:r w:rsidR="00464991">
        <w:t xml:space="preserve">New Payments Platform </w:t>
      </w:r>
      <w:r w:rsidR="00592755">
        <w:t>services</w:t>
      </w:r>
      <w:r w:rsidR="000100AA">
        <w:t xml:space="preserve"> currently operating for </w:t>
      </w:r>
      <w:r w:rsidR="005F6656">
        <w:t>payments between consumers and busines</w:t>
      </w:r>
      <w:r w:rsidR="00C848A2">
        <w:t>ses through services</w:t>
      </w:r>
      <w:r w:rsidR="00592755">
        <w:t xml:space="preserve"> such as </w:t>
      </w:r>
      <w:r w:rsidR="009513A6">
        <w:t>O</w:t>
      </w:r>
      <w:r w:rsidR="00C93E1C">
        <w:t>sko</w:t>
      </w:r>
      <w:r w:rsidR="009513A6">
        <w:t>.</w:t>
      </w:r>
      <w:r w:rsidR="009A3CC3">
        <w:rPr>
          <w:rStyle w:val="FootnoteReference"/>
        </w:rPr>
        <w:footnoteReference w:id="54"/>
      </w:r>
      <w:r w:rsidR="001673EE">
        <w:t xml:space="preserve"> </w:t>
      </w:r>
      <w:r w:rsidR="00F401C8">
        <w:t>C</w:t>
      </w:r>
      <w:r w:rsidR="009D542C" w:rsidRPr="009D542C">
        <w:t xml:space="preserve">learing house </w:t>
      </w:r>
      <w:r w:rsidR="000871C4">
        <w:t>managers</w:t>
      </w:r>
      <w:r w:rsidR="00F401C8">
        <w:t xml:space="preserve"> </w:t>
      </w:r>
      <w:r w:rsidR="009D542C" w:rsidRPr="009D542C">
        <w:t xml:space="preserve">may </w:t>
      </w:r>
      <w:r w:rsidR="00F401C8">
        <w:t xml:space="preserve">also </w:t>
      </w:r>
      <w:r w:rsidR="009D542C" w:rsidRPr="009D542C">
        <w:t xml:space="preserve">be required to </w:t>
      </w:r>
      <w:r w:rsidR="00C93E1C">
        <w:t>improve the speed of their matching and allocation processes and their</w:t>
      </w:r>
      <w:r w:rsidR="00C93E1C" w:rsidRPr="009D542C">
        <w:t xml:space="preserve"> </w:t>
      </w:r>
      <w:r w:rsidR="009D542C" w:rsidRPr="009D542C">
        <w:t>update system capacity for increased</w:t>
      </w:r>
      <w:r w:rsidR="00F401C8">
        <w:t xml:space="preserve"> frequency of</w:t>
      </w:r>
      <w:r w:rsidR="009D542C" w:rsidRPr="009D542C">
        <w:t xml:space="preserve"> transactions.</w:t>
      </w:r>
      <w:r w:rsidR="00E20E2D">
        <w:t xml:space="preserve"> </w:t>
      </w:r>
    </w:p>
    <w:p w14:paraId="56B81B0A" w14:textId="6B1511A1" w:rsidR="00384CDE" w:rsidRDefault="006A67DD" w:rsidP="00A531D4">
      <w:r>
        <w:t>C</w:t>
      </w:r>
      <w:r w:rsidR="00D87E42" w:rsidRPr="003C0DA8">
        <w:t xml:space="preserve">learing houses </w:t>
      </w:r>
      <w:r w:rsidR="00527C8D">
        <w:t>may</w:t>
      </w:r>
      <w:r w:rsidR="00527C8D" w:rsidRPr="003C0DA8">
        <w:t xml:space="preserve"> </w:t>
      </w:r>
      <w:r w:rsidR="00D87E42" w:rsidRPr="003C0DA8">
        <w:t>be required to reduce the amount of time they hold employer superannuation contributions</w:t>
      </w:r>
      <w:r w:rsidR="00BE3000">
        <w:t xml:space="preserve">, </w:t>
      </w:r>
      <w:r w:rsidR="00BE3000" w:rsidRPr="003C0DA8">
        <w:t xml:space="preserve">potentially </w:t>
      </w:r>
      <w:r w:rsidR="00D87E42" w:rsidRPr="003C0DA8">
        <w:t>involv</w:t>
      </w:r>
      <w:r w:rsidR="00BE3000">
        <w:t>ing</w:t>
      </w:r>
      <w:r w:rsidR="00D87E42" w:rsidRPr="003C0DA8">
        <w:t xml:space="preserve"> changes to their operating revenue models. </w:t>
      </w:r>
      <w:r w:rsidR="00D85C5D">
        <w:t>S</w:t>
      </w:r>
      <w:r w:rsidR="00D87E42" w:rsidRPr="003C0DA8">
        <w:t xml:space="preserve">uperannuation clearing houses </w:t>
      </w:r>
      <w:r w:rsidR="00D85C5D">
        <w:t xml:space="preserve">may </w:t>
      </w:r>
      <w:r w:rsidR="00D87E42" w:rsidRPr="003C0DA8">
        <w:t xml:space="preserve">run on an investment model where, rather than charging fees to employers, contributions paid by employers are invested to earn returns before being transferred to the appropriate superannuation funds. </w:t>
      </w:r>
      <w:r w:rsidR="00E5375E">
        <w:t>Regulatory</w:t>
      </w:r>
      <w:r w:rsidR="00D87E42" w:rsidRPr="003C0DA8">
        <w:t xml:space="preserve"> costs </w:t>
      </w:r>
      <w:r w:rsidR="003D58CA">
        <w:t>and reduc</w:t>
      </w:r>
      <w:r w:rsidR="00155FD4">
        <w:t xml:space="preserve">tions </w:t>
      </w:r>
      <w:r w:rsidR="000C4937">
        <w:t>in</w:t>
      </w:r>
      <w:r w:rsidR="00155FD4">
        <w:t xml:space="preserve"> </w:t>
      </w:r>
      <w:r w:rsidR="003D58CA">
        <w:t xml:space="preserve">investment </w:t>
      </w:r>
      <w:r w:rsidR="00155FD4">
        <w:t xml:space="preserve">revenue </w:t>
      </w:r>
      <w:r w:rsidR="000C4937">
        <w:t xml:space="preserve">due to reduced holding times </w:t>
      </w:r>
      <w:r w:rsidR="00D87E42" w:rsidRPr="003C0DA8">
        <w:t>may be passed on to employers through higher service fees.</w:t>
      </w:r>
      <w:r w:rsidR="00E00F9D">
        <w:t xml:space="preserve"> </w:t>
      </w:r>
    </w:p>
    <w:p w14:paraId="6BE74DFE" w14:textId="48BAE539" w:rsidR="003C0DA8" w:rsidRPr="003C0DA8" w:rsidRDefault="00384CDE" w:rsidP="00A531D4">
      <w:r>
        <w:t>A</w:t>
      </w:r>
      <w:r w:rsidR="00F265F1">
        <w:t xml:space="preserve">dditional </w:t>
      </w:r>
      <w:r w:rsidR="007D3FC1">
        <w:t>service fees</w:t>
      </w:r>
      <w:r w:rsidR="00F265F1">
        <w:t xml:space="preserve"> </w:t>
      </w:r>
      <w:r w:rsidR="006850B2">
        <w:t>charged to</w:t>
      </w:r>
      <w:r w:rsidR="009977DF">
        <w:t xml:space="preserve"> employers </w:t>
      </w:r>
      <w:r w:rsidR="00EB121D">
        <w:t xml:space="preserve">would be </w:t>
      </w:r>
      <w:r w:rsidR="00C43944">
        <w:t>lessened</w:t>
      </w:r>
      <w:r w:rsidR="00F265F1">
        <w:t xml:space="preserve"> </w:t>
      </w:r>
      <w:r w:rsidR="004A3FC3">
        <w:t xml:space="preserve">for smaller </w:t>
      </w:r>
      <w:r w:rsidR="0089223E">
        <w:t xml:space="preserve">employers </w:t>
      </w:r>
      <w:r w:rsidR="00F265F1">
        <w:t xml:space="preserve">by the availability of the Small Business </w:t>
      </w:r>
      <w:r w:rsidR="00E05C49">
        <w:t xml:space="preserve">Superannuation Clearing House. </w:t>
      </w:r>
      <w:r w:rsidR="00197B73">
        <w:t xml:space="preserve">Currently, 94 per cent of employers have </w:t>
      </w:r>
      <w:r w:rsidR="000A102E">
        <w:t>less than 20 employees</w:t>
      </w:r>
      <w:r w:rsidR="0023320E">
        <w:rPr>
          <w:rStyle w:val="FootnoteReference"/>
        </w:rPr>
        <w:footnoteReference w:id="55"/>
      </w:r>
      <w:r w:rsidR="000A102E">
        <w:t xml:space="preserve"> and therefore would be able to utilise this service and avoid </w:t>
      </w:r>
      <w:r w:rsidR="0023320E">
        <w:t>any additional fees.</w:t>
      </w:r>
      <w:r w:rsidR="00140026">
        <w:t xml:space="preserve"> </w:t>
      </w:r>
      <w:r w:rsidR="007E55C6">
        <w:t>M</w:t>
      </w:r>
      <w:r w:rsidR="008F1CB8">
        <w:t xml:space="preserve">any employers are </w:t>
      </w:r>
      <w:r w:rsidR="005D432B">
        <w:t xml:space="preserve">also </w:t>
      </w:r>
      <w:r w:rsidR="008F1CB8">
        <w:t>offered free clearing house services through their default fund</w:t>
      </w:r>
      <w:r w:rsidR="005D432B">
        <w:t>,</w:t>
      </w:r>
      <w:r w:rsidR="00303AF8">
        <w:t xml:space="preserve"> </w:t>
      </w:r>
      <w:r w:rsidR="00DE1C8B">
        <w:t xml:space="preserve">which </w:t>
      </w:r>
      <w:r w:rsidR="00303AF8">
        <w:t>c</w:t>
      </w:r>
      <w:r w:rsidR="005D432B">
        <w:t>ould</w:t>
      </w:r>
      <w:r w:rsidR="00303AF8">
        <w:t xml:space="preserve"> be another way to avoid additional fees.</w:t>
      </w:r>
      <w:r w:rsidR="008F1CB8">
        <w:t xml:space="preserve"> </w:t>
      </w:r>
    </w:p>
    <w:p w14:paraId="1B3580CE" w14:textId="77777777" w:rsidR="004821D1" w:rsidRDefault="009E3766" w:rsidP="007E40BC">
      <w:pPr>
        <w:pStyle w:val="Bullet"/>
        <w:numPr>
          <w:ilvl w:val="0"/>
          <w:numId w:val="0"/>
        </w:numPr>
      </w:pPr>
      <w:r w:rsidRPr="003C0DA8">
        <w:t>To avoid any adverse outcomes, t</w:t>
      </w:r>
      <w:r w:rsidR="00D87E42" w:rsidRPr="003C0DA8">
        <w:t>here may need to be a higher level of regulation placed on clearing houses to protect the interests of employers in maintaining compliance with the reforms.</w:t>
      </w:r>
      <w:r w:rsidR="00AF0FA6" w:rsidRPr="00576514">
        <w:t xml:space="preserve"> </w:t>
      </w:r>
    </w:p>
    <w:p w14:paraId="6291185B" w14:textId="7E6F9F0C" w:rsidR="007E40BC" w:rsidRDefault="007E40BC" w:rsidP="007E40BC">
      <w:pPr>
        <w:pStyle w:val="Bullet"/>
        <w:numPr>
          <w:ilvl w:val="0"/>
          <w:numId w:val="0"/>
        </w:numPr>
      </w:pPr>
      <w:r>
        <w:t>Given the</w:t>
      </w:r>
      <w:r w:rsidRPr="001944FA">
        <w:t xml:space="preserve"> </w:t>
      </w:r>
      <w:r w:rsidR="003E3BE3">
        <w:t>impost</w:t>
      </w:r>
      <w:r>
        <w:t xml:space="preserve"> </w:t>
      </w:r>
      <w:r w:rsidR="003E3BE3">
        <w:t>on</w:t>
      </w:r>
      <w:r w:rsidRPr="001944FA">
        <w:t xml:space="preserve"> clearing houses </w:t>
      </w:r>
      <w:r>
        <w:t xml:space="preserve">that will be required </w:t>
      </w:r>
      <w:r w:rsidRPr="001944FA">
        <w:t xml:space="preserve">to </w:t>
      </w:r>
      <w:r>
        <w:t>implement</w:t>
      </w:r>
      <w:r w:rsidRPr="001944FA">
        <w:t xml:space="preserve"> </w:t>
      </w:r>
      <w:r>
        <w:t>Option 3, c</w:t>
      </w:r>
      <w:r w:rsidRPr="001944FA">
        <w:t xml:space="preserve">lose collaboration and engagement with these stakeholders </w:t>
      </w:r>
      <w:r>
        <w:t>would be</w:t>
      </w:r>
      <w:r w:rsidRPr="001944FA">
        <w:t xml:space="preserve"> essential </w:t>
      </w:r>
      <w:r>
        <w:t>in finalising the design of changes</w:t>
      </w:r>
      <w:r w:rsidR="004A17E7">
        <w:t xml:space="preserve"> to the </w:t>
      </w:r>
      <w:r w:rsidR="006918C1">
        <w:t xml:space="preserve">frequency of SG payments, </w:t>
      </w:r>
      <w:r w:rsidR="00C33EF3">
        <w:t>payment</w:t>
      </w:r>
      <w:r w:rsidR="006918C1">
        <w:t xml:space="preserve"> </w:t>
      </w:r>
      <w:r w:rsidR="00C33EF3">
        <w:t>timeframes</w:t>
      </w:r>
      <w:r w:rsidR="006918C1">
        <w:t xml:space="preserve"> and the operation of the SG charge</w:t>
      </w:r>
      <w:r>
        <w:t>.</w:t>
      </w:r>
      <w:r w:rsidR="003E3BE3">
        <w:t xml:space="preserve"> The </w:t>
      </w:r>
      <w:r w:rsidR="00A319BD">
        <w:t xml:space="preserve">post-decision </w:t>
      </w:r>
      <w:r w:rsidR="003E3BE3">
        <w:t>consultation strategy is outlined in Section 5.</w:t>
      </w:r>
    </w:p>
    <w:p w14:paraId="2C363939" w14:textId="74FD6354" w:rsidR="00AF0FA6" w:rsidRDefault="00AF0FA6" w:rsidP="00A531D4">
      <w:r w:rsidRPr="00181632">
        <w:t xml:space="preserve">The ATO does not have direct visibility of transactions made through clearing houses, and there is no regulation mandating the time in which payments should be processed. While this market is largely unregulated, most clearing houses process payments within three business days. Additionally, with the introduction of the New Payment Platform, delays in transfers are expected to continue to decrease. </w:t>
      </w:r>
    </w:p>
    <w:p w14:paraId="0CD6F2D4" w14:textId="77777777" w:rsidR="003D5DE6" w:rsidRDefault="003D5DE6" w:rsidP="000C16AF">
      <w:pPr>
        <w:pStyle w:val="Heading4"/>
      </w:pPr>
      <w:r w:rsidRPr="003D5DE6">
        <w:t xml:space="preserve">Other financial intermediaries </w:t>
      </w:r>
    </w:p>
    <w:p w14:paraId="45BD0378" w14:textId="5BCCEA2D" w:rsidR="004903CD" w:rsidRDefault="003D5DE6" w:rsidP="00A531D4">
      <w:r w:rsidRPr="00862365">
        <w:t>Financial intermediaries</w:t>
      </w:r>
      <w:r w:rsidR="00540B77">
        <w:t>,</w:t>
      </w:r>
      <w:r w:rsidRPr="00862365">
        <w:t xml:space="preserve"> such as banks, which process SG contribution payments between employers and superannuation funds (and other intermediaries) may also need to invest in changes </w:t>
      </w:r>
      <w:r w:rsidR="00540B77">
        <w:t xml:space="preserve">to </w:t>
      </w:r>
      <w:r w:rsidRPr="00862365">
        <w:t>adjust to a higher frequency of superannuation contribution transactions.</w:t>
      </w:r>
      <w:r w:rsidR="00E24831" w:rsidRPr="00862365">
        <w:t xml:space="preserve"> However, these i</w:t>
      </w:r>
      <w:r w:rsidR="00004386" w:rsidRPr="00862365">
        <w:t>mpacts on other financial</w:t>
      </w:r>
      <w:r w:rsidR="00765EB2">
        <w:t xml:space="preserve"> </w:t>
      </w:r>
      <w:r w:rsidR="00765EB2" w:rsidRPr="00862365">
        <w:t>intermediaries</w:t>
      </w:r>
      <w:r w:rsidR="00765EB2" w:rsidDel="00765EB2">
        <w:t xml:space="preserve"> </w:t>
      </w:r>
      <w:r w:rsidR="00862365" w:rsidRPr="00862365">
        <w:t>are</w:t>
      </w:r>
      <w:r w:rsidR="00004386" w:rsidRPr="00862365">
        <w:t xml:space="preserve"> likely to be minimal given the </w:t>
      </w:r>
      <w:r w:rsidR="00862365" w:rsidRPr="00862365">
        <w:t>small</w:t>
      </w:r>
      <w:r w:rsidR="00004386" w:rsidRPr="00862365">
        <w:t xml:space="preserve"> scale of SG payments in comparison to </w:t>
      </w:r>
      <w:r w:rsidR="00862365" w:rsidRPr="00862365">
        <w:t>the high</w:t>
      </w:r>
      <w:r w:rsidR="00004386" w:rsidRPr="00862365">
        <w:t xml:space="preserve"> volume of day-to-day transactions they facilitate.</w:t>
      </w:r>
    </w:p>
    <w:p w14:paraId="72C83C4B" w14:textId="63B60BED" w:rsidR="00830023" w:rsidRDefault="00830023" w:rsidP="00946C3B">
      <w:pPr>
        <w:pStyle w:val="Heading4"/>
      </w:pPr>
      <w:r>
        <w:t>Summary</w:t>
      </w:r>
    </w:p>
    <w:p w14:paraId="00F77BE3" w14:textId="4143A68D" w:rsidR="00830023" w:rsidRPr="00862365" w:rsidRDefault="00830023" w:rsidP="00A531D4">
      <w:r>
        <w:t xml:space="preserve">The </w:t>
      </w:r>
      <w:r w:rsidR="00815582">
        <w:t xml:space="preserve">estimated average </w:t>
      </w:r>
      <w:r>
        <w:t>regulatory impacts</w:t>
      </w:r>
      <w:r w:rsidR="00815582">
        <w:t xml:space="preserve"> over the next 10 years are</w:t>
      </w:r>
      <w:r>
        <w:t xml:space="preserve"> summarised in Table 12. Further assumptions on regulatory costs can be found in </w:t>
      </w:r>
      <w:r>
        <w:rPr>
          <w:i/>
          <w:iCs/>
        </w:rPr>
        <w:t>Appendix C – Calculation of Regulatory Costs.</w:t>
      </w:r>
    </w:p>
    <w:p w14:paraId="7B57DD94" w14:textId="6D56ED01" w:rsidR="00D741C9" w:rsidRDefault="00D741C9" w:rsidP="00D741C9">
      <w:pPr>
        <w:pStyle w:val="Caption"/>
      </w:pPr>
      <w:r w:rsidRPr="004366AE">
        <w:t xml:space="preserve">Table </w:t>
      </w:r>
      <w:r>
        <w:t>12</w:t>
      </w:r>
      <w:r w:rsidRPr="004366AE">
        <w:t xml:space="preserve">. </w:t>
      </w:r>
      <w:r>
        <w:t>Regulatory burden estimate (RBE) ($</w:t>
      </w:r>
      <w:r w:rsidR="009F19AC">
        <w:t xml:space="preserve"> </w:t>
      </w:r>
      <w:r>
        <w:t>million)</w:t>
      </w:r>
    </w:p>
    <w:tbl>
      <w:tblPr>
        <w:tblStyle w:val="PMCTableStyle2"/>
        <w:tblW w:w="0" w:type="auto"/>
        <w:jc w:val="center"/>
        <w:tblLook w:val="0660" w:firstRow="1" w:lastRow="1" w:firstColumn="0" w:lastColumn="0" w:noHBand="1" w:noVBand="1"/>
      </w:tblPr>
      <w:tblGrid>
        <w:gridCol w:w="2525"/>
        <w:gridCol w:w="1381"/>
        <w:gridCol w:w="1587"/>
        <w:gridCol w:w="2589"/>
        <w:gridCol w:w="2112"/>
      </w:tblGrid>
      <w:tr w:rsidR="001C1CFF" w:rsidRPr="00D741C9" w14:paraId="02923C3A" w14:textId="77777777" w:rsidTr="00946C3B">
        <w:trPr>
          <w:cnfStyle w:val="100000000000" w:firstRow="1" w:lastRow="0" w:firstColumn="0" w:lastColumn="0" w:oddVBand="0" w:evenVBand="0" w:oddHBand="0" w:evenHBand="0" w:firstRowFirstColumn="0" w:firstRowLastColumn="0" w:lastRowFirstColumn="0" w:lastRowLastColumn="0"/>
          <w:trHeight w:val="350"/>
          <w:jc w:val="center"/>
        </w:trPr>
        <w:tc>
          <w:tcPr>
            <w:tcW w:w="10194" w:type="dxa"/>
            <w:gridSpan w:val="5"/>
          </w:tcPr>
          <w:p w14:paraId="58C58BD1" w14:textId="723ABC0D" w:rsidR="0012549C" w:rsidRPr="00D741C9" w:rsidRDefault="0012549C" w:rsidP="00360181">
            <w:pPr>
              <w:pStyle w:val="TableHeading"/>
            </w:pPr>
            <w:r w:rsidRPr="00D741C9">
              <w:t>Average annual regulatory costs</w:t>
            </w:r>
            <w:r w:rsidR="000D2192">
              <w:t xml:space="preserve"> over the next 10 years</w:t>
            </w:r>
          </w:p>
        </w:tc>
      </w:tr>
      <w:tr w:rsidR="00B374F4" w:rsidRPr="00D741C9" w14:paraId="16B071F1" w14:textId="77777777" w:rsidTr="00946C3B">
        <w:trPr>
          <w:trHeight w:val="350"/>
          <w:jc w:val="center"/>
        </w:trPr>
        <w:tc>
          <w:tcPr>
            <w:tcW w:w="2536" w:type="dxa"/>
          </w:tcPr>
          <w:p w14:paraId="4AC9566C" w14:textId="5F40A427" w:rsidR="0012549C" w:rsidRPr="00946C3B" w:rsidRDefault="0012549C" w:rsidP="00360181">
            <w:pPr>
              <w:pStyle w:val="TableBody"/>
              <w:rPr>
                <w:b/>
                <w:bCs/>
              </w:rPr>
            </w:pPr>
            <w:r w:rsidRPr="00946C3B">
              <w:rPr>
                <w:b/>
                <w:bCs/>
              </w:rPr>
              <w:t xml:space="preserve">Change in costs </w:t>
            </w:r>
          </w:p>
        </w:tc>
        <w:tc>
          <w:tcPr>
            <w:tcW w:w="1354" w:type="dxa"/>
          </w:tcPr>
          <w:p w14:paraId="290554B6" w14:textId="77777777" w:rsidR="0012549C" w:rsidRPr="00946C3B" w:rsidRDefault="0012549C" w:rsidP="00946C3B">
            <w:pPr>
              <w:pStyle w:val="TableBody"/>
              <w:jc w:val="both"/>
              <w:rPr>
                <w:b/>
                <w:bCs/>
              </w:rPr>
            </w:pPr>
            <w:r w:rsidRPr="00946C3B">
              <w:rPr>
                <w:b/>
                <w:bCs/>
              </w:rPr>
              <w:t>Individuals</w:t>
            </w:r>
          </w:p>
        </w:tc>
        <w:tc>
          <w:tcPr>
            <w:tcW w:w="1589" w:type="dxa"/>
          </w:tcPr>
          <w:p w14:paraId="4C8F9E09" w14:textId="77777777" w:rsidR="0012549C" w:rsidRPr="00946C3B" w:rsidRDefault="0012549C" w:rsidP="00946C3B">
            <w:pPr>
              <w:pStyle w:val="TableBullet"/>
              <w:numPr>
                <w:ilvl w:val="0"/>
                <w:numId w:val="0"/>
              </w:numPr>
              <w:ind w:left="284" w:hanging="284"/>
              <w:jc w:val="both"/>
              <w:rPr>
                <w:b/>
                <w:bCs/>
              </w:rPr>
            </w:pPr>
            <w:r w:rsidRPr="00946C3B">
              <w:rPr>
                <w:b/>
                <w:bCs/>
              </w:rPr>
              <w:t xml:space="preserve">Business </w:t>
            </w:r>
          </w:p>
        </w:tc>
        <w:tc>
          <w:tcPr>
            <w:tcW w:w="2596" w:type="dxa"/>
          </w:tcPr>
          <w:p w14:paraId="3CAEA9E5" w14:textId="77777777" w:rsidR="0012549C" w:rsidRPr="00946C3B" w:rsidRDefault="0012549C" w:rsidP="00946C3B">
            <w:pPr>
              <w:pStyle w:val="TableBody"/>
              <w:jc w:val="both"/>
              <w:rPr>
                <w:b/>
                <w:bCs/>
              </w:rPr>
            </w:pPr>
            <w:r w:rsidRPr="00946C3B">
              <w:rPr>
                <w:b/>
                <w:bCs/>
              </w:rPr>
              <w:t>Community organisations</w:t>
            </w:r>
          </w:p>
        </w:tc>
        <w:tc>
          <w:tcPr>
            <w:tcW w:w="2119" w:type="dxa"/>
          </w:tcPr>
          <w:p w14:paraId="13B87BE1" w14:textId="77777777" w:rsidR="0012549C" w:rsidRPr="009F19AC" w:rsidRDefault="0012549C" w:rsidP="00946C3B">
            <w:pPr>
              <w:pStyle w:val="TableNumbering"/>
              <w:numPr>
                <w:ilvl w:val="0"/>
                <w:numId w:val="0"/>
              </w:numPr>
              <w:jc w:val="both"/>
              <w:rPr>
                <w:b/>
                <w:bCs/>
              </w:rPr>
            </w:pPr>
            <w:r w:rsidRPr="009F19AC">
              <w:rPr>
                <w:b/>
                <w:bCs/>
              </w:rPr>
              <w:t>Total change in cost</w:t>
            </w:r>
          </w:p>
        </w:tc>
      </w:tr>
      <w:tr w:rsidR="00EA0F25" w:rsidRPr="00D741C9" w14:paraId="76711E2C" w14:textId="77777777" w:rsidTr="00946C3B">
        <w:trPr>
          <w:cnfStyle w:val="010000000000" w:firstRow="0" w:lastRow="1" w:firstColumn="0" w:lastColumn="0" w:oddVBand="0" w:evenVBand="0" w:oddHBand="0" w:evenHBand="0" w:firstRowFirstColumn="0" w:firstRowLastColumn="0" w:lastRowFirstColumn="0" w:lastRowLastColumn="0"/>
          <w:trHeight w:val="350"/>
          <w:jc w:val="center"/>
        </w:trPr>
        <w:tc>
          <w:tcPr>
            <w:tcW w:w="2536" w:type="dxa"/>
          </w:tcPr>
          <w:p w14:paraId="520E4691" w14:textId="77777777" w:rsidR="0012549C" w:rsidRPr="00D741C9" w:rsidRDefault="0012549C" w:rsidP="00360181">
            <w:pPr>
              <w:pStyle w:val="TableBody"/>
            </w:pPr>
            <w:r w:rsidRPr="00D741C9">
              <w:t>Total, by sector</w:t>
            </w:r>
          </w:p>
        </w:tc>
        <w:tc>
          <w:tcPr>
            <w:tcW w:w="1354" w:type="dxa"/>
          </w:tcPr>
          <w:p w14:paraId="08B60537" w14:textId="4DE643E9" w:rsidR="0012549C" w:rsidRPr="00D741C9" w:rsidRDefault="0012549C" w:rsidP="004C7D75">
            <w:pPr>
              <w:pStyle w:val="TableBody"/>
              <w:jc w:val="right"/>
              <w:rPr>
                <w:color w:val="262626" w:themeColor="text1" w:themeTint="D9"/>
              </w:rPr>
            </w:pPr>
            <w:r w:rsidRPr="00D741C9">
              <w:rPr>
                <w:color w:val="262626" w:themeColor="text1" w:themeTint="D9"/>
              </w:rPr>
              <w:t>(0.</w:t>
            </w:r>
            <w:r w:rsidR="00C87240">
              <w:rPr>
                <w:color w:val="262626" w:themeColor="text1" w:themeTint="D9"/>
              </w:rPr>
              <w:t>5</w:t>
            </w:r>
            <w:r w:rsidRPr="00D741C9">
              <w:rPr>
                <w:color w:val="262626" w:themeColor="text1" w:themeTint="D9"/>
              </w:rPr>
              <w:t>)</w:t>
            </w:r>
          </w:p>
        </w:tc>
        <w:tc>
          <w:tcPr>
            <w:tcW w:w="1589" w:type="dxa"/>
          </w:tcPr>
          <w:p w14:paraId="49F2CEF8" w14:textId="371B6982" w:rsidR="0012549C" w:rsidRPr="00D741C9" w:rsidRDefault="0012549C" w:rsidP="004C7D75">
            <w:pPr>
              <w:pStyle w:val="TableBullet"/>
              <w:numPr>
                <w:ilvl w:val="0"/>
                <w:numId w:val="0"/>
              </w:numPr>
              <w:ind w:left="284"/>
              <w:jc w:val="right"/>
            </w:pPr>
            <w:r w:rsidRPr="00D741C9">
              <w:t>13</w:t>
            </w:r>
            <w:r w:rsidR="00C13211">
              <w:t>6</w:t>
            </w:r>
            <w:r w:rsidRPr="00D741C9">
              <w:t>.</w:t>
            </w:r>
            <w:r w:rsidR="005067DB">
              <w:t>5</w:t>
            </w:r>
          </w:p>
        </w:tc>
        <w:tc>
          <w:tcPr>
            <w:tcW w:w="2596" w:type="dxa"/>
          </w:tcPr>
          <w:p w14:paraId="02FADE95" w14:textId="4C678249" w:rsidR="0012549C" w:rsidRPr="00D741C9" w:rsidRDefault="0012549C" w:rsidP="004C7D75">
            <w:pPr>
              <w:pStyle w:val="TableNumbering"/>
              <w:numPr>
                <w:ilvl w:val="0"/>
                <w:numId w:val="0"/>
              </w:numPr>
              <w:ind w:left="284" w:hanging="284"/>
              <w:jc w:val="right"/>
            </w:pPr>
            <w:r w:rsidRPr="00D741C9">
              <w:t>-</w:t>
            </w:r>
          </w:p>
        </w:tc>
        <w:tc>
          <w:tcPr>
            <w:tcW w:w="2119" w:type="dxa"/>
          </w:tcPr>
          <w:p w14:paraId="6D39AF7A" w14:textId="1726B600" w:rsidR="0012549C" w:rsidRPr="00D741C9" w:rsidRDefault="0012549C" w:rsidP="004C7D75">
            <w:pPr>
              <w:pStyle w:val="TableNumbering"/>
              <w:numPr>
                <w:ilvl w:val="0"/>
                <w:numId w:val="0"/>
              </w:numPr>
              <w:ind w:left="284" w:hanging="284"/>
              <w:jc w:val="right"/>
            </w:pPr>
            <w:r w:rsidRPr="00D741C9">
              <w:t>13</w:t>
            </w:r>
            <w:r w:rsidR="00D87FE3">
              <w:t>6</w:t>
            </w:r>
            <w:r w:rsidRPr="00D741C9">
              <w:t>.</w:t>
            </w:r>
            <w:r w:rsidR="00D87FE3">
              <w:t>0</w:t>
            </w:r>
          </w:p>
        </w:tc>
      </w:tr>
    </w:tbl>
    <w:p w14:paraId="1D98143A" w14:textId="7EBCD5EF" w:rsidR="00EF25D8" w:rsidRDefault="00EF25D8" w:rsidP="00831C62"/>
    <w:p w14:paraId="1882E6BA" w14:textId="03DFE2C1" w:rsidR="00CD5586" w:rsidRDefault="0012549C" w:rsidP="00CD5586">
      <w:pPr>
        <w:pStyle w:val="Heading3"/>
      </w:pPr>
      <w:bookmarkStart w:id="59" w:name="_Toc134198473"/>
      <w:r>
        <w:t>I</w:t>
      </w:r>
      <w:r w:rsidR="00CD5586">
        <w:t xml:space="preserve">mpact </w:t>
      </w:r>
      <w:r w:rsidR="00D31BC5">
        <w:t>5</w:t>
      </w:r>
      <w:r w:rsidR="00CD5586">
        <w:t xml:space="preserve">: </w:t>
      </w:r>
      <w:r w:rsidR="00251D7A">
        <w:t>Government expenditure</w:t>
      </w:r>
      <w:bookmarkEnd w:id="59"/>
    </w:p>
    <w:p w14:paraId="2B39957E" w14:textId="3C4B8BC5" w:rsidR="00FC3D9D" w:rsidRDefault="00FC3D9D" w:rsidP="00FC3D9D">
      <w:pPr>
        <w:pStyle w:val="Heading4"/>
      </w:pPr>
      <w:r>
        <w:t>Australian Taxation Office</w:t>
      </w:r>
    </w:p>
    <w:p w14:paraId="2722837C" w14:textId="77777777" w:rsidR="00433E8C" w:rsidRDefault="009A6CE8" w:rsidP="00F8070B">
      <w:pPr>
        <w:pStyle w:val="Bullet"/>
        <w:numPr>
          <w:ilvl w:val="0"/>
          <w:numId w:val="0"/>
        </w:numPr>
      </w:pPr>
      <w:r>
        <w:t>The ATO require funding to both design and implement this option</w:t>
      </w:r>
      <w:r w:rsidR="00D85E7E">
        <w:t>, including</w:t>
      </w:r>
      <w:r w:rsidR="0007005D">
        <w:t xml:space="preserve"> </w:t>
      </w:r>
      <w:r>
        <w:t>to</w:t>
      </w:r>
      <w:r w:rsidR="006F5D28">
        <w:t>:</w:t>
      </w:r>
    </w:p>
    <w:p w14:paraId="203928B9" w14:textId="6067A025" w:rsidR="00433E8C" w:rsidRDefault="003674F1" w:rsidP="00433E8C">
      <w:pPr>
        <w:pStyle w:val="Bullet"/>
      </w:pPr>
      <w:r>
        <w:t>C</w:t>
      </w:r>
      <w:r w:rsidR="009A6CE8">
        <w:t xml:space="preserve">onsult on the </w:t>
      </w:r>
      <w:r w:rsidR="009A6CE8" w:rsidRPr="009A6CE8">
        <w:t xml:space="preserve">changes to reporting </w:t>
      </w:r>
      <w:r w:rsidR="009A6CE8">
        <w:t xml:space="preserve">requirements for employers, DSPs, and </w:t>
      </w:r>
      <w:r w:rsidR="000657BA">
        <w:t>superannuation</w:t>
      </w:r>
      <w:r w:rsidR="009A6CE8">
        <w:t xml:space="preserve"> funds</w:t>
      </w:r>
      <w:r>
        <w:t>.</w:t>
      </w:r>
    </w:p>
    <w:p w14:paraId="3BC1160C" w14:textId="02779206" w:rsidR="00433E8C" w:rsidRDefault="003674F1" w:rsidP="00433E8C">
      <w:pPr>
        <w:pStyle w:val="Bullet"/>
      </w:pPr>
      <w:r>
        <w:t>I</w:t>
      </w:r>
      <w:r w:rsidR="009A6CE8">
        <w:t>mprove data migration systems</w:t>
      </w:r>
      <w:r w:rsidR="00A3548E">
        <w:t xml:space="preserve"> to ensure more timely data transfer</w:t>
      </w:r>
      <w:r w:rsidR="00A3548E" w:rsidRPr="00A3548E">
        <w:t xml:space="preserve"> </w:t>
      </w:r>
      <w:r w:rsidR="00A3548E" w:rsidRPr="00050575">
        <w:t>between the ATO, funds and employers</w:t>
      </w:r>
    </w:p>
    <w:p w14:paraId="7A182245" w14:textId="402996D8" w:rsidR="00433E8C" w:rsidRDefault="003674F1" w:rsidP="00433E8C">
      <w:pPr>
        <w:pStyle w:val="Bullet"/>
      </w:pPr>
      <w:r>
        <w:t>U</w:t>
      </w:r>
      <w:r w:rsidR="00EF1B06">
        <w:t>ndertake the necessary infrastructure improvements to accommodate the significant increase in reporting data associated with the payday frequency</w:t>
      </w:r>
      <w:r w:rsidR="0012075B">
        <w:t>.</w:t>
      </w:r>
    </w:p>
    <w:p w14:paraId="0689E673" w14:textId="547D54C8" w:rsidR="00433E8C" w:rsidRDefault="003674F1" w:rsidP="00433E8C">
      <w:pPr>
        <w:pStyle w:val="Bullet"/>
      </w:pPr>
      <w:r>
        <w:t>C</w:t>
      </w:r>
      <w:r w:rsidR="000657BA">
        <w:t>ommunicate upcoming changes to stakeholders both through face</w:t>
      </w:r>
      <w:r>
        <w:t>-</w:t>
      </w:r>
      <w:r w:rsidR="000657BA">
        <w:t>to</w:t>
      </w:r>
      <w:r>
        <w:t>-</w:t>
      </w:r>
      <w:r w:rsidR="000657BA">
        <w:t>face and digital platforms</w:t>
      </w:r>
      <w:r>
        <w:t>.</w:t>
      </w:r>
    </w:p>
    <w:p w14:paraId="7FDBFC2F" w14:textId="672A6F85" w:rsidR="009A6CE8" w:rsidRDefault="003674F1" w:rsidP="004C7D75">
      <w:pPr>
        <w:pStyle w:val="Bullet"/>
      </w:pPr>
      <w:r>
        <w:t>P</w:t>
      </w:r>
      <w:r w:rsidR="00A3548E">
        <w:t>rovide support to affected stakeholders during the implementation and rollout</w:t>
      </w:r>
      <w:r w:rsidR="00E96211">
        <w:t>.</w:t>
      </w:r>
    </w:p>
    <w:p w14:paraId="422D7459" w14:textId="77777777" w:rsidR="00AC0632" w:rsidRDefault="00DB5811" w:rsidP="00C622A7">
      <w:pPr>
        <w:pStyle w:val="Bullet"/>
        <w:numPr>
          <w:ilvl w:val="0"/>
          <w:numId w:val="0"/>
        </w:numPr>
      </w:pPr>
      <w:r>
        <w:t>As a</w:t>
      </w:r>
      <w:r w:rsidR="00824D17" w:rsidRPr="00824D17">
        <w:t xml:space="preserve"> rough order of magnitude</w:t>
      </w:r>
      <w:r>
        <w:t xml:space="preserve">, </w:t>
      </w:r>
      <w:r w:rsidR="00DE311A">
        <w:t>the ATO would be expected to</w:t>
      </w:r>
      <w:r w:rsidR="003F3F78">
        <w:t xml:space="preserve"> </w:t>
      </w:r>
      <w:r w:rsidR="00D108D0">
        <w:t>require</w:t>
      </w:r>
      <w:r w:rsidR="00080750">
        <w:t xml:space="preserve"> expenditure of</w:t>
      </w:r>
      <w:r w:rsidR="00DE311A">
        <w:t xml:space="preserve"> </w:t>
      </w:r>
      <w:r w:rsidR="00BA1AD1">
        <w:t>around</w:t>
      </w:r>
      <w:r w:rsidR="00BA1AD1" w:rsidRPr="00824D17">
        <w:t xml:space="preserve"> </w:t>
      </w:r>
      <w:r w:rsidR="00824D17" w:rsidRPr="00824D17">
        <w:t>$2</w:t>
      </w:r>
      <w:r w:rsidR="0025716F">
        <w:t>0</w:t>
      </w:r>
      <w:r w:rsidR="00824D17" w:rsidRPr="00824D17">
        <w:t>0</w:t>
      </w:r>
      <w:r w:rsidR="00824D17">
        <w:t xml:space="preserve"> </w:t>
      </w:r>
      <w:r w:rsidR="00824D17" w:rsidRPr="00824D17">
        <w:t>m</w:t>
      </w:r>
      <w:r w:rsidR="00824D17">
        <w:t>illion</w:t>
      </w:r>
      <w:r w:rsidR="00824D17" w:rsidRPr="00824D17">
        <w:t xml:space="preserve"> </w:t>
      </w:r>
      <w:r w:rsidR="001E786D">
        <w:t>to support</w:t>
      </w:r>
      <w:r w:rsidR="004B3D39">
        <w:t xml:space="preserve"> </w:t>
      </w:r>
      <w:r w:rsidR="00030D8C">
        <w:t xml:space="preserve">the SG on payday </w:t>
      </w:r>
      <w:r w:rsidR="004B3D39">
        <w:t>reforms</w:t>
      </w:r>
      <w:r w:rsidR="00644042">
        <w:t xml:space="preserve">. </w:t>
      </w:r>
      <w:r w:rsidR="00B242CD">
        <w:t>T</w:t>
      </w:r>
      <w:r w:rsidR="002A0CE7">
        <w:t>his estimate has been based on the actual costs the ATO has incurred for delivering projects with similar complexity, scope and components.</w:t>
      </w:r>
      <w:r w:rsidR="00B242CD" w:rsidRPr="00B242CD">
        <w:t xml:space="preserve"> </w:t>
      </w:r>
    </w:p>
    <w:p w14:paraId="0E431D9D" w14:textId="62052C9D" w:rsidR="00E64DCF" w:rsidRDefault="00DA2DC3" w:rsidP="00C622A7">
      <w:pPr>
        <w:pStyle w:val="Bullet"/>
        <w:numPr>
          <w:ilvl w:val="0"/>
          <w:numId w:val="0"/>
        </w:numPr>
      </w:pPr>
      <w:r>
        <w:t>As outlined in Table 13, t</w:t>
      </w:r>
      <w:r w:rsidR="001E059D">
        <w:t>h</w:t>
      </w:r>
      <w:r w:rsidR="00D925A0">
        <w:t>is cost estimate</w:t>
      </w:r>
      <w:r w:rsidR="001E059D">
        <w:t xml:space="preserve"> includ</w:t>
      </w:r>
      <w:r w:rsidR="00D925A0">
        <w:t>es</w:t>
      </w:r>
      <w:r w:rsidR="001E059D">
        <w:t xml:space="preserve"> $</w:t>
      </w:r>
      <w:r w:rsidR="00E41FA7">
        <w:t>13.2</w:t>
      </w:r>
      <w:r w:rsidR="001E059D">
        <w:t xml:space="preserve"> million in the 2023-24 financial year </w:t>
      </w:r>
      <w:r w:rsidR="007B2134">
        <w:t>f</w:t>
      </w:r>
      <w:r w:rsidR="00C03BA7">
        <w:t>o</w:t>
      </w:r>
      <w:r w:rsidR="007B2134">
        <w:t>r</w:t>
      </w:r>
      <w:r w:rsidR="00C03BA7">
        <w:t xml:space="preserve"> the ATO to conduct </w:t>
      </w:r>
      <w:r w:rsidR="00D925A0">
        <w:t>consultation and co-design on</w:t>
      </w:r>
      <w:r w:rsidR="001E059D">
        <w:t xml:space="preserve"> </w:t>
      </w:r>
      <w:r w:rsidR="00C03BA7">
        <w:t xml:space="preserve">implementation </w:t>
      </w:r>
      <w:r w:rsidR="00B242CD">
        <w:t>solutions</w:t>
      </w:r>
      <w:r w:rsidR="001851F5">
        <w:t xml:space="preserve">. </w:t>
      </w:r>
      <w:r w:rsidR="00455374">
        <w:t xml:space="preserve">This process would be necessary to </w:t>
      </w:r>
      <w:r w:rsidR="00D33E52">
        <w:t>calculate</w:t>
      </w:r>
      <w:r w:rsidR="00F00CD5">
        <w:t xml:space="preserve"> a </w:t>
      </w:r>
      <w:r w:rsidR="006F2213">
        <w:t xml:space="preserve">more </w:t>
      </w:r>
      <w:r w:rsidR="00BA4FA0">
        <w:t xml:space="preserve">specific estimate of the </w:t>
      </w:r>
      <w:r w:rsidR="00A41E07">
        <w:t>ATO expenditure required</w:t>
      </w:r>
      <w:r w:rsidR="00E7061E">
        <w:t xml:space="preserve">. For the purposes of estimating impacts, </w:t>
      </w:r>
      <w:r w:rsidR="00590CBC">
        <w:t>Option 3</w:t>
      </w:r>
      <w:r w:rsidR="00E7061E">
        <w:t xml:space="preserve"> is assumed to involve</w:t>
      </w:r>
      <w:r w:rsidR="00DC7831">
        <w:t xml:space="preserve"> a mid-point estimate of</w:t>
      </w:r>
      <w:r w:rsidR="00E7061E">
        <w:t xml:space="preserve"> $</w:t>
      </w:r>
      <w:r w:rsidR="00043D7B">
        <w:t>93.4</w:t>
      </w:r>
      <w:r w:rsidR="00E7061E">
        <w:t xml:space="preserve"> million</w:t>
      </w:r>
      <w:r w:rsidR="00590CBC">
        <w:t xml:space="preserve"> in each of the </w:t>
      </w:r>
      <w:r w:rsidR="004A66A7">
        <w:t xml:space="preserve">following </w:t>
      </w:r>
      <w:r w:rsidR="00086AF2">
        <w:t xml:space="preserve">2 </w:t>
      </w:r>
      <w:r w:rsidR="004A66A7">
        <w:t>financial years</w:t>
      </w:r>
      <w:r w:rsidR="00E13BA9">
        <w:t xml:space="preserve"> for the ATO to </w:t>
      </w:r>
      <w:r w:rsidR="00010952">
        <w:t>administer</w:t>
      </w:r>
      <w:r w:rsidR="00E13BA9">
        <w:t xml:space="preserve"> the </w:t>
      </w:r>
      <w:r w:rsidR="00010952">
        <w:t>reform</w:t>
      </w:r>
      <w:r w:rsidR="00C03BA7">
        <w:t>s</w:t>
      </w:r>
      <w:r w:rsidR="004A66A7">
        <w:t>.</w:t>
      </w:r>
    </w:p>
    <w:p w14:paraId="3DCE4BEF" w14:textId="2D895B49" w:rsidR="00F8070B" w:rsidRPr="004366AE" w:rsidRDefault="00F8070B" w:rsidP="00F8070B">
      <w:pPr>
        <w:pStyle w:val="Caption"/>
      </w:pPr>
      <w:r w:rsidRPr="004366AE">
        <w:t xml:space="preserve">Table </w:t>
      </w:r>
      <w:r w:rsidR="00044BDC">
        <w:t>1</w:t>
      </w:r>
      <w:r w:rsidR="00D741C9">
        <w:t>3</w:t>
      </w:r>
      <w:r w:rsidRPr="004366AE">
        <w:t xml:space="preserve">. </w:t>
      </w:r>
      <w:r>
        <w:t>ATO expenditure ($</w:t>
      </w:r>
      <w:r w:rsidR="0065630B">
        <w:t xml:space="preserve"> </w:t>
      </w:r>
      <w:r>
        <w:t>million)</w:t>
      </w:r>
    </w:p>
    <w:tbl>
      <w:tblPr>
        <w:tblStyle w:val="PMCDefaultTableStyle"/>
        <w:tblW w:w="0" w:type="auto"/>
        <w:jc w:val="center"/>
        <w:tblLook w:val="0660" w:firstRow="1" w:lastRow="1" w:firstColumn="0" w:lastColumn="0" w:noHBand="1" w:noVBand="1"/>
      </w:tblPr>
      <w:tblGrid>
        <w:gridCol w:w="2018"/>
        <w:gridCol w:w="916"/>
        <w:gridCol w:w="916"/>
        <w:gridCol w:w="916"/>
        <w:gridCol w:w="916"/>
      </w:tblGrid>
      <w:tr w:rsidR="00B24F7F" w14:paraId="10763E6C" w14:textId="2FB97FA3" w:rsidTr="00946C3B">
        <w:trPr>
          <w:cnfStyle w:val="100000000000" w:firstRow="1" w:lastRow="0" w:firstColumn="0" w:lastColumn="0" w:oddVBand="0" w:evenVBand="0" w:oddHBand="0" w:evenHBand="0" w:firstRowFirstColumn="0" w:firstRowLastColumn="0" w:lastRowFirstColumn="0" w:lastRowLastColumn="0"/>
          <w:trHeight w:val="194"/>
          <w:jc w:val="center"/>
        </w:trPr>
        <w:tc>
          <w:tcPr>
            <w:tcW w:w="2018" w:type="dxa"/>
          </w:tcPr>
          <w:p w14:paraId="5B08A7E2" w14:textId="77777777" w:rsidR="00B24F7F" w:rsidRPr="00B24F7F" w:rsidRDefault="00B24F7F" w:rsidP="001A7546">
            <w:pPr>
              <w:pStyle w:val="BodyText"/>
              <w:rPr>
                <w:rFonts w:cstheme="minorHAnsi"/>
                <w:sz w:val="18"/>
                <w:szCs w:val="16"/>
              </w:rPr>
            </w:pPr>
          </w:p>
        </w:tc>
        <w:tc>
          <w:tcPr>
            <w:tcW w:w="916" w:type="dxa"/>
          </w:tcPr>
          <w:p w14:paraId="7C096BB7" w14:textId="47DF428B" w:rsidR="00B24F7F" w:rsidRPr="00946C3B" w:rsidRDefault="00B24F7F" w:rsidP="00946C3B">
            <w:pPr>
              <w:pStyle w:val="BodyText"/>
              <w:rPr>
                <w:rFonts w:asciiTheme="minorHAnsi" w:hAnsiTheme="minorHAnsi" w:cstheme="minorHAnsi"/>
                <w:sz w:val="18"/>
                <w:szCs w:val="16"/>
              </w:rPr>
            </w:pPr>
            <w:r w:rsidRPr="00946C3B">
              <w:rPr>
                <w:rFonts w:cstheme="minorHAnsi"/>
                <w:sz w:val="18"/>
                <w:szCs w:val="16"/>
              </w:rPr>
              <w:t>2023-24</w:t>
            </w:r>
          </w:p>
        </w:tc>
        <w:tc>
          <w:tcPr>
            <w:tcW w:w="916" w:type="dxa"/>
          </w:tcPr>
          <w:p w14:paraId="0A19A6A1" w14:textId="0650F658" w:rsidR="00B24F7F" w:rsidRPr="00946C3B" w:rsidRDefault="00B24F7F" w:rsidP="00946C3B">
            <w:pPr>
              <w:pStyle w:val="BodyText"/>
              <w:rPr>
                <w:rFonts w:asciiTheme="minorHAnsi" w:hAnsiTheme="minorHAnsi" w:cstheme="minorHAnsi"/>
                <w:sz w:val="18"/>
                <w:szCs w:val="16"/>
              </w:rPr>
            </w:pPr>
            <w:r w:rsidRPr="00946C3B">
              <w:rPr>
                <w:rFonts w:cstheme="minorHAnsi"/>
                <w:sz w:val="18"/>
                <w:szCs w:val="16"/>
              </w:rPr>
              <w:t>2024-25</w:t>
            </w:r>
          </w:p>
        </w:tc>
        <w:tc>
          <w:tcPr>
            <w:tcW w:w="916" w:type="dxa"/>
          </w:tcPr>
          <w:p w14:paraId="7815A0A8" w14:textId="646716C8" w:rsidR="00B24F7F" w:rsidRPr="00946C3B" w:rsidRDefault="00B24F7F" w:rsidP="00946C3B">
            <w:pPr>
              <w:pStyle w:val="BodyText"/>
              <w:rPr>
                <w:rFonts w:asciiTheme="minorHAnsi" w:hAnsiTheme="minorHAnsi" w:cstheme="minorHAnsi"/>
                <w:sz w:val="18"/>
                <w:szCs w:val="16"/>
              </w:rPr>
            </w:pPr>
            <w:r w:rsidRPr="00946C3B">
              <w:rPr>
                <w:rFonts w:cstheme="minorHAnsi"/>
                <w:sz w:val="18"/>
                <w:szCs w:val="16"/>
              </w:rPr>
              <w:t>2025-26</w:t>
            </w:r>
          </w:p>
        </w:tc>
        <w:tc>
          <w:tcPr>
            <w:tcW w:w="916" w:type="dxa"/>
          </w:tcPr>
          <w:p w14:paraId="0236B2F5" w14:textId="6E36A435" w:rsidR="00B24F7F" w:rsidRPr="00946C3B" w:rsidRDefault="00B24F7F" w:rsidP="00946C3B">
            <w:pPr>
              <w:pStyle w:val="BodyText"/>
              <w:rPr>
                <w:rFonts w:asciiTheme="minorHAnsi" w:hAnsiTheme="minorHAnsi" w:cstheme="minorHAnsi"/>
                <w:sz w:val="18"/>
                <w:szCs w:val="16"/>
              </w:rPr>
            </w:pPr>
            <w:r w:rsidRPr="00946C3B">
              <w:rPr>
                <w:rFonts w:cstheme="minorHAnsi"/>
                <w:sz w:val="18"/>
                <w:szCs w:val="16"/>
              </w:rPr>
              <w:t>2026-27</w:t>
            </w:r>
          </w:p>
        </w:tc>
      </w:tr>
      <w:tr w:rsidR="00B24F7F" w:rsidRPr="0015537B" w14:paraId="55579C92" w14:textId="27BF7700" w:rsidTr="00946C3B">
        <w:trPr>
          <w:trHeight w:val="194"/>
          <w:jc w:val="center"/>
        </w:trPr>
        <w:tc>
          <w:tcPr>
            <w:tcW w:w="2018" w:type="dxa"/>
          </w:tcPr>
          <w:p w14:paraId="0C1E2A92" w14:textId="7FA8D473" w:rsidR="00B24F7F" w:rsidRDefault="00B24F7F" w:rsidP="00946C3B">
            <w:pPr>
              <w:rPr>
                <w:sz w:val="18"/>
                <w:szCs w:val="18"/>
              </w:rPr>
            </w:pPr>
            <w:r>
              <w:rPr>
                <w:sz w:val="18"/>
                <w:szCs w:val="18"/>
              </w:rPr>
              <w:t>ATO Expenditure</w:t>
            </w:r>
          </w:p>
        </w:tc>
        <w:tc>
          <w:tcPr>
            <w:tcW w:w="916" w:type="dxa"/>
          </w:tcPr>
          <w:p w14:paraId="57077D1D" w14:textId="13F3D424" w:rsidR="00B24F7F" w:rsidRPr="003F1320" w:rsidRDefault="00B24F7F" w:rsidP="00946C3B">
            <w:pPr>
              <w:jc w:val="right"/>
              <w:rPr>
                <w:sz w:val="18"/>
                <w:szCs w:val="18"/>
              </w:rPr>
            </w:pPr>
            <w:r>
              <w:rPr>
                <w:sz w:val="18"/>
                <w:szCs w:val="18"/>
              </w:rPr>
              <w:t>13.2</w:t>
            </w:r>
          </w:p>
        </w:tc>
        <w:tc>
          <w:tcPr>
            <w:tcW w:w="916" w:type="dxa"/>
          </w:tcPr>
          <w:p w14:paraId="26525B80" w14:textId="26CF7C96" w:rsidR="00B24F7F" w:rsidRPr="00C622A7" w:rsidRDefault="00B24F7F" w:rsidP="00946C3B">
            <w:pPr>
              <w:jc w:val="right"/>
              <w:rPr>
                <w:sz w:val="18"/>
                <w:szCs w:val="18"/>
              </w:rPr>
            </w:pPr>
            <w:r>
              <w:rPr>
                <w:sz w:val="18"/>
                <w:szCs w:val="18"/>
              </w:rPr>
              <w:t>93.4</w:t>
            </w:r>
          </w:p>
        </w:tc>
        <w:tc>
          <w:tcPr>
            <w:tcW w:w="916" w:type="dxa"/>
          </w:tcPr>
          <w:p w14:paraId="0F666AAF" w14:textId="4E9A64E4" w:rsidR="00B24F7F" w:rsidRPr="00C622A7" w:rsidRDefault="00B24F7F" w:rsidP="00946C3B">
            <w:pPr>
              <w:jc w:val="right"/>
              <w:rPr>
                <w:sz w:val="18"/>
                <w:szCs w:val="18"/>
              </w:rPr>
            </w:pPr>
            <w:r>
              <w:rPr>
                <w:sz w:val="18"/>
                <w:szCs w:val="18"/>
              </w:rPr>
              <w:t>93.4</w:t>
            </w:r>
          </w:p>
        </w:tc>
        <w:tc>
          <w:tcPr>
            <w:tcW w:w="916" w:type="dxa"/>
          </w:tcPr>
          <w:p w14:paraId="2216DAD4" w14:textId="2B9459B6" w:rsidR="00B24F7F" w:rsidRPr="00C622A7" w:rsidRDefault="00B24F7F" w:rsidP="00946C3B">
            <w:pPr>
              <w:jc w:val="right"/>
              <w:rPr>
                <w:sz w:val="18"/>
                <w:szCs w:val="18"/>
              </w:rPr>
            </w:pPr>
            <w:r w:rsidRPr="00C622A7">
              <w:rPr>
                <w:sz w:val="18"/>
                <w:szCs w:val="18"/>
              </w:rPr>
              <w:t>0.0</w:t>
            </w:r>
          </w:p>
        </w:tc>
      </w:tr>
    </w:tbl>
    <w:p w14:paraId="1EB648C4" w14:textId="54050409" w:rsidR="00212203" w:rsidRPr="003F63C9" w:rsidRDefault="00212203" w:rsidP="003F63C9">
      <w:pPr>
        <w:pStyle w:val="Heading4"/>
      </w:pPr>
      <w:r w:rsidRPr="003F63C9">
        <w:t>Treasury</w:t>
      </w:r>
    </w:p>
    <w:p w14:paraId="56197106" w14:textId="3C7CB333" w:rsidR="00074CFF" w:rsidRDefault="00DA2DC3" w:rsidP="00F8070B">
      <w:pPr>
        <w:pStyle w:val="Bullet"/>
        <w:numPr>
          <w:ilvl w:val="0"/>
          <w:numId w:val="0"/>
        </w:numPr>
      </w:pPr>
      <w:r>
        <w:t xml:space="preserve">As outlined in Table 14, </w:t>
      </w:r>
      <w:r w:rsidR="003521D4">
        <w:t>Treasury require</w:t>
      </w:r>
      <w:r w:rsidR="00853606">
        <w:t>s</w:t>
      </w:r>
      <w:r w:rsidR="003521D4">
        <w:t xml:space="preserve"> $1.</w:t>
      </w:r>
      <w:r w:rsidR="00970FAF">
        <w:t>6 million in</w:t>
      </w:r>
      <w:r w:rsidR="003521D4">
        <w:t xml:space="preserve"> funding to</w:t>
      </w:r>
      <w:r w:rsidR="00074CFF">
        <w:t>:</w:t>
      </w:r>
    </w:p>
    <w:p w14:paraId="37577465" w14:textId="7FEB02C6" w:rsidR="00074CFF" w:rsidRDefault="00C27022" w:rsidP="00074CFF">
      <w:pPr>
        <w:pStyle w:val="Bullet"/>
      </w:pPr>
      <w:r>
        <w:t>U</w:t>
      </w:r>
      <w:r w:rsidR="003521D4">
        <w:t xml:space="preserve">ndertake </w:t>
      </w:r>
      <w:r>
        <w:t xml:space="preserve">2 </w:t>
      </w:r>
      <w:r w:rsidR="003521D4">
        <w:t>periods of public consultation</w:t>
      </w:r>
      <w:r>
        <w:t>.</w:t>
      </w:r>
      <w:r w:rsidR="003521D4">
        <w:t xml:space="preserve"> </w:t>
      </w:r>
    </w:p>
    <w:p w14:paraId="249FC304" w14:textId="3ADA11F7" w:rsidR="00074CFF" w:rsidRDefault="00C27022" w:rsidP="00074CFF">
      <w:pPr>
        <w:pStyle w:val="Bullet"/>
      </w:pPr>
      <w:r>
        <w:t>M</w:t>
      </w:r>
      <w:r w:rsidR="003521D4">
        <w:t>anage the drafting and preparation of the legislation required to give effect to the package (across multiple primary and secondary legislative documents)</w:t>
      </w:r>
      <w:r>
        <w:t>.</w:t>
      </w:r>
      <w:r w:rsidR="003521D4">
        <w:t xml:space="preserve"> </w:t>
      </w:r>
    </w:p>
    <w:p w14:paraId="52E6BB12" w14:textId="43D86B79" w:rsidR="00074CFF" w:rsidRDefault="00C27022" w:rsidP="00074CFF">
      <w:pPr>
        <w:pStyle w:val="Bullet"/>
      </w:pPr>
      <w:r>
        <w:t>R</w:t>
      </w:r>
      <w:r w:rsidR="003521D4">
        <w:t>espond to an expected high number of requests from the public and key stakeholders regarding the changes (given the far-reaching application of the measures across the economy)</w:t>
      </w:r>
      <w:r>
        <w:t>.</w:t>
      </w:r>
      <w:r w:rsidR="003521D4">
        <w:t xml:space="preserve"> </w:t>
      </w:r>
    </w:p>
    <w:p w14:paraId="54FA97B6" w14:textId="6EFE5CC3" w:rsidR="00074CFF" w:rsidRDefault="00C27022" w:rsidP="00074CFF">
      <w:pPr>
        <w:pStyle w:val="Bullet"/>
      </w:pPr>
      <w:r>
        <w:t>M</w:t>
      </w:r>
      <w:r w:rsidR="003521D4">
        <w:t>anage the implementation of the package which will include working with the ATO to ensure all implementation deadlines are met</w:t>
      </w:r>
      <w:r>
        <w:t>.</w:t>
      </w:r>
      <w:r w:rsidR="003521D4">
        <w:t xml:space="preserve"> </w:t>
      </w:r>
    </w:p>
    <w:p w14:paraId="2B410210" w14:textId="2F399CF4" w:rsidR="003521D4" w:rsidRDefault="00C27022" w:rsidP="004C7D75">
      <w:pPr>
        <w:pStyle w:val="Bullet"/>
      </w:pPr>
      <w:r>
        <w:t>M</w:t>
      </w:r>
      <w:r w:rsidR="00074CFF">
        <w:t>anage</w:t>
      </w:r>
      <w:r w:rsidR="003521D4">
        <w:t xml:space="preserve"> any emerging policy or administrative issues that may arise over the implementation period that require a Government response.</w:t>
      </w:r>
    </w:p>
    <w:p w14:paraId="126B3DFB" w14:textId="72FF4F69" w:rsidR="00F8070B" w:rsidRPr="004366AE" w:rsidRDefault="00F8070B" w:rsidP="00F8070B">
      <w:pPr>
        <w:pStyle w:val="Caption"/>
      </w:pPr>
      <w:r w:rsidRPr="004366AE">
        <w:t xml:space="preserve">Table </w:t>
      </w:r>
      <w:r w:rsidR="00044BDC" w:rsidRPr="00831C62">
        <w:t>1</w:t>
      </w:r>
      <w:r w:rsidR="00D741C9">
        <w:t>4</w:t>
      </w:r>
      <w:r w:rsidRPr="004366AE">
        <w:t xml:space="preserve">. </w:t>
      </w:r>
      <w:r>
        <w:t>Treasury expenditure ($</w:t>
      </w:r>
      <w:r w:rsidR="0065630B">
        <w:t xml:space="preserve"> </w:t>
      </w:r>
      <w:r>
        <w:t>million)</w:t>
      </w:r>
    </w:p>
    <w:tbl>
      <w:tblPr>
        <w:tblStyle w:val="PMCDefaultTableStyle"/>
        <w:tblW w:w="0" w:type="auto"/>
        <w:jc w:val="center"/>
        <w:tblLook w:val="0660" w:firstRow="1" w:lastRow="1" w:firstColumn="0" w:lastColumn="0" w:noHBand="1" w:noVBand="1"/>
      </w:tblPr>
      <w:tblGrid>
        <w:gridCol w:w="1871"/>
        <w:gridCol w:w="1272"/>
        <w:gridCol w:w="1272"/>
        <w:gridCol w:w="1260"/>
        <w:gridCol w:w="1260"/>
      </w:tblGrid>
      <w:tr w:rsidR="0028147E" w14:paraId="240D5B0D" w14:textId="252928A5" w:rsidTr="00946C3B">
        <w:trPr>
          <w:cnfStyle w:val="100000000000" w:firstRow="1" w:lastRow="0" w:firstColumn="0" w:lastColumn="0" w:oddVBand="0" w:evenVBand="0" w:oddHBand="0" w:evenHBand="0" w:firstRowFirstColumn="0" w:firstRowLastColumn="0" w:lastRowFirstColumn="0" w:lastRowLastColumn="0"/>
          <w:trHeight w:val="82"/>
          <w:jc w:val="center"/>
        </w:trPr>
        <w:tc>
          <w:tcPr>
            <w:tcW w:w="1871" w:type="dxa"/>
          </w:tcPr>
          <w:p w14:paraId="2859D37D" w14:textId="77777777" w:rsidR="0028147E" w:rsidRPr="0028147E" w:rsidRDefault="0028147E" w:rsidP="001A7546">
            <w:pPr>
              <w:pStyle w:val="BodyText"/>
              <w:rPr>
                <w:rFonts w:cstheme="minorHAnsi"/>
                <w:sz w:val="18"/>
                <w:szCs w:val="18"/>
              </w:rPr>
            </w:pPr>
          </w:p>
        </w:tc>
        <w:tc>
          <w:tcPr>
            <w:tcW w:w="1272" w:type="dxa"/>
          </w:tcPr>
          <w:p w14:paraId="19CB3718" w14:textId="38D39722" w:rsidR="0028147E" w:rsidRPr="00946C3B" w:rsidRDefault="0028147E" w:rsidP="00946C3B">
            <w:pPr>
              <w:pStyle w:val="BodyText"/>
              <w:rPr>
                <w:rFonts w:asciiTheme="minorHAnsi" w:hAnsiTheme="minorHAnsi" w:cstheme="minorHAnsi"/>
                <w:sz w:val="18"/>
                <w:szCs w:val="18"/>
              </w:rPr>
            </w:pPr>
            <w:r w:rsidRPr="00946C3B">
              <w:rPr>
                <w:rFonts w:cstheme="minorHAnsi"/>
                <w:sz w:val="18"/>
                <w:szCs w:val="18"/>
              </w:rPr>
              <w:t>2023-24</w:t>
            </w:r>
          </w:p>
        </w:tc>
        <w:tc>
          <w:tcPr>
            <w:tcW w:w="1272" w:type="dxa"/>
          </w:tcPr>
          <w:p w14:paraId="07313C74" w14:textId="461D58A4" w:rsidR="0028147E" w:rsidRPr="00946C3B" w:rsidRDefault="0028147E" w:rsidP="00946C3B">
            <w:pPr>
              <w:pStyle w:val="BodyText"/>
              <w:rPr>
                <w:rFonts w:asciiTheme="minorHAnsi" w:hAnsiTheme="minorHAnsi" w:cstheme="minorHAnsi"/>
                <w:sz w:val="18"/>
                <w:szCs w:val="18"/>
              </w:rPr>
            </w:pPr>
            <w:r w:rsidRPr="00946C3B">
              <w:rPr>
                <w:rFonts w:cstheme="minorHAnsi"/>
                <w:sz w:val="18"/>
                <w:szCs w:val="18"/>
              </w:rPr>
              <w:t>2024-25</w:t>
            </w:r>
          </w:p>
        </w:tc>
        <w:tc>
          <w:tcPr>
            <w:tcW w:w="1260" w:type="dxa"/>
          </w:tcPr>
          <w:p w14:paraId="134089FB" w14:textId="4E3AEBD8" w:rsidR="0028147E" w:rsidRPr="00946C3B" w:rsidRDefault="0028147E" w:rsidP="00946C3B">
            <w:pPr>
              <w:pStyle w:val="BodyText"/>
              <w:rPr>
                <w:rFonts w:asciiTheme="minorHAnsi" w:hAnsiTheme="minorHAnsi" w:cstheme="minorHAnsi"/>
                <w:sz w:val="18"/>
                <w:szCs w:val="18"/>
              </w:rPr>
            </w:pPr>
            <w:r w:rsidRPr="00946C3B">
              <w:rPr>
                <w:rFonts w:cstheme="minorHAnsi"/>
                <w:sz w:val="18"/>
                <w:szCs w:val="18"/>
              </w:rPr>
              <w:t>2025-26</w:t>
            </w:r>
          </w:p>
        </w:tc>
        <w:tc>
          <w:tcPr>
            <w:tcW w:w="1260" w:type="dxa"/>
          </w:tcPr>
          <w:p w14:paraId="1BDCB4B5" w14:textId="45769F1A" w:rsidR="0028147E" w:rsidRPr="00946C3B" w:rsidRDefault="0028147E" w:rsidP="00946C3B">
            <w:pPr>
              <w:pStyle w:val="BodyText"/>
              <w:rPr>
                <w:rFonts w:asciiTheme="minorHAnsi" w:hAnsiTheme="minorHAnsi" w:cstheme="minorHAnsi"/>
                <w:sz w:val="18"/>
                <w:szCs w:val="18"/>
              </w:rPr>
            </w:pPr>
            <w:r w:rsidRPr="00946C3B">
              <w:rPr>
                <w:rFonts w:cstheme="minorHAnsi"/>
                <w:sz w:val="18"/>
                <w:szCs w:val="18"/>
              </w:rPr>
              <w:t>2026-27</w:t>
            </w:r>
          </w:p>
        </w:tc>
      </w:tr>
      <w:tr w:rsidR="0028147E" w:rsidRPr="0015537B" w14:paraId="5A43B54F" w14:textId="108E3516" w:rsidTr="00946C3B">
        <w:trPr>
          <w:trHeight w:val="82"/>
          <w:jc w:val="center"/>
        </w:trPr>
        <w:tc>
          <w:tcPr>
            <w:tcW w:w="1871" w:type="dxa"/>
          </w:tcPr>
          <w:p w14:paraId="369A35B3" w14:textId="1946DE68" w:rsidR="0028147E" w:rsidRDefault="0028147E" w:rsidP="00946C3B">
            <w:pPr>
              <w:pStyle w:val="TableBody"/>
              <w:rPr>
                <w:szCs w:val="18"/>
              </w:rPr>
            </w:pPr>
            <w:r>
              <w:rPr>
                <w:szCs w:val="18"/>
              </w:rPr>
              <w:t>Treasury expenditure</w:t>
            </w:r>
          </w:p>
        </w:tc>
        <w:tc>
          <w:tcPr>
            <w:tcW w:w="1272" w:type="dxa"/>
          </w:tcPr>
          <w:p w14:paraId="3102FA29" w14:textId="48A9D697" w:rsidR="0028147E" w:rsidRPr="00DA7726" w:rsidRDefault="0028147E" w:rsidP="00946C3B">
            <w:pPr>
              <w:pStyle w:val="TableBody"/>
              <w:jc w:val="right"/>
              <w:rPr>
                <w:szCs w:val="18"/>
              </w:rPr>
            </w:pPr>
            <w:r>
              <w:rPr>
                <w:szCs w:val="18"/>
              </w:rPr>
              <w:t>1.1</w:t>
            </w:r>
          </w:p>
        </w:tc>
        <w:tc>
          <w:tcPr>
            <w:tcW w:w="1272" w:type="dxa"/>
          </w:tcPr>
          <w:p w14:paraId="310189FE" w14:textId="0061AE61" w:rsidR="0028147E" w:rsidRDefault="0028147E" w:rsidP="00946C3B">
            <w:pPr>
              <w:pStyle w:val="TableBody"/>
              <w:jc w:val="right"/>
              <w:rPr>
                <w:szCs w:val="18"/>
              </w:rPr>
            </w:pPr>
            <w:r>
              <w:rPr>
                <w:szCs w:val="18"/>
              </w:rPr>
              <w:t>0.5</w:t>
            </w:r>
          </w:p>
        </w:tc>
        <w:tc>
          <w:tcPr>
            <w:tcW w:w="1260" w:type="dxa"/>
          </w:tcPr>
          <w:p w14:paraId="3DBECDDB" w14:textId="5B4A4A6D" w:rsidR="0028147E" w:rsidRDefault="0028147E" w:rsidP="00946C3B">
            <w:pPr>
              <w:pStyle w:val="TableBody"/>
              <w:jc w:val="right"/>
              <w:rPr>
                <w:szCs w:val="18"/>
              </w:rPr>
            </w:pPr>
            <w:r>
              <w:rPr>
                <w:szCs w:val="18"/>
              </w:rPr>
              <w:t>0.0</w:t>
            </w:r>
          </w:p>
        </w:tc>
        <w:tc>
          <w:tcPr>
            <w:tcW w:w="1260" w:type="dxa"/>
          </w:tcPr>
          <w:p w14:paraId="03288945" w14:textId="08978844" w:rsidR="0028147E" w:rsidRDefault="0028147E" w:rsidP="00946C3B">
            <w:pPr>
              <w:pStyle w:val="TableBody"/>
              <w:jc w:val="right"/>
              <w:rPr>
                <w:szCs w:val="18"/>
              </w:rPr>
            </w:pPr>
            <w:r>
              <w:rPr>
                <w:szCs w:val="18"/>
              </w:rPr>
              <w:t>0.0</w:t>
            </w:r>
          </w:p>
        </w:tc>
      </w:tr>
    </w:tbl>
    <w:p w14:paraId="71FD8B92" w14:textId="339686B2" w:rsidR="00251D7A" w:rsidRDefault="00251D7A" w:rsidP="00251D7A">
      <w:pPr>
        <w:pStyle w:val="Heading3"/>
      </w:pPr>
      <w:bookmarkStart w:id="60" w:name="_Toc134198474"/>
      <w:r>
        <w:t>Summary of Option 3</w:t>
      </w:r>
      <w:bookmarkEnd w:id="60"/>
    </w:p>
    <w:p w14:paraId="32006AB6" w14:textId="21C1B519" w:rsidR="006760B2" w:rsidRDefault="006760B2" w:rsidP="006760B2">
      <w:r>
        <w:t xml:space="preserve">As outlined in </w:t>
      </w:r>
      <w:r w:rsidRPr="00831C62">
        <w:t xml:space="preserve">Table </w:t>
      </w:r>
      <w:r>
        <w:t>15</w:t>
      </w:r>
      <w:r w:rsidR="00211AFD">
        <w:t>,</w:t>
      </w:r>
      <w:r>
        <w:t xml:space="preserve"> Option 3 would address current limitations on the </w:t>
      </w:r>
      <w:r w:rsidR="00926C32">
        <w:t xml:space="preserve">recovery of unpaid </w:t>
      </w:r>
      <w:r>
        <w:t xml:space="preserve">SG </w:t>
      </w:r>
      <w:r w:rsidR="00926C32">
        <w:t xml:space="preserve">relating to </w:t>
      </w:r>
      <w:r w:rsidR="006C44CC">
        <w:t xml:space="preserve">infrequent </w:t>
      </w:r>
      <w:r w:rsidR="00145D1F">
        <w:t>payment timeframes</w:t>
      </w:r>
      <w:r w:rsidR="00E84AED">
        <w:t>. Option 3 would have</w:t>
      </w:r>
      <w:r>
        <w:t xml:space="preserve"> a </w:t>
      </w:r>
      <w:r w:rsidR="00145D1F">
        <w:t>more substantial</w:t>
      </w:r>
      <w:r>
        <w:t xml:space="preserve"> benefit of reducing overall instances of unpaid SG and a moderate impact on the timeliness of recovery of unpaid SG. </w:t>
      </w:r>
    </w:p>
    <w:p w14:paraId="550AA374" w14:textId="1EFBC855" w:rsidR="006760B2" w:rsidRDefault="006760B2" w:rsidP="000558E3">
      <w:pPr>
        <w:rPr>
          <w:lang w:val="en-GB"/>
        </w:rPr>
      </w:pPr>
      <w:r>
        <w:t xml:space="preserve">The impact that </w:t>
      </w:r>
      <w:r w:rsidR="00145D1F">
        <w:t>Option 3</w:t>
      </w:r>
      <w:r>
        <w:t xml:space="preserve"> will have on SG compliance is </w:t>
      </w:r>
      <w:r>
        <w:rPr>
          <w:lang w:val="en-GB"/>
        </w:rPr>
        <w:t xml:space="preserve">unquantifiable due to uncertainty around additional unpaid SG which could be recovered and the behavioural impact on employers. To the extent that this option reduces the unpaid SG gap, the amount of SG which would be paid to employees that would have otherwise gone unpaid under </w:t>
      </w:r>
      <w:r w:rsidR="00EA4469">
        <w:rPr>
          <w:lang w:val="en-GB"/>
        </w:rPr>
        <w:t xml:space="preserve">4 </w:t>
      </w:r>
      <w:r>
        <w:rPr>
          <w:lang w:val="en-GB"/>
        </w:rPr>
        <w:t xml:space="preserve">scenarios is </w:t>
      </w:r>
      <w:r w:rsidR="004B0BA6">
        <w:rPr>
          <w:lang w:val="en-GB"/>
        </w:rPr>
        <w:t>outlined in</w:t>
      </w:r>
      <w:r w:rsidR="000558E3">
        <w:rPr>
          <w:lang w:val="en-GB"/>
        </w:rPr>
        <w:t xml:space="preserve"> Table </w:t>
      </w:r>
      <w:r>
        <w:rPr>
          <w:lang w:val="en-GB"/>
        </w:rPr>
        <w:t>2. For example, if the $2</w:t>
      </w:r>
      <w:r w:rsidR="00570A71">
        <w:rPr>
          <w:lang w:val="en-GB"/>
        </w:rPr>
        <w:t>01.</w:t>
      </w:r>
      <w:r w:rsidR="001335A8">
        <w:rPr>
          <w:lang w:val="en-GB"/>
        </w:rPr>
        <w:t>6</w:t>
      </w:r>
      <w:r>
        <w:rPr>
          <w:lang w:val="en-GB"/>
        </w:rPr>
        <w:t xml:space="preserve"> million investment in Option </w:t>
      </w:r>
      <w:r w:rsidR="00145D1F">
        <w:rPr>
          <w:lang w:val="en-GB"/>
        </w:rPr>
        <w:t>3</w:t>
      </w:r>
      <w:r>
        <w:rPr>
          <w:lang w:val="en-GB"/>
        </w:rPr>
        <w:t xml:space="preserve"> improved the </w:t>
      </w:r>
      <w:r w:rsidR="001335A8">
        <w:rPr>
          <w:lang w:val="en-GB"/>
        </w:rPr>
        <w:t xml:space="preserve">SG gap </w:t>
      </w:r>
      <w:r>
        <w:rPr>
          <w:lang w:val="en-GB"/>
        </w:rPr>
        <w:t xml:space="preserve">by </w:t>
      </w:r>
      <w:r w:rsidR="001335A8">
        <w:rPr>
          <w:lang w:val="en-GB"/>
        </w:rPr>
        <w:t>5</w:t>
      </w:r>
      <w:r>
        <w:rPr>
          <w:lang w:val="en-GB"/>
        </w:rPr>
        <w:t xml:space="preserve"> per cent</w:t>
      </w:r>
      <w:r w:rsidR="001335A8">
        <w:rPr>
          <w:lang w:val="en-GB"/>
        </w:rPr>
        <w:t>, as shown in Table 2</w:t>
      </w:r>
      <w:r>
        <w:rPr>
          <w:lang w:val="en-GB"/>
        </w:rPr>
        <w:t xml:space="preserve"> this </w:t>
      </w:r>
      <w:r w:rsidR="001335A8">
        <w:rPr>
          <w:lang w:val="en-GB"/>
        </w:rPr>
        <w:t>would</w:t>
      </w:r>
      <w:r>
        <w:rPr>
          <w:lang w:val="en-GB"/>
        </w:rPr>
        <w:t xml:space="preserve"> result in additional $</w:t>
      </w:r>
      <w:r w:rsidR="001335A8">
        <w:rPr>
          <w:lang w:val="en-GB"/>
        </w:rPr>
        <w:t>202</w:t>
      </w:r>
      <w:r>
        <w:rPr>
          <w:lang w:val="en-GB"/>
        </w:rPr>
        <w:t xml:space="preserve"> million of SG contributions paid each year.</w:t>
      </w:r>
    </w:p>
    <w:p w14:paraId="671246FA" w14:textId="77777777" w:rsidR="00CE6334" w:rsidRPr="0002486A" w:rsidRDefault="00CE6334" w:rsidP="000558E3">
      <w:pPr>
        <w:rPr>
          <w:lang w:val="en-GB"/>
        </w:rPr>
      </w:pPr>
    </w:p>
    <w:p w14:paraId="53BDE1F7" w14:textId="7209E68A" w:rsidR="00C155AD" w:rsidRPr="004366AE" w:rsidRDefault="00C155AD" w:rsidP="00C155AD">
      <w:pPr>
        <w:pStyle w:val="Caption"/>
      </w:pPr>
      <w:r w:rsidRPr="004366AE">
        <w:t xml:space="preserve">Table </w:t>
      </w:r>
      <w:r w:rsidR="00044BDC">
        <w:t>1</w:t>
      </w:r>
      <w:r w:rsidR="00D741C9">
        <w:t>5</w:t>
      </w:r>
      <w:r w:rsidRPr="004366AE">
        <w:t xml:space="preserve">. </w:t>
      </w:r>
      <w:r>
        <w:t xml:space="preserve">Summary of Option </w:t>
      </w:r>
      <w:r w:rsidR="00214F05">
        <w:t>3</w:t>
      </w:r>
      <w:r>
        <w:t xml:space="preserve"> impacts on unpaid SG</w:t>
      </w:r>
    </w:p>
    <w:tbl>
      <w:tblPr>
        <w:tblStyle w:val="PMCDefaultTableStyle"/>
        <w:tblW w:w="0" w:type="auto"/>
        <w:jc w:val="center"/>
        <w:tblLook w:val="0620" w:firstRow="1" w:lastRow="0" w:firstColumn="0" w:lastColumn="0" w:noHBand="1" w:noVBand="1"/>
      </w:tblPr>
      <w:tblGrid>
        <w:gridCol w:w="2740"/>
        <w:gridCol w:w="2862"/>
      </w:tblGrid>
      <w:tr w:rsidR="00130918" w14:paraId="201F5153" w14:textId="77777777" w:rsidTr="00946C3B">
        <w:trPr>
          <w:cnfStyle w:val="100000000000" w:firstRow="1" w:lastRow="0" w:firstColumn="0" w:lastColumn="0" w:oddVBand="0" w:evenVBand="0" w:oddHBand="0" w:evenHBand="0" w:firstRowFirstColumn="0" w:firstRowLastColumn="0" w:lastRowFirstColumn="0" w:lastRowLastColumn="0"/>
          <w:trHeight w:val="105"/>
          <w:jc w:val="center"/>
        </w:trPr>
        <w:tc>
          <w:tcPr>
            <w:tcW w:w="2740" w:type="dxa"/>
          </w:tcPr>
          <w:p w14:paraId="0E822763" w14:textId="77777777" w:rsidR="00130918" w:rsidRDefault="00130918">
            <w:pPr>
              <w:pStyle w:val="BodyText"/>
            </w:pPr>
            <w:r>
              <w:t>Impact</w:t>
            </w:r>
          </w:p>
        </w:tc>
        <w:tc>
          <w:tcPr>
            <w:tcW w:w="2862" w:type="dxa"/>
          </w:tcPr>
          <w:p w14:paraId="322DBFAE" w14:textId="77777777" w:rsidR="00130918" w:rsidRDefault="00130918">
            <w:pPr>
              <w:pStyle w:val="BodyText"/>
            </w:pPr>
            <w:r>
              <w:t>Impact level</w:t>
            </w:r>
          </w:p>
        </w:tc>
      </w:tr>
      <w:tr w:rsidR="00130918" w:rsidRPr="0015537B" w14:paraId="3C1C4774" w14:textId="77777777" w:rsidTr="00946C3B">
        <w:trPr>
          <w:trHeight w:val="105"/>
          <w:jc w:val="center"/>
        </w:trPr>
        <w:tc>
          <w:tcPr>
            <w:tcW w:w="2740" w:type="dxa"/>
          </w:tcPr>
          <w:p w14:paraId="6C7FB232" w14:textId="77777777" w:rsidR="00130918" w:rsidRPr="00DA7726" w:rsidRDefault="00130918">
            <w:pPr>
              <w:rPr>
                <w:sz w:val="18"/>
                <w:szCs w:val="18"/>
              </w:rPr>
            </w:pPr>
            <w:r>
              <w:rPr>
                <w:sz w:val="18"/>
                <w:szCs w:val="18"/>
              </w:rPr>
              <w:t>1. Fewer incidences of unpaid SG</w:t>
            </w:r>
          </w:p>
        </w:tc>
        <w:tc>
          <w:tcPr>
            <w:tcW w:w="2862" w:type="dxa"/>
          </w:tcPr>
          <w:p w14:paraId="79E40838" w14:textId="5AC9581B" w:rsidR="00130918" w:rsidRDefault="00130918">
            <w:pPr>
              <w:pStyle w:val="TableNumbering"/>
              <w:numPr>
                <w:ilvl w:val="0"/>
                <w:numId w:val="0"/>
              </w:numPr>
              <w:rPr>
                <w:szCs w:val="18"/>
              </w:rPr>
            </w:pPr>
            <w:r>
              <w:rPr>
                <w:szCs w:val="18"/>
              </w:rPr>
              <w:t xml:space="preserve">Substantial benefit </w:t>
            </w:r>
          </w:p>
        </w:tc>
      </w:tr>
      <w:tr w:rsidR="00130918" w:rsidRPr="0015537B" w14:paraId="53ED3670" w14:textId="77777777" w:rsidTr="00946C3B">
        <w:trPr>
          <w:trHeight w:val="105"/>
          <w:jc w:val="center"/>
        </w:trPr>
        <w:tc>
          <w:tcPr>
            <w:tcW w:w="2740" w:type="dxa"/>
          </w:tcPr>
          <w:p w14:paraId="23EDF167" w14:textId="77777777" w:rsidR="00130918" w:rsidRPr="00DA7726" w:rsidRDefault="00130918">
            <w:pPr>
              <w:rPr>
                <w:sz w:val="18"/>
                <w:szCs w:val="18"/>
              </w:rPr>
            </w:pPr>
            <w:r>
              <w:rPr>
                <w:sz w:val="18"/>
                <w:szCs w:val="18"/>
              </w:rPr>
              <w:t>2. Quicker recovery of unpaid SG</w:t>
            </w:r>
          </w:p>
        </w:tc>
        <w:tc>
          <w:tcPr>
            <w:tcW w:w="2862" w:type="dxa"/>
          </w:tcPr>
          <w:p w14:paraId="7A52C219" w14:textId="77777777" w:rsidR="00130918" w:rsidRDefault="00130918">
            <w:pPr>
              <w:pStyle w:val="TableNumbering"/>
              <w:numPr>
                <w:ilvl w:val="0"/>
                <w:numId w:val="0"/>
              </w:numPr>
              <w:rPr>
                <w:szCs w:val="18"/>
              </w:rPr>
            </w:pPr>
            <w:r>
              <w:rPr>
                <w:szCs w:val="18"/>
              </w:rPr>
              <w:t>Moderate benefit</w:t>
            </w:r>
          </w:p>
        </w:tc>
      </w:tr>
    </w:tbl>
    <w:p w14:paraId="7DA8D28B" w14:textId="77777777" w:rsidR="00C058E2" w:rsidRDefault="00C058E2" w:rsidP="007C5FA7">
      <w:pPr>
        <w:pStyle w:val="BodyText"/>
      </w:pPr>
    </w:p>
    <w:p w14:paraId="1A6FD81D" w14:textId="4C3F0189" w:rsidR="00AE58F2" w:rsidRDefault="00D43CAD" w:rsidP="007C5FA7">
      <w:pPr>
        <w:pStyle w:val="BodyText"/>
      </w:pPr>
      <w:r w:rsidRPr="00831C62">
        <w:t>Table 1</w:t>
      </w:r>
      <w:r>
        <w:t>6 below summarise the costs and benefits of aligning the payment of SG to the same day as wages. These are aggregate dollar impacts over 10 years.</w:t>
      </w:r>
      <w:r w:rsidR="00771925">
        <w:t xml:space="preserve"> It is expected that employees would receive a benefit of </w:t>
      </w:r>
      <w:r w:rsidR="00FA7831">
        <w:t xml:space="preserve">around $1.4 billion in </w:t>
      </w:r>
      <w:r w:rsidR="00B70775">
        <w:t>an increased</w:t>
      </w:r>
      <w:r w:rsidR="00FA7831">
        <w:t xml:space="preserve"> compounding returns</w:t>
      </w:r>
      <w:r w:rsidR="00E228A1">
        <w:t xml:space="preserve"> as shown in </w:t>
      </w:r>
      <w:r w:rsidR="000432B5">
        <w:t>i</w:t>
      </w:r>
      <w:r w:rsidR="00E228A1">
        <w:t>mpact 3.</w:t>
      </w:r>
      <w:r w:rsidR="00B70775">
        <w:t xml:space="preserve"> </w:t>
      </w:r>
      <w:r w:rsidR="00FC06E7">
        <w:t>It is expected there would only be upfront regulatory costs for employers</w:t>
      </w:r>
      <w:r w:rsidR="001413C3">
        <w:t xml:space="preserve">, clearing houses, superannuation funds and </w:t>
      </w:r>
      <w:r w:rsidR="007531EA">
        <w:t>DSPs</w:t>
      </w:r>
      <w:r w:rsidR="001413C3">
        <w:t xml:space="preserve"> in the first year</w:t>
      </w:r>
      <w:r w:rsidR="00FC06E7">
        <w:t xml:space="preserve">. </w:t>
      </w:r>
      <w:r w:rsidR="00A129E2">
        <w:t>Employees would experience a regulatory save of around 5.5 million over the 10 years, denoted by the parentheses below.</w:t>
      </w:r>
    </w:p>
    <w:p w14:paraId="6CDF5794" w14:textId="2DA97DAD" w:rsidR="00D43CAD" w:rsidRDefault="007A744B" w:rsidP="007C5FA7">
      <w:pPr>
        <w:pStyle w:val="BodyText"/>
      </w:pPr>
      <w:r>
        <w:t xml:space="preserve">Due to the large quantity of employers required to make system changes </w:t>
      </w:r>
      <w:r w:rsidR="000F4DE0">
        <w:t xml:space="preserve">(697,000) this </w:t>
      </w:r>
      <w:r w:rsidR="003F52F5">
        <w:t xml:space="preserve">would </w:t>
      </w:r>
      <w:r w:rsidR="008F5614">
        <w:t>directly increase</w:t>
      </w:r>
      <w:r w:rsidR="000F4DE0">
        <w:t xml:space="preserve"> aggregate regulatory cost</w:t>
      </w:r>
      <w:r w:rsidR="008F5614">
        <w:t>s</w:t>
      </w:r>
      <w:r>
        <w:t xml:space="preserve"> </w:t>
      </w:r>
      <w:r w:rsidR="00BD68C8">
        <w:t xml:space="preserve">for employers </w:t>
      </w:r>
      <w:r w:rsidR="003F52F5">
        <w:t xml:space="preserve">by </w:t>
      </w:r>
      <w:r w:rsidR="003474BA">
        <w:t>$1,221</w:t>
      </w:r>
      <w:r w:rsidR="00B44248">
        <w:t>.0</w:t>
      </w:r>
      <w:r w:rsidR="003474BA">
        <w:t xml:space="preserve"> million. However,</w:t>
      </w:r>
      <w:r w:rsidR="00B53676">
        <w:t xml:space="preserve"> the </w:t>
      </w:r>
      <w:r w:rsidR="00270B75">
        <w:t xml:space="preserve">regulatory </w:t>
      </w:r>
      <w:r w:rsidR="00BD68C8">
        <w:t xml:space="preserve">impacts </w:t>
      </w:r>
      <w:r w:rsidR="00270B75">
        <w:t>to each individual employer</w:t>
      </w:r>
      <w:r w:rsidR="00812099">
        <w:t xml:space="preserve"> are expected to be mitigated by the continued </w:t>
      </w:r>
      <w:r w:rsidR="00B10903">
        <w:t xml:space="preserve">improvements of digital </w:t>
      </w:r>
      <w:r w:rsidR="00DE6A5B">
        <w:t xml:space="preserve">infrastructure and </w:t>
      </w:r>
      <w:r w:rsidR="0075180E">
        <w:t xml:space="preserve">the </w:t>
      </w:r>
      <w:r w:rsidR="000870A4">
        <w:t xml:space="preserve">lead time before </w:t>
      </w:r>
      <w:r w:rsidR="00CE7435">
        <w:t xml:space="preserve">more frequent </w:t>
      </w:r>
      <w:r w:rsidR="000870A4">
        <w:t xml:space="preserve">SG obligations </w:t>
      </w:r>
      <w:r w:rsidR="00B05EE5">
        <w:t xml:space="preserve">would </w:t>
      </w:r>
      <w:r w:rsidR="00CE7435">
        <w:t>commence</w:t>
      </w:r>
      <w:r w:rsidR="00B05EE5">
        <w:t xml:space="preserve"> on 1 July 2026</w:t>
      </w:r>
      <w:r w:rsidR="000870A4">
        <w:t>.</w:t>
      </w:r>
      <w:r w:rsidR="00B53676">
        <w:t xml:space="preserve"> </w:t>
      </w:r>
    </w:p>
    <w:p w14:paraId="2E892945" w14:textId="7390C124" w:rsidR="00DC2D4D" w:rsidRDefault="00DC2D4D" w:rsidP="007C5FA7">
      <w:pPr>
        <w:pStyle w:val="BodyText"/>
      </w:pPr>
      <w:r>
        <w:t>Total government expenditure is denoted over the four years</w:t>
      </w:r>
      <w:r w:rsidR="00A40797">
        <w:t xml:space="preserve">, with any future spending on Option 3 to be a </w:t>
      </w:r>
      <w:r w:rsidR="00021D9D">
        <w:t xml:space="preserve">decision of Government. </w:t>
      </w:r>
    </w:p>
    <w:p w14:paraId="5E0FCA86" w14:textId="5A47347B" w:rsidR="00F47DD9" w:rsidRPr="00745E1C" w:rsidRDefault="00C058E2">
      <w:pPr>
        <w:pStyle w:val="Caption"/>
      </w:pPr>
      <w:r w:rsidRPr="004366AE">
        <w:t xml:space="preserve">Table </w:t>
      </w:r>
      <w:r w:rsidR="00834F46">
        <w:t>16</w:t>
      </w:r>
      <w:r w:rsidRPr="004366AE">
        <w:t xml:space="preserve">. </w:t>
      </w:r>
      <w:r>
        <w:t xml:space="preserve">Summary of Option 3 impacts </w:t>
      </w:r>
      <w:r w:rsidR="00921C47">
        <w:t>($</w:t>
      </w:r>
      <w:r w:rsidR="0065630B">
        <w:t xml:space="preserve"> </w:t>
      </w:r>
      <w:r w:rsidR="00921C47">
        <w:t>million)</w:t>
      </w:r>
    </w:p>
    <w:tbl>
      <w:tblPr>
        <w:tblStyle w:val="PMCDefaultTableStyle"/>
        <w:tblW w:w="0" w:type="auto"/>
        <w:jc w:val="center"/>
        <w:tblLook w:val="0620" w:firstRow="1" w:lastRow="0" w:firstColumn="0" w:lastColumn="0" w:noHBand="1" w:noVBand="1"/>
      </w:tblPr>
      <w:tblGrid>
        <w:gridCol w:w="1843"/>
        <w:gridCol w:w="1983"/>
        <w:gridCol w:w="3116"/>
        <w:gridCol w:w="1306"/>
      </w:tblGrid>
      <w:tr w:rsidR="001B7C2A" w14:paraId="019FDF42" w14:textId="77777777" w:rsidTr="00946C3B">
        <w:trPr>
          <w:cnfStyle w:val="100000000000" w:firstRow="1" w:lastRow="0" w:firstColumn="0" w:lastColumn="0" w:oddVBand="0" w:evenVBand="0" w:oddHBand="0" w:evenHBand="0" w:firstRowFirstColumn="0" w:firstRowLastColumn="0" w:lastRowFirstColumn="0" w:lastRowLastColumn="0"/>
          <w:trHeight w:val="322"/>
          <w:jc w:val="center"/>
        </w:trPr>
        <w:tc>
          <w:tcPr>
            <w:tcW w:w="1843" w:type="dxa"/>
          </w:tcPr>
          <w:p w14:paraId="6F6BC3A6" w14:textId="77777777" w:rsidR="00C058E2" w:rsidRDefault="00C058E2">
            <w:pPr>
              <w:pStyle w:val="BodyText"/>
            </w:pPr>
            <w:r>
              <w:t>Impact</w:t>
            </w:r>
          </w:p>
        </w:tc>
        <w:tc>
          <w:tcPr>
            <w:tcW w:w="1983" w:type="dxa"/>
          </w:tcPr>
          <w:p w14:paraId="143DB0B1" w14:textId="77777777" w:rsidR="00C058E2" w:rsidRDefault="00C058E2">
            <w:pPr>
              <w:pStyle w:val="BodyText"/>
            </w:pPr>
            <w:r>
              <w:t>Group</w:t>
            </w:r>
          </w:p>
        </w:tc>
        <w:tc>
          <w:tcPr>
            <w:tcW w:w="3116" w:type="dxa"/>
          </w:tcPr>
          <w:p w14:paraId="1DB033AB" w14:textId="77777777" w:rsidR="00C058E2" w:rsidRDefault="00C058E2">
            <w:pPr>
              <w:pStyle w:val="BodyText"/>
            </w:pPr>
            <w:r>
              <w:t>Type of impact</w:t>
            </w:r>
          </w:p>
        </w:tc>
        <w:tc>
          <w:tcPr>
            <w:tcW w:w="1306" w:type="dxa"/>
          </w:tcPr>
          <w:p w14:paraId="0BBAF7E6" w14:textId="474920CF" w:rsidR="00C058E2" w:rsidRDefault="00A67C4F">
            <w:pPr>
              <w:pStyle w:val="BodyText"/>
            </w:pPr>
            <w:r>
              <w:t>I</w:t>
            </w:r>
            <w:r w:rsidR="00214F05">
              <w:t>mpact</w:t>
            </w:r>
          </w:p>
        </w:tc>
      </w:tr>
      <w:tr w:rsidR="001B7C2A" w:rsidRPr="0015537B" w14:paraId="19930165" w14:textId="77777777" w:rsidTr="00946C3B">
        <w:trPr>
          <w:trHeight w:val="322"/>
          <w:jc w:val="center"/>
        </w:trPr>
        <w:tc>
          <w:tcPr>
            <w:tcW w:w="1843" w:type="dxa"/>
            <w:vMerge w:val="restart"/>
          </w:tcPr>
          <w:p w14:paraId="0ACE6699" w14:textId="77777777" w:rsidR="00DC2A24" w:rsidRPr="00AE5E88" w:rsidRDefault="00070465" w:rsidP="00CD2258">
            <w:pPr>
              <w:rPr>
                <w:sz w:val="18"/>
                <w:szCs w:val="18"/>
              </w:rPr>
            </w:pPr>
            <w:r>
              <w:rPr>
                <w:sz w:val="18"/>
                <w:szCs w:val="18"/>
              </w:rPr>
              <w:t>3</w:t>
            </w:r>
            <w:r w:rsidR="004917F7">
              <w:rPr>
                <w:sz w:val="18"/>
                <w:szCs w:val="18"/>
              </w:rPr>
              <w:t xml:space="preserve">. </w:t>
            </w:r>
            <w:r w:rsidR="00E71AA6" w:rsidRPr="00AE5E88">
              <w:rPr>
                <w:sz w:val="18"/>
                <w:szCs w:val="18"/>
              </w:rPr>
              <w:t>More frequent SG payments</w:t>
            </w:r>
          </w:p>
          <w:p w14:paraId="48B05785" w14:textId="16A581F6" w:rsidR="00E71AA6" w:rsidRPr="00AE5E88" w:rsidRDefault="00E71AA6" w:rsidP="004917F7">
            <w:pPr>
              <w:rPr>
                <w:sz w:val="18"/>
                <w:szCs w:val="18"/>
              </w:rPr>
            </w:pPr>
          </w:p>
        </w:tc>
        <w:tc>
          <w:tcPr>
            <w:tcW w:w="1983" w:type="dxa"/>
          </w:tcPr>
          <w:p w14:paraId="301A6435" w14:textId="2E229366" w:rsidR="00E71AA6" w:rsidRDefault="009057B8">
            <w:pPr>
              <w:pStyle w:val="TableBody"/>
              <w:rPr>
                <w:szCs w:val="18"/>
              </w:rPr>
            </w:pPr>
            <w:r>
              <w:rPr>
                <w:szCs w:val="18"/>
              </w:rPr>
              <w:t>Employees</w:t>
            </w:r>
          </w:p>
        </w:tc>
        <w:tc>
          <w:tcPr>
            <w:tcW w:w="3116" w:type="dxa"/>
          </w:tcPr>
          <w:p w14:paraId="7F830564" w14:textId="3FDDE1E1" w:rsidR="00E71AA6" w:rsidRDefault="00ED5CA7">
            <w:pPr>
              <w:pStyle w:val="TableBullet"/>
              <w:numPr>
                <w:ilvl w:val="0"/>
                <w:numId w:val="0"/>
              </w:numPr>
              <w:rPr>
                <w:szCs w:val="18"/>
              </w:rPr>
            </w:pPr>
            <w:r>
              <w:rPr>
                <w:szCs w:val="18"/>
              </w:rPr>
              <w:t>Increased compounding of returns</w:t>
            </w:r>
          </w:p>
        </w:tc>
        <w:tc>
          <w:tcPr>
            <w:tcW w:w="1306" w:type="dxa"/>
          </w:tcPr>
          <w:p w14:paraId="6072B9BF" w14:textId="5B7C7419" w:rsidR="00E71AA6" w:rsidRDefault="008F58E3" w:rsidP="00831C62">
            <w:pPr>
              <w:pStyle w:val="TableNumbering"/>
              <w:numPr>
                <w:ilvl w:val="0"/>
                <w:numId w:val="0"/>
              </w:numPr>
              <w:jc w:val="right"/>
              <w:rPr>
                <w:szCs w:val="18"/>
              </w:rPr>
            </w:pPr>
            <w:r>
              <w:rPr>
                <w:szCs w:val="18"/>
              </w:rPr>
              <w:t>1</w:t>
            </w:r>
            <w:r w:rsidR="00A67C4F">
              <w:rPr>
                <w:szCs w:val="18"/>
              </w:rPr>
              <w:t>,</w:t>
            </w:r>
            <w:r w:rsidR="005C1085">
              <w:rPr>
                <w:szCs w:val="18"/>
              </w:rPr>
              <w:t>368.4</w:t>
            </w:r>
          </w:p>
        </w:tc>
      </w:tr>
      <w:tr w:rsidR="001B7C2A" w:rsidRPr="0015537B" w14:paraId="0CBA2B7B" w14:textId="77777777" w:rsidTr="00946C3B">
        <w:trPr>
          <w:trHeight w:val="322"/>
          <w:jc w:val="center"/>
        </w:trPr>
        <w:tc>
          <w:tcPr>
            <w:tcW w:w="1843" w:type="dxa"/>
            <w:vMerge/>
          </w:tcPr>
          <w:p w14:paraId="0ACA979C" w14:textId="7E1776D2" w:rsidR="00E71AA6" w:rsidRDefault="00E71AA6">
            <w:pPr>
              <w:rPr>
                <w:sz w:val="18"/>
                <w:szCs w:val="18"/>
              </w:rPr>
            </w:pPr>
          </w:p>
        </w:tc>
        <w:tc>
          <w:tcPr>
            <w:tcW w:w="1983" w:type="dxa"/>
          </w:tcPr>
          <w:p w14:paraId="1926E423" w14:textId="65545705" w:rsidR="00E71AA6" w:rsidRDefault="009057B8">
            <w:pPr>
              <w:pStyle w:val="TableBody"/>
              <w:rPr>
                <w:szCs w:val="18"/>
              </w:rPr>
            </w:pPr>
            <w:r>
              <w:rPr>
                <w:szCs w:val="18"/>
              </w:rPr>
              <w:t>Superannuation funds</w:t>
            </w:r>
          </w:p>
        </w:tc>
        <w:tc>
          <w:tcPr>
            <w:tcW w:w="3116" w:type="dxa"/>
          </w:tcPr>
          <w:p w14:paraId="040AC97E" w14:textId="4670408C" w:rsidR="00E71AA6" w:rsidRDefault="00ED5CA7">
            <w:pPr>
              <w:pStyle w:val="TableBullet"/>
              <w:numPr>
                <w:ilvl w:val="0"/>
                <w:numId w:val="0"/>
              </w:numPr>
              <w:rPr>
                <w:szCs w:val="18"/>
              </w:rPr>
            </w:pPr>
            <w:r>
              <w:rPr>
                <w:szCs w:val="18"/>
              </w:rPr>
              <w:t>Increased fee revenue</w:t>
            </w:r>
          </w:p>
        </w:tc>
        <w:tc>
          <w:tcPr>
            <w:tcW w:w="1306" w:type="dxa"/>
          </w:tcPr>
          <w:p w14:paraId="2CE091C9" w14:textId="507EC730" w:rsidR="00E71AA6" w:rsidRDefault="00EF6A2D" w:rsidP="00831C62">
            <w:pPr>
              <w:pStyle w:val="TableNumbering"/>
              <w:numPr>
                <w:ilvl w:val="0"/>
                <w:numId w:val="0"/>
              </w:numPr>
              <w:jc w:val="right"/>
              <w:rPr>
                <w:szCs w:val="18"/>
              </w:rPr>
            </w:pPr>
            <w:r>
              <w:rPr>
                <w:szCs w:val="18"/>
              </w:rPr>
              <w:t>5.7</w:t>
            </w:r>
          </w:p>
        </w:tc>
      </w:tr>
      <w:tr w:rsidR="00304137" w:rsidRPr="0015537B" w14:paraId="094B2759" w14:textId="77777777" w:rsidTr="00946C3B">
        <w:trPr>
          <w:trHeight w:val="322"/>
          <w:jc w:val="center"/>
        </w:trPr>
        <w:tc>
          <w:tcPr>
            <w:tcW w:w="1843" w:type="dxa"/>
            <w:vMerge/>
          </w:tcPr>
          <w:p w14:paraId="7C3C12B4" w14:textId="63EC8F86" w:rsidR="00B774C9" w:rsidRDefault="00B774C9">
            <w:pPr>
              <w:rPr>
                <w:sz w:val="18"/>
                <w:szCs w:val="18"/>
              </w:rPr>
            </w:pPr>
          </w:p>
        </w:tc>
        <w:tc>
          <w:tcPr>
            <w:tcW w:w="1983" w:type="dxa"/>
          </w:tcPr>
          <w:p w14:paraId="27A68DDC" w14:textId="692ADB7F" w:rsidR="00B774C9" w:rsidRDefault="009057B8">
            <w:pPr>
              <w:pStyle w:val="TableBody"/>
              <w:rPr>
                <w:szCs w:val="18"/>
              </w:rPr>
            </w:pPr>
            <w:r>
              <w:rPr>
                <w:szCs w:val="18"/>
              </w:rPr>
              <w:t>Employers</w:t>
            </w:r>
          </w:p>
        </w:tc>
        <w:tc>
          <w:tcPr>
            <w:tcW w:w="3116" w:type="dxa"/>
          </w:tcPr>
          <w:p w14:paraId="3B9CFE2C" w14:textId="13E952FC" w:rsidR="00B774C9" w:rsidRDefault="00FC01E4">
            <w:pPr>
              <w:pStyle w:val="TableBullet"/>
              <w:numPr>
                <w:ilvl w:val="0"/>
                <w:numId w:val="0"/>
              </w:numPr>
              <w:rPr>
                <w:szCs w:val="18"/>
              </w:rPr>
            </w:pPr>
            <w:r>
              <w:rPr>
                <w:szCs w:val="18"/>
              </w:rPr>
              <w:t>Cash-flow adjustments</w:t>
            </w:r>
          </w:p>
        </w:tc>
        <w:tc>
          <w:tcPr>
            <w:tcW w:w="1306" w:type="dxa"/>
          </w:tcPr>
          <w:p w14:paraId="10CFC23E" w14:textId="79214F2E" w:rsidR="00B774C9" w:rsidRDefault="002F7C26" w:rsidP="00831C62">
            <w:pPr>
              <w:pStyle w:val="TableNumbering"/>
              <w:numPr>
                <w:ilvl w:val="0"/>
                <w:numId w:val="0"/>
              </w:numPr>
              <w:jc w:val="right"/>
              <w:rPr>
                <w:szCs w:val="18"/>
              </w:rPr>
            </w:pPr>
            <w:r>
              <w:rPr>
                <w:szCs w:val="18"/>
              </w:rPr>
              <w:t>Unquantifiable</w:t>
            </w:r>
          </w:p>
        </w:tc>
      </w:tr>
      <w:tr w:rsidR="00096FE4" w:rsidRPr="0015537B" w14:paraId="32130337" w14:textId="77777777" w:rsidTr="00946C3B">
        <w:trPr>
          <w:trHeight w:val="322"/>
          <w:jc w:val="center"/>
        </w:trPr>
        <w:tc>
          <w:tcPr>
            <w:tcW w:w="1843" w:type="dxa"/>
            <w:vMerge w:val="restart"/>
          </w:tcPr>
          <w:p w14:paraId="0D4B14A6" w14:textId="51AB9BE7" w:rsidR="00225031" w:rsidRDefault="00225031" w:rsidP="00225031">
            <w:pPr>
              <w:rPr>
                <w:sz w:val="18"/>
                <w:szCs w:val="18"/>
              </w:rPr>
            </w:pPr>
            <w:r>
              <w:rPr>
                <w:sz w:val="18"/>
                <w:szCs w:val="18"/>
              </w:rPr>
              <w:t>4. Regulatory costs</w:t>
            </w:r>
          </w:p>
        </w:tc>
        <w:tc>
          <w:tcPr>
            <w:tcW w:w="1983" w:type="dxa"/>
          </w:tcPr>
          <w:p w14:paraId="1463E32C" w14:textId="60720032" w:rsidR="00225031" w:rsidRPr="00865332" w:rsidRDefault="00225031" w:rsidP="00225031">
            <w:pPr>
              <w:rPr>
                <w:sz w:val="18"/>
                <w:szCs w:val="14"/>
              </w:rPr>
            </w:pPr>
            <w:r>
              <w:rPr>
                <w:sz w:val="18"/>
                <w:szCs w:val="14"/>
              </w:rPr>
              <w:t>Employees</w:t>
            </w:r>
          </w:p>
        </w:tc>
        <w:tc>
          <w:tcPr>
            <w:tcW w:w="3116" w:type="dxa"/>
          </w:tcPr>
          <w:p w14:paraId="570ED1AB" w14:textId="26447313" w:rsidR="00225031" w:rsidRDefault="00225031" w:rsidP="00225031">
            <w:pPr>
              <w:pStyle w:val="TableBullet"/>
              <w:numPr>
                <w:ilvl w:val="0"/>
                <w:numId w:val="0"/>
              </w:numPr>
              <w:rPr>
                <w:szCs w:val="18"/>
              </w:rPr>
            </w:pPr>
            <w:r>
              <w:rPr>
                <w:szCs w:val="18"/>
              </w:rPr>
              <w:t xml:space="preserve">Automation of manual process  </w:t>
            </w:r>
          </w:p>
        </w:tc>
        <w:tc>
          <w:tcPr>
            <w:tcW w:w="1306" w:type="dxa"/>
          </w:tcPr>
          <w:p w14:paraId="6E8E8049" w14:textId="054C4511" w:rsidR="00225031" w:rsidRDefault="00B43ADB" w:rsidP="00831C62">
            <w:pPr>
              <w:pStyle w:val="TableNumbering"/>
              <w:numPr>
                <w:ilvl w:val="0"/>
                <w:numId w:val="0"/>
              </w:numPr>
              <w:jc w:val="right"/>
              <w:rPr>
                <w:szCs w:val="18"/>
              </w:rPr>
            </w:pPr>
            <w:r>
              <w:rPr>
                <w:szCs w:val="18"/>
              </w:rPr>
              <w:t>(</w:t>
            </w:r>
            <w:r w:rsidR="001B76C4">
              <w:rPr>
                <w:szCs w:val="18"/>
              </w:rPr>
              <w:t>5.</w:t>
            </w:r>
            <w:r w:rsidR="00D40F09">
              <w:rPr>
                <w:szCs w:val="18"/>
              </w:rPr>
              <w:t>5</w:t>
            </w:r>
            <w:r>
              <w:rPr>
                <w:szCs w:val="18"/>
              </w:rPr>
              <w:t>)</w:t>
            </w:r>
          </w:p>
        </w:tc>
      </w:tr>
      <w:tr w:rsidR="00766E3B" w:rsidRPr="0015537B" w14:paraId="5F3CD11C" w14:textId="77777777" w:rsidTr="00946C3B">
        <w:trPr>
          <w:trHeight w:val="322"/>
          <w:jc w:val="center"/>
        </w:trPr>
        <w:tc>
          <w:tcPr>
            <w:tcW w:w="1843" w:type="dxa"/>
            <w:vMerge/>
          </w:tcPr>
          <w:p w14:paraId="46E26187" w14:textId="12D20B62" w:rsidR="003D2FEB" w:rsidRDefault="003D2FEB" w:rsidP="003D2FEB">
            <w:pPr>
              <w:rPr>
                <w:sz w:val="18"/>
                <w:szCs w:val="18"/>
              </w:rPr>
            </w:pPr>
          </w:p>
        </w:tc>
        <w:tc>
          <w:tcPr>
            <w:tcW w:w="1983" w:type="dxa"/>
          </w:tcPr>
          <w:p w14:paraId="75C44D02" w14:textId="734BB30B" w:rsidR="003D2FEB" w:rsidRDefault="003D2FEB" w:rsidP="003D2FEB">
            <w:pPr>
              <w:rPr>
                <w:sz w:val="18"/>
                <w:szCs w:val="18"/>
              </w:rPr>
            </w:pPr>
            <w:r w:rsidRPr="00865332">
              <w:rPr>
                <w:sz w:val="18"/>
                <w:szCs w:val="14"/>
              </w:rPr>
              <w:t>Employers</w:t>
            </w:r>
          </w:p>
        </w:tc>
        <w:tc>
          <w:tcPr>
            <w:tcW w:w="3116" w:type="dxa"/>
          </w:tcPr>
          <w:p w14:paraId="06CB452F" w14:textId="2569D537" w:rsidR="003D2FEB" w:rsidRDefault="003D2FEB" w:rsidP="003D2FEB">
            <w:pPr>
              <w:pStyle w:val="TableBullet"/>
              <w:numPr>
                <w:ilvl w:val="0"/>
                <w:numId w:val="0"/>
              </w:numPr>
              <w:rPr>
                <w:szCs w:val="18"/>
              </w:rPr>
            </w:pPr>
            <w:r>
              <w:rPr>
                <w:szCs w:val="18"/>
              </w:rPr>
              <w:t>System upgrades</w:t>
            </w:r>
          </w:p>
        </w:tc>
        <w:tc>
          <w:tcPr>
            <w:tcW w:w="1306" w:type="dxa"/>
          </w:tcPr>
          <w:p w14:paraId="3F29CE80" w14:textId="36EB80C9" w:rsidR="003D2FEB" w:rsidRPr="004C7D75" w:rsidRDefault="00DB2485" w:rsidP="00831C62">
            <w:pPr>
              <w:pStyle w:val="TableNumbering"/>
              <w:numPr>
                <w:ilvl w:val="0"/>
                <w:numId w:val="0"/>
              </w:numPr>
              <w:jc w:val="right"/>
              <w:rPr>
                <w:sz w:val="20"/>
              </w:rPr>
            </w:pPr>
            <w:r>
              <w:rPr>
                <w:szCs w:val="18"/>
              </w:rPr>
              <w:t>1</w:t>
            </w:r>
            <w:r w:rsidR="00A67C4F">
              <w:rPr>
                <w:szCs w:val="18"/>
              </w:rPr>
              <w:t>,</w:t>
            </w:r>
            <w:r>
              <w:rPr>
                <w:szCs w:val="18"/>
              </w:rPr>
              <w:t>2</w:t>
            </w:r>
            <w:r w:rsidR="006B13FF">
              <w:rPr>
                <w:szCs w:val="18"/>
              </w:rPr>
              <w:t>21</w:t>
            </w:r>
            <w:r w:rsidR="00F6068D">
              <w:rPr>
                <w:szCs w:val="18"/>
              </w:rPr>
              <w:t>.0</w:t>
            </w:r>
          </w:p>
        </w:tc>
      </w:tr>
      <w:tr w:rsidR="00766E3B" w:rsidRPr="0015537B" w14:paraId="77B2F84E" w14:textId="77777777" w:rsidTr="00946C3B">
        <w:trPr>
          <w:trHeight w:val="322"/>
          <w:jc w:val="center"/>
        </w:trPr>
        <w:tc>
          <w:tcPr>
            <w:tcW w:w="1843" w:type="dxa"/>
            <w:vMerge/>
          </w:tcPr>
          <w:p w14:paraId="677BBE7D" w14:textId="0A0172C4" w:rsidR="003D2FEB" w:rsidRDefault="003D2FEB" w:rsidP="003D2FEB">
            <w:pPr>
              <w:rPr>
                <w:sz w:val="18"/>
                <w:szCs w:val="18"/>
              </w:rPr>
            </w:pPr>
          </w:p>
        </w:tc>
        <w:tc>
          <w:tcPr>
            <w:tcW w:w="1983" w:type="dxa"/>
          </w:tcPr>
          <w:p w14:paraId="1147BC39" w14:textId="67C0A0F2" w:rsidR="003D2FEB" w:rsidRDefault="003D2FEB" w:rsidP="003D2FEB">
            <w:pPr>
              <w:rPr>
                <w:sz w:val="18"/>
                <w:szCs w:val="18"/>
              </w:rPr>
            </w:pPr>
            <w:r>
              <w:rPr>
                <w:sz w:val="18"/>
                <w:szCs w:val="18"/>
              </w:rPr>
              <w:t>Clearing houses</w:t>
            </w:r>
          </w:p>
        </w:tc>
        <w:tc>
          <w:tcPr>
            <w:tcW w:w="3116" w:type="dxa"/>
          </w:tcPr>
          <w:p w14:paraId="080C7F06" w14:textId="0051D671" w:rsidR="003D2FEB" w:rsidRDefault="003D2FEB" w:rsidP="003D2FEB">
            <w:pPr>
              <w:pStyle w:val="TableBullet"/>
              <w:numPr>
                <w:ilvl w:val="0"/>
                <w:numId w:val="0"/>
              </w:numPr>
              <w:rPr>
                <w:szCs w:val="18"/>
              </w:rPr>
            </w:pPr>
            <w:r>
              <w:rPr>
                <w:szCs w:val="18"/>
              </w:rPr>
              <w:t>System upgrades &amp; fee structure changes</w:t>
            </w:r>
          </w:p>
        </w:tc>
        <w:tc>
          <w:tcPr>
            <w:tcW w:w="1306" w:type="dxa"/>
          </w:tcPr>
          <w:p w14:paraId="6271B204" w14:textId="769A37FC" w:rsidR="003D2FEB" w:rsidRDefault="00BD147A" w:rsidP="004C7D75">
            <w:pPr>
              <w:pStyle w:val="TableNumbering"/>
              <w:numPr>
                <w:ilvl w:val="0"/>
                <w:numId w:val="0"/>
              </w:numPr>
              <w:jc w:val="right"/>
              <w:rPr>
                <w:szCs w:val="18"/>
              </w:rPr>
            </w:pPr>
            <w:r>
              <w:rPr>
                <w:szCs w:val="18"/>
              </w:rPr>
              <w:t>0.</w:t>
            </w:r>
            <w:r w:rsidR="00C93E70">
              <w:rPr>
                <w:szCs w:val="18"/>
              </w:rPr>
              <w:t>3</w:t>
            </w:r>
          </w:p>
        </w:tc>
      </w:tr>
      <w:tr w:rsidR="00766E3B" w:rsidRPr="0015537B" w14:paraId="34C1279A" w14:textId="77777777" w:rsidTr="00946C3B">
        <w:trPr>
          <w:trHeight w:val="322"/>
          <w:jc w:val="center"/>
        </w:trPr>
        <w:tc>
          <w:tcPr>
            <w:tcW w:w="1843" w:type="dxa"/>
            <w:vMerge/>
          </w:tcPr>
          <w:p w14:paraId="254EA4BB" w14:textId="5A01B4C9" w:rsidR="00C058E2" w:rsidRPr="00DA7726" w:rsidRDefault="00C058E2">
            <w:pPr>
              <w:rPr>
                <w:sz w:val="18"/>
                <w:szCs w:val="18"/>
              </w:rPr>
            </w:pPr>
          </w:p>
        </w:tc>
        <w:tc>
          <w:tcPr>
            <w:tcW w:w="1983" w:type="dxa"/>
          </w:tcPr>
          <w:p w14:paraId="55126BE7" w14:textId="77777777" w:rsidR="00C058E2" w:rsidRPr="00DA7726" w:rsidRDefault="00C058E2">
            <w:pPr>
              <w:rPr>
                <w:sz w:val="18"/>
                <w:szCs w:val="18"/>
              </w:rPr>
            </w:pPr>
            <w:r>
              <w:rPr>
                <w:sz w:val="18"/>
                <w:szCs w:val="18"/>
              </w:rPr>
              <w:t>Superannuation funds</w:t>
            </w:r>
          </w:p>
        </w:tc>
        <w:tc>
          <w:tcPr>
            <w:tcW w:w="3116" w:type="dxa"/>
          </w:tcPr>
          <w:p w14:paraId="3EC2722E" w14:textId="04B3D9C3" w:rsidR="00C058E2" w:rsidRPr="00DA7726" w:rsidRDefault="003D2FEB">
            <w:pPr>
              <w:pStyle w:val="TableBullet"/>
              <w:numPr>
                <w:ilvl w:val="0"/>
                <w:numId w:val="0"/>
              </w:numPr>
              <w:rPr>
                <w:szCs w:val="18"/>
              </w:rPr>
            </w:pPr>
            <w:r>
              <w:rPr>
                <w:szCs w:val="18"/>
              </w:rPr>
              <w:t>System upgrades</w:t>
            </w:r>
          </w:p>
        </w:tc>
        <w:tc>
          <w:tcPr>
            <w:tcW w:w="1306" w:type="dxa"/>
          </w:tcPr>
          <w:p w14:paraId="44A332D1" w14:textId="1562C0ED" w:rsidR="00C058E2" w:rsidRDefault="00BD147A" w:rsidP="00831C62">
            <w:pPr>
              <w:pStyle w:val="TableNumbering"/>
              <w:numPr>
                <w:ilvl w:val="0"/>
                <w:numId w:val="0"/>
              </w:numPr>
              <w:jc w:val="right"/>
              <w:rPr>
                <w:szCs w:val="18"/>
              </w:rPr>
            </w:pPr>
            <w:r>
              <w:rPr>
                <w:szCs w:val="18"/>
              </w:rPr>
              <w:t>5.7</w:t>
            </w:r>
          </w:p>
        </w:tc>
      </w:tr>
      <w:tr w:rsidR="00766E3B" w:rsidRPr="0015537B" w14:paraId="66E0A14B" w14:textId="77777777" w:rsidTr="00946C3B">
        <w:trPr>
          <w:trHeight w:val="322"/>
          <w:jc w:val="center"/>
        </w:trPr>
        <w:tc>
          <w:tcPr>
            <w:tcW w:w="1843" w:type="dxa"/>
            <w:vMerge/>
          </w:tcPr>
          <w:p w14:paraId="71191A21" w14:textId="77777777" w:rsidR="00C058E2" w:rsidRDefault="00C058E2">
            <w:pPr>
              <w:rPr>
                <w:sz w:val="18"/>
                <w:szCs w:val="18"/>
              </w:rPr>
            </w:pPr>
          </w:p>
        </w:tc>
        <w:tc>
          <w:tcPr>
            <w:tcW w:w="1983" w:type="dxa"/>
          </w:tcPr>
          <w:p w14:paraId="6B0C665C" w14:textId="77777777" w:rsidR="00C058E2" w:rsidRPr="00DA7726" w:rsidRDefault="00C058E2">
            <w:pPr>
              <w:rPr>
                <w:sz w:val="18"/>
                <w:szCs w:val="18"/>
              </w:rPr>
            </w:pPr>
            <w:r>
              <w:rPr>
                <w:sz w:val="18"/>
                <w:szCs w:val="18"/>
              </w:rPr>
              <w:t>Digital service providers</w:t>
            </w:r>
          </w:p>
        </w:tc>
        <w:tc>
          <w:tcPr>
            <w:tcW w:w="3116" w:type="dxa"/>
          </w:tcPr>
          <w:p w14:paraId="55BFD9B9" w14:textId="0FD7A858" w:rsidR="00C058E2" w:rsidRPr="00DA7726" w:rsidRDefault="003D2FEB">
            <w:pPr>
              <w:pStyle w:val="TableBullet"/>
              <w:numPr>
                <w:ilvl w:val="0"/>
                <w:numId w:val="0"/>
              </w:numPr>
              <w:rPr>
                <w:szCs w:val="18"/>
              </w:rPr>
            </w:pPr>
            <w:r>
              <w:rPr>
                <w:szCs w:val="18"/>
              </w:rPr>
              <w:t>System upgrades</w:t>
            </w:r>
          </w:p>
        </w:tc>
        <w:tc>
          <w:tcPr>
            <w:tcW w:w="1306" w:type="dxa"/>
          </w:tcPr>
          <w:p w14:paraId="3C106340" w14:textId="088FF9AD" w:rsidR="00C058E2" w:rsidRDefault="00BD147A" w:rsidP="00831C62">
            <w:pPr>
              <w:pStyle w:val="TableNumbering"/>
              <w:numPr>
                <w:ilvl w:val="0"/>
                <w:numId w:val="0"/>
              </w:numPr>
              <w:jc w:val="right"/>
              <w:rPr>
                <w:szCs w:val="18"/>
              </w:rPr>
            </w:pPr>
            <w:r>
              <w:rPr>
                <w:szCs w:val="18"/>
              </w:rPr>
              <w:t>10.</w:t>
            </w:r>
            <w:r w:rsidR="00033003">
              <w:rPr>
                <w:szCs w:val="18"/>
              </w:rPr>
              <w:t>4</w:t>
            </w:r>
          </w:p>
        </w:tc>
      </w:tr>
      <w:tr w:rsidR="00304137" w:rsidRPr="0015537B" w14:paraId="0BB39B7B" w14:textId="77777777" w:rsidTr="00946C3B">
        <w:trPr>
          <w:trHeight w:val="322"/>
          <w:jc w:val="center"/>
        </w:trPr>
        <w:tc>
          <w:tcPr>
            <w:tcW w:w="1843" w:type="dxa"/>
            <w:vMerge/>
          </w:tcPr>
          <w:p w14:paraId="56A71995" w14:textId="77777777" w:rsidR="00C01B11" w:rsidRDefault="00C01B11" w:rsidP="00C01B11">
            <w:pPr>
              <w:rPr>
                <w:sz w:val="18"/>
                <w:szCs w:val="18"/>
              </w:rPr>
            </w:pPr>
          </w:p>
        </w:tc>
        <w:tc>
          <w:tcPr>
            <w:tcW w:w="1983" w:type="dxa"/>
          </w:tcPr>
          <w:p w14:paraId="638D4943" w14:textId="5EB94AF0" w:rsidR="00C01B11" w:rsidRDefault="00C01B11" w:rsidP="00C01B11">
            <w:pPr>
              <w:rPr>
                <w:sz w:val="18"/>
                <w:szCs w:val="18"/>
              </w:rPr>
            </w:pPr>
            <w:r w:rsidRPr="00865332">
              <w:rPr>
                <w:sz w:val="18"/>
                <w:szCs w:val="14"/>
              </w:rPr>
              <w:t>Employers</w:t>
            </w:r>
          </w:p>
        </w:tc>
        <w:tc>
          <w:tcPr>
            <w:tcW w:w="3116" w:type="dxa"/>
          </w:tcPr>
          <w:p w14:paraId="3E406AE7" w14:textId="148DF940" w:rsidR="00C01B11" w:rsidRDefault="001F2C9C" w:rsidP="00C01B11">
            <w:pPr>
              <w:pStyle w:val="TableBullet"/>
              <w:numPr>
                <w:ilvl w:val="0"/>
                <w:numId w:val="0"/>
              </w:numPr>
              <w:rPr>
                <w:szCs w:val="18"/>
              </w:rPr>
            </w:pPr>
            <w:r>
              <w:rPr>
                <w:szCs w:val="18"/>
              </w:rPr>
              <w:t>Understanding new regulations</w:t>
            </w:r>
          </w:p>
        </w:tc>
        <w:tc>
          <w:tcPr>
            <w:tcW w:w="1306" w:type="dxa"/>
          </w:tcPr>
          <w:p w14:paraId="4851F868" w14:textId="188A88A6" w:rsidR="00C01B11" w:rsidRDefault="001F2C9C" w:rsidP="00831C62">
            <w:pPr>
              <w:pStyle w:val="TableNumbering"/>
              <w:numPr>
                <w:ilvl w:val="0"/>
                <w:numId w:val="0"/>
              </w:numPr>
              <w:jc w:val="right"/>
              <w:rPr>
                <w:szCs w:val="18"/>
              </w:rPr>
            </w:pPr>
            <w:r>
              <w:rPr>
                <w:szCs w:val="18"/>
              </w:rPr>
              <w:t>1</w:t>
            </w:r>
            <w:r w:rsidR="00D31821">
              <w:rPr>
                <w:szCs w:val="18"/>
              </w:rPr>
              <w:t>2</w:t>
            </w:r>
            <w:r w:rsidR="006B237C">
              <w:rPr>
                <w:szCs w:val="18"/>
              </w:rPr>
              <w:t>6.8</w:t>
            </w:r>
            <w:r w:rsidR="00033003">
              <w:rPr>
                <w:szCs w:val="18"/>
              </w:rPr>
              <w:t xml:space="preserve"> </w:t>
            </w:r>
          </w:p>
        </w:tc>
      </w:tr>
      <w:tr w:rsidR="00304137" w:rsidRPr="0015537B" w14:paraId="0916A07E" w14:textId="77777777" w:rsidTr="00946C3B">
        <w:trPr>
          <w:trHeight w:val="322"/>
          <w:jc w:val="center"/>
        </w:trPr>
        <w:tc>
          <w:tcPr>
            <w:tcW w:w="1843" w:type="dxa"/>
            <w:vMerge/>
          </w:tcPr>
          <w:p w14:paraId="04606E2B" w14:textId="77777777" w:rsidR="00C01B11" w:rsidRDefault="00C01B11" w:rsidP="00C01B11">
            <w:pPr>
              <w:rPr>
                <w:sz w:val="18"/>
                <w:szCs w:val="18"/>
              </w:rPr>
            </w:pPr>
          </w:p>
        </w:tc>
        <w:tc>
          <w:tcPr>
            <w:tcW w:w="1983" w:type="dxa"/>
          </w:tcPr>
          <w:p w14:paraId="026F08BE" w14:textId="057CCEFB" w:rsidR="00C01B11" w:rsidRDefault="00C01B11" w:rsidP="00C01B11">
            <w:pPr>
              <w:rPr>
                <w:sz w:val="18"/>
                <w:szCs w:val="18"/>
              </w:rPr>
            </w:pPr>
            <w:r>
              <w:rPr>
                <w:sz w:val="18"/>
                <w:szCs w:val="18"/>
              </w:rPr>
              <w:t>Clearing houses</w:t>
            </w:r>
          </w:p>
        </w:tc>
        <w:tc>
          <w:tcPr>
            <w:tcW w:w="3116" w:type="dxa"/>
          </w:tcPr>
          <w:p w14:paraId="78AF1F70" w14:textId="472773A5" w:rsidR="00C01B11" w:rsidRDefault="00673461" w:rsidP="00C01B11">
            <w:pPr>
              <w:pStyle w:val="TableBullet"/>
              <w:numPr>
                <w:ilvl w:val="0"/>
                <w:numId w:val="0"/>
              </w:numPr>
              <w:rPr>
                <w:szCs w:val="18"/>
              </w:rPr>
            </w:pPr>
            <w:r>
              <w:rPr>
                <w:szCs w:val="18"/>
              </w:rPr>
              <w:t>Understanding new regulations</w:t>
            </w:r>
          </w:p>
        </w:tc>
        <w:tc>
          <w:tcPr>
            <w:tcW w:w="1306" w:type="dxa"/>
          </w:tcPr>
          <w:p w14:paraId="7155F14A" w14:textId="5BD86710" w:rsidR="00C01B11" w:rsidRDefault="00B756F0" w:rsidP="00831C62">
            <w:pPr>
              <w:pStyle w:val="TableNumbering"/>
              <w:numPr>
                <w:ilvl w:val="0"/>
                <w:numId w:val="0"/>
              </w:numPr>
              <w:jc w:val="right"/>
              <w:rPr>
                <w:szCs w:val="18"/>
              </w:rPr>
            </w:pPr>
            <w:r>
              <w:rPr>
                <w:szCs w:val="18"/>
              </w:rPr>
              <w:t>0.0</w:t>
            </w:r>
          </w:p>
        </w:tc>
      </w:tr>
      <w:tr w:rsidR="00304137" w:rsidRPr="0015537B" w14:paraId="783A513B" w14:textId="77777777" w:rsidTr="00946C3B">
        <w:trPr>
          <w:trHeight w:val="322"/>
          <w:jc w:val="center"/>
        </w:trPr>
        <w:tc>
          <w:tcPr>
            <w:tcW w:w="1843" w:type="dxa"/>
            <w:vMerge/>
          </w:tcPr>
          <w:p w14:paraId="4417B7F2" w14:textId="77777777" w:rsidR="00C01B11" w:rsidRDefault="00C01B11" w:rsidP="00C01B11">
            <w:pPr>
              <w:rPr>
                <w:sz w:val="18"/>
                <w:szCs w:val="18"/>
              </w:rPr>
            </w:pPr>
          </w:p>
        </w:tc>
        <w:tc>
          <w:tcPr>
            <w:tcW w:w="1983" w:type="dxa"/>
          </w:tcPr>
          <w:p w14:paraId="5CF8A544" w14:textId="201D14FB" w:rsidR="00C01B11" w:rsidRDefault="00C01B11" w:rsidP="00C01B11">
            <w:pPr>
              <w:rPr>
                <w:sz w:val="18"/>
                <w:szCs w:val="18"/>
              </w:rPr>
            </w:pPr>
            <w:r>
              <w:rPr>
                <w:sz w:val="18"/>
                <w:szCs w:val="18"/>
              </w:rPr>
              <w:t>Superannuation funds</w:t>
            </w:r>
          </w:p>
        </w:tc>
        <w:tc>
          <w:tcPr>
            <w:tcW w:w="3116" w:type="dxa"/>
          </w:tcPr>
          <w:p w14:paraId="49E90030" w14:textId="26A124B3" w:rsidR="00C01B11" w:rsidRDefault="00673461" w:rsidP="00C01B11">
            <w:pPr>
              <w:pStyle w:val="TableBullet"/>
              <w:numPr>
                <w:ilvl w:val="0"/>
                <w:numId w:val="0"/>
              </w:numPr>
              <w:rPr>
                <w:szCs w:val="18"/>
              </w:rPr>
            </w:pPr>
            <w:r>
              <w:rPr>
                <w:szCs w:val="18"/>
              </w:rPr>
              <w:t>Understanding new regulations</w:t>
            </w:r>
          </w:p>
        </w:tc>
        <w:tc>
          <w:tcPr>
            <w:tcW w:w="1306" w:type="dxa"/>
          </w:tcPr>
          <w:p w14:paraId="0AB90D27" w14:textId="48E9AF26" w:rsidR="00C01B11" w:rsidRDefault="00401B3E" w:rsidP="00831C62">
            <w:pPr>
              <w:pStyle w:val="TableNumbering"/>
              <w:numPr>
                <w:ilvl w:val="0"/>
                <w:numId w:val="0"/>
              </w:numPr>
              <w:jc w:val="right"/>
              <w:rPr>
                <w:szCs w:val="18"/>
              </w:rPr>
            </w:pPr>
            <w:r>
              <w:rPr>
                <w:szCs w:val="18"/>
              </w:rPr>
              <w:t>0.</w:t>
            </w:r>
            <w:r w:rsidR="006404FB">
              <w:rPr>
                <w:szCs w:val="18"/>
              </w:rPr>
              <w:t>2</w:t>
            </w:r>
            <w:r w:rsidR="00AF036E">
              <w:rPr>
                <w:szCs w:val="18"/>
              </w:rPr>
              <w:t xml:space="preserve"> </w:t>
            </w:r>
          </w:p>
        </w:tc>
      </w:tr>
      <w:tr w:rsidR="00304137" w:rsidRPr="0015537B" w14:paraId="7AD7A055" w14:textId="77777777" w:rsidTr="00946C3B">
        <w:trPr>
          <w:trHeight w:val="322"/>
          <w:jc w:val="center"/>
        </w:trPr>
        <w:tc>
          <w:tcPr>
            <w:tcW w:w="1843" w:type="dxa"/>
            <w:vMerge/>
          </w:tcPr>
          <w:p w14:paraId="704B29E2" w14:textId="77777777" w:rsidR="00C01B11" w:rsidRDefault="00C01B11" w:rsidP="00C01B11">
            <w:pPr>
              <w:rPr>
                <w:sz w:val="18"/>
                <w:szCs w:val="18"/>
              </w:rPr>
            </w:pPr>
          </w:p>
        </w:tc>
        <w:tc>
          <w:tcPr>
            <w:tcW w:w="1983" w:type="dxa"/>
          </w:tcPr>
          <w:p w14:paraId="0E92C136" w14:textId="16BA9197" w:rsidR="00C01B11" w:rsidRDefault="00C01B11" w:rsidP="00C01B11">
            <w:pPr>
              <w:rPr>
                <w:sz w:val="18"/>
                <w:szCs w:val="18"/>
              </w:rPr>
            </w:pPr>
            <w:r>
              <w:rPr>
                <w:sz w:val="18"/>
                <w:szCs w:val="18"/>
              </w:rPr>
              <w:t>Digital service providers</w:t>
            </w:r>
          </w:p>
        </w:tc>
        <w:tc>
          <w:tcPr>
            <w:tcW w:w="3116" w:type="dxa"/>
          </w:tcPr>
          <w:p w14:paraId="2F0ADCB5" w14:textId="48D912C4" w:rsidR="00C01B11" w:rsidRDefault="00673461" w:rsidP="00C01B11">
            <w:pPr>
              <w:pStyle w:val="TableBullet"/>
              <w:numPr>
                <w:ilvl w:val="0"/>
                <w:numId w:val="0"/>
              </w:numPr>
              <w:rPr>
                <w:szCs w:val="18"/>
              </w:rPr>
            </w:pPr>
            <w:r>
              <w:rPr>
                <w:szCs w:val="18"/>
              </w:rPr>
              <w:t>Understanding new regulations</w:t>
            </w:r>
          </w:p>
        </w:tc>
        <w:tc>
          <w:tcPr>
            <w:tcW w:w="1306" w:type="dxa"/>
          </w:tcPr>
          <w:p w14:paraId="4EC1C60C" w14:textId="47F1210B" w:rsidR="00C01B11" w:rsidRDefault="00413BC4" w:rsidP="00831C62">
            <w:pPr>
              <w:pStyle w:val="TableNumbering"/>
              <w:numPr>
                <w:ilvl w:val="0"/>
                <w:numId w:val="0"/>
              </w:numPr>
              <w:jc w:val="right"/>
              <w:rPr>
                <w:szCs w:val="18"/>
              </w:rPr>
            </w:pPr>
            <w:r>
              <w:rPr>
                <w:szCs w:val="18"/>
              </w:rPr>
              <w:t>0.</w:t>
            </w:r>
            <w:r w:rsidR="00D10B1B">
              <w:rPr>
                <w:szCs w:val="18"/>
              </w:rPr>
              <w:t>1</w:t>
            </w:r>
          </w:p>
        </w:tc>
      </w:tr>
      <w:tr w:rsidR="004F7EA6" w:rsidRPr="0015537B" w14:paraId="1518E0EA" w14:textId="77777777" w:rsidTr="004F7EA6">
        <w:trPr>
          <w:trHeight w:val="322"/>
          <w:jc w:val="center"/>
        </w:trPr>
        <w:tc>
          <w:tcPr>
            <w:tcW w:w="1843" w:type="dxa"/>
            <w:vMerge w:val="restart"/>
          </w:tcPr>
          <w:p w14:paraId="529896DB" w14:textId="6DF0B6E6" w:rsidR="00C058E2" w:rsidRPr="00DA7726" w:rsidRDefault="00021F8D">
            <w:pPr>
              <w:rPr>
                <w:sz w:val="18"/>
                <w:szCs w:val="18"/>
              </w:rPr>
            </w:pPr>
            <w:r>
              <w:rPr>
                <w:sz w:val="18"/>
                <w:szCs w:val="18"/>
              </w:rPr>
              <w:t>5</w:t>
            </w:r>
            <w:r w:rsidR="00C058E2">
              <w:rPr>
                <w:sz w:val="18"/>
                <w:szCs w:val="18"/>
              </w:rPr>
              <w:t>. Government expenditure</w:t>
            </w:r>
          </w:p>
        </w:tc>
        <w:tc>
          <w:tcPr>
            <w:tcW w:w="1983" w:type="dxa"/>
          </w:tcPr>
          <w:p w14:paraId="42E03CE1" w14:textId="77777777" w:rsidR="00C058E2" w:rsidRPr="00DA7726" w:rsidRDefault="00C058E2">
            <w:pPr>
              <w:rPr>
                <w:sz w:val="18"/>
                <w:szCs w:val="18"/>
              </w:rPr>
            </w:pPr>
            <w:r>
              <w:rPr>
                <w:sz w:val="18"/>
                <w:szCs w:val="18"/>
              </w:rPr>
              <w:t>ATO</w:t>
            </w:r>
          </w:p>
        </w:tc>
        <w:tc>
          <w:tcPr>
            <w:tcW w:w="3116" w:type="dxa"/>
          </w:tcPr>
          <w:p w14:paraId="2F8C5E1A" w14:textId="77777777" w:rsidR="00C058E2" w:rsidRPr="00DA7726" w:rsidRDefault="00C058E2">
            <w:pPr>
              <w:pStyle w:val="TableBullet"/>
              <w:numPr>
                <w:ilvl w:val="0"/>
                <w:numId w:val="0"/>
              </w:numPr>
              <w:rPr>
                <w:szCs w:val="18"/>
              </w:rPr>
            </w:pPr>
            <w:r>
              <w:rPr>
                <w:szCs w:val="18"/>
              </w:rPr>
              <w:t>Implementation costs</w:t>
            </w:r>
          </w:p>
        </w:tc>
        <w:tc>
          <w:tcPr>
            <w:tcW w:w="1306" w:type="dxa"/>
          </w:tcPr>
          <w:p w14:paraId="3702E788" w14:textId="15A91243" w:rsidR="00C058E2" w:rsidRDefault="008434A4" w:rsidP="00831C62">
            <w:pPr>
              <w:pStyle w:val="TableNumbering"/>
              <w:numPr>
                <w:ilvl w:val="0"/>
                <w:numId w:val="0"/>
              </w:numPr>
              <w:jc w:val="right"/>
              <w:rPr>
                <w:szCs w:val="18"/>
              </w:rPr>
            </w:pPr>
            <w:r>
              <w:rPr>
                <w:szCs w:val="18"/>
              </w:rPr>
              <w:t>2</w:t>
            </w:r>
            <w:r w:rsidR="008B400C">
              <w:rPr>
                <w:szCs w:val="18"/>
              </w:rPr>
              <w:t>00.0</w:t>
            </w:r>
          </w:p>
        </w:tc>
      </w:tr>
      <w:tr w:rsidR="004F7EA6" w:rsidRPr="0015537B" w14:paraId="52951A52" w14:textId="77777777" w:rsidTr="004F7EA6">
        <w:trPr>
          <w:trHeight w:val="322"/>
          <w:jc w:val="center"/>
        </w:trPr>
        <w:tc>
          <w:tcPr>
            <w:tcW w:w="1843" w:type="dxa"/>
            <w:vMerge/>
          </w:tcPr>
          <w:p w14:paraId="2A310E04" w14:textId="77777777" w:rsidR="00B36F52" w:rsidRDefault="00B36F52" w:rsidP="00B36F52">
            <w:pPr>
              <w:rPr>
                <w:sz w:val="18"/>
                <w:szCs w:val="18"/>
              </w:rPr>
            </w:pPr>
          </w:p>
        </w:tc>
        <w:tc>
          <w:tcPr>
            <w:tcW w:w="1983" w:type="dxa"/>
          </w:tcPr>
          <w:p w14:paraId="36F37A9B" w14:textId="5E8CA0E4" w:rsidR="00B36F52" w:rsidRDefault="00B36F52" w:rsidP="00B36F52">
            <w:pPr>
              <w:rPr>
                <w:sz w:val="18"/>
                <w:szCs w:val="18"/>
              </w:rPr>
            </w:pPr>
            <w:r>
              <w:rPr>
                <w:sz w:val="18"/>
                <w:szCs w:val="18"/>
              </w:rPr>
              <w:t>Treasury</w:t>
            </w:r>
          </w:p>
        </w:tc>
        <w:tc>
          <w:tcPr>
            <w:tcW w:w="3116" w:type="dxa"/>
          </w:tcPr>
          <w:p w14:paraId="35B36D44" w14:textId="19881B65" w:rsidR="00B36F52" w:rsidRDefault="00B36F52" w:rsidP="00B36F52">
            <w:pPr>
              <w:pStyle w:val="TableBullet"/>
              <w:numPr>
                <w:ilvl w:val="0"/>
                <w:numId w:val="0"/>
              </w:numPr>
              <w:rPr>
                <w:szCs w:val="18"/>
              </w:rPr>
            </w:pPr>
            <w:r>
              <w:rPr>
                <w:szCs w:val="18"/>
              </w:rPr>
              <w:t>Implementation costs</w:t>
            </w:r>
          </w:p>
        </w:tc>
        <w:tc>
          <w:tcPr>
            <w:tcW w:w="1306" w:type="dxa"/>
          </w:tcPr>
          <w:p w14:paraId="3F73A531" w14:textId="4469A650" w:rsidR="00B36F52" w:rsidRDefault="00B36F52" w:rsidP="00831C62">
            <w:pPr>
              <w:pStyle w:val="TableNumbering"/>
              <w:numPr>
                <w:ilvl w:val="0"/>
                <w:numId w:val="0"/>
              </w:numPr>
              <w:jc w:val="right"/>
              <w:rPr>
                <w:szCs w:val="18"/>
              </w:rPr>
            </w:pPr>
            <w:r>
              <w:rPr>
                <w:szCs w:val="18"/>
              </w:rPr>
              <w:t>1.6</w:t>
            </w:r>
          </w:p>
        </w:tc>
      </w:tr>
    </w:tbl>
    <w:p w14:paraId="228CD806" w14:textId="77777777" w:rsidR="00EF1B83" w:rsidRDefault="00EF1B83" w:rsidP="009F15D0">
      <w:pPr>
        <w:pStyle w:val="BodyText"/>
      </w:pPr>
    </w:p>
    <w:p w14:paraId="0FCCACF2" w14:textId="3ECCF990" w:rsidR="007C5FA7" w:rsidRDefault="00C16658" w:rsidP="007C5FA7">
      <w:pPr>
        <w:pStyle w:val="Title"/>
      </w:pPr>
      <w:r>
        <w:br w:type="page"/>
      </w:r>
      <w:bookmarkStart w:id="61" w:name="_Toc134198475"/>
      <w:r w:rsidR="007C5FA7">
        <w:t>5. Who did you consult and how did you incorporate their feedback?</w:t>
      </w:r>
      <w:bookmarkEnd w:id="61"/>
    </w:p>
    <w:p w14:paraId="0DAF69D6" w14:textId="0C0D592A" w:rsidR="00F944DD" w:rsidRDefault="00494940" w:rsidP="000A251C">
      <w:pPr>
        <w:pStyle w:val="Bullet"/>
        <w:numPr>
          <w:ilvl w:val="0"/>
          <w:numId w:val="0"/>
        </w:numPr>
      </w:pPr>
      <w:r>
        <w:t xml:space="preserve">Design of </w:t>
      </w:r>
      <w:r w:rsidR="003875A3">
        <w:t>Options 2 and 3</w:t>
      </w:r>
      <w:r>
        <w:t xml:space="preserve"> w</w:t>
      </w:r>
      <w:r w:rsidR="003875A3">
        <w:t>ere</w:t>
      </w:r>
      <w:r>
        <w:t xml:space="preserve"> heavily influenced by stakeholder insights, recommendations</w:t>
      </w:r>
      <w:r w:rsidR="00487D7E">
        <w:t>,</w:t>
      </w:r>
      <w:r>
        <w:t xml:space="preserve"> and engagement on the issue</w:t>
      </w:r>
      <w:r w:rsidR="00F24A1A">
        <w:t xml:space="preserve"> of unpaid SG</w:t>
      </w:r>
      <w:r>
        <w:t xml:space="preserve">. </w:t>
      </w:r>
      <w:r w:rsidR="00F944DD">
        <w:t xml:space="preserve">Feedback </w:t>
      </w:r>
      <w:r w:rsidR="00A87016">
        <w:t xml:space="preserve">on options to address unpaid SG </w:t>
      </w:r>
      <w:r w:rsidR="00F944DD">
        <w:t>has been</w:t>
      </w:r>
      <w:r w:rsidR="00F12711">
        <w:t xml:space="preserve"> collected </w:t>
      </w:r>
      <w:r w:rsidR="00096310">
        <w:t xml:space="preserve">through </w:t>
      </w:r>
      <w:r w:rsidR="00F944DD">
        <w:t>multiple public reviews including:</w:t>
      </w:r>
    </w:p>
    <w:p w14:paraId="469B5BA3" w14:textId="39DB62BF" w:rsidR="002D3019" w:rsidRPr="002D3019" w:rsidRDefault="002D3019" w:rsidP="002D243E">
      <w:pPr>
        <w:pStyle w:val="Bullet"/>
      </w:pPr>
      <w:r w:rsidRPr="002D3019">
        <w:rPr>
          <w:i/>
          <w:iCs/>
        </w:rPr>
        <w:t>Superannuation Guarantee Non-compliance</w:t>
      </w:r>
      <w:r>
        <w:t>, Superannuation Guarantee Cross Agency Working Group (March 2017)</w:t>
      </w:r>
    </w:p>
    <w:p w14:paraId="13ACC1DA" w14:textId="7623630A" w:rsidR="00823F63" w:rsidRDefault="00002669" w:rsidP="002D243E">
      <w:pPr>
        <w:pStyle w:val="Bullet"/>
      </w:pPr>
      <w:r w:rsidRPr="007F4331">
        <w:rPr>
          <w:i/>
          <w:iCs/>
        </w:rPr>
        <w:t>Superbad – Wage theft and non-compliance of the Superannuation Guarantee</w:t>
      </w:r>
      <w:r w:rsidR="007F4331">
        <w:t>,</w:t>
      </w:r>
      <w:r>
        <w:t xml:space="preserve"> Senate Report </w:t>
      </w:r>
      <w:r w:rsidR="007F4331">
        <w:t>(May 2017)</w:t>
      </w:r>
    </w:p>
    <w:p w14:paraId="6C036171" w14:textId="32F43982" w:rsidR="007F4331" w:rsidRPr="00261AC6" w:rsidRDefault="00523825" w:rsidP="002D243E">
      <w:pPr>
        <w:pStyle w:val="Bullet"/>
      </w:pPr>
      <w:r w:rsidRPr="00261AC6">
        <w:rPr>
          <w:i/>
          <w:iCs/>
        </w:rPr>
        <w:t xml:space="preserve">Superannuation: Assessing Efficiency and Competitiveness, </w:t>
      </w:r>
      <w:r w:rsidRPr="00261AC6">
        <w:t>Productivity Commission Inquiry Report (December 2018)</w:t>
      </w:r>
    </w:p>
    <w:p w14:paraId="33F0BE20" w14:textId="1F114A0B" w:rsidR="00A05855" w:rsidRDefault="00A05855" w:rsidP="002D243E">
      <w:pPr>
        <w:pStyle w:val="Bullet"/>
      </w:pPr>
      <w:r>
        <w:rPr>
          <w:i/>
          <w:iCs/>
        </w:rPr>
        <w:t>Retirement Income Review</w:t>
      </w:r>
      <w:r w:rsidR="00825EE9">
        <w:rPr>
          <w:i/>
          <w:iCs/>
        </w:rPr>
        <w:t xml:space="preserve"> </w:t>
      </w:r>
      <w:r w:rsidR="00112C1D">
        <w:t>(</w:t>
      </w:r>
      <w:r w:rsidR="00825EE9">
        <w:t>July 2020</w:t>
      </w:r>
      <w:r w:rsidR="00112C1D">
        <w:t>)</w:t>
      </w:r>
    </w:p>
    <w:p w14:paraId="2F659CBB" w14:textId="244B8C85" w:rsidR="00825EE9" w:rsidRDefault="00C909C5" w:rsidP="002D243E">
      <w:pPr>
        <w:pStyle w:val="Bullet"/>
      </w:pPr>
      <w:r>
        <w:rPr>
          <w:i/>
          <w:iCs/>
        </w:rPr>
        <w:t xml:space="preserve">Addressing Superannuation Guarantee Non-Compliance, </w:t>
      </w:r>
      <w:r w:rsidR="00112C1D">
        <w:t>Australian National Audit Office (April 2022)</w:t>
      </w:r>
    </w:p>
    <w:p w14:paraId="53E96ED8" w14:textId="4E96E738" w:rsidR="00F944DD" w:rsidRPr="00112C1D" w:rsidRDefault="00096310" w:rsidP="002D243E">
      <w:pPr>
        <w:pStyle w:val="Bullet"/>
      </w:pPr>
      <w:r w:rsidRPr="007F4331">
        <w:rPr>
          <w:i/>
          <w:iCs/>
        </w:rPr>
        <w:t>Systematic, sustained and shameful</w:t>
      </w:r>
      <w:r>
        <w:t xml:space="preserve">, </w:t>
      </w:r>
      <w:r w:rsidR="00F944DD">
        <w:t>Senate Report (</w:t>
      </w:r>
      <w:r>
        <w:t>May 2022</w:t>
      </w:r>
      <w:r w:rsidR="00F944DD">
        <w:t>)</w:t>
      </w:r>
    </w:p>
    <w:p w14:paraId="0F0BE655" w14:textId="2E13B7AE" w:rsidR="00487D7E" w:rsidRDefault="00C37BCB" w:rsidP="000A251C">
      <w:pPr>
        <w:pStyle w:val="Bullet"/>
        <w:numPr>
          <w:ilvl w:val="0"/>
          <w:numId w:val="0"/>
        </w:numPr>
      </w:pPr>
      <w:r>
        <w:t>S</w:t>
      </w:r>
      <w:r w:rsidR="00660A3A">
        <w:t xml:space="preserve">takeholders </w:t>
      </w:r>
      <w:r w:rsidR="00A87016">
        <w:t xml:space="preserve">in these forums </w:t>
      </w:r>
      <w:r w:rsidR="00046867">
        <w:t>and others have been</w:t>
      </w:r>
      <w:r>
        <w:t xml:space="preserve"> overwhelmingly in </w:t>
      </w:r>
      <w:r w:rsidR="00660A3A">
        <w:t xml:space="preserve">support </w:t>
      </w:r>
      <w:r>
        <w:t>of</w:t>
      </w:r>
      <w:r w:rsidR="00660A3A">
        <w:t xml:space="preserve"> the </w:t>
      </w:r>
      <w:r w:rsidR="00EA3D47">
        <w:t xml:space="preserve">principle of SG being required to be paid on payday. </w:t>
      </w:r>
      <w:r w:rsidR="00CC46D6">
        <w:t>These stakeholders include superannuation funds, consumer representatives</w:t>
      </w:r>
      <w:r w:rsidR="001D1BF9">
        <w:t>,</w:t>
      </w:r>
      <w:r w:rsidR="00CC46D6">
        <w:t xml:space="preserve"> unions</w:t>
      </w:r>
      <w:r w:rsidR="00112C1D">
        <w:t>,</w:t>
      </w:r>
      <w:r w:rsidR="00CC46D6">
        <w:t xml:space="preserve"> and employee groups. </w:t>
      </w:r>
      <w:r w:rsidR="007A243C">
        <w:t xml:space="preserve">See Table </w:t>
      </w:r>
      <w:r w:rsidR="0049482B">
        <w:t>17</w:t>
      </w:r>
      <w:r w:rsidR="007A243C">
        <w:t xml:space="preserve"> for a summary of views. </w:t>
      </w:r>
    </w:p>
    <w:p w14:paraId="56A272C9" w14:textId="4595772B" w:rsidR="007A243C" w:rsidRDefault="007A243C" w:rsidP="007A243C">
      <w:pPr>
        <w:pStyle w:val="Caption"/>
      </w:pPr>
      <w:r>
        <w:t xml:space="preserve">Table </w:t>
      </w:r>
      <w:r w:rsidR="0049482B" w:rsidRPr="00831C62">
        <w:t>17</w:t>
      </w:r>
      <w:r w:rsidR="00806D38">
        <w:t>.</w:t>
      </w:r>
      <w:r>
        <w:t xml:space="preserve"> Stakeholder views on SG on payday</w:t>
      </w:r>
    </w:p>
    <w:tbl>
      <w:tblPr>
        <w:tblStyle w:val="PMCDefaultTableStyle"/>
        <w:tblW w:w="0" w:type="auto"/>
        <w:tblLayout w:type="fixed"/>
        <w:tblLook w:val="0620" w:firstRow="1" w:lastRow="0" w:firstColumn="0" w:lastColumn="0" w:noHBand="1" w:noVBand="1"/>
      </w:tblPr>
      <w:tblGrid>
        <w:gridCol w:w="1843"/>
        <w:gridCol w:w="1276"/>
        <w:gridCol w:w="7085"/>
      </w:tblGrid>
      <w:tr w:rsidR="007A243C" w14:paraId="304B6B81" w14:textId="77777777" w:rsidTr="007E7CDF">
        <w:trPr>
          <w:cnfStyle w:val="100000000000" w:firstRow="1" w:lastRow="0" w:firstColumn="0" w:lastColumn="0" w:oddVBand="0" w:evenVBand="0" w:oddHBand="0" w:evenHBand="0" w:firstRowFirstColumn="0" w:firstRowLastColumn="0" w:lastRowFirstColumn="0" w:lastRowLastColumn="0"/>
          <w:trHeight w:val="350"/>
        </w:trPr>
        <w:tc>
          <w:tcPr>
            <w:tcW w:w="1843" w:type="dxa"/>
          </w:tcPr>
          <w:p w14:paraId="2EA7B6CB" w14:textId="64AEA164" w:rsidR="007A243C" w:rsidRDefault="007A243C">
            <w:pPr>
              <w:pStyle w:val="BodyText"/>
            </w:pPr>
            <w:r>
              <w:t>Stakeholder</w:t>
            </w:r>
          </w:p>
        </w:tc>
        <w:tc>
          <w:tcPr>
            <w:tcW w:w="1276" w:type="dxa"/>
          </w:tcPr>
          <w:p w14:paraId="731C4B3B" w14:textId="16FB5ABC" w:rsidR="007A243C" w:rsidRDefault="007A243C">
            <w:pPr>
              <w:pStyle w:val="BodyText"/>
            </w:pPr>
            <w:r>
              <w:t>Support?</w:t>
            </w:r>
          </w:p>
        </w:tc>
        <w:tc>
          <w:tcPr>
            <w:tcW w:w="7085" w:type="dxa"/>
          </w:tcPr>
          <w:p w14:paraId="1F7F0D32" w14:textId="6262B1E0" w:rsidR="007A243C" w:rsidRDefault="002118CC">
            <w:pPr>
              <w:pStyle w:val="BodyText"/>
            </w:pPr>
            <w:r>
              <w:t xml:space="preserve">Stakeholder comments </w:t>
            </w:r>
            <w:r w:rsidR="007A243C">
              <w:t xml:space="preserve"> </w:t>
            </w:r>
          </w:p>
        </w:tc>
      </w:tr>
      <w:tr w:rsidR="007A243C" w:rsidRPr="0015537B" w14:paraId="1D36F99F" w14:textId="77777777" w:rsidTr="007E7CDF">
        <w:trPr>
          <w:trHeight w:val="350"/>
        </w:trPr>
        <w:tc>
          <w:tcPr>
            <w:tcW w:w="1843" w:type="dxa"/>
          </w:tcPr>
          <w:p w14:paraId="5867F520" w14:textId="759AC8D5" w:rsidR="007A243C" w:rsidRPr="007C4C1F" w:rsidRDefault="00E015A6">
            <w:pPr>
              <w:rPr>
                <w:sz w:val="18"/>
                <w:szCs w:val="18"/>
              </w:rPr>
            </w:pPr>
            <w:r w:rsidRPr="007C4C1F">
              <w:rPr>
                <w:sz w:val="18"/>
                <w:szCs w:val="18"/>
              </w:rPr>
              <w:t>Industry Super Australia</w:t>
            </w:r>
          </w:p>
        </w:tc>
        <w:tc>
          <w:tcPr>
            <w:tcW w:w="1276" w:type="dxa"/>
            <w:shd w:val="clear" w:color="auto" w:fill="CAE8AA"/>
          </w:tcPr>
          <w:p w14:paraId="2733AE7C" w14:textId="49B6430D" w:rsidR="007A243C" w:rsidRPr="0015537B" w:rsidRDefault="00E015A6">
            <w:pPr>
              <w:pStyle w:val="TableBody"/>
            </w:pPr>
            <w:r>
              <w:t>Yes</w:t>
            </w:r>
          </w:p>
        </w:tc>
        <w:tc>
          <w:tcPr>
            <w:tcW w:w="7085" w:type="dxa"/>
          </w:tcPr>
          <w:p w14:paraId="3857A143" w14:textId="7D154C65" w:rsidR="007A243C" w:rsidRDefault="0018474C">
            <w:pPr>
              <w:pStyle w:val="TableBullet"/>
            </w:pPr>
            <w:r>
              <w:t>“It will m</w:t>
            </w:r>
            <w:r w:rsidR="00E015A6">
              <w:t xml:space="preserve">ake it easier for workers to keep track of their super and harder for bosses not to pay </w:t>
            </w:r>
            <w:r w:rsidR="00A26422">
              <w:t>it.</w:t>
            </w:r>
            <w:r>
              <w:t>”</w:t>
            </w:r>
            <w:r w:rsidR="00827715">
              <w:rPr>
                <w:rStyle w:val="FootnoteReference"/>
              </w:rPr>
              <w:footnoteReference w:id="56"/>
            </w:r>
          </w:p>
          <w:p w14:paraId="04B98712" w14:textId="0C960F8C" w:rsidR="007A243C" w:rsidRPr="0015537B" w:rsidRDefault="00C710BD">
            <w:pPr>
              <w:pStyle w:val="TableBullet"/>
            </w:pPr>
            <w:r w:rsidRPr="00C710BD">
              <w:t>“Paying super with wages would level the playing field for all employers, stopping the unfair commercial advantage exploitative bosses get by not paying their workers’ full entitlements.”</w:t>
            </w:r>
            <w:r w:rsidR="00357BB8">
              <w:rPr>
                <w:rStyle w:val="FootnoteReference"/>
              </w:rPr>
              <w:footnoteReference w:id="57"/>
            </w:r>
          </w:p>
        </w:tc>
      </w:tr>
      <w:tr w:rsidR="00C56B2A" w:rsidRPr="0015537B" w14:paraId="46E0B7FA" w14:textId="77777777" w:rsidTr="007E7CDF">
        <w:trPr>
          <w:trHeight w:val="350"/>
        </w:trPr>
        <w:tc>
          <w:tcPr>
            <w:tcW w:w="1843" w:type="dxa"/>
          </w:tcPr>
          <w:p w14:paraId="38766931" w14:textId="1D2EB8B1" w:rsidR="00C56B2A" w:rsidRPr="007C4C1F" w:rsidRDefault="00C56B2A" w:rsidP="00E015A6">
            <w:pPr>
              <w:rPr>
                <w:sz w:val="18"/>
                <w:szCs w:val="18"/>
              </w:rPr>
            </w:pPr>
            <w:r w:rsidRPr="007C4C1F">
              <w:rPr>
                <w:sz w:val="18"/>
                <w:szCs w:val="18"/>
              </w:rPr>
              <w:t>CBUS</w:t>
            </w:r>
            <w:r w:rsidR="00DC6ACD">
              <w:rPr>
                <w:sz w:val="18"/>
                <w:szCs w:val="18"/>
              </w:rPr>
              <w:t xml:space="preserve"> Super</w:t>
            </w:r>
          </w:p>
        </w:tc>
        <w:tc>
          <w:tcPr>
            <w:tcW w:w="1276" w:type="dxa"/>
            <w:shd w:val="clear" w:color="auto" w:fill="CAE8AA"/>
          </w:tcPr>
          <w:p w14:paraId="31AE48B4" w14:textId="1E0F3212" w:rsidR="00C56B2A" w:rsidRPr="00647930" w:rsidRDefault="00C56B2A" w:rsidP="007C4C1F">
            <w:pPr>
              <w:pStyle w:val="TableBody"/>
            </w:pPr>
            <w:r>
              <w:t>Yes</w:t>
            </w:r>
          </w:p>
        </w:tc>
        <w:tc>
          <w:tcPr>
            <w:tcW w:w="7085" w:type="dxa"/>
          </w:tcPr>
          <w:p w14:paraId="0627FB4F" w14:textId="353307D1" w:rsidR="00C56B2A" w:rsidRDefault="002F036A" w:rsidP="00E015A6">
            <w:pPr>
              <w:pStyle w:val="TableBullet"/>
            </w:pPr>
            <w:r w:rsidRPr="002F036A">
              <w:t>“Payment of Superannuation Guarantee contributions should be aligned with payment of wages. This would enable non-payment and underpayment to be identified more quickly and improve member engagement with superannuation more generally.</w:t>
            </w:r>
            <w:r>
              <w:t>”</w:t>
            </w:r>
            <w:r w:rsidR="00357BB8">
              <w:rPr>
                <w:rStyle w:val="FootnoteReference"/>
              </w:rPr>
              <w:footnoteReference w:id="58"/>
            </w:r>
          </w:p>
        </w:tc>
      </w:tr>
      <w:tr w:rsidR="007A243C" w:rsidRPr="0015537B" w14:paraId="212DE9A2" w14:textId="77777777" w:rsidTr="007E7CDF">
        <w:trPr>
          <w:trHeight w:val="350"/>
        </w:trPr>
        <w:tc>
          <w:tcPr>
            <w:tcW w:w="1843" w:type="dxa"/>
          </w:tcPr>
          <w:p w14:paraId="61131B55" w14:textId="4D64837B" w:rsidR="007A243C" w:rsidRPr="007C4C1F" w:rsidRDefault="00E015A6">
            <w:pPr>
              <w:rPr>
                <w:sz w:val="18"/>
                <w:szCs w:val="18"/>
              </w:rPr>
            </w:pPr>
            <w:r w:rsidRPr="007C4C1F">
              <w:rPr>
                <w:sz w:val="18"/>
                <w:szCs w:val="18"/>
              </w:rPr>
              <w:t>A</w:t>
            </w:r>
            <w:r w:rsidR="00380FAE">
              <w:rPr>
                <w:sz w:val="18"/>
                <w:szCs w:val="18"/>
              </w:rPr>
              <w:t xml:space="preserve">ustralian </w:t>
            </w:r>
            <w:r w:rsidRPr="007C4C1F">
              <w:rPr>
                <w:sz w:val="18"/>
                <w:szCs w:val="18"/>
              </w:rPr>
              <w:t>I</w:t>
            </w:r>
            <w:r w:rsidR="00380FAE">
              <w:rPr>
                <w:sz w:val="18"/>
                <w:szCs w:val="18"/>
              </w:rPr>
              <w:t xml:space="preserve">nstitute of </w:t>
            </w:r>
            <w:r w:rsidRPr="007C4C1F">
              <w:rPr>
                <w:sz w:val="18"/>
                <w:szCs w:val="18"/>
              </w:rPr>
              <w:t>S</w:t>
            </w:r>
            <w:r w:rsidR="00380FAE">
              <w:rPr>
                <w:sz w:val="18"/>
                <w:szCs w:val="18"/>
              </w:rPr>
              <w:t xml:space="preserve">uperannuation </w:t>
            </w:r>
            <w:r w:rsidRPr="007C4C1F">
              <w:rPr>
                <w:sz w:val="18"/>
                <w:szCs w:val="18"/>
              </w:rPr>
              <w:t>T</w:t>
            </w:r>
            <w:r w:rsidR="00380FAE">
              <w:rPr>
                <w:sz w:val="18"/>
                <w:szCs w:val="18"/>
              </w:rPr>
              <w:t>rustees (AIST)</w:t>
            </w:r>
          </w:p>
        </w:tc>
        <w:tc>
          <w:tcPr>
            <w:tcW w:w="1276" w:type="dxa"/>
            <w:shd w:val="clear" w:color="auto" w:fill="CAE8AA"/>
          </w:tcPr>
          <w:p w14:paraId="350C6C2A" w14:textId="003F6032" w:rsidR="007A243C" w:rsidRPr="0015537B" w:rsidRDefault="00E015A6" w:rsidP="007C4C1F">
            <w:pPr>
              <w:pStyle w:val="TableBody"/>
            </w:pPr>
            <w:r w:rsidRPr="00647930">
              <w:t>Yes</w:t>
            </w:r>
          </w:p>
        </w:tc>
        <w:tc>
          <w:tcPr>
            <w:tcW w:w="7085" w:type="dxa"/>
          </w:tcPr>
          <w:p w14:paraId="389E4A65" w14:textId="48BEFAA0" w:rsidR="007A243C" w:rsidRPr="0015537B" w:rsidRDefault="00DF0330">
            <w:pPr>
              <w:pStyle w:val="TableBullet"/>
            </w:pPr>
            <w:r>
              <w:t>“[SG on payday]</w:t>
            </w:r>
            <w:r w:rsidR="000A0D76" w:rsidRPr="000A0D76">
              <w:t xml:space="preserve"> will provide greater transparency to members that their entitlements are being paid and permit the ATO to more easily reconcile superannuation data reported by funds through the Member Account Transaction Service with payroll data reported via Single Touch Payroll.</w:t>
            </w:r>
            <w:r>
              <w:t>”</w:t>
            </w:r>
            <w:r w:rsidR="00357BB8">
              <w:rPr>
                <w:rStyle w:val="FootnoteReference"/>
              </w:rPr>
              <w:footnoteReference w:id="59"/>
            </w:r>
          </w:p>
        </w:tc>
      </w:tr>
      <w:tr w:rsidR="007A243C" w:rsidRPr="0015537B" w14:paraId="14D72FC2" w14:textId="77777777" w:rsidTr="007E7CDF">
        <w:trPr>
          <w:trHeight w:val="350"/>
        </w:trPr>
        <w:tc>
          <w:tcPr>
            <w:tcW w:w="1843" w:type="dxa"/>
          </w:tcPr>
          <w:p w14:paraId="7968BBA6" w14:textId="0E863A5E" w:rsidR="007A243C" w:rsidRPr="007C4C1F" w:rsidRDefault="00E015A6">
            <w:pPr>
              <w:rPr>
                <w:sz w:val="18"/>
                <w:szCs w:val="18"/>
              </w:rPr>
            </w:pPr>
            <w:r w:rsidRPr="007C4C1F">
              <w:rPr>
                <w:sz w:val="18"/>
                <w:szCs w:val="18"/>
              </w:rPr>
              <w:t xml:space="preserve">Super Consumers Australia </w:t>
            </w:r>
          </w:p>
        </w:tc>
        <w:tc>
          <w:tcPr>
            <w:tcW w:w="1276" w:type="dxa"/>
            <w:shd w:val="clear" w:color="auto" w:fill="CAE8AA"/>
          </w:tcPr>
          <w:p w14:paraId="41F3BA4D" w14:textId="0D3568D0" w:rsidR="007A243C" w:rsidRPr="0015537B" w:rsidRDefault="00E015A6" w:rsidP="007C4C1F">
            <w:pPr>
              <w:pStyle w:val="TableBody"/>
            </w:pPr>
            <w:r w:rsidRPr="00647930">
              <w:t>Yes</w:t>
            </w:r>
          </w:p>
        </w:tc>
        <w:tc>
          <w:tcPr>
            <w:tcW w:w="7085" w:type="dxa"/>
          </w:tcPr>
          <w:p w14:paraId="3E3F0480" w14:textId="27A9BE39" w:rsidR="007A243C" w:rsidRPr="0015537B" w:rsidRDefault="00F25949">
            <w:pPr>
              <w:pStyle w:val="TableBullet"/>
            </w:pPr>
            <w:r>
              <w:t>“</w:t>
            </w:r>
            <w:r w:rsidRPr="00F25949">
              <w:t>Super Consumers Australia supports a change in the law to require employers to pay super alongside wages</w:t>
            </w:r>
            <w:r w:rsidR="00D84780">
              <w:t xml:space="preserve"> …</w:t>
            </w:r>
            <w:r w:rsidRPr="00F25949">
              <w:t xml:space="preserve"> </w:t>
            </w:r>
            <w:r w:rsidR="007F4280">
              <w:t>S</w:t>
            </w:r>
            <w:r w:rsidR="004C23D6" w:rsidRPr="004C23D6">
              <w:t>ingle touch payroll has reduced reporting burdens for businesses and made it easier</w:t>
            </w:r>
            <w:r w:rsidR="004C23D6">
              <w:t xml:space="preserve"> </w:t>
            </w:r>
            <w:r w:rsidR="004C23D6" w:rsidRPr="004C23D6">
              <w:t>for them to process super along with wage payments</w:t>
            </w:r>
            <w:r w:rsidR="004C23D6">
              <w:t>.</w:t>
            </w:r>
            <w:r w:rsidR="00D84780">
              <w:t>”</w:t>
            </w:r>
            <w:r w:rsidR="00357BB8">
              <w:rPr>
                <w:rStyle w:val="FootnoteReference"/>
              </w:rPr>
              <w:footnoteReference w:id="60"/>
            </w:r>
          </w:p>
        </w:tc>
      </w:tr>
      <w:tr w:rsidR="00E015A6" w:rsidRPr="0015537B" w14:paraId="54756FC0" w14:textId="77777777" w:rsidTr="007E7CDF">
        <w:trPr>
          <w:trHeight w:val="350"/>
        </w:trPr>
        <w:tc>
          <w:tcPr>
            <w:tcW w:w="1843" w:type="dxa"/>
          </w:tcPr>
          <w:p w14:paraId="298CF721" w14:textId="43162704" w:rsidR="00E015A6" w:rsidRPr="007C4C1F" w:rsidRDefault="00E015A6" w:rsidP="00E015A6">
            <w:pPr>
              <w:rPr>
                <w:sz w:val="18"/>
                <w:szCs w:val="18"/>
              </w:rPr>
            </w:pPr>
            <w:r w:rsidRPr="007C4C1F">
              <w:rPr>
                <w:sz w:val="18"/>
                <w:szCs w:val="18"/>
              </w:rPr>
              <w:t>Council of Small Business Organisations</w:t>
            </w:r>
            <w:r w:rsidR="004845B8">
              <w:rPr>
                <w:sz w:val="18"/>
                <w:szCs w:val="18"/>
              </w:rPr>
              <w:t xml:space="preserve"> Australia (COSBOA)</w:t>
            </w:r>
          </w:p>
        </w:tc>
        <w:tc>
          <w:tcPr>
            <w:tcW w:w="1276" w:type="dxa"/>
            <w:shd w:val="clear" w:color="auto" w:fill="F9C3C5" w:themeFill="accent6" w:themeFillTint="33"/>
          </w:tcPr>
          <w:p w14:paraId="1FF169C2" w14:textId="43EF3D5E" w:rsidR="00E015A6" w:rsidRPr="00647930" w:rsidRDefault="00683622" w:rsidP="007C4C1F">
            <w:pPr>
              <w:pStyle w:val="TableBody"/>
            </w:pPr>
            <w:r>
              <w:t>No</w:t>
            </w:r>
          </w:p>
        </w:tc>
        <w:tc>
          <w:tcPr>
            <w:tcW w:w="7085" w:type="dxa"/>
          </w:tcPr>
          <w:p w14:paraId="0B72F6DF" w14:textId="41DB44DF" w:rsidR="00E015A6" w:rsidRDefault="004500B5" w:rsidP="004845B8">
            <w:pPr>
              <w:pStyle w:val="TableBullet"/>
            </w:pPr>
            <w:r>
              <w:t>“</w:t>
            </w:r>
            <w:r w:rsidR="00F07A95">
              <w:t>changing the payment cycle for superannuation would be an unfair burden on businesses</w:t>
            </w:r>
            <w:r w:rsidR="004845B8">
              <w:t xml:space="preserve"> </w:t>
            </w:r>
            <w:r w:rsidR="00393295">
              <w:t>…</w:t>
            </w:r>
            <w:r w:rsidR="00F07A95">
              <w:t xml:space="preserve"> </w:t>
            </w:r>
            <w:r w:rsidR="00731F4A">
              <w:t xml:space="preserve">the idea </w:t>
            </w:r>
            <w:r w:rsidR="00232973" w:rsidRPr="00232973">
              <w:t>would increase the administrative burden for employers and would be difficult for businesses that have built a routine of quarterly payments</w:t>
            </w:r>
            <w:r w:rsidR="00B25A7D">
              <w:t>.</w:t>
            </w:r>
            <w:r w:rsidR="00860F50">
              <w:t xml:space="preserve"> </w:t>
            </w:r>
            <w:r w:rsidR="00644671" w:rsidRPr="00A03745">
              <w:t>"We don’t agree to payday payment... it could increase non-payments</w:t>
            </w:r>
            <w:r w:rsidR="00860F50">
              <w:t>,</w:t>
            </w:r>
            <w:r w:rsidR="00644671" w:rsidRPr="00A03745">
              <w:t>"</w:t>
            </w:r>
            <w:r w:rsidR="00B25A7D">
              <w:t>”</w:t>
            </w:r>
            <w:r w:rsidR="00357BB8">
              <w:rPr>
                <w:rStyle w:val="FootnoteReference"/>
              </w:rPr>
              <w:footnoteReference w:id="61"/>
            </w:r>
            <w:r w:rsidR="00644671" w:rsidRPr="00A03745">
              <w:t xml:space="preserve"> </w:t>
            </w:r>
          </w:p>
        </w:tc>
      </w:tr>
      <w:tr w:rsidR="00E015A6" w:rsidRPr="0015537B" w14:paraId="4A67B161" w14:textId="77777777" w:rsidTr="007E7CDF">
        <w:trPr>
          <w:trHeight w:val="350"/>
        </w:trPr>
        <w:tc>
          <w:tcPr>
            <w:tcW w:w="1843" w:type="dxa"/>
          </w:tcPr>
          <w:p w14:paraId="651D4A19" w14:textId="7DB6EB9E" w:rsidR="00E015A6" w:rsidRPr="007C4C1F" w:rsidRDefault="00380FAE" w:rsidP="00E015A6">
            <w:pPr>
              <w:rPr>
                <w:sz w:val="18"/>
                <w:szCs w:val="18"/>
              </w:rPr>
            </w:pPr>
            <w:r>
              <w:rPr>
                <w:sz w:val="18"/>
                <w:szCs w:val="18"/>
              </w:rPr>
              <w:t>Australian Council of Trade Unions (</w:t>
            </w:r>
            <w:r w:rsidR="00E015A6" w:rsidRPr="007C4C1F">
              <w:rPr>
                <w:sz w:val="18"/>
                <w:szCs w:val="18"/>
              </w:rPr>
              <w:t>ACTU</w:t>
            </w:r>
            <w:r>
              <w:rPr>
                <w:sz w:val="18"/>
                <w:szCs w:val="18"/>
              </w:rPr>
              <w:t>)</w:t>
            </w:r>
          </w:p>
        </w:tc>
        <w:tc>
          <w:tcPr>
            <w:tcW w:w="1276" w:type="dxa"/>
            <w:shd w:val="clear" w:color="auto" w:fill="CAE8AA"/>
          </w:tcPr>
          <w:p w14:paraId="2FB083B0" w14:textId="1A2089DF" w:rsidR="00E015A6" w:rsidRPr="00647930" w:rsidRDefault="007C4C1F" w:rsidP="007C4C1F">
            <w:pPr>
              <w:pStyle w:val="TableBody"/>
            </w:pPr>
            <w:r w:rsidRPr="00FC0684">
              <w:t>Yes</w:t>
            </w:r>
          </w:p>
        </w:tc>
        <w:tc>
          <w:tcPr>
            <w:tcW w:w="7085" w:type="dxa"/>
          </w:tcPr>
          <w:p w14:paraId="21B8D247" w14:textId="240EC36A" w:rsidR="00913AB3" w:rsidRDefault="007C4C1F" w:rsidP="00D30A14">
            <w:pPr>
              <w:pStyle w:val="TableBullet"/>
            </w:pPr>
            <w:r w:rsidRPr="007C4C1F">
              <w:t>“Superannuation should be paid at the same time as wages, with the date of the payment recorded on pay slips.”</w:t>
            </w:r>
            <w:r>
              <w:rPr>
                <w:rStyle w:val="FootnoteReference"/>
              </w:rPr>
              <w:footnoteReference w:id="62"/>
            </w:r>
          </w:p>
        </w:tc>
      </w:tr>
      <w:tr w:rsidR="00E015A6" w:rsidRPr="0015537B" w14:paraId="1567FC8A" w14:textId="77777777" w:rsidTr="007E7CDF">
        <w:trPr>
          <w:trHeight w:val="350"/>
        </w:trPr>
        <w:tc>
          <w:tcPr>
            <w:tcW w:w="1843" w:type="dxa"/>
          </w:tcPr>
          <w:p w14:paraId="0B4B675B" w14:textId="2A137300" w:rsidR="00E015A6" w:rsidRPr="007C4C1F" w:rsidRDefault="00E015A6" w:rsidP="00E015A6">
            <w:pPr>
              <w:rPr>
                <w:sz w:val="18"/>
                <w:szCs w:val="18"/>
              </w:rPr>
            </w:pPr>
            <w:r w:rsidRPr="007C4C1F">
              <w:rPr>
                <w:sz w:val="18"/>
                <w:szCs w:val="18"/>
              </w:rPr>
              <w:t>Shop, Distributive and Allied Employees’ Association</w:t>
            </w:r>
          </w:p>
        </w:tc>
        <w:tc>
          <w:tcPr>
            <w:tcW w:w="1276" w:type="dxa"/>
            <w:shd w:val="clear" w:color="auto" w:fill="CAE8AA"/>
          </w:tcPr>
          <w:p w14:paraId="66C8C594" w14:textId="15386ABD" w:rsidR="00E015A6" w:rsidRPr="00647930" w:rsidRDefault="007C4C1F" w:rsidP="007C4C1F">
            <w:pPr>
              <w:pStyle w:val="TableBody"/>
            </w:pPr>
            <w:r w:rsidRPr="00FC0684">
              <w:t>Yes</w:t>
            </w:r>
          </w:p>
        </w:tc>
        <w:tc>
          <w:tcPr>
            <w:tcW w:w="7085" w:type="dxa"/>
          </w:tcPr>
          <w:p w14:paraId="3F50AF75" w14:textId="32CBFF90" w:rsidR="00E015A6" w:rsidRDefault="004815BC" w:rsidP="00E015A6">
            <w:pPr>
              <w:pStyle w:val="TableBullet"/>
            </w:pPr>
            <w:r w:rsidRPr="004815BC">
              <w:rPr>
                <w:color w:val="000000"/>
                <w:szCs w:val="18"/>
              </w:rPr>
              <w:t>“The quarterly nature of superannuation payments provides an increased likelihood of both deliberate and unintentional superannuation underpayments.”</w:t>
            </w:r>
            <w:r w:rsidRPr="004815BC">
              <w:rPr>
                <w:rStyle w:val="FootnoteReference"/>
                <w:color w:val="000000"/>
                <w:szCs w:val="18"/>
              </w:rPr>
              <w:footnoteReference w:id="63"/>
            </w:r>
          </w:p>
        </w:tc>
      </w:tr>
      <w:tr w:rsidR="004A6521" w:rsidRPr="0015537B" w14:paraId="713DC974" w14:textId="77777777" w:rsidTr="007E7CDF">
        <w:trPr>
          <w:trHeight w:val="350"/>
        </w:trPr>
        <w:tc>
          <w:tcPr>
            <w:tcW w:w="1843" w:type="dxa"/>
          </w:tcPr>
          <w:p w14:paraId="0174649B" w14:textId="7B3F7053" w:rsidR="004A6521" w:rsidRPr="007C4C1F" w:rsidRDefault="004A6521" w:rsidP="00E015A6">
            <w:pPr>
              <w:rPr>
                <w:sz w:val="18"/>
                <w:szCs w:val="18"/>
              </w:rPr>
            </w:pPr>
            <w:r>
              <w:rPr>
                <w:sz w:val="18"/>
                <w:szCs w:val="18"/>
              </w:rPr>
              <w:t>CPA Australia</w:t>
            </w:r>
          </w:p>
        </w:tc>
        <w:tc>
          <w:tcPr>
            <w:tcW w:w="1276" w:type="dxa"/>
            <w:shd w:val="clear" w:color="auto" w:fill="CAE8AA"/>
          </w:tcPr>
          <w:p w14:paraId="69442DB4" w14:textId="717B329C" w:rsidR="004A6521" w:rsidRPr="00FC0684" w:rsidRDefault="004A6521" w:rsidP="007C4C1F">
            <w:pPr>
              <w:pStyle w:val="TableBody"/>
            </w:pPr>
            <w:r>
              <w:t>Yes</w:t>
            </w:r>
          </w:p>
        </w:tc>
        <w:tc>
          <w:tcPr>
            <w:tcW w:w="7085" w:type="dxa"/>
          </w:tcPr>
          <w:p w14:paraId="779A3059" w14:textId="2D959C2B" w:rsidR="004A6521" w:rsidRPr="004815BC" w:rsidRDefault="00FF1FDE" w:rsidP="00E015A6">
            <w:pPr>
              <w:pStyle w:val="TableBullet"/>
              <w:rPr>
                <w:color w:val="000000"/>
                <w:szCs w:val="18"/>
              </w:rPr>
            </w:pPr>
            <w:r>
              <w:rPr>
                <w:color w:val="000000"/>
                <w:szCs w:val="18"/>
              </w:rPr>
              <w:t>“A move to real-tim</w:t>
            </w:r>
            <w:r w:rsidR="00281D8B">
              <w:rPr>
                <w:color w:val="000000"/>
                <w:szCs w:val="18"/>
              </w:rPr>
              <w:t>e</w:t>
            </w:r>
            <w:r>
              <w:rPr>
                <w:color w:val="000000"/>
                <w:szCs w:val="18"/>
              </w:rPr>
              <w:t xml:space="preserve"> payment of SG with an appropriate transition period may also help to address non-payment. That is, aligning the payment of SG with an employer’s pay cycle</w:t>
            </w:r>
            <w:r w:rsidR="00C36C83">
              <w:rPr>
                <w:color w:val="000000"/>
                <w:szCs w:val="18"/>
              </w:rPr>
              <w:t>.</w:t>
            </w:r>
            <w:r w:rsidR="00D27E27">
              <w:rPr>
                <w:color w:val="000000"/>
                <w:szCs w:val="18"/>
              </w:rPr>
              <w:t>”</w:t>
            </w:r>
            <w:r w:rsidR="00C36C83">
              <w:rPr>
                <w:rStyle w:val="FootnoteReference"/>
                <w:color w:val="000000"/>
                <w:szCs w:val="18"/>
              </w:rPr>
              <w:footnoteReference w:id="64"/>
            </w:r>
          </w:p>
        </w:tc>
      </w:tr>
      <w:tr w:rsidR="009D3980" w:rsidRPr="0015537B" w14:paraId="30028F76" w14:textId="77777777" w:rsidTr="007E7CDF">
        <w:trPr>
          <w:trHeight w:val="350"/>
        </w:trPr>
        <w:tc>
          <w:tcPr>
            <w:tcW w:w="1843" w:type="dxa"/>
          </w:tcPr>
          <w:p w14:paraId="06B63420" w14:textId="7883C6E1" w:rsidR="009D3980" w:rsidRDefault="00380FAE" w:rsidP="00E015A6">
            <w:pPr>
              <w:rPr>
                <w:sz w:val="18"/>
                <w:szCs w:val="18"/>
              </w:rPr>
            </w:pPr>
            <w:r>
              <w:rPr>
                <w:sz w:val="18"/>
                <w:szCs w:val="18"/>
              </w:rPr>
              <w:t>Council o</w:t>
            </w:r>
            <w:r w:rsidR="00DC6ACD">
              <w:rPr>
                <w:sz w:val="18"/>
                <w:szCs w:val="18"/>
              </w:rPr>
              <w:t>n</w:t>
            </w:r>
            <w:r>
              <w:rPr>
                <w:sz w:val="18"/>
                <w:szCs w:val="18"/>
              </w:rPr>
              <w:t xml:space="preserve"> the Aging (</w:t>
            </w:r>
            <w:r w:rsidR="00B020B3">
              <w:rPr>
                <w:sz w:val="18"/>
                <w:szCs w:val="18"/>
              </w:rPr>
              <w:t>COTA</w:t>
            </w:r>
            <w:r>
              <w:rPr>
                <w:sz w:val="18"/>
                <w:szCs w:val="18"/>
              </w:rPr>
              <w:t>)</w:t>
            </w:r>
            <w:r w:rsidR="00B020B3">
              <w:rPr>
                <w:sz w:val="18"/>
                <w:szCs w:val="18"/>
              </w:rPr>
              <w:t xml:space="preserve"> </w:t>
            </w:r>
          </w:p>
        </w:tc>
        <w:tc>
          <w:tcPr>
            <w:tcW w:w="1276" w:type="dxa"/>
            <w:shd w:val="clear" w:color="auto" w:fill="CAE8AA"/>
          </w:tcPr>
          <w:p w14:paraId="16FA60EE" w14:textId="252CAABA" w:rsidR="009D3980" w:rsidRDefault="00B020B3" w:rsidP="007C4C1F">
            <w:pPr>
              <w:pStyle w:val="TableBody"/>
            </w:pPr>
            <w:r>
              <w:t xml:space="preserve">Yes </w:t>
            </w:r>
          </w:p>
        </w:tc>
        <w:tc>
          <w:tcPr>
            <w:tcW w:w="7085" w:type="dxa"/>
          </w:tcPr>
          <w:p w14:paraId="0F0F267C" w14:textId="0201DAF8" w:rsidR="00E75589" w:rsidRPr="00946C3B" w:rsidRDefault="00E75589" w:rsidP="00E75589">
            <w:pPr>
              <w:pStyle w:val="TableBullet"/>
              <w:rPr>
                <w:color w:val="000000"/>
                <w:szCs w:val="18"/>
              </w:rPr>
            </w:pPr>
            <w:r>
              <w:t xml:space="preserve">“Recommendation: 4. </w:t>
            </w:r>
            <w:r w:rsidRPr="00E75589">
              <w:t>Key principles guiding the payment of the SG should be:</w:t>
            </w:r>
          </w:p>
          <w:p w14:paraId="1E6551DF" w14:textId="1C3A05D5" w:rsidR="009D3980" w:rsidRPr="00946C3B" w:rsidRDefault="00E75589" w:rsidP="00946C3B">
            <w:pPr>
              <w:pStyle w:val="TableBullet"/>
              <w:numPr>
                <w:ilvl w:val="1"/>
                <w:numId w:val="1"/>
              </w:numPr>
              <w:rPr>
                <w:color w:val="000000"/>
                <w:szCs w:val="18"/>
              </w:rPr>
            </w:pPr>
            <w:r w:rsidRPr="00E75589">
              <w:rPr>
                <w:color w:val="000000"/>
                <w:szCs w:val="18"/>
              </w:rPr>
              <w:t>The right of the employee to receive their SG payment into their superannuation account as they earn it, preferably on the same cycle as wage payments are made to the individual;</w:t>
            </w:r>
            <w:r>
              <w:t>”</w:t>
            </w:r>
            <w:r w:rsidR="00442A9C">
              <w:rPr>
                <w:rStyle w:val="FootnoteReference"/>
                <w:color w:val="000000"/>
                <w:szCs w:val="18"/>
              </w:rPr>
              <w:footnoteReference w:id="65"/>
            </w:r>
          </w:p>
        </w:tc>
      </w:tr>
    </w:tbl>
    <w:p w14:paraId="67CCFD8F" w14:textId="77777777" w:rsidR="004815BC" w:rsidRDefault="004815BC" w:rsidP="000A251C">
      <w:pPr>
        <w:pStyle w:val="Bullet"/>
        <w:numPr>
          <w:ilvl w:val="0"/>
          <w:numId w:val="0"/>
        </w:numPr>
      </w:pPr>
    </w:p>
    <w:p w14:paraId="4879D599" w14:textId="4381578A" w:rsidR="00C97D69" w:rsidRDefault="00C97D69" w:rsidP="000A251C">
      <w:pPr>
        <w:pStyle w:val="Bullet"/>
        <w:numPr>
          <w:ilvl w:val="0"/>
          <w:numId w:val="0"/>
        </w:numPr>
      </w:pPr>
      <w:r>
        <w:t>Reforming the SG charge is necessary to administer and enforce an SG on payday framework</w:t>
      </w:r>
      <w:r w:rsidR="00430E9D">
        <w:t xml:space="preserve"> under Option 3</w:t>
      </w:r>
      <w:r>
        <w:t xml:space="preserve">. </w:t>
      </w:r>
      <w:r w:rsidR="00037557">
        <w:t xml:space="preserve">While </w:t>
      </w:r>
      <w:r w:rsidR="00085E55">
        <w:t xml:space="preserve">there are limited stakeholder comments on reforming the SG charge, </w:t>
      </w:r>
      <w:r w:rsidR="00F95C84">
        <w:t xml:space="preserve">stakeholders such as </w:t>
      </w:r>
      <w:r w:rsidR="009E7AA8">
        <w:t>COSBOA</w:t>
      </w:r>
      <w:r w:rsidR="00F95C84">
        <w:t xml:space="preserve">, who </w:t>
      </w:r>
      <w:r w:rsidR="00F9349E">
        <w:t xml:space="preserve">do not </w:t>
      </w:r>
      <w:r w:rsidR="00F95C84">
        <w:t>support SG on payday, have comment</w:t>
      </w:r>
      <w:r w:rsidR="00A56989">
        <w:t>ed</w:t>
      </w:r>
      <w:r w:rsidR="00F95C84">
        <w:t xml:space="preserve"> that </w:t>
      </w:r>
      <w:r w:rsidR="00CE6593">
        <w:t xml:space="preserve">the ATO </w:t>
      </w:r>
      <w:r w:rsidR="00F95C84">
        <w:t>“</w:t>
      </w:r>
      <w:r w:rsidR="00CE6593" w:rsidRPr="00CE6593">
        <w:t>should take a much stricter and more proactive approach to imposing penalties on those who do not meet their Superannuation Guarantee obligations</w:t>
      </w:r>
      <w:r w:rsidR="00196DAE">
        <w:t>.</w:t>
      </w:r>
      <w:r w:rsidR="00CE6593" w:rsidRPr="00CE6593">
        <w:t>”</w:t>
      </w:r>
      <w:r w:rsidR="00CE6593">
        <w:rPr>
          <w:rStyle w:val="FootnoteReference"/>
        </w:rPr>
        <w:footnoteReference w:id="66"/>
      </w:r>
      <w:r w:rsidR="00CE6593">
        <w:t xml:space="preserve"> </w:t>
      </w:r>
    </w:p>
    <w:p w14:paraId="5B16FB02" w14:textId="22C9A2C7" w:rsidR="00322C8F" w:rsidRDefault="00322C8F" w:rsidP="000A251C">
      <w:pPr>
        <w:pStyle w:val="Bullet"/>
        <w:numPr>
          <w:ilvl w:val="0"/>
          <w:numId w:val="0"/>
        </w:numPr>
      </w:pPr>
      <w:r>
        <w:t xml:space="preserve">In </w:t>
      </w:r>
      <w:r w:rsidR="00BD7429">
        <w:t>assessing Options 2 and 3</w:t>
      </w:r>
      <w:r>
        <w:t xml:space="preserve">, </w:t>
      </w:r>
      <w:r w:rsidR="000A251C">
        <w:t xml:space="preserve">Treasury </w:t>
      </w:r>
      <w:r>
        <w:t xml:space="preserve">consulted closely with </w:t>
      </w:r>
      <w:r w:rsidR="000A251C">
        <w:t xml:space="preserve">the </w:t>
      </w:r>
      <w:r>
        <w:t>ATO</w:t>
      </w:r>
      <w:r w:rsidR="00EA59A6">
        <w:t xml:space="preserve"> as the </w:t>
      </w:r>
      <w:r w:rsidR="008B52ED">
        <w:t>administ</w:t>
      </w:r>
      <w:r w:rsidR="00EA59A6">
        <w:t>rato</w:t>
      </w:r>
      <w:r w:rsidR="008B52ED">
        <w:t xml:space="preserve">r </w:t>
      </w:r>
      <w:r w:rsidR="00EA59A6">
        <w:t xml:space="preserve">of the </w:t>
      </w:r>
      <w:r w:rsidR="008B52ED">
        <w:t>SG compliance framework.</w:t>
      </w:r>
      <w:r w:rsidR="00DB02DC">
        <w:t xml:space="preserve"> This was crucial in ensuring the proposed changes </w:t>
      </w:r>
      <w:r w:rsidR="000E2954">
        <w:t xml:space="preserve">support the policy intent of reducing the incidence and improving recoverability of unpaid SG. </w:t>
      </w:r>
    </w:p>
    <w:p w14:paraId="0C14F246" w14:textId="62A70622" w:rsidR="00301E52" w:rsidRDefault="00301E52" w:rsidP="00301E52">
      <w:pPr>
        <w:pStyle w:val="Bullet"/>
        <w:numPr>
          <w:ilvl w:val="0"/>
          <w:numId w:val="0"/>
        </w:numPr>
      </w:pPr>
      <w:r>
        <w:t xml:space="preserve">The market sensitivity of the proposed changes to the SG system means there </w:t>
      </w:r>
      <w:r w:rsidR="00054B11">
        <w:t>has been</w:t>
      </w:r>
      <w:r>
        <w:t xml:space="preserve"> limited ability to consult on </w:t>
      </w:r>
      <w:r w:rsidR="00E95F75">
        <w:t>Option 3</w:t>
      </w:r>
      <w:r>
        <w:t xml:space="preserve"> policy details either publicly or confidentially before </w:t>
      </w:r>
      <w:r w:rsidR="0047331F">
        <w:t xml:space="preserve">the major decision to </w:t>
      </w:r>
      <w:r w:rsidR="002464ED">
        <w:t xml:space="preserve">proceed with </w:t>
      </w:r>
      <w:r w:rsidR="00E95F75">
        <w:t xml:space="preserve">the policy </w:t>
      </w:r>
      <w:r w:rsidR="0047331F">
        <w:t>in the 202</w:t>
      </w:r>
      <w:r w:rsidR="00A57230">
        <w:t>3</w:t>
      </w:r>
      <w:r w:rsidR="0047331F">
        <w:t>-2</w:t>
      </w:r>
      <w:r w:rsidR="00A57230">
        <w:t>4</w:t>
      </w:r>
      <w:r w:rsidR="0047331F">
        <w:t xml:space="preserve"> </w:t>
      </w:r>
      <w:r>
        <w:t xml:space="preserve">Budget. Consulting with a limited number of stakeholders </w:t>
      </w:r>
      <w:r w:rsidR="000155AE">
        <w:t xml:space="preserve">on the specifics of </w:t>
      </w:r>
      <w:r w:rsidR="00D410FA">
        <w:t xml:space="preserve">the SG on payday reform involved in </w:t>
      </w:r>
      <w:r w:rsidR="000155AE">
        <w:t xml:space="preserve">Option 3 </w:t>
      </w:r>
      <w:r>
        <w:t xml:space="preserve">would </w:t>
      </w:r>
      <w:r w:rsidR="00D410FA">
        <w:t xml:space="preserve">have </w:t>
      </w:r>
      <w:r>
        <w:t>afford</w:t>
      </w:r>
      <w:r w:rsidR="00D410FA">
        <w:t>ed</w:t>
      </w:r>
      <w:r>
        <w:t xml:space="preserve"> unacceptable market advantage, allowing some businesses advanced opportunities to develop implementation strategies, begin digital infrastructure investments </w:t>
      </w:r>
      <w:r w:rsidR="00F8795A">
        <w:t>and/</w:t>
      </w:r>
      <w:r>
        <w:t xml:space="preserve">or hire staff to complete these roles in an already tight labour market. The competitor advantage would be particularly relevant in the </w:t>
      </w:r>
      <w:r w:rsidR="00967525">
        <w:t xml:space="preserve">commercial </w:t>
      </w:r>
      <w:r>
        <w:t xml:space="preserve">clearing house industry, where almost all superannuation payments are made through </w:t>
      </w:r>
      <w:r w:rsidR="00713070">
        <w:t>7</w:t>
      </w:r>
      <w:r>
        <w:t xml:space="preserve"> competitors. Restricting confidential consultation to one of these clearing houses would both limit the quality of the consultation and unfairly disadvantage competitors. As such, post-decision consultation </w:t>
      </w:r>
      <w:r w:rsidR="008D4703">
        <w:t xml:space="preserve">for detailed </w:t>
      </w:r>
      <w:r w:rsidR="00D33E1D">
        <w:t xml:space="preserve">feedback on implementing </w:t>
      </w:r>
      <w:r w:rsidR="0036589E">
        <w:t xml:space="preserve">recommended </w:t>
      </w:r>
      <w:r w:rsidR="00D33E1D">
        <w:t>options</w:t>
      </w:r>
      <w:r>
        <w:t xml:space="preserve"> </w:t>
      </w:r>
      <w:r w:rsidR="0036589E">
        <w:t>would be</w:t>
      </w:r>
      <w:r>
        <w:t xml:space="preserve"> most appropriate for this proposal.</w:t>
      </w:r>
    </w:p>
    <w:p w14:paraId="71BF33C0" w14:textId="1DB97DA8" w:rsidR="001E5327" w:rsidRDefault="00E4289E" w:rsidP="007E7CDF">
      <w:pPr>
        <w:pStyle w:val="Heading3"/>
      </w:pPr>
      <w:bookmarkStart w:id="62" w:name="_Toc134198476"/>
      <w:r>
        <w:t>Post</w:t>
      </w:r>
      <w:r w:rsidR="00F0353F">
        <w:t>-</w:t>
      </w:r>
      <w:r w:rsidR="00274EF3">
        <w:t>decision</w:t>
      </w:r>
      <w:r w:rsidR="00944B02">
        <w:t xml:space="preserve"> consultation</w:t>
      </w:r>
      <w:bookmarkEnd w:id="62"/>
    </w:p>
    <w:p w14:paraId="7E9A83D3" w14:textId="4E984C9C" w:rsidR="00F6250E" w:rsidRDefault="00B7142E" w:rsidP="00B7142E">
      <w:pPr>
        <w:pStyle w:val="Bullet"/>
        <w:numPr>
          <w:ilvl w:val="0"/>
          <w:numId w:val="0"/>
        </w:numPr>
      </w:pPr>
      <w:r>
        <w:t>Given the</w:t>
      </w:r>
      <w:r w:rsidRPr="001944FA">
        <w:t xml:space="preserve"> i</w:t>
      </w:r>
      <w:r w:rsidR="00F6250E">
        <w:t xml:space="preserve">nvolvement </w:t>
      </w:r>
      <w:r w:rsidRPr="001944FA">
        <w:t>from employers, superannuation funds, clearing houses</w:t>
      </w:r>
      <w:r w:rsidR="00E816E4">
        <w:t>,</w:t>
      </w:r>
      <w:r w:rsidRPr="001944FA">
        <w:t xml:space="preserve"> and DSPs </w:t>
      </w:r>
      <w:r w:rsidR="00AD3852">
        <w:t xml:space="preserve">that will be required </w:t>
      </w:r>
      <w:r w:rsidRPr="001944FA">
        <w:t xml:space="preserve">to </w:t>
      </w:r>
      <w:r w:rsidR="00F6250E">
        <w:t>implement</w:t>
      </w:r>
      <w:r w:rsidRPr="001944FA">
        <w:t xml:space="preserve"> </w:t>
      </w:r>
      <w:r w:rsidR="00512902">
        <w:t>Option 3</w:t>
      </w:r>
      <w:r w:rsidR="00E816E4">
        <w:t>,</w:t>
      </w:r>
      <w:r>
        <w:t xml:space="preserve"> </w:t>
      </w:r>
      <w:r w:rsidR="00E816E4">
        <w:t>c</w:t>
      </w:r>
      <w:r w:rsidRPr="001944FA">
        <w:t xml:space="preserve">lose collaboration and engagement with these stakeholders </w:t>
      </w:r>
      <w:r w:rsidR="00512902">
        <w:t>would be</w:t>
      </w:r>
      <w:r w:rsidRPr="001944FA">
        <w:t xml:space="preserve"> essential </w:t>
      </w:r>
      <w:r>
        <w:t>in finalising the design</w:t>
      </w:r>
      <w:r w:rsidR="00E816E4">
        <w:t xml:space="preserve"> of these changes</w:t>
      </w:r>
      <w:r>
        <w:t>.</w:t>
      </w:r>
    </w:p>
    <w:p w14:paraId="5312FC6B" w14:textId="471F3EA5" w:rsidR="00512902" w:rsidRDefault="00C7325D" w:rsidP="00B7142E">
      <w:pPr>
        <w:pStyle w:val="Bullet"/>
        <w:numPr>
          <w:ilvl w:val="0"/>
          <w:numId w:val="0"/>
        </w:numPr>
      </w:pPr>
      <w:r>
        <w:t xml:space="preserve">Subject to the decision of Government, </w:t>
      </w:r>
      <w:r w:rsidR="00FD4017">
        <w:t>a</w:t>
      </w:r>
      <w:r w:rsidR="00987413">
        <w:t xml:space="preserve"> c</w:t>
      </w:r>
      <w:r w:rsidR="00B95244">
        <w:t xml:space="preserve">onsultation </w:t>
      </w:r>
      <w:r w:rsidR="00987413">
        <w:t>period</w:t>
      </w:r>
      <w:r w:rsidR="00B95244">
        <w:t xml:space="preserve"> </w:t>
      </w:r>
      <w:r w:rsidR="00FD4017">
        <w:t>could</w:t>
      </w:r>
      <w:r w:rsidR="00B95244">
        <w:t xml:space="preserve"> </w:t>
      </w:r>
      <w:r w:rsidR="00F6250E">
        <w:t>include</w:t>
      </w:r>
      <w:r w:rsidR="00B95244">
        <w:t xml:space="preserve"> </w:t>
      </w:r>
      <w:r w:rsidR="00B30176">
        <w:t xml:space="preserve">the release of a public </w:t>
      </w:r>
      <w:r w:rsidR="00B95244">
        <w:t>consultation paper and</w:t>
      </w:r>
      <w:r w:rsidR="00B30176">
        <w:t xml:space="preserve"> roundtable </w:t>
      </w:r>
      <w:r w:rsidR="00B95244">
        <w:t xml:space="preserve">meetings </w:t>
      </w:r>
      <w:r w:rsidR="00F80FF3">
        <w:t xml:space="preserve">held by Treasury and the ATO </w:t>
      </w:r>
      <w:r w:rsidR="00B95244">
        <w:t>with i</w:t>
      </w:r>
      <w:r w:rsidR="00B30176">
        <w:t>nterested</w:t>
      </w:r>
      <w:r w:rsidR="00B95244">
        <w:t xml:space="preserve"> stakeholders. T</w:t>
      </w:r>
      <w:r w:rsidR="00B30176">
        <w:t xml:space="preserve">he </w:t>
      </w:r>
      <w:r w:rsidR="00B95244">
        <w:t xml:space="preserve">consultation </w:t>
      </w:r>
      <w:r w:rsidR="00B30176">
        <w:t xml:space="preserve">period </w:t>
      </w:r>
      <w:r w:rsidR="00F80FF3">
        <w:t>could</w:t>
      </w:r>
      <w:r w:rsidR="00B95244">
        <w:t xml:space="preserve"> focus on how </w:t>
      </w:r>
      <w:r w:rsidR="00DD4E89">
        <w:t>Options 2 and 3</w:t>
      </w:r>
      <w:r w:rsidR="00B30176" w:rsidDel="00B30176">
        <w:t xml:space="preserve"> </w:t>
      </w:r>
      <w:r w:rsidR="00F80FF3">
        <w:t>w</w:t>
      </w:r>
      <w:r>
        <w:t>ould</w:t>
      </w:r>
      <w:r w:rsidR="00B95244">
        <w:t xml:space="preserve"> be implemented to </w:t>
      </w:r>
      <w:r w:rsidR="00B30176">
        <w:t xml:space="preserve">achieve the key objectives, whilst also limiting </w:t>
      </w:r>
      <w:r w:rsidR="00B95244">
        <w:t xml:space="preserve">regulatory burden </w:t>
      </w:r>
      <w:r w:rsidR="00B30176">
        <w:t>on affected stakeholders</w:t>
      </w:r>
      <w:r w:rsidR="00DD4E89">
        <w:t>.</w:t>
      </w:r>
      <w:r w:rsidR="00B95244">
        <w:t xml:space="preserve"> </w:t>
      </w:r>
    </w:p>
    <w:p w14:paraId="6969FBCB" w14:textId="657A50C7" w:rsidR="00B7142E" w:rsidRDefault="00263252" w:rsidP="00B7142E">
      <w:pPr>
        <w:pStyle w:val="Bullet"/>
        <w:numPr>
          <w:ilvl w:val="0"/>
          <w:numId w:val="0"/>
        </w:numPr>
      </w:pPr>
      <w:r>
        <w:t>T</w:t>
      </w:r>
      <w:r w:rsidR="00336947">
        <w:t xml:space="preserve">he </w:t>
      </w:r>
      <w:r w:rsidR="00B7142E">
        <w:t xml:space="preserve">consultation </w:t>
      </w:r>
      <w:r w:rsidR="00F80FF3">
        <w:t>could</w:t>
      </w:r>
      <w:r w:rsidR="00B7142E">
        <w:t xml:space="preserve"> focus on </w:t>
      </w:r>
      <w:r w:rsidR="00D05525">
        <w:t xml:space="preserve">3 </w:t>
      </w:r>
      <w:r w:rsidR="00B7142E">
        <w:t>key topics which w</w:t>
      </w:r>
      <w:r w:rsidR="00336947">
        <w:t>ould</w:t>
      </w:r>
      <w:r w:rsidR="00B7142E">
        <w:t xml:space="preserve"> inform the design of the unpaid SG package. </w:t>
      </w:r>
      <w:r w:rsidR="006360AD">
        <w:t>T</w:t>
      </w:r>
      <w:r w:rsidR="00B7142E">
        <w:t>argeted policy design consideration</w:t>
      </w:r>
      <w:r w:rsidR="00DF4F8C">
        <w:t>s</w:t>
      </w:r>
      <w:r w:rsidR="00B7142E">
        <w:t xml:space="preserve"> for these topics are include</w:t>
      </w:r>
      <w:r w:rsidR="00DF4F8C">
        <w:t>d</w:t>
      </w:r>
      <w:r w:rsidR="00B7142E">
        <w:t xml:space="preserve"> in </w:t>
      </w:r>
      <w:r w:rsidR="00464B89">
        <w:t>T</w:t>
      </w:r>
      <w:r w:rsidR="00B7142E">
        <w:t xml:space="preserve">able </w:t>
      </w:r>
      <w:r w:rsidR="00606372" w:rsidRPr="007E7CDF">
        <w:t>18</w:t>
      </w:r>
      <w:r w:rsidR="00B7142E">
        <w:t>.</w:t>
      </w:r>
    </w:p>
    <w:p w14:paraId="21ED829A" w14:textId="43069BE9" w:rsidR="00B7142E" w:rsidRDefault="00B7142E" w:rsidP="00B7142E">
      <w:pPr>
        <w:pStyle w:val="Caption"/>
      </w:pPr>
      <w:r>
        <w:t xml:space="preserve">Table </w:t>
      </w:r>
      <w:r w:rsidR="00606372">
        <w:t>18</w:t>
      </w:r>
      <w:r>
        <w:t xml:space="preserve">. </w:t>
      </w:r>
      <w:r w:rsidR="001D4E4C">
        <w:t>Treasury’s p</w:t>
      </w:r>
      <w:r w:rsidR="002D30DD">
        <w:t>roposed c</w:t>
      </w:r>
      <w:r>
        <w:t>onsultation considerations</w:t>
      </w:r>
    </w:p>
    <w:tbl>
      <w:tblPr>
        <w:tblStyle w:val="PMCDefaultTableStyle"/>
        <w:tblW w:w="0" w:type="auto"/>
        <w:tblLook w:val="04A0" w:firstRow="1" w:lastRow="0" w:firstColumn="1" w:lastColumn="0" w:noHBand="0" w:noVBand="1"/>
      </w:tblPr>
      <w:tblGrid>
        <w:gridCol w:w="3261"/>
        <w:gridCol w:w="6852"/>
      </w:tblGrid>
      <w:tr w:rsidR="00B7142E" w14:paraId="735B91B7" w14:textId="77777777" w:rsidTr="007E7CDF">
        <w:trPr>
          <w:cnfStyle w:val="100000000000" w:firstRow="1" w:lastRow="0" w:firstColumn="0" w:lastColumn="0" w:oddVBand="0" w:evenVBand="0" w:oddHBand="0" w:evenHBand="0" w:firstRowFirstColumn="0" w:firstRowLastColumn="0" w:lastRowFirstColumn="0" w:lastRowLastColumn="0"/>
          <w:trHeight w:val="532"/>
        </w:trPr>
        <w:tc>
          <w:tcPr>
            <w:tcW w:w="3261" w:type="dxa"/>
          </w:tcPr>
          <w:p w14:paraId="2FB80372" w14:textId="77777777" w:rsidR="00B7142E" w:rsidRPr="003153DB" w:rsidRDefault="00B7142E">
            <w:pPr>
              <w:pStyle w:val="BodyText"/>
            </w:pPr>
            <w:r>
              <w:t>Consultation topics</w:t>
            </w:r>
          </w:p>
        </w:tc>
        <w:tc>
          <w:tcPr>
            <w:tcW w:w="6852" w:type="dxa"/>
          </w:tcPr>
          <w:p w14:paraId="4168FA6A" w14:textId="77777777" w:rsidR="00B7142E" w:rsidRPr="0002486A" w:rsidRDefault="00B7142E">
            <w:pPr>
              <w:pStyle w:val="Bullet"/>
              <w:numPr>
                <w:ilvl w:val="0"/>
                <w:numId w:val="0"/>
              </w:numPr>
              <w:rPr>
                <w:rFonts w:asciiTheme="majorHAnsi" w:eastAsiaTheme="minorHAnsi" w:hAnsiTheme="majorHAnsi" w:cstheme="minorBidi"/>
                <w:color w:val="262626" w:themeColor="text1" w:themeTint="D9"/>
                <w:szCs w:val="20"/>
                <w:lang w:val="en-AU"/>
              </w:rPr>
            </w:pPr>
            <w:r>
              <w:rPr>
                <w:rFonts w:asciiTheme="majorHAnsi" w:eastAsiaTheme="minorHAnsi" w:hAnsiTheme="majorHAnsi" w:cstheme="minorBidi"/>
                <w:color w:val="262626" w:themeColor="text1" w:themeTint="D9"/>
                <w:szCs w:val="20"/>
                <w:lang w:val="en-AU"/>
              </w:rPr>
              <w:t>Targeted policy design considerations</w:t>
            </w:r>
          </w:p>
        </w:tc>
      </w:tr>
      <w:tr w:rsidR="00B7142E" w14:paraId="5CEFDD41" w14:textId="77777777" w:rsidTr="007E7CDF">
        <w:trPr>
          <w:cnfStyle w:val="000000100000" w:firstRow="0" w:lastRow="0" w:firstColumn="0" w:lastColumn="0" w:oddVBand="0" w:evenVBand="0" w:oddHBand="1" w:evenHBand="0" w:firstRowFirstColumn="0" w:firstRowLastColumn="0" w:lastRowFirstColumn="0" w:lastRowLastColumn="0"/>
          <w:trHeight w:val="1257"/>
        </w:trPr>
        <w:tc>
          <w:tcPr>
            <w:tcW w:w="3261" w:type="dxa"/>
          </w:tcPr>
          <w:p w14:paraId="1AF21830" w14:textId="77777777" w:rsidR="00B7142E" w:rsidRDefault="00B7142E">
            <w:r w:rsidRPr="0002486A">
              <w:rPr>
                <w:sz w:val="18"/>
                <w:szCs w:val="18"/>
              </w:rPr>
              <w:t>Increasing the payment and reporting frequency of the SG to align it with an employees’ payday</w:t>
            </w:r>
          </w:p>
        </w:tc>
        <w:tc>
          <w:tcPr>
            <w:tcW w:w="6852" w:type="dxa"/>
          </w:tcPr>
          <w:p w14:paraId="5496A2E8" w14:textId="77777777" w:rsidR="00B7142E" w:rsidRPr="0002486A" w:rsidRDefault="00B7142E">
            <w:pPr>
              <w:pStyle w:val="TableBullet"/>
              <w:rPr>
                <w:color w:val="000000"/>
                <w:szCs w:val="18"/>
              </w:rPr>
            </w:pPr>
            <w:r w:rsidRPr="0002486A">
              <w:rPr>
                <w:color w:val="000000"/>
                <w:szCs w:val="18"/>
              </w:rPr>
              <w:t>Impacts on the calculation of an employee’s SG in an SG on payday environment</w:t>
            </w:r>
            <w:r>
              <w:rPr>
                <w:color w:val="000000"/>
                <w:szCs w:val="18"/>
              </w:rPr>
              <w:t>.</w:t>
            </w:r>
          </w:p>
          <w:p w14:paraId="31F48456" w14:textId="14B30D1F" w:rsidR="00B7142E" w:rsidRDefault="00B7142E">
            <w:pPr>
              <w:pStyle w:val="TableBullet"/>
            </w:pPr>
            <w:r w:rsidRPr="0002486A">
              <w:rPr>
                <w:color w:val="000000"/>
                <w:szCs w:val="18"/>
              </w:rPr>
              <w:t>Feasible payment processing timeframes for employers and financial intermediaries</w:t>
            </w:r>
            <w:r w:rsidR="00154583">
              <w:rPr>
                <w:color w:val="000000"/>
                <w:szCs w:val="18"/>
              </w:rPr>
              <w:t>,</w:t>
            </w:r>
            <w:r w:rsidRPr="0002486A">
              <w:rPr>
                <w:color w:val="000000"/>
                <w:szCs w:val="18"/>
              </w:rPr>
              <w:t xml:space="preserve"> including</w:t>
            </w:r>
            <w:r>
              <w:rPr>
                <w:color w:val="000000"/>
                <w:szCs w:val="18"/>
              </w:rPr>
              <w:t xml:space="preserve"> clearing houses.</w:t>
            </w:r>
          </w:p>
          <w:p w14:paraId="0C8599DB" w14:textId="77777777" w:rsidR="00B7142E" w:rsidRDefault="00B7142E">
            <w:pPr>
              <w:pStyle w:val="TableBullet"/>
            </w:pPr>
            <w:r>
              <w:t>The impact of shorter timeframes on clearing houses and other financial intermediaries including any changes to regulatory structures.</w:t>
            </w:r>
          </w:p>
          <w:p w14:paraId="7C6C2C63" w14:textId="77777777" w:rsidR="00B7142E" w:rsidRDefault="00B7142E">
            <w:pPr>
              <w:pStyle w:val="TableBullet"/>
            </w:pPr>
            <w:r>
              <w:t>Impacts on business structures and strategies.</w:t>
            </w:r>
          </w:p>
        </w:tc>
      </w:tr>
      <w:tr w:rsidR="00B7142E" w14:paraId="38DCC35C" w14:textId="77777777" w:rsidTr="007E7CDF">
        <w:trPr>
          <w:cnfStyle w:val="000000010000" w:firstRow="0" w:lastRow="0" w:firstColumn="0" w:lastColumn="0" w:oddVBand="0" w:evenVBand="0" w:oddHBand="0" w:evenHBand="1" w:firstRowFirstColumn="0" w:firstRowLastColumn="0" w:lastRowFirstColumn="0" w:lastRowLastColumn="0"/>
          <w:trHeight w:val="377"/>
        </w:trPr>
        <w:tc>
          <w:tcPr>
            <w:tcW w:w="3261" w:type="dxa"/>
          </w:tcPr>
          <w:p w14:paraId="7907FA39" w14:textId="77777777" w:rsidR="00B7142E" w:rsidRDefault="00B7142E">
            <w:r w:rsidRPr="00C30B02">
              <w:rPr>
                <w:sz w:val="18"/>
                <w:szCs w:val="18"/>
              </w:rPr>
              <w:t>Automatic ATO compliance systems</w:t>
            </w:r>
          </w:p>
        </w:tc>
        <w:tc>
          <w:tcPr>
            <w:tcW w:w="6852" w:type="dxa"/>
          </w:tcPr>
          <w:p w14:paraId="42176753" w14:textId="77777777" w:rsidR="00B7142E" w:rsidRDefault="00B7142E">
            <w:pPr>
              <w:pStyle w:val="TableBullet"/>
            </w:pPr>
            <w:r>
              <w:t>Changes to reporting requirements for employers, financial intermediaries including clearing houses and superannuation funds.</w:t>
            </w:r>
          </w:p>
          <w:p w14:paraId="16E3B67E" w14:textId="77777777" w:rsidR="00B7142E" w:rsidRDefault="00B7142E">
            <w:pPr>
              <w:pStyle w:val="TableBullet"/>
            </w:pPr>
            <w:r>
              <w:t>Ongoing engagement between the ATO and stakeholders.</w:t>
            </w:r>
          </w:p>
        </w:tc>
      </w:tr>
      <w:tr w:rsidR="00B7142E" w14:paraId="78B31823" w14:textId="77777777" w:rsidTr="007E7CDF">
        <w:trPr>
          <w:cnfStyle w:val="000000100000" w:firstRow="0" w:lastRow="0" w:firstColumn="0" w:lastColumn="0" w:oddVBand="0" w:evenVBand="0" w:oddHBand="1" w:evenHBand="0" w:firstRowFirstColumn="0" w:firstRowLastColumn="0" w:lastRowFirstColumn="0" w:lastRowLastColumn="0"/>
          <w:trHeight w:val="377"/>
        </w:trPr>
        <w:tc>
          <w:tcPr>
            <w:tcW w:w="3261" w:type="dxa"/>
          </w:tcPr>
          <w:p w14:paraId="083F741F" w14:textId="77777777" w:rsidR="00B7142E" w:rsidRPr="0002486A" w:rsidRDefault="00B7142E">
            <w:pPr>
              <w:rPr>
                <w:sz w:val="18"/>
                <w:szCs w:val="18"/>
              </w:rPr>
            </w:pPr>
            <w:r w:rsidRPr="0002486A">
              <w:rPr>
                <w:sz w:val="18"/>
                <w:szCs w:val="18"/>
              </w:rPr>
              <w:t>Changes to the SG charge</w:t>
            </w:r>
          </w:p>
        </w:tc>
        <w:tc>
          <w:tcPr>
            <w:tcW w:w="6852" w:type="dxa"/>
          </w:tcPr>
          <w:p w14:paraId="0556789F" w14:textId="77777777" w:rsidR="00B7142E" w:rsidRDefault="00B7142E">
            <w:pPr>
              <w:pStyle w:val="TableBullet"/>
            </w:pPr>
            <w:r>
              <w:t>Flexibility in the application of the SG charge.</w:t>
            </w:r>
          </w:p>
          <w:p w14:paraId="615E1771" w14:textId="77777777" w:rsidR="00B7142E" w:rsidRDefault="00B7142E">
            <w:pPr>
              <w:pStyle w:val="TableBullet"/>
            </w:pPr>
            <w:r>
              <w:t>Changes to the calculation of the SG charge.</w:t>
            </w:r>
          </w:p>
          <w:p w14:paraId="71B64647" w14:textId="77777777" w:rsidR="00B7142E" w:rsidRDefault="00B7142E">
            <w:pPr>
              <w:pStyle w:val="TableBullet"/>
            </w:pPr>
            <w:r>
              <w:t>Administration of the SG charge.</w:t>
            </w:r>
          </w:p>
        </w:tc>
      </w:tr>
    </w:tbl>
    <w:p w14:paraId="5F879764" w14:textId="77777777" w:rsidR="00B7142E" w:rsidRDefault="00B7142E" w:rsidP="000A251C">
      <w:pPr>
        <w:pStyle w:val="Bullet"/>
        <w:numPr>
          <w:ilvl w:val="0"/>
          <w:numId w:val="0"/>
        </w:numPr>
      </w:pPr>
    </w:p>
    <w:p w14:paraId="3AA9690D" w14:textId="13DB488C" w:rsidR="005509AA" w:rsidRPr="007E7CDF" w:rsidRDefault="00FE64C3" w:rsidP="007E7CDF">
      <w:pPr>
        <w:pStyle w:val="Bullet"/>
        <w:numPr>
          <w:ilvl w:val="0"/>
          <w:numId w:val="0"/>
        </w:numPr>
      </w:pPr>
      <w:r>
        <w:t xml:space="preserve">To </w:t>
      </w:r>
      <w:r w:rsidR="003D1AE1">
        <w:t>effectively</w:t>
      </w:r>
      <w:r>
        <w:t xml:space="preserve"> </w:t>
      </w:r>
      <w:r w:rsidRPr="00972593">
        <w:t>administ</w:t>
      </w:r>
      <w:r>
        <w:t>er the unpaid SG package,</w:t>
      </w:r>
      <w:r w:rsidRPr="00972593">
        <w:t xml:space="preserve"> </w:t>
      </w:r>
      <w:r>
        <w:t>changes would be required to the infrastructure that underpins the SG system</w:t>
      </w:r>
      <w:r w:rsidR="00E77EC7">
        <w:t>, including those that impact</w:t>
      </w:r>
      <w:r>
        <w:t xml:space="preserve"> external stakeholders</w:t>
      </w:r>
      <w:r w:rsidR="00E77EC7">
        <w:t xml:space="preserve">. </w:t>
      </w:r>
      <w:r w:rsidR="00F971C9">
        <w:t>C</w:t>
      </w:r>
      <w:r w:rsidR="003E46BB">
        <w:t xml:space="preserve">learing houses will </w:t>
      </w:r>
      <w:r w:rsidR="00DA37B4">
        <w:t xml:space="preserve">be </w:t>
      </w:r>
      <w:r w:rsidR="00F971C9">
        <w:t xml:space="preserve">essential in ensuring that SG contributions are </w:t>
      </w:r>
      <w:r w:rsidR="00DA37B4">
        <w:t>deposited</w:t>
      </w:r>
      <w:r w:rsidR="0020701B">
        <w:t xml:space="preserve"> into an employee’s superannuation fund</w:t>
      </w:r>
      <w:r w:rsidR="00DA37B4">
        <w:t xml:space="preserve"> in </w:t>
      </w:r>
      <w:r w:rsidR="003F588B">
        <w:t xml:space="preserve">a </w:t>
      </w:r>
      <w:r w:rsidR="00DA37B4">
        <w:t xml:space="preserve">shorter timeframe </w:t>
      </w:r>
      <w:r w:rsidR="00455E5A">
        <w:t xml:space="preserve">than </w:t>
      </w:r>
      <w:r w:rsidR="008301CA">
        <w:t xml:space="preserve">the existing 28-day period after the end of the quarter. As such, </w:t>
      </w:r>
      <w:r w:rsidR="0038346F">
        <w:t xml:space="preserve">extensive consultation </w:t>
      </w:r>
      <w:r w:rsidR="007E752B">
        <w:t xml:space="preserve">with clearing houses among other stakeholders </w:t>
      </w:r>
      <w:r w:rsidR="00F44BF8">
        <w:t>will</w:t>
      </w:r>
      <w:r w:rsidR="0038346F">
        <w:t xml:space="preserve"> inform the </w:t>
      </w:r>
      <w:r w:rsidR="009138D5">
        <w:t xml:space="preserve">policy design for </w:t>
      </w:r>
      <w:r w:rsidR="00F44BF8">
        <w:t>payment processing times</w:t>
      </w:r>
      <w:r w:rsidR="00E53996">
        <w:t xml:space="preserve"> of </w:t>
      </w:r>
      <w:r w:rsidR="00B62965">
        <w:t>employee contributions</w:t>
      </w:r>
      <w:r w:rsidR="009138D5">
        <w:t>. Policy design considerations will include the</w:t>
      </w:r>
      <w:r w:rsidR="00683C60">
        <w:t xml:space="preserve"> changes </w:t>
      </w:r>
      <w:r w:rsidR="005D6CFB">
        <w:t xml:space="preserve">required </w:t>
      </w:r>
      <w:r w:rsidR="00683C60">
        <w:t>to</w:t>
      </w:r>
      <w:r w:rsidR="00874009">
        <w:t xml:space="preserve"> </w:t>
      </w:r>
      <w:r w:rsidR="002471D5">
        <w:t xml:space="preserve">ICT </w:t>
      </w:r>
      <w:r w:rsidR="00874009">
        <w:t>infrastructure</w:t>
      </w:r>
      <w:r w:rsidR="002471D5">
        <w:t>, technological limitations, reporting systems</w:t>
      </w:r>
      <w:r w:rsidR="00874009">
        <w:t xml:space="preserve"> and business strategies </w:t>
      </w:r>
      <w:r w:rsidR="00BD119E">
        <w:t>that</w:t>
      </w:r>
      <w:r w:rsidR="00874009">
        <w:t xml:space="preserve"> will be required to accommodate </w:t>
      </w:r>
      <w:r w:rsidR="00B6524E">
        <w:t>the</w:t>
      </w:r>
      <w:r w:rsidR="00874009">
        <w:t xml:space="preserve"> shorter </w:t>
      </w:r>
      <w:r w:rsidR="00B6524E">
        <w:t>payment timeframe</w:t>
      </w:r>
      <w:r w:rsidR="00874009">
        <w:t>.</w:t>
      </w:r>
      <w:r w:rsidR="00E53996">
        <w:t xml:space="preserve"> </w:t>
      </w:r>
      <w:r w:rsidR="005509AA">
        <w:br w:type="page"/>
      </w:r>
    </w:p>
    <w:p w14:paraId="27990604" w14:textId="45D94142" w:rsidR="00E6567D" w:rsidRDefault="00E6567D" w:rsidP="00E6567D">
      <w:pPr>
        <w:pStyle w:val="Title"/>
      </w:pPr>
      <w:bookmarkStart w:id="63" w:name="_Toc134198477"/>
      <w:r>
        <w:t>6. What is the best option from those you have considered?</w:t>
      </w:r>
      <w:bookmarkEnd w:id="63"/>
    </w:p>
    <w:p w14:paraId="7A6597FD" w14:textId="46F34F38" w:rsidR="00E6567D" w:rsidRDefault="009D0CCF" w:rsidP="00946C3B">
      <w:pPr>
        <w:pStyle w:val="Heading3"/>
      </w:pPr>
      <w:bookmarkStart w:id="64" w:name="_Toc134198478"/>
      <w:r>
        <w:t>Outcome</w:t>
      </w:r>
      <w:r w:rsidR="00B21A1A">
        <w:t>s</w:t>
      </w:r>
      <w:r>
        <w:t xml:space="preserve"> of consultation</w:t>
      </w:r>
      <w:bookmarkEnd w:id="64"/>
    </w:p>
    <w:p w14:paraId="790E07AB" w14:textId="6AF8028D" w:rsidR="009D0CCF" w:rsidRPr="009D0CCF" w:rsidRDefault="009D0CCF" w:rsidP="009D0CCF">
      <w:pPr>
        <w:pStyle w:val="BodyText"/>
      </w:pPr>
      <w:r>
        <w:t>There is widespread stakeholder support</w:t>
      </w:r>
      <w:r w:rsidR="009058D5">
        <w:t xml:space="preserve"> for</w:t>
      </w:r>
      <w:r w:rsidR="0033235E">
        <w:t xml:space="preserve"> Government action to address the incidence o</w:t>
      </w:r>
      <w:r w:rsidR="009421DC">
        <w:t>f</w:t>
      </w:r>
      <w:r w:rsidR="0033235E">
        <w:t xml:space="preserve"> unpaid SG.</w:t>
      </w:r>
      <w:r w:rsidR="000508BF">
        <w:t xml:space="preserve"> From public reports and statements</w:t>
      </w:r>
      <w:r w:rsidR="00900005">
        <w:t>,</w:t>
      </w:r>
      <w:r w:rsidR="000508BF">
        <w:t xml:space="preserve"> </w:t>
      </w:r>
      <w:r w:rsidR="0033235E">
        <w:t xml:space="preserve">the majority of stakeholders </w:t>
      </w:r>
      <w:r w:rsidR="00CC4DB3">
        <w:t xml:space="preserve">for which views are known </w:t>
      </w:r>
      <w:r w:rsidR="0033235E">
        <w:t xml:space="preserve">support </w:t>
      </w:r>
      <w:r w:rsidR="00052FC3">
        <w:t xml:space="preserve">Option 3. </w:t>
      </w:r>
    </w:p>
    <w:p w14:paraId="554177C7" w14:textId="2079D695" w:rsidR="00366219" w:rsidRPr="009D0CCF" w:rsidRDefault="0069310A" w:rsidP="00011578">
      <w:pPr>
        <w:pStyle w:val="BodyText"/>
      </w:pPr>
      <w:r>
        <w:t xml:space="preserve">Extensive consultation post-Budget announcement is planned with stakeholders, including superannuation funds, employers, </w:t>
      </w:r>
      <w:r w:rsidR="006201AF">
        <w:t>DSPs</w:t>
      </w:r>
      <w:r>
        <w:t xml:space="preserve"> and clearing houses. This will include the release of a public consultation paper and</w:t>
      </w:r>
      <w:r w:rsidR="00366219">
        <w:t xml:space="preserve"> will be</w:t>
      </w:r>
      <w:r>
        <w:t xml:space="preserve"> supported by </w:t>
      </w:r>
      <w:r w:rsidR="00366219">
        <w:t>roundtables</w:t>
      </w:r>
      <w:r>
        <w:t xml:space="preserve"> with stakeholder</w:t>
      </w:r>
      <w:r w:rsidR="00366219">
        <w:t xml:space="preserve"> representatives</w:t>
      </w:r>
      <w:r>
        <w:t>.</w:t>
      </w:r>
      <w:r w:rsidR="0017452D">
        <w:t xml:space="preserve"> </w:t>
      </w:r>
      <w:r w:rsidR="00F8051E">
        <w:t xml:space="preserve">Stakeholders are integral to the delivery of the unpaid SG package to ensure it is fit for purpose and does not impose any undue burdens </w:t>
      </w:r>
      <w:r w:rsidR="00C05591">
        <w:t xml:space="preserve">on </w:t>
      </w:r>
      <w:r w:rsidR="00F8051E">
        <w:t>stakeholders.</w:t>
      </w:r>
    </w:p>
    <w:p w14:paraId="7921DFC1" w14:textId="1C8DA744" w:rsidR="006C1F32" w:rsidRDefault="00347032" w:rsidP="00946C3B">
      <w:pPr>
        <w:pStyle w:val="Heading3"/>
      </w:pPr>
      <w:bookmarkStart w:id="65" w:name="_Toc134198479"/>
      <w:r>
        <w:t>Recommended</w:t>
      </w:r>
      <w:r w:rsidR="006C1F32">
        <w:t xml:space="preserve"> </w:t>
      </w:r>
      <w:r w:rsidR="005B3668">
        <w:t>o</w:t>
      </w:r>
      <w:r w:rsidR="006C1F32">
        <w:t>ptions</w:t>
      </w:r>
      <w:r w:rsidR="009F630D">
        <w:t xml:space="preserve"> – 2</w:t>
      </w:r>
      <w:r w:rsidR="0035088F">
        <w:t xml:space="preserve"> and</w:t>
      </w:r>
      <w:r w:rsidR="009F630D">
        <w:t xml:space="preserve"> 3</w:t>
      </w:r>
      <w:bookmarkEnd w:id="65"/>
      <w:r w:rsidR="009F630D">
        <w:t xml:space="preserve"> </w:t>
      </w:r>
    </w:p>
    <w:p w14:paraId="2D22762C" w14:textId="68C5C790" w:rsidR="005B3668" w:rsidRDefault="005B3668" w:rsidP="005B3668">
      <w:pPr>
        <w:pStyle w:val="BodyText"/>
      </w:pPr>
      <w:r>
        <w:t>Treasury recommend</w:t>
      </w:r>
      <w:r w:rsidR="0052097B">
        <w:t>s</w:t>
      </w:r>
      <w:r>
        <w:t xml:space="preserve"> </w:t>
      </w:r>
      <w:r w:rsidR="007B1FA8">
        <w:t>O</w:t>
      </w:r>
      <w:r>
        <w:t>ptions 2</w:t>
      </w:r>
      <w:r w:rsidR="0035088F">
        <w:t xml:space="preserve"> and</w:t>
      </w:r>
      <w:r>
        <w:t xml:space="preserve"> 3 be considered by the Government in the form of an unpaid SG package</w:t>
      </w:r>
      <w:r w:rsidR="0034465A">
        <w:t xml:space="preserve"> as </w:t>
      </w:r>
      <w:r w:rsidR="00C21E10">
        <w:t xml:space="preserve">together </w:t>
      </w:r>
      <w:r w:rsidR="00D27537">
        <w:t xml:space="preserve">this will </w:t>
      </w:r>
      <w:r w:rsidR="0034465A">
        <w:t xml:space="preserve">have a </w:t>
      </w:r>
      <w:r w:rsidR="00C21E10">
        <w:t>significant</w:t>
      </w:r>
      <w:r w:rsidR="0034465A">
        <w:t xml:space="preserve"> impact on </w:t>
      </w:r>
      <w:r w:rsidR="005E5D7D">
        <w:t xml:space="preserve">addressing the </w:t>
      </w:r>
      <w:r w:rsidR="00C64127">
        <w:t>underlying drivers</w:t>
      </w:r>
      <w:r w:rsidR="005E5D7D">
        <w:t xml:space="preserve"> of unpaid SG</w:t>
      </w:r>
      <w:r>
        <w:t xml:space="preserve">. </w:t>
      </w:r>
      <w:r w:rsidR="00E66C50">
        <w:t xml:space="preserve">Alternatively, if the status quo were to be maintained, there </w:t>
      </w:r>
      <w:r w:rsidR="00B15E38">
        <w:t xml:space="preserve">will </w:t>
      </w:r>
      <w:r w:rsidR="00617540">
        <w:t xml:space="preserve">likely </w:t>
      </w:r>
      <w:r w:rsidR="006720E7">
        <w:t xml:space="preserve">minimal </w:t>
      </w:r>
      <w:r w:rsidR="00E66C50">
        <w:t>improvement in the unpaid SG gap</w:t>
      </w:r>
      <w:r w:rsidR="00C02115">
        <w:t>. In this scenario,</w:t>
      </w:r>
      <w:r w:rsidR="00E66C50">
        <w:t xml:space="preserve"> the issue</w:t>
      </w:r>
      <w:r w:rsidR="00556DEF">
        <w:t xml:space="preserve"> of </w:t>
      </w:r>
      <w:r w:rsidR="004446E5">
        <w:t>unpaid</w:t>
      </w:r>
      <w:r w:rsidR="00556DEF">
        <w:t xml:space="preserve"> SG would continue to persist</w:t>
      </w:r>
      <w:r w:rsidR="00B14D0F">
        <w:t>,</w:t>
      </w:r>
      <w:r w:rsidR="00556DEF">
        <w:t xml:space="preserve"> and </w:t>
      </w:r>
      <w:r w:rsidR="00C02115">
        <w:t xml:space="preserve">the gap would </w:t>
      </w:r>
      <w:r w:rsidR="00556DEF">
        <w:t>potentially grow</w:t>
      </w:r>
      <w:r w:rsidR="00C02115">
        <w:t xml:space="preserve"> in line with a maturing super</w:t>
      </w:r>
      <w:r w:rsidR="00CB04AF">
        <w:t>annuation</w:t>
      </w:r>
      <w:r w:rsidR="00C02115">
        <w:t xml:space="preserve"> system</w:t>
      </w:r>
      <w:r w:rsidR="00556DEF">
        <w:t xml:space="preserve">. </w:t>
      </w:r>
    </w:p>
    <w:p w14:paraId="6C95C119" w14:textId="4FC0D965" w:rsidR="006C1F32" w:rsidRPr="006C1F32" w:rsidRDefault="002C5FCF" w:rsidP="007E7CDF">
      <w:pPr>
        <w:pStyle w:val="Heading4"/>
      </w:pPr>
      <w:r>
        <w:t>A</w:t>
      </w:r>
      <w:r w:rsidR="00347032">
        <w:t xml:space="preserve">ddressing </w:t>
      </w:r>
      <w:r>
        <w:t>unpaid SG</w:t>
      </w:r>
    </w:p>
    <w:p w14:paraId="30A3905D" w14:textId="7EEF0C08" w:rsidR="002470FE" w:rsidRDefault="00477EBD" w:rsidP="0017452D">
      <w:pPr>
        <w:pStyle w:val="BodyText"/>
      </w:pPr>
      <w:r>
        <w:t xml:space="preserve">Together, </w:t>
      </w:r>
      <w:r w:rsidR="00865573">
        <w:t>Options 2</w:t>
      </w:r>
      <w:r w:rsidR="0035088F">
        <w:t xml:space="preserve"> and</w:t>
      </w:r>
      <w:r w:rsidR="00865573">
        <w:t xml:space="preserve"> 3 will </w:t>
      </w:r>
      <w:r w:rsidR="006331CE">
        <w:t>reduce unpaid SG</w:t>
      </w:r>
      <w:r w:rsidR="0091711D">
        <w:t xml:space="preserve"> in the superannuation system. These options will do this by</w:t>
      </w:r>
      <w:r w:rsidR="006331CE">
        <w:t xml:space="preserve"> </w:t>
      </w:r>
      <w:r w:rsidR="00C434CE">
        <w:t xml:space="preserve">addressing the </w:t>
      </w:r>
      <w:r w:rsidR="007047D2">
        <w:t xml:space="preserve">several </w:t>
      </w:r>
      <w:r w:rsidR="00C434CE">
        <w:t>underlying causes of unpaid SG</w:t>
      </w:r>
      <w:r w:rsidR="00B37B82">
        <w:t xml:space="preserve"> being</w:t>
      </w:r>
      <w:r w:rsidR="002470FE">
        <w:t>:</w:t>
      </w:r>
    </w:p>
    <w:p w14:paraId="50810B99" w14:textId="77777777" w:rsidR="002470FE" w:rsidRDefault="002470FE" w:rsidP="002470FE">
      <w:pPr>
        <w:pStyle w:val="BodyText"/>
        <w:numPr>
          <w:ilvl w:val="0"/>
          <w:numId w:val="10"/>
        </w:numPr>
      </w:pPr>
      <w:r>
        <w:t>Lack of visibility of SG payments</w:t>
      </w:r>
    </w:p>
    <w:p w14:paraId="7B8021BE" w14:textId="2697D2F5" w:rsidR="00725416" w:rsidRDefault="00CA3337" w:rsidP="002470FE">
      <w:pPr>
        <w:pStyle w:val="BodyText"/>
        <w:numPr>
          <w:ilvl w:val="0"/>
          <w:numId w:val="10"/>
        </w:numPr>
      </w:pPr>
      <w:r>
        <w:t>Delay in receipt of SG payments</w:t>
      </w:r>
    </w:p>
    <w:p w14:paraId="2E9F1E51" w14:textId="7A8E0F36" w:rsidR="007F3A4B" w:rsidRPr="007F3A4B" w:rsidRDefault="002019E1" w:rsidP="0017452D">
      <w:pPr>
        <w:pStyle w:val="BodyText"/>
      </w:pPr>
      <w:r>
        <w:t>Implementing Options 2</w:t>
      </w:r>
      <w:r w:rsidR="0022361F">
        <w:t xml:space="preserve"> and</w:t>
      </w:r>
      <w:r>
        <w:t xml:space="preserve"> 3 would </w:t>
      </w:r>
      <w:r w:rsidR="006331CE">
        <w:t>improv</w:t>
      </w:r>
      <w:r>
        <w:t>e</w:t>
      </w:r>
      <w:r w:rsidR="006331CE">
        <w:t xml:space="preserve"> </w:t>
      </w:r>
      <w:r w:rsidR="0091711D">
        <w:t>the</w:t>
      </w:r>
      <w:r w:rsidR="006331CE">
        <w:t xml:space="preserve"> </w:t>
      </w:r>
      <w:r w:rsidR="00857233">
        <w:t>ability</w:t>
      </w:r>
      <w:r w:rsidR="0091711D">
        <w:t xml:space="preserve"> </w:t>
      </w:r>
      <w:r w:rsidR="006331CE">
        <w:t xml:space="preserve">for employees, </w:t>
      </w:r>
      <w:r w:rsidR="0091711D">
        <w:t xml:space="preserve">employers, the </w:t>
      </w:r>
      <w:r w:rsidR="006331CE">
        <w:t>ATO and super</w:t>
      </w:r>
      <w:r w:rsidR="0091711D">
        <w:t>annuation</w:t>
      </w:r>
      <w:r w:rsidR="006331CE">
        <w:t xml:space="preserve"> fund</w:t>
      </w:r>
      <w:r w:rsidR="0091711D">
        <w:t>s</w:t>
      </w:r>
      <w:r w:rsidR="00857233">
        <w:t xml:space="preserve"> to recognise unpaid SG in the system</w:t>
      </w:r>
      <w:r w:rsidR="002F1437">
        <w:t xml:space="preserve">, in addition to </w:t>
      </w:r>
      <w:r w:rsidR="00857233">
        <w:t xml:space="preserve">reducing the likelihood of </w:t>
      </w:r>
      <w:r w:rsidR="002F1437">
        <w:t xml:space="preserve">it </w:t>
      </w:r>
      <w:r w:rsidR="00857233">
        <w:t>occurring in the first place</w:t>
      </w:r>
      <w:r w:rsidR="0091711D">
        <w:t>.</w:t>
      </w:r>
      <w:r w:rsidR="006331CE">
        <w:t xml:space="preserve"> </w:t>
      </w:r>
    </w:p>
    <w:p w14:paraId="0DDA9934" w14:textId="6014C083" w:rsidR="005B3668" w:rsidRDefault="00C57225" w:rsidP="005B3668">
      <w:pPr>
        <w:pStyle w:val="BodyText"/>
      </w:pPr>
      <w:r>
        <w:t>Option</w:t>
      </w:r>
      <w:r w:rsidR="008D4763">
        <w:t>s</w:t>
      </w:r>
      <w:r>
        <w:t xml:space="preserve"> 2</w:t>
      </w:r>
      <w:r w:rsidR="00263FE4">
        <w:t xml:space="preserve"> and</w:t>
      </w:r>
      <w:r>
        <w:t xml:space="preserve"> 3 have the cumulative effect of increasing the transparency of unpaid SG</w:t>
      </w:r>
      <w:r w:rsidR="00C64127">
        <w:t xml:space="preserve">. </w:t>
      </w:r>
      <w:r w:rsidR="00B21A1A">
        <w:t>These options</w:t>
      </w:r>
      <w:r w:rsidR="00C64127">
        <w:t xml:space="preserve"> will</w:t>
      </w:r>
      <w:r w:rsidR="000B42D3">
        <w:t xml:space="preserve"> further disincentivise </w:t>
      </w:r>
      <w:r w:rsidR="009A6244">
        <w:t xml:space="preserve">the non-payment of SG; </w:t>
      </w:r>
      <w:r w:rsidR="000B42D3">
        <w:t>empower individuals to raise the issue of unpaid SG early with the ATO; and improve ATO capabilities to claw back super</w:t>
      </w:r>
      <w:r w:rsidR="00551400">
        <w:t>annuation</w:t>
      </w:r>
      <w:r w:rsidR="000B42D3">
        <w:t xml:space="preserve"> where it remains unpaid.</w:t>
      </w:r>
    </w:p>
    <w:p w14:paraId="2EB86290" w14:textId="7F857CD3" w:rsidR="00502C75" w:rsidRDefault="00502C75" w:rsidP="00502C75">
      <w:pPr>
        <w:pStyle w:val="Dash"/>
        <w:numPr>
          <w:ilvl w:val="0"/>
          <w:numId w:val="0"/>
        </w:numPr>
        <w:spacing w:before="120" w:after="200" w:line="240" w:lineRule="auto"/>
      </w:pPr>
      <w:r>
        <w:t xml:space="preserve">Investments in an SG package would enable the Government to ensure workers are paid their superannuation entitlements and </w:t>
      </w:r>
      <w:r w:rsidR="00494F43">
        <w:t>that</w:t>
      </w:r>
      <w:r w:rsidR="00B9636C">
        <w:t xml:space="preserve"> </w:t>
      </w:r>
      <w:r>
        <w:t>compliant employers are not disadvantaged by non-compliant competitors.</w:t>
      </w:r>
    </w:p>
    <w:p w14:paraId="428548CD" w14:textId="3BB9415D" w:rsidR="00C61FF0" w:rsidRDefault="00456349" w:rsidP="00FB2AD7">
      <w:pPr>
        <w:pStyle w:val="Heading4"/>
      </w:pPr>
      <w:r>
        <w:t xml:space="preserve">Frequency of </w:t>
      </w:r>
      <w:r w:rsidR="00FB0212" w:rsidRPr="00FB0212">
        <w:t>SG contributions</w:t>
      </w:r>
    </w:p>
    <w:p w14:paraId="710E850F" w14:textId="2BEE1B32" w:rsidR="008F3FE3" w:rsidRPr="008F3FE3" w:rsidRDefault="00A874B3" w:rsidP="008F3FE3">
      <w:pPr>
        <w:pStyle w:val="BodyText"/>
      </w:pPr>
      <w:r>
        <w:t xml:space="preserve">Under </w:t>
      </w:r>
      <w:r w:rsidR="00136994">
        <w:t>O</w:t>
      </w:r>
      <w:r>
        <w:t>ption 3 t</w:t>
      </w:r>
      <w:r w:rsidR="00C62D8E">
        <w:t xml:space="preserve">he increase in frequency of </w:t>
      </w:r>
      <w:r w:rsidR="00BA2AD8">
        <w:t xml:space="preserve">SG payments </w:t>
      </w:r>
      <w:r w:rsidR="001F5A9F">
        <w:t xml:space="preserve">would impact approximately </w:t>
      </w:r>
      <w:r w:rsidR="00136994">
        <w:t>$</w:t>
      </w:r>
      <w:r w:rsidR="00C44A50">
        <w:t>46.3 billion in SG payments</w:t>
      </w:r>
      <w:r w:rsidR="001F09C0">
        <w:t xml:space="preserve">, impacting </w:t>
      </w:r>
      <w:r w:rsidR="001D446F">
        <w:t>around 13.4 million employee positions held with 700</w:t>
      </w:r>
      <w:r w:rsidR="006E7240">
        <w:t>,</w:t>
      </w:r>
      <w:r w:rsidR="001D446F">
        <w:t>000 employers</w:t>
      </w:r>
      <w:r w:rsidR="00580283">
        <w:t xml:space="preserve"> (based on 2021-22 data)</w:t>
      </w:r>
      <w:r w:rsidR="001D446F">
        <w:t xml:space="preserve">. </w:t>
      </w:r>
      <w:r w:rsidR="00CA0E41">
        <w:t xml:space="preserve">While </w:t>
      </w:r>
      <w:r w:rsidR="002371DB">
        <w:t>this</w:t>
      </w:r>
      <w:r w:rsidR="00CA0E41">
        <w:t xml:space="preserve"> may have adverse</w:t>
      </w:r>
      <w:r w:rsidR="001D446F">
        <w:t xml:space="preserve"> </w:t>
      </w:r>
      <w:r w:rsidR="00CA0E41">
        <w:t xml:space="preserve">impacts on </w:t>
      </w:r>
      <w:r w:rsidR="00CF2677">
        <w:t>employer</w:t>
      </w:r>
      <w:r w:rsidR="00CA0E41">
        <w:t xml:space="preserve"> cash-flows </w:t>
      </w:r>
      <w:r w:rsidR="005E662E">
        <w:t xml:space="preserve">it would have positive impacts on employee superannuation </w:t>
      </w:r>
      <w:r w:rsidR="008454AE">
        <w:t>balances and superannuation fund</w:t>
      </w:r>
      <w:r w:rsidR="00CC6C4F">
        <w:t>s</w:t>
      </w:r>
      <w:r w:rsidR="008454AE">
        <w:t>.</w:t>
      </w:r>
      <w:r w:rsidR="00CA0E41">
        <w:t xml:space="preserve"> </w:t>
      </w:r>
      <w:r w:rsidR="002D2864">
        <w:t>While these</w:t>
      </w:r>
      <w:r w:rsidR="0076590C">
        <w:t xml:space="preserve"> </w:t>
      </w:r>
      <w:r w:rsidR="000E7E1B">
        <w:t xml:space="preserve">effects </w:t>
      </w:r>
      <w:r w:rsidR="002371DB">
        <w:t>would be</w:t>
      </w:r>
      <w:r w:rsidR="000E7E1B">
        <w:t xml:space="preserve"> </w:t>
      </w:r>
      <w:r w:rsidR="006B3B39">
        <w:t xml:space="preserve">most substantial </w:t>
      </w:r>
      <w:r w:rsidR="00C17F47">
        <w:t xml:space="preserve">on smaller businesses, </w:t>
      </w:r>
      <w:r w:rsidR="004C5EC3">
        <w:t xml:space="preserve">it is justified given </w:t>
      </w:r>
      <w:r w:rsidR="00C76812">
        <w:t>instances</w:t>
      </w:r>
      <w:r w:rsidR="00C17F47">
        <w:t xml:space="preserve"> </w:t>
      </w:r>
      <w:r w:rsidR="004C5EC3">
        <w:t xml:space="preserve">of unpaid SG </w:t>
      </w:r>
      <w:r w:rsidR="00C76812">
        <w:t>most frequently involve smaller businesses</w:t>
      </w:r>
      <w:r w:rsidR="00C907F3">
        <w:t xml:space="preserve"> such that</w:t>
      </w:r>
      <w:r w:rsidR="00580283">
        <w:t xml:space="preserve"> </w:t>
      </w:r>
      <w:r w:rsidR="00C173EA">
        <w:t>the benefits from addressing the</w:t>
      </w:r>
      <w:r w:rsidR="00580283">
        <w:t xml:space="preserve"> </w:t>
      </w:r>
      <w:r w:rsidR="00FC1992">
        <w:t xml:space="preserve">issue of unpaid SG would outweigh the potential adverse impacts of the change in </w:t>
      </w:r>
      <w:r w:rsidR="00CF2677">
        <w:t>frequency on employers.</w:t>
      </w:r>
      <w:r w:rsidR="00553ACA">
        <w:t xml:space="preserve"> </w:t>
      </w:r>
    </w:p>
    <w:p w14:paraId="59E3C7A5" w14:textId="32772DBC" w:rsidR="00FB2AD7" w:rsidRDefault="00FB2AD7" w:rsidP="00FB2AD7">
      <w:pPr>
        <w:pStyle w:val="Heading4"/>
      </w:pPr>
      <w:r>
        <w:t xml:space="preserve">Regulatory </w:t>
      </w:r>
      <w:r w:rsidR="005F3D97">
        <w:t>costs</w:t>
      </w:r>
    </w:p>
    <w:p w14:paraId="20CA0C61" w14:textId="7D29E85E" w:rsidR="004E3020" w:rsidRDefault="002C7F24" w:rsidP="006753BD">
      <w:pPr>
        <w:pStyle w:val="Bullet"/>
        <w:numPr>
          <w:ilvl w:val="0"/>
          <w:numId w:val="0"/>
        </w:numPr>
      </w:pPr>
      <w:r>
        <w:t xml:space="preserve">As summarised in Table 19, </w:t>
      </w:r>
      <w:r w:rsidR="00751EFD" w:rsidRPr="001C02EC">
        <w:t xml:space="preserve">Option 2 </w:t>
      </w:r>
      <w:r w:rsidR="001C02EC">
        <w:t xml:space="preserve">is a deregulatory option and would shift the burden away from employees needing to actively engage with the ATO to investigate unpaid </w:t>
      </w:r>
      <w:r w:rsidR="00E77DBA">
        <w:t xml:space="preserve">SG </w:t>
      </w:r>
      <w:r w:rsidR="001C02EC">
        <w:t>amounts.</w:t>
      </w:r>
      <w:r w:rsidR="00390F9D">
        <w:t xml:space="preserve"> </w:t>
      </w:r>
      <w:r w:rsidR="004E3020">
        <w:t xml:space="preserve">The capacity to match STP and MATS data sets automatically </w:t>
      </w:r>
      <w:r w:rsidR="004E3020" w:rsidRPr="00F922A8">
        <w:t>w</w:t>
      </w:r>
      <w:r w:rsidR="004E3020">
        <w:t>ould</w:t>
      </w:r>
      <w:r w:rsidR="004E3020" w:rsidRPr="00F922A8">
        <w:t xml:space="preserve"> allow the ATO to </w:t>
      </w:r>
      <w:r w:rsidR="004E3020">
        <w:t xml:space="preserve">better </w:t>
      </w:r>
      <w:r w:rsidR="004E3020" w:rsidRPr="00F7668B">
        <w:t>engage</w:t>
      </w:r>
      <w:r w:rsidR="004E3020" w:rsidRPr="00F922A8">
        <w:t xml:space="preserve"> with employers and employees, informing them of their SG </w:t>
      </w:r>
      <w:r w:rsidR="004E3020">
        <w:t xml:space="preserve">obligations and </w:t>
      </w:r>
      <w:r w:rsidR="004E3020" w:rsidRPr="00F922A8">
        <w:t>entitlements as well as allowing the ATO greater scope to recover unpaid SG.</w:t>
      </w:r>
    </w:p>
    <w:p w14:paraId="08EE80EB" w14:textId="54719E7E" w:rsidR="00FD7DC1" w:rsidRDefault="0079298C" w:rsidP="001C02EC">
      <w:pPr>
        <w:pStyle w:val="Bullet"/>
        <w:numPr>
          <w:ilvl w:val="0"/>
          <w:numId w:val="0"/>
        </w:numPr>
      </w:pPr>
      <w:r>
        <w:t xml:space="preserve">However, this in isolation would have a lesser impact </w:t>
      </w:r>
      <w:r w:rsidR="00447996">
        <w:t xml:space="preserve">on unpaid </w:t>
      </w:r>
      <w:r w:rsidR="00137C3F">
        <w:t xml:space="preserve">SG </w:t>
      </w:r>
      <w:r>
        <w:t xml:space="preserve">than </w:t>
      </w:r>
      <w:r w:rsidR="00F71B62">
        <w:t xml:space="preserve">additionally </w:t>
      </w:r>
      <w:r>
        <w:t xml:space="preserve">pursing </w:t>
      </w:r>
      <w:r w:rsidR="00F71B62">
        <w:t>Option 3. While regulatory costs for Option 3 are high</w:t>
      </w:r>
      <w:r w:rsidR="0018434C">
        <w:t xml:space="preserve"> in comparison to the status quo</w:t>
      </w:r>
      <w:r w:rsidR="00A3036A">
        <w:t xml:space="preserve">, </w:t>
      </w:r>
      <w:r w:rsidR="000A5155">
        <w:t xml:space="preserve">there are </w:t>
      </w:r>
      <w:r w:rsidR="00373958">
        <w:t>substantial</w:t>
      </w:r>
      <w:r w:rsidR="000A5155">
        <w:t xml:space="preserve"> benefits to</w:t>
      </w:r>
      <w:r w:rsidR="00A3036A">
        <w:t xml:space="preserve"> </w:t>
      </w:r>
      <w:r w:rsidR="00D07AEB">
        <w:t xml:space="preserve">pursing </w:t>
      </w:r>
      <w:r w:rsidR="004F4B7E">
        <w:t>both</w:t>
      </w:r>
      <w:r w:rsidR="00D07AEB">
        <w:t xml:space="preserve"> </w:t>
      </w:r>
      <w:r w:rsidR="009679D7">
        <w:t>O</w:t>
      </w:r>
      <w:r w:rsidR="00D07AEB">
        <w:t xml:space="preserve">ptions </w:t>
      </w:r>
      <w:r w:rsidR="004F4B7E">
        <w:t>2 and 3</w:t>
      </w:r>
      <w:r w:rsidR="009679D7">
        <w:t xml:space="preserve"> </w:t>
      </w:r>
      <w:r w:rsidR="00B94491">
        <w:t>due to</w:t>
      </w:r>
      <w:r w:rsidR="00806349">
        <w:t xml:space="preserve"> the impacts they have on</w:t>
      </w:r>
      <w:r w:rsidR="00D07AEB">
        <w:t xml:space="preserve"> reducing unpaid </w:t>
      </w:r>
      <w:r w:rsidR="006C69B6">
        <w:t xml:space="preserve">SG </w:t>
      </w:r>
      <w:r w:rsidR="00D07AEB">
        <w:t xml:space="preserve">and increasing equity </w:t>
      </w:r>
      <w:r w:rsidR="00D91D40">
        <w:t xml:space="preserve">by improving </w:t>
      </w:r>
      <w:r w:rsidR="00C141CA">
        <w:t xml:space="preserve">retirement </w:t>
      </w:r>
      <w:r w:rsidR="00D91D40">
        <w:t>outcomes for lower income employees</w:t>
      </w:r>
      <w:r w:rsidR="00C53841">
        <w:t>.</w:t>
      </w:r>
      <w:r w:rsidR="00D91D40">
        <w:t xml:space="preserve"> </w:t>
      </w:r>
      <w:r w:rsidR="00C53841">
        <w:t>It will also see</w:t>
      </w:r>
      <w:r w:rsidR="00D91D40">
        <w:t xml:space="preserve"> </w:t>
      </w:r>
      <w:r w:rsidR="004D65D9">
        <w:t>employers who are already</w:t>
      </w:r>
      <w:r w:rsidR="004D65D9" w:rsidDel="006A628E">
        <w:t xml:space="preserve"> </w:t>
      </w:r>
      <w:r w:rsidR="005C1268">
        <w:t xml:space="preserve">compliant not disadvantaged by </w:t>
      </w:r>
      <w:r w:rsidR="008A7313">
        <w:t>practices of non-compliant employers</w:t>
      </w:r>
      <w:r w:rsidR="008562D2">
        <w:t xml:space="preserve">, and greater discretion from the Commissioner of Taxation for inadvertent non-compliance. </w:t>
      </w:r>
      <w:r w:rsidR="00373958">
        <w:t>These</w:t>
      </w:r>
      <w:r w:rsidR="009327F3">
        <w:t xml:space="preserve"> options also result in a positive deregulatory benefit for individual</w:t>
      </w:r>
      <w:r w:rsidR="000A0BA3">
        <w:t xml:space="preserve"> employees</w:t>
      </w:r>
      <w:r w:rsidR="009327F3">
        <w:t xml:space="preserve">. </w:t>
      </w:r>
    </w:p>
    <w:p w14:paraId="691E7AB6" w14:textId="25DA3ACA" w:rsidR="0094706E" w:rsidRDefault="00AE6477" w:rsidP="001C02EC">
      <w:pPr>
        <w:pStyle w:val="Bullet"/>
        <w:numPr>
          <w:ilvl w:val="0"/>
          <w:numId w:val="0"/>
        </w:numPr>
      </w:pPr>
      <w:r>
        <w:t>A</w:t>
      </w:r>
      <w:r w:rsidR="003275AC">
        <w:t>n a</w:t>
      </w:r>
      <w:r w:rsidR="009D0E26">
        <w:t>dditional bene</w:t>
      </w:r>
      <w:r w:rsidR="00C17338">
        <w:t>fi</w:t>
      </w:r>
      <w:r w:rsidR="009D0E26">
        <w:t xml:space="preserve">t </w:t>
      </w:r>
      <w:r w:rsidR="003275AC">
        <w:t>to</w:t>
      </w:r>
      <w:r w:rsidR="00806349">
        <w:t xml:space="preserve"> purs</w:t>
      </w:r>
      <w:r w:rsidR="008D59B1">
        <w:t>u</w:t>
      </w:r>
      <w:r w:rsidR="00806349">
        <w:t xml:space="preserve">ing </w:t>
      </w:r>
      <w:r w:rsidR="009D0E26">
        <w:t xml:space="preserve">these options </w:t>
      </w:r>
      <w:r w:rsidR="00806349">
        <w:t xml:space="preserve">together </w:t>
      </w:r>
      <w:r w:rsidR="0008332A">
        <w:t>is the enhanced ability for</w:t>
      </w:r>
      <w:r w:rsidR="009D0E26">
        <w:t xml:space="preserve"> the ATO to identify and recover unpaid SG in a </w:t>
      </w:r>
      <w:r w:rsidR="0008332A">
        <w:t>timelier</w:t>
      </w:r>
      <w:r w:rsidR="009D0E26">
        <w:t xml:space="preserve"> manner before an employer becomes insolvent and any </w:t>
      </w:r>
      <w:r w:rsidR="00B76C05">
        <w:t xml:space="preserve">unpaid </w:t>
      </w:r>
      <w:r w:rsidR="000A0BA3">
        <w:t xml:space="preserve">SG </w:t>
      </w:r>
      <w:r w:rsidR="009D0E26">
        <w:t>amounts are non-recoverable</w:t>
      </w:r>
      <w:r w:rsidR="006532C7">
        <w:t>.</w:t>
      </w:r>
      <w:r w:rsidR="00ED457C">
        <w:t xml:space="preserve"> </w:t>
      </w:r>
      <w:r w:rsidR="006532C7">
        <w:t>Op</w:t>
      </w:r>
      <w:r w:rsidR="00ED457C">
        <w:t>tion</w:t>
      </w:r>
      <w:r w:rsidR="009F454C">
        <w:t xml:space="preserve"> </w:t>
      </w:r>
      <w:r w:rsidR="006532C7">
        <w:t xml:space="preserve">3 </w:t>
      </w:r>
      <w:r w:rsidR="009F454C">
        <w:t xml:space="preserve">will </w:t>
      </w:r>
      <w:r w:rsidR="009F454C" w:rsidRPr="006753BD">
        <w:t>leverage existing digital reporting systems</w:t>
      </w:r>
      <w:r w:rsidR="000957A4">
        <w:t>. R</w:t>
      </w:r>
      <w:r w:rsidR="0011222A">
        <w:t xml:space="preserve">ecent changes to </w:t>
      </w:r>
      <w:r w:rsidR="007B3A67">
        <w:t xml:space="preserve">SG coverage </w:t>
      </w:r>
      <w:r w:rsidR="00D27A63">
        <w:t xml:space="preserve">by abolishing the </w:t>
      </w:r>
      <w:r w:rsidR="0011222A">
        <w:t>$450 per month threshold</w:t>
      </w:r>
      <w:r w:rsidR="00E248EC">
        <w:t xml:space="preserve"> </w:t>
      </w:r>
      <w:r w:rsidR="00A63FC1">
        <w:t>for eligible employees has been positively received and</w:t>
      </w:r>
      <w:r w:rsidR="00E248EC">
        <w:t xml:space="preserve"> </w:t>
      </w:r>
      <w:r w:rsidR="00BA77B2">
        <w:t>cause</w:t>
      </w:r>
      <w:r w:rsidR="00A63FC1">
        <w:t>d</w:t>
      </w:r>
      <w:r w:rsidR="00BA77B2">
        <w:t xml:space="preserve"> no</w:t>
      </w:r>
      <w:r w:rsidR="00E92322">
        <w:t xml:space="preserve"> </w:t>
      </w:r>
      <w:r w:rsidR="00E248EC">
        <w:t xml:space="preserve">major issues </w:t>
      </w:r>
      <w:r w:rsidR="00A63FC1">
        <w:t>implementation issues</w:t>
      </w:r>
      <w:r w:rsidR="00E248EC">
        <w:t xml:space="preserve"> with employers</w:t>
      </w:r>
      <w:r w:rsidR="00BA77B2">
        <w:t xml:space="preserve">. </w:t>
      </w:r>
      <w:r w:rsidR="0052744F">
        <w:t xml:space="preserve">With the legislated increase in the SG rate to 12 per cent by </w:t>
      </w:r>
      <w:r w:rsidR="00162F2A">
        <w:t xml:space="preserve">1 July 2025, </w:t>
      </w:r>
      <w:r w:rsidR="0059097E">
        <w:t>there is a potential for greater unpaid SG obligations to accrue</w:t>
      </w:r>
      <w:r w:rsidR="00E47F56">
        <w:t xml:space="preserve"> as the burden on employers </w:t>
      </w:r>
      <w:r w:rsidR="007D4E38">
        <w:t xml:space="preserve">to meet higher SG amounts </w:t>
      </w:r>
      <w:r w:rsidR="00E47F56">
        <w:t>increases</w:t>
      </w:r>
      <w:r w:rsidR="0059097E">
        <w:t xml:space="preserve">. </w:t>
      </w:r>
      <w:r w:rsidR="00E47F56">
        <w:t>Accordingly, o</w:t>
      </w:r>
      <w:r w:rsidR="00C017A6">
        <w:t>nly</w:t>
      </w:r>
      <w:r w:rsidR="00C8411E">
        <w:t xml:space="preserve"> purs</w:t>
      </w:r>
      <w:r w:rsidR="00CD12DD">
        <w:t>u</w:t>
      </w:r>
      <w:r w:rsidR="00C8411E">
        <w:t xml:space="preserve">ing </w:t>
      </w:r>
      <w:r w:rsidR="00C017A6">
        <w:t>Option</w:t>
      </w:r>
      <w:r w:rsidR="00C8411E">
        <w:t xml:space="preserve"> 2 would </w:t>
      </w:r>
      <w:r w:rsidR="00CB1E5C">
        <w:t xml:space="preserve">leave employees </w:t>
      </w:r>
      <w:r w:rsidR="6CDDCA55">
        <w:t xml:space="preserve">entitled </w:t>
      </w:r>
      <w:r w:rsidR="00CB1E5C">
        <w:t xml:space="preserve">to </w:t>
      </w:r>
      <w:r w:rsidR="00EB4CA5">
        <w:t xml:space="preserve">this legislated increase </w:t>
      </w:r>
      <w:r w:rsidR="5D8715EE">
        <w:t xml:space="preserve">but </w:t>
      </w:r>
      <w:r w:rsidR="00EB4CA5">
        <w:t>w</w:t>
      </w:r>
      <w:r w:rsidR="00F87011">
        <w:t xml:space="preserve">ith less </w:t>
      </w:r>
      <w:r w:rsidR="00DA48A6">
        <w:t>protection</w:t>
      </w:r>
      <w:r w:rsidR="00EB4CA5">
        <w:t xml:space="preserve"> against unpaid SG</w:t>
      </w:r>
      <w:r w:rsidR="00DA48A6">
        <w:t xml:space="preserve"> </w:t>
      </w:r>
      <w:r w:rsidR="00EB4CA5">
        <w:t>t</w:t>
      </w:r>
      <w:r w:rsidR="00DA48A6">
        <w:t>han they could otherwise have</w:t>
      </w:r>
      <w:r w:rsidR="00EB4CA5">
        <w:t xml:space="preserve"> b</w:t>
      </w:r>
      <w:r w:rsidR="00A1360A">
        <w:t>y</w:t>
      </w:r>
      <w:r w:rsidR="00EB4CA5">
        <w:t xml:space="preserve"> also pursing </w:t>
      </w:r>
      <w:r w:rsidR="00C646A8">
        <w:t>O</w:t>
      </w:r>
      <w:r w:rsidR="00EB4CA5">
        <w:t xml:space="preserve">ption 3. </w:t>
      </w:r>
      <w:r w:rsidR="00DA48A6">
        <w:t xml:space="preserve"> </w:t>
      </w:r>
    </w:p>
    <w:p w14:paraId="3A058E49" w14:textId="2D15E6CF" w:rsidR="004D1CAE" w:rsidRPr="004D1CAE" w:rsidRDefault="00C75B74" w:rsidP="00DA742E">
      <w:pPr>
        <w:pStyle w:val="Caption"/>
      </w:pPr>
      <w:r>
        <w:t xml:space="preserve">Table </w:t>
      </w:r>
      <w:r w:rsidR="00F72DA8" w:rsidRPr="00831C62">
        <w:t>1</w:t>
      </w:r>
      <w:r w:rsidR="00606372">
        <w:t>9</w:t>
      </w:r>
      <w:r w:rsidR="00806D38">
        <w:t>.</w:t>
      </w:r>
      <w:r>
        <w:t xml:space="preserve"> Summary of Regulatory Costs</w:t>
      </w:r>
      <w:r w:rsidR="008F52BF">
        <w:t xml:space="preserve"> ($</w:t>
      </w:r>
      <w:r w:rsidR="00423B63">
        <w:t xml:space="preserve"> </w:t>
      </w:r>
      <w:r w:rsidR="008F52BF">
        <w:t>million)</w:t>
      </w:r>
    </w:p>
    <w:tbl>
      <w:tblPr>
        <w:tblStyle w:val="PMCTableStyle2"/>
        <w:tblW w:w="0" w:type="auto"/>
        <w:jc w:val="center"/>
        <w:tblLook w:val="0660" w:firstRow="1" w:lastRow="1" w:firstColumn="0" w:lastColumn="0" w:noHBand="1" w:noVBand="1"/>
      </w:tblPr>
      <w:tblGrid>
        <w:gridCol w:w="3851"/>
        <w:gridCol w:w="1823"/>
      </w:tblGrid>
      <w:tr w:rsidR="00F16316" w:rsidRPr="00353684" w14:paraId="19259C35" w14:textId="77777777" w:rsidTr="00946C3B">
        <w:trPr>
          <w:cnfStyle w:val="100000000000" w:firstRow="1" w:lastRow="0" w:firstColumn="0" w:lastColumn="0" w:oddVBand="0" w:evenVBand="0" w:oddHBand="0" w:evenHBand="0" w:firstRowFirstColumn="0" w:firstRowLastColumn="0" w:lastRowFirstColumn="0" w:lastRowLastColumn="0"/>
          <w:trHeight w:val="137"/>
          <w:jc w:val="center"/>
        </w:trPr>
        <w:tc>
          <w:tcPr>
            <w:tcW w:w="0" w:type="auto"/>
            <w:vAlign w:val="bottom"/>
          </w:tcPr>
          <w:p w14:paraId="756A3E10" w14:textId="4B76C1D2" w:rsidR="005F5912" w:rsidRPr="00353684" w:rsidRDefault="007C558F" w:rsidP="00421BE7">
            <w:pPr>
              <w:pStyle w:val="TableHeading"/>
            </w:pPr>
            <w:r>
              <w:t>Options</w:t>
            </w:r>
          </w:p>
        </w:tc>
        <w:tc>
          <w:tcPr>
            <w:tcW w:w="0" w:type="auto"/>
            <w:vAlign w:val="bottom"/>
          </w:tcPr>
          <w:p w14:paraId="07DBDFCE" w14:textId="625262D7" w:rsidR="005F5912" w:rsidRPr="00353684" w:rsidRDefault="007C558F" w:rsidP="00421BE7">
            <w:pPr>
              <w:pStyle w:val="TableHeading"/>
            </w:pPr>
            <w:r>
              <w:rPr>
                <w:rFonts w:ascii="Calibri" w:eastAsia="Times New Roman" w:hAnsi="Calibri" w:cs="Calibri"/>
                <w:szCs w:val="22"/>
                <w:lang w:eastAsia="en-AU"/>
              </w:rPr>
              <w:t>Regulatory Costs</w:t>
            </w:r>
          </w:p>
        </w:tc>
      </w:tr>
      <w:tr w:rsidR="00A32E36" w:rsidRPr="00BC1972" w14:paraId="7F536EC1" w14:textId="77777777" w:rsidTr="00946C3B">
        <w:trPr>
          <w:trHeight w:val="137"/>
          <w:jc w:val="center"/>
        </w:trPr>
        <w:tc>
          <w:tcPr>
            <w:tcW w:w="0" w:type="auto"/>
            <w:vAlign w:val="center"/>
          </w:tcPr>
          <w:p w14:paraId="7AE3CAF4" w14:textId="5249F6DC" w:rsidR="005F5912" w:rsidRPr="00BC1972" w:rsidRDefault="007C558F" w:rsidP="00421BE7">
            <w:pPr>
              <w:pStyle w:val="TableBody"/>
              <w:rPr>
                <w:color w:val="262626" w:themeColor="text1" w:themeTint="D9"/>
              </w:rPr>
            </w:pPr>
            <w:r>
              <w:rPr>
                <w:color w:val="262626" w:themeColor="text1" w:themeTint="D9"/>
              </w:rPr>
              <w:t>Option 2 – Investment in ATO Data Matching</w:t>
            </w:r>
          </w:p>
        </w:tc>
        <w:tc>
          <w:tcPr>
            <w:tcW w:w="0" w:type="auto"/>
            <w:vAlign w:val="center"/>
          </w:tcPr>
          <w:p w14:paraId="0FEDFB77" w14:textId="5F8EEF22" w:rsidR="005F5912" w:rsidRPr="004C7D75" w:rsidRDefault="00EF046C" w:rsidP="00946C3B">
            <w:pPr>
              <w:pStyle w:val="TableBody"/>
              <w:jc w:val="right"/>
            </w:pPr>
            <w:r>
              <w:t>(0.</w:t>
            </w:r>
            <w:r w:rsidR="006E0753">
              <w:t>4</w:t>
            </w:r>
            <w:r>
              <w:t>)</w:t>
            </w:r>
          </w:p>
        </w:tc>
      </w:tr>
      <w:tr w:rsidR="00A32E36" w:rsidRPr="00BC1972" w14:paraId="4B761B82" w14:textId="77777777" w:rsidTr="00946C3B">
        <w:trPr>
          <w:trHeight w:val="137"/>
          <w:jc w:val="center"/>
        </w:trPr>
        <w:tc>
          <w:tcPr>
            <w:tcW w:w="0" w:type="auto"/>
            <w:vAlign w:val="center"/>
          </w:tcPr>
          <w:p w14:paraId="694E5EDB" w14:textId="40615B96" w:rsidR="007C558F" w:rsidRDefault="007C558F" w:rsidP="00421BE7">
            <w:pPr>
              <w:pStyle w:val="TableBody"/>
              <w:rPr>
                <w:color w:val="262626" w:themeColor="text1" w:themeTint="D9"/>
              </w:rPr>
            </w:pPr>
            <w:r>
              <w:rPr>
                <w:color w:val="262626" w:themeColor="text1" w:themeTint="D9"/>
              </w:rPr>
              <w:t xml:space="preserve">Option 3 </w:t>
            </w:r>
            <w:r w:rsidR="003633CE">
              <w:rPr>
                <w:color w:val="262626" w:themeColor="text1" w:themeTint="D9"/>
              </w:rPr>
              <w:t>–</w:t>
            </w:r>
            <w:r>
              <w:rPr>
                <w:color w:val="262626" w:themeColor="text1" w:themeTint="D9"/>
              </w:rPr>
              <w:t xml:space="preserve"> </w:t>
            </w:r>
            <w:r w:rsidR="003633CE">
              <w:rPr>
                <w:color w:val="262626" w:themeColor="text1" w:themeTint="D9"/>
              </w:rPr>
              <w:t>SG on Payday</w:t>
            </w:r>
          </w:p>
        </w:tc>
        <w:tc>
          <w:tcPr>
            <w:tcW w:w="0" w:type="auto"/>
            <w:vAlign w:val="center"/>
          </w:tcPr>
          <w:p w14:paraId="7E99E51A" w14:textId="7CC0F179" w:rsidR="007C558F" w:rsidRPr="004C7D75" w:rsidRDefault="00EF046C" w:rsidP="00946C3B">
            <w:pPr>
              <w:pStyle w:val="TableBody"/>
              <w:jc w:val="right"/>
            </w:pPr>
            <w:r>
              <w:t>13</w:t>
            </w:r>
            <w:r w:rsidR="00236B19">
              <w:t>6</w:t>
            </w:r>
            <w:r>
              <w:t>.</w:t>
            </w:r>
            <w:r w:rsidR="00236B19">
              <w:t>0</w:t>
            </w:r>
          </w:p>
        </w:tc>
      </w:tr>
      <w:tr w:rsidR="00F16316" w:rsidRPr="00BC1972" w14:paraId="6625D8F4" w14:textId="77777777" w:rsidTr="00946C3B">
        <w:trPr>
          <w:cnfStyle w:val="010000000000" w:firstRow="0" w:lastRow="1" w:firstColumn="0" w:lastColumn="0" w:oddVBand="0" w:evenVBand="0" w:oddHBand="0" w:evenHBand="0" w:firstRowFirstColumn="0" w:firstRowLastColumn="0" w:lastRowFirstColumn="0" w:lastRowLastColumn="0"/>
          <w:trHeight w:val="137"/>
          <w:jc w:val="center"/>
        </w:trPr>
        <w:tc>
          <w:tcPr>
            <w:tcW w:w="0" w:type="auto"/>
            <w:vAlign w:val="center"/>
          </w:tcPr>
          <w:p w14:paraId="74C101A2" w14:textId="6F3537B4" w:rsidR="005F5912" w:rsidRPr="00DA742E" w:rsidRDefault="00525B72" w:rsidP="00421BE7">
            <w:pPr>
              <w:pStyle w:val="TableBody"/>
              <w:rPr>
                <w:b/>
                <w:color w:val="262626" w:themeColor="text1" w:themeTint="D9"/>
              </w:rPr>
            </w:pPr>
            <w:r w:rsidRPr="00DA742E">
              <w:rPr>
                <w:rFonts w:ascii="Calibri" w:eastAsia="Times New Roman" w:hAnsi="Calibri" w:cs="Calibri"/>
                <w:b/>
                <w:color w:val="000000"/>
                <w:szCs w:val="22"/>
                <w:lang w:eastAsia="en-AU"/>
              </w:rPr>
              <w:t>Total</w:t>
            </w:r>
          </w:p>
        </w:tc>
        <w:tc>
          <w:tcPr>
            <w:tcW w:w="0" w:type="auto"/>
            <w:vAlign w:val="center"/>
          </w:tcPr>
          <w:p w14:paraId="2B6894EC" w14:textId="4879ADFC" w:rsidR="005F5912" w:rsidRPr="004C7D75" w:rsidRDefault="00C408AA" w:rsidP="00946C3B">
            <w:pPr>
              <w:pStyle w:val="TableBody"/>
              <w:jc w:val="right"/>
              <w:rPr>
                <w:b/>
              </w:rPr>
            </w:pPr>
            <w:r w:rsidRPr="004C7D75">
              <w:rPr>
                <w:b/>
              </w:rPr>
              <w:t>13</w:t>
            </w:r>
            <w:r w:rsidR="004B4B62">
              <w:rPr>
                <w:b/>
              </w:rPr>
              <w:t>5</w:t>
            </w:r>
            <w:r w:rsidRPr="004C7D75">
              <w:rPr>
                <w:b/>
              </w:rPr>
              <w:t>.</w:t>
            </w:r>
            <w:r w:rsidR="004B4B62">
              <w:rPr>
                <w:b/>
                <w:bCs/>
              </w:rPr>
              <w:t>6</w:t>
            </w:r>
          </w:p>
        </w:tc>
      </w:tr>
    </w:tbl>
    <w:p w14:paraId="2FFF5C96" w14:textId="4F982AC5" w:rsidR="00FB2AD7" w:rsidRDefault="00FB2AD7" w:rsidP="003D43B7">
      <w:pPr>
        <w:pStyle w:val="Heading4"/>
      </w:pPr>
      <w:r>
        <w:t xml:space="preserve">Government </w:t>
      </w:r>
      <w:r w:rsidR="003D43B7">
        <w:t>expenses</w:t>
      </w:r>
    </w:p>
    <w:p w14:paraId="61C5AA3E" w14:textId="0C9A1613" w:rsidR="003D2BB1" w:rsidRPr="003D2BB1" w:rsidRDefault="003D2BB1" w:rsidP="00946C3B">
      <w:pPr>
        <w:pStyle w:val="BodyText"/>
      </w:pPr>
      <w:r>
        <w:t>Table 20 summarises the overall Government expenditure involved in implementing Option</w:t>
      </w:r>
      <w:r w:rsidR="002D1268">
        <w:t>s</w:t>
      </w:r>
      <w:r>
        <w:t xml:space="preserve"> 2 and 3</w:t>
      </w:r>
      <w:r w:rsidR="00312E6D">
        <w:t xml:space="preserve"> as the unpaid SG package</w:t>
      </w:r>
      <w:r>
        <w:t>.</w:t>
      </w:r>
    </w:p>
    <w:p w14:paraId="36A23880" w14:textId="265734E9" w:rsidR="00060B21" w:rsidRPr="00060B21" w:rsidRDefault="0017452D" w:rsidP="004C7D75">
      <w:pPr>
        <w:pStyle w:val="Caption"/>
      </w:pPr>
      <w:r>
        <w:t xml:space="preserve">Table </w:t>
      </w:r>
      <w:r w:rsidR="00606372">
        <w:t>20</w:t>
      </w:r>
      <w:r w:rsidR="00806D38">
        <w:t>.</w:t>
      </w:r>
      <w:r>
        <w:t xml:space="preserve"> Summary of Government Expenses</w:t>
      </w:r>
      <w:r w:rsidR="00073C00">
        <w:t xml:space="preserve"> ($</w:t>
      </w:r>
      <w:r w:rsidR="00423B63">
        <w:t xml:space="preserve"> </w:t>
      </w:r>
      <w:r w:rsidR="00073C00">
        <w:t>million)</w:t>
      </w:r>
    </w:p>
    <w:tbl>
      <w:tblPr>
        <w:tblStyle w:val="PMCTableStyle2"/>
        <w:tblW w:w="0" w:type="auto"/>
        <w:jc w:val="center"/>
        <w:tblLook w:val="0660" w:firstRow="1" w:lastRow="1" w:firstColumn="0" w:lastColumn="0" w:noHBand="1" w:noVBand="1"/>
      </w:tblPr>
      <w:tblGrid>
        <w:gridCol w:w="3851"/>
        <w:gridCol w:w="2242"/>
      </w:tblGrid>
      <w:tr w:rsidR="00A0728B" w:rsidRPr="00353684" w14:paraId="796F361A" w14:textId="77777777" w:rsidTr="00946C3B">
        <w:trPr>
          <w:cnfStyle w:val="100000000000" w:firstRow="1" w:lastRow="0" w:firstColumn="0" w:lastColumn="0" w:oddVBand="0" w:evenVBand="0" w:oddHBand="0" w:evenHBand="0" w:firstRowFirstColumn="0" w:firstRowLastColumn="0" w:lastRowFirstColumn="0" w:lastRowLastColumn="0"/>
          <w:trHeight w:val="137"/>
          <w:jc w:val="center"/>
        </w:trPr>
        <w:tc>
          <w:tcPr>
            <w:tcW w:w="0" w:type="auto"/>
            <w:vAlign w:val="bottom"/>
          </w:tcPr>
          <w:p w14:paraId="5C5B5049" w14:textId="62520A96" w:rsidR="0017452D" w:rsidRPr="00353684" w:rsidRDefault="0017452D" w:rsidP="005E5D7D">
            <w:pPr>
              <w:pStyle w:val="TableHeading"/>
            </w:pPr>
            <w:r>
              <w:t>Options</w:t>
            </w:r>
          </w:p>
        </w:tc>
        <w:tc>
          <w:tcPr>
            <w:tcW w:w="0" w:type="auto"/>
            <w:vAlign w:val="bottom"/>
          </w:tcPr>
          <w:p w14:paraId="3623EED1" w14:textId="6F239FF2" w:rsidR="0017452D" w:rsidRPr="00353684" w:rsidRDefault="0017452D" w:rsidP="00946C3B">
            <w:pPr>
              <w:pStyle w:val="TableHeading"/>
            </w:pPr>
            <w:r>
              <w:rPr>
                <w:rFonts w:ascii="Calibri" w:eastAsia="Times New Roman" w:hAnsi="Calibri" w:cs="Calibri"/>
                <w:szCs w:val="22"/>
                <w:lang w:eastAsia="en-AU"/>
              </w:rPr>
              <w:t>Government Expenses</w:t>
            </w:r>
            <w:r w:rsidR="00073C00">
              <w:rPr>
                <w:rFonts w:ascii="Calibri" w:eastAsia="Times New Roman" w:hAnsi="Calibri" w:cs="Calibri"/>
                <w:szCs w:val="22"/>
                <w:lang w:eastAsia="en-AU"/>
              </w:rPr>
              <w:t xml:space="preserve"> </w:t>
            </w:r>
          </w:p>
        </w:tc>
      </w:tr>
      <w:tr w:rsidR="0050304A" w:rsidRPr="00BC1972" w14:paraId="50FDC2D4" w14:textId="77777777" w:rsidTr="00946C3B">
        <w:trPr>
          <w:trHeight w:val="137"/>
          <w:jc w:val="center"/>
        </w:trPr>
        <w:tc>
          <w:tcPr>
            <w:tcW w:w="0" w:type="auto"/>
            <w:vAlign w:val="center"/>
          </w:tcPr>
          <w:p w14:paraId="4C7E05A2" w14:textId="77777777" w:rsidR="0017452D" w:rsidRPr="00BC1972" w:rsidRDefault="0017452D">
            <w:pPr>
              <w:pStyle w:val="TableBody"/>
              <w:rPr>
                <w:color w:val="262626" w:themeColor="text1" w:themeTint="D9"/>
              </w:rPr>
            </w:pPr>
            <w:r>
              <w:rPr>
                <w:color w:val="262626" w:themeColor="text1" w:themeTint="D9"/>
              </w:rPr>
              <w:t>Option 2 – Investment in ATO Data Matching</w:t>
            </w:r>
          </w:p>
        </w:tc>
        <w:tc>
          <w:tcPr>
            <w:tcW w:w="0" w:type="auto"/>
            <w:vAlign w:val="center"/>
          </w:tcPr>
          <w:p w14:paraId="19AB0579" w14:textId="65961B4D" w:rsidR="0017452D" w:rsidRPr="00BC1972" w:rsidRDefault="001C01ED" w:rsidP="00946C3B">
            <w:pPr>
              <w:pStyle w:val="TableBody"/>
              <w:jc w:val="right"/>
              <w:rPr>
                <w:color w:val="262626" w:themeColor="text1" w:themeTint="D9"/>
              </w:rPr>
            </w:pPr>
            <w:r>
              <w:t>31.6</w:t>
            </w:r>
          </w:p>
        </w:tc>
      </w:tr>
      <w:tr w:rsidR="0050304A" w:rsidRPr="00BC1972" w14:paraId="589FF09E" w14:textId="77777777" w:rsidTr="00946C3B">
        <w:trPr>
          <w:trHeight w:val="137"/>
          <w:jc w:val="center"/>
        </w:trPr>
        <w:tc>
          <w:tcPr>
            <w:tcW w:w="0" w:type="auto"/>
            <w:vAlign w:val="center"/>
          </w:tcPr>
          <w:p w14:paraId="322830FC" w14:textId="77777777" w:rsidR="0017452D" w:rsidRDefault="0017452D">
            <w:pPr>
              <w:pStyle w:val="TableBody"/>
              <w:rPr>
                <w:color w:val="262626" w:themeColor="text1" w:themeTint="D9"/>
              </w:rPr>
            </w:pPr>
            <w:r>
              <w:rPr>
                <w:color w:val="262626" w:themeColor="text1" w:themeTint="D9"/>
              </w:rPr>
              <w:t>Option 3 – SG on Payday</w:t>
            </w:r>
          </w:p>
        </w:tc>
        <w:tc>
          <w:tcPr>
            <w:tcW w:w="0" w:type="auto"/>
            <w:vAlign w:val="center"/>
          </w:tcPr>
          <w:p w14:paraId="4AEBF196" w14:textId="400E2A41" w:rsidR="0017452D" w:rsidRPr="00AA1CCE" w:rsidRDefault="00364B78" w:rsidP="00946C3B">
            <w:pPr>
              <w:pStyle w:val="TableBody"/>
              <w:jc w:val="right"/>
              <w:rPr>
                <w:rFonts w:ascii="Calibri" w:eastAsia="Times New Roman" w:hAnsi="Calibri" w:cs="Calibri"/>
                <w:color w:val="000000"/>
                <w:szCs w:val="22"/>
                <w:lang w:eastAsia="en-AU"/>
              </w:rPr>
            </w:pPr>
            <w:r>
              <w:t>2</w:t>
            </w:r>
            <w:r w:rsidR="00F21C11">
              <w:t>01.6</w:t>
            </w:r>
          </w:p>
        </w:tc>
      </w:tr>
      <w:tr w:rsidR="00A0728B" w:rsidRPr="00BC1972" w14:paraId="77BB65BB" w14:textId="77777777" w:rsidTr="00946C3B">
        <w:trPr>
          <w:cnfStyle w:val="010000000000" w:firstRow="0" w:lastRow="1" w:firstColumn="0" w:lastColumn="0" w:oddVBand="0" w:evenVBand="0" w:oddHBand="0" w:evenHBand="0" w:firstRowFirstColumn="0" w:firstRowLastColumn="0" w:lastRowFirstColumn="0" w:lastRowLastColumn="0"/>
          <w:trHeight w:val="137"/>
          <w:jc w:val="center"/>
        </w:trPr>
        <w:tc>
          <w:tcPr>
            <w:tcW w:w="0" w:type="auto"/>
            <w:vAlign w:val="center"/>
          </w:tcPr>
          <w:p w14:paraId="63D0175E" w14:textId="77777777" w:rsidR="0017452D" w:rsidRPr="00DA742E" w:rsidRDefault="0017452D" w:rsidP="005E5D7D">
            <w:pPr>
              <w:pStyle w:val="TableBody"/>
              <w:rPr>
                <w:b/>
                <w:color w:val="262626" w:themeColor="text1" w:themeTint="D9"/>
              </w:rPr>
            </w:pPr>
            <w:r w:rsidRPr="00DA742E">
              <w:rPr>
                <w:rFonts w:ascii="Calibri" w:eastAsia="Times New Roman" w:hAnsi="Calibri" w:cs="Calibri"/>
                <w:b/>
                <w:color w:val="000000"/>
                <w:szCs w:val="22"/>
                <w:lang w:eastAsia="en-AU"/>
              </w:rPr>
              <w:t>Total</w:t>
            </w:r>
          </w:p>
        </w:tc>
        <w:tc>
          <w:tcPr>
            <w:tcW w:w="0" w:type="auto"/>
            <w:vAlign w:val="center"/>
          </w:tcPr>
          <w:p w14:paraId="411D4D9C" w14:textId="7A77D567" w:rsidR="0017452D" w:rsidRPr="00DA742E" w:rsidRDefault="00CA1CD8" w:rsidP="00946C3B">
            <w:pPr>
              <w:pStyle w:val="TableBody"/>
              <w:jc w:val="right"/>
              <w:rPr>
                <w:b/>
                <w:color w:val="262626" w:themeColor="text1" w:themeTint="D9"/>
              </w:rPr>
            </w:pPr>
            <w:r>
              <w:rPr>
                <w:rFonts w:ascii="Calibri" w:eastAsia="Times New Roman" w:hAnsi="Calibri" w:cs="Calibri"/>
                <w:b/>
                <w:color w:val="000000"/>
                <w:szCs w:val="22"/>
                <w:lang w:eastAsia="en-AU"/>
              </w:rPr>
              <w:t>$</w:t>
            </w:r>
            <w:r w:rsidR="00364B78">
              <w:rPr>
                <w:rFonts w:ascii="Calibri" w:eastAsia="Times New Roman" w:hAnsi="Calibri" w:cs="Calibri"/>
                <w:b/>
                <w:color w:val="000000"/>
                <w:szCs w:val="22"/>
                <w:lang w:eastAsia="en-AU"/>
              </w:rPr>
              <w:t>2</w:t>
            </w:r>
            <w:r w:rsidR="000963D7">
              <w:rPr>
                <w:rFonts w:ascii="Calibri" w:eastAsia="Times New Roman" w:hAnsi="Calibri" w:cs="Calibri"/>
                <w:b/>
                <w:color w:val="000000"/>
                <w:szCs w:val="22"/>
                <w:lang w:eastAsia="en-AU"/>
              </w:rPr>
              <w:t>33.2</w:t>
            </w:r>
            <w:r w:rsidR="00F14D38">
              <w:rPr>
                <w:rFonts w:ascii="Calibri" w:eastAsia="Times New Roman" w:hAnsi="Calibri" w:cs="Calibri"/>
                <w:b/>
                <w:color w:val="000000"/>
                <w:szCs w:val="22"/>
                <w:lang w:eastAsia="en-AU"/>
              </w:rPr>
              <w:t>*</w:t>
            </w:r>
          </w:p>
        </w:tc>
      </w:tr>
    </w:tbl>
    <w:p w14:paraId="062FF973" w14:textId="2AA8B8D2" w:rsidR="00E6567D" w:rsidRDefault="00BF36F7" w:rsidP="00E6567D">
      <w:r w:rsidRPr="007E7CDF">
        <w:rPr>
          <w:sz w:val="20"/>
          <w:szCs w:val="18"/>
        </w:rPr>
        <w:t xml:space="preserve">*Implementing Options 2 and 3 at the same time will allow for a number of design and implementation processes to be completed concurrently. This will result in a lower expense to Government than implementing these options separately. </w:t>
      </w:r>
      <w:r w:rsidR="00E6567D">
        <w:br w:type="page"/>
      </w:r>
    </w:p>
    <w:p w14:paraId="79816620" w14:textId="6914B12C" w:rsidR="00E6567D" w:rsidRDefault="00E6567D" w:rsidP="00E6567D">
      <w:pPr>
        <w:pStyle w:val="Title"/>
      </w:pPr>
      <w:bookmarkStart w:id="66" w:name="_Toc134198480"/>
      <w:r>
        <w:t xml:space="preserve">7. </w:t>
      </w:r>
      <w:r w:rsidR="00E01B77">
        <w:t>How will you implement and evaluate your chosen option?</w:t>
      </w:r>
      <w:bookmarkEnd w:id="66"/>
      <w:r w:rsidR="00E01B77">
        <w:t xml:space="preserve"> </w:t>
      </w:r>
    </w:p>
    <w:p w14:paraId="6C8C7317" w14:textId="30AA0DE7" w:rsidR="00E6567D" w:rsidRDefault="00CD1EAC" w:rsidP="00E90138">
      <w:pPr>
        <w:pStyle w:val="Heading3"/>
      </w:pPr>
      <w:bookmarkStart w:id="67" w:name="_Toc134198481"/>
      <w:r>
        <w:t xml:space="preserve">Policy evaluation </w:t>
      </w:r>
      <w:r w:rsidR="00E90138">
        <w:t>and performance</w:t>
      </w:r>
      <w:bookmarkEnd w:id="67"/>
      <w:r w:rsidR="00E90138">
        <w:t xml:space="preserve"> </w:t>
      </w:r>
    </w:p>
    <w:p w14:paraId="74081D3A" w14:textId="6CE53E00" w:rsidR="00811590" w:rsidRPr="00B15615" w:rsidRDefault="00811590" w:rsidP="00811590">
      <w:pPr>
        <w:pStyle w:val="BodyText"/>
      </w:pPr>
      <w:r>
        <w:t>As outlined in Section 2</w:t>
      </w:r>
      <w:r w:rsidR="00F24E1D">
        <w:t>.3</w:t>
      </w:r>
      <w:r>
        <w:t xml:space="preserve">, </w:t>
      </w:r>
      <w:r w:rsidR="00E229D2">
        <w:t xml:space="preserve">there would be </w:t>
      </w:r>
      <w:r>
        <w:t>two primary objectives</w:t>
      </w:r>
      <w:r w:rsidR="00E229D2">
        <w:t xml:space="preserve"> for Governmen</w:t>
      </w:r>
      <w:r w:rsidR="00745A6F">
        <w:t xml:space="preserve">t </w:t>
      </w:r>
      <w:r w:rsidR="009529F0">
        <w:t>policy in addressing unpaid SG</w:t>
      </w:r>
      <w:r>
        <w:t>:</w:t>
      </w:r>
    </w:p>
    <w:p w14:paraId="765635D9" w14:textId="1698E2D9" w:rsidR="00811590" w:rsidRDefault="00811590" w:rsidP="007E7CDF">
      <w:pPr>
        <w:pStyle w:val="OutlineNumbered1"/>
        <w:numPr>
          <w:ilvl w:val="0"/>
          <w:numId w:val="86"/>
        </w:numPr>
      </w:pPr>
      <w:r>
        <w:t>Increase the amount of SG being paid by employers on time and in full.</w:t>
      </w:r>
    </w:p>
    <w:p w14:paraId="2C01AE5C" w14:textId="382A96DB" w:rsidR="002C221F" w:rsidRPr="002C221F" w:rsidRDefault="002C221F" w:rsidP="002C221F">
      <w:pPr>
        <w:pStyle w:val="OutlineNumbered1"/>
      </w:pPr>
      <w:r w:rsidRPr="002C221F">
        <w:t>Increase the recovery capabilities of the ATO by enabling more timely, efficient and proactive compliance approach</w:t>
      </w:r>
      <w:r w:rsidR="00445B44">
        <w:t>es</w:t>
      </w:r>
      <w:r w:rsidRPr="002C221F">
        <w:t>.</w:t>
      </w:r>
    </w:p>
    <w:p w14:paraId="70486840" w14:textId="54EA2FEA" w:rsidR="00A22145" w:rsidRDefault="00A22145" w:rsidP="00A22145">
      <w:r>
        <w:t xml:space="preserve">The primary metric to track the success of the unpaid SG package </w:t>
      </w:r>
      <w:r w:rsidR="001B0139">
        <w:t xml:space="preserve">in meeting </w:t>
      </w:r>
      <w:r w:rsidR="005D5DA1">
        <w:t>both</w:t>
      </w:r>
      <w:r w:rsidR="001B0139">
        <w:t xml:space="preserve"> objectives </w:t>
      </w:r>
      <w:r>
        <w:t xml:space="preserve">would be movements in the </w:t>
      </w:r>
      <w:r w:rsidR="00917E01">
        <w:t xml:space="preserve">net </w:t>
      </w:r>
      <w:r>
        <w:t xml:space="preserve">SG gap, as calculated and reported by the ATO. </w:t>
      </w:r>
    </w:p>
    <w:p w14:paraId="01B0A327" w14:textId="232C135F" w:rsidR="00F117D4" w:rsidRDefault="00A22145" w:rsidP="00A22145">
      <w:r>
        <w:t xml:space="preserve">Improvements to ATO systems would mean ATO methodology to calculate the SG gap would be more accurate and contemporaneous. This would enable the ATO to deliver the ANAO report </w:t>
      </w:r>
      <w:r w:rsidRPr="00831C62">
        <w:rPr>
          <w:i/>
        </w:rPr>
        <w:t xml:space="preserve">Addressing Superannuation Guarantee Non-Compliance </w:t>
      </w:r>
      <w:r>
        <w:t>recommendation to set targets for the SG gap.</w:t>
      </w:r>
      <w:r w:rsidR="00B94301" w:rsidRPr="00717F2C">
        <w:rPr>
          <w:rStyle w:val="FootnoteReference"/>
        </w:rPr>
        <w:footnoteReference w:id="67"/>
      </w:r>
      <w:r>
        <w:t xml:space="preserve"> From 1 July 2026, improvements in the SG gap would reflect any changes following the commencement of the unpaid SG package reforms. </w:t>
      </w:r>
    </w:p>
    <w:p w14:paraId="581F9570" w14:textId="17E61DE8" w:rsidR="00AC585C" w:rsidRDefault="00AC585C" w:rsidP="00AC585C">
      <w:pPr>
        <w:pStyle w:val="Heading4"/>
      </w:pPr>
      <w:r>
        <w:t>Employer SG compliance measures</w:t>
      </w:r>
    </w:p>
    <w:p w14:paraId="03BECE8C" w14:textId="0CC351DA" w:rsidR="00607EA2" w:rsidDel="00706D35" w:rsidRDefault="00147E62" w:rsidP="00A22145">
      <w:r>
        <w:t>T</w:t>
      </w:r>
      <w:r w:rsidR="00E91C6F">
        <w:t xml:space="preserve">he SG gap </w:t>
      </w:r>
      <w:r w:rsidR="00376B1C">
        <w:t xml:space="preserve">calculation enables estimation of both </w:t>
      </w:r>
      <w:r>
        <w:t xml:space="preserve">the proportion of </w:t>
      </w:r>
      <w:r w:rsidR="00562A9D">
        <w:t xml:space="preserve">SG contributions paid without </w:t>
      </w:r>
      <w:r w:rsidR="009957D1">
        <w:t>ATO intervention</w:t>
      </w:r>
      <w:r w:rsidR="00F14A5B">
        <w:t xml:space="preserve"> and the </w:t>
      </w:r>
      <w:r w:rsidR="00F14A5B" w:rsidRPr="00F14A5B">
        <w:t>gross SG gap</w:t>
      </w:r>
      <w:r w:rsidR="00F14A5B">
        <w:t xml:space="preserve"> </w:t>
      </w:r>
      <w:r w:rsidR="00F117D4">
        <w:t xml:space="preserve">which </w:t>
      </w:r>
      <w:r w:rsidR="00F14A5B">
        <w:t>w</w:t>
      </w:r>
      <w:r w:rsidR="003F60FC">
        <w:t>ere both outlined in Section 2</w:t>
      </w:r>
      <w:r w:rsidR="00F24E1D">
        <w:t>.3</w:t>
      </w:r>
      <w:r w:rsidR="003F60FC">
        <w:t xml:space="preserve"> as measures for</w:t>
      </w:r>
      <w:r w:rsidR="00FF1B1A">
        <w:t xml:space="preserve"> assessing whether there has been an increase in employers paying SG on time and in full. </w:t>
      </w:r>
      <w:r w:rsidR="00481F70">
        <w:t>The</w:t>
      </w:r>
      <w:r w:rsidR="007B5C73">
        <w:t>s</w:t>
      </w:r>
      <w:r w:rsidR="00481F70">
        <w:t xml:space="preserve">e measures would be monitored </w:t>
      </w:r>
      <w:r w:rsidR="00824508">
        <w:t xml:space="preserve">for improvement </w:t>
      </w:r>
      <w:r w:rsidR="00774E9B">
        <w:t xml:space="preserve">against relevant benchmarks to </w:t>
      </w:r>
      <w:r w:rsidR="00675924">
        <w:t xml:space="preserve">evaluate performance of </w:t>
      </w:r>
      <w:r w:rsidR="002A31D2">
        <w:t>Options 2 and 3 once implemented.</w:t>
      </w:r>
    </w:p>
    <w:p w14:paraId="26DC0D94" w14:textId="77777777" w:rsidR="00094F17" w:rsidRDefault="00094F17" w:rsidP="00094F17">
      <w:pPr>
        <w:pStyle w:val="Heading4"/>
      </w:pPr>
      <w:r>
        <w:t>ATO recovery capability measures</w:t>
      </w:r>
    </w:p>
    <w:p w14:paraId="5AD8BD85" w14:textId="373D147A" w:rsidR="00E97DC5" w:rsidRDefault="005B42A8" w:rsidP="00A22145">
      <w:r>
        <w:t xml:space="preserve">As outlined in Section 2.3, Options 2 and 3 would be evaluated against measures for ATO recovery capabilities. </w:t>
      </w:r>
      <w:r w:rsidR="00A22145">
        <w:t xml:space="preserve">The ATO currently reports </w:t>
      </w:r>
      <w:r w:rsidR="004260F0">
        <w:t xml:space="preserve">3 </w:t>
      </w:r>
      <w:r w:rsidR="00A22145">
        <w:t xml:space="preserve">performance targets related to amounts of unpaid SG recovered and amounts held as debts each financial year. </w:t>
      </w:r>
      <w:r w:rsidR="00E97DC5">
        <w:t>These include:</w:t>
      </w:r>
    </w:p>
    <w:p w14:paraId="2ED65C2C" w14:textId="59E1BD95" w:rsidR="00DD086B" w:rsidRPr="00DD086B" w:rsidRDefault="00DD086B" w:rsidP="002D243E">
      <w:pPr>
        <w:pStyle w:val="Bullet"/>
        <w:numPr>
          <w:ilvl w:val="0"/>
          <w:numId w:val="7"/>
        </w:numPr>
        <w:spacing w:before="240" w:after="0" w:line="240" w:lineRule="auto"/>
        <w:rPr>
          <w:rFonts w:asciiTheme="minorHAnsi" w:hAnsiTheme="minorHAnsi" w:cstheme="minorHAnsi"/>
        </w:rPr>
      </w:pPr>
      <w:r w:rsidRPr="00DD086B">
        <w:rPr>
          <w:rFonts w:asciiTheme="minorHAnsi" w:hAnsiTheme="minorHAnsi" w:cstheme="minorHAnsi"/>
          <w:u w:val="single"/>
        </w:rPr>
        <w:t>Value of SG charge</w:t>
      </w:r>
      <w:r w:rsidRPr="00DD086B">
        <w:rPr>
          <w:rFonts w:asciiTheme="minorHAnsi" w:hAnsiTheme="minorHAnsi" w:cstheme="minorHAnsi"/>
        </w:rPr>
        <w:t xml:space="preserve"> for the financial year, both</w:t>
      </w:r>
      <w:r>
        <w:rPr>
          <w:rFonts w:asciiTheme="minorHAnsi" w:hAnsiTheme="minorHAnsi" w:cstheme="minorHAnsi"/>
        </w:rPr>
        <w:t xml:space="preserve"> </w:t>
      </w:r>
      <w:r w:rsidRPr="00DD086B">
        <w:rPr>
          <w:rFonts w:asciiTheme="minorHAnsi" w:hAnsiTheme="minorHAnsi" w:cstheme="minorHAnsi"/>
        </w:rPr>
        <w:t>raised (including penalties and interest) and collected</w:t>
      </w:r>
      <w:r w:rsidR="00A24AB1">
        <w:rPr>
          <w:rFonts w:asciiTheme="minorHAnsi" w:hAnsiTheme="minorHAnsi" w:cstheme="minorHAnsi"/>
        </w:rPr>
        <w:t>.</w:t>
      </w:r>
    </w:p>
    <w:p w14:paraId="709AC83E" w14:textId="5FB1915B" w:rsidR="00DD086B" w:rsidRPr="00DD086B" w:rsidRDefault="00DD086B" w:rsidP="002D243E">
      <w:pPr>
        <w:pStyle w:val="Bullet"/>
        <w:numPr>
          <w:ilvl w:val="0"/>
          <w:numId w:val="7"/>
        </w:numPr>
        <w:spacing w:before="240" w:after="0" w:line="240" w:lineRule="auto"/>
        <w:rPr>
          <w:rFonts w:asciiTheme="minorHAnsi" w:hAnsiTheme="minorHAnsi" w:cstheme="minorHAnsi"/>
        </w:rPr>
      </w:pPr>
      <w:r w:rsidRPr="00DD086B">
        <w:rPr>
          <w:rFonts w:asciiTheme="minorHAnsi" w:hAnsiTheme="minorHAnsi" w:cstheme="minorHAnsi"/>
          <w:u w:val="single"/>
        </w:rPr>
        <w:t>Value of SG entitlements distributed</w:t>
      </w:r>
      <w:r w:rsidRPr="00DD086B">
        <w:rPr>
          <w:rFonts w:asciiTheme="minorHAnsi" w:hAnsiTheme="minorHAnsi" w:cstheme="minorHAnsi"/>
        </w:rPr>
        <w:t xml:space="preserve"> to individuals and funds during the financial year</w:t>
      </w:r>
      <w:r w:rsidR="00A24AB1">
        <w:rPr>
          <w:rFonts w:asciiTheme="minorHAnsi" w:hAnsiTheme="minorHAnsi" w:cstheme="minorHAnsi"/>
        </w:rPr>
        <w:t>.</w:t>
      </w:r>
    </w:p>
    <w:p w14:paraId="317D1962" w14:textId="3FF47322" w:rsidR="00E97DC5" w:rsidRPr="00DD086B" w:rsidRDefault="00DD086B" w:rsidP="007E7CDF">
      <w:pPr>
        <w:pStyle w:val="Bullet"/>
        <w:numPr>
          <w:ilvl w:val="0"/>
          <w:numId w:val="7"/>
        </w:numPr>
        <w:spacing w:before="240" w:line="240" w:lineRule="auto"/>
        <w:rPr>
          <w:rFonts w:asciiTheme="minorHAnsi" w:hAnsiTheme="minorHAnsi" w:cstheme="minorHAnsi"/>
        </w:rPr>
      </w:pPr>
      <w:r w:rsidRPr="00DD086B">
        <w:rPr>
          <w:rFonts w:asciiTheme="minorHAnsi" w:hAnsiTheme="minorHAnsi" w:cstheme="minorHAnsi"/>
          <w:u w:val="single"/>
        </w:rPr>
        <w:t>Value of SG charge debt holdings</w:t>
      </w:r>
      <w:r w:rsidRPr="00DD086B">
        <w:rPr>
          <w:rFonts w:asciiTheme="minorHAnsi" w:hAnsiTheme="minorHAnsi" w:cstheme="minorHAnsi"/>
        </w:rPr>
        <w:t>, both</w:t>
      </w:r>
      <w:r>
        <w:rPr>
          <w:rFonts w:asciiTheme="minorHAnsi" w:hAnsiTheme="minorHAnsi" w:cstheme="minorHAnsi"/>
        </w:rPr>
        <w:t xml:space="preserve"> </w:t>
      </w:r>
      <w:r w:rsidRPr="00DD086B">
        <w:rPr>
          <w:rFonts w:asciiTheme="minorHAnsi" w:hAnsiTheme="minorHAnsi" w:cstheme="minorHAnsi"/>
        </w:rPr>
        <w:t>on hand and</w:t>
      </w:r>
      <w:r>
        <w:rPr>
          <w:rFonts w:asciiTheme="minorHAnsi" w:hAnsiTheme="minorHAnsi" w:cstheme="minorHAnsi"/>
        </w:rPr>
        <w:t xml:space="preserve"> </w:t>
      </w:r>
      <w:r w:rsidRPr="00DD086B">
        <w:rPr>
          <w:rFonts w:asciiTheme="minorHAnsi" w:hAnsiTheme="minorHAnsi" w:cstheme="minorHAnsi"/>
        </w:rPr>
        <w:t>irrecoverable at law or uneconomical to pursue.</w:t>
      </w:r>
    </w:p>
    <w:p w14:paraId="7E6DC434" w14:textId="3D475873" w:rsidR="00A22145" w:rsidRDefault="00B84CCD" w:rsidP="00A22145">
      <w:r>
        <w:t>While t</w:t>
      </w:r>
      <w:r w:rsidRPr="006D5CBF">
        <w:t>he</w:t>
      </w:r>
      <w:r w:rsidR="006D5CBF" w:rsidRPr="006D5CBF">
        <w:t xml:space="preserve"> ATO currently reports data on SG charge activities each year</w:t>
      </w:r>
      <w:r>
        <w:t>, to</w:t>
      </w:r>
      <w:r w:rsidR="005B42A8">
        <w:t xml:space="preserve"> evaluate the </w:t>
      </w:r>
      <w:r w:rsidR="00CE15F3">
        <w:t xml:space="preserve">timeliness of </w:t>
      </w:r>
      <w:r>
        <w:t>SG recovery</w:t>
      </w:r>
      <w:r w:rsidR="004007A3">
        <w:t xml:space="preserve"> </w:t>
      </w:r>
      <w:r w:rsidR="00A22145">
        <w:t xml:space="preserve">the unpaid SG package </w:t>
      </w:r>
      <w:r w:rsidR="005151EA">
        <w:t xml:space="preserve">would </w:t>
      </w:r>
      <w:r w:rsidR="00A22145">
        <w:t>involve the ATO introducing two new interim unpaid SG recovery targets:</w:t>
      </w:r>
    </w:p>
    <w:p w14:paraId="713FDB52" w14:textId="5F58A6E0" w:rsidR="00A22145" w:rsidRDefault="00A22145" w:rsidP="002D243E">
      <w:pPr>
        <w:pStyle w:val="Bullet"/>
      </w:pPr>
      <w:r w:rsidRPr="00DD6EEC">
        <w:rPr>
          <w:u w:val="single"/>
        </w:rPr>
        <w:t>SG distributed as a proportion of SG raised</w:t>
      </w:r>
      <w:r>
        <w:t>: The proportion of SG</w:t>
      </w:r>
      <w:r w:rsidR="00C0159F">
        <w:t xml:space="preserve"> charge</w:t>
      </w:r>
      <w:r>
        <w:t xml:space="preserve"> liabilities raised for a financial year which has been collected and distributed to individuals or funds. </w:t>
      </w:r>
    </w:p>
    <w:p w14:paraId="0FDFC1D9" w14:textId="6706CD4B" w:rsidR="00A22145" w:rsidRDefault="00A22145" w:rsidP="002D243E">
      <w:pPr>
        <w:pStyle w:val="Bullet"/>
      </w:pPr>
      <w:r w:rsidRPr="00DD6EEC">
        <w:rPr>
          <w:u w:val="single"/>
        </w:rPr>
        <w:t>SG Charge raised and distributed within 12 months</w:t>
      </w:r>
      <w:r>
        <w:t>: The value of SG</w:t>
      </w:r>
      <w:r w:rsidR="00C0159F">
        <w:t xml:space="preserve"> charge</w:t>
      </w:r>
      <w:r>
        <w:t xml:space="preserve"> liabilities raised, then collected and distributed to individuals or funds within 12 months.</w:t>
      </w:r>
    </w:p>
    <w:p w14:paraId="19133B0C" w14:textId="2E00BD69" w:rsidR="001363DC" w:rsidRDefault="00A22145" w:rsidP="00A22145">
      <w:r>
        <w:t xml:space="preserve">The ATO also publishes metrics on its service commitments related to the timeliness in processing unpaid SG cases against set targets monthly. </w:t>
      </w:r>
    </w:p>
    <w:p w14:paraId="59409B04" w14:textId="149FED73" w:rsidR="00A22145" w:rsidRDefault="006368B3" w:rsidP="00A22145">
      <w:r>
        <w:t>To e</w:t>
      </w:r>
      <w:r w:rsidR="00925C6A">
        <w:t>valuat</w:t>
      </w:r>
      <w:r>
        <w:t>e</w:t>
      </w:r>
      <w:r w:rsidR="00F415F5">
        <w:t xml:space="preserve"> </w:t>
      </w:r>
      <w:r w:rsidR="0094166A">
        <w:t xml:space="preserve">performance </w:t>
      </w:r>
      <w:r>
        <w:t>of Options 2 and 3</w:t>
      </w:r>
      <w:r w:rsidR="00925C6A">
        <w:t xml:space="preserve"> </w:t>
      </w:r>
      <w:r w:rsidR="0094166A">
        <w:t xml:space="preserve">against the objective </w:t>
      </w:r>
      <w:r w:rsidR="000E199F">
        <w:t>outlined in Section 2.3</w:t>
      </w:r>
      <w:r w:rsidR="00781601">
        <w:t>,</w:t>
      </w:r>
      <w:r w:rsidR="0094166A">
        <w:t xml:space="preserve"> </w:t>
      </w:r>
      <w:r w:rsidR="00F415F5" w:rsidRPr="00F415F5">
        <w:t>the proportion of compliance cases that are proactively identified</w:t>
      </w:r>
      <w:r w:rsidR="005D7E6C">
        <w:t xml:space="preserve"> can be measured from data</w:t>
      </w:r>
      <w:r w:rsidR="00925C6A">
        <w:t xml:space="preserve"> </w:t>
      </w:r>
      <w:r w:rsidR="005D7E6C">
        <w:t>t</w:t>
      </w:r>
      <w:r w:rsidR="00925C6A">
        <w:t>he ATO publishes</w:t>
      </w:r>
      <w:r w:rsidR="00D23E8D">
        <w:t xml:space="preserve"> </w:t>
      </w:r>
      <w:r w:rsidR="005D7E6C">
        <w:t>on</w:t>
      </w:r>
      <w:r w:rsidR="00D23E8D">
        <w:t xml:space="preserve"> </w:t>
      </w:r>
      <w:r w:rsidR="001363DC">
        <w:t>the number of cases initiated based on employee complaints (ENs) and those initiated by the ATO</w:t>
      </w:r>
      <w:r w:rsidR="00F415F5" w:rsidRPr="00F415F5">
        <w:t>.</w:t>
      </w:r>
      <w:r w:rsidR="00226F86">
        <w:t xml:space="preserve"> </w:t>
      </w:r>
      <w:r w:rsidR="00A22145">
        <w:t xml:space="preserve">These metrics would be expected to improve as the unpaid SG package is implemented, as employer compliance improves and the ATO has improved visibility </w:t>
      </w:r>
      <w:r w:rsidR="00FD573D">
        <w:t xml:space="preserve">of </w:t>
      </w:r>
      <w:r w:rsidR="00A22145">
        <w:t>the SG system.</w:t>
      </w:r>
    </w:p>
    <w:p w14:paraId="49D81CDA" w14:textId="5D3A5A0A" w:rsidR="005316D1" w:rsidRDefault="00A22145" w:rsidP="00E6567D">
      <w:r>
        <w:t>Improvements in the ATO’s data matching capabilities would also allow the ATO to establish new measures and targets across the SG system. These improved targets would provide useful insights into employer compliance with SG obligations and the efficacy of the ATO’s capability to identify unpaid SG.</w:t>
      </w:r>
    </w:p>
    <w:p w14:paraId="28C92B45" w14:textId="051B2083" w:rsidR="005316D1" w:rsidRDefault="00CD1EAC" w:rsidP="00317A6D">
      <w:pPr>
        <w:pStyle w:val="Heading3"/>
      </w:pPr>
      <w:bookmarkStart w:id="68" w:name="_Toc134198482"/>
      <w:r>
        <w:t>I</w:t>
      </w:r>
      <w:r w:rsidR="005316D1">
        <w:t>mplementation</w:t>
      </w:r>
      <w:bookmarkEnd w:id="68"/>
    </w:p>
    <w:p w14:paraId="6728B7E2" w14:textId="41B99272" w:rsidR="00317A6D" w:rsidRPr="00AA45D7" w:rsidRDefault="00317A6D" w:rsidP="00317A6D">
      <w:r w:rsidRPr="00AA45D7">
        <w:t>The ATO is well placed to deliver the preferred solution and has existing committees and governance arrangements which will be used to monitor and assure successful delivery.</w:t>
      </w:r>
      <w:r w:rsidR="00DD6EEC">
        <w:t xml:space="preserve"> Transitional arrangements for impacted stakeholders </w:t>
      </w:r>
      <w:r w:rsidR="00C22275">
        <w:t xml:space="preserve">would be managed </w:t>
      </w:r>
      <w:r w:rsidR="008D55DB">
        <w:t xml:space="preserve">through close consultation on final design parameters and </w:t>
      </w:r>
      <w:r w:rsidR="00EF0559">
        <w:t>long lead time</w:t>
      </w:r>
      <w:r w:rsidR="003A4DB1">
        <w:t>s</w:t>
      </w:r>
      <w:r w:rsidR="00EF0559">
        <w:t xml:space="preserve"> for policy commencement. </w:t>
      </w:r>
    </w:p>
    <w:p w14:paraId="5499C664" w14:textId="58DCCABC" w:rsidR="009617F0" w:rsidRDefault="009617F0" w:rsidP="00A24AB1">
      <w:pPr>
        <w:pStyle w:val="Heading4"/>
        <w:ind w:left="0"/>
      </w:pPr>
      <w:r>
        <w:t>Implementation risks and considerations</w:t>
      </w:r>
    </w:p>
    <w:p w14:paraId="4D95ED77" w14:textId="4C181C7E" w:rsidR="00954E3F" w:rsidRDefault="00954E3F" w:rsidP="009617F0">
      <w:pPr>
        <w:pStyle w:val="BodyText"/>
      </w:pPr>
      <w:r>
        <w:t xml:space="preserve">Table </w:t>
      </w:r>
      <w:r w:rsidR="006371AF">
        <w:t>2</w:t>
      </w:r>
      <w:r w:rsidR="00606372">
        <w:t>1</w:t>
      </w:r>
      <w:r>
        <w:t xml:space="preserve"> details the implementation challenges associated with this proposal, including their likelihood, consequences</w:t>
      </w:r>
      <w:r w:rsidR="00183376">
        <w:t>,</w:t>
      </w:r>
      <w:r>
        <w:t xml:space="preserve"> and management</w:t>
      </w:r>
      <w:r w:rsidR="00183376">
        <w:t xml:space="preserve">. </w:t>
      </w:r>
    </w:p>
    <w:p w14:paraId="5181A8C9" w14:textId="5409DBD9" w:rsidR="008913EF" w:rsidRDefault="008913EF" w:rsidP="008913EF">
      <w:pPr>
        <w:pStyle w:val="Caption"/>
      </w:pPr>
      <w:r>
        <w:t xml:space="preserve">Table </w:t>
      </w:r>
      <w:r w:rsidR="006371AF" w:rsidRPr="00831C62">
        <w:t>2</w:t>
      </w:r>
      <w:r w:rsidR="00606372">
        <w:t>1</w:t>
      </w:r>
      <w:r w:rsidR="00806D38">
        <w:t>.</w:t>
      </w:r>
      <w:r>
        <w:t xml:space="preserve"> Implementation risks – likelihood, </w:t>
      </w:r>
      <w:r w:rsidR="009C7208">
        <w:t>consequences,</w:t>
      </w:r>
      <w:r>
        <w:t xml:space="preserve"> and management</w:t>
      </w:r>
    </w:p>
    <w:tbl>
      <w:tblPr>
        <w:tblStyle w:val="PMCDefaultTableStyle"/>
        <w:tblW w:w="0" w:type="auto"/>
        <w:tblLook w:val="0620" w:firstRow="1" w:lastRow="0" w:firstColumn="0" w:lastColumn="0" w:noHBand="1" w:noVBand="1"/>
      </w:tblPr>
      <w:tblGrid>
        <w:gridCol w:w="2379"/>
        <w:gridCol w:w="1299"/>
        <w:gridCol w:w="3265"/>
        <w:gridCol w:w="3261"/>
      </w:tblGrid>
      <w:tr w:rsidR="000D46BF" w14:paraId="64CFF798" w14:textId="2978631F" w:rsidTr="007043F0">
        <w:trPr>
          <w:cnfStyle w:val="100000000000" w:firstRow="1" w:lastRow="0" w:firstColumn="0" w:lastColumn="0" w:oddVBand="0" w:evenVBand="0" w:oddHBand="0" w:evenHBand="0" w:firstRowFirstColumn="0" w:firstRowLastColumn="0" w:lastRowFirstColumn="0" w:lastRowLastColumn="0"/>
          <w:trHeight w:val="350"/>
        </w:trPr>
        <w:tc>
          <w:tcPr>
            <w:tcW w:w="2379" w:type="dxa"/>
          </w:tcPr>
          <w:p w14:paraId="36C62B3B" w14:textId="0C9492D5" w:rsidR="000D46BF" w:rsidRDefault="00051186" w:rsidP="00051186">
            <w:pPr>
              <w:pStyle w:val="BodyText"/>
              <w:tabs>
                <w:tab w:val="center" w:pos="1166"/>
              </w:tabs>
            </w:pPr>
            <w:r>
              <w:t>Implementation risk</w:t>
            </w:r>
            <w:r>
              <w:tab/>
            </w:r>
          </w:p>
        </w:tc>
        <w:tc>
          <w:tcPr>
            <w:tcW w:w="1299" w:type="dxa"/>
          </w:tcPr>
          <w:p w14:paraId="6B75367F" w14:textId="00B7ED3D" w:rsidR="000D46BF" w:rsidRDefault="00051186">
            <w:pPr>
              <w:pStyle w:val="BodyText"/>
            </w:pPr>
            <w:r>
              <w:t>Likelihood</w:t>
            </w:r>
          </w:p>
        </w:tc>
        <w:tc>
          <w:tcPr>
            <w:tcW w:w="3265" w:type="dxa"/>
          </w:tcPr>
          <w:p w14:paraId="0AB88B98" w14:textId="4EFB6AD9" w:rsidR="000D46BF" w:rsidRDefault="00051186">
            <w:pPr>
              <w:pStyle w:val="BodyText"/>
            </w:pPr>
            <w:r>
              <w:t xml:space="preserve">Consequences   </w:t>
            </w:r>
          </w:p>
        </w:tc>
        <w:tc>
          <w:tcPr>
            <w:tcW w:w="3261" w:type="dxa"/>
          </w:tcPr>
          <w:p w14:paraId="186C7319" w14:textId="029EAB7A" w:rsidR="00051186" w:rsidRDefault="00051186">
            <w:pPr>
              <w:pStyle w:val="BodyText"/>
            </w:pPr>
            <w:r>
              <w:t>Management</w:t>
            </w:r>
          </w:p>
        </w:tc>
      </w:tr>
      <w:tr w:rsidR="007043F0" w:rsidRPr="0015537B" w14:paraId="3013F29C" w14:textId="77777777" w:rsidTr="007043F0">
        <w:trPr>
          <w:trHeight w:val="350"/>
        </w:trPr>
        <w:tc>
          <w:tcPr>
            <w:tcW w:w="2379" w:type="dxa"/>
          </w:tcPr>
          <w:p w14:paraId="1AB15499" w14:textId="34E0E193" w:rsidR="007043F0" w:rsidRDefault="006D70BA" w:rsidP="007043F0">
            <w:pPr>
              <w:rPr>
                <w:sz w:val="18"/>
                <w:szCs w:val="18"/>
              </w:rPr>
            </w:pPr>
            <w:r>
              <w:rPr>
                <w:sz w:val="18"/>
                <w:szCs w:val="18"/>
              </w:rPr>
              <w:t>Unforeseen</w:t>
            </w:r>
            <w:r w:rsidR="007043F0" w:rsidRPr="00F11FDA">
              <w:rPr>
                <w:sz w:val="18"/>
                <w:szCs w:val="18"/>
              </w:rPr>
              <w:t xml:space="preserve"> barriers to developing and processing system changes required e.g., undue costs or unforeseen issues with building systems</w:t>
            </w:r>
          </w:p>
        </w:tc>
        <w:tc>
          <w:tcPr>
            <w:tcW w:w="1299" w:type="dxa"/>
            <w:shd w:val="clear" w:color="auto" w:fill="CAE8AA"/>
          </w:tcPr>
          <w:p w14:paraId="200732FF" w14:textId="5733E56D" w:rsidR="007043F0" w:rsidRDefault="007043F0" w:rsidP="007043F0">
            <w:pPr>
              <w:pStyle w:val="TableBody"/>
            </w:pPr>
            <w:r>
              <w:t>Low</w:t>
            </w:r>
          </w:p>
        </w:tc>
        <w:tc>
          <w:tcPr>
            <w:tcW w:w="3265" w:type="dxa"/>
          </w:tcPr>
          <w:p w14:paraId="7CF56621" w14:textId="77777777" w:rsidR="007043F0" w:rsidRDefault="007043F0" w:rsidP="007043F0">
            <w:pPr>
              <w:pStyle w:val="TableBullet"/>
              <w:numPr>
                <w:ilvl w:val="0"/>
                <w:numId w:val="0"/>
              </w:numPr>
            </w:pPr>
            <w:r>
              <w:t>Delay in reducing the unpaid SG gap, resulting in lower superannuation balances at retirement.</w:t>
            </w:r>
          </w:p>
          <w:p w14:paraId="4F3C2A11" w14:textId="6D5BFBFE" w:rsidR="007043F0" w:rsidRDefault="007043F0" w:rsidP="007043F0">
            <w:pPr>
              <w:pStyle w:val="TableBullet"/>
              <w:numPr>
                <w:ilvl w:val="0"/>
                <w:numId w:val="0"/>
              </w:numPr>
            </w:pPr>
            <w:r>
              <w:t xml:space="preserve">Possible non-implementation of the policy. </w:t>
            </w:r>
          </w:p>
        </w:tc>
        <w:tc>
          <w:tcPr>
            <w:tcW w:w="3261" w:type="dxa"/>
          </w:tcPr>
          <w:p w14:paraId="5226A850" w14:textId="7CDF30C9" w:rsidR="007043F0" w:rsidRDefault="007043F0" w:rsidP="007043F0">
            <w:pPr>
              <w:pStyle w:val="TableBullet"/>
              <w:numPr>
                <w:ilvl w:val="0"/>
                <w:numId w:val="0"/>
              </w:numPr>
            </w:pPr>
            <w:r>
              <w:t xml:space="preserve">Proactively managed by close consultation with stakeholders in designing final policy parameters. </w:t>
            </w:r>
          </w:p>
        </w:tc>
      </w:tr>
      <w:tr w:rsidR="000D46BF" w:rsidRPr="0015537B" w14:paraId="6B118569" w14:textId="1A632698" w:rsidTr="007043F0">
        <w:trPr>
          <w:trHeight w:val="350"/>
        </w:trPr>
        <w:tc>
          <w:tcPr>
            <w:tcW w:w="2379" w:type="dxa"/>
          </w:tcPr>
          <w:p w14:paraId="195A76F6" w14:textId="78D09BE0" w:rsidR="000D46BF" w:rsidRPr="007C4C1F" w:rsidRDefault="0054186A">
            <w:pPr>
              <w:rPr>
                <w:sz w:val="18"/>
                <w:szCs w:val="18"/>
              </w:rPr>
            </w:pPr>
            <w:r>
              <w:rPr>
                <w:sz w:val="18"/>
                <w:szCs w:val="18"/>
              </w:rPr>
              <w:t>Stakeholders n</w:t>
            </w:r>
            <w:r w:rsidR="00051186">
              <w:rPr>
                <w:sz w:val="18"/>
                <w:szCs w:val="18"/>
              </w:rPr>
              <w:t xml:space="preserve">ot meeting implementation timeframes </w:t>
            </w:r>
          </w:p>
        </w:tc>
        <w:tc>
          <w:tcPr>
            <w:tcW w:w="1299" w:type="dxa"/>
            <w:shd w:val="clear" w:color="auto" w:fill="FFEDCA" w:themeFill="accent5" w:themeFillTint="33"/>
          </w:tcPr>
          <w:p w14:paraId="3E926EB2" w14:textId="4FD891E5" w:rsidR="000D46BF" w:rsidRPr="0015537B" w:rsidRDefault="00B4012F">
            <w:pPr>
              <w:pStyle w:val="TableBody"/>
            </w:pPr>
            <w:r>
              <w:t>Medium</w:t>
            </w:r>
          </w:p>
        </w:tc>
        <w:tc>
          <w:tcPr>
            <w:tcW w:w="3265" w:type="dxa"/>
          </w:tcPr>
          <w:p w14:paraId="213E38B0" w14:textId="18C25977" w:rsidR="000D46BF" w:rsidRPr="0015537B" w:rsidRDefault="00CE403F" w:rsidP="008F1D28">
            <w:pPr>
              <w:pStyle w:val="TableBullet"/>
              <w:numPr>
                <w:ilvl w:val="0"/>
                <w:numId w:val="0"/>
              </w:numPr>
            </w:pPr>
            <w:r>
              <w:t>D</w:t>
            </w:r>
            <w:r w:rsidR="003E7847">
              <w:t xml:space="preserve">elay in reducing the </w:t>
            </w:r>
            <w:r>
              <w:t xml:space="preserve">unpaid SG gap, resulting in lower </w:t>
            </w:r>
            <w:r w:rsidR="008F1D28">
              <w:t xml:space="preserve">superannuation balances at retirement. </w:t>
            </w:r>
          </w:p>
        </w:tc>
        <w:tc>
          <w:tcPr>
            <w:tcW w:w="3261" w:type="dxa"/>
          </w:tcPr>
          <w:p w14:paraId="52E52D0F" w14:textId="3E38AA68" w:rsidR="00B4012F" w:rsidRDefault="00B4012F" w:rsidP="00B4012F">
            <w:pPr>
              <w:pStyle w:val="TableBullet"/>
              <w:numPr>
                <w:ilvl w:val="0"/>
                <w:numId w:val="0"/>
              </w:numPr>
            </w:pPr>
            <w:r>
              <w:t xml:space="preserve">Close consultation with stakeholders on final design of the policy parameters and requirements to ensure it can be implemented within </w:t>
            </w:r>
            <w:r w:rsidR="005B2575">
              <w:t>set</w:t>
            </w:r>
            <w:r>
              <w:t xml:space="preserve"> timeframes.</w:t>
            </w:r>
          </w:p>
          <w:p w14:paraId="784C7579" w14:textId="7ABC16B4" w:rsidR="00051186" w:rsidRDefault="00B4012F" w:rsidP="00B4012F">
            <w:pPr>
              <w:pStyle w:val="TableBullet"/>
              <w:numPr>
                <w:ilvl w:val="0"/>
                <w:numId w:val="0"/>
              </w:numPr>
            </w:pPr>
            <w:r>
              <w:t>Ongoing conversations with stakeholders throughout the implementation process.</w:t>
            </w:r>
          </w:p>
        </w:tc>
      </w:tr>
      <w:tr w:rsidR="00584F2A" w:rsidRPr="0015537B" w14:paraId="629788D5" w14:textId="77777777" w:rsidTr="007043F0">
        <w:trPr>
          <w:trHeight w:val="350"/>
        </w:trPr>
        <w:tc>
          <w:tcPr>
            <w:tcW w:w="2379" w:type="dxa"/>
          </w:tcPr>
          <w:p w14:paraId="219AD7B0" w14:textId="75BB15BE" w:rsidR="00584F2A" w:rsidRDefault="00584F2A">
            <w:pPr>
              <w:rPr>
                <w:sz w:val="18"/>
                <w:szCs w:val="18"/>
              </w:rPr>
            </w:pPr>
            <w:r>
              <w:rPr>
                <w:sz w:val="18"/>
                <w:szCs w:val="18"/>
              </w:rPr>
              <w:t>Interaction with other superannuation reforms</w:t>
            </w:r>
          </w:p>
        </w:tc>
        <w:tc>
          <w:tcPr>
            <w:tcW w:w="1299" w:type="dxa"/>
            <w:shd w:val="clear" w:color="auto" w:fill="FFEDCA" w:themeFill="accent5" w:themeFillTint="33"/>
          </w:tcPr>
          <w:p w14:paraId="4C514DE2" w14:textId="1B15ED80" w:rsidR="00584F2A" w:rsidRDefault="00584F2A">
            <w:pPr>
              <w:pStyle w:val="TableBody"/>
            </w:pPr>
            <w:r>
              <w:t>Medium</w:t>
            </w:r>
          </w:p>
        </w:tc>
        <w:tc>
          <w:tcPr>
            <w:tcW w:w="3265" w:type="dxa"/>
          </w:tcPr>
          <w:p w14:paraId="6625B3DC" w14:textId="42BEC90E" w:rsidR="00584F2A" w:rsidRDefault="00C51A12" w:rsidP="008F1D28">
            <w:pPr>
              <w:pStyle w:val="TableBullet"/>
              <w:numPr>
                <w:ilvl w:val="0"/>
                <w:numId w:val="0"/>
              </w:numPr>
            </w:pPr>
            <w:r w:rsidRPr="00C51A12">
              <w:t>Delay in reducing the unpaid SG gap, resulting in lower superannuation balances at retirement.</w:t>
            </w:r>
            <w:r>
              <w:t xml:space="preserve"> Package not meeting policy intent.</w:t>
            </w:r>
          </w:p>
        </w:tc>
        <w:tc>
          <w:tcPr>
            <w:tcW w:w="3261" w:type="dxa"/>
          </w:tcPr>
          <w:p w14:paraId="4F71FA2E" w14:textId="3A02B938" w:rsidR="00584F2A" w:rsidRDefault="00E5795D" w:rsidP="00B4012F">
            <w:pPr>
              <w:pStyle w:val="TableBullet"/>
              <w:numPr>
                <w:ilvl w:val="0"/>
                <w:numId w:val="0"/>
              </w:numPr>
            </w:pPr>
            <w:r>
              <w:t xml:space="preserve">Ensure </w:t>
            </w:r>
            <w:r w:rsidR="00C51A12">
              <w:t>other reforms consider</w:t>
            </w:r>
            <w:r>
              <w:t xml:space="preserve"> implementation of </w:t>
            </w:r>
            <w:r w:rsidR="00673F12">
              <w:t xml:space="preserve">the </w:t>
            </w:r>
            <w:r>
              <w:t xml:space="preserve">unpaid SG package. </w:t>
            </w:r>
          </w:p>
        </w:tc>
      </w:tr>
    </w:tbl>
    <w:p w14:paraId="39958763" w14:textId="77777777" w:rsidR="00C3296F" w:rsidRPr="00AA45D7" w:rsidRDefault="00C3296F" w:rsidP="00946C3B">
      <w:pPr>
        <w:pStyle w:val="Areas"/>
      </w:pPr>
    </w:p>
    <w:p w14:paraId="05E2C192" w14:textId="081AE9F0" w:rsidR="00317A6D" w:rsidRDefault="00317A6D" w:rsidP="00E6567D">
      <w:r w:rsidRPr="00AA45D7">
        <w:t xml:space="preserve">The ATO </w:t>
      </w:r>
      <w:r w:rsidR="0083267B">
        <w:t xml:space="preserve">would be responsible for implementing and delivering the </w:t>
      </w:r>
      <w:r w:rsidR="00D25AFA">
        <w:t>G</w:t>
      </w:r>
      <w:r w:rsidR="0083267B">
        <w:t>overnment system upgrades required to operationalise this package. A detailed implementation plan</w:t>
      </w:r>
      <w:r w:rsidRPr="00AA45D7">
        <w:t xml:space="preserve"> </w:t>
      </w:r>
      <w:r w:rsidR="00275D15">
        <w:t xml:space="preserve">is available in the ATO’s First </w:t>
      </w:r>
      <w:r w:rsidR="004808B3">
        <w:t xml:space="preserve">Pass Business </w:t>
      </w:r>
      <w:r>
        <w:t>Case</w:t>
      </w:r>
      <w:r w:rsidR="004808B3">
        <w:t>,</w:t>
      </w:r>
      <w:r>
        <w:t xml:space="preserve"> developed </w:t>
      </w:r>
      <w:r w:rsidR="004808B3">
        <w:t xml:space="preserve">in conjunction with the Digital Transformation Agency. </w:t>
      </w:r>
    </w:p>
    <w:p w14:paraId="134E2C9D" w14:textId="783008F7" w:rsidR="00E01B77" w:rsidRDefault="007C5FA7" w:rsidP="00E82F5C">
      <w:pPr>
        <w:pStyle w:val="Heading1"/>
      </w:pPr>
      <w:r>
        <w:br w:type="page"/>
      </w:r>
      <w:bookmarkStart w:id="69" w:name="_Toc134198483"/>
      <w:r w:rsidR="00E01B77">
        <w:t>Reference</w:t>
      </w:r>
      <w:r w:rsidR="00DF5324">
        <w:t>s</w:t>
      </w:r>
      <w:bookmarkEnd w:id="69"/>
    </w:p>
    <w:p w14:paraId="72FED6FA" w14:textId="73DF4794" w:rsidR="003D6FF5" w:rsidRPr="00C45162" w:rsidRDefault="003D6FF5" w:rsidP="00C45162">
      <w:pPr>
        <w:pStyle w:val="FootnoteText"/>
        <w:spacing w:line="360" w:lineRule="auto"/>
        <w:rPr>
          <w:szCs w:val="22"/>
        </w:rPr>
      </w:pPr>
      <w:r w:rsidRPr="00C45162">
        <w:rPr>
          <w:bCs/>
          <w:szCs w:val="22"/>
        </w:rPr>
        <w:t xml:space="preserve">ABC News, </w:t>
      </w:r>
      <w:hyperlink r:id="rId13" w:history="1">
        <w:r w:rsidRPr="00C45162">
          <w:rPr>
            <w:bCs/>
            <w:szCs w:val="22"/>
          </w:rPr>
          <w:t xml:space="preserve"> </w:t>
        </w:r>
        <w:r w:rsidRPr="00C45162">
          <w:rPr>
            <w:bCs/>
            <w:i/>
            <w:iCs/>
            <w:szCs w:val="22"/>
          </w:rPr>
          <w:t>Workers' superannuation used to prop up small businesses struggling with cashflow. Should it?</w:t>
        </w:r>
        <w:r w:rsidR="00ED3C05" w:rsidRPr="00C45162">
          <w:rPr>
            <w:bCs/>
            <w:szCs w:val="22"/>
          </w:rPr>
          <w:t>, a</w:t>
        </w:r>
        <w:r w:rsidRPr="00C45162">
          <w:rPr>
            <w:bCs/>
            <w:szCs w:val="22"/>
          </w:rPr>
          <w:t>vailable at:</w:t>
        </w:r>
        <w:r w:rsidRPr="00C45162">
          <w:rPr>
            <w:bCs/>
            <w:szCs w:val="22"/>
            <w:u w:val="single"/>
          </w:rPr>
          <w:t>~https://www.abc.net.au/news/2021-10-29/workers-superannuation-is-being-used-to-prop-up-small-businesses/100577450</w:t>
        </w:r>
      </w:hyperlink>
      <w:r w:rsidR="00E177B1" w:rsidRPr="00C45162">
        <w:rPr>
          <w:bCs/>
          <w:szCs w:val="22"/>
        </w:rPr>
        <w:t>.</w:t>
      </w:r>
    </w:p>
    <w:p w14:paraId="5650A2C8" w14:textId="7D928B8C" w:rsidR="003D6FF5" w:rsidRPr="00C45162" w:rsidRDefault="003D6FF5" w:rsidP="003D6FF5">
      <w:pPr>
        <w:spacing w:line="360" w:lineRule="auto"/>
        <w:rPr>
          <w:szCs w:val="22"/>
        </w:rPr>
      </w:pPr>
      <w:r w:rsidRPr="00C45162">
        <w:rPr>
          <w:szCs w:val="22"/>
        </w:rPr>
        <w:t xml:space="preserve">ATO (2019), </w:t>
      </w:r>
      <w:r w:rsidRPr="00C45162">
        <w:rPr>
          <w:i/>
          <w:szCs w:val="22"/>
        </w:rPr>
        <w:t>SRF711.0 quarterly report</w:t>
      </w:r>
      <w:r w:rsidRPr="00C45162">
        <w:rPr>
          <w:szCs w:val="22"/>
        </w:rPr>
        <w:t xml:space="preserve">, available at: </w:t>
      </w:r>
      <w:r w:rsidRPr="00C45162">
        <w:rPr>
          <w:szCs w:val="22"/>
          <w:u w:val="single"/>
        </w:rPr>
        <w:t>https://www.ato.gov.au/misc/downloads/pdf/qc56074.pdf</w:t>
      </w:r>
      <w:r w:rsidRPr="00C45162">
        <w:rPr>
          <w:szCs w:val="22"/>
        </w:rPr>
        <w:t>.</w:t>
      </w:r>
    </w:p>
    <w:p w14:paraId="05CBE89F" w14:textId="0A23E766" w:rsidR="009E667C" w:rsidRPr="00C45162" w:rsidRDefault="009E667C" w:rsidP="003D6FF5">
      <w:pPr>
        <w:spacing w:line="360" w:lineRule="auto"/>
        <w:rPr>
          <w:szCs w:val="22"/>
        </w:rPr>
      </w:pPr>
      <w:r w:rsidRPr="00C45162">
        <w:rPr>
          <w:szCs w:val="22"/>
        </w:rPr>
        <w:t xml:space="preserve">ATO (2022), </w:t>
      </w:r>
      <w:r w:rsidRPr="00C45162">
        <w:rPr>
          <w:i/>
          <w:szCs w:val="22"/>
        </w:rPr>
        <w:t>Superannuation Guarantee Gap Latest estimates and trends</w:t>
      </w:r>
      <w:r w:rsidRPr="00C45162">
        <w:rPr>
          <w:szCs w:val="22"/>
        </w:rPr>
        <w:t xml:space="preserve">, available at: </w:t>
      </w:r>
      <w:r w:rsidRPr="00C45162">
        <w:rPr>
          <w:szCs w:val="22"/>
          <w:u w:val="single"/>
        </w:rPr>
        <w:t>www.ato.gov.au/about-ato/research-and-statistics/in-detail/tax-gap/superannuation-guarantee-gap/?page=3#Latest_estimates_and_trends</w:t>
      </w:r>
      <w:r w:rsidRPr="00C45162">
        <w:rPr>
          <w:szCs w:val="22"/>
        </w:rPr>
        <w:t>.</w:t>
      </w:r>
    </w:p>
    <w:p w14:paraId="6E81A779" w14:textId="77777777" w:rsidR="003D6FF5" w:rsidRPr="00C45162" w:rsidRDefault="003D6FF5" w:rsidP="003D6FF5">
      <w:pPr>
        <w:spacing w:line="360" w:lineRule="auto"/>
        <w:rPr>
          <w:szCs w:val="22"/>
        </w:rPr>
      </w:pPr>
      <w:r w:rsidRPr="00C45162">
        <w:rPr>
          <w:szCs w:val="22"/>
        </w:rPr>
        <w:t xml:space="preserve">ATO (2023), </w:t>
      </w:r>
      <w:r w:rsidRPr="00C45162">
        <w:rPr>
          <w:i/>
          <w:szCs w:val="22"/>
        </w:rPr>
        <w:t>SuperStream Certified Product register</w:t>
      </w:r>
      <w:r w:rsidRPr="00C45162">
        <w:rPr>
          <w:szCs w:val="22"/>
        </w:rPr>
        <w:t xml:space="preserve">, available at: </w:t>
      </w:r>
      <w:r w:rsidRPr="00C45162">
        <w:rPr>
          <w:szCs w:val="22"/>
          <w:u w:val="single"/>
        </w:rPr>
        <w:t>softwaredevelopers.ato.gov.au/SuperStream-certifiedproductregister</w:t>
      </w:r>
      <w:r w:rsidRPr="00C45162">
        <w:rPr>
          <w:szCs w:val="22"/>
        </w:rPr>
        <w:t>.</w:t>
      </w:r>
    </w:p>
    <w:p w14:paraId="7F02BE78" w14:textId="77777777" w:rsidR="003D6FF5" w:rsidRPr="00C45162" w:rsidRDefault="003D6FF5" w:rsidP="003D6FF5">
      <w:pPr>
        <w:spacing w:line="360" w:lineRule="auto"/>
        <w:rPr>
          <w:szCs w:val="22"/>
        </w:rPr>
      </w:pPr>
      <w:r w:rsidRPr="00C45162">
        <w:rPr>
          <w:szCs w:val="22"/>
        </w:rPr>
        <w:t xml:space="preserve">Australian Bureau of Statistics, </w:t>
      </w:r>
      <w:r w:rsidRPr="00C45162">
        <w:rPr>
          <w:i/>
          <w:szCs w:val="22"/>
        </w:rPr>
        <w:t>Counts of Australian Businesses, including Entries and Exits</w:t>
      </w:r>
      <w:r w:rsidRPr="00C45162">
        <w:rPr>
          <w:szCs w:val="22"/>
        </w:rPr>
        <w:t xml:space="preserve">, 2022. </w:t>
      </w:r>
    </w:p>
    <w:p w14:paraId="275208FE" w14:textId="310AF50F" w:rsidR="003D6FF5" w:rsidRPr="00C45162" w:rsidRDefault="003D6FF5" w:rsidP="003D6FF5">
      <w:pPr>
        <w:spacing w:line="360" w:lineRule="auto"/>
        <w:rPr>
          <w:szCs w:val="22"/>
        </w:rPr>
      </w:pPr>
      <w:r w:rsidRPr="00C45162">
        <w:rPr>
          <w:szCs w:val="22"/>
        </w:rPr>
        <w:t xml:space="preserve">ANAO (2022), </w:t>
      </w:r>
      <w:r w:rsidRPr="00C45162">
        <w:rPr>
          <w:i/>
          <w:szCs w:val="22"/>
        </w:rPr>
        <w:t>Addressing Superannuation Guarantee Non-Compliance</w:t>
      </w:r>
      <w:r w:rsidRPr="00C45162">
        <w:rPr>
          <w:szCs w:val="22"/>
        </w:rPr>
        <w:t>.</w:t>
      </w:r>
    </w:p>
    <w:p w14:paraId="112FB472" w14:textId="0E23B96F" w:rsidR="003D6FF5" w:rsidRPr="00C45162" w:rsidRDefault="003D6FF5" w:rsidP="003D6FF5">
      <w:pPr>
        <w:spacing w:line="360" w:lineRule="auto"/>
        <w:rPr>
          <w:szCs w:val="22"/>
        </w:rPr>
      </w:pPr>
      <w:r w:rsidRPr="00C45162">
        <w:rPr>
          <w:szCs w:val="22"/>
        </w:rPr>
        <w:t xml:space="preserve">APRA (2023), </w:t>
      </w:r>
      <w:r w:rsidRPr="00C45162">
        <w:rPr>
          <w:i/>
          <w:szCs w:val="22"/>
        </w:rPr>
        <w:t>Annual superannuation bulletin</w:t>
      </w:r>
      <w:r w:rsidRPr="00C45162">
        <w:rPr>
          <w:szCs w:val="22"/>
        </w:rPr>
        <w:t xml:space="preserve">, available at:  www.apra.gov.au/annual-superannuation-bulletin. </w:t>
      </w:r>
    </w:p>
    <w:p w14:paraId="623721F0" w14:textId="77777777" w:rsidR="003D6FF5" w:rsidRPr="00C45162" w:rsidRDefault="003D6FF5" w:rsidP="003D6FF5">
      <w:pPr>
        <w:spacing w:line="360" w:lineRule="auto"/>
        <w:rPr>
          <w:szCs w:val="22"/>
        </w:rPr>
      </w:pPr>
      <w:r w:rsidRPr="00C45162">
        <w:rPr>
          <w:szCs w:val="22"/>
        </w:rPr>
        <w:t xml:space="preserve">CHOICE (2022), What to do if your employer doesn’t pay your super, available at: </w:t>
      </w:r>
      <w:r w:rsidRPr="00C45162">
        <w:rPr>
          <w:szCs w:val="22"/>
          <w:u w:val="single"/>
        </w:rPr>
        <w:t>https://www.choice.com.au/money/financial-planning-and-investing/superannuation/articles/unpaid-super</w:t>
      </w:r>
      <w:r w:rsidRPr="00C45162">
        <w:rPr>
          <w:szCs w:val="22"/>
        </w:rPr>
        <w:t xml:space="preserve">.  </w:t>
      </w:r>
    </w:p>
    <w:p w14:paraId="781DEDF1" w14:textId="2E0C6F7A" w:rsidR="003D6FF5" w:rsidRPr="00C45162" w:rsidRDefault="003D6FF5" w:rsidP="003D6FF5">
      <w:pPr>
        <w:spacing w:line="360" w:lineRule="auto"/>
        <w:rPr>
          <w:szCs w:val="22"/>
        </w:rPr>
      </w:pPr>
      <w:r w:rsidRPr="00C45162">
        <w:rPr>
          <w:szCs w:val="22"/>
        </w:rPr>
        <w:t>Commissioner of Taxation Annual Report 202</w:t>
      </w:r>
      <w:r w:rsidR="00D97451">
        <w:rPr>
          <w:szCs w:val="22"/>
        </w:rPr>
        <w:t>1</w:t>
      </w:r>
      <w:r w:rsidRPr="00C45162">
        <w:rPr>
          <w:szCs w:val="22"/>
        </w:rPr>
        <w:t>-2</w:t>
      </w:r>
      <w:r w:rsidR="00D97451">
        <w:rPr>
          <w:szCs w:val="22"/>
        </w:rPr>
        <w:t>2</w:t>
      </w:r>
      <w:r w:rsidRPr="00C45162">
        <w:rPr>
          <w:szCs w:val="22"/>
        </w:rPr>
        <w:t>.</w:t>
      </w:r>
    </w:p>
    <w:p w14:paraId="2F3E3D20" w14:textId="77777777" w:rsidR="003D6FF5" w:rsidRPr="00C45162" w:rsidRDefault="003D6FF5" w:rsidP="003D6FF5">
      <w:pPr>
        <w:spacing w:line="360" w:lineRule="auto"/>
        <w:rPr>
          <w:szCs w:val="22"/>
        </w:rPr>
      </w:pPr>
      <w:r w:rsidRPr="00C45162">
        <w:rPr>
          <w:szCs w:val="22"/>
        </w:rPr>
        <w:t xml:space="preserve">Productivity Commission (2018), </w:t>
      </w:r>
      <w:r w:rsidRPr="00C45162">
        <w:rPr>
          <w:i/>
          <w:szCs w:val="22"/>
        </w:rPr>
        <w:t>Superannuation: Assessing Efficiency and Competitiveness</w:t>
      </w:r>
      <w:r w:rsidRPr="00C45162">
        <w:rPr>
          <w:szCs w:val="22"/>
        </w:rPr>
        <w:t>.</w:t>
      </w:r>
    </w:p>
    <w:p w14:paraId="01BBB0CC" w14:textId="77777777" w:rsidR="003D6FF5" w:rsidRPr="00C45162" w:rsidRDefault="003D6FF5" w:rsidP="003D6FF5">
      <w:pPr>
        <w:spacing w:line="360" w:lineRule="auto"/>
        <w:rPr>
          <w:szCs w:val="22"/>
        </w:rPr>
      </w:pPr>
      <w:r w:rsidRPr="00C45162">
        <w:rPr>
          <w:szCs w:val="22"/>
        </w:rPr>
        <w:t>Retirement Income Review (2020).</w:t>
      </w:r>
    </w:p>
    <w:p w14:paraId="187A301E" w14:textId="77777777" w:rsidR="003D6FF5" w:rsidRPr="00C45162" w:rsidRDefault="003D6FF5" w:rsidP="003D6FF5">
      <w:pPr>
        <w:spacing w:line="360" w:lineRule="auto"/>
        <w:rPr>
          <w:szCs w:val="22"/>
        </w:rPr>
      </w:pPr>
      <w:r w:rsidRPr="00C45162">
        <w:rPr>
          <w:szCs w:val="22"/>
        </w:rPr>
        <w:t xml:space="preserve">Senate Economic References Committee (2022), </w:t>
      </w:r>
      <w:r w:rsidRPr="00C45162">
        <w:rPr>
          <w:i/>
          <w:szCs w:val="22"/>
        </w:rPr>
        <w:t>Systemic, sustained and shameful: Unlawful underpayment of employees’ remuneration</w:t>
      </w:r>
      <w:r w:rsidRPr="00C45162">
        <w:rPr>
          <w:szCs w:val="22"/>
        </w:rPr>
        <w:t>.</w:t>
      </w:r>
    </w:p>
    <w:p w14:paraId="2294B69C" w14:textId="51C76638" w:rsidR="003D6FF5" w:rsidRPr="00C45162" w:rsidRDefault="003D6FF5" w:rsidP="003D6FF5">
      <w:pPr>
        <w:spacing w:line="360" w:lineRule="auto"/>
        <w:rPr>
          <w:szCs w:val="22"/>
        </w:rPr>
      </w:pPr>
      <w:r w:rsidRPr="00C45162">
        <w:rPr>
          <w:szCs w:val="22"/>
        </w:rPr>
        <w:t xml:space="preserve">Senate Economics References Committee (2017), </w:t>
      </w:r>
      <w:r w:rsidRPr="00C45162">
        <w:rPr>
          <w:i/>
          <w:szCs w:val="22"/>
        </w:rPr>
        <w:t>Superbad – Wage theft and noncompliance of the Superannuation Guarante</w:t>
      </w:r>
      <w:r w:rsidR="009E667C" w:rsidRPr="00C45162">
        <w:rPr>
          <w:i/>
          <w:szCs w:val="22"/>
        </w:rPr>
        <w:t>e</w:t>
      </w:r>
      <w:r w:rsidRPr="00C45162">
        <w:rPr>
          <w:szCs w:val="22"/>
        </w:rPr>
        <w:t xml:space="preserve">. </w:t>
      </w:r>
    </w:p>
    <w:p w14:paraId="1DAD70DB" w14:textId="77777777" w:rsidR="00FC1343" w:rsidRPr="00C45162" w:rsidRDefault="003D6FF5" w:rsidP="003D6FF5">
      <w:pPr>
        <w:spacing w:line="360" w:lineRule="auto"/>
        <w:rPr>
          <w:szCs w:val="22"/>
        </w:rPr>
      </w:pPr>
      <w:r w:rsidRPr="00C45162">
        <w:rPr>
          <w:szCs w:val="22"/>
        </w:rPr>
        <w:t xml:space="preserve">Sydney Morning Herald (2019), </w:t>
      </w:r>
      <w:r w:rsidRPr="00C45162">
        <w:rPr>
          <w:i/>
          <w:szCs w:val="22"/>
        </w:rPr>
        <w:t>‘A nightmare’: Funds push for tougher action to stop unpaid super</w:t>
      </w:r>
      <w:r w:rsidRPr="00C45162">
        <w:rPr>
          <w:szCs w:val="22"/>
        </w:rPr>
        <w:t xml:space="preserve">, available at: </w:t>
      </w:r>
      <w:r w:rsidRPr="00C45162">
        <w:rPr>
          <w:szCs w:val="22"/>
          <w:u w:val="single"/>
        </w:rPr>
        <w:t>https://www.choice.com.au/money/financial-planning-and-investing/superannuation/articles/unpaid-super</w:t>
      </w:r>
      <w:r w:rsidRPr="00C45162">
        <w:rPr>
          <w:szCs w:val="22"/>
        </w:rPr>
        <w:t>.</w:t>
      </w:r>
    </w:p>
    <w:p w14:paraId="03396F8A" w14:textId="447959BE" w:rsidR="00FC1343" w:rsidRPr="00C45162" w:rsidRDefault="00FC1343" w:rsidP="00FC1343">
      <w:pPr>
        <w:spacing w:after="0" w:line="240" w:lineRule="auto"/>
        <w:rPr>
          <w:rFonts w:ascii="Calibri" w:eastAsia="Times New Roman" w:hAnsi="Calibri" w:cs="Calibri"/>
          <w:color w:val="262626"/>
          <w:szCs w:val="22"/>
          <w:lang w:eastAsia="en-AU"/>
        </w:rPr>
      </w:pPr>
      <w:r w:rsidRPr="00C45162">
        <w:rPr>
          <w:rFonts w:ascii="Calibri" w:eastAsia="Times New Roman" w:hAnsi="Calibri" w:cs="Calibri"/>
          <w:color w:val="262626"/>
          <w:szCs w:val="22"/>
          <w:lang w:eastAsia="en-AU"/>
        </w:rPr>
        <w:t>2022-23 October Pre-Budget submissions</w:t>
      </w:r>
      <w:r w:rsidR="006F155E" w:rsidRPr="00C45162">
        <w:rPr>
          <w:rFonts w:ascii="Calibri" w:eastAsia="Times New Roman" w:hAnsi="Calibri" w:cs="Calibri"/>
          <w:color w:val="262626"/>
          <w:szCs w:val="22"/>
          <w:lang w:eastAsia="en-AU"/>
        </w:rPr>
        <w:t>.</w:t>
      </w:r>
    </w:p>
    <w:p w14:paraId="6DF89303" w14:textId="190CDE00" w:rsidR="0038222C" w:rsidRPr="00831C62" w:rsidRDefault="0038222C" w:rsidP="003D6FF5">
      <w:pPr>
        <w:spacing w:line="360" w:lineRule="auto"/>
        <w:rPr>
          <w:rFonts w:asciiTheme="majorHAnsi" w:hAnsiTheme="majorHAnsi"/>
          <w:i/>
          <w:sz w:val="20"/>
        </w:rPr>
      </w:pPr>
      <w:r w:rsidRPr="00831C62">
        <w:rPr>
          <w:sz w:val="20"/>
        </w:rPr>
        <w:br w:type="page"/>
      </w:r>
    </w:p>
    <w:p w14:paraId="415CDAC1" w14:textId="2D7A3E23" w:rsidR="00655C69" w:rsidRDefault="0038222C" w:rsidP="00047276">
      <w:pPr>
        <w:pStyle w:val="Heading1"/>
      </w:pPr>
      <w:bookmarkStart w:id="70" w:name="_Toc134198484"/>
      <w:r>
        <w:t>Appendix</w:t>
      </w:r>
      <w:r w:rsidR="00655C69">
        <w:t xml:space="preserve"> A</w:t>
      </w:r>
      <w:r w:rsidR="00047276">
        <w:t>: Previous r</w:t>
      </w:r>
      <w:r w:rsidR="00655C69">
        <w:t xml:space="preserve">eviews and </w:t>
      </w:r>
      <w:r w:rsidR="001C6D52">
        <w:t>reports</w:t>
      </w:r>
      <w:bookmarkEnd w:id="70"/>
    </w:p>
    <w:p w14:paraId="2240F867" w14:textId="2D7A3E23" w:rsidR="00655C69" w:rsidRDefault="00655C69" w:rsidP="00655C69">
      <w:pPr>
        <w:pStyle w:val="Heading3"/>
      </w:pPr>
      <w:bookmarkStart w:id="71" w:name="_Toc134198485"/>
      <w:r>
        <w:rPr>
          <w:i/>
          <w:iCs/>
        </w:rPr>
        <w:t>‘</w:t>
      </w:r>
      <w:r w:rsidRPr="006617B7">
        <w:rPr>
          <w:i/>
          <w:iCs/>
        </w:rPr>
        <w:t>Enforcement of the superannuation guarantee charge</w:t>
      </w:r>
      <w:r>
        <w:rPr>
          <w:i/>
          <w:iCs/>
        </w:rPr>
        <w:t>’</w:t>
      </w:r>
      <w:r>
        <w:t>, Senate Select Committee on Superannuation and Financial Services, 2001</w:t>
      </w:r>
      <w:bookmarkEnd w:id="71"/>
      <w:r>
        <w:t xml:space="preserve"> </w:t>
      </w:r>
    </w:p>
    <w:p w14:paraId="31865C8A" w14:textId="2D7A3E23" w:rsidR="00655C69" w:rsidRDefault="00655C69" w:rsidP="00655C69">
      <w:r>
        <w:t>In April 2001, the Senate Select Committee on Superannuation and Financial Services tabled its report into the enforcement of the Superannuation Guarantee Charge.</w:t>
      </w:r>
    </w:p>
    <w:p w14:paraId="0A98DACD" w14:textId="2D7A3E23" w:rsidR="00655C69" w:rsidRDefault="00655C69" w:rsidP="00655C69">
      <w:r>
        <w:t>The report recommended increasing the payment frequency of the SG from annually to quarterly. The committee reported that the annual frequency was contributing to employer non-compliance and the following risks:</w:t>
      </w:r>
    </w:p>
    <w:p w14:paraId="250E9496" w14:textId="23F593BA" w:rsidR="00655C69" w:rsidRDefault="00655C69" w:rsidP="00655C69">
      <w:pPr>
        <w:pStyle w:val="Bullet"/>
      </w:pPr>
      <w:r>
        <w:t>Loss of investment earnings for employees</w:t>
      </w:r>
    </w:p>
    <w:p w14:paraId="3B66F51E" w14:textId="1F311087" w:rsidR="00655C69" w:rsidRDefault="00655C69" w:rsidP="00655C69">
      <w:pPr>
        <w:pStyle w:val="Bullet"/>
      </w:pPr>
      <w:r>
        <w:t xml:space="preserve">Loss of entitlements due to employer insolvency </w:t>
      </w:r>
    </w:p>
    <w:p w14:paraId="77D64355" w14:textId="3853C93C" w:rsidR="00655C69" w:rsidRDefault="00655C69" w:rsidP="00655C69">
      <w:pPr>
        <w:pStyle w:val="Bullet"/>
      </w:pPr>
      <w:r>
        <w:t>Loss of disability or income protection insurance and</w:t>
      </w:r>
    </w:p>
    <w:p w14:paraId="71E1FFFF" w14:textId="2D7A3E23" w:rsidR="00655C69" w:rsidRDefault="00655C69" w:rsidP="00655C69">
      <w:pPr>
        <w:pStyle w:val="Bullet"/>
      </w:pPr>
      <w:r>
        <w:t>Disadvantages for complying employers, compared to non-compliant competitors.</w:t>
      </w:r>
    </w:p>
    <w:p w14:paraId="0626DE0A" w14:textId="015BD380" w:rsidR="00655C69" w:rsidRDefault="00655C69" w:rsidP="00655C69">
      <w:r>
        <w:t xml:space="preserve">Shortly after this report, the SG payment frequency was increased to quarterly by the Government. The changes came into effect from 1 July 2003. </w:t>
      </w:r>
    </w:p>
    <w:p w14:paraId="1C20D79D" w14:textId="2D7A3E23" w:rsidR="00655C69" w:rsidRDefault="00655C69" w:rsidP="00655C69">
      <w:pPr>
        <w:pStyle w:val="Heading3"/>
      </w:pPr>
      <w:bookmarkStart w:id="72" w:name="_Toc134198486"/>
      <w:r>
        <w:rPr>
          <w:i/>
          <w:iCs/>
        </w:rPr>
        <w:t>‘</w:t>
      </w:r>
      <w:r w:rsidRPr="00E86506">
        <w:rPr>
          <w:i/>
        </w:rPr>
        <w:t>Superannuation Guarantee Non-</w:t>
      </w:r>
      <w:r w:rsidRPr="00E86506">
        <w:rPr>
          <w:i/>
          <w:iCs/>
        </w:rPr>
        <w:t>compliance</w:t>
      </w:r>
      <w:r>
        <w:rPr>
          <w:i/>
          <w:iCs/>
        </w:rPr>
        <w:t>’</w:t>
      </w:r>
      <w:r>
        <w:t>, Superannuation Guarantee Cross Agency Working Group, 2017</w:t>
      </w:r>
      <w:bookmarkEnd w:id="72"/>
    </w:p>
    <w:p w14:paraId="32FC5B6E" w14:textId="7B555DF7" w:rsidR="00655C69" w:rsidRDefault="00655C69" w:rsidP="00655C69">
      <w:pPr>
        <w:pStyle w:val="BodyText"/>
      </w:pPr>
      <w:r>
        <w:t xml:space="preserve">The Superannuation Guarantee Cross Agency Working Group (the ‘Working Group’) was established in December 2016 to report to the then Government on the operation, administration and extent of non-compliance in the </w:t>
      </w:r>
      <w:r w:rsidR="00942C78">
        <w:t>SG</w:t>
      </w:r>
      <w:r>
        <w:t xml:space="preserve"> system in Australia.</w:t>
      </w:r>
    </w:p>
    <w:p w14:paraId="164C6A0C" w14:textId="57C9DD18" w:rsidR="00655C69" w:rsidRDefault="00655C69" w:rsidP="00655C69">
      <w:pPr>
        <w:pStyle w:val="BodyText"/>
      </w:pPr>
      <w:r w:rsidRPr="004D5F63">
        <w:t xml:space="preserve">The Working Group identified two key barriers to maintaining or improving </w:t>
      </w:r>
      <w:r w:rsidR="00942C78">
        <w:t>SG</w:t>
      </w:r>
      <w:r w:rsidRPr="004D5F63">
        <w:t xml:space="preserve"> compliance</w:t>
      </w:r>
      <w:r w:rsidR="00EB447F">
        <w:t>:</w:t>
      </w:r>
    </w:p>
    <w:p w14:paraId="0C8D1518" w14:textId="3AF12023" w:rsidR="00655C69" w:rsidRDefault="00655C69" w:rsidP="004C7D75">
      <w:pPr>
        <w:pStyle w:val="Bullet"/>
      </w:pPr>
      <w:r>
        <w:t>T</w:t>
      </w:r>
      <w:r w:rsidRPr="004D5F63">
        <w:t>he ATO d</w:t>
      </w:r>
      <w:r>
        <w:t>id</w:t>
      </w:r>
      <w:r w:rsidR="00EB447F">
        <w:t xml:space="preserve"> </w:t>
      </w:r>
      <w:r>
        <w:t>n</w:t>
      </w:r>
      <w:r w:rsidR="00EB447F">
        <w:t>o</w:t>
      </w:r>
      <w:r>
        <w:t xml:space="preserve">t </w:t>
      </w:r>
      <w:r w:rsidRPr="004D5F63">
        <w:t xml:space="preserve">have any visibility over an employer’s </w:t>
      </w:r>
      <w:r w:rsidR="00942C78">
        <w:t>SG</w:t>
      </w:r>
      <w:r w:rsidRPr="004D5F63">
        <w:t xml:space="preserve"> obligations to their employees</w:t>
      </w:r>
      <w:r w:rsidR="00EB447F">
        <w:t>.</w:t>
      </w:r>
    </w:p>
    <w:p w14:paraId="1B6EFF2E" w14:textId="48B01698" w:rsidR="00655C69" w:rsidRDefault="00655C69" w:rsidP="004C7D75">
      <w:pPr>
        <w:pStyle w:val="Bullet"/>
      </w:pPr>
      <w:r>
        <w:t>The</w:t>
      </w:r>
      <w:r w:rsidRPr="004D5F63">
        <w:t xml:space="preserve"> ATO only receive</w:t>
      </w:r>
      <w:r>
        <w:t>d</w:t>
      </w:r>
      <w:r w:rsidRPr="004D5F63">
        <w:t xml:space="preserve"> information on </w:t>
      </w:r>
      <w:r w:rsidR="00942C78">
        <w:t>SG</w:t>
      </w:r>
      <w:r w:rsidRPr="004D5F63">
        <w:t xml:space="preserve"> payments received by superannuation funds on an annual basis</w:t>
      </w:r>
      <w:r>
        <w:t>.</w:t>
      </w:r>
    </w:p>
    <w:p w14:paraId="0C4049CD" w14:textId="4BFD73D8" w:rsidR="00655C69" w:rsidRDefault="00655C69" w:rsidP="00655C69">
      <w:pPr>
        <w:pStyle w:val="BodyText"/>
      </w:pPr>
      <w:r>
        <w:t xml:space="preserve">The Working Group reported that a significant reduction in the amount of unpaid </w:t>
      </w:r>
      <w:r w:rsidR="00942C78">
        <w:t>SG</w:t>
      </w:r>
      <w:r>
        <w:t xml:space="preserve"> charge could be achieved by some improvements in the effectiveness of Commissioner and insolvency practitioner recovery powers, or by the introduction of measures that would reduce the capacity or further increase the personal disincentives for employers to incur </w:t>
      </w:r>
      <w:r w:rsidR="00942C78">
        <w:t>SG</w:t>
      </w:r>
      <w:r>
        <w:t xml:space="preserve"> charge liabilities.</w:t>
      </w:r>
    </w:p>
    <w:p w14:paraId="195BF8E5" w14:textId="2D7A3E23" w:rsidR="00655C69" w:rsidRDefault="00655C69" w:rsidP="00655C69">
      <w:pPr>
        <w:pStyle w:val="BodyText"/>
      </w:pPr>
      <w:r>
        <w:t xml:space="preserve">The Working Group suggested that </w:t>
      </w:r>
      <w:r w:rsidRPr="00FB0FE7">
        <w:t xml:space="preserve">improvements to data visibility </w:t>
      </w:r>
      <w:r>
        <w:t>should be</w:t>
      </w:r>
      <w:r w:rsidRPr="00FB0FE7">
        <w:t xml:space="preserve"> the main priority</w:t>
      </w:r>
      <w:r>
        <w:t>,</w:t>
      </w:r>
      <w:r w:rsidRPr="00FB0FE7">
        <w:t xml:space="preserve"> after which</w:t>
      </w:r>
      <w:r>
        <w:t xml:space="preserve"> increases to the</w:t>
      </w:r>
      <w:r w:rsidRPr="00FB0FE7">
        <w:t xml:space="preserve"> payment frequency </w:t>
      </w:r>
      <w:r>
        <w:t xml:space="preserve">of the SG </w:t>
      </w:r>
      <w:r w:rsidRPr="00FB0FE7">
        <w:t>could be reviewed</w:t>
      </w:r>
      <w:r>
        <w:t>.</w:t>
      </w:r>
    </w:p>
    <w:p w14:paraId="78681E3D" w14:textId="0C5CD648" w:rsidR="00655C69" w:rsidRPr="008D454B" w:rsidRDefault="00655C69" w:rsidP="00655C69">
      <w:pPr>
        <w:pStyle w:val="Heading3"/>
      </w:pPr>
      <w:bookmarkStart w:id="73" w:name="_Toc134198487"/>
      <w:r>
        <w:rPr>
          <w:i/>
        </w:rPr>
        <w:t>‘</w:t>
      </w:r>
      <w:r w:rsidRPr="000125A4">
        <w:rPr>
          <w:i/>
          <w:iCs/>
        </w:rPr>
        <w:t xml:space="preserve">Superbad – Wage theft and </w:t>
      </w:r>
      <w:r w:rsidRPr="7870013F">
        <w:rPr>
          <w:i/>
          <w:iCs/>
        </w:rPr>
        <w:t>non</w:t>
      </w:r>
      <w:r w:rsidR="007910B3">
        <w:rPr>
          <w:i/>
          <w:iCs/>
        </w:rPr>
        <w:t>-</w:t>
      </w:r>
      <w:r w:rsidRPr="7870013F">
        <w:rPr>
          <w:i/>
          <w:iCs/>
        </w:rPr>
        <w:t>compliance</w:t>
      </w:r>
      <w:r w:rsidRPr="000125A4">
        <w:rPr>
          <w:i/>
          <w:iCs/>
        </w:rPr>
        <w:t xml:space="preserve"> of the Superannuation Guarantee</w:t>
      </w:r>
      <w:r>
        <w:rPr>
          <w:i/>
        </w:rPr>
        <w:t>’</w:t>
      </w:r>
      <w:r>
        <w:t xml:space="preserve">, </w:t>
      </w:r>
      <w:r w:rsidRPr="008D454B">
        <w:t xml:space="preserve">Senate </w:t>
      </w:r>
      <w:r>
        <w:t xml:space="preserve">Economics References Committee, </w:t>
      </w:r>
      <w:r w:rsidRPr="008D454B">
        <w:t>2017</w:t>
      </w:r>
      <w:bookmarkEnd w:id="73"/>
    </w:p>
    <w:p w14:paraId="4D5CFB14" w14:textId="2D7A3E23" w:rsidR="00655C69" w:rsidRDefault="00655C69" w:rsidP="00655C69">
      <w:r w:rsidRPr="00BB1F73">
        <w:t>On 1 December 2016</w:t>
      </w:r>
      <w:r>
        <w:t xml:space="preserve"> the </w:t>
      </w:r>
      <w:r w:rsidRPr="00BB1F73">
        <w:t xml:space="preserve">Senate referred an inquiry </w:t>
      </w:r>
      <w:r>
        <w:t xml:space="preserve">to </w:t>
      </w:r>
      <w:r w:rsidRPr="00BB1F73">
        <w:t>the Superannuation Guarantee to the Senate Economics References Committee</w:t>
      </w:r>
      <w:r>
        <w:t xml:space="preserve"> (the Committee). The Committee released its </w:t>
      </w:r>
      <w:r w:rsidRPr="00411454">
        <w:t>report</w:t>
      </w:r>
      <w:r>
        <w:t>,</w:t>
      </w:r>
      <w:r w:rsidRPr="00411454">
        <w:t xml:space="preserve"> </w:t>
      </w:r>
      <w:r w:rsidRPr="00782918">
        <w:rPr>
          <w:i/>
          <w:iCs/>
        </w:rPr>
        <w:t xml:space="preserve">'Superbad – Wage theft and </w:t>
      </w:r>
      <w:r w:rsidRPr="7870013F">
        <w:rPr>
          <w:i/>
          <w:iCs/>
        </w:rPr>
        <w:t>noncompliance</w:t>
      </w:r>
      <w:r w:rsidRPr="00782918">
        <w:rPr>
          <w:i/>
          <w:iCs/>
        </w:rPr>
        <w:t xml:space="preserve"> of the Superannuation Guarantee' </w:t>
      </w:r>
      <w:r>
        <w:t xml:space="preserve">on 2 May 2017, including 32 recommendations intended to address the rate of SG non-compliance. </w:t>
      </w:r>
    </w:p>
    <w:p w14:paraId="0318FDEB" w14:textId="390A2E0B" w:rsidR="00655C69" w:rsidRDefault="00655C69" w:rsidP="00655C69">
      <w:r>
        <w:t xml:space="preserve">The </w:t>
      </w:r>
      <w:r w:rsidR="00643B76">
        <w:t>C</w:t>
      </w:r>
      <w:r>
        <w:t xml:space="preserve">ommittee linked unpaid superannuation to loss of retirement income, lowering standards of living and increasing reliance on the age pension. The </w:t>
      </w:r>
      <w:r w:rsidR="00643B76">
        <w:t>C</w:t>
      </w:r>
      <w:r>
        <w:t xml:space="preserve">ommittee concluded that the current approach of the ATO in identifying and addressing SG non-compliance was inadequate. Importantly, the </w:t>
      </w:r>
      <w:r w:rsidR="00643B76">
        <w:t>C</w:t>
      </w:r>
      <w:r>
        <w:t>ommittee made the following recommendations:</w:t>
      </w:r>
    </w:p>
    <w:p w14:paraId="70D1D711" w14:textId="56953276" w:rsidR="00655C69" w:rsidRDefault="00655C69" w:rsidP="007E7CDF">
      <w:pPr>
        <w:pStyle w:val="Bullet"/>
      </w:pPr>
      <w:r>
        <w:t xml:space="preserve">Recommendation 2: The </w:t>
      </w:r>
      <w:r w:rsidR="00152FE4">
        <w:t>C</w:t>
      </w:r>
      <w:r>
        <w:t xml:space="preserve">ommittee recommended that the ATO prioritise its work on calculating and publishing an accurate, reliable estimate of the SG gap. </w:t>
      </w:r>
    </w:p>
    <w:p w14:paraId="3D3497F2" w14:textId="700432D1" w:rsidR="00655C69" w:rsidRDefault="00655C69" w:rsidP="007E7CDF">
      <w:pPr>
        <w:pStyle w:val="Bullet"/>
      </w:pPr>
      <w:r>
        <w:t xml:space="preserve">Recommendation 5: The </w:t>
      </w:r>
      <w:r w:rsidR="00152FE4">
        <w:t>C</w:t>
      </w:r>
      <w:r>
        <w:t xml:space="preserve">ommittee recommended that the </w:t>
      </w:r>
      <w:r w:rsidR="00152FE4">
        <w:t>G</w:t>
      </w:r>
      <w:r>
        <w:t>overnment strongly consider introducing amendments to the SGA Act to require SG to be paid at least monthly, and preferably in alignment with regular pay cycles.</w:t>
      </w:r>
    </w:p>
    <w:p w14:paraId="25B5F78E" w14:textId="6C1E5FA7" w:rsidR="00655C69" w:rsidRDefault="00655C69" w:rsidP="00655C69">
      <w:pPr>
        <w:pStyle w:val="Bullet"/>
        <w:tabs>
          <w:tab w:val="clear" w:pos="520"/>
          <w:tab w:val="num" w:pos="1040"/>
        </w:tabs>
        <w:ind w:left="1040"/>
      </w:pPr>
      <w:r>
        <w:t xml:space="preserve">Relatedly, the </w:t>
      </w:r>
      <w:r w:rsidR="00152FE4">
        <w:t>C</w:t>
      </w:r>
      <w:r>
        <w:t>ommittee found that the current technological solutions available to businesses regarding payroll and other related activities mean that a more frequent schedule of SG payments would not place an undue administrative burden on businesses.</w:t>
      </w:r>
    </w:p>
    <w:p w14:paraId="50E6D7DB" w14:textId="4C851147" w:rsidR="00655C69" w:rsidRDefault="00655C69" w:rsidP="007E7CDF">
      <w:pPr>
        <w:pStyle w:val="Bullet"/>
      </w:pPr>
      <w:r>
        <w:t xml:space="preserve">Recommendation 7: The </w:t>
      </w:r>
      <w:r w:rsidR="00152FE4">
        <w:t>C</w:t>
      </w:r>
      <w:r>
        <w:t xml:space="preserve">ommittee recommended the </w:t>
      </w:r>
      <w:r w:rsidR="00152FE4">
        <w:t>G</w:t>
      </w:r>
      <w:r>
        <w:t>overnment review the definition of Ordinary Time Earnings for the purposes of SG obligation calculations and undertake an examination on the wider implications of any potential changes.</w:t>
      </w:r>
    </w:p>
    <w:p w14:paraId="42F3BB29" w14:textId="709BF683" w:rsidR="00655C69" w:rsidRDefault="00655C69" w:rsidP="007E7CDF">
      <w:pPr>
        <w:pStyle w:val="Bullet"/>
      </w:pPr>
      <w:r>
        <w:t xml:space="preserve">Recommendation 8: The </w:t>
      </w:r>
      <w:r w:rsidR="00152FE4">
        <w:t>C</w:t>
      </w:r>
      <w:r>
        <w:t xml:space="preserve">ommittee recommended the </w:t>
      </w:r>
      <w:r w:rsidR="00152FE4">
        <w:t>G</w:t>
      </w:r>
      <w:r>
        <w:t>overnment consider further initiatives that will assist small business employers in managing their cash flow responsibly in order to provide them the best possible chance of fulfilling their SG obligations.</w:t>
      </w:r>
    </w:p>
    <w:p w14:paraId="1B5FDC21" w14:textId="1943F804" w:rsidR="00655C69" w:rsidRDefault="00655C69" w:rsidP="007E7CDF">
      <w:pPr>
        <w:pStyle w:val="Bullet"/>
      </w:pPr>
      <w:r>
        <w:t xml:space="preserve">Recommendation 16: The </w:t>
      </w:r>
      <w:r w:rsidR="00000E03">
        <w:t xml:space="preserve">Committee </w:t>
      </w:r>
      <w:r>
        <w:t xml:space="preserve">recommended that the </w:t>
      </w:r>
      <w:r w:rsidR="005A1369">
        <w:t>G</w:t>
      </w:r>
      <w:r>
        <w:t>overnment review the SG</w:t>
      </w:r>
      <w:r w:rsidR="00C0159F">
        <w:t xml:space="preserve"> charge</w:t>
      </w:r>
      <w:r>
        <w:t xml:space="preserve"> regime and its management by the ATO to ascertain whether it is adequate, with a view to increasing penalties for deliberate and repeated acts of non-compliance by employers.</w:t>
      </w:r>
    </w:p>
    <w:p w14:paraId="478C955C" w14:textId="68AAFF14" w:rsidR="00655C69" w:rsidRDefault="00655C69" w:rsidP="00655C69">
      <w:r>
        <w:t xml:space="preserve">The </w:t>
      </w:r>
      <w:r w:rsidR="005A1369">
        <w:t>C</w:t>
      </w:r>
      <w:r>
        <w:t xml:space="preserve">ommittee concluded that these proposed recommendations would improve the retirement outcomes for Australians and ensure that SG-compliant employers are not disadvantaged by their non-compliant competitors. </w:t>
      </w:r>
    </w:p>
    <w:p w14:paraId="774ACD2D" w14:textId="2D7A3E23" w:rsidR="00655C69" w:rsidRDefault="00655C69" w:rsidP="00655C69">
      <w:pPr>
        <w:pStyle w:val="Heading3"/>
      </w:pPr>
      <w:bookmarkStart w:id="74" w:name="_Toc134198488"/>
      <w:r>
        <w:rPr>
          <w:i/>
          <w:iCs/>
        </w:rPr>
        <w:t>‘</w:t>
      </w:r>
      <w:r w:rsidRPr="006B4ED2">
        <w:rPr>
          <w:i/>
        </w:rPr>
        <w:t xml:space="preserve">Superannuation: Assessing Efficiency and </w:t>
      </w:r>
      <w:r w:rsidRPr="006B4ED2">
        <w:rPr>
          <w:i/>
          <w:iCs/>
        </w:rPr>
        <w:t>Competitiveness</w:t>
      </w:r>
      <w:r>
        <w:rPr>
          <w:i/>
          <w:iCs/>
        </w:rPr>
        <w:t>’</w:t>
      </w:r>
      <w:r>
        <w:t>, Productivity Commission, 2018</w:t>
      </w:r>
      <w:bookmarkEnd w:id="74"/>
    </w:p>
    <w:p w14:paraId="0BAE20A0" w14:textId="5552048D" w:rsidR="00655C69" w:rsidRDefault="00655C69" w:rsidP="00655C69">
      <w:pPr>
        <w:pStyle w:val="BodyText"/>
      </w:pPr>
      <w:r>
        <w:t xml:space="preserve">The Productivity Commission released the report </w:t>
      </w:r>
      <w:r w:rsidRPr="003310BA">
        <w:t>Superannuation: Assessing Efficiency and Competitiveness</w:t>
      </w:r>
      <w:r>
        <w:t xml:space="preserve"> in </w:t>
      </w:r>
      <w:r w:rsidRPr="003310BA">
        <w:t>December 2018</w:t>
      </w:r>
      <w:r>
        <w:t xml:space="preserve">. </w:t>
      </w:r>
      <w:r w:rsidR="006E7031">
        <w:t>R</w:t>
      </w:r>
      <w:r w:rsidR="005040C1">
        <w:t xml:space="preserve">elevant </w:t>
      </w:r>
      <w:r>
        <w:t>findings from the report were:</w:t>
      </w:r>
    </w:p>
    <w:p w14:paraId="3226558B" w14:textId="2D7A3E23" w:rsidR="00655C69" w:rsidRDefault="00655C69" w:rsidP="00655C69">
      <w:pPr>
        <w:ind w:left="520"/>
      </w:pPr>
      <w:r>
        <w:t>Finding 6.1: Several proposed policy changes will promote Superannuation Guarantee payment compliance.</w:t>
      </w:r>
    </w:p>
    <w:p w14:paraId="03AC90EA" w14:textId="2D7A3E23" w:rsidR="00655C69" w:rsidRDefault="00655C69" w:rsidP="00655C69">
      <w:pPr>
        <w:pStyle w:val="Bullet"/>
        <w:tabs>
          <w:tab w:val="clear" w:pos="520"/>
          <w:tab w:val="num" w:pos="1040"/>
        </w:tabs>
        <w:ind w:left="1040"/>
      </w:pPr>
      <w:r>
        <w:t>Single Touch Payroll being extended to small employers (with less than 20 employees) from 1 July 2019.</w:t>
      </w:r>
    </w:p>
    <w:p w14:paraId="0E400534" w14:textId="2D7A3E23" w:rsidR="00655C69" w:rsidRDefault="00655C69" w:rsidP="00655C69">
      <w:pPr>
        <w:pStyle w:val="Bullet"/>
        <w:tabs>
          <w:tab w:val="clear" w:pos="520"/>
          <w:tab w:val="num" w:pos="1040"/>
        </w:tabs>
        <w:ind w:left="1040"/>
      </w:pPr>
      <w:r>
        <w:t>Funds being required to report contributions to the ATO at least monthly.</w:t>
      </w:r>
    </w:p>
    <w:p w14:paraId="4914451A" w14:textId="26EF8C59" w:rsidR="00655C69" w:rsidRDefault="00655C69" w:rsidP="00655C69">
      <w:pPr>
        <w:pStyle w:val="Bullet"/>
        <w:tabs>
          <w:tab w:val="clear" w:pos="520"/>
          <w:tab w:val="num" w:pos="1040"/>
        </w:tabs>
        <w:ind w:left="1040"/>
      </w:pPr>
      <w:r>
        <w:t xml:space="preserve">The ATO having stronger powers to penalise non-compliant employers and recover unpaid </w:t>
      </w:r>
      <w:r w:rsidR="004D67B6">
        <w:t xml:space="preserve">superannuation </w:t>
      </w:r>
      <w:r>
        <w:t>contributions</w:t>
      </w:r>
      <w:r w:rsidR="004D67B6">
        <w:t>.</w:t>
      </w:r>
    </w:p>
    <w:p w14:paraId="29ABCC8A" w14:textId="70DAC5E9" w:rsidR="00655C69" w:rsidRDefault="00655C69" w:rsidP="00655C69">
      <w:pPr>
        <w:pStyle w:val="Bullet"/>
        <w:numPr>
          <w:ilvl w:val="0"/>
          <w:numId w:val="0"/>
        </w:numPr>
      </w:pPr>
      <w:r>
        <w:t>The report found that recent policy initiatives had improved the situation, but current policy settings were inevitably making slow progress by treating the symptoms and not the structural cause.</w:t>
      </w:r>
      <w:r w:rsidRPr="00912AAA">
        <w:t xml:space="preserve"> </w:t>
      </w:r>
      <w:r>
        <w:t>The report stated that “The new regime for employers and funds to report to the ATO (with some important as-yet unlegislated elements) is needed to make monitoring and enforcement simpler and effective.”</w:t>
      </w:r>
      <w:r w:rsidRPr="00D36F80">
        <w:rPr>
          <w:rStyle w:val="FootnoteReference"/>
        </w:rPr>
        <w:t xml:space="preserve"> </w:t>
      </w:r>
      <w:r>
        <w:rPr>
          <w:rStyle w:val="FootnoteReference"/>
        </w:rPr>
        <w:footnoteReference w:id="68"/>
      </w:r>
    </w:p>
    <w:p w14:paraId="3ED298A8" w14:textId="77777777" w:rsidR="00655C69" w:rsidRDefault="00655C69" w:rsidP="00655C69">
      <w:r>
        <w:t>The report argued that the proposed SG compliance measures will make it “much easier for the ATO to detect unpaid contributions” and that “it would be worth considering any necessary policy improvements to address the issue of unpaid contributions once the proposed policy initiatives are in place.”</w:t>
      </w:r>
      <w:r>
        <w:rPr>
          <w:rStyle w:val="FootnoteReference"/>
        </w:rPr>
        <w:footnoteReference w:id="69"/>
      </w:r>
    </w:p>
    <w:p w14:paraId="30374CA9" w14:textId="2D7A3E23" w:rsidR="00655C69" w:rsidRDefault="00655C69" w:rsidP="00655C69">
      <w:pPr>
        <w:ind w:left="520"/>
      </w:pPr>
      <w:r>
        <w:t>Finding 6.2: The superannuation system, primarily due to its policy settings, does not minimise the unnecessary and undesirable erosion of member balances.</w:t>
      </w:r>
    </w:p>
    <w:p w14:paraId="5484AAE3" w14:textId="0275E0CF" w:rsidR="00655C69" w:rsidRPr="003310BA" w:rsidRDefault="00655C69" w:rsidP="00655C69">
      <w:r>
        <w:t>The report found that delayed and unpaid SG was a significant source of erosion on individuals</w:t>
      </w:r>
      <w:r w:rsidR="008C0FDC">
        <w:t>’</w:t>
      </w:r>
      <w:r>
        <w:t xml:space="preserve"> superannuation savings. The report noted that</w:t>
      </w:r>
      <w:r w:rsidRPr="007B0CED">
        <w:t xml:space="preserve"> </w:t>
      </w:r>
      <w:r>
        <w:t>“g</w:t>
      </w:r>
      <w:r w:rsidRPr="007B0CED">
        <w:t>iven this leakage effectively occurs before a fund has a member’s contributions, there is little funds can do to rectify it.</w:t>
      </w:r>
      <w:r>
        <w:t>” As a result, the Productivity Commission argued that t</w:t>
      </w:r>
      <w:r w:rsidRPr="007B0CED">
        <w:t>h</w:t>
      </w:r>
      <w:r>
        <w:t>e</w:t>
      </w:r>
      <w:r w:rsidRPr="007B0CED">
        <w:t xml:space="preserve"> issue </w:t>
      </w:r>
      <w:r>
        <w:t xml:space="preserve">of unpaid SG was deemed to be </w:t>
      </w:r>
      <w:r w:rsidRPr="007B0CED">
        <w:t>primarily about policy and the compliance framework</w:t>
      </w:r>
      <w:r>
        <w:t>.</w:t>
      </w:r>
      <w:r w:rsidRPr="00D36F80">
        <w:rPr>
          <w:rStyle w:val="FootnoteReference"/>
        </w:rPr>
        <w:t xml:space="preserve"> </w:t>
      </w:r>
      <w:r>
        <w:rPr>
          <w:rStyle w:val="FootnoteReference"/>
        </w:rPr>
        <w:footnoteReference w:id="70"/>
      </w:r>
    </w:p>
    <w:p w14:paraId="009CA8DA" w14:textId="2D7A3E23" w:rsidR="00655C69" w:rsidRDefault="00655C69" w:rsidP="00655C69">
      <w:pPr>
        <w:pStyle w:val="Heading3"/>
      </w:pPr>
      <w:bookmarkStart w:id="75" w:name="_Toc134198489"/>
      <w:r w:rsidRPr="006B4ED2">
        <w:rPr>
          <w:i/>
          <w:iCs/>
        </w:rPr>
        <w:t>‘</w:t>
      </w:r>
      <w:r w:rsidRPr="006B4ED2">
        <w:rPr>
          <w:i/>
        </w:rPr>
        <w:t xml:space="preserve">Retirement Income </w:t>
      </w:r>
      <w:r w:rsidRPr="006B4ED2">
        <w:rPr>
          <w:i/>
          <w:iCs/>
        </w:rPr>
        <w:t>Review’</w:t>
      </w:r>
      <w:r>
        <w:t>, 2020</w:t>
      </w:r>
      <w:bookmarkEnd w:id="75"/>
    </w:p>
    <w:p w14:paraId="15065344" w14:textId="2D7A3E23" w:rsidR="00655C69" w:rsidRDefault="00655C69" w:rsidP="00655C69">
      <w:r>
        <w:t>The Retirement Income Review (the Review) was a report commissioned by the then Government for an independent panel to review the retirement income system. The review was published in 2020.</w:t>
      </w:r>
    </w:p>
    <w:p w14:paraId="2EB527A7" w14:textId="2D7A3E23" w:rsidR="00655C69" w:rsidRDefault="00655C69" w:rsidP="00655C69">
      <w:r w:rsidRPr="00AD6B7B">
        <w:t>The Review reported that unpaid SG was typically experienced by lower-income employees, particularly in the accommodation and food services, and construction industries; and employers with an annual turnover of less than $2 million. The impact of unpaid SG was generally worse for younger employees as they</w:t>
      </w:r>
      <w:r w:rsidRPr="00514F7A">
        <w:t xml:space="preserve"> miss</w:t>
      </w:r>
      <w:r>
        <w:t>ed</w:t>
      </w:r>
      <w:r w:rsidRPr="00514F7A">
        <w:t xml:space="preserve"> out on the benefits of compounding</w:t>
      </w:r>
      <w:r>
        <w:t xml:space="preserve"> interest</w:t>
      </w:r>
      <w:r w:rsidRPr="00514F7A">
        <w:t xml:space="preserve">. </w:t>
      </w:r>
    </w:p>
    <w:p w14:paraId="76BF0FBD" w14:textId="030896DC" w:rsidR="00655C69" w:rsidRDefault="00655C69" w:rsidP="00655C69">
      <w:r w:rsidRPr="000A4B27">
        <w:t>The Review found that facilitating</w:t>
      </w:r>
      <w:r>
        <w:t xml:space="preserve"> employees and the ATO to identify underpayment more quickly would help people get the SG to which they are entitled. The Review also found that </w:t>
      </w:r>
      <w:r w:rsidRPr="00D767DE">
        <w:t xml:space="preserve">paying </w:t>
      </w:r>
      <w:r w:rsidR="007729B8" w:rsidRPr="00D767DE">
        <w:t>the</w:t>
      </w:r>
      <w:r w:rsidRPr="00D767DE">
        <w:t xml:space="preserve"> SG at the same time as wages would make</w:t>
      </w:r>
      <w:r>
        <w:t xml:space="preserve"> it easier for employees to monitor SG compliance, however also identified that it may create cash flow issues for employers. </w:t>
      </w:r>
    </w:p>
    <w:p w14:paraId="1ACBB498" w14:textId="2D7A3E23" w:rsidR="00655C69" w:rsidRDefault="00655C69" w:rsidP="00655C69">
      <w:r w:rsidRPr="007556AE">
        <w:t xml:space="preserve">The Review also looked at the impact of expanding the earnings base that attracts the SG. </w:t>
      </w:r>
      <w:r>
        <w:t>The Review found that “such a change would equalise the SG received per dollar of earnings between employees, regardless of their working arrangements. This would boost the superannuation balances and retirement incomes of about 20 per cent of employees, particularly those in mining, manufacturing and construction jobs, who typically receive a greater proportion of their earnings as overtime.” “For employees in these industries, the forgone SG on overtime significantly reduces both their potential superannuation balances at retirement and their retirement incomes.” However, the Review also asserted that this may have significant labour market impacts in sectors where overtime represents a large share of remuneration.</w:t>
      </w:r>
    </w:p>
    <w:p w14:paraId="5793EAAC" w14:textId="46676852" w:rsidR="00011DDB" w:rsidRPr="008D454B" w:rsidRDefault="00011DDB" w:rsidP="00011DDB">
      <w:pPr>
        <w:pStyle w:val="Heading3"/>
      </w:pPr>
      <w:bookmarkStart w:id="76" w:name="_Toc134198490"/>
      <w:r>
        <w:t>‘</w:t>
      </w:r>
      <w:r w:rsidRPr="00D7331F">
        <w:rPr>
          <w:i/>
        </w:rPr>
        <w:t xml:space="preserve">Systemic, sustained and shameful: </w:t>
      </w:r>
      <w:r>
        <w:rPr>
          <w:i/>
        </w:rPr>
        <w:t>U</w:t>
      </w:r>
      <w:r w:rsidRPr="00D7331F">
        <w:rPr>
          <w:i/>
        </w:rPr>
        <w:t>nlawful underpayment of employees’ remuneration</w:t>
      </w:r>
      <w:r>
        <w:rPr>
          <w:i/>
        </w:rPr>
        <w:t>’,</w:t>
      </w:r>
      <w:r w:rsidRPr="00D7331F">
        <w:rPr>
          <w:i/>
        </w:rPr>
        <w:t xml:space="preserve"> </w:t>
      </w:r>
      <w:r w:rsidRPr="008D454B">
        <w:t xml:space="preserve">Senate </w:t>
      </w:r>
      <w:r>
        <w:t xml:space="preserve">Economics References Committee, </w:t>
      </w:r>
      <w:r w:rsidRPr="008D454B">
        <w:t>2022</w:t>
      </w:r>
      <w:bookmarkEnd w:id="76"/>
    </w:p>
    <w:p w14:paraId="609EA8C4" w14:textId="77777777" w:rsidR="00011DDB" w:rsidRPr="00244767" w:rsidRDefault="00011DDB" w:rsidP="00011DDB">
      <w:pPr>
        <w:pStyle w:val="Bullet"/>
        <w:numPr>
          <w:ilvl w:val="0"/>
          <w:numId w:val="0"/>
        </w:numPr>
        <w:rPr>
          <w:lang w:eastAsia="en-AU"/>
        </w:rPr>
      </w:pPr>
      <w:r w:rsidRPr="006753F3">
        <w:t>On 13 November 2019,</w:t>
      </w:r>
      <w:r w:rsidRPr="00244767">
        <w:rPr>
          <w:lang w:eastAsia="en-AU"/>
        </w:rPr>
        <w:t xml:space="preserve"> the </w:t>
      </w:r>
      <w:r w:rsidRPr="006753F3">
        <w:t>Senate</w:t>
      </w:r>
      <w:r w:rsidRPr="00244767">
        <w:rPr>
          <w:lang w:eastAsia="en-AU"/>
        </w:rPr>
        <w:t xml:space="preserve"> referred </w:t>
      </w:r>
      <w:r w:rsidRPr="006753F3">
        <w:t>an</w:t>
      </w:r>
      <w:r w:rsidRPr="00244767">
        <w:rPr>
          <w:lang w:eastAsia="en-AU"/>
        </w:rPr>
        <w:t xml:space="preserve"> inquiry </w:t>
      </w:r>
      <w:r w:rsidRPr="006753F3">
        <w:t>into the</w:t>
      </w:r>
      <w:r w:rsidRPr="00244767">
        <w:rPr>
          <w:lang w:eastAsia="en-AU"/>
        </w:rPr>
        <w:t xml:space="preserve"> causes, extent and effects of unlawful non-payment or underpayment of employees’ remuneration by employers and measures that can be taken to address the issue</w:t>
      </w:r>
      <w:r w:rsidRPr="006753F3">
        <w:t>.</w:t>
      </w:r>
      <w:r w:rsidRPr="00244767">
        <w:t> </w:t>
      </w:r>
    </w:p>
    <w:p w14:paraId="41BD50B4" w14:textId="3CA3EAFD" w:rsidR="00011DDB" w:rsidRDefault="00011DDB" w:rsidP="00011DDB">
      <w:pPr>
        <w:pStyle w:val="Bullet"/>
        <w:numPr>
          <w:ilvl w:val="0"/>
          <w:numId w:val="0"/>
        </w:numPr>
      </w:pPr>
      <w:r w:rsidRPr="00766E98">
        <w:t>The</w:t>
      </w:r>
      <w:r>
        <w:t xml:space="preserve"> </w:t>
      </w:r>
      <w:r w:rsidRPr="00766E98">
        <w:t xml:space="preserve">committee tabled its report </w:t>
      </w:r>
      <w:r w:rsidR="004E5587">
        <w:t>‘</w:t>
      </w:r>
      <w:r w:rsidRPr="00BF7CD0">
        <w:t>Systemic, sustained and shameful: Unlawful underpayment of employees’ remuneration</w:t>
      </w:r>
      <w:r w:rsidRPr="00766E98">
        <w:t xml:space="preserve"> on 30 March 2022</w:t>
      </w:r>
      <w:r>
        <w:t xml:space="preserve">. The report </w:t>
      </w:r>
      <w:r w:rsidRPr="00766E98">
        <w:t>found that in many industries underpayment is ‘deliberate and systematic, and often normalised’</w:t>
      </w:r>
      <w:r>
        <w:t xml:space="preserve"> and</w:t>
      </w:r>
      <w:r w:rsidRPr="00766E98">
        <w:t xml:space="preserve"> made 19 recommendations to address these issues</w:t>
      </w:r>
      <w:r>
        <w:t>.</w:t>
      </w:r>
      <w:r w:rsidRPr="00850E39">
        <w:t xml:space="preserve"> </w:t>
      </w:r>
      <w:r>
        <w:t>Importantly, the committee made the following recommendations:</w:t>
      </w:r>
    </w:p>
    <w:p w14:paraId="16CDD9A4" w14:textId="77777777" w:rsidR="00011DDB" w:rsidRPr="00F17787" w:rsidRDefault="00011DDB" w:rsidP="00011DDB">
      <w:pPr>
        <w:pStyle w:val="Bullet"/>
        <w:rPr>
          <w:color w:val="A91117" w:themeColor="accent6"/>
        </w:rPr>
      </w:pPr>
      <w:r w:rsidRPr="00850E39">
        <w:t>Recommendation 9:</w:t>
      </w:r>
      <w:r>
        <w:rPr>
          <w:color w:val="A91117" w:themeColor="accent6"/>
        </w:rPr>
        <w:t xml:space="preserve"> </w:t>
      </w:r>
      <w:r>
        <w:t xml:space="preserve">The committee recommends that the Australian Government consider bringing forward amendments to the Superannuation Guarantee (Administration) Act 1992 to: </w:t>
      </w:r>
    </w:p>
    <w:p w14:paraId="722330A8" w14:textId="0842657D" w:rsidR="00011DDB" w:rsidRPr="00F17787" w:rsidRDefault="00011DDB" w:rsidP="00011DDB">
      <w:pPr>
        <w:pStyle w:val="Dash"/>
        <w:rPr>
          <w:color w:val="A91117" w:themeColor="accent6"/>
        </w:rPr>
      </w:pPr>
      <w:r>
        <w:t xml:space="preserve">require </w:t>
      </w:r>
      <w:r w:rsidR="00B742AB">
        <w:t>SG</w:t>
      </w:r>
      <w:r>
        <w:t xml:space="preserve"> payments to be aligned with the payment of wages</w:t>
      </w:r>
      <w:r w:rsidR="00641EB0">
        <w:t>,</w:t>
      </w:r>
      <w:r>
        <w:t xml:space="preserve"> </w:t>
      </w:r>
    </w:p>
    <w:p w14:paraId="4B0E9331" w14:textId="7F689C0F" w:rsidR="00011DDB" w:rsidRPr="00F17787" w:rsidRDefault="00011DDB" w:rsidP="00011DDB">
      <w:pPr>
        <w:pStyle w:val="Dash"/>
        <w:rPr>
          <w:color w:val="A91117" w:themeColor="accent6"/>
        </w:rPr>
      </w:pPr>
      <w:r>
        <w:t xml:space="preserve">require </w:t>
      </w:r>
      <w:r w:rsidR="00B742AB">
        <w:t>SG</w:t>
      </w:r>
      <w:r>
        <w:t xml:space="preserve"> payments to be made on every dollar earned to achieve simplicity and ease of compliance</w:t>
      </w:r>
      <w:r w:rsidR="00641EB0">
        <w:t>,</w:t>
      </w:r>
      <w:r>
        <w:t xml:space="preserve"> and </w:t>
      </w:r>
    </w:p>
    <w:p w14:paraId="0931A9E1" w14:textId="3ECDF3D2" w:rsidR="00011DDB" w:rsidRPr="008541D2" w:rsidRDefault="00011DDB" w:rsidP="00011DDB">
      <w:pPr>
        <w:pStyle w:val="Dash"/>
        <w:rPr>
          <w:color w:val="A91117" w:themeColor="accent6"/>
        </w:rPr>
      </w:pPr>
      <w:r>
        <w:t xml:space="preserve">consider an incremental implementation strategy, similar to that used for the rollout of </w:t>
      </w:r>
      <w:r w:rsidR="00B742AB">
        <w:t>STP</w:t>
      </w:r>
      <w:r>
        <w:t xml:space="preserve">, to ensure small businesses are adequately prepared for changes to the timing of </w:t>
      </w:r>
      <w:r w:rsidR="00D35F07">
        <w:t>SG</w:t>
      </w:r>
      <w:r>
        <w:t xml:space="preserve"> payments.</w:t>
      </w:r>
    </w:p>
    <w:p w14:paraId="514EBF81" w14:textId="7E0F8E7C" w:rsidR="00011DDB" w:rsidRDefault="00011DDB" w:rsidP="00011DDB">
      <w:pPr>
        <w:pStyle w:val="Bullet"/>
      </w:pPr>
      <w:r>
        <w:t xml:space="preserve">Recommendation 13: The committee recommends that the Australian Government review all current compliance and recovery activities related to unpaid </w:t>
      </w:r>
      <w:r w:rsidR="00015E2F">
        <w:t>SG</w:t>
      </w:r>
      <w:r>
        <w:t xml:space="preserve"> contributions, including:</w:t>
      </w:r>
    </w:p>
    <w:p w14:paraId="55159C7E" w14:textId="601DDD7D" w:rsidR="00011DDB" w:rsidRDefault="00011DDB" w:rsidP="00011DDB">
      <w:pPr>
        <w:pStyle w:val="Bullet"/>
        <w:numPr>
          <w:ilvl w:val="0"/>
          <w:numId w:val="13"/>
        </w:numPr>
      </w:pPr>
      <w:r>
        <w:t xml:space="preserve">determining which cases should remain with the </w:t>
      </w:r>
      <w:r w:rsidR="00015E2F">
        <w:t>ATO</w:t>
      </w:r>
      <w:r>
        <w:t>, and which ones could be transferred to, or shared with, the Fair Work Ombudsman or an alternative body</w:t>
      </w:r>
      <w:r w:rsidR="00641EB0">
        <w:t>,</w:t>
      </w:r>
    </w:p>
    <w:p w14:paraId="39216571" w14:textId="548D5005" w:rsidR="00011DDB" w:rsidRDefault="00011DDB" w:rsidP="00011DDB">
      <w:pPr>
        <w:pStyle w:val="Bullet"/>
        <w:numPr>
          <w:ilvl w:val="0"/>
          <w:numId w:val="13"/>
        </w:numPr>
      </w:pPr>
      <w:r>
        <w:t xml:space="preserve">directing the Fair Work Ombudsman to begin receiving and acting on </w:t>
      </w:r>
      <w:r w:rsidR="00015E2F">
        <w:t>SG</w:t>
      </w:r>
      <w:r>
        <w:t xml:space="preserve"> non-payment complaints where appropriate, rather than simply referring the affected employees to the </w:t>
      </w:r>
      <w:r w:rsidR="00015E2F">
        <w:t>ATO</w:t>
      </w:r>
      <w:r w:rsidR="00641EB0">
        <w:t>,</w:t>
      </w:r>
      <w:r>
        <w:t xml:space="preserve"> </w:t>
      </w:r>
    </w:p>
    <w:p w14:paraId="513D6775" w14:textId="6B2E17DE" w:rsidR="00011DDB" w:rsidRDefault="00011DDB" w:rsidP="00011DDB">
      <w:pPr>
        <w:pStyle w:val="Bullet"/>
        <w:numPr>
          <w:ilvl w:val="0"/>
          <w:numId w:val="13"/>
        </w:numPr>
      </w:pPr>
      <w:r>
        <w:t xml:space="preserve">reviewing the </w:t>
      </w:r>
      <w:r w:rsidR="00015E2F">
        <w:t>SG</w:t>
      </w:r>
      <w:r>
        <w:t xml:space="preserve"> contribution regime and its management by the </w:t>
      </w:r>
      <w:r w:rsidR="00015E2F">
        <w:t>ATO</w:t>
      </w:r>
      <w:r>
        <w:t xml:space="preserve"> to ascertain whether it is adequately deterring underpayments and recovering unpaid </w:t>
      </w:r>
      <w:r w:rsidR="00015E2F">
        <w:t>SG</w:t>
      </w:r>
      <w:r>
        <w:t xml:space="preserve"> entitlements</w:t>
      </w:r>
      <w:r w:rsidR="00641EB0">
        <w:t>,</w:t>
      </w:r>
      <w:r>
        <w:t xml:space="preserve"> and</w:t>
      </w:r>
    </w:p>
    <w:p w14:paraId="3BB6D151" w14:textId="526C1FA6" w:rsidR="00011DDB" w:rsidRPr="008541D2" w:rsidRDefault="00011DDB" w:rsidP="00011DDB">
      <w:pPr>
        <w:pStyle w:val="Bullet"/>
        <w:numPr>
          <w:ilvl w:val="0"/>
          <w:numId w:val="13"/>
        </w:numPr>
      </w:pPr>
      <w:r>
        <w:t xml:space="preserve">improving proactive </w:t>
      </w:r>
      <w:r w:rsidR="00015E2F">
        <w:t>SG</w:t>
      </w:r>
      <w:r>
        <w:t xml:space="preserve"> initiatives including strengthening and increasing penalties for deliberate and repeated acts of non-compliance, the inclusion of random audits, and the publication of enforcement activities in relation to </w:t>
      </w:r>
      <w:r w:rsidR="00015E2F">
        <w:t>SG</w:t>
      </w:r>
      <w:r>
        <w:t xml:space="preserve"> payments.</w:t>
      </w:r>
    </w:p>
    <w:p w14:paraId="6F88D3C9" w14:textId="3FF336C1" w:rsidR="00011DDB" w:rsidRDefault="00011DDB" w:rsidP="00011DDB">
      <w:pPr>
        <w:pStyle w:val="Bullet"/>
        <w:numPr>
          <w:ilvl w:val="0"/>
          <w:numId w:val="0"/>
        </w:numPr>
        <w:ind w:left="520" w:hanging="520"/>
      </w:pPr>
      <w:r>
        <w:t>There has been no official Government response to the report</w:t>
      </w:r>
      <w:r w:rsidR="00EB0A4D">
        <w:t xml:space="preserve"> as yet</w:t>
      </w:r>
      <w:r>
        <w:t>.</w:t>
      </w:r>
    </w:p>
    <w:p w14:paraId="13DBEEE2" w14:textId="2D7A3E23" w:rsidR="00655C69" w:rsidRPr="0029461E" w:rsidRDefault="00655C69" w:rsidP="00655C69">
      <w:pPr>
        <w:pStyle w:val="Heading3"/>
      </w:pPr>
      <w:bookmarkStart w:id="77" w:name="_Toc134198491"/>
      <w:r>
        <w:rPr>
          <w:i/>
          <w:iCs/>
        </w:rPr>
        <w:t>‘</w:t>
      </w:r>
      <w:r w:rsidRPr="00AA7382">
        <w:rPr>
          <w:i/>
          <w:iCs/>
        </w:rPr>
        <w:t>Addressing Superannuation Guarantee Non-Compliance</w:t>
      </w:r>
      <w:r>
        <w:rPr>
          <w:i/>
          <w:iCs/>
        </w:rPr>
        <w:t>’</w:t>
      </w:r>
      <w:r>
        <w:t xml:space="preserve">, </w:t>
      </w:r>
      <w:r w:rsidRPr="00151BAD">
        <w:t>Australian National Audit Offic</w:t>
      </w:r>
      <w:r>
        <w:t>e (ANAO), 2022</w:t>
      </w:r>
      <w:bookmarkEnd w:id="77"/>
    </w:p>
    <w:p w14:paraId="77680866" w14:textId="4DF0ABFD" w:rsidR="00655C69" w:rsidRDefault="00655C69" w:rsidP="00655C69">
      <w:pPr>
        <w:pStyle w:val="Bullet"/>
        <w:numPr>
          <w:ilvl w:val="0"/>
          <w:numId w:val="0"/>
        </w:numPr>
      </w:pPr>
      <w:r>
        <w:t xml:space="preserve">After employer non-compliance with SG obligations was identified as a parliamentary priority in 2019-20, the ANAO conducted an audit and release a report titled </w:t>
      </w:r>
      <w:r w:rsidRPr="005705A9">
        <w:rPr>
          <w:i/>
          <w:iCs/>
        </w:rPr>
        <w:t>‘Addressing Superannuation Guarantee Non-Compliance’</w:t>
      </w:r>
      <w:r>
        <w:rPr>
          <w:i/>
        </w:rPr>
        <w:t xml:space="preserve"> </w:t>
      </w:r>
      <w:r>
        <w:t xml:space="preserve">in April 2022. </w:t>
      </w:r>
    </w:p>
    <w:p w14:paraId="6D172903" w14:textId="2D7A3E23" w:rsidR="00655C69" w:rsidRDefault="00655C69" w:rsidP="00655C69">
      <w:pPr>
        <w:pStyle w:val="Bullet"/>
        <w:numPr>
          <w:ilvl w:val="0"/>
          <w:numId w:val="0"/>
        </w:numPr>
      </w:pPr>
      <w:r>
        <w:t>The objective of the audit was to assess the effectiveness of the ATO’s activities in addressing SG non-compliance. The audit found that:</w:t>
      </w:r>
    </w:p>
    <w:p w14:paraId="2C8D50F3" w14:textId="2D7A3E23" w:rsidR="00655C69" w:rsidRPr="00CB503D" w:rsidRDefault="00655C69" w:rsidP="00655C69">
      <w:pPr>
        <w:pStyle w:val="Bullet"/>
        <w:numPr>
          <w:ilvl w:val="0"/>
          <w:numId w:val="8"/>
        </w:numPr>
      </w:pPr>
      <w:r>
        <w:t xml:space="preserve">The ATO’s activities in addressing SG non-compliance and their risk-based SG </w:t>
      </w:r>
      <w:r w:rsidRPr="002C45CA">
        <w:t>compliance framework</w:t>
      </w:r>
      <w:r>
        <w:t xml:space="preserve"> are partly effective.</w:t>
      </w:r>
    </w:p>
    <w:p w14:paraId="446753AB" w14:textId="2D7A3E23" w:rsidR="00655C69" w:rsidRDefault="00655C69" w:rsidP="00655C69">
      <w:pPr>
        <w:pStyle w:val="Bullet"/>
        <w:numPr>
          <w:ilvl w:val="0"/>
          <w:numId w:val="8"/>
        </w:numPr>
      </w:pPr>
      <w:r>
        <w:t>The risk rating for unpaid SG is lower than the ATO’s own framework would indicate if consideration of risk to revenue were applied.</w:t>
      </w:r>
    </w:p>
    <w:p w14:paraId="4B019559" w14:textId="2D7A3E23" w:rsidR="00655C69" w:rsidRDefault="00655C69" w:rsidP="00655C69">
      <w:pPr>
        <w:pStyle w:val="Bullet"/>
        <w:numPr>
          <w:ilvl w:val="0"/>
          <w:numId w:val="8"/>
        </w:numPr>
      </w:pPr>
      <w:r>
        <w:t>The ATO’s activities are partly effective in achieving greater employer SG compliance and these activities have only had a small influence on reducing the SG gap over time.</w:t>
      </w:r>
    </w:p>
    <w:p w14:paraId="16CB4316" w14:textId="2D7A3E23" w:rsidR="00655C69" w:rsidRDefault="00655C69" w:rsidP="00655C69">
      <w:pPr>
        <w:pStyle w:val="Bullet"/>
        <w:numPr>
          <w:ilvl w:val="0"/>
          <w:numId w:val="8"/>
        </w:numPr>
      </w:pPr>
      <w:r>
        <w:t>Compliance activities were found to be mainly corrective and reactive. Current risk-based compliance activities are limited to assessing known compliance cases and a sample of ATO held data. These activities require manually intensive use of Microsoft Excel by a few experienced staff.</w:t>
      </w:r>
    </w:p>
    <w:p w14:paraId="0ED96EF9" w14:textId="46858251" w:rsidR="00655C69" w:rsidRDefault="00655C69" w:rsidP="00655C69">
      <w:pPr>
        <w:pStyle w:val="Bullet"/>
        <w:numPr>
          <w:ilvl w:val="0"/>
          <w:numId w:val="0"/>
        </w:numPr>
      </w:pPr>
      <w:r w:rsidRPr="00E2591C">
        <w:t xml:space="preserve">The report had </w:t>
      </w:r>
      <w:r w:rsidR="005914DA">
        <w:t>3</w:t>
      </w:r>
      <w:r w:rsidR="005914DA" w:rsidRPr="00E2591C">
        <w:t xml:space="preserve"> </w:t>
      </w:r>
      <w:r w:rsidRPr="00E2591C">
        <w:t xml:space="preserve">recommendations </w:t>
      </w:r>
      <w:r w:rsidR="005914DA">
        <w:t xml:space="preserve">outlined in Table 22 </w:t>
      </w:r>
      <w:r>
        <w:t>to improve the ATO’s compliance framework and ensure that their compliance efforts are effective in achieving greater employer compliance with their SG obligations.</w:t>
      </w:r>
    </w:p>
    <w:p w14:paraId="757B4E34" w14:textId="5F8E5F4F" w:rsidR="00655C69" w:rsidRDefault="00806D38" w:rsidP="00831C62">
      <w:pPr>
        <w:pStyle w:val="Caption"/>
      </w:pPr>
      <w:r>
        <w:t xml:space="preserve">Table </w:t>
      </w:r>
      <w:r w:rsidRPr="008A5089">
        <w:t>2</w:t>
      </w:r>
      <w:r w:rsidR="00606372">
        <w:t>2</w:t>
      </w:r>
      <w:r>
        <w:t>. Recommendations from the ANAO report, 2022</w:t>
      </w:r>
    </w:p>
    <w:tbl>
      <w:tblPr>
        <w:tblStyle w:val="PMCDefaultTableStyle"/>
        <w:tblW w:w="10206" w:type="dxa"/>
        <w:tblLook w:val="0620" w:firstRow="1" w:lastRow="0" w:firstColumn="0" w:lastColumn="0" w:noHBand="1" w:noVBand="1"/>
      </w:tblPr>
      <w:tblGrid>
        <w:gridCol w:w="1276"/>
        <w:gridCol w:w="6237"/>
        <w:gridCol w:w="2693"/>
      </w:tblGrid>
      <w:tr w:rsidR="0017640B" w14:paraId="2A9C8229" w14:textId="77777777" w:rsidTr="00831C62">
        <w:trPr>
          <w:cnfStyle w:val="100000000000" w:firstRow="1" w:lastRow="0" w:firstColumn="0" w:lastColumn="0" w:oddVBand="0" w:evenVBand="0" w:oddHBand="0" w:evenHBand="0" w:firstRowFirstColumn="0" w:firstRowLastColumn="0" w:lastRowFirstColumn="0" w:lastRowLastColumn="0"/>
          <w:trHeight w:val="350"/>
        </w:trPr>
        <w:tc>
          <w:tcPr>
            <w:tcW w:w="1276" w:type="dxa"/>
          </w:tcPr>
          <w:p w14:paraId="7D43A747" w14:textId="0B1EE14D" w:rsidR="0017640B" w:rsidRDefault="0017640B" w:rsidP="0017640B">
            <w:pPr>
              <w:pStyle w:val="BodyText"/>
              <w:tabs>
                <w:tab w:val="center" w:pos="1166"/>
              </w:tabs>
            </w:pPr>
            <w:r w:rsidRPr="008A5089">
              <w:t>Rec #</w:t>
            </w:r>
          </w:p>
        </w:tc>
        <w:tc>
          <w:tcPr>
            <w:tcW w:w="6237" w:type="dxa"/>
          </w:tcPr>
          <w:p w14:paraId="27754EEC" w14:textId="75697C03" w:rsidR="0017640B" w:rsidRDefault="0017640B" w:rsidP="0017640B">
            <w:pPr>
              <w:pStyle w:val="BodyText"/>
            </w:pPr>
            <w:r w:rsidRPr="008A5089">
              <w:t>Recommendation</w:t>
            </w:r>
          </w:p>
        </w:tc>
        <w:tc>
          <w:tcPr>
            <w:tcW w:w="2693" w:type="dxa"/>
          </w:tcPr>
          <w:p w14:paraId="5A617E96" w14:textId="7FDBCF7A" w:rsidR="0017640B" w:rsidRDefault="0017640B" w:rsidP="0017640B">
            <w:pPr>
              <w:pStyle w:val="BodyText"/>
            </w:pPr>
            <w:r w:rsidRPr="008A5089">
              <w:t>Australian Taxation Office response</w:t>
            </w:r>
          </w:p>
        </w:tc>
      </w:tr>
      <w:tr w:rsidR="0017640B" w14:paraId="11604E50" w14:textId="77777777" w:rsidTr="00831C62">
        <w:trPr>
          <w:trHeight w:val="350"/>
        </w:trPr>
        <w:tc>
          <w:tcPr>
            <w:tcW w:w="1276" w:type="dxa"/>
          </w:tcPr>
          <w:p w14:paraId="513A2EEB" w14:textId="3EE93C4F" w:rsidR="0017640B" w:rsidRDefault="0017640B" w:rsidP="0017640B">
            <w:pPr>
              <w:rPr>
                <w:sz w:val="18"/>
                <w:szCs w:val="18"/>
              </w:rPr>
            </w:pPr>
            <w:r w:rsidRPr="00946C3B">
              <w:rPr>
                <w:rFonts w:ascii="Calibri" w:eastAsia="Calibri" w:hAnsi="Calibri" w:cs="Calibri"/>
                <w:sz w:val="18"/>
                <w:szCs w:val="18"/>
                <w:lang w:val="en-GB"/>
              </w:rPr>
              <w:t>1</w:t>
            </w:r>
          </w:p>
        </w:tc>
        <w:tc>
          <w:tcPr>
            <w:tcW w:w="6237" w:type="dxa"/>
            <w:shd w:val="clear" w:color="auto" w:fill="auto"/>
          </w:tcPr>
          <w:p w14:paraId="4026C6E9" w14:textId="3E968628" w:rsidR="0017640B" w:rsidRDefault="0017640B" w:rsidP="0017640B">
            <w:pPr>
              <w:pStyle w:val="TableBody"/>
            </w:pPr>
            <w:r w:rsidRPr="008A5089">
              <w:rPr>
                <w:rFonts w:ascii="Calibri" w:eastAsia="Calibri" w:hAnsi="Calibri" w:cs="Calibri"/>
                <w:color w:val="auto"/>
                <w:szCs w:val="22"/>
                <w:lang w:val="en-GB"/>
              </w:rPr>
              <w:t xml:space="preserve">The ATO </w:t>
            </w:r>
            <w:r w:rsidR="00021180">
              <w:rPr>
                <w:rFonts w:ascii="Calibri" w:eastAsia="Calibri" w:hAnsi="Calibri" w:cs="Calibri"/>
                <w:color w:val="auto"/>
                <w:szCs w:val="22"/>
                <w:lang w:val="en-GB"/>
              </w:rPr>
              <w:t>to</w:t>
            </w:r>
            <w:r w:rsidRPr="008A5089">
              <w:rPr>
                <w:rFonts w:ascii="Calibri" w:eastAsia="Calibri" w:hAnsi="Calibri" w:cs="Calibri"/>
                <w:color w:val="auto"/>
                <w:szCs w:val="22"/>
                <w:lang w:val="en-GB"/>
              </w:rPr>
              <w:t xml:space="preserve"> implement the proposed preventative approach to SG compliance as documented in the risk-based compliance strategy. </w:t>
            </w:r>
          </w:p>
        </w:tc>
        <w:tc>
          <w:tcPr>
            <w:tcW w:w="2693" w:type="dxa"/>
          </w:tcPr>
          <w:p w14:paraId="4B8A2CB6" w14:textId="41FD081E" w:rsidR="0017640B" w:rsidRDefault="0017640B" w:rsidP="0017640B">
            <w:pPr>
              <w:pStyle w:val="TableBullet"/>
              <w:numPr>
                <w:ilvl w:val="0"/>
                <w:numId w:val="0"/>
              </w:numPr>
            </w:pPr>
            <w:r w:rsidRPr="008A5089">
              <w:rPr>
                <w:rFonts w:ascii="Calibri" w:eastAsia="Calibri" w:hAnsi="Calibri" w:cs="Calibri"/>
                <w:szCs w:val="22"/>
                <w:lang w:val="en-GB"/>
              </w:rPr>
              <w:t>Agreed</w:t>
            </w:r>
          </w:p>
        </w:tc>
      </w:tr>
      <w:tr w:rsidR="0017640B" w14:paraId="40E5DDF6" w14:textId="77777777" w:rsidTr="00831C62">
        <w:trPr>
          <w:trHeight w:val="350"/>
        </w:trPr>
        <w:tc>
          <w:tcPr>
            <w:tcW w:w="1276" w:type="dxa"/>
          </w:tcPr>
          <w:p w14:paraId="36A8FE5F" w14:textId="34091308" w:rsidR="0017640B" w:rsidRPr="00831C62" w:rsidRDefault="0017640B" w:rsidP="0017640B">
            <w:pPr>
              <w:rPr>
                <w:rFonts w:ascii="Calibri" w:eastAsia="Calibri" w:hAnsi="Calibri" w:cs="Calibri"/>
                <w:sz w:val="18"/>
                <w:szCs w:val="22"/>
                <w:lang w:val="en-GB"/>
              </w:rPr>
            </w:pPr>
            <w:r w:rsidRPr="00831C62">
              <w:rPr>
                <w:rFonts w:ascii="Calibri" w:eastAsia="Calibri" w:hAnsi="Calibri" w:cs="Calibri"/>
                <w:sz w:val="18"/>
                <w:szCs w:val="22"/>
                <w:lang w:val="en-GB"/>
              </w:rPr>
              <w:t>2</w:t>
            </w:r>
          </w:p>
        </w:tc>
        <w:tc>
          <w:tcPr>
            <w:tcW w:w="6237" w:type="dxa"/>
            <w:shd w:val="clear" w:color="auto" w:fill="auto"/>
          </w:tcPr>
          <w:p w14:paraId="3CA0A12F" w14:textId="77777777" w:rsidR="0017640B" w:rsidRPr="00831C62" w:rsidRDefault="0017640B" w:rsidP="0017640B">
            <w:pPr>
              <w:pStyle w:val="BodyText"/>
              <w:tabs>
                <w:tab w:val="center" w:pos="1166"/>
              </w:tabs>
              <w:rPr>
                <w:rFonts w:ascii="Calibri" w:eastAsia="Calibri" w:hAnsi="Calibri" w:cs="Calibri"/>
                <w:sz w:val="18"/>
                <w:szCs w:val="22"/>
                <w:lang w:val="en-GB"/>
              </w:rPr>
            </w:pPr>
            <w:r w:rsidRPr="00831C62">
              <w:rPr>
                <w:rFonts w:ascii="Calibri" w:eastAsia="Calibri" w:hAnsi="Calibri" w:cs="Calibri"/>
                <w:sz w:val="18"/>
                <w:szCs w:val="22"/>
                <w:lang w:val="en-GB"/>
              </w:rPr>
              <w:t xml:space="preserve">The ATO assess its performance measures against the Public Governance, Performance and Accountability Rule 2014 and enhance its public SG performance information by: </w:t>
            </w:r>
          </w:p>
          <w:p w14:paraId="7954679B" w14:textId="77777777" w:rsidR="0017640B" w:rsidRPr="00831C62" w:rsidRDefault="0017640B" w:rsidP="0017640B">
            <w:pPr>
              <w:pStyle w:val="BodyText"/>
              <w:tabs>
                <w:tab w:val="center" w:pos="1166"/>
              </w:tabs>
              <w:rPr>
                <w:rFonts w:ascii="Calibri" w:eastAsia="Calibri" w:hAnsi="Calibri" w:cs="Calibri"/>
                <w:sz w:val="18"/>
                <w:szCs w:val="22"/>
                <w:lang w:val="en-GB"/>
              </w:rPr>
            </w:pPr>
            <w:r w:rsidRPr="00831C62">
              <w:rPr>
                <w:rFonts w:ascii="Calibri" w:eastAsia="Calibri" w:hAnsi="Calibri" w:cs="Calibri"/>
                <w:sz w:val="18"/>
                <w:szCs w:val="22"/>
                <w:lang w:val="en-GB"/>
              </w:rPr>
              <w:t xml:space="preserve">(a) setting targets for measures, including the SG gap; and </w:t>
            </w:r>
          </w:p>
          <w:p w14:paraId="0C335BE8" w14:textId="361795DA" w:rsidR="0017640B" w:rsidRPr="00831C62" w:rsidRDefault="0017640B" w:rsidP="0017640B">
            <w:pPr>
              <w:pStyle w:val="TableBody"/>
              <w:rPr>
                <w:rFonts w:ascii="Calibri" w:eastAsia="Calibri" w:hAnsi="Calibri" w:cs="Calibri"/>
                <w:color w:val="auto"/>
                <w:szCs w:val="22"/>
                <w:lang w:val="en-GB"/>
              </w:rPr>
            </w:pPr>
            <w:r w:rsidRPr="008A5089">
              <w:rPr>
                <w:rFonts w:ascii="Calibri" w:eastAsia="Calibri" w:hAnsi="Calibri" w:cs="Calibri"/>
                <w:color w:val="auto"/>
                <w:szCs w:val="22"/>
                <w:lang w:val="en-GB"/>
              </w:rPr>
              <w:t xml:space="preserve">(b) including explanations for performance results, including performance changes over time. </w:t>
            </w:r>
          </w:p>
        </w:tc>
        <w:tc>
          <w:tcPr>
            <w:tcW w:w="2693" w:type="dxa"/>
          </w:tcPr>
          <w:p w14:paraId="029B7294" w14:textId="77777777" w:rsidR="0017640B" w:rsidRPr="00831C62" w:rsidRDefault="0017640B" w:rsidP="0017640B">
            <w:pPr>
              <w:pStyle w:val="BodyText"/>
              <w:tabs>
                <w:tab w:val="center" w:pos="1166"/>
              </w:tabs>
              <w:rPr>
                <w:rFonts w:ascii="Calibri" w:eastAsia="Calibri" w:hAnsi="Calibri" w:cs="Calibri"/>
                <w:sz w:val="18"/>
                <w:szCs w:val="22"/>
                <w:lang w:val="en-GB"/>
              </w:rPr>
            </w:pPr>
            <w:r w:rsidRPr="00831C62">
              <w:rPr>
                <w:rFonts w:ascii="Calibri" w:eastAsia="Calibri" w:hAnsi="Calibri" w:cs="Calibri"/>
                <w:sz w:val="18"/>
                <w:szCs w:val="22"/>
                <w:lang w:val="en-GB"/>
              </w:rPr>
              <w:t>(a) Agreed with qualification that the SG gap is not a suitable target measure.</w:t>
            </w:r>
          </w:p>
          <w:p w14:paraId="29597B25" w14:textId="20874792" w:rsidR="0017640B" w:rsidRPr="00831C62" w:rsidRDefault="0017640B" w:rsidP="0017640B">
            <w:pPr>
              <w:pStyle w:val="TableBullet"/>
              <w:numPr>
                <w:ilvl w:val="0"/>
                <w:numId w:val="0"/>
              </w:numPr>
              <w:rPr>
                <w:rFonts w:ascii="Calibri" w:eastAsia="Calibri" w:hAnsi="Calibri" w:cs="Calibri"/>
                <w:szCs w:val="22"/>
                <w:lang w:val="en-GB"/>
              </w:rPr>
            </w:pPr>
            <w:r w:rsidRPr="008A5089">
              <w:rPr>
                <w:rFonts w:ascii="Calibri" w:eastAsia="Calibri" w:hAnsi="Calibri" w:cs="Calibri"/>
                <w:szCs w:val="22"/>
                <w:lang w:val="en-GB"/>
              </w:rPr>
              <w:t>(b) Agreed.</w:t>
            </w:r>
          </w:p>
        </w:tc>
      </w:tr>
      <w:tr w:rsidR="0017640B" w14:paraId="16DFE94A" w14:textId="77777777" w:rsidTr="00831C62">
        <w:trPr>
          <w:trHeight w:val="350"/>
        </w:trPr>
        <w:tc>
          <w:tcPr>
            <w:tcW w:w="1276" w:type="dxa"/>
          </w:tcPr>
          <w:p w14:paraId="4D80FAF6" w14:textId="006338EB" w:rsidR="0017640B" w:rsidRPr="00831C62" w:rsidRDefault="0017640B" w:rsidP="0017640B">
            <w:pPr>
              <w:rPr>
                <w:rFonts w:ascii="Calibri" w:eastAsia="Calibri" w:hAnsi="Calibri" w:cs="Calibri"/>
                <w:sz w:val="18"/>
                <w:szCs w:val="22"/>
                <w:lang w:val="en-GB"/>
              </w:rPr>
            </w:pPr>
            <w:r w:rsidRPr="00831C62">
              <w:rPr>
                <w:rFonts w:ascii="Calibri" w:eastAsia="Calibri" w:hAnsi="Calibri" w:cs="Calibri"/>
                <w:sz w:val="18"/>
                <w:szCs w:val="22"/>
                <w:lang w:val="en-GB"/>
              </w:rPr>
              <w:t>3</w:t>
            </w:r>
          </w:p>
        </w:tc>
        <w:tc>
          <w:tcPr>
            <w:tcW w:w="6237" w:type="dxa"/>
            <w:shd w:val="clear" w:color="auto" w:fill="auto"/>
          </w:tcPr>
          <w:p w14:paraId="6E767D2A" w14:textId="77777777" w:rsidR="0017640B" w:rsidRPr="00831C62" w:rsidRDefault="0017640B" w:rsidP="0017640B">
            <w:pPr>
              <w:pStyle w:val="BodyText"/>
              <w:tabs>
                <w:tab w:val="center" w:pos="1166"/>
              </w:tabs>
              <w:rPr>
                <w:rFonts w:ascii="Calibri" w:eastAsia="Calibri" w:hAnsi="Calibri" w:cs="Calibri"/>
                <w:sz w:val="18"/>
                <w:szCs w:val="22"/>
                <w:lang w:val="en-GB"/>
              </w:rPr>
            </w:pPr>
            <w:r w:rsidRPr="00831C62">
              <w:rPr>
                <w:rFonts w:ascii="Calibri" w:eastAsia="Calibri" w:hAnsi="Calibri" w:cs="Calibri"/>
                <w:sz w:val="18"/>
                <w:szCs w:val="22"/>
                <w:lang w:val="en-GB"/>
              </w:rPr>
              <w:t xml:space="preserve">To maximise the benefit to employees’ superannuation funds, the ATO: </w:t>
            </w:r>
          </w:p>
          <w:p w14:paraId="52ACAD44" w14:textId="65C98A76" w:rsidR="0017640B" w:rsidRPr="00831C62" w:rsidRDefault="0017640B" w:rsidP="0017640B">
            <w:pPr>
              <w:pStyle w:val="BodyText"/>
              <w:tabs>
                <w:tab w:val="center" w:pos="1166"/>
              </w:tabs>
              <w:rPr>
                <w:rFonts w:ascii="Calibri" w:eastAsia="Calibri" w:hAnsi="Calibri" w:cs="Calibri"/>
                <w:sz w:val="18"/>
                <w:szCs w:val="22"/>
                <w:lang w:val="en-GB"/>
              </w:rPr>
            </w:pPr>
            <w:r w:rsidRPr="00831C62">
              <w:rPr>
                <w:rFonts w:ascii="Calibri" w:eastAsia="Calibri" w:hAnsi="Calibri" w:cs="Calibri"/>
                <w:sz w:val="18"/>
                <w:szCs w:val="22"/>
                <w:lang w:val="en-GB"/>
              </w:rPr>
              <w:t xml:space="preserve">(a) make more use of its enforcement and debt recovery powers </w:t>
            </w:r>
          </w:p>
          <w:p w14:paraId="457FF107" w14:textId="57B9AC6C" w:rsidR="0017640B" w:rsidRPr="00831C62" w:rsidRDefault="0017640B" w:rsidP="0017640B">
            <w:pPr>
              <w:pStyle w:val="BodyText"/>
              <w:tabs>
                <w:tab w:val="center" w:pos="1166"/>
              </w:tabs>
              <w:rPr>
                <w:rFonts w:ascii="Calibri" w:eastAsia="Calibri" w:hAnsi="Calibri" w:cs="Calibri"/>
                <w:sz w:val="18"/>
                <w:szCs w:val="22"/>
                <w:lang w:val="en-GB"/>
              </w:rPr>
            </w:pPr>
            <w:r w:rsidRPr="00831C62">
              <w:rPr>
                <w:rFonts w:ascii="Calibri" w:eastAsia="Calibri" w:hAnsi="Calibri" w:cs="Calibri"/>
                <w:sz w:val="18"/>
                <w:szCs w:val="22"/>
                <w:lang w:val="en-GB"/>
              </w:rPr>
              <w:t>(b) develop performance measures for evaluating the effectiveness of debt recovery and</w:t>
            </w:r>
          </w:p>
          <w:p w14:paraId="68288BFA" w14:textId="584E85E3" w:rsidR="0017640B" w:rsidRPr="00831C62" w:rsidRDefault="0017640B" w:rsidP="0017640B">
            <w:pPr>
              <w:pStyle w:val="TableBody"/>
              <w:rPr>
                <w:rFonts w:ascii="Calibri" w:eastAsia="Calibri" w:hAnsi="Calibri" w:cs="Calibri"/>
                <w:color w:val="auto"/>
                <w:szCs w:val="22"/>
                <w:lang w:val="en-GB"/>
              </w:rPr>
            </w:pPr>
            <w:r w:rsidRPr="008A5089">
              <w:rPr>
                <w:rFonts w:ascii="Calibri" w:eastAsia="Calibri" w:hAnsi="Calibri" w:cs="Calibri"/>
                <w:color w:val="auto"/>
                <w:szCs w:val="22"/>
                <w:lang w:val="en-GB"/>
              </w:rPr>
              <w:t xml:space="preserve">(c) consider the merit of incorporating debtors holding the majority of debt into the prioritisation of debt recovery actions. </w:t>
            </w:r>
          </w:p>
        </w:tc>
        <w:tc>
          <w:tcPr>
            <w:tcW w:w="2693" w:type="dxa"/>
          </w:tcPr>
          <w:p w14:paraId="768EE323" w14:textId="3A416E99" w:rsidR="0017640B" w:rsidRPr="00831C62" w:rsidRDefault="0017640B" w:rsidP="0017640B">
            <w:pPr>
              <w:pStyle w:val="TableBullet"/>
              <w:numPr>
                <w:ilvl w:val="0"/>
                <w:numId w:val="0"/>
              </w:numPr>
              <w:rPr>
                <w:rFonts w:ascii="Calibri" w:eastAsia="Calibri" w:hAnsi="Calibri" w:cs="Calibri"/>
                <w:szCs w:val="22"/>
                <w:lang w:val="en-GB"/>
              </w:rPr>
            </w:pPr>
            <w:r w:rsidRPr="008A5089">
              <w:rPr>
                <w:rFonts w:ascii="Calibri" w:eastAsia="Calibri" w:hAnsi="Calibri" w:cs="Calibri"/>
                <w:szCs w:val="22"/>
                <w:lang w:val="en-GB"/>
              </w:rPr>
              <w:t>Agreed</w:t>
            </w:r>
          </w:p>
        </w:tc>
      </w:tr>
    </w:tbl>
    <w:p w14:paraId="2F4A9E2D" w14:textId="77777777" w:rsidR="006F4FD8" w:rsidRDefault="006F4FD8">
      <w:pPr>
        <w:rPr>
          <w:rFonts w:ascii="Calibri" w:eastAsia="Calibri" w:hAnsi="Calibri" w:cs="Calibri"/>
          <w:szCs w:val="22"/>
          <w:lang w:val="en-GB"/>
        </w:rPr>
      </w:pPr>
      <w:r>
        <w:br w:type="page"/>
      </w:r>
    </w:p>
    <w:p w14:paraId="5CA2FABD" w14:textId="2814D519" w:rsidR="006F4FD8" w:rsidRDefault="006F4FD8" w:rsidP="006F4FD8">
      <w:pPr>
        <w:pStyle w:val="Heading1"/>
      </w:pPr>
      <w:bookmarkStart w:id="78" w:name="_Toc134198492"/>
      <w:r>
        <w:t>Appendix B: Previous Government action</w:t>
      </w:r>
      <w:bookmarkEnd w:id="78"/>
    </w:p>
    <w:p w14:paraId="737A0F0E" w14:textId="77777777" w:rsidR="006F4FD8" w:rsidRDefault="006F4FD8" w:rsidP="006F4FD8">
      <w:pPr>
        <w:pStyle w:val="Heading3"/>
      </w:pPr>
      <w:bookmarkStart w:id="79" w:name="_Toc134198493"/>
      <w:r>
        <w:t>The Superannuation Guarantee Taskforce, July 2018 to June 2021</w:t>
      </w:r>
      <w:bookmarkEnd w:id="79"/>
    </w:p>
    <w:p w14:paraId="2CA08998" w14:textId="1B8EBC9B" w:rsidR="006F4FD8" w:rsidRDefault="006F4FD8" w:rsidP="006F4FD8">
      <w:pPr>
        <w:pStyle w:val="BodyText"/>
      </w:pPr>
      <w:r>
        <w:t xml:space="preserve">In August 2017 the then Government announced the </w:t>
      </w:r>
      <w:r w:rsidRPr="00C457AF">
        <w:t>Superannuation Guarantee Taskforce (SG Taskforce)</w:t>
      </w:r>
      <w:r>
        <w:t xml:space="preserve"> which was </w:t>
      </w:r>
      <w:r w:rsidRPr="00C457AF">
        <w:t>part of a package of reforms intended to give the ATO near real-time visibility over SG compliance by employers</w:t>
      </w:r>
      <w:r>
        <w:t>.</w:t>
      </w:r>
      <w:r w:rsidRPr="006A764A">
        <w:t xml:space="preserve"> </w:t>
      </w:r>
      <w:r w:rsidRPr="00D95A41">
        <w:t xml:space="preserve">The ATO received funding of $20.92 million over four years for the SG Taskforce to undertake additional data modelling, and early intervention compliance activities using </w:t>
      </w:r>
      <w:r w:rsidR="00E338D2">
        <w:t>STP</w:t>
      </w:r>
      <w:r>
        <w:t xml:space="preserve"> and </w:t>
      </w:r>
      <w:r w:rsidR="00E338D2">
        <w:t xml:space="preserve">MATS </w:t>
      </w:r>
      <w:r>
        <w:t>data; and conduct debt collection activities for unpaid SG.</w:t>
      </w:r>
    </w:p>
    <w:p w14:paraId="25CB494A" w14:textId="77777777" w:rsidR="006F4FD8" w:rsidRDefault="006F4FD8" w:rsidP="006F4FD8">
      <w:pPr>
        <w:pStyle w:val="BodyText"/>
      </w:pPr>
      <w:r>
        <w:t>S</w:t>
      </w:r>
      <w:r w:rsidRPr="00D95A41">
        <w:t xml:space="preserve">G Taskforce operations commenced on 1 July 2018 and ended on 30 June 2021. </w:t>
      </w:r>
    </w:p>
    <w:p w14:paraId="02C750C9" w14:textId="0AE54940" w:rsidR="006F4FD8" w:rsidRDefault="006F4FD8" w:rsidP="006F4FD8">
      <w:pPr>
        <w:pStyle w:val="BodyText"/>
      </w:pPr>
      <w:r>
        <w:t>The ATO advised the ANAO that, during the three years of the SG Taskforce: around 6800 audits were conducted; $600 million of debt was raised; $340 million was collected or credited to the debtor accounts; 4800 clients made at least one payment; and 1472 payment plans were in effect as at 3 September 2021, to a value of $73 million.</w:t>
      </w:r>
      <w:r w:rsidRPr="00946C3B">
        <w:rPr>
          <w:rStyle w:val="FootnoteReference"/>
        </w:rPr>
        <w:footnoteReference w:id="71"/>
      </w:r>
    </w:p>
    <w:p w14:paraId="3372EBA3" w14:textId="1937DE57" w:rsidR="006F4FD8" w:rsidRPr="00C457AF" w:rsidRDefault="006F4FD8" w:rsidP="006F4FD8">
      <w:pPr>
        <w:pStyle w:val="BodyText"/>
      </w:pPr>
      <w:r>
        <w:t xml:space="preserve">The ANAO reported that the SG Taskforce “partly achieved the planned outcomes. It achieved a higher strike rate from a smaller case pool, but it did not achieve several of its objectives associated with the usage of </w:t>
      </w:r>
      <w:r w:rsidR="00D17AC1">
        <w:t>STP</w:t>
      </w:r>
      <w:r>
        <w:t xml:space="preserve"> and other data.”</w:t>
      </w:r>
      <w:r w:rsidRPr="00946C3B">
        <w:rPr>
          <w:rStyle w:val="FootnoteReference"/>
        </w:rPr>
        <w:footnoteReference w:id="72"/>
      </w:r>
      <w:r>
        <w:t xml:space="preserve"> The ATO did not report on SG Taskforce outcomes.</w:t>
      </w:r>
    </w:p>
    <w:p w14:paraId="5AC6A408" w14:textId="77777777" w:rsidR="006F4FD8" w:rsidRDefault="006F4FD8" w:rsidP="006F4FD8">
      <w:pPr>
        <w:pStyle w:val="Heading3"/>
      </w:pPr>
      <w:bookmarkStart w:id="80" w:name="_Toc134198494"/>
      <w:r>
        <w:t>S</w:t>
      </w:r>
      <w:r w:rsidRPr="00D0246C">
        <w:t xml:space="preserve">uperannuation </w:t>
      </w:r>
      <w:r>
        <w:t>G</w:t>
      </w:r>
      <w:r w:rsidRPr="00D0246C">
        <w:t xml:space="preserve">uarantee </w:t>
      </w:r>
      <w:r>
        <w:t>I</w:t>
      </w:r>
      <w:r w:rsidRPr="00D0246C">
        <w:t>ntegrity package</w:t>
      </w:r>
      <w:r>
        <w:t>, March 2019</w:t>
      </w:r>
      <w:bookmarkEnd w:id="80"/>
    </w:p>
    <w:p w14:paraId="118FB341" w14:textId="77777777" w:rsidR="006F4FD8" w:rsidRDefault="006F4FD8" w:rsidP="006F4FD8">
      <w:pPr>
        <w:pStyle w:val="BodyText"/>
      </w:pPr>
      <w:r w:rsidRPr="00D0246C">
        <w:t xml:space="preserve">In </w:t>
      </w:r>
      <w:r>
        <w:t xml:space="preserve">March </w:t>
      </w:r>
      <w:r w:rsidRPr="00D0246C">
        <w:t xml:space="preserve">2019 the </w:t>
      </w:r>
      <w:r>
        <w:t xml:space="preserve">then </w:t>
      </w:r>
      <w:r w:rsidRPr="00D0246C">
        <w:t xml:space="preserve">Government </w:t>
      </w:r>
      <w:r>
        <w:t xml:space="preserve">passed the </w:t>
      </w:r>
      <w:r w:rsidRPr="00B61590">
        <w:t>Treasury Laws Amendment (2018 Measures No. 4) Bill 2018</w:t>
      </w:r>
      <w:r>
        <w:t xml:space="preserve"> which </w:t>
      </w:r>
      <w:r w:rsidRPr="00D0246C">
        <w:t xml:space="preserve">legislated </w:t>
      </w:r>
      <w:r>
        <w:t>the</w:t>
      </w:r>
      <w:r w:rsidRPr="00D0246C">
        <w:t xml:space="preserve"> </w:t>
      </w:r>
      <w:r>
        <w:t>S</w:t>
      </w:r>
      <w:r w:rsidRPr="00D0246C">
        <w:t xml:space="preserve">uperannuation </w:t>
      </w:r>
      <w:r>
        <w:t>G</w:t>
      </w:r>
      <w:r w:rsidRPr="00D0246C">
        <w:t xml:space="preserve">uarantee </w:t>
      </w:r>
      <w:r>
        <w:t>I</w:t>
      </w:r>
      <w:r w:rsidRPr="00D0246C">
        <w:t>ntegrity package</w:t>
      </w:r>
      <w:r>
        <w:t>.</w:t>
      </w:r>
    </w:p>
    <w:p w14:paraId="50DC911D" w14:textId="77777777" w:rsidR="006F4FD8" w:rsidRDefault="006F4FD8" w:rsidP="006F4FD8">
      <w:pPr>
        <w:pStyle w:val="BodyText"/>
      </w:pPr>
      <w:r>
        <w:t>The package</w:t>
      </w:r>
      <w:r w:rsidRPr="00725CBA">
        <w:t xml:space="preserve"> </w:t>
      </w:r>
      <w:r>
        <w:t xml:space="preserve">contained a range of measures targeted at employer non-compliance including: </w:t>
      </w:r>
    </w:p>
    <w:p w14:paraId="38B7F0D5" w14:textId="2716DC03" w:rsidR="006F4FD8" w:rsidRDefault="006F4FD8" w:rsidP="004C7D75">
      <w:pPr>
        <w:pStyle w:val="Bullet"/>
      </w:pPr>
      <w:r>
        <w:t xml:space="preserve">allow the Commissioner in cases where employers fail to comply with their </w:t>
      </w:r>
      <w:r w:rsidR="00942C78">
        <w:t>SG</w:t>
      </w:r>
      <w:r>
        <w:t xml:space="preserve"> obligations, to issue directions to pay unpaid </w:t>
      </w:r>
      <w:r w:rsidR="00942C78">
        <w:t>SG</w:t>
      </w:r>
      <w:r>
        <w:t xml:space="preserve"> and undertake </w:t>
      </w:r>
      <w:r w:rsidR="00942C78">
        <w:t>SG</w:t>
      </w:r>
      <w:r>
        <w:t xml:space="preserve"> education courses</w:t>
      </w:r>
    </w:p>
    <w:p w14:paraId="039EF96B" w14:textId="7CA9A1F2" w:rsidR="006F4FD8" w:rsidRDefault="006F4FD8" w:rsidP="004C7D75">
      <w:pPr>
        <w:pStyle w:val="Bullet"/>
      </w:pPr>
      <w:r>
        <w:t xml:space="preserve">allow the Commissioner to disclose more information about </w:t>
      </w:r>
      <w:r w:rsidR="00942C78">
        <w:t>SG</w:t>
      </w:r>
      <w:r>
        <w:t xml:space="preserve"> non-compliance to affected employees</w:t>
      </w:r>
    </w:p>
    <w:p w14:paraId="04D32FC7" w14:textId="5EFA1AE3" w:rsidR="006F4FD8" w:rsidRDefault="006F4FD8" w:rsidP="004C7D75">
      <w:pPr>
        <w:pStyle w:val="Bullet"/>
      </w:pPr>
      <w:r>
        <w:t>extend Single Touch Payroll reporting to all employers</w:t>
      </w:r>
    </w:p>
    <w:p w14:paraId="34DC97B9" w14:textId="6D57E04B" w:rsidR="006F4FD8" w:rsidRDefault="006F4FD8" w:rsidP="004C7D75">
      <w:pPr>
        <w:pStyle w:val="Bullet"/>
      </w:pPr>
      <w:r>
        <w:t>facilitate more regular reporting by superannuation funds</w:t>
      </w:r>
    </w:p>
    <w:p w14:paraId="0DB5510D" w14:textId="07C56197" w:rsidR="006F4FD8" w:rsidRDefault="006F4FD8" w:rsidP="004C7D75">
      <w:pPr>
        <w:pStyle w:val="Bullet"/>
      </w:pPr>
      <w:r>
        <w:t>streamline employee commencement processes and</w:t>
      </w:r>
    </w:p>
    <w:p w14:paraId="7FF32614" w14:textId="77777777" w:rsidR="006F4FD8" w:rsidRDefault="006F4FD8" w:rsidP="004C7D75">
      <w:pPr>
        <w:pStyle w:val="Bullet"/>
      </w:pPr>
      <w:r>
        <w:t>improve the operation of the Commissioner’s collection and compliance measures.</w:t>
      </w:r>
    </w:p>
    <w:p w14:paraId="2E08BC9C" w14:textId="3B3F7D7B" w:rsidR="006F4FD8" w:rsidRDefault="003D1CB2" w:rsidP="006F4FD8">
      <w:pPr>
        <w:pStyle w:val="Dash"/>
      </w:pPr>
      <w:r>
        <w:t>S</w:t>
      </w:r>
      <w:r w:rsidR="006F4FD8" w:rsidRPr="00C6593E">
        <w:t>trengthen the rules imposing penalties on directors of non-compliant employers</w:t>
      </w:r>
      <w:r w:rsidR="006F4FD8">
        <w:t xml:space="preserve"> and</w:t>
      </w:r>
    </w:p>
    <w:p w14:paraId="20388384" w14:textId="09EACFF5" w:rsidR="006F4FD8" w:rsidRDefault="006F4FD8" w:rsidP="006F4FD8">
      <w:pPr>
        <w:pStyle w:val="Dash"/>
      </w:pPr>
      <w:r w:rsidRPr="009D246F">
        <w:t>empower the Commissioner to seek court orders to compel an entity to comply with a requirement to provide a security deposit for an existing or future tax related liability under s 255-100 of Sch</w:t>
      </w:r>
      <w:r w:rsidR="00D911B2">
        <w:t>edule</w:t>
      </w:r>
      <w:r w:rsidRPr="009D246F">
        <w:t xml:space="preserve"> 1 to the </w:t>
      </w:r>
      <w:r w:rsidRPr="00C73AD1">
        <w:rPr>
          <w:i/>
          <w:iCs/>
        </w:rPr>
        <w:t>Taxation Administration Act 1953</w:t>
      </w:r>
      <w:r>
        <w:t>.</w:t>
      </w:r>
    </w:p>
    <w:p w14:paraId="331A2670" w14:textId="77777777" w:rsidR="006F4FD8" w:rsidRDefault="006F4FD8" w:rsidP="006F4FD8">
      <w:pPr>
        <w:pStyle w:val="Heading3"/>
      </w:pPr>
      <w:bookmarkStart w:id="81" w:name="_Toc134198495"/>
      <w:r>
        <w:t>The Superannuation Guarantee Amnesty, May 2018 to September 2020</w:t>
      </w:r>
      <w:bookmarkEnd w:id="81"/>
    </w:p>
    <w:p w14:paraId="0D41551B" w14:textId="49D231B9" w:rsidR="006F4FD8" w:rsidRDefault="006F4FD8" w:rsidP="006F4FD8">
      <w:pPr>
        <w:pStyle w:val="BodyText"/>
      </w:pPr>
      <w:r>
        <w:t xml:space="preserve">In May 2018 the then Government announced a Superannuation Guarantee Amnesty (SG Amnesty) for unpaid SG for the period 1 July 1992 to 31 March 2018. The SG Amnesty was legislated in February 2020 </w:t>
      </w:r>
      <w:r w:rsidRPr="009A3728">
        <w:t>Treasury Laws Amendment (Recovering Unpaid Superannuation) Bill 2019</w:t>
      </w:r>
      <w:r>
        <w:t xml:space="preserve">. The start date for the SG Amnesty was 24 May 2018 and </w:t>
      </w:r>
      <w:r w:rsidR="00580FC0">
        <w:t xml:space="preserve">the </w:t>
      </w:r>
      <w:r>
        <w:t>end date was 7 September 2020.</w:t>
      </w:r>
    </w:p>
    <w:p w14:paraId="1E6AAC0D" w14:textId="77777777" w:rsidR="006F4FD8" w:rsidRDefault="006F4FD8" w:rsidP="006F4FD8">
      <w:pPr>
        <w:pStyle w:val="BodyText"/>
      </w:pPr>
      <w:r>
        <w:t>The SG Amnesty was a one-off opportunity for employers to voluntarily disclose and pay any shortfall that they owed for their employees without incurring the usual $20 per employee per quarter administration fees or penalties, while retaining tax deductibility of disclosed amounts.</w:t>
      </w:r>
    </w:p>
    <w:p w14:paraId="7D572DE2" w14:textId="77777777" w:rsidR="006F4FD8" w:rsidRDefault="006F4FD8" w:rsidP="006F4FD8">
      <w:pPr>
        <w:pStyle w:val="BodyText"/>
      </w:pPr>
      <w:r>
        <w:t>The ATO reported that as at 30 April 2021:</w:t>
      </w:r>
      <w:r w:rsidRPr="00E536D5">
        <w:t xml:space="preserve"> </w:t>
      </w:r>
    </w:p>
    <w:p w14:paraId="14883C07" w14:textId="77777777" w:rsidR="006F4FD8" w:rsidRDefault="006F4FD8" w:rsidP="004C7D75">
      <w:pPr>
        <w:pStyle w:val="Bullet"/>
      </w:pPr>
      <w:r w:rsidRPr="005B4E98">
        <w:t>Around 28,300 employers qualified for the amnesty, disclosing around $911.5 million and covering around 195,600 quarters</w:t>
      </w:r>
      <w:r>
        <w:t>.</w:t>
      </w:r>
    </w:p>
    <w:p w14:paraId="49739503" w14:textId="36C3F96E" w:rsidR="006F4FD8" w:rsidRDefault="006F4FD8" w:rsidP="004C7D75">
      <w:pPr>
        <w:pStyle w:val="Bullet"/>
      </w:pPr>
      <w:r>
        <w:t>The amnesty will result in a total of over $850 million flowing to super</w:t>
      </w:r>
      <w:r w:rsidR="00CB04AF">
        <w:t>annuation</w:t>
      </w:r>
      <w:r>
        <w:t xml:space="preserve"> funds, benefiting the retirement savings of more than 692,200 employees. Of this:</w:t>
      </w:r>
    </w:p>
    <w:p w14:paraId="72285DF7" w14:textId="77777777" w:rsidR="006F4FD8" w:rsidRDefault="006F4FD8" w:rsidP="006F4FD8">
      <w:pPr>
        <w:pStyle w:val="Dash"/>
      </w:pPr>
      <w:r>
        <w:t>$796.1 million has been paid</w:t>
      </w:r>
    </w:p>
    <w:p w14:paraId="11A9D0AF" w14:textId="77777777" w:rsidR="006F4FD8" w:rsidRDefault="006F4FD8" w:rsidP="006F4FD8">
      <w:pPr>
        <w:pStyle w:val="Dash"/>
      </w:pPr>
      <w:r>
        <w:t>$62.3 million are under agreed payment plans.</w:t>
      </w:r>
      <w:r>
        <w:rPr>
          <w:rStyle w:val="FootnoteReference"/>
        </w:rPr>
        <w:footnoteReference w:id="73"/>
      </w:r>
    </w:p>
    <w:p w14:paraId="3AB7781B" w14:textId="77777777" w:rsidR="006F4FD8" w:rsidRDefault="006F4FD8" w:rsidP="006F4FD8">
      <w:pPr>
        <w:pStyle w:val="Bullet"/>
        <w:numPr>
          <w:ilvl w:val="0"/>
          <w:numId w:val="0"/>
        </w:numPr>
        <w:ind w:left="520" w:hanging="520"/>
      </w:pPr>
      <w:r>
        <w:t xml:space="preserve">ATO analysis of employers who </w:t>
      </w:r>
      <w:r w:rsidRPr="00186320">
        <w:t>qualified for the amnesty</w:t>
      </w:r>
      <w:r>
        <w:t xml:space="preserve"> found that:</w:t>
      </w:r>
    </w:p>
    <w:p w14:paraId="2B8775EE" w14:textId="77777777" w:rsidR="006F4FD8" w:rsidRDefault="006F4FD8" w:rsidP="004C7D75">
      <w:pPr>
        <w:pStyle w:val="Bullet"/>
      </w:pPr>
      <w:r w:rsidRPr="00E536D5">
        <w:t xml:space="preserve">70 per cent were </w:t>
      </w:r>
      <w:r w:rsidRPr="002464FE">
        <w:t>small businesses with an annual turnover less than $2 million</w:t>
      </w:r>
      <w:r w:rsidRPr="00E536D5">
        <w:t xml:space="preserve">; </w:t>
      </w:r>
      <w:r>
        <w:t>and</w:t>
      </w:r>
    </w:p>
    <w:p w14:paraId="06C4084D" w14:textId="77777777" w:rsidR="006F4FD8" w:rsidRDefault="006F4FD8" w:rsidP="004C7D75">
      <w:pPr>
        <w:pStyle w:val="Bullet"/>
      </w:pPr>
      <w:r w:rsidRPr="00E536D5">
        <w:t xml:space="preserve">55 per cent of employers, and 45 per cent of amounts disclosed, were from the top five high-risk industries: </w:t>
      </w:r>
      <w:r w:rsidRPr="00692941">
        <w:t>construction</w:t>
      </w:r>
      <w:r w:rsidRPr="00E536D5">
        <w:t xml:space="preserve">, </w:t>
      </w:r>
      <w:r w:rsidRPr="00692941">
        <w:t>retail trade</w:t>
      </w:r>
      <w:r w:rsidRPr="00E536D5">
        <w:t xml:space="preserve">, </w:t>
      </w:r>
      <w:r w:rsidRPr="00692941">
        <w:t>professional scientific and technical services</w:t>
      </w:r>
      <w:r w:rsidRPr="00E536D5">
        <w:t xml:space="preserve">, </w:t>
      </w:r>
      <w:r w:rsidRPr="00692941">
        <w:t>accommodation and food services</w:t>
      </w:r>
      <w:r w:rsidRPr="00E536D5">
        <w:t xml:space="preserve">, and </w:t>
      </w:r>
      <w:r w:rsidRPr="00692941">
        <w:t>other services</w:t>
      </w:r>
      <w:r>
        <w:t>.</w:t>
      </w:r>
      <w:r w:rsidRPr="006A3F11">
        <w:rPr>
          <w:rStyle w:val="FootnoteReference"/>
        </w:rPr>
        <w:t xml:space="preserve"> </w:t>
      </w:r>
      <w:r>
        <w:rPr>
          <w:rStyle w:val="FootnoteReference"/>
        </w:rPr>
        <w:footnoteReference w:id="74"/>
      </w:r>
    </w:p>
    <w:p w14:paraId="297F2779" w14:textId="77777777" w:rsidR="006F4FD8" w:rsidRDefault="006F4FD8" w:rsidP="006F4FD8">
      <w:pPr>
        <w:pStyle w:val="Bullet"/>
        <w:numPr>
          <w:ilvl w:val="0"/>
          <w:numId w:val="0"/>
        </w:numPr>
      </w:pPr>
      <w:r>
        <w:t>The ATO also found that:</w:t>
      </w:r>
    </w:p>
    <w:p w14:paraId="0E1A1AF6" w14:textId="77777777" w:rsidR="006F4FD8" w:rsidRDefault="006F4FD8" w:rsidP="004C7D75">
      <w:pPr>
        <w:pStyle w:val="Bullet"/>
      </w:pPr>
      <w:r w:rsidRPr="00E536D5">
        <w:t>62 per cent ($561 million) of amounts disclosed were for three financial years immediately before the Amnesty — 2015–16, 2016–17 and 2017–18.</w:t>
      </w:r>
      <w:r w:rsidRPr="00545772">
        <w:rPr>
          <w:rStyle w:val="FootnoteReference"/>
          <w:i/>
        </w:rPr>
        <w:t xml:space="preserve"> </w:t>
      </w:r>
      <w:r>
        <w:rPr>
          <w:rStyle w:val="FootnoteReference"/>
          <w:i/>
          <w:iCs/>
        </w:rPr>
        <w:footnoteReference w:id="75"/>
      </w:r>
    </w:p>
    <w:p w14:paraId="79F7F18C" w14:textId="0F06F6CB" w:rsidR="00D4014D" w:rsidRDefault="006F4FD8">
      <w:pPr>
        <w:pStyle w:val="Bullet"/>
        <w:numPr>
          <w:ilvl w:val="0"/>
          <w:numId w:val="0"/>
        </w:numPr>
        <w:rPr>
          <w:i/>
          <w:iCs/>
        </w:rPr>
      </w:pPr>
      <w:r>
        <w:t>The ANAO report found that that t</w:t>
      </w:r>
      <w:r w:rsidRPr="008E5EF4">
        <w:t xml:space="preserve">he SG Amnesty </w:t>
      </w:r>
      <w:r>
        <w:t>“</w:t>
      </w:r>
      <w:r w:rsidRPr="008E5EF4">
        <w:t>supported the ATO’s transition to a preventative compliance approach by encouraging employers to self-correct non-compliance and is associated with higher voluntary employer lodgements.</w:t>
      </w:r>
      <w:r>
        <w:t>” However, “</w:t>
      </w:r>
      <w:r w:rsidRPr="008E5EF4">
        <w:t>Its reporting of SG Amnesty outcomes could have been improved by adjusting the results achieved to account for the business-as-usual level of voluntary lodgements.</w:t>
      </w:r>
      <w:r>
        <w:t>”</w:t>
      </w:r>
      <w:r w:rsidRPr="0075419F">
        <w:rPr>
          <w:rStyle w:val="FootnoteReference"/>
          <w:i/>
          <w:iCs/>
        </w:rPr>
        <w:t xml:space="preserve"> </w:t>
      </w:r>
      <w:r>
        <w:rPr>
          <w:rStyle w:val="FootnoteReference"/>
          <w:i/>
          <w:iCs/>
        </w:rPr>
        <w:footnoteReference w:id="76"/>
      </w:r>
    </w:p>
    <w:p w14:paraId="19369188" w14:textId="77777777" w:rsidR="00D4014D" w:rsidRDefault="00D4014D">
      <w:pPr>
        <w:rPr>
          <w:rFonts w:ascii="Calibri" w:eastAsia="Calibri" w:hAnsi="Calibri" w:cs="Calibri"/>
          <w:i/>
          <w:iCs/>
          <w:szCs w:val="22"/>
          <w:lang w:val="en-GB"/>
        </w:rPr>
      </w:pPr>
      <w:r>
        <w:rPr>
          <w:i/>
          <w:iCs/>
        </w:rPr>
        <w:br w:type="page"/>
      </w:r>
    </w:p>
    <w:p w14:paraId="6152345C" w14:textId="0F29098E" w:rsidR="00D4014D" w:rsidRDefault="00D4014D" w:rsidP="00D4014D">
      <w:pPr>
        <w:pStyle w:val="Heading1"/>
      </w:pPr>
      <w:bookmarkStart w:id="82" w:name="_Toc134198496"/>
      <w:r>
        <w:t>Appendix C: Calculation of Regulatory Costs</w:t>
      </w:r>
      <w:bookmarkEnd w:id="82"/>
    </w:p>
    <w:p w14:paraId="00E84680" w14:textId="1AE08C8C" w:rsidR="00C869E7" w:rsidRDefault="00C869E7" w:rsidP="0059497D">
      <w:pPr>
        <w:pStyle w:val="Heading3"/>
      </w:pPr>
      <w:bookmarkStart w:id="83" w:name="_Toc134198497"/>
      <w:r>
        <w:t>Option 2</w:t>
      </w:r>
      <w:bookmarkEnd w:id="83"/>
    </w:p>
    <w:p w14:paraId="2A181171" w14:textId="36AAD49F" w:rsidR="00B83BA0" w:rsidRDefault="00B83BA0" w:rsidP="00610023">
      <w:pPr>
        <w:pStyle w:val="Heading4"/>
        <w:rPr>
          <w:rFonts w:eastAsiaTheme="majorEastAsia" w:cstheme="majorBidi"/>
          <w:i w:val="0"/>
          <w:color w:val="014463" w:themeColor="text2"/>
          <w:sz w:val="24"/>
        </w:rPr>
      </w:pPr>
      <w:r w:rsidRPr="004F0132">
        <w:t xml:space="preserve">Methodology used to estimate regulatory </w:t>
      </w:r>
      <w:r w:rsidRPr="004F0132">
        <w:rPr>
          <w:rFonts w:eastAsiaTheme="majorEastAsia" w:cstheme="majorBidi"/>
          <w:i w:val="0"/>
          <w:color w:val="014463" w:themeColor="text2"/>
          <w:sz w:val="24"/>
        </w:rPr>
        <w:t xml:space="preserve">costs for individuals </w:t>
      </w:r>
    </w:p>
    <w:p w14:paraId="7861E82D" w14:textId="692CB130" w:rsidR="00B83BA0" w:rsidRDefault="00B83BA0" w:rsidP="00B83BA0">
      <w:pPr>
        <w:rPr>
          <w:rFonts w:eastAsiaTheme="majorEastAsia" w:cstheme="minorHAnsi"/>
          <w:szCs w:val="22"/>
        </w:rPr>
      </w:pPr>
      <w:r>
        <w:rPr>
          <w:rFonts w:eastAsiaTheme="majorEastAsia" w:cstheme="minorHAnsi"/>
          <w:szCs w:val="22"/>
        </w:rPr>
        <w:t xml:space="preserve">Under Option 2, a regulatory save for individuals comes from the time they </w:t>
      </w:r>
      <w:r w:rsidR="00884EA6">
        <w:rPr>
          <w:rFonts w:eastAsiaTheme="majorEastAsia" w:cstheme="minorHAnsi"/>
          <w:szCs w:val="22"/>
        </w:rPr>
        <w:t xml:space="preserve">would </w:t>
      </w:r>
      <w:r>
        <w:rPr>
          <w:rFonts w:eastAsiaTheme="majorEastAsia" w:cstheme="minorHAnsi"/>
          <w:szCs w:val="22"/>
        </w:rPr>
        <w:t xml:space="preserve">save </w:t>
      </w:r>
      <w:r w:rsidR="00687D10">
        <w:rPr>
          <w:rFonts w:eastAsiaTheme="majorEastAsia" w:cstheme="minorHAnsi"/>
          <w:szCs w:val="22"/>
        </w:rPr>
        <w:t>through</w:t>
      </w:r>
      <w:r>
        <w:rPr>
          <w:rFonts w:eastAsiaTheme="majorEastAsia" w:cstheme="minorHAnsi"/>
          <w:szCs w:val="22"/>
        </w:rPr>
        <w:t xml:space="preserve"> </w:t>
      </w:r>
      <w:r w:rsidR="00C76870">
        <w:rPr>
          <w:rFonts w:eastAsiaTheme="majorEastAsia" w:cstheme="minorHAnsi"/>
          <w:szCs w:val="22"/>
        </w:rPr>
        <w:t xml:space="preserve">either </w:t>
      </w:r>
      <w:r w:rsidR="00516CD0">
        <w:rPr>
          <w:rFonts w:eastAsiaTheme="majorEastAsia" w:cstheme="minorHAnsi"/>
          <w:szCs w:val="22"/>
        </w:rPr>
        <w:t>greater efficiency</w:t>
      </w:r>
      <w:r w:rsidR="001C3EDD">
        <w:rPr>
          <w:rFonts w:eastAsiaTheme="majorEastAsia" w:cstheme="minorHAnsi"/>
          <w:szCs w:val="22"/>
        </w:rPr>
        <w:t xml:space="preserve"> in</w:t>
      </w:r>
      <w:r w:rsidR="000A586A">
        <w:rPr>
          <w:rFonts w:eastAsiaTheme="majorEastAsia" w:cstheme="minorHAnsi"/>
          <w:szCs w:val="22"/>
        </w:rPr>
        <w:t xml:space="preserve"> unpaid SG</w:t>
      </w:r>
      <w:r w:rsidR="00237754">
        <w:rPr>
          <w:rFonts w:eastAsiaTheme="majorEastAsia" w:cstheme="minorHAnsi"/>
          <w:szCs w:val="22"/>
        </w:rPr>
        <w:t xml:space="preserve"> case</w:t>
      </w:r>
      <w:r w:rsidR="00516CD0">
        <w:rPr>
          <w:rFonts w:eastAsiaTheme="majorEastAsia" w:cstheme="minorHAnsi"/>
          <w:szCs w:val="22"/>
        </w:rPr>
        <w:t>s processed</w:t>
      </w:r>
      <w:r w:rsidR="001C3EDD">
        <w:rPr>
          <w:rFonts w:eastAsiaTheme="majorEastAsia" w:cstheme="minorHAnsi"/>
          <w:szCs w:val="22"/>
        </w:rPr>
        <w:t xml:space="preserve"> </w:t>
      </w:r>
      <w:r w:rsidR="00516CD0">
        <w:rPr>
          <w:rFonts w:eastAsiaTheme="majorEastAsia" w:cstheme="minorHAnsi"/>
          <w:szCs w:val="22"/>
        </w:rPr>
        <w:t>by</w:t>
      </w:r>
      <w:r w:rsidR="001C3EDD">
        <w:rPr>
          <w:rFonts w:eastAsiaTheme="majorEastAsia" w:cstheme="minorHAnsi"/>
          <w:szCs w:val="22"/>
        </w:rPr>
        <w:t xml:space="preserve"> the ATO or </w:t>
      </w:r>
      <w:r w:rsidR="006648C5">
        <w:rPr>
          <w:rFonts w:eastAsiaTheme="majorEastAsia" w:cstheme="minorHAnsi"/>
          <w:szCs w:val="22"/>
        </w:rPr>
        <w:t>reduced</w:t>
      </w:r>
      <w:r>
        <w:rPr>
          <w:rFonts w:eastAsiaTheme="majorEastAsia" w:cstheme="minorHAnsi"/>
          <w:szCs w:val="22"/>
        </w:rPr>
        <w:t xml:space="preserve"> need to engage with the ATO to raise a complaint about unpaid SG</w:t>
      </w:r>
      <w:r w:rsidR="00002826">
        <w:rPr>
          <w:rFonts w:eastAsiaTheme="majorEastAsia" w:cstheme="minorHAnsi"/>
          <w:szCs w:val="22"/>
        </w:rPr>
        <w:t>. This is</w:t>
      </w:r>
      <w:r>
        <w:rPr>
          <w:rFonts w:eastAsiaTheme="majorEastAsia" w:cstheme="minorHAnsi"/>
          <w:szCs w:val="22"/>
        </w:rPr>
        <w:t xml:space="preserve"> due to automatic data matching</w:t>
      </w:r>
      <w:r w:rsidR="00002826">
        <w:rPr>
          <w:rFonts w:eastAsiaTheme="majorEastAsia" w:cstheme="minorHAnsi"/>
          <w:szCs w:val="22"/>
        </w:rPr>
        <w:t xml:space="preserve"> given the ATO more </w:t>
      </w:r>
      <w:r w:rsidR="001247D8">
        <w:rPr>
          <w:rFonts w:eastAsiaTheme="majorEastAsia" w:cstheme="minorHAnsi"/>
          <w:szCs w:val="22"/>
        </w:rPr>
        <w:t xml:space="preserve">efficient and effective data matching capabilities and </w:t>
      </w:r>
      <w:r w:rsidR="00002826">
        <w:rPr>
          <w:rFonts w:eastAsiaTheme="majorEastAsia" w:cstheme="minorHAnsi"/>
          <w:szCs w:val="22"/>
        </w:rPr>
        <w:t>timely oversight of unpaid SG liabilities</w:t>
      </w:r>
      <w:r>
        <w:rPr>
          <w:rFonts w:eastAsiaTheme="majorEastAsia" w:cstheme="minorHAnsi"/>
          <w:szCs w:val="22"/>
        </w:rPr>
        <w:t xml:space="preserve">. </w:t>
      </w:r>
    </w:p>
    <w:p w14:paraId="295A0BE1" w14:textId="77777777" w:rsidR="00242510" w:rsidRDefault="001B6C77" w:rsidP="00B83BA0">
      <w:pPr>
        <w:rPr>
          <w:rFonts w:eastAsiaTheme="majorEastAsia" w:cstheme="minorHAnsi"/>
          <w:szCs w:val="22"/>
        </w:rPr>
      </w:pPr>
      <w:r w:rsidRPr="001B6C77">
        <w:rPr>
          <w:rFonts w:eastAsiaTheme="majorEastAsia" w:cstheme="minorHAnsi"/>
          <w:szCs w:val="22"/>
        </w:rPr>
        <w:t xml:space="preserve">Data for the number of individuals (15,200) benefitting from the change is based on the SG cases finalised in 2021-22 which were raised through an employee complaint with the ATO, published on their website. </w:t>
      </w:r>
    </w:p>
    <w:p w14:paraId="420E3EF9" w14:textId="2FBC034E" w:rsidR="00B83BA0" w:rsidRDefault="00630825" w:rsidP="00B83BA0">
      <w:pPr>
        <w:rPr>
          <w:rFonts w:eastAsiaTheme="majorEastAsia" w:cstheme="minorHAnsi"/>
          <w:szCs w:val="22"/>
        </w:rPr>
      </w:pPr>
      <w:r>
        <w:rPr>
          <w:rFonts w:eastAsiaTheme="majorEastAsia" w:cstheme="minorHAnsi"/>
          <w:szCs w:val="22"/>
        </w:rPr>
        <w:t>Several</w:t>
      </w:r>
      <w:r w:rsidR="00977075">
        <w:rPr>
          <w:rFonts w:eastAsiaTheme="majorEastAsia" w:cstheme="minorHAnsi"/>
          <w:szCs w:val="22"/>
        </w:rPr>
        <w:t xml:space="preserve"> </w:t>
      </w:r>
      <w:r w:rsidR="0041453C">
        <w:rPr>
          <w:rFonts w:eastAsiaTheme="majorEastAsia" w:cstheme="minorHAnsi"/>
          <w:szCs w:val="22"/>
        </w:rPr>
        <w:t xml:space="preserve">further </w:t>
      </w:r>
      <w:r w:rsidR="00977075">
        <w:rPr>
          <w:rFonts w:eastAsiaTheme="majorEastAsia" w:cstheme="minorHAnsi"/>
          <w:szCs w:val="22"/>
        </w:rPr>
        <w:t>a</w:t>
      </w:r>
      <w:r w:rsidR="00B83BA0">
        <w:rPr>
          <w:rFonts w:eastAsiaTheme="majorEastAsia" w:cstheme="minorHAnsi"/>
          <w:szCs w:val="22"/>
        </w:rPr>
        <w:t xml:space="preserve">ssumptions </w:t>
      </w:r>
      <w:r w:rsidR="00977075">
        <w:rPr>
          <w:rFonts w:eastAsiaTheme="majorEastAsia" w:cstheme="minorHAnsi"/>
          <w:szCs w:val="22"/>
        </w:rPr>
        <w:t>were made</w:t>
      </w:r>
      <w:r w:rsidR="00B83BA0">
        <w:rPr>
          <w:rFonts w:eastAsiaTheme="majorEastAsia" w:cstheme="minorHAnsi"/>
          <w:szCs w:val="22"/>
        </w:rPr>
        <w:t xml:space="preserve"> to calculate </w:t>
      </w:r>
      <w:r w:rsidR="00797517">
        <w:rPr>
          <w:rFonts w:eastAsiaTheme="majorEastAsia" w:cstheme="minorHAnsi"/>
          <w:szCs w:val="22"/>
        </w:rPr>
        <w:t xml:space="preserve">the </w:t>
      </w:r>
      <w:r w:rsidR="00B83BA0">
        <w:rPr>
          <w:rFonts w:eastAsiaTheme="majorEastAsia" w:cstheme="minorHAnsi"/>
          <w:szCs w:val="22"/>
        </w:rPr>
        <w:t xml:space="preserve">regulatory save </w:t>
      </w:r>
      <w:r w:rsidR="00977075">
        <w:rPr>
          <w:rFonts w:eastAsiaTheme="majorEastAsia" w:cstheme="minorHAnsi"/>
          <w:szCs w:val="22"/>
        </w:rPr>
        <w:t>for individuals</w:t>
      </w:r>
      <w:r w:rsidR="00B83BA0">
        <w:rPr>
          <w:rFonts w:eastAsiaTheme="majorEastAsia" w:cstheme="minorHAnsi"/>
          <w:szCs w:val="22"/>
        </w:rPr>
        <w:t>:</w:t>
      </w:r>
    </w:p>
    <w:p w14:paraId="12093F35" w14:textId="72AF8F95" w:rsidR="00B83BA0" w:rsidRDefault="00B83BA0" w:rsidP="0059497D">
      <w:pPr>
        <w:pStyle w:val="Bullet"/>
      </w:pPr>
      <w:r>
        <w:t xml:space="preserve">Individuals would save </w:t>
      </w:r>
      <w:r w:rsidRPr="00D841BC">
        <w:t>an hour</w:t>
      </w:r>
      <w:r>
        <w:t xml:space="preserve"> of their time per year from </w:t>
      </w:r>
      <w:r w:rsidR="00237754">
        <w:t>either more efficient ATO data matching processes in SG cases or reduced</w:t>
      </w:r>
      <w:r w:rsidR="00125A8B">
        <w:t xml:space="preserve"> need to </w:t>
      </w:r>
      <w:r w:rsidR="0082793C">
        <w:t>identify unpaid SG</w:t>
      </w:r>
      <w:r>
        <w:t xml:space="preserve"> </w:t>
      </w:r>
      <w:r w:rsidR="0082793C">
        <w:t>amounts</w:t>
      </w:r>
      <w:r>
        <w:t xml:space="preserve"> and rais</w:t>
      </w:r>
      <w:r w:rsidR="0082793C">
        <w:t>e</w:t>
      </w:r>
      <w:r>
        <w:t xml:space="preserve"> a complaint with the ATO.</w:t>
      </w:r>
      <w:r w:rsidR="00F82400">
        <w:t xml:space="preserve"> However, i</w:t>
      </w:r>
      <w:r>
        <w:t xml:space="preserve">ndividuals would still </w:t>
      </w:r>
      <w:r w:rsidR="00F82400">
        <w:t xml:space="preserve">be required to </w:t>
      </w:r>
      <w:r>
        <w:t xml:space="preserve">engage with the ATO notification process </w:t>
      </w:r>
      <w:r w:rsidR="00BF31E4">
        <w:t>for</w:t>
      </w:r>
      <w:r>
        <w:t xml:space="preserve"> the recovery of unpaid SG even with automatic data matching.</w:t>
      </w:r>
    </w:p>
    <w:p w14:paraId="07CA8569" w14:textId="5DB96F40" w:rsidR="00B83BA0" w:rsidRDefault="00B83BA0" w:rsidP="0059497D">
      <w:pPr>
        <w:pStyle w:val="Bullet"/>
      </w:pPr>
      <w:r>
        <w:t>The Office of Impact Analysis Regulatory Burden Measurement Framework was used to determine a non-work</w:t>
      </w:r>
      <w:r w:rsidR="004F5971">
        <w:t>-</w:t>
      </w:r>
      <w:r>
        <w:t>related labour cost of $</w:t>
      </w:r>
      <w:r w:rsidRPr="00D841BC">
        <w:t>36</w:t>
      </w:r>
      <w:r>
        <w:t xml:space="preserve"> per hour. </w:t>
      </w:r>
    </w:p>
    <w:p w14:paraId="7F6CC69C" w14:textId="35E88510" w:rsidR="00B83BA0" w:rsidRDefault="00FD1E71" w:rsidP="0059497D">
      <w:pPr>
        <w:pStyle w:val="Bullet"/>
        <w:numPr>
          <w:ilvl w:val="0"/>
          <w:numId w:val="0"/>
        </w:numPr>
        <w:ind w:left="520" w:hanging="520"/>
      </w:pPr>
      <w:r>
        <w:t>Based on these assumptions, t</w:t>
      </w:r>
      <w:r w:rsidR="00B83BA0">
        <w:t xml:space="preserve">he total annual average regulatory savings for individuals </w:t>
      </w:r>
      <w:r>
        <w:t>would be</w:t>
      </w:r>
      <w:r w:rsidR="00B83BA0">
        <w:t xml:space="preserve"> </w:t>
      </w:r>
      <w:r w:rsidR="00797517">
        <w:t>$</w:t>
      </w:r>
      <w:r w:rsidR="00B83BA0">
        <w:t>0.</w:t>
      </w:r>
      <w:r w:rsidR="00FE434C">
        <w:t>5</w:t>
      </w:r>
      <w:r w:rsidR="00B83BA0">
        <w:t xml:space="preserve"> million. </w:t>
      </w:r>
    </w:p>
    <w:p w14:paraId="187EB88B" w14:textId="7E90B72F" w:rsidR="00B83BA0" w:rsidRDefault="00B83BA0" w:rsidP="00610023">
      <w:pPr>
        <w:pStyle w:val="Heading4"/>
        <w:rPr>
          <w:rFonts w:eastAsiaTheme="majorEastAsia" w:cstheme="majorBidi"/>
          <w:i w:val="0"/>
          <w:color w:val="014463" w:themeColor="text2"/>
          <w:sz w:val="24"/>
        </w:rPr>
      </w:pPr>
      <w:r w:rsidRPr="004F0132">
        <w:t xml:space="preserve">Methodology used to estimate regulatory costs for </w:t>
      </w:r>
      <w:r>
        <w:rPr>
          <w:rFonts w:eastAsiaTheme="majorEastAsia" w:cstheme="majorBidi"/>
          <w:i w:val="0"/>
          <w:color w:val="014463" w:themeColor="text2"/>
          <w:sz w:val="24"/>
        </w:rPr>
        <w:t>business</w:t>
      </w:r>
      <w:r w:rsidR="00977075">
        <w:rPr>
          <w:rFonts w:eastAsiaTheme="majorEastAsia" w:cstheme="majorBidi"/>
          <w:i w:val="0"/>
          <w:color w:val="014463" w:themeColor="text2"/>
          <w:sz w:val="24"/>
        </w:rPr>
        <w:t>es</w:t>
      </w:r>
    </w:p>
    <w:p w14:paraId="507A7ADF" w14:textId="39B26F98" w:rsidR="00B83BA0" w:rsidRDefault="00B83BA0" w:rsidP="00B83BA0">
      <w:pPr>
        <w:rPr>
          <w:rFonts w:eastAsiaTheme="majorEastAsia" w:cstheme="minorHAnsi"/>
          <w:szCs w:val="22"/>
        </w:rPr>
      </w:pPr>
      <w:r>
        <w:rPr>
          <w:rFonts w:eastAsiaTheme="majorEastAsia" w:cstheme="minorHAnsi"/>
          <w:szCs w:val="22"/>
        </w:rPr>
        <w:t xml:space="preserve">Under Option 2, a regulatory cost for superannuation funds and digital services providers comes from the time it </w:t>
      </w:r>
      <w:r w:rsidR="00884EA6">
        <w:rPr>
          <w:rFonts w:eastAsiaTheme="majorEastAsia" w:cstheme="minorHAnsi"/>
          <w:szCs w:val="22"/>
        </w:rPr>
        <w:t>would</w:t>
      </w:r>
      <w:r>
        <w:rPr>
          <w:rFonts w:eastAsiaTheme="majorEastAsia" w:cstheme="minorHAnsi"/>
          <w:szCs w:val="22"/>
        </w:rPr>
        <w:t xml:space="preserve"> take to </w:t>
      </w:r>
      <w:r w:rsidR="00171DAE">
        <w:rPr>
          <w:rFonts w:eastAsiaTheme="majorEastAsia" w:cstheme="minorHAnsi"/>
          <w:szCs w:val="22"/>
        </w:rPr>
        <w:t xml:space="preserve">provide appropriate guidance by updating </w:t>
      </w:r>
      <w:r>
        <w:rPr>
          <w:rFonts w:eastAsiaTheme="majorEastAsia" w:cstheme="minorHAnsi"/>
          <w:szCs w:val="22"/>
        </w:rPr>
        <w:t>their documentation and communication</w:t>
      </w:r>
      <w:r w:rsidR="00104F80">
        <w:rPr>
          <w:rFonts w:eastAsiaTheme="majorEastAsia" w:cstheme="minorHAnsi"/>
          <w:szCs w:val="22"/>
        </w:rPr>
        <w:t>s</w:t>
      </w:r>
      <w:r>
        <w:rPr>
          <w:rFonts w:eastAsiaTheme="majorEastAsia" w:cstheme="minorHAnsi"/>
          <w:szCs w:val="22"/>
        </w:rPr>
        <w:t xml:space="preserve"> </w:t>
      </w:r>
      <w:r w:rsidR="002D5826">
        <w:rPr>
          <w:rFonts w:eastAsiaTheme="majorEastAsia" w:cstheme="minorHAnsi"/>
          <w:szCs w:val="22"/>
        </w:rPr>
        <w:t>to employers</w:t>
      </w:r>
      <w:r>
        <w:rPr>
          <w:rFonts w:eastAsiaTheme="majorEastAsia" w:cstheme="minorHAnsi"/>
          <w:szCs w:val="22"/>
        </w:rPr>
        <w:t xml:space="preserve"> regarding </w:t>
      </w:r>
      <w:r w:rsidR="00183A2F">
        <w:rPr>
          <w:rFonts w:eastAsiaTheme="majorEastAsia" w:cstheme="minorHAnsi"/>
          <w:szCs w:val="22"/>
        </w:rPr>
        <w:t>of</w:t>
      </w:r>
      <w:r>
        <w:rPr>
          <w:rFonts w:eastAsiaTheme="majorEastAsia" w:cstheme="minorHAnsi"/>
          <w:szCs w:val="22"/>
        </w:rPr>
        <w:t xml:space="preserve"> unpaid SG</w:t>
      </w:r>
      <w:r w:rsidR="00183A2F">
        <w:rPr>
          <w:rFonts w:eastAsiaTheme="majorEastAsia" w:cstheme="minorHAnsi"/>
          <w:szCs w:val="22"/>
        </w:rPr>
        <w:t xml:space="preserve"> and improved capability of the ATO to identify unpaid amounts</w:t>
      </w:r>
      <w:r>
        <w:rPr>
          <w:rFonts w:eastAsiaTheme="majorEastAsia" w:cstheme="minorHAnsi"/>
          <w:szCs w:val="22"/>
        </w:rPr>
        <w:t xml:space="preserve">. </w:t>
      </w:r>
    </w:p>
    <w:p w14:paraId="05C896B4" w14:textId="22DD2966" w:rsidR="00B83BA0" w:rsidRDefault="00B83BA0" w:rsidP="00B83BA0">
      <w:pPr>
        <w:rPr>
          <w:rFonts w:eastAsiaTheme="majorEastAsia" w:cstheme="minorHAnsi"/>
          <w:szCs w:val="22"/>
        </w:rPr>
      </w:pPr>
      <w:r>
        <w:rPr>
          <w:rFonts w:eastAsiaTheme="majorEastAsia" w:cstheme="minorHAnsi"/>
          <w:szCs w:val="22"/>
        </w:rPr>
        <w:t xml:space="preserve">Data for the number of superannuation funds affected is from the January 2023 APRA superannuation bulletin (1,530) and unique digital service providers as listed on the ATO website (57). </w:t>
      </w:r>
    </w:p>
    <w:p w14:paraId="7B4A3B1F" w14:textId="54EE1424" w:rsidR="00B83BA0" w:rsidRDefault="00B45F0B" w:rsidP="00B83BA0">
      <w:pPr>
        <w:rPr>
          <w:rFonts w:eastAsiaTheme="majorEastAsia" w:cstheme="minorHAnsi"/>
          <w:szCs w:val="22"/>
        </w:rPr>
      </w:pPr>
      <w:r>
        <w:rPr>
          <w:rFonts w:eastAsiaTheme="majorEastAsia" w:cstheme="minorHAnsi"/>
          <w:szCs w:val="22"/>
        </w:rPr>
        <w:t>Several</w:t>
      </w:r>
      <w:r w:rsidR="00977075">
        <w:rPr>
          <w:rFonts w:eastAsiaTheme="majorEastAsia" w:cstheme="minorHAnsi"/>
          <w:szCs w:val="22"/>
        </w:rPr>
        <w:t xml:space="preserve"> </w:t>
      </w:r>
      <w:r w:rsidR="0041453C">
        <w:rPr>
          <w:rFonts w:eastAsiaTheme="majorEastAsia" w:cstheme="minorHAnsi"/>
          <w:szCs w:val="22"/>
        </w:rPr>
        <w:t xml:space="preserve">further </w:t>
      </w:r>
      <w:r w:rsidR="00B83BA0">
        <w:rPr>
          <w:rFonts w:eastAsiaTheme="majorEastAsia" w:cstheme="minorHAnsi"/>
          <w:szCs w:val="22"/>
        </w:rPr>
        <w:t xml:space="preserve">assumptions </w:t>
      </w:r>
      <w:r w:rsidR="00977075">
        <w:rPr>
          <w:rFonts w:eastAsiaTheme="majorEastAsia" w:cstheme="minorHAnsi"/>
          <w:szCs w:val="22"/>
        </w:rPr>
        <w:t xml:space="preserve">were made </w:t>
      </w:r>
      <w:r w:rsidR="00B83BA0">
        <w:rPr>
          <w:rFonts w:eastAsiaTheme="majorEastAsia" w:cstheme="minorHAnsi"/>
          <w:szCs w:val="22"/>
        </w:rPr>
        <w:t xml:space="preserve">to calculate </w:t>
      </w:r>
      <w:r w:rsidR="00977075">
        <w:rPr>
          <w:rFonts w:eastAsiaTheme="majorEastAsia" w:cstheme="minorHAnsi"/>
          <w:szCs w:val="22"/>
        </w:rPr>
        <w:t>the</w:t>
      </w:r>
      <w:r w:rsidR="00B83BA0">
        <w:rPr>
          <w:rFonts w:eastAsiaTheme="majorEastAsia" w:cstheme="minorHAnsi"/>
          <w:szCs w:val="22"/>
        </w:rPr>
        <w:t xml:space="preserve"> regulatory costs </w:t>
      </w:r>
      <w:r w:rsidR="00977075">
        <w:rPr>
          <w:rFonts w:eastAsiaTheme="majorEastAsia" w:cstheme="minorHAnsi"/>
          <w:szCs w:val="22"/>
        </w:rPr>
        <w:t>for businesses</w:t>
      </w:r>
      <w:r w:rsidR="00B83BA0">
        <w:rPr>
          <w:rFonts w:eastAsiaTheme="majorEastAsia" w:cstheme="minorHAnsi"/>
          <w:szCs w:val="22"/>
        </w:rPr>
        <w:t>:</w:t>
      </w:r>
    </w:p>
    <w:p w14:paraId="69CB1C41" w14:textId="2573D6E7" w:rsidR="00B83BA0" w:rsidRDefault="00B83BA0" w:rsidP="0059497D">
      <w:pPr>
        <w:pStyle w:val="Bullet"/>
      </w:pPr>
      <w:r>
        <w:t xml:space="preserve">3 staff from </w:t>
      </w:r>
      <w:r w:rsidR="00977075">
        <w:t>each</w:t>
      </w:r>
      <w:r>
        <w:t xml:space="preserve"> superannuation fund would be required to make the update</w:t>
      </w:r>
      <w:r w:rsidR="00EC5A72">
        <w:t>s</w:t>
      </w:r>
      <w:r w:rsidR="00B9735E">
        <w:t xml:space="preserve"> to guidance for employers</w:t>
      </w:r>
      <w:r w:rsidR="00EC5A72">
        <w:t xml:space="preserve">, </w:t>
      </w:r>
      <w:r>
        <w:t>on average tak</w:t>
      </w:r>
      <w:r w:rsidR="00EC5A72">
        <w:t>ing</w:t>
      </w:r>
      <w:r>
        <w:t xml:space="preserve"> 1.5 hours each.</w:t>
      </w:r>
    </w:p>
    <w:p w14:paraId="3007DD87" w14:textId="78E9A689" w:rsidR="00B83BA0" w:rsidRDefault="00B83BA0" w:rsidP="0059497D">
      <w:pPr>
        <w:pStyle w:val="Bullet"/>
      </w:pPr>
      <w:r>
        <w:t xml:space="preserve">3 staff from each digital service provider would take approximately 8 hours each to update their </w:t>
      </w:r>
      <w:r w:rsidR="00B9735E">
        <w:t>guidance for employers</w:t>
      </w:r>
      <w:r w:rsidR="00590771">
        <w:t>.</w:t>
      </w:r>
      <w:r w:rsidR="00B9735E">
        <w:t xml:space="preserve"> </w:t>
      </w:r>
    </w:p>
    <w:p w14:paraId="38CA5DCF" w14:textId="32FA78BB" w:rsidR="00B83BA0" w:rsidRDefault="00B83BA0" w:rsidP="0059497D">
      <w:pPr>
        <w:pStyle w:val="Bullet"/>
      </w:pPr>
      <w:r>
        <w:t>The Office of Impact Analysis</w:t>
      </w:r>
      <w:r w:rsidRPr="00A36E4D">
        <w:t xml:space="preserve"> </w:t>
      </w:r>
      <w:r>
        <w:t xml:space="preserve">Regulatory Burden Measurement Framework was used to determine a work-related labour cost of $79.63 per hour. </w:t>
      </w:r>
    </w:p>
    <w:p w14:paraId="48C84C4A" w14:textId="62055F92" w:rsidR="005465F0" w:rsidRDefault="00FD1E71">
      <w:pPr>
        <w:pStyle w:val="Bullet"/>
        <w:numPr>
          <w:ilvl w:val="0"/>
          <w:numId w:val="0"/>
        </w:numPr>
      </w:pPr>
      <w:r>
        <w:t>Based on these assumptions, t</w:t>
      </w:r>
      <w:r w:rsidR="00B83BA0">
        <w:t xml:space="preserve">he total annual average regulatory cost for businesses </w:t>
      </w:r>
      <w:r>
        <w:t>would be</w:t>
      </w:r>
      <w:r w:rsidR="00B83BA0">
        <w:t xml:space="preserve"> </w:t>
      </w:r>
      <w:r>
        <w:t>$</w:t>
      </w:r>
      <w:r w:rsidR="00B83BA0">
        <w:t xml:space="preserve">0.1 million. </w:t>
      </w:r>
    </w:p>
    <w:p w14:paraId="403D4541" w14:textId="1338C2A1" w:rsidR="00BF6186" w:rsidRDefault="00BF6186">
      <w:pPr>
        <w:rPr>
          <w:rFonts w:ascii="Calibri" w:eastAsia="Calibri" w:hAnsi="Calibri" w:cs="Calibri"/>
          <w:szCs w:val="22"/>
          <w:lang w:val="en-GB"/>
        </w:rPr>
      </w:pPr>
      <w:r>
        <w:br w:type="page"/>
      </w:r>
    </w:p>
    <w:p w14:paraId="2BB7E365" w14:textId="117F2D8A" w:rsidR="00C869E7" w:rsidRPr="008D5B7B" w:rsidRDefault="00C869E7" w:rsidP="008D5B7B">
      <w:pPr>
        <w:pStyle w:val="Heading3"/>
      </w:pPr>
      <w:bookmarkStart w:id="84" w:name="_Toc134198498"/>
      <w:r>
        <w:t>Option 3</w:t>
      </w:r>
      <w:bookmarkEnd w:id="84"/>
    </w:p>
    <w:p w14:paraId="40C62CCF" w14:textId="652A70F7" w:rsidR="00454A34" w:rsidRDefault="00454A34" w:rsidP="00610023">
      <w:pPr>
        <w:pStyle w:val="Heading4"/>
        <w:rPr>
          <w:rFonts w:eastAsiaTheme="majorEastAsia" w:cstheme="majorBidi"/>
          <w:i w:val="0"/>
          <w:color w:val="014463" w:themeColor="text2"/>
          <w:sz w:val="24"/>
        </w:rPr>
      </w:pPr>
      <w:r w:rsidRPr="004F0132">
        <w:t xml:space="preserve">Methodology used to estimate regulatory costs for individuals </w:t>
      </w:r>
    </w:p>
    <w:p w14:paraId="0DB1D619" w14:textId="746BA097" w:rsidR="00454A34" w:rsidRDefault="00454A34" w:rsidP="00454A34">
      <w:pPr>
        <w:rPr>
          <w:rFonts w:eastAsiaTheme="majorEastAsia" w:cstheme="minorHAnsi"/>
          <w:szCs w:val="22"/>
        </w:rPr>
      </w:pPr>
      <w:r>
        <w:rPr>
          <w:rFonts w:eastAsiaTheme="majorEastAsia" w:cstheme="minorHAnsi"/>
          <w:szCs w:val="22"/>
        </w:rPr>
        <w:t xml:space="preserve">Under Option 3, a regulatory save for individuals comes from the time they </w:t>
      </w:r>
      <w:r w:rsidR="002601E2">
        <w:rPr>
          <w:rFonts w:eastAsiaTheme="majorEastAsia" w:cstheme="minorHAnsi"/>
          <w:szCs w:val="22"/>
        </w:rPr>
        <w:t xml:space="preserve">would </w:t>
      </w:r>
      <w:r>
        <w:rPr>
          <w:rFonts w:eastAsiaTheme="majorEastAsia" w:cstheme="minorHAnsi"/>
          <w:szCs w:val="22"/>
        </w:rPr>
        <w:t xml:space="preserve">save </w:t>
      </w:r>
      <w:r w:rsidR="00516CD0">
        <w:rPr>
          <w:rFonts w:eastAsiaTheme="majorEastAsia" w:cstheme="minorHAnsi"/>
          <w:szCs w:val="22"/>
        </w:rPr>
        <w:t>through either greater efficiency in unpaid SG cases processed by the ATO</w:t>
      </w:r>
      <w:r w:rsidR="00A74972">
        <w:rPr>
          <w:rFonts w:eastAsiaTheme="majorEastAsia" w:cstheme="minorHAnsi"/>
          <w:szCs w:val="22"/>
        </w:rPr>
        <w:t xml:space="preserve"> </w:t>
      </w:r>
      <w:r w:rsidR="006648C5">
        <w:rPr>
          <w:rFonts w:eastAsiaTheme="majorEastAsia" w:cstheme="minorHAnsi"/>
          <w:szCs w:val="22"/>
        </w:rPr>
        <w:t xml:space="preserve">or reduced </w:t>
      </w:r>
      <w:r>
        <w:rPr>
          <w:rFonts w:eastAsiaTheme="majorEastAsia" w:cstheme="minorHAnsi"/>
          <w:szCs w:val="22"/>
        </w:rPr>
        <w:t>need to engage with the ATO to raise a complaint about unpaid SG</w:t>
      </w:r>
      <w:r w:rsidR="002601E2">
        <w:rPr>
          <w:rFonts w:eastAsiaTheme="majorEastAsia" w:cstheme="minorHAnsi"/>
          <w:szCs w:val="22"/>
        </w:rPr>
        <w:t>. This is</w:t>
      </w:r>
      <w:r>
        <w:rPr>
          <w:rFonts w:eastAsiaTheme="majorEastAsia" w:cstheme="minorHAnsi"/>
          <w:szCs w:val="22"/>
        </w:rPr>
        <w:t xml:space="preserve"> due to SG being paid more frequently </w:t>
      </w:r>
      <w:r w:rsidR="002601E2">
        <w:rPr>
          <w:rFonts w:eastAsiaTheme="majorEastAsia" w:cstheme="minorHAnsi"/>
          <w:szCs w:val="22"/>
        </w:rPr>
        <w:t>(alongside salary and wages)</w:t>
      </w:r>
      <w:r>
        <w:rPr>
          <w:rFonts w:eastAsiaTheme="majorEastAsia" w:cstheme="minorHAnsi"/>
          <w:szCs w:val="22"/>
        </w:rPr>
        <w:t xml:space="preserve">, </w:t>
      </w:r>
      <w:r w:rsidR="002601E2">
        <w:rPr>
          <w:rFonts w:eastAsiaTheme="majorEastAsia" w:cstheme="minorHAnsi"/>
          <w:szCs w:val="22"/>
        </w:rPr>
        <w:t xml:space="preserve">which alongside automatic data matching would </w:t>
      </w:r>
      <w:r>
        <w:rPr>
          <w:rFonts w:eastAsiaTheme="majorEastAsia" w:cstheme="minorHAnsi"/>
          <w:szCs w:val="22"/>
        </w:rPr>
        <w:t>allow</w:t>
      </w:r>
      <w:r w:rsidR="002601E2">
        <w:rPr>
          <w:rFonts w:eastAsiaTheme="majorEastAsia" w:cstheme="minorHAnsi"/>
          <w:szCs w:val="22"/>
        </w:rPr>
        <w:t xml:space="preserve"> </w:t>
      </w:r>
      <w:r>
        <w:rPr>
          <w:rFonts w:eastAsiaTheme="majorEastAsia" w:cstheme="minorHAnsi"/>
          <w:szCs w:val="22"/>
        </w:rPr>
        <w:t xml:space="preserve">earlier detection by the ATO of </w:t>
      </w:r>
      <w:r w:rsidR="002601E2">
        <w:rPr>
          <w:rFonts w:eastAsiaTheme="majorEastAsia" w:cstheme="minorHAnsi"/>
          <w:szCs w:val="22"/>
        </w:rPr>
        <w:t xml:space="preserve">SG </w:t>
      </w:r>
      <w:r>
        <w:rPr>
          <w:rFonts w:eastAsiaTheme="majorEastAsia" w:cstheme="minorHAnsi"/>
          <w:szCs w:val="22"/>
        </w:rPr>
        <w:t xml:space="preserve">non-compliance.  </w:t>
      </w:r>
    </w:p>
    <w:p w14:paraId="1842682C" w14:textId="24BF263C" w:rsidR="00590771" w:rsidRPr="006B40BC" w:rsidRDefault="00590771" w:rsidP="00590771">
      <w:pPr>
        <w:pStyle w:val="CommentText"/>
      </w:pPr>
      <w:r w:rsidRPr="006B40BC">
        <w:rPr>
          <w:rFonts w:eastAsiaTheme="majorEastAsia" w:cstheme="minorHAnsi"/>
          <w:szCs w:val="22"/>
        </w:rPr>
        <w:t>Data for the number of individuals (1</w:t>
      </w:r>
      <w:r>
        <w:rPr>
          <w:rFonts w:eastAsiaTheme="majorEastAsia" w:cstheme="minorHAnsi"/>
          <w:szCs w:val="22"/>
        </w:rPr>
        <w:t>5</w:t>
      </w:r>
      <w:r w:rsidRPr="006B40BC">
        <w:rPr>
          <w:rFonts w:eastAsiaTheme="majorEastAsia" w:cstheme="minorHAnsi"/>
          <w:szCs w:val="22"/>
        </w:rPr>
        <w:t>,</w:t>
      </w:r>
      <w:r>
        <w:rPr>
          <w:rFonts w:eastAsiaTheme="majorEastAsia" w:cstheme="minorHAnsi"/>
          <w:szCs w:val="22"/>
        </w:rPr>
        <w:t>2</w:t>
      </w:r>
      <w:r w:rsidRPr="006B40BC">
        <w:rPr>
          <w:rFonts w:eastAsiaTheme="majorEastAsia" w:cstheme="minorHAnsi"/>
          <w:szCs w:val="22"/>
        </w:rPr>
        <w:t>00)</w:t>
      </w:r>
      <w:r>
        <w:rPr>
          <w:rFonts w:eastAsiaTheme="majorEastAsia" w:cstheme="minorHAnsi"/>
          <w:szCs w:val="22"/>
        </w:rPr>
        <w:t xml:space="preserve"> benefitting from the c</w:t>
      </w:r>
      <w:r>
        <w:t xml:space="preserve">hange is based on the </w:t>
      </w:r>
      <w:r w:rsidR="00142B46">
        <w:t xml:space="preserve">SG </w:t>
      </w:r>
      <w:r w:rsidR="00650C1D">
        <w:t xml:space="preserve">cases </w:t>
      </w:r>
      <w:r w:rsidR="008240F3">
        <w:t xml:space="preserve">finalised </w:t>
      </w:r>
      <w:r w:rsidR="00495914">
        <w:t xml:space="preserve">in 2021-22 </w:t>
      </w:r>
      <w:r w:rsidR="00191137">
        <w:t xml:space="preserve">which </w:t>
      </w:r>
      <w:r w:rsidR="00142B46">
        <w:t>were</w:t>
      </w:r>
      <w:r>
        <w:t xml:space="preserve"> raised </w:t>
      </w:r>
      <w:r w:rsidR="00142B46">
        <w:t xml:space="preserve">through </w:t>
      </w:r>
      <w:r>
        <w:t>a</w:t>
      </w:r>
      <w:r w:rsidR="00142B46">
        <w:t>n</w:t>
      </w:r>
      <w:r>
        <w:t xml:space="preserve"> </w:t>
      </w:r>
      <w:r w:rsidR="00142B46">
        <w:t xml:space="preserve">employee </w:t>
      </w:r>
      <w:r>
        <w:t xml:space="preserve">complaint with the ATO, published on their website. </w:t>
      </w:r>
    </w:p>
    <w:p w14:paraId="157E9CF2" w14:textId="2AB54EEF" w:rsidR="00454A34" w:rsidRDefault="004F5971" w:rsidP="00454A34">
      <w:pPr>
        <w:rPr>
          <w:rFonts w:eastAsiaTheme="majorEastAsia" w:cstheme="minorHAnsi"/>
          <w:szCs w:val="22"/>
        </w:rPr>
      </w:pPr>
      <w:r>
        <w:rPr>
          <w:rFonts w:eastAsiaTheme="majorEastAsia" w:cstheme="minorHAnsi"/>
          <w:szCs w:val="22"/>
        </w:rPr>
        <w:t>Several</w:t>
      </w:r>
      <w:r w:rsidR="002601E2">
        <w:rPr>
          <w:rFonts w:eastAsiaTheme="majorEastAsia" w:cstheme="minorHAnsi"/>
          <w:szCs w:val="22"/>
        </w:rPr>
        <w:t xml:space="preserve"> </w:t>
      </w:r>
      <w:r w:rsidR="0041453C">
        <w:rPr>
          <w:rFonts w:eastAsiaTheme="majorEastAsia" w:cstheme="minorHAnsi"/>
          <w:szCs w:val="22"/>
        </w:rPr>
        <w:t xml:space="preserve">further </w:t>
      </w:r>
      <w:r w:rsidR="002601E2">
        <w:rPr>
          <w:rFonts w:eastAsiaTheme="majorEastAsia" w:cstheme="minorHAnsi"/>
          <w:szCs w:val="22"/>
        </w:rPr>
        <w:t>assumptions were made to calculate the regulatory save for individuals</w:t>
      </w:r>
      <w:r w:rsidR="00454A34">
        <w:rPr>
          <w:rFonts w:eastAsiaTheme="majorEastAsia" w:cstheme="minorHAnsi"/>
          <w:szCs w:val="22"/>
        </w:rPr>
        <w:t>:</w:t>
      </w:r>
    </w:p>
    <w:p w14:paraId="7E748160" w14:textId="5AAE6B39" w:rsidR="00454A34" w:rsidRDefault="00454A34" w:rsidP="008D5B7B">
      <w:pPr>
        <w:pStyle w:val="Bullet"/>
      </w:pPr>
      <w:r>
        <w:t xml:space="preserve">Individuals would save an hour of their time per year from </w:t>
      </w:r>
      <w:r w:rsidR="00237754">
        <w:t xml:space="preserve">either more efficient ATO data matching processes in SG cases or reduced </w:t>
      </w:r>
      <w:r>
        <w:t>reconciling their superannuation and raising a complaint with the ATO.</w:t>
      </w:r>
      <w:r w:rsidR="009E3C34">
        <w:t xml:space="preserve"> However, i</w:t>
      </w:r>
      <w:r>
        <w:t xml:space="preserve">ndividuals would still engage with the ATO notification process about the recovery of unpaid SG even with </w:t>
      </w:r>
      <w:r w:rsidR="00BF4E4D">
        <w:t>greater SG frequency</w:t>
      </w:r>
      <w:r>
        <w:t>.</w:t>
      </w:r>
      <w:r w:rsidR="00DF086A">
        <w:t xml:space="preserve"> If Option 2 and 3 a</w:t>
      </w:r>
      <w:r w:rsidR="00BF4E4D">
        <w:t>re implemented together, automatic data matching will also assist individuals</w:t>
      </w:r>
      <w:r w:rsidR="008E5A00">
        <w:t xml:space="preserve"> in saving </w:t>
      </w:r>
      <w:r w:rsidR="004F5971">
        <w:t>time,</w:t>
      </w:r>
      <w:r w:rsidR="00F622DD">
        <w:t xml:space="preserve"> but it may not result in any further regulatory save</w:t>
      </w:r>
      <w:r w:rsidR="00B71CE6">
        <w:t xml:space="preserve">. </w:t>
      </w:r>
    </w:p>
    <w:p w14:paraId="56943F54" w14:textId="39792931" w:rsidR="00454A34" w:rsidRDefault="00454A34" w:rsidP="008D5B7B">
      <w:pPr>
        <w:pStyle w:val="Bullet"/>
      </w:pPr>
      <w:r>
        <w:t>The Office of Impact Analysis Regulatory Burden Measurement Framework was used to determine a non-work</w:t>
      </w:r>
      <w:r w:rsidR="00FE434C">
        <w:t>-</w:t>
      </w:r>
      <w:r>
        <w:t xml:space="preserve">related labour cost of $36 per hour. </w:t>
      </w:r>
    </w:p>
    <w:p w14:paraId="104E524F" w14:textId="64F4BDE6" w:rsidR="00454A34" w:rsidRDefault="009E3C34" w:rsidP="008D5B7B">
      <w:pPr>
        <w:pStyle w:val="Bullet"/>
        <w:numPr>
          <w:ilvl w:val="0"/>
          <w:numId w:val="0"/>
        </w:numPr>
        <w:ind w:left="520" w:hanging="520"/>
      </w:pPr>
      <w:r>
        <w:t>Based on these assumptions, the total annual average regulatory savings for individuals would be $</w:t>
      </w:r>
      <w:r w:rsidR="00454A34">
        <w:t>0.</w:t>
      </w:r>
      <w:r w:rsidR="00FE434C">
        <w:t>5</w:t>
      </w:r>
      <w:r w:rsidR="00454A34">
        <w:t xml:space="preserve"> million. </w:t>
      </w:r>
    </w:p>
    <w:p w14:paraId="195365C2" w14:textId="0BFBB9E7" w:rsidR="00454A34" w:rsidRDefault="00454A34" w:rsidP="00AA4497">
      <w:pPr>
        <w:pStyle w:val="Heading4"/>
        <w:rPr>
          <w:rFonts w:eastAsiaTheme="majorEastAsia" w:cstheme="majorBidi"/>
          <w:i w:val="0"/>
          <w:color w:val="014463" w:themeColor="text2"/>
          <w:sz w:val="24"/>
        </w:rPr>
      </w:pPr>
      <w:r w:rsidRPr="00307ECA">
        <w:t xml:space="preserve">Methodology used to estimate regulatory costs for </w:t>
      </w:r>
      <w:r w:rsidRPr="00AA4497">
        <w:t>business</w:t>
      </w:r>
      <w:r w:rsidRPr="00307ECA">
        <w:rPr>
          <w:rFonts w:eastAsiaTheme="majorEastAsia" w:cstheme="majorBidi"/>
          <w:i w:val="0"/>
          <w:color w:val="014463" w:themeColor="text2"/>
          <w:sz w:val="24"/>
        </w:rPr>
        <w:t xml:space="preserve"> </w:t>
      </w:r>
    </w:p>
    <w:p w14:paraId="2F737E26" w14:textId="72C105A5" w:rsidR="00454A34" w:rsidRDefault="00454A34" w:rsidP="00454A34">
      <w:pPr>
        <w:rPr>
          <w:rFonts w:eastAsiaTheme="majorEastAsia" w:cstheme="minorHAnsi"/>
          <w:szCs w:val="22"/>
        </w:rPr>
      </w:pPr>
      <w:r>
        <w:rPr>
          <w:rFonts w:eastAsiaTheme="majorEastAsia" w:cstheme="minorHAnsi"/>
          <w:szCs w:val="22"/>
        </w:rPr>
        <w:t xml:space="preserve">Under Option 3, a regulatory cost for digital service providers, employers, superannuation funds and clearing houses comes from the significant </w:t>
      </w:r>
      <w:r w:rsidR="00B40ECD">
        <w:rPr>
          <w:rFonts w:eastAsiaTheme="majorEastAsia" w:cstheme="minorHAnsi"/>
          <w:szCs w:val="22"/>
        </w:rPr>
        <w:t xml:space="preserve">system </w:t>
      </w:r>
      <w:r>
        <w:rPr>
          <w:rFonts w:eastAsiaTheme="majorEastAsia" w:cstheme="minorHAnsi"/>
          <w:szCs w:val="22"/>
        </w:rPr>
        <w:t xml:space="preserve">updates needed to be undertaken to facilitate SG paid </w:t>
      </w:r>
      <w:r w:rsidR="00B40ECD">
        <w:rPr>
          <w:rFonts w:eastAsiaTheme="majorEastAsia" w:cstheme="minorHAnsi"/>
          <w:szCs w:val="22"/>
        </w:rPr>
        <w:t>at</w:t>
      </w:r>
      <w:r>
        <w:rPr>
          <w:rFonts w:eastAsiaTheme="majorEastAsia" w:cstheme="minorHAnsi"/>
          <w:szCs w:val="22"/>
        </w:rPr>
        <w:t xml:space="preserve"> the same frequency as wages.</w:t>
      </w:r>
    </w:p>
    <w:p w14:paraId="7CBB33E5" w14:textId="40F3D7BE" w:rsidR="00454A34" w:rsidRDefault="008F75C9" w:rsidP="00454A34">
      <w:pPr>
        <w:rPr>
          <w:rFonts w:eastAsiaTheme="majorEastAsia" w:cstheme="minorHAnsi"/>
          <w:szCs w:val="22"/>
        </w:rPr>
      </w:pPr>
      <w:r>
        <w:rPr>
          <w:rFonts w:eastAsiaTheme="majorEastAsia" w:cstheme="minorHAnsi"/>
          <w:szCs w:val="22"/>
        </w:rPr>
        <w:t>The number of u</w:t>
      </w:r>
      <w:r w:rsidR="00454A34">
        <w:rPr>
          <w:rFonts w:eastAsiaTheme="majorEastAsia" w:cstheme="minorHAnsi"/>
          <w:szCs w:val="22"/>
        </w:rPr>
        <w:t xml:space="preserve">nique digital service providers </w:t>
      </w:r>
      <w:r w:rsidR="00F447D3">
        <w:rPr>
          <w:rFonts w:eastAsiaTheme="majorEastAsia" w:cstheme="minorHAnsi"/>
          <w:szCs w:val="22"/>
        </w:rPr>
        <w:t xml:space="preserve">and </w:t>
      </w:r>
      <w:r w:rsidR="00D10030">
        <w:rPr>
          <w:rFonts w:eastAsiaTheme="majorEastAsia" w:cstheme="minorHAnsi"/>
          <w:szCs w:val="22"/>
        </w:rPr>
        <w:t xml:space="preserve">superannuation </w:t>
      </w:r>
      <w:r w:rsidR="00F447D3">
        <w:rPr>
          <w:rFonts w:eastAsiaTheme="majorEastAsia" w:cstheme="minorHAnsi"/>
          <w:szCs w:val="22"/>
        </w:rPr>
        <w:t>clearing hous</w:t>
      </w:r>
      <w:r w:rsidR="00D10030">
        <w:rPr>
          <w:rFonts w:eastAsiaTheme="majorEastAsia" w:cstheme="minorHAnsi"/>
          <w:szCs w:val="22"/>
        </w:rPr>
        <w:t>es</w:t>
      </w:r>
      <w:r w:rsidR="00F447D3">
        <w:rPr>
          <w:rFonts w:eastAsiaTheme="majorEastAsia" w:cstheme="minorHAnsi"/>
          <w:szCs w:val="22"/>
        </w:rPr>
        <w:t xml:space="preserve"> </w:t>
      </w:r>
      <w:r>
        <w:rPr>
          <w:rFonts w:eastAsiaTheme="majorEastAsia" w:cstheme="minorHAnsi"/>
          <w:szCs w:val="22"/>
        </w:rPr>
        <w:t xml:space="preserve">assumed to be impacted </w:t>
      </w:r>
      <w:r w:rsidR="003310BF">
        <w:rPr>
          <w:rFonts w:eastAsiaTheme="majorEastAsia" w:cstheme="minorHAnsi"/>
          <w:szCs w:val="22"/>
        </w:rPr>
        <w:t xml:space="preserve">is based on the </w:t>
      </w:r>
      <w:r w:rsidR="00384CE1">
        <w:rPr>
          <w:rFonts w:eastAsiaTheme="majorEastAsia" w:cstheme="minorHAnsi"/>
          <w:szCs w:val="22"/>
        </w:rPr>
        <w:t xml:space="preserve">number of these entities </w:t>
      </w:r>
      <w:r w:rsidR="00454A34">
        <w:rPr>
          <w:rFonts w:eastAsiaTheme="majorEastAsia" w:cstheme="minorHAnsi"/>
          <w:szCs w:val="22"/>
        </w:rPr>
        <w:t>listed on the ATO website</w:t>
      </w:r>
      <w:r w:rsidR="00384CE1">
        <w:rPr>
          <w:rFonts w:eastAsiaTheme="majorEastAsia" w:cstheme="minorHAnsi"/>
          <w:szCs w:val="22"/>
        </w:rPr>
        <w:t xml:space="preserve">, being </w:t>
      </w:r>
      <w:r w:rsidR="00454A34">
        <w:rPr>
          <w:rFonts w:eastAsiaTheme="majorEastAsia" w:cstheme="minorHAnsi"/>
          <w:szCs w:val="22"/>
        </w:rPr>
        <w:t>57</w:t>
      </w:r>
      <w:r w:rsidR="005E5CDE">
        <w:rPr>
          <w:rFonts w:eastAsiaTheme="majorEastAsia" w:cstheme="minorHAnsi"/>
          <w:szCs w:val="22"/>
        </w:rPr>
        <w:t xml:space="preserve"> and 8 respectively</w:t>
      </w:r>
      <w:r w:rsidR="00454A34">
        <w:rPr>
          <w:rFonts w:eastAsiaTheme="majorEastAsia" w:cstheme="minorHAnsi"/>
          <w:szCs w:val="22"/>
        </w:rPr>
        <w:t xml:space="preserve">. </w:t>
      </w:r>
      <w:r w:rsidR="00454A34" w:rsidRPr="008D5B7B">
        <w:rPr>
          <w:rFonts w:eastAsiaTheme="majorEastAsia" w:cstheme="minorHAnsi"/>
          <w:szCs w:val="22"/>
        </w:rPr>
        <w:t>Treasury received data from the ATO for 2021-22 on the total number of employers (</w:t>
      </w:r>
      <w:r w:rsidR="00474DA7" w:rsidRPr="008D5B7B">
        <w:rPr>
          <w:rFonts w:eastAsiaTheme="majorEastAsia" w:cstheme="minorHAnsi"/>
          <w:szCs w:val="22"/>
        </w:rPr>
        <w:t>796</w:t>
      </w:r>
      <w:r w:rsidR="00454A34" w:rsidRPr="008D5B7B">
        <w:rPr>
          <w:rFonts w:eastAsiaTheme="majorEastAsia" w:cstheme="minorHAnsi"/>
          <w:szCs w:val="22"/>
        </w:rPr>
        <w:t>,0</w:t>
      </w:r>
      <w:r w:rsidR="00474DA7" w:rsidRPr="008D5B7B">
        <w:rPr>
          <w:rFonts w:eastAsiaTheme="majorEastAsia" w:cstheme="minorHAnsi"/>
          <w:szCs w:val="22"/>
        </w:rPr>
        <w:t>95</w:t>
      </w:r>
      <w:r w:rsidR="00454A34" w:rsidRPr="008D5B7B">
        <w:rPr>
          <w:rFonts w:eastAsiaTheme="majorEastAsia" w:cstheme="minorHAnsi"/>
          <w:szCs w:val="22"/>
        </w:rPr>
        <w:t>) and those that do</w:t>
      </w:r>
      <w:r w:rsidR="00F91CC1">
        <w:rPr>
          <w:rFonts w:eastAsiaTheme="majorEastAsia" w:cstheme="minorHAnsi"/>
          <w:szCs w:val="22"/>
        </w:rPr>
        <w:t xml:space="preserve"> </w:t>
      </w:r>
      <w:r w:rsidR="00454A34" w:rsidRPr="008D5B7B">
        <w:rPr>
          <w:rFonts w:eastAsiaTheme="majorEastAsia" w:cstheme="minorHAnsi"/>
          <w:szCs w:val="22"/>
        </w:rPr>
        <w:t>n</w:t>
      </w:r>
      <w:r w:rsidR="00F91CC1">
        <w:rPr>
          <w:rFonts w:eastAsiaTheme="majorEastAsia" w:cstheme="minorHAnsi"/>
          <w:szCs w:val="22"/>
        </w:rPr>
        <w:t>o</w:t>
      </w:r>
      <w:r w:rsidR="00454A34" w:rsidRPr="008D5B7B">
        <w:rPr>
          <w:rFonts w:eastAsiaTheme="majorEastAsia" w:cstheme="minorHAnsi"/>
          <w:szCs w:val="22"/>
        </w:rPr>
        <w:t>t currently pay SG with the same or greater frequency than wages (697,000).</w:t>
      </w:r>
      <w:r w:rsidR="00454A34">
        <w:rPr>
          <w:rFonts w:eastAsiaTheme="majorEastAsia" w:cstheme="minorHAnsi"/>
          <w:szCs w:val="22"/>
        </w:rPr>
        <w:t xml:space="preserve"> </w:t>
      </w:r>
      <w:r w:rsidR="006A0F7B">
        <w:rPr>
          <w:rFonts w:eastAsiaTheme="majorEastAsia" w:cstheme="minorHAnsi"/>
          <w:szCs w:val="22"/>
        </w:rPr>
        <w:t>It is assumed 697,000 employers would be impact</w:t>
      </w:r>
      <w:r w:rsidR="0024619D">
        <w:rPr>
          <w:rFonts w:eastAsiaTheme="majorEastAsia" w:cstheme="minorHAnsi"/>
          <w:szCs w:val="22"/>
        </w:rPr>
        <w:t xml:space="preserve">ed for system changes, while all </w:t>
      </w:r>
      <w:r w:rsidR="003A6591">
        <w:rPr>
          <w:rFonts w:eastAsiaTheme="majorEastAsia" w:cstheme="minorHAnsi"/>
          <w:szCs w:val="22"/>
        </w:rPr>
        <w:t>796</w:t>
      </w:r>
      <w:r w:rsidR="0024619D">
        <w:rPr>
          <w:rFonts w:eastAsiaTheme="majorEastAsia" w:cstheme="minorHAnsi"/>
          <w:szCs w:val="22"/>
        </w:rPr>
        <w:t>,0</w:t>
      </w:r>
      <w:r w:rsidR="003A6591">
        <w:rPr>
          <w:rFonts w:eastAsiaTheme="majorEastAsia" w:cstheme="minorHAnsi"/>
          <w:szCs w:val="22"/>
        </w:rPr>
        <w:t>95</w:t>
      </w:r>
      <w:r w:rsidR="0024619D">
        <w:rPr>
          <w:rFonts w:eastAsiaTheme="majorEastAsia" w:cstheme="minorHAnsi"/>
          <w:szCs w:val="22"/>
        </w:rPr>
        <w:t xml:space="preserve"> employers would </w:t>
      </w:r>
      <w:r w:rsidR="00FD17BB">
        <w:rPr>
          <w:rFonts w:eastAsiaTheme="majorEastAsia" w:cstheme="minorHAnsi"/>
          <w:szCs w:val="22"/>
        </w:rPr>
        <w:t>familiar themselves with any new SG payment obligations.</w:t>
      </w:r>
      <w:r w:rsidR="00454A34">
        <w:rPr>
          <w:rFonts w:eastAsiaTheme="majorEastAsia" w:cstheme="minorHAnsi"/>
          <w:szCs w:val="22"/>
        </w:rPr>
        <w:t xml:space="preserve"> </w:t>
      </w:r>
      <w:r w:rsidR="00BE4C3F">
        <w:rPr>
          <w:rFonts w:eastAsiaTheme="majorEastAsia" w:cstheme="minorHAnsi"/>
          <w:szCs w:val="22"/>
        </w:rPr>
        <w:t xml:space="preserve">We assume all </w:t>
      </w:r>
      <w:r w:rsidR="00454A34">
        <w:rPr>
          <w:rFonts w:eastAsiaTheme="majorEastAsia" w:cstheme="minorHAnsi"/>
          <w:szCs w:val="22"/>
        </w:rPr>
        <w:t xml:space="preserve">superannuation funds </w:t>
      </w:r>
      <w:r w:rsidR="00BE4C3F">
        <w:rPr>
          <w:rFonts w:eastAsiaTheme="majorEastAsia" w:cstheme="minorHAnsi"/>
          <w:szCs w:val="22"/>
        </w:rPr>
        <w:t xml:space="preserve">would be </w:t>
      </w:r>
      <w:r w:rsidR="00454A34">
        <w:rPr>
          <w:rFonts w:eastAsiaTheme="majorEastAsia" w:cstheme="minorHAnsi"/>
          <w:szCs w:val="22"/>
        </w:rPr>
        <w:t>affected</w:t>
      </w:r>
      <w:r w:rsidR="00BE4C3F">
        <w:rPr>
          <w:rFonts w:eastAsiaTheme="majorEastAsia" w:cstheme="minorHAnsi"/>
          <w:szCs w:val="22"/>
        </w:rPr>
        <w:t xml:space="preserve">, being 1,530 funds (based on the number listed in the </w:t>
      </w:r>
      <w:r w:rsidR="00454A34">
        <w:rPr>
          <w:rFonts w:eastAsiaTheme="majorEastAsia" w:cstheme="minorHAnsi"/>
          <w:szCs w:val="22"/>
        </w:rPr>
        <w:t xml:space="preserve">January 2023 APRA superannuation bulletin). </w:t>
      </w:r>
    </w:p>
    <w:p w14:paraId="6DAD46F1" w14:textId="16B6A8B0" w:rsidR="001648C1" w:rsidRDefault="001648C1" w:rsidP="001648C1">
      <w:pPr>
        <w:rPr>
          <w:rFonts w:eastAsiaTheme="majorEastAsia" w:cstheme="minorHAnsi"/>
          <w:szCs w:val="22"/>
        </w:rPr>
      </w:pPr>
      <w:r>
        <w:rPr>
          <w:rFonts w:eastAsiaTheme="majorEastAsia" w:cstheme="minorHAnsi"/>
          <w:szCs w:val="22"/>
        </w:rPr>
        <w:t>A number</w:t>
      </w:r>
      <w:r w:rsidR="00E70FD4">
        <w:rPr>
          <w:rFonts w:eastAsiaTheme="majorEastAsia" w:cstheme="minorHAnsi"/>
          <w:szCs w:val="22"/>
        </w:rPr>
        <w:t xml:space="preserve"> further</w:t>
      </w:r>
      <w:r>
        <w:rPr>
          <w:rFonts w:eastAsiaTheme="majorEastAsia" w:cstheme="minorHAnsi"/>
          <w:szCs w:val="22"/>
        </w:rPr>
        <w:t xml:space="preserve"> assumptions were made to calculate the regulatory costs for businesses</w:t>
      </w:r>
      <w:r w:rsidR="00386A8A">
        <w:rPr>
          <w:rFonts w:eastAsiaTheme="majorEastAsia" w:cstheme="minorHAnsi"/>
          <w:szCs w:val="22"/>
        </w:rPr>
        <w:t>, as outlined below.</w:t>
      </w:r>
    </w:p>
    <w:p w14:paraId="1BECF39D" w14:textId="70E36EEC" w:rsidR="00454A34" w:rsidRPr="004F0132" w:rsidRDefault="00454A34" w:rsidP="004F5971">
      <w:pPr>
        <w:pStyle w:val="Heading50"/>
      </w:pPr>
      <w:r w:rsidRPr="004F0132">
        <w:t xml:space="preserve">System </w:t>
      </w:r>
      <w:r w:rsidR="00386A8A">
        <w:t>c</w:t>
      </w:r>
      <w:r w:rsidRPr="004F0132">
        <w:t>hange</w:t>
      </w:r>
      <w:r w:rsidR="00386A8A">
        <w:t xml:space="preserve"> costs</w:t>
      </w:r>
    </w:p>
    <w:p w14:paraId="6C4A869B" w14:textId="77777777" w:rsidR="00454A34" w:rsidRDefault="00454A34" w:rsidP="00B17C57">
      <w:pPr>
        <w:pStyle w:val="Bullet"/>
      </w:pPr>
      <w:r>
        <w:t xml:space="preserve">All businesses would be required to undertake system changes to process and/or deliver more frequent SG payments. Assumptions include business areas making changes, and where necessary manager and executive approval. Hours vary between businesses depending on the magnitude of changes required. </w:t>
      </w:r>
    </w:p>
    <w:p w14:paraId="021AC779" w14:textId="637441CD" w:rsidR="00454A34" w:rsidRDefault="00454A34" w:rsidP="00454A34">
      <w:pPr>
        <w:pStyle w:val="Dash"/>
      </w:pPr>
      <w:r w:rsidRPr="004F0132">
        <w:rPr>
          <w:i/>
          <w:iCs/>
        </w:rPr>
        <w:t>D</w:t>
      </w:r>
      <w:r>
        <w:rPr>
          <w:i/>
          <w:iCs/>
        </w:rPr>
        <w:t xml:space="preserve">igital </w:t>
      </w:r>
      <w:r w:rsidRPr="004F0132">
        <w:rPr>
          <w:i/>
          <w:iCs/>
        </w:rPr>
        <w:t>S</w:t>
      </w:r>
      <w:r>
        <w:rPr>
          <w:i/>
          <w:iCs/>
        </w:rPr>
        <w:t xml:space="preserve">ervice </w:t>
      </w:r>
      <w:r w:rsidRPr="004F0132">
        <w:rPr>
          <w:i/>
          <w:iCs/>
        </w:rPr>
        <w:t>P</w:t>
      </w:r>
      <w:r>
        <w:rPr>
          <w:i/>
          <w:iCs/>
        </w:rPr>
        <w:t>roviders</w:t>
      </w:r>
      <w:r w:rsidRPr="004F0132">
        <w:rPr>
          <w:i/>
          <w:iCs/>
        </w:rPr>
        <w:t>:</w:t>
      </w:r>
      <w:r>
        <w:rPr>
          <w:b/>
          <w:bCs/>
        </w:rPr>
        <w:t xml:space="preserve"> </w:t>
      </w:r>
      <w:r>
        <w:t>5 staff, 1 manager and 1 executive manager member would be required to implement changes</w:t>
      </w:r>
      <w:r w:rsidR="00786F72">
        <w:t xml:space="preserve"> involving</w:t>
      </w:r>
      <w:r>
        <w:t xml:space="preserve"> </w:t>
      </w:r>
      <w:r w:rsidR="00786F72">
        <w:t>a</w:t>
      </w:r>
      <w:r>
        <w:t xml:space="preserve">pproximately three months’ work (456 hours) plus review time of senior staff (12 hours). </w:t>
      </w:r>
    </w:p>
    <w:p w14:paraId="58631471" w14:textId="77777777" w:rsidR="00454A34" w:rsidRDefault="00454A34" w:rsidP="00454A34">
      <w:pPr>
        <w:pStyle w:val="Dash"/>
      </w:pPr>
      <w:r w:rsidRPr="004F0132">
        <w:rPr>
          <w:i/>
          <w:iCs/>
        </w:rPr>
        <w:t>Employers:</w:t>
      </w:r>
      <w:r>
        <w:t xml:space="preserve"> 2 staff and 1 manager or small business owner would take 12 hours. </w:t>
      </w:r>
    </w:p>
    <w:p w14:paraId="6C1428B0" w14:textId="77777777" w:rsidR="00454A34" w:rsidRDefault="00454A34" w:rsidP="00454A34">
      <w:pPr>
        <w:pStyle w:val="Dash"/>
      </w:pPr>
      <w:r w:rsidRPr="004F0132">
        <w:rPr>
          <w:i/>
          <w:iCs/>
        </w:rPr>
        <w:t>Superannuation funds:</w:t>
      </w:r>
      <w:r>
        <w:rPr>
          <w:b/>
          <w:bCs/>
        </w:rPr>
        <w:t xml:space="preserve"> </w:t>
      </w:r>
      <w:r>
        <w:t>3 staff and 1 manager would take 17 hours</w:t>
      </w:r>
      <w:r w:rsidRPr="00696692">
        <w:t xml:space="preserve"> </w:t>
      </w:r>
      <w:r>
        <w:t xml:space="preserve">to implement and review changes. </w:t>
      </w:r>
    </w:p>
    <w:p w14:paraId="5C69DF86" w14:textId="535C85DA" w:rsidR="00454A34" w:rsidRPr="00690687" w:rsidRDefault="00454A34" w:rsidP="00454A34">
      <w:pPr>
        <w:pStyle w:val="Dash"/>
      </w:pPr>
      <w:r w:rsidRPr="004F0132">
        <w:rPr>
          <w:i/>
          <w:iCs/>
        </w:rPr>
        <w:t>Clearing houses:</w:t>
      </w:r>
      <w:r>
        <w:rPr>
          <w:b/>
          <w:bCs/>
        </w:rPr>
        <w:t xml:space="preserve"> </w:t>
      </w:r>
      <w:r>
        <w:t>3 staff and 1 manager</w:t>
      </w:r>
      <w:r w:rsidR="00EE0416" w:rsidRPr="00EE0416">
        <w:t xml:space="preserve"> </w:t>
      </w:r>
      <w:r w:rsidR="00EE0416">
        <w:t>would be required to implement changes involving</w:t>
      </w:r>
      <w:r>
        <w:t xml:space="preserve"> </w:t>
      </w:r>
      <w:r w:rsidR="00EE0416">
        <w:t>a</w:t>
      </w:r>
      <w:r>
        <w:t>pproximately one month’s work (152 hours) and review time of manager (2 hours).</w:t>
      </w:r>
    </w:p>
    <w:p w14:paraId="64B0ED9F" w14:textId="016EA4D0" w:rsidR="00454A34" w:rsidRDefault="00454A34" w:rsidP="00454A34">
      <w:pPr>
        <w:pStyle w:val="Bullet"/>
      </w:pPr>
      <w:r>
        <w:t xml:space="preserve">Additionally, </w:t>
      </w:r>
      <w:r w:rsidR="0022078C">
        <w:t>2</w:t>
      </w:r>
      <w:r>
        <w:t xml:space="preserve"> staff</w:t>
      </w:r>
      <w:r w:rsidR="00F0328B">
        <w:t xml:space="preserve"> and a manager</w:t>
      </w:r>
      <w:r>
        <w:t xml:space="preserve"> from clearing houses would </w:t>
      </w:r>
      <w:r w:rsidR="005F3112">
        <w:t xml:space="preserve">each </w:t>
      </w:r>
      <w:r>
        <w:t xml:space="preserve">spend </w:t>
      </w:r>
      <w:r w:rsidR="0022078C">
        <w:t>5</w:t>
      </w:r>
      <w:r>
        <w:t xml:space="preserve"> hours </w:t>
      </w:r>
      <w:r w:rsidR="000778C8">
        <w:t>reviewing</w:t>
      </w:r>
      <w:r>
        <w:t xml:space="preserve"> their fee structure</w:t>
      </w:r>
      <w:r w:rsidR="00F0328B">
        <w:t>s and operating strategies</w:t>
      </w:r>
      <w:r>
        <w:t>.</w:t>
      </w:r>
      <w:r w:rsidR="000778C8">
        <w:t xml:space="preserve"> </w:t>
      </w:r>
      <w:r w:rsidR="00F275C0">
        <w:t>Any</w:t>
      </w:r>
      <w:r w:rsidR="00F0328B">
        <w:t xml:space="preserve"> activities involved in </w:t>
      </w:r>
      <w:r w:rsidR="009E5404">
        <w:t>implementing</w:t>
      </w:r>
      <w:r w:rsidR="006619C0">
        <w:t xml:space="preserve"> any required</w:t>
      </w:r>
      <w:r w:rsidR="00F0328B">
        <w:t xml:space="preserve"> changes</w:t>
      </w:r>
      <w:r w:rsidR="006619C0">
        <w:t xml:space="preserve"> would be </w:t>
      </w:r>
      <w:r w:rsidR="006C4D9E">
        <w:t xml:space="preserve">assumed to be </w:t>
      </w:r>
      <w:r w:rsidR="006619C0">
        <w:t xml:space="preserve">incorporated in the </w:t>
      </w:r>
      <w:r w:rsidR="003A38B9">
        <w:t>time estimate above.</w:t>
      </w:r>
      <w:r w:rsidR="006619C0">
        <w:t xml:space="preserve"> </w:t>
      </w:r>
    </w:p>
    <w:p w14:paraId="7298D3B6" w14:textId="347C5F94" w:rsidR="00454A34" w:rsidRDefault="00454A34" w:rsidP="00454A34">
      <w:pPr>
        <w:pStyle w:val="Bullet"/>
      </w:pPr>
      <w:r>
        <w:t>The Office of Impact Analysis</w:t>
      </w:r>
      <w:r w:rsidRPr="00A36E4D">
        <w:t xml:space="preserve"> </w:t>
      </w:r>
      <w:r>
        <w:t xml:space="preserve">Regulatory Burden Measurement Framework was used to determine a work-related labour cost of $79.63 per hour. </w:t>
      </w:r>
    </w:p>
    <w:p w14:paraId="6BFEDCFC" w14:textId="13E217A5" w:rsidR="00454A34" w:rsidRDefault="00102D29" w:rsidP="00016F29">
      <w:pPr>
        <w:pStyle w:val="Bullet"/>
        <w:numPr>
          <w:ilvl w:val="0"/>
          <w:numId w:val="0"/>
        </w:numPr>
      </w:pPr>
      <w:r>
        <w:t xml:space="preserve">Based on these assumptions, the total annual average regulatory costs for system </w:t>
      </w:r>
      <w:r w:rsidR="00454A34">
        <w:t xml:space="preserve">changes </w:t>
      </w:r>
      <w:r>
        <w:t>would be</w:t>
      </w:r>
      <w:r w:rsidR="00454A34">
        <w:t xml:space="preserve"> </w:t>
      </w:r>
      <w:r w:rsidR="00D36076">
        <w:t>$</w:t>
      </w:r>
      <w:r w:rsidR="00454A34">
        <w:t>123.</w:t>
      </w:r>
      <w:r w:rsidR="00073E0D">
        <w:t>8</w:t>
      </w:r>
      <w:r w:rsidR="00665717">
        <w:t> </w:t>
      </w:r>
      <w:r w:rsidR="00454A34">
        <w:t xml:space="preserve">million. </w:t>
      </w:r>
    </w:p>
    <w:p w14:paraId="3E10FAE7" w14:textId="77777777" w:rsidR="00386A8A" w:rsidRPr="00A86547" w:rsidRDefault="00386A8A" w:rsidP="00A86547">
      <w:pPr>
        <w:pStyle w:val="Heading50"/>
      </w:pPr>
      <w:r w:rsidRPr="00A86547">
        <w:t>Education costs</w:t>
      </w:r>
    </w:p>
    <w:p w14:paraId="2C764184" w14:textId="77777777" w:rsidR="00386A8A" w:rsidRDefault="00386A8A" w:rsidP="00386A8A">
      <w:pPr>
        <w:pStyle w:val="Bullet"/>
      </w:pPr>
      <w:r>
        <w:t xml:space="preserve">All businesses would spend additional time familiarising themselves with changes to the frequency of SG payments. Depending on the impacts of the changes, the number of individuals (payroll staff or IT technicians) and time taken may vary. </w:t>
      </w:r>
    </w:p>
    <w:p w14:paraId="4FBC3760" w14:textId="77777777" w:rsidR="00386A8A" w:rsidRDefault="00386A8A" w:rsidP="00386A8A">
      <w:pPr>
        <w:pStyle w:val="Dash"/>
      </w:pPr>
      <w:r w:rsidRPr="004F0132">
        <w:rPr>
          <w:bCs/>
          <w:i/>
          <w:iCs/>
        </w:rPr>
        <w:t>Digital Service Providers</w:t>
      </w:r>
      <w:r w:rsidRPr="004F0132">
        <w:rPr>
          <w:b/>
          <w:i/>
          <w:iCs/>
        </w:rPr>
        <w:t>:</w:t>
      </w:r>
      <w:r>
        <w:t xml:space="preserve"> A team of 5 staff would take 2 hours to familiarise themselves.</w:t>
      </w:r>
    </w:p>
    <w:p w14:paraId="02A5303A" w14:textId="77777777" w:rsidR="00386A8A" w:rsidRDefault="00386A8A" w:rsidP="00386A8A">
      <w:pPr>
        <w:pStyle w:val="Dash"/>
      </w:pPr>
      <w:r w:rsidRPr="004F0132">
        <w:rPr>
          <w:bCs/>
          <w:i/>
          <w:iCs/>
        </w:rPr>
        <w:t>Employers:</w:t>
      </w:r>
      <w:r>
        <w:t xml:space="preserve"> 2 payroll staff would take 1 hour to familiarise themselves.</w:t>
      </w:r>
    </w:p>
    <w:p w14:paraId="1637C616" w14:textId="77777777" w:rsidR="00386A8A" w:rsidRDefault="00386A8A" w:rsidP="00386A8A">
      <w:pPr>
        <w:pStyle w:val="Dash"/>
      </w:pPr>
      <w:r w:rsidRPr="004F0132">
        <w:rPr>
          <w:bCs/>
          <w:i/>
          <w:iCs/>
        </w:rPr>
        <w:t>Superannuation funds:</w:t>
      </w:r>
      <w:r>
        <w:t xml:space="preserve"> 2 staff would take 1 hour to familiarise themselves.</w:t>
      </w:r>
    </w:p>
    <w:p w14:paraId="74B7097E" w14:textId="77777777" w:rsidR="00386A8A" w:rsidRDefault="00386A8A" w:rsidP="00386A8A">
      <w:pPr>
        <w:pStyle w:val="Dash"/>
      </w:pPr>
      <w:r w:rsidRPr="004F0132">
        <w:rPr>
          <w:bCs/>
          <w:i/>
          <w:iCs/>
        </w:rPr>
        <w:t>Clearing houses:</w:t>
      </w:r>
      <w:r>
        <w:t xml:space="preserve"> 3 IT staff would take 1.5 hours to familiarise themselves. </w:t>
      </w:r>
    </w:p>
    <w:p w14:paraId="2CF40CE7" w14:textId="77777777" w:rsidR="00386A8A" w:rsidRDefault="00386A8A" w:rsidP="00386A8A">
      <w:pPr>
        <w:pStyle w:val="Bullet"/>
      </w:pPr>
      <w:r>
        <w:t>The Office of Impact Analysis</w:t>
      </w:r>
      <w:r w:rsidRPr="00A36E4D">
        <w:t xml:space="preserve"> </w:t>
      </w:r>
      <w:r>
        <w:t xml:space="preserve">Regulatory Burden Measurement Framework was used to determine a work-related labour cost of $79.63 per hour. </w:t>
      </w:r>
    </w:p>
    <w:p w14:paraId="299FC393" w14:textId="361BAECB" w:rsidR="00386A8A" w:rsidRPr="00552625" w:rsidRDefault="00102D29" w:rsidP="00386A8A">
      <w:pPr>
        <w:pStyle w:val="Bullet"/>
        <w:numPr>
          <w:ilvl w:val="0"/>
          <w:numId w:val="0"/>
        </w:numPr>
      </w:pPr>
      <w:r>
        <w:t>Based on these assumptions, the total</w:t>
      </w:r>
      <w:r w:rsidR="00386A8A">
        <w:t xml:space="preserve"> annual average regulatory costs for education </w:t>
      </w:r>
      <w:r>
        <w:t>would be</w:t>
      </w:r>
      <w:r w:rsidR="00386A8A">
        <w:t xml:space="preserve"> </w:t>
      </w:r>
      <w:r>
        <w:t>$</w:t>
      </w:r>
      <w:r w:rsidR="00386A8A">
        <w:t>1</w:t>
      </w:r>
      <w:r w:rsidR="008B4289">
        <w:t>2</w:t>
      </w:r>
      <w:r w:rsidR="00386A8A">
        <w:t>.</w:t>
      </w:r>
      <w:r w:rsidR="00325B10">
        <w:t>7</w:t>
      </w:r>
      <w:r w:rsidR="00386A8A">
        <w:t xml:space="preserve"> million. </w:t>
      </w:r>
    </w:p>
    <w:p w14:paraId="02958BB6" w14:textId="3F8CD851" w:rsidR="00C5463D" w:rsidRPr="00655C69" w:rsidRDefault="00C5463D" w:rsidP="007E7CDF"/>
    <w:sectPr w:rsidR="00C5463D" w:rsidRPr="00655C69" w:rsidSect="00753174">
      <w:headerReference w:type="default" r:id="rId14"/>
      <w:footerReference w:type="default" r:id="rId15"/>
      <w:headerReference w:type="first" r:id="rId16"/>
      <w:footerReference w:type="first" r:id="rId17"/>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E9601" w14:textId="77777777" w:rsidR="00895046" w:rsidRDefault="00895046" w:rsidP="00B95533">
      <w:pPr>
        <w:spacing w:after="0" w:line="240" w:lineRule="auto"/>
      </w:pPr>
      <w:r>
        <w:separator/>
      </w:r>
    </w:p>
  </w:endnote>
  <w:endnote w:type="continuationSeparator" w:id="0">
    <w:p w14:paraId="3DE2426F" w14:textId="77777777" w:rsidR="00895046" w:rsidRDefault="00895046" w:rsidP="00B95533">
      <w:pPr>
        <w:spacing w:after="0" w:line="240" w:lineRule="auto"/>
      </w:pPr>
      <w:r>
        <w:continuationSeparator/>
      </w:r>
    </w:p>
  </w:endnote>
  <w:endnote w:type="continuationNotice" w:id="1">
    <w:p w14:paraId="33E1A2D2" w14:textId="77777777" w:rsidR="00895046" w:rsidRDefault="00895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ZWUZ P+ Meta Normal LF">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4E5E" w14:textId="77777777" w:rsidR="00896530" w:rsidRDefault="00896530" w:rsidP="00B850DD">
    <w:pPr>
      <w:pStyle w:val="SecurityClassificationFooter"/>
    </w:pPr>
  </w:p>
  <w:p w14:paraId="7EFB2D10" w14:textId="2F7A777E" w:rsidR="00896530" w:rsidRDefault="00694B95" w:rsidP="00A1752C">
    <w:pPr>
      <w:pStyle w:val="SecurityClassificationFooter"/>
    </w:pPr>
    <w:r>
      <w:fldChar w:fldCharType="begin"/>
    </w:r>
    <w:r>
      <w:instrText>DOCPROPERTY WorkingDocStatus \* MERGEFORMAT</w:instrText>
    </w:r>
    <w:r>
      <w:fldChar w:fldCharType="end"/>
    </w:r>
    <w:r>
      <w:fldChar w:fldCharType="begin"/>
    </w:r>
    <w:r>
      <w:instrText>DOCPROPERTY SecurityClassification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706402449"/>
      <w:dataBinding w:xpath="/root[1]/Classification[1]" w:storeItemID="{00000000-0000-0000-0000-000000000000}"/>
      <w:text/>
    </w:sdtPr>
    <w:sdtEndPr/>
    <w:sdtContent>
      <w:p w14:paraId="01D12EE9" w14:textId="77777777" w:rsidR="00896530" w:rsidRPr="00B87E45" w:rsidRDefault="00896530" w:rsidP="001007B9">
        <w:pPr>
          <w:pStyle w:val="ProtectiveMarking"/>
        </w:pPr>
        <w:r>
          <w:t>Choose Classification</w:t>
        </w:r>
      </w:p>
    </w:sdtContent>
  </w:sdt>
  <w:p w14:paraId="51014A9B" w14:textId="77777777" w:rsidR="00896530" w:rsidRPr="00073D52" w:rsidRDefault="00896530" w:rsidP="001007B9">
    <w:pPr>
      <w:pStyle w:val="Footerline"/>
    </w:pPr>
    <w:r>
      <w:rPr>
        <w:lang w:eastAsia="en-AU"/>
      </w:rPr>
      <mc:AlternateContent>
        <mc:Choice Requires="wps">
          <w:drawing>
            <wp:anchor distT="45720" distB="45720" distL="114300" distR="114300" simplePos="0" relativeHeight="251657216" behindDoc="0" locked="1" layoutInCell="1" allowOverlap="1" wp14:anchorId="4328AB30" wp14:editId="0A3C15C0">
              <wp:simplePos x="0" y="0"/>
              <wp:positionH relativeFrom="margin">
                <wp:posOffset>6142355</wp:posOffset>
              </wp:positionH>
              <wp:positionV relativeFrom="page">
                <wp:posOffset>9950450</wp:posOffset>
              </wp:positionV>
              <wp:extent cx="332105" cy="726440"/>
              <wp:effectExtent l="0" t="0" r="10795"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21E72F3D" w14:textId="77777777" w:rsidR="00896530" w:rsidRPr="00073D52" w:rsidRDefault="00896530"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Pr="00073D52">
                            <w:rPr>
                              <w:b w:val="0"/>
                              <w:bCs/>
                              <w:noProof/>
                              <w:sz w:val="16"/>
                              <w:szCs w:val="16"/>
                            </w:rPr>
                            <w:t>1</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28AB30" id="_x0000_t202" coordsize="21600,21600" o:spt="202" path="m,l,21600r21600,l21600,xe">
              <v:stroke joinstyle="miter"/>
              <v:path gradientshapeok="t" o:connecttype="rect"/>
            </v:shapetype>
            <v:shape id="Text Box 75" o:spid="_x0000_s1028" type="#_x0000_t202" style="position:absolute;margin-left:483.65pt;margin-top:783.5pt;width:26.15pt;height:5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g/8AEAAL4DAAAOAAAAZHJzL2Uyb0RvYy54bWysU8tu2zAQvBfoPxC815KdOE0Ey0GaNEWB&#10;9AGk/QCaoiyiJJdd0pbcr8+SspyguRXVgViK3Nmd2eHqerCG7RUGDa7m81nJmXISGu22Nf/54/7d&#10;JWchCtcIA07V/KACv16/fbPqfaUW0IFpFDICcaHqfc27GH1VFEF2yoowA68cHbaAVkTa4rZoUPSE&#10;bk2xKMuLogdsPIJUIdDfu/GQrzN+2yoZv7VtUJGZmlNvMa+Y101ai/VKVFsUvtPy2Ib4hy6s0I6K&#10;nqDuRBRsh/oVlNUSIUAbZxJsAW2rpcociM28/IvNYye8ylxInOBPMoX/Byu/7h/9d2Rx+AADDTCT&#10;CP4B5K/AHNx2wm3VDSL0nRINFZ4nyYreh+qYmqQOVUggm/4LNDRksYuQgYYWbVKFeDJCpwEcTqKr&#10;ITJJP8/OFvNyyZmko/eLi/PzPJRCVFOyxxA/KbAsBTVHmmkGF/uHEFMzopqupFoO7rUxea7Gsb7m&#10;V8vFMie8OLE6ku2MtjW/LNM3GiFx/OianByFNmNMBYw7kk48R8Zx2Ax0MZHfQHMg+gijveg5UNAB&#10;/uGsJ2vVPPzeCVScmc+OJEw+nAKcgs0UCCcpteYyImfj5jZmx47sbkjcVmfiz7WP3ZFJsh5HQycX&#10;vtznW8/Pbv0EAAD//wMAUEsDBBQABgAIAAAAIQB3UqGJ4gAAAA4BAAAPAAAAZHJzL2Rvd25yZXYu&#10;eG1sTI/NTsMwEITvSLyDtUhcEHXCj9uGOFUpoj1xSOEB3HibRI3XUey2gadne4LbjubT7Ey+GF0n&#10;TjiE1pOGdJKAQKq8banW8PX5fj8DEaIhazpPqOEbAyyK66vcZNafqcTTNtaCQyhkRkMTY59JGaoG&#10;nQkT3yOxt/eDM5HlUEs7mDOHu04+JImSzrTEHxrT46rB6rA9Og24LP3PxyGsXfn6tlrvW8I7udH6&#10;9mZcvoCIOMY/GC71uToU3Gnnj2SD6DTM1fSRUTae1ZRXXZAknSsQO77ULH0CWeTy/4ziFwAA//8D&#10;AFBLAQItABQABgAIAAAAIQC2gziS/gAAAOEBAAATAAAAAAAAAAAAAAAAAAAAAABbQ29udGVudF9U&#10;eXBlc10ueG1sUEsBAi0AFAAGAAgAAAAhADj9If/WAAAAlAEAAAsAAAAAAAAAAAAAAAAALwEAAF9y&#10;ZWxzLy5yZWxzUEsBAi0AFAAGAAgAAAAhAGC4uD/wAQAAvgMAAA4AAAAAAAAAAAAAAAAALgIAAGRy&#10;cy9lMm9Eb2MueG1sUEsBAi0AFAAGAAgAAAAhAHdSoYniAAAADgEAAA8AAAAAAAAAAAAAAAAASgQA&#10;AGRycy9kb3ducmV2LnhtbFBLBQYAAAAABAAEAPMAAABZBQAAAAA=&#10;" filled="f" stroked="f">
              <v:textbox inset="0,0,0,0">
                <w:txbxContent>
                  <w:p w14:paraId="21E72F3D" w14:textId="77777777" w:rsidR="00896530" w:rsidRPr="00073D52" w:rsidRDefault="00896530"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Pr="00073D52">
                      <w:rPr>
                        <w:b w:val="0"/>
                        <w:bCs/>
                        <w:noProof/>
                        <w:sz w:val="16"/>
                        <w:szCs w:val="16"/>
                      </w:rPr>
                      <w:t>1</w:t>
                    </w:r>
                    <w:r w:rsidRPr="00073D52">
                      <w:rPr>
                        <w:b w:val="0"/>
                        <w:bCs/>
                        <w:noProof/>
                        <w:sz w:val="16"/>
                        <w:szCs w:val="16"/>
                      </w:rPr>
                      <w:fldChar w:fldCharType="end"/>
                    </w:r>
                  </w:p>
                </w:txbxContent>
              </v:textbox>
              <w10:wrap anchorx="margin" anchory="page"/>
              <w10:anchorlock/>
            </v:shape>
          </w:pict>
        </mc:Fallback>
      </mc:AlternateContent>
    </w:r>
  </w:p>
  <w:p w14:paraId="3997EB5C" w14:textId="77777777" w:rsidR="00896530" w:rsidRDefault="00896530" w:rsidP="009B4379">
    <w:pPr>
      <w:pStyle w:val="Footer"/>
      <w:spacing w:after="500"/>
      <w:contextualSpacing/>
      <w:jc w:val="left"/>
      <w:rPr>
        <w:color w:val="25303B" w:themeColor="accent1"/>
        <w:sz w:val="16"/>
        <w:szCs w:val="16"/>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605542894"/>
        <w:placeholder>
          <w:docPart w:val="219620ADD92642389C5D4B3C4F0DC506"/>
        </w:placeholder>
        <w:showingPlcHdr/>
        <w:text/>
      </w:sdtPr>
      <w:sdtEndPr/>
      <w:sdtContent>
        <w:r w:rsidRPr="00BC24CA">
          <w:rPr>
            <w:caps w:val="0"/>
            <w:sz w:val="16"/>
            <w:szCs w:val="16"/>
          </w:rPr>
          <w:t>[Section Name]</w:t>
        </w:r>
      </w:sdtContent>
    </w:sdt>
    <w:r>
      <w:rPr>
        <w:color w:val="25303B" w:themeColor="accent1"/>
        <w:sz w:val="16"/>
        <w:szCs w:val="16"/>
      </w:rPr>
      <w:t xml:space="preserve">  |  </w:t>
    </w:r>
    <w:sdt>
      <w:sdtPr>
        <w:rPr>
          <w:color w:val="25303B" w:themeColor="accent1"/>
          <w:sz w:val="16"/>
          <w:szCs w:val="16"/>
        </w:rPr>
        <w:alias w:val="Document Title"/>
        <w:tag w:val="DocumentTitle"/>
        <w:id w:val="-523643007"/>
        <w:placeholder>
          <w:docPart w:val="4A1B4207812C47D4A115D0D13B555E30"/>
        </w:placeholder>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D1812" w14:textId="77777777" w:rsidR="00896530" w:rsidRDefault="00896530" w:rsidP="00917F95">
    <w:pPr>
      <w:pStyle w:val="ProtectiveMarking"/>
    </w:pPr>
    <w:r>
      <w:t>Choose Classification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6A9C" w14:textId="77777777" w:rsidR="00896530" w:rsidRPr="00B87E45" w:rsidRDefault="00896530" w:rsidP="001007B9">
    <w:pPr>
      <w:pStyle w:val="ProtectiveMarking"/>
    </w:pPr>
  </w:p>
  <w:p w14:paraId="05A5EAF8" w14:textId="77777777" w:rsidR="00896530" w:rsidRPr="00073D52" w:rsidRDefault="00896530" w:rsidP="001007B9">
    <w:pPr>
      <w:pStyle w:val="Footerline"/>
    </w:pPr>
    <w:r>
      <w:rPr>
        <w:lang w:eastAsia="en-AU"/>
      </w:rPr>
      <mc:AlternateContent>
        <mc:Choice Requires="wps">
          <w:drawing>
            <wp:anchor distT="45720" distB="45720" distL="114300" distR="114300" simplePos="0" relativeHeight="251658240" behindDoc="0" locked="1" layoutInCell="1" allowOverlap="1" wp14:anchorId="3E1B1AE7" wp14:editId="30E3D394">
              <wp:simplePos x="0" y="0"/>
              <wp:positionH relativeFrom="margin">
                <wp:posOffset>6142355</wp:posOffset>
              </wp:positionH>
              <wp:positionV relativeFrom="page">
                <wp:posOffset>9950450</wp:posOffset>
              </wp:positionV>
              <wp:extent cx="332105" cy="726440"/>
              <wp:effectExtent l="0" t="0" r="1079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0D6EBE4E" w14:textId="785C0D71" w:rsidR="00896530" w:rsidRPr="00825B23" w:rsidRDefault="00896530"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E14825">
                            <w:rPr>
                              <w:b w:val="0"/>
                              <w:bCs/>
                              <w:noProof/>
                              <w:sz w:val="16"/>
                              <w:szCs w:val="16"/>
                            </w:rPr>
                            <w:t>22</w:t>
                          </w:r>
                          <w:r w:rsidRPr="00825B23">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1B1AE7" id="_x0000_t202" coordsize="21600,21600" o:spt="202" path="m,l,21600r21600,l21600,xe">
              <v:stroke joinstyle="miter"/>
              <v:path gradientshapeok="t" o:connecttype="rect"/>
            </v:shapetype>
            <v:shape id="Text Box 12" o:spid="_x0000_s1029" type="#_x0000_t202" style="position:absolute;margin-left:483.65pt;margin-top:783.5pt;width:26.15pt;height:5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ITBQIAAOwDAAAOAAAAZHJzL2Uyb0RvYy54bWysU9tu2zAMfR+wfxD0vthxm64z4hRduw4D&#10;ugvQ7gMYWY6FSaImKbGzry8lJ1mwvQ3zg0BR5CHPIb28GY1mO+mDQtvw+azkTFqBrbKbhn9/fnhz&#10;zVmIYFvQaGXD9zLwm9XrV8vB1bLCHnUrPSMQG+rBNbyP0dVFEUQvDYQZOmnpsUNvINLVb4rWw0Do&#10;RhdVWV4VA/rWeRQyBPLeT498lfG7Tor4teuCjEw3nHqL+fT5XKezWC2h3nhwvRKHNuAfujCgLBU9&#10;Qd1DBLb16i8oo4THgF2cCTQFdp0SMnMgNvPyDzZPPTiZuZA4wZ1kCv8PVnzZffNMtTS7ijMLhmb0&#10;LMfI3uPIyEX6DC7UFPbkKDCO5KfYzDW4RxQ/ArN414PdyFvvcegltNTfPGUWZ6kTTkgg6+EztlQH&#10;thEz0Nh5k8QjORih05z2p9mkXgQ5Ly6qebngTNDT2+rq8jLProD6mOx8iB8lGpaMhnsafQaH3WOI&#10;qRmojyGplsUHpXUev7ZsaPi7RbXICWcvRkXaTq1Mw6/L9E37kjh+sG1OjqD0ZFMBbQ+kE8+JcRzX&#10;46TvUcs1tntSweO0jPTzkNGj/8XZQIvY8PBzC15ypj9ZUjJt7dHwR2N9NMAKSm24iJ6z6XIX835P&#10;JG9J405l/mkYU+1Dk7RSWZbD+qedPb/nqN8/6eoF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AUqEhMFAgAA7AMA&#10;AA4AAAAAAAAAAAAAAAAALgIAAGRycy9lMm9Eb2MueG1sUEsBAi0AFAAGAAgAAAAhAHdSoYniAAAA&#10;DgEAAA8AAAAAAAAAAAAAAAAAXwQAAGRycy9kb3ducmV2LnhtbFBLBQYAAAAABAAEAPMAAABuBQAA&#10;AAA=&#10;" filled="f" stroked="f">
              <v:textbox inset="0,0,0,0">
                <w:txbxContent>
                  <w:p w14:paraId="0D6EBE4E" w14:textId="785C0D71" w:rsidR="00896530" w:rsidRPr="00825B23" w:rsidRDefault="00896530"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E14825">
                      <w:rPr>
                        <w:b w:val="0"/>
                        <w:bCs/>
                        <w:noProof/>
                        <w:sz w:val="16"/>
                        <w:szCs w:val="16"/>
                      </w:rPr>
                      <w:t>22</w:t>
                    </w:r>
                    <w:r w:rsidRPr="00825B23">
                      <w:rPr>
                        <w:b w:val="0"/>
                        <w:bCs/>
                        <w:noProof/>
                        <w:sz w:val="16"/>
                        <w:szCs w:val="16"/>
                      </w:rPr>
                      <w:fldChar w:fldCharType="end"/>
                    </w:r>
                  </w:p>
                </w:txbxContent>
              </v:textbox>
              <w10:wrap anchorx="margin" anchory="page"/>
              <w10:anchorlock/>
            </v:shape>
          </w:pict>
        </mc:Fallback>
      </mc:AlternateContent>
    </w:r>
  </w:p>
  <w:p w14:paraId="4933EF28" w14:textId="464D80E3" w:rsidR="00896530" w:rsidRDefault="00896530" w:rsidP="009B4379">
    <w:pPr>
      <w:pStyle w:val="Footer"/>
      <w:spacing w:after="500"/>
      <w:contextualSpacing/>
      <w:jc w:val="left"/>
      <w:rPr>
        <w:b w:val="0"/>
        <w:bCs/>
        <w:caps w:val="0"/>
        <w:sz w:val="16"/>
        <w:szCs w:val="16"/>
      </w:rPr>
    </w:pPr>
    <w:r>
      <w:rPr>
        <w:b w:val="0"/>
        <w:bCs/>
        <w:sz w:val="16"/>
        <w:szCs w:val="16"/>
      </w:rPr>
      <w:t>The Treasury</w:t>
    </w:r>
    <w:r w:rsidRPr="00825B23">
      <w:rPr>
        <w:b w:val="0"/>
        <w:bCs/>
        <w:sz w:val="16"/>
        <w:szCs w:val="16"/>
      </w:rPr>
      <w:t xml:space="preserve"> | </w:t>
    </w:r>
    <w:sdt>
      <w:sdtPr>
        <w:rPr>
          <w:b w:val="0"/>
          <w:bCs/>
          <w:caps w:val="0"/>
          <w:sz w:val="16"/>
          <w:szCs w:val="16"/>
        </w:rPr>
        <w:alias w:val="Document Heading"/>
        <w:tag w:val="DH"/>
        <w:id w:val="1300027642"/>
        <w:placeholder>
          <w:docPart w:val="219620ADD92642389C5D4B3C4F0DC506"/>
        </w:placeholder>
        <w:dataBinding w:xpath="/root[1]/DH[1]" w:storeItemID="{00000000-0000-0000-0000-000000000000}"/>
        <w:text/>
      </w:sdtPr>
      <w:sdtEndPr/>
      <w:sdtContent>
        <w:r>
          <w:rPr>
            <w:b w:val="0"/>
            <w:bCs/>
            <w:caps w:val="0"/>
            <w:sz w:val="16"/>
            <w:szCs w:val="16"/>
          </w:rPr>
          <w:t>UNPAID SUPERANNUATION GUARANTEE PACKAGE</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9DA1" w14:textId="77777777" w:rsidR="00896530" w:rsidRPr="00B87E45" w:rsidRDefault="00896530" w:rsidP="00917F95">
    <w:pPr>
      <w:pStyle w:val="ProtectiveMarking"/>
    </w:pPr>
    <w:r>
      <w:t>Choose Classification</w:t>
    </w:r>
  </w:p>
  <w:p w14:paraId="04EC1264" w14:textId="77777777" w:rsidR="00896530" w:rsidRPr="00073D52" w:rsidRDefault="00896530" w:rsidP="00917F95">
    <w:pPr>
      <w:pStyle w:val="Footerline"/>
    </w:pPr>
  </w:p>
  <w:p w14:paraId="6F8A4531" w14:textId="5C35B372" w:rsidR="00896530" w:rsidRDefault="00896530" w:rsidP="00195BA8">
    <w:pPr>
      <w:pStyle w:val="Footer"/>
      <w:spacing w:after="500"/>
      <w:contextualSpacing/>
      <w:jc w:val="left"/>
      <w:rPr>
        <w:b w:val="0"/>
        <w:bCs/>
        <w:caps w:val="0"/>
        <w:color w:val="25303B" w:themeColor="accent1"/>
        <w:sz w:val="16"/>
        <w:szCs w:val="16"/>
      </w:rPr>
    </w:pPr>
    <w:r w:rsidRPr="005A0DE7">
      <w:rPr>
        <w:color w:val="25303B" w:themeColor="accent1"/>
        <w:sz w:val="16"/>
        <w:szCs w:val="16"/>
      </w:rPr>
      <w:t xml:space="preserve">PM&amp;C | </w:t>
    </w:r>
    <w:sdt>
      <w:sdtPr>
        <w:rPr>
          <w:caps w:val="0"/>
          <w:color w:val="25303B" w:themeColor="accent1"/>
          <w:sz w:val="16"/>
          <w:szCs w:val="16"/>
        </w:rPr>
        <w:alias w:val="Section Name"/>
        <w:tag w:val="SectionName"/>
        <w:id w:val="-414706023"/>
        <w:placeholder>
          <w:docPart w:val="4A1B4207812C47D4A115D0D13B555E30"/>
        </w:placeholder>
        <w:showingPlcHdr/>
        <w:dataBinding w:xpath="/root[1]/SectionName[1]" w:storeItemID="{00000000-0000-0000-0000-000000000000}"/>
        <w:text/>
      </w:sdtPr>
      <w:sdtEndPr/>
      <w:sdtContent>
        <w:r w:rsidRPr="005A0DE7">
          <w:rPr>
            <w:caps w:val="0"/>
            <w:color w:val="25303B" w:themeColor="accent1"/>
            <w:sz w:val="16"/>
            <w:szCs w:val="16"/>
          </w:rPr>
          <w:t>[Section Name]</w:t>
        </w:r>
      </w:sdtContent>
    </w:sdt>
    <w:r w:rsidRPr="005A0DE7">
      <w:rPr>
        <w:color w:val="25303B" w:themeColor="accent1"/>
        <w:sz w:val="16"/>
        <w:szCs w:val="16"/>
      </w:rPr>
      <w:t xml:space="preserve"> |</w:t>
    </w:r>
    <w:r w:rsidRPr="005A0DE7">
      <w:rPr>
        <w:b w:val="0"/>
        <w:bCs/>
        <w:color w:val="25303B" w:themeColor="accent1"/>
        <w:sz w:val="16"/>
        <w:szCs w:val="16"/>
      </w:rPr>
      <w:t xml:space="preserve"> </w:t>
    </w:r>
    <w:sdt>
      <w:sdtPr>
        <w:rPr>
          <w:b w:val="0"/>
          <w:bCs/>
          <w:caps w:val="0"/>
          <w:color w:val="25303B" w:themeColor="accent1"/>
          <w:sz w:val="16"/>
          <w:szCs w:val="16"/>
        </w:rPr>
        <w:alias w:val="Document Heading"/>
        <w:tag w:val="DH"/>
        <w:id w:val="1036542736"/>
        <w:placeholder>
          <w:docPart w:val="8FA75C6A6517453A8BB1CBCC6A673432"/>
        </w:placeholder>
        <w:dataBinding w:xpath="/root[1]/DH[1]" w:storeItemID="{00000000-0000-0000-0000-000000000000}"/>
        <w:text/>
      </w:sdtPr>
      <w:sdtEndPr/>
      <w:sdtContent>
        <w:r>
          <w:rPr>
            <w:b w:val="0"/>
            <w:bCs/>
            <w:caps w:val="0"/>
            <w:color w:val="25303B" w:themeColor="accent1"/>
            <w:sz w:val="16"/>
            <w:szCs w:val="16"/>
          </w:rPr>
          <w:t>UNPAID SUPERANNUATION GUARANTEE PACKAGE</w:t>
        </w:r>
      </w:sdtContent>
    </w:sdt>
  </w:p>
  <w:p w14:paraId="2FFF5726" w14:textId="77777777" w:rsidR="00896530" w:rsidRDefault="00896530" w:rsidP="00B850DD">
    <w:pPr>
      <w:pStyle w:val="SecurityClassificationFooter"/>
    </w:pPr>
  </w:p>
  <w:p w14:paraId="38EBE98A" w14:textId="4005308E" w:rsidR="00896530" w:rsidRPr="00195BA8" w:rsidRDefault="00694B95" w:rsidP="00A1752C">
    <w:pPr>
      <w:pStyle w:val="SecurityClassificationFooter"/>
    </w:pPr>
    <w:r>
      <w:fldChar w:fldCharType="begin"/>
    </w:r>
    <w:r>
      <w:instrText>DOCPROPERTY WorkingDocStatus \* MERGEFORMAT</w:instrText>
    </w:r>
    <w:r>
      <w:fldChar w:fldCharType="end"/>
    </w:r>
    <w:r>
      <w:fldChar w:fldCharType="begin"/>
    </w:r>
    <w:r>
      <w:instrText>DOCPROPERTY SecurityClassification \* MERGEFORMAT</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1EFC7" w14:textId="77777777" w:rsidR="00895046" w:rsidRPr="003A7E73" w:rsidRDefault="00895046" w:rsidP="00B95533">
      <w:pPr>
        <w:spacing w:after="0" w:line="240" w:lineRule="auto"/>
        <w:rPr>
          <w:color w:val="014463" w:themeColor="accent2"/>
        </w:rPr>
      </w:pPr>
      <w:r w:rsidRPr="003A7E73">
        <w:rPr>
          <w:color w:val="014463" w:themeColor="accent2"/>
        </w:rPr>
        <w:separator/>
      </w:r>
    </w:p>
  </w:footnote>
  <w:footnote w:type="continuationSeparator" w:id="0">
    <w:p w14:paraId="765F886C" w14:textId="77777777" w:rsidR="00895046" w:rsidRPr="003A7E73" w:rsidRDefault="00895046" w:rsidP="00B95533">
      <w:pPr>
        <w:spacing w:after="0" w:line="240" w:lineRule="auto"/>
        <w:rPr>
          <w:color w:val="014463" w:themeColor="accent2"/>
        </w:rPr>
      </w:pPr>
      <w:r w:rsidRPr="003A7E73">
        <w:rPr>
          <w:color w:val="014463" w:themeColor="accent2"/>
        </w:rPr>
        <w:continuationSeparator/>
      </w:r>
    </w:p>
  </w:footnote>
  <w:footnote w:type="continuationNotice" w:id="1">
    <w:p w14:paraId="37BCF0A6" w14:textId="77777777" w:rsidR="00895046" w:rsidRDefault="00895046">
      <w:pPr>
        <w:spacing w:after="0" w:line="240" w:lineRule="auto"/>
      </w:pPr>
    </w:p>
  </w:footnote>
  <w:footnote w:id="2">
    <w:p w14:paraId="70055DBC" w14:textId="77777777" w:rsidR="00896530" w:rsidRPr="00AF471B" w:rsidRDefault="00896530" w:rsidP="001151F2">
      <w:pPr>
        <w:pStyle w:val="FootnoteText"/>
        <w:rPr>
          <w:sz w:val="20"/>
        </w:rPr>
      </w:pPr>
      <w:r w:rsidRPr="00AF471B">
        <w:rPr>
          <w:rStyle w:val="FootnoteReference"/>
          <w:sz w:val="20"/>
        </w:rPr>
        <w:footnoteRef/>
      </w:r>
      <w:r w:rsidRPr="00AF471B">
        <w:rPr>
          <w:sz w:val="20"/>
        </w:rPr>
        <w:t xml:space="preserve"> Retirement Income Review</w:t>
      </w:r>
      <w:r>
        <w:rPr>
          <w:sz w:val="20"/>
        </w:rPr>
        <w:t xml:space="preserve"> (</w:t>
      </w:r>
      <w:r w:rsidRPr="00AF471B">
        <w:rPr>
          <w:sz w:val="20"/>
        </w:rPr>
        <w:t>2020</w:t>
      </w:r>
      <w:r>
        <w:rPr>
          <w:sz w:val="20"/>
        </w:rPr>
        <w:t>)</w:t>
      </w:r>
      <w:r w:rsidRPr="00AF471B">
        <w:rPr>
          <w:sz w:val="20"/>
        </w:rPr>
        <w:t>.</w:t>
      </w:r>
    </w:p>
  </w:footnote>
  <w:footnote w:id="3">
    <w:p w14:paraId="564FF2E8" w14:textId="4B36C6ED" w:rsidR="00896530" w:rsidRPr="009B1B7B" w:rsidRDefault="00896530" w:rsidP="003B49CD">
      <w:pPr>
        <w:pStyle w:val="FootnoteText"/>
        <w:rPr>
          <w:sz w:val="20"/>
        </w:rPr>
      </w:pPr>
      <w:r w:rsidRPr="009B1B7B">
        <w:rPr>
          <w:rStyle w:val="FootnoteReference"/>
          <w:sz w:val="20"/>
        </w:rPr>
        <w:footnoteRef/>
      </w:r>
      <w:r w:rsidRPr="009B1B7B">
        <w:rPr>
          <w:sz w:val="20"/>
        </w:rPr>
        <w:t xml:space="preserve"> A</w:t>
      </w:r>
      <w:r>
        <w:rPr>
          <w:sz w:val="20"/>
        </w:rPr>
        <w:t xml:space="preserve">ustralian Taxation Office (ATO) (2022), </w:t>
      </w:r>
      <w:r>
        <w:rPr>
          <w:i/>
          <w:iCs/>
          <w:sz w:val="20"/>
        </w:rPr>
        <w:t>Superannuation Guarantee Gap Latest estimates and trends,</w:t>
      </w:r>
      <w:r w:rsidRPr="009B1B7B">
        <w:rPr>
          <w:sz w:val="20"/>
        </w:rPr>
        <w:t xml:space="preserve"> </w:t>
      </w:r>
      <w:r>
        <w:rPr>
          <w:sz w:val="20"/>
        </w:rPr>
        <w:t>available at:</w:t>
      </w:r>
      <w:r w:rsidRPr="009B1B7B">
        <w:rPr>
          <w:sz w:val="20"/>
        </w:rPr>
        <w:t xml:space="preserve"> </w:t>
      </w:r>
      <w:r w:rsidRPr="009B1B7B">
        <w:rPr>
          <w:sz w:val="20"/>
          <w:u w:val="single"/>
        </w:rPr>
        <w:t>www.ato.gov.au/about-ato/research-and-statistics/in-detail/tax-gap/superannuation-guarantee-gap/?page=3#Latest_estimates_and_trends</w:t>
      </w:r>
      <w:r w:rsidRPr="009B1B7B">
        <w:rPr>
          <w:sz w:val="20"/>
        </w:rPr>
        <w:t>.</w:t>
      </w:r>
    </w:p>
  </w:footnote>
  <w:footnote w:id="4">
    <w:p w14:paraId="0CF6C6D4" w14:textId="5B62931C" w:rsidR="00896530" w:rsidRDefault="00896530" w:rsidP="00642ED4">
      <w:pPr>
        <w:pStyle w:val="FootnoteText"/>
      </w:pPr>
      <w:r>
        <w:rPr>
          <w:rStyle w:val="FootnoteReference"/>
        </w:rPr>
        <w:footnoteRef/>
      </w:r>
      <w:r>
        <w:t xml:space="preserve"> </w:t>
      </w:r>
      <w:r w:rsidR="009D6BDE">
        <w:rPr>
          <w:sz w:val="20"/>
        </w:rPr>
        <w:t>I</w:t>
      </w:r>
      <w:r w:rsidR="00FA7694">
        <w:rPr>
          <w:sz w:val="20"/>
        </w:rPr>
        <w:t>bid.</w:t>
      </w:r>
    </w:p>
  </w:footnote>
  <w:footnote w:id="5">
    <w:p w14:paraId="115F763F" w14:textId="776ABAB4" w:rsidR="00896530" w:rsidRPr="009B1B7B" w:rsidRDefault="00896530" w:rsidP="002A4501">
      <w:pPr>
        <w:pStyle w:val="FootnoteText"/>
        <w:rPr>
          <w:sz w:val="20"/>
        </w:rPr>
      </w:pPr>
      <w:r w:rsidRPr="009B1B7B">
        <w:rPr>
          <w:rStyle w:val="FootnoteReference"/>
          <w:sz w:val="20"/>
        </w:rPr>
        <w:footnoteRef/>
      </w:r>
      <w:r w:rsidRPr="009B1B7B">
        <w:rPr>
          <w:sz w:val="20"/>
        </w:rPr>
        <w:t xml:space="preserve"> </w:t>
      </w:r>
      <w:r>
        <w:rPr>
          <w:sz w:val="20"/>
        </w:rPr>
        <w:t xml:space="preserve">ATO (2022), </w:t>
      </w:r>
      <w:r w:rsidRPr="00C622A7">
        <w:rPr>
          <w:i/>
          <w:iCs/>
          <w:sz w:val="20"/>
        </w:rPr>
        <w:t>Super guarantee – annual employer compliance results</w:t>
      </w:r>
      <w:r>
        <w:rPr>
          <w:sz w:val="20"/>
        </w:rPr>
        <w:t xml:space="preserve">, available at: </w:t>
      </w:r>
      <w:hyperlink r:id="rId1" w:history="1">
        <w:r w:rsidRPr="00C622A7">
          <w:rPr>
            <w:rStyle w:val="Hyperlink"/>
            <w:color w:val="auto"/>
            <w:sz w:val="20"/>
            <w:szCs w:val="18"/>
          </w:rPr>
          <w:t>Super guarantee - an...~https://www.ato.gov.au/Business/Super-for-employers/Super-guarantee---annual-employer-compliance-results/</w:t>
        </w:r>
      </w:hyperlink>
    </w:p>
  </w:footnote>
  <w:footnote w:id="6">
    <w:p w14:paraId="67A5FDA6" w14:textId="1B70FE85" w:rsidR="00896530" w:rsidRPr="00675446" w:rsidRDefault="00896530" w:rsidP="00431474">
      <w:pPr>
        <w:pStyle w:val="FootnoteText"/>
        <w:rPr>
          <w:sz w:val="20"/>
        </w:rPr>
      </w:pPr>
      <w:r w:rsidRPr="009B1B7B">
        <w:rPr>
          <w:rStyle w:val="FootnoteReference"/>
          <w:sz w:val="20"/>
        </w:rPr>
        <w:footnoteRef/>
      </w:r>
      <w:r w:rsidRPr="009B1B7B">
        <w:rPr>
          <w:sz w:val="20"/>
        </w:rPr>
        <w:t xml:space="preserve"> </w:t>
      </w:r>
      <w:r w:rsidRPr="009B1B7B">
        <w:rPr>
          <w:rFonts w:ascii="Calibri" w:eastAsia="Calibri" w:hAnsi="Calibri" w:cs="Calibri"/>
          <w:sz w:val="20"/>
        </w:rPr>
        <w:t>This includes the total amount of $1,</w:t>
      </w:r>
      <w:r w:rsidRPr="00675446">
        <w:rPr>
          <w:rFonts w:ascii="Calibri" w:eastAsia="Calibri" w:hAnsi="Calibri" w:cs="Calibri"/>
          <w:sz w:val="20"/>
        </w:rPr>
        <w:t>125</w:t>
      </w:r>
      <w:r>
        <w:rPr>
          <w:rFonts w:ascii="Calibri" w:eastAsia="Calibri" w:hAnsi="Calibri" w:cs="Calibri"/>
          <w:sz w:val="20"/>
        </w:rPr>
        <w:t xml:space="preserve"> </w:t>
      </w:r>
      <w:r w:rsidRPr="00675446">
        <w:rPr>
          <w:rFonts w:ascii="Calibri" w:eastAsia="Calibri" w:hAnsi="Calibri" w:cs="Calibri"/>
          <w:sz w:val="20"/>
        </w:rPr>
        <w:t>m</w:t>
      </w:r>
      <w:r>
        <w:rPr>
          <w:rFonts w:ascii="Calibri" w:eastAsia="Calibri" w:hAnsi="Calibri" w:cs="Calibri"/>
          <w:sz w:val="20"/>
        </w:rPr>
        <w:t>illion</w:t>
      </w:r>
      <w:r w:rsidRPr="009B1B7B">
        <w:rPr>
          <w:rFonts w:ascii="Calibri" w:eastAsia="Calibri" w:hAnsi="Calibri" w:cs="Calibri"/>
          <w:sz w:val="20"/>
        </w:rPr>
        <w:t xml:space="preserve"> raised from ATO compliance actions and employer disclosures of unpaid super, less adjustments for amendments and objections.</w:t>
      </w:r>
      <w:r w:rsidRPr="00675446">
        <w:rPr>
          <w:rStyle w:val="FootnoteReference"/>
          <w:sz w:val="20"/>
        </w:rPr>
        <w:t xml:space="preserve"> </w:t>
      </w:r>
    </w:p>
  </w:footnote>
  <w:footnote w:id="7">
    <w:p w14:paraId="553CDBD1" w14:textId="0A157642" w:rsidR="00896530" w:rsidRDefault="00896530">
      <w:pPr>
        <w:pStyle w:val="FootnoteText"/>
      </w:pPr>
      <w:r>
        <w:rPr>
          <w:rStyle w:val="FootnoteReference"/>
        </w:rPr>
        <w:footnoteRef/>
      </w:r>
      <w:r>
        <w:t xml:space="preserve"> </w:t>
      </w:r>
      <w:r w:rsidR="00B50620">
        <w:rPr>
          <w:sz w:val="20"/>
        </w:rPr>
        <w:t>Unpublished ATO data</w:t>
      </w:r>
      <w:r w:rsidRPr="009B1B7B">
        <w:rPr>
          <w:sz w:val="20"/>
        </w:rPr>
        <w:t>.</w:t>
      </w:r>
    </w:p>
  </w:footnote>
  <w:footnote w:id="8">
    <w:p w14:paraId="5EC6D4BE" w14:textId="598F0ACD" w:rsidR="00896530" w:rsidRPr="009B1B7B" w:rsidRDefault="00896530">
      <w:pPr>
        <w:pStyle w:val="FootnoteText"/>
        <w:rPr>
          <w:sz w:val="20"/>
        </w:rPr>
      </w:pPr>
      <w:r w:rsidRPr="009B1B7B">
        <w:rPr>
          <w:rStyle w:val="FootnoteReference"/>
          <w:sz w:val="20"/>
        </w:rPr>
        <w:footnoteRef/>
      </w:r>
      <w:r w:rsidRPr="009B1B7B">
        <w:rPr>
          <w:sz w:val="20"/>
        </w:rPr>
        <w:t xml:space="preserve"> Productivity Commission</w:t>
      </w:r>
      <w:r>
        <w:rPr>
          <w:sz w:val="20"/>
        </w:rPr>
        <w:t xml:space="preserve"> (</w:t>
      </w:r>
      <w:r w:rsidRPr="009B1B7B">
        <w:rPr>
          <w:sz w:val="20"/>
        </w:rPr>
        <w:t>2018</w:t>
      </w:r>
      <w:r>
        <w:rPr>
          <w:sz w:val="20"/>
        </w:rPr>
        <w:t>),</w:t>
      </w:r>
      <w:r w:rsidRPr="009B1B7B">
        <w:rPr>
          <w:sz w:val="20"/>
        </w:rPr>
        <w:t xml:space="preserve"> </w:t>
      </w:r>
      <w:r w:rsidRPr="009B1B7B">
        <w:rPr>
          <w:i/>
          <w:iCs/>
          <w:sz w:val="20"/>
        </w:rPr>
        <w:t>Superannuation: Assessing Efficiency and Competitiveness</w:t>
      </w:r>
      <w:r w:rsidRPr="009B1B7B">
        <w:rPr>
          <w:sz w:val="20"/>
        </w:rPr>
        <w:t>.</w:t>
      </w:r>
    </w:p>
  </w:footnote>
  <w:footnote w:id="9">
    <w:p w14:paraId="5399C790" w14:textId="77777777" w:rsidR="00FD429A" w:rsidRPr="009B1B7B" w:rsidRDefault="00FD429A" w:rsidP="00FD429A">
      <w:pPr>
        <w:pStyle w:val="FootnoteText"/>
        <w:rPr>
          <w:sz w:val="20"/>
        </w:rPr>
      </w:pPr>
      <w:r w:rsidRPr="009B1B7B">
        <w:rPr>
          <w:rStyle w:val="FootnoteReference"/>
          <w:sz w:val="20"/>
        </w:rPr>
        <w:footnoteRef/>
      </w:r>
      <w:r w:rsidRPr="009B1B7B">
        <w:rPr>
          <w:sz w:val="20"/>
        </w:rPr>
        <w:t xml:space="preserve"> </w:t>
      </w:r>
      <w:r w:rsidRPr="0077692B">
        <w:rPr>
          <w:sz w:val="20"/>
        </w:rPr>
        <w:t>Australian National Audit Office (</w:t>
      </w:r>
      <w:r>
        <w:rPr>
          <w:sz w:val="20"/>
        </w:rPr>
        <w:t>ANAO</w:t>
      </w:r>
      <w:r w:rsidRPr="004A428E">
        <w:rPr>
          <w:sz w:val="20"/>
        </w:rPr>
        <w:t>)</w:t>
      </w:r>
      <w:r>
        <w:rPr>
          <w:sz w:val="20"/>
        </w:rPr>
        <w:t xml:space="preserve"> (2022),</w:t>
      </w:r>
      <w:r w:rsidRPr="009B1B7B">
        <w:rPr>
          <w:sz w:val="20"/>
        </w:rPr>
        <w:t xml:space="preserve"> </w:t>
      </w:r>
      <w:r w:rsidRPr="009B1B7B">
        <w:rPr>
          <w:i/>
          <w:iCs/>
          <w:sz w:val="20"/>
        </w:rPr>
        <w:t>Addressing Superannuation Guarantee Non-Compliance</w:t>
      </w:r>
      <w:r>
        <w:rPr>
          <w:sz w:val="20"/>
        </w:rPr>
        <w:t>.</w:t>
      </w:r>
    </w:p>
  </w:footnote>
  <w:footnote w:id="10">
    <w:p w14:paraId="2EDBEFC8" w14:textId="77777777" w:rsidR="00077D28" w:rsidRPr="009B1B7B" w:rsidRDefault="00077D28" w:rsidP="00077D28">
      <w:pPr>
        <w:pStyle w:val="FootnoteText"/>
        <w:rPr>
          <w:sz w:val="20"/>
        </w:rPr>
      </w:pPr>
      <w:r w:rsidRPr="009B1B7B">
        <w:rPr>
          <w:rStyle w:val="FootnoteReference"/>
          <w:sz w:val="20"/>
        </w:rPr>
        <w:footnoteRef/>
      </w:r>
      <w:r w:rsidRPr="009B1B7B">
        <w:rPr>
          <w:sz w:val="20"/>
        </w:rPr>
        <w:t xml:space="preserve"> </w:t>
      </w:r>
      <w:r>
        <w:rPr>
          <w:sz w:val="20"/>
        </w:rPr>
        <w:t>ANAO (2022),</w:t>
      </w:r>
      <w:r w:rsidRPr="009B1B7B">
        <w:rPr>
          <w:sz w:val="20"/>
        </w:rPr>
        <w:t xml:space="preserve"> </w:t>
      </w:r>
      <w:r w:rsidRPr="009B1B7B">
        <w:rPr>
          <w:i/>
          <w:iCs/>
          <w:sz w:val="20"/>
        </w:rPr>
        <w:t>Addressing Superannuation Guarantee Non-Compliance</w:t>
      </w:r>
      <w:r>
        <w:rPr>
          <w:sz w:val="20"/>
        </w:rPr>
        <w:t>.</w:t>
      </w:r>
    </w:p>
  </w:footnote>
  <w:footnote w:id="11">
    <w:p w14:paraId="0609D1CA" w14:textId="43EE2050" w:rsidR="00896530" w:rsidRDefault="00896530">
      <w:pPr>
        <w:pStyle w:val="FootnoteText"/>
      </w:pPr>
      <w:r w:rsidRPr="009B1B7B">
        <w:rPr>
          <w:rStyle w:val="FootnoteReference"/>
          <w:sz w:val="20"/>
        </w:rPr>
        <w:footnoteRef/>
      </w:r>
      <w:r w:rsidRPr="009B1B7B">
        <w:rPr>
          <w:sz w:val="20"/>
        </w:rPr>
        <w:t xml:space="preserve"> Retirement Income Review </w:t>
      </w:r>
      <w:r>
        <w:rPr>
          <w:sz w:val="20"/>
        </w:rPr>
        <w:t>(</w:t>
      </w:r>
      <w:r w:rsidRPr="009B1B7B">
        <w:rPr>
          <w:sz w:val="20"/>
        </w:rPr>
        <w:t>2020</w:t>
      </w:r>
      <w:r>
        <w:rPr>
          <w:sz w:val="20"/>
        </w:rPr>
        <w:t>)</w:t>
      </w:r>
      <w:r w:rsidRPr="009B1B7B">
        <w:rPr>
          <w:sz w:val="20"/>
        </w:rPr>
        <w:t>.</w:t>
      </w:r>
    </w:p>
  </w:footnote>
  <w:footnote w:id="12">
    <w:p w14:paraId="50C79CD5" w14:textId="35770257" w:rsidR="00896530" w:rsidRPr="00AF471B" w:rsidRDefault="00896530">
      <w:pPr>
        <w:pStyle w:val="FootnoteText"/>
        <w:rPr>
          <w:sz w:val="20"/>
        </w:rPr>
      </w:pPr>
      <w:r w:rsidRPr="00AF471B">
        <w:rPr>
          <w:rStyle w:val="FootnoteReference"/>
          <w:sz w:val="20"/>
        </w:rPr>
        <w:footnoteRef/>
      </w:r>
      <w:r w:rsidRPr="00AF471B">
        <w:rPr>
          <w:sz w:val="20"/>
        </w:rPr>
        <w:t xml:space="preserve"> </w:t>
      </w:r>
      <w:r w:rsidRPr="009B1B7B">
        <w:rPr>
          <w:sz w:val="20"/>
        </w:rPr>
        <w:t>Productivity Commission</w:t>
      </w:r>
      <w:r>
        <w:rPr>
          <w:sz w:val="20"/>
        </w:rPr>
        <w:t xml:space="preserve"> (</w:t>
      </w:r>
      <w:r w:rsidRPr="009B1B7B">
        <w:rPr>
          <w:sz w:val="20"/>
        </w:rPr>
        <w:t>2018</w:t>
      </w:r>
      <w:r>
        <w:rPr>
          <w:sz w:val="20"/>
        </w:rPr>
        <w:t>),</w:t>
      </w:r>
      <w:r w:rsidRPr="00AF471B">
        <w:rPr>
          <w:sz w:val="20"/>
        </w:rPr>
        <w:t xml:space="preserve"> </w:t>
      </w:r>
      <w:r w:rsidRPr="00AF471B">
        <w:rPr>
          <w:i/>
          <w:iCs/>
          <w:sz w:val="20"/>
        </w:rPr>
        <w:t>Superannuation: Assessing Efficiency and Competitiveness</w:t>
      </w:r>
      <w:r w:rsidRPr="009B1B7B">
        <w:rPr>
          <w:sz w:val="20"/>
        </w:rPr>
        <w:t>.</w:t>
      </w:r>
    </w:p>
  </w:footnote>
  <w:footnote w:id="13">
    <w:p w14:paraId="1A96B5B1" w14:textId="77777777" w:rsidR="002A4FAF" w:rsidRPr="00AF471B" w:rsidRDefault="002A4FAF" w:rsidP="002A4FAF">
      <w:pPr>
        <w:pStyle w:val="FootnoteText"/>
        <w:rPr>
          <w:sz w:val="20"/>
        </w:rPr>
      </w:pPr>
      <w:r w:rsidRPr="00AF471B">
        <w:rPr>
          <w:rStyle w:val="FootnoteReference"/>
          <w:sz w:val="20"/>
        </w:rPr>
        <w:footnoteRef/>
      </w:r>
      <w:r w:rsidRPr="00AF471B">
        <w:rPr>
          <w:sz w:val="20"/>
        </w:rPr>
        <w:t xml:space="preserve"> Retirement Income Review </w:t>
      </w:r>
      <w:r>
        <w:rPr>
          <w:sz w:val="20"/>
        </w:rPr>
        <w:t>(</w:t>
      </w:r>
      <w:r w:rsidRPr="00AF471B">
        <w:rPr>
          <w:sz w:val="20"/>
        </w:rPr>
        <w:t>2020</w:t>
      </w:r>
      <w:r>
        <w:rPr>
          <w:sz w:val="20"/>
        </w:rPr>
        <w:t>)</w:t>
      </w:r>
      <w:r w:rsidRPr="00AF471B">
        <w:rPr>
          <w:sz w:val="20"/>
        </w:rPr>
        <w:t>.</w:t>
      </w:r>
      <w:r>
        <w:rPr>
          <w:sz w:val="20"/>
        </w:rPr>
        <w:t xml:space="preserve"> </w:t>
      </w:r>
      <w:r w:rsidRPr="00BC7818">
        <w:rPr>
          <w:sz w:val="20"/>
        </w:rPr>
        <w:t>Table 3D-5</w:t>
      </w:r>
      <w:r>
        <w:rPr>
          <w:sz w:val="20"/>
        </w:rPr>
        <w:t>.</w:t>
      </w:r>
    </w:p>
  </w:footnote>
  <w:footnote w:id="14">
    <w:p w14:paraId="2C7BD1D7" w14:textId="42B01419" w:rsidR="00896530" w:rsidRPr="00AF471B" w:rsidRDefault="00896530">
      <w:pPr>
        <w:pStyle w:val="FootnoteText"/>
        <w:rPr>
          <w:sz w:val="20"/>
        </w:rPr>
      </w:pPr>
      <w:r w:rsidRPr="00AF471B">
        <w:rPr>
          <w:rStyle w:val="FootnoteReference"/>
          <w:sz w:val="20"/>
        </w:rPr>
        <w:footnoteRef/>
      </w:r>
      <w:r w:rsidRPr="00AF471B">
        <w:rPr>
          <w:sz w:val="20"/>
        </w:rPr>
        <w:t xml:space="preserve"> Productivity Commission </w:t>
      </w:r>
      <w:r>
        <w:rPr>
          <w:sz w:val="20"/>
        </w:rPr>
        <w:t>(</w:t>
      </w:r>
      <w:r w:rsidRPr="00AF471B">
        <w:rPr>
          <w:sz w:val="20"/>
        </w:rPr>
        <w:t>2018</w:t>
      </w:r>
      <w:r>
        <w:rPr>
          <w:sz w:val="20"/>
        </w:rPr>
        <w:t>),</w:t>
      </w:r>
      <w:r w:rsidRPr="00AF471B">
        <w:rPr>
          <w:sz w:val="20"/>
        </w:rPr>
        <w:t xml:space="preserve"> </w:t>
      </w:r>
      <w:r w:rsidRPr="00AF471B">
        <w:rPr>
          <w:i/>
          <w:iCs/>
          <w:sz w:val="20"/>
        </w:rPr>
        <w:t>Superannuation: Assessing Efficiency and Competitiveness</w:t>
      </w:r>
      <w:r w:rsidRPr="00AF471B">
        <w:rPr>
          <w:sz w:val="20"/>
        </w:rPr>
        <w:t>.</w:t>
      </w:r>
    </w:p>
  </w:footnote>
  <w:footnote w:id="15">
    <w:p w14:paraId="4F5B46EE" w14:textId="58D865C2" w:rsidR="00896530" w:rsidRPr="00AF471B" w:rsidRDefault="00896530" w:rsidP="00B72BB1">
      <w:pPr>
        <w:pStyle w:val="FootnoteText"/>
        <w:rPr>
          <w:sz w:val="20"/>
        </w:rPr>
      </w:pPr>
      <w:r w:rsidRPr="00AF471B">
        <w:rPr>
          <w:rStyle w:val="FootnoteReference"/>
          <w:sz w:val="20"/>
        </w:rPr>
        <w:footnoteRef/>
      </w:r>
      <w:r w:rsidRPr="00AF471B">
        <w:rPr>
          <w:sz w:val="20"/>
        </w:rPr>
        <w:t xml:space="preserve"> </w:t>
      </w:r>
      <w:r>
        <w:rPr>
          <w:sz w:val="20"/>
        </w:rPr>
        <w:t>Senate Economic References Committee (2022),</w:t>
      </w:r>
      <w:r w:rsidRPr="00AF471B">
        <w:rPr>
          <w:sz w:val="20"/>
        </w:rPr>
        <w:t xml:space="preserve"> </w:t>
      </w:r>
      <w:r w:rsidRPr="00AF471B">
        <w:rPr>
          <w:i/>
          <w:iCs/>
          <w:sz w:val="20"/>
        </w:rPr>
        <w:t>Systemic, sustained and shameful: Unlawful underpayment of employees’ remuneration</w:t>
      </w:r>
      <w:r w:rsidRPr="00AF471B">
        <w:rPr>
          <w:sz w:val="20"/>
        </w:rPr>
        <w:t>.</w:t>
      </w:r>
    </w:p>
  </w:footnote>
  <w:footnote w:id="16">
    <w:p w14:paraId="47804492" w14:textId="6443338A" w:rsidR="00896530" w:rsidRDefault="00896530" w:rsidP="00D43A2D">
      <w:pPr>
        <w:pStyle w:val="FootnoteText"/>
      </w:pPr>
      <w:r w:rsidRPr="00AF471B">
        <w:rPr>
          <w:rStyle w:val="FootnoteReference"/>
          <w:sz w:val="20"/>
        </w:rPr>
        <w:footnoteRef/>
      </w:r>
      <w:r w:rsidRPr="00AF471B">
        <w:rPr>
          <w:sz w:val="20"/>
        </w:rPr>
        <w:t xml:space="preserve"> </w:t>
      </w:r>
      <w:r w:rsidR="007A016A">
        <w:rPr>
          <w:sz w:val="20"/>
        </w:rPr>
        <w:t>Ibid</w:t>
      </w:r>
      <w:r w:rsidRPr="00AF471B">
        <w:rPr>
          <w:sz w:val="20"/>
        </w:rPr>
        <w:t>.</w:t>
      </w:r>
    </w:p>
  </w:footnote>
  <w:footnote w:id="17">
    <w:p w14:paraId="113099B7" w14:textId="37F183AE" w:rsidR="00896530" w:rsidRPr="00AF471B" w:rsidRDefault="00896530" w:rsidP="00D43A2D">
      <w:pPr>
        <w:pStyle w:val="FootnoteText"/>
        <w:rPr>
          <w:sz w:val="20"/>
        </w:rPr>
      </w:pPr>
      <w:r w:rsidRPr="00AF471B">
        <w:rPr>
          <w:rStyle w:val="FootnoteReference"/>
          <w:sz w:val="20"/>
        </w:rPr>
        <w:footnoteRef/>
      </w:r>
      <w:r w:rsidRPr="00AF471B">
        <w:rPr>
          <w:sz w:val="20"/>
        </w:rPr>
        <w:t xml:space="preserve"> </w:t>
      </w:r>
      <w:r w:rsidRPr="009B1B7B">
        <w:rPr>
          <w:sz w:val="20"/>
        </w:rPr>
        <w:t>Commissioner of Taxation Annual Report 202</w:t>
      </w:r>
      <w:r>
        <w:rPr>
          <w:sz w:val="20"/>
        </w:rPr>
        <w:t>1</w:t>
      </w:r>
      <w:r w:rsidRPr="009B1B7B">
        <w:rPr>
          <w:sz w:val="20"/>
        </w:rPr>
        <w:t>-2</w:t>
      </w:r>
      <w:r>
        <w:rPr>
          <w:sz w:val="20"/>
        </w:rPr>
        <w:t>2</w:t>
      </w:r>
      <w:r w:rsidRPr="009B1B7B">
        <w:rPr>
          <w:sz w:val="20"/>
        </w:rPr>
        <w:t>.</w:t>
      </w:r>
    </w:p>
  </w:footnote>
  <w:footnote w:id="18">
    <w:p w14:paraId="683D8FE3" w14:textId="2C6ECF01" w:rsidR="00896530" w:rsidRPr="00AF471B" w:rsidRDefault="00896530" w:rsidP="009017F3">
      <w:pPr>
        <w:pStyle w:val="FootnoteText"/>
        <w:rPr>
          <w:sz w:val="20"/>
        </w:rPr>
      </w:pPr>
      <w:r w:rsidRPr="00AF471B">
        <w:rPr>
          <w:rStyle w:val="FootnoteReference"/>
          <w:sz w:val="20"/>
        </w:rPr>
        <w:footnoteRef/>
      </w:r>
      <w:r w:rsidRPr="00AF471B">
        <w:rPr>
          <w:sz w:val="20"/>
        </w:rPr>
        <w:t xml:space="preserve"> </w:t>
      </w:r>
      <w:r>
        <w:rPr>
          <w:sz w:val="20"/>
        </w:rPr>
        <w:t>Senate Economic References Committee (2022),</w:t>
      </w:r>
      <w:r w:rsidRPr="00AF471B">
        <w:rPr>
          <w:sz w:val="20"/>
        </w:rPr>
        <w:t xml:space="preserve"> </w:t>
      </w:r>
      <w:r w:rsidRPr="00AF471B">
        <w:rPr>
          <w:i/>
          <w:iCs/>
          <w:sz w:val="20"/>
        </w:rPr>
        <w:t>Systemic, sustained and shameful: Unlawful underpayment of employees’ remuneration</w:t>
      </w:r>
      <w:r w:rsidRPr="00AF471B">
        <w:rPr>
          <w:sz w:val="20"/>
        </w:rPr>
        <w:t>.</w:t>
      </w:r>
    </w:p>
  </w:footnote>
  <w:footnote w:id="19">
    <w:p w14:paraId="66ADB85A" w14:textId="362B8AD9" w:rsidR="00896530" w:rsidRPr="00AF471B" w:rsidRDefault="00896530" w:rsidP="007D6BE3">
      <w:pPr>
        <w:pStyle w:val="FootnoteText"/>
        <w:rPr>
          <w:sz w:val="20"/>
        </w:rPr>
      </w:pPr>
      <w:r w:rsidRPr="00AF471B">
        <w:rPr>
          <w:rStyle w:val="FootnoteReference"/>
          <w:sz w:val="20"/>
        </w:rPr>
        <w:footnoteRef/>
      </w:r>
      <w:r w:rsidRPr="00AF471B">
        <w:rPr>
          <w:sz w:val="20"/>
        </w:rPr>
        <w:t xml:space="preserve"> </w:t>
      </w:r>
      <w:r w:rsidR="00D876AA">
        <w:rPr>
          <w:sz w:val="20"/>
        </w:rPr>
        <w:t>Ibid.</w:t>
      </w:r>
      <w:r>
        <w:rPr>
          <w:sz w:val="20"/>
        </w:rPr>
        <w:t xml:space="preserve"> </w:t>
      </w:r>
    </w:p>
  </w:footnote>
  <w:footnote w:id="20">
    <w:p w14:paraId="1613B489" w14:textId="37CD7C16" w:rsidR="00896530" w:rsidRPr="00AF471B" w:rsidRDefault="00896530" w:rsidP="00504CD9">
      <w:pPr>
        <w:pStyle w:val="FootnoteText"/>
        <w:rPr>
          <w:sz w:val="20"/>
        </w:rPr>
      </w:pPr>
      <w:r w:rsidRPr="00AF471B">
        <w:rPr>
          <w:rStyle w:val="FootnoteReference"/>
          <w:sz w:val="20"/>
        </w:rPr>
        <w:footnoteRef/>
      </w:r>
      <w:r w:rsidRPr="00AF471B">
        <w:rPr>
          <w:sz w:val="20"/>
        </w:rPr>
        <w:t xml:space="preserve"> Productivity Commission </w:t>
      </w:r>
      <w:r>
        <w:rPr>
          <w:sz w:val="20"/>
        </w:rPr>
        <w:t>(</w:t>
      </w:r>
      <w:r w:rsidRPr="00AF471B">
        <w:rPr>
          <w:sz w:val="20"/>
        </w:rPr>
        <w:t>2018</w:t>
      </w:r>
      <w:r>
        <w:rPr>
          <w:sz w:val="20"/>
        </w:rPr>
        <w:t>),</w:t>
      </w:r>
      <w:r w:rsidRPr="00AF471B">
        <w:rPr>
          <w:sz w:val="20"/>
        </w:rPr>
        <w:t xml:space="preserve"> </w:t>
      </w:r>
      <w:r w:rsidRPr="00AF471B">
        <w:rPr>
          <w:i/>
          <w:iCs/>
          <w:sz w:val="20"/>
        </w:rPr>
        <w:t>Superannuation: Assessing Efficiency and Competitiveness</w:t>
      </w:r>
      <w:r w:rsidRPr="00AF471B">
        <w:rPr>
          <w:sz w:val="20"/>
        </w:rPr>
        <w:t>.</w:t>
      </w:r>
    </w:p>
  </w:footnote>
  <w:footnote w:id="21">
    <w:p w14:paraId="15FFCFDE" w14:textId="53DF64D5" w:rsidR="00896530" w:rsidRDefault="00896530">
      <w:pPr>
        <w:pStyle w:val="FootnoteText"/>
      </w:pPr>
      <w:r>
        <w:rPr>
          <w:rStyle w:val="FootnoteReference"/>
        </w:rPr>
        <w:footnoteRef/>
      </w:r>
      <w:r>
        <w:t xml:space="preserve"> </w:t>
      </w:r>
      <w:r>
        <w:rPr>
          <w:sz w:val="20"/>
        </w:rPr>
        <w:t>Senate Economic References Committee (2022),</w:t>
      </w:r>
      <w:r w:rsidRPr="00AF471B">
        <w:rPr>
          <w:sz w:val="20"/>
        </w:rPr>
        <w:t xml:space="preserve"> </w:t>
      </w:r>
      <w:r w:rsidRPr="00AF471B">
        <w:rPr>
          <w:i/>
          <w:iCs/>
          <w:sz w:val="20"/>
        </w:rPr>
        <w:t>Systemic, sustained and shameful: Unlawful underpayment of employees’ remuneration</w:t>
      </w:r>
      <w:r w:rsidRPr="00AF471B">
        <w:rPr>
          <w:sz w:val="20"/>
        </w:rPr>
        <w:t>; Senate Economics References Committee</w:t>
      </w:r>
      <w:r w:rsidRPr="00AF471B">
        <w:rPr>
          <w:i/>
          <w:sz w:val="20"/>
        </w:rPr>
        <w:t xml:space="preserve"> </w:t>
      </w:r>
      <w:r>
        <w:rPr>
          <w:iCs/>
          <w:sz w:val="20"/>
        </w:rPr>
        <w:t>(2017),</w:t>
      </w:r>
    </w:p>
  </w:footnote>
  <w:footnote w:id="22">
    <w:p w14:paraId="5619BF74" w14:textId="1377E65E" w:rsidR="00896530" w:rsidRPr="00AF471B" w:rsidRDefault="00896530" w:rsidP="00C82259">
      <w:pPr>
        <w:pStyle w:val="FootnoteText"/>
        <w:rPr>
          <w:sz w:val="20"/>
        </w:rPr>
      </w:pPr>
      <w:r w:rsidRPr="00AF471B">
        <w:rPr>
          <w:rStyle w:val="FootnoteReference"/>
          <w:sz w:val="20"/>
        </w:rPr>
        <w:footnoteRef/>
      </w:r>
      <w:r w:rsidRPr="00AF471B">
        <w:rPr>
          <w:sz w:val="20"/>
        </w:rPr>
        <w:t xml:space="preserve"> Productivity Commission </w:t>
      </w:r>
      <w:r>
        <w:rPr>
          <w:sz w:val="20"/>
        </w:rPr>
        <w:t>(</w:t>
      </w:r>
      <w:r w:rsidRPr="00AF471B">
        <w:rPr>
          <w:sz w:val="20"/>
        </w:rPr>
        <w:t>2018</w:t>
      </w:r>
      <w:r>
        <w:rPr>
          <w:sz w:val="20"/>
        </w:rPr>
        <w:t>),</w:t>
      </w:r>
      <w:r w:rsidRPr="00AF471B">
        <w:rPr>
          <w:sz w:val="20"/>
        </w:rPr>
        <w:t xml:space="preserve"> </w:t>
      </w:r>
      <w:r w:rsidRPr="00AF471B">
        <w:rPr>
          <w:i/>
          <w:iCs/>
          <w:sz w:val="20"/>
        </w:rPr>
        <w:t>Superannuation: Assessing Efficiency and Competitiveness</w:t>
      </w:r>
      <w:r w:rsidRPr="00AF471B">
        <w:rPr>
          <w:sz w:val="20"/>
        </w:rPr>
        <w:t>.</w:t>
      </w:r>
    </w:p>
  </w:footnote>
  <w:footnote w:id="23">
    <w:p w14:paraId="55311BDB" w14:textId="75868F89" w:rsidR="00896530" w:rsidRPr="00AF471B" w:rsidRDefault="00896530" w:rsidP="00816FC6">
      <w:pPr>
        <w:pStyle w:val="FootnoteText"/>
        <w:rPr>
          <w:sz w:val="20"/>
        </w:rPr>
      </w:pPr>
      <w:r w:rsidRPr="00AF471B">
        <w:rPr>
          <w:rStyle w:val="FootnoteReference"/>
          <w:sz w:val="20"/>
        </w:rPr>
        <w:footnoteRef/>
      </w:r>
      <w:r w:rsidRPr="00AF471B">
        <w:rPr>
          <w:sz w:val="20"/>
        </w:rPr>
        <w:t xml:space="preserve"> </w:t>
      </w:r>
      <w:r>
        <w:rPr>
          <w:sz w:val="20"/>
        </w:rPr>
        <w:t>Senate Economic References Committee (2022),</w:t>
      </w:r>
      <w:r w:rsidRPr="00AF471B">
        <w:rPr>
          <w:sz w:val="20"/>
        </w:rPr>
        <w:t xml:space="preserve"> </w:t>
      </w:r>
      <w:r w:rsidRPr="00AF471B">
        <w:rPr>
          <w:i/>
          <w:iCs/>
          <w:sz w:val="20"/>
        </w:rPr>
        <w:t>Systemic, sustained and shameful: Unlawful underpayment of employees’ remuneration</w:t>
      </w:r>
      <w:r w:rsidRPr="00AF471B">
        <w:rPr>
          <w:sz w:val="20"/>
        </w:rPr>
        <w:t>.</w:t>
      </w:r>
    </w:p>
  </w:footnote>
  <w:footnote w:id="24">
    <w:p w14:paraId="39D10BE9" w14:textId="02B70553" w:rsidR="00896530" w:rsidRPr="00AF471B" w:rsidRDefault="00896530" w:rsidP="008D0FF7">
      <w:pPr>
        <w:pStyle w:val="FootnoteText"/>
        <w:rPr>
          <w:sz w:val="20"/>
        </w:rPr>
      </w:pPr>
      <w:r w:rsidRPr="00AF471B">
        <w:rPr>
          <w:rStyle w:val="FootnoteReference"/>
          <w:sz w:val="20"/>
        </w:rPr>
        <w:footnoteRef/>
      </w:r>
      <w:r w:rsidRPr="00AF471B">
        <w:rPr>
          <w:sz w:val="20"/>
        </w:rPr>
        <w:t xml:space="preserve"> </w:t>
      </w:r>
      <w:r>
        <w:rPr>
          <w:sz w:val="20"/>
        </w:rPr>
        <w:t>ANAO (2022),</w:t>
      </w:r>
      <w:r w:rsidRPr="00AF471B">
        <w:rPr>
          <w:sz w:val="20"/>
        </w:rPr>
        <w:t xml:space="preserve"> </w:t>
      </w:r>
      <w:r w:rsidRPr="00AF471B">
        <w:rPr>
          <w:i/>
          <w:iCs/>
          <w:sz w:val="20"/>
        </w:rPr>
        <w:t>Addressing Superannuation Guarantee Non-Compliance</w:t>
      </w:r>
      <w:r>
        <w:rPr>
          <w:sz w:val="20"/>
        </w:rPr>
        <w:t>.</w:t>
      </w:r>
    </w:p>
  </w:footnote>
  <w:footnote w:id="25">
    <w:p w14:paraId="60B0E882" w14:textId="2CA76CBB" w:rsidR="00896530" w:rsidRDefault="00896530" w:rsidP="009741DE">
      <w:pPr>
        <w:pStyle w:val="FootnoteText"/>
      </w:pPr>
      <w:r w:rsidRPr="00AF471B">
        <w:rPr>
          <w:rStyle w:val="FootnoteReference"/>
          <w:sz w:val="20"/>
        </w:rPr>
        <w:footnoteRef/>
      </w:r>
      <w:r w:rsidRPr="00AF471B">
        <w:rPr>
          <w:sz w:val="20"/>
        </w:rPr>
        <w:t xml:space="preserve"> </w:t>
      </w:r>
      <w:r>
        <w:rPr>
          <w:sz w:val="20"/>
        </w:rPr>
        <w:t>Senate Economic References Committee (2022),</w:t>
      </w:r>
      <w:r w:rsidRPr="00AF471B">
        <w:rPr>
          <w:sz w:val="20"/>
        </w:rPr>
        <w:t xml:space="preserve"> </w:t>
      </w:r>
      <w:r w:rsidRPr="00AF471B">
        <w:rPr>
          <w:i/>
          <w:iCs/>
          <w:sz w:val="20"/>
        </w:rPr>
        <w:t>Systemic, sustained and shameful: Unlawful underpayment of employees’ remuneration</w:t>
      </w:r>
      <w:r w:rsidRPr="00AF471B">
        <w:rPr>
          <w:sz w:val="20"/>
        </w:rPr>
        <w:t>; Senate Economics References Committee</w:t>
      </w:r>
      <w:r w:rsidRPr="00AF471B">
        <w:rPr>
          <w:i/>
          <w:sz w:val="20"/>
        </w:rPr>
        <w:t xml:space="preserve"> </w:t>
      </w:r>
      <w:r>
        <w:rPr>
          <w:iCs/>
          <w:sz w:val="20"/>
        </w:rPr>
        <w:t xml:space="preserve">(2017), </w:t>
      </w:r>
      <w:r w:rsidRPr="00AF471B">
        <w:rPr>
          <w:i/>
          <w:iCs/>
          <w:sz w:val="20"/>
        </w:rPr>
        <w:t>‘Superbad – Wage theft and noncompliance of the Superannuation Guarantee’</w:t>
      </w:r>
      <w:r w:rsidRPr="00AF471B">
        <w:rPr>
          <w:sz w:val="20"/>
        </w:rPr>
        <w:t>.</w:t>
      </w:r>
    </w:p>
  </w:footnote>
  <w:footnote w:id="26">
    <w:p w14:paraId="2BD9AC89" w14:textId="647F8AD8" w:rsidR="00896530" w:rsidRPr="00AF471B" w:rsidRDefault="00896530" w:rsidP="00996212">
      <w:pPr>
        <w:pStyle w:val="FootnoteText"/>
        <w:rPr>
          <w:sz w:val="20"/>
        </w:rPr>
      </w:pPr>
      <w:r w:rsidRPr="00AF471B">
        <w:rPr>
          <w:rStyle w:val="FootnoteReference"/>
          <w:sz w:val="20"/>
        </w:rPr>
        <w:footnoteRef/>
      </w:r>
      <w:r w:rsidRPr="00AF471B">
        <w:rPr>
          <w:sz w:val="20"/>
        </w:rPr>
        <w:t xml:space="preserve"> Retirement Income Review </w:t>
      </w:r>
      <w:r>
        <w:rPr>
          <w:sz w:val="20"/>
        </w:rPr>
        <w:t>(</w:t>
      </w:r>
      <w:r w:rsidRPr="00AF471B">
        <w:rPr>
          <w:sz w:val="20"/>
        </w:rPr>
        <w:t>2020</w:t>
      </w:r>
      <w:r>
        <w:rPr>
          <w:sz w:val="20"/>
        </w:rPr>
        <w:t>)</w:t>
      </w:r>
      <w:r w:rsidRPr="00AF471B">
        <w:rPr>
          <w:sz w:val="20"/>
        </w:rPr>
        <w:t>.</w:t>
      </w:r>
    </w:p>
  </w:footnote>
  <w:footnote w:id="27">
    <w:p w14:paraId="5F8658D8" w14:textId="77777777" w:rsidR="00FB3071" w:rsidRPr="00AF471B" w:rsidRDefault="00FB3071" w:rsidP="00FB3071">
      <w:pPr>
        <w:pStyle w:val="FootnoteText"/>
        <w:rPr>
          <w:sz w:val="20"/>
        </w:rPr>
      </w:pPr>
      <w:r w:rsidRPr="00AF471B">
        <w:rPr>
          <w:rStyle w:val="FootnoteReference"/>
          <w:sz w:val="20"/>
        </w:rPr>
        <w:footnoteRef/>
      </w:r>
      <w:r w:rsidRPr="00AF471B">
        <w:rPr>
          <w:sz w:val="20"/>
        </w:rPr>
        <w:t xml:space="preserve"> </w:t>
      </w:r>
      <w:r w:rsidRPr="009B1B7B">
        <w:rPr>
          <w:sz w:val="20"/>
        </w:rPr>
        <w:t>Commissioner of Taxation Annual Report 202</w:t>
      </w:r>
      <w:r>
        <w:rPr>
          <w:sz w:val="20"/>
        </w:rPr>
        <w:t>1</w:t>
      </w:r>
      <w:r w:rsidRPr="009B1B7B">
        <w:rPr>
          <w:sz w:val="20"/>
        </w:rPr>
        <w:t>-2</w:t>
      </w:r>
      <w:r>
        <w:rPr>
          <w:sz w:val="20"/>
        </w:rPr>
        <w:t>2</w:t>
      </w:r>
      <w:r w:rsidRPr="009B1B7B">
        <w:rPr>
          <w:sz w:val="20"/>
        </w:rPr>
        <w:t>.</w:t>
      </w:r>
    </w:p>
  </w:footnote>
  <w:footnote w:id="28">
    <w:p w14:paraId="0EB1BA9F" w14:textId="7DCC2086" w:rsidR="00514C33" w:rsidRDefault="00514C33">
      <w:pPr>
        <w:pStyle w:val="FootnoteText"/>
      </w:pPr>
      <w:r w:rsidRPr="00946C3B">
        <w:rPr>
          <w:rStyle w:val="FootnoteReference"/>
          <w:sz w:val="20"/>
          <w:szCs w:val="18"/>
        </w:rPr>
        <w:footnoteRef/>
      </w:r>
      <w:r w:rsidRPr="00946C3B">
        <w:rPr>
          <w:sz w:val="20"/>
          <w:szCs w:val="18"/>
        </w:rPr>
        <w:t xml:space="preserve"> Commissioner of Taxation Annual Report 2021-22.</w:t>
      </w:r>
    </w:p>
  </w:footnote>
  <w:footnote w:id="29">
    <w:p w14:paraId="4A56A6DF" w14:textId="60BCBEC7" w:rsidR="00896530" w:rsidRDefault="00896530" w:rsidP="002214AC">
      <w:pPr>
        <w:pStyle w:val="FootnoteText"/>
      </w:pPr>
      <w:r w:rsidRPr="00AF471B">
        <w:rPr>
          <w:rStyle w:val="FootnoteReference"/>
          <w:sz w:val="20"/>
        </w:rPr>
        <w:footnoteRef/>
      </w:r>
      <w:r w:rsidRPr="00AF471B">
        <w:rPr>
          <w:sz w:val="20"/>
        </w:rPr>
        <w:t xml:space="preserve"> </w:t>
      </w:r>
      <w:r>
        <w:rPr>
          <w:sz w:val="20"/>
        </w:rPr>
        <w:t xml:space="preserve">ANAO (2022), </w:t>
      </w:r>
      <w:r w:rsidRPr="009B1B7B">
        <w:rPr>
          <w:i/>
          <w:sz w:val="20"/>
        </w:rPr>
        <w:t>Addressing Superannuation Guarantee Non-Compliance</w:t>
      </w:r>
      <w:r>
        <w:rPr>
          <w:sz w:val="20"/>
        </w:rPr>
        <w:t>.</w:t>
      </w:r>
    </w:p>
  </w:footnote>
  <w:footnote w:id="30">
    <w:p w14:paraId="1CD1757F" w14:textId="77777777" w:rsidR="00713316" w:rsidRPr="00AF471B" w:rsidRDefault="00713316" w:rsidP="00713316">
      <w:pPr>
        <w:pStyle w:val="FootnoteText"/>
        <w:rPr>
          <w:sz w:val="20"/>
        </w:rPr>
      </w:pPr>
      <w:r w:rsidRPr="00AF471B">
        <w:rPr>
          <w:rStyle w:val="FootnoteReference"/>
          <w:sz w:val="20"/>
        </w:rPr>
        <w:footnoteRef/>
      </w:r>
      <w:r w:rsidRPr="00AF471B">
        <w:rPr>
          <w:sz w:val="20"/>
        </w:rPr>
        <w:t xml:space="preserve"> </w:t>
      </w:r>
      <w:r>
        <w:rPr>
          <w:sz w:val="20"/>
        </w:rPr>
        <w:t>Senate Economic References Committee (2022),</w:t>
      </w:r>
      <w:r w:rsidRPr="00AF471B">
        <w:rPr>
          <w:sz w:val="20"/>
        </w:rPr>
        <w:t xml:space="preserve"> </w:t>
      </w:r>
      <w:r w:rsidRPr="00AF471B">
        <w:rPr>
          <w:i/>
          <w:iCs/>
          <w:sz w:val="20"/>
        </w:rPr>
        <w:t>Systemic, sustained and shameful: Unlawful underpayment of employees’ remuneration</w:t>
      </w:r>
      <w:r w:rsidRPr="00AF471B">
        <w:rPr>
          <w:sz w:val="20"/>
        </w:rPr>
        <w:t>.</w:t>
      </w:r>
    </w:p>
  </w:footnote>
  <w:footnote w:id="31">
    <w:p w14:paraId="4FA1C416" w14:textId="3BFE771E" w:rsidR="004817B9" w:rsidRDefault="004817B9">
      <w:pPr>
        <w:pStyle w:val="FootnoteText"/>
      </w:pPr>
      <w:r>
        <w:rPr>
          <w:rStyle w:val="FootnoteReference"/>
        </w:rPr>
        <w:footnoteRef/>
      </w:r>
      <w:r>
        <w:t xml:space="preserve"> </w:t>
      </w:r>
      <w:r w:rsidRPr="00946C3B">
        <w:rPr>
          <w:sz w:val="20"/>
          <w:szCs w:val="18"/>
        </w:rPr>
        <w:t xml:space="preserve">Superannuation Guarantee Cross Agency Working Group </w:t>
      </w:r>
      <w:r w:rsidR="003626D4">
        <w:rPr>
          <w:sz w:val="20"/>
          <w:szCs w:val="18"/>
        </w:rPr>
        <w:t>(</w:t>
      </w:r>
      <w:r w:rsidRPr="00946C3B">
        <w:rPr>
          <w:sz w:val="20"/>
          <w:szCs w:val="18"/>
        </w:rPr>
        <w:t>2017</w:t>
      </w:r>
      <w:r w:rsidR="003626D4">
        <w:rPr>
          <w:sz w:val="20"/>
          <w:szCs w:val="18"/>
        </w:rPr>
        <w:t xml:space="preserve">), </w:t>
      </w:r>
      <w:r w:rsidR="003626D4" w:rsidRPr="00946C3B">
        <w:rPr>
          <w:i/>
          <w:iCs/>
          <w:sz w:val="20"/>
          <w:szCs w:val="18"/>
        </w:rPr>
        <w:t>Superannuation Guarantee Non-compliance</w:t>
      </w:r>
      <w:r w:rsidR="00E30525">
        <w:rPr>
          <w:sz w:val="20"/>
          <w:szCs w:val="18"/>
        </w:rPr>
        <w:t>.</w:t>
      </w:r>
    </w:p>
  </w:footnote>
  <w:footnote w:id="32">
    <w:p w14:paraId="39BEB7A4" w14:textId="594B1C4B" w:rsidR="00896530" w:rsidRPr="00B72361" w:rsidRDefault="00896530">
      <w:pPr>
        <w:pStyle w:val="FootnoteText"/>
        <w:rPr>
          <w:sz w:val="20"/>
        </w:rPr>
      </w:pPr>
      <w:r w:rsidRPr="00B72361">
        <w:rPr>
          <w:rStyle w:val="FootnoteReference"/>
          <w:sz w:val="20"/>
        </w:rPr>
        <w:footnoteRef/>
      </w:r>
      <w:r w:rsidRPr="00B72361">
        <w:rPr>
          <w:sz w:val="20"/>
        </w:rPr>
        <w:t xml:space="preserve"> Treasury analysis of ATO data</w:t>
      </w:r>
      <w:r w:rsidR="00941E2F">
        <w:rPr>
          <w:sz w:val="20"/>
        </w:rPr>
        <w:t xml:space="preserve"> SG gap </w:t>
      </w:r>
      <w:r w:rsidR="00EF0254">
        <w:rPr>
          <w:sz w:val="20"/>
        </w:rPr>
        <w:t>data for 2019-20</w:t>
      </w:r>
      <w:r w:rsidRPr="00B72361">
        <w:rPr>
          <w:sz w:val="20"/>
        </w:rPr>
        <w:t>.</w:t>
      </w:r>
    </w:p>
  </w:footnote>
  <w:footnote w:id="33">
    <w:p w14:paraId="45436F16" w14:textId="1E3A791B" w:rsidR="00C04AB6" w:rsidRDefault="00C04AB6">
      <w:pPr>
        <w:pStyle w:val="FootnoteText"/>
      </w:pPr>
      <w:r w:rsidRPr="00946C3B">
        <w:rPr>
          <w:rStyle w:val="FootnoteReference"/>
          <w:sz w:val="20"/>
          <w:szCs w:val="18"/>
        </w:rPr>
        <w:footnoteRef/>
      </w:r>
      <w:r w:rsidRPr="00946C3B">
        <w:rPr>
          <w:sz w:val="20"/>
          <w:szCs w:val="18"/>
        </w:rPr>
        <w:t xml:space="preserve">Unpublished ATO data. </w:t>
      </w:r>
    </w:p>
  </w:footnote>
  <w:footnote w:id="34">
    <w:p w14:paraId="219E016A" w14:textId="64E7DECA" w:rsidR="00896530" w:rsidRDefault="00896530">
      <w:pPr>
        <w:pStyle w:val="FootnoteText"/>
      </w:pPr>
      <w:r>
        <w:rPr>
          <w:rStyle w:val="FootnoteReference"/>
        </w:rPr>
        <w:footnoteRef/>
      </w:r>
      <w:r>
        <w:t xml:space="preserve"> </w:t>
      </w:r>
      <w:r w:rsidRPr="007E7CDF">
        <w:rPr>
          <w:sz w:val="20"/>
          <w:szCs w:val="18"/>
        </w:rPr>
        <w:t xml:space="preserve">Australian Prudential Regulation Authority (APRA) (2023), </w:t>
      </w:r>
      <w:r w:rsidRPr="007E7CDF">
        <w:rPr>
          <w:i/>
          <w:iCs/>
          <w:sz w:val="20"/>
          <w:szCs w:val="18"/>
        </w:rPr>
        <w:t xml:space="preserve">Annual superannuation bulletin, </w:t>
      </w:r>
      <w:r w:rsidRPr="007E7CDF">
        <w:rPr>
          <w:sz w:val="20"/>
          <w:szCs w:val="18"/>
        </w:rPr>
        <w:t xml:space="preserve">available at:  www.apra.gov.au/annual-superannuation-bulletin. </w:t>
      </w:r>
    </w:p>
  </w:footnote>
  <w:footnote w:id="35">
    <w:p w14:paraId="2C2AB5D2" w14:textId="6DD8EA3B" w:rsidR="00896530" w:rsidRDefault="00896530">
      <w:pPr>
        <w:pStyle w:val="FootnoteText"/>
      </w:pPr>
      <w:r>
        <w:rPr>
          <w:rStyle w:val="FootnoteReference"/>
        </w:rPr>
        <w:footnoteRef/>
      </w:r>
      <w:r>
        <w:t xml:space="preserve"> </w:t>
      </w:r>
      <w:r w:rsidRPr="007E7CDF">
        <w:rPr>
          <w:sz w:val="20"/>
          <w:szCs w:val="18"/>
        </w:rPr>
        <w:t xml:space="preserve">ATO (2023), </w:t>
      </w:r>
      <w:r w:rsidRPr="007E7CDF">
        <w:rPr>
          <w:i/>
          <w:iCs/>
          <w:sz w:val="20"/>
          <w:szCs w:val="18"/>
        </w:rPr>
        <w:t xml:space="preserve">SuperStream Certified Product register, </w:t>
      </w:r>
      <w:r w:rsidRPr="007E7CDF">
        <w:rPr>
          <w:sz w:val="20"/>
          <w:szCs w:val="18"/>
        </w:rPr>
        <w:t>available at: softwaredevelopers.ato.gov.au/SuperStream-certifiedproductregister</w:t>
      </w:r>
      <w:r w:rsidRPr="007E7CDF">
        <w:rPr>
          <w:rStyle w:val="Hyperlink"/>
          <w:color w:val="auto"/>
          <w:sz w:val="20"/>
          <w:szCs w:val="18"/>
          <w:u w:val="none"/>
        </w:rPr>
        <w:t>.</w:t>
      </w:r>
      <w:r w:rsidR="00F55706" w:rsidRPr="007E7CDF">
        <w:rPr>
          <w:sz w:val="20"/>
          <w:szCs w:val="18"/>
        </w:rPr>
        <w:t xml:space="preserve"> </w:t>
      </w:r>
      <w:r w:rsidR="00EA6739" w:rsidRPr="007E7CDF">
        <w:rPr>
          <w:sz w:val="20"/>
          <w:szCs w:val="18"/>
        </w:rPr>
        <w:t>SuperStream transmits money and information consistently across the super</w:t>
      </w:r>
      <w:r w:rsidR="00CB04AF">
        <w:rPr>
          <w:sz w:val="20"/>
          <w:szCs w:val="18"/>
        </w:rPr>
        <w:t>annuation</w:t>
      </w:r>
      <w:r w:rsidR="00EA6739" w:rsidRPr="005A715E">
        <w:rPr>
          <w:sz w:val="20"/>
          <w:szCs w:val="18"/>
        </w:rPr>
        <w:t xml:space="preserve"> system between employers, funds, service providers and the ATO. </w:t>
      </w:r>
      <w:r w:rsidR="008F579F" w:rsidRPr="005A715E">
        <w:rPr>
          <w:sz w:val="20"/>
          <w:szCs w:val="18"/>
        </w:rPr>
        <w:t xml:space="preserve">With SuperStream money and data are sent electronically in a standard format, with data linked to the payment by a unique payment reference number. </w:t>
      </w:r>
      <w:r w:rsidR="000C6FA7" w:rsidRPr="005A715E">
        <w:rPr>
          <w:sz w:val="20"/>
          <w:szCs w:val="18"/>
        </w:rPr>
        <w:t xml:space="preserve">SuperStream is the way employers must pay employee SG contributions to superannuation funds. </w:t>
      </w:r>
    </w:p>
  </w:footnote>
  <w:footnote w:id="36">
    <w:p w14:paraId="6A4AD80C" w14:textId="77777777" w:rsidR="00FE692A" w:rsidRDefault="00FE692A" w:rsidP="00FE692A">
      <w:pPr>
        <w:pStyle w:val="FootnoteText"/>
      </w:pPr>
      <w:r>
        <w:rPr>
          <w:rStyle w:val="FootnoteReference"/>
        </w:rPr>
        <w:footnoteRef/>
      </w:r>
      <w:r>
        <w:t xml:space="preserve"> </w:t>
      </w:r>
      <w:r w:rsidRPr="00082987">
        <w:rPr>
          <w:sz w:val="20"/>
          <w:szCs w:val="18"/>
        </w:rPr>
        <w:t>Treasury Analysis of ATO data, 2022.</w:t>
      </w:r>
    </w:p>
  </w:footnote>
  <w:footnote w:id="37">
    <w:p w14:paraId="3902F33B" w14:textId="1378ED9B" w:rsidR="00950EAE" w:rsidRDefault="00950EAE">
      <w:pPr>
        <w:pStyle w:val="FootnoteText"/>
      </w:pPr>
      <w:r>
        <w:rPr>
          <w:rStyle w:val="FootnoteReference"/>
        </w:rPr>
        <w:footnoteRef/>
      </w:r>
      <w:r>
        <w:t xml:space="preserve"> </w:t>
      </w:r>
      <w:r w:rsidRPr="003D2768">
        <w:rPr>
          <w:sz w:val="20"/>
          <w:szCs w:val="18"/>
        </w:rPr>
        <w:t>Commissioner of Taxation Annual Report 2021-22.</w:t>
      </w:r>
    </w:p>
  </w:footnote>
  <w:footnote w:id="38">
    <w:p w14:paraId="4296788C" w14:textId="1E591E50" w:rsidR="00465EFC" w:rsidRDefault="00465EFC">
      <w:pPr>
        <w:pStyle w:val="FootnoteText"/>
      </w:pPr>
      <w:r>
        <w:rPr>
          <w:rStyle w:val="FootnoteReference"/>
        </w:rPr>
        <w:footnoteRef/>
      </w:r>
      <w:r>
        <w:t xml:space="preserve"> </w:t>
      </w:r>
      <w:r w:rsidR="006B6097" w:rsidRPr="00AF471B">
        <w:rPr>
          <w:sz w:val="20"/>
        </w:rPr>
        <w:t>Senate Economics References Committee</w:t>
      </w:r>
      <w:r w:rsidR="006B6097" w:rsidRPr="00AF471B">
        <w:rPr>
          <w:i/>
          <w:sz w:val="20"/>
        </w:rPr>
        <w:t xml:space="preserve"> </w:t>
      </w:r>
      <w:r w:rsidR="006B6097">
        <w:rPr>
          <w:iCs/>
          <w:sz w:val="20"/>
        </w:rPr>
        <w:t xml:space="preserve">(2017), </w:t>
      </w:r>
      <w:r w:rsidR="006B6097" w:rsidRPr="00AF471B">
        <w:rPr>
          <w:i/>
          <w:iCs/>
          <w:sz w:val="20"/>
        </w:rPr>
        <w:t>‘Superbad – Wage theft and noncompliance of the Superannuation Guarantee’</w:t>
      </w:r>
      <w:r w:rsidR="002D69A6">
        <w:rPr>
          <w:i/>
          <w:iCs/>
          <w:sz w:val="20"/>
        </w:rPr>
        <w:t>.</w:t>
      </w:r>
    </w:p>
  </w:footnote>
  <w:footnote w:id="39">
    <w:p w14:paraId="2B2F4A5E" w14:textId="5D9DF40D" w:rsidR="00896530" w:rsidRPr="00946C3B" w:rsidRDefault="00896530">
      <w:pPr>
        <w:pStyle w:val="FootnoteText"/>
        <w:rPr>
          <w:sz w:val="20"/>
          <w:szCs w:val="18"/>
        </w:rPr>
      </w:pPr>
      <w:r w:rsidRPr="00946C3B">
        <w:rPr>
          <w:rStyle w:val="FootnoteReference"/>
          <w:sz w:val="20"/>
          <w:szCs w:val="18"/>
        </w:rPr>
        <w:footnoteRef/>
      </w:r>
      <w:r w:rsidRPr="00946C3B">
        <w:rPr>
          <w:sz w:val="20"/>
          <w:szCs w:val="18"/>
        </w:rPr>
        <w:t xml:space="preserve"> </w:t>
      </w:r>
      <w:r w:rsidRPr="00946C3B">
        <w:rPr>
          <w:sz w:val="18"/>
          <w:szCs w:val="18"/>
        </w:rPr>
        <w:t>Treasury analysis of ATO data</w:t>
      </w:r>
      <w:r w:rsidR="00770F7D">
        <w:rPr>
          <w:sz w:val="18"/>
          <w:szCs w:val="18"/>
        </w:rPr>
        <w:t xml:space="preserve"> for the 2021-22 financial year</w:t>
      </w:r>
      <w:r w:rsidRPr="00946C3B">
        <w:rPr>
          <w:sz w:val="18"/>
          <w:szCs w:val="18"/>
        </w:rPr>
        <w:t>, 2023</w:t>
      </w:r>
      <w:r w:rsidR="00770F7D">
        <w:rPr>
          <w:sz w:val="18"/>
          <w:szCs w:val="18"/>
        </w:rPr>
        <w:t>.</w:t>
      </w:r>
    </w:p>
  </w:footnote>
  <w:footnote w:id="40">
    <w:p w14:paraId="266EB93B" w14:textId="7CC10F77" w:rsidR="00896530" w:rsidRPr="00946C3B" w:rsidRDefault="00896530" w:rsidP="00C23196">
      <w:pPr>
        <w:pStyle w:val="FootnoteText"/>
        <w:rPr>
          <w:sz w:val="18"/>
          <w:szCs w:val="16"/>
        </w:rPr>
      </w:pPr>
      <w:r w:rsidRPr="00946C3B">
        <w:rPr>
          <w:rStyle w:val="FootnoteReference"/>
          <w:sz w:val="20"/>
          <w:szCs w:val="18"/>
        </w:rPr>
        <w:footnoteRef/>
      </w:r>
      <w:r w:rsidRPr="00946C3B">
        <w:rPr>
          <w:sz w:val="20"/>
          <w:szCs w:val="18"/>
        </w:rPr>
        <w:t xml:space="preserve"> </w:t>
      </w:r>
      <w:r w:rsidRPr="00946C3B">
        <w:rPr>
          <w:sz w:val="18"/>
          <w:szCs w:val="16"/>
        </w:rPr>
        <w:t>For each employer the number of payments to identify ‘Employer wage payment cycle’ as below:</w:t>
      </w:r>
    </w:p>
    <w:p w14:paraId="00C4CFB9" w14:textId="5150981C" w:rsidR="00896530" w:rsidRPr="00946C3B" w:rsidRDefault="00896530" w:rsidP="00C23196">
      <w:pPr>
        <w:pStyle w:val="FootnoteText"/>
        <w:numPr>
          <w:ilvl w:val="0"/>
          <w:numId w:val="17"/>
        </w:numPr>
        <w:rPr>
          <w:sz w:val="18"/>
          <w:szCs w:val="16"/>
        </w:rPr>
      </w:pPr>
      <w:r w:rsidRPr="00946C3B">
        <w:rPr>
          <w:sz w:val="18"/>
          <w:szCs w:val="16"/>
        </w:rPr>
        <w:t>Weekly: 4 to 5 payments per month</w:t>
      </w:r>
    </w:p>
    <w:p w14:paraId="3AA0F08D" w14:textId="48045CB9" w:rsidR="00896530" w:rsidRPr="00946C3B" w:rsidRDefault="00896530" w:rsidP="00C23196">
      <w:pPr>
        <w:pStyle w:val="FootnoteText"/>
        <w:numPr>
          <w:ilvl w:val="0"/>
          <w:numId w:val="17"/>
        </w:numPr>
        <w:rPr>
          <w:sz w:val="18"/>
          <w:szCs w:val="16"/>
        </w:rPr>
      </w:pPr>
      <w:r w:rsidRPr="00946C3B">
        <w:rPr>
          <w:sz w:val="18"/>
          <w:szCs w:val="16"/>
        </w:rPr>
        <w:t>Fortnightly: 2 to 3 payments per month</w:t>
      </w:r>
    </w:p>
    <w:p w14:paraId="12E887DC" w14:textId="77777777" w:rsidR="00E71FD4" w:rsidRDefault="00896530" w:rsidP="00C23196">
      <w:pPr>
        <w:pStyle w:val="FootnoteText"/>
        <w:numPr>
          <w:ilvl w:val="0"/>
          <w:numId w:val="17"/>
        </w:numPr>
        <w:rPr>
          <w:sz w:val="18"/>
          <w:szCs w:val="16"/>
        </w:rPr>
      </w:pPr>
      <w:r w:rsidRPr="00946C3B">
        <w:rPr>
          <w:sz w:val="18"/>
          <w:szCs w:val="16"/>
        </w:rPr>
        <w:t>Monthly: 1 payment per month</w:t>
      </w:r>
      <w:r w:rsidR="00E71FD4" w:rsidRPr="00E71FD4">
        <w:rPr>
          <w:sz w:val="18"/>
          <w:szCs w:val="16"/>
        </w:rPr>
        <w:t xml:space="preserve"> </w:t>
      </w:r>
    </w:p>
    <w:p w14:paraId="0DE5BBF7" w14:textId="4C32A0C2" w:rsidR="00896530" w:rsidRDefault="00E71FD4" w:rsidP="00E71FD4">
      <w:pPr>
        <w:pStyle w:val="FootnoteText"/>
        <w:numPr>
          <w:ilvl w:val="0"/>
          <w:numId w:val="17"/>
        </w:numPr>
      </w:pPr>
      <w:r w:rsidRPr="00887036">
        <w:rPr>
          <w:sz w:val="18"/>
          <w:szCs w:val="16"/>
        </w:rPr>
        <w:t>Unknown: ad hoc wage cycle or more than 5 payments per month</w:t>
      </w:r>
    </w:p>
  </w:footnote>
  <w:footnote w:id="41">
    <w:p w14:paraId="51E92DC7" w14:textId="4AB0428C" w:rsidR="00896530" w:rsidRDefault="00896530" w:rsidP="002F483C">
      <w:pPr>
        <w:pStyle w:val="FootnoteText"/>
      </w:pPr>
      <w:r>
        <w:rPr>
          <w:rStyle w:val="FootnoteReference"/>
        </w:rPr>
        <w:footnoteRef/>
      </w:r>
      <w:r>
        <w:t xml:space="preserve"> </w:t>
      </w:r>
      <w:r w:rsidRPr="002F483C">
        <w:rPr>
          <w:sz w:val="20"/>
        </w:rPr>
        <w:t>Treasury analysis of ATO data</w:t>
      </w:r>
      <w:r>
        <w:rPr>
          <w:sz w:val="20"/>
        </w:rPr>
        <w:t>, 2023</w:t>
      </w:r>
    </w:p>
  </w:footnote>
  <w:footnote w:id="42">
    <w:p w14:paraId="46458DB9" w14:textId="67B3A004" w:rsidR="00896530" w:rsidRPr="004C7D75" w:rsidRDefault="00896530">
      <w:pPr>
        <w:pStyle w:val="FootnoteText"/>
        <w:rPr>
          <w:sz w:val="20"/>
        </w:rPr>
      </w:pPr>
      <w:r w:rsidRPr="00C45162">
        <w:rPr>
          <w:rStyle w:val="FootnoteReference"/>
          <w:sz w:val="20"/>
        </w:rPr>
        <w:footnoteRef/>
      </w:r>
      <w:r w:rsidRPr="00C45162">
        <w:rPr>
          <w:sz w:val="20"/>
        </w:rPr>
        <w:t xml:space="preserve"> </w:t>
      </w:r>
      <w:r>
        <w:rPr>
          <w:sz w:val="20"/>
        </w:rPr>
        <w:t xml:space="preserve">For this estimation it is assumed that all employers which paid SG quarterly in 2021-22 for which wage cycle was unknown would need to pay SG more frequently, given that wages are legally required to be paid at least monthly. The impact is assumed to be uncertain for other employers for which either the wage cycle was unknown, or the SG cycle was unknown. </w:t>
      </w:r>
    </w:p>
  </w:footnote>
  <w:footnote w:id="43">
    <w:p w14:paraId="06F6F9B2" w14:textId="7BBC1739" w:rsidR="00896530" w:rsidRPr="006753BD" w:rsidRDefault="00896530">
      <w:pPr>
        <w:pStyle w:val="FootnoteText"/>
        <w:rPr>
          <w:sz w:val="20"/>
        </w:rPr>
      </w:pPr>
      <w:r w:rsidRPr="006753BD">
        <w:rPr>
          <w:rStyle w:val="FootnoteReference"/>
          <w:sz w:val="20"/>
        </w:rPr>
        <w:footnoteRef/>
      </w:r>
      <w:r w:rsidRPr="006753BD">
        <w:rPr>
          <w:sz w:val="20"/>
        </w:rPr>
        <w:t xml:space="preserve"> </w:t>
      </w:r>
      <w:r>
        <w:rPr>
          <w:sz w:val="20"/>
        </w:rPr>
        <w:t xml:space="preserve">Treasury analysis of </w:t>
      </w:r>
      <w:r w:rsidRPr="006753BD">
        <w:rPr>
          <w:sz w:val="20"/>
        </w:rPr>
        <w:t>APRA</w:t>
      </w:r>
      <w:r>
        <w:rPr>
          <w:sz w:val="20"/>
        </w:rPr>
        <w:t xml:space="preserve"> (2023) </w:t>
      </w:r>
      <w:r>
        <w:rPr>
          <w:i/>
          <w:iCs/>
          <w:sz w:val="20"/>
        </w:rPr>
        <w:t>Annual superannuation bulletin June 2022</w:t>
      </w:r>
      <w:r w:rsidRPr="006753BD">
        <w:rPr>
          <w:sz w:val="20"/>
        </w:rPr>
        <w:t xml:space="preserve">. </w:t>
      </w:r>
      <w:r>
        <w:rPr>
          <w:sz w:val="20"/>
        </w:rPr>
        <w:t xml:space="preserve">The rate of return on investment is assumed to be the equal to the </w:t>
      </w:r>
      <w:r w:rsidRPr="006753BD">
        <w:rPr>
          <w:sz w:val="20"/>
        </w:rPr>
        <w:t>10-year average annualised rate of return for APRA-regulated entities with more than 4 members.</w:t>
      </w:r>
    </w:p>
  </w:footnote>
  <w:footnote w:id="44">
    <w:p w14:paraId="36F4E9E7" w14:textId="4D4E233E" w:rsidR="00896530" w:rsidRPr="006753BD" w:rsidRDefault="00896530">
      <w:pPr>
        <w:pStyle w:val="FootnoteText"/>
        <w:rPr>
          <w:sz w:val="20"/>
        </w:rPr>
      </w:pPr>
      <w:r w:rsidRPr="006753BD">
        <w:rPr>
          <w:rStyle w:val="FootnoteReference"/>
          <w:sz w:val="20"/>
        </w:rPr>
        <w:footnoteRef/>
      </w:r>
      <w:r w:rsidRPr="006753BD">
        <w:rPr>
          <w:sz w:val="20"/>
        </w:rPr>
        <w:t xml:space="preserve"> Analysis assumes the total amount of SG in each category is paid through equal instalments with the given frequency (i.e. quarterly involves 4 payments per year, monthly 12, fortnightly 26). Analysis only covers SG amounts for which employer SG cycle and wage cycle are known. This analysis does not ta</w:t>
      </w:r>
      <w:r w:rsidR="009C2011">
        <w:rPr>
          <w:sz w:val="20"/>
        </w:rPr>
        <w:t>ke</w:t>
      </w:r>
      <w:r w:rsidRPr="006753BD">
        <w:rPr>
          <w:sz w:val="20"/>
        </w:rPr>
        <w:t xml:space="preserve"> into account related changes in employee balances because of LISTO co-contributions made by Government, SG amounts which become excess concessional contributions, early releases, benefits or Division 293 Tax.</w:t>
      </w:r>
    </w:p>
  </w:footnote>
  <w:footnote w:id="45">
    <w:p w14:paraId="207BE3BE" w14:textId="303C4134" w:rsidR="00896530" w:rsidRDefault="00896530">
      <w:pPr>
        <w:pStyle w:val="FootnoteText"/>
      </w:pPr>
      <w:r>
        <w:rPr>
          <w:rStyle w:val="FootnoteReference"/>
        </w:rPr>
        <w:footnoteRef/>
      </w:r>
      <w:r>
        <w:t xml:space="preserve"> </w:t>
      </w:r>
      <w:r w:rsidRPr="00B72361">
        <w:rPr>
          <w:sz w:val="20"/>
        </w:rPr>
        <w:t>Treasury analysis based on ATO and APRA data</w:t>
      </w:r>
      <w:r w:rsidR="00E63991">
        <w:rPr>
          <w:sz w:val="20"/>
        </w:rPr>
        <w:t>.</w:t>
      </w:r>
    </w:p>
  </w:footnote>
  <w:footnote w:id="46">
    <w:p w14:paraId="471A2D02" w14:textId="7C275BA0" w:rsidR="00896530" w:rsidRDefault="00896530" w:rsidP="005D108D">
      <w:pPr>
        <w:pStyle w:val="FootnoteText"/>
      </w:pPr>
      <w:r>
        <w:rPr>
          <w:rStyle w:val="FootnoteReference"/>
        </w:rPr>
        <w:footnoteRef/>
      </w:r>
      <w:r>
        <w:t xml:space="preserve"> </w:t>
      </w:r>
      <w:r w:rsidRPr="00284C91">
        <w:rPr>
          <w:sz w:val="20"/>
          <w:szCs w:val="18"/>
        </w:rPr>
        <w:t xml:space="preserve">Only employers for which both SG and wages cycles </w:t>
      </w:r>
      <w:r>
        <w:rPr>
          <w:sz w:val="20"/>
          <w:szCs w:val="18"/>
        </w:rPr>
        <w:t>in 2021-22 were</w:t>
      </w:r>
      <w:r w:rsidRPr="00284C91">
        <w:rPr>
          <w:sz w:val="20"/>
          <w:szCs w:val="18"/>
        </w:rPr>
        <w:t xml:space="preserve"> known</w:t>
      </w:r>
      <w:r>
        <w:rPr>
          <w:sz w:val="20"/>
          <w:szCs w:val="18"/>
        </w:rPr>
        <w:t xml:space="preserve"> are included in these estimates. </w:t>
      </w:r>
    </w:p>
  </w:footnote>
  <w:footnote w:id="47">
    <w:p w14:paraId="066025CC" w14:textId="4FEE9B90" w:rsidR="00896530" w:rsidRDefault="00896530" w:rsidP="00B8565D">
      <w:pPr>
        <w:pStyle w:val="FootnoteText"/>
      </w:pPr>
      <w:r w:rsidRPr="006753BD">
        <w:rPr>
          <w:rStyle w:val="FootnoteReference"/>
          <w:sz w:val="20"/>
        </w:rPr>
        <w:footnoteRef/>
      </w:r>
      <w:r w:rsidRPr="006753BD">
        <w:rPr>
          <w:sz w:val="20"/>
        </w:rPr>
        <w:t xml:space="preserve"> </w:t>
      </w:r>
      <w:r>
        <w:rPr>
          <w:sz w:val="20"/>
        </w:rPr>
        <w:t xml:space="preserve">Treasury analysis of APRA (2023) </w:t>
      </w:r>
      <w:r>
        <w:rPr>
          <w:i/>
          <w:iCs/>
          <w:sz w:val="20"/>
        </w:rPr>
        <w:t>Annual superannuation bulletin June 2022</w:t>
      </w:r>
      <w:r w:rsidRPr="006753BD">
        <w:rPr>
          <w:sz w:val="20"/>
        </w:rPr>
        <w:t>.</w:t>
      </w:r>
      <w:r>
        <w:rPr>
          <w:sz w:val="20"/>
        </w:rPr>
        <w:t xml:space="preserve"> Assumed annual fee rate estimated as the </w:t>
      </w:r>
      <w:r w:rsidRPr="006753BD">
        <w:rPr>
          <w:sz w:val="20"/>
        </w:rPr>
        <w:t>ratio of total fees to total assets held by APRA-regulated funds in June 2022</w:t>
      </w:r>
      <w:r>
        <w:rPr>
          <w:sz w:val="20"/>
        </w:rPr>
        <w:t>.</w:t>
      </w:r>
    </w:p>
  </w:footnote>
  <w:footnote w:id="48">
    <w:p w14:paraId="45F35853" w14:textId="07CC7071" w:rsidR="00896530" w:rsidRDefault="00896530">
      <w:pPr>
        <w:pStyle w:val="FootnoteText"/>
      </w:pPr>
      <w:r>
        <w:rPr>
          <w:rStyle w:val="FootnoteReference"/>
        </w:rPr>
        <w:footnoteRef/>
      </w:r>
      <w:r>
        <w:t xml:space="preserve"> </w:t>
      </w:r>
      <w:r w:rsidRPr="002F483C">
        <w:rPr>
          <w:sz w:val="20"/>
        </w:rPr>
        <w:t>Treasury analysis of ATO data</w:t>
      </w:r>
      <w:r>
        <w:rPr>
          <w:sz w:val="20"/>
        </w:rPr>
        <w:t>, 2023</w:t>
      </w:r>
    </w:p>
  </w:footnote>
  <w:footnote w:id="49">
    <w:p w14:paraId="3A5C72C0" w14:textId="7922E54F" w:rsidR="00896530" w:rsidRPr="004C7D75" w:rsidRDefault="00896530">
      <w:pPr>
        <w:pStyle w:val="FootnoteText"/>
        <w:rPr>
          <w:sz w:val="20"/>
          <w:szCs w:val="18"/>
        </w:rPr>
      </w:pPr>
      <w:r>
        <w:rPr>
          <w:rStyle w:val="FootnoteReference"/>
        </w:rPr>
        <w:footnoteRef/>
      </w:r>
      <w:r>
        <w:t xml:space="preserve"> </w:t>
      </w:r>
      <w:r>
        <w:rPr>
          <w:sz w:val="20"/>
        </w:rPr>
        <w:t>The impact is assumed to be uncertain for employers for which either the wage cycle was unknown, or the SG cycle was unknown.</w:t>
      </w:r>
    </w:p>
  </w:footnote>
  <w:footnote w:id="50">
    <w:p w14:paraId="6052209C" w14:textId="77777777" w:rsidR="00626E1C" w:rsidRDefault="00626E1C" w:rsidP="00626E1C">
      <w:pPr>
        <w:pStyle w:val="FootnoteText"/>
      </w:pPr>
      <w:r w:rsidRPr="00AF471B">
        <w:rPr>
          <w:rStyle w:val="FootnoteReference"/>
          <w:sz w:val="20"/>
        </w:rPr>
        <w:footnoteRef/>
      </w:r>
      <w:r>
        <w:rPr>
          <w:sz w:val="20"/>
        </w:rPr>
        <w:t xml:space="preserve"> ATO (2019), </w:t>
      </w:r>
      <w:r w:rsidRPr="00831C62">
        <w:rPr>
          <w:i/>
          <w:iCs/>
          <w:sz w:val="20"/>
        </w:rPr>
        <w:t>SRF711.0 quarterly report</w:t>
      </w:r>
      <w:r>
        <w:rPr>
          <w:sz w:val="20"/>
        </w:rPr>
        <w:t>, available at:</w:t>
      </w:r>
      <w:r w:rsidRPr="00AF471B">
        <w:rPr>
          <w:sz w:val="20"/>
        </w:rPr>
        <w:t xml:space="preserve"> </w:t>
      </w:r>
      <w:r w:rsidRPr="004C7D75">
        <w:rPr>
          <w:sz w:val="20"/>
          <w:u w:val="single"/>
        </w:rPr>
        <w:t>https://www.ato.gov.au/misc/downloads/pdf/qc56074.pdf</w:t>
      </w:r>
      <w:r w:rsidRPr="004C7D75">
        <w:rPr>
          <w:sz w:val="20"/>
        </w:rPr>
        <w:t>.</w:t>
      </w:r>
    </w:p>
  </w:footnote>
  <w:footnote w:id="51">
    <w:p w14:paraId="14CE1F8E" w14:textId="74132420" w:rsidR="00C40C42" w:rsidRDefault="00C40C42" w:rsidP="00C40C42">
      <w:pPr>
        <w:pStyle w:val="FootnoteText"/>
      </w:pPr>
      <w:r>
        <w:rPr>
          <w:rStyle w:val="FootnoteReference"/>
        </w:rPr>
        <w:footnoteRef/>
      </w:r>
      <w:r>
        <w:t xml:space="preserve"> </w:t>
      </w:r>
      <w:r w:rsidRPr="00576514">
        <w:rPr>
          <w:sz w:val="20"/>
          <w:szCs w:val="18"/>
        </w:rPr>
        <w:t xml:space="preserve">ATO (2023), </w:t>
      </w:r>
      <w:r w:rsidRPr="00576514">
        <w:rPr>
          <w:i/>
          <w:iCs/>
          <w:sz w:val="20"/>
          <w:szCs w:val="18"/>
        </w:rPr>
        <w:t xml:space="preserve">SuperStream Certified Product register, </w:t>
      </w:r>
      <w:r w:rsidRPr="00576514">
        <w:rPr>
          <w:sz w:val="20"/>
          <w:szCs w:val="18"/>
        </w:rPr>
        <w:t>available at: softwaredevelopers.ato.gov.au/SuperStream-certifiedproductregister</w:t>
      </w:r>
      <w:r w:rsidRPr="00576514">
        <w:rPr>
          <w:rStyle w:val="Hyperlink"/>
          <w:color w:val="auto"/>
          <w:sz w:val="20"/>
          <w:szCs w:val="18"/>
          <w:u w:val="none"/>
        </w:rPr>
        <w:t>.</w:t>
      </w:r>
      <w:r w:rsidRPr="00576514">
        <w:rPr>
          <w:sz w:val="20"/>
          <w:szCs w:val="18"/>
        </w:rPr>
        <w:t xml:space="preserve"> </w:t>
      </w:r>
      <w:r w:rsidR="00382153" w:rsidRPr="00576514">
        <w:rPr>
          <w:sz w:val="20"/>
          <w:szCs w:val="18"/>
        </w:rPr>
        <w:t xml:space="preserve">LUCRF Pty Ltd Clearing House </w:t>
      </w:r>
      <w:r w:rsidR="00285A2D" w:rsidRPr="00576514">
        <w:rPr>
          <w:sz w:val="20"/>
          <w:szCs w:val="18"/>
        </w:rPr>
        <w:t>had been closed at the time of this IA.</w:t>
      </w:r>
    </w:p>
  </w:footnote>
  <w:footnote w:id="52">
    <w:p w14:paraId="6E61D41D" w14:textId="46EBA3AA" w:rsidR="001B4B23" w:rsidRPr="00576514" w:rsidRDefault="001B4B23">
      <w:pPr>
        <w:pStyle w:val="FootnoteText"/>
        <w:rPr>
          <w:sz w:val="20"/>
          <w:szCs w:val="18"/>
        </w:rPr>
      </w:pPr>
      <w:r>
        <w:rPr>
          <w:rStyle w:val="FootnoteReference"/>
        </w:rPr>
        <w:footnoteRef/>
      </w:r>
      <w:r>
        <w:t xml:space="preserve"> </w:t>
      </w:r>
      <w:r w:rsidR="009A3CC3">
        <w:rPr>
          <w:sz w:val="20"/>
          <w:szCs w:val="18"/>
        </w:rPr>
        <w:t>Treasury</w:t>
      </w:r>
      <w:r w:rsidR="00F5701A">
        <w:rPr>
          <w:sz w:val="20"/>
          <w:szCs w:val="18"/>
        </w:rPr>
        <w:t xml:space="preserve"> web</w:t>
      </w:r>
      <w:r w:rsidR="009A3CC3">
        <w:rPr>
          <w:sz w:val="20"/>
          <w:szCs w:val="18"/>
        </w:rPr>
        <w:t xml:space="preserve"> </w:t>
      </w:r>
      <w:r w:rsidR="00F5701A">
        <w:rPr>
          <w:sz w:val="20"/>
          <w:szCs w:val="18"/>
        </w:rPr>
        <w:t>review of clearing house operator</w:t>
      </w:r>
      <w:r w:rsidR="00C14B4A">
        <w:rPr>
          <w:sz w:val="20"/>
          <w:szCs w:val="18"/>
        </w:rPr>
        <w:t xml:space="preserve"> offerings and product disclosure statements.</w:t>
      </w:r>
      <w:r w:rsidR="003B170A">
        <w:rPr>
          <w:sz w:val="20"/>
          <w:szCs w:val="18"/>
        </w:rPr>
        <w:t xml:space="preserve"> Limited data is available on commercial clearing house </w:t>
      </w:r>
      <w:r w:rsidR="00CF0D61">
        <w:rPr>
          <w:sz w:val="20"/>
          <w:szCs w:val="18"/>
        </w:rPr>
        <w:t>activit</w:t>
      </w:r>
      <w:r w:rsidR="00D308A8">
        <w:rPr>
          <w:sz w:val="20"/>
          <w:szCs w:val="18"/>
        </w:rPr>
        <w:t>ies</w:t>
      </w:r>
      <w:r w:rsidR="003B170A">
        <w:rPr>
          <w:sz w:val="20"/>
          <w:szCs w:val="18"/>
        </w:rPr>
        <w:t>.</w:t>
      </w:r>
    </w:p>
  </w:footnote>
  <w:footnote w:id="53">
    <w:p w14:paraId="54DBED0E" w14:textId="2C773557" w:rsidR="0053382F" w:rsidRPr="00576514" w:rsidRDefault="0053382F">
      <w:pPr>
        <w:pStyle w:val="FootnoteText"/>
        <w:rPr>
          <w:sz w:val="20"/>
          <w:szCs w:val="18"/>
        </w:rPr>
      </w:pPr>
      <w:r>
        <w:rPr>
          <w:rStyle w:val="FootnoteReference"/>
        </w:rPr>
        <w:footnoteRef/>
      </w:r>
      <w:r>
        <w:t xml:space="preserve"> </w:t>
      </w:r>
      <w:r w:rsidR="0032124C" w:rsidRPr="008F57B0">
        <w:rPr>
          <w:sz w:val="20"/>
        </w:rPr>
        <w:t>Treasury analysis of ATO data,</w:t>
      </w:r>
      <w:r w:rsidR="0032124C">
        <w:rPr>
          <w:sz w:val="20"/>
        </w:rPr>
        <w:t xml:space="preserve"> 2021-22</w:t>
      </w:r>
      <w:r w:rsidR="00DD790B">
        <w:rPr>
          <w:sz w:val="20"/>
          <w:szCs w:val="18"/>
        </w:rPr>
        <w:t>.</w:t>
      </w:r>
    </w:p>
  </w:footnote>
  <w:footnote w:id="54">
    <w:p w14:paraId="1D438491" w14:textId="1AC4FE75" w:rsidR="009A3CC3" w:rsidRPr="00576514" w:rsidRDefault="009A3CC3">
      <w:pPr>
        <w:pStyle w:val="FootnoteText"/>
        <w:rPr>
          <w:sz w:val="20"/>
          <w:szCs w:val="18"/>
        </w:rPr>
      </w:pPr>
      <w:r>
        <w:rPr>
          <w:rStyle w:val="FootnoteReference"/>
        </w:rPr>
        <w:footnoteRef/>
      </w:r>
      <w:r>
        <w:t xml:space="preserve"> </w:t>
      </w:r>
      <w:r w:rsidR="00612C30" w:rsidRPr="00576514">
        <w:rPr>
          <w:sz w:val="20"/>
          <w:szCs w:val="18"/>
        </w:rPr>
        <w:t xml:space="preserve">The </w:t>
      </w:r>
      <w:r w:rsidR="00612C30">
        <w:rPr>
          <w:sz w:val="20"/>
          <w:szCs w:val="18"/>
        </w:rPr>
        <w:t xml:space="preserve">New Payments Platform </w:t>
      </w:r>
      <w:r w:rsidR="00CD6157">
        <w:rPr>
          <w:sz w:val="20"/>
          <w:szCs w:val="18"/>
        </w:rPr>
        <w:t>is</w:t>
      </w:r>
      <w:r w:rsidR="00612C30">
        <w:rPr>
          <w:sz w:val="20"/>
          <w:szCs w:val="18"/>
        </w:rPr>
        <w:t xml:space="preserve"> an open access infrastructure </w:t>
      </w:r>
      <w:r w:rsidR="004E0A8F">
        <w:rPr>
          <w:sz w:val="20"/>
          <w:szCs w:val="18"/>
        </w:rPr>
        <w:t xml:space="preserve">developed by the Reserve Bank of Australia and industry to enable </w:t>
      </w:r>
      <w:r w:rsidR="00427075">
        <w:rPr>
          <w:sz w:val="20"/>
          <w:szCs w:val="18"/>
        </w:rPr>
        <w:t xml:space="preserve">electronic </w:t>
      </w:r>
      <w:r w:rsidR="00573F8B">
        <w:rPr>
          <w:sz w:val="20"/>
          <w:szCs w:val="18"/>
        </w:rPr>
        <w:t>payments with near real-time funds availability</w:t>
      </w:r>
      <w:r w:rsidR="00427075">
        <w:rPr>
          <w:sz w:val="20"/>
          <w:szCs w:val="18"/>
        </w:rPr>
        <w:t xml:space="preserve"> to the recipient</w:t>
      </w:r>
      <w:r w:rsidR="00573F8B">
        <w:rPr>
          <w:sz w:val="20"/>
          <w:szCs w:val="18"/>
        </w:rPr>
        <w:t xml:space="preserve">. </w:t>
      </w:r>
    </w:p>
  </w:footnote>
  <w:footnote w:id="55">
    <w:p w14:paraId="3396E42E" w14:textId="745C2765" w:rsidR="00896530" w:rsidRPr="004C7D75" w:rsidRDefault="00896530">
      <w:pPr>
        <w:pStyle w:val="FootnoteText"/>
        <w:rPr>
          <w:i/>
          <w:sz w:val="20"/>
        </w:rPr>
      </w:pPr>
      <w:r w:rsidRPr="004C7D75">
        <w:rPr>
          <w:rStyle w:val="FootnoteReference"/>
          <w:sz w:val="20"/>
        </w:rPr>
        <w:footnoteRef/>
      </w:r>
      <w:r w:rsidRPr="004C7D75">
        <w:rPr>
          <w:sz w:val="20"/>
        </w:rPr>
        <w:t xml:space="preserve"> Australian Bureau of Statistics (2022) (ABS), </w:t>
      </w:r>
      <w:r w:rsidRPr="004C7D75">
        <w:rPr>
          <w:i/>
          <w:sz w:val="20"/>
        </w:rPr>
        <w:t>Counts of Australian Businesses, including Entries and Exits</w:t>
      </w:r>
      <w:r w:rsidRPr="004C7D75">
        <w:rPr>
          <w:sz w:val="20"/>
        </w:rPr>
        <w:t>.</w:t>
      </w:r>
      <w:r w:rsidRPr="004C7D75">
        <w:rPr>
          <w:i/>
          <w:sz w:val="20"/>
        </w:rPr>
        <w:t xml:space="preserve"> </w:t>
      </w:r>
    </w:p>
  </w:footnote>
  <w:footnote w:id="56">
    <w:p w14:paraId="796C34D4" w14:textId="77777777" w:rsidR="00896530" w:rsidRPr="004C7D75" w:rsidRDefault="00896530" w:rsidP="00827715">
      <w:pPr>
        <w:pStyle w:val="FootnoteText"/>
        <w:rPr>
          <w:sz w:val="20"/>
        </w:rPr>
      </w:pPr>
      <w:r w:rsidRPr="008D634E">
        <w:rPr>
          <w:rStyle w:val="FootnoteReference"/>
          <w:sz w:val="20"/>
        </w:rPr>
        <w:footnoteRef/>
      </w:r>
      <w:r w:rsidRPr="008D634E">
        <w:rPr>
          <w:rStyle w:val="FootnoteReference"/>
          <w:sz w:val="20"/>
        </w:rPr>
        <w:t xml:space="preserve"> </w:t>
      </w:r>
      <w:r w:rsidRPr="00827715">
        <w:rPr>
          <w:sz w:val="20"/>
        </w:rPr>
        <w:t xml:space="preserve">ABC (2021), </w:t>
      </w:r>
      <w:r w:rsidRPr="004C7D75">
        <w:rPr>
          <w:i/>
          <w:sz w:val="20"/>
        </w:rPr>
        <w:t>Workers' superannuation used to prop up small businesses struggling with cashflow. Should it?</w:t>
      </w:r>
      <w:r w:rsidRPr="00827715">
        <w:rPr>
          <w:i/>
          <w:sz w:val="20"/>
        </w:rPr>
        <w:t>,</w:t>
      </w:r>
      <w:r w:rsidRPr="004C7D75">
        <w:rPr>
          <w:sz w:val="20"/>
        </w:rPr>
        <w:t xml:space="preserve"> </w:t>
      </w:r>
      <w:r w:rsidRPr="00827715">
        <w:rPr>
          <w:bCs/>
          <w:sz w:val="20"/>
        </w:rPr>
        <w:t>a</w:t>
      </w:r>
      <w:r w:rsidRPr="004C7D75">
        <w:rPr>
          <w:sz w:val="20"/>
        </w:rPr>
        <w:t>vailable at:</w:t>
      </w:r>
    </w:p>
    <w:p w14:paraId="4733ABC4" w14:textId="77777777" w:rsidR="00896530" w:rsidRPr="004C7D75" w:rsidRDefault="00896530" w:rsidP="00827715">
      <w:pPr>
        <w:pStyle w:val="FootnoteText"/>
        <w:rPr>
          <w:sz w:val="20"/>
        </w:rPr>
      </w:pPr>
      <w:r w:rsidRPr="004C7D75">
        <w:rPr>
          <w:sz w:val="20"/>
          <w:u w:val="single"/>
        </w:rPr>
        <w:t>https://www.abc.net.au/news/2021-10-29/workers-superannuation-is-being-used-to-prop-up-small-businesses/100577450</w:t>
      </w:r>
      <w:r w:rsidRPr="00827715">
        <w:rPr>
          <w:sz w:val="20"/>
        </w:rPr>
        <w:t>.</w:t>
      </w:r>
    </w:p>
  </w:footnote>
  <w:footnote w:id="57">
    <w:p w14:paraId="37BAF577" w14:textId="448A4B24" w:rsidR="00896530" w:rsidRPr="004C7D75" w:rsidRDefault="00896530" w:rsidP="001D68BE">
      <w:pPr>
        <w:pStyle w:val="FootnoteText"/>
        <w:rPr>
          <w:sz w:val="20"/>
        </w:rPr>
      </w:pPr>
      <w:r w:rsidRPr="004C7D75">
        <w:rPr>
          <w:rStyle w:val="FootnoteReference"/>
          <w:sz w:val="20"/>
        </w:rPr>
        <w:footnoteRef/>
      </w:r>
      <w:r>
        <w:rPr>
          <w:sz w:val="20"/>
        </w:rPr>
        <w:t xml:space="preserve"> Industry Super Australia (2022), </w:t>
      </w:r>
      <w:r>
        <w:rPr>
          <w:i/>
          <w:iCs/>
          <w:sz w:val="20"/>
        </w:rPr>
        <w:t>Government urged to stop the $77 million Tasmanian super rip off</w:t>
      </w:r>
      <w:r w:rsidRPr="00DE32CE">
        <w:rPr>
          <w:i/>
          <w:iCs/>
          <w:sz w:val="20"/>
        </w:rPr>
        <w:t xml:space="preserve">, </w:t>
      </w:r>
      <w:r w:rsidRPr="00DE32CE">
        <w:rPr>
          <w:sz w:val="20"/>
        </w:rPr>
        <w:t xml:space="preserve">available at: </w:t>
      </w:r>
      <w:r w:rsidRPr="004C7D75">
        <w:rPr>
          <w:sz w:val="20"/>
          <w:u w:val="single"/>
        </w:rPr>
        <w:t>https://www.industrysuper.com/assets/FileDownloadCTA/Government-urged-to-stop-the-77-million-Tasmanian-super-rip-off.pdf</w:t>
      </w:r>
      <w:r w:rsidRPr="004C7D75">
        <w:rPr>
          <w:sz w:val="20"/>
        </w:rPr>
        <w:t>.</w:t>
      </w:r>
    </w:p>
  </w:footnote>
  <w:footnote w:id="58">
    <w:p w14:paraId="01BF9B7F" w14:textId="087173E1" w:rsidR="00896530" w:rsidRPr="00831C62" w:rsidRDefault="00896530">
      <w:pPr>
        <w:pStyle w:val="FootnoteText"/>
        <w:rPr>
          <w:i/>
        </w:rPr>
      </w:pPr>
      <w:r w:rsidRPr="004C7D75">
        <w:rPr>
          <w:rStyle w:val="FootnoteReference"/>
          <w:sz w:val="20"/>
        </w:rPr>
        <w:footnoteRef/>
      </w:r>
      <w:r w:rsidRPr="004C7D75">
        <w:rPr>
          <w:sz w:val="20"/>
        </w:rPr>
        <w:t xml:space="preserve"> </w:t>
      </w:r>
      <w:r w:rsidRPr="00831C62">
        <w:rPr>
          <w:sz w:val="20"/>
        </w:rPr>
        <w:t>CBUS (2020)</w:t>
      </w:r>
      <w:r>
        <w:rPr>
          <w:sz w:val="20"/>
        </w:rPr>
        <w:t>,</w:t>
      </w:r>
      <w:r w:rsidRPr="00831C62">
        <w:rPr>
          <w:sz w:val="20"/>
        </w:rPr>
        <w:t xml:space="preserve"> Submission to </w:t>
      </w:r>
      <w:r w:rsidDel="00352E6D">
        <w:rPr>
          <w:sz w:val="20"/>
        </w:rPr>
        <w:t xml:space="preserve">Senate </w:t>
      </w:r>
      <w:r>
        <w:rPr>
          <w:sz w:val="20"/>
        </w:rPr>
        <w:t xml:space="preserve">Economics References Committee (2022), </w:t>
      </w:r>
      <w:r>
        <w:rPr>
          <w:i/>
          <w:iCs/>
          <w:sz w:val="20"/>
        </w:rPr>
        <w:t>Unlawful underpayment of employees’ remuneration’.</w:t>
      </w:r>
    </w:p>
  </w:footnote>
  <w:footnote w:id="59">
    <w:p w14:paraId="61A19EB2" w14:textId="2FB05FE1" w:rsidR="00896530" w:rsidRDefault="00896530">
      <w:pPr>
        <w:pStyle w:val="FootnoteText"/>
      </w:pPr>
      <w:r>
        <w:rPr>
          <w:rStyle w:val="FootnoteReference"/>
        </w:rPr>
        <w:footnoteRef/>
      </w:r>
      <w:r>
        <w:t xml:space="preserve"> </w:t>
      </w:r>
      <w:r w:rsidRPr="00831C62">
        <w:rPr>
          <w:sz w:val="20"/>
        </w:rPr>
        <w:t>AIST (202</w:t>
      </w:r>
      <w:r>
        <w:rPr>
          <w:sz w:val="20"/>
        </w:rPr>
        <w:t>2</w:t>
      </w:r>
      <w:r w:rsidRPr="00831C62">
        <w:rPr>
          <w:sz w:val="20"/>
        </w:rPr>
        <w:t>),</w:t>
      </w:r>
      <w:r>
        <w:rPr>
          <w:sz w:val="20"/>
        </w:rPr>
        <w:t xml:space="preserve"> 2022-23 October Pre-</w:t>
      </w:r>
      <w:r w:rsidRPr="00831C62">
        <w:rPr>
          <w:sz w:val="20"/>
        </w:rPr>
        <w:t>Budget submission</w:t>
      </w:r>
      <w:r>
        <w:rPr>
          <w:sz w:val="20"/>
        </w:rPr>
        <w:t>.</w:t>
      </w:r>
    </w:p>
  </w:footnote>
  <w:footnote w:id="60">
    <w:p w14:paraId="3E81938F" w14:textId="09F65859" w:rsidR="00896530" w:rsidRPr="007C6ADF" w:rsidRDefault="00896530">
      <w:pPr>
        <w:pStyle w:val="FootnoteText"/>
        <w:rPr>
          <w:sz w:val="20"/>
        </w:rPr>
      </w:pPr>
      <w:r w:rsidRPr="007C6ADF">
        <w:rPr>
          <w:rStyle w:val="FootnoteReference"/>
          <w:sz w:val="20"/>
        </w:rPr>
        <w:footnoteRef/>
      </w:r>
      <w:r w:rsidRPr="007C6ADF">
        <w:rPr>
          <w:sz w:val="20"/>
        </w:rPr>
        <w:t xml:space="preserve"> CHOICE (2022), </w:t>
      </w:r>
      <w:r w:rsidRPr="007C6ADF">
        <w:rPr>
          <w:i/>
          <w:iCs/>
          <w:sz w:val="20"/>
        </w:rPr>
        <w:t>What to do if your employer doesn’t pay your super,</w:t>
      </w:r>
      <w:r w:rsidRPr="007C6ADF">
        <w:rPr>
          <w:i/>
          <w:sz w:val="20"/>
        </w:rPr>
        <w:t xml:space="preserve"> </w:t>
      </w:r>
      <w:r w:rsidRPr="007C6ADF">
        <w:rPr>
          <w:sz w:val="20"/>
        </w:rPr>
        <w:t>available at:</w:t>
      </w:r>
      <w:r w:rsidRPr="007C6ADF">
        <w:rPr>
          <w:i/>
          <w:iCs/>
          <w:sz w:val="20"/>
        </w:rPr>
        <w:t xml:space="preserve"> </w:t>
      </w:r>
      <w:r w:rsidRPr="00831C62">
        <w:rPr>
          <w:sz w:val="20"/>
          <w:u w:val="single"/>
        </w:rPr>
        <w:t>https://www.choice.com.au/money/financial-planning-and-investing/superannuation/articles/unpaid-super</w:t>
      </w:r>
      <w:r w:rsidRPr="007C6ADF">
        <w:rPr>
          <w:sz w:val="20"/>
        </w:rPr>
        <w:t>.</w:t>
      </w:r>
      <w:r w:rsidRPr="007C6ADF">
        <w:rPr>
          <w:i/>
          <w:sz w:val="20"/>
        </w:rPr>
        <w:t xml:space="preserve"> </w:t>
      </w:r>
      <w:r w:rsidRPr="00831C62">
        <w:rPr>
          <w:sz w:val="20"/>
        </w:rPr>
        <w:t xml:space="preserve"> </w:t>
      </w:r>
    </w:p>
  </w:footnote>
  <w:footnote w:id="61">
    <w:p w14:paraId="19687A74" w14:textId="49AAE986" w:rsidR="00896530" w:rsidRPr="007C6ADF" w:rsidRDefault="00896530">
      <w:pPr>
        <w:pStyle w:val="FootnoteText"/>
        <w:rPr>
          <w:sz w:val="20"/>
        </w:rPr>
      </w:pPr>
      <w:r w:rsidRPr="007C6ADF">
        <w:rPr>
          <w:rStyle w:val="FootnoteReference"/>
          <w:sz w:val="20"/>
        </w:rPr>
        <w:footnoteRef/>
      </w:r>
      <w:r w:rsidRPr="007C6ADF">
        <w:rPr>
          <w:sz w:val="20"/>
        </w:rPr>
        <w:t xml:space="preserve"> Sydney Morning Herald (2019), </w:t>
      </w:r>
      <w:r w:rsidRPr="007C6ADF">
        <w:rPr>
          <w:i/>
          <w:iCs/>
          <w:sz w:val="20"/>
        </w:rPr>
        <w:t xml:space="preserve">‘A nightmare’: Funds push for tougher action to stop unpaid super, </w:t>
      </w:r>
      <w:r w:rsidRPr="007C6ADF">
        <w:rPr>
          <w:sz w:val="20"/>
        </w:rPr>
        <w:t xml:space="preserve">available at: </w:t>
      </w:r>
      <w:r w:rsidR="001563F2" w:rsidRPr="00946C3B">
        <w:rPr>
          <w:sz w:val="20"/>
          <w:u w:val="single"/>
        </w:rPr>
        <w:t>https://www.smh.com.au/business/small-business/a-nightmare-funds-push-for-tougher-action-to-stop-unpaid-super-20190819-p52igc.html</w:t>
      </w:r>
      <w:r>
        <w:rPr>
          <w:sz w:val="20"/>
        </w:rPr>
        <w:t>.</w:t>
      </w:r>
    </w:p>
  </w:footnote>
  <w:footnote w:id="62">
    <w:p w14:paraId="11C8F7BF" w14:textId="7154ED1B" w:rsidR="00896530" w:rsidRPr="00831C62" w:rsidRDefault="00896530" w:rsidP="007C4C1F">
      <w:pPr>
        <w:pStyle w:val="FootnoteText"/>
        <w:rPr>
          <w:i/>
          <w:sz w:val="20"/>
        </w:rPr>
      </w:pPr>
      <w:r w:rsidRPr="007C6ADF">
        <w:rPr>
          <w:rStyle w:val="FootnoteReference"/>
          <w:sz w:val="20"/>
        </w:rPr>
        <w:footnoteRef/>
      </w:r>
      <w:r w:rsidRPr="007C6ADF">
        <w:rPr>
          <w:sz w:val="20"/>
        </w:rPr>
        <w:t xml:space="preserve"> ACTU (2018), </w:t>
      </w:r>
      <w:r w:rsidRPr="00831C62">
        <w:rPr>
          <w:sz w:val="20"/>
        </w:rPr>
        <w:t xml:space="preserve">Submission to </w:t>
      </w:r>
      <w:r w:rsidDel="00352E6D">
        <w:rPr>
          <w:sz w:val="20"/>
        </w:rPr>
        <w:t xml:space="preserve">Senate </w:t>
      </w:r>
      <w:r w:rsidRPr="007C6ADF">
        <w:rPr>
          <w:sz w:val="20"/>
        </w:rPr>
        <w:t>Economics Legislation Committee</w:t>
      </w:r>
      <w:r w:rsidRPr="00C8428A">
        <w:rPr>
          <w:sz w:val="20"/>
        </w:rPr>
        <w:t>,</w:t>
      </w:r>
      <w:r w:rsidRPr="007C6ADF">
        <w:rPr>
          <w:sz w:val="20"/>
        </w:rPr>
        <w:t xml:space="preserve"> </w:t>
      </w:r>
      <w:r w:rsidRPr="007C6ADF">
        <w:rPr>
          <w:i/>
          <w:iCs/>
          <w:sz w:val="20"/>
        </w:rPr>
        <w:t>Inquiry into Treasury Laws Amendment (2018 Measure No.4) Bill 2018.</w:t>
      </w:r>
    </w:p>
  </w:footnote>
  <w:footnote w:id="63">
    <w:p w14:paraId="571800D1" w14:textId="62191619" w:rsidR="00896530" w:rsidRPr="00831C62" w:rsidRDefault="00896530">
      <w:pPr>
        <w:pStyle w:val="FootnoteText"/>
        <w:rPr>
          <w:sz w:val="20"/>
          <w:highlight w:val="yellow"/>
        </w:rPr>
      </w:pPr>
      <w:r w:rsidRPr="007C6ADF">
        <w:rPr>
          <w:rStyle w:val="FootnoteReference"/>
          <w:sz w:val="20"/>
        </w:rPr>
        <w:footnoteRef/>
      </w:r>
      <w:r w:rsidRPr="007C6ADF">
        <w:rPr>
          <w:sz w:val="20"/>
        </w:rPr>
        <w:t xml:space="preserve"> </w:t>
      </w:r>
      <w:r w:rsidRPr="00831C62">
        <w:rPr>
          <w:sz w:val="20"/>
        </w:rPr>
        <w:t>Shop, Distributive and Allied Employees’ Association</w:t>
      </w:r>
      <w:r w:rsidRPr="007C6ADF">
        <w:rPr>
          <w:sz w:val="20"/>
        </w:rPr>
        <w:t xml:space="preserve"> (2020</w:t>
      </w:r>
      <w:r w:rsidRPr="00E80D21">
        <w:rPr>
          <w:sz w:val="20"/>
        </w:rPr>
        <w:t>)</w:t>
      </w:r>
      <w:r>
        <w:rPr>
          <w:sz w:val="20"/>
        </w:rPr>
        <w:t>,</w:t>
      </w:r>
      <w:r w:rsidRPr="007C6ADF">
        <w:rPr>
          <w:sz w:val="20"/>
        </w:rPr>
        <w:t xml:space="preserve"> Submission to Senate Economics References Committee (2022), </w:t>
      </w:r>
      <w:r w:rsidRPr="007C6ADF">
        <w:rPr>
          <w:i/>
          <w:iCs/>
          <w:sz w:val="20"/>
        </w:rPr>
        <w:t>Unlawful underpayment of employees’ remuneration’.</w:t>
      </w:r>
    </w:p>
  </w:footnote>
  <w:footnote w:id="64">
    <w:p w14:paraId="5749BC4F" w14:textId="7771AF7F" w:rsidR="00896530" w:rsidRPr="007C6ADF" w:rsidRDefault="00896530">
      <w:pPr>
        <w:pStyle w:val="FootnoteText"/>
        <w:rPr>
          <w:sz w:val="20"/>
        </w:rPr>
      </w:pPr>
      <w:r w:rsidRPr="006F258D">
        <w:rPr>
          <w:rStyle w:val="FootnoteReference"/>
          <w:sz w:val="20"/>
        </w:rPr>
        <w:footnoteRef/>
      </w:r>
      <w:r w:rsidRPr="006F258D">
        <w:rPr>
          <w:sz w:val="20"/>
        </w:rPr>
        <w:t xml:space="preserve"> CPA Australia (2017)</w:t>
      </w:r>
      <w:r>
        <w:rPr>
          <w:sz w:val="20"/>
        </w:rPr>
        <w:t>,</w:t>
      </w:r>
      <w:r w:rsidRPr="006F258D">
        <w:rPr>
          <w:sz w:val="20"/>
        </w:rPr>
        <w:t xml:space="preserve"> Submission to Senate Economics References Committee</w:t>
      </w:r>
      <w:r w:rsidRPr="006F258D">
        <w:rPr>
          <w:i/>
          <w:sz w:val="20"/>
        </w:rPr>
        <w:t xml:space="preserve"> </w:t>
      </w:r>
      <w:r w:rsidRPr="006F258D">
        <w:rPr>
          <w:sz w:val="20"/>
        </w:rPr>
        <w:t xml:space="preserve">(2017), </w:t>
      </w:r>
      <w:r w:rsidRPr="006F258D">
        <w:rPr>
          <w:i/>
          <w:sz w:val="20"/>
        </w:rPr>
        <w:t>‘Superbad – Wage theft and noncompliance</w:t>
      </w:r>
      <w:r w:rsidRPr="007C6ADF">
        <w:rPr>
          <w:i/>
          <w:sz w:val="20"/>
        </w:rPr>
        <w:t xml:space="preserve"> of the </w:t>
      </w:r>
      <w:r w:rsidRPr="007C6ADF">
        <w:rPr>
          <w:i/>
          <w:iCs/>
          <w:sz w:val="20"/>
        </w:rPr>
        <w:t xml:space="preserve">Superannuation </w:t>
      </w:r>
      <w:r w:rsidRPr="007C6ADF">
        <w:rPr>
          <w:i/>
          <w:sz w:val="20"/>
        </w:rPr>
        <w:t>Guarantee’</w:t>
      </w:r>
      <w:r w:rsidRPr="007C6ADF">
        <w:rPr>
          <w:sz w:val="20"/>
        </w:rPr>
        <w:t>.</w:t>
      </w:r>
    </w:p>
  </w:footnote>
  <w:footnote w:id="65">
    <w:p w14:paraId="343F7C2E" w14:textId="364D9F3B" w:rsidR="00896530" w:rsidRPr="007C6ADF" w:rsidRDefault="00896530">
      <w:pPr>
        <w:pStyle w:val="FootnoteText"/>
        <w:rPr>
          <w:sz w:val="20"/>
        </w:rPr>
      </w:pPr>
      <w:r w:rsidRPr="007C6ADF">
        <w:rPr>
          <w:rStyle w:val="FootnoteReference"/>
          <w:sz w:val="20"/>
        </w:rPr>
        <w:footnoteRef/>
      </w:r>
      <w:r w:rsidRPr="007C6ADF">
        <w:rPr>
          <w:sz w:val="20"/>
        </w:rPr>
        <w:t xml:space="preserve"> </w:t>
      </w:r>
      <w:r w:rsidR="00F47367">
        <w:rPr>
          <w:sz w:val="20"/>
        </w:rPr>
        <w:t xml:space="preserve">COTA (2017), </w:t>
      </w:r>
      <w:r w:rsidR="00F47367" w:rsidRPr="006F258D">
        <w:rPr>
          <w:sz w:val="20"/>
        </w:rPr>
        <w:t xml:space="preserve">Submission to </w:t>
      </w:r>
      <w:r w:rsidR="00F47367" w:rsidRPr="007C6ADF">
        <w:rPr>
          <w:sz w:val="20"/>
        </w:rPr>
        <w:t>Senate Economics References Committee</w:t>
      </w:r>
      <w:r w:rsidR="00F47367" w:rsidRPr="007C6ADF">
        <w:rPr>
          <w:i/>
          <w:sz w:val="20"/>
        </w:rPr>
        <w:t xml:space="preserve"> </w:t>
      </w:r>
      <w:r w:rsidR="00F47367" w:rsidRPr="007C6ADF">
        <w:rPr>
          <w:sz w:val="20"/>
        </w:rPr>
        <w:t xml:space="preserve">(2017), </w:t>
      </w:r>
      <w:r w:rsidR="00F47367" w:rsidRPr="007C6ADF">
        <w:rPr>
          <w:i/>
          <w:sz w:val="20"/>
        </w:rPr>
        <w:t xml:space="preserve">‘Superbad – Wage theft and noncompliance of the </w:t>
      </w:r>
      <w:r w:rsidR="00F47367" w:rsidRPr="007C6ADF">
        <w:rPr>
          <w:i/>
          <w:iCs/>
          <w:sz w:val="20"/>
        </w:rPr>
        <w:t xml:space="preserve">Superannuation </w:t>
      </w:r>
      <w:r w:rsidR="00F47367" w:rsidRPr="007C6ADF">
        <w:rPr>
          <w:i/>
          <w:sz w:val="20"/>
        </w:rPr>
        <w:t>Guarantee’</w:t>
      </w:r>
      <w:r w:rsidR="00F47367" w:rsidRPr="007C6ADF">
        <w:rPr>
          <w:sz w:val="20"/>
        </w:rPr>
        <w:t>.</w:t>
      </w:r>
    </w:p>
  </w:footnote>
  <w:footnote w:id="66">
    <w:p w14:paraId="3CC3073D" w14:textId="39F2D15D" w:rsidR="00896530" w:rsidRDefault="00896530">
      <w:pPr>
        <w:pStyle w:val="FootnoteText"/>
      </w:pPr>
      <w:r w:rsidRPr="007C6ADF">
        <w:rPr>
          <w:rStyle w:val="FootnoteReference"/>
          <w:sz w:val="20"/>
        </w:rPr>
        <w:footnoteRef/>
      </w:r>
      <w:r w:rsidRPr="007C6ADF">
        <w:rPr>
          <w:sz w:val="20"/>
        </w:rPr>
        <w:t xml:space="preserve"> </w:t>
      </w:r>
      <w:r w:rsidR="009E7AA8" w:rsidRPr="007C6ADF">
        <w:rPr>
          <w:sz w:val="20"/>
        </w:rPr>
        <w:t>Senate Economics References Committee</w:t>
      </w:r>
      <w:r w:rsidR="009E7AA8" w:rsidRPr="007C6ADF">
        <w:rPr>
          <w:i/>
          <w:sz w:val="20"/>
        </w:rPr>
        <w:t xml:space="preserve"> </w:t>
      </w:r>
      <w:r w:rsidR="009E7AA8" w:rsidRPr="007C6ADF">
        <w:rPr>
          <w:sz w:val="20"/>
        </w:rPr>
        <w:t xml:space="preserve">(2017), </w:t>
      </w:r>
      <w:r w:rsidR="009E7AA8" w:rsidRPr="007C6ADF">
        <w:rPr>
          <w:i/>
          <w:sz w:val="20"/>
        </w:rPr>
        <w:t xml:space="preserve">‘Superbad – Wage theft and noncompliance of the </w:t>
      </w:r>
      <w:r w:rsidR="009E7AA8" w:rsidRPr="007C6ADF">
        <w:rPr>
          <w:i/>
          <w:iCs/>
          <w:sz w:val="20"/>
        </w:rPr>
        <w:t xml:space="preserve">Superannuation </w:t>
      </w:r>
      <w:r w:rsidR="009E7AA8" w:rsidRPr="007C6ADF">
        <w:rPr>
          <w:i/>
          <w:sz w:val="20"/>
        </w:rPr>
        <w:t>Guarantee’</w:t>
      </w:r>
      <w:r w:rsidR="009E7AA8" w:rsidRPr="007C6ADF">
        <w:rPr>
          <w:sz w:val="20"/>
        </w:rPr>
        <w:t>.</w:t>
      </w:r>
    </w:p>
  </w:footnote>
  <w:footnote w:id="67">
    <w:p w14:paraId="51E3DA0F" w14:textId="77777777" w:rsidR="00B94301" w:rsidRDefault="00B94301" w:rsidP="00B94301">
      <w:pPr>
        <w:pStyle w:val="FootnoteText"/>
      </w:pPr>
      <w:r w:rsidRPr="00AF471B">
        <w:rPr>
          <w:rStyle w:val="FootnoteReference"/>
          <w:sz w:val="20"/>
        </w:rPr>
        <w:footnoteRef/>
      </w:r>
      <w:r w:rsidRPr="00AF471B">
        <w:rPr>
          <w:sz w:val="20"/>
        </w:rPr>
        <w:t xml:space="preserve"> </w:t>
      </w:r>
      <w:r>
        <w:rPr>
          <w:sz w:val="20"/>
        </w:rPr>
        <w:t xml:space="preserve">ANAO (2022), </w:t>
      </w:r>
      <w:r w:rsidRPr="009B1B7B">
        <w:rPr>
          <w:i/>
          <w:sz w:val="20"/>
        </w:rPr>
        <w:t>Addressing Superannuation Guarantee Non-Compliance</w:t>
      </w:r>
      <w:r>
        <w:rPr>
          <w:sz w:val="20"/>
        </w:rPr>
        <w:t>.</w:t>
      </w:r>
    </w:p>
  </w:footnote>
  <w:footnote w:id="68">
    <w:p w14:paraId="68AA3D42" w14:textId="77777777" w:rsidR="00896530" w:rsidRPr="00846E0B" w:rsidRDefault="00896530" w:rsidP="00655C69">
      <w:pPr>
        <w:pStyle w:val="FootnoteText"/>
        <w:rPr>
          <w:sz w:val="20"/>
        </w:rPr>
      </w:pPr>
      <w:r w:rsidRPr="00846E0B">
        <w:rPr>
          <w:rStyle w:val="FootnoteReference"/>
          <w:sz w:val="20"/>
        </w:rPr>
        <w:footnoteRef/>
      </w:r>
      <w:r w:rsidRPr="00846E0B">
        <w:rPr>
          <w:sz w:val="20"/>
        </w:rPr>
        <w:t xml:space="preserve"> </w:t>
      </w:r>
      <w:r w:rsidRPr="00846E0B">
        <w:rPr>
          <w:i/>
          <w:iCs/>
          <w:sz w:val="20"/>
        </w:rPr>
        <w:t>Superannuation: Assessing Efficiency and Competitiveness</w:t>
      </w:r>
      <w:r w:rsidRPr="00846E0B">
        <w:rPr>
          <w:sz w:val="20"/>
        </w:rPr>
        <w:t>, Productivity Commission 2018.</w:t>
      </w:r>
    </w:p>
  </w:footnote>
  <w:footnote w:id="69">
    <w:p w14:paraId="65FCFA98" w14:textId="05914290" w:rsidR="00896530" w:rsidRPr="00846E0B" w:rsidRDefault="00896530" w:rsidP="00655C69">
      <w:pPr>
        <w:pStyle w:val="FootnoteText"/>
        <w:rPr>
          <w:sz w:val="20"/>
        </w:rPr>
      </w:pPr>
      <w:r w:rsidRPr="00846E0B">
        <w:rPr>
          <w:rStyle w:val="FootnoteReference"/>
          <w:sz w:val="20"/>
        </w:rPr>
        <w:footnoteRef/>
      </w:r>
      <w:r w:rsidRPr="00846E0B">
        <w:rPr>
          <w:sz w:val="20"/>
        </w:rPr>
        <w:t xml:space="preserve"> </w:t>
      </w:r>
      <w:r w:rsidR="00CA5B2D">
        <w:rPr>
          <w:sz w:val="20"/>
        </w:rPr>
        <w:t>I</w:t>
      </w:r>
      <w:r w:rsidR="00E4088A" w:rsidRPr="007E7CDF">
        <w:rPr>
          <w:sz w:val="20"/>
        </w:rPr>
        <w:t>bid</w:t>
      </w:r>
      <w:r w:rsidRPr="00846E0B">
        <w:rPr>
          <w:sz w:val="20"/>
        </w:rPr>
        <w:t>.</w:t>
      </w:r>
    </w:p>
  </w:footnote>
  <w:footnote w:id="70">
    <w:p w14:paraId="35268F75" w14:textId="6A1D5AF7" w:rsidR="00896530" w:rsidRDefault="00896530" w:rsidP="00655C69">
      <w:pPr>
        <w:pStyle w:val="FootnoteText"/>
      </w:pPr>
      <w:r w:rsidRPr="00846E0B">
        <w:rPr>
          <w:rStyle w:val="FootnoteReference"/>
          <w:sz w:val="20"/>
        </w:rPr>
        <w:footnoteRef/>
      </w:r>
      <w:r w:rsidRPr="00846E0B">
        <w:rPr>
          <w:sz w:val="20"/>
        </w:rPr>
        <w:t xml:space="preserve"> </w:t>
      </w:r>
      <w:r w:rsidR="00CA5B2D">
        <w:rPr>
          <w:sz w:val="20"/>
        </w:rPr>
        <w:t>I</w:t>
      </w:r>
      <w:r w:rsidR="00E4088A" w:rsidRPr="007E7CDF">
        <w:rPr>
          <w:sz w:val="20"/>
        </w:rPr>
        <w:t>bid</w:t>
      </w:r>
      <w:r w:rsidRPr="00846E0B">
        <w:rPr>
          <w:sz w:val="20"/>
        </w:rPr>
        <w:t>.</w:t>
      </w:r>
    </w:p>
  </w:footnote>
  <w:footnote w:id="71">
    <w:p w14:paraId="15C04453" w14:textId="5F6682FC" w:rsidR="00896530" w:rsidRPr="006753BD" w:rsidRDefault="00896530" w:rsidP="006F4FD8">
      <w:pPr>
        <w:pStyle w:val="FootnoteText"/>
        <w:rPr>
          <w:sz w:val="20"/>
        </w:rPr>
      </w:pPr>
      <w:r w:rsidRPr="006753BD">
        <w:rPr>
          <w:rStyle w:val="FootnoteReference"/>
          <w:sz w:val="20"/>
        </w:rPr>
        <w:footnoteRef/>
      </w:r>
      <w:r w:rsidRPr="006753BD">
        <w:rPr>
          <w:sz w:val="20"/>
        </w:rPr>
        <w:t xml:space="preserve"> ANAO </w:t>
      </w:r>
      <w:r>
        <w:rPr>
          <w:sz w:val="20"/>
        </w:rPr>
        <w:t>(</w:t>
      </w:r>
      <w:r w:rsidRPr="006753BD">
        <w:rPr>
          <w:sz w:val="20"/>
        </w:rPr>
        <w:t>2022</w:t>
      </w:r>
      <w:r>
        <w:rPr>
          <w:sz w:val="20"/>
        </w:rPr>
        <w:t>),</w:t>
      </w:r>
      <w:r w:rsidRPr="006753BD">
        <w:rPr>
          <w:sz w:val="20"/>
        </w:rPr>
        <w:t xml:space="preserve"> </w:t>
      </w:r>
      <w:r w:rsidRPr="006753BD">
        <w:rPr>
          <w:i/>
          <w:sz w:val="20"/>
        </w:rPr>
        <w:t>Addressing Superannuation Guarantee Non-Compliance</w:t>
      </w:r>
      <w:r>
        <w:rPr>
          <w:sz w:val="20"/>
        </w:rPr>
        <w:t xml:space="preserve">. </w:t>
      </w:r>
    </w:p>
  </w:footnote>
  <w:footnote w:id="72">
    <w:p w14:paraId="0C09DD8D" w14:textId="01E64F43" w:rsidR="00896530" w:rsidRDefault="00896530" w:rsidP="006F4FD8">
      <w:pPr>
        <w:pStyle w:val="FootnoteText"/>
      </w:pPr>
      <w:r w:rsidRPr="006753BD">
        <w:rPr>
          <w:rStyle w:val="FootnoteReference"/>
          <w:sz w:val="20"/>
        </w:rPr>
        <w:footnoteRef/>
      </w:r>
      <w:r w:rsidRPr="006753BD">
        <w:rPr>
          <w:sz w:val="20"/>
        </w:rPr>
        <w:t xml:space="preserve"> </w:t>
      </w:r>
      <w:r w:rsidR="00CA5B2D">
        <w:rPr>
          <w:sz w:val="20"/>
        </w:rPr>
        <w:t>I</w:t>
      </w:r>
      <w:r w:rsidR="00D911B2">
        <w:rPr>
          <w:sz w:val="20"/>
        </w:rPr>
        <w:t>bid</w:t>
      </w:r>
      <w:r>
        <w:rPr>
          <w:sz w:val="20"/>
        </w:rPr>
        <w:t>.</w:t>
      </w:r>
      <w:r w:rsidRPr="006753BD">
        <w:rPr>
          <w:sz w:val="20"/>
        </w:rPr>
        <w:t xml:space="preserve"> </w:t>
      </w:r>
    </w:p>
  </w:footnote>
  <w:footnote w:id="73">
    <w:p w14:paraId="1B9A64A6" w14:textId="160A89F4" w:rsidR="00896530" w:rsidRPr="006753BD" w:rsidRDefault="00896530" w:rsidP="006F4FD8">
      <w:pPr>
        <w:pStyle w:val="FootnoteText"/>
        <w:rPr>
          <w:sz w:val="20"/>
        </w:rPr>
      </w:pPr>
      <w:r w:rsidRPr="006753BD">
        <w:rPr>
          <w:rStyle w:val="FootnoteReference"/>
          <w:sz w:val="20"/>
        </w:rPr>
        <w:footnoteRef/>
      </w:r>
      <w:r w:rsidRPr="006753BD">
        <w:rPr>
          <w:sz w:val="20"/>
        </w:rPr>
        <w:t xml:space="preserve"> ATO</w:t>
      </w:r>
      <w:r>
        <w:rPr>
          <w:sz w:val="20"/>
        </w:rPr>
        <w:t xml:space="preserve"> (2021), </w:t>
      </w:r>
      <w:r>
        <w:rPr>
          <w:i/>
          <w:iCs/>
          <w:sz w:val="20"/>
        </w:rPr>
        <w:t xml:space="preserve">Superannuation guarantee amnesty, </w:t>
      </w:r>
      <w:r>
        <w:rPr>
          <w:sz w:val="20"/>
        </w:rPr>
        <w:t>available at</w:t>
      </w:r>
      <w:r w:rsidRPr="006753BD">
        <w:rPr>
          <w:sz w:val="20"/>
        </w:rPr>
        <w:t xml:space="preserve">: </w:t>
      </w:r>
      <w:r w:rsidRPr="006753BD">
        <w:rPr>
          <w:sz w:val="20"/>
          <w:u w:val="single"/>
        </w:rPr>
        <w:t>www.ato.gov.au/business/super-for-employers/missed-and-late-super-guarantee-payments/the-super-guarantee-charge/Superannuation-guarantee-amnesty/#Amountsdisclosed</w:t>
      </w:r>
      <w:r w:rsidRPr="006753BD">
        <w:rPr>
          <w:sz w:val="20"/>
        </w:rPr>
        <w:t>.</w:t>
      </w:r>
    </w:p>
  </w:footnote>
  <w:footnote w:id="74">
    <w:p w14:paraId="0D13F9C4" w14:textId="6E5F7824" w:rsidR="00896530" w:rsidRPr="006753BD" w:rsidRDefault="00896530" w:rsidP="006F4FD8">
      <w:pPr>
        <w:pStyle w:val="FootnoteText"/>
        <w:rPr>
          <w:sz w:val="20"/>
        </w:rPr>
      </w:pPr>
      <w:r w:rsidRPr="006753BD">
        <w:rPr>
          <w:rStyle w:val="FootnoteReference"/>
          <w:sz w:val="20"/>
        </w:rPr>
        <w:footnoteRef/>
      </w:r>
      <w:r w:rsidRPr="006753BD">
        <w:rPr>
          <w:sz w:val="20"/>
        </w:rPr>
        <w:t xml:space="preserve"> </w:t>
      </w:r>
      <w:r w:rsidR="00CA5B2D">
        <w:rPr>
          <w:sz w:val="20"/>
        </w:rPr>
        <w:t>I</w:t>
      </w:r>
      <w:r w:rsidR="00D911B2">
        <w:rPr>
          <w:sz w:val="20"/>
        </w:rPr>
        <w:t>bid</w:t>
      </w:r>
      <w:r w:rsidRPr="006753BD">
        <w:rPr>
          <w:sz w:val="20"/>
        </w:rPr>
        <w:t>.</w:t>
      </w:r>
    </w:p>
  </w:footnote>
  <w:footnote w:id="75">
    <w:p w14:paraId="5261964A" w14:textId="697B8A52" w:rsidR="00896530" w:rsidRPr="006753BD" w:rsidRDefault="00896530" w:rsidP="006F4FD8">
      <w:pPr>
        <w:pStyle w:val="FootnoteText"/>
        <w:rPr>
          <w:sz w:val="20"/>
        </w:rPr>
      </w:pPr>
      <w:r w:rsidRPr="006753BD">
        <w:rPr>
          <w:rStyle w:val="FootnoteReference"/>
          <w:sz w:val="20"/>
        </w:rPr>
        <w:footnoteRef/>
      </w:r>
      <w:r w:rsidRPr="006753BD">
        <w:rPr>
          <w:sz w:val="20"/>
        </w:rPr>
        <w:t xml:space="preserve"> ANAO </w:t>
      </w:r>
      <w:r>
        <w:rPr>
          <w:sz w:val="20"/>
        </w:rPr>
        <w:t>(</w:t>
      </w:r>
      <w:r w:rsidRPr="006753BD">
        <w:rPr>
          <w:sz w:val="20"/>
        </w:rPr>
        <w:t>2022</w:t>
      </w:r>
      <w:r>
        <w:rPr>
          <w:sz w:val="20"/>
        </w:rPr>
        <w:t xml:space="preserve">), </w:t>
      </w:r>
      <w:r w:rsidRPr="006753BD">
        <w:rPr>
          <w:i/>
          <w:sz w:val="20"/>
        </w:rPr>
        <w:t>Addressing Superannuation Guarantee Non-Compliance</w:t>
      </w:r>
      <w:r>
        <w:rPr>
          <w:sz w:val="20"/>
        </w:rPr>
        <w:t>.</w:t>
      </w:r>
      <w:r w:rsidRPr="006753BD">
        <w:rPr>
          <w:sz w:val="20"/>
        </w:rPr>
        <w:t xml:space="preserve"> </w:t>
      </w:r>
    </w:p>
  </w:footnote>
  <w:footnote w:id="76">
    <w:p w14:paraId="2F141194" w14:textId="3327FA76" w:rsidR="00896530" w:rsidRDefault="00896530" w:rsidP="006F4FD8">
      <w:pPr>
        <w:pStyle w:val="FootnoteText"/>
      </w:pPr>
      <w:r w:rsidRPr="006753BD">
        <w:rPr>
          <w:rStyle w:val="FootnoteReference"/>
          <w:sz w:val="20"/>
        </w:rPr>
        <w:footnoteRef/>
      </w:r>
      <w:r w:rsidRPr="006753BD">
        <w:rPr>
          <w:sz w:val="20"/>
        </w:rPr>
        <w:t xml:space="preserve"> </w:t>
      </w:r>
      <w:r w:rsidR="00CA5B2D">
        <w:rPr>
          <w:sz w:val="20"/>
        </w:rPr>
        <w:t>I</w:t>
      </w:r>
      <w:r w:rsidR="00D911B2">
        <w:rPr>
          <w:sz w:val="20"/>
        </w:rPr>
        <w:t>bid</w:t>
      </w:r>
      <w:r>
        <w:rPr>
          <w:sz w:val="20"/>
        </w:rPr>
        <w:t>.</w:t>
      </w:r>
      <w:r w:rsidRPr="006753BD">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41F3D" w14:textId="77777777" w:rsidR="00896530" w:rsidRDefault="00896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0721454"/>
      <w:dataBinding w:xpath="/root[1]/Classification[1]" w:storeItemID="{00000000-0000-0000-0000-000000000000}"/>
      <w:text/>
    </w:sdtPr>
    <w:sdtEndPr/>
    <w:sdtContent>
      <w:p w14:paraId="736A1E68" w14:textId="77777777" w:rsidR="00896530" w:rsidRPr="00B87E45" w:rsidRDefault="00896530" w:rsidP="001007B9">
        <w:pPr>
          <w:pStyle w:val="ProtectiveMarking"/>
        </w:pPr>
        <w:r>
          <w:t>Choose Classification</w:t>
        </w:r>
      </w:p>
    </w:sdtContent>
  </w:sdt>
  <w:p w14:paraId="491D6368" w14:textId="77777777" w:rsidR="00896530" w:rsidRPr="00073D52" w:rsidRDefault="00896530" w:rsidP="001007B9">
    <w:pPr>
      <w:pStyle w:val="Footerline"/>
    </w:pPr>
  </w:p>
  <w:p w14:paraId="077B6EB7" w14:textId="77777777" w:rsidR="00896530" w:rsidRDefault="00896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9994" w14:textId="247D5DA6" w:rsidR="00896530" w:rsidRDefault="00896530">
    <w:r>
      <w:rPr>
        <w:noProof/>
        <w:lang w:eastAsia="en-AU"/>
      </w:rPr>
      <w:drawing>
        <wp:inline distT="0" distB="0" distL="0" distR="0" wp14:anchorId="6538B1E3" wp14:editId="4B0D374B">
          <wp:extent cx="2340869" cy="533401"/>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Treasury_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869" cy="533401"/>
                  </a:xfrm>
                  <a:prstGeom prst="rect">
                    <a:avLst/>
                  </a:prstGeom>
                </pic:spPr>
              </pic:pic>
            </a:graphicData>
          </a:graphic>
        </wp:inline>
      </w:drawing>
    </w:r>
  </w:p>
  <w:p w14:paraId="6B3896D5" w14:textId="77777777" w:rsidR="00896530" w:rsidRDefault="008965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15ECD" w14:textId="77777777" w:rsidR="00896530" w:rsidRPr="00753174" w:rsidRDefault="00896530" w:rsidP="00753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E9C3" w14:textId="77777777" w:rsidR="00896530" w:rsidRPr="00B87E45" w:rsidRDefault="00896530" w:rsidP="00663EAD">
    <w:pPr>
      <w:pStyle w:val="ProtectiveMarking"/>
    </w:pPr>
    <w:r>
      <w:t>Choose Classification</w:t>
    </w:r>
  </w:p>
  <w:p w14:paraId="1631D3A1" w14:textId="77777777" w:rsidR="00896530" w:rsidRPr="00073D52" w:rsidRDefault="00896530" w:rsidP="00663EAD">
    <w:pPr>
      <w:pStyle w:val="Footerline"/>
    </w:pPr>
  </w:p>
  <w:p w14:paraId="10908FA6" w14:textId="77777777" w:rsidR="00896530" w:rsidRDefault="00896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5BF"/>
    <w:multiLevelType w:val="hybridMultilevel"/>
    <w:tmpl w:val="E1287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3260"/>
        </w:tabs>
        <w:ind w:left="3260"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0775C4"/>
    <w:multiLevelType w:val="hybridMultilevel"/>
    <w:tmpl w:val="4EA813F4"/>
    <w:lvl w:ilvl="0" w:tplc="4334AFCA">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4" w15:restartNumberingAfterBreak="0">
    <w:nsid w:val="209768A8"/>
    <w:multiLevelType w:val="hybridMultilevel"/>
    <w:tmpl w:val="31560E2C"/>
    <w:lvl w:ilvl="0" w:tplc="88547EBA">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7434BA"/>
    <w:multiLevelType w:val="multilevel"/>
    <w:tmpl w:val="6E984EEC"/>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7" w15:restartNumberingAfterBreak="0">
    <w:nsid w:val="37F7482D"/>
    <w:multiLevelType w:val="hybridMultilevel"/>
    <w:tmpl w:val="99B07CE4"/>
    <w:lvl w:ilvl="0" w:tplc="4B74FAF2">
      <w:start w:val="4"/>
      <w:numFmt w:val="bullet"/>
      <w:lvlText w:val="-"/>
      <w:lvlJc w:val="left"/>
      <w:pPr>
        <w:ind w:left="720" w:hanging="360"/>
      </w:pPr>
      <w:rPr>
        <w:rFonts w:ascii="Calibri" w:eastAsia="Calibri" w:hAnsi="Calibri" w:cs="Calibr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D01D4F"/>
    <w:multiLevelType w:val="hybridMultilevel"/>
    <w:tmpl w:val="7F0C6D1C"/>
    <w:lvl w:ilvl="0" w:tplc="5152370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0127EEA"/>
    <w:multiLevelType w:val="multilevel"/>
    <w:tmpl w:val="6DFA8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3E0053"/>
    <w:multiLevelType w:val="multilevel"/>
    <w:tmpl w:val="FCB2F92C"/>
    <w:lvl w:ilvl="0">
      <w:start w:val="1"/>
      <w:numFmt w:val="bullet"/>
      <w:pStyle w:val="Summary"/>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1"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3" w15:restartNumberingAfterBreak="0">
    <w:nsid w:val="6D7D2449"/>
    <w:multiLevelType w:val="multilevel"/>
    <w:tmpl w:val="74C04BAA"/>
    <w:name w:val="StandardBulletedList"/>
    <w:lvl w:ilvl="0">
      <w:start w:val="1"/>
      <w:numFmt w:val="bullet"/>
      <w:pStyle w:val="Bullet"/>
      <w:lvlText w:val="•"/>
      <w:lvlJc w:val="left"/>
      <w:pPr>
        <w:tabs>
          <w:tab w:val="num" w:pos="520"/>
        </w:tabs>
        <w:ind w:left="520" w:hanging="520"/>
      </w:pPr>
      <w:rPr>
        <w:rFonts w:ascii="Times New Roman" w:eastAsia="Calibri"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6E6D1532"/>
    <w:multiLevelType w:val="hybridMultilevel"/>
    <w:tmpl w:val="13A4B9D6"/>
    <w:lvl w:ilvl="0" w:tplc="747674E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E34802"/>
    <w:multiLevelType w:val="hybridMultilevel"/>
    <w:tmpl w:val="D3481868"/>
    <w:lvl w:ilvl="0" w:tplc="1090C9A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7"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8" w15:restartNumberingAfterBreak="0">
    <w:nsid w:val="747E60DE"/>
    <w:multiLevelType w:val="hybridMultilevel"/>
    <w:tmpl w:val="9732E72E"/>
    <w:lvl w:ilvl="0" w:tplc="88A806F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D806CF"/>
    <w:multiLevelType w:val="multilevel"/>
    <w:tmpl w:val="3FFE84C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EE561CB"/>
    <w:multiLevelType w:val="multilevel"/>
    <w:tmpl w:val="1E32DE7A"/>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64"/>
        </w:tabs>
        <w:ind w:left="1464"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2"/>
  </w:num>
  <w:num w:numId="3">
    <w:abstractNumId w:val="3"/>
  </w:num>
  <w:num w:numId="4">
    <w:abstractNumId w:val="17"/>
  </w:num>
  <w:num w:numId="5">
    <w:abstractNumId w:val="16"/>
  </w:num>
  <w:num w:numId="6">
    <w:abstractNumId w:val="13"/>
  </w:num>
  <w:num w:numId="7">
    <w:abstractNumId w:val="1"/>
  </w:num>
  <w:num w:numId="8">
    <w:abstractNumId w:val="19"/>
  </w:num>
  <w:num w:numId="9">
    <w:abstractNumId w:val="5"/>
  </w:num>
  <w:num w:numId="10">
    <w:abstractNumId w:val="15"/>
  </w:num>
  <w:num w:numId="11">
    <w:abstractNumId w:val="20"/>
  </w:num>
  <w:num w:numId="12">
    <w:abstractNumId w:val="18"/>
  </w:num>
  <w:num w:numId="13">
    <w:abstractNumId w:val="2"/>
  </w:num>
  <w:num w:numId="1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
    <w:abstractNumId w:val="7"/>
  </w:num>
  <w:num w:numId="17">
    <w:abstractNumId w:val="14"/>
  </w:num>
  <w:num w:numId="18">
    <w:abstractNumId w:val="13"/>
  </w:num>
  <w:num w:numId="19">
    <w:abstractNumId w:val="4"/>
  </w:num>
  <w:num w:numId="2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2">
    <w:abstractNumId w:val="11"/>
  </w:num>
  <w:num w:numId="23">
    <w:abstractNumId w:val="10"/>
  </w:num>
  <w:num w:numId="24">
    <w:abstractNumId w:val="0"/>
  </w:num>
  <w:num w:numId="25">
    <w:abstractNumId w:val="9"/>
  </w:num>
  <w:num w:numId="2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8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8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8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8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8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8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8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8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9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9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9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9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9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9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9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9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9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9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0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0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0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0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0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0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0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0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0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0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1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1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1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1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1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1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1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1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1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1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2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2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2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2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2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3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3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3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3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3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3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3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3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3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3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4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4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4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4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4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4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4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4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4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4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6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6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6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6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6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7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7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7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7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7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8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8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8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8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8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8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8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8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8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8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9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9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9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9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9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9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9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9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9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9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0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0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0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0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0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0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0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0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0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0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1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1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1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1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1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15">
    <w:abstractNumId w:val="8"/>
  </w:num>
  <w:num w:numId="21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1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1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1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2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2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2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2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2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2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2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2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2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2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3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3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3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3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3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3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3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3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3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3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4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4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4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4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4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4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4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4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4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4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5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5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5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5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5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5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5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5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5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5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6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6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6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6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6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6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6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6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6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6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7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7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7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7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7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7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7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7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7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7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8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8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8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8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8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8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8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8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8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8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9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9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9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9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9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9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9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9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9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9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0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0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0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0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0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0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0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0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0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0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1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1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1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1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1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1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1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1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1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1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2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2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2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2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2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2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2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2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2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2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3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3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3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3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3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3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3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3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3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3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4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4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4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4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4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4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4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4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4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4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5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5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5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5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5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5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5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5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5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5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6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6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6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6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6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6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6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6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6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6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7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7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7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7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7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7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7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7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7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7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8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8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8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8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8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8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8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8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8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8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9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9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9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9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9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9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9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9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9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9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0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0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0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0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0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0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0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0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0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0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1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1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1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1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1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1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1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1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1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1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2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2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2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2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2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2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2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2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2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2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3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3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3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3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3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3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3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3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3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3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4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4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4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4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4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4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4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4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4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4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5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5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5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5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5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5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5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5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5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5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6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6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6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6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6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6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6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6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6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6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7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7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7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7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7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7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7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7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7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7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8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8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8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8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8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8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8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8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8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8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9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9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9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9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9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9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9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9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9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9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0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0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0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0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0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0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0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0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0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0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1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1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1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1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1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1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1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1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1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1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2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2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2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2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2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2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2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2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2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2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3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3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3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3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3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3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3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3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3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3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4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4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4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4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4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4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4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4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4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4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5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5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5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5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5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5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5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5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5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5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6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6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6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6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6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6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6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6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6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6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7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7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7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7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7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7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7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7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7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7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8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8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8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8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8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8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8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8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8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8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9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9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9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9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9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9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9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9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9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9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0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0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0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0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0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0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0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0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0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0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1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1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1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1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1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1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1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1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1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1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2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2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2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2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2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2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2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2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2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2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3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3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3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3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3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3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3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3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3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3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4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4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4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4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4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4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4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4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4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4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5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5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5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5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5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5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5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5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5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5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6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6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6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6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6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6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6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6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6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6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7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7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7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7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7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7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7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7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7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7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8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8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8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8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8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8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8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8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8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8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9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9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9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9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9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9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9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9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9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9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0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0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0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0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0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0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0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0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0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0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1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1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1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1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1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1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1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1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1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1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2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2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2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2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2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2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2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2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2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2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3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3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3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3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3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3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3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3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3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3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4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4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4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4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4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4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4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4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4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4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5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5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5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5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5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5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5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5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5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5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6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6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6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6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6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6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6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6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6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6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7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7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7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7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7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7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7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7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7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7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8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8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8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8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8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8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8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8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8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8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9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9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IdMacAtCleanup w:val="7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DF2185"/>
    <w:rsid w:val="000001DF"/>
    <w:rsid w:val="00000290"/>
    <w:rsid w:val="0000052C"/>
    <w:rsid w:val="000005E2"/>
    <w:rsid w:val="000008DB"/>
    <w:rsid w:val="00000B31"/>
    <w:rsid w:val="00000B3F"/>
    <w:rsid w:val="00000BAD"/>
    <w:rsid w:val="00000BB0"/>
    <w:rsid w:val="00000C30"/>
    <w:rsid w:val="00000E03"/>
    <w:rsid w:val="00000F27"/>
    <w:rsid w:val="000011B6"/>
    <w:rsid w:val="00001200"/>
    <w:rsid w:val="00001579"/>
    <w:rsid w:val="0000160E"/>
    <w:rsid w:val="0000186B"/>
    <w:rsid w:val="00001898"/>
    <w:rsid w:val="00001948"/>
    <w:rsid w:val="000019D3"/>
    <w:rsid w:val="00001CF4"/>
    <w:rsid w:val="00001DF1"/>
    <w:rsid w:val="00001ECB"/>
    <w:rsid w:val="00001F37"/>
    <w:rsid w:val="00002099"/>
    <w:rsid w:val="000020D5"/>
    <w:rsid w:val="000023FA"/>
    <w:rsid w:val="00002654"/>
    <w:rsid w:val="00002669"/>
    <w:rsid w:val="00002734"/>
    <w:rsid w:val="00002826"/>
    <w:rsid w:val="00002892"/>
    <w:rsid w:val="000028E8"/>
    <w:rsid w:val="00002BD5"/>
    <w:rsid w:val="00002DCF"/>
    <w:rsid w:val="00002F47"/>
    <w:rsid w:val="00002F73"/>
    <w:rsid w:val="00003018"/>
    <w:rsid w:val="00003039"/>
    <w:rsid w:val="0000311A"/>
    <w:rsid w:val="00003395"/>
    <w:rsid w:val="000034E4"/>
    <w:rsid w:val="00003536"/>
    <w:rsid w:val="0000356B"/>
    <w:rsid w:val="00003589"/>
    <w:rsid w:val="00003662"/>
    <w:rsid w:val="000036B5"/>
    <w:rsid w:val="000036D7"/>
    <w:rsid w:val="00003732"/>
    <w:rsid w:val="00003886"/>
    <w:rsid w:val="00003927"/>
    <w:rsid w:val="00003ABB"/>
    <w:rsid w:val="00003B3A"/>
    <w:rsid w:val="00003BD4"/>
    <w:rsid w:val="00003C6B"/>
    <w:rsid w:val="00003CC9"/>
    <w:rsid w:val="00003DB9"/>
    <w:rsid w:val="000040E7"/>
    <w:rsid w:val="00004201"/>
    <w:rsid w:val="00004264"/>
    <w:rsid w:val="00004386"/>
    <w:rsid w:val="000044A2"/>
    <w:rsid w:val="000044C4"/>
    <w:rsid w:val="00004521"/>
    <w:rsid w:val="0000452E"/>
    <w:rsid w:val="000046CE"/>
    <w:rsid w:val="00004A5C"/>
    <w:rsid w:val="00004ABB"/>
    <w:rsid w:val="00004AEE"/>
    <w:rsid w:val="00004CB4"/>
    <w:rsid w:val="00004DE2"/>
    <w:rsid w:val="00004E3B"/>
    <w:rsid w:val="00004FBF"/>
    <w:rsid w:val="00005208"/>
    <w:rsid w:val="00005241"/>
    <w:rsid w:val="000052EA"/>
    <w:rsid w:val="0000542B"/>
    <w:rsid w:val="000054AE"/>
    <w:rsid w:val="0000556D"/>
    <w:rsid w:val="000055C8"/>
    <w:rsid w:val="00005647"/>
    <w:rsid w:val="000057C4"/>
    <w:rsid w:val="00005A04"/>
    <w:rsid w:val="00005C8B"/>
    <w:rsid w:val="00005CB5"/>
    <w:rsid w:val="00005E3F"/>
    <w:rsid w:val="00005F8A"/>
    <w:rsid w:val="00006238"/>
    <w:rsid w:val="00006316"/>
    <w:rsid w:val="00006542"/>
    <w:rsid w:val="00006555"/>
    <w:rsid w:val="0000659C"/>
    <w:rsid w:val="00006609"/>
    <w:rsid w:val="000066A6"/>
    <w:rsid w:val="000066AE"/>
    <w:rsid w:val="000066DE"/>
    <w:rsid w:val="0000699C"/>
    <w:rsid w:val="00006A08"/>
    <w:rsid w:val="00006AFC"/>
    <w:rsid w:val="00006C4A"/>
    <w:rsid w:val="00006DEB"/>
    <w:rsid w:val="000071FB"/>
    <w:rsid w:val="00007479"/>
    <w:rsid w:val="0000755B"/>
    <w:rsid w:val="00007574"/>
    <w:rsid w:val="000075B0"/>
    <w:rsid w:val="00007639"/>
    <w:rsid w:val="00007A02"/>
    <w:rsid w:val="00007B5E"/>
    <w:rsid w:val="00007C9B"/>
    <w:rsid w:val="00007D1E"/>
    <w:rsid w:val="00007D91"/>
    <w:rsid w:val="00007F65"/>
    <w:rsid w:val="000100AA"/>
    <w:rsid w:val="0001011E"/>
    <w:rsid w:val="0001015E"/>
    <w:rsid w:val="0001017E"/>
    <w:rsid w:val="0001020C"/>
    <w:rsid w:val="00010381"/>
    <w:rsid w:val="00010385"/>
    <w:rsid w:val="000103EF"/>
    <w:rsid w:val="000103F6"/>
    <w:rsid w:val="00010644"/>
    <w:rsid w:val="00010672"/>
    <w:rsid w:val="000106BA"/>
    <w:rsid w:val="00010836"/>
    <w:rsid w:val="00010952"/>
    <w:rsid w:val="0001098F"/>
    <w:rsid w:val="00010A2B"/>
    <w:rsid w:val="00010D78"/>
    <w:rsid w:val="00010D9A"/>
    <w:rsid w:val="00010DF1"/>
    <w:rsid w:val="00011061"/>
    <w:rsid w:val="00011578"/>
    <w:rsid w:val="000117D8"/>
    <w:rsid w:val="00011912"/>
    <w:rsid w:val="00011A58"/>
    <w:rsid w:val="00011AFF"/>
    <w:rsid w:val="00011B3C"/>
    <w:rsid w:val="00011DDB"/>
    <w:rsid w:val="00011E98"/>
    <w:rsid w:val="00011F39"/>
    <w:rsid w:val="00012376"/>
    <w:rsid w:val="000123AA"/>
    <w:rsid w:val="00012402"/>
    <w:rsid w:val="000124FA"/>
    <w:rsid w:val="0001254D"/>
    <w:rsid w:val="000125A4"/>
    <w:rsid w:val="0001274A"/>
    <w:rsid w:val="000129C1"/>
    <w:rsid w:val="00012D4A"/>
    <w:rsid w:val="00013012"/>
    <w:rsid w:val="000133B7"/>
    <w:rsid w:val="0001359B"/>
    <w:rsid w:val="0001375B"/>
    <w:rsid w:val="0001377A"/>
    <w:rsid w:val="0001386A"/>
    <w:rsid w:val="00013DC7"/>
    <w:rsid w:val="00014051"/>
    <w:rsid w:val="000140B9"/>
    <w:rsid w:val="000140D0"/>
    <w:rsid w:val="0001413A"/>
    <w:rsid w:val="000142BF"/>
    <w:rsid w:val="0001435A"/>
    <w:rsid w:val="000144DB"/>
    <w:rsid w:val="0001465C"/>
    <w:rsid w:val="0001468B"/>
    <w:rsid w:val="000146D4"/>
    <w:rsid w:val="000147DB"/>
    <w:rsid w:val="00014A88"/>
    <w:rsid w:val="00014ABC"/>
    <w:rsid w:val="00014B18"/>
    <w:rsid w:val="00014DCD"/>
    <w:rsid w:val="00014DE7"/>
    <w:rsid w:val="00014E02"/>
    <w:rsid w:val="00014EC1"/>
    <w:rsid w:val="0001525A"/>
    <w:rsid w:val="000152C2"/>
    <w:rsid w:val="00015398"/>
    <w:rsid w:val="0001556F"/>
    <w:rsid w:val="000155AE"/>
    <w:rsid w:val="000156F7"/>
    <w:rsid w:val="00015931"/>
    <w:rsid w:val="0001595F"/>
    <w:rsid w:val="000159B7"/>
    <w:rsid w:val="000159BC"/>
    <w:rsid w:val="000159C7"/>
    <w:rsid w:val="000159E2"/>
    <w:rsid w:val="000159F0"/>
    <w:rsid w:val="00015A33"/>
    <w:rsid w:val="00015A71"/>
    <w:rsid w:val="00015B53"/>
    <w:rsid w:val="00015C23"/>
    <w:rsid w:val="00015E2F"/>
    <w:rsid w:val="00015EF9"/>
    <w:rsid w:val="00015F67"/>
    <w:rsid w:val="000160B3"/>
    <w:rsid w:val="00016158"/>
    <w:rsid w:val="000162D9"/>
    <w:rsid w:val="00016309"/>
    <w:rsid w:val="00016453"/>
    <w:rsid w:val="000164C1"/>
    <w:rsid w:val="00016582"/>
    <w:rsid w:val="00016598"/>
    <w:rsid w:val="000168C7"/>
    <w:rsid w:val="0001697A"/>
    <w:rsid w:val="000169E4"/>
    <w:rsid w:val="00016D2D"/>
    <w:rsid w:val="00016E3B"/>
    <w:rsid w:val="00016EBB"/>
    <w:rsid w:val="00016EE9"/>
    <w:rsid w:val="00016F29"/>
    <w:rsid w:val="00017023"/>
    <w:rsid w:val="00017138"/>
    <w:rsid w:val="00017186"/>
    <w:rsid w:val="000171CF"/>
    <w:rsid w:val="00017224"/>
    <w:rsid w:val="000172E8"/>
    <w:rsid w:val="000172FC"/>
    <w:rsid w:val="00017352"/>
    <w:rsid w:val="000173F0"/>
    <w:rsid w:val="000173FD"/>
    <w:rsid w:val="000174CB"/>
    <w:rsid w:val="00017867"/>
    <w:rsid w:val="00017B96"/>
    <w:rsid w:val="00017D42"/>
    <w:rsid w:val="00017E17"/>
    <w:rsid w:val="00020147"/>
    <w:rsid w:val="000201D1"/>
    <w:rsid w:val="000202E3"/>
    <w:rsid w:val="0002036E"/>
    <w:rsid w:val="000203FF"/>
    <w:rsid w:val="00020544"/>
    <w:rsid w:val="0002068D"/>
    <w:rsid w:val="0002099E"/>
    <w:rsid w:val="000209F5"/>
    <w:rsid w:val="00020A1E"/>
    <w:rsid w:val="00020AC1"/>
    <w:rsid w:val="00020B56"/>
    <w:rsid w:val="00020BC6"/>
    <w:rsid w:val="00020C16"/>
    <w:rsid w:val="00020C2F"/>
    <w:rsid w:val="00020C6B"/>
    <w:rsid w:val="00020D37"/>
    <w:rsid w:val="0002104F"/>
    <w:rsid w:val="000210FF"/>
    <w:rsid w:val="00021180"/>
    <w:rsid w:val="000213B9"/>
    <w:rsid w:val="000213D3"/>
    <w:rsid w:val="0002143C"/>
    <w:rsid w:val="00021490"/>
    <w:rsid w:val="00021573"/>
    <w:rsid w:val="000216A6"/>
    <w:rsid w:val="0002188F"/>
    <w:rsid w:val="0002196C"/>
    <w:rsid w:val="00021A49"/>
    <w:rsid w:val="00021D9D"/>
    <w:rsid w:val="00021F08"/>
    <w:rsid w:val="00021F8D"/>
    <w:rsid w:val="00021FBA"/>
    <w:rsid w:val="000222E5"/>
    <w:rsid w:val="00022422"/>
    <w:rsid w:val="000224F3"/>
    <w:rsid w:val="00022503"/>
    <w:rsid w:val="00022700"/>
    <w:rsid w:val="0002274A"/>
    <w:rsid w:val="0002285F"/>
    <w:rsid w:val="00022979"/>
    <w:rsid w:val="00022A8E"/>
    <w:rsid w:val="00022D0E"/>
    <w:rsid w:val="00022D83"/>
    <w:rsid w:val="00022F9A"/>
    <w:rsid w:val="00022FAC"/>
    <w:rsid w:val="0002304B"/>
    <w:rsid w:val="000230D6"/>
    <w:rsid w:val="00023144"/>
    <w:rsid w:val="0002317B"/>
    <w:rsid w:val="0002321C"/>
    <w:rsid w:val="000232CA"/>
    <w:rsid w:val="0002334F"/>
    <w:rsid w:val="000234E8"/>
    <w:rsid w:val="0002351A"/>
    <w:rsid w:val="00023693"/>
    <w:rsid w:val="000237CB"/>
    <w:rsid w:val="00023814"/>
    <w:rsid w:val="00023A54"/>
    <w:rsid w:val="00023AC4"/>
    <w:rsid w:val="00023C32"/>
    <w:rsid w:val="00023CBF"/>
    <w:rsid w:val="00023F2D"/>
    <w:rsid w:val="000240EE"/>
    <w:rsid w:val="0002425F"/>
    <w:rsid w:val="00024277"/>
    <w:rsid w:val="0002438F"/>
    <w:rsid w:val="0002448D"/>
    <w:rsid w:val="00024501"/>
    <w:rsid w:val="00024623"/>
    <w:rsid w:val="0002469D"/>
    <w:rsid w:val="00024867"/>
    <w:rsid w:val="00024927"/>
    <w:rsid w:val="0002492C"/>
    <w:rsid w:val="00024AE7"/>
    <w:rsid w:val="00024AF0"/>
    <w:rsid w:val="00024C07"/>
    <w:rsid w:val="00024C39"/>
    <w:rsid w:val="00024C53"/>
    <w:rsid w:val="00024DAB"/>
    <w:rsid w:val="00024FF3"/>
    <w:rsid w:val="000251A9"/>
    <w:rsid w:val="0002556A"/>
    <w:rsid w:val="00025571"/>
    <w:rsid w:val="0002564A"/>
    <w:rsid w:val="000256FD"/>
    <w:rsid w:val="000259C6"/>
    <w:rsid w:val="000259FB"/>
    <w:rsid w:val="00025A0F"/>
    <w:rsid w:val="00025B85"/>
    <w:rsid w:val="00025C38"/>
    <w:rsid w:val="00025CCA"/>
    <w:rsid w:val="00025E3F"/>
    <w:rsid w:val="00025F05"/>
    <w:rsid w:val="00026028"/>
    <w:rsid w:val="000261BD"/>
    <w:rsid w:val="000265F6"/>
    <w:rsid w:val="00026606"/>
    <w:rsid w:val="000266C4"/>
    <w:rsid w:val="000267DF"/>
    <w:rsid w:val="0002694B"/>
    <w:rsid w:val="00026967"/>
    <w:rsid w:val="0002699E"/>
    <w:rsid w:val="00026A50"/>
    <w:rsid w:val="00026AF2"/>
    <w:rsid w:val="00026BAB"/>
    <w:rsid w:val="00026D2C"/>
    <w:rsid w:val="00026E01"/>
    <w:rsid w:val="00026E56"/>
    <w:rsid w:val="00026FDA"/>
    <w:rsid w:val="00026FEA"/>
    <w:rsid w:val="00027000"/>
    <w:rsid w:val="00027078"/>
    <w:rsid w:val="0002731F"/>
    <w:rsid w:val="00027435"/>
    <w:rsid w:val="000276C2"/>
    <w:rsid w:val="00027792"/>
    <w:rsid w:val="00027847"/>
    <w:rsid w:val="00027D09"/>
    <w:rsid w:val="00027ED1"/>
    <w:rsid w:val="00027F09"/>
    <w:rsid w:val="00030160"/>
    <w:rsid w:val="0003019A"/>
    <w:rsid w:val="000301A8"/>
    <w:rsid w:val="00030255"/>
    <w:rsid w:val="00030292"/>
    <w:rsid w:val="00030418"/>
    <w:rsid w:val="000304B2"/>
    <w:rsid w:val="000307E7"/>
    <w:rsid w:val="0003090C"/>
    <w:rsid w:val="00030975"/>
    <w:rsid w:val="00030B8B"/>
    <w:rsid w:val="00030BC5"/>
    <w:rsid w:val="00030BD0"/>
    <w:rsid w:val="00030C10"/>
    <w:rsid w:val="00030D13"/>
    <w:rsid w:val="00030D8C"/>
    <w:rsid w:val="00030DA7"/>
    <w:rsid w:val="00030DC3"/>
    <w:rsid w:val="00030DFE"/>
    <w:rsid w:val="00030EA0"/>
    <w:rsid w:val="00030F16"/>
    <w:rsid w:val="0003127B"/>
    <w:rsid w:val="000312AE"/>
    <w:rsid w:val="0003137B"/>
    <w:rsid w:val="000313A5"/>
    <w:rsid w:val="00031751"/>
    <w:rsid w:val="000317B8"/>
    <w:rsid w:val="00031861"/>
    <w:rsid w:val="00031929"/>
    <w:rsid w:val="00031A6E"/>
    <w:rsid w:val="00031AEB"/>
    <w:rsid w:val="00031B5C"/>
    <w:rsid w:val="00031C99"/>
    <w:rsid w:val="00031D1A"/>
    <w:rsid w:val="00031D59"/>
    <w:rsid w:val="00031F51"/>
    <w:rsid w:val="0003230A"/>
    <w:rsid w:val="00032466"/>
    <w:rsid w:val="00032491"/>
    <w:rsid w:val="000325BB"/>
    <w:rsid w:val="000326C0"/>
    <w:rsid w:val="0003275D"/>
    <w:rsid w:val="00032794"/>
    <w:rsid w:val="0003288B"/>
    <w:rsid w:val="0003289F"/>
    <w:rsid w:val="000328E5"/>
    <w:rsid w:val="00032913"/>
    <w:rsid w:val="00032A1E"/>
    <w:rsid w:val="00032B79"/>
    <w:rsid w:val="00032B90"/>
    <w:rsid w:val="00032CE5"/>
    <w:rsid w:val="00032FD4"/>
    <w:rsid w:val="00033003"/>
    <w:rsid w:val="00033216"/>
    <w:rsid w:val="00033304"/>
    <w:rsid w:val="0003336B"/>
    <w:rsid w:val="000333C2"/>
    <w:rsid w:val="00033551"/>
    <w:rsid w:val="00033565"/>
    <w:rsid w:val="000335CB"/>
    <w:rsid w:val="0003370A"/>
    <w:rsid w:val="00033808"/>
    <w:rsid w:val="00033AE3"/>
    <w:rsid w:val="00033B19"/>
    <w:rsid w:val="00033B4C"/>
    <w:rsid w:val="00033C5C"/>
    <w:rsid w:val="00033C9E"/>
    <w:rsid w:val="00033D5D"/>
    <w:rsid w:val="00034015"/>
    <w:rsid w:val="000340A0"/>
    <w:rsid w:val="0003410F"/>
    <w:rsid w:val="0003412D"/>
    <w:rsid w:val="0003439E"/>
    <w:rsid w:val="000343E7"/>
    <w:rsid w:val="000343F6"/>
    <w:rsid w:val="000345F2"/>
    <w:rsid w:val="00034773"/>
    <w:rsid w:val="00034776"/>
    <w:rsid w:val="00034863"/>
    <w:rsid w:val="000348B8"/>
    <w:rsid w:val="00034953"/>
    <w:rsid w:val="00034997"/>
    <w:rsid w:val="000349AD"/>
    <w:rsid w:val="00034A45"/>
    <w:rsid w:val="00034AE0"/>
    <w:rsid w:val="00034F81"/>
    <w:rsid w:val="00034FEC"/>
    <w:rsid w:val="000350AC"/>
    <w:rsid w:val="00035172"/>
    <w:rsid w:val="00035301"/>
    <w:rsid w:val="0003530C"/>
    <w:rsid w:val="00035407"/>
    <w:rsid w:val="00035433"/>
    <w:rsid w:val="00035490"/>
    <w:rsid w:val="000354B2"/>
    <w:rsid w:val="000355E0"/>
    <w:rsid w:val="00035772"/>
    <w:rsid w:val="000357F4"/>
    <w:rsid w:val="000358EF"/>
    <w:rsid w:val="00035A46"/>
    <w:rsid w:val="00035A64"/>
    <w:rsid w:val="00035EEB"/>
    <w:rsid w:val="00035F0F"/>
    <w:rsid w:val="00036195"/>
    <w:rsid w:val="0003625F"/>
    <w:rsid w:val="000362B1"/>
    <w:rsid w:val="0003662C"/>
    <w:rsid w:val="0003670E"/>
    <w:rsid w:val="00036731"/>
    <w:rsid w:val="00036806"/>
    <w:rsid w:val="0003681C"/>
    <w:rsid w:val="00036855"/>
    <w:rsid w:val="00036976"/>
    <w:rsid w:val="00036B66"/>
    <w:rsid w:val="00036BF9"/>
    <w:rsid w:val="00036C44"/>
    <w:rsid w:val="00036C72"/>
    <w:rsid w:val="00036E19"/>
    <w:rsid w:val="00036E6F"/>
    <w:rsid w:val="00036F0B"/>
    <w:rsid w:val="00036F87"/>
    <w:rsid w:val="000370CF"/>
    <w:rsid w:val="0003715E"/>
    <w:rsid w:val="000371FF"/>
    <w:rsid w:val="000372A1"/>
    <w:rsid w:val="000374D5"/>
    <w:rsid w:val="000374F2"/>
    <w:rsid w:val="00037557"/>
    <w:rsid w:val="000375C4"/>
    <w:rsid w:val="000375E0"/>
    <w:rsid w:val="00037685"/>
    <w:rsid w:val="00037982"/>
    <w:rsid w:val="00037AA5"/>
    <w:rsid w:val="00037BAE"/>
    <w:rsid w:val="00037C92"/>
    <w:rsid w:val="00037D79"/>
    <w:rsid w:val="00037D82"/>
    <w:rsid w:val="00037F99"/>
    <w:rsid w:val="00037FE3"/>
    <w:rsid w:val="000400B4"/>
    <w:rsid w:val="00040222"/>
    <w:rsid w:val="00040338"/>
    <w:rsid w:val="00040379"/>
    <w:rsid w:val="00040401"/>
    <w:rsid w:val="00040480"/>
    <w:rsid w:val="00040518"/>
    <w:rsid w:val="00040538"/>
    <w:rsid w:val="0004055B"/>
    <w:rsid w:val="000405EB"/>
    <w:rsid w:val="0004076E"/>
    <w:rsid w:val="0004082F"/>
    <w:rsid w:val="000409B0"/>
    <w:rsid w:val="00040F05"/>
    <w:rsid w:val="00040F1B"/>
    <w:rsid w:val="00041222"/>
    <w:rsid w:val="0004125B"/>
    <w:rsid w:val="000412EC"/>
    <w:rsid w:val="000412ED"/>
    <w:rsid w:val="000417C6"/>
    <w:rsid w:val="0004192A"/>
    <w:rsid w:val="00041939"/>
    <w:rsid w:val="00041B20"/>
    <w:rsid w:val="00041B6A"/>
    <w:rsid w:val="00041BD6"/>
    <w:rsid w:val="00041FA7"/>
    <w:rsid w:val="000420B8"/>
    <w:rsid w:val="000421D8"/>
    <w:rsid w:val="000422C3"/>
    <w:rsid w:val="000423B8"/>
    <w:rsid w:val="000423C3"/>
    <w:rsid w:val="00042531"/>
    <w:rsid w:val="000429CB"/>
    <w:rsid w:val="00042A40"/>
    <w:rsid w:val="00042C4D"/>
    <w:rsid w:val="00042DD9"/>
    <w:rsid w:val="00042E6F"/>
    <w:rsid w:val="00042E89"/>
    <w:rsid w:val="00042F63"/>
    <w:rsid w:val="00042FEC"/>
    <w:rsid w:val="000431E3"/>
    <w:rsid w:val="000432B5"/>
    <w:rsid w:val="0004338E"/>
    <w:rsid w:val="00043436"/>
    <w:rsid w:val="00043441"/>
    <w:rsid w:val="000435EA"/>
    <w:rsid w:val="000436A3"/>
    <w:rsid w:val="0004376E"/>
    <w:rsid w:val="00043856"/>
    <w:rsid w:val="00043991"/>
    <w:rsid w:val="00043B35"/>
    <w:rsid w:val="00043CD8"/>
    <w:rsid w:val="00043D7B"/>
    <w:rsid w:val="00043F02"/>
    <w:rsid w:val="00043F17"/>
    <w:rsid w:val="00043F20"/>
    <w:rsid w:val="00043F4F"/>
    <w:rsid w:val="000440EC"/>
    <w:rsid w:val="000441D4"/>
    <w:rsid w:val="00044289"/>
    <w:rsid w:val="000443B2"/>
    <w:rsid w:val="0004452A"/>
    <w:rsid w:val="00044821"/>
    <w:rsid w:val="00044833"/>
    <w:rsid w:val="0004483E"/>
    <w:rsid w:val="000448D2"/>
    <w:rsid w:val="000448F2"/>
    <w:rsid w:val="00044925"/>
    <w:rsid w:val="00044B99"/>
    <w:rsid w:val="00044BDC"/>
    <w:rsid w:val="00044BF9"/>
    <w:rsid w:val="00044C69"/>
    <w:rsid w:val="00044C9E"/>
    <w:rsid w:val="00044CD7"/>
    <w:rsid w:val="00044D80"/>
    <w:rsid w:val="00044DD2"/>
    <w:rsid w:val="00044F8C"/>
    <w:rsid w:val="00044FF2"/>
    <w:rsid w:val="000450A1"/>
    <w:rsid w:val="000450D2"/>
    <w:rsid w:val="000450EC"/>
    <w:rsid w:val="0004523E"/>
    <w:rsid w:val="0004556A"/>
    <w:rsid w:val="000456FE"/>
    <w:rsid w:val="000457B6"/>
    <w:rsid w:val="000458BC"/>
    <w:rsid w:val="00045914"/>
    <w:rsid w:val="000459C6"/>
    <w:rsid w:val="000459CD"/>
    <w:rsid w:val="00045A7E"/>
    <w:rsid w:val="00045B6E"/>
    <w:rsid w:val="00045C2A"/>
    <w:rsid w:val="00045DBC"/>
    <w:rsid w:val="00045E7D"/>
    <w:rsid w:val="00045EB2"/>
    <w:rsid w:val="00045F50"/>
    <w:rsid w:val="00046020"/>
    <w:rsid w:val="000464BF"/>
    <w:rsid w:val="000465B1"/>
    <w:rsid w:val="00046610"/>
    <w:rsid w:val="000467A6"/>
    <w:rsid w:val="00046867"/>
    <w:rsid w:val="0004696A"/>
    <w:rsid w:val="00046999"/>
    <w:rsid w:val="000469F7"/>
    <w:rsid w:val="00046BA1"/>
    <w:rsid w:val="00047007"/>
    <w:rsid w:val="0004701D"/>
    <w:rsid w:val="0004704F"/>
    <w:rsid w:val="00047276"/>
    <w:rsid w:val="000472A3"/>
    <w:rsid w:val="000473D0"/>
    <w:rsid w:val="00047588"/>
    <w:rsid w:val="00047781"/>
    <w:rsid w:val="000477D7"/>
    <w:rsid w:val="000477F5"/>
    <w:rsid w:val="0004787D"/>
    <w:rsid w:val="00047996"/>
    <w:rsid w:val="000479C3"/>
    <w:rsid w:val="00047C94"/>
    <w:rsid w:val="00047CF4"/>
    <w:rsid w:val="00047DE3"/>
    <w:rsid w:val="00047E14"/>
    <w:rsid w:val="00047E7D"/>
    <w:rsid w:val="00047F16"/>
    <w:rsid w:val="00047F50"/>
    <w:rsid w:val="00050017"/>
    <w:rsid w:val="00050245"/>
    <w:rsid w:val="00050332"/>
    <w:rsid w:val="000503A6"/>
    <w:rsid w:val="0005048F"/>
    <w:rsid w:val="00050569"/>
    <w:rsid w:val="00050575"/>
    <w:rsid w:val="00050640"/>
    <w:rsid w:val="000508BF"/>
    <w:rsid w:val="00050901"/>
    <w:rsid w:val="0005090D"/>
    <w:rsid w:val="0005097C"/>
    <w:rsid w:val="000509AD"/>
    <w:rsid w:val="00050A20"/>
    <w:rsid w:val="00050A3C"/>
    <w:rsid w:val="00050C25"/>
    <w:rsid w:val="00050D34"/>
    <w:rsid w:val="00050EEA"/>
    <w:rsid w:val="00050F97"/>
    <w:rsid w:val="00051186"/>
    <w:rsid w:val="0005151F"/>
    <w:rsid w:val="00051647"/>
    <w:rsid w:val="000516E8"/>
    <w:rsid w:val="0005181C"/>
    <w:rsid w:val="0005189B"/>
    <w:rsid w:val="00051A09"/>
    <w:rsid w:val="00051B8F"/>
    <w:rsid w:val="00051C71"/>
    <w:rsid w:val="00051CBE"/>
    <w:rsid w:val="00051CEB"/>
    <w:rsid w:val="000522CD"/>
    <w:rsid w:val="00052303"/>
    <w:rsid w:val="0005239B"/>
    <w:rsid w:val="000523C5"/>
    <w:rsid w:val="000524CC"/>
    <w:rsid w:val="000525E3"/>
    <w:rsid w:val="0005278D"/>
    <w:rsid w:val="000527EF"/>
    <w:rsid w:val="00052838"/>
    <w:rsid w:val="00052968"/>
    <w:rsid w:val="00052A61"/>
    <w:rsid w:val="00052A79"/>
    <w:rsid w:val="00052CA7"/>
    <w:rsid w:val="00052DA8"/>
    <w:rsid w:val="00052E5A"/>
    <w:rsid w:val="00052FC3"/>
    <w:rsid w:val="000530D2"/>
    <w:rsid w:val="00053138"/>
    <w:rsid w:val="000532DD"/>
    <w:rsid w:val="0005334D"/>
    <w:rsid w:val="000534AB"/>
    <w:rsid w:val="000534E3"/>
    <w:rsid w:val="00053521"/>
    <w:rsid w:val="00053522"/>
    <w:rsid w:val="000535E0"/>
    <w:rsid w:val="000536EF"/>
    <w:rsid w:val="0005378A"/>
    <w:rsid w:val="00053846"/>
    <w:rsid w:val="0005388B"/>
    <w:rsid w:val="000538B1"/>
    <w:rsid w:val="00053AD0"/>
    <w:rsid w:val="00053CD9"/>
    <w:rsid w:val="00053E27"/>
    <w:rsid w:val="00053E48"/>
    <w:rsid w:val="000540C4"/>
    <w:rsid w:val="00054184"/>
    <w:rsid w:val="000541FA"/>
    <w:rsid w:val="0005422B"/>
    <w:rsid w:val="00054611"/>
    <w:rsid w:val="0005462A"/>
    <w:rsid w:val="000547AA"/>
    <w:rsid w:val="00054A43"/>
    <w:rsid w:val="00054B04"/>
    <w:rsid w:val="00054B11"/>
    <w:rsid w:val="00054BF3"/>
    <w:rsid w:val="00054C8A"/>
    <w:rsid w:val="00054C91"/>
    <w:rsid w:val="00054C9E"/>
    <w:rsid w:val="00054FAB"/>
    <w:rsid w:val="0005502F"/>
    <w:rsid w:val="00055283"/>
    <w:rsid w:val="00055348"/>
    <w:rsid w:val="00055451"/>
    <w:rsid w:val="00055453"/>
    <w:rsid w:val="00055559"/>
    <w:rsid w:val="0005555D"/>
    <w:rsid w:val="00055610"/>
    <w:rsid w:val="000558E3"/>
    <w:rsid w:val="0005590E"/>
    <w:rsid w:val="00055A78"/>
    <w:rsid w:val="00055DA4"/>
    <w:rsid w:val="00055F15"/>
    <w:rsid w:val="0005601A"/>
    <w:rsid w:val="00056033"/>
    <w:rsid w:val="00056046"/>
    <w:rsid w:val="000561A5"/>
    <w:rsid w:val="000561F5"/>
    <w:rsid w:val="00056273"/>
    <w:rsid w:val="000563A7"/>
    <w:rsid w:val="0005642E"/>
    <w:rsid w:val="0005647A"/>
    <w:rsid w:val="00056684"/>
    <w:rsid w:val="000566D0"/>
    <w:rsid w:val="00056742"/>
    <w:rsid w:val="00056825"/>
    <w:rsid w:val="00056881"/>
    <w:rsid w:val="000568D5"/>
    <w:rsid w:val="00056B8D"/>
    <w:rsid w:val="00056F1C"/>
    <w:rsid w:val="0005703E"/>
    <w:rsid w:val="000570C6"/>
    <w:rsid w:val="000570FC"/>
    <w:rsid w:val="00057152"/>
    <w:rsid w:val="00057165"/>
    <w:rsid w:val="0005718B"/>
    <w:rsid w:val="0005725A"/>
    <w:rsid w:val="000572C1"/>
    <w:rsid w:val="0005731B"/>
    <w:rsid w:val="0005744F"/>
    <w:rsid w:val="000574F5"/>
    <w:rsid w:val="000575AB"/>
    <w:rsid w:val="000576E3"/>
    <w:rsid w:val="00057780"/>
    <w:rsid w:val="000577C4"/>
    <w:rsid w:val="000577F8"/>
    <w:rsid w:val="000578EF"/>
    <w:rsid w:val="00057A92"/>
    <w:rsid w:val="00057B6A"/>
    <w:rsid w:val="00057B90"/>
    <w:rsid w:val="00057D20"/>
    <w:rsid w:val="0006017C"/>
    <w:rsid w:val="000601F0"/>
    <w:rsid w:val="0006029D"/>
    <w:rsid w:val="000602FF"/>
    <w:rsid w:val="0006043F"/>
    <w:rsid w:val="000604D5"/>
    <w:rsid w:val="000605CB"/>
    <w:rsid w:val="000605FB"/>
    <w:rsid w:val="000606A9"/>
    <w:rsid w:val="00060730"/>
    <w:rsid w:val="00060A63"/>
    <w:rsid w:val="00060B21"/>
    <w:rsid w:val="00060B56"/>
    <w:rsid w:val="00060CC6"/>
    <w:rsid w:val="00060E77"/>
    <w:rsid w:val="0006102B"/>
    <w:rsid w:val="000610B7"/>
    <w:rsid w:val="000611FB"/>
    <w:rsid w:val="000611FD"/>
    <w:rsid w:val="0006122F"/>
    <w:rsid w:val="000612C2"/>
    <w:rsid w:val="000612E3"/>
    <w:rsid w:val="0006185C"/>
    <w:rsid w:val="000618DB"/>
    <w:rsid w:val="00061B49"/>
    <w:rsid w:val="00061C34"/>
    <w:rsid w:val="00061DF3"/>
    <w:rsid w:val="00061F8D"/>
    <w:rsid w:val="00062000"/>
    <w:rsid w:val="00062025"/>
    <w:rsid w:val="000621B6"/>
    <w:rsid w:val="000621E9"/>
    <w:rsid w:val="00062268"/>
    <w:rsid w:val="000622C2"/>
    <w:rsid w:val="000622D9"/>
    <w:rsid w:val="00062444"/>
    <w:rsid w:val="000624D9"/>
    <w:rsid w:val="00062607"/>
    <w:rsid w:val="0006276C"/>
    <w:rsid w:val="000629A4"/>
    <w:rsid w:val="00062ADA"/>
    <w:rsid w:val="00062B01"/>
    <w:rsid w:val="00062B55"/>
    <w:rsid w:val="00062C07"/>
    <w:rsid w:val="00062DA7"/>
    <w:rsid w:val="00062F4A"/>
    <w:rsid w:val="00062F7B"/>
    <w:rsid w:val="0006302F"/>
    <w:rsid w:val="00063034"/>
    <w:rsid w:val="00063037"/>
    <w:rsid w:val="00063213"/>
    <w:rsid w:val="000635A9"/>
    <w:rsid w:val="0006395B"/>
    <w:rsid w:val="0006399E"/>
    <w:rsid w:val="00063B08"/>
    <w:rsid w:val="00063B22"/>
    <w:rsid w:val="00063E9A"/>
    <w:rsid w:val="00064075"/>
    <w:rsid w:val="000640A7"/>
    <w:rsid w:val="000641BD"/>
    <w:rsid w:val="0006428A"/>
    <w:rsid w:val="000643DF"/>
    <w:rsid w:val="00064405"/>
    <w:rsid w:val="00064555"/>
    <w:rsid w:val="0006456D"/>
    <w:rsid w:val="000645B4"/>
    <w:rsid w:val="000645DB"/>
    <w:rsid w:val="00064604"/>
    <w:rsid w:val="00064620"/>
    <w:rsid w:val="000646EB"/>
    <w:rsid w:val="00064755"/>
    <w:rsid w:val="000647F3"/>
    <w:rsid w:val="00064821"/>
    <w:rsid w:val="0006483D"/>
    <w:rsid w:val="00064AFF"/>
    <w:rsid w:val="00064D83"/>
    <w:rsid w:val="00064DE8"/>
    <w:rsid w:val="00064E26"/>
    <w:rsid w:val="00064EFC"/>
    <w:rsid w:val="00064F55"/>
    <w:rsid w:val="00064FB4"/>
    <w:rsid w:val="00065046"/>
    <w:rsid w:val="00065107"/>
    <w:rsid w:val="0006514F"/>
    <w:rsid w:val="000652A9"/>
    <w:rsid w:val="00065411"/>
    <w:rsid w:val="00065515"/>
    <w:rsid w:val="00065543"/>
    <w:rsid w:val="00065552"/>
    <w:rsid w:val="000656A7"/>
    <w:rsid w:val="000656CF"/>
    <w:rsid w:val="00065754"/>
    <w:rsid w:val="000657BA"/>
    <w:rsid w:val="000659C9"/>
    <w:rsid w:val="00065B8A"/>
    <w:rsid w:val="00065C0D"/>
    <w:rsid w:val="00065C74"/>
    <w:rsid w:val="00065D60"/>
    <w:rsid w:val="00065F36"/>
    <w:rsid w:val="00065F82"/>
    <w:rsid w:val="00065FCE"/>
    <w:rsid w:val="0006607E"/>
    <w:rsid w:val="000661D9"/>
    <w:rsid w:val="000665B2"/>
    <w:rsid w:val="00066706"/>
    <w:rsid w:val="000668B6"/>
    <w:rsid w:val="000668C7"/>
    <w:rsid w:val="000669F6"/>
    <w:rsid w:val="00066A37"/>
    <w:rsid w:val="00066A55"/>
    <w:rsid w:val="00066A7F"/>
    <w:rsid w:val="00066F62"/>
    <w:rsid w:val="00067018"/>
    <w:rsid w:val="00067092"/>
    <w:rsid w:val="000672A7"/>
    <w:rsid w:val="00067719"/>
    <w:rsid w:val="0006783D"/>
    <w:rsid w:val="00067988"/>
    <w:rsid w:val="000679FD"/>
    <w:rsid w:val="00067A36"/>
    <w:rsid w:val="00067C68"/>
    <w:rsid w:val="00067CB7"/>
    <w:rsid w:val="00070034"/>
    <w:rsid w:val="0007005D"/>
    <w:rsid w:val="000700D5"/>
    <w:rsid w:val="000701CC"/>
    <w:rsid w:val="00070221"/>
    <w:rsid w:val="00070288"/>
    <w:rsid w:val="0007028B"/>
    <w:rsid w:val="0007044B"/>
    <w:rsid w:val="00070465"/>
    <w:rsid w:val="00070499"/>
    <w:rsid w:val="0007052A"/>
    <w:rsid w:val="0007054F"/>
    <w:rsid w:val="000707CF"/>
    <w:rsid w:val="00070BBB"/>
    <w:rsid w:val="00070BC5"/>
    <w:rsid w:val="00070EC8"/>
    <w:rsid w:val="00071030"/>
    <w:rsid w:val="00071116"/>
    <w:rsid w:val="000712C1"/>
    <w:rsid w:val="00071347"/>
    <w:rsid w:val="0007138D"/>
    <w:rsid w:val="00071466"/>
    <w:rsid w:val="0007147F"/>
    <w:rsid w:val="00071532"/>
    <w:rsid w:val="00071925"/>
    <w:rsid w:val="00071BA0"/>
    <w:rsid w:val="00071BAE"/>
    <w:rsid w:val="00071C77"/>
    <w:rsid w:val="00071C7C"/>
    <w:rsid w:val="00071F21"/>
    <w:rsid w:val="00071F61"/>
    <w:rsid w:val="0007203D"/>
    <w:rsid w:val="0007205D"/>
    <w:rsid w:val="00072163"/>
    <w:rsid w:val="00072169"/>
    <w:rsid w:val="00072306"/>
    <w:rsid w:val="000723D8"/>
    <w:rsid w:val="000723E4"/>
    <w:rsid w:val="000724BC"/>
    <w:rsid w:val="00072537"/>
    <w:rsid w:val="000725D0"/>
    <w:rsid w:val="00072944"/>
    <w:rsid w:val="00072B34"/>
    <w:rsid w:val="00072B61"/>
    <w:rsid w:val="00072BDA"/>
    <w:rsid w:val="00072D75"/>
    <w:rsid w:val="00072E14"/>
    <w:rsid w:val="000733E0"/>
    <w:rsid w:val="0007352C"/>
    <w:rsid w:val="00073A5D"/>
    <w:rsid w:val="00073AA1"/>
    <w:rsid w:val="00073AA6"/>
    <w:rsid w:val="00073AC8"/>
    <w:rsid w:val="00073B0D"/>
    <w:rsid w:val="00073C00"/>
    <w:rsid w:val="00073C20"/>
    <w:rsid w:val="00073D52"/>
    <w:rsid w:val="00073E0D"/>
    <w:rsid w:val="00073E98"/>
    <w:rsid w:val="00073EA0"/>
    <w:rsid w:val="00073F6F"/>
    <w:rsid w:val="00074106"/>
    <w:rsid w:val="00074182"/>
    <w:rsid w:val="00074205"/>
    <w:rsid w:val="00074212"/>
    <w:rsid w:val="0007423D"/>
    <w:rsid w:val="00074368"/>
    <w:rsid w:val="0007457A"/>
    <w:rsid w:val="000746BE"/>
    <w:rsid w:val="00074825"/>
    <w:rsid w:val="000748E7"/>
    <w:rsid w:val="000748F2"/>
    <w:rsid w:val="00074952"/>
    <w:rsid w:val="00074A14"/>
    <w:rsid w:val="00074AFF"/>
    <w:rsid w:val="00074B18"/>
    <w:rsid w:val="00074C42"/>
    <w:rsid w:val="00074C5E"/>
    <w:rsid w:val="00074CA5"/>
    <w:rsid w:val="00074CFF"/>
    <w:rsid w:val="00074E0A"/>
    <w:rsid w:val="00074FBC"/>
    <w:rsid w:val="00075064"/>
    <w:rsid w:val="000750D9"/>
    <w:rsid w:val="00075131"/>
    <w:rsid w:val="0007527C"/>
    <w:rsid w:val="0007536E"/>
    <w:rsid w:val="0007540F"/>
    <w:rsid w:val="00075434"/>
    <w:rsid w:val="000755DC"/>
    <w:rsid w:val="00075732"/>
    <w:rsid w:val="00075956"/>
    <w:rsid w:val="00075974"/>
    <w:rsid w:val="00075B4F"/>
    <w:rsid w:val="00075C51"/>
    <w:rsid w:val="00075D87"/>
    <w:rsid w:val="00075EC1"/>
    <w:rsid w:val="00076091"/>
    <w:rsid w:val="0007616B"/>
    <w:rsid w:val="000762F4"/>
    <w:rsid w:val="0007638B"/>
    <w:rsid w:val="00076420"/>
    <w:rsid w:val="00076451"/>
    <w:rsid w:val="00076582"/>
    <w:rsid w:val="000765E7"/>
    <w:rsid w:val="00076772"/>
    <w:rsid w:val="00076874"/>
    <w:rsid w:val="00076AD1"/>
    <w:rsid w:val="00076B1D"/>
    <w:rsid w:val="00076C0D"/>
    <w:rsid w:val="00076DC9"/>
    <w:rsid w:val="00076E5C"/>
    <w:rsid w:val="00076E89"/>
    <w:rsid w:val="0007748B"/>
    <w:rsid w:val="0007748E"/>
    <w:rsid w:val="000774E6"/>
    <w:rsid w:val="000775B5"/>
    <w:rsid w:val="000776B7"/>
    <w:rsid w:val="00077700"/>
    <w:rsid w:val="000777E2"/>
    <w:rsid w:val="000778C8"/>
    <w:rsid w:val="00077D28"/>
    <w:rsid w:val="00077E99"/>
    <w:rsid w:val="00077F7B"/>
    <w:rsid w:val="00080131"/>
    <w:rsid w:val="0008016C"/>
    <w:rsid w:val="00080187"/>
    <w:rsid w:val="0008039F"/>
    <w:rsid w:val="000803CA"/>
    <w:rsid w:val="00080469"/>
    <w:rsid w:val="00080611"/>
    <w:rsid w:val="00080750"/>
    <w:rsid w:val="000807CF"/>
    <w:rsid w:val="0008083C"/>
    <w:rsid w:val="000808FF"/>
    <w:rsid w:val="00080A5A"/>
    <w:rsid w:val="00080B39"/>
    <w:rsid w:val="00080B6E"/>
    <w:rsid w:val="00080BBE"/>
    <w:rsid w:val="00080DFA"/>
    <w:rsid w:val="00080EFB"/>
    <w:rsid w:val="000811A3"/>
    <w:rsid w:val="000811D9"/>
    <w:rsid w:val="000814BA"/>
    <w:rsid w:val="00081546"/>
    <w:rsid w:val="00081935"/>
    <w:rsid w:val="0008195C"/>
    <w:rsid w:val="00081A23"/>
    <w:rsid w:val="00081A4A"/>
    <w:rsid w:val="00082086"/>
    <w:rsid w:val="00082240"/>
    <w:rsid w:val="0008224D"/>
    <w:rsid w:val="00082445"/>
    <w:rsid w:val="0008256F"/>
    <w:rsid w:val="000825EC"/>
    <w:rsid w:val="000826A4"/>
    <w:rsid w:val="00082784"/>
    <w:rsid w:val="00082A4D"/>
    <w:rsid w:val="00082FEE"/>
    <w:rsid w:val="00083021"/>
    <w:rsid w:val="000830DF"/>
    <w:rsid w:val="0008332A"/>
    <w:rsid w:val="00083430"/>
    <w:rsid w:val="0008349B"/>
    <w:rsid w:val="000834FD"/>
    <w:rsid w:val="0008352F"/>
    <w:rsid w:val="00083554"/>
    <w:rsid w:val="0008372D"/>
    <w:rsid w:val="000838CC"/>
    <w:rsid w:val="000839AC"/>
    <w:rsid w:val="00083C84"/>
    <w:rsid w:val="00083D47"/>
    <w:rsid w:val="00083E72"/>
    <w:rsid w:val="00083FB8"/>
    <w:rsid w:val="000844B6"/>
    <w:rsid w:val="00084695"/>
    <w:rsid w:val="000847A1"/>
    <w:rsid w:val="000847C6"/>
    <w:rsid w:val="00084810"/>
    <w:rsid w:val="00084B49"/>
    <w:rsid w:val="00084B64"/>
    <w:rsid w:val="00084D24"/>
    <w:rsid w:val="00084D64"/>
    <w:rsid w:val="00085056"/>
    <w:rsid w:val="00085065"/>
    <w:rsid w:val="000850B4"/>
    <w:rsid w:val="00085211"/>
    <w:rsid w:val="00085275"/>
    <w:rsid w:val="000852CD"/>
    <w:rsid w:val="00085406"/>
    <w:rsid w:val="00085692"/>
    <w:rsid w:val="00085894"/>
    <w:rsid w:val="00085C26"/>
    <w:rsid w:val="00085C87"/>
    <w:rsid w:val="00085C95"/>
    <w:rsid w:val="00085E1C"/>
    <w:rsid w:val="00085E4B"/>
    <w:rsid w:val="00085E55"/>
    <w:rsid w:val="00086049"/>
    <w:rsid w:val="000860BF"/>
    <w:rsid w:val="000860FF"/>
    <w:rsid w:val="00086112"/>
    <w:rsid w:val="000862CE"/>
    <w:rsid w:val="0008631B"/>
    <w:rsid w:val="0008649B"/>
    <w:rsid w:val="0008652C"/>
    <w:rsid w:val="000865E6"/>
    <w:rsid w:val="0008676F"/>
    <w:rsid w:val="00086818"/>
    <w:rsid w:val="00086856"/>
    <w:rsid w:val="00086931"/>
    <w:rsid w:val="00086968"/>
    <w:rsid w:val="00086A6F"/>
    <w:rsid w:val="00086AF2"/>
    <w:rsid w:val="00086C46"/>
    <w:rsid w:val="00086DC4"/>
    <w:rsid w:val="00087067"/>
    <w:rsid w:val="000870A4"/>
    <w:rsid w:val="000871C4"/>
    <w:rsid w:val="00087451"/>
    <w:rsid w:val="000874BB"/>
    <w:rsid w:val="00087557"/>
    <w:rsid w:val="0008765A"/>
    <w:rsid w:val="000876D0"/>
    <w:rsid w:val="000876E4"/>
    <w:rsid w:val="00087A8D"/>
    <w:rsid w:val="00087AE8"/>
    <w:rsid w:val="00087C0A"/>
    <w:rsid w:val="00087C1D"/>
    <w:rsid w:val="00087E74"/>
    <w:rsid w:val="00087F3A"/>
    <w:rsid w:val="00090181"/>
    <w:rsid w:val="0009019C"/>
    <w:rsid w:val="0009025D"/>
    <w:rsid w:val="0009027B"/>
    <w:rsid w:val="00090437"/>
    <w:rsid w:val="000904A2"/>
    <w:rsid w:val="000905FA"/>
    <w:rsid w:val="00090623"/>
    <w:rsid w:val="000906EC"/>
    <w:rsid w:val="000908A4"/>
    <w:rsid w:val="000909BF"/>
    <w:rsid w:val="00090A53"/>
    <w:rsid w:val="00090B3C"/>
    <w:rsid w:val="00090BDF"/>
    <w:rsid w:val="00090C12"/>
    <w:rsid w:val="00090DE3"/>
    <w:rsid w:val="00090E0C"/>
    <w:rsid w:val="00091662"/>
    <w:rsid w:val="000918C8"/>
    <w:rsid w:val="000918EB"/>
    <w:rsid w:val="00091958"/>
    <w:rsid w:val="000919A5"/>
    <w:rsid w:val="00091ABE"/>
    <w:rsid w:val="00091B04"/>
    <w:rsid w:val="00091B18"/>
    <w:rsid w:val="00091BCD"/>
    <w:rsid w:val="00091DBE"/>
    <w:rsid w:val="00091DD4"/>
    <w:rsid w:val="00091EF2"/>
    <w:rsid w:val="0009222B"/>
    <w:rsid w:val="0009232B"/>
    <w:rsid w:val="00092336"/>
    <w:rsid w:val="000923A2"/>
    <w:rsid w:val="0009264E"/>
    <w:rsid w:val="0009265A"/>
    <w:rsid w:val="000928B3"/>
    <w:rsid w:val="000928EF"/>
    <w:rsid w:val="000929EF"/>
    <w:rsid w:val="00092A06"/>
    <w:rsid w:val="000930CD"/>
    <w:rsid w:val="00093188"/>
    <w:rsid w:val="000931FC"/>
    <w:rsid w:val="0009340D"/>
    <w:rsid w:val="0009348D"/>
    <w:rsid w:val="000938ED"/>
    <w:rsid w:val="00093AAD"/>
    <w:rsid w:val="00093AD0"/>
    <w:rsid w:val="00093B3D"/>
    <w:rsid w:val="00093B5C"/>
    <w:rsid w:val="00093BA4"/>
    <w:rsid w:val="00093C07"/>
    <w:rsid w:val="00093DEA"/>
    <w:rsid w:val="00093E54"/>
    <w:rsid w:val="00094054"/>
    <w:rsid w:val="0009427A"/>
    <w:rsid w:val="000943B9"/>
    <w:rsid w:val="00094405"/>
    <w:rsid w:val="000944E4"/>
    <w:rsid w:val="00094738"/>
    <w:rsid w:val="000947DD"/>
    <w:rsid w:val="0009496E"/>
    <w:rsid w:val="0009498B"/>
    <w:rsid w:val="00094AC1"/>
    <w:rsid w:val="00094CF1"/>
    <w:rsid w:val="00094D79"/>
    <w:rsid w:val="00094DF7"/>
    <w:rsid w:val="00094E0F"/>
    <w:rsid w:val="00094F17"/>
    <w:rsid w:val="000950AA"/>
    <w:rsid w:val="0009517E"/>
    <w:rsid w:val="00095307"/>
    <w:rsid w:val="0009536F"/>
    <w:rsid w:val="000953E4"/>
    <w:rsid w:val="000954B7"/>
    <w:rsid w:val="00095686"/>
    <w:rsid w:val="000957A4"/>
    <w:rsid w:val="000957C0"/>
    <w:rsid w:val="0009582E"/>
    <w:rsid w:val="00095AF6"/>
    <w:rsid w:val="00095BF3"/>
    <w:rsid w:val="00095C4D"/>
    <w:rsid w:val="00095D57"/>
    <w:rsid w:val="00095E77"/>
    <w:rsid w:val="00095F31"/>
    <w:rsid w:val="00096019"/>
    <w:rsid w:val="0009603B"/>
    <w:rsid w:val="00096290"/>
    <w:rsid w:val="00096310"/>
    <w:rsid w:val="000963D7"/>
    <w:rsid w:val="000964F5"/>
    <w:rsid w:val="0009651D"/>
    <w:rsid w:val="00096537"/>
    <w:rsid w:val="00096645"/>
    <w:rsid w:val="0009666B"/>
    <w:rsid w:val="0009680A"/>
    <w:rsid w:val="0009681E"/>
    <w:rsid w:val="00096897"/>
    <w:rsid w:val="00096935"/>
    <w:rsid w:val="0009695F"/>
    <w:rsid w:val="00096A89"/>
    <w:rsid w:val="00096BA1"/>
    <w:rsid w:val="00096BCE"/>
    <w:rsid w:val="00096E70"/>
    <w:rsid w:val="00096ED0"/>
    <w:rsid w:val="00096FE4"/>
    <w:rsid w:val="00097081"/>
    <w:rsid w:val="00097104"/>
    <w:rsid w:val="0009717C"/>
    <w:rsid w:val="00097248"/>
    <w:rsid w:val="0009725F"/>
    <w:rsid w:val="00097320"/>
    <w:rsid w:val="000973CE"/>
    <w:rsid w:val="00097568"/>
    <w:rsid w:val="00097600"/>
    <w:rsid w:val="00097604"/>
    <w:rsid w:val="000979BE"/>
    <w:rsid w:val="00097A31"/>
    <w:rsid w:val="00097B0D"/>
    <w:rsid w:val="00097B84"/>
    <w:rsid w:val="00097E6E"/>
    <w:rsid w:val="000A01F2"/>
    <w:rsid w:val="000A0289"/>
    <w:rsid w:val="000A02CE"/>
    <w:rsid w:val="000A050D"/>
    <w:rsid w:val="000A0573"/>
    <w:rsid w:val="000A05DC"/>
    <w:rsid w:val="000A05FE"/>
    <w:rsid w:val="000A0654"/>
    <w:rsid w:val="000A07C5"/>
    <w:rsid w:val="000A0842"/>
    <w:rsid w:val="000A08CA"/>
    <w:rsid w:val="000A08FA"/>
    <w:rsid w:val="000A0AC2"/>
    <w:rsid w:val="000A0B04"/>
    <w:rsid w:val="000A0BA3"/>
    <w:rsid w:val="000A0BBF"/>
    <w:rsid w:val="000A0BC3"/>
    <w:rsid w:val="000A0BCE"/>
    <w:rsid w:val="000A0D76"/>
    <w:rsid w:val="000A0DF5"/>
    <w:rsid w:val="000A0E4C"/>
    <w:rsid w:val="000A0FB2"/>
    <w:rsid w:val="000A102E"/>
    <w:rsid w:val="000A111C"/>
    <w:rsid w:val="000A12EA"/>
    <w:rsid w:val="000A13E9"/>
    <w:rsid w:val="000A15D9"/>
    <w:rsid w:val="000A1659"/>
    <w:rsid w:val="000A1687"/>
    <w:rsid w:val="000A17E5"/>
    <w:rsid w:val="000A1826"/>
    <w:rsid w:val="000A19F8"/>
    <w:rsid w:val="000A1DE0"/>
    <w:rsid w:val="000A1EDB"/>
    <w:rsid w:val="000A2001"/>
    <w:rsid w:val="000A20D5"/>
    <w:rsid w:val="000A241D"/>
    <w:rsid w:val="000A251C"/>
    <w:rsid w:val="000A26F2"/>
    <w:rsid w:val="000A276A"/>
    <w:rsid w:val="000A282F"/>
    <w:rsid w:val="000A2B98"/>
    <w:rsid w:val="000A2BC5"/>
    <w:rsid w:val="000A2BE6"/>
    <w:rsid w:val="000A2D87"/>
    <w:rsid w:val="000A2EF1"/>
    <w:rsid w:val="000A2F2A"/>
    <w:rsid w:val="000A2F31"/>
    <w:rsid w:val="000A30ED"/>
    <w:rsid w:val="000A3395"/>
    <w:rsid w:val="000A350C"/>
    <w:rsid w:val="000A3566"/>
    <w:rsid w:val="000A3598"/>
    <w:rsid w:val="000A3732"/>
    <w:rsid w:val="000A3806"/>
    <w:rsid w:val="000A3BD0"/>
    <w:rsid w:val="000A3D62"/>
    <w:rsid w:val="000A3DAD"/>
    <w:rsid w:val="000A4097"/>
    <w:rsid w:val="000A40DA"/>
    <w:rsid w:val="000A4282"/>
    <w:rsid w:val="000A42CB"/>
    <w:rsid w:val="000A42E7"/>
    <w:rsid w:val="000A4351"/>
    <w:rsid w:val="000A43B3"/>
    <w:rsid w:val="000A43DB"/>
    <w:rsid w:val="000A45BD"/>
    <w:rsid w:val="000A45F2"/>
    <w:rsid w:val="000A4747"/>
    <w:rsid w:val="000A478B"/>
    <w:rsid w:val="000A484B"/>
    <w:rsid w:val="000A48FD"/>
    <w:rsid w:val="000A4962"/>
    <w:rsid w:val="000A4A45"/>
    <w:rsid w:val="000A4B27"/>
    <w:rsid w:val="000A4B38"/>
    <w:rsid w:val="000A4EC0"/>
    <w:rsid w:val="000A4EE3"/>
    <w:rsid w:val="000A4FB1"/>
    <w:rsid w:val="000A50D4"/>
    <w:rsid w:val="000A5115"/>
    <w:rsid w:val="000A5155"/>
    <w:rsid w:val="000A5276"/>
    <w:rsid w:val="000A52C9"/>
    <w:rsid w:val="000A52CB"/>
    <w:rsid w:val="000A552F"/>
    <w:rsid w:val="000A57D7"/>
    <w:rsid w:val="000A57FD"/>
    <w:rsid w:val="000A586A"/>
    <w:rsid w:val="000A5A32"/>
    <w:rsid w:val="000A5A3C"/>
    <w:rsid w:val="000A5BF2"/>
    <w:rsid w:val="000A5BF6"/>
    <w:rsid w:val="000A5CA0"/>
    <w:rsid w:val="000A5CE7"/>
    <w:rsid w:val="000A5D14"/>
    <w:rsid w:val="000A629C"/>
    <w:rsid w:val="000A632C"/>
    <w:rsid w:val="000A6512"/>
    <w:rsid w:val="000A6549"/>
    <w:rsid w:val="000A65FD"/>
    <w:rsid w:val="000A6619"/>
    <w:rsid w:val="000A66E3"/>
    <w:rsid w:val="000A6895"/>
    <w:rsid w:val="000A6959"/>
    <w:rsid w:val="000A6AF5"/>
    <w:rsid w:val="000A6B2A"/>
    <w:rsid w:val="000A6CCC"/>
    <w:rsid w:val="000A6D2C"/>
    <w:rsid w:val="000A6EF8"/>
    <w:rsid w:val="000A6F64"/>
    <w:rsid w:val="000A7011"/>
    <w:rsid w:val="000A70E1"/>
    <w:rsid w:val="000A7169"/>
    <w:rsid w:val="000A73ED"/>
    <w:rsid w:val="000A7465"/>
    <w:rsid w:val="000A7608"/>
    <w:rsid w:val="000A78E6"/>
    <w:rsid w:val="000A7912"/>
    <w:rsid w:val="000A794F"/>
    <w:rsid w:val="000A7980"/>
    <w:rsid w:val="000A7A3C"/>
    <w:rsid w:val="000A7C4E"/>
    <w:rsid w:val="000A7F56"/>
    <w:rsid w:val="000B021E"/>
    <w:rsid w:val="000B027B"/>
    <w:rsid w:val="000B02F5"/>
    <w:rsid w:val="000B0466"/>
    <w:rsid w:val="000B0760"/>
    <w:rsid w:val="000B0939"/>
    <w:rsid w:val="000B0A6B"/>
    <w:rsid w:val="000B0D13"/>
    <w:rsid w:val="000B0DE3"/>
    <w:rsid w:val="000B1017"/>
    <w:rsid w:val="000B110C"/>
    <w:rsid w:val="000B114B"/>
    <w:rsid w:val="000B1158"/>
    <w:rsid w:val="000B1247"/>
    <w:rsid w:val="000B1358"/>
    <w:rsid w:val="000B138F"/>
    <w:rsid w:val="000B13AA"/>
    <w:rsid w:val="000B13BD"/>
    <w:rsid w:val="000B1555"/>
    <w:rsid w:val="000B193D"/>
    <w:rsid w:val="000B199C"/>
    <w:rsid w:val="000B1A51"/>
    <w:rsid w:val="000B1BB4"/>
    <w:rsid w:val="000B1D1F"/>
    <w:rsid w:val="000B1E09"/>
    <w:rsid w:val="000B1E1D"/>
    <w:rsid w:val="000B1F1B"/>
    <w:rsid w:val="000B1FB1"/>
    <w:rsid w:val="000B1FCF"/>
    <w:rsid w:val="000B1FE8"/>
    <w:rsid w:val="000B2241"/>
    <w:rsid w:val="000B2414"/>
    <w:rsid w:val="000B2804"/>
    <w:rsid w:val="000B2999"/>
    <w:rsid w:val="000B29C4"/>
    <w:rsid w:val="000B29E3"/>
    <w:rsid w:val="000B2C64"/>
    <w:rsid w:val="000B2D01"/>
    <w:rsid w:val="000B2D2A"/>
    <w:rsid w:val="000B2DFC"/>
    <w:rsid w:val="000B2ED9"/>
    <w:rsid w:val="000B2FFD"/>
    <w:rsid w:val="000B30C0"/>
    <w:rsid w:val="000B30D5"/>
    <w:rsid w:val="000B314C"/>
    <w:rsid w:val="000B31E0"/>
    <w:rsid w:val="000B31FC"/>
    <w:rsid w:val="000B3601"/>
    <w:rsid w:val="000B369B"/>
    <w:rsid w:val="000B36C7"/>
    <w:rsid w:val="000B37D9"/>
    <w:rsid w:val="000B382E"/>
    <w:rsid w:val="000B3857"/>
    <w:rsid w:val="000B3872"/>
    <w:rsid w:val="000B3A7D"/>
    <w:rsid w:val="000B3EF3"/>
    <w:rsid w:val="000B4099"/>
    <w:rsid w:val="000B42D3"/>
    <w:rsid w:val="000B43A2"/>
    <w:rsid w:val="000B44A5"/>
    <w:rsid w:val="000B4575"/>
    <w:rsid w:val="000B463F"/>
    <w:rsid w:val="000B49A8"/>
    <w:rsid w:val="000B4A4E"/>
    <w:rsid w:val="000B4C01"/>
    <w:rsid w:val="000B4C62"/>
    <w:rsid w:val="000B4D27"/>
    <w:rsid w:val="000B4E3F"/>
    <w:rsid w:val="000B4F66"/>
    <w:rsid w:val="000B4F70"/>
    <w:rsid w:val="000B4FBF"/>
    <w:rsid w:val="000B4FD0"/>
    <w:rsid w:val="000B5029"/>
    <w:rsid w:val="000B503A"/>
    <w:rsid w:val="000B5371"/>
    <w:rsid w:val="000B5380"/>
    <w:rsid w:val="000B5409"/>
    <w:rsid w:val="000B5435"/>
    <w:rsid w:val="000B5532"/>
    <w:rsid w:val="000B5933"/>
    <w:rsid w:val="000B59C8"/>
    <w:rsid w:val="000B5AFF"/>
    <w:rsid w:val="000B5CC4"/>
    <w:rsid w:val="000B5E5B"/>
    <w:rsid w:val="000B5FCD"/>
    <w:rsid w:val="000B608B"/>
    <w:rsid w:val="000B60A4"/>
    <w:rsid w:val="000B65A3"/>
    <w:rsid w:val="000B675E"/>
    <w:rsid w:val="000B678D"/>
    <w:rsid w:val="000B67C8"/>
    <w:rsid w:val="000B68BF"/>
    <w:rsid w:val="000B6996"/>
    <w:rsid w:val="000B6CB7"/>
    <w:rsid w:val="000B6D6C"/>
    <w:rsid w:val="000B6DC1"/>
    <w:rsid w:val="000B6E9A"/>
    <w:rsid w:val="000B6F02"/>
    <w:rsid w:val="000B6F69"/>
    <w:rsid w:val="000B6F94"/>
    <w:rsid w:val="000B6FC2"/>
    <w:rsid w:val="000B7243"/>
    <w:rsid w:val="000B7385"/>
    <w:rsid w:val="000B73ED"/>
    <w:rsid w:val="000B7435"/>
    <w:rsid w:val="000B7461"/>
    <w:rsid w:val="000B757D"/>
    <w:rsid w:val="000B7584"/>
    <w:rsid w:val="000B7734"/>
    <w:rsid w:val="000B7748"/>
    <w:rsid w:val="000B7934"/>
    <w:rsid w:val="000B7A04"/>
    <w:rsid w:val="000B7ABA"/>
    <w:rsid w:val="000B7B54"/>
    <w:rsid w:val="000B7D37"/>
    <w:rsid w:val="000B7EF8"/>
    <w:rsid w:val="000B7F46"/>
    <w:rsid w:val="000C007F"/>
    <w:rsid w:val="000C00AC"/>
    <w:rsid w:val="000C0113"/>
    <w:rsid w:val="000C0131"/>
    <w:rsid w:val="000C014C"/>
    <w:rsid w:val="000C0247"/>
    <w:rsid w:val="000C02FC"/>
    <w:rsid w:val="000C0371"/>
    <w:rsid w:val="000C0403"/>
    <w:rsid w:val="000C04B5"/>
    <w:rsid w:val="000C06C5"/>
    <w:rsid w:val="000C06D0"/>
    <w:rsid w:val="000C081F"/>
    <w:rsid w:val="000C08C1"/>
    <w:rsid w:val="000C0A3C"/>
    <w:rsid w:val="000C0B94"/>
    <w:rsid w:val="000C0C3C"/>
    <w:rsid w:val="000C0C66"/>
    <w:rsid w:val="000C0D8D"/>
    <w:rsid w:val="000C10AE"/>
    <w:rsid w:val="000C12C6"/>
    <w:rsid w:val="000C14C1"/>
    <w:rsid w:val="000C14D1"/>
    <w:rsid w:val="000C15B5"/>
    <w:rsid w:val="000C16AF"/>
    <w:rsid w:val="000C1791"/>
    <w:rsid w:val="000C1829"/>
    <w:rsid w:val="000C1872"/>
    <w:rsid w:val="000C1C1E"/>
    <w:rsid w:val="000C1DA8"/>
    <w:rsid w:val="000C1E58"/>
    <w:rsid w:val="000C1EC3"/>
    <w:rsid w:val="000C1F58"/>
    <w:rsid w:val="000C1FED"/>
    <w:rsid w:val="000C224E"/>
    <w:rsid w:val="000C233E"/>
    <w:rsid w:val="000C2377"/>
    <w:rsid w:val="000C2415"/>
    <w:rsid w:val="000C243E"/>
    <w:rsid w:val="000C26F7"/>
    <w:rsid w:val="000C271F"/>
    <w:rsid w:val="000C2741"/>
    <w:rsid w:val="000C277D"/>
    <w:rsid w:val="000C2811"/>
    <w:rsid w:val="000C281A"/>
    <w:rsid w:val="000C290C"/>
    <w:rsid w:val="000C297F"/>
    <w:rsid w:val="000C2C7E"/>
    <w:rsid w:val="000C2CA2"/>
    <w:rsid w:val="000C2DB7"/>
    <w:rsid w:val="000C2E43"/>
    <w:rsid w:val="000C2E4C"/>
    <w:rsid w:val="000C2EB4"/>
    <w:rsid w:val="000C3147"/>
    <w:rsid w:val="000C3149"/>
    <w:rsid w:val="000C31A8"/>
    <w:rsid w:val="000C31CA"/>
    <w:rsid w:val="000C353A"/>
    <w:rsid w:val="000C3662"/>
    <w:rsid w:val="000C36B8"/>
    <w:rsid w:val="000C3B66"/>
    <w:rsid w:val="000C3C23"/>
    <w:rsid w:val="000C3D48"/>
    <w:rsid w:val="000C3DA2"/>
    <w:rsid w:val="000C3EBA"/>
    <w:rsid w:val="000C4168"/>
    <w:rsid w:val="000C4322"/>
    <w:rsid w:val="000C47AD"/>
    <w:rsid w:val="000C486D"/>
    <w:rsid w:val="000C4937"/>
    <w:rsid w:val="000C4B42"/>
    <w:rsid w:val="000C4C93"/>
    <w:rsid w:val="000C4E8E"/>
    <w:rsid w:val="000C51DB"/>
    <w:rsid w:val="000C521E"/>
    <w:rsid w:val="000C5502"/>
    <w:rsid w:val="000C55D8"/>
    <w:rsid w:val="000C5675"/>
    <w:rsid w:val="000C567F"/>
    <w:rsid w:val="000C56EA"/>
    <w:rsid w:val="000C570D"/>
    <w:rsid w:val="000C59B3"/>
    <w:rsid w:val="000C5C8E"/>
    <w:rsid w:val="000C5CAB"/>
    <w:rsid w:val="000C5E57"/>
    <w:rsid w:val="000C5E93"/>
    <w:rsid w:val="000C5F42"/>
    <w:rsid w:val="000C6181"/>
    <w:rsid w:val="000C6184"/>
    <w:rsid w:val="000C6361"/>
    <w:rsid w:val="000C649F"/>
    <w:rsid w:val="000C64C3"/>
    <w:rsid w:val="000C695D"/>
    <w:rsid w:val="000C6CC2"/>
    <w:rsid w:val="000C6FA7"/>
    <w:rsid w:val="000C7260"/>
    <w:rsid w:val="000C7274"/>
    <w:rsid w:val="000C7293"/>
    <w:rsid w:val="000C739E"/>
    <w:rsid w:val="000C759C"/>
    <w:rsid w:val="000C7874"/>
    <w:rsid w:val="000C790A"/>
    <w:rsid w:val="000C799E"/>
    <w:rsid w:val="000C79C0"/>
    <w:rsid w:val="000C7ABD"/>
    <w:rsid w:val="000C7B74"/>
    <w:rsid w:val="000C7BF5"/>
    <w:rsid w:val="000C7CBE"/>
    <w:rsid w:val="000C7E40"/>
    <w:rsid w:val="000C7E4F"/>
    <w:rsid w:val="000D0155"/>
    <w:rsid w:val="000D01ED"/>
    <w:rsid w:val="000D039F"/>
    <w:rsid w:val="000D0502"/>
    <w:rsid w:val="000D0553"/>
    <w:rsid w:val="000D05F6"/>
    <w:rsid w:val="000D06B8"/>
    <w:rsid w:val="000D06D7"/>
    <w:rsid w:val="000D0749"/>
    <w:rsid w:val="000D08DC"/>
    <w:rsid w:val="000D0987"/>
    <w:rsid w:val="000D098E"/>
    <w:rsid w:val="000D09E2"/>
    <w:rsid w:val="000D0A45"/>
    <w:rsid w:val="000D0A83"/>
    <w:rsid w:val="000D0A91"/>
    <w:rsid w:val="000D0AEE"/>
    <w:rsid w:val="000D0CF7"/>
    <w:rsid w:val="000D0DEB"/>
    <w:rsid w:val="000D0F4A"/>
    <w:rsid w:val="000D0F8C"/>
    <w:rsid w:val="000D0FD4"/>
    <w:rsid w:val="000D1051"/>
    <w:rsid w:val="000D10CD"/>
    <w:rsid w:val="000D1102"/>
    <w:rsid w:val="000D12A5"/>
    <w:rsid w:val="000D1366"/>
    <w:rsid w:val="000D1454"/>
    <w:rsid w:val="000D1592"/>
    <w:rsid w:val="000D16A2"/>
    <w:rsid w:val="000D1703"/>
    <w:rsid w:val="000D1923"/>
    <w:rsid w:val="000D1AE4"/>
    <w:rsid w:val="000D1B6B"/>
    <w:rsid w:val="000D1BE5"/>
    <w:rsid w:val="000D1EA8"/>
    <w:rsid w:val="000D1EEC"/>
    <w:rsid w:val="000D1F35"/>
    <w:rsid w:val="000D2016"/>
    <w:rsid w:val="000D2072"/>
    <w:rsid w:val="000D2192"/>
    <w:rsid w:val="000D232E"/>
    <w:rsid w:val="000D241D"/>
    <w:rsid w:val="000D24A3"/>
    <w:rsid w:val="000D24C6"/>
    <w:rsid w:val="000D2552"/>
    <w:rsid w:val="000D2691"/>
    <w:rsid w:val="000D26AC"/>
    <w:rsid w:val="000D2807"/>
    <w:rsid w:val="000D2847"/>
    <w:rsid w:val="000D2AA6"/>
    <w:rsid w:val="000D2B65"/>
    <w:rsid w:val="000D2D2A"/>
    <w:rsid w:val="000D308F"/>
    <w:rsid w:val="000D30D2"/>
    <w:rsid w:val="000D30EF"/>
    <w:rsid w:val="000D31F7"/>
    <w:rsid w:val="000D3263"/>
    <w:rsid w:val="000D32E3"/>
    <w:rsid w:val="000D33B1"/>
    <w:rsid w:val="000D3609"/>
    <w:rsid w:val="000D362D"/>
    <w:rsid w:val="000D3705"/>
    <w:rsid w:val="000D3859"/>
    <w:rsid w:val="000D3899"/>
    <w:rsid w:val="000D3957"/>
    <w:rsid w:val="000D3A82"/>
    <w:rsid w:val="000D3BDB"/>
    <w:rsid w:val="000D3DD6"/>
    <w:rsid w:val="000D3F13"/>
    <w:rsid w:val="000D3F8B"/>
    <w:rsid w:val="000D409D"/>
    <w:rsid w:val="000D42DF"/>
    <w:rsid w:val="000D43E0"/>
    <w:rsid w:val="000D46BF"/>
    <w:rsid w:val="000D47DA"/>
    <w:rsid w:val="000D4940"/>
    <w:rsid w:val="000D496A"/>
    <w:rsid w:val="000D49A2"/>
    <w:rsid w:val="000D4A50"/>
    <w:rsid w:val="000D4A67"/>
    <w:rsid w:val="000D51A2"/>
    <w:rsid w:val="000D5225"/>
    <w:rsid w:val="000D5286"/>
    <w:rsid w:val="000D555F"/>
    <w:rsid w:val="000D56B2"/>
    <w:rsid w:val="000D56F8"/>
    <w:rsid w:val="000D5755"/>
    <w:rsid w:val="000D5825"/>
    <w:rsid w:val="000D5D4D"/>
    <w:rsid w:val="000D5DE3"/>
    <w:rsid w:val="000D5EC5"/>
    <w:rsid w:val="000D5F3B"/>
    <w:rsid w:val="000D6085"/>
    <w:rsid w:val="000D673E"/>
    <w:rsid w:val="000D679C"/>
    <w:rsid w:val="000D6A2B"/>
    <w:rsid w:val="000D6C9C"/>
    <w:rsid w:val="000D6CB9"/>
    <w:rsid w:val="000D6D2B"/>
    <w:rsid w:val="000D6D7E"/>
    <w:rsid w:val="000D6D94"/>
    <w:rsid w:val="000D6E96"/>
    <w:rsid w:val="000D6FE7"/>
    <w:rsid w:val="000D7038"/>
    <w:rsid w:val="000D7108"/>
    <w:rsid w:val="000D7165"/>
    <w:rsid w:val="000D743C"/>
    <w:rsid w:val="000D74A0"/>
    <w:rsid w:val="000D7549"/>
    <w:rsid w:val="000D759A"/>
    <w:rsid w:val="000D784B"/>
    <w:rsid w:val="000D7941"/>
    <w:rsid w:val="000D7991"/>
    <w:rsid w:val="000D79F3"/>
    <w:rsid w:val="000D7A93"/>
    <w:rsid w:val="000D7A9D"/>
    <w:rsid w:val="000D7BAB"/>
    <w:rsid w:val="000D7BC5"/>
    <w:rsid w:val="000D7BF5"/>
    <w:rsid w:val="000D7D7E"/>
    <w:rsid w:val="000D7D88"/>
    <w:rsid w:val="000D7DF8"/>
    <w:rsid w:val="000D7E71"/>
    <w:rsid w:val="000D7F9A"/>
    <w:rsid w:val="000E00E7"/>
    <w:rsid w:val="000E0152"/>
    <w:rsid w:val="000E017F"/>
    <w:rsid w:val="000E01A5"/>
    <w:rsid w:val="000E02D8"/>
    <w:rsid w:val="000E02E2"/>
    <w:rsid w:val="000E039F"/>
    <w:rsid w:val="000E03DA"/>
    <w:rsid w:val="000E0409"/>
    <w:rsid w:val="000E055E"/>
    <w:rsid w:val="000E0668"/>
    <w:rsid w:val="000E06DA"/>
    <w:rsid w:val="000E077A"/>
    <w:rsid w:val="000E0824"/>
    <w:rsid w:val="000E093E"/>
    <w:rsid w:val="000E0A2A"/>
    <w:rsid w:val="000E0A80"/>
    <w:rsid w:val="000E0B90"/>
    <w:rsid w:val="000E0BF8"/>
    <w:rsid w:val="000E0D0A"/>
    <w:rsid w:val="000E0DB9"/>
    <w:rsid w:val="000E0DFA"/>
    <w:rsid w:val="000E0E77"/>
    <w:rsid w:val="000E0E89"/>
    <w:rsid w:val="000E116D"/>
    <w:rsid w:val="000E11AA"/>
    <w:rsid w:val="000E12BF"/>
    <w:rsid w:val="000E15AD"/>
    <w:rsid w:val="000E1841"/>
    <w:rsid w:val="000E199F"/>
    <w:rsid w:val="000E19F8"/>
    <w:rsid w:val="000E1DA5"/>
    <w:rsid w:val="000E1DEB"/>
    <w:rsid w:val="000E1E71"/>
    <w:rsid w:val="000E1F74"/>
    <w:rsid w:val="000E2065"/>
    <w:rsid w:val="000E2241"/>
    <w:rsid w:val="000E22A8"/>
    <w:rsid w:val="000E2345"/>
    <w:rsid w:val="000E23BA"/>
    <w:rsid w:val="000E240B"/>
    <w:rsid w:val="000E26CE"/>
    <w:rsid w:val="000E2776"/>
    <w:rsid w:val="000E2954"/>
    <w:rsid w:val="000E2B63"/>
    <w:rsid w:val="000E2F5F"/>
    <w:rsid w:val="000E2F8B"/>
    <w:rsid w:val="000E2F94"/>
    <w:rsid w:val="000E3106"/>
    <w:rsid w:val="000E3132"/>
    <w:rsid w:val="000E313E"/>
    <w:rsid w:val="000E3331"/>
    <w:rsid w:val="000E339A"/>
    <w:rsid w:val="000E3459"/>
    <w:rsid w:val="000E3465"/>
    <w:rsid w:val="000E3877"/>
    <w:rsid w:val="000E38BD"/>
    <w:rsid w:val="000E3A54"/>
    <w:rsid w:val="000E3AD9"/>
    <w:rsid w:val="000E3B01"/>
    <w:rsid w:val="000E3B4B"/>
    <w:rsid w:val="000E3C9E"/>
    <w:rsid w:val="000E3CFA"/>
    <w:rsid w:val="000E3DE1"/>
    <w:rsid w:val="000E3EF6"/>
    <w:rsid w:val="000E3F84"/>
    <w:rsid w:val="000E3FD3"/>
    <w:rsid w:val="000E41B0"/>
    <w:rsid w:val="000E4202"/>
    <w:rsid w:val="000E430B"/>
    <w:rsid w:val="000E4366"/>
    <w:rsid w:val="000E4748"/>
    <w:rsid w:val="000E4887"/>
    <w:rsid w:val="000E4ACC"/>
    <w:rsid w:val="000E4AE9"/>
    <w:rsid w:val="000E4B33"/>
    <w:rsid w:val="000E4C26"/>
    <w:rsid w:val="000E4D61"/>
    <w:rsid w:val="000E4E21"/>
    <w:rsid w:val="000E4E8C"/>
    <w:rsid w:val="000E51C8"/>
    <w:rsid w:val="000E531B"/>
    <w:rsid w:val="000E57E2"/>
    <w:rsid w:val="000E5879"/>
    <w:rsid w:val="000E5CBF"/>
    <w:rsid w:val="000E606E"/>
    <w:rsid w:val="000E6071"/>
    <w:rsid w:val="000E61E2"/>
    <w:rsid w:val="000E629C"/>
    <w:rsid w:val="000E62F3"/>
    <w:rsid w:val="000E6342"/>
    <w:rsid w:val="000E63AB"/>
    <w:rsid w:val="000E6489"/>
    <w:rsid w:val="000E6544"/>
    <w:rsid w:val="000E6646"/>
    <w:rsid w:val="000E66D0"/>
    <w:rsid w:val="000E672A"/>
    <w:rsid w:val="000E684A"/>
    <w:rsid w:val="000E68EE"/>
    <w:rsid w:val="000E691F"/>
    <w:rsid w:val="000E699D"/>
    <w:rsid w:val="000E6C48"/>
    <w:rsid w:val="000E6D20"/>
    <w:rsid w:val="000E6DF2"/>
    <w:rsid w:val="000E6EF2"/>
    <w:rsid w:val="000E6F1A"/>
    <w:rsid w:val="000E6FA7"/>
    <w:rsid w:val="000E7179"/>
    <w:rsid w:val="000E71FB"/>
    <w:rsid w:val="000E729D"/>
    <w:rsid w:val="000E72B3"/>
    <w:rsid w:val="000E7728"/>
    <w:rsid w:val="000E772F"/>
    <w:rsid w:val="000E7BDD"/>
    <w:rsid w:val="000E7D60"/>
    <w:rsid w:val="000E7E1B"/>
    <w:rsid w:val="000E7F57"/>
    <w:rsid w:val="000E7F79"/>
    <w:rsid w:val="000F02EB"/>
    <w:rsid w:val="000F0359"/>
    <w:rsid w:val="000F0453"/>
    <w:rsid w:val="000F04FD"/>
    <w:rsid w:val="000F05B0"/>
    <w:rsid w:val="000F0623"/>
    <w:rsid w:val="000F08A6"/>
    <w:rsid w:val="000F09CC"/>
    <w:rsid w:val="000F0A9B"/>
    <w:rsid w:val="000F1007"/>
    <w:rsid w:val="000F10B5"/>
    <w:rsid w:val="000F1144"/>
    <w:rsid w:val="000F1402"/>
    <w:rsid w:val="000F150B"/>
    <w:rsid w:val="000F151A"/>
    <w:rsid w:val="000F1679"/>
    <w:rsid w:val="000F17CA"/>
    <w:rsid w:val="000F1836"/>
    <w:rsid w:val="000F1888"/>
    <w:rsid w:val="000F1897"/>
    <w:rsid w:val="000F1950"/>
    <w:rsid w:val="000F199B"/>
    <w:rsid w:val="000F19A8"/>
    <w:rsid w:val="000F1A29"/>
    <w:rsid w:val="000F1A38"/>
    <w:rsid w:val="000F1A59"/>
    <w:rsid w:val="000F1BF7"/>
    <w:rsid w:val="000F2005"/>
    <w:rsid w:val="000F2009"/>
    <w:rsid w:val="000F2115"/>
    <w:rsid w:val="000F226B"/>
    <w:rsid w:val="000F23B0"/>
    <w:rsid w:val="000F2420"/>
    <w:rsid w:val="000F24E6"/>
    <w:rsid w:val="000F279B"/>
    <w:rsid w:val="000F2822"/>
    <w:rsid w:val="000F2865"/>
    <w:rsid w:val="000F29B5"/>
    <w:rsid w:val="000F2A0D"/>
    <w:rsid w:val="000F2A2E"/>
    <w:rsid w:val="000F2A7A"/>
    <w:rsid w:val="000F2A85"/>
    <w:rsid w:val="000F2CAB"/>
    <w:rsid w:val="000F2CE3"/>
    <w:rsid w:val="000F2DFE"/>
    <w:rsid w:val="000F2E1A"/>
    <w:rsid w:val="000F2F78"/>
    <w:rsid w:val="000F3019"/>
    <w:rsid w:val="000F3063"/>
    <w:rsid w:val="000F310F"/>
    <w:rsid w:val="000F3140"/>
    <w:rsid w:val="000F329A"/>
    <w:rsid w:val="000F32C0"/>
    <w:rsid w:val="000F33A1"/>
    <w:rsid w:val="000F3417"/>
    <w:rsid w:val="000F3489"/>
    <w:rsid w:val="000F34C7"/>
    <w:rsid w:val="000F3539"/>
    <w:rsid w:val="000F377B"/>
    <w:rsid w:val="000F3974"/>
    <w:rsid w:val="000F3B8F"/>
    <w:rsid w:val="000F3BB7"/>
    <w:rsid w:val="000F3CBB"/>
    <w:rsid w:val="000F3D6D"/>
    <w:rsid w:val="000F3DB5"/>
    <w:rsid w:val="000F3E50"/>
    <w:rsid w:val="000F40CA"/>
    <w:rsid w:val="000F40DB"/>
    <w:rsid w:val="000F414E"/>
    <w:rsid w:val="000F41A4"/>
    <w:rsid w:val="000F41B4"/>
    <w:rsid w:val="000F455A"/>
    <w:rsid w:val="000F464D"/>
    <w:rsid w:val="000F4730"/>
    <w:rsid w:val="000F484A"/>
    <w:rsid w:val="000F49CD"/>
    <w:rsid w:val="000F4A9C"/>
    <w:rsid w:val="000F4ACF"/>
    <w:rsid w:val="000F4B1F"/>
    <w:rsid w:val="000F4BD3"/>
    <w:rsid w:val="000F4BD8"/>
    <w:rsid w:val="000F4C3A"/>
    <w:rsid w:val="000F4D26"/>
    <w:rsid w:val="000F4DA5"/>
    <w:rsid w:val="000F4DE0"/>
    <w:rsid w:val="000F4DFA"/>
    <w:rsid w:val="000F50A1"/>
    <w:rsid w:val="000F51F4"/>
    <w:rsid w:val="000F54D0"/>
    <w:rsid w:val="000F554B"/>
    <w:rsid w:val="000F55B5"/>
    <w:rsid w:val="000F55D3"/>
    <w:rsid w:val="000F56C6"/>
    <w:rsid w:val="000F5702"/>
    <w:rsid w:val="000F5824"/>
    <w:rsid w:val="000F58F9"/>
    <w:rsid w:val="000F59BE"/>
    <w:rsid w:val="000F5A69"/>
    <w:rsid w:val="000F5B1C"/>
    <w:rsid w:val="000F5D04"/>
    <w:rsid w:val="000F5D09"/>
    <w:rsid w:val="000F5E17"/>
    <w:rsid w:val="000F5F76"/>
    <w:rsid w:val="000F60FD"/>
    <w:rsid w:val="000F618E"/>
    <w:rsid w:val="000F6217"/>
    <w:rsid w:val="000F6421"/>
    <w:rsid w:val="000F64ED"/>
    <w:rsid w:val="000F655E"/>
    <w:rsid w:val="000F656A"/>
    <w:rsid w:val="000F6768"/>
    <w:rsid w:val="000F67DE"/>
    <w:rsid w:val="000F69BD"/>
    <w:rsid w:val="000F6B59"/>
    <w:rsid w:val="000F6C1B"/>
    <w:rsid w:val="000F6C3A"/>
    <w:rsid w:val="000F6F57"/>
    <w:rsid w:val="000F6F75"/>
    <w:rsid w:val="000F6FE1"/>
    <w:rsid w:val="000F701F"/>
    <w:rsid w:val="000F73CF"/>
    <w:rsid w:val="000F74F9"/>
    <w:rsid w:val="000F753F"/>
    <w:rsid w:val="000F7544"/>
    <w:rsid w:val="000F7642"/>
    <w:rsid w:val="000F7958"/>
    <w:rsid w:val="000F79BD"/>
    <w:rsid w:val="000F7AAD"/>
    <w:rsid w:val="000F7BF0"/>
    <w:rsid w:val="000F7C0E"/>
    <w:rsid w:val="000F7CF9"/>
    <w:rsid w:val="000F7D93"/>
    <w:rsid w:val="000F7E1C"/>
    <w:rsid w:val="000F7EB1"/>
    <w:rsid w:val="00100089"/>
    <w:rsid w:val="0010014B"/>
    <w:rsid w:val="001001AC"/>
    <w:rsid w:val="001001E9"/>
    <w:rsid w:val="0010023A"/>
    <w:rsid w:val="0010029E"/>
    <w:rsid w:val="00100349"/>
    <w:rsid w:val="001004FB"/>
    <w:rsid w:val="001005B1"/>
    <w:rsid w:val="0010060A"/>
    <w:rsid w:val="001007B9"/>
    <w:rsid w:val="0010088F"/>
    <w:rsid w:val="001008B2"/>
    <w:rsid w:val="00100938"/>
    <w:rsid w:val="00100A3A"/>
    <w:rsid w:val="00100A3B"/>
    <w:rsid w:val="00100A52"/>
    <w:rsid w:val="00100AF6"/>
    <w:rsid w:val="00100BF8"/>
    <w:rsid w:val="00100C51"/>
    <w:rsid w:val="00100FCA"/>
    <w:rsid w:val="00101038"/>
    <w:rsid w:val="001013AA"/>
    <w:rsid w:val="001014E4"/>
    <w:rsid w:val="001015E8"/>
    <w:rsid w:val="001015FB"/>
    <w:rsid w:val="00101619"/>
    <w:rsid w:val="00101623"/>
    <w:rsid w:val="0010163F"/>
    <w:rsid w:val="001016B9"/>
    <w:rsid w:val="00101D31"/>
    <w:rsid w:val="00101DD5"/>
    <w:rsid w:val="00101E6B"/>
    <w:rsid w:val="00101E9E"/>
    <w:rsid w:val="00101FD1"/>
    <w:rsid w:val="00102417"/>
    <w:rsid w:val="001024D6"/>
    <w:rsid w:val="001024E6"/>
    <w:rsid w:val="001025B1"/>
    <w:rsid w:val="001027DC"/>
    <w:rsid w:val="0010285F"/>
    <w:rsid w:val="0010286E"/>
    <w:rsid w:val="001028AD"/>
    <w:rsid w:val="0010294F"/>
    <w:rsid w:val="00102977"/>
    <w:rsid w:val="001029B0"/>
    <w:rsid w:val="001029F3"/>
    <w:rsid w:val="00102BF7"/>
    <w:rsid w:val="00102D29"/>
    <w:rsid w:val="00102E0E"/>
    <w:rsid w:val="00102F83"/>
    <w:rsid w:val="00102FA4"/>
    <w:rsid w:val="00103008"/>
    <w:rsid w:val="001031F6"/>
    <w:rsid w:val="0010329C"/>
    <w:rsid w:val="001037FE"/>
    <w:rsid w:val="001038F2"/>
    <w:rsid w:val="0010398D"/>
    <w:rsid w:val="001039E3"/>
    <w:rsid w:val="00103B6F"/>
    <w:rsid w:val="00103B81"/>
    <w:rsid w:val="00103BFC"/>
    <w:rsid w:val="00103C98"/>
    <w:rsid w:val="00103CD5"/>
    <w:rsid w:val="00103DB9"/>
    <w:rsid w:val="00103EED"/>
    <w:rsid w:val="001040E7"/>
    <w:rsid w:val="001041A2"/>
    <w:rsid w:val="0010422C"/>
    <w:rsid w:val="00104513"/>
    <w:rsid w:val="001045EE"/>
    <w:rsid w:val="001046B3"/>
    <w:rsid w:val="001046E1"/>
    <w:rsid w:val="00104971"/>
    <w:rsid w:val="001049D9"/>
    <w:rsid w:val="00104A1B"/>
    <w:rsid w:val="00104A5E"/>
    <w:rsid w:val="00104AA2"/>
    <w:rsid w:val="00104BD5"/>
    <w:rsid w:val="00104D4E"/>
    <w:rsid w:val="00104D5A"/>
    <w:rsid w:val="00104F80"/>
    <w:rsid w:val="0010510F"/>
    <w:rsid w:val="001051C1"/>
    <w:rsid w:val="0010522E"/>
    <w:rsid w:val="001052C4"/>
    <w:rsid w:val="0010532F"/>
    <w:rsid w:val="001053E4"/>
    <w:rsid w:val="0010559D"/>
    <w:rsid w:val="00105949"/>
    <w:rsid w:val="001059CD"/>
    <w:rsid w:val="00105C0D"/>
    <w:rsid w:val="00105C6E"/>
    <w:rsid w:val="00105D10"/>
    <w:rsid w:val="00105DAA"/>
    <w:rsid w:val="00105E58"/>
    <w:rsid w:val="00105ECB"/>
    <w:rsid w:val="00106267"/>
    <w:rsid w:val="001062D6"/>
    <w:rsid w:val="00106322"/>
    <w:rsid w:val="00106344"/>
    <w:rsid w:val="001063CD"/>
    <w:rsid w:val="001066C7"/>
    <w:rsid w:val="001069AB"/>
    <w:rsid w:val="001069E5"/>
    <w:rsid w:val="00106B2F"/>
    <w:rsid w:val="00106E38"/>
    <w:rsid w:val="00106EF2"/>
    <w:rsid w:val="00107078"/>
    <w:rsid w:val="001070A1"/>
    <w:rsid w:val="001070C8"/>
    <w:rsid w:val="00107186"/>
    <w:rsid w:val="001079E9"/>
    <w:rsid w:val="00107D89"/>
    <w:rsid w:val="00107E76"/>
    <w:rsid w:val="00110289"/>
    <w:rsid w:val="00110326"/>
    <w:rsid w:val="001103DD"/>
    <w:rsid w:val="001105E3"/>
    <w:rsid w:val="001106E1"/>
    <w:rsid w:val="001108D6"/>
    <w:rsid w:val="001108F7"/>
    <w:rsid w:val="00110956"/>
    <w:rsid w:val="00110A29"/>
    <w:rsid w:val="00110BCD"/>
    <w:rsid w:val="00110CB3"/>
    <w:rsid w:val="00110CC1"/>
    <w:rsid w:val="00110CC6"/>
    <w:rsid w:val="00110D46"/>
    <w:rsid w:val="00110FEB"/>
    <w:rsid w:val="00111150"/>
    <w:rsid w:val="0011126A"/>
    <w:rsid w:val="001112B2"/>
    <w:rsid w:val="0011138A"/>
    <w:rsid w:val="00111430"/>
    <w:rsid w:val="0011175D"/>
    <w:rsid w:val="00111A97"/>
    <w:rsid w:val="00111AD7"/>
    <w:rsid w:val="00111BC9"/>
    <w:rsid w:val="00111CA6"/>
    <w:rsid w:val="00111CF7"/>
    <w:rsid w:val="00111EDB"/>
    <w:rsid w:val="0011200A"/>
    <w:rsid w:val="0011208D"/>
    <w:rsid w:val="0011221F"/>
    <w:rsid w:val="0011222A"/>
    <w:rsid w:val="001122ED"/>
    <w:rsid w:val="00112302"/>
    <w:rsid w:val="0011232B"/>
    <w:rsid w:val="0011254A"/>
    <w:rsid w:val="00112640"/>
    <w:rsid w:val="001129A0"/>
    <w:rsid w:val="00112A66"/>
    <w:rsid w:val="00112AF3"/>
    <w:rsid w:val="00112BBD"/>
    <w:rsid w:val="00112C1D"/>
    <w:rsid w:val="00112D1A"/>
    <w:rsid w:val="00112D76"/>
    <w:rsid w:val="00112D7B"/>
    <w:rsid w:val="00112E27"/>
    <w:rsid w:val="00112E86"/>
    <w:rsid w:val="00112FC7"/>
    <w:rsid w:val="00113097"/>
    <w:rsid w:val="001130C1"/>
    <w:rsid w:val="001131FA"/>
    <w:rsid w:val="001132E9"/>
    <w:rsid w:val="0011333C"/>
    <w:rsid w:val="00113372"/>
    <w:rsid w:val="00113389"/>
    <w:rsid w:val="00113459"/>
    <w:rsid w:val="001134B7"/>
    <w:rsid w:val="001135EB"/>
    <w:rsid w:val="00113737"/>
    <w:rsid w:val="00113839"/>
    <w:rsid w:val="001138F6"/>
    <w:rsid w:val="00113935"/>
    <w:rsid w:val="001139E9"/>
    <w:rsid w:val="00113A19"/>
    <w:rsid w:val="00113AA9"/>
    <w:rsid w:val="00113BA7"/>
    <w:rsid w:val="00113D8C"/>
    <w:rsid w:val="00113E09"/>
    <w:rsid w:val="0011401B"/>
    <w:rsid w:val="00114084"/>
    <w:rsid w:val="001140E9"/>
    <w:rsid w:val="0011421E"/>
    <w:rsid w:val="0011425F"/>
    <w:rsid w:val="0011432E"/>
    <w:rsid w:val="001146D6"/>
    <w:rsid w:val="00114771"/>
    <w:rsid w:val="00114795"/>
    <w:rsid w:val="001147B9"/>
    <w:rsid w:val="001149A3"/>
    <w:rsid w:val="001149DE"/>
    <w:rsid w:val="00114B5E"/>
    <w:rsid w:val="00114B8B"/>
    <w:rsid w:val="00114BA9"/>
    <w:rsid w:val="0011505E"/>
    <w:rsid w:val="00115118"/>
    <w:rsid w:val="001151F2"/>
    <w:rsid w:val="00115247"/>
    <w:rsid w:val="0011524E"/>
    <w:rsid w:val="001152B8"/>
    <w:rsid w:val="00115412"/>
    <w:rsid w:val="00115468"/>
    <w:rsid w:val="001154DF"/>
    <w:rsid w:val="00115519"/>
    <w:rsid w:val="001155A1"/>
    <w:rsid w:val="001155E8"/>
    <w:rsid w:val="001158CA"/>
    <w:rsid w:val="001158DC"/>
    <w:rsid w:val="00115AD8"/>
    <w:rsid w:val="00115B53"/>
    <w:rsid w:val="00115B54"/>
    <w:rsid w:val="00115C54"/>
    <w:rsid w:val="00115D95"/>
    <w:rsid w:val="00116079"/>
    <w:rsid w:val="0011612D"/>
    <w:rsid w:val="00116171"/>
    <w:rsid w:val="0011617A"/>
    <w:rsid w:val="00116204"/>
    <w:rsid w:val="00116232"/>
    <w:rsid w:val="001162A9"/>
    <w:rsid w:val="001163AA"/>
    <w:rsid w:val="0011641B"/>
    <w:rsid w:val="001164A6"/>
    <w:rsid w:val="00116511"/>
    <w:rsid w:val="001165A7"/>
    <w:rsid w:val="001166A3"/>
    <w:rsid w:val="001166F5"/>
    <w:rsid w:val="001166F9"/>
    <w:rsid w:val="00116767"/>
    <w:rsid w:val="00116781"/>
    <w:rsid w:val="00116797"/>
    <w:rsid w:val="00116B20"/>
    <w:rsid w:val="00116DA7"/>
    <w:rsid w:val="00116F3D"/>
    <w:rsid w:val="00116F5A"/>
    <w:rsid w:val="0011701E"/>
    <w:rsid w:val="00117439"/>
    <w:rsid w:val="001177F3"/>
    <w:rsid w:val="00117849"/>
    <w:rsid w:val="00117A37"/>
    <w:rsid w:val="00117CFE"/>
    <w:rsid w:val="00117D13"/>
    <w:rsid w:val="00117D27"/>
    <w:rsid w:val="00120089"/>
    <w:rsid w:val="00120204"/>
    <w:rsid w:val="0012029A"/>
    <w:rsid w:val="001202EC"/>
    <w:rsid w:val="001202F1"/>
    <w:rsid w:val="0012036D"/>
    <w:rsid w:val="0012041B"/>
    <w:rsid w:val="001205AB"/>
    <w:rsid w:val="0012075B"/>
    <w:rsid w:val="0012086C"/>
    <w:rsid w:val="00120A56"/>
    <w:rsid w:val="00120AA3"/>
    <w:rsid w:val="00120E3C"/>
    <w:rsid w:val="00120FB7"/>
    <w:rsid w:val="00120FBB"/>
    <w:rsid w:val="00121034"/>
    <w:rsid w:val="00121057"/>
    <w:rsid w:val="001212BE"/>
    <w:rsid w:val="00121325"/>
    <w:rsid w:val="00121564"/>
    <w:rsid w:val="00121576"/>
    <w:rsid w:val="00121847"/>
    <w:rsid w:val="001219D6"/>
    <w:rsid w:val="00121AA0"/>
    <w:rsid w:val="00121BA6"/>
    <w:rsid w:val="00121C9A"/>
    <w:rsid w:val="00121EC1"/>
    <w:rsid w:val="00121FE6"/>
    <w:rsid w:val="00122151"/>
    <w:rsid w:val="001223EB"/>
    <w:rsid w:val="0012256D"/>
    <w:rsid w:val="001227FB"/>
    <w:rsid w:val="001229DD"/>
    <w:rsid w:val="001229E5"/>
    <w:rsid w:val="00122AA4"/>
    <w:rsid w:val="00122B9E"/>
    <w:rsid w:val="00122C6E"/>
    <w:rsid w:val="00122EAD"/>
    <w:rsid w:val="00122F04"/>
    <w:rsid w:val="001231AF"/>
    <w:rsid w:val="001231F7"/>
    <w:rsid w:val="00123248"/>
    <w:rsid w:val="00123564"/>
    <w:rsid w:val="001235E1"/>
    <w:rsid w:val="00123787"/>
    <w:rsid w:val="001237CA"/>
    <w:rsid w:val="0012383B"/>
    <w:rsid w:val="00123912"/>
    <w:rsid w:val="00123B4D"/>
    <w:rsid w:val="00123DE3"/>
    <w:rsid w:val="00123EEE"/>
    <w:rsid w:val="00124002"/>
    <w:rsid w:val="00124038"/>
    <w:rsid w:val="00124047"/>
    <w:rsid w:val="0012405E"/>
    <w:rsid w:val="0012421F"/>
    <w:rsid w:val="00124355"/>
    <w:rsid w:val="001243B8"/>
    <w:rsid w:val="0012448A"/>
    <w:rsid w:val="001244F2"/>
    <w:rsid w:val="0012473C"/>
    <w:rsid w:val="0012475C"/>
    <w:rsid w:val="001247D8"/>
    <w:rsid w:val="001248C2"/>
    <w:rsid w:val="001248E5"/>
    <w:rsid w:val="001248EF"/>
    <w:rsid w:val="00124952"/>
    <w:rsid w:val="00124975"/>
    <w:rsid w:val="00124A22"/>
    <w:rsid w:val="00124B0F"/>
    <w:rsid w:val="00124C2C"/>
    <w:rsid w:val="00124D4F"/>
    <w:rsid w:val="0012504A"/>
    <w:rsid w:val="001252B0"/>
    <w:rsid w:val="00125365"/>
    <w:rsid w:val="0012538A"/>
    <w:rsid w:val="00125490"/>
    <w:rsid w:val="0012549C"/>
    <w:rsid w:val="00125540"/>
    <w:rsid w:val="00125592"/>
    <w:rsid w:val="00125611"/>
    <w:rsid w:val="00125638"/>
    <w:rsid w:val="001256F2"/>
    <w:rsid w:val="0012578F"/>
    <w:rsid w:val="00125800"/>
    <w:rsid w:val="001259F3"/>
    <w:rsid w:val="00125A8B"/>
    <w:rsid w:val="00125BE9"/>
    <w:rsid w:val="00125C48"/>
    <w:rsid w:val="00125C57"/>
    <w:rsid w:val="00125E42"/>
    <w:rsid w:val="00125F9D"/>
    <w:rsid w:val="001260A2"/>
    <w:rsid w:val="00126137"/>
    <w:rsid w:val="0012623B"/>
    <w:rsid w:val="00126363"/>
    <w:rsid w:val="001264C9"/>
    <w:rsid w:val="001264D5"/>
    <w:rsid w:val="00126515"/>
    <w:rsid w:val="001265B3"/>
    <w:rsid w:val="0012674C"/>
    <w:rsid w:val="0012681B"/>
    <w:rsid w:val="00126959"/>
    <w:rsid w:val="00126ACD"/>
    <w:rsid w:val="00126F38"/>
    <w:rsid w:val="001270BD"/>
    <w:rsid w:val="001279EE"/>
    <w:rsid w:val="00127A5B"/>
    <w:rsid w:val="00127B15"/>
    <w:rsid w:val="00127C08"/>
    <w:rsid w:val="00127C66"/>
    <w:rsid w:val="00127C6C"/>
    <w:rsid w:val="00127D40"/>
    <w:rsid w:val="00127D96"/>
    <w:rsid w:val="00127EAD"/>
    <w:rsid w:val="00127FB3"/>
    <w:rsid w:val="00127FB4"/>
    <w:rsid w:val="00130124"/>
    <w:rsid w:val="00130136"/>
    <w:rsid w:val="001303A6"/>
    <w:rsid w:val="0013040A"/>
    <w:rsid w:val="00130438"/>
    <w:rsid w:val="001304A9"/>
    <w:rsid w:val="00130538"/>
    <w:rsid w:val="00130731"/>
    <w:rsid w:val="00130781"/>
    <w:rsid w:val="00130882"/>
    <w:rsid w:val="00130918"/>
    <w:rsid w:val="00130D40"/>
    <w:rsid w:val="00130D7F"/>
    <w:rsid w:val="00130DE1"/>
    <w:rsid w:val="00130F32"/>
    <w:rsid w:val="00130F93"/>
    <w:rsid w:val="0013103E"/>
    <w:rsid w:val="001310B3"/>
    <w:rsid w:val="001311B9"/>
    <w:rsid w:val="001311BC"/>
    <w:rsid w:val="00131286"/>
    <w:rsid w:val="00131315"/>
    <w:rsid w:val="00131332"/>
    <w:rsid w:val="0013134D"/>
    <w:rsid w:val="00131388"/>
    <w:rsid w:val="00131549"/>
    <w:rsid w:val="00131630"/>
    <w:rsid w:val="001316C8"/>
    <w:rsid w:val="00131931"/>
    <w:rsid w:val="00131A75"/>
    <w:rsid w:val="00131C54"/>
    <w:rsid w:val="00131F29"/>
    <w:rsid w:val="00132089"/>
    <w:rsid w:val="001320BF"/>
    <w:rsid w:val="00132268"/>
    <w:rsid w:val="00132311"/>
    <w:rsid w:val="00132390"/>
    <w:rsid w:val="001323D7"/>
    <w:rsid w:val="001324AB"/>
    <w:rsid w:val="0013263F"/>
    <w:rsid w:val="0013264F"/>
    <w:rsid w:val="00132744"/>
    <w:rsid w:val="001327BC"/>
    <w:rsid w:val="00132883"/>
    <w:rsid w:val="00132998"/>
    <w:rsid w:val="00132B5B"/>
    <w:rsid w:val="00132B76"/>
    <w:rsid w:val="00132C68"/>
    <w:rsid w:val="00132DB0"/>
    <w:rsid w:val="00132F69"/>
    <w:rsid w:val="00132FC9"/>
    <w:rsid w:val="001330BC"/>
    <w:rsid w:val="001333AF"/>
    <w:rsid w:val="001333E5"/>
    <w:rsid w:val="001335A8"/>
    <w:rsid w:val="00133740"/>
    <w:rsid w:val="00133770"/>
    <w:rsid w:val="00133A45"/>
    <w:rsid w:val="00133B18"/>
    <w:rsid w:val="00133B90"/>
    <w:rsid w:val="00133C40"/>
    <w:rsid w:val="00133D0F"/>
    <w:rsid w:val="00133DEE"/>
    <w:rsid w:val="00133F03"/>
    <w:rsid w:val="00133F37"/>
    <w:rsid w:val="001342BB"/>
    <w:rsid w:val="001342F4"/>
    <w:rsid w:val="0013432C"/>
    <w:rsid w:val="00134397"/>
    <w:rsid w:val="0013460A"/>
    <w:rsid w:val="00134814"/>
    <w:rsid w:val="001348D9"/>
    <w:rsid w:val="00134A6B"/>
    <w:rsid w:val="00134B3F"/>
    <w:rsid w:val="00134C01"/>
    <w:rsid w:val="00134C93"/>
    <w:rsid w:val="00134CF7"/>
    <w:rsid w:val="00134D3A"/>
    <w:rsid w:val="00134DC9"/>
    <w:rsid w:val="00134DF1"/>
    <w:rsid w:val="00134F49"/>
    <w:rsid w:val="00134F60"/>
    <w:rsid w:val="0013512C"/>
    <w:rsid w:val="0013513E"/>
    <w:rsid w:val="001352AB"/>
    <w:rsid w:val="00135308"/>
    <w:rsid w:val="0013554F"/>
    <w:rsid w:val="0013555F"/>
    <w:rsid w:val="00135610"/>
    <w:rsid w:val="00135631"/>
    <w:rsid w:val="00135714"/>
    <w:rsid w:val="00135731"/>
    <w:rsid w:val="00135795"/>
    <w:rsid w:val="001357DA"/>
    <w:rsid w:val="0013584C"/>
    <w:rsid w:val="001358C2"/>
    <w:rsid w:val="00135B0E"/>
    <w:rsid w:val="00135DC1"/>
    <w:rsid w:val="00135E40"/>
    <w:rsid w:val="00135FBA"/>
    <w:rsid w:val="00136013"/>
    <w:rsid w:val="001360DB"/>
    <w:rsid w:val="00136190"/>
    <w:rsid w:val="001361BB"/>
    <w:rsid w:val="0013623D"/>
    <w:rsid w:val="001363DC"/>
    <w:rsid w:val="00136483"/>
    <w:rsid w:val="00136488"/>
    <w:rsid w:val="00136526"/>
    <w:rsid w:val="00136593"/>
    <w:rsid w:val="001365AC"/>
    <w:rsid w:val="00136916"/>
    <w:rsid w:val="00136994"/>
    <w:rsid w:val="001369E6"/>
    <w:rsid w:val="00136B5B"/>
    <w:rsid w:val="00136B9D"/>
    <w:rsid w:val="00136BD5"/>
    <w:rsid w:val="00136D8E"/>
    <w:rsid w:val="00136E21"/>
    <w:rsid w:val="00136E5F"/>
    <w:rsid w:val="00136FEC"/>
    <w:rsid w:val="00137052"/>
    <w:rsid w:val="0013710F"/>
    <w:rsid w:val="00137330"/>
    <w:rsid w:val="001373F1"/>
    <w:rsid w:val="0013746F"/>
    <w:rsid w:val="00137493"/>
    <w:rsid w:val="001378BF"/>
    <w:rsid w:val="00137B2A"/>
    <w:rsid w:val="00137B31"/>
    <w:rsid w:val="00137C3F"/>
    <w:rsid w:val="00137CCB"/>
    <w:rsid w:val="00137D5B"/>
    <w:rsid w:val="00137E44"/>
    <w:rsid w:val="00140026"/>
    <w:rsid w:val="001400DC"/>
    <w:rsid w:val="00140187"/>
    <w:rsid w:val="00140228"/>
    <w:rsid w:val="001404AE"/>
    <w:rsid w:val="001405B6"/>
    <w:rsid w:val="0014061C"/>
    <w:rsid w:val="001407F6"/>
    <w:rsid w:val="00140884"/>
    <w:rsid w:val="00140A2D"/>
    <w:rsid w:val="00140AA8"/>
    <w:rsid w:val="00140AC4"/>
    <w:rsid w:val="00140B0C"/>
    <w:rsid w:val="00140DDA"/>
    <w:rsid w:val="00140E94"/>
    <w:rsid w:val="0014115C"/>
    <w:rsid w:val="001411EA"/>
    <w:rsid w:val="001412A1"/>
    <w:rsid w:val="001413C3"/>
    <w:rsid w:val="001414C8"/>
    <w:rsid w:val="0014150A"/>
    <w:rsid w:val="00141512"/>
    <w:rsid w:val="00141530"/>
    <w:rsid w:val="001415A3"/>
    <w:rsid w:val="001416EF"/>
    <w:rsid w:val="001417E2"/>
    <w:rsid w:val="00141A25"/>
    <w:rsid w:val="00141AF0"/>
    <w:rsid w:val="00141C26"/>
    <w:rsid w:val="00141E2E"/>
    <w:rsid w:val="00141F56"/>
    <w:rsid w:val="00141FCB"/>
    <w:rsid w:val="001420B1"/>
    <w:rsid w:val="00142177"/>
    <w:rsid w:val="00142214"/>
    <w:rsid w:val="001423E4"/>
    <w:rsid w:val="001423F3"/>
    <w:rsid w:val="0014242C"/>
    <w:rsid w:val="001424B5"/>
    <w:rsid w:val="001424D8"/>
    <w:rsid w:val="001424DF"/>
    <w:rsid w:val="0014253B"/>
    <w:rsid w:val="00142A76"/>
    <w:rsid w:val="00142A9D"/>
    <w:rsid w:val="00142AD1"/>
    <w:rsid w:val="00142B46"/>
    <w:rsid w:val="00142C1C"/>
    <w:rsid w:val="00142C78"/>
    <w:rsid w:val="00142CA8"/>
    <w:rsid w:val="00142CBD"/>
    <w:rsid w:val="00142CBE"/>
    <w:rsid w:val="00142CF1"/>
    <w:rsid w:val="00142D07"/>
    <w:rsid w:val="00142D42"/>
    <w:rsid w:val="00142D54"/>
    <w:rsid w:val="00142E05"/>
    <w:rsid w:val="00142F4D"/>
    <w:rsid w:val="001430A0"/>
    <w:rsid w:val="001432F1"/>
    <w:rsid w:val="001434A5"/>
    <w:rsid w:val="00143573"/>
    <w:rsid w:val="00143677"/>
    <w:rsid w:val="001437BD"/>
    <w:rsid w:val="00143949"/>
    <w:rsid w:val="0014395B"/>
    <w:rsid w:val="00143A34"/>
    <w:rsid w:val="00143B75"/>
    <w:rsid w:val="00143CE2"/>
    <w:rsid w:val="00143D27"/>
    <w:rsid w:val="00143D28"/>
    <w:rsid w:val="00143FDD"/>
    <w:rsid w:val="001442D7"/>
    <w:rsid w:val="001442DA"/>
    <w:rsid w:val="00144304"/>
    <w:rsid w:val="0014449D"/>
    <w:rsid w:val="0014456B"/>
    <w:rsid w:val="00144901"/>
    <w:rsid w:val="0014497C"/>
    <w:rsid w:val="00144987"/>
    <w:rsid w:val="001449D6"/>
    <w:rsid w:val="00144A4B"/>
    <w:rsid w:val="00144ABD"/>
    <w:rsid w:val="00144B43"/>
    <w:rsid w:val="00144BDC"/>
    <w:rsid w:val="00144BE3"/>
    <w:rsid w:val="00144C30"/>
    <w:rsid w:val="00144C88"/>
    <w:rsid w:val="00144DD4"/>
    <w:rsid w:val="00144E42"/>
    <w:rsid w:val="00145050"/>
    <w:rsid w:val="001450C2"/>
    <w:rsid w:val="00145169"/>
    <w:rsid w:val="001452B2"/>
    <w:rsid w:val="001452BB"/>
    <w:rsid w:val="0014532D"/>
    <w:rsid w:val="00145553"/>
    <w:rsid w:val="00145653"/>
    <w:rsid w:val="0014578D"/>
    <w:rsid w:val="001457A9"/>
    <w:rsid w:val="0014584B"/>
    <w:rsid w:val="001459FD"/>
    <w:rsid w:val="00145A87"/>
    <w:rsid w:val="00145BC2"/>
    <w:rsid w:val="00145D1F"/>
    <w:rsid w:val="00145D39"/>
    <w:rsid w:val="00145E3A"/>
    <w:rsid w:val="00145F57"/>
    <w:rsid w:val="0014604E"/>
    <w:rsid w:val="0014605E"/>
    <w:rsid w:val="001462FC"/>
    <w:rsid w:val="00146595"/>
    <w:rsid w:val="00146730"/>
    <w:rsid w:val="00146AA7"/>
    <w:rsid w:val="00146AFF"/>
    <w:rsid w:val="00146C65"/>
    <w:rsid w:val="00146E2D"/>
    <w:rsid w:val="00147037"/>
    <w:rsid w:val="001470A7"/>
    <w:rsid w:val="0014754D"/>
    <w:rsid w:val="0014755E"/>
    <w:rsid w:val="001475DB"/>
    <w:rsid w:val="001476B8"/>
    <w:rsid w:val="001478D8"/>
    <w:rsid w:val="001478DD"/>
    <w:rsid w:val="001478E1"/>
    <w:rsid w:val="00147D09"/>
    <w:rsid w:val="00147E62"/>
    <w:rsid w:val="00147E8E"/>
    <w:rsid w:val="00147E95"/>
    <w:rsid w:val="00147ECF"/>
    <w:rsid w:val="00150049"/>
    <w:rsid w:val="00150126"/>
    <w:rsid w:val="00150192"/>
    <w:rsid w:val="0015020A"/>
    <w:rsid w:val="00150225"/>
    <w:rsid w:val="0015041C"/>
    <w:rsid w:val="001504B5"/>
    <w:rsid w:val="001504FA"/>
    <w:rsid w:val="0015051B"/>
    <w:rsid w:val="001506E5"/>
    <w:rsid w:val="0015074B"/>
    <w:rsid w:val="00150AC5"/>
    <w:rsid w:val="00150AFD"/>
    <w:rsid w:val="00150B7B"/>
    <w:rsid w:val="00150BA1"/>
    <w:rsid w:val="00150C68"/>
    <w:rsid w:val="00150D6A"/>
    <w:rsid w:val="001510A7"/>
    <w:rsid w:val="001513BB"/>
    <w:rsid w:val="001514FF"/>
    <w:rsid w:val="001516D6"/>
    <w:rsid w:val="00151777"/>
    <w:rsid w:val="001517B4"/>
    <w:rsid w:val="001517C3"/>
    <w:rsid w:val="0015187D"/>
    <w:rsid w:val="001518D5"/>
    <w:rsid w:val="001518FC"/>
    <w:rsid w:val="00151AA5"/>
    <w:rsid w:val="00151C7E"/>
    <w:rsid w:val="00151CAB"/>
    <w:rsid w:val="00151D0A"/>
    <w:rsid w:val="00151D3F"/>
    <w:rsid w:val="00151D7A"/>
    <w:rsid w:val="00151E6B"/>
    <w:rsid w:val="00151EDD"/>
    <w:rsid w:val="00151F2B"/>
    <w:rsid w:val="00151FE8"/>
    <w:rsid w:val="0015207E"/>
    <w:rsid w:val="001523A2"/>
    <w:rsid w:val="00152410"/>
    <w:rsid w:val="00152457"/>
    <w:rsid w:val="001524C9"/>
    <w:rsid w:val="001524FB"/>
    <w:rsid w:val="001525D2"/>
    <w:rsid w:val="0015272F"/>
    <w:rsid w:val="0015278A"/>
    <w:rsid w:val="0015298E"/>
    <w:rsid w:val="00152A19"/>
    <w:rsid w:val="00152A49"/>
    <w:rsid w:val="00152A6D"/>
    <w:rsid w:val="00152C89"/>
    <w:rsid w:val="00152D50"/>
    <w:rsid w:val="00152E1A"/>
    <w:rsid w:val="00152E63"/>
    <w:rsid w:val="00152E94"/>
    <w:rsid w:val="00152F35"/>
    <w:rsid w:val="00152FC6"/>
    <w:rsid w:val="00152FE4"/>
    <w:rsid w:val="001530AC"/>
    <w:rsid w:val="001530D8"/>
    <w:rsid w:val="0015310A"/>
    <w:rsid w:val="001531A0"/>
    <w:rsid w:val="00153295"/>
    <w:rsid w:val="00153329"/>
    <w:rsid w:val="0015335E"/>
    <w:rsid w:val="001534B3"/>
    <w:rsid w:val="0015360C"/>
    <w:rsid w:val="00153618"/>
    <w:rsid w:val="00153846"/>
    <w:rsid w:val="0015384C"/>
    <w:rsid w:val="00153E0B"/>
    <w:rsid w:val="00153EA7"/>
    <w:rsid w:val="00153F14"/>
    <w:rsid w:val="00153FDF"/>
    <w:rsid w:val="00154025"/>
    <w:rsid w:val="0015404D"/>
    <w:rsid w:val="00154179"/>
    <w:rsid w:val="001541E9"/>
    <w:rsid w:val="00154263"/>
    <w:rsid w:val="0015427E"/>
    <w:rsid w:val="00154307"/>
    <w:rsid w:val="001543E7"/>
    <w:rsid w:val="00154570"/>
    <w:rsid w:val="00154583"/>
    <w:rsid w:val="001545D3"/>
    <w:rsid w:val="0015473C"/>
    <w:rsid w:val="00154863"/>
    <w:rsid w:val="00154CD8"/>
    <w:rsid w:val="00154D09"/>
    <w:rsid w:val="00155181"/>
    <w:rsid w:val="0015520C"/>
    <w:rsid w:val="00155325"/>
    <w:rsid w:val="0015537B"/>
    <w:rsid w:val="00155424"/>
    <w:rsid w:val="00155551"/>
    <w:rsid w:val="001555DE"/>
    <w:rsid w:val="00155658"/>
    <w:rsid w:val="0015576A"/>
    <w:rsid w:val="001558BD"/>
    <w:rsid w:val="00155A42"/>
    <w:rsid w:val="00155B32"/>
    <w:rsid w:val="00155C31"/>
    <w:rsid w:val="00155E5D"/>
    <w:rsid w:val="00155F6C"/>
    <w:rsid w:val="00155FD4"/>
    <w:rsid w:val="0015619C"/>
    <w:rsid w:val="00156234"/>
    <w:rsid w:val="0015632C"/>
    <w:rsid w:val="001563F2"/>
    <w:rsid w:val="001564B4"/>
    <w:rsid w:val="001564DC"/>
    <w:rsid w:val="0015652A"/>
    <w:rsid w:val="0015670C"/>
    <w:rsid w:val="001567C7"/>
    <w:rsid w:val="00156896"/>
    <w:rsid w:val="00156916"/>
    <w:rsid w:val="00156970"/>
    <w:rsid w:val="00156995"/>
    <w:rsid w:val="00156BE2"/>
    <w:rsid w:val="00156C32"/>
    <w:rsid w:val="00156CC1"/>
    <w:rsid w:val="00156E08"/>
    <w:rsid w:val="00156F1E"/>
    <w:rsid w:val="001573CF"/>
    <w:rsid w:val="001574E9"/>
    <w:rsid w:val="001575BC"/>
    <w:rsid w:val="001576E7"/>
    <w:rsid w:val="0015779D"/>
    <w:rsid w:val="001578A0"/>
    <w:rsid w:val="001578E3"/>
    <w:rsid w:val="001579EA"/>
    <w:rsid w:val="00157D86"/>
    <w:rsid w:val="00157D93"/>
    <w:rsid w:val="00157F3B"/>
    <w:rsid w:val="00157F59"/>
    <w:rsid w:val="00157F72"/>
    <w:rsid w:val="00157FBD"/>
    <w:rsid w:val="00160213"/>
    <w:rsid w:val="0016025A"/>
    <w:rsid w:val="00160558"/>
    <w:rsid w:val="0016086A"/>
    <w:rsid w:val="0016088D"/>
    <w:rsid w:val="00160B41"/>
    <w:rsid w:val="00160B69"/>
    <w:rsid w:val="00160B81"/>
    <w:rsid w:val="00160BDC"/>
    <w:rsid w:val="00160C14"/>
    <w:rsid w:val="00160C95"/>
    <w:rsid w:val="00160CEC"/>
    <w:rsid w:val="00160D13"/>
    <w:rsid w:val="00160E11"/>
    <w:rsid w:val="00160E60"/>
    <w:rsid w:val="00160E7D"/>
    <w:rsid w:val="00161000"/>
    <w:rsid w:val="00161034"/>
    <w:rsid w:val="001610E9"/>
    <w:rsid w:val="00161102"/>
    <w:rsid w:val="00161147"/>
    <w:rsid w:val="001611A3"/>
    <w:rsid w:val="00161223"/>
    <w:rsid w:val="001614F5"/>
    <w:rsid w:val="00161615"/>
    <w:rsid w:val="001616C5"/>
    <w:rsid w:val="001617A8"/>
    <w:rsid w:val="001618BB"/>
    <w:rsid w:val="00161A4F"/>
    <w:rsid w:val="00161A75"/>
    <w:rsid w:val="00161BB4"/>
    <w:rsid w:val="00161E67"/>
    <w:rsid w:val="00161EE5"/>
    <w:rsid w:val="00162033"/>
    <w:rsid w:val="001621ED"/>
    <w:rsid w:val="0016225E"/>
    <w:rsid w:val="0016230C"/>
    <w:rsid w:val="00162349"/>
    <w:rsid w:val="00162360"/>
    <w:rsid w:val="001623CA"/>
    <w:rsid w:val="00162550"/>
    <w:rsid w:val="0016258C"/>
    <w:rsid w:val="001625C3"/>
    <w:rsid w:val="0016275F"/>
    <w:rsid w:val="001628BD"/>
    <w:rsid w:val="0016291F"/>
    <w:rsid w:val="0016299A"/>
    <w:rsid w:val="00162BA3"/>
    <w:rsid w:val="00162C28"/>
    <w:rsid w:val="00162C99"/>
    <w:rsid w:val="00162CAE"/>
    <w:rsid w:val="00162E7A"/>
    <w:rsid w:val="00162F2A"/>
    <w:rsid w:val="00162F88"/>
    <w:rsid w:val="00162FBB"/>
    <w:rsid w:val="00163070"/>
    <w:rsid w:val="001632A0"/>
    <w:rsid w:val="001632E0"/>
    <w:rsid w:val="00163313"/>
    <w:rsid w:val="0016336B"/>
    <w:rsid w:val="0016340B"/>
    <w:rsid w:val="001634A3"/>
    <w:rsid w:val="001634C9"/>
    <w:rsid w:val="001635BD"/>
    <w:rsid w:val="0016366C"/>
    <w:rsid w:val="001636B1"/>
    <w:rsid w:val="001638E1"/>
    <w:rsid w:val="00163976"/>
    <w:rsid w:val="001639C1"/>
    <w:rsid w:val="001639E6"/>
    <w:rsid w:val="00163C6D"/>
    <w:rsid w:val="00163F08"/>
    <w:rsid w:val="00163F19"/>
    <w:rsid w:val="00163F9A"/>
    <w:rsid w:val="00163FD4"/>
    <w:rsid w:val="001640EE"/>
    <w:rsid w:val="001640F2"/>
    <w:rsid w:val="0016413F"/>
    <w:rsid w:val="001641A5"/>
    <w:rsid w:val="0016444D"/>
    <w:rsid w:val="0016448C"/>
    <w:rsid w:val="0016456F"/>
    <w:rsid w:val="00164595"/>
    <w:rsid w:val="0016481A"/>
    <w:rsid w:val="001648C1"/>
    <w:rsid w:val="0016491C"/>
    <w:rsid w:val="001649DB"/>
    <w:rsid w:val="00164A3D"/>
    <w:rsid w:val="00164AB5"/>
    <w:rsid w:val="00164BF5"/>
    <w:rsid w:val="00164C0D"/>
    <w:rsid w:val="00164C25"/>
    <w:rsid w:val="00164D45"/>
    <w:rsid w:val="00164D61"/>
    <w:rsid w:val="00164DE6"/>
    <w:rsid w:val="00164EEF"/>
    <w:rsid w:val="00164F08"/>
    <w:rsid w:val="00165007"/>
    <w:rsid w:val="00165053"/>
    <w:rsid w:val="0016506C"/>
    <w:rsid w:val="001650E6"/>
    <w:rsid w:val="00165160"/>
    <w:rsid w:val="001652A5"/>
    <w:rsid w:val="00165434"/>
    <w:rsid w:val="00165435"/>
    <w:rsid w:val="0016560A"/>
    <w:rsid w:val="00165741"/>
    <w:rsid w:val="0016590B"/>
    <w:rsid w:val="00165982"/>
    <w:rsid w:val="00165A51"/>
    <w:rsid w:val="00165C25"/>
    <w:rsid w:val="0016601A"/>
    <w:rsid w:val="0016608D"/>
    <w:rsid w:val="001662BF"/>
    <w:rsid w:val="00166383"/>
    <w:rsid w:val="00166473"/>
    <w:rsid w:val="0016650A"/>
    <w:rsid w:val="0016673B"/>
    <w:rsid w:val="001667B4"/>
    <w:rsid w:val="001667D1"/>
    <w:rsid w:val="00166842"/>
    <w:rsid w:val="00166890"/>
    <w:rsid w:val="00166930"/>
    <w:rsid w:val="00166AE6"/>
    <w:rsid w:val="00166BC2"/>
    <w:rsid w:val="00166BDC"/>
    <w:rsid w:val="00166E9D"/>
    <w:rsid w:val="00166EC0"/>
    <w:rsid w:val="00166F07"/>
    <w:rsid w:val="0016709B"/>
    <w:rsid w:val="001670FF"/>
    <w:rsid w:val="001672F3"/>
    <w:rsid w:val="00167329"/>
    <w:rsid w:val="001673EE"/>
    <w:rsid w:val="0016770C"/>
    <w:rsid w:val="0016774E"/>
    <w:rsid w:val="00167A32"/>
    <w:rsid w:val="00167A4A"/>
    <w:rsid w:val="00167A9D"/>
    <w:rsid w:val="00167B59"/>
    <w:rsid w:val="00167BC4"/>
    <w:rsid w:val="00167C8B"/>
    <w:rsid w:val="00167D31"/>
    <w:rsid w:val="00167E80"/>
    <w:rsid w:val="00167F20"/>
    <w:rsid w:val="00167F21"/>
    <w:rsid w:val="0017004D"/>
    <w:rsid w:val="001700DA"/>
    <w:rsid w:val="00170166"/>
    <w:rsid w:val="001702DB"/>
    <w:rsid w:val="00170314"/>
    <w:rsid w:val="0017038A"/>
    <w:rsid w:val="001703D1"/>
    <w:rsid w:val="001703E4"/>
    <w:rsid w:val="0017046F"/>
    <w:rsid w:val="001704B1"/>
    <w:rsid w:val="001706B3"/>
    <w:rsid w:val="001706F6"/>
    <w:rsid w:val="00170839"/>
    <w:rsid w:val="00170871"/>
    <w:rsid w:val="001709C9"/>
    <w:rsid w:val="00170A1F"/>
    <w:rsid w:val="00170A40"/>
    <w:rsid w:val="00170A6C"/>
    <w:rsid w:val="00170A8D"/>
    <w:rsid w:val="00170B8E"/>
    <w:rsid w:val="00170DA6"/>
    <w:rsid w:val="00170E41"/>
    <w:rsid w:val="0017103E"/>
    <w:rsid w:val="00171539"/>
    <w:rsid w:val="001716FE"/>
    <w:rsid w:val="00171765"/>
    <w:rsid w:val="0017196A"/>
    <w:rsid w:val="00171C53"/>
    <w:rsid w:val="00171C7E"/>
    <w:rsid w:val="00171D1B"/>
    <w:rsid w:val="00171D29"/>
    <w:rsid w:val="00171D3C"/>
    <w:rsid w:val="00171DAE"/>
    <w:rsid w:val="00171E19"/>
    <w:rsid w:val="001722BE"/>
    <w:rsid w:val="0017234C"/>
    <w:rsid w:val="00172651"/>
    <w:rsid w:val="001727AF"/>
    <w:rsid w:val="001727D8"/>
    <w:rsid w:val="00172806"/>
    <w:rsid w:val="00172858"/>
    <w:rsid w:val="00172CCA"/>
    <w:rsid w:val="00172DDF"/>
    <w:rsid w:val="0017304A"/>
    <w:rsid w:val="001732D1"/>
    <w:rsid w:val="001734AC"/>
    <w:rsid w:val="001734E5"/>
    <w:rsid w:val="0017355F"/>
    <w:rsid w:val="0017386D"/>
    <w:rsid w:val="001738E1"/>
    <w:rsid w:val="00173915"/>
    <w:rsid w:val="00173AA7"/>
    <w:rsid w:val="00173B63"/>
    <w:rsid w:val="00173BAD"/>
    <w:rsid w:val="00173BE9"/>
    <w:rsid w:val="00173CD5"/>
    <w:rsid w:val="00173E8E"/>
    <w:rsid w:val="00173FD2"/>
    <w:rsid w:val="00173FEF"/>
    <w:rsid w:val="00174201"/>
    <w:rsid w:val="00174221"/>
    <w:rsid w:val="001742BC"/>
    <w:rsid w:val="00174308"/>
    <w:rsid w:val="0017452D"/>
    <w:rsid w:val="00174560"/>
    <w:rsid w:val="00174609"/>
    <w:rsid w:val="00174663"/>
    <w:rsid w:val="00174719"/>
    <w:rsid w:val="00174807"/>
    <w:rsid w:val="001748A6"/>
    <w:rsid w:val="00174D17"/>
    <w:rsid w:val="00174D2A"/>
    <w:rsid w:val="00174E92"/>
    <w:rsid w:val="00174F1F"/>
    <w:rsid w:val="00174FDB"/>
    <w:rsid w:val="00175028"/>
    <w:rsid w:val="00175091"/>
    <w:rsid w:val="001751E0"/>
    <w:rsid w:val="0017552B"/>
    <w:rsid w:val="00175574"/>
    <w:rsid w:val="00175578"/>
    <w:rsid w:val="001755A1"/>
    <w:rsid w:val="00175618"/>
    <w:rsid w:val="0017570F"/>
    <w:rsid w:val="0017591F"/>
    <w:rsid w:val="00175962"/>
    <w:rsid w:val="00175A23"/>
    <w:rsid w:val="00175B0A"/>
    <w:rsid w:val="00175B48"/>
    <w:rsid w:val="00175DDC"/>
    <w:rsid w:val="00176096"/>
    <w:rsid w:val="0017640B"/>
    <w:rsid w:val="001764F7"/>
    <w:rsid w:val="00176541"/>
    <w:rsid w:val="00176630"/>
    <w:rsid w:val="001766C2"/>
    <w:rsid w:val="00176844"/>
    <w:rsid w:val="00176922"/>
    <w:rsid w:val="00176A6A"/>
    <w:rsid w:val="00176B5A"/>
    <w:rsid w:val="00176B61"/>
    <w:rsid w:val="00176C23"/>
    <w:rsid w:val="00176CB5"/>
    <w:rsid w:val="00176DC6"/>
    <w:rsid w:val="00176EA5"/>
    <w:rsid w:val="0017702C"/>
    <w:rsid w:val="00177053"/>
    <w:rsid w:val="0017708F"/>
    <w:rsid w:val="00177154"/>
    <w:rsid w:val="001771B7"/>
    <w:rsid w:val="00177368"/>
    <w:rsid w:val="001773BC"/>
    <w:rsid w:val="0017751A"/>
    <w:rsid w:val="0017759E"/>
    <w:rsid w:val="00177611"/>
    <w:rsid w:val="001776AA"/>
    <w:rsid w:val="001776ED"/>
    <w:rsid w:val="00177717"/>
    <w:rsid w:val="001778B9"/>
    <w:rsid w:val="0017798C"/>
    <w:rsid w:val="00177AB2"/>
    <w:rsid w:val="00177BDF"/>
    <w:rsid w:val="00177D0E"/>
    <w:rsid w:val="00177DAB"/>
    <w:rsid w:val="00177DAE"/>
    <w:rsid w:val="00177E97"/>
    <w:rsid w:val="00177F9D"/>
    <w:rsid w:val="00180030"/>
    <w:rsid w:val="001801DD"/>
    <w:rsid w:val="00180332"/>
    <w:rsid w:val="00180370"/>
    <w:rsid w:val="00180428"/>
    <w:rsid w:val="001804AE"/>
    <w:rsid w:val="0018059E"/>
    <w:rsid w:val="001806F6"/>
    <w:rsid w:val="001807A3"/>
    <w:rsid w:val="001807B4"/>
    <w:rsid w:val="00180908"/>
    <w:rsid w:val="00180995"/>
    <w:rsid w:val="001809C6"/>
    <w:rsid w:val="00180A4D"/>
    <w:rsid w:val="00180C4C"/>
    <w:rsid w:val="00180C68"/>
    <w:rsid w:val="00180D10"/>
    <w:rsid w:val="00180D54"/>
    <w:rsid w:val="00180DCA"/>
    <w:rsid w:val="00180DF7"/>
    <w:rsid w:val="00180EC1"/>
    <w:rsid w:val="001810F2"/>
    <w:rsid w:val="00181101"/>
    <w:rsid w:val="0018113D"/>
    <w:rsid w:val="00181176"/>
    <w:rsid w:val="00181179"/>
    <w:rsid w:val="001812F6"/>
    <w:rsid w:val="001814B0"/>
    <w:rsid w:val="00181632"/>
    <w:rsid w:val="00181798"/>
    <w:rsid w:val="0018187F"/>
    <w:rsid w:val="001818CF"/>
    <w:rsid w:val="00181917"/>
    <w:rsid w:val="00181B36"/>
    <w:rsid w:val="00181C04"/>
    <w:rsid w:val="00181D7A"/>
    <w:rsid w:val="00181F5A"/>
    <w:rsid w:val="00181FF5"/>
    <w:rsid w:val="00182162"/>
    <w:rsid w:val="001821A1"/>
    <w:rsid w:val="001822CA"/>
    <w:rsid w:val="00182463"/>
    <w:rsid w:val="001824AB"/>
    <w:rsid w:val="001824EF"/>
    <w:rsid w:val="0018280C"/>
    <w:rsid w:val="001828C7"/>
    <w:rsid w:val="00182B33"/>
    <w:rsid w:val="00182BE6"/>
    <w:rsid w:val="00182D27"/>
    <w:rsid w:val="00182D5C"/>
    <w:rsid w:val="00182EAA"/>
    <w:rsid w:val="00182EF0"/>
    <w:rsid w:val="00182F0C"/>
    <w:rsid w:val="00182F46"/>
    <w:rsid w:val="00183132"/>
    <w:rsid w:val="001831CE"/>
    <w:rsid w:val="00183227"/>
    <w:rsid w:val="0018323F"/>
    <w:rsid w:val="00183271"/>
    <w:rsid w:val="00183317"/>
    <w:rsid w:val="00183345"/>
    <w:rsid w:val="00183376"/>
    <w:rsid w:val="00183466"/>
    <w:rsid w:val="001834A2"/>
    <w:rsid w:val="001835C4"/>
    <w:rsid w:val="001835C8"/>
    <w:rsid w:val="00183766"/>
    <w:rsid w:val="0018389D"/>
    <w:rsid w:val="00183947"/>
    <w:rsid w:val="0018397C"/>
    <w:rsid w:val="0018398D"/>
    <w:rsid w:val="001839AC"/>
    <w:rsid w:val="00183A2F"/>
    <w:rsid w:val="00183BEC"/>
    <w:rsid w:val="00183D06"/>
    <w:rsid w:val="00183E49"/>
    <w:rsid w:val="0018404F"/>
    <w:rsid w:val="0018409C"/>
    <w:rsid w:val="001842F1"/>
    <w:rsid w:val="0018434C"/>
    <w:rsid w:val="0018449B"/>
    <w:rsid w:val="00184605"/>
    <w:rsid w:val="001846CE"/>
    <w:rsid w:val="0018474C"/>
    <w:rsid w:val="00184784"/>
    <w:rsid w:val="0018498D"/>
    <w:rsid w:val="00184B60"/>
    <w:rsid w:val="00184E9D"/>
    <w:rsid w:val="001850CB"/>
    <w:rsid w:val="00185114"/>
    <w:rsid w:val="001851F5"/>
    <w:rsid w:val="00185442"/>
    <w:rsid w:val="0018545B"/>
    <w:rsid w:val="001854E4"/>
    <w:rsid w:val="00185638"/>
    <w:rsid w:val="0018588B"/>
    <w:rsid w:val="001858B2"/>
    <w:rsid w:val="0018596A"/>
    <w:rsid w:val="001859A0"/>
    <w:rsid w:val="00185ABE"/>
    <w:rsid w:val="00185AD3"/>
    <w:rsid w:val="00185AE2"/>
    <w:rsid w:val="00185B32"/>
    <w:rsid w:val="00185C47"/>
    <w:rsid w:val="00185C59"/>
    <w:rsid w:val="00185DFE"/>
    <w:rsid w:val="00185E7A"/>
    <w:rsid w:val="00185E8C"/>
    <w:rsid w:val="00185EBC"/>
    <w:rsid w:val="0018603C"/>
    <w:rsid w:val="001860D1"/>
    <w:rsid w:val="00186181"/>
    <w:rsid w:val="00186223"/>
    <w:rsid w:val="00186320"/>
    <w:rsid w:val="0018651B"/>
    <w:rsid w:val="001866DA"/>
    <w:rsid w:val="001867D9"/>
    <w:rsid w:val="00186947"/>
    <w:rsid w:val="0018696F"/>
    <w:rsid w:val="00186C27"/>
    <w:rsid w:val="00186D41"/>
    <w:rsid w:val="00186D4F"/>
    <w:rsid w:val="00186D9A"/>
    <w:rsid w:val="00186E0F"/>
    <w:rsid w:val="00186F09"/>
    <w:rsid w:val="00187035"/>
    <w:rsid w:val="001870E6"/>
    <w:rsid w:val="00187343"/>
    <w:rsid w:val="001873A2"/>
    <w:rsid w:val="001874AC"/>
    <w:rsid w:val="0018759A"/>
    <w:rsid w:val="001877DF"/>
    <w:rsid w:val="0018795C"/>
    <w:rsid w:val="00187A22"/>
    <w:rsid w:val="00187B1C"/>
    <w:rsid w:val="00187BB0"/>
    <w:rsid w:val="00187D53"/>
    <w:rsid w:val="00187E93"/>
    <w:rsid w:val="00190202"/>
    <w:rsid w:val="001903BC"/>
    <w:rsid w:val="001907EC"/>
    <w:rsid w:val="00190865"/>
    <w:rsid w:val="001908B6"/>
    <w:rsid w:val="00190966"/>
    <w:rsid w:val="001909EB"/>
    <w:rsid w:val="00190A21"/>
    <w:rsid w:val="00190B1A"/>
    <w:rsid w:val="00190B6F"/>
    <w:rsid w:val="00190CCC"/>
    <w:rsid w:val="00190DA6"/>
    <w:rsid w:val="00190E6E"/>
    <w:rsid w:val="00190FFD"/>
    <w:rsid w:val="00191137"/>
    <w:rsid w:val="0019118A"/>
    <w:rsid w:val="001911A7"/>
    <w:rsid w:val="00191377"/>
    <w:rsid w:val="001913DB"/>
    <w:rsid w:val="00191402"/>
    <w:rsid w:val="00191414"/>
    <w:rsid w:val="00191509"/>
    <w:rsid w:val="001915B5"/>
    <w:rsid w:val="001915DA"/>
    <w:rsid w:val="001916FE"/>
    <w:rsid w:val="0019172A"/>
    <w:rsid w:val="001917F9"/>
    <w:rsid w:val="00191990"/>
    <w:rsid w:val="00191C6A"/>
    <w:rsid w:val="00191D41"/>
    <w:rsid w:val="00191DB1"/>
    <w:rsid w:val="00191E0E"/>
    <w:rsid w:val="00191EB3"/>
    <w:rsid w:val="00191FC5"/>
    <w:rsid w:val="001920DB"/>
    <w:rsid w:val="0019231B"/>
    <w:rsid w:val="00192460"/>
    <w:rsid w:val="00192560"/>
    <w:rsid w:val="0019263D"/>
    <w:rsid w:val="0019269A"/>
    <w:rsid w:val="00192A79"/>
    <w:rsid w:val="00193019"/>
    <w:rsid w:val="00193056"/>
    <w:rsid w:val="0019309B"/>
    <w:rsid w:val="001930F6"/>
    <w:rsid w:val="001931A8"/>
    <w:rsid w:val="00193257"/>
    <w:rsid w:val="001933E3"/>
    <w:rsid w:val="001935EF"/>
    <w:rsid w:val="00193668"/>
    <w:rsid w:val="001937D1"/>
    <w:rsid w:val="0019390C"/>
    <w:rsid w:val="001939A4"/>
    <w:rsid w:val="00193A26"/>
    <w:rsid w:val="00193E87"/>
    <w:rsid w:val="00193F32"/>
    <w:rsid w:val="00193FEA"/>
    <w:rsid w:val="00194051"/>
    <w:rsid w:val="0019416E"/>
    <w:rsid w:val="001944E1"/>
    <w:rsid w:val="001944FA"/>
    <w:rsid w:val="00194659"/>
    <w:rsid w:val="0019469F"/>
    <w:rsid w:val="001946D9"/>
    <w:rsid w:val="0019475A"/>
    <w:rsid w:val="001947D5"/>
    <w:rsid w:val="0019481C"/>
    <w:rsid w:val="00194965"/>
    <w:rsid w:val="00194AF9"/>
    <w:rsid w:val="00194D95"/>
    <w:rsid w:val="00194DD3"/>
    <w:rsid w:val="00194EA8"/>
    <w:rsid w:val="00194FF8"/>
    <w:rsid w:val="001951EF"/>
    <w:rsid w:val="00195274"/>
    <w:rsid w:val="0019536B"/>
    <w:rsid w:val="00195377"/>
    <w:rsid w:val="0019538F"/>
    <w:rsid w:val="00195459"/>
    <w:rsid w:val="00195509"/>
    <w:rsid w:val="00195520"/>
    <w:rsid w:val="00195677"/>
    <w:rsid w:val="001956D9"/>
    <w:rsid w:val="001956DC"/>
    <w:rsid w:val="00195859"/>
    <w:rsid w:val="001958E8"/>
    <w:rsid w:val="001959E3"/>
    <w:rsid w:val="00195AA2"/>
    <w:rsid w:val="00195AA3"/>
    <w:rsid w:val="00195BA8"/>
    <w:rsid w:val="00195BDF"/>
    <w:rsid w:val="00195C45"/>
    <w:rsid w:val="00195D86"/>
    <w:rsid w:val="00196010"/>
    <w:rsid w:val="0019626F"/>
    <w:rsid w:val="001962A1"/>
    <w:rsid w:val="001963AD"/>
    <w:rsid w:val="00196479"/>
    <w:rsid w:val="001964CD"/>
    <w:rsid w:val="0019650A"/>
    <w:rsid w:val="0019653A"/>
    <w:rsid w:val="0019669F"/>
    <w:rsid w:val="00196710"/>
    <w:rsid w:val="001967E6"/>
    <w:rsid w:val="00196995"/>
    <w:rsid w:val="0019699C"/>
    <w:rsid w:val="00196AA1"/>
    <w:rsid w:val="00196B30"/>
    <w:rsid w:val="00196B8B"/>
    <w:rsid w:val="00196D01"/>
    <w:rsid w:val="00196D5A"/>
    <w:rsid w:val="00196DAE"/>
    <w:rsid w:val="00196DDD"/>
    <w:rsid w:val="001970A0"/>
    <w:rsid w:val="00197209"/>
    <w:rsid w:val="00197471"/>
    <w:rsid w:val="0019755D"/>
    <w:rsid w:val="001975B4"/>
    <w:rsid w:val="00197672"/>
    <w:rsid w:val="001977BB"/>
    <w:rsid w:val="001977E2"/>
    <w:rsid w:val="00197955"/>
    <w:rsid w:val="00197B73"/>
    <w:rsid w:val="00197B84"/>
    <w:rsid w:val="00197C75"/>
    <w:rsid w:val="00197C82"/>
    <w:rsid w:val="00197CCE"/>
    <w:rsid w:val="00197CD1"/>
    <w:rsid w:val="00197D95"/>
    <w:rsid w:val="001A00A3"/>
    <w:rsid w:val="001A031F"/>
    <w:rsid w:val="001A0380"/>
    <w:rsid w:val="001A042B"/>
    <w:rsid w:val="001A0517"/>
    <w:rsid w:val="001A0542"/>
    <w:rsid w:val="001A06D6"/>
    <w:rsid w:val="001A06FC"/>
    <w:rsid w:val="001A084E"/>
    <w:rsid w:val="001A098D"/>
    <w:rsid w:val="001A0A99"/>
    <w:rsid w:val="001A0D19"/>
    <w:rsid w:val="001A106F"/>
    <w:rsid w:val="001A10E3"/>
    <w:rsid w:val="001A111F"/>
    <w:rsid w:val="001A1211"/>
    <w:rsid w:val="001A123E"/>
    <w:rsid w:val="001A12C4"/>
    <w:rsid w:val="001A12F6"/>
    <w:rsid w:val="001A1342"/>
    <w:rsid w:val="001A1352"/>
    <w:rsid w:val="001A13B0"/>
    <w:rsid w:val="001A142C"/>
    <w:rsid w:val="001A1431"/>
    <w:rsid w:val="001A1457"/>
    <w:rsid w:val="001A14E7"/>
    <w:rsid w:val="001A155E"/>
    <w:rsid w:val="001A18F3"/>
    <w:rsid w:val="001A1C0B"/>
    <w:rsid w:val="001A1DFF"/>
    <w:rsid w:val="001A1FBC"/>
    <w:rsid w:val="001A204A"/>
    <w:rsid w:val="001A217E"/>
    <w:rsid w:val="001A2201"/>
    <w:rsid w:val="001A2410"/>
    <w:rsid w:val="001A24BD"/>
    <w:rsid w:val="001A252E"/>
    <w:rsid w:val="001A2790"/>
    <w:rsid w:val="001A2839"/>
    <w:rsid w:val="001A2C34"/>
    <w:rsid w:val="001A2E58"/>
    <w:rsid w:val="001A2F86"/>
    <w:rsid w:val="001A2FF0"/>
    <w:rsid w:val="001A300B"/>
    <w:rsid w:val="001A3168"/>
    <w:rsid w:val="001A31B3"/>
    <w:rsid w:val="001A3396"/>
    <w:rsid w:val="001A34A9"/>
    <w:rsid w:val="001A3648"/>
    <w:rsid w:val="001A3792"/>
    <w:rsid w:val="001A385D"/>
    <w:rsid w:val="001A3A21"/>
    <w:rsid w:val="001A3A49"/>
    <w:rsid w:val="001A3BD0"/>
    <w:rsid w:val="001A3E47"/>
    <w:rsid w:val="001A3E50"/>
    <w:rsid w:val="001A3E98"/>
    <w:rsid w:val="001A3F28"/>
    <w:rsid w:val="001A3F8B"/>
    <w:rsid w:val="001A40B4"/>
    <w:rsid w:val="001A4127"/>
    <w:rsid w:val="001A4136"/>
    <w:rsid w:val="001A42DA"/>
    <w:rsid w:val="001A43D3"/>
    <w:rsid w:val="001A443B"/>
    <w:rsid w:val="001A4753"/>
    <w:rsid w:val="001A47FD"/>
    <w:rsid w:val="001A481E"/>
    <w:rsid w:val="001A4BC1"/>
    <w:rsid w:val="001A4D67"/>
    <w:rsid w:val="001A4FE0"/>
    <w:rsid w:val="001A5024"/>
    <w:rsid w:val="001A50B7"/>
    <w:rsid w:val="001A5256"/>
    <w:rsid w:val="001A52E2"/>
    <w:rsid w:val="001A54BA"/>
    <w:rsid w:val="001A563C"/>
    <w:rsid w:val="001A56F7"/>
    <w:rsid w:val="001A570B"/>
    <w:rsid w:val="001A5892"/>
    <w:rsid w:val="001A59B0"/>
    <w:rsid w:val="001A5C4B"/>
    <w:rsid w:val="001A5C8C"/>
    <w:rsid w:val="001A5E30"/>
    <w:rsid w:val="001A5F20"/>
    <w:rsid w:val="001A6009"/>
    <w:rsid w:val="001A60AA"/>
    <w:rsid w:val="001A62BB"/>
    <w:rsid w:val="001A6609"/>
    <w:rsid w:val="001A66AD"/>
    <w:rsid w:val="001A67F3"/>
    <w:rsid w:val="001A6807"/>
    <w:rsid w:val="001A68DD"/>
    <w:rsid w:val="001A69B0"/>
    <w:rsid w:val="001A6BC6"/>
    <w:rsid w:val="001A6EC0"/>
    <w:rsid w:val="001A6F33"/>
    <w:rsid w:val="001A6F5F"/>
    <w:rsid w:val="001A6FE7"/>
    <w:rsid w:val="001A714A"/>
    <w:rsid w:val="001A7192"/>
    <w:rsid w:val="001A7295"/>
    <w:rsid w:val="001A73AB"/>
    <w:rsid w:val="001A7451"/>
    <w:rsid w:val="001A7546"/>
    <w:rsid w:val="001A7776"/>
    <w:rsid w:val="001A7786"/>
    <w:rsid w:val="001A7A3E"/>
    <w:rsid w:val="001A7AAB"/>
    <w:rsid w:val="001A7C06"/>
    <w:rsid w:val="001A7E08"/>
    <w:rsid w:val="001A7E14"/>
    <w:rsid w:val="001A7E78"/>
    <w:rsid w:val="001B008F"/>
    <w:rsid w:val="001B0139"/>
    <w:rsid w:val="001B0144"/>
    <w:rsid w:val="001B01F7"/>
    <w:rsid w:val="001B03D0"/>
    <w:rsid w:val="001B03EB"/>
    <w:rsid w:val="001B0496"/>
    <w:rsid w:val="001B07B6"/>
    <w:rsid w:val="001B09A5"/>
    <w:rsid w:val="001B09E5"/>
    <w:rsid w:val="001B0A82"/>
    <w:rsid w:val="001B0AFE"/>
    <w:rsid w:val="001B0C09"/>
    <w:rsid w:val="001B0CFF"/>
    <w:rsid w:val="001B0D02"/>
    <w:rsid w:val="001B0D52"/>
    <w:rsid w:val="001B0D6B"/>
    <w:rsid w:val="001B0E30"/>
    <w:rsid w:val="001B0F5B"/>
    <w:rsid w:val="001B1034"/>
    <w:rsid w:val="001B1082"/>
    <w:rsid w:val="001B10ED"/>
    <w:rsid w:val="001B1190"/>
    <w:rsid w:val="001B11A5"/>
    <w:rsid w:val="001B11EA"/>
    <w:rsid w:val="001B1530"/>
    <w:rsid w:val="001B157D"/>
    <w:rsid w:val="001B15B7"/>
    <w:rsid w:val="001B1643"/>
    <w:rsid w:val="001B16D5"/>
    <w:rsid w:val="001B1A1D"/>
    <w:rsid w:val="001B1A34"/>
    <w:rsid w:val="001B1B81"/>
    <w:rsid w:val="001B1C1E"/>
    <w:rsid w:val="001B1CED"/>
    <w:rsid w:val="001B1D9B"/>
    <w:rsid w:val="001B1E8F"/>
    <w:rsid w:val="001B1EBA"/>
    <w:rsid w:val="001B1EEF"/>
    <w:rsid w:val="001B1FD0"/>
    <w:rsid w:val="001B208D"/>
    <w:rsid w:val="001B20C5"/>
    <w:rsid w:val="001B20C6"/>
    <w:rsid w:val="001B20E7"/>
    <w:rsid w:val="001B2400"/>
    <w:rsid w:val="001B252B"/>
    <w:rsid w:val="001B2565"/>
    <w:rsid w:val="001B277F"/>
    <w:rsid w:val="001B27D1"/>
    <w:rsid w:val="001B28CD"/>
    <w:rsid w:val="001B28EA"/>
    <w:rsid w:val="001B2979"/>
    <w:rsid w:val="001B2C27"/>
    <w:rsid w:val="001B2C3B"/>
    <w:rsid w:val="001B2F27"/>
    <w:rsid w:val="001B2FA9"/>
    <w:rsid w:val="001B31BE"/>
    <w:rsid w:val="001B338F"/>
    <w:rsid w:val="001B35BA"/>
    <w:rsid w:val="001B3853"/>
    <w:rsid w:val="001B3A6A"/>
    <w:rsid w:val="001B3C04"/>
    <w:rsid w:val="001B3E30"/>
    <w:rsid w:val="001B3E4C"/>
    <w:rsid w:val="001B3F20"/>
    <w:rsid w:val="001B40BE"/>
    <w:rsid w:val="001B41DD"/>
    <w:rsid w:val="001B43F7"/>
    <w:rsid w:val="001B44EC"/>
    <w:rsid w:val="001B455A"/>
    <w:rsid w:val="001B467C"/>
    <w:rsid w:val="001B4835"/>
    <w:rsid w:val="001B483D"/>
    <w:rsid w:val="001B490A"/>
    <w:rsid w:val="001B4934"/>
    <w:rsid w:val="001B4958"/>
    <w:rsid w:val="001B4A88"/>
    <w:rsid w:val="001B4AB9"/>
    <w:rsid w:val="001B4B23"/>
    <w:rsid w:val="001B4D62"/>
    <w:rsid w:val="001B4D92"/>
    <w:rsid w:val="001B4E6B"/>
    <w:rsid w:val="001B4F52"/>
    <w:rsid w:val="001B4F87"/>
    <w:rsid w:val="001B51B1"/>
    <w:rsid w:val="001B531B"/>
    <w:rsid w:val="001B54D0"/>
    <w:rsid w:val="001B54E6"/>
    <w:rsid w:val="001B56A5"/>
    <w:rsid w:val="001B5982"/>
    <w:rsid w:val="001B5A36"/>
    <w:rsid w:val="001B5BDD"/>
    <w:rsid w:val="001B5E3D"/>
    <w:rsid w:val="001B5FAE"/>
    <w:rsid w:val="001B5FCD"/>
    <w:rsid w:val="001B6158"/>
    <w:rsid w:val="001B617C"/>
    <w:rsid w:val="001B64AB"/>
    <w:rsid w:val="001B6583"/>
    <w:rsid w:val="001B661B"/>
    <w:rsid w:val="001B66A1"/>
    <w:rsid w:val="001B66F6"/>
    <w:rsid w:val="001B6737"/>
    <w:rsid w:val="001B674E"/>
    <w:rsid w:val="001B6A97"/>
    <w:rsid w:val="001B6B52"/>
    <w:rsid w:val="001B6B70"/>
    <w:rsid w:val="001B6C77"/>
    <w:rsid w:val="001B6D81"/>
    <w:rsid w:val="001B6E7E"/>
    <w:rsid w:val="001B6F83"/>
    <w:rsid w:val="001B6FFD"/>
    <w:rsid w:val="001B7189"/>
    <w:rsid w:val="001B7215"/>
    <w:rsid w:val="001B73A4"/>
    <w:rsid w:val="001B73BE"/>
    <w:rsid w:val="001B754B"/>
    <w:rsid w:val="001B76C4"/>
    <w:rsid w:val="001B7895"/>
    <w:rsid w:val="001B790D"/>
    <w:rsid w:val="001B79C4"/>
    <w:rsid w:val="001B7AB0"/>
    <w:rsid w:val="001B7ADD"/>
    <w:rsid w:val="001B7B4D"/>
    <w:rsid w:val="001B7C2A"/>
    <w:rsid w:val="001B7C3A"/>
    <w:rsid w:val="001B7C88"/>
    <w:rsid w:val="001B7E3E"/>
    <w:rsid w:val="001B7EF6"/>
    <w:rsid w:val="001BF43C"/>
    <w:rsid w:val="001C018C"/>
    <w:rsid w:val="001C01ED"/>
    <w:rsid w:val="001C02EC"/>
    <w:rsid w:val="001C0482"/>
    <w:rsid w:val="001C0629"/>
    <w:rsid w:val="001C0B02"/>
    <w:rsid w:val="001C0B4B"/>
    <w:rsid w:val="001C0D45"/>
    <w:rsid w:val="001C0DEE"/>
    <w:rsid w:val="001C0F2A"/>
    <w:rsid w:val="001C1047"/>
    <w:rsid w:val="001C1450"/>
    <w:rsid w:val="001C15DA"/>
    <w:rsid w:val="001C18FB"/>
    <w:rsid w:val="001C19B3"/>
    <w:rsid w:val="001C1AB0"/>
    <w:rsid w:val="001C1AFB"/>
    <w:rsid w:val="001C1BC3"/>
    <w:rsid w:val="001C1CFF"/>
    <w:rsid w:val="001C1D64"/>
    <w:rsid w:val="001C1D8B"/>
    <w:rsid w:val="001C1DD7"/>
    <w:rsid w:val="001C1EA5"/>
    <w:rsid w:val="001C1EAA"/>
    <w:rsid w:val="001C1F7C"/>
    <w:rsid w:val="001C1FED"/>
    <w:rsid w:val="001C2040"/>
    <w:rsid w:val="001C20C7"/>
    <w:rsid w:val="001C2174"/>
    <w:rsid w:val="001C217F"/>
    <w:rsid w:val="001C2258"/>
    <w:rsid w:val="001C2480"/>
    <w:rsid w:val="001C24DF"/>
    <w:rsid w:val="001C2554"/>
    <w:rsid w:val="001C26A2"/>
    <w:rsid w:val="001C273E"/>
    <w:rsid w:val="001C278E"/>
    <w:rsid w:val="001C278F"/>
    <w:rsid w:val="001C2918"/>
    <w:rsid w:val="001C2A33"/>
    <w:rsid w:val="001C2A4E"/>
    <w:rsid w:val="001C2CA6"/>
    <w:rsid w:val="001C2D09"/>
    <w:rsid w:val="001C2D87"/>
    <w:rsid w:val="001C2E37"/>
    <w:rsid w:val="001C2F85"/>
    <w:rsid w:val="001C3026"/>
    <w:rsid w:val="001C30C5"/>
    <w:rsid w:val="001C3364"/>
    <w:rsid w:val="001C3367"/>
    <w:rsid w:val="001C3422"/>
    <w:rsid w:val="001C3440"/>
    <w:rsid w:val="001C3695"/>
    <w:rsid w:val="001C3837"/>
    <w:rsid w:val="001C386F"/>
    <w:rsid w:val="001C3893"/>
    <w:rsid w:val="001C3920"/>
    <w:rsid w:val="001C3A73"/>
    <w:rsid w:val="001C3B23"/>
    <w:rsid w:val="001C3C6D"/>
    <w:rsid w:val="001C3D10"/>
    <w:rsid w:val="001C3D75"/>
    <w:rsid w:val="001C3EDD"/>
    <w:rsid w:val="001C3FA0"/>
    <w:rsid w:val="001C3FEC"/>
    <w:rsid w:val="001C4060"/>
    <w:rsid w:val="001C4069"/>
    <w:rsid w:val="001C4087"/>
    <w:rsid w:val="001C4106"/>
    <w:rsid w:val="001C4135"/>
    <w:rsid w:val="001C419B"/>
    <w:rsid w:val="001C41D5"/>
    <w:rsid w:val="001C42DE"/>
    <w:rsid w:val="001C4372"/>
    <w:rsid w:val="001C453E"/>
    <w:rsid w:val="001C45AA"/>
    <w:rsid w:val="001C469F"/>
    <w:rsid w:val="001C46F5"/>
    <w:rsid w:val="001C470F"/>
    <w:rsid w:val="001C4712"/>
    <w:rsid w:val="001C4721"/>
    <w:rsid w:val="001C4777"/>
    <w:rsid w:val="001C4935"/>
    <w:rsid w:val="001C4A06"/>
    <w:rsid w:val="001C4CDD"/>
    <w:rsid w:val="001C5064"/>
    <w:rsid w:val="001C5109"/>
    <w:rsid w:val="001C5230"/>
    <w:rsid w:val="001C539A"/>
    <w:rsid w:val="001C5755"/>
    <w:rsid w:val="001C5842"/>
    <w:rsid w:val="001C5AD4"/>
    <w:rsid w:val="001C5B2E"/>
    <w:rsid w:val="001C5B49"/>
    <w:rsid w:val="001C5BB0"/>
    <w:rsid w:val="001C5BE0"/>
    <w:rsid w:val="001C5C3C"/>
    <w:rsid w:val="001C5DC8"/>
    <w:rsid w:val="001C5E04"/>
    <w:rsid w:val="001C5F94"/>
    <w:rsid w:val="001C605E"/>
    <w:rsid w:val="001C6092"/>
    <w:rsid w:val="001C60A1"/>
    <w:rsid w:val="001C62BA"/>
    <w:rsid w:val="001C635B"/>
    <w:rsid w:val="001C638A"/>
    <w:rsid w:val="001C645C"/>
    <w:rsid w:val="001C6514"/>
    <w:rsid w:val="001C66C7"/>
    <w:rsid w:val="001C677F"/>
    <w:rsid w:val="001C679C"/>
    <w:rsid w:val="001C67B0"/>
    <w:rsid w:val="001C68F3"/>
    <w:rsid w:val="001C6954"/>
    <w:rsid w:val="001C6A01"/>
    <w:rsid w:val="001C6D09"/>
    <w:rsid w:val="001C6D52"/>
    <w:rsid w:val="001C6DB9"/>
    <w:rsid w:val="001C6E1F"/>
    <w:rsid w:val="001C7077"/>
    <w:rsid w:val="001C709D"/>
    <w:rsid w:val="001C729B"/>
    <w:rsid w:val="001C72B1"/>
    <w:rsid w:val="001C73E5"/>
    <w:rsid w:val="001C7455"/>
    <w:rsid w:val="001C747E"/>
    <w:rsid w:val="001C7828"/>
    <w:rsid w:val="001C7834"/>
    <w:rsid w:val="001C78D2"/>
    <w:rsid w:val="001C792A"/>
    <w:rsid w:val="001C7949"/>
    <w:rsid w:val="001C79D6"/>
    <w:rsid w:val="001C7B7B"/>
    <w:rsid w:val="001C7BAE"/>
    <w:rsid w:val="001C7CBD"/>
    <w:rsid w:val="001C7CDB"/>
    <w:rsid w:val="001D0014"/>
    <w:rsid w:val="001D002B"/>
    <w:rsid w:val="001D01C4"/>
    <w:rsid w:val="001D038F"/>
    <w:rsid w:val="001D04DE"/>
    <w:rsid w:val="001D06F6"/>
    <w:rsid w:val="001D076D"/>
    <w:rsid w:val="001D08A4"/>
    <w:rsid w:val="001D0A41"/>
    <w:rsid w:val="001D0B05"/>
    <w:rsid w:val="001D0B9A"/>
    <w:rsid w:val="001D0BA2"/>
    <w:rsid w:val="001D0C0D"/>
    <w:rsid w:val="001D0CC6"/>
    <w:rsid w:val="001D0D7B"/>
    <w:rsid w:val="001D0E43"/>
    <w:rsid w:val="001D116A"/>
    <w:rsid w:val="001D118B"/>
    <w:rsid w:val="001D1205"/>
    <w:rsid w:val="001D1573"/>
    <w:rsid w:val="001D16FB"/>
    <w:rsid w:val="001D17B4"/>
    <w:rsid w:val="001D17CE"/>
    <w:rsid w:val="001D19B2"/>
    <w:rsid w:val="001D19D2"/>
    <w:rsid w:val="001D1AFC"/>
    <w:rsid w:val="001D1BDB"/>
    <w:rsid w:val="001D1BF9"/>
    <w:rsid w:val="001D1D12"/>
    <w:rsid w:val="001D1F47"/>
    <w:rsid w:val="001D1FF9"/>
    <w:rsid w:val="001D23F0"/>
    <w:rsid w:val="001D23FF"/>
    <w:rsid w:val="001D24A6"/>
    <w:rsid w:val="001D2732"/>
    <w:rsid w:val="001D27ED"/>
    <w:rsid w:val="001D283B"/>
    <w:rsid w:val="001D2875"/>
    <w:rsid w:val="001D291C"/>
    <w:rsid w:val="001D2926"/>
    <w:rsid w:val="001D29F2"/>
    <w:rsid w:val="001D2A54"/>
    <w:rsid w:val="001D2B59"/>
    <w:rsid w:val="001D2C3B"/>
    <w:rsid w:val="001D2C7C"/>
    <w:rsid w:val="001D2D50"/>
    <w:rsid w:val="001D2E02"/>
    <w:rsid w:val="001D2E81"/>
    <w:rsid w:val="001D2F67"/>
    <w:rsid w:val="001D31F0"/>
    <w:rsid w:val="001D31F5"/>
    <w:rsid w:val="001D3271"/>
    <w:rsid w:val="001D3382"/>
    <w:rsid w:val="001D33AC"/>
    <w:rsid w:val="001D3465"/>
    <w:rsid w:val="001D36EA"/>
    <w:rsid w:val="001D377D"/>
    <w:rsid w:val="001D3A62"/>
    <w:rsid w:val="001D3B3C"/>
    <w:rsid w:val="001D3B74"/>
    <w:rsid w:val="001D3D14"/>
    <w:rsid w:val="001D3EDB"/>
    <w:rsid w:val="001D41E3"/>
    <w:rsid w:val="001D4391"/>
    <w:rsid w:val="001D446F"/>
    <w:rsid w:val="001D4632"/>
    <w:rsid w:val="001D4672"/>
    <w:rsid w:val="001D4A04"/>
    <w:rsid w:val="001D4C46"/>
    <w:rsid w:val="001D4CEA"/>
    <w:rsid w:val="001D4D00"/>
    <w:rsid w:val="001D4E4C"/>
    <w:rsid w:val="001D51EB"/>
    <w:rsid w:val="001D5206"/>
    <w:rsid w:val="001D52BC"/>
    <w:rsid w:val="001D541B"/>
    <w:rsid w:val="001D5767"/>
    <w:rsid w:val="001D58D0"/>
    <w:rsid w:val="001D5928"/>
    <w:rsid w:val="001D5E7B"/>
    <w:rsid w:val="001D5EC3"/>
    <w:rsid w:val="001D5F29"/>
    <w:rsid w:val="001D5F65"/>
    <w:rsid w:val="001D601F"/>
    <w:rsid w:val="001D6062"/>
    <w:rsid w:val="001D60AE"/>
    <w:rsid w:val="001D616B"/>
    <w:rsid w:val="001D61DF"/>
    <w:rsid w:val="001D633A"/>
    <w:rsid w:val="001D63EA"/>
    <w:rsid w:val="001D68BE"/>
    <w:rsid w:val="001D68D0"/>
    <w:rsid w:val="001D6901"/>
    <w:rsid w:val="001D6915"/>
    <w:rsid w:val="001D6986"/>
    <w:rsid w:val="001D6A0F"/>
    <w:rsid w:val="001D6AA0"/>
    <w:rsid w:val="001D6ACC"/>
    <w:rsid w:val="001D6B1D"/>
    <w:rsid w:val="001D6C5F"/>
    <w:rsid w:val="001D6C8A"/>
    <w:rsid w:val="001D6D8A"/>
    <w:rsid w:val="001D6D98"/>
    <w:rsid w:val="001D6DA6"/>
    <w:rsid w:val="001D6FD4"/>
    <w:rsid w:val="001D7109"/>
    <w:rsid w:val="001D72D1"/>
    <w:rsid w:val="001D74F2"/>
    <w:rsid w:val="001D7554"/>
    <w:rsid w:val="001D75F1"/>
    <w:rsid w:val="001D75FC"/>
    <w:rsid w:val="001D782F"/>
    <w:rsid w:val="001D79D9"/>
    <w:rsid w:val="001D7A43"/>
    <w:rsid w:val="001D7ABF"/>
    <w:rsid w:val="001D7D41"/>
    <w:rsid w:val="001D7E40"/>
    <w:rsid w:val="001E0045"/>
    <w:rsid w:val="001E0254"/>
    <w:rsid w:val="001E02C6"/>
    <w:rsid w:val="001E02F5"/>
    <w:rsid w:val="001E0565"/>
    <w:rsid w:val="001E0582"/>
    <w:rsid w:val="001E059D"/>
    <w:rsid w:val="001E06F9"/>
    <w:rsid w:val="001E08BE"/>
    <w:rsid w:val="001E0B1F"/>
    <w:rsid w:val="001E0D8F"/>
    <w:rsid w:val="001E0E12"/>
    <w:rsid w:val="001E0FAE"/>
    <w:rsid w:val="001E1200"/>
    <w:rsid w:val="001E1239"/>
    <w:rsid w:val="001E1399"/>
    <w:rsid w:val="001E13D6"/>
    <w:rsid w:val="001E1525"/>
    <w:rsid w:val="001E18BD"/>
    <w:rsid w:val="001E1946"/>
    <w:rsid w:val="001E1A19"/>
    <w:rsid w:val="001E1D32"/>
    <w:rsid w:val="001E1D38"/>
    <w:rsid w:val="001E1E1A"/>
    <w:rsid w:val="001E1F10"/>
    <w:rsid w:val="001E22DD"/>
    <w:rsid w:val="001E2543"/>
    <w:rsid w:val="001E2705"/>
    <w:rsid w:val="001E27AA"/>
    <w:rsid w:val="001E2AED"/>
    <w:rsid w:val="001E2B4B"/>
    <w:rsid w:val="001E2CD6"/>
    <w:rsid w:val="001E3071"/>
    <w:rsid w:val="001E30EA"/>
    <w:rsid w:val="001E31C5"/>
    <w:rsid w:val="001E32FF"/>
    <w:rsid w:val="001E357A"/>
    <w:rsid w:val="001E3599"/>
    <w:rsid w:val="001E3ABC"/>
    <w:rsid w:val="001E3AF1"/>
    <w:rsid w:val="001E3CC4"/>
    <w:rsid w:val="001E3D0B"/>
    <w:rsid w:val="001E3D40"/>
    <w:rsid w:val="001E419F"/>
    <w:rsid w:val="001E42B2"/>
    <w:rsid w:val="001E45FC"/>
    <w:rsid w:val="001E47C0"/>
    <w:rsid w:val="001E4802"/>
    <w:rsid w:val="001E490B"/>
    <w:rsid w:val="001E4912"/>
    <w:rsid w:val="001E4C07"/>
    <w:rsid w:val="001E4C92"/>
    <w:rsid w:val="001E4D06"/>
    <w:rsid w:val="001E4DE2"/>
    <w:rsid w:val="001E4F03"/>
    <w:rsid w:val="001E4F5E"/>
    <w:rsid w:val="001E508A"/>
    <w:rsid w:val="001E51A2"/>
    <w:rsid w:val="001E52F3"/>
    <w:rsid w:val="001E5327"/>
    <w:rsid w:val="001E54BF"/>
    <w:rsid w:val="001E5875"/>
    <w:rsid w:val="001E58DB"/>
    <w:rsid w:val="001E5A97"/>
    <w:rsid w:val="001E5C2E"/>
    <w:rsid w:val="001E5E26"/>
    <w:rsid w:val="001E5ED5"/>
    <w:rsid w:val="001E5EE3"/>
    <w:rsid w:val="001E5F59"/>
    <w:rsid w:val="001E5F65"/>
    <w:rsid w:val="001E61F8"/>
    <w:rsid w:val="001E6237"/>
    <w:rsid w:val="001E6396"/>
    <w:rsid w:val="001E6453"/>
    <w:rsid w:val="001E65FA"/>
    <w:rsid w:val="001E6870"/>
    <w:rsid w:val="001E6A4A"/>
    <w:rsid w:val="001E6B8F"/>
    <w:rsid w:val="001E6BCD"/>
    <w:rsid w:val="001E6C0F"/>
    <w:rsid w:val="001E6C22"/>
    <w:rsid w:val="001E6CA1"/>
    <w:rsid w:val="001E6E42"/>
    <w:rsid w:val="001E6E51"/>
    <w:rsid w:val="001E7056"/>
    <w:rsid w:val="001E7081"/>
    <w:rsid w:val="001E7102"/>
    <w:rsid w:val="001E7114"/>
    <w:rsid w:val="001E711E"/>
    <w:rsid w:val="001E7215"/>
    <w:rsid w:val="001E7541"/>
    <w:rsid w:val="001E75EA"/>
    <w:rsid w:val="001E778B"/>
    <w:rsid w:val="001E786D"/>
    <w:rsid w:val="001E7964"/>
    <w:rsid w:val="001E797B"/>
    <w:rsid w:val="001E7A0A"/>
    <w:rsid w:val="001E7CDC"/>
    <w:rsid w:val="001E7E30"/>
    <w:rsid w:val="001F002D"/>
    <w:rsid w:val="001F00F1"/>
    <w:rsid w:val="001F0305"/>
    <w:rsid w:val="001F042D"/>
    <w:rsid w:val="001F04BA"/>
    <w:rsid w:val="001F05EA"/>
    <w:rsid w:val="001F0843"/>
    <w:rsid w:val="001F087C"/>
    <w:rsid w:val="001F09C0"/>
    <w:rsid w:val="001F0ABB"/>
    <w:rsid w:val="001F0AC0"/>
    <w:rsid w:val="001F0D94"/>
    <w:rsid w:val="001F0EB0"/>
    <w:rsid w:val="001F0F32"/>
    <w:rsid w:val="001F0F93"/>
    <w:rsid w:val="001F1032"/>
    <w:rsid w:val="001F109E"/>
    <w:rsid w:val="001F12A8"/>
    <w:rsid w:val="001F137E"/>
    <w:rsid w:val="001F1468"/>
    <w:rsid w:val="001F14EF"/>
    <w:rsid w:val="001F15FC"/>
    <w:rsid w:val="001F1744"/>
    <w:rsid w:val="001F183B"/>
    <w:rsid w:val="001F196F"/>
    <w:rsid w:val="001F199C"/>
    <w:rsid w:val="001F19DB"/>
    <w:rsid w:val="001F19EB"/>
    <w:rsid w:val="001F1A86"/>
    <w:rsid w:val="001F1B11"/>
    <w:rsid w:val="001F1B90"/>
    <w:rsid w:val="001F1BFA"/>
    <w:rsid w:val="001F1CAF"/>
    <w:rsid w:val="001F1DCD"/>
    <w:rsid w:val="001F1DFD"/>
    <w:rsid w:val="001F2030"/>
    <w:rsid w:val="001F2079"/>
    <w:rsid w:val="001F2099"/>
    <w:rsid w:val="001F215F"/>
    <w:rsid w:val="001F216C"/>
    <w:rsid w:val="001F231B"/>
    <w:rsid w:val="001F252A"/>
    <w:rsid w:val="001F2700"/>
    <w:rsid w:val="001F280B"/>
    <w:rsid w:val="001F2916"/>
    <w:rsid w:val="001F2940"/>
    <w:rsid w:val="001F296D"/>
    <w:rsid w:val="001F2C34"/>
    <w:rsid w:val="001F2C9C"/>
    <w:rsid w:val="001F2D69"/>
    <w:rsid w:val="001F2E02"/>
    <w:rsid w:val="001F2EC5"/>
    <w:rsid w:val="001F2EF7"/>
    <w:rsid w:val="001F2F9A"/>
    <w:rsid w:val="001F2FC1"/>
    <w:rsid w:val="001F31AA"/>
    <w:rsid w:val="001F3240"/>
    <w:rsid w:val="001F32FF"/>
    <w:rsid w:val="001F33B9"/>
    <w:rsid w:val="001F33E0"/>
    <w:rsid w:val="001F347E"/>
    <w:rsid w:val="001F3655"/>
    <w:rsid w:val="001F36C7"/>
    <w:rsid w:val="001F3722"/>
    <w:rsid w:val="001F37FC"/>
    <w:rsid w:val="001F39B8"/>
    <w:rsid w:val="001F39E5"/>
    <w:rsid w:val="001F3A52"/>
    <w:rsid w:val="001F3AE4"/>
    <w:rsid w:val="001F3BDF"/>
    <w:rsid w:val="001F3C15"/>
    <w:rsid w:val="001F3D16"/>
    <w:rsid w:val="001F3EE7"/>
    <w:rsid w:val="001F4043"/>
    <w:rsid w:val="001F422F"/>
    <w:rsid w:val="001F4411"/>
    <w:rsid w:val="001F44DD"/>
    <w:rsid w:val="001F460B"/>
    <w:rsid w:val="001F471A"/>
    <w:rsid w:val="001F47E1"/>
    <w:rsid w:val="001F4893"/>
    <w:rsid w:val="001F4ED7"/>
    <w:rsid w:val="001F4FC8"/>
    <w:rsid w:val="001F5299"/>
    <w:rsid w:val="001F5490"/>
    <w:rsid w:val="001F5500"/>
    <w:rsid w:val="001F55F5"/>
    <w:rsid w:val="001F560E"/>
    <w:rsid w:val="001F5684"/>
    <w:rsid w:val="001F5750"/>
    <w:rsid w:val="001F576A"/>
    <w:rsid w:val="001F57D3"/>
    <w:rsid w:val="001F594D"/>
    <w:rsid w:val="001F59E3"/>
    <w:rsid w:val="001F5A9F"/>
    <w:rsid w:val="001F5B84"/>
    <w:rsid w:val="001F5CCC"/>
    <w:rsid w:val="001F5F32"/>
    <w:rsid w:val="001F5FBB"/>
    <w:rsid w:val="001F5FC5"/>
    <w:rsid w:val="001F6011"/>
    <w:rsid w:val="001F60F8"/>
    <w:rsid w:val="001F629F"/>
    <w:rsid w:val="001F630E"/>
    <w:rsid w:val="001F6375"/>
    <w:rsid w:val="001F6416"/>
    <w:rsid w:val="001F64DE"/>
    <w:rsid w:val="001F64EB"/>
    <w:rsid w:val="001F655E"/>
    <w:rsid w:val="001F6716"/>
    <w:rsid w:val="001F6CEE"/>
    <w:rsid w:val="001F6E93"/>
    <w:rsid w:val="001F71FE"/>
    <w:rsid w:val="001F738E"/>
    <w:rsid w:val="001F7690"/>
    <w:rsid w:val="001F7803"/>
    <w:rsid w:val="001F781F"/>
    <w:rsid w:val="001F7946"/>
    <w:rsid w:val="001F7D39"/>
    <w:rsid w:val="001F7E0A"/>
    <w:rsid w:val="001F7E85"/>
    <w:rsid w:val="001F7EFA"/>
    <w:rsid w:val="001F7FBE"/>
    <w:rsid w:val="001F7FEF"/>
    <w:rsid w:val="002000D1"/>
    <w:rsid w:val="0020012C"/>
    <w:rsid w:val="00200305"/>
    <w:rsid w:val="00200446"/>
    <w:rsid w:val="002004B5"/>
    <w:rsid w:val="002006EE"/>
    <w:rsid w:val="0020076A"/>
    <w:rsid w:val="00200798"/>
    <w:rsid w:val="0020086E"/>
    <w:rsid w:val="002008A1"/>
    <w:rsid w:val="00200AC2"/>
    <w:rsid w:val="00200ADE"/>
    <w:rsid w:val="00200C19"/>
    <w:rsid w:val="00200EED"/>
    <w:rsid w:val="00200F96"/>
    <w:rsid w:val="00201068"/>
    <w:rsid w:val="002013FD"/>
    <w:rsid w:val="00201477"/>
    <w:rsid w:val="002014A0"/>
    <w:rsid w:val="0020150B"/>
    <w:rsid w:val="00201510"/>
    <w:rsid w:val="002015FF"/>
    <w:rsid w:val="0020161E"/>
    <w:rsid w:val="00201989"/>
    <w:rsid w:val="0020199C"/>
    <w:rsid w:val="002019E1"/>
    <w:rsid w:val="00201B12"/>
    <w:rsid w:val="00201B8F"/>
    <w:rsid w:val="00201C99"/>
    <w:rsid w:val="00201CBC"/>
    <w:rsid w:val="00201D02"/>
    <w:rsid w:val="00201DC5"/>
    <w:rsid w:val="00201E0C"/>
    <w:rsid w:val="00201E52"/>
    <w:rsid w:val="00201E93"/>
    <w:rsid w:val="00201F9A"/>
    <w:rsid w:val="00202135"/>
    <w:rsid w:val="0020221B"/>
    <w:rsid w:val="002023DE"/>
    <w:rsid w:val="00202570"/>
    <w:rsid w:val="00202586"/>
    <w:rsid w:val="00202685"/>
    <w:rsid w:val="0020273E"/>
    <w:rsid w:val="00202765"/>
    <w:rsid w:val="0020293B"/>
    <w:rsid w:val="00202A3A"/>
    <w:rsid w:val="00202C76"/>
    <w:rsid w:val="00202D2F"/>
    <w:rsid w:val="00202DC2"/>
    <w:rsid w:val="00202EC0"/>
    <w:rsid w:val="0020303B"/>
    <w:rsid w:val="00203073"/>
    <w:rsid w:val="002030A5"/>
    <w:rsid w:val="002030E4"/>
    <w:rsid w:val="00203138"/>
    <w:rsid w:val="00203204"/>
    <w:rsid w:val="0020327F"/>
    <w:rsid w:val="00203291"/>
    <w:rsid w:val="00203353"/>
    <w:rsid w:val="002036A5"/>
    <w:rsid w:val="002036AE"/>
    <w:rsid w:val="00203749"/>
    <w:rsid w:val="0020374C"/>
    <w:rsid w:val="0020375D"/>
    <w:rsid w:val="002037A1"/>
    <w:rsid w:val="00203A1D"/>
    <w:rsid w:val="00203A5D"/>
    <w:rsid w:val="00203B54"/>
    <w:rsid w:val="00203B7A"/>
    <w:rsid w:val="00203C2A"/>
    <w:rsid w:val="00203C34"/>
    <w:rsid w:val="00203CEB"/>
    <w:rsid w:val="00203F9A"/>
    <w:rsid w:val="00204125"/>
    <w:rsid w:val="00204143"/>
    <w:rsid w:val="0020417B"/>
    <w:rsid w:val="0020420D"/>
    <w:rsid w:val="002042E2"/>
    <w:rsid w:val="00204381"/>
    <w:rsid w:val="0020439F"/>
    <w:rsid w:val="002043C0"/>
    <w:rsid w:val="002043C1"/>
    <w:rsid w:val="002045C5"/>
    <w:rsid w:val="0020464C"/>
    <w:rsid w:val="002046F2"/>
    <w:rsid w:val="0020479A"/>
    <w:rsid w:val="002047DF"/>
    <w:rsid w:val="002047E4"/>
    <w:rsid w:val="0020494A"/>
    <w:rsid w:val="00204B67"/>
    <w:rsid w:val="00204C0F"/>
    <w:rsid w:val="00204CC5"/>
    <w:rsid w:val="00204D24"/>
    <w:rsid w:val="00204D93"/>
    <w:rsid w:val="00204EF3"/>
    <w:rsid w:val="00204F16"/>
    <w:rsid w:val="0020509F"/>
    <w:rsid w:val="002050A0"/>
    <w:rsid w:val="00205428"/>
    <w:rsid w:val="002058BD"/>
    <w:rsid w:val="00205C8E"/>
    <w:rsid w:val="00205D36"/>
    <w:rsid w:val="00206205"/>
    <w:rsid w:val="00206564"/>
    <w:rsid w:val="00206598"/>
    <w:rsid w:val="002066F7"/>
    <w:rsid w:val="0020677B"/>
    <w:rsid w:val="002067F0"/>
    <w:rsid w:val="002069C0"/>
    <w:rsid w:val="00206AA8"/>
    <w:rsid w:val="00206D54"/>
    <w:rsid w:val="00206EAE"/>
    <w:rsid w:val="00206EBB"/>
    <w:rsid w:val="00206F2D"/>
    <w:rsid w:val="00206F40"/>
    <w:rsid w:val="00206FAF"/>
    <w:rsid w:val="0020701B"/>
    <w:rsid w:val="00207093"/>
    <w:rsid w:val="00207108"/>
    <w:rsid w:val="002072F3"/>
    <w:rsid w:val="0020731A"/>
    <w:rsid w:val="00207388"/>
    <w:rsid w:val="00207538"/>
    <w:rsid w:val="00207578"/>
    <w:rsid w:val="00207644"/>
    <w:rsid w:val="002078DD"/>
    <w:rsid w:val="00207971"/>
    <w:rsid w:val="00207A51"/>
    <w:rsid w:val="00207B9A"/>
    <w:rsid w:val="00207C83"/>
    <w:rsid w:val="00207EE5"/>
    <w:rsid w:val="00210016"/>
    <w:rsid w:val="00210186"/>
    <w:rsid w:val="002101D5"/>
    <w:rsid w:val="00210229"/>
    <w:rsid w:val="00210250"/>
    <w:rsid w:val="002104B7"/>
    <w:rsid w:val="002105F8"/>
    <w:rsid w:val="00210610"/>
    <w:rsid w:val="0021069A"/>
    <w:rsid w:val="00210726"/>
    <w:rsid w:val="002108B3"/>
    <w:rsid w:val="00210A6C"/>
    <w:rsid w:val="00210ABE"/>
    <w:rsid w:val="00210B99"/>
    <w:rsid w:val="00210E29"/>
    <w:rsid w:val="00210FCB"/>
    <w:rsid w:val="0021107F"/>
    <w:rsid w:val="0021133C"/>
    <w:rsid w:val="002113E3"/>
    <w:rsid w:val="00211422"/>
    <w:rsid w:val="002114EC"/>
    <w:rsid w:val="0021155F"/>
    <w:rsid w:val="002115A2"/>
    <w:rsid w:val="0021169D"/>
    <w:rsid w:val="002116E7"/>
    <w:rsid w:val="002118CC"/>
    <w:rsid w:val="00211A86"/>
    <w:rsid w:val="00211AFD"/>
    <w:rsid w:val="00211B82"/>
    <w:rsid w:val="00211D83"/>
    <w:rsid w:val="00211E32"/>
    <w:rsid w:val="00211F21"/>
    <w:rsid w:val="00211FC5"/>
    <w:rsid w:val="002120AD"/>
    <w:rsid w:val="002120FC"/>
    <w:rsid w:val="00212146"/>
    <w:rsid w:val="00212203"/>
    <w:rsid w:val="002122C3"/>
    <w:rsid w:val="002123B3"/>
    <w:rsid w:val="0021243C"/>
    <w:rsid w:val="0021247A"/>
    <w:rsid w:val="002126A9"/>
    <w:rsid w:val="002126D0"/>
    <w:rsid w:val="00212768"/>
    <w:rsid w:val="00212905"/>
    <w:rsid w:val="00212923"/>
    <w:rsid w:val="00212A6F"/>
    <w:rsid w:val="00212B03"/>
    <w:rsid w:val="00212B90"/>
    <w:rsid w:val="00212EC8"/>
    <w:rsid w:val="00212F29"/>
    <w:rsid w:val="00212FF5"/>
    <w:rsid w:val="002131BB"/>
    <w:rsid w:val="002131EC"/>
    <w:rsid w:val="002131EE"/>
    <w:rsid w:val="00213490"/>
    <w:rsid w:val="002134C4"/>
    <w:rsid w:val="0021360F"/>
    <w:rsid w:val="0021375C"/>
    <w:rsid w:val="00213ABE"/>
    <w:rsid w:val="00213BD1"/>
    <w:rsid w:val="00213E93"/>
    <w:rsid w:val="00213EA3"/>
    <w:rsid w:val="0021408D"/>
    <w:rsid w:val="002140B8"/>
    <w:rsid w:val="00214252"/>
    <w:rsid w:val="0021442C"/>
    <w:rsid w:val="00214645"/>
    <w:rsid w:val="0021467D"/>
    <w:rsid w:val="0021479E"/>
    <w:rsid w:val="002147A7"/>
    <w:rsid w:val="00214B2A"/>
    <w:rsid w:val="00214B43"/>
    <w:rsid w:val="00214B59"/>
    <w:rsid w:val="00214C93"/>
    <w:rsid w:val="00214D4E"/>
    <w:rsid w:val="00214E33"/>
    <w:rsid w:val="00214F05"/>
    <w:rsid w:val="002150AB"/>
    <w:rsid w:val="0021529C"/>
    <w:rsid w:val="00215322"/>
    <w:rsid w:val="002155BE"/>
    <w:rsid w:val="00215714"/>
    <w:rsid w:val="0021583B"/>
    <w:rsid w:val="00215916"/>
    <w:rsid w:val="002159F2"/>
    <w:rsid w:val="00215AB2"/>
    <w:rsid w:val="00215ADD"/>
    <w:rsid w:val="00215B74"/>
    <w:rsid w:val="00215C41"/>
    <w:rsid w:val="00215D83"/>
    <w:rsid w:val="00215F52"/>
    <w:rsid w:val="00215FB0"/>
    <w:rsid w:val="00215FD4"/>
    <w:rsid w:val="00215FF6"/>
    <w:rsid w:val="00216151"/>
    <w:rsid w:val="00216282"/>
    <w:rsid w:val="0021634A"/>
    <w:rsid w:val="00216360"/>
    <w:rsid w:val="002163D9"/>
    <w:rsid w:val="002167D7"/>
    <w:rsid w:val="00216891"/>
    <w:rsid w:val="002169C9"/>
    <w:rsid w:val="00216AAB"/>
    <w:rsid w:val="00216B52"/>
    <w:rsid w:val="00216C6D"/>
    <w:rsid w:val="00216D41"/>
    <w:rsid w:val="00216DF5"/>
    <w:rsid w:val="00216E53"/>
    <w:rsid w:val="00216FFD"/>
    <w:rsid w:val="0021769B"/>
    <w:rsid w:val="002176C6"/>
    <w:rsid w:val="002177E5"/>
    <w:rsid w:val="0021785F"/>
    <w:rsid w:val="002179FE"/>
    <w:rsid w:val="00217A00"/>
    <w:rsid w:val="00217ACF"/>
    <w:rsid w:val="00217AD3"/>
    <w:rsid w:val="00217AF1"/>
    <w:rsid w:val="00217B28"/>
    <w:rsid w:val="00217B63"/>
    <w:rsid w:val="00217D03"/>
    <w:rsid w:val="00217D71"/>
    <w:rsid w:val="00217D76"/>
    <w:rsid w:val="00217F0D"/>
    <w:rsid w:val="00217FF0"/>
    <w:rsid w:val="002202E0"/>
    <w:rsid w:val="0022038E"/>
    <w:rsid w:val="002203D4"/>
    <w:rsid w:val="00220524"/>
    <w:rsid w:val="00220559"/>
    <w:rsid w:val="002206C8"/>
    <w:rsid w:val="002206F0"/>
    <w:rsid w:val="0022078C"/>
    <w:rsid w:val="00220800"/>
    <w:rsid w:val="002209B5"/>
    <w:rsid w:val="00220A63"/>
    <w:rsid w:val="00220B5D"/>
    <w:rsid w:val="00220D5E"/>
    <w:rsid w:val="00220EAB"/>
    <w:rsid w:val="00220F9C"/>
    <w:rsid w:val="0022107B"/>
    <w:rsid w:val="002210D4"/>
    <w:rsid w:val="00221283"/>
    <w:rsid w:val="002212AF"/>
    <w:rsid w:val="002212D1"/>
    <w:rsid w:val="002214AC"/>
    <w:rsid w:val="002214D0"/>
    <w:rsid w:val="00221531"/>
    <w:rsid w:val="002215EB"/>
    <w:rsid w:val="00221608"/>
    <w:rsid w:val="002217CC"/>
    <w:rsid w:val="0022193A"/>
    <w:rsid w:val="00221B15"/>
    <w:rsid w:val="00221C0B"/>
    <w:rsid w:val="00221C57"/>
    <w:rsid w:val="00221D47"/>
    <w:rsid w:val="00222327"/>
    <w:rsid w:val="002223CE"/>
    <w:rsid w:val="0022251E"/>
    <w:rsid w:val="00222583"/>
    <w:rsid w:val="002227FD"/>
    <w:rsid w:val="00222896"/>
    <w:rsid w:val="002229E1"/>
    <w:rsid w:val="002229F6"/>
    <w:rsid w:val="00222A52"/>
    <w:rsid w:val="00222A80"/>
    <w:rsid w:val="00222A82"/>
    <w:rsid w:val="00222BAF"/>
    <w:rsid w:val="00222C68"/>
    <w:rsid w:val="00222D66"/>
    <w:rsid w:val="00222D91"/>
    <w:rsid w:val="00222EFA"/>
    <w:rsid w:val="00222F44"/>
    <w:rsid w:val="00223051"/>
    <w:rsid w:val="002233C6"/>
    <w:rsid w:val="002234EC"/>
    <w:rsid w:val="00223594"/>
    <w:rsid w:val="0022361F"/>
    <w:rsid w:val="0022394F"/>
    <w:rsid w:val="0022397A"/>
    <w:rsid w:val="00223A5E"/>
    <w:rsid w:val="00223A92"/>
    <w:rsid w:val="00223A98"/>
    <w:rsid w:val="00223B1A"/>
    <w:rsid w:val="00223B8D"/>
    <w:rsid w:val="00223BA8"/>
    <w:rsid w:val="00223C6B"/>
    <w:rsid w:val="00223CA2"/>
    <w:rsid w:val="00223CFC"/>
    <w:rsid w:val="00223D43"/>
    <w:rsid w:val="00223D93"/>
    <w:rsid w:val="00223DC1"/>
    <w:rsid w:val="00223DF1"/>
    <w:rsid w:val="00223FBB"/>
    <w:rsid w:val="0022405E"/>
    <w:rsid w:val="0022409C"/>
    <w:rsid w:val="002241AD"/>
    <w:rsid w:val="00224326"/>
    <w:rsid w:val="00224509"/>
    <w:rsid w:val="002245CA"/>
    <w:rsid w:val="0022464F"/>
    <w:rsid w:val="00224A5E"/>
    <w:rsid w:val="00224C26"/>
    <w:rsid w:val="00224D0D"/>
    <w:rsid w:val="00224DA1"/>
    <w:rsid w:val="00224E4D"/>
    <w:rsid w:val="00225031"/>
    <w:rsid w:val="00225035"/>
    <w:rsid w:val="0022515B"/>
    <w:rsid w:val="00225211"/>
    <w:rsid w:val="00225256"/>
    <w:rsid w:val="0022536A"/>
    <w:rsid w:val="00225392"/>
    <w:rsid w:val="002254EE"/>
    <w:rsid w:val="002256C8"/>
    <w:rsid w:val="002257E6"/>
    <w:rsid w:val="00225852"/>
    <w:rsid w:val="0022587D"/>
    <w:rsid w:val="002258D4"/>
    <w:rsid w:val="00225B34"/>
    <w:rsid w:val="00225EBA"/>
    <w:rsid w:val="00225F60"/>
    <w:rsid w:val="00226028"/>
    <w:rsid w:val="00226099"/>
    <w:rsid w:val="00226212"/>
    <w:rsid w:val="002263A7"/>
    <w:rsid w:val="00226845"/>
    <w:rsid w:val="002269E5"/>
    <w:rsid w:val="00226AEE"/>
    <w:rsid w:val="00226E14"/>
    <w:rsid w:val="00226E24"/>
    <w:rsid w:val="00226F79"/>
    <w:rsid w:val="00226F86"/>
    <w:rsid w:val="00227319"/>
    <w:rsid w:val="00227321"/>
    <w:rsid w:val="00227332"/>
    <w:rsid w:val="0022750F"/>
    <w:rsid w:val="0022752C"/>
    <w:rsid w:val="0022772A"/>
    <w:rsid w:val="002277A4"/>
    <w:rsid w:val="002279B6"/>
    <w:rsid w:val="00227AC9"/>
    <w:rsid w:val="00227BDB"/>
    <w:rsid w:val="00227E5C"/>
    <w:rsid w:val="00227F1D"/>
    <w:rsid w:val="00227FF9"/>
    <w:rsid w:val="00230041"/>
    <w:rsid w:val="002300D6"/>
    <w:rsid w:val="002301BD"/>
    <w:rsid w:val="002302F6"/>
    <w:rsid w:val="0023047C"/>
    <w:rsid w:val="00230486"/>
    <w:rsid w:val="0023052C"/>
    <w:rsid w:val="00230732"/>
    <w:rsid w:val="00230783"/>
    <w:rsid w:val="002307BE"/>
    <w:rsid w:val="002307D7"/>
    <w:rsid w:val="002307ED"/>
    <w:rsid w:val="0023086C"/>
    <w:rsid w:val="00230988"/>
    <w:rsid w:val="00230B92"/>
    <w:rsid w:val="00230BD7"/>
    <w:rsid w:val="00230C8C"/>
    <w:rsid w:val="00230EE6"/>
    <w:rsid w:val="00231028"/>
    <w:rsid w:val="00231156"/>
    <w:rsid w:val="0023121C"/>
    <w:rsid w:val="0023140E"/>
    <w:rsid w:val="002314C9"/>
    <w:rsid w:val="002318C2"/>
    <w:rsid w:val="002318F2"/>
    <w:rsid w:val="00231978"/>
    <w:rsid w:val="00231B22"/>
    <w:rsid w:val="00231C33"/>
    <w:rsid w:val="00231D83"/>
    <w:rsid w:val="00231DD4"/>
    <w:rsid w:val="00231E5D"/>
    <w:rsid w:val="00232155"/>
    <w:rsid w:val="00232262"/>
    <w:rsid w:val="002323CC"/>
    <w:rsid w:val="002324BE"/>
    <w:rsid w:val="0023251D"/>
    <w:rsid w:val="00232585"/>
    <w:rsid w:val="002326BF"/>
    <w:rsid w:val="002327AB"/>
    <w:rsid w:val="0023294E"/>
    <w:rsid w:val="00232973"/>
    <w:rsid w:val="002329C7"/>
    <w:rsid w:val="00232A98"/>
    <w:rsid w:val="00232AAD"/>
    <w:rsid w:val="00232BB3"/>
    <w:rsid w:val="00232C41"/>
    <w:rsid w:val="00232C86"/>
    <w:rsid w:val="00232E76"/>
    <w:rsid w:val="00232EFA"/>
    <w:rsid w:val="00232F7D"/>
    <w:rsid w:val="00233167"/>
    <w:rsid w:val="0023317D"/>
    <w:rsid w:val="002331F0"/>
    <w:rsid w:val="0023320E"/>
    <w:rsid w:val="00233413"/>
    <w:rsid w:val="002334F7"/>
    <w:rsid w:val="00233673"/>
    <w:rsid w:val="002336C5"/>
    <w:rsid w:val="002337F1"/>
    <w:rsid w:val="0023387B"/>
    <w:rsid w:val="002338E1"/>
    <w:rsid w:val="0023390D"/>
    <w:rsid w:val="002339ED"/>
    <w:rsid w:val="00233AFE"/>
    <w:rsid w:val="00233C85"/>
    <w:rsid w:val="00233F50"/>
    <w:rsid w:val="00234275"/>
    <w:rsid w:val="0023433D"/>
    <w:rsid w:val="0023441D"/>
    <w:rsid w:val="0023459C"/>
    <w:rsid w:val="0023475A"/>
    <w:rsid w:val="002347CF"/>
    <w:rsid w:val="00234862"/>
    <w:rsid w:val="002348E3"/>
    <w:rsid w:val="002348E6"/>
    <w:rsid w:val="00234911"/>
    <w:rsid w:val="00234A71"/>
    <w:rsid w:val="00234CA0"/>
    <w:rsid w:val="00234DA3"/>
    <w:rsid w:val="00234DFA"/>
    <w:rsid w:val="00234E5C"/>
    <w:rsid w:val="00234EB3"/>
    <w:rsid w:val="00234F82"/>
    <w:rsid w:val="0023527B"/>
    <w:rsid w:val="002353E6"/>
    <w:rsid w:val="002354BE"/>
    <w:rsid w:val="002354E4"/>
    <w:rsid w:val="002355DB"/>
    <w:rsid w:val="0023574C"/>
    <w:rsid w:val="00235752"/>
    <w:rsid w:val="002358CF"/>
    <w:rsid w:val="002359AA"/>
    <w:rsid w:val="00235A45"/>
    <w:rsid w:val="00235AB7"/>
    <w:rsid w:val="00235B91"/>
    <w:rsid w:val="00235D8A"/>
    <w:rsid w:val="00235ECE"/>
    <w:rsid w:val="00235F04"/>
    <w:rsid w:val="00235F22"/>
    <w:rsid w:val="0023603A"/>
    <w:rsid w:val="00236060"/>
    <w:rsid w:val="002362E1"/>
    <w:rsid w:val="0023635C"/>
    <w:rsid w:val="0023639F"/>
    <w:rsid w:val="00236507"/>
    <w:rsid w:val="00236512"/>
    <w:rsid w:val="0023664F"/>
    <w:rsid w:val="00236696"/>
    <w:rsid w:val="00236933"/>
    <w:rsid w:val="0023696E"/>
    <w:rsid w:val="00236AD7"/>
    <w:rsid w:val="00236B19"/>
    <w:rsid w:val="00236B4A"/>
    <w:rsid w:val="00236D33"/>
    <w:rsid w:val="00236EB0"/>
    <w:rsid w:val="00236FD5"/>
    <w:rsid w:val="0023706D"/>
    <w:rsid w:val="00237080"/>
    <w:rsid w:val="002370EE"/>
    <w:rsid w:val="0023714D"/>
    <w:rsid w:val="002371DB"/>
    <w:rsid w:val="002371F6"/>
    <w:rsid w:val="002372D7"/>
    <w:rsid w:val="002374DE"/>
    <w:rsid w:val="00237534"/>
    <w:rsid w:val="00237609"/>
    <w:rsid w:val="00237642"/>
    <w:rsid w:val="002376BE"/>
    <w:rsid w:val="00237754"/>
    <w:rsid w:val="00237994"/>
    <w:rsid w:val="002379C6"/>
    <w:rsid w:val="00237A7A"/>
    <w:rsid w:val="00237D47"/>
    <w:rsid w:val="00237E67"/>
    <w:rsid w:val="002400C2"/>
    <w:rsid w:val="0024017F"/>
    <w:rsid w:val="002401B8"/>
    <w:rsid w:val="00240239"/>
    <w:rsid w:val="00240282"/>
    <w:rsid w:val="00240710"/>
    <w:rsid w:val="00240748"/>
    <w:rsid w:val="002408B9"/>
    <w:rsid w:val="00240937"/>
    <w:rsid w:val="00240B04"/>
    <w:rsid w:val="00240B65"/>
    <w:rsid w:val="00240C3F"/>
    <w:rsid w:val="00240E9E"/>
    <w:rsid w:val="0024100F"/>
    <w:rsid w:val="0024104B"/>
    <w:rsid w:val="002410A7"/>
    <w:rsid w:val="002411BE"/>
    <w:rsid w:val="002411FC"/>
    <w:rsid w:val="00241484"/>
    <w:rsid w:val="0024167D"/>
    <w:rsid w:val="002417AA"/>
    <w:rsid w:val="002417CC"/>
    <w:rsid w:val="0024191E"/>
    <w:rsid w:val="0024196E"/>
    <w:rsid w:val="002419CE"/>
    <w:rsid w:val="00241BBB"/>
    <w:rsid w:val="00241C27"/>
    <w:rsid w:val="00241DB5"/>
    <w:rsid w:val="00241DCF"/>
    <w:rsid w:val="00241F10"/>
    <w:rsid w:val="00241FEA"/>
    <w:rsid w:val="0024207C"/>
    <w:rsid w:val="00242092"/>
    <w:rsid w:val="00242321"/>
    <w:rsid w:val="00242479"/>
    <w:rsid w:val="00242510"/>
    <w:rsid w:val="0024255F"/>
    <w:rsid w:val="0024267B"/>
    <w:rsid w:val="00242763"/>
    <w:rsid w:val="0024287B"/>
    <w:rsid w:val="00242A92"/>
    <w:rsid w:val="00242CC4"/>
    <w:rsid w:val="00242DE4"/>
    <w:rsid w:val="00242EC8"/>
    <w:rsid w:val="002431DF"/>
    <w:rsid w:val="002431F1"/>
    <w:rsid w:val="0024321B"/>
    <w:rsid w:val="00243261"/>
    <w:rsid w:val="002432C0"/>
    <w:rsid w:val="002433F0"/>
    <w:rsid w:val="0024353D"/>
    <w:rsid w:val="002435AB"/>
    <w:rsid w:val="002435DA"/>
    <w:rsid w:val="00243635"/>
    <w:rsid w:val="00243929"/>
    <w:rsid w:val="00243999"/>
    <w:rsid w:val="00243E33"/>
    <w:rsid w:val="00244090"/>
    <w:rsid w:val="00244123"/>
    <w:rsid w:val="00244153"/>
    <w:rsid w:val="00244502"/>
    <w:rsid w:val="002445F7"/>
    <w:rsid w:val="0024467F"/>
    <w:rsid w:val="00244761"/>
    <w:rsid w:val="00244767"/>
    <w:rsid w:val="002448A1"/>
    <w:rsid w:val="00244951"/>
    <w:rsid w:val="002449B5"/>
    <w:rsid w:val="00244B8A"/>
    <w:rsid w:val="00244FED"/>
    <w:rsid w:val="00245063"/>
    <w:rsid w:val="0024507B"/>
    <w:rsid w:val="002450FE"/>
    <w:rsid w:val="00245406"/>
    <w:rsid w:val="00245407"/>
    <w:rsid w:val="00245497"/>
    <w:rsid w:val="00245545"/>
    <w:rsid w:val="00245647"/>
    <w:rsid w:val="002459E2"/>
    <w:rsid w:val="002459E9"/>
    <w:rsid w:val="00245A7D"/>
    <w:rsid w:val="00245B6E"/>
    <w:rsid w:val="00245E32"/>
    <w:rsid w:val="00245EFF"/>
    <w:rsid w:val="00245F23"/>
    <w:rsid w:val="0024611A"/>
    <w:rsid w:val="0024619D"/>
    <w:rsid w:val="00246347"/>
    <w:rsid w:val="002464ED"/>
    <w:rsid w:val="002464FE"/>
    <w:rsid w:val="00246585"/>
    <w:rsid w:val="002465DA"/>
    <w:rsid w:val="00246601"/>
    <w:rsid w:val="00246646"/>
    <w:rsid w:val="002466DC"/>
    <w:rsid w:val="0024673D"/>
    <w:rsid w:val="00246759"/>
    <w:rsid w:val="002467B3"/>
    <w:rsid w:val="0024685A"/>
    <w:rsid w:val="0024692A"/>
    <w:rsid w:val="0024695E"/>
    <w:rsid w:val="00246A07"/>
    <w:rsid w:val="00246A09"/>
    <w:rsid w:val="00246B1E"/>
    <w:rsid w:val="00246B63"/>
    <w:rsid w:val="00246BA1"/>
    <w:rsid w:val="00246C69"/>
    <w:rsid w:val="00246D50"/>
    <w:rsid w:val="00246DD6"/>
    <w:rsid w:val="00246DFB"/>
    <w:rsid w:val="00246E74"/>
    <w:rsid w:val="00246EA2"/>
    <w:rsid w:val="00246EAF"/>
    <w:rsid w:val="00246F55"/>
    <w:rsid w:val="0024704F"/>
    <w:rsid w:val="0024708D"/>
    <w:rsid w:val="002470EF"/>
    <w:rsid w:val="002470FE"/>
    <w:rsid w:val="0024711A"/>
    <w:rsid w:val="002471D5"/>
    <w:rsid w:val="002472F1"/>
    <w:rsid w:val="0024732E"/>
    <w:rsid w:val="00247348"/>
    <w:rsid w:val="0024735E"/>
    <w:rsid w:val="00247423"/>
    <w:rsid w:val="00247459"/>
    <w:rsid w:val="002474AF"/>
    <w:rsid w:val="00247614"/>
    <w:rsid w:val="00247861"/>
    <w:rsid w:val="002479A2"/>
    <w:rsid w:val="002479D7"/>
    <w:rsid w:val="00247A35"/>
    <w:rsid w:val="00247B08"/>
    <w:rsid w:val="00247B80"/>
    <w:rsid w:val="00247C95"/>
    <w:rsid w:val="00247C9E"/>
    <w:rsid w:val="00247CFA"/>
    <w:rsid w:val="00247EBD"/>
    <w:rsid w:val="0025043D"/>
    <w:rsid w:val="0025043E"/>
    <w:rsid w:val="0025047C"/>
    <w:rsid w:val="002505AB"/>
    <w:rsid w:val="002506DD"/>
    <w:rsid w:val="0025071B"/>
    <w:rsid w:val="0025076C"/>
    <w:rsid w:val="0025077A"/>
    <w:rsid w:val="00250895"/>
    <w:rsid w:val="002508FA"/>
    <w:rsid w:val="002509D1"/>
    <w:rsid w:val="00250BAC"/>
    <w:rsid w:val="00250E83"/>
    <w:rsid w:val="00250ED9"/>
    <w:rsid w:val="00250F00"/>
    <w:rsid w:val="0025107A"/>
    <w:rsid w:val="00251081"/>
    <w:rsid w:val="0025108A"/>
    <w:rsid w:val="00251246"/>
    <w:rsid w:val="002512C8"/>
    <w:rsid w:val="00251439"/>
    <w:rsid w:val="002514A2"/>
    <w:rsid w:val="002514E0"/>
    <w:rsid w:val="00251548"/>
    <w:rsid w:val="00251699"/>
    <w:rsid w:val="002517AD"/>
    <w:rsid w:val="00251857"/>
    <w:rsid w:val="002518F8"/>
    <w:rsid w:val="002519EE"/>
    <w:rsid w:val="00251D30"/>
    <w:rsid w:val="00251D7A"/>
    <w:rsid w:val="00251F30"/>
    <w:rsid w:val="002520FD"/>
    <w:rsid w:val="002522E6"/>
    <w:rsid w:val="0025232E"/>
    <w:rsid w:val="002524C6"/>
    <w:rsid w:val="002524F8"/>
    <w:rsid w:val="00252721"/>
    <w:rsid w:val="002527B0"/>
    <w:rsid w:val="0025285B"/>
    <w:rsid w:val="0025293A"/>
    <w:rsid w:val="0025294A"/>
    <w:rsid w:val="00252A8C"/>
    <w:rsid w:val="00252A9A"/>
    <w:rsid w:val="00252B92"/>
    <w:rsid w:val="00252C45"/>
    <w:rsid w:val="00252C6A"/>
    <w:rsid w:val="00252D2C"/>
    <w:rsid w:val="00252E9D"/>
    <w:rsid w:val="00252F38"/>
    <w:rsid w:val="00253110"/>
    <w:rsid w:val="002531C3"/>
    <w:rsid w:val="00253306"/>
    <w:rsid w:val="002533BA"/>
    <w:rsid w:val="002533C4"/>
    <w:rsid w:val="002534E1"/>
    <w:rsid w:val="0025355C"/>
    <w:rsid w:val="002535F8"/>
    <w:rsid w:val="0025368B"/>
    <w:rsid w:val="0025369B"/>
    <w:rsid w:val="002536AE"/>
    <w:rsid w:val="00253790"/>
    <w:rsid w:val="0025386C"/>
    <w:rsid w:val="00253A0C"/>
    <w:rsid w:val="00253EA1"/>
    <w:rsid w:val="00253EDB"/>
    <w:rsid w:val="00253FA7"/>
    <w:rsid w:val="00254062"/>
    <w:rsid w:val="002544E0"/>
    <w:rsid w:val="00254691"/>
    <w:rsid w:val="0025469A"/>
    <w:rsid w:val="0025475C"/>
    <w:rsid w:val="00254766"/>
    <w:rsid w:val="00254794"/>
    <w:rsid w:val="00254881"/>
    <w:rsid w:val="00254893"/>
    <w:rsid w:val="0025498F"/>
    <w:rsid w:val="002549FD"/>
    <w:rsid w:val="00254B4A"/>
    <w:rsid w:val="00254C2B"/>
    <w:rsid w:val="00254D3B"/>
    <w:rsid w:val="00254DE9"/>
    <w:rsid w:val="00254F03"/>
    <w:rsid w:val="00254FF1"/>
    <w:rsid w:val="002551A5"/>
    <w:rsid w:val="00255433"/>
    <w:rsid w:val="002554AB"/>
    <w:rsid w:val="002554B4"/>
    <w:rsid w:val="002554B8"/>
    <w:rsid w:val="00255545"/>
    <w:rsid w:val="002555E8"/>
    <w:rsid w:val="002555F4"/>
    <w:rsid w:val="00255602"/>
    <w:rsid w:val="002556BD"/>
    <w:rsid w:val="002556C8"/>
    <w:rsid w:val="00255791"/>
    <w:rsid w:val="002557A9"/>
    <w:rsid w:val="002558BA"/>
    <w:rsid w:val="002558DB"/>
    <w:rsid w:val="002559E7"/>
    <w:rsid w:val="00255CF8"/>
    <w:rsid w:val="00255D29"/>
    <w:rsid w:val="00255DBD"/>
    <w:rsid w:val="00255E3F"/>
    <w:rsid w:val="00255EA9"/>
    <w:rsid w:val="00256085"/>
    <w:rsid w:val="002560A8"/>
    <w:rsid w:val="0025614A"/>
    <w:rsid w:val="002561B6"/>
    <w:rsid w:val="00256247"/>
    <w:rsid w:val="00256449"/>
    <w:rsid w:val="00256674"/>
    <w:rsid w:val="002567BF"/>
    <w:rsid w:val="002567C9"/>
    <w:rsid w:val="002567D3"/>
    <w:rsid w:val="0025686E"/>
    <w:rsid w:val="00256A84"/>
    <w:rsid w:val="00256A9A"/>
    <w:rsid w:val="00256AA9"/>
    <w:rsid w:val="00256ABA"/>
    <w:rsid w:val="00256AFC"/>
    <w:rsid w:val="00256C1B"/>
    <w:rsid w:val="00256C24"/>
    <w:rsid w:val="00256C3B"/>
    <w:rsid w:val="00256D17"/>
    <w:rsid w:val="00256D1E"/>
    <w:rsid w:val="0025716F"/>
    <w:rsid w:val="002572BA"/>
    <w:rsid w:val="00257778"/>
    <w:rsid w:val="002577DE"/>
    <w:rsid w:val="002577FB"/>
    <w:rsid w:val="00257865"/>
    <w:rsid w:val="00257977"/>
    <w:rsid w:val="00257A2B"/>
    <w:rsid w:val="00257CE6"/>
    <w:rsid w:val="00257E24"/>
    <w:rsid w:val="00257E63"/>
    <w:rsid w:val="00257E64"/>
    <w:rsid w:val="00257F19"/>
    <w:rsid w:val="00257FA2"/>
    <w:rsid w:val="00257FE0"/>
    <w:rsid w:val="0026007F"/>
    <w:rsid w:val="0026009A"/>
    <w:rsid w:val="0026011D"/>
    <w:rsid w:val="002601E2"/>
    <w:rsid w:val="00260385"/>
    <w:rsid w:val="0026048C"/>
    <w:rsid w:val="002606CB"/>
    <w:rsid w:val="00260727"/>
    <w:rsid w:val="0026073E"/>
    <w:rsid w:val="00260760"/>
    <w:rsid w:val="00260A7A"/>
    <w:rsid w:val="00260BEE"/>
    <w:rsid w:val="00260C18"/>
    <w:rsid w:val="00260D73"/>
    <w:rsid w:val="00260F6C"/>
    <w:rsid w:val="002610A2"/>
    <w:rsid w:val="002611BB"/>
    <w:rsid w:val="00261364"/>
    <w:rsid w:val="00261587"/>
    <w:rsid w:val="002615EA"/>
    <w:rsid w:val="00261660"/>
    <w:rsid w:val="0026166F"/>
    <w:rsid w:val="0026174F"/>
    <w:rsid w:val="002617BE"/>
    <w:rsid w:val="002617C0"/>
    <w:rsid w:val="00261969"/>
    <w:rsid w:val="00261986"/>
    <w:rsid w:val="002619A7"/>
    <w:rsid w:val="00261AC6"/>
    <w:rsid w:val="00261BA0"/>
    <w:rsid w:val="00261E0B"/>
    <w:rsid w:val="00261ED8"/>
    <w:rsid w:val="00261F4D"/>
    <w:rsid w:val="00261F86"/>
    <w:rsid w:val="00262122"/>
    <w:rsid w:val="0026224F"/>
    <w:rsid w:val="002622E8"/>
    <w:rsid w:val="00262315"/>
    <w:rsid w:val="002623BB"/>
    <w:rsid w:val="002627C8"/>
    <w:rsid w:val="0026280E"/>
    <w:rsid w:val="00262849"/>
    <w:rsid w:val="00262996"/>
    <w:rsid w:val="00262A43"/>
    <w:rsid w:val="00262AF7"/>
    <w:rsid w:val="00262B1A"/>
    <w:rsid w:val="00262C33"/>
    <w:rsid w:val="00262E0E"/>
    <w:rsid w:val="00262EA4"/>
    <w:rsid w:val="00262FD4"/>
    <w:rsid w:val="00263252"/>
    <w:rsid w:val="00263269"/>
    <w:rsid w:val="00263607"/>
    <w:rsid w:val="00263640"/>
    <w:rsid w:val="00263646"/>
    <w:rsid w:val="00263794"/>
    <w:rsid w:val="002637A4"/>
    <w:rsid w:val="002638FE"/>
    <w:rsid w:val="0026394F"/>
    <w:rsid w:val="00263959"/>
    <w:rsid w:val="00263A99"/>
    <w:rsid w:val="00263B27"/>
    <w:rsid w:val="00263BCA"/>
    <w:rsid w:val="00263C15"/>
    <w:rsid w:val="00263D87"/>
    <w:rsid w:val="00263DD0"/>
    <w:rsid w:val="00263FE4"/>
    <w:rsid w:val="002643C3"/>
    <w:rsid w:val="002643C9"/>
    <w:rsid w:val="0026461A"/>
    <w:rsid w:val="00264701"/>
    <w:rsid w:val="00264750"/>
    <w:rsid w:val="0026485B"/>
    <w:rsid w:val="002648F8"/>
    <w:rsid w:val="0026499D"/>
    <w:rsid w:val="002649C1"/>
    <w:rsid w:val="00264A49"/>
    <w:rsid w:val="00264C2C"/>
    <w:rsid w:val="00264E44"/>
    <w:rsid w:val="002650C7"/>
    <w:rsid w:val="002650EF"/>
    <w:rsid w:val="002654E3"/>
    <w:rsid w:val="00265679"/>
    <w:rsid w:val="00265698"/>
    <w:rsid w:val="00265738"/>
    <w:rsid w:val="00265CAB"/>
    <w:rsid w:val="00266070"/>
    <w:rsid w:val="00266114"/>
    <w:rsid w:val="002661D6"/>
    <w:rsid w:val="0026632E"/>
    <w:rsid w:val="0026650E"/>
    <w:rsid w:val="00266B4F"/>
    <w:rsid w:val="00266BC1"/>
    <w:rsid w:val="00266D0A"/>
    <w:rsid w:val="00266E1F"/>
    <w:rsid w:val="0026712F"/>
    <w:rsid w:val="002671A2"/>
    <w:rsid w:val="00267251"/>
    <w:rsid w:val="00267302"/>
    <w:rsid w:val="002673D5"/>
    <w:rsid w:val="00267404"/>
    <w:rsid w:val="00267416"/>
    <w:rsid w:val="00267786"/>
    <w:rsid w:val="0026778E"/>
    <w:rsid w:val="002677D0"/>
    <w:rsid w:val="00267870"/>
    <w:rsid w:val="00267885"/>
    <w:rsid w:val="00267A94"/>
    <w:rsid w:val="00267ABA"/>
    <w:rsid w:val="00267AD4"/>
    <w:rsid w:val="00267B60"/>
    <w:rsid w:val="00267C2E"/>
    <w:rsid w:val="00267D76"/>
    <w:rsid w:val="00267E54"/>
    <w:rsid w:val="002700A6"/>
    <w:rsid w:val="002702E3"/>
    <w:rsid w:val="002702FB"/>
    <w:rsid w:val="002703C2"/>
    <w:rsid w:val="002703E3"/>
    <w:rsid w:val="0027053B"/>
    <w:rsid w:val="00270565"/>
    <w:rsid w:val="00270654"/>
    <w:rsid w:val="00270B44"/>
    <w:rsid w:val="00270B75"/>
    <w:rsid w:val="00270B97"/>
    <w:rsid w:val="00270D23"/>
    <w:rsid w:val="00270D4F"/>
    <w:rsid w:val="00270ECA"/>
    <w:rsid w:val="00271192"/>
    <w:rsid w:val="002713F9"/>
    <w:rsid w:val="0027141F"/>
    <w:rsid w:val="002714A0"/>
    <w:rsid w:val="002716CD"/>
    <w:rsid w:val="00271855"/>
    <w:rsid w:val="00271916"/>
    <w:rsid w:val="002719ED"/>
    <w:rsid w:val="00271A63"/>
    <w:rsid w:val="00271A9F"/>
    <w:rsid w:val="00271B54"/>
    <w:rsid w:val="00271F57"/>
    <w:rsid w:val="00272047"/>
    <w:rsid w:val="0027259F"/>
    <w:rsid w:val="00272793"/>
    <w:rsid w:val="0027295A"/>
    <w:rsid w:val="002729A9"/>
    <w:rsid w:val="00272C88"/>
    <w:rsid w:val="00272D64"/>
    <w:rsid w:val="00272E7C"/>
    <w:rsid w:val="00272F71"/>
    <w:rsid w:val="00272FC0"/>
    <w:rsid w:val="00273584"/>
    <w:rsid w:val="002735DA"/>
    <w:rsid w:val="0027360A"/>
    <w:rsid w:val="00273620"/>
    <w:rsid w:val="0027371B"/>
    <w:rsid w:val="0027384A"/>
    <w:rsid w:val="0027388A"/>
    <w:rsid w:val="002738C9"/>
    <w:rsid w:val="00273919"/>
    <w:rsid w:val="00273D15"/>
    <w:rsid w:val="00273D6D"/>
    <w:rsid w:val="0027405E"/>
    <w:rsid w:val="00274061"/>
    <w:rsid w:val="002741CD"/>
    <w:rsid w:val="002742A8"/>
    <w:rsid w:val="002742B1"/>
    <w:rsid w:val="00274436"/>
    <w:rsid w:val="00274468"/>
    <w:rsid w:val="00274546"/>
    <w:rsid w:val="002745EB"/>
    <w:rsid w:val="0027467B"/>
    <w:rsid w:val="002746E5"/>
    <w:rsid w:val="00274796"/>
    <w:rsid w:val="002747C9"/>
    <w:rsid w:val="0027482A"/>
    <w:rsid w:val="002748F4"/>
    <w:rsid w:val="0027491D"/>
    <w:rsid w:val="00274B62"/>
    <w:rsid w:val="00274DAF"/>
    <w:rsid w:val="00274DB7"/>
    <w:rsid w:val="00274E5C"/>
    <w:rsid w:val="00274EF3"/>
    <w:rsid w:val="00274FD9"/>
    <w:rsid w:val="00275024"/>
    <w:rsid w:val="0027517A"/>
    <w:rsid w:val="002751E4"/>
    <w:rsid w:val="00275539"/>
    <w:rsid w:val="002755B7"/>
    <w:rsid w:val="0027579C"/>
    <w:rsid w:val="00275840"/>
    <w:rsid w:val="002759D8"/>
    <w:rsid w:val="00275B17"/>
    <w:rsid w:val="00275C11"/>
    <w:rsid w:val="00275C26"/>
    <w:rsid w:val="00275C6D"/>
    <w:rsid w:val="00275D15"/>
    <w:rsid w:val="00275D6F"/>
    <w:rsid w:val="00275D81"/>
    <w:rsid w:val="00275E83"/>
    <w:rsid w:val="00275EA5"/>
    <w:rsid w:val="00275FDF"/>
    <w:rsid w:val="00276222"/>
    <w:rsid w:val="00276261"/>
    <w:rsid w:val="00276289"/>
    <w:rsid w:val="00276383"/>
    <w:rsid w:val="002766BD"/>
    <w:rsid w:val="002766E9"/>
    <w:rsid w:val="00276717"/>
    <w:rsid w:val="00276756"/>
    <w:rsid w:val="00276758"/>
    <w:rsid w:val="00276763"/>
    <w:rsid w:val="0027688A"/>
    <w:rsid w:val="00276AF0"/>
    <w:rsid w:val="00276B9B"/>
    <w:rsid w:val="00276BF6"/>
    <w:rsid w:val="00276C27"/>
    <w:rsid w:val="00276C62"/>
    <w:rsid w:val="00276CF6"/>
    <w:rsid w:val="00276D95"/>
    <w:rsid w:val="00277012"/>
    <w:rsid w:val="002770CD"/>
    <w:rsid w:val="002771E0"/>
    <w:rsid w:val="00277220"/>
    <w:rsid w:val="0027744D"/>
    <w:rsid w:val="0027757D"/>
    <w:rsid w:val="0027769C"/>
    <w:rsid w:val="00277A27"/>
    <w:rsid w:val="00277A9A"/>
    <w:rsid w:val="00277C3C"/>
    <w:rsid w:val="00277C56"/>
    <w:rsid w:val="00277C61"/>
    <w:rsid w:val="00277D3A"/>
    <w:rsid w:val="00277FA5"/>
    <w:rsid w:val="002800F6"/>
    <w:rsid w:val="00280265"/>
    <w:rsid w:val="00280361"/>
    <w:rsid w:val="002803C6"/>
    <w:rsid w:val="002805C8"/>
    <w:rsid w:val="00280812"/>
    <w:rsid w:val="00280847"/>
    <w:rsid w:val="002808C5"/>
    <w:rsid w:val="00280AC4"/>
    <w:rsid w:val="00280B32"/>
    <w:rsid w:val="00280C2B"/>
    <w:rsid w:val="00280F5B"/>
    <w:rsid w:val="00280FD2"/>
    <w:rsid w:val="002810C8"/>
    <w:rsid w:val="002811B1"/>
    <w:rsid w:val="002811F9"/>
    <w:rsid w:val="00281207"/>
    <w:rsid w:val="002812A7"/>
    <w:rsid w:val="002812E1"/>
    <w:rsid w:val="0028147E"/>
    <w:rsid w:val="00281803"/>
    <w:rsid w:val="002818C8"/>
    <w:rsid w:val="002819B6"/>
    <w:rsid w:val="00281A7E"/>
    <w:rsid w:val="00281AC8"/>
    <w:rsid w:val="00281D8B"/>
    <w:rsid w:val="00281DA9"/>
    <w:rsid w:val="00281F1C"/>
    <w:rsid w:val="00281F28"/>
    <w:rsid w:val="0028203C"/>
    <w:rsid w:val="0028204B"/>
    <w:rsid w:val="002820B9"/>
    <w:rsid w:val="00282129"/>
    <w:rsid w:val="0028218B"/>
    <w:rsid w:val="00282219"/>
    <w:rsid w:val="00282233"/>
    <w:rsid w:val="002829E2"/>
    <w:rsid w:val="00282AB9"/>
    <w:rsid w:val="00282EA2"/>
    <w:rsid w:val="00282ECC"/>
    <w:rsid w:val="0028308C"/>
    <w:rsid w:val="00283101"/>
    <w:rsid w:val="00283105"/>
    <w:rsid w:val="0028322D"/>
    <w:rsid w:val="00283231"/>
    <w:rsid w:val="0028325C"/>
    <w:rsid w:val="0028325E"/>
    <w:rsid w:val="002832E9"/>
    <w:rsid w:val="00283330"/>
    <w:rsid w:val="002833B3"/>
    <w:rsid w:val="00283436"/>
    <w:rsid w:val="002834A1"/>
    <w:rsid w:val="002834D8"/>
    <w:rsid w:val="00283609"/>
    <w:rsid w:val="002836B9"/>
    <w:rsid w:val="0028373A"/>
    <w:rsid w:val="00283811"/>
    <w:rsid w:val="00283A00"/>
    <w:rsid w:val="00283A72"/>
    <w:rsid w:val="00283B1D"/>
    <w:rsid w:val="00283B67"/>
    <w:rsid w:val="00283BAE"/>
    <w:rsid w:val="00283E31"/>
    <w:rsid w:val="00284009"/>
    <w:rsid w:val="00284052"/>
    <w:rsid w:val="00284200"/>
    <w:rsid w:val="00284201"/>
    <w:rsid w:val="00284205"/>
    <w:rsid w:val="00284336"/>
    <w:rsid w:val="0028465E"/>
    <w:rsid w:val="00284710"/>
    <w:rsid w:val="0028480B"/>
    <w:rsid w:val="002848DF"/>
    <w:rsid w:val="0028496A"/>
    <w:rsid w:val="002849CA"/>
    <w:rsid w:val="00284A18"/>
    <w:rsid w:val="00284A26"/>
    <w:rsid w:val="00284A5B"/>
    <w:rsid w:val="00284D0F"/>
    <w:rsid w:val="00284F98"/>
    <w:rsid w:val="0028518A"/>
    <w:rsid w:val="0028532A"/>
    <w:rsid w:val="00285398"/>
    <w:rsid w:val="002854F0"/>
    <w:rsid w:val="0028555A"/>
    <w:rsid w:val="002858B8"/>
    <w:rsid w:val="002858E3"/>
    <w:rsid w:val="002859AF"/>
    <w:rsid w:val="00285A2D"/>
    <w:rsid w:val="00285B38"/>
    <w:rsid w:val="00285B74"/>
    <w:rsid w:val="00285C25"/>
    <w:rsid w:val="00285C93"/>
    <w:rsid w:val="00285E18"/>
    <w:rsid w:val="0028600B"/>
    <w:rsid w:val="00286027"/>
    <w:rsid w:val="002861B2"/>
    <w:rsid w:val="00286329"/>
    <w:rsid w:val="00286333"/>
    <w:rsid w:val="002863AB"/>
    <w:rsid w:val="0028643F"/>
    <w:rsid w:val="00286465"/>
    <w:rsid w:val="002864B0"/>
    <w:rsid w:val="00286549"/>
    <w:rsid w:val="0028655C"/>
    <w:rsid w:val="00286565"/>
    <w:rsid w:val="002866FF"/>
    <w:rsid w:val="00286712"/>
    <w:rsid w:val="002869B6"/>
    <w:rsid w:val="00286A07"/>
    <w:rsid w:val="00286BCF"/>
    <w:rsid w:val="00286C52"/>
    <w:rsid w:val="00286CA5"/>
    <w:rsid w:val="00286CB8"/>
    <w:rsid w:val="00286CF6"/>
    <w:rsid w:val="00286DCD"/>
    <w:rsid w:val="00286EB6"/>
    <w:rsid w:val="00287076"/>
    <w:rsid w:val="002870D5"/>
    <w:rsid w:val="0028724A"/>
    <w:rsid w:val="00287443"/>
    <w:rsid w:val="0028759F"/>
    <w:rsid w:val="002876D1"/>
    <w:rsid w:val="00287A08"/>
    <w:rsid w:val="00287C14"/>
    <w:rsid w:val="00287DC9"/>
    <w:rsid w:val="0029009E"/>
    <w:rsid w:val="002900FF"/>
    <w:rsid w:val="0029011A"/>
    <w:rsid w:val="0029017B"/>
    <w:rsid w:val="002901DD"/>
    <w:rsid w:val="00290453"/>
    <w:rsid w:val="0029050E"/>
    <w:rsid w:val="002908A7"/>
    <w:rsid w:val="00290975"/>
    <w:rsid w:val="0029097B"/>
    <w:rsid w:val="00290A1E"/>
    <w:rsid w:val="00290ADE"/>
    <w:rsid w:val="00290F8A"/>
    <w:rsid w:val="00290FB7"/>
    <w:rsid w:val="0029113B"/>
    <w:rsid w:val="0029117C"/>
    <w:rsid w:val="00291227"/>
    <w:rsid w:val="0029123E"/>
    <w:rsid w:val="00291258"/>
    <w:rsid w:val="002912EE"/>
    <w:rsid w:val="00291300"/>
    <w:rsid w:val="002915EA"/>
    <w:rsid w:val="0029172A"/>
    <w:rsid w:val="00291823"/>
    <w:rsid w:val="00291825"/>
    <w:rsid w:val="00291ADE"/>
    <w:rsid w:val="00291C9B"/>
    <w:rsid w:val="00291D0A"/>
    <w:rsid w:val="00291E05"/>
    <w:rsid w:val="00291E4D"/>
    <w:rsid w:val="002922A5"/>
    <w:rsid w:val="002922E7"/>
    <w:rsid w:val="002922F1"/>
    <w:rsid w:val="0029238A"/>
    <w:rsid w:val="002924DD"/>
    <w:rsid w:val="002925BF"/>
    <w:rsid w:val="0029271C"/>
    <w:rsid w:val="00292A08"/>
    <w:rsid w:val="00292C41"/>
    <w:rsid w:val="00292D11"/>
    <w:rsid w:val="00292FB2"/>
    <w:rsid w:val="0029316F"/>
    <w:rsid w:val="00293183"/>
    <w:rsid w:val="00293225"/>
    <w:rsid w:val="0029340E"/>
    <w:rsid w:val="00293677"/>
    <w:rsid w:val="002936B4"/>
    <w:rsid w:val="002937BD"/>
    <w:rsid w:val="0029385E"/>
    <w:rsid w:val="00293865"/>
    <w:rsid w:val="00293D69"/>
    <w:rsid w:val="00293E8B"/>
    <w:rsid w:val="00293EB4"/>
    <w:rsid w:val="00294019"/>
    <w:rsid w:val="0029414F"/>
    <w:rsid w:val="002943CF"/>
    <w:rsid w:val="002943EB"/>
    <w:rsid w:val="0029442F"/>
    <w:rsid w:val="0029461E"/>
    <w:rsid w:val="002947C5"/>
    <w:rsid w:val="00294AA5"/>
    <w:rsid w:val="00294B7E"/>
    <w:rsid w:val="00294BA7"/>
    <w:rsid w:val="00294D1D"/>
    <w:rsid w:val="00295055"/>
    <w:rsid w:val="00295230"/>
    <w:rsid w:val="00295291"/>
    <w:rsid w:val="00295350"/>
    <w:rsid w:val="002953F2"/>
    <w:rsid w:val="00295420"/>
    <w:rsid w:val="002955DD"/>
    <w:rsid w:val="00295705"/>
    <w:rsid w:val="0029571D"/>
    <w:rsid w:val="002958D0"/>
    <w:rsid w:val="00295909"/>
    <w:rsid w:val="00295CFB"/>
    <w:rsid w:val="00295D11"/>
    <w:rsid w:val="00295D3C"/>
    <w:rsid w:val="00295D52"/>
    <w:rsid w:val="00295F84"/>
    <w:rsid w:val="00295F89"/>
    <w:rsid w:val="00296042"/>
    <w:rsid w:val="0029607D"/>
    <w:rsid w:val="002961E5"/>
    <w:rsid w:val="00296208"/>
    <w:rsid w:val="00296296"/>
    <w:rsid w:val="002963AB"/>
    <w:rsid w:val="002964FE"/>
    <w:rsid w:val="0029653C"/>
    <w:rsid w:val="00296622"/>
    <w:rsid w:val="00296797"/>
    <w:rsid w:val="0029688B"/>
    <w:rsid w:val="00296A15"/>
    <w:rsid w:val="00296A90"/>
    <w:rsid w:val="00296C01"/>
    <w:rsid w:val="00296CB3"/>
    <w:rsid w:val="00296CBA"/>
    <w:rsid w:val="002971DE"/>
    <w:rsid w:val="00297525"/>
    <w:rsid w:val="002976E5"/>
    <w:rsid w:val="00297A3E"/>
    <w:rsid w:val="00297C66"/>
    <w:rsid w:val="00297DED"/>
    <w:rsid w:val="00297FE7"/>
    <w:rsid w:val="002A006B"/>
    <w:rsid w:val="002A0289"/>
    <w:rsid w:val="002A028E"/>
    <w:rsid w:val="002A04FC"/>
    <w:rsid w:val="002A0646"/>
    <w:rsid w:val="002A0677"/>
    <w:rsid w:val="002A06D8"/>
    <w:rsid w:val="002A0B5E"/>
    <w:rsid w:val="002A0B7F"/>
    <w:rsid w:val="002A0CE7"/>
    <w:rsid w:val="002A0CEC"/>
    <w:rsid w:val="002A0DEC"/>
    <w:rsid w:val="002A0E6F"/>
    <w:rsid w:val="002A0FFB"/>
    <w:rsid w:val="002A1043"/>
    <w:rsid w:val="002A1061"/>
    <w:rsid w:val="002A11EB"/>
    <w:rsid w:val="002A12C5"/>
    <w:rsid w:val="002A1472"/>
    <w:rsid w:val="002A1554"/>
    <w:rsid w:val="002A15F5"/>
    <w:rsid w:val="002A166A"/>
    <w:rsid w:val="002A16E5"/>
    <w:rsid w:val="002A1892"/>
    <w:rsid w:val="002A1976"/>
    <w:rsid w:val="002A19AD"/>
    <w:rsid w:val="002A19CC"/>
    <w:rsid w:val="002A19EF"/>
    <w:rsid w:val="002A1A5A"/>
    <w:rsid w:val="002A1A9D"/>
    <w:rsid w:val="002A1B00"/>
    <w:rsid w:val="002A1BBC"/>
    <w:rsid w:val="002A1EAF"/>
    <w:rsid w:val="002A1F42"/>
    <w:rsid w:val="002A2158"/>
    <w:rsid w:val="002A21C3"/>
    <w:rsid w:val="002A2288"/>
    <w:rsid w:val="002A229D"/>
    <w:rsid w:val="002A249E"/>
    <w:rsid w:val="002A262C"/>
    <w:rsid w:val="002A264B"/>
    <w:rsid w:val="002A2663"/>
    <w:rsid w:val="002A26D7"/>
    <w:rsid w:val="002A2937"/>
    <w:rsid w:val="002A2B97"/>
    <w:rsid w:val="002A2D6A"/>
    <w:rsid w:val="002A2DA9"/>
    <w:rsid w:val="002A2DBE"/>
    <w:rsid w:val="002A30BC"/>
    <w:rsid w:val="002A31D2"/>
    <w:rsid w:val="002A33B9"/>
    <w:rsid w:val="002A3620"/>
    <w:rsid w:val="002A365B"/>
    <w:rsid w:val="002A371E"/>
    <w:rsid w:val="002A3741"/>
    <w:rsid w:val="002A3831"/>
    <w:rsid w:val="002A389D"/>
    <w:rsid w:val="002A395B"/>
    <w:rsid w:val="002A395D"/>
    <w:rsid w:val="002A3AA2"/>
    <w:rsid w:val="002A3B05"/>
    <w:rsid w:val="002A3CCE"/>
    <w:rsid w:val="002A3D5D"/>
    <w:rsid w:val="002A3D66"/>
    <w:rsid w:val="002A3DB5"/>
    <w:rsid w:val="002A3DE1"/>
    <w:rsid w:val="002A401C"/>
    <w:rsid w:val="002A422D"/>
    <w:rsid w:val="002A4501"/>
    <w:rsid w:val="002A471E"/>
    <w:rsid w:val="002A492E"/>
    <w:rsid w:val="002A49B6"/>
    <w:rsid w:val="002A4B16"/>
    <w:rsid w:val="002A4C2F"/>
    <w:rsid w:val="002A4CB1"/>
    <w:rsid w:val="002A4CC8"/>
    <w:rsid w:val="002A4EBC"/>
    <w:rsid w:val="002A4F6F"/>
    <w:rsid w:val="002A4FAF"/>
    <w:rsid w:val="002A5025"/>
    <w:rsid w:val="002A531F"/>
    <w:rsid w:val="002A53B8"/>
    <w:rsid w:val="002A53DA"/>
    <w:rsid w:val="002A540E"/>
    <w:rsid w:val="002A5419"/>
    <w:rsid w:val="002A574B"/>
    <w:rsid w:val="002A57D5"/>
    <w:rsid w:val="002A58DB"/>
    <w:rsid w:val="002A5A67"/>
    <w:rsid w:val="002A5BFA"/>
    <w:rsid w:val="002A5C20"/>
    <w:rsid w:val="002A5D92"/>
    <w:rsid w:val="002A5E4D"/>
    <w:rsid w:val="002A618B"/>
    <w:rsid w:val="002A6276"/>
    <w:rsid w:val="002A63B6"/>
    <w:rsid w:val="002A6464"/>
    <w:rsid w:val="002A64A1"/>
    <w:rsid w:val="002A6508"/>
    <w:rsid w:val="002A6547"/>
    <w:rsid w:val="002A65B7"/>
    <w:rsid w:val="002A65F2"/>
    <w:rsid w:val="002A6616"/>
    <w:rsid w:val="002A6871"/>
    <w:rsid w:val="002A69D3"/>
    <w:rsid w:val="002A6A14"/>
    <w:rsid w:val="002A6A6E"/>
    <w:rsid w:val="002A6AED"/>
    <w:rsid w:val="002A6B07"/>
    <w:rsid w:val="002A6E2D"/>
    <w:rsid w:val="002A6F9A"/>
    <w:rsid w:val="002A70A1"/>
    <w:rsid w:val="002A7162"/>
    <w:rsid w:val="002A749B"/>
    <w:rsid w:val="002A771A"/>
    <w:rsid w:val="002A7822"/>
    <w:rsid w:val="002A7922"/>
    <w:rsid w:val="002A7A23"/>
    <w:rsid w:val="002A7A4E"/>
    <w:rsid w:val="002A7B25"/>
    <w:rsid w:val="002A7B5A"/>
    <w:rsid w:val="002B0154"/>
    <w:rsid w:val="002B01C5"/>
    <w:rsid w:val="002B038C"/>
    <w:rsid w:val="002B049D"/>
    <w:rsid w:val="002B07FD"/>
    <w:rsid w:val="002B0D4A"/>
    <w:rsid w:val="002B0E50"/>
    <w:rsid w:val="002B112A"/>
    <w:rsid w:val="002B114C"/>
    <w:rsid w:val="002B1243"/>
    <w:rsid w:val="002B142C"/>
    <w:rsid w:val="002B1477"/>
    <w:rsid w:val="002B14B8"/>
    <w:rsid w:val="002B153F"/>
    <w:rsid w:val="002B1543"/>
    <w:rsid w:val="002B16FD"/>
    <w:rsid w:val="002B180E"/>
    <w:rsid w:val="002B19F9"/>
    <w:rsid w:val="002B1A37"/>
    <w:rsid w:val="002B1B33"/>
    <w:rsid w:val="002B1C6F"/>
    <w:rsid w:val="002B1C73"/>
    <w:rsid w:val="002B1D0D"/>
    <w:rsid w:val="002B1D8C"/>
    <w:rsid w:val="002B1DBE"/>
    <w:rsid w:val="002B1DCB"/>
    <w:rsid w:val="002B1E22"/>
    <w:rsid w:val="002B20C7"/>
    <w:rsid w:val="002B22E4"/>
    <w:rsid w:val="002B22E5"/>
    <w:rsid w:val="002B23E7"/>
    <w:rsid w:val="002B2473"/>
    <w:rsid w:val="002B24A3"/>
    <w:rsid w:val="002B266F"/>
    <w:rsid w:val="002B26CF"/>
    <w:rsid w:val="002B2792"/>
    <w:rsid w:val="002B2857"/>
    <w:rsid w:val="002B29C8"/>
    <w:rsid w:val="002B2C2A"/>
    <w:rsid w:val="002B2CE3"/>
    <w:rsid w:val="002B2E0F"/>
    <w:rsid w:val="002B2E84"/>
    <w:rsid w:val="002B2EFA"/>
    <w:rsid w:val="002B32D9"/>
    <w:rsid w:val="002B33C7"/>
    <w:rsid w:val="002B35EE"/>
    <w:rsid w:val="002B384E"/>
    <w:rsid w:val="002B3904"/>
    <w:rsid w:val="002B39BC"/>
    <w:rsid w:val="002B3A91"/>
    <w:rsid w:val="002B3BDC"/>
    <w:rsid w:val="002B3CD3"/>
    <w:rsid w:val="002B3E14"/>
    <w:rsid w:val="002B3E7D"/>
    <w:rsid w:val="002B3EF5"/>
    <w:rsid w:val="002B401A"/>
    <w:rsid w:val="002B412D"/>
    <w:rsid w:val="002B448E"/>
    <w:rsid w:val="002B45A3"/>
    <w:rsid w:val="002B470D"/>
    <w:rsid w:val="002B48AC"/>
    <w:rsid w:val="002B494A"/>
    <w:rsid w:val="002B4A38"/>
    <w:rsid w:val="002B4B0A"/>
    <w:rsid w:val="002B4D31"/>
    <w:rsid w:val="002B4D99"/>
    <w:rsid w:val="002B4E29"/>
    <w:rsid w:val="002B542F"/>
    <w:rsid w:val="002B5642"/>
    <w:rsid w:val="002B5938"/>
    <w:rsid w:val="002B5A17"/>
    <w:rsid w:val="002B5B61"/>
    <w:rsid w:val="002B5DF9"/>
    <w:rsid w:val="002B5F5B"/>
    <w:rsid w:val="002B6096"/>
    <w:rsid w:val="002B60A4"/>
    <w:rsid w:val="002B6146"/>
    <w:rsid w:val="002B61AE"/>
    <w:rsid w:val="002B6243"/>
    <w:rsid w:val="002B64AA"/>
    <w:rsid w:val="002B6562"/>
    <w:rsid w:val="002B6592"/>
    <w:rsid w:val="002B65B2"/>
    <w:rsid w:val="002B679E"/>
    <w:rsid w:val="002B697D"/>
    <w:rsid w:val="002B69BE"/>
    <w:rsid w:val="002B6C72"/>
    <w:rsid w:val="002B6DFB"/>
    <w:rsid w:val="002B71E9"/>
    <w:rsid w:val="002B72A4"/>
    <w:rsid w:val="002B7418"/>
    <w:rsid w:val="002B74AE"/>
    <w:rsid w:val="002B755C"/>
    <w:rsid w:val="002B7847"/>
    <w:rsid w:val="002B7B57"/>
    <w:rsid w:val="002B7B6C"/>
    <w:rsid w:val="002B7C0D"/>
    <w:rsid w:val="002B7C90"/>
    <w:rsid w:val="002B7C94"/>
    <w:rsid w:val="002B7F55"/>
    <w:rsid w:val="002C0092"/>
    <w:rsid w:val="002C00FA"/>
    <w:rsid w:val="002C0213"/>
    <w:rsid w:val="002C0324"/>
    <w:rsid w:val="002C039B"/>
    <w:rsid w:val="002C04D6"/>
    <w:rsid w:val="002C056B"/>
    <w:rsid w:val="002C05F7"/>
    <w:rsid w:val="002C07E3"/>
    <w:rsid w:val="002C0998"/>
    <w:rsid w:val="002C0A7E"/>
    <w:rsid w:val="002C0BD7"/>
    <w:rsid w:val="002C0C2D"/>
    <w:rsid w:val="002C0C8A"/>
    <w:rsid w:val="002C0C8F"/>
    <w:rsid w:val="002C0D77"/>
    <w:rsid w:val="002C0EFD"/>
    <w:rsid w:val="002C0FED"/>
    <w:rsid w:val="002C1109"/>
    <w:rsid w:val="002C1283"/>
    <w:rsid w:val="002C149E"/>
    <w:rsid w:val="002C192B"/>
    <w:rsid w:val="002C1B51"/>
    <w:rsid w:val="002C1D3A"/>
    <w:rsid w:val="002C1D99"/>
    <w:rsid w:val="002C1E96"/>
    <w:rsid w:val="002C1EE2"/>
    <w:rsid w:val="002C2080"/>
    <w:rsid w:val="002C2097"/>
    <w:rsid w:val="002C209F"/>
    <w:rsid w:val="002C21CC"/>
    <w:rsid w:val="002C221F"/>
    <w:rsid w:val="002C2555"/>
    <w:rsid w:val="002C255E"/>
    <w:rsid w:val="002C25A6"/>
    <w:rsid w:val="002C26A6"/>
    <w:rsid w:val="002C2778"/>
    <w:rsid w:val="002C2781"/>
    <w:rsid w:val="002C28B8"/>
    <w:rsid w:val="002C28C8"/>
    <w:rsid w:val="002C29D8"/>
    <w:rsid w:val="002C29EE"/>
    <w:rsid w:val="002C2B4E"/>
    <w:rsid w:val="002C2C3D"/>
    <w:rsid w:val="002C2CDE"/>
    <w:rsid w:val="002C302C"/>
    <w:rsid w:val="002C3160"/>
    <w:rsid w:val="002C33AD"/>
    <w:rsid w:val="002C3483"/>
    <w:rsid w:val="002C3693"/>
    <w:rsid w:val="002C373B"/>
    <w:rsid w:val="002C373E"/>
    <w:rsid w:val="002C3876"/>
    <w:rsid w:val="002C38BC"/>
    <w:rsid w:val="002C3904"/>
    <w:rsid w:val="002C3A90"/>
    <w:rsid w:val="002C3AB6"/>
    <w:rsid w:val="002C3C1C"/>
    <w:rsid w:val="002C3C5B"/>
    <w:rsid w:val="002C3F0C"/>
    <w:rsid w:val="002C3F20"/>
    <w:rsid w:val="002C412D"/>
    <w:rsid w:val="002C4346"/>
    <w:rsid w:val="002C4359"/>
    <w:rsid w:val="002C43CE"/>
    <w:rsid w:val="002C44B5"/>
    <w:rsid w:val="002C4547"/>
    <w:rsid w:val="002C45BB"/>
    <w:rsid w:val="002C45CA"/>
    <w:rsid w:val="002C4654"/>
    <w:rsid w:val="002C4706"/>
    <w:rsid w:val="002C485D"/>
    <w:rsid w:val="002C4959"/>
    <w:rsid w:val="002C495C"/>
    <w:rsid w:val="002C4A03"/>
    <w:rsid w:val="002C4A24"/>
    <w:rsid w:val="002C4B02"/>
    <w:rsid w:val="002C4B83"/>
    <w:rsid w:val="002C4B94"/>
    <w:rsid w:val="002C5247"/>
    <w:rsid w:val="002C5251"/>
    <w:rsid w:val="002C53B2"/>
    <w:rsid w:val="002C53FC"/>
    <w:rsid w:val="002C5491"/>
    <w:rsid w:val="002C5515"/>
    <w:rsid w:val="002C5564"/>
    <w:rsid w:val="002C5571"/>
    <w:rsid w:val="002C55AE"/>
    <w:rsid w:val="002C5610"/>
    <w:rsid w:val="002C5669"/>
    <w:rsid w:val="002C5707"/>
    <w:rsid w:val="002C5815"/>
    <w:rsid w:val="002C5B47"/>
    <w:rsid w:val="002C5F5B"/>
    <w:rsid w:val="002C5FC1"/>
    <w:rsid w:val="002C5FCF"/>
    <w:rsid w:val="002C601B"/>
    <w:rsid w:val="002C6239"/>
    <w:rsid w:val="002C63CC"/>
    <w:rsid w:val="002C63D3"/>
    <w:rsid w:val="002C6470"/>
    <w:rsid w:val="002C64CF"/>
    <w:rsid w:val="002C6517"/>
    <w:rsid w:val="002C6656"/>
    <w:rsid w:val="002C668C"/>
    <w:rsid w:val="002C6781"/>
    <w:rsid w:val="002C67FD"/>
    <w:rsid w:val="002C6924"/>
    <w:rsid w:val="002C69CC"/>
    <w:rsid w:val="002C6D90"/>
    <w:rsid w:val="002C6ECB"/>
    <w:rsid w:val="002C70B4"/>
    <w:rsid w:val="002C7137"/>
    <w:rsid w:val="002C7575"/>
    <w:rsid w:val="002C75DE"/>
    <w:rsid w:val="002C75E3"/>
    <w:rsid w:val="002C777D"/>
    <w:rsid w:val="002C78E8"/>
    <w:rsid w:val="002C7959"/>
    <w:rsid w:val="002C7B18"/>
    <w:rsid w:val="002C7B35"/>
    <w:rsid w:val="002C7B8D"/>
    <w:rsid w:val="002C7E4E"/>
    <w:rsid w:val="002C7F24"/>
    <w:rsid w:val="002C7FD3"/>
    <w:rsid w:val="002C7FFB"/>
    <w:rsid w:val="002D00F0"/>
    <w:rsid w:val="002D0185"/>
    <w:rsid w:val="002D020A"/>
    <w:rsid w:val="002D0222"/>
    <w:rsid w:val="002D022B"/>
    <w:rsid w:val="002D02FE"/>
    <w:rsid w:val="002D0368"/>
    <w:rsid w:val="002D0455"/>
    <w:rsid w:val="002D06D1"/>
    <w:rsid w:val="002D071D"/>
    <w:rsid w:val="002D0998"/>
    <w:rsid w:val="002D09BE"/>
    <w:rsid w:val="002D0A5D"/>
    <w:rsid w:val="002D0ABD"/>
    <w:rsid w:val="002D1029"/>
    <w:rsid w:val="002D108B"/>
    <w:rsid w:val="002D11DF"/>
    <w:rsid w:val="002D1268"/>
    <w:rsid w:val="002D127E"/>
    <w:rsid w:val="002D1595"/>
    <w:rsid w:val="002D17D9"/>
    <w:rsid w:val="002D1895"/>
    <w:rsid w:val="002D18DC"/>
    <w:rsid w:val="002D18FB"/>
    <w:rsid w:val="002D19BD"/>
    <w:rsid w:val="002D1D9E"/>
    <w:rsid w:val="002D243E"/>
    <w:rsid w:val="002D27A2"/>
    <w:rsid w:val="002D2838"/>
    <w:rsid w:val="002D2864"/>
    <w:rsid w:val="002D2969"/>
    <w:rsid w:val="002D2CBE"/>
    <w:rsid w:val="002D2D3B"/>
    <w:rsid w:val="002D2E27"/>
    <w:rsid w:val="002D2FE1"/>
    <w:rsid w:val="002D3019"/>
    <w:rsid w:val="002D3030"/>
    <w:rsid w:val="002D30BC"/>
    <w:rsid w:val="002D30DD"/>
    <w:rsid w:val="002D358C"/>
    <w:rsid w:val="002D3645"/>
    <w:rsid w:val="002D36F9"/>
    <w:rsid w:val="002D37E5"/>
    <w:rsid w:val="002D387C"/>
    <w:rsid w:val="002D398A"/>
    <w:rsid w:val="002D39F0"/>
    <w:rsid w:val="002D3ACD"/>
    <w:rsid w:val="002D3AFC"/>
    <w:rsid w:val="002D3B33"/>
    <w:rsid w:val="002D3D44"/>
    <w:rsid w:val="002D3E3D"/>
    <w:rsid w:val="002D4034"/>
    <w:rsid w:val="002D40B1"/>
    <w:rsid w:val="002D41D3"/>
    <w:rsid w:val="002D436F"/>
    <w:rsid w:val="002D44B2"/>
    <w:rsid w:val="002D4588"/>
    <w:rsid w:val="002D45CD"/>
    <w:rsid w:val="002D466D"/>
    <w:rsid w:val="002D46E6"/>
    <w:rsid w:val="002D47C4"/>
    <w:rsid w:val="002D47DC"/>
    <w:rsid w:val="002D4A29"/>
    <w:rsid w:val="002D4A32"/>
    <w:rsid w:val="002D4B88"/>
    <w:rsid w:val="002D4C09"/>
    <w:rsid w:val="002D4C77"/>
    <w:rsid w:val="002D4C79"/>
    <w:rsid w:val="002D4CBE"/>
    <w:rsid w:val="002D4CC5"/>
    <w:rsid w:val="002D4E50"/>
    <w:rsid w:val="002D5014"/>
    <w:rsid w:val="002D5062"/>
    <w:rsid w:val="002D523A"/>
    <w:rsid w:val="002D533B"/>
    <w:rsid w:val="002D54D7"/>
    <w:rsid w:val="002D5540"/>
    <w:rsid w:val="002D555A"/>
    <w:rsid w:val="002D557F"/>
    <w:rsid w:val="002D56DE"/>
    <w:rsid w:val="002D5826"/>
    <w:rsid w:val="002D588D"/>
    <w:rsid w:val="002D5977"/>
    <w:rsid w:val="002D59B9"/>
    <w:rsid w:val="002D5B29"/>
    <w:rsid w:val="002D5D6D"/>
    <w:rsid w:val="002D5E70"/>
    <w:rsid w:val="002D602A"/>
    <w:rsid w:val="002D6084"/>
    <w:rsid w:val="002D618E"/>
    <w:rsid w:val="002D6235"/>
    <w:rsid w:val="002D645D"/>
    <w:rsid w:val="002D6594"/>
    <w:rsid w:val="002D6734"/>
    <w:rsid w:val="002D675A"/>
    <w:rsid w:val="002D688E"/>
    <w:rsid w:val="002D69A6"/>
    <w:rsid w:val="002D6B1D"/>
    <w:rsid w:val="002D6B28"/>
    <w:rsid w:val="002D6BA8"/>
    <w:rsid w:val="002D6BD0"/>
    <w:rsid w:val="002D6C54"/>
    <w:rsid w:val="002D6CDB"/>
    <w:rsid w:val="002D6F44"/>
    <w:rsid w:val="002D7082"/>
    <w:rsid w:val="002D7084"/>
    <w:rsid w:val="002D7278"/>
    <w:rsid w:val="002D72EA"/>
    <w:rsid w:val="002D7432"/>
    <w:rsid w:val="002D744D"/>
    <w:rsid w:val="002D7554"/>
    <w:rsid w:val="002D75F9"/>
    <w:rsid w:val="002D77FC"/>
    <w:rsid w:val="002D7B18"/>
    <w:rsid w:val="002D7D0D"/>
    <w:rsid w:val="002D7DEE"/>
    <w:rsid w:val="002E0155"/>
    <w:rsid w:val="002E02CE"/>
    <w:rsid w:val="002E02D3"/>
    <w:rsid w:val="002E0605"/>
    <w:rsid w:val="002E064E"/>
    <w:rsid w:val="002E0693"/>
    <w:rsid w:val="002E070E"/>
    <w:rsid w:val="002E07AC"/>
    <w:rsid w:val="002E091B"/>
    <w:rsid w:val="002E0A33"/>
    <w:rsid w:val="002E0B95"/>
    <w:rsid w:val="002E0D01"/>
    <w:rsid w:val="002E0DB9"/>
    <w:rsid w:val="002E10D4"/>
    <w:rsid w:val="002E1261"/>
    <w:rsid w:val="002E130D"/>
    <w:rsid w:val="002E1330"/>
    <w:rsid w:val="002E1714"/>
    <w:rsid w:val="002E198D"/>
    <w:rsid w:val="002E19D9"/>
    <w:rsid w:val="002E19DE"/>
    <w:rsid w:val="002E1C2E"/>
    <w:rsid w:val="002E1D4D"/>
    <w:rsid w:val="002E1E6B"/>
    <w:rsid w:val="002E1EEC"/>
    <w:rsid w:val="002E200F"/>
    <w:rsid w:val="002E207C"/>
    <w:rsid w:val="002E211A"/>
    <w:rsid w:val="002E22FB"/>
    <w:rsid w:val="002E252A"/>
    <w:rsid w:val="002E27E2"/>
    <w:rsid w:val="002E28F2"/>
    <w:rsid w:val="002E290C"/>
    <w:rsid w:val="002E2B8C"/>
    <w:rsid w:val="002E2CB0"/>
    <w:rsid w:val="002E2CFF"/>
    <w:rsid w:val="002E2E9D"/>
    <w:rsid w:val="002E2FE0"/>
    <w:rsid w:val="002E3069"/>
    <w:rsid w:val="002E3078"/>
    <w:rsid w:val="002E3153"/>
    <w:rsid w:val="002E3185"/>
    <w:rsid w:val="002E31B6"/>
    <w:rsid w:val="002E3249"/>
    <w:rsid w:val="002E3266"/>
    <w:rsid w:val="002E337D"/>
    <w:rsid w:val="002E34FC"/>
    <w:rsid w:val="002E357B"/>
    <w:rsid w:val="002E369D"/>
    <w:rsid w:val="002E36A4"/>
    <w:rsid w:val="002E374B"/>
    <w:rsid w:val="002E3887"/>
    <w:rsid w:val="002E3959"/>
    <w:rsid w:val="002E3B05"/>
    <w:rsid w:val="002E3BA7"/>
    <w:rsid w:val="002E3DF7"/>
    <w:rsid w:val="002E3E89"/>
    <w:rsid w:val="002E409E"/>
    <w:rsid w:val="002E40D2"/>
    <w:rsid w:val="002E413B"/>
    <w:rsid w:val="002E4262"/>
    <w:rsid w:val="002E4339"/>
    <w:rsid w:val="002E4496"/>
    <w:rsid w:val="002E45C9"/>
    <w:rsid w:val="002E4639"/>
    <w:rsid w:val="002E4910"/>
    <w:rsid w:val="002E4985"/>
    <w:rsid w:val="002E4CC1"/>
    <w:rsid w:val="002E4F00"/>
    <w:rsid w:val="002E5048"/>
    <w:rsid w:val="002E508E"/>
    <w:rsid w:val="002E511A"/>
    <w:rsid w:val="002E5314"/>
    <w:rsid w:val="002E5319"/>
    <w:rsid w:val="002E535A"/>
    <w:rsid w:val="002E564C"/>
    <w:rsid w:val="002E5766"/>
    <w:rsid w:val="002E57DE"/>
    <w:rsid w:val="002E580C"/>
    <w:rsid w:val="002E5948"/>
    <w:rsid w:val="002E5954"/>
    <w:rsid w:val="002E596B"/>
    <w:rsid w:val="002E5C64"/>
    <w:rsid w:val="002E5C91"/>
    <w:rsid w:val="002E5CB7"/>
    <w:rsid w:val="002E5F97"/>
    <w:rsid w:val="002E5FD1"/>
    <w:rsid w:val="002E6018"/>
    <w:rsid w:val="002E60FE"/>
    <w:rsid w:val="002E6274"/>
    <w:rsid w:val="002E62B3"/>
    <w:rsid w:val="002E6334"/>
    <w:rsid w:val="002E63D8"/>
    <w:rsid w:val="002E6401"/>
    <w:rsid w:val="002E6430"/>
    <w:rsid w:val="002E6626"/>
    <w:rsid w:val="002E664A"/>
    <w:rsid w:val="002E69E3"/>
    <w:rsid w:val="002E6AA1"/>
    <w:rsid w:val="002E6CFD"/>
    <w:rsid w:val="002E6DBB"/>
    <w:rsid w:val="002E6EF8"/>
    <w:rsid w:val="002E6FCA"/>
    <w:rsid w:val="002E7028"/>
    <w:rsid w:val="002E70C4"/>
    <w:rsid w:val="002E7141"/>
    <w:rsid w:val="002E71F8"/>
    <w:rsid w:val="002E72DD"/>
    <w:rsid w:val="002E7462"/>
    <w:rsid w:val="002E75D1"/>
    <w:rsid w:val="002E7691"/>
    <w:rsid w:val="002E7736"/>
    <w:rsid w:val="002E77B2"/>
    <w:rsid w:val="002E79A5"/>
    <w:rsid w:val="002E7AA7"/>
    <w:rsid w:val="002E7C19"/>
    <w:rsid w:val="002E7CD8"/>
    <w:rsid w:val="002E7EAB"/>
    <w:rsid w:val="002E7EB2"/>
    <w:rsid w:val="002F006A"/>
    <w:rsid w:val="002F0098"/>
    <w:rsid w:val="002F018A"/>
    <w:rsid w:val="002F02E2"/>
    <w:rsid w:val="002F02E5"/>
    <w:rsid w:val="002F036A"/>
    <w:rsid w:val="002F0679"/>
    <w:rsid w:val="002F0745"/>
    <w:rsid w:val="002F0869"/>
    <w:rsid w:val="002F09D7"/>
    <w:rsid w:val="002F09E6"/>
    <w:rsid w:val="002F0A5D"/>
    <w:rsid w:val="002F0C1C"/>
    <w:rsid w:val="002F0D04"/>
    <w:rsid w:val="002F1240"/>
    <w:rsid w:val="002F1350"/>
    <w:rsid w:val="002F1437"/>
    <w:rsid w:val="002F143A"/>
    <w:rsid w:val="002F146A"/>
    <w:rsid w:val="002F160F"/>
    <w:rsid w:val="002F166E"/>
    <w:rsid w:val="002F1828"/>
    <w:rsid w:val="002F189B"/>
    <w:rsid w:val="002F18FF"/>
    <w:rsid w:val="002F1915"/>
    <w:rsid w:val="002F1A14"/>
    <w:rsid w:val="002F1A48"/>
    <w:rsid w:val="002F1AE6"/>
    <w:rsid w:val="002F1BA7"/>
    <w:rsid w:val="002F1C6F"/>
    <w:rsid w:val="002F2078"/>
    <w:rsid w:val="002F208E"/>
    <w:rsid w:val="002F2095"/>
    <w:rsid w:val="002F20B1"/>
    <w:rsid w:val="002F224C"/>
    <w:rsid w:val="002F2474"/>
    <w:rsid w:val="002F2481"/>
    <w:rsid w:val="002F2650"/>
    <w:rsid w:val="002F267D"/>
    <w:rsid w:val="002F2803"/>
    <w:rsid w:val="002F2914"/>
    <w:rsid w:val="002F294F"/>
    <w:rsid w:val="002F2965"/>
    <w:rsid w:val="002F2A02"/>
    <w:rsid w:val="002F2C34"/>
    <w:rsid w:val="002F2D18"/>
    <w:rsid w:val="002F2D4D"/>
    <w:rsid w:val="002F2D51"/>
    <w:rsid w:val="002F2D91"/>
    <w:rsid w:val="002F2DDB"/>
    <w:rsid w:val="002F2DF0"/>
    <w:rsid w:val="002F2E36"/>
    <w:rsid w:val="002F2E69"/>
    <w:rsid w:val="002F2E90"/>
    <w:rsid w:val="002F2FB7"/>
    <w:rsid w:val="002F2FD2"/>
    <w:rsid w:val="002F3145"/>
    <w:rsid w:val="002F3168"/>
    <w:rsid w:val="002F3184"/>
    <w:rsid w:val="002F3193"/>
    <w:rsid w:val="002F34F5"/>
    <w:rsid w:val="002F351B"/>
    <w:rsid w:val="002F3701"/>
    <w:rsid w:val="002F38F1"/>
    <w:rsid w:val="002F398A"/>
    <w:rsid w:val="002F3AE3"/>
    <w:rsid w:val="002F3F23"/>
    <w:rsid w:val="002F3F77"/>
    <w:rsid w:val="002F415E"/>
    <w:rsid w:val="002F41D9"/>
    <w:rsid w:val="002F42AC"/>
    <w:rsid w:val="002F4307"/>
    <w:rsid w:val="002F483C"/>
    <w:rsid w:val="002F4A14"/>
    <w:rsid w:val="002F4BD6"/>
    <w:rsid w:val="002F4C88"/>
    <w:rsid w:val="002F4CE6"/>
    <w:rsid w:val="002F4D15"/>
    <w:rsid w:val="002F4F80"/>
    <w:rsid w:val="002F511D"/>
    <w:rsid w:val="002F52B3"/>
    <w:rsid w:val="002F5423"/>
    <w:rsid w:val="002F5653"/>
    <w:rsid w:val="002F57C6"/>
    <w:rsid w:val="002F589D"/>
    <w:rsid w:val="002F5A4A"/>
    <w:rsid w:val="002F5AD0"/>
    <w:rsid w:val="002F5B94"/>
    <w:rsid w:val="002F5CA4"/>
    <w:rsid w:val="002F5D0F"/>
    <w:rsid w:val="002F5EB8"/>
    <w:rsid w:val="002F6006"/>
    <w:rsid w:val="002F6114"/>
    <w:rsid w:val="002F6147"/>
    <w:rsid w:val="002F62EA"/>
    <w:rsid w:val="002F63FF"/>
    <w:rsid w:val="002F6661"/>
    <w:rsid w:val="002F66D0"/>
    <w:rsid w:val="002F682E"/>
    <w:rsid w:val="002F68C3"/>
    <w:rsid w:val="002F6A8F"/>
    <w:rsid w:val="002F6B3B"/>
    <w:rsid w:val="002F6B63"/>
    <w:rsid w:val="002F6BA5"/>
    <w:rsid w:val="002F6C47"/>
    <w:rsid w:val="002F6CA6"/>
    <w:rsid w:val="002F6E63"/>
    <w:rsid w:val="002F6F15"/>
    <w:rsid w:val="002F6F72"/>
    <w:rsid w:val="002F7089"/>
    <w:rsid w:val="002F71AB"/>
    <w:rsid w:val="002F7337"/>
    <w:rsid w:val="002F752F"/>
    <w:rsid w:val="002F757E"/>
    <w:rsid w:val="002F75B1"/>
    <w:rsid w:val="002F75DD"/>
    <w:rsid w:val="002F766B"/>
    <w:rsid w:val="002F7815"/>
    <w:rsid w:val="002F7933"/>
    <w:rsid w:val="002F7953"/>
    <w:rsid w:val="002F7B57"/>
    <w:rsid w:val="002F7C26"/>
    <w:rsid w:val="002F7C8E"/>
    <w:rsid w:val="00300032"/>
    <w:rsid w:val="003002DC"/>
    <w:rsid w:val="0030056D"/>
    <w:rsid w:val="0030077E"/>
    <w:rsid w:val="003007B2"/>
    <w:rsid w:val="003007F0"/>
    <w:rsid w:val="00300856"/>
    <w:rsid w:val="003008DF"/>
    <w:rsid w:val="00300A29"/>
    <w:rsid w:val="00300AB8"/>
    <w:rsid w:val="00300ADE"/>
    <w:rsid w:val="00300B5B"/>
    <w:rsid w:val="00300BD4"/>
    <w:rsid w:val="00300BE8"/>
    <w:rsid w:val="00300CA2"/>
    <w:rsid w:val="00300EDB"/>
    <w:rsid w:val="00300FB6"/>
    <w:rsid w:val="00300FB7"/>
    <w:rsid w:val="003012BC"/>
    <w:rsid w:val="0030138A"/>
    <w:rsid w:val="003013AF"/>
    <w:rsid w:val="00301506"/>
    <w:rsid w:val="003017AD"/>
    <w:rsid w:val="00301C8A"/>
    <w:rsid w:val="00301D4E"/>
    <w:rsid w:val="00301DA3"/>
    <w:rsid w:val="00301E52"/>
    <w:rsid w:val="00301F88"/>
    <w:rsid w:val="00302083"/>
    <w:rsid w:val="003021F1"/>
    <w:rsid w:val="00302431"/>
    <w:rsid w:val="003024F4"/>
    <w:rsid w:val="0030256B"/>
    <w:rsid w:val="0030271D"/>
    <w:rsid w:val="003027B4"/>
    <w:rsid w:val="003029DC"/>
    <w:rsid w:val="00302A08"/>
    <w:rsid w:val="00302A37"/>
    <w:rsid w:val="00302D07"/>
    <w:rsid w:val="00302DE3"/>
    <w:rsid w:val="00302E45"/>
    <w:rsid w:val="00303053"/>
    <w:rsid w:val="00303152"/>
    <w:rsid w:val="003031EB"/>
    <w:rsid w:val="003032D5"/>
    <w:rsid w:val="003032F5"/>
    <w:rsid w:val="003035DA"/>
    <w:rsid w:val="00303604"/>
    <w:rsid w:val="00303690"/>
    <w:rsid w:val="00303839"/>
    <w:rsid w:val="00303A90"/>
    <w:rsid w:val="00303AF8"/>
    <w:rsid w:val="00303AFA"/>
    <w:rsid w:val="00303D84"/>
    <w:rsid w:val="00303F22"/>
    <w:rsid w:val="00303FE0"/>
    <w:rsid w:val="00304007"/>
    <w:rsid w:val="003040BA"/>
    <w:rsid w:val="003040E1"/>
    <w:rsid w:val="00304137"/>
    <w:rsid w:val="00304219"/>
    <w:rsid w:val="003042B9"/>
    <w:rsid w:val="003043DA"/>
    <w:rsid w:val="003044EC"/>
    <w:rsid w:val="00304569"/>
    <w:rsid w:val="003045C4"/>
    <w:rsid w:val="003046C7"/>
    <w:rsid w:val="003047E3"/>
    <w:rsid w:val="0030487B"/>
    <w:rsid w:val="00304A97"/>
    <w:rsid w:val="00304C1B"/>
    <w:rsid w:val="00304D16"/>
    <w:rsid w:val="00304E56"/>
    <w:rsid w:val="00304E74"/>
    <w:rsid w:val="00304F35"/>
    <w:rsid w:val="003051B0"/>
    <w:rsid w:val="0030526F"/>
    <w:rsid w:val="003052AD"/>
    <w:rsid w:val="0030534F"/>
    <w:rsid w:val="00305386"/>
    <w:rsid w:val="00305530"/>
    <w:rsid w:val="00305717"/>
    <w:rsid w:val="00305794"/>
    <w:rsid w:val="003057C8"/>
    <w:rsid w:val="0030593E"/>
    <w:rsid w:val="00305B4A"/>
    <w:rsid w:val="00305C5C"/>
    <w:rsid w:val="00305D04"/>
    <w:rsid w:val="00305D0C"/>
    <w:rsid w:val="00305D2B"/>
    <w:rsid w:val="00305E92"/>
    <w:rsid w:val="00305F11"/>
    <w:rsid w:val="003061F3"/>
    <w:rsid w:val="00306252"/>
    <w:rsid w:val="00306296"/>
    <w:rsid w:val="00306300"/>
    <w:rsid w:val="00306344"/>
    <w:rsid w:val="00306442"/>
    <w:rsid w:val="003064C1"/>
    <w:rsid w:val="0030666F"/>
    <w:rsid w:val="003066C9"/>
    <w:rsid w:val="00306710"/>
    <w:rsid w:val="00306A7D"/>
    <w:rsid w:val="00306B4B"/>
    <w:rsid w:val="00306C5A"/>
    <w:rsid w:val="00306CFB"/>
    <w:rsid w:val="00306FCD"/>
    <w:rsid w:val="00307042"/>
    <w:rsid w:val="003070A0"/>
    <w:rsid w:val="00307312"/>
    <w:rsid w:val="0030740E"/>
    <w:rsid w:val="00307471"/>
    <w:rsid w:val="0030767A"/>
    <w:rsid w:val="003076F3"/>
    <w:rsid w:val="0030772B"/>
    <w:rsid w:val="003079AA"/>
    <w:rsid w:val="00307A39"/>
    <w:rsid w:val="00307A69"/>
    <w:rsid w:val="00307C9C"/>
    <w:rsid w:val="00307D84"/>
    <w:rsid w:val="00307FC1"/>
    <w:rsid w:val="0031005E"/>
    <w:rsid w:val="0031023A"/>
    <w:rsid w:val="00310264"/>
    <w:rsid w:val="00310346"/>
    <w:rsid w:val="00310403"/>
    <w:rsid w:val="00310485"/>
    <w:rsid w:val="00310633"/>
    <w:rsid w:val="00310635"/>
    <w:rsid w:val="00310B16"/>
    <w:rsid w:val="00310BEB"/>
    <w:rsid w:val="00310C68"/>
    <w:rsid w:val="00310C78"/>
    <w:rsid w:val="00310CBC"/>
    <w:rsid w:val="00310D9F"/>
    <w:rsid w:val="00310DE2"/>
    <w:rsid w:val="00310E97"/>
    <w:rsid w:val="00311008"/>
    <w:rsid w:val="00311022"/>
    <w:rsid w:val="003111F6"/>
    <w:rsid w:val="0031140E"/>
    <w:rsid w:val="003115C9"/>
    <w:rsid w:val="003117A8"/>
    <w:rsid w:val="003117C8"/>
    <w:rsid w:val="00311BE0"/>
    <w:rsid w:val="00311CEE"/>
    <w:rsid w:val="00311F86"/>
    <w:rsid w:val="003121C3"/>
    <w:rsid w:val="00312531"/>
    <w:rsid w:val="00312626"/>
    <w:rsid w:val="003126AF"/>
    <w:rsid w:val="00312745"/>
    <w:rsid w:val="00312771"/>
    <w:rsid w:val="0031294F"/>
    <w:rsid w:val="00312A7A"/>
    <w:rsid w:val="00312ACF"/>
    <w:rsid w:val="00312E4A"/>
    <w:rsid w:val="00312E6D"/>
    <w:rsid w:val="00313377"/>
    <w:rsid w:val="003133D7"/>
    <w:rsid w:val="0031348F"/>
    <w:rsid w:val="00313528"/>
    <w:rsid w:val="00313534"/>
    <w:rsid w:val="003136BA"/>
    <w:rsid w:val="003136BD"/>
    <w:rsid w:val="0031376C"/>
    <w:rsid w:val="00313987"/>
    <w:rsid w:val="003139B7"/>
    <w:rsid w:val="00313BC8"/>
    <w:rsid w:val="00313BE9"/>
    <w:rsid w:val="00313D73"/>
    <w:rsid w:val="00313E38"/>
    <w:rsid w:val="003140DD"/>
    <w:rsid w:val="00314110"/>
    <w:rsid w:val="00314184"/>
    <w:rsid w:val="003141DA"/>
    <w:rsid w:val="00314306"/>
    <w:rsid w:val="0031435A"/>
    <w:rsid w:val="003144AD"/>
    <w:rsid w:val="0031453D"/>
    <w:rsid w:val="0031480B"/>
    <w:rsid w:val="003149E3"/>
    <w:rsid w:val="00314C6D"/>
    <w:rsid w:val="00314D0A"/>
    <w:rsid w:val="00314E09"/>
    <w:rsid w:val="00314E0A"/>
    <w:rsid w:val="00314EB8"/>
    <w:rsid w:val="0031507F"/>
    <w:rsid w:val="003150B6"/>
    <w:rsid w:val="003150E5"/>
    <w:rsid w:val="003151FD"/>
    <w:rsid w:val="003152E1"/>
    <w:rsid w:val="003153DB"/>
    <w:rsid w:val="0031546F"/>
    <w:rsid w:val="00315558"/>
    <w:rsid w:val="0031571A"/>
    <w:rsid w:val="00315B9C"/>
    <w:rsid w:val="00315BE9"/>
    <w:rsid w:val="00315D3F"/>
    <w:rsid w:val="00315FF1"/>
    <w:rsid w:val="00316022"/>
    <w:rsid w:val="00316233"/>
    <w:rsid w:val="00316271"/>
    <w:rsid w:val="00316336"/>
    <w:rsid w:val="0031633F"/>
    <w:rsid w:val="00316377"/>
    <w:rsid w:val="00316404"/>
    <w:rsid w:val="003164AB"/>
    <w:rsid w:val="00316554"/>
    <w:rsid w:val="00316574"/>
    <w:rsid w:val="0031657A"/>
    <w:rsid w:val="003166D4"/>
    <w:rsid w:val="00316806"/>
    <w:rsid w:val="003168FA"/>
    <w:rsid w:val="00316B0D"/>
    <w:rsid w:val="00316BD6"/>
    <w:rsid w:val="00316BE4"/>
    <w:rsid w:val="003170AA"/>
    <w:rsid w:val="0031728B"/>
    <w:rsid w:val="003173D4"/>
    <w:rsid w:val="0031749B"/>
    <w:rsid w:val="00317576"/>
    <w:rsid w:val="003177FA"/>
    <w:rsid w:val="003179F1"/>
    <w:rsid w:val="00317A69"/>
    <w:rsid w:val="00317A6D"/>
    <w:rsid w:val="00317B04"/>
    <w:rsid w:val="00317B27"/>
    <w:rsid w:val="00317B80"/>
    <w:rsid w:val="00317C37"/>
    <w:rsid w:val="00317D83"/>
    <w:rsid w:val="00317F7C"/>
    <w:rsid w:val="00320377"/>
    <w:rsid w:val="003203B7"/>
    <w:rsid w:val="003205F9"/>
    <w:rsid w:val="003208F2"/>
    <w:rsid w:val="00320B2F"/>
    <w:rsid w:val="00320B8F"/>
    <w:rsid w:val="00320BB2"/>
    <w:rsid w:val="00320C08"/>
    <w:rsid w:val="00320C3D"/>
    <w:rsid w:val="00320D46"/>
    <w:rsid w:val="00321076"/>
    <w:rsid w:val="00321192"/>
    <w:rsid w:val="0032124C"/>
    <w:rsid w:val="0032142B"/>
    <w:rsid w:val="003214D1"/>
    <w:rsid w:val="003214F5"/>
    <w:rsid w:val="00321806"/>
    <w:rsid w:val="0032182B"/>
    <w:rsid w:val="003218CC"/>
    <w:rsid w:val="003218FE"/>
    <w:rsid w:val="00321977"/>
    <w:rsid w:val="00321A62"/>
    <w:rsid w:val="00321AB5"/>
    <w:rsid w:val="00321BF8"/>
    <w:rsid w:val="00321C13"/>
    <w:rsid w:val="00321D5A"/>
    <w:rsid w:val="00321DDF"/>
    <w:rsid w:val="00321E3B"/>
    <w:rsid w:val="00321F16"/>
    <w:rsid w:val="00321F5D"/>
    <w:rsid w:val="00321F67"/>
    <w:rsid w:val="00321FF7"/>
    <w:rsid w:val="00322080"/>
    <w:rsid w:val="003220BD"/>
    <w:rsid w:val="00322351"/>
    <w:rsid w:val="00322441"/>
    <w:rsid w:val="0032246F"/>
    <w:rsid w:val="003224A7"/>
    <w:rsid w:val="00322591"/>
    <w:rsid w:val="003225DF"/>
    <w:rsid w:val="003226CC"/>
    <w:rsid w:val="0032277C"/>
    <w:rsid w:val="00322783"/>
    <w:rsid w:val="0032283E"/>
    <w:rsid w:val="00322B71"/>
    <w:rsid w:val="00322C60"/>
    <w:rsid w:val="00322C8F"/>
    <w:rsid w:val="00322CB8"/>
    <w:rsid w:val="00322E98"/>
    <w:rsid w:val="003230F1"/>
    <w:rsid w:val="00323304"/>
    <w:rsid w:val="00323317"/>
    <w:rsid w:val="0032337C"/>
    <w:rsid w:val="003233AE"/>
    <w:rsid w:val="00323535"/>
    <w:rsid w:val="00323610"/>
    <w:rsid w:val="0032369F"/>
    <w:rsid w:val="003236B9"/>
    <w:rsid w:val="00323745"/>
    <w:rsid w:val="003239C4"/>
    <w:rsid w:val="003239FB"/>
    <w:rsid w:val="00323B8B"/>
    <w:rsid w:val="00323F47"/>
    <w:rsid w:val="003240F0"/>
    <w:rsid w:val="00324242"/>
    <w:rsid w:val="003243C2"/>
    <w:rsid w:val="003244DA"/>
    <w:rsid w:val="003245C6"/>
    <w:rsid w:val="0032471B"/>
    <w:rsid w:val="0032476A"/>
    <w:rsid w:val="00324883"/>
    <w:rsid w:val="003249F3"/>
    <w:rsid w:val="00324B5D"/>
    <w:rsid w:val="00324B85"/>
    <w:rsid w:val="00324D14"/>
    <w:rsid w:val="00324D56"/>
    <w:rsid w:val="00324D6B"/>
    <w:rsid w:val="00324D83"/>
    <w:rsid w:val="00324FA8"/>
    <w:rsid w:val="00324FD5"/>
    <w:rsid w:val="00325117"/>
    <w:rsid w:val="003251F0"/>
    <w:rsid w:val="00325277"/>
    <w:rsid w:val="00325319"/>
    <w:rsid w:val="0032597E"/>
    <w:rsid w:val="00325A72"/>
    <w:rsid w:val="00325B10"/>
    <w:rsid w:val="00325B7D"/>
    <w:rsid w:val="00325BC6"/>
    <w:rsid w:val="00325C9B"/>
    <w:rsid w:val="00325D8C"/>
    <w:rsid w:val="00325E2C"/>
    <w:rsid w:val="00326080"/>
    <w:rsid w:val="0032608A"/>
    <w:rsid w:val="003260B3"/>
    <w:rsid w:val="003260E1"/>
    <w:rsid w:val="00326121"/>
    <w:rsid w:val="00326148"/>
    <w:rsid w:val="0032615B"/>
    <w:rsid w:val="003261A7"/>
    <w:rsid w:val="00326228"/>
    <w:rsid w:val="00326297"/>
    <w:rsid w:val="003264A4"/>
    <w:rsid w:val="00326584"/>
    <w:rsid w:val="0032659E"/>
    <w:rsid w:val="003266D0"/>
    <w:rsid w:val="0032689B"/>
    <w:rsid w:val="00326A58"/>
    <w:rsid w:val="00326BFB"/>
    <w:rsid w:val="00326ECA"/>
    <w:rsid w:val="00326EEF"/>
    <w:rsid w:val="00327027"/>
    <w:rsid w:val="003270FC"/>
    <w:rsid w:val="0032713A"/>
    <w:rsid w:val="003272FA"/>
    <w:rsid w:val="0032736E"/>
    <w:rsid w:val="0032746A"/>
    <w:rsid w:val="003274C3"/>
    <w:rsid w:val="003275AC"/>
    <w:rsid w:val="003278CB"/>
    <w:rsid w:val="003279A4"/>
    <w:rsid w:val="00327A77"/>
    <w:rsid w:val="00327AF4"/>
    <w:rsid w:val="00327B86"/>
    <w:rsid w:val="00327DC9"/>
    <w:rsid w:val="00327F0A"/>
    <w:rsid w:val="00327F63"/>
    <w:rsid w:val="00330075"/>
    <w:rsid w:val="003300DB"/>
    <w:rsid w:val="003301FD"/>
    <w:rsid w:val="00330280"/>
    <w:rsid w:val="003304F8"/>
    <w:rsid w:val="003305D0"/>
    <w:rsid w:val="0033088D"/>
    <w:rsid w:val="003308BD"/>
    <w:rsid w:val="00330AFE"/>
    <w:rsid w:val="00330C48"/>
    <w:rsid w:val="00330CA5"/>
    <w:rsid w:val="00330CD1"/>
    <w:rsid w:val="00330D44"/>
    <w:rsid w:val="00330D76"/>
    <w:rsid w:val="00330E14"/>
    <w:rsid w:val="00330E46"/>
    <w:rsid w:val="00330FE4"/>
    <w:rsid w:val="0033100A"/>
    <w:rsid w:val="003310BA"/>
    <w:rsid w:val="003310BF"/>
    <w:rsid w:val="0033117E"/>
    <w:rsid w:val="003311B2"/>
    <w:rsid w:val="003311B8"/>
    <w:rsid w:val="0033126C"/>
    <w:rsid w:val="00331567"/>
    <w:rsid w:val="003315D1"/>
    <w:rsid w:val="003316B1"/>
    <w:rsid w:val="00331790"/>
    <w:rsid w:val="00331890"/>
    <w:rsid w:val="00331B67"/>
    <w:rsid w:val="00331C20"/>
    <w:rsid w:val="00331C31"/>
    <w:rsid w:val="00331D89"/>
    <w:rsid w:val="00331E49"/>
    <w:rsid w:val="0033217E"/>
    <w:rsid w:val="00332183"/>
    <w:rsid w:val="00332347"/>
    <w:rsid w:val="0033235E"/>
    <w:rsid w:val="003324A0"/>
    <w:rsid w:val="003324B3"/>
    <w:rsid w:val="003324F5"/>
    <w:rsid w:val="0033268F"/>
    <w:rsid w:val="0033275E"/>
    <w:rsid w:val="0033279F"/>
    <w:rsid w:val="003327FD"/>
    <w:rsid w:val="0033291D"/>
    <w:rsid w:val="00332A5D"/>
    <w:rsid w:val="00332B36"/>
    <w:rsid w:val="00332B6A"/>
    <w:rsid w:val="00332B70"/>
    <w:rsid w:val="00332E7F"/>
    <w:rsid w:val="003330C7"/>
    <w:rsid w:val="0033312E"/>
    <w:rsid w:val="00333404"/>
    <w:rsid w:val="00333606"/>
    <w:rsid w:val="00333736"/>
    <w:rsid w:val="003338A3"/>
    <w:rsid w:val="0033390A"/>
    <w:rsid w:val="00333930"/>
    <w:rsid w:val="00333CB4"/>
    <w:rsid w:val="00333F06"/>
    <w:rsid w:val="0033408F"/>
    <w:rsid w:val="00334092"/>
    <w:rsid w:val="003340DD"/>
    <w:rsid w:val="003340EF"/>
    <w:rsid w:val="003340FE"/>
    <w:rsid w:val="0033426B"/>
    <w:rsid w:val="003342D9"/>
    <w:rsid w:val="003342E9"/>
    <w:rsid w:val="0033430B"/>
    <w:rsid w:val="00334345"/>
    <w:rsid w:val="0033438E"/>
    <w:rsid w:val="003345E0"/>
    <w:rsid w:val="0033480D"/>
    <w:rsid w:val="003349FC"/>
    <w:rsid w:val="00334B4C"/>
    <w:rsid w:val="00334DB4"/>
    <w:rsid w:val="00334E49"/>
    <w:rsid w:val="00334F99"/>
    <w:rsid w:val="00335188"/>
    <w:rsid w:val="00335243"/>
    <w:rsid w:val="003353CD"/>
    <w:rsid w:val="00335407"/>
    <w:rsid w:val="00335425"/>
    <w:rsid w:val="00335527"/>
    <w:rsid w:val="00335675"/>
    <w:rsid w:val="00335B39"/>
    <w:rsid w:val="00335FB7"/>
    <w:rsid w:val="00335FF3"/>
    <w:rsid w:val="003360C9"/>
    <w:rsid w:val="00336122"/>
    <w:rsid w:val="003361AA"/>
    <w:rsid w:val="00336266"/>
    <w:rsid w:val="00336295"/>
    <w:rsid w:val="003364CF"/>
    <w:rsid w:val="003364EE"/>
    <w:rsid w:val="003368B0"/>
    <w:rsid w:val="00336947"/>
    <w:rsid w:val="00336B21"/>
    <w:rsid w:val="00336B67"/>
    <w:rsid w:val="00336C4B"/>
    <w:rsid w:val="00336C52"/>
    <w:rsid w:val="00336C79"/>
    <w:rsid w:val="00336DDD"/>
    <w:rsid w:val="00336DFF"/>
    <w:rsid w:val="00336ECD"/>
    <w:rsid w:val="00336EFF"/>
    <w:rsid w:val="00337281"/>
    <w:rsid w:val="003372D5"/>
    <w:rsid w:val="0033769B"/>
    <w:rsid w:val="00337717"/>
    <w:rsid w:val="00337917"/>
    <w:rsid w:val="00337946"/>
    <w:rsid w:val="0033797F"/>
    <w:rsid w:val="00337A35"/>
    <w:rsid w:val="00337AA1"/>
    <w:rsid w:val="00337B8C"/>
    <w:rsid w:val="00337C6E"/>
    <w:rsid w:val="00337D01"/>
    <w:rsid w:val="00337E23"/>
    <w:rsid w:val="00337EED"/>
    <w:rsid w:val="00337EFD"/>
    <w:rsid w:val="00340017"/>
    <w:rsid w:val="0034019E"/>
    <w:rsid w:val="00340252"/>
    <w:rsid w:val="003402D8"/>
    <w:rsid w:val="00340406"/>
    <w:rsid w:val="00340673"/>
    <w:rsid w:val="00340888"/>
    <w:rsid w:val="00340A31"/>
    <w:rsid w:val="00340E92"/>
    <w:rsid w:val="00340F41"/>
    <w:rsid w:val="003411BC"/>
    <w:rsid w:val="003412DC"/>
    <w:rsid w:val="003415C8"/>
    <w:rsid w:val="00341709"/>
    <w:rsid w:val="00341722"/>
    <w:rsid w:val="00341786"/>
    <w:rsid w:val="0034186C"/>
    <w:rsid w:val="003419A2"/>
    <w:rsid w:val="003419F3"/>
    <w:rsid w:val="00341A19"/>
    <w:rsid w:val="00341B2E"/>
    <w:rsid w:val="00341BF3"/>
    <w:rsid w:val="00341D70"/>
    <w:rsid w:val="00341E14"/>
    <w:rsid w:val="00341E25"/>
    <w:rsid w:val="0034217A"/>
    <w:rsid w:val="00342324"/>
    <w:rsid w:val="003423E5"/>
    <w:rsid w:val="0034256C"/>
    <w:rsid w:val="0034257E"/>
    <w:rsid w:val="0034279E"/>
    <w:rsid w:val="003428F1"/>
    <w:rsid w:val="00342A3F"/>
    <w:rsid w:val="00342B2A"/>
    <w:rsid w:val="00342C27"/>
    <w:rsid w:val="00342CEC"/>
    <w:rsid w:val="00343203"/>
    <w:rsid w:val="0034332C"/>
    <w:rsid w:val="00343332"/>
    <w:rsid w:val="003433A9"/>
    <w:rsid w:val="00343649"/>
    <w:rsid w:val="003436B5"/>
    <w:rsid w:val="00343A1B"/>
    <w:rsid w:val="00343AF4"/>
    <w:rsid w:val="00343B1D"/>
    <w:rsid w:val="00343CC5"/>
    <w:rsid w:val="00343CDA"/>
    <w:rsid w:val="00343CE0"/>
    <w:rsid w:val="00343D35"/>
    <w:rsid w:val="00343E23"/>
    <w:rsid w:val="00343F67"/>
    <w:rsid w:val="003443BE"/>
    <w:rsid w:val="00344429"/>
    <w:rsid w:val="0034465A"/>
    <w:rsid w:val="003446C2"/>
    <w:rsid w:val="00344ABF"/>
    <w:rsid w:val="00344C5C"/>
    <w:rsid w:val="00344C9F"/>
    <w:rsid w:val="00344E77"/>
    <w:rsid w:val="00344F88"/>
    <w:rsid w:val="00344F9D"/>
    <w:rsid w:val="003450F5"/>
    <w:rsid w:val="00345104"/>
    <w:rsid w:val="00345324"/>
    <w:rsid w:val="0034538A"/>
    <w:rsid w:val="003453ED"/>
    <w:rsid w:val="003455DF"/>
    <w:rsid w:val="0034587B"/>
    <w:rsid w:val="00345987"/>
    <w:rsid w:val="003459F5"/>
    <w:rsid w:val="00345DB8"/>
    <w:rsid w:val="00345FCD"/>
    <w:rsid w:val="00346063"/>
    <w:rsid w:val="00346166"/>
    <w:rsid w:val="003463F5"/>
    <w:rsid w:val="003463F6"/>
    <w:rsid w:val="003464D8"/>
    <w:rsid w:val="003464F9"/>
    <w:rsid w:val="003465AA"/>
    <w:rsid w:val="003465D5"/>
    <w:rsid w:val="003466A3"/>
    <w:rsid w:val="003467DB"/>
    <w:rsid w:val="0034686A"/>
    <w:rsid w:val="0034698A"/>
    <w:rsid w:val="00346AC4"/>
    <w:rsid w:val="00346AE8"/>
    <w:rsid w:val="00346B49"/>
    <w:rsid w:val="00346F07"/>
    <w:rsid w:val="00346F48"/>
    <w:rsid w:val="00346F66"/>
    <w:rsid w:val="00346FB3"/>
    <w:rsid w:val="00346FDE"/>
    <w:rsid w:val="00347032"/>
    <w:rsid w:val="0034706B"/>
    <w:rsid w:val="00347201"/>
    <w:rsid w:val="0034723D"/>
    <w:rsid w:val="00347334"/>
    <w:rsid w:val="0034740E"/>
    <w:rsid w:val="003474BA"/>
    <w:rsid w:val="00347563"/>
    <w:rsid w:val="0034776A"/>
    <w:rsid w:val="003478DA"/>
    <w:rsid w:val="003478EE"/>
    <w:rsid w:val="00347908"/>
    <w:rsid w:val="00347F4B"/>
    <w:rsid w:val="0035005A"/>
    <w:rsid w:val="003500C6"/>
    <w:rsid w:val="00350111"/>
    <w:rsid w:val="00350143"/>
    <w:rsid w:val="003501EC"/>
    <w:rsid w:val="00350247"/>
    <w:rsid w:val="0035027A"/>
    <w:rsid w:val="003502AB"/>
    <w:rsid w:val="003503F7"/>
    <w:rsid w:val="0035049D"/>
    <w:rsid w:val="003504A8"/>
    <w:rsid w:val="003504CA"/>
    <w:rsid w:val="003504E4"/>
    <w:rsid w:val="00350626"/>
    <w:rsid w:val="0035069D"/>
    <w:rsid w:val="00350743"/>
    <w:rsid w:val="0035079B"/>
    <w:rsid w:val="0035079D"/>
    <w:rsid w:val="003507A7"/>
    <w:rsid w:val="0035088F"/>
    <w:rsid w:val="003508CC"/>
    <w:rsid w:val="003508D7"/>
    <w:rsid w:val="003508FF"/>
    <w:rsid w:val="00350940"/>
    <w:rsid w:val="00350A50"/>
    <w:rsid w:val="00350B5B"/>
    <w:rsid w:val="00350BB8"/>
    <w:rsid w:val="00350BE6"/>
    <w:rsid w:val="00350E1A"/>
    <w:rsid w:val="00350ECD"/>
    <w:rsid w:val="00350EFD"/>
    <w:rsid w:val="00350FCE"/>
    <w:rsid w:val="0035110F"/>
    <w:rsid w:val="0035124D"/>
    <w:rsid w:val="00351420"/>
    <w:rsid w:val="003514AB"/>
    <w:rsid w:val="00351590"/>
    <w:rsid w:val="003516C3"/>
    <w:rsid w:val="00351773"/>
    <w:rsid w:val="003518AF"/>
    <w:rsid w:val="00351930"/>
    <w:rsid w:val="00351A2F"/>
    <w:rsid w:val="00351AEA"/>
    <w:rsid w:val="00351B18"/>
    <w:rsid w:val="00351B58"/>
    <w:rsid w:val="00351BCC"/>
    <w:rsid w:val="00351BEF"/>
    <w:rsid w:val="00351C24"/>
    <w:rsid w:val="00351E0A"/>
    <w:rsid w:val="00351FBF"/>
    <w:rsid w:val="00352073"/>
    <w:rsid w:val="0035212B"/>
    <w:rsid w:val="00352131"/>
    <w:rsid w:val="0035216B"/>
    <w:rsid w:val="003521D4"/>
    <w:rsid w:val="003521E0"/>
    <w:rsid w:val="003522A3"/>
    <w:rsid w:val="003523B3"/>
    <w:rsid w:val="00352480"/>
    <w:rsid w:val="00352893"/>
    <w:rsid w:val="00352A39"/>
    <w:rsid w:val="00352AEC"/>
    <w:rsid w:val="00352D1D"/>
    <w:rsid w:val="00352D42"/>
    <w:rsid w:val="00352E6D"/>
    <w:rsid w:val="00352F3B"/>
    <w:rsid w:val="00353030"/>
    <w:rsid w:val="003530B5"/>
    <w:rsid w:val="003531C8"/>
    <w:rsid w:val="00353289"/>
    <w:rsid w:val="00353417"/>
    <w:rsid w:val="0035346E"/>
    <w:rsid w:val="003534C8"/>
    <w:rsid w:val="00353549"/>
    <w:rsid w:val="003535B7"/>
    <w:rsid w:val="003535E6"/>
    <w:rsid w:val="00353684"/>
    <w:rsid w:val="003536BA"/>
    <w:rsid w:val="00353877"/>
    <w:rsid w:val="00353995"/>
    <w:rsid w:val="003539D4"/>
    <w:rsid w:val="00353A37"/>
    <w:rsid w:val="00353AAF"/>
    <w:rsid w:val="00353C3A"/>
    <w:rsid w:val="00353C42"/>
    <w:rsid w:val="00353C95"/>
    <w:rsid w:val="00353CD6"/>
    <w:rsid w:val="00353E3A"/>
    <w:rsid w:val="00353E94"/>
    <w:rsid w:val="00353EE0"/>
    <w:rsid w:val="0035407E"/>
    <w:rsid w:val="00354199"/>
    <w:rsid w:val="003543D9"/>
    <w:rsid w:val="00354B1A"/>
    <w:rsid w:val="00354D7C"/>
    <w:rsid w:val="00354E58"/>
    <w:rsid w:val="00354E67"/>
    <w:rsid w:val="00354E6D"/>
    <w:rsid w:val="00354EC8"/>
    <w:rsid w:val="00354F79"/>
    <w:rsid w:val="00355059"/>
    <w:rsid w:val="0035506A"/>
    <w:rsid w:val="00355149"/>
    <w:rsid w:val="003551A9"/>
    <w:rsid w:val="0035527D"/>
    <w:rsid w:val="00355414"/>
    <w:rsid w:val="0035546E"/>
    <w:rsid w:val="00355490"/>
    <w:rsid w:val="00355581"/>
    <w:rsid w:val="003555F6"/>
    <w:rsid w:val="00355805"/>
    <w:rsid w:val="00355961"/>
    <w:rsid w:val="00355D16"/>
    <w:rsid w:val="00355E8C"/>
    <w:rsid w:val="0035603F"/>
    <w:rsid w:val="0035604D"/>
    <w:rsid w:val="00356181"/>
    <w:rsid w:val="003563C7"/>
    <w:rsid w:val="003564DE"/>
    <w:rsid w:val="00356598"/>
    <w:rsid w:val="0035660B"/>
    <w:rsid w:val="00356624"/>
    <w:rsid w:val="00356638"/>
    <w:rsid w:val="003566AB"/>
    <w:rsid w:val="003566C3"/>
    <w:rsid w:val="003566C7"/>
    <w:rsid w:val="0035672B"/>
    <w:rsid w:val="003568A3"/>
    <w:rsid w:val="00356ABA"/>
    <w:rsid w:val="00356B73"/>
    <w:rsid w:val="00356BBC"/>
    <w:rsid w:val="00356BE6"/>
    <w:rsid w:val="00356BF6"/>
    <w:rsid w:val="00356C45"/>
    <w:rsid w:val="00356D49"/>
    <w:rsid w:val="00356DF4"/>
    <w:rsid w:val="00356FEA"/>
    <w:rsid w:val="003570F2"/>
    <w:rsid w:val="00357181"/>
    <w:rsid w:val="00357337"/>
    <w:rsid w:val="003573CF"/>
    <w:rsid w:val="003574B4"/>
    <w:rsid w:val="00357559"/>
    <w:rsid w:val="0035756F"/>
    <w:rsid w:val="0035797C"/>
    <w:rsid w:val="00357BB8"/>
    <w:rsid w:val="00357D0A"/>
    <w:rsid w:val="00357D5B"/>
    <w:rsid w:val="00357FAA"/>
    <w:rsid w:val="00357FF3"/>
    <w:rsid w:val="003600D5"/>
    <w:rsid w:val="00360181"/>
    <w:rsid w:val="003603CB"/>
    <w:rsid w:val="00360441"/>
    <w:rsid w:val="003605EA"/>
    <w:rsid w:val="0036060F"/>
    <w:rsid w:val="00360689"/>
    <w:rsid w:val="003606D0"/>
    <w:rsid w:val="00360798"/>
    <w:rsid w:val="003609AB"/>
    <w:rsid w:val="00360ACE"/>
    <w:rsid w:val="00360B49"/>
    <w:rsid w:val="00361048"/>
    <w:rsid w:val="0036114D"/>
    <w:rsid w:val="0036158B"/>
    <w:rsid w:val="00361761"/>
    <w:rsid w:val="00361839"/>
    <w:rsid w:val="0036187B"/>
    <w:rsid w:val="00361A58"/>
    <w:rsid w:val="00361B74"/>
    <w:rsid w:val="00361E1D"/>
    <w:rsid w:val="00361E7E"/>
    <w:rsid w:val="00361F5F"/>
    <w:rsid w:val="00362097"/>
    <w:rsid w:val="0036214A"/>
    <w:rsid w:val="0036217F"/>
    <w:rsid w:val="0036222C"/>
    <w:rsid w:val="00362600"/>
    <w:rsid w:val="003626D4"/>
    <w:rsid w:val="003628A4"/>
    <w:rsid w:val="00362950"/>
    <w:rsid w:val="00362AAD"/>
    <w:rsid w:val="00362C38"/>
    <w:rsid w:val="00362C64"/>
    <w:rsid w:val="00362CD8"/>
    <w:rsid w:val="00362D5B"/>
    <w:rsid w:val="00362E00"/>
    <w:rsid w:val="00362E82"/>
    <w:rsid w:val="00362E9A"/>
    <w:rsid w:val="003630B7"/>
    <w:rsid w:val="00363155"/>
    <w:rsid w:val="0036317D"/>
    <w:rsid w:val="003632A0"/>
    <w:rsid w:val="003632AC"/>
    <w:rsid w:val="003633CE"/>
    <w:rsid w:val="0036343A"/>
    <w:rsid w:val="003634DB"/>
    <w:rsid w:val="003638C4"/>
    <w:rsid w:val="003639E4"/>
    <w:rsid w:val="00363AE5"/>
    <w:rsid w:val="00363B65"/>
    <w:rsid w:val="00363F03"/>
    <w:rsid w:val="00363FC2"/>
    <w:rsid w:val="0036400F"/>
    <w:rsid w:val="003642BF"/>
    <w:rsid w:val="00364314"/>
    <w:rsid w:val="0036440F"/>
    <w:rsid w:val="003647B3"/>
    <w:rsid w:val="0036484C"/>
    <w:rsid w:val="00364986"/>
    <w:rsid w:val="003649D4"/>
    <w:rsid w:val="00364A1F"/>
    <w:rsid w:val="00364B78"/>
    <w:rsid w:val="00364BE4"/>
    <w:rsid w:val="00364C28"/>
    <w:rsid w:val="00364D39"/>
    <w:rsid w:val="00364DFC"/>
    <w:rsid w:val="00364F20"/>
    <w:rsid w:val="00364FAE"/>
    <w:rsid w:val="0036508F"/>
    <w:rsid w:val="003650BE"/>
    <w:rsid w:val="0036511B"/>
    <w:rsid w:val="00365143"/>
    <w:rsid w:val="003651D3"/>
    <w:rsid w:val="003653FC"/>
    <w:rsid w:val="003654B6"/>
    <w:rsid w:val="003654EB"/>
    <w:rsid w:val="003656A3"/>
    <w:rsid w:val="0036589E"/>
    <w:rsid w:val="003658EA"/>
    <w:rsid w:val="0036594C"/>
    <w:rsid w:val="00365BC6"/>
    <w:rsid w:val="00365C42"/>
    <w:rsid w:val="00365CBA"/>
    <w:rsid w:val="00365E90"/>
    <w:rsid w:val="00365EF0"/>
    <w:rsid w:val="00365F79"/>
    <w:rsid w:val="00365F85"/>
    <w:rsid w:val="00366001"/>
    <w:rsid w:val="00366090"/>
    <w:rsid w:val="0036615C"/>
    <w:rsid w:val="00366219"/>
    <w:rsid w:val="003662AE"/>
    <w:rsid w:val="003662BA"/>
    <w:rsid w:val="003662DA"/>
    <w:rsid w:val="003662F3"/>
    <w:rsid w:val="0036637B"/>
    <w:rsid w:val="003663D4"/>
    <w:rsid w:val="00366441"/>
    <w:rsid w:val="003664C2"/>
    <w:rsid w:val="003664EF"/>
    <w:rsid w:val="00366738"/>
    <w:rsid w:val="00366746"/>
    <w:rsid w:val="00366849"/>
    <w:rsid w:val="0036688F"/>
    <w:rsid w:val="00366B56"/>
    <w:rsid w:val="00366B92"/>
    <w:rsid w:val="00366CB4"/>
    <w:rsid w:val="00366D64"/>
    <w:rsid w:val="00366D6D"/>
    <w:rsid w:val="00366F49"/>
    <w:rsid w:val="003670F6"/>
    <w:rsid w:val="0036711A"/>
    <w:rsid w:val="00367138"/>
    <w:rsid w:val="003673EE"/>
    <w:rsid w:val="003674CE"/>
    <w:rsid w:val="003674F1"/>
    <w:rsid w:val="00367526"/>
    <w:rsid w:val="0036753C"/>
    <w:rsid w:val="00367579"/>
    <w:rsid w:val="00367A3F"/>
    <w:rsid w:val="00367C8B"/>
    <w:rsid w:val="00367F3C"/>
    <w:rsid w:val="0037009C"/>
    <w:rsid w:val="003700BA"/>
    <w:rsid w:val="003700DD"/>
    <w:rsid w:val="00370348"/>
    <w:rsid w:val="003705B5"/>
    <w:rsid w:val="00370710"/>
    <w:rsid w:val="00370780"/>
    <w:rsid w:val="003708D7"/>
    <w:rsid w:val="003708EE"/>
    <w:rsid w:val="003708F1"/>
    <w:rsid w:val="00370939"/>
    <w:rsid w:val="00370A1E"/>
    <w:rsid w:val="00370A9A"/>
    <w:rsid w:val="00370ADA"/>
    <w:rsid w:val="00370C6E"/>
    <w:rsid w:val="00370D01"/>
    <w:rsid w:val="00370DBC"/>
    <w:rsid w:val="00370F85"/>
    <w:rsid w:val="003710EF"/>
    <w:rsid w:val="003711D7"/>
    <w:rsid w:val="003712B7"/>
    <w:rsid w:val="00371437"/>
    <w:rsid w:val="00371441"/>
    <w:rsid w:val="00371451"/>
    <w:rsid w:val="00371641"/>
    <w:rsid w:val="003719A3"/>
    <w:rsid w:val="003719EC"/>
    <w:rsid w:val="00371B71"/>
    <w:rsid w:val="00371C5F"/>
    <w:rsid w:val="00371D51"/>
    <w:rsid w:val="003720B3"/>
    <w:rsid w:val="003720E4"/>
    <w:rsid w:val="00372103"/>
    <w:rsid w:val="00372162"/>
    <w:rsid w:val="003722C2"/>
    <w:rsid w:val="003722DF"/>
    <w:rsid w:val="0037265C"/>
    <w:rsid w:val="003726A8"/>
    <w:rsid w:val="0037271B"/>
    <w:rsid w:val="0037278C"/>
    <w:rsid w:val="0037299A"/>
    <w:rsid w:val="00372A07"/>
    <w:rsid w:val="00372CA9"/>
    <w:rsid w:val="00372EAA"/>
    <w:rsid w:val="0037318E"/>
    <w:rsid w:val="00373250"/>
    <w:rsid w:val="0037335E"/>
    <w:rsid w:val="003733F3"/>
    <w:rsid w:val="0037352D"/>
    <w:rsid w:val="00373627"/>
    <w:rsid w:val="00373647"/>
    <w:rsid w:val="00373740"/>
    <w:rsid w:val="003738E3"/>
    <w:rsid w:val="0037392F"/>
    <w:rsid w:val="00373958"/>
    <w:rsid w:val="00373BB2"/>
    <w:rsid w:val="00373C56"/>
    <w:rsid w:val="00373E41"/>
    <w:rsid w:val="00373ED2"/>
    <w:rsid w:val="00373F5A"/>
    <w:rsid w:val="00373FA4"/>
    <w:rsid w:val="00374042"/>
    <w:rsid w:val="0037405C"/>
    <w:rsid w:val="003742AF"/>
    <w:rsid w:val="0037455C"/>
    <w:rsid w:val="003745C8"/>
    <w:rsid w:val="003747ED"/>
    <w:rsid w:val="00374881"/>
    <w:rsid w:val="00374974"/>
    <w:rsid w:val="00374B63"/>
    <w:rsid w:val="00374D82"/>
    <w:rsid w:val="00375138"/>
    <w:rsid w:val="00375162"/>
    <w:rsid w:val="003751A1"/>
    <w:rsid w:val="003754AD"/>
    <w:rsid w:val="003757FB"/>
    <w:rsid w:val="003758E2"/>
    <w:rsid w:val="003759AC"/>
    <w:rsid w:val="00375AE4"/>
    <w:rsid w:val="00375B4A"/>
    <w:rsid w:val="00375B4F"/>
    <w:rsid w:val="00375B89"/>
    <w:rsid w:val="00375B98"/>
    <w:rsid w:val="00375BA9"/>
    <w:rsid w:val="00375C7A"/>
    <w:rsid w:val="00375CC6"/>
    <w:rsid w:val="00375FE7"/>
    <w:rsid w:val="0037605B"/>
    <w:rsid w:val="003760AE"/>
    <w:rsid w:val="003761C3"/>
    <w:rsid w:val="00376430"/>
    <w:rsid w:val="00376435"/>
    <w:rsid w:val="00376726"/>
    <w:rsid w:val="00376779"/>
    <w:rsid w:val="003768C9"/>
    <w:rsid w:val="0037691F"/>
    <w:rsid w:val="00376944"/>
    <w:rsid w:val="00376A35"/>
    <w:rsid w:val="00376B1C"/>
    <w:rsid w:val="00376D35"/>
    <w:rsid w:val="00376D72"/>
    <w:rsid w:val="00376E1F"/>
    <w:rsid w:val="00376EA5"/>
    <w:rsid w:val="00376FCD"/>
    <w:rsid w:val="00377276"/>
    <w:rsid w:val="003772E3"/>
    <w:rsid w:val="00377308"/>
    <w:rsid w:val="0037730A"/>
    <w:rsid w:val="003773FA"/>
    <w:rsid w:val="0037741B"/>
    <w:rsid w:val="003774C0"/>
    <w:rsid w:val="003777B0"/>
    <w:rsid w:val="003779C3"/>
    <w:rsid w:val="00377BBA"/>
    <w:rsid w:val="00377C60"/>
    <w:rsid w:val="00377D0B"/>
    <w:rsid w:val="00377D46"/>
    <w:rsid w:val="00377E9A"/>
    <w:rsid w:val="00377F0A"/>
    <w:rsid w:val="00377F95"/>
    <w:rsid w:val="003802D8"/>
    <w:rsid w:val="0038059D"/>
    <w:rsid w:val="003805F7"/>
    <w:rsid w:val="0038064A"/>
    <w:rsid w:val="00380773"/>
    <w:rsid w:val="00380876"/>
    <w:rsid w:val="00380A47"/>
    <w:rsid w:val="00380A5A"/>
    <w:rsid w:val="00380AFE"/>
    <w:rsid w:val="00380CB5"/>
    <w:rsid w:val="00380D83"/>
    <w:rsid w:val="00380FAC"/>
    <w:rsid w:val="00380FAE"/>
    <w:rsid w:val="00380FBE"/>
    <w:rsid w:val="00380FCB"/>
    <w:rsid w:val="00380FCC"/>
    <w:rsid w:val="0038119C"/>
    <w:rsid w:val="003811AF"/>
    <w:rsid w:val="00381669"/>
    <w:rsid w:val="003816A1"/>
    <w:rsid w:val="003817B9"/>
    <w:rsid w:val="00381849"/>
    <w:rsid w:val="00381870"/>
    <w:rsid w:val="00381B37"/>
    <w:rsid w:val="00381C2F"/>
    <w:rsid w:val="00381D33"/>
    <w:rsid w:val="00381EF7"/>
    <w:rsid w:val="00382031"/>
    <w:rsid w:val="003820E2"/>
    <w:rsid w:val="00382153"/>
    <w:rsid w:val="0038222C"/>
    <w:rsid w:val="0038230F"/>
    <w:rsid w:val="0038232E"/>
    <w:rsid w:val="0038238D"/>
    <w:rsid w:val="00382406"/>
    <w:rsid w:val="0038247B"/>
    <w:rsid w:val="0038249C"/>
    <w:rsid w:val="003825F3"/>
    <w:rsid w:val="00382A41"/>
    <w:rsid w:val="00382B27"/>
    <w:rsid w:val="00382B39"/>
    <w:rsid w:val="00382CF2"/>
    <w:rsid w:val="003830B2"/>
    <w:rsid w:val="003830E7"/>
    <w:rsid w:val="003830F3"/>
    <w:rsid w:val="0038325C"/>
    <w:rsid w:val="0038325F"/>
    <w:rsid w:val="0038346F"/>
    <w:rsid w:val="003836F6"/>
    <w:rsid w:val="003838EB"/>
    <w:rsid w:val="00383B29"/>
    <w:rsid w:val="00383DA6"/>
    <w:rsid w:val="00383F14"/>
    <w:rsid w:val="00383F9A"/>
    <w:rsid w:val="00383FB9"/>
    <w:rsid w:val="00384017"/>
    <w:rsid w:val="0038407F"/>
    <w:rsid w:val="00384080"/>
    <w:rsid w:val="00384303"/>
    <w:rsid w:val="003845FA"/>
    <w:rsid w:val="00384671"/>
    <w:rsid w:val="00384721"/>
    <w:rsid w:val="003847E5"/>
    <w:rsid w:val="003848EF"/>
    <w:rsid w:val="003848F0"/>
    <w:rsid w:val="00384A45"/>
    <w:rsid w:val="00384AD0"/>
    <w:rsid w:val="00384BA0"/>
    <w:rsid w:val="00384C29"/>
    <w:rsid w:val="00384C67"/>
    <w:rsid w:val="00384CDE"/>
    <w:rsid w:val="00384CE1"/>
    <w:rsid w:val="00384D5E"/>
    <w:rsid w:val="00384D94"/>
    <w:rsid w:val="00384FE8"/>
    <w:rsid w:val="003850CA"/>
    <w:rsid w:val="0038525B"/>
    <w:rsid w:val="00385639"/>
    <w:rsid w:val="0038567E"/>
    <w:rsid w:val="0038587A"/>
    <w:rsid w:val="00385A01"/>
    <w:rsid w:val="00385B09"/>
    <w:rsid w:val="00385B65"/>
    <w:rsid w:val="00385B74"/>
    <w:rsid w:val="00385C67"/>
    <w:rsid w:val="00385CBA"/>
    <w:rsid w:val="00385D32"/>
    <w:rsid w:val="00385EAF"/>
    <w:rsid w:val="0038608E"/>
    <w:rsid w:val="0038615D"/>
    <w:rsid w:val="003864C4"/>
    <w:rsid w:val="00386748"/>
    <w:rsid w:val="00386802"/>
    <w:rsid w:val="0038686D"/>
    <w:rsid w:val="00386A8A"/>
    <w:rsid w:val="00386B9A"/>
    <w:rsid w:val="00386CDC"/>
    <w:rsid w:val="00386D64"/>
    <w:rsid w:val="00386EA8"/>
    <w:rsid w:val="00386F94"/>
    <w:rsid w:val="00387078"/>
    <w:rsid w:val="0038717B"/>
    <w:rsid w:val="0038744D"/>
    <w:rsid w:val="003874C2"/>
    <w:rsid w:val="003874CD"/>
    <w:rsid w:val="003875A3"/>
    <w:rsid w:val="00387602"/>
    <w:rsid w:val="00387633"/>
    <w:rsid w:val="003876DE"/>
    <w:rsid w:val="003877C9"/>
    <w:rsid w:val="0038788F"/>
    <w:rsid w:val="00387891"/>
    <w:rsid w:val="00387958"/>
    <w:rsid w:val="0038798F"/>
    <w:rsid w:val="003879A2"/>
    <w:rsid w:val="003879ED"/>
    <w:rsid w:val="00387B49"/>
    <w:rsid w:val="00387B97"/>
    <w:rsid w:val="00387C24"/>
    <w:rsid w:val="0039008C"/>
    <w:rsid w:val="0039008D"/>
    <w:rsid w:val="00390218"/>
    <w:rsid w:val="0039034A"/>
    <w:rsid w:val="00390592"/>
    <w:rsid w:val="0039082E"/>
    <w:rsid w:val="00390921"/>
    <w:rsid w:val="00390978"/>
    <w:rsid w:val="00390A3D"/>
    <w:rsid w:val="00390AD1"/>
    <w:rsid w:val="00390CE1"/>
    <w:rsid w:val="00390E61"/>
    <w:rsid w:val="00390EB0"/>
    <w:rsid w:val="00390F9D"/>
    <w:rsid w:val="00391015"/>
    <w:rsid w:val="0039103C"/>
    <w:rsid w:val="00391057"/>
    <w:rsid w:val="00391255"/>
    <w:rsid w:val="003912AA"/>
    <w:rsid w:val="00391303"/>
    <w:rsid w:val="0039136E"/>
    <w:rsid w:val="003913F6"/>
    <w:rsid w:val="003914EF"/>
    <w:rsid w:val="0039157C"/>
    <w:rsid w:val="003915F9"/>
    <w:rsid w:val="003916C7"/>
    <w:rsid w:val="00391726"/>
    <w:rsid w:val="00391753"/>
    <w:rsid w:val="00391827"/>
    <w:rsid w:val="00391906"/>
    <w:rsid w:val="00391929"/>
    <w:rsid w:val="0039195D"/>
    <w:rsid w:val="00391984"/>
    <w:rsid w:val="003919F5"/>
    <w:rsid w:val="00391D1F"/>
    <w:rsid w:val="00391DFE"/>
    <w:rsid w:val="00391F98"/>
    <w:rsid w:val="003922F0"/>
    <w:rsid w:val="0039244B"/>
    <w:rsid w:val="003925B1"/>
    <w:rsid w:val="003925E0"/>
    <w:rsid w:val="0039272F"/>
    <w:rsid w:val="00392963"/>
    <w:rsid w:val="00392999"/>
    <w:rsid w:val="00392ABD"/>
    <w:rsid w:val="00392BB0"/>
    <w:rsid w:val="00392BFB"/>
    <w:rsid w:val="00392D7D"/>
    <w:rsid w:val="00392DCD"/>
    <w:rsid w:val="00392E0B"/>
    <w:rsid w:val="00393294"/>
    <w:rsid w:val="00393295"/>
    <w:rsid w:val="003933CB"/>
    <w:rsid w:val="003937B7"/>
    <w:rsid w:val="00393A40"/>
    <w:rsid w:val="00393AE1"/>
    <w:rsid w:val="00393D95"/>
    <w:rsid w:val="00393DB4"/>
    <w:rsid w:val="00393FBE"/>
    <w:rsid w:val="00393FFB"/>
    <w:rsid w:val="00394001"/>
    <w:rsid w:val="0039401F"/>
    <w:rsid w:val="00394391"/>
    <w:rsid w:val="003944A0"/>
    <w:rsid w:val="003944F1"/>
    <w:rsid w:val="003945D6"/>
    <w:rsid w:val="00394790"/>
    <w:rsid w:val="003949A4"/>
    <w:rsid w:val="003949E4"/>
    <w:rsid w:val="00394A34"/>
    <w:rsid w:val="00394AAA"/>
    <w:rsid w:val="00394AF8"/>
    <w:rsid w:val="00394B98"/>
    <w:rsid w:val="00394DAC"/>
    <w:rsid w:val="00395077"/>
    <w:rsid w:val="003951C8"/>
    <w:rsid w:val="00395251"/>
    <w:rsid w:val="003953EC"/>
    <w:rsid w:val="003954C3"/>
    <w:rsid w:val="003955B5"/>
    <w:rsid w:val="00395621"/>
    <w:rsid w:val="00395648"/>
    <w:rsid w:val="0039567C"/>
    <w:rsid w:val="003958AC"/>
    <w:rsid w:val="003958AD"/>
    <w:rsid w:val="0039591A"/>
    <w:rsid w:val="003959D8"/>
    <w:rsid w:val="00395A07"/>
    <w:rsid w:val="00395B17"/>
    <w:rsid w:val="00395C6B"/>
    <w:rsid w:val="00395C96"/>
    <w:rsid w:val="00395CF5"/>
    <w:rsid w:val="00395F11"/>
    <w:rsid w:val="00395FE1"/>
    <w:rsid w:val="003960D8"/>
    <w:rsid w:val="003961CD"/>
    <w:rsid w:val="00396241"/>
    <w:rsid w:val="00396326"/>
    <w:rsid w:val="003963D8"/>
    <w:rsid w:val="00396411"/>
    <w:rsid w:val="00396530"/>
    <w:rsid w:val="00396599"/>
    <w:rsid w:val="003965EC"/>
    <w:rsid w:val="003967B0"/>
    <w:rsid w:val="003967E4"/>
    <w:rsid w:val="00396830"/>
    <w:rsid w:val="003969CB"/>
    <w:rsid w:val="00396B11"/>
    <w:rsid w:val="00396CC2"/>
    <w:rsid w:val="00396CC6"/>
    <w:rsid w:val="00396DBA"/>
    <w:rsid w:val="00396E9F"/>
    <w:rsid w:val="003970BB"/>
    <w:rsid w:val="003974A8"/>
    <w:rsid w:val="003977D6"/>
    <w:rsid w:val="00397873"/>
    <w:rsid w:val="003979A9"/>
    <w:rsid w:val="003979C6"/>
    <w:rsid w:val="00397A90"/>
    <w:rsid w:val="00397ADB"/>
    <w:rsid w:val="00397D4F"/>
    <w:rsid w:val="00397D6B"/>
    <w:rsid w:val="00397D6C"/>
    <w:rsid w:val="00397DD1"/>
    <w:rsid w:val="00397DE5"/>
    <w:rsid w:val="00397EB8"/>
    <w:rsid w:val="00397FAF"/>
    <w:rsid w:val="00397FD2"/>
    <w:rsid w:val="003A0191"/>
    <w:rsid w:val="003A01DA"/>
    <w:rsid w:val="003A0211"/>
    <w:rsid w:val="003A0397"/>
    <w:rsid w:val="003A03A7"/>
    <w:rsid w:val="003A067F"/>
    <w:rsid w:val="003A07E8"/>
    <w:rsid w:val="003A0A48"/>
    <w:rsid w:val="003A0A51"/>
    <w:rsid w:val="003A0B77"/>
    <w:rsid w:val="003A0CB1"/>
    <w:rsid w:val="003A0FB8"/>
    <w:rsid w:val="003A1092"/>
    <w:rsid w:val="003A1137"/>
    <w:rsid w:val="003A115A"/>
    <w:rsid w:val="003A11F9"/>
    <w:rsid w:val="003A122E"/>
    <w:rsid w:val="003A134F"/>
    <w:rsid w:val="003A14CE"/>
    <w:rsid w:val="003A165A"/>
    <w:rsid w:val="003A16CE"/>
    <w:rsid w:val="003A16E6"/>
    <w:rsid w:val="003A1AC1"/>
    <w:rsid w:val="003A1C9D"/>
    <w:rsid w:val="003A1D06"/>
    <w:rsid w:val="003A1E27"/>
    <w:rsid w:val="003A1E3B"/>
    <w:rsid w:val="003A1EB0"/>
    <w:rsid w:val="003A203E"/>
    <w:rsid w:val="003A20F6"/>
    <w:rsid w:val="003A21A8"/>
    <w:rsid w:val="003A21C1"/>
    <w:rsid w:val="003A2399"/>
    <w:rsid w:val="003A23A0"/>
    <w:rsid w:val="003A2598"/>
    <w:rsid w:val="003A262E"/>
    <w:rsid w:val="003A2676"/>
    <w:rsid w:val="003A2729"/>
    <w:rsid w:val="003A27F1"/>
    <w:rsid w:val="003A27FC"/>
    <w:rsid w:val="003A2AB2"/>
    <w:rsid w:val="003A2AD6"/>
    <w:rsid w:val="003A2B61"/>
    <w:rsid w:val="003A2BEA"/>
    <w:rsid w:val="003A2D57"/>
    <w:rsid w:val="003A2D63"/>
    <w:rsid w:val="003A2D67"/>
    <w:rsid w:val="003A2DD9"/>
    <w:rsid w:val="003A2E1C"/>
    <w:rsid w:val="003A2E7E"/>
    <w:rsid w:val="003A2E99"/>
    <w:rsid w:val="003A301F"/>
    <w:rsid w:val="003A3076"/>
    <w:rsid w:val="003A3285"/>
    <w:rsid w:val="003A328C"/>
    <w:rsid w:val="003A329D"/>
    <w:rsid w:val="003A32C8"/>
    <w:rsid w:val="003A3326"/>
    <w:rsid w:val="003A33F7"/>
    <w:rsid w:val="003A353B"/>
    <w:rsid w:val="003A36FB"/>
    <w:rsid w:val="003A375E"/>
    <w:rsid w:val="003A38B9"/>
    <w:rsid w:val="003A3C72"/>
    <w:rsid w:val="003A3DDF"/>
    <w:rsid w:val="003A3E15"/>
    <w:rsid w:val="003A3E27"/>
    <w:rsid w:val="003A3E4B"/>
    <w:rsid w:val="003A3E57"/>
    <w:rsid w:val="003A3F5B"/>
    <w:rsid w:val="003A3FEC"/>
    <w:rsid w:val="003A4063"/>
    <w:rsid w:val="003A4117"/>
    <w:rsid w:val="003A41B6"/>
    <w:rsid w:val="003A4226"/>
    <w:rsid w:val="003A42B0"/>
    <w:rsid w:val="003A42C5"/>
    <w:rsid w:val="003A42CA"/>
    <w:rsid w:val="003A442F"/>
    <w:rsid w:val="003A44E8"/>
    <w:rsid w:val="003A4642"/>
    <w:rsid w:val="003A470B"/>
    <w:rsid w:val="003A4756"/>
    <w:rsid w:val="003A47D8"/>
    <w:rsid w:val="003A4A06"/>
    <w:rsid w:val="003A4A1A"/>
    <w:rsid w:val="003A4A5A"/>
    <w:rsid w:val="003A4DB1"/>
    <w:rsid w:val="003A4E2B"/>
    <w:rsid w:val="003A4F4D"/>
    <w:rsid w:val="003A5094"/>
    <w:rsid w:val="003A517A"/>
    <w:rsid w:val="003A5184"/>
    <w:rsid w:val="003A5186"/>
    <w:rsid w:val="003A518B"/>
    <w:rsid w:val="003A53CE"/>
    <w:rsid w:val="003A53D3"/>
    <w:rsid w:val="003A5429"/>
    <w:rsid w:val="003A587B"/>
    <w:rsid w:val="003A58CC"/>
    <w:rsid w:val="003A5911"/>
    <w:rsid w:val="003A5A48"/>
    <w:rsid w:val="003A5A68"/>
    <w:rsid w:val="003A5AE8"/>
    <w:rsid w:val="003A5C92"/>
    <w:rsid w:val="003A5FCF"/>
    <w:rsid w:val="003A6058"/>
    <w:rsid w:val="003A62C6"/>
    <w:rsid w:val="003A6503"/>
    <w:rsid w:val="003A6556"/>
    <w:rsid w:val="003A6591"/>
    <w:rsid w:val="003A66C9"/>
    <w:rsid w:val="003A66EF"/>
    <w:rsid w:val="003A67B7"/>
    <w:rsid w:val="003A681F"/>
    <w:rsid w:val="003A68A7"/>
    <w:rsid w:val="003A69AF"/>
    <w:rsid w:val="003A6C62"/>
    <w:rsid w:val="003A6D41"/>
    <w:rsid w:val="003A6E17"/>
    <w:rsid w:val="003A6F6B"/>
    <w:rsid w:val="003A7037"/>
    <w:rsid w:val="003A7058"/>
    <w:rsid w:val="003A7063"/>
    <w:rsid w:val="003A722A"/>
    <w:rsid w:val="003A75B2"/>
    <w:rsid w:val="003A7647"/>
    <w:rsid w:val="003A785D"/>
    <w:rsid w:val="003A786E"/>
    <w:rsid w:val="003A79A0"/>
    <w:rsid w:val="003A7A06"/>
    <w:rsid w:val="003A7A1A"/>
    <w:rsid w:val="003A7CEC"/>
    <w:rsid w:val="003A7E73"/>
    <w:rsid w:val="003A7F00"/>
    <w:rsid w:val="003B0034"/>
    <w:rsid w:val="003B00B1"/>
    <w:rsid w:val="003B0121"/>
    <w:rsid w:val="003B01D4"/>
    <w:rsid w:val="003B0219"/>
    <w:rsid w:val="003B03B6"/>
    <w:rsid w:val="003B04BD"/>
    <w:rsid w:val="003B0520"/>
    <w:rsid w:val="003B0554"/>
    <w:rsid w:val="003B077C"/>
    <w:rsid w:val="003B09A4"/>
    <w:rsid w:val="003B0AEB"/>
    <w:rsid w:val="003B0B8D"/>
    <w:rsid w:val="003B0C1A"/>
    <w:rsid w:val="003B0DCE"/>
    <w:rsid w:val="003B0FB0"/>
    <w:rsid w:val="003B1489"/>
    <w:rsid w:val="003B15F5"/>
    <w:rsid w:val="003B1683"/>
    <w:rsid w:val="003B170A"/>
    <w:rsid w:val="003B1742"/>
    <w:rsid w:val="003B1D3C"/>
    <w:rsid w:val="003B1F58"/>
    <w:rsid w:val="003B2078"/>
    <w:rsid w:val="003B22D5"/>
    <w:rsid w:val="003B2352"/>
    <w:rsid w:val="003B235C"/>
    <w:rsid w:val="003B2527"/>
    <w:rsid w:val="003B259F"/>
    <w:rsid w:val="003B26F8"/>
    <w:rsid w:val="003B271D"/>
    <w:rsid w:val="003B2785"/>
    <w:rsid w:val="003B278F"/>
    <w:rsid w:val="003B292F"/>
    <w:rsid w:val="003B2950"/>
    <w:rsid w:val="003B2A04"/>
    <w:rsid w:val="003B2D3E"/>
    <w:rsid w:val="003B2D9F"/>
    <w:rsid w:val="003B2E50"/>
    <w:rsid w:val="003B2F05"/>
    <w:rsid w:val="003B2F73"/>
    <w:rsid w:val="003B3028"/>
    <w:rsid w:val="003B3057"/>
    <w:rsid w:val="003B323E"/>
    <w:rsid w:val="003B3268"/>
    <w:rsid w:val="003B38DA"/>
    <w:rsid w:val="003B38EA"/>
    <w:rsid w:val="003B39A4"/>
    <w:rsid w:val="003B3B27"/>
    <w:rsid w:val="003B3B3E"/>
    <w:rsid w:val="003B3B72"/>
    <w:rsid w:val="003B3BD8"/>
    <w:rsid w:val="003B3CFF"/>
    <w:rsid w:val="003B401F"/>
    <w:rsid w:val="003B4033"/>
    <w:rsid w:val="003B4077"/>
    <w:rsid w:val="003B4122"/>
    <w:rsid w:val="003B41C5"/>
    <w:rsid w:val="003B41CD"/>
    <w:rsid w:val="003B429F"/>
    <w:rsid w:val="003B44A6"/>
    <w:rsid w:val="003B44E5"/>
    <w:rsid w:val="003B44F5"/>
    <w:rsid w:val="003B45BE"/>
    <w:rsid w:val="003B45E5"/>
    <w:rsid w:val="003B46AE"/>
    <w:rsid w:val="003B4863"/>
    <w:rsid w:val="003B4889"/>
    <w:rsid w:val="003B48D9"/>
    <w:rsid w:val="003B49CD"/>
    <w:rsid w:val="003B4A05"/>
    <w:rsid w:val="003B4A11"/>
    <w:rsid w:val="003B4B1B"/>
    <w:rsid w:val="003B4B1D"/>
    <w:rsid w:val="003B4B46"/>
    <w:rsid w:val="003B4DA2"/>
    <w:rsid w:val="003B4E27"/>
    <w:rsid w:val="003B4E32"/>
    <w:rsid w:val="003B4F23"/>
    <w:rsid w:val="003B4F45"/>
    <w:rsid w:val="003B5018"/>
    <w:rsid w:val="003B51D2"/>
    <w:rsid w:val="003B548C"/>
    <w:rsid w:val="003B54EE"/>
    <w:rsid w:val="003B585D"/>
    <w:rsid w:val="003B5A5A"/>
    <w:rsid w:val="003B5B0F"/>
    <w:rsid w:val="003B5E8D"/>
    <w:rsid w:val="003B5F96"/>
    <w:rsid w:val="003B612A"/>
    <w:rsid w:val="003B6157"/>
    <w:rsid w:val="003B620B"/>
    <w:rsid w:val="003B62B5"/>
    <w:rsid w:val="003B6369"/>
    <w:rsid w:val="003B63E7"/>
    <w:rsid w:val="003B6618"/>
    <w:rsid w:val="003B664A"/>
    <w:rsid w:val="003B6A54"/>
    <w:rsid w:val="003B6B0F"/>
    <w:rsid w:val="003B6C19"/>
    <w:rsid w:val="003B6DCD"/>
    <w:rsid w:val="003B6E2D"/>
    <w:rsid w:val="003B709D"/>
    <w:rsid w:val="003B70A6"/>
    <w:rsid w:val="003B714B"/>
    <w:rsid w:val="003B719A"/>
    <w:rsid w:val="003B723A"/>
    <w:rsid w:val="003B724D"/>
    <w:rsid w:val="003B7337"/>
    <w:rsid w:val="003B7353"/>
    <w:rsid w:val="003B7492"/>
    <w:rsid w:val="003B74E6"/>
    <w:rsid w:val="003B756C"/>
    <w:rsid w:val="003B7713"/>
    <w:rsid w:val="003B78DC"/>
    <w:rsid w:val="003B7CC5"/>
    <w:rsid w:val="003B7ECC"/>
    <w:rsid w:val="003B7F56"/>
    <w:rsid w:val="003C010D"/>
    <w:rsid w:val="003C021C"/>
    <w:rsid w:val="003C02FB"/>
    <w:rsid w:val="003C0465"/>
    <w:rsid w:val="003C048E"/>
    <w:rsid w:val="003C062E"/>
    <w:rsid w:val="003C06C6"/>
    <w:rsid w:val="003C07E8"/>
    <w:rsid w:val="003C0C4B"/>
    <w:rsid w:val="003C0DA8"/>
    <w:rsid w:val="003C0DB3"/>
    <w:rsid w:val="003C0E15"/>
    <w:rsid w:val="003C0E88"/>
    <w:rsid w:val="003C0EAD"/>
    <w:rsid w:val="003C0EC8"/>
    <w:rsid w:val="003C0F61"/>
    <w:rsid w:val="003C1065"/>
    <w:rsid w:val="003C1126"/>
    <w:rsid w:val="003C1434"/>
    <w:rsid w:val="003C14CB"/>
    <w:rsid w:val="003C1577"/>
    <w:rsid w:val="003C15C4"/>
    <w:rsid w:val="003C15E2"/>
    <w:rsid w:val="003C1746"/>
    <w:rsid w:val="003C17DA"/>
    <w:rsid w:val="003C17E4"/>
    <w:rsid w:val="003C1A59"/>
    <w:rsid w:val="003C1B00"/>
    <w:rsid w:val="003C1BED"/>
    <w:rsid w:val="003C1CAF"/>
    <w:rsid w:val="003C1CF5"/>
    <w:rsid w:val="003C1D70"/>
    <w:rsid w:val="003C1D85"/>
    <w:rsid w:val="003C1EBE"/>
    <w:rsid w:val="003C1FA3"/>
    <w:rsid w:val="003C202C"/>
    <w:rsid w:val="003C204B"/>
    <w:rsid w:val="003C223A"/>
    <w:rsid w:val="003C224A"/>
    <w:rsid w:val="003C22FE"/>
    <w:rsid w:val="003C25D5"/>
    <w:rsid w:val="003C262D"/>
    <w:rsid w:val="003C2733"/>
    <w:rsid w:val="003C275F"/>
    <w:rsid w:val="003C2875"/>
    <w:rsid w:val="003C2BCA"/>
    <w:rsid w:val="003C2C2B"/>
    <w:rsid w:val="003C2CF8"/>
    <w:rsid w:val="003C2EFA"/>
    <w:rsid w:val="003C3138"/>
    <w:rsid w:val="003C313F"/>
    <w:rsid w:val="003C3155"/>
    <w:rsid w:val="003C33B2"/>
    <w:rsid w:val="003C3436"/>
    <w:rsid w:val="003C3459"/>
    <w:rsid w:val="003C3566"/>
    <w:rsid w:val="003C3652"/>
    <w:rsid w:val="003C37B7"/>
    <w:rsid w:val="003C3856"/>
    <w:rsid w:val="003C3B61"/>
    <w:rsid w:val="003C3BBB"/>
    <w:rsid w:val="003C3BE4"/>
    <w:rsid w:val="003C3CC9"/>
    <w:rsid w:val="003C3FEA"/>
    <w:rsid w:val="003C40D1"/>
    <w:rsid w:val="003C40EB"/>
    <w:rsid w:val="003C4128"/>
    <w:rsid w:val="003C432D"/>
    <w:rsid w:val="003C438F"/>
    <w:rsid w:val="003C43AD"/>
    <w:rsid w:val="003C45A1"/>
    <w:rsid w:val="003C4A30"/>
    <w:rsid w:val="003C5008"/>
    <w:rsid w:val="003C50AF"/>
    <w:rsid w:val="003C5145"/>
    <w:rsid w:val="003C5276"/>
    <w:rsid w:val="003C529E"/>
    <w:rsid w:val="003C52E9"/>
    <w:rsid w:val="003C5382"/>
    <w:rsid w:val="003C54DF"/>
    <w:rsid w:val="003C5795"/>
    <w:rsid w:val="003C57BB"/>
    <w:rsid w:val="003C59EB"/>
    <w:rsid w:val="003C5A29"/>
    <w:rsid w:val="003C5FE3"/>
    <w:rsid w:val="003C6123"/>
    <w:rsid w:val="003C618E"/>
    <w:rsid w:val="003C6194"/>
    <w:rsid w:val="003C61F6"/>
    <w:rsid w:val="003C639B"/>
    <w:rsid w:val="003C652B"/>
    <w:rsid w:val="003C6817"/>
    <w:rsid w:val="003C6961"/>
    <w:rsid w:val="003C69B1"/>
    <w:rsid w:val="003C6A09"/>
    <w:rsid w:val="003C6D8C"/>
    <w:rsid w:val="003C7141"/>
    <w:rsid w:val="003C7170"/>
    <w:rsid w:val="003C721D"/>
    <w:rsid w:val="003C7287"/>
    <w:rsid w:val="003C7317"/>
    <w:rsid w:val="003C744B"/>
    <w:rsid w:val="003C748D"/>
    <w:rsid w:val="003C7586"/>
    <w:rsid w:val="003C76C1"/>
    <w:rsid w:val="003C774D"/>
    <w:rsid w:val="003C79C4"/>
    <w:rsid w:val="003C7A17"/>
    <w:rsid w:val="003C7A1C"/>
    <w:rsid w:val="003C7AFD"/>
    <w:rsid w:val="003C7B3F"/>
    <w:rsid w:val="003C7D01"/>
    <w:rsid w:val="003C7D72"/>
    <w:rsid w:val="003C7E75"/>
    <w:rsid w:val="003C7EF2"/>
    <w:rsid w:val="003D00ED"/>
    <w:rsid w:val="003D0375"/>
    <w:rsid w:val="003D0779"/>
    <w:rsid w:val="003D0B3C"/>
    <w:rsid w:val="003D0B49"/>
    <w:rsid w:val="003D0B6A"/>
    <w:rsid w:val="003D0BAA"/>
    <w:rsid w:val="003D0D1B"/>
    <w:rsid w:val="003D0E49"/>
    <w:rsid w:val="003D0E70"/>
    <w:rsid w:val="003D108F"/>
    <w:rsid w:val="003D1106"/>
    <w:rsid w:val="003D1330"/>
    <w:rsid w:val="003D1557"/>
    <w:rsid w:val="003D15AB"/>
    <w:rsid w:val="003D1647"/>
    <w:rsid w:val="003D167E"/>
    <w:rsid w:val="003D1844"/>
    <w:rsid w:val="003D1900"/>
    <w:rsid w:val="003D1A02"/>
    <w:rsid w:val="003D1AE1"/>
    <w:rsid w:val="003D1BAA"/>
    <w:rsid w:val="003D1CB2"/>
    <w:rsid w:val="003D1DF1"/>
    <w:rsid w:val="003D1E56"/>
    <w:rsid w:val="003D2039"/>
    <w:rsid w:val="003D21A3"/>
    <w:rsid w:val="003D232E"/>
    <w:rsid w:val="003D24B3"/>
    <w:rsid w:val="003D2664"/>
    <w:rsid w:val="003D270E"/>
    <w:rsid w:val="003D277E"/>
    <w:rsid w:val="003D27CD"/>
    <w:rsid w:val="003D2820"/>
    <w:rsid w:val="003D29F4"/>
    <w:rsid w:val="003D2B64"/>
    <w:rsid w:val="003D2BB1"/>
    <w:rsid w:val="003D2D2E"/>
    <w:rsid w:val="003D2F1F"/>
    <w:rsid w:val="003D2F35"/>
    <w:rsid w:val="003D2FB4"/>
    <w:rsid w:val="003D2FEB"/>
    <w:rsid w:val="003D3017"/>
    <w:rsid w:val="003D3114"/>
    <w:rsid w:val="003D31C4"/>
    <w:rsid w:val="003D3327"/>
    <w:rsid w:val="003D3359"/>
    <w:rsid w:val="003D36C7"/>
    <w:rsid w:val="003D36D2"/>
    <w:rsid w:val="003D37C5"/>
    <w:rsid w:val="003D39CD"/>
    <w:rsid w:val="003D3A6B"/>
    <w:rsid w:val="003D3A79"/>
    <w:rsid w:val="003D3BB4"/>
    <w:rsid w:val="003D3C0B"/>
    <w:rsid w:val="003D3D64"/>
    <w:rsid w:val="003D404A"/>
    <w:rsid w:val="003D4148"/>
    <w:rsid w:val="003D42DC"/>
    <w:rsid w:val="003D43B7"/>
    <w:rsid w:val="003D43EE"/>
    <w:rsid w:val="003D44A7"/>
    <w:rsid w:val="003D455F"/>
    <w:rsid w:val="003D45DE"/>
    <w:rsid w:val="003D491F"/>
    <w:rsid w:val="003D4993"/>
    <w:rsid w:val="003D4A80"/>
    <w:rsid w:val="003D4C07"/>
    <w:rsid w:val="003D4C39"/>
    <w:rsid w:val="003D4D0B"/>
    <w:rsid w:val="003D4E69"/>
    <w:rsid w:val="003D4F8A"/>
    <w:rsid w:val="003D5119"/>
    <w:rsid w:val="003D52B1"/>
    <w:rsid w:val="003D542F"/>
    <w:rsid w:val="003D547E"/>
    <w:rsid w:val="003D564E"/>
    <w:rsid w:val="003D5834"/>
    <w:rsid w:val="003D5847"/>
    <w:rsid w:val="003D58CA"/>
    <w:rsid w:val="003D5A80"/>
    <w:rsid w:val="003D5A84"/>
    <w:rsid w:val="003D5AB5"/>
    <w:rsid w:val="003D5B04"/>
    <w:rsid w:val="003D5BE4"/>
    <w:rsid w:val="003D5C6F"/>
    <w:rsid w:val="003D5D8E"/>
    <w:rsid w:val="003D5DC3"/>
    <w:rsid w:val="003D5DE6"/>
    <w:rsid w:val="003D5F0F"/>
    <w:rsid w:val="003D5F47"/>
    <w:rsid w:val="003D5FE1"/>
    <w:rsid w:val="003D616B"/>
    <w:rsid w:val="003D6180"/>
    <w:rsid w:val="003D6268"/>
    <w:rsid w:val="003D62E3"/>
    <w:rsid w:val="003D632D"/>
    <w:rsid w:val="003D6336"/>
    <w:rsid w:val="003D64C0"/>
    <w:rsid w:val="003D6615"/>
    <w:rsid w:val="003D672A"/>
    <w:rsid w:val="003D6996"/>
    <w:rsid w:val="003D6A0A"/>
    <w:rsid w:val="003D6A80"/>
    <w:rsid w:val="003D6BF3"/>
    <w:rsid w:val="003D6C7F"/>
    <w:rsid w:val="003D6EE8"/>
    <w:rsid w:val="003D6F0C"/>
    <w:rsid w:val="003D6F17"/>
    <w:rsid w:val="003D6F81"/>
    <w:rsid w:val="003D6FAC"/>
    <w:rsid w:val="003D6FF5"/>
    <w:rsid w:val="003D7270"/>
    <w:rsid w:val="003D739F"/>
    <w:rsid w:val="003D73F2"/>
    <w:rsid w:val="003D743C"/>
    <w:rsid w:val="003D753A"/>
    <w:rsid w:val="003D759C"/>
    <w:rsid w:val="003D7612"/>
    <w:rsid w:val="003D7698"/>
    <w:rsid w:val="003D77CA"/>
    <w:rsid w:val="003D796B"/>
    <w:rsid w:val="003D7B1E"/>
    <w:rsid w:val="003D7B4E"/>
    <w:rsid w:val="003D7C61"/>
    <w:rsid w:val="003D7C8D"/>
    <w:rsid w:val="003D7D4D"/>
    <w:rsid w:val="003D7E78"/>
    <w:rsid w:val="003D7EAA"/>
    <w:rsid w:val="003D7EB3"/>
    <w:rsid w:val="003E0000"/>
    <w:rsid w:val="003E004A"/>
    <w:rsid w:val="003E0051"/>
    <w:rsid w:val="003E00FA"/>
    <w:rsid w:val="003E0223"/>
    <w:rsid w:val="003E0332"/>
    <w:rsid w:val="003E0671"/>
    <w:rsid w:val="003E067C"/>
    <w:rsid w:val="003E07AB"/>
    <w:rsid w:val="003E07CA"/>
    <w:rsid w:val="003E08BE"/>
    <w:rsid w:val="003E09A1"/>
    <w:rsid w:val="003E0A1F"/>
    <w:rsid w:val="003E0ABB"/>
    <w:rsid w:val="003E0B0C"/>
    <w:rsid w:val="003E0D84"/>
    <w:rsid w:val="003E0E47"/>
    <w:rsid w:val="003E0F35"/>
    <w:rsid w:val="003E0FC7"/>
    <w:rsid w:val="003E0FC9"/>
    <w:rsid w:val="003E1004"/>
    <w:rsid w:val="003E1247"/>
    <w:rsid w:val="003E1396"/>
    <w:rsid w:val="003E14A1"/>
    <w:rsid w:val="003E14CD"/>
    <w:rsid w:val="003E14DC"/>
    <w:rsid w:val="003E14F8"/>
    <w:rsid w:val="003E1524"/>
    <w:rsid w:val="003E1544"/>
    <w:rsid w:val="003E172F"/>
    <w:rsid w:val="003E180B"/>
    <w:rsid w:val="003E18B9"/>
    <w:rsid w:val="003E196F"/>
    <w:rsid w:val="003E1D0F"/>
    <w:rsid w:val="003E1D29"/>
    <w:rsid w:val="003E1E48"/>
    <w:rsid w:val="003E1ECA"/>
    <w:rsid w:val="003E20FB"/>
    <w:rsid w:val="003E227E"/>
    <w:rsid w:val="003E22B8"/>
    <w:rsid w:val="003E2361"/>
    <w:rsid w:val="003E25E5"/>
    <w:rsid w:val="003E2682"/>
    <w:rsid w:val="003E27A3"/>
    <w:rsid w:val="003E27C6"/>
    <w:rsid w:val="003E28B9"/>
    <w:rsid w:val="003E2A81"/>
    <w:rsid w:val="003E2CA0"/>
    <w:rsid w:val="003E2CFF"/>
    <w:rsid w:val="003E2E22"/>
    <w:rsid w:val="003E2E5C"/>
    <w:rsid w:val="003E2E74"/>
    <w:rsid w:val="003E30A0"/>
    <w:rsid w:val="003E3254"/>
    <w:rsid w:val="003E3292"/>
    <w:rsid w:val="003E32D5"/>
    <w:rsid w:val="003E3402"/>
    <w:rsid w:val="003E34D8"/>
    <w:rsid w:val="003E3588"/>
    <w:rsid w:val="003E36BF"/>
    <w:rsid w:val="003E3717"/>
    <w:rsid w:val="003E375C"/>
    <w:rsid w:val="003E3798"/>
    <w:rsid w:val="003E389F"/>
    <w:rsid w:val="003E38BA"/>
    <w:rsid w:val="003E3902"/>
    <w:rsid w:val="003E39BC"/>
    <w:rsid w:val="003E39C0"/>
    <w:rsid w:val="003E3BE3"/>
    <w:rsid w:val="003E3CCD"/>
    <w:rsid w:val="003E3F28"/>
    <w:rsid w:val="003E3FCF"/>
    <w:rsid w:val="003E4021"/>
    <w:rsid w:val="003E40A3"/>
    <w:rsid w:val="003E4113"/>
    <w:rsid w:val="003E42E4"/>
    <w:rsid w:val="003E4375"/>
    <w:rsid w:val="003E441D"/>
    <w:rsid w:val="003E4653"/>
    <w:rsid w:val="003E46BB"/>
    <w:rsid w:val="003E472B"/>
    <w:rsid w:val="003E4818"/>
    <w:rsid w:val="003E4971"/>
    <w:rsid w:val="003E49AB"/>
    <w:rsid w:val="003E4A00"/>
    <w:rsid w:val="003E4B19"/>
    <w:rsid w:val="003E4B1B"/>
    <w:rsid w:val="003E4B30"/>
    <w:rsid w:val="003E4B59"/>
    <w:rsid w:val="003E4B6D"/>
    <w:rsid w:val="003E4C8F"/>
    <w:rsid w:val="003E4EEE"/>
    <w:rsid w:val="003E4F93"/>
    <w:rsid w:val="003E50DC"/>
    <w:rsid w:val="003E5130"/>
    <w:rsid w:val="003E51CE"/>
    <w:rsid w:val="003E52AB"/>
    <w:rsid w:val="003E541F"/>
    <w:rsid w:val="003E54CF"/>
    <w:rsid w:val="003E55DB"/>
    <w:rsid w:val="003E567B"/>
    <w:rsid w:val="003E56A8"/>
    <w:rsid w:val="003E5C61"/>
    <w:rsid w:val="003E5CF2"/>
    <w:rsid w:val="003E5E2C"/>
    <w:rsid w:val="003E5F45"/>
    <w:rsid w:val="003E5FB3"/>
    <w:rsid w:val="003E5FD6"/>
    <w:rsid w:val="003E6035"/>
    <w:rsid w:val="003E608C"/>
    <w:rsid w:val="003E60BA"/>
    <w:rsid w:val="003E6118"/>
    <w:rsid w:val="003E62A2"/>
    <w:rsid w:val="003E6464"/>
    <w:rsid w:val="003E6634"/>
    <w:rsid w:val="003E66FA"/>
    <w:rsid w:val="003E6885"/>
    <w:rsid w:val="003E697D"/>
    <w:rsid w:val="003E69C2"/>
    <w:rsid w:val="003E6B8B"/>
    <w:rsid w:val="003E6BDA"/>
    <w:rsid w:val="003E6BFF"/>
    <w:rsid w:val="003E6CD2"/>
    <w:rsid w:val="003E6E0C"/>
    <w:rsid w:val="003E6E50"/>
    <w:rsid w:val="003E6E57"/>
    <w:rsid w:val="003E6E67"/>
    <w:rsid w:val="003E70A2"/>
    <w:rsid w:val="003E7279"/>
    <w:rsid w:val="003E745A"/>
    <w:rsid w:val="003E7750"/>
    <w:rsid w:val="003E7847"/>
    <w:rsid w:val="003E78A0"/>
    <w:rsid w:val="003E79ED"/>
    <w:rsid w:val="003E7A70"/>
    <w:rsid w:val="003E7AED"/>
    <w:rsid w:val="003E7B33"/>
    <w:rsid w:val="003E7CD1"/>
    <w:rsid w:val="003E7DAE"/>
    <w:rsid w:val="003E7E1A"/>
    <w:rsid w:val="003E7EF7"/>
    <w:rsid w:val="003F0004"/>
    <w:rsid w:val="003F0051"/>
    <w:rsid w:val="003F015C"/>
    <w:rsid w:val="003F017E"/>
    <w:rsid w:val="003F03AE"/>
    <w:rsid w:val="003F048D"/>
    <w:rsid w:val="003F052B"/>
    <w:rsid w:val="003F0603"/>
    <w:rsid w:val="003F06EF"/>
    <w:rsid w:val="003F0737"/>
    <w:rsid w:val="003F09EB"/>
    <w:rsid w:val="003F10EB"/>
    <w:rsid w:val="003F1320"/>
    <w:rsid w:val="003F1422"/>
    <w:rsid w:val="003F14B6"/>
    <w:rsid w:val="003F1592"/>
    <w:rsid w:val="003F1605"/>
    <w:rsid w:val="003F17BC"/>
    <w:rsid w:val="003F19BD"/>
    <w:rsid w:val="003F1A1E"/>
    <w:rsid w:val="003F1A33"/>
    <w:rsid w:val="003F1A7C"/>
    <w:rsid w:val="003F1CBD"/>
    <w:rsid w:val="003F1D8A"/>
    <w:rsid w:val="003F1E2F"/>
    <w:rsid w:val="003F1E3F"/>
    <w:rsid w:val="003F208E"/>
    <w:rsid w:val="003F22FB"/>
    <w:rsid w:val="003F23C6"/>
    <w:rsid w:val="003F2693"/>
    <w:rsid w:val="003F299F"/>
    <w:rsid w:val="003F2AF6"/>
    <w:rsid w:val="003F2B37"/>
    <w:rsid w:val="003F2FC0"/>
    <w:rsid w:val="003F2FCC"/>
    <w:rsid w:val="003F3239"/>
    <w:rsid w:val="003F3541"/>
    <w:rsid w:val="003F365F"/>
    <w:rsid w:val="003F3683"/>
    <w:rsid w:val="003F382A"/>
    <w:rsid w:val="003F3905"/>
    <w:rsid w:val="003F3CDC"/>
    <w:rsid w:val="003F3D4C"/>
    <w:rsid w:val="003F3E13"/>
    <w:rsid w:val="003F3E52"/>
    <w:rsid w:val="003F3EB4"/>
    <w:rsid w:val="003F3F78"/>
    <w:rsid w:val="003F40B5"/>
    <w:rsid w:val="003F4135"/>
    <w:rsid w:val="003F41B4"/>
    <w:rsid w:val="003F43B9"/>
    <w:rsid w:val="003F462B"/>
    <w:rsid w:val="003F4851"/>
    <w:rsid w:val="003F4A1E"/>
    <w:rsid w:val="003F4B88"/>
    <w:rsid w:val="003F4BB8"/>
    <w:rsid w:val="003F4BC9"/>
    <w:rsid w:val="003F4C32"/>
    <w:rsid w:val="003F4CAE"/>
    <w:rsid w:val="003F5136"/>
    <w:rsid w:val="003F52F5"/>
    <w:rsid w:val="003F53ED"/>
    <w:rsid w:val="003F54D6"/>
    <w:rsid w:val="003F5869"/>
    <w:rsid w:val="003F588B"/>
    <w:rsid w:val="003F59F5"/>
    <w:rsid w:val="003F5A87"/>
    <w:rsid w:val="003F5ADA"/>
    <w:rsid w:val="003F5B64"/>
    <w:rsid w:val="003F5B9A"/>
    <w:rsid w:val="003F5C9A"/>
    <w:rsid w:val="003F5CE5"/>
    <w:rsid w:val="003F5E97"/>
    <w:rsid w:val="003F5EA9"/>
    <w:rsid w:val="003F5F4D"/>
    <w:rsid w:val="003F602D"/>
    <w:rsid w:val="003F60FC"/>
    <w:rsid w:val="003F6125"/>
    <w:rsid w:val="003F6172"/>
    <w:rsid w:val="003F6365"/>
    <w:rsid w:val="003F63C9"/>
    <w:rsid w:val="003F6431"/>
    <w:rsid w:val="003F646C"/>
    <w:rsid w:val="003F6643"/>
    <w:rsid w:val="003F66B2"/>
    <w:rsid w:val="003F687E"/>
    <w:rsid w:val="003F68E9"/>
    <w:rsid w:val="003F691D"/>
    <w:rsid w:val="003F6A75"/>
    <w:rsid w:val="003F6AA3"/>
    <w:rsid w:val="003F6D26"/>
    <w:rsid w:val="003F6E1A"/>
    <w:rsid w:val="003F6E96"/>
    <w:rsid w:val="003F6EAA"/>
    <w:rsid w:val="003F6F12"/>
    <w:rsid w:val="003F742A"/>
    <w:rsid w:val="003F7495"/>
    <w:rsid w:val="003F749B"/>
    <w:rsid w:val="003F7614"/>
    <w:rsid w:val="003F765D"/>
    <w:rsid w:val="003F766A"/>
    <w:rsid w:val="003F7694"/>
    <w:rsid w:val="003F7706"/>
    <w:rsid w:val="003F780B"/>
    <w:rsid w:val="003F78F8"/>
    <w:rsid w:val="003F7910"/>
    <w:rsid w:val="003F7942"/>
    <w:rsid w:val="003F7960"/>
    <w:rsid w:val="003F7AAA"/>
    <w:rsid w:val="003F7C02"/>
    <w:rsid w:val="003F7C85"/>
    <w:rsid w:val="003F7E70"/>
    <w:rsid w:val="003F7EFA"/>
    <w:rsid w:val="003F7F5C"/>
    <w:rsid w:val="003F7F60"/>
    <w:rsid w:val="0040008D"/>
    <w:rsid w:val="004000F7"/>
    <w:rsid w:val="004003B2"/>
    <w:rsid w:val="004004AE"/>
    <w:rsid w:val="004004C9"/>
    <w:rsid w:val="00400616"/>
    <w:rsid w:val="0040065A"/>
    <w:rsid w:val="004006AD"/>
    <w:rsid w:val="004006CF"/>
    <w:rsid w:val="004007A3"/>
    <w:rsid w:val="004008A0"/>
    <w:rsid w:val="004008C6"/>
    <w:rsid w:val="0040095C"/>
    <w:rsid w:val="00400A6A"/>
    <w:rsid w:val="00400A9F"/>
    <w:rsid w:val="00400AAF"/>
    <w:rsid w:val="00400EBA"/>
    <w:rsid w:val="00400FA9"/>
    <w:rsid w:val="00401260"/>
    <w:rsid w:val="00401316"/>
    <w:rsid w:val="0040131A"/>
    <w:rsid w:val="004014F1"/>
    <w:rsid w:val="00401673"/>
    <w:rsid w:val="0040174B"/>
    <w:rsid w:val="00401871"/>
    <w:rsid w:val="00401B3E"/>
    <w:rsid w:val="00401DC8"/>
    <w:rsid w:val="00401F7B"/>
    <w:rsid w:val="0040201B"/>
    <w:rsid w:val="00402246"/>
    <w:rsid w:val="004022D0"/>
    <w:rsid w:val="00402327"/>
    <w:rsid w:val="00402408"/>
    <w:rsid w:val="00402495"/>
    <w:rsid w:val="00402513"/>
    <w:rsid w:val="00402519"/>
    <w:rsid w:val="004025AB"/>
    <w:rsid w:val="004026C2"/>
    <w:rsid w:val="004029C3"/>
    <w:rsid w:val="00402A44"/>
    <w:rsid w:val="00402BD1"/>
    <w:rsid w:val="00402D69"/>
    <w:rsid w:val="00402D6E"/>
    <w:rsid w:val="00402E11"/>
    <w:rsid w:val="00402E21"/>
    <w:rsid w:val="00402F1F"/>
    <w:rsid w:val="0040305A"/>
    <w:rsid w:val="004030DF"/>
    <w:rsid w:val="004030E1"/>
    <w:rsid w:val="00403163"/>
    <w:rsid w:val="0040328C"/>
    <w:rsid w:val="004032A0"/>
    <w:rsid w:val="004032B3"/>
    <w:rsid w:val="004037F4"/>
    <w:rsid w:val="004037F9"/>
    <w:rsid w:val="004038C7"/>
    <w:rsid w:val="00403984"/>
    <w:rsid w:val="00403EFD"/>
    <w:rsid w:val="00403FAD"/>
    <w:rsid w:val="0040426A"/>
    <w:rsid w:val="00404270"/>
    <w:rsid w:val="004043F3"/>
    <w:rsid w:val="004044D5"/>
    <w:rsid w:val="00404530"/>
    <w:rsid w:val="00404651"/>
    <w:rsid w:val="0040469C"/>
    <w:rsid w:val="00404760"/>
    <w:rsid w:val="00404B27"/>
    <w:rsid w:val="00404C36"/>
    <w:rsid w:val="00404C45"/>
    <w:rsid w:val="00404DFC"/>
    <w:rsid w:val="0040525C"/>
    <w:rsid w:val="00405397"/>
    <w:rsid w:val="004054C3"/>
    <w:rsid w:val="004054FF"/>
    <w:rsid w:val="0040558F"/>
    <w:rsid w:val="00405732"/>
    <w:rsid w:val="004059C8"/>
    <w:rsid w:val="00405A4D"/>
    <w:rsid w:val="00405B99"/>
    <w:rsid w:val="00405CD6"/>
    <w:rsid w:val="00405D84"/>
    <w:rsid w:val="00405F9B"/>
    <w:rsid w:val="00406157"/>
    <w:rsid w:val="00406357"/>
    <w:rsid w:val="0040642D"/>
    <w:rsid w:val="00406491"/>
    <w:rsid w:val="004064B9"/>
    <w:rsid w:val="004064C0"/>
    <w:rsid w:val="00406658"/>
    <w:rsid w:val="0040674E"/>
    <w:rsid w:val="004067EE"/>
    <w:rsid w:val="00406877"/>
    <w:rsid w:val="004069B5"/>
    <w:rsid w:val="00406ADA"/>
    <w:rsid w:val="00406C16"/>
    <w:rsid w:val="00406FA1"/>
    <w:rsid w:val="004072E8"/>
    <w:rsid w:val="0040730B"/>
    <w:rsid w:val="00407359"/>
    <w:rsid w:val="004075E9"/>
    <w:rsid w:val="0040771C"/>
    <w:rsid w:val="00407765"/>
    <w:rsid w:val="0040786B"/>
    <w:rsid w:val="00407974"/>
    <w:rsid w:val="004079F0"/>
    <w:rsid w:val="004079F1"/>
    <w:rsid w:val="00407BCC"/>
    <w:rsid w:val="00407BE1"/>
    <w:rsid w:val="00407C05"/>
    <w:rsid w:val="00407C39"/>
    <w:rsid w:val="00407C79"/>
    <w:rsid w:val="00407D7F"/>
    <w:rsid w:val="00407D9E"/>
    <w:rsid w:val="00407EB7"/>
    <w:rsid w:val="00407FC3"/>
    <w:rsid w:val="00410006"/>
    <w:rsid w:val="00410151"/>
    <w:rsid w:val="004101A6"/>
    <w:rsid w:val="00410203"/>
    <w:rsid w:val="004102D4"/>
    <w:rsid w:val="00410395"/>
    <w:rsid w:val="0041055A"/>
    <w:rsid w:val="004105B7"/>
    <w:rsid w:val="004106D4"/>
    <w:rsid w:val="00410914"/>
    <w:rsid w:val="00410915"/>
    <w:rsid w:val="004109B1"/>
    <w:rsid w:val="00410A9C"/>
    <w:rsid w:val="00410C70"/>
    <w:rsid w:val="00410D08"/>
    <w:rsid w:val="00410DB7"/>
    <w:rsid w:val="00410F6F"/>
    <w:rsid w:val="004110DD"/>
    <w:rsid w:val="004112DB"/>
    <w:rsid w:val="00411311"/>
    <w:rsid w:val="0041135A"/>
    <w:rsid w:val="0041141A"/>
    <w:rsid w:val="00411440"/>
    <w:rsid w:val="00411454"/>
    <w:rsid w:val="00411468"/>
    <w:rsid w:val="00411477"/>
    <w:rsid w:val="00411559"/>
    <w:rsid w:val="004116EC"/>
    <w:rsid w:val="00411704"/>
    <w:rsid w:val="00411764"/>
    <w:rsid w:val="00411926"/>
    <w:rsid w:val="0041199F"/>
    <w:rsid w:val="00411ADB"/>
    <w:rsid w:val="00411AFB"/>
    <w:rsid w:val="00411CF0"/>
    <w:rsid w:val="00411F65"/>
    <w:rsid w:val="004121D5"/>
    <w:rsid w:val="004121F6"/>
    <w:rsid w:val="00412228"/>
    <w:rsid w:val="004123A9"/>
    <w:rsid w:val="00412401"/>
    <w:rsid w:val="0041248A"/>
    <w:rsid w:val="0041252E"/>
    <w:rsid w:val="004129D6"/>
    <w:rsid w:val="00412A74"/>
    <w:rsid w:val="00412AF2"/>
    <w:rsid w:val="00412BAC"/>
    <w:rsid w:val="00412C5E"/>
    <w:rsid w:val="00412D37"/>
    <w:rsid w:val="00412ED7"/>
    <w:rsid w:val="004130ED"/>
    <w:rsid w:val="004131E0"/>
    <w:rsid w:val="00413281"/>
    <w:rsid w:val="0041338C"/>
    <w:rsid w:val="004133A5"/>
    <w:rsid w:val="004133EA"/>
    <w:rsid w:val="0041353A"/>
    <w:rsid w:val="00413591"/>
    <w:rsid w:val="004136DE"/>
    <w:rsid w:val="004138B3"/>
    <w:rsid w:val="0041394D"/>
    <w:rsid w:val="00413A05"/>
    <w:rsid w:val="00413A4C"/>
    <w:rsid w:val="00413BC4"/>
    <w:rsid w:val="00413D12"/>
    <w:rsid w:val="00413DD0"/>
    <w:rsid w:val="00413EB7"/>
    <w:rsid w:val="00413ED3"/>
    <w:rsid w:val="00413F26"/>
    <w:rsid w:val="00413F83"/>
    <w:rsid w:val="00414015"/>
    <w:rsid w:val="0041453C"/>
    <w:rsid w:val="00414602"/>
    <w:rsid w:val="0041467B"/>
    <w:rsid w:val="004146BD"/>
    <w:rsid w:val="004146BF"/>
    <w:rsid w:val="0041470B"/>
    <w:rsid w:val="00414714"/>
    <w:rsid w:val="004147C6"/>
    <w:rsid w:val="0041488F"/>
    <w:rsid w:val="00414AA4"/>
    <w:rsid w:val="00414B3D"/>
    <w:rsid w:val="00414B61"/>
    <w:rsid w:val="00414BEC"/>
    <w:rsid w:val="00414CC3"/>
    <w:rsid w:val="00414F34"/>
    <w:rsid w:val="00414F7F"/>
    <w:rsid w:val="00415005"/>
    <w:rsid w:val="00415160"/>
    <w:rsid w:val="0041523A"/>
    <w:rsid w:val="0041556E"/>
    <w:rsid w:val="0041582F"/>
    <w:rsid w:val="004158C0"/>
    <w:rsid w:val="00415ADB"/>
    <w:rsid w:val="00415D46"/>
    <w:rsid w:val="00415D8A"/>
    <w:rsid w:val="00415F15"/>
    <w:rsid w:val="00415F59"/>
    <w:rsid w:val="0041611B"/>
    <w:rsid w:val="00416424"/>
    <w:rsid w:val="0041649E"/>
    <w:rsid w:val="00416576"/>
    <w:rsid w:val="004165C8"/>
    <w:rsid w:val="00416841"/>
    <w:rsid w:val="00416A99"/>
    <w:rsid w:val="00416D29"/>
    <w:rsid w:val="00416EA0"/>
    <w:rsid w:val="00416FB4"/>
    <w:rsid w:val="0041700F"/>
    <w:rsid w:val="004170BE"/>
    <w:rsid w:val="004173DC"/>
    <w:rsid w:val="00417504"/>
    <w:rsid w:val="00417687"/>
    <w:rsid w:val="0041779D"/>
    <w:rsid w:val="0041786D"/>
    <w:rsid w:val="004179EC"/>
    <w:rsid w:val="00417A2D"/>
    <w:rsid w:val="00417B7B"/>
    <w:rsid w:val="00417DF1"/>
    <w:rsid w:val="00417E18"/>
    <w:rsid w:val="004200A4"/>
    <w:rsid w:val="0042014D"/>
    <w:rsid w:val="00420175"/>
    <w:rsid w:val="004201A5"/>
    <w:rsid w:val="00420400"/>
    <w:rsid w:val="0042047A"/>
    <w:rsid w:val="004205BC"/>
    <w:rsid w:val="004206AD"/>
    <w:rsid w:val="004206B5"/>
    <w:rsid w:val="004207FA"/>
    <w:rsid w:val="004207FE"/>
    <w:rsid w:val="00420A53"/>
    <w:rsid w:val="00420B48"/>
    <w:rsid w:val="00420C5E"/>
    <w:rsid w:val="00420C99"/>
    <w:rsid w:val="00420CFE"/>
    <w:rsid w:val="00420D5B"/>
    <w:rsid w:val="00420D97"/>
    <w:rsid w:val="00420E23"/>
    <w:rsid w:val="00420FBA"/>
    <w:rsid w:val="00421032"/>
    <w:rsid w:val="004212BF"/>
    <w:rsid w:val="004214FE"/>
    <w:rsid w:val="0042167D"/>
    <w:rsid w:val="0042168A"/>
    <w:rsid w:val="0042174C"/>
    <w:rsid w:val="004217BC"/>
    <w:rsid w:val="00421885"/>
    <w:rsid w:val="0042191D"/>
    <w:rsid w:val="0042192E"/>
    <w:rsid w:val="004219D1"/>
    <w:rsid w:val="00421A2F"/>
    <w:rsid w:val="00421B75"/>
    <w:rsid w:val="00421B89"/>
    <w:rsid w:val="00421BE7"/>
    <w:rsid w:val="00421BFB"/>
    <w:rsid w:val="00421C74"/>
    <w:rsid w:val="00421CCD"/>
    <w:rsid w:val="00421DE7"/>
    <w:rsid w:val="004220FE"/>
    <w:rsid w:val="004223D9"/>
    <w:rsid w:val="004223EE"/>
    <w:rsid w:val="00422597"/>
    <w:rsid w:val="0042265C"/>
    <w:rsid w:val="00422962"/>
    <w:rsid w:val="00422B02"/>
    <w:rsid w:val="00422BEB"/>
    <w:rsid w:val="00422E89"/>
    <w:rsid w:val="004230A8"/>
    <w:rsid w:val="004230FD"/>
    <w:rsid w:val="0042312B"/>
    <w:rsid w:val="00423179"/>
    <w:rsid w:val="00423397"/>
    <w:rsid w:val="004235CF"/>
    <w:rsid w:val="0042376C"/>
    <w:rsid w:val="004237B5"/>
    <w:rsid w:val="004238B2"/>
    <w:rsid w:val="00423B0E"/>
    <w:rsid w:val="00423B51"/>
    <w:rsid w:val="00423B63"/>
    <w:rsid w:val="00423D10"/>
    <w:rsid w:val="00423E92"/>
    <w:rsid w:val="00423FA7"/>
    <w:rsid w:val="004241A4"/>
    <w:rsid w:val="0042420D"/>
    <w:rsid w:val="00424641"/>
    <w:rsid w:val="00424652"/>
    <w:rsid w:val="00424680"/>
    <w:rsid w:val="004246B6"/>
    <w:rsid w:val="0042470C"/>
    <w:rsid w:val="0042472A"/>
    <w:rsid w:val="004247AE"/>
    <w:rsid w:val="0042485E"/>
    <w:rsid w:val="004248A8"/>
    <w:rsid w:val="00424B3D"/>
    <w:rsid w:val="00424BCF"/>
    <w:rsid w:val="00424C9B"/>
    <w:rsid w:val="0042528C"/>
    <w:rsid w:val="00425380"/>
    <w:rsid w:val="00425533"/>
    <w:rsid w:val="00425655"/>
    <w:rsid w:val="0042566C"/>
    <w:rsid w:val="00425674"/>
    <w:rsid w:val="00425995"/>
    <w:rsid w:val="00425DE4"/>
    <w:rsid w:val="00425E77"/>
    <w:rsid w:val="00425FA4"/>
    <w:rsid w:val="004260F0"/>
    <w:rsid w:val="0042616A"/>
    <w:rsid w:val="00426294"/>
    <w:rsid w:val="0042643E"/>
    <w:rsid w:val="004267DC"/>
    <w:rsid w:val="0042685F"/>
    <w:rsid w:val="00426879"/>
    <w:rsid w:val="004268A9"/>
    <w:rsid w:val="0042698C"/>
    <w:rsid w:val="00426A69"/>
    <w:rsid w:val="00426A90"/>
    <w:rsid w:val="00426C79"/>
    <w:rsid w:val="00426CEE"/>
    <w:rsid w:val="00427075"/>
    <w:rsid w:val="004270B0"/>
    <w:rsid w:val="004271F6"/>
    <w:rsid w:val="004271F9"/>
    <w:rsid w:val="004272D3"/>
    <w:rsid w:val="00427468"/>
    <w:rsid w:val="004275A6"/>
    <w:rsid w:val="00427729"/>
    <w:rsid w:val="004277EF"/>
    <w:rsid w:val="0042786D"/>
    <w:rsid w:val="00427AC4"/>
    <w:rsid w:val="00427CF2"/>
    <w:rsid w:val="00427D86"/>
    <w:rsid w:val="00427DA0"/>
    <w:rsid w:val="00427E14"/>
    <w:rsid w:val="00427EE0"/>
    <w:rsid w:val="00427FF4"/>
    <w:rsid w:val="0043002F"/>
    <w:rsid w:val="0043015C"/>
    <w:rsid w:val="0043030A"/>
    <w:rsid w:val="0043047B"/>
    <w:rsid w:val="004306EB"/>
    <w:rsid w:val="004306F1"/>
    <w:rsid w:val="00430767"/>
    <w:rsid w:val="00430870"/>
    <w:rsid w:val="00430980"/>
    <w:rsid w:val="00430AD5"/>
    <w:rsid w:val="00430B0B"/>
    <w:rsid w:val="00430BB8"/>
    <w:rsid w:val="00430BC9"/>
    <w:rsid w:val="00430CD5"/>
    <w:rsid w:val="00430DBB"/>
    <w:rsid w:val="00430E52"/>
    <w:rsid w:val="00430E9D"/>
    <w:rsid w:val="00430F6C"/>
    <w:rsid w:val="00430FA7"/>
    <w:rsid w:val="0043110F"/>
    <w:rsid w:val="004311CC"/>
    <w:rsid w:val="004312C5"/>
    <w:rsid w:val="00431346"/>
    <w:rsid w:val="00431474"/>
    <w:rsid w:val="00431487"/>
    <w:rsid w:val="00431529"/>
    <w:rsid w:val="00431840"/>
    <w:rsid w:val="00431B64"/>
    <w:rsid w:val="00431F11"/>
    <w:rsid w:val="00432023"/>
    <w:rsid w:val="0043227A"/>
    <w:rsid w:val="0043240B"/>
    <w:rsid w:val="004326C4"/>
    <w:rsid w:val="00432814"/>
    <w:rsid w:val="00432958"/>
    <w:rsid w:val="00432AFF"/>
    <w:rsid w:val="00432CB1"/>
    <w:rsid w:val="00432E42"/>
    <w:rsid w:val="00432E60"/>
    <w:rsid w:val="00432EF5"/>
    <w:rsid w:val="00432F55"/>
    <w:rsid w:val="00433137"/>
    <w:rsid w:val="00433194"/>
    <w:rsid w:val="00433500"/>
    <w:rsid w:val="00433631"/>
    <w:rsid w:val="004336E7"/>
    <w:rsid w:val="004337E7"/>
    <w:rsid w:val="00433989"/>
    <w:rsid w:val="00433AD2"/>
    <w:rsid w:val="00433AF7"/>
    <w:rsid w:val="00433B6B"/>
    <w:rsid w:val="00433BD7"/>
    <w:rsid w:val="00433CA2"/>
    <w:rsid w:val="00433DFD"/>
    <w:rsid w:val="00433E8C"/>
    <w:rsid w:val="00433F18"/>
    <w:rsid w:val="00434317"/>
    <w:rsid w:val="00434387"/>
    <w:rsid w:val="004344CC"/>
    <w:rsid w:val="00434614"/>
    <w:rsid w:val="00434782"/>
    <w:rsid w:val="004347C9"/>
    <w:rsid w:val="00434B1D"/>
    <w:rsid w:val="00434BF5"/>
    <w:rsid w:val="00434C39"/>
    <w:rsid w:val="00434E8B"/>
    <w:rsid w:val="00434ED4"/>
    <w:rsid w:val="00434F38"/>
    <w:rsid w:val="00434F72"/>
    <w:rsid w:val="00434FD0"/>
    <w:rsid w:val="00434FEA"/>
    <w:rsid w:val="0043508B"/>
    <w:rsid w:val="00435477"/>
    <w:rsid w:val="004354C5"/>
    <w:rsid w:val="004354EA"/>
    <w:rsid w:val="004355BD"/>
    <w:rsid w:val="00435668"/>
    <w:rsid w:val="004356E9"/>
    <w:rsid w:val="004357FD"/>
    <w:rsid w:val="00435899"/>
    <w:rsid w:val="004358A5"/>
    <w:rsid w:val="00435978"/>
    <w:rsid w:val="00435B34"/>
    <w:rsid w:val="00435BD7"/>
    <w:rsid w:val="00435C4E"/>
    <w:rsid w:val="00435DAA"/>
    <w:rsid w:val="00435F21"/>
    <w:rsid w:val="0043613A"/>
    <w:rsid w:val="00436223"/>
    <w:rsid w:val="0043623E"/>
    <w:rsid w:val="00436248"/>
    <w:rsid w:val="00436337"/>
    <w:rsid w:val="004364B4"/>
    <w:rsid w:val="004365F6"/>
    <w:rsid w:val="004366AE"/>
    <w:rsid w:val="004368C0"/>
    <w:rsid w:val="00436910"/>
    <w:rsid w:val="00436991"/>
    <w:rsid w:val="00436BB0"/>
    <w:rsid w:val="00436CDE"/>
    <w:rsid w:val="00436E23"/>
    <w:rsid w:val="00436FA6"/>
    <w:rsid w:val="00436FFC"/>
    <w:rsid w:val="00437081"/>
    <w:rsid w:val="00437093"/>
    <w:rsid w:val="0043709D"/>
    <w:rsid w:val="004370D5"/>
    <w:rsid w:val="004371BC"/>
    <w:rsid w:val="00437335"/>
    <w:rsid w:val="004373D5"/>
    <w:rsid w:val="0043742F"/>
    <w:rsid w:val="00437463"/>
    <w:rsid w:val="0043747F"/>
    <w:rsid w:val="004374E7"/>
    <w:rsid w:val="0043750D"/>
    <w:rsid w:val="00437569"/>
    <w:rsid w:val="004375E8"/>
    <w:rsid w:val="00437722"/>
    <w:rsid w:val="00437738"/>
    <w:rsid w:val="0043773B"/>
    <w:rsid w:val="00437E64"/>
    <w:rsid w:val="00437E68"/>
    <w:rsid w:val="00437F25"/>
    <w:rsid w:val="00437FFC"/>
    <w:rsid w:val="00440074"/>
    <w:rsid w:val="00440210"/>
    <w:rsid w:val="00440282"/>
    <w:rsid w:val="004405DD"/>
    <w:rsid w:val="00440644"/>
    <w:rsid w:val="004406EB"/>
    <w:rsid w:val="00440761"/>
    <w:rsid w:val="00440781"/>
    <w:rsid w:val="004408DE"/>
    <w:rsid w:val="00440983"/>
    <w:rsid w:val="004409A8"/>
    <w:rsid w:val="00440BFA"/>
    <w:rsid w:val="00440C16"/>
    <w:rsid w:val="00440C3B"/>
    <w:rsid w:val="00440E33"/>
    <w:rsid w:val="00440F5F"/>
    <w:rsid w:val="004410C5"/>
    <w:rsid w:val="00441106"/>
    <w:rsid w:val="00441133"/>
    <w:rsid w:val="0044113E"/>
    <w:rsid w:val="004411F2"/>
    <w:rsid w:val="00441281"/>
    <w:rsid w:val="004412E9"/>
    <w:rsid w:val="0044151C"/>
    <w:rsid w:val="00441549"/>
    <w:rsid w:val="00441767"/>
    <w:rsid w:val="00441886"/>
    <w:rsid w:val="004419BF"/>
    <w:rsid w:val="00441A95"/>
    <w:rsid w:val="00441B10"/>
    <w:rsid w:val="00441B4B"/>
    <w:rsid w:val="00441B96"/>
    <w:rsid w:val="00441C4D"/>
    <w:rsid w:val="0044203E"/>
    <w:rsid w:val="004420D8"/>
    <w:rsid w:val="00442203"/>
    <w:rsid w:val="00442345"/>
    <w:rsid w:val="004423B8"/>
    <w:rsid w:val="004423D7"/>
    <w:rsid w:val="004423ED"/>
    <w:rsid w:val="00442718"/>
    <w:rsid w:val="00442A9C"/>
    <w:rsid w:val="00442CDE"/>
    <w:rsid w:val="00442D62"/>
    <w:rsid w:val="00443037"/>
    <w:rsid w:val="004430A9"/>
    <w:rsid w:val="00443109"/>
    <w:rsid w:val="0044347C"/>
    <w:rsid w:val="004434AF"/>
    <w:rsid w:val="004434C1"/>
    <w:rsid w:val="004435D6"/>
    <w:rsid w:val="0044371A"/>
    <w:rsid w:val="004439A8"/>
    <w:rsid w:val="00443A07"/>
    <w:rsid w:val="00443A8B"/>
    <w:rsid w:val="00443F12"/>
    <w:rsid w:val="00443F73"/>
    <w:rsid w:val="004440C0"/>
    <w:rsid w:val="00444395"/>
    <w:rsid w:val="0044457C"/>
    <w:rsid w:val="004445A1"/>
    <w:rsid w:val="004446E5"/>
    <w:rsid w:val="00444729"/>
    <w:rsid w:val="004447D4"/>
    <w:rsid w:val="00444812"/>
    <w:rsid w:val="0044484E"/>
    <w:rsid w:val="004448D4"/>
    <w:rsid w:val="00444A73"/>
    <w:rsid w:val="00444B10"/>
    <w:rsid w:val="00444B91"/>
    <w:rsid w:val="00444BB1"/>
    <w:rsid w:val="00444BB4"/>
    <w:rsid w:val="00444BB8"/>
    <w:rsid w:val="00444C16"/>
    <w:rsid w:val="00444CA2"/>
    <w:rsid w:val="00444D0E"/>
    <w:rsid w:val="00444D33"/>
    <w:rsid w:val="00444E67"/>
    <w:rsid w:val="00444EBA"/>
    <w:rsid w:val="004450C0"/>
    <w:rsid w:val="00445201"/>
    <w:rsid w:val="00445413"/>
    <w:rsid w:val="0044542D"/>
    <w:rsid w:val="00445468"/>
    <w:rsid w:val="004455C4"/>
    <w:rsid w:val="00445612"/>
    <w:rsid w:val="0044564A"/>
    <w:rsid w:val="0044574F"/>
    <w:rsid w:val="004457EC"/>
    <w:rsid w:val="00445ADE"/>
    <w:rsid w:val="00445B44"/>
    <w:rsid w:val="00445C3D"/>
    <w:rsid w:val="00445F27"/>
    <w:rsid w:val="0044616B"/>
    <w:rsid w:val="00446174"/>
    <w:rsid w:val="004461D8"/>
    <w:rsid w:val="00446258"/>
    <w:rsid w:val="0044626F"/>
    <w:rsid w:val="004463C9"/>
    <w:rsid w:val="004466FE"/>
    <w:rsid w:val="0044682C"/>
    <w:rsid w:val="00446837"/>
    <w:rsid w:val="004468C1"/>
    <w:rsid w:val="004469D9"/>
    <w:rsid w:val="00446A3F"/>
    <w:rsid w:val="00446A53"/>
    <w:rsid w:val="00446CBC"/>
    <w:rsid w:val="00446DE3"/>
    <w:rsid w:val="00446EE2"/>
    <w:rsid w:val="00446F26"/>
    <w:rsid w:val="00446F57"/>
    <w:rsid w:val="00446FEE"/>
    <w:rsid w:val="00447032"/>
    <w:rsid w:val="0044704D"/>
    <w:rsid w:val="004471CF"/>
    <w:rsid w:val="0044724C"/>
    <w:rsid w:val="004472C4"/>
    <w:rsid w:val="004473CA"/>
    <w:rsid w:val="00447464"/>
    <w:rsid w:val="0044768E"/>
    <w:rsid w:val="004477BA"/>
    <w:rsid w:val="004477EA"/>
    <w:rsid w:val="00447865"/>
    <w:rsid w:val="004478CA"/>
    <w:rsid w:val="0044794E"/>
    <w:rsid w:val="00447996"/>
    <w:rsid w:val="00447C25"/>
    <w:rsid w:val="00447D61"/>
    <w:rsid w:val="00447D74"/>
    <w:rsid w:val="00447D92"/>
    <w:rsid w:val="00447DA0"/>
    <w:rsid w:val="00447DB7"/>
    <w:rsid w:val="00447DE0"/>
    <w:rsid w:val="00447ECF"/>
    <w:rsid w:val="00447F2F"/>
    <w:rsid w:val="00447F8C"/>
    <w:rsid w:val="00450074"/>
    <w:rsid w:val="004500B5"/>
    <w:rsid w:val="004500C7"/>
    <w:rsid w:val="0045012F"/>
    <w:rsid w:val="00450185"/>
    <w:rsid w:val="0045023B"/>
    <w:rsid w:val="0045029B"/>
    <w:rsid w:val="004502F1"/>
    <w:rsid w:val="0045033B"/>
    <w:rsid w:val="00450348"/>
    <w:rsid w:val="00450855"/>
    <w:rsid w:val="00450CE2"/>
    <w:rsid w:val="00450E76"/>
    <w:rsid w:val="00450EB6"/>
    <w:rsid w:val="00450F95"/>
    <w:rsid w:val="004514C5"/>
    <w:rsid w:val="004514E4"/>
    <w:rsid w:val="00451639"/>
    <w:rsid w:val="00451672"/>
    <w:rsid w:val="00451781"/>
    <w:rsid w:val="004517BB"/>
    <w:rsid w:val="004517FC"/>
    <w:rsid w:val="00451806"/>
    <w:rsid w:val="00451897"/>
    <w:rsid w:val="004519D7"/>
    <w:rsid w:val="00451A3A"/>
    <w:rsid w:val="00451B08"/>
    <w:rsid w:val="00451C34"/>
    <w:rsid w:val="00451D50"/>
    <w:rsid w:val="00451F05"/>
    <w:rsid w:val="00451FF0"/>
    <w:rsid w:val="004520B2"/>
    <w:rsid w:val="00452140"/>
    <w:rsid w:val="004521E8"/>
    <w:rsid w:val="00452427"/>
    <w:rsid w:val="00452466"/>
    <w:rsid w:val="00452598"/>
    <w:rsid w:val="00452AE0"/>
    <w:rsid w:val="00452B3B"/>
    <w:rsid w:val="00452C52"/>
    <w:rsid w:val="00452CE6"/>
    <w:rsid w:val="00452F2B"/>
    <w:rsid w:val="00453264"/>
    <w:rsid w:val="00453288"/>
    <w:rsid w:val="00453563"/>
    <w:rsid w:val="00453713"/>
    <w:rsid w:val="0045379F"/>
    <w:rsid w:val="004537DC"/>
    <w:rsid w:val="004538ED"/>
    <w:rsid w:val="00453B41"/>
    <w:rsid w:val="00453C32"/>
    <w:rsid w:val="00453E40"/>
    <w:rsid w:val="00453FF2"/>
    <w:rsid w:val="004541D4"/>
    <w:rsid w:val="00454201"/>
    <w:rsid w:val="004542B8"/>
    <w:rsid w:val="00454696"/>
    <w:rsid w:val="004547C4"/>
    <w:rsid w:val="004547D1"/>
    <w:rsid w:val="0045488F"/>
    <w:rsid w:val="00454910"/>
    <w:rsid w:val="00454A34"/>
    <w:rsid w:val="00454B29"/>
    <w:rsid w:val="00454BB5"/>
    <w:rsid w:val="00454C85"/>
    <w:rsid w:val="00454DD6"/>
    <w:rsid w:val="00454E36"/>
    <w:rsid w:val="00454E45"/>
    <w:rsid w:val="00454EFD"/>
    <w:rsid w:val="00454F05"/>
    <w:rsid w:val="004551F6"/>
    <w:rsid w:val="00455374"/>
    <w:rsid w:val="004554D7"/>
    <w:rsid w:val="0045552B"/>
    <w:rsid w:val="00455637"/>
    <w:rsid w:val="004558B3"/>
    <w:rsid w:val="004558D5"/>
    <w:rsid w:val="00455BA3"/>
    <w:rsid w:val="00455BA6"/>
    <w:rsid w:val="00455DA6"/>
    <w:rsid w:val="00455DF8"/>
    <w:rsid w:val="00455E03"/>
    <w:rsid w:val="00455E5A"/>
    <w:rsid w:val="00455EA0"/>
    <w:rsid w:val="00455F05"/>
    <w:rsid w:val="00456198"/>
    <w:rsid w:val="004561BA"/>
    <w:rsid w:val="00456279"/>
    <w:rsid w:val="00456349"/>
    <w:rsid w:val="004563A5"/>
    <w:rsid w:val="00456646"/>
    <w:rsid w:val="004567CA"/>
    <w:rsid w:val="00456844"/>
    <w:rsid w:val="004568EA"/>
    <w:rsid w:val="00456A1C"/>
    <w:rsid w:val="00456A9D"/>
    <w:rsid w:val="00456BBE"/>
    <w:rsid w:val="00456D80"/>
    <w:rsid w:val="00456F66"/>
    <w:rsid w:val="004572AC"/>
    <w:rsid w:val="00457334"/>
    <w:rsid w:val="0045750E"/>
    <w:rsid w:val="004576AC"/>
    <w:rsid w:val="004576FE"/>
    <w:rsid w:val="0045773A"/>
    <w:rsid w:val="004577B0"/>
    <w:rsid w:val="00457802"/>
    <w:rsid w:val="0045795F"/>
    <w:rsid w:val="00457A81"/>
    <w:rsid w:val="00457C4C"/>
    <w:rsid w:val="00457C8B"/>
    <w:rsid w:val="00457E25"/>
    <w:rsid w:val="0046006B"/>
    <w:rsid w:val="00460079"/>
    <w:rsid w:val="004600CA"/>
    <w:rsid w:val="00460103"/>
    <w:rsid w:val="00460170"/>
    <w:rsid w:val="00460257"/>
    <w:rsid w:val="004603B3"/>
    <w:rsid w:val="0046041F"/>
    <w:rsid w:val="0046049C"/>
    <w:rsid w:val="00460549"/>
    <w:rsid w:val="00460566"/>
    <w:rsid w:val="00460630"/>
    <w:rsid w:val="004608A4"/>
    <w:rsid w:val="00460949"/>
    <w:rsid w:val="00460981"/>
    <w:rsid w:val="004609E2"/>
    <w:rsid w:val="00460A01"/>
    <w:rsid w:val="00460A04"/>
    <w:rsid w:val="00460A0E"/>
    <w:rsid w:val="00460A30"/>
    <w:rsid w:val="00460B15"/>
    <w:rsid w:val="00460B26"/>
    <w:rsid w:val="00460B47"/>
    <w:rsid w:val="00460B7F"/>
    <w:rsid w:val="00460BC7"/>
    <w:rsid w:val="00460C69"/>
    <w:rsid w:val="00460C9C"/>
    <w:rsid w:val="00460D11"/>
    <w:rsid w:val="00460D2B"/>
    <w:rsid w:val="00460F40"/>
    <w:rsid w:val="00460F51"/>
    <w:rsid w:val="00460F81"/>
    <w:rsid w:val="00460FCA"/>
    <w:rsid w:val="0046128E"/>
    <w:rsid w:val="0046129D"/>
    <w:rsid w:val="0046143A"/>
    <w:rsid w:val="0046164D"/>
    <w:rsid w:val="0046167A"/>
    <w:rsid w:val="004616FF"/>
    <w:rsid w:val="004618A2"/>
    <w:rsid w:val="00461A87"/>
    <w:rsid w:val="00461AD1"/>
    <w:rsid w:val="00461AF8"/>
    <w:rsid w:val="00461B5E"/>
    <w:rsid w:val="00461BBF"/>
    <w:rsid w:val="00461D42"/>
    <w:rsid w:val="00461D7D"/>
    <w:rsid w:val="00461E93"/>
    <w:rsid w:val="00462160"/>
    <w:rsid w:val="004621F9"/>
    <w:rsid w:val="0046230E"/>
    <w:rsid w:val="004623BD"/>
    <w:rsid w:val="00462494"/>
    <w:rsid w:val="004624D9"/>
    <w:rsid w:val="0046252D"/>
    <w:rsid w:val="0046255A"/>
    <w:rsid w:val="00462609"/>
    <w:rsid w:val="00462658"/>
    <w:rsid w:val="004626D8"/>
    <w:rsid w:val="00462791"/>
    <w:rsid w:val="00462964"/>
    <w:rsid w:val="00462A99"/>
    <w:rsid w:val="00462A9E"/>
    <w:rsid w:val="00462BEE"/>
    <w:rsid w:val="00462CC5"/>
    <w:rsid w:val="004631FF"/>
    <w:rsid w:val="00463447"/>
    <w:rsid w:val="00463465"/>
    <w:rsid w:val="004634A0"/>
    <w:rsid w:val="004634C9"/>
    <w:rsid w:val="004634E6"/>
    <w:rsid w:val="00463592"/>
    <w:rsid w:val="004635CB"/>
    <w:rsid w:val="0046374C"/>
    <w:rsid w:val="0046383D"/>
    <w:rsid w:val="00463894"/>
    <w:rsid w:val="004638E9"/>
    <w:rsid w:val="00463912"/>
    <w:rsid w:val="00463925"/>
    <w:rsid w:val="00463A44"/>
    <w:rsid w:val="00463A68"/>
    <w:rsid w:val="00463A78"/>
    <w:rsid w:val="00463ACA"/>
    <w:rsid w:val="00463CD0"/>
    <w:rsid w:val="00463D12"/>
    <w:rsid w:val="00463E13"/>
    <w:rsid w:val="00463E24"/>
    <w:rsid w:val="004640EE"/>
    <w:rsid w:val="00464131"/>
    <w:rsid w:val="00464156"/>
    <w:rsid w:val="0046417E"/>
    <w:rsid w:val="004641EB"/>
    <w:rsid w:val="004642EF"/>
    <w:rsid w:val="00464313"/>
    <w:rsid w:val="00464385"/>
    <w:rsid w:val="0046448C"/>
    <w:rsid w:val="004644E8"/>
    <w:rsid w:val="0046459F"/>
    <w:rsid w:val="004645E4"/>
    <w:rsid w:val="00464792"/>
    <w:rsid w:val="004647D6"/>
    <w:rsid w:val="00464859"/>
    <w:rsid w:val="00464867"/>
    <w:rsid w:val="0046490C"/>
    <w:rsid w:val="00464991"/>
    <w:rsid w:val="00464AB4"/>
    <w:rsid w:val="00464B89"/>
    <w:rsid w:val="00464BB7"/>
    <w:rsid w:val="00464C1E"/>
    <w:rsid w:val="00464D12"/>
    <w:rsid w:val="00464D63"/>
    <w:rsid w:val="00464DD0"/>
    <w:rsid w:val="00464DE4"/>
    <w:rsid w:val="0046501D"/>
    <w:rsid w:val="00465094"/>
    <w:rsid w:val="00465185"/>
    <w:rsid w:val="00465590"/>
    <w:rsid w:val="004657AD"/>
    <w:rsid w:val="004657F9"/>
    <w:rsid w:val="00465C8A"/>
    <w:rsid w:val="00465D69"/>
    <w:rsid w:val="00465DCC"/>
    <w:rsid w:val="00465EFC"/>
    <w:rsid w:val="00465F82"/>
    <w:rsid w:val="00465FBE"/>
    <w:rsid w:val="00466003"/>
    <w:rsid w:val="004660E2"/>
    <w:rsid w:val="004661A1"/>
    <w:rsid w:val="00466299"/>
    <w:rsid w:val="004662F9"/>
    <w:rsid w:val="00466368"/>
    <w:rsid w:val="004663E7"/>
    <w:rsid w:val="004664E0"/>
    <w:rsid w:val="00466522"/>
    <w:rsid w:val="00466578"/>
    <w:rsid w:val="00466581"/>
    <w:rsid w:val="0046674E"/>
    <w:rsid w:val="0046676D"/>
    <w:rsid w:val="004667E7"/>
    <w:rsid w:val="004669B7"/>
    <w:rsid w:val="00466A40"/>
    <w:rsid w:val="00466C79"/>
    <w:rsid w:val="00466F55"/>
    <w:rsid w:val="00467006"/>
    <w:rsid w:val="00467091"/>
    <w:rsid w:val="004671DE"/>
    <w:rsid w:val="004673C7"/>
    <w:rsid w:val="004674F4"/>
    <w:rsid w:val="00467562"/>
    <w:rsid w:val="00467587"/>
    <w:rsid w:val="004676C6"/>
    <w:rsid w:val="004678C8"/>
    <w:rsid w:val="00467B79"/>
    <w:rsid w:val="00467E2A"/>
    <w:rsid w:val="00467FBF"/>
    <w:rsid w:val="00470030"/>
    <w:rsid w:val="004702FC"/>
    <w:rsid w:val="0047039C"/>
    <w:rsid w:val="004703C5"/>
    <w:rsid w:val="00470473"/>
    <w:rsid w:val="00470569"/>
    <w:rsid w:val="00470573"/>
    <w:rsid w:val="0047061E"/>
    <w:rsid w:val="00470632"/>
    <w:rsid w:val="00470642"/>
    <w:rsid w:val="00470652"/>
    <w:rsid w:val="00470655"/>
    <w:rsid w:val="0047086E"/>
    <w:rsid w:val="00470988"/>
    <w:rsid w:val="00470ABB"/>
    <w:rsid w:val="00470AE1"/>
    <w:rsid w:val="00470BFD"/>
    <w:rsid w:val="00470E25"/>
    <w:rsid w:val="0047103B"/>
    <w:rsid w:val="00471186"/>
    <w:rsid w:val="0047132F"/>
    <w:rsid w:val="004714FC"/>
    <w:rsid w:val="00471519"/>
    <w:rsid w:val="00471658"/>
    <w:rsid w:val="00471853"/>
    <w:rsid w:val="004719F3"/>
    <w:rsid w:val="00471A66"/>
    <w:rsid w:val="00471ABF"/>
    <w:rsid w:val="00471B5D"/>
    <w:rsid w:val="00471CAB"/>
    <w:rsid w:val="00471EB4"/>
    <w:rsid w:val="00471FC7"/>
    <w:rsid w:val="00472123"/>
    <w:rsid w:val="00472171"/>
    <w:rsid w:val="004721E2"/>
    <w:rsid w:val="004723C4"/>
    <w:rsid w:val="00472528"/>
    <w:rsid w:val="00472793"/>
    <w:rsid w:val="004727D8"/>
    <w:rsid w:val="0047285C"/>
    <w:rsid w:val="00472928"/>
    <w:rsid w:val="00472B26"/>
    <w:rsid w:val="00472BF7"/>
    <w:rsid w:val="00472C11"/>
    <w:rsid w:val="00472CAD"/>
    <w:rsid w:val="00472CDF"/>
    <w:rsid w:val="00472F3D"/>
    <w:rsid w:val="00473078"/>
    <w:rsid w:val="00473299"/>
    <w:rsid w:val="0047331F"/>
    <w:rsid w:val="00473378"/>
    <w:rsid w:val="0047349B"/>
    <w:rsid w:val="0047370A"/>
    <w:rsid w:val="004738DB"/>
    <w:rsid w:val="004739B1"/>
    <w:rsid w:val="00473A87"/>
    <w:rsid w:val="00473B94"/>
    <w:rsid w:val="00473C2A"/>
    <w:rsid w:val="00473D4C"/>
    <w:rsid w:val="00473DE6"/>
    <w:rsid w:val="00473E88"/>
    <w:rsid w:val="00473EB3"/>
    <w:rsid w:val="00474088"/>
    <w:rsid w:val="00474197"/>
    <w:rsid w:val="004741F6"/>
    <w:rsid w:val="0047447C"/>
    <w:rsid w:val="00474487"/>
    <w:rsid w:val="00474520"/>
    <w:rsid w:val="004745FA"/>
    <w:rsid w:val="00474962"/>
    <w:rsid w:val="00474982"/>
    <w:rsid w:val="00474BC6"/>
    <w:rsid w:val="00474BE3"/>
    <w:rsid w:val="00474D34"/>
    <w:rsid w:val="00474DA7"/>
    <w:rsid w:val="00474F83"/>
    <w:rsid w:val="00474FCE"/>
    <w:rsid w:val="0047508E"/>
    <w:rsid w:val="0047524F"/>
    <w:rsid w:val="0047531F"/>
    <w:rsid w:val="00475386"/>
    <w:rsid w:val="004753ED"/>
    <w:rsid w:val="00475527"/>
    <w:rsid w:val="0047555D"/>
    <w:rsid w:val="0047560C"/>
    <w:rsid w:val="004756C6"/>
    <w:rsid w:val="004757A3"/>
    <w:rsid w:val="0047585F"/>
    <w:rsid w:val="004759ED"/>
    <w:rsid w:val="00475BFC"/>
    <w:rsid w:val="00475D0D"/>
    <w:rsid w:val="00475D40"/>
    <w:rsid w:val="00475D7B"/>
    <w:rsid w:val="00475FE7"/>
    <w:rsid w:val="004761B9"/>
    <w:rsid w:val="004761F6"/>
    <w:rsid w:val="00476206"/>
    <w:rsid w:val="0047633B"/>
    <w:rsid w:val="00476379"/>
    <w:rsid w:val="00476464"/>
    <w:rsid w:val="0047646A"/>
    <w:rsid w:val="004766B1"/>
    <w:rsid w:val="004766BD"/>
    <w:rsid w:val="0047675D"/>
    <w:rsid w:val="00476870"/>
    <w:rsid w:val="00476876"/>
    <w:rsid w:val="004768E4"/>
    <w:rsid w:val="00476936"/>
    <w:rsid w:val="004769AB"/>
    <w:rsid w:val="00476A93"/>
    <w:rsid w:val="00476AD9"/>
    <w:rsid w:val="00476C40"/>
    <w:rsid w:val="00476CE4"/>
    <w:rsid w:val="00476DBA"/>
    <w:rsid w:val="00476DE0"/>
    <w:rsid w:val="00476EB0"/>
    <w:rsid w:val="00476F05"/>
    <w:rsid w:val="004770C6"/>
    <w:rsid w:val="004770EF"/>
    <w:rsid w:val="004771D9"/>
    <w:rsid w:val="00477852"/>
    <w:rsid w:val="00477A7D"/>
    <w:rsid w:val="00477B6C"/>
    <w:rsid w:val="00477C64"/>
    <w:rsid w:val="00477EBD"/>
    <w:rsid w:val="0048001D"/>
    <w:rsid w:val="00480204"/>
    <w:rsid w:val="0048021B"/>
    <w:rsid w:val="0048023E"/>
    <w:rsid w:val="00480302"/>
    <w:rsid w:val="00480303"/>
    <w:rsid w:val="00480345"/>
    <w:rsid w:val="00480368"/>
    <w:rsid w:val="004803D9"/>
    <w:rsid w:val="0048062A"/>
    <w:rsid w:val="004808B3"/>
    <w:rsid w:val="00480AE1"/>
    <w:rsid w:val="00480B93"/>
    <w:rsid w:val="00480C13"/>
    <w:rsid w:val="00480D52"/>
    <w:rsid w:val="00480F6E"/>
    <w:rsid w:val="00480F92"/>
    <w:rsid w:val="00481391"/>
    <w:rsid w:val="004813AF"/>
    <w:rsid w:val="0048146B"/>
    <w:rsid w:val="00481491"/>
    <w:rsid w:val="004814B3"/>
    <w:rsid w:val="004815BC"/>
    <w:rsid w:val="004816DB"/>
    <w:rsid w:val="004816F2"/>
    <w:rsid w:val="00481718"/>
    <w:rsid w:val="004817B9"/>
    <w:rsid w:val="0048188B"/>
    <w:rsid w:val="00481AFE"/>
    <w:rsid w:val="00481B45"/>
    <w:rsid w:val="00481B88"/>
    <w:rsid w:val="00481C4C"/>
    <w:rsid w:val="00481D68"/>
    <w:rsid w:val="00481E09"/>
    <w:rsid w:val="00481F70"/>
    <w:rsid w:val="0048201D"/>
    <w:rsid w:val="004820CA"/>
    <w:rsid w:val="004821D1"/>
    <w:rsid w:val="004821E9"/>
    <w:rsid w:val="0048234B"/>
    <w:rsid w:val="00482512"/>
    <w:rsid w:val="004825A9"/>
    <w:rsid w:val="004825BD"/>
    <w:rsid w:val="0048276F"/>
    <w:rsid w:val="004827D4"/>
    <w:rsid w:val="004827D7"/>
    <w:rsid w:val="004827F8"/>
    <w:rsid w:val="00482872"/>
    <w:rsid w:val="004828B4"/>
    <w:rsid w:val="004829E8"/>
    <w:rsid w:val="00482A26"/>
    <w:rsid w:val="00482C16"/>
    <w:rsid w:val="00482EF5"/>
    <w:rsid w:val="00482FB5"/>
    <w:rsid w:val="00482FCB"/>
    <w:rsid w:val="00483144"/>
    <w:rsid w:val="00483248"/>
    <w:rsid w:val="00483317"/>
    <w:rsid w:val="0048376D"/>
    <w:rsid w:val="004837FD"/>
    <w:rsid w:val="00483827"/>
    <w:rsid w:val="00483907"/>
    <w:rsid w:val="004839A2"/>
    <w:rsid w:val="00483A34"/>
    <w:rsid w:val="00483D51"/>
    <w:rsid w:val="00483DD5"/>
    <w:rsid w:val="00483E3C"/>
    <w:rsid w:val="00483FF5"/>
    <w:rsid w:val="00484059"/>
    <w:rsid w:val="00484062"/>
    <w:rsid w:val="004840FA"/>
    <w:rsid w:val="004841A4"/>
    <w:rsid w:val="0048425D"/>
    <w:rsid w:val="00484319"/>
    <w:rsid w:val="00484437"/>
    <w:rsid w:val="00484455"/>
    <w:rsid w:val="0048449B"/>
    <w:rsid w:val="00484570"/>
    <w:rsid w:val="004845B8"/>
    <w:rsid w:val="00484935"/>
    <w:rsid w:val="0048494B"/>
    <w:rsid w:val="004849D9"/>
    <w:rsid w:val="00484C3C"/>
    <w:rsid w:val="00484D14"/>
    <w:rsid w:val="00484D7D"/>
    <w:rsid w:val="00484D7F"/>
    <w:rsid w:val="004850C1"/>
    <w:rsid w:val="00485137"/>
    <w:rsid w:val="0048513C"/>
    <w:rsid w:val="004852E2"/>
    <w:rsid w:val="00485313"/>
    <w:rsid w:val="00485332"/>
    <w:rsid w:val="00485406"/>
    <w:rsid w:val="00485685"/>
    <w:rsid w:val="00485B94"/>
    <w:rsid w:val="00485BC1"/>
    <w:rsid w:val="00485CDA"/>
    <w:rsid w:val="00485CE7"/>
    <w:rsid w:val="00485D1F"/>
    <w:rsid w:val="00485F44"/>
    <w:rsid w:val="00485FA7"/>
    <w:rsid w:val="00486177"/>
    <w:rsid w:val="004861B3"/>
    <w:rsid w:val="0048621E"/>
    <w:rsid w:val="0048635A"/>
    <w:rsid w:val="00486361"/>
    <w:rsid w:val="0048643B"/>
    <w:rsid w:val="0048644F"/>
    <w:rsid w:val="00486842"/>
    <w:rsid w:val="004868E2"/>
    <w:rsid w:val="004869F3"/>
    <w:rsid w:val="00486A42"/>
    <w:rsid w:val="00486A55"/>
    <w:rsid w:val="00486ACC"/>
    <w:rsid w:val="00486B22"/>
    <w:rsid w:val="00486D0B"/>
    <w:rsid w:val="00486EA8"/>
    <w:rsid w:val="00486ED4"/>
    <w:rsid w:val="0048723F"/>
    <w:rsid w:val="004872D5"/>
    <w:rsid w:val="0048738E"/>
    <w:rsid w:val="0048743C"/>
    <w:rsid w:val="004874CA"/>
    <w:rsid w:val="004874E6"/>
    <w:rsid w:val="0048763E"/>
    <w:rsid w:val="004878CC"/>
    <w:rsid w:val="00487A36"/>
    <w:rsid w:val="00487ADD"/>
    <w:rsid w:val="00487B31"/>
    <w:rsid w:val="00487B3A"/>
    <w:rsid w:val="00487B96"/>
    <w:rsid w:val="00487BA0"/>
    <w:rsid w:val="00487BD0"/>
    <w:rsid w:val="00487BE3"/>
    <w:rsid w:val="00487D08"/>
    <w:rsid w:val="00487D7E"/>
    <w:rsid w:val="00487EED"/>
    <w:rsid w:val="00487F70"/>
    <w:rsid w:val="00487FB8"/>
    <w:rsid w:val="00490260"/>
    <w:rsid w:val="004903B6"/>
    <w:rsid w:val="004903CD"/>
    <w:rsid w:val="0049049F"/>
    <w:rsid w:val="004905A1"/>
    <w:rsid w:val="004905F5"/>
    <w:rsid w:val="0049070E"/>
    <w:rsid w:val="0049082A"/>
    <w:rsid w:val="00490919"/>
    <w:rsid w:val="004909F7"/>
    <w:rsid w:val="00490B12"/>
    <w:rsid w:val="00490E9C"/>
    <w:rsid w:val="00490F16"/>
    <w:rsid w:val="00490F2D"/>
    <w:rsid w:val="00490FBF"/>
    <w:rsid w:val="00491055"/>
    <w:rsid w:val="004910DE"/>
    <w:rsid w:val="004911B6"/>
    <w:rsid w:val="00491328"/>
    <w:rsid w:val="004914FE"/>
    <w:rsid w:val="00491651"/>
    <w:rsid w:val="004917A9"/>
    <w:rsid w:val="004917C6"/>
    <w:rsid w:val="004917F7"/>
    <w:rsid w:val="00491823"/>
    <w:rsid w:val="00491915"/>
    <w:rsid w:val="00491ABC"/>
    <w:rsid w:val="00491B7D"/>
    <w:rsid w:val="00491C31"/>
    <w:rsid w:val="00491CB6"/>
    <w:rsid w:val="00491CD5"/>
    <w:rsid w:val="00491E42"/>
    <w:rsid w:val="00491FB2"/>
    <w:rsid w:val="00492039"/>
    <w:rsid w:val="004920B2"/>
    <w:rsid w:val="00492173"/>
    <w:rsid w:val="004922DC"/>
    <w:rsid w:val="004922FA"/>
    <w:rsid w:val="004923CF"/>
    <w:rsid w:val="0049272A"/>
    <w:rsid w:val="00492737"/>
    <w:rsid w:val="004928FB"/>
    <w:rsid w:val="0049291A"/>
    <w:rsid w:val="00492B01"/>
    <w:rsid w:val="00492BF9"/>
    <w:rsid w:val="00492CA2"/>
    <w:rsid w:val="00492CD1"/>
    <w:rsid w:val="00492FC6"/>
    <w:rsid w:val="004930BB"/>
    <w:rsid w:val="00493204"/>
    <w:rsid w:val="00493478"/>
    <w:rsid w:val="0049361F"/>
    <w:rsid w:val="00493681"/>
    <w:rsid w:val="004937DF"/>
    <w:rsid w:val="0049382A"/>
    <w:rsid w:val="0049382F"/>
    <w:rsid w:val="0049396D"/>
    <w:rsid w:val="00493983"/>
    <w:rsid w:val="004939BF"/>
    <w:rsid w:val="00493B3C"/>
    <w:rsid w:val="00493E23"/>
    <w:rsid w:val="00493E31"/>
    <w:rsid w:val="00493EAC"/>
    <w:rsid w:val="00493FFD"/>
    <w:rsid w:val="004940A6"/>
    <w:rsid w:val="004941C2"/>
    <w:rsid w:val="004945D0"/>
    <w:rsid w:val="0049482B"/>
    <w:rsid w:val="00494869"/>
    <w:rsid w:val="00494940"/>
    <w:rsid w:val="004949EC"/>
    <w:rsid w:val="00494AD0"/>
    <w:rsid w:val="00494CDD"/>
    <w:rsid w:val="00494EAE"/>
    <w:rsid w:val="00494EB6"/>
    <w:rsid w:val="00494F35"/>
    <w:rsid w:val="00494F43"/>
    <w:rsid w:val="0049522C"/>
    <w:rsid w:val="004952D2"/>
    <w:rsid w:val="004954F1"/>
    <w:rsid w:val="00495566"/>
    <w:rsid w:val="004957BB"/>
    <w:rsid w:val="004957C1"/>
    <w:rsid w:val="00495914"/>
    <w:rsid w:val="004959B6"/>
    <w:rsid w:val="00495AD2"/>
    <w:rsid w:val="00495B62"/>
    <w:rsid w:val="00495E3E"/>
    <w:rsid w:val="00495ED0"/>
    <w:rsid w:val="00495F1A"/>
    <w:rsid w:val="00495F7F"/>
    <w:rsid w:val="004960BC"/>
    <w:rsid w:val="004960F7"/>
    <w:rsid w:val="00496118"/>
    <w:rsid w:val="0049618D"/>
    <w:rsid w:val="004961E5"/>
    <w:rsid w:val="004961EA"/>
    <w:rsid w:val="004961EB"/>
    <w:rsid w:val="00496377"/>
    <w:rsid w:val="0049666B"/>
    <w:rsid w:val="004967D6"/>
    <w:rsid w:val="00496916"/>
    <w:rsid w:val="00496959"/>
    <w:rsid w:val="004969EA"/>
    <w:rsid w:val="00496A1F"/>
    <w:rsid w:val="00496B84"/>
    <w:rsid w:val="00496B85"/>
    <w:rsid w:val="00496BF6"/>
    <w:rsid w:val="00496E0F"/>
    <w:rsid w:val="00496E1F"/>
    <w:rsid w:val="0049702E"/>
    <w:rsid w:val="00497153"/>
    <w:rsid w:val="004971A8"/>
    <w:rsid w:val="004971B1"/>
    <w:rsid w:val="00497651"/>
    <w:rsid w:val="0049778C"/>
    <w:rsid w:val="004977D9"/>
    <w:rsid w:val="0049784B"/>
    <w:rsid w:val="004978BF"/>
    <w:rsid w:val="004978EF"/>
    <w:rsid w:val="00497ACA"/>
    <w:rsid w:val="00497B69"/>
    <w:rsid w:val="00497C6E"/>
    <w:rsid w:val="00497E19"/>
    <w:rsid w:val="00497E83"/>
    <w:rsid w:val="00497FBE"/>
    <w:rsid w:val="004A01A9"/>
    <w:rsid w:val="004A0280"/>
    <w:rsid w:val="004A0464"/>
    <w:rsid w:val="004A050E"/>
    <w:rsid w:val="004A06A4"/>
    <w:rsid w:val="004A0759"/>
    <w:rsid w:val="004A0A6E"/>
    <w:rsid w:val="004A0B5D"/>
    <w:rsid w:val="004A0C56"/>
    <w:rsid w:val="004A0F7C"/>
    <w:rsid w:val="004A10AC"/>
    <w:rsid w:val="004A10B1"/>
    <w:rsid w:val="004A111B"/>
    <w:rsid w:val="004A1184"/>
    <w:rsid w:val="004A11D0"/>
    <w:rsid w:val="004A1262"/>
    <w:rsid w:val="004A12FA"/>
    <w:rsid w:val="004A1386"/>
    <w:rsid w:val="004A13B3"/>
    <w:rsid w:val="004A13F4"/>
    <w:rsid w:val="004A1422"/>
    <w:rsid w:val="004A16AF"/>
    <w:rsid w:val="004A1735"/>
    <w:rsid w:val="004A17E7"/>
    <w:rsid w:val="004A17EF"/>
    <w:rsid w:val="004A196A"/>
    <w:rsid w:val="004A1AC7"/>
    <w:rsid w:val="004A1B79"/>
    <w:rsid w:val="004A1BD4"/>
    <w:rsid w:val="004A1EA3"/>
    <w:rsid w:val="004A1F6E"/>
    <w:rsid w:val="004A20D8"/>
    <w:rsid w:val="004A21C6"/>
    <w:rsid w:val="004A238D"/>
    <w:rsid w:val="004A2412"/>
    <w:rsid w:val="004A2616"/>
    <w:rsid w:val="004A27F9"/>
    <w:rsid w:val="004A290C"/>
    <w:rsid w:val="004A2994"/>
    <w:rsid w:val="004A2A3E"/>
    <w:rsid w:val="004A2AB3"/>
    <w:rsid w:val="004A2ACB"/>
    <w:rsid w:val="004A2C58"/>
    <w:rsid w:val="004A2D2A"/>
    <w:rsid w:val="004A2D92"/>
    <w:rsid w:val="004A2E08"/>
    <w:rsid w:val="004A308D"/>
    <w:rsid w:val="004A3093"/>
    <w:rsid w:val="004A315A"/>
    <w:rsid w:val="004A3186"/>
    <w:rsid w:val="004A348D"/>
    <w:rsid w:val="004A35D3"/>
    <w:rsid w:val="004A362B"/>
    <w:rsid w:val="004A3999"/>
    <w:rsid w:val="004A39D0"/>
    <w:rsid w:val="004A3A03"/>
    <w:rsid w:val="004A3B13"/>
    <w:rsid w:val="004A3B30"/>
    <w:rsid w:val="004A3B65"/>
    <w:rsid w:val="004A3BCA"/>
    <w:rsid w:val="004A3BCD"/>
    <w:rsid w:val="004A3CB0"/>
    <w:rsid w:val="004A3FC3"/>
    <w:rsid w:val="004A4044"/>
    <w:rsid w:val="004A40F2"/>
    <w:rsid w:val="004A428E"/>
    <w:rsid w:val="004A4374"/>
    <w:rsid w:val="004A45F1"/>
    <w:rsid w:val="004A474B"/>
    <w:rsid w:val="004A4775"/>
    <w:rsid w:val="004A481B"/>
    <w:rsid w:val="004A482B"/>
    <w:rsid w:val="004A4983"/>
    <w:rsid w:val="004A49A9"/>
    <w:rsid w:val="004A4AE5"/>
    <w:rsid w:val="004A4B62"/>
    <w:rsid w:val="004A4C60"/>
    <w:rsid w:val="004A4D44"/>
    <w:rsid w:val="004A4E32"/>
    <w:rsid w:val="004A4E69"/>
    <w:rsid w:val="004A4EBF"/>
    <w:rsid w:val="004A4FC7"/>
    <w:rsid w:val="004A522E"/>
    <w:rsid w:val="004A53F7"/>
    <w:rsid w:val="004A5425"/>
    <w:rsid w:val="004A556D"/>
    <w:rsid w:val="004A5624"/>
    <w:rsid w:val="004A571E"/>
    <w:rsid w:val="004A588E"/>
    <w:rsid w:val="004A5909"/>
    <w:rsid w:val="004A5960"/>
    <w:rsid w:val="004A5A49"/>
    <w:rsid w:val="004A5A6F"/>
    <w:rsid w:val="004A5C3D"/>
    <w:rsid w:val="004A5DF6"/>
    <w:rsid w:val="004A5EBF"/>
    <w:rsid w:val="004A5EF0"/>
    <w:rsid w:val="004A5F0A"/>
    <w:rsid w:val="004A61B4"/>
    <w:rsid w:val="004A6286"/>
    <w:rsid w:val="004A6372"/>
    <w:rsid w:val="004A648F"/>
    <w:rsid w:val="004A6521"/>
    <w:rsid w:val="004A6547"/>
    <w:rsid w:val="004A66A7"/>
    <w:rsid w:val="004A6793"/>
    <w:rsid w:val="004A67C2"/>
    <w:rsid w:val="004A691E"/>
    <w:rsid w:val="004A69E7"/>
    <w:rsid w:val="004A6D85"/>
    <w:rsid w:val="004A6DD2"/>
    <w:rsid w:val="004A6FD3"/>
    <w:rsid w:val="004A707B"/>
    <w:rsid w:val="004A72EE"/>
    <w:rsid w:val="004A7343"/>
    <w:rsid w:val="004A73F4"/>
    <w:rsid w:val="004A779E"/>
    <w:rsid w:val="004A7894"/>
    <w:rsid w:val="004A7B0B"/>
    <w:rsid w:val="004A7B86"/>
    <w:rsid w:val="004A7C06"/>
    <w:rsid w:val="004A7D13"/>
    <w:rsid w:val="004B0136"/>
    <w:rsid w:val="004B0299"/>
    <w:rsid w:val="004B02F3"/>
    <w:rsid w:val="004B05E3"/>
    <w:rsid w:val="004B0613"/>
    <w:rsid w:val="004B0777"/>
    <w:rsid w:val="004B079F"/>
    <w:rsid w:val="004B0949"/>
    <w:rsid w:val="004B09A1"/>
    <w:rsid w:val="004B0BA6"/>
    <w:rsid w:val="004B0D8E"/>
    <w:rsid w:val="004B0EC5"/>
    <w:rsid w:val="004B0F95"/>
    <w:rsid w:val="004B0F99"/>
    <w:rsid w:val="004B0FCD"/>
    <w:rsid w:val="004B107D"/>
    <w:rsid w:val="004B112F"/>
    <w:rsid w:val="004B118B"/>
    <w:rsid w:val="004B11D6"/>
    <w:rsid w:val="004B122F"/>
    <w:rsid w:val="004B13F0"/>
    <w:rsid w:val="004B143B"/>
    <w:rsid w:val="004B14BE"/>
    <w:rsid w:val="004B155F"/>
    <w:rsid w:val="004B165A"/>
    <w:rsid w:val="004B170D"/>
    <w:rsid w:val="004B18BC"/>
    <w:rsid w:val="004B1BC6"/>
    <w:rsid w:val="004B1BE6"/>
    <w:rsid w:val="004B1F09"/>
    <w:rsid w:val="004B1F24"/>
    <w:rsid w:val="004B1F5E"/>
    <w:rsid w:val="004B1F61"/>
    <w:rsid w:val="004B20AD"/>
    <w:rsid w:val="004B20E7"/>
    <w:rsid w:val="004B217D"/>
    <w:rsid w:val="004B22C4"/>
    <w:rsid w:val="004B2325"/>
    <w:rsid w:val="004B2418"/>
    <w:rsid w:val="004B26E3"/>
    <w:rsid w:val="004B2877"/>
    <w:rsid w:val="004B29A3"/>
    <w:rsid w:val="004B2C2F"/>
    <w:rsid w:val="004B2CB0"/>
    <w:rsid w:val="004B2D81"/>
    <w:rsid w:val="004B2E4F"/>
    <w:rsid w:val="004B322C"/>
    <w:rsid w:val="004B32CE"/>
    <w:rsid w:val="004B358B"/>
    <w:rsid w:val="004B360E"/>
    <w:rsid w:val="004B363A"/>
    <w:rsid w:val="004B374D"/>
    <w:rsid w:val="004B3903"/>
    <w:rsid w:val="004B39F4"/>
    <w:rsid w:val="004B3C0B"/>
    <w:rsid w:val="004B3D39"/>
    <w:rsid w:val="004B3D5D"/>
    <w:rsid w:val="004B3D6B"/>
    <w:rsid w:val="004B3EFF"/>
    <w:rsid w:val="004B3F7D"/>
    <w:rsid w:val="004B3FA5"/>
    <w:rsid w:val="004B3FE8"/>
    <w:rsid w:val="004B40E4"/>
    <w:rsid w:val="004B42A5"/>
    <w:rsid w:val="004B430A"/>
    <w:rsid w:val="004B43A9"/>
    <w:rsid w:val="004B470D"/>
    <w:rsid w:val="004B47F6"/>
    <w:rsid w:val="004B48B3"/>
    <w:rsid w:val="004B490E"/>
    <w:rsid w:val="004B494E"/>
    <w:rsid w:val="004B4956"/>
    <w:rsid w:val="004B4960"/>
    <w:rsid w:val="004B49E2"/>
    <w:rsid w:val="004B4A2F"/>
    <w:rsid w:val="004B4AA6"/>
    <w:rsid w:val="004B4B62"/>
    <w:rsid w:val="004B4C52"/>
    <w:rsid w:val="004B4E14"/>
    <w:rsid w:val="004B4F19"/>
    <w:rsid w:val="004B4F23"/>
    <w:rsid w:val="004B514B"/>
    <w:rsid w:val="004B5253"/>
    <w:rsid w:val="004B537E"/>
    <w:rsid w:val="004B53EB"/>
    <w:rsid w:val="004B558D"/>
    <w:rsid w:val="004B5680"/>
    <w:rsid w:val="004B5692"/>
    <w:rsid w:val="004B56B5"/>
    <w:rsid w:val="004B571E"/>
    <w:rsid w:val="004B5A89"/>
    <w:rsid w:val="004B5B15"/>
    <w:rsid w:val="004B5CE9"/>
    <w:rsid w:val="004B5CF1"/>
    <w:rsid w:val="004B5D5B"/>
    <w:rsid w:val="004B5D71"/>
    <w:rsid w:val="004B5E07"/>
    <w:rsid w:val="004B6267"/>
    <w:rsid w:val="004B632D"/>
    <w:rsid w:val="004B667C"/>
    <w:rsid w:val="004B6708"/>
    <w:rsid w:val="004B6A0D"/>
    <w:rsid w:val="004B6B7D"/>
    <w:rsid w:val="004B6C21"/>
    <w:rsid w:val="004B6C5A"/>
    <w:rsid w:val="004B6C93"/>
    <w:rsid w:val="004B6DC3"/>
    <w:rsid w:val="004B6E90"/>
    <w:rsid w:val="004B72E0"/>
    <w:rsid w:val="004B7331"/>
    <w:rsid w:val="004B74B7"/>
    <w:rsid w:val="004B74DC"/>
    <w:rsid w:val="004B7670"/>
    <w:rsid w:val="004B7784"/>
    <w:rsid w:val="004B79BF"/>
    <w:rsid w:val="004B79EA"/>
    <w:rsid w:val="004B79FC"/>
    <w:rsid w:val="004B79FE"/>
    <w:rsid w:val="004B7B83"/>
    <w:rsid w:val="004B7B8B"/>
    <w:rsid w:val="004B7C73"/>
    <w:rsid w:val="004B7D6D"/>
    <w:rsid w:val="004B7E4A"/>
    <w:rsid w:val="004C003B"/>
    <w:rsid w:val="004C0441"/>
    <w:rsid w:val="004C0488"/>
    <w:rsid w:val="004C04D7"/>
    <w:rsid w:val="004C05C5"/>
    <w:rsid w:val="004C0853"/>
    <w:rsid w:val="004C089C"/>
    <w:rsid w:val="004C08C1"/>
    <w:rsid w:val="004C092D"/>
    <w:rsid w:val="004C0B2B"/>
    <w:rsid w:val="004C0CA4"/>
    <w:rsid w:val="004C0CEC"/>
    <w:rsid w:val="004C0D0C"/>
    <w:rsid w:val="004C0D40"/>
    <w:rsid w:val="004C0D48"/>
    <w:rsid w:val="004C0E02"/>
    <w:rsid w:val="004C0E2D"/>
    <w:rsid w:val="004C0F6C"/>
    <w:rsid w:val="004C117A"/>
    <w:rsid w:val="004C1195"/>
    <w:rsid w:val="004C12F5"/>
    <w:rsid w:val="004C136C"/>
    <w:rsid w:val="004C1447"/>
    <w:rsid w:val="004C151F"/>
    <w:rsid w:val="004C160A"/>
    <w:rsid w:val="004C175B"/>
    <w:rsid w:val="004C1764"/>
    <w:rsid w:val="004C18D1"/>
    <w:rsid w:val="004C19B3"/>
    <w:rsid w:val="004C1B58"/>
    <w:rsid w:val="004C1EFF"/>
    <w:rsid w:val="004C1FB6"/>
    <w:rsid w:val="004C20F7"/>
    <w:rsid w:val="004C2114"/>
    <w:rsid w:val="004C215D"/>
    <w:rsid w:val="004C221A"/>
    <w:rsid w:val="004C23B5"/>
    <w:rsid w:val="004C23D6"/>
    <w:rsid w:val="004C23F7"/>
    <w:rsid w:val="004C2648"/>
    <w:rsid w:val="004C2692"/>
    <w:rsid w:val="004C270C"/>
    <w:rsid w:val="004C276A"/>
    <w:rsid w:val="004C28D1"/>
    <w:rsid w:val="004C297B"/>
    <w:rsid w:val="004C2B0E"/>
    <w:rsid w:val="004C2C4F"/>
    <w:rsid w:val="004C2D79"/>
    <w:rsid w:val="004C2E48"/>
    <w:rsid w:val="004C2EE0"/>
    <w:rsid w:val="004C2F5F"/>
    <w:rsid w:val="004C2FCE"/>
    <w:rsid w:val="004C3084"/>
    <w:rsid w:val="004C333D"/>
    <w:rsid w:val="004C35CA"/>
    <w:rsid w:val="004C363A"/>
    <w:rsid w:val="004C36AF"/>
    <w:rsid w:val="004C37DA"/>
    <w:rsid w:val="004C3977"/>
    <w:rsid w:val="004C3A65"/>
    <w:rsid w:val="004C3A7F"/>
    <w:rsid w:val="004C3B12"/>
    <w:rsid w:val="004C3B23"/>
    <w:rsid w:val="004C3CBE"/>
    <w:rsid w:val="004C3F54"/>
    <w:rsid w:val="004C41FB"/>
    <w:rsid w:val="004C4258"/>
    <w:rsid w:val="004C4411"/>
    <w:rsid w:val="004C4667"/>
    <w:rsid w:val="004C4822"/>
    <w:rsid w:val="004C48F5"/>
    <w:rsid w:val="004C490C"/>
    <w:rsid w:val="004C4AAF"/>
    <w:rsid w:val="004C4DC0"/>
    <w:rsid w:val="004C4E9B"/>
    <w:rsid w:val="004C4F10"/>
    <w:rsid w:val="004C4FD9"/>
    <w:rsid w:val="004C518B"/>
    <w:rsid w:val="004C525F"/>
    <w:rsid w:val="004C540C"/>
    <w:rsid w:val="004C5461"/>
    <w:rsid w:val="004C565D"/>
    <w:rsid w:val="004C56B9"/>
    <w:rsid w:val="004C571D"/>
    <w:rsid w:val="004C5A92"/>
    <w:rsid w:val="004C5D02"/>
    <w:rsid w:val="004C5EC3"/>
    <w:rsid w:val="004C5FD3"/>
    <w:rsid w:val="004C62A8"/>
    <w:rsid w:val="004C64F8"/>
    <w:rsid w:val="004C6518"/>
    <w:rsid w:val="004C65EE"/>
    <w:rsid w:val="004C669F"/>
    <w:rsid w:val="004C66EA"/>
    <w:rsid w:val="004C6867"/>
    <w:rsid w:val="004C69A0"/>
    <w:rsid w:val="004C69E8"/>
    <w:rsid w:val="004C6A7D"/>
    <w:rsid w:val="004C6B82"/>
    <w:rsid w:val="004C6BAC"/>
    <w:rsid w:val="004C6BC2"/>
    <w:rsid w:val="004C6BCC"/>
    <w:rsid w:val="004C6D67"/>
    <w:rsid w:val="004C6DCC"/>
    <w:rsid w:val="004C6E26"/>
    <w:rsid w:val="004C6EEF"/>
    <w:rsid w:val="004C71B1"/>
    <w:rsid w:val="004C71D9"/>
    <w:rsid w:val="004C72F7"/>
    <w:rsid w:val="004C7439"/>
    <w:rsid w:val="004C7465"/>
    <w:rsid w:val="004C7514"/>
    <w:rsid w:val="004C75DD"/>
    <w:rsid w:val="004C75ED"/>
    <w:rsid w:val="004C75F7"/>
    <w:rsid w:val="004C766F"/>
    <w:rsid w:val="004C7827"/>
    <w:rsid w:val="004C78C8"/>
    <w:rsid w:val="004C7911"/>
    <w:rsid w:val="004C7954"/>
    <w:rsid w:val="004C79CA"/>
    <w:rsid w:val="004C7AB6"/>
    <w:rsid w:val="004C7BD7"/>
    <w:rsid w:val="004C7C5F"/>
    <w:rsid w:val="004C7D22"/>
    <w:rsid w:val="004C7D75"/>
    <w:rsid w:val="004C7EE5"/>
    <w:rsid w:val="004C7F7A"/>
    <w:rsid w:val="004D00D5"/>
    <w:rsid w:val="004D0115"/>
    <w:rsid w:val="004D03FB"/>
    <w:rsid w:val="004D0523"/>
    <w:rsid w:val="004D05BA"/>
    <w:rsid w:val="004D060D"/>
    <w:rsid w:val="004D06F3"/>
    <w:rsid w:val="004D08CE"/>
    <w:rsid w:val="004D092E"/>
    <w:rsid w:val="004D0932"/>
    <w:rsid w:val="004D099C"/>
    <w:rsid w:val="004D0B0B"/>
    <w:rsid w:val="004D0C97"/>
    <w:rsid w:val="004D0ED1"/>
    <w:rsid w:val="004D0EFC"/>
    <w:rsid w:val="004D13E2"/>
    <w:rsid w:val="004D1474"/>
    <w:rsid w:val="004D184A"/>
    <w:rsid w:val="004D1C32"/>
    <w:rsid w:val="004D1CAE"/>
    <w:rsid w:val="004D1DE6"/>
    <w:rsid w:val="004D1E93"/>
    <w:rsid w:val="004D1FA1"/>
    <w:rsid w:val="004D2124"/>
    <w:rsid w:val="004D21DD"/>
    <w:rsid w:val="004D2202"/>
    <w:rsid w:val="004D2472"/>
    <w:rsid w:val="004D24EB"/>
    <w:rsid w:val="004D2519"/>
    <w:rsid w:val="004D259E"/>
    <w:rsid w:val="004D267B"/>
    <w:rsid w:val="004D26FC"/>
    <w:rsid w:val="004D270D"/>
    <w:rsid w:val="004D2853"/>
    <w:rsid w:val="004D2FC9"/>
    <w:rsid w:val="004D303E"/>
    <w:rsid w:val="004D30B1"/>
    <w:rsid w:val="004D3103"/>
    <w:rsid w:val="004D312F"/>
    <w:rsid w:val="004D3210"/>
    <w:rsid w:val="004D321B"/>
    <w:rsid w:val="004D3278"/>
    <w:rsid w:val="004D327A"/>
    <w:rsid w:val="004D33AB"/>
    <w:rsid w:val="004D33D3"/>
    <w:rsid w:val="004D3497"/>
    <w:rsid w:val="004D35FE"/>
    <w:rsid w:val="004D37B8"/>
    <w:rsid w:val="004D37D0"/>
    <w:rsid w:val="004D37D3"/>
    <w:rsid w:val="004D3AB9"/>
    <w:rsid w:val="004D3AFD"/>
    <w:rsid w:val="004D3C0C"/>
    <w:rsid w:val="004D3D28"/>
    <w:rsid w:val="004D3D4A"/>
    <w:rsid w:val="004D3D5F"/>
    <w:rsid w:val="004D3DE9"/>
    <w:rsid w:val="004D3FC7"/>
    <w:rsid w:val="004D4097"/>
    <w:rsid w:val="004D4280"/>
    <w:rsid w:val="004D430E"/>
    <w:rsid w:val="004D451D"/>
    <w:rsid w:val="004D4543"/>
    <w:rsid w:val="004D46DF"/>
    <w:rsid w:val="004D48E3"/>
    <w:rsid w:val="004D4900"/>
    <w:rsid w:val="004D494D"/>
    <w:rsid w:val="004D4953"/>
    <w:rsid w:val="004D49C4"/>
    <w:rsid w:val="004D4A2B"/>
    <w:rsid w:val="004D4ACD"/>
    <w:rsid w:val="004D4B80"/>
    <w:rsid w:val="004D4C77"/>
    <w:rsid w:val="004D4F7B"/>
    <w:rsid w:val="004D4FA2"/>
    <w:rsid w:val="004D4FA7"/>
    <w:rsid w:val="004D5075"/>
    <w:rsid w:val="004D5794"/>
    <w:rsid w:val="004D58D3"/>
    <w:rsid w:val="004D5DD7"/>
    <w:rsid w:val="004D5E48"/>
    <w:rsid w:val="004D5F63"/>
    <w:rsid w:val="004D604C"/>
    <w:rsid w:val="004D60FC"/>
    <w:rsid w:val="004D6188"/>
    <w:rsid w:val="004D62B2"/>
    <w:rsid w:val="004D64EE"/>
    <w:rsid w:val="004D65D9"/>
    <w:rsid w:val="004D67B6"/>
    <w:rsid w:val="004D6BFA"/>
    <w:rsid w:val="004D6C45"/>
    <w:rsid w:val="004D6C80"/>
    <w:rsid w:val="004D6D9D"/>
    <w:rsid w:val="004D6DAC"/>
    <w:rsid w:val="004D6DB4"/>
    <w:rsid w:val="004D6E2F"/>
    <w:rsid w:val="004D6F4B"/>
    <w:rsid w:val="004D6FCB"/>
    <w:rsid w:val="004D7047"/>
    <w:rsid w:val="004D71A2"/>
    <w:rsid w:val="004D72FA"/>
    <w:rsid w:val="004D7578"/>
    <w:rsid w:val="004D77BB"/>
    <w:rsid w:val="004D7864"/>
    <w:rsid w:val="004D789E"/>
    <w:rsid w:val="004D78FF"/>
    <w:rsid w:val="004D7939"/>
    <w:rsid w:val="004D7A1F"/>
    <w:rsid w:val="004D7B3D"/>
    <w:rsid w:val="004D7BBC"/>
    <w:rsid w:val="004D7C30"/>
    <w:rsid w:val="004D7CE1"/>
    <w:rsid w:val="004D7E10"/>
    <w:rsid w:val="004D7E34"/>
    <w:rsid w:val="004D7E48"/>
    <w:rsid w:val="004D7F50"/>
    <w:rsid w:val="004E014D"/>
    <w:rsid w:val="004E0268"/>
    <w:rsid w:val="004E027A"/>
    <w:rsid w:val="004E0337"/>
    <w:rsid w:val="004E0456"/>
    <w:rsid w:val="004E047D"/>
    <w:rsid w:val="004E05FF"/>
    <w:rsid w:val="004E0820"/>
    <w:rsid w:val="004E088E"/>
    <w:rsid w:val="004E0A09"/>
    <w:rsid w:val="004E0A8F"/>
    <w:rsid w:val="004E0B54"/>
    <w:rsid w:val="004E0CB3"/>
    <w:rsid w:val="004E0E4F"/>
    <w:rsid w:val="004E0ECE"/>
    <w:rsid w:val="004E0FB8"/>
    <w:rsid w:val="004E102A"/>
    <w:rsid w:val="004E1202"/>
    <w:rsid w:val="004E1217"/>
    <w:rsid w:val="004E12FA"/>
    <w:rsid w:val="004E1422"/>
    <w:rsid w:val="004E1446"/>
    <w:rsid w:val="004E1486"/>
    <w:rsid w:val="004E17DB"/>
    <w:rsid w:val="004E17DD"/>
    <w:rsid w:val="004E19EA"/>
    <w:rsid w:val="004E1BAF"/>
    <w:rsid w:val="004E1D1B"/>
    <w:rsid w:val="004E1E4B"/>
    <w:rsid w:val="004E1E5D"/>
    <w:rsid w:val="004E2147"/>
    <w:rsid w:val="004E23A6"/>
    <w:rsid w:val="004E23B1"/>
    <w:rsid w:val="004E24C0"/>
    <w:rsid w:val="004E261F"/>
    <w:rsid w:val="004E2694"/>
    <w:rsid w:val="004E2871"/>
    <w:rsid w:val="004E2906"/>
    <w:rsid w:val="004E29C0"/>
    <w:rsid w:val="004E2A05"/>
    <w:rsid w:val="004E2A1D"/>
    <w:rsid w:val="004E2B30"/>
    <w:rsid w:val="004E2B35"/>
    <w:rsid w:val="004E2C52"/>
    <w:rsid w:val="004E2FAC"/>
    <w:rsid w:val="004E2FE1"/>
    <w:rsid w:val="004E3020"/>
    <w:rsid w:val="004E30F3"/>
    <w:rsid w:val="004E31A1"/>
    <w:rsid w:val="004E3249"/>
    <w:rsid w:val="004E32C2"/>
    <w:rsid w:val="004E34A1"/>
    <w:rsid w:val="004E34CD"/>
    <w:rsid w:val="004E350D"/>
    <w:rsid w:val="004E3564"/>
    <w:rsid w:val="004E3643"/>
    <w:rsid w:val="004E3765"/>
    <w:rsid w:val="004E377D"/>
    <w:rsid w:val="004E3A7A"/>
    <w:rsid w:val="004E3AB2"/>
    <w:rsid w:val="004E3C75"/>
    <w:rsid w:val="004E3C97"/>
    <w:rsid w:val="004E3FFD"/>
    <w:rsid w:val="004E4028"/>
    <w:rsid w:val="004E4151"/>
    <w:rsid w:val="004E423D"/>
    <w:rsid w:val="004E4282"/>
    <w:rsid w:val="004E442C"/>
    <w:rsid w:val="004E44B0"/>
    <w:rsid w:val="004E4665"/>
    <w:rsid w:val="004E473D"/>
    <w:rsid w:val="004E4772"/>
    <w:rsid w:val="004E4B23"/>
    <w:rsid w:val="004E4C55"/>
    <w:rsid w:val="004E4E5A"/>
    <w:rsid w:val="004E4E82"/>
    <w:rsid w:val="004E522D"/>
    <w:rsid w:val="004E52BC"/>
    <w:rsid w:val="004E536C"/>
    <w:rsid w:val="004E5587"/>
    <w:rsid w:val="004E5910"/>
    <w:rsid w:val="004E5933"/>
    <w:rsid w:val="004E597A"/>
    <w:rsid w:val="004E5A4E"/>
    <w:rsid w:val="004E5ACE"/>
    <w:rsid w:val="004E5BFF"/>
    <w:rsid w:val="004E5E0D"/>
    <w:rsid w:val="004E6159"/>
    <w:rsid w:val="004E61D9"/>
    <w:rsid w:val="004E62AC"/>
    <w:rsid w:val="004E64FE"/>
    <w:rsid w:val="004E652D"/>
    <w:rsid w:val="004E6842"/>
    <w:rsid w:val="004E69D8"/>
    <w:rsid w:val="004E6A5C"/>
    <w:rsid w:val="004E6BCE"/>
    <w:rsid w:val="004E6BF7"/>
    <w:rsid w:val="004E6FCA"/>
    <w:rsid w:val="004E7017"/>
    <w:rsid w:val="004E70B3"/>
    <w:rsid w:val="004E71F8"/>
    <w:rsid w:val="004E72BF"/>
    <w:rsid w:val="004E76D3"/>
    <w:rsid w:val="004E7729"/>
    <w:rsid w:val="004E7796"/>
    <w:rsid w:val="004E7801"/>
    <w:rsid w:val="004E7894"/>
    <w:rsid w:val="004E7925"/>
    <w:rsid w:val="004E7B4A"/>
    <w:rsid w:val="004E7B59"/>
    <w:rsid w:val="004E7D28"/>
    <w:rsid w:val="004E7D59"/>
    <w:rsid w:val="004F0246"/>
    <w:rsid w:val="004F0433"/>
    <w:rsid w:val="004F0513"/>
    <w:rsid w:val="004F057A"/>
    <w:rsid w:val="004F0A01"/>
    <w:rsid w:val="004F0A87"/>
    <w:rsid w:val="004F0B24"/>
    <w:rsid w:val="004F0D16"/>
    <w:rsid w:val="004F0D35"/>
    <w:rsid w:val="004F0D98"/>
    <w:rsid w:val="004F0E5E"/>
    <w:rsid w:val="004F0ED6"/>
    <w:rsid w:val="004F0F6A"/>
    <w:rsid w:val="004F0F78"/>
    <w:rsid w:val="004F0FEE"/>
    <w:rsid w:val="004F1067"/>
    <w:rsid w:val="004F1078"/>
    <w:rsid w:val="004F1142"/>
    <w:rsid w:val="004F1449"/>
    <w:rsid w:val="004F1474"/>
    <w:rsid w:val="004F15EC"/>
    <w:rsid w:val="004F17F6"/>
    <w:rsid w:val="004F1861"/>
    <w:rsid w:val="004F1A90"/>
    <w:rsid w:val="004F1C32"/>
    <w:rsid w:val="004F1D8A"/>
    <w:rsid w:val="004F1E21"/>
    <w:rsid w:val="004F1EA8"/>
    <w:rsid w:val="004F1ED4"/>
    <w:rsid w:val="004F1FA6"/>
    <w:rsid w:val="004F21F6"/>
    <w:rsid w:val="004F2331"/>
    <w:rsid w:val="004F2909"/>
    <w:rsid w:val="004F29AB"/>
    <w:rsid w:val="004F2CD2"/>
    <w:rsid w:val="004F2CE6"/>
    <w:rsid w:val="004F2D29"/>
    <w:rsid w:val="004F2D40"/>
    <w:rsid w:val="004F2D5E"/>
    <w:rsid w:val="004F304D"/>
    <w:rsid w:val="004F3061"/>
    <w:rsid w:val="004F3096"/>
    <w:rsid w:val="004F318F"/>
    <w:rsid w:val="004F348E"/>
    <w:rsid w:val="004F3666"/>
    <w:rsid w:val="004F36A2"/>
    <w:rsid w:val="004F36C3"/>
    <w:rsid w:val="004F372D"/>
    <w:rsid w:val="004F37BA"/>
    <w:rsid w:val="004F3A68"/>
    <w:rsid w:val="004F3C83"/>
    <w:rsid w:val="004F3D41"/>
    <w:rsid w:val="004F3F80"/>
    <w:rsid w:val="004F4215"/>
    <w:rsid w:val="004F4422"/>
    <w:rsid w:val="004F44FE"/>
    <w:rsid w:val="004F45EB"/>
    <w:rsid w:val="004F4718"/>
    <w:rsid w:val="004F474E"/>
    <w:rsid w:val="004F4815"/>
    <w:rsid w:val="004F4B4B"/>
    <w:rsid w:val="004F4B7E"/>
    <w:rsid w:val="004F4B9A"/>
    <w:rsid w:val="004F4C7A"/>
    <w:rsid w:val="004F4D38"/>
    <w:rsid w:val="004F4E5A"/>
    <w:rsid w:val="004F4E7A"/>
    <w:rsid w:val="004F4E88"/>
    <w:rsid w:val="004F5000"/>
    <w:rsid w:val="004F50CC"/>
    <w:rsid w:val="004F5107"/>
    <w:rsid w:val="004F51FE"/>
    <w:rsid w:val="004F5266"/>
    <w:rsid w:val="004F539F"/>
    <w:rsid w:val="004F53A4"/>
    <w:rsid w:val="004F53D5"/>
    <w:rsid w:val="004F540D"/>
    <w:rsid w:val="004F550B"/>
    <w:rsid w:val="004F56A6"/>
    <w:rsid w:val="004F5971"/>
    <w:rsid w:val="004F5A1B"/>
    <w:rsid w:val="004F5A81"/>
    <w:rsid w:val="004F5BC8"/>
    <w:rsid w:val="004F5D03"/>
    <w:rsid w:val="004F5D8D"/>
    <w:rsid w:val="004F5E50"/>
    <w:rsid w:val="004F5F9E"/>
    <w:rsid w:val="004F6071"/>
    <w:rsid w:val="004F61A3"/>
    <w:rsid w:val="004F62B6"/>
    <w:rsid w:val="004F630C"/>
    <w:rsid w:val="004F647B"/>
    <w:rsid w:val="004F65A9"/>
    <w:rsid w:val="004F680F"/>
    <w:rsid w:val="004F688D"/>
    <w:rsid w:val="004F6A0C"/>
    <w:rsid w:val="004F6AFB"/>
    <w:rsid w:val="004F6BAA"/>
    <w:rsid w:val="004F6BC5"/>
    <w:rsid w:val="004F6C54"/>
    <w:rsid w:val="004F6C80"/>
    <w:rsid w:val="004F6CC3"/>
    <w:rsid w:val="004F6CD5"/>
    <w:rsid w:val="004F73E8"/>
    <w:rsid w:val="004F7453"/>
    <w:rsid w:val="004F748C"/>
    <w:rsid w:val="004F74EE"/>
    <w:rsid w:val="004F7653"/>
    <w:rsid w:val="004F78B3"/>
    <w:rsid w:val="004F7B0D"/>
    <w:rsid w:val="004F7BE2"/>
    <w:rsid w:val="004F7DBF"/>
    <w:rsid w:val="004F7E2C"/>
    <w:rsid w:val="004F7EA6"/>
    <w:rsid w:val="004F7EC8"/>
    <w:rsid w:val="004F7F43"/>
    <w:rsid w:val="00500118"/>
    <w:rsid w:val="005001F0"/>
    <w:rsid w:val="00500253"/>
    <w:rsid w:val="005002A7"/>
    <w:rsid w:val="005004BD"/>
    <w:rsid w:val="0050087A"/>
    <w:rsid w:val="00500880"/>
    <w:rsid w:val="005008B4"/>
    <w:rsid w:val="005009A0"/>
    <w:rsid w:val="00500BB5"/>
    <w:rsid w:val="00500BC6"/>
    <w:rsid w:val="00500BFF"/>
    <w:rsid w:val="00500ECB"/>
    <w:rsid w:val="00500EFB"/>
    <w:rsid w:val="005010DD"/>
    <w:rsid w:val="005010E6"/>
    <w:rsid w:val="005010ED"/>
    <w:rsid w:val="00501288"/>
    <w:rsid w:val="005012E8"/>
    <w:rsid w:val="00501315"/>
    <w:rsid w:val="00501367"/>
    <w:rsid w:val="0050148F"/>
    <w:rsid w:val="0050158F"/>
    <w:rsid w:val="0050161E"/>
    <w:rsid w:val="0050178D"/>
    <w:rsid w:val="005017C6"/>
    <w:rsid w:val="005017C8"/>
    <w:rsid w:val="005017EC"/>
    <w:rsid w:val="00501853"/>
    <w:rsid w:val="00501A81"/>
    <w:rsid w:val="00501C22"/>
    <w:rsid w:val="005020E5"/>
    <w:rsid w:val="0050216F"/>
    <w:rsid w:val="00502172"/>
    <w:rsid w:val="00502181"/>
    <w:rsid w:val="0050222D"/>
    <w:rsid w:val="00502481"/>
    <w:rsid w:val="005025F8"/>
    <w:rsid w:val="00502638"/>
    <w:rsid w:val="005028A9"/>
    <w:rsid w:val="00502A50"/>
    <w:rsid w:val="00502A5D"/>
    <w:rsid w:val="00502C75"/>
    <w:rsid w:val="00502CB0"/>
    <w:rsid w:val="00502CB1"/>
    <w:rsid w:val="0050304A"/>
    <w:rsid w:val="00503501"/>
    <w:rsid w:val="00503546"/>
    <w:rsid w:val="0050355D"/>
    <w:rsid w:val="00503617"/>
    <w:rsid w:val="00503659"/>
    <w:rsid w:val="005036E4"/>
    <w:rsid w:val="0050372E"/>
    <w:rsid w:val="00503950"/>
    <w:rsid w:val="00503A1F"/>
    <w:rsid w:val="00503AD2"/>
    <w:rsid w:val="00503BA2"/>
    <w:rsid w:val="00503E4A"/>
    <w:rsid w:val="005040C1"/>
    <w:rsid w:val="005040F6"/>
    <w:rsid w:val="005041FE"/>
    <w:rsid w:val="0050425E"/>
    <w:rsid w:val="0050446E"/>
    <w:rsid w:val="0050470D"/>
    <w:rsid w:val="00504744"/>
    <w:rsid w:val="00504841"/>
    <w:rsid w:val="00504879"/>
    <w:rsid w:val="005048B5"/>
    <w:rsid w:val="00504B84"/>
    <w:rsid w:val="00504CC3"/>
    <w:rsid w:val="00504CD9"/>
    <w:rsid w:val="00504D80"/>
    <w:rsid w:val="00504E5C"/>
    <w:rsid w:val="005056C1"/>
    <w:rsid w:val="0050576D"/>
    <w:rsid w:val="005058D1"/>
    <w:rsid w:val="005059A3"/>
    <w:rsid w:val="00505A14"/>
    <w:rsid w:val="00505A40"/>
    <w:rsid w:val="00505A99"/>
    <w:rsid w:val="00505B6E"/>
    <w:rsid w:val="00505C58"/>
    <w:rsid w:val="00505C68"/>
    <w:rsid w:val="00505C9F"/>
    <w:rsid w:val="00505CE9"/>
    <w:rsid w:val="00505DA4"/>
    <w:rsid w:val="00505DE0"/>
    <w:rsid w:val="00505EA2"/>
    <w:rsid w:val="00505FAD"/>
    <w:rsid w:val="005060FC"/>
    <w:rsid w:val="00506169"/>
    <w:rsid w:val="005061CC"/>
    <w:rsid w:val="005061EE"/>
    <w:rsid w:val="00506227"/>
    <w:rsid w:val="005063FB"/>
    <w:rsid w:val="00506494"/>
    <w:rsid w:val="005065EE"/>
    <w:rsid w:val="00506604"/>
    <w:rsid w:val="005066B6"/>
    <w:rsid w:val="0050679D"/>
    <w:rsid w:val="005067DB"/>
    <w:rsid w:val="00506921"/>
    <w:rsid w:val="00506976"/>
    <w:rsid w:val="00506B3E"/>
    <w:rsid w:val="00506CAE"/>
    <w:rsid w:val="00506D4B"/>
    <w:rsid w:val="00506FB0"/>
    <w:rsid w:val="00507040"/>
    <w:rsid w:val="00507208"/>
    <w:rsid w:val="005072A5"/>
    <w:rsid w:val="005073D7"/>
    <w:rsid w:val="00507534"/>
    <w:rsid w:val="00507558"/>
    <w:rsid w:val="00507570"/>
    <w:rsid w:val="00507590"/>
    <w:rsid w:val="00507664"/>
    <w:rsid w:val="0050770A"/>
    <w:rsid w:val="005077B5"/>
    <w:rsid w:val="00507972"/>
    <w:rsid w:val="00507B0D"/>
    <w:rsid w:val="00507EE7"/>
    <w:rsid w:val="005103D2"/>
    <w:rsid w:val="005103DF"/>
    <w:rsid w:val="005104BA"/>
    <w:rsid w:val="005105F0"/>
    <w:rsid w:val="005106D5"/>
    <w:rsid w:val="0051083D"/>
    <w:rsid w:val="00510919"/>
    <w:rsid w:val="00510995"/>
    <w:rsid w:val="00510B55"/>
    <w:rsid w:val="00510BCD"/>
    <w:rsid w:val="00510C7C"/>
    <w:rsid w:val="00510CAE"/>
    <w:rsid w:val="00511050"/>
    <w:rsid w:val="005110C9"/>
    <w:rsid w:val="00511396"/>
    <w:rsid w:val="005113DC"/>
    <w:rsid w:val="005114D6"/>
    <w:rsid w:val="0051150E"/>
    <w:rsid w:val="00511587"/>
    <w:rsid w:val="005117F5"/>
    <w:rsid w:val="00511839"/>
    <w:rsid w:val="00511929"/>
    <w:rsid w:val="005119A0"/>
    <w:rsid w:val="00511C8F"/>
    <w:rsid w:val="00511FE9"/>
    <w:rsid w:val="005121BA"/>
    <w:rsid w:val="00512322"/>
    <w:rsid w:val="00512483"/>
    <w:rsid w:val="00512595"/>
    <w:rsid w:val="00512737"/>
    <w:rsid w:val="00512819"/>
    <w:rsid w:val="00512902"/>
    <w:rsid w:val="0051293B"/>
    <w:rsid w:val="00512A74"/>
    <w:rsid w:val="00512B48"/>
    <w:rsid w:val="00512E34"/>
    <w:rsid w:val="00512E87"/>
    <w:rsid w:val="00512F2F"/>
    <w:rsid w:val="00513557"/>
    <w:rsid w:val="0051368F"/>
    <w:rsid w:val="005136F5"/>
    <w:rsid w:val="00513799"/>
    <w:rsid w:val="005137AA"/>
    <w:rsid w:val="00513828"/>
    <w:rsid w:val="0051384F"/>
    <w:rsid w:val="00513968"/>
    <w:rsid w:val="00513996"/>
    <w:rsid w:val="005139FD"/>
    <w:rsid w:val="00513A1D"/>
    <w:rsid w:val="00513AEF"/>
    <w:rsid w:val="00513C8F"/>
    <w:rsid w:val="00513CBB"/>
    <w:rsid w:val="00513CBD"/>
    <w:rsid w:val="00513EC8"/>
    <w:rsid w:val="00513FFC"/>
    <w:rsid w:val="0051402D"/>
    <w:rsid w:val="005140E8"/>
    <w:rsid w:val="00514310"/>
    <w:rsid w:val="00514667"/>
    <w:rsid w:val="00514707"/>
    <w:rsid w:val="0051471D"/>
    <w:rsid w:val="0051482E"/>
    <w:rsid w:val="005148BE"/>
    <w:rsid w:val="005148DC"/>
    <w:rsid w:val="005149E9"/>
    <w:rsid w:val="00514AED"/>
    <w:rsid w:val="00514C19"/>
    <w:rsid w:val="00514C33"/>
    <w:rsid w:val="00514CDE"/>
    <w:rsid w:val="00514DCA"/>
    <w:rsid w:val="00514F7A"/>
    <w:rsid w:val="00515082"/>
    <w:rsid w:val="0051516E"/>
    <w:rsid w:val="005151BD"/>
    <w:rsid w:val="005151EA"/>
    <w:rsid w:val="00515280"/>
    <w:rsid w:val="00515479"/>
    <w:rsid w:val="00515546"/>
    <w:rsid w:val="005156EC"/>
    <w:rsid w:val="00515790"/>
    <w:rsid w:val="00515962"/>
    <w:rsid w:val="00515A38"/>
    <w:rsid w:val="00515D0A"/>
    <w:rsid w:val="00515DAB"/>
    <w:rsid w:val="00515F5B"/>
    <w:rsid w:val="00516432"/>
    <w:rsid w:val="00516433"/>
    <w:rsid w:val="005164AB"/>
    <w:rsid w:val="00516554"/>
    <w:rsid w:val="005165FA"/>
    <w:rsid w:val="00516766"/>
    <w:rsid w:val="00516C21"/>
    <w:rsid w:val="00516C38"/>
    <w:rsid w:val="00516CD0"/>
    <w:rsid w:val="00516E31"/>
    <w:rsid w:val="00516E3C"/>
    <w:rsid w:val="00516ED6"/>
    <w:rsid w:val="00517002"/>
    <w:rsid w:val="00517168"/>
    <w:rsid w:val="0051727D"/>
    <w:rsid w:val="00517523"/>
    <w:rsid w:val="005178F8"/>
    <w:rsid w:val="00517A8E"/>
    <w:rsid w:val="00517B49"/>
    <w:rsid w:val="00517BB3"/>
    <w:rsid w:val="00517BC5"/>
    <w:rsid w:val="00517BF7"/>
    <w:rsid w:val="00517D0E"/>
    <w:rsid w:val="00517E56"/>
    <w:rsid w:val="00517ED6"/>
    <w:rsid w:val="00520287"/>
    <w:rsid w:val="005206FB"/>
    <w:rsid w:val="00520762"/>
    <w:rsid w:val="0052079D"/>
    <w:rsid w:val="005207FC"/>
    <w:rsid w:val="005208F1"/>
    <w:rsid w:val="0052097B"/>
    <w:rsid w:val="00520A14"/>
    <w:rsid w:val="00520DF3"/>
    <w:rsid w:val="00520E3A"/>
    <w:rsid w:val="0052119C"/>
    <w:rsid w:val="005211CD"/>
    <w:rsid w:val="00521278"/>
    <w:rsid w:val="005213FA"/>
    <w:rsid w:val="0052152B"/>
    <w:rsid w:val="00521540"/>
    <w:rsid w:val="00521735"/>
    <w:rsid w:val="00521856"/>
    <w:rsid w:val="005218D1"/>
    <w:rsid w:val="00521B48"/>
    <w:rsid w:val="00521CE3"/>
    <w:rsid w:val="00521E2A"/>
    <w:rsid w:val="00521FA4"/>
    <w:rsid w:val="005220BC"/>
    <w:rsid w:val="005222C8"/>
    <w:rsid w:val="0052249D"/>
    <w:rsid w:val="0052271A"/>
    <w:rsid w:val="00522B4C"/>
    <w:rsid w:val="00522BF8"/>
    <w:rsid w:val="00522C7B"/>
    <w:rsid w:val="00523054"/>
    <w:rsid w:val="0052305D"/>
    <w:rsid w:val="0052314D"/>
    <w:rsid w:val="00523258"/>
    <w:rsid w:val="00523355"/>
    <w:rsid w:val="00523368"/>
    <w:rsid w:val="00523802"/>
    <w:rsid w:val="00523825"/>
    <w:rsid w:val="005238B7"/>
    <w:rsid w:val="0052391C"/>
    <w:rsid w:val="00523958"/>
    <w:rsid w:val="005239A4"/>
    <w:rsid w:val="00523A11"/>
    <w:rsid w:val="00523A4C"/>
    <w:rsid w:val="00523AD0"/>
    <w:rsid w:val="00523AD1"/>
    <w:rsid w:val="00523F31"/>
    <w:rsid w:val="00524159"/>
    <w:rsid w:val="0052416C"/>
    <w:rsid w:val="00524362"/>
    <w:rsid w:val="005243B3"/>
    <w:rsid w:val="005243B9"/>
    <w:rsid w:val="005243EE"/>
    <w:rsid w:val="00524475"/>
    <w:rsid w:val="00524477"/>
    <w:rsid w:val="0052454F"/>
    <w:rsid w:val="0052467D"/>
    <w:rsid w:val="0052476B"/>
    <w:rsid w:val="00524913"/>
    <w:rsid w:val="00524CAF"/>
    <w:rsid w:val="00524CE6"/>
    <w:rsid w:val="00524E3A"/>
    <w:rsid w:val="00524F58"/>
    <w:rsid w:val="00525074"/>
    <w:rsid w:val="005252FF"/>
    <w:rsid w:val="00525392"/>
    <w:rsid w:val="0052541F"/>
    <w:rsid w:val="00525679"/>
    <w:rsid w:val="00525836"/>
    <w:rsid w:val="0052588C"/>
    <w:rsid w:val="00525AD0"/>
    <w:rsid w:val="00525B39"/>
    <w:rsid w:val="00525B72"/>
    <w:rsid w:val="00525D52"/>
    <w:rsid w:val="00525DD5"/>
    <w:rsid w:val="00525F95"/>
    <w:rsid w:val="00526170"/>
    <w:rsid w:val="005262D8"/>
    <w:rsid w:val="005265EC"/>
    <w:rsid w:val="0052664D"/>
    <w:rsid w:val="0052669C"/>
    <w:rsid w:val="00526761"/>
    <w:rsid w:val="0052681D"/>
    <w:rsid w:val="00526856"/>
    <w:rsid w:val="00526897"/>
    <w:rsid w:val="005269A2"/>
    <w:rsid w:val="005269DB"/>
    <w:rsid w:val="00526A0E"/>
    <w:rsid w:val="00526B54"/>
    <w:rsid w:val="00526C10"/>
    <w:rsid w:val="00526CE8"/>
    <w:rsid w:val="00526D7B"/>
    <w:rsid w:val="00526E5B"/>
    <w:rsid w:val="00526F5F"/>
    <w:rsid w:val="005270B8"/>
    <w:rsid w:val="0052728A"/>
    <w:rsid w:val="00527291"/>
    <w:rsid w:val="00527308"/>
    <w:rsid w:val="0052732A"/>
    <w:rsid w:val="0052742A"/>
    <w:rsid w:val="0052744F"/>
    <w:rsid w:val="005274D6"/>
    <w:rsid w:val="0052753A"/>
    <w:rsid w:val="005275A9"/>
    <w:rsid w:val="0052764F"/>
    <w:rsid w:val="00527A24"/>
    <w:rsid w:val="00527A27"/>
    <w:rsid w:val="00527AD5"/>
    <w:rsid w:val="00527C59"/>
    <w:rsid w:val="00527C76"/>
    <w:rsid w:val="00527C8D"/>
    <w:rsid w:val="00527CA0"/>
    <w:rsid w:val="00530395"/>
    <w:rsid w:val="005303B4"/>
    <w:rsid w:val="0053040B"/>
    <w:rsid w:val="0053045B"/>
    <w:rsid w:val="00530477"/>
    <w:rsid w:val="005304E5"/>
    <w:rsid w:val="005304F8"/>
    <w:rsid w:val="0053064C"/>
    <w:rsid w:val="00530666"/>
    <w:rsid w:val="005307C1"/>
    <w:rsid w:val="0053082A"/>
    <w:rsid w:val="0053085E"/>
    <w:rsid w:val="00530A71"/>
    <w:rsid w:val="00530B17"/>
    <w:rsid w:val="00530BE9"/>
    <w:rsid w:val="00530D66"/>
    <w:rsid w:val="00531165"/>
    <w:rsid w:val="00531359"/>
    <w:rsid w:val="00531364"/>
    <w:rsid w:val="0053142F"/>
    <w:rsid w:val="005316D1"/>
    <w:rsid w:val="005317FA"/>
    <w:rsid w:val="00531859"/>
    <w:rsid w:val="00531994"/>
    <w:rsid w:val="00531A9B"/>
    <w:rsid w:val="00531ADC"/>
    <w:rsid w:val="00531B57"/>
    <w:rsid w:val="00531BA7"/>
    <w:rsid w:val="00531C21"/>
    <w:rsid w:val="00531C4C"/>
    <w:rsid w:val="00531C98"/>
    <w:rsid w:val="00531D67"/>
    <w:rsid w:val="00531E1B"/>
    <w:rsid w:val="00532027"/>
    <w:rsid w:val="00532171"/>
    <w:rsid w:val="005322BC"/>
    <w:rsid w:val="005322FA"/>
    <w:rsid w:val="005326CF"/>
    <w:rsid w:val="00532B65"/>
    <w:rsid w:val="00532C51"/>
    <w:rsid w:val="00532D07"/>
    <w:rsid w:val="00532DD6"/>
    <w:rsid w:val="00532E86"/>
    <w:rsid w:val="00533093"/>
    <w:rsid w:val="005330CA"/>
    <w:rsid w:val="00533316"/>
    <w:rsid w:val="00533436"/>
    <w:rsid w:val="00533497"/>
    <w:rsid w:val="005334AF"/>
    <w:rsid w:val="00533592"/>
    <w:rsid w:val="0053382F"/>
    <w:rsid w:val="00533868"/>
    <w:rsid w:val="00533ADC"/>
    <w:rsid w:val="00533CFA"/>
    <w:rsid w:val="00533E3C"/>
    <w:rsid w:val="005340DF"/>
    <w:rsid w:val="00534107"/>
    <w:rsid w:val="0053419C"/>
    <w:rsid w:val="0053464E"/>
    <w:rsid w:val="00534799"/>
    <w:rsid w:val="005347E7"/>
    <w:rsid w:val="0053491B"/>
    <w:rsid w:val="00534934"/>
    <w:rsid w:val="005349E2"/>
    <w:rsid w:val="00534A27"/>
    <w:rsid w:val="00534D52"/>
    <w:rsid w:val="00534EB7"/>
    <w:rsid w:val="0053507D"/>
    <w:rsid w:val="0053522C"/>
    <w:rsid w:val="005352D1"/>
    <w:rsid w:val="005353AE"/>
    <w:rsid w:val="00535548"/>
    <w:rsid w:val="00535575"/>
    <w:rsid w:val="0053567F"/>
    <w:rsid w:val="00535A8E"/>
    <w:rsid w:val="00535AE5"/>
    <w:rsid w:val="00535B9E"/>
    <w:rsid w:val="00535C03"/>
    <w:rsid w:val="00535D32"/>
    <w:rsid w:val="00535DFF"/>
    <w:rsid w:val="00535E12"/>
    <w:rsid w:val="00535E29"/>
    <w:rsid w:val="00536017"/>
    <w:rsid w:val="005360BC"/>
    <w:rsid w:val="005360E7"/>
    <w:rsid w:val="005360F9"/>
    <w:rsid w:val="0053614F"/>
    <w:rsid w:val="005362BF"/>
    <w:rsid w:val="00536331"/>
    <w:rsid w:val="005363F1"/>
    <w:rsid w:val="005363FC"/>
    <w:rsid w:val="0053645B"/>
    <w:rsid w:val="00536506"/>
    <w:rsid w:val="00536556"/>
    <w:rsid w:val="0053668C"/>
    <w:rsid w:val="0053669F"/>
    <w:rsid w:val="0053676C"/>
    <w:rsid w:val="00536A77"/>
    <w:rsid w:val="00536AB0"/>
    <w:rsid w:val="00536C16"/>
    <w:rsid w:val="00536CF9"/>
    <w:rsid w:val="00536D0B"/>
    <w:rsid w:val="00536DD3"/>
    <w:rsid w:val="00536ECC"/>
    <w:rsid w:val="00536EF1"/>
    <w:rsid w:val="00536F5E"/>
    <w:rsid w:val="00536F6B"/>
    <w:rsid w:val="005370A6"/>
    <w:rsid w:val="005371CC"/>
    <w:rsid w:val="005373C5"/>
    <w:rsid w:val="00537877"/>
    <w:rsid w:val="00537954"/>
    <w:rsid w:val="005379BE"/>
    <w:rsid w:val="005379C9"/>
    <w:rsid w:val="005379E5"/>
    <w:rsid w:val="00537D20"/>
    <w:rsid w:val="00537D63"/>
    <w:rsid w:val="00537D66"/>
    <w:rsid w:val="00537D88"/>
    <w:rsid w:val="00537FEA"/>
    <w:rsid w:val="00540079"/>
    <w:rsid w:val="005400C8"/>
    <w:rsid w:val="00540169"/>
    <w:rsid w:val="005401F5"/>
    <w:rsid w:val="00540282"/>
    <w:rsid w:val="005402B0"/>
    <w:rsid w:val="005404BE"/>
    <w:rsid w:val="0054087A"/>
    <w:rsid w:val="00540918"/>
    <w:rsid w:val="00540992"/>
    <w:rsid w:val="00540B77"/>
    <w:rsid w:val="00540B9D"/>
    <w:rsid w:val="00540C57"/>
    <w:rsid w:val="00540CC5"/>
    <w:rsid w:val="00541166"/>
    <w:rsid w:val="00541569"/>
    <w:rsid w:val="005415AA"/>
    <w:rsid w:val="00541698"/>
    <w:rsid w:val="0054176D"/>
    <w:rsid w:val="00541773"/>
    <w:rsid w:val="0054186A"/>
    <w:rsid w:val="00541892"/>
    <w:rsid w:val="0054192F"/>
    <w:rsid w:val="00541A42"/>
    <w:rsid w:val="00541AA8"/>
    <w:rsid w:val="00541B08"/>
    <w:rsid w:val="00541B36"/>
    <w:rsid w:val="00541B52"/>
    <w:rsid w:val="00541C16"/>
    <w:rsid w:val="00541C35"/>
    <w:rsid w:val="00541C8D"/>
    <w:rsid w:val="00541DFC"/>
    <w:rsid w:val="00541F39"/>
    <w:rsid w:val="00542062"/>
    <w:rsid w:val="005420E2"/>
    <w:rsid w:val="005421C7"/>
    <w:rsid w:val="0054222F"/>
    <w:rsid w:val="005422E7"/>
    <w:rsid w:val="00542332"/>
    <w:rsid w:val="005423DA"/>
    <w:rsid w:val="0054240C"/>
    <w:rsid w:val="00542494"/>
    <w:rsid w:val="00542507"/>
    <w:rsid w:val="0054261A"/>
    <w:rsid w:val="0054269E"/>
    <w:rsid w:val="005426B1"/>
    <w:rsid w:val="005426B8"/>
    <w:rsid w:val="005427C1"/>
    <w:rsid w:val="005428AC"/>
    <w:rsid w:val="005428B9"/>
    <w:rsid w:val="005429AF"/>
    <w:rsid w:val="00542A12"/>
    <w:rsid w:val="00542AD4"/>
    <w:rsid w:val="00542AE9"/>
    <w:rsid w:val="00542B8B"/>
    <w:rsid w:val="00542B99"/>
    <w:rsid w:val="00542E40"/>
    <w:rsid w:val="005430CA"/>
    <w:rsid w:val="005431AF"/>
    <w:rsid w:val="005431F6"/>
    <w:rsid w:val="0054325D"/>
    <w:rsid w:val="00543279"/>
    <w:rsid w:val="00543285"/>
    <w:rsid w:val="0054331B"/>
    <w:rsid w:val="0054360B"/>
    <w:rsid w:val="00543637"/>
    <w:rsid w:val="00543808"/>
    <w:rsid w:val="00543843"/>
    <w:rsid w:val="00543865"/>
    <w:rsid w:val="00543969"/>
    <w:rsid w:val="0054396E"/>
    <w:rsid w:val="00543A0C"/>
    <w:rsid w:val="00543A2A"/>
    <w:rsid w:val="00543A40"/>
    <w:rsid w:val="00543A8D"/>
    <w:rsid w:val="00543DC3"/>
    <w:rsid w:val="00543E44"/>
    <w:rsid w:val="00543FDE"/>
    <w:rsid w:val="00544086"/>
    <w:rsid w:val="0054470F"/>
    <w:rsid w:val="005447C4"/>
    <w:rsid w:val="00544910"/>
    <w:rsid w:val="005449D3"/>
    <w:rsid w:val="00544AB8"/>
    <w:rsid w:val="00544BD7"/>
    <w:rsid w:val="00544D3C"/>
    <w:rsid w:val="00544D7A"/>
    <w:rsid w:val="00544FF1"/>
    <w:rsid w:val="0054502A"/>
    <w:rsid w:val="0054527C"/>
    <w:rsid w:val="00545416"/>
    <w:rsid w:val="00545599"/>
    <w:rsid w:val="005455A3"/>
    <w:rsid w:val="00545772"/>
    <w:rsid w:val="00545783"/>
    <w:rsid w:val="005458DE"/>
    <w:rsid w:val="00545A36"/>
    <w:rsid w:val="00545B0A"/>
    <w:rsid w:val="00545C85"/>
    <w:rsid w:val="00545F8A"/>
    <w:rsid w:val="0054605C"/>
    <w:rsid w:val="00546067"/>
    <w:rsid w:val="0054607A"/>
    <w:rsid w:val="00546085"/>
    <w:rsid w:val="00546106"/>
    <w:rsid w:val="0054641B"/>
    <w:rsid w:val="0054654F"/>
    <w:rsid w:val="005465F0"/>
    <w:rsid w:val="00546773"/>
    <w:rsid w:val="005469F8"/>
    <w:rsid w:val="00546A46"/>
    <w:rsid w:val="00546B85"/>
    <w:rsid w:val="00546BAA"/>
    <w:rsid w:val="00546C74"/>
    <w:rsid w:val="00546D64"/>
    <w:rsid w:val="00546DBE"/>
    <w:rsid w:val="00546EEF"/>
    <w:rsid w:val="00546F8A"/>
    <w:rsid w:val="00547094"/>
    <w:rsid w:val="00547142"/>
    <w:rsid w:val="0054734F"/>
    <w:rsid w:val="005473E9"/>
    <w:rsid w:val="00547486"/>
    <w:rsid w:val="00547491"/>
    <w:rsid w:val="00547535"/>
    <w:rsid w:val="0054762B"/>
    <w:rsid w:val="00547665"/>
    <w:rsid w:val="00547669"/>
    <w:rsid w:val="0054769E"/>
    <w:rsid w:val="00547767"/>
    <w:rsid w:val="005477CF"/>
    <w:rsid w:val="0054785A"/>
    <w:rsid w:val="00547999"/>
    <w:rsid w:val="00547AE6"/>
    <w:rsid w:val="00547AF7"/>
    <w:rsid w:val="00547BFD"/>
    <w:rsid w:val="00547C71"/>
    <w:rsid w:val="00547D12"/>
    <w:rsid w:val="00547E06"/>
    <w:rsid w:val="00547E80"/>
    <w:rsid w:val="0055004D"/>
    <w:rsid w:val="005500BD"/>
    <w:rsid w:val="00550175"/>
    <w:rsid w:val="0055026C"/>
    <w:rsid w:val="00550426"/>
    <w:rsid w:val="00550511"/>
    <w:rsid w:val="00550805"/>
    <w:rsid w:val="005509AA"/>
    <w:rsid w:val="005509B0"/>
    <w:rsid w:val="00550A4A"/>
    <w:rsid w:val="00550D91"/>
    <w:rsid w:val="00550D9E"/>
    <w:rsid w:val="00550DE1"/>
    <w:rsid w:val="005511AE"/>
    <w:rsid w:val="00551400"/>
    <w:rsid w:val="0055177E"/>
    <w:rsid w:val="0055184C"/>
    <w:rsid w:val="005518B0"/>
    <w:rsid w:val="00551946"/>
    <w:rsid w:val="00551DDE"/>
    <w:rsid w:val="00551E2B"/>
    <w:rsid w:val="00551E2D"/>
    <w:rsid w:val="005520DA"/>
    <w:rsid w:val="005522DC"/>
    <w:rsid w:val="005523C5"/>
    <w:rsid w:val="00552401"/>
    <w:rsid w:val="00552625"/>
    <w:rsid w:val="005526A5"/>
    <w:rsid w:val="005526A7"/>
    <w:rsid w:val="005528E0"/>
    <w:rsid w:val="00552936"/>
    <w:rsid w:val="00552A02"/>
    <w:rsid w:val="00552A3D"/>
    <w:rsid w:val="00552AA5"/>
    <w:rsid w:val="00552AA7"/>
    <w:rsid w:val="00552D71"/>
    <w:rsid w:val="00552E60"/>
    <w:rsid w:val="00552F5C"/>
    <w:rsid w:val="00552F78"/>
    <w:rsid w:val="00553030"/>
    <w:rsid w:val="00553040"/>
    <w:rsid w:val="005530B7"/>
    <w:rsid w:val="00553276"/>
    <w:rsid w:val="005533A0"/>
    <w:rsid w:val="005534A7"/>
    <w:rsid w:val="005536A0"/>
    <w:rsid w:val="00553798"/>
    <w:rsid w:val="005537CD"/>
    <w:rsid w:val="00553995"/>
    <w:rsid w:val="0055399B"/>
    <w:rsid w:val="005539EF"/>
    <w:rsid w:val="00553ACA"/>
    <w:rsid w:val="00553C81"/>
    <w:rsid w:val="00553CD6"/>
    <w:rsid w:val="00553E4F"/>
    <w:rsid w:val="00553FD5"/>
    <w:rsid w:val="0055406F"/>
    <w:rsid w:val="005540AD"/>
    <w:rsid w:val="00554232"/>
    <w:rsid w:val="00554265"/>
    <w:rsid w:val="00554438"/>
    <w:rsid w:val="00554472"/>
    <w:rsid w:val="0055463C"/>
    <w:rsid w:val="0055476E"/>
    <w:rsid w:val="005547E0"/>
    <w:rsid w:val="005549F4"/>
    <w:rsid w:val="00554AE6"/>
    <w:rsid w:val="00554BDC"/>
    <w:rsid w:val="00554F43"/>
    <w:rsid w:val="00554F4F"/>
    <w:rsid w:val="00555048"/>
    <w:rsid w:val="0055520C"/>
    <w:rsid w:val="00555363"/>
    <w:rsid w:val="0055538D"/>
    <w:rsid w:val="0055541C"/>
    <w:rsid w:val="005554CD"/>
    <w:rsid w:val="00555805"/>
    <w:rsid w:val="0055581A"/>
    <w:rsid w:val="00555858"/>
    <w:rsid w:val="00555891"/>
    <w:rsid w:val="005558B3"/>
    <w:rsid w:val="0055594B"/>
    <w:rsid w:val="005559F1"/>
    <w:rsid w:val="00555A5D"/>
    <w:rsid w:val="00555FD2"/>
    <w:rsid w:val="0055615E"/>
    <w:rsid w:val="00556170"/>
    <w:rsid w:val="0055622F"/>
    <w:rsid w:val="005563A7"/>
    <w:rsid w:val="0055646D"/>
    <w:rsid w:val="0055647A"/>
    <w:rsid w:val="00556503"/>
    <w:rsid w:val="00556651"/>
    <w:rsid w:val="005566B6"/>
    <w:rsid w:val="00556A01"/>
    <w:rsid w:val="00556A99"/>
    <w:rsid w:val="00556BDA"/>
    <w:rsid w:val="00556DEF"/>
    <w:rsid w:val="00556F1F"/>
    <w:rsid w:val="0055715D"/>
    <w:rsid w:val="005571CE"/>
    <w:rsid w:val="005572F7"/>
    <w:rsid w:val="005573F0"/>
    <w:rsid w:val="00557472"/>
    <w:rsid w:val="0055774F"/>
    <w:rsid w:val="005577F0"/>
    <w:rsid w:val="00557903"/>
    <w:rsid w:val="0055799D"/>
    <w:rsid w:val="00557A4E"/>
    <w:rsid w:val="00557A8D"/>
    <w:rsid w:val="00557B75"/>
    <w:rsid w:val="00557EA8"/>
    <w:rsid w:val="0056003A"/>
    <w:rsid w:val="00560244"/>
    <w:rsid w:val="005607F7"/>
    <w:rsid w:val="0056097B"/>
    <w:rsid w:val="00560B40"/>
    <w:rsid w:val="00560B79"/>
    <w:rsid w:val="00560BCF"/>
    <w:rsid w:val="00560BFB"/>
    <w:rsid w:val="00560C7F"/>
    <w:rsid w:val="00560D2D"/>
    <w:rsid w:val="00560F35"/>
    <w:rsid w:val="00560F3F"/>
    <w:rsid w:val="00560FA8"/>
    <w:rsid w:val="00561085"/>
    <w:rsid w:val="005610B6"/>
    <w:rsid w:val="00561335"/>
    <w:rsid w:val="00561516"/>
    <w:rsid w:val="005619B5"/>
    <w:rsid w:val="005619F2"/>
    <w:rsid w:val="00561E7A"/>
    <w:rsid w:val="00561FEA"/>
    <w:rsid w:val="00561FED"/>
    <w:rsid w:val="005620AC"/>
    <w:rsid w:val="00562264"/>
    <w:rsid w:val="00562498"/>
    <w:rsid w:val="005629BB"/>
    <w:rsid w:val="00562A9D"/>
    <w:rsid w:val="00562BD0"/>
    <w:rsid w:val="00562D4D"/>
    <w:rsid w:val="00562F98"/>
    <w:rsid w:val="00562FE9"/>
    <w:rsid w:val="005630B3"/>
    <w:rsid w:val="00563283"/>
    <w:rsid w:val="005633D3"/>
    <w:rsid w:val="005635DC"/>
    <w:rsid w:val="00563747"/>
    <w:rsid w:val="005637CF"/>
    <w:rsid w:val="00563BC7"/>
    <w:rsid w:val="00563C35"/>
    <w:rsid w:val="00563C4B"/>
    <w:rsid w:val="00563CBC"/>
    <w:rsid w:val="00563D5D"/>
    <w:rsid w:val="00563E06"/>
    <w:rsid w:val="00564282"/>
    <w:rsid w:val="005643AC"/>
    <w:rsid w:val="005643E7"/>
    <w:rsid w:val="005643F9"/>
    <w:rsid w:val="00564435"/>
    <w:rsid w:val="0056446B"/>
    <w:rsid w:val="00564483"/>
    <w:rsid w:val="005645E9"/>
    <w:rsid w:val="005645F9"/>
    <w:rsid w:val="0056474D"/>
    <w:rsid w:val="0056483B"/>
    <w:rsid w:val="005648D0"/>
    <w:rsid w:val="00564B62"/>
    <w:rsid w:val="00564BE1"/>
    <w:rsid w:val="00564DAD"/>
    <w:rsid w:val="00564E99"/>
    <w:rsid w:val="00564F4E"/>
    <w:rsid w:val="00564F66"/>
    <w:rsid w:val="0056502D"/>
    <w:rsid w:val="00565048"/>
    <w:rsid w:val="0056506D"/>
    <w:rsid w:val="00565104"/>
    <w:rsid w:val="0056511A"/>
    <w:rsid w:val="0056525A"/>
    <w:rsid w:val="00565293"/>
    <w:rsid w:val="00565323"/>
    <w:rsid w:val="005653E8"/>
    <w:rsid w:val="0056540B"/>
    <w:rsid w:val="00565680"/>
    <w:rsid w:val="00565718"/>
    <w:rsid w:val="005657DC"/>
    <w:rsid w:val="005658DA"/>
    <w:rsid w:val="00565B02"/>
    <w:rsid w:val="00565CB0"/>
    <w:rsid w:val="00565CE8"/>
    <w:rsid w:val="00565D4B"/>
    <w:rsid w:val="00565EFB"/>
    <w:rsid w:val="005660B6"/>
    <w:rsid w:val="005660C3"/>
    <w:rsid w:val="0056618F"/>
    <w:rsid w:val="005661A1"/>
    <w:rsid w:val="00566286"/>
    <w:rsid w:val="005662EC"/>
    <w:rsid w:val="005664B1"/>
    <w:rsid w:val="005664E7"/>
    <w:rsid w:val="00566627"/>
    <w:rsid w:val="0056677C"/>
    <w:rsid w:val="00566B38"/>
    <w:rsid w:val="00566C93"/>
    <w:rsid w:val="00566D1C"/>
    <w:rsid w:val="00566E71"/>
    <w:rsid w:val="00566E79"/>
    <w:rsid w:val="00566F44"/>
    <w:rsid w:val="00566F9F"/>
    <w:rsid w:val="00567076"/>
    <w:rsid w:val="005670A5"/>
    <w:rsid w:val="005671D3"/>
    <w:rsid w:val="0056723D"/>
    <w:rsid w:val="0056763B"/>
    <w:rsid w:val="00567BD6"/>
    <w:rsid w:val="00567C90"/>
    <w:rsid w:val="00567DB6"/>
    <w:rsid w:val="00567DE6"/>
    <w:rsid w:val="0057009F"/>
    <w:rsid w:val="00570313"/>
    <w:rsid w:val="0057032E"/>
    <w:rsid w:val="005704D7"/>
    <w:rsid w:val="00570530"/>
    <w:rsid w:val="00570604"/>
    <w:rsid w:val="00570637"/>
    <w:rsid w:val="0057071D"/>
    <w:rsid w:val="005707E4"/>
    <w:rsid w:val="00570804"/>
    <w:rsid w:val="0057081B"/>
    <w:rsid w:val="005708E7"/>
    <w:rsid w:val="00570A24"/>
    <w:rsid w:val="00570A71"/>
    <w:rsid w:val="00570B4E"/>
    <w:rsid w:val="00570C56"/>
    <w:rsid w:val="00570E47"/>
    <w:rsid w:val="0057105E"/>
    <w:rsid w:val="0057107E"/>
    <w:rsid w:val="00571098"/>
    <w:rsid w:val="005711BA"/>
    <w:rsid w:val="00571350"/>
    <w:rsid w:val="005713E3"/>
    <w:rsid w:val="0057143B"/>
    <w:rsid w:val="00571508"/>
    <w:rsid w:val="005716BF"/>
    <w:rsid w:val="005718B4"/>
    <w:rsid w:val="00571CFB"/>
    <w:rsid w:val="00571D35"/>
    <w:rsid w:val="00571E34"/>
    <w:rsid w:val="00571E56"/>
    <w:rsid w:val="00571E7E"/>
    <w:rsid w:val="00571F87"/>
    <w:rsid w:val="0057210F"/>
    <w:rsid w:val="00572162"/>
    <w:rsid w:val="005723A9"/>
    <w:rsid w:val="005723F6"/>
    <w:rsid w:val="0057246E"/>
    <w:rsid w:val="005724D9"/>
    <w:rsid w:val="00572628"/>
    <w:rsid w:val="005726B5"/>
    <w:rsid w:val="005726DB"/>
    <w:rsid w:val="0057282D"/>
    <w:rsid w:val="00572853"/>
    <w:rsid w:val="0057294B"/>
    <w:rsid w:val="00572B2F"/>
    <w:rsid w:val="00572C34"/>
    <w:rsid w:val="00572CCF"/>
    <w:rsid w:val="00572DEF"/>
    <w:rsid w:val="00572E54"/>
    <w:rsid w:val="00572E56"/>
    <w:rsid w:val="00572F54"/>
    <w:rsid w:val="005730C7"/>
    <w:rsid w:val="0057345D"/>
    <w:rsid w:val="00573620"/>
    <w:rsid w:val="00573695"/>
    <w:rsid w:val="00573696"/>
    <w:rsid w:val="005736FE"/>
    <w:rsid w:val="005737D4"/>
    <w:rsid w:val="00573928"/>
    <w:rsid w:val="00573D0B"/>
    <w:rsid w:val="00573F8B"/>
    <w:rsid w:val="0057412A"/>
    <w:rsid w:val="005741A7"/>
    <w:rsid w:val="00574249"/>
    <w:rsid w:val="00574303"/>
    <w:rsid w:val="005744F5"/>
    <w:rsid w:val="00574576"/>
    <w:rsid w:val="00574586"/>
    <w:rsid w:val="005745B2"/>
    <w:rsid w:val="00574607"/>
    <w:rsid w:val="0057463A"/>
    <w:rsid w:val="00574757"/>
    <w:rsid w:val="005748AA"/>
    <w:rsid w:val="00574983"/>
    <w:rsid w:val="0057499C"/>
    <w:rsid w:val="005749C2"/>
    <w:rsid w:val="00574AFC"/>
    <w:rsid w:val="00574E3A"/>
    <w:rsid w:val="00574F07"/>
    <w:rsid w:val="00574F1E"/>
    <w:rsid w:val="00574F28"/>
    <w:rsid w:val="005751EE"/>
    <w:rsid w:val="005751FF"/>
    <w:rsid w:val="00575208"/>
    <w:rsid w:val="00575358"/>
    <w:rsid w:val="00575462"/>
    <w:rsid w:val="0057547F"/>
    <w:rsid w:val="0057548B"/>
    <w:rsid w:val="0057585F"/>
    <w:rsid w:val="00575929"/>
    <w:rsid w:val="0057596E"/>
    <w:rsid w:val="00575A72"/>
    <w:rsid w:val="00575A86"/>
    <w:rsid w:val="00575ECD"/>
    <w:rsid w:val="00575F05"/>
    <w:rsid w:val="00576044"/>
    <w:rsid w:val="005762C6"/>
    <w:rsid w:val="00576316"/>
    <w:rsid w:val="00576514"/>
    <w:rsid w:val="0057654B"/>
    <w:rsid w:val="0057671C"/>
    <w:rsid w:val="00576764"/>
    <w:rsid w:val="00576902"/>
    <w:rsid w:val="00576978"/>
    <w:rsid w:val="005769AF"/>
    <w:rsid w:val="00576B0F"/>
    <w:rsid w:val="00576C34"/>
    <w:rsid w:val="00576E6C"/>
    <w:rsid w:val="00576EB2"/>
    <w:rsid w:val="00577175"/>
    <w:rsid w:val="00577301"/>
    <w:rsid w:val="00577392"/>
    <w:rsid w:val="005773D5"/>
    <w:rsid w:val="005776CD"/>
    <w:rsid w:val="00577997"/>
    <w:rsid w:val="005779B9"/>
    <w:rsid w:val="005779D8"/>
    <w:rsid w:val="00577A23"/>
    <w:rsid w:val="00577AEB"/>
    <w:rsid w:val="00577B22"/>
    <w:rsid w:val="00577B51"/>
    <w:rsid w:val="00577BCB"/>
    <w:rsid w:val="00577CD2"/>
    <w:rsid w:val="00577EA9"/>
    <w:rsid w:val="00580022"/>
    <w:rsid w:val="005801F7"/>
    <w:rsid w:val="00580283"/>
    <w:rsid w:val="005803ED"/>
    <w:rsid w:val="005803EE"/>
    <w:rsid w:val="00580423"/>
    <w:rsid w:val="005804A5"/>
    <w:rsid w:val="0058060C"/>
    <w:rsid w:val="005806B0"/>
    <w:rsid w:val="00580822"/>
    <w:rsid w:val="005809D6"/>
    <w:rsid w:val="00580B4D"/>
    <w:rsid w:val="00580C42"/>
    <w:rsid w:val="00580DEC"/>
    <w:rsid w:val="00580E9C"/>
    <w:rsid w:val="00580EA9"/>
    <w:rsid w:val="00580ED2"/>
    <w:rsid w:val="00580FC0"/>
    <w:rsid w:val="0058102A"/>
    <w:rsid w:val="00581235"/>
    <w:rsid w:val="005812D9"/>
    <w:rsid w:val="005814EC"/>
    <w:rsid w:val="00581597"/>
    <w:rsid w:val="00581877"/>
    <w:rsid w:val="00581A08"/>
    <w:rsid w:val="00581ACD"/>
    <w:rsid w:val="00581DE6"/>
    <w:rsid w:val="00581EF6"/>
    <w:rsid w:val="00581FE9"/>
    <w:rsid w:val="005820DD"/>
    <w:rsid w:val="0058223B"/>
    <w:rsid w:val="005823D0"/>
    <w:rsid w:val="00582548"/>
    <w:rsid w:val="005825CD"/>
    <w:rsid w:val="0058266B"/>
    <w:rsid w:val="005826EC"/>
    <w:rsid w:val="00582933"/>
    <w:rsid w:val="00582995"/>
    <w:rsid w:val="005829FE"/>
    <w:rsid w:val="00582BF5"/>
    <w:rsid w:val="00582D2F"/>
    <w:rsid w:val="00582D37"/>
    <w:rsid w:val="00582DEC"/>
    <w:rsid w:val="00582EA5"/>
    <w:rsid w:val="00582FA8"/>
    <w:rsid w:val="005830E4"/>
    <w:rsid w:val="005831D3"/>
    <w:rsid w:val="005831F2"/>
    <w:rsid w:val="00583489"/>
    <w:rsid w:val="00583602"/>
    <w:rsid w:val="0058377A"/>
    <w:rsid w:val="005839F8"/>
    <w:rsid w:val="00583C4A"/>
    <w:rsid w:val="00583C5C"/>
    <w:rsid w:val="0058400D"/>
    <w:rsid w:val="00584316"/>
    <w:rsid w:val="0058442A"/>
    <w:rsid w:val="005846CC"/>
    <w:rsid w:val="005846F0"/>
    <w:rsid w:val="0058479F"/>
    <w:rsid w:val="0058488A"/>
    <w:rsid w:val="00584936"/>
    <w:rsid w:val="00584AE8"/>
    <w:rsid w:val="00584EAB"/>
    <w:rsid w:val="00584F2A"/>
    <w:rsid w:val="00584F57"/>
    <w:rsid w:val="005850B4"/>
    <w:rsid w:val="0058518E"/>
    <w:rsid w:val="005853CF"/>
    <w:rsid w:val="005854DB"/>
    <w:rsid w:val="005856CE"/>
    <w:rsid w:val="00585AC2"/>
    <w:rsid w:val="00585BD6"/>
    <w:rsid w:val="00585C0F"/>
    <w:rsid w:val="00585E77"/>
    <w:rsid w:val="00585F3C"/>
    <w:rsid w:val="00586161"/>
    <w:rsid w:val="0058616B"/>
    <w:rsid w:val="005862D8"/>
    <w:rsid w:val="005863DA"/>
    <w:rsid w:val="005864C8"/>
    <w:rsid w:val="0058666B"/>
    <w:rsid w:val="005866A9"/>
    <w:rsid w:val="00586728"/>
    <w:rsid w:val="00586781"/>
    <w:rsid w:val="0058684B"/>
    <w:rsid w:val="0058686F"/>
    <w:rsid w:val="00586AB1"/>
    <w:rsid w:val="00586ACC"/>
    <w:rsid w:val="00586BC7"/>
    <w:rsid w:val="00586D75"/>
    <w:rsid w:val="00586F27"/>
    <w:rsid w:val="00586F51"/>
    <w:rsid w:val="00586F54"/>
    <w:rsid w:val="00586FE8"/>
    <w:rsid w:val="00587034"/>
    <w:rsid w:val="005872FF"/>
    <w:rsid w:val="00587630"/>
    <w:rsid w:val="005877B5"/>
    <w:rsid w:val="00587841"/>
    <w:rsid w:val="0058793B"/>
    <w:rsid w:val="005879E2"/>
    <w:rsid w:val="00587B5E"/>
    <w:rsid w:val="00587C80"/>
    <w:rsid w:val="00587DCE"/>
    <w:rsid w:val="00587DE6"/>
    <w:rsid w:val="00587E71"/>
    <w:rsid w:val="00587EFE"/>
    <w:rsid w:val="005901CF"/>
    <w:rsid w:val="005901D9"/>
    <w:rsid w:val="0059057B"/>
    <w:rsid w:val="00590627"/>
    <w:rsid w:val="00590764"/>
    <w:rsid w:val="00590771"/>
    <w:rsid w:val="0059077D"/>
    <w:rsid w:val="0059097E"/>
    <w:rsid w:val="00590B28"/>
    <w:rsid w:val="00590CBC"/>
    <w:rsid w:val="00591075"/>
    <w:rsid w:val="0059125E"/>
    <w:rsid w:val="0059136C"/>
    <w:rsid w:val="005914DA"/>
    <w:rsid w:val="005915B1"/>
    <w:rsid w:val="00591615"/>
    <w:rsid w:val="005916C9"/>
    <w:rsid w:val="005917B9"/>
    <w:rsid w:val="005917FC"/>
    <w:rsid w:val="00591817"/>
    <w:rsid w:val="005919C5"/>
    <w:rsid w:val="00591E40"/>
    <w:rsid w:val="00591E45"/>
    <w:rsid w:val="00591ECF"/>
    <w:rsid w:val="00591FD3"/>
    <w:rsid w:val="00592010"/>
    <w:rsid w:val="005920CB"/>
    <w:rsid w:val="0059221B"/>
    <w:rsid w:val="00592225"/>
    <w:rsid w:val="00592277"/>
    <w:rsid w:val="005922F6"/>
    <w:rsid w:val="00592428"/>
    <w:rsid w:val="0059245A"/>
    <w:rsid w:val="005925E5"/>
    <w:rsid w:val="00592755"/>
    <w:rsid w:val="00592911"/>
    <w:rsid w:val="00592948"/>
    <w:rsid w:val="00592B14"/>
    <w:rsid w:val="00592B77"/>
    <w:rsid w:val="00592BAC"/>
    <w:rsid w:val="00592BB3"/>
    <w:rsid w:val="00592C2F"/>
    <w:rsid w:val="00592CF4"/>
    <w:rsid w:val="00592DCD"/>
    <w:rsid w:val="00593313"/>
    <w:rsid w:val="00593379"/>
    <w:rsid w:val="005933E9"/>
    <w:rsid w:val="00593522"/>
    <w:rsid w:val="005935B3"/>
    <w:rsid w:val="005937A7"/>
    <w:rsid w:val="00593809"/>
    <w:rsid w:val="00593853"/>
    <w:rsid w:val="00593A46"/>
    <w:rsid w:val="00593BFE"/>
    <w:rsid w:val="00593D0C"/>
    <w:rsid w:val="00593E04"/>
    <w:rsid w:val="00593ED8"/>
    <w:rsid w:val="00593F52"/>
    <w:rsid w:val="00593F72"/>
    <w:rsid w:val="00593F7D"/>
    <w:rsid w:val="005941C5"/>
    <w:rsid w:val="0059421D"/>
    <w:rsid w:val="005944A3"/>
    <w:rsid w:val="00594657"/>
    <w:rsid w:val="0059476B"/>
    <w:rsid w:val="0059497D"/>
    <w:rsid w:val="00594A40"/>
    <w:rsid w:val="00594B7D"/>
    <w:rsid w:val="00594D23"/>
    <w:rsid w:val="00594DFF"/>
    <w:rsid w:val="00594FC7"/>
    <w:rsid w:val="00595099"/>
    <w:rsid w:val="005953D6"/>
    <w:rsid w:val="00595564"/>
    <w:rsid w:val="005955AE"/>
    <w:rsid w:val="00595672"/>
    <w:rsid w:val="00595753"/>
    <w:rsid w:val="00595932"/>
    <w:rsid w:val="00595AA4"/>
    <w:rsid w:val="00595BA8"/>
    <w:rsid w:val="00595BBC"/>
    <w:rsid w:val="00595C44"/>
    <w:rsid w:val="00595C6E"/>
    <w:rsid w:val="00595D16"/>
    <w:rsid w:val="00595DB4"/>
    <w:rsid w:val="00595F95"/>
    <w:rsid w:val="005960AD"/>
    <w:rsid w:val="005963A7"/>
    <w:rsid w:val="00596575"/>
    <w:rsid w:val="0059677B"/>
    <w:rsid w:val="0059678C"/>
    <w:rsid w:val="0059682E"/>
    <w:rsid w:val="00596981"/>
    <w:rsid w:val="00596A6F"/>
    <w:rsid w:val="00596AB9"/>
    <w:rsid w:val="00596B13"/>
    <w:rsid w:val="00596D07"/>
    <w:rsid w:val="00596F21"/>
    <w:rsid w:val="00596F86"/>
    <w:rsid w:val="005970DD"/>
    <w:rsid w:val="005970E0"/>
    <w:rsid w:val="005971D8"/>
    <w:rsid w:val="00597284"/>
    <w:rsid w:val="005973E6"/>
    <w:rsid w:val="00597702"/>
    <w:rsid w:val="005977B8"/>
    <w:rsid w:val="005979C3"/>
    <w:rsid w:val="00597B63"/>
    <w:rsid w:val="00597BE3"/>
    <w:rsid w:val="00597C24"/>
    <w:rsid w:val="00597E5A"/>
    <w:rsid w:val="00597EF1"/>
    <w:rsid w:val="00597FEE"/>
    <w:rsid w:val="005A00BC"/>
    <w:rsid w:val="005A0135"/>
    <w:rsid w:val="005A025D"/>
    <w:rsid w:val="005A0299"/>
    <w:rsid w:val="005A04D2"/>
    <w:rsid w:val="005A0503"/>
    <w:rsid w:val="005A0896"/>
    <w:rsid w:val="005A08C2"/>
    <w:rsid w:val="005A0C17"/>
    <w:rsid w:val="005A0C51"/>
    <w:rsid w:val="005A0CD4"/>
    <w:rsid w:val="005A0DE7"/>
    <w:rsid w:val="005A0F8D"/>
    <w:rsid w:val="005A0FA1"/>
    <w:rsid w:val="005A10F9"/>
    <w:rsid w:val="005A11F8"/>
    <w:rsid w:val="005A1343"/>
    <w:rsid w:val="005A1369"/>
    <w:rsid w:val="005A142D"/>
    <w:rsid w:val="005A1569"/>
    <w:rsid w:val="005A15AC"/>
    <w:rsid w:val="005A15AE"/>
    <w:rsid w:val="005A1622"/>
    <w:rsid w:val="005A1702"/>
    <w:rsid w:val="005A17E8"/>
    <w:rsid w:val="005A184F"/>
    <w:rsid w:val="005A1899"/>
    <w:rsid w:val="005A19BD"/>
    <w:rsid w:val="005A1C30"/>
    <w:rsid w:val="005A1CD1"/>
    <w:rsid w:val="005A1E50"/>
    <w:rsid w:val="005A215A"/>
    <w:rsid w:val="005A2292"/>
    <w:rsid w:val="005A23DB"/>
    <w:rsid w:val="005A2526"/>
    <w:rsid w:val="005A252E"/>
    <w:rsid w:val="005A264C"/>
    <w:rsid w:val="005A2678"/>
    <w:rsid w:val="005A270F"/>
    <w:rsid w:val="005A2896"/>
    <w:rsid w:val="005A28B8"/>
    <w:rsid w:val="005A2B5E"/>
    <w:rsid w:val="005A2B74"/>
    <w:rsid w:val="005A2C4F"/>
    <w:rsid w:val="005A2E7A"/>
    <w:rsid w:val="005A2EE2"/>
    <w:rsid w:val="005A3008"/>
    <w:rsid w:val="005A305C"/>
    <w:rsid w:val="005A30A2"/>
    <w:rsid w:val="005A30C4"/>
    <w:rsid w:val="005A3281"/>
    <w:rsid w:val="005A32B7"/>
    <w:rsid w:val="005A32EE"/>
    <w:rsid w:val="005A346C"/>
    <w:rsid w:val="005A37EC"/>
    <w:rsid w:val="005A3998"/>
    <w:rsid w:val="005A39BB"/>
    <w:rsid w:val="005A3A72"/>
    <w:rsid w:val="005A3CE5"/>
    <w:rsid w:val="005A3D47"/>
    <w:rsid w:val="005A3E31"/>
    <w:rsid w:val="005A3EC6"/>
    <w:rsid w:val="005A3F0F"/>
    <w:rsid w:val="005A3FA9"/>
    <w:rsid w:val="005A41C4"/>
    <w:rsid w:val="005A42DA"/>
    <w:rsid w:val="005A43C0"/>
    <w:rsid w:val="005A4426"/>
    <w:rsid w:val="005A4472"/>
    <w:rsid w:val="005A44D9"/>
    <w:rsid w:val="005A457A"/>
    <w:rsid w:val="005A47E8"/>
    <w:rsid w:val="005A4822"/>
    <w:rsid w:val="005A4925"/>
    <w:rsid w:val="005A4A52"/>
    <w:rsid w:val="005A4C4D"/>
    <w:rsid w:val="005A4C8E"/>
    <w:rsid w:val="005A4ECE"/>
    <w:rsid w:val="005A4FE1"/>
    <w:rsid w:val="005A5170"/>
    <w:rsid w:val="005A558E"/>
    <w:rsid w:val="005A57DA"/>
    <w:rsid w:val="005A57F8"/>
    <w:rsid w:val="005A5821"/>
    <w:rsid w:val="005A584F"/>
    <w:rsid w:val="005A59A3"/>
    <w:rsid w:val="005A59A9"/>
    <w:rsid w:val="005A59BA"/>
    <w:rsid w:val="005A5A8E"/>
    <w:rsid w:val="005A5B54"/>
    <w:rsid w:val="005A5BCA"/>
    <w:rsid w:val="005A5F20"/>
    <w:rsid w:val="005A6040"/>
    <w:rsid w:val="005A609D"/>
    <w:rsid w:val="005A6121"/>
    <w:rsid w:val="005A6268"/>
    <w:rsid w:val="005A62D8"/>
    <w:rsid w:val="005A660A"/>
    <w:rsid w:val="005A6693"/>
    <w:rsid w:val="005A670A"/>
    <w:rsid w:val="005A6CEC"/>
    <w:rsid w:val="005A6E19"/>
    <w:rsid w:val="005A6F07"/>
    <w:rsid w:val="005A6F4B"/>
    <w:rsid w:val="005A715E"/>
    <w:rsid w:val="005A7267"/>
    <w:rsid w:val="005A73E7"/>
    <w:rsid w:val="005A7527"/>
    <w:rsid w:val="005A75C0"/>
    <w:rsid w:val="005A76E6"/>
    <w:rsid w:val="005A77B7"/>
    <w:rsid w:val="005A794B"/>
    <w:rsid w:val="005A7A82"/>
    <w:rsid w:val="005A7C07"/>
    <w:rsid w:val="005A7D12"/>
    <w:rsid w:val="005A7DBE"/>
    <w:rsid w:val="005A7E8D"/>
    <w:rsid w:val="005A7EAF"/>
    <w:rsid w:val="005A7F89"/>
    <w:rsid w:val="005A7FB2"/>
    <w:rsid w:val="005B01F5"/>
    <w:rsid w:val="005B02DD"/>
    <w:rsid w:val="005B034F"/>
    <w:rsid w:val="005B0366"/>
    <w:rsid w:val="005B041C"/>
    <w:rsid w:val="005B04B0"/>
    <w:rsid w:val="005B06B6"/>
    <w:rsid w:val="005B0813"/>
    <w:rsid w:val="005B08AF"/>
    <w:rsid w:val="005B091F"/>
    <w:rsid w:val="005B0C3F"/>
    <w:rsid w:val="005B0CEA"/>
    <w:rsid w:val="005B0D6B"/>
    <w:rsid w:val="005B12E0"/>
    <w:rsid w:val="005B1324"/>
    <w:rsid w:val="005B1327"/>
    <w:rsid w:val="005B1353"/>
    <w:rsid w:val="005B1418"/>
    <w:rsid w:val="005B14B6"/>
    <w:rsid w:val="005B174E"/>
    <w:rsid w:val="005B18C3"/>
    <w:rsid w:val="005B19EF"/>
    <w:rsid w:val="005B1BDE"/>
    <w:rsid w:val="005B1DA1"/>
    <w:rsid w:val="005B1EC5"/>
    <w:rsid w:val="005B1F28"/>
    <w:rsid w:val="005B1F5A"/>
    <w:rsid w:val="005B203A"/>
    <w:rsid w:val="005B2123"/>
    <w:rsid w:val="005B2181"/>
    <w:rsid w:val="005B21EF"/>
    <w:rsid w:val="005B22DD"/>
    <w:rsid w:val="005B2313"/>
    <w:rsid w:val="005B23D9"/>
    <w:rsid w:val="005B241C"/>
    <w:rsid w:val="005B2454"/>
    <w:rsid w:val="005B2514"/>
    <w:rsid w:val="005B2530"/>
    <w:rsid w:val="005B2575"/>
    <w:rsid w:val="005B26C7"/>
    <w:rsid w:val="005B2781"/>
    <w:rsid w:val="005B27D0"/>
    <w:rsid w:val="005B2919"/>
    <w:rsid w:val="005B2A22"/>
    <w:rsid w:val="005B2A7C"/>
    <w:rsid w:val="005B2B5E"/>
    <w:rsid w:val="005B2BC4"/>
    <w:rsid w:val="005B2E1A"/>
    <w:rsid w:val="005B2FCD"/>
    <w:rsid w:val="005B30F3"/>
    <w:rsid w:val="005B322A"/>
    <w:rsid w:val="005B339A"/>
    <w:rsid w:val="005B3539"/>
    <w:rsid w:val="005B35D8"/>
    <w:rsid w:val="005B3626"/>
    <w:rsid w:val="005B3668"/>
    <w:rsid w:val="005B3728"/>
    <w:rsid w:val="005B37A6"/>
    <w:rsid w:val="005B37DD"/>
    <w:rsid w:val="005B384D"/>
    <w:rsid w:val="005B3881"/>
    <w:rsid w:val="005B396C"/>
    <w:rsid w:val="005B3BD7"/>
    <w:rsid w:val="005B3C35"/>
    <w:rsid w:val="005B3ECC"/>
    <w:rsid w:val="005B3F36"/>
    <w:rsid w:val="005B3F80"/>
    <w:rsid w:val="005B4018"/>
    <w:rsid w:val="005B4153"/>
    <w:rsid w:val="005B42A0"/>
    <w:rsid w:val="005B42A8"/>
    <w:rsid w:val="005B42A9"/>
    <w:rsid w:val="005B4318"/>
    <w:rsid w:val="005B45E7"/>
    <w:rsid w:val="005B495E"/>
    <w:rsid w:val="005B4BE3"/>
    <w:rsid w:val="005B4C7C"/>
    <w:rsid w:val="005B4DAC"/>
    <w:rsid w:val="005B4DBB"/>
    <w:rsid w:val="005B4E5A"/>
    <w:rsid w:val="005B4E98"/>
    <w:rsid w:val="005B4EA6"/>
    <w:rsid w:val="005B4F52"/>
    <w:rsid w:val="005B508E"/>
    <w:rsid w:val="005B5118"/>
    <w:rsid w:val="005B5365"/>
    <w:rsid w:val="005B5428"/>
    <w:rsid w:val="005B5444"/>
    <w:rsid w:val="005B56B5"/>
    <w:rsid w:val="005B570F"/>
    <w:rsid w:val="005B576A"/>
    <w:rsid w:val="005B5ACA"/>
    <w:rsid w:val="005B5AEA"/>
    <w:rsid w:val="005B5B34"/>
    <w:rsid w:val="005B5B66"/>
    <w:rsid w:val="005B5BE7"/>
    <w:rsid w:val="005B5BF0"/>
    <w:rsid w:val="005B5C8D"/>
    <w:rsid w:val="005B5D87"/>
    <w:rsid w:val="005B5DE7"/>
    <w:rsid w:val="005B5EC2"/>
    <w:rsid w:val="005B60E7"/>
    <w:rsid w:val="005B61EC"/>
    <w:rsid w:val="005B6295"/>
    <w:rsid w:val="005B62C6"/>
    <w:rsid w:val="005B644E"/>
    <w:rsid w:val="005B6462"/>
    <w:rsid w:val="005B64DB"/>
    <w:rsid w:val="005B6747"/>
    <w:rsid w:val="005B68CF"/>
    <w:rsid w:val="005B6CD4"/>
    <w:rsid w:val="005B6CDD"/>
    <w:rsid w:val="005B6DAE"/>
    <w:rsid w:val="005B6EC8"/>
    <w:rsid w:val="005B6F26"/>
    <w:rsid w:val="005B6FE7"/>
    <w:rsid w:val="005B7093"/>
    <w:rsid w:val="005B7173"/>
    <w:rsid w:val="005B71CA"/>
    <w:rsid w:val="005B720C"/>
    <w:rsid w:val="005B7225"/>
    <w:rsid w:val="005B7384"/>
    <w:rsid w:val="005B73E0"/>
    <w:rsid w:val="005B759A"/>
    <w:rsid w:val="005B76C6"/>
    <w:rsid w:val="005B779B"/>
    <w:rsid w:val="005B7925"/>
    <w:rsid w:val="005B797B"/>
    <w:rsid w:val="005B7B2E"/>
    <w:rsid w:val="005B7B53"/>
    <w:rsid w:val="005B7C74"/>
    <w:rsid w:val="005B7D6D"/>
    <w:rsid w:val="005B7E6F"/>
    <w:rsid w:val="005B7F08"/>
    <w:rsid w:val="005B7FAC"/>
    <w:rsid w:val="005C01DC"/>
    <w:rsid w:val="005C0408"/>
    <w:rsid w:val="005C0414"/>
    <w:rsid w:val="005C078B"/>
    <w:rsid w:val="005C0823"/>
    <w:rsid w:val="005C090C"/>
    <w:rsid w:val="005C095B"/>
    <w:rsid w:val="005C09EA"/>
    <w:rsid w:val="005C0A27"/>
    <w:rsid w:val="005C0DCA"/>
    <w:rsid w:val="005C0F5C"/>
    <w:rsid w:val="005C1085"/>
    <w:rsid w:val="005C109C"/>
    <w:rsid w:val="005C11F2"/>
    <w:rsid w:val="005C1265"/>
    <w:rsid w:val="005C1268"/>
    <w:rsid w:val="005C1468"/>
    <w:rsid w:val="005C1552"/>
    <w:rsid w:val="005C15DD"/>
    <w:rsid w:val="005C189A"/>
    <w:rsid w:val="005C18FB"/>
    <w:rsid w:val="005C1921"/>
    <w:rsid w:val="005C196C"/>
    <w:rsid w:val="005C19EC"/>
    <w:rsid w:val="005C1A3F"/>
    <w:rsid w:val="005C1AC7"/>
    <w:rsid w:val="005C1B67"/>
    <w:rsid w:val="005C1B79"/>
    <w:rsid w:val="005C1BBA"/>
    <w:rsid w:val="005C1E9D"/>
    <w:rsid w:val="005C200F"/>
    <w:rsid w:val="005C21E3"/>
    <w:rsid w:val="005C21F9"/>
    <w:rsid w:val="005C22FD"/>
    <w:rsid w:val="005C235E"/>
    <w:rsid w:val="005C2472"/>
    <w:rsid w:val="005C24B4"/>
    <w:rsid w:val="005C24DE"/>
    <w:rsid w:val="005C2787"/>
    <w:rsid w:val="005C2895"/>
    <w:rsid w:val="005C28C8"/>
    <w:rsid w:val="005C2A0E"/>
    <w:rsid w:val="005C2DE2"/>
    <w:rsid w:val="005C2DEF"/>
    <w:rsid w:val="005C2F52"/>
    <w:rsid w:val="005C3083"/>
    <w:rsid w:val="005C32FE"/>
    <w:rsid w:val="005C33D1"/>
    <w:rsid w:val="005C357F"/>
    <w:rsid w:val="005C3681"/>
    <w:rsid w:val="005C39EA"/>
    <w:rsid w:val="005C3A31"/>
    <w:rsid w:val="005C3AA9"/>
    <w:rsid w:val="005C3C33"/>
    <w:rsid w:val="005C3C90"/>
    <w:rsid w:val="005C3D5B"/>
    <w:rsid w:val="005C3D6A"/>
    <w:rsid w:val="005C3F00"/>
    <w:rsid w:val="005C3FC6"/>
    <w:rsid w:val="005C4225"/>
    <w:rsid w:val="005C43B8"/>
    <w:rsid w:val="005C43D3"/>
    <w:rsid w:val="005C4460"/>
    <w:rsid w:val="005C44C3"/>
    <w:rsid w:val="005C4539"/>
    <w:rsid w:val="005C46C8"/>
    <w:rsid w:val="005C470B"/>
    <w:rsid w:val="005C4A58"/>
    <w:rsid w:val="005C4B84"/>
    <w:rsid w:val="005C4D12"/>
    <w:rsid w:val="005C4DA1"/>
    <w:rsid w:val="005C4E14"/>
    <w:rsid w:val="005C4E1D"/>
    <w:rsid w:val="005C4ED0"/>
    <w:rsid w:val="005C4F04"/>
    <w:rsid w:val="005C4F06"/>
    <w:rsid w:val="005C4F8A"/>
    <w:rsid w:val="005C5181"/>
    <w:rsid w:val="005C5255"/>
    <w:rsid w:val="005C5290"/>
    <w:rsid w:val="005C54F8"/>
    <w:rsid w:val="005C55B5"/>
    <w:rsid w:val="005C587E"/>
    <w:rsid w:val="005C590A"/>
    <w:rsid w:val="005C5A9A"/>
    <w:rsid w:val="005C5B8B"/>
    <w:rsid w:val="005C5C3A"/>
    <w:rsid w:val="005C5C4F"/>
    <w:rsid w:val="005C5D31"/>
    <w:rsid w:val="005C5FA0"/>
    <w:rsid w:val="005C6129"/>
    <w:rsid w:val="005C621B"/>
    <w:rsid w:val="005C6274"/>
    <w:rsid w:val="005C649F"/>
    <w:rsid w:val="005C6772"/>
    <w:rsid w:val="005C678C"/>
    <w:rsid w:val="005C69D9"/>
    <w:rsid w:val="005C6A13"/>
    <w:rsid w:val="005C6D67"/>
    <w:rsid w:val="005C6E92"/>
    <w:rsid w:val="005C7017"/>
    <w:rsid w:val="005C7028"/>
    <w:rsid w:val="005C7086"/>
    <w:rsid w:val="005C7655"/>
    <w:rsid w:val="005C787B"/>
    <w:rsid w:val="005C78B2"/>
    <w:rsid w:val="005C7935"/>
    <w:rsid w:val="005C7A00"/>
    <w:rsid w:val="005C7BE6"/>
    <w:rsid w:val="005C7C41"/>
    <w:rsid w:val="005C7C79"/>
    <w:rsid w:val="005C7E61"/>
    <w:rsid w:val="005D007A"/>
    <w:rsid w:val="005D053B"/>
    <w:rsid w:val="005D05BB"/>
    <w:rsid w:val="005D0679"/>
    <w:rsid w:val="005D069E"/>
    <w:rsid w:val="005D074D"/>
    <w:rsid w:val="005D08AA"/>
    <w:rsid w:val="005D0B2D"/>
    <w:rsid w:val="005D0C7B"/>
    <w:rsid w:val="005D0CC4"/>
    <w:rsid w:val="005D0CED"/>
    <w:rsid w:val="005D0D41"/>
    <w:rsid w:val="005D0DF0"/>
    <w:rsid w:val="005D0E10"/>
    <w:rsid w:val="005D0E30"/>
    <w:rsid w:val="005D0E3C"/>
    <w:rsid w:val="005D0E73"/>
    <w:rsid w:val="005D0F4B"/>
    <w:rsid w:val="005D0F66"/>
    <w:rsid w:val="005D108D"/>
    <w:rsid w:val="005D11CD"/>
    <w:rsid w:val="005D1287"/>
    <w:rsid w:val="005D1375"/>
    <w:rsid w:val="005D1752"/>
    <w:rsid w:val="005D1824"/>
    <w:rsid w:val="005D1B1D"/>
    <w:rsid w:val="005D1B57"/>
    <w:rsid w:val="005D1EC8"/>
    <w:rsid w:val="005D1ED3"/>
    <w:rsid w:val="005D1FC9"/>
    <w:rsid w:val="005D1FD0"/>
    <w:rsid w:val="005D202B"/>
    <w:rsid w:val="005D21D4"/>
    <w:rsid w:val="005D21F4"/>
    <w:rsid w:val="005D22B3"/>
    <w:rsid w:val="005D22B7"/>
    <w:rsid w:val="005D22BD"/>
    <w:rsid w:val="005D243F"/>
    <w:rsid w:val="005D251F"/>
    <w:rsid w:val="005D2573"/>
    <w:rsid w:val="005D25EC"/>
    <w:rsid w:val="005D271F"/>
    <w:rsid w:val="005D2750"/>
    <w:rsid w:val="005D281E"/>
    <w:rsid w:val="005D287D"/>
    <w:rsid w:val="005D28E2"/>
    <w:rsid w:val="005D2939"/>
    <w:rsid w:val="005D2B19"/>
    <w:rsid w:val="005D2B90"/>
    <w:rsid w:val="005D2C43"/>
    <w:rsid w:val="005D2D7A"/>
    <w:rsid w:val="005D2DD0"/>
    <w:rsid w:val="005D2DD9"/>
    <w:rsid w:val="005D2EA2"/>
    <w:rsid w:val="005D307F"/>
    <w:rsid w:val="005D32FD"/>
    <w:rsid w:val="005D3503"/>
    <w:rsid w:val="005D3663"/>
    <w:rsid w:val="005D36E9"/>
    <w:rsid w:val="005D373C"/>
    <w:rsid w:val="005D3932"/>
    <w:rsid w:val="005D396A"/>
    <w:rsid w:val="005D3C02"/>
    <w:rsid w:val="005D3CB2"/>
    <w:rsid w:val="005D3CF1"/>
    <w:rsid w:val="005D3D1F"/>
    <w:rsid w:val="005D3D59"/>
    <w:rsid w:val="005D3EE3"/>
    <w:rsid w:val="005D3FDB"/>
    <w:rsid w:val="005D4088"/>
    <w:rsid w:val="005D40F7"/>
    <w:rsid w:val="005D4125"/>
    <w:rsid w:val="005D428B"/>
    <w:rsid w:val="005D42C7"/>
    <w:rsid w:val="005D42D1"/>
    <w:rsid w:val="005D432B"/>
    <w:rsid w:val="005D4416"/>
    <w:rsid w:val="005D44A3"/>
    <w:rsid w:val="005D470B"/>
    <w:rsid w:val="005D4842"/>
    <w:rsid w:val="005D4A87"/>
    <w:rsid w:val="005D4BCA"/>
    <w:rsid w:val="005D4F86"/>
    <w:rsid w:val="005D4FA8"/>
    <w:rsid w:val="005D506F"/>
    <w:rsid w:val="005D51C0"/>
    <w:rsid w:val="005D5215"/>
    <w:rsid w:val="005D5268"/>
    <w:rsid w:val="005D526C"/>
    <w:rsid w:val="005D53FF"/>
    <w:rsid w:val="005D54C2"/>
    <w:rsid w:val="005D557C"/>
    <w:rsid w:val="005D557D"/>
    <w:rsid w:val="005D57A4"/>
    <w:rsid w:val="005D5A67"/>
    <w:rsid w:val="005D5B13"/>
    <w:rsid w:val="005D5B35"/>
    <w:rsid w:val="005D5B4B"/>
    <w:rsid w:val="005D5D7A"/>
    <w:rsid w:val="005D5DA1"/>
    <w:rsid w:val="005D5EBB"/>
    <w:rsid w:val="005D5FAD"/>
    <w:rsid w:val="005D6073"/>
    <w:rsid w:val="005D60A5"/>
    <w:rsid w:val="005D614B"/>
    <w:rsid w:val="005D641B"/>
    <w:rsid w:val="005D6477"/>
    <w:rsid w:val="005D6586"/>
    <w:rsid w:val="005D66C6"/>
    <w:rsid w:val="005D6741"/>
    <w:rsid w:val="005D67ED"/>
    <w:rsid w:val="005D691D"/>
    <w:rsid w:val="005D6AC4"/>
    <w:rsid w:val="005D6B1F"/>
    <w:rsid w:val="005D6C36"/>
    <w:rsid w:val="005D6CFB"/>
    <w:rsid w:val="005D6D3C"/>
    <w:rsid w:val="005D6DB2"/>
    <w:rsid w:val="005D6DCA"/>
    <w:rsid w:val="005D6FC3"/>
    <w:rsid w:val="005D7183"/>
    <w:rsid w:val="005D7225"/>
    <w:rsid w:val="005D723C"/>
    <w:rsid w:val="005D72D4"/>
    <w:rsid w:val="005D73DA"/>
    <w:rsid w:val="005D75EB"/>
    <w:rsid w:val="005D75F5"/>
    <w:rsid w:val="005D77B1"/>
    <w:rsid w:val="005D7C54"/>
    <w:rsid w:val="005D7CCD"/>
    <w:rsid w:val="005D7E6C"/>
    <w:rsid w:val="005D7F7C"/>
    <w:rsid w:val="005E0053"/>
    <w:rsid w:val="005E01F8"/>
    <w:rsid w:val="005E026A"/>
    <w:rsid w:val="005E02FB"/>
    <w:rsid w:val="005E03E0"/>
    <w:rsid w:val="005E046A"/>
    <w:rsid w:val="005E0575"/>
    <w:rsid w:val="005E062A"/>
    <w:rsid w:val="005E0731"/>
    <w:rsid w:val="005E0929"/>
    <w:rsid w:val="005E0970"/>
    <w:rsid w:val="005E0AC3"/>
    <w:rsid w:val="005E0BF2"/>
    <w:rsid w:val="005E0C7F"/>
    <w:rsid w:val="005E0D76"/>
    <w:rsid w:val="005E0D87"/>
    <w:rsid w:val="005E10B1"/>
    <w:rsid w:val="005E119C"/>
    <w:rsid w:val="005E154F"/>
    <w:rsid w:val="005E1663"/>
    <w:rsid w:val="005E1755"/>
    <w:rsid w:val="005E1941"/>
    <w:rsid w:val="005E19B8"/>
    <w:rsid w:val="005E1C9E"/>
    <w:rsid w:val="005E1CEE"/>
    <w:rsid w:val="005E1D37"/>
    <w:rsid w:val="005E1D47"/>
    <w:rsid w:val="005E1EF4"/>
    <w:rsid w:val="005E1F01"/>
    <w:rsid w:val="005E205C"/>
    <w:rsid w:val="005E230F"/>
    <w:rsid w:val="005E2385"/>
    <w:rsid w:val="005E2390"/>
    <w:rsid w:val="005E23BF"/>
    <w:rsid w:val="005E24A3"/>
    <w:rsid w:val="005E250F"/>
    <w:rsid w:val="005E27F8"/>
    <w:rsid w:val="005E286A"/>
    <w:rsid w:val="005E28E8"/>
    <w:rsid w:val="005E28F9"/>
    <w:rsid w:val="005E2D0B"/>
    <w:rsid w:val="005E2D5C"/>
    <w:rsid w:val="005E2E08"/>
    <w:rsid w:val="005E309F"/>
    <w:rsid w:val="005E31A4"/>
    <w:rsid w:val="005E344A"/>
    <w:rsid w:val="005E3557"/>
    <w:rsid w:val="005E359F"/>
    <w:rsid w:val="005E3655"/>
    <w:rsid w:val="005E36D7"/>
    <w:rsid w:val="005E3874"/>
    <w:rsid w:val="005E3921"/>
    <w:rsid w:val="005E3993"/>
    <w:rsid w:val="005E39DB"/>
    <w:rsid w:val="005E3BFD"/>
    <w:rsid w:val="005E3C07"/>
    <w:rsid w:val="005E3C34"/>
    <w:rsid w:val="005E3D24"/>
    <w:rsid w:val="005E3DE5"/>
    <w:rsid w:val="005E3EDF"/>
    <w:rsid w:val="005E3F4B"/>
    <w:rsid w:val="005E4035"/>
    <w:rsid w:val="005E404F"/>
    <w:rsid w:val="005E41B3"/>
    <w:rsid w:val="005E423F"/>
    <w:rsid w:val="005E424F"/>
    <w:rsid w:val="005E4273"/>
    <w:rsid w:val="005E4314"/>
    <w:rsid w:val="005E43F3"/>
    <w:rsid w:val="005E44E0"/>
    <w:rsid w:val="005E4566"/>
    <w:rsid w:val="005E487F"/>
    <w:rsid w:val="005E488D"/>
    <w:rsid w:val="005E49AA"/>
    <w:rsid w:val="005E49DD"/>
    <w:rsid w:val="005E4AA0"/>
    <w:rsid w:val="005E4CA5"/>
    <w:rsid w:val="005E4D4E"/>
    <w:rsid w:val="005E50BF"/>
    <w:rsid w:val="005E52ED"/>
    <w:rsid w:val="005E583C"/>
    <w:rsid w:val="005E58AD"/>
    <w:rsid w:val="005E59E7"/>
    <w:rsid w:val="005E5AB0"/>
    <w:rsid w:val="005E5AF6"/>
    <w:rsid w:val="005E5C27"/>
    <w:rsid w:val="005E5CDE"/>
    <w:rsid w:val="005E5D7D"/>
    <w:rsid w:val="005E5EA2"/>
    <w:rsid w:val="005E5EA7"/>
    <w:rsid w:val="005E5F19"/>
    <w:rsid w:val="005E60C3"/>
    <w:rsid w:val="005E6193"/>
    <w:rsid w:val="005E62C0"/>
    <w:rsid w:val="005E6338"/>
    <w:rsid w:val="005E639E"/>
    <w:rsid w:val="005E63AE"/>
    <w:rsid w:val="005E64DA"/>
    <w:rsid w:val="005E6539"/>
    <w:rsid w:val="005E6617"/>
    <w:rsid w:val="005E662E"/>
    <w:rsid w:val="005E6710"/>
    <w:rsid w:val="005E69E0"/>
    <w:rsid w:val="005E6ACC"/>
    <w:rsid w:val="005E6BB0"/>
    <w:rsid w:val="005E7056"/>
    <w:rsid w:val="005E717B"/>
    <w:rsid w:val="005E7338"/>
    <w:rsid w:val="005E7369"/>
    <w:rsid w:val="005E7497"/>
    <w:rsid w:val="005E7514"/>
    <w:rsid w:val="005E7545"/>
    <w:rsid w:val="005E75CE"/>
    <w:rsid w:val="005E7680"/>
    <w:rsid w:val="005E7715"/>
    <w:rsid w:val="005E797B"/>
    <w:rsid w:val="005E7A4E"/>
    <w:rsid w:val="005E7AB4"/>
    <w:rsid w:val="005E7AC7"/>
    <w:rsid w:val="005E7BE5"/>
    <w:rsid w:val="005E7BF1"/>
    <w:rsid w:val="005E7C4A"/>
    <w:rsid w:val="005E7DCC"/>
    <w:rsid w:val="005E7F1E"/>
    <w:rsid w:val="005E7F6C"/>
    <w:rsid w:val="005F0478"/>
    <w:rsid w:val="005F05F6"/>
    <w:rsid w:val="005F066C"/>
    <w:rsid w:val="005F07FD"/>
    <w:rsid w:val="005F084F"/>
    <w:rsid w:val="005F0A38"/>
    <w:rsid w:val="005F0BC5"/>
    <w:rsid w:val="005F0C89"/>
    <w:rsid w:val="005F0CB5"/>
    <w:rsid w:val="005F0D1D"/>
    <w:rsid w:val="005F0D32"/>
    <w:rsid w:val="005F0DA6"/>
    <w:rsid w:val="005F0F36"/>
    <w:rsid w:val="005F1053"/>
    <w:rsid w:val="005F10E9"/>
    <w:rsid w:val="005F1324"/>
    <w:rsid w:val="005F148C"/>
    <w:rsid w:val="005F14D0"/>
    <w:rsid w:val="005F1597"/>
    <w:rsid w:val="005F19DA"/>
    <w:rsid w:val="005F1AE6"/>
    <w:rsid w:val="005F1C6D"/>
    <w:rsid w:val="005F1D9E"/>
    <w:rsid w:val="005F1F57"/>
    <w:rsid w:val="005F1F78"/>
    <w:rsid w:val="005F2119"/>
    <w:rsid w:val="005F225E"/>
    <w:rsid w:val="005F2332"/>
    <w:rsid w:val="005F254E"/>
    <w:rsid w:val="005F2793"/>
    <w:rsid w:val="005F286B"/>
    <w:rsid w:val="005F28B5"/>
    <w:rsid w:val="005F2944"/>
    <w:rsid w:val="005F2A11"/>
    <w:rsid w:val="005F2A47"/>
    <w:rsid w:val="005F2A70"/>
    <w:rsid w:val="005F2A71"/>
    <w:rsid w:val="005F2B55"/>
    <w:rsid w:val="005F2BAD"/>
    <w:rsid w:val="005F2D87"/>
    <w:rsid w:val="005F2E8A"/>
    <w:rsid w:val="005F2EC9"/>
    <w:rsid w:val="005F2ED0"/>
    <w:rsid w:val="005F2F22"/>
    <w:rsid w:val="005F2F63"/>
    <w:rsid w:val="005F30F0"/>
    <w:rsid w:val="005F3112"/>
    <w:rsid w:val="005F31CC"/>
    <w:rsid w:val="005F31E0"/>
    <w:rsid w:val="005F31EE"/>
    <w:rsid w:val="005F321B"/>
    <w:rsid w:val="005F3273"/>
    <w:rsid w:val="005F3299"/>
    <w:rsid w:val="005F3365"/>
    <w:rsid w:val="005F348E"/>
    <w:rsid w:val="005F3AB8"/>
    <w:rsid w:val="005F3BEB"/>
    <w:rsid w:val="005F3C7A"/>
    <w:rsid w:val="005F3D34"/>
    <w:rsid w:val="005F3D48"/>
    <w:rsid w:val="005F3D50"/>
    <w:rsid w:val="005F3D97"/>
    <w:rsid w:val="005F3DBD"/>
    <w:rsid w:val="005F3DFF"/>
    <w:rsid w:val="005F4018"/>
    <w:rsid w:val="005F406A"/>
    <w:rsid w:val="005F4232"/>
    <w:rsid w:val="005F4374"/>
    <w:rsid w:val="005F4571"/>
    <w:rsid w:val="005F4573"/>
    <w:rsid w:val="005F45B8"/>
    <w:rsid w:val="005F45E8"/>
    <w:rsid w:val="005F46A7"/>
    <w:rsid w:val="005F479B"/>
    <w:rsid w:val="005F4B0C"/>
    <w:rsid w:val="005F4C7A"/>
    <w:rsid w:val="005F4D93"/>
    <w:rsid w:val="005F4FE7"/>
    <w:rsid w:val="005F500F"/>
    <w:rsid w:val="005F5023"/>
    <w:rsid w:val="005F5266"/>
    <w:rsid w:val="005F53B2"/>
    <w:rsid w:val="005F54C6"/>
    <w:rsid w:val="005F5749"/>
    <w:rsid w:val="005F579D"/>
    <w:rsid w:val="005F57EB"/>
    <w:rsid w:val="005F5912"/>
    <w:rsid w:val="005F605F"/>
    <w:rsid w:val="005F61C6"/>
    <w:rsid w:val="005F6257"/>
    <w:rsid w:val="005F62E5"/>
    <w:rsid w:val="005F64AB"/>
    <w:rsid w:val="005F6544"/>
    <w:rsid w:val="005F6656"/>
    <w:rsid w:val="005F681E"/>
    <w:rsid w:val="005F69EC"/>
    <w:rsid w:val="005F6B30"/>
    <w:rsid w:val="005F6B84"/>
    <w:rsid w:val="005F6DFE"/>
    <w:rsid w:val="005F6E64"/>
    <w:rsid w:val="005F7185"/>
    <w:rsid w:val="005F7216"/>
    <w:rsid w:val="005F732C"/>
    <w:rsid w:val="005F7378"/>
    <w:rsid w:val="005F7404"/>
    <w:rsid w:val="005F747F"/>
    <w:rsid w:val="005F76D4"/>
    <w:rsid w:val="005F77A9"/>
    <w:rsid w:val="005F78AE"/>
    <w:rsid w:val="005F79CC"/>
    <w:rsid w:val="005F7A57"/>
    <w:rsid w:val="005F7BF8"/>
    <w:rsid w:val="005F7C9F"/>
    <w:rsid w:val="00600195"/>
    <w:rsid w:val="006004ED"/>
    <w:rsid w:val="006005DE"/>
    <w:rsid w:val="006006B3"/>
    <w:rsid w:val="00600717"/>
    <w:rsid w:val="00600882"/>
    <w:rsid w:val="006008D3"/>
    <w:rsid w:val="00600B01"/>
    <w:rsid w:val="00600C51"/>
    <w:rsid w:val="00600C94"/>
    <w:rsid w:val="00600DD4"/>
    <w:rsid w:val="00600F88"/>
    <w:rsid w:val="0060109C"/>
    <w:rsid w:val="006010E1"/>
    <w:rsid w:val="006012D2"/>
    <w:rsid w:val="006013C6"/>
    <w:rsid w:val="00601548"/>
    <w:rsid w:val="006016B9"/>
    <w:rsid w:val="006016DF"/>
    <w:rsid w:val="006017CB"/>
    <w:rsid w:val="006017E9"/>
    <w:rsid w:val="00601BAC"/>
    <w:rsid w:val="00601C47"/>
    <w:rsid w:val="00601D72"/>
    <w:rsid w:val="00601E75"/>
    <w:rsid w:val="006021BB"/>
    <w:rsid w:val="0060221C"/>
    <w:rsid w:val="0060223D"/>
    <w:rsid w:val="00602269"/>
    <w:rsid w:val="0060228D"/>
    <w:rsid w:val="006022D6"/>
    <w:rsid w:val="006024E6"/>
    <w:rsid w:val="0060269F"/>
    <w:rsid w:val="00602709"/>
    <w:rsid w:val="00602A0E"/>
    <w:rsid w:val="00602A9A"/>
    <w:rsid w:val="00602D5E"/>
    <w:rsid w:val="00602DED"/>
    <w:rsid w:val="00602EF3"/>
    <w:rsid w:val="00602F66"/>
    <w:rsid w:val="00603035"/>
    <w:rsid w:val="006030FF"/>
    <w:rsid w:val="0060312C"/>
    <w:rsid w:val="0060314F"/>
    <w:rsid w:val="00603200"/>
    <w:rsid w:val="006033FA"/>
    <w:rsid w:val="006034E7"/>
    <w:rsid w:val="00603569"/>
    <w:rsid w:val="00603649"/>
    <w:rsid w:val="006038CC"/>
    <w:rsid w:val="00603909"/>
    <w:rsid w:val="00603AE8"/>
    <w:rsid w:val="00603C1B"/>
    <w:rsid w:val="00603C51"/>
    <w:rsid w:val="00603CA1"/>
    <w:rsid w:val="00603DC8"/>
    <w:rsid w:val="00603E07"/>
    <w:rsid w:val="00603E57"/>
    <w:rsid w:val="00603F45"/>
    <w:rsid w:val="00603FC1"/>
    <w:rsid w:val="00604002"/>
    <w:rsid w:val="006041A3"/>
    <w:rsid w:val="006041AC"/>
    <w:rsid w:val="00604456"/>
    <w:rsid w:val="00604460"/>
    <w:rsid w:val="0060493B"/>
    <w:rsid w:val="00604A66"/>
    <w:rsid w:val="00604B9D"/>
    <w:rsid w:val="00604BCB"/>
    <w:rsid w:val="00604BD8"/>
    <w:rsid w:val="00604DAE"/>
    <w:rsid w:val="00604DC1"/>
    <w:rsid w:val="0060502E"/>
    <w:rsid w:val="006050B0"/>
    <w:rsid w:val="0060515D"/>
    <w:rsid w:val="006051FE"/>
    <w:rsid w:val="0060534C"/>
    <w:rsid w:val="00605409"/>
    <w:rsid w:val="00605524"/>
    <w:rsid w:val="00605761"/>
    <w:rsid w:val="006057EF"/>
    <w:rsid w:val="0060583F"/>
    <w:rsid w:val="006059C4"/>
    <w:rsid w:val="00605B27"/>
    <w:rsid w:val="00605C7F"/>
    <w:rsid w:val="00605DF6"/>
    <w:rsid w:val="00605E62"/>
    <w:rsid w:val="00605E7D"/>
    <w:rsid w:val="00605F1B"/>
    <w:rsid w:val="006060BD"/>
    <w:rsid w:val="006060FB"/>
    <w:rsid w:val="00606305"/>
    <w:rsid w:val="00606372"/>
    <w:rsid w:val="0060643B"/>
    <w:rsid w:val="0060667C"/>
    <w:rsid w:val="006067A4"/>
    <w:rsid w:val="00606AA1"/>
    <w:rsid w:val="00606B83"/>
    <w:rsid w:val="00606BAA"/>
    <w:rsid w:val="00606C3B"/>
    <w:rsid w:val="00606C42"/>
    <w:rsid w:val="00606D01"/>
    <w:rsid w:val="00606DD4"/>
    <w:rsid w:val="00606E5C"/>
    <w:rsid w:val="00606EFD"/>
    <w:rsid w:val="00606F19"/>
    <w:rsid w:val="00607026"/>
    <w:rsid w:val="006070A8"/>
    <w:rsid w:val="0060722B"/>
    <w:rsid w:val="006073F6"/>
    <w:rsid w:val="00607617"/>
    <w:rsid w:val="006076A0"/>
    <w:rsid w:val="006079B3"/>
    <w:rsid w:val="00607B51"/>
    <w:rsid w:val="00607CAF"/>
    <w:rsid w:val="00607EA2"/>
    <w:rsid w:val="00607ECC"/>
    <w:rsid w:val="00610023"/>
    <w:rsid w:val="0061019C"/>
    <w:rsid w:val="0061019F"/>
    <w:rsid w:val="006101F1"/>
    <w:rsid w:val="00610387"/>
    <w:rsid w:val="00610407"/>
    <w:rsid w:val="006104F4"/>
    <w:rsid w:val="00610901"/>
    <w:rsid w:val="00610942"/>
    <w:rsid w:val="00610BD1"/>
    <w:rsid w:val="00610C10"/>
    <w:rsid w:val="00610D82"/>
    <w:rsid w:val="00610D94"/>
    <w:rsid w:val="00610E2E"/>
    <w:rsid w:val="00610E40"/>
    <w:rsid w:val="00610F61"/>
    <w:rsid w:val="00610FFF"/>
    <w:rsid w:val="0061111F"/>
    <w:rsid w:val="0061112B"/>
    <w:rsid w:val="006111D5"/>
    <w:rsid w:val="0061135C"/>
    <w:rsid w:val="0061138E"/>
    <w:rsid w:val="0061147E"/>
    <w:rsid w:val="0061168C"/>
    <w:rsid w:val="00611817"/>
    <w:rsid w:val="00611849"/>
    <w:rsid w:val="00611878"/>
    <w:rsid w:val="0061195E"/>
    <w:rsid w:val="00611A80"/>
    <w:rsid w:val="00611E7D"/>
    <w:rsid w:val="00611FF5"/>
    <w:rsid w:val="0061204A"/>
    <w:rsid w:val="00612077"/>
    <w:rsid w:val="006122DA"/>
    <w:rsid w:val="0061248F"/>
    <w:rsid w:val="0061261E"/>
    <w:rsid w:val="0061267E"/>
    <w:rsid w:val="006127C1"/>
    <w:rsid w:val="006129B6"/>
    <w:rsid w:val="00612C30"/>
    <w:rsid w:val="00612C8E"/>
    <w:rsid w:val="00612E99"/>
    <w:rsid w:val="00612ED7"/>
    <w:rsid w:val="00612F04"/>
    <w:rsid w:val="00612F7D"/>
    <w:rsid w:val="00612FF5"/>
    <w:rsid w:val="00613028"/>
    <w:rsid w:val="0061302C"/>
    <w:rsid w:val="0061321E"/>
    <w:rsid w:val="0061327E"/>
    <w:rsid w:val="00613500"/>
    <w:rsid w:val="006135AE"/>
    <w:rsid w:val="006135BF"/>
    <w:rsid w:val="0061374B"/>
    <w:rsid w:val="0061381E"/>
    <w:rsid w:val="00613965"/>
    <w:rsid w:val="00613C37"/>
    <w:rsid w:val="00613CA2"/>
    <w:rsid w:val="00613CDD"/>
    <w:rsid w:val="00613CEB"/>
    <w:rsid w:val="00613DD2"/>
    <w:rsid w:val="006140A8"/>
    <w:rsid w:val="006142C2"/>
    <w:rsid w:val="00614311"/>
    <w:rsid w:val="006143EF"/>
    <w:rsid w:val="00614535"/>
    <w:rsid w:val="00614696"/>
    <w:rsid w:val="006147B5"/>
    <w:rsid w:val="0061486B"/>
    <w:rsid w:val="006148D7"/>
    <w:rsid w:val="00614A5E"/>
    <w:rsid w:val="00614B5E"/>
    <w:rsid w:val="00614D15"/>
    <w:rsid w:val="00614DB1"/>
    <w:rsid w:val="00614E53"/>
    <w:rsid w:val="00614F78"/>
    <w:rsid w:val="00614FA7"/>
    <w:rsid w:val="00614FDC"/>
    <w:rsid w:val="00615280"/>
    <w:rsid w:val="006152CC"/>
    <w:rsid w:val="006152EE"/>
    <w:rsid w:val="00615354"/>
    <w:rsid w:val="00615696"/>
    <w:rsid w:val="00615784"/>
    <w:rsid w:val="00615904"/>
    <w:rsid w:val="006159CC"/>
    <w:rsid w:val="00615DCD"/>
    <w:rsid w:val="00615E0F"/>
    <w:rsid w:val="0061606B"/>
    <w:rsid w:val="006160DA"/>
    <w:rsid w:val="00616210"/>
    <w:rsid w:val="00616271"/>
    <w:rsid w:val="00616285"/>
    <w:rsid w:val="006163B2"/>
    <w:rsid w:val="00616549"/>
    <w:rsid w:val="006165C6"/>
    <w:rsid w:val="0061675B"/>
    <w:rsid w:val="00616820"/>
    <w:rsid w:val="00616B5B"/>
    <w:rsid w:val="00616BD8"/>
    <w:rsid w:val="00616C3E"/>
    <w:rsid w:val="00616D3E"/>
    <w:rsid w:val="00616ED4"/>
    <w:rsid w:val="00616FC2"/>
    <w:rsid w:val="00617116"/>
    <w:rsid w:val="0061728E"/>
    <w:rsid w:val="006173CC"/>
    <w:rsid w:val="006173D0"/>
    <w:rsid w:val="006174D0"/>
    <w:rsid w:val="00617538"/>
    <w:rsid w:val="00617540"/>
    <w:rsid w:val="00617A9B"/>
    <w:rsid w:val="00617B5A"/>
    <w:rsid w:val="00617BAF"/>
    <w:rsid w:val="00617DB4"/>
    <w:rsid w:val="00617F01"/>
    <w:rsid w:val="0062002F"/>
    <w:rsid w:val="006200EF"/>
    <w:rsid w:val="006201AF"/>
    <w:rsid w:val="006201D7"/>
    <w:rsid w:val="0062071C"/>
    <w:rsid w:val="006209A6"/>
    <w:rsid w:val="00620C3A"/>
    <w:rsid w:val="00620F08"/>
    <w:rsid w:val="00620F2F"/>
    <w:rsid w:val="00621051"/>
    <w:rsid w:val="00621197"/>
    <w:rsid w:val="00621217"/>
    <w:rsid w:val="0062148F"/>
    <w:rsid w:val="006214AE"/>
    <w:rsid w:val="00621530"/>
    <w:rsid w:val="006215BB"/>
    <w:rsid w:val="006217AA"/>
    <w:rsid w:val="0062185B"/>
    <w:rsid w:val="00621924"/>
    <w:rsid w:val="00621971"/>
    <w:rsid w:val="00621993"/>
    <w:rsid w:val="00621A6F"/>
    <w:rsid w:val="00621AA8"/>
    <w:rsid w:val="00621AAB"/>
    <w:rsid w:val="00621BB6"/>
    <w:rsid w:val="00621C5F"/>
    <w:rsid w:val="00621C64"/>
    <w:rsid w:val="00621EB9"/>
    <w:rsid w:val="00621EF8"/>
    <w:rsid w:val="00621F83"/>
    <w:rsid w:val="00622017"/>
    <w:rsid w:val="0062213A"/>
    <w:rsid w:val="0062217F"/>
    <w:rsid w:val="006221A3"/>
    <w:rsid w:val="006221A5"/>
    <w:rsid w:val="006221AC"/>
    <w:rsid w:val="00622304"/>
    <w:rsid w:val="00622316"/>
    <w:rsid w:val="0062260E"/>
    <w:rsid w:val="00622611"/>
    <w:rsid w:val="00622618"/>
    <w:rsid w:val="0062284F"/>
    <w:rsid w:val="006228D7"/>
    <w:rsid w:val="00622A94"/>
    <w:rsid w:val="00622BC1"/>
    <w:rsid w:val="00622CFC"/>
    <w:rsid w:val="00622D1B"/>
    <w:rsid w:val="00622D80"/>
    <w:rsid w:val="00622DB3"/>
    <w:rsid w:val="00622EC9"/>
    <w:rsid w:val="00622ECF"/>
    <w:rsid w:val="00622F48"/>
    <w:rsid w:val="00622F8F"/>
    <w:rsid w:val="006230F2"/>
    <w:rsid w:val="0062317C"/>
    <w:rsid w:val="0062325B"/>
    <w:rsid w:val="00623396"/>
    <w:rsid w:val="00623453"/>
    <w:rsid w:val="0062353E"/>
    <w:rsid w:val="006235D8"/>
    <w:rsid w:val="00623824"/>
    <w:rsid w:val="00623927"/>
    <w:rsid w:val="00623AE1"/>
    <w:rsid w:val="00623B7B"/>
    <w:rsid w:val="00623BF8"/>
    <w:rsid w:val="00623CD4"/>
    <w:rsid w:val="00623E10"/>
    <w:rsid w:val="00623F27"/>
    <w:rsid w:val="00624084"/>
    <w:rsid w:val="00624233"/>
    <w:rsid w:val="0062431F"/>
    <w:rsid w:val="00624439"/>
    <w:rsid w:val="0062446B"/>
    <w:rsid w:val="006244D6"/>
    <w:rsid w:val="00624794"/>
    <w:rsid w:val="006247ED"/>
    <w:rsid w:val="00624911"/>
    <w:rsid w:val="00624A11"/>
    <w:rsid w:val="00624BFF"/>
    <w:rsid w:val="00624C14"/>
    <w:rsid w:val="00624C38"/>
    <w:rsid w:val="00624CA9"/>
    <w:rsid w:val="00624DF5"/>
    <w:rsid w:val="00624E5D"/>
    <w:rsid w:val="00624FBC"/>
    <w:rsid w:val="00625006"/>
    <w:rsid w:val="006250D3"/>
    <w:rsid w:val="00625149"/>
    <w:rsid w:val="00625184"/>
    <w:rsid w:val="00625266"/>
    <w:rsid w:val="006252EB"/>
    <w:rsid w:val="00625344"/>
    <w:rsid w:val="00625465"/>
    <w:rsid w:val="006256E9"/>
    <w:rsid w:val="0062593A"/>
    <w:rsid w:val="00625949"/>
    <w:rsid w:val="006259EC"/>
    <w:rsid w:val="006259F9"/>
    <w:rsid w:val="00625B24"/>
    <w:rsid w:val="00625C8E"/>
    <w:rsid w:val="00625C91"/>
    <w:rsid w:val="00625F0B"/>
    <w:rsid w:val="006261B7"/>
    <w:rsid w:val="006262E3"/>
    <w:rsid w:val="00626483"/>
    <w:rsid w:val="006264BC"/>
    <w:rsid w:val="006267E5"/>
    <w:rsid w:val="006268DD"/>
    <w:rsid w:val="00626938"/>
    <w:rsid w:val="00626940"/>
    <w:rsid w:val="00626950"/>
    <w:rsid w:val="00626AE2"/>
    <w:rsid w:val="00626CA4"/>
    <w:rsid w:val="00626E1C"/>
    <w:rsid w:val="00626EC2"/>
    <w:rsid w:val="00627257"/>
    <w:rsid w:val="00627448"/>
    <w:rsid w:val="00627639"/>
    <w:rsid w:val="00627A39"/>
    <w:rsid w:val="00627A9C"/>
    <w:rsid w:val="00627BD5"/>
    <w:rsid w:val="00627CBA"/>
    <w:rsid w:val="00627D91"/>
    <w:rsid w:val="00627DBA"/>
    <w:rsid w:val="00627E62"/>
    <w:rsid w:val="00627EE4"/>
    <w:rsid w:val="00627EF6"/>
    <w:rsid w:val="00627FFC"/>
    <w:rsid w:val="00630184"/>
    <w:rsid w:val="00630427"/>
    <w:rsid w:val="00630647"/>
    <w:rsid w:val="00630772"/>
    <w:rsid w:val="00630825"/>
    <w:rsid w:val="0063096A"/>
    <w:rsid w:val="00630B02"/>
    <w:rsid w:val="00630E5C"/>
    <w:rsid w:val="00630F64"/>
    <w:rsid w:val="00630FF6"/>
    <w:rsid w:val="00631007"/>
    <w:rsid w:val="0063108C"/>
    <w:rsid w:val="00631116"/>
    <w:rsid w:val="0063113B"/>
    <w:rsid w:val="006311AE"/>
    <w:rsid w:val="00631274"/>
    <w:rsid w:val="00631456"/>
    <w:rsid w:val="00631484"/>
    <w:rsid w:val="00631716"/>
    <w:rsid w:val="00631741"/>
    <w:rsid w:val="0063180E"/>
    <w:rsid w:val="006319EB"/>
    <w:rsid w:val="00631A4A"/>
    <w:rsid w:val="00631BC5"/>
    <w:rsid w:val="00631BDF"/>
    <w:rsid w:val="00631C8A"/>
    <w:rsid w:val="00631D7D"/>
    <w:rsid w:val="0063207C"/>
    <w:rsid w:val="0063218C"/>
    <w:rsid w:val="006322D0"/>
    <w:rsid w:val="006322E1"/>
    <w:rsid w:val="006323CB"/>
    <w:rsid w:val="006324B9"/>
    <w:rsid w:val="00632716"/>
    <w:rsid w:val="00632720"/>
    <w:rsid w:val="006327E8"/>
    <w:rsid w:val="00632844"/>
    <w:rsid w:val="006329B0"/>
    <w:rsid w:val="006329BC"/>
    <w:rsid w:val="006329C1"/>
    <w:rsid w:val="00632BEB"/>
    <w:rsid w:val="00632CA3"/>
    <w:rsid w:val="00632DE4"/>
    <w:rsid w:val="00633058"/>
    <w:rsid w:val="006330F8"/>
    <w:rsid w:val="00633135"/>
    <w:rsid w:val="006331CE"/>
    <w:rsid w:val="006331E1"/>
    <w:rsid w:val="00633520"/>
    <w:rsid w:val="006335C9"/>
    <w:rsid w:val="00633872"/>
    <w:rsid w:val="00633878"/>
    <w:rsid w:val="0063390A"/>
    <w:rsid w:val="00633A53"/>
    <w:rsid w:val="00633A5A"/>
    <w:rsid w:val="00633FFE"/>
    <w:rsid w:val="006341E0"/>
    <w:rsid w:val="00634211"/>
    <w:rsid w:val="00634272"/>
    <w:rsid w:val="006342E8"/>
    <w:rsid w:val="006344BF"/>
    <w:rsid w:val="0063461A"/>
    <w:rsid w:val="006346D2"/>
    <w:rsid w:val="00634751"/>
    <w:rsid w:val="006347BD"/>
    <w:rsid w:val="00634834"/>
    <w:rsid w:val="006348B9"/>
    <w:rsid w:val="00634921"/>
    <w:rsid w:val="0063492E"/>
    <w:rsid w:val="00634A13"/>
    <w:rsid w:val="00634A52"/>
    <w:rsid w:val="00634AC5"/>
    <w:rsid w:val="00634B67"/>
    <w:rsid w:val="00634C32"/>
    <w:rsid w:val="00634FF7"/>
    <w:rsid w:val="0063510F"/>
    <w:rsid w:val="00635117"/>
    <w:rsid w:val="0063517B"/>
    <w:rsid w:val="006352A0"/>
    <w:rsid w:val="006352EF"/>
    <w:rsid w:val="00635667"/>
    <w:rsid w:val="00635B37"/>
    <w:rsid w:val="00635CA2"/>
    <w:rsid w:val="00635D51"/>
    <w:rsid w:val="00635D66"/>
    <w:rsid w:val="006360AD"/>
    <w:rsid w:val="00636148"/>
    <w:rsid w:val="00636167"/>
    <w:rsid w:val="006362CC"/>
    <w:rsid w:val="006362F3"/>
    <w:rsid w:val="0063633A"/>
    <w:rsid w:val="006363BF"/>
    <w:rsid w:val="006363FC"/>
    <w:rsid w:val="006364F9"/>
    <w:rsid w:val="0063660D"/>
    <w:rsid w:val="006367F8"/>
    <w:rsid w:val="00636825"/>
    <w:rsid w:val="0063688D"/>
    <w:rsid w:val="006368B3"/>
    <w:rsid w:val="00636961"/>
    <w:rsid w:val="00636A6E"/>
    <w:rsid w:val="00636A71"/>
    <w:rsid w:val="00636AD4"/>
    <w:rsid w:val="00636B85"/>
    <w:rsid w:val="00636DA8"/>
    <w:rsid w:val="00636EA1"/>
    <w:rsid w:val="00637068"/>
    <w:rsid w:val="00637095"/>
    <w:rsid w:val="006370C2"/>
    <w:rsid w:val="006371AF"/>
    <w:rsid w:val="00637388"/>
    <w:rsid w:val="00637432"/>
    <w:rsid w:val="0063762E"/>
    <w:rsid w:val="00637719"/>
    <w:rsid w:val="00637845"/>
    <w:rsid w:val="0063798D"/>
    <w:rsid w:val="00637BEB"/>
    <w:rsid w:val="00637C08"/>
    <w:rsid w:val="00637C70"/>
    <w:rsid w:val="00637D8C"/>
    <w:rsid w:val="00637DE7"/>
    <w:rsid w:val="00637E62"/>
    <w:rsid w:val="00637E71"/>
    <w:rsid w:val="00637F94"/>
    <w:rsid w:val="0064035C"/>
    <w:rsid w:val="006403FB"/>
    <w:rsid w:val="0064049B"/>
    <w:rsid w:val="006404FB"/>
    <w:rsid w:val="0064062E"/>
    <w:rsid w:val="00640699"/>
    <w:rsid w:val="006406D8"/>
    <w:rsid w:val="0064076A"/>
    <w:rsid w:val="0064081B"/>
    <w:rsid w:val="00640A9C"/>
    <w:rsid w:val="00640BF4"/>
    <w:rsid w:val="00640CEB"/>
    <w:rsid w:val="00640DB2"/>
    <w:rsid w:val="00640F21"/>
    <w:rsid w:val="00640FDE"/>
    <w:rsid w:val="00641014"/>
    <w:rsid w:val="00641109"/>
    <w:rsid w:val="0064110D"/>
    <w:rsid w:val="00641116"/>
    <w:rsid w:val="0064134E"/>
    <w:rsid w:val="00641372"/>
    <w:rsid w:val="00641396"/>
    <w:rsid w:val="006416C0"/>
    <w:rsid w:val="006416F8"/>
    <w:rsid w:val="0064173B"/>
    <w:rsid w:val="006417BD"/>
    <w:rsid w:val="006418DA"/>
    <w:rsid w:val="00641949"/>
    <w:rsid w:val="00641979"/>
    <w:rsid w:val="006419C1"/>
    <w:rsid w:val="00641A1A"/>
    <w:rsid w:val="00641A48"/>
    <w:rsid w:val="00641AB4"/>
    <w:rsid w:val="00641B0B"/>
    <w:rsid w:val="00641E2C"/>
    <w:rsid w:val="00641EB0"/>
    <w:rsid w:val="00641EB8"/>
    <w:rsid w:val="0064213F"/>
    <w:rsid w:val="0064223B"/>
    <w:rsid w:val="00642277"/>
    <w:rsid w:val="006422B0"/>
    <w:rsid w:val="006422C4"/>
    <w:rsid w:val="006423BD"/>
    <w:rsid w:val="00642432"/>
    <w:rsid w:val="006424FA"/>
    <w:rsid w:val="00642617"/>
    <w:rsid w:val="00642637"/>
    <w:rsid w:val="00642793"/>
    <w:rsid w:val="006427AA"/>
    <w:rsid w:val="006429C3"/>
    <w:rsid w:val="006429D7"/>
    <w:rsid w:val="00642A02"/>
    <w:rsid w:val="00642A59"/>
    <w:rsid w:val="00642BDF"/>
    <w:rsid w:val="00642DD7"/>
    <w:rsid w:val="00642E7C"/>
    <w:rsid w:val="00642EA2"/>
    <w:rsid w:val="00642ED4"/>
    <w:rsid w:val="006431D9"/>
    <w:rsid w:val="00643218"/>
    <w:rsid w:val="0064325D"/>
    <w:rsid w:val="00643445"/>
    <w:rsid w:val="00643525"/>
    <w:rsid w:val="0064366E"/>
    <w:rsid w:val="00643743"/>
    <w:rsid w:val="00643744"/>
    <w:rsid w:val="006437B6"/>
    <w:rsid w:val="006437BB"/>
    <w:rsid w:val="00643801"/>
    <w:rsid w:val="006439D1"/>
    <w:rsid w:val="00643AD5"/>
    <w:rsid w:val="00643B76"/>
    <w:rsid w:val="00643C86"/>
    <w:rsid w:val="00643D1E"/>
    <w:rsid w:val="00643D2A"/>
    <w:rsid w:val="00643E55"/>
    <w:rsid w:val="00643F24"/>
    <w:rsid w:val="00644042"/>
    <w:rsid w:val="006441B0"/>
    <w:rsid w:val="006441ED"/>
    <w:rsid w:val="00644333"/>
    <w:rsid w:val="006443A5"/>
    <w:rsid w:val="00644444"/>
    <w:rsid w:val="00644632"/>
    <w:rsid w:val="00644661"/>
    <w:rsid w:val="00644671"/>
    <w:rsid w:val="00644923"/>
    <w:rsid w:val="00644A0E"/>
    <w:rsid w:val="00644A35"/>
    <w:rsid w:val="00644B1D"/>
    <w:rsid w:val="00644D59"/>
    <w:rsid w:val="00644F6C"/>
    <w:rsid w:val="0064505D"/>
    <w:rsid w:val="00645165"/>
    <w:rsid w:val="00645263"/>
    <w:rsid w:val="0064540B"/>
    <w:rsid w:val="00645512"/>
    <w:rsid w:val="0064553A"/>
    <w:rsid w:val="00645572"/>
    <w:rsid w:val="00645747"/>
    <w:rsid w:val="0064581F"/>
    <w:rsid w:val="0064593E"/>
    <w:rsid w:val="00645982"/>
    <w:rsid w:val="00645985"/>
    <w:rsid w:val="00645A23"/>
    <w:rsid w:val="00645C31"/>
    <w:rsid w:val="00645E2C"/>
    <w:rsid w:val="00646056"/>
    <w:rsid w:val="00646094"/>
    <w:rsid w:val="0064618C"/>
    <w:rsid w:val="00646417"/>
    <w:rsid w:val="00646680"/>
    <w:rsid w:val="00646765"/>
    <w:rsid w:val="00646806"/>
    <w:rsid w:val="00646C53"/>
    <w:rsid w:val="00646CEE"/>
    <w:rsid w:val="00646E29"/>
    <w:rsid w:val="00647033"/>
    <w:rsid w:val="006471D5"/>
    <w:rsid w:val="0064726A"/>
    <w:rsid w:val="006473E9"/>
    <w:rsid w:val="00647569"/>
    <w:rsid w:val="006475C5"/>
    <w:rsid w:val="00647612"/>
    <w:rsid w:val="006476B7"/>
    <w:rsid w:val="006476EC"/>
    <w:rsid w:val="006476F2"/>
    <w:rsid w:val="0064770D"/>
    <w:rsid w:val="00647736"/>
    <w:rsid w:val="00647A1D"/>
    <w:rsid w:val="00647A93"/>
    <w:rsid w:val="00647ADD"/>
    <w:rsid w:val="00647C04"/>
    <w:rsid w:val="00647C25"/>
    <w:rsid w:val="00647C6B"/>
    <w:rsid w:val="00647C96"/>
    <w:rsid w:val="00647DE9"/>
    <w:rsid w:val="00647E88"/>
    <w:rsid w:val="0065021A"/>
    <w:rsid w:val="00650325"/>
    <w:rsid w:val="006504FC"/>
    <w:rsid w:val="006507DD"/>
    <w:rsid w:val="00650917"/>
    <w:rsid w:val="00650933"/>
    <w:rsid w:val="0065097F"/>
    <w:rsid w:val="00650C1D"/>
    <w:rsid w:val="00650C93"/>
    <w:rsid w:val="00650CFA"/>
    <w:rsid w:val="00650DF3"/>
    <w:rsid w:val="00650EFF"/>
    <w:rsid w:val="0065101A"/>
    <w:rsid w:val="00651244"/>
    <w:rsid w:val="00651264"/>
    <w:rsid w:val="006514E8"/>
    <w:rsid w:val="0065162B"/>
    <w:rsid w:val="006516A2"/>
    <w:rsid w:val="006516DE"/>
    <w:rsid w:val="006516EF"/>
    <w:rsid w:val="006517A8"/>
    <w:rsid w:val="00651983"/>
    <w:rsid w:val="0065198C"/>
    <w:rsid w:val="00651A03"/>
    <w:rsid w:val="00651AE6"/>
    <w:rsid w:val="00651C19"/>
    <w:rsid w:val="00651C82"/>
    <w:rsid w:val="00651CB6"/>
    <w:rsid w:val="00651D53"/>
    <w:rsid w:val="00651E02"/>
    <w:rsid w:val="00651F85"/>
    <w:rsid w:val="00651F89"/>
    <w:rsid w:val="00652227"/>
    <w:rsid w:val="0065240B"/>
    <w:rsid w:val="0065248A"/>
    <w:rsid w:val="00652566"/>
    <w:rsid w:val="00652660"/>
    <w:rsid w:val="006528F2"/>
    <w:rsid w:val="00652AF6"/>
    <w:rsid w:val="00652B91"/>
    <w:rsid w:val="00652CDB"/>
    <w:rsid w:val="00652D31"/>
    <w:rsid w:val="00652EE1"/>
    <w:rsid w:val="00653107"/>
    <w:rsid w:val="006531C6"/>
    <w:rsid w:val="006532AE"/>
    <w:rsid w:val="006532C7"/>
    <w:rsid w:val="006533AE"/>
    <w:rsid w:val="0065391C"/>
    <w:rsid w:val="00653ABB"/>
    <w:rsid w:val="00653AE6"/>
    <w:rsid w:val="00653B7F"/>
    <w:rsid w:val="00653C00"/>
    <w:rsid w:val="00653C0C"/>
    <w:rsid w:val="00653D5B"/>
    <w:rsid w:val="00653F18"/>
    <w:rsid w:val="0065400D"/>
    <w:rsid w:val="0065405A"/>
    <w:rsid w:val="00654136"/>
    <w:rsid w:val="00654244"/>
    <w:rsid w:val="006542E6"/>
    <w:rsid w:val="006543B8"/>
    <w:rsid w:val="00654405"/>
    <w:rsid w:val="006544A7"/>
    <w:rsid w:val="006546DD"/>
    <w:rsid w:val="006546F1"/>
    <w:rsid w:val="00654769"/>
    <w:rsid w:val="006548B9"/>
    <w:rsid w:val="00654D37"/>
    <w:rsid w:val="00654E22"/>
    <w:rsid w:val="006550B2"/>
    <w:rsid w:val="00655186"/>
    <w:rsid w:val="006551E3"/>
    <w:rsid w:val="006551FE"/>
    <w:rsid w:val="00655200"/>
    <w:rsid w:val="0065532D"/>
    <w:rsid w:val="00655358"/>
    <w:rsid w:val="0065544D"/>
    <w:rsid w:val="006554EB"/>
    <w:rsid w:val="00655513"/>
    <w:rsid w:val="0065561B"/>
    <w:rsid w:val="006556DE"/>
    <w:rsid w:val="00655881"/>
    <w:rsid w:val="0065597E"/>
    <w:rsid w:val="00655BBE"/>
    <w:rsid w:val="00655C11"/>
    <w:rsid w:val="00655C17"/>
    <w:rsid w:val="00655C23"/>
    <w:rsid w:val="00655C69"/>
    <w:rsid w:val="00655DE5"/>
    <w:rsid w:val="00655FE5"/>
    <w:rsid w:val="00656082"/>
    <w:rsid w:val="00656088"/>
    <w:rsid w:val="0065614D"/>
    <w:rsid w:val="0065630B"/>
    <w:rsid w:val="0065641C"/>
    <w:rsid w:val="0065660F"/>
    <w:rsid w:val="00656622"/>
    <w:rsid w:val="006566DB"/>
    <w:rsid w:val="006567E6"/>
    <w:rsid w:val="00656829"/>
    <w:rsid w:val="006569B1"/>
    <w:rsid w:val="00656A89"/>
    <w:rsid w:val="00656CA0"/>
    <w:rsid w:val="00656CC4"/>
    <w:rsid w:val="00656E85"/>
    <w:rsid w:val="00656E88"/>
    <w:rsid w:val="006572E4"/>
    <w:rsid w:val="0065736B"/>
    <w:rsid w:val="006574C9"/>
    <w:rsid w:val="00657517"/>
    <w:rsid w:val="0065754A"/>
    <w:rsid w:val="006576DC"/>
    <w:rsid w:val="00657850"/>
    <w:rsid w:val="0065785A"/>
    <w:rsid w:val="0065786E"/>
    <w:rsid w:val="00657963"/>
    <w:rsid w:val="00657998"/>
    <w:rsid w:val="00657AAA"/>
    <w:rsid w:val="00657AC1"/>
    <w:rsid w:val="00657ACC"/>
    <w:rsid w:val="00657D2D"/>
    <w:rsid w:val="00657D5A"/>
    <w:rsid w:val="00657E96"/>
    <w:rsid w:val="00657F0E"/>
    <w:rsid w:val="00660382"/>
    <w:rsid w:val="006603F4"/>
    <w:rsid w:val="0066060B"/>
    <w:rsid w:val="0066064D"/>
    <w:rsid w:val="0066068A"/>
    <w:rsid w:val="006608B9"/>
    <w:rsid w:val="00660A3A"/>
    <w:rsid w:val="00660EEC"/>
    <w:rsid w:val="006610B1"/>
    <w:rsid w:val="006611AB"/>
    <w:rsid w:val="006611E2"/>
    <w:rsid w:val="0066134C"/>
    <w:rsid w:val="00661384"/>
    <w:rsid w:val="00661546"/>
    <w:rsid w:val="00661704"/>
    <w:rsid w:val="006617A3"/>
    <w:rsid w:val="006617B7"/>
    <w:rsid w:val="00661854"/>
    <w:rsid w:val="00661874"/>
    <w:rsid w:val="00661985"/>
    <w:rsid w:val="006619C0"/>
    <w:rsid w:val="00661AC7"/>
    <w:rsid w:val="00661BEB"/>
    <w:rsid w:val="00661DC9"/>
    <w:rsid w:val="00661EA3"/>
    <w:rsid w:val="006622E7"/>
    <w:rsid w:val="0066249A"/>
    <w:rsid w:val="006626BB"/>
    <w:rsid w:val="0066278A"/>
    <w:rsid w:val="00662A7B"/>
    <w:rsid w:val="00662B06"/>
    <w:rsid w:val="00662B2D"/>
    <w:rsid w:val="00662BD7"/>
    <w:rsid w:val="00662E6D"/>
    <w:rsid w:val="00662E8D"/>
    <w:rsid w:val="00662ECB"/>
    <w:rsid w:val="00662F60"/>
    <w:rsid w:val="00662FB2"/>
    <w:rsid w:val="0066304D"/>
    <w:rsid w:val="0066321D"/>
    <w:rsid w:val="00663405"/>
    <w:rsid w:val="0066348B"/>
    <w:rsid w:val="0066348D"/>
    <w:rsid w:val="0066350B"/>
    <w:rsid w:val="0066352B"/>
    <w:rsid w:val="00663537"/>
    <w:rsid w:val="0066355C"/>
    <w:rsid w:val="00663645"/>
    <w:rsid w:val="00663831"/>
    <w:rsid w:val="006638E7"/>
    <w:rsid w:val="00663919"/>
    <w:rsid w:val="00663979"/>
    <w:rsid w:val="00663981"/>
    <w:rsid w:val="00663B72"/>
    <w:rsid w:val="00663CE0"/>
    <w:rsid w:val="00663CE9"/>
    <w:rsid w:val="00663D2C"/>
    <w:rsid w:val="00663E24"/>
    <w:rsid w:val="00663EAD"/>
    <w:rsid w:val="00663EF9"/>
    <w:rsid w:val="00663FD6"/>
    <w:rsid w:val="00663FF2"/>
    <w:rsid w:val="006641D5"/>
    <w:rsid w:val="0066420A"/>
    <w:rsid w:val="00664332"/>
    <w:rsid w:val="0066443E"/>
    <w:rsid w:val="00664454"/>
    <w:rsid w:val="006644DF"/>
    <w:rsid w:val="006644F1"/>
    <w:rsid w:val="00664782"/>
    <w:rsid w:val="006648C5"/>
    <w:rsid w:val="00664B8C"/>
    <w:rsid w:val="00664C48"/>
    <w:rsid w:val="00664E19"/>
    <w:rsid w:val="00665009"/>
    <w:rsid w:val="0066502C"/>
    <w:rsid w:val="0066515B"/>
    <w:rsid w:val="00665717"/>
    <w:rsid w:val="00665883"/>
    <w:rsid w:val="006658A8"/>
    <w:rsid w:val="006659B3"/>
    <w:rsid w:val="00665A24"/>
    <w:rsid w:val="00665BBE"/>
    <w:rsid w:val="00665E71"/>
    <w:rsid w:val="006660BD"/>
    <w:rsid w:val="00666157"/>
    <w:rsid w:val="00666238"/>
    <w:rsid w:val="006662E1"/>
    <w:rsid w:val="0066631E"/>
    <w:rsid w:val="00666571"/>
    <w:rsid w:val="0066658C"/>
    <w:rsid w:val="00666700"/>
    <w:rsid w:val="0066678A"/>
    <w:rsid w:val="0066686E"/>
    <w:rsid w:val="00666934"/>
    <w:rsid w:val="006669F9"/>
    <w:rsid w:val="00666B41"/>
    <w:rsid w:val="00666BAD"/>
    <w:rsid w:val="00666BF4"/>
    <w:rsid w:val="00666CA8"/>
    <w:rsid w:val="00666E05"/>
    <w:rsid w:val="00666E27"/>
    <w:rsid w:val="00666F72"/>
    <w:rsid w:val="00666FBB"/>
    <w:rsid w:val="00667097"/>
    <w:rsid w:val="0066726D"/>
    <w:rsid w:val="006672C3"/>
    <w:rsid w:val="00667355"/>
    <w:rsid w:val="006673CA"/>
    <w:rsid w:val="00667409"/>
    <w:rsid w:val="0066741B"/>
    <w:rsid w:val="006675FF"/>
    <w:rsid w:val="00667768"/>
    <w:rsid w:val="00667968"/>
    <w:rsid w:val="00667A4A"/>
    <w:rsid w:val="00667CBE"/>
    <w:rsid w:val="00667DFE"/>
    <w:rsid w:val="00667E42"/>
    <w:rsid w:val="00667EA7"/>
    <w:rsid w:val="00670015"/>
    <w:rsid w:val="00670080"/>
    <w:rsid w:val="00670554"/>
    <w:rsid w:val="006705B6"/>
    <w:rsid w:val="006708F4"/>
    <w:rsid w:val="0067094D"/>
    <w:rsid w:val="00670A5E"/>
    <w:rsid w:val="00670A7F"/>
    <w:rsid w:val="00670E34"/>
    <w:rsid w:val="00670E53"/>
    <w:rsid w:val="00670E8D"/>
    <w:rsid w:val="00670F16"/>
    <w:rsid w:val="00670FF5"/>
    <w:rsid w:val="00671199"/>
    <w:rsid w:val="0067120A"/>
    <w:rsid w:val="0067127E"/>
    <w:rsid w:val="006712D0"/>
    <w:rsid w:val="006712D2"/>
    <w:rsid w:val="006714D6"/>
    <w:rsid w:val="006716C3"/>
    <w:rsid w:val="006718C4"/>
    <w:rsid w:val="0067194D"/>
    <w:rsid w:val="006719C9"/>
    <w:rsid w:val="00671F3B"/>
    <w:rsid w:val="00671F74"/>
    <w:rsid w:val="00671FB6"/>
    <w:rsid w:val="006720E7"/>
    <w:rsid w:val="006721EA"/>
    <w:rsid w:val="006722B6"/>
    <w:rsid w:val="00672376"/>
    <w:rsid w:val="006723CC"/>
    <w:rsid w:val="006723F1"/>
    <w:rsid w:val="0067240D"/>
    <w:rsid w:val="006728B7"/>
    <w:rsid w:val="00672A38"/>
    <w:rsid w:val="00672B23"/>
    <w:rsid w:val="00672BBF"/>
    <w:rsid w:val="00672BCD"/>
    <w:rsid w:val="00672DF7"/>
    <w:rsid w:val="00673075"/>
    <w:rsid w:val="0067307B"/>
    <w:rsid w:val="006730C4"/>
    <w:rsid w:val="006732A1"/>
    <w:rsid w:val="006732E8"/>
    <w:rsid w:val="00673461"/>
    <w:rsid w:val="00673489"/>
    <w:rsid w:val="006739C4"/>
    <w:rsid w:val="00673B19"/>
    <w:rsid w:val="00673BA3"/>
    <w:rsid w:val="00673E2D"/>
    <w:rsid w:val="00673E38"/>
    <w:rsid w:val="00673E80"/>
    <w:rsid w:val="00673F12"/>
    <w:rsid w:val="00673F69"/>
    <w:rsid w:val="00673F7C"/>
    <w:rsid w:val="006740FB"/>
    <w:rsid w:val="006745E4"/>
    <w:rsid w:val="0067469E"/>
    <w:rsid w:val="00674705"/>
    <w:rsid w:val="00674710"/>
    <w:rsid w:val="00674914"/>
    <w:rsid w:val="0067493B"/>
    <w:rsid w:val="0067495B"/>
    <w:rsid w:val="006749AF"/>
    <w:rsid w:val="00674DC6"/>
    <w:rsid w:val="00674DF3"/>
    <w:rsid w:val="00674ECC"/>
    <w:rsid w:val="00675183"/>
    <w:rsid w:val="00675199"/>
    <w:rsid w:val="006751B5"/>
    <w:rsid w:val="0067526C"/>
    <w:rsid w:val="0067536E"/>
    <w:rsid w:val="006753BD"/>
    <w:rsid w:val="006753F3"/>
    <w:rsid w:val="00675446"/>
    <w:rsid w:val="006754B3"/>
    <w:rsid w:val="006755A7"/>
    <w:rsid w:val="0067577A"/>
    <w:rsid w:val="006757E4"/>
    <w:rsid w:val="006757E6"/>
    <w:rsid w:val="0067582B"/>
    <w:rsid w:val="006758CC"/>
    <w:rsid w:val="00675924"/>
    <w:rsid w:val="0067592B"/>
    <w:rsid w:val="0067592F"/>
    <w:rsid w:val="00675A02"/>
    <w:rsid w:val="00675A3F"/>
    <w:rsid w:val="00675B34"/>
    <w:rsid w:val="00675CA0"/>
    <w:rsid w:val="00675CBE"/>
    <w:rsid w:val="00675CED"/>
    <w:rsid w:val="00675E91"/>
    <w:rsid w:val="00675F73"/>
    <w:rsid w:val="0067604E"/>
    <w:rsid w:val="006760B2"/>
    <w:rsid w:val="0067619F"/>
    <w:rsid w:val="0067625A"/>
    <w:rsid w:val="0067627C"/>
    <w:rsid w:val="006763D4"/>
    <w:rsid w:val="006763E7"/>
    <w:rsid w:val="006764F0"/>
    <w:rsid w:val="0067650F"/>
    <w:rsid w:val="0067653D"/>
    <w:rsid w:val="00676703"/>
    <w:rsid w:val="0067680C"/>
    <w:rsid w:val="00676A56"/>
    <w:rsid w:val="00676A8A"/>
    <w:rsid w:val="00676AA4"/>
    <w:rsid w:val="00676BC2"/>
    <w:rsid w:val="00676CE2"/>
    <w:rsid w:val="00676D97"/>
    <w:rsid w:val="00676E1A"/>
    <w:rsid w:val="00676E29"/>
    <w:rsid w:val="006770AB"/>
    <w:rsid w:val="006771BE"/>
    <w:rsid w:val="006773F1"/>
    <w:rsid w:val="00677451"/>
    <w:rsid w:val="006774EB"/>
    <w:rsid w:val="006775B0"/>
    <w:rsid w:val="006776CA"/>
    <w:rsid w:val="006777A6"/>
    <w:rsid w:val="00677809"/>
    <w:rsid w:val="00677912"/>
    <w:rsid w:val="00677AF1"/>
    <w:rsid w:val="00677BDD"/>
    <w:rsid w:val="00677C50"/>
    <w:rsid w:val="00677D63"/>
    <w:rsid w:val="00677DE6"/>
    <w:rsid w:val="00677EF9"/>
    <w:rsid w:val="00677FF9"/>
    <w:rsid w:val="006800B0"/>
    <w:rsid w:val="006800E2"/>
    <w:rsid w:val="00680189"/>
    <w:rsid w:val="0068019E"/>
    <w:rsid w:val="00680430"/>
    <w:rsid w:val="0068046C"/>
    <w:rsid w:val="00680832"/>
    <w:rsid w:val="00680837"/>
    <w:rsid w:val="0068098A"/>
    <w:rsid w:val="00680BF8"/>
    <w:rsid w:val="0068118A"/>
    <w:rsid w:val="006811AC"/>
    <w:rsid w:val="00681229"/>
    <w:rsid w:val="00681240"/>
    <w:rsid w:val="006812C2"/>
    <w:rsid w:val="0068130E"/>
    <w:rsid w:val="006813F8"/>
    <w:rsid w:val="00681503"/>
    <w:rsid w:val="00681577"/>
    <w:rsid w:val="00681683"/>
    <w:rsid w:val="006816A5"/>
    <w:rsid w:val="00681723"/>
    <w:rsid w:val="006818B6"/>
    <w:rsid w:val="00681926"/>
    <w:rsid w:val="006819FA"/>
    <w:rsid w:val="00681A25"/>
    <w:rsid w:val="00681AB0"/>
    <w:rsid w:val="00681BE4"/>
    <w:rsid w:val="00681DE0"/>
    <w:rsid w:val="00681E58"/>
    <w:rsid w:val="00681EE1"/>
    <w:rsid w:val="00681F21"/>
    <w:rsid w:val="00681FD9"/>
    <w:rsid w:val="00681FE0"/>
    <w:rsid w:val="00682039"/>
    <w:rsid w:val="006820F7"/>
    <w:rsid w:val="0068213D"/>
    <w:rsid w:val="006823E6"/>
    <w:rsid w:val="00682542"/>
    <w:rsid w:val="00682808"/>
    <w:rsid w:val="006829DE"/>
    <w:rsid w:val="00682F6F"/>
    <w:rsid w:val="00683139"/>
    <w:rsid w:val="006831EB"/>
    <w:rsid w:val="006832B5"/>
    <w:rsid w:val="0068330C"/>
    <w:rsid w:val="00683370"/>
    <w:rsid w:val="006833D8"/>
    <w:rsid w:val="006833F4"/>
    <w:rsid w:val="006834FC"/>
    <w:rsid w:val="00683533"/>
    <w:rsid w:val="006835D0"/>
    <w:rsid w:val="006835F1"/>
    <w:rsid w:val="00683622"/>
    <w:rsid w:val="0068388B"/>
    <w:rsid w:val="00683900"/>
    <w:rsid w:val="00683A7E"/>
    <w:rsid w:val="00683AC7"/>
    <w:rsid w:val="00683B8F"/>
    <w:rsid w:val="00683C3C"/>
    <w:rsid w:val="00683C60"/>
    <w:rsid w:val="00683C81"/>
    <w:rsid w:val="00683D76"/>
    <w:rsid w:val="00683E9E"/>
    <w:rsid w:val="00683EB5"/>
    <w:rsid w:val="00683EB8"/>
    <w:rsid w:val="00683F49"/>
    <w:rsid w:val="00683FB8"/>
    <w:rsid w:val="006840A4"/>
    <w:rsid w:val="006841BE"/>
    <w:rsid w:val="00684235"/>
    <w:rsid w:val="006842EC"/>
    <w:rsid w:val="00684554"/>
    <w:rsid w:val="006845D2"/>
    <w:rsid w:val="006845E8"/>
    <w:rsid w:val="00684659"/>
    <w:rsid w:val="00684678"/>
    <w:rsid w:val="0068476C"/>
    <w:rsid w:val="006848A9"/>
    <w:rsid w:val="00684A02"/>
    <w:rsid w:val="00684B0F"/>
    <w:rsid w:val="00684B14"/>
    <w:rsid w:val="00684B9D"/>
    <w:rsid w:val="00684DA4"/>
    <w:rsid w:val="00684FB8"/>
    <w:rsid w:val="0068509B"/>
    <w:rsid w:val="006850B2"/>
    <w:rsid w:val="006850C6"/>
    <w:rsid w:val="006851D5"/>
    <w:rsid w:val="00685212"/>
    <w:rsid w:val="0068529E"/>
    <w:rsid w:val="0068531B"/>
    <w:rsid w:val="006854AE"/>
    <w:rsid w:val="006854D2"/>
    <w:rsid w:val="006858BE"/>
    <w:rsid w:val="00685975"/>
    <w:rsid w:val="00685994"/>
    <w:rsid w:val="00685A39"/>
    <w:rsid w:val="00685AA0"/>
    <w:rsid w:val="00685B36"/>
    <w:rsid w:val="00685B7E"/>
    <w:rsid w:val="00685B90"/>
    <w:rsid w:val="00685BF1"/>
    <w:rsid w:val="00685C10"/>
    <w:rsid w:val="00685D76"/>
    <w:rsid w:val="00685DC3"/>
    <w:rsid w:val="00686267"/>
    <w:rsid w:val="00686296"/>
    <w:rsid w:val="0068643D"/>
    <w:rsid w:val="00686603"/>
    <w:rsid w:val="006868C9"/>
    <w:rsid w:val="00686AC6"/>
    <w:rsid w:val="00686D20"/>
    <w:rsid w:val="00686D35"/>
    <w:rsid w:val="00686DA8"/>
    <w:rsid w:val="00686E0D"/>
    <w:rsid w:val="00686F29"/>
    <w:rsid w:val="0068713C"/>
    <w:rsid w:val="006872DD"/>
    <w:rsid w:val="00687345"/>
    <w:rsid w:val="0068745D"/>
    <w:rsid w:val="006875CE"/>
    <w:rsid w:val="00687863"/>
    <w:rsid w:val="00687898"/>
    <w:rsid w:val="00687972"/>
    <w:rsid w:val="00687A3F"/>
    <w:rsid w:val="00687C51"/>
    <w:rsid w:val="00687C83"/>
    <w:rsid w:val="00687D10"/>
    <w:rsid w:val="00687D24"/>
    <w:rsid w:val="00687F60"/>
    <w:rsid w:val="00690009"/>
    <w:rsid w:val="00690111"/>
    <w:rsid w:val="0069020D"/>
    <w:rsid w:val="0069023A"/>
    <w:rsid w:val="006904FD"/>
    <w:rsid w:val="00690563"/>
    <w:rsid w:val="00690576"/>
    <w:rsid w:val="00690687"/>
    <w:rsid w:val="00690695"/>
    <w:rsid w:val="0069075A"/>
    <w:rsid w:val="00690A17"/>
    <w:rsid w:val="00690C87"/>
    <w:rsid w:val="00690CEE"/>
    <w:rsid w:val="00690D88"/>
    <w:rsid w:val="00690EBD"/>
    <w:rsid w:val="00690ECE"/>
    <w:rsid w:val="0069105E"/>
    <w:rsid w:val="006910ED"/>
    <w:rsid w:val="0069129C"/>
    <w:rsid w:val="006913BE"/>
    <w:rsid w:val="00691421"/>
    <w:rsid w:val="0069142E"/>
    <w:rsid w:val="00691618"/>
    <w:rsid w:val="00691720"/>
    <w:rsid w:val="00691776"/>
    <w:rsid w:val="006917F4"/>
    <w:rsid w:val="006918C1"/>
    <w:rsid w:val="00691A7D"/>
    <w:rsid w:val="00691B24"/>
    <w:rsid w:val="00691F15"/>
    <w:rsid w:val="00691F76"/>
    <w:rsid w:val="00691FCE"/>
    <w:rsid w:val="006920E7"/>
    <w:rsid w:val="00692125"/>
    <w:rsid w:val="00692166"/>
    <w:rsid w:val="00692190"/>
    <w:rsid w:val="0069229D"/>
    <w:rsid w:val="0069231B"/>
    <w:rsid w:val="006923CB"/>
    <w:rsid w:val="00692518"/>
    <w:rsid w:val="006927D8"/>
    <w:rsid w:val="0069282F"/>
    <w:rsid w:val="00692868"/>
    <w:rsid w:val="00692884"/>
    <w:rsid w:val="006928F5"/>
    <w:rsid w:val="00692941"/>
    <w:rsid w:val="00692A78"/>
    <w:rsid w:val="00692B33"/>
    <w:rsid w:val="00692B7B"/>
    <w:rsid w:val="00692C85"/>
    <w:rsid w:val="00692F10"/>
    <w:rsid w:val="0069310A"/>
    <w:rsid w:val="00693221"/>
    <w:rsid w:val="00693275"/>
    <w:rsid w:val="006932B6"/>
    <w:rsid w:val="00693456"/>
    <w:rsid w:val="0069348E"/>
    <w:rsid w:val="006934CA"/>
    <w:rsid w:val="00693588"/>
    <w:rsid w:val="00693689"/>
    <w:rsid w:val="00693690"/>
    <w:rsid w:val="0069380A"/>
    <w:rsid w:val="00693967"/>
    <w:rsid w:val="006939BD"/>
    <w:rsid w:val="00693BE5"/>
    <w:rsid w:val="00693CD2"/>
    <w:rsid w:val="00693CD5"/>
    <w:rsid w:val="00693F78"/>
    <w:rsid w:val="00694182"/>
    <w:rsid w:val="006941B9"/>
    <w:rsid w:val="0069428A"/>
    <w:rsid w:val="0069446B"/>
    <w:rsid w:val="00694594"/>
    <w:rsid w:val="00694707"/>
    <w:rsid w:val="00694725"/>
    <w:rsid w:val="00694A52"/>
    <w:rsid w:val="00694A7B"/>
    <w:rsid w:val="00694B95"/>
    <w:rsid w:val="00694C74"/>
    <w:rsid w:val="00694C7E"/>
    <w:rsid w:val="00694CF7"/>
    <w:rsid w:val="00694D13"/>
    <w:rsid w:val="00694D22"/>
    <w:rsid w:val="00694D9F"/>
    <w:rsid w:val="00694ED9"/>
    <w:rsid w:val="00695311"/>
    <w:rsid w:val="0069569A"/>
    <w:rsid w:val="006957FD"/>
    <w:rsid w:val="006958CF"/>
    <w:rsid w:val="0069592B"/>
    <w:rsid w:val="00695B1D"/>
    <w:rsid w:val="00695D8C"/>
    <w:rsid w:val="00695E54"/>
    <w:rsid w:val="00695E71"/>
    <w:rsid w:val="00695E9D"/>
    <w:rsid w:val="00695EEC"/>
    <w:rsid w:val="00695F16"/>
    <w:rsid w:val="0069605B"/>
    <w:rsid w:val="00696193"/>
    <w:rsid w:val="006962AC"/>
    <w:rsid w:val="00696415"/>
    <w:rsid w:val="0069653E"/>
    <w:rsid w:val="006965CD"/>
    <w:rsid w:val="006965E3"/>
    <w:rsid w:val="00696692"/>
    <w:rsid w:val="00696751"/>
    <w:rsid w:val="00696900"/>
    <w:rsid w:val="00696AF9"/>
    <w:rsid w:val="00696B49"/>
    <w:rsid w:val="00696C98"/>
    <w:rsid w:val="00697033"/>
    <w:rsid w:val="0069717B"/>
    <w:rsid w:val="006972AD"/>
    <w:rsid w:val="00697337"/>
    <w:rsid w:val="0069746E"/>
    <w:rsid w:val="00697715"/>
    <w:rsid w:val="006977CB"/>
    <w:rsid w:val="00697831"/>
    <w:rsid w:val="006978AF"/>
    <w:rsid w:val="006979F1"/>
    <w:rsid w:val="006979F5"/>
    <w:rsid w:val="00697ADA"/>
    <w:rsid w:val="00697B63"/>
    <w:rsid w:val="00697B73"/>
    <w:rsid w:val="00697BA3"/>
    <w:rsid w:val="00697BB7"/>
    <w:rsid w:val="00697D4E"/>
    <w:rsid w:val="00697D5C"/>
    <w:rsid w:val="00697D8D"/>
    <w:rsid w:val="00697E1C"/>
    <w:rsid w:val="00697EFF"/>
    <w:rsid w:val="006A003F"/>
    <w:rsid w:val="006A017A"/>
    <w:rsid w:val="006A018A"/>
    <w:rsid w:val="006A01FE"/>
    <w:rsid w:val="006A02DC"/>
    <w:rsid w:val="006A0345"/>
    <w:rsid w:val="006A040C"/>
    <w:rsid w:val="006A049C"/>
    <w:rsid w:val="006A0680"/>
    <w:rsid w:val="006A07BE"/>
    <w:rsid w:val="006A0815"/>
    <w:rsid w:val="006A0851"/>
    <w:rsid w:val="006A08F5"/>
    <w:rsid w:val="006A09F6"/>
    <w:rsid w:val="006A0AA8"/>
    <w:rsid w:val="006A0C35"/>
    <w:rsid w:val="006A0F01"/>
    <w:rsid w:val="006A0F7B"/>
    <w:rsid w:val="006A0F8D"/>
    <w:rsid w:val="006A0F99"/>
    <w:rsid w:val="006A1169"/>
    <w:rsid w:val="006A11FA"/>
    <w:rsid w:val="006A131D"/>
    <w:rsid w:val="006A147E"/>
    <w:rsid w:val="006A1572"/>
    <w:rsid w:val="006A15E0"/>
    <w:rsid w:val="006A162D"/>
    <w:rsid w:val="006A1754"/>
    <w:rsid w:val="006A17DF"/>
    <w:rsid w:val="006A1897"/>
    <w:rsid w:val="006A1A12"/>
    <w:rsid w:val="006A1B49"/>
    <w:rsid w:val="006A1C06"/>
    <w:rsid w:val="006A1D72"/>
    <w:rsid w:val="006A1F09"/>
    <w:rsid w:val="006A2072"/>
    <w:rsid w:val="006A233E"/>
    <w:rsid w:val="006A251E"/>
    <w:rsid w:val="006A2795"/>
    <w:rsid w:val="006A281A"/>
    <w:rsid w:val="006A292C"/>
    <w:rsid w:val="006A2A35"/>
    <w:rsid w:val="006A2AB5"/>
    <w:rsid w:val="006A2BBE"/>
    <w:rsid w:val="006A2DAA"/>
    <w:rsid w:val="006A2EC1"/>
    <w:rsid w:val="006A2F40"/>
    <w:rsid w:val="006A2FFC"/>
    <w:rsid w:val="006A30B6"/>
    <w:rsid w:val="006A30C5"/>
    <w:rsid w:val="006A3217"/>
    <w:rsid w:val="006A325E"/>
    <w:rsid w:val="006A3481"/>
    <w:rsid w:val="006A384B"/>
    <w:rsid w:val="006A3AB0"/>
    <w:rsid w:val="006A3C0C"/>
    <w:rsid w:val="006A3C43"/>
    <w:rsid w:val="006A3D86"/>
    <w:rsid w:val="006A3E45"/>
    <w:rsid w:val="006A3F11"/>
    <w:rsid w:val="006A3FB3"/>
    <w:rsid w:val="006A41D3"/>
    <w:rsid w:val="006A45DC"/>
    <w:rsid w:val="006A48A4"/>
    <w:rsid w:val="006A4A24"/>
    <w:rsid w:val="006A4A65"/>
    <w:rsid w:val="006A4CA0"/>
    <w:rsid w:val="006A4CF1"/>
    <w:rsid w:val="006A4D40"/>
    <w:rsid w:val="006A4ECE"/>
    <w:rsid w:val="006A4FD6"/>
    <w:rsid w:val="006A4FFC"/>
    <w:rsid w:val="006A51C2"/>
    <w:rsid w:val="006A5424"/>
    <w:rsid w:val="006A5429"/>
    <w:rsid w:val="006A5577"/>
    <w:rsid w:val="006A5644"/>
    <w:rsid w:val="006A57C5"/>
    <w:rsid w:val="006A58E0"/>
    <w:rsid w:val="006A5904"/>
    <w:rsid w:val="006A5922"/>
    <w:rsid w:val="006A5982"/>
    <w:rsid w:val="006A5B3C"/>
    <w:rsid w:val="006A5B99"/>
    <w:rsid w:val="006A5C49"/>
    <w:rsid w:val="006A5DC0"/>
    <w:rsid w:val="006A5E77"/>
    <w:rsid w:val="006A5EFA"/>
    <w:rsid w:val="006A60EF"/>
    <w:rsid w:val="006A627D"/>
    <w:rsid w:val="006A628E"/>
    <w:rsid w:val="006A66DA"/>
    <w:rsid w:val="006A670A"/>
    <w:rsid w:val="006A67DD"/>
    <w:rsid w:val="006A683D"/>
    <w:rsid w:val="006A6901"/>
    <w:rsid w:val="006A6BA5"/>
    <w:rsid w:val="006A6BA9"/>
    <w:rsid w:val="006A6D17"/>
    <w:rsid w:val="006A6EE5"/>
    <w:rsid w:val="006A7118"/>
    <w:rsid w:val="006A7160"/>
    <w:rsid w:val="006A7296"/>
    <w:rsid w:val="006A73B5"/>
    <w:rsid w:val="006A759A"/>
    <w:rsid w:val="006A764A"/>
    <w:rsid w:val="006A7899"/>
    <w:rsid w:val="006A78A2"/>
    <w:rsid w:val="006A7C4E"/>
    <w:rsid w:val="006A7CEC"/>
    <w:rsid w:val="006A7DA1"/>
    <w:rsid w:val="006A7E6F"/>
    <w:rsid w:val="006A7FE2"/>
    <w:rsid w:val="006B0071"/>
    <w:rsid w:val="006B0212"/>
    <w:rsid w:val="006B03DE"/>
    <w:rsid w:val="006B03E4"/>
    <w:rsid w:val="006B03F1"/>
    <w:rsid w:val="006B06A7"/>
    <w:rsid w:val="006B0706"/>
    <w:rsid w:val="006B089B"/>
    <w:rsid w:val="006B0AEE"/>
    <w:rsid w:val="006B0B20"/>
    <w:rsid w:val="006B0BE2"/>
    <w:rsid w:val="006B0C5D"/>
    <w:rsid w:val="006B0CBE"/>
    <w:rsid w:val="006B0E77"/>
    <w:rsid w:val="006B0EC0"/>
    <w:rsid w:val="006B1045"/>
    <w:rsid w:val="006B10C5"/>
    <w:rsid w:val="006B11AA"/>
    <w:rsid w:val="006B11B4"/>
    <w:rsid w:val="006B11F7"/>
    <w:rsid w:val="006B1256"/>
    <w:rsid w:val="006B134B"/>
    <w:rsid w:val="006B13FF"/>
    <w:rsid w:val="006B1616"/>
    <w:rsid w:val="006B161C"/>
    <w:rsid w:val="006B173F"/>
    <w:rsid w:val="006B1899"/>
    <w:rsid w:val="006B1A06"/>
    <w:rsid w:val="006B1A0C"/>
    <w:rsid w:val="006B1C1F"/>
    <w:rsid w:val="006B1C99"/>
    <w:rsid w:val="006B211C"/>
    <w:rsid w:val="006B218E"/>
    <w:rsid w:val="006B2289"/>
    <w:rsid w:val="006B2316"/>
    <w:rsid w:val="006B237C"/>
    <w:rsid w:val="006B23DC"/>
    <w:rsid w:val="006B2436"/>
    <w:rsid w:val="006B2473"/>
    <w:rsid w:val="006B2538"/>
    <w:rsid w:val="006B275A"/>
    <w:rsid w:val="006B27FF"/>
    <w:rsid w:val="006B29BC"/>
    <w:rsid w:val="006B2B9C"/>
    <w:rsid w:val="006B2C84"/>
    <w:rsid w:val="006B2CA1"/>
    <w:rsid w:val="006B2EF9"/>
    <w:rsid w:val="006B2FE4"/>
    <w:rsid w:val="006B31A6"/>
    <w:rsid w:val="006B326C"/>
    <w:rsid w:val="006B3301"/>
    <w:rsid w:val="006B33B2"/>
    <w:rsid w:val="006B348C"/>
    <w:rsid w:val="006B34AD"/>
    <w:rsid w:val="006B374F"/>
    <w:rsid w:val="006B39C2"/>
    <w:rsid w:val="006B3B28"/>
    <w:rsid w:val="006B3B39"/>
    <w:rsid w:val="006B3BC3"/>
    <w:rsid w:val="006B3BE6"/>
    <w:rsid w:val="006B3C6E"/>
    <w:rsid w:val="006B3E33"/>
    <w:rsid w:val="006B3E46"/>
    <w:rsid w:val="006B3ED3"/>
    <w:rsid w:val="006B40C5"/>
    <w:rsid w:val="006B4250"/>
    <w:rsid w:val="006B433D"/>
    <w:rsid w:val="006B4405"/>
    <w:rsid w:val="006B4537"/>
    <w:rsid w:val="006B4855"/>
    <w:rsid w:val="006B4889"/>
    <w:rsid w:val="006B4A30"/>
    <w:rsid w:val="006B4A8D"/>
    <w:rsid w:val="006B4AAA"/>
    <w:rsid w:val="006B4C85"/>
    <w:rsid w:val="006B4CAE"/>
    <w:rsid w:val="006B4D64"/>
    <w:rsid w:val="006B4ED2"/>
    <w:rsid w:val="006B4F64"/>
    <w:rsid w:val="006B4FA0"/>
    <w:rsid w:val="006B5267"/>
    <w:rsid w:val="006B56FC"/>
    <w:rsid w:val="006B5770"/>
    <w:rsid w:val="006B5786"/>
    <w:rsid w:val="006B5857"/>
    <w:rsid w:val="006B589F"/>
    <w:rsid w:val="006B5965"/>
    <w:rsid w:val="006B5A66"/>
    <w:rsid w:val="006B5AD5"/>
    <w:rsid w:val="006B5B0F"/>
    <w:rsid w:val="006B5E4E"/>
    <w:rsid w:val="006B5E57"/>
    <w:rsid w:val="006B5F27"/>
    <w:rsid w:val="006B5F48"/>
    <w:rsid w:val="006B5FBD"/>
    <w:rsid w:val="006B6097"/>
    <w:rsid w:val="006B6132"/>
    <w:rsid w:val="006B62C9"/>
    <w:rsid w:val="006B6424"/>
    <w:rsid w:val="006B6495"/>
    <w:rsid w:val="006B6701"/>
    <w:rsid w:val="006B6775"/>
    <w:rsid w:val="006B677B"/>
    <w:rsid w:val="006B6783"/>
    <w:rsid w:val="006B6852"/>
    <w:rsid w:val="006B68D5"/>
    <w:rsid w:val="006B6E06"/>
    <w:rsid w:val="006B6FFB"/>
    <w:rsid w:val="006B701F"/>
    <w:rsid w:val="006B7074"/>
    <w:rsid w:val="006B70C3"/>
    <w:rsid w:val="006B7198"/>
    <w:rsid w:val="006B719F"/>
    <w:rsid w:val="006B72FC"/>
    <w:rsid w:val="006B733E"/>
    <w:rsid w:val="006B7340"/>
    <w:rsid w:val="006B7398"/>
    <w:rsid w:val="006B73DC"/>
    <w:rsid w:val="006B7413"/>
    <w:rsid w:val="006B74E1"/>
    <w:rsid w:val="006B74F5"/>
    <w:rsid w:val="006B75A5"/>
    <w:rsid w:val="006B76BA"/>
    <w:rsid w:val="006B77B3"/>
    <w:rsid w:val="006B78AB"/>
    <w:rsid w:val="006B79BA"/>
    <w:rsid w:val="006B7A5A"/>
    <w:rsid w:val="006B7D03"/>
    <w:rsid w:val="006B7D54"/>
    <w:rsid w:val="006B7E78"/>
    <w:rsid w:val="006B7E7B"/>
    <w:rsid w:val="006B7F60"/>
    <w:rsid w:val="006C03D6"/>
    <w:rsid w:val="006C04C5"/>
    <w:rsid w:val="006C075A"/>
    <w:rsid w:val="006C0869"/>
    <w:rsid w:val="006C0AD8"/>
    <w:rsid w:val="006C0C33"/>
    <w:rsid w:val="006C0C3C"/>
    <w:rsid w:val="006C0C9D"/>
    <w:rsid w:val="006C0CE3"/>
    <w:rsid w:val="006C0E6D"/>
    <w:rsid w:val="006C0E7D"/>
    <w:rsid w:val="006C0F55"/>
    <w:rsid w:val="006C10FD"/>
    <w:rsid w:val="006C11A4"/>
    <w:rsid w:val="006C144A"/>
    <w:rsid w:val="006C1494"/>
    <w:rsid w:val="006C14C8"/>
    <w:rsid w:val="006C16A6"/>
    <w:rsid w:val="006C1A29"/>
    <w:rsid w:val="006C1B23"/>
    <w:rsid w:val="006C1C5F"/>
    <w:rsid w:val="006C1F32"/>
    <w:rsid w:val="006C249C"/>
    <w:rsid w:val="006C258B"/>
    <w:rsid w:val="006C26C6"/>
    <w:rsid w:val="006C295B"/>
    <w:rsid w:val="006C2A2B"/>
    <w:rsid w:val="006C2BE0"/>
    <w:rsid w:val="006C2E55"/>
    <w:rsid w:val="006C3153"/>
    <w:rsid w:val="006C34E0"/>
    <w:rsid w:val="006C394D"/>
    <w:rsid w:val="006C3A0E"/>
    <w:rsid w:val="006C3A58"/>
    <w:rsid w:val="006C3B5D"/>
    <w:rsid w:val="006C3CAD"/>
    <w:rsid w:val="006C3CBF"/>
    <w:rsid w:val="006C3DBC"/>
    <w:rsid w:val="006C4082"/>
    <w:rsid w:val="006C422B"/>
    <w:rsid w:val="006C4386"/>
    <w:rsid w:val="006C44CC"/>
    <w:rsid w:val="006C467A"/>
    <w:rsid w:val="006C4844"/>
    <w:rsid w:val="006C4848"/>
    <w:rsid w:val="006C4869"/>
    <w:rsid w:val="006C4B2A"/>
    <w:rsid w:val="006C4B33"/>
    <w:rsid w:val="006C4BE1"/>
    <w:rsid w:val="006C4D9E"/>
    <w:rsid w:val="006C4DAB"/>
    <w:rsid w:val="006C4E5A"/>
    <w:rsid w:val="006C4E86"/>
    <w:rsid w:val="006C4F4B"/>
    <w:rsid w:val="006C5045"/>
    <w:rsid w:val="006C50FC"/>
    <w:rsid w:val="006C51E8"/>
    <w:rsid w:val="006C5266"/>
    <w:rsid w:val="006C52B3"/>
    <w:rsid w:val="006C5403"/>
    <w:rsid w:val="006C547D"/>
    <w:rsid w:val="006C5552"/>
    <w:rsid w:val="006C562A"/>
    <w:rsid w:val="006C57C9"/>
    <w:rsid w:val="006C5AE7"/>
    <w:rsid w:val="006C5B77"/>
    <w:rsid w:val="006C5BAD"/>
    <w:rsid w:val="006C5F9A"/>
    <w:rsid w:val="006C60B8"/>
    <w:rsid w:val="006C6119"/>
    <w:rsid w:val="006C61B4"/>
    <w:rsid w:val="006C627E"/>
    <w:rsid w:val="006C646B"/>
    <w:rsid w:val="006C646F"/>
    <w:rsid w:val="006C6470"/>
    <w:rsid w:val="006C651E"/>
    <w:rsid w:val="006C6589"/>
    <w:rsid w:val="006C65D6"/>
    <w:rsid w:val="006C662C"/>
    <w:rsid w:val="006C6684"/>
    <w:rsid w:val="006C6777"/>
    <w:rsid w:val="006C677D"/>
    <w:rsid w:val="006C691C"/>
    <w:rsid w:val="006C69B6"/>
    <w:rsid w:val="006C6A64"/>
    <w:rsid w:val="006C6ADF"/>
    <w:rsid w:val="006C6B61"/>
    <w:rsid w:val="006C6D96"/>
    <w:rsid w:val="006C703C"/>
    <w:rsid w:val="006C7109"/>
    <w:rsid w:val="006C7404"/>
    <w:rsid w:val="006C76C9"/>
    <w:rsid w:val="006C76EA"/>
    <w:rsid w:val="006C773E"/>
    <w:rsid w:val="006C7B20"/>
    <w:rsid w:val="006C7B63"/>
    <w:rsid w:val="006C7B71"/>
    <w:rsid w:val="006C7BCB"/>
    <w:rsid w:val="006C7C35"/>
    <w:rsid w:val="006C7D88"/>
    <w:rsid w:val="006C7FC3"/>
    <w:rsid w:val="006D005C"/>
    <w:rsid w:val="006D00A5"/>
    <w:rsid w:val="006D0463"/>
    <w:rsid w:val="006D0464"/>
    <w:rsid w:val="006D04F9"/>
    <w:rsid w:val="006D059E"/>
    <w:rsid w:val="006D069B"/>
    <w:rsid w:val="006D09E6"/>
    <w:rsid w:val="006D0A2F"/>
    <w:rsid w:val="006D0A4E"/>
    <w:rsid w:val="006D0DB8"/>
    <w:rsid w:val="006D0DFD"/>
    <w:rsid w:val="006D0E1A"/>
    <w:rsid w:val="006D0E21"/>
    <w:rsid w:val="006D0E74"/>
    <w:rsid w:val="006D101B"/>
    <w:rsid w:val="006D10A5"/>
    <w:rsid w:val="006D11F7"/>
    <w:rsid w:val="006D13F9"/>
    <w:rsid w:val="006D14C1"/>
    <w:rsid w:val="006D1582"/>
    <w:rsid w:val="006D1719"/>
    <w:rsid w:val="006D1844"/>
    <w:rsid w:val="006D185A"/>
    <w:rsid w:val="006D18E3"/>
    <w:rsid w:val="006D1AE6"/>
    <w:rsid w:val="006D1B25"/>
    <w:rsid w:val="006D1B53"/>
    <w:rsid w:val="006D1CC3"/>
    <w:rsid w:val="006D1DFE"/>
    <w:rsid w:val="006D1ED7"/>
    <w:rsid w:val="006D1EE9"/>
    <w:rsid w:val="006D227E"/>
    <w:rsid w:val="006D238A"/>
    <w:rsid w:val="006D242B"/>
    <w:rsid w:val="006D25FB"/>
    <w:rsid w:val="006D2665"/>
    <w:rsid w:val="006D284B"/>
    <w:rsid w:val="006D28CD"/>
    <w:rsid w:val="006D29CC"/>
    <w:rsid w:val="006D29F6"/>
    <w:rsid w:val="006D2A79"/>
    <w:rsid w:val="006D2B6E"/>
    <w:rsid w:val="006D2D8D"/>
    <w:rsid w:val="006D2EC0"/>
    <w:rsid w:val="006D2FD6"/>
    <w:rsid w:val="006D302F"/>
    <w:rsid w:val="006D3066"/>
    <w:rsid w:val="006D3291"/>
    <w:rsid w:val="006D3616"/>
    <w:rsid w:val="006D36AF"/>
    <w:rsid w:val="006D3954"/>
    <w:rsid w:val="006D3B2D"/>
    <w:rsid w:val="006D3B5E"/>
    <w:rsid w:val="006D3B8F"/>
    <w:rsid w:val="006D3C23"/>
    <w:rsid w:val="006D3C47"/>
    <w:rsid w:val="006D3C91"/>
    <w:rsid w:val="006D3DE3"/>
    <w:rsid w:val="006D402A"/>
    <w:rsid w:val="006D4031"/>
    <w:rsid w:val="006D4034"/>
    <w:rsid w:val="006D4047"/>
    <w:rsid w:val="006D40A5"/>
    <w:rsid w:val="006D415C"/>
    <w:rsid w:val="006D4259"/>
    <w:rsid w:val="006D452C"/>
    <w:rsid w:val="006D4695"/>
    <w:rsid w:val="006D4757"/>
    <w:rsid w:val="006D4936"/>
    <w:rsid w:val="006D4BE4"/>
    <w:rsid w:val="006D4D6C"/>
    <w:rsid w:val="006D4E88"/>
    <w:rsid w:val="006D4FB9"/>
    <w:rsid w:val="006D512E"/>
    <w:rsid w:val="006D538C"/>
    <w:rsid w:val="006D545B"/>
    <w:rsid w:val="006D550B"/>
    <w:rsid w:val="006D5564"/>
    <w:rsid w:val="006D558C"/>
    <w:rsid w:val="006D5776"/>
    <w:rsid w:val="006D58BC"/>
    <w:rsid w:val="006D58ED"/>
    <w:rsid w:val="006D5B36"/>
    <w:rsid w:val="006D5B66"/>
    <w:rsid w:val="006D5B6F"/>
    <w:rsid w:val="006D5CBF"/>
    <w:rsid w:val="006D5DF3"/>
    <w:rsid w:val="006D5E7F"/>
    <w:rsid w:val="006D5F48"/>
    <w:rsid w:val="006D65E0"/>
    <w:rsid w:val="006D694D"/>
    <w:rsid w:val="006D69C9"/>
    <w:rsid w:val="006D6A53"/>
    <w:rsid w:val="006D6B3C"/>
    <w:rsid w:val="006D6E22"/>
    <w:rsid w:val="006D6E8F"/>
    <w:rsid w:val="006D70BA"/>
    <w:rsid w:val="006D7143"/>
    <w:rsid w:val="006D7258"/>
    <w:rsid w:val="006D731B"/>
    <w:rsid w:val="006D745D"/>
    <w:rsid w:val="006D7529"/>
    <w:rsid w:val="006D7998"/>
    <w:rsid w:val="006D7ABC"/>
    <w:rsid w:val="006D7B54"/>
    <w:rsid w:val="006D7CEE"/>
    <w:rsid w:val="006D7F08"/>
    <w:rsid w:val="006D7F56"/>
    <w:rsid w:val="006E009F"/>
    <w:rsid w:val="006E00F2"/>
    <w:rsid w:val="006E035A"/>
    <w:rsid w:val="006E03CB"/>
    <w:rsid w:val="006E0416"/>
    <w:rsid w:val="006E0446"/>
    <w:rsid w:val="006E04FC"/>
    <w:rsid w:val="006E055D"/>
    <w:rsid w:val="006E05B4"/>
    <w:rsid w:val="006E05F7"/>
    <w:rsid w:val="006E0753"/>
    <w:rsid w:val="006E086B"/>
    <w:rsid w:val="006E08A9"/>
    <w:rsid w:val="006E08BD"/>
    <w:rsid w:val="006E08C6"/>
    <w:rsid w:val="006E09A3"/>
    <w:rsid w:val="006E0A19"/>
    <w:rsid w:val="006E0D65"/>
    <w:rsid w:val="006E0F3E"/>
    <w:rsid w:val="006E0FF0"/>
    <w:rsid w:val="006E1457"/>
    <w:rsid w:val="006E1972"/>
    <w:rsid w:val="006E1A23"/>
    <w:rsid w:val="006E1AEA"/>
    <w:rsid w:val="006E1B9A"/>
    <w:rsid w:val="006E1D66"/>
    <w:rsid w:val="006E1DF5"/>
    <w:rsid w:val="006E1F67"/>
    <w:rsid w:val="006E2003"/>
    <w:rsid w:val="006E2037"/>
    <w:rsid w:val="006E2176"/>
    <w:rsid w:val="006E21EF"/>
    <w:rsid w:val="006E22AC"/>
    <w:rsid w:val="006E233E"/>
    <w:rsid w:val="006E23E7"/>
    <w:rsid w:val="006E24CA"/>
    <w:rsid w:val="006E2512"/>
    <w:rsid w:val="006E2525"/>
    <w:rsid w:val="006E25E6"/>
    <w:rsid w:val="006E2710"/>
    <w:rsid w:val="006E274D"/>
    <w:rsid w:val="006E2752"/>
    <w:rsid w:val="006E2869"/>
    <w:rsid w:val="006E28CC"/>
    <w:rsid w:val="006E29DB"/>
    <w:rsid w:val="006E2A1D"/>
    <w:rsid w:val="006E2AAB"/>
    <w:rsid w:val="006E2BC2"/>
    <w:rsid w:val="006E2C94"/>
    <w:rsid w:val="006E2E97"/>
    <w:rsid w:val="006E2F56"/>
    <w:rsid w:val="006E307C"/>
    <w:rsid w:val="006E31AC"/>
    <w:rsid w:val="006E31BC"/>
    <w:rsid w:val="006E350F"/>
    <w:rsid w:val="006E3555"/>
    <w:rsid w:val="006E35FD"/>
    <w:rsid w:val="006E3892"/>
    <w:rsid w:val="006E3923"/>
    <w:rsid w:val="006E3A07"/>
    <w:rsid w:val="006E3A0C"/>
    <w:rsid w:val="006E3C1B"/>
    <w:rsid w:val="006E3CA8"/>
    <w:rsid w:val="006E3D05"/>
    <w:rsid w:val="006E3D0D"/>
    <w:rsid w:val="006E3EE6"/>
    <w:rsid w:val="006E3F83"/>
    <w:rsid w:val="006E3FD3"/>
    <w:rsid w:val="006E40C1"/>
    <w:rsid w:val="006E41B4"/>
    <w:rsid w:val="006E41FD"/>
    <w:rsid w:val="006E4253"/>
    <w:rsid w:val="006E4290"/>
    <w:rsid w:val="006E4353"/>
    <w:rsid w:val="006E4833"/>
    <w:rsid w:val="006E48B9"/>
    <w:rsid w:val="006E493D"/>
    <w:rsid w:val="006E4AC9"/>
    <w:rsid w:val="006E4D8E"/>
    <w:rsid w:val="006E4EA9"/>
    <w:rsid w:val="006E51D9"/>
    <w:rsid w:val="006E52E5"/>
    <w:rsid w:val="006E539B"/>
    <w:rsid w:val="006E53DA"/>
    <w:rsid w:val="006E551A"/>
    <w:rsid w:val="006E5752"/>
    <w:rsid w:val="006E578E"/>
    <w:rsid w:val="006E579F"/>
    <w:rsid w:val="006E57A1"/>
    <w:rsid w:val="006E57DB"/>
    <w:rsid w:val="006E5958"/>
    <w:rsid w:val="006E5A2F"/>
    <w:rsid w:val="006E5F6D"/>
    <w:rsid w:val="006E5F84"/>
    <w:rsid w:val="006E5FA4"/>
    <w:rsid w:val="006E6082"/>
    <w:rsid w:val="006E60E1"/>
    <w:rsid w:val="006E61DE"/>
    <w:rsid w:val="006E6208"/>
    <w:rsid w:val="006E623B"/>
    <w:rsid w:val="006E6325"/>
    <w:rsid w:val="006E6484"/>
    <w:rsid w:val="006E6552"/>
    <w:rsid w:val="006E657B"/>
    <w:rsid w:val="006E65B3"/>
    <w:rsid w:val="006E65F1"/>
    <w:rsid w:val="006E66C1"/>
    <w:rsid w:val="006E66F9"/>
    <w:rsid w:val="006E68F4"/>
    <w:rsid w:val="006E6A0D"/>
    <w:rsid w:val="006E6A94"/>
    <w:rsid w:val="006E6B73"/>
    <w:rsid w:val="006E6C1F"/>
    <w:rsid w:val="006E6CA7"/>
    <w:rsid w:val="006E6D5F"/>
    <w:rsid w:val="006E6DA1"/>
    <w:rsid w:val="006E6DCB"/>
    <w:rsid w:val="006E6E0E"/>
    <w:rsid w:val="006E6FAF"/>
    <w:rsid w:val="006E7031"/>
    <w:rsid w:val="006E7084"/>
    <w:rsid w:val="006E7171"/>
    <w:rsid w:val="006E7203"/>
    <w:rsid w:val="006E7232"/>
    <w:rsid w:val="006E7240"/>
    <w:rsid w:val="006E743F"/>
    <w:rsid w:val="006E763C"/>
    <w:rsid w:val="006E776F"/>
    <w:rsid w:val="006E78B0"/>
    <w:rsid w:val="006E7AEE"/>
    <w:rsid w:val="006E7B6A"/>
    <w:rsid w:val="006E7C61"/>
    <w:rsid w:val="006F04D9"/>
    <w:rsid w:val="006F07E9"/>
    <w:rsid w:val="006F08CF"/>
    <w:rsid w:val="006F08F4"/>
    <w:rsid w:val="006F0901"/>
    <w:rsid w:val="006F09D7"/>
    <w:rsid w:val="006F0C30"/>
    <w:rsid w:val="006F0C8A"/>
    <w:rsid w:val="006F0EDD"/>
    <w:rsid w:val="006F0F78"/>
    <w:rsid w:val="006F11D9"/>
    <w:rsid w:val="006F13D3"/>
    <w:rsid w:val="006F1419"/>
    <w:rsid w:val="006F155E"/>
    <w:rsid w:val="006F163C"/>
    <w:rsid w:val="006F164A"/>
    <w:rsid w:val="006F195B"/>
    <w:rsid w:val="006F1AFA"/>
    <w:rsid w:val="006F1BB7"/>
    <w:rsid w:val="006F1C60"/>
    <w:rsid w:val="006F1CED"/>
    <w:rsid w:val="006F1D25"/>
    <w:rsid w:val="006F1D85"/>
    <w:rsid w:val="006F1D8B"/>
    <w:rsid w:val="006F1E2A"/>
    <w:rsid w:val="006F1E34"/>
    <w:rsid w:val="006F2213"/>
    <w:rsid w:val="006F2312"/>
    <w:rsid w:val="006F2321"/>
    <w:rsid w:val="006F2405"/>
    <w:rsid w:val="006F258D"/>
    <w:rsid w:val="006F2592"/>
    <w:rsid w:val="006F284B"/>
    <w:rsid w:val="006F2B27"/>
    <w:rsid w:val="006F2B99"/>
    <w:rsid w:val="006F2C9C"/>
    <w:rsid w:val="006F2CB3"/>
    <w:rsid w:val="006F2FBF"/>
    <w:rsid w:val="006F3150"/>
    <w:rsid w:val="006F3332"/>
    <w:rsid w:val="006F3341"/>
    <w:rsid w:val="006F379F"/>
    <w:rsid w:val="006F37E3"/>
    <w:rsid w:val="006F3809"/>
    <w:rsid w:val="006F3AF0"/>
    <w:rsid w:val="006F3BF4"/>
    <w:rsid w:val="006F3CEA"/>
    <w:rsid w:val="006F3E01"/>
    <w:rsid w:val="006F4054"/>
    <w:rsid w:val="006F42B7"/>
    <w:rsid w:val="006F448E"/>
    <w:rsid w:val="006F4533"/>
    <w:rsid w:val="006F458D"/>
    <w:rsid w:val="006F4746"/>
    <w:rsid w:val="006F4A82"/>
    <w:rsid w:val="006F4B0A"/>
    <w:rsid w:val="006F4BB6"/>
    <w:rsid w:val="006F4F21"/>
    <w:rsid w:val="006F4F3E"/>
    <w:rsid w:val="006F4FD8"/>
    <w:rsid w:val="006F52FA"/>
    <w:rsid w:val="006F5341"/>
    <w:rsid w:val="006F54E3"/>
    <w:rsid w:val="006F5579"/>
    <w:rsid w:val="006F55C8"/>
    <w:rsid w:val="006F56E2"/>
    <w:rsid w:val="006F5796"/>
    <w:rsid w:val="006F57B7"/>
    <w:rsid w:val="006F57B8"/>
    <w:rsid w:val="006F58A1"/>
    <w:rsid w:val="006F5ACA"/>
    <w:rsid w:val="006F5C49"/>
    <w:rsid w:val="006F5C6A"/>
    <w:rsid w:val="006F5C72"/>
    <w:rsid w:val="006F5CC3"/>
    <w:rsid w:val="006F5D28"/>
    <w:rsid w:val="006F5E79"/>
    <w:rsid w:val="006F60BF"/>
    <w:rsid w:val="006F61FC"/>
    <w:rsid w:val="006F625C"/>
    <w:rsid w:val="006F6300"/>
    <w:rsid w:val="006F6581"/>
    <w:rsid w:val="006F6695"/>
    <w:rsid w:val="006F66CB"/>
    <w:rsid w:val="006F685B"/>
    <w:rsid w:val="006F688F"/>
    <w:rsid w:val="006F6A6D"/>
    <w:rsid w:val="006F6B49"/>
    <w:rsid w:val="006F6B82"/>
    <w:rsid w:val="006F6BC5"/>
    <w:rsid w:val="006F6C66"/>
    <w:rsid w:val="006F6CD0"/>
    <w:rsid w:val="006F6DF8"/>
    <w:rsid w:val="006F6FEF"/>
    <w:rsid w:val="006F70E4"/>
    <w:rsid w:val="006F72B5"/>
    <w:rsid w:val="006F73AC"/>
    <w:rsid w:val="006F73FA"/>
    <w:rsid w:val="006F742B"/>
    <w:rsid w:val="006F768E"/>
    <w:rsid w:val="006F7783"/>
    <w:rsid w:val="006F77DF"/>
    <w:rsid w:val="006F77ED"/>
    <w:rsid w:val="006F7834"/>
    <w:rsid w:val="006F79EE"/>
    <w:rsid w:val="006F7A8C"/>
    <w:rsid w:val="006F7D9C"/>
    <w:rsid w:val="006F7E04"/>
    <w:rsid w:val="006F7EE8"/>
    <w:rsid w:val="006F7F61"/>
    <w:rsid w:val="0070002A"/>
    <w:rsid w:val="0070014A"/>
    <w:rsid w:val="00700680"/>
    <w:rsid w:val="00700755"/>
    <w:rsid w:val="00700768"/>
    <w:rsid w:val="0070076C"/>
    <w:rsid w:val="0070081C"/>
    <w:rsid w:val="007009C7"/>
    <w:rsid w:val="00700A86"/>
    <w:rsid w:val="00700AC9"/>
    <w:rsid w:val="00700B88"/>
    <w:rsid w:val="00700C27"/>
    <w:rsid w:val="00700DA4"/>
    <w:rsid w:val="00700F95"/>
    <w:rsid w:val="00700FA6"/>
    <w:rsid w:val="007010B5"/>
    <w:rsid w:val="007010C3"/>
    <w:rsid w:val="007012B1"/>
    <w:rsid w:val="0070147E"/>
    <w:rsid w:val="0070165C"/>
    <w:rsid w:val="00701688"/>
    <w:rsid w:val="007016B4"/>
    <w:rsid w:val="007016DD"/>
    <w:rsid w:val="007017DE"/>
    <w:rsid w:val="00701839"/>
    <w:rsid w:val="00701A06"/>
    <w:rsid w:val="00701B0F"/>
    <w:rsid w:val="00701B10"/>
    <w:rsid w:val="00701D50"/>
    <w:rsid w:val="00701F19"/>
    <w:rsid w:val="00701F2D"/>
    <w:rsid w:val="00702015"/>
    <w:rsid w:val="00702022"/>
    <w:rsid w:val="007022C3"/>
    <w:rsid w:val="0070239D"/>
    <w:rsid w:val="00702679"/>
    <w:rsid w:val="00702813"/>
    <w:rsid w:val="00702841"/>
    <w:rsid w:val="007028C3"/>
    <w:rsid w:val="00702988"/>
    <w:rsid w:val="00702A4B"/>
    <w:rsid w:val="00702A56"/>
    <w:rsid w:val="00702A80"/>
    <w:rsid w:val="00702A84"/>
    <w:rsid w:val="00702AB1"/>
    <w:rsid w:val="00702C40"/>
    <w:rsid w:val="00702CDA"/>
    <w:rsid w:val="00702D5B"/>
    <w:rsid w:val="00702E80"/>
    <w:rsid w:val="00702E88"/>
    <w:rsid w:val="00702F16"/>
    <w:rsid w:val="00703011"/>
    <w:rsid w:val="007030CB"/>
    <w:rsid w:val="007031AC"/>
    <w:rsid w:val="00703316"/>
    <w:rsid w:val="00703319"/>
    <w:rsid w:val="0070343F"/>
    <w:rsid w:val="007034CA"/>
    <w:rsid w:val="007034D2"/>
    <w:rsid w:val="00703697"/>
    <w:rsid w:val="007038AC"/>
    <w:rsid w:val="00703A17"/>
    <w:rsid w:val="00703ACF"/>
    <w:rsid w:val="00703AF2"/>
    <w:rsid w:val="00703B66"/>
    <w:rsid w:val="00703DF5"/>
    <w:rsid w:val="00703F6E"/>
    <w:rsid w:val="00703F9B"/>
    <w:rsid w:val="00704009"/>
    <w:rsid w:val="00704130"/>
    <w:rsid w:val="0070414B"/>
    <w:rsid w:val="0070423B"/>
    <w:rsid w:val="007043F0"/>
    <w:rsid w:val="0070455E"/>
    <w:rsid w:val="00704603"/>
    <w:rsid w:val="00704647"/>
    <w:rsid w:val="007047D2"/>
    <w:rsid w:val="00704952"/>
    <w:rsid w:val="00704A94"/>
    <w:rsid w:val="00704AB5"/>
    <w:rsid w:val="00704B7A"/>
    <w:rsid w:val="00704C5C"/>
    <w:rsid w:val="00704F30"/>
    <w:rsid w:val="00704F41"/>
    <w:rsid w:val="00704FA6"/>
    <w:rsid w:val="00705193"/>
    <w:rsid w:val="00705386"/>
    <w:rsid w:val="00705457"/>
    <w:rsid w:val="00705463"/>
    <w:rsid w:val="00705564"/>
    <w:rsid w:val="0070559F"/>
    <w:rsid w:val="0070561E"/>
    <w:rsid w:val="00705655"/>
    <w:rsid w:val="0070568A"/>
    <w:rsid w:val="00705696"/>
    <w:rsid w:val="007056D2"/>
    <w:rsid w:val="007057DE"/>
    <w:rsid w:val="00705882"/>
    <w:rsid w:val="007059FD"/>
    <w:rsid w:val="00705AFC"/>
    <w:rsid w:val="00705B04"/>
    <w:rsid w:val="00705C0C"/>
    <w:rsid w:val="00705CD3"/>
    <w:rsid w:val="00705CE8"/>
    <w:rsid w:val="00705DB3"/>
    <w:rsid w:val="00705F51"/>
    <w:rsid w:val="00705FCD"/>
    <w:rsid w:val="00706309"/>
    <w:rsid w:val="00706623"/>
    <w:rsid w:val="007067A2"/>
    <w:rsid w:val="007068AF"/>
    <w:rsid w:val="00706968"/>
    <w:rsid w:val="00706A78"/>
    <w:rsid w:val="00706C4D"/>
    <w:rsid w:val="00706D35"/>
    <w:rsid w:val="00706E4A"/>
    <w:rsid w:val="00706F7C"/>
    <w:rsid w:val="00707004"/>
    <w:rsid w:val="00707185"/>
    <w:rsid w:val="0070718A"/>
    <w:rsid w:val="00707209"/>
    <w:rsid w:val="00707212"/>
    <w:rsid w:val="00707261"/>
    <w:rsid w:val="00707263"/>
    <w:rsid w:val="00707330"/>
    <w:rsid w:val="0070752B"/>
    <w:rsid w:val="0070759C"/>
    <w:rsid w:val="007075A4"/>
    <w:rsid w:val="007075AB"/>
    <w:rsid w:val="007075E0"/>
    <w:rsid w:val="00707720"/>
    <w:rsid w:val="00707755"/>
    <w:rsid w:val="007077FF"/>
    <w:rsid w:val="0070787F"/>
    <w:rsid w:val="007078DD"/>
    <w:rsid w:val="0070792A"/>
    <w:rsid w:val="00707979"/>
    <w:rsid w:val="00707B35"/>
    <w:rsid w:val="00707B78"/>
    <w:rsid w:val="00707CA5"/>
    <w:rsid w:val="00707E9C"/>
    <w:rsid w:val="00707EA0"/>
    <w:rsid w:val="0071000F"/>
    <w:rsid w:val="0071018B"/>
    <w:rsid w:val="007101B2"/>
    <w:rsid w:val="007101F6"/>
    <w:rsid w:val="00710295"/>
    <w:rsid w:val="00710359"/>
    <w:rsid w:val="0071045E"/>
    <w:rsid w:val="00710468"/>
    <w:rsid w:val="0071053F"/>
    <w:rsid w:val="0071070C"/>
    <w:rsid w:val="0071099A"/>
    <w:rsid w:val="00710A3B"/>
    <w:rsid w:val="00710B38"/>
    <w:rsid w:val="00710B50"/>
    <w:rsid w:val="00710E58"/>
    <w:rsid w:val="00710F71"/>
    <w:rsid w:val="00711122"/>
    <w:rsid w:val="007111A5"/>
    <w:rsid w:val="00711279"/>
    <w:rsid w:val="007114AC"/>
    <w:rsid w:val="00711577"/>
    <w:rsid w:val="00711668"/>
    <w:rsid w:val="0071167B"/>
    <w:rsid w:val="0071170C"/>
    <w:rsid w:val="0071172F"/>
    <w:rsid w:val="00711835"/>
    <w:rsid w:val="007118C1"/>
    <w:rsid w:val="00711A7F"/>
    <w:rsid w:val="00711AEB"/>
    <w:rsid w:val="00711B09"/>
    <w:rsid w:val="00711DAB"/>
    <w:rsid w:val="00711E4A"/>
    <w:rsid w:val="00711E5D"/>
    <w:rsid w:val="007120AF"/>
    <w:rsid w:val="007121B1"/>
    <w:rsid w:val="007121B2"/>
    <w:rsid w:val="0071223E"/>
    <w:rsid w:val="00712269"/>
    <w:rsid w:val="007122A1"/>
    <w:rsid w:val="00712342"/>
    <w:rsid w:val="00712369"/>
    <w:rsid w:val="0071251D"/>
    <w:rsid w:val="00712531"/>
    <w:rsid w:val="00712566"/>
    <w:rsid w:val="00712655"/>
    <w:rsid w:val="0071275D"/>
    <w:rsid w:val="0071281D"/>
    <w:rsid w:val="00712A71"/>
    <w:rsid w:val="00712B6E"/>
    <w:rsid w:val="00712EAC"/>
    <w:rsid w:val="00712F33"/>
    <w:rsid w:val="00713070"/>
    <w:rsid w:val="00713316"/>
    <w:rsid w:val="007134D9"/>
    <w:rsid w:val="00713550"/>
    <w:rsid w:val="00713633"/>
    <w:rsid w:val="00713634"/>
    <w:rsid w:val="0071365B"/>
    <w:rsid w:val="007138DB"/>
    <w:rsid w:val="00713BA4"/>
    <w:rsid w:val="00713BAD"/>
    <w:rsid w:val="00713CCB"/>
    <w:rsid w:val="00713EA0"/>
    <w:rsid w:val="00713ED9"/>
    <w:rsid w:val="00713F81"/>
    <w:rsid w:val="00714020"/>
    <w:rsid w:val="00714139"/>
    <w:rsid w:val="0071415F"/>
    <w:rsid w:val="00714275"/>
    <w:rsid w:val="0071438D"/>
    <w:rsid w:val="007143AB"/>
    <w:rsid w:val="0071442A"/>
    <w:rsid w:val="0071442F"/>
    <w:rsid w:val="0071446C"/>
    <w:rsid w:val="00714473"/>
    <w:rsid w:val="007145CE"/>
    <w:rsid w:val="007146A6"/>
    <w:rsid w:val="007146D0"/>
    <w:rsid w:val="007149EB"/>
    <w:rsid w:val="00714A54"/>
    <w:rsid w:val="00714BA9"/>
    <w:rsid w:val="00714BAA"/>
    <w:rsid w:val="00714D1A"/>
    <w:rsid w:val="00714E79"/>
    <w:rsid w:val="00714EC2"/>
    <w:rsid w:val="007150A6"/>
    <w:rsid w:val="00715138"/>
    <w:rsid w:val="007153A8"/>
    <w:rsid w:val="00715620"/>
    <w:rsid w:val="007156BF"/>
    <w:rsid w:val="00715861"/>
    <w:rsid w:val="00715874"/>
    <w:rsid w:val="00715945"/>
    <w:rsid w:val="00715E2E"/>
    <w:rsid w:val="00715EF7"/>
    <w:rsid w:val="00715FB4"/>
    <w:rsid w:val="00715FF0"/>
    <w:rsid w:val="00716054"/>
    <w:rsid w:val="007160B3"/>
    <w:rsid w:val="00716175"/>
    <w:rsid w:val="00716284"/>
    <w:rsid w:val="007165BE"/>
    <w:rsid w:val="00716624"/>
    <w:rsid w:val="0071676A"/>
    <w:rsid w:val="00716831"/>
    <w:rsid w:val="007168BC"/>
    <w:rsid w:val="0071695C"/>
    <w:rsid w:val="0071696C"/>
    <w:rsid w:val="007169C5"/>
    <w:rsid w:val="00716A5F"/>
    <w:rsid w:val="00716B97"/>
    <w:rsid w:val="00716C83"/>
    <w:rsid w:val="00716DCD"/>
    <w:rsid w:val="00716DD6"/>
    <w:rsid w:val="00716DFA"/>
    <w:rsid w:val="00716E13"/>
    <w:rsid w:val="00716E24"/>
    <w:rsid w:val="00716F67"/>
    <w:rsid w:val="00716F86"/>
    <w:rsid w:val="00717024"/>
    <w:rsid w:val="00717606"/>
    <w:rsid w:val="00717773"/>
    <w:rsid w:val="0071796E"/>
    <w:rsid w:val="00717982"/>
    <w:rsid w:val="00717A50"/>
    <w:rsid w:val="00717A96"/>
    <w:rsid w:val="00717B8D"/>
    <w:rsid w:val="00717D64"/>
    <w:rsid w:val="00717E18"/>
    <w:rsid w:val="00717F0B"/>
    <w:rsid w:val="0072024A"/>
    <w:rsid w:val="0072029C"/>
    <w:rsid w:val="007202C9"/>
    <w:rsid w:val="0072053B"/>
    <w:rsid w:val="007206CE"/>
    <w:rsid w:val="00720761"/>
    <w:rsid w:val="00720866"/>
    <w:rsid w:val="007208D0"/>
    <w:rsid w:val="00720A0D"/>
    <w:rsid w:val="00720A22"/>
    <w:rsid w:val="00720B8E"/>
    <w:rsid w:val="00720C98"/>
    <w:rsid w:val="0072106C"/>
    <w:rsid w:val="007211F2"/>
    <w:rsid w:val="007212B2"/>
    <w:rsid w:val="007212F0"/>
    <w:rsid w:val="00721327"/>
    <w:rsid w:val="007215BA"/>
    <w:rsid w:val="007218E4"/>
    <w:rsid w:val="007219C3"/>
    <w:rsid w:val="007219D0"/>
    <w:rsid w:val="00721A05"/>
    <w:rsid w:val="00721B08"/>
    <w:rsid w:val="00721BB0"/>
    <w:rsid w:val="00721C96"/>
    <w:rsid w:val="00722055"/>
    <w:rsid w:val="00722068"/>
    <w:rsid w:val="007222B2"/>
    <w:rsid w:val="007223B0"/>
    <w:rsid w:val="007226FC"/>
    <w:rsid w:val="00722829"/>
    <w:rsid w:val="007228FA"/>
    <w:rsid w:val="00722B3A"/>
    <w:rsid w:val="00722DF3"/>
    <w:rsid w:val="00722E3F"/>
    <w:rsid w:val="00722FC7"/>
    <w:rsid w:val="0072301C"/>
    <w:rsid w:val="0072338A"/>
    <w:rsid w:val="007233E1"/>
    <w:rsid w:val="00723436"/>
    <w:rsid w:val="0072365C"/>
    <w:rsid w:val="0072375A"/>
    <w:rsid w:val="007238AA"/>
    <w:rsid w:val="007238F0"/>
    <w:rsid w:val="00723923"/>
    <w:rsid w:val="007239F8"/>
    <w:rsid w:val="00723C82"/>
    <w:rsid w:val="00723D2C"/>
    <w:rsid w:val="00723D63"/>
    <w:rsid w:val="00723D99"/>
    <w:rsid w:val="007240C1"/>
    <w:rsid w:val="0072415F"/>
    <w:rsid w:val="00724216"/>
    <w:rsid w:val="007243BA"/>
    <w:rsid w:val="00724527"/>
    <w:rsid w:val="00724672"/>
    <w:rsid w:val="007246E5"/>
    <w:rsid w:val="00724995"/>
    <w:rsid w:val="00724EE2"/>
    <w:rsid w:val="00724FFB"/>
    <w:rsid w:val="00725003"/>
    <w:rsid w:val="00725010"/>
    <w:rsid w:val="00725029"/>
    <w:rsid w:val="00725074"/>
    <w:rsid w:val="007250F6"/>
    <w:rsid w:val="0072518D"/>
    <w:rsid w:val="007252B5"/>
    <w:rsid w:val="007252C9"/>
    <w:rsid w:val="007253A7"/>
    <w:rsid w:val="00725416"/>
    <w:rsid w:val="007255BF"/>
    <w:rsid w:val="00725685"/>
    <w:rsid w:val="007256CC"/>
    <w:rsid w:val="007258DA"/>
    <w:rsid w:val="00725979"/>
    <w:rsid w:val="00725999"/>
    <w:rsid w:val="00725CBA"/>
    <w:rsid w:val="00725DAE"/>
    <w:rsid w:val="00725E7E"/>
    <w:rsid w:val="00725ECF"/>
    <w:rsid w:val="00726029"/>
    <w:rsid w:val="0072609D"/>
    <w:rsid w:val="0072618C"/>
    <w:rsid w:val="00726306"/>
    <w:rsid w:val="00726324"/>
    <w:rsid w:val="0072641D"/>
    <w:rsid w:val="00726958"/>
    <w:rsid w:val="00726BE5"/>
    <w:rsid w:val="00726C9A"/>
    <w:rsid w:val="0072702E"/>
    <w:rsid w:val="0072745F"/>
    <w:rsid w:val="007275ED"/>
    <w:rsid w:val="00727602"/>
    <w:rsid w:val="00727715"/>
    <w:rsid w:val="00727761"/>
    <w:rsid w:val="00727832"/>
    <w:rsid w:val="00727BD1"/>
    <w:rsid w:val="00727CDA"/>
    <w:rsid w:val="00727CEC"/>
    <w:rsid w:val="00727DC7"/>
    <w:rsid w:val="00727F6C"/>
    <w:rsid w:val="00730001"/>
    <w:rsid w:val="007300A7"/>
    <w:rsid w:val="00730152"/>
    <w:rsid w:val="00730452"/>
    <w:rsid w:val="007305BE"/>
    <w:rsid w:val="007305EC"/>
    <w:rsid w:val="0073080C"/>
    <w:rsid w:val="00730856"/>
    <w:rsid w:val="00730892"/>
    <w:rsid w:val="00730938"/>
    <w:rsid w:val="00730A04"/>
    <w:rsid w:val="00730BCD"/>
    <w:rsid w:val="00730C70"/>
    <w:rsid w:val="00730D43"/>
    <w:rsid w:val="00730F8F"/>
    <w:rsid w:val="00731288"/>
    <w:rsid w:val="007312AF"/>
    <w:rsid w:val="007312B1"/>
    <w:rsid w:val="00731337"/>
    <w:rsid w:val="007313EC"/>
    <w:rsid w:val="00731455"/>
    <w:rsid w:val="00731479"/>
    <w:rsid w:val="00731490"/>
    <w:rsid w:val="00731493"/>
    <w:rsid w:val="00731510"/>
    <w:rsid w:val="00731550"/>
    <w:rsid w:val="007317BD"/>
    <w:rsid w:val="00731807"/>
    <w:rsid w:val="0073180C"/>
    <w:rsid w:val="007318D4"/>
    <w:rsid w:val="007318E2"/>
    <w:rsid w:val="00731BAE"/>
    <w:rsid w:val="00731BE5"/>
    <w:rsid w:val="00731C14"/>
    <w:rsid w:val="00731EA8"/>
    <w:rsid w:val="00731F4A"/>
    <w:rsid w:val="00731FFE"/>
    <w:rsid w:val="007320F0"/>
    <w:rsid w:val="00732102"/>
    <w:rsid w:val="007322A2"/>
    <w:rsid w:val="007322D3"/>
    <w:rsid w:val="00732344"/>
    <w:rsid w:val="00732365"/>
    <w:rsid w:val="00732366"/>
    <w:rsid w:val="00732458"/>
    <w:rsid w:val="0073245F"/>
    <w:rsid w:val="007324CE"/>
    <w:rsid w:val="0073254E"/>
    <w:rsid w:val="0073257A"/>
    <w:rsid w:val="007325E0"/>
    <w:rsid w:val="0073265D"/>
    <w:rsid w:val="007328AA"/>
    <w:rsid w:val="00732A2F"/>
    <w:rsid w:val="00732CC8"/>
    <w:rsid w:val="00732CD1"/>
    <w:rsid w:val="00732EF9"/>
    <w:rsid w:val="00732FD1"/>
    <w:rsid w:val="0073305B"/>
    <w:rsid w:val="0073315B"/>
    <w:rsid w:val="007331FD"/>
    <w:rsid w:val="00733231"/>
    <w:rsid w:val="00733260"/>
    <w:rsid w:val="00733329"/>
    <w:rsid w:val="00733366"/>
    <w:rsid w:val="00733468"/>
    <w:rsid w:val="0073363C"/>
    <w:rsid w:val="007336F2"/>
    <w:rsid w:val="0073382C"/>
    <w:rsid w:val="00733A86"/>
    <w:rsid w:val="00733AD9"/>
    <w:rsid w:val="00733D2B"/>
    <w:rsid w:val="00733E30"/>
    <w:rsid w:val="00733EA2"/>
    <w:rsid w:val="00733F5A"/>
    <w:rsid w:val="0073403D"/>
    <w:rsid w:val="0073408D"/>
    <w:rsid w:val="00734175"/>
    <w:rsid w:val="00734286"/>
    <w:rsid w:val="007342C7"/>
    <w:rsid w:val="007343B6"/>
    <w:rsid w:val="007343D4"/>
    <w:rsid w:val="007344DB"/>
    <w:rsid w:val="007345F9"/>
    <w:rsid w:val="0073460D"/>
    <w:rsid w:val="00734851"/>
    <w:rsid w:val="00734964"/>
    <w:rsid w:val="00734DD3"/>
    <w:rsid w:val="00734FA6"/>
    <w:rsid w:val="00734FC3"/>
    <w:rsid w:val="007350CA"/>
    <w:rsid w:val="00735136"/>
    <w:rsid w:val="00735373"/>
    <w:rsid w:val="007353AB"/>
    <w:rsid w:val="007353C6"/>
    <w:rsid w:val="00735409"/>
    <w:rsid w:val="0073547E"/>
    <w:rsid w:val="00735498"/>
    <w:rsid w:val="00735A46"/>
    <w:rsid w:val="00735E9F"/>
    <w:rsid w:val="007360C6"/>
    <w:rsid w:val="007361A4"/>
    <w:rsid w:val="00736250"/>
    <w:rsid w:val="007362EE"/>
    <w:rsid w:val="0073660F"/>
    <w:rsid w:val="00736629"/>
    <w:rsid w:val="0073663A"/>
    <w:rsid w:val="007368A0"/>
    <w:rsid w:val="007369C9"/>
    <w:rsid w:val="00736C27"/>
    <w:rsid w:val="00736CFA"/>
    <w:rsid w:val="00736EF0"/>
    <w:rsid w:val="00736F54"/>
    <w:rsid w:val="00736FFB"/>
    <w:rsid w:val="00737158"/>
    <w:rsid w:val="007371CA"/>
    <w:rsid w:val="007379D0"/>
    <w:rsid w:val="00737A22"/>
    <w:rsid w:val="00737AF2"/>
    <w:rsid w:val="00737C50"/>
    <w:rsid w:val="00737CA8"/>
    <w:rsid w:val="00737E44"/>
    <w:rsid w:val="00737EC9"/>
    <w:rsid w:val="007402FF"/>
    <w:rsid w:val="007403D0"/>
    <w:rsid w:val="00740415"/>
    <w:rsid w:val="00740499"/>
    <w:rsid w:val="00740558"/>
    <w:rsid w:val="00740622"/>
    <w:rsid w:val="00740626"/>
    <w:rsid w:val="00740715"/>
    <w:rsid w:val="00740790"/>
    <w:rsid w:val="007408BE"/>
    <w:rsid w:val="00740E9E"/>
    <w:rsid w:val="00740F49"/>
    <w:rsid w:val="007410CA"/>
    <w:rsid w:val="007411C8"/>
    <w:rsid w:val="0074156F"/>
    <w:rsid w:val="0074180D"/>
    <w:rsid w:val="007419B3"/>
    <w:rsid w:val="00741A72"/>
    <w:rsid w:val="00741AA7"/>
    <w:rsid w:val="00741B74"/>
    <w:rsid w:val="00741C2E"/>
    <w:rsid w:val="00741C3D"/>
    <w:rsid w:val="00741C58"/>
    <w:rsid w:val="00741CD6"/>
    <w:rsid w:val="00741DC8"/>
    <w:rsid w:val="00741E54"/>
    <w:rsid w:val="007420B8"/>
    <w:rsid w:val="00742291"/>
    <w:rsid w:val="00742301"/>
    <w:rsid w:val="007425D4"/>
    <w:rsid w:val="007425E1"/>
    <w:rsid w:val="0074263E"/>
    <w:rsid w:val="007427CA"/>
    <w:rsid w:val="00742837"/>
    <w:rsid w:val="00742975"/>
    <w:rsid w:val="00742A62"/>
    <w:rsid w:val="00742BB4"/>
    <w:rsid w:val="00742C44"/>
    <w:rsid w:val="00742E68"/>
    <w:rsid w:val="00742FB8"/>
    <w:rsid w:val="00742FCC"/>
    <w:rsid w:val="00743007"/>
    <w:rsid w:val="00743014"/>
    <w:rsid w:val="00743048"/>
    <w:rsid w:val="0074309E"/>
    <w:rsid w:val="0074310A"/>
    <w:rsid w:val="00743136"/>
    <w:rsid w:val="0074319A"/>
    <w:rsid w:val="00743355"/>
    <w:rsid w:val="007434EB"/>
    <w:rsid w:val="00743516"/>
    <w:rsid w:val="0074357F"/>
    <w:rsid w:val="007438A4"/>
    <w:rsid w:val="007438C8"/>
    <w:rsid w:val="007439D9"/>
    <w:rsid w:val="00743BEA"/>
    <w:rsid w:val="00743CE8"/>
    <w:rsid w:val="00743D00"/>
    <w:rsid w:val="00743DBA"/>
    <w:rsid w:val="00743E8D"/>
    <w:rsid w:val="007440A1"/>
    <w:rsid w:val="007440DB"/>
    <w:rsid w:val="0074427A"/>
    <w:rsid w:val="0074431E"/>
    <w:rsid w:val="0074436C"/>
    <w:rsid w:val="0074447B"/>
    <w:rsid w:val="007444C7"/>
    <w:rsid w:val="007445EA"/>
    <w:rsid w:val="00744779"/>
    <w:rsid w:val="00744AA6"/>
    <w:rsid w:val="00744B9E"/>
    <w:rsid w:val="00744D05"/>
    <w:rsid w:val="00744D32"/>
    <w:rsid w:val="00744F67"/>
    <w:rsid w:val="00744FFF"/>
    <w:rsid w:val="00745081"/>
    <w:rsid w:val="0074512E"/>
    <w:rsid w:val="0074529D"/>
    <w:rsid w:val="00745306"/>
    <w:rsid w:val="00745435"/>
    <w:rsid w:val="00745484"/>
    <w:rsid w:val="00745534"/>
    <w:rsid w:val="00745647"/>
    <w:rsid w:val="00745747"/>
    <w:rsid w:val="00745986"/>
    <w:rsid w:val="00745A6F"/>
    <w:rsid w:val="00745D12"/>
    <w:rsid w:val="00745E0F"/>
    <w:rsid w:val="00745E14"/>
    <w:rsid w:val="00745E1C"/>
    <w:rsid w:val="00745E6E"/>
    <w:rsid w:val="00745E95"/>
    <w:rsid w:val="00745FDD"/>
    <w:rsid w:val="007460F4"/>
    <w:rsid w:val="00746113"/>
    <w:rsid w:val="00746179"/>
    <w:rsid w:val="0074638A"/>
    <w:rsid w:val="00746715"/>
    <w:rsid w:val="0074681F"/>
    <w:rsid w:val="0074693A"/>
    <w:rsid w:val="00746964"/>
    <w:rsid w:val="00746B82"/>
    <w:rsid w:val="00746C0C"/>
    <w:rsid w:val="00746CF0"/>
    <w:rsid w:val="00746FCC"/>
    <w:rsid w:val="00746FF4"/>
    <w:rsid w:val="007470FB"/>
    <w:rsid w:val="0074729D"/>
    <w:rsid w:val="00747347"/>
    <w:rsid w:val="0074750A"/>
    <w:rsid w:val="0074771F"/>
    <w:rsid w:val="007478C0"/>
    <w:rsid w:val="00747983"/>
    <w:rsid w:val="007479BA"/>
    <w:rsid w:val="00747ADA"/>
    <w:rsid w:val="00747B3D"/>
    <w:rsid w:val="00747C31"/>
    <w:rsid w:val="00747C84"/>
    <w:rsid w:val="00747D2E"/>
    <w:rsid w:val="00747D8A"/>
    <w:rsid w:val="00747FC2"/>
    <w:rsid w:val="00750061"/>
    <w:rsid w:val="007501E1"/>
    <w:rsid w:val="007502E8"/>
    <w:rsid w:val="00750300"/>
    <w:rsid w:val="0075034B"/>
    <w:rsid w:val="007503ED"/>
    <w:rsid w:val="00750424"/>
    <w:rsid w:val="0075047E"/>
    <w:rsid w:val="007505CF"/>
    <w:rsid w:val="00750817"/>
    <w:rsid w:val="00750949"/>
    <w:rsid w:val="00750B2B"/>
    <w:rsid w:val="00750C12"/>
    <w:rsid w:val="00750CA1"/>
    <w:rsid w:val="00750FC3"/>
    <w:rsid w:val="0075100E"/>
    <w:rsid w:val="007510B5"/>
    <w:rsid w:val="007510F5"/>
    <w:rsid w:val="007510F6"/>
    <w:rsid w:val="0075110C"/>
    <w:rsid w:val="00751127"/>
    <w:rsid w:val="00751442"/>
    <w:rsid w:val="007515CA"/>
    <w:rsid w:val="00751762"/>
    <w:rsid w:val="0075180E"/>
    <w:rsid w:val="0075187B"/>
    <w:rsid w:val="007518AD"/>
    <w:rsid w:val="00751B68"/>
    <w:rsid w:val="00751C26"/>
    <w:rsid w:val="00751E62"/>
    <w:rsid w:val="00751EB7"/>
    <w:rsid w:val="00751EF4"/>
    <w:rsid w:val="00751EFD"/>
    <w:rsid w:val="00752099"/>
    <w:rsid w:val="00752173"/>
    <w:rsid w:val="0075219F"/>
    <w:rsid w:val="007521BA"/>
    <w:rsid w:val="00752282"/>
    <w:rsid w:val="0075230B"/>
    <w:rsid w:val="0075232C"/>
    <w:rsid w:val="007523B2"/>
    <w:rsid w:val="00752448"/>
    <w:rsid w:val="00752633"/>
    <w:rsid w:val="00752875"/>
    <w:rsid w:val="00752C8E"/>
    <w:rsid w:val="00752DB2"/>
    <w:rsid w:val="00752DC7"/>
    <w:rsid w:val="00752DDA"/>
    <w:rsid w:val="00752E2A"/>
    <w:rsid w:val="00752F12"/>
    <w:rsid w:val="0075303A"/>
    <w:rsid w:val="0075306F"/>
    <w:rsid w:val="00753174"/>
    <w:rsid w:val="007531EA"/>
    <w:rsid w:val="0075321A"/>
    <w:rsid w:val="00753288"/>
    <w:rsid w:val="007536A5"/>
    <w:rsid w:val="0075379A"/>
    <w:rsid w:val="007538E9"/>
    <w:rsid w:val="00753A6E"/>
    <w:rsid w:val="00753B4D"/>
    <w:rsid w:val="00753CCD"/>
    <w:rsid w:val="00753DBC"/>
    <w:rsid w:val="00753FB4"/>
    <w:rsid w:val="0075403C"/>
    <w:rsid w:val="0075419F"/>
    <w:rsid w:val="0075431F"/>
    <w:rsid w:val="0075437F"/>
    <w:rsid w:val="00754628"/>
    <w:rsid w:val="007547F3"/>
    <w:rsid w:val="00754915"/>
    <w:rsid w:val="00754949"/>
    <w:rsid w:val="00754969"/>
    <w:rsid w:val="00754A4C"/>
    <w:rsid w:val="00754A52"/>
    <w:rsid w:val="00754EF9"/>
    <w:rsid w:val="0075501F"/>
    <w:rsid w:val="00755225"/>
    <w:rsid w:val="00755356"/>
    <w:rsid w:val="007556AE"/>
    <w:rsid w:val="00755962"/>
    <w:rsid w:val="00755A06"/>
    <w:rsid w:val="00755A3C"/>
    <w:rsid w:val="00755A56"/>
    <w:rsid w:val="00755B21"/>
    <w:rsid w:val="00755B73"/>
    <w:rsid w:val="00755BAF"/>
    <w:rsid w:val="00755BBE"/>
    <w:rsid w:val="00755C15"/>
    <w:rsid w:val="00755C5E"/>
    <w:rsid w:val="00755CBF"/>
    <w:rsid w:val="00755D0C"/>
    <w:rsid w:val="00755D0D"/>
    <w:rsid w:val="00755D18"/>
    <w:rsid w:val="00755E2F"/>
    <w:rsid w:val="00755ED8"/>
    <w:rsid w:val="00755F97"/>
    <w:rsid w:val="00755F99"/>
    <w:rsid w:val="007560BB"/>
    <w:rsid w:val="00756108"/>
    <w:rsid w:val="00756343"/>
    <w:rsid w:val="00756391"/>
    <w:rsid w:val="0075647F"/>
    <w:rsid w:val="007564FA"/>
    <w:rsid w:val="00756557"/>
    <w:rsid w:val="007568A3"/>
    <w:rsid w:val="007569E9"/>
    <w:rsid w:val="00756BC1"/>
    <w:rsid w:val="00756D6F"/>
    <w:rsid w:val="00756DE7"/>
    <w:rsid w:val="00757153"/>
    <w:rsid w:val="0075720F"/>
    <w:rsid w:val="00757386"/>
    <w:rsid w:val="00757412"/>
    <w:rsid w:val="00757456"/>
    <w:rsid w:val="007575B8"/>
    <w:rsid w:val="007575D3"/>
    <w:rsid w:val="00757639"/>
    <w:rsid w:val="00757788"/>
    <w:rsid w:val="00757796"/>
    <w:rsid w:val="007577B3"/>
    <w:rsid w:val="007577EB"/>
    <w:rsid w:val="007579B0"/>
    <w:rsid w:val="007579DC"/>
    <w:rsid w:val="00757A91"/>
    <w:rsid w:val="00757A94"/>
    <w:rsid w:val="00757E3E"/>
    <w:rsid w:val="00757E77"/>
    <w:rsid w:val="00760056"/>
    <w:rsid w:val="00760214"/>
    <w:rsid w:val="00760231"/>
    <w:rsid w:val="00760657"/>
    <w:rsid w:val="007608E4"/>
    <w:rsid w:val="00760965"/>
    <w:rsid w:val="00760BA0"/>
    <w:rsid w:val="00760BCC"/>
    <w:rsid w:val="00760D9F"/>
    <w:rsid w:val="00760DBC"/>
    <w:rsid w:val="00760EA0"/>
    <w:rsid w:val="00760F5B"/>
    <w:rsid w:val="0076113A"/>
    <w:rsid w:val="007611C0"/>
    <w:rsid w:val="007612F3"/>
    <w:rsid w:val="007613AB"/>
    <w:rsid w:val="007613C7"/>
    <w:rsid w:val="00761762"/>
    <w:rsid w:val="007617BE"/>
    <w:rsid w:val="00761817"/>
    <w:rsid w:val="007618B2"/>
    <w:rsid w:val="00761C6B"/>
    <w:rsid w:val="00761D25"/>
    <w:rsid w:val="00761D4B"/>
    <w:rsid w:val="00761FE0"/>
    <w:rsid w:val="00762330"/>
    <w:rsid w:val="007624B9"/>
    <w:rsid w:val="007624BF"/>
    <w:rsid w:val="007626E4"/>
    <w:rsid w:val="00762785"/>
    <w:rsid w:val="00762930"/>
    <w:rsid w:val="00762BC5"/>
    <w:rsid w:val="00762C76"/>
    <w:rsid w:val="00762D04"/>
    <w:rsid w:val="00762D70"/>
    <w:rsid w:val="00762D8D"/>
    <w:rsid w:val="00762E77"/>
    <w:rsid w:val="00762F97"/>
    <w:rsid w:val="00762FAC"/>
    <w:rsid w:val="00763181"/>
    <w:rsid w:val="00763290"/>
    <w:rsid w:val="007632A1"/>
    <w:rsid w:val="007632AF"/>
    <w:rsid w:val="0076350E"/>
    <w:rsid w:val="00763774"/>
    <w:rsid w:val="0076388A"/>
    <w:rsid w:val="007638D6"/>
    <w:rsid w:val="00763A86"/>
    <w:rsid w:val="00763F36"/>
    <w:rsid w:val="007641A7"/>
    <w:rsid w:val="00764378"/>
    <w:rsid w:val="007645F9"/>
    <w:rsid w:val="0076467E"/>
    <w:rsid w:val="0076472A"/>
    <w:rsid w:val="00764A6C"/>
    <w:rsid w:val="00764E39"/>
    <w:rsid w:val="00764EC4"/>
    <w:rsid w:val="00765177"/>
    <w:rsid w:val="007651B4"/>
    <w:rsid w:val="007651D5"/>
    <w:rsid w:val="007651DB"/>
    <w:rsid w:val="00765325"/>
    <w:rsid w:val="007654AE"/>
    <w:rsid w:val="007654D9"/>
    <w:rsid w:val="00765502"/>
    <w:rsid w:val="0076563D"/>
    <w:rsid w:val="00765821"/>
    <w:rsid w:val="0076590C"/>
    <w:rsid w:val="00765B39"/>
    <w:rsid w:val="00765C69"/>
    <w:rsid w:val="00765D3B"/>
    <w:rsid w:val="00765E85"/>
    <w:rsid w:val="00765EB2"/>
    <w:rsid w:val="00765F30"/>
    <w:rsid w:val="00765FFC"/>
    <w:rsid w:val="00766016"/>
    <w:rsid w:val="007660B9"/>
    <w:rsid w:val="007661ED"/>
    <w:rsid w:val="0076648B"/>
    <w:rsid w:val="007665CA"/>
    <w:rsid w:val="007666E7"/>
    <w:rsid w:val="00766827"/>
    <w:rsid w:val="0076683C"/>
    <w:rsid w:val="007668DF"/>
    <w:rsid w:val="00766A3E"/>
    <w:rsid w:val="00766CBB"/>
    <w:rsid w:val="00766CE3"/>
    <w:rsid w:val="00766D01"/>
    <w:rsid w:val="00766DCA"/>
    <w:rsid w:val="00766DE0"/>
    <w:rsid w:val="00766E1A"/>
    <w:rsid w:val="00766E3B"/>
    <w:rsid w:val="00766EE2"/>
    <w:rsid w:val="007671FD"/>
    <w:rsid w:val="0076730C"/>
    <w:rsid w:val="00767346"/>
    <w:rsid w:val="00767605"/>
    <w:rsid w:val="00767759"/>
    <w:rsid w:val="00767777"/>
    <w:rsid w:val="00767839"/>
    <w:rsid w:val="00767982"/>
    <w:rsid w:val="00767AB0"/>
    <w:rsid w:val="00767ABC"/>
    <w:rsid w:val="00767AF4"/>
    <w:rsid w:val="00767B06"/>
    <w:rsid w:val="00767B0B"/>
    <w:rsid w:val="00767B20"/>
    <w:rsid w:val="00767BA7"/>
    <w:rsid w:val="00767CE8"/>
    <w:rsid w:val="00767D69"/>
    <w:rsid w:val="00767DB1"/>
    <w:rsid w:val="00767E39"/>
    <w:rsid w:val="00767E7E"/>
    <w:rsid w:val="00770080"/>
    <w:rsid w:val="00770178"/>
    <w:rsid w:val="007701A2"/>
    <w:rsid w:val="007701ED"/>
    <w:rsid w:val="0077025A"/>
    <w:rsid w:val="00770505"/>
    <w:rsid w:val="00770755"/>
    <w:rsid w:val="007708C5"/>
    <w:rsid w:val="007708EB"/>
    <w:rsid w:val="0077092B"/>
    <w:rsid w:val="007709AB"/>
    <w:rsid w:val="007709D9"/>
    <w:rsid w:val="007709FF"/>
    <w:rsid w:val="00770A07"/>
    <w:rsid w:val="00770A78"/>
    <w:rsid w:val="00770C87"/>
    <w:rsid w:val="00770F7D"/>
    <w:rsid w:val="00771015"/>
    <w:rsid w:val="007710E0"/>
    <w:rsid w:val="0077117D"/>
    <w:rsid w:val="00771390"/>
    <w:rsid w:val="007713A6"/>
    <w:rsid w:val="00771541"/>
    <w:rsid w:val="00771715"/>
    <w:rsid w:val="0077173E"/>
    <w:rsid w:val="007717DE"/>
    <w:rsid w:val="00771925"/>
    <w:rsid w:val="007719A1"/>
    <w:rsid w:val="00771AAB"/>
    <w:rsid w:val="00771B4C"/>
    <w:rsid w:val="00771D6C"/>
    <w:rsid w:val="00771DA3"/>
    <w:rsid w:val="00771F9C"/>
    <w:rsid w:val="007720F5"/>
    <w:rsid w:val="00772210"/>
    <w:rsid w:val="00772228"/>
    <w:rsid w:val="007724E8"/>
    <w:rsid w:val="00772805"/>
    <w:rsid w:val="0077287E"/>
    <w:rsid w:val="0077297D"/>
    <w:rsid w:val="007729B8"/>
    <w:rsid w:val="007729D7"/>
    <w:rsid w:val="00772D81"/>
    <w:rsid w:val="00772DE7"/>
    <w:rsid w:val="00772F55"/>
    <w:rsid w:val="00773003"/>
    <w:rsid w:val="00773257"/>
    <w:rsid w:val="007732E1"/>
    <w:rsid w:val="007733DB"/>
    <w:rsid w:val="007734A2"/>
    <w:rsid w:val="007735C2"/>
    <w:rsid w:val="00773646"/>
    <w:rsid w:val="00773714"/>
    <w:rsid w:val="0077376D"/>
    <w:rsid w:val="00773875"/>
    <w:rsid w:val="007738D9"/>
    <w:rsid w:val="007739F0"/>
    <w:rsid w:val="00773A3D"/>
    <w:rsid w:val="00773A55"/>
    <w:rsid w:val="00773AC7"/>
    <w:rsid w:val="00773D78"/>
    <w:rsid w:val="00773E55"/>
    <w:rsid w:val="00773ED5"/>
    <w:rsid w:val="007741A5"/>
    <w:rsid w:val="00774275"/>
    <w:rsid w:val="007742AB"/>
    <w:rsid w:val="0077430F"/>
    <w:rsid w:val="00774477"/>
    <w:rsid w:val="0077448A"/>
    <w:rsid w:val="00774562"/>
    <w:rsid w:val="00774581"/>
    <w:rsid w:val="00774666"/>
    <w:rsid w:val="00774687"/>
    <w:rsid w:val="0077471C"/>
    <w:rsid w:val="0077476F"/>
    <w:rsid w:val="007748ED"/>
    <w:rsid w:val="007749B0"/>
    <w:rsid w:val="00774A5B"/>
    <w:rsid w:val="00774B6D"/>
    <w:rsid w:val="00774BB6"/>
    <w:rsid w:val="00774C2F"/>
    <w:rsid w:val="00774C43"/>
    <w:rsid w:val="00774CA6"/>
    <w:rsid w:val="00774D78"/>
    <w:rsid w:val="00774E9B"/>
    <w:rsid w:val="00774F2D"/>
    <w:rsid w:val="00775024"/>
    <w:rsid w:val="007750F6"/>
    <w:rsid w:val="007751E9"/>
    <w:rsid w:val="00775311"/>
    <w:rsid w:val="007753C6"/>
    <w:rsid w:val="0077553C"/>
    <w:rsid w:val="0077557B"/>
    <w:rsid w:val="007755AE"/>
    <w:rsid w:val="00775695"/>
    <w:rsid w:val="00775C3A"/>
    <w:rsid w:val="00775CB3"/>
    <w:rsid w:val="00775D19"/>
    <w:rsid w:val="00775EA4"/>
    <w:rsid w:val="00775EEA"/>
    <w:rsid w:val="00775F58"/>
    <w:rsid w:val="00775FDE"/>
    <w:rsid w:val="00776169"/>
    <w:rsid w:val="007764BE"/>
    <w:rsid w:val="0077652D"/>
    <w:rsid w:val="0077654F"/>
    <w:rsid w:val="007765E3"/>
    <w:rsid w:val="0077682D"/>
    <w:rsid w:val="00776849"/>
    <w:rsid w:val="007768CC"/>
    <w:rsid w:val="0077692B"/>
    <w:rsid w:val="0077698D"/>
    <w:rsid w:val="007769D9"/>
    <w:rsid w:val="00776ADF"/>
    <w:rsid w:val="00776AFC"/>
    <w:rsid w:val="00776B35"/>
    <w:rsid w:val="00776B8B"/>
    <w:rsid w:val="00776B8E"/>
    <w:rsid w:val="00776E1A"/>
    <w:rsid w:val="00776E44"/>
    <w:rsid w:val="00776EBF"/>
    <w:rsid w:val="00777123"/>
    <w:rsid w:val="00777127"/>
    <w:rsid w:val="007772C3"/>
    <w:rsid w:val="0077735C"/>
    <w:rsid w:val="007777FE"/>
    <w:rsid w:val="0077785A"/>
    <w:rsid w:val="00777A88"/>
    <w:rsid w:val="00777AEE"/>
    <w:rsid w:val="00777BE7"/>
    <w:rsid w:val="00777D29"/>
    <w:rsid w:val="00777D30"/>
    <w:rsid w:val="00780177"/>
    <w:rsid w:val="007803A6"/>
    <w:rsid w:val="007803E7"/>
    <w:rsid w:val="007804A3"/>
    <w:rsid w:val="007805A9"/>
    <w:rsid w:val="0078061B"/>
    <w:rsid w:val="007806AA"/>
    <w:rsid w:val="007806DF"/>
    <w:rsid w:val="00780AC4"/>
    <w:rsid w:val="00780AFD"/>
    <w:rsid w:val="00780C15"/>
    <w:rsid w:val="00781130"/>
    <w:rsid w:val="007813B8"/>
    <w:rsid w:val="007813D5"/>
    <w:rsid w:val="00781498"/>
    <w:rsid w:val="0078157B"/>
    <w:rsid w:val="007815A2"/>
    <w:rsid w:val="00781601"/>
    <w:rsid w:val="00781675"/>
    <w:rsid w:val="0078172B"/>
    <w:rsid w:val="00781758"/>
    <w:rsid w:val="00781797"/>
    <w:rsid w:val="0078198C"/>
    <w:rsid w:val="00781B56"/>
    <w:rsid w:val="00781E1F"/>
    <w:rsid w:val="00781E65"/>
    <w:rsid w:val="007820B4"/>
    <w:rsid w:val="007820B7"/>
    <w:rsid w:val="007821CC"/>
    <w:rsid w:val="00782592"/>
    <w:rsid w:val="007825BD"/>
    <w:rsid w:val="0078261F"/>
    <w:rsid w:val="00782633"/>
    <w:rsid w:val="00782699"/>
    <w:rsid w:val="0078269E"/>
    <w:rsid w:val="0078271A"/>
    <w:rsid w:val="00782918"/>
    <w:rsid w:val="0078296D"/>
    <w:rsid w:val="007829E0"/>
    <w:rsid w:val="00782ACA"/>
    <w:rsid w:val="00782B84"/>
    <w:rsid w:val="00782C0E"/>
    <w:rsid w:val="00782C5B"/>
    <w:rsid w:val="00782C71"/>
    <w:rsid w:val="00782D14"/>
    <w:rsid w:val="00782E52"/>
    <w:rsid w:val="00782FBB"/>
    <w:rsid w:val="00783020"/>
    <w:rsid w:val="00783158"/>
    <w:rsid w:val="007832F5"/>
    <w:rsid w:val="00783399"/>
    <w:rsid w:val="00783442"/>
    <w:rsid w:val="007834A1"/>
    <w:rsid w:val="007834CA"/>
    <w:rsid w:val="007834E3"/>
    <w:rsid w:val="007835C4"/>
    <w:rsid w:val="007836CD"/>
    <w:rsid w:val="00783AD2"/>
    <w:rsid w:val="00783AEE"/>
    <w:rsid w:val="00783B35"/>
    <w:rsid w:val="00783BF3"/>
    <w:rsid w:val="00783CEF"/>
    <w:rsid w:val="00783EFB"/>
    <w:rsid w:val="0078402C"/>
    <w:rsid w:val="00784118"/>
    <w:rsid w:val="00784123"/>
    <w:rsid w:val="0078413B"/>
    <w:rsid w:val="007841A5"/>
    <w:rsid w:val="00784231"/>
    <w:rsid w:val="0078442C"/>
    <w:rsid w:val="00784453"/>
    <w:rsid w:val="0078449D"/>
    <w:rsid w:val="007844B3"/>
    <w:rsid w:val="007845A1"/>
    <w:rsid w:val="007845A8"/>
    <w:rsid w:val="00784604"/>
    <w:rsid w:val="00784624"/>
    <w:rsid w:val="00784667"/>
    <w:rsid w:val="007847CD"/>
    <w:rsid w:val="00784892"/>
    <w:rsid w:val="00784D96"/>
    <w:rsid w:val="00784E7A"/>
    <w:rsid w:val="00784E8D"/>
    <w:rsid w:val="00784EC7"/>
    <w:rsid w:val="00784FB3"/>
    <w:rsid w:val="00785065"/>
    <w:rsid w:val="007850F6"/>
    <w:rsid w:val="00785281"/>
    <w:rsid w:val="0078531D"/>
    <w:rsid w:val="007853F3"/>
    <w:rsid w:val="007854C3"/>
    <w:rsid w:val="0078553E"/>
    <w:rsid w:val="007856FC"/>
    <w:rsid w:val="007858D0"/>
    <w:rsid w:val="00785909"/>
    <w:rsid w:val="00785B61"/>
    <w:rsid w:val="00785E50"/>
    <w:rsid w:val="00785F02"/>
    <w:rsid w:val="00785F1F"/>
    <w:rsid w:val="00785F33"/>
    <w:rsid w:val="00786032"/>
    <w:rsid w:val="0078636E"/>
    <w:rsid w:val="007863E5"/>
    <w:rsid w:val="00786477"/>
    <w:rsid w:val="00786599"/>
    <w:rsid w:val="007866A0"/>
    <w:rsid w:val="007867AB"/>
    <w:rsid w:val="00786823"/>
    <w:rsid w:val="0078682F"/>
    <w:rsid w:val="00786905"/>
    <w:rsid w:val="0078691D"/>
    <w:rsid w:val="007869DB"/>
    <w:rsid w:val="00786AF6"/>
    <w:rsid w:val="00786B25"/>
    <w:rsid w:val="00786DC0"/>
    <w:rsid w:val="00786E83"/>
    <w:rsid w:val="00786EB8"/>
    <w:rsid w:val="00786EC4"/>
    <w:rsid w:val="00786F72"/>
    <w:rsid w:val="00787054"/>
    <w:rsid w:val="0078718D"/>
    <w:rsid w:val="007871A0"/>
    <w:rsid w:val="00787398"/>
    <w:rsid w:val="00787412"/>
    <w:rsid w:val="007874AD"/>
    <w:rsid w:val="007875A9"/>
    <w:rsid w:val="007876A3"/>
    <w:rsid w:val="00787701"/>
    <w:rsid w:val="00787909"/>
    <w:rsid w:val="007879BF"/>
    <w:rsid w:val="00787A12"/>
    <w:rsid w:val="00787B5C"/>
    <w:rsid w:val="00787D36"/>
    <w:rsid w:val="0079011D"/>
    <w:rsid w:val="007902F1"/>
    <w:rsid w:val="00790354"/>
    <w:rsid w:val="0079054C"/>
    <w:rsid w:val="0079078D"/>
    <w:rsid w:val="007907D6"/>
    <w:rsid w:val="0079084C"/>
    <w:rsid w:val="00790869"/>
    <w:rsid w:val="0079091E"/>
    <w:rsid w:val="00790AEC"/>
    <w:rsid w:val="00790B14"/>
    <w:rsid w:val="00790FFE"/>
    <w:rsid w:val="00791080"/>
    <w:rsid w:val="007910B3"/>
    <w:rsid w:val="007910BC"/>
    <w:rsid w:val="007911A9"/>
    <w:rsid w:val="00791374"/>
    <w:rsid w:val="007913E6"/>
    <w:rsid w:val="007914D1"/>
    <w:rsid w:val="00791B16"/>
    <w:rsid w:val="00791C9F"/>
    <w:rsid w:val="00791D1F"/>
    <w:rsid w:val="00791DD4"/>
    <w:rsid w:val="00791F29"/>
    <w:rsid w:val="00791F38"/>
    <w:rsid w:val="00791F80"/>
    <w:rsid w:val="0079201B"/>
    <w:rsid w:val="007920DB"/>
    <w:rsid w:val="007920E1"/>
    <w:rsid w:val="00792231"/>
    <w:rsid w:val="007922D0"/>
    <w:rsid w:val="007922E7"/>
    <w:rsid w:val="007922FF"/>
    <w:rsid w:val="00792329"/>
    <w:rsid w:val="00792463"/>
    <w:rsid w:val="007925B3"/>
    <w:rsid w:val="0079265C"/>
    <w:rsid w:val="007926B8"/>
    <w:rsid w:val="00792762"/>
    <w:rsid w:val="0079287B"/>
    <w:rsid w:val="0079288C"/>
    <w:rsid w:val="007928DE"/>
    <w:rsid w:val="0079298C"/>
    <w:rsid w:val="007929AF"/>
    <w:rsid w:val="007929BB"/>
    <w:rsid w:val="007929CB"/>
    <w:rsid w:val="00792B24"/>
    <w:rsid w:val="00792C06"/>
    <w:rsid w:val="00792DD3"/>
    <w:rsid w:val="00792E96"/>
    <w:rsid w:val="0079310B"/>
    <w:rsid w:val="007933D2"/>
    <w:rsid w:val="0079345D"/>
    <w:rsid w:val="007934DB"/>
    <w:rsid w:val="00793548"/>
    <w:rsid w:val="00793848"/>
    <w:rsid w:val="00793899"/>
    <w:rsid w:val="00793A6E"/>
    <w:rsid w:val="00793B94"/>
    <w:rsid w:val="00793C59"/>
    <w:rsid w:val="00793E5C"/>
    <w:rsid w:val="00793FF8"/>
    <w:rsid w:val="00794142"/>
    <w:rsid w:val="00794144"/>
    <w:rsid w:val="00794226"/>
    <w:rsid w:val="007943C5"/>
    <w:rsid w:val="007943CD"/>
    <w:rsid w:val="007943F8"/>
    <w:rsid w:val="0079444F"/>
    <w:rsid w:val="007944DF"/>
    <w:rsid w:val="00794821"/>
    <w:rsid w:val="007948DC"/>
    <w:rsid w:val="007948DF"/>
    <w:rsid w:val="00794B35"/>
    <w:rsid w:val="00794B36"/>
    <w:rsid w:val="00794BE5"/>
    <w:rsid w:val="00794C61"/>
    <w:rsid w:val="00794D82"/>
    <w:rsid w:val="00794D87"/>
    <w:rsid w:val="00794F42"/>
    <w:rsid w:val="00794FB8"/>
    <w:rsid w:val="00794FBB"/>
    <w:rsid w:val="0079520F"/>
    <w:rsid w:val="00795298"/>
    <w:rsid w:val="007953F0"/>
    <w:rsid w:val="007953F8"/>
    <w:rsid w:val="0079541A"/>
    <w:rsid w:val="00795462"/>
    <w:rsid w:val="0079552A"/>
    <w:rsid w:val="007956C4"/>
    <w:rsid w:val="007957EB"/>
    <w:rsid w:val="0079591B"/>
    <w:rsid w:val="007959BE"/>
    <w:rsid w:val="00795A8D"/>
    <w:rsid w:val="00795AFD"/>
    <w:rsid w:val="00795D0D"/>
    <w:rsid w:val="00795E27"/>
    <w:rsid w:val="00795EF6"/>
    <w:rsid w:val="00795F59"/>
    <w:rsid w:val="007960F7"/>
    <w:rsid w:val="00796409"/>
    <w:rsid w:val="007964CE"/>
    <w:rsid w:val="007964FC"/>
    <w:rsid w:val="00796955"/>
    <w:rsid w:val="007969C1"/>
    <w:rsid w:val="007969FB"/>
    <w:rsid w:val="00796A4A"/>
    <w:rsid w:val="00796AE6"/>
    <w:rsid w:val="00796B68"/>
    <w:rsid w:val="00796CA2"/>
    <w:rsid w:val="00796DC8"/>
    <w:rsid w:val="007970A0"/>
    <w:rsid w:val="00797374"/>
    <w:rsid w:val="00797402"/>
    <w:rsid w:val="007974F6"/>
    <w:rsid w:val="0079750F"/>
    <w:rsid w:val="00797517"/>
    <w:rsid w:val="00797695"/>
    <w:rsid w:val="007978CC"/>
    <w:rsid w:val="007978E9"/>
    <w:rsid w:val="007979F2"/>
    <w:rsid w:val="00797AAC"/>
    <w:rsid w:val="00797D13"/>
    <w:rsid w:val="00797D35"/>
    <w:rsid w:val="00797E2C"/>
    <w:rsid w:val="00797EF4"/>
    <w:rsid w:val="00797EFC"/>
    <w:rsid w:val="007A003E"/>
    <w:rsid w:val="007A016A"/>
    <w:rsid w:val="007A018C"/>
    <w:rsid w:val="007A0271"/>
    <w:rsid w:val="007A03A7"/>
    <w:rsid w:val="007A0481"/>
    <w:rsid w:val="007A06D8"/>
    <w:rsid w:val="007A072C"/>
    <w:rsid w:val="007A07C6"/>
    <w:rsid w:val="007A08F9"/>
    <w:rsid w:val="007A091D"/>
    <w:rsid w:val="007A0A12"/>
    <w:rsid w:val="007A0B59"/>
    <w:rsid w:val="007A0BF3"/>
    <w:rsid w:val="007A0DC4"/>
    <w:rsid w:val="007A0E29"/>
    <w:rsid w:val="007A0E72"/>
    <w:rsid w:val="007A0F00"/>
    <w:rsid w:val="007A0F45"/>
    <w:rsid w:val="007A10A3"/>
    <w:rsid w:val="007A122C"/>
    <w:rsid w:val="007A1483"/>
    <w:rsid w:val="007A1509"/>
    <w:rsid w:val="007A1635"/>
    <w:rsid w:val="007A18E4"/>
    <w:rsid w:val="007A1928"/>
    <w:rsid w:val="007A1995"/>
    <w:rsid w:val="007A1AB6"/>
    <w:rsid w:val="007A1B6C"/>
    <w:rsid w:val="007A1D9B"/>
    <w:rsid w:val="007A1F0B"/>
    <w:rsid w:val="007A1FC1"/>
    <w:rsid w:val="007A206D"/>
    <w:rsid w:val="007A2075"/>
    <w:rsid w:val="007A2237"/>
    <w:rsid w:val="007A2394"/>
    <w:rsid w:val="007A23A8"/>
    <w:rsid w:val="007A243C"/>
    <w:rsid w:val="007A263C"/>
    <w:rsid w:val="007A27C5"/>
    <w:rsid w:val="007A2812"/>
    <w:rsid w:val="007A2A1B"/>
    <w:rsid w:val="007A2A84"/>
    <w:rsid w:val="007A2C35"/>
    <w:rsid w:val="007A2F0D"/>
    <w:rsid w:val="007A359A"/>
    <w:rsid w:val="007A35AA"/>
    <w:rsid w:val="007A3600"/>
    <w:rsid w:val="007A37AE"/>
    <w:rsid w:val="007A37BF"/>
    <w:rsid w:val="007A387B"/>
    <w:rsid w:val="007A38DE"/>
    <w:rsid w:val="007A39CB"/>
    <w:rsid w:val="007A3A4B"/>
    <w:rsid w:val="007A3F2F"/>
    <w:rsid w:val="007A40B2"/>
    <w:rsid w:val="007A42C2"/>
    <w:rsid w:val="007A43AB"/>
    <w:rsid w:val="007A43FB"/>
    <w:rsid w:val="007A443A"/>
    <w:rsid w:val="007A44D0"/>
    <w:rsid w:val="007A44FA"/>
    <w:rsid w:val="007A46E8"/>
    <w:rsid w:val="007A48AF"/>
    <w:rsid w:val="007A4BA7"/>
    <w:rsid w:val="007A4E83"/>
    <w:rsid w:val="007A51A2"/>
    <w:rsid w:val="007A52E1"/>
    <w:rsid w:val="007A530B"/>
    <w:rsid w:val="007A5319"/>
    <w:rsid w:val="007A53BB"/>
    <w:rsid w:val="007A53EF"/>
    <w:rsid w:val="007A5461"/>
    <w:rsid w:val="007A54DA"/>
    <w:rsid w:val="007A56D1"/>
    <w:rsid w:val="007A5810"/>
    <w:rsid w:val="007A599E"/>
    <w:rsid w:val="007A5A52"/>
    <w:rsid w:val="007A5AE6"/>
    <w:rsid w:val="007A5E28"/>
    <w:rsid w:val="007A5E8F"/>
    <w:rsid w:val="007A5F2A"/>
    <w:rsid w:val="007A5FA7"/>
    <w:rsid w:val="007A6041"/>
    <w:rsid w:val="007A6140"/>
    <w:rsid w:val="007A63AE"/>
    <w:rsid w:val="007A63FA"/>
    <w:rsid w:val="007A6552"/>
    <w:rsid w:val="007A66AB"/>
    <w:rsid w:val="007A6ACD"/>
    <w:rsid w:val="007A6B45"/>
    <w:rsid w:val="007A6B8C"/>
    <w:rsid w:val="007A6CFD"/>
    <w:rsid w:val="007A6D44"/>
    <w:rsid w:val="007A6DA3"/>
    <w:rsid w:val="007A6E69"/>
    <w:rsid w:val="007A6F42"/>
    <w:rsid w:val="007A6FAB"/>
    <w:rsid w:val="007A7001"/>
    <w:rsid w:val="007A7098"/>
    <w:rsid w:val="007A7127"/>
    <w:rsid w:val="007A71DD"/>
    <w:rsid w:val="007A7385"/>
    <w:rsid w:val="007A744B"/>
    <w:rsid w:val="007A745B"/>
    <w:rsid w:val="007A760D"/>
    <w:rsid w:val="007A768C"/>
    <w:rsid w:val="007A799F"/>
    <w:rsid w:val="007A7A92"/>
    <w:rsid w:val="007A7AE0"/>
    <w:rsid w:val="007A7B3B"/>
    <w:rsid w:val="007A7B92"/>
    <w:rsid w:val="007A7D19"/>
    <w:rsid w:val="007A7ECC"/>
    <w:rsid w:val="007B0130"/>
    <w:rsid w:val="007B03E3"/>
    <w:rsid w:val="007B03F2"/>
    <w:rsid w:val="007B03FE"/>
    <w:rsid w:val="007B04F4"/>
    <w:rsid w:val="007B0599"/>
    <w:rsid w:val="007B0742"/>
    <w:rsid w:val="007B0877"/>
    <w:rsid w:val="007B0972"/>
    <w:rsid w:val="007B09D1"/>
    <w:rsid w:val="007B0B95"/>
    <w:rsid w:val="007B0CED"/>
    <w:rsid w:val="007B0E11"/>
    <w:rsid w:val="007B0EE9"/>
    <w:rsid w:val="007B0FAE"/>
    <w:rsid w:val="007B1063"/>
    <w:rsid w:val="007B10E2"/>
    <w:rsid w:val="007B121F"/>
    <w:rsid w:val="007B125A"/>
    <w:rsid w:val="007B1280"/>
    <w:rsid w:val="007B131A"/>
    <w:rsid w:val="007B133F"/>
    <w:rsid w:val="007B15A9"/>
    <w:rsid w:val="007B161A"/>
    <w:rsid w:val="007B1958"/>
    <w:rsid w:val="007B1F20"/>
    <w:rsid w:val="007B1FA8"/>
    <w:rsid w:val="007B2134"/>
    <w:rsid w:val="007B2178"/>
    <w:rsid w:val="007B21F1"/>
    <w:rsid w:val="007B2367"/>
    <w:rsid w:val="007B2517"/>
    <w:rsid w:val="007B2527"/>
    <w:rsid w:val="007B2675"/>
    <w:rsid w:val="007B2874"/>
    <w:rsid w:val="007B291A"/>
    <w:rsid w:val="007B297A"/>
    <w:rsid w:val="007B2A78"/>
    <w:rsid w:val="007B2AA6"/>
    <w:rsid w:val="007B2ADD"/>
    <w:rsid w:val="007B2B2C"/>
    <w:rsid w:val="007B2C0A"/>
    <w:rsid w:val="007B2C26"/>
    <w:rsid w:val="007B2DED"/>
    <w:rsid w:val="007B2EF7"/>
    <w:rsid w:val="007B3029"/>
    <w:rsid w:val="007B3156"/>
    <w:rsid w:val="007B326E"/>
    <w:rsid w:val="007B3291"/>
    <w:rsid w:val="007B35A5"/>
    <w:rsid w:val="007B3627"/>
    <w:rsid w:val="007B38B1"/>
    <w:rsid w:val="007B3971"/>
    <w:rsid w:val="007B39DC"/>
    <w:rsid w:val="007B39E0"/>
    <w:rsid w:val="007B3A01"/>
    <w:rsid w:val="007B3A67"/>
    <w:rsid w:val="007B3AE9"/>
    <w:rsid w:val="007B3D3B"/>
    <w:rsid w:val="007B3D6D"/>
    <w:rsid w:val="007B3E6D"/>
    <w:rsid w:val="007B4233"/>
    <w:rsid w:val="007B42D8"/>
    <w:rsid w:val="007B4395"/>
    <w:rsid w:val="007B4435"/>
    <w:rsid w:val="007B4473"/>
    <w:rsid w:val="007B4502"/>
    <w:rsid w:val="007B45C9"/>
    <w:rsid w:val="007B4733"/>
    <w:rsid w:val="007B47B5"/>
    <w:rsid w:val="007B48B2"/>
    <w:rsid w:val="007B490D"/>
    <w:rsid w:val="007B491D"/>
    <w:rsid w:val="007B49B4"/>
    <w:rsid w:val="007B4A91"/>
    <w:rsid w:val="007B4AA4"/>
    <w:rsid w:val="007B4B65"/>
    <w:rsid w:val="007B4C2C"/>
    <w:rsid w:val="007B4CCE"/>
    <w:rsid w:val="007B4DDF"/>
    <w:rsid w:val="007B4E41"/>
    <w:rsid w:val="007B5031"/>
    <w:rsid w:val="007B504B"/>
    <w:rsid w:val="007B5343"/>
    <w:rsid w:val="007B55A2"/>
    <w:rsid w:val="007B55C0"/>
    <w:rsid w:val="007B57E4"/>
    <w:rsid w:val="007B5868"/>
    <w:rsid w:val="007B58C6"/>
    <w:rsid w:val="007B5AA4"/>
    <w:rsid w:val="007B5B67"/>
    <w:rsid w:val="007B5C6E"/>
    <w:rsid w:val="007B5C73"/>
    <w:rsid w:val="007B5D28"/>
    <w:rsid w:val="007B5DE6"/>
    <w:rsid w:val="007B5F83"/>
    <w:rsid w:val="007B60C3"/>
    <w:rsid w:val="007B617B"/>
    <w:rsid w:val="007B617C"/>
    <w:rsid w:val="007B632C"/>
    <w:rsid w:val="007B63D4"/>
    <w:rsid w:val="007B63EE"/>
    <w:rsid w:val="007B644A"/>
    <w:rsid w:val="007B6610"/>
    <w:rsid w:val="007B6760"/>
    <w:rsid w:val="007B6AF5"/>
    <w:rsid w:val="007B6CC5"/>
    <w:rsid w:val="007B6D09"/>
    <w:rsid w:val="007B6F96"/>
    <w:rsid w:val="007B7273"/>
    <w:rsid w:val="007B730D"/>
    <w:rsid w:val="007B73FB"/>
    <w:rsid w:val="007B77C6"/>
    <w:rsid w:val="007B7811"/>
    <w:rsid w:val="007B783E"/>
    <w:rsid w:val="007B7898"/>
    <w:rsid w:val="007B78E0"/>
    <w:rsid w:val="007B79B6"/>
    <w:rsid w:val="007B7A14"/>
    <w:rsid w:val="007B7A9A"/>
    <w:rsid w:val="007B7AB6"/>
    <w:rsid w:val="007B7C49"/>
    <w:rsid w:val="007B7D37"/>
    <w:rsid w:val="007B7F6B"/>
    <w:rsid w:val="007C014B"/>
    <w:rsid w:val="007C018D"/>
    <w:rsid w:val="007C0253"/>
    <w:rsid w:val="007C0264"/>
    <w:rsid w:val="007C02A5"/>
    <w:rsid w:val="007C04A5"/>
    <w:rsid w:val="007C04F1"/>
    <w:rsid w:val="007C05AC"/>
    <w:rsid w:val="007C061B"/>
    <w:rsid w:val="007C06CD"/>
    <w:rsid w:val="007C071F"/>
    <w:rsid w:val="007C0753"/>
    <w:rsid w:val="007C09E7"/>
    <w:rsid w:val="007C0A99"/>
    <w:rsid w:val="007C0AB0"/>
    <w:rsid w:val="007C0AD4"/>
    <w:rsid w:val="007C0B7E"/>
    <w:rsid w:val="007C116E"/>
    <w:rsid w:val="007C1178"/>
    <w:rsid w:val="007C126E"/>
    <w:rsid w:val="007C132B"/>
    <w:rsid w:val="007C14D5"/>
    <w:rsid w:val="007C16DE"/>
    <w:rsid w:val="007C17C5"/>
    <w:rsid w:val="007C1850"/>
    <w:rsid w:val="007C1859"/>
    <w:rsid w:val="007C1989"/>
    <w:rsid w:val="007C19CA"/>
    <w:rsid w:val="007C1B2A"/>
    <w:rsid w:val="007C1B4F"/>
    <w:rsid w:val="007C1BA1"/>
    <w:rsid w:val="007C1BE4"/>
    <w:rsid w:val="007C1C5D"/>
    <w:rsid w:val="007C1CD8"/>
    <w:rsid w:val="007C1D14"/>
    <w:rsid w:val="007C1DBF"/>
    <w:rsid w:val="007C1DD1"/>
    <w:rsid w:val="007C1EAC"/>
    <w:rsid w:val="007C1FBB"/>
    <w:rsid w:val="007C2115"/>
    <w:rsid w:val="007C21DC"/>
    <w:rsid w:val="007C21EB"/>
    <w:rsid w:val="007C222D"/>
    <w:rsid w:val="007C2268"/>
    <w:rsid w:val="007C2295"/>
    <w:rsid w:val="007C23AA"/>
    <w:rsid w:val="007C2440"/>
    <w:rsid w:val="007C25B9"/>
    <w:rsid w:val="007C2698"/>
    <w:rsid w:val="007C2809"/>
    <w:rsid w:val="007C2882"/>
    <w:rsid w:val="007C29DF"/>
    <w:rsid w:val="007C2C90"/>
    <w:rsid w:val="007C2CB2"/>
    <w:rsid w:val="007C2D16"/>
    <w:rsid w:val="007C2DB4"/>
    <w:rsid w:val="007C2DE0"/>
    <w:rsid w:val="007C2F9A"/>
    <w:rsid w:val="007C3038"/>
    <w:rsid w:val="007C3100"/>
    <w:rsid w:val="007C3467"/>
    <w:rsid w:val="007C3568"/>
    <w:rsid w:val="007C35D2"/>
    <w:rsid w:val="007C3600"/>
    <w:rsid w:val="007C37E7"/>
    <w:rsid w:val="007C3802"/>
    <w:rsid w:val="007C3847"/>
    <w:rsid w:val="007C38D0"/>
    <w:rsid w:val="007C3B7B"/>
    <w:rsid w:val="007C3CA7"/>
    <w:rsid w:val="007C3D6A"/>
    <w:rsid w:val="007C3DBC"/>
    <w:rsid w:val="007C3E9B"/>
    <w:rsid w:val="007C3F60"/>
    <w:rsid w:val="007C4136"/>
    <w:rsid w:val="007C41AC"/>
    <w:rsid w:val="007C42A3"/>
    <w:rsid w:val="007C453E"/>
    <w:rsid w:val="007C4580"/>
    <w:rsid w:val="007C47EF"/>
    <w:rsid w:val="007C481C"/>
    <w:rsid w:val="007C4970"/>
    <w:rsid w:val="007C4B26"/>
    <w:rsid w:val="007C4C1F"/>
    <w:rsid w:val="007C4CBC"/>
    <w:rsid w:val="007C4CCB"/>
    <w:rsid w:val="007C4D56"/>
    <w:rsid w:val="007C4E44"/>
    <w:rsid w:val="007C505A"/>
    <w:rsid w:val="007C50EE"/>
    <w:rsid w:val="007C514D"/>
    <w:rsid w:val="007C5227"/>
    <w:rsid w:val="007C5260"/>
    <w:rsid w:val="007C54A1"/>
    <w:rsid w:val="007C558F"/>
    <w:rsid w:val="007C5598"/>
    <w:rsid w:val="007C55FA"/>
    <w:rsid w:val="007C5651"/>
    <w:rsid w:val="007C5692"/>
    <w:rsid w:val="007C56D5"/>
    <w:rsid w:val="007C56DC"/>
    <w:rsid w:val="007C58E0"/>
    <w:rsid w:val="007C5AC7"/>
    <w:rsid w:val="007C5BC5"/>
    <w:rsid w:val="007C5C1C"/>
    <w:rsid w:val="007C5C6E"/>
    <w:rsid w:val="007C5D2C"/>
    <w:rsid w:val="007C5EC1"/>
    <w:rsid w:val="007C5F2C"/>
    <w:rsid w:val="007C5F7F"/>
    <w:rsid w:val="007C5FA0"/>
    <w:rsid w:val="007C5FA7"/>
    <w:rsid w:val="007C5FB2"/>
    <w:rsid w:val="007C60B4"/>
    <w:rsid w:val="007C6310"/>
    <w:rsid w:val="007C6374"/>
    <w:rsid w:val="007C643E"/>
    <w:rsid w:val="007C687B"/>
    <w:rsid w:val="007C68A5"/>
    <w:rsid w:val="007C696A"/>
    <w:rsid w:val="007C6ADF"/>
    <w:rsid w:val="007C6AF1"/>
    <w:rsid w:val="007C7062"/>
    <w:rsid w:val="007C7137"/>
    <w:rsid w:val="007C7357"/>
    <w:rsid w:val="007C73BB"/>
    <w:rsid w:val="007C74DA"/>
    <w:rsid w:val="007C767A"/>
    <w:rsid w:val="007C76E1"/>
    <w:rsid w:val="007C7756"/>
    <w:rsid w:val="007C786B"/>
    <w:rsid w:val="007C78E1"/>
    <w:rsid w:val="007C7945"/>
    <w:rsid w:val="007C7955"/>
    <w:rsid w:val="007C7990"/>
    <w:rsid w:val="007C7ABB"/>
    <w:rsid w:val="007C7E0E"/>
    <w:rsid w:val="007C7E48"/>
    <w:rsid w:val="007D0113"/>
    <w:rsid w:val="007D01E5"/>
    <w:rsid w:val="007D01F1"/>
    <w:rsid w:val="007D01FF"/>
    <w:rsid w:val="007D0223"/>
    <w:rsid w:val="007D0273"/>
    <w:rsid w:val="007D02A9"/>
    <w:rsid w:val="007D0359"/>
    <w:rsid w:val="007D0490"/>
    <w:rsid w:val="007D04B4"/>
    <w:rsid w:val="007D0701"/>
    <w:rsid w:val="007D09A1"/>
    <w:rsid w:val="007D0B5A"/>
    <w:rsid w:val="007D0C41"/>
    <w:rsid w:val="007D0C76"/>
    <w:rsid w:val="007D0D6F"/>
    <w:rsid w:val="007D0D9C"/>
    <w:rsid w:val="007D0E02"/>
    <w:rsid w:val="007D0E53"/>
    <w:rsid w:val="007D0E7A"/>
    <w:rsid w:val="007D0EDC"/>
    <w:rsid w:val="007D0FC2"/>
    <w:rsid w:val="007D0FDD"/>
    <w:rsid w:val="007D1116"/>
    <w:rsid w:val="007D1170"/>
    <w:rsid w:val="007D121F"/>
    <w:rsid w:val="007D1223"/>
    <w:rsid w:val="007D15CF"/>
    <w:rsid w:val="007D15FB"/>
    <w:rsid w:val="007D1A89"/>
    <w:rsid w:val="007D1DA5"/>
    <w:rsid w:val="007D2211"/>
    <w:rsid w:val="007D233E"/>
    <w:rsid w:val="007D250B"/>
    <w:rsid w:val="007D250D"/>
    <w:rsid w:val="007D2746"/>
    <w:rsid w:val="007D280D"/>
    <w:rsid w:val="007D2AF9"/>
    <w:rsid w:val="007D2BFA"/>
    <w:rsid w:val="007D2D06"/>
    <w:rsid w:val="007D2F3D"/>
    <w:rsid w:val="007D2F76"/>
    <w:rsid w:val="007D308F"/>
    <w:rsid w:val="007D325B"/>
    <w:rsid w:val="007D34AB"/>
    <w:rsid w:val="007D352D"/>
    <w:rsid w:val="007D364F"/>
    <w:rsid w:val="007D3681"/>
    <w:rsid w:val="007D3858"/>
    <w:rsid w:val="007D3A47"/>
    <w:rsid w:val="007D3AB7"/>
    <w:rsid w:val="007D3B16"/>
    <w:rsid w:val="007D3C48"/>
    <w:rsid w:val="007D3DD2"/>
    <w:rsid w:val="007D3DED"/>
    <w:rsid w:val="007D3E03"/>
    <w:rsid w:val="007D3E48"/>
    <w:rsid w:val="007D3FC1"/>
    <w:rsid w:val="007D3FE2"/>
    <w:rsid w:val="007D404E"/>
    <w:rsid w:val="007D40CA"/>
    <w:rsid w:val="007D4215"/>
    <w:rsid w:val="007D4238"/>
    <w:rsid w:val="007D4395"/>
    <w:rsid w:val="007D441E"/>
    <w:rsid w:val="007D449E"/>
    <w:rsid w:val="007D4795"/>
    <w:rsid w:val="007D4907"/>
    <w:rsid w:val="007D4B91"/>
    <w:rsid w:val="007D4C86"/>
    <w:rsid w:val="007D4CA6"/>
    <w:rsid w:val="007D4E38"/>
    <w:rsid w:val="007D4F66"/>
    <w:rsid w:val="007D5198"/>
    <w:rsid w:val="007D5281"/>
    <w:rsid w:val="007D5364"/>
    <w:rsid w:val="007D538B"/>
    <w:rsid w:val="007D53DE"/>
    <w:rsid w:val="007D549D"/>
    <w:rsid w:val="007D565F"/>
    <w:rsid w:val="007D56C0"/>
    <w:rsid w:val="007D574B"/>
    <w:rsid w:val="007D5754"/>
    <w:rsid w:val="007D583B"/>
    <w:rsid w:val="007D5910"/>
    <w:rsid w:val="007D5B65"/>
    <w:rsid w:val="007D5C8B"/>
    <w:rsid w:val="007D5CE2"/>
    <w:rsid w:val="007D5ED5"/>
    <w:rsid w:val="007D604A"/>
    <w:rsid w:val="007D61A1"/>
    <w:rsid w:val="007D6392"/>
    <w:rsid w:val="007D6565"/>
    <w:rsid w:val="007D673F"/>
    <w:rsid w:val="007D67ED"/>
    <w:rsid w:val="007D67F1"/>
    <w:rsid w:val="007D680C"/>
    <w:rsid w:val="007D6A50"/>
    <w:rsid w:val="007D6A54"/>
    <w:rsid w:val="007D6BE3"/>
    <w:rsid w:val="007D6EB4"/>
    <w:rsid w:val="007D6F87"/>
    <w:rsid w:val="007D71AE"/>
    <w:rsid w:val="007D71C9"/>
    <w:rsid w:val="007D7520"/>
    <w:rsid w:val="007D76AF"/>
    <w:rsid w:val="007D76B0"/>
    <w:rsid w:val="007D770B"/>
    <w:rsid w:val="007D7950"/>
    <w:rsid w:val="007D7E82"/>
    <w:rsid w:val="007D7ECC"/>
    <w:rsid w:val="007D7F60"/>
    <w:rsid w:val="007E0140"/>
    <w:rsid w:val="007E040C"/>
    <w:rsid w:val="007E04D1"/>
    <w:rsid w:val="007E05DB"/>
    <w:rsid w:val="007E0978"/>
    <w:rsid w:val="007E0A6A"/>
    <w:rsid w:val="007E0B27"/>
    <w:rsid w:val="007E0B9C"/>
    <w:rsid w:val="007E0C31"/>
    <w:rsid w:val="007E0E0A"/>
    <w:rsid w:val="007E1121"/>
    <w:rsid w:val="007E1474"/>
    <w:rsid w:val="007E153C"/>
    <w:rsid w:val="007E156E"/>
    <w:rsid w:val="007E1610"/>
    <w:rsid w:val="007E163A"/>
    <w:rsid w:val="007E17D9"/>
    <w:rsid w:val="007E1891"/>
    <w:rsid w:val="007E1AD1"/>
    <w:rsid w:val="007E1B8F"/>
    <w:rsid w:val="007E1CC8"/>
    <w:rsid w:val="007E1EA2"/>
    <w:rsid w:val="007E1FB2"/>
    <w:rsid w:val="007E2022"/>
    <w:rsid w:val="007E2216"/>
    <w:rsid w:val="007E24B9"/>
    <w:rsid w:val="007E258E"/>
    <w:rsid w:val="007E25EA"/>
    <w:rsid w:val="007E27AB"/>
    <w:rsid w:val="007E27CB"/>
    <w:rsid w:val="007E2B2A"/>
    <w:rsid w:val="007E2D47"/>
    <w:rsid w:val="007E2DA0"/>
    <w:rsid w:val="007E2E28"/>
    <w:rsid w:val="007E2ED6"/>
    <w:rsid w:val="007E311C"/>
    <w:rsid w:val="007E3170"/>
    <w:rsid w:val="007E31DA"/>
    <w:rsid w:val="007E3335"/>
    <w:rsid w:val="007E335B"/>
    <w:rsid w:val="007E3509"/>
    <w:rsid w:val="007E3743"/>
    <w:rsid w:val="007E3779"/>
    <w:rsid w:val="007E379F"/>
    <w:rsid w:val="007E37C4"/>
    <w:rsid w:val="007E383A"/>
    <w:rsid w:val="007E3863"/>
    <w:rsid w:val="007E398F"/>
    <w:rsid w:val="007E39FF"/>
    <w:rsid w:val="007E3A4F"/>
    <w:rsid w:val="007E3AC7"/>
    <w:rsid w:val="007E3B77"/>
    <w:rsid w:val="007E3D24"/>
    <w:rsid w:val="007E3DBE"/>
    <w:rsid w:val="007E3DD9"/>
    <w:rsid w:val="007E3E5F"/>
    <w:rsid w:val="007E401E"/>
    <w:rsid w:val="007E40BC"/>
    <w:rsid w:val="007E4157"/>
    <w:rsid w:val="007E415E"/>
    <w:rsid w:val="007E4276"/>
    <w:rsid w:val="007E439D"/>
    <w:rsid w:val="007E43E6"/>
    <w:rsid w:val="007E4446"/>
    <w:rsid w:val="007E45A3"/>
    <w:rsid w:val="007E45A4"/>
    <w:rsid w:val="007E4824"/>
    <w:rsid w:val="007E4847"/>
    <w:rsid w:val="007E4A89"/>
    <w:rsid w:val="007E4E5B"/>
    <w:rsid w:val="007E5004"/>
    <w:rsid w:val="007E501F"/>
    <w:rsid w:val="007E5127"/>
    <w:rsid w:val="007E5319"/>
    <w:rsid w:val="007E546D"/>
    <w:rsid w:val="007E554A"/>
    <w:rsid w:val="007E5594"/>
    <w:rsid w:val="007E55C6"/>
    <w:rsid w:val="007E55F1"/>
    <w:rsid w:val="007E567D"/>
    <w:rsid w:val="007E5700"/>
    <w:rsid w:val="007E58DA"/>
    <w:rsid w:val="007E5920"/>
    <w:rsid w:val="007E59CA"/>
    <w:rsid w:val="007E59E7"/>
    <w:rsid w:val="007E5AB0"/>
    <w:rsid w:val="007E5AFF"/>
    <w:rsid w:val="007E5D2E"/>
    <w:rsid w:val="007E5ECB"/>
    <w:rsid w:val="007E5F8D"/>
    <w:rsid w:val="007E5FD4"/>
    <w:rsid w:val="007E60E9"/>
    <w:rsid w:val="007E615B"/>
    <w:rsid w:val="007E6362"/>
    <w:rsid w:val="007E63D9"/>
    <w:rsid w:val="007E63E6"/>
    <w:rsid w:val="007E6528"/>
    <w:rsid w:val="007E659E"/>
    <w:rsid w:val="007E66F0"/>
    <w:rsid w:val="007E6705"/>
    <w:rsid w:val="007E671C"/>
    <w:rsid w:val="007E6896"/>
    <w:rsid w:val="007E68AE"/>
    <w:rsid w:val="007E6A05"/>
    <w:rsid w:val="007E6C94"/>
    <w:rsid w:val="007E6D85"/>
    <w:rsid w:val="007E6E44"/>
    <w:rsid w:val="007E6E7F"/>
    <w:rsid w:val="007E6E8E"/>
    <w:rsid w:val="007E6EA2"/>
    <w:rsid w:val="007E7069"/>
    <w:rsid w:val="007E709D"/>
    <w:rsid w:val="007E743E"/>
    <w:rsid w:val="007E7461"/>
    <w:rsid w:val="007E7465"/>
    <w:rsid w:val="007E752B"/>
    <w:rsid w:val="007E75EB"/>
    <w:rsid w:val="007E76B6"/>
    <w:rsid w:val="007E76B7"/>
    <w:rsid w:val="007E76DA"/>
    <w:rsid w:val="007E76F2"/>
    <w:rsid w:val="007E76FC"/>
    <w:rsid w:val="007E77A4"/>
    <w:rsid w:val="007E77D3"/>
    <w:rsid w:val="007E782D"/>
    <w:rsid w:val="007E7B94"/>
    <w:rsid w:val="007E7BE5"/>
    <w:rsid w:val="007E7CAD"/>
    <w:rsid w:val="007E7CDC"/>
    <w:rsid w:val="007E7CDF"/>
    <w:rsid w:val="007E7D69"/>
    <w:rsid w:val="007E7E6A"/>
    <w:rsid w:val="007F0015"/>
    <w:rsid w:val="007F0089"/>
    <w:rsid w:val="007F00C9"/>
    <w:rsid w:val="007F06CA"/>
    <w:rsid w:val="007F081F"/>
    <w:rsid w:val="007F082E"/>
    <w:rsid w:val="007F0946"/>
    <w:rsid w:val="007F0B52"/>
    <w:rsid w:val="007F0B5A"/>
    <w:rsid w:val="007F0DA7"/>
    <w:rsid w:val="007F0DB0"/>
    <w:rsid w:val="007F0EE4"/>
    <w:rsid w:val="007F0F30"/>
    <w:rsid w:val="007F104E"/>
    <w:rsid w:val="007F10A0"/>
    <w:rsid w:val="007F1155"/>
    <w:rsid w:val="007F162E"/>
    <w:rsid w:val="007F1654"/>
    <w:rsid w:val="007F1728"/>
    <w:rsid w:val="007F177F"/>
    <w:rsid w:val="007F1829"/>
    <w:rsid w:val="007F1A66"/>
    <w:rsid w:val="007F1AB5"/>
    <w:rsid w:val="007F1ED5"/>
    <w:rsid w:val="007F1F03"/>
    <w:rsid w:val="007F2049"/>
    <w:rsid w:val="007F20A9"/>
    <w:rsid w:val="007F24A7"/>
    <w:rsid w:val="007F2519"/>
    <w:rsid w:val="007F2542"/>
    <w:rsid w:val="007F2558"/>
    <w:rsid w:val="007F260F"/>
    <w:rsid w:val="007F26CD"/>
    <w:rsid w:val="007F2744"/>
    <w:rsid w:val="007F2AAE"/>
    <w:rsid w:val="007F2B8C"/>
    <w:rsid w:val="007F2B94"/>
    <w:rsid w:val="007F2C4F"/>
    <w:rsid w:val="007F2CE5"/>
    <w:rsid w:val="007F2DA8"/>
    <w:rsid w:val="007F2DFD"/>
    <w:rsid w:val="007F2E47"/>
    <w:rsid w:val="007F30B4"/>
    <w:rsid w:val="007F3261"/>
    <w:rsid w:val="007F3558"/>
    <w:rsid w:val="007F38A4"/>
    <w:rsid w:val="007F39A2"/>
    <w:rsid w:val="007F3A26"/>
    <w:rsid w:val="007F3A4B"/>
    <w:rsid w:val="007F3B45"/>
    <w:rsid w:val="007F3CD0"/>
    <w:rsid w:val="007F3F2D"/>
    <w:rsid w:val="007F3F9B"/>
    <w:rsid w:val="007F3FA7"/>
    <w:rsid w:val="007F4051"/>
    <w:rsid w:val="007F40AE"/>
    <w:rsid w:val="007F4117"/>
    <w:rsid w:val="007F4280"/>
    <w:rsid w:val="007F42A3"/>
    <w:rsid w:val="007F4331"/>
    <w:rsid w:val="007F4384"/>
    <w:rsid w:val="007F43EB"/>
    <w:rsid w:val="007F444D"/>
    <w:rsid w:val="007F45F8"/>
    <w:rsid w:val="007F46CB"/>
    <w:rsid w:val="007F49C2"/>
    <w:rsid w:val="007F4BA9"/>
    <w:rsid w:val="007F4CC8"/>
    <w:rsid w:val="007F4DD3"/>
    <w:rsid w:val="007F5043"/>
    <w:rsid w:val="007F5048"/>
    <w:rsid w:val="007F51D5"/>
    <w:rsid w:val="007F5255"/>
    <w:rsid w:val="007F5378"/>
    <w:rsid w:val="007F538F"/>
    <w:rsid w:val="007F547B"/>
    <w:rsid w:val="007F5544"/>
    <w:rsid w:val="007F559C"/>
    <w:rsid w:val="007F588C"/>
    <w:rsid w:val="007F5AFB"/>
    <w:rsid w:val="007F5B11"/>
    <w:rsid w:val="007F5BE3"/>
    <w:rsid w:val="007F5D33"/>
    <w:rsid w:val="007F5E20"/>
    <w:rsid w:val="007F5EF3"/>
    <w:rsid w:val="007F5FC8"/>
    <w:rsid w:val="007F5FE2"/>
    <w:rsid w:val="007F606D"/>
    <w:rsid w:val="007F61AE"/>
    <w:rsid w:val="007F6363"/>
    <w:rsid w:val="007F653C"/>
    <w:rsid w:val="007F678D"/>
    <w:rsid w:val="007F696A"/>
    <w:rsid w:val="007F69FC"/>
    <w:rsid w:val="007F6A65"/>
    <w:rsid w:val="007F6AF7"/>
    <w:rsid w:val="007F6D39"/>
    <w:rsid w:val="007F6E33"/>
    <w:rsid w:val="007F709D"/>
    <w:rsid w:val="007F715F"/>
    <w:rsid w:val="007F72E4"/>
    <w:rsid w:val="007F7397"/>
    <w:rsid w:val="007F75AC"/>
    <w:rsid w:val="007F775B"/>
    <w:rsid w:val="007F7769"/>
    <w:rsid w:val="007F7820"/>
    <w:rsid w:val="007F799E"/>
    <w:rsid w:val="007F79BA"/>
    <w:rsid w:val="007F79D7"/>
    <w:rsid w:val="007F7C19"/>
    <w:rsid w:val="007F7D08"/>
    <w:rsid w:val="007F7DA7"/>
    <w:rsid w:val="007F7E68"/>
    <w:rsid w:val="007F7FDE"/>
    <w:rsid w:val="007F7FED"/>
    <w:rsid w:val="00800029"/>
    <w:rsid w:val="00800056"/>
    <w:rsid w:val="008000F4"/>
    <w:rsid w:val="008003BC"/>
    <w:rsid w:val="00800506"/>
    <w:rsid w:val="00800717"/>
    <w:rsid w:val="00800997"/>
    <w:rsid w:val="00800AD9"/>
    <w:rsid w:val="00800C84"/>
    <w:rsid w:val="00800D18"/>
    <w:rsid w:val="00800D82"/>
    <w:rsid w:val="00800F6F"/>
    <w:rsid w:val="00801017"/>
    <w:rsid w:val="00801080"/>
    <w:rsid w:val="008010FB"/>
    <w:rsid w:val="008012EE"/>
    <w:rsid w:val="00801322"/>
    <w:rsid w:val="00801433"/>
    <w:rsid w:val="008014DB"/>
    <w:rsid w:val="008014E8"/>
    <w:rsid w:val="008019D5"/>
    <w:rsid w:val="008019EF"/>
    <w:rsid w:val="00801AEA"/>
    <w:rsid w:val="00801E84"/>
    <w:rsid w:val="00801F81"/>
    <w:rsid w:val="008020AB"/>
    <w:rsid w:val="00802149"/>
    <w:rsid w:val="008025B5"/>
    <w:rsid w:val="00802631"/>
    <w:rsid w:val="00802944"/>
    <w:rsid w:val="0080298A"/>
    <w:rsid w:val="008029FC"/>
    <w:rsid w:val="00802B40"/>
    <w:rsid w:val="00802B61"/>
    <w:rsid w:val="00802B85"/>
    <w:rsid w:val="00802D85"/>
    <w:rsid w:val="00802F2C"/>
    <w:rsid w:val="008030F4"/>
    <w:rsid w:val="00803168"/>
    <w:rsid w:val="00803256"/>
    <w:rsid w:val="008032BA"/>
    <w:rsid w:val="008032C5"/>
    <w:rsid w:val="00803446"/>
    <w:rsid w:val="00803A54"/>
    <w:rsid w:val="00803BB6"/>
    <w:rsid w:val="00803CC2"/>
    <w:rsid w:val="00803D08"/>
    <w:rsid w:val="00804008"/>
    <w:rsid w:val="00804182"/>
    <w:rsid w:val="0080439C"/>
    <w:rsid w:val="00804477"/>
    <w:rsid w:val="00804791"/>
    <w:rsid w:val="0080487F"/>
    <w:rsid w:val="008048B9"/>
    <w:rsid w:val="008049BA"/>
    <w:rsid w:val="00804A57"/>
    <w:rsid w:val="00804BCD"/>
    <w:rsid w:val="00804BEE"/>
    <w:rsid w:val="00804C10"/>
    <w:rsid w:val="00804C5B"/>
    <w:rsid w:val="00804CAF"/>
    <w:rsid w:val="00804D16"/>
    <w:rsid w:val="00804E32"/>
    <w:rsid w:val="00804FE8"/>
    <w:rsid w:val="0080502E"/>
    <w:rsid w:val="00805142"/>
    <w:rsid w:val="008051C4"/>
    <w:rsid w:val="008051E1"/>
    <w:rsid w:val="00805235"/>
    <w:rsid w:val="00805577"/>
    <w:rsid w:val="008057D3"/>
    <w:rsid w:val="00805821"/>
    <w:rsid w:val="00805862"/>
    <w:rsid w:val="008058ED"/>
    <w:rsid w:val="0080592F"/>
    <w:rsid w:val="008059CE"/>
    <w:rsid w:val="008059FD"/>
    <w:rsid w:val="00805B42"/>
    <w:rsid w:val="00805B86"/>
    <w:rsid w:val="00805BD4"/>
    <w:rsid w:val="00805C1F"/>
    <w:rsid w:val="00805C22"/>
    <w:rsid w:val="00805C2C"/>
    <w:rsid w:val="00805DA7"/>
    <w:rsid w:val="00805E95"/>
    <w:rsid w:val="00805EC4"/>
    <w:rsid w:val="00805FE9"/>
    <w:rsid w:val="00806349"/>
    <w:rsid w:val="00806393"/>
    <w:rsid w:val="008063E7"/>
    <w:rsid w:val="008064F3"/>
    <w:rsid w:val="00806536"/>
    <w:rsid w:val="008065C9"/>
    <w:rsid w:val="008066DF"/>
    <w:rsid w:val="008067BF"/>
    <w:rsid w:val="008068DE"/>
    <w:rsid w:val="0080691D"/>
    <w:rsid w:val="00806A21"/>
    <w:rsid w:val="00806A3D"/>
    <w:rsid w:val="00806BDB"/>
    <w:rsid w:val="00806CA8"/>
    <w:rsid w:val="00806D38"/>
    <w:rsid w:val="00806F10"/>
    <w:rsid w:val="00806FE9"/>
    <w:rsid w:val="00807139"/>
    <w:rsid w:val="0080715D"/>
    <w:rsid w:val="00807160"/>
    <w:rsid w:val="0080717F"/>
    <w:rsid w:val="008071D6"/>
    <w:rsid w:val="0080721D"/>
    <w:rsid w:val="0080721F"/>
    <w:rsid w:val="0080723E"/>
    <w:rsid w:val="0080725A"/>
    <w:rsid w:val="008072C4"/>
    <w:rsid w:val="00807322"/>
    <w:rsid w:val="00807341"/>
    <w:rsid w:val="00807361"/>
    <w:rsid w:val="008074E4"/>
    <w:rsid w:val="008076D3"/>
    <w:rsid w:val="00807729"/>
    <w:rsid w:val="00807752"/>
    <w:rsid w:val="0080778A"/>
    <w:rsid w:val="00807858"/>
    <w:rsid w:val="00807B10"/>
    <w:rsid w:val="00807B81"/>
    <w:rsid w:val="00807C26"/>
    <w:rsid w:val="00807C8F"/>
    <w:rsid w:val="00807D7E"/>
    <w:rsid w:val="00807E1A"/>
    <w:rsid w:val="00807EE5"/>
    <w:rsid w:val="00807FD1"/>
    <w:rsid w:val="008101D1"/>
    <w:rsid w:val="008103A5"/>
    <w:rsid w:val="008103B8"/>
    <w:rsid w:val="00810445"/>
    <w:rsid w:val="008104F4"/>
    <w:rsid w:val="00810678"/>
    <w:rsid w:val="00810943"/>
    <w:rsid w:val="00810978"/>
    <w:rsid w:val="00810989"/>
    <w:rsid w:val="00810AAB"/>
    <w:rsid w:val="00810B7B"/>
    <w:rsid w:val="00810BBE"/>
    <w:rsid w:val="00810BCD"/>
    <w:rsid w:val="00810C3D"/>
    <w:rsid w:val="00810E96"/>
    <w:rsid w:val="00810EA9"/>
    <w:rsid w:val="00810EC6"/>
    <w:rsid w:val="008112D0"/>
    <w:rsid w:val="00811329"/>
    <w:rsid w:val="0081134C"/>
    <w:rsid w:val="008113F2"/>
    <w:rsid w:val="0081142D"/>
    <w:rsid w:val="00811590"/>
    <w:rsid w:val="008115C2"/>
    <w:rsid w:val="00811835"/>
    <w:rsid w:val="008118EB"/>
    <w:rsid w:val="00811C11"/>
    <w:rsid w:val="00811E18"/>
    <w:rsid w:val="00811E3A"/>
    <w:rsid w:val="00811EC6"/>
    <w:rsid w:val="00812031"/>
    <w:rsid w:val="00812099"/>
    <w:rsid w:val="00812284"/>
    <w:rsid w:val="00812544"/>
    <w:rsid w:val="008126CF"/>
    <w:rsid w:val="008127AC"/>
    <w:rsid w:val="008127CD"/>
    <w:rsid w:val="00812A49"/>
    <w:rsid w:val="00812CA1"/>
    <w:rsid w:val="00812D93"/>
    <w:rsid w:val="00812E03"/>
    <w:rsid w:val="00812E47"/>
    <w:rsid w:val="00812F2B"/>
    <w:rsid w:val="00812FBF"/>
    <w:rsid w:val="0081323D"/>
    <w:rsid w:val="0081334F"/>
    <w:rsid w:val="008133AF"/>
    <w:rsid w:val="00813477"/>
    <w:rsid w:val="00813516"/>
    <w:rsid w:val="00813555"/>
    <w:rsid w:val="00813805"/>
    <w:rsid w:val="00813976"/>
    <w:rsid w:val="00813A1A"/>
    <w:rsid w:val="00813A21"/>
    <w:rsid w:val="00813BEB"/>
    <w:rsid w:val="00813C59"/>
    <w:rsid w:val="00813D40"/>
    <w:rsid w:val="00813D48"/>
    <w:rsid w:val="00813D8E"/>
    <w:rsid w:val="00813DB9"/>
    <w:rsid w:val="00813E54"/>
    <w:rsid w:val="00813E65"/>
    <w:rsid w:val="00813F40"/>
    <w:rsid w:val="00813F43"/>
    <w:rsid w:val="00813FF4"/>
    <w:rsid w:val="008140AA"/>
    <w:rsid w:val="008140DC"/>
    <w:rsid w:val="00814120"/>
    <w:rsid w:val="00814168"/>
    <w:rsid w:val="008141E7"/>
    <w:rsid w:val="00814200"/>
    <w:rsid w:val="00814233"/>
    <w:rsid w:val="008142BB"/>
    <w:rsid w:val="0081431D"/>
    <w:rsid w:val="00814413"/>
    <w:rsid w:val="00814462"/>
    <w:rsid w:val="00814521"/>
    <w:rsid w:val="008145E4"/>
    <w:rsid w:val="00814772"/>
    <w:rsid w:val="008147C9"/>
    <w:rsid w:val="008148AC"/>
    <w:rsid w:val="00814ECD"/>
    <w:rsid w:val="00814F8D"/>
    <w:rsid w:val="0081512D"/>
    <w:rsid w:val="0081516E"/>
    <w:rsid w:val="0081519D"/>
    <w:rsid w:val="0081523F"/>
    <w:rsid w:val="008152AB"/>
    <w:rsid w:val="00815355"/>
    <w:rsid w:val="00815440"/>
    <w:rsid w:val="0081544C"/>
    <w:rsid w:val="0081548D"/>
    <w:rsid w:val="00815582"/>
    <w:rsid w:val="008155E5"/>
    <w:rsid w:val="008156DF"/>
    <w:rsid w:val="008156F0"/>
    <w:rsid w:val="00815823"/>
    <w:rsid w:val="008159CE"/>
    <w:rsid w:val="00815AFE"/>
    <w:rsid w:val="00815B01"/>
    <w:rsid w:val="00815B94"/>
    <w:rsid w:val="00815EA9"/>
    <w:rsid w:val="00815FFF"/>
    <w:rsid w:val="0081601B"/>
    <w:rsid w:val="0081606C"/>
    <w:rsid w:val="008162D0"/>
    <w:rsid w:val="008163FF"/>
    <w:rsid w:val="0081642C"/>
    <w:rsid w:val="00816565"/>
    <w:rsid w:val="00816569"/>
    <w:rsid w:val="00816671"/>
    <w:rsid w:val="008167D5"/>
    <w:rsid w:val="008168B8"/>
    <w:rsid w:val="00816A44"/>
    <w:rsid w:val="00816AE9"/>
    <w:rsid w:val="00816C21"/>
    <w:rsid w:val="00816C38"/>
    <w:rsid w:val="00816C80"/>
    <w:rsid w:val="00816DD5"/>
    <w:rsid w:val="00816F68"/>
    <w:rsid w:val="00816FC6"/>
    <w:rsid w:val="0081706F"/>
    <w:rsid w:val="008170C4"/>
    <w:rsid w:val="00817108"/>
    <w:rsid w:val="008173AB"/>
    <w:rsid w:val="00817578"/>
    <w:rsid w:val="008175A3"/>
    <w:rsid w:val="0081783E"/>
    <w:rsid w:val="00817981"/>
    <w:rsid w:val="008179C2"/>
    <w:rsid w:val="00817EAF"/>
    <w:rsid w:val="00817F0E"/>
    <w:rsid w:val="00820015"/>
    <w:rsid w:val="0082003B"/>
    <w:rsid w:val="0082059A"/>
    <w:rsid w:val="008205F5"/>
    <w:rsid w:val="0082080B"/>
    <w:rsid w:val="008208CB"/>
    <w:rsid w:val="00820A89"/>
    <w:rsid w:val="00820D41"/>
    <w:rsid w:val="00820E0F"/>
    <w:rsid w:val="00820F31"/>
    <w:rsid w:val="00821124"/>
    <w:rsid w:val="008212C6"/>
    <w:rsid w:val="008213A6"/>
    <w:rsid w:val="00821418"/>
    <w:rsid w:val="00821551"/>
    <w:rsid w:val="00821609"/>
    <w:rsid w:val="008216D7"/>
    <w:rsid w:val="008216F9"/>
    <w:rsid w:val="00821801"/>
    <w:rsid w:val="0082183A"/>
    <w:rsid w:val="008218C9"/>
    <w:rsid w:val="0082199A"/>
    <w:rsid w:val="008219CF"/>
    <w:rsid w:val="00821A04"/>
    <w:rsid w:val="00821A43"/>
    <w:rsid w:val="00821A54"/>
    <w:rsid w:val="00821ACF"/>
    <w:rsid w:val="00821B2E"/>
    <w:rsid w:val="00821C93"/>
    <w:rsid w:val="00821CE4"/>
    <w:rsid w:val="00821E48"/>
    <w:rsid w:val="00821E98"/>
    <w:rsid w:val="00821F0D"/>
    <w:rsid w:val="00821F47"/>
    <w:rsid w:val="00822073"/>
    <w:rsid w:val="008223EC"/>
    <w:rsid w:val="008224B3"/>
    <w:rsid w:val="00822620"/>
    <w:rsid w:val="00822814"/>
    <w:rsid w:val="00822922"/>
    <w:rsid w:val="00822B99"/>
    <w:rsid w:val="00822BB8"/>
    <w:rsid w:val="00822D07"/>
    <w:rsid w:val="00822D4E"/>
    <w:rsid w:val="00822D80"/>
    <w:rsid w:val="00822ED0"/>
    <w:rsid w:val="008231DA"/>
    <w:rsid w:val="008232C2"/>
    <w:rsid w:val="008233F6"/>
    <w:rsid w:val="0082357B"/>
    <w:rsid w:val="00823598"/>
    <w:rsid w:val="00823791"/>
    <w:rsid w:val="008238A9"/>
    <w:rsid w:val="00823B8E"/>
    <w:rsid w:val="00823BFA"/>
    <w:rsid w:val="00823DCA"/>
    <w:rsid w:val="00823E68"/>
    <w:rsid w:val="00823E7B"/>
    <w:rsid w:val="00823F29"/>
    <w:rsid w:val="00823F62"/>
    <w:rsid w:val="00823F63"/>
    <w:rsid w:val="00824005"/>
    <w:rsid w:val="00824026"/>
    <w:rsid w:val="008240AB"/>
    <w:rsid w:val="008240F3"/>
    <w:rsid w:val="00824149"/>
    <w:rsid w:val="0082424B"/>
    <w:rsid w:val="008243F7"/>
    <w:rsid w:val="00824462"/>
    <w:rsid w:val="00824508"/>
    <w:rsid w:val="0082468B"/>
    <w:rsid w:val="008247B6"/>
    <w:rsid w:val="00824A3D"/>
    <w:rsid w:val="00824A3F"/>
    <w:rsid w:val="00824AC7"/>
    <w:rsid w:val="00824BC3"/>
    <w:rsid w:val="00824D17"/>
    <w:rsid w:val="00824D7C"/>
    <w:rsid w:val="00824E85"/>
    <w:rsid w:val="00825061"/>
    <w:rsid w:val="00825088"/>
    <w:rsid w:val="008251E5"/>
    <w:rsid w:val="0082527D"/>
    <w:rsid w:val="008252FC"/>
    <w:rsid w:val="008255EA"/>
    <w:rsid w:val="0082561C"/>
    <w:rsid w:val="0082574B"/>
    <w:rsid w:val="0082574F"/>
    <w:rsid w:val="008258CB"/>
    <w:rsid w:val="0082598E"/>
    <w:rsid w:val="00825B23"/>
    <w:rsid w:val="00825C12"/>
    <w:rsid w:val="00825C4C"/>
    <w:rsid w:val="00825D9F"/>
    <w:rsid w:val="00825DB1"/>
    <w:rsid w:val="00825EE9"/>
    <w:rsid w:val="00825FC4"/>
    <w:rsid w:val="00825FF2"/>
    <w:rsid w:val="00825FFD"/>
    <w:rsid w:val="008261BC"/>
    <w:rsid w:val="008261CE"/>
    <w:rsid w:val="008261ED"/>
    <w:rsid w:val="00826204"/>
    <w:rsid w:val="00826252"/>
    <w:rsid w:val="0082632D"/>
    <w:rsid w:val="00826619"/>
    <w:rsid w:val="0082666B"/>
    <w:rsid w:val="008266CE"/>
    <w:rsid w:val="00826CD5"/>
    <w:rsid w:val="00826DBE"/>
    <w:rsid w:val="00826E63"/>
    <w:rsid w:val="00826FA0"/>
    <w:rsid w:val="0082701E"/>
    <w:rsid w:val="00827212"/>
    <w:rsid w:val="00827279"/>
    <w:rsid w:val="008272C7"/>
    <w:rsid w:val="008273F4"/>
    <w:rsid w:val="008275B9"/>
    <w:rsid w:val="00827621"/>
    <w:rsid w:val="00827715"/>
    <w:rsid w:val="008277FF"/>
    <w:rsid w:val="0082788E"/>
    <w:rsid w:val="008278B3"/>
    <w:rsid w:val="0082793C"/>
    <w:rsid w:val="00827AB8"/>
    <w:rsid w:val="00827ACD"/>
    <w:rsid w:val="00827B31"/>
    <w:rsid w:val="00827B64"/>
    <w:rsid w:val="00827C74"/>
    <w:rsid w:val="00827CC4"/>
    <w:rsid w:val="00830023"/>
    <w:rsid w:val="008300E4"/>
    <w:rsid w:val="008301CA"/>
    <w:rsid w:val="0083026A"/>
    <w:rsid w:val="008302DE"/>
    <w:rsid w:val="00830331"/>
    <w:rsid w:val="00830569"/>
    <w:rsid w:val="008305B9"/>
    <w:rsid w:val="0083069D"/>
    <w:rsid w:val="00830735"/>
    <w:rsid w:val="008308DC"/>
    <w:rsid w:val="00830A58"/>
    <w:rsid w:val="00830B7A"/>
    <w:rsid w:val="00830B81"/>
    <w:rsid w:val="00830C3C"/>
    <w:rsid w:val="00830CCC"/>
    <w:rsid w:val="00830D09"/>
    <w:rsid w:val="00830D44"/>
    <w:rsid w:val="00830EDF"/>
    <w:rsid w:val="00830FCE"/>
    <w:rsid w:val="00830FEA"/>
    <w:rsid w:val="00830FF4"/>
    <w:rsid w:val="0083111F"/>
    <w:rsid w:val="008311C0"/>
    <w:rsid w:val="008314F7"/>
    <w:rsid w:val="0083163B"/>
    <w:rsid w:val="00831640"/>
    <w:rsid w:val="0083177C"/>
    <w:rsid w:val="0083177E"/>
    <w:rsid w:val="00831886"/>
    <w:rsid w:val="00831915"/>
    <w:rsid w:val="00831ADE"/>
    <w:rsid w:val="00831B6D"/>
    <w:rsid w:val="00831BC8"/>
    <w:rsid w:val="00831C62"/>
    <w:rsid w:val="00831C71"/>
    <w:rsid w:val="00831E3E"/>
    <w:rsid w:val="00831EB4"/>
    <w:rsid w:val="00831F3A"/>
    <w:rsid w:val="00831FA9"/>
    <w:rsid w:val="00831FE3"/>
    <w:rsid w:val="00832072"/>
    <w:rsid w:val="00832174"/>
    <w:rsid w:val="008321F2"/>
    <w:rsid w:val="008322AF"/>
    <w:rsid w:val="0083233B"/>
    <w:rsid w:val="0083234E"/>
    <w:rsid w:val="00832357"/>
    <w:rsid w:val="0083244D"/>
    <w:rsid w:val="008324C6"/>
    <w:rsid w:val="00832551"/>
    <w:rsid w:val="008325D4"/>
    <w:rsid w:val="0083261D"/>
    <w:rsid w:val="0083267B"/>
    <w:rsid w:val="008326E4"/>
    <w:rsid w:val="00832949"/>
    <w:rsid w:val="00832952"/>
    <w:rsid w:val="008329C2"/>
    <w:rsid w:val="00832A22"/>
    <w:rsid w:val="00832A35"/>
    <w:rsid w:val="00832A80"/>
    <w:rsid w:val="00832A9C"/>
    <w:rsid w:val="00832D89"/>
    <w:rsid w:val="008330BA"/>
    <w:rsid w:val="008330D3"/>
    <w:rsid w:val="00833138"/>
    <w:rsid w:val="0083332A"/>
    <w:rsid w:val="00833583"/>
    <w:rsid w:val="0083384E"/>
    <w:rsid w:val="008339E9"/>
    <w:rsid w:val="00833A6C"/>
    <w:rsid w:val="00833AC2"/>
    <w:rsid w:val="00833B93"/>
    <w:rsid w:val="00833D51"/>
    <w:rsid w:val="00833D69"/>
    <w:rsid w:val="00833EDD"/>
    <w:rsid w:val="00834052"/>
    <w:rsid w:val="008341DB"/>
    <w:rsid w:val="00834390"/>
    <w:rsid w:val="008343EA"/>
    <w:rsid w:val="008344CE"/>
    <w:rsid w:val="008344D7"/>
    <w:rsid w:val="00834538"/>
    <w:rsid w:val="00834661"/>
    <w:rsid w:val="00834732"/>
    <w:rsid w:val="00834760"/>
    <w:rsid w:val="008347F9"/>
    <w:rsid w:val="00834953"/>
    <w:rsid w:val="00834966"/>
    <w:rsid w:val="00834973"/>
    <w:rsid w:val="00834A63"/>
    <w:rsid w:val="00834AA6"/>
    <w:rsid w:val="00834AE6"/>
    <w:rsid w:val="00834B23"/>
    <w:rsid w:val="00834B69"/>
    <w:rsid w:val="00834C2C"/>
    <w:rsid w:val="00834E16"/>
    <w:rsid w:val="00834F46"/>
    <w:rsid w:val="00835041"/>
    <w:rsid w:val="008350A2"/>
    <w:rsid w:val="00835401"/>
    <w:rsid w:val="0083547D"/>
    <w:rsid w:val="00835561"/>
    <w:rsid w:val="00835611"/>
    <w:rsid w:val="008356E9"/>
    <w:rsid w:val="008356FB"/>
    <w:rsid w:val="00835711"/>
    <w:rsid w:val="0083580D"/>
    <w:rsid w:val="0083589F"/>
    <w:rsid w:val="008358D7"/>
    <w:rsid w:val="00835A35"/>
    <w:rsid w:val="00835A92"/>
    <w:rsid w:val="00835AD2"/>
    <w:rsid w:val="00835AD6"/>
    <w:rsid w:val="00835B2C"/>
    <w:rsid w:val="00835C1B"/>
    <w:rsid w:val="00835C8F"/>
    <w:rsid w:val="00835CF7"/>
    <w:rsid w:val="00836070"/>
    <w:rsid w:val="00836143"/>
    <w:rsid w:val="008363D5"/>
    <w:rsid w:val="0083659F"/>
    <w:rsid w:val="0083668C"/>
    <w:rsid w:val="008367D6"/>
    <w:rsid w:val="0083688C"/>
    <w:rsid w:val="00836925"/>
    <w:rsid w:val="008369B1"/>
    <w:rsid w:val="00836A13"/>
    <w:rsid w:val="00836A26"/>
    <w:rsid w:val="00836BCB"/>
    <w:rsid w:val="00836C5F"/>
    <w:rsid w:val="00836E2C"/>
    <w:rsid w:val="00836E60"/>
    <w:rsid w:val="00836F5E"/>
    <w:rsid w:val="00837013"/>
    <w:rsid w:val="0083703E"/>
    <w:rsid w:val="008370B6"/>
    <w:rsid w:val="008372E2"/>
    <w:rsid w:val="008372FC"/>
    <w:rsid w:val="00837554"/>
    <w:rsid w:val="008378AF"/>
    <w:rsid w:val="00837AE6"/>
    <w:rsid w:val="00837C4D"/>
    <w:rsid w:val="00837D51"/>
    <w:rsid w:val="00837E78"/>
    <w:rsid w:val="00837F11"/>
    <w:rsid w:val="00837F6B"/>
    <w:rsid w:val="00840069"/>
    <w:rsid w:val="0084017C"/>
    <w:rsid w:val="00840254"/>
    <w:rsid w:val="00840785"/>
    <w:rsid w:val="008407F2"/>
    <w:rsid w:val="00840865"/>
    <w:rsid w:val="00840C84"/>
    <w:rsid w:val="00840CBD"/>
    <w:rsid w:val="00840DCC"/>
    <w:rsid w:val="00840DFC"/>
    <w:rsid w:val="00841199"/>
    <w:rsid w:val="0084135C"/>
    <w:rsid w:val="008413FE"/>
    <w:rsid w:val="00841571"/>
    <w:rsid w:val="00841610"/>
    <w:rsid w:val="00841A8A"/>
    <w:rsid w:val="00841BF6"/>
    <w:rsid w:val="00841D41"/>
    <w:rsid w:val="00841ECD"/>
    <w:rsid w:val="00842177"/>
    <w:rsid w:val="008421A4"/>
    <w:rsid w:val="0084229E"/>
    <w:rsid w:val="008422CA"/>
    <w:rsid w:val="0084240D"/>
    <w:rsid w:val="008424D7"/>
    <w:rsid w:val="008429EE"/>
    <w:rsid w:val="00842A55"/>
    <w:rsid w:val="00842B8F"/>
    <w:rsid w:val="00842BB4"/>
    <w:rsid w:val="00842C17"/>
    <w:rsid w:val="0084307D"/>
    <w:rsid w:val="008431E6"/>
    <w:rsid w:val="0084320B"/>
    <w:rsid w:val="008432EE"/>
    <w:rsid w:val="008432F8"/>
    <w:rsid w:val="008433F0"/>
    <w:rsid w:val="008434A4"/>
    <w:rsid w:val="008436AB"/>
    <w:rsid w:val="008436E1"/>
    <w:rsid w:val="008437DB"/>
    <w:rsid w:val="008437FB"/>
    <w:rsid w:val="00843B66"/>
    <w:rsid w:val="00843D99"/>
    <w:rsid w:val="00843DDF"/>
    <w:rsid w:val="00843F93"/>
    <w:rsid w:val="008441C1"/>
    <w:rsid w:val="008442CB"/>
    <w:rsid w:val="008442D5"/>
    <w:rsid w:val="00844412"/>
    <w:rsid w:val="00844443"/>
    <w:rsid w:val="00844739"/>
    <w:rsid w:val="0084486B"/>
    <w:rsid w:val="008449BC"/>
    <w:rsid w:val="00844C98"/>
    <w:rsid w:val="00844F4D"/>
    <w:rsid w:val="008450E4"/>
    <w:rsid w:val="008453FD"/>
    <w:rsid w:val="0084540A"/>
    <w:rsid w:val="0084541A"/>
    <w:rsid w:val="0084541D"/>
    <w:rsid w:val="008454AE"/>
    <w:rsid w:val="00845858"/>
    <w:rsid w:val="00845A10"/>
    <w:rsid w:val="00845AF0"/>
    <w:rsid w:val="00845C47"/>
    <w:rsid w:val="00845D4A"/>
    <w:rsid w:val="00845F97"/>
    <w:rsid w:val="00846072"/>
    <w:rsid w:val="008461D4"/>
    <w:rsid w:val="008464FF"/>
    <w:rsid w:val="0084660B"/>
    <w:rsid w:val="00846736"/>
    <w:rsid w:val="008468CC"/>
    <w:rsid w:val="00846902"/>
    <w:rsid w:val="0084695F"/>
    <w:rsid w:val="00846A7D"/>
    <w:rsid w:val="00846ACF"/>
    <w:rsid w:val="00846B24"/>
    <w:rsid w:val="00846D43"/>
    <w:rsid w:val="00846DAA"/>
    <w:rsid w:val="00846E0B"/>
    <w:rsid w:val="00846EAD"/>
    <w:rsid w:val="00846F7C"/>
    <w:rsid w:val="008473FF"/>
    <w:rsid w:val="008475A3"/>
    <w:rsid w:val="008475A8"/>
    <w:rsid w:val="008475DE"/>
    <w:rsid w:val="00847851"/>
    <w:rsid w:val="008478E0"/>
    <w:rsid w:val="00847AB6"/>
    <w:rsid w:val="00847B38"/>
    <w:rsid w:val="00847B5B"/>
    <w:rsid w:val="00847C01"/>
    <w:rsid w:val="00847C0A"/>
    <w:rsid w:val="00847DB7"/>
    <w:rsid w:val="00847E19"/>
    <w:rsid w:val="00847F31"/>
    <w:rsid w:val="00847F3A"/>
    <w:rsid w:val="00847F8F"/>
    <w:rsid w:val="0085009F"/>
    <w:rsid w:val="00850217"/>
    <w:rsid w:val="008502ED"/>
    <w:rsid w:val="0085061D"/>
    <w:rsid w:val="008507C6"/>
    <w:rsid w:val="00850996"/>
    <w:rsid w:val="00850B0C"/>
    <w:rsid w:val="00850B83"/>
    <w:rsid w:val="00850BD9"/>
    <w:rsid w:val="00850E39"/>
    <w:rsid w:val="00850EC8"/>
    <w:rsid w:val="00851432"/>
    <w:rsid w:val="00851467"/>
    <w:rsid w:val="008516D9"/>
    <w:rsid w:val="008516E7"/>
    <w:rsid w:val="008516EC"/>
    <w:rsid w:val="00851787"/>
    <w:rsid w:val="008518DA"/>
    <w:rsid w:val="008519A3"/>
    <w:rsid w:val="00851C13"/>
    <w:rsid w:val="00851D79"/>
    <w:rsid w:val="00851FEB"/>
    <w:rsid w:val="00852230"/>
    <w:rsid w:val="008524AA"/>
    <w:rsid w:val="00852544"/>
    <w:rsid w:val="00852578"/>
    <w:rsid w:val="008525DF"/>
    <w:rsid w:val="008527FD"/>
    <w:rsid w:val="00852837"/>
    <w:rsid w:val="008529FC"/>
    <w:rsid w:val="00852AB0"/>
    <w:rsid w:val="00852D8B"/>
    <w:rsid w:val="00852DAC"/>
    <w:rsid w:val="00852DCD"/>
    <w:rsid w:val="00852E59"/>
    <w:rsid w:val="00852EEE"/>
    <w:rsid w:val="0085314B"/>
    <w:rsid w:val="008532DC"/>
    <w:rsid w:val="0085330C"/>
    <w:rsid w:val="008533BF"/>
    <w:rsid w:val="00853606"/>
    <w:rsid w:val="00853655"/>
    <w:rsid w:val="008536BB"/>
    <w:rsid w:val="008538A9"/>
    <w:rsid w:val="00853BBE"/>
    <w:rsid w:val="00853C3A"/>
    <w:rsid w:val="00853D31"/>
    <w:rsid w:val="00853D4F"/>
    <w:rsid w:val="00853DA5"/>
    <w:rsid w:val="00853E9C"/>
    <w:rsid w:val="00854050"/>
    <w:rsid w:val="008540B5"/>
    <w:rsid w:val="008541D2"/>
    <w:rsid w:val="008542C7"/>
    <w:rsid w:val="00854386"/>
    <w:rsid w:val="0085456E"/>
    <w:rsid w:val="008547D0"/>
    <w:rsid w:val="00854AB2"/>
    <w:rsid w:val="00854B02"/>
    <w:rsid w:val="00854B3A"/>
    <w:rsid w:val="00854C4C"/>
    <w:rsid w:val="00854C78"/>
    <w:rsid w:val="00855053"/>
    <w:rsid w:val="008550C4"/>
    <w:rsid w:val="00855195"/>
    <w:rsid w:val="00855240"/>
    <w:rsid w:val="00855301"/>
    <w:rsid w:val="008554F2"/>
    <w:rsid w:val="00855657"/>
    <w:rsid w:val="00855B01"/>
    <w:rsid w:val="00855B58"/>
    <w:rsid w:val="00855C41"/>
    <w:rsid w:val="00855CA9"/>
    <w:rsid w:val="00855D09"/>
    <w:rsid w:val="00855D1F"/>
    <w:rsid w:val="00855D4F"/>
    <w:rsid w:val="00855D8E"/>
    <w:rsid w:val="00855E5E"/>
    <w:rsid w:val="00855E8A"/>
    <w:rsid w:val="00855ECE"/>
    <w:rsid w:val="008561CC"/>
    <w:rsid w:val="0085629D"/>
    <w:rsid w:val="008562CC"/>
    <w:rsid w:val="008562D2"/>
    <w:rsid w:val="008562E8"/>
    <w:rsid w:val="00856349"/>
    <w:rsid w:val="0085643C"/>
    <w:rsid w:val="00856487"/>
    <w:rsid w:val="0085664A"/>
    <w:rsid w:val="008566E5"/>
    <w:rsid w:val="00856959"/>
    <w:rsid w:val="00856B0F"/>
    <w:rsid w:val="00856C78"/>
    <w:rsid w:val="00856CD4"/>
    <w:rsid w:val="00856F82"/>
    <w:rsid w:val="00856FB5"/>
    <w:rsid w:val="00856FB8"/>
    <w:rsid w:val="008570C4"/>
    <w:rsid w:val="00857122"/>
    <w:rsid w:val="008571F0"/>
    <w:rsid w:val="0085722D"/>
    <w:rsid w:val="00857233"/>
    <w:rsid w:val="008573E0"/>
    <w:rsid w:val="0085747B"/>
    <w:rsid w:val="008574F2"/>
    <w:rsid w:val="008576B3"/>
    <w:rsid w:val="008576C4"/>
    <w:rsid w:val="00857705"/>
    <w:rsid w:val="0085778E"/>
    <w:rsid w:val="0085790E"/>
    <w:rsid w:val="00857A63"/>
    <w:rsid w:val="00857B71"/>
    <w:rsid w:val="00857C91"/>
    <w:rsid w:val="00857DC1"/>
    <w:rsid w:val="00857EEF"/>
    <w:rsid w:val="00860036"/>
    <w:rsid w:val="0086004C"/>
    <w:rsid w:val="0086019C"/>
    <w:rsid w:val="00860380"/>
    <w:rsid w:val="00860540"/>
    <w:rsid w:val="008606E5"/>
    <w:rsid w:val="00860962"/>
    <w:rsid w:val="00860B63"/>
    <w:rsid w:val="00860BDF"/>
    <w:rsid w:val="00860C01"/>
    <w:rsid w:val="00860D0E"/>
    <w:rsid w:val="00860F50"/>
    <w:rsid w:val="00860F8B"/>
    <w:rsid w:val="00860F9C"/>
    <w:rsid w:val="0086115D"/>
    <w:rsid w:val="0086125E"/>
    <w:rsid w:val="00861313"/>
    <w:rsid w:val="0086131D"/>
    <w:rsid w:val="0086151D"/>
    <w:rsid w:val="0086161C"/>
    <w:rsid w:val="00861737"/>
    <w:rsid w:val="00861795"/>
    <w:rsid w:val="00861808"/>
    <w:rsid w:val="00861873"/>
    <w:rsid w:val="00861883"/>
    <w:rsid w:val="008619C5"/>
    <w:rsid w:val="00861A3D"/>
    <w:rsid w:val="00861B3A"/>
    <w:rsid w:val="00861CAF"/>
    <w:rsid w:val="00861D1E"/>
    <w:rsid w:val="00861DDD"/>
    <w:rsid w:val="00861E6E"/>
    <w:rsid w:val="0086207F"/>
    <w:rsid w:val="008621EB"/>
    <w:rsid w:val="0086231B"/>
    <w:rsid w:val="00862365"/>
    <w:rsid w:val="008624CB"/>
    <w:rsid w:val="008625AB"/>
    <w:rsid w:val="00862651"/>
    <w:rsid w:val="00862714"/>
    <w:rsid w:val="008627B1"/>
    <w:rsid w:val="00862826"/>
    <w:rsid w:val="00862B3C"/>
    <w:rsid w:val="00862C9B"/>
    <w:rsid w:val="00862D61"/>
    <w:rsid w:val="00862E53"/>
    <w:rsid w:val="008630D3"/>
    <w:rsid w:val="00863101"/>
    <w:rsid w:val="00863296"/>
    <w:rsid w:val="0086329D"/>
    <w:rsid w:val="008632B4"/>
    <w:rsid w:val="008632F1"/>
    <w:rsid w:val="00863324"/>
    <w:rsid w:val="0086337A"/>
    <w:rsid w:val="008633BE"/>
    <w:rsid w:val="0086340A"/>
    <w:rsid w:val="0086342A"/>
    <w:rsid w:val="008635D1"/>
    <w:rsid w:val="00863647"/>
    <w:rsid w:val="00863648"/>
    <w:rsid w:val="00863738"/>
    <w:rsid w:val="008637C3"/>
    <w:rsid w:val="00863A67"/>
    <w:rsid w:val="00863B35"/>
    <w:rsid w:val="00863B58"/>
    <w:rsid w:val="00863BF1"/>
    <w:rsid w:val="00863C31"/>
    <w:rsid w:val="00863C59"/>
    <w:rsid w:val="00863D28"/>
    <w:rsid w:val="00863D2E"/>
    <w:rsid w:val="00863E27"/>
    <w:rsid w:val="00864228"/>
    <w:rsid w:val="00864235"/>
    <w:rsid w:val="008642C9"/>
    <w:rsid w:val="0086440D"/>
    <w:rsid w:val="00864513"/>
    <w:rsid w:val="008647EE"/>
    <w:rsid w:val="008647F5"/>
    <w:rsid w:val="008648A6"/>
    <w:rsid w:val="008648CC"/>
    <w:rsid w:val="0086492E"/>
    <w:rsid w:val="0086498C"/>
    <w:rsid w:val="008649E9"/>
    <w:rsid w:val="00864A48"/>
    <w:rsid w:val="00864A4D"/>
    <w:rsid w:val="00864B6D"/>
    <w:rsid w:val="00864E1D"/>
    <w:rsid w:val="00864E65"/>
    <w:rsid w:val="00864FF1"/>
    <w:rsid w:val="00865029"/>
    <w:rsid w:val="00865048"/>
    <w:rsid w:val="008650ED"/>
    <w:rsid w:val="008651C8"/>
    <w:rsid w:val="00865332"/>
    <w:rsid w:val="008653CE"/>
    <w:rsid w:val="0086555C"/>
    <w:rsid w:val="00865573"/>
    <w:rsid w:val="00865576"/>
    <w:rsid w:val="0086567A"/>
    <w:rsid w:val="00865752"/>
    <w:rsid w:val="008657F8"/>
    <w:rsid w:val="0086583F"/>
    <w:rsid w:val="00865C78"/>
    <w:rsid w:val="00865D44"/>
    <w:rsid w:val="00865E09"/>
    <w:rsid w:val="00866010"/>
    <w:rsid w:val="00866090"/>
    <w:rsid w:val="008661E2"/>
    <w:rsid w:val="008662FB"/>
    <w:rsid w:val="00866647"/>
    <w:rsid w:val="00866801"/>
    <w:rsid w:val="008668D8"/>
    <w:rsid w:val="00866988"/>
    <w:rsid w:val="00866AEB"/>
    <w:rsid w:val="00866B4A"/>
    <w:rsid w:val="00866CA3"/>
    <w:rsid w:val="00866D35"/>
    <w:rsid w:val="00866EFA"/>
    <w:rsid w:val="00866F75"/>
    <w:rsid w:val="008671C6"/>
    <w:rsid w:val="00867268"/>
    <w:rsid w:val="008673B3"/>
    <w:rsid w:val="008677BA"/>
    <w:rsid w:val="0086788D"/>
    <w:rsid w:val="008678C1"/>
    <w:rsid w:val="00867931"/>
    <w:rsid w:val="00867973"/>
    <w:rsid w:val="00867A97"/>
    <w:rsid w:val="00867C1D"/>
    <w:rsid w:val="00867EA8"/>
    <w:rsid w:val="00867F3A"/>
    <w:rsid w:val="00867FA7"/>
    <w:rsid w:val="0087003B"/>
    <w:rsid w:val="008703BB"/>
    <w:rsid w:val="0087043E"/>
    <w:rsid w:val="00870578"/>
    <w:rsid w:val="00870DBA"/>
    <w:rsid w:val="00870F56"/>
    <w:rsid w:val="00871061"/>
    <w:rsid w:val="0087128D"/>
    <w:rsid w:val="008712E6"/>
    <w:rsid w:val="0087159B"/>
    <w:rsid w:val="008715E8"/>
    <w:rsid w:val="00871709"/>
    <w:rsid w:val="00871CD7"/>
    <w:rsid w:val="00871E4E"/>
    <w:rsid w:val="00872013"/>
    <w:rsid w:val="0087223F"/>
    <w:rsid w:val="00872324"/>
    <w:rsid w:val="00872393"/>
    <w:rsid w:val="00872785"/>
    <w:rsid w:val="008728B1"/>
    <w:rsid w:val="008728D4"/>
    <w:rsid w:val="008729BE"/>
    <w:rsid w:val="00872A73"/>
    <w:rsid w:val="00872B9A"/>
    <w:rsid w:val="00872CC3"/>
    <w:rsid w:val="00872DA8"/>
    <w:rsid w:val="00872E1C"/>
    <w:rsid w:val="00872EB0"/>
    <w:rsid w:val="008731D0"/>
    <w:rsid w:val="008732F9"/>
    <w:rsid w:val="00873378"/>
    <w:rsid w:val="00873405"/>
    <w:rsid w:val="00873421"/>
    <w:rsid w:val="00873422"/>
    <w:rsid w:val="0087374B"/>
    <w:rsid w:val="008737DB"/>
    <w:rsid w:val="008738D4"/>
    <w:rsid w:val="0087394F"/>
    <w:rsid w:val="00873966"/>
    <w:rsid w:val="00873D84"/>
    <w:rsid w:val="00873DD3"/>
    <w:rsid w:val="00873DED"/>
    <w:rsid w:val="00874009"/>
    <w:rsid w:val="00874010"/>
    <w:rsid w:val="008740C1"/>
    <w:rsid w:val="00874202"/>
    <w:rsid w:val="00874298"/>
    <w:rsid w:val="00874404"/>
    <w:rsid w:val="008745F9"/>
    <w:rsid w:val="00874649"/>
    <w:rsid w:val="0087468F"/>
    <w:rsid w:val="008746C2"/>
    <w:rsid w:val="008746D7"/>
    <w:rsid w:val="008747DF"/>
    <w:rsid w:val="00874974"/>
    <w:rsid w:val="00874B05"/>
    <w:rsid w:val="00874B27"/>
    <w:rsid w:val="00874BB6"/>
    <w:rsid w:val="00874CA8"/>
    <w:rsid w:val="00874E27"/>
    <w:rsid w:val="00875411"/>
    <w:rsid w:val="008757CB"/>
    <w:rsid w:val="00875810"/>
    <w:rsid w:val="0087599A"/>
    <w:rsid w:val="00875BEE"/>
    <w:rsid w:val="00875FEF"/>
    <w:rsid w:val="0087615E"/>
    <w:rsid w:val="00876385"/>
    <w:rsid w:val="00876535"/>
    <w:rsid w:val="0087657F"/>
    <w:rsid w:val="00876608"/>
    <w:rsid w:val="008766B7"/>
    <w:rsid w:val="0087673D"/>
    <w:rsid w:val="00876843"/>
    <w:rsid w:val="0087691E"/>
    <w:rsid w:val="0087693F"/>
    <w:rsid w:val="00876A94"/>
    <w:rsid w:val="00876D47"/>
    <w:rsid w:val="00876E31"/>
    <w:rsid w:val="00876F6E"/>
    <w:rsid w:val="00877014"/>
    <w:rsid w:val="00877173"/>
    <w:rsid w:val="00877189"/>
    <w:rsid w:val="00877233"/>
    <w:rsid w:val="00877288"/>
    <w:rsid w:val="00877425"/>
    <w:rsid w:val="00877644"/>
    <w:rsid w:val="008777F4"/>
    <w:rsid w:val="00877897"/>
    <w:rsid w:val="00877961"/>
    <w:rsid w:val="00877997"/>
    <w:rsid w:val="00877BBD"/>
    <w:rsid w:val="00877F10"/>
    <w:rsid w:val="00877F13"/>
    <w:rsid w:val="0088004C"/>
    <w:rsid w:val="008801CB"/>
    <w:rsid w:val="00880500"/>
    <w:rsid w:val="00880652"/>
    <w:rsid w:val="00880786"/>
    <w:rsid w:val="008807C8"/>
    <w:rsid w:val="008807FB"/>
    <w:rsid w:val="008807FD"/>
    <w:rsid w:val="00880883"/>
    <w:rsid w:val="00880A29"/>
    <w:rsid w:val="00880AC1"/>
    <w:rsid w:val="00880AEE"/>
    <w:rsid w:val="00880BD6"/>
    <w:rsid w:val="00880D29"/>
    <w:rsid w:val="00880D2F"/>
    <w:rsid w:val="00880D88"/>
    <w:rsid w:val="00880E9A"/>
    <w:rsid w:val="00880F2F"/>
    <w:rsid w:val="00880F91"/>
    <w:rsid w:val="00880FF4"/>
    <w:rsid w:val="00881103"/>
    <w:rsid w:val="0088141B"/>
    <w:rsid w:val="008814B0"/>
    <w:rsid w:val="008814B7"/>
    <w:rsid w:val="0088167C"/>
    <w:rsid w:val="0088180F"/>
    <w:rsid w:val="00881853"/>
    <w:rsid w:val="0088197D"/>
    <w:rsid w:val="008819CB"/>
    <w:rsid w:val="00881A69"/>
    <w:rsid w:val="00881CEC"/>
    <w:rsid w:val="00881D4E"/>
    <w:rsid w:val="00881E12"/>
    <w:rsid w:val="00881EBC"/>
    <w:rsid w:val="00881FAF"/>
    <w:rsid w:val="00882098"/>
    <w:rsid w:val="00882131"/>
    <w:rsid w:val="00882285"/>
    <w:rsid w:val="0088240D"/>
    <w:rsid w:val="0088265C"/>
    <w:rsid w:val="008826E4"/>
    <w:rsid w:val="008827EC"/>
    <w:rsid w:val="0088282F"/>
    <w:rsid w:val="008828A5"/>
    <w:rsid w:val="008828F8"/>
    <w:rsid w:val="00882A3E"/>
    <w:rsid w:val="00882AFD"/>
    <w:rsid w:val="00882CEE"/>
    <w:rsid w:val="00882D8E"/>
    <w:rsid w:val="00882E6F"/>
    <w:rsid w:val="00882F37"/>
    <w:rsid w:val="00882FC1"/>
    <w:rsid w:val="008830F4"/>
    <w:rsid w:val="008830FB"/>
    <w:rsid w:val="00883164"/>
    <w:rsid w:val="00883251"/>
    <w:rsid w:val="0088328D"/>
    <w:rsid w:val="00883347"/>
    <w:rsid w:val="008833C7"/>
    <w:rsid w:val="00883554"/>
    <w:rsid w:val="00883586"/>
    <w:rsid w:val="0088365F"/>
    <w:rsid w:val="008836FB"/>
    <w:rsid w:val="008837C1"/>
    <w:rsid w:val="00883927"/>
    <w:rsid w:val="00883928"/>
    <w:rsid w:val="0088394C"/>
    <w:rsid w:val="00883961"/>
    <w:rsid w:val="00883A32"/>
    <w:rsid w:val="00883A45"/>
    <w:rsid w:val="00883AF7"/>
    <w:rsid w:val="00883B05"/>
    <w:rsid w:val="00883F43"/>
    <w:rsid w:val="00883FA2"/>
    <w:rsid w:val="00884003"/>
    <w:rsid w:val="00884200"/>
    <w:rsid w:val="00884209"/>
    <w:rsid w:val="008844BF"/>
    <w:rsid w:val="008844F4"/>
    <w:rsid w:val="00884566"/>
    <w:rsid w:val="00884642"/>
    <w:rsid w:val="00884678"/>
    <w:rsid w:val="0088469B"/>
    <w:rsid w:val="008846C1"/>
    <w:rsid w:val="008846EA"/>
    <w:rsid w:val="008847F3"/>
    <w:rsid w:val="00884884"/>
    <w:rsid w:val="00884953"/>
    <w:rsid w:val="008849B5"/>
    <w:rsid w:val="00884A59"/>
    <w:rsid w:val="00884A97"/>
    <w:rsid w:val="00884AA9"/>
    <w:rsid w:val="00884AAB"/>
    <w:rsid w:val="00884ABE"/>
    <w:rsid w:val="00884C2B"/>
    <w:rsid w:val="00884C5A"/>
    <w:rsid w:val="00884CC3"/>
    <w:rsid w:val="00884DF9"/>
    <w:rsid w:val="00884EA6"/>
    <w:rsid w:val="008851B7"/>
    <w:rsid w:val="008851E1"/>
    <w:rsid w:val="00885221"/>
    <w:rsid w:val="008852A6"/>
    <w:rsid w:val="008852D1"/>
    <w:rsid w:val="00885339"/>
    <w:rsid w:val="00885482"/>
    <w:rsid w:val="00885741"/>
    <w:rsid w:val="00885870"/>
    <w:rsid w:val="008858F5"/>
    <w:rsid w:val="0088599C"/>
    <w:rsid w:val="008859AF"/>
    <w:rsid w:val="00885A6D"/>
    <w:rsid w:val="00885AAD"/>
    <w:rsid w:val="00885B87"/>
    <w:rsid w:val="00885B9A"/>
    <w:rsid w:val="00885CD1"/>
    <w:rsid w:val="00885CDF"/>
    <w:rsid w:val="00885E64"/>
    <w:rsid w:val="00885F1C"/>
    <w:rsid w:val="00885F66"/>
    <w:rsid w:val="00886224"/>
    <w:rsid w:val="0088638F"/>
    <w:rsid w:val="00886457"/>
    <w:rsid w:val="00886621"/>
    <w:rsid w:val="008866AB"/>
    <w:rsid w:val="008867CC"/>
    <w:rsid w:val="008868C2"/>
    <w:rsid w:val="0088691B"/>
    <w:rsid w:val="0088695D"/>
    <w:rsid w:val="00886A0F"/>
    <w:rsid w:val="00886A6D"/>
    <w:rsid w:val="00886CCF"/>
    <w:rsid w:val="00886FA6"/>
    <w:rsid w:val="00887062"/>
    <w:rsid w:val="00887144"/>
    <w:rsid w:val="00887146"/>
    <w:rsid w:val="0088721F"/>
    <w:rsid w:val="008872FB"/>
    <w:rsid w:val="008877A8"/>
    <w:rsid w:val="00887810"/>
    <w:rsid w:val="0088792E"/>
    <w:rsid w:val="00887C51"/>
    <w:rsid w:val="00887C70"/>
    <w:rsid w:val="00887D8D"/>
    <w:rsid w:val="00887F8C"/>
    <w:rsid w:val="0089009D"/>
    <w:rsid w:val="008905D1"/>
    <w:rsid w:val="00890618"/>
    <w:rsid w:val="0089071D"/>
    <w:rsid w:val="00890740"/>
    <w:rsid w:val="0089076E"/>
    <w:rsid w:val="00890801"/>
    <w:rsid w:val="008908C6"/>
    <w:rsid w:val="00890911"/>
    <w:rsid w:val="00890A87"/>
    <w:rsid w:val="00890AD8"/>
    <w:rsid w:val="00890B41"/>
    <w:rsid w:val="00890D56"/>
    <w:rsid w:val="00890E99"/>
    <w:rsid w:val="00891074"/>
    <w:rsid w:val="00891099"/>
    <w:rsid w:val="008913EF"/>
    <w:rsid w:val="0089147B"/>
    <w:rsid w:val="008918D0"/>
    <w:rsid w:val="008918F6"/>
    <w:rsid w:val="0089197D"/>
    <w:rsid w:val="00891A49"/>
    <w:rsid w:val="00891B3D"/>
    <w:rsid w:val="00891D25"/>
    <w:rsid w:val="00891D2B"/>
    <w:rsid w:val="00891DAB"/>
    <w:rsid w:val="00891E53"/>
    <w:rsid w:val="00891F4D"/>
    <w:rsid w:val="00891F7C"/>
    <w:rsid w:val="00892041"/>
    <w:rsid w:val="00892094"/>
    <w:rsid w:val="00892175"/>
    <w:rsid w:val="0089223E"/>
    <w:rsid w:val="00892272"/>
    <w:rsid w:val="008922EA"/>
    <w:rsid w:val="00892360"/>
    <w:rsid w:val="00892451"/>
    <w:rsid w:val="008924A5"/>
    <w:rsid w:val="008924B2"/>
    <w:rsid w:val="008924EF"/>
    <w:rsid w:val="0089259B"/>
    <w:rsid w:val="0089260E"/>
    <w:rsid w:val="0089296C"/>
    <w:rsid w:val="00892E34"/>
    <w:rsid w:val="00892E3F"/>
    <w:rsid w:val="00892EBF"/>
    <w:rsid w:val="00892FB3"/>
    <w:rsid w:val="008931CE"/>
    <w:rsid w:val="00893248"/>
    <w:rsid w:val="008933C7"/>
    <w:rsid w:val="0089350A"/>
    <w:rsid w:val="008935E1"/>
    <w:rsid w:val="0089361F"/>
    <w:rsid w:val="00893886"/>
    <w:rsid w:val="00893E08"/>
    <w:rsid w:val="00894032"/>
    <w:rsid w:val="00894394"/>
    <w:rsid w:val="00894432"/>
    <w:rsid w:val="008944C7"/>
    <w:rsid w:val="00894510"/>
    <w:rsid w:val="00894633"/>
    <w:rsid w:val="008946C4"/>
    <w:rsid w:val="00894729"/>
    <w:rsid w:val="00894986"/>
    <w:rsid w:val="008949C3"/>
    <w:rsid w:val="008949E0"/>
    <w:rsid w:val="00894C51"/>
    <w:rsid w:val="00894CD3"/>
    <w:rsid w:val="00894D34"/>
    <w:rsid w:val="00894D42"/>
    <w:rsid w:val="00894E4D"/>
    <w:rsid w:val="00894E7D"/>
    <w:rsid w:val="00895046"/>
    <w:rsid w:val="0089514B"/>
    <w:rsid w:val="008951D1"/>
    <w:rsid w:val="00895209"/>
    <w:rsid w:val="00895215"/>
    <w:rsid w:val="008953E7"/>
    <w:rsid w:val="0089543E"/>
    <w:rsid w:val="0089549B"/>
    <w:rsid w:val="008954DE"/>
    <w:rsid w:val="00895572"/>
    <w:rsid w:val="00895600"/>
    <w:rsid w:val="008956B0"/>
    <w:rsid w:val="0089583F"/>
    <w:rsid w:val="0089589D"/>
    <w:rsid w:val="008958A3"/>
    <w:rsid w:val="00895B03"/>
    <w:rsid w:val="00895BBB"/>
    <w:rsid w:val="00895C9A"/>
    <w:rsid w:val="00895D48"/>
    <w:rsid w:val="00895E07"/>
    <w:rsid w:val="00895EF0"/>
    <w:rsid w:val="00896016"/>
    <w:rsid w:val="008960BF"/>
    <w:rsid w:val="0089619A"/>
    <w:rsid w:val="008961B1"/>
    <w:rsid w:val="00896248"/>
    <w:rsid w:val="008962F3"/>
    <w:rsid w:val="0089641E"/>
    <w:rsid w:val="00896483"/>
    <w:rsid w:val="008964A7"/>
    <w:rsid w:val="008964FF"/>
    <w:rsid w:val="00896530"/>
    <w:rsid w:val="00896812"/>
    <w:rsid w:val="00896A3C"/>
    <w:rsid w:val="00896A7B"/>
    <w:rsid w:val="00896CAF"/>
    <w:rsid w:val="00896E34"/>
    <w:rsid w:val="00896F65"/>
    <w:rsid w:val="00897283"/>
    <w:rsid w:val="00897347"/>
    <w:rsid w:val="00897434"/>
    <w:rsid w:val="0089753C"/>
    <w:rsid w:val="00897696"/>
    <w:rsid w:val="008976BD"/>
    <w:rsid w:val="008977B9"/>
    <w:rsid w:val="008977D4"/>
    <w:rsid w:val="00897849"/>
    <w:rsid w:val="008978D9"/>
    <w:rsid w:val="00897A2E"/>
    <w:rsid w:val="00897D3A"/>
    <w:rsid w:val="00897DF4"/>
    <w:rsid w:val="00897E98"/>
    <w:rsid w:val="008A0060"/>
    <w:rsid w:val="008A0208"/>
    <w:rsid w:val="008A031F"/>
    <w:rsid w:val="008A0490"/>
    <w:rsid w:val="008A0599"/>
    <w:rsid w:val="008A06CD"/>
    <w:rsid w:val="008A083E"/>
    <w:rsid w:val="008A0958"/>
    <w:rsid w:val="008A0C09"/>
    <w:rsid w:val="008A0C89"/>
    <w:rsid w:val="008A0ECE"/>
    <w:rsid w:val="008A0F8A"/>
    <w:rsid w:val="008A1007"/>
    <w:rsid w:val="008A10DB"/>
    <w:rsid w:val="008A10E4"/>
    <w:rsid w:val="008A10F8"/>
    <w:rsid w:val="008A1168"/>
    <w:rsid w:val="008A11AF"/>
    <w:rsid w:val="008A1206"/>
    <w:rsid w:val="008A12CF"/>
    <w:rsid w:val="008A135A"/>
    <w:rsid w:val="008A147A"/>
    <w:rsid w:val="008A1657"/>
    <w:rsid w:val="008A1B64"/>
    <w:rsid w:val="008A1B99"/>
    <w:rsid w:val="008A1D70"/>
    <w:rsid w:val="008A1F2E"/>
    <w:rsid w:val="008A1FB7"/>
    <w:rsid w:val="008A1FDD"/>
    <w:rsid w:val="008A21D1"/>
    <w:rsid w:val="008A2368"/>
    <w:rsid w:val="008A2396"/>
    <w:rsid w:val="008A240C"/>
    <w:rsid w:val="008A24CC"/>
    <w:rsid w:val="008A2527"/>
    <w:rsid w:val="008A25BC"/>
    <w:rsid w:val="008A2789"/>
    <w:rsid w:val="008A2829"/>
    <w:rsid w:val="008A2892"/>
    <w:rsid w:val="008A290B"/>
    <w:rsid w:val="008A2BAF"/>
    <w:rsid w:val="008A2E84"/>
    <w:rsid w:val="008A2F57"/>
    <w:rsid w:val="008A30F3"/>
    <w:rsid w:val="008A3102"/>
    <w:rsid w:val="008A3144"/>
    <w:rsid w:val="008A3273"/>
    <w:rsid w:val="008A3346"/>
    <w:rsid w:val="008A3367"/>
    <w:rsid w:val="008A33A3"/>
    <w:rsid w:val="008A362F"/>
    <w:rsid w:val="008A36A4"/>
    <w:rsid w:val="008A38EA"/>
    <w:rsid w:val="008A395C"/>
    <w:rsid w:val="008A3A35"/>
    <w:rsid w:val="008A3A45"/>
    <w:rsid w:val="008A3BAE"/>
    <w:rsid w:val="008A3CEE"/>
    <w:rsid w:val="008A3D42"/>
    <w:rsid w:val="008A3E59"/>
    <w:rsid w:val="008A3EEF"/>
    <w:rsid w:val="008A4133"/>
    <w:rsid w:val="008A424D"/>
    <w:rsid w:val="008A438A"/>
    <w:rsid w:val="008A4420"/>
    <w:rsid w:val="008A4559"/>
    <w:rsid w:val="008A4573"/>
    <w:rsid w:val="008A4580"/>
    <w:rsid w:val="008A477D"/>
    <w:rsid w:val="008A47EE"/>
    <w:rsid w:val="008A492C"/>
    <w:rsid w:val="008A4A25"/>
    <w:rsid w:val="008A4A9E"/>
    <w:rsid w:val="008A4B53"/>
    <w:rsid w:val="008A4B55"/>
    <w:rsid w:val="008A4BC1"/>
    <w:rsid w:val="008A4C40"/>
    <w:rsid w:val="008A4EDA"/>
    <w:rsid w:val="008A4F64"/>
    <w:rsid w:val="008A4FA5"/>
    <w:rsid w:val="008A4FAF"/>
    <w:rsid w:val="008A5023"/>
    <w:rsid w:val="008A524E"/>
    <w:rsid w:val="008A53B1"/>
    <w:rsid w:val="008A55BD"/>
    <w:rsid w:val="008A5672"/>
    <w:rsid w:val="008A5697"/>
    <w:rsid w:val="008A569C"/>
    <w:rsid w:val="008A59FC"/>
    <w:rsid w:val="008A5D13"/>
    <w:rsid w:val="008A606C"/>
    <w:rsid w:val="008A6167"/>
    <w:rsid w:val="008A62B4"/>
    <w:rsid w:val="008A63BD"/>
    <w:rsid w:val="008A64C0"/>
    <w:rsid w:val="008A6691"/>
    <w:rsid w:val="008A670C"/>
    <w:rsid w:val="008A677B"/>
    <w:rsid w:val="008A6B1B"/>
    <w:rsid w:val="008A6BAB"/>
    <w:rsid w:val="008A6BD6"/>
    <w:rsid w:val="008A6C0B"/>
    <w:rsid w:val="008A6C35"/>
    <w:rsid w:val="008A6D70"/>
    <w:rsid w:val="008A6D84"/>
    <w:rsid w:val="008A6DC1"/>
    <w:rsid w:val="008A6FC3"/>
    <w:rsid w:val="008A701F"/>
    <w:rsid w:val="008A72B4"/>
    <w:rsid w:val="008A72BB"/>
    <w:rsid w:val="008A72DE"/>
    <w:rsid w:val="008A72FA"/>
    <w:rsid w:val="008A7313"/>
    <w:rsid w:val="008A73EA"/>
    <w:rsid w:val="008A747F"/>
    <w:rsid w:val="008A7526"/>
    <w:rsid w:val="008A75A4"/>
    <w:rsid w:val="008A772C"/>
    <w:rsid w:val="008A778D"/>
    <w:rsid w:val="008A7813"/>
    <w:rsid w:val="008A78B2"/>
    <w:rsid w:val="008A7E16"/>
    <w:rsid w:val="008A7F0D"/>
    <w:rsid w:val="008A7F4B"/>
    <w:rsid w:val="008A7F7D"/>
    <w:rsid w:val="008B005B"/>
    <w:rsid w:val="008B03AC"/>
    <w:rsid w:val="008B04CE"/>
    <w:rsid w:val="008B0537"/>
    <w:rsid w:val="008B053F"/>
    <w:rsid w:val="008B0721"/>
    <w:rsid w:val="008B07C8"/>
    <w:rsid w:val="008B0924"/>
    <w:rsid w:val="008B09B1"/>
    <w:rsid w:val="008B0A06"/>
    <w:rsid w:val="008B0B8E"/>
    <w:rsid w:val="008B0BEE"/>
    <w:rsid w:val="008B0D70"/>
    <w:rsid w:val="008B0DA7"/>
    <w:rsid w:val="008B0DCC"/>
    <w:rsid w:val="008B0FE6"/>
    <w:rsid w:val="008B109A"/>
    <w:rsid w:val="008B12E6"/>
    <w:rsid w:val="008B1534"/>
    <w:rsid w:val="008B1655"/>
    <w:rsid w:val="008B1A5D"/>
    <w:rsid w:val="008B1B61"/>
    <w:rsid w:val="008B1E5B"/>
    <w:rsid w:val="008B1E5F"/>
    <w:rsid w:val="008B1F49"/>
    <w:rsid w:val="008B203E"/>
    <w:rsid w:val="008B2083"/>
    <w:rsid w:val="008B20BC"/>
    <w:rsid w:val="008B2101"/>
    <w:rsid w:val="008B2123"/>
    <w:rsid w:val="008B2152"/>
    <w:rsid w:val="008B2386"/>
    <w:rsid w:val="008B252C"/>
    <w:rsid w:val="008B2532"/>
    <w:rsid w:val="008B25F5"/>
    <w:rsid w:val="008B261D"/>
    <w:rsid w:val="008B2638"/>
    <w:rsid w:val="008B26B2"/>
    <w:rsid w:val="008B2A5B"/>
    <w:rsid w:val="008B2A5F"/>
    <w:rsid w:val="008B2A92"/>
    <w:rsid w:val="008B2AC2"/>
    <w:rsid w:val="008B2BE9"/>
    <w:rsid w:val="008B2D4D"/>
    <w:rsid w:val="008B30C7"/>
    <w:rsid w:val="008B3139"/>
    <w:rsid w:val="008B327E"/>
    <w:rsid w:val="008B32CD"/>
    <w:rsid w:val="008B3374"/>
    <w:rsid w:val="008B3741"/>
    <w:rsid w:val="008B395A"/>
    <w:rsid w:val="008B39C3"/>
    <w:rsid w:val="008B3B41"/>
    <w:rsid w:val="008B3BE2"/>
    <w:rsid w:val="008B3C19"/>
    <w:rsid w:val="008B3C38"/>
    <w:rsid w:val="008B3C9B"/>
    <w:rsid w:val="008B3E30"/>
    <w:rsid w:val="008B3F42"/>
    <w:rsid w:val="008B400C"/>
    <w:rsid w:val="008B40C7"/>
    <w:rsid w:val="008B411B"/>
    <w:rsid w:val="008B4134"/>
    <w:rsid w:val="008B4289"/>
    <w:rsid w:val="008B4359"/>
    <w:rsid w:val="008B4378"/>
    <w:rsid w:val="008B43A5"/>
    <w:rsid w:val="008B4544"/>
    <w:rsid w:val="008B45BE"/>
    <w:rsid w:val="008B45FA"/>
    <w:rsid w:val="008B483F"/>
    <w:rsid w:val="008B48D0"/>
    <w:rsid w:val="008B493F"/>
    <w:rsid w:val="008B49F9"/>
    <w:rsid w:val="008B4E0A"/>
    <w:rsid w:val="008B4E63"/>
    <w:rsid w:val="008B4E99"/>
    <w:rsid w:val="008B4ECA"/>
    <w:rsid w:val="008B5125"/>
    <w:rsid w:val="008B516E"/>
    <w:rsid w:val="008B527E"/>
    <w:rsid w:val="008B52ED"/>
    <w:rsid w:val="008B5490"/>
    <w:rsid w:val="008B54D3"/>
    <w:rsid w:val="008B54F6"/>
    <w:rsid w:val="008B5761"/>
    <w:rsid w:val="008B58AB"/>
    <w:rsid w:val="008B5A49"/>
    <w:rsid w:val="008B5AAA"/>
    <w:rsid w:val="008B5ACD"/>
    <w:rsid w:val="008B5B41"/>
    <w:rsid w:val="008B5C8C"/>
    <w:rsid w:val="008B5D2F"/>
    <w:rsid w:val="008B5D89"/>
    <w:rsid w:val="008B5DF9"/>
    <w:rsid w:val="008B5F1E"/>
    <w:rsid w:val="008B6023"/>
    <w:rsid w:val="008B6029"/>
    <w:rsid w:val="008B60B3"/>
    <w:rsid w:val="008B60B4"/>
    <w:rsid w:val="008B615C"/>
    <w:rsid w:val="008B6200"/>
    <w:rsid w:val="008B623F"/>
    <w:rsid w:val="008B625E"/>
    <w:rsid w:val="008B6329"/>
    <w:rsid w:val="008B63F7"/>
    <w:rsid w:val="008B6564"/>
    <w:rsid w:val="008B6740"/>
    <w:rsid w:val="008B6777"/>
    <w:rsid w:val="008B6825"/>
    <w:rsid w:val="008B6A28"/>
    <w:rsid w:val="008B6A86"/>
    <w:rsid w:val="008B6A8C"/>
    <w:rsid w:val="008B6ADE"/>
    <w:rsid w:val="008B6B1B"/>
    <w:rsid w:val="008B6B90"/>
    <w:rsid w:val="008B6CAC"/>
    <w:rsid w:val="008B6CB7"/>
    <w:rsid w:val="008B6DCE"/>
    <w:rsid w:val="008B6E04"/>
    <w:rsid w:val="008B6FD5"/>
    <w:rsid w:val="008B6FED"/>
    <w:rsid w:val="008B7324"/>
    <w:rsid w:val="008B7412"/>
    <w:rsid w:val="008B7510"/>
    <w:rsid w:val="008B7586"/>
    <w:rsid w:val="008B75F7"/>
    <w:rsid w:val="008B76F6"/>
    <w:rsid w:val="008B782B"/>
    <w:rsid w:val="008B7B99"/>
    <w:rsid w:val="008B7E55"/>
    <w:rsid w:val="008B7EC3"/>
    <w:rsid w:val="008B7F32"/>
    <w:rsid w:val="008B7F63"/>
    <w:rsid w:val="008C00E6"/>
    <w:rsid w:val="008C01F8"/>
    <w:rsid w:val="008C02A9"/>
    <w:rsid w:val="008C0353"/>
    <w:rsid w:val="008C03ED"/>
    <w:rsid w:val="008C0580"/>
    <w:rsid w:val="008C07C5"/>
    <w:rsid w:val="008C0822"/>
    <w:rsid w:val="008C082B"/>
    <w:rsid w:val="008C0930"/>
    <w:rsid w:val="008C09E9"/>
    <w:rsid w:val="008C0A02"/>
    <w:rsid w:val="008C0A1E"/>
    <w:rsid w:val="008C0A74"/>
    <w:rsid w:val="008C0DA9"/>
    <w:rsid w:val="008C0F3B"/>
    <w:rsid w:val="008C0FD5"/>
    <w:rsid w:val="008C0FDC"/>
    <w:rsid w:val="008C115E"/>
    <w:rsid w:val="008C1186"/>
    <w:rsid w:val="008C125A"/>
    <w:rsid w:val="008C14B5"/>
    <w:rsid w:val="008C152B"/>
    <w:rsid w:val="008C1771"/>
    <w:rsid w:val="008C1825"/>
    <w:rsid w:val="008C186A"/>
    <w:rsid w:val="008C18AC"/>
    <w:rsid w:val="008C1A3D"/>
    <w:rsid w:val="008C1A6C"/>
    <w:rsid w:val="008C1D0A"/>
    <w:rsid w:val="008C1D1B"/>
    <w:rsid w:val="008C1DB5"/>
    <w:rsid w:val="008C1E0B"/>
    <w:rsid w:val="008C1E1C"/>
    <w:rsid w:val="008C1F25"/>
    <w:rsid w:val="008C1F82"/>
    <w:rsid w:val="008C1F8B"/>
    <w:rsid w:val="008C1FA6"/>
    <w:rsid w:val="008C23F1"/>
    <w:rsid w:val="008C254C"/>
    <w:rsid w:val="008C257F"/>
    <w:rsid w:val="008C25AC"/>
    <w:rsid w:val="008C25E9"/>
    <w:rsid w:val="008C27D4"/>
    <w:rsid w:val="008C27E5"/>
    <w:rsid w:val="008C27FA"/>
    <w:rsid w:val="008C28DF"/>
    <w:rsid w:val="008C2902"/>
    <w:rsid w:val="008C2AAA"/>
    <w:rsid w:val="008C2AB0"/>
    <w:rsid w:val="008C2ACE"/>
    <w:rsid w:val="008C2B12"/>
    <w:rsid w:val="008C2B7E"/>
    <w:rsid w:val="008C2BB9"/>
    <w:rsid w:val="008C2BF4"/>
    <w:rsid w:val="008C2D7D"/>
    <w:rsid w:val="008C2DFA"/>
    <w:rsid w:val="008C2FAD"/>
    <w:rsid w:val="008C2FF6"/>
    <w:rsid w:val="008C3081"/>
    <w:rsid w:val="008C315B"/>
    <w:rsid w:val="008C3285"/>
    <w:rsid w:val="008C331E"/>
    <w:rsid w:val="008C3333"/>
    <w:rsid w:val="008C348D"/>
    <w:rsid w:val="008C358A"/>
    <w:rsid w:val="008C37E1"/>
    <w:rsid w:val="008C3A4D"/>
    <w:rsid w:val="008C3A97"/>
    <w:rsid w:val="008C3BE7"/>
    <w:rsid w:val="008C3DFF"/>
    <w:rsid w:val="008C437A"/>
    <w:rsid w:val="008C44F1"/>
    <w:rsid w:val="008C4646"/>
    <w:rsid w:val="008C472E"/>
    <w:rsid w:val="008C4856"/>
    <w:rsid w:val="008C49EB"/>
    <w:rsid w:val="008C49FA"/>
    <w:rsid w:val="008C4BEA"/>
    <w:rsid w:val="008C4CAD"/>
    <w:rsid w:val="008C4E25"/>
    <w:rsid w:val="008C50C3"/>
    <w:rsid w:val="008C53B0"/>
    <w:rsid w:val="008C53D8"/>
    <w:rsid w:val="008C5456"/>
    <w:rsid w:val="008C5502"/>
    <w:rsid w:val="008C562E"/>
    <w:rsid w:val="008C5654"/>
    <w:rsid w:val="008C569B"/>
    <w:rsid w:val="008C579F"/>
    <w:rsid w:val="008C5827"/>
    <w:rsid w:val="008C5948"/>
    <w:rsid w:val="008C59E7"/>
    <w:rsid w:val="008C59EA"/>
    <w:rsid w:val="008C5B8B"/>
    <w:rsid w:val="008C5C84"/>
    <w:rsid w:val="008C5D67"/>
    <w:rsid w:val="008C5EBE"/>
    <w:rsid w:val="008C609D"/>
    <w:rsid w:val="008C61FF"/>
    <w:rsid w:val="008C62C9"/>
    <w:rsid w:val="008C654B"/>
    <w:rsid w:val="008C66E5"/>
    <w:rsid w:val="008C670C"/>
    <w:rsid w:val="008C6835"/>
    <w:rsid w:val="008C6940"/>
    <w:rsid w:val="008C6A31"/>
    <w:rsid w:val="008C6C99"/>
    <w:rsid w:val="008C6E4C"/>
    <w:rsid w:val="008C6EC5"/>
    <w:rsid w:val="008C6F1A"/>
    <w:rsid w:val="008C6F24"/>
    <w:rsid w:val="008C705F"/>
    <w:rsid w:val="008C71C2"/>
    <w:rsid w:val="008C72F2"/>
    <w:rsid w:val="008C7305"/>
    <w:rsid w:val="008C7521"/>
    <w:rsid w:val="008C756E"/>
    <w:rsid w:val="008C75DB"/>
    <w:rsid w:val="008C7630"/>
    <w:rsid w:val="008C76CB"/>
    <w:rsid w:val="008C7738"/>
    <w:rsid w:val="008C773E"/>
    <w:rsid w:val="008C77C3"/>
    <w:rsid w:val="008C77D3"/>
    <w:rsid w:val="008C7895"/>
    <w:rsid w:val="008C78DF"/>
    <w:rsid w:val="008C7AF4"/>
    <w:rsid w:val="008C7C0F"/>
    <w:rsid w:val="008C7C7A"/>
    <w:rsid w:val="008C7DAE"/>
    <w:rsid w:val="008C7FDE"/>
    <w:rsid w:val="008D00B7"/>
    <w:rsid w:val="008D0268"/>
    <w:rsid w:val="008D02E2"/>
    <w:rsid w:val="008D0504"/>
    <w:rsid w:val="008D066A"/>
    <w:rsid w:val="008D0689"/>
    <w:rsid w:val="008D0735"/>
    <w:rsid w:val="008D0751"/>
    <w:rsid w:val="008D076F"/>
    <w:rsid w:val="008D090B"/>
    <w:rsid w:val="008D0C1D"/>
    <w:rsid w:val="008D0C31"/>
    <w:rsid w:val="008D0F18"/>
    <w:rsid w:val="008D0FF7"/>
    <w:rsid w:val="008D1256"/>
    <w:rsid w:val="008D125A"/>
    <w:rsid w:val="008D1271"/>
    <w:rsid w:val="008D13CA"/>
    <w:rsid w:val="008D13FB"/>
    <w:rsid w:val="008D165F"/>
    <w:rsid w:val="008D171E"/>
    <w:rsid w:val="008D182A"/>
    <w:rsid w:val="008D1AB0"/>
    <w:rsid w:val="008D1D3F"/>
    <w:rsid w:val="008D2099"/>
    <w:rsid w:val="008D2229"/>
    <w:rsid w:val="008D227B"/>
    <w:rsid w:val="008D22B0"/>
    <w:rsid w:val="008D2335"/>
    <w:rsid w:val="008D233A"/>
    <w:rsid w:val="008D23B6"/>
    <w:rsid w:val="008D255B"/>
    <w:rsid w:val="008D263F"/>
    <w:rsid w:val="008D26AB"/>
    <w:rsid w:val="008D275A"/>
    <w:rsid w:val="008D29D6"/>
    <w:rsid w:val="008D2BA7"/>
    <w:rsid w:val="008D2D1C"/>
    <w:rsid w:val="008D2F7E"/>
    <w:rsid w:val="008D3193"/>
    <w:rsid w:val="008D3283"/>
    <w:rsid w:val="008D33B9"/>
    <w:rsid w:val="008D34E1"/>
    <w:rsid w:val="008D35BC"/>
    <w:rsid w:val="008D367C"/>
    <w:rsid w:val="008D3847"/>
    <w:rsid w:val="008D3A1B"/>
    <w:rsid w:val="008D3ABE"/>
    <w:rsid w:val="008D3B3C"/>
    <w:rsid w:val="008D3C93"/>
    <w:rsid w:val="008D3F53"/>
    <w:rsid w:val="008D4068"/>
    <w:rsid w:val="008D41FB"/>
    <w:rsid w:val="008D444C"/>
    <w:rsid w:val="008D4473"/>
    <w:rsid w:val="008D44D5"/>
    <w:rsid w:val="008D454B"/>
    <w:rsid w:val="008D4703"/>
    <w:rsid w:val="008D4763"/>
    <w:rsid w:val="008D47CC"/>
    <w:rsid w:val="008D47F2"/>
    <w:rsid w:val="008D48F4"/>
    <w:rsid w:val="008D4A50"/>
    <w:rsid w:val="008D4AEF"/>
    <w:rsid w:val="008D4AF2"/>
    <w:rsid w:val="008D4C72"/>
    <w:rsid w:val="008D4D03"/>
    <w:rsid w:val="008D4D0C"/>
    <w:rsid w:val="008D4F8E"/>
    <w:rsid w:val="008D5193"/>
    <w:rsid w:val="008D51F4"/>
    <w:rsid w:val="008D532D"/>
    <w:rsid w:val="008D5353"/>
    <w:rsid w:val="008D550E"/>
    <w:rsid w:val="008D55CD"/>
    <w:rsid w:val="008D55DB"/>
    <w:rsid w:val="008D55E9"/>
    <w:rsid w:val="008D5607"/>
    <w:rsid w:val="008D5655"/>
    <w:rsid w:val="008D576E"/>
    <w:rsid w:val="008D5842"/>
    <w:rsid w:val="008D5879"/>
    <w:rsid w:val="008D58BC"/>
    <w:rsid w:val="008D58F3"/>
    <w:rsid w:val="008D59B1"/>
    <w:rsid w:val="008D5AA4"/>
    <w:rsid w:val="008D5AE0"/>
    <w:rsid w:val="008D5B7B"/>
    <w:rsid w:val="008D5D8F"/>
    <w:rsid w:val="008D5E48"/>
    <w:rsid w:val="008D5F0B"/>
    <w:rsid w:val="008D5F19"/>
    <w:rsid w:val="008D5F43"/>
    <w:rsid w:val="008D600F"/>
    <w:rsid w:val="008D6064"/>
    <w:rsid w:val="008D616C"/>
    <w:rsid w:val="008D619D"/>
    <w:rsid w:val="008D63A0"/>
    <w:rsid w:val="008D6859"/>
    <w:rsid w:val="008D6A41"/>
    <w:rsid w:val="008D6B62"/>
    <w:rsid w:val="008D6B9F"/>
    <w:rsid w:val="008D6BFD"/>
    <w:rsid w:val="008D6C37"/>
    <w:rsid w:val="008D6CEC"/>
    <w:rsid w:val="008D6DDC"/>
    <w:rsid w:val="008D7046"/>
    <w:rsid w:val="008D70BD"/>
    <w:rsid w:val="008D732A"/>
    <w:rsid w:val="008D74A6"/>
    <w:rsid w:val="008D75E0"/>
    <w:rsid w:val="008D7688"/>
    <w:rsid w:val="008D7796"/>
    <w:rsid w:val="008D7862"/>
    <w:rsid w:val="008D786E"/>
    <w:rsid w:val="008D78BA"/>
    <w:rsid w:val="008D79F9"/>
    <w:rsid w:val="008D7C03"/>
    <w:rsid w:val="008D7C05"/>
    <w:rsid w:val="008D7C2C"/>
    <w:rsid w:val="008D7D3A"/>
    <w:rsid w:val="008D7F1E"/>
    <w:rsid w:val="008D7F4E"/>
    <w:rsid w:val="008E0042"/>
    <w:rsid w:val="008E00AB"/>
    <w:rsid w:val="008E00B0"/>
    <w:rsid w:val="008E00DC"/>
    <w:rsid w:val="008E0104"/>
    <w:rsid w:val="008E039B"/>
    <w:rsid w:val="008E03C8"/>
    <w:rsid w:val="008E03DC"/>
    <w:rsid w:val="008E043B"/>
    <w:rsid w:val="008E05CA"/>
    <w:rsid w:val="008E06F3"/>
    <w:rsid w:val="008E07AB"/>
    <w:rsid w:val="008E07F7"/>
    <w:rsid w:val="008E0827"/>
    <w:rsid w:val="008E0842"/>
    <w:rsid w:val="008E087C"/>
    <w:rsid w:val="008E096C"/>
    <w:rsid w:val="008E0A85"/>
    <w:rsid w:val="008E0A8B"/>
    <w:rsid w:val="008E0BC9"/>
    <w:rsid w:val="008E0C17"/>
    <w:rsid w:val="008E1028"/>
    <w:rsid w:val="008E115D"/>
    <w:rsid w:val="008E11EC"/>
    <w:rsid w:val="008E12F4"/>
    <w:rsid w:val="008E13F6"/>
    <w:rsid w:val="008E1416"/>
    <w:rsid w:val="008E14A2"/>
    <w:rsid w:val="008E14D3"/>
    <w:rsid w:val="008E1839"/>
    <w:rsid w:val="008E18C3"/>
    <w:rsid w:val="008E1A73"/>
    <w:rsid w:val="008E1D6F"/>
    <w:rsid w:val="008E1DEB"/>
    <w:rsid w:val="008E1E98"/>
    <w:rsid w:val="008E230E"/>
    <w:rsid w:val="008E2313"/>
    <w:rsid w:val="008E23AD"/>
    <w:rsid w:val="008E23CA"/>
    <w:rsid w:val="008E24B7"/>
    <w:rsid w:val="008E24BB"/>
    <w:rsid w:val="008E277F"/>
    <w:rsid w:val="008E28A6"/>
    <w:rsid w:val="008E28BA"/>
    <w:rsid w:val="008E2985"/>
    <w:rsid w:val="008E2988"/>
    <w:rsid w:val="008E2A5A"/>
    <w:rsid w:val="008E2C63"/>
    <w:rsid w:val="008E2CE5"/>
    <w:rsid w:val="008E2D50"/>
    <w:rsid w:val="008E2E79"/>
    <w:rsid w:val="008E2F84"/>
    <w:rsid w:val="008E30D0"/>
    <w:rsid w:val="008E30E7"/>
    <w:rsid w:val="008E3200"/>
    <w:rsid w:val="008E3368"/>
    <w:rsid w:val="008E355B"/>
    <w:rsid w:val="008E3599"/>
    <w:rsid w:val="008E360D"/>
    <w:rsid w:val="008E36FB"/>
    <w:rsid w:val="008E383C"/>
    <w:rsid w:val="008E388C"/>
    <w:rsid w:val="008E3C5E"/>
    <w:rsid w:val="008E3D48"/>
    <w:rsid w:val="008E3D7B"/>
    <w:rsid w:val="008E3E5A"/>
    <w:rsid w:val="008E3EA3"/>
    <w:rsid w:val="008E3FE3"/>
    <w:rsid w:val="008E4025"/>
    <w:rsid w:val="008E405B"/>
    <w:rsid w:val="008E4288"/>
    <w:rsid w:val="008E428A"/>
    <w:rsid w:val="008E446C"/>
    <w:rsid w:val="008E452F"/>
    <w:rsid w:val="008E4576"/>
    <w:rsid w:val="008E4584"/>
    <w:rsid w:val="008E465F"/>
    <w:rsid w:val="008E4674"/>
    <w:rsid w:val="008E46E2"/>
    <w:rsid w:val="008E4753"/>
    <w:rsid w:val="008E4854"/>
    <w:rsid w:val="008E494D"/>
    <w:rsid w:val="008E4A4E"/>
    <w:rsid w:val="008E4DC9"/>
    <w:rsid w:val="008E4DE4"/>
    <w:rsid w:val="008E51AA"/>
    <w:rsid w:val="008E52D5"/>
    <w:rsid w:val="008E5337"/>
    <w:rsid w:val="008E54F7"/>
    <w:rsid w:val="008E55C8"/>
    <w:rsid w:val="008E5615"/>
    <w:rsid w:val="008E56F2"/>
    <w:rsid w:val="008E57AC"/>
    <w:rsid w:val="008E58B4"/>
    <w:rsid w:val="008E5908"/>
    <w:rsid w:val="008E5A00"/>
    <w:rsid w:val="008E5EF4"/>
    <w:rsid w:val="008E5FE2"/>
    <w:rsid w:val="008E6035"/>
    <w:rsid w:val="008E6508"/>
    <w:rsid w:val="008E65BD"/>
    <w:rsid w:val="008E671D"/>
    <w:rsid w:val="008E6988"/>
    <w:rsid w:val="008E6B9B"/>
    <w:rsid w:val="008E6D5F"/>
    <w:rsid w:val="008E6FF3"/>
    <w:rsid w:val="008E7044"/>
    <w:rsid w:val="008E70B7"/>
    <w:rsid w:val="008E73CF"/>
    <w:rsid w:val="008E7611"/>
    <w:rsid w:val="008E763E"/>
    <w:rsid w:val="008E770D"/>
    <w:rsid w:val="008E796B"/>
    <w:rsid w:val="008E7BA0"/>
    <w:rsid w:val="008E7D13"/>
    <w:rsid w:val="008E7DA5"/>
    <w:rsid w:val="008E7E0C"/>
    <w:rsid w:val="008E7E9B"/>
    <w:rsid w:val="008E7F7E"/>
    <w:rsid w:val="008F0197"/>
    <w:rsid w:val="008F01D5"/>
    <w:rsid w:val="008F027B"/>
    <w:rsid w:val="008F03C2"/>
    <w:rsid w:val="008F05AD"/>
    <w:rsid w:val="008F05CF"/>
    <w:rsid w:val="008F073E"/>
    <w:rsid w:val="008F081A"/>
    <w:rsid w:val="008F087B"/>
    <w:rsid w:val="008F09E8"/>
    <w:rsid w:val="008F0BE4"/>
    <w:rsid w:val="008F0DF6"/>
    <w:rsid w:val="008F0E2B"/>
    <w:rsid w:val="008F0E57"/>
    <w:rsid w:val="008F1047"/>
    <w:rsid w:val="008F1139"/>
    <w:rsid w:val="008F123D"/>
    <w:rsid w:val="008F1269"/>
    <w:rsid w:val="008F1329"/>
    <w:rsid w:val="008F135C"/>
    <w:rsid w:val="008F14CC"/>
    <w:rsid w:val="008F1542"/>
    <w:rsid w:val="008F1574"/>
    <w:rsid w:val="008F19E0"/>
    <w:rsid w:val="008F1A69"/>
    <w:rsid w:val="008F1B01"/>
    <w:rsid w:val="008F1B02"/>
    <w:rsid w:val="008F1CB8"/>
    <w:rsid w:val="008F1D28"/>
    <w:rsid w:val="008F1FC7"/>
    <w:rsid w:val="008F21FB"/>
    <w:rsid w:val="008F22A4"/>
    <w:rsid w:val="008F2484"/>
    <w:rsid w:val="008F24EE"/>
    <w:rsid w:val="008F2521"/>
    <w:rsid w:val="008F2557"/>
    <w:rsid w:val="008F266B"/>
    <w:rsid w:val="008F2737"/>
    <w:rsid w:val="008F2AE2"/>
    <w:rsid w:val="008F2B1D"/>
    <w:rsid w:val="008F2BF3"/>
    <w:rsid w:val="008F2BF9"/>
    <w:rsid w:val="008F2C44"/>
    <w:rsid w:val="008F2C76"/>
    <w:rsid w:val="008F2CB6"/>
    <w:rsid w:val="008F2DDB"/>
    <w:rsid w:val="008F2E55"/>
    <w:rsid w:val="008F2F8C"/>
    <w:rsid w:val="008F314B"/>
    <w:rsid w:val="008F3510"/>
    <w:rsid w:val="008F35C9"/>
    <w:rsid w:val="008F3928"/>
    <w:rsid w:val="008F3A49"/>
    <w:rsid w:val="008F3B61"/>
    <w:rsid w:val="008F3BDC"/>
    <w:rsid w:val="008F3C51"/>
    <w:rsid w:val="008F3D16"/>
    <w:rsid w:val="008F3DAA"/>
    <w:rsid w:val="008F3DD9"/>
    <w:rsid w:val="008F3FE3"/>
    <w:rsid w:val="008F4175"/>
    <w:rsid w:val="008F42D6"/>
    <w:rsid w:val="008F42D9"/>
    <w:rsid w:val="008F446A"/>
    <w:rsid w:val="008F4472"/>
    <w:rsid w:val="008F458A"/>
    <w:rsid w:val="008F45E6"/>
    <w:rsid w:val="008F4653"/>
    <w:rsid w:val="008F46A6"/>
    <w:rsid w:val="008F47A0"/>
    <w:rsid w:val="008F4963"/>
    <w:rsid w:val="008F49AD"/>
    <w:rsid w:val="008F4ADD"/>
    <w:rsid w:val="008F4C49"/>
    <w:rsid w:val="008F4CC6"/>
    <w:rsid w:val="008F4D68"/>
    <w:rsid w:val="008F4E74"/>
    <w:rsid w:val="008F4FF5"/>
    <w:rsid w:val="008F5142"/>
    <w:rsid w:val="008F51A7"/>
    <w:rsid w:val="008F51F1"/>
    <w:rsid w:val="008F528C"/>
    <w:rsid w:val="008F52BF"/>
    <w:rsid w:val="008F52ED"/>
    <w:rsid w:val="008F5325"/>
    <w:rsid w:val="008F5401"/>
    <w:rsid w:val="008F545F"/>
    <w:rsid w:val="008F5614"/>
    <w:rsid w:val="008F5638"/>
    <w:rsid w:val="008F579F"/>
    <w:rsid w:val="008F57B0"/>
    <w:rsid w:val="008F57F0"/>
    <w:rsid w:val="008F583C"/>
    <w:rsid w:val="008F58E3"/>
    <w:rsid w:val="008F5AD5"/>
    <w:rsid w:val="008F5B7F"/>
    <w:rsid w:val="008F5B8C"/>
    <w:rsid w:val="008F5CEF"/>
    <w:rsid w:val="008F5F40"/>
    <w:rsid w:val="008F5F64"/>
    <w:rsid w:val="008F5FB7"/>
    <w:rsid w:val="008F60B7"/>
    <w:rsid w:val="008F6270"/>
    <w:rsid w:val="008F6280"/>
    <w:rsid w:val="008F62AC"/>
    <w:rsid w:val="008F651E"/>
    <w:rsid w:val="008F6562"/>
    <w:rsid w:val="008F6598"/>
    <w:rsid w:val="008F6609"/>
    <w:rsid w:val="008F6621"/>
    <w:rsid w:val="008F675C"/>
    <w:rsid w:val="008F686C"/>
    <w:rsid w:val="008F6969"/>
    <w:rsid w:val="008F6A75"/>
    <w:rsid w:val="008F6B3A"/>
    <w:rsid w:val="008F6B7D"/>
    <w:rsid w:val="008F6C00"/>
    <w:rsid w:val="008F6C5B"/>
    <w:rsid w:val="008F6C6F"/>
    <w:rsid w:val="008F6DE8"/>
    <w:rsid w:val="008F7066"/>
    <w:rsid w:val="008F70B6"/>
    <w:rsid w:val="008F70BC"/>
    <w:rsid w:val="008F7514"/>
    <w:rsid w:val="008F7529"/>
    <w:rsid w:val="008F7570"/>
    <w:rsid w:val="008F75B3"/>
    <w:rsid w:val="008F75C9"/>
    <w:rsid w:val="008F7749"/>
    <w:rsid w:val="008F77EB"/>
    <w:rsid w:val="008F77F9"/>
    <w:rsid w:val="008F793E"/>
    <w:rsid w:val="008F7BFB"/>
    <w:rsid w:val="008F7CBE"/>
    <w:rsid w:val="008F7CCF"/>
    <w:rsid w:val="008F7D08"/>
    <w:rsid w:val="008F7D93"/>
    <w:rsid w:val="008F7E22"/>
    <w:rsid w:val="008F7E7C"/>
    <w:rsid w:val="008F7EB0"/>
    <w:rsid w:val="008F7F18"/>
    <w:rsid w:val="008F7F31"/>
    <w:rsid w:val="00900005"/>
    <w:rsid w:val="009001A7"/>
    <w:rsid w:val="00900269"/>
    <w:rsid w:val="00900295"/>
    <w:rsid w:val="0090039D"/>
    <w:rsid w:val="00900470"/>
    <w:rsid w:val="009006F5"/>
    <w:rsid w:val="00900778"/>
    <w:rsid w:val="0090088B"/>
    <w:rsid w:val="00900965"/>
    <w:rsid w:val="009009C0"/>
    <w:rsid w:val="00900AD3"/>
    <w:rsid w:val="00900B1C"/>
    <w:rsid w:val="00900BD7"/>
    <w:rsid w:val="00900D55"/>
    <w:rsid w:val="00900DC4"/>
    <w:rsid w:val="00900FA3"/>
    <w:rsid w:val="00900FDE"/>
    <w:rsid w:val="00901050"/>
    <w:rsid w:val="0090109F"/>
    <w:rsid w:val="00901166"/>
    <w:rsid w:val="00901206"/>
    <w:rsid w:val="00901254"/>
    <w:rsid w:val="00901458"/>
    <w:rsid w:val="009014E0"/>
    <w:rsid w:val="0090171F"/>
    <w:rsid w:val="009017F3"/>
    <w:rsid w:val="0090181F"/>
    <w:rsid w:val="0090188E"/>
    <w:rsid w:val="00901928"/>
    <w:rsid w:val="00901A84"/>
    <w:rsid w:val="00901B29"/>
    <w:rsid w:val="00901B91"/>
    <w:rsid w:val="00901BE9"/>
    <w:rsid w:val="00901CD8"/>
    <w:rsid w:val="00901E1A"/>
    <w:rsid w:val="00901E82"/>
    <w:rsid w:val="00902065"/>
    <w:rsid w:val="00902075"/>
    <w:rsid w:val="0090221B"/>
    <w:rsid w:val="009022C2"/>
    <w:rsid w:val="009023A9"/>
    <w:rsid w:val="009024B2"/>
    <w:rsid w:val="009025D2"/>
    <w:rsid w:val="009027E8"/>
    <w:rsid w:val="0090282D"/>
    <w:rsid w:val="0090284B"/>
    <w:rsid w:val="00902A1A"/>
    <w:rsid w:val="00902CAC"/>
    <w:rsid w:val="00902D6B"/>
    <w:rsid w:val="00902F56"/>
    <w:rsid w:val="00903020"/>
    <w:rsid w:val="00903073"/>
    <w:rsid w:val="0090310D"/>
    <w:rsid w:val="00903553"/>
    <w:rsid w:val="009036CA"/>
    <w:rsid w:val="00903705"/>
    <w:rsid w:val="00903816"/>
    <w:rsid w:val="009038EC"/>
    <w:rsid w:val="009039BF"/>
    <w:rsid w:val="00903EA6"/>
    <w:rsid w:val="009040F4"/>
    <w:rsid w:val="00904123"/>
    <w:rsid w:val="00904487"/>
    <w:rsid w:val="00904681"/>
    <w:rsid w:val="009046D8"/>
    <w:rsid w:val="00904946"/>
    <w:rsid w:val="009049F2"/>
    <w:rsid w:val="009049FA"/>
    <w:rsid w:val="00904AE3"/>
    <w:rsid w:val="00904C8C"/>
    <w:rsid w:val="00904D29"/>
    <w:rsid w:val="00904D78"/>
    <w:rsid w:val="00904E87"/>
    <w:rsid w:val="00904F70"/>
    <w:rsid w:val="009051C0"/>
    <w:rsid w:val="009054B6"/>
    <w:rsid w:val="009057B8"/>
    <w:rsid w:val="009057EF"/>
    <w:rsid w:val="009057FE"/>
    <w:rsid w:val="00905800"/>
    <w:rsid w:val="009058D5"/>
    <w:rsid w:val="009059CD"/>
    <w:rsid w:val="00905A2C"/>
    <w:rsid w:val="00905A88"/>
    <w:rsid w:val="00905B80"/>
    <w:rsid w:val="00905BF6"/>
    <w:rsid w:val="00905D40"/>
    <w:rsid w:val="00905D87"/>
    <w:rsid w:val="00905E72"/>
    <w:rsid w:val="00905F27"/>
    <w:rsid w:val="00905FF3"/>
    <w:rsid w:val="009061FA"/>
    <w:rsid w:val="00906325"/>
    <w:rsid w:val="00906565"/>
    <w:rsid w:val="00906584"/>
    <w:rsid w:val="009066B5"/>
    <w:rsid w:val="009066F4"/>
    <w:rsid w:val="009067A0"/>
    <w:rsid w:val="009067B8"/>
    <w:rsid w:val="00906A15"/>
    <w:rsid w:val="00906B2D"/>
    <w:rsid w:val="00906C77"/>
    <w:rsid w:val="00906CF5"/>
    <w:rsid w:val="00906DD6"/>
    <w:rsid w:val="00906DEF"/>
    <w:rsid w:val="00906E50"/>
    <w:rsid w:val="00906E61"/>
    <w:rsid w:val="00906F03"/>
    <w:rsid w:val="00906F37"/>
    <w:rsid w:val="00906F3F"/>
    <w:rsid w:val="00906F73"/>
    <w:rsid w:val="00906F9B"/>
    <w:rsid w:val="00906FB6"/>
    <w:rsid w:val="0090703E"/>
    <w:rsid w:val="009074D0"/>
    <w:rsid w:val="00907654"/>
    <w:rsid w:val="009076A3"/>
    <w:rsid w:val="00907755"/>
    <w:rsid w:val="009079F4"/>
    <w:rsid w:val="00907B7E"/>
    <w:rsid w:val="00907C8D"/>
    <w:rsid w:val="00907DA7"/>
    <w:rsid w:val="00907E6B"/>
    <w:rsid w:val="00907E84"/>
    <w:rsid w:val="009100EB"/>
    <w:rsid w:val="00910275"/>
    <w:rsid w:val="0091046B"/>
    <w:rsid w:val="009106D8"/>
    <w:rsid w:val="00910713"/>
    <w:rsid w:val="00910763"/>
    <w:rsid w:val="00910B13"/>
    <w:rsid w:val="00910B30"/>
    <w:rsid w:val="00910C36"/>
    <w:rsid w:val="00910C62"/>
    <w:rsid w:val="00910E1D"/>
    <w:rsid w:val="00910E67"/>
    <w:rsid w:val="00911218"/>
    <w:rsid w:val="0091137B"/>
    <w:rsid w:val="009114F6"/>
    <w:rsid w:val="009116D8"/>
    <w:rsid w:val="0091185F"/>
    <w:rsid w:val="00911886"/>
    <w:rsid w:val="00911934"/>
    <w:rsid w:val="00911AD7"/>
    <w:rsid w:val="00911B86"/>
    <w:rsid w:val="00911C38"/>
    <w:rsid w:val="00911C48"/>
    <w:rsid w:val="00911C86"/>
    <w:rsid w:val="00911FBD"/>
    <w:rsid w:val="0091202F"/>
    <w:rsid w:val="0091233C"/>
    <w:rsid w:val="0091234E"/>
    <w:rsid w:val="0091240C"/>
    <w:rsid w:val="009125E8"/>
    <w:rsid w:val="0091260C"/>
    <w:rsid w:val="009127AC"/>
    <w:rsid w:val="009127E4"/>
    <w:rsid w:val="00912AAA"/>
    <w:rsid w:val="00912B00"/>
    <w:rsid w:val="00912BA3"/>
    <w:rsid w:val="00912CBB"/>
    <w:rsid w:val="00912ED0"/>
    <w:rsid w:val="0091302A"/>
    <w:rsid w:val="0091304B"/>
    <w:rsid w:val="00913151"/>
    <w:rsid w:val="00913324"/>
    <w:rsid w:val="00913459"/>
    <w:rsid w:val="009134AA"/>
    <w:rsid w:val="009135AE"/>
    <w:rsid w:val="0091367F"/>
    <w:rsid w:val="009137FE"/>
    <w:rsid w:val="009138D5"/>
    <w:rsid w:val="00913AB3"/>
    <w:rsid w:val="00913D22"/>
    <w:rsid w:val="00913D8E"/>
    <w:rsid w:val="00913F32"/>
    <w:rsid w:val="009140E2"/>
    <w:rsid w:val="00914340"/>
    <w:rsid w:val="00914439"/>
    <w:rsid w:val="0091448F"/>
    <w:rsid w:val="00914634"/>
    <w:rsid w:val="00914953"/>
    <w:rsid w:val="00914C75"/>
    <w:rsid w:val="00914DF0"/>
    <w:rsid w:val="00914E18"/>
    <w:rsid w:val="00914EA6"/>
    <w:rsid w:val="00914EAC"/>
    <w:rsid w:val="00914FCF"/>
    <w:rsid w:val="0091501E"/>
    <w:rsid w:val="00915052"/>
    <w:rsid w:val="00915059"/>
    <w:rsid w:val="0091507B"/>
    <w:rsid w:val="009151C2"/>
    <w:rsid w:val="00915304"/>
    <w:rsid w:val="00915385"/>
    <w:rsid w:val="0091547B"/>
    <w:rsid w:val="009155BD"/>
    <w:rsid w:val="009157BD"/>
    <w:rsid w:val="00915967"/>
    <w:rsid w:val="00915B22"/>
    <w:rsid w:val="00915B5C"/>
    <w:rsid w:val="00915C37"/>
    <w:rsid w:val="00915CEA"/>
    <w:rsid w:val="00915D56"/>
    <w:rsid w:val="00915D67"/>
    <w:rsid w:val="00916278"/>
    <w:rsid w:val="00916297"/>
    <w:rsid w:val="009162B6"/>
    <w:rsid w:val="0091631C"/>
    <w:rsid w:val="00916363"/>
    <w:rsid w:val="009164DD"/>
    <w:rsid w:val="009164F3"/>
    <w:rsid w:val="00916725"/>
    <w:rsid w:val="00916782"/>
    <w:rsid w:val="00916930"/>
    <w:rsid w:val="0091696E"/>
    <w:rsid w:val="00916A1F"/>
    <w:rsid w:val="00916AEA"/>
    <w:rsid w:val="00916B8F"/>
    <w:rsid w:val="0091711D"/>
    <w:rsid w:val="0091711F"/>
    <w:rsid w:val="00917182"/>
    <w:rsid w:val="0091726D"/>
    <w:rsid w:val="009173F7"/>
    <w:rsid w:val="0091748D"/>
    <w:rsid w:val="0091757C"/>
    <w:rsid w:val="009175D5"/>
    <w:rsid w:val="0091760D"/>
    <w:rsid w:val="00917613"/>
    <w:rsid w:val="00917618"/>
    <w:rsid w:val="0091761D"/>
    <w:rsid w:val="00917732"/>
    <w:rsid w:val="00917893"/>
    <w:rsid w:val="009178F2"/>
    <w:rsid w:val="009179F4"/>
    <w:rsid w:val="009179FB"/>
    <w:rsid w:val="00917A11"/>
    <w:rsid w:val="00917A3F"/>
    <w:rsid w:val="00917A42"/>
    <w:rsid w:val="00917ACE"/>
    <w:rsid w:val="00917B5D"/>
    <w:rsid w:val="00917CCA"/>
    <w:rsid w:val="00917DFD"/>
    <w:rsid w:val="00917E01"/>
    <w:rsid w:val="00917E86"/>
    <w:rsid w:val="00917F95"/>
    <w:rsid w:val="0092017F"/>
    <w:rsid w:val="009201CF"/>
    <w:rsid w:val="00920263"/>
    <w:rsid w:val="00920344"/>
    <w:rsid w:val="009204CF"/>
    <w:rsid w:val="009205A6"/>
    <w:rsid w:val="00920695"/>
    <w:rsid w:val="009208B4"/>
    <w:rsid w:val="00920C1A"/>
    <w:rsid w:val="00920E84"/>
    <w:rsid w:val="00920EA7"/>
    <w:rsid w:val="00920ED9"/>
    <w:rsid w:val="00921121"/>
    <w:rsid w:val="00921131"/>
    <w:rsid w:val="009212E7"/>
    <w:rsid w:val="009213A5"/>
    <w:rsid w:val="00921404"/>
    <w:rsid w:val="0092146E"/>
    <w:rsid w:val="00921482"/>
    <w:rsid w:val="009214A0"/>
    <w:rsid w:val="009217B8"/>
    <w:rsid w:val="00921831"/>
    <w:rsid w:val="0092196A"/>
    <w:rsid w:val="00921987"/>
    <w:rsid w:val="009219A9"/>
    <w:rsid w:val="009219AA"/>
    <w:rsid w:val="00921AF1"/>
    <w:rsid w:val="00921BE2"/>
    <w:rsid w:val="00921C47"/>
    <w:rsid w:val="00921C5A"/>
    <w:rsid w:val="00921D9F"/>
    <w:rsid w:val="00921DA1"/>
    <w:rsid w:val="00922159"/>
    <w:rsid w:val="009221E8"/>
    <w:rsid w:val="009222BD"/>
    <w:rsid w:val="0092231D"/>
    <w:rsid w:val="00922340"/>
    <w:rsid w:val="00922382"/>
    <w:rsid w:val="009223CF"/>
    <w:rsid w:val="009224C9"/>
    <w:rsid w:val="00922725"/>
    <w:rsid w:val="009227DC"/>
    <w:rsid w:val="00922A9D"/>
    <w:rsid w:val="00922BE9"/>
    <w:rsid w:val="00922D9E"/>
    <w:rsid w:val="00922E18"/>
    <w:rsid w:val="00922F69"/>
    <w:rsid w:val="00922F8A"/>
    <w:rsid w:val="00923192"/>
    <w:rsid w:val="009231ED"/>
    <w:rsid w:val="0092322F"/>
    <w:rsid w:val="009233F2"/>
    <w:rsid w:val="009238A3"/>
    <w:rsid w:val="009238BD"/>
    <w:rsid w:val="009238CC"/>
    <w:rsid w:val="00923AD2"/>
    <w:rsid w:val="00923B20"/>
    <w:rsid w:val="00923BB3"/>
    <w:rsid w:val="00923BDE"/>
    <w:rsid w:val="00923DDE"/>
    <w:rsid w:val="00923EC1"/>
    <w:rsid w:val="00923EDF"/>
    <w:rsid w:val="00924150"/>
    <w:rsid w:val="009241DA"/>
    <w:rsid w:val="0092428A"/>
    <w:rsid w:val="00924678"/>
    <w:rsid w:val="0092482E"/>
    <w:rsid w:val="00924B60"/>
    <w:rsid w:val="00924CB8"/>
    <w:rsid w:val="00924D70"/>
    <w:rsid w:val="009250D4"/>
    <w:rsid w:val="00925210"/>
    <w:rsid w:val="00925217"/>
    <w:rsid w:val="0092543D"/>
    <w:rsid w:val="0092553C"/>
    <w:rsid w:val="0092561B"/>
    <w:rsid w:val="00925736"/>
    <w:rsid w:val="00925976"/>
    <w:rsid w:val="009259DE"/>
    <w:rsid w:val="009259FF"/>
    <w:rsid w:val="00925A3A"/>
    <w:rsid w:val="00925BDF"/>
    <w:rsid w:val="00925BE5"/>
    <w:rsid w:val="00925C5F"/>
    <w:rsid w:val="00925C6A"/>
    <w:rsid w:val="00925C97"/>
    <w:rsid w:val="00925CBE"/>
    <w:rsid w:val="00925E45"/>
    <w:rsid w:val="0092606B"/>
    <w:rsid w:val="009260F7"/>
    <w:rsid w:val="0092611A"/>
    <w:rsid w:val="0092613D"/>
    <w:rsid w:val="009262DB"/>
    <w:rsid w:val="0092654B"/>
    <w:rsid w:val="00926858"/>
    <w:rsid w:val="00926859"/>
    <w:rsid w:val="00926994"/>
    <w:rsid w:val="00926B6D"/>
    <w:rsid w:val="00926C32"/>
    <w:rsid w:val="00926C84"/>
    <w:rsid w:val="00926EFC"/>
    <w:rsid w:val="009270C2"/>
    <w:rsid w:val="009270F3"/>
    <w:rsid w:val="0092721F"/>
    <w:rsid w:val="0092728C"/>
    <w:rsid w:val="009272A4"/>
    <w:rsid w:val="0092737C"/>
    <w:rsid w:val="009273FD"/>
    <w:rsid w:val="00927415"/>
    <w:rsid w:val="00927535"/>
    <w:rsid w:val="00927544"/>
    <w:rsid w:val="009275D2"/>
    <w:rsid w:val="00927647"/>
    <w:rsid w:val="0092774B"/>
    <w:rsid w:val="00927989"/>
    <w:rsid w:val="00927A3A"/>
    <w:rsid w:val="00927DB2"/>
    <w:rsid w:val="009300F8"/>
    <w:rsid w:val="009300FB"/>
    <w:rsid w:val="00930225"/>
    <w:rsid w:val="0093024A"/>
    <w:rsid w:val="0093040B"/>
    <w:rsid w:val="0093042C"/>
    <w:rsid w:val="0093059A"/>
    <w:rsid w:val="00930635"/>
    <w:rsid w:val="00930834"/>
    <w:rsid w:val="009308A0"/>
    <w:rsid w:val="009309CC"/>
    <w:rsid w:val="00930AB4"/>
    <w:rsid w:val="00930AE9"/>
    <w:rsid w:val="00930B53"/>
    <w:rsid w:val="00930BA3"/>
    <w:rsid w:val="00930C7F"/>
    <w:rsid w:val="00930CBB"/>
    <w:rsid w:val="00930D06"/>
    <w:rsid w:val="00930D65"/>
    <w:rsid w:val="00930D72"/>
    <w:rsid w:val="00930E7E"/>
    <w:rsid w:val="00930F53"/>
    <w:rsid w:val="0093103C"/>
    <w:rsid w:val="0093157A"/>
    <w:rsid w:val="00931780"/>
    <w:rsid w:val="009318A7"/>
    <w:rsid w:val="0093197B"/>
    <w:rsid w:val="009319C4"/>
    <w:rsid w:val="00931B87"/>
    <w:rsid w:val="00931BAB"/>
    <w:rsid w:val="00931DC8"/>
    <w:rsid w:val="00931DDF"/>
    <w:rsid w:val="00931E1B"/>
    <w:rsid w:val="00931E87"/>
    <w:rsid w:val="00931EBE"/>
    <w:rsid w:val="00932412"/>
    <w:rsid w:val="009324BB"/>
    <w:rsid w:val="00932786"/>
    <w:rsid w:val="009327F3"/>
    <w:rsid w:val="00932A70"/>
    <w:rsid w:val="00932CCD"/>
    <w:rsid w:val="00932D2A"/>
    <w:rsid w:val="00932DE9"/>
    <w:rsid w:val="00932F3C"/>
    <w:rsid w:val="00932F5C"/>
    <w:rsid w:val="00932FA0"/>
    <w:rsid w:val="00933090"/>
    <w:rsid w:val="00933368"/>
    <w:rsid w:val="009333E2"/>
    <w:rsid w:val="00933465"/>
    <w:rsid w:val="0093357C"/>
    <w:rsid w:val="009335D7"/>
    <w:rsid w:val="009336B3"/>
    <w:rsid w:val="009337B8"/>
    <w:rsid w:val="00933A1A"/>
    <w:rsid w:val="00933A43"/>
    <w:rsid w:val="00933C0E"/>
    <w:rsid w:val="00933C3D"/>
    <w:rsid w:val="00933DCF"/>
    <w:rsid w:val="0093433F"/>
    <w:rsid w:val="00934390"/>
    <w:rsid w:val="0093451A"/>
    <w:rsid w:val="00934587"/>
    <w:rsid w:val="009346D8"/>
    <w:rsid w:val="009348C3"/>
    <w:rsid w:val="00934B7D"/>
    <w:rsid w:val="00934C8C"/>
    <w:rsid w:val="00934FD4"/>
    <w:rsid w:val="0093521B"/>
    <w:rsid w:val="00935254"/>
    <w:rsid w:val="0093541D"/>
    <w:rsid w:val="009356E6"/>
    <w:rsid w:val="00935779"/>
    <w:rsid w:val="00935AB9"/>
    <w:rsid w:val="00935B06"/>
    <w:rsid w:val="00935BD9"/>
    <w:rsid w:val="00935CA5"/>
    <w:rsid w:val="00935D73"/>
    <w:rsid w:val="00935E0F"/>
    <w:rsid w:val="00935E19"/>
    <w:rsid w:val="00935EC0"/>
    <w:rsid w:val="00935F64"/>
    <w:rsid w:val="00935FF0"/>
    <w:rsid w:val="00936093"/>
    <w:rsid w:val="009361A6"/>
    <w:rsid w:val="009362B8"/>
    <w:rsid w:val="0093636B"/>
    <w:rsid w:val="0093648F"/>
    <w:rsid w:val="009364AC"/>
    <w:rsid w:val="00936576"/>
    <w:rsid w:val="0093657F"/>
    <w:rsid w:val="009367DC"/>
    <w:rsid w:val="00936ADF"/>
    <w:rsid w:val="00936B1A"/>
    <w:rsid w:val="00936B83"/>
    <w:rsid w:val="00936E51"/>
    <w:rsid w:val="00936E8D"/>
    <w:rsid w:val="00936F58"/>
    <w:rsid w:val="00936F6D"/>
    <w:rsid w:val="00937079"/>
    <w:rsid w:val="009370CE"/>
    <w:rsid w:val="00937530"/>
    <w:rsid w:val="00937551"/>
    <w:rsid w:val="00937597"/>
    <w:rsid w:val="00937720"/>
    <w:rsid w:val="00937851"/>
    <w:rsid w:val="00937893"/>
    <w:rsid w:val="009378F2"/>
    <w:rsid w:val="009379ED"/>
    <w:rsid w:val="00937A7C"/>
    <w:rsid w:val="00937B57"/>
    <w:rsid w:val="00937D91"/>
    <w:rsid w:val="00937EE0"/>
    <w:rsid w:val="00937F32"/>
    <w:rsid w:val="00937FA7"/>
    <w:rsid w:val="00937FE3"/>
    <w:rsid w:val="009403E4"/>
    <w:rsid w:val="0094063F"/>
    <w:rsid w:val="0094075F"/>
    <w:rsid w:val="0094090B"/>
    <w:rsid w:val="00940A7C"/>
    <w:rsid w:val="00940AEE"/>
    <w:rsid w:val="00940B7E"/>
    <w:rsid w:val="00940EB1"/>
    <w:rsid w:val="00940F76"/>
    <w:rsid w:val="00940FFC"/>
    <w:rsid w:val="0094103A"/>
    <w:rsid w:val="00941094"/>
    <w:rsid w:val="00941119"/>
    <w:rsid w:val="009411A3"/>
    <w:rsid w:val="009411C6"/>
    <w:rsid w:val="0094146A"/>
    <w:rsid w:val="00941496"/>
    <w:rsid w:val="0094158F"/>
    <w:rsid w:val="0094166A"/>
    <w:rsid w:val="009417ED"/>
    <w:rsid w:val="00941AD7"/>
    <w:rsid w:val="00941B7D"/>
    <w:rsid w:val="00941C5A"/>
    <w:rsid w:val="00941C8C"/>
    <w:rsid w:val="00941D43"/>
    <w:rsid w:val="00941E2F"/>
    <w:rsid w:val="00941F08"/>
    <w:rsid w:val="00942049"/>
    <w:rsid w:val="0094204C"/>
    <w:rsid w:val="00942104"/>
    <w:rsid w:val="00942148"/>
    <w:rsid w:val="009421DC"/>
    <w:rsid w:val="00942239"/>
    <w:rsid w:val="0094241A"/>
    <w:rsid w:val="00942455"/>
    <w:rsid w:val="0094258C"/>
    <w:rsid w:val="0094263E"/>
    <w:rsid w:val="009426A2"/>
    <w:rsid w:val="00942710"/>
    <w:rsid w:val="00942821"/>
    <w:rsid w:val="00942B1A"/>
    <w:rsid w:val="00942C78"/>
    <w:rsid w:val="00943244"/>
    <w:rsid w:val="00943248"/>
    <w:rsid w:val="009432E2"/>
    <w:rsid w:val="009433D7"/>
    <w:rsid w:val="00943484"/>
    <w:rsid w:val="00943888"/>
    <w:rsid w:val="00943965"/>
    <w:rsid w:val="00943A79"/>
    <w:rsid w:val="00943BBC"/>
    <w:rsid w:val="00943CC9"/>
    <w:rsid w:val="00943CCE"/>
    <w:rsid w:val="00943D53"/>
    <w:rsid w:val="00944133"/>
    <w:rsid w:val="0094444B"/>
    <w:rsid w:val="00944517"/>
    <w:rsid w:val="0094459F"/>
    <w:rsid w:val="009445E1"/>
    <w:rsid w:val="00944725"/>
    <w:rsid w:val="0094485B"/>
    <w:rsid w:val="009449A5"/>
    <w:rsid w:val="009449D1"/>
    <w:rsid w:val="00944A6C"/>
    <w:rsid w:val="00944B02"/>
    <w:rsid w:val="00944C3B"/>
    <w:rsid w:val="00944C85"/>
    <w:rsid w:val="00944EAE"/>
    <w:rsid w:val="009452A9"/>
    <w:rsid w:val="0094532C"/>
    <w:rsid w:val="0094533D"/>
    <w:rsid w:val="00945353"/>
    <w:rsid w:val="009453BF"/>
    <w:rsid w:val="00945447"/>
    <w:rsid w:val="00945488"/>
    <w:rsid w:val="009454CB"/>
    <w:rsid w:val="009454FA"/>
    <w:rsid w:val="00945892"/>
    <w:rsid w:val="009459CF"/>
    <w:rsid w:val="009459D4"/>
    <w:rsid w:val="00945A66"/>
    <w:rsid w:val="00945A7F"/>
    <w:rsid w:val="00945C03"/>
    <w:rsid w:val="00945C4E"/>
    <w:rsid w:val="00945DA3"/>
    <w:rsid w:val="00945DB1"/>
    <w:rsid w:val="00946027"/>
    <w:rsid w:val="00946093"/>
    <w:rsid w:val="009460ED"/>
    <w:rsid w:val="009461F2"/>
    <w:rsid w:val="009463C5"/>
    <w:rsid w:val="009464FB"/>
    <w:rsid w:val="009465B4"/>
    <w:rsid w:val="009465F4"/>
    <w:rsid w:val="0094665E"/>
    <w:rsid w:val="00946826"/>
    <w:rsid w:val="0094688C"/>
    <w:rsid w:val="009469FC"/>
    <w:rsid w:val="00946B8A"/>
    <w:rsid w:val="00946C3B"/>
    <w:rsid w:val="00946EB2"/>
    <w:rsid w:val="00946F78"/>
    <w:rsid w:val="00946F8D"/>
    <w:rsid w:val="0094706E"/>
    <w:rsid w:val="00947276"/>
    <w:rsid w:val="009473DF"/>
    <w:rsid w:val="00947469"/>
    <w:rsid w:val="009474F3"/>
    <w:rsid w:val="0094764F"/>
    <w:rsid w:val="009476BA"/>
    <w:rsid w:val="0094775E"/>
    <w:rsid w:val="009479ED"/>
    <w:rsid w:val="00947B68"/>
    <w:rsid w:val="00947C97"/>
    <w:rsid w:val="00947D5A"/>
    <w:rsid w:val="00947DE4"/>
    <w:rsid w:val="00947F36"/>
    <w:rsid w:val="00947F76"/>
    <w:rsid w:val="0095015A"/>
    <w:rsid w:val="00950271"/>
    <w:rsid w:val="009502B7"/>
    <w:rsid w:val="009503B6"/>
    <w:rsid w:val="00950439"/>
    <w:rsid w:val="00950598"/>
    <w:rsid w:val="00950784"/>
    <w:rsid w:val="0095096C"/>
    <w:rsid w:val="009509B9"/>
    <w:rsid w:val="00950A37"/>
    <w:rsid w:val="00950D99"/>
    <w:rsid w:val="00950E03"/>
    <w:rsid w:val="00950EAE"/>
    <w:rsid w:val="00950EB2"/>
    <w:rsid w:val="0095108E"/>
    <w:rsid w:val="0095114D"/>
    <w:rsid w:val="00951227"/>
    <w:rsid w:val="009513A6"/>
    <w:rsid w:val="0095167E"/>
    <w:rsid w:val="009516BE"/>
    <w:rsid w:val="00951714"/>
    <w:rsid w:val="00951937"/>
    <w:rsid w:val="0095196D"/>
    <w:rsid w:val="00951A57"/>
    <w:rsid w:val="00951AAA"/>
    <w:rsid w:val="00951F0B"/>
    <w:rsid w:val="00952163"/>
    <w:rsid w:val="0095233A"/>
    <w:rsid w:val="009524CE"/>
    <w:rsid w:val="0095257E"/>
    <w:rsid w:val="0095268A"/>
    <w:rsid w:val="00952883"/>
    <w:rsid w:val="009528E5"/>
    <w:rsid w:val="009529F0"/>
    <w:rsid w:val="00952B2B"/>
    <w:rsid w:val="00952BC5"/>
    <w:rsid w:val="00952BFC"/>
    <w:rsid w:val="00952D90"/>
    <w:rsid w:val="009531A0"/>
    <w:rsid w:val="009531C3"/>
    <w:rsid w:val="009534C2"/>
    <w:rsid w:val="00953552"/>
    <w:rsid w:val="009537FE"/>
    <w:rsid w:val="009539B8"/>
    <w:rsid w:val="00953AE2"/>
    <w:rsid w:val="00953C08"/>
    <w:rsid w:val="00953C18"/>
    <w:rsid w:val="00953DC3"/>
    <w:rsid w:val="00953E20"/>
    <w:rsid w:val="0095402A"/>
    <w:rsid w:val="0095420A"/>
    <w:rsid w:val="0095447D"/>
    <w:rsid w:val="00954578"/>
    <w:rsid w:val="009545DA"/>
    <w:rsid w:val="0095461C"/>
    <w:rsid w:val="009547DB"/>
    <w:rsid w:val="009547FD"/>
    <w:rsid w:val="0095484D"/>
    <w:rsid w:val="00954892"/>
    <w:rsid w:val="00954A69"/>
    <w:rsid w:val="00954AE4"/>
    <w:rsid w:val="00954D5B"/>
    <w:rsid w:val="00954E04"/>
    <w:rsid w:val="00954E3F"/>
    <w:rsid w:val="00954F9D"/>
    <w:rsid w:val="00954FB2"/>
    <w:rsid w:val="0095513C"/>
    <w:rsid w:val="00955254"/>
    <w:rsid w:val="009553FE"/>
    <w:rsid w:val="009553FF"/>
    <w:rsid w:val="00955403"/>
    <w:rsid w:val="009556A2"/>
    <w:rsid w:val="00955789"/>
    <w:rsid w:val="009558BF"/>
    <w:rsid w:val="009558EE"/>
    <w:rsid w:val="0095592C"/>
    <w:rsid w:val="00955931"/>
    <w:rsid w:val="00955A10"/>
    <w:rsid w:val="00955B21"/>
    <w:rsid w:val="00955B74"/>
    <w:rsid w:val="00955BD6"/>
    <w:rsid w:val="00955D50"/>
    <w:rsid w:val="00955E29"/>
    <w:rsid w:val="00955E6B"/>
    <w:rsid w:val="00955F5A"/>
    <w:rsid w:val="00955F85"/>
    <w:rsid w:val="00955FA9"/>
    <w:rsid w:val="00955FAF"/>
    <w:rsid w:val="009560A4"/>
    <w:rsid w:val="009560BA"/>
    <w:rsid w:val="0095622A"/>
    <w:rsid w:val="009562AD"/>
    <w:rsid w:val="009562E0"/>
    <w:rsid w:val="0095635F"/>
    <w:rsid w:val="0095637E"/>
    <w:rsid w:val="009563C4"/>
    <w:rsid w:val="0095651C"/>
    <w:rsid w:val="00956743"/>
    <w:rsid w:val="009567D8"/>
    <w:rsid w:val="00956863"/>
    <w:rsid w:val="00956B30"/>
    <w:rsid w:val="00956BFE"/>
    <w:rsid w:val="00956C91"/>
    <w:rsid w:val="00956C99"/>
    <w:rsid w:val="00956CDD"/>
    <w:rsid w:val="00956D4A"/>
    <w:rsid w:val="00956DCC"/>
    <w:rsid w:val="00956EC0"/>
    <w:rsid w:val="009571BF"/>
    <w:rsid w:val="009573BE"/>
    <w:rsid w:val="0095748F"/>
    <w:rsid w:val="00957617"/>
    <w:rsid w:val="00957727"/>
    <w:rsid w:val="00957841"/>
    <w:rsid w:val="00957A4A"/>
    <w:rsid w:val="00957A57"/>
    <w:rsid w:val="00957C78"/>
    <w:rsid w:val="00957C90"/>
    <w:rsid w:val="00957CDB"/>
    <w:rsid w:val="00957D5B"/>
    <w:rsid w:val="00957E12"/>
    <w:rsid w:val="00957FB1"/>
    <w:rsid w:val="00957FEE"/>
    <w:rsid w:val="00960032"/>
    <w:rsid w:val="00960047"/>
    <w:rsid w:val="00960137"/>
    <w:rsid w:val="00960264"/>
    <w:rsid w:val="0096026E"/>
    <w:rsid w:val="009602A8"/>
    <w:rsid w:val="009602D9"/>
    <w:rsid w:val="0096074B"/>
    <w:rsid w:val="0096076D"/>
    <w:rsid w:val="009607B5"/>
    <w:rsid w:val="009609C4"/>
    <w:rsid w:val="009609CB"/>
    <w:rsid w:val="00960A36"/>
    <w:rsid w:val="00960AED"/>
    <w:rsid w:val="00960B09"/>
    <w:rsid w:val="00960CA8"/>
    <w:rsid w:val="00960CC9"/>
    <w:rsid w:val="00960F5B"/>
    <w:rsid w:val="00961035"/>
    <w:rsid w:val="009612AC"/>
    <w:rsid w:val="0096130A"/>
    <w:rsid w:val="00961468"/>
    <w:rsid w:val="009615CD"/>
    <w:rsid w:val="00961696"/>
    <w:rsid w:val="009617A3"/>
    <w:rsid w:val="009617F0"/>
    <w:rsid w:val="00961895"/>
    <w:rsid w:val="00961D4C"/>
    <w:rsid w:val="00961EE4"/>
    <w:rsid w:val="009620F8"/>
    <w:rsid w:val="009621EB"/>
    <w:rsid w:val="009621FE"/>
    <w:rsid w:val="009622BE"/>
    <w:rsid w:val="00962341"/>
    <w:rsid w:val="009625D1"/>
    <w:rsid w:val="0096276A"/>
    <w:rsid w:val="00962809"/>
    <w:rsid w:val="009628E9"/>
    <w:rsid w:val="00962ACB"/>
    <w:rsid w:val="00962AEB"/>
    <w:rsid w:val="00962B30"/>
    <w:rsid w:val="00962B5A"/>
    <w:rsid w:val="00962BC6"/>
    <w:rsid w:val="00962C4D"/>
    <w:rsid w:val="00962C6C"/>
    <w:rsid w:val="00962E12"/>
    <w:rsid w:val="00963073"/>
    <w:rsid w:val="00963324"/>
    <w:rsid w:val="00963369"/>
    <w:rsid w:val="00963516"/>
    <w:rsid w:val="0096360A"/>
    <w:rsid w:val="00963783"/>
    <w:rsid w:val="0096381B"/>
    <w:rsid w:val="0096392C"/>
    <w:rsid w:val="00963946"/>
    <w:rsid w:val="00963987"/>
    <w:rsid w:val="00963B63"/>
    <w:rsid w:val="00963BB6"/>
    <w:rsid w:val="00963D47"/>
    <w:rsid w:val="00963E7B"/>
    <w:rsid w:val="00963F7C"/>
    <w:rsid w:val="00963FB3"/>
    <w:rsid w:val="00964115"/>
    <w:rsid w:val="0096439A"/>
    <w:rsid w:val="0096446D"/>
    <w:rsid w:val="00964756"/>
    <w:rsid w:val="00964805"/>
    <w:rsid w:val="009648FB"/>
    <w:rsid w:val="00964961"/>
    <w:rsid w:val="00964AB7"/>
    <w:rsid w:val="00964B64"/>
    <w:rsid w:val="00964D6B"/>
    <w:rsid w:val="00965092"/>
    <w:rsid w:val="0096509D"/>
    <w:rsid w:val="00965109"/>
    <w:rsid w:val="00965178"/>
    <w:rsid w:val="009651E1"/>
    <w:rsid w:val="00965300"/>
    <w:rsid w:val="00965486"/>
    <w:rsid w:val="009654C3"/>
    <w:rsid w:val="0096554B"/>
    <w:rsid w:val="00965575"/>
    <w:rsid w:val="009656E7"/>
    <w:rsid w:val="009657BB"/>
    <w:rsid w:val="0096593B"/>
    <w:rsid w:val="00965E82"/>
    <w:rsid w:val="00966088"/>
    <w:rsid w:val="0096628F"/>
    <w:rsid w:val="0096664C"/>
    <w:rsid w:val="0096667E"/>
    <w:rsid w:val="00966A31"/>
    <w:rsid w:val="00966C5E"/>
    <w:rsid w:val="00966D0A"/>
    <w:rsid w:val="00966D33"/>
    <w:rsid w:val="00966D4C"/>
    <w:rsid w:val="00966E82"/>
    <w:rsid w:val="00966EB0"/>
    <w:rsid w:val="00966F82"/>
    <w:rsid w:val="00966FCE"/>
    <w:rsid w:val="00967106"/>
    <w:rsid w:val="009671D4"/>
    <w:rsid w:val="0096732B"/>
    <w:rsid w:val="00967363"/>
    <w:rsid w:val="009674DC"/>
    <w:rsid w:val="00967525"/>
    <w:rsid w:val="00967545"/>
    <w:rsid w:val="00967579"/>
    <w:rsid w:val="00967680"/>
    <w:rsid w:val="0096768A"/>
    <w:rsid w:val="00967806"/>
    <w:rsid w:val="00967819"/>
    <w:rsid w:val="00967900"/>
    <w:rsid w:val="009679D7"/>
    <w:rsid w:val="00967B68"/>
    <w:rsid w:val="00967F12"/>
    <w:rsid w:val="00967FF2"/>
    <w:rsid w:val="00970337"/>
    <w:rsid w:val="00970430"/>
    <w:rsid w:val="00970524"/>
    <w:rsid w:val="009705A5"/>
    <w:rsid w:val="0097060D"/>
    <w:rsid w:val="00970647"/>
    <w:rsid w:val="00970825"/>
    <w:rsid w:val="00970865"/>
    <w:rsid w:val="0097096F"/>
    <w:rsid w:val="0097099F"/>
    <w:rsid w:val="00970A11"/>
    <w:rsid w:val="00970A4E"/>
    <w:rsid w:val="00970C4E"/>
    <w:rsid w:val="00970C9D"/>
    <w:rsid w:val="00970CFA"/>
    <w:rsid w:val="00970D12"/>
    <w:rsid w:val="00970FAF"/>
    <w:rsid w:val="0097101A"/>
    <w:rsid w:val="009710AC"/>
    <w:rsid w:val="00971173"/>
    <w:rsid w:val="0097122C"/>
    <w:rsid w:val="0097128D"/>
    <w:rsid w:val="0097128E"/>
    <w:rsid w:val="009712B7"/>
    <w:rsid w:val="00971343"/>
    <w:rsid w:val="009713A0"/>
    <w:rsid w:val="00971421"/>
    <w:rsid w:val="009714F6"/>
    <w:rsid w:val="00971542"/>
    <w:rsid w:val="009715ED"/>
    <w:rsid w:val="009718C7"/>
    <w:rsid w:val="00971951"/>
    <w:rsid w:val="00971ABC"/>
    <w:rsid w:val="00971AF5"/>
    <w:rsid w:val="00971CF9"/>
    <w:rsid w:val="00971E1D"/>
    <w:rsid w:val="00971F7F"/>
    <w:rsid w:val="00971F88"/>
    <w:rsid w:val="00971FD7"/>
    <w:rsid w:val="009721A9"/>
    <w:rsid w:val="009721AD"/>
    <w:rsid w:val="0097226F"/>
    <w:rsid w:val="0097229D"/>
    <w:rsid w:val="009722BE"/>
    <w:rsid w:val="00972372"/>
    <w:rsid w:val="009724BD"/>
    <w:rsid w:val="00972597"/>
    <w:rsid w:val="00972600"/>
    <w:rsid w:val="009727AF"/>
    <w:rsid w:val="009728D1"/>
    <w:rsid w:val="009728D4"/>
    <w:rsid w:val="0097292E"/>
    <w:rsid w:val="00972A21"/>
    <w:rsid w:val="00972A35"/>
    <w:rsid w:val="00972ADE"/>
    <w:rsid w:val="00972BD0"/>
    <w:rsid w:val="00972F0C"/>
    <w:rsid w:val="009730A5"/>
    <w:rsid w:val="009730D7"/>
    <w:rsid w:val="00973144"/>
    <w:rsid w:val="00973227"/>
    <w:rsid w:val="009732BF"/>
    <w:rsid w:val="009732C7"/>
    <w:rsid w:val="009732FF"/>
    <w:rsid w:val="009734DC"/>
    <w:rsid w:val="0097371E"/>
    <w:rsid w:val="0097383A"/>
    <w:rsid w:val="00973861"/>
    <w:rsid w:val="009738EA"/>
    <w:rsid w:val="00973907"/>
    <w:rsid w:val="00973D10"/>
    <w:rsid w:val="00973E19"/>
    <w:rsid w:val="00973F2E"/>
    <w:rsid w:val="00973F87"/>
    <w:rsid w:val="00973FE8"/>
    <w:rsid w:val="009741DE"/>
    <w:rsid w:val="009744C5"/>
    <w:rsid w:val="00974582"/>
    <w:rsid w:val="00974A25"/>
    <w:rsid w:val="00974AA0"/>
    <w:rsid w:val="00974AE2"/>
    <w:rsid w:val="00974BAD"/>
    <w:rsid w:val="00974D11"/>
    <w:rsid w:val="00974F6C"/>
    <w:rsid w:val="00975246"/>
    <w:rsid w:val="009752D1"/>
    <w:rsid w:val="009752E3"/>
    <w:rsid w:val="009753FD"/>
    <w:rsid w:val="0097540B"/>
    <w:rsid w:val="0097542C"/>
    <w:rsid w:val="00975718"/>
    <w:rsid w:val="00975720"/>
    <w:rsid w:val="0097575D"/>
    <w:rsid w:val="0097579E"/>
    <w:rsid w:val="00975873"/>
    <w:rsid w:val="009758A5"/>
    <w:rsid w:val="00975A98"/>
    <w:rsid w:val="00975B2C"/>
    <w:rsid w:val="00975B80"/>
    <w:rsid w:val="00975DEE"/>
    <w:rsid w:val="00975E86"/>
    <w:rsid w:val="00975EBD"/>
    <w:rsid w:val="00975FC5"/>
    <w:rsid w:val="009760D9"/>
    <w:rsid w:val="00976106"/>
    <w:rsid w:val="00976240"/>
    <w:rsid w:val="009762DD"/>
    <w:rsid w:val="0097639B"/>
    <w:rsid w:val="009764D1"/>
    <w:rsid w:val="009765EE"/>
    <w:rsid w:val="0097663C"/>
    <w:rsid w:val="00976640"/>
    <w:rsid w:val="00976A6C"/>
    <w:rsid w:val="00976C6D"/>
    <w:rsid w:val="00976C7E"/>
    <w:rsid w:val="00976CDB"/>
    <w:rsid w:val="00976F53"/>
    <w:rsid w:val="00977075"/>
    <w:rsid w:val="00977174"/>
    <w:rsid w:val="0097725A"/>
    <w:rsid w:val="0097727B"/>
    <w:rsid w:val="009775C2"/>
    <w:rsid w:val="009776C7"/>
    <w:rsid w:val="00977706"/>
    <w:rsid w:val="00977766"/>
    <w:rsid w:val="00977866"/>
    <w:rsid w:val="009779BD"/>
    <w:rsid w:val="00977A89"/>
    <w:rsid w:val="00977B76"/>
    <w:rsid w:val="00977B7E"/>
    <w:rsid w:val="00977D7C"/>
    <w:rsid w:val="00977E64"/>
    <w:rsid w:val="00977E6E"/>
    <w:rsid w:val="0098003B"/>
    <w:rsid w:val="0098008C"/>
    <w:rsid w:val="00980113"/>
    <w:rsid w:val="009802A5"/>
    <w:rsid w:val="009804CC"/>
    <w:rsid w:val="00980619"/>
    <w:rsid w:val="009806E6"/>
    <w:rsid w:val="00980763"/>
    <w:rsid w:val="00980B3B"/>
    <w:rsid w:val="00980B88"/>
    <w:rsid w:val="00980BF2"/>
    <w:rsid w:val="00980D9F"/>
    <w:rsid w:val="00980DF7"/>
    <w:rsid w:val="00980F9F"/>
    <w:rsid w:val="00980FB6"/>
    <w:rsid w:val="00981122"/>
    <w:rsid w:val="0098136B"/>
    <w:rsid w:val="009813A8"/>
    <w:rsid w:val="009814C6"/>
    <w:rsid w:val="009816E5"/>
    <w:rsid w:val="00981A42"/>
    <w:rsid w:val="00981AFE"/>
    <w:rsid w:val="0098204D"/>
    <w:rsid w:val="009820B3"/>
    <w:rsid w:val="00982202"/>
    <w:rsid w:val="009824E5"/>
    <w:rsid w:val="009825C0"/>
    <w:rsid w:val="0098268F"/>
    <w:rsid w:val="009828B6"/>
    <w:rsid w:val="00982969"/>
    <w:rsid w:val="009829DC"/>
    <w:rsid w:val="00982E6A"/>
    <w:rsid w:val="00982EE7"/>
    <w:rsid w:val="00982EEB"/>
    <w:rsid w:val="0098313F"/>
    <w:rsid w:val="00983184"/>
    <w:rsid w:val="00983261"/>
    <w:rsid w:val="0098329A"/>
    <w:rsid w:val="009833B7"/>
    <w:rsid w:val="009833BA"/>
    <w:rsid w:val="0098350D"/>
    <w:rsid w:val="009836B5"/>
    <w:rsid w:val="00983899"/>
    <w:rsid w:val="009839D6"/>
    <w:rsid w:val="00983C5D"/>
    <w:rsid w:val="00983CAC"/>
    <w:rsid w:val="00983CAD"/>
    <w:rsid w:val="00983D68"/>
    <w:rsid w:val="00983D81"/>
    <w:rsid w:val="00983E21"/>
    <w:rsid w:val="00983E51"/>
    <w:rsid w:val="00983F16"/>
    <w:rsid w:val="0098419C"/>
    <w:rsid w:val="009843B3"/>
    <w:rsid w:val="009843F4"/>
    <w:rsid w:val="0098440B"/>
    <w:rsid w:val="00984419"/>
    <w:rsid w:val="00984674"/>
    <w:rsid w:val="009847E3"/>
    <w:rsid w:val="009848DF"/>
    <w:rsid w:val="00984B0E"/>
    <w:rsid w:val="00984B1E"/>
    <w:rsid w:val="00984BF9"/>
    <w:rsid w:val="00984C00"/>
    <w:rsid w:val="0098507E"/>
    <w:rsid w:val="0098509B"/>
    <w:rsid w:val="0098529D"/>
    <w:rsid w:val="00985302"/>
    <w:rsid w:val="009853EB"/>
    <w:rsid w:val="00985421"/>
    <w:rsid w:val="00985430"/>
    <w:rsid w:val="009856D7"/>
    <w:rsid w:val="009857C3"/>
    <w:rsid w:val="009857F7"/>
    <w:rsid w:val="00985D17"/>
    <w:rsid w:val="00985DA5"/>
    <w:rsid w:val="00985E31"/>
    <w:rsid w:val="00985FD2"/>
    <w:rsid w:val="0098619E"/>
    <w:rsid w:val="009861F1"/>
    <w:rsid w:val="0098627B"/>
    <w:rsid w:val="00986711"/>
    <w:rsid w:val="009867B2"/>
    <w:rsid w:val="00986AD2"/>
    <w:rsid w:val="00986B50"/>
    <w:rsid w:val="00986D78"/>
    <w:rsid w:val="00986E2D"/>
    <w:rsid w:val="00986F46"/>
    <w:rsid w:val="00986FB9"/>
    <w:rsid w:val="009870A5"/>
    <w:rsid w:val="009870FE"/>
    <w:rsid w:val="009872BA"/>
    <w:rsid w:val="0098735D"/>
    <w:rsid w:val="00987413"/>
    <w:rsid w:val="009874C8"/>
    <w:rsid w:val="00987584"/>
    <w:rsid w:val="00987593"/>
    <w:rsid w:val="009876B6"/>
    <w:rsid w:val="00987745"/>
    <w:rsid w:val="00987855"/>
    <w:rsid w:val="00987980"/>
    <w:rsid w:val="00987AC9"/>
    <w:rsid w:val="00987E2C"/>
    <w:rsid w:val="00987EFA"/>
    <w:rsid w:val="00987F31"/>
    <w:rsid w:val="00987F3E"/>
    <w:rsid w:val="00987F6E"/>
    <w:rsid w:val="00987FCA"/>
    <w:rsid w:val="00990052"/>
    <w:rsid w:val="0099011A"/>
    <w:rsid w:val="00990159"/>
    <w:rsid w:val="009901F9"/>
    <w:rsid w:val="009902B1"/>
    <w:rsid w:val="009904DC"/>
    <w:rsid w:val="0099054F"/>
    <w:rsid w:val="00990708"/>
    <w:rsid w:val="0099071E"/>
    <w:rsid w:val="00990C0C"/>
    <w:rsid w:val="00990CE3"/>
    <w:rsid w:val="00990EF5"/>
    <w:rsid w:val="00991331"/>
    <w:rsid w:val="00991456"/>
    <w:rsid w:val="0099149B"/>
    <w:rsid w:val="00991543"/>
    <w:rsid w:val="00991686"/>
    <w:rsid w:val="009917FB"/>
    <w:rsid w:val="00991858"/>
    <w:rsid w:val="00991C64"/>
    <w:rsid w:val="00991CD0"/>
    <w:rsid w:val="00991DC3"/>
    <w:rsid w:val="00991EDF"/>
    <w:rsid w:val="00991F81"/>
    <w:rsid w:val="00992014"/>
    <w:rsid w:val="009920C7"/>
    <w:rsid w:val="00992157"/>
    <w:rsid w:val="009922B2"/>
    <w:rsid w:val="00992650"/>
    <w:rsid w:val="00992912"/>
    <w:rsid w:val="00992969"/>
    <w:rsid w:val="00992BCF"/>
    <w:rsid w:val="00992D6A"/>
    <w:rsid w:val="00992DA7"/>
    <w:rsid w:val="00992F18"/>
    <w:rsid w:val="009930A9"/>
    <w:rsid w:val="009930AA"/>
    <w:rsid w:val="009931B9"/>
    <w:rsid w:val="00993480"/>
    <w:rsid w:val="009939BA"/>
    <w:rsid w:val="00993AA7"/>
    <w:rsid w:val="00993B46"/>
    <w:rsid w:val="00993B67"/>
    <w:rsid w:val="00993B97"/>
    <w:rsid w:val="00993C61"/>
    <w:rsid w:val="00993E06"/>
    <w:rsid w:val="00993FAE"/>
    <w:rsid w:val="00994034"/>
    <w:rsid w:val="009941A7"/>
    <w:rsid w:val="00994266"/>
    <w:rsid w:val="0099448B"/>
    <w:rsid w:val="0099452F"/>
    <w:rsid w:val="00994545"/>
    <w:rsid w:val="00994668"/>
    <w:rsid w:val="009946DC"/>
    <w:rsid w:val="00994827"/>
    <w:rsid w:val="009948C3"/>
    <w:rsid w:val="00994BE3"/>
    <w:rsid w:val="00994CD2"/>
    <w:rsid w:val="00994FDC"/>
    <w:rsid w:val="0099516C"/>
    <w:rsid w:val="009952CE"/>
    <w:rsid w:val="009953A8"/>
    <w:rsid w:val="00995519"/>
    <w:rsid w:val="00995521"/>
    <w:rsid w:val="00995757"/>
    <w:rsid w:val="009957D1"/>
    <w:rsid w:val="009958A7"/>
    <w:rsid w:val="009959E0"/>
    <w:rsid w:val="00995A4C"/>
    <w:rsid w:val="00995ADF"/>
    <w:rsid w:val="00995E71"/>
    <w:rsid w:val="00995EC4"/>
    <w:rsid w:val="00995FA8"/>
    <w:rsid w:val="00995FC4"/>
    <w:rsid w:val="0099603D"/>
    <w:rsid w:val="009960B6"/>
    <w:rsid w:val="0099614D"/>
    <w:rsid w:val="0099617B"/>
    <w:rsid w:val="009961F4"/>
    <w:rsid w:val="00996208"/>
    <w:rsid w:val="00996212"/>
    <w:rsid w:val="00996276"/>
    <w:rsid w:val="00996309"/>
    <w:rsid w:val="00996646"/>
    <w:rsid w:val="00996667"/>
    <w:rsid w:val="009967B7"/>
    <w:rsid w:val="00996826"/>
    <w:rsid w:val="00996919"/>
    <w:rsid w:val="0099696E"/>
    <w:rsid w:val="00996A4F"/>
    <w:rsid w:val="00996B29"/>
    <w:rsid w:val="00996BEA"/>
    <w:rsid w:val="00997072"/>
    <w:rsid w:val="009970D0"/>
    <w:rsid w:val="00997127"/>
    <w:rsid w:val="00997218"/>
    <w:rsid w:val="009972BE"/>
    <w:rsid w:val="009973B3"/>
    <w:rsid w:val="00997644"/>
    <w:rsid w:val="00997710"/>
    <w:rsid w:val="009977DF"/>
    <w:rsid w:val="00997808"/>
    <w:rsid w:val="00997863"/>
    <w:rsid w:val="009979B9"/>
    <w:rsid w:val="00997B67"/>
    <w:rsid w:val="00997C03"/>
    <w:rsid w:val="00997CCE"/>
    <w:rsid w:val="009A0016"/>
    <w:rsid w:val="009A0220"/>
    <w:rsid w:val="009A037B"/>
    <w:rsid w:val="009A04E5"/>
    <w:rsid w:val="009A059F"/>
    <w:rsid w:val="009A05D4"/>
    <w:rsid w:val="009A0608"/>
    <w:rsid w:val="009A06A9"/>
    <w:rsid w:val="009A0744"/>
    <w:rsid w:val="009A076C"/>
    <w:rsid w:val="009A08F6"/>
    <w:rsid w:val="009A09E4"/>
    <w:rsid w:val="009A0A8A"/>
    <w:rsid w:val="009A0B4E"/>
    <w:rsid w:val="009A0B80"/>
    <w:rsid w:val="009A0BB3"/>
    <w:rsid w:val="009A0F9C"/>
    <w:rsid w:val="009A1143"/>
    <w:rsid w:val="009A1380"/>
    <w:rsid w:val="009A16A7"/>
    <w:rsid w:val="009A176A"/>
    <w:rsid w:val="009A17B7"/>
    <w:rsid w:val="009A17E1"/>
    <w:rsid w:val="009A1884"/>
    <w:rsid w:val="009A18CC"/>
    <w:rsid w:val="009A1991"/>
    <w:rsid w:val="009A19A0"/>
    <w:rsid w:val="009A1A0A"/>
    <w:rsid w:val="009A1AF9"/>
    <w:rsid w:val="009A1DF1"/>
    <w:rsid w:val="009A1EFC"/>
    <w:rsid w:val="009A1F76"/>
    <w:rsid w:val="009A1FC1"/>
    <w:rsid w:val="009A1FDD"/>
    <w:rsid w:val="009A21E0"/>
    <w:rsid w:val="009A23D4"/>
    <w:rsid w:val="009A2476"/>
    <w:rsid w:val="009A255C"/>
    <w:rsid w:val="009A26AD"/>
    <w:rsid w:val="009A26D1"/>
    <w:rsid w:val="009A26F1"/>
    <w:rsid w:val="009A277B"/>
    <w:rsid w:val="009A2945"/>
    <w:rsid w:val="009A2953"/>
    <w:rsid w:val="009A2A69"/>
    <w:rsid w:val="009A2BAE"/>
    <w:rsid w:val="009A2F63"/>
    <w:rsid w:val="009A2F82"/>
    <w:rsid w:val="009A3028"/>
    <w:rsid w:val="009A31D6"/>
    <w:rsid w:val="009A33FB"/>
    <w:rsid w:val="009A341D"/>
    <w:rsid w:val="009A34CE"/>
    <w:rsid w:val="009A34E3"/>
    <w:rsid w:val="009A35D0"/>
    <w:rsid w:val="009A3632"/>
    <w:rsid w:val="009A36E1"/>
    <w:rsid w:val="009A3719"/>
    <w:rsid w:val="009A3728"/>
    <w:rsid w:val="009A3764"/>
    <w:rsid w:val="009A3885"/>
    <w:rsid w:val="009A39EF"/>
    <w:rsid w:val="009A3A86"/>
    <w:rsid w:val="009A3B0A"/>
    <w:rsid w:val="009A3BAF"/>
    <w:rsid w:val="009A3C93"/>
    <w:rsid w:val="009A3CC3"/>
    <w:rsid w:val="009A3D03"/>
    <w:rsid w:val="009A3D46"/>
    <w:rsid w:val="009A3FCD"/>
    <w:rsid w:val="009A3FE5"/>
    <w:rsid w:val="009A40F6"/>
    <w:rsid w:val="009A4104"/>
    <w:rsid w:val="009A4259"/>
    <w:rsid w:val="009A429C"/>
    <w:rsid w:val="009A431E"/>
    <w:rsid w:val="009A451B"/>
    <w:rsid w:val="009A4664"/>
    <w:rsid w:val="009A46D7"/>
    <w:rsid w:val="009A47E3"/>
    <w:rsid w:val="009A484F"/>
    <w:rsid w:val="009A4952"/>
    <w:rsid w:val="009A4971"/>
    <w:rsid w:val="009A49DF"/>
    <w:rsid w:val="009A4B9E"/>
    <w:rsid w:val="009A4C31"/>
    <w:rsid w:val="009A4CA6"/>
    <w:rsid w:val="009A520E"/>
    <w:rsid w:val="009A521A"/>
    <w:rsid w:val="009A52B9"/>
    <w:rsid w:val="009A52EA"/>
    <w:rsid w:val="009A59C2"/>
    <w:rsid w:val="009A5AD2"/>
    <w:rsid w:val="009A5D7C"/>
    <w:rsid w:val="009A5DB0"/>
    <w:rsid w:val="009A5DB2"/>
    <w:rsid w:val="009A6186"/>
    <w:rsid w:val="009A6244"/>
    <w:rsid w:val="009A630B"/>
    <w:rsid w:val="009A6312"/>
    <w:rsid w:val="009A6619"/>
    <w:rsid w:val="009A68CC"/>
    <w:rsid w:val="009A6A0D"/>
    <w:rsid w:val="009A6B38"/>
    <w:rsid w:val="009A6B8E"/>
    <w:rsid w:val="009A6B9C"/>
    <w:rsid w:val="009A6BB0"/>
    <w:rsid w:val="009A6CE8"/>
    <w:rsid w:val="009A6D0C"/>
    <w:rsid w:val="009A6E0F"/>
    <w:rsid w:val="009A6F68"/>
    <w:rsid w:val="009A707E"/>
    <w:rsid w:val="009A7257"/>
    <w:rsid w:val="009A72D5"/>
    <w:rsid w:val="009A7301"/>
    <w:rsid w:val="009A73DE"/>
    <w:rsid w:val="009A74D5"/>
    <w:rsid w:val="009A74DD"/>
    <w:rsid w:val="009A7627"/>
    <w:rsid w:val="009A7745"/>
    <w:rsid w:val="009A7782"/>
    <w:rsid w:val="009A7921"/>
    <w:rsid w:val="009A7936"/>
    <w:rsid w:val="009A7C0C"/>
    <w:rsid w:val="009A7C22"/>
    <w:rsid w:val="009A7D26"/>
    <w:rsid w:val="009A7DB4"/>
    <w:rsid w:val="009A7DB9"/>
    <w:rsid w:val="009B0258"/>
    <w:rsid w:val="009B02AC"/>
    <w:rsid w:val="009B03B1"/>
    <w:rsid w:val="009B0428"/>
    <w:rsid w:val="009B0479"/>
    <w:rsid w:val="009B04E5"/>
    <w:rsid w:val="009B0525"/>
    <w:rsid w:val="009B05A2"/>
    <w:rsid w:val="009B0690"/>
    <w:rsid w:val="009B070D"/>
    <w:rsid w:val="009B085E"/>
    <w:rsid w:val="009B08FA"/>
    <w:rsid w:val="009B0930"/>
    <w:rsid w:val="009B0B19"/>
    <w:rsid w:val="009B0E29"/>
    <w:rsid w:val="009B0F1D"/>
    <w:rsid w:val="009B0F27"/>
    <w:rsid w:val="009B0FF7"/>
    <w:rsid w:val="009B104E"/>
    <w:rsid w:val="009B1152"/>
    <w:rsid w:val="009B1204"/>
    <w:rsid w:val="009B12D1"/>
    <w:rsid w:val="009B1300"/>
    <w:rsid w:val="009B1454"/>
    <w:rsid w:val="009B14AE"/>
    <w:rsid w:val="009B1519"/>
    <w:rsid w:val="009B1541"/>
    <w:rsid w:val="009B164C"/>
    <w:rsid w:val="009B16A8"/>
    <w:rsid w:val="009B16FB"/>
    <w:rsid w:val="009B180F"/>
    <w:rsid w:val="009B1A44"/>
    <w:rsid w:val="009B1B7B"/>
    <w:rsid w:val="009B1F42"/>
    <w:rsid w:val="009B1FB4"/>
    <w:rsid w:val="009B1FE9"/>
    <w:rsid w:val="009B215C"/>
    <w:rsid w:val="009B23F3"/>
    <w:rsid w:val="009B24C2"/>
    <w:rsid w:val="009B252C"/>
    <w:rsid w:val="009B2555"/>
    <w:rsid w:val="009B2753"/>
    <w:rsid w:val="009B2934"/>
    <w:rsid w:val="009B297A"/>
    <w:rsid w:val="009B298C"/>
    <w:rsid w:val="009B29EF"/>
    <w:rsid w:val="009B2AB5"/>
    <w:rsid w:val="009B2B6C"/>
    <w:rsid w:val="009B2BF2"/>
    <w:rsid w:val="009B2C2E"/>
    <w:rsid w:val="009B2CE4"/>
    <w:rsid w:val="009B2D07"/>
    <w:rsid w:val="009B2D2C"/>
    <w:rsid w:val="009B2E7D"/>
    <w:rsid w:val="009B2E85"/>
    <w:rsid w:val="009B2F1D"/>
    <w:rsid w:val="009B2F66"/>
    <w:rsid w:val="009B2F86"/>
    <w:rsid w:val="009B3057"/>
    <w:rsid w:val="009B311F"/>
    <w:rsid w:val="009B31E7"/>
    <w:rsid w:val="009B3376"/>
    <w:rsid w:val="009B33FA"/>
    <w:rsid w:val="009B3405"/>
    <w:rsid w:val="009B34C8"/>
    <w:rsid w:val="009B350E"/>
    <w:rsid w:val="009B3556"/>
    <w:rsid w:val="009B36E0"/>
    <w:rsid w:val="009B36F8"/>
    <w:rsid w:val="009B3911"/>
    <w:rsid w:val="009B3A64"/>
    <w:rsid w:val="009B3A6D"/>
    <w:rsid w:val="009B3B80"/>
    <w:rsid w:val="009B3C2C"/>
    <w:rsid w:val="009B3CE8"/>
    <w:rsid w:val="009B3D38"/>
    <w:rsid w:val="009B3DCB"/>
    <w:rsid w:val="009B3DFC"/>
    <w:rsid w:val="009B40A3"/>
    <w:rsid w:val="009B423A"/>
    <w:rsid w:val="009B433B"/>
    <w:rsid w:val="009B4379"/>
    <w:rsid w:val="009B474B"/>
    <w:rsid w:val="009B47C0"/>
    <w:rsid w:val="009B4987"/>
    <w:rsid w:val="009B4AF1"/>
    <w:rsid w:val="009B4B5B"/>
    <w:rsid w:val="009B4C3B"/>
    <w:rsid w:val="009B4CAE"/>
    <w:rsid w:val="009B4E33"/>
    <w:rsid w:val="009B5005"/>
    <w:rsid w:val="009B51EE"/>
    <w:rsid w:val="009B530E"/>
    <w:rsid w:val="009B54F0"/>
    <w:rsid w:val="009B55C4"/>
    <w:rsid w:val="009B5848"/>
    <w:rsid w:val="009B584A"/>
    <w:rsid w:val="009B5A3E"/>
    <w:rsid w:val="009B5B3A"/>
    <w:rsid w:val="009B5BB2"/>
    <w:rsid w:val="009B5C9A"/>
    <w:rsid w:val="009B5DDB"/>
    <w:rsid w:val="009B5F10"/>
    <w:rsid w:val="009B5FFF"/>
    <w:rsid w:val="009B61FF"/>
    <w:rsid w:val="009B63C0"/>
    <w:rsid w:val="009B6467"/>
    <w:rsid w:val="009B64F8"/>
    <w:rsid w:val="009B6667"/>
    <w:rsid w:val="009B68CB"/>
    <w:rsid w:val="009B6AF3"/>
    <w:rsid w:val="009B6BC9"/>
    <w:rsid w:val="009B7302"/>
    <w:rsid w:val="009B73D8"/>
    <w:rsid w:val="009B74FB"/>
    <w:rsid w:val="009B752F"/>
    <w:rsid w:val="009B76DC"/>
    <w:rsid w:val="009B794A"/>
    <w:rsid w:val="009B7B87"/>
    <w:rsid w:val="009B7C9F"/>
    <w:rsid w:val="009B7ECC"/>
    <w:rsid w:val="009B7F6D"/>
    <w:rsid w:val="009C02EF"/>
    <w:rsid w:val="009C0357"/>
    <w:rsid w:val="009C04F8"/>
    <w:rsid w:val="009C0638"/>
    <w:rsid w:val="009C0904"/>
    <w:rsid w:val="009C0BF0"/>
    <w:rsid w:val="009C0C38"/>
    <w:rsid w:val="009C0D68"/>
    <w:rsid w:val="009C0DFA"/>
    <w:rsid w:val="009C109D"/>
    <w:rsid w:val="009C11CE"/>
    <w:rsid w:val="009C1572"/>
    <w:rsid w:val="009C164D"/>
    <w:rsid w:val="009C16C1"/>
    <w:rsid w:val="009C17AF"/>
    <w:rsid w:val="009C184C"/>
    <w:rsid w:val="009C18C8"/>
    <w:rsid w:val="009C1C67"/>
    <w:rsid w:val="009C1F08"/>
    <w:rsid w:val="009C1F4C"/>
    <w:rsid w:val="009C1FE6"/>
    <w:rsid w:val="009C2011"/>
    <w:rsid w:val="009C201F"/>
    <w:rsid w:val="009C2066"/>
    <w:rsid w:val="009C225E"/>
    <w:rsid w:val="009C244D"/>
    <w:rsid w:val="009C251E"/>
    <w:rsid w:val="009C28B3"/>
    <w:rsid w:val="009C29EC"/>
    <w:rsid w:val="009C2B06"/>
    <w:rsid w:val="009C2CB4"/>
    <w:rsid w:val="009C2CE2"/>
    <w:rsid w:val="009C2D71"/>
    <w:rsid w:val="009C2F3B"/>
    <w:rsid w:val="009C2FAA"/>
    <w:rsid w:val="009C300A"/>
    <w:rsid w:val="009C3309"/>
    <w:rsid w:val="009C3371"/>
    <w:rsid w:val="009C35AD"/>
    <w:rsid w:val="009C366F"/>
    <w:rsid w:val="009C377A"/>
    <w:rsid w:val="009C3898"/>
    <w:rsid w:val="009C38FD"/>
    <w:rsid w:val="009C3BD7"/>
    <w:rsid w:val="009C3C25"/>
    <w:rsid w:val="009C3C8B"/>
    <w:rsid w:val="009C3CFB"/>
    <w:rsid w:val="009C3D3B"/>
    <w:rsid w:val="009C3E38"/>
    <w:rsid w:val="009C3E60"/>
    <w:rsid w:val="009C3EC5"/>
    <w:rsid w:val="009C3F2A"/>
    <w:rsid w:val="009C406E"/>
    <w:rsid w:val="009C40B1"/>
    <w:rsid w:val="009C40E1"/>
    <w:rsid w:val="009C449D"/>
    <w:rsid w:val="009C4541"/>
    <w:rsid w:val="009C45A5"/>
    <w:rsid w:val="009C45D0"/>
    <w:rsid w:val="009C4626"/>
    <w:rsid w:val="009C471F"/>
    <w:rsid w:val="009C4795"/>
    <w:rsid w:val="009C47BF"/>
    <w:rsid w:val="009C4956"/>
    <w:rsid w:val="009C4AA5"/>
    <w:rsid w:val="009C4BAA"/>
    <w:rsid w:val="009C4D49"/>
    <w:rsid w:val="009C4D92"/>
    <w:rsid w:val="009C4DE5"/>
    <w:rsid w:val="009C4F5C"/>
    <w:rsid w:val="009C4F60"/>
    <w:rsid w:val="009C5293"/>
    <w:rsid w:val="009C540E"/>
    <w:rsid w:val="009C548C"/>
    <w:rsid w:val="009C56E3"/>
    <w:rsid w:val="009C5787"/>
    <w:rsid w:val="009C584C"/>
    <w:rsid w:val="009C5A4F"/>
    <w:rsid w:val="009C5FB7"/>
    <w:rsid w:val="009C60E8"/>
    <w:rsid w:val="009C614B"/>
    <w:rsid w:val="009C6155"/>
    <w:rsid w:val="009C631C"/>
    <w:rsid w:val="009C63AB"/>
    <w:rsid w:val="009C64A8"/>
    <w:rsid w:val="009C6587"/>
    <w:rsid w:val="009C670D"/>
    <w:rsid w:val="009C6746"/>
    <w:rsid w:val="009C6762"/>
    <w:rsid w:val="009C676E"/>
    <w:rsid w:val="009C67D4"/>
    <w:rsid w:val="009C6908"/>
    <w:rsid w:val="009C6951"/>
    <w:rsid w:val="009C69CA"/>
    <w:rsid w:val="009C6A2E"/>
    <w:rsid w:val="009C6D1A"/>
    <w:rsid w:val="009C6E7B"/>
    <w:rsid w:val="009C6F75"/>
    <w:rsid w:val="009C718E"/>
    <w:rsid w:val="009C7208"/>
    <w:rsid w:val="009C7242"/>
    <w:rsid w:val="009C72A2"/>
    <w:rsid w:val="009C739E"/>
    <w:rsid w:val="009C73EF"/>
    <w:rsid w:val="009C752E"/>
    <w:rsid w:val="009C755D"/>
    <w:rsid w:val="009C776F"/>
    <w:rsid w:val="009C77B0"/>
    <w:rsid w:val="009C787A"/>
    <w:rsid w:val="009C7911"/>
    <w:rsid w:val="009C7A0F"/>
    <w:rsid w:val="009C7C42"/>
    <w:rsid w:val="009C7CD1"/>
    <w:rsid w:val="009C7D9E"/>
    <w:rsid w:val="009C7DB8"/>
    <w:rsid w:val="009C7E38"/>
    <w:rsid w:val="009C7EC0"/>
    <w:rsid w:val="009C7F2F"/>
    <w:rsid w:val="009C7FE5"/>
    <w:rsid w:val="009D01D4"/>
    <w:rsid w:val="009D0256"/>
    <w:rsid w:val="009D0406"/>
    <w:rsid w:val="009D0494"/>
    <w:rsid w:val="009D0887"/>
    <w:rsid w:val="009D09DD"/>
    <w:rsid w:val="009D0AFA"/>
    <w:rsid w:val="009D0CCF"/>
    <w:rsid w:val="009D0E1D"/>
    <w:rsid w:val="009D0E26"/>
    <w:rsid w:val="009D0E47"/>
    <w:rsid w:val="009D0ED1"/>
    <w:rsid w:val="009D0F04"/>
    <w:rsid w:val="009D0F09"/>
    <w:rsid w:val="009D140F"/>
    <w:rsid w:val="009D1489"/>
    <w:rsid w:val="009D1603"/>
    <w:rsid w:val="009D1622"/>
    <w:rsid w:val="009D1646"/>
    <w:rsid w:val="009D16EA"/>
    <w:rsid w:val="009D1703"/>
    <w:rsid w:val="009D1759"/>
    <w:rsid w:val="009D186B"/>
    <w:rsid w:val="009D18E5"/>
    <w:rsid w:val="009D1932"/>
    <w:rsid w:val="009D19D4"/>
    <w:rsid w:val="009D1AAB"/>
    <w:rsid w:val="009D1C4F"/>
    <w:rsid w:val="009D1D1C"/>
    <w:rsid w:val="009D1DD2"/>
    <w:rsid w:val="009D1E7B"/>
    <w:rsid w:val="009D1EFE"/>
    <w:rsid w:val="009D1F29"/>
    <w:rsid w:val="009D1FB9"/>
    <w:rsid w:val="009D2038"/>
    <w:rsid w:val="009D2065"/>
    <w:rsid w:val="009D2127"/>
    <w:rsid w:val="009D246F"/>
    <w:rsid w:val="009D2629"/>
    <w:rsid w:val="009D2738"/>
    <w:rsid w:val="009D29B1"/>
    <w:rsid w:val="009D29B5"/>
    <w:rsid w:val="009D2A0C"/>
    <w:rsid w:val="009D2A71"/>
    <w:rsid w:val="009D2ACE"/>
    <w:rsid w:val="009D2BF5"/>
    <w:rsid w:val="009D2E6A"/>
    <w:rsid w:val="009D2E6D"/>
    <w:rsid w:val="009D2E9E"/>
    <w:rsid w:val="009D304C"/>
    <w:rsid w:val="009D3099"/>
    <w:rsid w:val="009D3118"/>
    <w:rsid w:val="009D3248"/>
    <w:rsid w:val="009D3271"/>
    <w:rsid w:val="009D32A2"/>
    <w:rsid w:val="009D3338"/>
    <w:rsid w:val="009D3369"/>
    <w:rsid w:val="009D3435"/>
    <w:rsid w:val="009D3448"/>
    <w:rsid w:val="009D3525"/>
    <w:rsid w:val="009D352A"/>
    <w:rsid w:val="009D3744"/>
    <w:rsid w:val="009D3771"/>
    <w:rsid w:val="009D3856"/>
    <w:rsid w:val="009D3868"/>
    <w:rsid w:val="009D38E5"/>
    <w:rsid w:val="009D3980"/>
    <w:rsid w:val="009D39A9"/>
    <w:rsid w:val="009D3ADE"/>
    <w:rsid w:val="009D3B0E"/>
    <w:rsid w:val="009D3B78"/>
    <w:rsid w:val="009D3CA8"/>
    <w:rsid w:val="009D3F19"/>
    <w:rsid w:val="009D4180"/>
    <w:rsid w:val="009D41FF"/>
    <w:rsid w:val="009D42A1"/>
    <w:rsid w:val="009D42A6"/>
    <w:rsid w:val="009D42C0"/>
    <w:rsid w:val="009D42FC"/>
    <w:rsid w:val="009D430F"/>
    <w:rsid w:val="009D439D"/>
    <w:rsid w:val="009D43BC"/>
    <w:rsid w:val="009D447E"/>
    <w:rsid w:val="009D44A3"/>
    <w:rsid w:val="009D44A7"/>
    <w:rsid w:val="009D44DC"/>
    <w:rsid w:val="009D4501"/>
    <w:rsid w:val="009D4693"/>
    <w:rsid w:val="009D479C"/>
    <w:rsid w:val="009D47BA"/>
    <w:rsid w:val="009D48DB"/>
    <w:rsid w:val="009D49D2"/>
    <w:rsid w:val="009D4CB6"/>
    <w:rsid w:val="009D4CE9"/>
    <w:rsid w:val="009D4DD2"/>
    <w:rsid w:val="009D4FD9"/>
    <w:rsid w:val="009D5046"/>
    <w:rsid w:val="009D518C"/>
    <w:rsid w:val="009D53A5"/>
    <w:rsid w:val="009D5428"/>
    <w:rsid w:val="009D542C"/>
    <w:rsid w:val="009D576C"/>
    <w:rsid w:val="009D58E9"/>
    <w:rsid w:val="009D5BFA"/>
    <w:rsid w:val="009D5C19"/>
    <w:rsid w:val="009D5D33"/>
    <w:rsid w:val="009D5D54"/>
    <w:rsid w:val="009D5DB7"/>
    <w:rsid w:val="009D5E57"/>
    <w:rsid w:val="009D5FD5"/>
    <w:rsid w:val="009D60B3"/>
    <w:rsid w:val="009D6121"/>
    <w:rsid w:val="009D6284"/>
    <w:rsid w:val="009D62C6"/>
    <w:rsid w:val="009D6309"/>
    <w:rsid w:val="009D6351"/>
    <w:rsid w:val="009D6498"/>
    <w:rsid w:val="009D64DF"/>
    <w:rsid w:val="009D6504"/>
    <w:rsid w:val="009D6550"/>
    <w:rsid w:val="009D6778"/>
    <w:rsid w:val="009D6A0C"/>
    <w:rsid w:val="009D6BDE"/>
    <w:rsid w:val="009D6C25"/>
    <w:rsid w:val="009D6C82"/>
    <w:rsid w:val="009D6DC1"/>
    <w:rsid w:val="009D6ECB"/>
    <w:rsid w:val="009D6F22"/>
    <w:rsid w:val="009D7048"/>
    <w:rsid w:val="009D70B2"/>
    <w:rsid w:val="009D712F"/>
    <w:rsid w:val="009D732A"/>
    <w:rsid w:val="009D742F"/>
    <w:rsid w:val="009D749B"/>
    <w:rsid w:val="009D751B"/>
    <w:rsid w:val="009D76E8"/>
    <w:rsid w:val="009D7A24"/>
    <w:rsid w:val="009D7A44"/>
    <w:rsid w:val="009D7AA6"/>
    <w:rsid w:val="009D7AA7"/>
    <w:rsid w:val="009D7B18"/>
    <w:rsid w:val="009D7B9A"/>
    <w:rsid w:val="009D7EC3"/>
    <w:rsid w:val="009E0197"/>
    <w:rsid w:val="009E01E0"/>
    <w:rsid w:val="009E0242"/>
    <w:rsid w:val="009E03FD"/>
    <w:rsid w:val="009E055D"/>
    <w:rsid w:val="009E0739"/>
    <w:rsid w:val="009E0905"/>
    <w:rsid w:val="009E0BD9"/>
    <w:rsid w:val="009E0DB0"/>
    <w:rsid w:val="009E0E1A"/>
    <w:rsid w:val="009E110F"/>
    <w:rsid w:val="009E1114"/>
    <w:rsid w:val="009E1225"/>
    <w:rsid w:val="009E1513"/>
    <w:rsid w:val="009E1725"/>
    <w:rsid w:val="009E18A0"/>
    <w:rsid w:val="009E1A2F"/>
    <w:rsid w:val="009E1AF9"/>
    <w:rsid w:val="009E20F4"/>
    <w:rsid w:val="009E211F"/>
    <w:rsid w:val="009E2183"/>
    <w:rsid w:val="009E21AA"/>
    <w:rsid w:val="009E21E0"/>
    <w:rsid w:val="009E232A"/>
    <w:rsid w:val="009E24B5"/>
    <w:rsid w:val="009E251D"/>
    <w:rsid w:val="009E25AE"/>
    <w:rsid w:val="009E28AD"/>
    <w:rsid w:val="009E2992"/>
    <w:rsid w:val="009E2CC4"/>
    <w:rsid w:val="009E2CE0"/>
    <w:rsid w:val="009E2F53"/>
    <w:rsid w:val="009E2F64"/>
    <w:rsid w:val="009E3088"/>
    <w:rsid w:val="009E355C"/>
    <w:rsid w:val="009E369B"/>
    <w:rsid w:val="009E36F3"/>
    <w:rsid w:val="009E3766"/>
    <w:rsid w:val="009E3869"/>
    <w:rsid w:val="009E3911"/>
    <w:rsid w:val="009E3C34"/>
    <w:rsid w:val="009E3C55"/>
    <w:rsid w:val="009E3D2B"/>
    <w:rsid w:val="009E3EC1"/>
    <w:rsid w:val="009E3F64"/>
    <w:rsid w:val="009E3F8B"/>
    <w:rsid w:val="009E4089"/>
    <w:rsid w:val="009E41D5"/>
    <w:rsid w:val="009E4261"/>
    <w:rsid w:val="009E4280"/>
    <w:rsid w:val="009E4376"/>
    <w:rsid w:val="009E437D"/>
    <w:rsid w:val="009E445A"/>
    <w:rsid w:val="009E4496"/>
    <w:rsid w:val="009E44F7"/>
    <w:rsid w:val="009E45DD"/>
    <w:rsid w:val="009E466A"/>
    <w:rsid w:val="009E4797"/>
    <w:rsid w:val="009E47B2"/>
    <w:rsid w:val="009E4828"/>
    <w:rsid w:val="009E486E"/>
    <w:rsid w:val="009E491F"/>
    <w:rsid w:val="009E4A3F"/>
    <w:rsid w:val="009E4D88"/>
    <w:rsid w:val="009E4DD6"/>
    <w:rsid w:val="009E4E54"/>
    <w:rsid w:val="009E4EAA"/>
    <w:rsid w:val="009E4F40"/>
    <w:rsid w:val="009E50C0"/>
    <w:rsid w:val="009E5157"/>
    <w:rsid w:val="009E51BD"/>
    <w:rsid w:val="009E52E4"/>
    <w:rsid w:val="009E5300"/>
    <w:rsid w:val="009E5350"/>
    <w:rsid w:val="009E5404"/>
    <w:rsid w:val="009E543A"/>
    <w:rsid w:val="009E554B"/>
    <w:rsid w:val="009E55D3"/>
    <w:rsid w:val="009E55FD"/>
    <w:rsid w:val="009E5640"/>
    <w:rsid w:val="009E5641"/>
    <w:rsid w:val="009E5759"/>
    <w:rsid w:val="009E57DB"/>
    <w:rsid w:val="009E588C"/>
    <w:rsid w:val="009E58CF"/>
    <w:rsid w:val="009E5B23"/>
    <w:rsid w:val="009E5DA0"/>
    <w:rsid w:val="009E60DB"/>
    <w:rsid w:val="009E6114"/>
    <w:rsid w:val="009E623E"/>
    <w:rsid w:val="009E642D"/>
    <w:rsid w:val="009E6546"/>
    <w:rsid w:val="009E667C"/>
    <w:rsid w:val="009E6764"/>
    <w:rsid w:val="009E68B7"/>
    <w:rsid w:val="009E6A85"/>
    <w:rsid w:val="009E6C4B"/>
    <w:rsid w:val="009E6C58"/>
    <w:rsid w:val="009E6CC3"/>
    <w:rsid w:val="009E6E1D"/>
    <w:rsid w:val="009E6EDE"/>
    <w:rsid w:val="009E704B"/>
    <w:rsid w:val="009E70AE"/>
    <w:rsid w:val="009E70E9"/>
    <w:rsid w:val="009E73CE"/>
    <w:rsid w:val="009E7846"/>
    <w:rsid w:val="009E78D0"/>
    <w:rsid w:val="009E79B1"/>
    <w:rsid w:val="009E7AA8"/>
    <w:rsid w:val="009E7B8B"/>
    <w:rsid w:val="009E7CD2"/>
    <w:rsid w:val="009E7EB8"/>
    <w:rsid w:val="009E7EFA"/>
    <w:rsid w:val="009F0253"/>
    <w:rsid w:val="009F029E"/>
    <w:rsid w:val="009F03B6"/>
    <w:rsid w:val="009F04F3"/>
    <w:rsid w:val="009F06D2"/>
    <w:rsid w:val="009F092E"/>
    <w:rsid w:val="009F09B2"/>
    <w:rsid w:val="009F0A40"/>
    <w:rsid w:val="009F0B45"/>
    <w:rsid w:val="009F0C85"/>
    <w:rsid w:val="009F0E51"/>
    <w:rsid w:val="009F0F35"/>
    <w:rsid w:val="009F0F49"/>
    <w:rsid w:val="009F0FD8"/>
    <w:rsid w:val="009F1027"/>
    <w:rsid w:val="009F1075"/>
    <w:rsid w:val="009F107E"/>
    <w:rsid w:val="009F10EC"/>
    <w:rsid w:val="009F10FF"/>
    <w:rsid w:val="009F11CB"/>
    <w:rsid w:val="009F150D"/>
    <w:rsid w:val="009F159E"/>
    <w:rsid w:val="009F15B0"/>
    <w:rsid w:val="009F15D0"/>
    <w:rsid w:val="009F1623"/>
    <w:rsid w:val="009F165F"/>
    <w:rsid w:val="009F18B7"/>
    <w:rsid w:val="009F191C"/>
    <w:rsid w:val="009F1930"/>
    <w:rsid w:val="009F19A0"/>
    <w:rsid w:val="009F19AC"/>
    <w:rsid w:val="009F1B97"/>
    <w:rsid w:val="009F1BA1"/>
    <w:rsid w:val="009F1E69"/>
    <w:rsid w:val="009F1E70"/>
    <w:rsid w:val="009F2031"/>
    <w:rsid w:val="009F2166"/>
    <w:rsid w:val="009F2173"/>
    <w:rsid w:val="009F2182"/>
    <w:rsid w:val="009F2260"/>
    <w:rsid w:val="009F230C"/>
    <w:rsid w:val="009F2375"/>
    <w:rsid w:val="009F2422"/>
    <w:rsid w:val="009F254E"/>
    <w:rsid w:val="009F2A69"/>
    <w:rsid w:val="009F2BFA"/>
    <w:rsid w:val="009F2CA0"/>
    <w:rsid w:val="009F2CBD"/>
    <w:rsid w:val="009F2D71"/>
    <w:rsid w:val="009F2DAE"/>
    <w:rsid w:val="009F2DD6"/>
    <w:rsid w:val="009F2DEC"/>
    <w:rsid w:val="009F2E01"/>
    <w:rsid w:val="009F2F61"/>
    <w:rsid w:val="009F3145"/>
    <w:rsid w:val="009F32A3"/>
    <w:rsid w:val="009F32D1"/>
    <w:rsid w:val="009F3442"/>
    <w:rsid w:val="009F34F5"/>
    <w:rsid w:val="009F3571"/>
    <w:rsid w:val="009F3574"/>
    <w:rsid w:val="009F3591"/>
    <w:rsid w:val="009F35A8"/>
    <w:rsid w:val="009F3797"/>
    <w:rsid w:val="009F3870"/>
    <w:rsid w:val="009F38AE"/>
    <w:rsid w:val="009F38F5"/>
    <w:rsid w:val="009F3AD5"/>
    <w:rsid w:val="009F3B71"/>
    <w:rsid w:val="009F3BDD"/>
    <w:rsid w:val="009F3EFA"/>
    <w:rsid w:val="009F4131"/>
    <w:rsid w:val="009F42A4"/>
    <w:rsid w:val="009F4367"/>
    <w:rsid w:val="009F43FB"/>
    <w:rsid w:val="009F4416"/>
    <w:rsid w:val="009F449E"/>
    <w:rsid w:val="009F4506"/>
    <w:rsid w:val="009F454C"/>
    <w:rsid w:val="009F45E0"/>
    <w:rsid w:val="009F4724"/>
    <w:rsid w:val="009F497E"/>
    <w:rsid w:val="009F49B6"/>
    <w:rsid w:val="009F4A4E"/>
    <w:rsid w:val="009F4A71"/>
    <w:rsid w:val="009F4B3D"/>
    <w:rsid w:val="009F4DDB"/>
    <w:rsid w:val="009F4DE3"/>
    <w:rsid w:val="009F4E9F"/>
    <w:rsid w:val="009F5048"/>
    <w:rsid w:val="009F5084"/>
    <w:rsid w:val="009F5207"/>
    <w:rsid w:val="009F534B"/>
    <w:rsid w:val="009F547A"/>
    <w:rsid w:val="009F5596"/>
    <w:rsid w:val="009F56B6"/>
    <w:rsid w:val="009F56C8"/>
    <w:rsid w:val="009F5845"/>
    <w:rsid w:val="009F599A"/>
    <w:rsid w:val="009F5E42"/>
    <w:rsid w:val="009F5E50"/>
    <w:rsid w:val="009F5F30"/>
    <w:rsid w:val="009F607B"/>
    <w:rsid w:val="009F60C3"/>
    <w:rsid w:val="009F61D3"/>
    <w:rsid w:val="009F6275"/>
    <w:rsid w:val="009F6282"/>
    <w:rsid w:val="009F630D"/>
    <w:rsid w:val="009F63DA"/>
    <w:rsid w:val="009F6578"/>
    <w:rsid w:val="009F66A3"/>
    <w:rsid w:val="009F66C3"/>
    <w:rsid w:val="009F6762"/>
    <w:rsid w:val="009F6C4E"/>
    <w:rsid w:val="009F6D7C"/>
    <w:rsid w:val="009F70D2"/>
    <w:rsid w:val="009F7404"/>
    <w:rsid w:val="009F741F"/>
    <w:rsid w:val="009F7463"/>
    <w:rsid w:val="009F751D"/>
    <w:rsid w:val="009F75E2"/>
    <w:rsid w:val="009F75FA"/>
    <w:rsid w:val="009F763D"/>
    <w:rsid w:val="009F7669"/>
    <w:rsid w:val="009F77CD"/>
    <w:rsid w:val="009F7A8A"/>
    <w:rsid w:val="009F7A93"/>
    <w:rsid w:val="009F7ACB"/>
    <w:rsid w:val="009F7E97"/>
    <w:rsid w:val="009F7F7B"/>
    <w:rsid w:val="009F7F7C"/>
    <w:rsid w:val="00A001AD"/>
    <w:rsid w:val="00A001BD"/>
    <w:rsid w:val="00A00227"/>
    <w:rsid w:val="00A0025D"/>
    <w:rsid w:val="00A003F8"/>
    <w:rsid w:val="00A00453"/>
    <w:rsid w:val="00A00463"/>
    <w:rsid w:val="00A004E3"/>
    <w:rsid w:val="00A005B7"/>
    <w:rsid w:val="00A006A6"/>
    <w:rsid w:val="00A00868"/>
    <w:rsid w:val="00A009AA"/>
    <w:rsid w:val="00A00A01"/>
    <w:rsid w:val="00A00A35"/>
    <w:rsid w:val="00A00AF4"/>
    <w:rsid w:val="00A00BB3"/>
    <w:rsid w:val="00A00CC5"/>
    <w:rsid w:val="00A00CD8"/>
    <w:rsid w:val="00A00D08"/>
    <w:rsid w:val="00A00D79"/>
    <w:rsid w:val="00A00EF2"/>
    <w:rsid w:val="00A0127D"/>
    <w:rsid w:val="00A012CC"/>
    <w:rsid w:val="00A01512"/>
    <w:rsid w:val="00A01547"/>
    <w:rsid w:val="00A018F2"/>
    <w:rsid w:val="00A019E4"/>
    <w:rsid w:val="00A019E6"/>
    <w:rsid w:val="00A01B40"/>
    <w:rsid w:val="00A01B51"/>
    <w:rsid w:val="00A01CDE"/>
    <w:rsid w:val="00A01D60"/>
    <w:rsid w:val="00A01DE3"/>
    <w:rsid w:val="00A01E00"/>
    <w:rsid w:val="00A01F0E"/>
    <w:rsid w:val="00A01F5D"/>
    <w:rsid w:val="00A020A6"/>
    <w:rsid w:val="00A02155"/>
    <w:rsid w:val="00A021E8"/>
    <w:rsid w:val="00A0222E"/>
    <w:rsid w:val="00A02274"/>
    <w:rsid w:val="00A0227A"/>
    <w:rsid w:val="00A024AD"/>
    <w:rsid w:val="00A02659"/>
    <w:rsid w:val="00A026A2"/>
    <w:rsid w:val="00A02842"/>
    <w:rsid w:val="00A028B9"/>
    <w:rsid w:val="00A0293B"/>
    <w:rsid w:val="00A029B0"/>
    <w:rsid w:val="00A029F7"/>
    <w:rsid w:val="00A02A55"/>
    <w:rsid w:val="00A02A6D"/>
    <w:rsid w:val="00A02AFC"/>
    <w:rsid w:val="00A02D16"/>
    <w:rsid w:val="00A02EC7"/>
    <w:rsid w:val="00A02FE9"/>
    <w:rsid w:val="00A030D3"/>
    <w:rsid w:val="00A03253"/>
    <w:rsid w:val="00A03455"/>
    <w:rsid w:val="00A03530"/>
    <w:rsid w:val="00A03745"/>
    <w:rsid w:val="00A03A36"/>
    <w:rsid w:val="00A03B7B"/>
    <w:rsid w:val="00A03B95"/>
    <w:rsid w:val="00A03D78"/>
    <w:rsid w:val="00A03E6F"/>
    <w:rsid w:val="00A03E95"/>
    <w:rsid w:val="00A03EA6"/>
    <w:rsid w:val="00A03EB9"/>
    <w:rsid w:val="00A03F6D"/>
    <w:rsid w:val="00A03FAD"/>
    <w:rsid w:val="00A03FB9"/>
    <w:rsid w:val="00A04101"/>
    <w:rsid w:val="00A0417E"/>
    <w:rsid w:val="00A0418C"/>
    <w:rsid w:val="00A041FB"/>
    <w:rsid w:val="00A04389"/>
    <w:rsid w:val="00A043BB"/>
    <w:rsid w:val="00A04442"/>
    <w:rsid w:val="00A0456A"/>
    <w:rsid w:val="00A0467E"/>
    <w:rsid w:val="00A04ACC"/>
    <w:rsid w:val="00A04D66"/>
    <w:rsid w:val="00A04DAA"/>
    <w:rsid w:val="00A04DE0"/>
    <w:rsid w:val="00A04DEA"/>
    <w:rsid w:val="00A04E3C"/>
    <w:rsid w:val="00A05028"/>
    <w:rsid w:val="00A051DE"/>
    <w:rsid w:val="00A05468"/>
    <w:rsid w:val="00A054BA"/>
    <w:rsid w:val="00A05561"/>
    <w:rsid w:val="00A05855"/>
    <w:rsid w:val="00A058AA"/>
    <w:rsid w:val="00A059F6"/>
    <w:rsid w:val="00A05BA7"/>
    <w:rsid w:val="00A05C25"/>
    <w:rsid w:val="00A05C47"/>
    <w:rsid w:val="00A05C9F"/>
    <w:rsid w:val="00A05DE1"/>
    <w:rsid w:val="00A05DF4"/>
    <w:rsid w:val="00A0603A"/>
    <w:rsid w:val="00A061C5"/>
    <w:rsid w:val="00A06300"/>
    <w:rsid w:val="00A063B1"/>
    <w:rsid w:val="00A06599"/>
    <w:rsid w:val="00A065F3"/>
    <w:rsid w:val="00A06829"/>
    <w:rsid w:val="00A0686F"/>
    <w:rsid w:val="00A06898"/>
    <w:rsid w:val="00A069F9"/>
    <w:rsid w:val="00A06A9A"/>
    <w:rsid w:val="00A06AD5"/>
    <w:rsid w:val="00A06ADF"/>
    <w:rsid w:val="00A06BC8"/>
    <w:rsid w:val="00A06C07"/>
    <w:rsid w:val="00A06CF2"/>
    <w:rsid w:val="00A06D32"/>
    <w:rsid w:val="00A06DA0"/>
    <w:rsid w:val="00A06E1E"/>
    <w:rsid w:val="00A06E53"/>
    <w:rsid w:val="00A07042"/>
    <w:rsid w:val="00A070A7"/>
    <w:rsid w:val="00A0711C"/>
    <w:rsid w:val="00A071C9"/>
    <w:rsid w:val="00A0728B"/>
    <w:rsid w:val="00A073C8"/>
    <w:rsid w:val="00A07706"/>
    <w:rsid w:val="00A07761"/>
    <w:rsid w:val="00A07992"/>
    <w:rsid w:val="00A079D1"/>
    <w:rsid w:val="00A07D16"/>
    <w:rsid w:val="00A100C7"/>
    <w:rsid w:val="00A102E7"/>
    <w:rsid w:val="00A10312"/>
    <w:rsid w:val="00A10429"/>
    <w:rsid w:val="00A10563"/>
    <w:rsid w:val="00A1066F"/>
    <w:rsid w:val="00A1073C"/>
    <w:rsid w:val="00A1080A"/>
    <w:rsid w:val="00A10929"/>
    <w:rsid w:val="00A10958"/>
    <w:rsid w:val="00A10C16"/>
    <w:rsid w:val="00A10D8E"/>
    <w:rsid w:val="00A10EE8"/>
    <w:rsid w:val="00A10FDA"/>
    <w:rsid w:val="00A110D2"/>
    <w:rsid w:val="00A110E8"/>
    <w:rsid w:val="00A11124"/>
    <w:rsid w:val="00A1117B"/>
    <w:rsid w:val="00A112BB"/>
    <w:rsid w:val="00A113C9"/>
    <w:rsid w:val="00A113D6"/>
    <w:rsid w:val="00A114A2"/>
    <w:rsid w:val="00A114F9"/>
    <w:rsid w:val="00A11692"/>
    <w:rsid w:val="00A118ED"/>
    <w:rsid w:val="00A11955"/>
    <w:rsid w:val="00A11BEA"/>
    <w:rsid w:val="00A11C6E"/>
    <w:rsid w:val="00A11C7E"/>
    <w:rsid w:val="00A11DF8"/>
    <w:rsid w:val="00A11FDD"/>
    <w:rsid w:val="00A1200E"/>
    <w:rsid w:val="00A12141"/>
    <w:rsid w:val="00A12242"/>
    <w:rsid w:val="00A12270"/>
    <w:rsid w:val="00A122C6"/>
    <w:rsid w:val="00A12358"/>
    <w:rsid w:val="00A12485"/>
    <w:rsid w:val="00A12489"/>
    <w:rsid w:val="00A124D9"/>
    <w:rsid w:val="00A12690"/>
    <w:rsid w:val="00A12717"/>
    <w:rsid w:val="00A12807"/>
    <w:rsid w:val="00A12921"/>
    <w:rsid w:val="00A129E2"/>
    <w:rsid w:val="00A12C5A"/>
    <w:rsid w:val="00A12CA6"/>
    <w:rsid w:val="00A12CC7"/>
    <w:rsid w:val="00A12FCB"/>
    <w:rsid w:val="00A13032"/>
    <w:rsid w:val="00A1350E"/>
    <w:rsid w:val="00A1355E"/>
    <w:rsid w:val="00A135E5"/>
    <w:rsid w:val="00A1360A"/>
    <w:rsid w:val="00A13626"/>
    <w:rsid w:val="00A13651"/>
    <w:rsid w:val="00A136C1"/>
    <w:rsid w:val="00A13937"/>
    <w:rsid w:val="00A13D8A"/>
    <w:rsid w:val="00A13E73"/>
    <w:rsid w:val="00A1422C"/>
    <w:rsid w:val="00A14284"/>
    <w:rsid w:val="00A144BE"/>
    <w:rsid w:val="00A145CB"/>
    <w:rsid w:val="00A14624"/>
    <w:rsid w:val="00A14739"/>
    <w:rsid w:val="00A14ECF"/>
    <w:rsid w:val="00A150B7"/>
    <w:rsid w:val="00A153C3"/>
    <w:rsid w:val="00A1541C"/>
    <w:rsid w:val="00A15426"/>
    <w:rsid w:val="00A1568B"/>
    <w:rsid w:val="00A1569B"/>
    <w:rsid w:val="00A15799"/>
    <w:rsid w:val="00A15967"/>
    <w:rsid w:val="00A159F8"/>
    <w:rsid w:val="00A15A61"/>
    <w:rsid w:val="00A15A62"/>
    <w:rsid w:val="00A15B92"/>
    <w:rsid w:val="00A15ED5"/>
    <w:rsid w:val="00A15FFB"/>
    <w:rsid w:val="00A16049"/>
    <w:rsid w:val="00A1622E"/>
    <w:rsid w:val="00A163E4"/>
    <w:rsid w:val="00A16417"/>
    <w:rsid w:val="00A166BD"/>
    <w:rsid w:val="00A16890"/>
    <w:rsid w:val="00A16A20"/>
    <w:rsid w:val="00A16A78"/>
    <w:rsid w:val="00A16B3A"/>
    <w:rsid w:val="00A16B4F"/>
    <w:rsid w:val="00A16C7C"/>
    <w:rsid w:val="00A16CF3"/>
    <w:rsid w:val="00A16D2A"/>
    <w:rsid w:val="00A16E0F"/>
    <w:rsid w:val="00A16E2F"/>
    <w:rsid w:val="00A17039"/>
    <w:rsid w:val="00A173E7"/>
    <w:rsid w:val="00A173EC"/>
    <w:rsid w:val="00A1752C"/>
    <w:rsid w:val="00A17750"/>
    <w:rsid w:val="00A178EB"/>
    <w:rsid w:val="00A1791F"/>
    <w:rsid w:val="00A17A56"/>
    <w:rsid w:val="00A17B34"/>
    <w:rsid w:val="00A17BD1"/>
    <w:rsid w:val="00A17C06"/>
    <w:rsid w:val="00A17C88"/>
    <w:rsid w:val="00A17F2E"/>
    <w:rsid w:val="00A17FF0"/>
    <w:rsid w:val="00A203A1"/>
    <w:rsid w:val="00A2043C"/>
    <w:rsid w:val="00A205EF"/>
    <w:rsid w:val="00A20629"/>
    <w:rsid w:val="00A2083D"/>
    <w:rsid w:val="00A209BF"/>
    <w:rsid w:val="00A20B22"/>
    <w:rsid w:val="00A20CD3"/>
    <w:rsid w:val="00A20D87"/>
    <w:rsid w:val="00A20DED"/>
    <w:rsid w:val="00A20E21"/>
    <w:rsid w:val="00A20F0B"/>
    <w:rsid w:val="00A212CB"/>
    <w:rsid w:val="00A212FF"/>
    <w:rsid w:val="00A21355"/>
    <w:rsid w:val="00A21389"/>
    <w:rsid w:val="00A214BD"/>
    <w:rsid w:val="00A214EC"/>
    <w:rsid w:val="00A21573"/>
    <w:rsid w:val="00A216C5"/>
    <w:rsid w:val="00A218E3"/>
    <w:rsid w:val="00A21AC5"/>
    <w:rsid w:val="00A21D33"/>
    <w:rsid w:val="00A21E65"/>
    <w:rsid w:val="00A21FE3"/>
    <w:rsid w:val="00A22051"/>
    <w:rsid w:val="00A22145"/>
    <w:rsid w:val="00A22210"/>
    <w:rsid w:val="00A2248D"/>
    <w:rsid w:val="00A227AC"/>
    <w:rsid w:val="00A227DB"/>
    <w:rsid w:val="00A227FA"/>
    <w:rsid w:val="00A2283D"/>
    <w:rsid w:val="00A22D71"/>
    <w:rsid w:val="00A22F82"/>
    <w:rsid w:val="00A23012"/>
    <w:rsid w:val="00A2307B"/>
    <w:rsid w:val="00A231E2"/>
    <w:rsid w:val="00A23393"/>
    <w:rsid w:val="00A233E8"/>
    <w:rsid w:val="00A23483"/>
    <w:rsid w:val="00A234A9"/>
    <w:rsid w:val="00A2386A"/>
    <w:rsid w:val="00A239B6"/>
    <w:rsid w:val="00A23BC3"/>
    <w:rsid w:val="00A23E58"/>
    <w:rsid w:val="00A23FAB"/>
    <w:rsid w:val="00A2417A"/>
    <w:rsid w:val="00A24261"/>
    <w:rsid w:val="00A24543"/>
    <w:rsid w:val="00A245ED"/>
    <w:rsid w:val="00A24644"/>
    <w:rsid w:val="00A246C3"/>
    <w:rsid w:val="00A248BA"/>
    <w:rsid w:val="00A24975"/>
    <w:rsid w:val="00A249AA"/>
    <w:rsid w:val="00A24AB1"/>
    <w:rsid w:val="00A24DB5"/>
    <w:rsid w:val="00A24E4C"/>
    <w:rsid w:val="00A24EED"/>
    <w:rsid w:val="00A24F4C"/>
    <w:rsid w:val="00A25036"/>
    <w:rsid w:val="00A250BC"/>
    <w:rsid w:val="00A25289"/>
    <w:rsid w:val="00A253EE"/>
    <w:rsid w:val="00A25519"/>
    <w:rsid w:val="00A25696"/>
    <w:rsid w:val="00A256AC"/>
    <w:rsid w:val="00A25737"/>
    <w:rsid w:val="00A25839"/>
    <w:rsid w:val="00A258D8"/>
    <w:rsid w:val="00A25C56"/>
    <w:rsid w:val="00A25C83"/>
    <w:rsid w:val="00A25D74"/>
    <w:rsid w:val="00A25E55"/>
    <w:rsid w:val="00A25E5E"/>
    <w:rsid w:val="00A25F45"/>
    <w:rsid w:val="00A260F2"/>
    <w:rsid w:val="00A260FC"/>
    <w:rsid w:val="00A26422"/>
    <w:rsid w:val="00A266EB"/>
    <w:rsid w:val="00A267FA"/>
    <w:rsid w:val="00A2684F"/>
    <w:rsid w:val="00A268EB"/>
    <w:rsid w:val="00A269E0"/>
    <w:rsid w:val="00A26B17"/>
    <w:rsid w:val="00A26BB6"/>
    <w:rsid w:val="00A26EC2"/>
    <w:rsid w:val="00A26F74"/>
    <w:rsid w:val="00A26F79"/>
    <w:rsid w:val="00A27090"/>
    <w:rsid w:val="00A2710C"/>
    <w:rsid w:val="00A272A0"/>
    <w:rsid w:val="00A27352"/>
    <w:rsid w:val="00A27382"/>
    <w:rsid w:val="00A273D4"/>
    <w:rsid w:val="00A276C2"/>
    <w:rsid w:val="00A276E9"/>
    <w:rsid w:val="00A276FD"/>
    <w:rsid w:val="00A27AAE"/>
    <w:rsid w:val="00A27AE2"/>
    <w:rsid w:val="00A27C03"/>
    <w:rsid w:val="00A27C3C"/>
    <w:rsid w:val="00A27C43"/>
    <w:rsid w:val="00A3011F"/>
    <w:rsid w:val="00A30143"/>
    <w:rsid w:val="00A30193"/>
    <w:rsid w:val="00A30357"/>
    <w:rsid w:val="00A3036A"/>
    <w:rsid w:val="00A3038C"/>
    <w:rsid w:val="00A303AA"/>
    <w:rsid w:val="00A305E1"/>
    <w:rsid w:val="00A30722"/>
    <w:rsid w:val="00A308B4"/>
    <w:rsid w:val="00A309A2"/>
    <w:rsid w:val="00A309A8"/>
    <w:rsid w:val="00A30AED"/>
    <w:rsid w:val="00A30B13"/>
    <w:rsid w:val="00A30BB3"/>
    <w:rsid w:val="00A30BC3"/>
    <w:rsid w:val="00A30C49"/>
    <w:rsid w:val="00A30F04"/>
    <w:rsid w:val="00A31213"/>
    <w:rsid w:val="00A3159E"/>
    <w:rsid w:val="00A317DC"/>
    <w:rsid w:val="00A3183C"/>
    <w:rsid w:val="00A31864"/>
    <w:rsid w:val="00A318EC"/>
    <w:rsid w:val="00A3192B"/>
    <w:rsid w:val="00A319BD"/>
    <w:rsid w:val="00A31B73"/>
    <w:rsid w:val="00A31FAB"/>
    <w:rsid w:val="00A3212F"/>
    <w:rsid w:val="00A3215D"/>
    <w:rsid w:val="00A32266"/>
    <w:rsid w:val="00A3227A"/>
    <w:rsid w:val="00A32482"/>
    <w:rsid w:val="00A3268C"/>
    <w:rsid w:val="00A329B2"/>
    <w:rsid w:val="00A329DD"/>
    <w:rsid w:val="00A32A78"/>
    <w:rsid w:val="00A32AAA"/>
    <w:rsid w:val="00A32B3F"/>
    <w:rsid w:val="00A32B7E"/>
    <w:rsid w:val="00A32C98"/>
    <w:rsid w:val="00A32E36"/>
    <w:rsid w:val="00A32F01"/>
    <w:rsid w:val="00A330E1"/>
    <w:rsid w:val="00A3314E"/>
    <w:rsid w:val="00A33279"/>
    <w:rsid w:val="00A3330E"/>
    <w:rsid w:val="00A333C0"/>
    <w:rsid w:val="00A334EA"/>
    <w:rsid w:val="00A334F4"/>
    <w:rsid w:val="00A336D5"/>
    <w:rsid w:val="00A33737"/>
    <w:rsid w:val="00A33757"/>
    <w:rsid w:val="00A337D7"/>
    <w:rsid w:val="00A339A9"/>
    <w:rsid w:val="00A339BE"/>
    <w:rsid w:val="00A339C2"/>
    <w:rsid w:val="00A33B6B"/>
    <w:rsid w:val="00A33D6C"/>
    <w:rsid w:val="00A33E4A"/>
    <w:rsid w:val="00A33F4B"/>
    <w:rsid w:val="00A33FCD"/>
    <w:rsid w:val="00A33FE7"/>
    <w:rsid w:val="00A34077"/>
    <w:rsid w:val="00A342EA"/>
    <w:rsid w:val="00A346B7"/>
    <w:rsid w:val="00A347D7"/>
    <w:rsid w:val="00A347FF"/>
    <w:rsid w:val="00A3495A"/>
    <w:rsid w:val="00A34AE9"/>
    <w:rsid w:val="00A34B22"/>
    <w:rsid w:val="00A34B7D"/>
    <w:rsid w:val="00A34B9D"/>
    <w:rsid w:val="00A34CFE"/>
    <w:rsid w:val="00A34D19"/>
    <w:rsid w:val="00A34D72"/>
    <w:rsid w:val="00A35145"/>
    <w:rsid w:val="00A352AD"/>
    <w:rsid w:val="00A35398"/>
    <w:rsid w:val="00A3548E"/>
    <w:rsid w:val="00A35555"/>
    <w:rsid w:val="00A35737"/>
    <w:rsid w:val="00A35907"/>
    <w:rsid w:val="00A3597F"/>
    <w:rsid w:val="00A359B5"/>
    <w:rsid w:val="00A359C3"/>
    <w:rsid w:val="00A359D4"/>
    <w:rsid w:val="00A35AB5"/>
    <w:rsid w:val="00A35B5A"/>
    <w:rsid w:val="00A35CE4"/>
    <w:rsid w:val="00A35D73"/>
    <w:rsid w:val="00A35E58"/>
    <w:rsid w:val="00A35FED"/>
    <w:rsid w:val="00A3607A"/>
    <w:rsid w:val="00A360CD"/>
    <w:rsid w:val="00A362C1"/>
    <w:rsid w:val="00A36480"/>
    <w:rsid w:val="00A366E5"/>
    <w:rsid w:val="00A366EB"/>
    <w:rsid w:val="00A367C8"/>
    <w:rsid w:val="00A367FD"/>
    <w:rsid w:val="00A36910"/>
    <w:rsid w:val="00A3693F"/>
    <w:rsid w:val="00A36A0F"/>
    <w:rsid w:val="00A36A3D"/>
    <w:rsid w:val="00A36B45"/>
    <w:rsid w:val="00A36BCD"/>
    <w:rsid w:val="00A36E4D"/>
    <w:rsid w:val="00A36F10"/>
    <w:rsid w:val="00A36FE8"/>
    <w:rsid w:val="00A37061"/>
    <w:rsid w:val="00A3720B"/>
    <w:rsid w:val="00A37228"/>
    <w:rsid w:val="00A372BB"/>
    <w:rsid w:val="00A37363"/>
    <w:rsid w:val="00A37459"/>
    <w:rsid w:val="00A379CF"/>
    <w:rsid w:val="00A37B86"/>
    <w:rsid w:val="00A37DD7"/>
    <w:rsid w:val="00A37EBE"/>
    <w:rsid w:val="00A37F20"/>
    <w:rsid w:val="00A40445"/>
    <w:rsid w:val="00A40797"/>
    <w:rsid w:val="00A408EC"/>
    <w:rsid w:val="00A4090A"/>
    <w:rsid w:val="00A40973"/>
    <w:rsid w:val="00A40ABE"/>
    <w:rsid w:val="00A40DB3"/>
    <w:rsid w:val="00A40FD7"/>
    <w:rsid w:val="00A4127E"/>
    <w:rsid w:val="00A413D8"/>
    <w:rsid w:val="00A413FE"/>
    <w:rsid w:val="00A41747"/>
    <w:rsid w:val="00A4175F"/>
    <w:rsid w:val="00A4187E"/>
    <w:rsid w:val="00A41923"/>
    <w:rsid w:val="00A4192E"/>
    <w:rsid w:val="00A41957"/>
    <w:rsid w:val="00A419D3"/>
    <w:rsid w:val="00A41C70"/>
    <w:rsid w:val="00A41CB3"/>
    <w:rsid w:val="00A41CFF"/>
    <w:rsid w:val="00A41D37"/>
    <w:rsid w:val="00A41E07"/>
    <w:rsid w:val="00A41F6D"/>
    <w:rsid w:val="00A42307"/>
    <w:rsid w:val="00A4252F"/>
    <w:rsid w:val="00A42755"/>
    <w:rsid w:val="00A427D3"/>
    <w:rsid w:val="00A42A43"/>
    <w:rsid w:val="00A42F1A"/>
    <w:rsid w:val="00A43069"/>
    <w:rsid w:val="00A430DF"/>
    <w:rsid w:val="00A43498"/>
    <w:rsid w:val="00A43695"/>
    <w:rsid w:val="00A43712"/>
    <w:rsid w:val="00A4372E"/>
    <w:rsid w:val="00A437A4"/>
    <w:rsid w:val="00A43877"/>
    <w:rsid w:val="00A43A72"/>
    <w:rsid w:val="00A43B02"/>
    <w:rsid w:val="00A43B9E"/>
    <w:rsid w:val="00A440AF"/>
    <w:rsid w:val="00A440C4"/>
    <w:rsid w:val="00A44157"/>
    <w:rsid w:val="00A441BC"/>
    <w:rsid w:val="00A441C1"/>
    <w:rsid w:val="00A443C6"/>
    <w:rsid w:val="00A443CF"/>
    <w:rsid w:val="00A44456"/>
    <w:rsid w:val="00A44478"/>
    <w:rsid w:val="00A445DC"/>
    <w:rsid w:val="00A44B68"/>
    <w:rsid w:val="00A44BE0"/>
    <w:rsid w:val="00A44C34"/>
    <w:rsid w:val="00A44CD0"/>
    <w:rsid w:val="00A44DB7"/>
    <w:rsid w:val="00A44E5A"/>
    <w:rsid w:val="00A44F48"/>
    <w:rsid w:val="00A4515C"/>
    <w:rsid w:val="00A4523E"/>
    <w:rsid w:val="00A45262"/>
    <w:rsid w:val="00A455F3"/>
    <w:rsid w:val="00A4565B"/>
    <w:rsid w:val="00A4566D"/>
    <w:rsid w:val="00A45678"/>
    <w:rsid w:val="00A456ED"/>
    <w:rsid w:val="00A4570A"/>
    <w:rsid w:val="00A457DA"/>
    <w:rsid w:val="00A4585C"/>
    <w:rsid w:val="00A4597E"/>
    <w:rsid w:val="00A45A87"/>
    <w:rsid w:val="00A45A9F"/>
    <w:rsid w:val="00A45E1C"/>
    <w:rsid w:val="00A45F09"/>
    <w:rsid w:val="00A45FAF"/>
    <w:rsid w:val="00A4600B"/>
    <w:rsid w:val="00A4607F"/>
    <w:rsid w:val="00A46177"/>
    <w:rsid w:val="00A46331"/>
    <w:rsid w:val="00A46528"/>
    <w:rsid w:val="00A46597"/>
    <w:rsid w:val="00A46787"/>
    <w:rsid w:val="00A46965"/>
    <w:rsid w:val="00A46C0D"/>
    <w:rsid w:val="00A46E79"/>
    <w:rsid w:val="00A46F6E"/>
    <w:rsid w:val="00A47298"/>
    <w:rsid w:val="00A47570"/>
    <w:rsid w:val="00A4764D"/>
    <w:rsid w:val="00A47684"/>
    <w:rsid w:val="00A4775A"/>
    <w:rsid w:val="00A47820"/>
    <w:rsid w:val="00A47852"/>
    <w:rsid w:val="00A478DF"/>
    <w:rsid w:val="00A47C07"/>
    <w:rsid w:val="00A47CAB"/>
    <w:rsid w:val="00A47E01"/>
    <w:rsid w:val="00A47E61"/>
    <w:rsid w:val="00A47F9B"/>
    <w:rsid w:val="00A47FA5"/>
    <w:rsid w:val="00A47FD1"/>
    <w:rsid w:val="00A5008C"/>
    <w:rsid w:val="00A5011D"/>
    <w:rsid w:val="00A50370"/>
    <w:rsid w:val="00A503CF"/>
    <w:rsid w:val="00A5074C"/>
    <w:rsid w:val="00A50802"/>
    <w:rsid w:val="00A5099C"/>
    <w:rsid w:val="00A50A22"/>
    <w:rsid w:val="00A50C6F"/>
    <w:rsid w:val="00A50E70"/>
    <w:rsid w:val="00A50EB7"/>
    <w:rsid w:val="00A510A6"/>
    <w:rsid w:val="00A51229"/>
    <w:rsid w:val="00A51296"/>
    <w:rsid w:val="00A5155B"/>
    <w:rsid w:val="00A51563"/>
    <w:rsid w:val="00A51690"/>
    <w:rsid w:val="00A516FA"/>
    <w:rsid w:val="00A51759"/>
    <w:rsid w:val="00A51778"/>
    <w:rsid w:val="00A517A9"/>
    <w:rsid w:val="00A517D3"/>
    <w:rsid w:val="00A518E1"/>
    <w:rsid w:val="00A5190B"/>
    <w:rsid w:val="00A519F0"/>
    <w:rsid w:val="00A51A9B"/>
    <w:rsid w:val="00A51AEC"/>
    <w:rsid w:val="00A51B97"/>
    <w:rsid w:val="00A51BB9"/>
    <w:rsid w:val="00A51C6C"/>
    <w:rsid w:val="00A51CD6"/>
    <w:rsid w:val="00A51D98"/>
    <w:rsid w:val="00A51DDD"/>
    <w:rsid w:val="00A51DFE"/>
    <w:rsid w:val="00A51E32"/>
    <w:rsid w:val="00A51ED4"/>
    <w:rsid w:val="00A51F53"/>
    <w:rsid w:val="00A51F69"/>
    <w:rsid w:val="00A5207C"/>
    <w:rsid w:val="00A520C7"/>
    <w:rsid w:val="00A52110"/>
    <w:rsid w:val="00A52367"/>
    <w:rsid w:val="00A52507"/>
    <w:rsid w:val="00A52595"/>
    <w:rsid w:val="00A525D4"/>
    <w:rsid w:val="00A52659"/>
    <w:rsid w:val="00A526E6"/>
    <w:rsid w:val="00A5297D"/>
    <w:rsid w:val="00A52A26"/>
    <w:rsid w:val="00A52AA9"/>
    <w:rsid w:val="00A52C63"/>
    <w:rsid w:val="00A52CC9"/>
    <w:rsid w:val="00A52DB0"/>
    <w:rsid w:val="00A52E32"/>
    <w:rsid w:val="00A52E52"/>
    <w:rsid w:val="00A52E90"/>
    <w:rsid w:val="00A52EA7"/>
    <w:rsid w:val="00A52F4C"/>
    <w:rsid w:val="00A52FD3"/>
    <w:rsid w:val="00A53008"/>
    <w:rsid w:val="00A530CE"/>
    <w:rsid w:val="00A53156"/>
    <w:rsid w:val="00A531B2"/>
    <w:rsid w:val="00A531D4"/>
    <w:rsid w:val="00A5325D"/>
    <w:rsid w:val="00A533DC"/>
    <w:rsid w:val="00A535EB"/>
    <w:rsid w:val="00A5364F"/>
    <w:rsid w:val="00A536D1"/>
    <w:rsid w:val="00A538CB"/>
    <w:rsid w:val="00A53AD2"/>
    <w:rsid w:val="00A53B27"/>
    <w:rsid w:val="00A53C07"/>
    <w:rsid w:val="00A53C5E"/>
    <w:rsid w:val="00A53C69"/>
    <w:rsid w:val="00A53CF0"/>
    <w:rsid w:val="00A53E41"/>
    <w:rsid w:val="00A53E9C"/>
    <w:rsid w:val="00A53FF9"/>
    <w:rsid w:val="00A541DC"/>
    <w:rsid w:val="00A54229"/>
    <w:rsid w:val="00A542F1"/>
    <w:rsid w:val="00A5452E"/>
    <w:rsid w:val="00A545E1"/>
    <w:rsid w:val="00A546FB"/>
    <w:rsid w:val="00A5471F"/>
    <w:rsid w:val="00A54B31"/>
    <w:rsid w:val="00A54BE3"/>
    <w:rsid w:val="00A551EF"/>
    <w:rsid w:val="00A5532A"/>
    <w:rsid w:val="00A55416"/>
    <w:rsid w:val="00A556EA"/>
    <w:rsid w:val="00A55736"/>
    <w:rsid w:val="00A55816"/>
    <w:rsid w:val="00A5589A"/>
    <w:rsid w:val="00A55968"/>
    <w:rsid w:val="00A55A02"/>
    <w:rsid w:val="00A55B3B"/>
    <w:rsid w:val="00A55CBB"/>
    <w:rsid w:val="00A55D19"/>
    <w:rsid w:val="00A55EF5"/>
    <w:rsid w:val="00A560B1"/>
    <w:rsid w:val="00A560C5"/>
    <w:rsid w:val="00A561D5"/>
    <w:rsid w:val="00A562AE"/>
    <w:rsid w:val="00A563F2"/>
    <w:rsid w:val="00A56404"/>
    <w:rsid w:val="00A565C0"/>
    <w:rsid w:val="00A5686F"/>
    <w:rsid w:val="00A5692F"/>
    <w:rsid w:val="00A56989"/>
    <w:rsid w:val="00A569DD"/>
    <w:rsid w:val="00A56AE6"/>
    <w:rsid w:val="00A56B75"/>
    <w:rsid w:val="00A56CFF"/>
    <w:rsid w:val="00A56F0F"/>
    <w:rsid w:val="00A56F86"/>
    <w:rsid w:val="00A56F87"/>
    <w:rsid w:val="00A57230"/>
    <w:rsid w:val="00A5729A"/>
    <w:rsid w:val="00A5731D"/>
    <w:rsid w:val="00A5745F"/>
    <w:rsid w:val="00A5766F"/>
    <w:rsid w:val="00A57679"/>
    <w:rsid w:val="00A577DE"/>
    <w:rsid w:val="00A57A68"/>
    <w:rsid w:val="00A57A7D"/>
    <w:rsid w:val="00A57B24"/>
    <w:rsid w:val="00A57C92"/>
    <w:rsid w:val="00A57EA7"/>
    <w:rsid w:val="00A57F32"/>
    <w:rsid w:val="00A60166"/>
    <w:rsid w:val="00A601C3"/>
    <w:rsid w:val="00A601FB"/>
    <w:rsid w:val="00A602B1"/>
    <w:rsid w:val="00A60337"/>
    <w:rsid w:val="00A60567"/>
    <w:rsid w:val="00A60590"/>
    <w:rsid w:val="00A6060A"/>
    <w:rsid w:val="00A6094C"/>
    <w:rsid w:val="00A60C14"/>
    <w:rsid w:val="00A60CDA"/>
    <w:rsid w:val="00A60E2F"/>
    <w:rsid w:val="00A60FB2"/>
    <w:rsid w:val="00A60FD7"/>
    <w:rsid w:val="00A61171"/>
    <w:rsid w:val="00A612C1"/>
    <w:rsid w:val="00A61318"/>
    <w:rsid w:val="00A61369"/>
    <w:rsid w:val="00A61372"/>
    <w:rsid w:val="00A613FF"/>
    <w:rsid w:val="00A615DD"/>
    <w:rsid w:val="00A61711"/>
    <w:rsid w:val="00A6173E"/>
    <w:rsid w:val="00A6193F"/>
    <w:rsid w:val="00A61AAD"/>
    <w:rsid w:val="00A61B75"/>
    <w:rsid w:val="00A61C33"/>
    <w:rsid w:val="00A61D7D"/>
    <w:rsid w:val="00A61F00"/>
    <w:rsid w:val="00A62061"/>
    <w:rsid w:val="00A62131"/>
    <w:rsid w:val="00A6218F"/>
    <w:rsid w:val="00A6235D"/>
    <w:rsid w:val="00A62450"/>
    <w:rsid w:val="00A624C5"/>
    <w:rsid w:val="00A62558"/>
    <w:rsid w:val="00A62602"/>
    <w:rsid w:val="00A6264D"/>
    <w:rsid w:val="00A62716"/>
    <w:rsid w:val="00A62739"/>
    <w:rsid w:val="00A6281E"/>
    <w:rsid w:val="00A62911"/>
    <w:rsid w:val="00A62954"/>
    <w:rsid w:val="00A62D6D"/>
    <w:rsid w:val="00A62F19"/>
    <w:rsid w:val="00A63004"/>
    <w:rsid w:val="00A630CC"/>
    <w:rsid w:val="00A6310D"/>
    <w:rsid w:val="00A6312B"/>
    <w:rsid w:val="00A633B5"/>
    <w:rsid w:val="00A63442"/>
    <w:rsid w:val="00A63653"/>
    <w:rsid w:val="00A636D8"/>
    <w:rsid w:val="00A637DF"/>
    <w:rsid w:val="00A63848"/>
    <w:rsid w:val="00A6395F"/>
    <w:rsid w:val="00A639E3"/>
    <w:rsid w:val="00A63A11"/>
    <w:rsid w:val="00A63A68"/>
    <w:rsid w:val="00A63DB1"/>
    <w:rsid w:val="00A63F4C"/>
    <w:rsid w:val="00A63F5E"/>
    <w:rsid w:val="00A63F83"/>
    <w:rsid w:val="00A63FC1"/>
    <w:rsid w:val="00A6406A"/>
    <w:rsid w:val="00A64073"/>
    <w:rsid w:val="00A640A4"/>
    <w:rsid w:val="00A6418D"/>
    <w:rsid w:val="00A643F8"/>
    <w:rsid w:val="00A6443A"/>
    <w:rsid w:val="00A6443C"/>
    <w:rsid w:val="00A644EE"/>
    <w:rsid w:val="00A645DA"/>
    <w:rsid w:val="00A64676"/>
    <w:rsid w:val="00A646C1"/>
    <w:rsid w:val="00A6471A"/>
    <w:rsid w:val="00A64C5F"/>
    <w:rsid w:val="00A64C82"/>
    <w:rsid w:val="00A64DDB"/>
    <w:rsid w:val="00A64F58"/>
    <w:rsid w:val="00A650EA"/>
    <w:rsid w:val="00A65114"/>
    <w:rsid w:val="00A6514A"/>
    <w:rsid w:val="00A651C0"/>
    <w:rsid w:val="00A653F2"/>
    <w:rsid w:val="00A65402"/>
    <w:rsid w:val="00A656B9"/>
    <w:rsid w:val="00A657A1"/>
    <w:rsid w:val="00A6581F"/>
    <w:rsid w:val="00A6583D"/>
    <w:rsid w:val="00A6586A"/>
    <w:rsid w:val="00A659E7"/>
    <w:rsid w:val="00A65AE9"/>
    <w:rsid w:val="00A65D1C"/>
    <w:rsid w:val="00A65E6D"/>
    <w:rsid w:val="00A65E9D"/>
    <w:rsid w:val="00A65FC1"/>
    <w:rsid w:val="00A65FD6"/>
    <w:rsid w:val="00A66100"/>
    <w:rsid w:val="00A662E0"/>
    <w:rsid w:val="00A6635D"/>
    <w:rsid w:val="00A663A1"/>
    <w:rsid w:val="00A6667A"/>
    <w:rsid w:val="00A666BB"/>
    <w:rsid w:val="00A66784"/>
    <w:rsid w:val="00A66A2B"/>
    <w:rsid w:val="00A66B94"/>
    <w:rsid w:val="00A66DB5"/>
    <w:rsid w:val="00A66F34"/>
    <w:rsid w:val="00A670CE"/>
    <w:rsid w:val="00A6721F"/>
    <w:rsid w:val="00A67242"/>
    <w:rsid w:val="00A67259"/>
    <w:rsid w:val="00A672E5"/>
    <w:rsid w:val="00A672F3"/>
    <w:rsid w:val="00A67402"/>
    <w:rsid w:val="00A675D1"/>
    <w:rsid w:val="00A67698"/>
    <w:rsid w:val="00A676C8"/>
    <w:rsid w:val="00A678F1"/>
    <w:rsid w:val="00A67902"/>
    <w:rsid w:val="00A679D4"/>
    <w:rsid w:val="00A67ACF"/>
    <w:rsid w:val="00A67B24"/>
    <w:rsid w:val="00A67B90"/>
    <w:rsid w:val="00A67BA5"/>
    <w:rsid w:val="00A67BDB"/>
    <w:rsid w:val="00A67C4F"/>
    <w:rsid w:val="00A67D05"/>
    <w:rsid w:val="00A67E77"/>
    <w:rsid w:val="00A67F75"/>
    <w:rsid w:val="00A67FE7"/>
    <w:rsid w:val="00A7001F"/>
    <w:rsid w:val="00A700DC"/>
    <w:rsid w:val="00A70179"/>
    <w:rsid w:val="00A7029E"/>
    <w:rsid w:val="00A702F2"/>
    <w:rsid w:val="00A702F8"/>
    <w:rsid w:val="00A704E3"/>
    <w:rsid w:val="00A705B1"/>
    <w:rsid w:val="00A7070B"/>
    <w:rsid w:val="00A707CB"/>
    <w:rsid w:val="00A70B41"/>
    <w:rsid w:val="00A70CAA"/>
    <w:rsid w:val="00A70D5F"/>
    <w:rsid w:val="00A71577"/>
    <w:rsid w:val="00A715F2"/>
    <w:rsid w:val="00A71691"/>
    <w:rsid w:val="00A7173A"/>
    <w:rsid w:val="00A71755"/>
    <w:rsid w:val="00A717E2"/>
    <w:rsid w:val="00A71902"/>
    <w:rsid w:val="00A71AC9"/>
    <w:rsid w:val="00A71EB5"/>
    <w:rsid w:val="00A71ED7"/>
    <w:rsid w:val="00A720A2"/>
    <w:rsid w:val="00A720AD"/>
    <w:rsid w:val="00A72106"/>
    <w:rsid w:val="00A72215"/>
    <w:rsid w:val="00A723D9"/>
    <w:rsid w:val="00A724BE"/>
    <w:rsid w:val="00A72521"/>
    <w:rsid w:val="00A72695"/>
    <w:rsid w:val="00A726B1"/>
    <w:rsid w:val="00A72740"/>
    <w:rsid w:val="00A727AA"/>
    <w:rsid w:val="00A728E4"/>
    <w:rsid w:val="00A72AA3"/>
    <w:rsid w:val="00A72D11"/>
    <w:rsid w:val="00A72FE5"/>
    <w:rsid w:val="00A73028"/>
    <w:rsid w:val="00A7312A"/>
    <w:rsid w:val="00A73242"/>
    <w:rsid w:val="00A7328C"/>
    <w:rsid w:val="00A7331E"/>
    <w:rsid w:val="00A73536"/>
    <w:rsid w:val="00A7379B"/>
    <w:rsid w:val="00A73AFF"/>
    <w:rsid w:val="00A73B5B"/>
    <w:rsid w:val="00A73BA6"/>
    <w:rsid w:val="00A73BD2"/>
    <w:rsid w:val="00A73EF2"/>
    <w:rsid w:val="00A73F5A"/>
    <w:rsid w:val="00A73FE3"/>
    <w:rsid w:val="00A74009"/>
    <w:rsid w:val="00A74180"/>
    <w:rsid w:val="00A74188"/>
    <w:rsid w:val="00A741FB"/>
    <w:rsid w:val="00A7420B"/>
    <w:rsid w:val="00A74269"/>
    <w:rsid w:val="00A7436A"/>
    <w:rsid w:val="00A74415"/>
    <w:rsid w:val="00A7445A"/>
    <w:rsid w:val="00A744B9"/>
    <w:rsid w:val="00A74524"/>
    <w:rsid w:val="00A745C1"/>
    <w:rsid w:val="00A745EC"/>
    <w:rsid w:val="00A747EE"/>
    <w:rsid w:val="00A7486E"/>
    <w:rsid w:val="00A74972"/>
    <w:rsid w:val="00A74A3D"/>
    <w:rsid w:val="00A74C26"/>
    <w:rsid w:val="00A74CE2"/>
    <w:rsid w:val="00A74EFB"/>
    <w:rsid w:val="00A75066"/>
    <w:rsid w:val="00A7535D"/>
    <w:rsid w:val="00A75483"/>
    <w:rsid w:val="00A7558E"/>
    <w:rsid w:val="00A756BD"/>
    <w:rsid w:val="00A756EE"/>
    <w:rsid w:val="00A75932"/>
    <w:rsid w:val="00A7598B"/>
    <w:rsid w:val="00A75B75"/>
    <w:rsid w:val="00A75D31"/>
    <w:rsid w:val="00A75DF2"/>
    <w:rsid w:val="00A75E76"/>
    <w:rsid w:val="00A75E78"/>
    <w:rsid w:val="00A7600E"/>
    <w:rsid w:val="00A76083"/>
    <w:rsid w:val="00A761D8"/>
    <w:rsid w:val="00A76252"/>
    <w:rsid w:val="00A7634C"/>
    <w:rsid w:val="00A7643A"/>
    <w:rsid w:val="00A7649A"/>
    <w:rsid w:val="00A7652D"/>
    <w:rsid w:val="00A767E7"/>
    <w:rsid w:val="00A768BC"/>
    <w:rsid w:val="00A769E8"/>
    <w:rsid w:val="00A76B20"/>
    <w:rsid w:val="00A76C95"/>
    <w:rsid w:val="00A77012"/>
    <w:rsid w:val="00A77074"/>
    <w:rsid w:val="00A7707C"/>
    <w:rsid w:val="00A7729E"/>
    <w:rsid w:val="00A775AD"/>
    <w:rsid w:val="00A77624"/>
    <w:rsid w:val="00A77690"/>
    <w:rsid w:val="00A776DF"/>
    <w:rsid w:val="00A777F6"/>
    <w:rsid w:val="00A7785E"/>
    <w:rsid w:val="00A7792F"/>
    <w:rsid w:val="00A779F1"/>
    <w:rsid w:val="00A77A88"/>
    <w:rsid w:val="00A77AB4"/>
    <w:rsid w:val="00A77BB4"/>
    <w:rsid w:val="00A77C2B"/>
    <w:rsid w:val="00A77E09"/>
    <w:rsid w:val="00A77F8E"/>
    <w:rsid w:val="00A77FAF"/>
    <w:rsid w:val="00A77FF5"/>
    <w:rsid w:val="00A801B8"/>
    <w:rsid w:val="00A801F4"/>
    <w:rsid w:val="00A801FF"/>
    <w:rsid w:val="00A8029B"/>
    <w:rsid w:val="00A803A3"/>
    <w:rsid w:val="00A8054A"/>
    <w:rsid w:val="00A80837"/>
    <w:rsid w:val="00A80863"/>
    <w:rsid w:val="00A808B5"/>
    <w:rsid w:val="00A80A9F"/>
    <w:rsid w:val="00A80B36"/>
    <w:rsid w:val="00A80B77"/>
    <w:rsid w:val="00A80BDA"/>
    <w:rsid w:val="00A80C8F"/>
    <w:rsid w:val="00A80CBC"/>
    <w:rsid w:val="00A80D89"/>
    <w:rsid w:val="00A80E1B"/>
    <w:rsid w:val="00A80FFA"/>
    <w:rsid w:val="00A81277"/>
    <w:rsid w:val="00A8131C"/>
    <w:rsid w:val="00A815F1"/>
    <w:rsid w:val="00A8160C"/>
    <w:rsid w:val="00A81616"/>
    <w:rsid w:val="00A8174E"/>
    <w:rsid w:val="00A81887"/>
    <w:rsid w:val="00A81B8A"/>
    <w:rsid w:val="00A81C23"/>
    <w:rsid w:val="00A81ED6"/>
    <w:rsid w:val="00A81F8D"/>
    <w:rsid w:val="00A82002"/>
    <w:rsid w:val="00A82034"/>
    <w:rsid w:val="00A82050"/>
    <w:rsid w:val="00A82070"/>
    <w:rsid w:val="00A821DC"/>
    <w:rsid w:val="00A8234A"/>
    <w:rsid w:val="00A823C8"/>
    <w:rsid w:val="00A8247D"/>
    <w:rsid w:val="00A824FD"/>
    <w:rsid w:val="00A826C6"/>
    <w:rsid w:val="00A826EB"/>
    <w:rsid w:val="00A829EA"/>
    <w:rsid w:val="00A82B41"/>
    <w:rsid w:val="00A82B6D"/>
    <w:rsid w:val="00A82C4F"/>
    <w:rsid w:val="00A82D73"/>
    <w:rsid w:val="00A82DC7"/>
    <w:rsid w:val="00A82E19"/>
    <w:rsid w:val="00A830A4"/>
    <w:rsid w:val="00A830F1"/>
    <w:rsid w:val="00A832EA"/>
    <w:rsid w:val="00A83407"/>
    <w:rsid w:val="00A83476"/>
    <w:rsid w:val="00A8349A"/>
    <w:rsid w:val="00A83588"/>
    <w:rsid w:val="00A835DC"/>
    <w:rsid w:val="00A8365E"/>
    <w:rsid w:val="00A836A5"/>
    <w:rsid w:val="00A83927"/>
    <w:rsid w:val="00A83972"/>
    <w:rsid w:val="00A83982"/>
    <w:rsid w:val="00A839CB"/>
    <w:rsid w:val="00A83C94"/>
    <w:rsid w:val="00A83CDB"/>
    <w:rsid w:val="00A83E7E"/>
    <w:rsid w:val="00A83FF9"/>
    <w:rsid w:val="00A841B2"/>
    <w:rsid w:val="00A8428F"/>
    <w:rsid w:val="00A846AB"/>
    <w:rsid w:val="00A84778"/>
    <w:rsid w:val="00A84855"/>
    <w:rsid w:val="00A848DB"/>
    <w:rsid w:val="00A849A1"/>
    <w:rsid w:val="00A84AE6"/>
    <w:rsid w:val="00A84B10"/>
    <w:rsid w:val="00A84FF5"/>
    <w:rsid w:val="00A85028"/>
    <w:rsid w:val="00A8505C"/>
    <w:rsid w:val="00A850CE"/>
    <w:rsid w:val="00A850DA"/>
    <w:rsid w:val="00A8523B"/>
    <w:rsid w:val="00A85301"/>
    <w:rsid w:val="00A853F9"/>
    <w:rsid w:val="00A855E3"/>
    <w:rsid w:val="00A858BF"/>
    <w:rsid w:val="00A858EB"/>
    <w:rsid w:val="00A85B67"/>
    <w:rsid w:val="00A85C10"/>
    <w:rsid w:val="00A85C79"/>
    <w:rsid w:val="00A85CB7"/>
    <w:rsid w:val="00A85D28"/>
    <w:rsid w:val="00A85ECD"/>
    <w:rsid w:val="00A85FDD"/>
    <w:rsid w:val="00A86137"/>
    <w:rsid w:val="00A8638F"/>
    <w:rsid w:val="00A863C8"/>
    <w:rsid w:val="00A86547"/>
    <w:rsid w:val="00A866AB"/>
    <w:rsid w:val="00A867C9"/>
    <w:rsid w:val="00A86A17"/>
    <w:rsid w:val="00A86A40"/>
    <w:rsid w:val="00A86C86"/>
    <w:rsid w:val="00A86D92"/>
    <w:rsid w:val="00A86E08"/>
    <w:rsid w:val="00A86FA5"/>
    <w:rsid w:val="00A87016"/>
    <w:rsid w:val="00A87037"/>
    <w:rsid w:val="00A87382"/>
    <w:rsid w:val="00A873A8"/>
    <w:rsid w:val="00A874B3"/>
    <w:rsid w:val="00A87685"/>
    <w:rsid w:val="00A87777"/>
    <w:rsid w:val="00A87909"/>
    <w:rsid w:val="00A8792D"/>
    <w:rsid w:val="00A87B38"/>
    <w:rsid w:val="00A87B81"/>
    <w:rsid w:val="00A87D7B"/>
    <w:rsid w:val="00A87E0A"/>
    <w:rsid w:val="00A87F1B"/>
    <w:rsid w:val="00A900A7"/>
    <w:rsid w:val="00A900F0"/>
    <w:rsid w:val="00A9059B"/>
    <w:rsid w:val="00A90693"/>
    <w:rsid w:val="00A9085B"/>
    <w:rsid w:val="00A908BA"/>
    <w:rsid w:val="00A90998"/>
    <w:rsid w:val="00A909AF"/>
    <w:rsid w:val="00A90A4C"/>
    <w:rsid w:val="00A90A71"/>
    <w:rsid w:val="00A90C5D"/>
    <w:rsid w:val="00A90CB8"/>
    <w:rsid w:val="00A90CD3"/>
    <w:rsid w:val="00A90F70"/>
    <w:rsid w:val="00A90F99"/>
    <w:rsid w:val="00A90FA8"/>
    <w:rsid w:val="00A910D2"/>
    <w:rsid w:val="00A911DF"/>
    <w:rsid w:val="00A9140D"/>
    <w:rsid w:val="00A9163E"/>
    <w:rsid w:val="00A9188F"/>
    <w:rsid w:val="00A91995"/>
    <w:rsid w:val="00A91A62"/>
    <w:rsid w:val="00A91C54"/>
    <w:rsid w:val="00A91D9A"/>
    <w:rsid w:val="00A91F03"/>
    <w:rsid w:val="00A91FD5"/>
    <w:rsid w:val="00A920F7"/>
    <w:rsid w:val="00A92118"/>
    <w:rsid w:val="00A92129"/>
    <w:rsid w:val="00A922BF"/>
    <w:rsid w:val="00A922C1"/>
    <w:rsid w:val="00A923DD"/>
    <w:rsid w:val="00A924F5"/>
    <w:rsid w:val="00A925A5"/>
    <w:rsid w:val="00A925A8"/>
    <w:rsid w:val="00A925BC"/>
    <w:rsid w:val="00A925CE"/>
    <w:rsid w:val="00A9275F"/>
    <w:rsid w:val="00A92A0C"/>
    <w:rsid w:val="00A92A94"/>
    <w:rsid w:val="00A92DDF"/>
    <w:rsid w:val="00A92DE8"/>
    <w:rsid w:val="00A92EE8"/>
    <w:rsid w:val="00A92FD9"/>
    <w:rsid w:val="00A93057"/>
    <w:rsid w:val="00A93209"/>
    <w:rsid w:val="00A93299"/>
    <w:rsid w:val="00A932D9"/>
    <w:rsid w:val="00A9333D"/>
    <w:rsid w:val="00A93377"/>
    <w:rsid w:val="00A933DF"/>
    <w:rsid w:val="00A9342F"/>
    <w:rsid w:val="00A934DD"/>
    <w:rsid w:val="00A9352F"/>
    <w:rsid w:val="00A935CE"/>
    <w:rsid w:val="00A9367A"/>
    <w:rsid w:val="00A93816"/>
    <w:rsid w:val="00A93822"/>
    <w:rsid w:val="00A93965"/>
    <w:rsid w:val="00A93AB4"/>
    <w:rsid w:val="00A93B06"/>
    <w:rsid w:val="00A93B9A"/>
    <w:rsid w:val="00A93D66"/>
    <w:rsid w:val="00A93D7C"/>
    <w:rsid w:val="00A93D80"/>
    <w:rsid w:val="00A93F1C"/>
    <w:rsid w:val="00A93F88"/>
    <w:rsid w:val="00A94085"/>
    <w:rsid w:val="00A9442A"/>
    <w:rsid w:val="00A94610"/>
    <w:rsid w:val="00A94649"/>
    <w:rsid w:val="00A94672"/>
    <w:rsid w:val="00A94863"/>
    <w:rsid w:val="00A9488D"/>
    <w:rsid w:val="00A94A83"/>
    <w:rsid w:val="00A94B27"/>
    <w:rsid w:val="00A94B73"/>
    <w:rsid w:val="00A94B83"/>
    <w:rsid w:val="00A94D3A"/>
    <w:rsid w:val="00A94D6B"/>
    <w:rsid w:val="00A94EC1"/>
    <w:rsid w:val="00A94F85"/>
    <w:rsid w:val="00A95480"/>
    <w:rsid w:val="00A95756"/>
    <w:rsid w:val="00A95757"/>
    <w:rsid w:val="00A95852"/>
    <w:rsid w:val="00A95916"/>
    <w:rsid w:val="00A95E0F"/>
    <w:rsid w:val="00A95F3B"/>
    <w:rsid w:val="00A95F63"/>
    <w:rsid w:val="00A95FD9"/>
    <w:rsid w:val="00A96008"/>
    <w:rsid w:val="00A96038"/>
    <w:rsid w:val="00A961CB"/>
    <w:rsid w:val="00A96285"/>
    <w:rsid w:val="00A9645F"/>
    <w:rsid w:val="00A964A3"/>
    <w:rsid w:val="00A9651E"/>
    <w:rsid w:val="00A9652C"/>
    <w:rsid w:val="00A9662A"/>
    <w:rsid w:val="00A966D6"/>
    <w:rsid w:val="00A9689A"/>
    <w:rsid w:val="00A968F1"/>
    <w:rsid w:val="00A96AEB"/>
    <w:rsid w:val="00A96D21"/>
    <w:rsid w:val="00A96D25"/>
    <w:rsid w:val="00A96DE6"/>
    <w:rsid w:val="00A96DF4"/>
    <w:rsid w:val="00A96E22"/>
    <w:rsid w:val="00A96E56"/>
    <w:rsid w:val="00A96F3D"/>
    <w:rsid w:val="00A97146"/>
    <w:rsid w:val="00A971EB"/>
    <w:rsid w:val="00A97343"/>
    <w:rsid w:val="00A9738D"/>
    <w:rsid w:val="00A97446"/>
    <w:rsid w:val="00A9746B"/>
    <w:rsid w:val="00A977D8"/>
    <w:rsid w:val="00A97812"/>
    <w:rsid w:val="00A97865"/>
    <w:rsid w:val="00A97B37"/>
    <w:rsid w:val="00A97C0B"/>
    <w:rsid w:val="00A97E6F"/>
    <w:rsid w:val="00AA0304"/>
    <w:rsid w:val="00AA05BB"/>
    <w:rsid w:val="00AA0626"/>
    <w:rsid w:val="00AA0753"/>
    <w:rsid w:val="00AA07A6"/>
    <w:rsid w:val="00AA091E"/>
    <w:rsid w:val="00AA0934"/>
    <w:rsid w:val="00AA098C"/>
    <w:rsid w:val="00AA09B6"/>
    <w:rsid w:val="00AA0B1D"/>
    <w:rsid w:val="00AA0B91"/>
    <w:rsid w:val="00AA0BC8"/>
    <w:rsid w:val="00AA0C19"/>
    <w:rsid w:val="00AA0C8C"/>
    <w:rsid w:val="00AA0CEA"/>
    <w:rsid w:val="00AA0D85"/>
    <w:rsid w:val="00AA0E16"/>
    <w:rsid w:val="00AA0F4F"/>
    <w:rsid w:val="00AA0F82"/>
    <w:rsid w:val="00AA10A6"/>
    <w:rsid w:val="00AA14F6"/>
    <w:rsid w:val="00AA173F"/>
    <w:rsid w:val="00AA1825"/>
    <w:rsid w:val="00AA1925"/>
    <w:rsid w:val="00AA1991"/>
    <w:rsid w:val="00AA1A10"/>
    <w:rsid w:val="00AA1AB1"/>
    <w:rsid w:val="00AA1CCE"/>
    <w:rsid w:val="00AA1CFB"/>
    <w:rsid w:val="00AA1EA8"/>
    <w:rsid w:val="00AA1EEC"/>
    <w:rsid w:val="00AA1F3D"/>
    <w:rsid w:val="00AA2053"/>
    <w:rsid w:val="00AA21F2"/>
    <w:rsid w:val="00AA236F"/>
    <w:rsid w:val="00AA23E0"/>
    <w:rsid w:val="00AA23E2"/>
    <w:rsid w:val="00AA25FE"/>
    <w:rsid w:val="00AA2642"/>
    <w:rsid w:val="00AA2A85"/>
    <w:rsid w:val="00AA2B28"/>
    <w:rsid w:val="00AA2B4F"/>
    <w:rsid w:val="00AA2B9E"/>
    <w:rsid w:val="00AA2CBB"/>
    <w:rsid w:val="00AA2E44"/>
    <w:rsid w:val="00AA2EA8"/>
    <w:rsid w:val="00AA2FD1"/>
    <w:rsid w:val="00AA315E"/>
    <w:rsid w:val="00AA320F"/>
    <w:rsid w:val="00AA323A"/>
    <w:rsid w:val="00AA33D4"/>
    <w:rsid w:val="00AA33D6"/>
    <w:rsid w:val="00AA3547"/>
    <w:rsid w:val="00AA35F9"/>
    <w:rsid w:val="00AA3604"/>
    <w:rsid w:val="00AA36E6"/>
    <w:rsid w:val="00AA3753"/>
    <w:rsid w:val="00AA3900"/>
    <w:rsid w:val="00AA3BE5"/>
    <w:rsid w:val="00AA3C03"/>
    <w:rsid w:val="00AA3C32"/>
    <w:rsid w:val="00AA3F67"/>
    <w:rsid w:val="00AA437A"/>
    <w:rsid w:val="00AA445D"/>
    <w:rsid w:val="00AA4497"/>
    <w:rsid w:val="00AA45BD"/>
    <w:rsid w:val="00AA4720"/>
    <w:rsid w:val="00AA47D8"/>
    <w:rsid w:val="00AA4845"/>
    <w:rsid w:val="00AA4A54"/>
    <w:rsid w:val="00AA4B1F"/>
    <w:rsid w:val="00AA4BB0"/>
    <w:rsid w:val="00AA4DE2"/>
    <w:rsid w:val="00AA4FCE"/>
    <w:rsid w:val="00AA5032"/>
    <w:rsid w:val="00AA507B"/>
    <w:rsid w:val="00AA509A"/>
    <w:rsid w:val="00AA50C0"/>
    <w:rsid w:val="00AA5117"/>
    <w:rsid w:val="00AA5191"/>
    <w:rsid w:val="00AA51EA"/>
    <w:rsid w:val="00AA5201"/>
    <w:rsid w:val="00AA52ED"/>
    <w:rsid w:val="00AA52F9"/>
    <w:rsid w:val="00AA56F6"/>
    <w:rsid w:val="00AA5852"/>
    <w:rsid w:val="00AA5BF8"/>
    <w:rsid w:val="00AA5C7C"/>
    <w:rsid w:val="00AA5E6E"/>
    <w:rsid w:val="00AA5EC2"/>
    <w:rsid w:val="00AA5FB4"/>
    <w:rsid w:val="00AA5FF3"/>
    <w:rsid w:val="00AA6224"/>
    <w:rsid w:val="00AA6255"/>
    <w:rsid w:val="00AA62A8"/>
    <w:rsid w:val="00AA6356"/>
    <w:rsid w:val="00AA6650"/>
    <w:rsid w:val="00AA676F"/>
    <w:rsid w:val="00AA6999"/>
    <w:rsid w:val="00AA6AAB"/>
    <w:rsid w:val="00AA6B22"/>
    <w:rsid w:val="00AA6BF1"/>
    <w:rsid w:val="00AA6E00"/>
    <w:rsid w:val="00AA6E49"/>
    <w:rsid w:val="00AA70D2"/>
    <w:rsid w:val="00AA725D"/>
    <w:rsid w:val="00AA72D9"/>
    <w:rsid w:val="00AA7382"/>
    <w:rsid w:val="00AA74BC"/>
    <w:rsid w:val="00AA7532"/>
    <w:rsid w:val="00AA75C9"/>
    <w:rsid w:val="00AA7646"/>
    <w:rsid w:val="00AA794D"/>
    <w:rsid w:val="00AA7A6B"/>
    <w:rsid w:val="00AA7B40"/>
    <w:rsid w:val="00AA7D80"/>
    <w:rsid w:val="00AA7F0D"/>
    <w:rsid w:val="00AB01EE"/>
    <w:rsid w:val="00AB0329"/>
    <w:rsid w:val="00AB04BC"/>
    <w:rsid w:val="00AB04D3"/>
    <w:rsid w:val="00AB0555"/>
    <w:rsid w:val="00AB061D"/>
    <w:rsid w:val="00AB064E"/>
    <w:rsid w:val="00AB0760"/>
    <w:rsid w:val="00AB0813"/>
    <w:rsid w:val="00AB097A"/>
    <w:rsid w:val="00AB0AD4"/>
    <w:rsid w:val="00AB0AE2"/>
    <w:rsid w:val="00AB0B8C"/>
    <w:rsid w:val="00AB0BAA"/>
    <w:rsid w:val="00AB0C1E"/>
    <w:rsid w:val="00AB0F45"/>
    <w:rsid w:val="00AB1095"/>
    <w:rsid w:val="00AB123A"/>
    <w:rsid w:val="00AB1256"/>
    <w:rsid w:val="00AB1294"/>
    <w:rsid w:val="00AB13CD"/>
    <w:rsid w:val="00AB13E1"/>
    <w:rsid w:val="00AB1416"/>
    <w:rsid w:val="00AB14E9"/>
    <w:rsid w:val="00AB14EF"/>
    <w:rsid w:val="00AB155C"/>
    <w:rsid w:val="00AB1588"/>
    <w:rsid w:val="00AB15C0"/>
    <w:rsid w:val="00AB1626"/>
    <w:rsid w:val="00AB1731"/>
    <w:rsid w:val="00AB183C"/>
    <w:rsid w:val="00AB183E"/>
    <w:rsid w:val="00AB1B6B"/>
    <w:rsid w:val="00AB1BD9"/>
    <w:rsid w:val="00AB1CEF"/>
    <w:rsid w:val="00AB1D14"/>
    <w:rsid w:val="00AB1E7A"/>
    <w:rsid w:val="00AB1EC6"/>
    <w:rsid w:val="00AB22C4"/>
    <w:rsid w:val="00AB22DA"/>
    <w:rsid w:val="00AB2361"/>
    <w:rsid w:val="00AB2380"/>
    <w:rsid w:val="00AB2397"/>
    <w:rsid w:val="00AB2708"/>
    <w:rsid w:val="00AB2826"/>
    <w:rsid w:val="00AB28FF"/>
    <w:rsid w:val="00AB2960"/>
    <w:rsid w:val="00AB2973"/>
    <w:rsid w:val="00AB29A3"/>
    <w:rsid w:val="00AB2A0F"/>
    <w:rsid w:val="00AB2B2B"/>
    <w:rsid w:val="00AB2B4A"/>
    <w:rsid w:val="00AB2BA4"/>
    <w:rsid w:val="00AB2C96"/>
    <w:rsid w:val="00AB2E43"/>
    <w:rsid w:val="00AB30EC"/>
    <w:rsid w:val="00AB3181"/>
    <w:rsid w:val="00AB3185"/>
    <w:rsid w:val="00AB3296"/>
    <w:rsid w:val="00AB3327"/>
    <w:rsid w:val="00AB350C"/>
    <w:rsid w:val="00AB3614"/>
    <w:rsid w:val="00AB3615"/>
    <w:rsid w:val="00AB36D0"/>
    <w:rsid w:val="00AB36E5"/>
    <w:rsid w:val="00AB38E2"/>
    <w:rsid w:val="00AB3C78"/>
    <w:rsid w:val="00AB3D03"/>
    <w:rsid w:val="00AB3DDF"/>
    <w:rsid w:val="00AB3EF8"/>
    <w:rsid w:val="00AB41A0"/>
    <w:rsid w:val="00AB4408"/>
    <w:rsid w:val="00AB4492"/>
    <w:rsid w:val="00AB44A5"/>
    <w:rsid w:val="00AB44B9"/>
    <w:rsid w:val="00AB46AC"/>
    <w:rsid w:val="00AB46D2"/>
    <w:rsid w:val="00AB4826"/>
    <w:rsid w:val="00AB489A"/>
    <w:rsid w:val="00AB4A45"/>
    <w:rsid w:val="00AB4B9C"/>
    <w:rsid w:val="00AB5101"/>
    <w:rsid w:val="00AB5122"/>
    <w:rsid w:val="00AB5205"/>
    <w:rsid w:val="00AB53BC"/>
    <w:rsid w:val="00AB53D9"/>
    <w:rsid w:val="00AB55F4"/>
    <w:rsid w:val="00AB5668"/>
    <w:rsid w:val="00AB5895"/>
    <w:rsid w:val="00AB5AF6"/>
    <w:rsid w:val="00AB5BDD"/>
    <w:rsid w:val="00AB5C99"/>
    <w:rsid w:val="00AB5EEB"/>
    <w:rsid w:val="00AB6191"/>
    <w:rsid w:val="00AB6245"/>
    <w:rsid w:val="00AB6273"/>
    <w:rsid w:val="00AB62CC"/>
    <w:rsid w:val="00AB631A"/>
    <w:rsid w:val="00AB63AD"/>
    <w:rsid w:val="00AB6582"/>
    <w:rsid w:val="00AB6741"/>
    <w:rsid w:val="00AB69D9"/>
    <w:rsid w:val="00AB6A3C"/>
    <w:rsid w:val="00AB6A42"/>
    <w:rsid w:val="00AB6AAA"/>
    <w:rsid w:val="00AB6CC4"/>
    <w:rsid w:val="00AB6D0E"/>
    <w:rsid w:val="00AB6D2E"/>
    <w:rsid w:val="00AB6DF6"/>
    <w:rsid w:val="00AB6ED6"/>
    <w:rsid w:val="00AB6EF2"/>
    <w:rsid w:val="00AB6F0A"/>
    <w:rsid w:val="00AB6F23"/>
    <w:rsid w:val="00AB6FB5"/>
    <w:rsid w:val="00AB7096"/>
    <w:rsid w:val="00AB70B5"/>
    <w:rsid w:val="00AB7118"/>
    <w:rsid w:val="00AB71A2"/>
    <w:rsid w:val="00AB7206"/>
    <w:rsid w:val="00AB729F"/>
    <w:rsid w:val="00AB72E9"/>
    <w:rsid w:val="00AB72FE"/>
    <w:rsid w:val="00AB7308"/>
    <w:rsid w:val="00AB73A4"/>
    <w:rsid w:val="00AB7461"/>
    <w:rsid w:val="00AB749F"/>
    <w:rsid w:val="00AB7864"/>
    <w:rsid w:val="00AB79E2"/>
    <w:rsid w:val="00AB7AAB"/>
    <w:rsid w:val="00AB7AD7"/>
    <w:rsid w:val="00AB7AEE"/>
    <w:rsid w:val="00AB7C03"/>
    <w:rsid w:val="00AB7DAB"/>
    <w:rsid w:val="00AB7F58"/>
    <w:rsid w:val="00AC0021"/>
    <w:rsid w:val="00AC005F"/>
    <w:rsid w:val="00AC0068"/>
    <w:rsid w:val="00AC0086"/>
    <w:rsid w:val="00AC0110"/>
    <w:rsid w:val="00AC01F5"/>
    <w:rsid w:val="00AC03DE"/>
    <w:rsid w:val="00AC05CB"/>
    <w:rsid w:val="00AC0632"/>
    <w:rsid w:val="00AC06D4"/>
    <w:rsid w:val="00AC08E2"/>
    <w:rsid w:val="00AC0948"/>
    <w:rsid w:val="00AC09AE"/>
    <w:rsid w:val="00AC0AA6"/>
    <w:rsid w:val="00AC0D0A"/>
    <w:rsid w:val="00AC0D70"/>
    <w:rsid w:val="00AC0DD3"/>
    <w:rsid w:val="00AC0DF8"/>
    <w:rsid w:val="00AC0EA0"/>
    <w:rsid w:val="00AC0FEE"/>
    <w:rsid w:val="00AC105A"/>
    <w:rsid w:val="00AC10F3"/>
    <w:rsid w:val="00AC11B1"/>
    <w:rsid w:val="00AC11FE"/>
    <w:rsid w:val="00AC12DD"/>
    <w:rsid w:val="00AC14DC"/>
    <w:rsid w:val="00AC1571"/>
    <w:rsid w:val="00AC16DD"/>
    <w:rsid w:val="00AC171E"/>
    <w:rsid w:val="00AC1919"/>
    <w:rsid w:val="00AC191E"/>
    <w:rsid w:val="00AC1953"/>
    <w:rsid w:val="00AC1AA3"/>
    <w:rsid w:val="00AC1B35"/>
    <w:rsid w:val="00AC1D40"/>
    <w:rsid w:val="00AC1DB7"/>
    <w:rsid w:val="00AC1DDF"/>
    <w:rsid w:val="00AC1E45"/>
    <w:rsid w:val="00AC1F59"/>
    <w:rsid w:val="00AC203D"/>
    <w:rsid w:val="00AC2201"/>
    <w:rsid w:val="00AC234A"/>
    <w:rsid w:val="00AC249B"/>
    <w:rsid w:val="00AC257A"/>
    <w:rsid w:val="00AC25AE"/>
    <w:rsid w:val="00AC2607"/>
    <w:rsid w:val="00AC29C4"/>
    <w:rsid w:val="00AC29DF"/>
    <w:rsid w:val="00AC2AC4"/>
    <w:rsid w:val="00AC2B17"/>
    <w:rsid w:val="00AC2BFE"/>
    <w:rsid w:val="00AC2D6C"/>
    <w:rsid w:val="00AC2E0A"/>
    <w:rsid w:val="00AC2FD6"/>
    <w:rsid w:val="00AC3125"/>
    <w:rsid w:val="00AC3148"/>
    <w:rsid w:val="00AC32A7"/>
    <w:rsid w:val="00AC32FF"/>
    <w:rsid w:val="00AC33CB"/>
    <w:rsid w:val="00AC348E"/>
    <w:rsid w:val="00AC3628"/>
    <w:rsid w:val="00AC37A8"/>
    <w:rsid w:val="00AC37F3"/>
    <w:rsid w:val="00AC388E"/>
    <w:rsid w:val="00AC395A"/>
    <w:rsid w:val="00AC39E6"/>
    <w:rsid w:val="00AC3A94"/>
    <w:rsid w:val="00AC3AF2"/>
    <w:rsid w:val="00AC3CA6"/>
    <w:rsid w:val="00AC3CBE"/>
    <w:rsid w:val="00AC3D0D"/>
    <w:rsid w:val="00AC3F4E"/>
    <w:rsid w:val="00AC3F82"/>
    <w:rsid w:val="00AC4028"/>
    <w:rsid w:val="00AC40BA"/>
    <w:rsid w:val="00AC40C9"/>
    <w:rsid w:val="00AC43DE"/>
    <w:rsid w:val="00AC44A7"/>
    <w:rsid w:val="00AC45E5"/>
    <w:rsid w:val="00AC46A9"/>
    <w:rsid w:val="00AC47D2"/>
    <w:rsid w:val="00AC486D"/>
    <w:rsid w:val="00AC48C1"/>
    <w:rsid w:val="00AC499E"/>
    <w:rsid w:val="00AC4BD3"/>
    <w:rsid w:val="00AC4EA1"/>
    <w:rsid w:val="00AC4EBF"/>
    <w:rsid w:val="00AC4ED8"/>
    <w:rsid w:val="00AC4FB8"/>
    <w:rsid w:val="00AC4FF5"/>
    <w:rsid w:val="00AC500F"/>
    <w:rsid w:val="00AC51A0"/>
    <w:rsid w:val="00AC52D3"/>
    <w:rsid w:val="00AC53A9"/>
    <w:rsid w:val="00AC5618"/>
    <w:rsid w:val="00AC561B"/>
    <w:rsid w:val="00AC5735"/>
    <w:rsid w:val="00AC5831"/>
    <w:rsid w:val="00AC585C"/>
    <w:rsid w:val="00AC5C29"/>
    <w:rsid w:val="00AC5C42"/>
    <w:rsid w:val="00AC5C76"/>
    <w:rsid w:val="00AC5D93"/>
    <w:rsid w:val="00AC5F13"/>
    <w:rsid w:val="00AC5F78"/>
    <w:rsid w:val="00AC62FB"/>
    <w:rsid w:val="00AC635A"/>
    <w:rsid w:val="00AC635B"/>
    <w:rsid w:val="00AC63FB"/>
    <w:rsid w:val="00AC6465"/>
    <w:rsid w:val="00AC6509"/>
    <w:rsid w:val="00AC670E"/>
    <w:rsid w:val="00AC6787"/>
    <w:rsid w:val="00AC6891"/>
    <w:rsid w:val="00AC6B1C"/>
    <w:rsid w:val="00AC6B60"/>
    <w:rsid w:val="00AC6BE3"/>
    <w:rsid w:val="00AC6D45"/>
    <w:rsid w:val="00AC6DED"/>
    <w:rsid w:val="00AC6E1C"/>
    <w:rsid w:val="00AC6E3D"/>
    <w:rsid w:val="00AC71B3"/>
    <w:rsid w:val="00AC73DB"/>
    <w:rsid w:val="00AC73FC"/>
    <w:rsid w:val="00AC740C"/>
    <w:rsid w:val="00AC770A"/>
    <w:rsid w:val="00AC772E"/>
    <w:rsid w:val="00AC7808"/>
    <w:rsid w:val="00AC7824"/>
    <w:rsid w:val="00AC796B"/>
    <w:rsid w:val="00AC7B2A"/>
    <w:rsid w:val="00AC7B7E"/>
    <w:rsid w:val="00AC7BBF"/>
    <w:rsid w:val="00AC7CB2"/>
    <w:rsid w:val="00AC7CD0"/>
    <w:rsid w:val="00AC7DE4"/>
    <w:rsid w:val="00AC7DF9"/>
    <w:rsid w:val="00AC7E04"/>
    <w:rsid w:val="00AC7EB6"/>
    <w:rsid w:val="00AD00AE"/>
    <w:rsid w:val="00AD026B"/>
    <w:rsid w:val="00AD0281"/>
    <w:rsid w:val="00AD0300"/>
    <w:rsid w:val="00AD0326"/>
    <w:rsid w:val="00AD04B8"/>
    <w:rsid w:val="00AD059B"/>
    <w:rsid w:val="00AD06BB"/>
    <w:rsid w:val="00AD0796"/>
    <w:rsid w:val="00AD07F3"/>
    <w:rsid w:val="00AD08CA"/>
    <w:rsid w:val="00AD0AED"/>
    <w:rsid w:val="00AD0B3D"/>
    <w:rsid w:val="00AD0B44"/>
    <w:rsid w:val="00AD0B4C"/>
    <w:rsid w:val="00AD0C02"/>
    <w:rsid w:val="00AD0DD3"/>
    <w:rsid w:val="00AD0EC0"/>
    <w:rsid w:val="00AD0F08"/>
    <w:rsid w:val="00AD118A"/>
    <w:rsid w:val="00AD1210"/>
    <w:rsid w:val="00AD1267"/>
    <w:rsid w:val="00AD1301"/>
    <w:rsid w:val="00AD131A"/>
    <w:rsid w:val="00AD1376"/>
    <w:rsid w:val="00AD13A7"/>
    <w:rsid w:val="00AD13A8"/>
    <w:rsid w:val="00AD1565"/>
    <w:rsid w:val="00AD163C"/>
    <w:rsid w:val="00AD16A8"/>
    <w:rsid w:val="00AD1A42"/>
    <w:rsid w:val="00AD1A75"/>
    <w:rsid w:val="00AD1B10"/>
    <w:rsid w:val="00AD1BD7"/>
    <w:rsid w:val="00AD1C50"/>
    <w:rsid w:val="00AD1C90"/>
    <w:rsid w:val="00AD1CAA"/>
    <w:rsid w:val="00AD20BD"/>
    <w:rsid w:val="00AD211D"/>
    <w:rsid w:val="00AD23E5"/>
    <w:rsid w:val="00AD2441"/>
    <w:rsid w:val="00AD264F"/>
    <w:rsid w:val="00AD2666"/>
    <w:rsid w:val="00AD26F6"/>
    <w:rsid w:val="00AD2810"/>
    <w:rsid w:val="00AD28A9"/>
    <w:rsid w:val="00AD2CC8"/>
    <w:rsid w:val="00AD2D1B"/>
    <w:rsid w:val="00AD2DAA"/>
    <w:rsid w:val="00AD2DE1"/>
    <w:rsid w:val="00AD2E1B"/>
    <w:rsid w:val="00AD3109"/>
    <w:rsid w:val="00AD3124"/>
    <w:rsid w:val="00AD34A1"/>
    <w:rsid w:val="00AD34BF"/>
    <w:rsid w:val="00AD36EE"/>
    <w:rsid w:val="00AD37D2"/>
    <w:rsid w:val="00AD3844"/>
    <w:rsid w:val="00AD3852"/>
    <w:rsid w:val="00AD38F5"/>
    <w:rsid w:val="00AD3DA4"/>
    <w:rsid w:val="00AD40ED"/>
    <w:rsid w:val="00AD4183"/>
    <w:rsid w:val="00AD41EE"/>
    <w:rsid w:val="00AD43F8"/>
    <w:rsid w:val="00AD45B2"/>
    <w:rsid w:val="00AD467A"/>
    <w:rsid w:val="00AD474B"/>
    <w:rsid w:val="00AD487F"/>
    <w:rsid w:val="00AD49BD"/>
    <w:rsid w:val="00AD4B0B"/>
    <w:rsid w:val="00AD4B42"/>
    <w:rsid w:val="00AD4B75"/>
    <w:rsid w:val="00AD4CF1"/>
    <w:rsid w:val="00AD4D35"/>
    <w:rsid w:val="00AD4F42"/>
    <w:rsid w:val="00AD4F4D"/>
    <w:rsid w:val="00AD4FDA"/>
    <w:rsid w:val="00AD5004"/>
    <w:rsid w:val="00AD510D"/>
    <w:rsid w:val="00AD512A"/>
    <w:rsid w:val="00AD5165"/>
    <w:rsid w:val="00AD516A"/>
    <w:rsid w:val="00AD538C"/>
    <w:rsid w:val="00AD5490"/>
    <w:rsid w:val="00AD54D2"/>
    <w:rsid w:val="00AD5557"/>
    <w:rsid w:val="00AD555C"/>
    <w:rsid w:val="00AD55AD"/>
    <w:rsid w:val="00AD5620"/>
    <w:rsid w:val="00AD565A"/>
    <w:rsid w:val="00AD57C9"/>
    <w:rsid w:val="00AD57DF"/>
    <w:rsid w:val="00AD57F6"/>
    <w:rsid w:val="00AD5803"/>
    <w:rsid w:val="00AD5908"/>
    <w:rsid w:val="00AD5B9F"/>
    <w:rsid w:val="00AD5DA5"/>
    <w:rsid w:val="00AD5E08"/>
    <w:rsid w:val="00AD5E18"/>
    <w:rsid w:val="00AD5FED"/>
    <w:rsid w:val="00AD6443"/>
    <w:rsid w:val="00AD6649"/>
    <w:rsid w:val="00AD6809"/>
    <w:rsid w:val="00AD686D"/>
    <w:rsid w:val="00AD69FE"/>
    <w:rsid w:val="00AD6A33"/>
    <w:rsid w:val="00AD6B22"/>
    <w:rsid w:val="00AD6B7B"/>
    <w:rsid w:val="00AD6DE1"/>
    <w:rsid w:val="00AD6F08"/>
    <w:rsid w:val="00AD6F5A"/>
    <w:rsid w:val="00AD6F68"/>
    <w:rsid w:val="00AD70FC"/>
    <w:rsid w:val="00AD712F"/>
    <w:rsid w:val="00AD7158"/>
    <w:rsid w:val="00AD71A1"/>
    <w:rsid w:val="00AD74BF"/>
    <w:rsid w:val="00AD7708"/>
    <w:rsid w:val="00AD7742"/>
    <w:rsid w:val="00AD775D"/>
    <w:rsid w:val="00AD7A25"/>
    <w:rsid w:val="00AD7A3A"/>
    <w:rsid w:val="00AD7B2E"/>
    <w:rsid w:val="00AD7B4C"/>
    <w:rsid w:val="00AD7EF4"/>
    <w:rsid w:val="00AE00E3"/>
    <w:rsid w:val="00AE01ED"/>
    <w:rsid w:val="00AE0307"/>
    <w:rsid w:val="00AE073D"/>
    <w:rsid w:val="00AE08D8"/>
    <w:rsid w:val="00AE0BCB"/>
    <w:rsid w:val="00AE0BEA"/>
    <w:rsid w:val="00AE0C45"/>
    <w:rsid w:val="00AE0E38"/>
    <w:rsid w:val="00AE1477"/>
    <w:rsid w:val="00AE1549"/>
    <w:rsid w:val="00AE16B2"/>
    <w:rsid w:val="00AE1717"/>
    <w:rsid w:val="00AE1752"/>
    <w:rsid w:val="00AE1757"/>
    <w:rsid w:val="00AE1840"/>
    <w:rsid w:val="00AE19E0"/>
    <w:rsid w:val="00AE19EC"/>
    <w:rsid w:val="00AE1A4F"/>
    <w:rsid w:val="00AE1D0A"/>
    <w:rsid w:val="00AE1D75"/>
    <w:rsid w:val="00AE1DAD"/>
    <w:rsid w:val="00AE2075"/>
    <w:rsid w:val="00AE20C1"/>
    <w:rsid w:val="00AE20EA"/>
    <w:rsid w:val="00AE2148"/>
    <w:rsid w:val="00AE2237"/>
    <w:rsid w:val="00AE233E"/>
    <w:rsid w:val="00AE23B7"/>
    <w:rsid w:val="00AE2459"/>
    <w:rsid w:val="00AE247F"/>
    <w:rsid w:val="00AE267F"/>
    <w:rsid w:val="00AE297B"/>
    <w:rsid w:val="00AE2CB2"/>
    <w:rsid w:val="00AE2D3A"/>
    <w:rsid w:val="00AE2EE9"/>
    <w:rsid w:val="00AE2F36"/>
    <w:rsid w:val="00AE2FE5"/>
    <w:rsid w:val="00AE3049"/>
    <w:rsid w:val="00AE3540"/>
    <w:rsid w:val="00AE37AF"/>
    <w:rsid w:val="00AE385B"/>
    <w:rsid w:val="00AE3864"/>
    <w:rsid w:val="00AE3996"/>
    <w:rsid w:val="00AE39A3"/>
    <w:rsid w:val="00AE3B42"/>
    <w:rsid w:val="00AE3BEE"/>
    <w:rsid w:val="00AE3CBA"/>
    <w:rsid w:val="00AE3D12"/>
    <w:rsid w:val="00AE3D6D"/>
    <w:rsid w:val="00AE3D9D"/>
    <w:rsid w:val="00AE3DAB"/>
    <w:rsid w:val="00AE3E0E"/>
    <w:rsid w:val="00AE3F2D"/>
    <w:rsid w:val="00AE3FFA"/>
    <w:rsid w:val="00AE408E"/>
    <w:rsid w:val="00AE40ED"/>
    <w:rsid w:val="00AE418C"/>
    <w:rsid w:val="00AE44A6"/>
    <w:rsid w:val="00AE45B1"/>
    <w:rsid w:val="00AE45F6"/>
    <w:rsid w:val="00AE4646"/>
    <w:rsid w:val="00AE480C"/>
    <w:rsid w:val="00AE495B"/>
    <w:rsid w:val="00AE4A5F"/>
    <w:rsid w:val="00AE4A85"/>
    <w:rsid w:val="00AE4C82"/>
    <w:rsid w:val="00AE4D46"/>
    <w:rsid w:val="00AE4ED9"/>
    <w:rsid w:val="00AE5001"/>
    <w:rsid w:val="00AE50BE"/>
    <w:rsid w:val="00AE5443"/>
    <w:rsid w:val="00AE5467"/>
    <w:rsid w:val="00AE54EA"/>
    <w:rsid w:val="00AE55E0"/>
    <w:rsid w:val="00AE565A"/>
    <w:rsid w:val="00AE58D5"/>
    <w:rsid w:val="00AE58F2"/>
    <w:rsid w:val="00AE5932"/>
    <w:rsid w:val="00AE5955"/>
    <w:rsid w:val="00AE5A0B"/>
    <w:rsid w:val="00AE5A8E"/>
    <w:rsid w:val="00AE5A99"/>
    <w:rsid w:val="00AE5C44"/>
    <w:rsid w:val="00AE5DA9"/>
    <w:rsid w:val="00AE5E88"/>
    <w:rsid w:val="00AE5FBC"/>
    <w:rsid w:val="00AE6027"/>
    <w:rsid w:val="00AE6477"/>
    <w:rsid w:val="00AE6528"/>
    <w:rsid w:val="00AE6533"/>
    <w:rsid w:val="00AE6548"/>
    <w:rsid w:val="00AE6554"/>
    <w:rsid w:val="00AE6595"/>
    <w:rsid w:val="00AE6686"/>
    <w:rsid w:val="00AE6721"/>
    <w:rsid w:val="00AE6856"/>
    <w:rsid w:val="00AE6AF9"/>
    <w:rsid w:val="00AE6C0C"/>
    <w:rsid w:val="00AE6F67"/>
    <w:rsid w:val="00AE6FE6"/>
    <w:rsid w:val="00AE71CE"/>
    <w:rsid w:val="00AE726B"/>
    <w:rsid w:val="00AE7577"/>
    <w:rsid w:val="00AE75C5"/>
    <w:rsid w:val="00AE76E5"/>
    <w:rsid w:val="00AE7A60"/>
    <w:rsid w:val="00AE7B2C"/>
    <w:rsid w:val="00AE7BFC"/>
    <w:rsid w:val="00AE7C50"/>
    <w:rsid w:val="00AE7D0D"/>
    <w:rsid w:val="00AE7D56"/>
    <w:rsid w:val="00AE7EA0"/>
    <w:rsid w:val="00AF01CC"/>
    <w:rsid w:val="00AF0354"/>
    <w:rsid w:val="00AF036E"/>
    <w:rsid w:val="00AF0377"/>
    <w:rsid w:val="00AF0437"/>
    <w:rsid w:val="00AF05E8"/>
    <w:rsid w:val="00AF0765"/>
    <w:rsid w:val="00AF07E4"/>
    <w:rsid w:val="00AF0D54"/>
    <w:rsid w:val="00AF0FA6"/>
    <w:rsid w:val="00AF10B8"/>
    <w:rsid w:val="00AF1356"/>
    <w:rsid w:val="00AF1393"/>
    <w:rsid w:val="00AF141B"/>
    <w:rsid w:val="00AF1645"/>
    <w:rsid w:val="00AF169B"/>
    <w:rsid w:val="00AF177D"/>
    <w:rsid w:val="00AF17CB"/>
    <w:rsid w:val="00AF1863"/>
    <w:rsid w:val="00AF1A0E"/>
    <w:rsid w:val="00AF1B34"/>
    <w:rsid w:val="00AF1B57"/>
    <w:rsid w:val="00AF1DD9"/>
    <w:rsid w:val="00AF1ECA"/>
    <w:rsid w:val="00AF1F43"/>
    <w:rsid w:val="00AF21A0"/>
    <w:rsid w:val="00AF236E"/>
    <w:rsid w:val="00AF23AC"/>
    <w:rsid w:val="00AF25E7"/>
    <w:rsid w:val="00AF2658"/>
    <w:rsid w:val="00AF278C"/>
    <w:rsid w:val="00AF27D8"/>
    <w:rsid w:val="00AF2902"/>
    <w:rsid w:val="00AF2AB9"/>
    <w:rsid w:val="00AF2CD9"/>
    <w:rsid w:val="00AF2E95"/>
    <w:rsid w:val="00AF315E"/>
    <w:rsid w:val="00AF33BA"/>
    <w:rsid w:val="00AF33D5"/>
    <w:rsid w:val="00AF3461"/>
    <w:rsid w:val="00AF3681"/>
    <w:rsid w:val="00AF3811"/>
    <w:rsid w:val="00AF3830"/>
    <w:rsid w:val="00AF3901"/>
    <w:rsid w:val="00AF3A00"/>
    <w:rsid w:val="00AF3C6D"/>
    <w:rsid w:val="00AF3D41"/>
    <w:rsid w:val="00AF3E1D"/>
    <w:rsid w:val="00AF3E37"/>
    <w:rsid w:val="00AF3EC7"/>
    <w:rsid w:val="00AF3FA8"/>
    <w:rsid w:val="00AF4076"/>
    <w:rsid w:val="00AF40A0"/>
    <w:rsid w:val="00AF40BC"/>
    <w:rsid w:val="00AF40DC"/>
    <w:rsid w:val="00AF4103"/>
    <w:rsid w:val="00AF4304"/>
    <w:rsid w:val="00AF4418"/>
    <w:rsid w:val="00AF449E"/>
    <w:rsid w:val="00AF46FF"/>
    <w:rsid w:val="00AF471B"/>
    <w:rsid w:val="00AF47B9"/>
    <w:rsid w:val="00AF47E6"/>
    <w:rsid w:val="00AF49E5"/>
    <w:rsid w:val="00AF4C20"/>
    <w:rsid w:val="00AF4C48"/>
    <w:rsid w:val="00AF4C68"/>
    <w:rsid w:val="00AF4D3E"/>
    <w:rsid w:val="00AF4E2C"/>
    <w:rsid w:val="00AF4E4F"/>
    <w:rsid w:val="00AF5001"/>
    <w:rsid w:val="00AF54B2"/>
    <w:rsid w:val="00AF5624"/>
    <w:rsid w:val="00AF57D5"/>
    <w:rsid w:val="00AF58BB"/>
    <w:rsid w:val="00AF5985"/>
    <w:rsid w:val="00AF5A94"/>
    <w:rsid w:val="00AF5AE7"/>
    <w:rsid w:val="00AF5CF6"/>
    <w:rsid w:val="00AF5DD2"/>
    <w:rsid w:val="00AF5DFB"/>
    <w:rsid w:val="00AF61A4"/>
    <w:rsid w:val="00AF61C2"/>
    <w:rsid w:val="00AF64B4"/>
    <w:rsid w:val="00AF64ED"/>
    <w:rsid w:val="00AF67E6"/>
    <w:rsid w:val="00AF6955"/>
    <w:rsid w:val="00AF69B4"/>
    <w:rsid w:val="00AF6A02"/>
    <w:rsid w:val="00AF6A12"/>
    <w:rsid w:val="00AF6B27"/>
    <w:rsid w:val="00AF6B9F"/>
    <w:rsid w:val="00AF6C46"/>
    <w:rsid w:val="00AF6F60"/>
    <w:rsid w:val="00AF6F96"/>
    <w:rsid w:val="00AF7019"/>
    <w:rsid w:val="00AF705B"/>
    <w:rsid w:val="00AF70A6"/>
    <w:rsid w:val="00AF71FF"/>
    <w:rsid w:val="00AF7224"/>
    <w:rsid w:val="00AF74C7"/>
    <w:rsid w:val="00AF7694"/>
    <w:rsid w:val="00AF771A"/>
    <w:rsid w:val="00AF7778"/>
    <w:rsid w:val="00AF779D"/>
    <w:rsid w:val="00AF7875"/>
    <w:rsid w:val="00AF788A"/>
    <w:rsid w:val="00AF78A2"/>
    <w:rsid w:val="00AF7A75"/>
    <w:rsid w:val="00AF7AC4"/>
    <w:rsid w:val="00AF7D25"/>
    <w:rsid w:val="00AF7E45"/>
    <w:rsid w:val="00AF7F81"/>
    <w:rsid w:val="00B00007"/>
    <w:rsid w:val="00B0004B"/>
    <w:rsid w:val="00B0005C"/>
    <w:rsid w:val="00B002CD"/>
    <w:rsid w:val="00B00498"/>
    <w:rsid w:val="00B004D4"/>
    <w:rsid w:val="00B005EC"/>
    <w:rsid w:val="00B0068E"/>
    <w:rsid w:val="00B006F1"/>
    <w:rsid w:val="00B0075E"/>
    <w:rsid w:val="00B007A0"/>
    <w:rsid w:val="00B00A97"/>
    <w:rsid w:val="00B00C62"/>
    <w:rsid w:val="00B00D03"/>
    <w:rsid w:val="00B00EE6"/>
    <w:rsid w:val="00B00FC7"/>
    <w:rsid w:val="00B01140"/>
    <w:rsid w:val="00B0145C"/>
    <w:rsid w:val="00B01491"/>
    <w:rsid w:val="00B0158F"/>
    <w:rsid w:val="00B0168C"/>
    <w:rsid w:val="00B0169F"/>
    <w:rsid w:val="00B01829"/>
    <w:rsid w:val="00B01A92"/>
    <w:rsid w:val="00B01C18"/>
    <w:rsid w:val="00B01D0A"/>
    <w:rsid w:val="00B01D3B"/>
    <w:rsid w:val="00B01E16"/>
    <w:rsid w:val="00B01F3B"/>
    <w:rsid w:val="00B01F93"/>
    <w:rsid w:val="00B020B3"/>
    <w:rsid w:val="00B020D1"/>
    <w:rsid w:val="00B02240"/>
    <w:rsid w:val="00B02251"/>
    <w:rsid w:val="00B023ED"/>
    <w:rsid w:val="00B027FB"/>
    <w:rsid w:val="00B0283E"/>
    <w:rsid w:val="00B02842"/>
    <w:rsid w:val="00B0285E"/>
    <w:rsid w:val="00B02898"/>
    <w:rsid w:val="00B029FC"/>
    <w:rsid w:val="00B02ABF"/>
    <w:rsid w:val="00B02CD9"/>
    <w:rsid w:val="00B02E3D"/>
    <w:rsid w:val="00B02ED5"/>
    <w:rsid w:val="00B03002"/>
    <w:rsid w:val="00B030C3"/>
    <w:rsid w:val="00B0315C"/>
    <w:rsid w:val="00B03192"/>
    <w:rsid w:val="00B032AD"/>
    <w:rsid w:val="00B032B1"/>
    <w:rsid w:val="00B036CB"/>
    <w:rsid w:val="00B03922"/>
    <w:rsid w:val="00B03A2B"/>
    <w:rsid w:val="00B03CC6"/>
    <w:rsid w:val="00B03D07"/>
    <w:rsid w:val="00B03FE1"/>
    <w:rsid w:val="00B03FEF"/>
    <w:rsid w:val="00B04125"/>
    <w:rsid w:val="00B041D8"/>
    <w:rsid w:val="00B04207"/>
    <w:rsid w:val="00B04342"/>
    <w:rsid w:val="00B0470C"/>
    <w:rsid w:val="00B048BF"/>
    <w:rsid w:val="00B04B8E"/>
    <w:rsid w:val="00B04BF2"/>
    <w:rsid w:val="00B04D69"/>
    <w:rsid w:val="00B04E7C"/>
    <w:rsid w:val="00B04F10"/>
    <w:rsid w:val="00B0502D"/>
    <w:rsid w:val="00B05085"/>
    <w:rsid w:val="00B05453"/>
    <w:rsid w:val="00B054CA"/>
    <w:rsid w:val="00B05500"/>
    <w:rsid w:val="00B055E8"/>
    <w:rsid w:val="00B056D2"/>
    <w:rsid w:val="00B058C2"/>
    <w:rsid w:val="00B05937"/>
    <w:rsid w:val="00B05A42"/>
    <w:rsid w:val="00B05B41"/>
    <w:rsid w:val="00B05CC7"/>
    <w:rsid w:val="00B05EBB"/>
    <w:rsid w:val="00B05EE5"/>
    <w:rsid w:val="00B06074"/>
    <w:rsid w:val="00B060DB"/>
    <w:rsid w:val="00B06138"/>
    <w:rsid w:val="00B06148"/>
    <w:rsid w:val="00B06375"/>
    <w:rsid w:val="00B063BA"/>
    <w:rsid w:val="00B06422"/>
    <w:rsid w:val="00B0646F"/>
    <w:rsid w:val="00B0648C"/>
    <w:rsid w:val="00B06546"/>
    <w:rsid w:val="00B065FB"/>
    <w:rsid w:val="00B06603"/>
    <w:rsid w:val="00B0663B"/>
    <w:rsid w:val="00B06750"/>
    <w:rsid w:val="00B068E3"/>
    <w:rsid w:val="00B06AEE"/>
    <w:rsid w:val="00B06CB8"/>
    <w:rsid w:val="00B06CCE"/>
    <w:rsid w:val="00B06D3F"/>
    <w:rsid w:val="00B06E4E"/>
    <w:rsid w:val="00B06E91"/>
    <w:rsid w:val="00B07274"/>
    <w:rsid w:val="00B073CD"/>
    <w:rsid w:val="00B07481"/>
    <w:rsid w:val="00B07578"/>
    <w:rsid w:val="00B07780"/>
    <w:rsid w:val="00B07839"/>
    <w:rsid w:val="00B078C1"/>
    <w:rsid w:val="00B0798E"/>
    <w:rsid w:val="00B07C5C"/>
    <w:rsid w:val="00B07E26"/>
    <w:rsid w:val="00B1026C"/>
    <w:rsid w:val="00B10292"/>
    <w:rsid w:val="00B10356"/>
    <w:rsid w:val="00B104A2"/>
    <w:rsid w:val="00B10599"/>
    <w:rsid w:val="00B106BA"/>
    <w:rsid w:val="00B106CE"/>
    <w:rsid w:val="00B106FC"/>
    <w:rsid w:val="00B1070F"/>
    <w:rsid w:val="00B10714"/>
    <w:rsid w:val="00B10844"/>
    <w:rsid w:val="00B108B9"/>
    <w:rsid w:val="00B10900"/>
    <w:rsid w:val="00B10903"/>
    <w:rsid w:val="00B10930"/>
    <w:rsid w:val="00B10934"/>
    <w:rsid w:val="00B109B9"/>
    <w:rsid w:val="00B10A1A"/>
    <w:rsid w:val="00B10AA4"/>
    <w:rsid w:val="00B10ABA"/>
    <w:rsid w:val="00B10C0F"/>
    <w:rsid w:val="00B10CBF"/>
    <w:rsid w:val="00B10F28"/>
    <w:rsid w:val="00B10F8D"/>
    <w:rsid w:val="00B1116E"/>
    <w:rsid w:val="00B111B4"/>
    <w:rsid w:val="00B111C9"/>
    <w:rsid w:val="00B114DB"/>
    <w:rsid w:val="00B1150A"/>
    <w:rsid w:val="00B11746"/>
    <w:rsid w:val="00B117EC"/>
    <w:rsid w:val="00B11853"/>
    <w:rsid w:val="00B11C37"/>
    <w:rsid w:val="00B11CE3"/>
    <w:rsid w:val="00B11F59"/>
    <w:rsid w:val="00B120AC"/>
    <w:rsid w:val="00B121CF"/>
    <w:rsid w:val="00B12414"/>
    <w:rsid w:val="00B124B2"/>
    <w:rsid w:val="00B124F4"/>
    <w:rsid w:val="00B12544"/>
    <w:rsid w:val="00B12645"/>
    <w:rsid w:val="00B1275E"/>
    <w:rsid w:val="00B12A22"/>
    <w:rsid w:val="00B12B7A"/>
    <w:rsid w:val="00B12C21"/>
    <w:rsid w:val="00B13052"/>
    <w:rsid w:val="00B13269"/>
    <w:rsid w:val="00B13356"/>
    <w:rsid w:val="00B134A7"/>
    <w:rsid w:val="00B134BF"/>
    <w:rsid w:val="00B13543"/>
    <w:rsid w:val="00B13668"/>
    <w:rsid w:val="00B1368F"/>
    <w:rsid w:val="00B137EC"/>
    <w:rsid w:val="00B13801"/>
    <w:rsid w:val="00B138CC"/>
    <w:rsid w:val="00B13913"/>
    <w:rsid w:val="00B13925"/>
    <w:rsid w:val="00B13990"/>
    <w:rsid w:val="00B13A1C"/>
    <w:rsid w:val="00B13A45"/>
    <w:rsid w:val="00B13C1A"/>
    <w:rsid w:val="00B13C4A"/>
    <w:rsid w:val="00B14137"/>
    <w:rsid w:val="00B141B0"/>
    <w:rsid w:val="00B1426E"/>
    <w:rsid w:val="00B142E9"/>
    <w:rsid w:val="00B14405"/>
    <w:rsid w:val="00B145D4"/>
    <w:rsid w:val="00B1468C"/>
    <w:rsid w:val="00B149AB"/>
    <w:rsid w:val="00B14A41"/>
    <w:rsid w:val="00B14BB1"/>
    <w:rsid w:val="00B14D0F"/>
    <w:rsid w:val="00B14D1D"/>
    <w:rsid w:val="00B14E18"/>
    <w:rsid w:val="00B151E5"/>
    <w:rsid w:val="00B15265"/>
    <w:rsid w:val="00B15294"/>
    <w:rsid w:val="00B152C8"/>
    <w:rsid w:val="00B15448"/>
    <w:rsid w:val="00B15470"/>
    <w:rsid w:val="00B154BB"/>
    <w:rsid w:val="00B15615"/>
    <w:rsid w:val="00B1563D"/>
    <w:rsid w:val="00B1569C"/>
    <w:rsid w:val="00B15838"/>
    <w:rsid w:val="00B158FE"/>
    <w:rsid w:val="00B15AA3"/>
    <w:rsid w:val="00B15ADB"/>
    <w:rsid w:val="00B15C20"/>
    <w:rsid w:val="00B15CA8"/>
    <w:rsid w:val="00B15E38"/>
    <w:rsid w:val="00B1600A"/>
    <w:rsid w:val="00B163BE"/>
    <w:rsid w:val="00B164B2"/>
    <w:rsid w:val="00B16605"/>
    <w:rsid w:val="00B16688"/>
    <w:rsid w:val="00B167A6"/>
    <w:rsid w:val="00B1681E"/>
    <w:rsid w:val="00B169D6"/>
    <w:rsid w:val="00B16A62"/>
    <w:rsid w:val="00B16A72"/>
    <w:rsid w:val="00B16A79"/>
    <w:rsid w:val="00B16AF1"/>
    <w:rsid w:val="00B16AF9"/>
    <w:rsid w:val="00B16D59"/>
    <w:rsid w:val="00B16DA7"/>
    <w:rsid w:val="00B16DED"/>
    <w:rsid w:val="00B16F52"/>
    <w:rsid w:val="00B1712E"/>
    <w:rsid w:val="00B172CA"/>
    <w:rsid w:val="00B172E7"/>
    <w:rsid w:val="00B17437"/>
    <w:rsid w:val="00B17460"/>
    <w:rsid w:val="00B1759F"/>
    <w:rsid w:val="00B1760C"/>
    <w:rsid w:val="00B1769E"/>
    <w:rsid w:val="00B176A5"/>
    <w:rsid w:val="00B177BF"/>
    <w:rsid w:val="00B17961"/>
    <w:rsid w:val="00B17A5C"/>
    <w:rsid w:val="00B17B38"/>
    <w:rsid w:val="00B17C57"/>
    <w:rsid w:val="00B17CA5"/>
    <w:rsid w:val="00B17F72"/>
    <w:rsid w:val="00B203BD"/>
    <w:rsid w:val="00B20487"/>
    <w:rsid w:val="00B206C2"/>
    <w:rsid w:val="00B207EE"/>
    <w:rsid w:val="00B20AFF"/>
    <w:rsid w:val="00B20B18"/>
    <w:rsid w:val="00B20B4F"/>
    <w:rsid w:val="00B20C4A"/>
    <w:rsid w:val="00B20DA5"/>
    <w:rsid w:val="00B20E62"/>
    <w:rsid w:val="00B210B0"/>
    <w:rsid w:val="00B2110B"/>
    <w:rsid w:val="00B21130"/>
    <w:rsid w:val="00B212AC"/>
    <w:rsid w:val="00B213B5"/>
    <w:rsid w:val="00B21636"/>
    <w:rsid w:val="00B2170C"/>
    <w:rsid w:val="00B21745"/>
    <w:rsid w:val="00B21797"/>
    <w:rsid w:val="00B21909"/>
    <w:rsid w:val="00B21931"/>
    <w:rsid w:val="00B219AD"/>
    <w:rsid w:val="00B21A1A"/>
    <w:rsid w:val="00B21ADD"/>
    <w:rsid w:val="00B21D9F"/>
    <w:rsid w:val="00B21F86"/>
    <w:rsid w:val="00B22110"/>
    <w:rsid w:val="00B2225A"/>
    <w:rsid w:val="00B222B8"/>
    <w:rsid w:val="00B223F5"/>
    <w:rsid w:val="00B22496"/>
    <w:rsid w:val="00B224B1"/>
    <w:rsid w:val="00B225FA"/>
    <w:rsid w:val="00B227A0"/>
    <w:rsid w:val="00B228EA"/>
    <w:rsid w:val="00B228EB"/>
    <w:rsid w:val="00B22905"/>
    <w:rsid w:val="00B229D1"/>
    <w:rsid w:val="00B22AD4"/>
    <w:rsid w:val="00B22F6B"/>
    <w:rsid w:val="00B23344"/>
    <w:rsid w:val="00B234EC"/>
    <w:rsid w:val="00B23583"/>
    <w:rsid w:val="00B235F6"/>
    <w:rsid w:val="00B236B2"/>
    <w:rsid w:val="00B23759"/>
    <w:rsid w:val="00B23814"/>
    <w:rsid w:val="00B23AC4"/>
    <w:rsid w:val="00B23C71"/>
    <w:rsid w:val="00B23C8C"/>
    <w:rsid w:val="00B23D49"/>
    <w:rsid w:val="00B23D51"/>
    <w:rsid w:val="00B23F7C"/>
    <w:rsid w:val="00B23FB6"/>
    <w:rsid w:val="00B2404A"/>
    <w:rsid w:val="00B240B2"/>
    <w:rsid w:val="00B240DC"/>
    <w:rsid w:val="00B24177"/>
    <w:rsid w:val="00B242CD"/>
    <w:rsid w:val="00B2447B"/>
    <w:rsid w:val="00B245E1"/>
    <w:rsid w:val="00B24643"/>
    <w:rsid w:val="00B246F1"/>
    <w:rsid w:val="00B247FB"/>
    <w:rsid w:val="00B24833"/>
    <w:rsid w:val="00B2490B"/>
    <w:rsid w:val="00B2495A"/>
    <w:rsid w:val="00B24993"/>
    <w:rsid w:val="00B24A45"/>
    <w:rsid w:val="00B24C3F"/>
    <w:rsid w:val="00B24D0A"/>
    <w:rsid w:val="00B24E6F"/>
    <w:rsid w:val="00B24F7F"/>
    <w:rsid w:val="00B25047"/>
    <w:rsid w:val="00B2525B"/>
    <w:rsid w:val="00B25326"/>
    <w:rsid w:val="00B2535D"/>
    <w:rsid w:val="00B25392"/>
    <w:rsid w:val="00B253B6"/>
    <w:rsid w:val="00B2556C"/>
    <w:rsid w:val="00B255E3"/>
    <w:rsid w:val="00B2570B"/>
    <w:rsid w:val="00B25994"/>
    <w:rsid w:val="00B25996"/>
    <w:rsid w:val="00B25A7D"/>
    <w:rsid w:val="00B25ACF"/>
    <w:rsid w:val="00B25DC5"/>
    <w:rsid w:val="00B26003"/>
    <w:rsid w:val="00B2601C"/>
    <w:rsid w:val="00B2604F"/>
    <w:rsid w:val="00B2612D"/>
    <w:rsid w:val="00B263B5"/>
    <w:rsid w:val="00B264CF"/>
    <w:rsid w:val="00B26582"/>
    <w:rsid w:val="00B2664E"/>
    <w:rsid w:val="00B26772"/>
    <w:rsid w:val="00B26777"/>
    <w:rsid w:val="00B267A9"/>
    <w:rsid w:val="00B269A3"/>
    <w:rsid w:val="00B26DA7"/>
    <w:rsid w:val="00B26EBB"/>
    <w:rsid w:val="00B27032"/>
    <w:rsid w:val="00B27166"/>
    <w:rsid w:val="00B2773E"/>
    <w:rsid w:val="00B2791C"/>
    <w:rsid w:val="00B279FC"/>
    <w:rsid w:val="00B27A46"/>
    <w:rsid w:val="00B27B87"/>
    <w:rsid w:val="00B27D2E"/>
    <w:rsid w:val="00B27E8E"/>
    <w:rsid w:val="00B27FB5"/>
    <w:rsid w:val="00B30176"/>
    <w:rsid w:val="00B302D7"/>
    <w:rsid w:val="00B3034B"/>
    <w:rsid w:val="00B3075F"/>
    <w:rsid w:val="00B3079F"/>
    <w:rsid w:val="00B307DA"/>
    <w:rsid w:val="00B309C1"/>
    <w:rsid w:val="00B30B84"/>
    <w:rsid w:val="00B30D6B"/>
    <w:rsid w:val="00B30E10"/>
    <w:rsid w:val="00B30E7E"/>
    <w:rsid w:val="00B30F87"/>
    <w:rsid w:val="00B30FC2"/>
    <w:rsid w:val="00B31022"/>
    <w:rsid w:val="00B3113C"/>
    <w:rsid w:val="00B31144"/>
    <w:rsid w:val="00B31156"/>
    <w:rsid w:val="00B311D4"/>
    <w:rsid w:val="00B313D4"/>
    <w:rsid w:val="00B31429"/>
    <w:rsid w:val="00B3142B"/>
    <w:rsid w:val="00B317A7"/>
    <w:rsid w:val="00B3183D"/>
    <w:rsid w:val="00B319AF"/>
    <w:rsid w:val="00B319E6"/>
    <w:rsid w:val="00B31BBA"/>
    <w:rsid w:val="00B31C5F"/>
    <w:rsid w:val="00B31DE6"/>
    <w:rsid w:val="00B32197"/>
    <w:rsid w:val="00B3244A"/>
    <w:rsid w:val="00B32470"/>
    <w:rsid w:val="00B3252F"/>
    <w:rsid w:val="00B32967"/>
    <w:rsid w:val="00B329B0"/>
    <w:rsid w:val="00B32A0C"/>
    <w:rsid w:val="00B32ABD"/>
    <w:rsid w:val="00B32AD7"/>
    <w:rsid w:val="00B32C36"/>
    <w:rsid w:val="00B32D29"/>
    <w:rsid w:val="00B32EB2"/>
    <w:rsid w:val="00B32F55"/>
    <w:rsid w:val="00B330D9"/>
    <w:rsid w:val="00B3317D"/>
    <w:rsid w:val="00B331E9"/>
    <w:rsid w:val="00B33228"/>
    <w:rsid w:val="00B333D8"/>
    <w:rsid w:val="00B33402"/>
    <w:rsid w:val="00B3378B"/>
    <w:rsid w:val="00B337AF"/>
    <w:rsid w:val="00B338A7"/>
    <w:rsid w:val="00B339D3"/>
    <w:rsid w:val="00B33B35"/>
    <w:rsid w:val="00B33BD5"/>
    <w:rsid w:val="00B33BDD"/>
    <w:rsid w:val="00B33D12"/>
    <w:rsid w:val="00B33F4A"/>
    <w:rsid w:val="00B34132"/>
    <w:rsid w:val="00B34149"/>
    <w:rsid w:val="00B3446D"/>
    <w:rsid w:val="00B344B4"/>
    <w:rsid w:val="00B344CC"/>
    <w:rsid w:val="00B34536"/>
    <w:rsid w:val="00B3454B"/>
    <w:rsid w:val="00B346F7"/>
    <w:rsid w:val="00B34703"/>
    <w:rsid w:val="00B34737"/>
    <w:rsid w:val="00B348A1"/>
    <w:rsid w:val="00B34918"/>
    <w:rsid w:val="00B34CF7"/>
    <w:rsid w:val="00B34D77"/>
    <w:rsid w:val="00B34E56"/>
    <w:rsid w:val="00B34F82"/>
    <w:rsid w:val="00B3505A"/>
    <w:rsid w:val="00B35485"/>
    <w:rsid w:val="00B354D5"/>
    <w:rsid w:val="00B35699"/>
    <w:rsid w:val="00B35A1E"/>
    <w:rsid w:val="00B35B64"/>
    <w:rsid w:val="00B35D02"/>
    <w:rsid w:val="00B35D04"/>
    <w:rsid w:val="00B35D43"/>
    <w:rsid w:val="00B35D52"/>
    <w:rsid w:val="00B35E0E"/>
    <w:rsid w:val="00B35F42"/>
    <w:rsid w:val="00B35FBB"/>
    <w:rsid w:val="00B360B4"/>
    <w:rsid w:val="00B362F1"/>
    <w:rsid w:val="00B36556"/>
    <w:rsid w:val="00B36583"/>
    <w:rsid w:val="00B365D7"/>
    <w:rsid w:val="00B365D9"/>
    <w:rsid w:val="00B3663B"/>
    <w:rsid w:val="00B3667F"/>
    <w:rsid w:val="00B366D2"/>
    <w:rsid w:val="00B3673B"/>
    <w:rsid w:val="00B3682F"/>
    <w:rsid w:val="00B36988"/>
    <w:rsid w:val="00B36AFC"/>
    <w:rsid w:val="00B36C7A"/>
    <w:rsid w:val="00B36CE7"/>
    <w:rsid w:val="00B36CF2"/>
    <w:rsid w:val="00B36D57"/>
    <w:rsid w:val="00B36D94"/>
    <w:rsid w:val="00B36D96"/>
    <w:rsid w:val="00B36E52"/>
    <w:rsid w:val="00B36F52"/>
    <w:rsid w:val="00B37031"/>
    <w:rsid w:val="00B373D8"/>
    <w:rsid w:val="00B37426"/>
    <w:rsid w:val="00B37449"/>
    <w:rsid w:val="00B374F4"/>
    <w:rsid w:val="00B375D4"/>
    <w:rsid w:val="00B3762C"/>
    <w:rsid w:val="00B376EE"/>
    <w:rsid w:val="00B37861"/>
    <w:rsid w:val="00B37875"/>
    <w:rsid w:val="00B37B23"/>
    <w:rsid w:val="00B37B82"/>
    <w:rsid w:val="00B37BFD"/>
    <w:rsid w:val="00B37D75"/>
    <w:rsid w:val="00B37E6B"/>
    <w:rsid w:val="00B37EA1"/>
    <w:rsid w:val="00B37FCB"/>
    <w:rsid w:val="00B37FFE"/>
    <w:rsid w:val="00B4012F"/>
    <w:rsid w:val="00B4023E"/>
    <w:rsid w:val="00B40266"/>
    <w:rsid w:val="00B403AE"/>
    <w:rsid w:val="00B404C1"/>
    <w:rsid w:val="00B40577"/>
    <w:rsid w:val="00B405A2"/>
    <w:rsid w:val="00B405DE"/>
    <w:rsid w:val="00B4066D"/>
    <w:rsid w:val="00B4070B"/>
    <w:rsid w:val="00B408CF"/>
    <w:rsid w:val="00B4095B"/>
    <w:rsid w:val="00B409A4"/>
    <w:rsid w:val="00B40A4A"/>
    <w:rsid w:val="00B40A4F"/>
    <w:rsid w:val="00B40A8B"/>
    <w:rsid w:val="00B40BC5"/>
    <w:rsid w:val="00B40BD1"/>
    <w:rsid w:val="00B40C7E"/>
    <w:rsid w:val="00B40C83"/>
    <w:rsid w:val="00B40DC4"/>
    <w:rsid w:val="00B40ECD"/>
    <w:rsid w:val="00B40FBD"/>
    <w:rsid w:val="00B40FF3"/>
    <w:rsid w:val="00B41044"/>
    <w:rsid w:val="00B41052"/>
    <w:rsid w:val="00B41144"/>
    <w:rsid w:val="00B412D7"/>
    <w:rsid w:val="00B419E6"/>
    <w:rsid w:val="00B41A95"/>
    <w:rsid w:val="00B41AEE"/>
    <w:rsid w:val="00B41CB7"/>
    <w:rsid w:val="00B41D25"/>
    <w:rsid w:val="00B41EEB"/>
    <w:rsid w:val="00B42079"/>
    <w:rsid w:val="00B422A7"/>
    <w:rsid w:val="00B423B8"/>
    <w:rsid w:val="00B423C1"/>
    <w:rsid w:val="00B4256C"/>
    <w:rsid w:val="00B425DD"/>
    <w:rsid w:val="00B42614"/>
    <w:rsid w:val="00B426D7"/>
    <w:rsid w:val="00B4270B"/>
    <w:rsid w:val="00B427C5"/>
    <w:rsid w:val="00B427DA"/>
    <w:rsid w:val="00B42903"/>
    <w:rsid w:val="00B42937"/>
    <w:rsid w:val="00B42AB8"/>
    <w:rsid w:val="00B42AFB"/>
    <w:rsid w:val="00B42B5D"/>
    <w:rsid w:val="00B42C16"/>
    <w:rsid w:val="00B42C76"/>
    <w:rsid w:val="00B42C95"/>
    <w:rsid w:val="00B42E73"/>
    <w:rsid w:val="00B42F36"/>
    <w:rsid w:val="00B42FEB"/>
    <w:rsid w:val="00B43013"/>
    <w:rsid w:val="00B430C1"/>
    <w:rsid w:val="00B430C8"/>
    <w:rsid w:val="00B43251"/>
    <w:rsid w:val="00B4327F"/>
    <w:rsid w:val="00B43334"/>
    <w:rsid w:val="00B43521"/>
    <w:rsid w:val="00B43524"/>
    <w:rsid w:val="00B436A4"/>
    <w:rsid w:val="00B436CC"/>
    <w:rsid w:val="00B4382D"/>
    <w:rsid w:val="00B439FB"/>
    <w:rsid w:val="00B43A68"/>
    <w:rsid w:val="00B43ADB"/>
    <w:rsid w:val="00B43B4E"/>
    <w:rsid w:val="00B43C04"/>
    <w:rsid w:val="00B43D12"/>
    <w:rsid w:val="00B43D30"/>
    <w:rsid w:val="00B43DC3"/>
    <w:rsid w:val="00B43F6A"/>
    <w:rsid w:val="00B440E8"/>
    <w:rsid w:val="00B44139"/>
    <w:rsid w:val="00B44219"/>
    <w:rsid w:val="00B44248"/>
    <w:rsid w:val="00B44341"/>
    <w:rsid w:val="00B44468"/>
    <w:rsid w:val="00B444DF"/>
    <w:rsid w:val="00B44815"/>
    <w:rsid w:val="00B44886"/>
    <w:rsid w:val="00B44A9A"/>
    <w:rsid w:val="00B44AF3"/>
    <w:rsid w:val="00B44D42"/>
    <w:rsid w:val="00B451B1"/>
    <w:rsid w:val="00B45500"/>
    <w:rsid w:val="00B4552D"/>
    <w:rsid w:val="00B455C1"/>
    <w:rsid w:val="00B456F2"/>
    <w:rsid w:val="00B45763"/>
    <w:rsid w:val="00B45997"/>
    <w:rsid w:val="00B45B18"/>
    <w:rsid w:val="00B45B1B"/>
    <w:rsid w:val="00B45B2B"/>
    <w:rsid w:val="00B45E06"/>
    <w:rsid w:val="00B45F0B"/>
    <w:rsid w:val="00B460E0"/>
    <w:rsid w:val="00B460E6"/>
    <w:rsid w:val="00B4616C"/>
    <w:rsid w:val="00B46199"/>
    <w:rsid w:val="00B46392"/>
    <w:rsid w:val="00B463F4"/>
    <w:rsid w:val="00B466A7"/>
    <w:rsid w:val="00B467AA"/>
    <w:rsid w:val="00B46802"/>
    <w:rsid w:val="00B46821"/>
    <w:rsid w:val="00B4687D"/>
    <w:rsid w:val="00B468DA"/>
    <w:rsid w:val="00B468E7"/>
    <w:rsid w:val="00B46A2D"/>
    <w:rsid w:val="00B46A50"/>
    <w:rsid w:val="00B46C93"/>
    <w:rsid w:val="00B47058"/>
    <w:rsid w:val="00B470BF"/>
    <w:rsid w:val="00B471F2"/>
    <w:rsid w:val="00B472FC"/>
    <w:rsid w:val="00B477F2"/>
    <w:rsid w:val="00B47997"/>
    <w:rsid w:val="00B479C9"/>
    <w:rsid w:val="00B47C69"/>
    <w:rsid w:val="00B50169"/>
    <w:rsid w:val="00B50294"/>
    <w:rsid w:val="00B50354"/>
    <w:rsid w:val="00B5058C"/>
    <w:rsid w:val="00B50613"/>
    <w:rsid w:val="00B50620"/>
    <w:rsid w:val="00B506C6"/>
    <w:rsid w:val="00B50892"/>
    <w:rsid w:val="00B508EC"/>
    <w:rsid w:val="00B509DC"/>
    <w:rsid w:val="00B51116"/>
    <w:rsid w:val="00B51171"/>
    <w:rsid w:val="00B51362"/>
    <w:rsid w:val="00B513CD"/>
    <w:rsid w:val="00B5163B"/>
    <w:rsid w:val="00B51656"/>
    <w:rsid w:val="00B516B7"/>
    <w:rsid w:val="00B51755"/>
    <w:rsid w:val="00B5177B"/>
    <w:rsid w:val="00B5184B"/>
    <w:rsid w:val="00B51BB0"/>
    <w:rsid w:val="00B51BE3"/>
    <w:rsid w:val="00B51D10"/>
    <w:rsid w:val="00B51DC5"/>
    <w:rsid w:val="00B5200E"/>
    <w:rsid w:val="00B521B2"/>
    <w:rsid w:val="00B52358"/>
    <w:rsid w:val="00B5239C"/>
    <w:rsid w:val="00B52527"/>
    <w:rsid w:val="00B5262B"/>
    <w:rsid w:val="00B5290A"/>
    <w:rsid w:val="00B52997"/>
    <w:rsid w:val="00B529B1"/>
    <w:rsid w:val="00B52BD4"/>
    <w:rsid w:val="00B52CCC"/>
    <w:rsid w:val="00B52D6D"/>
    <w:rsid w:val="00B52EE9"/>
    <w:rsid w:val="00B53048"/>
    <w:rsid w:val="00B53058"/>
    <w:rsid w:val="00B530B6"/>
    <w:rsid w:val="00B531AE"/>
    <w:rsid w:val="00B53365"/>
    <w:rsid w:val="00B5359A"/>
    <w:rsid w:val="00B53676"/>
    <w:rsid w:val="00B53909"/>
    <w:rsid w:val="00B539D1"/>
    <w:rsid w:val="00B53A43"/>
    <w:rsid w:val="00B53A7A"/>
    <w:rsid w:val="00B53AC6"/>
    <w:rsid w:val="00B53B8C"/>
    <w:rsid w:val="00B53C70"/>
    <w:rsid w:val="00B53D60"/>
    <w:rsid w:val="00B53D9D"/>
    <w:rsid w:val="00B53DF3"/>
    <w:rsid w:val="00B53EB9"/>
    <w:rsid w:val="00B53FAA"/>
    <w:rsid w:val="00B53FFC"/>
    <w:rsid w:val="00B540BF"/>
    <w:rsid w:val="00B5422E"/>
    <w:rsid w:val="00B5445D"/>
    <w:rsid w:val="00B545E4"/>
    <w:rsid w:val="00B547BF"/>
    <w:rsid w:val="00B547E0"/>
    <w:rsid w:val="00B5494C"/>
    <w:rsid w:val="00B54C55"/>
    <w:rsid w:val="00B54D2C"/>
    <w:rsid w:val="00B54DCB"/>
    <w:rsid w:val="00B55261"/>
    <w:rsid w:val="00B553DA"/>
    <w:rsid w:val="00B55521"/>
    <w:rsid w:val="00B5557B"/>
    <w:rsid w:val="00B556B2"/>
    <w:rsid w:val="00B556D5"/>
    <w:rsid w:val="00B556EB"/>
    <w:rsid w:val="00B55804"/>
    <w:rsid w:val="00B55954"/>
    <w:rsid w:val="00B5598C"/>
    <w:rsid w:val="00B55A5B"/>
    <w:rsid w:val="00B55D38"/>
    <w:rsid w:val="00B55E98"/>
    <w:rsid w:val="00B55ED6"/>
    <w:rsid w:val="00B55EDD"/>
    <w:rsid w:val="00B55EF8"/>
    <w:rsid w:val="00B561C8"/>
    <w:rsid w:val="00B562D1"/>
    <w:rsid w:val="00B56303"/>
    <w:rsid w:val="00B56429"/>
    <w:rsid w:val="00B564E5"/>
    <w:rsid w:val="00B56544"/>
    <w:rsid w:val="00B568B2"/>
    <w:rsid w:val="00B56983"/>
    <w:rsid w:val="00B569C3"/>
    <w:rsid w:val="00B569CF"/>
    <w:rsid w:val="00B56B4C"/>
    <w:rsid w:val="00B56C3F"/>
    <w:rsid w:val="00B56C96"/>
    <w:rsid w:val="00B56C9B"/>
    <w:rsid w:val="00B56D78"/>
    <w:rsid w:val="00B56E1F"/>
    <w:rsid w:val="00B56F5B"/>
    <w:rsid w:val="00B56F81"/>
    <w:rsid w:val="00B57018"/>
    <w:rsid w:val="00B5705E"/>
    <w:rsid w:val="00B5720B"/>
    <w:rsid w:val="00B572CA"/>
    <w:rsid w:val="00B57344"/>
    <w:rsid w:val="00B57498"/>
    <w:rsid w:val="00B574AC"/>
    <w:rsid w:val="00B57532"/>
    <w:rsid w:val="00B575A9"/>
    <w:rsid w:val="00B57665"/>
    <w:rsid w:val="00B576D5"/>
    <w:rsid w:val="00B57752"/>
    <w:rsid w:val="00B578C8"/>
    <w:rsid w:val="00B57B09"/>
    <w:rsid w:val="00B57B79"/>
    <w:rsid w:val="00B57BEE"/>
    <w:rsid w:val="00B57C9A"/>
    <w:rsid w:val="00B57D0C"/>
    <w:rsid w:val="00B57DEA"/>
    <w:rsid w:val="00B57DF2"/>
    <w:rsid w:val="00B57E37"/>
    <w:rsid w:val="00B57EEA"/>
    <w:rsid w:val="00B57F20"/>
    <w:rsid w:val="00B57FD2"/>
    <w:rsid w:val="00B6002F"/>
    <w:rsid w:val="00B60095"/>
    <w:rsid w:val="00B6025A"/>
    <w:rsid w:val="00B603BE"/>
    <w:rsid w:val="00B605BE"/>
    <w:rsid w:val="00B60745"/>
    <w:rsid w:val="00B609A8"/>
    <w:rsid w:val="00B609AC"/>
    <w:rsid w:val="00B60D40"/>
    <w:rsid w:val="00B60E68"/>
    <w:rsid w:val="00B61014"/>
    <w:rsid w:val="00B610C4"/>
    <w:rsid w:val="00B61170"/>
    <w:rsid w:val="00B613A8"/>
    <w:rsid w:val="00B614FE"/>
    <w:rsid w:val="00B61590"/>
    <w:rsid w:val="00B617BC"/>
    <w:rsid w:val="00B6199F"/>
    <w:rsid w:val="00B61A8D"/>
    <w:rsid w:val="00B61CA7"/>
    <w:rsid w:val="00B61D7B"/>
    <w:rsid w:val="00B61F5E"/>
    <w:rsid w:val="00B62127"/>
    <w:rsid w:val="00B621A0"/>
    <w:rsid w:val="00B623F4"/>
    <w:rsid w:val="00B62409"/>
    <w:rsid w:val="00B62577"/>
    <w:rsid w:val="00B625B0"/>
    <w:rsid w:val="00B62605"/>
    <w:rsid w:val="00B626AE"/>
    <w:rsid w:val="00B62812"/>
    <w:rsid w:val="00B62948"/>
    <w:rsid w:val="00B62965"/>
    <w:rsid w:val="00B62AC5"/>
    <w:rsid w:val="00B62B4B"/>
    <w:rsid w:val="00B62C8F"/>
    <w:rsid w:val="00B62D21"/>
    <w:rsid w:val="00B62D54"/>
    <w:rsid w:val="00B62E6D"/>
    <w:rsid w:val="00B62EAC"/>
    <w:rsid w:val="00B62F5E"/>
    <w:rsid w:val="00B63091"/>
    <w:rsid w:val="00B6320C"/>
    <w:rsid w:val="00B63343"/>
    <w:rsid w:val="00B633C4"/>
    <w:rsid w:val="00B63635"/>
    <w:rsid w:val="00B63677"/>
    <w:rsid w:val="00B63BEE"/>
    <w:rsid w:val="00B63D03"/>
    <w:rsid w:val="00B63E8A"/>
    <w:rsid w:val="00B63EBA"/>
    <w:rsid w:val="00B64141"/>
    <w:rsid w:val="00B642B1"/>
    <w:rsid w:val="00B64371"/>
    <w:rsid w:val="00B644E7"/>
    <w:rsid w:val="00B644E8"/>
    <w:rsid w:val="00B64674"/>
    <w:rsid w:val="00B64859"/>
    <w:rsid w:val="00B6485F"/>
    <w:rsid w:val="00B6487F"/>
    <w:rsid w:val="00B648FB"/>
    <w:rsid w:val="00B649E0"/>
    <w:rsid w:val="00B64A0F"/>
    <w:rsid w:val="00B64A8B"/>
    <w:rsid w:val="00B64E6B"/>
    <w:rsid w:val="00B64EED"/>
    <w:rsid w:val="00B64FD8"/>
    <w:rsid w:val="00B65140"/>
    <w:rsid w:val="00B6524E"/>
    <w:rsid w:val="00B652BD"/>
    <w:rsid w:val="00B653B3"/>
    <w:rsid w:val="00B65496"/>
    <w:rsid w:val="00B65711"/>
    <w:rsid w:val="00B657DA"/>
    <w:rsid w:val="00B65850"/>
    <w:rsid w:val="00B65903"/>
    <w:rsid w:val="00B65CE2"/>
    <w:rsid w:val="00B65F69"/>
    <w:rsid w:val="00B65FFB"/>
    <w:rsid w:val="00B660B8"/>
    <w:rsid w:val="00B6610C"/>
    <w:rsid w:val="00B66305"/>
    <w:rsid w:val="00B6646A"/>
    <w:rsid w:val="00B66499"/>
    <w:rsid w:val="00B664EB"/>
    <w:rsid w:val="00B6655B"/>
    <w:rsid w:val="00B66828"/>
    <w:rsid w:val="00B668F5"/>
    <w:rsid w:val="00B66AA9"/>
    <w:rsid w:val="00B66AED"/>
    <w:rsid w:val="00B66B95"/>
    <w:rsid w:val="00B66ED1"/>
    <w:rsid w:val="00B66F48"/>
    <w:rsid w:val="00B67143"/>
    <w:rsid w:val="00B671F1"/>
    <w:rsid w:val="00B6749B"/>
    <w:rsid w:val="00B674F4"/>
    <w:rsid w:val="00B67522"/>
    <w:rsid w:val="00B676C3"/>
    <w:rsid w:val="00B679B0"/>
    <w:rsid w:val="00B67D31"/>
    <w:rsid w:val="00B67F27"/>
    <w:rsid w:val="00B70185"/>
    <w:rsid w:val="00B701CB"/>
    <w:rsid w:val="00B701ED"/>
    <w:rsid w:val="00B7020B"/>
    <w:rsid w:val="00B70417"/>
    <w:rsid w:val="00B704D0"/>
    <w:rsid w:val="00B7053D"/>
    <w:rsid w:val="00B70775"/>
    <w:rsid w:val="00B70823"/>
    <w:rsid w:val="00B7093D"/>
    <w:rsid w:val="00B7096F"/>
    <w:rsid w:val="00B70A93"/>
    <w:rsid w:val="00B70A94"/>
    <w:rsid w:val="00B70B5C"/>
    <w:rsid w:val="00B70B76"/>
    <w:rsid w:val="00B70BFF"/>
    <w:rsid w:val="00B70C6F"/>
    <w:rsid w:val="00B70D7D"/>
    <w:rsid w:val="00B70DF8"/>
    <w:rsid w:val="00B70E43"/>
    <w:rsid w:val="00B70E64"/>
    <w:rsid w:val="00B70ECB"/>
    <w:rsid w:val="00B70F00"/>
    <w:rsid w:val="00B70F47"/>
    <w:rsid w:val="00B70F8A"/>
    <w:rsid w:val="00B71017"/>
    <w:rsid w:val="00B71052"/>
    <w:rsid w:val="00B71056"/>
    <w:rsid w:val="00B7106B"/>
    <w:rsid w:val="00B71122"/>
    <w:rsid w:val="00B71396"/>
    <w:rsid w:val="00B71412"/>
    <w:rsid w:val="00B71424"/>
    <w:rsid w:val="00B7142E"/>
    <w:rsid w:val="00B714CF"/>
    <w:rsid w:val="00B71501"/>
    <w:rsid w:val="00B7166B"/>
    <w:rsid w:val="00B7172F"/>
    <w:rsid w:val="00B717D5"/>
    <w:rsid w:val="00B7186F"/>
    <w:rsid w:val="00B718F8"/>
    <w:rsid w:val="00B71CE6"/>
    <w:rsid w:val="00B71D49"/>
    <w:rsid w:val="00B71DAC"/>
    <w:rsid w:val="00B7200E"/>
    <w:rsid w:val="00B7225D"/>
    <w:rsid w:val="00B722D1"/>
    <w:rsid w:val="00B72361"/>
    <w:rsid w:val="00B723AF"/>
    <w:rsid w:val="00B723BA"/>
    <w:rsid w:val="00B724D8"/>
    <w:rsid w:val="00B725FF"/>
    <w:rsid w:val="00B72BB1"/>
    <w:rsid w:val="00B72D0A"/>
    <w:rsid w:val="00B72E27"/>
    <w:rsid w:val="00B72F25"/>
    <w:rsid w:val="00B733FB"/>
    <w:rsid w:val="00B7342D"/>
    <w:rsid w:val="00B734C9"/>
    <w:rsid w:val="00B73605"/>
    <w:rsid w:val="00B73803"/>
    <w:rsid w:val="00B7385B"/>
    <w:rsid w:val="00B7385D"/>
    <w:rsid w:val="00B73BBD"/>
    <w:rsid w:val="00B73C9A"/>
    <w:rsid w:val="00B73DDA"/>
    <w:rsid w:val="00B73DDE"/>
    <w:rsid w:val="00B73EAC"/>
    <w:rsid w:val="00B742AB"/>
    <w:rsid w:val="00B744C0"/>
    <w:rsid w:val="00B7479B"/>
    <w:rsid w:val="00B748D1"/>
    <w:rsid w:val="00B74A30"/>
    <w:rsid w:val="00B74A45"/>
    <w:rsid w:val="00B74D96"/>
    <w:rsid w:val="00B75096"/>
    <w:rsid w:val="00B75184"/>
    <w:rsid w:val="00B75265"/>
    <w:rsid w:val="00B752A8"/>
    <w:rsid w:val="00B752F4"/>
    <w:rsid w:val="00B75305"/>
    <w:rsid w:val="00B754D4"/>
    <w:rsid w:val="00B7551A"/>
    <w:rsid w:val="00B75561"/>
    <w:rsid w:val="00B756ED"/>
    <w:rsid w:val="00B756F0"/>
    <w:rsid w:val="00B758F9"/>
    <w:rsid w:val="00B75A7B"/>
    <w:rsid w:val="00B75AF0"/>
    <w:rsid w:val="00B75E9F"/>
    <w:rsid w:val="00B75F81"/>
    <w:rsid w:val="00B76007"/>
    <w:rsid w:val="00B7617A"/>
    <w:rsid w:val="00B76326"/>
    <w:rsid w:val="00B76343"/>
    <w:rsid w:val="00B76345"/>
    <w:rsid w:val="00B763CD"/>
    <w:rsid w:val="00B763F2"/>
    <w:rsid w:val="00B76410"/>
    <w:rsid w:val="00B7642D"/>
    <w:rsid w:val="00B76560"/>
    <w:rsid w:val="00B7657E"/>
    <w:rsid w:val="00B766B7"/>
    <w:rsid w:val="00B76793"/>
    <w:rsid w:val="00B76941"/>
    <w:rsid w:val="00B76A8C"/>
    <w:rsid w:val="00B76C05"/>
    <w:rsid w:val="00B76D53"/>
    <w:rsid w:val="00B76DAE"/>
    <w:rsid w:val="00B76FD2"/>
    <w:rsid w:val="00B7700D"/>
    <w:rsid w:val="00B770C8"/>
    <w:rsid w:val="00B77182"/>
    <w:rsid w:val="00B772B1"/>
    <w:rsid w:val="00B77307"/>
    <w:rsid w:val="00B7740E"/>
    <w:rsid w:val="00B774C9"/>
    <w:rsid w:val="00B7757B"/>
    <w:rsid w:val="00B775A5"/>
    <w:rsid w:val="00B777C2"/>
    <w:rsid w:val="00B778CE"/>
    <w:rsid w:val="00B77A73"/>
    <w:rsid w:val="00B77C22"/>
    <w:rsid w:val="00B77D5A"/>
    <w:rsid w:val="00B77D5C"/>
    <w:rsid w:val="00B77D70"/>
    <w:rsid w:val="00B77E72"/>
    <w:rsid w:val="00B8004A"/>
    <w:rsid w:val="00B800E0"/>
    <w:rsid w:val="00B801B2"/>
    <w:rsid w:val="00B8025B"/>
    <w:rsid w:val="00B802DB"/>
    <w:rsid w:val="00B8033B"/>
    <w:rsid w:val="00B8036C"/>
    <w:rsid w:val="00B8036E"/>
    <w:rsid w:val="00B803BB"/>
    <w:rsid w:val="00B80430"/>
    <w:rsid w:val="00B804D4"/>
    <w:rsid w:val="00B8068F"/>
    <w:rsid w:val="00B806A1"/>
    <w:rsid w:val="00B806D6"/>
    <w:rsid w:val="00B8073C"/>
    <w:rsid w:val="00B807BB"/>
    <w:rsid w:val="00B807BC"/>
    <w:rsid w:val="00B809EE"/>
    <w:rsid w:val="00B809FB"/>
    <w:rsid w:val="00B80C7C"/>
    <w:rsid w:val="00B80CCD"/>
    <w:rsid w:val="00B80D27"/>
    <w:rsid w:val="00B80DC3"/>
    <w:rsid w:val="00B80DD8"/>
    <w:rsid w:val="00B80E20"/>
    <w:rsid w:val="00B80E8D"/>
    <w:rsid w:val="00B80F79"/>
    <w:rsid w:val="00B80F92"/>
    <w:rsid w:val="00B81000"/>
    <w:rsid w:val="00B810CA"/>
    <w:rsid w:val="00B811EF"/>
    <w:rsid w:val="00B81247"/>
    <w:rsid w:val="00B8144D"/>
    <w:rsid w:val="00B814D9"/>
    <w:rsid w:val="00B8150D"/>
    <w:rsid w:val="00B81555"/>
    <w:rsid w:val="00B815A0"/>
    <w:rsid w:val="00B8166E"/>
    <w:rsid w:val="00B8180D"/>
    <w:rsid w:val="00B81852"/>
    <w:rsid w:val="00B81A1A"/>
    <w:rsid w:val="00B81A54"/>
    <w:rsid w:val="00B81BFA"/>
    <w:rsid w:val="00B81C75"/>
    <w:rsid w:val="00B81D2C"/>
    <w:rsid w:val="00B8201E"/>
    <w:rsid w:val="00B820D9"/>
    <w:rsid w:val="00B821D2"/>
    <w:rsid w:val="00B823D6"/>
    <w:rsid w:val="00B8241B"/>
    <w:rsid w:val="00B82588"/>
    <w:rsid w:val="00B825C7"/>
    <w:rsid w:val="00B8261E"/>
    <w:rsid w:val="00B82700"/>
    <w:rsid w:val="00B82729"/>
    <w:rsid w:val="00B828E6"/>
    <w:rsid w:val="00B82980"/>
    <w:rsid w:val="00B82ACD"/>
    <w:rsid w:val="00B82B75"/>
    <w:rsid w:val="00B82BC6"/>
    <w:rsid w:val="00B82E41"/>
    <w:rsid w:val="00B82E62"/>
    <w:rsid w:val="00B82E90"/>
    <w:rsid w:val="00B82F30"/>
    <w:rsid w:val="00B83008"/>
    <w:rsid w:val="00B831EB"/>
    <w:rsid w:val="00B83239"/>
    <w:rsid w:val="00B832D1"/>
    <w:rsid w:val="00B8376C"/>
    <w:rsid w:val="00B837F2"/>
    <w:rsid w:val="00B838DE"/>
    <w:rsid w:val="00B83957"/>
    <w:rsid w:val="00B83966"/>
    <w:rsid w:val="00B83B16"/>
    <w:rsid w:val="00B83BA0"/>
    <w:rsid w:val="00B83C6B"/>
    <w:rsid w:val="00B83E2D"/>
    <w:rsid w:val="00B83E4A"/>
    <w:rsid w:val="00B83ED3"/>
    <w:rsid w:val="00B83F00"/>
    <w:rsid w:val="00B84128"/>
    <w:rsid w:val="00B8422A"/>
    <w:rsid w:val="00B84234"/>
    <w:rsid w:val="00B842D5"/>
    <w:rsid w:val="00B8447D"/>
    <w:rsid w:val="00B845A7"/>
    <w:rsid w:val="00B848CA"/>
    <w:rsid w:val="00B84929"/>
    <w:rsid w:val="00B849F6"/>
    <w:rsid w:val="00B84C53"/>
    <w:rsid w:val="00B84CCD"/>
    <w:rsid w:val="00B84E0C"/>
    <w:rsid w:val="00B84E25"/>
    <w:rsid w:val="00B8505B"/>
    <w:rsid w:val="00B850D2"/>
    <w:rsid w:val="00B850DD"/>
    <w:rsid w:val="00B85102"/>
    <w:rsid w:val="00B8514C"/>
    <w:rsid w:val="00B8538D"/>
    <w:rsid w:val="00B854BC"/>
    <w:rsid w:val="00B85593"/>
    <w:rsid w:val="00B85609"/>
    <w:rsid w:val="00B8565D"/>
    <w:rsid w:val="00B857EC"/>
    <w:rsid w:val="00B857FA"/>
    <w:rsid w:val="00B8592D"/>
    <w:rsid w:val="00B859C7"/>
    <w:rsid w:val="00B85C41"/>
    <w:rsid w:val="00B85C9D"/>
    <w:rsid w:val="00B85DBB"/>
    <w:rsid w:val="00B85F73"/>
    <w:rsid w:val="00B85F95"/>
    <w:rsid w:val="00B85FC0"/>
    <w:rsid w:val="00B85FC8"/>
    <w:rsid w:val="00B860D8"/>
    <w:rsid w:val="00B86339"/>
    <w:rsid w:val="00B864E6"/>
    <w:rsid w:val="00B8662C"/>
    <w:rsid w:val="00B866F0"/>
    <w:rsid w:val="00B86778"/>
    <w:rsid w:val="00B8698D"/>
    <w:rsid w:val="00B86A51"/>
    <w:rsid w:val="00B86AE8"/>
    <w:rsid w:val="00B86BB7"/>
    <w:rsid w:val="00B86C04"/>
    <w:rsid w:val="00B86D22"/>
    <w:rsid w:val="00B86D65"/>
    <w:rsid w:val="00B86E72"/>
    <w:rsid w:val="00B86F16"/>
    <w:rsid w:val="00B86F4B"/>
    <w:rsid w:val="00B87156"/>
    <w:rsid w:val="00B87370"/>
    <w:rsid w:val="00B873B9"/>
    <w:rsid w:val="00B8742A"/>
    <w:rsid w:val="00B875C7"/>
    <w:rsid w:val="00B875DC"/>
    <w:rsid w:val="00B875FA"/>
    <w:rsid w:val="00B87640"/>
    <w:rsid w:val="00B87794"/>
    <w:rsid w:val="00B87899"/>
    <w:rsid w:val="00B879A8"/>
    <w:rsid w:val="00B87C3F"/>
    <w:rsid w:val="00B87C7A"/>
    <w:rsid w:val="00B87D6E"/>
    <w:rsid w:val="00B87DDB"/>
    <w:rsid w:val="00B87E45"/>
    <w:rsid w:val="00B9009A"/>
    <w:rsid w:val="00B90320"/>
    <w:rsid w:val="00B903D2"/>
    <w:rsid w:val="00B90429"/>
    <w:rsid w:val="00B9054B"/>
    <w:rsid w:val="00B905B0"/>
    <w:rsid w:val="00B90721"/>
    <w:rsid w:val="00B9076A"/>
    <w:rsid w:val="00B9080C"/>
    <w:rsid w:val="00B9099E"/>
    <w:rsid w:val="00B90A25"/>
    <w:rsid w:val="00B90B94"/>
    <w:rsid w:val="00B90D16"/>
    <w:rsid w:val="00B90DB0"/>
    <w:rsid w:val="00B90E52"/>
    <w:rsid w:val="00B90E55"/>
    <w:rsid w:val="00B90E95"/>
    <w:rsid w:val="00B90EBB"/>
    <w:rsid w:val="00B91118"/>
    <w:rsid w:val="00B912E3"/>
    <w:rsid w:val="00B9157E"/>
    <w:rsid w:val="00B915B6"/>
    <w:rsid w:val="00B91653"/>
    <w:rsid w:val="00B9171E"/>
    <w:rsid w:val="00B917C5"/>
    <w:rsid w:val="00B91827"/>
    <w:rsid w:val="00B91948"/>
    <w:rsid w:val="00B919B4"/>
    <w:rsid w:val="00B91A6A"/>
    <w:rsid w:val="00B91AB3"/>
    <w:rsid w:val="00B91ADF"/>
    <w:rsid w:val="00B91B3D"/>
    <w:rsid w:val="00B91B6E"/>
    <w:rsid w:val="00B91E45"/>
    <w:rsid w:val="00B92143"/>
    <w:rsid w:val="00B92162"/>
    <w:rsid w:val="00B92164"/>
    <w:rsid w:val="00B92182"/>
    <w:rsid w:val="00B923B2"/>
    <w:rsid w:val="00B923EC"/>
    <w:rsid w:val="00B9242B"/>
    <w:rsid w:val="00B925F3"/>
    <w:rsid w:val="00B92601"/>
    <w:rsid w:val="00B92626"/>
    <w:rsid w:val="00B9264E"/>
    <w:rsid w:val="00B9277D"/>
    <w:rsid w:val="00B92B8E"/>
    <w:rsid w:val="00B9308D"/>
    <w:rsid w:val="00B930B8"/>
    <w:rsid w:val="00B9312F"/>
    <w:rsid w:val="00B93161"/>
    <w:rsid w:val="00B9362D"/>
    <w:rsid w:val="00B9369A"/>
    <w:rsid w:val="00B9387D"/>
    <w:rsid w:val="00B939F3"/>
    <w:rsid w:val="00B93A95"/>
    <w:rsid w:val="00B93B43"/>
    <w:rsid w:val="00B93C3B"/>
    <w:rsid w:val="00B93CB2"/>
    <w:rsid w:val="00B93D1E"/>
    <w:rsid w:val="00B93EB3"/>
    <w:rsid w:val="00B93EDE"/>
    <w:rsid w:val="00B93F20"/>
    <w:rsid w:val="00B9408E"/>
    <w:rsid w:val="00B940FD"/>
    <w:rsid w:val="00B9424F"/>
    <w:rsid w:val="00B94301"/>
    <w:rsid w:val="00B9430B"/>
    <w:rsid w:val="00B9436D"/>
    <w:rsid w:val="00B94491"/>
    <w:rsid w:val="00B944F4"/>
    <w:rsid w:val="00B9455F"/>
    <w:rsid w:val="00B94A0E"/>
    <w:rsid w:val="00B94A6F"/>
    <w:rsid w:val="00B94A93"/>
    <w:rsid w:val="00B94B6A"/>
    <w:rsid w:val="00B94C9D"/>
    <w:rsid w:val="00B94D7C"/>
    <w:rsid w:val="00B94E3C"/>
    <w:rsid w:val="00B94EEF"/>
    <w:rsid w:val="00B9519C"/>
    <w:rsid w:val="00B95244"/>
    <w:rsid w:val="00B954F0"/>
    <w:rsid w:val="00B95533"/>
    <w:rsid w:val="00B95548"/>
    <w:rsid w:val="00B95685"/>
    <w:rsid w:val="00B9569A"/>
    <w:rsid w:val="00B9574C"/>
    <w:rsid w:val="00B9583E"/>
    <w:rsid w:val="00B9584E"/>
    <w:rsid w:val="00B958A2"/>
    <w:rsid w:val="00B958C5"/>
    <w:rsid w:val="00B958E0"/>
    <w:rsid w:val="00B95C3F"/>
    <w:rsid w:val="00B95E9E"/>
    <w:rsid w:val="00B96044"/>
    <w:rsid w:val="00B96053"/>
    <w:rsid w:val="00B96154"/>
    <w:rsid w:val="00B962D8"/>
    <w:rsid w:val="00B9636C"/>
    <w:rsid w:val="00B963EC"/>
    <w:rsid w:val="00B96424"/>
    <w:rsid w:val="00B96569"/>
    <w:rsid w:val="00B9659E"/>
    <w:rsid w:val="00B9690A"/>
    <w:rsid w:val="00B96916"/>
    <w:rsid w:val="00B9695B"/>
    <w:rsid w:val="00B96A7C"/>
    <w:rsid w:val="00B96B47"/>
    <w:rsid w:val="00B96B9F"/>
    <w:rsid w:val="00B96BB4"/>
    <w:rsid w:val="00B96C57"/>
    <w:rsid w:val="00B96EFB"/>
    <w:rsid w:val="00B97039"/>
    <w:rsid w:val="00B97061"/>
    <w:rsid w:val="00B9735E"/>
    <w:rsid w:val="00B9736D"/>
    <w:rsid w:val="00B974C7"/>
    <w:rsid w:val="00B974FA"/>
    <w:rsid w:val="00B976B2"/>
    <w:rsid w:val="00B978AB"/>
    <w:rsid w:val="00B978D9"/>
    <w:rsid w:val="00B979D6"/>
    <w:rsid w:val="00B97AAD"/>
    <w:rsid w:val="00B97B7B"/>
    <w:rsid w:val="00B97B9A"/>
    <w:rsid w:val="00B97CCA"/>
    <w:rsid w:val="00B97FE1"/>
    <w:rsid w:val="00BA0610"/>
    <w:rsid w:val="00BA06B3"/>
    <w:rsid w:val="00BA06B4"/>
    <w:rsid w:val="00BA07B1"/>
    <w:rsid w:val="00BA0935"/>
    <w:rsid w:val="00BA0C44"/>
    <w:rsid w:val="00BA0CF7"/>
    <w:rsid w:val="00BA0EF5"/>
    <w:rsid w:val="00BA100D"/>
    <w:rsid w:val="00BA10A1"/>
    <w:rsid w:val="00BA1169"/>
    <w:rsid w:val="00BA1265"/>
    <w:rsid w:val="00BA12B4"/>
    <w:rsid w:val="00BA1304"/>
    <w:rsid w:val="00BA1656"/>
    <w:rsid w:val="00BA168E"/>
    <w:rsid w:val="00BA182E"/>
    <w:rsid w:val="00BA1968"/>
    <w:rsid w:val="00BA1A7D"/>
    <w:rsid w:val="00BA1AD1"/>
    <w:rsid w:val="00BA1ADE"/>
    <w:rsid w:val="00BA1C78"/>
    <w:rsid w:val="00BA1CFD"/>
    <w:rsid w:val="00BA1D0D"/>
    <w:rsid w:val="00BA1DF7"/>
    <w:rsid w:val="00BA1EB8"/>
    <w:rsid w:val="00BA1F03"/>
    <w:rsid w:val="00BA1F71"/>
    <w:rsid w:val="00BA2028"/>
    <w:rsid w:val="00BA206A"/>
    <w:rsid w:val="00BA210D"/>
    <w:rsid w:val="00BA216A"/>
    <w:rsid w:val="00BA245E"/>
    <w:rsid w:val="00BA264A"/>
    <w:rsid w:val="00BA293D"/>
    <w:rsid w:val="00BA297D"/>
    <w:rsid w:val="00BA2AD8"/>
    <w:rsid w:val="00BA2BD3"/>
    <w:rsid w:val="00BA2D96"/>
    <w:rsid w:val="00BA2E99"/>
    <w:rsid w:val="00BA2EC0"/>
    <w:rsid w:val="00BA2F3E"/>
    <w:rsid w:val="00BA30BB"/>
    <w:rsid w:val="00BA3178"/>
    <w:rsid w:val="00BA31CF"/>
    <w:rsid w:val="00BA31EC"/>
    <w:rsid w:val="00BA330A"/>
    <w:rsid w:val="00BA336F"/>
    <w:rsid w:val="00BA33DA"/>
    <w:rsid w:val="00BA34D3"/>
    <w:rsid w:val="00BA34DF"/>
    <w:rsid w:val="00BA3606"/>
    <w:rsid w:val="00BA361D"/>
    <w:rsid w:val="00BA37DD"/>
    <w:rsid w:val="00BA3854"/>
    <w:rsid w:val="00BA3998"/>
    <w:rsid w:val="00BA3ADF"/>
    <w:rsid w:val="00BA3B31"/>
    <w:rsid w:val="00BA3D33"/>
    <w:rsid w:val="00BA3D88"/>
    <w:rsid w:val="00BA3DA7"/>
    <w:rsid w:val="00BA3E5E"/>
    <w:rsid w:val="00BA3F96"/>
    <w:rsid w:val="00BA3FEF"/>
    <w:rsid w:val="00BA4231"/>
    <w:rsid w:val="00BA42AE"/>
    <w:rsid w:val="00BA4340"/>
    <w:rsid w:val="00BA44B5"/>
    <w:rsid w:val="00BA454E"/>
    <w:rsid w:val="00BA49C5"/>
    <w:rsid w:val="00BA4AC5"/>
    <w:rsid w:val="00BA4CFC"/>
    <w:rsid w:val="00BA4D01"/>
    <w:rsid w:val="00BA4E06"/>
    <w:rsid w:val="00BA4E4B"/>
    <w:rsid w:val="00BA4FA0"/>
    <w:rsid w:val="00BA5008"/>
    <w:rsid w:val="00BA5095"/>
    <w:rsid w:val="00BA5108"/>
    <w:rsid w:val="00BA544A"/>
    <w:rsid w:val="00BA5572"/>
    <w:rsid w:val="00BA56D0"/>
    <w:rsid w:val="00BA57B4"/>
    <w:rsid w:val="00BA57E0"/>
    <w:rsid w:val="00BA5859"/>
    <w:rsid w:val="00BA59E3"/>
    <w:rsid w:val="00BA5A8B"/>
    <w:rsid w:val="00BA5AB9"/>
    <w:rsid w:val="00BA5AD0"/>
    <w:rsid w:val="00BA5BFF"/>
    <w:rsid w:val="00BA5CE1"/>
    <w:rsid w:val="00BA5D54"/>
    <w:rsid w:val="00BA5E21"/>
    <w:rsid w:val="00BA5F55"/>
    <w:rsid w:val="00BA6057"/>
    <w:rsid w:val="00BA6328"/>
    <w:rsid w:val="00BA6330"/>
    <w:rsid w:val="00BA65F5"/>
    <w:rsid w:val="00BA6803"/>
    <w:rsid w:val="00BA6910"/>
    <w:rsid w:val="00BA69B8"/>
    <w:rsid w:val="00BA6C19"/>
    <w:rsid w:val="00BA6CE8"/>
    <w:rsid w:val="00BA6D5E"/>
    <w:rsid w:val="00BA71C3"/>
    <w:rsid w:val="00BA72DE"/>
    <w:rsid w:val="00BA745B"/>
    <w:rsid w:val="00BA7460"/>
    <w:rsid w:val="00BA748A"/>
    <w:rsid w:val="00BA7532"/>
    <w:rsid w:val="00BA76CC"/>
    <w:rsid w:val="00BA776D"/>
    <w:rsid w:val="00BA778A"/>
    <w:rsid w:val="00BA77A7"/>
    <w:rsid w:val="00BA77B2"/>
    <w:rsid w:val="00BA78AF"/>
    <w:rsid w:val="00BA7939"/>
    <w:rsid w:val="00BA79C9"/>
    <w:rsid w:val="00BA7A17"/>
    <w:rsid w:val="00BA7A80"/>
    <w:rsid w:val="00BA7B00"/>
    <w:rsid w:val="00BA7B51"/>
    <w:rsid w:val="00BA7BC3"/>
    <w:rsid w:val="00BA7C06"/>
    <w:rsid w:val="00BA7D1B"/>
    <w:rsid w:val="00BA7E1E"/>
    <w:rsid w:val="00BA7E79"/>
    <w:rsid w:val="00BB0056"/>
    <w:rsid w:val="00BB0116"/>
    <w:rsid w:val="00BB020B"/>
    <w:rsid w:val="00BB029A"/>
    <w:rsid w:val="00BB02CC"/>
    <w:rsid w:val="00BB04BE"/>
    <w:rsid w:val="00BB05CB"/>
    <w:rsid w:val="00BB06DA"/>
    <w:rsid w:val="00BB0724"/>
    <w:rsid w:val="00BB073B"/>
    <w:rsid w:val="00BB079B"/>
    <w:rsid w:val="00BB08AF"/>
    <w:rsid w:val="00BB0938"/>
    <w:rsid w:val="00BB098E"/>
    <w:rsid w:val="00BB098F"/>
    <w:rsid w:val="00BB0A3E"/>
    <w:rsid w:val="00BB0A80"/>
    <w:rsid w:val="00BB0AAB"/>
    <w:rsid w:val="00BB0AEB"/>
    <w:rsid w:val="00BB0B42"/>
    <w:rsid w:val="00BB0C86"/>
    <w:rsid w:val="00BB0D0C"/>
    <w:rsid w:val="00BB0E8B"/>
    <w:rsid w:val="00BB0ED3"/>
    <w:rsid w:val="00BB11F0"/>
    <w:rsid w:val="00BB123D"/>
    <w:rsid w:val="00BB134B"/>
    <w:rsid w:val="00BB1628"/>
    <w:rsid w:val="00BB17CF"/>
    <w:rsid w:val="00BB18A6"/>
    <w:rsid w:val="00BB199A"/>
    <w:rsid w:val="00BB1A2D"/>
    <w:rsid w:val="00BB1CA8"/>
    <w:rsid w:val="00BB1E7B"/>
    <w:rsid w:val="00BB1EFE"/>
    <w:rsid w:val="00BB1F73"/>
    <w:rsid w:val="00BB1FAF"/>
    <w:rsid w:val="00BB1FFF"/>
    <w:rsid w:val="00BB2119"/>
    <w:rsid w:val="00BB225B"/>
    <w:rsid w:val="00BB23EE"/>
    <w:rsid w:val="00BB247A"/>
    <w:rsid w:val="00BB2603"/>
    <w:rsid w:val="00BB28F0"/>
    <w:rsid w:val="00BB2A25"/>
    <w:rsid w:val="00BB2BF0"/>
    <w:rsid w:val="00BB2C7B"/>
    <w:rsid w:val="00BB2DA0"/>
    <w:rsid w:val="00BB2E92"/>
    <w:rsid w:val="00BB2F8D"/>
    <w:rsid w:val="00BB30A4"/>
    <w:rsid w:val="00BB337A"/>
    <w:rsid w:val="00BB35DE"/>
    <w:rsid w:val="00BB35FC"/>
    <w:rsid w:val="00BB362E"/>
    <w:rsid w:val="00BB36AA"/>
    <w:rsid w:val="00BB37F4"/>
    <w:rsid w:val="00BB38FE"/>
    <w:rsid w:val="00BB39FF"/>
    <w:rsid w:val="00BB3AEB"/>
    <w:rsid w:val="00BB3B09"/>
    <w:rsid w:val="00BB3BD2"/>
    <w:rsid w:val="00BB3D0C"/>
    <w:rsid w:val="00BB3D5B"/>
    <w:rsid w:val="00BB3D88"/>
    <w:rsid w:val="00BB3E5C"/>
    <w:rsid w:val="00BB4028"/>
    <w:rsid w:val="00BB4134"/>
    <w:rsid w:val="00BB4398"/>
    <w:rsid w:val="00BB4454"/>
    <w:rsid w:val="00BB4472"/>
    <w:rsid w:val="00BB455A"/>
    <w:rsid w:val="00BB461A"/>
    <w:rsid w:val="00BB46D2"/>
    <w:rsid w:val="00BB489B"/>
    <w:rsid w:val="00BB492E"/>
    <w:rsid w:val="00BB4B07"/>
    <w:rsid w:val="00BB4CFA"/>
    <w:rsid w:val="00BB4E28"/>
    <w:rsid w:val="00BB4EB7"/>
    <w:rsid w:val="00BB4F77"/>
    <w:rsid w:val="00BB5069"/>
    <w:rsid w:val="00BB5134"/>
    <w:rsid w:val="00BB522A"/>
    <w:rsid w:val="00BB5344"/>
    <w:rsid w:val="00BB5480"/>
    <w:rsid w:val="00BB56D1"/>
    <w:rsid w:val="00BB57CF"/>
    <w:rsid w:val="00BB5905"/>
    <w:rsid w:val="00BB5947"/>
    <w:rsid w:val="00BB59F0"/>
    <w:rsid w:val="00BB5C84"/>
    <w:rsid w:val="00BB5D0D"/>
    <w:rsid w:val="00BB5F5C"/>
    <w:rsid w:val="00BB5F8B"/>
    <w:rsid w:val="00BB606C"/>
    <w:rsid w:val="00BB6109"/>
    <w:rsid w:val="00BB6240"/>
    <w:rsid w:val="00BB6450"/>
    <w:rsid w:val="00BB6559"/>
    <w:rsid w:val="00BB65DB"/>
    <w:rsid w:val="00BB660C"/>
    <w:rsid w:val="00BB66D0"/>
    <w:rsid w:val="00BB67B0"/>
    <w:rsid w:val="00BB6A02"/>
    <w:rsid w:val="00BB6A45"/>
    <w:rsid w:val="00BB6A47"/>
    <w:rsid w:val="00BB6A9C"/>
    <w:rsid w:val="00BB6C88"/>
    <w:rsid w:val="00BB6EA6"/>
    <w:rsid w:val="00BB6EDB"/>
    <w:rsid w:val="00BB6F03"/>
    <w:rsid w:val="00BB6FD3"/>
    <w:rsid w:val="00BB70C5"/>
    <w:rsid w:val="00BB70FE"/>
    <w:rsid w:val="00BB7187"/>
    <w:rsid w:val="00BB7204"/>
    <w:rsid w:val="00BB7290"/>
    <w:rsid w:val="00BB736E"/>
    <w:rsid w:val="00BB7422"/>
    <w:rsid w:val="00BB744F"/>
    <w:rsid w:val="00BB7492"/>
    <w:rsid w:val="00BB74C1"/>
    <w:rsid w:val="00BB76FD"/>
    <w:rsid w:val="00BB7818"/>
    <w:rsid w:val="00BB7D64"/>
    <w:rsid w:val="00BB7EF6"/>
    <w:rsid w:val="00BC015F"/>
    <w:rsid w:val="00BC04CA"/>
    <w:rsid w:val="00BC0546"/>
    <w:rsid w:val="00BC054F"/>
    <w:rsid w:val="00BC062F"/>
    <w:rsid w:val="00BC0640"/>
    <w:rsid w:val="00BC064B"/>
    <w:rsid w:val="00BC0692"/>
    <w:rsid w:val="00BC07A7"/>
    <w:rsid w:val="00BC0821"/>
    <w:rsid w:val="00BC08D4"/>
    <w:rsid w:val="00BC0BF4"/>
    <w:rsid w:val="00BC0CEA"/>
    <w:rsid w:val="00BC0DDA"/>
    <w:rsid w:val="00BC0F06"/>
    <w:rsid w:val="00BC0F84"/>
    <w:rsid w:val="00BC0FF4"/>
    <w:rsid w:val="00BC1181"/>
    <w:rsid w:val="00BC1186"/>
    <w:rsid w:val="00BC132D"/>
    <w:rsid w:val="00BC13BD"/>
    <w:rsid w:val="00BC13D5"/>
    <w:rsid w:val="00BC1624"/>
    <w:rsid w:val="00BC16CE"/>
    <w:rsid w:val="00BC17A5"/>
    <w:rsid w:val="00BC1972"/>
    <w:rsid w:val="00BC1A03"/>
    <w:rsid w:val="00BC1A31"/>
    <w:rsid w:val="00BC1ADE"/>
    <w:rsid w:val="00BC1C75"/>
    <w:rsid w:val="00BC1E47"/>
    <w:rsid w:val="00BC23D8"/>
    <w:rsid w:val="00BC2457"/>
    <w:rsid w:val="00BC24B7"/>
    <w:rsid w:val="00BC24CA"/>
    <w:rsid w:val="00BC264C"/>
    <w:rsid w:val="00BC26DD"/>
    <w:rsid w:val="00BC2756"/>
    <w:rsid w:val="00BC2952"/>
    <w:rsid w:val="00BC29DC"/>
    <w:rsid w:val="00BC2BF0"/>
    <w:rsid w:val="00BC2E2C"/>
    <w:rsid w:val="00BC2F3E"/>
    <w:rsid w:val="00BC30E7"/>
    <w:rsid w:val="00BC3102"/>
    <w:rsid w:val="00BC3177"/>
    <w:rsid w:val="00BC3197"/>
    <w:rsid w:val="00BC32CF"/>
    <w:rsid w:val="00BC3392"/>
    <w:rsid w:val="00BC33F8"/>
    <w:rsid w:val="00BC3510"/>
    <w:rsid w:val="00BC3692"/>
    <w:rsid w:val="00BC36AF"/>
    <w:rsid w:val="00BC3807"/>
    <w:rsid w:val="00BC38DB"/>
    <w:rsid w:val="00BC392B"/>
    <w:rsid w:val="00BC39DF"/>
    <w:rsid w:val="00BC3A2B"/>
    <w:rsid w:val="00BC3B67"/>
    <w:rsid w:val="00BC414D"/>
    <w:rsid w:val="00BC4206"/>
    <w:rsid w:val="00BC4233"/>
    <w:rsid w:val="00BC451A"/>
    <w:rsid w:val="00BC4709"/>
    <w:rsid w:val="00BC47CC"/>
    <w:rsid w:val="00BC4863"/>
    <w:rsid w:val="00BC48CD"/>
    <w:rsid w:val="00BC4AD7"/>
    <w:rsid w:val="00BC4B29"/>
    <w:rsid w:val="00BC4B39"/>
    <w:rsid w:val="00BC4B85"/>
    <w:rsid w:val="00BC4BBE"/>
    <w:rsid w:val="00BC4CCE"/>
    <w:rsid w:val="00BC4DDB"/>
    <w:rsid w:val="00BC4F95"/>
    <w:rsid w:val="00BC50FE"/>
    <w:rsid w:val="00BC519B"/>
    <w:rsid w:val="00BC5303"/>
    <w:rsid w:val="00BC532B"/>
    <w:rsid w:val="00BC5393"/>
    <w:rsid w:val="00BC53A6"/>
    <w:rsid w:val="00BC53BE"/>
    <w:rsid w:val="00BC546A"/>
    <w:rsid w:val="00BC54A5"/>
    <w:rsid w:val="00BC54DF"/>
    <w:rsid w:val="00BC554E"/>
    <w:rsid w:val="00BC571C"/>
    <w:rsid w:val="00BC591C"/>
    <w:rsid w:val="00BC59A3"/>
    <w:rsid w:val="00BC60D1"/>
    <w:rsid w:val="00BC6178"/>
    <w:rsid w:val="00BC61C5"/>
    <w:rsid w:val="00BC621A"/>
    <w:rsid w:val="00BC6346"/>
    <w:rsid w:val="00BC63FF"/>
    <w:rsid w:val="00BC6772"/>
    <w:rsid w:val="00BC6AB2"/>
    <w:rsid w:val="00BC7305"/>
    <w:rsid w:val="00BC74A0"/>
    <w:rsid w:val="00BC75AD"/>
    <w:rsid w:val="00BC766A"/>
    <w:rsid w:val="00BC76DB"/>
    <w:rsid w:val="00BC7715"/>
    <w:rsid w:val="00BC774D"/>
    <w:rsid w:val="00BC7818"/>
    <w:rsid w:val="00BC7903"/>
    <w:rsid w:val="00BC792C"/>
    <w:rsid w:val="00BC799F"/>
    <w:rsid w:val="00BC7AC1"/>
    <w:rsid w:val="00BC7B1C"/>
    <w:rsid w:val="00BC7BB7"/>
    <w:rsid w:val="00BC7C13"/>
    <w:rsid w:val="00BC7C3B"/>
    <w:rsid w:val="00BC7C80"/>
    <w:rsid w:val="00BC7D7D"/>
    <w:rsid w:val="00BC7EED"/>
    <w:rsid w:val="00BC7FA7"/>
    <w:rsid w:val="00BD0019"/>
    <w:rsid w:val="00BD0256"/>
    <w:rsid w:val="00BD0274"/>
    <w:rsid w:val="00BD02A3"/>
    <w:rsid w:val="00BD0685"/>
    <w:rsid w:val="00BD0EA8"/>
    <w:rsid w:val="00BD0F12"/>
    <w:rsid w:val="00BD113A"/>
    <w:rsid w:val="00BD119E"/>
    <w:rsid w:val="00BD11BA"/>
    <w:rsid w:val="00BD11EF"/>
    <w:rsid w:val="00BD1290"/>
    <w:rsid w:val="00BD1353"/>
    <w:rsid w:val="00BD13E7"/>
    <w:rsid w:val="00BD147A"/>
    <w:rsid w:val="00BD186E"/>
    <w:rsid w:val="00BD1935"/>
    <w:rsid w:val="00BD196E"/>
    <w:rsid w:val="00BD1E08"/>
    <w:rsid w:val="00BD1E37"/>
    <w:rsid w:val="00BD2008"/>
    <w:rsid w:val="00BD204C"/>
    <w:rsid w:val="00BD2225"/>
    <w:rsid w:val="00BD2300"/>
    <w:rsid w:val="00BD24B7"/>
    <w:rsid w:val="00BD24D1"/>
    <w:rsid w:val="00BD24F2"/>
    <w:rsid w:val="00BD25DE"/>
    <w:rsid w:val="00BD26C5"/>
    <w:rsid w:val="00BD26F5"/>
    <w:rsid w:val="00BD2747"/>
    <w:rsid w:val="00BD2958"/>
    <w:rsid w:val="00BD2A58"/>
    <w:rsid w:val="00BD2A76"/>
    <w:rsid w:val="00BD2B00"/>
    <w:rsid w:val="00BD2B82"/>
    <w:rsid w:val="00BD2C50"/>
    <w:rsid w:val="00BD2DB3"/>
    <w:rsid w:val="00BD2EA3"/>
    <w:rsid w:val="00BD2F64"/>
    <w:rsid w:val="00BD30A4"/>
    <w:rsid w:val="00BD31D9"/>
    <w:rsid w:val="00BD32CD"/>
    <w:rsid w:val="00BD3466"/>
    <w:rsid w:val="00BD34F8"/>
    <w:rsid w:val="00BD3500"/>
    <w:rsid w:val="00BD35E1"/>
    <w:rsid w:val="00BD3657"/>
    <w:rsid w:val="00BD36AF"/>
    <w:rsid w:val="00BD3800"/>
    <w:rsid w:val="00BD3814"/>
    <w:rsid w:val="00BD38E4"/>
    <w:rsid w:val="00BD3929"/>
    <w:rsid w:val="00BD3A86"/>
    <w:rsid w:val="00BD3D13"/>
    <w:rsid w:val="00BD3D47"/>
    <w:rsid w:val="00BD3DA8"/>
    <w:rsid w:val="00BD3E00"/>
    <w:rsid w:val="00BD3E4C"/>
    <w:rsid w:val="00BD3F35"/>
    <w:rsid w:val="00BD40AB"/>
    <w:rsid w:val="00BD40B1"/>
    <w:rsid w:val="00BD412B"/>
    <w:rsid w:val="00BD419C"/>
    <w:rsid w:val="00BD4251"/>
    <w:rsid w:val="00BD45D5"/>
    <w:rsid w:val="00BD45EB"/>
    <w:rsid w:val="00BD496C"/>
    <w:rsid w:val="00BD4A31"/>
    <w:rsid w:val="00BD4A8C"/>
    <w:rsid w:val="00BD4B69"/>
    <w:rsid w:val="00BD4F7B"/>
    <w:rsid w:val="00BD4FC0"/>
    <w:rsid w:val="00BD5363"/>
    <w:rsid w:val="00BD536E"/>
    <w:rsid w:val="00BD548C"/>
    <w:rsid w:val="00BD54D5"/>
    <w:rsid w:val="00BD54DF"/>
    <w:rsid w:val="00BD55DF"/>
    <w:rsid w:val="00BD5851"/>
    <w:rsid w:val="00BD5AB3"/>
    <w:rsid w:val="00BD5B68"/>
    <w:rsid w:val="00BD6006"/>
    <w:rsid w:val="00BD600D"/>
    <w:rsid w:val="00BD619F"/>
    <w:rsid w:val="00BD62FC"/>
    <w:rsid w:val="00BD6401"/>
    <w:rsid w:val="00BD6422"/>
    <w:rsid w:val="00BD64A1"/>
    <w:rsid w:val="00BD651B"/>
    <w:rsid w:val="00BD65E8"/>
    <w:rsid w:val="00BD66FE"/>
    <w:rsid w:val="00BD68C8"/>
    <w:rsid w:val="00BD69DC"/>
    <w:rsid w:val="00BD6A37"/>
    <w:rsid w:val="00BD6AEA"/>
    <w:rsid w:val="00BD6B54"/>
    <w:rsid w:val="00BD6D04"/>
    <w:rsid w:val="00BD6D4A"/>
    <w:rsid w:val="00BD6DC5"/>
    <w:rsid w:val="00BD705E"/>
    <w:rsid w:val="00BD73D5"/>
    <w:rsid w:val="00BD7429"/>
    <w:rsid w:val="00BD74F0"/>
    <w:rsid w:val="00BD7534"/>
    <w:rsid w:val="00BD7697"/>
    <w:rsid w:val="00BD76C6"/>
    <w:rsid w:val="00BD7700"/>
    <w:rsid w:val="00BD788F"/>
    <w:rsid w:val="00BD789B"/>
    <w:rsid w:val="00BD7989"/>
    <w:rsid w:val="00BD7990"/>
    <w:rsid w:val="00BD7D16"/>
    <w:rsid w:val="00BD7D66"/>
    <w:rsid w:val="00BD7EFE"/>
    <w:rsid w:val="00BD7FC9"/>
    <w:rsid w:val="00BE0237"/>
    <w:rsid w:val="00BE0282"/>
    <w:rsid w:val="00BE028E"/>
    <w:rsid w:val="00BE04AD"/>
    <w:rsid w:val="00BE0543"/>
    <w:rsid w:val="00BE0732"/>
    <w:rsid w:val="00BE07B5"/>
    <w:rsid w:val="00BE0969"/>
    <w:rsid w:val="00BE0EEE"/>
    <w:rsid w:val="00BE0F6F"/>
    <w:rsid w:val="00BE1278"/>
    <w:rsid w:val="00BE1328"/>
    <w:rsid w:val="00BE1483"/>
    <w:rsid w:val="00BE1681"/>
    <w:rsid w:val="00BE178E"/>
    <w:rsid w:val="00BE1C09"/>
    <w:rsid w:val="00BE1C0D"/>
    <w:rsid w:val="00BE1C4E"/>
    <w:rsid w:val="00BE1E86"/>
    <w:rsid w:val="00BE1F05"/>
    <w:rsid w:val="00BE1F8A"/>
    <w:rsid w:val="00BE21C4"/>
    <w:rsid w:val="00BE2245"/>
    <w:rsid w:val="00BE2347"/>
    <w:rsid w:val="00BE2479"/>
    <w:rsid w:val="00BE24C7"/>
    <w:rsid w:val="00BE2565"/>
    <w:rsid w:val="00BE2673"/>
    <w:rsid w:val="00BE26D5"/>
    <w:rsid w:val="00BE2748"/>
    <w:rsid w:val="00BE2857"/>
    <w:rsid w:val="00BE2861"/>
    <w:rsid w:val="00BE2929"/>
    <w:rsid w:val="00BE293A"/>
    <w:rsid w:val="00BE29C0"/>
    <w:rsid w:val="00BE2A3F"/>
    <w:rsid w:val="00BE2ABD"/>
    <w:rsid w:val="00BE2CEB"/>
    <w:rsid w:val="00BE2D41"/>
    <w:rsid w:val="00BE2E1B"/>
    <w:rsid w:val="00BE2E8F"/>
    <w:rsid w:val="00BE3000"/>
    <w:rsid w:val="00BE3163"/>
    <w:rsid w:val="00BE31B7"/>
    <w:rsid w:val="00BE3327"/>
    <w:rsid w:val="00BE33F0"/>
    <w:rsid w:val="00BE3439"/>
    <w:rsid w:val="00BE34B7"/>
    <w:rsid w:val="00BE3592"/>
    <w:rsid w:val="00BE3613"/>
    <w:rsid w:val="00BE3676"/>
    <w:rsid w:val="00BE36D8"/>
    <w:rsid w:val="00BE3743"/>
    <w:rsid w:val="00BE3749"/>
    <w:rsid w:val="00BE3949"/>
    <w:rsid w:val="00BE39D1"/>
    <w:rsid w:val="00BE3BE1"/>
    <w:rsid w:val="00BE3CF2"/>
    <w:rsid w:val="00BE3F1A"/>
    <w:rsid w:val="00BE4111"/>
    <w:rsid w:val="00BE439F"/>
    <w:rsid w:val="00BE45EA"/>
    <w:rsid w:val="00BE45FB"/>
    <w:rsid w:val="00BE464A"/>
    <w:rsid w:val="00BE46DE"/>
    <w:rsid w:val="00BE4704"/>
    <w:rsid w:val="00BE486A"/>
    <w:rsid w:val="00BE4892"/>
    <w:rsid w:val="00BE48F8"/>
    <w:rsid w:val="00BE491A"/>
    <w:rsid w:val="00BE494C"/>
    <w:rsid w:val="00BE4999"/>
    <w:rsid w:val="00BE4A69"/>
    <w:rsid w:val="00BE4AF6"/>
    <w:rsid w:val="00BE4B0E"/>
    <w:rsid w:val="00BE4C3F"/>
    <w:rsid w:val="00BE4DA9"/>
    <w:rsid w:val="00BE4DFD"/>
    <w:rsid w:val="00BE4E0C"/>
    <w:rsid w:val="00BE4E43"/>
    <w:rsid w:val="00BE50ED"/>
    <w:rsid w:val="00BE5271"/>
    <w:rsid w:val="00BE5314"/>
    <w:rsid w:val="00BE5415"/>
    <w:rsid w:val="00BE54B7"/>
    <w:rsid w:val="00BE5900"/>
    <w:rsid w:val="00BE5C2A"/>
    <w:rsid w:val="00BE5C70"/>
    <w:rsid w:val="00BE5E73"/>
    <w:rsid w:val="00BE5E8A"/>
    <w:rsid w:val="00BE5E95"/>
    <w:rsid w:val="00BE6043"/>
    <w:rsid w:val="00BE6075"/>
    <w:rsid w:val="00BE60CC"/>
    <w:rsid w:val="00BE6211"/>
    <w:rsid w:val="00BE6430"/>
    <w:rsid w:val="00BE6605"/>
    <w:rsid w:val="00BE66FE"/>
    <w:rsid w:val="00BE6725"/>
    <w:rsid w:val="00BE673F"/>
    <w:rsid w:val="00BE6CD5"/>
    <w:rsid w:val="00BE6DDD"/>
    <w:rsid w:val="00BE6DFB"/>
    <w:rsid w:val="00BE7157"/>
    <w:rsid w:val="00BE7227"/>
    <w:rsid w:val="00BE7360"/>
    <w:rsid w:val="00BE73A0"/>
    <w:rsid w:val="00BE74CE"/>
    <w:rsid w:val="00BE7514"/>
    <w:rsid w:val="00BE7627"/>
    <w:rsid w:val="00BE77BC"/>
    <w:rsid w:val="00BE77F9"/>
    <w:rsid w:val="00BE789C"/>
    <w:rsid w:val="00BE78A4"/>
    <w:rsid w:val="00BE78D1"/>
    <w:rsid w:val="00BE7969"/>
    <w:rsid w:val="00BE7A02"/>
    <w:rsid w:val="00BE7AB3"/>
    <w:rsid w:val="00BE7AC5"/>
    <w:rsid w:val="00BE7AFB"/>
    <w:rsid w:val="00BE7B6D"/>
    <w:rsid w:val="00BE7F73"/>
    <w:rsid w:val="00BE7FBE"/>
    <w:rsid w:val="00BF0164"/>
    <w:rsid w:val="00BF035A"/>
    <w:rsid w:val="00BF03E5"/>
    <w:rsid w:val="00BF042C"/>
    <w:rsid w:val="00BF053C"/>
    <w:rsid w:val="00BF0553"/>
    <w:rsid w:val="00BF05BA"/>
    <w:rsid w:val="00BF06C4"/>
    <w:rsid w:val="00BF0C0D"/>
    <w:rsid w:val="00BF0C49"/>
    <w:rsid w:val="00BF0C7B"/>
    <w:rsid w:val="00BF0D22"/>
    <w:rsid w:val="00BF0DC0"/>
    <w:rsid w:val="00BF0F4F"/>
    <w:rsid w:val="00BF105B"/>
    <w:rsid w:val="00BF1180"/>
    <w:rsid w:val="00BF11F2"/>
    <w:rsid w:val="00BF14B7"/>
    <w:rsid w:val="00BF15B7"/>
    <w:rsid w:val="00BF160A"/>
    <w:rsid w:val="00BF1904"/>
    <w:rsid w:val="00BF1943"/>
    <w:rsid w:val="00BF1C11"/>
    <w:rsid w:val="00BF2141"/>
    <w:rsid w:val="00BF2161"/>
    <w:rsid w:val="00BF22A1"/>
    <w:rsid w:val="00BF2309"/>
    <w:rsid w:val="00BF2369"/>
    <w:rsid w:val="00BF2833"/>
    <w:rsid w:val="00BF2880"/>
    <w:rsid w:val="00BF289F"/>
    <w:rsid w:val="00BF28A4"/>
    <w:rsid w:val="00BF293E"/>
    <w:rsid w:val="00BF2CBF"/>
    <w:rsid w:val="00BF2CCB"/>
    <w:rsid w:val="00BF2D14"/>
    <w:rsid w:val="00BF2EA6"/>
    <w:rsid w:val="00BF2F44"/>
    <w:rsid w:val="00BF2F86"/>
    <w:rsid w:val="00BF3034"/>
    <w:rsid w:val="00BF31E4"/>
    <w:rsid w:val="00BF32C4"/>
    <w:rsid w:val="00BF33E7"/>
    <w:rsid w:val="00BF3484"/>
    <w:rsid w:val="00BF351E"/>
    <w:rsid w:val="00BF3614"/>
    <w:rsid w:val="00BF36F7"/>
    <w:rsid w:val="00BF3758"/>
    <w:rsid w:val="00BF3872"/>
    <w:rsid w:val="00BF39CD"/>
    <w:rsid w:val="00BF3A05"/>
    <w:rsid w:val="00BF3A51"/>
    <w:rsid w:val="00BF3AB1"/>
    <w:rsid w:val="00BF3AE0"/>
    <w:rsid w:val="00BF3BB2"/>
    <w:rsid w:val="00BF3BE8"/>
    <w:rsid w:val="00BF3CBC"/>
    <w:rsid w:val="00BF3E4B"/>
    <w:rsid w:val="00BF3E7F"/>
    <w:rsid w:val="00BF4034"/>
    <w:rsid w:val="00BF4149"/>
    <w:rsid w:val="00BF415B"/>
    <w:rsid w:val="00BF41B0"/>
    <w:rsid w:val="00BF44B2"/>
    <w:rsid w:val="00BF459A"/>
    <w:rsid w:val="00BF45E4"/>
    <w:rsid w:val="00BF45F6"/>
    <w:rsid w:val="00BF4726"/>
    <w:rsid w:val="00BF477A"/>
    <w:rsid w:val="00BF47CC"/>
    <w:rsid w:val="00BF4814"/>
    <w:rsid w:val="00BF4BAF"/>
    <w:rsid w:val="00BF4E4D"/>
    <w:rsid w:val="00BF4E5D"/>
    <w:rsid w:val="00BF4E71"/>
    <w:rsid w:val="00BF52BE"/>
    <w:rsid w:val="00BF53F2"/>
    <w:rsid w:val="00BF5518"/>
    <w:rsid w:val="00BF556B"/>
    <w:rsid w:val="00BF5878"/>
    <w:rsid w:val="00BF5B9A"/>
    <w:rsid w:val="00BF5BAB"/>
    <w:rsid w:val="00BF5D66"/>
    <w:rsid w:val="00BF5DCD"/>
    <w:rsid w:val="00BF5E29"/>
    <w:rsid w:val="00BF5E2D"/>
    <w:rsid w:val="00BF613B"/>
    <w:rsid w:val="00BF6186"/>
    <w:rsid w:val="00BF62CB"/>
    <w:rsid w:val="00BF63B0"/>
    <w:rsid w:val="00BF6463"/>
    <w:rsid w:val="00BF6906"/>
    <w:rsid w:val="00BF6941"/>
    <w:rsid w:val="00BF6A5F"/>
    <w:rsid w:val="00BF6AAE"/>
    <w:rsid w:val="00BF6BBF"/>
    <w:rsid w:val="00BF6CC9"/>
    <w:rsid w:val="00BF6E1C"/>
    <w:rsid w:val="00BF6EB9"/>
    <w:rsid w:val="00BF701A"/>
    <w:rsid w:val="00BF717E"/>
    <w:rsid w:val="00BF7238"/>
    <w:rsid w:val="00BF73B0"/>
    <w:rsid w:val="00BF73EA"/>
    <w:rsid w:val="00BF75E4"/>
    <w:rsid w:val="00BF76A7"/>
    <w:rsid w:val="00BF7710"/>
    <w:rsid w:val="00BF7802"/>
    <w:rsid w:val="00BF7A62"/>
    <w:rsid w:val="00BF7BDE"/>
    <w:rsid w:val="00BF7CD0"/>
    <w:rsid w:val="00BF7D5A"/>
    <w:rsid w:val="00BF7E15"/>
    <w:rsid w:val="00BF7EDB"/>
    <w:rsid w:val="00BF7F2E"/>
    <w:rsid w:val="00C002AC"/>
    <w:rsid w:val="00C004ED"/>
    <w:rsid w:val="00C00628"/>
    <w:rsid w:val="00C00697"/>
    <w:rsid w:val="00C007AC"/>
    <w:rsid w:val="00C00817"/>
    <w:rsid w:val="00C0095A"/>
    <w:rsid w:val="00C00A3F"/>
    <w:rsid w:val="00C00A46"/>
    <w:rsid w:val="00C00A94"/>
    <w:rsid w:val="00C00ACD"/>
    <w:rsid w:val="00C00AFE"/>
    <w:rsid w:val="00C00B04"/>
    <w:rsid w:val="00C00B10"/>
    <w:rsid w:val="00C00DA9"/>
    <w:rsid w:val="00C011DA"/>
    <w:rsid w:val="00C011E1"/>
    <w:rsid w:val="00C013A0"/>
    <w:rsid w:val="00C013C5"/>
    <w:rsid w:val="00C0159F"/>
    <w:rsid w:val="00C016D2"/>
    <w:rsid w:val="00C017A6"/>
    <w:rsid w:val="00C0195B"/>
    <w:rsid w:val="00C01984"/>
    <w:rsid w:val="00C019B1"/>
    <w:rsid w:val="00C01A26"/>
    <w:rsid w:val="00C01A33"/>
    <w:rsid w:val="00C01AF2"/>
    <w:rsid w:val="00C01B0D"/>
    <w:rsid w:val="00C01B11"/>
    <w:rsid w:val="00C01B71"/>
    <w:rsid w:val="00C01B73"/>
    <w:rsid w:val="00C01C00"/>
    <w:rsid w:val="00C01C3D"/>
    <w:rsid w:val="00C01C52"/>
    <w:rsid w:val="00C01DF9"/>
    <w:rsid w:val="00C01EC1"/>
    <w:rsid w:val="00C020B8"/>
    <w:rsid w:val="00C02115"/>
    <w:rsid w:val="00C021EA"/>
    <w:rsid w:val="00C022B8"/>
    <w:rsid w:val="00C02344"/>
    <w:rsid w:val="00C025F8"/>
    <w:rsid w:val="00C02819"/>
    <w:rsid w:val="00C028EC"/>
    <w:rsid w:val="00C0292D"/>
    <w:rsid w:val="00C029E6"/>
    <w:rsid w:val="00C02A0C"/>
    <w:rsid w:val="00C02C0B"/>
    <w:rsid w:val="00C02C6C"/>
    <w:rsid w:val="00C02D3C"/>
    <w:rsid w:val="00C02FE6"/>
    <w:rsid w:val="00C03145"/>
    <w:rsid w:val="00C03261"/>
    <w:rsid w:val="00C03398"/>
    <w:rsid w:val="00C033FF"/>
    <w:rsid w:val="00C03455"/>
    <w:rsid w:val="00C034E2"/>
    <w:rsid w:val="00C03618"/>
    <w:rsid w:val="00C03796"/>
    <w:rsid w:val="00C037EF"/>
    <w:rsid w:val="00C0383C"/>
    <w:rsid w:val="00C03933"/>
    <w:rsid w:val="00C039B3"/>
    <w:rsid w:val="00C03BA7"/>
    <w:rsid w:val="00C03D78"/>
    <w:rsid w:val="00C03E40"/>
    <w:rsid w:val="00C03E95"/>
    <w:rsid w:val="00C03F0B"/>
    <w:rsid w:val="00C04024"/>
    <w:rsid w:val="00C0436C"/>
    <w:rsid w:val="00C0440C"/>
    <w:rsid w:val="00C04418"/>
    <w:rsid w:val="00C045BB"/>
    <w:rsid w:val="00C04601"/>
    <w:rsid w:val="00C0466A"/>
    <w:rsid w:val="00C04698"/>
    <w:rsid w:val="00C04941"/>
    <w:rsid w:val="00C04AB6"/>
    <w:rsid w:val="00C04B43"/>
    <w:rsid w:val="00C04BB4"/>
    <w:rsid w:val="00C04D07"/>
    <w:rsid w:val="00C0515A"/>
    <w:rsid w:val="00C0550D"/>
    <w:rsid w:val="00C05591"/>
    <w:rsid w:val="00C057EC"/>
    <w:rsid w:val="00C0584A"/>
    <w:rsid w:val="00C05872"/>
    <w:rsid w:val="00C058D9"/>
    <w:rsid w:val="00C058E2"/>
    <w:rsid w:val="00C05905"/>
    <w:rsid w:val="00C059BF"/>
    <w:rsid w:val="00C05ACB"/>
    <w:rsid w:val="00C05ACF"/>
    <w:rsid w:val="00C05AF2"/>
    <w:rsid w:val="00C05BF2"/>
    <w:rsid w:val="00C05C6A"/>
    <w:rsid w:val="00C05EA1"/>
    <w:rsid w:val="00C05EC8"/>
    <w:rsid w:val="00C05FA2"/>
    <w:rsid w:val="00C061B2"/>
    <w:rsid w:val="00C062F4"/>
    <w:rsid w:val="00C06628"/>
    <w:rsid w:val="00C0673B"/>
    <w:rsid w:val="00C0679A"/>
    <w:rsid w:val="00C06AB3"/>
    <w:rsid w:val="00C06AC5"/>
    <w:rsid w:val="00C06ACF"/>
    <w:rsid w:val="00C06BC1"/>
    <w:rsid w:val="00C06C57"/>
    <w:rsid w:val="00C06DB1"/>
    <w:rsid w:val="00C06E1D"/>
    <w:rsid w:val="00C06F14"/>
    <w:rsid w:val="00C0708E"/>
    <w:rsid w:val="00C07138"/>
    <w:rsid w:val="00C07212"/>
    <w:rsid w:val="00C07281"/>
    <w:rsid w:val="00C07348"/>
    <w:rsid w:val="00C073A2"/>
    <w:rsid w:val="00C073D3"/>
    <w:rsid w:val="00C074BA"/>
    <w:rsid w:val="00C07506"/>
    <w:rsid w:val="00C075F7"/>
    <w:rsid w:val="00C07631"/>
    <w:rsid w:val="00C07661"/>
    <w:rsid w:val="00C07C33"/>
    <w:rsid w:val="00C07EE6"/>
    <w:rsid w:val="00C07F16"/>
    <w:rsid w:val="00C10355"/>
    <w:rsid w:val="00C10367"/>
    <w:rsid w:val="00C10392"/>
    <w:rsid w:val="00C10428"/>
    <w:rsid w:val="00C10528"/>
    <w:rsid w:val="00C10593"/>
    <w:rsid w:val="00C10636"/>
    <w:rsid w:val="00C10A6F"/>
    <w:rsid w:val="00C10B5C"/>
    <w:rsid w:val="00C10B64"/>
    <w:rsid w:val="00C10C6B"/>
    <w:rsid w:val="00C10E6B"/>
    <w:rsid w:val="00C10E6F"/>
    <w:rsid w:val="00C10EC5"/>
    <w:rsid w:val="00C10F97"/>
    <w:rsid w:val="00C11068"/>
    <w:rsid w:val="00C11112"/>
    <w:rsid w:val="00C1122C"/>
    <w:rsid w:val="00C11346"/>
    <w:rsid w:val="00C11521"/>
    <w:rsid w:val="00C1152C"/>
    <w:rsid w:val="00C1159B"/>
    <w:rsid w:val="00C11756"/>
    <w:rsid w:val="00C117DD"/>
    <w:rsid w:val="00C119B4"/>
    <w:rsid w:val="00C11D9C"/>
    <w:rsid w:val="00C11E03"/>
    <w:rsid w:val="00C11F1D"/>
    <w:rsid w:val="00C11F90"/>
    <w:rsid w:val="00C12107"/>
    <w:rsid w:val="00C1222E"/>
    <w:rsid w:val="00C12256"/>
    <w:rsid w:val="00C1229D"/>
    <w:rsid w:val="00C122C7"/>
    <w:rsid w:val="00C1269C"/>
    <w:rsid w:val="00C126BC"/>
    <w:rsid w:val="00C12761"/>
    <w:rsid w:val="00C1277D"/>
    <w:rsid w:val="00C1282E"/>
    <w:rsid w:val="00C12949"/>
    <w:rsid w:val="00C12C56"/>
    <w:rsid w:val="00C12C86"/>
    <w:rsid w:val="00C12CE2"/>
    <w:rsid w:val="00C12D48"/>
    <w:rsid w:val="00C12D72"/>
    <w:rsid w:val="00C12E98"/>
    <w:rsid w:val="00C12F04"/>
    <w:rsid w:val="00C1308F"/>
    <w:rsid w:val="00C1309B"/>
    <w:rsid w:val="00C13211"/>
    <w:rsid w:val="00C135D0"/>
    <w:rsid w:val="00C1388C"/>
    <w:rsid w:val="00C138E0"/>
    <w:rsid w:val="00C13AA0"/>
    <w:rsid w:val="00C13BC4"/>
    <w:rsid w:val="00C13F1C"/>
    <w:rsid w:val="00C13F35"/>
    <w:rsid w:val="00C14047"/>
    <w:rsid w:val="00C1418E"/>
    <w:rsid w:val="00C141CA"/>
    <w:rsid w:val="00C141D8"/>
    <w:rsid w:val="00C14308"/>
    <w:rsid w:val="00C14465"/>
    <w:rsid w:val="00C1460B"/>
    <w:rsid w:val="00C14652"/>
    <w:rsid w:val="00C147CF"/>
    <w:rsid w:val="00C147F5"/>
    <w:rsid w:val="00C14949"/>
    <w:rsid w:val="00C14B4A"/>
    <w:rsid w:val="00C14BE0"/>
    <w:rsid w:val="00C14BF9"/>
    <w:rsid w:val="00C14C42"/>
    <w:rsid w:val="00C14D89"/>
    <w:rsid w:val="00C14DE8"/>
    <w:rsid w:val="00C14E24"/>
    <w:rsid w:val="00C14FC6"/>
    <w:rsid w:val="00C1508B"/>
    <w:rsid w:val="00C15357"/>
    <w:rsid w:val="00C1535C"/>
    <w:rsid w:val="00C15364"/>
    <w:rsid w:val="00C15391"/>
    <w:rsid w:val="00C153E1"/>
    <w:rsid w:val="00C153EB"/>
    <w:rsid w:val="00C154AA"/>
    <w:rsid w:val="00C15512"/>
    <w:rsid w:val="00C155AD"/>
    <w:rsid w:val="00C15846"/>
    <w:rsid w:val="00C158D1"/>
    <w:rsid w:val="00C158DA"/>
    <w:rsid w:val="00C1590B"/>
    <w:rsid w:val="00C15AEB"/>
    <w:rsid w:val="00C15BFB"/>
    <w:rsid w:val="00C15D43"/>
    <w:rsid w:val="00C15EA6"/>
    <w:rsid w:val="00C15EAB"/>
    <w:rsid w:val="00C162CC"/>
    <w:rsid w:val="00C16486"/>
    <w:rsid w:val="00C1656A"/>
    <w:rsid w:val="00C16658"/>
    <w:rsid w:val="00C1665E"/>
    <w:rsid w:val="00C16691"/>
    <w:rsid w:val="00C16731"/>
    <w:rsid w:val="00C16B57"/>
    <w:rsid w:val="00C16CEF"/>
    <w:rsid w:val="00C16D6B"/>
    <w:rsid w:val="00C16E43"/>
    <w:rsid w:val="00C16F53"/>
    <w:rsid w:val="00C17018"/>
    <w:rsid w:val="00C170F3"/>
    <w:rsid w:val="00C170F9"/>
    <w:rsid w:val="00C1723C"/>
    <w:rsid w:val="00C1731D"/>
    <w:rsid w:val="00C17338"/>
    <w:rsid w:val="00C173EA"/>
    <w:rsid w:val="00C17475"/>
    <w:rsid w:val="00C1754C"/>
    <w:rsid w:val="00C175AC"/>
    <w:rsid w:val="00C176AB"/>
    <w:rsid w:val="00C17A27"/>
    <w:rsid w:val="00C17A4C"/>
    <w:rsid w:val="00C17A55"/>
    <w:rsid w:val="00C17A68"/>
    <w:rsid w:val="00C17BB0"/>
    <w:rsid w:val="00C17D7A"/>
    <w:rsid w:val="00C17E07"/>
    <w:rsid w:val="00C17E10"/>
    <w:rsid w:val="00C17EAF"/>
    <w:rsid w:val="00C17F47"/>
    <w:rsid w:val="00C20027"/>
    <w:rsid w:val="00C20244"/>
    <w:rsid w:val="00C202CA"/>
    <w:rsid w:val="00C20482"/>
    <w:rsid w:val="00C20501"/>
    <w:rsid w:val="00C205E5"/>
    <w:rsid w:val="00C2063D"/>
    <w:rsid w:val="00C2065F"/>
    <w:rsid w:val="00C20804"/>
    <w:rsid w:val="00C20820"/>
    <w:rsid w:val="00C208F7"/>
    <w:rsid w:val="00C2092C"/>
    <w:rsid w:val="00C20A57"/>
    <w:rsid w:val="00C20B1B"/>
    <w:rsid w:val="00C20D2C"/>
    <w:rsid w:val="00C20D84"/>
    <w:rsid w:val="00C20F5F"/>
    <w:rsid w:val="00C21015"/>
    <w:rsid w:val="00C2117C"/>
    <w:rsid w:val="00C21181"/>
    <w:rsid w:val="00C211F3"/>
    <w:rsid w:val="00C21428"/>
    <w:rsid w:val="00C215F0"/>
    <w:rsid w:val="00C21CC1"/>
    <w:rsid w:val="00C21D41"/>
    <w:rsid w:val="00C21E10"/>
    <w:rsid w:val="00C21FA4"/>
    <w:rsid w:val="00C220B9"/>
    <w:rsid w:val="00C220C3"/>
    <w:rsid w:val="00C22203"/>
    <w:rsid w:val="00C22275"/>
    <w:rsid w:val="00C22321"/>
    <w:rsid w:val="00C22342"/>
    <w:rsid w:val="00C223B0"/>
    <w:rsid w:val="00C223C9"/>
    <w:rsid w:val="00C22574"/>
    <w:rsid w:val="00C225F3"/>
    <w:rsid w:val="00C2263A"/>
    <w:rsid w:val="00C2296A"/>
    <w:rsid w:val="00C229EE"/>
    <w:rsid w:val="00C22B3D"/>
    <w:rsid w:val="00C22B4F"/>
    <w:rsid w:val="00C22B75"/>
    <w:rsid w:val="00C22BF4"/>
    <w:rsid w:val="00C22C10"/>
    <w:rsid w:val="00C22CE5"/>
    <w:rsid w:val="00C22DD0"/>
    <w:rsid w:val="00C22DF6"/>
    <w:rsid w:val="00C2304C"/>
    <w:rsid w:val="00C230C4"/>
    <w:rsid w:val="00C23142"/>
    <w:rsid w:val="00C23196"/>
    <w:rsid w:val="00C23280"/>
    <w:rsid w:val="00C2330B"/>
    <w:rsid w:val="00C2347B"/>
    <w:rsid w:val="00C234B2"/>
    <w:rsid w:val="00C234BC"/>
    <w:rsid w:val="00C234C5"/>
    <w:rsid w:val="00C234FE"/>
    <w:rsid w:val="00C23602"/>
    <w:rsid w:val="00C236A6"/>
    <w:rsid w:val="00C23969"/>
    <w:rsid w:val="00C23A95"/>
    <w:rsid w:val="00C23AD6"/>
    <w:rsid w:val="00C23B9D"/>
    <w:rsid w:val="00C23BC7"/>
    <w:rsid w:val="00C23C39"/>
    <w:rsid w:val="00C23D3C"/>
    <w:rsid w:val="00C23D41"/>
    <w:rsid w:val="00C23D95"/>
    <w:rsid w:val="00C23D9F"/>
    <w:rsid w:val="00C23F56"/>
    <w:rsid w:val="00C240B4"/>
    <w:rsid w:val="00C241AB"/>
    <w:rsid w:val="00C2425C"/>
    <w:rsid w:val="00C24264"/>
    <w:rsid w:val="00C2433D"/>
    <w:rsid w:val="00C24708"/>
    <w:rsid w:val="00C24764"/>
    <w:rsid w:val="00C247A5"/>
    <w:rsid w:val="00C2498B"/>
    <w:rsid w:val="00C2499F"/>
    <w:rsid w:val="00C24B79"/>
    <w:rsid w:val="00C24BC4"/>
    <w:rsid w:val="00C24CD1"/>
    <w:rsid w:val="00C24D16"/>
    <w:rsid w:val="00C24F75"/>
    <w:rsid w:val="00C250C3"/>
    <w:rsid w:val="00C25236"/>
    <w:rsid w:val="00C25480"/>
    <w:rsid w:val="00C2550C"/>
    <w:rsid w:val="00C25674"/>
    <w:rsid w:val="00C25744"/>
    <w:rsid w:val="00C25BF5"/>
    <w:rsid w:val="00C25C96"/>
    <w:rsid w:val="00C25E6B"/>
    <w:rsid w:val="00C25F94"/>
    <w:rsid w:val="00C2616D"/>
    <w:rsid w:val="00C26265"/>
    <w:rsid w:val="00C262D9"/>
    <w:rsid w:val="00C26394"/>
    <w:rsid w:val="00C263DA"/>
    <w:rsid w:val="00C263DC"/>
    <w:rsid w:val="00C263FE"/>
    <w:rsid w:val="00C26673"/>
    <w:rsid w:val="00C266C2"/>
    <w:rsid w:val="00C267A1"/>
    <w:rsid w:val="00C26837"/>
    <w:rsid w:val="00C2697F"/>
    <w:rsid w:val="00C26AAD"/>
    <w:rsid w:val="00C26AC4"/>
    <w:rsid w:val="00C26AEC"/>
    <w:rsid w:val="00C26B9B"/>
    <w:rsid w:val="00C26BF7"/>
    <w:rsid w:val="00C26CCB"/>
    <w:rsid w:val="00C26E5D"/>
    <w:rsid w:val="00C27022"/>
    <w:rsid w:val="00C2739F"/>
    <w:rsid w:val="00C27479"/>
    <w:rsid w:val="00C2758A"/>
    <w:rsid w:val="00C27608"/>
    <w:rsid w:val="00C277F3"/>
    <w:rsid w:val="00C2781E"/>
    <w:rsid w:val="00C27828"/>
    <w:rsid w:val="00C27922"/>
    <w:rsid w:val="00C27941"/>
    <w:rsid w:val="00C27950"/>
    <w:rsid w:val="00C279FE"/>
    <w:rsid w:val="00C27A01"/>
    <w:rsid w:val="00C27ABF"/>
    <w:rsid w:val="00C27B18"/>
    <w:rsid w:val="00C27B86"/>
    <w:rsid w:val="00C27BED"/>
    <w:rsid w:val="00C27C16"/>
    <w:rsid w:val="00C27C75"/>
    <w:rsid w:val="00C27DAD"/>
    <w:rsid w:val="00C27E41"/>
    <w:rsid w:val="00C3003C"/>
    <w:rsid w:val="00C3007F"/>
    <w:rsid w:val="00C30267"/>
    <w:rsid w:val="00C3080A"/>
    <w:rsid w:val="00C30813"/>
    <w:rsid w:val="00C3085C"/>
    <w:rsid w:val="00C30889"/>
    <w:rsid w:val="00C30981"/>
    <w:rsid w:val="00C309D5"/>
    <w:rsid w:val="00C30B02"/>
    <w:rsid w:val="00C30C6D"/>
    <w:rsid w:val="00C30DD5"/>
    <w:rsid w:val="00C30ECA"/>
    <w:rsid w:val="00C30FC1"/>
    <w:rsid w:val="00C310BE"/>
    <w:rsid w:val="00C31114"/>
    <w:rsid w:val="00C31239"/>
    <w:rsid w:val="00C31370"/>
    <w:rsid w:val="00C31400"/>
    <w:rsid w:val="00C3141F"/>
    <w:rsid w:val="00C314B8"/>
    <w:rsid w:val="00C315CF"/>
    <w:rsid w:val="00C318EF"/>
    <w:rsid w:val="00C31937"/>
    <w:rsid w:val="00C31A2D"/>
    <w:rsid w:val="00C31B28"/>
    <w:rsid w:val="00C31C4F"/>
    <w:rsid w:val="00C31E48"/>
    <w:rsid w:val="00C31FC4"/>
    <w:rsid w:val="00C3211D"/>
    <w:rsid w:val="00C3229A"/>
    <w:rsid w:val="00C32382"/>
    <w:rsid w:val="00C323FF"/>
    <w:rsid w:val="00C32440"/>
    <w:rsid w:val="00C324E9"/>
    <w:rsid w:val="00C3257E"/>
    <w:rsid w:val="00C32710"/>
    <w:rsid w:val="00C32721"/>
    <w:rsid w:val="00C3296F"/>
    <w:rsid w:val="00C3297A"/>
    <w:rsid w:val="00C329FD"/>
    <w:rsid w:val="00C32A2E"/>
    <w:rsid w:val="00C32A59"/>
    <w:rsid w:val="00C32C4C"/>
    <w:rsid w:val="00C32C78"/>
    <w:rsid w:val="00C32C8F"/>
    <w:rsid w:val="00C32EF6"/>
    <w:rsid w:val="00C32F49"/>
    <w:rsid w:val="00C33131"/>
    <w:rsid w:val="00C3316A"/>
    <w:rsid w:val="00C3334E"/>
    <w:rsid w:val="00C333BB"/>
    <w:rsid w:val="00C333BF"/>
    <w:rsid w:val="00C33480"/>
    <w:rsid w:val="00C33578"/>
    <w:rsid w:val="00C33670"/>
    <w:rsid w:val="00C33692"/>
    <w:rsid w:val="00C336F0"/>
    <w:rsid w:val="00C339D7"/>
    <w:rsid w:val="00C33A54"/>
    <w:rsid w:val="00C33A8F"/>
    <w:rsid w:val="00C33BD7"/>
    <w:rsid w:val="00C33CF9"/>
    <w:rsid w:val="00C33E2B"/>
    <w:rsid w:val="00C33EF3"/>
    <w:rsid w:val="00C34158"/>
    <w:rsid w:val="00C34277"/>
    <w:rsid w:val="00C343DC"/>
    <w:rsid w:val="00C34404"/>
    <w:rsid w:val="00C34535"/>
    <w:rsid w:val="00C34644"/>
    <w:rsid w:val="00C346C0"/>
    <w:rsid w:val="00C34728"/>
    <w:rsid w:val="00C34827"/>
    <w:rsid w:val="00C348BB"/>
    <w:rsid w:val="00C348DB"/>
    <w:rsid w:val="00C349BE"/>
    <w:rsid w:val="00C349F1"/>
    <w:rsid w:val="00C34BEF"/>
    <w:rsid w:val="00C34D1F"/>
    <w:rsid w:val="00C34E9E"/>
    <w:rsid w:val="00C34EF0"/>
    <w:rsid w:val="00C34EF1"/>
    <w:rsid w:val="00C34F30"/>
    <w:rsid w:val="00C35138"/>
    <w:rsid w:val="00C351A7"/>
    <w:rsid w:val="00C352A4"/>
    <w:rsid w:val="00C3541D"/>
    <w:rsid w:val="00C35663"/>
    <w:rsid w:val="00C35667"/>
    <w:rsid w:val="00C357DA"/>
    <w:rsid w:val="00C3594C"/>
    <w:rsid w:val="00C35A3D"/>
    <w:rsid w:val="00C35C99"/>
    <w:rsid w:val="00C35D98"/>
    <w:rsid w:val="00C35DB9"/>
    <w:rsid w:val="00C36017"/>
    <w:rsid w:val="00C3603C"/>
    <w:rsid w:val="00C361AC"/>
    <w:rsid w:val="00C36290"/>
    <w:rsid w:val="00C363E3"/>
    <w:rsid w:val="00C36443"/>
    <w:rsid w:val="00C36556"/>
    <w:rsid w:val="00C3662D"/>
    <w:rsid w:val="00C367C4"/>
    <w:rsid w:val="00C368A6"/>
    <w:rsid w:val="00C36A53"/>
    <w:rsid w:val="00C36A99"/>
    <w:rsid w:val="00C36AE0"/>
    <w:rsid w:val="00C36B10"/>
    <w:rsid w:val="00C36C60"/>
    <w:rsid w:val="00C36C83"/>
    <w:rsid w:val="00C36E33"/>
    <w:rsid w:val="00C36F3A"/>
    <w:rsid w:val="00C36F3F"/>
    <w:rsid w:val="00C36FD9"/>
    <w:rsid w:val="00C37149"/>
    <w:rsid w:val="00C371D0"/>
    <w:rsid w:val="00C3733D"/>
    <w:rsid w:val="00C37668"/>
    <w:rsid w:val="00C37912"/>
    <w:rsid w:val="00C37A02"/>
    <w:rsid w:val="00C37A07"/>
    <w:rsid w:val="00C37BCB"/>
    <w:rsid w:val="00C37C99"/>
    <w:rsid w:val="00C37F73"/>
    <w:rsid w:val="00C4000B"/>
    <w:rsid w:val="00C4003D"/>
    <w:rsid w:val="00C4017C"/>
    <w:rsid w:val="00C401C9"/>
    <w:rsid w:val="00C4036B"/>
    <w:rsid w:val="00C404B4"/>
    <w:rsid w:val="00C407EE"/>
    <w:rsid w:val="00C407F6"/>
    <w:rsid w:val="00C408AA"/>
    <w:rsid w:val="00C408B5"/>
    <w:rsid w:val="00C40996"/>
    <w:rsid w:val="00C409B2"/>
    <w:rsid w:val="00C409E9"/>
    <w:rsid w:val="00C40B21"/>
    <w:rsid w:val="00C40BF2"/>
    <w:rsid w:val="00C40C42"/>
    <w:rsid w:val="00C40D5E"/>
    <w:rsid w:val="00C40E82"/>
    <w:rsid w:val="00C40E9D"/>
    <w:rsid w:val="00C40EA2"/>
    <w:rsid w:val="00C40EFB"/>
    <w:rsid w:val="00C40EFF"/>
    <w:rsid w:val="00C41107"/>
    <w:rsid w:val="00C4129E"/>
    <w:rsid w:val="00C412CA"/>
    <w:rsid w:val="00C413E2"/>
    <w:rsid w:val="00C41522"/>
    <w:rsid w:val="00C416FB"/>
    <w:rsid w:val="00C4179F"/>
    <w:rsid w:val="00C417C9"/>
    <w:rsid w:val="00C4193F"/>
    <w:rsid w:val="00C41AD8"/>
    <w:rsid w:val="00C41B90"/>
    <w:rsid w:val="00C41F82"/>
    <w:rsid w:val="00C42305"/>
    <w:rsid w:val="00C4241C"/>
    <w:rsid w:val="00C425CF"/>
    <w:rsid w:val="00C42966"/>
    <w:rsid w:val="00C42B72"/>
    <w:rsid w:val="00C42B8B"/>
    <w:rsid w:val="00C42B91"/>
    <w:rsid w:val="00C42C5F"/>
    <w:rsid w:val="00C42CBE"/>
    <w:rsid w:val="00C42E22"/>
    <w:rsid w:val="00C42E8D"/>
    <w:rsid w:val="00C42FB8"/>
    <w:rsid w:val="00C431B4"/>
    <w:rsid w:val="00C431B9"/>
    <w:rsid w:val="00C43354"/>
    <w:rsid w:val="00C434CE"/>
    <w:rsid w:val="00C435C2"/>
    <w:rsid w:val="00C43768"/>
    <w:rsid w:val="00C43803"/>
    <w:rsid w:val="00C4381F"/>
    <w:rsid w:val="00C43841"/>
    <w:rsid w:val="00C438A6"/>
    <w:rsid w:val="00C43944"/>
    <w:rsid w:val="00C439D7"/>
    <w:rsid w:val="00C43B33"/>
    <w:rsid w:val="00C43BE1"/>
    <w:rsid w:val="00C43DDA"/>
    <w:rsid w:val="00C43FA7"/>
    <w:rsid w:val="00C44023"/>
    <w:rsid w:val="00C44199"/>
    <w:rsid w:val="00C44292"/>
    <w:rsid w:val="00C443E2"/>
    <w:rsid w:val="00C44459"/>
    <w:rsid w:val="00C444A9"/>
    <w:rsid w:val="00C44633"/>
    <w:rsid w:val="00C447E2"/>
    <w:rsid w:val="00C44805"/>
    <w:rsid w:val="00C44896"/>
    <w:rsid w:val="00C44A3A"/>
    <w:rsid w:val="00C44A50"/>
    <w:rsid w:val="00C44A67"/>
    <w:rsid w:val="00C44AA5"/>
    <w:rsid w:val="00C45162"/>
    <w:rsid w:val="00C452E6"/>
    <w:rsid w:val="00C45336"/>
    <w:rsid w:val="00C45491"/>
    <w:rsid w:val="00C454CC"/>
    <w:rsid w:val="00C456DD"/>
    <w:rsid w:val="00C4572D"/>
    <w:rsid w:val="00C457A9"/>
    <w:rsid w:val="00C457AF"/>
    <w:rsid w:val="00C4581E"/>
    <w:rsid w:val="00C45B06"/>
    <w:rsid w:val="00C45B77"/>
    <w:rsid w:val="00C45CDC"/>
    <w:rsid w:val="00C45CE5"/>
    <w:rsid w:val="00C45D57"/>
    <w:rsid w:val="00C45D78"/>
    <w:rsid w:val="00C45E6E"/>
    <w:rsid w:val="00C45F1B"/>
    <w:rsid w:val="00C46529"/>
    <w:rsid w:val="00C465D9"/>
    <w:rsid w:val="00C46643"/>
    <w:rsid w:val="00C4665B"/>
    <w:rsid w:val="00C46699"/>
    <w:rsid w:val="00C46754"/>
    <w:rsid w:val="00C467A2"/>
    <w:rsid w:val="00C467BB"/>
    <w:rsid w:val="00C4682D"/>
    <w:rsid w:val="00C46919"/>
    <w:rsid w:val="00C46A2F"/>
    <w:rsid w:val="00C46D3A"/>
    <w:rsid w:val="00C46D5A"/>
    <w:rsid w:val="00C46E73"/>
    <w:rsid w:val="00C46ED7"/>
    <w:rsid w:val="00C47063"/>
    <w:rsid w:val="00C470B0"/>
    <w:rsid w:val="00C470C8"/>
    <w:rsid w:val="00C47268"/>
    <w:rsid w:val="00C47307"/>
    <w:rsid w:val="00C473E5"/>
    <w:rsid w:val="00C4754D"/>
    <w:rsid w:val="00C47693"/>
    <w:rsid w:val="00C476A4"/>
    <w:rsid w:val="00C47772"/>
    <w:rsid w:val="00C47778"/>
    <w:rsid w:val="00C4777E"/>
    <w:rsid w:val="00C4784F"/>
    <w:rsid w:val="00C478A9"/>
    <w:rsid w:val="00C4791D"/>
    <w:rsid w:val="00C47B16"/>
    <w:rsid w:val="00C47C27"/>
    <w:rsid w:val="00C47C6B"/>
    <w:rsid w:val="00C47CA5"/>
    <w:rsid w:val="00C47CCD"/>
    <w:rsid w:val="00C47CEA"/>
    <w:rsid w:val="00C50096"/>
    <w:rsid w:val="00C500FD"/>
    <w:rsid w:val="00C5025D"/>
    <w:rsid w:val="00C503EE"/>
    <w:rsid w:val="00C5049D"/>
    <w:rsid w:val="00C504A0"/>
    <w:rsid w:val="00C50550"/>
    <w:rsid w:val="00C505C2"/>
    <w:rsid w:val="00C5078A"/>
    <w:rsid w:val="00C50871"/>
    <w:rsid w:val="00C50874"/>
    <w:rsid w:val="00C50A64"/>
    <w:rsid w:val="00C50A71"/>
    <w:rsid w:val="00C50B75"/>
    <w:rsid w:val="00C50C27"/>
    <w:rsid w:val="00C50E33"/>
    <w:rsid w:val="00C50E49"/>
    <w:rsid w:val="00C510C3"/>
    <w:rsid w:val="00C510CC"/>
    <w:rsid w:val="00C5118A"/>
    <w:rsid w:val="00C51257"/>
    <w:rsid w:val="00C512AB"/>
    <w:rsid w:val="00C51551"/>
    <w:rsid w:val="00C51767"/>
    <w:rsid w:val="00C51A12"/>
    <w:rsid w:val="00C51B6D"/>
    <w:rsid w:val="00C51BF6"/>
    <w:rsid w:val="00C51C42"/>
    <w:rsid w:val="00C51CA1"/>
    <w:rsid w:val="00C51CE2"/>
    <w:rsid w:val="00C51E79"/>
    <w:rsid w:val="00C51EB4"/>
    <w:rsid w:val="00C51F62"/>
    <w:rsid w:val="00C52062"/>
    <w:rsid w:val="00C5212C"/>
    <w:rsid w:val="00C521F3"/>
    <w:rsid w:val="00C5229C"/>
    <w:rsid w:val="00C522EC"/>
    <w:rsid w:val="00C522F9"/>
    <w:rsid w:val="00C523EE"/>
    <w:rsid w:val="00C525F5"/>
    <w:rsid w:val="00C528DF"/>
    <w:rsid w:val="00C52956"/>
    <w:rsid w:val="00C52B00"/>
    <w:rsid w:val="00C52BE8"/>
    <w:rsid w:val="00C52DEB"/>
    <w:rsid w:val="00C52E48"/>
    <w:rsid w:val="00C52F2C"/>
    <w:rsid w:val="00C53067"/>
    <w:rsid w:val="00C530B7"/>
    <w:rsid w:val="00C53132"/>
    <w:rsid w:val="00C5316A"/>
    <w:rsid w:val="00C5319D"/>
    <w:rsid w:val="00C53282"/>
    <w:rsid w:val="00C53396"/>
    <w:rsid w:val="00C533EB"/>
    <w:rsid w:val="00C53522"/>
    <w:rsid w:val="00C53665"/>
    <w:rsid w:val="00C5373B"/>
    <w:rsid w:val="00C53841"/>
    <w:rsid w:val="00C538A9"/>
    <w:rsid w:val="00C53A6D"/>
    <w:rsid w:val="00C53B1A"/>
    <w:rsid w:val="00C53B95"/>
    <w:rsid w:val="00C53C49"/>
    <w:rsid w:val="00C53D99"/>
    <w:rsid w:val="00C53FB6"/>
    <w:rsid w:val="00C54094"/>
    <w:rsid w:val="00C540C0"/>
    <w:rsid w:val="00C540C4"/>
    <w:rsid w:val="00C54293"/>
    <w:rsid w:val="00C542C9"/>
    <w:rsid w:val="00C544C1"/>
    <w:rsid w:val="00C54509"/>
    <w:rsid w:val="00C545BD"/>
    <w:rsid w:val="00C5463D"/>
    <w:rsid w:val="00C54717"/>
    <w:rsid w:val="00C547F2"/>
    <w:rsid w:val="00C548B4"/>
    <w:rsid w:val="00C54D32"/>
    <w:rsid w:val="00C54E0D"/>
    <w:rsid w:val="00C54F63"/>
    <w:rsid w:val="00C54FA3"/>
    <w:rsid w:val="00C55008"/>
    <w:rsid w:val="00C55101"/>
    <w:rsid w:val="00C5547E"/>
    <w:rsid w:val="00C5547F"/>
    <w:rsid w:val="00C554C7"/>
    <w:rsid w:val="00C556EF"/>
    <w:rsid w:val="00C55826"/>
    <w:rsid w:val="00C55AA7"/>
    <w:rsid w:val="00C55C27"/>
    <w:rsid w:val="00C55C76"/>
    <w:rsid w:val="00C55EBA"/>
    <w:rsid w:val="00C55F74"/>
    <w:rsid w:val="00C56069"/>
    <w:rsid w:val="00C5618A"/>
    <w:rsid w:val="00C56289"/>
    <w:rsid w:val="00C566E0"/>
    <w:rsid w:val="00C5690D"/>
    <w:rsid w:val="00C5691E"/>
    <w:rsid w:val="00C56A0D"/>
    <w:rsid w:val="00C56B2A"/>
    <w:rsid w:val="00C56BC2"/>
    <w:rsid w:val="00C56D3F"/>
    <w:rsid w:val="00C56DBB"/>
    <w:rsid w:val="00C57031"/>
    <w:rsid w:val="00C570F5"/>
    <w:rsid w:val="00C57200"/>
    <w:rsid w:val="00C57225"/>
    <w:rsid w:val="00C57386"/>
    <w:rsid w:val="00C57397"/>
    <w:rsid w:val="00C573C2"/>
    <w:rsid w:val="00C573DF"/>
    <w:rsid w:val="00C576B1"/>
    <w:rsid w:val="00C5785E"/>
    <w:rsid w:val="00C578A2"/>
    <w:rsid w:val="00C578BA"/>
    <w:rsid w:val="00C57D83"/>
    <w:rsid w:val="00C57E91"/>
    <w:rsid w:val="00C57EF5"/>
    <w:rsid w:val="00C57F84"/>
    <w:rsid w:val="00C60019"/>
    <w:rsid w:val="00C600F3"/>
    <w:rsid w:val="00C60109"/>
    <w:rsid w:val="00C60280"/>
    <w:rsid w:val="00C60595"/>
    <w:rsid w:val="00C608C9"/>
    <w:rsid w:val="00C60B57"/>
    <w:rsid w:val="00C60BD4"/>
    <w:rsid w:val="00C60C7F"/>
    <w:rsid w:val="00C60C8A"/>
    <w:rsid w:val="00C60C9D"/>
    <w:rsid w:val="00C60D8E"/>
    <w:rsid w:val="00C60FFE"/>
    <w:rsid w:val="00C61013"/>
    <w:rsid w:val="00C61122"/>
    <w:rsid w:val="00C61435"/>
    <w:rsid w:val="00C6154A"/>
    <w:rsid w:val="00C61575"/>
    <w:rsid w:val="00C61650"/>
    <w:rsid w:val="00C61671"/>
    <w:rsid w:val="00C616B3"/>
    <w:rsid w:val="00C61F48"/>
    <w:rsid w:val="00C61FC0"/>
    <w:rsid w:val="00C61FF0"/>
    <w:rsid w:val="00C62017"/>
    <w:rsid w:val="00C6210D"/>
    <w:rsid w:val="00C622A7"/>
    <w:rsid w:val="00C6239E"/>
    <w:rsid w:val="00C623D1"/>
    <w:rsid w:val="00C62570"/>
    <w:rsid w:val="00C6258C"/>
    <w:rsid w:val="00C62B61"/>
    <w:rsid w:val="00C62C42"/>
    <w:rsid w:val="00C62C8B"/>
    <w:rsid w:val="00C62D71"/>
    <w:rsid w:val="00C62D8E"/>
    <w:rsid w:val="00C62DAB"/>
    <w:rsid w:val="00C62EEA"/>
    <w:rsid w:val="00C62EFF"/>
    <w:rsid w:val="00C62FCF"/>
    <w:rsid w:val="00C62FE5"/>
    <w:rsid w:val="00C63024"/>
    <w:rsid w:val="00C6307E"/>
    <w:rsid w:val="00C632B4"/>
    <w:rsid w:val="00C632C8"/>
    <w:rsid w:val="00C63336"/>
    <w:rsid w:val="00C63697"/>
    <w:rsid w:val="00C63944"/>
    <w:rsid w:val="00C63A42"/>
    <w:rsid w:val="00C63B59"/>
    <w:rsid w:val="00C63BE8"/>
    <w:rsid w:val="00C63D26"/>
    <w:rsid w:val="00C63D6E"/>
    <w:rsid w:val="00C63DD0"/>
    <w:rsid w:val="00C6408F"/>
    <w:rsid w:val="00C64127"/>
    <w:rsid w:val="00C6413A"/>
    <w:rsid w:val="00C64233"/>
    <w:rsid w:val="00C6428F"/>
    <w:rsid w:val="00C64330"/>
    <w:rsid w:val="00C645B5"/>
    <w:rsid w:val="00C646A8"/>
    <w:rsid w:val="00C6499D"/>
    <w:rsid w:val="00C64A0B"/>
    <w:rsid w:val="00C64BCC"/>
    <w:rsid w:val="00C64D15"/>
    <w:rsid w:val="00C64E0A"/>
    <w:rsid w:val="00C64E36"/>
    <w:rsid w:val="00C64EC7"/>
    <w:rsid w:val="00C652E8"/>
    <w:rsid w:val="00C65387"/>
    <w:rsid w:val="00C658D2"/>
    <w:rsid w:val="00C658EF"/>
    <w:rsid w:val="00C6593E"/>
    <w:rsid w:val="00C65B5F"/>
    <w:rsid w:val="00C65B9A"/>
    <w:rsid w:val="00C65CCA"/>
    <w:rsid w:val="00C65D09"/>
    <w:rsid w:val="00C65DCF"/>
    <w:rsid w:val="00C65EE6"/>
    <w:rsid w:val="00C660FC"/>
    <w:rsid w:val="00C6634B"/>
    <w:rsid w:val="00C663FF"/>
    <w:rsid w:val="00C664B8"/>
    <w:rsid w:val="00C6660D"/>
    <w:rsid w:val="00C66667"/>
    <w:rsid w:val="00C6673C"/>
    <w:rsid w:val="00C6688B"/>
    <w:rsid w:val="00C668E3"/>
    <w:rsid w:val="00C669B9"/>
    <w:rsid w:val="00C669EE"/>
    <w:rsid w:val="00C66A26"/>
    <w:rsid w:val="00C66A69"/>
    <w:rsid w:val="00C66A73"/>
    <w:rsid w:val="00C66AAD"/>
    <w:rsid w:val="00C66ACE"/>
    <w:rsid w:val="00C66C5F"/>
    <w:rsid w:val="00C66D94"/>
    <w:rsid w:val="00C66EF2"/>
    <w:rsid w:val="00C66F28"/>
    <w:rsid w:val="00C670C1"/>
    <w:rsid w:val="00C67469"/>
    <w:rsid w:val="00C67534"/>
    <w:rsid w:val="00C677A7"/>
    <w:rsid w:val="00C677EB"/>
    <w:rsid w:val="00C677F6"/>
    <w:rsid w:val="00C6787A"/>
    <w:rsid w:val="00C6791A"/>
    <w:rsid w:val="00C67AA6"/>
    <w:rsid w:val="00C67D7F"/>
    <w:rsid w:val="00C7007F"/>
    <w:rsid w:val="00C702A9"/>
    <w:rsid w:val="00C70402"/>
    <w:rsid w:val="00C70419"/>
    <w:rsid w:val="00C70425"/>
    <w:rsid w:val="00C70650"/>
    <w:rsid w:val="00C707D6"/>
    <w:rsid w:val="00C707E7"/>
    <w:rsid w:val="00C70918"/>
    <w:rsid w:val="00C70970"/>
    <w:rsid w:val="00C70A30"/>
    <w:rsid w:val="00C70D7A"/>
    <w:rsid w:val="00C70EE7"/>
    <w:rsid w:val="00C70F73"/>
    <w:rsid w:val="00C71050"/>
    <w:rsid w:val="00C710BD"/>
    <w:rsid w:val="00C710F5"/>
    <w:rsid w:val="00C71321"/>
    <w:rsid w:val="00C714A4"/>
    <w:rsid w:val="00C714AF"/>
    <w:rsid w:val="00C7153B"/>
    <w:rsid w:val="00C7162F"/>
    <w:rsid w:val="00C7169F"/>
    <w:rsid w:val="00C71716"/>
    <w:rsid w:val="00C71732"/>
    <w:rsid w:val="00C71834"/>
    <w:rsid w:val="00C71B01"/>
    <w:rsid w:val="00C721C1"/>
    <w:rsid w:val="00C7222E"/>
    <w:rsid w:val="00C724E3"/>
    <w:rsid w:val="00C72671"/>
    <w:rsid w:val="00C726D3"/>
    <w:rsid w:val="00C72732"/>
    <w:rsid w:val="00C727E6"/>
    <w:rsid w:val="00C728D6"/>
    <w:rsid w:val="00C72974"/>
    <w:rsid w:val="00C72A46"/>
    <w:rsid w:val="00C72B5F"/>
    <w:rsid w:val="00C72C05"/>
    <w:rsid w:val="00C72C37"/>
    <w:rsid w:val="00C72E81"/>
    <w:rsid w:val="00C72F9F"/>
    <w:rsid w:val="00C730F5"/>
    <w:rsid w:val="00C73102"/>
    <w:rsid w:val="00C7310D"/>
    <w:rsid w:val="00C73185"/>
    <w:rsid w:val="00C7325D"/>
    <w:rsid w:val="00C7341C"/>
    <w:rsid w:val="00C734A7"/>
    <w:rsid w:val="00C734AE"/>
    <w:rsid w:val="00C734CD"/>
    <w:rsid w:val="00C7358C"/>
    <w:rsid w:val="00C735C7"/>
    <w:rsid w:val="00C73600"/>
    <w:rsid w:val="00C73AD1"/>
    <w:rsid w:val="00C73C2C"/>
    <w:rsid w:val="00C73D34"/>
    <w:rsid w:val="00C73F24"/>
    <w:rsid w:val="00C7404D"/>
    <w:rsid w:val="00C741CB"/>
    <w:rsid w:val="00C74252"/>
    <w:rsid w:val="00C74434"/>
    <w:rsid w:val="00C744C3"/>
    <w:rsid w:val="00C7453C"/>
    <w:rsid w:val="00C7457B"/>
    <w:rsid w:val="00C74888"/>
    <w:rsid w:val="00C74899"/>
    <w:rsid w:val="00C74A0F"/>
    <w:rsid w:val="00C74A53"/>
    <w:rsid w:val="00C74C3F"/>
    <w:rsid w:val="00C74E15"/>
    <w:rsid w:val="00C74ED6"/>
    <w:rsid w:val="00C75034"/>
    <w:rsid w:val="00C755DE"/>
    <w:rsid w:val="00C75703"/>
    <w:rsid w:val="00C75791"/>
    <w:rsid w:val="00C75796"/>
    <w:rsid w:val="00C75964"/>
    <w:rsid w:val="00C75B74"/>
    <w:rsid w:val="00C75BEB"/>
    <w:rsid w:val="00C75CAE"/>
    <w:rsid w:val="00C75D15"/>
    <w:rsid w:val="00C75EBF"/>
    <w:rsid w:val="00C75F8B"/>
    <w:rsid w:val="00C76005"/>
    <w:rsid w:val="00C7604C"/>
    <w:rsid w:val="00C761AA"/>
    <w:rsid w:val="00C76320"/>
    <w:rsid w:val="00C7632E"/>
    <w:rsid w:val="00C76467"/>
    <w:rsid w:val="00C76485"/>
    <w:rsid w:val="00C76532"/>
    <w:rsid w:val="00C766DD"/>
    <w:rsid w:val="00C76812"/>
    <w:rsid w:val="00C76870"/>
    <w:rsid w:val="00C768E7"/>
    <w:rsid w:val="00C768FF"/>
    <w:rsid w:val="00C769C6"/>
    <w:rsid w:val="00C76B8A"/>
    <w:rsid w:val="00C76C57"/>
    <w:rsid w:val="00C76E95"/>
    <w:rsid w:val="00C76FAD"/>
    <w:rsid w:val="00C76FEA"/>
    <w:rsid w:val="00C77067"/>
    <w:rsid w:val="00C771AA"/>
    <w:rsid w:val="00C771CE"/>
    <w:rsid w:val="00C771DC"/>
    <w:rsid w:val="00C77259"/>
    <w:rsid w:val="00C7758B"/>
    <w:rsid w:val="00C777F6"/>
    <w:rsid w:val="00C77839"/>
    <w:rsid w:val="00C77A8A"/>
    <w:rsid w:val="00C77B5C"/>
    <w:rsid w:val="00C77CD5"/>
    <w:rsid w:val="00C77CE4"/>
    <w:rsid w:val="00C77E0C"/>
    <w:rsid w:val="00C77E96"/>
    <w:rsid w:val="00C77F40"/>
    <w:rsid w:val="00C80095"/>
    <w:rsid w:val="00C80106"/>
    <w:rsid w:val="00C8010B"/>
    <w:rsid w:val="00C801FA"/>
    <w:rsid w:val="00C80352"/>
    <w:rsid w:val="00C8062D"/>
    <w:rsid w:val="00C8081F"/>
    <w:rsid w:val="00C8084D"/>
    <w:rsid w:val="00C80A0B"/>
    <w:rsid w:val="00C80A4A"/>
    <w:rsid w:val="00C80A61"/>
    <w:rsid w:val="00C80B93"/>
    <w:rsid w:val="00C80CAE"/>
    <w:rsid w:val="00C80CC3"/>
    <w:rsid w:val="00C80E0B"/>
    <w:rsid w:val="00C80E5A"/>
    <w:rsid w:val="00C80E84"/>
    <w:rsid w:val="00C80ED8"/>
    <w:rsid w:val="00C8112E"/>
    <w:rsid w:val="00C812D4"/>
    <w:rsid w:val="00C8130C"/>
    <w:rsid w:val="00C814F4"/>
    <w:rsid w:val="00C814FF"/>
    <w:rsid w:val="00C81526"/>
    <w:rsid w:val="00C8155C"/>
    <w:rsid w:val="00C815AC"/>
    <w:rsid w:val="00C8164A"/>
    <w:rsid w:val="00C81666"/>
    <w:rsid w:val="00C816A3"/>
    <w:rsid w:val="00C81849"/>
    <w:rsid w:val="00C81916"/>
    <w:rsid w:val="00C819B1"/>
    <w:rsid w:val="00C81A15"/>
    <w:rsid w:val="00C81A94"/>
    <w:rsid w:val="00C81E11"/>
    <w:rsid w:val="00C8203D"/>
    <w:rsid w:val="00C8205E"/>
    <w:rsid w:val="00C820DB"/>
    <w:rsid w:val="00C82259"/>
    <w:rsid w:val="00C8259D"/>
    <w:rsid w:val="00C8261A"/>
    <w:rsid w:val="00C82776"/>
    <w:rsid w:val="00C827B5"/>
    <w:rsid w:val="00C828F9"/>
    <w:rsid w:val="00C82990"/>
    <w:rsid w:val="00C82AF0"/>
    <w:rsid w:val="00C82B5F"/>
    <w:rsid w:val="00C82B97"/>
    <w:rsid w:val="00C82C0E"/>
    <w:rsid w:val="00C82DF3"/>
    <w:rsid w:val="00C82E12"/>
    <w:rsid w:val="00C82F00"/>
    <w:rsid w:val="00C82F3D"/>
    <w:rsid w:val="00C82FFD"/>
    <w:rsid w:val="00C83017"/>
    <w:rsid w:val="00C830F8"/>
    <w:rsid w:val="00C832EE"/>
    <w:rsid w:val="00C83342"/>
    <w:rsid w:val="00C836A4"/>
    <w:rsid w:val="00C83864"/>
    <w:rsid w:val="00C83937"/>
    <w:rsid w:val="00C839C0"/>
    <w:rsid w:val="00C83A51"/>
    <w:rsid w:val="00C83BC5"/>
    <w:rsid w:val="00C83BF4"/>
    <w:rsid w:val="00C83C4C"/>
    <w:rsid w:val="00C83C78"/>
    <w:rsid w:val="00C83CA2"/>
    <w:rsid w:val="00C83CED"/>
    <w:rsid w:val="00C840FB"/>
    <w:rsid w:val="00C8411E"/>
    <w:rsid w:val="00C84142"/>
    <w:rsid w:val="00C84162"/>
    <w:rsid w:val="00C84204"/>
    <w:rsid w:val="00C8428A"/>
    <w:rsid w:val="00C842B5"/>
    <w:rsid w:val="00C8449A"/>
    <w:rsid w:val="00C84533"/>
    <w:rsid w:val="00C848A2"/>
    <w:rsid w:val="00C848EE"/>
    <w:rsid w:val="00C84B07"/>
    <w:rsid w:val="00C84B5B"/>
    <w:rsid w:val="00C84C6A"/>
    <w:rsid w:val="00C84C90"/>
    <w:rsid w:val="00C84D0D"/>
    <w:rsid w:val="00C84D80"/>
    <w:rsid w:val="00C84E00"/>
    <w:rsid w:val="00C84E4C"/>
    <w:rsid w:val="00C84FFB"/>
    <w:rsid w:val="00C85074"/>
    <w:rsid w:val="00C85091"/>
    <w:rsid w:val="00C8524B"/>
    <w:rsid w:val="00C85276"/>
    <w:rsid w:val="00C85374"/>
    <w:rsid w:val="00C853E7"/>
    <w:rsid w:val="00C854EE"/>
    <w:rsid w:val="00C85542"/>
    <w:rsid w:val="00C855D2"/>
    <w:rsid w:val="00C85941"/>
    <w:rsid w:val="00C85998"/>
    <w:rsid w:val="00C85C82"/>
    <w:rsid w:val="00C85C84"/>
    <w:rsid w:val="00C85CDF"/>
    <w:rsid w:val="00C85DD3"/>
    <w:rsid w:val="00C85E9D"/>
    <w:rsid w:val="00C86040"/>
    <w:rsid w:val="00C86136"/>
    <w:rsid w:val="00C86199"/>
    <w:rsid w:val="00C8632E"/>
    <w:rsid w:val="00C86559"/>
    <w:rsid w:val="00C86736"/>
    <w:rsid w:val="00C8687D"/>
    <w:rsid w:val="00C869E7"/>
    <w:rsid w:val="00C86A06"/>
    <w:rsid w:val="00C86B73"/>
    <w:rsid w:val="00C86C5D"/>
    <w:rsid w:val="00C86EE4"/>
    <w:rsid w:val="00C86F22"/>
    <w:rsid w:val="00C86F2B"/>
    <w:rsid w:val="00C86F49"/>
    <w:rsid w:val="00C87240"/>
    <w:rsid w:val="00C87459"/>
    <w:rsid w:val="00C87470"/>
    <w:rsid w:val="00C874AD"/>
    <w:rsid w:val="00C874BA"/>
    <w:rsid w:val="00C875B6"/>
    <w:rsid w:val="00C87699"/>
    <w:rsid w:val="00C877C3"/>
    <w:rsid w:val="00C87870"/>
    <w:rsid w:val="00C878F0"/>
    <w:rsid w:val="00C87931"/>
    <w:rsid w:val="00C87C35"/>
    <w:rsid w:val="00C87CC6"/>
    <w:rsid w:val="00C87DE5"/>
    <w:rsid w:val="00C87E05"/>
    <w:rsid w:val="00C901B2"/>
    <w:rsid w:val="00C90243"/>
    <w:rsid w:val="00C903AF"/>
    <w:rsid w:val="00C903C4"/>
    <w:rsid w:val="00C9064B"/>
    <w:rsid w:val="00C907F3"/>
    <w:rsid w:val="00C90839"/>
    <w:rsid w:val="00C909C5"/>
    <w:rsid w:val="00C90B15"/>
    <w:rsid w:val="00C90B9C"/>
    <w:rsid w:val="00C90C11"/>
    <w:rsid w:val="00C90C74"/>
    <w:rsid w:val="00C90ED7"/>
    <w:rsid w:val="00C91147"/>
    <w:rsid w:val="00C91199"/>
    <w:rsid w:val="00C911BE"/>
    <w:rsid w:val="00C91223"/>
    <w:rsid w:val="00C9153D"/>
    <w:rsid w:val="00C91546"/>
    <w:rsid w:val="00C9164A"/>
    <w:rsid w:val="00C9175D"/>
    <w:rsid w:val="00C919B5"/>
    <w:rsid w:val="00C91B85"/>
    <w:rsid w:val="00C91BDD"/>
    <w:rsid w:val="00C91C81"/>
    <w:rsid w:val="00C91CC2"/>
    <w:rsid w:val="00C91DE2"/>
    <w:rsid w:val="00C91E44"/>
    <w:rsid w:val="00C91E74"/>
    <w:rsid w:val="00C91EFA"/>
    <w:rsid w:val="00C91F1E"/>
    <w:rsid w:val="00C91FAF"/>
    <w:rsid w:val="00C920B3"/>
    <w:rsid w:val="00C92122"/>
    <w:rsid w:val="00C9223C"/>
    <w:rsid w:val="00C92365"/>
    <w:rsid w:val="00C923A3"/>
    <w:rsid w:val="00C92406"/>
    <w:rsid w:val="00C92528"/>
    <w:rsid w:val="00C92787"/>
    <w:rsid w:val="00C9296F"/>
    <w:rsid w:val="00C92A2C"/>
    <w:rsid w:val="00C92A98"/>
    <w:rsid w:val="00C92B57"/>
    <w:rsid w:val="00C93179"/>
    <w:rsid w:val="00C93284"/>
    <w:rsid w:val="00C932F7"/>
    <w:rsid w:val="00C93381"/>
    <w:rsid w:val="00C933C9"/>
    <w:rsid w:val="00C93445"/>
    <w:rsid w:val="00C934CD"/>
    <w:rsid w:val="00C935BE"/>
    <w:rsid w:val="00C93681"/>
    <w:rsid w:val="00C9368B"/>
    <w:rsid w:val="00C936BC"/>
    <w:rsid w:val="00C937B9"/>
    <w:rsid w:val="00C93818"/>
    <w:rsid w:val="00C93835"/>
    <w:rsid w:val="00C93841"/>
    <w:rsid w:val="00C9393C"/>
    <w:rsid w:val="00C93AEF"/>
    <w:rsid w:val="00C93C0D"/>
    <w:rsid w:val="00C93C2E"/>
    <w:rsid w:val="00C93C79"/>
    <w:rsid w:val="00C93CE9"/>
    <w:rsid w:val="00C93D5D"/>
    <w:rsid w:val="00C93DBD"/>
    <w:rsid w:val="00C93DC1"/>
    <w:rsid w:val="00C93E1C"/>
    <w:rsid w:val="00C93E70"/>
    <w:rsid w:val="00C93F99"/>
    <w:rsid w:val="00C93FA1"/>
    <w:rsid w:val="00C94093"/>
    <w:rsid w:val="00C94121"/>
    <w:rsid w:val="00C941C4"/>
    <w:rsid w:val="00C942DB"/>
    <w:rsid w:val="00C942F5"/>
    <w:rsid w:val="00C9434F"/>
    <w:rsid w:val="00C94373"/>
    <w:rsid w:val="00C9486B"/>
    <w:rsid w:val="00C9494B"/>
    <w:rsid w:val="00C94C08"/>
    <w:rsid w:val="00C94E8A"/>
    <w:rsid w:val="00C94E9E"/>
    <w:rsid w:val="00C9508F"/>
    <w:rsid w:val="00C950B2"/>
    <w:rsid w:val="00C95261"/>
    <w:rsid w:val="00C9549A"/>
    <w:rsid w:val="00C954F8"/>
    <w:rsid w:val="00C95507"/>
    <w:rsid w:val="00C95510"/>
    <w:rsid w:val="00C95669"/>
    <w:rsid w:val="00C95907"/>
    <w:rsid w:val="00C95914"/>
    <w:rsid w:val="00C95B36"/>
    <w:rsid w:val="00C95B8F"/>
    <w:rsid w:val="00C95E21"/>
    <w:rsid w:val="00C95F8F"/>
    <w:rsid w:val="00C960C7"/>
    <w:rsid w:val="00C960E7"/>
    <w:rsid w:val="00C960ED"/>
    <w:rsid w:val="00C96138"/>
    <w:rsid w:val="00C96144"/>
    <w:rsid w:val="00C96204"/>
    <w:rsid w:val="00C962E5"/>
    <w:rsid w:val="00C9650F"/>
    <w:rsid w:val="00C96564"/>
    <w:rsid w:val="00C966CC"/>
    <w:rsid w:val="00C96798"/>
    <w:rsid w:val="00C96872"/>
    <w:rsid w:val="00C9691A"/>
    <w:rsid w:val="00C969B4"/>
    <w:rsid w:val="00C969BF"/>
    <w:rsid w:val="00C96AB8"/>
    <w:rsid w:val="00C96B48"/>
    <w:rsid w:val="00C96F0F"/>
    <w:rsid w:val="00C970EF"/>
    <w:rsid w:val="00C97139"/>
    <w:rsid w:val="00C97159"/>
    <w:rsid w:val="00C9728D"/>
    <w:rsid w:val="00C973A2"/>
    <w:rsid w:val="00C9741E"/>
    <w:rsid w:val="00C97438"/>
    <w:rsid w:val="00C97A43"/>
    <w:rsid w:val="00C97A46"/>
    <w:rsid w:val="00C97BF6"/>
    <w:rsid w:val="00C97C8A"/>
    <w:rsid w:val="00C97D69"/>
    <w:rsid w:val="00C97E91"/>
    <w:rsid w:val="00C97EB4"/>
    <w:rsid w:val="00C97EFF"/>
    <w:rsid w:val="00C97F43"/>
    <w:rsid w:val="00CA0018"/>
    <w:rsid w:val="00CA003E"/>
    <w:rsid w:val="00CA00FD"/>
    <w:rsid w:val="00CA0106"/>
    <w:rsid w:val="00CA01AA"/>
    <w:rsid w:val="00CA028A"/>
    <w:rsid w:val="00CA02A1"/>
    <w:rsid w:val="00CA0349"/>
    <w:rsid w:val="00CA05D9"/>
    <w:rsid w:val="00CA0694"/>
    <w:rsid w:val="00CA0762"/>
    <w:rsid w:val="00CA0785"/>
    <w:rsid w:val="00CA07A4"/>
    <w:rsid w:val="00CA0997"/>
    <w:rsid w:val="00CA0A2F"/>
    <w:rsid w:val="00CA0AA2"/>
    <w:rsid w:val="00CA0D86"/>
    <w:rsid w:val="00CA0E41"/>
    <w:rsid w:val="00CA0E5E"/>
    <w:rsid w:val="00CA106D"/>
    <w:rsid w:val="00CA12AC"/>
    <w:rsid w:val="00CA136E"/>
    <w:rsid w:val="00CA1442"/>
    <w:rsid w:val="00CA150D"/>
    <w:rsid w:val="00CA1597"/>
    <w:rsid w:val="00CA15DE"/>
    <w:rsid w:val="00CA167D"/>
    <w:rsid w:val="00CA17F2"/>
    <w:rsid w:val="00CA180B"/>
    <w:rsid w:val="00CA185E"/>
    <w:rsid w:val="00CA1864"/>
    <w:rsid w:val="00CA187D"/>
    <w:rsid w:val="00CA18EF"/>
    <w:rsid w:val="00CA18F1"/>
    <w:rsid w:val="00CA198B"/>
    <w:rsid w:val="00CA1A20"/>
    <w:rsid w:val="00CA1A95"/>
    <w:rsid w:val="00CA1B10"/>
    <w:rsid w:val="00CA1B4D"/>
    <w:rsid w:val="00CA1CD8"/>
    <w:rsid w:val="00CA1E17"/>
    <w:rsid w:val="00CA1E1A"/>
    <w:rsid w:val="00CA1F85"/>
    <w:rsid w:val="00CA2454"/>
    <w:rsid w:val="00CA24B2"/>
    <w:rsid w:val="00CA24BD"/>
    <w:rsid w:val="00CA2589"/>
    <w:rsid w:val="00CA26C2"/>
    <w:rsid w:val="00CA2755"/>
    <w:rsid w:val="00CA2A59"/>
    <w:rsid w:val="00CA2BB1"/>
    <w:rsid w:val="00CA2CD7"/>
    <w:rsid w:val="00CA2D9D"/>
    <w:rsid w:val="00CA2E6E"/>
    <w:rsid w:val="00CA2F80"/>
    <w:rsid w:val="00CA3031"/>
    <w:rsid w:val="00CA30DD"/>
    <w:rsid w:val="00CA3337"/>
    <w:rsid w:val="00CA33C7"/>
    <w:rsid w:val="00CA33CF"/>
    <w:rsid w:val="00CA34BA"/>
    <w:rsid w:val="00CA34CE"/>
    <w:rsid w:val="00CA35BB"/>
    <w:rsid w:val="00CA36A3"/>
    <w:rsid w:val="00CA3A10"/>
    <w:rsid w:val="00CA3C27"/>
    <w:rsid w:val="00CA3C81"/>
    <w:rsid w:val="00CA3CAC"/>
    <w:rsid w:val="00CA3E03"/>
    <w:rsid w:val="00CA3E5C"/>
    <w:rsid w:val="00CA41D6"/>
    <w:rsid w:val="00CA4302"/>
    <w:rsid w:val="00CA4486"/>
    <w:rsid w:val="00CA44BE"/>
    <w:rsid w:val="00CA454B"/>
    <w:rsid w:val="00CA4661"/>
    <w:rsid w:val="00CA4730"/>
    <w:rsid w:val="00CA476F"/>
    <w:rsid w:val="00CA4840"/>
    <w:rsid w:val="00CA4954"/>
    <w:rsid w:val="00CA4AB6"/>
    <w:rsid w:val="00CA4B69"/>
    <w:rsid w:val="00CA4C24"/>
    <w:rsid w:val="00CA4E97"/>
    <w:rsid w:val="00CA4EBE"/>
    <w:rsid w:val="00CA4EF8"/>
    <w:rsid w:val="00CA4FFB"/>
    <w:rsid w:val="00CA5051"/>
    <w:rsid w:val="00CA51F5"/>
    <w:rsid w:val="00CA5383"/>
    <w:rsid w:val="00CA5734"/>
    <w:rsid w:val="00CA57AF"/>
    <w:rsid w:val="00CA58CA"/>
    <w:rsid w:val="00CA58D3"/>
    <w:rsid w:val="00CA58E6"/>
    <w:rsid w:val="00CA590D"/>
    <w:rsid w:val="00CA59F9"/>
    <w:rsid w:val="00CA5A21"/>
    <w:rsid w:val="00CA5AA4"/>
    <w:rsid w:val="00CA5ACB"/>
    <w:rsid w:val="00CA5B2D"/>
    <w:rsid w:val="00CA5B32"/>
    <w:rsid w:val="00CA5B8E"/>
    <w:rsid w:val="00CA5DA6"/>
    <w:rsid w:val="00CA5E7B"/>
    <w:rsid w:val="00CA6659"/>
    <w:rsid w:val="00CA6686"/>
    <w:rsid w:val="00CA6941"/>
    <w:rsid w:val="00CA69C9"/>
    <w:rsid w:val="00CA6AD8"/>
    <w:rsid w:val="00CA6C08"/>
    <w:rsid w:val="00CA6C12"/>
    <w:rsid w:val="00CA6DBA"/>
    <w:rsid w:val="00CA70D1"/>
    <w:rsid w:val="00CA7293"/>
    <w:rsid w:val="00CA7365"/>
    <w:rsid w:val="00CA7367"/>
    <w:rsid w:val="00CA73A1"/>
    <w:rsid w:val="00CA73EF"/>
    <w:rsid w:val="00CA74C0"/>
    <w:rsid w:val="00CA7701"/>
    <w:rsid w:val="00CA775E"/>
    <w:rsid w:val="00CA786D"/>
    <w:rsid w:val="00CA78A6"/>
    <w:rsid w:val="00CA7A38"/>
    <w:rsid w:val="00CA7A46"/>
    <w:rsid w:val="00CA7B19"/>
    <w:rsid w:val="00CA7BD3"/>
    <w:rsid w:val="00CA7BD4"/>
    <w:rsid w:val="00CB02D7"/>
    <w:rsid w:val="00CB03DC"/>
    <w:rsid w:val="00CB04AF"/>
    <w:rsid w:val="00CB05F7"/>
    <w:rsid w:val="00CB084E"/>
    <w:rsid w:val="00CB0962"/>
    <w:rsid w:val="00CB0A56"/>
    <w:rsid w:val="00CB0B4E"/>
    <w:rsid w:val="00CB0BA2"/>
    <w:rsid w:val="00CB0F8F"/>
    <w:rsid w:val="00CB11B6"/>
    <w:rsid w:val="00CB11DF"/>
    <w:rsid w:val="00CB147C"/>
    <w:rsid w:val="00CB14B7"/>
    <w:rsid w:val="00CB1632"/>
    <w:rsid w:val="00CB170B"/>
    <w:rsid w:val="00CB1776"/>
    <w:rsid w:val="00CB1833"/>
    <w:rsid w:val="00CB18D1"/>
    <w:rsid w:val="00CB18DE"/>
    <w:rsid w:val="00CB1A6C"/>
    <w:rsid w:val="00CB1C9D"/>
    <w:rsid w:val="00CB1CC7"/>
    <w:rsid w:val="00CB1D27"/>
    <w:rsid w:val="00CB1E5C"/>
    <w:rsid w:val="00CB1FFF"/>
    <w:rsid w:val="00CB2023"/>
    <w:rsid w:val="00CB20B6"/>
    <w:rsid w:val="00CB2111"/>
    <w:rsid w:val="00CB21DB"/>
    <w:rsid w:val="00CB21E9"/>
    <w:rsid w:val="00CB2224"/>
    <w:rsid w:val="00CB234D"/>
    <w:rsid w:val="00CB23A8"/>
    <w:rsid w:val="00CB2484"/>
    <w:rsid w:val="00CB2584"/>
    <w:rsid w:val="00CB25AF"/>
    <w:rsid w:val="00CB25F8"/>
    <w:rsid w:val="00CB2940"/>
    <w:rsid w:val="00CB2941"/>
    <w:rsid w:val="00CB2BF6"/>
    <w:rsid w:val="00CB2C58"/>
    <w:rsid w:val="00CB2CEE"/>
    <w:rsid w:val="00CB2E1A"/>
    <w:rsid w:val="00CB2E92"/>
    <w:rsid w:val="00CB2FD8"/>
    <w:rsid w:val="00CB314B"/>
    <w:rsid w:val="00CB342D"/>
    <w:rsid w:val="00CB350B"/>
    <w:rsid w:val="00CB351C"/>
    <w:rsid w:val="00CB3573"/>
    <w:rsid w:val="00CB3581"/>
    <w:rsid w:val="00CB359A"/>
    <w:rsid w:val="00CB361A"/>
    <w:rsid w:val="00CB36F4"/>
    <w:rsid w:val="00CB37E9"/>
    <w:rsid w:val="00CB38A3"/>
    <w:rsid w:val="00CB3963"/>
    <w:rsid w:val="00CB3BC9"/>
    <w:rsid w:val="00CB3CBA"/>
    <w:rsid w:val="00CB40E6"/>
    <w:rsid w:val="00CB4207"/>
    <w:rsid w:val="00CB454E"/>
    <w:rsid w:val="00CB4561"/>
    <w:rsid w:val="00CB45BD"/>
    <w:rsid w:val="00CB4632"/>
    <w:rsid w:val="00CB469F"/>
    <w:rsid w:val="00CB47B8"/>
    <w:rsid w:val="00CB489A"/>
    <w:rsid w:val="00CB499E"/>
    <w:rsid w:val="00CB49C4"/>
    <w:rsid w:val="00CB4A17"/>
    <w:rsid w:val="00CB4A1C"/>
    <w:rsid w:val="00CB4B24"/>
    <w:rsid w:val="00CB4C1D"/>
    <w:rsid w:val="00CB4F21"/>
    <w:rsid w:val="00CB4F87"/>
    <w:rsid w:val="00CB4F8B"/>
    <w:rsid w:val="00CB503D"/>
    <w:rsid w:val="00CB516A"/>
    <w:rsid w:val="00CB540C"/>
    <w:rsid w:val="00CB551A"/>
    <w:rsid w:val="00CB5702"/>
    <w:rsid w:val="00CB5732"/>
    <w:rsid w:val="00CB57C6"/>
    <w:rsid w:val="00CB581E"/>
    <w:rsid w:val="00CB5883"/>
    <w:rsid w:val="00CB59C4"/>
    <w:rsid w:val="00CB5ACD"/>
    <w:rsid w:val="00CB5F27"/>
    <w:rsid w:val="00CB5FB2"/>
    <w:rsid w:val="00CB6004"/>
    <w:rsid w:val="00CB61AD"/>
    <w:rsid w:val="00CB63CE"/>
    <w:rsid w:val="00CB64DA"/>
    <w:rsid w:val="00CB662F"/>
    <w:rsid w:val="00CB6692"/>
    <w:rsid w:val="00CB6989"/>
    <w:rsid w:val="00CB69EF"/>
    <w:rsid w:val="00CB6A1C"/>
    <w:rsid w:val="00CB6A7C"/>
    <w:rsid w:val="00CB6B27"/>
    <w:rsid w:val="00CB6BA7"/>
    <w:rsid w:val="00CB6E94"/>
    <w:rsid w:val="00CB6FBE"/>
    <w:rsid w:val="00CB7057"/>
    <w:rsid w:val="00CB7212"/>
    <w:rsid w:val="00CB726F"/>
    <w:rsid w:val="00CB7322"/>
    <w:rsid w:val="00CB73D1"/>
    <w:rsid w:val="00CB76A4"/>
    <w:rsid w:val="00CB7747"/>
    <w:rsid w:val="00CB78C0"/>
    <w:rsid w:val="00CB78C2"/>
    <w:rsid w:val="00CB7A05"/>
    <w:rsid w:val="00CB7D76"/>
    <w:rsid w:val="00CB7E78"/>
    <w:rsid w:val="00CB7EE6"/>
    <w:rsid w:val="00CC01C9"/>
    <w:rsid w:val="00CC01D3"/>
    <w:rsid w:val="00CC0240"/>
    <w:rsid w:val="00CC0349"/>
    <w:rsid w:val="00CC04B6"/>
    <w:rsid w:val="00CC04E5"/>
    <w:rsid w:val="00CC06BC"/>
    <w:rsid w:val="00CC0700"/>
    <w:rsid w:val="00CC0710"/>
    <w:rsid w:val="00CC081C"/>
    <w:rsid w:val="00CC0913"/>
    <w:rsid w:val="00CC0928"/>
    <w:rsid w:val="00CC0D68"/>
    <w:rsid w:val="00CC0EF3"/>
    <w:rsid w:val="00CC10C7"/>
    <w:rsid w:val="00CC1150"/>
    <w:rsid w:val="00CC11C8"/>
    <w:rsid w:val="00CC1334"/>
    <w:rsid w:val="00CC15F0"/>
    <w:rsid w:val="00CC15FB"/>
    <w:rsid w:val="00CC176C"/>
    <w:rsid w:val="00CC17F5"/>
    <w:rsid w:val="00CC186F"/>
    <w:rsid w:val="00CC1924"/>
    <w:rsid w:val="00CC195F"/>
    <w:rsid w:val="00CC1AED"/>
    <w:rsid w:val="00CC1DE0"/>
    <w:rsid w:val="00CC1E5E"/>
    <w:rsid w:val="00CC2068"/>
    <w:rsid w:val="00CC20D2"/>
    <w:rsid w:val="00CC2231"/>
    <w:rsid w:val="00CC233B"/>
    <w:rsid w:val="00CC243C"/>
    <w:rsid w:val="00CC24FD"/>
    <w:rsid w:val="00CC2505"/>
    <w:rsid w:val="00CC258B"/>
    <w:rsid w:val="00CC26BD"/>
    <w:rsid w:val="00CC2813"/>
    <w:rsid w:val="00CC2991"/>
    <w:rsid w:val="00CC29E9"/>
    <w:rsid w:val="00CC2A04"/>
    <w:rsid w:val="00CC2C85"/>
    <w:rsid w:val="00CC2F85"/>
    <w:rsid w:val="00CC2F8C"/>
    <w:rsid w:val="00CC2FA0"/>
    <w:rsid w:val="00CC302E"/>
    <w:rsid w:val="00CC330C"/>
    <w:rsid w:val="00CC379A"/>
    <w:rsid w:val="00CC3831"/>
    <w:rsid w:val="00CC3953"/>
    <w:rsid w:val="00CC399F"/>
    <w:rsid w:val="00CC39F9"/>
    <w:rsid w:val="00CC3A49"/>
    <w:rsid w:val="00CC3A88"/>
    <w:rsid w:val="00CC3B5A"/>
    <w:rsid w:val="00CC3C4A"/>
    <w:rsid w:val="00CC3CC2"/>
    <w:rsid w:val="00CC3D09"/>
    <w:rsid w:val="00CC3D57"/>
    <w:rsid w:val="00CC3FF0"/>
    <w:rsid w:val="00CC41A7"/>
    <w:rsid w:val="00CC4336"/>
    <w:rsid w:val="00CC43A2"/>
    <w:rsid w:val="00CC448A"/>
    <w:rsid w:val="00CC4498"/>
    <w:rsid w:val="00CC455F"/>
    <w:rsid w:val="00CC460E"/>
    <w:rsid w:val="00CC46D6"/>
    <w:rsid w:val="00CC4755"/>
    <w:rsid w:val="00CC4820"/>
    <w:rsid w:val="00CC4833"/>
    <w:rsid w:val="00CC4853"/>
    <w:rsid w:val="00CC4862"/>
    <w:rsid w:val="00CC48F9"/>
    <w:rsid w:val="00CC4B0F"/>
    <w:rsid w:val="00CC4B38"/>
    <w:rsid w:val="00CC4B7D"/>
    <w:rsid w:val="00CC4C6B"/>
    <w:rsid w:val="00CC4CCE"/>
    <w:rsid w:val="00CC4D37"/>
    <w:rsid w:val="00CC4DB3"/>
    <w:rsid w:val="00CC4FFC"/>
    <w:rsid w:val="00CC50C3"/>
    <w:rsid w:val="00CC50DF"/>
    <w:rsid w:val="00CC516D"/>
    <w:rsid w:val="00CC527F"/>
    <w:rsid w:val="00CC52D9"/>
    <w:rsid w:val="00CC5323"/>
    <w:rsid w:val="00CC537A"/>
    <w:rsid w:val="00CC541D"/>
    <w:rsid w:val="00CC553A"/>
    <w:rsid w:val="00CC55E1"/>
    <w:rsid w:val="00CC55E4"/>
    <w:rsid w:val="00CC5604"/>
    <w:rsid w:val="00CC56AD"/>
    <w:rsid w:val="00CC58B1"/>
    <w:rsid w:val="00CC5954"/>
    <w:rsid w:val="00CC5B04"/>
    <w:rsid w:val="00CC5B36"/>
    <w:rsid w:val="00CC5C24"/>
    <w:rsid w:val="00CC5E14"/>
    <w:rsid w:val="00CC5FB6"/>
    <w:rsid w:val="00CC609F"/>
    <w:rsid w:val="00CC60BA"/>
    <w:rsid w:val="00CC6181"/>
    <w:rsid w:val="00CC6182"/>
    <w:rsid w:val="00CC626F"/>
    <w:rsid w:val="00CC6380"/>
    <w:rsid w:val="00CC64F8"/>
    <w:rsid w:val="00CC6501"/>
    <w:rsid w:val="00CC6581"/>
    <w:rsid w:val="00CC65D6"/>
    <w:rsid w:val="00CC696D"/>
    <w:rsid w:val="00CC69B3"/>
    <w:rsid w:val="00CC6A73"/>
    <w:rsid w:val="00CC6ACD"/>
    <w:rsid w:val="00CC6C4F"/>
    <w:rsid w:val="00CC6C7A"/>
    <w:rsid w:val="00CC6CC0"/>
    <w:rsid w:val="00CC6D10"/>
    <w:rsid w:val="00CC6D75"/>
    <w:rsid w:val="00CC6E1B"/>
    <w:rsid w:val="00CC6F77"/>
    <w:rsid w:val="00CC6FE3"/>
    <w:rsid w:val="00CC704F"/>
    <w:rsid w:val="00CC70DF"/>
    <w:rsid w:val="00CC7145"/>
    <w:rsid w:val="00CC72A2"/>
    <w:rsid w:val="00CC7411"/>
    <w:rsid w:val="00CC7491"/>
    <w:rsid w:val="00CC7504"/>
    <w:rsid w:val="00CC76DE"/>
    <w:rsid w:val="00CC7837"/>
    <w:rsid w:val="00CC7879"/>
    <w:rsid w:val="00CC78A0"/>
    <w:rsid w:val="00CC78CC"/>
    <w:rsid w:val="00CC78E4"/>
    <w:rsid w:val="00CC7A15"/>
    <w:rsid w:val="00CC7B78"/>
    <w:rsid w:val="00CC7B90"/>
    <w:rsid w:val="00CC7E1A"/>
    <w:rsid w:val="00CC7FAC"/>
    <w:rsid w:val="00CD00A3"/>
    <w:rsid w:val="00CD01C3"/>
    <w:rsid w:val="00CD028A"/>
    <w:rsid w:val="00CD02BD"/>
    <w:rsid w:val="00CD02D8"/>
    <w:rsid w:val="00CD04BF"/>
    <w:rsid w:val="00CD0518"/>
    <w:rsid w:val="00CD0553"/>
    <w:rsid w:val="00CD0596"/>
    <w:rsid w:val="00CD0709"/>
    <w:rsid w:val="00CD07F3"/>
    <w:rsid w:val="00CD084D"/>
    <w:rsid w:val="00CD0A9E"/>
    <w:rsid w:val="00CD0C61"/>
    <w:rsid w:val="00CD0D31"/>
    <w:rsid w:val="00CD0E26"/>
    <w:rsid w:val="00CD0F03"/>
    <w:rsid w:val="00CD10E4"/>
    <w:rsid w:val="00CD1158"/>
    <w:rsid w:val="00CD12DD"/>
    <w:rsid w:val="00CD139C"/>
    <w:rsid w:val="00CD152E"/>
    <w:rsid w:val="00CD161B"/>
    <w:rsid w:val="00CD1637"/>
    <w:rsid w:val="00CD1662"/>
    <w:rsid w:val="00CD16BA"/>
    <w:rsid w:val="00CD1745"/>
    <w:rsid w:val="00CD175E"/>
    <w:rsid w:val="00CD18B6"/>
    <w:rsid w:val="00CD1922"/>
    <w:rsid w:val="00CD1969"/>
    <w:rsid w:val="00CD1A34"/>
    <w:rsid w:val="00CD1B50"/>
    <w:rsid w:val="00CD1B5F"/>
    <w:rsid w:val="00CD1CC5"/>
    <w:rsid w:val="00CD1CEE"/>
    <w:rsid w:val="00CD1DEF"/>
    <w:rsid w:val="00CD1DF5"/>
    <w:rsid w:val="00CD1E8E"/>
    <w:rsid w:val="00CD1EAC"/>
    <w:rsid w:val="00CD2238"/>
    <w:rsid w:val="00CD2258"/>
    <w:rsid w:val="00CD236C"/>
    <w:rsid w:val="00CD246F"/>
    <w:rsid w:val="00CD25F6"/>
    <w:rsid w:val="00CD26AD"/>
    <w:rsid w:val="00CD26F5"/>
    <w:rsid w:val="00CD27EE"/>
    <w:rsid w:val="00CD2868"/>
    <w:rsid w:val="00CD287A"/>
    <w:rsid w:val="00CD2955"/>
    <w:rsid w:val="00CD2973"/>
    <w:rsid w:val="00CD2AFB"/>
    <w:rsid w:val="00CD2B1C"/>
    <w:rsid w:val="00CD2E6C"/>
    <w:rsid w:val="00CD2F1A"/>
    <w:rsid w:val="00CD30A0"/>
    <w:rsid w:val="00CD326C"/>
    <w:rsid w:val="00CD3291"/>
    <w:rsid w:val="00CD32C1"/>
    <w:rsid w:val="00CD337E"/>
    <w:rsid w:val="00CD345E"/>
    <w:rsid w:val="00CD35D7"/>
    <w:rsid w:val="00CD36AA"/>
    <w:rsid w:val="00CD37A2"/>
    <w:rsid w:val="00CD37D9"/>
    <w:rsid w:val="00CD3931"/>
    <w:rsid w:val="00CD3965"/>
    <w:rsid w:val="00CD3A01"/>
    <w:rsid w:val="00CD3A68"/>
    <w:rsid w:val="00CD3B63"/>
    <w:rsid w:val="00CD3BEA"/>
    <w:rsid w:val="00CD3BEE"/>
    <w:rsid w:val="00CD3D59"/>
    <w:rsid w:val="00CD412B"/>
    <w:rsid w:val="00CD42C2"/>
    <w:rsid w:val="00CD4622"/>
    <w:rsid w:val="00CD4638"/>
    <w:rsid w:val="00CD4700"/>
    <w:rsid w:val="00CD47B7"/>
    <w:rsid w:val="00CD49A8"/>
    <w:rsid w:val="00CD4A13"/>
    <w:rsid w:val="00CD4B02"/>
    <w:rsid w:val="00CD4BD4"/>
    <w:rsid w:val="00CD4BDD"/>
    <w:rsid w:val="00CD4BF6"/>
    <w:rsid w:val="00CD4D14"/>
    <w:rsid w:val="00CD4FC5"/>
    <w:rsid w:val="00CD5090"/>
    <w:rsid w:val="00CD50D5"/>
    <w:rsid w:val="00CD527E"/>
    <w:rsid w:val="00CD53E1"/>
    <w:rsid w:val="00CD553C"/>
    <w:rsid w:val="00CD5586"/>
    <w:rsid w:val="00CD569C"/>
    <w:rsid w:val="00CD5710"/>
    <w:rsid w:val="00CD57D0"/>
    <w:rsid w:val="00CD585E"/>
    <w:rsid w:val="00CD5B59"/>
    <w:rsid w:val="00CD5C25"/>
    <w:rsid w:val="00CD5D02"/>
    <w:rsid w:val="00CD5DF8"/>
    <w:rsid w:val="00CD5E89"/>
    <w:rsid w:val="00CD5E94"/>
    <w:rsid w:val="00CD6098"/>
    <w:rsid w:val="00CD60D0"/>
    <w:rsid w:val="00CD6157"/>
    <w:rsid w:val="00CD6235"/>
    <w:rsid w:val="00CD6272"/>
    <w:rsid w:val="00CD66F7"/>
    <w:rsid w:val="00CD69DA"/>
    <w:rsid w:val="00CD6E9B"/>
    <w:rsid w:val="00CD6ECB"/>
    <w:rsid w:val="00CD6EEF"/>
    <w:rsid w:val="00CD7131"/>
    <w:rsid w:val="00CD730D"/>
    <w:rsid w:val="00CD75A9"/>
    <w:rsid w:val="00CD75F1"/>
    <w:rsid w:val="00CD7762"/>
    <w:rsid w:val="00CD7B8F"/>
    <w:rsid w:val="00CD7DEB"/>
    <w:rsid w:val="00CE00A7"/>
    <w:rsid w:val="00CE0140"/>
    <w:rsid w:val="00CE014C"/>
    <w:rsid w:val="00CE0198"/>
    <w:rsid w:val="00CE01A0"/>
    <w:rsid w:val="00CE0262"/>
    <w:rsid w:val="00CE0360"/>
    <w:rsid w:val="00CE03B6"/>
    <w:rsid w:val="00CE0428"/>
    <w:rsid w:val="00CE048A"/>
    <w:rsid w:val="00CE04DE"/>
    <w:rsid w:val="00CE059C"/>
    <w:rsid w:val="00CE059E"/>
    <w:rsid w:val="00CE0625"/>
    <w:rsid w:val="00CE062B"/>
    <w:rsid w:val="00CE08A7"/>
    <w:rsid w:val="00CE093B"/>
    <w:rsid w:val="00CE0A09"/>
    <w:rsid w:val="00CE0A7A"/>
    <w:rsid w:val="00CE0B99"/>
    <w:rsid w:val="00CE0B9C"/>
    <w:rsid w:val="00CE0BA3"/>
    <w:rsid w:val="00CE0C3A"/>
    <w:rsid w:val="00CE0DD9"/>
    <w:rsid w:val="00CE0FAC"/>
    <w:rsid w:val="00CE1056"/>
    <w:rsid w:val="00CE1232"/>
    <w:rsid w:val="00CE12AA"/>
    <w:rsid w:val="00CE15F3"/>
    <w:rsid w:val="00CE15F7"/>
    <w:rsid w:val="00CE1635"/>
    <w:rsid w:val="00CE1677"/>
    <w:rsid w:val="00CE169E"/>
    <w:rsid w:val="00CE16D5"/>
    <w:rsid w:val="00CE1C01"/>
    <w:rsid w:val="00CE1C13"/>
    <w:rsid w:val="00CE1CFC"/>
    <w:rsid w:val="00CE1D3E"/>
    <w:rsid w:val="00CE1D4D"/>
    <w:rsid w:val="00CE1E35"/>
    <w:rsid w:val="00CE1E6F"/>
    <w:rsid w:val="00CE1E95"/>
    <w:rsid w:val="00CE1F85"/>
    <w:rsid w:val="00CE2080"/>
    <w:rsid w:val="00CE20F6"/>
    <w:rsid w:val="00CE213E"/>
    <w:rsid w:val="00CE215E"/>
    <w:rsid w:val="00CE236C"/>
    <w:rsid w:val="00CE2494"/>
    <w:rsid w:val="00CE26AE"/>
    <w:rsid w:val="00CE2827"/>
    <w:rsid w:val="00CE290D"/>
    <w:rsid w:val="00CE2914"/>
    <w:rsid w:val="00CE2981"/>
    <w:rsid w:val="00CE29D4"/>
    <w:rsid w:val="00CE2BDF"/>
    <w:rsid w:val="00CE2D40"/>
    <w:rsid w:val="00CE2D75"/>
    <w:rsid w:val="00CE2DE3"/>
    <w:rsid w:val="00CE2E9E"/>
    <w:rsid w:val="00CE2ED0"/>
    <w:rsid w:val="00CE3192"/>
    <w:rsid w:val="00CE319E"/>
    <w:rsid w:val="00CE346B"/>
    <w:rsid w:val="00CE3717"/>
    <w:rsid w:val="00CE38AC"/>
    <w:rsid w:val="00CE3967"/>
    <w:rsid w:val="00CE3995"/>
    <w:rsid w:val="00CE3A64"/>
    <w:rsid w:val="00CE3B1A"/>
    <w:rsid w:val="00CE3B32"/>
    <w:rsid w:val="00CE3EAA"/>
    <w:rsid w:val="00CE403F"/>
    <w:rsid w:val="00CE4070"/>
    <w:rsid w:val="00CE4130"/>
    <w:rsid w:val="00CE42E1"/>
    <w:rsid w:val="00CE43E1"/>
    <w:rsid w:val="00CE440F"/>
    <w:rsid w:val="00CE44D1"/>
    <w:rsid w:val="00CE455D"/>
    <w:rsid w:val="00CE497E"/>
    <w:rsid w:val="00CE49EF"/>
    <w:rsid w:val="00CE4B9B"/>
    <w:rsid w:val="00CE4D1A"/>
    <w:rsid w:val="00CE4D50"/>
    <w:rsid w:val="00CE4DE5"/>
    <w:rsid w:val="00CE4E3A"/>
    <w:rsid w:val="00CE4E64"/>
    <w:rsid w:val="00CE4EB7"/>
    <w:rsid w:val="00CE500F"/>
    <w:rsid w:val="00CE5077"/>
    <w:rsid w:val="00CE5174"/>
    <w:rsid w:val="00CE52E7"/>
    <w:rsid w:val="00CE5335"/>
    <w:rsid w:val="00CE53DE"/>
    <w:rsid w:val="00CE550F"/>
    <w:rsid w:val="00CE55AF"/>
    <w:rsid w:val="00CE565C"/>
    <w:rsid w:val="00CE5736"/>
    <w:rsid w:val="00CE575D"/>
    <w:rsid w:val="00CE57F4"/>
    <w:rsid w:val="00CE5803"/>
    <w:rsid w:val="00CE5851"/>
    <w:rsid w:val="00CE585D"/>
    <w:rsid w:val="00CE5898"/>
    <w:rsid w:val="00CE5A39"/>
    <w:rsid w:val="00CE5EE2"/>
    <w:rsid w:val="00CE5F36"/>
    <w:rsid w:val="00CE5F7D"/>
    <w:rsid w:val="00CE6027"/>
    <w:rsid w:val="00CE6061"/>
    <w:rsid w:val="00CE6101"/>
    <w:rsid w:val="00CE613B"/>
    <w:rsid w:val="00CE6202"/>
    <w:rsid w:val="00CE6334"/>
    <w:rsid w:val="00CE63C9"/>
    <w:rsid w:val="00CE6593"/>
    <w:rsid w:val="00CE676A"/>
    <w:rsid w:val="00CE6895"/>
    <w:rsid w:val="00CE68E2"/>
    <w:rsid w:val="00CE6BA2"/>
    <w:rsid w:val="00CE6BEC"/>
    <w:rsid w:val="00CE7071"/>
    <w:rsid w:val="00CE707C"/>
    <w:rsid w:val="00CE70EF"/>
    <w:rsid w:val="00CE7148"/>
    <w:rsid w:val="00CE7176"/>
    <w:rsid w:val="00CE7239"/>
    <w:rsid w:val="00CE723F"/>
    <w:rsid w:val="00CE7265"/>
    <w:rsid w:val="00CE73AC"/>
    <w:rsid w:val="00CE73EF"/>
    <w:rsid w:val="00CE740D"/>
    <w:rsid w:val="00CE7435"/>
    <w:rsid w:val="00CE7518"/>
    <w:rsid w:val="00CE797A"/>
    <w:rsid w:val="00CE7B56"/>
    <w:rsid w:val="00CE7C11"/>
    <w:rsid w:val="00CE7D90"/>
    <w:rsid w:val="00CE7E84"/>
    <w:rsid w:val="00CE7F0A"/>
    <w:rsid w:val="00CE7F18"/>
    <w:rsid w:val="00CF00F9"/>
    <w:rsid w:val="00CF0109"/>
    <w:rsid w:val="00CF020A"/>
    <w:rsid w:val="00CF0263"/>
    <w:rsid w:val="00CF0370"/>
    <w:rsid w:val="00CF04E2"/>
    <w:rsid w:val="00CF0692"/>
    <w:rsid w:val="00CF06A7"/>
    <w:rsid w:val="00CF0A87"/>
    <w:rsid w:val="00CF0ABB"/>
    <w:rsid w:val="00CF0D33"/>
    <w:rsid w:val="00CF0D61"/>
    <w:rsid w:val="00CF0D84"/>
    <w:rsid w:val="00CF0F43"/>
    <w:rsid w:val="00CF0F8D"/>
    <w:rsid w:val="00CF10CE"/>
    <w:rsid w:val="00CF1138"/>
    <w:rsid w:val="00CF1162"/>
    <w:rsid w:val="00CF1215"/>
    <w:rsid w:val="00CF12E3"/>
    <w:rsid w:val="00CF1433"/>
    <w:rsid w:val="00CF1723"/>
    <w:rsid w:val="00CF1A09"/>
    <w:rsid w:val="00CF1A13"/>
    <w:rsid w:val="00CF1A25"/>
    <w:rsid w:val="00CF1A65"/>
    <w:rsid w:val="00CF1ACE"/>
    <w:rsid w:val="00CF1BC1"/>
    <w:rsid w:val="00CF1C5A"/>
    <w:rsid w:val="00CF1D54"/>
    <w:rsid w:val="00CF1DA3"/>
    <w:rsid w:val="00CF1E9B"/>
    <w:rsid w:val="00CF2019"/>
    <w:rsid w:val="00CF20A2"/>
    <w:rsid w:val="00CF20D9"/>
    <w:rsid w:val="00CF2106"/>
    <w:rsid w:val="00CF21E4"/>
    <w:rsid w:val="00CF230E"/>
    <w:rsid w:val="00CF245E"/>
    <w:rsid w:val="00CF2677"/>
    <w:rsid w:val="00CF26E2"/>
    <w:rsid w:val="00CF2781"/>
    <w:rsid w:val="00CF2917"/>
    <w:rsid w:val="00CF2A2B"/>
    <w:rsid w:val="00CF2B0F"/>
    <w:rsid w:val="00CF2D07"/>
    <w:rsid w:val="00CF2E82"/>
    <w:rsid w:val="00CF2E97"/>
    <w:rsid w:val="00CF2EAC"/>
    <w:rsid w:val="00CF2F67"/>
    <w:rsid w:val="00CF3003"/>
    <w:rsid w:val="00CF3229"/>
    <w:rsid w:val="00CF32D4"/>
    <w:rsid w:val="00CF3373"/>
    <w:rsid w:val="00CF337D"/>
    <w:rsid w:val="00CF353E"/>
    <w:rsid w:val="00CF3672"/>
    <w:rsid w:val="00CF36B3"/>
    <w:rsid w:val="00CF3723"/>
    <w:rsid w:val="00CF3778"/>
    <w:rsid w:val="00CF3A75"/>
    <w:rsid w:val="00CF3ADF"/>
    <w:rsid w:val="00CF3B77"/>
    <w:rsid w:val="00CF3D11"/>
    <w:rsid w:val="00CF3D58"/>
    <w:rsid w:val="00CF3DF2"/>
    <w:rsid w:val="00CF3E05"/>
    <w:rsid w:val="00CF3F1A"/>
    <w:rsid w:val="00CF414F"/>
    <w:rsid w:val="00CF416D"/>
    <w:rsid w:val="00CF4183"/>
    <w:rsid w:val="00CF4194"/>
    <w:rsid w:val="00CF4276"/>
    <w:rsid w:val="00CF42A8"/>
    <w:rsid w:val="00CF4367"/>
    <w:rsid w:val="00CF4B85"/>
    <w:rsid w:val="00CF4C22"/>
    <w:rsid w:val="00CF4CDC"/>
    <w:rsid w:val="00CF4D97"/>
    <w:rsid w:val="00CF4E12"/>
    <w:rsid w:val="00CF4E6D"/>
    <w:rsid w:val="00CF4F60"/>
    <w:rsid w:val="00CF5086"/>
    <w:rsid w:val="00CF51B9"/>
    <w:rsid w:val="00CF51DE"/>
    <w:rsid w:val="00CF551F"/>
    <w:rsid w:val="00CF5618"/>
    <w:rsid w:val="00CF5624"/>
    <w:rsid w:val="00CF571D"/>
    <w:rsid w:val="00CF5763"/>
    <w:rsid w:val="00CF57AC"/>
    <w:rsid w:val="00CF5998"/>
    <w:rsid w:val="00CF5A73"/>
    <w:rsid w:val="00CF5BDD"/>
    <w:rsid w:val="00CF5C60"/>
    <w:rsid w:val="00CF5D9A"/>
    <w:rsid w:val="00CF5E4F"/>
    <w:rsid w:val="00CF5EE0"/>
    <w:rsid w:val="00CF5F1C"/>
    <w:rsid w:val="00CF6144"/>
    <w:rsid w:val="00CF61A2"/>
    <w:rsid w:val="00CF62E1"/>
    <w:rsid w:val="00CF6484"/>
    <w:rsid w:val="00CF6814"/>
    <w:rsid w:val="00CF6AFD"/>
    <w:rsid w:val="00CF6BFD"/>
    <w:rsid w:val="00CF6DDA"/>
    <w:rsid w:val="00CF6E70"/>
    <w:rsid w:val="00CF6EAA"/>
    <w:rsid w:val="00CF6EDD"/>
    <w:rsid w:val="00CF6F8D"/>
    <w:rsid w:val="00CF717B"/>
    <w:rsid w:val="00CF7182"/>
    <w:rsid w:val="00CF71EC"/>
    <w:rsid w:val="00CF71FE"/>
    <w:rsid w:val="00CF731F"/>
    <w:rsid w:val="00CF73C6"/>
    <w:rsid w:val="00CF765C"/>
    <w:rsid w:val="00CF770F"/>
    <w:rsid w:val="00CF777A"/>
    <w:rsid w:val="00CF7819"/>
    <w:rsid w:val="00CF786A"/>
    <w:rsid w:val="00CF798A"/>
    <w:rsid w:val="00CF7A08"/>
    <w:rsid w:val="00CF7A2C"/>
    <w:rsid w:val="00CF7B01"/>
    <w:rsid w:val="00CF7C8A"/>
    <w:rsid w:val="00CF7D6E"/>
    <w:rsid w:val="00CF7E4E"/>
    <w:rsid w:val="00CF7F48"/>
    <w:rsid w:val="00CF7FD1"/>
    <w:rsid w:val="00D00047"/>
    <w:rsid w:val="00D0024E"/>
    <w:rsid w:val="00D0038E"/>
    <w:rsid w:val="00D003DE"/>
    <w:rsid w:val="00D00453"/>
    <w:rsid w:val="00D004AC"/>
    <w:rsid w:val="00D004D2"/>
    <w:rsid w:val="00D00508"/>
    <w:rsid w:val="00D00613"/>
    <w:rsid w:val="00D007AF"/>
    <w:rsid w:val="00D0096A"/>
    <w:rsid w:val="00D00CD7"/>
    <w:rsid w:val="00D00E54"/>
    <w:rsid w:val="00D00E9F"/>
    <w:rsid w:val="00D00F13"/>
    <w:rsid w:val="00D00FEB"/>
    <w:rsid w:val="00D0101C"/>
    <w:rsid w:val="00D0117D"/>
    <w:rsid w:val="00D01193"/>
    <w:rsid w:val="00D011F1"/>
    <w:rsid w:val="00D0120F"/>
    <w:rsid w:val="00D01268"/>
    <w:rsid w:val="00D012D5"/>
    <w:rsid w:val="00D012DF"/>
    <w:rsid w:val="00D0155E"/>
    <w:rsid w:val="00D0164B"/>
    <w:rsid w:val="00D01821"/>
    <w:rsid w:val="00D01862"/>
    <w:rsid w:val="00D018D9"/>
    <w:rsid w:val="00D01997"/>
    <w:rsid w:val="00D01BC7"/>
    <w:rsid w:val="00D01C03"/>
    <w:rsid w:val="00D01CFD"/>
    <w:rsid w:val="00D01D2F"/>
    <w:rsid w:val="00D01E9A"/>
    <w:rsid w:val="00D01EF9"/>
    <w:rsid w:val="00D01F01"/>
    <w:rsid w:val="00D01FD0"/>
    <w:rsid w:val="00D01FDE"/>
    <w:rsid w:val="00D02260"/>
    <w:rsid w:val="00D0240F"/>
    <w:rsid w:val="00D02591"/>
    <w:rsid w:val="00D02711"/>
    <w:rsid w:val="00D0273D"/>
    <w:rsid w:val="00D02A48"/>
    <w:rsid w:val="00D02AE3"/>
    <w:rsid w:val="00D02C36"/>
    <w:rsid w:val="00D02DB1"/>
    <w:rsid w:val="00D02E3D"/>
    <w:rsid w:val="00D02E65"/>
    <w:rsid w:val="00D02F45"/>
    <w:rsid w:val="00D02F69"/>
    <w:rsid w:val="00D02F82"/>
    <w:rsid w:val="00D03156"/>
    <w:rsid w:val="00D032FD"/>
    <w:rsid w:val="00D0332A"/>
    <w:rsid w:val="00D0347E"/>
    <w:rsid w:val="00D03585"/>
    <w:rsid w:val="00D0371A"/>
    <w:rsid w:val="00D037D5"/>
    <w:rsid w:val="00D0383D"/>
    <w:rsid w:val="00D038E6"/>
    <w:rsid w:val="00D03986"/>
    <w:rsid w:val="00D039DE"/>
    <w:rsid w:val="00D03B7C"/>
    <w:rsid w:val="00D03C57"/>
    <w:rsid w:val="00D03CDF"/>
    <w:rsid w:val="00D03D9B"/>
    <w:rsid w:val="00D03FBE"/>
    <w:rsid w:val="00D04198"/>
    <w:rsid w:val="00D0425D"/>
    <w:rsid w:val="00D042D2"/>
    <w:rsid w:val="00D04359"/>
    <w:rsid w:val="00D04514"/>
    <w:rsid w:val="00D04596"/>
    <w:rsid w:val="00D04756"/>
    <w:rsid w:val="00D0476B"/>
    <w:rsid w:val="00D047ED"/>
    <w:rsid w:val="00D04861"/>
    <w:rsid w:val="00D048C1"/>
    <w:rsid w:val="00D04A81"/>
    <w:rsid w:val="00D04AE7"/>
    <w:rsid w:val="00D04B27"/>
    <w:rsid w:val="00D04F08"/>
    <w:rsid w:val="00D04F75"/>
    <w:rsid w:val="00D04FCE"/>
    <w:rsid w:val="00D0514E"/>
    <w:rsid w:val="00D051DA"/>
    <w:rsid w:val="00D05339"/>
    <w:rsid w:val="00D054D2"/>
    <w:rsid w:val="00D05504"/>
    <w:rsid w:val="00D05525"/>
    <w:rsid w:val="00D055E9"/>
    <w:rsid w:val="00D05650"/>
    <w:rsid w:val="00D056D7"/>
    <w:rsid w:val="00D056F9"/>
    <w:rsid w:val="00D0575E"/>
    <w:rsid w:val="00D05776"/>
    <w:rsid w:val="00D05C07"/>
    <w:rsid w:val="00D05CD9"/>
    <w:rsid w:val="00D06006"/>
    <w:rsid w:val="00D06081"/>
    <w:rsid w:val="00D060F2"/>
    <w:rsid w:val="00D06151"/>
    <w:rsid w:val="00D065E8"/>
    <w:rsid w:val="00D067D1"/>
    <w:rsid w:val="00D06995"/>
    <w:rsid w:val="00D06A39"/>
    <w:rsid w:val="00D06A77"/>
    <w:rsid w:val="00D06AD5"/>
    <w:rsid w:val="00D06D5D"/>
    <w:rsid w:val="00D06EB9"/>
    <w:rsid w:val="00D06FD0"/>
    <w:rsid w:val="00D0710F"/>
    <w:rsid w:val="00D0725D"/>
    <w:rsid w:val="00D07290"/>
    <w:rsid w:val="00D07320"/>
    <w:rsid w:val="00D07464"/>
    <w:rsid w:val="00D07701"/>
    <w:rsid w:val="00D078AD"/>
    <w:rsid w:val="00D07A7D"/>
    <w:rsid w:val="00D07AEB"/>
    <w:rsid w:val="00D07B32"/>
    <w:rsid w:val="00D07B33"/>
    <w:rsid w:val="00D07DE0"/>
    <w:rsid w:val="00D07E77"/>
    <w:rsid w:val="00D10030"/>
    <w:rsid w:val="00D1003F"/>
    <w:rsid w:val="00D100CD"/>
    <w:rsid w:val="00D10253"/>
    <w:rsid w:val="00D102FF"/>
    <w:rsid w:val="00D10382"/>
    <w:rsid w:val="00D10570"/>
    <w:rsid w:val="00D10735"/>
    <w:rsid w:val="00D107D1"/>
    <w:rsid w:val="00D108D0"/>
    <w:rsid w:val="00D10A7B"/>
    <w:rsid w:val="00D10AFA"/>
    <w:rsid w:val="00D10B1B"/>
    <w:rsid w:val="00D10C84"/>
    <w:rsid w:val="00D10CA6"/>
    <w:rsid w:val="00D10CF3"/>
    <w:rsid w:val="00D10F69"/>
    <w:rsid w:val="00D11599"/>
    <w:rsid w:val="00D115BE"/>
    <w:rsid w:val="00D1177A"/>
    <w:rsid w:val="00D1178A"/>
    <w:rsid w:val="00D11889"/>
    <w:rsid w:val="00D11B44"/>
    <w:rsid w:val="00D11BD5"/>
    <w:rsid w:val="00D11D4F"/>
    <w:rsid w:val="00D11E20"/>
    <w:rsid w:val="00D11E4E"/>
    <w:rsid w:val="00D121A4"/>
    <w:rsid w:val="00D122E2"/>
    <w:rsid w:val="00D12372"/>
    <w:rsid w:val="00D1240D"/>
    <w:rsid w:val="00D12470"/>
    <w:rsid w:val="00D1247A"/>
    <w:rsid w:val="00D12720"/>
    <w:rsid w:val="00D127AA"/>
    <w:rsid w:val="00D127C9"/>
    <w:rsid w:val="00D128C3"/>
    <w:rsid w:val="00D1299D"/>
    <w:rsid w:val="00D12BD9"/>
    <w:rsid w:val="00D12D83"/>
    <w:rsid w:val="00D12E54"/>
    <w:rsid w:val="00D12F47"/>
    <w:rsid w:val="00D1330D"/>
    <w:rsid w:val="00D13351"/>
    <w:rsid w:val="00D1346B"/>
    <w:rsid w:val="00D13603"/>
    <w:rsid w:val="00D13801"/>
    <w:rsid w:val="00D13B05"/>
    <w:rsid w:val="00D13DED"/>
    <w:rsid w:val="00D13E9F"/>
    <w:rsid w:val="00D13FAC"/>
    <w:rsid w:val="00D1430C"/>
    <w:rsid w:val="00D14312"/>
    <w:rsid w:val="00D14533"/>
    <w:rsid w:val="00D14569"/>
    <w:rsid w:val="00D14735"/>
    <w:rsid w:val="00D147A7"/>
    <w:rsid w:val="00D148E0"/>
    <w:rsid w:val="00D14949"/>
    <w:rsid w:val="00D149F5"/>
    <w:rsid w:val="00D14B44"/>
    <w:rsid w:val="00D14B59"/>
    <w:rsid w:val="00D14C5B"/>
    <w:rsid w:val="00D14FFA"/>
    <w:rsid w:val="00D150F3"/>
    <w:rsid w:val="00D15147"/>
    <w:rsid w:val="00D15154"/>
    <w:rsid w:val="00D151EB"/>
    <w:rsid w:val="00D15497"/>
    <w:rsid w:val="00D155BB"/>
    <w:rsid w:val="00D155C0"/>
    <w:rsid w:val="00D15646"/>
    <w:rsid w:val="00D15766"/>
    <w:rsid w:val="00D15774"/>
    <w:rsid w:val="00D159FE"/>
    <w:rsid w:val="00D15BB5"/>
    <w:rsid w:val="00D15CC2"/>
    <w:rsid w:val="00D15CCB"/>
    <w:rsid w:val="00D15D11"/>
    <w:rsid w:val="00D15F11"/>
    <w:rsid w:val="00D1606A"/>
    <w:rsid w:val="00D16323"/>
    <w:rsid w:val="00D16501"/>
    <w:rsid w:val="00D1665C"/>
    <w:rsid w:val="00D166F0"/>
    <w:rsid w:val="00D1696B"/>
    <w:rsid w:val="00D16980"/>
    <w:rsid w:val="00D16BCA"/>
    <w:rsid w:val="00D16BD1"/>
    <w:rsid w:val="00D16CD9"/>
    <w:rsid w:val="00D16E14"/>
    <w:rsid w:val="00D16ECD"/>
    <w:rsid w:val="00D170E4"/>
    <w:rsid w:val="00D1720B"/>
    <w:rsid w:val="00D1737B"/>
    <w:rsid w:val="00D1746D"/>
    <w:rsid w:val="00D175E4"/>
    <w:rsid w:val="00D17602"/>
    <w:rsid w:val="00D17705"/>
    <w:rsid w:val="00D17770"/>
    <w:rsid w:val="00D17841"/>
    <w:rsid w:val="00D178BA"/>
    <w:rsid w:val="00D17A13"/>
    <w:rsid w:val="00D17A68"/>
    <w:rsid w:val="00D17A8F"/>
    <w:rsid w:val="00D17AB9"/>
    <w:rsid w:val="00D17AC1"/>
    <w:rsid w:val="00D17BB1"/>
    <w:rsid w:val="00D17CF8"/>
    <w:rsid w:val="00D17D29"/>
    <w:rsid w:val="00D17E53"/>
    <w:rsid w:val="00D17E8B"/>
    <w:rsid w:val="00D20000"/>
    <w:rsid w:val="00D200CE"/>
    <w:rsid w:val="00D20181"/>
    <w:rsid w:val="00D202CA"/>
    <w:rsid w:val="00D203E4"/>
    <w:rsid w:val="00D203ED"/>
    <w:rsid w:val="00D203FD"/>
    <w:rsid w:val="00D204C4"/>
    <w:rsid w:val="00D2053D"/>
    <w:rsid w:val="00D2057C"/>
    <w:rsid w:val="00D20628"/>
    <w:rsid w:val="00D20715"/>
    <w:rsid w:val="00D2089A"/>
    <w:rsid w:val="00D20B28"/>
    <w:rsid w:val="00D20BE9"/>
    <w:rsid w:val="00D20CB2"/>
    <w:rsid w:val="00D20D0B"/>
    <w:rsid w:val="00D20D0F"/>
    <w:rsid w:val="00D20DC1"/>
    <w:rsid w:val="00D20ED6"/>
    <w:rsid w:val="00D20FF4"/>
    <w:rsid w:val="00D2121A"/>
    <w:rsid w:val="00D212E3"/>
    <w:rsid w:val="00D21307"/>
    <w:rsid w:val="00D21383"/>
    <w:rsid w:val="00D215A9"/>
    <w:rsid w:val="00D21645"/>
    <w:rsid w:val="00D21765"/>
    <w:rsid w:val="00D21843"/>
    <w:rsid w:val="00D21870"/>
    <w:rsid w:val="00D2190D"/>
    <w:rsid w:val="00D21A10"/>
    <w:rsid w:val="00D21A4C"/>
    <w:rsid w:val="00D21AA1"/>
    <w:rsid w:val="00D21B6D"/>
    <w:rsid w:val="00D21C09"/>
    <w:rsid w:val="00D21CAF"/>
    <w:rsid w:val="00D21DFA"/>
    <w:rsid w:val="00D220C5"/>
    <w:rsid w:val="00D222C2"/>
    <w:rsid w:val="00D222D3"/>
    <w:rsid w:val="00D22725"/>
    <w:rsid w:val="00D2286E"/>
    <w:rsid w:val="00D22895"/>
    <w:rsid w:val="00D22B89"/>
    <w:rsid w:val="00D22BCD"/>
    <w:rsid w:val="00D22C63"/>
    <w:rsid w:val="00D2305A"/>
    <w:rsid w:val="00D23169"/>
    <w:rsid w:val="00D231F3"/>
    <w:rsid w:val="00D23239"/>
    <w:rsid w:val="00D234D0"/>
    <w:rsid w:val="00D23814"/>
    <w:rsid w:val="00D2381E"/>
    <w:rsid w:val="00D23868"/>
    <w:rsid w:val="00D239B0"/>
    <w:rsid w:val="00D23A2B"/>
    <w:rsid w:val="00D23ADE"/>
    <w:rsid w:val="00D23B1F"/>
    <w:rsid w:val="00D23B74"/>
    <w:rsid w:val="00D23B82"/>
    <w:rsid w:val="00D23B84"/>
    <w:rsid w:val="00D23BCB"/>
    <w:rsid w:val="00D23C22"/>
    <w:rsid w:val="00D23D7A"/>
    <w:rsid w:val="00D23E8D"/>
    <w:rsid w:val="00D23FD8"/>
    <w:rsid w:val="00D23FDD"/>
    <w:rsid w:val="00D24352"/>
    <w:rsid w:val="00D244F1"/>
    <w:rsid w:val="00D245AA"/>
    <w:rsid w:val="00D245D8"/>
    <w:rsid w:val="00D2465A"/>
    <w:rsid w:val="00D2495C"/>
    <w:rsid w:val="00D24ACF"/>
    <w:rsid w:val="00D24B78"/>
    <w:rsid w:val="00D24C25"/>
    <w:rsid w:val="00D24C4D"/>
    <w:rsid w:val="00D24D8C"/>
    <w:rsid w:val="00D24EEB"/>
    <w:rsid w:val="00D2513E"/>
    <w:rsid w:val="00D25161"/>
    <w:rsid w:val="00D25169"/>
    <w:rsid w:val="00D2534E"/>
    <w:rsid w:val="00D25618"/>
    <w:rsid w:val="00D257D7"/>
    <w:rsid w:val="00D25876"/>
    <w:rsid w:val="00D2587B"/>
    <w:rsid w:val="00D258CB"/>
    <w:rsid w:val="00D25909"/>
    <w:rsid w:val="00D25A35"/>
    <w:rsid w:val="00D25AFA"/>
    <w:rsid w:val="00D25B83"/>
    <w:rsid w:val="00D25BB0"/>
    <w:rsid w:val="00D25D1F"/>
    <w:rsid w:val="00D25D3A"/>
    <w:rsid w:val="00D26044"/>
    <w:rsid w:val="00D260D9"/>
    <w:rsid w:val="00D260FA"/>
    <w:rsid w:val="00D26192"/>
    <w:rsid w:val="00D2619F"/>
    <w:rsid w:val="00D26206"/>
    <w:rsid w:val="00D262F9"/>
    <w:rsid w:val="00D26336"/>
    <w:rsid w:val="00D2647D"/>
    <w:rsid w:val="00D26540"/>
    <w:rsid w:val="00D2658D"/>
    <w:rsid w:val="00D265B9"/>
    <w:rsid w:val="00D26604"/>
    <w:rsid w:val="00D2666E"/>
    <w:rsid w:val="00D267F8"/>
    <w:rsid w:val="00D2689E"/>
    <w:rsid w:val="00D26B8B"/>
    <w:rsid w:val="00D26CBB"/>
    <w:rsid w:val="00D26F90"/>
    <w:rsid w:val="00D27066"/>
    <w:rsid w:val="00D27224"/>
    <w:rsid w:val="00D272A9"/>
    <w:rsid w:val="00D27419"/>
    <w:rsid w:val="00D2746F"/>
    <w:rsid w:val="00D27537"/>
    <w:rsid w:val="00D27702"/>
    <w:rsid w:val="00D278FE"/>
    <w:rsid w:val="00D27A01"/>
    <w:rsid w:val="00D27A63"/>
    <w:rsid w:val="00D27B1E"/>
    <w:rsid w:val="00D27D87"/>
    <w:rsid w:val="00D27D8D"/>
    <w:rsid w:val="00D27E27"/>
    <w:rsid w:val="00D27E90"/>
    <w:rsid w:val="00D27FFE"/>
    <w:rsid w:val="00D30038"/>
    <w:rsid w:val="00D30214"/>
    <w:rsid w:val="00D302A0"/>
    <w:rsid w:val="00D30328"/>
    <w:rsid w:val="00D3047A"/>
    <w:rsid w:val="00D306CE"/>
    <w:rsid w:val="00D306ED"/>
    <w:rsid w:val="00D3071F"/>
    <w:rsid w:val="00D308A8"/>
    <w:rsid w:val="00D30A14"/>
    <w:rsid w:val="00D30B10"/>
    <w:rsid w:val="00D30BC4"/>
    <w:rsid w:val="00D30BC7"/>
    <w:rsid w:val="00D30C0A"/>
    <w:rsid w:val="00D30D34"/>
    <w:rsid w:val="00D30DCB"/>
    <w:rsid w:val="00D30EF0"/>
    <w:rsid w:val="00D30F13"/>
    <w:rsid w:val="00D30F15"/>
    <w:rsid w:val="00D31637"/>
    <w:rsid w:val="00D3171A"/>
    <w:rsid w:val="00D317FC"/>
    <w:rsid w:val="00D31821"/>
    <w:rsid w:val="00D3193E"/>
    <w:rsid w:val="00D31A63"/>
    <w:rsid w:val="00D31AE7"/>
    <w:rsid w:val="00D31AEF"/>
    <w:rsid w:val="00D31B1C"/>
    <w:rsid w:val="00D31BC5"/>
    <w:rsid w:val="00D31CC8"/>
    <w:rsid w:val="00D31D21"/>
    <w:rsid w:val="00D322F4"/>
    <w:rsid w:val="00D323A3"/>
    <w:rsid w:val="00D323CA"/>
    <w:rsid w:val="00D3248D"/>
    <w:rsid w:val="00D3261D"/>
    <w:rsid w:val="00D3265D"/>
    <w:rsid w:val="00D3267D"/>
    <w:rsid w:val="00D3269E"/>
    <w:rsid w:val="00D32704"/>
    <w:rsid w:val="00D327F7"/>
    <w:rsid w:val="00D32A66"/>
    <w:rsid w:val="00D32AA0"/>
    <w:rsid w:val="00D32B55"/>
    <w:rsid w:val="00D32C0B"/>
    <w:rsid w:val="00D32CA7"/>
    <w:rsid w:val="00D32F30"/>
    <w:rsid w:val="00D32FF7"/>
    <w:rsid w:val="00D33018"/>
    <w:rsid w:val="00D33087"/>
    <w:rsid w:val="00D33183"/>
    <w:rsid w:val="00D3326D"/>
    <w:rsid w:val="00D332C0"/>
    <w:rsid w:val="00D334E9"/>
    <w:rsid w:val="00D33537"/>
    <w:rsid w:val="00D3361E"/>
    <w:rsid w:val="00D336A5"/>
    <w:rsid w:val="00D33758"/>
    <w:rsid w:val="00D33874"/>
    <w:rsid w:val="00D3392C"/>
    <w:rsid w:val="00D339C7"/>
    <w:rsid w:val="00D339F2"/>
    <w:rsid w:val="00D33A2A"/>
    <w:rsid w:val="00D33A45"/>
    <w:rsid w:val="00D33A79"/>
    <w:rsid w:val="00D33A83"/>
    <w:rsid w:val="00D33B3B"/>
    <w:rsid w:val="00D33B9B"/>
    <w:rsid w:val="00D33CF4"/>
    <w:rsid w:val="00D33D40"/>
    <w:rsid w:val="00D33DAF"/>
    <w:rsid w:val="00D33DDE"/>
    <w:rsid w:val="00D33DFD"/>
    <w:rsid w:val="00D33E1D"/>
    <w:rsid w:val="00D33E52"/>
    <w:rsid w:val="00D33FB5"/>
    <w:rsid w:val="00D340AD"/>
    <w:rsid w:val="00D3417C"/>
    <w:rsid w:val="00D34302"/>
    <w:rsid w:val="00D34375"/>
    <w:rsid w:val="00D343DA"/>
    <w:rsid w:val="00D3449B"/>
    <w:rsid w:val="00D3466F"/>
    <w:rsid w:val="00D34695"/>
    <w:rsid w:val="00D34810"/>
    <w:rsid w:val="00D34AD9"/>
    <w:rsid w:val="00D34BCD"/>
    <w:rsid w:val="00D34BFC"/>
    <w:rsid w:val="00D34C08"/>
    <w:rsid w:val="00D34C0D"/>
    <w:rsid w:val="00D34C2A"/>
    <w:rsid w:val="00D34CAF"/>
    <w:rsid w:val="00D34DE1"/>
    <w:rsid w:val="00D34E0F"/>
    <w:rsid w:val="00D34F4B"/>
    <w:rsid w:val="00D34FBF"/>
    <w:rsid w:val="00D34FC5"/>
    <w:rsid w:val="00D3505A"/>
    <w:rsid w:val="00D35073"/>
    <w:rsid w:val="00D352EC"/>
    <w:rsid w:val="00D35310"/>
    <w:rsid w:val="00D354E1"/>
    <w:rsid w:val="00D35556"/>
    <w:rsid w:val="00D35659"/>
    <w:rsid w:val="00D357C4"/>
    <w:rsid w:val="00D357D9"/>
    <w:rsid w:val="00D357DF"/>
    <w:rsid w:val="00D3586E"/>
    <w:rsid w:val="00D35999"/>
    <w:rsid w:val="00D35C03"/>
    <w:rsid w:val="00D35DE0"/>
    <w:rsid w:val="00D35DF3"/>
    <w:rsid w:val="00D35DF5"/>
    <w:rsid w:val="00D35E26"/>
    <w:rsid w:val="00D35E6D"/>
    <w:rsid w:val="00D35F05"/>
    <w:rsid w:val="00D35F07"/>
    <w:rsid w:val="00D35FAA"/>
    <w:rsid w:val="00D36076"/>
    <w:rsid w:val="00D361F2"/>
    <w:rsid w:val="00D36225"/>
    <w:rsid w:val="00D3639C"/>
    <w:rsid w:val="00D363D7"/>
    <w:rsid w:val="00D364E7"/>
    <w:rsid w:val="00D3650F"/>
    <w:rsid w:val="00D36903"/>
    <w:rsid w:val="00D36AA7"/>
    <w:rsid w:val="00D36C73"/>
    <w:rsid w:val="00D36F80"/>
    <w:rsid w:val="00D370E8"/>
    <w:rsid w:val="00D37127"/>
    <w:rsid w:val="00D37232"/>
    <w:rsid w:val="00D372D3"/>
    <w:rsid w:val="00D3737C"/>
    <w:rsid w:val="00D373EF"/>
    <w:rsid w:val="00D3764C"/>
    <w:rsid w:val="00D3773F"/>
    <w:rsid w:val="00D37756"/>
    <w:rsid w:val="00D377F2"/>
    <w:rsid w:val="00D378AC"/>
    <w:rsid w:val="00D37A10"/>
    <w:rsid w:val="00D37E41"/>
    <w:rsid w:val="00D37EB3"/>
    <w:rsid w:val="00D37F0A"/>
    <w:rsid w:val="00D37F2D"/>
    <w:rsid w:val="00D400A8"/>
    <w:rsid w:val="00D4014D"/>
    <w:rsid w:val="00D40334"/>
    <w:rsid w:val="00D40369"/>
    <w:rsid w:val="00D40386"/>
    <w:rsid w:val="00D405F5"/>
    <w:rsid w:val="00D4068F"/>
    <w:rsid w:val="00D40783"/>
    <w:rsid w:val="00D4082D"/>
    <w:rsid w:val="00D40950"/>
    <w:rsid w:val="00D40ADE"/>
    <w:rsid w:val="00D40AEE"/>
    <w:rsid w:val="00D40BE0"/>
    <w:rsid w:val="00D40C36"/>
    <w:rsid w:val="00D40E71"/>
    <w:rsid w:val="00D40E9F"/>
    <w:rsid w:val="00D40EDE"/>
    <w:rsid w:val="00D40F09"/>
    <w:rsid w:val="00D41089"/>
    <w:rsid w:val="00D410FA"/>
    <w:rsid w:val="00D4126C"/>
    <w:rsid w:val="00D41572"/>
    <w:rsid w:val="00D415F3"/>
    <w:rsid w:val="00D417C4"/>
    <w:rsid w:val="00D41AF4"/>
    <w:rsid w:val="00D41BA4"/>
    <w:rsid w:val="00D41BCA"/>
    <w:rsid w:val="00D41C31"/>
    <w:rsid w:val="00D41C5B"/>
    <w:rsid w:val="00D41C95"/>
    <w:rsid w:val="00D41F84"/>
    <w:rsid w:val="00D42019"/>
    <w:rsid w:val="00D422D3"/>
    <w:rsid w:val="00D423ED"/>
    <w:rsid w:val="00D42470"/>
    <w:rsid w:val="00D42521"/>
    <w:rsid w:val="00D42548"/>
    <w:rsid w:val="00D42905"/>
    <w:rsid w:val="00D429CB"/>
    <w:rsid w:val="00D42C01"/>
    <w:rsid w:val="00D42DB3"/>
    <w:rsid w:val="00D42E2E"/>
    <w:rsid w:val="00D43006"/>
    <w:rsid w:val="00D43351"/>
    <w:rsid w:val="00D43417"/>
    <w:rsid w:val="00D4355E"/>
    <w:rsid w:val="00D435C3"/>
    <w:rsid w:val="00D43605"/>
    <w:rsid w:val="00D439B0"/>
    <w:rsid w:val="00D439DC"/>
    <w:rsid w:val="00D43A2D"/>
    <w:rsid w:val="00D43A3B"/>
    <w:rsid w:val="00D43B00"/>
    <w:rsid w:val="00D43CAD"/>
    <w:rsid w:val="00D43D80"/>
    <w:rsid w:val="00D43E2E"/>
    <w:rsid w:val="00D43E85"/>
    <w:rsid w:val="00D43EB6"/>
    <w:rsid w:val="00D43F8D"/>
    <w:rsid w:val="00D4407A"/>
    <w:rsid w:val="00D44087"/>
    <w:rsid w:val="00D440FA"/>
    <w:rsid w:val="00D44262"/>
    <w:rsid w:val="00D44295"/>
    <w:rsid w:val="00D442F2"/>
    <w:rsid w:val="00D44427"/>
    <w:rsid w:val="00D4459A"/>
    <w:rsid w:val="00D4461D"/>
    <w:rsid w:val="00D4488A"/>
    <w:rsid w:val="00D44930"/>
    <w:rsid w:val="00D449B5"/>
    <w:rsid w:val="00D44C5B"/>
    <w:rsid w:val="00D44CD1"/>
    <w:rsid w:val="00D44D4D"/>
    <w:rsid w:val="00D44D81"/>
    <w:rsid w:val="00D4501B"/>
    <w:rsid w:val="00D451F4"/>
    <w:rsid w:val="00D4564E"/>
    <w:rsid w:val="00D456BF"/>
    <w:rsid w:val="00D457B4"/>
    <w:rsid w:val="00D45916"/>
    <w:rsid w:val="00D45AF6"/>
    <w:rsid w:val="00D45B19"/>
    <w:rsid w:val="00D45B38"/>
    <w:rsid w:val="00D45BF3"/>
    <w:rsid w:val="00D45D32"/>
    <w:rsid w:val="00D45F35"/>
    <w:rsid w:val="00D46028"/>
    <w:rsid w:val="00D4602A"/>
    <w:rsid w:val="00D4609B"/>
    <w:rsid w:val="00D462FA"/>
    <w:rsid w:val="00D4643A"/>
    <w:rsid w:val="00D465C0"/>
    <w:rsid w:val="00D46604"/>
    <w:rsid w:val="00D466BF"/>
    <w:rsid w:val="00D46744"/>
    <w:rsid w:val="00D46877"/>
    <w:rsid w:val="00D468A5"/>
    <w:rsid w:val="00D46B44"/>
    <w:rsid w:val="00D46C18"/>
    <w:rsid w:val="00D46E2B"/>
    <w:rsid w:val="00D46E66"/>
    <w:rsid w:val="00D46F31"/>
    <w:rsid w:val="00D47163"/>
    <w:rsid w:val="00D471BA"/>
    <w:rsid w:val="00D47384"/>
    <w:rsid w:val="00D47436"/>
    <w:rsid w:val="00D47A28"/>
    <w:rsid w:val="00D47A95"/>
    <w:rsid w:val="00D47A96"/>
    <w:rsid w:val="00D47C57"/>
    <w:rsid w:val="00D47F63"/>
    <w:rsid w:val="00D50052"/>
    <w:rsid w:val="00D5012B"/>
    <w:rsid w:val="00D5012D"/>
    <w:rsid w:val="00D50197"/>
    <w:rsid w:val="00D503CE"/>
    <w:rsid w:val="00D503E3"/>
    <w:rsid w:val="00D503EB"/>
    <w:rsid w:val="00D5040E"/>
    <w:rsid w:val="00D50470"/>
    <w:rsid w:val="00D509FC"/>
    <w:rsid w:val="00D50A07"/>
    <w:rsid w:val="00D50A7E"/>
    <w:rsid w:val="00D50ABA"/>
    <w:rsid w:val="00D50B9A"/>
    <w:rsid w:val="00D50D41"/>
    <w:rsid w:val="00D51039"/>
    <w:rsid w:val="00D51085"/>
    <w:rsid w:val="00D51114"/>
    <w:rsid w:val="00D5118A"/>
    <w:rsid w:val="00D511DA"/>
    <w:rsid w:val="00D5135B"/>
    <w:rsid w:val="00D51525"/>
    <w:rsid w:val="00D51554"/>
    <w:rsid w:val="00D51615"/>
    <w:rsid w:val="00D5190D"/>
    <w:rsid w:val="00D519B1"/>
    <w:rsid w:val="00D51BB7"/>
    <w:rsid w:val="00D51C30"/>
    <w:rsid w:val="00D51CEB"/>
    <w:rsid w:val="00D51E50"/>
    <w:rsid w:val="00D52084"/>
    <w:rsid w:val="00D52159"/>
    <w:rsid w:val="00D52181"/>
    <w:rsid w:val="00D52182"/>
    <w:rsid w:val="00D521C3"/>
    <w:rsid w:val="00D522A6"/>
    <w:rsid w:val="00D52482"/>
    <w:rsid w:val="00D524F8"/>
    <w:rsid w:val="00D5260F"/>
    <w:rsid w:val="00D526A4"/>
    <w:rsid w:val="00D52744"/>
    <w:rsid w:val="00D527B8"/>
    <w:rsid w:val="00D529CD"/>
    <w:rsid w:val="00D529F2"/>
    <w:rsid w:val="00D52BA1"/>
    <w:rsid w:val="00D52CCE"/>
    <w:rsid w:val="00D52E08"/>
    <w:rsid w:val="00D52F79"/>
    <w:rsid w:val="00D5309F"/>
    <w:rsid w:val="00D530A9"/>
    <w:rsid w:val="00D5329F"/>
    <w:rsid w:val="00D533F0"/>
    <w:rsid w:val="00D5388C"/>
    <w:rsid w:val="00D539EB"/>
    <w:rsid w:val="00D53A23"/>
    <w:rsid w:val="00D53A77"/>
    <w:rsid w:val="00D53AEB"/>
    <w:rsid w:val="00D53AF2"/>
    <w:rsid w:val="00D53BEA"/>
    <w:rsid w:val="00D53CF4"/>
    <w:rsid w:val="00D54077"/>
    <w:rsid w:val="00D54203"/>
    <w:rsid w:val="00D5424A"/>
    <w:rsid w:val="00D543F4"/>
    <w:rsid w:val="00D54496"/>
    <w:rsid w:val="00D546CD"/>
    <w:rsid w:val="00D54987"/>
    <w:rsid w:val="00D54A35"/>
    <w:rsid w:val="00D54AD3"/>
    <w:rsid w:val="00D54B78"/>
    <w:rsid w:val="00D54CE5"/>
    <w:rsid w:val="00D54E0F"/>
    <w:rsid w:val="00D54E36"/>
    <w:rsid w:val="00D54F9C"/>
    <w:rsid w:val="00D55012"/>
    <w:rsid w:val="00D5503B"/>
    <w:rsid w:val="00D55275"/>
    <w:rsid w:val="00D552A7"/>
    <w:rsid w:val="00D55305"/>
    <w:rsid w:val="00D5531C"/>
    <w:rsid w:val="00D553D1"/>
    <w:rsid w:val="00D553D4"/>
    <w:rsid w:val="00D553E4"/>
    <w:rsid w:val="00D55429"/>
    <w:rsid w:val="00D556C1"/>
    <w:rsid w:val="00D55746"/>
    <w:rsid w:val="00D559F0"/>
    <w:rsid w:val="00D55A5A"/>
    <w:rsid w:val="00D55C43"/>
    <w:rsid w:val="00D55DE2"/>
    <w:rsid w:val="00D55E56"/>
    <w:rsid w:val="00D5610B"/>
    <w:rsid w:val="00D5619C"/>
    <w:rsid w:val="00D56443"/>
    <w:rsid w:val="00D568D2"/>
    <w:rsid w:val="00D568DE"/>
    <w:rsid w:val="00D56919"/>
    <w:rsid w:val="00D56921"/>
    <w:rsid w:val="00D5694F"/>
    <w:rsid w:val="00D56A51"/>
    <w:rsid w:val="00D56CB9"/>
    <w:rsid w:val="00D56D83"/>
    <w:rsid w:val="00D56EA4"/>
    <w:rsid w:val="00D56FA6"/>
    <w:rsid w:val="00D57053"/>
    <w:rsid w:val="00D5709B"/>
    <w:rsid w:val="00D570A4"/>
    <w:rsid w:val="00D57125"/>
    <w:rsid w:val="00D57130"/>
    <w:rsid w:val="00D5713D"/>
    <w:rsid w:val="00D571AD"/>
    <w:rsid w:val="00D57396"/>
    <w:rsid w:val="00D573CD"/>
    <w:rsid w:val="00D57439"/>
    <w:rsid w:val="00D5746A"/>
    <w:rsid w:val="00D574F4"/>
    <w:rsid w:val="00D57600"/>
    <w:rsid w:val="00D5768B"/>
    <w:rsid w:val="00D5777B"/>
    <w:rsid w:val="00D577DB"/>
    <w:rsid w:val="00D57898"/>
    <w:rsid w:val="00D578AA"/>
    <w:rsid w:val="00D578D0"/>
    <w:rsid w:val="00D57996"/>
    <w:rsid w:val="00D579C9"/>
    <w:rsid w:val="00D57A6F"/>
    <w:rsid w:val="00D57CB5"/>
    <w:rsid w:val="00D57EAD"/>
    <w:rsid w:val="00D57EF9"/>
    <w:rsid w:val="00D60033"/>
    <w:rsid w:val="00D6004B"/>
    <w:rsid w:val="00D600C5"/>
    <w:rsid w:val="00D60246"/>
    <w:rsid w:val="00D60331"/>
    <w:rsid w:val="00D6043A"/>
    <w:rsid w:val="00D604A8"/>
    <w:rsid w:val="00D60542"/>
    <w:rsid w:val="00D606F5"/>
    <w:rsid w:val="00D60819"/>
    <w:rsid w:val="00D60847"/>
    <w:rsid w:val="00D6088C"/>
    <w:rsid w:val="00D609F6"/>
    <w:rsid w:val="00D60BDA"/>
    <w:rsid w:val="00D60C3A"/>
    <w:rsid w:val="00D60C57"/>
    <w:rsid w:val="00D60D91"/>
    <w:rsid w:val="00D60E3F"/>
    <w:rsid w:val="00D60E9E"/>
    <w:rsid w:val="00D60F86"/>
    <w:rsid w:val="00D611A9"/>
    <w:rsid w:val="00D611DA"/>
    <w:rsid w:val="00D6166B"/>
    <w:rsid w:val="00D6179A"/>
    <w:rsid w:val="00D618B0"/>
    <w:rsid w:val="00D618EE"/>
    <w:rsid w:val="00D61B8E"/>
    <w:rsid w:val="00D61C0B"/>
    <w:rsid w:val="00D61D4A"/>
    <w:rsid w:val="00D61E18"/>
    <w:rsid w:val="00D61F9A"/>
    <w:rsid w:val="00D62055"/>
    <w:rsid w:val="00D620E1"/>
    <w:rsid w:val="00D621F3"/>
    <w:rsid w:val="00D6220E"/>
    <w:rsid w:val="00D627FB"/>
    <w:rsid w:val="00D62AEB"/>
    <w:rsid w:val="00D62CEE"/>
    <w:rsid w:val="00D62CFC"/>
    <w:rsid w:val="00D62E55"/>
    <w:rsid w:val="00D63058"/>
    <w:rsid w:val="00D630EF"/>
    <w:rsid w:val="00D630F3"/>
    <w:rsid w:val="00D6314E"/>
    <w:rsid w:val="00D6324C"/>
    <w:rsid w:val="00D632CB"/>
    <w:rsid w:val="00D6358F"/>
    <w:rsid w:val="00D63614"/>
    <w:rsid w:val="00D63779"/>
    <w:rsid w:val="00D637D9"/>
    <w:rsid w:val="00D6388A"/>
    <w:rsid w:val="00D63AC1"/>
    <w:rsid w:val="00D63C09"/>
    <w:rsid w:val="00D63C72"/>
    <w:rsid w:val="00D63D5C"/>
    <w:rsid w:val="00D63D8A"/>
    <w:rsid w:val="00D64054"/>
    <w:rsid w:val="00D6420D"/>
    <w:rsid w:val="00D64426"/>
    <w:rsid w:val="00D6443D"/>
    <w:rsid w:val="00D644F6"/>
    <w:rsid w:val="00D646A7"/>
    <w:rsid w:val="00D64720"/>
    <w:rsid w:val="00D6474B"/>
    <w:rsid w:val="00D64760"/>
    <w:rsid w:val="00D64816"/>
    <w:rsid w:val="00D64903"/>
    <w:rsid w:val="00D64A57"/>
    <w:rsid w:val="00D64A8B"/>
    <w:rsid w:val="00D64BCC"/>
    <w:rsid w:val="00D64E69"/>
    <w:rsid w:val="00D64E95"/>
    <w:rsid w:val="00D64ED7"/>
    <w:rsid w:val="00D64F29"/>
    <w:rsid w:val="00D64F46"/>
    <w:rsid w:val="00D64F49"/>
    <w:rsid w:val="00D65054"/>
    <w:rsid w:val="00D650A6"/>
    <w:rsid w:val="00D652C4"/>
    <w:rsid w:val="00D6531A"/>
    <w:rsid w:val="00D653EB"/>
    <w:rsid w:val="00D65419"/>
    <w:rsid w:val="00D655D8"/>
    <w:rsid w:val="00D65680"/>
    <w:rsid w:val="00D6572E"/>
    <w:rsid w:val="00D657BB"/>
    <w:rsid w:val="00D65801"/>
    <w:rsid w:val="00D65867"/>
    <w:rsid w:val="00D65BBE"/>
    <w:rsid w:val="00D65D1D"/>
    <w:rsid w:val="00D65D78"/>
    <w:rsid w:val="00D65DC4"/>
    <w:rsid w:val="00D65DC8"/>
    <w:rsid w:val="00D65DCF"/>
    <w:rsid w:val="00D65E2B"/>
    <w:rsid w:val="00D65F1E"/>
    <w:rsid w:val="00D65F44"/>
    <w:rsid w:val="00D66333"/>
    <w:rsid w:val="00D663AB"/>
    <w:rsid w:val="00D664F7"/>
    <w:rsid w:val="00D66525"/>
    <w:rsid w:val="00D665CB"/>
    <w:rsid w:val="00D66628"/>
    <w:rsid w:val="00D667F6"/>
    <w:rsid w:val="00D66858"/>
    <w:rsid w:val="00D66A5A"/>
    <w:rsid w:val="00D66B42"/>
    <w:rsid w:val="00D66CA0"/>
    <w:rsid w:val="00D66DB9"/>
    <w:rsid w:val="00D66E1F"/>
    <w:rsid w:val="00D66F35"/>
    <w:rsid w:val="00D66FE4"/>
    <w:rsid w:val="00D670DF"/>
    <w:rsid w:val="00D67157"/>
    <w:rsid w:val="00D671A5"/>
    <w:rsid w:val="00D671D9"/>
    <w:rsid w:val="00D673D5"/>
    <w:rsid w:val="00D675A4"/>
    <w:rsid w:val="00D67695"/>
    <w:rsid w:val="00D677C2"/>
    <w:rsid w:val="00D678AB"/>
    <w:rsid w:val="00D678B0"/>
    <w:rsid w:val="00D678CE"/>
    <w:rsid w:val="00D67913"/>
    <w:rsid w:val="00D679C0"/>
    <w:rsid w:val="00D67AA6"/>
    <w:rsid w:val="00D67AFE"/>
    <w:rsid w:val="00D67B56"/>
    <w:rsid w:val="00D67BFE"/>
    <w:rsid w:val="00D67C15"/>
    <w:rsid w:val="00D67CA3"/>
    <w:rsid w:val="00D67D61"/>
    <w:rsid w:val="00D67F09"/>
    <w:rsid w:val="00D70290"/>
    <w:rsid w:val="00D70359"/>
    <w:rsid w:val="00D70682"/>
    <w:rsid w:val="00D70898"/>
    <w:rsid w:val="00D709ED"/>
    <w:rsid w:val="00D70AB2"/>
    <w:rsid w:val="00D70D85"/>
    <w:rsid w:val="00D70EF1"/>
    <w:rsid w:val="00D7104E"/>
    <w:rsid w:val="00D710BB"/>
    <w:rsid w:val="00D710C2"/>
    <w:rsid w:val="00D7111A"/>
    <w:rsid w:val="00D71145"/>
    <w:rsid w:val="00D71205"/>
    <w:rsid w:val="00D7133D"/>
    <w:rsid w:val="00D713DC"/>
    <w:rsid w:val="00D71737"/>
    <w:rsid w:val="00D717A9"/>
    <w:rsid w:val="00D71833"/>
    <w:rsid w:val="00D718BC"/>
    <w:rsid w:val="00D719A6"/>
    <w:rsid w:val="00D719AB"/>
    <w:rsid w:val="00D719B0"/>
    <w:rsid w:val="00D719F4"/>
    <w:rsid w:val="00D71A0B"/>
    <w:rsid w:val="00D71AC4"/>
    <w:rsid w:val="00D71AF9"/>
    <w:rsid w:val="00D71BB9"/>
    <w:rsid w:val="00D71BC4"/>
    <w:rsid w:val="00D71C0E"/>
    <w:rsid w:val="00D71CE6"/>
    <w:rsid w:val="00D71DE2"/>
    <w:rsid w:val="00D71E02"/>
    <w:rsid w:val="00D71F21"/>
    <w:rsid w:val="00D71FE7"/>
    <w:rsid w:val="00D720A9"/>
    <w:rsid w:val="00D7225F"/>
    <w:rsid w:val="00D722BA"/>
    <w:rsid w:val="00D722DD"/>
    <w:rsid w:val="00D722E4"/>
    <w:rsid w:val="00D723E5"/>
    <w:rsid w:val="00D724C0"/>
    <w:rsid w:val="00D7257A"/>
    <w:rsid w:val="00D7257E"/>
    <w:rsid w:val="00D72590"/>
    <w:rsid w:val="00D725A1"/>
    <w:rsid w:val="00D725F9"/>
    <w:rsid w:val="00D72657"/>
    <w:rsid w:val="00D7268A"/>
    <w:rsid w:val="00D7283E"/>
    <w:rsid w:val="00D729B0"/>
    <w:rsid w:val="00D72A4F"/>
    <w:rsid w:val="00D72A73"/>
    <w:rsid w:val="00D72B0D"/>
    <w:rsid w:val="00D72C16"/>
    <w:rsid w:val="00D72C84"/>
    <w:rsid w:val="00D72C94"/>
    <w:rsid w:val="00D72DD0"/>
    <w:rsid w:val="00D72FC5"/>
    <w:rsid w:val="00D72FCF"/>
    <w:rsid w:val="00D73124"/>
    <w:rsid w:val="00D7331F"/>
    <w:rsid w:val="00D733C3"/>
    <w:rsid w:val="00D7376A"/>
    <w:rsid w:val="00D737BA"/>
    <w:rsid w:val="00D73834"/>
    <w:rsid w:val="00D7392C"/>
    <w:rsid w:val="00D73A20"/>
    <w:rsid w:val="00D73A94"/>
    <w:rsid w:val="00D73D47"/>
    <w:rsid w:val="00D73E5E"/>
    <w:rsid w:val="00D74073"/>
    <w:rsid w:val="00D74076"/>
    <w:rsid w:val="00D741C9"/>
    <w:rsid w:val="00D742DB"/>
    <w:rsid w:val="00D74397"/>
    <w:rsid w:val="00D744CC"/>
    <w:rsid w:val="00D7469D"/>
    <w:rsid w:val="00D746FA"/>
    <w:rsid w:val="00D74826"/>
    <w:rsid w:val="00D749F6"/>
    <w:rsid w:val="00D74A54"/>
    <w:rsid w:val="00D74A5B"/>
    <w:rsid w:val="00D74AD2"/>
    <w:rsid w:val="00D74C7F"/>
    <w:rsid w:val="00D74E3A"/>
    <w:rsid w:val="00D74F2C"/>
    <w:rsid w:val="00D74F35"/>
    <w:rsid w:val="00D7517D"/>
    <w:rsid w:val="00D752BF"/>
    <w:rsid w:val="00D75587"/>
    <w:rsid w:val="00D75651"/>
    <w:rsid w:val="00D7591F"/>
    <w:rsid w:val="00D759C7"/>
    <w:rsid w:val="00D75BD3"/>
    <w:rsid w:val="00D7606E"/>
    <w:rsid w:val="00D76074"/>
    <w:rsid w:val="00D761FE"/>
    <w:rsid w:val="00D767DE"/>
    <w:rsid w:val="00D76E05"/>
    <w:rsid w:val="00D76F7A"/>
    <w:rsid w:val="00D76FE2"/>
    <w:rsid w:val="00D77235"/>
    <w:rsid w:val="00D7748B"/>
    <w:rsid w:val="00D77509"/>
    <w:rsid w:val="00D77559"/>
    <w:rsid w:val="00D7757F"/>
    <w:rsid w:val="00D778C3"/>
    <w:rsid w:val="00D7798C"/>
    <w:rsid w:val="00D77A1A"/>
    <w:rsid w:val="00D77A60"/>
    <w:rsid w:val="00D77C10"/>
    <w:rsid w:val="00D77D22"/>
    <w:rsid w:val="00D77E99"/>
    <w:rsid w:val="00D77EC3"/>
    <w:rsid w:val="00D77EE5"/>
    <w:rsid w:val="00D77F4F"/>
    <w:rsid w:val="00D800B9"/>
    <w:rsid w:val="00D8019C"/>
    <w:rsid w:val="00D801FF"/>
    <w:rsid w:val="00D80474"/>
    <w:rsid w:val="00D80481"/>
    <w:rsid w:val="00D80618"/>
    <w:rsid w:val="00D8061A"/>
    <w:rsid w:val="00D8075C"/>
    <w:rsid w:val="00D80815"/>
    <w:rsid w:val="00D80957"/>
    <w:rsid w:val="00D80A7F"/>
    <w:rsid w:val="00D80AAC"/>
    <w:rsid w:val="00D80C4C"/>
    <w:rsid w:val="00D80DBB"/>
    <w:rsid w:val="00D80EF4"/>
    <w:rsid w:val="00D8100A"/>
    <w:rsid w:val="00D8106C"/>
    <w:rsid w:val="00D810F1"/>
    <w:rsid w:val="00D810F2"/>
    <w:rsid w:val="00D812A0"/>
    <w:rsid w:val="00D81349"/>
    <w:rsid w:val="00D8177A"/>
    <w:rsid w:val="00D81B86"/>
    <w:rsid w:val="00D81BD5"/>
    <w:rsid w:val="00D81E1D"/>
    <w:rsid w:val="00D81E40"/>
    <w:rsid w:val="00D81E5B"/>
    <w:rsid w:val="00D81F43"/>
    <w:rsid w:val="00D8205E"/>
    <w:rsid w:val="00D82076"/>
    <w:rsid w:val="00D8248F"/>
    <w:rsid w:val="00D824DE"/>
    <w:rsid w:val="00D824EA"/>
    <w:rsid w:val="00D8264E"/>
    <w:rsid w:val="00D82B3E"/>
    <w:rsid w:val="00D82B4E"/>
    <w:rsid w:val="00D82EEA"/>
    <w:rsid w:val="00D82FB2"/>
    <w:rsid w:val="00D8326D"/>
    <w:rsid w:val="00D83389"/>
    <w:rsid w:val="00D83524"/>
    <w:rsid w:val="00D8372C"/>
    <w:rsid w:val="00D837E8"/>
    <w:rsid w:val="00D83917"/>
    <w:rsid w:val="00D839C6"/>
    <w:rsid w:val="00D83A1D"/>
    <w:rsid w:val="00D83DF8"/>
    <w:rsid w:val="00D83E57"/>
    <w:rsid w:val="00D83EB4"/>
    <w:rsid w:val="00D83FE3"/>
    <w:rsid w:val="00D841BC"/>
    <w:rsid w:val="00D8439B"/>
    <w:rsid w:val="00D844A2"/>
    <w:rsid w:val="00D844F9"/>
    <w:rsid w:val="00D84520"/>
    <w:rsid w:val="00D84548"/>
    <w:rsid w:val="00D8463D"/>
    <w:rsid w:val="00D84679"/>
    <w:rsid w:val="00D846B7"/>
    <w:rsid w:val="00D84773"/>
    <w:rsid w:val="00D84780"/>
    <w:rsid w:val="00D8497D"/>
    <w:rsid w:val="00D84B86"/>
    <w:rsid w:val="00D84C90"/>
    <w:rsid w:val="00D84C9B"/>
    <w:rsid w:val="00D84D7C"/>
    <w:rsid w:val="00D84E4F"/>
    <w:rsid w:val="00D84F5F"/>
    <w:rsid w:val="00D84FF3"/>
    <w:rsid w:val="00D85013"/>
    <w:rsid w:val="00D850D6"/>
    <w:rsid w:val="00D8513E"/>
    <w:rsid w:val="00D85216"/>
    <w:rsid w:val="00D854A3"/>
    <w:rsid w:val="00D85744"/>
    <w:rsid w:val="00D857D4"/>
    <w:rsid w:val="00D8586A"/>
    <w:rsid w:val="00D8598A"/>
    <w:rsid w:val="00D859A5"/>
    <w:rsid w:val="00D85C27"/>
    <w:rsid w:val="00D85C5D"/>
    <w:rsid w:val="00D85E7E"/>
    <w:rsid w:val="00D85ED8"/>
    <w:rsid w:val="00D8602E"/>
    <w:rsid w:val="00D860B7"/>
    <w:rsid w:val="00D86133"/>
    <w:rsid w:val="00D861C8"/>
    <w:rsid w:val="00D8631F"/>
    <w:rsid w:val="00D8634E"/>
    <w:rsid w:val="00D8635A"/>
    <w:rsid w:val="00D8662A"/>
    <w:rsid w:val="00D86685"/>
    <w:rsid w:val="00D869EA"/>
    <w:rsid w:val="00D86A5D"/>
    <w:rsid w:val="00D86A78"/>
    <w:rsid w:val="00D86D6E"/>
    <w:rsid w:val="00D86E13"/>
    <w:rsid w:val="00D8713B"/>
    <w:rsid w:val="00D872A1"/>
    <w:rsid w:val="00D87545"/>
    <w:rsid w:val="00D876AA"/>
    <w:rsid w:val="00D8772B"/>
    <w:rsid w:val="00D87817"/>
    <w:rsid w:val="00D87919"/>
    <w:rsid w:val="00D87997"/>
    <w:rsid w:val="00D87B52"/>
    <w:rsid w:val="00D87C0C"/>
    <w:rsid w:val="00D87D4A"/>
    <w:rsid w:val="00D87D4C"/>
    <w:rsid w:val="00D87E42"/>
    <w:rsid w:val="00D87EE4"/>
    <w:rsid w:val="00D87FE3"/>
    <w:rsid w:val="00D90113"/>
    <w:rsid w:val="00D9012E"/>
    <w:rsid w:val="00D901A5"/>
    <w:rsid w:val="00D90329"/>
    <w:rsid w:val="00D90383"/>
    <w:rsid w:val="00D906FD"/>
    <w:rsid w:val="00D90701"/>
    <w:rsid w:val="00D907E4"/>
    <w:rsid w:val="00D90897"/>
    <w:rsid w:val="00D909A4"/>
    <w:rsid w:val="00D90A43"/>
    <w:rsid w:val="00D90BB1"/>
    <w:rsid w:val="00D90BCA"/>
    <w:rsid w:val="00D90D83"/>
    <w:rsid w:val="00D90DD0"/>
    <w:rsid w:val="00D90E50"/>
    <w:rsid w:val="00D90F35"/>
    <w:rsid w:val="00D90F36"/>
    <w:rsid w:val="00D90F61"/>
    <w:rsid w:val="00D9117D"/>
    <w:rsid w:val="00D911B2"/>
    <w:rsid w:val="00D911C9"/>
    <w:rsid w:val="00D91285"/>
    <w:rsid w:val="00D91394"/>
    <w:rsid w:val="00D913B2"/>
    <w:rsid w:val="00D91401"/>
    <w:rsid w:val="00D914D8"/>
    <w:rsid w:val="00D91711"/>
    <w:rsid w:val="00D9181E"/>
    <w:rsid w:val="00D9183A"/>
    <w:rsid w:val="00D918C4"/>
    <w:rsid w:val="00D91991"/>
    <w:rsid w:val="00D919CC"/>
    <w:rsid w:val="00D91A82"/>
    <w:rsid w:val="00D91B3C"/>
    <w:rsid w:val="00D91B8C"/>
    <w:rsid w:val="00D91D10"/>
    <w:rsid w:val="00D91D2A"/>
    <w:rsid w:val="00D91D40"/>
    <w:rsid w:val="00D91E90"/>
    <w:rsid w:val="00D9206D"/>
    <w:rsid w:val="00D9214D"/>
    <w:rsid w:val="00D92159"/>
    <w:rsid w:val="00D923E2"/>
    <w:rsid w:val="00D925A0"/>
    <w:rsid w:val="00D925EF"/>
    <w:rsid w:val="00D927DF"/>
    <w:rsid w:val="00D92914"/>
    <w:rsid w:val="00D92B9C"/>
    <w:rsid w:val="00D92C43"/>
    <w:rsid w:val="00D92C49"/>
    <w:rsid w:val="00D92CC6"/>
    <w:rsid w:val="00D92CD3"/>
    <w:rsid w:val="00D92D2C"/>
    <w:rsid w:val="00D92E0C"/>
    <w:rsid w:val="00D92E3D"/>
    <w:rsid w:val="00D92E76"/>
    <w:rsid w:val="00D92F27"/>
    <w:rsid w:val="00D93003"/>
    <w:rsid w:val="00D93030"/>
    <w:rsid w:val="00D93551"/>
    <w:rsid w:val="00D9374C"/>
    <w:rsid w:val="00D93808"/>
    <w:rsid w:val="00D93869"/>
    <w:rsid w:val="00D938E9"/>
    <w:rsid w:val="00D93B2A"/>
    <w:rsid w:val="00D93B3D"/>
    <w:rsid w:val="00D93B79"/>
    <w:rsid w:val="00D93B88"/>
    <w:rsid w:val="00D93C0A"/>
    <w:rsid w:val="00D93CAB"/>
    <w:rsid w:val="00D93DCB"/>
    <w:rsid w:val="00D93E84"/>
    <w:rsid w:val="00D941D7"/>
    <w:rsid w:val="00D94465"/>
    <w:rsid w:val="00D94508"/>
    <w:rsid w:val="00D945CF"/>
    <w:rsid w:val="00D945F7"/>
    <w:rsid w:val="00D9465C"/>
    <w:rsid w:val="00D94751"/>
    <w:rsid w:val="00D94891"/>
    <w:rsid w:val="00D94B8F"/>
    <w:rsid w:val="00D94BD1"/>
    <w:rsid w:val="00D94C92"/>
    <w:rsid w:val="00D94EDE"/>
    <w:rsid w:val="00D95251"/>
    <w:rsid w:val="00D955BA"/>
    <w:rsid w:val="00D956BD"/>
    <w:rsid w:val="00D957DF"/>
    <w:rsid w:val="00D958EA"/>
    <w:rsid w:val="00D959A8"/>
    <w:rsid w:val="00D95A41"/>
    <w:rsid w:val="00D95C6C"/>
    <w:rsid w:val="00D95CB3"/>
    <w:rsid w:val="00D95D20"/>
    <w:rsid w:val="00D96054"/>
    <w:rsid w:val="00D9605D"/>
    <w:rsid w:val="00D960EE"/>
    <w:rsid w:val="00D9614C"/>
    <w:rsid w:val="00D961D4"/>
    <w:rsid w:val="00D962D2"/>
    <w:rsid w:val="00D96303"/>
    <w:rsid w:val="00D9643D"/>
    <w:rsid w:val="00D965DD"/>
    <w:rsid w:val="00D96703"/>
    <w:rsid w:val="00D96989"/>
    <w:rsid w:val="00D96AAE"/>
    <w:rsid w:val="00D96ACB"/>
    <w:rsid w:val="00D96AD0"/>
    <w:rsid w:val="00D96B4B"/>
    <w:rsid w:val="00D96B84"/>
    <w:rsid w:val="00D96D12"/>
    <w:rsid w:val="00D96D5E"/>
    <w:rsid w:val="00D96F44"/>
    <w:rsid w:val="00D96F8E"/>
    <w:rsid w:val="00D9700C"/>
    <w:rsid w:val="00D9705B"/>
    <w:rsid w:val="00D9720D"/>
    <w:rsid w:val="00D97332"/>
    <w:rsid w:val="00D97338"/>
    <w:rsid w:val="00D97352"/>
    <w:rsid w:val="00D9735E"/>
    <w:rsid w:val="00D97379"/>
    <w:rsid w:val="00D97451"/>
    <w:rsid w:val="00D97492"/>
    <w:rsid w:val="00D9753A"/>
    <w:rsid w:val="00D975B8"/>
    <w:rsid w:val="00D975D0"/>
    <w:rsid w:val="00D97691"/>
    <w:rsid w:val="00D976EB"/>
    <w:rsid w:val="00D97765"/>
    <w:rsid w:val="00D97A4D"/>
    <w:rsid w:val="00D97C66"/>
    <w:rsid w:val="00D97D31"/>
    <w:rsid w:val="00D97D5D"/>
    <w:rsid w:val="00D97E15"/>
    <w:rsid w:val="00D97EC4"/>
    <w:rsid w:val="00D97FA9"/>
    <w:rsid w:val="00DA077E"/>
    <w:rsid w:val="00DA094D"/>
    <w:rsid w:val="00DA0BF0"/>
    <w:rsid w:val="00DA0C6A"/>
    <w:rsid w:val="00DA0C98"/>
    <w:rsid w:val="00DA0D2D"/>
    <w:rsid w:val="00DA0E76"/>
    <w:rsid w:val="00DA0E9A"/>
    <w:rsid w:val="00DA1048"/>
    <w:rsid w:val="00DA11B5"/>
    <w:rsid w:val="00DA1376"/>
    <w:rsid w:val="00DA15DC"/>
    <w:rsid w:val="00DA18D3"/>
    <w:rsid w:val="00DA1B04"/>
    <w:rsid w:val="00DA1BBE"/>
    <w:rsid w:val="00DA1C07"/>
    <w:rsid w:val="00DA1F03"/>
    <w:rsid w:val="00DA1F2D"/>
    <w:rsid w:val="00DA1F7C"/>
    <w:rsid w:val="00DA203D"/>
    <w:rsid w:val="00DA21AC"/>
    <w:rsid w:val="00DA2645"/>
    <w:rsid w:val="00DA2681"/>
    <w:rsid w:val="00DA2790"/>
    <w:rsid w:val="00DA2977"/>
    <w:rsid w:val="00DA2983"/>
    <w:rsid w:val="00DA29E6"/>
    <w:rsid w:val="00DA2A40"/>
    <w:rsid w:val="00DA2A4A"/>
    <w:rsid w:val="00DA2AAD"/>
    <w:rsid w:val="00DA2B62"/>
    <w:rsid w:val="00DA2B8D"/>
    <w:rsid w:val="00DA2BE3"/>
    <w:rsid w:val="00DA2C04"/>
    <w:rsid w:val="00DA2DC3"/>
    <w:rsid w:val="00DA2F36"/>
    <w:rsid w:val="00DA2F5E"/>
    <w:rsid w:val="00DA2FA4"/>
    <w:rsid w:val="00DA3036"/>
    <w:rsid w:val="00DA3092"/>
    <w:rsid w:val="00DA31CF"/>
    <w:rsid w:val="00DA3261"/>
    <w:rsid w:val="00DA3441"/>
    <w:rsid w:val="00DA36EE"/>
    <w:rsid w:val="00DA37B4"/>
    <w:rsid w:val="00DA3837"/>
    <w:rsid w:val="00DA3978"/>
    <w:rsid w:val="00DA3A7F"/>
    <w:rsid w:val="00DA3A93"/>
    <w:rsid w:val="00DA3D4F"/>
    <w:rsid w:val="00DA3D7F"/>
    <w:rsid w:val="00DA3ED0"/>
    <w:rsid w:val="00DA3ED9"/>
    <w:rsid w:val="00DA3F02"/>
    <w:rsid w:val="00DA400B"/>
    <w:rsid w:val="00DA43AC"/>
    <w:rsid w:val="00DA4466"/>
    <w:rsid w:val="00DA4531"/>
    <w:rsid w:val="00DA4535"/>
    <w:rsid w:val="00DA4583"/>
    <w:rsid w:val="00DA45D9"/>
    <w:rsid w:val="00DA4675"/>
    <w:rsid w:val="00DA47B6"/>
    <w:rsid w:val="00DA48A6"/>
    <w:rsid w:val="00DA49AD"/>
    <w:rsid w:val="00DA4AED"/>
    <w:rsid w:val="00DA4AF8"/>
    <w:rsid w:val="00DA4D60"/>
    <w:rsid w:val="00DA4F33"/>
    <w:rsid w:val="00DA4F77"/>
    <w:rsid w:val="00DA4FEE"/>
    <w:rsid w:val="00DA52FA"/>
    <w:rsid w:val="00DA54FC"/>
    <w:rsid w:val="00DA56F2"/>
    <w:rsid w:val="00DA573E"/>
    <w:rsid w:val="00DA58A7"/>
    <w:rsid w:val="00DA5A9E"/>
    <w:rsid w:val="00DA5AD2"/>
    <w:rsid w:val="00DA5AF3"/>
    <w:rsid w:val="00DA5B8F"/>
    <w:rsid w:val="00DA5BBE"/>
    <w:rsid w:val="00DA5DB4"/>
    <w:rsid w:val="00DA5E91"/>
    <w:rsid w:val="00DA5FD0"/>
    <w:rsid w:val="00DA62C0"/>
    <w:rsid w:val="00DA63B2"/>
    <w:rsid w:val="00DA665F"/>
    <w:rsid w:val="00DA667F"/>
    <w:rsid w:val="00DA68E0"/>
    <w:rsid w:val="00DA6948"/>
    <w:rsid w:val="00DA6AA6"/>
    <w:rsid w:val="00DA6ABD"/>
    <w:rsid w:val="00DA6AE3"/>
    <w:rsid w:val="00DA70D5"/>
    <w:rsid w:val="00DA71F5"/>
    <w:rsid w:val="00DA7219"/>
    <w:rsid w:val="00DA723D"/>
    <w:rsid w:val="00DA732B"/>
    <w:rsid w:val="00DA742E"/>
    <w:rsid w:val="00DA75A6"/>
    <w:rsid w:val="00DA76D2"/>
    <w:rsid w:val="00DA7726"/>
    <w:rsid w:val="00DA7797"/>
    <w:rsid w:val="00DA77E3"/>
    <w:rsid w:val="00DA78AF"/>
    <w:rsid w:val="00DA78E5"/>
    <w:rsid w:val="00DA7B3E"/>
    <w:rsid w:val="00DA7C66"/>
    <w:rsid w:val="00DA7DDD"/>
    <w:rsid w:val="00DA7DEB"/>
    <w:rsid w:val="00DA7F1A"/>
    <w:rsid w:val="00DB015B"/>
    <w:rsid w:val="00DB0167"/>
    <w:rsid w:val="00DB02DC"/>
    <w:rsid w:val="00DB03EF"/>
    <w:rsid w:val="00DB053F"/>
    <w:rsid w:val="00DB069A"/>
    <w:rsid w:val="00DB06B4"/>
    <w:rsid w:val="00DB0711"/>
    <w:rsid w:val="00DB0882"/>
    <w:rsid w:val="00DB0899"/>
    <w:rsid w:val="00DB08D9"/>
    <w:rsid w:val="00DB0970"/>
    <w:rsid w:val="00DB0A1D"/>
    <w:rsid w:val="00DB0D5E"/>
    <w:rsid w:val="00DB0D69"/>
    <w:rsid w:val="00DB0E57"/>
    <w:rsid w:val="00DB0EA1"/>
    <w:rsid w:val="00DB10A9"/>
    <w:rsid w:val="00DB1241"/>
    <w:rsid w:val="00DB125C"/>
    <w:rsid w:val="00DB1433"/>
    <w:rsid w:val="00DB14A6"/>
    <w:rsid w:val="00DB14A8"/>
    <w:rsid w:val="00DB14C6"/>
    <w:rsid w:val="00DB1538"/>
    <w:rsid w:val="00DB157A"/>
    <w:rsid w:val="00DB1740"/>
    <w:rsid w:val="00DB18BB"/>
    <w:rsid w:val="00DB18C5"/>
    <w:rsid w:val="00DB19DC"/>
    <w:rsid w:val="00DB19E5"/>
    <w:rsid w:val="00DB1B22"/>
    <w:rsid w:val="00DB1BD2"/>
    <w:rsid w:val="00DB1EBC"/>
    <w:rsid w:val="00DB2046"/>
    <w:rsid w:val="00DB208C"/>
    <w:rsid w:val="00DB213B"/>
    <w:rsid w:val="00DB220C"/>
    <w:rsid w:val="00DB2236"/>
    <w:rsid w:val="00DB234A"/>
    <w:rsid w:val="00DB2390"/>
    <w:rsid w:val="00DB2485"/>
    <w:rsid w:val="00DB25A6"/>
    <w:rsid w:val="00DB266E"/>
    <w:rsid w:val="00DB26A8"/>
    <w:rsid w:val="00DB26E5"/>
    <w:rsid w:val="00DB2742"/>
    <w:rsid w:val="00DB2CB3"/>
    <w:rsid w:val="00DB2D94"/>
    <w:rsid w:val="00DB2DCC"/>
    <w:rsid w:val="00DB2DE7"/>
    <w:rsid w:val="00DB2FAF"/>
    <w:rsid w:val="00DB3057"/>
    <w:rsid w:val="00DB305B"/>
    <w:rsid w:val="00DB30B0"/>
    <w:rsid w:val="00DB30BE"/>
    <w:rsid w:val="00DB3194"/>
    <w:rsid w:val="00DB32A6"/>
    <w:rsid w:val="00DB33F0"/>
    <w:rsid w:val="00DB347F"/>
    <w:rsid w:val="00DB3574"/>
    <w:rsid w:val="00DB3A0B"/>
    <w:rsid w:val="00DB3A23"/>
    <w:rsid w:val="00DB3C02"/>
    <w:rsid w:val="00DB3EAD"/>
    <w:rsid w:val="00DB3F85"/>
    <w:rsid w:val="00DB4363"/>
    <w:rsid w:val="00DB45B2"/>
    <w:rsid w:val="00DB45E0"/>
    <w:rsid w:val="00DB4630"/>
    <w:rsid w:val="00DB463F"/>
    <w:rsid w:val="00DB47AD"/>
    <w:rsid w:val="00DB4880"/>
    <w:rsid w:val="00DB48E8"/>
    <w:rsid w:val="00DB4B53"/>
    <w:rsid w:val="00DB4B6C"/>
    <w:rsid w:val="00DB4C50"/>
    <w:rsid w:val="00DB4E75"/>
    <w:rsid w:val="00DB4F5D"/>
    <w:rsid w:val="00DB52D4"/>
    <w:rsid w:val="00DB5377"/>
    <w:rsid w:val="00DB5589"/>
    <w:rsid w:val="00DB5811"/>
    <w:rsid w:val="00DB5824"/>
    <w:rsid w:val="00DB5946"/>
    <w:rsid w:val="00DB5A3B"/>
    <w:rsid w:val="00DB5CB4"/>
    <w:rsid w:val="00DB5D0B"/>
    <w:rsid w:val="00DB5E0A"/>
    <w:rsid w:val="00DB5E67"/>
    <w:rsid w:val="00DB5EBE"/>
    <w:rsid w:val="00DB5FEB"/>
    <w:rsid w:val="00DB616A"/>
    <w:rsid w:val="00DB625D"/>
    <w:rsid w:val="00DB62AC"/>
    <w:rsid w:val="00DB62BA"/>
    <w:rsid w:val="00DB6313"/>
    <w:rsid w:val="00DB63A2"/>
    <w:rsid w:val="00DB645A"/>
    <w:rsid w:val="00DB668C"/>
    <w:rsid w:val="00DB6750"/>
    <w:rsid w:val="00DB68F9"/>
    <w:rsid w:val="00DB6CBA"/>
    <w:rsid w:val="00DB6D3B"/>
    <w:rsid w:val="00DB6EAE"/>
    <w:rsid w:val="00DB6F16"/>
    <w:rsid w:val="00DB7096"/>
    <w:rsid w:val="00DB710B"/>
    <w:rsid w:val="00DB732C"/>
    <w:rsid w:val="00DB7686"/>
    <w:rsid w:val="00DB76A6"/>
    <w:rsid w:val="00DB76B0"/>
    <w:rsid w:val="00DB7889"/>
    <w:rsid w:val="00DB7A33"/>
    <w:rsid w:val="00DB7A91"/>
    <w:rsid w:val="00DB7C58"/>
    <w:rsid w:val="00DB7EDF"/>
    <w:rsid w:val="00DC02D3"/>
    <w:rsid w:val="00DC04AD"/>
    <w:rsid w:val="00DC0552"/>
    <w:rsid w:val="00DC05AB"/>
    <w:rsid w:val="00DC05BA"/>
    <w:rsid w:val="00DC05C4"/>
    <w:rsid w:val="00DC0738"/>
    <w:rsid w:val="00DC08F8"/>
    <w:rsid w:val="00DC0936"/>
    <w:rsid w:val="00DC0CE0"/>
    <w:rsid w:val="00DC0CE4"/>
    <w:rsid w:val="00DC0DDA"/>
    <w:rsid w:val="00DC0E04"/>
    <w:rsid w:val="00DC0E24"/>
    <w:rsid w:val="00DC0FD7"/>
    <w:rsid w:val="00DC1158"/>
    <w:rsid w:val="00DC1502"/>
    <w:rsid w:val="00DC1559"/>
    <w:rsid w:val="00DC1652"/>
    <w:rsid w:val="00DC16D5"/>
    <w:rsid w:val="00DC177F"/>
    <w:rsid w:val="00DC1A2D"/>
    <w:rsid w:val="00DC1A41"/>
    <w:rsid w:val="00DC1A7F"/>
    <w:rsid w:val="00DC1A9E"/>
    <w:rsid w:val="00DC1AA2"/>
    <w:rsid w:val="00DC1B2B"/>
    <w:rsid w:val="00DC1CBE"/>
    <w:rsid w:val="00DC1D29"/>
    <w:rsid w:val="00DC1EB6"/>
    <w:rsid w:val="00DC20D3"/>
    <w:rsid w:val="00DC211F"/>
    <w:rsid w:val="00DC234B"/>
    <w:rsid w:val="00DC256B"/>
    <w:rsid w:val="00DC25E2"/>
    <w:rsid w:val="00DC2876"/>
    <w:rsid w:val="00DC2A24"/>
    <w:rsid w:val="00DC2A58"/>
    <w:rsid w:val="00DC2AD1"/>
    <w:rsid w:val="00DC2BEF"/>
    <w:rsid w:val="00DC2C07"/>
    <w:rsid w:val="00DC2D4D"/>
    <w:rsid w:val="00DC2DEF"/>
    <w:rsid w:val="00DC2E28"/>
    <w:rsid w:val="00DC2EBB"/>
    <w:rsid w:val="00DC2F2C"/>
    <w:rsid w:val="00DC3092"/>
    <w:rsid w:val="00DC3099"/>
    <w:rsid w:val="00DC3119"/>
    <w:rsid w:val="00DC311C"/>
    <w:rsid w:val="00DC31C0"/>
    <w:rsid w:val="00DC3291"/>
    <w:rsid w:val="00DC3509"/>
    <w:rsid w:val="00DC3526"/>
    <w:rsid w:val="00DC3528"/>
    <w:rsid w:val="00DC3648"/>
    <w:rsid w:val="00DC36A5"/>
    <w:rsid w:val="00DC3AD3"/>
    <w:rsid w:val="00DC3B10"/>
    <w:rsid w:val="00DC3B25"/>
    <w:rsid w:val="00DC3C6A"/>
    <w:rsid w:val="00DC3E3B"/>
    <w:rsid w:val="00DC3E53"/>
    <w:rsid w:val="00DC3EFC"/>
    <w:rsid w:val="00DC3FE9"/>
    <w:rsid w:val="00DC4116"/>
    <w:rsid w:val="00DC414A"/>
    <w:rsid w:val="00DC4276"/>
    <w:rsid w:val="00DC43E7"/>
    <w:rsid w:val="00DC47CE"/>
    <w:rsid w:val="00DC485F"/>
    <w:rsid w:val="00DC49B6"/>
    <w:rsid w:val="00DC4A22"/>
    <w:rsid w:val="00DC4B0B"/>
    <w:rsid w:val="00DC4BEF"/>
    <w:rsid w:val="00DC4CD0"/>
    <w:rsid w:val="00DC4D56"/>
    <w:rsid w:val="00DC4E88"/>
    <w:rsid w:val="00DC4E9F"/>
    <w:rsid w:val="00DC5165"/>
    <w:rsid w:val="00DC5347"/>
    <w:rsid w:val="00DC557D"/>
    <w:rsid w:val="00DC55BB"/>
    <w:rsid w:val="00DC55C1"/>
    <w:rsid w:val="00DC56E6"/>
    <w:rsid w:val="00DC575A"/>
    <w:rsid w:val="00DC575F"/>
    <w:rsid w:val="00DC599B"/>
    <w:rsid w:val="00DC5A20"/>
    <w:rsid w:val="00DC5A55"/>
    <w:rsid w:val="00DC5B39"/>
    <w:rsid w:val="00DC5E0A"/>
    <w:rsid w:val="00DC600A"/>
    <w:rsid w:val="00DC60F9"/>
    <w:rsid w:val="00DC61AF"/>
    <w:rsid w:val="00DC62AD"/>
    <w:rsid w:val="00DC64DA"/>
    <w:rsid w:val="00DC668F"/>
    <w:rsid w:val="00DC68DD"/>
    <w:rsid w:val="00DC68F4"/>
    <w:rsid w:val="00DC68FA"/>
    <w:rsid w:val="00DC69EA"/>
    <w:rsid w:val="00DC6ACD"/>
    <w:rsid w:val="00DC6BFC"/>
    <w:rsid w:val="00DC6C46"/>
    <w:rsid w:val="00DC6D7B"/>
    <w:rsid w:val="00DC6D8E"/>
    <w:rsid w:val="00DC6DD7"/>
    <w:rsid w:val="00DC70D5"/>
    <w:rsid w:val="00DC7119"/>
    <w:rsid w:val="00DC7251"/>
    <w:rsid w:val="00DC7507"/>
    <w:rsid w:val="00DC7545"/>
    <w:rsid w:val="00DC7698"/>
    <w:rsid w:val="00DC777C"/>
    <w:rsid w:val="00DC7812"/>
    <w:rsid w:val="00DC7831"/>
    <w:rsid w:val="00DC7A67"/>
    <w:rsid w:val="00DC7C1E"/>
    <w:rsid w:val="00DC7D44"/>
    <w:rsid w:val="00DC7D49"/>
    <w:rsid w:val="00DC7D4F"/>
    <w:rsid w:val="00DC7E56"/>
    <w:rsid w:val="00DC7F2A"/>
    <w:rsid w:val="00DC7F56"/>
    <w:rsid w:val="00DC7FB5"/>
    <w:rsid w:val="00DD02C6"/>
    <w:rsid w:val="00DD0603"/>
    <w:rsid w:val="00DD077B"/>
    <w:rsid w:val="00DD086B"/>
    <w:rsid w:val="00DD0B04"/>
    <w:rsid w:val="00DD0B53"/>
    <w:rsid w:val="00DD0C0B"/>
    <w:rsid w:val="00DD0C5E"/>
    <w:rsid w:val="00DD0E7E"/>
    <w:rsid w:val="00DD0E83"/>
    <w:rsid w:val="00DD0EBD"/>
    <w:rsid w:val="00DD0F46"/>
    <w:rsid w:val="00DD0FA5"/>
    <w:rsid w:val="00DD1074"/>
    <w:rsid w:val="00DD118A"/>
    <w:rsid w:val="00DD11CD"/>
    <w:rsid w:val="00DD1352"/>
    <w:rsid w:val="00DD13DD"/>
    <w:rsid w:val="00DD14DF"/>
    <w:rsid w:val="00DD1528"/>
    <w:rsid w:val="00DD16F6"/>
    <w:rsid w:val="00DD1705"/>
    <w:rsid w:val="00DD179D"/>
    <w:rsid w:val="00DD17D6"/>
    <w:rsid w:val="00DD17ED"/>
    <w:rsid w:val="00DD1C33"/>
    <w:rsid w:val="00DD2067"/>
    <w:rsid w:val="00DD20D0"/>
    <w:rsid w:val="00DD2184"/>
    <w:rsid w:val="00DD21C6"/>
    <w:rsid w:val="00DD21DC"/>
    <w:rsid w:val="00DD2365"/>
    <w:rsid w:val="00DD2381"/>
    <w:rsid w:val="00DD2512"/>
    <w:rsid w:val="00DD2561"/>
    <w:rsid w:val="00DD257B"/>
    <w:rsid w:val="00DD2628"/>
    <w:rsid w:val="00DD27AB"/>
    <w:rsid w:val="00DD281C"/>
    <w:rsid w:val="00DD2937"/>
    <w:rsid w:val="00DD2E6D"/>
    <w:rsid w:val="00DD2EAC"/>
    <w:rsid w:val="00DD2F84"/>
    <w:rsid w:val="00DD303A"/>
    <w:rsid w:val="00DD3071"/>
    <w:rsid w:val="00DD3160"/>
    <w:rsid w:val="00DD3222"/>
    <w:rsid w:val="00DD3840"/>
    <w:rsid w:val="00DD401D"/>
    <w:rsid w:val="00DD40D2"/>
    <w:rsid w:val="00DD40FF"/>
    <w:rsid w:val="00DD42CA"/>
    <w:rsid w:val="00DD4421"/>
    <w:rsid w:val="00DD4477"/>
    <w:rsid w:val="00DD447A"/>
    <w:rsid w:val="00DD4784"/>
    <w:rsid w:val="00DD4813"/>
    <w:rsid w:val="00DD4857"/>
    <w:rsid w:val="00DD49AE"/>
    <w:rsid w:val="00DD49E6"/>
    <w:rsid w:val="00DD4A9E"/>
    <w:rsid w:val="00DD4ABC"/>
    <w:rsid w:val="00DD4D22"/>
    <w:rsid w:val="00DD4D47"/>
    <w:rsid w:val="00DD4E89"/>
    <w:rsid w:val="00DD4EA3"/>
    <w:rsid w:val="00DD50C4"/>
    <w:rsid w:val="00DD532F"/>
    <w:rsid w:val="00DD53AF"/>
    <w:rsid w:val="00DD54D6"/>
    <w:rsid w:val="00DD55E1"/>
    <w:rsid w:val="00DD55F0"/>
    <w:rsid w:val="00DD56F3"/>
    <w:rsid w:val="00DD5853"/>
    <w:rsid w:val="00DD5A5C"/>
    <w:rsid w:val="00DD5D76"/>
    <w:rsid w:val="00DD5E0C"/>
    <w:rsid w:val="00DD5F4B"/>
    <w:rsid w:val="00DD626D"/>
    <w:rsid w:val="00DD62DD"/>
    <w:rsid w:val="00DD6331"/>
    <w:rsid w:val="00DD63F4"/>
    <w:rsid w:val="00DD6906"/>
    <w:rsid w:val="00DD698E"/>
    <w:rsid w:val="00DD69D2"/>
    <w:rsid w:val="00DD69F1"/>
    <w:rsid w:val="00DD6B18"/>
    <w:rsid w:val="00DD6BD2"/>
    <w:rsid w:val="00DD6BDD"/>
    <w:rsid w:val="00DD6BF1"/>
    <w:rsid w:val="00DD6DD3"/>
    <w:rsid w:val="00DD6EB4"/>
    <w:rsid w:val="00DD6EEC"/>
    <w:rsid w:val="00DD7003"/>
    <w:rsid w:val="00DD7118"/>
    <w:rsid w:val="00DD72A6"/>
    <w:rsid w:val="00DD7561"/>
    <w:rsid w:val="00DD7667"/>
    <w:rsid w:val="00DD78CB"/>
    <w:rsid w:val="00DD790B"/>
    <w:rsid w:val="00DD7C00"/>
    <w:rsid w:val="00DD7C04"/>
    <w:rsid w:val="00DD7C3C"/>
    <w:rsid w:val="00DD7ED2"/>
    <w:rsid w:val="00DD7F6A"/>
    <w:rsid w:val="00DD7F99"/>
    <w:rsid w:val="00DD7FC3"/>
    <w:rsid w:val="00DE006F"/>
    <w:rsid w:val="00DE0102"/>
    <w:rsid w:val="00DE0217"/>
    <w:rsid w:val="00DE026B"/>
    <w:rsid w:val="00DE029A"/>
    <w:rsid w:val="00DE03D1"/>
    <w:rsid w:val="00DE0483"/>
    <w:rsid w:val="00DE06BB"/>
    <w:rsid w:val="00DE06D0"/>
    <w:rsid w:val="00DE0820"/>
    <w:rsid w:val="00DE09E4"/>
    <w:rsid w:val="00DE0A30"/>
    <w:rsid w:val="00DE0D07"/>
    <w:rsid w:val="00DE0D3A"/>
    <w:rsid w:val="00DE0DDB"/>
    <w:rsid w:val="00DE0E91"/>
    <w:rsid w:val="00DE0F3F"/>
    <w:rsid w:val="00DE1154"/>
    <w:rsid w:val="00DE1173"/>
    <w:rsid w:val="00DE1317"/>
    <w:rsid w:val="00DE138B"/>
    <w:rsid w:val="00DE179B"/>
    <w:rsid w:val="00DE18A4"/>
    <w:rsid w:val="00DE193D"/>
    <w:rsid w:val="00DE1947"/>
    <w:rsid w:val="00DE1A22"/>
    <w:rsid w:val="00DE1ACD"/>
    <w:rsid w:val="00DE1C8B"/>
    <w:rsid w:val="00DE210F"/>
    <w:rsid w:val="00DE2154"/>
    <w:rsid w:val="00DE24D7"/>
    <w:rsid w:val="00DE25E0"/>
    <w:rsid w:val="00DE2634"/>
    <w:rsid w:val="00DE2771"/>
    <w:rsid w:val="00DE2915"/>
    <w:rsid w:val="00DE2947"/>
    <w:rsid w:val="00DE2A3C"/>
    <w:rsid w:val="00DE2BAC"/>
    <w:rsid w:val="00DE2BE4"/>
    <w:rsid w:val="00DE2C80"/>
    <w:rsid w:val="00DE2C8D"/>
    <w:rsid w:val="00DE2DC7"/>
    <w:rsid w:val="00DE2E05"/>
    <w:rsid w:val="00DE2E3C"/>
    <w:rsid w:val="00DE2E95"/>
    <w:rsid w:val="00DE2F99"/>
    <w:rsid w:val="00DE30B6"/>
    <w:rsid w:val="00DE30B8"/>
    <w:rsid w:val="00DE3105"/>
    <w:rsid w:val="00DE311A"/>
    <w:rsid w:val="00DE3171"/>
    <w:rsid w:val="00DE3226"/>
    <w:rsid w:val="00DE32CE"/>
    <w:rsid w:val="00DE34A0"/>
    <w:rsid w:val="00DE35CA"/>
    <w:rsid w:val="00DE3622"/>
    <w:rsid w:val="00DE36E3"/>
    <w:rsid w:val="00DE3724"/>
    <w:rsid w:val="00DE3749"/>
    <w:rsid w:val="00DE37CF"/>
    <w:rsid w:val="00DE3894"/>
    <w:rsid w:val="00DE3917"/>
    <w:rsid w:val="00DE3A3C"/>
    <w:rsid w:val="00DE3B3F"/>
    <w:rsid w:val="00DE3B55"/>
    <w:rsid w:val="00DE3B6C"/>
    <w:rsid w:val="00DE3D4F"/>
    <w:rsid w:val="00DE3E07"/>
    <w:rsid w:val="00DE402B"/>
    <w:rsid w:val="00DE40A4"/>
    <w:rsid w:val="00DE425D"/>
    <w:rsid w:val="00DE4381"/>
    <w:rsid w:val="00DE454C"/>
    <w:rsid w:val="00DE4590"/>
    <w:rsid w:val="00DE45B5"/>
    <w:rsid w:val="00DE4788"/>
    <w:rsid w:val="00DE4A51"/>
    <w:rsid w:val="00DE4AA0"/>
    <w:rsid w:val="00DE4B63"/>
    <w:rsid w:val="00DE4C5B"/>
    <w:rsid w:val="00DE4D78"/>
    <w:rsid w:val="00DE4EC7"/>
    <w:rsid w:val="00DE510B"/>
    <w:rsid w:val="00DE51F6"/>
    <w:rsid w:val="00DE5407"/>
    <w:rsid w:val="00DE54AE"/>
    <w:rsid w:val="00DE557F"/>
    <w:rsid w:val="00DE583D"/>
    <w:rsid w:val="00DE5926"/>
    <w:rsid w:val="00DE5B54"/>
    <w:rsid w:val="00DE5C23"/>
    <w:rsid w:val="00DE5C66"/>
    <w:rsid w:val="00DE5D4A"/>
    <w:rsid w:val="00DE5D72"/>
    <w:rsid w:val="00DE5E58"/>
    <w:rsid w:val="00DE5E75"/>
    <w:rsid w:val="00DE5F10"/>
    <w:rsid w:val="00DE5F5F"/>
    <w:rsid w:val="00DE6041"/>
    <w:rsid w:val="00DE60E5"/>
    <w:rsid w:val="00DE60FB"/>
    <w:rsid w:val="00DE6145"/>
    <w:rsid w:val="00DE6195"/>
    <w:rsid w:val="00DE619F"/>
    <w:rsid w:val="00DE62BC"/>
    <w:rsid w:val="00DE6310"/>
    <w:rsid w:val="00DE651A"/>
    <w:rsid w:val="00DE668A"/>
    <w:rsid w:val="00DE66D0"/>
    <w:rsid w:val="00DE6872"/>
    <w:rsid w:val="00DE688B"/>
    <w:rsid w:val="00DE6A14"/>
    <w:rsid w:val="00DE6A5B"/>
    <w:rsid w:val="00DE6B69"/>
    <w:rsid w:val="00DE6B8D"/>
    <w:rsid w:val="00DE6BB9"/>
    <w:rsid w:val="00DE6D8F"/>
    <w:rsid w:val="00DE6DBB"/>
    <w:rsid w:val="00DE6E4F"/>
    <w:rsid w:val="00DE6F51"/>
    <w:rsid w:val="00DE706B"/>
    <w:rsid w:val="00DE710F"/>
    <w:rsid w:val="00DE7161"/>
    <w:rsid w:val="00DE7178"/>
    <w:rsid w:val="00DE72C0"/>
    <w:rsid w:val="00DE7446"/>
    <w:rsid w:val="00DE7675"/>
    <w:rsid w:val="00DE77F6"/>
    <w:rsid w:val="00DE79B0"/>
    <w:rsid w:val="00DE7BB8"/>
    <w:rsid w:val="00DE7DE0"/>
    <w:rsid w:val="00DE7DF1"/>
    <w:rsid w:val="00DE7E51"/>
    <w:rsid w:val="00DE7EB7"/>
    <w:rsid w:val="00DE7EED"/>
    <w:rsid w:val="00DE7F1D"/>
    <w:rsid w:val="00DE7FF7"/>
    <w:rsid w:val="00DF00D3"/>
    <w:rsid w:val="00DF026F"/>
    <w:rsid w:val="00DF0330"/>
    <w:rsid w:val="00DF034A"/>
    <w:rsid w:val="00DF03AB"/>
    <w:rsid w:val="00DF03B8"/>
    <w:rsid w:val="00DF044C"/>
    <w:rsid w:val="00DF0597"/>
    <w:rsid w:val="00DF05A9"/>
    <w:rsid w:val="00DF070D"/>
    <w:rsid w:val="00DF0716"/>
    <w:rsid w:val="00DF0742"/>
    <w:rsid w:val="00DF082C"/>
    <w:rsid w:val="00DF086A"/>
    <w:rsid w:val="00DF08B2"/>
    <w:rsid w:val="00DF08CC"/>
    <w:rsid w:val="00DF0905"/>
    <w:rsid w:val="00DF0AD8"/>
    <w:rsid w:val="00DF0C31"/>
    <w:rsid w:val="00DF0CCB"/>
    <w:rsid w:val="00DF0CF1"/>
    <w:rsid w:val="00DF0E48"/>
    <w:rsid w:val="00DF105A"/>
    <w:rsid w:val="00DF10D8"/>
    <w:rsid w:val="00DF134F"/>
    <w:rsid w:val="00DF1548"/>
    <w:rsid w:val="00DF15E5"/>
    <w:rsid w:val="00DF1681"/>
    <w:rsid w:val="00DF16B8"/>
    <w:rsid w:val="00DF171E"/>
    <w:rsid w:val="00DF1833"/>
    <w:rsid w:val="00DF1844"/>
    <w:rsid w:val="00DF1A39"/>
    <w:rsid w:val="00DF1B40"/>
    <w:rsid w:val="00DF1C21"/>
    <w:rsid w:val="00DF1C3F"/>
    <w:rsid w:val="00DF1C46"/>
    <w:rsid w:val="00DF1C9D"/>
    <w:rsid w:val="00DF1CFF"/>
    <w:rsid w:val="00DF1F3C"/>
    <w:rsid w:val="00DF2027"/>
    <w:rsid w:val="00DF2139"/>
    <w:rsid w:val="00DF2185"/>
    <w:rsid w:val="00DF2204"/>
    <w:rsid w:val="00DF2307"/>
    <w:rsid w:val="00DF23A7"/>
    <w:rsid w:val="00DF24BF"/>
    <w:rsid w:val="00DF254C"/>
    <w:rsid w:val="00DF265D"/>
    <w:rsid w:val="00DF26E2"/>
    <w:rsid w:val="00DF2706"/>
    <w:rsid w:val="00DF2797"/>
    <w:rsid w:val="00DF2A0B"/>
    <w:rsid w:val="00DF2A4C"/>
    <w:rsid w:val="00DF2B93"/>
    <w:rsid w:val="00DF3421"/>
    <w:rsid w:val="00DF35DA"/>
    <w:rsid w:val="00DF36B2"/>
    <w:rsid w:val="00DF385D"/>
    <w:rsid w:val="00DF3942"/>
    <w:rsid w:val="00DF3C36"/>
    <w:rsid w:val="00DF3CFF"/>
    <w:rsid w:val="00DF3DE3"/>
    <w:rsid w:val="00DF4319"/>
    <w:rsid w:val="00DF4345"/>
    <w:rsid w:val="00DF43EC"/>
    <w:rsid w:val="00DF4484"/>
    <w:rsid w:val="00DF44F8"/>
    <w:rsid w:val="00DF466D"/>
    <w:rsid w:val="00DF46E4"/>
    <w:rsid w:val="00DF473F"/>
    <w:rsid w:val="00DF47AB"/>
    <w:rsid w:val="00DF4897"/>
    <w:rsid w:val="00DF4913"/>
    <w:rsid w:val="00DF4AD3"/>
    <w:rsid w:val="00DF4BC4"/>
    <w:rsid w:val="00DF4D32"/>
    <w:rsid w:val="00DF4DE7"/>
    <w:rsid w:val="00DF4E03"/>
    <w:rsid w:val="00DF4F8C"/>
    <w:rsid w:val="00DF4F97"/>
    <w:rsid w:val="00DF527D"/>
    <w:rsid w:val="00DF5324"/>
    <w:rsid w:val="00DF5375"/>
    <w:rsid w:val="00DF5436"/>
    <w:rsid w:val="00DF5442"/>
    <w:rsid w:val="00DF5527"/>
    <w:rsid w:val="00DF572C"/>
    <w:rsid w:val="00DF57E2"/>
    <w:rsid w:val="00DF5958"/>
    <w:rsid w:val="00DF5CC4"/>
    <w:rsid w:val="00DF5CCB"/>
    <w:rsid w:val="00DF5CF9"/>
    <w:rsid w:val="00DF5D11"/>
    <w:rsid w:val="00DF5D1C"/>
    <w:rsid w:val="00DF6156"/>
    <w:rsid w:val="00DF61FF"/>
    <w:rsid w:val="00DF63D2"/>
    <w:rsid w:val="00DF63F9"/>
    <w:rsid w:val="00DF644D"/>
    <w:rsid w:val="00DF673C"/>
    <w:rsid w:val="00DF68C4"/>
    <w:rsid w:val="00DF6931"/>
    <w:rsid w:val="00DF6984"/>
    <w:rsid w:val="00DF6A09"/>
    <w:rsid w:val="00DF6B92"/>
    <w:rsid w:val="00DF6E6E"/>
    <w:rsid w:val="00DF6EA3"/>
    <w:rsid w:val="00DF70BC"/>
    <w:rsid w:val="00DF7747"/>
    <w:rsid w:val="00DF775C"/>
    <w:rsid w:val="00DF7807"/>
    <w:rsid w:val="00DF78B2"/>
    <w:rsid w:val="00DF79F1"/>
    <w:rsid w:val="00DF7A91"/>
    <w:rsid w:val="00DF7ABB"/>
    <w:rsid w:val="00DF7B7E"/>
    <w:rsid w:val="00DF7BD6"/>
    <w:rsid w:val="00DF7C96"/>
    <w:rsid w:val="00DF7ED5"/>
    <w:rsid w:val="00DF7FAB"/>
    <w:rsid w:val="00E0033D"/>
    <w:rsid w:val="00E003B7"/>
    <w:rsid w:val="00E003C7"/>
    <w:rsid w:val="00E004FD"/>
    <w:rsid w:val="00E005F4"/>
    <w:rsid w:val="00E00645"/>
    <w:rsid w:val="00E0066D"/>
    <w:rsid w:val="00E006F1"/>
    <w:rsid w:val="00E00CF9"/>
    <w:rsid w:val="00E00DF2"/>
    <w:rsid w:val="00E00EE9"/>
    <w:rsid w:val="00E00F9D"/>
    <w:rsid w:val="00E00FBA"/>
    <w:rsid w:val="00E010A0"/>
    <w:rsid w:val="00E01129"/>
    <w:rsid w:val="00E0116E"/>
    <w:rsid w:val="00E0127C"/>
    <w:rsid w:val="00E0134C"/>
    <w:rsid w:val="00E01353"/>
    <w:rsid w:val="00E013B3"/>
    <w:rsid w:val="00E014F9"/>
    <w:rsid w:val="00E0154F"/>
    <w:rsid w:val="00E015A6"/>
    <w:rsid w:val="00E015E0"/>
    <w:rsid w:val="00E0163D"/>
    <w:rsid w:val="00E016BB"/>
    <w:rsid w:val="00E01744"/>
    <w:rsid w:val="00E0183F"/>
    <w:rsid w:val="00E01866"/>
    <w:rsid w:val="00E01A70"/>
    <w:rsid w:val="00E01A92"/>
    <w:rsid w:val="00E01B77"/>
    <w:rsid w:val="00E01BEA"/>
    <w:rsid w:val="00E021A2"/>
    <w:rsid w:val="00E02313"/>
    <w:rsid w:val="00E0249E"/>
    <w:rsid w:val="00E02554"/>
    <w:rsid w:val="00E028E9"/>
    <w:rsid w:val="00E02939"/>
    <w:rsid w:val="00E02A82"/>
    <w:rsid w:val="00E02B25"/>
    <w:rsid w:val="00E02BAA"/>
    <w:rsid w:val="00E02C40"/>
    <w:rsid w:val="00E02CE5"/>
    <w:rsid w:val="00E02CEC"/>
    <w:rsid w:val="00E02E5D"/>
    <w:rsid w:val="00E02FD2"/>
    <w:rsid w:val="00E03094"/>
    <w:rsid w:val="00E0310F"/>
    <w:rsid w:val="00E032AA"/>
    <w:rsid w:val="00E03318"/>
    <w:rsid w:val="00E03377"/>
    <w:rsid w:val="00E0337B"/>
    <w:rsid w:val="00E0338E"/>
    <w:rsid w:val="00E03462"/>
    <w:rsid w:val="00E03632"/>
    <w:rsid w:val="00E036A7"/>
    <w:rsid w:val="00E036EE"/>
    <w:rsid w:val="00E03755"/>
    <w:rsid w:val="00E0376E"/>
    <w:rsid w:val="00E0381F"/>
    <w:rsid w:val="00E03823"/>
    <w:rsid w:val="00E039CE"/>
    <w:rsid w:val="00E03B6A"/>
    <w:rsid w:val="00E03B7E"/>
    <w:rsid w:val="00E03BB5"/>
    <w:rsid w:val="00E03D31"/>
    <w:rsid w:val="00E03D42"/>
    <w:rsid w:val="00E03DDB"/>
    <w:rsid w:val="00E043B8"/>
    <w:rsid w:val="00E043F3"/>
    <w:rsid w:val="00E043F8"/>
    <w:rsid w:val="00E0440F"/>
    <w:rsid w:val="00E04462"/>
    <w:rsid w:val="00E04525"/>
    <w:rsid w:val="00E045D3"/>
    <w:rsid w:val="00E04605"/>
    <w:rsid w:val="00E046D4"/>
    <w:rsid w:val="00E04732"/>
    <w:rsid w:val="00E048BE"/>
    <w:rsid w:val="00E0490E"/>
    <w:rsid w:val="00E0499E"/>
    <w:rsid w:val="00E04A11"/>
    <w:rsid w:val="00E04D8E"/>
    <w:rsid w:val="00E04DAB"/>
    <w:rsid w:val="00E04F63"/>
    <w:rsid w:val="00E05140"/>
    <w:rsid w:val="00E0515E"/>
    <w:rsid w:val="00E0516F"/>
    <w:rsid w:val="00E056AD"/>
    <w:rsid w:val="00E057E9"/>
    <w:rsid w:val="00E057FF"/>
    <w:rsid w:val="00E058EA"/>
    <w:rsid w:val="00E05913"/>
    <w:rsid w:val="00E05947"/>
    <w:rsid w:val="00E05ADE"/>
    <w:rsid w:val="00E05AF8"/>
    <w:rsid w:val="00E05C10"/>
    <w:rsid w:val="00E05C49"/>
    <w:rsid w:val="00E05CFB"/>
    <w:rsid w:val="00E05DED"/>
    <w:rsid w:val="00E05E5C"/>
    <w:rsid w:val="00E06086"/>
    <w:rsid w:val="00E062A6"/>
    <w:rsid w:val="00E0631C"/>
    <w:rsid w:val="00E063A6"/>
    <w:rsid w:val="00E064A8"/>
    <w:rsid w:val="00E0651A"/>
    <w:rsid w:val="00E0677E"/>
    <w:rsid w:val="00E069A8"/>
    <w:rsid w:val="00E069E5"/>
    <w:rsid w:val="00E06A92"/>
    <w:rsid w:val="00E06BFA"/>
    <w:rsid w:val="00E06C6E"/>
    <w:rsid w:val="00E06DA4"/>
    <w:rsid w:val="00E06E02"/>
    <w:rsid w:val="00E0703C"/>
    <w:rsid w:val="00E070AB"/>
    <w:rsid w:val="00E070CA"/>
    <w:rsid w:val="00E0710B"/>
    <w:rsid w:val="00E073F7"/>
    <w:rsid w:val="00E07508"/>
    <w:rsid w:val="00E0761D"/>
    <w:rsid w:val="00E0768B"/>
    <w:rsid w:val="00E07A82"/>
    <w:rsid w:val="00E07ABB"/>
    <w:rsid w:val="00E07F56"/>
    <w:rsid w:val="00E10117"/>
    <w:rsid w:val="00E1016B"/>
    <w:rsid w:val="00E10207"/>
    <w:rsid w:val="00E1033B"/>
    <w:rsid w:val="00E10412"/>
    <w:rsid w:val="00E10537"/>
    <w:rsid w:val="00E10611"/>
    <w:rsid w:val="00E107C4"/>
    <w:rsid w:val="00E108B4"/>
    <w:rsid w:val="00E10E23"/>
    <w:rsid w:val="00E10E89"/>
    <w:rsid w:val="00E10EAF"/>
    <w:rsid w:val="00E1112E"/>
    <w:rsid w:val="00E1147B"/>
    <w:rsid w:val="00E11671"/>
    <w:rsid w:val="00E116B9"/>
    <w:rsid w:val="00E11BC3"/>
    <w:rsid w:val="00E11C1A"/>
    <w:rsid w:val="00E11DBE"/>
    <w:rsid w:val="00E11E57"/>
    <w:rsid w:val="00E11F2C"/>
    <w:rsid w:val="00E11F50"/>
    <w:rsid w:val="00E11FF9"/>
    <w:rsid w:val="00E12194"/>
    <w:rsid w:val="00E12222"/>
    <w:rsid w:val="00E123EE"/>
    <w:rsid w:val="00E12709"/>
    <w:rsid w:val="00E12710"/>
    <w:rsid w:val="00E12953"/>
    <w:rsid w:val="00E129E7"/>
    <w:rsid w:val="00E129F9"/>
    <w:rsid w:val="00E12A06"/>
    <w:rsid w:val="00E12B00"/>
    <w:rsid w:val="00E12C2F"/>
    <w:rsid w:val="00E12C91"/>
    <w:rsid w:val="00E12CA0"/>
    <w:rsid w:val="00E12DDD"/>
    <w:rsid w:val="00E12E12"/>
    <w:rsid w:val="00E12EE3"/>
    <w:rsid w:val="00E13003"/>
    <w:rsid w:val="00E1310B"/>
    <w:rsid w:val="00E1317D"/>
    <w:rsid w:val="00E13283"/>
    <w:rsid w:val="00E1343B"/>
    <w:rsid w:val="00E13496"/>
    <w:rsid w:val="00E13B82"/>
    <w:rsid w:val="00E13BA9"/>
    <w:rsid w:val="00E141B5"/>
    <w:rsid w:val="00E1421A"/>
    <w:rsid w:val="00E142AC"/>
    <w:rsid w:val="00E142F2"/>
    <w:rsid w:val="00E147C1"/>
    <w:rsid w:val="00E14825"/>
    <w:rsid w:val="00E14849"/>
    <w:rsid w:val="00E14B90"/>
    <w:rsid w:val="00E14C6C"/>
    <w:rsid w:val="00E14C75"/>
    <w:rsid w:val="00E14E01"/>
    <w:rsid w:val="00E14E78"/>
    <w:rsid w:val="00E14EFB"/>
    <w:rsid w:val="00E14F21"/>
    <w:rsid w:val="00E15016"/>
    <w:rsid w:val="00E1508C"/>
    <w:rsid w:val="00E1517C"/>
    <w:rsid w:val="00E1518E"/>
    <w:rsid w:val="00E151C0"/>
    <w:rsid w:val="00E15597"/>
    <w:rsid w:val="00E158B7"/>
    <w:rsid w:val="00E15BD6"/>
    <w:rsid w:val="00E15C0C"/>
    <w:rsid w:val="00E15C21"/>
    <w:rsid w:val="00E15C7A"/>
    <w:rsid w:val="00E15D4D"/>
    <w:rsid w:val="00E15DAC"/>
    <w:rsid w:val="00E15E8B"/>
    <w:rsid w:val="00E15F1E"/>
    <w:rsid w:val="00E15F47"/>
    <w:rsid w:val="00E15F5B"/>
    <w:rsid w:val="00E160C7"/>
    <w:rsid w:val="00E1647E"/>
    <w:rsid w:val="00E1656B"/>
    <w:rsid w:val="00E16A68"/>
    <w:rsid w:val="00E16ABF"/>
    <w:rsid w:val="00E16D62"/>
    <w:rsid w:val="00E16ED6"/>
    <w:rsid w:val="00E17181"/>
    <w:rsid w:val="00E171ED"/>
    <w:rsid w:val="00E173EB"/>
    <w:rsid w:val="00E174BE"/>
    <w:rsid w:val="00E174D4"/>
    <w:rsid w:val="00E17579"/>
    <w:rsid w:val="00E177B1"/>
    <w:rsid w:val="00E17870"/>
    <w:rsid w:val="00E17912"/>
    <w:rsid w:val="00E179F9"/>
    <w:rsid w:val="00E17A4C"/>
    <w:rsid w:val="00E17C8C"/>
    <w:rsid w:val="00E17EF1"/>
    <w:rsid w:val="00E17F58"/>
    <w:rsid w:val="00E17F85"/>
    <w:rsid w:val="00E2037D"/>
    <w:rsid w:val="00E203EC"/>
    <w:rsid w:val="00E205FD"/>
    <w:rsid w:val="00E20736"/>
    <w:rsid w:val="00E20815"/>
    <w:rsid w:val="00E2085D"/>
    <w:rsid w:val="00E2088D"/>
    <w:rsid w:val="00E20891"/>
    <w:rsid w:val="00E20B8C"/>
    <w:rsid w:val="00E20CF7"/>
    <w:rsid w:val="00E20D64"/>
    <w:rsid w:val="00E20D86"/>
    <w:rsid w:val="00E20E2D"/>
    <w:rsid w:val="00E20EBC"/>
    <w:rsid w:val="00E20F0E"/>
    <w:rsid w:val="00E20F39"/>
    <w:rsid w:val="00E20F58"/>
    <w:rsid w:val="00E2103A"/>
    <w:rsid w:val="00E211BD"/>
    <w:rsid w:val="00E21239"/>
    <w:rsid w:val="00E21262"/>
    <w:rsid w:val="00E2126F"/>
    <w:rsid w:val="00E212FB"/>
    <w:rsid w:val="00E213FC"/>
    <w:rsid w:val="00E214D5"/>
    <w:rsid w:val="00E21608"/>
    <w:rsid w:val="00E21676"/>
    <w:rsid w:val="00E21751"/>
    <w:rsid w:val="00E21815"/>
    <w:rsid w:val="00E219CE"/>
    <w:rsid w:val="00E21A27"/>
    <w:rsid w:val="00E21A2D"/>
    <w:rsid w:val="00E21B87"/>
    <w:rsid w:val="00E21C74"/>
    <w:rsid w:val="00E21DA0"/>
    <w:rsid w:val="00E21DB8"/>
    <w:rsid w:val="00E21E15"/>
    <w:rsid w:val="00E21E74"/>
    <w:rsid w:val="00E22056"/>
    <w:rsid w:val="00E22115"/>
    <w:rsid w:val="00E221B2"/>
    <w:rsid w:val="00E221F9"/>
    <w:rsid w:val="00E2224A"/>
    <w:rsid w:val="00E22366"/>
    <w:rsid w:val="00E22480"/>
    <w:rsid w:val="00E224B8"/>
    <w:rsid w:val="00E224CB"/>
    <w:rsid w:val="00E22779"/>
    <w:rsid w:val="00E2278A"/>
    <w:rsid w:val="00E2287B"/>
    <w:rsid w:val="00E22893"/>
    <w:rsid w:val="00E228A1"/>
    <w:rsid w:val="00E228E2"/>
    <w:rsid w:val="00E2290C"/>
    <w:rsid w:val="00E22958"/>
    <w:rsid w:val="00E22994"/>
    <w:rsid w:val="00E229D2"/>
    <w:rsid w:val="00E229ED"/>
    <w:rsid w:val="00E22A5B"/>
    <w:rsid w:val="00E22A67"/>
    <w:rsid w:val="00E22A8E"/>
    <w:rsid w:val="00E22AA6"/>
    <w:rsid w:val="00E22C32"/>
    <w:rsid w:val="00E22E1E"/>
    <w:rsid w:val="00E22E57"/>
    <w:rsid w:val="00E230AD"/>
    <w:rsid w:val="00E232C4"/>
    <w:rsid w:val="00E2333E"/>
    <w:rsid w:val="00E23350"/>
    <w:rsid w:val="00E23390"/>
    <w:rsid w:val="00E23440"/>
    <w:rsid w:val="00E2345B"/>
    <w:rsid w:val="00E234C6"/>
    <w:rsid w:val="00E23584"/>
    <w:rsid w:val="00E23652"/>
    <w:rsid w:val="00E236D2"/>
    <w:rsid w:val="00E23711"/>
    <w:rsid w:val="00E2382A"/>
    <w:rsid w:val="00E2388D"/>
    <w:rsid w:val="00E238E7"/>
    <w:rsid w:val="00E23939"/>
    <w:rsid w:val="00E23995"/>
    <w:rsid w:val="00E23998"/>
    <w:rsid w:val="00E239F1"/>
    <w:rsid w:val="00E23B18"/>
    <w:rsid w:val="00E23DDA"/>
    <w:rsid w:val="00E23FC2"/>
    <w:rsid w:val="00E23FD1"/>
    <w:rsid w:val="00E240B2"/>
    <w:rsid w:val="00E24129"/>
    <w:rsid w:val="00E24150"/>
    <w:rsid w:val="00E24318"/>
    <w:rsid w:val="00E243D4"/>
    <w:rsid w:val="00E245E5"/>
    <w:rsid w:val="00E245F4"/>
    <w:rsid w:val="00E24621"/>
    <w:rsid w:val="00E2481B"/>
    <w:rsid w:val="00E24831"/>
    <w:rsid w:val="00E2488E"/>
    <w:rsid w:val="00E248EC"/>
    <w:rsid w:val="00E25022"/>
    <w:rsid w:val="00E2505E"/>
    <w:rsid w:val="00E250E0"/>
    <w:rsid w:val="00E25285"/>
    <w:rsid w:val="00E252F3"/>
    <w:rsid w:val="00E25317"/>
    <w:rsid w:val="00E255AF"/>
    <w:rsid w:val="00E25642"/>
    <w:rsid w:val="00E2570B"/>
    <w:rsid w:val="00E2571F"/>
    <w:rsid w:val="00E2591C"/>
    <w:rsid w:val="00E259B8"/>
    <w:rsid w:val="00E25AC1"/>
    <w:rsid w:val="00E25CAB"/>
    <w:rsid w:val="00E25D08"/>
    <w:rsid w:val="00E25DD6"/>
    <w:rsid w:val="00E25E5C"/>
    <w:rsid w:val="00E25EF2"/>
    <w:rsid w:val="00E25F72"/>
    <w:rsid w:val="00E25F8F"/>
    <w:rsid w:val="00E25FE7"/>
    <w:rsid w:val="00E26117"/>
    <w:rsid w:val="00E26281"/>
    <w:rsid w:val="00E2633E"/>
    <w:rsid w:val="00E2636F"/>
    <w:rsid w:val="00E263DE"/>
    <w:rsid w:val="00E264E1"/>
    <w:rsid w:val="00E26506"/>
    <w:rsid w:val="00E26638"/>
    <w:rsid w:val="00E26670"/>
    <w:rsid w:val="00E2680C"/>
    <w:rsid w:val="00E26872"/>
    <w:rsid w:val="00E268EA"/>
    <w:rsid w:val="00E26911"/>
    <w:rsid w:val="00E26BD8"/>
    <w:rsid w:val="00E26C33"/>
    <w:rsid w:val="00E26CE3"/>
    <w:rsid w:val="00E26E29"/>
    <w:rsid w:val="00E2702E"/>
    <w:rsid w:val="00E272A1"/>
    <w:rsid w:val="00E275FE"/>
    <w:rsid w:val="00E278EF"/>
    <w:rsid w:val="00E27B2B"/>
    <w:rsid w:val="00E27C5F"/>
    <w:rsid w:val="00E27C6C"/>
    <w:rsid w:val="00E27DCF"/>
    <w:rsid w:val="00E27E8D"/>
    <w:rsid w:val="00E27F75"/>
    <w:rsid w:val="00E27F7D"/>
    <w:rsid w:val="00E300C4"/>
    <w:rsid w:val="00E302F4"/>
    <w:rsid w:val="00E304EB"/>
    <w:rsid w:val="00E30525"/>
    <w:rsid w:val="00E3069D"/>
    <w:rsid w:val="00E30A35"/>
    <w:rsid w:val="00E30C25"/>
    <w:rsid w:val="00E310F8"/>
    <w:rsid w:val="00E31117"/>
    <w:rsid w:val="00E3113D"/>
    <w:rsid w:val="00E314A7"/>
    <w:rsid w:val="00E3162A"/>
    <w:rsid w:val="00E31771"/>
    <w:rsid w:val="00E31880"/>
    <w:rsid w:val="00E318BC"/>
    <w:rsid w:val="00E319DA"/>
    <w:rsid w:val="00E31AA5"/>
    <w:rsid w:val="00E31B4B"/>
    <w:rsid w:val="00E31C81"/>
    <w:rsid w:val="00E31CEB"/>
    <w:rsid w:val="00E31E21"/>
    <w:rsid w:val="00E31E64"/>
    <w:rsid w:val="00E3207F"/>
    <w:rsid w:val="00E320AF"/>
    <w:rsid w:val="00E320B7"/>
    <w:rsid w:val="00E3220E"/>
    <w:rsid w:val="00E32253"/>
    <w:rsid w:val="00E322A9"/>
    <w:rsid w:val="00E325F5"/>
    <w:rsid w:val="00E32710"/>
    <w:rsid w:val="00E32B09"/>
    <w:rsid w:val="00E32C4F"/>
    <w:rsid w:val="00E32EC6"/>
    <w:rsid w:val="00E32F93"/>
    <w:rsid w:val="00E33090"/>
    <w:rsid w:val="00E33125"/>
    <w:rsid w:val="00E33175"/>
    <w:rsid w:val="00E333D3"/>
    <w:rsid w:val="00E333F9"/>
    <w:rsid w:val="00E334CD"/>
    <w:rsid w:val="00E334F4"/>
    <w:rsid w:val="00E33751"/>
    <w:rsid w:val="00E33899"/>
    <w:rsid w:val="00E338D2"/>
    <w:rsid w:val="00E339EF"/>
    <w:rsid w:val="00E33ACD"/>
    <w:rsid w:val="00E33B8A"/>
    <w:rsid w:val="00E33C59"/>
    <w:rsid w:val="00E33E24"/>
    <w:rsid w:val="00E33F2B"/>
    <w:rsid w:val="00E33FD6"/>
    <w:rsid w:val="00E33FDB"/>
    <w:rsid w:val="00E34209"/>
    <w:rsid w:val="00E344D2"/>
    <w:rsid w:val="00E34533"/>
    <w:rsid w:val="00E346F5"/>
    <w:rsid w:val="00E34BCC"/>
    <w:rsid w:val="00E34C2C"/>
    <w:rsid w:val="00E34D0E"/>
    <w:rsid w:val="00E34E0E"/>
    <w:rsid w:val="00E34E7D"/>
    <w:rsid w:val="00E35121"/>
    <w:rsid w:val="00E351D5"/>
    <w:rsid w:val="00E35408"/>
    <w:rsid w:val="00E3550C"/>
    <w:rsid w:val="00E35601"/>
    <w:rsid w:val="00E35717"/>
    <w:rsid w:val="00E357CD"/>
    <w:rsid w:val="00E35882"/>
    <w:rsid w:val="00E3593A"/>
    <w:rsid w:val="00E35B32"/>
    <w:rsid w:val="00E35C98"/>
    <w:rsid w:val="00E36186"/>
    <w:rsid w:val="00E36242"/>
    <w:rsid w:val="00E363C4"/>
    <w:rsid w:val="00E36575"/>
    <w:rsid w:val="00E367E9"/>
    <w:rsid w:val="00E368E3"/>
    <w:rsid w:val="00E368F8"/>
    <w:rsid w:val="00E36C13"/>
    <w:rsid w:val="00E36F8F"/>
    <w:rsid w:val="00E36FD5"/>
    <w:rsid w:val="00E37023"/>
    <w:rsid w:val="00E3702D"/>
    <w:rsid w:val="00E37116"/>
    <w:rsid w:val="00E37230"/>
    <w:rsid w:val="00E373CB"/>
    <w:rsid w:val="00E37419"/>
    <w:rsid w:val="00E374B3"/>
    <w:rsid w:val="00E3758B"/>
    <w:rsid w:val="00E3762E"/>
    <w:rsid w:val="00E3780B"/>
    <w:rsid w:val="00E3782B"/>
    <w:rsid w:val="00E37A8B"/>
    <w:rsid w:val="00E37AF2"/>
    <w:rsid w:val="00E37B05"/>
    <w:rsid w:val="00E37BDC"/>
    <w:rsid w:val="00E37BF8"/>
    <w:rsid w:val="00E37C0E"/>
    <w:rsid w:val="00E37D1D"/>
    <w:rsid w:val="00E37E4F"/>
    <w:rsid w:val="00E37ED1"/>
    <w:rsid w:val="00E37EE2"/>
    <w:rsid w:val="00E37F80"/>
    <w:rsid w:val="00E4000E"/>
    <w:rsid w:val="00E401B3"/>
    <w:rsid w:val="00E40309"/>
    <w:rsid w:val="00E4040F"/>
    <w:rsid w:val="00E40494"/>
    <w:rsid w:val="00E404C3"/>
    <w:rsid w:val="00E4061E"/>
    <w:rsid w:val="00E406D6"/>
    <w:rsid w:val="00E407E4"/>
    <w:rsid w:val="00E40889"/>
    <w:rsid w:val="00E4088A"/>
    <w:rsid w:val="00E408AE"/>
    <w:rsid w:val="00E40B9B"/>
    <w:rsid w:val="00E40CA3"/>
    <w:rsid w:val="00E40DED"/>
    <w:rsid w:val="00E41090"/>
    <w:rsid w:val="00E41133"/>
    <w:rsid w:val="00E41237"/>
    <w:rsid w:val="00E412CC"/>
    <w:rsid w:val="00E414C0"/>
    <w:rsid w:val="00E41500"/>
    <w:rsid w:val="00E4169F"/>
    <w:rsid w:val="00E41704"/>
    <w:rsid w:val="00E417AA"/>
    <w:rsid w:val="00E41844"/>
    <w:rsid w:val="00E418CC"/>
    <w:rsid w:val="00E41DA4"/>
    <w:rsid w:val="00E41FA7"/>
    <w:rsid w:val="00E4210C"/>
    <w:rsid w:val="00E42181"/>
    <w:rsid w:val="00E421A2"/>
    <w:rsid w:val="00E421D2"/>
    <w:rsid w:val="00E423A7"/>
    <w:rsid w:val="00E42400"/>
    <w:rsid w:val="00E4246B"/>
    <w:rsid w:val="00E4246F"/>
    <w:rsid w:val="00E42567"/>
    <w:rsid w:val="00E4262B"/>
    <w:rsid w:val="00E42784"/>
    <w:rsid w:val="00E4289E"/>
    <w:rsid w:val="00E428E1"/>
    <w:rsid w:val="00E4290D"/>
    <w:rsid w:val="00E4292C"/>
    <w:rsid w:val="00E429B9"/>
    <w:rsid w:val="00E429C8"/>
    <w:rsid w:val="00E42ABD"/>
    <w:rsid w:val="00E42BC4"/>
    <w:rsid w:val="00E42C9A"/>
    <w:rsid w:val="00E42E6A"/>
    <w:rsid w:val="00E42F48"/>
    <w:rsid w:val="00E42FB3"/>
    <w:rsid w:val="00E42FCB"/>
    <w:rsid w:val="00E4305E"/>
    <w:rsid w:val="00E43080"/>
    <w:rsid w:val="00E43129"/>
    <w:rsid w:val="00E43221"/>
    <w:rsid w:val="00E4337C"/>
    <w:rsid w:val="00E4346C"/>
    <w:rsid w:val="00E434EE"/>
    <w:rsid w:val="00E4357D"/>
    <w:rsid w:val="00E436C0"/>
    <w:rsid w:val="00E43BA5"/>
    <w:rsid w:val="00E43D71"/>
    <w:rsid w:val="00E43FBD"/>
    <w:rsid w:val="00E44164"/>
    <w:rsid w:val="00E442C4"/>
    <w:rsid w:val="00E44340"/>
    <w:rsid w:val="00E443B3"/>
    <w:rsid w:val="00E44624"/>
    <w:rsid w:val="00E44647"/>
    <w:rsid w:val="00E44686"/>
    <w:rsid w:val="00E44713"/>
    <w:rsid w:val="00E44773"/>
    <w:rsid w:val="00E44774"/>
    <w:rsid w:val="00E4477B"/>
    <w:rsid w:val="00E4479D"/>
    <w:rsid w:val="00E44C8E"/>
    <w:rsid w:val="00E44E0C"/>
    <w:rsid w:val="00E44EA0"/>
    <w:rsid w:val="00E44EAA"/>
    <w:rsid w:val="00E44FD5"/>
    <w:rsid w:val="00E44FD7"/>
    <w:rsid w:val="00E4517F"/>
    <w:rsid w:val="00E451B1"/>
    <w:rsid w:val="00E4535F"/>
    <w:rsid w:val="00E4536F"/>
    <w:rsid w:val="00E453D2"/>
    <w:rsid w:val="00E453E6"/>
    <w:rsid w:val="00E45570"/>
    <w:rsid w:val="00E456EC"/>
    <w:rsid w:val="00E457C3"/>
    <w:rsid w:val="00E458B9"/>
    <w:rsid w:val="00E45B31"/>
    <w:rsid w:val="00E45B66"/>
    <w:rsid w:val="00E45E79"/>
    <w:rsid w:val="00E45FA9"/>
    <w:rsid w:val="00E461BF"/>
    <w:rsid w:val="00E46356"/>
    <w:rsid w:val="00E464E1"/>
    <w:rsid w:val="00E4654F"/>
    <w:rsid w:val="00E4675B"/>
    <w:rsid w:val="00E467FD"/>
    <w:rsid w:val="00E46883"/>
    <w:rsid w:val="00E468D6"/>
    <w:rsid w:val="00E46922"/>
    <w:rsid w:val="00E46973"/>
    <w:rsid w:val="00E469CC"/>
    <w:rsid w:val="00E46BD6"/>
    <w:rsid w:val="00E46C48"/>
    <w:rsid w:val="00E46C4F"/>
    <w:rsid w:val="00E46C5B"/>
    <w:rsid w:val="00E46CB0"/>
    <w:rsid w:val="00E46D2F"/>
    <w:rsid w:val="00E46D5C"/>
    <w:rsid w:val="00E46E5E"/>
    <w:rsid w:val="00E46E6F"/>
    <w:rsid w:val="00E46F9B"/>
    <w:rsid w:val="00E46FB5"/>
    <w:rsid w:val="00E4702A"/>
    <w:rsid w:val="00E47128"/>
    <w:rsid w:val="00E47226"/>
    <w:rsid w:val="00E4722A"/>
    <w:rsid w:val="00E4749F"/>
    <w:rsid w:val="00E474EC"/>
    <w:rsid w:val="00E4780D"/>
    <w:rsid w:val="00E478DB"/>
    <w:rsid w:val="00E478F1"/>
    <w:rsid w:val="00E479EC"/>
    <w:rsid w:val="00E479F1"/>
    <w:rsid w:val="00E47ABC"/>
    <w:rsid w:val="00E47E33"/>
    <w:rsid w:val="00E47F56"/>
    <w:rsid w:val="00E47FB6"/>
    <w:rsid w:val="00E50096"/>
    <w:rsid w:val="00E5018B"/>
    <w:rsid w:val="00E503E4"/>
    <w:rsid w:val="00E50459"/>
    <w:rsid w:val="00E50582"/>
    <w:rsid w:val="00E505A5"/>
    <w:rsid w:val="00E5068D"/>
    <w:rsid w:val="00E50758"/>
    <w:rsid w:val="00E50795"/>
    <w:rsid w:val="00E507B1"/>
    <w:rsid w:val="00E508B4"/>
    <w:rsid w:val="00E509C7"/>
    <w:rsid w:val="00E50A2D"/>
    <w:rsid w:val="00E50A4D"/>
    <w:rsid w:val="00E50AEF"/>
    <w:rsid w:val="00E50B1E"/>
    <w:rsid w:val="00E50C4F"/>
    <w:rsid w:val="00E50C5D"/>
    <w:rsid w:val="00E50D54"/>
    <w:rsid w:val="00E50EB8"/>
    <w:rsid w:val="00E50F2F"/>
    <w:rsid w:val="00E513B1"/>
    <w:rsid w:val="00E51554"/>
    <w:rsid w:val="00E5156E"/>
    <w:rsid w:val="00E5160F"/>
    <w:rsid w:val="00E51635"/>
    <w:rsid w:val="00E51729"/>
    <w:rsid w:val="00E519B0"/>
    <w:rsid w:val="00E51A3F"/>
    <w:rsid w:val="00E51B83"/>
    <w:rsid w:val="00E51BBB"/>
    <w:rsid w:val="00E51C31"/>
    <w:rsid w:val="00E51F23"/>
    <w:rsid w:val="00E51F96"/>
    <w:rsid w:val="00E51FD8"/>
    <w:rsid w:val="00E5208A"/>
    <w:rsid w:val="00E522FA"/>
    <w:rsid w:val="00E52502"/>
    <w:rsid w:val="00E52801"/>
    <w:rsid w:val="00E5283B"/>
    <w:rsid w:val="00E528E8"/>
    <w:rsid w:val="00E52935"/>
    <w:rsid w:val="00E52964"/>
    <w:rsid w:val="00E52CAA"/>
    <w:rsid w:val="00E52DC3"/>
    <w:rsid w:val="00E52DFF"/>
    <w:rsid w:val="00E52F39"/>
    <w:rsid w:val="00E52FB4"/>
    <w:rsid w:val="00E5335E"/>
    <w:rsid w:val="00E53513"/>
    <w:rsid w:val="00E53590"/>
    <w:rsid w:val="00E536D5"/>
    <w:rsid w:val="00E536F1"/>
    <w:rsid w:val="00E53703"/>
    <w:rsid w:val="00E53730"/>
    <w:rsid w:val="00E5375E"/>
    <w:rsid w:val="00E53782"/>
    <w:rsid w:val="00E5383C"/>
    <w:rsid w:val="00E53996"/>
    <w:rsid w:val="00E53A03"/>
    <w:rsid w:val="00E53A20"/>
    <w:rsid w:val="00E53BC9"/>
    <w:rsid w:val="00E53C8D"/>
    <w:rsid w:val="00E53DA1"/>
    <w:rsid w:val="00E53ECC"/>
    <w:rsid w:val="00E53FBE"/>
    <w:rsid w:val="00E53FF3"/>
    <w:rsid w:val="00E540BC"/>
    <w:rsid w:val="00E540E7"/>
    <w:rsid w:val="00E5412D"/>
    <w:rsid w:val="00E5445D"/>
    <w:rsid w:val="00E54722"/>
    <w:rsid w:val="00E54848"/>
    <w:rsid w:val="00E548C2"/>
    <w:rsid w:val="00E54998"/>
    <w:rsid w:val="00E54AA5"/>
    <w:rsid w:val="00E54AFF"/>
    <w:rsid w:val="00E54DB9"/>
    <w:rsid w:val="00E54DE6"/>
    <w:rsid w:val="00E54EF8"/>
    <w:rsid w:val="00E54F15"/>
    <w:rsid w:val="00E55037"/>
    <w:rsid w:val="00E55085"/>
    <w:rsid w:val="00E553F2"/>
    <w:rsid w:val="00E5563B"/>
    <w:rsid w:val="00E55724"/>
    <w:rsid w:val="00E55852"/>
    <w:rsid w:val="00E55B4B"/>
    <w:rsid w:val="00E55B53"/>
    <w:rsid w:val="00E55BE1"/>
    <w:rsid w:val="00E55BE9"/>
    <w:rsid w:val="00E55CE5"/>
    <w:rsid w:val="00E55F66"/>
    <w:rsid w:val="00E560B4"/>
    <w:rsid w:val="00E56254"/>
    <w:rsid w:val="00E56446"/>
    <w:rsid w:val="00E564B1"/>
    <w:rsid w:val="00E564FD"/>
    <w:rsid w:val="00E5652B"/>
    <w:rsid w:val="00E56746"/>
    <w:rsid w:val="00E567D5"/>
    <w:rsid w:val="00E5682A"/>
    <w:rsid w:val="00E569E0"/>
    <w:rsid w:val="00E56A66"/>
    <w:rsid w:val="00E56AB6"/>
    <w:rsid w:val="00E56ABD"/>
    <w:rsid w:val="00E56B90"/>
    <w:rsid w:val="00E56C36"/>
    <w:rsid w:val="00E56CE2"/>
    <w:rsid w:val="00E56CED"/>
    <w:rsid w:val="00E56CEE"/>
    <w:rsid w:val="00E56D4B"/>
    <w:rsid w:val="00E56D5F"/>
    <w:rsid w:val="00E56E60"/>
    <w:rsid w:val="00E56F0C"/>
    <w:rsid w:val="00E570FA"/>
    <w:rsid w:val="00E57438"/>
    <w:rsid w:val="00E574CE"/>
    <w:rsid w:val="00E57526"/>
    <w:rsid w:val="00E57546"/>
    <w:rsid w:val="00E5773B"/>
    <w:rsid w:val="00E578B7"/>
    <w:rsid w:val="00E5795D"/>
    <w:rsid w:val="00E57AE6"/>
    <w:rsid w:val="00E57BAB"/>
    <w:rsid w:val="00E57C12"/>
    <w:rsid w:val="00E57E3C"/>
    <w:rsid w:val="00E57EA5"/>
    <w:rsid w:val="00E60185"/>
    <w:rsid w:val="00E6027C"/>
    <w:rsid w:val="00E603C1"/>
    <w:rsid w:val="00E603FA"/>
    <w:rsid w:val="00E6049E"/>
    <w:rsid w:val="00E60513"/>
    <w:rsid w:val="00E6057E"/>
    <w:rsid w:val="00E608BB"/>
    <w:rsid w:val="00E60A36"/>
    <w:rsid w:val="00E60DD0"/>
    <w:rsid w:val="00E610BC"/>
    <w:rsid w:val="00E61115"/>
    <w:rsid w:val="00E611B9"/>
    <w:rsid w:val="00E611DE"/>
    <w:rsid w:val="00E61384"/>
    <w:rsid w:val="00E613B6"/>
    <w:rsid w:val="00E61400"/>
    <w:rsid w:val="00E6179E"/>
    <w:rsid w:val="00E619B7"/>
    <w:rsid w:val="00E619FB"/>
    <w:rsid w:val="00E61B41"/>
    <w:rsid w:val="00E61B5E"/>
    <w:rsid w:val="00E61C93"/>
    <w:rsid w:val="00E61CF8"/>
    <w:rsid w:val="00E61DF9"/>
    <w:rsid w:val="00E61E75"/>
    <w:rsid w:val="00E61EF1"/>
    <w:rsid w:val="00E62045"/>
    <w:rsid w:val="00E620FF"/>
    <w:rsid w:val="00E6212E"/>
    <w:rsid w:val="00E622CA"/>
    <w:rsid w:val="00E6246B"/>
    <w:rsid w:val="00E62514"/>
    <w:rsid w:val="00E6253D"/>
    <w:rsid w:val="00E62562"/>
    <w:rsid w:val="00E626C1"/>
    <w:rsid w:val="00E626DD"/>
    <w:rsid w:val="00E62791"/>
    <w:rsid w:val="00E6281A"/>
    <w:rsid w:val="00E62ABE"/>
    <w:rsid w:val="00E62B28"/>
    <w:rsid w:val="00E62B8D"/>
    <w:rsid w:val="00E62C11"/>
    <w:rsid w:val="00E62C73"/>
    <w:rsid w:val="00E62E3F"/>
    <w:rsid w:val="00E63066"/>
    <w:rsid w:val="00E63071"/>
    <w:rsid w:val="00E63103"/>
    <w:rsid w:val="00E63142"/>
    <w:rsid w:val="00E632C0"/>
    <w:rsid w:val="00E63305"/>
    <w:rsid w:val="00E63417"/>
    <w:rsid w:val="00E6357F"/>
    <w:rsid w:val="00E63684"/>
    <w:rsid w:val="00E636B8"/>
    <w:rsid w:val="00E636E5"/>
    <w:rsid w:val="00E63704"/>
    <w:rsid w:val="00E6392D"/>
    <w:rsid w:val="00E63991"/>
    <w:rsid w:val="00E63A1B"/>
    <w:rsid w:val="00E63B25"/>
    <w:rsid w:val="00E63CD9"/>
    <w:rsid w:val="00E63D08"/>
    <w:rsid w:val="00E63E73"/>
    <w:rsid w:val="00E63FAA"/>
    <w:rsid w:val="00E6405B"/>
    <w:rsid w:val="00E64139"/>
    <w:rsid w:val="00E64150"/>
    <w:rsid w:val="00E6422D"/>
    <w:rsid w:val="00E6438A"/>
    <w:rsid w:val="00E644AB"/>
    <w:rsid w:val="00E645C5"/>
    <w:rsid w:val="00E645FF"/>
    <w:rsid w:val="00E64772"/>
    <w:rsid w:val="00E64819"/>
    <w:rsid w:val="00E648D7"/>
    <w:rsid w:val="00E649BB"/>
    <w:rsid w:val="00E64D70"/>
    <w:rsid w:val="00E64DC1"/>
    <w:rsid w:val="00E64DCF"/>
    <w:rsid w:val="00E64DEB"/>
    <w:rsid w:val="00E64E30"/>
    <w:rsid w:val="00E64FAB"/>
    <w:rsid w:val="00E65297"/>
    <w:rsid w:val="00E653D4"/>
    <w:rsid w:val="00E65587"/>
    <w:rsid w:val="00E6567D"/>
    <w:rsid w:val="00E656B7"/>
    <w:rsid w:val="00E657B9"/>
    <w:rsid w:val="00E65876"/>
    <w:rsid w:val="00E6594C"/>
    <w:rsid w:val="00E659D4"/>
    <w:rsid w:val="00E65A82"/>
    <w:rsid w:val="00E65ACA"/>
    <w:rsid w:val="00E65E32"/>
    <w:rsid w:val="00E66060"/>
    <w:rsid w:val="00E66089"/>
    <w:rsid w:val="00E66204"/>
    <w:rsid w:val="00E6624C"/>
    <w:rsid w:val="00E662F4"/>
    <w:rsid w:val="00E6631B"/>
    <w:rsid w:val="00E6645F"/>
    <w:rsid w:val="00E66497"/>
    <w:rsid w:val="00E665B7"/>
    <w:rsid w:val="00E666AD"/>
    <w:rsid w:val="00E666BC"/>
    <w:rsid w:val="00E6673B"/>
    <w:rsid w:val="00E667AF"/>
    <w:rsid w:val="00E66820"/>
    <w:rsid w:val="00E66A14"/>
    <w:rsid w:val="00E66B15"/>
    <w:rsid w:val="00E66B48"/>
    <w:rsid w:val="00E66B62"/>
    <w:rsid w:val="00E66B81"/>
    <w:rsid w:val="00E66BA5"/>
    <w:rsid w:val="00E66C50"/>
    <w:rsid w:val="00E66F48"/>
    <w:rsid w:val="00E67461"/>
    <w:rsid w:val="00E6798D"/>
    <w:rsid w:val="00E67DC3"/>
    <w:rsid w:val="00E67DD0"/>
    <w:rsid w:val="00E67DF2"/>
    <w:rsid w:val="00E67E1F"/>
    <w:rsid w:val="00E67EFE"/>
    <w:rsid w:val="00E67F62"/>
    <w:rsid w:val="00E67F6D"/>
    <w:rsid w:val="00E700D8"/>
    <w:rsid w:val="00E701AF"/>
    <w:rsid w:val="00E701E3"/>
    <w:rsid w:val="00E70460"/>
    <w:rsid w:val="00E70544"/>
    <w:rsid w:val="00E7061E"/>
    <w:rsid w:val="00E70878"/>
    <w:rsid w:val="00E709C7"/>
    <w:rsid w:val="00E70A60"/>
    <w:rsid w:val="00E70C09"/>
    <w:rsid w:val="00E70C40"/>
    <w:rsid w:val="00E70EC7"/>
    <w:rsid w:val="00E70FD4"/>
    <w:rsid w:val="00E71040"/>
    <w:rsid w:val="00E71143"/>
    <w:rsid w:val="00E712F8"/>
    <w:rsid w:val="00E713FB"/>
    <w:rsid w:val="00E714C3"/>
    <w:rsid w:val="00E714F6"/>
    <w:rsid w:val="00E71593"/>
    <w:rsid w:val="00E71800"/>
    <w:rsid w:val="00E71912"/>
    <w:rsid w:val="00E71931"/>
    <w:rsid w:val="00E71AA6"/>
    <w:rsid w:val="00E71FA4"/>
    <w:rsid w:val="00E71FD4"/>
    <w:rsid w:val="00E7204D"/>
    <w:rsid w:val="00E720D4"/>
    <w:rsid w:val="00E7214D"/>
    <w:rsid w:val="00E7215B"/>
    <w:rsid w:val="00E722D9"/>
    <w:rsid w:val="00E7231F"/>
    <w:rsid w:val="00E7275C"/>
    <w:rsid w:val="00E729A1"/>
    <w:rsid w:val="00E729ED"/>
    <w:rsid w:val="00E72B84"/>
    <w:rsid w:val="00E72C38"/>
    <w:rsid w:val="00E72ECC"/>
    <w:rsid w:val="00E72F7F"/>
    <w:rsid w:val="00E72FDF"/>
    <w:rsid w:val="00E73112"/>
    <w:rsid w:val="00E7329A"/>
    <w:rsid w:val="00E73391"/>
    <w:rsid w:val="00E73511"/>
    <w:rsid w:val="00E73551"/>
    <w:rsid w:val="00E7363E"/>
    <w:rsid w:val="00E73780"/>
    <w:rsid w:val="00E73841"/>
    <w:rsid w:val="00E7391D"/>
    <w:rsid w:val="00E73AFC"/>
    <w:rsid w:val="00E73B64"/>
    <w:rsid w:val="00E73D72"/>
    <w:rsid w:val="00E73F0D"/>
    <w:rsid w:val="00E73FCB"/>
    <w:rsid w:val="00E7402A"/>
    <w:rsid w:val="00E74175"/>
    <w:rsid w:val="00E741CD"/>
    <w:rsid w:val="00E742C3"/>
    <w:rsid w:val="00E742FB"/>
    <w:rsid w:val="00E743AF"/>
    <w:rsid w:val="00E744F1"/>
    <w:rsid w:val="00E745A4"/>
    <w:rsid w:val="00E745F5"/>
    <w:rsid w:val="00E74807"/>
    <w:rsid w:val="00E749D2"/>
    <w:rsid w:val="00E74C26"/>
    <w:rsid w:val="00E74CC0"/>
    <w:rsid w:val="00E74D9E"/>
    <w:rsid w:val="00E74F3A"/>
    <w:rsid w:val="00E74FD9"/>
    <w:rsid w:val="00E75008"/>
    <w:rsid w:val="00E75020"/>
    <w:rsid w:val="00E75144"/>
    <w:rsid w:val="00E75184"/>
    <w:rsid w:val="00E75189"/>
    <w:rsid w:val="00E75474"/>
    <w:rsid w:val="00E754C4"/>
    <w:rsid w:val="00E75589"/>
    <w:rsid w:val="00E755CF"/>
    <w:rsid w:val="00E75872"/>
    <w:rsid w:val="00E758A4"/>
    <w:rsid w:val="00E75926"/>
    <w:rsid w:val="00E7594B"/>
    <w:rsid w:val="00E75BDB"/>
    <w:rsid w:val="00E75E23"/>
    <w:rsid w:val="00E75E93"/>
    <w:rsid w:val="00E75F46"/>
    <w:rsid w:val="00E75F49"/>
    <w:rsid w:val="00E76021"/>
    <w:rsid w:val="00E76262"/>
    <w:rsid w:val="00E763A2"/>
    <w:rsid w:val="00E76405"/>
    <w:rsid w:val="00E76451"/>
    <w:rsid w:val="00E764D1"/>
    <w:rsid w:val="00E764FD"/>
    <w:rsid w:val="00E76532"/>
    <w:rsid w:val="00E76801"/>
    <w:rsid w:val="00E76945"/>
    <w:rsid w:val="00E76C2A"/>
    <w:rsid w:val="00E76E12"/>
    <w:rsid w:val="00E770B3"/>
    <w:rsid w:val="00E7712C"/>
    <w:rsid w:val="00E772FE"/>
    <w:rsid w:val="00E77687"/>
    <w:rsid w:val="00E7771A"/>
    <w:rsid w:val="00E77949"/>
    <w:rsid w:val="00E77ADA"/>
    <w:rsid w:val="00E77BB1"/>
    <w:rsid w:val="00E77CF4"/>
    <w:rsid w:val="00E77CFE"/>
    <w:rsid w:val="00E77D47"/>
    <w:rsid w:val="00E77DBA"/>
    <w:rsid w:val="00E77DEC"/>
    <w:rsid w:val="00E77EC7"/>
    <w:rsid w:val="00E77FAE"/>
    <w:rsid w:val="00E80064"/>
    <w:rsid w:val="00E8016F"/>
    <w:rsid w:val="00E80249"/>
    <w:rsid w:val="00E8036B"/>
    <w:rsid w:val="00E80438"/>
    <w:rsid w:val="00E80550"/>
    <w:rsid w:val="00E8061A"/>
    <w:rsid w:val="00E8070D"/>
    <w:rsid w:val="00E80737"/>
    <w:rsid w:val="00E80970"/>
    <w:rsid w:val="00E809EF"/>
    <w:rsid w:val="00E80B11"/>
    <w:rsid w:val="00E80B3F"/>
    <w:rsid w:val="00E80E52"/>
    <w:rsid w:val="00E80ECC"/>
    <w:rsid w:val="00E80F47"/>
    <w:rsid w:val="00E80F90"/>
    <w:rsid w:val="00E813A1"/>
    <w:rsid w:val="00E81459"/>
    <w:rsid w:val="00E81520"/>
    <w:rsid w:val="00E816CE"/>
    <w:rsid w:val="00E816E4"/>
    <w:rsid w:val="00E8190F"/>
    <w:rsid w:val="00E81B60"/>
    <w:rsid w:val="00E81CAF"/>
    <w:rsid w:val="00E81D80"/>
    <w:rsid w:val="00E81EE4"/>
    <w:rsid w:val="00E81EFC"/>
    <w:rsid w:val="00E81F2D"/>
    <w:rsid w:val="00E8200E"/>
    <w:rsid w:val="00E8207E"/>
    <w:rsid w:val="00E8209B"/>
    <w:rsid w:val="00E820C4"/>
    <w:rsid w:val="00E821A5"/>
    <w:rsid w:val="00E82203"/>
    <w:rsid w:val="00E82219"/>
    <w:rsid w:val="00E82251"/>
    <w:rsid w:val="00E8227B"/>
    <w:rsid w:val="00E82394"/>
    <w:rsid w:val="00E8259B"/>
    <w:rsid w:val="00E82651"/>
    <w:rsid w:val="00E8266F"/>
    <w:rsid w:val="00E8299A"/>
    <w:rsid w:val="00E82A2C"/>
    <w:rsid w:val="00E82B68"/>
    <w:rsid w:val="00E82C11"/>
    <w:rsid w:val="00E82C4A"/>
    <w:rsid w:val="00E82C67"/>
    <w:rsid w:val="00E82CE5"/>
    <w:rsid w:val="00E82DD5"/>
    <w:rsid w:val="00E82F5C"/>
    <w:rsid w:val="00E83193"/>
    <w:rsid w:val="00E83326"/>
    <w:rsid w:val="00E83350"/>
    <w:rsid w:val="00E83585"/>
    <w:rsid w:val="00E835BD"/>
    <w:rsid w:val="00E83717"/>
    <w:rsid w:val="00E837F2"/>
    <w:rsid w:val="00E83875"/>
    <w:rsid w:val="00E8391F"/>
    <w:rsid w:val="00E83934"/>
    <w:rsid w:val="00E839D4"/>
    <w:rsid w:val="00E83ABE"/>
    <w:rsid w:val="00E83BA1"/>
    <w:rsid w:val="00E83CF6"/>
    <w:rsid w:val="00E83D20"/>
    <w:rsid w:val="00E83EB8"/>
    <w:rsid w:val="00E83FCD"/>
    <w:rsid w:val="00E8412C"/>
    <w:rsid w:val="00E84161"/>
    <w:rsid w:val="00E84502"/>
    <w:rsid w:val="00E8459E"/>
    <w:rsid w:val="00E84AED"/>
    <w:rsid w:val="00E84B64"/>
    <w:rsid w:val="00E84BE7"/>
    <w:rsid w:val="00E84EBE"/>
    <w:rsid w:val="00E8525F"/>
    <w:rsid w:val="00E855FA"/>
    <w:rsid w:val="00E857A7"/>
    <w:rsid w:val="00E858F6"/>
    <w:rsid w:val="00E85BF0"/>
    <w:rsid w:val="00E85C5D"/>
    <w:rsid w:val="00E8645F"/>
    <w:rsid w:val="00E86506"/>
    <w:rsid w:val="00E86613"/>
    <w:rsid w:val="00E86775"/>
    <w:rsid w:val="00E86A52"/>
    <w:rsid w:val="00E86B10"/>
    <w:rsid w:val="00E86B87"/>
    <w:rsid w:val="00E86C75"/>
    <w:rsid w:val="00E86C8E"/>
    <w:rsid w:val="00E86DBB"/>
    <w:rsid w:val="00E86F12"/>
    <w:rsid w:val="00E86F13"/>
    <w:rsid w:val="00E87142"/>
    <w:rsid w:val="00E87292"/>
    <w:rsid w:val="00E87299"/>
    <w:rsid w:val="00E87317"/>
    <w:rsid w:val="00E873C5"/>
    <w:rsid w:val="00E87515"/>
    <w:rsid w:val="00E875A4"/>
    <w:rsid w:val="00E8765E"/>
    <w:rsid w:val="00E8779B"/>
    <w:rsid w:val="00E87800"/>
    <w:rsid w:val="00E8788C"/>
    <w:rsid w:val="00E8790C"/>
    <w:rsid w:val="00E87970"/>
    <w:rsid w:val="00E87C02"/>
    <w:rsid w:val="00E87C35"/>
    <w:rsid w:val="00E87DDC"/>
    <w:rsid w:val="00E87E6A"/>
    <w:rsid w:val="00E87F9E"/>
    <w:rsid w:val="00E87FAB"/>
    <w:rsid w:val="00E900A3"/>
    <w:rsid w:val="00E900CC"/>
    <w:rsid w:val="00E90138"/>
    <w:rsid w:val="00E90199"/>
    <w:rsid w:val="00E90261"/>
    <w:rsid w:val="00E90265"/>
    <w:rsid w:val="00E9027A"/>
    <w:rsid w:val="00E90281"/>
    <w:rsid w:val="00E9064B"/>
    <w:rsid w:val="00E906EC"/>
    <w:rsid w:val="00E9074E"/>
    <w:rsid w:val="00E90873"/>
    <w:rsid w:val="00E90A6A"/>
    <w:rsid w:val="00E90B61"/>
    <w:rsid w:val="00E90CFF"/>
    <w:rsid w:val="00E90D7D"/>
    <w:rsid w:val="00E90E82"/>
    <w:rsid w:val="00E90FB5"/>
    <w:rsid w:val="00E9105F"/>
    <w:rsid w:val="00E91110"/>
    <w:rsid w:val="00E9118E"/>
    <w:rsid w:val="00E91302"/>
    <w:rsid w:val="00E914A8"/>
    <w:rsid w:val="00E91554"/>
    <w:rsid w:val="00E916AE"/>
    <w:rsid w:val="00E916D9"/>
    <w:rsid w:val="00E91750"/>
    <w:rsid w:val="00E9182D"/>
    <w:rsid w:val="00E91871"/>
    <w:rsid w:val="00E91AC2"/>
    <w:rsid w:val="00E91ADF"/>
    <w:rsid w:val="00E91C6F"/>
    <w:rsid w:val="00E91C85"/>
    <w:rsid w:val="00E91E6A"/>
    <w:rsid w:val="00E91F00"/>
    <w:rsid w:val="00E91F06"/>
    <w:rsid w:val="00E91F55"/>
    <w:rsid w:val="00E92108"/>
    <w:rsid w:val="00E9224B"/>
    <w:rsid w:val="00E9224D"/>
    <w:rsid w:val="00E92322"/>
    <w:rsid w:val="00E924E0"/>
    <w:rsid w:val="00E924E6"/>
    <w:rsid w:val="00E927E7"/>
    <w:rsid w:val="00E928C2"/>
    <w:rsid w:val="00E929D9"/>
    <w:rsid w:val="00E92A06"/>
    <w:rsid w:val="00E92A15"/>
    <w:rsid w:val="00E92D73"/>
    <w:rsid w:val="00E92E8D"/>
    <w:rsid w:val="00E92F85"/>
    <w:rsid w:val="00E9301F"/>
    <w:rsid w:val="00E931A9"/>
    <w:rsid w:val="00E933B4"/>
    <w:rsid w:val="00E93549"/>
    <w:rsid w:val="00E936DE"/>
    <w:rsid w:val="00E93779"/>
    <w:rsid w:val="00E9377C"/>
    <w:rsid w:val="00E93787"/>
    <w:rsid w:val="00E93A79"/>
    <w:rsid w:val="00E93B75"/>
    <w:rsid w:val="00E93D21"/>
    <w:rsid w:val="00E93D9C"/>
    <w:rsid w:val="00E93F4C"/>
    <w:rsid w:val="00E94148"/>
    <w:rsid w:val="00E942FE"/>
    <w:rsid w:val="00E94402"/>
    <w:rsid w:val="00E944E1"/>
    <w:rsid w:val="00E944FD"/>
    <w:rsid w:val="00E945F9"/>
    <w:rsid w:val="00E94641"/>
    <w:rsid w:val="00E94670"/>
    <w:rsid w:val="00E94889"/>
    <w:rsid w:val="00E94944"/>
    <w:rsid w:val="00E94A9C"/>
    <w:rsid w:val="00E94AE7"/>
    <w:rsid w:val="00E94B49"/>
    <w:rsid w:val="00E94CAD"/>
    <w:rsid w:val="00E94D37"/>
    <w:rsid w:val="00E94F50"/>
    <w:rsid w:val="00E95361"/>
    <w:rsid w:val="00E953DE"/>
    <w:rsid w:val="00E9548D"/>
    <w:rsid w:val="00E9548E"/>
    <w:rsid w:val="00E9559A"/>
    <w:rsid w:val="00E955D7"/>
    <w:rsid w:val="00E956E5"/>
    <w:rsid w:val="00E9596F"/>
    <w:rsid w:val="00E959EE"/>
    <w:rsid w:val="00E95A59"/>
    <w:rsid w:val="00E95DFA"/>
    <w:rsid w:val="00E95E1A"/>
    <w:rsid w:val="00E95E89"/>
    <w:rsid w:val="00E95EE3"/>
    <w:rsid w:val="00E95F75"/>
    <w:rsid w:val="00E96015"/>
    <w:rsid w:val="00E96211"/>
    <w:rsid w:val="00E96316"/>
    <w:rsid w:val="00E96330"/>
    <w:rsid w:val="00E964F4"/>
    <w:rsid w:val="00E965D2"/>
    <w:rsid w:val="00E9672A"/>
    <w:rsid w:val="00E9688D"/>
    <w:rsid w:val="00E968DD"/>
    <w:rsid w:val="00E968E4"/>
    <w:rsid w:val="00E969FC"/>
    <w:rsid w:val="00E96A16"/>
    <w:rsid w:val="00E96CD5"/>
    <w:rsid w:val="00E96E12"/>
    <w:rsid w:val="00E96EBD"/>
    <w:rsid w:val="00E97115"/>
    <w:rsid w:val="00E971BD"/>
    <w:rsid w:val="00E97311"/>
    <w:rsid w:val="00E9731E"/>
    <w:rsid w:val="00E9740C"/>
    <w:rsid w:val="00E976D4"/>
    <w:rsid w:val="00E97787"/>
    <w:rsid w:val="00E977B1"/>
    <w:rsid w:val="00E978CC"/>
    <w:rsid w:val="00E97D94"/>
    <w:rsid w:val="00E97DC5"/>
    <w:rsid w:val="00EA0466"/>
    <w:rsid w:val="00EA0688"/>
    <w:rsid w:val="00EA07CA"/>
    <w:rsid w:val="00EA07CE"/>
    <w:rsid w:val="00EA0A74"/>
    <w:rsid w:val="00EA0AA1"/>
    <w:rsid w:val="00EA0AB6"/>
    <w:rsid w:val="00EA0B7B"/>
    <w:rsid w:val="00EA0D07"/>
    <w:rsid w:val="00EA0D1D"/>
    <w:rsid w:val="00EA0F25"/>
    <w:rsid w:val="00EA0FD1"/>
    <w:rsid w:val="00EA14DB"/>
    <w:rsid w:val="00EA15F8"/>
    <w:rsid w:val="00EA1660"/>
    <w:rsid w:val="00EA16F8"/>
    <w:rsid w:val="00EA18B3"/>
    <w:rsid w:val="00EA1B72"/>
    <w:rsid w:val="00EA1BDF"/>
    <w:rsid w:val="00EA1EB2"/>
    <w:rsid w:val="00EA1FF1"/>
    <w:rsid w:val="00EA212B"/>
    <w:rsid w:val="00EA23A1"/>
    <w:rsid w:val="00EA2748"/>
    <w:rsid w:val="00EA2A55"/>
    <w:rsid w:val="00EA2AD5"/>
    <w:rsid w:val="00EA2ADE"/>
    <w:rsid w:val="00EA2B0F"/>
    <w:rsid w:val="00EA2BDD"/>
    <w:rsid w:val="00EA2CD3"/>
    <w:rsid w:val="00EA2EA4"/>
    <w:rsid w:val="00EA2F79"/>
    <w:rsid w:val="00EA30B0"/>
    <w:rsid w:val="00EA310F"/>
    <w:rsid w:val="00EA32A0"/>
    <w:rsid w:val="00EA372B"/>
    <w:rsid w:val="00EA3732"/>
    <w:rsid w:val="00EA3764"/>
    <w:rsid w:val="00EA38BE"/>
    <w:rsid w:val="00EA3B3E"/>
    <w:rsid w:val="00EA3CE7"/>
    <w:rsid w:val="00EA3D47"/>
    <w:rsid w:val="00EA3D80"/>
    <w:rsid w:val="00EA3F14"/>
    <w:rsid w:val="00EA4136"/>
    <w:rsid w:val="00EA4140"/>
    <w:rsid w:val="00EA4301"/>
    <w:rsid w:val="00EA43E8"/>
    <w:rsid w:val="00EA4469"/>
    <w:rsid w:val="00EA473C"/>
    <w:rsid w:val="00EA480F"/>
    <w:rsid w:val="00EA4828"/>
    <w:rsid w:val="00EA4852"/>
    <w:rsid w:val="00EA493A"/>
    <w:rsid w:val="00EA49B8"/>
    <w:rsid w:val="00EA49C5"/>
    <w:rsid w:val="00EA4B75"/>
    <w:rsid w:val="00EA4B9F"/>
    <w:rsid w:val="00EA4D7F"/>
    <w:rsid w:val="00EA4F38"/>
    <w:rsid w:val="00EA4F48"/>
    <w:rsid w:val="00EA4FDA"/>
    <w:rsid w:val="00EA5034"/>
    <w:rsid w:val="00EA509B"/>
    <w:rsid w:val="00EA5142"/>
    <w:rsid w:val="00EA549B"/>
    <w:rsid w:val="00EA54A5"/>
    <w:rsid w:val="00EA54F8"/>
    <w:rsid w:val="00EA5515"/>
    <w:rsid w:val="00EA55E7"/>
    <w:rsid w:val="00EA5630"/>
    <w:rsid w:val="00EA56B3"/>
    <w:rsid w:val="00EA573B"/>
    <w:rsid w:val="00EA57D0"/>
    <w:rsid w:val="00EA58EE"/>
    <w:rsid w:val="00EA59A6"/>
    <w:rsid w:val="00EA5A0F"/>
    <w:rsid w:val="00EA5BB3"/>
    <w:rsid w:val="00EA5CC4"/>
    <w:rsid w:val="00EA5DC6"/>
    <w:rsid w:val="00EA5E2A"/>
    <w:rsid w:val="00EA5FBF"/>
    <w:rsid w:val="00EA60B0"/>
    <w:rsid w:val="00EA6263"/>
    <w:rsid w:val="00EA63BF"/>
    <w:rsid w:val="00EA640B"/>
    <w:rsid w:val="00EA6481"/>
    <w:rsid w:val="00EA64E8"/>
    <w:rsid w:val="00EA64EE"/>
    <w:rsid w:val="00EA6565"/>
    <w:rsid w:val="00EA65BF"/>
    <w:rsid w:val="00EA65D4"/>
    <w:rsid w:val="00EA66DA"/>
    <w:rsid w:val="00EA6739"/>
    <w:rsid w:val="00EA674A"/>
    <w:rsid w:val="00EA69BC"/>
    <w:rsid w:val="00EA69CC"/>
    <w:rsid w:val="00EA69D3"/>
    <w:rsid w:val="00EA6ADD"/>
    <w:rsid w:val="00EA6C33"/>
    <w:rsid w:val="00EA6C43"/>
    <w:rsid w:val="00EA6DD6"/>
    <w:rsid w:val="00EA70E3"/>
    <w:rsid w:val="00EA7415"/>
    <w:rsid w:val="00EA74F0"/>
    <w:rsid w:val="00EA75CA"/>
    <w:rsid w:val="00EA76AB"/>
    <w:rsid w:val="00EA7722"/>
    <w:rsid w:val="00EA7AEE"/>
    <w:rsid w:val="00EA7CB6"/>
    <w:rsid w:val="00EA7CE9"/>
    <w:rsid w:val="00EA7E71"/>
    <w:rsid w:val="00EA7FE9"/>
    <w:rsid w:val="00EB0073"/>
    <w:rsid w:val="00EB0410"/>
    <w:rsid w:val="00EB042E"/>
    <w:rsid w:val="00EB0525"/>
    <w:rsid w:val="00EB0599"/>
    <w:rsid w:val="00EB0656"/>
    <w:rsid w:val="00EB06B9"/>
    <w:rsid w:val="00EB0775"/>
    <w:rsid w:val="00EB08AB"/>
    <w:rsid w:val="00EB09D2"/>
    <w:rsid w:val="00EB0A4D"/>
    <w:rsid w:val="00EB0CEC"/>
    <w:rsid w:val="00EB0DB6"/>
    <w:rsid w:val="00EB0EC7"/>
    <w:rsid w:val="00EB117B"/>
    <w:rsid w:val="00EB121D"/>
    <w:rsid w:val="00EB128B"/>
    <w:rsid w:val="00EB1320"/>
    <w:rsid w:val="00EB170A"/>
    <w:rsid w:val="00EB174D"/>
    <w:rsid w:val="00EB1790"/>
    <w:rsid w:val="00EB1A8E"/>
    <w:rsid w:val="00EB1D26"/>
    <w:rsid w:val="00EB1D3E"/>
    <w:rsid w:val="00EB1DF6"/>
    <w:rsid w:val="00EB1ECA"/>
    <w:rsid w:val="00EB1F45"/>
    <w:rsid w:val="00EB1FBD"/>
    <w:rsid w:val="00EB204A"/>
    <w:rsid w:val="00EB20A6"/>
    <w:rsid w:val="00EB2270"/>
    <w:rsid w:val="00EB2449"/>
    <w:rsid w:val="00EB24A5"/>
    <w:rsid w:val="00EB2522"/>
    <w:rsid w:val="00EB25BA"/>
    <w:rsid w:val="00EB2A19"/>
    <w:rsid w:val="00EB2BAA"/>
    <w:rsid w:val="00EB2C4B"/>
    <w:rsid w:val="00EB2FF3"/>
    <w:rsid w:val="00EB3169"/>
    <w:rsid w:val="00EB33EA"/>
    <w:rsid w:val="00EB3422"/>
    <w:rsid w:val="00EB3656"/>
    <w:rsid w:val="00EB3795"/>
    <w:rsid w:val="00EB3955"/>
    <w:rsid w:val="00EB396D"/>
    <w:rsid w:val="00EB3B06"/>
    <w:rsid w:val="00EB3D49"/>
    <w:rsid w:val="00EB3F18"/>
    <w:rsid w:val="00EB41E2"/>
    <w:rsid w:val="00EB42ED"/>
    <w:rsid w:val="00EB432C"/>
    <w:rsid w:val="00EB437E"/>
    <w:rsid w:val="00EB43C2"/>
    <w:rsid w:val="00EB447F"/>
    <w:rsid w:val="00EB44B2"/>
    <w:rsid w:val="00EB4502"/>
    <w:rsid w:val="00EB4666"/>
    <w:rsid w:val="00EB4672"/>
    <w:rsid w:val="00EB48E9"/>
    <w:rsid w:val="00EB4A03"/>
    <w:rsid w:val="00EB4AAD"/>
    <w:rsid w:val="00EB4CA5"/>
    <w:rsid w:val="00EB4CDF"/>
    <w:rsid w:val="00EB4DAB"/>
    <w:rsid w:val="00EB5120"/>
    <w:rsid w:val="00EB51F2"/>
    <w:rsid w:val="00EB5272"/>
    <w:rsid w:val="00EB52AE"/>
    <w:rsid w:val="00EB541F"/>
    <w:rsid w:val="00EB55A5"/>
    <w:rsid w:val="00EB562E"/>
    <w:rsid w:val="00EB57C9"/>
    <w:rsid w:val="00EB581A"/>
    <w:rsid w:val="00EB588D"/>
    <w:rsid w:val="00EB5941"/>
    <w:rsid w:val="00EB59D1"/>
    <w:rsid w:val="00EB5A0F"/>
    <w:rsid w:val="00EB5A37"/>
    <w:rsid w:val="00EB5B52"/>
    <w:rsid w:val="00EB5B9C"/>
    <w:rsid w:val="00EB5CA6"/>
    <w:rsid w:val="00EB5E90"/>
    <w:rsid w:val="00EB5FAC"/>
    <w:rsid w:val="00EB6088"/>
    <w:rsid w:val="00EB60CD"/>
    <w:rsid w:val="00EB61DD"/>
    <w:rsid w:val="00EB6424"/>
    <w:rsid w:val="00EB6438"/>
    <w:rsid w:val="00EB6475"/>
    <w:rsid w:val="00EB6585"/>
    <w:rsid w:val="00EB6877"/>
    <w:rsid w:val="00EB68BA"/>
    <w:rsid w:val="00EB68F6"/>
    <w:rsid w:val="00EB69F1"/>
    <w:rsid w:val="00EB6C79"/>
    <w:rsid w:val="00EB6E63"/>
    <w:rsid w:val="00EB6E99"/>
    <w:rsid w:val="00EB6F7D"/>
    <w:rsid w:val="00EB7008"/>
    <w:rsid w:val="00EB710A"/>
    <w:rsid w:val="00EB7127"/>
    <w:rsid w:val="00EB7249"/>
    <w:rsid w:val="00EB731E"/>
    <w:rsid w:val="00EB7386"/>
    <w:rsid w:val="00EB73D5"/>
    <w:rsid w:val="00EB74A8"/>
    <w:rsid w:val="00EB7541"/>
    <w:rsid w:val="00EB7564"/>
    <w:rsid w:val="00EB7687"/>
    <w:rsid w:val="00EB76C6"/>
    <w:rsid w:val="00EB7771"/>
    <w:rsid w:val="00EB7B84"/>
    <w:rsid w:val="00EB7E32"/>
    <w:rsid w:val="00EC0059"/>
    <w:rsid w:val="00EC00E0"/>
    <w:rsid w:val="00EC0224"/>
    <w:rsid w:val="00EC02E7"/>
    <w:rsid w:val="00EC02E9"/>
    <w:rsid w:val="00EC0328"/>
    <w:rsid w:val="00EC065C"/>
    <w:rsid w:val="00EC0665"/>
    <w:rsid w:val="00EC073E"/>
    <w:rsid w:val="00EC0B8A"/>
    <w:rsid w:val="00EC0C30"/>
    <w:rsid w:val="00EC0CDC"/>
    <w:rsid w:val="00EC0E3D"/>
    <w:rsid w:val="00EC0F39"/>
    <w:rsid w:val="00EC127A"/>
    <w:rsid w:val="00EC12EA"/>
    <w:rsid w:val="00EC132A"/>
    <w:rsid w:val="00EC144C"/>
    <w:rsid w:val="00EC1598"/>
    <w:rsid w:val="00EC1816"/>
    <w:rsid w:val="00EC1848"/>
    <w:rsid w:val="00EC1C86"/>
    <w:rsid w:val="00EC1CEC"/>
    <w:rsid w:val="00EC1FCD"/>
    <w:rsid w:val="00EC2162"/>
    <w:rsid w:val="00EC21EF"/>
    <w:rsid w:val="00EC21F6"/>
    <w:rsid w:val="00EC2205"/>
    <w:rsid w:val="00EC2506"/>
    <w:rsid w:val="00EC250F"/>
    <w:rsid w:val="00EC2690"/>
    <w:rsid w:val="00EC2694"/>
    <w:rsid w:val="00EC28DD"/>
    <w:rsid w:val="00EC2908"/>
    <w:rsid w:val="00EC2A57"/>
    <w:rsid w:val="00EC2B9D"/>
    <w:rsid w:val="00EC2BC0"/>
    <w:rsid w:val="00EC2DF3"/>
    <w:rsid w:val="00EC2FC4"/>
    <w:rsid w:val="00EC30C8"/>
    <w:rsid w:val="00EC3215"/>
    <w:rsid w:val="00EC3295"/>
    <w:rsid w:val="00EC3445"/>
    <w:rsid w:val="00EC378D"/>
    <w:rsid w:val="00EC3856"/>
    <w:rsid w:val="00EC3899"/>
    <w:rsid w:val="00EC38A9"/>
    <w:rsid w:val="00EC3A3C"/>
    <w:rsid w:val="00EC3BB2"/>
    <w:rsid w:val="00EC3C9F"/>
    <w:rsid w:val="00EC3F43"/>
    <w:rsid w:val="00EC41EE"/>
    <w:rsid w:val="00EC437E"/>
    <w:rsid w:val="00EC4382"/>
    <w:rsid w:val="00EC43DE"/>
    <w:rsid w:val="00EC446E"/>
    <w:rsid w:val="00EC454D"/>
    <w:rsid w:val="00EC47C5"/>
    <w:rsid w:val="00EC480F"/>
    <w:rsid w:val="00EC4835"/>
    <w:rsid w:val="00EC4939"/>
    <w:rsid w:val="00EC4A5D"/>
    <w:rsid w:val="00EC4A79"/>
    <w:rsid w:val="00EC4B6E"/>
    <w:rsid w:val="00EC4C39"/>
    <w:rsid w:val="00EC4D13"/>
    <w:rsid w:val="00EC4F77"/>
    <w:rsid w:val="00EC5006"/>
    <w:rsid w:val="00EC5190"/>
    <w:rsid w:val="00EC5383"/>
    <w:rsid w:val="00EC54E1"/>
    <w:rsid w:val="00EC54F1"/>
    <w:rsid w:val="00EC55C3"/>
    <w:rsid w:val="00EC58CB"/>
    <w:rsid w:val="00EC5A21"/>
    <w:rsid w:val="00EC5A3E"/>
    <w:rsid w:val="00EC5A72"/>
    <w:rsid w:val="00EC5B37"/>
    <w:rsid w:val="00EC5B59"/>
    <w:rsid w:val="00EC5C02"/>
    <w:rsid w:val="00EC5D84"/>
    <w:rsid w:val="00EC5F3F"/>
    <w:rsid w:val="00EC646D"/>
    <w:rsid w:val="00EC6508"/>
    <w:rsid w:val="00EC66B8"/>
    <w:rsid w:val="00EC67B9"/>
    <w:rsid w:val="00EC686C"/>
    <w:rsid w:val="00EC68A3"/>
    <w:rsid w:val="00EC6998"/>
    <w:rsid w:val="00EC6B48"/>
    <w:rsid w:val="00EC6B91"/>
    <w:rsid w:val="00EC6CE9"/>
    <w:rsid w:val="00EC6D5F"/>
    <w:rsid w:val="00EC6DE9"/>
    <w:rsid w:val="00EC6E48"/>
    <w:rsid w:val="00EC6F1A"/>
    <w:rsid w:val="00EC6F84"/>
    <w:rsid w:val="00EC7555"/>
    <w:rsid w:val="00EC75ED"/>
    <w:rsid w:val="00EC77A9"/>
    <w:rsid w:val="00EC7843"/>
    <w:rsid w:val="00EC7854"/>
    <w:rsid w:val="00EC78F4"/>
    <w:rsid w:val="00EC79AE"/>
    <w:rsid w:val="00EC7AE0"/>
    <w:rsid w:val="00EC7C5D"/>
    <w:rsid w:val="00EC7CB9"/>
    <w:rsid w:val="00EC7D80"/>
    <w:rsid w:val="00EC7F72"/>
    <w:rsid w:val="00EC7FC2"/>
    <w:rsid w:val="00ED0150"/>
    <w:rsid w:val="00ED0347"/>
    <w:rsid w:val="00ED03F8"/>
    <w:rsid w:val="00ED0513"/>
    <w:rsid w:val="00ED0712"/>
    <w:rsid w:val="00ED09FE"/>
    <w:rsid w:val="00ED0B2C"/>
    <w:rsid w:val="00ED0CB2"/>
    <w:rsid w:val="00ED0CFC"/>
    <w:rsid w:val="00ED0F2B"/>
    <w:rsid w:val="00ED0FC0"/>
    <w:rsid w:val="00ED1125"/>
    <w:rsid w:val="00ED151A"/>
    <w:rsid w:val="00ED157E"/>
    <w:rsid w:val="00ED1731"/>
    <w:rsid w:val="00ED175A"/>
    <w:rsid w:val="00ED17A8"/>
    <w:rsid w:val="00ED1885"/>
    <w:rsid w:val="00ED1B19"/>
    <w:rsid w:val="00ED1B58"/>
    <w:rsid w:val="00ED1CC3"/>
    <w:rsid w:val="00ED1D9F"/>
    <w:rsid w:val="00ED1DC7"/>
    <w:rsid w:val="00ED1E4A"/>
    <w:rsid w:val="00ED1E9D"/>
    <w:rsid w:val="00ED1F03"/>
    <w:rsid w:val="00ED211A"/>
    <w:rsid w:val="00ED2255"/>
    <w:rsid w:val="00ED279F"/>
    <w:rsid w:val="00ED2A6F"/>
    <w:rsid w:val="00ED2B41"/>
    <w:rsid w:val="00ED2C1E"/>
    <w:rsid w:val="00ED2CD9"/>
    <w:rsid w:val="00ED2D1F"/>
    <w:rsid w:val="00ED2F6B"/>
    <w:rsid w:val="00ED3082"/>
    <w:rsid w:val="00ED3174"/>
    <w:rsid w:val="00ED334F"/>
    <w:rsid w:val="00ED3548"/>
    <w:rsid w:val="00ED354F"/>
    <w:rsid w:val="00ED3729"/>
    <w:rsid w:val="00ED386F"/>
    <w:rsid w:val="00ED390A"/>
    <w:rsid w:val="00ED392F"/>
    <w:rsid w:val="00ED3953"/>
    <w:rsid w:val="00ED39F9"/>
    <w:rsid w:val="00ED3C05"/>
    <w:rsid w:val="00ED3C0A"/>
    <w:rsid w:val="00ED3C20"/>
    <w:rsid w:val="00ED3D79"/>
    <w:rsid w:val="00ED4024"/>
    <w:rsid w:val="00ED408E"/>
    <w:rsid w:val="00ED4269"/>
    <w:rsid w:val="00ED4285"/>
    <w:rsid w:val="00ED4289"/>
    <w:rsid w:val="00ED456F"/>
    <w:rsid w:val="00ED457C"/>
    <w:rsid w:val="00ED460C"/>
    <w:rsid w:val="00ED4638"/>
    <w:rsid w:val="00ED487A"/>
    <w:rsid w:val="00ED48BC"/>
    <w:rsid w:val="00ED48CA"/>
    <w:rsid w:val="00ED4CA1"/>
    <w:rsid w:val="00ED4E8C"/>
    <w:rsid w:val="00ED5067"/>
    <w:rsid w:val="00ED5075"/>
    <w:rsid w:val="00ED50CE"/>
    <w:rsid w:val="00ED510D"/>
    <w:rsid w:val="00ED51DF"/>
    <w:rsid w:val="00ED531A"/>
    <w:rsid w:val="00ED55E5"/>
    <w:rsid w:val="00ED564C"/>
    <w:rsid w:val="00ED574B"/>
    <w:rsid w:val="00ED5804"/>
    <w:rsid w:val="00ED580B"/>
    <w:rsid w:val="00ED59A6"/>
    <w:rsid w:val="00ED59F7"/>
    <w:rsid w:val="00ED5A19"/>
    <w:rsid w:val="00ED5AC2"/>
    <w:rsid w:val="00ED5BD1"/>
    <w:rsid w:val="00ED5C15"/>
    <w:rsid w:val="00ED5CA7"/>
    <w:rsid w:val="00ED5D9F"/>
    <w:rsid w:val="00ED5E00"/>
    <w:rsid w:val="00ED60ED"/>
    <w:rsid w:val="00ED619D"/>
    <w:rsid w:val="00ED61E5"/>
    <w:rsid w:val="00ED6216"/>
    <w:rsid w:val="00ED6526"/>
    <w:rsid w:val="00ED654B"/>
    <w:rsid w:val="00ED6659"/>
    <w:rsid w:val="00ED67B1"/>
    <w:rsid w:val="00ED681E"/>
    <w:rsid w:val="00ED6831"/>
    <w:rsid w:val="00ED68A2"/>
    <w:rsid w:val="00ED6A9E"/>
    <w:rsid w:val="00ED6AAB"/>
    <w:rsid w:val="00ED6D85"/>
    <w:rsid w:val="00ED6DE2"/>
    <w:rsid w:val="00ED6ED8"/>
    <w:rsid w:val="00ED6F81"/>
    <w:rsid w:val="00ED7599"/>
    <w:rsid w:val="00ED75B7"/>
    <w:rsid w:val="00ED75C0"/>
    <w:rsid w:val="00ED77CB"/>
    <w:rsid w:val="00ED78CA"/>
    <w:rsid w:val="00ED7A2F"/>
    <w:rsid w:val="00ED7A6B"/>
    <w:rsid w:val="00ED7BC0"/>
    <w:rsid w:val="00ED7C16"/>
    <w:rsid w:val="00ED7D78"/>
    <w:rsid w:val="00ED7D9F"/>
    <w:rsid w:val="00ED7E00"/>
    <w:rsid w:val="00ED7E75"/>
    <w:rsid w:val="00EE00B4"/>
    <w:rsid w:val="00EE00FA"/>
    <w:rsid w:val="00EE0247"/>
    <w:rsid w:val="00EE0416"/>
    <w:rsid w:val="00EE0469"/>
    <w:rsid w:val="00EE04E3"/>
    <w:rsid w:val="00EE0573"/>
    <w:rsid w:val="00EE0580"/>
    <w:rsid w:val="00EE0A13"/>
    <w:rsid w:val="00EE0A7C"/>
    <w:rsid w:val="00EE0D19"/>
    <w:rsid w:val="00EE0E43"/>
    <w:rsid w:val="00EE0F64"/>
    <w:rsid w:val="00EE117E"/>
    <w:rsid w:val="00EE135B"/>
    <w:rsid w:val="00EE1378"/>
    <w:rsid w:val="00EE139C"/>
    <w:rsid w:val="00EE14C8"/>
    <w:rsid w:val="00EE1634"/>
    <w:rsid w:val="00EE172A"/>
    <w:rsid w:val="00EE185C"/>
    <w:rsid w:val="00EE18AD"/>
    <w:rsid w:val="00EE1986"/>
    <w:rsid w:val="00EE1BF4"/>
    <w:rsid w:val="00EE1D02"/>
    <w:rsid w:val="00EE1DD7"/>
    <w:rsid w:val="00EE1E9F"/>
    <w:rsid w:val="00EE1EC4"/>
    <w:rsid w:val="00EE1F61"/>
    <w:rsid w:val="00EE1F8B"/>
    <w:rsid w:val="00EE20D6"/>
    <w:rsid w:val="00EE2194"/>
    <w:rsid w:val="00EE2227"/>
    <w:rsid w:val="00EE226A"/>
    <w:rsid w:val="00EE22D4"/>
    <w:rsid w:val="00EE230F"/>
    <w:rsid w:val="00EE25E6"/>
    <w:rsid w:val="00EE2783"/>
    <w:rsid w:val="00EE2954"/>
    <w:rsid w:val="00EE2B28"/>
    <w:rsid w:val="00EE2B68"/>
    <w:rsid w:val="00EE2C7A"/>
    <w:rsid w:val="00EE2CD3"/>
    <w:rsid w:val="00EE2CE5"/>
    <w:rsid w:val="00EE2D48"/>
    <w:rsid w:val="00EE2FAF"/>
    <w:rsid w:val="00EE30B3"/>
    <w:rsid w:val="00EE31A2"/>
    <w:rsid w:val="00EE3203"/>
    <w:rsid w:val="00EE3254"/>
    <w:rsid w:val="00EE33B1"/>
    <w:rsid w:val="00EE33D3"/>
    <w:rsid w:val="00EE3666"/>
    <w:rsid w:val="00EE3804"/>
    <w:rsid w:val="00EE3861"/>
    <w:rsid w:val="00EE38A8"/>
    <w:rsid w:val="00EE3A80"/>
    <w:rsid w:val="00EE3B73"/>
    <w:rsid w:val="00EE3BD3"/>
    <w:rsid w:val="00EE3BFC"/>
    <w:rsid w:val="00EE3D8D"/>
    <w:rsid w:val="00EE3FC5"/>
    <w:rsid w:val="00EE41FC"/>
    <w:rsid w:val="00EE4251"/>
    <w:rsid w:val="00EE43A5"/>
    <w:rsid w:val="00EE4605"/>
    <w:rsid w:val="00EE468F"/>
    <w:rsid w:val="00EE47E8"/>
    <w:rsid w:val="00EE4931"/>
    <w:rsid w:val="00EE4F20"/>
    <w:rsid w:val="00EE4F4B"/>
    <w:rsid w:val="00EE4FBA"/>
    <w:rsid w:val="00EE5396"/>
    <w:rsid w:val="00EE54DA"/>
    <w:rsid w:val="00EE54F2"/>
    <w:rsid w:val="00EE54F5"/>
    <w:rsid w:val="00EE56D8"/>
    <w:rsid w:val="00EE5830"/>
    <w:rsid w:val="00EE5AA5"/>
    <w:rsid w:val="00EE5BBC"/>
    <w:rsid w:val="00EE5C41"/>
    <w:rsid w:val="00EE5DD3"/>
    <w:rsid w:val="00EE5DFE"/>
    <w:rsid w:val="00EE5F78"/>
    <w:rsid w:val="00EE602B"/>
    <w:rsid w:val="00EE60C5"/>
    <w:rsid w:val="00EE6114"/>
    <w:rsid w:val="00EE6151"/>
    <w:rsid w:val="00EE61D0"/>
    <w:rsid w:val="00EE624A"/>
    <w:rsid w:val="00EE644A"/>
    <w:rsid w:val="00EE645C"/>
    <w:rsid w:val="00EE66C4"/>
    <w:rsid w:val="00EE6781"/>
    <w:rsid w:val="00EE6934"/>
    <w:rsid w:val="00EE6B8C"/>
    <w:rsid w:val="00EE6C04"/>
    <w:rsid w:val="00EE6E2A"/>
    <w:rsid w:val="00EE6E4D"/>
    <w:rsid w:val="00EE6ECA"/>
    <w:rsid w:val="00EE6FAA"/>
    <w:rsid w:val="00EE6FE8"/>
    <w:rsid w:val="00EE71F9"/>
    <w:rsid w:val="00EE726D"/>
    <w:rsid w:val="00EE7289"/>
    <w:rsid w:val="00EE736F"/>
    <w:rsid w:val="00EE747D"/>
    <w:rsid w:val="00EE74EF"/>
    <w:rsid w:val="00EE751B"/>
    <w:rsid w:val="00EE7542"/>
    <w:rsid w:val="00EE764D"/>
    <w:rsid w:val="00EE7667"/>
    <w:rsid w:val="00EE7E5A"/>
    <w:rsid w:val="00EE7FAB"/>
    <w:rsid w:val="00EF0001"/>
    <w:rsid w:val="00EF00D7"/>
    <w:rsid w:val="00EF0254"/>
    <w:rsid w:val="00EF034A"/>
    <w:rsid w:val="00EF03CF"/>
    <w:rsid w:val="00EF046C"/>
    <w:rsid w:val="00EF049A"/>
    <w:rsid w:val="00EF0516"/>
    <w:rsid w:val="00EF0559"/>
    <w:rsid w:val="00EF080C"/>
    <w:rsid w:val="00EF0A39"/>
    <w:rsid w:val="00EF0A43"/>
    <w:rsid w:val="00EF0B38"/>
    <w:rsid w:val="00EF0BF4"/>
    <w:rsid w:val="00EF0C3E"/>
    <w:rsid w:val="00EF0DFC"/>
    <w:rsid w:val="00EF0E63"/>
    <w:rsid w:val="00EF119C"/>
    <w:rsid w:val="00EF1248"/>
    <w:rsid w:val="00EF125F"/>
    <w:rsid w:val="00EF1753"/>
    <w:rsid w:val="00EF18BD"/>
    <w:rsid w:val="00EF1AF7"/>
    <w:rsid w:val="00EF1B06"/>
    <w:rsid w:val="00EF1B83"/>
    <w:rsid w:val="00EF1C0B"/>
    <w:rsid w:val="00EF1CB6"/>
    <w:rsid w:val="00EF1DE7"/>
    <w:rsid w:val="00EF1E13"/>
    <w:rsid w:val="00EF1ED2"/>
    <w:rsid w:val="00EF1F07"/>
    <w:rsid w:val="00EF2130"/>
    <w:rsid w:val="00EF2173"/>
    <w:rsid w:val="00EF2352"/>
    <w:rsid w:val="00EF23DD"/>
    <w:rsid w:val="00EF25D8"/>
    <w:rsid w:val="00EF276F"/>
    <w:rsid w:val="00EF27E3"/>
    <w:rsid w:val="00EF284D"/>
    <w:rsid w:val="00EF2879"/>
    <w:rsid w:val="00EF2995"/>
    <w:rsid w:val="00EF29D3"/>
    <w:rsid w:val="00EF2AE6"/>
    <w:rsid w:val="00EF2BA8"/>
    <w:rsid w:val="00EF2C0B"/>
    <w:rsid w:val="00EF2D9C"/>
    <w:rsid w:val="00EF2FC1"/>
    <w:rsid w:val="00EF31B2"/>
    <w:rsid w:val="00EF3297"/>
    <w:rsid w:val="00EF358D"/>
    <w:rsid w:val="00EF3687"/>
    <w:rsid w:val="00EF368B"/>
    <w:rsid w:val="00EF389A"/>
    <w:rsid w:val="00EF3F12"/>
    <w:rsid w:val="00EF4063"/>
    <w:rsid w:val="00EF4176"/>
    <w:rsid w:val="00EF42A5"/>
    <w:rsid w:val="00EF44C4"/>
    <w:rsid w:val="00EF4507"/>
    <w:rsid w:val="00EF4581"/>
    <w:rsid w:val="00EF46BF"/>
    <w:rsid w:val="00EF480E"/>
    <w:rsid w:val="00EF4B43"/>
    <w:rsid w:val="00EF4B83"/>
    <w:rsid w:val="00EF4BF4"/>
    <w:rsid w:val="00EF4C3C"/>
    <w:rsid w:val="00EF4D2B"/>
    <w:rsid w:val="00EF4DAC"/>
    <w:rsid w:val="00EF4ECC"/>
    <w:rsid w:val="00EF4EDF"/>
    <w:rsid w:val="00EF4F44"/>
    <w:rsid w:val="00EF4FB2"/>
    <w:rsid w:val="00EF506A"/>
    <w:rsid w:val="00EF5090"/>
    <w:rsid w:val="00EF5252"/>
    <w:rsid w:val="00EF529D"/>
    <w:rsid w:val="00EF5345"/>
    <w:rsid w:val="00EF5731"/>
    <w:rsid w:val="00EF585B"/>
    <w:rsid w:val="00EF59A8"/>
    <w:rsid w:val="00EF5C10"/>
    <w:rsid w:val="00EF5C3F"/>
    <w:rsid w:val="00EF5FA6"/>
    <w:rsid w:val="00EF60A4"/>
    <w:rsid w:val="00EF618E"/>
    <w:rsid w:val="00EF6484"/>
    <w:rsid w:val="00EF6534"/>
    <w:rsid w:val="00EF6854"/>
    <w:rsid w:val="00EF6884"/>
    <w:rsid w:val="00EF6924"/>
    <w:rsid w:val="00EF6A2D"/>
    <w:rsid w:val="00EF6CF9"/>
    <w:rsid w:val="00EF6D1C"/>
    <w:rsid w:val="00EF6DAB"/>
    <w:rsid w:val="00EF6EF5"/>
    <w:rsid w:val="00EF6EFF"/>
    <w:rsid w:val="00EF6F9F"/>
    <w:rsid w:val="00EF6FA7"/>
    <w:rsid w:val="00EF713B"/>
    <w:rsid w:val="00EF731C"/>
    <w:rsid w:val="00EF743D"/>
    <w:rsid w:val="00EF7538"/>
    <w:rsid w:val="00EF7547"/>
    <w:rsid w:val="00EF75A5"/>
    <w:rsid w:val="00EF76CC"/>
    <w:rsid w:val="00EF76EA"/>
    <w:rsid w:val="00EF7723"/>
    <w:rsid w:val="00EF780F"/>
    <w:rsid w:val="00EF7950"/>
    <w:rsid w:val="00EF795C"/>
    <w:rsid w:val="00EF7ADE"/>
    <w:rsid w:val="00EF7D7E"/>
    <w:rsid w:val="00EF7EE1"/>
    <w:rsid w:val="00EF7FAB"/>
    <w:rsid w:val="00EF7FC6"/>
    <w:rsid w:val="00F000E8"/>
    <w:rsid w:val="00F002AA"/>
    <w:rsid w:val="00F0031B"/>
    <w:rsid w:val="00F0038B"/>
    <w:rsid w:val="00F003D2"/>
    <w:rsid w:val="00F00469"/>
    <w:rsid w:val="00F0047B"/>
    <w:rsid w:val="00F005E1"/>
    <w:rsid w:val="00F00763"/>
    <w:rsid w:val="00F0088D"/>
    <w:rsid w:val="00F008A9"/>
    <w:rsid w:val="00F00C2B"/>
    <w:rsid w:val="00F00CD5"/>
    <w:rsid w:val="00F00CD6"/>
    <w:rsid w:val="00F00D7A"/>
    <w:rsid w:val="00F00E2A"/>
    <w:rsid w:val="00F00F1D"/>
    <w:rsid w:val="00F00FE6"/>
    <w:rsid w:val="00F00FEB"/>
    <w:rsid w:val="00F01032"/>
    <w:rsid w:val="00F01100"/>
    <w:rsid w:val="00F01148"/>
    <w:rsid w:val="00F012B0"/>
    <w:rsid w:val="00F014AA"/>
    <w:rsid w:val="00F014C6"/>
    <w:rsid w:val="00F01571"/>
    <w:rsid w:val="00F01604"/>
    <w:rsid w:val="00F0163C"/>
    <w:rsid w:val="00F0165C"/>
    <w:rsid w:val="00F01707"/>
    <w:rsid w:val="00F017E0"/>
    <w:rsid w:val="00F01858"/>
    <w:rsid w:val="00F0186B"/>
    <w:rsid w:val="00F0191C"/>
    <w:rsid w:val="00F01984"/>
    <w:rsid w:val="00F01CCE"/>
    <w:rsid w:val="00F01D27"/>
    <w:rsid w:val="00F01DD2"/>
    <w:rsid w:val="00F01E10"/>
    <w:rsid w:val="00F02388"/>
    <w:rsid w:val="00F023B9"/>
    <w:rsid w:val="00F023D5"/>
    <w:rsid w:val="00F024D9"/>
    <w:rsid w:val="00F024ED"/>
    <w:rsid w:val="00F024FB"/>
    <w:rsid w:val="00F0256A"/>
    <w:rsid w:val="00F025C4"/>
    <w:rsid w:val="00F02738"/>
    <w:rsid w:val="00F0275F"/>
    <w:rsid w:val="00F0295C"/>
    <w:rsid w:val="00F02989"/>
    <w:rsid w:val="00F02992"/>
    <w:rsid w:val="00F02A26"/>
    <w:rsid w:val="00F02A35"/>
    <w:rsid w:val="00F02B71"/>
    <w:rsid w:val="00F02CDA"/>
    <w:rsid w:val="00F02DBC"/>
    <w:rsid w:val="00F02E76"/>
    <w:rsid w:val="00F02EDA"/>
    <w:rsid w:val="00F02F1B"/>
    <w:rsid w:val="00F02FEB"/>
    <w:rsid w:val="00F0306A"/>
    <w:rsid w:val="00F030EA"/>
    <w:rsid w:val="00F03118"/>
    <w:rsid w:val="00F0328B"/>
    <w:rsid w:val="00F033FD"/>
    <w:rsid w:val="00F0353F"/>
    <w:rsid w:val="00F035CD"/>
    <w:rsid w:val="00F03844"/>
    <w:rsid w:val="00F03868"/>
    <w:rsid w:val="00F03941"/>
    <w:rsid w:val="00F0396C"/>
    <w:rsid w:val="00F03993"/>
    <w:rsid w:val="00F03B20"/>
    <w:rsid w:val="00F03B6D"/>
    <w:rsid w:val="00F03C78"/>
    <w:rsid w:val="00F03D27"/>
    <w:rsid w:val="00F03E6A"/>
    <w:rsid w:val="00F03FCB"/>
    <w:rsid w:val="00F04056"/>
    <w:rsid w:val="00F04352"/>
    <w:rsid w:val="00F0451C"/>
    <w:rsid w:val="00F04600"/>
    <w:rsid w:val="00F046F7"/>
    <w:rsid w:val="00F04720"/>
    <w:rsid w:val="00F04771"/>
    <w:rsid w:val="00F04925"/>
    <w:rsid w:val="00F04A5F"/>
    <w:rsid w:val="00F04B2A"/>
    <w:rsid w:val="00F04B5D"/>
    <w:rsid w:val="00F04B6A"/>
    <w:rsid w:val="00F04D4B"/>
    <w:rsid w:val="00F04E3D"/>
    <w:rsid w:val="00F04F8A"/>
    <w:rsid w:val="00F04FB6"/>
    <w:rsid w:val="00F050B2"/>
    <w:rsid w:val="00F050E2"/>
    <w:rsid w:val="00F0547B"/>
    <w:rsid w:val="00F05509"/>
    <w:rsid w:val="00F0551C"/>
    <w:rsid w:val="00F05525"/>
    <w:rsid w:val="00F0555A"/>
    <w:rsid w:val="00F05571"/>
    <w:rsid w:val="00F055DE"/>
    <w:rsid w:val="00F05783"/>
    <w:rsid w:val="00F057A4"/>
    <w:rsid w:val="00F05904"/>
    <w:rsid w:val="00F05911"/>
    <w:rsid w:val="00F05BB2"/>
    <w:rsid w:val="00F05C44"/>
    <w:rsid w:val="00F0603D"/>
    <w:rsid w:val="00F061C3"/>
    <w:rsid w:val="00F0622F"/>
    <w:rsid w:val="00F06261"/>
    <w:rsid w:val="00F06360"/>
    <w:rsid w:val="00F065A0"/>
    <w:rsid w:val="00F065D7"/>
    <w:rsid w:val="00F065DF"/>
    <w:rsid w:val="00F06928"/>
    <w:rsid w:val="00F06959"/>
    <w:rsid w:val="00F06A10"/>
    <w:rsid w:val="00F06A49"/>
    <w:rsid w:val="00F06B27"/>
    <w:rsid w:val="00F06B46"/>
    <w:rsid w:val="00F06B4B"/>
    <w:rsid w:val="00F06B9B"/>
    <w:rsid w:val="00F06C4B"/>
    <w:rsid w:val="00F06CBF"/>
    <w:rsid w:val="00F06D09"/>
    <w:rsid w:val="00F06D39"/>
    <w:rsid w:val="00F06E37"/>
    <w:rsid w:val="00F06E67"/>
    <w:rsid w:val="00F06F54"/>
    <w:rsid w:val="00F070C6"/>
    <w:rsid w:val="00F0715C"/>
    <w:rsid w:val="00F07277"/>
    <w:rsid w:val="00F07281"/>
    <w:rsid w:val="00F073E1"/>
    <w:rsid w:val="00F074D1"/>
    <w:rsid w:val="00F0752A"/>
    <w:rsid w:val="00F0763F"/>
    <w:rsid w:val="00F0768B"/>
    <w:rsid w:val="00F076E1"/>
    <w:rsid w:val="00F077A6"/>
    <w:rsid w:val="00F077B1"/>
    <w:rsid w:val="00F0792D"/>
    <w:rsid w:val="00F07A95"/>
    <w:rsid w:val="00F07AAB"/>
    <w:rsid w:val="00F07AB7"/>
    <w:rsid w:val="00F07ABF"/>
    <w:rsid w:val="00F07AED"/>
    <w:rsid w:val="00F07B8B"/>
    <w:rsid w:val="00F07C2F"/>
    <w:rsid w:val="00F07F41"/>
    <w:rsid w:val="00F07FD8"/>
    <w:rsid w:val="00F1010E"/>
    <w:rsid w:val="00F10143"/>
    <w:rsid w:val="00F1025E"/>
    <w:rsid w:val="00F102A7"/>
    <w:rsid w:val="00F1052E"/>
    <w:rsid w:val="00F10543"/>
    <w:rsid w:val="00F106DE"/>
    <w:rsid w:val="00F1077B"/>
    <w:rsid w:val="00F10A07"/>
    <w:rsid w:val="00F10A78"/>
    <w:rsid w:val="00F10B06"/>
    <w:rsid w:val="00F10B70"/>
    <w:rsid w:val="00F10CC6"/>
    <w:rsid w:val="00F10CD7"/>
    <w:rsid w:val="00F10D0C"/>
    <w:rsid w:val="00F10D9C"/>
    <w:rsid w:val="00F10DBD"/>
    <w:rsid w:val="00F10E10"/>
    <w:rsid w:val="00F10E67"/>
    <w:rsid w:val="00F10F30"/>
    <w:rsid w:val="00F10F49"/>
    <w:rsid w:val="00F1118E"/>
    <w:rsid w:val="00F11300"/>
    <w:rsid w:val="00F11452"/>
    <w:rsid w:val="00F1148B"/>
    <w:rsid w:val="00F11569"/>
    <w:rsid w:val="00F116B4"/>
    <w:rsid w:val="00F117D4"/>
    <w:rsid w:val="00F11811"/>
    <w:rsid w:val="00F11979"/>
    <w:rsid w:val="00F119F1"/>
    <w:rsid w:val="00F11A40"/>
    <w:rsid w:val="00F11BD9"/>
    <w:rsid w:val="00F11BEF"/>
    <w:rsid w:val="00F11CDE"/>
    <w:rsid w:val="00F11CE9"/>
    <w:rsid w:val="00F11D87"/>
    <w:rsid w:val="00F11DDD"/>
    <w:rsid w:val="00F11ED5"/>
    <w:rsid w:val="00F11FDA"/>
    <w:rsid w:val="00F121EF"/>
    <w:rsid w:val="00F12392"/>
    <w:rsid w:val="00F123E0"/>
    <w:rsid w:val="00F1241E"/>
    <w:rsid w:val="00F12450"/>
    <w:rsid w:val="00F124E8"/>
    <w:rsid w:val="00F1258B"/>
    <w:rsid w:val="00F126B3"/>
    <w:rsid w:val="00F126E9"/>
    <w:rsid w:val="00F12711"/>
    <w:rsid w:val="00F12830"/>
    <w:rsid w:val="00F1291F"/>
    <w:rsid w:val="00F12993"/>
    <w:rsid w:val="00F12A2F"/>
    <w:rsid w:val="00F12A74"/>
    <w:rsid w:val="00F12B63"/>
    <w:rsid w:val="00F12CB9"/>
    <w:rsid w:val="00F12DFB"/>
    <w:rsid w:val="00F12E38"/>
    <w:rsid w:val="00F132DF"/>
    <w:rsid w:val="00F1330F"/>
    <w:rsid w:val="00F13310"/>
    <w:rsid w:val="00F13449"/>
    <w:rsid w:val="00F13684"/>
    <w:rsid w:val="00F13A01"/>
    <w:rsid w:val="00F13A88"/>
    <w:rsid w:val="00F13ADE"/>
    <w:rsid w:val="00F13B97"/>
    <w:rsid w:val="00F13BA6"/>
    <w:rsid w:val="00F13C3E"/>
    <w:rsid w:val="00F13E17"/>
    <w:rsid w:val="00F13E5C"/>
    <w:rsid w:val="00F13EFF"/>
    <w:rsid w:val="00F13F6F"/>
    <w:rsid w:val="00F141BD"/>
    <w:rsid w:val="00F1428D"/>
    <w:rsid w:val="00F144F1"/>
    <w:rsid w:val="00F14A5B"/>
    <w:rsid w:val="00F14A99"/>
    <w:rsid w:val="00F14CB6"/>
    <w:rsid w:val="00F14D32"/>
    <w:rsid w:val="00F14D38"/>
    <w:rsid w:val="00F14D7C"/>
    <w:rsid w:val="00F14DF4"/>
    <w:rsid w:val="00F14E20"/>
    <w:rsid w:val="00F14F14"/>
    <w:rsid w:val="00F14FEC"/>
    <w:rsid w:val="00F151C8"/>
    <w:rsid w:val="00F15225"/>
    <w:rsid w:val="00F152FF"/>
    <w:rsid w:val="00F15690"/>
    <w:rsid w:val="00F156E7"/>
    <w:rsid w:val="00F157E3"/>
    <w:rsid w:val="00F1595B"/>
    <w:rsid w:val="00F15984"/>
    <w:rsid w:val="00F15AB4"/>
    <w:rsid w:val="00F15ADA"/>
    <w:rsid w:val="00F15B46"/>
    <w:rsid w:val="00F15B66"/>
    <w:rsid w:val="00F15CE0"/>
    <w:rsid w:val="00F15DD7"/>
    <w:rsid w:val="00F15DEE"/>
    <w:rsid w:val="00F15DFC"/>
    <w:rsid w:val="00F15F36"/>
    <w:rsid w:val="00F15F9F"/>
    <w:rsid w:val="00F16316"/>
    <w:rsid w:val="00F1642D"/>
    <w:rsid w:val="00F1657B"/>
    <w:rsid w:val="00F166A9"/>
    <w:rsid w:val="00F169EC"/>
    <w:rsid w:val="00F16B7F"/>
    <w:rsid w:val="00F16CE1"/>
    <w:rsid w:val="00F16D04"/>
    <w:rsid w:val="00F16D92"/>
    <w:rsid w:val="00F16E21"/>
    <w:rsid w:val="00F16E97"/>
    <w:rsid w:val="00F16F15"/>
    <w:rsid w:val="00F16F31"/>
    <w:rsid w:val="00F16F38"/>
    <w:rsid w:val="00F16FA6"/>
    <w:rsid w:val="00F171F4"/>
    <w:rsid w:val="00F1736C"/>
    <w:rsid w:val="00F1742A"/>
    <w:rsid w:val="00F176B9"/>
    <w:rsid w:val="00F17743"/>
    <w:rsid w:val="00F17787"/>
    <w:rsid w:val="00F179A9"/>
    <w:rsid w:val="00F17AD9"/>
    <w:rsid w:val="00F17C53"/>
    <w:rsid w:val="00F17E1B"/>
    <w:rsid w:val="00F20023"/>
    <w:rsid w:val="00F2003F"/>
    <w:rsid w:val="00F20047"/>
    <w:rsid w:val="00F200E6"/>
    <w:rsid w:val="00F202FA"/>
    <w:rsid w:val="00F2047E"/>
    <w:rsid w:val="00F204A4"/>
    <w:rsid w:val="00F204DC"/>
    <w:rsid w:val="00F20541"/>
    <w:rsid w:val="00F207BE"/>
    <w:rsid w:val="00F20A65"/>
    <w:rsid w:val="00F20AD7"/>
    <w:rsid w:val="00F20AE4"/>
    <w:rsid w:val="00F20C34"/>
    <w:rsid w:val="00F20C6D"/>
    <w:rsid w:val="00F20CAC"/>
    <w:rsid w:val="00F20D15"/>
    <w:rsid w:val="00F20F24"/>
    <w:rsid w:val="00F210B3"/>
    <w:rsid w:val="00F2144B"/>
    <w:rsid w:val="00F21533"/>
    <w:rsid w:val="00F21540"/>
    <w:rsid w:val="00F21588"/>
    <w:rsid w:val="00F215BC"/>
    <w:rsid w:val="00F2160E"/>
    <w:rsid w:val="00F21877"/>
    <w:rsid w:val="00F21936"/>
    <w:rsid w:val="00F21A35"/>
    <w:rsid w:val="00F21B21"/>
    <w:rsid w:val="00F21C11"/>
    <w:rsid w:val="00F21C70"/>
    <w:rsid w:val="00F21D23"/>
    <w:rsid w:val="00F21E7A"/>
    <w:rsid w:val="00F21EEA"/>
    <w:rsid w:val="00F21FC7"/>
    <w:rsid w:val="00F21FFF"/>
    <w:rsid w:val="00F22144"/>
    <w:rsid w:val="00F22719"/>
    <w:rsid w:val="00F2273E"/>
    <w:rsid w:val="00F22866"/>
    <w:rsid w:val="00F228CD"/>
    <w:rsid w:val="00F22980"/>
    <w:rsid w:val="00F229C8"/>
    <w:rsid w:val="00F22AE3"/>
    <w:rsid w:val="00F22B91"/>
    <w:rsid w:val="00F22BD7"/>
    <w:rsid w:val="00F22DB0"/>
    <w:rsid w:val="00F22DE9"/>
    <w:rsid w:val="00F22E6C"/>
    <w:rsid w:val="00F22F3B"/>
    <w:rsid w:val="00F22F8F"/>
    <w:rsid w:val="00F230D6"/>
    <w:rsid w:val="00F23135"/>
    <w:rsid w:val="00F23273"/>
    <w:rsid w:val="00F23392"/>
    <w:rsid w:val="00F2346B"/>
    <w:rsid w:val="00F23652"/>
    <w:rsid w:val="00F23655"/>
    <w:rsid w:val="00F23733"/>
    <w:rsid w:val="00F2391E"/>
    <w:rsid w:val="00F23A93"/>
    <w:rsid w:val="00F23B42"/>
    <w:rsid w:val="00F23C0B"/>
    <w:rsid w:val="00F23CA1"/>
    <w:rsid w:val="00F23E98"/>
    <w:rsid w:val="00F2405A"/>
    <w:rsid w:val="00F24186"/>
    <w:rsid w:val="00F24320"/>
    <w:rsid w:val="00F243A3"/>
    <w:rsid w:val="00F2462E"/>
    <w:rsid w:val="00F246BE"/>
    <w:rsid w:val="00F24809"/>
    <w:rsid w:val="00F2485E"/>
    <w:rsid w:val="00F24A1A"/>
    <w:rsid w:val="00F24A20"/>
    <w:rsid w:val="00F24AFB"/>
    <w:rsid w:val="00F24DC8"/>
    <w:rsid w:val="00F24E1D"/>
    <w:rsid w:val="00F24F5B"/>
    <w:rsid w:val="00F24FA1"/>
    <w:rsid w:val="00F24FBC"/>
    <w:rsid w:val="00F250C5"/>
    <w:rsid w:val="00F251CD"/>
    <w:rsid w:val="00F25349"/>
    <w:rsid w:val="00F25359"/>
    <w:rsid w:val="00F25443"/>
    <w:rsid w:val="00F254B2"/>
    <w:rsid w:val="00F254FE"/>
    <w:rsid w:val="00F25610"/>
    <w:rsid w:val="00F256C9"/>
    <w:rsid w:val="00F25765"/>
    <w:rsid w:val="00F25796"/>
    <w:rsid w:val="00F25949"/>
    <w:rsid w:val="00F25A8C"/>
    <w:rsid w:val="00F25E20"/>
    <w:rsid w:val="00F25FC5"/>
    <w:rsid w:val="00F26111"/>
    <w:rsid w:val="00F261AF"/>
    <w:rsid w:val="00F261B7"/>
    <w:rsid w:val="00F263F9"/>
    <w:rsid w:val="00F2650F"/>
    <w:rsid w:val="00F265F1"/>
    <w:rsid w:val="00F26614"/>
    <w:rsid w:val="00F2664B"/>
    <w:rsid w:val="00F26772"/>
    <w:rsid w:val="00F2684F"/>
    <w:rsid w:val="00F26860"/>
    <w:rsid w:val="00F26903"/>
    <w:rsid w:val="00F2699D"/>
    <w:rsid w:val="00F26A5E"/>
    <w:rsid w:val="00F26BAD"/>
    <w:rsid w:val="00F26C94"/>
    <w:rsid w:val="00F26CD2"/>
    <w:rsid w:val="00F26E22"/>
    <w:rsid w:val="00F26E61"/>
    <w:rsid w:val="00F26EDB"/>
    <w:rsid w:val="00F2703B"/>
    <w:rsid w:val="00F27154"/>
    <w:rsid w:val="00F2719C"/>
    <w:rsid w:val="00F27312"/>
    <w:rsid w:val="00F273E9"/>
    <w:rsid w:val="00F274BA"/>
    <w:rsid w:val="00F2754D"/>
    <w:rsid w:val="00F275C0"/>
    <w:rsid w:val="00F27624"/>
    <w:rsid w:val="00F277D0"/>
    <w:rsid w:val="00F2783E"/>
    <w:rsid w:val="00F279C3"/>
    <w:rsid w:val="00F27A76"/>
    <w:rsid w:val="00F27B22"/>
    <w:rsid w:val="00F27CBE"/>
    <w:rsid w:val="00F27D7A"/>
    <w:rsid w:val="00F27DF8"/>
    <w:rsid w:val="00F27E9E"/>
    <w:rsid w:val="00F27FA0"/>
    <w:rsid w:val="00F30611"/>
    <w:rsid w:val="00F30729"/>
    <w:rsid w:val="00F3077F"/>
    <w:rsid w:val="00F307CF"/>
    <w:rsid w:val="00F30ABC"/>
    <w:rsid w:val="00F30AC4"/>
    <w:rsid w:val="00F30BFB"/>
    <w:rsid w:val="00F30EA1"/>
    <w:rsid w:val="00F30EB7"/>
    <w:rsid w:val="00F31087"/>
    <w:rsid w:val="00F310EF"/>
    <w:rsid w:val="00F31111"/>
    <w:rsid w:val="00F3113C"/>
    <w:rsid w:val="00F31179"/>
    <w:rsid w:val="00F312C8"/>
    <w:rsid w:val="00F313A5"/>
    <w:rsid w:val="00F315EF"/>
    <w:rsid w:val="00F316B1"/>
    <w:rsid w:val="00F3188B"/>
    <w:rsid w:val="00F31A67"/>
    <w:rsid w:val="00F31B6C"/>
    <w:rsid w:val="00F31BA5"/>
    <w:rsid w:val="00F31BD9"/>
    <w:rsid w:val="00F31C46"/>
    <w:rsid w:val="00F31D62"/>
    <w:rsid w:val="00F31FA1"/>
    <w:rsid w:val="00F3228B"/>
    <w:rsid w:val="00F3237A"/>
    <w:rsid w:val="00F32518"/>
    <w:rsid w:val="00F325C7"/>
    <w:rsid w:val="00F32781"/>
    <w:rsid w:val="00F327E2"/>
    <w:rsid w:val="00F32B64"/>
    <w:rsid w:val="00F32CEB"/>
    <w:rsid w:val="00F32D7E"/>
    <w:rsid w:val="00F32E8F"/>
    <w:rsid w:val="00F33035"/>
    <w:rsid w:val="00F33105"/>
    <w:rsid w:val="00F331D5"/>
    <w:rsid w:val="00F3327B"/>
    <w:rsid w:val="00F33298"/>
    <w:rsid w:val="00F332F2"/>
    <w:rsid w:val="00F33450"/>
    <w:rsid w:val="00F334DA"/>
    <w:rsid w:val="00F337ED"/>
    <w:rsid w:val="00F338E9"/>
    <w:rsid w:val="00F3398B"/>
    <w:rsid w:val="00F33B18"/>
    <w:rsid w:val="00F33CE3"/>
    <w:rsid w:val="00F33D25"/>
    <w:rsid w:val="00F34037"/>
    <w:rsid w:val="00F34064"/>
    <w:rsid w:val="00F340F9"/>
    <w:rsid w:val="00F34112"/>
    <w:rsid w:val="00F34776"/>
    <w:rsid w:val="00F349C6"/>
    <w:rsid w:val="00F34C59"/>
    <w:rsid w:val="00F34D30"/>
    <w:rsid w:val="00F34E6C"/>
    <w:rsid w:val="00F35286"/>
    <w:rsid w:val="00F3554E"/>
    <w:rsid w:val="00F35639"/>
    <w:rsid w:val="00F35747"/>
    <w:rsid w:val="00F35960"/>
    <w:rsid w:val="00F3598E"/>
    <w:rsid w:val="00F35995"/>
    <w:rsid w:val="00F35C8E"/>
    <w:rsid w:val="00F35CCD"/>
    <w:rsid w:val="00F35E14"/>
    <w:rsid w:val="00F35F93"/>
    <w:rsid w:val="00F360A3"/>
    <w:rsid w:val="00F360C3"/>
    <w:rsid w:val="00F36152"/>
    <w:rsid w:val="00F3618C"/>
    <w:rsid w:val="00F361DC"/>
    <w:rsid w:val="00F3628A"/>
    <w:rsid w:val="00F362C7"/>
    <w:rsid w:val="00F36515"/>
    <w:rsid w:val="00F36693"/>
    <w:rsid w:val="00F367CF"/>
    <w:rsid w:val="00F369AE"/>
    <w:rsid w:val="00F36A5E"/>
    <w:rsid w:val="00F36C46"/>
    <w:rsid w:val="00F36C81"/>
    <w:rsid w:val="00F36C88"/>
    <w:rsid w:val="00F371C6"/>
    <w:rsid w:val="00F375D1"/>
    <w:rsid w:val="00F378AC"/>
    <w:rsid w:val="00F3796A"/>
    <w:rsid w:val="00F37A2C"/>
    <w:rsid w:val="00F37A91"/>
    <w:rsid w:val="00F37D63"/>
    <w:rsid w:val="00F37F69"/>
    <w:rsid w:val="00F401C8"/>
    <w:rsid w:val="00F401FC"/>
    <w:rsid w:val="00F40247"/>
    <w:rsid w:val="00F40262"/>
    <w:rsid w:val="00F4028B"/>
    <w:rsid w:val="00F40291"/>
    <w:rsid w:val="00F404A8"/>
    <w:rsid w:val="00F405CB"/>
    <w:rsid w:val="00F4082E"/>
    <w:rsid w:val="00F408AE"/>
    <w:rsid w:val="00F4095B"/>
    <w:rsid w:val="00F40A5F"/>
    <w:rsid w:val="00F40B07"/>
    <w:rsid w:val="00F40B0A"/>
    <w:rsid w:val="00F40B37"/>
    <w:rsid w:val="00F40D0D"/>
    <w:rsid w:val="00F40D41"/>
    <w:rsid w:val="00F40FF7"/>
    <w:rsid w:val="00F4120F"/>
    <w:rsid w:val="00F4121E"/>
    <w:rsid w:val="00F4142D"/>
    <w:rsid w:val="00F415F5"/>
    <w:rsid w:val="00F41803"/>
    <w:rsid w:val="00F419BE"/>
    <w:rsid w:val="00F41AC3"/>
    <w:rsid w:val="00F41B6B"/>
    <w:rsid w:val="00F41D6B"/>
    <w:rsid w:val="00F423F0"/>
    <w:rsid w:val="00F424AC"/>
    <w:rsid w:val="00F42670"/>
    <w:rsid w:val="00F426B4"/>
    <w:rsid w:val="00F426C1"/>
    <w:rsid w:val="00F428EE"/>
    <w:rsid w:val="00F42986"/>
    <w:rsid w:val="00F42A41"/>
    <w:rsid w:val="00F42BD3"/>
    <w:rsid w:val="00F42CE6"/>
    <w:rsid w:val="00F42DC8"/>
    <w:rsid w:val="00F42DE4"/>
    <w:rsid w:val="00F430F9"/>
    <w:rsid w:val="00F4328B"/>
    <w:rsid w:val="00F4333B"/>
    <w:rsid w:val="00F433C2"/>
    <w:rsid w:val="00F43425"/>
    <w:rsid w:val="00F43497"/>
    <w:rsid w:val="00F4357C"/>
    <w:rsid w:val="00F43601"/>
    <w:rsid w:val="00F43629"/>
    <w:rsid w:val="00F43747"/>
    <w:rsid w:val="00F437F8"/>
    <w:rsid w:val="00F439B7"/>
    <w:rsid w:val="00F439C3"/>
    <w:rsid w:val="00F43AF1"/>
    <w:rsid w:val="00F43B25"/>
    <w:rsid w:val="00F43BFC"/>
    <w:rsid w:val="00F43F61"/>
    <w:rsid w:val="00F4419B"/>
    <w:rsid w:val="00F441B1"/>
    <w:rsid w:val="00F44603"/>
    <w:rsid w:val="00F447D3"/>
    <w:rsid w:val="00F44838"/>
    <w:rsid w:val="00F448E9"/>
    <w:rsid w:val="00F4492E"/>
    <w:rsid w:val="00F449B4"/>
    <w:rsid w:val="00F449D5"/>
    <w:rsid w:val="00F44AE4"/>
    <w:rsid w:val="00F44B12"/>
    <w:rsid w:val="00F44BE6"/>
    <w:rsid w:val="00F44BF8"/>
    <w:rsid w:val="00F44DF1"/>
    <w:rsid w:val="00F44E36"/>
    <w:rsid w:val="00F44FE8"/>
    <w:rsid w:val="00F4500E"/>
    <w:rsid w:val="00F45035"/>
    <w:rsid w:val="00F450A1"/>
    <w:rsid w:val="00F45263"/>
    <w:rsid w:val="00F4527C"/>
    <w:rsid w:val="00F452F2"/>
    <w:rsid w:val="00F4554B"/>
    <w:rsid w:val="00F456C8"/>
    <w:rsid w:val="00F4572C"/>
    <w:rsid w:val="00F4587E"/>
    <w:rsid w:val="00F45887"/>
    <w:rsid w:val="00F45A0C"/>
    <w:rsid w:val="00F45A30"/>
    <w:rsid w:val="00F45AF5"/>
    <w:rsid w:val="00F45B09"/>
    <w:rsid w:val="00F45B40"/>
    <w:rsid w:val="00F45CCF"/>
    <w:rsid w:val="00F45F96"/>
    <w:rsid w:val="00F46002"/>
    <w:rsid w:val="00F4600F"/>
    <w:rsid w:val="00F4614F"/>
    <w:rsid w:val="00F46150"/>
    <w:rsid w:val="00F46390"/>
    <w:rsid w:val="00F463D4"/>
    <w:rsid w:val="00F46413"/>
    <w:rsid w:val="00F46423"/>
    <w:rsid w:val="00F464A4"/>
    <w:rsid w:val="00F46647"/>
    <w:rsid w:val="00F4664A"/>
    <w:rsid w:val="00F4674C"/>
    <w:rsid w:val="00F467D8"/>
    <w:rsid w:val="00F46840"/>
    <w:rsid w:val="00F46C7D"/>
    <w:rsid w:val="00F46D66"/>
    <w:rsid w:val="00F46D87"/>
    <w:rsid w:val="00F46DD9"/>
    <w:rsid w:val="00F46F90"/>
    <w:rsid w:val="00F46FC1"/>
    <w:rsid w:val="00F46FE6"/>
    <w:rsid w:val="00F4700B"/>
    <w:rsid w:val="00F4704F"/>
    <w:rsid w:val="00F47216"/>
    <w:rsid w:val="00F47285"/>
    <w:rsid w:val="00F472A8"/>
    <w:rsid w:val="00F47367"/>
    <w:rsid w:val="00F473EE"/>
    <w:rsid w:val="00F476D8"/>
    <w:rsid w:val="00F4779C"/>
    <w:rsid w:val="00F47C1B"/>
    <w:rsid w:val="00F47C41"/>
    <w:rsid w:val="00F47D12"/>
    <w:rsid w:val="00F47DD9"/>
    <w:rsid w:val="00F47EBE"/>
    <w:rsid w:val="00F47F30"/>
    <w:rsid w:val="00F47F54"/>
    <w:rsid w:val="00F5010F"/>
    <w:rsid w:val="00F50174"/>
    <w:rsid w:val="00F501A7"/>
    <w:rsid w:val="00F5022F"/>
    <w:rsid w:val="00F5030F"/>
    <w:rsid w:val="00F503E3"/>
    <w:rsid w:val="00F50469"/>
    <w:rsid w:val="00F50554"/>
    <w:rsid w:val="00F505BA"/>
    <w:rsid w:val="00F505FE"/>
    <w:rsid w:val="00F50673"/>
    <w:rsid w:val="00F5072B"/>
    <w:rsid w:val="00F50767"/>
    <w:rsid w:val="00F507A6"/>
    <w:rsid w:val="00F50841"/>
    <w:rsid w:val="00F50874"/>
    <w:rsid w:val="00F509EF"/>
    <w:rsid w:val="00F50E4A"/>
    <w:rsid w:val="00F50E7D"/>
    <w:rsid w:val="00F50EEC"/>
    <w:rsid w:val="00F50F28"/>
    <w:rsid w:val="00F50FDB"/>
    <w:rsid w:val="00F51107"/>
    <w:rsid w:val="00F5111D"/>
    <w:rsid w:val="00F51148"/>
    <w:rsid w:val="00F5122B"/>
    <w:rsid w:val="00F51364"/>
    <w:rsid w:val="00F513E7"/>
    <w:rsid w:val="00F515CD"/>
    <w:rsid w:val="00F516C3"/>
    <w:rsid w:val="00F51719"/>
    <w:rsid w:val="00F51946"/>
    <w:rsid w:val="00F51A37"/>
    <w:rsid w:val="00F51A78"/>
    <w:rsid w:val="00F51AAD"/>
    <w:rsid w:val="00F51D71"/>
    <w:rsid w:val="00F51DA2"/>
    <w:rsid w:val="00F52026"/>
    <w:rsid w:val="00F52091"/>
    <w:rsid w:val="00F52098"/>
    <w:rsid w:val="00F5233C"/>
    <w:rsid w:val="00F524BC"/>
    <w:rsid w:val="00F5250E"/>
    <w:rsid w:val="00F5254E"/>
    <w:rsid w:val="00F5256C"/>
    <w:rsid w:val="00F52571"/>
    <w:rsid w:val="00F52787"/>
    <w:rsid w:val="00F52812"/>
    <w:rsid w:val="00F52843"/>
    <w:rsid w:val="00F529FF"/>
    <w:rsid w:val="00F52AEA"/>
    <w:rsid w:val="00F52BBD"/>
    <w:rsid w:val="00F52C1A"/>
    <w:rsid w:val="00F52CCF"/>
    <w:rsid w:val="00F52E3D"/>
    <w:rsid w:val="00F52E4E"/>
    <w:rsid w:val="00F52E65"/>
    <w:rsid w:val="00F52FAC"/>
    <w:rsid w:val="00F5316D"/>
    <w:rsid w:val="00F53330"/>
    <w:rsid w:val="00F53337"/>
    <w:rsid w:val="00F53433"/>
    <w:rsid w:val="00F5350D"/>
    <w:rsid w:val="00F53B36"/>
    <w:rsid w:val="00F53BAA"/>
    <w:rsid w:val="00F53D69"/>
    <w:rsid w:val="00F53D8F"/>
    <w:rsid w:val="00F53E4A"/>
    <w:rsid w:val="00F540F7"/>
    <w:rsid w:val="00F542FC"/>
    <w:rsid w:val="00F54420"/>
    <w:rsid w:val="00F5449A"/>
    <w:rsid w:val="00F544DD"/>
    <w:rsid w:val="00F54723"/>
    <w:rsid w:val="00F54798"/>
    <w:rsid w:val="00F548A0"/>
    <w:rsid w:val="00F548F7"/>
    <w:rsid w:val="00F54963"/>
    <w:rsid w:val="00F5496B"/>
    <w:rsid w:val="00F549BC"/>
    <w:rsid w:val="00F54C06"/>
    <w:rsid w:val="00F54DA2"/>
    <w:rsid w:val="00F54EB2"/>
    <w:rsid w:val="00F54EB6"/>
    <w:rsid w:val="00F54EBC"/>
    <w:rsid w:val="00F55009"/>
    <w:rsid w:val="00F5502B"/>
    <w:rsid w:val="00F55045"/>
    <w:rsid w:val="00F550F5"/>
    <w:rsid w:val="00F5527C"/>
    <w:rsid w:val="00F552FB"/>
    <w:rsid w:val="00F55487"/>
    <w:rsid w:val="00F55664"/>
    <w:rsid w:val="00F55706"/>
    <w:rsid w:val="00F55808"/>
    <w:rsid w:val="00F5585B"/>
    <w:rsid w:val="00F5590A"/>
    <w:rsid w:val="00F55BAB"/>
    <w:rsid w:val="00F55F51"/>
    <w:rsid w:val="00F5600F"/>
    <w:rsid w:val="00F560A8"/>
    <w:rsid w:val="00F560F3"/>
    <w:rsid w:val="00F5621A"/>
    <w:rsid w:val="00F56220"/>
    <w:rsid w:val="00F563AB"/>
    <w:rsid w:val="00F565B7"/>
    <w:rsid w:val="00F567B0"/>
    <w:rsid w:val="00F567FB"/>
    <w:rsid w:val="00F568C3"/>
    <w:rsid w:val="00F56A12"/>
    <w:rsid w:val="00F56A36"/>
    <w:rsid w:val="00F56BBC"/>
    <w:rsid w:val="00F56C00"/>
    <w:rsid w:val="00F56C03"/>
    <w:rsid w:val="00F56D27"/>
    <w:rsid w:val="00F56D46"/>
    <w:rsid w:val="00F56D57"/>
    <w:rsid w:val="00F56DAF"/>
    <w:rsid w:val="00F56DDC"/>
    <w:rsid w:val="00F56F65"/>
    <w:rsid w:val="00F5701A"/>
    <w:rsid w:val="00F5724F"/>
    <w:rsid w:val="00F5739D"/>
    <w:rsid w:val="00F574E2"/>
    <w:rsid w:val="00F57720"/>
    <w:rsid w:val="00F579D0"/>
    <w:rsid w:val="00F57B34"/>
    <w:rsid w:val="00F57B71"/>
    <w:rsid w:val="00F57B9B"/>
    <w:rsid w:val="00F57C63"/>
    <w:rsid w:val="00F57E05"/>
    <w:rsid w:val="00F57E74"/>
    <w:rsid w:val="00F57EC9"/>
    <w:rsid w:val="00F57EF7"/>
    <w:rsid w:val="00F57FFC"/>
    <w:rsid w:val="00F6014A"/>
    <w:rsid w:val="00F60170"/>
    <w:rsid w:val="00F601A4"/>
    <w:rsid w:val="00F60282"/>
    <w:rsid w:val="00F60443"/>
    <w:rsid w:val="00F60575"/>
    <w:rsid w:val="00F6059E"/>
    <w:rsid w:val="00F605AF"/>
    <w:rsid w:val="00F60684"/>
    <w:rsid w:val="00F6068D"/>
    <w:rsid w:val="00F606F8"/>
    <w:rsid w:val="00F607D8"/>
    <w:rsid w:val="00F60840"/>
    <w:rsid w:val="00F60956"/>
    <w:rsid w:val="00F609EF"/>
    <w:rsid w:val="00F60AD6"/>
    <w:rsid w:val="00F60D2A"/>
    <w:rsid w:val="00F61162"/>
    <w:rsid w:val="00F61199"/>
    <w:rsid w:val="00F6124E"/>
    <w:rsid w:val="00F61319"/>
    <w:rsid w:val="00F61481"/>
    <w:rsid w:val="00F614F4"/>
    <w:rsid w:val="00F6158B"/>
    <w:rsid w:val="00F6168A"/>
    <w:rsid w:val="00F6169A"/>
    <w:rsid w:val="00F61B46"/>
    <w:rsid w:val="00F61D6B"/>
    <w:rsid w:val="00F61DC9"/>
    <w:rsid w:val="00F61E92"/>
    <w:rsid w:val="00F61EBA"/>
    <w:rsid w:val="00F620BD"/>
    <w:rsid w:val="00F620C9"/>
    <w:rsid w:val="00F622DD"/>
    <w:rsid w:val="00F622DE"/>
    <w:rsid w:val="00F62368"/>
    <w:rsid w:val="00F624CA"/>
    <w:rsid w:val="00F6250E"/>
    <w:rsid w:val="00F6251B"/>
    <w:rsid w:val="00F62643"/>
    <w:rsid w:val="00F626D4"/>
    <w:rsid w:val="00F62780"/>
    <w:rsid w:val="00F62790"/>
    <w:rsid w:val="00F62891"/>
    <w:rsid w:val="00F62969"/>
    <w:rsid w:val="00F62F36"/>
    <w:rsid w:val="00F631D7"/>
    <w:rsid w:val="00F6337F"/>
    <w:rsid w:val="00F634B1"/>
    <w:rsid w:val="00F635E3"/>
    <w:rsid w:val="00F63660"/>
    <w:rsid w:val="00F636B6"/>
    <w:rsid w:val="00F638CE"/>
    <w:rsid w:val="00F638FF"/>
    <w:rsid w:val="00F63B97"/>
    <w:rsid w:val="00F63BA5"/>
    <w:rsid w:val="00F63C48"/>
    <w:rsid w:val="00F63CB7"/>
    <w:rsid w:val="00F63D5B"/>
    <w:rsid w:val="00F63D8E"/>
    <w:rsid w:val="00F63E8F"/>
    <w:rsid w:val="00F63E99"/>
    <w:rsid w:val="00F63F3E"/>
    <w:rsid w:val="00F6408E"/>
    <w:rsid w:val="00F6411D"/>
    <w:rsid w:val="00F64155"/>
    <w:rsid w:val="00F642A6"/>
    <w:rsid w:val="00F647DB"/>
    <w:rsid w:val="00F649A5"/>
    <w:rsid w:val="00F64BBD"/>
    <w:rsid w:val="00F64C56"/>
    <w:rsid w:val="00F64CEB"/>
    <w:rsid w:val="00F64D6E"/>
    <w:rsid w:val="00F64E84"/>
    <w:rsid w:val="00F6523E"/>
    <w:rsid w:val="00F6534A"/>
    <w:rsid w:val="00F65384"/>
    <w:rsid w:val="00F655F3"/>
    <w:rsid w:val="00F655FF"/>
    <w:rsid w:val="00F657AB"/>
    <w:rsid w:val="00F658CA"/>
    <w:rsid w:val="00F65A91"/>
    <w:rsid w:val="00F65AEF"/>
    <w:rsid w:val="00F65B01"/>
    <w:rsid w:val="00F65BD7"/>
    <w:rsid w:val="00F65C2F"/>
    <w:rsid w:val="00F65C90"/>
    <w:rsid w:val="00F65D53"/>
    <w:rsid w:val="00F65DA7"/>
    <w:rsid w:val="00F65EFB"/>
    <w:rsid w:val="00F65F5E"/>
    <w:rsid w:val="00F65F8C"/>
    <w:rsid w:val="00F6609A"/>
    <w:rsid w:val="00F6619B"/>
    <w:rsid w:val="00F663E1"/>
    <w:rsid w:val="00F664EA"/>
    <w:rsid w:val="00F666D7"/>
    <w:rsid w:val="00F6671C"/>
    <w:rsid w:val="00F6698C"/>
    <w:rsid w:val="00F66C9A"/>
    <w:rsid w:val="00F66CA8"/>
    <w:rsid w:val="00F66E03"/>
    <w:rsid w:val="00F66EEC"/>
    <w:rsid w:val="00F66F5C"/>
    <w:rsid w:val="00F67263"/>
    <w:rsid w:val="00F672AB"/>
    <w:rsid w:val="00F6733E"/>
    <w:rsid w:val="00F67372"/>
    <w:rsid w:val="00F67429"/>
    <w:rsid w:val="00F67489"/>
    <w:rsid w:val="00F67816"/>
    <w:rsid w:val="00F6785C"/>
    <w:rsid w:val="00F678BD"/>
    <w:rsid w:val="00F678C4"/>
    <w:rsid w:val="00F678C5"/>
    <w:rsid w:val="00F6794A"/>
    <w:rsid w:val="00F67966"/>
    <w:rsid w:val="00F67999"/>
    <w:rsid w:val="00F679F4"/>
    <w:rsid w:val="00F67A86"/>
    <w:rsid w:val="00F67B2E"/>
    <w:rsid w:val="00F67CC6"/>
    <w:rsid w:val="00F67DBD"/>
    <w:rsid w:val="00F67E9C"/>
    <w:rsid w:val="00F67ECD"/>
    <w:rsid w:val="00F701AC"/>
    <w:rsid w:val="00F703FC"/>
    <w:rsid w:val="00F7042B"/>
    <w:rsid w:val="00F704B1"/>
    <w:rsid w:val="00F70572"/>
    <w:rsid w:val="00F70629"/>
    <w:rsid w:val="00F70652"/>
    <w:rsid w:val="00F706D8"/>
    <w:rsid w:val="00F707ED"/>
    <w:rsid w:val="00F70A3D"/>
    <w:rsid w:val="00F70C73"/>
    <w:rsid w:val="00F70F4A"/>
    <w:rsid w:val="00F7100B"/>
    <w:rsid w:val="00F71075"/>
    <w:rsid w:val="00F71362"/>
    <w:rsid w:val="00F714CE"/>
    <w:rsid w:val="00F714DE"/>
    <w:rsid w:val="00F715C0"/>
    <w:rsid w:val="00F717FA"/>
    <w:rsid w:val="00F719D0"/>
    <w:rsid w:val="00F71A7C"/>
    <w:rsid w:val="00F71B52"/>
    <w:rsid w:val="00F71B62"/>
    <w:rsid w:val="00F71C6C"/>
    <w:rsid w:val="00F71D0C"/>
    <w:rsid w:val="00F72009"/>
    <w:rsid w:val="00F7208A"/>
    <w:rsid w:val="00F723C3"/>
    <w:rsid w:val="00F72428"/>
    <w:rsid w:val="00F724B1"/>
    <w:rsid w:val="00F7264B"/>
    <w:rsid w:val="00F7265A"/>
    <w:rsid w:val="00F72721"/>
    <w:rsid w:val="00F7280D"/>
    <w:rsid w:val="00F7280E"/>
    <w:rsid w:val="00F7296A"/>
    <w:rsid w:val="00F72C12"/>
    <w:rsid w:val="00F72C54"/>
    <w:rsid w:val="00F72CDF"/>
    <w:rsid w:val="00F72D0B"/>
    <w:rsid w:val="00F72DA8"/>
    <w:rsid w:val="00F72DDB"/>
    <w:rsid w:val="00F72FE4"/>
    <w:rsid w:val="00F73002"/>
    <w:rsid w:val="00F73087"/>
    <w:rsid w:val="00F730C3"/>
    <w:rsid w:val="00F73122"/>
    <w:rsid w:val="00F73255"/>
    <w:rsid w:val="00F732F8"/>
    <w:rsid w:val="00F73431"/>
    <w:rsid w:val="00F73441"/>
    <w:rsid w:val="00F7348C"/>
    <w:rsid w:val="00F7352B"/>
    <w:rsid w:val="00F73599"/>
    <w:rsid w:val="00F73780"/>
    <w:rsid w:val="00F7382D"/>
    <w:rsid w:val="00F738F0"/>
    <w:rsid w:val="00F73B10"/>
    <w:rsid w:val="00F73B3B"/>
    <w:rsid w:val="00F73CE0"/>
    <w:rsid w:val="00F73D14"/>
    <w:rsid w:val="00F73E9B"/>
    <w:rsid w:val="00F73EF6"/>
    <w:rsid w:val="00F73FB5"/>
    <w:rsid w:val="00F741DF"/>
    <w:rsid w:val="00F741E6"/>
    <w:rsid w:val="00F74307"/>
    <w:rsid w:val="00F74391"/>
    <w:rsid w:val="00F74446"/>
    <w:rsid w:val="00F745C7"/>
    <w:rsid w:val="00F746D1"/>
    <w:rsid w:val="00F74725"/>
    <w:rsid w:val="00F747FC"/>
    <w:rsid w:val="00F7497D"/>
    <w:rsid w:val="00F74AB9"/>
    <w:rsid w:val="00F74B2A"/>
    <w:rsid w:val="00F74B9E"/>
    <w:rsid w:val="00F74BD7"/>
    <w:rsid w:val="00F74EAB"/>
    <w:rsid w:val="00F75118"/>
    <w:rsid w:val="00F751A1"/>
    <w:rsid w:val="00F75317"/>
    <w:rsid w:val="00F753F9"/>
    <w:rsid w:val="00F75426"/>
    <w:rsid w:val="00F75507"/>
    <w:rsid w:val="00F75670"/>
    <w:rsid w:val="00F756D8"/>
    <w:rsid w:val="00F756E2"/>
    <w:rsid w:val="00F758BC"/>
    <w:rsid w:val="00F75A56"/>
    <w:rsid w:val="00F75AC9"/>
    <w:rsid w:val="00F75CC2"/>
    <w:rsid w:val="00F75F94"/>
    <w:rsid w:val="00F75FFC"/>
    <w:rsid w:val="00F76035"/>
    <w:rsid w:val="00F76177"/>
    <w:rsid w:val="00F7617A"/>
    <w:rsid w:val="00F761A8"/>
    <w:rsid w:val="00F76268"/>
    <w:rsid w:val="00F762A7"/>
    <w:rsid w:val="00F762BE"/>
    <w:rsid w:val="00F762DE"/>
    <w:rsid w:val="00F7630C"/>
    <w:rsid w:val="00F763D6"/>
    <w:rsid w:val="00F764B5"/>
    <w:rsid w:val="00F7654F"/>
    <w:rsid w:val="00F7668C"/>
    <w:rsid w:val="00F767F9"/>
    <w:rsid w:val="00F7682E"/>
    <w:rsid w:val="00F7687B"/>
    <w:rsid w:val="00F7697B"/>
    <w:rsid w:val="00F76BDC"/>
    <w:rsid w:val="00F76EC3"/>
    <w:rsid w:val="00F76ED4"/>
    <w:rsid w:val="00F76F19"/>
    <w:rsid w:val="00F770C9"/>
    <w:rsid w:val="00F77366"/>
    <w:rsid w:val="00F7738C"/>
    <w:rsid w:val="00F773B0"/>
    <w:rsid w:val="00F7761A"/>
    <w:rsid w:val="00F7772C"/>
    <w:rsid w:val="00F7775B"/>
    <w:rsid w:val="00F778EB"/>
    <w:rsid w:val="00F7790C"/>
    <w:rsid w:val="00F77986"/>
    <w:rsid w:val="00F7799C"/>
    <w:rsid w:val="00F77C4B"/>
    <w:rsid w:val="00F77D2F"/>
    <w:rsid w:val="00F77E33"/>
    <w:rsid w:val="00F77E42"/>
    <w:rsid w:val="00F77FCF"/>
    <w:rsid w:val="00F801DA"/>
    <w:rsid w:val="00F8023A"/>
    <w:rsid w:val="00F803F1"/>
    <w:rsid w:val="00F8040B"/>
    <w:rsid w:val="00F80469"/>
    <w:rsid w:val="00F804C1"/>
    <w:rsid w:val="00F804ED"/>
    <w:rsid w:val="00F80504"/>
    <w:rsid w:val="00F8051E"/>
    <w:rsid w:val="00F80699"/>
    <w:rsid w:val="00F806F7"/>
    <w:rsid w:val="00F8070B"/>
    <w:rsid w:val="00F80796"/>
    <w:rsid w:val="00F8083C"/>
    <w:rsid w:val="00F80842"/>
    <w:rsid w:val="00F80A6B"/>
    <w:rsid w:val="00F80AAC"/>
    <w:rsid w:val="00F80B0F"/>
    <w:rsid w:val="00F80B64"/>
    <w:rsid w:val="00F80D26"/>
    <w:rsid w:val="00F80D8B"/>
    <w:rsid w:val="00F80DD0"/>
    <w:rsid w:val="00F80F39"/>
    <w:rsid w:val="00F80FF3"/>
    <w:rsid w:val="00F81066"/>
    <w:rsid w:val="00F810D2"/>
    <w:rsid w:val="00F812EC"/>
    <w:rsid w:val="00F81478"/>
    <w:rsid w:val="00F8149E"/>
    <w:rsid w:val="00F81580"/>
    <w:rsid w:val="00F81602"/>
    <w:rsid w:val="00F8180E"/>
    <w:rsid w:val="00F8183F"/>
    <w:rsid w:val="00F81A23"/>
    <w:rsid w:val="00F81A42"/>
    <w:rsid w:val="00F81B7A"/>
    <w:rsid w:val="00F81BB2"/>
    <w:rsid w:val="00F81C3F"/>
    <w:rsid w:val="00F81CE0"/>
    <w:rsid w:val="00F81DBA"/>
    <w:rsid w:val="00F81E80"/>
    <w:rsid w:val="00F81F66"/>
    <w:rsid w:val="00F8217B"/>
    <w:rsid w:val="00F822D7"/>
    <w:rsid w:val="00F82400"/>
    <w:rsid w:val="00F82BD2"/>
    <w:rsid w:val="00F82CF5"/>
    <w:rsid w:val="00F82DC7"/>
    <w:rsid w:val="00F82FC3"/>
    <w:rsid w:val="00F82FCD"/>
    <w:rsid w:val="00F83011"/>
    <w:rsid w:val="00F83020"/>
    <w:rsid w:val="00F8304D"/>
    <w:rsid w:val="00F8322D"/>
    <w:rsid w:val="00F832D9"/>
    <w:rsid w:val="00F833BC"/>
    <w:rsid w:val="00F833C5"/>
    <w:rsid w:val="00F83540"/>
    <w:rsid w:val="00F83556"/>
    <w:rsid w:val="00F83574"/>
    <w:rsid w:val="00F83639"/>
    <w:rsid w:val="00F8369E"/>
    <w:rsid w:val="00F8369F"/>
    <w:rsid w:val="00F8374F"/>
    <w:rsid w:val="00F8376A"/>
    <w:rsid w:val="00F837FA"/>
    <w:rsid w:val="00F838B4"/>
    <w:rsid w:val="00F83958"/>
    <w:rsid w:val="00F83B0B"/>
    <w:rsid w:val="00F83B14"/>
    <w:rsid w:val="00F83CAA"/>
    <w:rsid w:val="00F83CB4"/>
    <w:rsid w:val="00F83D25"/>
    <w:rsid w:val="00F83E4A"/>
    <w:rsid w:val="00F83FB9"/>
    <w:rsid w:val="00F84305"/>
    <w:rsid w:val="00F844E5"/>
    <w:rsid w:val="00F84594"/>
    <w:rsid w:val="00F8469D"/>
    <w:rsid w:val="00F849F2"/>
    <w:rsid w:val="00F84C72"/>
    <w:rsid w:val="00F84EFE"/>
    <w:rsid w:val="00F8538D"/>
    <w:rsid w:val="00F853CD"/>
    <w:rsid w:val="00F85487"/>
    <w:rsid w:val="00F858E1"/>
    <w:rsid w:val="00F85A45"/>
    <w:rsid w:val="00F85C0A"/>
    <w:rsid w:val="00F86127"/>
    <w:rsid w:val="00F86128"/>
    <w:rsid w:val="00F8637F"/>
    <w:rsid w:val="00F86605"/>
    <w:rsid w:val="00F8672B"/>
    <w:rsid w:val="00F86835"/>
    <w:rsid w:val="00F86A55"/>
    <w:rsid w:val="00F86B3A"/>
    <w:rsid w:val="00F86BD2"/>
    <w:rsid w:val="00F86C0C"/>
    <w:rsid w:val="00F86D3D"/>
    <w:rsid w:val="00F86D98"/>
    <w:rsid w:val="00F86ED0"/>
    <w:rsid w:val="00F87011"/>
    <w:rsid w:val="00F87199"/>
    <w:rsid w:val="00F871F4"/>
    <w:rsid w:val="00F87254"/>
    <w:rsid w:val="00F873C6"/>
    <w:rsid w:val="00F87500"/>
    <w:rsid w:val="00F8757C"/>
    <w:rsid w:val="00F87789"/>
    <w:rsid w:val="00F87856"/>
    <w:rsid w:val="00F878A0"/>
    <w:rsid w:val="00F878D2"/>
    <w:rsid w:val="00F8793E"/>
    <w:rsid w:val="00F8795A"/>
    <w:rsid w:val="00F87A16"/>
    <w:rsid w:val="00F87AEA"/>
    <w:rsid w:val="00F87D09"/>
    <w:rsid w:val="00F87E1C"/>
    <w:rsid w:val="00F87F95"/>
    <w:rsid w:val="00F90129"/>
    <w:rsid w:val="00F90407"/>
    <w:rsid w:val="00F907E9"/>
    <w:rsid w:val="00F909ED"/>
    <w:rsid w:val="00F90CCF"/>
    <w:rsid w:val="00F90D40"/>
    <w:rsid w:val="00F90DF1"/>
    <w:rsid w:val="00F90E92"/>
    <w:rsid w:val="00F90F78"/>
    <w:rsid w:val="00F90FCF"/>
    <w:rsid w:val="00F911EC"/>
    <w:rsid w:val="00F91208"/>
    <w:rsid w:val="00F914A1"/>
    <w:rsid w:val="00F9156B"/>
    <w:rsid w:val="00F915A5"/>
    <w:rsid w:val="00F9196A"/>
    <w:rsid w:val="00F919B3"/>
    <w:rsid w:val="00F919C4"/>
    <w:rsid w:val="00F91B02"/>
    <w:rsid w:val="00F91C0C"/>
    <w:rsid w:val="00F91C8D"/>
    <w:rsid w:val="00F91CB9"/>
    <w:rsid w:val="00F91CC1"/>
    <w:rsid w:val="00F91D69"/>
    <w:rsid w:val="00F91F01"/>
    <w:rsid w:val="00F91F95"/>
    <w:rsid w:val="00F92056"/>
    <w:rsid w:val="00F9205B"/>
    <w:rsid w:val="00F921C4"/>
    <w:rsid w:val="00F9230B"/>
    <w:rsid w:val="00F92402"/>
    <w:rsid w:val="00F92709"/>
    <w:rsid w:val="00F92870"/>
    <w:rsid w:val="00F92884"/>
    <w:rsid w:val="00F929BD"/>
    <w:rsid w:val="00F929CC"/>
    <w:rsid w:val="00F92AD4"/>
    <w:rsid w:val="00F92C88"/>
    <w:rsid w:val="00F92F31"/>
    <w:rsid w:val="00F931B7"/>
    <w:rsid w:val="00F9344F"/>
    <w:rsid w:val="00F9349E"/>
    <w:rsid w:val="00F934BD"/>
    <w:rsid w:val="00F93540"/>
    <w:rsid w:val="00F935CB"/>
    <w:rsid w:val="00F9360E"/>
    <w:rsid w:val="00F93643"/>
    <w:rsid w:val="00F93935"/>
    <w:rsid w:val="00F93A5B"/>
    <w:rsid w:val="00F93A6A"/>
    <w:rsid w:val="00F93B4E"/>
    <w:rsid w:val="00F93C36"/>
    <w:rsid w:val="00F93C8F"/>
    <w:rsid w:val="00F93E33"/>
    <w:rsid w:val="00F93EEF"/>
    <w:rsid w:val="00F9406B"/>
    <w:rsid w:val="00F9448D"/>
    <w:rsid w:val="00F944B1"/>
    <w:rsid w:val="00F944DD"/>
    <w:rsid w:val="00F944E4"/>
    <w:rsid w:val="00F945A0"/>
    <w:rsid w:val="00F946C5"/>
    <w:rsid w:val="00F94783"/>
    <w:rsid w:val="00F9484D"/>
    <w:rsid w:val="00F9495A"/>
    <w:rsid w:val="00F94A44"/>
    <w:rsid w:val="00F94C06"/>
    <w:rsid w:val="00F94CD4"/>
    <w:rsid w:val="00F94D58"/>
    <w:rsid w:val="00F95105"/>
    <w:rsid w:val="00F951AD"/>
    <w:rsid w:val="00F951D4"/>
    <w:rsid w:val="00F95388"/>
    <w:rsid w:val="00F953A1"/>
    <w:rsid w:val="00F95488"/>
    <w:rsid w:val="00F954E6"/>
    <w:rsid w:val="00F95652"/>
    <w:rsid w:val="00F956F3"/>
    <w:rsid w:val="00F95854"/>
    <w:rsid w:val="00F95A89"/>
    <w:rsid w:val="00F95AA2"/>
    <w:rsid w:val="00F95C84"/>
    <w:rsid w:val="00F95E2B"/>
    <w:rsid w:val="00F95F1B"/>
    <w:rsid w:val="00F95F29"/>
    <w:rsid w:val="00F95F58"/>
    <w:rsid w:val="00F9602F"/>
    <w:rsid w:val="00F960C9"/>
    <w:rsid w:val="00F961B9"/>
    <w:rsid w:val="00F961E5"/>
    <w:rsid w:val="00F965BF"/>
    <w:rsid w:val="00F96667"/>
    <w:rsid w:val="00F96679"/>
    <w:rsid w:val="00F966D7"/>
    <w:rsid w:val="00F96A9C"/>
    <w:rsid w:val="00F96ABF"/>
    <w:rsid w:val="00F96CEE"/>
    <w:rsid w:val="00F96D4F"/>
    <w:rsid w:val="00F96D9C"/>
    <w:rsid w:val="00F96E84"/>
    <w:rsid w:val="00F96FE6"/>
    <w:rsid w:val="00F97004"/>
    <w:rsid w:val="00F97037"/>
    <w:rsid w:val="00F9717F"/>
    <w:rsid w:val="00F971C9"/>
    <w:rsid w:val="00F971CA"/>
    <w:rsid w:val="00F97342"/>
    <w:rsid w:val="00F97370"/>
    <w:rsid w:val="00F9767B"/>
    <w:rsid w:val="00F976F4"/>
    <w:rsid w:val="00F97791"/>
    <w:rsid w:val="00F978A4"/>
    <w:rsid w:val="00F97A74"/>
    <w:rsid w:val="00F97BB3"/>
    <w:rsid w:val="00F97F37"/>
    <w:rsid w:val="00F97F57"/>
    <w:rsid w:val="00FA025C"/>
    <w:rsid w:val="00FA02FD"/>
    <w:rsid w:val="00FA03B9"/>
    <w:rsid w:val="00FA04B8"/>
    <w:rsid w:val="00FA0525"/>
    <w:rsid w:val="00FA06AC"/>
    <w:rsid w:val="00FA06B6"/>
    <w:rsid w:val="00FA075F"/>
    <w:rsid w:val="00FA08BB"/>
    <w:rsid w:val="00FA08E5"/>
    <w:rsid w:val="00FA09B7"/>
    <w:rsid w:val="00FA0A02"/>
    <w:rsid w:val="00FA0ACC"/>
    <w:rsid w:val="00FA0B04"/>
    <w:rsid w:val="00FA0C50"/>
    <w:rsid w:val="00FA0E14"/>
    <w:rsid w:val="00FA1020"/>
    <w:rsid w:val="00FA1241"/>
    <w:rsid w:val="00FA1259"/>
    <w:rsid w:val="00FA12DD"/>
    <w:rsid w:val="00FA1303"/>
    <w:rsid w:val="00FA1493"/>
    <w:rsid w:val="00FA164A"/>
    <w:rsid w:val="00FA1656"/>
    <w:rsid w:val="00FA167E"/>
    <w:rsid w:val="00FA179A"/>
    <w:rsid w:val="00FA185B"/>
    <w:rsid w:val="00FA18D8"/>
    <w:rsid w:val="00FA19D0"/>
    <w:rsid w:val="00FA1A7E"/>
    <w:rsid w:val="00FA1A80"/>
    <w:rsid w:val="00FA1C13"/>
    <w:rsid w:val="00FA1CBC"/>
    <w:rsid w:val="00FA1DAF"/>
    <w:rsid w:val="00FA1E02"/>
    <w:rsid w:val="00FA1F0B"/>
    <w:rsid w:val="00FA22DA"/>
    <w:rsid w:val="00FA2310"/>
    <w:rsid w:val="00FA234B"/>
    <w:rsid w:val="00FA237F"/>
    <w:rsid w:val="00FA23E7"/>
    <w:rsid w:val="00FA2600"/>
    <w:rsid w:val="00FA29AC"/>
    <w:rsid w:val="00FA2AA0"/>
    <w:rsid w:val="00FA2BE6"/>
    <w:rsid w:val="00FA2E2C"/>
    <w:rsid w:val="00FA2F76"/>
    <w:rsid w:val="00FA2FE4"/>
    <w:rsid w:val="00FA30D9"/>
    <w:rsid w:val="00FA3259"/>
    <w:rsid w:val="00FA352F"/>
    <w:rsid w:val="00FA359B"/>
    <w:rsid w:val="00FA35A6"/>
    <w:rsid w:val="00FA35FB"/>
    <w:rsid w:val="00FA36B0"/>
    <w:rsid w:val="00FA3700"/>
    <w:rsid w:val="00FA3705"/>
    <w:rsid w:val="00FA386A"/>
    <w:rsid w:val="00FA3910"/>
    <w:rsid w:val="00FA3968"/>
    <w:rsid w:val="00FA3A41"/>
    <w:rsid w:val="00FA3A5F"/>
    <w:rsid w:val="00FA3AE5"/>
    <w:rsid w:val="00FA3CB8"/>
    <w:rsid w:val="00FA3E37"/>
    <w:rsid w:val="00FA418C"/>
    <w:rsid w:val="00FA430C"/>
    <w:rsid w:val="00FA430D"/>
    <w:rsid w:val="00FA436F"/>
    <w:rsid w:val="00FA443B"/>
    <w:rsid w:val="00FA44B3"/>
    <w:rsid w:val="00FA4566"/>
    <w:rsid w:val="00FA460F"/>
    <w:rsid w:val="00FA46EA"/>
    <w:rsid w:val="00FA486C"/>
    <w:rsid w:val="00FA4B9C"/>
    <w:rsid w:val="00FA4E91"/>
    <w:rsid w:val="00FA4FDF"/>
    <w:rsid w:val="00FA539B"/>
    <w:rsid w:val="00FA53F1"/>
    <w:rsid w:val="00FA5746"/>
    <w:rsid w:val="00FA58A4"/>
    <w:rsid w:val="00FA58E3"/>
    <w:rsid w:val="00FA58F3"/>
    <w:rsid w:val="00FA5A50"/>
    <w:rsid w:val="00FA5AB3"/>
    <w:rsid w:val="00FA5B06"/>
    <w:rsid w:val="00FA5B8D"/>
    <w:rsid w:val="00FA5D7F"/>
    <w:rsid w:val="00FA5DA8"/>
    <w:rsid w:val="00FA5FD4"/>
    <w:rsid w:val="00FA60DF"/>
    <w:rsid w:val="00FA62A0"/>
    <w:rsid w:val="00FA65A6"/>
    <w:rsid w:val="00FA66C9"/>
    <w:rsid w:val="00FA6811"/>
    <w:rsid w:val="00FA6836"/>
    <w:rsid w:val="00FA68EE"/>
    <w:rsid w:val="00FA691F"/>
    <w:rsid w:val="00FA695C"/>
    <w:rsid w:val="00FA6969"/>
    <w:rsid w:val="00FA6AD4"/>
    <w:rsid w:val="00FA6C1F"/>
    <w:rsid w:val="00FA6E48"/>
    <w:rsid w:val="00FA6F66"/>
    <w:rsid w:val="00FA70FE"/>
    <w:rsid w:val="00FA7186"/>
    <w:rsid w:val="00FA7246"/>
    <w:rsid w:val="00FA737A"/>
    <w:rsid w:val="00FA738F"/>
    <w:rsid w:val="00FA73FE"/>
    <w:rsid w:val="00FA75AE"/>
    <w:rsid w:val="00FA7688"/>
    <w:rsid w:val="00FA7694"/>
    <w:rsid w:val="00FA76B0"/>
    <w:rsid w:val="00FA775D"/>
    <w:rsid w:val="00FA7786"/>
    <w:rsid w:val="00FA7831"/>
    <w:rsid w:val="00FA787E"/>
    <w:rsid w:val="00FA78D0"/>
    <w:rsid w:val="00FA7B3D"/>
    <w:rsid w:val="00FA7CBC"/>
    <w:rsid w:val="00FA7F29"/>
    <w:rsid w:val="00FB0020"/>
    <w:rsid w:val="00FB0035"/>
    <w:rsid w:val="00FB0080"/>
    <w:rsid w:val="00FB0212"/>
    <w:rsid w:val="00FB0330"/>
    <w:rsid w:val="00FB0333"/>
    <w:rsid w:val="00FB03D7"/>
    <w:rsid w:val="00FB0548"/>
    <w:rsid w:val="00FB05B8"/>
    <w:rsid w:val="00FB063C"/>
    <w:rsid w:val="00FB0754"/>
    <w:rsid w:val="00FB080E"/>
    <w:rsid w:val="00FB084D"/>
    <w:rsid w:val="00FB0903"/>
    <w:rsid w:val="00FB0B27"/>
    <w:rsid w:val="00FB0BC2"/>
    <w:rsid w:val="00FB0BDF"/>
    <w:rsid w:val="00FB0C9F"/>
    <w:rsid w:val="00FB0CB8"/>
    <w:rsid w:val="00FB0DA9"/>
    <w:rsid w:val="00FB0FE1"/>
    <w:rsid w:val="00FB0FE7"/>
    <w:rsid w:val="00FB10D6"/>
    <w:rsid w:val="00FB10F4"/>
    <w:rsid w:val="00FB10FF"/>
    <w:rsid w:val="00FB163B"/>
    <w:rsid w:val="00FB1742"/>
    <w:rsid w:val="00FB1858"/>
    <w:rsid w:val="00FB186D"/>
    <w:rsid w:val="00FB1897"/>
    <w:rsid w:val="00FB18C1"/>
    <w:rsid w:val="00FB1A1C"/>
    <w:rsid w:val="00FB1A7D"/>
    <w:rsid w:val="00FB1D96"/>
    <w:rsid w:val="00FB1FF5"/>
    <w:rsid w:val="00FB218A"/>
    <w:rsid w:val="00FB218C"/>
    <w:rsid w:val="00FB21A0"/>
    <w:rsid w:val="00FB237F"/>
    <w:rsid w:val="00FB259C"/>
    <w:rsid w:val="00FB25C7"/>
    <w:rsid w:val="00FB25C8"/>
    <w:rsid w:val="00FB265D"/>
    <w:rsid w:val="00FB2695"/>
    <w:rsid w:val="00FB26B7"/>
    <w:rsid w:val="00FB2884"/>
    <w:rsid w:val="00FB2A54"/>
    <w:rsid w:val="00FB2AD7"/>
    <w:rsid w:val="00FB2B28"/>
    <w:rsid w:val="00FB2B75"/>
    <w:rsid w:val="00FB2BB5"/>
    <w:rsid w:val="00FB2D86"/>
    <w:rsid w:val="00FB2DE3"/>
    <w:rsid w:val="00FB2F56"/>
    <w:rsid w:val="00FB3071"/>
    <w:rsid w:val="00FB3104"/>
    <w:rsid w:val="00FB33A0"/>
    <w:rsid w:val="00FB3401"/>
    <w:rsid w:val="00FB34A0"/>
    <w:rsid w:val="00FB3576"/>
    <w:rsid w:val="00FB359E"/>
    <w:rsid w:val="00FB35FB"/>
    <w:rsid w:val="00FB398A"/>
    <w:rsid w:val="00FB3B97"/>
    <w:rsid w:val="00FB3C27"/>
    <w:rsid w:val="00FB3C96"/>
    <w:rsid w:val="00FB3C98"/>
    <w:rsid w:val="00FB3EBD"/>
    <w:rsid w:val="00FB40BE"/>
    <w:rsid w:val="00FB4289"/>
    <w:rsid w:val="00FB42D3"/>
    <w:rsid w:val="00FB4437"/>
    <w:rsid w:val="00FB4444"/>
    <w:rsid w:val="00FB46D2"/>
    <w:rsid w:val="00FB47C5"/>
    <w:rsid w:val="00FB4806"/>
    <w:rsid w:val="00FB4A14"/>
    <w:rsid w:val="00FB4AD9"/>
    <w:rsid w:val="00FB4C15"/>
    <w:rsid w:val="00FB4E39"/>
    <w:rsid w:val="00FB4E60"/>
    <w:rsid w:val="00FB4FAB"/>
    <w:rsid w:val="00FB501C"/>
    <w:rsid w:val="00FB50F3"/>
    <w:rsid w:val="00FB51B7"/>
    <w:rsid w:val="00FB5346"/>
    <w:rsid w:val="00FB5652"/>
    <w:rsid w:val="00FB56D3"/>
    <w:rsid w:val="00FB58F3"/>
    <w:rsid w:val="00FB5A39"/>
    <w:rsid w:val="00FB5ACE"/>
    <w:rsid w:val="00FB5B99"/>
    <w:rsid w:val="00FB5D9F"/>
    <w:rsid w:val="00FB6032"/>
    <w:rsid w:val="00FB638D"/>
    <w:rsid w:val="00FB65DF"/>
    <w:rsid w:val="00FB66C4"/>
    <w:rsid w:val="00FB6A5D"/>
    <w:rsid w:val="00FB6C36"/>
    <w:rsid w:val="00FB6C92"/>
    <w:rsid w:val="00FB6CEC"/>
    <w:rsid w:val="00FB6E22"/>
    <w:rsid w:val="00FB7006"/>
    <w:rsid w:val="00FB70B0"/>
    <w:rsid w:val="00FB72DC"/>
    <w:rsid w:val="00FB73B7"/>
    <w:rsid w:val="00FB73F7"/>
    <w:rsid w:val="00FB7621"/>
    <w:rsid w:val="00FB76A8"/>
    <w:rsid w:val="00FB7739"/>
    <w:rsid w:val="00FB7829"/>
    <w:rsid w:val="00FB7B56"/>
    <w:rsid w:val="00FB7C50"/>
    <w:rsid w:val="00FB7C74"/>
    <w:rsid w:val="00FB7D5B"/>
    <w:rsid w:val="00FB7DC0"/>
    <w:rsid w:val="00FB7DD7"/>
    <w:rsid w:val="00FB7DD9"/>
    <w:rsid w:val="00FB7DFD"/>
    <w:rsid w:val="00FB7F2B"/>
    <w:rsid w:val="00FC0105"/>
    <w:rsid w:val="00FC01E4"/>
    <w:rsid w:val="00FC03B6"/>
    <w:rsid w:val="00FC03FB"/>
    <w:rsid w:val="00FC04F2"/>
    <w:rsid w:val="00FC0510"/>
    <w:rsid w:val="00FC0598"/>
    <w:rsid w:val="00FC06E7"/>
    <w:rsid w:val="00FC098F"/>
    <w:rsid w:val="00FC0AD6"/>
    <w:rsid w:val="00FC0D61"/>
    <w:rsid w:val="00FC0E9E"/>
    <w:rsid w:val="00FC0F61"/>
    <w:rsid w:val="00FC1190"/>
    <w:rsid w:val="00FC12AC"/>
    <w:rsid w:val="00FC1343"/>
    <w:rsid w:val="00FC13A6"/>
    <w:rsid w:val="00FC14C1"/>
    <w:rsid w:val="00FC14D2"/>
    <w:rsid w:val="00FC14E8"/>
    <w:rsid w:val="00FC15CF"/>
    <w:rsid w:val="00FC16FD"/>
    <w:rsid w:val="00FC17B9"/>
    <w:rsid w:val="00FC198E"/>
    <w:rsid w:val="00FC1992"/>
    <w:rsid w:val="00FC1ACF"/>
    <w:rsid w:val="00FC1B76"/>
    <w:rsid w:val="00FC1BD1"/>
    <w:rsid w:val="00FC1CFD"/>
    <w:rsid w:val="00FC2024"/>
    <w:rsid w:val="00FC24A9"/>
    <w:rsid w:val="00FC2AAB"/>
    <w:rsid w:val="00FC2CCA"/>
    <w:rsid w:val="00FC2E74"/>
    <w:rsid w:val="00FC2EA5"/>
    <w:rsid w:val="00FC2F58"/>
    <w:rsid w:val="00FC2F68"/>
    <w:rsid w:val="00FC2FBD"/>
    <w:rsid w:val="00FC3028"/>
    <w:rsid w:val="00FC305C"/>
    <w:rsid w:val="00FC3385"/>
    <w:rsid w:val="00FC33C9"/>
    <w:rsid w:val="00FC3489"/>
    <w:rsid w:val="00FC34A8"/>
    <w:rsid w:val="00FC3520"/>
    <w:rsid w:val="00FC3683"/>
    <w:rsid w:val="00FC3738"/>
    <w:rsid w:val="00FC37F0"/>
    <w:rsid w:val="00FC3998"/>
    <w:rsid w:val="00FC3A03"/>
    <w:rsid w:val="00FC3D4E"/>
    <w:rsid w:val="00FC3D9D"/>
    <w:rsid w:val="00FC3DF6"/>
    <w:rsid w:val="00FC3F70"/>
    <w:rsid w:val="00FC3FB4"/>
    <w:rsid w:val="00FC4176"/>
    <w:rsid w:val="00FC4386"/>
    <w:rsid w:val="00FC48A7"/>
    <w:rsid w:val="00FC48B5"/>
    <w:rsid w:val="00FC4976"/>
    <w:rsid w:val="00FC4B87"/>
    <w:rsid w:val="00FC4B9A"/>
    <w:rsid w:val="00FC4CB8"/>
    <w:rsid w:val="00FC4CBD"/>
    <w:rsid w:val="00FC4D0E"/>
    <w:rsid w:val="00FC4D32"/>
    <w:rsid w:val="00FC4E32"/>
    <w:rsid w:val="00FC4F6C"/>
    <w:rsid w:val="00FC513E"/>
    <w:rsid w:val="00FC5219"/>
    <w:rsid w:val="00FC52D9"/>
    <w:rsid w:val="00FC538A"/>
    <w:rsid w:val="00FC53B9"/>
    <w:rsid w:val="00FC544B"/>
    <w:rsid w:val="00FC54F0"/>
    <w:rsid w:val="00FC55B1"/>
    <w:rsid w:val="00FC55C5"/>
    <w:rsid w:val="00FC55E2"/>
    <w:rsid w:val="00FC55FE"/>
    <w:rsid w:val="00FC5611"/>
    <w:rsid w:val="00FC56E9"/>
    <w:rsid w:val="00FC5756"/>
    <w:rsid w:val="00FC583C"/>
    <w:rsid w:val="00FC5F10"/>
    <w:rsid w:val="00FC5FC5"/>
    <w:rsid w:val="00FC6064"/>
    <w:rsid w:val="00FC607B"/>
    <w:rsid w:val="00FC60D4"/>
    <w:rsid w:val="00FC6197"/>
    <w:rsid w:val="00FC6200"/>
    <w:rsid w:val="00FC635D"/>
    <w:rsid w:val="00FC6708"/>
    <w:rsid w:val="00FC67B7"/>
    <w:rsid w:val="00FC683D"/>
    <w:rsid w:val="00FC6888"/>
    <w:rsid w:val="00FC68FB"/>
    <w:rsid w:val="00FC6A4C"/>
    <w:rsid w:val="00FC6B15"/>
    <w:rsid w:val="00FC6B2F"/>
    <w:rsid w:val="00FC6C68"/>
    <w:rsid w:val="00FC6C71"/>
    <w:rsid w:val="00FC6D6B"/>
    <w:rsid w:val="00FC6E2B"/>
    <w:rsid w:val="00FC6E2F"/>
    <w:rsid w:val="00FC6F31"/>
    <w:rsid w:val="00FC6F87"/>
    <w:rsid w:val="00FC7070"/>
    <w:rsid w:val="00FC70E3"/>
    <w:rsid w:val="00FC7129"/>
    <w:rsid w:val="00FC713A"/>
    <w:rsid w:val="00FC7212"/>
    <w:rsid w:val="00FC731C"/>
    <w:rsid w:val="00FC74C3"/>
    <w:rsid w:val="00FC751A"/>
    <w:rsid w:val="00FC775A"/>
    <w:rsid w:val="00FC78C3"/>
    <w:rsid w:val="00FC79AB"/>
    <w:rsid w:val="00FC7B3F"/>
    <w:rsid w:val="00FC7C95"/>
    <w:rsid w:val="00FC7CA4"/>
    <w:rsid w:val="00FC7CCF"/>
    <w:rsid w:val="00FC7FAD"/>
    <w:rsid w:val="00FD0037"/>
    <w:rsid w:val="00FD007D"/>
    <w:rsid w:val="00FD0105"/>
    <w:rsid w:val="00FD0193"/>
    <w:rsid w:val="00FD030E"/>
    <w:rsid w:val="00FD037C"/>
    <w:rsid w:val="00FD0748"/>
    <w:rsid w:val="00FD07B2"/>
    <w:rsid w:val="00FD07B8"/>
    <w:rsid w:val="00FD07DA"/>
    <w:rsid w:val="00FD0969"/>
    <w:rsid w:val="00FD0A36"/>
    <w:rsid w:val="00FD0B84"/>
    <w:rsid w:val="00FD0C22"/>
    <w:rsid w:val="00FD0C90"/>
    <w:rsid w:val="00FD0D3F"/>
    <w:rsid w:val="00FD0E1A"/>
    <w:rsid w:val="00FD0ED6"/>
    <w:rsid w:val="00FD11B8"/>
    <w:rsid w:val="00FD144F"/>
    <w:rsid w:val="00FD149E"/>
    <w:rsid w:val="00FD1601"/>
    <w:rsid w:val="00FD1748"/>
    <w:rsid w:val="00FD17BB"/>
    <w:rsid w:val="00FD17D3"/>
    <w:rsid w:val="00FD18B9"/>
    <w:rsid w:val="00FD1A06"/>
    <w:rsid w:val="00FD1A5B"/>
    <w:rsid w:val="00FD1B1B"/>
    <w:rsid w:val="00FD1CCA"/>
    <w:rsid w:val="00FD1E14"/>
    <w:rsid w:val="00FD1E71"/>
    <w:rsid w:val="00FD1FD9"/>
    <w:rsid w:val="00FD20CA"/>
    <w:rsid w:val="00FD2112"/>
    <w:rsid w:val="00FD2245"/>
    <w:rsid w:val="00FD2310"/>
    <w:rsid w:val="00FD232C"/>
    <w:rsid w:val="00FD24DB"/>
    <w:rsid w:val="00FD26DE"/>
    <w:rsid w:val="00FD2814"/>
    <w:rsid w:val="00FD2860"/>
    <w:rsid w:val="00FD2907"/>
    <w:rsid w:val="00FD29EB"/>
    <w:rsid w:val="00FD2AE6"/>
    <w:rsid w:val="00FD2B10"/>
    <w:rsid w:val="00FD2E63"/>
    <w:rsid w:val="00FD2F27"/>
    <w:rsid w:val="00FD3124"/>
    <w:rsid w:val="00FD3200"/>
    <w:rsid w:val="00FD33A0"/>
    <w:rsid w:val="00FD35B9"/>
    <w:rsid w:val="00FD3631"/>
    <w:rsid w:val="00FD36EF"/>
    <w:rsid w:val="00FD37CC"/>
    <w:rsid w:val="00FD3930"/>
    <w:rsid w:val="00FD39A1"/>
    <w:rsid w:val="00FD3AEF"/>
    <w:rsid w:val="00FD3D13"/>
    <w:rsid w:val="00FD3ECA"/>
    <w:rsid w:val="00FD3F4A"/>
    <w:rsid w:val="00FD3F71"/>
    <w:rsid w:val="00FD4017"/>
    <w:rsid w:val="00FD429A"/>
    <w:rsid w:val="00FD438E"/>
    <w:rsid w:val="00FD4410"/>
    <w:rsid w:val="00FD448B"/>
    <w:rsid w:val="00FD4580"/>
    <w:rsid w:val="00FD4630"/>
    <w:rsid w:val="00FD4698"/>
    <w:rsid w:val="00FD46BB"/>
    <w:rsid w:val="00FD489B"/>
    <w:rsid w:val="00FD4D03"/>
    <w:rsid w:val="00FD4E90"/>
    <w:rsid w:val="00FD4ECC"/>
    <w:rsid w:val="00FD4ED0"/>
    <w:rsid w:val="00FD4F55"/>
    <w:rsid w:val="00FD4FF6"/>
    <w:rsid w:val="00FD5085"/>
    <w:rsid w:val="00FD52AB"/>
    <w:rsid w:val="00FD536B"/>
    <w:rsid w:val="00FD546F"/>
    <w:rsid w:val="00FD565D"/>
    <w:rsid w:val="00FD573D"/>
    <w:rsid w:val="00FD5756"/>
    <w:rsid w:val="00FD5788"/>
    <w:rsid w:val="00FD5A37"/>
    <w:rsid w:val="00FD5AC3"/>
    <w:rsid w:val="00FD5B95"/>
    <w:rsid w:val="00FD5C56"/>
    <w:rsid w:val="00FD5C92"/>
    <w:rsid w:val="00FD5C9E"/>
    <w:rsid w:val="00FD5CA2"/>
    <w:rsid w:val="00FD5E71"/>
    <w:rsid w:val="00FD5F0B"/>
    <w:rsid w:val="00FD5F95"/>
    <w:rsid w:val="00FD60E8"/>
    <w:rsid w:val="00FD616C"/>
    <w:rsid w:val="00FD6171"/>
    <w:rsid w:val="00FD6248"/>
    <w:rsid w:val="00FD626F"/>
    <w:rsid w:val="00FD6378"/>
    <w:rsid w:val="00FD64A1"/>
    <w:rsid w:val="00FD655D"/>
    <w:rsid w:val="00FD668C"/>
    <w:rsid w:val="00FD689D"/>
    <w:rsid w:val="00FD6A63"/>
    <w:rsid w:val="00FD6C13"/>
    <w:rsid w:val="00FD6D62"/>
    <w:rsid w:val="00FD6DF0"/>
    <w:rsid w:val="00FD6E71"/>
    <w:rsid w:val="00FD70C8"/>
    <w:rsid w:val="00FD75BA"/>
    <w:rsid w:val="00FD75C1"/>
    <w:rsid w:val="00FD75F6"/>
    <w:rsid w:val="00FD769C"/>
    <w:rsid w:val="00FD76D4"/>
    <w:rsid w:val="00FD77B8"/>
    <w:rsid w:val="00FD77C0"/>
    <w:rsid w:val="00FD7827"/>
    <w:rsid w:val="00FD7A35"/>
    <w:rsid w:val="00FD7A3F"/>
    <w:rsid w:val="00FD7C7A"/>
    <w:rsid w:val="00FD7DC1"/>
    <w:rsid w:val="00FD7F45"/>
    <w:rsid w:val="00FE0007"/>
    <w:rsid w:val="00FE0032"/>
    <w:rsid w:val="00FE0803"/>
    <w:rsid w:val="00FE0980"/>
    <w:rsid w:val="00FE09D3"/>
    <w:rsid w:val="00FE0CBD"/>
    <w:rsid w:val="00FE0FE8"/>
    <w:rsid w:val="00FE1467"/>
    <w:rsid w:val="00FE1588"/>
    <w:rsid w:val="00FE15D2"/>
    <w:rsid w:val="00FE1617"/>
    <w:rsid w:val="00FE1630"/>
    <w:rsid w:val="00FE16F6"/>
    <w:rsid w:val="00FE194D"/>
    <w:rsid w:val="00FE1AB5"/>
    <w:rsid w:val="00FE1DAD"/>
    <w:rsid w:val="00FE1F14"/>
    <w:rsid w:val="00FE1FF4"/>
    <w:rsid w:val="00FE21EA"/>
    <w:rsid w:val="00FE22F9"/>
    <w:rsid w:val="00FE23B7"/>
    <w:rsid w:val="00FE24B6"/>
    <w:rsid w:val="00FE253A"/>
    <w:rsid w:val="00FE25A5"/>
    <w:rsid w:val="00FE25F7"/>
    <w:rsid w:val="00FE2764"/>
    <w:rsid w:val="00FE278E"/>
    <w:rsid w:val="00FE28C6"/>
    <w:rsid w:val="00FE292F"/>
    <w:rsid w:val="00FE2BDF"/>
    <w:rsid w:val="00FE2C67"/>
    <w:rsid w:val="00FE2CF9"/>
    <w:rsid w:val="00FE326E"/>
    <w:rsid w:val="00FE3622"/>
    <w:rsid w:val="00FE363E"/>
    <w:rsid w:val="00FE3962"/>
    <w:rsid w:val="00FE3991"/>
    <w:rsid w:val="00FE3AF7"/>
    <w:rsid w:val="00FE3B40"/>
    <w:rsid w:val="00FE3C34"/>
    <w:rsid w:val="00FE3E0D"/>
    <w:rsid w:val="00FE3E50"/>
    <w:rsid w:val="00FE3ED6"/>
    <w:rsid w:val="00FE3F3A"/>
    <w:rsid w:val="00FE3FD6"/>
    <w:rsid w:val="00FE3FFA"/>
    <w:rsid w:val="00FE4026"/>
    <w:rsid w:val="00FE4041"/>
    <w:rsid w:val="00FE416D"/>
    <w:rsid w:val="00FE417C"/>
    <w:rsid w:val="00FE41A5"/>
    <w:rsid w:val="00FE426F"/>
    <w:rsid w:val="00FE42EC"/>
    <w:rsid w:val="00FE434C"/>
    <w:rsid w:val="00FE4373"/>
    <w:rsid w:val="00FE4550"/>
    <w:rsid w:val="00FE45FF"/>
    <w:rsid w:val="00FE4734"/>
    <w:rsid w:val="00FE4AAF"/>
    <w:rsid w:val="00FE4B11"/>
    <w:rsid w:val="00FE4B59"/>
    <w:rsid w:val="00FE4C24"/>
    <w:rsid w:val="00FE4C65"/>
    <w:rsid w:val="00FE4DD8"/>
    <w:rsid w:val="00FE4DF2"/>
    <w:rsid w:val="00FE4E2A"/>
    <w:rsid w:val="00FE4EAE"/>
    <w:rsid w:val="00FE4F77"/>
    <w:rsid w:val="00FE50E1"/>
    <w:rsid w:val="00FE5141"/>
    <w:rsid w:val="00FE5164"/>
    <w:rsid w:val="00FE5ABD"/>
    <w:rsid w:val="00FE5AE2"/>
    <w:rsid w:val="00FE5B21"/>
    <w:rsid w:val="00FE5B47"/>
    <w:rsid w:val="00FE5B96"/>
    <w:rsid w:val="00FE5C20"/>
    <w:rsid w:val="00FE5D4D"/>
    <w:rsid w:val="00FE5DC7"/>
    <w:rsid w:val="00FE5E2D"/>
    <w:rsid w:val="00FE5F1E"/>
    <w:rsid w:val="00FE5F93"/>
    <w:rsid w:val="00FE6007"/>
    <w:rsid w:val="00FE6027"/>
    <w:rsid w:val="00FE6074"/>
    <w:rsid w:val="00FE6443"/>
    <w:rsid w:val="00FE64C3"/>
    <w:rsid w:val="00FE650B"/>
    <w:rsid w:val="00FE651F"/>
    <w:rsid w:val="00FE6533"/>
    <w:rsid w:val="00FE6583"/>
    <w:rsid w:val="00FE65E1"/>
    <w:rsid w:val="00FE6606"/>
    <w:rsid w:val="00FE662E"/>
    <w:rsid w:val="00FE66E1"/>
    <w:rsid w:val="00FE673D"/>
    <w:rsid w:val="00FE683B"/>
    <w:rsid w:val="00FE68CA"/>
    <w:rsid w:val="00FE692A"/>
    <w:rsid w:val="00FE693B"/>
    <w:rsid w:val="00FE6A0D"/>
    <w:rsid w:val="00FE6BBC"/>
    <w:rsid w:val="00FE6BD1"/>
    <w:rsid w:val="00FE6C55"/>
    <w:rsid w:val="00FE6E7D"/>
    <w:rsid w:val="00FE6E84"/>
    <w:rsid w:val="00FE6F01"/>
    <w:rsid w:val="00FE6F52"/>
    <w:rsid w:val="00FE71BA"/>
    <w:rsid w:val="00FE71F0"/>
    <w:rsid w:val="00FE7253"/>
    <w:rsid w:val="00FE73A1"/>
    <w:rsid w:val="00FE74C8"/>
    <w:rsid w:val="00FE752F"/>
    <w:rsid w:val="00FE769D"/>
    <w:rsid w:val="00FE77A4"/>
    <w:rsid w:val="00FE781F"/>
    <w:rsid w:val="00FE7A71"/>
    <w:rsid w:val="00FE7AC1"/>
    <w:rsid w:val="00FE7D77"/>
    <w:rsid w:val="00FE7E27"/>
    <w:rsid w:val="00FF0187"/>
    <w:rsid w:val="00FF01DF"/>
    <w:rsid w:val="00FF01F2"/>
    <w:rsid w:val="00FF02F3"/>
    <w:rsid w:val="00FF0354"/>
    <w:rsid w:val="00FF041B"/>
    <w:rsid w:val="00FF0A90"/>
    <w:rsid w:val="00FF0AB2"/>
    <w:rsid w:val="00FF0ACC"/>
    <w:rsid w:val="00FF0D7A"/>
    <w:rsid w:val="00FF0D9B"/>
    <w:rsid w:val="00FF1038"/>
    <w:rsid w:val="00FF1066"/>
    <w:rsid w:val="00FF11D6"/>
    <w:rsid w:val="00FF120B"/>
    <w:rsid w:val="00FF1523"/>
    <w:rsid w:val="00FF164C"/>
    <w:rsid w:val="00FF16F7"/>
    <w:rsid w:val="00FF1787"/>
    <w:rsid w:val="00FF17B5"/>
    <w:rsid w:val="00FF19DD"/>
    <w:rsid w:val="00FF1B1A"/>
    <w:rsid w:val="00FF1B1C"/>
    <w:rsid w:val="00FF1C57"/>
    <w:rsid w:val="00FF1CE5"/>
    <w:rsid w:val="00FF1E30"/>
    <w:rsid w:val="00FF1E87"/>
    <w:rsid w:val="00FF1FDE"/>
    <w:rsid w:val="00FF2117"/>
    <w:rsid w:val="00FF228A"/>
    <w:rsid w:val="00FF234B"/>
    <w:rsid w:val="00FF274C"/>
    <w:rsid w:val="00FF297E"/>
    <w:rsid w:val="00FF297F"/>
    <w:rsid w:val="00FF2B35"/>
    <w:rsid w:val="00FF2BEA"/>
    <w:rsid w:val="00FF2C85"/>
    <w:rsid w:val="00FF2D7F"/>
    <w:rsid w:val="00FF3030"/>
    <w:rsid w:val="00FF3050"/>
    <w:rsid w:val="00FF3243"/>
    <w:rsid w:val="00FF32FF"/>
    <w:rsid w:val="00FF3322"/>
    <w:rsid w:val="00FF33D7"/>
    <w:rsid w:val="00FF355F"/>
    <w:rsid w:val="00FF35E9"/>
    <w:rsid w:val="00FF3637"/>
    <w:rsid w:val="00FF38C8"/>
    <w:rsid w:val="00FF3922"/>
    <w:rsid w:val="00FF4043"/>
    <w:rsid w:val="00FF415A"/>
    <w:rsid w:val="00FF41D8"/>
    <w:rsid w:val="00FF41E7"/>
    <w:rsid w:val="00FF4392"/>
    <w:rsid w:val="00FF44A6"/>
    <w:rsid w:val="00FF44C7"/>
    <w:rsid w:val="00FF45D8"/>
    <w:rsid w:val="00FF45E0"/>
    <w:rsid w:val="00FF4621"/>
    <w:rsid w:val="00FF465B"/>
    <w:rsid w:val="00FF4789"/>
    <w:rsid w:val="00FF47F5"/>
    <w:rsid w:val="00FF4A28"/>
    <w:rsid w:val="00FF4AD8"/>
    <w:rsid w:val="00FF4B54"/>
    <w:rsid w:val="00FF4C61"/>
    <w:rsid w:val="00FF4C7B"/>
    <w:rsid w:val="00FF4D55"/>
    <w:rsid w:val="00FF4DB9"/>
    <w:rsid w:val="00FF4E10"/>
    <w:rsid w:val="00FF4E6D"/>
    <w:rsid w:val="00FF4FA3"/>
    <w:rsid w:val="00FF4FEB"/>
    <w:rsid w:val="00FF50E8"/>
    <w:rsid w:val="00FF5390"/>
    <w:rsid w:val="00FF5453"/>
    <w:rsid w:val="00FF5471"/>
    <w:rsid w:val="00FF55C7"/>
    <w:rsid w:val="00FF5903"/>
    <w:rsid w:val="00FF5B9B"/>
    <w:rsid w:val="00FF5BAF"/>
    <w:rsid w:val="00FF5BD9"/>
    <w:rsid w:val="00FF5E43"/>
    <w:rsid w:val="00FF5EAB"/>
    <w:rsid w:val="00FF5FDF"/>
    <w:rsid w:val="00FF6000"/>
    <w:rsid w:val="00FF6161"/>
    <w:rsid w:val="00FF6257"/>
    <w:rsid w:val="00FF6279"/>
    <w:rsid w:val="00FF62A7"/>
    <w:rsid w:val="00FF64DE"/>
    <w:rsid w:val="00FF671B"/>
    <w:rsid w:val="00FF691D"/>
    <w:rsid w:val="00FF6A3F"/>
    <w:rsid w:val="00FF6B7C"/>
    <w:rsid w:val="00FF6C65"/>
    <w:rsid w:val="00FF6C92"/>
    <w:rsid w:val="00FF6F4B"/>
    <w:rsid w:val="00FF7171"/>
    <w:rsid w:val="00FF726D"/>
    <w:rsid w:val="00FF732C"/>
    <w:rsid w:val="00FF734D"/>
    <w:rsid w:val="00FF74C8"/>
    <w:rsid w:val="00FF7513"/>
    <w:rsid w:val="00FF7523"/>
    <w:rsid w:val="00FF75C3"/>
    <w:rsid w:val="00FF7687"/>
    <w:rsid w:val="00FF76CB"/>
    <w:rsid w:val="00FF785D"/>
    <w:rsid w:val="00FF7888"/>
    <w:rsid w:val="00FF7A4E"/>
    <w:rsid w:val="00FF7B14"/>
    <w:rsid w:val="00FF7B7D"/>
    <w:rsid w:val="00FF7B9C"/>
    <w:rsid w:val="00FF7C17"/>
    <w:rsid w:val="00FF7CBC"/>
    <w:rsid w:val="018E2498"/>
    <w:rsid w:val="01A4F22D"/>
    <w:rsid w:val="021F0C0D"/>
    <w:rsid w:val="0284E302"/>
    <w:rsid w:val="02EE90DB"/>
    <w:rsid w:val="03790F85"/>
    <w:rsid w:val="0394327F"/>
    <w:rsid w:val="040615E9"/>
    <w:rsid w:val="04565A89"/>
    <w:rsid w:val="047BB914"/>
    <w:rsid w:val="0491A11D"/>
    <w:rsid w:val="04FA9BA1"/>
    <w:rsid w:val="0515A546"/>
    <w:rsid w:val="05169D9B"/>
    <w:rsid w:val="0540BE68"/>
    <w:rsid w:val="05D75F29"/>
    <w:rsid w:val="06519890"/>
    <w:rsid w:val="073207A0"/>
    <w:rsid w:val="07535D1B"/>
    <w:rsid w:val="076DDAC2"/>
    <w:rsid w:val="0796111A"/>
    <w:rsid w:val="07B4BB7F"/>
    <w:rsid w:val="07BED640"/>
    <w:rsid w:val="083073DE"/>
    <w:rsid w:val="08448C37"/>
    <w:rsid w:val="0875037C"/>
    <w:rsid w:val="090AA190"/>
    <w:rsid w:val="091AC914"/>
    <w:rsid w:val="091C7AC9"/>
    <w:rsid w:val="09D38421"/>
    <w:rsid w:val="09FFC5C4"/>
    <w:rsid w:val="0A447233"/>
    <w:rsid w:val="0A5BFBDA"/>
    <w:rsid w:val="0AC39843"/>
    <w:rsid w:val="0AEFB316"/>
    <w:rsid w:val="0B567D9E"/>
    <w:rsid w:val="0B95D2D4"/>
    <w:rsid w:val="0BB90789"/>
    <w:rsid w:val="0BD1F89C"/>
    <w:rsid w:val="0BE4BCE3"/>
    <w:rsid w:val="0C29AA1C"/>
    <w:rsid w:val="0C2BFAAA"/>
    <w:rsid w:val="0C43B600"/>
    <w:rsid w:val="0C60E9B5"/>
    <w:rsid w:val="0CACE56A"/>
    <w:rsid w:val="0D60831B"/>
    <w:rsid w:val="0DE98249"/>
    <w:rsid w:val="0F325EB3"/>
    <w:rsid w:val="0F41B9AA"/>
    <w:rsid w:val="0FA90C0B"/>
    <w:rsid w:val="0FB5130E"/>
    <w:rsid w:val="10475508"/>
    <w:rsid w:val="10DB0F2E"/>
    <w:rsid w:val="110D8D5B"/>
    <w:rsid w:val="11382598"/>
    <w:rsid w:val="119A4128"/>
    <w:rsid w:val="120C95AB"/>
    <w:rsid w:val="12555B68"/>
    <w:rsid w:val="130F92D2"/>
    <w:rsid w:val="131C0B05"/>
    <w:rsid w:val="13455FB5"/>
    <w:rsid w:val="134CFE49"/>
    <w:rsid w:val="13C5C27B"/>
    <w:rsid w:val="13FE8EA8"/>
    <w:rsid w:val="140C97AA"/>
    <w:rsid w:val="1469AEB0"/>
    <w:rsid w:val="14A41B1A"/>
    <w:rsid w:val="14CE413C"/>
    <w:rsid w:val="14F281C5"/>
    <w:rsid w:val="1522DAF2"/>
    <w:rsid w:val="155CE04C"/>
    <w:rsid w:val="15B5DC0D"/>
    <w:rsid w:val="16574D70"/>
    <w:rsid w:val="16AB6E04"/>
    <w:rsid w:val="16CC919F"/>
    <w:rsid w:val="16E78EBE"/>
    <w:rsid w:val="1700B694"/>
    <w:rsid w:val="1755C00F"/>
    <w:rsid w:val="175C9C1B"/>
    <w:rsid w:val="1773701D"/>
    <w:rsid w:val="18643CA8"/>
    <w:rsid w:val="191F87C1"/>
    <w:rsid w:val="192DC5B0"/>
    <w:rsid w:val="194769A9"/>
    <w:rsid w:val="19825D08"/>
    <w:rsid w:val="1AF6759B"/>
    <w:rsid w:val="1D45EF57"/>
    <w:rsid w:val="1D99D37C"/>
    <w:rsid w:val="1DD9FACD"/>
    <w:rsid w:val="1EAB5158"/>
    <w:rsid w:val="1F63E44C"/>
    <w:rsid w:val="1F906FB2"/>
    <w:rsid w:val="20702C91"/>
    <w:rsid w:val="20E6A3DC"/>
    <w:rsid w:val="2177FF54"/>
    <w:rsid w:val="21E9F95F"/>
    <w:rsid w:val="220B2A58"/>
    <w:rsid w:val="223DA28E"/>
    <w:rsid w:val="22EA358F"/>
    <w:rsid w:val="24D5226D"/>
    <w:rsid w:val="25820B0C"/>
    <w:rsid w:val="25BD2CA4"/>
    <w:rsid w:val="2676C800"/>
    <w:rsid w:val="267C59C4"/>
    <w:rsid w:val="2691C9E5"/>
    <w:rsid w:val="26A1512D"/>
    <w:rsid w:val="271DD1AA"/>
    <w:rsid w:val="27201577"/>
    <w:rsid w:val="28C37F63"/>
    <w:rsid w:val="292A18F0"/>
    <w:rsid w:val="2953F561"/>
    <w:rsid w:val="295BA851"/>
    <w:rsid w:val="29C91CC1"/>
    <w:rsid w:val="2A55E0D6"/>
    <w:rsid w:val="2A5C57C2"/>
    <w:rsid w:val="2AFF8A94"/>
    <w:rsid w:val="2B98FB1E"/>
    <w:rsid w:val="2BA214DA"/>
    <w:rsid w:val="2C02728E"/>
    <w:rsid w:val="2C0BEF32"/>
    <w:rsid w:val="2C4000EB"/>
    <w:rsid w:val="2CD48A7E"/>
    <w:rsid w:val="2CF9B0C5"/>
    <w:rsid w:val="2D420EF4"/>
    <w:rsid w:val="2DF9DD60"/>
    <w:rsid w:val="2E5D2DE0"/>
    <w:rsid w:val="2EA64C48"/>
    <w:rsid w:val="2F449222"/>
    <w:rsid w:val="2FE25850"/>
    <w:rsid w:val="2FE5C82B"/>
    <w:rsid w:val="2FF52480"/>
    <w:rsid w:val="3126A591"/>
    <w:rsid w:val="31D3F10F"/>
    <w:rsid w:val="324CC387"/>
    <w:rsid w:val="32614486"/>
    <w:rsid w:val="3310415E"/>
    <w:rsid w:val="33370E54"/>
    <w:rsid w:val="334D35B3"/>
    <w:rsid w:val="338C6122"/>
    <w:rsid w:val="33A11FA8"/>
    <w:rsid w:val="34C18F54"/>
    <w:rsid w:val="3593A932"/>
    <w:rsid w:val="3644C403"/>
    <w:rsid w:val="36772641"/>
    <w:rsid w:val="369646CC"/>
    <w:rsid w:val="36D7917A"/>
    <w:rsid w:val="36F80EEA"/>
    <w:rsid w:val="3717CEFF"/>
    <w:rsid w:val="381D0E91"/>
    <w:rsid w:val="38319EA5"/>
    <w:rsid w:val="3878F77E"/>
    <w:rsid w:val="388C1E0B"/>
    <w:rsid w:val="38A0B60A"/>
    <w:rsid w:val="390A4D68"/>
    <w:rsid w:val="39905912"/>
    <w:rsid w:val="3A81E5A0"/>
    <w:rsid w:val="3AE26A2A"/>
    <w:rsid w:val="3BCF7C1C"/>
    <w:rsid w:val="3BE00FC6"/>
    <w:rsid w:val="3BE40E28"/>
    <w:rsid w:val="3BEBE989"/>
    <w:rsid w:val="3C5D9725"/>
    <w:rsid w:val="3CFDD238"/>
    <w:rsid w:val="3E1C7274"/>
    <w:rsid w:val="3ED0750F"/>
    <w:rsid w:val="3ED0A995"/>
    <w:rsid w:val="3ED7DAB5"/>
    <w:rsid w:val="3EE76F9A"/>
    <w:rsid w:val="3EE9C015"/>
    <w:rsid w:val="3EF3792F"/>
    <w:rsid w:val="3F55825E"/>
    <w:rsid w:val="3F8897ED"/>
    <w:rsid w:val="3F89DCE7"/>
    <w:rsid w:val="3FC987B8"/>
    <w:rsid w:val="4010BBC5"/>
    <w:rsid w:val="419F3435"/>
    <w:rsid w:val="41AEB6BF"/>
    <w:rsid w:val="41DD256D"/>
    <w:rsid w:val="42BA005D"/>
    <w:rsid w:val="44AE4492"/>
    <w:rsid w:val="4528A196"/>
    <w:rsid w:val="4535B1D8"/>
    <w:rsid w:val="454805A0"/>
    <w:rsid w:val="458B3852"/>
    <w:rsid w:val="45C64C9E"/>
    <w:rsid w:val="4620C9B0"/>
    <w:rsid w:val="465C4927"/>
    <w:rsid w:val="4677EB82"/>
    <w:rsid w:val="4691C202"/>
    <w:rsid w:val="4737E46C"/>
    <w:rsid w:val="473F5F66"/>
    <w:rsid w:val="4760ED40"/>
    <w:rsid w:val="477AF408"/>
    <w:rsid w:val="47EDAB71"/>
    <w:rsid w:val="48596B36"/>
    <w:rsid w:val="48C45A4D"/>
    <w:rsid w:val="4921B9FD"/>
    <w:rsid w:val="4AA69DF3"/>
    <w:rsid w:val="4ABBBEC9"/>
    <w:rsid w:val="4ABE867D"/>
    <w:rsid w:val="4AFD02F2"/>
    <w:rsid w:val="4B611BFA"/>
    <w:rsid w:val="4B71DA75"/>
    <w:rsid w:val="4C675070"/>
    <w:rsid w:val="4C72FBA1"/>
    <w:rsid w:val="4C9E348D"/>
    <w:rsid w:val="4D02C1D1"/>
    <w:rsid w:val="4D90800F"/>
    <w:rsid w:val="4DAAFE9A"/>
    <w:rsid w:val="4E80C58B"/>
    <w:rsid w:val="4EED0E63"/>
    <w:rsid w:val="4F1DD820"/>
    <w:rsid w:val="4F47BDC2"/>
    <w:rsid w:val="4F67D9C5"/>
    <w:rsid w:val="4FCF7A89"/>
    <w:rsid w:val="504B6091"/>
    <w:rsid w:val="51004CE2"/>
    <w:rsid w:val="514B331C"/>
    <w:rsid w:val="518589E1"/>
    <w:rsid w:val="51B7CED5"/>
    <w:rsid w:val="51CA55F5"/>
    <w:rsid w:val="52378B28"/>
    <w:rsid w:val="5275F38F"/>
    <w:rsid w:val="52A01A44"/>
    <w:rsid w:val="53E98A15"/>
    <w:rsid w:val="53EC3C8C"/>
    <w:rsid w:val="5402A242"/>
    <w:rsid w:val="54608F45"/>
    <w:rsid w:val="54707C7C"/>
    <w:rsid w:val="56242852"/>
    <w:rsid w:val="5647B732"/>
    <w:rsid w:val="56671CC2"/>
    <w:rsid w:val="57196348"/>
    <w:rsid w:val="577AC5AD"/>
    <w:rsid w:val="577F0E31"/>
    <w:rsid w:val="57896EE3"/>
    <w:rsid w:val="57FDF4F5"/>
    <w:rsid w:val="58C9B948"/>
    <w:rsid w:val="59137B45"/>
    <w:rsid w:val="59744FB8"/>
    <w:rsid w:val="59D2879B"/>
    <w:rsid w:val="5A935FCE"/>
    <w:rsid w:val="5B1F12E4"/>
    <w:rsid w:val="5B795AD4"/>
    <w:rsid w:val="5B8FDD1A"/>
    <w:rsid w:val="5BA4483E"/>
    <w:rsid w:val="5BAE3E26"/>
    <w:rsid w:val="5BC86D3A"/>
    <w:rsid w:val="5BF0FD2F"/>
    <w:rsid w:val="5C3CD369"/>
    <w:rsid w:val="5C689371"/>
    <w:rsid w:val="5C76E966"/>
    <w:rsid w:val="5C88E9CF"/>
    <w:rsid w:val="5CF49024"/>
    <w:rsid w:val="5D8715EE"/>
    <w:rsid w:val="5D928303"/>
    <w:rsid w:val="5DCD1596"/>
    <w:rsid w:val="5E040746"/>
    <w:rsid w:val="5E0923DB"/>
    <w:rsid w:val="5E5D35D2"/>
    <w:rsid w:val="5EB01EC5"/>
    <w:rsid w:val="5ED256F3"/>
    <w:rsid w:val="5EE683D5"/>
    <w:rsid w:val="5F061D4C"/>
    <w:rsid w:val="5F8E4D5D"/>
    <w:rsid w:val="5FFDB302"/>
    <w:rsid w:val="600754ED"/>
    <w:rsid w:val="60289401"/>
    <w:rsid w:val="605F8CF3"/>
    <w:rsid w:val="607862E8"/>
    <w:rsid w:val="609FC15B"/>
    <w:rsid w:val="60EF4D9C"/>
    <w:rsid w:val="612138E8"/>
    <w:rsid w:val="61754079"/>
    <w:rsid w:val="6266B957"/>
    <w:rsid w:val="62AF6032"/>
    <w:rsid w:val="62D4CFB1"/>
    <w:rsid w:val="62DBBA7C"/>
    <w:rsid w:val="63040B0B"/>
    <w:rsid w:val="631EF131"/>
    <w:rsid w:val="634F3BC1"/>
    <w:rsid w:val="63D695D7"/>
    <w:rsid w:val="6410D368"/>
    <w:rsid w:val="643405E8"/>
    <w:rsid w:val="6437CE90"/>
    <w:rsid w:val="64472698"/>
    <w:rsid w:val="648B7219"/>
    <w:rsid w:val="6530ECEC"/>
    <w:rsid w:val="653EC52E"/>
    <w:rsid w:val="667F9E6C"/>
    <w:rsid w:val="675AD07A"/>
    <w:rsid w:val="67E32760"/>
    <w:rsid w:val="6854A66F"/>
    <w:rsid w:val="69777CD5"/>
    <w:rsid w:val="69CFE293"/>
    <w:rsid w:val="6A052EA2"/>
    <w:rsid w:val="6A1C4CE2"/>
    <w:rsid w:val="6A4CD9DC"/>
    <w:rsid w:val="6A7E127F"/>
    <w:rsid w:val="6AAF92C1"/>
    <w:rsid w:val="6AB0F845"/>
    <w:rsid w:val="6ABBE91C"/>
    <w:rsid w:val="6AD98EC1"/>
    <w:rsid w:val="6AF98EF2"/>
    <w:rsid w:val="6B151AE8"/>
    <w:rsid w:val="6B9D3082"/>
    <w:rsid w:val="6BCC3218"/>
    <w:rsid w:val="6BCC842A"/>
    <w:rsid w:val="6BD21043"/>
    <w:rsid w:val="6C0AE93F"/>
    <w:rsid w:val="6C1D9819"/>
    <w:rsid w:val="6C1E8A64"/>
    <w:rsid w:val="6C3A32C2"/>
    <w:rsid w:val="6C6B077A"/>
    <w:rsid w:val="6C9A41C1"/>
    <w:rsid w:val="6CDDCA55"/>
    <w:rsid w:val="6D943D25"/>
    <w:rsid w:val="6E4F07AE"/>
    <w:rsid w:val="6EFA53DC"/>
    <w:rsid w:val="6F05D6D1"/>
    <w:rsid w:val="6F580C62"/>
    <w:rsid w:val="7017171E"/>
    <w:rsid w:val="7045666B"/>
    <w:rsid w:val="707A855C"/>
    <w:rsid w:val="70926CB4"/>
    <w:rsid w:val="70ABADF3"/>
    <w:rsid w:val="70EB7FBB"/>
    <w:rsid w:val="71539E4F"/>
    <w:rsid w:val="717407C0"/>
    <w:rsid w:val="71B0E856"/>
    <w:rsid w:val="71DA865B"/>
    <w:rsid w:val="72175153"/>
    <w:rsid w:val="7276C8D7"/>
    <w:rsid w:val="727E9948"/>
    <w:rsid w:val="72F0B0AB"/>
    <w:rsid w:val="73183CD8"/>
    <w:rsid w:val="73C98270"/>
    <w:rsid w:val="7499A8A3"/>
    <w:rsid w:val="74F049BD"/>
    <w:rsid w:val="75FAFE28"/>
    <w:rsid w:val="76643BC5"/>
    <w:rsid w:val="768B3953"/>
    <w:rsid w:val="76998BFE"/>
    <w:rsid w:val="76A2498F"/>
    <w:rsid w:val="77208E47"/>
    <w:rsid w:val="773C9049"/>
    <w:rsid w:val="77790FE1"/>
    <w:rsid w:val="777E4FF2"/>
    <w:rsid w:val="7870013F"/>
    <w:rsid w:val="78F35AC3"/>
    <w:rsid w:val="790A7FD6"/>
    <w:rsid w:val="79292048"/>
    <w:rsid w:val="7A30FF45"/>
    <w:rsid w:val="7A7BFC2B"/>
    <w:rsid w:val="7B4FD926"/>
    <w:rsid w:val="7BC62B95"/>
    <w:rsid w:val="7C7453C8"/>
    <w:rsid w:val="7CE83514"/>
    <w:rsid w:val="7D012542"/>
    <w:rsid w:val="7D1E7A93"/>
    <w:rsid w:val="7D3ABE2F"/>
    <w:rsid w:val="7DC1FDAD"/>
    <w:rsid w:val="7EDFD814"/>
    <w:rsid w:val="7EF19F85"/>
    <w:rsid w:val="7F80E05F"/>
    <w:rsid w:val="7F9C974E"/>
    <w:rsid w:val="7FC987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B1C0A"/>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D2587B"/>
    <w:rPr>
      <w:color w:val="auto"/>
      <w:sz w:val="22"/>
    </w:rPr>
  </w:style>
  <w:style w:type="paragraph" w:styleId="Heading1">
    <w:name w:val="heading 1"/>
    <w:basedOn w:val="Normal"/>
    <w:next w:val="BodyText"/>
    <w:link w:val="Heading1Char"/>
    <w:uiPriority w:val="9"/>
    <w:qFormat/>
    <w:rsid w:val="00B06750"/>
    <w:pPr>
      <w:keepNext/>
      <w:keepLines/>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BD6B54"/>
    <w:pPr>
      <w:keepNext/>
      <w:keepLines/>
      <w:spacing w:before="120"/>
      <w:outlineLvl w:val="1"/>
    </w:pPr>
    <w:rPr>
      <w:rFonts w:asciiTheme="majorHAnsi" w:eastAsiaTheme="majorEastAsia" w:hAnsiTheme="majorHAnsi" w:cstheme="majorBidi"/>
      <w:b/>
      <w:color w:val="000000" w:themeColor="text1"/>
      <w:sz w:val="36"/>
      <w:szCs w:val="40"/>
    </w:rPr>
  </w:style>
  <w:style w:type="paragraph" w:styleId="Heading3">
    <w:name w:val="heading 3"/>
    <w:basedOn w:val="Normal"/>
    <w:next w:val="BodyText"/>
    <w:link w:val="Heading3Char"/>
    <w:uiPriority w:val="9"/>
    <w:unhideWhenUsed/>
    <w:qFormat/>
    <w:rsid w:val="00BD6B54"/>
    <w:pPr>
      <w:keepNext/>
      <w:keepLines/>
      <w:spacing w:before="240" w:after="160" w:line="240" w:lineRule="auto"/>
      <w:outlineLvl w:val="2"/>
    </w:pPr>
    <w:rPr>
      <w:rFonts w:asciiTheme="majorHAnsi" w:eastAsiaTheme="majorEastAsia" w:hAnsiTheme="majorHAnsi" w:cstheme="majorBidi"/>
      <w:color w:val="014463" w:themeColor="text2"/>
      <w:sz w:val="28"/>
      <w:szCs w:val="30"/>
    </w:rPr>
  </w:style>
  <w:style w:type="paragraph" w:styleId="Heading4">
    <w:name w:val="heading 4"/>
    <w:basedOn w:val="BodyText"/>
    <w:next w:val="BodyText"/>
    <w:link w:val="Heading4Char"/>
    <w:uiPriority w:val="9"/>
    <w:qFormat/>
    <w:rsid w:val="007E743E"/>
    <w:pPr>
      <w:spacing w:before="240"/>
      <w:ind w:left="720"/>
      <w:outlineLvl w:val="3"/>
    </w:pPr>
    <w:rPr>
      <w:rFonts w:asciiTheme="majorHAnsi" w:hAnsiTheme="majorHAnsi"/>
      <w:i/>
      <w:szCs w:val="24"/>
    </w:rPr>
  </w:style>
  <w:style w:type="paragraph" w:styleId="Heading5">
    <w:name w:val="heading 5"/>
    <w:basedOn w:val="Normal"/>
    <w:next w:val="Normal"/>
    <w:link w:val="Heading5Char"/>
    <w:uiPriority w:val="9"/>
    <w:semiHidden/>
    <w:qFormat/>
    <w:rsid w:val="006617B7"/>
    <w:pPr>
      <w:keepNext/>
      <w:keepLines/>
      <w:spacing w:before="40" w:after="0"/>
      <w:outlineLvl w:val="4"/>
    </w:pPr>
    <w:rPr>
      <w:rFonts w:asciiTheme="majorHAnsi" w:eastAsiaTheme="majorEastAsia" w:hAnsiTheme="majorHAnsi" w:cstheme="majorBidi"/>
      <w:color w:val="1B232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B06750"/>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BD6B54"/>
    <w:rPr>
      <w:rFonts w:asciiTheme="majorHAnsi" w:eastAsiaTheme="majorEastAsia" w:hAnsiTheme="majorHAnsi" w:cstheme="majorBidi"/>
      <w:b/>
      <w:color w:val="000000" w:themeColor="text1"/>
      <w:sz w:val="36"/>
      <w:szCs w:val="40"/>
    </w:rPr>
  </w:style>
  <w:style w:type="paragraph" w:customStyle="1" w:styleId="NumberedListlvl1">
    <w:name w:val="Numbered List lvl1"/>
    <w:basedOn w:val="ListParagraph"/>
    <w:uiPriority w:val="9"/>
    <w:qFormat/>
    <w:rsid w:val="00FE7253"/>
    <w:pPr>
      <w:numPr>
        <w:numId w:val="5"/>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35049D"/>
  </w:style>
  <w:style w:type="character" w:customStyle="1" w:styleId="BodyTextChar">
    <w:name w:val="Body Text Char"/>
    <w:basedOn w:val="DefaultParagraphFont"/>
    <w:link w:val="BodyText"/>
    <w:rsid w:val="0035049D"/>
    <w:rPr>
      <w:sz w:val="22"/>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BD6B54"/>
    <w:rPr>
      <w:rFonts w:asciiTheme="majorHAnsi" w:eastAsiaTheme="majorEastAsia" w:hAnsiTheme="majorHAnsi" w:cstheme="majorBidi"/>
      <w:color w:val="014463" w:themeColor="text2"/>
      <w:sz w:val="28"/>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7E743E"/>
    <w:rPr>
      <w:rFonts w:asciiTheme="majorHAnsi" w:hAnsiTheme="majorHAnsi"/>
      <w:i/>
      <w:color w:val="auto"/>
      <w:sz w:val="22"/>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link w:val="ProtectiveMarkingChar"/>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15"/>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3"/>
      </w:numPr>
      <w:spacing w:line="324" w:lineRule="auto"/>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4"/>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6C7FC3"/>
    <w:pPr>
      <w:numPr>
        <w:ilvl w:val="2"/>
      </w:numPr>
      <w:ind w:left="1134" w:hanging="283"/>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semiHidden/>
    <w:rsid w:val="003A7E73"/>
    <w:pPr>
      <w:spacing w:after="0" w:line="240" w:lineRule="auto"/>
    </w:pPr>
  </w:style>
  <w:style w:type="character" w:customStyle="1" w:styleId="FootnoteTextChar">
    <w:name w:val="Footnote Text Char"/>
    <w:basedOn w:val="DefaultParagraphFont"/>
    <w:link w:val="FootnoteText"/>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FE09D3"/>
  </w:style>
  <w:style w:type="character" w:customStyle="1" w:styleId="TitleChar">
    <w:name w:val="Title Char"/>
    <w:basedOn w:val="DefaultParagraphFont"/>
    <w:link w:val="Title"/>
    <w:rsid w:val="00FE09D3"/>
    <w:rPr>
      <w:rFonts w:asciiTheme="majorHAnsi" w:hAnsiTheme="majorHAnsi"/>
      <w:b/>
      <w:color w:val="014463" w:themeColor="text2"/>
      <w:sz w:val="60"/>
      <w:szCs w:val="60"/>
    </w:rPr>
  </w:style>
  <w:style w:type="paragraph" w:styleId="Subtitle">
    <w:name w:val="Subtitle"/>
    <w:basedOn w:val="Heading4"/>
    <w:next w:val="Normal"/>
    <w:link w:val="SubtitleChar"/>
    <w:uiPriority w:val="1"/>
    <w:qFormat/>
    <w:rsid w:val="00FE09D3"/>
    <w:pPr>
      <w:spacing w:before="120" w:after="360"/>
    </w:pPr>
  </w:style>
  <w:style w:type="character" w:customStyle="1" w:styleId="SubtitleChar">
    <w:name w:val="Subtitle Char"/>
    <w:basedOn w:val="DefaultParagraphFont"/>
    <w:link w:val="Subtitle"/>
    <w:uiPriority w:val="1"/>
    <w:rsid w:val="00FE09D3"/>
    <w:rPr>
      <w:rFonts w:asciiTheme="majorHAnsi" w:hAnsiTheme="majorHAnsi"/>
      <w:color w:val="014463" w:themeColor="text2"/>
      <w:sz w:val="24"/>
      <w:szCs w:val="24"/>
    </w:rPr>
  </w:style>
  <w:style w:type="character" w:styleId="Hyperlink">
    <w:name w:val="Hyperlink"/>
    <w:basedOn w:val="DefaultParagraphFont"/>
    <w:uiPriority w:val="99"/>
    <w:unhideWhenUsed/>
    <w:rsid w:val="00561516"/>
    <w:rPr>
      <w:color w:val="015F8B" w:themeColor="hyperlink"/>
      <w:u w:val="single"/>
    </w:rPr>
  </w:style>
  <w:style w:type="paragraph" w:customStyle="1" w:styleId="Bullet">
    <w:name w:val="Bullet"/>
    <w:aliases w:val="Body,Bullet + line,b,b + line,b1,level 1"/>
    <w:basedOn w:val="Normal"/>
    <w:link w:val="BulletChar"/>
    <w:qFormat/>
    <w:rsid w:val="00B75265"/>
    <w:pPr>
      <w:numPr>
        <w:numId w:val="6"/>
      </w:numPr>
      <w:spacing w:after="160" w:line="259" w:lineRule="auto"/>
    </w:pPr>
    <w:rPr>
      <w:rFonts w:ascii="Calibri" w:eastAsia="Calibri" w:hAnsi="Calibri" w:cs="Calibri"/>
      <w:szCs w:val="22"/>
      <w:lang w:val="en-GB"/>
    </w:rPr>
  </w:style>
  <w:style w:type="character" w:customStyle="1" w:styleId="BulletChar">
    <w:name w:val="Bullet Char"/>
    <w:aliases w:val="Body Char,Bullet + line Char,b + line Char,b + line Char Char,b Char,b Char Char,b1 Char,level 1 Char"/>
    <w:basedOn w:val="DefaultParagraphFont"/>
    <w:link w:val="Bullet"/>
    <w:rsid w:val="00B75265"/>
    <w:rPr>
      <w:rFonts w:ascii="Calibri" w:eastAsia="Calibri" w:hAnsi="Calibri" w:cs="Calibri"/>
      <w:color w:val="auto"/>
      <w:sz w:val="22"/>
      <w:szCs w:val="22"/>
      <w:lang w:val="en-GB"/>
    </w:rPr>
  </w:style>
  <w:style w:type="paragraph" w:customStyle="1" w:styleId="Dash">
    <w:name w:val="Dash"/>
    <w:basedOn w:val="Normal"/>
    <w:link w:val="DashChar"/>
    <w:qFormat/>
    <w:rsid w:val="00B4270B"/>
    <w:pPr>
      <w:numPr>
        <w:ilvl w:val="1"/>
        <w:numId w:val="6"/>
      </w:numPr>
      <w:spacing w:after="160" w:line="259" w:lineRule="auto"/>
    </w:pPr>
    <w:rPr>
      <w:rFonts w:ascii="Calibri" w:eastAsia="Calibri" w:hAnsi="Calibri" w:cs="Calibri"/>
      <w:szCs w:val="22"/>
      <w:lang w:val="en-GB"/>
    </w:rPr>
  </w:style>
  <w:style w:type="paragraph" w:customStyle="1" w:styleId="DoubleDot">
    <w:name w:val="Double Dot"/>
    <w:basedOn w:val="Normal"/>
    <w:link w:val="DoubleDotChar"/>
    <w:qFormat/>
    <w:rsid w:val="00B4270B"/>
    <w:pPr>
      <w:numPr>
        <w:ilvl w:val="2"/>
        <w:numId w:val="6"/>
      </w:numPr>
      <w:spacing w:after="160" w:line="259" w:lineRule="auto"/>
    </w:pPr>
    <w:rPr>
      <w:rFonts w:ascii="Calibri" w:eastAsia="Calibri" w:hAnsi="Calibri" w:cs="Calibri"/>
      <w:szCs w:val="22"/>
      <w:lang w:val="en-GB"/>
    </w:rPr>
  </w:style>
  <w:style w:type="character" w:customStyle="1" w:styleId="DashChar">
    <w:name w:val="Dash Char"/>
    <w:basedOn w:val="DefaultParagraphFont"/>
    <w:link w:val="Dash"/>
    <w:rsid w:val="00A44456"/>
    <w:rPr>
      <w:rFonts w:ascii="Calibri" w:eastAsia="Calibri" w:hAnsi="Calibri" w:cs="Calibri"/>
      <w:color w:val="auto"/>
      <w:sz w:val="22"/>
      <w:szCs w:val="22"/>
      <w:lang w:val="en-GB"/>
    </w:rPr>
  </w:style>
  <w:style w:type="character" w:styleId="CommentReference">
    <w:name w:val="annotation reference"/>
    <w:basedOn w:val="DefaultParagraphFont"/>
    <w:uiPriority w:val="99"/>
    <w:semiHidden/>
    <w:unhideWhenUsed/>
    <w:rsid w:val="0095651C"/>
    <w:rPr>
      <w:sz w:val="16"/>
      <w:szCs w:val="16"/>
    </w:rPr>
  </w:style>
  <w:style w:type="paragraph" w:styleId="CommentText">
    <w:name w:val="annotation text"/>
    <w:basedOn w:val="Normal"/>
    <w:link w:val="CommentTextChar"/>
    <w:uiPriority w:val="99"/>
    <w:unhideWhenUsed/>
    <w:rsid w:val="0095651C"/>
    <w:pPr>
      <w:spacing w:line="240" w:lineRule="auto"/>
    </w:pPr>
  </w:style>
  <w:style w:type="character" w:customStyle="1" w:styleId="CommentTextChar">
    <w:name w:val="Comment Text Char"/>
    <w:basedOn w:val="DefaultParagraphFont"/>
    <w:link w:val="CommentText"/>
    <w:uiPriority w:val="99"/>
    <w:rsid w:val="0095651C"/>
  </w:style>
  <w:style w:type="paragraph" w:styleId="CommentSubject">
    <w:name w:val="annotation subject"/>
    <w:basedOn w:val="CommentText"/>
    <w:next w:val="CommentText"/>
    <w:link w:val="CommentSubjectChar"/>
    <w:uiPriority w:val="99"/>
    <w:semiHidden/>
    <w:unhideWhenUsed/>
    <w:rsid w:val="0095651C"/>
    <w:rPr>
      <w:b/>
      <w:bCs/>
    </w:rPr>
  </w:style>
  <w:style w:type="character" w:customStyle="1" w:styleId="CommentSubjectChar">
    <w:name w:val="Comment Subject Char"/>
    <w:basedOn w:val="CommentTextChar"/>
    <w:link w:val="CommentSubject"/>
    <w:uiPriority w:val="99"/>
    <w:semiHidden/>
    <w:rsid w:val="0095651C"/>
    <w:rPr>
      <w:b/>
      <w:bCs/>
    </w:rPr>
  </w:style>
  <w:style w:type="character" w:customStyle="1" w:styleId="DoubleDotChar">
    <w:name w:val="Double Dot Char"/>
    <w:basedOn w:val="DefaultParagraphFont"/>
    <w:link w:val="DoubleDot"/>
    <w:rsid w:val="00EF03CF"/>
    <w:rPr>
      <w:rFonts w:ascii="Calibri" w:eastAsia="Calibri" w:hAnsi="Calibri" w:cs="Calibri"/>
      <w:color w:val="auto"/>
      <w:sz w:val="22"/>
      <w:szCs w:val="22"/>
      <w:lang w:val="en-GB"/>
    </w:rPr>
  </w:style>
  <w:style w:type="paragraph" w:customStyle="1" w:styleId="OutlineNumbered1">
    <w:name w:val="Outline Numbered 1"/>
    <w:basedOn w:val="Normal"/>
    <w:link w:val="OutlineNumbered1Char"/>
    <w:rsid w:val="00EF03CF"/>
    <w:pPr>
      <w:numPr>
        <w:numId w:val="9"/>
      </w:numPr>
      <w:spacing w:after="160" w:line="259" w:lineRule="auto"/>
    </w:pPr>
    <w:rPr>
      <w:rFonts w:ascii="Calibri" w:eastAsia="Calibri" w:hAnsi="Calibri" w:cs="Calibri"/>
      <w:szCs w:val="22"/>
      <w:lang w:val="en-US"/>
    </w:rPr>
  </w:style>
  <w:style w:type="character" w:customStyle="1" w:styleId="OutlineNumbered1Char">
    <w:name w:val="Outline Numbered 1 Char"/>
    <w:basedOn w:val="BulletChar"/>
    <w:link w:val="OutlineNumbered1"/>
    <w:rsid w:val="00EF03CF"/>
    <w:rPr>
      <w:rFonts w:ascii="Calibri" w:eastAsia="Calibri" w:hAnsi="Calibri" w:cs="Calibri"/>
      <w:color w:val="auto"/>
      <w:sz w:val="22"/>
      <w:szCs w:val="22"/>
      <w:lang w:val="en-US"/>
    </w:rPr>
  </w:style>
  <w:style w:type="paragraph" w:customStyle="1" w:styleId="OutlineNumbered2">
    <w:name w:val="Outline Numbered 2"/>
    <w:basedOn w:val="Normal"/>
    <w:rsid w:val="00EF03CF"/>
    <w:pPr>
      <w:numPr>
        <w:ilvl w:val="1"/>
        <w:numId w:val="9"/>
      </w:numPr>
      <w:spacing w:after="160" w:line="259" w:lineRule="auto"/>
    </w:pPr>
    <w:rPr>
      <w:szCs w:val="22"/>
      <w:lang w:val="en-US"/>
    </w:rPr>
  </w:style>
  <w:style w:type="paragraph" w:customStyle="1" w:styleId="OutlineNumbered3">
    <w:name w:val="Outline Numbered 3"/>
    <w:basedOn w:val="Normal"/>
    <w:rsid w:val="00EF03CF"/>
    <w:pPr>
      <w:numPr>
        <w:ilvl w:val="2"/>
        <w:numId w:val="9"/>
      </w:numPr>
      <w:spacing w:after="160" w:line="259" w:lineRule="auto"/>
    </w:pPr>
    <w:rPr>
      <w:szCs w:val="22"/>
      <w:lang w:val="en-US"/>
    </w:rPr>
  </w:style>
  <w:style w:type="paragraph" w:customStyle="1" w:styleId="CABNETParagraph">
    <w:name w:val="CABNET Paragraph."/>
    <w:basedOn w:val="Normal"/>
    <w:link w:val="CABNETParagraphChar"/>
    <w:uiPriority w:val="98"/>
    <w:qFormat/>
    <w:rsid w:val="000C2E43"/>
    <w:pPr>
      <w:spacing w:before="120" w:line="240" w:lineRule="auto"/>
    </w:pPr>
    <w:rPr>
      <w:rFonts w:ascii="Arial" w:hAnsi="Arial" w:cstheme="minorHAnsi"/>
      <w:szCs w:val="22"/>
    </w:rPr>
  </w:style>
  <w:style w:type="character" w:customStyle="1" w:styleId="CABNETParagraphChar">
    <w:name w:val="CABNET Paragraph. Char"/>
    <w:basedOn w:val="DefaultParagraphFont"/>
    <w:link w:val="CABNETParagraph"/>
    <w:uiPriority w:val="98"/>
    <w:rsid w:val="000C2E43"/>
    <w:rPr>
      <w:rFonts w:ascii="Arial" w:hAnsi="Arial" w:cstheme="minorHAnsi"/>
      <w:color w:val="auto"/>
      <w:sz w:val="22"/>
      <w:szCs w:val="22"/>
    </w:rPr>
  </w:style>
  <w:style w:type="paragraph" w:styleId="TOCHeading">
    <w:name w:val="TOC Heading"/>
    <w:basedOn w:val="Heading1"/>
    <w:next w:val="Normal"/>
    <w:uiPriority w:val="39"/>
    <w:unhideWhenUsed/>
    <w:qFormat/>
    <w:rsid w:val="00DA78AF"/>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1">
    <w:name w:val="toc 1"/>
    <w:basedOn w:val="Normal"/>
    <w:next w:val="Normal"/>
    <w:autoRedefine/>
    <w:uiPriority w:val="39"/>
    <w:unhideWhenUsed/>
    <w:rsid w:val="00AE6528"/>
    <w:pPr>
      <w:tabs>
        <w:tab w:val="right" w:leader="dot" w:pos="10194"/>
      </w:tabs>
      <w:spacing w:after="100"/>
    </w:pPr>
  </w:style>
  <w:style w:type="paragraph" w:styleId="TOC3">
    <w:name w:val="toc 3"/>
    <w:basedOn w:val="Normal"/>
    <w:next w:val="Normal"/>
    <w:autoRedefine/>
    <w:uiPriority w:val="39"/>
    <w:unhideWhenUsed/>
    <w:rsid w:val="00ED2A6F"/>
    <w:pPr>
      <w:tabs>
        <w:tab w:val="right" w:leader="dot" w:pos="10194"/>
      </w:tabs>
      <w:spacing w:after="100"/>
      <w:ind w:left="400"/>
    </w:pPr>
  </w:style>
  <w:style w:type="paragraph" w:styleId="TOC2">
    <w:name w:val="toc 2"/>
    <w:basedOn w:val="Normal"/>
    <w:next w:val="Normal"/>
    <w:autoRedefine/>
    <w:uiPriority w:val="39"/>
    <w:unhideWhenUsed/>
    <w:rsid w:val="00543DC3"/>
    <w:pPr>
      <w:tabs>
        <w:tab w:val="right" w:leader="dot" w:pos="10194"/>
      </w:tabs>
      <w:spacing w:after="100"/>
      <w:ind w:left="200"/>
    </w:pPr>
  </w:style>
  <w:style w:type="paragraph" w:customStyle="1" w:styleId="SecurityClassificationHeader">
    <w:name w:val="Security Classification Header"/>
    <w:link w:val="SecurityClassificationHeaderChar"/>
    <w:rsid w:val="00B850DD"/>
    <w:pPr>
      <w:spacing w:before="360" w:after="60"/>
      <w:jc w:val="center"/>
    </w:pPr>
    <w:rPr>
      <w:rFonts w:ascii="Calibri" w:hAnsi="Calibri" w:cs="Calibri"/>
      <w:b/>
      <w:noProof/>
      <w:color w:val="CD1719"/>
      <w:sz w:val="24"/>
    </w:rPr>
  </w:style>
  <w:style w:type="character" w:customStyle="1" w:styleId="ProtectiveMarkingChar">
    <w:name w:val="Protective Marking Char"/>
    <w:basedOn w:val="DefaultParagraphFont"/>
    <w:link w:val="ProtectiveMarking"/>
    <w:uiPriority w:val="13"/>
    <w:rsid w:val="00B850DD"/>
    <w:rPr>
      <w:rFonts w:asciiTheme="majorHAnsi" w:hAnsiTheme="majorHAnsi"/>
      <w:caps/>
      <w:noProof/>
      <w:color w:val="CD1719"/>
      <w:sz w:val="16"/>
    </w:rPr>
  </w:style>
  <w:style w:type="character" w:customStyle="1" w:styleId="SecurityClassificationHeaderChar">
    <w:name w:val="Security Classification Header Char"/>
    <w:basedOn w:val="ProtectiveMarkingChar"/>
    <w:link w:val="SecurityClassificationHeader"/>
    <w:rsid w:val="00B850DD"/>
    <w:rPr>
      <w:rFonts w:ascii="Calibri" w:hAnsi="Calibri" w:cs="Calibri"/>
      <w:b/>
      <w:caps w:val="0"/>
      <w:noProof/>
      <w:color w:val="CD1719"/>
      <w:sz w:val="24"/>
    </w:rPr>
  </w:style>
  <w:style w:type="paragraph" w:customStyle="1" w:styleId="SecurityClassificationFooter">
    <w:name w:val="Security Classification Footer"/>
    <w:link w:val="SecurityClassificationFooterChar"/>
    <w:rsid w:val="00B850DD"/>
    <w:pPr>
      <w:spacing w:before="360" w:after="60"/>
      <w:jc w:val="center"/>
    </w:pPr>
    <w:rPr>
      <w:rFonts w:ascii="Calibri" w:hAnsi="Calibri" w:cs="Calibri"/>
      <w:b/>
      <w:noProof/>
      <w:color w:val="CD1719"/>
      <w:sz w:val="24"/>
    </w:rPr>
  </w:style>
  <w:style w:type="character" w:customStyle="1" w:styleId="SecurityClassificationFooterChar">
    <w:name w:val="Security Classification Footer Char"/>
    <w:basedOn w:val="ProtectiveMarkingChar"/>
    <w:link w:val="SecurityClassificationFooter"/>
    <w:rsid w:val="00B850DD"/>
    <w:rPr>
      <w:rFonts w:ascii="Calibri" w:hAnsi="Calibri" w:cs="Calibri"/>
      <w:b/>
      <w:caps w:val="0"/>
      <w:noProof/>
      <w:color w:val="CD1719"/>
      <w:sz w:val="24"/>
    </w:rPr>
  </w:style>
  <w:style w:type="paragraph" w:customStyle="1" w:styleId="DLMSecurityHeader">
    <w:name w:val="DLM Security Header"/>
    <w:link w:val="DLMSecurityHeaderChar"/>
    <w:rsid w:val="00B850DD"/>
    <w:pPr>
      <w:spacing w:before="360" w:after="60"/>
      <w:jc w:val="center"/>
    </w:pPr>
    <w:rPr>
      <w:rFonts w:ascii="Calibri" w:hAnsi="Calibri" w:cs="Calibri"/>
      <w:b/>
      <w:noProof/>
      <w:color w:val="CD1719"/>
      <w:sz w:val="24"/>
    </w:rPr>
  </w:style>
  <w:style w:type="character" w:customStyle="1" w:styleId="DLMSecurityHeaderChar">
    <w:name w:val="DLM Security Header Char"/>
    <w:basedOn w:val="ProtectiveMarkingChar"/>
    <w:link w:val="DLMSecurityHeader"/>
    <w:rsid w:val="00B850DD"/>
    <w:rPr>
      <w:rFonts w:ascii="Calibri" w:hAnsi="Calibri" w:cs="Calibri"/>
      <w:b/>
      <w:caps w:val="0"/>
      <w:noProof/>
      <w:color w:val="CD1719"/>
      <w:sz w:val="24"/>
    </w:rPr>
  </w:style>
  <w:style w:type="paragraph" w:customStyle="1" w:styleId="DLMSecurityFooter">
    <w:name w:val="DLM Security Footer"/>
    <w:link w:val="DLMSecurityFooterChar"/>
    <w:rsid w:val="00B850DD"/>
    <w:pPr>
      <w:spacing w:before="360" w:after="60"/>
      <w:jc w:val="center"/>
    </w:pPr>
    <w:rPr>
      <w:rFonts w:ascii="Calibri" w:hAnsi="Calibri" w:cs="Calibri"/>
      <w:b/>
      <w:noProof/>
      <w:color w:val="CD1719"/>
      <w:sz w:val="24"/>
    </w:rPr>
  </w:style>
  <w:style w:type="character" w:customStyle="1" w:styleId="DLMSecurityFooterChar">
    <w:name w:val="DLM Security Footer Char"/>
    <w:basedOn w:val="ProtectiveMarkingChar"/>
    <w:link w:val="DLMSecurityFooter"/>
    <w:rsid w:val="00B850DD"/>
    <w:rPr>
      <w:rFonts w:ascii="Calibri" w:hAnsi="Calibri" w:cs="Calibri"/>
      <w:b/>
      <w:caps w:val="0"/>
      <w:noProof/>
      <w:color w:val="CD1719"/>
      <w:sz w:val="24"/>
    </w:rPr>
  </w:style>
  <w:style w:type="character" w:customStyle="1" w:styleId="UnresolvedMention1">
    <w:name w:val="Unresolved Mention1"/>
    <w:basedOn w:val="DefaultParagraphFont"/>
    <w:uiPriority w:val="99"/>
    <w:unhideWhenUsed/>
    <w:rsid w:val="00206EBB"/>
    <w:rPr>
      <w:color w:val="605E5C"/>
      <w:shd w:val="clear" w:color="auto" w:fill="E1DFDD"/>
    </w:rPr>
  </w:style>
  <w:style w:type="character" w:customStyle="1" w:styleId="Mention1">
    <w:name w:val="Mention1"/>
    <w:basedOn w:val="DefaultParagraphFont"/>
    <w:uiPriority w:val="99"/>
    <w:unhideWhenUsed/>
    <w:rsid w:val="003443BE"/>
    <w:rPr>
      <w:color w:val="2B579A"/>
      <w:shd w:val="clear" w:color="auto" w:fill="E1DFDD"/>
    </w:rPr>
  </w:style>
  <w:style w:type="character" w:styleId="Emphasis">
    <w:name w:val="Emphasis"/>
    <w:basedOn w:val="DefaultParagraphFont"/>
    <w:uiPriority w:val="20"/>
    <w:qFormat/>
    <w:rsid w:val="007C6374"/>
    <w:rPr>
      <w:i/>
      <w:iCs/>
    </w:rPr>
  </w:style>
  <w:style w:type="paragraph" w:styleId="NormalWeb">
    <w:name w:val="Normal (Web)"/>
    <w:basedOn w:val="Normal"/>
    <w:uiPriority w:val="99"/>
    <w:semiHidden/>
    <w:unhideWhenUsed/>
    <w:rsid w:val="006D13F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23F63"/>
    <w:rPr>
      <w:color w:val="015F8B" w:themeColor="followedHyperlink"/>
      <w:u w:val="single"/>
    </w:rPr>
  </w:style>
  <w:style w:type="paragraph" w:customStyle="1" w:styleId="alignright">
    <w:name w:val="alignright"/>
    <w:basedOn w:val="Normal"/>
    <w:rsid w:val="008C7F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qFormat/>
    <w:rsid w:val="003674CE"/>
    <w:pPr>
      <w:spacing w:before="120" w:line="240" w:lineRule="auto"/>
    </w:pPr>
    <w:rPr>
      <w:rFonts w:ascii="Century Gothic" w:eastAsiaTheme="majorEastAsia" w:hAnsi="Century Gothic" w:cs="Arial"/>
      <w:bCs/>
      <w:sz w:val="20"/>
    </w:rPr>
  </w:style>
  <w:style w:type="paragraph" w:customStyle="1" w:styleId="Spacer">
    <w:name w:val="Spacer"/>
    <w:uiPriority w:val="98"/>
    <w:semiHidden/>
    <w:rsid w:val="001B7AB0"/>
    <w:pPr>
      <w:spacing w:after="0" w:line="240" w:lineRule="auto"/>
    </w:pPr>
    <w:rPr>
      <w:rFonts w:ascii="Arial" w:hAnsi="Arial"/>
      <w:color w:val="auto"/>
      <w:sz w:val="4"/>
      <w:szCs w:val="4"/>
    </w:rPr>
  </w:style>
  <w:style w:type="character" w:customStyle="1" w:styleId="Heading5Char">
    <w:name w:val="Heading 5 Char"/>
    <w:basedOn w:val="DefaultParagraphFont"/>
    <w:link w:val="Heading5"/>
    <w:uiPriority w:val="9"/>
    <w:semiHidden/>
    <w:rsid w:val="006617B7"/>
    <w:rPr>
      <w:rFonts w:asciiTheme="majorHAnsi" w:eastAsiaTheme="majorEastAsia" w:hAnsiTheme="majorHAnsi" w:cstheme="majorBidi"/>
      <w:color w:val="1B232C" w:themeColor="accent1" w:themeShade="BF"/>
      <w:sz w:val="22"/>
    </w:rPr>
  </w:style>
  <w:style w:type="paragraph" w:customStyle="1" w:styleId="Heading50">
    <w:name w:val="Heading5"/>
    <w:basedOn w:val="Normal"/>
    <w:next w:val="Heading5"/>
    <w:link w:val="Heading5Char0"/>
    <w:uiPriority w:val="11"/>
    <w:qFormat/>
    <w:rsid w:val="00536C16"/>
    <w:rPr>
      <w:b/>
    </w:rPr>
  </w:style>
  <w:style w:type="character" w:customStyle="1" w:styleId="Heading5Char0">
    <w:name w:val="Heading5 Char"/>
    <w:basedOn w:val="DefaultParagraphFont"/>
    <w:link w:val="Heading50"/>
    <w:uiPriority w:val="11"/>
    <w:rsid w:val="00536C16"/>
    <w:rPr>
      <w:b/>
      <w:sz w:val="22"/>
    </w:rPr>
  </w:style>
  <w:style w:type="paragraph" w:styleId="Revision">
    <w:name w:val="Revision"/>
    <w:hidden/>
    <w:uiPriority w:val="99"/>
    <w:semiHidden/>
    <w:rsid w:val="00B644E8"/>
    <w:pPr>
      <w:spacing w:after="0" w:line="240" w:lineRule="auto"/>
    </w:pPr>
    <w:rPr>
      <w:sz w:val="22"/>
    </w:rPr>
  </w:style>
  <w:style w:type="table" w:styleId="GridTable1Light">
    <w:name w:val="Grid Table 1 Light"/>
    <w:basedOn w:val="TableNormal"/>
    <w:uiPriority w:val="46"/>
    <w:rsid w:val="00E36C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F134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33F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reas">
    <w:name w:val="Areas"/>
    <w:basedOn w:val="Normal"/>
    <w:qFormat/>
    <w:rsid w:val="00667768"/>
    <w:pPr>
      <w:spacing w:after="200" w:line="240" w:lineRule="auto"/>
    </w:pPr>
    <w:rPr>
      <w:rFonts w:eastAsia="Times New Roman" w:cs="Times New Roman"/>
      <w:sz w:val="20"/>
      <w:lang w:eastAsia="en-AU"/>
    </w:rPr>
  </w:style>
  <w:style w:type="paragraph" w:customStyle="1" w:styleId="Summary">
    <w:name w:val="Summary"/>
    <w:basedOn w:val="Normal"/>
    <w:next w:val="Normal"/>
    <w:rsid w:val="00313BE9"/>
    <w:pPr>
      <w:numPr>
        <w:numId w:val="23"/>
      </w:numPr>
      <w:spacing w:after="200" w:line="240" w:lineRule="auto"/>
    </w:pPr>
    <w:rPr>
      <w:rFonts w:eastAsia="Times New Roman" w:cs="Times New Roman"/>
      <w:sz w:val="24"/>
      <w:lang w:eastAsia="en-AU"/>
    </w:rPr>
  </w:style>
  <w:style w:type="paragraph" w:customStyle="1" w:styleId="Pa10">
    <w:name w:val="Pa10"/>
    <w:basedOn w:val="Normal"/>
    <w:next w:val="Normal"/>
    <w:uiPriority w:val="99"/>
    <w:rsid w:val="00896530"/>
    <w:pPr>
      <w:autoSpaceDE w:val="0"/>
      <w:autoSpaceDN w:val="0"/>
      <w:adjustRightInd w:val="0"/>
      <w:spacing w:after="0" w:line="191" w:lineRule="atLeast"/>
    </w:pPr>
    <w:rPr>
      <w:rFonts w:ascii="TZWUZ P+ Meta Normal LF" w:hAnsi="TZWUZ P+ Meta Normal LF"/>
      <w:sz w:val="24"/>
      <w:szCs w:val="24"/>
    </w:rPr>
  </w:style>
  <w:style w:type="character" w:customStyle="1" w:styleId="UnresolvedMention">
    <w:name w:val="Unresolved Mention"/>
    <w:basedOn w:val="DefaultParagraphFont"/>
    <w:uiPriority w:val="99"/>
    <w:unhideWhenUsed/>
    <w:rsid w:val="00CF0370"/>
    <w:rPr>
      <w:color w:val="605E5C"/>
      <w:shd w:val="clear" w:color="auto" w:fill="E1DFDD"/>
    </w:rPr>
  </w:style>
  <w:style w:type="character" w:customStyle="1" w:styleId="Mention">
    <w:name w:val="Mention"/>
    <w:basedOn w:val="DefaultParagraphFont"/>
    <w:uiPriority w:val="99"/>
    <w:unhideWhenUsed/>
    <w:rsid w:val="00CF03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136">
      <w:bodyDiv w:val="1"/>
      <w:marLeft w:val="0"/>
      <w:marRight w:val="0"/>
      <w:marTop w:val="0"/>
      <w:marBottom w:val="0"/>
      <w:divBdr>
        <w:top w:val="none" w:sz="0" w:space="0" w:color="auto"/>
        <w:left w:val="none" w:sz="0" w:space="0" w:color="auto"/>
        <w:bottom w:val="none" w:sz="0" w:space="0" w:color="auto"/>
        <w:right w:val="none" w:sz="0" w:space="0" w:color="auto"/>
      </w:divBdr>
    </w:div>
    <w:div w:id="28573877">
      <w:bodyDiv w:val="1"/>
      <w:marLeft w:val="0"/>
      <w:marRight w:val="0"/>
      <w:marTop w:val="0"/>
      <w:marBottom w:val="0"/>
      <w:divBdr>
        <w:top w:val="none" w:sz="0" w:space="0" w:color="auto"/>
        <w:left w:val="none" w:sz="0" w:space="0" w:color="auto"/>
        <w:bottom w:val="none" w:sz="0" w:space="0" w:color="auto"/>
        <w:right w:val="none" w:sz="0" w:space="0" w:color="auto"/>
      </w:divBdr>
    </w:div>
    <w:div w:id="40137817">
      <w:bodyDiv w:val="1"/>
      <w:marLeft w:val="0"/>
      <w:marRight w:val="0"/>
      <w:marTop w:val="0"/>
      <w:marBottom w:val="0"/>
      <w:divBdr>
        <w:top w:val="none" w:sz="0" w:space="0" w:color="auto"/>
        <w:left w:val="none" w:sz="0" w:space="0" w:color="auto"/>
        <w:bottom w:val="none" w:sz="0" w:space="0" w:color="auto"/>
        <w:right w:val="none" w:sz="0" w:space="0" w:color="auto"/>
      </w:divBdr>
    </w:div>
    <w:div w:id="151486142">
      <w:bodyDiv w:val="1"/>
      <w:marLeft w:val="0"/>
      <w:marRight w:val="0"/>
      <w:marTop w:val="0"/>
      <w:marBottom w:val="0"/>
      <w:divBdr>
        <w:top w:val="none" w:sz="0" w:space="0" w:color="auto"/>
        <w:left w:val="none" w:sz="0" w:space="0" w:color="auto"/>
        <w:bottom w:val="none" w:sz="0" w:space="0" w:color="auto"/>
        <w:right w:val="none" w:sz="0" w:space="0" w:color="auto"/>
      </w:divBdr>
    </w:div>
    <w:div w:id="180513711">
      <w:bodyDiv w:val="1"/>
      <w:marLeft w:val="0"/>
      <w:marRight w:val="0"/>
      <w:marTop w:val="0"/>
      <w:marBottom w:val="0"/>
      <w:divBdr>
        <w:top w:val="none" w:sz="0" w:space="0" w:color="auto"/>
        <w:left w:val="none" w:sz="0" w:space="0" w:color="auto"/>
        <w:bottom w:val="none" w:sz="0" w:space="0" w:color="auto"/>
        <w:right w:val="none" w:sz="0" w:space="0" w:color="auto"/>
      </w:divBdr>
    </w:div>
    <w:div w:id="195312267">
      <w:bodyDiv w:val="1"/>
      <w:marLeft w:val="0"/>
      <w:marRight w:val="0"/>
      <w:marTop w:val="0"/>
      <w:marBottom w:val="0"/>
      <w:divBdr>
        <w:top w:val="none" w:sz="0" w:space="0" w:color="auto"/>
        <w:left w:val="none" w:sz="0" w:space="0" w:color="auto"/>
        <w:bottom w:val="none" w:sz="0" w:space="0" w:color="auto"/>
        <w:right w:val="none" w:sz="0" w:space="0" w:color="auto"/>
      </w:divBdr>
    </w:div>
    <w:div w:id="244535459">
      <w:bodyDiv w:val="1"/>
      <w:marLeft w:val="0"/>
      <w:marRight w:val="0"/>
      <w:marTop w:val="0"/>
      <w:marBottom w:val="0"/>
      <w:divBdr>
        <w:top w:val="none" w:sz="0" w:space="0" w:color="auto"/>
        <w:left w:val="none" w:sz="0" w:space="0" w:color="auto"/>
        <w:bottom w:val="none" w:sz="0" w:space="0" w:color="auto"/>
        <w:right w:val="none" w:sz="0" w:space="0" w:color="auto"/>
      </w:divBdr>
    </w:div>
    <w:div w:id="320625709">
      <w:bodyDiv w:val="1"/>
      <w:marLeft w:val="0"/>
      <w:marRight w:val="0"/>
      <w:marTop w:val="0"/>
      <w:marBottom w:val="0"/>
      <w:divBdr>
        <w:top w:val="none" w:sz="0" w:space="0" w:color="auto"/>
        <w:left w:val="none" w:sz="0" w:space="0" w:color="auto"/>
        <w:bottom w:val="none" w:sz="0" w:space="0" w:color="auto"/>
        <w:right w:val="none" w:sz="0" w:space="0" w:color="auto"/>
      </w:divBdr>
    </w:div>
    <w:div w:id="353262492">
      <w:bodyDiv w:val="1"/>
      <w:marLeft w:val="0"/>
      <w:marRight w:val="0"/>
      <w:marTop w:val="0"/>
      <w:marBottom w:val="0"/>
      <w:divBdr>
        <w:top w:val="none" w:sz="0" w:space="0" w:color="auto"/>
        <w:left w:val="none" w:sz="0" w:space="0" w:color="auto"/>
        <w:bottom w:val="none" w:sz="0" w:space="0" w:color="auto"/>
        <w:right w:val="none" w:sz="0" w:space="0" w:color="auto"/>
      </w:divBdr>
    </w:div>
    <w:div w:id="373428368">
      <w:bodyDiv w:val="1"/>
      <w:marLeft w:val="0"/>
      <w:marRight w:val="0"/>
      <w:marTop w:val="0"/>
      <w:marBottom w:val="0"/>
      <w:divBdr>
        <w:top w:val="none" w:sz="0" w:space="0" w:color="auto"/>
        <w:left w:val="none" w:sz="0" w:space="0" w:color="auto"/>
        <w:bottom w:val="none" w:sz="0" w:space="0" w:color="auto"/>
        <w:right w:val="none" w:sz="0" w:space="0" w:color="auto"/>
      </w:divBdr>
    </w:div>
    <w:div w:id="384839079">
      <w:bodyDiv w:val="1"/>
      <w:marLeft w:val="0"/>
      <w:marRight w:val="0"/>
      <w:marTop w:val="0"/>
      <w:marBottom w:val="0"/>
      <w:divBdr>
        <w:top w:val="none" w:sz="0" w:space="0" w:color="auto"/>
        <w:left w:val="none" w:sz="0" w:space="0" w:color="auto"/>
        <w:bottom w:val="none" w:sz="0" w:space="0" w:color="auto"/>
        <w:right w:val="none" w:sz="0" w:space="0" w:color="auto"/>
      </w:divBdr>
    </w:div>
    <w:div w:id="412355573">
      <w:bodyDiv w:val="1"/>
      <w:marLeft w:val="0"/>
      <w:marRight w:val="0"/>
      <w:marTop w:val="0"/>
      <w:marBottom w:val="0"/>
      <w:divBdr>
        <w:top w:val="none" w:sz="0" w:space="0" w:color="auto"/>
        <w:left w:val="none" w:sz="0" w:space="0" w:color="auto"/>
        <w:bottom w:val="none" w:sz="0" w:space="0" w:color="auto"/>
        <w:right w:val="none" w:sz="0" w:space="0" w:color="auto"/>
      </w:divBdr>
    </w:div>
    <w:div w:id="456997635">
      <w:bodyDiv w:val="1"/>
      <w:marLeft w:val="0"/>
      <w:marRight w:val="0"/>
      <w:marTop w:val="0"/>
      <w:marBottom w:val="0"/>
      <w:divBdr>
        <w:top w:val="none" w:sz="0" w:space="0" w:color="auto"/>
        <w:left w:val="none" w:sz="0" w:space="0" w:color="auto"/>
        <w:bottom w:val="none" w:sz="0" w:space="0" w:color="auto"/>
        <w:right w:val="none" w:sz="0" w:space="0" w:color="auto"/>
      </w:divBdr>
    </w:div>
    <w:div w:id="473135564">
      <w:bodyDiv w:val="1"/>
      <w:marLeft w:val="0"/>
      <w:marRight w:val="0"/>
      <w:marTop w:val="0"/>
      <w:marBottom w:val="0"/>
      <w:divBdr>
        <w:top w:val="none" w:sz="0" w:space="0" w:color="auto"/>
        <w:left w:val="none" w:sz="0" w:space="0" w:color="auto"/>
        <w:bottom w:val="none" w:sz="0" w:space="0" w:color="auto"/>
        <w:right w:val="none" w:sz="0" w:space="0" w:color="auto"/>
      </w:divBdr>
    </w:div>
    <w:div w:id="559751028">
      <w:bodyDiv w:val="1"/>
      <w:marLeft w:val="0"/>
      <w:marRight w:val="0"/>
      <w:marTop w:val="0"/>
      <w:marBottom w:val="0"/>
      <w:divBdr>
        <w:top w:val="none" w:sz="0" w:space="0" w:color="auto"/>
        <w:left w:val="none" w:sz="0" w:space="0" w:color="auto"/>
        <w:bottom w:val="none" w:sz="0" w:space="0" w:color="auto"/>
        <w:right w:val="none" w:sz="0" w:space="0" w:color="auto"/>
      </w:divBdr>
    </w:div>
    <w:div w:id="568154697">
      <w:bodyDiv w:val="1"/>
      <w:marLeft w:val="0"/>
      <w:marRight w:val="0"/>
      <w:marTop w:val="0"/>
      <w:marBottom w:val="0"/>
      <w:divBdr>
        <w:top w:val="none" w:sz="0" w:space="0" w:color="auto"/>
        <w:left w:val="none" w:sz="0" w:space="0" w:color="auto"/>
        <w:bottom w:val="none" w:sz="0" w:space="0" w:color="auto"/>
        <w:right w:val="none" w:sz="0" w:space="0" w:color="auto"/>
      </w:divBdr>
    </w:div>
    <w:div w:id="641809548">
      <w:bodyDiv w:val="1"/>
      <w:marLeft w:val="0"/>
      <w:marRight w:val="0"/>
      <w:marTop w:val="0"/>
      <w:marBottom w:val="0"/>
      <w:divBdr>
        <w:top w:val="none" w:sz="0" w:space="0" w:color="auto"/>
        <w:left w:val="none" w:sz="0" w:space="0" w:color="auto"/>
        <w:bottom w:val="none" w:sz="0" w:space="0" w:color="auto"/>
        <w:right w:val="none" w:sz="0" w:space="0" w:color="auto"/>
      </w:divBdr>
    </w:div>
    <w:div w:id="654144329">
      <w:bodyDiv w:val="1"/>
      <w:marLeft w:val="0"/>
      <w:marRight w:val="0"/>
      <w:marTop w:val="0"/>
      <w:marBottom w:val="0"/>
      <w:divBdr>
        <w:top w:val="none" w:sz="0" w:space="0" w:color="auto"/>
        <w:left w:val="none" w:sz="0" w:space="0" w:color="auto"/>
        <w:bottom w:val="none" w:sz="0" w:space="0" w:color="auto"/>
        <w:right w:val="none" w:sz="0" w:space="0" w:color="auto"/>
      </w:divBdr>
    </w:div>
    <w:div w:id="726301011">
      <w:bodyDiv w:val="1"/>
      <w:marLeft w:val="0"/>
      <w:marRight w:val="0"/>
      <w:marTop w:val="0"/>
      <w:marBottom w:val="0"/>
      <w:divBdr>
        <w:top w:val="none" w:sz="0" w:space="0" w:color="auto"/>
        <w:left w:val="none" w:sz="0" w:space="0" w:color="auto"/>
        <w:bottom w:val="none" w:sz="0" w:space="0" w:color="auto"/>
        <w:right w:val="none" w:sz="0" w:space="0" w:color="auto"/>
      </w:divBdr>
    </w:div>
    <w:div w:id="734468741">
      <w:bodyDiv w:val="1"/>
      <w:marLeft w:val="0"/>
      <w:marRight w:val="0"/>
      <w:marTop w:val="0"/>
      <w:marBottom w:val="0"/>
      <w:divBdr>
        <w:top w:val="none" w:sz="0" w:space="0" w:color="auto"/>
        <w:left w:val="none" w:sz="0" w:space="0" w:color="auto"/>
        <w:bottom w:val="none" w:sz="0" w:space="0" w:color="auto"/>
        <w:right w:val="none" w:sz="0" w:space="0" w:color="auto"/>
      </w:divBdr>
    </w:div>
    <w:div w:id="807819927">
      <w:bodyDiv w:val="1"/>
      <w:marLeft w:val="0"/>
      <w:marRight w:val="0"/>
      <w:marTop w:val="0"/>
      <w:marBottom w:val="0"/>
      <w:divBdr>
        <w:top w:val="none" w:sz="0" w:space="0" w:color="auto"/>
        <w:left w:val="none" w:sz="0" w:space="0" w:color="auto"/>
        <w:bottom w:val="none" w:sz="0" w:space="0" w:color="auto"/>
        <w:right w:val="none" w:sz="0" w:space="0" w:color="auto"/>
      </w:divBdr>
    </w:div>
    <w:div w:id="855652355">
      <w:bodyDiv w:val="1"/>
      <w:marLeft w:val="0"/>
      <w:marRight w:val="0"/>
      <w:marTop w:val="0"/>
      <w:marBottom w:val="0"/>
      <w:divBdr>
        <w:top w:val="none" w:sz="0" w:space="0" w:color="auto"/>
        <w:left w:val="none" w:sz="0" w:space="0" w:color="auto"/>
        <w:bottom w:val="none" w:sz="0" w:space="0" w:color="auto"/>
        <w:right w:val="none" w:sz="0" w:space="0" w:color="auto"/>
      </w:divBdr>
    </w:div>
    <w:div w:id="897011693">
      <w:bodyDiv w:val="1"/>
      <w:marLeft w:val="0"/>
      <w:marRight w:val="0"/>
      <w:marTop w:val="0"/>
      <w:marBottom w:val="0"/>
      <w:divBdr>
        <w:top w:val="none" w:sz="0" w:space="0" w:color="auto"/>
        <w:left w:val="none" w:sz="0" w:space="0" w:color="auto"/>
        <w:bottom w:val="none" w:sz="0" w:space="0" w:color="auto"/>
        <w:right w:val="none" w:sz="0" w:space="0" w:color="auto"/>
      </w:divBdr>
    </w:div>
    <w:div w:id="1007949734">
      <w:bodyDiv w:val="1"/>
      <w:marLeft w:val="0"/>
      <w:marRight w:val="0"/>
      <w:marTop w:val="0"/>
      <w:marBottom w:val="0"/>
      <w:divBdr>
        <w:top w:val="none" w:sz="0" w:space="0" w:color="auto"/>
        <w:left w:val="none" w:sz="0" w:space="0" w:color="auto"/>
        <w:bottom w:val="none" w:sz="0" w:space="0" w:color="auto"/>
        <w:right w:val="none" w:sz="0" w:space="0" w:color="auto"/>
      </w:divBdr>
    </w:div>
    <w:div w:id="1088963992">
      <w:bodyDiv w:val="1"/>
      <w:marLeft w:val="0"/>
      <w:marRight w:val="0"/>
      <w:marTop w:val="0"/>
      <w:marBottom w:val="0"/>
      <w:divBdr>
        <w:top w:val="none" w:sz="0" w:space="0" w:color="auto"/>
        <w:left w:val="none" w:sz="0" w:space="0" w:color="auto"/>
        <w:bottom w:val="none" w:sz="0" w:space="0" w:color="auto"/>
        <w:right w:val="none" w:sz="0" w:space="0" w:color="auto"/>
      </w:divBdr>
    </w:div>
    <w:div w:id="1116174712">
      <w:bodyDiv w:val="1"/>
      <w:marLeft w:val="0"/>
      <w:marRight w:val="0"/>
      <w:marTop w:val="0"/>
      <w:marBottom w:val="0"/>
      <w:divBdr>
        <w:top w:val="none" w:sz="0" w:space="0" w:color="auto"/>
        <w:left w:val="none" w:sz="0" w:space="0" w:color="auto"/>
        <w:bottom w:val="none" w:sz="0" w:space="0" w:color="auto"/>
        <w:right w:val="none" w:sz="0" w:space="0" w:color="auto"/>
      </w:divBdr>
    </w:div>
    <w:div w:id="1116799339">
      <w:bodyDiv w:val="1"/>
      <w:marLeft w:val="0"/>
      <w:marRight w:val="0"/>
      <w:marTop w:val="0"/>
      <w:marBottom w:val="0"/>
      <w:divBdr>
        <w:top w:val="none" w:sz="0" w:space="0" w:color="auto"/>
        <w:left w:val="none" w:sz="0" w:space="0" w:color="auto"/>
        <w:bottom w:val="none" w:sz="0" w:space="0" w:color="auto"/>
        <w:right w:val="none" w:sz="0" w:space="0" w:color="auto"/>
      </w:divBdr>
    </w:div>
    <w:div w:id="1117145434">
      <w:bodyDiv w:val="1"/>
      <w:marLeft w:val="0"/>
      <w:marRight w:val="0"/>
      <w:marTop w:val="0"/>
      <w:marBottom w:val="0"/>
      <w:divBdr>
        <w:top w:val="none" w:sz="0" w:space="0" w:color="auto"/>
        <w:left w:val="none" w:sz="0" w:space="0" w:color="auto"/>
        <w:bottom w:val="none" w:sz="0" w:space="0" w:color="auto"/>
        <w:right w:val="none" w:sz="0" w:space="0" w:color="auto"/>
      </w:divBdr>
    </w:div>
    <w:div w:id="1169833987">
      <w:bodyDiv w:val="1"/>
      <w:marLeft w:val="0"/>
      <w:marRight w:val="0"/>
      <w:marTop w:val="0"/>
      <w:marBottom w:val="0"/>
      <w:divBdr>
        <w:top w:val="none" w:sz="0" w:space="0" w:color="auto"/>
        <w:left w:val="none" w:sz="0" w:space="0" w:color="auto"/>
        <w:bottom w:val="none" w:sz="0" w:space="0" w:color="auto"/>
        <w:right w:val="none" w:sz="0" w:space="0" w:color="auto"/>
      </w:divBdr>
    </w:div>
    <w:div w:id="1196189620">
      <w:bodyDiv w:val="1"/>
      <w:marLeft w:val="0"/>
      <w:marRight w:val="0"/>
      <w:marTop w:val="0"/>
      <w:marBottom w:val="0"/>
      <w:divBdr>
        <w:top w:val="none" w:sz="0" w:space="0" w:color="auto"/>
        <w:left w:val="none" w:sz="0" w:space="0" w:color="auto"/>
        <w:bottom w:val="none" w:sz="0" w:space="0" w:color="auto"/>
        <w:right w:val="none" w:sz="0" w:space="0" w:color="auto"/>
      </w:divBdr>
    </w:div>
    <w:div w:id="1383943899">
      <w:bodyDiv w:val="1"/>
      <w:marLeft w:val="0"/>
      <w:marRight w:val="0"/>
      <w:marTop w:val="0"/>
      <w:marBottom w:val="0"/>
      <w:divBdr>
        <w:top w:val="none" w:sz="0" w:space="0" w:color="auto"/>
        <w:left w:val="none" w:sz="0" w:space="0" w:color="auto"/>
        <w:bottom w:val="none" w:sz="0" w:space="0" w:color="auto"/>
        <w:right w:val="none" w:sz="0" w:space="0" w:color="auto"/>
      </w:divBdr>
    </w:div>
    <w:div w:id="1431243165">
      <w:bodyDiv w:val="1"/>
      <w:marLeft w:val="0"/>
      <w:marRight w:val="0"/>
      <w:marTop w:val="0"/>
      <w:marBottom w:val="0"/>
      <w:divBdr>
        <w:top w:val="none" w:sz="0" w:space="0" w:color="auto"/>
        <w:left w:val="none" w:sz="0" w:space="0" w:color="auto"/>
        <w:bottom w:val="none" w:sz="0" w:space="0" w:color="auto"/>
        <w:right w:val="none" w:sz="0" w:space="0" w:color="auto"/>
      </w:divBdr>
    </w:div>
    <w:div w:id="1438481083">
      <w:bodyDiv w:val="1"/>
      <w:marLeft w:val="0"/>
      <w:marRight w:val="0"/>
      <w:marTop w:val="0"/>
      <w:marBottom w:val="0"/>
      <w:divBdr>
        <w:top w:val="none" w:sz="0" w:space="0" w:color="auto"/>
        <w:left w:val="none" w:sz="0" w:space="0" w:color="auto"/>
        <w:bottom w:val="none" w:sz="0" w:space="0" w:color="auto"/>
        <w:right w:val="none" w:sz="0" w:space="0" w:color="auto"/>
      </w:divBdr>
    </w:div>
    <w:div w:id="1438983182">
      <w:bodyDiv w:val="1"/>
      <w:marLeft w:val="0"/>
      <w:marRight w:val="0"/>
      <w:marTop w:val="0"/>
      <w:marBottom w:val="0"/>
      <w:divBdr>
        <w:top w:val="none" w:sz="0" w:space="0" w:color="auto"/>
        <w:left w:val="none" w:sz="0" w:space="0" w:color="auto"/>
        <w:bottom w:val="none" w:sz="0" w:space="0" w:color="auto"/>
        <w:right w:val="none" w:sz="0" w:space="0" w:color="auto"/>
      </w:divBdr>
    </w:div>
    <w:div w:id="1487164434">
      <w:bodyDiv w:val="1"/>
      <w:marLeft w:val="0"/>
      <w:marRight w:val="0"/>
      <w:marTop w:val="0"/>
      <w:marBottom w:val="0"/>
      <w:divBdr>
        <w:top w:val="none" w:sz="0" w:space="0" w:color="auto"/>
        <w:left w:val="none" w:sz="0" w:space="0" w:color="auto"/>
        <w:bottom w:val="none" w:sz="0" w:space="0" w:color="auto"/>
        <w:right w:val="none" w:sz="0" w:space="0" w:color="auto"/>
      </w:divBdr>
    </w:div>
    <w:div w:id="1703440876">
      <w:bodyDiv w:val="1"/>
      <w:marLeft w:val="0"/>
      <w:marRight w:val="0"/>
      <w:marTop w:val="0"/>
      <w:marBottom w:val="0"/>
      <w:divBdr>
        <w:top w:val="none" w:sz="0" w:space="0" w:color="auto"/>
        <w:left w:val="none" w:sz="0" w:space="0" w:color="auto"/>
        <w:bottom w:val="none" w:sz="0" w:space="0" w:color="auto"/>
        <w:right w:val="none" w:sz="0" w:space="0" w:color="auto"/>
      </w:divBdr>
    </w:div>
    <w:div w:id="1707833003">
      <w:bodyDiv w:val="1"/>
      <w:marLeft w:val="0"/>
      <w:marRight w:val="0"/>
      <w:marTop w:val="0"/>
      <w:marBottom w:val="0"/>
      <w:divBdr>
        <w:top w:val="none" w:sz="0" w:space="0" w:color="auto"/>
        <w:left w:val="none" w:sz="0" w:space="0" w:color="auto"/>
        <w:bottom w:val="none" w:sz="0" w:space="0" w:color="auto"/>
        <w:right w:val="none" w:sz="0" w:space="0" w:color="auto"/>
      </w:divBdr>
    </w:div>
    <w:div w:id="1708143548">
      <w:bodyDiv w:val="1"/>
      <w:marLeft w:val="0"/>
      <w:marRight w:val="0"/>
      <w:marTop w:val="0"/>
      <w:marBottom w:val="0"/>
      <w:divBdr>
        <w:top w:val="none" w:sz="0" w:space="0" w:color="auto"/>
        <w:left w:val="none" w:sz="0" w:space="0" w:color="auto"/>
        <w:bottom w:val="none" w:sz="0" w:space="0" w:color="auto"/>
        <w:right w:val="none" w:sz="0" w:space="0" w:color="auto"/>
      </w:divBdr>
    </w:div>
    <w:div w:id="1737703259">
      <w:bodyDiv w:val="1"/>
      <w:marLeft w:val="0"/>
      <w:marRight w:val="0"/>
      <w:marTop w:val="0"/>
      <w:marBottom w:val="0"/>
      <w:divBdr>
        <w:top w:val="none" w:sz="0" w:space="0" w:color="auto"/>
        <w:left w:val="none" w:sz="0" w:space="0" w:color="auto"/>
        <w:bottom w:val="none" w:sz="0" w:space="0" w:color="auto"/>
        <w:right w:val="none" w:sz="0" w:space="0" w:color="auto"/>
      </w:divBdr>
    </w:div>
    <w:div w:id="1767728354">
      <w:bodyDiv w:val="1"/>
      <w:marLeft w:val="0"/>
      <w:marRight w:val="0"/>
      <w:marTop w:val="0"/>
      <w:marBottom w:val="0"/>
      <w:divBdr>
        <w:top w:val="none" w:sz="0" w:space="0" w:color="auto"/>
        <w:left w:val="none" w:sz="0" w:space="0" w:color="auto"/>
        <w:bottom w:val="none" w:sz="0" w:space="0" w:color="auto"/>
        <w:right w:val="none" w:sz="0" w:space="0" w:color="auto"/>
      </w:divBdr>
    </w:div>
    <w:div w:id="1791129019">
      <w:bodyDiv w:val="1"/>
      <w:marLeft w:val="0"/>
      <w:marRight w:val="0"/>
      <w:marTop w:val="0"/>
      <w:marBottom w:val="0"/>
      <w:divBdr>
        <w:top w:val="none" w:sz="0" w:space="0" w:color="auto"/>
        <w:left w:val="none" w:sz="0" w:space="0" w:color="auto"/>
        <w:bottom w:val="none" w:sz="0" w:space="0" w:color="auto"/>
        <w:right w:val="none" w:sz="0" w:space="0" w:color="auto"/>
      </w:divBdr>
    </w:div>
    <w:div w:id="1825966867">
      <w:bodyDiv w:val="1"/>
      <w:marLeft w:val="0"/>
      <w:marRight w:val="0"/>
      <w:marTop w:val="0"/>
      <w:marBottom w:val="0"/>
      <w:divBdr>
        <w:top w:val="none" w:sz="0" w:space="0" w:color="auto"/>
        <w:left w:val="none" w:sz="0" w:space="0" w:color="auto"/>
        <w:bottom w:val="none" w:sz="0" w:space="0" w:color="auto"/>
        <w:right w:val="none" w:sz="0" w:space="0" w:color="auto"/>
      </w:divBdr>
    </w:div>
    <w:div w:id="1849244991">
      <w:bodyDiv w:val="1"/>
      <w:marLeft w:val="0"/>
      <w:marRight w:val="0"/>
      <w:marTop w:val="0"/>
      <w:marBottom w:val="0"/>
      <w:divBdr>
        <w:top w:val="none" w:sz="0" w:space="0" w:color="auto"/>
        <w:left w:val="none" w:sz="0" w:space="0" w:color="auto"/>
        <w:bottom w:val="none" w:sz="0" w:space="0" w:color="auto"/>
        <w:right w:val="none" w:sz="0" w:space="0" w:color="auto"/>
      </w:divBdr>
    </w:div>
    <w:div w:id="1915050091">
      <w:bodyDiv w:val="1"/>
      <w:marLeft w:val="0"/>
      <w:marRight w:val="0"/>
      <w:marTop w:val="0"/>
      <w:marBottom w:val="0"/>
      <w:divBdr>
        <w:top w:val="none" w:sz="0" w:space="0" w:color="auto"/>
        <w:left w:val="none" w:sz="0" w:space="0" w:color="auto"/>
        <w:bottom w:val="none" w:sz="0" w:space="0" w:color="auto"/>
        <w:right w:val="none" w:sz="0" w:space="0" w:color="auto"/>
      </w:divBdr>
    </w:div>
    <w:div w:id="1916283567">
      <w:bodyDiv w:val="1"/>
      <w:marLeft w:val="0"/>
      <w:marRight w:val="0"/>
      <w:marTop w:val="0"/>
      <w:marBottom w:val="0"/>
      <w:divBdr>
        <w:top w:val="none" w:sz="0" w:space="0" w:color="auto"/>
        <w:left w:val="none" w:sz="0" w:space="0" w:color="auto"/>
        <w:bottom w:val="none" w:sz="0" w:space="0" w:color="auto"/>
        <w:right w:val="none" w:sz="0" w:space="0" w:color="auto"/>
      </w:divBdr>
    </w:div>
    <w:div w:id="1964000580">
      <w:bodyDiv w:val="1"/>
      <w:marLeft w:val="0"/>
      <w:marRight w:val="0"/>
      <w:marTop w:val="0"/>
      <w:marBottom w:val="0"/>
      <w:divBdr>
        <w:top w:val="none" w:sz="0" w:space="0" w:color="auto"/>
        <w:left w:val="none" w:sz="0" w:space="0" w:color="auto"/>
        <w:bottom w:val="none" w:sz="0" w:space="0" w:color="auto"/>
        <w:right w:val="none" w:sz="0" w:space="0" w:color="auto"/>
      </w:divBdr>
    </w:div>
    <w:div w:id="2016878799">
      <w:bodyDiv w:val="1"/>
      <w:marLeft w:val="0"/>
      <w:marRight w:val="0"/>
      <w:marTop w:val="0"/>
      <w:marBottom w:val="0"/>
      <w:divBdr>
        <w:top w:val="none" w:sz="0" w:space="0" w:color="auto"/>
        <w:left w:val="none" w:sz="0" w:space="0" w:color="auto"/>
        <w:bottom w:val="none" w:sz="0" w:space="0" w:color="auto"/>
        <w:right w:val="none" w:sz="0" w:space="0" w:color="auto"/>
      </w:divBdr>
    </w:div>
    <w:div w:id="2081516704">
      <w:bodyDiv w:val="1"/>
      <w:marLeft w:val="0"/>
      <w:marRight w:val="0"/>
      <w:marTop w:val="0"/>
      <w:marBottom w:val="0"/>
      <w:divBdr>
        <w:top w:val="none" w:sz="0" w:space="0" w:color="auto"/>
        <w:left w:val="none" w:sz="0" w:space="0" w:color="auto"/>
        <w:bottom w:val="none" w:sz="0" w:space="0" w:color="auto"/>
        <w:right w:val="none" w:sz="0" w:space="0" w:color="auto"/>
      </w:divBdr>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abc.net.au/news/2021-10-29/workers-superannuation-is-being-used-to-prop-up-small-businesses/1005774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Business/Super-for-employers/Super-guarantee---annual-employer-compliance-resul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9620ADD92642389C5D4B3C4F0DC506"/>
        <w:category>
          <w:name w:val="General"/>
          <w:gallery w:val="placeholder"/>
        </w:category>
        <w:types>
          <w:type w:val="bbPlcHdr"/>
        </w:types>
        <w:behaviors>
          <w:behavior w:val="content"/>
        </w:behaviors>
        <w:guid w:val="{0E69F682-416D-4040-98E0-4FB4AA2416D9}"/>
      </w:docPartPr>
      <w:docPartBody>
        <w:p w:rsidR="00E920D8" w:rsidRDefault="00811F5B">
          <w:pPr>
            <w:pStyle w:val="219620ADD92642389C5D4B3C4F0DC506"/>
          </w:pPr>
          <w:r w:rsidRPr="007F2558">
            <w:rPr>
              <w:bCs/>
              <w:color w:val="5B9BD5" w:themeColor="accent1"/>
              <w:sz w:val="16"/>
              <w:szCs w:val="16"/>
            </w:rPr>
            <w:t>[Document Heading]</w:t>
          </w:r>
        </w:p>
      </w:docPartBody>
    </w:docPart>
    <w:docPart>
      <w:docPartPr>
        <w:name w:val="4A1B4207812C47D4A115D0D13B555E30"/>
        <w:category>
          <w:name w:val="General"/>
          <w:gallery w:val="placeholder"/>
        </w:category>
        <w:types>
          <w:type w:val="bbPlcHdr"/>
        </w:types>
        <w:behaviors>
          <w:behavior w:val="content"/>
        </w:behaviors>
        <w:guid w:val="{2488B15D-E625-4A74-9AB9-0E813D3AB356}"/>
      </w:docPartPr>
      <w:docPartBody>
        <w:p w:rsidR="00E920D8" w:rsidRDefault="00811F5B">
          <w:pPr>
            <w:pStyle w:val="4A1B4207812C47D4A115D0D13B555E30"/>
          </w:pPr>
          <w:r w:rsidRPr="005A0DE7">
            <w:rPr>
              <w:color w:val="5B9BD5" w:themeColor="accent1"/>
              <w:sz w:val="16"/>
              <w:szCs w:val="16"/>
            </w:rPr>
            <w:t>[Section Name]</w:t>
          </w:r>
        </w:p>
      </w:docPartBody>
    </w:docPart>
    <w:docPart>
      <w:docPartPr>
        <w:name w:val="8FA75C6A6517453A8BB1CBCC6A673432"/>
        <w:category>
          <w:name w:val="General"/>
          <w:gallery w:val="placeholder"/>
        </w:category>
        <w:types>
          <w:type w:val="bbPlcHdr"/>
        </w:types>
        <w:behaviors>
          <w:behavior w:val="content"/>
        </w:behaviors>
        <w:guid w:val="{5DD9C059-2350-45F8-AC21-21FE86D2F6E9}"/>
      </w:docPartPr>
      <w:docPartBody>
        <w:p w:rsidR="00E920D8" w:rsidRDefault="00811F5B">
          <w:pPr>
            <w:pStyle w:val="8FA75C6A6517453A8BB1CBCC6A673432"/>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ZWUZ P+ Meta Normal LF">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5B"/>
    <w:rsid w:val="00010984"/>
    <w:rsid w:val="0004032D"/>
    <w:rsid w:val="000672A2"/>
    <w:rsid w:val="00090C1C"/>
    <w:rsid w:val="000934A2"/>
    <w:rsid w:val="000A03DF"/>
    <w:rsid w:val="000A28DE"/>
    <w:rsid w:val="000B36D1"/>
    <w:rsid w:val="0015775A"/>
    <w:rsid w:val="00160A00"/>
    <w:rsid w:val="00166407"/>
    <w:rsid w:val="00172860"/>
    <w:rsid w:val="00187637"/>
    <w:rsid w:val="00192EEA"/>
    <w:rsid w:val="00194303"/>
    <w:rsid w:val="001C6E12"/>
    <w:rsid w:val="001D26C3"/>
    <w:rsid w:val="001F513A"/>
    <w:rsid w:val="001F5E1B"/>
    <w:rsid w:val="00206725"/>
    <w:rsid w:val="002840AE"/>
    <w:rsid w:val="00284D28"/>
    <w:rsid w:val="0028604B"/>
    <w:rsid w:val="002D6172"/>
    <w:rsid w:val="002E5159"/>
    <w:rsid w:val="002F21F7"/>
    <w:rsid w:val="002F3BBF"/>
    <w:rsid w:val="003044DA"/>
    <w:rsid w:val="00305F5D"/>
    <w:rsid w:val="00341FA4"/>
    <w:rsid w:val="00365890"/>
    <w:rsid w:val="00372DEA"/>
    <w:rsid w:val="003C633D"/>
    <w:rsid w:val="004A177A"/>
    <w:rsid w:val="004D0891"/>
    <w:rsid w:val="004D5D20"/>
    <w:rsid w:val="004F0B30"/>
    <w:rsid w:val="004F2960"/>
    <w:rsid w:val="00503834"/>
    <w:rsid w:val="00522B45"/>
    <w:rsid w:val="00527811"/>
    <w:rsid w:val="00570611"/>
    <w:rsid w:val="00593412"/>
    <w:rsid w:val="005B5925"/>
    <w:rsid w:val="005C4E74"/>
    <w:rsid w:val="005D695D"/>
    <w:rsid w:val="005E618F"/>
    <w:rsid w:val="006300B0"/>
    <w:rsid w:val="00630BAA"/>
    <w:rsid w:val="0063408E"/>
    <w:rsid w:val="006624DF"/>
    <w:rsid w:val="00690C74"/>
    <w:rsid w:val="006F1C85"/>
    <w:rsid w:val="00713E9C"/>
    <w:rsid w:val="007230C7"/>
    <w:rsid w:val="00753CA0"/>
    <w:rsid w:val="00773AEF"/>
    <w:rsid w:val="00794157"/>
    <w:rsid w:val="007A0B76"/>
    <w:rsid w:val="007D034C"/>
    <w:rsid w:val="007D22FC"/>
    <w:rsid w:val="0080361E"/>
    <w:rsid w:val="00811F5B"/>
    <w:rsid w:val="00834418"/>
    <w:rsid w:val="00840C83"/>
    <w:rsid w:val="00852B39"/>
    <w:rsid w:val="00892B97"/>
    <w:rsid w:val="008A6FB3"/>
    <w:rsid w:val="008E351D"/>
    <w:rsid w:val="0090511C"/>
    <w:rsid w:val="009054DF"/>
    <w:rsid w:val="009440C2"/>
    <w:rsid w:val="009A0216"/>
    <w:rsid w:val="009B07CB"/>
    <w:rsid w:val="009B6631"/>
    <w:rsid w:val="009B6BEF"/>
    <w:rsid w:val="009B7F8E"/>
    <w:rsid w:val="009E55C6"/>
    <w:rsid w:val="00A00EFD"/>
    <w:rsid w:val="00A03126"/>
    <w:rsid w:val="00A97B0D"/>
    <w:rsid w:val="00AD5EA2"/>
    <w:rsid w:val="00AF21FB"/>
    <w:rsid w:val="00B2443D"/>
    <w:rsid w:val="00B61617"/>
    <w:rsid w:val="00BB64D0"/>
    <w:rsid w:val="00BD0E47"/>
    <w:rsid w:val="00BF40A9"/>
    <w:rsid w:val="00BF6DA4"/>
    <w:rsid w:val="00BF789A"/>
    <w:rsid w:val="00C31C20"/>
    <w:rsid w:val="00C3408A"/>
    <w:rsid w:val="00CC4773"/>
    <w:rsid w:val="00CE5974"/>
    <w:rsid w:val="00D971D6"/>
    <w:rsid w:val="00DA0BD1"/>
    <w:rsid w:val="00DA4C63"/>
    <w:rsid w:val="00E1127F"/>
    <w:rsid w:val="00E149D5"/>
    <w:rsid w:val="00E53737"/>
    <w:rsid w:val="00E920D8"/>
    <w:rsid w:val="00E94E26"/>
    <w:rsid w:val="00EC2BF9"/>
    <w:rsid w:val="00ED1BCD"/>
    <w:rsid w:val="00EE4443"/>
    <w:rsid w:val="00EF6508"/>
    <w:rsid w:val="00F107D8"/>
    <w:rsid w:val="00F14FC9"/>
    <w:rsid w:val="00F2526E"/>
    <w:rsid w:val="00F632E0"/>
    <w:rsid w:val="00F85D1C"/>
    <w:rsid w:val="00FD0D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620ADD92642389C5D4B3C4F0DC506">
    <w:name w:val="219620ADD92642389C5D4B3C4F0DC506"/>
  </w:style>
  <w:style w:type="paragraph" w:customStyle="1" w:styleId="4A1B4207812C47D4A115D0D13B555E30">
    <w:name w:val="4A1B4207812C47D4A115D0D13B555E30"/>
  </w:style>
  <w:style w:type="paragraph" w:customStyle="1" w:styleId="8FA75C6A6517453A8BB1CBCC6A673432">
    <w:name w:val="8FA75C6A6517453A8BB1CBCC6A673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21839</Words>
  <Characters>124483</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146030</CharactersWithSpaces>
  <SharedDoc>false</SharedDoc>
  <HLinks>
    <vt:vector size="462" baseType="variant">
      <vt:variant>
        <vt:i4>5701635</vt:i4>
      </vt:variant>
      <vt:variant>
        <vt:i4>474</vt:i4>
      </vt:variant>
      <vt:variant>
        <vt:i4>0</vt:i4>
      </vt:variant>
      <vt:variant>
        <vt:i4>5</vt:i4>
      </vt:variant>
      <vt:variant>
        <vt:lpwstr>https://www.abc.net.au/news/2021-10-29/workers-superannuation-is-being-used-to-prop-up-small-businesses/100577450</vt:lpwstr>
      </vt:variant>
      <vt:variant>
        <vt:lpwstr/>
      </vt:variant>
      <vt:variant>
        <vt:i4>2031668</vt:i4>
      </vt:variant>
      <vt:variant>
        <vt:i4>446</vt:i4>
      </vt:variant>
      <vt:variant>
        <vt:i4>0</vt:i4>
      </vt:variant>
      <vt:variant>
        <vt:i4>5</vt:i4>
      </vt:variant>
      <vt:variant>
        <vt:lpwstr/>
      </vt:variant>
      <vt:variant>
        <vt:lpwstr>_Toc131508465</vt:lpwstr>
      </vt:variant>
      <vt:variant>
        <vt:i4>2031668</vt:i4>
      </vt:variant>
      <vt:variant>
        <vt:i4>440</vt:i4>
      </vt:variant>
      <vt:variant>
        <vt:i4>0</vt:i4>
      </vt:variant>
      <vt:variant>
        <vt:i4>5</vt:i4>
      </vt:variant>
      <vt:variant>
        <vt:lpwstr/>
      </vt:variant>
      <vt:variant>
        <vt:lpwstr>_Toc131508464</vt:lpwstr>
      </vt:variant>
      <vt:variant>
        <vt:i4>2031668</vt:i4>
      </vt:variant>
      <vt:variant>
        <vt:i4>434</vt:i4>
      </vt:variant>
      <vt:variant>
        <vt:i4>0</vt:i4>
      </vt:variant>
      <vt:variant>
        <vt:i4>5</vt:i4>
      </vt:variant>
      <vt:variant>
        <vt:lpwstr/>
      </vt:variant>
      <vt:variant>
        <vt:lpwstr>_Toc131508463</vt:lpwstr>
      </vt:variant>
      <vt:variant>
        <vt:i4>2031668</vt:i4>
      </vt:variant>
      <vt:variant>
        <vt:i4>428</vt:i4>
      </vt:variant>
      <vt:variant>
        <vt:i4>0</vt:i4>
      </vt:variant>
      <vt:variant>
        <vt:i4>5</vt:i4>
      </vt:variant>
      <vt:variant>
        <vt:lpwstr/>
      </vt:variant>
      <vt:variant>
        <vt:lpwstr>_Toc131508462</vt:lpwstr>
      </vt:variant>
      <vt:variant>
        <vt:i4>2031668</vt:i4>
      </vt:variant>
      <vt:variant>
        <vt:i4>422</vt:i4>
      </vt:variant>
      <vt:variant>
        <vt:i4>0</vt:i4>
      </vt:variant>
      <vt:variant>
        <vt:i4>5</vt:i4>
      </vt:variant>
      <vt:variant>
        <vt:lpwstr/>
      </vt:variant>
      <vt:variant>
        <vt:lpwstr>_Toc131508461</vt:lpwstr>
      </vt:variant>
      <vt:variant>
        <vt:i4>2031668</vt:i4>
      </vt:variant>
      <vt:variant>
        <vt:i4>416</vt:i4>
      </vt:variant>
      <vt:variant>
        <vt:i4>0</vt:i4>
      </vt:variant>
      <vt:variant>
        <vt:i4>5</vt:i4>
      </vt:variant>
      <vt:variant>
        <vt:lpwstr/>
      </vt:variant>
      <vt:variant>
        <vt:lpwstr>_Toc131508460</vt:lpwstr>
      </vt:variant>
      <vt:variant>
        <vt:i4>1835060</vt:i4>
      </vt:variant>
      <vt:variant>
        <vt:i4>410</vt:i4>
      </vt:variant>
      <vt:variant>
        <vt:i4>0</vt:i4>
      </vt:variant>
      <vt:variant>
        <vt:i4>5</vt:i4>
      </vt:variant>
      <vt:variant>
        <vt:lpwstr/>
      </vt:variant>
      <vt:variant>
        <vt:lpwstr>_Toc131508459</vt:lpwstr>
      </vt:variant>
      <vt:variant>
        <vt:i4>1835060</vt:i4>
      </vt:variant>
      <vt:variant>
        <vt:i4>404</vt:i4>
      </vt:variant>
      <vt:variant>
        <vt:i4>0</vt:i4>
      </vt:variant>
      <vt:variant>
        <vt:i4>5</vt:i4>
      </vt:variant>
      <vt:variant>
        <vt:lpwstr/>
      </vt:variant>
      <vt:variant>
        <vt:lpwstr>_Toc131508458</vt:lpwstr>
      </vt:variant>
      <vt:variant>
        <vt:i4>1835060</vt:i4>
      </vt:variant>
      <vt:variant>
        <vt:i4>398</vt:i4>
      </vt:variant>
      <vt:variant>
        <vt:i4>0</vt:i4>
      </vt:variant>
      <vt:variant>
        <vt:i4>5</vt:i4>
      </vt:variant>
      <vt:variant>
        <vt:lpwstr/>
      </vt:variant>
      <vt:variant>
        <vt:lpwstr>_Toc131508457</vt:lpwstr>
      </vt:variant>
      <vt:variant>
        <vt:i4>1835060</vt:i4>
      </vt:variant>
      <vt:variant>
        <vt:i4>392</vt:i4>
      </vt:variant>
      <vt:variant>
        <vt:i4>0</vt:i4>
      </vt:variant>
      <vt:variant>
        <vt:i4>5</vt:i4>
      </vt:variant>
      <vt:variant>
        <vt:lpwstr/>
      </vt:variant>
      <vt:variant>
        <vt:lpwstr>_Toc131508456</vt:lpwstr>
      </vt:variant>
      <vt:variant>
        <vt:i4>1835060</vt:i4>
      </vt:variant>
      <vt:variant>
        <vt:i4>386</vt:i4>
      </vt:variant>
      <vt:variant>
        <vt:i4>0</vt:i4>
      </vt:variant>
      <vt:variant>
        <vt:i4>5</vt:i4>
      </vt:variant>
      <vt:variant>
        <vt:lpwstr/>
      </vt:variant>
      <vt:variant>
        <vt:lpwstr>_Toc131508455</vt:lpwstr>
      </vt:variant>
      <vt:variant>
        <vt:i4>1835060</vt:i4>
      </vt:variant>
      <vt:variant>
        <vt:i4>380</vt:i4>
      </vt:variant>
      <vt:variant>
        <vt:i4>0</vt:i4>
      </vt:variant>
      <vt:variant>
        <vt:i4>5</vt:i4>
      </vt:variant>
      <vt:variant>
        <vt:lpwstr/>
      </vt:variant>
      <vt:variant>
        <vt:lpwstr>_Toc131508454</vt:lpwstr>
      </vt:variant>
      <vt:variant>
        <vt:i4>1835060</vt:i4>
      </vt:variant>
      <vt:variant>
        <vt:i4>374</vt:i4>
      </vt:variant>
      <vt:variant>
        <vt:i4>0</vt:i4>
      </vt:variant>
      <vt:variant>
        <vt:i4>5</vt:i4>
      </vt:variant>
      <vt:variant>
        <vt:lpwstr/>
      </vt:variant>
      <vt:variant>
        <vt:lpwstr>_Toc131508453</vt:lpwstr>
      </vt:variant>
      <vt:variant>
        <vt:i4>1835060</vt:i4>
      </vt:variant>
      <vt:variant>
        <vt:i4>368</vt:i4>
      </vt:variant>
      <vt:variant>
        <vt:i4>0</vt:i4>
      </vt:variant>
      <vt:variant>
        <vt:i4>5</vt:i4>
      </vt:variant>
      <vt:variant>
        <vt:lpwstr/>
      </vt:variant>
      <vt:variant>
        <vt:lpwstr>_Toc131508452</vt:lpwstr>
      </vt:variant>
      <vt:variant>
        <vt:i4>1835060</vt:i4>
      </vt:variant>
      <vt:variant>
        <vt:i4>362</vt:i4>
      </vt:variant>
      <vt:variant>
        <vt:i4>0</vt:i4>
      </vt:variant>
      <vt:variant>
        <vt:i4>5</vt:i4>
      </vt:variant>
      <vt:variant>
        <vt:lpwstr/>
      </vt:variant>
      <vt:variant>
        <vt:lpwstr>_Toc131508451</vt:lpwstr>
      </vt:variant>
      <vt:variant>
        <vt:i4>1835060</vt:i4>
      </vt:variant>
      <vt:variant>
        <vt:i4>356</vt:i4>
      </vt:variant>
      <vt:variant>
        <vt:i4>0</vt:i4>
      </vt:variant>
      <vt:variant>
        <vt:i4>5</vt:i4>
      </vt:variant>
      <vt:variant>
        <vt:lpwstr/>
      </vt:variant>
      <vt:variant>
        <vt:lpwstr>_Toc131508450</vt:lpwstr>
      </vt:variant>
      <vt:variant>
        <vt:i4>1900596</vt:i4>
      </vt:variant>
      <vt:variant>
        <vt:i4>350</vt:i4>
      </vt:variant>
      <vt:variant>
        <vt:i4>0</vt:i4>
      </vt:variant>
      <vt:variant>
        <vt:i4>5</vt:i4>
      </vt:variant>
      <vt:variant>
        <vt:lpwstr/>
      </vt:variant>
      <vt:variant>
        <vt:lpwstr>_Toc131508449</vt:lpwstr>
      </vt:variant>
      <vt:variant>
        <vt:i4>1900596</vt:i4>
      </vt:variant>
      <vt:variant>
        <vt:i4>344</vt:i4>
      </vt:variant>
      <vt:variant>
        <vt:i4>0</vt:i4>
      </vt:variant>
      <vt:variant>
        <vt:i4>5</vt:i4>
      </vt:variant>
      <vt:variant>
        <vt:lpwstr/>
      </vt:variant>
      <vt:variant>
        <vt:lpwstr>_Toc131508448</vt:lpwstr>
      </vt:variant>
      <vt:variant>
        <vt:i4>1900596</vt:i4>
      </vt:variant>
      <vt:variant>
        <vt:i4>338</vt:i4>
      </vt:variant>
      <vt:variant>
        <vt:i4>0</vt:i4>
      </vt:variant>
      <vt:variant>
        <vt:i4>5</vt:i4>
      </vt:variant>
      <vt:variant>
        <vt:lpwstr/>
      </vt:variant>
      <vt:variant>
        <vt:lpwstr>_Toc131508447</vt:lpwstr>
      </vt:variant>
      <vt:variant>
        <vt:i4>1900596</vt:i4>
      </vt:variant>
      <vt:variant>
        <vt:i4>332</vt:i4>
      </vt:variant>
      <vt:variant>
        <vt:i4>0</vt:i4>
      </vt:variant>
      <vt:variant>
        <vt:i4>5</vt:i4>
      </vt:variant>
      <vt:variant>
        <vt:lpwstr/>
      </vt:variant>
      <vt:variant>
        <vt:lpwstr>_Toc131508446</vt:lpwstr>
      </vt:variant>
      <vt:variant>
        <vt:i4>1900596</vt:i4>
      </vt:variant>
      <vt:variant>
        <vt:i4>326</vt:i4>
      </vt:variant>
      <vt:variant>
        <vt:i4>0</vt:i4>
      </vt:variant>
      <vt:variant>
        <vt:i4>5</vt:i4>
      </vt:variant>
      <vt:variant>
        <vt:lpwstr/>
      </vt:variant>
      <vt:variant>
        <vt:lpwstr>_Toc131508445</vt:lpwstr>
      </vt:variant>
      <vt:variant>
        <vt:i4>1900596</vt:i4>
      </vt:variant>
      <vt:variant>
        <vt:i4>320</vt:i4>
      </vt:variant>
      <vt:variant>
        <vt:i4>0</vt:i4>
      </vt:variant>
      <vt:variant>
        <vt:i4>5</vt:i4>
      </vt:variant>
      <vt:variant>
        <vt:lpwstr/>
      </vt:variant>
      <vt:variant>
        <vt:lpwstr>_Toc131508444</vt:lpwstr>
      </vt:variant>
      <vt:variant>
        <vt:i4>1900596</vt:i4>
      </vt:variant>
      <vt:variant>
        <vt:i4>314</vt:i4>
      </vt:variant>
      <vt:variant>
        <vt:i4>0</vt:i4>
      </vt:variant>
      <vt:variant>
        <vt:i4>5</vt:i4>
      </vt:variant>
      <vt:variant>
        <vt:lpwstr/>
      </vt:variant>
      <vt:variant>
        <vt:lpwstr>_Toc131508443</vt:lpwstr>
      </vt:variant>
      <vt:variant>
        <vt:i4>1900596</vt:i4>
      </vt:variant>
      <vt:variant>
        <vt:i4>308</vt:i4>
      </vt:variant>
      <vt:variant>
        <vt:i4>0</vt:i4>
      </vt:variant>
      <vt:variant>
        <vt:i4>5</vt:i4>
      </vt:variant>
      <vt:variant>
        <vt:lpwstr/>
      </vt:variant>
      <vt:variant>
        <vt:lpwstr>_Toc131508442</vt:lpwstr>
      </vt:variant>
      <vt:variant>
        <vt:i4>1900596</vt:i4>
      </vt:variant>
      <vt:variant>
        <vt:i4>302</vt:i4>
      </vt:variant>
      <vt:variant>
        <vt:i4>0</vt:i4>
      </vt:variant>
      <vt:variant>
        <vt:i4>5</vt:i4>
      </vt:variant>
      <vt:variant>
        <vt:lpwstr/>
      </vt:variant>
      <vt:variant>
        <vt:lpwstr>_Toc131508441</vt:lpwstr>
      </vt:variant>
      <vt:variant>
        <vt:i4>1900596</vt:i4>
      </vt:variant>
      <vt:variant>
        <vt:i4>296</vt:i4>
      </vt:variant>
      <vt:variant>
        <vt:i4>0</vt:i4>
      </vt:variant>
      <vt:variant>
        <vt:i4>5</vt:i4>
      </vt:variant>
      <vt:variant>
        <vt:lpwstr/>
      </vt:variant>
      <vt:variant>
        <vt:lpwstr>_Toc131508440</vt:lpwstr>
      </vt:variant>
      <vt:variant>
        <vt:i4>1703988</vt:i4>
      </vt:variant>
      <vt:variant>
        <vt:i4>290</vt:i4>
      </vt:variant>
      <vt:variant>
        <vt:i4>0</vt:i4>
      </vt:variant>
      <vt:variant>
        <vt:i4>5</vt:i4>
      </vt:variant>
      <vt:variant>
        <vt:lpwstr/>
      </vt:variant>
      <vt:variant>
        <vt:lpwstr>_Toc131508439</vt:lpwstr>
      </vt:variant>
      <vt:variant>
        <vt:i4>1703988</vt:i4>
      </vt:variant>
      <vt:variant>
        <vt:i4>284</vt:i4>
      </vt:variant>
      <vt:variant>
        <vt:i4>0</vt:i4>
      </vt:variant>
      <vt:variant>
        <vt:i4>5</vt:i4>
      </vt:variant>
      <vt:variant>
        <vt:lpwstr/>
      </vt:variant>
      <vt:variant>
        <vt:lpwstr>_Toc131508438</vt:lpwstr>
      </vt:variant>
      <vt:variant>
        <vt:i4>1703988</vt:i4>
      </vt:variant>
      <vt:variant>
        <vt:i4>278</vt:i4>
      </vt:variant>
      <vt:variant>
        <vt:i4>0</vt:i4>
      </vt:variant>
      <vt:variant>
        <vt:i4>5</vt:i4>
      </vt:variant>
      <vt:variant>
        <vt:lpwstr/>
      </vt:variant>
      <vt:variant>
        <vt:lpwstr>_Toc131508437</vt:lpwstr>
      </vt:variant>
      <vt:variant>
        <vt:i4>1703988</vt:i4>
      </vt:variant>
      <vt:variant>
        <vt:i4>272</vt:i4>
      </vt:variant>
      <vt:variant>
        <vt:i4>0</vt:i4>
      </vt:variant>
      <vt:variant>
        <vt:i4>5</vt:i4>
      </vt:variant>
      <vt:variant>
        <vt:lpwstr/>
      </vt:variant>
      <vt:variant>
        <vt:lpwstr>_Toc131508436</vt:lpwstr>
      </vt:variant>
      <vt:variant>
        <vt:i4>1703988</vt:i4>
      </vt:variant>
      <vt:variant>
        <vt:i4>266</vt:i4>
      </vt:variant>
      <vt:variant>
        <vt:i4>0</vt:i4>
      </vt:variant>
      <vt:variant>
        <vt:i4>5</vt:i4>
      </vt:variant>
      <vt:variant>
        <vt:lpwstr/>
      </vt:variant>
      <vt:variant>
        <vt:lpwstr>_Toc131508435</vt:lpwstr>
      </vt:variant>
      <vt:variant>
        <vt:i4>1703988</vt:i4>
      </vt:variant>
      <vt:variant>
        <vt:i4>260</vt:i4>
      </vt:variant>
      <vt:variant>
        <vt:i4>0</vt:i4>
      </vt:variant>
      <vt:variant>
        <vt:i4>5</vt:i4>
      </vt:variant>
      <vt:variant>
        <vt:lpwstr/>
      </vt:variant>
      <vt:variant>
        <vt:lpwstr>_Toc131508434</vt:lpwstr>
      </vt:variant>
      <vt:variant>
        <vt:i4>1703988</vt:i4>
      </vt:variant>
      <vt:variant>
        <vt:i4>254</vt:i4>
      </vt:variant>
      <vt:variant>
        <vt:i4>0</vt:i4>
      </vt:variant>
      <vt:variant>
        <vt:i4>5</vt:i4>
      </vt:variant>
      <vt:variant>
        <vt:lpwstr/>
      </vt:variant>
      <vt:variant>
        <vt:lpwstr>_Toc131508433</vt:lpwstr>
      </vt:variant>
      <vt:variant>
        <vt:i4>1703988</vt:i4>
      </vt:variant>
      <vt:variant>
        <vt:i4>248</vt:i4>
      </vt:variant>
      <vt:variant>
        <vt:i4>0</vt:i4>
      </vt:variant>
      <vt:variant>
        <vt:i4>5</vt:i4>
      </vt:variant>
      <vt:variant>
        <vt:lpwstr/>
      </vt:variant>
      <vt:variant>
        <vt:lpwstr>_Toc131508432</vt:lpwstr>
      </vt:variant>
      <vt:variant>
        <vt:i4>1703988</vt:i4>
      </vt:variant>
      <vt:variant>
        <vt:i4>242</vt:i4>
      </vt:variant>
      <vt:variant>
        <vt:i4>0</vt:i4>
      </vt:variant>
      <vt:variant>
        <vt:i4>5</vt:i4>
      </vt:variant>
      <vt:variant>
        <vt:lpwstr/>
      </vt:variant>
      <vt:variant>
        <vt:lpwstr>_Toc131508431</vt:lpwstr>
      </vt:variant>
      <vt:variant>
        <vt:i4>1703988</vt:i4>
      </vt:variant>
      <vt:variant>
        <vt:i4>236</vt:i4>
      </vt:variant>
      <vt:variant>
        <vt:i4>0</vt:i4>
      </vt:variant>
      <vt:variant>
        <vt:i4>5</vt:i4>
      </vt:variant>
      <vt:variant>
        <vt:lpwstr/>
      </vt:variant>
      <vt:variant>
        <vt:lpwstr>_Toc131508430</vt:lpwstr>
      </vt:variant>
      <vt:variant>
        <vt:i4>1769524</vt:i4>
      </vt:variant>
      <vt:variant>
        <vt:i4>230</vt:i4>
      </vt:variant>
      <vt:variant>
        <vt:i4>0</vt:i4>
      </vt:variant>
      <vt:variant>
        <vt:i4>5</vt:i4>
      </vt:variant>
      <vt:variant>
        <vt:lpwstr/>
      </vt:variant>
      <vt:variant>
        <vt:lpwstr>_Toc131508429</vt:lpwstr>
      </vt:variant>
      <vt:variant>
        <vt:i4>1769524</vt:i4>
      </vt:variant>
      <vt:variant>
        <vt:i4>224</vt:i4>
      </vt:variant>
      <vt:variant>
        <vt:i4>0</vt:i4>
      </vt:variant>
      <vt:variant>
        <vt:i4>5</vt:i4>
      </vt:variant>
      <vt:variant>
        <vt:lpwstr/>
      </vt:variant>
      <vt:variant>
        <vt:lpwstr>_Toc131508428</vt:lpwstr>
      </vt:variant>
      <vt:variant>
        <vt:i4>1769524</vt:i4>
      </vt:variant>
      <vt:variant>
        <vt:i4>218</vt:i4>
      </vt:variant>
      <vt:variant>
        <vt:i4>0</vt:i4>
      </vt:variant>
      <vt:variant>
        <vt:i4>5</vt:i4>
      </vt:variant>
      <vt:variant>
        <vt:lpwstr/>
      </vt:variant>
      <vt:variant>
        <vt:lpwstr>_Toc131508427</vt:lpwstr>
      </vt:variant>
      <vt:variant>
        <vt:i4>1769524</vt:i4>
      </vt:variant>
      <vt:variant>
        <vt:i4>212</vt:i4>
      </vt:variant>
      <vt:variant>
        <vt:i4>0</vt:i4>
      </vt:variant>
      <vt:variant>
        <vt:i4>5</vt:i4>
      </vt:variant>
      <vt:variant>
        <vt:lpwstr/>
      </vt:variant>
      <vt:variant>
        <vt:lpwstr>_Toc131508426</vt:lpwstr>
      </vt:variant>
      <vt:variant>
        <vt:i4>1769524</vt:i4>
      </vt:variant>
      <vt:variant>
        <vt:i4>206</vt:i4>
      </vt:variant>
      <vt:variant>
        <vt:i4>0</vt:i4>
      </vt:variant>
      <vt:variant>
        <vt:i4>5</vt:i4>
      </vt:variant>
      <vt:variant>
        <vt:lpwstr/>
      </vt:variant>
      <vt:variant>
        <vt:lpwstr>_Toc131508425</vt:lpwstr>
      </vt:variant>
      <vt:variant>
        <vt:i4>1769524</vt:i4>
      </vt:variant>
      <vt:variant>
        <vt:i4>200</vt:i4>
      </vt:variant>
      <vt:variant>
        <vt:i4>0</vt:i4>
      </vt:variant>
      <vt:variant>
        <vt:i4>5</vt:i4>
      </vt:variant>
      <vt:variant>
        <vt:lpwstr/>
      </vt:variant>
      <vt:variant>
        <vt:lpwstr>_Toc131508424</vt:lpwstr>
      </vt:variant>
      <vt:variant>
        <vt:i4>1769524</vt:i4>
      </vt:variant>
      <vt:variant>
        <vt:i4>194</vt:i4>
      </vt:variant>
      <vt:variant>
        <vt:i4>0</vt:i4>
      </vt:variant>
      <vt:variant>
        <vt:i4>5</vt:i4>
      </vt:variant>
      <vt:variant>
        <vt:lpwstr/>
      </vt:variant>
      <vt:variant>
        <vt:lpwstr>_Toc131508423</vt:lpwstr>
      </vt:variant>
      <vt:variant>
        <vt:i4>1769524</vt:i4>
      </vt:variant>
      <vt:variant>
        <vt:i4>188</vt:i4>
      </vt:variant>
      <vt:variant>
        <vt:i4>0</vt:i4>
      </vt:variant>
      <vt:variant>
        <vt:i4>5</vt:i4>
      </vt:variant>
      <vt:variant>
        <vt:lpwstr/>
      </vt:variant>
      <vt:variant>
        <vt:lpwstr>_Toc131508422</vt:lpwstr>
      </vt:variant>
      <vt:variant>
        <vt:i4>1769524</vt:i4>
      </vt:variant>
      <vt:variant>
        <vt:i4>182</vt:i4>
      </vt:variant>
      <vt:variant>
        <vt:i4>0</vt:i4>
      </vt:variant>
      <vt:variant>
        <vt:i4>5</vt:i4>
      </vt:variant>
      <vt:variant>
        <vt:lpwstr/>
      </vt:variant>
      <vt:variant>
        <vt:lpwstr>_Toc131508421</vt:lpwstr>
      </vt:variant>
      <vt:variant>
        <vt:i4>1769524</vt:i4>
      </vt:variant>
      <vt:variant>
        <vt:i4>176</vt:i4>
      </vt:variant>
      <vt:variant>
        <vt:i4>0</vt:i4>
      </vt:variant>
      <vt:variant>
        <vt:i4>5</vt:i4>
      </vt:variant>
      <vt:variant>
        <vt:lpwstr/>
      </vt:variant>
      <vt:variant>
        <vt:lpwstr>_Toc131508420</vt:lpwstr>
      </vt:variant>
      <vt:variant>
        <vt:i4>1572916</vt:i4>
      </vt:variant>
      <vt:variant>
        <vt:i4>170</vt:i4>
      </vt:variant>
      <vt:variant>
        <vt:i4>0</vt:i4>
      </vt:variant>
      <vt:variant>
        <vt:i4>5</vt:i4>
      </vt:variant>
      <vt:variant>
        <vt:lpwstr/>
      </vt:variant>
      <vt:variant>
        <vt:lpwstr>_Toc131508419</vt:lpwstr>
      </vt:variant>
      <vt:variant>
        <vt:i4>1572916</vt:i4>
      </vt:variant>
      <vt:variant>
        <vt:i4>164</vt:i4>
      </vt:variant>
      <vt:variant>
        <vt:i4>0</vt:i4>
      </vt:variant>
      <vt:variant>
        <vt:i4>5</vt:i4>
      </vt:variant>
      <vt:variant>
        <vt:lpwstr/>
      </vt:variant>
      <vt:variant>
        <vt:lpwstr>_Toc131508418</vt:lpwstr>
      </vt:variant>
      <vt:variant>
        <vt:i4>1572916</vt:i4>
      </vt:variant>
      <vt:variant>
        <vt:i4>158</vt:i4>
      </vt:variant>
      <vt:variant>
        <vt:i4>0</vt:i4>
      </vt:variant>
      <vt:variant>
        <vt:i4>5</vt:i4>
      </vt:variant>
      <vt:variant>
        <vt:lpwstr/>
      </vt:variant>
      <vt:variant>
        <vt:lpwstr>_Toc131508417</vt:lpwstr>
      </vt:variant>
      <vt:variant>
        <vt:i4>1572916</vt:i4>
      </vt:variant>
      <vt:variant>
        <vt:i4>152</vt:i4>
      </vt:variant>
      <vt:variant>
        <vt:i4>0</vt:i4>
      </vt:variant>
      <vt:variant>
        <vt:i4>5</vt:i4>
      </vt:variant>
      <vt:variant>
        <vt:lpwstr/>
      </vt:variant>
      <vt:variant>
        <vt:lpwstr>_Toc131508416</vt:lpwstr>
      </vt:variant>
      <vt:variant>
        <vt:i4>1572916</vt:i4>
      </vt:variant>
      <vt:variant>
        <vt:i4>146</vt:i4>
      </vt:variant>
      <vt:variant>
        <vt:i4>0</vt:i4>
      </vt:variant>
      <vt:variant>
        <vt:i4>5</vt:i4>
      </vt:variant>
      <vt:variant>
        <vt:lpwstr/>
      </vt:variant>
      <vt:variant>
        <vt:lpwstr>_Toc131508415</vt:lpwstr>
      </vt:variant>
      <vt:variant>
        <vt:i4>1572916</vt:i4>
      </vt:variant>
      <vt:variant>
        <vt:i4>140</vt:i4>
      </vt:variant>
      <vt:variant>
        <vt:i4>0</vt:i4>
      </vt:variant>
      <vt:variant>
        <vt:i4>5</vt:i4>
      </vt:variant>
      <vt:variant>
        <vt:lpwstr/>
      </vt:variant>
      <vt:variant>
        <vt:lpwstr>_Toc131508414</vt:lpwstr>
      </vt:variant>
      <vt:variant>
        <vt:i4>1572916</vt:i4>
      </vt:variant>
      <vt:variant>
        <vt:i4>134</vt:i4>
      </vt:variant>
      <vt:variant>
        <vt:i4>0</vt:i4>
      </vt:variant>
      <vt:variant>
        <vt:i4>5</vt:i4>
      </vt:variant>
      <vt:variant>
        <vt:lpwstr/>
      </vt:variant>
      <vt:variant>
        <vt:lpwstr>_Toc131508413</vt:lpwstr>
      </vt:variant>
      <vt:variant>
        <vt:i4>1572916</vt:i4>
      </vt:variant>
      <vt:variant>
        <vt:i4>128</vt:i4>
      </vt:variant>
      <vt:variant>
        <vt:i4>0</vt:i4>
      </vt:variant>
      <vt:variant>
        <vt:i4>5</vt:i4>
      </vt:variant>
      <vt:variant>
        <vt:lpwstr/>
      </vt:variant>
      <vt:variant>
        <vt:lpwstr>_Toc131508412</vt:lpwstr>
      </vt:variant>
      <vt:variant>
        <vt:i4>1572916</vt:i4>
      </vt:variant>
      <vt:variant>
        <vt:i4>122</vt:i4>
      </vt:variant>
      <vt:variant>
        <vt:i4>0</vt:i4>
      </vt:variant>
      <vt:variant>
        <vt:i4>5</vt:i4>
      </vt:variant>
      <vt:variant>
        <vt:lpwstr/>
      </vt:variant>
      <vt:variant>
        <vt:lpwstr>_Toc131508411</vt:lpwstr>
      </vt:variant>
      <vt:variant>
        <vt:i4>1572916</vt:i4>
      </vt:variant>
      <vt:variant>
        <vt:i4>116</vt:i4>
      </vt:variant>
      <vt:variant>
        <vt:i4>0</vt:i4>
      </vt:variant>
      <vt:variant>
        <vt:i4>5</vt:i4>
      </vt:variant>
      <vt:variant>
        <vt:lpwstr/>
      </vt:variant>
      <vt:variant>
        <vt:lpwstr>_Toc131508410</vt:lpwstr>
      </vt:variant>
      <vt:variant>
        <vt:i4>1638452</vt:i4>
      </vt:variant>
      <vt:variant>
        <vt:i4>110</vt:i4>
      </vt:variant>
      <vt:variant>
        <vt:i4>0</vt:i4>
      </vt:variant>
      <vt:variant>
        <vt:i4>5</vt:i4>
      </vt:variant>
      <vt:variant>
        <vt:lpwstr/>
      </vt:variant>
      <vt:variant>
        <vt:lpwstr>_Toc131508409</vt:lpwstr>
      </vt:variant>
      <vt:variant>
        <vt:i4>1638452</vt:i4>
      </vt:variant>
      <vt:variant>
        <vt:i4>104</vt:i4>
      </vt:variant>
      <vt:variant>
        <vt:i4>0</vt:i4>
      </vt:variant>
      <vt:variant>
        <vt:i4>5</vt:i4>
      </vt:variant>
      <vt:variant>
        <vt:lpwstr/>
      </vt:variant>
      <vt:variant>
        <vt:lpwstr>_Toc131508408</vt:lpwstr>
      </vt:variant>
      <vt:variant>
        <vt:i4>1638452</vt:i4>
      </vt:variant>
      <vt:variant>
        <vt:i4>98</vt:i4>
      </vt:variant>
      <vt:variant>
        <vt:i4>0</vt:i4>
      </vt:variant>
      <vt:variant>
        <vt:i4>5</vt:i4>
      </vt:variant>
      <vt:variant>
        <vt:lpwstr/>
      </vt:variant>
      <vt:variant>
        <vt:lpwstr>_Toc131508407</vt:lpwstr>
      </vt:variant>
      <vt:variant>
        <vt:i4>1638452</vt:i4>
      </vt:variant>
      <vt:variant>
        <vt:i4>92</vt:i4>
      </vt:variant>
      <vt:variant>
        <vt:i4>0</vt:i4>
      </vt:variant>
      <vt:variant>
        <vt:i4>5</vt:i4>
      </vt:variant>
      <vt:variant>
        <vt:lpwstr/>
      </vt:variant>
      <vt:variant>
        <vt:lpwstr>_Toc131508406</vt:lpwstr>
      </vt:variant>
      <vt:variant>
        <vt:i4>1638452</vt:i4>
      </vt:variant>
      <vt:variant>
        <vt:i4>86</vt:i4>
      </vt:variant>
      <vt:variant>
        <vt:i4>0</vt:i4>
      </vt:variant>
      <vt:variant>
        <vt:i4>5</vt:i4>
      </vt:variant>
      <vt:variant>
        <vt:lpwstr/>
      </vt:variant>
      <vt:variant>
        <vt:lpwstr>_Toc131508405</vt:lpwstr>
      </vt:variant>
      <vt:variant>
        <vt:i4>1638452</vt:i4>
      </vt:variant>
      <vt:variant>
        <vt:i4>80</vt:i4>
      </vt:variant>
      <vt:variant>
        <vt:i4>0</vt:i4>
      </vt:variant>
      <vt:variant>
        <vt:i4>5</vt:i4>
      </vt:variant>
      <vt:variant>
        <vt:lpwstr/>
      </vt:variant>
      <vt:variant>
        <vt:lpwstr>_Toc131508404</vt:lpwstr>
      </vt:variant>
      <vt:variant>
        <vt:i4>1638452</vt:i4>
      </vt:variant>
      <vt:variant>
        <vt:i4>74</vt:i4>
      </vt:variant>
      <vt:variant>
        <vt:i4>0</vt:i4>
      </vt:variant>
      <vt:variant>
        <vt:i4>5</vt:i4>
      </vt:variant>
      <vt:variant>
        <vt:lpwstr/>
      </vt:variant>
      <vt:variant>
        <vt:lpwstr>_Toc131508403</vt:lpwstr>
      </vt:variant>
      <vt:variant>
        <vt:i4>1638452</vt:i4>
      </vt:variant>
      <vt:variant>
        <vt:i4>68</vt:i4>
      </vt:variant>
      <vt:variant>
        <vt:i4>0</vt:i4>
      </vt:variant>
      <vt:variant>
        <vt:i4>5</vt:i4>
      </vt:variant>
      <vt:variant>
        <vt:lpwstr/>
      </vt:variant>
      <vt:variant>
        <vt:lpwstr>_Toc131508402</vt:lpwstr>
      </vt:variant>
      <vt:variant>
        <vt:i4>1638452</vt:i4>
      </vt:variant>
      <vt:variant>
        <vt:i4>62</vt:i4>
      </vt:variant>
      <vt:variant>
        <vt:i4>0</vt:i4>
      </vt:variant>
      <vt:variant>
        <vt:i4>5</vt:i4>
      </vt:variant>
      <vt:variant>
        <vt:lpwstr/>
      </vt:variant>
      <vt:variant>
        <vt:lpwstr>_Toc131508401</vt:lpwstr>
      </vt:variant>
      <vt:variant>
        <vt:i4>1638452</vt:i4>
      </vt:variant>
      <vt:variant>
        <vt:i4>56</vt:i4>
      </vt:variant>
      <vt:variant>
        <vt:i4>0</vt:i4>
      </vt:variant>
      <vt:variant>
        <vt:i4>5</vt:i4>
      </vt:variant>
      <vt:variant>
        <vt:lpwstr/>
      </vt:variant>
      <vt:variant>
        <vt:lpwstr>_Toc131508400</vt:lpwstr>
      </vt:variant>
      <vt:variant>
        <vt:i4>1048627</vt:i4>
      </vt:variant>
      <vt:variant>
        <vt:i4>50</vt:i4>
      </vt:variant>
      <vt:variant>
        <vt:i4>0</vt:i4>
      </vt:variant>
      <vt:variant>
        <vt:i4>5</vt:i4>
      </vt:variant>
      <vt:variant>
        <vt:lpwstr/>
      </vt:variant>
      <vt:variant>
        <vt:lpwstr>_Toc131508399</vt:lpwstr>
      </vt:variant>
      <vt:variant>
        <vt:i4>1048627</vt:i4>
      </vt:variant>
      <vt:variant>
        <vt:i4>44</vt:i4>
      </vt:variant>
      <vt:variant>
        <vt:i4>0</vt:i4>
      </vt:variant>
      <vt:variant>
        <vt:i4>5</vt:i4>
      </vt:variant>
      <vt:variant>
        <vt:lpwstr/>
      </vt:variant>
      <vt:variant>
        <vt:lpwstr>_Toc131508398</vt:lpwstr>
      </vt:variant>
      <vt:variant>
        <vt:i4>1048627</vt:i4>
      </vt:variant>
      <vt:variant>
        <vt:i4>38</vt:i4>
      </vt:variant>
      <vt:variant>
        <vt:i4>0</vt:i4>
      </vt:variant>
      <vt:variant>
        <vt:i4>5</vt:i4>
      </vt:variant>
      <vt:variant>
        <vt:lpwstr/>
      </vt:variant>
      <vt:variant>
        <vt:lpwstr>_Toc131508397</vt:lpwstr>
      </vt:variant>
      <vt:variant>
        <vt:i4>1048627</vt:i4>
      </vt:variant>
      <vt:variant>
        <vt:i4>32</vt:i4>
      </vt:variant>
      <vt:variant>
        <vt:i4>0</vt:i4>
      </vt:variant>
      <vt:variant>
        <vt:i4>5</vt:i4>
      </vt:variant>
      <vt:variant>
        <vt:lpwstr/>
      </vt:variant>
      <vt:variant>
        <vt:lpwstr>_Toc131508396</vt:lpwstr>
      </vt:variant>
      <vt:variant>
        <vt:i4>1048627</vt:i4>
      </vt:variant>
      <vt:variant>
        <vt:i4>26</vt:i4>
      </vt:variant>
      <vt:variant>
        <vt:i4>0</vt:i4>
      </vt:variant>
      <vt:variant>
        <vt:i4>5</vt:i4>
      </vt:variant>
      <vt:variant>
        <vt:lpwstr/>
      </vt:variant>
      <vt:variant>
        <vt:lpwstr>_Toc131508395</vt:lpwstr>
      </vt:variant>
      <vt:variant>
        <vt:i4>1048627</vt:i4>
      </vt:variant>
      <vt:variant>
        <vt:i4>20</vt:i4>
      </vt:variant>
      <vt:variant>
        <vt:i4>0</vt:i4>
      </vt:variant>
      <vt:variant>
        <vt:i4>5</vt:i4>
      </vt:variant>
      <vt:variant>
        <vt:lpwstr/>
      </vt:variant>
      <vt:variant>
        <vt:lpwstr>_Toc131508394</vt:lpwstr>
      </vt:variant>
      <vt:variant>
        <vt:i4>1048627</vt:i4>
      </vt:variant>
      <vt:variant>
        <vt:i4>14</vt:i4>
      </vt:variant>
      <vt:variant>
        <vt:i4>0</vt:i4>
      </vt:variant>
      <vt:variant>
        <vt:i4>5</vt:i4>
      </vt:variant>
      <vt:variant>
        <vt:lpwstr/>
      </vt:variant>
      <vt:variant>
        <vt:lpwstr>_Toc131508393</vt:lpwstr>
      </vt:variant>
      <vt:variant>
        <vt:i4>1048627</vt:i4>
      </vt:variant>
      <vt:variant>
        <vt:i4>8</vt:i4>
      </vt:variant>
      <vt:variant>
        <vt:i4>0</vt:i4>
      </vt:variant>
      <vt:variant>
        <vt:i4>5</vt:i4>
      </vt:variant>
      <vt:variant>
        <vt:lpwstr/>
      </vt:variant>
      <vt:variant>
        <vt:lpwstr>_Toc131508392</vt:lpwstr>
      </vt:variant>
      <vt:variant>
        <vt:i4>1048627</vt:i4>
      </vt:variant>
      <vt:variant>
        <vt:i4>2</vt:i4>
      </vt:variant>
      <vt:variant>
        <vt:i4>0</vt:i4>
      </vt:variant>
      <vt:variant>
        <vt:i4>5</vt:i4>
      </vt:variant>
      <vt:variant>
        <vt:lpwstr/>
      </vt:variant>
      <vt:variant>
        <vt:lpwstr>_Toc131508391</vt:lpwstr>
      </vt:variant>
      <vt:variant>
        <vt:i4>4718680</vt:i4>
      </vt:variant>
      <vt:variant>
        <vt:i4>0</vt:i4>
      </vt:variant>
      <vt:variant>
        <vt:i4>0</vt:i4>
      </vt:variant>
      <vt:variant>
        <vt:i4>5</vt:i4>
      </vt:variant>
      <vt:variant>
        <vt:lpwstr>https://www.ato.gov.au/Business/Super-for-employers/Super-guarantee---annual-employer-compliance-results/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2025-03-17T05:32:00Z</dcterms:created>
  <dcterms:modified xsi:type="dcterms:W3CDTF">2025-03-17T05:33:00Z</dcterms:modified>
</cp:coreProperties>
</file>